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D400D" w14:textId="77777777" w:rsidR="00171A16" w:rsidRDefault="00171A16" w:rsidP="004F24E8">
      <w:pPr>
        <w:pStyle w:val="Pavadinimas"/>
        <w:spacing w:after="0" w:line="240" w:lineRule="auto"/>
        <w:rPr>
          <w:rStyle w:val="datametai"/>
          <w:b w:val="0"/>
          <w:bCs w:val="0"/>
          <w:szCs w:val="24"/>
          <w:lang w:val="lt-LT"/>
        </w:rPr>
      </w:pPr>
    </w:p>
    <w:p w14:paraId="276EFAE1" w14:textId="77777777" w:rsidR="00093845" w:rsidRDefault="000D779E" w:rsidP="004F24E8">
      <w:pPr>
        <w:pStyle w:val="Pavadinimas"/>
        <w:spacing w:after="0" w:line="240" w:lineRule="auto"/>
        <w:rPr>
          <w:rStyle w:val="datametai"/>
          <w:b w:val="0"/>
          <w:bCs w:val="0"/>
          <w:szCs w:val="24"/>
          <w:lang w:val="lt-LT"/>
        </w:rPr>
      </w:pPr>
      <w:r>
        <w:rPr>
          <w:rStyle w:val="datametai"/>
          <w:b w:val="0"/>
          <w:bCs w:val="0"/>
          <w:szCs w:val="24"/>
          <w:lang w:val="lt-LT"/>
        </w:rPr>
        <w:t>LIETUVOS RESPUBLIKOS</w:t>
      </w:r>
    </w:p>
    <w:p w14:paraId="679B6081" w14:textId="77777777" w:rsidR="00093845" w:rsidRDefault="000D779E" w:rsidP="004F24E8">
      <w:pPr>
        <w:spacing w:after="0" w:line="240" w:lineRule="auto"/>
        <w:jc w:val="center"/>
        <w:rPr>
          <w:rStyle w:val="datametai"/>
          <w:b/>
          <w:lang w:val="lt-LT"/>
        </w:rPr>
      </w:pPr>
      <w:r>
        <w:rPr>
          <w:rStyle w:val="datametai"/>
          <w:b/>
          <w:lang w:val="lt-LT"/>
        </w:rPr>
        <w:t>PELNO MOKESČIO</w:t>
      </w:r>
    </w:p>
    <w:p w14:paraId="4ED21BBD" w14:textId="77777777" w:rsidR="00093845" w:rsidRDefault="000D779E" w:rsidP="004F24E8">
      <w:pPr>
        <w:spacing w:after="0" w:line="240" w:lineRule="auto"/>
        <w:jc w:val="center"/>
        <w:rPr>
          <w:rStyle w:val="datametai"/>
          <w:b/>
          <w:lang w:val="lt-LT"/>
        </w:rPr>
      </w:pPr>
      <w:r>
        <w:rPr>
          <w:rStyle w:val="datametai"/>
          <w:b/>
          <w:lang w:val="lt-LT"/>
        </w:rPr>
        <w:t xml:space="preserve">ĮSTATYMO </w:t>
      </w:r>
    </w:p>
    <w:p w14:paraId="6D7F0A8F" w14:textId="77777777" w:rsidR="00093845" w:rsidRDefault="000D779E" w:rsidP="004F24E8">
      <w:pPr>
        <w:spacing w:after="0" w:line="240" w:lineRule="auto"/>
        <w:jc w:val="center"/>
        <w:rPr>
          <w:rStyle w:val="statymonr"/>
          <w:b/>
          <w:lang w:val="lt-LT"/>
        </w:rPr>
      </w:pPr>
      <w:r>
        <w:rPr>
          <w:rStyle w:val="datametai"/>
          <w:b/>
          <w:lang w:val="lt-LT"/>
        </w:rPr>
        <w:t>2001</w:t>
      </w:r>
      <w:r>
        <w:rPr>
          <w:b/>
          <w:lang w:val="lt-LT"/>
        </w:rPr>
        <w:t xml:space="preserve"> m. </w:t>
      </w:r>
      <w:r>
        <w:rPr>
          <w:rStyle w:val="datamnuo"/>
          <w:b/>
          <w:lang w:val="lt-LT"/>
        </w:rPr>
        <w:t xml:space="preserve">gruodžio </w:t>
      </w:r>
      <w:r>
        <w:rPr>
          <w:rStyle w:val="datadiena"/>
          <w:b/>
          <w:lang w:val="lt-LT"/>
        </w:rPr>
        <w:t>20</w:t>
      </w:r>
      <w:r>
        <w:rPr>
          <w:b/>
          <w:lang w:val="lt-LT"/>
        </w:rPr>
        <w:t xml:space="preserve"> d. Nr. </w:t>
      </w:r>
      <w:r>
        <w:rPr>
          <w:rStyle w:val="statymonr"/>
          <w:b/>
          <w:lang w:val="lt-LT"/>
        </w:rPr>
        <w:t>IX-675</w:t>
      </w:r>
    </w:p>
    <w:p w14:paraId="3DC4F52E" w14:textId="2023676B" w:rsidR="00093845" w:rsidRDefault="000D779E" w:rsidP="004F24E8">
      <w:pPr>
        <w:spacing w:after="0" w:line="240" w:lineRule="auto"/>
        <w:jc w:val="center"/>
        <w:rPr>
          <w:rStyle w:val="statymonr"/>
          <w:b/>
          <w:lang w:val="lt-LT"/>
        </w:rPr>
      </w:pPr>
      <w:r>
        <w:rPr>
          <w:rStyle w:val="statymonr"/>
          <w:b/>
          <w:lang w:val="lt-LT"/>
        </w:rPr>
        <w:t>(Aktuali redakcija 20</w:t>
      </w:r>
      <w:r w:rsidR="00EE2394">
        <w:rPr>
          <w:rStyle w:val="statymonr"/>
          <w:b/>
          <w:lang w:val="lt-LT"/>
        </w:rPr>
        <w:t>2</w:t>
      </w:r>
      <w:r w:rsidR="004D192C">
        <w:rPr>
          <w:rStyle w:val="statymonr"/>
          <w:b/>
          <w:lang w:val="lt-LT"/>
        </w:rPr>
        <w:t>6</w:t>
      </w:r>
      <w:r>
        <w:rPr>
          <w:rStyle w:val="statymonr"/>
          <w:b/>
          <w:lang w:val="lt-LT"/>
        </w:rPr>
        <w:t>-</w:t>
      </w:r>
      <w:r w:rsidR="004D192C">
        <w:rPr>
          <w:rStyle w:val="statymonr"/>
          <w:b/>
          <w:lang w:val="lt-LT"/>
        </w:rPr>
        <w:t>0</w:t>
      </w:r>
      <w:r w:rsidR="00EE2CEE">
        <w:rPr>
          <w:rStyle w:val="statymonr"/>
          <w:b/>
          <w:lang w:val="lt-LT"/>
        </w:rPr>
        <w:t>5</w:t>
      </w:r>
      <w:r>
        <w:rPr>
          <w:rStyle w:val="statymonr"/>
          <w:b/>
          <w:lang w:val="lt-LT"/>
        </w:rPr>
        <w:t>-</w:t>
      </w:r>
      <w:r w:rsidR="00A0551C">
        <w:rPr>
          <w:rStyle w:val="statymonr"/>
          <w:b/>
          <w:lang w:val="lt-LT"/>
        </w:rPr>
        <w:t>2</w:t>
      </w:r>
      <w:r w:rsidR="00EE2CEE">
        <w:rPr>
          <w:rStyle w:val="statymonr"/>
          <w:b/>
          <w:lang w:val="lt-LT"/>
        </w:rPr>
        <w:t>6</w:t>
      </w:r>
      <w:r w:rsidR="0017187C">
        <w:rPr>
          <w:rStyle w:val="statymonr"/>
          <w:b/>
          <w:lang w:val="lt-LT"/>
        </w:rPr>
        <w:t>)</w:t>
      </w:r>
    </w:p>
    <w:p w14:paraId="47FEA879" w14:textId="77777777" w:rsidR="00093845" w:rsidRDefault="00093845" w:rsidP="004F24E8">
      <w:pPr>
        <w:spacing w:after="0" w:line="240" w:lineRule="auto"/>
        <w:jc w:val="center"/>
        <w:rPr>
          <w:rStyle w:val="statymonr"/>
          <w:b/>
          <w:lang w:val="lt-LT"/>
        </w:rPr>
      </w:pPr>
    </w:p>
    <w:p w14:paraId="0F91FDBB" w14:textId="77777777" w:rsidR="00093845" w:rsidRPr="008D05FF" w:rsidRDefault="000D779E" w:rsidP="004F24E8">
      <w:pPr>
        <w:pStyle w:val="Antrat1"/>
        <w:spacing w:after="0" w:line="240" w:lineRule="auto"/>
        <w:rPr>
          <w:rFonts w:ascii="Times New Roman" w:hAnsi="Times New Roman" w:cs="Times New Roman"/>
          <w:bCs w:val="0"/>
          <w:kern w:val="0"/>
          <w:lang w:val="lt-LT"/>
        </w:rPr>
      </w:pPr>
      <w:r w:rsidRPr="008D05FF">
        <w:rPr>
          <w:rStyle w:val="statymonr"/>
          <w:rFonts w:ascii="Times New Roman" w:hAnsi="Times New Roman"/>
          <w:bCs w:val="0"/>
          <w:kern w:val="0"/>
          <w:lang w:val="lt-LT"/>
        </w:rPr>
        <w:t>KOMENTARAS</w:t>
      </w:r>
    </w:p>
    <w:p w14:paraId="6EBFA541" w14:textId="77777777" w:rsidR="00093845" w:rsidRDefault="00093845" w:rsidP="004F24E8">
      <w:pPr>
        <w:pStyle w:val="Antrat1"/>
        <w:keepNext w:val="0"/>
        <w:tabs>
          <w:tab w:val="left" w:pos="720"/>
          <w:tab w:val="left" w:pos="1080"/>
        </w:tabs>
        <w:spacing w:after="0" w:line="240" w:lineRule="auto"/>
        <w:rPr>
          <w:rFonts w:ascii="Times New Roman" w:hAnsi="Times New Roman"/>
          <w:lang w:val="lt-LT"/>
        </w:rPr>
      </w:pPr>
    </w:p>
    <w:p w14:paraId="4933A2E7" w14:textId="77777777" w:rsidR="00093845" w:rsidRDefault="000D779E" w:rsidP="004F24E8">
      <w:pPr>
        <w:spacing w:after="0" w:line="240" w:lineRule="auto"/>
        <w:jc w:val="both"/>
        <w:rPr>
          <w:b/>
          <w:bCs/>
          <w:lang w:val="lt-LT"/>
        </w:rPr>
      </w:pPr>
      <w:r>
        <w:rPr>
          <w:b/>
          <w:bCs/>
          <w:lang w:val="lt-LT"/>
        </w:rPr>
        <w:t>ATSKIRŲ KOMENTARO DALIŲ SPAUSDINIMAS</w:t>
      </w:r>
      <w:r>
        <w:rPr>
          <w:lang w:val="lt-LT"/>
        </w:rPr>
        <w:t xml:space="preserve"> (trumpi paaiškinimai)</w:t>
      </w:r>
    </w:p>
    <w:p w14:paraId="5CFD4E29" w14:textId="77777777" w:rsidR="00093845" w:rsidRDefault="00093845" w:rsidP="004F24E8">
      <w:pPr>
        <w:spacing w:after="0" w:line="240" w:lineRule="auto"/>
        <w:jc w:val="both"/>
        <w:rPr>
          <w:b/>
          <w:bCs/>
          <w:lang w:val="lt-LT"/>
        </w:rPr>
      </w:pPr>
    </w:p>
    <w:p w14:paraId="7CAC575A" w14:textId="77777777" w:rsidR="00093845" w:rsidRDefault="00F020FC" w:rsidP="004F24E8">
      <w:pPr>
        <w:numPr>
          <w:ilvl w:val="0"/>
          <w:numId w:val="3"/>
        </w:numPr>
        <w:spacing w:after="0" w:line="240" w:lineRule="auto"/>
        <w:ind w:left="0"/>
        <w:jc w:val="both"/>
        <w:rPr>
          <w:b/>
          <w:bCs/>
        </w:rPr>
      </w:pPr>
      <w:hyperlink w:anchor="_Atskiro_puslapio_spausdinimas" w:history="1">
        <w:r w:rsidR="000D779E">
          <w:rPr>
            <w:rStyle w:val="Hipersaitas"/>
            <w:rFonts w:ascii="Times New Roman" w:hAnsi="Times New Roman" w:cs="Times New Roman"/>
            <w:color w:val="0000FF"/>
            <w:kern w:val="0"/>
            <w:u w:val="single"/>
          </w:rPr>
          <w:t>Atskiro puslapio spausdinimas</w:t>
        </w:r>
      </w:hyperlink>
    </w:p>
    <w:p w14:paraId="7AA01D70" w14:textId="77777777" w:rsidR="00093845" w:rsidRDefault="00F020FC" w:rsidP="004F24E8">
      <w:pPr>
        <w:numPr>
          <w:ilvl w:val="0"/>
          <w:numId w:val="3"/>
        </w:numPr>
        <w:spacing w:after="0" w:line="240" w:lineRule="auto"/>
        <w:ind w:left="0"/>
        <w:jc w:val="both"/>
        <w:rPr>
          <w:b/>
          <w:bCs/>
        </w:rPr>
      </w:pPr>
      <w:hyperlink w:anchor="_Kelių_puslapių_spausdinimas" w:history="1">
        <w:r w:rsidR="000D779E">
          <w:rPr>
            <w:rStyle w:val="Hipersaitas"/>
            <w:rFonts w:ascii="Times New Roman" w:hAnsi="Times New Roman" w:cs="Times New Roman"/>
            <w:color w:val="0000FF"/>
            <w:kern w:val="0"/>
            <w:u w:val="single"/>
          </w:rPr>
          <w:t>Kelių puslapių spausdinimas</w:t>
        </w:r>
      </w:hyperlink>
    </w:p>
    <w:p w14:paraId="6B965ABB" w14:textId="77777777" w:rsidR="00093845" w:rsidRDefault="00F020FC" w:rsidP="004F24E8">
      <w:pPr>
        <w:numPr>
          <w:ilvl w:val="0"/>
          <w:numId w:val="3"/>
        </w:numPr>
        <w:spacing w:after="0" w:line="240" w:lineRule="auto"/>
        <w:ind w:left="0"/>
        <w:jc w:val="both"/>
        <w:rPr>
          <w:b/>
          <w:bCs/>
        </w:rPr>
      </w:pPr>
      <w:hyperlink w:anchor="_Pažymėtos_teksto_dalies" w:history="1">
        <w:r w:rsidR="000D779E">
          <w:rPr>
            <w:rStyle w:val="Hipersaitas"/>
            <w:rFonts w:ascii="Times New Roman" w:hAnsi="Times New Roman" w:cs="Times New Roman"/>
            <w:color w:val="0000FF"/>
            <w:kern w:val="0"/>
            <w:u w:val="single"/>
          </w:rPr>
          <w:t>Pažymėtos teksto dalies spausdinimas</w:t>
        </w:r>
      </w:hyperlink>
    </w:p>
    <w:p w14:paraId="02239A52" w14:textId="77777777" w:rsidR="00093845" w:rsidRDefault="00093845" w:rsidP="004F24E8">
      <w:pPr>
        <w:pStyle w:val="Antrat1"/>
        <w:keepNext w:val="0"/>
        <w:tabs>
          <w:tab w:val="left" w:pos="720"/>
          <w:tab w:val="left" w:pos="1080"/>
        </w:tabs>
        <w:spacing w:after="0" w:line="240" w:lineRule="auto"/>
        <w:rPr>
          <w:rFonts w:ascii="Times New Roman" w:hAnsi="Times New Roman"/>
          <w:lang w:val="lt-LT"/>
        </w:rPr>
      </w:pPr>
    </w:p>
    <w:p w14:paraId="2AE3DBEF" w14:textId="77777777" w:rsidR="00093845" w:rsidRDefault="000D779E" w:rsidP="004F24E8">
      <w:pPr>
        <w:spacing w:after="0" w:line="240" w:lineRule="auto"/>
        <w:jc w:val="center"/>
        <w:rPr>
          <w:lang w:val="lt-LT"/>
        </w:rPr>
      </w:pPr>
      <w:r>
        <w:rPr>
          <w:lang w:val="lt-LT"/>
        </w:rPr>
        <w:t>T U R I N Y S</w:t>
      </w:r>
    </w:p>
    <w:p w14:paraId="027936BF" w14:textId="77777777" w:rsidR="00093845" w:rsidRDefault="00093845" w:rsidP="004F24E8">
      <w:pPr>
        <w:pStyle w:val="Antrat1"/>
        <w:keepNext w:val="0"/>
        <w:tabs>
          <w:tab w:val="left" w:pos="720"/>
          <w:tab w:val="left" w:pos="1080"/>
        </w:tabs>
        <w:spacing w:after="0" w:line="240" w:lineRule="auto"/>
        <w:jc w:val="both"/>
        <w:rPr>
          <w:rFonts w:ascii="Times New Roman" w:hAnsi="Times New Roman"/>
          <w:lang w:val="lt-LT"/>
        </w:rPr>
      </w:pPr>
    </w:p>
    <w:p w14:paraId="7F35FC79" w14:textId="77777777" w:rsidR="00093845" w:rsidRDefault="000D779E" w:rsidP="004F24E8">
      <w:pPr>
        <w:spacing w:after="0" w:line="240" w:lineRule="auto"/>
        <w:rPr>
          <w:b/>
          <w:lang w:val="lt-LT"/>
        </w:rPr>
      </w:pPr>
      <w:r>
        <w:rPr>
          <w:b/>
          <w:lang w:val="lt-LT"/>
        </w:rPr>
        <w:t>I SKYRIUS   BENDROSIOS NUOSTATOS</w:t>
      </w:r>
    </w:p>
    <w:p w14:paraId="5523ABEA" w14:textId="77777777" w:rsidR="00093845" w:rsidRDefault="00F020FC" w:rsidP="002B3757">
      <w:pPr>
        <w:tabs>
          <w:tab w:val="left" w:pos="6965"/>
        </w:tabs>
        <w:spacing w:after="0" w:line="240" w:lineRule="auto"/>
        <w:rPr>
          <w:b/>
          <w:bCs/>
          <w:lang w:val="lt-LT"/>
        </w:rPr>
      </w:pPr>
      <w:hyperlink w:anchor="_1_straipsnis._Įstatymo" w:history="1">
        <w:r w:rsidR="000D779E" w:rsidRPr="00E83A3B">
          <w:rPr>
            <w:rStyle w:val="Perirtashipersaitas"/>
            <w:b/>
            <w:color w:val="0000FF"/>
            <w:lang w:val="lt-LT"/>
          </w:rPr>
          <w:t>1 straipsnis</w:t>
        </w:r>
      </w:hyperlink>
      <w:r w:rsidR="000D779E">
        <w:rPr>
          <w:b/>
          <w:bCs/>
          <w:lang w:val="lt-LT"/>
        </w:rPr>
        <w:t xml:space="preserve">. Įstatymo paskirtis </w:t>
      </w:r>
      <w:r w:rsidR="000D779E">
        <w:rPr>
          <w:b/>
          <w:bCs/>
          <w:color w:val="000000"/>
          <w:sz w:val="22"/>
          <w:szCs w:val="22"/>
          <w:lang w:val="lt-LT"/>
        </w:rPr>
        <w:t>ir taikymo sritis</w:t>
      </w:r>
      <w:r w:rsidR="002B3757">
        <w:rPr>
          <w:b/>
          <w:bCs/>
          <w:color w:val="000000"/>
          <w:sz w:val="22"/>
          <w:szCs w:val="22"/>
          <w:lang w:val="lt-LT"/>
        </w:rPr>
        <w:tab/>
      </w:r>
    </w:p>
    <w:p w14:paraId="54870773" w14:textId="77777777" w:rsidR="00093845" w:rsidRDefault="00F020FC" w:rsidP="004F24E8">
      <w:pPr>
        <w:tabs>
          <w:tab w:val="left" w:pos="720"/>
          <w:tab w:val="left" w:pos="1077"/>
          <w:tab w:val="left" w:pos="1418"/>
        </w:tabs>
        <w:spacing w:after="0" w:line="240" w:lineRule="auto"/>
        <w:jc w:val="both"/>
        <w:rPr>
          <w:b/>
          <w:lang w:val="lt-LT"/>
        </w:rPr>
      </w:pPr>
      <w:hyperlink w:anchor="_2_straipsnis._Pagrindinės_1" w:history="1">
        <w:r w:rsidR="000D779E" w:rsidRPr="00E83A3B">
          <w:rPr>
            <w:rStyle w:val="Perirtashipersaitas"/>
            <w:b/>
            <w:color w:val="0000FF"/>
            <w:lang w:val="lt-LT"/>
          </w:rPr>
          <w:t>2 straipsnis</w:t>
        </w:r>
      </w:hyperlink>
      <w:r w:rsidR="000D779E">
        <w:rPr>
          <w:b/>
          <w:lang w:val="lt-LT"/>
        </w:rPr>
        <w:t>. Pagrindinės šio Įstatymo sąvokos</w:t>
      </w:r>
    </w:p>
    <w:p w14:paraId="5B359FA4" w14:textId="77777777" w:rsidR="00093845" w:rsidRDefault="00F020FC" w:rsidP="004F24E8">
      <w:pPr>
        <w:tabs>
          <w:tab w:val="left" w:pos="720"/>
        </w:tabs>
        <w:spacing w:after="0" w:line="240" w:lineRule="auto"/>
        <w:jc w:val="both"/>
        <w:rPr>
          <w:b/>
          <w:szCs w:val="20"/>
          <w:lang w:val="lt-LT"/>
        </w:rPr>
      </w:pPr>
      <w:hyperlink w:anchor="_3_straipsnis._Mokesčio" w:history="1">
        <w:r w:rsidR="000D779E" w:rsidRPr="00E83A3B">
          <w:rPr>
            <w:rStyle w:val="Perirtashipersaitas"/>
            <w:b/>
            <w:color w:val="0000FF"/>
            <w:lang w:val="lt-LT"/>
          </w:rPr>
          <w:t>3 straipsnis</w:t>
        </w:r>
      </w:hyperlink>
      <w:r w:rsidR="000D779E">
        <w:rPr>
          <w:b/>
          <w:lang w:val="lt-LT"/>
        </w:rPr>
        <w:t>. Mokesčio mokėtojai</w:t>
      </w:r>
    </w:p>
    <w:p w14:paraId="333A40C1" w14:textId="77777777" w:rsidR="00093845" w:rsidRDefault="00F020FC" w:rsidP="004F24E8">
      <w:pPr>
        <w:tabs>
          <w:tab w:val="left" w:pos="720"/>
          <w:tab w:val="left" w:pos="1077"/>
          <w:tab w:val="left" w:pos="1418"/>
        </w:tabs>
        <w:autoSpaceDE w:val="0"/>
        <w:autoSpaceDN w:val="0"/>
        <w:spacing w:after="0" w:line="240" w:lineRule="auto"/>
        <w:rPr>
          <w:b/>
          <w:bCs/>
          <w:lang w:val="lt-LT"/>
        </w:rPr>
      </w:pPr>
      <w:hyperlink w:anchor="_4_straipsnis._Mokesčio" w:history="1">
        <w:r w:rsidR="000D779E" w:rsidRPr="00E83A3B">
          <w:rPr>
            <w:rStyle w:val="Perirtashipersaitas"/>
            <w:b/>
            <w:color w:val="0000FF"/>
            <w:lang w:val="lt-LT"/>
          </w:rPr>
          <w:t>4 straipsnis</w:t>
        </w:r>
      </w:hyperlink>
      <w:r w:rsidR="000D779E">
        <w:rPr>
          <w:b/>
          <w:bCs/>
          <w:lang w:val="lt-LT"/>
        </w:rPr>
        <w:t>. Mokesčio bazė</w:t>
      </w:r>
    </w:p>
    <w:p w14:paraId="5CD2EE59" w14:textId="77777777" w:rsidR="00093845" w:rsidRDefault="00F020FC" w:rsidP="004F24E8">
      <w:pPr>
        <w:tabs>
          <w:tab w:val="left" w:pos="720"/>
          <w:tab w:val="left" w:pos="1077"/>
          <w:tab w:val="left" w:pos="1418"/>
          <w:tab w:val="left" w:pos="9356"/>
        </w:tabs>
        <w:spacing w:after="0" w:line="240" w:lineRule="auto"/>
        <w:jc w:val="both"/>
        <w:rPr>
          <w:b/>
          <w:szCs w:val="20"/>
          <w:lang w:val="lt-LT"/>
        </w:rPr>
      </w:pPr>
      <w:hyperlink w:anchor="_5_straipsnis._Mokesčio" w:history="1">
        <w:r w:rsidR="000D779E">
          <w:rPr>
            <w:rStyle w:val="Hipersaitas"/>
            <w:rFonts w:ascii="Times New Roman" w:hAnsi="Times New Roman" w:cs="Times New Roman"/>
            <w:bCs w:val="0"/>
            <w:color w:val="0000FF"/>
            <w:kern w:val="0"/>
            <w:u w:val="single"/>
            <w:lang w:val="lt-LT"/>
          </w:rPr>
          <w:t>5 straipsnis</w:t>
        </w:r>
      </w:hyperlink>
      <w:r w:rsidR="000D779E">
        <w:rPr>
          <w:b/>
          <w:lang w:val="lt-LT"/>
        </w:rPr>
        <w:t xml:space="preserve">. Mokesčio tarifai </w:t>
      </w:r>
    </w:p>
    <w:p w14:paraId="230EBC0D" w14:textId="77777777" w:rsidR="00093845" w:rsidRDefault="00F020FC" w:rsidP="004F24E8">
      <w:pPr>
        <w:tabs>
          <w:tab w:val="left" w:pos="720"/>
          <w:tab w:val="left" w:pos="1077"/>
          <w:tab w:val="left" w:pos="1418"/>
        </w:tabs>
        <w:spacing w:after="0" w:line="240" w:lineRule="auto"/>
        <w:jc w:val="both"/>
        <w:rPr>
          <w:b/>
          <w:lang w:val="lt-LT"/>
        </w:rPr>
      </w:pPr>
      <w:hyperlink w:anchor="_6_straipsnis._Mokestinis" w:history="1">
        <w:r w:rsidR="000D779E">
          <w:rPr>
            <w:rStyle w:val="Hipersaitas"/>
            <w:rFonts w:ascii="Times New Roman" w:hAnsi="Times New Roman" w:cs="Times New Roman"/>
            <w:bCs w:val="0"/>
            <w:color w:val="0000FF"/>
            <w:kern w:val="0"/>
            <w:u w:val="single"/>
            <w:lang w:val="lt-LT"/>
          </w:rPr>
          <w:t>6 straipsnis</w:t>
        </w:r>
      </w:hyperlink>
      <w:r w:rsidR="000D779E">
        <w:rPr>
          <w:b/>
          <w:lang w:val="lt-LT"/>
        </w:rPr>
        <w:t>. Mokestinis laikotarpis</w:t>
      </w:r>
    </w:p>
    <w:p w14:paraId="075111E6" w14:textId="77777777" w:rsidR="00093845" w:rsidRDefault="000D779E" w:rsidP="004F24E8">
      <w:pPr>
        <w:spacing w:after="0" w:line="240" w:lineRule="auto"/>
        <w:rPr>
          <w:b/>
          <w:lang w:val="lt-LT"/>
        </w:rPr>
      </w:pPr>
      <w:r>
        <w:rPr>
          <w:b/>
          <w:lang w:val="lt-LT"/>
        </w:rPr>
        <w:t>II SKYRIUS   PAJAMŲ IR SĄNAUDŲ PRIPAŽINIMAS</w:t>
      </w:r>
    </w:p>
    <w:p w14:paraId="4C28497E" w14:textId="77777777" w:rsidR="00093845" w:rsidRDefault="00F020FC" w:rsidP="004F24E8">
      <w:pPr>
        <w:tabs>
          <w:tab w:val="left" w:pos="720"/>
        </w:tabs>
        <w:spacing w:after="0" w:line="240" w:lineRule="auto"/>
        <w:jc w:val="both"/>
        <w:rPr>
          <w:b/>
          <w:lang w:val="lt-LT"/>
        </w:rPr>
      </w:pPr>
      <w:hyperlink w:anchor="_7_straipsnis._Pajamų" w:history="1">
        <w:r w:rsidR="000D779E">
          <w:rPr>
            <w:rStyle w:val="Hipersaitas"/>
            <w:rFonts w:ascii="Times New Roman" w:hAnsi="Times New Roman" w:cs="Times New Roman"/>
            <w:bCs w:val="0"/>
            <w:color w:val="0000FF"/>
            <w:kern w:val="0"/>
            <w:u w:val="single"/>
            <w:lang w:val="lt-LT"/>
          </w:rPr>
          <w:t>7 straipsnis</w:t>
        </w:r>
      </w:hyperlink>
      <w:r w:rsidR="000D779E">
        <w:rPr>
          <w:b/>
          <w:lang w:val="lt-LT"/>
        </w:rPr>
        <w:t xml:space="preserve">. Pajamų ir sąnaudų pripažinimas </w:t>
      </w:r>
    </w:p>
    <w:p w14:paraId="409855AB" w14:textId="77777777" w:rsidR="00093845" w:rsidRDefault="00F020FC" w:rsidP="004F24E8">
      <w:pPr>
        <w:tabs>
          <w:tab w:val="left" w:pos="720"/>
          <w:tab w:val="left" w:pos="1077"/>
          <w:tab w:val="left" w:pos="1418"/>
        </w:tabs>
        <w:spacing w:after="0" w:line="240" w:lineRule="auto"/>
        <w:jc w:val="both"/>
        <w:rPr>
          <w:b/>
          <w:lang w:val="lt-LT"/>
        </w:rPr>
      </w:pPr>
      <w:hyperlink w:anchor="_8_straipsnis._Pajamų" w:history="1">
        <w:r w:rsidR="000D779E">
          <w:rPr>
            <w:rStyle w:val="Hipersaitas"/>
            <w:rFonts w:ascii="Times New Roman" w:hAnsi="Times New Roman" w:cs="Times New Roman"/>
            <w:bCs w:val="0"/>
            <w:color w:val="0000FF"/>
            <w:kern w:val="0"/>
            <w:u w:val="single"/>
            <w:lang w:val="lt-LT"/>
          </w:rPr>
          <w:t>8 straipsnis</w:t>
        </w:r>
      </w:hyperlink>
      <w:r w:rsidR="000D779E">
        <w:rPr>
          <w:b/>
          <w:lang w:val="lt-LT"/>
        </w:rPr>
        <w:t xml:space="preserve">. Pajamų ir sąnaudų pripažinimas pagal pinigų apskaitos principą </w:t>
      </w:r>
    </w:p>
    <w:p w14:paraId="2F1B545E" w14:textId="77777777" w:rsidR="00093845" w:rsidRDefault="00F020FC" w:rsidP="004F24E8">
      <w:pPr>
        <w:tabs>
          <w:tab w:val="left" w:pos="720"/>
          <w:tab w:val="left" w:pos="1077"/>
          <w:tab w:val="left" w:pos="1418"/>
        </w:tabs>
        <w:spacing w:after="0" w:line="240" w:lineRule="auto"/>
        <w:jc w:val="both"/>
        <w:rPr>
          <w:b/>
          <w:lang w:val="lt-LT"/>
        </w:rPr>
      </w:pPr>
      <w:hyperlink w:anchor="_9_straipsnis._Pinigų" w:history="1">
        <w:r w:rsidR="000D779E">
          <w:rPr>
            <w:rStyle w:val="Hipersaitas"/>
            <w:rFonts w:ascii="Times New Roman" w:hAnsi="Times New Roman" w:cs="Times New Roman"/>
            <w:bCs w:val="0"/>
            <w:color w:val="0000FF"/>
            <w:kern w:val="0"/>
            <w:u w:val="single"/>
            <w:lang w:val="lt-LT"/>
          </w:rPr>
          <w:t>9 straipsnis</w:t>
        </w:r>
      </w:hyperlink>
      <w:r w:rsidR="000D779E">
        <w:rPr>
          <w:b/>
          <w:lang w:val="lt-LT"/>
        </w:rPr>
        <w:t>. Pinigų apskaitos principo taikymas</w:t>
      </w:r>
    </w:p>
    <w:p w14:paraId="46806C6B" w14:textId="77777777" w:rsidR="00093845" w:rsidRDefault="00F020FC" w:rsidP="004F24E8">
      <w:pPr>
        <w:tabs>
          <w:tab w:val="left" w:pos="720"/>
          <w:tab w:val="left" w:pos="1077"/>
          <w:tab w:val="left" w:pos="1418"/>
        </w:tabs>
        <w:spacing w:after="0" w:line="240" w:lineRule="auto"/>
        <w:jc w:val="both"/>
        <w:rPr>
          <w:b/>
          <w:lang w:val="lt-LT"/>
        </w:rPr>
      </w:pPr>
      <w:hyperlink w:anchor="_10_straipsnis._Apskaitos" w:history="1">
        <w:r w:rsidR="000D779E">
          <w:rPr>
            <w:rStyle w:val="Hipersaitas"/>
            <w:rFonts w:ascii="Times New Roman" w:hAnsi="Times New Roman" w:cs="Times New Roman"/>
            <w:bCs w:val="0"/>
            <w:color w:val="0000FF"/>
            <w:kern w:val="0"/>
            <w:u w:val="single"/>
            <w:lang w:val="lt-LT"/>
          </w:rPr>
          <w:t>10 straipsnis</w:t>
        </w:r>
      </w:hyperlink>
      <w:r w:rsidR="000D779E">
        <w:rPr>
          <w:b/>
          <w:lang w:val="lt-LT"/>
        </w:rPr>
        <w:t>. Apskaitos principo pasirinkimas ir keitimas</w:t>
      </w:r>
    </w:p>
    <w:p w14:paraId="47CC2FA5" w14:textId="77777777" w:rsidR="00093845" w:rsidRDefault="000D779E" w:rsidP="004F24E8">
      <w:pPr>
        <w:tabs>
          <w:tab w:val="left" w:pos="720"/>
          <w:tab w:val="left" w:pos="1077"/>
          <w:tab w:val="left" w:pos="1418"/>
        </w:tabs>
        <w:spacing w:after="0" w:line="240" w:lineRule="auto"/>
        <w:jc w:val="both"/>
        <w:rPr>
          <w:b/>
          <w:bCs/>
          <w:lang w:val="lt-LT"/>
        </w:rPr>
      </w:pPr>
      <w:r>
        <w:rPr>
          <w:b/>
          <w:bCs/>
          <w:lang w:val="lt-LT"/>
        </w:rPr>
        <w:t>III SKYRIUS   APMOKESTINAMOJO PELNO APSKAIČIAVIMO TVARKA</w:t>
      </w:r>
    </w:p>
    <w:p w14:paraId="7F4CA08F" w14:textId="77777777" w:rsidR="00093845" w:rsidRDefault="00F020FC" w:rsidP="004F24E8">
      <w:pPr>
        <w:tabs>
          <w:tab w:val="left" w:pos="720"/>
          <w:tab w:val="left" w:pos="1077"/>
          <w:tab w:val="left" w:pos="1418"/>
        </w:tabs>
        <w:spacing w:after="0" w:line="240" w:lineRule="auto"/>
        <w:jc w:val="both"/>
        <w:rPr>
          <w:b/>
          <w:bCs/>
          <w:lang w:val="lt-LT"/>
        </w:rPr>
      </w:pPr>
      <w:hyperlink w:anchor="_11_straipsnis._Apmokestinamasis" w:history="1">
        <w:r w:rsidR="000D779E">
          <w:rPr>
            <w:rStyle w:val="Hipersaitas"/>
            <w:rFonts w:ascii="Times New Roman" w:hAnsi="Times New Roman" w:cs="Times New Roman"/>
            <w:color w:val="0000FF"/>
            <w:kern w:val="0"/>
            <w:u w:val="single"/>
            <w:lang w:val="lt-LT"/>
          </w:rPr>
          <w:t>11 straipsnis</w:t>
        </w:r>
      </w:hyperlink>
      <w:r w:rsidR="000D779E">
        <w:rPr>
          <w:b/>
          <w:bCs/>
          <w:lang w:val="lt-LT"/>
        </w:rPr>
        <w:t>. Apmokestinamasis pelnas</w:t>
      </w:r>
    </w:p>
    <w:p w14:paraId="39B88310" w14:textId="77777777" w:rsidR="00093845" w:rsidRDefault="00F020FC" w:rsidP="004F24E8">
      <w:pPr>
        <w:tabs>
          <w:tab w:val="left" w:pos="720"/>
          <w:tab w:val="left" w:pos="1077"/>
          <w:tab w:val="left" w:pos="1418"/>
        </w:tabs>
        <w:spacing w:after="0" w:line="240" w:lineRule="auto"/>
        <w:jc w:val="both"/>
        <w:rPr>
          <w:b/>
          <w:color w:val="000000"/>
          <w:lang w:val="lt-LT"/>
        </w:rPr>
      </w:pPr>
      <w:hyperlink w:anchor="_12_STRAIPSNIS._Neapmokestinamosios_1" w:history="1">
        <w:r w:rsidR="000D779E" w:rsidRPr="00090180">
          <w:rPr>
            <w:rStyle w:val="Hipersaitas"/>
            <w:rFonts w:ascii="Times New Roman" w:hAnsi="Times New Roman" w:cs="Times New Roman"/>
            <w:color w:val="0000FF"/>
            <w:kern w:val="0"/>
            <w:u w:val="single"/>
            <w:lang w:val="lt-LT"/>
          </w:rPr>
          <w:t>12 straipsnis</w:t>
        </w:r>
      </w:hyperlink>
      <w:r w:rsidR="000D779E" w:rsidRPr="00090180">
        <w:rPr>
          <w:b/>
          <w:color w:val="0000FF"/>
          <w:u w:val="single"/>
          <w:lang w:val="lt-LT"/>
        </w:rPr>
        <w:t>.</w:t>
      </w:r>
      <w:r w:rsidR="000D779E">
        <w:rPr>
          <w:b/>
          <w:color w:val="000000"/>
          <w:lang w:val="lt-LT"/>
        </w:rPr>
        <w:t xml:space="preserve"> Neapmokestinamosios pajamos</w:t>
      </w:r>
    </w:p>
    <w:p w14:paraId="7688D30D" w14:textId="77777777" w:rsidR="00093845" w:rsidRDefault="000D779E" w:rsidP="004F24E8">
      <w:pPr>
        <w:spacing w:after="0" w:line="240" w:lineRule="auto"/>
        <w:rPr>
          <w:b/>
          <w:lang w:val="lt-LT"/>
        </w:rPr>
      </w:pPr>
      <w:r>
        <w:rPr>
          <w:b/>
          <w:lang w:val="lt-LT"/>
        </w:rPr>
        <w:t>IV SKYRIUS    TURTAS</w:t>
      </w:r>
    </w:p>
    <w:p w14:paraId="7A159C8B" w14:textId="77777777" w:rsidR="00093845" w:rsidRDefault="00F020FC" w:rsidP="004F24E8">
      <w:pPr>
        <w:tabs>
          <w:tab w:val="left" w:pos="720"/>
          <w:tab w:val="left" w:pos="1077"/>
          <w:tab w:val="left" w:pos="1418"/>
        </w:tabs>
        <w:spacing w:after="0" w:line="240" w:lineRule="auto"/>
        <w:jc w:val="both"/>
        <w:rPr>
          <w:b/>
          <w:szCs w:val="20"/>
          <w:lang w:val="lt-LT"/>
        </w:rPr>
      </w:pPr>
      <w:hyperlink w:anchor="_13_straipsnis._Vieneto" w:history="1">
        <w:r w:rsidR="000D779E" w:rsidRPr="00E83A3B">
          <w:rPr>
            <w:rStyle w:val="Perirtashipersaitas"/>
            <w:b/>
            <w:color w:val="0000FF"/>
            <w:lang w:val="lt-LT"/>
          </w:rPr>
          <w:t>13 straipsnis</w:t>
        </w:r>
      </w:hyperlink>
      <w:r w:rsidR="000D779E">
        <w:rPr>
          <w:b/>
          <w:lang w:val="lt-LT"/>
        </w:rPr>
        <w:t xml:space="preserve">. Vieneto turtas </w:t>
      </w:r>
    </w:p>
    <w:p w14:paraId="2A238665" w14:textId="77777777" w:rsidR="00093845" w:rsidRDefault="00F020FC" w:rsidP="004F24E8">
      <w:pPr>
        <w:tabs>
          <w:tab w:val="left" w:pos="720"/>
          <w:tab w:val="left" w:pos="1077"/>
          <w:tab w:val="left" w:pos="1418"/>
        </w:tabs>
        <w:spacing w:after="0" w:line="240" w:lineRule="auto"/>
        <w:jc w:val="both"/>
        <w:rPr>
          <w:lang w:val="lt-LT"/>
        </w:rPr>
      </w:pPr>
      <w:hyperlink w:anchor="_14_straipsnis._Turto" w:history="1">
        <w:r w:rsidR="000D779E">
          <w:rPr>
            <w:rStyle w:val="Hipersaitas"/>
            <w:rFonts w:ascii="Times New Roman" w:hAnsi="Times New Roman" w:cs="Times New Roman"/>
            <w:bCs w:val="0"/>
            <w:color w:val="0000FF"/>
            <w:kern w:val="0"/>
            <w:u w:val="single"/>
            <w:lang w:val="lt-LT"/>
          </w:rPr>
          <w:t>14 straipsnis</w:t>
        </w:r>
      </w:hyperlink>
      <w:r w:rsidR="000D779E">
        <w:rPr>
          <w:b/>
          <w:lang w:val="lt-LT"/>
        </w:rPr>
        <w:t>. Turto įsigijimo kaina</w:t>
      </w:r>
    </w:p>
    <w:p w14:paraId="2FE79AF2" w14:textId="77777777" w:rsidR="00093845" w:rsidRDefault="00F020FC" w:rsidP="004F24E8">
      <w:pPr>
        <w:tabs>
          <w:tab w:val="left" w:pos="720"/>
          <w:tab w:val="left" w:pos="1077"/>
          <w:tab w:val="left" w:pos="1418"/>
          <w:tab w:val="left" w:pos="9356"/>
        </w:tabs>
        <w:spacing w:after="0" w:line="240" w:lineRule="auto"/>
        <w:jc w:val="both"/>
        <w:rPr>
          <w:b/>
          <w:lang w:val="lt-LT"/>
        </w:rPr>
      </w:pPr>
      <w:hyperlink w:anchor="_15_straipsnis._Turto" w:history="1">
        <w:r w:rsidR="000D779E">
          <w:rPr>
            <w:rStyle w:val="Hipersaitas"/>
            <w:rFonts w:ascii="Times New Roman" w:hAnsi="Times New Roman" w:cs="Times New Roman"/>
            <w:bCs w:val="0"/>
            <w:color w:val="0000FF"/>
            <w:kern w:val="0"/>
            <w:u w:val="single"/>
            <w:lang w:val="lt-LT"/>
          </w:rPr>
          <w:t>15 straipsnis</w:t>
        </w:r>
      </w:hyperlink>
      <w:r w:rsidR="000D779E">
        <w:rPr>
          <w:b/>
          <w:lang w:val="lt-LT"/>
        </w:rPr>
        <w:t xml:space="preserve">. Turto pardavimo kaina </w:t>
      </w:r>
    </w:p>
    <w:p w14:paraId="63300FFA" w14:textId="77777777" w:rsidR="00093845" w:rsidRDefault="00F020FC" w:rsidP="004F24E8">
      <w:pPr>
        <w:tabs>
          <w:tab w:val="left" w:pos="720"/>
          <w:tab w:val="left" w:pos="1077"/>
          <w:tab w:val="left" w:pos="1418"/>
          <w:tab w:val="left" w:pos="9356"/>
        </w:tabs>
        <w:spacing w:after="0" w:line="240" w:lineRule="auto"/>
        <w:jc w:val="both"/>
        <w:rPr>
          <w:b/>
          <w:lang w:val="lt-LT"/>
        </w:rPr>
      </w:pPr>
      <w:hyperlink w:anchor="_16_straipsnis._Turto" w:history="1">
        <w:r w:rsidR="000D779E">
          <w:rPr>
            <w:rStyle w:val="Hipersaitas"/>
            <w:rFonts w:ascii="Times New Roman" w:hAnsi="Times New Roman" w:cs="Times New Roman"/>
            <w:bCs w:val="0"/>
            <w:color w:val="0000FF"/>
            <w:kern w:val="0"/>
            <w:u w:val="single"/>
            <w:lang w:val="lt-LT"/>
          </w:rPr>
          <w:t>16 straipsnis</w:t>
        </w:r>
      </w:hyperlink>
      <w:r w:rsidR="000D779E">
        <w:rPr>
          <w:b/>
          <w:lang w:val="lt-LT"/>
        </w:rPr>
        <w:t>. Turto vertės padidėjimo pajamos</w:t>
      </w:r>
    </w:p>
    <w:p w14:paraId="45E1D066" w14:textId="77777777" w:rsidR="00093845" w:rsidRDefault="000D779E" w:rsidP="004F24E8">
      <w:pPr>
        <w:pStyle w:val="Pagrindinistekstas3"/>
        <w:spacing w:after="0" w:line="240" w:lineRule="auto"/>
        <w:jc w:val="both"/>
        <w:rPr>
          <w:rFonts w:ascii="Times New Roman" w:hAnsi="Times New Roman"/>
          <w:b/>
          <w:bCs/>
        </w:rPr>
      </w:pPr>
      <w:r>
        <w:rPr>
          <w:rFonts w:ascii="Times New Roman" w:hAnsi="Times New Roman"/>
          <w:b/>
          <w:bCs/>
        </w:rPr>
        <w:t>V SKYRIUS LEIDŽIAMI ATSKAITYMAI IR RIBOJAMŲ DYDŽIŲ LEIDŽIAMI ATSKAITYMAI</w:t>
      </w:r>
    </w:p>
    <w:p w14:paraId="0304A616" w14:textId="77777777" w:rsidR="00093845" w:rsidRDefault="00F020FC" w:rsidP="004F24E8">
      <w:pPr>
        <w:tabs>
          <w:tab w:val="left" w:pos="720"/>
          <w:tab w:val="left" w:pos="1077"/>
          <w:tab w:val="left" w:pos="1418"/>
        </w:tabs>
        <w:spacing w:after="0" w:line="240" w:lineRule="auto"/>
        <w:jc w:val="both"/>
        <w:rPr>
          <w:b/>
          <w:lang w:val="lt-LT"/>
        </w:rPr>
      </w:pPr>
      <w:hyperlink w:anchor="_17_straipsnis._Leidžiamų" w:history="1">
        <w:r w:rsidR="000D779E">
          <w:rPr>
            <w:rStyle w:val="Hipersaitas"/>
            <w:rFonts w:ascii="Times New Roman" w:hAnsi="Times New Roman" w:cs="Times New Roman"/>
            <w:bCs w:val="0"/>
            <w:color w:val="0000FF"/>
            <w:kern w:val="0"/>
            <w:u w:val="single"/>
            <w:lang w:val="lt-LT"/>
          </w:rPr>
          <w:t>17 straipsnis</w:t>
        </w:r>
      </w:hyperlink>
      <w:r w:rsidR="000D779E">
        <w:rPr>
          <w:b/>
          <w:lang w:val="lt-LT"/>
        </w:rPr>
        <w:t xml:space="preserve">. Leidžiamų atskaitymų pripažinimo tvarka </w:t>
      </w:r>
    </w:p>
    <w:p w14:paraId="646442FA" w14:textId="77777777" w:rsidR="00093845" w:rsidRDefault="00F020FC" w:rsidP="004F24E8">
      <w:pPr>
        <w:spacing w:after="0" w:line="240" w:lineRule="auto"/>
        <w:jc w:val="both"/>
        <w:rPr>
          <w:b/>
          <w:bCs/>
          <w:lang w:val="lt-LT"/>
        </w:rPr>
      </w:pPr>
      <w:hyperlink w:anchor="Straipsnis171" w:history="1">
        <w:r w:rsidR="000D779E" w:rsidRPr="00E83A3B">
          <w:rPr>
            <w:rStyle w:val="Perirtashipersaitas"/>
            <w:b/>
            <w:color w:val="0000FF"/>
            <w:lang w:val="lt-LT"/>
          </w:rPr>
          <w:t>17</w:t>
        </w:r>
        <w:r w:rsidR="000D779E" w:rsidRPr="00E83A3B">
          <w:rPr>
            <w:rStyle w:val="Perirtashipersaitas"/>
            <w:b/>
            <w:color w:val="0000FF"/>
            <w:vertAlign w:val="superscript"/>
            <w:lang w:val="lt-LT"/>
          </w:rPr>
          <w:t xml:space="preserve">1 </w:t>
        </w:r>
        <w:r w:rsidR="000D779E" w:rsidRPr="00E83A3B">
          <w:rPr>
            <w:rStyle w:val="Perirtashipersaitas"/>
            <w:b/>
            <w:color w:val="0000FF"/>
            <w:lang w:val="lt-LT"/>
          </w:rPr>
          <w:t>straipsnis</w:t>
        </w:r>
      </w:hyperlink>
      <w:r w:rsidR="000D779E">
        <w:rPr>
          <w:b/>
          <w:bCs/>
          <w:lang w:val="lt-LT"/>
        </w:rPr>
        <w:t>. Mokslinių tyrimų ir eksperimentinės plėtros darbų sąnaudos</w:t>
      </w:r>
    </w:p>
    <w:p w14:paraId="756A585F" w14:textId="77777777" w:rsidR="00093845" w:rsidRDefault="00F020FC" w:rsidP="00C90B09">
      <w:pPr>
        <w:spacing w:after="0" w:line="240" w:lineRule="auto"/>
        <w:rPr>
          <w:b/>
          <w:bCs/>
          <w:u w:val="single"/>
          <w:lang w:val="lt-LT" w:eastAsia="lt-LT"/>
        </w:rPr>
      </w:pPr>
      <w:hyperlink w:anchor="P160681_2" w:history="1">
        <w:r w:rsidR="000D779E" w:rsidRPr="00E83A3B">
          <w:rPr>
            <w:rStyle w:val="Perirtashipersaitas"/>
            <w:b/>
            <w:color w:val="0000FF"/>
            <w:lang w:val="lt-LT" w:eastAsia="lt-LT"/>
          </w:rPr>
          <w:t>17</w:t>
        </w:r>
        <w:r w:rsidR="000D779E" w:rsidRPr="00E83A3B">
          <w:rPr>
            <w:rStyle w:val="Perirtashipersaitas"/>
            <w:b/>
            <w:color w:val="0000FF"/>
            <w:vertAlign w:val="superscript"/>
            <w:lang w:val="lt-LT" w:eastAsia="lt-LT"/>
          </w:rPr>
          <w:t>2</w:t>
        </w:r>
        <w:r w:rsidR="000D779E" w:rsidRPr="00E83A3B">
          <w:rPr>
            <w:rStyle w:val="Perirtashipersaitas"/>
            <w:b/>
            <w:color w:val="0000FF"/>
            <w:lang w:val="lt-LT" w:eastAsia="lt-LT"/>
          </w:rPr>
          <w:t xml:space="preserve"> straipsnis</w:t>
        </w:r>
      </w:hyperlink>
      <w:r w:rsidR="000D779E">
        <w:rPr>
          <w:b/>
          <w:bCs/>
          <w:u w:val="single"/>
          <w:lang w:val="lt-LT" w:eastAsia="lt-LT"/>
        </w:rPr>
        <w:t>.</w:t>
      </w:r>
      <w:r w:rsidR="000D779E">
        <w:rPr>
          <w:b/>
          <w:bCs/>
          <w:lang w:val="lt-LT" w:eastAsia="lt-LT"/>
        </w:rPr>
        <w:t xml:space="preserve"> Apmokestinamųjų pajamų mažinimas dėl filmo arba jo dalies gamybai neatlygintinai suteiktų lėšų  </w:t>
      </w:r>
    </w:p>
    <w:p w14:paraId="0BCD2668" w14:textId="77777777" w:rsidR="00093845" w:rsidRDefault="00F020FC" w:rsidP="00C90B09">
      <w:pPr>
        <w:spacing w:after="0" w:line="240" w:lineRule="auto"/>
        <w:rPr>
          <w:b/>
          <w:bCs/>
          <w:lang w:val="lt-LT"/>
        </w:rPr>
      </w:pPr>
      <w:hyperlink w:anchor="P56395_3" w:tgtFrame="P160681_1" w:history="1">
        <w:r w:rsidR="000D779E">
          <w:rPr>
            <w:rStyle w:val="Hipersaitas"/>
            <w:rFonts w:ascii="Times New Roman" w:hAnsi="Times New Roman" w:cs="Times New Roman"/>
            <w:color w:val="0000FF"/>
            <w:kern w:val="0"/>
            <w:u w:val="single"/>
            <w:lang w:val="lt-LT"/>
          </w:rPr>
          <w:t>18 straipsnis</w:t>
        </w:r>
      </w:hyperlink>
      <w:r w:rsidR="000D779E">
        <w:rPr>
          <w:b/>
          <w:bCs/>
          <w:color w:val="0000FF"/>
          <w:lang w:val="lt-LT"/>
        </w:rPr>
        <w:t>.</w:t>
      </w:r>
      <w:r w:rsidR="000D779E">
        <w:rPr>
          <w:b/>
          <w:bCs/>
          <w:lang w:val="lt-LT"/>
        </w:rPr>
        <w:t xml:space="preserve"> Ilgalaikio turto nusidėvėjimo arba amortizacijos sąnaudos</w:t>
      </w:r>
    </w:p>
    <w:p w14:paraId="58471ADA" w14:textId="77777777" w:rsidR="00093845" w:rsidRDefault="00F020FC" w:rsidP="004F24E8">
      <w:pPr>
        <w:spacing w:after="0" w:line="240" w:lineRule="auto"/>
        <w:rPr>
          <w:b/>
          <w:bCs/>
          <w:lang w:val="lt-LT"/>
        </w:rPr>
      </w:pPr>
      <w:hyperlink w:anchor="_19_straipsnis._Nusidėvėjimo" w:history="1">
        <w:r w:rsidR="000D779E">
          <w:rPr>
            <w:rStyle w:val="Hipersaitas"/>
            <w:rFonts w:ascii="Times New Roman" w:hAnsi="Times New Roman" w:cs="Times New Roman"/>
            <w:color w:val="0000FF"/>
            <w:kern w:val="0"/>
            <w:u w:val="single"/>
            <w:lang w:val="lt-LT"/>
          </w:rPr>
          <w:t>19 strai</w:t>
        </w:r>
        <w:r w:rsidR="000D779E">
          <w:rPr>
            <w:rStyle w:val="Hipersaitas"/>
            <w:rFonts w:ascii="Times New Roman" w:hAnsi="Times New Roman" w:cs="Times New Roman"/>
            <w:color w:val="0000FF"/>
            <w:kern w:val="0"/>
            <w:u w:val="single"/>
            <w:lang w:val="lt-LT"/>
          </w:rPr>
          <w:t>p</w:t>
        </w:r>
        <w:r w:rsidR="000D779E">
          <w:rPr>
            <w:rStyle w:val="Hipersaitas"/>
            <w:rFonts w:ascii="Times New Roman" w:hAnsi="Times New Roman" w:cs="Times New Roman"/>
            <w:color w:val="0000FF"/>
            <w:kern w:val="0"/>
            <w:u w:val="single"/>
            <w:lang w:val="lt-LT"/>
          </w:rPr>
          <w:t>snis</w:t>
        </w:r>
      </w:hyperlink>
      <w:r w:rsidR="000D779E">
        <w:rPr>
          <w:b/>
          <w:bCs/>
          <w:lang w:val="lt-LT"/>
        </w:rPr>
        <w:t>. Nusidėvėjimo arba amortizacijos skaičiavimo apribojimai</w:t>
      </w:r>
    </w:p>
    <w:p w14:paraId="3ADE0A71" w14:textId="77777777" w:rsidR="00093845" w:rsidRDefault="00F020FC" w:rsidP="004F24E8">
      <w:pPr>
        <w:spacing w:after="0" w:line="240" w:lineRule="auto"/>
        <w:rPr>
          <w:b/>
          <w:bCs/>
          <w:lang w:val="lt-LT"/>
        </w:rPr>
      </w:pPr>
      <w:hyperlink w:anchor="_20_straipsnis._Nuosavo," w:history="1">
        <w:r w:rsidR="000D779E">
          <w:rPr>
            <w:rStyle w:val="Hipersaitas"/>
            <w:rFonts w:ascii="Times New Roman" w:hAnsi="Times New Roman" w:cs="Times New Roman"/>
            <w:color w:val="0000FF"/>
            <w:kern w:val="0"/>
            <w:u w:val="single"/>
            <w:lang w:val="lt-LT"/>
          </w:rPr>
          <w:t>20 straipsnis</w:t>
        </w:r>
      </w:hyperlink>
      <w:r w:rsidR="000D779E">
        <w:rPr>
          <w:b/>
          <w:bCs/>
          <w:lang w:val="lt-LT"/>
        </w:rPr>
        <w:t>. Nuosavo, nuomojamo arba panaudos būdu naudojamo materialiojo ilgalaikio turto eksploatavimo, remonto arba rekonstravimo sąnaudos</w:t>
      </w:r>
    </w:p>
    <w:p w14:paraId="73436471" w14:textId="77777777" w:rsidR="00093845" w:rsidRDefault="00F020FC" w:rsidP="004F24E8">
      <w:pPr>
        <w:pStyle w:val="bodytext"/>
        <w:spacing w:before="0" w:beforeAutospacing="0" w:after="0" w:afterAutospacing="0" w:line="240" w:lineRule="auto"/>
        <w:rPr>
          <w:rFonts w:ascii="Times New Roman" w:hAnsi="Times New Roman" w:cs="Times New Roman"/>
          <w:b/>
          <w:bCs/>
          <w:lang w:val="lt-LT"/>
        </w:rPr>
      </w:pPr>
      <w:hyperlink w:anchor="_21_straipsnis._Komandiruočių" w:history="1">
        <w:r w:rsidR="000D779E">
          <w:rPr>
            <w:rStyle w:val="Hipersaitas"/>
            <w:rFonts w:ascii="Times New Roman" w:hAnsi="Times New Roman" w:cs="Times New Roman"/>
            <w:color w:val="0000FF"/>
            <w:kern w:val="0"/>
            <w:u w:val="single"/>
            <w:lang w:val="lt-LT"/>
          </w:rPr>
          <w:t>21 straipsnis</w:t>
        </w:r>
      </w:hyperlink>
      <w:r w:rsidR="000D779E">
        <w:rPr>
          <w:rFonts w:ascii="Times New Roman" w:hAnsi="Times New Roman" w:cs="Times New Roman"/>
          <w:b/>
          <w:bCs/>
          <w:lang w:val="lt-LT"/>
        </w:rPr>
        <w:t>. Komandiruočių sąnaudos</w:t>
      </w:r>
    </w:p>
    <w:p w14:paraId="7B71499E" w14:textId="77777777" w:rsidR="00093845" w:rsidRDefault="00F020FC" w:rsidP="004F24E8">
      <w:pPr>
        <w:pStyle w:val="bodytext"/>
        <w:spacing w:before="0" w:beforeAutospacing="0" w:after="0" w:afterAutospacing="0" w:line="240" w:lineRule="auto"/>
        <w:rPr>
          <w:rFonts w:ascii="Times New Roman" w:hAnsi="Times New Roman" w:cs="Times New Roman"/>
          <w:b/>
          <w:bCs/>
          <w:lang w:val="lt-LT"/>
        </w:rPr>
      </w:pPr>
      <w:hyperlink w:anchor="_22_straipsnis._Reklamos" w:history="1">
        <w:r w:rsidR="000D779E">
          <w:rPr>
            <w:rStyle w:val="Hipersaitas"/>
            <w:rFonts w:ascii="Times New Roman" w:hAnsi="Times New Roman" w:cs="Times New Roman"/>
            <w:color w:val="0000FF"/>
            <w:kern w:val="0"/>
            <w:u w:val="single"/>
            <w:lang w:val="lt-LT"/>
          </w:rPr>
          <w:t>22 straipsnis</w:t>
        </w:r>
      </w:hyperlink>
      <w:r w:rsidR="000D779E">
        <w:rPr>
          <w:rFonts w:ascii="Times New Roman" w:hAnsi="Times New Roman" w:cs="Times New Roman"/>
          <w:b/>
          <w:bCs/>
          <w:lang w:val="lt-LT"/>
        </w:rPr>
        <w:t>. Reklamos ir reprezentacijos sąnaudos</w:t>
      </w:r>
    </w:p>
    <w:p w14:paraId="44223B4B" w14:textId="77777777" w:rsidR="00093845" w:rsidRDefault="00F020FC" w:rsidP="004F24E8">
      <w:pPr>
        <w:spacing w:after="0" w:line="240" w:lineRule="auto"/>
        <w:rPr>
          <w:b/>
          <w:bCs/>
          <w:lang w:val="lt-LT"/>
        </w:rPr>
      </w:pPr>
      <w:hyperlink w:anchor="_23_straipsnis._Natūralios" w:history="1">
        <w:r w:rsidR="000D779E">
          <w:rPr>
            <w:rStyle w:val="Hipersaitas"/>
            <w:rFonts w:ascii="Times New Roman" w:hAnsi="Times New Roman" w:cs="Times New Roman"/>
            <w:color w:val="0000FF"/>
            <w:kern w:val="0"/>
            <w:u w:val="single"/>
            <w:lang w:val="lt-LT"/>
          </w:rPr>
          <w:t>23 straipsnis</w:t>
        </w:r>
      </w:hyperlink>
      <w:r w:rsidR="000D779E">
        <w:rPr>
          <w:b/>
          <w:bCs/>
          <w:lang w:val="lt-LT"/>
        </w:rPr>
        <w:t>. Natūralios netekties nuostoliai</w:t>
      </w:r>
    </w:p>
    <w:p w14:paraId="704980B0" w14:textId="77777777" w:rsidR="00093845" w:rsidRDefault="00F020FC" w:rsidP="004F24E8">
      <w:pPr>
        <w:spacing w:after="0" w:line="240" w:lineRule="auto"/>
        <w:rPr>
          <w:b/>
          <w:bCs/>
          <w:lang w:val="lt-LT"/>
        </w:rPr>
      </w:pPr>
      <w:hyperlink w:anchor="_24_STRAIPSNIS._Mokesčiai_1" w:history="1">
        <w:r w:rsidR="000D779E" w:rsidRPr="00090180">
          <w:rPr>
            <w:rStyle w:val="Hipersaitas"/>
            <w:rFonts w:ascii="Times New Roman" w:hAnsi="Times New Roman" w:cs="Times New Roman"/>
            <w:color w:val="0000FF"/>
            <w:kern w:val="0"/>
            <w:u w:val="single"/>
            <w:lang w:val="lt-LT"/>
          </w:rPr>
          <w:t>24 straipsnis</w:t>
        </w:r>
      </w:hyperlink>
      <w:r w:rsidR="000D779E" w:rsidRPr="00090180">
        <w:rPr>
          <w:b/>
          <w:bCs/>
          <w:color w:val="0000FF"/>
          <w:u w:val="single"/>
          <w:lang w:val="lt-LT"/>
        </w:rPr>
        <w:t>.</w:t>
      </w:r>
      <w:r w:rsidR="000D779E">
        <w:rPr>
          <w:b/>
          <w:bCs/>
          <w:lang w:val="lt-LT"/>
        </w:rPr>
        <w:t xml:space="preserve"> Mokesčiai</w:t>
      </w:r>
    </w:p>
    <w:p w14:paraId="4EDAD4FA" w14:textId="77777777" w:rsidR="00093845" w:rsidRDefault="00F020FC" w:rsidP="004F24E8">
      <w:pPr>
        <w:spacing w:after="0" w:line="240" w:lineRule="auto"/>
        <w:rPr>
          <w:b/>
          <w:bCs/>
          <w:lang w:val="lt-LT"/>
        </w:rPr>
      </w:pPr>
      <w:hyperlink w:anchor="_25_straipsnis._Beviltiškos" w:history="1">
        <w:r w:rsidR="000D779E">
          <w:rPr>
            <w:rStyle w:val="Hipersaitas"/>
            <w:rFonts w:ascii="Times New Roman" w:hAnsi="Times New Roman" w:cs="Times New Roman"/>
            <w:color w:val="0000FF"/>
            <w:kern w:val="0"/>
            <w:u w:val="single"/>
            <w:lang w:val="lt-LT"/>
          </w:rPr>
          <w:t>25 straipsnis</w:t>
        </w:r>
      </w:hyperlink>
      <w:r w:rsidR="000D779E">
        <w:rPr>
          <w:b/>
          <w:bCs/>
          <w:lang w:val="lt-LT"/>
        </w:rPr>
        <w:t>. Beviltiškos skolos</w:t>
      </w:r>
    </w:p>
    <w:p w14:paraId="3C294A2C" w14:textId="77777777" w:rsidR="00093845" w:rsidRDefault="00F020FC" w:rsidP="004F24E8">
      <w:pPr>
        <w:spacing w:after="0" w:line="240" w:lineRule="auto"/>
        <w:rPr>
          <w:b/>
          <w:bCs/>
          <w:lang w:val="lt-LT" w:eastAsia="lt-LT"/>
        </w:rPr>
      </w:pPr>
      <w:hyperlink w:anchor="_26_STAIPSNIS._" w:history="1">
        <w:r w:rsidR="000D779E" w:rsidRPr="00090180">
          <w:rPr>
            <w:rStyle w:val="Hipersaitas"/>
            <w:rFonts w:ascii="Times New Roman" w:hAnsi="Times New Roman" w:cs="Times New Roman"/>
            <w:color w:val="0000FF"/>
            <w:kern w:val="0"/>
            <w:u w:val="single"/>
            <w:lang w:val="lt-LT"/>
          </w:rPr>
          <w:t>26 straipsnis</w:t>
        </w:r>
      </w:hyperlink>
      <w:r w:rsidR="004D5692" w:rsidRPr="00090180">
        <w:rPr>
          <w:rStyle w:val="Hipersaitas"/>
          <w:rFonts w:ascii="Times New Roman" w:hAnsi="Times New Roman" w:cs="Times New Roman"/>
          <w:color w:val="0000FF"/>
          <w:kern w:val="0"/>
          <w:u w:val="single"/>
          <w:lang w:val="lt-LT"/>
        </w:rPr>
        <w:t>.</w:t>
      </w:r>
      <w:r w:rsidR="000D779E">
        <w:rPr>
          <w:b/>
          <w:bCs/>
          <w:lang w:val="lt-LT" w:eastAsia="lt-LT"/>
        </w:rPr>
        <w:t xml:space="preserve">  Išlaidos darbuotojų ir (arba) jų šeimos narių naudai</w:t>
      </w:r>
      <w:r w:rsidR="000D779E">
        <w:rPr>
          <w:lang w:val="lt-LT" w:eastAsia="lt-LT"/>
        </w:rPr>
        <w:t xml:space="preserve">, </w:t>
      </w:r>
      <w:r w:rsidR="000D779E">
        <w:rPr>
          <w:b/>
          <w:bCs/>
          <w:lang w:val="lt-LT" w:eastAsia="lt-LT"/>
        </w:rPr>
        <w:t xml:space="preserve">kuri nėra gyventojų pajamų mokesčio objektas </w:t>
      </w:r>
    </w:p>
    <w:p w14:paraId="170F3B2D" w14:textId="77777777" w:rsidR="00093845" w:rsidRDefault="00F020FC" w:rsidP="004F24E8">
      <w:pPr>
        <w:spacing w:after="0" w:line="240" w:lineRule="auto"/>
        <w:rPr>
          <w:lang w:val="lt-LT"/>
        </w:rPr>
      </w:pPr>
      <w:hyperlink w:anchor="_27_straipsnis._Specialieji" w:history="1">
        <w:r w:rsidR="000D779E">
          <w:rPr>
            <w:rStyle w:val="Hipersaitas"/>
            <w:rFonts w:ascii="Times New Roman" w:hAnsi="Times New Roman" w:cs="Times New Roman"/>
            <w:color w:val="0000FF"/>
            <w:kern w:val="0"/>
            <w:u w:val="single"/>
            <w:lang w:val="lt-LT"/>
          </w:rPr>
          <w:t>27 straipsnis</w:t>
        </w:r>
      </w:hyperlink>
      <w:r w:rsidR="000D779E">
        <w:rPr>
          <w:b/>
          <w:bCs/>
          <w:lang w:val="lt-LT"/>
        </w:rPr>
        <w:t>. Specialieji kredito įstaigų ir draudimo įmonių atidėjimai.</w:t>
      </w:r>
    </w:p>
    <w:p w14:paraId="3E5DE1DF" w14:textId="77777777" w:rsidR="00093845" w:rsidRDefault="00F020FC" w:rsidP="004F24E8">
      <w:pPr>
        <w:tabs>
          <w:tab w:val="left" w:pos="720"/>
          <w:tab w:val="left" w:pos="1077"/>
          <w:tab w:val="left" w:pos="1418"/>
        </w:tabs>
        <w:spacing w:after="0" w:line="240" w:lineRule="auto"/>
        <w:jc w:val="both"/>
        <w:rPr>
          <w:b/>
          <w:szCs w:val="20"/>
          <w:lang w:val="lt-LT"/>
        </w:rPr>
      </w:pPr>
      <w:hyperlink w:anchor="_28_straipsnis._Parama._1" w:history="1">
        <w:r w:rsidR="000D779E">
          <w:rPr>
            <w:rStyle w:val="Hipersaitas"/>
            <w:rFonts w:ascii="Times New Roman" w:hAnsi="Times New Roman" w:cs="Times New Roman"/>
            <w:bCs w:val="0"/>
            <w:color w:val="0000FF"/>
            <w:kern w:val="0"/>
            <w:u w:val="single"/>
            <w:lang w:val="lt-LT"/>
          </w:rPr>
          <w:t>28 straipsnis</w:t>
        </w:r>
      </w:hyperlink>
      <w:r w:rsidR="000D779E">
        <w:rPr>
          <w:b/>
          <w:lang w:val="lt-LT"/>
        </w:rPr>
        <w:t>. Parama.</w:t>
      </w:r>
    </w:p>
    <w:p w14:paraId="32AF0E84" w14:textId="77777777" w:rsidR="00093845" w:rsidRDefault="00F020FC" w:rsidP="004F24E8">
      <w:pPr>
        <w:pStyle w:val="bodytext"/>
        <w:spacing w:before="0" w:beforeAutospacing="0" w:after="0" w:afterAutospacing="0" w:line="240" w:lineRule="auto"/>
        <w:rPr>
          <w:rFonts w:ascii="Times New Roman" w:hAnsi="Times New Roman" w:cs="Times New Roman"/>
          <w:b/>
          <w:bCs/>
          <w:lang w:val="lt-LT"/>
        </w:rPr>
      </w:pPr>
      <w:hyperlink w:anchor="_29_straipsnis._Narių" w:history="1">
        <w:r w:rsidR="000D779E">
          <w:rPr>
            <w:rStyle w:val="Hipersaitas"/>
            <w:rFonts w:ascii="Times New Roman" w:hAnsi="Times New Roman" w:cs="Times New Roman"/>
            <w:color w:val="0000FF"/>
            <w:kern w:val="0"/>
            <w:u w:val="single"/>
            <w:lang w:val="lt-LT"/>
          </w:rPr>
          <w:t>29 straipsnis</w:t>
        </w:r>
      </w:hyperlink>
      <w:r w:rsidR="000D779E">
        <w:rPr>
          <w:rFonts w:ascii="Times New Roman" w:hAnsi="Times New Roman" w:cs="Times New Roman"/>
          <w:b/>
          <w:bCs/>
          <w:lang w:val="lt-LT"/>
        </w:rPr>
        <w:t>. Narių mokesčiai, įnašai ir įmokos</w:t>
      </w:r>
    </w:p>
    <w:p w14:paraId="00CCA404" w14:textId="77777777" w:rsidR="00093845" w:rsidRDefault="00F020FC" w:rsidP="004F24E8">
      <w:pPr>
        <w:tabs>
          <w:tab w:val="left" w:pos="720"/>
          <w:tab w:val="left" w:pos="1077"/>
          <w:tab w:val="left" w:pos="1418"/>
        </w:tabs>
        <w:spacing w:after="0" w:line="240" w:lineRule="auto"/>
        <w:jc w:val="both"/>
        <w:rPr>
          <w:b/>
          <w:lang w:val="lt-LT"/>
        </w:rPr>
      </w:pPr>
      <w:hyperlink w:anchor="_30_straipsnis._Mokestinio" w:history="1">
        <w:r w:rsidR="000D779E">
          <w:rPr>
            <w:rStyle w:val="Hipersaitas"/>
            <w:rFonts w:ascii="Times New Roman" w:hAnsi="Times New Roman" w:cs="Times New Roman"/>
            <w:bCs w:val="0"/>
            <w:color w:val="0000FF"/>
            <w:kern w:val="0"/>
            <w:u w:val="single"/>
            <w:lang w:val="lt-LT"/>
          </w:rPr>
          <w:t>30 straipsnis</w:t>
        </w:r>
      </w:hyperlink>
      <w:r w:rsidR="000D779E">
        <w:rPr>
          <w:b/>
          <w:lang w:val="lt-LT"/>
        </w:rPr>
        <w:t>. Mokestinio laikotarpio nuostolių perkėlimas</w:t>
      </w:r>
    </w:p>
    <w:p w14:paraId="45BCDA8F" w14:textId="77777777" w:rsidR="00093845" w:rsidRDefault="00F020FC" w:rsidP="004F24E8">
      <w:pPr>
        <w:spacing w:after="0" w:line="240" w:lineRule="auto"/>
        <w:jc w:val="both"/>
        <w:rPr>
          <w:b/>
          <w:lang w:eastAsia="lt-LT"/>
        </w:rPr>
      </w:pPr>
      <w:hyperlink w:anchor="_301_STRAIPSNIS._Palūkanos" w:history="1">
        <w:r w:rsidR="000D779E">
          <w:rPr>
            <w:rStyle w:val="Hipersaitas"/>
            <w:rFonts w:ascii="Times New Roman" w:hAnsi="Times New Roman" w:cs="Times New Roman"/>
            <w:color w:val="0000FF"/>
            <w:kern w:val="0"/>
            <w:u w:val="single"/>
            <w:lang w:eastAsia="lt-LT"/>
          </w:rPr>
          <w:t>30</w:t>
        </w:r>
        <w:r w:rsidR="000D779E">
          <w:rPr>
            <w:rStyle w:val="Hipersaitas"/>
            <w:rFonts w:ascii="Times New Roman" w:hAnsi="Times New Roman" w:cs="Times New Roman"/>
            <w:color w:val="0000FF"/>
            <w:kern w:val="0"/>
            <w:u w:val="single"/>
            <w:vertAlign w:val="superscript"/>
            <w:lang w:eastAsia="lt-LT"/>
          </w:rPr>
          <w:t>1</w:t>
        </w:r>
        <w:r w:rsidR="000D779E">
          <w:rPr>
            <w:rStyle w:val="Hipersaitas"/>
            <w:rFonts w:ascii="Times New Roman" w:hAnsi="Times New Roman" w:cs="Times New Roman"/>
            <w:color w:val="0000FF"/>
            <w:kern w:val="0"/>
            <w:u w:val="single"/>
            <w:lang w:eastAsia="lt-LT"/>
          </w:rPr>
          <w:t xml:space="preserve"> straipsnis.</w:t>
        </w:r>
      </w:hyperlink>
      <w:r w:rsidR="000D779E">
        <w:rPr>
          <w:b/>
          <w:color w:val="3366FF"/>
          <w:lang w:eastAsia="lt-LT"/>
        </w:rPr>
        <w:t xml:space="preserve"> </w:t>
      </w:r>
      <w:r w:rsidR="000D779E">
        <w:rPr>
          <w:b/>
          <w:lang w:eastAsia="lt-LT"/>
        </w:rPr>
        <w:t>Palūkanos</w:t>
      </w:r>
    </w:p>
    <w:p w14:paraId="79198720" w14:textId="77777777" w:rsidR="00E0199A" w:rsidRDefault="00F020FC" w:rsidP="00E0199A">
      <w:pPr>
        <w:spacing w:after="0" w:line="240" w:lineRule="auto"/>
        <w:jc w:val="both"/>
        <w:rPr>
          <w:b/>
          <w:color w:val="000000"/>
          <w:lang w:val="lt-LT" w:eastAsia="lt-LT"/>
        </w:rPr>
      </w:pPr>
      <w:hyperlink w:anchor="part_302" w:history="1">
        <w:r w:rsidR="00A30A4A" w:rsidRPr="00C87682">
          <w:rPr>
            <w:rStyle w:val="Hipersaitas"/>
            <w:rFonts w:ascii="Times New Roman" w:hAnsi="Times New Roman" w:cs="Times New Roman"/>
            <w:color w:val="0000FF"/>
            <w:kern w:val="0"/>
            <w:u w:val="single"/>
            <w:lang w:eastAsia="lt-LT"/>
          </w:rPr>
          <w:t>30</w:t>
        </w:r>
        <w:r w:rsidR="00A30A4A" w:rsidRPr="00C87682">
          <w:rPr>
            <w:rStyle w:val="Hipersaitas"/>
            <w:rFonts w:ascii="Times New Roman" w:hAnsi="Times New Roman" w:cs="Times New Roman"/>
            <w:color w:val="0000FF"/>
            <w:kern w:val="0"/>
            <w:u w:val="single"/>
            <w:vertAlign w:val="superscript"/>
            <w:lang w:eastAsia="lt-LT"/>
          </w:rPr>
          <w:t>2</w:t>
        </w:r>
        <w:r w:rsidR="00A30A4A" w:rsidRPr="00C87682">
          <w:rPr>
            <w:rStyle w:val="Hipersaitas"/>
            <w:rFonts w:ascii="Times New Roman" w:hAnsi="Times New Roman" w:cs="Times New Roman"/>
            <w:color w:val="0000FF"/>
            <w:kern w:val="0"/>
            <w:u w:val="single"/>
            <w:lang w:eastAsia="lt-LT"/>
          </w:rPr>
          <w:t xml:space="preserve"> straipsnis</w:t>
        </w:r>
        <w:r w:rsidR="00A30A4A" w:rsidRPr="008C60A7">
          <w:rPr>
            <w:rStyle w:val="Hipersaitas"/>
            <w:rFonts w:ascii="Times New Roman" w:hAnsi="Times New Roman" w:cs="Times New Roman"/>
            <w:kern w:val="0"/>
            <w:lang w:eastAsia="lt-LT"/>
          </w:rPr>
          <w:t>.</w:t>
        </w:r>
      </w:hyperlink>
      <w:r w:rsidR="00A30A4A">
        <w:rPr>
          <w:rStyle w:val="Hipersaitas"/>
          <w:rFonts w:ascii="Times New Roman" w:hAnsi="Times New Roman" w:cs="Times New Roman"/>
          <w:color w:val="0000FF"/>
          <w:kern w:val="0"/>
          <w:u w:val="single"/>
          <w:lang w:eastAsia="lt-LT"/>
        </w:rPr>
        <w:t xml:space="preserve"> </w:t>
      </w:r>
      <w:r w:rsidR="00A30A4A" w:rsidRPr="008B593D">
        <w:rPr>
          <w:b/>
          <w:color w:val="000000"/>
          <w:lang w:val="lt-LT" w:eastAsia="lt-LT"/>
        </w:rPr>
        <w:t>Lengvųjų automobilių įsigijimo ir nuomos išlaidos</w:t>
      </w:r>
    </w:p>
    <w:p w14:paraId="6361C07F" w14:textId="77777777" w:rsidR="00E0199A" w:rsidRPr="00E0199A" w:rsidRDefault="00F020FC" w:rsidP="00E0199A">
      <w:pPr>
        <w:spacing w:after="0" w:line="240" w:lineRule="auto"/>
        <w:jc w:val="both"/>
        <w:rPr>
          <w:b/>
          <w:color w:val="000000"/>
          <w:lang w:val="lt-LT" w:eastAsia="lt-LT"/>
        </w:rPr>
      </w:pPr>
      <w:hyperlink w:anchor="straipsnis303" w:history="1">
        <w:r w:rsidR="00E0199A" w:rsidRPr="008C42EF">
          <w:rPr>
            <w:rStyle w:val="Hipersaitas"/>
            <w:rFonts w:ascii="Times New Roman" w:hAnsi="Times New Roman" w:cs="Times New Roman"/>
            <w:color w:val="0070C0"/>
            <w:kern w:val="0"/>
            <w:u w:val="single"/>
            <w:lang w:eastAsia="lt-LT"/>
          </w:rPr>
          <w:t>30</w:t>
        </w:r>
        <w:r w:rsidR="00E0199A" w:rsidRPr="008C42EF">
          <w:rPr>
            <w:rStyle w:val="Hipersaitas"/>
            <w:rFonts w:ascii="Times New Roman" w:hAnsi="Times New Roman" w:cs="Times New Roman"/>
            <w:color w:val="0070C0"/>
            <w:kern w:val="0"/>
            <w:u w:val="single"/>
            <w:vertAlign w:val="superscript"/>
            <w:lang w:eastAsia="lt-LT"/>
          </w:rPr>
          <w:t>3</w:t>
        </w:r>
        <w:r w:rsidR="00E0199A" w:rsidRPr="008C42EF">
          <w:rPr>
            <w:rStyle w:val="Hipersaitas"/>
            <w:rFonts w:ascii="Times New Roman" w:hAnsi="Times New Roman" w:cs="Times New Roman"/>
            <w:color w:val="0070C0"/>
            <w:kern w:val="0"/>
            <w:u w:val="single"/>
          </w:rPr>
          <w:t xml:space="preserve"> straipsnis.</w:t>
        </w:r>
      </w:hyperlink>
      <w:r w:rsidR="00E0199A" w:rsidRPr="00E0199A">
        <w:rPr>
          <w:b/>
        </w:rPr>
        <w:t xml:space="preserve"> Stipendijos</w:t>
      </w:r>
    </w:p>
    <w:p w14:paraId="3822BB4D" w14:textId="77777777" w:rsidR="00093845" w:rsidRDefault="000D779E" w:rsidP="004F24E8">
      <w:pPr>
        <w:spacing w:after="0" w:line="240" w:lineRule="auto"/>
        <w:rPr>
          <w:b/>
          <w:lang w:val="lt-LT"/>
        </w:rPr>
      </w:pPr>
      <w:r>
        <w:rPr>
          <w:b/>
          <w:lang w:val="lt-LT"/>
        </w:rPr>
        <w:t>VI SKYRIUS   NELEIDŽIAMI ATSKAITYMAI</w:t>
      </w:r>
    </w:p>
    <w:p w14:paraId="277859C8" w14:textId="77777777" w:rsidR="00093845" w:rsidRDefault="00F020FC" w:rsidP="004F24E8">
      <w:pPr>
        <w:tabs>
          <w:tab w:val="left" w:pos="720"/>
          <w:tab w:val="left" w:pos="1077"/>
          <w:tab w:val="left" w:pos="1418"/>
        </w:tabs>
        <w:spacing w:after="0" w:line="240" w:lineRule="auto"/>
        <w:jc w:val="both"/>
        <w:rPr>
          <w:b/>
          <w:lang w:val="lt-LT"/>
        </w:rPr>
      </w:pPr>
      <w:hyperlink w:anchor="_31_straipsnis._Neleidžiami" w:history="1">
        <w:r w:rsidR="000D779E">
          <w:rPr>
            <w:rStyle w:val="Hipersaitas"/>
            <w:rFonts w:ascii="Times New Roman" w:hAnsi="Times New Roman" w:cs="Times New Roman"/>
            <w:bCs w:val="0"/>
            <w:color w:val="0000FF"/>
            <w:kern w:val="0"/>
            <w:u w:val="single"/>
            <w:lang w:val="lt-LT"/>
          </w:rPr>
          <w:t>31 straipsnis</w:t>
        </w:r>
      </w:hyperlink>
      <w:r w:rsidR="000D779E">
        <w:rPr>
          <w:b/>
          <w:lang w:val="lt-LT"/>
        </w:rPr>
        <w:t>. Neleidžiami atskaitymai</w:t>
      </w:r>
    </w:p>
    <w:p w14:paraId="4F191B35" w14:textId="77777777" w:rsidR="00093845" w:rsidRDefault="000D779E" w:rsidP="004F24E8">
      <w:pPr>
        <w:spacing w:after="0" w:line="240" w:lineRule="auto"/>
        <w:jc w:val="both"/>
        <w:rPr>
          <w:szCs w:val="20"/>
          <w:lang w:val="lt-LT"/>
        </w:rPr>
      </w:pPr>
      <w:r>
        <w:rPr>
          <w:b/>
          <w:bCs/>
          <w:lang w:val="lt-LT"/>
        </w:rPr>
        <w:t>VII SKYRIUS DIVIDENDŲ IR KITO PASKIRSTYTOJO PELNO APMOKESTINIMO TVARKA</w:t>
      </w:r>
    </w:p>
    <w:p w14:paraId="11359A05" w14:textId="77777777" w:rsidR="00093845" w:rsidRDefault="00F020FC" w:rsidP="004F24E8">
      <w:pPr>
        <w:spacing w:after="0" w:line="240" w:lineRule="auto"/>
        <w:rPr>
          <w:b/>
          <w:bCs/>
          <w:lang w:val="lt-LT"/>
        </w:rPr>
      </w:pPr>
      <w:hyperlink w:anchor="_32_straipsnis._Dividendai" w:history="1">
        <w:r w:rsidR="000D779E">
          <w:rPr>
            <w:rStyle w:val="Hipersaitas"/>
            <w:rFonts w:ascii="Times New Roman" w:hAnsi="Times New Roman" w:cs="Times New Roman"/>
            <w:color w:val="0000FF"/>
            <w:kern w:val="0"/>
            <w:u w:val="single"/>
            <w:lang w:val="lt-LT"/>
          </w:rPr>
          <w:t>32 straipsnis</w:t>
        </w:r>
      </w:hyperlink>
      <w:r w:rsidR="000D779E">
        <w:rPr>
          <w:b/>
          <w:bCs/>
          <w:lang w:val="lt-LT"/>
        </w:rPr>
        <w:t>. Dividendai ir paskirstytasis pelnas</w:t>
      </w:r>
    </w:p>
    <w:p w14:paraId="50627C85" w14:textId="77777777" w:rsidR="00093845" w:rsidRDefault="00F020FC" w:rsidP="004F24E8">
      <w:pPr>
        <w:spacing w:after="0" w:line="240" w:lineRule="auto"/>
        <w:rPr>
          <w:b/>
          <w:bCs/>
          <w:lang w:val="lt-LT"/>
        </w:rPr>
      </w:pPr>
      <w:hyperlink w:anchor="straipsnis33" w:history="1">
        <w:r w:rsidR="000D779E">
          <w:rPr>
            <w:rStyle w:val="Hipersaitas"/>
            <w:rFonts w:ascii="Times New Roman" w:hAnsi="Times New Roman" w:cs="Times New Roman"/>
            <w:color w:val="0000FF"/>
            <w:kern w:val="0"/>
            <w:u w:val="single"/>
            <w:lang w:val="lt-LT"/>
          </w:rPr>
          <w:t>33 straipsnis</w:t>
        </w:r>
      </w:hyperlink>
      <w:r w:rsidR="000D779E">
        <w:rPr>
          <w:b/>
          <w:bCs/>
          <w:lang w:val="lt-LT"/>
        </w:rPr>
        <w:t>. Dividendų, išmokamų Lietuvos vienetams, apmokestinimo tvarka</w:t>
      </w:r>
    </w:p>
    <w:p w14:paraId="6D4FD7D3" w14:textId="77777777" w:rsidR="00093845" w:rsidRDefault="00F020FC" w:rsidP="004F24E8">
      <w:pPr>
        <w:spacing w:after="0" w:line="240" w:lineRule="auto"/>
        <w:rPr>
          <w:b/>
          <w:bCs/>
          <w:lang w:val="lt-LT"/>
        </w:rPr>
      </w:pPr>
      <w:hyperlink w:anchor="straipsnis34" w:history="1">
        <w:r w:rsidR="000D779E">
          <w:rPr>
            <w:rStyle w:val="Hipersaitas"/>
            <w:rFonts w:ascii="Times New Roman" w:hAnsi="Times New Roman" w:cs="Times New Roman"/>
            <w:color w:val="0000FF"/>
            <w:kern w:val="0"/>
            <w:u w:val="single"/>
            <w:lang w:val="lt-LT"/>
          </w:rPr>
          <w:t>34 straipsnis</w:t>
        </w:r>
      </w:hyperlink>
      <w:r w:rsidR="000D779E">
        <w:rPr>
          <w:b/>
          <w:bCs/>
          <w:lang w:val="lt-LT"/>
        </w:rPr>
        <w:t>. Dividendai, išmokami užsienio vienetams</w:t>
      </w:r>
    </w:p>
    <w:p w14:paraId="2B17ADDE" w14:textId="77777777" w:rsidR="00093845" w:rsidRDefault="00F020FC" w:rsidP="004F24E8">
      <w:pPr>
        <w:spacing w:after="0" w:line="240" w:lineRule="auto"/>
        <w:rPr>
          <w:b/>
          <w:bCs/>
          <w:lang w:val="lt-LT"/>
        </w:rPr>
      </w:pPr>
      <w:hyperlink w:anchor="straipsnis35" w:history="1">
        <w:r w:rsidR="000D779E">
          <w:rPr>
            <w:rStyle w:val="Hipersaitas"/>
            <w:rFonts w:ascii="Times New Roman" w:hAnsi="Times New Roman" w:cs="Times New Roman"/>
            <w:color w:val="0000FF"/>
            <w:kern w:val="0"/>
            <w:u w:val="single"/>
            <w:lang w:val="lt-LT"/>
          </w:rPr>
          <w:t>35 straipsnis</w:t>
        </w:r>
      </w:hyperlink>
      <w:r w:rsidR="000D779E">
        <w:rPr>
          <w:b/>
          <w:bCs/>
          <w:lang w:val="lt-LT"/>
        </w:rPr>
        <w:t>. Užsienio vienetų dividendai</w:t>
      </w:r>
    </w:p>
    <w:p w14:paraId="4675ECFF" w14:textId="77777777" w:rsidR="00093845" w:rsidRDefault="00F020FC" w:rsidP="004F24E8">
      <w:pPr>
        <w:spacing w:after="0" w:line="240" w:lineRule="auto"/>
        <w:rPr>
          <w:b/>
          <w:bCs/>
          <w:lang w:val="lt-LT"/>
        </w:rPr>
      </w:pPr>
      <w:hyperlink w:anchor="straipsnis36" w:history="1">
        <w:r w:rsidR="000D779E">
          <w:rPr>
            <w:rStyle w:val="Hipersaitas"/>
            <w:rFonts w:ascii="Times New Roman" w:hAnsi="Times New Roman" w:cs="Times New Roman"/>
            <w:color w:val="0000FF"/>
            <w:kern w:val="0"/>
            <w:u w:val="single"/>
            <w:lang w:val="lt-LT"/>
          </w:rPr>
          <w:t>36 straipsnis</w:t>
        </w:r>
      </w:hyperlink>
      <w:r w:rsidR="000D779E">
        <w:rPr>
          <w:b/>
          <w:bCs/>
          <w:lang w:val="lt-LT"/>
        </w:rPr>
        <w:t>. Dividendų deklaracija</w:t>
      </w:r>
    </w:p>
    <w:p w14:paraId="3511DA30" w14:textId="77777777" w:rsidR="00093845" w:rsidRDefault="000D779E" w:rsidP="004F24E8">
      <w:pPr>
        <w:spacing w:after="0" w:line="240" w:lineRule="auto"/>
        <w:rPr>
          <w:b/>
          <w:lang w:val="lt-LT"/>
        </w:rPr>
      </w:pPr>
      <w:r>
        <w:rPr>
          <w:b/>
          <w:lang w:val="lt-LT"/>
        </w:rPr>
        <w:t>VIII SKYRIUS   SPECIALIOS PAJAMŲ APMOKESTINIMO SĄLYGOS</w:t>
      </w:r>
    </w:p>
    <w:p w14:paraId="08EC3E54" w14:textId="77777777" w:rsidR="00093845" w:rsidRDefault="00F020FC" w:rsidP="004F24E8">
      <w:pPr>
        <w:tabs>
          <w:tab w:val="left" w:pos="720"/>
          <w:tab w:val="left" w:pos="1077"/>
          <w:tab w:val="left" w:pos="1418"/>
        </w:tabs>
        <w:spacing w:after="0" w:line="240" w:lineRule="auto"/>
        <w:jc w:val="both"/>
        <w:rPr>
          <w:b/>
          <w:bCs/>
          <w:lang w:val="lt-LT"/>
        </w:rPr>
      </w:pPr>
      <w:hyperlink w:anchor="_*_37_STRAIPSNIS." w:history="1">
        <w:r w:rsidR="000D779E">
          <w:rPr>
            <w:rStyle w:val="Hipersaitas"/>
            <w:rFonts w:ascii="Times New Roman" w:hAnsi="Times New Roman" w:cs="Times New Roman"/>
            <w:color w:val="0000FF"/>
            <w:kern w:val="0"/>
            <w:u w:val="single"/>
            <w:lang w:val="lt-LT"/>
          </w:rPr>
          <w:t>37 straipsnis</w:t>
        </w:r>
      </w:hyperlink>
      <w:r w:rsidR="000D779E">
        <w:rPr>
          <w:b/>
          <w:bCs/>
          <w:lang w:val="lt-LT"/>
        </w:rPr>
        <w:t>. Užsienio vieneto apmokestinimas</w:t>
      </w:r>
    </w:p>
    <w:p w14:paraId="6A1FDCA7" w14:textId="77777777" w:rsidR="00093845" w:rsidRDefault="00F020FC" w:rsidP="004F24E8">
      <w:pPr>
        <w:tabs>
          <w:tab w:val="left" w:pos="720"/>
          <w:tab w:val="left" w:pos="1077"/>
          <w:tab w:val="left" w:pos="1418"/>
        </w:tabs>
        <w:spacing w:after="0" w:line="240" w:lineRule="auto"/>
        <w:jc w:val="both"/>
        <w:rPr>
          <w:b/>
          <w:bCs/>
          <w:lang w:val="lt-LT"/>
        </w:rPr>
      </w:pPr>
      <w:hyperlink w:anchor="_371_STRAIPSNIS._Pajamų" w:history="1">
        <w:r w:rsidR="000D779E" w:rsidRPr="00EA708E">
          <w:rPr>
            <w:rStyle w:val="Hipersaitas"/>
            <w:rFonts w:ascii="Times New Roman" w:hAnsi="Times New Roman" w:cs="Times New Roman"/>
            <w:color w:val="0000FF"/>
            <w:kern w:val="0"/>
            <w:szCs w:val="22"/>
            <w:u w:val="single"/>
            <w:lang w:val="lt-LT"/>
          </w:rPr>
          <w:t>37</w:t>
        </w:r>
        <w:r w:rsidR="000D779E" w:rsidRPr="00EA708E">
          <w:rPr>
            <w:rStyle w:val="Hipersaitas"/>
            <w:rFonts w:ascii="Times New Roman" w:hAnsi="Times New Roman" w:cs="Times New Roman"/>
            <w:color w:val="0000FF"/>
            <w:kern w:val="0"/>
            <w:szCs w:val="22"/>
            <w:u w:val="single"/>
            <w:vertAlign w:val="superscript"/>
            <w:lang w:val="lt-LT"/>
          </w:rPr>
          <w:t>1</w:t>
        </w:r>
        <w:r w:rsidR="000D779E" w:rsidRPr="00EA708E">
          <w:rPr>
            <w:rStyle w:val="Hipersaitas"/>
            <w:rFonts w:ascii="Times New Roman" w:hAnsi="Times New Roman" w:cs="Times New Roman"/>
            <w:color w:val="0000FF"/>
            <w:kern w:val="0"/>
            <w:szCs w:val="22"/>
            <w:u w:val="single"/>
            <w:lang w:val="lt-LT"/>
          </w:rPr>
          <w:t xml:space="preserve"> straipsnis</w:t>
        </w:r>
      </w:hyperlink>
      <w:r w:rsidR="000D779E" w:rsidRPr="00EA708E">
        <w:rPr>
          <w:b/>
          <w:bCs/>
          <w:color w:val="0000FF"/>
          <w:szCs w:val="22"/>
          <w:u w:val="single"/>
          <w:lang w:val="lt-LT"/>
        </w:rPr>
        <w:t>.</w:t>
      </w:r>
      <w:r w:rsidR="000D779E">
        <w:rPr>
          <w:b/>
          <w:bCs/>
          <w:szCs w:val="22"/>
          <w:lang w:val="lt-LT"/>
        </w:rPr>
        <w:t xml:space="preserve"> Pajamų (sumų), išmokamų užsienio vienetui ar jo nuolatinei buveinei, neapmokestinimo prie pajamų šaltinio kriterijai ir reikalavimai</w:t>
      </w:r>
    </w:p>
    <w:p w14:paraId="6360DF16" w14:textId="77777777" w:rsidR="00093845" w:rsidRDefault="00F020FC" w:rsidP="004F24E8">
      <w:pPr>
        <w:pStyle w:val="Pagrindiniotekstotrauka"/>
        <w:spacing w:after="0" w:line="240" w:lineRule="auto"/>
        <w:ind w:firstLine="0"/>
        <w:rPr>
          <w:rFonts w:ascii="Times New Roman" w:hAnsi="Times New Roman"/>
          <w:b/>
          <w:bCs/>
          <w:color w:val="000000"/>
          <w:lang w:val="lt-LT"/>
        </w:rPr>
      </w:pPr>
      <w:hyperlink w:anchor="_*37(2)_straipsnis._Užsienio" w:history="1">
        <w:r w:rsidR="000D779E">
          <w:rPr>
            <w:rStyle w:val="Hipersaitas"/>
            <w:color w:val="0000FF"/>
            <w:kern w:val="0"/>
            <w:szCs w:val="22"/>
            <w:u w:val="single"/>
            <w:lang w:val="lt-LT"/>
          </w:rPr>
          <w:t>37</w:t>
        </w:r>
        <w:r w:rsidR="000D779E">
          <w:rPr>
            <w:rStyle w:val="Hipersaitas"/>
            <w:color w:val="0000FF"/>
            <w:kern w:val="0"/>
            <w:szCs w:val="22"/>
            <w:u w:val="single"/>
            <w:vertAlign w:val="superscript"/>
            <w:lang w:val="lt-LT"/>
          </w:rPr>
          <w:t>2</w:t>
        </w:r>
        <w:r w:rsidR="000D779E">
          <w:rPr>
            <w:rStyle w:val="Hipersaitas"/>
            <w:color w:val="0000FF"/>
            <w:kern w:val="0"/>
            <w:szCs w:val="22"/>
            <w:u w:val="single"/>
            <w:lang w:val="lt-LT"/>
          </w:rPr>
          <w:t xml:space="preserve"> straipsnis</w:t>
        </w:r>
      </w:hyperlink>
      <w:r w:rsidR="000D779E">
        <w:rPr>
          <w:b/>
          <w:bCs/>
          <w:szCs w:val="22"/>
          <w:lang w:val="lt-LT"/>
        </w:rPr>
        <w:t>. Užsienio vieneto pajamų, gautų ne per jo nuolatines buveines Lietuvos Respublikoje, išvardytų šio Įstatymo 4 straipsnio 4 dalies 1 punkte, specialios apmokestinimo sąlygos</w:t>
      </w:r>
    </w:p>
    <w:p w14:paraId="165B48D4" w14:textId="77777777" w:rsidR="00093845" w:rsidRDefault="00F020FC" w:rsidP="004F24E8">
      <w:pPr>
        <w:pStyle w:val="Antrat1"/>
        <w:spacing w:after="0" w:line="240" w:lineRule="auto"/>
        <w:jc w:val="both"/>
        <w:rPr>
          <w:lang w:val="lt-LT"/>
        </w:rPr>
      </w:pPr>
      <w:hyperlink w:anchor="_*37(3)_straipsnis._Gautos" w:history="1">
        <w:r w:rsidR="000D779E">
          <w:rPr>
            <w:rStyle w:val="Hipersaitas"/>
            <w:b/>
            <w:bCs/>
            <w:color w:val="0000FF"/>
            <w:u w:val="single"/>
            <w:lang w:val="lt-LT"/>
          </w:rPr>
          <w:t>37</w:t>
        </w:r>
        <w:r w:rsidR="000D779E">
          <w:rPr>
            <w:rStyle w:val="Hipersaitas"/>
            <w:b/>
            <w:bCs/>
            <w:color w:val="0000FF"/>
            <w:u w:val="single"/>
            <w:vertAlign w:val="superscript"/>
            <w:lang w:val="lt-LT"/>
          </w:rPr>
          <w:t>3</w:t>
        </w:r>
        <w:r w:rsidR="000D779E">
          <w:rPr>
            <w:rStyle w:val="Hipersaitas"/>
            <w:b/>
            <w:bCs/>
            <w:color w:val="0000FF"/>
            <w:u w:val="single"/>
            <w:lang w:val="lt-LT"/>
          </w:rPr>
          <w:t xml:space="preserve"> straipsnis</w:t>
        </w:r>
      </w:hyperlink>
      <w:r w:rsidR="000D779E">
        <w:rPr>
          <w:lang w:val="lt-LT"/>
        </w:rPr>
        <w:t>. Gautos paramos, panaudotos ne pagal Lietuvos Respublikos labdaros ir paramos įstatyme nustatytą paramos paskirtį, ir grynais pinigais gautos paramos apmokestinimas</w:t>
      </w:r>
    </w:p>
    <w:p w14:paraId="4705ADD4" w14:textId="77777777" w:rsidR="00093845" w:rsidRDefault="00F020FC" w:rsidP="004F24E8">
      <w:pPr>
        <w:spacing w:after="0" w:line="240" w:lineRule="auto"/>
        <w:jc w:val="both"/>
        <w:rPr>
          <w:b/>
          <w:bCs/>
          <w:lang w:val="lt-LT"/>
        </w:rPr>
      </w:pPr>
      <w:hyperlink w:anchor="_38_straipsnis._Turto" w:history="1">
        <w:r w:rsidR="000D779E">
          <w:rPr>
            <w:rStyle w:val="Hipersaitas"/>
            <w:rFonts w:ascii="Times New Roman" w:hAnsi="Times New Roman" w:cs="Times New Roman"/>
            <w:color w:val="0000FF"/>
            <w:kern w:val="0"/>
            <w:u w:val="single"/>
            <w:lang w:val="lt-LT"/>
          </w:rPr>
          <w:t>38 straipsnis</w:t>
        </w:r>
      </w:hyperlink>
      <w:r w:rsidR="000D779E">
        <w:rPr>
          <w:b/>
          <w:bCs/>
          <w:lang w:val="lt-LT"/>
        </w:rPr>
        <w:t xml:space="preserve">. Turto ar turtinio komplekso nuomos apmokestinimo atvejai </w:t>
      </w:r>
    </w:p>
    <w:p w14:paraId="3FEA7C6D" w14:textId="77777777" w:rsidR="00093845" w:rsidRDefault="00F020FC" w:rsidP="004F24E8">
      <w:pPr>
        <w:spacing w:after="0" w:line="240" w:lineRule="auto"/>
        <w:jc w:val="both"/>
        <w:rPr>
          <w:b/>
          <w:lang w:val="lt-LT"/>
        </w:rPr>
      </w:pPr>
      <w:hyperlink w:anchor="_381_STRAIPSNIS._" w:history="1">
        <w:r w:rsidR="000D779E" w:rsidRPr="00EA708E">
          <w:rPr>
            <w:rStyle w:val="Hipersaitas"/>
            <w:rFonts w:ascii="Times New Roman" w:hAnsi="Times New Roman" w:cs="Times New Roman"/>
            <w:color w:val="0000FF"/>
            <w:kern w:val="0"/>
            <w:u w:val="single"/>
            <w:lang w:val="lt-LT"/>
          </w:rPr>
          <w:t>38</w:t>
        </w:r>
        <w:r w:rsidR="000D779E" w:rsidRPr="00EA708E">
          <w:rPr>
            <w:rStyle w:val="Hipersaitas"/>
            <w:rFonts w:ascii="Times New Roman" w:hAnsi="Times New Roman" w:cs="Times New Roman"/>
            <w:color w:val="0000FF"/>
            <w:kern w:val="0"/>
            <w:u w:val="single"/>
            <w:vertAlign w:val="superscript"/>
            <w:lang w:val="lt-LT"/>
          </w:rPr>
          <w:t xml:space="preserve">1 </w:t>
        </w:r>
        <w:r w:rsidR="000D779E" w:rsidRPr="00EA708E">
          <w:rPr>
            <w:rStyle w:val="Hipersaitas"/>
            <w:rFonts w:ascii="Times New Roman" w:hAnsi="Times New Roman" w:cs="Times New Roman"/>
            <w:color w:val="0000FF"/>
            <w:kern w:val="0"/>
            <w:u w:val="single"/>
            <w:lang w:val="lt-LT"/>
          </w:rPr>
          <w:t>straipsnis</w:t>
        </w:r>
      </w:hyperlink>
      <w:r w:rsidR="000D779E" w:rsidRPr="00EA708E">
        <w:rPr>
          <w:rStyle w:val="Hipersaitas"/>
          <w:rFonts w:ascii="Times New Roman" w:hAnsi="Times New Roman" w:cs="Times New Roman"/>
          <w:color w:val="0000FF"/>
          <w:kern w:val="0"/>
          <w:u w:val="single"/>
          <w:lang w:val="lt-LT"/>
        </w:rPr>
        <w:t>.</w:t>
      </w:r>
      <w:r w:rsidR="000D779E" w:rsidRPr="00EA708E">
        <w:rPr>
          <w:b/>
          <w:bCs/>
          <w:color w:val="0000FF"/>
          <w:u w:val="single"/>
          <w:lang w:val="lt-LT"/>
        </w:rPr>
        <w:t xml:space="preserve"> </w:t>
      </w:r>
      <w:r w:rsidR="000D779E">
        <w:rPr>
          <w:b/>
          <w:bCs/>
          <w:color w:val="000000"/>
          <w:lang w:val="lt-LT"/>
        </w:rPr>
        <w:t xml:space="preserve"> </w:t>
      </w:r>
      <w:r w:rsidR="000D779E" w:rsidRPr="0065344A">
        <w:rPr>
          <w:b/>
          <w:sz w:val="22"/>
          <w:szCs w:val="22"/>
          <w:lang w:val="lt-LT"/>
        </w:rPr>
        <w:t>Tarptautinio vežimo jūrų laivais arba tarptautinio vežimo jūrų laivais ir su juo tiesiogiai susijusios veiklos pajamų apmokestinimas</w:t>
      </w:r>
    </w:p>
    <w:p w14:paraId="21B43658" w14:textId="77777777" w:rsidR="00093845" w:rsidRDefault="00F020FC" w:rsidP="004F24E8">
      <w:pPr>
        <w:spacing w:after="0" w:line="240" w:lineRule="auto"/>
        <w:jc w:val="both"/>
        <w:rPr>
          <w:b/>
          <w:bCs/>
          <w:lang w:val="lt-LT"/>
        </w:rPr>
      </w:pPr>
      <w:hyperlink w:anchor="straipsnis38_2p2" w:history="1">
        <w:r w:rsidR="000D779E" w:rsidRPr="0047697F">
          <w:rPr>
            <w:rStyle w:val="Hipersaitas"/>
            <w:rFonts w:ascii="Times New Roman" w:hAnsi="Times New Roman" w:cs="Times New Roman"/>
            <w:color w:val="0000FF"/>
            <w:kern w:val="0"/>
            <w:u w:val="single"/>
            <w:lang w:val="lt-LT"/>
          </w:rPr>
          <w:t>38</w:t>
        </w:r>
        <w:r w:rsidR="000D779E" w:rsidRPr="0047697F">
          <w:rPr>
            <w:rStyle w:val="Hipersaitas"/>
            <w:rFonts w:ascii="Times New Roman" w:hAnsi="Times New Roman" w:cs="Times New Roman"/>
            <w:color w:val="0000FF"/>
            <w:kern w:val="0"/>
            <w:u w:val="single"/>
            <w:vertAlign w:val="superscript"/>
            <w:lang w:val="lt-LT"/>
          </w:rPr>
          <w:t>2</w:t>
        </w:r>
        <w:r w:rsidR="000D779E" w:rsidRPr="0047697F">
          <w:rPr>
            <w:rStyle w:val="Hipersaitas"/>
            <w:rFonts w:ascii="Times New Roman" w:hAnsi="Times New Roman" w:cs="Times New Roman"/>
            <w:color w:val="0000FF"/>
            <w:kern w:val="0"/>
            <w:u w:val="single"/>
            <w:lang w:val="lt-LT"/>
          </w:rPr>
          <w:t xml:space="preserve"> straipsnis.</w:t>
        </w:r>
      </w:hyperlink>
      <w:r w:rsidR="000D779E">
        <w:rPr>
          <w:b/>
          <w:bCs/>
          <w:sz w:val="22"/>
          <w:szCs w:val="22"/>
          <w:lang w:val="lt-LT"/>
        </w:rPr>
        <w:t xml:space="preserve"> </w:t>
      </w:r>
      <w:r w:rsidR="000D779E" w:rsidRPr="00E83A3B">
        <w:rPr>
          <w:b/>
          <w:bCs/>
          <w:lang w:val="lt-LT"/>
        </w:rPr>
        <w:t>Fiksuoto pelno mokesčio apskaičiavimas</w:t>
      </w:r>
    </w:p>
    <w:p w14:paraId="19959228" w14:textId="77777777" w:rsidR="006C0A9B" w:rsidRPr="006C0A9B" w:rsidRDefault="00F020FC" w:rsidP="006C0A9B">
      <w:pPr>
        <w:spacing w:before="100" w:beforeAutospacing="1" w:after="100" w:afterAutospacing="1" w:line="240" w:lineRule="auto"/>
        <w:ind w:left="1832" w:hanging="1832"/>
        <w:jc w:val="both"/>
        <w:rPr>
          <w:lang w:val="lt-LT" w:eastAsia="lt-LT"/>
        </w:rPr>
      </w:pPr>
      <w:hyperlink w:anchor="straipsnis38_3" w:history="1">
        <w:r w:rsidR="006C0A9B" w:rsidRPr="004F530B">
          <w:rPr>
            <w:rStyle w:val="Hipersaitas"/>
            <w:rFonts w:ascii="Times New Roman" w:hAnsi="Times New Roman" w:cs="Times New Roman"/>
            <w:color w:val="0F209D"/>
            <w:kern w:val="0"/>
            <w:u w:val="single"/>
            <w:lang w:val="lt-LT" w:eastAsia="lt-LT"/>
            <w14:textFill>
              <w14:solidFill>
                <w14:srgbClr w14:val="0F209D">
                  <w14:lumMod w14:val="60000"/>
                  <w14:lumOff w14:val="40000"/>
                </w14:srgbClr>
              </w14:solidFill>
            </w14:textFill>
          </w:rPr>
          <w:t>38</w:t>
        </w:r>
        <w:r w:rsidR="006C0A9B" w:rsidRPr="004F530B">
          <w:rPr>
            <w:rStyle w:val="Hipersaitas"/>
            <w:rFonts w:ascii="Times New Roman" w:hAnsi="Times New Roman" w:cs="Times New Roman"/>
            <w:color w:val="0F209D"/>
            <w:kern w:val="0"/>
            <w:u w:val="single"/>
            <w:vertAlign w:val="superscript"/>
            <w:lang w:val="lt-LT" w:eastAsia="lt-LT"/>
            <w14:textFill>
              <w14:solidFill>
                <w14:srgbClr w14:val="0F209D">
                  <w14:lumMod w14:val="60000"/>
                  <w14:lumOff w14:val="40000"/>
                </w14:srgbClr>
              </w14:solidFill>
            </w14:textFill>
          </w:rPr>
          <w:t>3</w:t>
        </w:r>
        <w:r w:rsidR="006C0A9B" w:rsidRPr="004F530B">
          <w:rPr>
            <w:rStyle w:val="Hipersaitas"/>
            <w:rFonts w:ascii="Times New Roman" w:hAnsi="Times New Roman" w:cs="Times New Roman"/>
            <w:color w:val="0F209D"/>
            <w:kern w:val="0"/>
            <w:u w:val="single"/>
            <w:lang w:val="lt-LT" w:eastAsia="lt-LT"/>
            <w14:textFill>
              <w14:solidFill>
                <w14:srgbClr w14:val="0F209D">
                  <w14:lumMod w14:val="60000"/>
                  <w14:lumOff w14:val="40000"/>
                </w14:srgbClr>
              </w14:solidFill>
            </w14:textFill>
          </w:rPr>
          <w:t xml:space="preserve"> straipsnis</w:t>
        </w:r>
      </w:hyperlink>
      <w:r w:rsidR="006C0A9B" w:rsidRPr="006C0A9B">
        <w:rPr>
          <w:b/>
          <w:bCs/>
          <w:sz w:val="22"/>
          <w:szCs w:val="22"/>
          <w:lang w:val="lt-LT" w:eastAsia="lt-LT"/>
        </w:rPr>
        <w:t>. Papildomo kredito įstaigų pelno mokesčio apskaičiavimas, deklaravimas ir sumokėjimas</w:t>
      </w:r>
    </w:p>
    <w:p w14:paraId="1A14C740" w14:textId="77777777" w:rsidR="00093845" w:rsidRDefault="00F020FC" w:rsidP="004F24E8">
      <w:pPr>
        <w:spacing w:after="0" w:line="240" w:lineRule="auto"/>
        <w:jc w:val="both"/>
        <w:rPr>
          <w:b/>
          <w:lang w:val="lt-LT"/>
        </w:rPr>
      </w:pPr>
      <w:hyperlink w:anchor="_39_straipsnis._Kontroliuojamųjų_" w:history="1">
        <w:r w:rsidR="000D779E">
          <w:rPr>
            <w:rStyle w:val="Hipersaitas"/>
            <w:rFonts w:ascii="Times New Roman" w:hAnsi="Times New Roman" w:cs="Times New Roman"/>
            <w:bCs w:val="0"/>
            <w:color w:val="0000FF"/>
            <w:kern w:val="0"/>
            <w:u w:val="single"/>
            <w:lang w:val="lt-LT"/>
          </w:rPr>
          <w:t>39 straipsnis</w:t>
        </w:r>
      </w:hyperlink>
      <w:r w:rsidR="000D779E">
        <w:rPr>
          <w:b/>
          <w:lang w:val="lt-LT"/>
        </w:rPr>
        <w:t>. Kontroliuojamųjų užsienio vienetų pajamų apmokestinimas</w:t>
      </w:r>
    </w:p>
    <w:p w14:paraId="2A2C9700" w14:textId="77777777" w:rsidR="00093845" w:rsidRDefault="00F020FC" w:rsidP="004F24E8">
      <w:pPr>
        <w:spacing w:after="0" w:line="240" w:lineRule="auto"/>
        <w:jc w:val="both"/>
        <w:rPr>
          <w:b/>
          <w:bCs/>
          <w:lang w:val="lt-LT"/>
        </w:rPr>
      </w:pPr>
      <w:hyperlink w:anchor="_39-1_straipsnis._Europos" w:history="1">
        <w:r w:rsidR="000D779E">
          <w:rPr>
            <w:rStyle w:val="Hipersaitas"/>
            <w:rFonts w:ascii="Times New Roman" w:hAnsi="Times New Roman"/>
            <w:color w:val="0000FF"/>
            <w:u w:val="single"/>
          </w:rPr>
          <w:t>39</w:t>
        </w:r>
        <w:r w:rsidR="000B1810">
          <w:rPr>
            <w:rStyle w:val="Hipersaitas"/>
            <w:rFonts w:ascii="Times New Roman" w:hAnsi="Times New Roman"/>
            <w:color w:val="0000FF"/>
            <w:u w:val="single"/>
            <w:vertAlign w:val="superscript"/>
          </w:rPr>
          <w:t>1</w:t>
        </w:r>
        <w:r w:rsidR="000D779E">
          <w:rPr>
            <w:rStyle w:val="Hipersaitas"/>
            <w:rFonts w:ascii="Times New Roman" w:hAnsi="Times New Roman"/>
            <w:color w:val="0000FF"/>
            <w:u w:val="single"/>
          </w:rPr>
          <w:t xml:space="preserve"> straipsnis.</w:t>
        </w:r>
      </w:hyperlink>
      <w:r w:rsidR="000D779E">
        <w:rPr>
          <w:b/>
          <w:bCs/>
          <w:szCs w:val="22"/>
          <w:lang w:val="lt-LT"/>
        </w:rPr>
        <w:t xml:space="preserve">  Europos ekonominių interesų grupės pajamų bei sąnaudų priskyrimas jos dalyviams ir apmokestinimas</w:t>
      </w:r>
    </w:p>
    <w:p w14:paraId="0BA9B00C" w14:textId="77777777" w:rsidR="00093845" w:rsidRDefault="00F020FC" w:rsidP="004F24E8">
      <w:pPr>
        <w:pStyle w:val="Pagrindiniotekstotrauka2"/>
        <w:spacing w:after="0" w:line="240" w:lineRule="auto"/>
        <w:ind w:firstLine="0"/>
        <w:rPr>
          <w:szCs w:val="18"/>
        </w:rPr>
      </w:pPr>
      <w:hyperlink w:anchor="_40_STRAIPSNIS._Sandorių" w:history="1">
        <w:r w:rsidR="000D779E">
          <w:rPr>
            <w:rStyle w:val="Hipersaitas"/>
            <w:rFonts w:ascii="Times New Roman" w:hAnsi="Times New Roman" w:cs="Times New Roman"/>
            <w:b/>
            <w:bCs/>
            <w:color w:val="0000FF"/>
            <w:kern w:val="0"/>
            <w:szCs w:val="18"/>
            <w:u w:val="single"/>
            <w:lang w:val="lt-LT"/>
          </w:rPr>
          <w:t>40 straipsnis</w:t>
        </w:r>
      </w:hyperlink>
      <w:r w:rsidR="000D779E">
        <w:rPr>
          <w:szCs w:val="18"/>
        </w:rPr>
        <w:t>. Sandorių arba ūkinių operacijų vertės koregavimas ir pajamų ar išmokų apibūdinimas iš naujo</w:t>
      </w:r>
    </w:p>
    <w:p w14:paraId="07D3760F" w14:textId="77777777" w:rsidR="006C0A9B" w:rsidRDefault="00F020FC" w:rsidP="006C0A9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hyperlink w:anchor="straipsnis40_1p" w:history="1">
        <w:r w:rsidR="000D779E">
          <w:rPr>
            <w:rStyle w:val="Hipersaitas"/>
            <w:rFonts w:ascii="Times New Roman" w:hAnsi="Times New Roman"/>
            <w:color w:val="0000FF"/>
            <w:kern w:val="0"/>
            <w:szCs w:val="20"/>
            <w:u w:val="single"/>
            <w:lang w:val="lt-LT"/>
          </w:rPr>
          <w:t>40</w:t>
        </w:r>
        <w:r w:rsidR="00B679ED">
          <w:rPr>
            <w:rStyle w:val="Hipersaitas"/>
            <w:rFonts w:ascii="Times New Roman" w:hAnsi="Times New Roman"/>
            <w:color w:val="0000FF"/>
            <w:kern w:val="0"/>
            <w:szCs w:val="20"/>
            <w:u w:val="single"/>
            <w:vertAlign w:val="superscript"/>
            <w:lang w:val="lt-LT"/>
          </w:rPr>
          <w:t>1</w:t>
        </w:r>
        <w:r w:rsidR="000D779E">
          <w:rPr>
            <w:rStyle w:val="Hipersaitas"/>
            <w:rFonts w:ascii="Times New Roman" w:hAnsi="Times New Roman"/>
            <w:color w:val="0000FF"/>
            <w:kern w:val="0"/>
            <w:szCs w:val="20"/>
            <w:u w:val="single"/>
            <w:lang w:val="lt-LT"/>
          </w:rPr>
          <w:t xml:space="preserve"> straipsnis</w:t>
        </w:r>
      </w:hyperlink>
      <w:r w:rsidR="000D779E">
        <w:rPr>
          <w:rFonts w:ascii="Times New Roman" w:hAnsi="Times New Roman"/>
          <w:b/>
          <w:bCs/>
          <w:sz w:val="24"/>
          <w:lang w:val="lt-LT"/>
        </w:rPr>
        <w:t xml:space="preserve">. Fiziniams asmenims paskirstyto pelno apmokestinimas pelno mokesčiu </w:t>
      </w:r>
    </w:p>
    <w:p w14:paraId="5664CBAE" w14:textId="77777777" w:rsidR="006C0A9B" w:rsidRPr="006C0A9B" w:rsidRDefault="00F020FC" w:rsidP="006C0A9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cs="Times New Roman"/>
          <w:sz w:val="24"/>
          <w:szCs w:val="24"/>
          <w:lang w:val="lt-LT" w:eastAsia="lt-LT"/>
        </w:rPr>
      </w:pPr>
      <w:hyperlink w:anchor="straipsnis40_2p" w:history="1">
        <w:r w:rsidR="006C0A9B" w:rsidRPr="00AE3BF7">
          <w:rPr>
            <w:rStyle w:val="Hipersaitas"/>
            <w:rFonts w:ascii="Times New Roman" w:hAnsi="Times New Roman" w:cs="Times New Roman"/>
            <w:color w:val="103DFC"/>
            <w:kern w:val="0"/>
            <w:u w:val="single"/>
            <w:lang w:val="lt-LT" w:eastAsia="lt-LT"/>
            <w14:textFill>
              <w14:solidFill>
                <w14:srgbClr w14:val="103DFC">
                  <w14:lumMod w14:val="60000"/>
                  <w14:lumOff w14:val="40000"/>
                </w14:srgbClr>
              </w14:solidFill>
            </w14:textFill>
          </w:rPr>
          <w:t>40</w:t>
        </w:r>
        <w:r w:rsidR="006C0A9B" w:rsidRPr="00AE3BF7">
          <w:rPr>
            <w:rStyle w:val="Hipersaitas"/>
            <w:rFonts w:ascii="Times New Roman" w:hAnsi="Times New Roman" w:cs="Times New Roman"/>
            <w:color w:val="103DFC"/>
            <w:kern w:val="0"/>
            <w:u w:val="single"/>
            <w:vertAlign w:val="superscript"/>
            <w:lang w:val="lt-LT" w:eastAsia="lt-LT"/>
            <w14:textFill>
              <w14:solidFill>
                <w14:srgbClr w14:val="103DFC">
                  <w14:lumMod w14:val="60000"/>
                  <w14:lumOff w14:val="40000"/>
                </w14:srgbClr>
              </w14:solidFill>
            </w14:textFill>
          </w:rPr>
          <w:t>2</w:t>
        </w:r>
        <w:r w:rsidR="006C0A9B" w:rsidRPr="00AE3BF7">
          <w:rPr>
            <w:rStyle w:val="Hipersaitas"/>
            <w:rFonts w:ascii="Times New Roman" w:hAnsi="Times New Roman" w:cs="Times New Roman"/>
            <w:color w:val="103DFC"/>
            <w:kern w:val="0"/>
            <w:u w:val="single"/>
            <w:lang w:val="lt-LT" w:eastAsia="lt-LT"/>
            <w14:textFill>
              <w14:solidFill>
                <w14:srgbClr w14:val="103DFC">
                  <w14:lumMod w14:val="60000"/>
                  <w14:lumOff w14:val="40000"/>
                </w14:srgbClr>
              </w14:solidFill>
            </w14:textFill>
          </w:rPr>
          <w:t xml:space="preserve"> straipsnis</w:t>
        </w:r>
      </w:hyperlink>
      <w:r w:rsidR="006C0A9B" w:rsidRPr="00D14BCE">
        <w:rPr>
          <w:rFonts w:ascii="Times New Roman" w:hAnsi="Times New Roman" w:cs="Times New Roman"/>
          <w:b/>
          <w:bCs/>
          <w:color w:val="0033CC"/>
          <w:sz w:val="24"/>
          <w:szCs w:val="24"/>
          <w:lang w:val="lt-LT" w:eastAsia="lt-LT"/>
        </w:rPr>
        <w:t>.</w:t>
      </w:r>
      <w:r w:rsidR="006C0A9B" w:rsidRPr="006C0A9B">
        <w:rPr>
          <w:rFonts w:ascii="Times New Roman" w:hAnsi="Times New Roman" w:cs="Times New Roman"/>
          <w:b/>
          <w:bCs/>
          <w:sz w:val="24"/>
          <w:szCs w:val="24"/>
          <w:lang w:val="lt-LT" w:eastAsia="lt-LT"/>
        </w:rPr>
        <w:t xml:space="preserve"> Turto perkėlimo apmokestinimas</w:t>
      </w:r>
    </w:p>
    <w:p w14:paraId="73E6AED2" w14:textId="77777777" w:rsidR="006C0A9B" w:rsidRDefault="006C0A9B"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p>
    <w:p w14:paraId="73CD9B9B" w14:textId="77777777" w:rsidR="00093845" w:rsidRDefault="000D779E"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r>
        <w:rPr>
          <w:rFonts w:ascii="Times New Roman" w:hAnsi="Times New Roman"/>
          <w:b/>
          <w:bCs/>
          <w:sz w:val="24"/>
          <w:lang w:val="lt-LT"/>
        </w:rPr>
        <w:t>IX SKYRIUS   REORGANIZAVIMO, PERLEIDIMO, LIKVIDAVIMO PASKIRŲ ATVEJŲ APMOKESTINIMAS, TURTO VERTĖS PAJAMŲ BEI NUOSTOLIŲ PRIPAŽINIMAS TAM TIKRAIS REORGANIZAVIMO, LIKVIDAVIMO, PERLEIDIMO ATVEJAIS</w:t>
      </w:r>
    </w:p>
    <w:p w14:paraId="31D78A1D" w14:textId="77777777" w:rsidR="00093845" w:rsidRDefault="00F020FC" w:rsidP="004F24E8">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jc w:val="both"/>
        <w:rPr>
          <w:rFonts w:ascii="Times New Roman" w:hAnsi="Times New Roman"/>
          <w:b/>
          <w:bCs/>
          <w:sz w:val="24"/>
          <w:lang w:val="lt-LT"/>
        </w:rPr>
      </w:pPr>
      <w:hyperlink w:anchor="_41_straipsnis._Reorganizavimo" w:history="1">
        <w:r w:rsidR="000D779E">
          <w:rPr>
            <w:rStyle w:val="Hipersaitas"/>
            <w:rFonts w:ascii="Times New Roman" w:hAnsi="Times New Roman"/>
            <w:color w:val="0000FF"/>
            <w:kern w:val="0"/>
            <w:szCs w:val="20"/>
            <w:u w:val="single"/>
            <w:lang w:val="lt-LT"/>
          </w:rPr>
          <w:t>41 straipsnis</w:t>
        </w:r>
      </w:hyperlink>
      <w:r w:rsidR="000D779E">
        <w:rPr>
          <w:rFonts w:ascii="Times New Roman" w:hAnsi="Times New Roman"/>
          <w:b/>
          <w:bCs/>
          <w:sz w:val="24"/>
          <w:lang w:val="lt-LT"/>
        </w:rPr>
        <w:t>. Reorganizavimo ar perleidimo atvejai</w:t>
      </w:r>
    </w:p>
    <w:p w14:paraId="34DA374E" w14:textId="77777777" w:rsidR="00093845" w:rsidRDefault="00F020FC" w:rsidP="004F24E8">
      <w:pPr>
        <w:spacing w:after="0" w:line="240" w:lineRule="auto"/>
        <w:rPr>
          <w:b/>
          <w:bCs/>
          <w:lang w:val="lt-LT"/>
        </w:rPr>
      </w:pPr>
      <w:hyperlink w:anchor="_42_STRAIPSNIS._Turto" w:history="1">
        <w:r w:rsidR="000D779E" w:rsidRPr="00EA708E">
          <w:rPr>
            <w:rStyle w:val="Hipersaitas"/>
            <w:rFonts w:ascii="Times New Roman" w:hAnsi="Times New Roman" w:cs="Times New Roman"/>
            <w:color w:val="0000FF"/>
            <w:kern w:val="0"/>
            <w:u w:val="single"/>
            <w:lang w:val="lt-LT"/>
          </w:rPr>
          <w:t>42 straipsnis</w:t>
        </w:r>
      </w:hyperlink>
      <w:r w:rsidR="000D779E" w:rsidRPr="00EA708E">
        <w:rPr>
          <w:b/>
          <w:bCs/>
          <w:color w:val="0000FF"/>
          <w:u w:val="single"/>
          <w:lang w:val="lt-LT"/>
        </w:rPr>
        <w:t>.</w:t>
      </w:r>
      <w:r w:rsidR="000D779E">
        <w:rPr>
          <w:b/>
          <w:bCs/>
          <w:lang w:val="lt-LT"/>
        </w:rPr>
        <w:t xml:space="preserve"> Turto vertės padidėjimo pajamos vienetus reorganizuojant, turtą perleidžiant ar pertvarkant</w:t>
      </w:r>
    </w:p>
    <w:p w14:paraId="32886ABA" w14:textId="77777777" w:rsidR="00093845" w:rsidRDefault="00F020FC" w:rsidP="004F24E8">
      <w:pPr>
        <w:spacing w:after="0" w:line="240" w:lineRule="auto"/>
        <w:rPr>
          <w:b/>
          <w:bCs/>
          <w:lang w:val="lt-LT"/>
        </w:rPr>
      </w:pPr>
      <w:hyperlink w:anchor="_43_straipsnis._Nuostoliai" w:history="1">
        <w:r w:rsidR="000D779E">
          <w:rPr>
            <w:rStyle w:val="Hipersaitas"/>
            <w:rFonts w:ascii="Times New Roman" w:hAnsi="Times New Roman" w:cs="Times New Roman"/>
            <w:color w:val="0000FF"/>
            <w:kern w:val="0"/>
            <w:u w:val="single"/>
            <w:lang w:val="lt-LT"/>
          </w:rPr>
          <w:t>43 straipsnis</w:t>
        </w:r>
      </w:hyperlink>
      <w:r w:rsidR="000D779E">
        <w:rPr>
          <w:b/>
          <w:bCs/>
          <w:lang w:val="lt-LT"/>
        </w:rPr>
        <w:t>. Nuostoliai vienetus reorganizuojant, pertvarkant</w:t>
      </w:r>
    </w:p>
    <w:p w14:paraId="36732EAC" w14:textId="77777777" w:rsidR="00093845" w:rsidRDefault="00F020FC" w:rsidP="004F24E8">
      <w:pPr>
        <w:spacing w:after="0" w:line="240" w:lineRule="auto"/>
        <w:jc w:val="both"/>
        <w:rPr>
          <w:b/>
          <w:bCs/>
          <w:lang w:val="lt-LT" w:eastAsia="lt-LT"/>
        </w:rPr>
      </w:pPr>
      <w:hyperlink w:anchor="_44_straipsnis._Nuolatinės" w:history="1">
        <w:r w:rsidR="000D779E">
          <w:rPr>
            <w:rStyle w:val="Hipersaitas"/>
            <w:rFonts w:ascii="Times New Roman" w:hAnsi="Times New Roman" w:cs="Times New Roman"/>
            <w:color w:val="0000FF"/>
            <w:kern w:val="0"/>
            <w:u w:val="single"/>
            <w:lang w:val="lt-LT" w:eastAsia="lt-LT"/>
          </w:rPr>
          <w:t>44 straipsnis</w:t>
        </w:r>
      </w:hyperlink>
      <w:r w:rsidR="000D779E">
        <w:rPr>
          <w:b/>
          <w:bCs/>
          <w:lang w:val="lt-LT" w:eastAsia="lt-LT"/>
        </w:rPr>
        <w:t xml:space="preserve">. Nuolatinės buveinės perleidimo nuostolis </w:t>
      </w:r>
    </w:p>
    <w:p w14:paraId="7BD252CC" w14:textId="77777777" w:rsidR="00093845" w:rsidRDefault="00F020FC" w:rsidP="004F24E8">
      <w:pPr>
        <w:spacing w:after="0" w:line="240" w:lineRule="auto"/>
        <w:jc w:val="both"/>
        <w:rPr>
          <w:b/>
          <w:bCs/>
          <w:lang w:val="lt-LT"/>
        </w:rPr>
      </w:pPr>
      <w:hyperlink w:anchor="_45_straipsnis._Turto" w:history="1">
        <w:r w:rsidR="000D779E">
          <w:rPr>
            <w:rStyle w:val="Hipersaitas"/>
            <w:rFonts w:ascii="Times New Roman" w:hAnsi="Times New Roman" w:cs="Times New Roman"/>
            <w:color w:val="0000FF"/>
            <w:kern w:val="0"/>
            <w:u w:val="single"/>
            <w:lang w:val="lt-LT"/>
          </w:rPr>
          <w:t>45 straipsnis</w:t>
        </w:r>
      </w:hyperlink>
      <w:r w:rsidR="000D779E">
        <w:rPr>
          <w:b/>
          <w:bCs/>
          <w:lang w:val="lt-LT"/>
        </w:rPr>
        <w:t>. Turto vertės padidėjimo pajamos bei nuostoliai įmones likviduojant</w:t>
      </w:r>
    </w:p>
    <w:p w14:paraId="4EBF65E7" w14:textId="77777777" w:rsidR="00093845" w:rsidRDefault="00F020FC" w:rsidP="004F24E8">
      <w:pPr>
        <w:pStyle w:val="HTMLiankstoformatuotas"/>
        <w:tabs>
          <w:tab w:val="left" w:pos="720"/>
          <w:tab w:val="left" w:pos="1077"/>
          <w:tab w:val="left" w:pos="1418"/>
        </w:tabs>
        <w:spacing w:after="0" w:line="240" w:lineRule="auto"/>
        <w:jc w:val="both"/>
        <w:rPr>
          <w:rFonts w:ascii="Times New Roman" w:hAnsi="Times New Roman"/>
          <w:b/>
          <w:bCs/>
          <w:sz w:val="24"/>
          <w:lang w:val="lt-LT"/>
        </w:rPr>
      </w:pPr>
      <w:hyperlink w:anchor="_46_straipsnis._Apskaitos" w:history="1">
        <w:r w:rsidR="000D779E">
          <w:rPr>
            <w:rStyle w:val="Hipersaitas"/>
            <w:rFonts w:ascii="Times New Roman" w:hAnsi="Times New Roman"/>
            <w:color w:val="0000FF"/>
            <w:kern w:val="0"/>
            <w:szCs w:val="20"/>
            <w:u w:val="single"/>
            <w:lang w:val="lt-LT"/>
          </w:rPr>
          <w:t>46 straipsnis</w:t>
        </w:r>
      </w:hyperlink>
      <w:r w:rsidR="000D779E">
        <w:rPr>
          <w:rFonts w:ascii="Times New Roman" w:hAnsi="Times New Roman"/>
          <w:b/>
          <w:bCs/>
          <w:sz w:val="24"/>
          <w:lang w:val="lt-LT"/>
        </w:rPr>
        <w:t>. Apskaitos ataskaitos</w:t>
      </w:r>
    </w:p>
    <w:p w14:paraId="1FB52A42" w14:textId="77777777" w:rsidR="00093845" w:rsidRDefault="000D779E" w:rsidP="004F24E8">
      <w:pPr>
        <w:pStyle w:val="Antrat1"/>
        <w:keepNext w:val="0"/>
        <w:tabs>
          <w:tab w:val="left" w:pos="720"/>
          <w:tab w:val="left" w:pos="1080"/>
        </w:tabs>
        <w:spacing w:after="0" w:line="240" w:lineRule="auto"/>
        <w:jc w:val="both"/>
        <w:rPr>
          <w:rFonts w:ascii="Times New Roman" w:hAnsi="Times New Roman" w:cs="Times New Roman"/>
          <w:lang w:val="lt-LT"/>
        </w:rPr>
      </w:pPr>
      <w:r>
        <w:rPr>
          <w:rFonts w:ascii="Times New Roman" w:hAnsi="Times New Roman" w:cs="Times New Roman"/>
          <w:lang w:val="lt-LT"/>
        </w:rPr>
        <w:t>IX-1 SKYRIUS APMOKESTINAMOJO PELNO SUMAŽINIMAS</w:t>
      </w:r>
    </w:p>
    <w:p w14:paraId="0422E991" w14:textId="77777777" w:rsidR="00093845" w:rsidRDefault="00F020FC" w:rsidP="004F24E8">
      <w:pPr>
        <w:pStyle w:val="Antrat1"/>
        <w:keepNext w:val="0"/>
        <w:tabs>
          <w:tab w:val="left" w:pos="720"/>
          <w:tab w:val="left" w:pos="1080"/>
        </w:tabs>
        <w:spacing w:after="0" w:line="240" w:lineRule="auto"/>
        <w:jc w:val="both"/>
        <w:rPr>
          <w:rFonts w:ascii="Times New Roman" w:hAnsi="Times New Roman" w:cs="Times New Roman"/>
          <w:lang w:val="lt-LT"/>
        </w:rPr>
      </w:pPr>
      <w:hyperlink w:anchor="straipsnis46_1p" w:history="1">
        <w:r w:rsidR="000D779E">
          <w:rPr>
            <w:rStyle w:val="Hipersaitas"/>
            <w:rFonts w:ascii="Times New Roman" w:hAnsi="Times New Roman" w:cs="Times New Roman"/>
            <w:b/>
            <w:bCs/>
            <w:color w:val="0000FF"/>
            <w:u w:val="single"/>
            <w:lang w:val="lt-LT"/>
          </w:rPr>
          <w:t>46</w:t>
        </w:r>
        <w:r w:rsidR="000D779E">
          <w:rPr>
            <w:bCs w:val="0"/>
            <w:color w:val="0000FF"/>
            <w:u w:val="single"/>
            <w:vertAlign w:val="superscript"/>
            <w:lang w:val="lt-LT" w:eastAsia="lt-LT"/>
          </w:rPr>
          <w:t>1</w:t>
        </w:r>
        <w:r w:rsidR="000D779E">
          <w:rPr>
            <w:rStyle w:val="Hipersaitas"/>
            <w:rFonts w:ascii="Times New Roman" w:hAnsi="Times New Roman" w:cs="Times New Roman"/>
            <w:b/>
            <w:bCs/>
            <w:color w:val="0000FF"/>
            <w:u w:val="single"/>
            <w:lang w:val="lt-LT"/>
          </w:rPr>
          <w:t xml:space="preserve"> straipsnis</w:t>
        </w:r>
      </w:hyperlink>
      <w:r w:rsidR="000D779E">
        <w:rPr>
          <w:rFonts w:ascii="Times New Roman" w:hAnsi="Times New Roman" w:cs="Times New Roman"/>
          <w:lang w:val="lt-LT"/>
        </w:rPr>
        <w:t>. Apmokestinamojo pelno sumažinimas dėl vykdomo investicinio projekto</w:t>
      </w:r>
    </w:p>
    <w:p w14:paraId="4A670D02" w14:textId="77777777" w:rsidR="00093845" w:rsidRDefault="00F020FC" w:rsidP="004F24E8">
      <w:pPr>
        <w:spacing w:after="0" w:line="240" w:lineRule="auto"/>
        <w:jc w:val="both"/>
        <w:rPr>
          <w:u w:val="single"/>
          <w:lang w:val="lt-LT" w:eastAsia="lt-LT"/>
        </w:rPr>
      </w:pPr>
      <w:hyperlink w:anchor="P132099_23" w:history="1">
        <w:r w:rsidR="000D779E">
          <w:rPr>
            <w:rStyle w:val="Hipersaitas"/>
            <w:rFonts w:ascii="Times New Roman" w:hAnsi="Times New Roman" w:cs="Times New Roman"/>
            <w:color w:val="0000FF"/>
            <w:kern w:val="0"/>
            <w:u w:val="single"/>
            <w:lang w:val="lt-LT" w:eastAsia="lt-LT"/>
          </w:rPr>
          <w:t>46</w:t>
        </w:r>
        <w:r w:rsidR="000D779E">
          <w:rPr>
            <w:rStyle w:val="Hipersaitas"/>
            <w:rFonts w:ascii="Times New Roman" w:hAnsi="Times New Roman" w:cs="Times New Roman"/>
            <w:color w:val="0000FF"/>
            <w:kern w:val="0"/>
            <w:u w:val="single"/>
            <w:vertAlign w:val="superscript"/>
            <w:lang w:val="lt-LT" w:eastAsia="lt-LT"/>
          </w:rPr>
          <w:t>2</w:t>
        </w:r>
        <w:r w:rsidR="000D779E">
          <w:rPr>
            <w:rStyle w:val="Hipersaitas"/>
            <w:rFonts w:ascii="Times New Roman" w:hAnsi="Times New Roman" w:cs="Times New Roman"/>
            <w:color w:val="0000FF"/>
            <w:kern w:val="0"/>
            <w:u w:val="single"/>
            <w:lang w:val="lt-LT" w:eastAsia="lt-LT"/>
          </w:rPr>
          <w:t xml:space="preserve"> straipsnis</w:t>
        </w:r>
      </w:hyperlink>
      <w:r w:rsidR="000D779E">
        <w:rPr>
          <w:b/>
          <w:bCs/>
          <w:color w:val="0000FF"/>
          <w:lang w:val="lt-LT" w:eastAsia="lt-LT"/>
        </w:rPr>
        <w:t>.</w:t>
      </w:r>
      <w:r w:rsidR="000D779E">
        <w:rPr>
          <w:b/>
          <w:bCs/>
          <w:lang w:val="lt-LT" w:eastAsia="lt-LT"/>
        </w:rPr>
        <w:t xml:space="preserve"> Pelno mokesčio sumažinimas dėl filmo ar jo dalies gamybai neatlygintinai suteiktų lėšų  </w:t>
      </w:r>
    </w:p>
    <w:p w14:paraId="6E6ADB71" w14:textId="77777777" w:rsidR="00093845" w:rsidRDefault="00F020FC" w:rsidP="004F24E8">
      <w:pPr>
        <w:pStyle w:val="Antrat1"/>
        <w:keepNext w:val="0"/>
        <w:tabs>
          <w:tab w:val="left" w:pos="720"/>
          <w:tab w:val="left" w:pos="1080"/>
        </w:tabs>
        <w:spacing w:after="0" w:line="240" w:lineRule="auto"/>
        <w:jc w:val="both"/>
        <w:rPr>
          <w:rFonts w:ascii="Times New Roman" w:hAnsi="Times New Roman" w:cs="Times New Roman"/>
          <w:lang w:val="lt-LT"/>
        </w:rPr>
      </w:pPr>
      <w:hyperlink w:anchor="_463_STRAIPSNIS._" w:history="1">
        <w:r w:rsidR="000D779E">
          <w:rPr>
            <w:rStyle w:val="Hipersaitas"/>
            <w:rFonts w:ascii="Times New Roman" w:hAnsi="Times New Roman" w:cs="Times New Roman"/>
            <w:b/>
            <w:color w:val="0000FF"/>
            <w:u w:val="single"/>
            <w:lang w:val="lt-LT"/>
          </w:rPr>
          <w:t>46</w:t>
        </w:r>
        <w:r w:rsidR="000D779E">
          <w:rPr>
            <w:rStyle w:val="Hipersaitas"/>
            <w:rFonts w:ascii="Times New Roman" w:hAnsi="Times New Roman" w:cs="Times New Roman"/>
            <w:b/>
            <w:color w:val="0000FF"/>
            <w:u w:val="single"/>
            <w:vertAlign w:val="superscript"/>
            <w:lang w:val="lt-LT"/>
          </w:rPr>
          <w:t xml:space="preserve">3 </w:t>
        </w:r>
        <w:r w:rsidR="000D779E">
          <w:rPr>
            <w:rStyle w:val="Hipersaitas"/>
            <w:rFonts w:ascii="Times New Roman" w:hAnsi="Times New Roman" w:cs="Times New Roman"/>
            <w:b/>
            <w:color w:val="0000FF"/>
            <w:u w:val="single"/>
            <w:lang w:val="lt-LT"/>
          </w:rPr>
          <w:t>straipsnis.</w:t>
        </w:r>
      </w:hyperlink>
      <w:r w:rsidR="000D779E">
        <w:rPr>
          <w:rFonts w:ascii="Times New Roman" w:hAnsi="Times New Roman" w:cs="Times New Roman"/>
          <w:b w:val="0"/>
          <w:color w:val="0000FF"/>
          <w:u w:val="single"/>
          <w:lang w:val="lt-LT"/>
        </w:rPr>
        <w:t xml:space="preserve"> </w:t>
      </w:r>
      <w:r w:rsidR="000D779E">
        <w:rPr>
          <w:rFonts w:ascii="Times New Roman" w:hAnsi="Times New Roman" w:cs="Times New Roman"/>
          <w:lang w:val="lt-LT"/>
        </w:rPr>
        <w:t>Apmokestinamojo pelno sumažinimas lėšomis, skiriamomis viešuosius interesus tenkinančiai veiklai finansuoti</w:t>
      </w:r>
    </w:p>
    <w:p w14:paraId="14717677" w14:textId="77777777" w:rsidR="00093845" w:rsidRDefault="000D779E" w:rsidP="004F24E8">
      <w:pPr>
        <w:spacing w:after="0" w:line="240" w:lineRule="auto"/>
        <w:rPr>
          <w:b/>
          <w:lang w:val="lt-LT"/>
        </w:rPr>
      </w:pPr>
      <w:r>
        <w:rPr>
          <w:b/>
          <w:lang w:val="lt-LT"/>
        </w:rPr>
        <w:t>X SKYRIUS  PELNO MOKESČIO APSKAIČIAVIMAS, SUMOKĖJIMAS, IŠIEŠKOJIMAS IR GRĄŽINIMAS</w:t>
      </w:r>
    </w:p>
    <w:p w14:paraId="5FDA62CF" w14:textId="77777777" w:rsidR="00093845" w:rsidRDefault="00F020FC" w:rsidP="004F24E8">
      <w:pPr>
        <w:tabs>
          <w:tab w:val="left" w:pos="720"/>
          <w:tab w:val="left" w:pos="1077"/>
          <w:tab w:val="left" w:pos="1418"/>
        </w:tabs>
        <w:spacing w:after="0" w:line="240" w:lineRule="auto"/>
        <w:jc w:val="both"/>
        <w:rPr>
          <w:szCs w:val="20"/>
          <w:lang w:val="lt-LT"/>
        </w:rPr>
      </w:pPr>
      <w:hyperlink w:anchor="_47_straipsnis._Avansinio" w:history="1">
        <w:r w:rsidR="000D779E">
          <w:rPr>
            <w:rStyle w:val="Hipersaitas"/>
            <w:rFonts w:ascii="Times New Roman" w:hAnsi="Times New Roman" w:cs="Times New Roman"/>
            <w:color w:val="0000FF"/>
            <w:kern w:val="0"/>
            <w:u w:val="single"/>
            <w:lang w:val="lt-LT"/>
          </w:rPr>
          <w:t>47 straipsnis</w:t>
        </w:r>
      </w:hyperlink>
      <w:r w:rsidR="000D779E">
        <w:rPr>
          <w:b/>
          <w:bCs/>
          <w:lang w:val="lt-LT"/>
        </w:rPr>
        <w:t>. Avansinio pelno mokesčio apskaičiavimas ir sumokėjimas</w:t>
      </w:r>
    </w:p>
    <w:p w14:paraId="580D8626" w14:textId="77777777" w:rsidR="00093845" w:rsidRDefault="00F020FC" w:rsidP="004F24E8">
      <w:pPr>
        <w:pStyle w:val="HTMLiankstoformatuotas"/>
        <w:tabs>
          <w:tab w:val="left" w:pos="720"/>
          <w:tab w:val="left" w:pos="1077"/>
          <w:tab w:val="left" w:pos="1418"/>
        </w:tabs>
        <w:spacing w:after="0" w:line="240" w:lineRule="auto"/>
        <w:jc w:val="both"/>
        <w:rPr>
          <w:rFonts w:ascii="Times New Roman" w:hAnsi="Times New Roman" w:cs="Times New Roman"/>
          <w:b/>
          <w:bCs/>
          <w:sz w:val="24"/>
          <w:lang w:val="lt-LT"/>
        </w:rPr>
      </w:pPr>
      <w:hyperlink w:anchor="_48_STRAIPSNIS._Pelno_1" w:history="1">
        <w:r w:rsidR="000D779E" w:rsidRPr="00090180">
          <w:rPr>
            <w:rStyle w:val="Hipersaitas"/>
            <w:rFonts w:ascii="Times New Roman" w:hAnsi="Times New Roman" w:cs="Times New Roman"/>
            <w:bCs w:val="0"/>
            <w:color w:val="0000FF"/>
            <w:kern w:val="0"/>
            <w:szCs w:val="20"/>
            <w:u w:val="single"/>
            <w:lang w:val="lt-LT"/>
          </w:rPr>
          <w:t>48 straipsnis</w:t>
        </w:r>
      </w:hyperlink>
      <w:r w:rsidR="000D779E" w:rsidRPr="00090180">
        <w:rPr>
          <w:rFonts w:ascii="Times New Roman" w:hAnsi="Times New Roman" w:cs="Times New Roman"/>
          <w:b/>
          <w:color w:val="0000FF"/>
          <w:sz w:val="24"/>
          <w:u w:val="single"/>
          <w:lang w:val="lt-LT"/>
        </w:rPr>
        <w:t>.</w:t>
      </w:r>
      <w:r w:rsidR="000D779E">
        <w:rPr>
          <w:rFonts w:ascii="Times New Roman" w:hAnsi="Times New Roman" w:cs="Times New Roman"/>
          <w:b/>
          <w:sz w:val="24"/>
          <w:lang w:val="lt-LT"/>
        </w:rPr>
        <w:t xml:space="preserve"> Pelno mokesčio apskaičiavimo momentas</w:t>
      </w:r>
    </w:p>
    <w:p w14:paraId="19E04FAD" w14:textId="77777777" w:rsidR="00093845" w:rsidRDefault="00F020FC" w:rsidP="004F24E8">
      <w:pPr>
        <w:spacing w:after="0" w:line="240" w:lineRule="auto"/>
        <w:rPr>
          <w:b/>
          <w:bCs/>
          <w:lang w:val="lt-LT"/>
        </w:rPr>
      </w:pPr>
      <w:hyperlink w:anchor="_49_straipsnis._Pelno" w:history="1">
        <w:r w:rsidR="000D779E">
          <w:rPr>
            <w:rStyle w:val="Hipersaitas"/>
            <w:rFonts w:ascii="Times New Roman" w:hAnsi="Times New Roman" w:cs="Times New Roman"/>
            <w:color w:val="0000FF"/>
            <w:kern w:val="0"/>
            <w:u w:val="single"/>
            <w:lang w:val="lt-LT"/>
          </w:rPr>
          <w:t>49 straipsnis</w:t>
        </w:r>
      </w:hyperlink>
      <w:r w:rsidR="000D779E">
        <w:rPr>
          <w:b/>
          <w:bCs/>
          <w:lang w:val="lt-LT"/>
        </w:rPr>
        <w:t>. Pelno mokesčio įskaitymas</w:t>
      </w:r>
    </w:p>
    <w:p w14:paraId="4D5D5A97" w14:textId="77777777" w:rsidR="00093845" w:rsidRDefault="00F020FC" w:rsidP="004F24E8">
      <w:pPr>
        <w:spacing w:after="0" w:line="240" w:lineRule="auto"/>
        <w:rPr>
          <w:b/>
          <w:bCs/>
          <w:lang w:val="lt-LT"/>
        </w:rPr>
      </w:pPr>
      <w:hyperlink w:anchor="_50_straipsnis._Pelno" w:history="1">
        <w:r w:rsidR="000D779E">
          <w:rPr>
            <w:rStyle w:val="Hipersaitas"/>
            <w:rFonts w:ascii="Times New Roman" w:hAnsi="Times New Roman" w:cs="Times New Roman"/>
            <w:color w:val="0000FF"/>
            <w:kern w:val="0"/>
            <w:u w:val="single"/>
            <w:lang w:val="lt-LT"/>
          </w:rPr>
          <w:t>50 straipsnis</w:t>
        </w:r>
      </w:hyperlink>
      <w:r w:rsidR="000D779E">
        <w:rPr>
          <w:b/>
          <w:bCs/>
          <w:lang w:val="lt-LT"/>
        </w:rPr>
        <w:t>. Pelno mokesčio deklaracijos ir ataskaitos</w:t>
      </w:r>
    </w:p>
    <w:p w14:paraId="11693C48" w14:textId="77777777" w:rsidR="00093845" w:rsidRDefault="00F020FC" w:rsidP="004F24E8">
      <w:pPr>
        <w:spacing w:after="0" w:line="240" w:lineRule="auto"/>
        <w:rPr>
          <w:lang w:val="lt-LT"/>
        </w:rPr>
      </w:pPr>
      <w:hyperlink w:anchor="_51_straipsnis._Metinės" w:history="1">
        <w:r w:rsidR="000D779E">
          <w:rPr>
            <w:rStyle w:val="Hipersaitas"/>
            <w:rFonts w:ascii="Times New Roman" w:hAnsi="Times New Roman" w:cs="Times New Roman"/>
            <w:color w:val="0000FF"/>
            <w:kern w:val="0"/>
            <w:u w:val="single"/>
            <w:lang w:val="lt-LT"/>
          </w:rPr>
          <w:t>51 straipsnis</w:t>
        </w:r>
      </w:hyperlink>
      <w:r w:rsidR="000D779E">
        <w:rPr>
          <w:b/>
          <w:bCs/>
          <w:lang w:val="lt-LT"/>
        </w:rPr>
        <w:t>.  M</w:t>
      </w:r>
      <w:r w:rsidR="000D779E" w:rsidRPr="0065344A">
        <w:rPr>
          <w:b/>
          <w:bCs/>
          <w:lang w:val="lt-LT"/>
        </w:rPr>
        <w:t>etinės pelno mokesčio deklaracijos, metinės fiksuoto pelno mokesčio deklaracijos ir avansinio pelno mokesčio deklaracijos pateikimas nuo 2007-05-19.</w:t>
      </w:r>
    </w:p>
    <w:p w14:paraId="0D3A5F71" w14:textId="77777777" w:rsidR="00093845" w:rsidRDefault="00F020FC" w:rsidP="004F24E8">
      <w:pPr>
        <w:tabs>
          <w:tab w:val="left" w:pos="720"/>
          <w:tab w:val="left" w:pos="1077"/>
          <w:tab w:val="left" w:pos="1418"/>
        </w:tabs>
        <w:spacing w:after="0" w:line="240" w:lineRule="auto"/>
        <w:jc w:val="both"/>
        <w:rPr>
          <w:b/>
          <w:lang w:val="lt-LT"/>
        </w:rPr>
      </w:pPr>
      <w:hyperlink w:anchor="_52_straipsnis._Deklaracijos" w:history="1">
        <w:r w:rsidR="000D779E">
          <w:rPr>
            <w:rStyle w:val="Hipersaitas"/>
            <w:rFonts w:ascii="Times New Roman" w:hAnsi="Times New Roman" w:cs="Times New Roman"/>
            <w:bCs w:val="0"/>
            <w:color w:val="0000FF"/>
            <w:kern w:val="0"/>
            <w:u w:val="single"/>
            <w:lang w:val="lt-LT"/>
          </w:rPr>
          <w:t>52 straipsnis</w:t>
        </w:r>
      </w:hyperlink>
      <w:r w:rsidR="000D779E">
        <w:rPr>
          <w:b/>
          <w:lang w:val="lt-LT"/>
        </w:rPr>
        <w:t>. Deklaracijos apie užsienio vienetui išmokėtas pajamas (sumas) ir apskaičiuotą bei į biudžetą sumokėtą pelno mokestį pateikimas</w:t>
      </w:r>
    </w:p>
    <w:p w14:paraId="136C17E5" w14:textId="77777777" w:rsidR="00093845" w:rsidRDefault="00F020FC" w:rsidP="004F24E8">
      <w:pPr>
        <w:tabs>
          <w:tab w:val="left" w:pos="720"/>
          <w:tab w:val="left" w:pos="1077"/>
          <w:tab w:val="left" w:pos="1418"/>
        </w:tabs>
        <w:spacing w:after="0" w:line="240" w:lineRule="auto"/>
        <w:jc w:val="both"/>
        <w:rPr>
          <w:b/>
          <w:lang w:val="lt-LT"/>
        </w:rPr>
      </w:pPr>
      <w:hyperlink w:anchor="_53_straipsnis._Pelno" w:history="1">
        <w:r w:rsidR="000D779E" w:rsidRPr="006F78B6">
          <w:rPr>
            <w:rStyle w:val="Perirtashipersaitas"/>
            <w:b/>
            <w:color w:val="0000FF"/>
            <w:lang w:val="lt-LT"/>
          </w:rPr>
          <w:t>53 straipsnis</w:t>
        </w:r>
      </w:hyperlink>
      <w:r w:rsidR="000D779E">
        <w:rPr>
          <w:b/>
          <w:lang w:val="lt-LT"/>
        </w:rPr>
        <w:t>. Pelno mokesčio sumokėjimas ir grąžinimas</w:t>
      </w:r>
    </w:p>
    <w:p w14:paraId="34DD5541" w14:textId="77777777" w:rsidR="00093845" w:rsidRDefault="00F020FC" w:rsidP="004F24E8">
      <w:pPr>
        <w:tabs>
          <w:tab w:val="left" w:pos="720"/>
          <w:tab w:val="left" w:pos="1077"/>
          <w:tab w:val="left" w:pos="1418"/>
        </w:tabs>
        <w:spacing w:after="0" w:line="240" w:lineRule="auto"/>
        <w:jc w:val="both"/>
        <w:rPr>
          <w:b/>
          <w:lang w:val="lt-LT"/>
        </w:rPr>
      </w:pPr>
      <w:hyperlink w:anchor="_54_straipsnis._Užsienio" w:history="1">
        <w:r w:rsidR="000D779E">
          <w:rPr>
            <w:rStyle w:val="Hipersaitas"/>
            <w:rFonts w:ascii="Times New Roman" w:hAnsi="Times New Roman" w:cs="Times New Roman"/>
            <w:color w:val="0000FF"/>
            <w:kern w:val="0"/>
            <w:u w:val="single"/>
            <w:lang w:val="lt-LT"/>
          </w:rPr>
          <w:t>54 straipsnis</w:t>
        </w:r>
      </w:hyperlink>
      <w:r w:rsidR="000D779E">
        <w:rPr>
          <w:b/>
          <w:bCs/>
          <w:lang w:val="lt-LT"/>
        </w:rPr>
        <w:t>. Užsienio vieneto apskaičiuoto ir sumokėto pelno mokesčio perskaičiavimas</w:t>
      </w:r>
    </w:p>
    <w:p w14:paraId="2A1C66C5" w14:textId="77777777" w:rsidR="00093845" w:rsidRDefault="00F020FC" w:rsidP="004F24E8">
      <w:pPr>
        <w:tabs>
          <w:tab w:val="left" w:pos="720"/>
          <w:tab w:val="left" w:pos="1077"/>
          <w:tab w:val="left" w:pos="1418"/>
        </w:tabs>
        <w:spacing w:after="0" w:line="240" w:lineRule="auto"/>
        <w:jc w:val="both"/>
        <w:rPr>
          <w:b/>
          <w:lang w:val="lt-LT"/>
        </w:rPr>
      </w:pPr>
      <w:hyperlink w:anchor="_55_straipsnis._Pelno" w:history="1">
        <w:r w:rsidR="000D779E">
          <w:rPr>
            <w:rStyle w:val="Hipersaitas"/>
            <w:rFonts w:ascii="Times New Roman" w:hAnsi="Times New Roman" w:cs="Times New Roman"/>
            <w:color w:val="0000FF"/>
            <w:kern w:val="0"/>
            <w:u w:val="single"/>
            <w:lang w:val="lt-LT"/>
          </w:rPr>
          <w:t>55 straipsnis</w:t>
        </w:r>
      </w:hyperlink>
      <w:r w:rsidR="000D779E">
        <w:rPr>
          <w:b/>
          <w:bCs/>
          <w:lang w:val="lt-LT"/>
        </w:rPr>
        <w:t>. Pelno mokesčio, sumokėto užsienio valstybėse, atskaitymai</w:t>
      </w:r>
    </w:p>
    <w:p w14:paraId="1E9F6A56" w14:textId="77777777" w:rsidR="00093845" w:rsidRDefault="00F020FC" w:rsidP="004F24E8">
      <w:pPr>
        <w:tabs>
          <w:tab w:val="left" w:pos="720"/>
          <w:tab w:val="left" w:pos="1077"/>
          <w:tab w:val="left" w:pos="1418"/>
        </w:tabs>
        <w:spacing w:after="0" w:line="240" w:lineRule="auto"/>
        <w:jc w:val="both"/>
        <w:rPr>
          <w:b/>
          <w:lang w:val="lt-LT"/>
        </w:rPr>
      </w:pPr>
      <w:hyperlink w:anchor="_56_straipsnis._Atsakomybė" w:history="1">
        <w:r w:rsidR="000D779E">
          <w:rPr>
            <w:rStyle w:val="Hipersaitas"/>
            <w:rFonts w:ascii="Times New Roman" w:hAnsi="Times New Roman" w:cs="Times New Roman"/>
            <w:bCs w:val="0"/>
            <w:color w:val="0000FF"/>
            <w:kern w:val="0"/>
            <w:u w:val="single"/>
            <w:lang w:val="lt-LT"/>
          </w:rPr>
          <w:t>56 straipsnis</w:t>
        </w:r>
      </w:hyperlink>
      <w:r w:rsidR="000D779E">
        <w:rPr>
          <w:b/>
          <w:lang w:val="lt-LT"/>
        </w:rPr>
        <w:t>. Atsakomybė už šio Įstatymo pažeidimus</w:t>
      </w:r>
    </w:p>
    <w:p w14:paraId="64BF25C1" w14:textId="77777777" w:rsidR="00093845" w:rsidRDefault="00F020FC" w:rsidP="004F24E8">
      <w:pPr>
        <w:tabs>
          <w:tab w:val="left" w:pos="720"/>
          <w:tab w:val="left" w:pos="1077"/>
          <w:tab w:val="left" w:pos="1418"/>
        </w:tabs>
        <w:spacing w:after="0" w:line="240" w:lineRule="auto"/>
        <w:jc w:val="both"/>
      </w:pPr>
      <w:hyperlink r:id="rId9" w:anchor="78skr#78skr" w:history="1">
        <w:r w:rsidR="000D779E">
          <w:rPr>
            <w:rStyle w:val="Grietas"/>
          </w:rPr>
          <w:t>X-1 SKYRIUS  MOKESTINIŲ NUOSTOLIŲ PERDAVIMAS</w:t>
        </w:r>
      </w:hyperlink>
    </w:p>
    <w:p w14:paraId="14184604" w14:textId="77777777" w:rsidR="006C0A9B" w:rsidRDefault="00F020FC" w:rsidP="00FC25F0">
      <w:pPr>
        <w:tabs>
          <w:tab w:val="left" w:pos="720"/>
          <w:tab w:val="left" w:pos="1077"/>
          <w:tab w:val="left" w:pos="1418"/>
        </w:tabs>
        <w:spacing w:after="0" w:line="240" w:lineRule="auto"/>
        <w:jc w:val="both"/>
        <w:rPr>
          <w:b/>
          <w:bCs/>
          <w:sz w:val="22"/>
          <w:szCs w:val="22"/>
          <w:lang w:val="lt-LT" w:eastAsia="lt-LT"/>
        </w:rPr>
      </w:pPr>
      <w:hyperlink w:anchor="straipsnis56_1p" w:history="1">
        <w:r w:rsidR="000D779E">
          <w:rPr>
            <w:rStyle w:val="Hipersaitas"/>
            <w:rFonts w:ascii="Times New Roman" w:hAnsi="Times New Roman" w:cs="Times New Roman"/>
            <w:color w:val="0000FF"/>
            <w:kern w:val="0"/>
            <w:u w:val="single"/>
            <w:lang w:val="lt-LT" w:eastAsia="lt-LT"/>
          </w:rPr>
          <w:t>56</w:t>
        </w:r>
        <w:r w:rsidR="004511A4">
          <w:rPr>
            <w:rStyle w:val="Hipersaitas"/>
            <w:rFonts w:ascii="Times New Roman" w:hAnsi="Times New Roman" w:cs="Times New Roman"/>
            <w:color w:val="0000FF"/>
            <w:kern w:val="0"/>
            <w:u w:val="single"/>
            <w:vertAlign w:val="superscript"/>
            <w:lang w:val="lt-LT" w:eastAsia="lt-LT"/>
          </w:rPr>
          <w:t>1</w:t>
        </w:r>
        <w:r w:rsidR="000D779E">
          <w:rPr>
            <w:rStyle w:val="Hipersaitas"/>
            <w:rFonts w:ascii="Times New Roman" w:hAnsi="Times New Roman" w:cs="Times New Roman"/>
            <w:color w:val="0000FF"/>
            <w:kern w:val="0"/>
            <w:u w:val="single"/>
            <w:lang w:val="lt-LT" w:eastAsia="lt-LT"/>
          </w:rPr>
          <w:t xml:space="preserve"> straipsnis</w:t>
        </w:r>
      </w:hyperlink>
      <w:r w:rsidR="000D779E">
        <w:rPr>
          <w:b/>
          <w:bCs/>
          <w:color w:val="000000"/>
          <w:lang w:val="lt-LT" w:eastAsia="lt-LT"/>
        </w:rPr>
        <w:t>. Mokestinių nuostolių perdavimas tarp vienetų grupės vienetų</w:t>
      </w:r>
      <w:r w:rsidR="006C0A9B" w:rsidRPr="006C0A9B">
        <w:rPr>
          <w:b/>
          <w:bCs/>
          <w:sz w:val="22"/>
          <w:szCs w:val="22"/>
          <w:lang w:val="lt-LT" w:eastAsia="lt-LT"/>
        </w:rPr>
        <w:t> </w:t>
      </w:r>
      <w:bookmarkStart w:id="0" w:name="part_248253ef99814e16b5400de464e026ae"/>
      <w:bookmarkEnd w:id="0"/>
    </w:p>
    <w:p w14:paraId="0242C652" w14:textId="77777777" w:rsidR="006C0A9B" w:rsidRPr="00ED21AE" w:rsidRDefault="00F020FC" w:rsidP="00FC25F0">
      <w:pPr>
        <w:tabs>
          <w:tab w:val="left" w:pos="720"/>
          <w:tab w:val="left" w:pos="1077"/>
          <w:tab w:val="left" w:pos="1418"/>
        </w:tabs>
        <w:spacing w:after="0" w:line="240" w:lineRule="auto"/>
        <w:jc w:val="both"/>
        <w:rPr>
          <w:lang w:val="lt-LT" w:eastAsia="lt-LT"/>
        </w:rPr>
      </w:pPr>
      <w:hyperlink w:anchor="straipsnis56_2p" w:history="1">
        <w:r w:rsidR="006C0A9B" w:rsidRPr="00CF520F">
          <w:rPr>
            <w:rStyle w:val="Hipersaitas"/>
            <w:rFonts w:ascii="Times New Roman" w:hAnsi="Times New Roman" w:cs="Times New Roman"/>
            <w:color w:val="2717F5"/>
            <w:kern w:val="0"/>
            <w:u w:val="single"/>
            <w:lang w:val="lt-LT" w:eastAsia="lt-LT"/>
            <w14:textFill>
              <w14:solidFill>
                <w14:srgbClr w14:val="2717F5">
                  <w14:lumMod w14:val="60000"/>
                  <w14:lumOff w14:val="40000"/>
                </w14:srgbClr>
              </w14:solidFill>
            </w14:textFill>
          </w:rPr>
          <w:t>56</w:t>
        </w:r>
        <w:r w:rsidR="006C0A9B" w:rsidRPr="00CF520F">
          <w:rPr>
            <w:rStyle w:val="Hipersaitas"/>
            <w:rFonts w:ascii="Times New Roman" w:hAnsi="Times New Roman" w:cs="Times New Roman"/>
            <w:color w:val="2717F5"/>
            <w:kern w:val="0"/>
            <w:u w:val="single"/>
            <w:vertAlign w:val="superscript"/>
            <w:lang w:val="lt-LT" w:eastAsia="lt-LT"/>
            <w14:textFill>
              <w14:solidFill>
                <w14:srgbClr w14:val="2717F5">
                  <w14:lumMod w14:val="60000"/>
                  <w14:lumOff w14:val="40000"/>
                </w14:srgbClr>
              </w14:solidFill>
            </w14:textFill>
          </w:rPr>
          <w:t>2</w:t>
        </w:r>
        <w:r w:rsidR="006C0A9B" w:rsidRPr="00CF520F">
          <w:rPr>
            <w:rStyle w:val="Hipersaitas"/>
            <w:rFonts w:ascii="Times New Roman" w:hAnsi="Times New Roman" w:cs="Times New Roman"/>
            <w:color w:val="2717F5"/>
            <w:kern w:val="0"/>
            <w:u w:val="single"/>
            <w:lang w:val="lt-LT" w:eastAsia="lt-LT"/>
            <w14:textFill>
              <w14:solidFill>
                <w14:srgbClr w14:val="2717F5">
                  <w14:lumMod w14:val="60000"/>
                  <w14:lumOff w14:val="40000"/>
                </w14:srgbClr>
              </w14:solidFill>
            </w14:textFill>
          </w:rPr>
          <w:t xml:space="preserve"> straipsnis</w:t>
        </w:r>
      </w:hyperlink>
      <w:r w:rsidR="006C0A9B" w:rsidRPr="00CF520F">
        <w:rPr>
          <w:b/>
          <w:bCs/>
          <w:color w:val="0033CC"/>
          <w:lang w:val="lt-LT" w:eastAsia="lt-LT"/>
        </w:rPr>
        <w:t>.</w:t>
      </w:r>
      <w:r w:rsidR="006C0A9B" w:rsidRPr="006C0A9B">
        <w:rPr>
          <w:b/>
          <w:bCs/>
          <w:sz w:val="22"/>
          <w:szCs w:val="22"/>
          <w:lang w:val="lt-LT" w:eastAsia="lt-LT"/>
        </w:rPr>
        <w:t xml:space="preserve"> </w:t>
      </w:r>
      <w:r w:rsidR="006C0A9B" w:rsidRPr="00ED21AE">
        <w:rPr>
          <w:b/>
          <w:bCs/>
          <w:lang w:val="lt-LT" w:eastAsia="lt-LT"/>
        </w:rPr>
        <w:t>Nuolatinės buveinės mokestinių nuostolių perdavimas</w:t>
      </w:r>
    </w:p>
    <w:p w14:paraId="56BEFA79" w14:textId="77777777" w:rsidR="006C0A9B" w:rsidRDefault="006C0A9B" w:rsidP="00FC25F0">
      <w:pPr>
        <w:tabs>
          <w:tab w:val="left" w:pos="720"/>
          <w:tab w:val="left" w:pos="1077"/>
          <w:tab w:val="left" w:pos="1418"/>
        </w:tabs>
        <w:spacing w:after="0" w:line="240" w:lineRule="auto"/>
        <w:jc w:val="both"/>
        <w:rPr>
          <w:b/>
          <w:bCs/>
          <w:color w:val="000000"/>
          <w:lang w:val="lt-LT" w:eastAsia="lt-LT"/>
        </w:rPr>
      </w:pPr>
    </w:p>
    <w:p w14:paraId="779BE71F" w14:textId="77777777" w:rsidR="00093845" w:rsidRDefault="000D779E" w:rsidP="00FC25F0">
      <w:pPr>
        <w:spacing w:after="0" w:line="240" w:lineRule="auto"/>
        <w:jc w:val="both"/>
        <w:rPr>
          <w:b/>
          <w:bCs/>
          <w:lang w:val="lt-LT"/>
        </w:rPr>
      </w:pPr>
      <w:r>
        <w:rPr>
          <w:b/>
          <w:bCs/>
          <w:color w:val="000000"/>
          <w:lang w:val="lt-LT"/>
        </w:rPr>
        <w:t xml:space="preserve">XI SKYRIUS </w:t>
      </w:r>
      <w:r>
        <w:rPr>
          <w:b/>
          <w:bCs/>
          <w:lang w:val="lt-LT"/>
        </w:rPr>
        <w:t>APSKAITOS REIKALAVIMAI</w:t>
      </w:r>
    </w:p>
    <w:p w14:paraId="32FE8813" w14:textId="77777777" w:rsidR="00093845" w:rsidRDefault="00F020FC" w:rsidP="00FC25F0">
      <w:pPr>
        <w:tabs>
          <w:tab w:val="left" w:pos="720"/>
          <w:tab w:val="left" w:pos="1077"/>
          <w:tab w:val="left" w:pos="1418"/>
        </w:tabs>
        <w:spacing w:after="0" w:line="240" w:lineRule="auto"/>
        <w:jc w:val="both"/>
        <w:rPr>
          <w:b/>
          <w:lang w:val="lt-LT"/>
        </w:rPr>
      </w:pPr>
      <w:hyperlink w:anchor="_57_straipsnis._Buhalterinės" w:history="1">
        <w:r w:rsidR="000D779E" w:rsidRPr="0067342F">
          <w:rPr>
            <w:rStyle w:val="Hipersaitas"/>
            <w:rFonts w:ascii="Times New Roman" w:hAnsi="Times New Roman" w:cs="Times New Roman"/>
            <w:bCs w:val="0"/>
            <w:color w:val="0000FF"/>
            <w:kern w:val="0"/>
            <w:u w:val="single"/>
            <w:lang w:val="lt-LT"/>
          </w:rPr>
          <w:t>57 straipsnis</w:t>
        </w:r>
      </w:hyperlink>
      <w:r w:rsidR="008C6DF4">
        <w:rPr>
          <w:b/>
          <w:lang w:val="lt-LT"/>
        </w:rPr>
        <w:t>. Finansinės</w:t>
      </w:r>
      <w:r w:rsidR="000D779E">
        <w:rPr>
          <w:b/>
          <w:lang w:val="lt-LT"/>
        </w:rPr>
        <w:t xml:space="preserve"> apskaitos tvarkymo reikalavimai</w:t>
      </w:r>
    </w:p>
    <w:p w14:paraId="69B70576" w14:textId="77777777" w:rsidR="00093845" w:rsidRDefault="000D779E" w:rsidP="00FC25F0">
      <w:pPr>
        <w:pStyle w:val="Antrat1"/>
        <w:spacing w:after="0" w:line="240" w:lineRule="auto"/>
        <w:jc w:val="both"/>
        <w:rPr>
          <w:lang w:val="lt-LT"/>
        </w:rPr>
      </w:pPr>
      <w:r>
        <w:rPr>
          <w:color w:val="000000"/>
          <w:lang w:val="lt-LT"/>
        </w:rPr>
        <w:t xml:space="preserve">XII SKYRIUS  </w:t>
      </w:r>
      <w:r>
        <w:rPr>
          <w:lang w:val="lt-LT"/>
        </w:rPr>
        <w:t>BAIGIAMOSIOS NUOSTATOS</w:t>
      </w:r>
    </w:p>
    <w:p w14:paraId="2D59616D" w14:textId="77777777" w:rsidR="00093845" w:rsidRDefault="00F020FC" w:rsidP="00FC25F0">
      <w:pPr>
        <w:spacing w:after="0" w:line="240" w:lineRule="auto"/>
        <w:jc w:val="both"/>
        <w:rPr>
          <w:b/>
          <w:bCs/>
          <w:lang w:val="lt-LT"/>
        </w:rPr>
      </w:pPr>
      <w:hyperlink w:anchor="_58_straipsnis._Perėjimo" w:history="1">
        <w:r w:rsidR="000D779E">
          <w:rPr>
            <w:rStyle w:val="Hipersaitas"/>
            <w:rFonts w:ascii="Times New Roman" w:hAnsi="Times New Roman" w:cs="Times New Roman"/>
            <w:color w:val="0000FF"/>
            <w:kern w:val="0"/>
            <w:u w:val="single"/>
            <w:lang w:val="lt-LT"/>
          </w:rPr>
          <w:t>58 straipsnis</w:t>
        </w:r>
      </w:hyperlink>
      <w:r w:rsidR="000D779E">
        <w:rPr>
          <w:b/>
          <w:bCs/>
          <w:lang w:val="lt-LT"/>
        </w:rPr>
        <w:t>. Perėjimo nuo vieneto pelno arba pajamų apskaičiavimo ir apmokestinimo pagal Juridinių asmenų pelno mokesčio įstatymą bei Fizinių asmenų pajamų mokesčio laikinojo įstatymo IV skyrių tvarka</w:t>
      </w:r>
    </w:p>
    <w:p w14:paraId="58FB591B" w14:textId="77777777" w:rsidR="00487DCA" w:rsidRPr="00FC25F0" w:rsidRDefault="00F020FC" w:rsidP="00FC25F0">
      <w:pPr>
        <w:spacing w:after="0" w:line="240" w:lineRule="auto"/>
        <w:rPr>
          <w:b/>
          <w:bCs/>
          <w:lang w:val="lt-LT"/>
        </w:rPr>
      </w:pPr>
      <w:hyperlink w:anchor="_59_straipsnis._Įstatymo" w:history="1">
        <w:r w:rsidR="000D779E">
          <w:rPr>
            <w:rStyle w:val="Hipersaitas"/>
            <w:rFonts w:ascii="Times New Roman" w:hAnsi="Times New Roman" w:cs="Times New Roman"/>
            <w:color w:val="0000FF"/>
            <w:kern w:val="0"/>
            <w:u w:val="single"/>
            <w:lang w:val="lt-LT"/>
          </w:rPr>
          <w:t>59 straipsnis</w:t>
        </w:r>
      </w:hyperlink>
      <w:r w:rsidR="000D779E">
        <w:rPr>
          <w:b/>
          <w:bCs/>
          <w:lang w:val="lt-LT"/>
        </w:rPr>
        <w:t xml:space="preserve">. </w:t>
      </w:r>
      <w:r w:rsidR="000D779E" w:rsidRPr="00FC25F0">
        <w:rPr>
          <w:b/>
          <w:bCs/>
          <w:lang w:val="lt-LT"/>
        </w:rPr>
        <w:t>Įstatymo įsigaliojimas ir taikymas</w:t>
      </w:r>
    </w:p>
    <w:p w14:paraId="3D9637BA" w14:textId="77777777" w:rsidR="00487DCA" w:rsidRPr="00FC25F0" w:rsidRDefault="00F020FC" w:rsidP="00FC25F0">
      <w:pPr>
        <w:pStyle w:val="taltipfb"/>
        <w:spacing w:line="240" w:lineRule="auto"/>
        <w:rPr>
          <w:color w:val="000000"/>
        </w:rPr>
      </w:pPr>
      <w:hyperlink w:anchor="skyrius591" w:history="1">
        <w:r w:rsidR="00487DCA" w:rsidRPr="00FC25F0">
          <w:rPr>
            <w:rStyle w:val="Hipersaitas"/>
            <w:rFonts w:ascii="Times New Roman" w:hAnsi="Times New Roman" w:cs="Times New Roman"/>
            <w:color w:val="0070C0"/>
            <w:kern w:val="0"/>
            <w:u w:val="single"/>
            <w:lang w:val="lt-LT" w:eastAsia="lt-LT"/>
          </w:rPr>
          <w:t>59</w:t>
        </w:r>
        <w:r w:rsidR="00487DCA" w:rsidRPr="00FC25F0">
          <w:rPr>
            <w:rStyle w:val="Hipersaitas"/>
            <w:rFonts w:ascii="Times New Roman" w:hAnsi="Times New Roman" w:cs="Times New Roman"/>
            <w:color w:val="0070C0"/>
            <w:kern w:val="0"/>
            <w:u w:val="single"/>
            <w:vertAlign w:val="superscript"/>
            <w:lang w:val="lt-LT" w:eastAsia="lt-LT"/>
          </w:rPr>
          <w:t>1</w:t>
        </w:r>
        <w:r w:rsidR="00487DCA" w:rsidRPr="00FC25F0">
          <w:rPr>
            <w:rStyle w:val="Hipersaitas"/>
            <w:rFonts w:ascii="Times New Roman" w:hAnsi="Times New Roman" w:cs="Times New Roman"/>
            <w:color w:val="0070C0"/>
            <w:kern w:val="0"/>
            <w:u w:val="single"/>
            <w:lang w:val="lt-LT" w:eastAsia="lt-LT"/>
          </w:rPr>
          <w:t xml:space="preserve"> straipsnis</w:t>
        </w:r>
      </w:hyperlink>
      <w:r w:rsidR="00487DCA" w:rsidRPr="00FC25F0">
        <w:rPr>
          <w:b/>
          <w:bCs/>
          <w:color w:val="0070C0"/>
          <w:u w:val="single"/>
        </w:rPr>
        <w:t>.</w:t>
      </w:r>
      <w:r w:rsidR="00487DCA" w:rsidRPr="00FC25F0">
        <w:rPr>
          <w:b/>
          <w:bCs/>
          <w:color w:val="000000"/>
        </w:rPr>
        <w:t xml:space="preserve"> Įstatymo taikymas Jungtinei Didžiosios Britanijos ir Šiaurės Airijos Karalystei</w:t>
      </w:r>
    </w:p>
    <w:p w14:paraId="46E4A905" w14:textId="77777777" w:rsidR="00093845" w:rsidRPr="00FC25F0" w:rsidRDefault="00F020FC" w:rsidP="00FC25F0">
      <w:pPr>
        <w:pStyle w:val="bodytext"/>
        <w:spacing w:before="0" w:beforeAutospacing="0" w:after="0" w:afterAutospacing="0" w:line="240" w:lineRule="auto"/>
        <w:rPr>
          <w:rFonts w:ascii="Times New Roman" w:hAnsi="Times New Roman" w:cs="Times New Roman"/>
          <w:b/>
          <w:bCs/>
          <w:lang w:val="lt-LT"/>
        </w:rPr>
      </w:pPr>
      <w:hyperlink w:anchor="_60_straipsnis._Netenkantys" w:history="1">
        <w:r w:rsidR="000D779E" w:rsidRPr="00FC25F0">
          <w:rPr>
            <w:rStyle w:val="Hipersaitas"/>
            <w:rFonts w:ascii="Times New Roman" w:hAnsi="Times New Roman" w:cs="Times New Roman"/>
            <w:color w:val="0000FF"/>
            <w:kern w:val="0"/>
            <w:u w:val="single"/>
            <w:lang w:val="lt-LT"/>
          </w:rPr>
          <w:t>60 straipsnis</w:t>
        </w:r>
      </w:hyperlink>
      <w:r w:rsidR="000D779E" w:rsidRPr="00FC25F0">
        <w:rPr>
          <w:rFonts w:ascii="Times New Roman" w:hAnsi="Times New Roman" w:cs="Times New Roman"/>
          <w:b/>
          <w:bCs/>
          <w:lang w:val="lt-LT"/>
        </w:rPr>
        <w:t>. Netenkantys galios teisės aktai</w:t>
      </w:r>
    </w:p>
    <w:p w14:paraId="4D350579" w14:textId="77777777" w:rsidR="00093845" w:rsidRPr="00FC25F0" w:rsidRDefault="000D779E" w:rsidP="00FC25F0">
      <w:pPr>
        <w:pStyle w:val="bodytext"/>
        <w:spacing w:before="0" w:beforeAutospacing="0" w:after="0" w:afterAutospacing="0" w:line="240" w:lineRule="auto"/>
        <w:jc w:val="both"/>
        <w:rPr>
          <w:rFonts w:ascii="Times New Roman" w:hAnsi="Times New Roman" w:cs="Times New Roman"/>
          <w:lang w:val="lt-LT"/>
        </w:rPr>
      </w:pPr>
      <w:r w:rsidRPr="00FC25F0">
        <w:rPr>
          <w:rFonts w:ascii="Times New Roman" w:hAnsi="Times New Roman" w:cs="Times New Roman"/>
          <w:lang w:val="lt-LT"/>
        </w:rPr>
        <w:br w:type="page"/>
      </w:r>
    </w:p>
    <w:p w14:paraId="061FD8F0" w14:textId="77777777" w:rsidR="00093845" w:rsidRDefault="000D779E">
      <w:pPr>
        <w:jc w:val="both"/>
        <w:rPr>
          <w:b/>
          <w:lang w:val="lt-LT"/>
        </w:rPr>
      </w:pPr>
      <w:r>
        <w:rPr>
          <w:b/>
          <w:lang w:val="lt-LT"/>
        </w:rPr>
        <w:lastRenderedPageBreak/>
        <w:t>I SKYRIUS</w:t>
      </w:r>
    </w:p>
    <w:p w14:paraId="0ED22AD5" w14:textId="77777777" w:rsidR="00093845" w:rsidRDefault="00093845">
      <w:pPr>
        <w:pStyle w:val="Antrat1"/>
        <w:keepNext w:val="0"/>
        <w:tabs>
          <w:tab w:val="left" w:pos="720"/>
          <w:tab w:val="left" w:pos="1080"/>
        </w:tabs>
        <w:jc w:val="both"/>
        <w:rPr>
          <w:rFonts w:ascii="Times New Roman" w:hAnsi="Times New Roman"/>
          <w:lang w:val="lt-LT"/>
        </w:rPr>
      </w:pPr>
    </w:p>
    <w:p w14:paraId="2FC1F756" w14:textId="77777777" w:rsidR="00093845" w:rsidRDefault="000D779E">
      <w:pPr>
        <w:jc w:val="both"/>
        <w:rPr>
          <w:b/>
          <w:lang w:val="lt-LT"/>
        </w:rPr>
      </w:pPr>
      <w:r>
        <w:rPr>
          <w:b/>
          <w:lang w:val="lt-LT"/>
        </w:rPr>
        <w:t>BENDROSIOS NUOSTATOS</w:t>
      </w:r>
    </w:p>
    <w:p w14:paraId="3F3A5C6F" w14:textId="77777777" w:rsidR="00093845" w:rsidRDefault="000D779E" w:rsidP="005F12F1">
      <w:pPr>
        <w:spacing w:after="0"/>
        <w:jc w:val="both"/>
        <w:rPr>
          <w:b/>
          <w:bCs/>
          <w:color w:val="000000"/>
          <w:lang w:val="lt-LT"/>
        </w:rPr>
      </w:pPr>
      <w:bookmarkStart w:id="1" w:name="_1_straipsnis._Įstatymo"/>
      <w:bookmarkStart w:id="2" w:name="straipsnis1"/>
      <w:bookmarkEnd w:id="1"/>
      <w:r>
        <w:rPr>
          <w:b/>
          <w:bCs/>
          <w:color w:val="000000"/>
          <w:lang w:val="lt-LT"/>
        </w:rPr>
        <w:t>1 STRAIPSNIS. Įstatymo paskirtis ir taikymo sritis</w:t>
      </w:r>
      <w:bookmarkEnd w:id="2"/>
    </w:p>
    <w:p w14:paraId="3CF8DF06" w14:textId="77777777" w:rsidR="00093845" w:rsidRPr="00D3044F" w:rsidRDefault="000D779E" w:rsidP="005F12F1">
      <w:pPr>
        <w:spacing w:after="0"/>
        <w:jc w:val="both"/>
        <w:rPr>
          <w:bCs/>
          <w:i/>
          <w:color w:val="000000"/>
          <w:lang w:val="lt-LT"/>
        </w:rPr>
      </w:pPr>
      <w:r w:rsidRPr="00D3044F">
        <w:rPr>
          <w:bCs/>
          <w:i/>
          <w:color w:val="000000"/>
          <w:lang w:val="lt-LT"/>
        </w:rPr>
        <w:t>(KEISTA (straipsnio pavadinimas)</w:t>
      </w:r>
      <w:r w:rsidR="00F31096" w:rsidRPr="00D3044F">
        <w:rPr>
          <w:bCs/>
          <w:i/>
          <w:color w:val="000000"/>
          <w:lang w:val="lt-LT"/>
        </w:rPr>
        <w:t>:</w:t>
      </w:r>
      <w:r w:rsidRPr="00D3044F">
        <w:rPr>
          <w:bCs/>
          <w:i/>
          <w:color w:val="000000"/>
          <w:lang w:val="lt-LT"/>
        </w:rPr>
        <w:t xml:space="preserve"> 2004 04 08 įstatymu Nr. IX-2102 (nuo 2004 05 01))</w:t>
      </w:r>
    </w:p>
    <w:p w14:paraId="3290B4B5" w14:textId="77777777" w:rsidR="00093845" w:rsidRDefault="000D779E">
      <w:pPr>
        <w:pStyle w:val="Pagrindiniotekstotrauka2"/>
        <w:tabs>
          <w:tab w:val="left" w:pos="720"/>
          <w:tab w:val="left" w:pos="1077"/>
          <w:tab w:val="left" w:pos="1418"/>
        </w:tabs>
        <w:spacing w:line="240" w:lineRule="auto"/>
      </w:pPr>
      <w:r>
        <w:t>1.</w:t>
      </w:r>
      <w:r>
        <w:tab/>
        <w:t>Šis Įstatymas nustato uždirbto pelno ir (arba) gautų pajamų apmokestinimo pelno mokesčiu tvarką.</w:t>
      </w:r>
    </w:p>
    <w:p w14:paraId="74716130" w14:textId="77777777" w:rsidR="00093845" w:rsidRDefault="000D779E">
      <w:pPr>
        <w:pStyle w:val="Pagrindiniotekstotrauka2"/>
        <w:tabs>
          <w:tab w:val="left" w:pos="720"/>
          <w:tab w:val="left" w:pos="1077"/>
          <w:tab w:val="left" w:pos="1418"/>
        </w:tabs>
        <w:spacing w:line="240" w:lineRule="auto"/>
      </w:pPr>
      <w:r>
        <w:t>2.</w:t>
      </w:r>
      <w:r>
        <w:tab/>
        <w:t>Įstatymas taikomas Lietuvos Respublikos teritorijoje.</w:t>
      </w:r>
    </w:p>
    <w:p w14:paraId="3CAA5BAF" w14:textId="77777777" w:rsidR="00093845" w:rsidRDefault="000D779E">
      <w:pPr>
        <w:pStyle w:val="Pagrindiniotekstotrauka2"/>
        <w:tabs>
          <w:tab w:val="left" w:pos="720"/>
          <w:tab w:val="left" w:pos="1077"/>
          <w:tab w:val="left" w:pos="1418"/>
        </w:tabs>
        <w:spacing w:line="240" w:lineRule="auto"/>
      </w:pPr>
      <w:r>
        <w:t>Komentaras</w:t>
      </w:r>
    </w:p>
    <w:p w14:paraId="6E8C1C1E" w14:textId="77777777" w:rsidR="00093845" w:rsidRDefault="000D779E">
      <w:pPr>
        <w:pStyle w:val="Pagrindiniotekstotrauka2"/>
        <w:tabs>
          <w:tab w:val="left" w:pos="720"/>
          <w:tab w:val="left" w:pos="1077"/>
          <w:tab w:val="left" w:pos="1418"/>
        </w:tabs>
        <w:spacing w:line="240" w:lineRule="auto"/>
        <w:rPr>
          <w:b w:val="0"/>
        </w:rPr>
      </w:pPr>
      <w:r>
        <w:rPr>
          <w:b w:val="0"/>
        </w:rPr>
        <w:t>1.</w:t>
      </w:r>
      <w:r>
        <w:rPr>
          <w:b w:val="0"/>
        </w:rPr>
        <w:tab/>
        <w:t xml:space="preserve">Lietuvos Respublikos pelno mokesčio įstatyme (toliau – PMĮ) nustatyta tvarka apmokestinamas uždirbtas pelnas ir gautos pajamos, jei jos pagal PMĮ yra mokesčio bazė. PMĮ nuostatos taikomos visiems vienetams, kurie pagal PMĮ yra mokesčio mokėtojai, tiek įregistruoti Lietuvos Respublikos teisės aktų nustatyta tvarka, tiek įsteigti arba kitu būdu organizuoti pagal užsienio valstybės įstatymus. </w:t>
      </w:r>
    </w:p>
    <w:p w14:paraId="101F990C" w14:textId="77777777" w:rsidR="00093845" w:rsidRDefault="000D779E">
      <w:pPr>
        <w:pStyle w:val="Pagrindiniotekstotrauka2"/>
        <w:tabs>
          <w:tab w:val="left" w:pos="720"/>
          <w:tab w:val="left" w:pos="1077"/>
          <w:tab w:val="left" w:pos="1418"/>
        </w:tabs>
        <w:spacing w:line="240" w:lineRule="auto"/>
        <w:rPr>
          <w:b w:val="0"/>
        </w:rPr>
      </w:pPr>
      <w:r>
        <w:rPr>
          <w:b w:val="0"/>
        </w:rPr>
        <w:t>2.</w:t>
      </w:r>
      <w:r>
        <w:rPr>
          <w:b w:val="0"/>
        </w:rPr>
        <w:tab/>
        <w:t xml:space="preserve">PMĮ nustatytos apmokestinimo pelno mokesčiu taisyklės (mokesčio apskaičiavimas, mokėjimas, deklaravimas, ataskaitų teikimas, mokesčio grąžinimas ir pan.) taikomos Lietuvos Respublikos teritorijoje. Lietuvos Respublikos teritorijos sąvoka apibrėžta PMĮ 2 str. 10 dalyje. </w:t>
      </w:r>
    </w:p>
    <w:p w14:paraId="273F1570" w14:textId="77777777" w:rsidR="00093845" w:rsidRDefault="00093845">
      <w:pPr>
        <w:pStyle w:val="Pagrindiniotekstotrauka2"/>
        <w:tabs>
          <w:tab w:val="left" w:pos="720"/>
          <w:tab w:val="left" w:pos="1077"/>
          <w:tab w:val="left" w:pos="1418"/>
        </w:tabs>
        <w:spacing w:line="240" w:lineRule="auto"/>
      </w:pPr>
    </w:p>
    <w:p w14:paraId="3A262661" w14:textId="77777777" w:rsidR="00093845" w:rsidRDefault="000D779E" w:rsidP="005F12F1">
      <w:pPr>
        <w:spacing w:after="0"/>
        <w:ind w:firstLine="720"/>
        <w:jc w:val="both"/>
        <w:rPr>
          <w:b/>
          <w:bCs/>
          <w:lang w:val="lt-LT"/>
        </w:rPr>
      </w:pPr>
      <w:bookmarkStart w:id="3" w:name="_2_straipsnis._Pagrindinės"/>
      <w:bookmarkEnd w:id="3"/>
      <w:r>
        <w:rPr>
          <w:b/>
          <w:bCs/>
          <w:lang w:val="lt-LT"/>
        </w:rPr>
        <w:t>3. Šio Įstatymo nuostatos suderintos su šio Įstatymo 3 priedėlyje nurodytais Europos Sąjungos teisės aktais.</w:t>
      </w:r>
    </w:p>
    <w:p w14:paraId="649B3605" w14:textId="77777777" w:rsidR="00093845" w:rsidRPr="00D3044F" w:rsidRDefault="000D779E" w:rsidP="005F12F1">
      <w:pPr>
        <w:pStyle w:val="Pagrindiniotekstotrauka2"/>
        <w:tabs>
          <w:tab w:val="left" w:pos="720"/>
          <w:tab w:val="left" w:pos="1077"/>
          <w:tab w:val="left" w:pos="1418"/>
        </w:tabs>
        <w:spacing w:after="0"/>
        <w:ind w:firstLine="0"/>
        <w:rPr>
          <w:b w:val="0"/>
          <w:i/>
        </w:rPr>
      </w:pPr>
      <w:r w:rsidRPr="00D3044F">
        <w:rPr>
          <w:b w:val="0"/>
          <w:i/>
        </w:rPr>
        <w:t>(KEISTA: 2004 04 08 įstatymu Nr. IX-2102 (nuo 2004 05 01))</w:t>
      </w:r>
    </w:p>
    <w:p w14:paraId="31745567" w14:textId="77777777" w:rsidR="00093845" w:rsidRDefault="000D779E">
      <w:pPr>
        <w:pStyle w:val="Pagrindiniotekstotrauka2"/>
        <w:tabs>
          <w:tab w:val="left" w:pos="720"/>
          <w:tab w:val="left" w:pos="1077"/>
          <w:tab w:val="left" w:pos="1418"/>
        </w:tabs>
        <w:spacing w:line="240" w:lineRule="auto"/>
      </w:pPr>
      <w:r>
        <w:t>Komentaras</w:t>
      </w:r>
    </w:p>
    <w:p w14:paraId="56FD265C" w14:textId="77777777" w:rsidR="00093845" w:rsidRDefault="000D779E">
      <w:pPr>
        <w:pStyle w:val="Pagrindiniotekstotrauka2"/>
        <w:tabs>
          <w:tab w:val="left" w:pos="720"/>
          <w:tab w:val="left" w:pos="1077"/>
          <w:tab w:val="left" w:pos="1418"/>
        </w:tabs>
        <w:spacing w:line="240" w:lineRule="auto"/>
        <w:rPr>
          <w:b w:val="0"/>
        </w:rPr>
      </w:pPr>
      <w:r>
        <w:rPr>
          <w:b w:val="0"/>
        </w:rPr>
        <w:t>1.</w:t>
      </w:r>
      <w:r>
        <w:rPr>
          <w:b w:val="0"/>
        </w:rPr>
        <w:tab/>
        <w:t xml:space="preserve">Lietuvos Respublikos pelno mokesčio įstatyme (toliau – PMĮ) nustatyta tvarka apmokestinamas uždirbtas pelnas ir (arba) gautos pajamos, jei jos pagal PMĮ yra mokesčio bazė. PMĮ nuostatos taikomos visiems vienetams, kurie pagal PMĮ yra mokesčio mokėtojai, tiek įregistruoti Lietuvos Respublikos teisės aktų nustatyta tvarka, tiek įsteigti arba kitu būdu organizuoti pagal užsienio valstybės įstatymus. </w:t>
      </w:r>
    </w:p>
    <w:p w14:paraId="48B57E60" w14:textId="77777777" w:rsidR="00093845" w:rsidRDefault="000D779E">
      <w:pPr>
        <w:pStyle w:val="Pagrindiniotekstotrauka2"/>
        <w:tabs>
          <w:tab w:val="left" w:pos="720"/>
          <w:tab w:val="left" w:pos="1077"/>
          <w:tab w:val="left" w:pos="1418"/>
        </w:tabs>
        <w:spacing w:line="240" w:lineRule="auto"/>
        <w:rPr>
          <w:b w:val="0"/>
        </w:rPr>
      </w:pPr>
      <w:r>
        <w:rPr>
          <w:b w:val="0"/>
        </w:rPr>
        <w:t>2.</w:t>
      </w:r>
      <w:r>
        <w:rPr>
          <w:b w:val="0"/>
        </w:rPr>
        <w:tab/>
        <w:t>PMĮ nustatytos apmokestinimo pelno mokesčiu taisyklės (mokesčio apskaičiavimas, mokėjimas, deklaravimas, ataskaitų teikimas, mokesčio grąžinimas ir pan.) taikomos Lietuvos Respublikos teritorijoje. Lietuvos Respublikos teritorijos sąvoka apibrėžta PMĮ 2 str. 12 dalyje.</w:t>
      </w:r>
    </w:p>
    <w:p w14:paraId="75BDF260" w14:textId="77777777" w:rsidR="00093845" w:rsidRDefault="000D779E">
      <w:pPr>
        <w:pStyle w:val="Pagrindiniotekstotrauka2"/>
        <w:tabs>
          <w:tab w:val="left" w:pos="720"/>
          <w:tab w:val="left" w:pos="1077"/>
          <w:tab w:val="left" w:pos="1418"/>
        </w:tabs>
        <w:spacing w:line="240" w:lineRule="auto"/>
        <w:rPr>
          <w:b w:val="0"/>
        </w:rPr>
      </w:pPr>
      <w:r>
        <w:rPr>
          <w:b w:val="0"/>
        </w:rPr>
        <w:t>3. Ši dalis nukreipia į PMĮ 3 priedėlį, kuriame nurodomi ES teisės aktai, su kuriais suderintos PMĮ nuostatos.”</w:t>
      </w:r>
    </w:p>
    <w:p w14:paraId="13085459" w14:textId="77777777" w:rsidR="00093845" w:rsidRDefault="000D779E">
      <w:pPr>
        <w:pStyle w:val="Antrat1"/>
        <w:ind w:firstLine="720"/>
        <w:jc w:val="both"/>
        <w:rPr>
          <w:b w:val="0"/>
          <w:lang w:val="lt-LT"/>
        </w:rPr>
      </w:pPr>
      <w:r>
        <w:rPr>
          <w:b w:val="0"/>
          <w:lang w:val="lt-LT"/>
        </w:rPr>
        <w:t>(</w:t>
      </w:r>
      <w:r w:rsidR="004D150B">
        <w:rPr>
          <w:b w:val="0"/>
          <w:lang w:val="lt-LT"/>
        </w:rPr>
        <w:t>P</w:t>
      </w:r>
      <w:r>
        <w:rPr>
          <w:b w:val="0"/>
          <w:lang w:val="lt-LT"/>
        </w:rPr>
        <w:t xml:space="preserve">apildyta pagal VMI prie FM 2004-09-08 </w:t>
      </w:r>
      <w:r w:rsidR="00413F76" w:rsidRPr="00360913">
        <w:rPr>
          <w:rStyle w:val="Hipersaitas"/>
          <w:bCs/>
          <w:lang w:val="lt-LT"/>
        </w:rPr>
        <w:t>raštą</w:t>
      </w:r>
      <w:r>
        <w:rPr>
          <w:b w:val="0"/>
          <w:lang w:val="lt-LT"/>
        </w:rPr>
        <w:t xml:space="preserve"> Nr. (18.11-25-1)-R-8988)</w:t>
      </w:r>
    </w:p>
    <w:p w14:paraId="41989D65" w14:textId="77777777" w:rsidR="00093845" w:rsidRDefault="000D779E">
      <w:pPr>
        <w:pStyle w:val="Antrat1"/>
        <w:jc w:val="both"/>
        <w:rPr>
          <w:rFonts w:ascii="Times New Roman" w:hAnsi="Times New Roman" w:cs="Times New Roman"/>
          <w:bCs w:val="0"/>
          <w:lang w:val="lt-LT"/>
        </w:rPr>
      </w:pPr>
      <w:bookmarkStart w:id="4" w:name="_2_straipsnis._Pagrindinės_1"/>
      <w:bookmarkEnd w:id="4"/>
      <w:r>
        <w:rPr>
          <w:rFonts w:ascii="Times New Roman" w:hAnsi="Times New Roman" w:cs="Times New Roman"/>
          <w:bCs w:val="0"/>
          <w:lang w:val="lt-LT"/>
        </w:rPr>
        <w:t>2 STRAIPSNIS. Pagrindinės Įstatymo sąvokos</w:t>
      </w:r>
    </w:p>
    <w:p w14:paraId="16DAF4F9" w14:textId="77777777" w:rsidR="00093845" w:rsidRDefault="000D779E">
      <w:pPr>
        <w:pStyle w:val="Pagrindiniotekstotrauka2"/>
        <w:tabs>
          <w:tab w:val="left" w:pos="720"/>
          <w:tab w:val="left" w:pos="1077"/>
          <w:tab w:val="left" w:pos="1418"/>
        </w:tabs>
        <w:spacing w:line="240" w:lineRule="auto"/>
      </w:pPr>
      <w:r>
        <w:t>1.</w:t>
      </w:r>
      <w:r>
        <w:tab/>
        <w:t>Apmokestinamasis vienetas (toliau – vienetas) – Lietuvos apmokestinamasis vienetas ir užsienio apmokestinamasis vienetas.</w:t>
      </w:r>
    </w:p>
    <w:p w14:paraId="68F4C0A8" w14:textId="77777777" w:rsidR="00093845" w:rsidRDefault="000D779E">
      <w:pPr>
        <w:pStyle w:val="Pagrindiniotekstotrauka2"/>
        <w:tabs>
          <w:tab w:val="left" w:pos="720"/>
          <w:tab w:val="left" w:pos="1077"/>
          <w:tab w:val="left" w:pos="1418"/>
        </w:tabs>
        <w:spacing w:line="240" w:lineRule="auto"/>
      </w:pPr>
      <w:r>
        <w:t>Komentaras</w:t>
      </w:r>
    </w:p>
    <w:p w14:paraId="108FE2D2" w14:textId="77777777" w:rsidR="00093845" w:rsidRDefault="000D779E">
      <w:pPr>
        <w:tabs>
          <w:tab w:val="left" w:pos="720"/>
          <w:tab w:val="left" w:pos="1077"/>
          <w:tab w:val="left" w:pos="1418"/>
        </w:tabs>
        <w:ind w:firstLine="720"/>
        <w:jc w:val="both"/>
        <w:rPr>
          <w:lang w:val="lt-LT"/>
        </w:rPr>
      </w:pPr>
      <w:r>
        <w:rPr>
          <w:lang w:val="lt-LT"/>
        </w:rPr>
        <w:t xml:space="preserve">Ši sąvoka nustato, kas pagal PMĮ yra apmokestinamasis asmuo. PMĮ 2 str. 2 ir 3 dalyse apibrėžtos Lietuvos apmokestinamojo vieneto ir užsienio apmokestinamojo vieneto sąvokos. </w:t>
      </w:r>
    </w:p>
    <w:p w14:paraId="7AFD5A71" w14:textId="77777777" w:rsidR="00093845" w:rsidRDefault="00093845">
      <w:pPr>
        <w:tabs>
          <w:tab w:val="left" w:pos="720"/>
          <w:tab w:val="left" w:pos="1077"/>
          <w:tab w:val="left" w:pos="1418"/>
        </w:tabs>
        <w:ind w:firstLine="720"/>
        <w:jc w:val="both"/>
        <w:rPr>
          <w:lang w:val="lt-LT"/>
        </w:rPr>
      </w:pPr>
    </w:p>
    <w:p w14:paraId="64839E2E" w14:textId="77777777" w:rsidR="00EE7436" w:rsidRPr="00085CAE" w:rsidRDefault="00EE7436" w:rsidP="00EE7436">
      <w:pPr>
        <w:jc w:val="both"/>
        <w:rPr>
          <w:b/>
          <w:lang w:val="lt-LT"/>
        </w:rPr>
      </w:pPr>
      <w:r>
        <w:rPr>
          <w:b/>
          <w:lang w:val="lt-LT"/>
        </w:rPr>
        <w:lastRenderedPageBreak/>
        <w:t xml:space="preserve">            </w:t>
      </w:r>
      <w:r w:rsidRPr="00085CAE">
        <w:rPr>
          <w:b/>
          <w:lang w:val="lt-LT"/>
        </w:rPr>
        <w:t xml:space="preserve">2. </w:t>
      </w:r>
      <w:r w:rsidRPr="00085CAE">
        <w:rPr>
          <w:b/>
          <w:bCs/>
          <w:lang w:val="lt-LT"/>
        </w:rPr>
        <w:t>Lietuvos apmokestinamasis vienetas (toliau – Lietuvos vienetas) – juridinis asmuo, įregistruotas Lietuvos Respublikos teisės aktų nustatyta tvarka, Lietuvos Respublikoje įsteigtas kolektyvinio investavimo subjektas, neturintis juridinio asmens statuso, taip pat Lietuvos hibridinis subjektas. Kai kolektyvinio investavimo subjekto valdymas perduotas valdymo įmonei, šio Įstatymo nustatytą kolektyvinio investavimo subjekto uždirbto pelno ir (arba) gautų, išmokamų pajamų apmokestinimo tvarką taiko valdymo įmonė. Šio Įstatymo nustatytą Lietuvos hibridinio subjekto gautų pajamų apmokestinimo tvarką taiko jo dalyviai.</w:t>
      </w:r>
    </w:p>
    <w:p w14:paraId="285831BD" w14:textId="77777777" w:rsidR="00EE7436" w:rsidRPr="009F653C" w:rsidRDefault="00EE7436" w:rsidP="00EE7436">
      <w:pPr>
        <w:jc w:val="both"/>
        <w:rPr>
          <w:lang w:val="lt-LT"/>
        </w:rPr>
      </w:pPr>
      <w:r w:rsidRPr="009F653C">
        <w:t>(2021 m. gruodžio 7 įstatymo Nr. XIV-726 redakcija; taikoma nuo 2023 01 01).</w:t>
      </w:r>
    </w:p>
    <w:p w14:paraId="5A78F022" w14:textId="77777777" w:rsidR="00A914BC" w:rsidRPr="00A914BC" w:rsidRDefault="00A914BC">
      <w:pPr>
        <w:pStyle w:val="tajtip"/>
        <w:spacing w:before="0" w:beforeAutospacing="0" w:after="0" w:afterAutospacing="0"/>
        <w:jc w:val="both"/>
        <w:rPr>
          <w:i/>
          <w:iCs/>
        </w:rPr>
      </w:pPr>
    </w:p>
    <w:p w14:paraId="6CA12556" w14:textId="77777777" w:rsidR="00093845" w:rsidRDefault="000D779E">
      <w:pPr>
        <w:pStyle w:val="Pagrindiniotekstotrauka2"/>
        <w:tabs>
          <w:tab w:val="left" w:pos="720"/>
          <w:tab w:val="left" w:pos="1077"/>
          <w:tab w:val="left" w:pos="1418"/>
        </w:tabs>
        <w:spacing w:line="240" w:lineRule="auto"/>
      </w:pPr>
      <w:r>
        <w:t>Komentaras</w:t>
      </w:r>
    </w:p>
    <w:p w14:paraId="7D223E0A" w14:textId="77777777" w:rsidR="005B60DB" w:rsidRPr="00085CAE" w:rsidRDefault="000D779E" w:rsidP="005B60DB">
      <w:pPr>
        <w:tabs>
          <w:tab w:val="left" w:pos="567"/>
        </w:tabs>
        <w:jc w:val="both"/>
        <w:rPr>
          <w:lang w:val="lt-LT"/>
        </w:rPr>
      </w:pPr>
      <w:r>
        <w:rPr>
          <w:iCs/>
        </w:rPr>
        <w:tab/>
      </w:r>
      <w:r w:rsidR="005B60DB" w:rsidRPr="00085CAE">
        <w:rPr>
          <w:lang w:val="lt-LT"/>
        </w:rPr>
        <w:t xml:space="preserve">         1.   Juridinio asmens sąvoka yra apibrėžta Lietuvos </w:t>
      </w:r>
      <w:r w:rsidR="005B60DB" w:rsidRPr="00085CAE">
        <w:rPr>
          <w:color w:val="000000" w:themeColor="text1"/>
          <w:lang w:val="lt-LT"/>
        </w:rPr>
        <w:t xml:space="preserve">Respublikos </w:t>
      </w:r>
      <w:hyperlink r:id="rId10" w:history="1">
        <w:r w:rsidR="005B60DB" w:rsidRPr="00085CAE">
          <w:rPr>
            <w:rStyle w:val="Hipersaitas"/>
            <w:color w:val="000000" w:themeColor="text1"/>
            <w:lang w:val="lt-LT"/>
          </w:rPr>
          <w:t>civilinio kodekso</w:t>
        </w:r>
      </w:hyperlink>
      <w:r w:rsidR="005B60DB" w:rsidRPr="00085CAE">
        <w:rPr>
          <w:color w:val="000000" w:themeColor="text1"/>
          <w:lang w:val="lt-LT"/>
        </w:rPr>
        <w:t xml:space="preserve"> (toliau – CK) 2.33 straipsnyje. Juridiniai asmenys yra bendrovės (akcinės bendrovės</w:t>
      </w:r>
      <w:r w:rsidR="005B60DB" w:rsidRPr="00085CAE">
        <w:rPr>
          <w:lang w:val="lt-LT"/>
        </w:rPr>
        <w:t>, uždarosios akcinės bendrovės), kooperatinės bendrovės (kooperatyvai, kredito unijos, žemės ūkio bendrovės), tikrosios ir komanditinės ūkinės bendrijos, mažosios bendrijos, individualios (personalinės) įmonės, valstybės įmonės, jei kitaip nenustatyta PMĮ 3 straipsnyje. Valstybė ir savivaldybės nors ir yra priskiriamos juridiniams asmenims, tačiau nelaikomos apmokestinamaisiais vienetais, nes savo teises ir pareigas jos įgyvendina per atitinkamas valstybės ir savivaldybių valdymo institucijas.</w:t>
      </w:r>
    </w:p>
    <w:p w14:paraId="25B2F1C2" w14:textId="77777777" w:rsidR="005B60DB" w:rsidRPr="00085CAE" w:rsidRDefault="005B60DB" w:rsidP="005B60DB">
      <w:pPr>
        <w:tabs>
          <w:tab w:val="left" w:pos="567"/>
        </w:tabs>
        <w:jc w:val="both"/>
        <w:rPr>
          <w:lang w:val="lt-LT"/>
        </w:rPr>
      </w:pPr>
      <w:r w:rsidRPr="00085CAE">
        <w:rPr>
          <w:lang w:val="lt-LT"/>
        </w:rPr>
        <w:t xml:space="preserve">          2.   Juridinis asmuo yra pavadinimą turinti įmonė, įstaiga ar organizacija, kuri gali savo vardu įgyti ir turėti teises bei pareigas, būti ieškove ar atsakove teisme. Juridiniai asmenys skirstomi į ribotos civilinės atsakomybės ir neribotos civilinės atsakomybės asmenis. Jeigu prievolėms įvykdyti neužtenka neribotos civilinės atsakomybės juridinio asmens turto, už jo prievoles atsako juridinio asmens dalyvis. Neribotos civilinės atsakomybės juridiniai asmenys yra individualios įmonės ir ūkinės bendrijos.</w:t>
      </w:r>
    </w:p>
    <w:p w14:paraId="5CF15726" w14:textId="77777777" w:rsidR="005B60DB" w:rsidRPr="00085CAE" w:rsidRDefault="005B60DB" w:rsidP="005B60DB">
      <w:pPr>
        <w:jc w:val="both"/>
        <w:rPr>
          <w:lang w:val="lt-LT"/>
        </w:rPr>
      </w:pPr>
      <w:r w:rsidRPr="00085CAE">
        <w:rPr>
          <w:lang w:val="lt-LT"/>
        </w:rPr>
        <w:t xml:space="preserve">          3. Juridinio asmens filialai ir atstovybės nėra atskiri juridiniai asmenys, jie veikia pagal juridinio asmens patvirtintus nuostatus. Juridiniais asmenimis taip pat nelaikomi ūkininko ūkiai, advokatų kontoros, notarų biurai</w:t>
      </w:r>
      <w:r>
        <w:rPr>
          <w:lang w:val="lt-LT"/>
        </w:rPr>
        <w:t xml:space="preserve">. </w:t>
      </w:r>
    </w:p>
    <w:p w14:paraId="31A92512" w14:textId="77777777" w:rsidR="005B60DB" w:rsidRDefault="005B60DB" w:rsidP="005B60DB">
      <w:pPr>
        <w:ind w:firstLine="567"/>
        <w:jc w:val="both"/>
        <w:rPr>
          <w:lang w:val="lt-LT"/>
        </w:rPr>
      </w:pPr>
      <w:r w:rsidRPr="00085CAE">
        <w:rPr>
          <w:lang w:val="lt-LT"/>
        </w:rPr>
        <w:t>4</w:t>
      </w:r>
      <w:r w:rsidRPr="00085CAE">
        <w:rPr>
          <w:color w:val="000000" w:themeColor="text1"/>
          <w:lang w:val="lt-LT"/>
        </w:rPr>
        <w:t>. Lietuvos apmokestinamuoju vienetu laikomas ne tik Lietuvos Respublikos teisės aktų nustatyta tvarka įregistruotas juridinis asmuo, bet ir juridinio asmens statuso neturintis Lietuvoje įsteigtas kolektyvinio investavimo subjektas (toliau – KIS). KIS sąvoka paaiškinta PMĮ 2 straipsnio 15</w:t>
      </w:r>
      <w:r w:rsidRPr="00085CAE">
        <w:rPr>
          <w:color w:val="000000" w:themeColor="text1"/>
          <w:vertAlign w:val="superscript"/>
          <w:lang w:val="lt-LT"/>
        </w:rPr>
        <w:t>1</w:t>
      </w:r>
      <w:r w:rsidRPr="00085CAE">
        <w:rPr>
          <w:color w:val="000000" w:themeColor="text1"/>
          <w:lang w:val="lt-LT"/>
        </w:rPr>
        <w:t xml:space="preserve"> dalyje (žr. šios dalies komentarą).</w:t>
      </w:r>
      <w:r w:rsidRPr="00377DAE">
        <w:rPr>
          <w:lang w:val="lt-LT"/>
        </w:rPr>
        <w:t xml:space="preserve"> </w:t>
      </w:r>
      <w:r w:rsidRPr="002774F3">
        <w:rPr>
          <w:lang w:val="lt-LT"/>
        </w:rPr>
        <w:t>Lietuvoje įregistruotas juridinio asmens statuso neturintis pensijų fondas nelaikomas Lietuvos apmokestinamuoju vienetu</w:t>
      </w:r>
      <w:r>
        <w:rPr>
          <w:lang w:val="lt-LT"/>
        </w:rPr>
        <w:t>.</w:t>
      </w:r>
      <w:r w:rsidRPr="00FC5EBB">
        <w:rPr>
          <w:lang w:val="lt-LT"/>
        </w:rPr>
        <w:t xml:space="preserve">  </w:t>
      </w:r>
    </w:p>
    <w:p w14:paraId="40FFFC54" w14:textId="77777777" w:rsidR="005B60DB" w:rsidRPr="00085CAE" w:rsidRDefault="005B60DB" w:rsidP="005B60DB">
      <w:pPr>
        <w:jc w:val="both"/>
        <w:rPr>
          <w:lang w:val="lt-LT"/>
        </w:rPr>
      </w:pPr>
      <w:r w:rsidRPr="00085CAE">
        <w:rPr>
          <w:lang w:val="lt-LT"/>
        </w:rPr>
        <w:t xml:space="preserve">         5. Kai KIS valdymas perduotas valdymo įmonei, šio Įstatymo nustatytą KIS uždirbto pelno ir (arba) gautų, išmokamų pajamų apmokestinimo tvarką taiko valdymo įmonė.</w:t>
      </w:r>
      <w:r w:rsidRPr="00085CAE">
        <w:rPr>
          <w:color w:val="000000" w:themeColor="text1"/>
          <w:shd w:val="clear" w:color="auto" w:fill="FFFFFF"/>
          <w:lang w:val="lt-LT"/>
        </w:rPr>
        <w:t xml:space="preserve"> Valdymo įmonė vykdo tam tikras su valdomo KIS mokesčių administravimu (mokesčių išskaičiavimu, deklaravimu ir sumokėjimu) susijusias prievoles, atsižvelgiant į valdomo KIS teisinę formą (rūšį).</w:t>
      </w:r>
      <w:r w:rsidRPr="00085CAE">
        <w:rPr>
          <w:lang w:val="lt-LT"/>
        </w:rPr>
        <w:t xml:space="preserve"> </w:t>
      </w:r>
      <w:r w:rsidRPr="00B71898">
        <w:rPr>
          <w:lang w:val="lt-LT"/>
        </w:rPr>
        <w:t>Lietuvoje įsteigto KIS, neturinčio juridinio asmens statuso, pelno mokesčio išskaičiavimo, deklaravimo ir sumokėjimo prievoles KIS vardu vykdo valdymo įmonė, pateikdama užpildytą Metinės pelno mokesčio deklaracijos formą PLN204A</w:t>
      </w:r>
      <w:r>
        <w:rPr>
          <w:lang w:val="lt-LT"/>
        </w:rPr>
        <w:t>.</w:t>
      </w:r>
    </w:p>
    <w:p w14:paraId="378005B9" w14:textId="77777777" w:rsidR="005B60DB" w:rsidRDefault="005B60DB" w:rsidP="005B60DB">
      <w:pPr>
        <w:ind w:firstLine="567"/>
        <w:jc w:val="both"/>
        <w:rPr>
          <w:lang w:val="lt-LT"/>
        </w:rPr>
      </w:pPr>
      <w:r w:rsidRPr="00085CAE">
        <w:rPr>
          <w:lang w:val="lt-LT"/>
        </w:rPr>
        <w:t>KIS valdymo ir valdymo įmonės sąvokos apibrėžtos - KIS veiklą reglamentuojančiuose teisės aktuose.</w:t>
      </w:r>
    </w:p>
    <w:p w14:paraId="45685091" w14:textId="77777777" w:rsidR="005B60DB" w:rsidRDefault="005B60DB" w:rsidP="005B60DB">
      <w:pPr>
        <w:ind w:firstLine="567"/>
        <w:jc w:val="both"/>
        <w:rPr>
          <w:lang w:val="lt-LT"/>
        </w:rPr>
      </w:pPr>
      <w:r>
        <w:rPr>
          <w:lang w:val="lt-LT"/>
        </w:rPr>
        <w:t xml:space="preserve">6. </w:t>
      </w:r>
      <w:r w:rsidRPr="00085CAE">
        <w:rPr>
          <w:lang w:val="lt-LT"/>
        </w:rPr>
        <w:t>Lietuvos apmokestinamuoju vienetu taip pat laikomas Lietuvos hibridinis subjektas</w:t>
      </w:r>
      <w:r>
        <w:rPr>
          <w:lang w:val="lt-LT"/>
        </w:rPr>
        <w:t xml:space="preserve"> (žr. </w:t>
      </w:r>
      <w:r w:rsidRPr="00085CAE">
        <w:rPr>
          <w:lang w:val="lt-LT"/>
        </w:rPr>
        <w:t>PMĮ 2 straipsnio 16</w:t>
      </w:r>
      <w:r w:rsidRPr="00085CAE">
        <w:rPr>
          <w:vertAlign w:val="superscript"/>
          <w:lang w:val="lt-LT"/>
        </w:rPr>
        <w:t>2</w:t>
      </w:r>
      <w:r w:rsidRPr="00085CAE">
        <w:rPr>
          <w:lang w:val="lt-LT"/>
        </w:rPr>
        <w:t xml:space="preserve"> dal</w:t>
      </w:r>
      <w:r>
        <w:rPr>
          <w:lang w:val="lt-LT"/>
        </w:rPr>
        <w:t>į)</w:t>
      </w:r>
      <w:r w:rsidRPr="00085CAE">
        <w:rPr>
          <w:lang w:val="lt-LT"/>
        </w:rPr>
        <w:t xml:space="preserve">. </w:t>
      </w:r>
    </w:p>
    <w:p w14:paraId="4DE793A8" w14:textId="77777777" w:rsidR="00093845" w:rsidRDefault="00093845">
      <w:pPr>
        <w:pStyle w:val="tajtip"/>
        <w:rPr>
          <w:iCs/>
        </w:rPr>
      </w:pPr>
    </w:p>
    <w:p w14:paraId="48186AB9" w14:textId="77777777" w:rsidR="009F653C" w:rsidRPr="00085CAE" w:rsidRDefault="009F653C" w:rsidP="009F653C">
      <w:pPr>
        <w:jc w:val="both"/>
        <w:rPr>
          <w:b/>
          <w:lang w:val="lt-LT"/>
        </w:rPr>
      </w:pPr>
      <w:r>
        <w:lastRenderedPageBreak/>
        <w:t xml:space="preserve">            </w:t>
      </w:r>
      <w:r w:rsidRPr="00085CAE">
        <w:rPr>
          <w:b/>
          <w:lang w:val="lt-LT"/>
        </w:rPr>
        <w:t xml:space="preserve">3. </w:t>
      </w:r>
      <w:r w:rsidRPr="00085CAE">
        <w:rPr>
          <w:b/>
          <w:bCs/>
          <w:lang w:val="lt-LT"/>
        </w:rPr>
        <w:t>Užsienio apmokestinamasis vienetas</w:t>
      </w:r>
      <w:r w:rsidRPr="00085CAE">
        <w:rPr>
          <w:b/>
          <w:lang w:val="lt-LT"/>
        </w:rPr>
        <w:t> (toliau - </w:t>
      </w:r>
      <w:r w:rsidRPr="00085CAE">
        <w:rPr>
          <w:b/>
          <w:bCs/>
          <w:lang w:val="lt-LT"/>
        </w:rPr>
        <w:t>užsienio vienetas</w:t>
      </w:r>
      <w:r w:rsidRPr="00085CAE">
        <w:rPr>
          <w:b/>
          <w:lang w:val="lt-LT"/>
        </w:rPr>
        <w:t xml:space="preserve">) - užsienio valstybės juridinis asmuo ar organizacija, kurių buveinė yra užsienio valstybėje ir kurie įsteigti arba kitokiu būdu organizuoti pagal užsienio valstybės teisės aktus, </w:t>
      </w:r>
      <w:r w:rsidRPr="00FC5EBB">
        <w:rPr>
          <w:b/>
          <w:lang w:val="lt-LT"/>
        </w:rPr>
        <w:t>taip pat bet kuris kitas užsienyje įsteigtas, įkurtas ar kitaip organizuotas apmokestinamasis vienetas, įskaitant</w:t>
      </w:r>
      <w:r w:rsidRPr="00085CAE">
        <w:rPr>
          <w:b/>
          <w:lang w:val="lt-LT"/>
        </w:rPr>
        <w:t xml:space="preserve"> kolektyvinio investavimo subjektus. </w:t>
      </w:r>
    </w:p>
    <w:p w14:paraId="6BC31B1D" w14:textId="77777777" w:rsidR="009F653C" w:rsidRPr="009F653C" w:rsidRDefault="009F653C" w:rsidP="009F653C">
      <w:pPr>
        <w:pStyle w:val="Pagrindiniotekstotrauka2"/>
        <w:tabs>
          <w:tab w:val="left" w:pos="720"/>
          <w:tab w:val="left" w:pos="1077"/>
          <w:tab w:val="left" w:pos="1418"/>
        </w:tabs>
        <w:spacing w:after="0" w:line="240" w:lineRule="auto"/>
        <w:rPr>
          <w:b w:val="0"/>
          <w:color w:val="000000" w:themeColor="text1"/>
        </w:rPr>
      </w:pPr>
      <w:r w:rsidRPr="009F653C">
        <w:rPr>
          <w:b w:val="0"/>
          <w:color w:val="000000" w:themeColor="text1"/>
        </w:rPr>
        <w:t>(2017 m. gruodžio 7 d. įstatymo Nr. XIII-842 redakcija; taikoma nuo 2018-01-01).</w:t>
      </w:r>
    </w:p>
    <w:p w14:paraId="36F4148F" w14:textId="77777777" w:rsidR="00A914BC" w:rsidRPr="00D3044F" w:rsidRDefault="00A914BC" w:rsidP="00D3044F">
      <w:pPr>
        <w:pStyle w:val="Pagrindiniotekstotrauka2"/>
        <w:tabs>
          <w:tab w:val="left" w:pos="720"/>
          <w:tab w:val="left" w:pos="1077"/>
          <w:tab w:val="left" w:pos="1418"/>
        </w:tabs>
        <w:spacing w:after="0" w:line="240" w:lineRule="auto"/>
        <w:ind w:firstLine="0"/>
        <w:rPr>
          <w:i/>
          <w:iCs/>
        </w:rPr>
      </w:pPr>
    </w:p>
    <w:p w14:paraId="4CC57084" w14:textId="77777777" w:rsidR="00093845" w:rsidRDefault="000D779E">
      <w:pPr>
        <w:pStyle w:val="Pagrindiniotekstotrauka2"/>
        <w:tabs>
          <w:tab w:val="left" w:pos="720"/>
          <w:tab w:val="left" w:pos="1077"/>
          <w:tab w:val="left" w:pos="1418"/>
        </w:tabs>
        <w:spacing w:line="240" w:lineRule="auto"/>
      </w:pPr>
      <w:r>
        <w:t>Komentaras</w:t>
      </w:r>
    </w:p>
    <w:p w14:paraId="4D7A4521" w14:textId="77777777" w:rsidR="009F653C" w:rsidRPr="00085CAE" w:rsidRDefault="000D779E" w:rsidP="009F653C">
      <w:pPr>
        <w:pStyle w:val="Sraopastraipa"/>
        <w:ind w:left="0" w:firstLine="284"/>
        <w:jc w:val="both"/>
        <w:rPr>
          <w:bCs/>
        </w:rPr>
      </w:pPr>
      <w:r>
        <w:rPr>
          <w:iCs/>
        </w:rPr>
        <w:tab/>
      </w:r>
      <w:r w:rsidR="009F653C" w:rsidRPr="00085CAE">
        <w:rPr>
          <w:bCs/>
        </w:rPr>
        <w:t>1.    Užsienio apmokestinamieji vienetai pagal PMĮ yra užsienio valstybės juridiniai asmenys ar organizacijos, kurių buveinė yra užsienio valstybėje ir kurie įsteigti arba kitokiu būdu organizuoti pagal užsienio valstybės teisės aktus,</w:t>
      </w:r>
      <w:r w:rsidR="009F653C" w:rsidRPr="00085CAE">
        <w:t xml:space="preserve"> taip pat bet kuris kitas užsienyje įsteigtas, įkurtas ar kitaip organizuotas apmokestinamasis vienetas, įskaitant KIS. </w:t>
      </w:r>
      <w:r w:rsidR="009F653C" w:rsidRPr="00085CAE">
        <w:rPr>
          <w:bCs/>
        </w:rPr>
        <w:t xml:space="preserve">Juridinio asmens buveinė apibūdinama nurodant patalpų, kuriose yra buveinė, adresą. Užsienio apmokestinamieji vienetai yra bet kokie vienetai, įskaitant įmones, įstaigas ir organizacijas, neatsižvelgiant į jų organizavimo formą bei į tai, ar jie yra juridiniai asmenys pagal užsienio valstybės teisės aktus, ar ne. </w:t>
      </w:r>
    </w:p>
    <w:p w14:paraId="66BAE046" w14:textId="77777777" w:rsidR="009F653C" w:rsidRPr="00085CAE" w:rsidRDefault="009F653C" w:rsidP="009F653C">
      <w:pPr>
        <w:pStyle w:val="Sraopastraipa"/>
        <w:ind w:left="0" w:firstLine="284"/>
        <w:jc w:val="both"/>
        <w:rPr>
          <w:bCs/>
        </w:rPr>
      </w:pPr>
      <w:r w:rsidRPr="00085CAE">
        <w:rPr>
          <w:bCs/>
        </w:rPr>
        <w:t xml:space="preserve">       2. Nustatant, ar subjektas gali būti laikomas užsienio apmokestinamuoju vienetu, atsižvelgiama ne tik į tai, ar jis yra įregistruotas, tačiau įvertinami ir kiti PMĮ nustatyti požymiai, t. y., įkūrimas ar kitoks organizavimas.</w:t>
      </w:r>
    </w:p>
    <w:p w14:paraId="2A3ABCBD" w14:textId="77777777" w:rsidR="00093845" w:rsidRDefault="009F653C" w:rsidP="009F653C">
      <w:pPr>
        <w:pStyle w:val="Sraopastraipa"/>
        <w:ind w:left="0" w:firstLine="709"/>
        <w:jc w:val="both"/>
      </w:pPr>
      <w:r w:rsidRPr="00085CAE">
        <w:rPr>
          <w:bCs/>
        </w:rPr>
        <w:t xml:space="preserve">3. Užsienio apmokestinamaisiais vienetais laikomi ir juridinio asmens statuso neturintys </w:t>
      </w:r>
      <w:r w:rsidRPr="00085CAE">
        <w:t xml:space="preserve">užsienyje įsteigti, įkurti ar kitaip organizuoti kolektyvinio investavimo subjektai. </w:t>
      </w:r>
      <w:r w:rsidRPr="00085CAE">
        <w:rPr>
          <w:color w:val="000000" w:themeColor="text1"/>
        </w:rPr>
        <w:t>KIS sąvoka paaiškinta PMĮ 2 straipsnio 15</w:t>
      </w:r>
      <w:r w:rsidRPr="00085CAE">
        <w:rPr>
          <w:color w:val="000000" w:themeColor="text1"/>
          <w:vertAlign w:val="superscript"/>
        </w:rPr>
        <w:t>1</w:t>
      </w:r>
      <w:r w:rsidRPr="00085CAE">
        <w:rPr>
          <w:color w:val="000000" w:themeColor="text1"/>
        </w:rPr>
        <w:t xml:space="preserve"> dalyje (žr. šios dalies komentarą)</w:t>
      </w:r>
      <w:r w:rsidRPr="00085CAE">
        <w:t>.</w:t>
      </w:r>
    </w:p>
    <w:p w14:paraId="2A677A4D" w14:textId="77777777" w:rsidR="009F653C" w:rsidRPr="008B6CFC" w:rsidRDefault="00A6757D" w:rsidP="008B6CFC">
      <w:pPr>
        <w:jc w:val="both"/>
        <w:rPr>
          <w:rFonts w:ascii="Trebuchet MS" w:hAnsi="Trebuchet MS"/>
          <w:sz w:val="20"/>
          <w:szCs w:val="22"/>
          <w:lang w:val="lt-LT"/>
        </w:rPr>
      </w:pPr>
      <w:r>
        <w:rPr>
          <w:iCs/>
          <w:lang w:eastAsia="lt-LT"/>
        </w:rPr>
        <w:t>(PMĮ 2  straipsnio 2 ir 3 dalių komentaras parengtas pagal VMI prie FM 2024-05-06 raštą Nr. (18.32-31-1 Mr)-R-1685)</w:t>
      </w:r>
    </w:p>
    <w:p w14:paraId="5ECB9511" w14:textId="77777777" w:rsidR="00093845" w:rsidRPr="00360913" w:rsidRDefault="000D779E">
      <w:pPr>
        <w:ind w:firstLine="720"/>
        <w:jc w:val="both"/>
        <w:rPr>
          <w:b/>
        </w:rPr>
      </w:pPr>
      <w:r w:rsidRPr="00360913">
        <w:rPr>
          <w:b/>
        </w:rPr>
        <w:t>4</w:t>
      </w:r>
      <w:r>
        <w:rPr>
          <w:b/>
          <w:bCs/>
        </w:rPr>
        <w:t>. Kontroliuojamasis apmokestinamasis vienetas (</w:t>
      </w:r>
      <w:r w:rsidRPr="00360913">
        <w:rPr>
          <w:b/>
        </w:rPr>
        <w:t xml:space="preserve">toliau – </w:t>
      </w:r>
      <w:r>
        <w:rPr>
          <w:b/>
          <w:bCs/>
        </w:rPr>
        <w:t>kontroliuojamasis vienetas</w:t>
      </w:r>
      <w:r w:rsidRPr="00360913">
        <w:rPr>
          <w:b/>
        </w:rPr>
        <w:t xml:space="preserve">) – vienetas, laikomas kontroliuojamu kito vieneto arba nuolatinio gyventojo (toliau – </w:t>
      </w:r>
      <w:r>
        <w:rPr>
          <w:b/>
          <w:bCs/>
        </w:rPr>
        <w:t>kontroliuojantis asmuo</w:t>
      </w:r>
      <w:r w:rsidRPr="00360913">
        <w:rPr>
          <w:b/>
        </w:rPr>
        <w:t>), jeigu:</w:t>
      </w:r>
    </w:p>
    <w:p w14:paraId="432296C0" w14:textId="77777777" w:rsidR="00093845" w:rsidRPr="00360913" w:rsidRDefault="000D779E">
      <w:pPr>
        <w:ind w:firstLine="720"/>
        <w:jc w:val="both"/>
        <w:rPr>
          <w:b/>
        </w:rPr>
      </w:pPr>
      <w:r w:rsidRPr="00360913">
        <w:rPr>
          <w:b/>
        </w:rPr>
        <w:t>1) jis yra kontroliuojančio asmens kontroliuojamas paskutinę mokestinio laikotarpio dieną ir</w:t>
      </w:r>
    </w:p>
    <w:p w14:paraId="20FE1AF8" w14:textId="77777777" w:rsidR="00093845" w:rsidRPr="00360913" w:rsidRDefault="000D779E">
      <w:pPr>
        <w:ind w:firstLine="720"/>
        <w:jc w:val="both"/>
        <w:rPr>
          <w:b/>
        </w:rPr>
      </w:pPr>
      <w:r w:rsidRPr="00360913">
        <w:rPr>
          <w:b/>
        </w:rPr>
        <w:t>2) jame kontroliuojantis asmuo tiesiogiai ar netiesiogiai valdo daugiau kaip 50 procentų akcijų (dalių, pajų) ar kitų teisių į paskirstytinojo pelno dalį arba išimtinių teisių jas įsigyti, arba</w:t>
      </w:r>
    </w:p>
    <w:p w14:paraId="4F5D600E" w14:textId="77777777" w:rsidR="00093845" w:rsidRDefault="000D779E">
      <w:pPr>
        <w:ind w:firstLine="720"/>
        <w:jc w:val="both"/>
        <w:rPr>
          <w:b/>
        </w:rPr>
      </w:pPr>
      <w:r w:rsidRPr="00360913">
        <w:rPr>
          <w:b/>
        </w:rPr>
        <w:t>3) jame kontroliuojantis asmuo kartu su susijusiais asmenimis valdo daugiau kaip 50 procentų akcijų (dalių, pajų) ar kitų teisių į paskirstytinojo pelno dalį arba išimtinių teisių jas įsigyti ir kontroliuojančio asmens valdoma dalis yra ne mažesnė kaip 10 procentų akcijų (dalių, pajų) ar kitų teisių į paskirstytinojo pelno dalį arba išimtinių teisių jas įsigyti.</w:t>
      </w:r>
    </w:p>
    <w:p w14:paraId="4C3AC942" w14:textId="77777777" w:rsidR="00093845" w:rsidRPr="00D3044F" w:rsidRDefault="000D779E" w:rsidP="00360913">
      <w:pPr>
        <w:jc w:val="both"/>
        <w:rPr>
          <w:i/>
        </w:rPr>
      </w:pPr>
      <w:r w:rsidRPr="00D3044F">
        <w:rPr>
          <w:i/>
        </w:rPr>
        <w:t>(KEISTA: 2018 12 06 įstatymu Nr. XIII-1697 (nuo 2019 01 01))</w:t>
      </w:r>
    </w:p>
    <w:p w14:paraId="0647D075" w14:textId="77777777" w:rsidR="00093845" w:rsidRDefault="000D779E">
      <w:pPr>
        <w:pStyle w:val="Pagrindiniotekstotrauka2"/>
        <w:tabs>
          <w:tab w:val="left" w:pos="720"/>
          <w:tab w:val="left" w:pos="1077"/>
          <w:tab w:val="left" w:pos="1418"/>
        </w:tabs>
        <w:spacing w:line="240" w:lineRule="auto"/>
      </w:pPr>
      <w:r>
        <w:t>Komentaras</w:t>
      </w:r>
    </w:p>
    <w:p w14:paraId="0C14C610" w14:textId="77777777" w:rsidR="00093845" w:rsidRDefault="000D779E">
      <w:pPr>
        <w:pStyle w:val="tajtip"/>
        <w:rPr>
          <w:iCs/>
        </w:rPr>
      </w:pPr>
      <w:r>
        <w:rPr>
          <w:iCs/>
        </w:rPr>
        <w:tab/>
        <w:t>Komentaras rengiamas</w:t>
      </w:r>
    </w:p>
    <w:p w14:paraId="13FF1813" w14:textId="77777777" w:rsidR="00093845" w:rsidRDefault="000D779E">
      <w:pPr>
        <w:ind w:firstLine="720"/>
        <w:jc w:val="both"/>
        <w:rPr>
          <w:b/>
          <w:lang w:eastAsia="lt-LT"/>
        </w:rPr>
      </w:pPr>
      <w:r w:rsidRPr="00360913">
        <w:rPr>
          <w:b/>
          <w:lang w:eastAsia="lt-LT"/>
        </w:rPr>
        <w:t>4</w:t>
      </w:r>
      <w:r w:rsidRPr="00360913">
        <w:rPr>
          <w:b/>
          <w:vertAlign w:val="superscript"/>
          <w:lang w:eastAsia="lt-LT"/>
        </w:rPr>
        <w:t>1</w:t>
      </w:r>
      <w:r w:rsidRPr="00360913">
        <w:rPr>
          <w:b/>
          <w:lang w:eastAsia="lt-LT"/>
        </w:rPr>
        <w:t>.</w:t>
      </w:r>
      <w:r>
        <w:rPr>
          <w:b/>
          <w:lang w:eastAsia="lt-LT"/>
        </w:rPr>
        <w:t xml:space="preserve"> Kontroliuojamasis užsienio apmokestinamasis subjektas </w:t>
      </w:r>
      <w:r w:rsidRPr="00360913">
        <w:rPr>
          <w:b/>
          <w:lang w:eastAsia="lt-LT"/>
        </w:rPr>
        <w:t>(toliau –</w:t>
      </w:r>
      <w:r>
        <w:rPr>
          <w:b/>
          <w:lang w:eastAsia="lt-LT"/>
        </w:rPr>
        <w:t xml:space="preserve"> kontroliuojamasis užsienio subjektas</w:t>
      </w:r>
      <w:r w:rsidRPr="00360913">
        <w:rPr>
          <w:b/>
          <w:lang w:eastAsia="lt-LT"/>
        </w:rPr>
        <w:t>):</w:t>
      </w:r>
      <w:r>
        <w:rPr>
          <w:b/>
          <w:lang w:eastAsia="lt-LT"/>
        </w:rPr>
        <w:t xml:space="preserve"> </w:t>
      </w:r>
    </w:p>
    <w:p w14:paraId="3C4B5696" w14:textId="77777777" w:rsidR="00093845" w:rsidRPr="00360913" w:rsidRDefault="000D779E">
      <w:pPr>
        <w:ind w:firstLine="720"/>
        <w:jc w:val="both"/>
        <w:rPr>
          <w:b/>
          <w:color w:val="000000"/>
          <w:lang w:eastAsia="lt-LT"/>
        </w:rPr>
      </w:pPr>
      <w:r w:rsidRPr="00360913">
        <w:rPr>
          <w:b/>
          <w:color w:val="000000"/>
          <w:lang w:eastAsia="lt-LT"/>
        </w:rPr>
        <w:t>1) kontroliuojamasis užsienio apmokestinamasis vienetas;</w:t>
      </w:r>
    </w:p>
    <w:p w14:paraId="31458F7C" w14:textId="77777777" w:rsidR="00093845" w:rsidRPr="00360913" w:rsidRDefault="000D779E">
      <w:pPr>
        <w:ind w:firstLine="720"/>
        <w:jc w:val="both"/>
        <w:rPr>
          <w:b/>
          <w:lang w:eastAsia="lt-LT"/>
        </w:rPr>
      </w:pPr>
      <w:r w:rsidRPr="00360913">
        <w:rPr>
          <w:b/>
          <w:color w:val="000000"/>
          <w:lang w:eastAsia="lt-LT"/>
        </w:rPr>
        <w:t xml:space="preserve">2) </w:t>
      </w:r>
      <w:r w:rsidRPr="00360913">
        <w:rPr>
          <w:b/>
          <w:lang w:eastAsia="lt-LT"/>
        </w:rPr>
        <w:t>Lietuvos vieneto nuolatinė buveinė, kurios pajamos nepriskiriamos Lietuvos vieneto mokesčio bazei pagal šio Įstatymo 4 straipsnio 1 dalį.</w:t>
      </w:r>
    </w:p>
    <w:p w14:paraId="549E5D77" w14:textId="77777777" w:rsidR="00093845" w:rsidRPr="00D3044F" w:rsidRDefault="000D779E">
      <w:pPr>
        <w:jc w:val="both"/>
        <w:rPr>
          <w:i/>
        </w:rPr>
      </w:pPr>
      <w:r w:rsidRPr="00D3044F">
        <w:rPr>
          <w:i/>
        </w:rPr>
        <w:lastRenderedPageBreak/>
        <w:t>(KEISTA: 2018 12 06 įstatymu Nr. XIII-1697 (nuo 2019 01 01))</w:t>
      </w:r>
    </w:p>
    <w:p w14:paraId="5A747AC4" w14:textId="77777777" w:rsidR="00093845" w:rsidRDefault="000D779E">
      <w:pPr>
        <w:pStyle w:val="Pagrindiniotekstotrauka2"/>
        <w:tabs>
          <w:tab w:val="left" w:pos="720"/>
          <w:tab w:val="left" w:pos="1077"/>
          <w:tab w:val="left" w:pos="1418"/>
        </w:tabs>
        <w:spacing w:line="240" w:lineRule="auto"/>
      </w:pPr>
      <w:r>
        <w:t>Komentaras</w:t>
      </w:r>
    </w:p>
    <w:p w14:paraId="4196978E" w14:textId="77777777" w:rsidR="00093845" w:rsidRPr="00360913" w:rsidRDefault="000D779E">
      <w:pPr>
        <w:pStyle w:val="tajtip"/>
        <w:rPr>
          <w:iCs/>
          <w:color w:val="FF0000"/>
        </w:rPr>
      </w:pPr>
      <w:r>
        <w:rPr>
          <w:iCs/>
        </w:rPr>
        <w:tab/>
        <w:t>Komentaras rengiamas</w:t>
      </w:r>
    </w:p>
    <w:p w14:paraId="49410112" w14:textId="77777777" w:rsidR="00093845" w:rsidRPr="00360913" w:rsidRDefault="000D779E">
      <w:pPr>
        <w:ind w:firstLine="720"/>
        <w:jc w:val="both"/>
        <w:rPr>
          <w:b/>
          <w:color w:val="000000"/>
        </w:rPr>
      </w:pPr>
      <w:r w:rsidRPr="00FA5CE2">
        <w:rPr>
          <w:b/>
        </w:rPr>
        <w:t>4</w:t>
      </w:r>
      <w:r w:rsidRPr="00FA5CE2">
        <w:rPr>
          <w:b/>
          <w:vertAlign w:val="superscript"/>
        </w:rPr>
        <w:t>2</w:t>
      </w:r>
      <w:r w:rsidRPr="00FA5CE2">
        <w:rPr>
          <w:b/>
        </w:rPr>
        <w:t xml:space="preserve">. Kontroliuojamasis užsienio apmokestinamasis vienetas (toliau – kontroliuojamasis užsienio vienetas) – </w:t>
      </w:r>
      <w:r w:rsidRPr="00360913">
        <w:rPr>
          <w:b/>
          <w:color w:val="000000"/>
        </w:rPr>
        <w:t>užsienio vienetas, kuriame Lietuvos vienetas vienas arba kartu su susijusiais asmenimis paskutinę to užsienio vieneto mokestinio laikotarpio dieną tiesiogiai ar netiesiogiai valdo daugiau kaip 50 procentų akcijų (dalių, pajų), balsavimo teisių ar teisių į paskirstytinojo pelno dalį arba išimtinių teisių jas įsigyti.</w:t>
      </w:r>
    </w:p>
    <w:p w14:paraId="5DD2EB40" w14:textId="77777777" w:rsidR="00093845" w:rsidRPr="00D3044F" w:rsidRDefault="000D779E">
      <w:pPr>
        <w:jc w:val="both"/>
        <w:rPr>
          <w:i/>
        </w:rPr>
      </w:pPr>
      <w:r w:rsidRPr="00D3044F">
        <w:rPr>
          <w:i/>
        </w:rPr>
        <w:t>(KEISTA: 2018 12 06 įstatymu Nr. XIII-1697 (nuo 2019 01 01))</w:t>
      </w:r>
    </w:p>
    <w:p w14:paraId="7F97DCAC" w14:textId="77777777" w:rsidR="00093845" w:rsidRDefault="000D779E">
      <w:pPr>
        <w:pStyle w:val="Pagrindiniotekstotrauka2"/>
        <w:tabs>
          <w:tab w:val="left" w:pos="720"/>
          <w:tab w:val="left" w:pos="1077"/>
          <w:tab w:val="left" w:pos="1418"/>
        </w:tabs>
        <w:spacing w:line="240" w:lineRule="auto"/>
      </w:pPr>
      <w:r>
        <w:t>Komentaras</w:t>
      </w:r>
    </w:p>
    <w:p w14:paraId="7FF9BE4C" w14:textId="77777777" w:rsidR="00093845" w:rsidRDefault="000D779E">
      <w:pPr>
        <w:pStyle w:val="tajtip"/>
        <w:rPr>
          <w:iCs/>
        </w:rPr>
      </w:pPr>
      <w:r>
        <w:rPr>
          <w:iCs/>
        </w:rPr>
        <w:tab/>
        <w:t>Komentaras rengiamas</w:t>
      </w:r>
    </w:p>
    <w:p w14:paraId="2B0667B7" w14:textId="77777777" w:rsidR="00093845" w:rsidRDefault="000D779E">
      <w:pPr>
        <w:pStyle w:val="Pagrindiniotekstotrauka2"/>
        <w:tabs>
          <w:tab w:val="left" w:pos="720"/>
          <w:tab w:val="left" w:pos="1077"/>
          <w:tab w:val="left" w:pos="1418"/>
        </w:tabs>
        <w:spacing w:line="240" w:lineRule="auto"/>
      </w:pPr>
      <w:r>
        <w:t>5.</w:t>
      </w:r>
      <w:r>
        <w:tab/>
        <w:t>Pelno nesiekiantis vienetas – vienetas, kurio veiklos tikslas nėra pelno siekimas ir kuris pagal jo veiklą reglamentuojančius teisės aktus gauto pelno neturi teisės skirstyti savo steigėjams ir (arba) dalyviams.</w:t>
      </w:r>
    </w:p>
    <w:p w14:paraId="2FC5A5EF" w14:textId="77777777" w:rsidR="00093845" w:rsidRDefault="000D779E">
      <w:pPr>
        <w:pStyle w:val="Pagrindiniotekstotrauka2"/>
        <w:tabs>
          <w:tab w:val="left" w:pos="720"/>
          <w:tab w:val="left" w:pos="1077"/>
          <w:tab w:val="left" w:pos="1418"/>
        </w:tabs>
        <w:spacing w:line="240" w:lineRule="auto"/>
      </w:pPr>
      <w:r>
        <w:t>Komentaras</w:t>
      </w:r>
    </w:p>
    <w:p w14:paraId="4C7B7C1E" w14:textId="77777777" w:rsidR="00093845" w:rsidRDefault="000D779E">
      <w:pPr>
        <w:tabs>
          <w:tab w:val="left" w:pos="720"/>
          <w:tab w:val="left" w:pos="1077"/>
          <w:tab w:val="left" w:pos="1418"/>
        </w:tabs>
        <w:ind w:firstLine="720"/>
        <w:jc w:val="both"/>
        <w:rPr>
          <w:lang w:val="lt-LT"/>
        </w:rPr>
      </w:pPr>
      <w:r>
        <w:rPr>
          <w:lang w:val="lt-LT"/>
        </w:rPr>
        <w:t>1.</w:t>
      </w:r>
      <w:r>
        <w:rPr>
          <w:lang w:val="lt-LT"/>
        </w:rPr>
        <w:tab/>
        <w:t>Pelno nesiekiantys vienetai yra vienetai, kurie atitinka tokius du kriterijus:</w:t>
      </w:r>
    </w:p>
    <w:p w14:paraId="385570E0" w14:textId="77777777" w:rsidR="00093845" w:rsidRDefault="000D779E">
      <w:pPr>
        <w:tabs>
          <w:tab w:val="left" w:pos="720"/>
          <w:tab w:val="left" w:pos="1077"/>
          <w:tab w:val="left" w:pos="1418"/>
        </w:tabs>
        <w:ind w:firstLine="720"/>
        <w:jc w:val="both"/>
        <w:rPr>
          <w:lang w:val="lt-LT"/>
        </w:rPr>
      </w:pPr>
      <w:r>
        <w:rPr>
          <w:lang w:val="lt-LT"/>
        </w:rPr>
        <w:t>1.1.</w:t>
      </w:r>
      <w:r>
        <w:rPr>
          <w:lang w:val="lt-LT"/>
        </w:rPr>
        <w:tab/>
        <w:t>jų veiklos tikslas nėra pelno siekimas. Vienetų veikla faktiškai turi atitikti šių organizacijų veiklą reglamentuojančiuose teisės aktuose ir įstatuose numatytiems tikslams ir atitinkamų veiklos sričių (pvz., socialinės, švietimo, mokslo, kultūros, sporto ir pan.) vykdymo reikalavimams.</w:t>
      </w:r>
    </w:p>
    <w:p w14:paraId="40D82362"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1.2.</w:t>
      </w:r>
      <w:r>
        <w:rPr>
          <w:rFonts w:ascii="Times New Roman" w:hAnsi="Times New Roman"/>
          <w:lang w:val="lt-LT"/>
        </w:rPr>
        <w:tab/>
        <w:t>jų pelnas pagal veiklą reglamentuojančius teisės aktus nėra skirstomas steigėjams ir (arba) veiklos dalyviams. Jeigu pelnas yra skirstomas, neatsižvelgiant į tai, kokia forma tai atliekama, toks vienetas nelaikomas pelno nesiekiančiu vienetu ir privalo apskaičiuoti, deklaruoti ir mokėti pelno mokestį PMĮ nustatyta tvarka.</w:t>
      </w:r>
    </w:p>
    <w:p w14:paraId="3ED2308E" w14:textId="77777777" w:rsidR="00093845" w:rsidRDefault="000D779E">
      <w:pPr>
        <w:ind w:firstLine="720"/>
        <w:jc w:val="both"/>
        <w:rPr>
          <w:lang w:val="lt-LT"/>
        </w:rPr>
      </w:pPr>
      <w:r>
        <w:rPr>
          <w:lang w:val="lt-LT"/>
        </w:rPr>
        <w:t>2. Pelno nesiekiančių organizacijų steigimą, veiklą ir likvidavimą reguliuojančiuose įstatymuose numatyta, kad pelno nesiekiantys vienetai be viešąjį interesą tenkinančios veiklos turi teisę vykdyti ir komercinę veiklą bei gauti tokios veiklos pajamas. Jeigu vienetas nevykdo viešąjį interesą tenkinančios veiklos (vykdo tik pelno siekiančią veiklą, pvz., teikia tarpininkavimo arba kitas su viešojo intereso teikimu nesusijusias paslaugas, vykdo prekybą) arba viešąjį interesą tenkinanti veikla sudaro nereikšmingą veiklos dalį, laikoma, kad vienetas neatitinka pelno nesiekiančio vieneto kriterijams.</w:t>
      </w:r>
    </w:p>
    <w:p w14:paraId="209D9C24" w14:textId="77777777" w:rsidR="00093845" w:rsidRDefault="000D779E">
      <w:pPr>
        <w:ind w:firstLine="720"/>
        <w:jc w:val="both"/>
        <w:rPr>
          <w:lang w:val="lt-LT"/>
        </w:rPr>
      </w:pPr>
      <w:r>
        <w:rPr>
          <w:lang w:val="lt-LT"/>
        </w:rPr>
        <w:t>Pavyzdžiai</w:t>
      </w:r>
    </w:p>
    <w:p w14:paraId="597BE1C6" w14:textId="77777777" w:rsidR="00093845" w:rsidRDefault="000D779E">
      <w:pPr>
        <w:pBdr>
          <w:top w:val="single" w:sz="4" w:space="1" w:color="auto"/>
          <w:left w:val="single" w:sz="4" w:space="4" w:color="auto"/>
          <w:bottom w:val="single" w:sz="4" w:space="1" w:color="auto"/>
          <w:right w:val="single" w:sz="4" w:space="1" w:color="auto"/>
        </w:pBdr>
        <w:ind w:firstLine="720"/>
        <w:jc w:val="both"/>
        <w:rPr>
          <w:lang w:val="lt-LT"/>
        </w:rPr>
      </w:pPr>
      <w:r>
        <w:rPr>
          <w:lang w:val="lt-LT"/>
        </w:rPr>
        <w:t>1. Viešoji įstaiga ,,Jūrų klubas“ vykdo edukacinę veiklą: organizuoja teorinius kursus, pažintinius sportinius plaukiojimus, išduoda tarptautinio pavyzdžio jachtų vadų kvalifikacinius dokumentus egzaminus išlaikiusiems asmenims. Už egzaminų organizavimą ir dokumentų išdavimą apmoka kursų lankytojai. Kadangi viešoji įstaiga pajamas uždirba iš veiklos, kuri neatsiejamai susijusi su jos įstatuose numatytų visuomenei naudingų tikslų įgyvendinimu, o gautos pajamos panaudojamos tokiai veiklai finansuoti, viešoji įstaiga atitinka pelno nesiekiančio vieneto kriterijams.</w:t>
      </w:r>
    </w:p>
    <w:p w14:paraId="00915AD3" w14:textId="77777777" w:rsidR="00093845" w:rsidRPr="0065344A" w:rsidRDefault="000D779E">
      <w:pPr>
        <w:pBdr>
          <w:top w:val="single" w:sz="4" w:space="1" w:color="auto"/>
          <w:left w:val="single" w:sz="4" w:space="4" w:color="auto"/>
          <w:bottom w:val="single" w:sz="4" w:space="1" w:color="auto"/>
          <w:right w:val="single" w:sz="4" w:space="1" w:color="auto"/>
        </w:pBdr>
        <w:ind w:firstLine="720"/>
        <w:jc w:val="both"/>
        <w:rPr>
          <w:lang w:val="lt-LT"/>
        </w:rPr>
      </w:pPr>
      <w:r w:rsidRPr="0065344A">
        <w:rPr>
          <w:lang w:val="lt-LT"/>
        </w:rPr>
        <w:t xml:space="preserve">2. Verslo įmones vienijančios asociacijos veikla - tarpininkavimo tarp užsienio kompanijų ir asociacijos narių paslaugos, įsigyjant filmus ir programų licencijas. Už suteiktas paslaugas asociacija </w:t>
      </w:r>
      <w:r w:rsidRPr="0065344A">
        <w:rPr>
          <w:lang w:val="lt-LT"/>
        </w:rPr>
        <w:lastRenderedPageBreak/>
        <w:t>gauna užmokestį. Atsižvelgiant į tai, jog asociacija vykdo tik pelno siekiančią tarpininkavimo veiklą, laikoma, kad asociacija neatitinka pelno nesiekiančio vieneto kriterijams, todėl asociacija pelno mokesčiu apmokestinama kaip pelno siekiantis vienetas, t. y. jai netaikomos PMĮ 5 str. 4 dalies nuostatos.</w:t>
      </w:r>
    </w:p>
    <w:p w14:paraId="635607B9" w14:textId="77777777" w:rsidR="00093845" w:rsidRDefault="000D779E">
      <w:pPr>
        <w:pBdr>
          <w:top w:val="single" w:sz="4" w:space="1" w:color="auto"/>
          <w:left w:val="single" w:sz="4" w:space="4" w:color="auto"/>
          <w:bottom w:val="single" w:sz="4" w:space="1" w:color="auto"/>
          <w:right w:val="single" w:sz="4" w:space="1" w:color="auto"/>
        </w:pBdr>
        <w:ind w:firstLine="720"/>
        <w:jc w:val="both"/>
      </w:pPr>
      <w:r w:rsidRPr="0065344A">
        <w:rPr>
          <w:lang w:val="lt-LT"/>
        </w:rPr>
        <w:t xml:space="preserve">3. Viešosios įstaigos Tarptautinė mokykla Lietuvoje (toliau – Mokykla) pagrindiniai veiklos tikslai yra organizuoti ikimokyklinį ugdymą, teikti pradinį, pagrindinį ir vidurinį išsilavinimą. Vykdydama savo veiklą, Mokykla ima mokestį už mokslą, kurio dydį nustato Mokyklos valdymo organai. </w:t>
      </w:r>
      <w:r>
        <w:t>Už papildomas neformaliojo švietimo ir vaikų lavinimo bei poilsio programas imamas papildomas užmokestis. Mokykla taip pat teikia kitas su jos pagrindine veikla susijusias paslaugas, pvz., mokinių atvežimo iš gyvenamosios vietos į Mokyklą ir nuvežimo po pamokų namo paslaugas, už kurias atitinkamai imamas atskiras užmokestis. Be to, Mokykla gauna pajamas už jai nuosavybės teise priklausančių patalpų nuomą. Atsižvelgiant į tai, kad mokyklos pagrindinė veiklos kryptis yra viešąjį interesą tenkinanti veikla, Mokykla atitinka pelno nesiekiančio vieneto kriterijams.</w:t>
      </w:r>
    </w:p>
    <w:p w14:paraId="76733173" w14:textId="77777777" w:rsidR="00093845" w:rsidRDefault="00A914BC">
      <w:pPr>
        <w:pStyle w:val="Pagrindiniotekstotrauka2"/>
        <w:tabs>
          <w:tab w:val="left" w:pos="720"/>
          <w:tab w:val="left" w:pos="1077"/>
          <w:tab w:val="left" w:pos="1418"/>
        </w:tabs>
        <w:spacing w:line="240" w:lineRule="auto"/>
        <w:ind w:firstLine="0"/>
        <w:rPr>
          <w:b w:val="0"/>
          <w:lang w:val="en-US"/>
        </w:rPr>
      </w:pPr>
      <w:r>
        <w:rPr>
          <w:b w:val="0"/>
          <w:bCs w:val="0"/>
          <w:lang w:val="en-US"/>
        </w:rPr>
        <w:t xml:space="preserve">            </w:t>
      </w:r>
      <w:r w:rsidR="000D779E">
        <w:rPr>
          <w:b w:val="0"/>
          <w:bCs w:val="0"/>
          <w:lang w:val="en-US"/>
        </w:rPr>
        <w:t xml:space="preserve">(PMĮ komentaro 2 str. 5 d. papildyta 2 punktu pagal VMI prie FM 2011-08-18 raštą Nr. </w:t>
      </w:r>
      <w:r w:rsidR="000D779E">
        <w:rPr>
          <w:b w:val="0"/>
          <w:color w:val="000000"/>
        </w:rPr>
        <w:t>(18.10-31-1)-R-7766))</w:t>
      </w:r>
    </w:p>
    <w:p w14:paraId="3C3D0E00" w14:textId="77777777" w:rsidR="00093845" w:rsidRDefault="000D779E">
      <w:pPr>
        <w:pStyle w:val="Pagrindiniotekstotrauka2"/>
        <w:tabs>
          <w:tab w:val="left" w:pos="720"/>
          <w:tab w:val="left" w:pos="1077"/>
          <w:tab w:val="left" w:pos="1418"/>
        </w:tabs>
        <w:spacing w:line="240" w:lineRule="auto"/>
      </w:pPr>
      <w:r>
        <w:t>6.</w:t>
      </w:r>
      <w:r>
        <w:tab/>
        <w:t xml:space="preserve">Vieneto dalyvis – asmuo, kuris turi nuosavybės teisę į vieneto turtą, arba asmuo, kuris neišsaugo nuosavybės teisių į vieneto turtą, bet įgyja prievolinių teisių ir (arba) pareigų, susijusių su vienetu. </w:t>
      </w:r>
    </w:p>
    <w:p w14:paraId="0D4EEE58" w14:textId="77777777" w:rsidR="00093845" w:rsidRDefault="000D779E">
      <w:pPr>
        <w:pStyle w:val="Pagrindiniotekstotrauka2"/>
        <w:tabs>
          <w:tab w:val="left" w:pos="720"/>
          <w:tab w:val="left" w:pos="1077"/>
          <w:tab w:val="left" w:pos="1418"/>
        </w:tabs>
        <w:spacing w:line="240" w:lineRule="auto"/>
      </w:pPr>
      <w:r>
        <w:t>Komentaras</w:t>
      </w:r>
    </w:p>
    <w:p w14:paraId="281A5F5E" w14:textId="77777777" w:rsidR="00093845" w:rsidRDefault="000D779E">
      <w:pPr>
        <w:pStyle w:val="Pagrindiniotekstotrauka2"/>
        <w:tabs>
          <w:tab w:val="left" w:pos="720"/>
          <w:tab w:val="left" w:pos="1077"/>
          <w:tab w:val="left" w:pos="1418"/>
        </w:tabs>
        <w:spacing w:line="240" w:lineRule="auto"/>
        <w:rPr>
          <w:b w:val="0"/>
        </w:rPr>
      </w:pPr>
      <w:r>
        <w:rPr>
          <w:b w:val="0"/>
        </w:rPr>
        <w:t>Vieneto dalyviai yra akcinių bendrovių akcininkai, ūkinių bendrijų tikrieji nariai ir nariai komanditoriai, žemės ūkio bendrovių ar kooperatinių bendrovių pajininkai, individualių (personalinių) įmonių savininkai, valstybės įmonių steigėjai, kredito unijų nariai ir pan. Vieneto dalyviais gali būti bet kurie juridiniai ar fiziniai asmenys, įskaitant užsienio vienetus ir užsienio valstybių gyventojus. Pagal CK 2.48 nuostatas juridinio asmens turtas yra atskirtas - juridiniai asmenys turtą valdo, naudoja ir disponuoja nuosavybės ar patikėjimo teise. Juridinio asmens dalyviai neišsaugo nuosavybės teisių į juridiniam asmeniui perduodamą turtą (išskyrus patikėjimo teise perduotą turtą), tačiau įgyja tam tikrų prievolinių teisių ir (ar) prisiima su juridiniu asmeniu susijusių pareigų, kurių pobūdis priklauso nuo juridinio asmens teisinės formos. Pavyzdžiui, akcinės bendrovės akcijų įsigiję asmenys (akcininkai) įgyja tam tikrų turtinių ir neturtinių teisių bei pareigų, nustatytų Lietuvos Respublikos</w:t>
      </w:r>
      <w:r>
        <w:rPr>
          <w:b w:val="0"/>
          <w:u w:val="single"/>
        </w:rPr>
        <w:t xml:space="preserve"> </w:t>
      </w:r>
      <w:r w:rsidR="00EE4088" w:rsidRPr="009C0219">
        <w:rPr>
          <w:rStyle w:val="Hipersaitas"/>
          <w:rFonts w:ascii="Times New Roman" w:hAnsi="Times New Roman" w:cs="Times New Roman"/>
          <w:bCs/>
          <w:kern w:val="0"/>
          <w:lang w:val="lt-LT"/>
        </w:rPr>
        <w:t>akcinių bendrovių įstatyme</w:t>
      </w:r>
      <w:r>
        <w:rPr>
          <w:b w:val="0"/>
        </w:rPr>
        <w:t>. Juridinio asmens steigėjui ar dalyviui nuosavybės teise priklauso tik toks turtas, kurį juridinis asmuo valdo, naudoja ir disponuoja patikėjimo teise (CK 2.48 str.). Patikėjimo teise turtą valdo, naudoja ir disponuoja valstybės ar savivaldybių įmonės, įstaigos ir organizacijos, taip pat gali valdyti ir kiti asmenys (CK 4.107 str.).</w:t>
      </w:r>
    </w:p>
    <w:p w14:paraId="16C951DF" w14:textId="77777777" w:rsidR="00093845" w:rsidRPr="0065344A" w:rsidRDefault="000D779E">
      <w:pPr>
        <w:ind w:firstLine="720"/>
        <w:jc w:val="both"/>
        <w:rPr>
          <w:b/>
          <w:lang w:val="lt-LT"/>
        </w:rPr>
      </w:pPr>
      <w:r w:rsidRPr="0065344A">
        <w:rPr>
          <w:b/>
          <w:lang w:val="lt-LT"/>
        </w:rPr>
        <w:t>7</w:t>
      </w:r>
      <w:r w:rsidRPr="0065344A">
        <w:rPr>
          <w:b/>
          <w:bCs/>
          <w:lang w:val="lt-LT"/>
        </w:rPr>
        <w:t xml:space="preserve">. </w:t>
      </w:r>
      <w:r w:rsidRPr="0065344A">
        <w:rPr>
          <w:b/>
          <w:lang w:val="lt-LT"/>
        </w:rPr>
        <w:t xml:space="preserve">Vienetų grupė – grupė, kurią sudaro patronuojantysis vienetas ir jo patronuojamasis (dukterinis) arba keli patronuojamieji (dukteriniai) vienetai, kuriuose patronuojantysis vienetas tiesiogiai arba netiesiogiai valdo daugiau kaip 25 procentus akcijų (dalių, pajų), balsavimo teisių ar teisių </w:t>
      </w:r>
      <w:r w:rsidRPr="0065344A">
        <w:rPr>
          <w:b/>
          <w:color w:val="000000"/>
          <w:lang w:val="lt-LT"/>
        </w:rPr>
        <w:t>į paskirstytinojo pelno dalį arba išimtinių teisių jas įsigyti</w:t>
      </w:r>
      <w:r w:rsidRPr="0065344A">
        <w:rPr>
          <w:b/>
          <w:lang w:val="lt-LT"/>
        </w:rPr>
        <w:t>.</w:t>
      </w:r>
    </w:p>
    <w:p w14:paraId="44569EBE" w14:textId="77777777" w:rsidR="00093845" w:rsidRPr="00D3044F" w:rsidRDefault="000D779E" w:rsidP="00360913">
      <w:pPr>
        <w:jc w:val="both"/>
        <w:rPr>
          <w:i/>
        </w:rPr>
      </w:pPr>
      <w:r w:rsidRPr="00D3044F">
        <w:rPr>
          <w:i/>
        </w:rPr>
        <w:t>(KEISTA:2018 12 06 įstatymu Nr. XIII-1697 (nuo 2019 01 01))</w:t>
      </w:r>
    </w:p>
    <w:p w14:paraId="4A14CAD8" w14:textId="77777777" w:rsidR="00093845" w:rsidRDefault="000D779E">
      <w:pPr>
        <w:pStyle w:val="Pagrindiniotekstotrauka2"/>
        <w:tabs>
          <w:tab w:val="left" w:pos="720"/>
          <w:tab w:val="left" w:pos="1077"/>
          <w:tab w:val="left" w:pos="1418"/>
        </w:tabs>
        <w:spacing w:line="240" w:lineRule="auto"/>
      </w:pPr>
      <w:r>
        <w:t>Komentaras</w:t>
      </w:r>
    </w:p>
    <w:p w14:paraId="1AB6A8EC" w14:textId="77777777" w:rsidR="00093845" w:rsidRDefault="000D779E">
      <w:pPr>
        <w:pStyle w:val="tajtip"/>
        <w:rPr>
          <w:iCs/>
        </w:rPr>
      </w:pPr>
      <w:r>
        <w:rPr>
          <w:iCs/>
        </w:rPr>
        <w:tab/>
        <w:t>Komentaras rengiamas</w:t>
      </w:r>
    </w:p>
    <w:p w14:paraId="6C7B2126" w14:textId="77777777" w:rsidR="00093845" w:rsidRDefault="000D779E">
      <w:pPr>
        <w:jc w:val="both"/>
        <w:rPr>
          <w:b/>
          <w:bCs/>
          <w:lang w:val="lt-LT"/>
        </w:rPr>
      </w:pPr>
      <w:r>
        <w:rPr>
          <w:b/>
          <w:bCs/>
          <w:lang w:val="lt-LT"/>
        </w:rPr>
        <w:t xml:space="preserve">             8. Asocijuoti asmenys - asmenys (vienetai arba fiziniai asmenys), kai jie atitinka bent vieną iš šių kriterijų:</w:t>
      </w:r>
    </w:p>
    <w:p w14:paraId="4AB3B095" w14:textId="77777777" w:rsidR="00093845" w:rsidRPr="00D3044F" w:rsidRDefault="000D779E">
      <w:pPr>
        <w:jc w:val="both"/>
        <w:rPr>
          <w:i/>
          <w:lang w:val="fr-FR"/>
        </w:rPr>
      </w:pPr>
      <w:r w:rsidRPr="00D3044F">
        <w:rPr>
          <w:i/>
          <w:lang w:val="fr-FR"/>
        </w:rPr>
        <w:t>(</w:t>
      </w:r>
      <w:r w:rsidR="00B263E7" w:rsidRPr="00D3044F">
        <w:rPr>
          <w:i/>
          <w:lang w:val="fr-FR"/>
        </w:rPr>
        <w:t>KEISTA:</w:t>
      </w:r>
      <w:r w:rsidR="003B1E5E" w:rsidRPr="00D3044F">
        <w:rPr>
          <w:i/>
          <w:lang w:val="fr-FR"/>
        </w:rPr>
        <w:t xml:space="preserve"> </w:t>
      </w:r>
      <w:r w:rsidRPr="00D3044F">
        <w:rPr>
          <w:i/>
          <w:lang w:val="fr-FR"/>
        </w:rPr>
        <w:t>2004</w:t>
      </w:r>
      <w:r w:rsidR="00B263E7" w:rsidRPr="00D3044F">
        <w:rPr>
          <w:i/>
          <w:lang w:val="fr-FR"/>
        </w:rPr>
        <w:t xml:space="preserve"> 01</w:t>
      </w:r>
      <w:r w:rsidRPr="00D3044F">
        <w:rPr>
          <w:i/>
          <w:lang w:val="fr-FR"/>
        </w:rPr>
        <w:t xml:space="preserve"> 22 </w:t>
      </w:r>
      <w:r w:rsidR="00B263E7" w:rsidRPr="00D3044F">
        <w:rPr>
          <w:i/>
          <w:lang w:val="fr-FR"/>
        </w:rPr>
        <w:t>įstatymu</w:t>
      </w:r>
      <w:r w:rsidRPr="00D3044F">
        <w:rPr>
          <w:i/>
          <w:lang w:val="fr-FR"/>
        </w:rPr>
        <w:t xml:space="preserve"> </w:t>
      </w:r>
      <w:bookmarkStart w:id="5" w:name="P70801_1"/>
      <w:r w:rsidRPr="00D3044F">
        <w:rPr>
          <w:i/>
          <w:lang w:val="fr-FR"/>
        </w:rPr>
        <w:fldChar w:fldCharType="begin"/>
      </w:r>
      <w:r w:rsidRPr="00D3044F">
        <w:rPr>
          <w:i/>
          <w:lang w:val="fr-FR"/>
        </w:rPr>
        <w:instrText xml:space="preserve"> HYPERLINK "http://vidinis.vmi.lt/Litlex/ll.dll?Tekstas=1&amp;Id=70801&amp;BF=1" \o "Lietuvos Respublikos pelno mokesčio įstatymo 2, 15, 16, 31, 40, 50, 59 straipsnių pakeitimo ir papildymo įstatymas" \t "FTurinys" </w:instrText>
      </w:r>
      <w:r w:rsidRPr="00D3044F">
        <w:rPr>
          <w:i/>
          <w:lang w:val="fr-FR"/>
        </w:rPr>
        <w:fldChar w:fldCharType="separate"/>
      </w:r>
      <w:r w:rsidRPr="00D3044F">
        <w:rPr>
          <w:rStyle w:val="Hipersaitas"/>
          <w:rFonts w:ascii="Times New Roman" w:hAnsi="Times New Roman" w:cs="Times New Roman"/>
          <w:b w:val="0"/>
          <w:bCs w:val="0"/>
          <w:i/>
          <w:iCs/>
          <w:color w:val="000000"/>
          <w:kern w:val="0"/>
          <w:lang w:val="fr-FR"/>
        </w:rPr>
        <w:t>Nr. IX-1972</w:t>
      </w:r>
      <w:r w:rsidRPr="00D3044F">
        <w:rPr>
          <w:i/>
          <w:lang w:val="fr-FR"/>
        </w:rPr>
        <w:fldChar w:fldCharType="end"/>
      </w:r>
      <w:bookmarkEnd w:id="5"/>
      <w:r w:rsidR="00B263E7" w:rsidRPr="00D3044F">
        <w:rPr>
          <w:i/>
          <w:lang w:val="fr-FR"/>
        </w:rPr>
        <w:t>;</w:t>
      </w:r>
      <w:r w:rsidRPr="00D3044F">
        <w:rPr>
          <w:i/>
          <w:lang w:val="fr-FR"/>
        </w:rPr>
        <w:t xml:space="preserve"> įsigaliojo nuo 2004 m. </w:t>
      </w:r>
      <w:r w:rsidR="00B263E7" w:rsidRPr="00D3044F">
        <w:rPr>
          <w:i/>
          <w:lang w:val="fr-FR"/>
        </w:rPr>
        <w:t>v</w:t>
      </w:r>
      <w:r w:rsidRPr="00D3044F">
        <w:rPr>
          <w:i/>
          <w:lang w:val="fr-FR"/>
        </w:rPr>
        <w:t>asario</w:t>
      </w:r>
      <w:r w:rsidR="00B263E7" w:rsidRPr="00D3044F">
        <w:rPr>
          <w:i/>
          <w:lang w:val="fr-FR"/>
        </w:rPr>
        <w:t xml:space="preserve"> </w:t>
      </w:r>
      <w:r w:rsidRPr="00D3044F">
        <w:rPr>
          <w:i/>
          <w:lang w:val="fr-FR"/>
        </w:rPr>
        <w:t>14 d.)</w:t>
      </w:r>
    </w:p>
    <w:p w14:paraId="6A8A0EAE" w14:textId="77777777" w:rsidR="00093845" w:rsidRDefault="000D779E">
      <w:pPr>
        <w:pStyle w:val="HTMLiankstoformatuotas"/>
        <w:tabs>
          <w:tab w:val="left" w:pos="1080"/>
        </w:tabs>
        <w:ind w:firstLine="720"/>
        <w:jc w:val="both"/>
        <w:rPr>
          <w:rFonts w:ascii="Times New Roman" w:hAnsi="Times New Roman" w:cs="Times New Roman"/>
          <w:b/>
          <w:bCs/>
          <w:sz w:val="24"/>
          <w:lang w:val="lt-LT"/>
        </w:rPr>
      </w:pPr>
      <w:r>
        <w:rPr>
          <w:rFonts w:ascii="Times New Roman" w:hAnsi="Times New Roman" w:cs="Times New Roman"/>
          <w:b/>
          <w:bCs/>
          <w:sz w:val="24"/>
          <w:lang w:val="lt-LT"/>
        </w:rPr>
        <w:t>1)</w:t>
      </w:r>
      <w:r>
        <w:rPr>
          <w:rFonts w:ascii="Times New Roman" w:hAnsi="Times New Roman" w:cs="Times New Roman"/>
          <w:b/>
          <w:bCs/>
          <w:sz w:val="24"/>
          <w:lang w:val="lt-LT"/>
        </w:rPr>
        <w:tab/>
        <w:t>yra susiję asmenys;</w:t>
      </w:r>
    </w:p>
    <w:p w14:paraId="4D621F26" w14:textId="77777777" w:rsidR="00093845" w:rsidRDefault="000D779E">
      <w:pPr>
        <w:ind w:firstLine="720"/>
        <w:jc w:val="both"/>
        <w:rPr>
          <w:b/>
          <w:bCs/>
          <w:lang w:val="lt-LT"/>
        </w:rPr>
      </w:pPr>
      <w:r>
        <w:rPr>
          <w:b/>
          <w:bCs/>
          <w:lang w:val="lt-LT"/>
        </w:rPr>
        <w:lastRenderedPageBreak/>
        <w:t>Komentaras</w:t>
      </w:r>
    </w:p>
    <w:p w14:paraId="4851CAE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Susijusių asmenų s</w:t>
      </w:r>
      <w:r w:rsidR="005C2F8D">
        <w:rPr>
          <w:rFonts w:ascii="Times New Roman" w:hAnsi="Times New Roman"/>
          <w:sz w:val="24"/>
          <w:lang w:val="lt-LT"/>
        </w:rPr>
        <w:t>ąvoka yra apibrėžta PMĮ 2 str. 3</w:t>
      </w:r>
      <w:r>
        <w:rPr>
          <w:rFonts w:ascii="Times New Roman" w:hAnsi="Times New Roman"/>
          <w:sz w:val="24"/>
          <w:lang w:val="lt-LT"/>
        </w:rPr>
        <w:t>3 dalyje ir paaiškinta šios dalies komentare (paaiškinime).</w:t>
      </w:r>
    </w:p>
    <w:p w14:paraId="04E1A815" w14:textId="77777777" w:rsidR="00093845" w:rsidRDefault="000D779E">
      <w:pPr>
        <w:pStyle w:val="HTMLiankstoformatuotas"/>
        <w:tabs>
          <w:tab w:val="left" w:pos="1080"/>
        </w:tabs>
        <w:ind w:firstLine="720"/>
        <w:jc w:val="both"/>
        <w:rPr>
          <w:rFonts w:ascii="Times New Roman" w:hAnsi="Times New Roman" w:cs="Times New Roman"/>
          <w:b/>
          <w:bCs/>
          <w:sz w:val="24"/>
          <w:lang w:val="lt-LT"/>
        </w:rPr>
      </w:pPr>
      <w:r>
        <w:rPr>
          <w:rFonts w:ascii="Times New Roman" w:hAnsi="Times New Roman" w:cs="Times New Roman"/>
          <w:b/>
          <w:bCs/>
          <w:sz w:val="24"/>
          <w:lang w:val="lt-LT"/>
        </w:rPr>
        <w:t>2)</w:t>
      </w:r>
      <w:r>
        <w:rPr>
          <w:rFonts w:ascii="Times New Roman" w:hAnsi="Times New Roman" w:cs="Times New Roman"/>
          <w:b/>
          <w:bCs/>
          <w:sz w:val="24"/>
          <w:lang w:val="lt-LT"/>
        </w:rPr>
        <w:tab/>
        <w:t xml:space="preserve">gali vienas kitam daryti įtaką, dėl kurios tarpusavio sandorių arba ūkinių operacijų sąlygos būtų kitokios negu tuo atveju, jeigu kiekvienas šių asmenų siektų sau maksimalios ekonominės naudos. </w:t>
      </w:r>
    </w:p>
    <w:p w14:paraId="5FF9EEE4" w14:textId="77777777" w:rsidR="00093845" w:rsidRDefault="000D779E">
      <w:pPr>
        <w:ind w:firstLine="720"/>
        <w:jc w:val="both"/>
        <w:rPr>
          <w:b/>
          <w:bCs/>
          <w:lang w:val="lt-LT"/>
        </w:rPr>
      </w:pPr>
      <w:r>
        <w:rPr>
          <w:b/>
          <w:bCs/>
          <w:lang w:val="lt-LT"/>
        </w:rPr>
        <w:t>Komentaras</w:t>
      </w:r>
    </w:p>
    <w:p w14:paraId="124E82B0" w14:textId="77777777" w:rsidR="00093845" w:rsidRDefault="000D779E">
      <w:pPr>
        <w:tabs>
          <w:tab w:val="left" w:pos="1080"/>
        </w:tabs>
        <w:ind w:firstLine="720"/>
        <w:jc w:val="both"/>
        <w:rPr>
          <w:lang w:val="lt-LT"/>
        </w:rPr>
      </w:pPr>
      <w:r>
        <w:rPr>
          <w:lang w:val="lt-LT"/>
        </w:rPr>
        <w:t>1.</w:t>
      </w:r>
      <w:r>
        <w:rPr>
          <w:lang w:val="lt-LT"/>
        </w:rPr>
        <w:tab/>
        <w:t>Asmenys, net ir nebūdami susijusi</w:t>
      </w:r>
      <w:r w:rsidR="00A35688">
        <w:rPr>
          <w:lang w:val="lt-LT"/>
        </w:rPr>
        <w:t>ais asmenimis pagal PMĮ 2 str. 3</w:t>
      </w:r>
      <w:r>
        <w:rPr>
          <w:lang w:val="lt-LT"/>
        </w:rPr>
        <w:t xml:space="preserve">3 dalį, gali daryti vienas kitam įtaką, dėl kurios tokių asmenų sandorių arba kitokių ūkinių operacijų sąlygos būna ne tokios, kokios būtų, jeigu šie asmenys siektų sau maksimalios naudos, t.y. veiktų visiškai nepriklausomai vienas nuo kito. </w:t>
      </w:r>
    </w:p>
    <w:p w14:paraId="68F855F4" w14:textId="77777777" w:rsidR="00093845" w:rsidRDefault="000D779E">
      <w:pPr>
        <w:tabs>
          <w:tab w:val="left" w:pos="1080"/>
        </w:tabs>
        <w:ind w:firstLine="720"/>
        <w:jc w:val="both"/>
        <w:rPr>
          <w:lang w:val="lt-LT"/>
        </w:rPr>
      </w:pPr>
      <w:r>
        <w:rPr>
          <w:lang w:val="lt-LT"/>
        </w:rPr>
        <w:t>Pvz., gamintojas gamina produkciją. Pagrindinė žaliava, reikalinga tokiai produkcijai pagaminti, gali būti gauta tik iš vienintelio tiekėjo. Toks gamintojas yra priklausomas nuo šio žaliavos tiekėjo, kadangi negali pasirinkti kito. Todėl gamintojas ir žaliavų tiekėjas laikomi asocijuotais asmenimis, netgi tada jeigu neturi jokių juridinių ryšių.</w:t>
      </w:r>
    </w:p>
    <w:p w14:paraId="1A065E70" w14:textId="77777777" w:rsidR="00093845" w:rsidRDefault="000D779E">
      <w:pPr>
        <w:tabs>
          <w:tab w:val="left" w:pos="1080"/>
        </w:tabs>
        <w:ind w:firstLine="720"/>
        <w:jc w:val="both"/>
        <w:rPr>
          <w:lang w:val="lt-LT"/>
        </w:rPr>
      </w:pPr>
      <w:r>
        <w:rPr>
          <w:lang w:val="lt-LT"/>
        </w:rPr>
        <w:t>2.</w:t>
      </w:r>
      <w:r>
        <w:rPr>
          <w:lang w:val="lt-LT"/>
        </w:rPr>
        <w:tab/>
        <w:t>Tokiais asmenimis gali būti:</w:t>
      </w:r>
    </w:p>
    <w:p w14:paraId="0161BEA4" w14:textId="77777777" w:rsidR="00093845" w:rsidRDefault="000D779E">
      <w:pPr>
        <w:tabs>
          <w:tab w:val="left" w:pos="1080"/>
        </w:tabs>
        <w:ind w:firstLine="720"/>
        <w:jc w:val="both"/>
        <w:rPr>
          <w:lang w:val="lt-LT"/>
        </w:rPr>
      </w:pPr>
      <w:r>
        <w:rPr>
          <w:lang w:val="lt-LT"/>
        </w:rPr>
        <w:t>-</w:t>
      </w:r>
      <w:r>
        <w:rPr>
          <w:lang w:val="lt-LT"/>
        </w:rPr>
        <w:tab/>
        <w:t>vienetai, kurių valdybos ar stebėtojų tarybos nariai yra tie patys fiziniai asmenys, arba kurių (administracijos) vadovas yra tas pats fizinis asmuo;</w:t>
      </w:r>
    </w:p>
    <w:p w14:paraId="1DDB45CA" w14:textId="77777777" w:rsidR="00093845" w:rsidRDefault="000D779E">
      <w:pPr>
        <w:tabs>
          <w:tab w:val="left" w:pos="1080"/>
        </w:tabs>
        <w:ind w:firstLine="720"/>
        <w:jc w:val="both"/>
        <w:rPr>
          <w:lang w:val="lt-LT"/>
        </w:rPr>
      </w:pPr>
      <w:r>
        <w:rPr>
          <w:lang w:val="lt-LT"/>
        </w:rPr>
        <w:t>-</w:t>
      </w:r>
      <w:r>
        <w:rPr>
          <w:lang w:val="lt-LT"/>
        </w:rPr>
        <w:tab/>
        <w:t>du vienetai, kai vieno jų veikla faktiškai priklauso nuo patentų, autorių teisių, prekės ženklų, licencijų, frančizių ar kitų panašių teisių, kurių nuosavybės teisė priklauso antrajam vienetui;</w:t>
      </w:r>
    </w:p>
    <w:p w14:paraId="0011104F" w14:textId="77777777" w:rsidR="00093845" w:rsidRDefault="000D779E">
      <w:pPr>
        <w:tabs>
          <w:tab w:val="left" w:pos="1080"/>
        </w:tabs>
        <w:ind w:firstLine="720"/>
        <w:jc w:val="both"/>
        <w:rPr>
          <w:lang w:val="lt-LT"/>
        </w:rPr>
      </w:pPr>
      <w:r>
        <w:rPr>
          <w:lang w:val="lt-LT"/>
        </w:rPr>
        <w:t>-</w:t>
      </w:r>
      <w:r>
        <w:rPr>
          <w:lang w:val="lt-LT"/>
        </w:rPr>
        <w:tab/>
        <w:t>du vienetai, kai vienas jų yra išskirtinis žaliavų ar kitų reikmių (prekių, paslaugų ir pan.), reikalingų antrojo vieneto gamybai ar kitai veiklai vykdyti, tiekėjas;</w:t>
      </w:r>
    </w:p>
    <w:p w14:paraId="29AB4EFA" w14:textId="77777777" w:rsidR="00093845" w:rsidRDefault="000D779E">
      <w:pPr>
        <w:numPr>
          <w:ilvl w:val="0"/>
          <w:numId w:val="4"/>
        </w:numPr>
        <w:ind w:left="0" w:firstLine="720"/>
        <w:jc w:val="both"/>
        <w:rPr>
          <w:lang w:val="lt-LT"/>
        </w:rPr>
      </w:pPr>
      <w:r>
        <w:rPr>
          <w:lang w:val="lt-LT"/>
        </w:rPr>
        <w:t>du asmenys, kurių vienas kitam suteikė paskolą, sudarančią žymią antrojo vieneto įstatinio kapitalo dalį;</w:t>
      </w:r>
    </w:p>
    <w:p w14:paraId="2C01855B" w14:textId="77777777" w:rsidR="00093845" w:rsidRDefault="000D779E">
      <w:pPr>
        <w:numPr>
          <w:ilvl w:val="0"/>
          <w:numId w:val="4"/>
        </w:numPr>
        <w:jc w:val="both"/>
        <w:rPr>
          <w:b/>
          <w:bCs/>
        </w:rPr>
      </w:pPr>
      <w:r>
        <w:rPr>
          <w:lang w:val="lt-LT"/>
        </w:rPr>
        <w:t>ir panašiai.</w:t>
      </w:r>
    </w:p>
    <w:p w14:paraId="5165CA30" w14:textId="77777777" w:rsidR="00093845" w:rsidRDefault="000D779E" w:rsidP="001B1071">
      <w:pPr>
        <w:spacing w:after="0"/>
        <w:ind w:firstLine="539"/>
        <w:jc w:val="both"/>
        <w:rPr>
          <w:b/>
        </w:rPr>
      </w:pPr>
      <w:r>
        <w:rPr>
          <w:b/>
          <w:bCs/>
        </w:rPr>
        <w:t xml:space="preserve">9. </w:t>
      </w:r>
      <w:r>
        <w:rPr>
          <w:b/>
        </w:rPr>
        <w:t xml:space="preserve">Atlikėjo veikla </w:t>
      </w:r>
      <w:r>
        <w:rPr>
          <w:b/>
          <w:bCs/>
        </w:rPr>
        <w:t>–</w:t>
      </w:r>
      <w:r>
        <w:rPr>
          <w:b/>
        </w:rPr>
        <w:t xml:space="preserve"> </w:t>
      </w:r>
      <w:r>
        <w:rPr>
          <w:b/>
          <w:bCs/>
        </w:rPr>
        <w:t xml:space="preserve">kaip ši sąvoka apibrėžta </w:t>
      </w:r>
      <w:r>
        <w:rPr>
          <w:b/>
        </w:rPr>
        <w:t>Lietuvos Respublikos gyventojų pajamų mokesčio įstatyme</w:t>
      </w:r>
    </w:p>
    <w:p w14:paraId="490A78A1" w14:textId="77777777" w:rsidR="001B1071" w:rsidRDefault="001B1071" w:rsidP="00D3044F">
      <w:pPr>
        <w:spacing w:after="0"/>
        <w:jc w:val="both"/>
        <w:rPr>
          <w:i/>
        </w:rPr>
      </w:pPr>
      <w:r w:rsidRPr="00D3044F">
        <w:rPr>
          <w:i/>
        </w:rPr>
        <w:t>(KEISTA: 2008 07 14 įstatymu Nr. IX-1697 (nuo</w:t>
      </w:r>
      <w:r w:rsidR="00396499" w:rsidRPr="00D3044F">
        <w:rPr>
          <w:i/>
        </w:rPr>
        <w:t xml:space="preserve"> </w:t>
      </w:r>
      <w:r w:rsidRPr="00D3044F">
        <w:rPr>
          <w:i/>
        </w:rPr>
        <w:t>2009 01 01)</w:t>
      </w:r>
      <w:r w:rsidR="00F31096" w:rsidRPr="00D3044F">
        <w:rPr>
          <w:i/>
        </w:rPr>
        <w:t>)</w:t>
      </w:r>
    </w:p>
    <w:p w14:paraId="31C28AE9" w14:textId="77777777" w:rsidR="00A914BC" w:rsidRPr="00D3044F" w:rsidRDefault="00A914BC" w:rsidP="00D3044F">
      <w:pPr>
        <w:spacing w:after="0"/>
        <w:jc w:val="both"/>
        <w:rPr>
          <w:i/>
        </w:rPr>
      </w:pPr>
    </w:p>
    <w:p w14:paraId="0F57DEFE" w14:textId="77777777" w:rsidR="00093845" w:rsidRDefault="000D779E" w:rsidP="002B5B54">
      <w:pPr>
        <w:ind w:firstLine="540"/>
        <w:jc w:val="both"/>
        <w:rPr>
          <w:b/>
          <w:bCs/>
        </w:rPr>
      </w:pPr>
      <w:r>
        <w:t xml:space="preserve"> </w:t>
      </w:r>
      <w:r>
        <w:rPr>
          <w:b/>
          <w:bCs/>
        </w:rPr>
        <w:t>Komentaras</w:t>
      </w:r>
    </w:p>
    <w:p w14:paraId="391281A7" w14:textId="77777777" w:rsidR="00093845" w:rsidRDefault="000D779E">
      <w:pPr>
        <w:ind w:right="-50" w:firstLine="540"/>
        <w:jc w:val="both"/>
      </w:pPr>
      <w:r>
        <w:t xml:space="preserve">1. Atlikėjo veikla apibrėžta Lietuvos Respublikos </w:t>
      </w:r>
      <w:r w:rsidR="00AF3222" w:rsidRPr="009C0219">
        <w:rPr>
          <w:rStyle w:val="Hipersaitas"/>
          <w:rFonts w:ascii="Times New Roman" w:hAnsi="Times New Roman" w:cs="Times New Roman"/>
          <w:b w:val="0"/>
          <w:bCs w:val="0"/>
          <w:kern w:val="0"/>
        </w:rPr>
        <w:t>gyventojų pajamų mokesčio įstatymo</w:t>
      </w:r>
      <w:r>
        <w:t xml:space="preserve"> 2 str. 9 dalyje. </w:t>
      </w:r>
    </w:p>
    <w:p w14:paraId="1604B32B" w14:textId="77777777" w:rsidR="00093845" w:rsidRDefault="006E463E" w:rsidP="00A914BC">
      <w:pPr>
        <w:ind w:firstLine="720"/>
        <w:jc w:val="both"/>
        <w:rPr>
          <w:bCs/>
          <w:lang w:val="lt-LT"/>
        </w:rPr>
      </w:pPr>
      <w:r>
        <w:rPr>
          <w:bCs/>
          <w:lang w:val="lt-LT"/>
        </w:rPr>
        <w:t>(P</w:t>
      </w:r>
      <w:r w:rsidR="000D779E">
        <w:rPr>
          <w:bCs/>
          <w:lang w:val="lt-LT"/>
        </w:rPr>
        <w:t>agal 2009-09-08 VMI prie FM raštą Nr. (18.-10-31-1)-R-8626)</w:t>
      </w:r>
    </w:p>
    <w:p w14:paraId="4D5A47BF" w14:textId="77777777" w:rsidR="001D206A" w:rsidRPr="0065344A" w:rsidRDefault="000D779E" w:rsidP="001D206A">
      <w:pPr>
        <w:pStyle w:val="Pagrindiniotekstotrauka"/>
        <w:tabs>
          <w:tab w:val="left" w:pos="8280"/>
        </w:tabs>
        <w:spacing w:after="0"/>
        <w:rPr>
          <w:rFonts w:ascii="Times New Roman" w:hAnsi="Times New Roman" w:cs="Times New Roman"/>
          <w:b/>
          <w:lang w:val="lt-LT"/>
        </w:rPr>
      </w:pPr>
      <w:r w:rsidRPr="0065344A">
        <w:rPr>
          <w:rFonts w:ascii="Times New Roman" w:hAnsi="Times New Roman" w:cs="Times New Roman"/>
          <w:b/>
          <w:lang w:val="lt-LT"/>
        </w:rPr>
        <w:t>10. Fiksuotas pelno mokestis – pelno mokestis, kuris gali būti mokamas šio įstatymo 38</w:t>
      </w:r>
      <w:r w:rsidRPr="0065344A">
        <w:rPr>
          <w:rFonts w:ascii="Times New Roman" w:hAnsi="Times New Roman" w:cs="Times New Roman"/>
          <w:b/>
          <w:vertAlign w:val="superscript"/>
          <w:lang w:val="lt-LT"/>
        </w:rPr>
        <w:t>1</w:t>
      </w:r>
      <w:r w:rsidRPr="0065344A">
        <w:rPr>
          <w:rFonts w:ascii="Times New Roman" w:hAnsi="Times New Roman" w:cs="Times New Roman"/>
          <w:b/>
          <w:lang w:val="lt-LT"/>
        </w:rPr>
        <w:t xml:space="preserve"> straipsnio nustatytais atvejais ir kurio bazė apskaičiuojama priklausomai nuo kiekvieno jūrų laivo, kurio naudingoji talpa ne mažesnė nei 100 naudingosios talpos vienetų, naudingosios talpos.</w:t>
      </w:r>
    </w:p>
    <w:p w14:paraId="1B7F3D09" w14:textId="77777777" w:rsidR="00093845" w:rsidRDefault="001D206A" w:rsidP="00D3044F">
      <w:pPr>
        <w:pStyle w:val="Pagrindiniotekstotrauka"/>
        <w:tabs>
          <w:tab w:val="left" w:pos="8280"/>
        </w:tabs>
        <w:spacing w:after="0"/>
        <w:ind w:firstLine="0"/>
        <w:rPr>
          <w:rFonts w:ascii="Times New Roman" w:hAnsi="Times New Roman" w:cs="Times New Roman"/>
          <w:b/>
          <w:i/>
          <w:lang w:val="lt-LT"/>
        </w:rPr>
      </w:pPr>
      <w:r w:rsidRPr="00D3044F">
        <w:rPr>
          <w:rFonts w:ascii="Times New Roman" w:hAnsi="Times New Roman" w:cs="Times New Roman"/>
          <w:i/>
          <w:lang w:val="lt-LT"/>
        </w:rPr>
        <w:t>(KEISTA: 2007 05 03 įstatymu Nr. X-1110</w:t>
      </w:r>
      <w:r w:rsidR="00F31096" w:rsidRPr="00D3044F">
        <w:rPr>
          <w:rFonts w:ascii="Times New Roman" w:hAnsi="Times New Roman" w:cs="Times New Roman"/>
          <w:i/>
          <w:lang w:val="lt-LT"/>
        </w:rPr>
        <w:t>,</w:t>
      </w:r>
      <w:r w:rsidRPr="00D3044F">
        <w:rPr>
          <w:rFonts w:ascii="Times New Roman" w:hAnsi="Times New Roman" w:cs="Times New Roman"/>
          <w:i/>
          <w:lang w:val="lt-LT"/>
        </w:rPr>
        <w:t xml:space="preserve"> </w:t>
      </w:r>
      <w:r w:rsidRPr="00D3044F">
        <w:rPr>
          <w:rFonts w:ascii="Times New Roman" w:hAnsi="Times New Roman" w:cs="Times New Roman"/>
          <w:bCs/>
          <w:i/>
          <w:lang w:val="lt-LT"/>
        </w:rPr>
        <w:t>taikoma apskaičiuojant 2007 metais prasidėjusio mokestinio laikotarpio ir vėlesnių mokestinių laikotarpių apmokestinamąjį pelną)</w:t>
      </w:r>
      <w:r w:rsidRPr="00D3044F">
        <w:rPr>
          <w:rFonts w:ascii="Times New Roman" w:hAnsi="Times New Roman" w:cs="Times New Roman"/>
          <w:i/>
          <w:lang w:val="lt-LT"/>
        </w:rPr>
        <w:t xml:space="preserve"> </w:t>
      </w:r>
      <w:r w:rsidR="000D779E" w:rsidRPr="00D3044F">
        <w:rPr>
          <w:rFonts w:ascii="Times New Roman" w:hAnsi="Times New Roman" w:cs="Times New Roman"/>
          <w:b/>
          <w:i/>
          <w:lang w:val="lt-LT"/>
        </w:rPr>
        <w:t xml:space="preserve"> </w:t>
      </w:r>
    </w:p>
    <w:p w14:paraId="7B554327" w14:textId="77777777" w:rsidR="00125105" w:rsidRPr="00D3044F" w:rsidRDefault="00125105" w:rsidP="00D3044F">
      <w:pPr>
        <w:pStyle w:val="Pagrindiniotekstotrauka"/>
        <w:tabs>
          <w:tab w:val="left" w:pos="8280"/>
        </w:tabs>
        <w:spacing w:after="0"/>
        <w:ind w:firstLine="0"/>
        <w:rPr>
          <w:rFonts w:ascii="Times New Roman" w:hAnsi="Times New Roman" w:cs="Times New Roman"/>
          <w:b/>
          <w:i/>
          <w:lang w:val="lt-LT"/>
        </w:rPr>
      </w:pPr>
    </w:p>
    <w:p w14:paraId="10FE3AEA" w14:textId="77777777" w:rsidR="00093845" w:rsidRPr="008B60DD" w:rsidRDefault="000D779E">
      <w:pPr>
        <w:ind w:firstLine="720"/>
        <w:jc w:val="both"/>
        <w:rPr>
          <w:b/>
          <w:lang w:val="lt-LT"/>
        </w:rPr>
      </w:pPr>
      <w:r w:rsidRPr="008B60DD">
        <w:rPr>
          <w:b/>
          <w:lang w:val="lt-LT"/>
        </w:rPr>
        <w:t>Komentaras</w:t>
      </w:r>
    </w:p>
    <w:p w14:paraId="0426CD59" w14:textId="77777777" w:rsidR="00093845" w:rsidRPr="008B60DD" w:rsidRDefault="000D779E">
      <w:pPr>
        <w:ind w:firstLine="720"/>
        <w:jc w:val="both"/>
        <w:rPr>
          <w:lang w:val="lt-LT"/>
        </w:rPr>
      </w:pPr>
      <w:r w:rsidRPr="008B60DD">
        <w:rPr>
          <w:lang w:val="lt-LT"/>
        </w:rPr>
        <w:lastRenderedPageBreak/>
        <w:t xml:space="preserve">1. Nuo 2007-05-19 Lietuvos apmokestinamiesiems vienetams ir užsienio apmokestinamiesiems vienetams, įregistruotiems Europos ekonominės erdvės valstybėse (toliau - EEE valstybės) ir vykdantiems veiklą Lietuvos teritorijoje per nuolatines buveines, užsiimantiems tarptautiniu vežimu jūrų laivais ir su tuo tiesiogiai susijusia veikla, numatyta galimybė nuo 2007 metais prasidėjusio mokestinio laikotarpio vietoj įprastinės pelno iš tarptautinio vežimo jūrų laivais ir su tuo tiesiogiai susijusios veiklos apmokestinimo tvarkos taikyti apmokestinimo fiksuotu pelno mokesčiu tvarką. Fiksuotas pelno mokestis – tai pelno mokestis, kurio bazė apskaičiuojama tik pagal laivybos vieneto valdomų jūrų laivų naudingąją talpą ir skaičių dienų, kurias tie laivai buvo valdomi, nepaisant to, kiek pajamų faktiškai gauta vykdant tarptautinio vežimo jūrų laivais ir su tuo tiesiogiai susijusią veiklą bei kiek tai veiklai patirta sąnaudų. </w:t>
      </w:r>
    </w:p>
    <w:p w14:paraId="5FA0747F" w14:textId="77777777" w:rsidR="00093845" w:rsidRPr="008B60DD" w:rsidRDefault="000D779E">
      <w:pPr>
        <w:ind w:firstLine="720"/>
        <w:jc w:val="both"/>
        <w:rPr>
          <w:lang w:val="lt-LT"/>
        </w:rPr>
      </w:pPr>
      <w:r w:rsidRPr="008B60DD">
        <w:rPr>
          <w:lang w:val="lt-LT"/>
        </w:rPr>
        <w:t>Fiksuotą pelno mokestį gali pasirinkti mokėti tik PMĮ 38</w:t>
      </w:r>
      <w:r w:rsidRPr="008B60DD">
        <w:rPr>
          <w:vertAlign w:val="superscript"/>
          <w:lang w:val="lt-LT"/>
        </w:rPr>
        <w:t>1</w:t>
      </w:r>
      <w:r w:rsidRPr="008B60DD">
        <w:rPr>
          <w:lang w:val="lt-LT"/>
        </w:rPr>
        <w:t xml:space="preserve"> straipsnyje numatytus kriterijus atitinkantys vienetai, o fiksuotu pelno mokesčiu gali būti apmokestinamos tik ne mažesniais kaip 100 NT vienetų jūrų laivais vykdomų tarptautinių gabenimų ir su tuo tiesiogiai susijusios veiklos pajamos. Pasirinkusių mokėti fiksuotą pelno mokestį vienetų pajamos, gautos iš vežimų jūrų laivais, kurie </w:t>
      </w:r>
      <w:r w:rsidRPr="008B60DD">
        <w:rPr>
          <w:u w:val="single"/>
          <w:lang w:val="lt-LT"/>
        </w:rPr>
        <w:t>mažesni</w:t>
      </w:r>
      <w:r w:rsidRPr="008B60DD">
        <w:rPr>
          <w:lang w:val="lt-LT"/>
        </w:rPr>
        <w:t xml:space="preserve"> kaip 100 NT vienetų, ir iš su šiais vežimais tiesiogiai susijusios veiklos, taip pat iš kitos veiklos, nesusijusios su tarptautiniais vežimais jūrų laivais, apmokestinamos pagal bendrąsias apmokestinimo pelno mokesčiu taisykles. Bendrosios apmokestinimo pelno mokesčiu taisyklės taip pat taikomos apmokestinant laivybos vienetų pajamas iš tarptautinio vežimo jūrų laivais ir su tuo tiesiogiai susijusios veiklos tais atvejais, kai laivybos vienetas pagal PMĮ nustatytus kriterijus neturi teisės mokėti fiksuoto pelno mokesčio arba kai tokią teisę jis praranda. </w:t>
      </w:r>
    </w:p>
    <w:p w14:paraId="29A20993" w14:textId="77777777" w:rsidR="00093845" w:rsidRPr="008B60DD" w:rsidRDefault="000D779E">
      <w:pPr>
        <w:ind w:firstLine="720"/>
        <w:jc w:val="both"/>
        <w:rPr>
          <w:lang w:val="lt-LT"/>
        </w:rPr>
      </w:pPr>
      <w:r w:rsidRPr="008B60DD">
        <w:rPr>
          <w:lang w:val="lt-LT"/>
        </w:rPr>
        <w:t>Pagal EB Sutartį, fiksuotas pelno mokestis (tonažo mokesčio schema) laikomas valstybės pagalbos laivybos sektoriui priemone. Lietuvoje ši priemonė įgyvendinama atsižvelgiant į 2004 m. Europos Bendrijos valstybės pagalbos jūrų transportui gaires (</w:t>
      </w:r>
      <w:hyperlink r:id="rId11" w:anchor="texte" w:history="1">
        <w:r w:rsidRPr="008B60DD">
          <w:rPr>
            <w:rStyle w:val="Hipersaitas"/>
            <w:rFonts w:ascii="Times New Roman" w:hAnsi="Times New Roman" w:cs="Times New Roman"/>
            <w:b w:val="0"/>
            <w:bCs w:val="0"/>
            <w:color w:val="0000FF"/>
            <w:kern w:val="0"/>
            <w:u w:val="single"/>
            <w:lang w:val="lt-LT"/>
          </w:rPr>
          <w:t>Komisijos komunikatas C(2004) 43</w:t>
        </w:r>
      </w:hyperlink>
      <w:r w:rsidRPr="008B60DD">
        <w:rPr>
          <w:lang w:val="lt-LT"/>
        </w:rPr>
        <w:t xml:space="preserve">, OJ C 013, 17/01/2004, p. 3-12) bei </w:t>
      </w:r>
      <w:hyperlink r:id="rId12" w:history="1">
        <w:r w:rsidRPr="008B60DD">
          <w:rPr>
            <w:rStyle w:val="Hipersaitas"/>
            <w:rFonts w:ascii="Times New Roman" w:hAnsi="Times New Roman" w:cs="Times New Roman"/>
            <w:b w:val="0"/>
            <w:bCs w:val="0"/>
            <w:color w:val="0000FF"/>
            <w:kern w:val="0"/>
            <w:u w:val="single"/>
            <w:lang w:val="lt-LT"/>
          </w:rPr>
          <w:t>Europos Komisijos sprendimą N 330/2005</w:t>
        </w:r>
      </w:hyperlink>
      <w:r w:rsidRPr="008B60DD">
        <w:rPr>
          <w:lang w:val="lt-LT"/>
        </w:rPr>
        <w:t xml:space="preserve"> „Dėl pagalbos laivybos bendrovėms – Tonažo mokesčio schemos Lietuvoje (OJ C 090 25/04/2007, p. 11)“.</w:t>
      </w:r>
    </w:p>
    <w:p w14:paraId="48561349" w14:textId="77777777" w:rsidR="00093845" w:rsidRPr="008B60DD" w:rsidRDefault="000D779E">
      <w:pPr>
        <w:pStyle w:val="Pagrindiniotekstotrauka"/>
        <w:tabs>
          <w:tab w:val="left" w:pos="8280"/>
        </w:tabs>
        <w:rPr>
          <w:bCs/>
          <w:lang w:val="lt-LT"/>
        </w:rPr>
      </w:pPr>
      <w:r w:rsidRPr="008B60DD">
        <w:rPr>
          <w:lang w:val="lt-LT"/>
        </w:rPr>
        <w:t>2. Jūrų laivo naudingosios talpos sąvoka paaiškinta PMĮ 2 straipsnio 14 dalyje ir šios dalies apibendrintame komentare; Tarptautinio vežimo jūrų laivais sąvoka plačiau paaiškinta PMĮ 2 straipsnio 35 dalyje ir jos apibendrintame komentare. Su tarptautiniu vežimu jūrų laivais tiesiogiai susijusios veiklos rūšių sąrašas pateiktas 2 straipsnio 34 dalyje, plačiau paaiškintas šios dalies apibendrintame komentare. Reikalavimai laivybos vienetams, siekiantiems įgyti teisę mokėti fiksuotą pelno mokestį, išdėstyti PMĮ 38</w:t>
      </w:r>
      <w:r w:rsidRPr="008B60DD">
        <w:rPr>
          <w:vertAlign w:val="superscript"/>
          <w:lang w:val="lt-LT"/>
        </w:rPr>
        <w:t>1</w:t>
      </w:r>
      <w:r w:rsidRPr="008B60DD">
        <w:rPr>
          <w:lang w:val="lt-LT"/>
        </w:rPr>
        <w:t xml:space="preserve"> straipsnyje, o fiksuoto pelno mokesčio apskaičiavimo tvarka nustatyta PMĮ 38</w:t>
      </w:r>
      <w:r w:rsidRPr="008B60DD">
        <w:rPr>
          <w:vertAlign w:val="superscript"/>
          <w:lang w:val="lt-LT"/>
        </w:rPr>
        <w:t>2</w:t>
      </w:r>
      <w:r w:rsidRPr="008B60DD">
        <w:rPr>
          <w:lang w:val="lt-LT"/>
        </w:rPr>
        <w:t xml:space="preserve"> straipsnyje.</w:t>
      </w:r>
    </w:p>
    <w:p w14:paraId="292EAAEB" w14:textId="77777777" w:rsidR="00093845" w:rsidRDefault="000D779E" w:rsidP="00A914BC">
      <w:pPr>
        <w:ind w:firstLine="720"/>
        <w:jc w:val="both"/>
        <w:rPr>
          <w:bCs/>
          <w:lang w:val="lt-LT"/>
        </w:rPr>
      </w:pPr>
      <w:r>
        <w:rPr>
          <w:bCs/>
          <w:lang w:val="lt-LT"/>
        </w:rPr>
        <w:t>(</w:t>
      </w:r>
      <w:r w:rsidR="006E463E">
        <w:rPr>
          <w:bCs/>
          <w:lang w:val="lt-LT"/>
        </w:rPr>
        <w:t>P</w:t>
      </w:r>
      <w:r>
        <w:rPr>
          <w:bCs/>
          <w:lang w:val="lt-LT"/>
        </w:rPr>
        <w:t>agal 2012-06-18 VMI prie FM raštą Nr. (18.-10-31-1)-R-5348)</w:t>
      </w:r>
    </w:p>
    <w:p w14:paraId="7E5FB336" w14:textId="77777777" w:rsidR="00093845" w:rsidRPr="00D64187" w:rsidRDefault="00F9258A">
      <w:pPr>
        <w:ind w:firstLine="720"/>
        <w:jc w:val="both"/>
        <w:rPr>
          <w:b/>
          <w:lang w:val="lt-LT" w:eastAsia="lt-LT"/>
        </w:rPr>
      </w:pPr>
      <w:r w:rsidRPr="00D64187">
        <w:rPr>
          <w:b/>
          <w:color w:val="000000"/>
          <w:shd w:val="clear" w:color="auto" w:fill="FFFFFF"/>
        </w:rPr>
        <w:t>10</w:t>
      </w:r>
      <w:r w:rsidR="00D64187" w:rsidRPr="00D64187">
        <w:rPr>
          <w:b/>
          <w:color w:val="000000"/>
          <w:shd w:val="clear" w:color="auto" w:fill="FFFFFF"/>
          <w:vertAlign w:val="superscript"/>
        </w:rPr>
        <w:t>1</w:t>
      </w:r>
      <w:r w:rsidR="000D779E" w:rsidRPr="00D64187">
        <w:rPr>
          <w:b/>
          <w:lang w:val="lt-LT" w:eastAsia="lt-LT"/>
        </w:rPr>
        <w:t xml:space="preserve">. </w:t>
      </w:r>
      <w:r w:rsidR="000D779E" w:rsidRPr="00D64187">
        <w:rPr>
          <w:b/>
          <w:bCs/>
          <w:lang w:val="lt-LT" w:eastAsia="lt-LT"/>
        </w:rPr>
        <w:t>Filmo dalies gamyba</w:t>
      </w:r>
      <w:r w:rsidR="000D779E" w:rsidRPr="00D64187">
        <w:rPr>
          <w:b/>
          <w:lang w:val="lt-LT" w:eastAsia="lt-LT"/>
        </w:rPr>
        <w:t xml:space="preserve"> – filmo kūrybinio sumanymo įgyvendinimo etapas, kurio metu filmuojant pagal Lietuvos Respublikos Vyriausybės įgaliotos institucijos nustatytus kriterijus atitinkantį filmo scenarijų, Lietuvos Respublikos Vyriausybės įgaliotos institucijos patvirtintą kalendorinį darbų planą ir sąmatą, Lietuvos Respublikoje sukuriama filmo dalis. Daugiaserijinio filmo serijos pagaminimas Lietuvos Respublikoje nelaikomas filmo dalies gamyba</w:t>
      </w:r>
    </w:p>
    <w:p w14:paraId="386B2783" w14:textId="77777777" w:rsidR="00093845" w:rsidRPr="00D3044F" w:rsidRDefault="000D779E" w:rsidP="009C0219">
      <w:pPr>
        <w:jc w:val="both"/>
        <w:rPr>
          <w:i/>
          <w:lang w:val="lt-LT"/>
        </w:rPr>
      </w:pPr>
      <w:r w:rsidRPr="00D3044F">
        <w:rPr>
          <w:i/>
          <w:lang w:val="lt-LT"/>
        </w:rPr>
        <w:t>(KEISTA: 2013 06 13 įstatymu Nr. XII-366 (nuo 2014 01 01))</w:t>
      </w:r>
    </w:p>
    <w:p w14:paraId="01D7A10A" w14:textId="77777777" w:rsidR="00093845" w:rsidRDefault="000D779E">
      <w:pPr>
        <w:ind w:firstLine="720"/>
        <w:jc w:val="both"/>
        <w:rPr>
          <w:b/>
        </w:rPr>
      </w:pPr>
      <w:r>
        <w:rPr>
          <w:b/>
        </w:rPr>
        <w:t>Komentaras</w:t>
      </w:r>
    </w:p>
    <w:p w14:paraId="4849A4F2" w14:textId="77777777" w:rsidR="00835EB4" w:rsidRPr="002F06D0" w:rsidRDefault="00835EB4" w:rsidP="00835EB4">
      <w:pPr>
        <w:ind w:firstLine="720"/>
        <w:jc w:val="both"/>
        <w:rPr>
          <w:lang w:val="lt-LT"/>
        </w:rPr>
      </w:pPr>
      <w:r w:rsidRPr="002F06D0">
        <w:rPr>
          <w:lang w:val="lt-LT"/>
        </w:rPr>
        <w:t>Ši sąvoka apibrėžia, kas yra filmo dalies gamyba PMĮ tikslais.  Filmo dalies gamybos apibrėžimas svarbus pelno mokesčio mokėtojams (investuotojams), neatlygintinai suteikusiems lėšų filmo ar jo dalies gamybai Lietuvoje, ir todėl siekiantiems pasinaudoti pelno mokesčio lengvata, nustatyta  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straipsniuose (žr. šių straipsnių PMĮ komentarus).</w:t>
      </w:r>
    </w:p>
    <w:p w14:paraId="4C49A71D" w14:textId="77777777" w:rsidR="00835EB4" w:rsidRPr="002F06D0" w:rsidRDefault="00835EB4" w:rsidP="00835EB4">
      <w:pPr>
        <w:ind w:firstLine="720"/>
        <w:jc w:val="both"/>
        <w:rPr>
          <w:b/>
          <w:lang w:val="lt-LT"/>
        </w:rPr>
      </w:pPr>
      <w:r w:rsidRPr="002F06D0">
        <w:rPr>
          <w:lang w:val="lt-LT"/>
        </w:rPr>
        <w:lastRenderedPageBreak/>
        <w:t>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straipsniuose nustatytų lengvatų tikslais filmo dalies gamyba laikoma filmo kūrybinio sumanymo įgyvendinimo etapu, jeigu jo metu įgyvendinamos šios sąlygos, t. y. filmuojama pagal</w:t>
      </w:r>
    </w:p>
    <w:p w14:paraId="409CF427" w14:textId="77777777" w:rsidR="00835EB4" w:rsidRPr="003C631F" w:rsidRDefault="00835EB4" w:rsidP="00835EB4">
      <w:pPr>
        <w:numPr>
          <w:ilvl w:val="0"/>
          <w:numId w:val="5"/>
        </w:numPr>
        <w:spacing w:after="0" w:line="240" w:lineRule="auto"/>
        <w:ind w:left="0" w:firstLine="709"/>
        <w:jc w:val="both"/>
        <w:rPr>
          <w:lang w:val="lt-LT"/>
        </w:rPr>
      </w:pPr>
      <w:r w:rsidRPr="003C631F">
        <w:rPr>
          <w:lang w:val="lt-LT"/>
        </w:rPr>
        <w:t>filmo scenarijų arba filmo scenarijaus traktuotę, atitinkan</w:t>
      </w:r>
      <w:r w:rsidRPr="003C631F">
        <w:rPr>
          <w:strike/>
          <w:lang w:val="lt-LT"/>
        </w:rPr>
        <w:t>č</w:t>
      </w:r>
      <w:r w:rsidRPr="003C631F">
        <w:rPr>
          <w:lang w:val="lt-LT"/>
        </w:rPr>
        <w:t>ius filmo kultūrinio turinio vertinimo kriterijus, nustatytus Lietuvos Respublikos kultūros ministro ir Lietuvos Respublikos finansų ministro 2019 m. kovo 21 d. įsakymu Nr. ĮV-213/1K-95 patvirtintame Lietuvos Respublikoje gaminamo filmo kultūrinio turinio ir gamybos vertinimo tvarkos apraše (toliau – Aprašas) ir</w:t>
      </w:r>
    </w:p>
    <w:p w14:paraId="604F563B" w14:textId="77777777" w:rsidR="00835EB4" w:rsidRPr="003C631F" w:rsidRDefault="00835EB4" w:rsidP="00835EB4">
      <w:pPr>
        <w:numPr>
          <w:ilvl w:val="0"/>
          <w:numId w:val="5"/>
        </w:numPr>
        <w:spacing w:after="0" w:line="240" w:lineRule="auto"/>
        <w:jc w:val="both"/>
        <w:rPr>
          <w:lang w:val="lt-LT"/>
        </w:rPr>
      </w:pPr>
      <w:r w:rsidRPr="003C631F">
        <w:rPr>
          <w:lang w:val="lt-LT"/>
        </w:rPr>
        <w:t xml:space="preserve">kalendorinį filmo gamybos planą bei laikantis išlaidų sąmatos, pagal patvirtintą detalų filmo gamybos projekto finansavimo planą (kurių formos nustatytos 2019 m. kovo 29 d. Lietuvos kino centro prie Kultūros ministerijos direktoriaus įsakymu Nr. V-11), ir </w:t>
      </w:r>
    </w:p>
    <w:p w14:paraId="5EABFC02" w14:textId="77777777" w:rsidR="00835EB4" w:rsidRPr="003C631F" w:rsidRDefault="00835EB4" w:rsidP="00835EB4">
      <w:pPr>
        <w:numPr>
          <w:ilvl w:val="0"/>
          <w:numId w:val="5"/>
        </w:numPr>
        <w:tabs>
          <w:tab w:val="left" w:pos="0"/>
        </w:tabs>
        <w:spacing w:after="0" w:line="240" w:lineRule="auto"/>
        <w:jc w:val="both"/>
        <w:rPr>
          <w:lang w:val="lt-LT"/>
        </w:rPr>
      </w:pPr>
      <w:r w:rsidRPr="003C631F">
        <w:rPr>
          <w:lang w:val="lt-LT"/>
        </w:rPr>
        <w:t xml:space="preserve">  sukuriama filmo dalis, kuri nėra daugiaserijinio filmo serija.</w:t>
      </w:r>
    </w:p>
    <w:p w14:paraId="06EFCC1F" w14:textId="77777777" w:rsidR="00835EB4" w:rsidRPr="003C631F" w:rsidRDefault="00835EB4" w:rsidP="00835EB4">
      <w:pPr>
        <w:tabs>
          <w:tab w:val="left" w:pos="0"/>
          <w:tab w:val="left" w:pos="709"/>
        </w:tabs>
        <w:jc w:val="both"/>
        <w:rPr>
          <w:lang w:val="lt-LT"/>
        </w:rPr>
      </w:pPr>
      <w:r w:rsidRPr="003C631F">
        <w:rPr>
          <w:lang w:val="lt-LT"/>
        </w:rPr>
        <w:tab/>
        <w:t>Daugiaserijiniams filmams pirmiausiai priskiriami serialai, transliuojami kasdien ar keletą kartų per savaitę ir kuriems būdingos tam tikros personažų schemos bei dramaturginės taisyklės, dėl kurių jie gali būti tęsiami be galo ir nekuria meninės vertės, taip pat situacinės komedijos ir muilo operos. Vertinant, ar pagaminta filmo dalis nėra daugiaserijinio filmo serija, svarbu nustatyti, ar atskira serija gali būti kvalifikuojama kaip atskiras filmas.</w:t>
      </w:r>
    </w:p>
    <w:p w14:paraId="38766A40" w14:textId="77777777" w:rsidR="00835EB4" w:rsidRPr="003312C5" w:rsidRDefault="00835EB4" w:rsidP="00835EB4">
      <w:pPr>
        <w:ind w:firstLine="720"/>
        <w:jc w:val="both"/>
        <w:rPr>
          <w:lang w:val="lt-LT"/>
        </w:rPr>
      </w:pPr>
      <w:r w:rsidRPr="003312C5">
        <w:rPr>
          <w:lang w:val="lt-LT"/>
        </w:rPr>
        <w:t xml:space="preserve">Filmo sąvoka suprantama taip, kaip ją apibrėžia Lietuvos Respublikos kino įstatymas, o Aprašas išskiria filmo rūšis (vaidybinis, dokumentinis ir animacinis ilgametražis ar trumpametražis, animacinis kelių dalių (kai bendra filmo trukmė yra ne trumpesnė nei 24 minutės), televizijos drama (kai vienos serijos trukmė ne trumpesnė nei 30 minučių ir sezono serijų skaičius neviršija 25), televizinės meninės dokumentikos filmas (kai bendra visų dalių trukmė ne trumpesnė nei 50 minučių), filmo gamybos projekto kategorijas (nacionalinis, bendros gamybos ar užsakytas filmas) bei pažymi, kokie vizualiniai ir garso kūriniai nėra laikomi filmu – reklaminis filmas, reklaminis vaizdo klipas, televizijos laida, muzikinis vaizdo klipas, kompiuterinis žaidimas arba daugiaserijinis filmas. </w:t>
      </w:r>
    </w:p>
    <w:p w14:paraId="31D6DA70" w14:textId="77777777" w:rsidR="00093845" w:rsidRPr="003312C5" w:rsidRDefault="00835EB4">
      <w:pPr>
        <w:ind w:firstLine="720"/>
        <w:jc w:val="both"/>
        <w:rPr>
          <w:bCs/>
          <w:lang w:val="lt-LT"/>
        </w:rPr>
      </w:pPr>
      <w:r w:rsidRPr="003312C5">
        <w:rPr>
          <w:bCs/>
          <w:lang w:val="lt-LT"/>
        </w:rPr>
        <w:t xml:space="preserve"> </w:t>
      </w:r>
      <w:r w:rsidR="000D779E" w:rsidRPr="003312C5">
        <w:rPr>
          <w:bCs/>
          <w:lang w:val="lt-LT"/>
        </w:rPr>
        <w:t>(</w:t>
      </w:r>
      <w:r w:rsidR="006E463E" w:rsidRPr="003312C5">
        <w:rPr>
          <w:bCs/>
          <w:lang w:val="lt-LT"/>
        </w:rPr>
        <w:t>P</w:t>
      </w:r>
      <w:r w:rsidR="000D779E" w:rsidRPr="003312C5">
        <w:rPr>
          <w:bCs/>
          <w:lang w:val="lt-LT"/>
        </w:rPr>
        <w:t>agal 201</w:t>
      </w:r>
      <w:r w:rsidRPr="003312C5">
        <w:rPr>
          <w:bCs/>
          <w:lang w:val="lt-LT"/>
        </w:rPr>
        <w:t>9</w:t>
      </w:r>
      <w:r w:rsidR="000D779E" w:rsidRPr="003312C5">
        <w:rPr>
          <w:bCs/>
          <w:lang w:val="lt-LT"/>
        </w:rPr>
        <w:t>-0</w:t>
      </w:r>
      <w:r w:rsidRPr="003312C5">
        <w:rPr>
          <w:bCs/>
          <w:lang w:val="lt-LT"/>
        </w:rPr>
        <w:t>9</w:t>
      </w:r>
      <w:r w:rsidR="000D779E" w:rsidRPr="003312C5">
        <w:rPr>
          <w:bCs/>
          <w:lang w:val="lt-LT"/>
        </w:rPr>
        <w:t>-</w:t>
      </w:r>
      <w:r w:rsidRPr="003312C5">
        <w:rPr>
          <w:bCs/>
          <w:lang w:val="lt-LT"/>
        </w:rPr>
        <w:t>13</w:t>
      </w:r>
      <w:r w:rsidR="000D779E" w:rsidRPr="003312C5">
        <w:rPr>
          <w:bCs/>
          <w:lang w:val="lt-LT"/>
        </w:rPr>
        <w:t xml:space="preserve"> VMI prie FM raštą Nr. (</w:t>
      </w:r>
      <w:r w:rsidRPr="003312C5">
        <w:rPr>
          <w:bCs/>
          <w:lang w:val="lt-LT"/>
        </w:rPr>
        <w:t>32.42</w:t>
      </w:r>
      <w:r w:rsidR="000D779E" w:rsidRPr="003312C5">
        <w:rPr>
          <w:bCs/>
          <w:lang w:val="lt-LT"/>
        </w:rPr>
        <w:t>-31-1</w:t>
      </w:r>
      <w:r w:rsidRPr="003312C5">
        <w:rPr>
          <w:bCs/>
          <w:lang w:val="lt-LT"/>
        </w:rPr>
        <w:t>E</w:t>
      </w:r>
      <w:r w:rsidR="000D779E" w:rsidRPr="003312C5">
        <w:rPr>
          <w:bCs/>
          <w:lang w:val="lt-LT"/>
        </w:rPr>
        <w:t>)-RM-</w:t>
      </w:r>
      <w:r w:rsidRPr="003312C5">
        <w:rPr>
          <w:bCs/>
          <w:lang w:val="lt-LT"/>
        </w:rPr>
        <w:t>27343</w:t>
      </w:r>
      <w:r w:rsidR="000D779E" w:rsidRPr="003312C5">
        <w:rPr>
          <w:bCs/>
          <w:lang w:val="lt-LT"/>
        </w:rPr>
        <w:t>)</w:t>
      </w:r>
    </w:p>
    <w:p w14:paraId="1A86D594" w14:textId="77777777" w:rsidR="003312C5" w:rsidRPr="00E962A4" w:rsidRDefault="00125105" w:rsidP="00125105">
      <w:pPr>
        <w:shd w:val="clear" w:color="auto" w:fill="FFFFFF"/>
        <w:spacing w:after="0" w:line="240" w:lineRule="auto"/>
        <w:jc w:val="both"/>
        <w:rPr>
          <w:b/>
          <w:color w:val="000000"/>
          <w:lang w:val="lt-LT" w:eastAsia="lt-LT"/>
        </w:rPr>
      </w:pPr>
      <w:r>
        <w:rPr>
          <w:b/>
          <w:color w:val="000000"/>
          <w:lang w:val="lt-LT" w:eastAsia="lt-LT"/>
        </w:rPr>
        <w:t xml:space="preserve">         </w:t>
      </w:r>
      <w:r w:rsidR="003312C5" w:rsidRPr="00E962A4">
        <w:rPr>
          <w:b/>
          <w:color w:val="000000"/>
          <w:lang w:val="lt-LT" w:eastAsia="lt-LT"/>
        </w:rPr>
        <w:t>10</w:t>
      </w:r>
      <w:r w:rsidR="003312C5" w:rsidRPr="00E962A4">
        <w:rPr>
          <w:b/>
          <w:color w:val="000000"/>
          <w:vertAlign w:val="superscript"/>
          <w:lang w:val="lt-LT" w:eastAsia="lt-LT"/>
        </w:rPr>
        <w:t>2</w:t>
      </w:r>
      <w:r w:rsidR="003312C5" w:rsidRPr="00E962A4">
        <w:rPr>
          <w:b/>
          <w:color w:val="000000"/>
          <w:lang w:val="lt-LT" w:eastAsia="lt-LT"/>
        </w:rPr>
        <w:t>.</w:t>
      </w:r>
      <w:r w:rsidR="003312C5" w:rsidRPr="00E962A4">
        <w:rPr>
          <w:b/>
          <w:bCs/>
          <w:color w:val="000000"/>
          <w:lang w:val="lt-LT" w:eastAsia="lt-LT"/>
        </w:rPr>
        <w:t> Finansinė priemonė </w:t>
      </w:r>
      <w:r w:rsidR="003312C5" w:rsidRPr="00E962A4">
        <w:rPr>
          <w:b/>
          <w:color w:val="000000"/>
          <w:lang w:val="lt-LT" w:eastAsia="lt-LT"/>
        </w:rPr>
        <w:t>– priemonė, lemianti finansavimo (lėšų skolinimo) arba nuosavybės vertybinių popierių grąžą, įskaitant išvestines finansines priemones.</w:t>
      </w:r>
    </w:p>
    <w:p w14:paraId="41BC4EE8" w14:textId="77777777" w:rsidR="003312C5" w:rsidRPr="00D3044F" w:rsidRDefault="00F9258A" w:rsidP="00D3044F">
      <w:pPr>
        <w:shd w:val="clear" w:color="auto" w:fill="FFFFFF"/>
        <w:spacing w:after="0" w:line="240" w:lineRule="auto"/>
        <w:jc w:val="both"/>
        <w:rPr>
          <w:i/>
          <w:iCs/>
          <w:color w:val="000000"/>
          <w:lang w:val="lt-LT" w:eastAsia="lt-LT"/>
        </w:rPr>
      </w:pPr>
      <w:r w:rsidRPr="00D3044F">
        <w:rPr>
          <w:i/>
          <w:iCs/>
          <w:color w:val="000000"/>
          <w:lang w:val="lt-LT" w:eastAsia="lt-LT"/>
        </w:rPr>
        <w:t>(Papildyta</w:t>
      </w:r>
      <w:r w:rsidR="003312C5" w:rsidRPr="00D3044F">
        <w:rPr>
          <w:i/>
          <w:iCs/>
          <w:color w:val="000000"/>
          <w:lang w:val="lt-LT" w:eastAsia="lt-LT"/>
        </w:rPr>
        <w:t>: 2019 12 17 įstatymu Nr. XIII-2694 (nuo 2020 01 01)</w:t>
      </w:r>
      <w:r w:rsidR="00A914BC">
        <w:rPr>
          <w:i/>
          <w:iCs/>
          <w:color w:val="000000"/>
          <w:lang w:val="lt-LT" w:eastAsia="lt-LT"/>
        </w:rPr>
        <w:t>)</w:t>
      </w:r>
    </w:p>
    <w:p w14:paraId="702BE056" w14:textId="77777777" w:rsidR="003312C5" w:rsidRPr="003312C5" w:rsidRDefault="003312C5" w:rsidP="003312C5">
      <w:pPr>
        <w:jc w:val="both"/>
        <w:rPr>
          <w:bCs/>
          <w:lang w:val="lt-LT"/>
        </w:rPr>
      </w:pPr>
    </w:p>
    <w:p w14:paraId="5E4A3D13" w14:textId="77777777" w:rsidR="00093845" w:rsidRPr="0065344A" w:rsidRDefault="000D779E" w:rsidP="00396499">
      <w:pPr>
        <w:spacing w:after="0"/>
        <w:ind w:firstLine="539"/>
        <w:jc w:val="both"/>
        <w:rPr>
          <w:b/>
          <w:lang w:val="lt-LT"/>
        </w:rPr>
      </w:pPr>
      <w:r w:rsidRPr="0065344A">
        <w:rPr>
          <w:b/>
          <w:bCs/>
          <w:lang w:val="lt-LT"/>
        </w:rPr>
        <w:t xml:space="preserve">11. Honoraras </w:t>
      </w:r>
      <w:r w:rsidRPr="0065344A">
        <w:rPr>
          <w:b/>
          <w:lang w:val="lt-LT"/>
        </w:rPr>
        <w:t>– atlyginimas už autorine licencine sutartimi suteiktą teisę panaudoti kūrinį, atlyginimas už suteiktas gretutines teises, pajamos, gautos kaip atlyginimas už perduotą ar pagal licencinę sutartį suteiktą teisę naudotis pramoninės nuosavybės objektu, franšize, atlyginimas už suteiktą informaciją apie gamybinę, prekybinę ar mokslinę patirtį (</w:t>
      </w:r>
      <w:r w:rsidRPr="0065344A">
        <w:rPr>
          <w:b/>
          <w:i/>
          <w:iCs/>
          <w:lang w:val="lt-LT"/>
        </w:rPr>
        <w:t>know-how</w:t>
      </w:r>
      <w:r w:rsidRPr="0065344A">
        <w:rPr>
          <w:b/>
          <w:lang w:val="lt-LT"/>
        </w:rPr>
        <w:t>).</w:t>
      </w:r>
    </w:p>
    <w:p w14:paraId="6115E93A" w14:textId="77777777" w:rsidR="00396499" w:rsidRDefault="00396499" w:rsidP="00D3044F">
      <w:pPr>
        <w:spacing w:after="0"/>
        <w:jc w:val="both"/>
        <w:rPr>
          <w:i/>
        </w:rPr>
      </w:pPr>
      <w:r w:rsidRPr="00D3044F">
        <w:rPr>
          <w:i/>
        </w:rPr>
        <w:t>(KEISTA: 2008 07 14 įstatymu Nr. IX-1697 (nuo 2009 01 01)</w:t>
      </w:r>
      <w:r w:rsidR="00F31096" w:rsidRPr="00D3044F">
        <w:rPr>
          <w:i/>
        </w:rPr>
        <w:t>)</w:t>
      </w:r>
    </w:p>
    <w:p w14:paraId="20A1426B" w14:textId="77777777" w:rsidR="004F530B" w:rsidRPr="00D3044F" w:rsidRDefault="004F530B" w:rsidP="00D3044F">
      <w:pPr>
        <w:spacing w:after="0"/>
        <w:jc w:val="both"/>
        <w:rPr>
          <w:i/>
        </w:rPr>
      </w:pPr>
    </w:p>
    <w:p w14:paraId="657DCF5F" w14:textId="77777777" w:rsidR="00093845" w:rsidRDefault="000D779E">
      <w:pPr>
        <w:ind w:firstLine="540"/>
        <w:jc w:val="both"/>
        <w:rPr>
          <w:b/>
          <w:bCs/>
        </w:rPr>
      </w:pPr>
      <w:r>
        <w:t xml:space="preserve"> </w:t>
      </w:r>
      <w:r>
        <w:rPr>
          <w:b/>
          <w:bCs/>
        </w:rPr>
        <w:t xml:space="preserve"> Komentaras</w:t>
      </w:r>
    </w:p>
    <w:p w14:paraId="26895AD0" w14:textId="77777777" w:rsidR="00093845" w:rsidRDefault="000D779E">
      <w:pPr>
        <w:ind w:firstLine="540"/>
        <w:jc w:val="both"/>
      </w:pPr>
      <w:r>
        <w:t>1. Honoraro sąvoka apima atlyginimą, mokamą už teisę naudotis kūriniu, už gretutines teises, už teisę naudotis pramoninės nuosavybės objektu ar franšize ir atlyginimą už suteiktą informaciją apie gamybinę, prekybinę ar mokslinę patirtį (</w:t>
      </w:r>
      <w:r>
        <w:rPr>
          <w:i/>
          <w:iCs/>
        </w:rPr>
        <w:t>know-how</w:t>
      </w:r>
      <w:r>
        <w:t>) ir kompensacijas už autorių arba gretutinių teisių pažeidimus.</w:t>
      </w:r>
    </w:p>
    <w:p w14:paraId="7E6D953B" w14:textId="77777777" w:rsidR="00093845" w:rsidRDefault="000D779E">
      <w:pPr>
        <w:ind w:firstLine="540"/>
        <w:jc w:val="both"/>
      </w:pPr>
      <w:r>
        <w:t>2. Honoraras yra pajamos, kurios gaunamos ne už atliekamą veiklą (savo kūrinio, gretutinių teisių, pramoninės nuosavybės objekto ir pan. perleidimą), bet už minėtų teisių (t.y. teisių naudotis kūriniu, gretutinėmis teisėmis, pramoninės nuosavybės objektu ir pan.) suteikimą.</w:t>
      </w:r>
    </w:p>
    <w:p w14:paraId="4D02F710" w14:textId="77777777" w:rsidR="00093845" w:rsidRDefault="000D779E">
      <w:pPr>
        <w:ind w:firstLine="540"/>
        <w:jc w:val="both"/>
      </w:pPr>
      <w:r>
        <w:t xml:space="preserve">3. Honoraru laikomas atlyginimas už autorine licencine sutartimi suteiktą teisę naudotis savo sukurtu literatūros, mokslo ar meno kūriniu. Kūriniai, kurie gali būti autorių teisių objektais, išvardinti </w:t>
      </w:r>
      <w:r>
        <w:lastRenderedPageBreak/>
        <w:t xml:space="preserve">Lietuvos Respublikos </w:t>
      </w:r>
      <w:r w:rsidR="000F2924" w:rsidRPr="009C0219">
        <w:rPr>
          <w:rStyle w:val="Hipersaitas"/>
          <w:rFonts w:ascii="Times New Roman" w:hAnsi="Times New Roman" w:cs="Times New Roman"/>
          <w:b w:val="0"/>
          <w:bCs w:val="0"/>
          <w:kern w:val="0"/>
        </w:rPr>
        <w:t>autorių teisių ir gretutinių teisių įstatymo</w:t>
      </w:r>
      <w:r>
        <w:t xml:space="preserve"> 4 straipsnyje. Šiame straipsnyje pateiktas autorių teisių objektų sąrašas nėra baigtinis. </w:t>
      </w:r>
    </w:p>
    <w:p w14:paraId="05CCF9C2" w14:textId="77777777" w:rsidR="00093845" w:rsidRDefault="000D779E">
      <w:pPr>
        <w:tabs>
          <w:tab w:val="left" w:pos="900"/>
        </w:tabs>
        <w:ind w:firstLine="540"/>
        <w:jc w:val="both"/>
      </w:pPr>
      <w:r>
        <w:t xml:space="preserve">4. Honoraru laikomas atlyginimas už gretutinių teisių suteikimą, t.y. atlyginimas, gaunamas kitam asmeniui suteikus teisę atlikti savo kūrinį (tiek gyvai atlikti, tiek įrašyti į garso ar vaizdo laikmeną) arba suteikus kitam asmeniui teises naudotis fonograma, audiovizualinio kūrinio įrašu, radijo ir televizijos laida bei programa. </w:t>
      </w:r>
    </w:p>
    <w:p w14:paraId="23962BE5" w14:textId="77777777" w:rsidR="00093845" w:rsidRDefault="000D779E">
      <w:pPr>
        <w:ind w:firstLine="540"/>
        <w:jc w:val="both"/>
      </w:pPr>
      <w:r>
        <w:t>5. Honoraru taip pat laikomas atlyginimas, gaunamas kitam asmeniui suteikus teisę naudotis pramoninės nuosavybės objektu (t.y. išradimo patentu, pramoniniu dizainu, puslaidininkinio gaminio topografija, prekių ženklu) ar franšize. Franšizė – tai specifinė licencija, kuria vienas asmuo (teisių turėtojas) kitam asmeniui (naudotojui) tam tikram terminui ar neterminuotai suteikia teisę naudotis verslo tikslais išimtinių teisių, priklausančių teisių turėtojui, visuma (pvz., teise į saugomą komercinę (gamybinę) informaciją, teise į prekių ar paslaugų ženklą ir pan.).</w:t>
      </w:r>
    </w:p>
    <w:p w14:paraId="531EAE4E" w14:textId="77777777" w:rsidR="00093845" w:rsidRDefault="000D779E">
      <w:pPr>
        <w:ind w:firstLine="540"/>
        <w:jc w:val="both"/>
      </w:pPr>
      <w:r>
        <w:t>6. Honoraru taip pat laikomas atlyginimas už suteiktą informaciją apie gamybinę, prekybinę ar mokslinę patirtį (</w:t>
      </w:r>
      <w:r>
        <w:rPr>
          <w:i/>
          <w:iCs/>
        </w:rPr>
        <w:t>know-how</w:t>
      </w:r>
      <w:r>
        <w:t xml:space="preserve">). </w:t>
      </w:r>
      <w:r>
        <w:rPr>
          <w:i/>
          <w:iCs/>
        </w:rPr>
        <w:t>Know-how</w:t>
      </w:r>
      <w:r>
        <w:t xml:space="preserve"> suprantama kaip patirtimi įgytos praktinės informacijos (patentuotos arba ne) visuma (t.y. specialių žinių ir patirties), kuri būtina produktams atgaminti, gamybos ar komercijos procesui vykdyti ar paslaugoms teikti. Tokiai informacijai teikti reikalinga patirtis ir specialios žinios. Asmuo, vien tik išnagrinėjęs gaminį arba įgijęs žinių apie technikos ar technologijos naujoves, tokios informacijos sužinoti negali.</w:t>
      </w:r>
    </w:p>
    <w:p w14:paraId="5B11D66D" w14:textId="77777777" w:rsidR="00093845" w:rsidRDefault="000D779E">
      <w:pPr>
        <w:ind w:firstLine="540"/>
        <w:jc w:val="both"/>
      </w:pPr>
      <w:r>
        <w:rPr>
          <w:color w:val="000000"/>
        </w:rPr>
        <w:t>7. Honoraru yra laikoma ir mokama k</w:t>
      </w:r>
      <w:r>
        <w:t xml:space="preserve">ompensacija už autorių arba gretutinių teisių pažeidimą. Kas yra laikoma autorių arba gretutinių teisių pažeidimu, nurodyta Lietuvos Respublikos </w:t>
      </w:r>
      <w:r w:rsidR="00AB0CD5" w:rsidRPr="009C0219">
        <w:rPr>
          <w:rStyle w:val="Hipersaitas"/>
          <w:rFonts w:ascii="Times New Roman" w:hAnsi="Times New Roman" w:cs="Times New Roman"/>
          <w:b w:val="0"/>
          <w:bCs w:val="0"/>
          <w:kern w:val="0"/>
        </w:rPr>
        <w:t>autorių teisių ir gretutinių teisių įstatymo</w:t>
      </w:r>
      <w:r w:rsidRPr="00AB0CD5">
        <w:t xml:space="preserve"> </w:t>
      </w:r>
      <w:r>
        <w:t>73 straipsnyje.</w:t>
      </w:r>
    </w:p>
    <w:p w14:paraId="565C099C" w14:textId="77777777" w:rsidR="00093845" w:rsidRDefault="000D779E">
      <w:pPr>
        <w:tabs>
          <w:tab w:val="left" w:pos="720"/>
        </w:tabs>
        <w:ind w:firstLine="540"/>
        <w:jc w:val="both"/>
      </w:pPr>
      <w:r>
        <w:t xml:space="preserve">8. Honoraru nelaikomos įrengimo pirkėjo išmokos pardavėjui už suteiktas garantines paslaugas. Honoraru taip pat nelaikomos išmokos už turto nuomą, techninę įrengimų priežiūrą, išmokos už kitas technines paslaugas (pvz., mokslinio, geologinio ar techninio pobūdžio tyrimus, inžinierines sutartis ir su jomis susijusius projektus), išmokos už konsultacines paslaugas, išmokos už darbuotojų apmokymą ir pan. </w:t>
      </w:r>
    </w:p>
    <w:p w14:paraId="23E982BC" w14:textId="77777777" w:rsidR="00093845" w:rsidRDefault="00235F61" w:rsidP="00CE17DC">
      <w:pPr>
        <w:spacing w:before="240"/>
        <w:ind w:firstLine="540"/>
        <w:jc w:val="both"/>
        <w:rPr>
          <w:bCs/>
          <w:lang w:val="lt-LT"/>
        </w:rPr>
      </w:pPr>
      <w:r>
        <w:rPr>
          <w:bCs/>
          <w:lang w:val="lt-LT"/>
        </w:rPr>
        <w:t>(P</w:t>
      </w:r>
      <w:r w:rsidR="000D779E">
        <w:rPr>
          <w:bCs/>
          <w:lang w:val="lt-LT"/>
        </w:rPr>
        <w:t xml:space="preserve">agal 2009-09-08 VMI prie FM </w:t>
      </w:r>
      <w:r w:rsidR="00A914BC">
        <w:rPr>
          <w:bCs/>
          <w:lang w:val="lt-LT"/>
        </w:rPr>
        <w:t>raštą Nr. (18.-10-31-1)-R-8626)</w:t>
      </w:r>
    </w:p>
    <w:p w14:paraId="504930B3" w14:textId="77777777" w:rsidR="00D3044F" w:rsidRDefault="000D779E" w:rsidP="00D3044F">
      <w:pPr>
        <w:spacing w:after="0"/>
        <w:ind w:firstLine="720"/>
        <w:jc w:val="both"/>
        <w:rPr>
          <w:b/>
          <w:lang w:val="lt-LT"/>
        </w:rPr>
      </w:pPr>
      <w:r>
        <w:rPr>
          <w:b/>
          <w:lang w:val="lt-LT"/>
        </w:rPr>
        <w:t xml:space="preserve">12. </w:t>
      </w:r>
      <w:r>
        <w:rPr>
          <w:b/>
          <w:bCs/>
          <w:lang w:val="lt-LT"/>
        </w:rPr>
        <w:t>Indėlis</w:t>
      </w:r>
      <w:r>
        <w:rPr>
          <w:b/>
          <w:lang w:val="lt-LT"/>
        </w:rPr>
        <w:t xml:space="preserve"> – kredito įstaigoje laikomos piniginės lėšos, kai kredito įstaiga įsipareigoja jas grąžinti bei už jas mokėti palūkanas. Indėliu nelaikomos piniginės lėšos, į kurias indėlininkas turi reikalavimo teises, atsirandančias iš kredito įstaigos atliekamų finansinių operacijų su indėliais arba iš teikiamų investicinių paslaugų.</w:t>
      </w:r>
    </w:p>
    <w:p w14:paraId="22DE2B08" w14:textId="77777777" w:rsidR="00CC6DBE" w:rsidRPr="00D3044F" w:rsidRDefault="00CC6DBE" w:rsidP="00D3044F">
      <w:pPr>
        <w:spacing w:after="0"/>
        <w:jc w:val="both"/>
        <w:rPr>
          <w:b/>
          <w:i/>
          <w:lang w:val="lt-LT"/>
        </w:rPr>
      </w:pPr>
      <w:r w:rsidRPr="00D3044F">
        <w:rPr>
          <w:i/>
        </w:rPr>
        <w:t>(KEISTA: 2008 07 14 įstatymu Nr. IX-1697 (nuo 2009 01 01)</w:t>
      </w:r>
      <w:r w:rsidR="004C1187" w:rsidRPr="00D3044F">
        <w:rPr>
          <w:i/>
        </w:rPr>
        <w:t>)</w:t>
      </w:r>
    </w:p>
    <w:p w14:paraId="402589E1" w14:textId="77777777" w:rsidR="00093845" w:rsidRDefault="00093845" w:rsidP="00CC6DBE">
      <w:pPr>
        <w:spacing w:after="0"/>
        <w:ind w:firstLine="720"/>
        <w:jc w:val="both"/>
        <w:rPr>
          <w:b/>
          <w:lang w:val="lt-LT"/>
        </w:rPr>
      </w:pPr>
    </w:p>
    <w:p w14:paraId="7B274A83" w14:textId="77777777" w:rsidR="00093845" w:rsidRDefault="000D779E" w:rsidP="002B5B54">
      <w:pPr>
        <w:jc w:val="both"/>
        <w:rPr>
          <w:b/>
          <w:bCs/>
          <w:lang w:val="lt-LT"/>
        </w:rPr>
      </w:pPr>
      <w:r>
        <w:rPr>
          <w:lang w:val="fr-FR"/>
        </w:rPr>
        <w:t xml:space="preserve">           </w:t>
      </w:r>
      <w:r>
        <w:rPr>
          <w:b/>
          <w:bCs/>
          <w:lang w:val="lt-LT"/>
        </w:rPr>
        <w:t>Komentaras</w:t>
      </w:r>
    </w:p>
    <w:p w14:paraId="2D627243" w14:textId="77777777" w:rsidR="00CF520F" w:rsidRDefault="000D779E" w:rsidP="00CF520F">
      <w:pPr>
        <w:tabs>
          <w:tab w:val="left" w:pos="720"/>
          <w:tab w:val="left" w:pos="1080"/>
        </w:tabs>
        <w:ind w:firstLine="720"/>
        <w:jc w:val="both"/>
        <w:rPr>
          <w:lang w:val="lt-LT"/>
        </w:rPr>
      </w:pPr>
      <w:r>
        <w:rPr>
          <w:lang w:val="lt-LT"/>
        </w:rPr>
        <w:t>1.</w:t>
      </w:r>
      <w:r>
        <w:rPr>
          <w:lang w:val="lt-LT"/>
        </w:rPr>
        <w:tab/>
        <w:t>Kredito įstaigos – tai komerciniai bankai, užsienio bankų filialai, skyriai, kredito unijos ir kitos kredito įstaigos, kaip tai apibrėžta Lietuvos Respublikos finansų įstaigų įstatymo 2 str. 23 dalyje. Piniginės lėšos laikomos pagal indėlio ar kitas sutartis, kai kredito įstaiga įsipareigoja tokias lėšas grąžinti ir už jas mokėti palūkanas.</w:t>
      </w:r>
    </w:p>
    <w:p w14:paraId="34C632C2" w14:textId="77777777" w:rsidR="00093845" w:rsidRDefault="00CF520F" w:rsidP="00CF520F">
      <w:pPr>
        <w:tabs>
          <w:tab w:val="left" w:pos="720"/>
          <w:tab w:val="left" w:pos="1080"/>
        </w:tabs>
        <w:ind w:firstLine="720"/>
        <w:jc w:val="both"/>
        <w:rPr>
          <w:lang w:val="lt-LT"/>
        </w:rPr>
      </w:pPr>
      <w:r>
        <w:rPr>
          <w:lang w:val="lt-LT"/>
        </w:rPr>
        <w:t xml:space="preserve">2.  </w:t>
      </w:r>
      <w:r w:rsidR="000D779E">
        <w:rPr>
          <w:lang w:val="lt-LT"/>
        </w:rPr>
        <w:t>Jeigu kredito įstaiga su indėlininko piniginėmis lėšomis atlieka finansines operacijas, tai lėšos, kurios atsiranda dėl tokių operacijų ir į kurias indėlininkas turi reikalavimo teisę, PMĮ tikslams nelaikomos indėliu.</w:t>
      </w:r>
    </w:p>
    <w:p w14:paraId="3295FBB8" w14:textId="77777777" w:rsidR="00093845" w:rsidRDefault="000D779E">
      <w:pPr>
        <w:tabs>
          <w:tab w:val="left" w:pos="720"/>
          <w:tab w:val="left" w:pos="1080"/>
        </w:tabs>
        <w:ind w:firstLine="720"/>
        <w:jc w:val="both"/>
        <w:rPr>
          <w:lang w:val="lt-LT"/>
        </w:rPr>
      </w:pPr>
      <w:r>
        <w:rPr>
          <w:lang w:val="lt-LT"/>
        </w:rPr>
        <w:t>3.</w:t>
      </w:r>
      <w:r>
        <w:rPr>
          <w:lang w:val="lt-LT"/>
        </w:rPr>
        <w:tab/>
        <w:t xml:space="preserve">Jeigu kredito įstaiga indėlininkui teikia investicines paslaugas, tai piniginės lėšos, į kurias indėlininkas turi reikalavimo teisę ir kurios atsiranda dėl tokių teikiamų paslaugų, PMĮ tikslams nelaikomos indėliu. </w:t>
      </w:r>
    </w:p>
    <w:p w14:paraId="3EE68102" w14:textId="77777777" w:rsidR="00093845" w:rsidRDefault="000D779E" w:rsidP="005F12F1">
      <w:pPr>
        <w:tabs>
          <w:tab w:val="left" w:pos="720"/>
          <w:tab w:val="left" w:pos="1080"/>
        </w:tabs>
        <w:spacing w:after="0"/>
        <w:ind w:firstLine="720"/>
        <w:jc w:val="both"/>
        <w:rPr>
          <w:lang w:val="lt-LT"/>
        </w:rPr>
      </w:pPr>
      <w:r>
        <w:rPr>
          <w:lang w:val="lt-LT"/>
        </w:rPr>
        <w:lastRenderedPageBreak/>
        <w:t>Investicinės paslaugos, tai:</w:t>
      </w:r>
    </w:p>
    <w:p w14:paraId="2BF0084A" w14:textId="77777777" w:rsidR="00093845" w:rsidRDefault="000D779E" w:rsidP="00EC4E29">
      <w:pPr>
        <w:numPr>
          <w:ilvl w:val="0"/>
          <w:numId w:val="6"/>
        </w:numPr>
        <w:tabs>
          <w:tab w:val="left" w:pos="720"/>
        </w:tabs>
        <w:spacing w:after="0"/>
        <w:ind w:left="0"/>
        <w:jc w:val="both"/>
        <w:rPr>
          <w:lang w:val="lt-LT"/>
        </w:rPr>
      </w:pPr>
      <w:r>
        <w:rPr>
          <w:lang w:val="lt-LT"/>
        </w:rPr>
        <w:t>pavedimų dėl vertybinių popierių priėmimas ir perdavimas;</w:t>
      </w:r>
    </w:p>
    <w:p w14:paraId="327ABB34" w14:textId="77777777" w:rsidR="00093845" w:rsidRDefault="000D779E" w:rsidP="00EC4E29">
      <w:pPr>
        <w:numPr>
          <w:ilvl w:val="0"/>
          <w:numId w:val="6"/>
        </w:numPr>
        <w:tabs>
          <w:tab w:val="left" w:pos="720"/>
        </w:tabs>
        <w:spacing w:after="0"/>
        <w:ind w:left="0"/>
        <w:jc w:val="both"/>
        <w:rPr>
          <w:lang w:val="lt-LT"/>
        </w:rPr>
      </w:pPr>
      <w:r>
        <w:rPr>
          <w:lang w:val="lt-LT"/>
        </w:rPr>
        <w:t>pavedimų įsigyti ar perleisti vertybinius popierius vykdymas;</w:t>
      </w:r>
    </w:p>
    <w:p w14:paraId="296C75D6" w14:textId="77777777" w:rsidR="00093845" w:rsidRDefault="000D779E" w:rsidP="00EC4E29">
      <w:pPr>
        <w:numPr>
          <w:ilvl w:val="0"/>
          <w:numId w:val="6"/>
        </w:numPr>
        <w:tabs>
          <w:tab w:val="left" w:pos="720"/>
        </w:tabs>
        <w:spacing w:after="0"/>
        <w:ind w:left="0"/>
        <w:jc w:val="both"/>
        <w:rPr>
          <w:lang w:val="lt-LT"/>
        </w:rPr>
      </w:pPr>
      <w:r>
        <w:rPr>
          <w:lang w:val="lt-LT"/>
        </w:rPr>
        <w:t>indėlininkų vertybinių popierių portfelių valdymas;</w:t>
      </w:r>
    </w:p>
    <w:p w14:paraId="40F15235" w14:textId="77777777" w:rsidR="00093845" w:rsidRDefault="000D779E" w:rsidP="00EC4E29">
      <w:pPr>
        <w:numPr>
          <w:ilvl w:val="0"/>
          <w:numId w:val="6"/>
        </w:numPr>
        <w:tabs>
          <w:tab w:val="left" w:pos="720"/>
        </w:tabs>
        <w:spacing w:after="0"/>
        <w:ind w:left="0"/>
        <w:jc w:val="both"/>
        <w:rPr>
          <w:lang w:val="lt-LT"/>
        </w:rPr>
      </w:pPr>
      <w:r>
        <w:rPr>
          <w:lang w:val="lt-LT"/>
        </w:rPr>
        <w:t>vertybinių popierių platinimas ir pan.</w:t>
      </w:r>
    </w:p>
    <w:p w14:paraId="04EB8F54" w14:textId="77777777" w:rsidR="00093845" w:rsidRDefault="000D779E">
      <w:pPr>
        <w:tabs>
          <w:tab w:val="left" w:pos="720"/>
          <w:tab w:val="left" w:pos="1080"/>
        </w:tabs>
        <w:jc w:val="both"/>
        <w:rPr>
          <w:lang w:val="lt-LT"/>
        </w:rPr>
      </w:pPr>
      <w:r>
        <w:rPr>
          <w:lang w:val="lt-LT"/>
        </w:rPr>
        <w:tab/>
        <w:t xml:space="preserve">(Papildyta VMI prie FM 2003-11-06 </w:t>
      </w:r>
      <w:r w:rsidR="00AB0CD5" w:rsidRPr="009C0219">
        <w:rPr>
          <w:rStyle w:val="Hipersaitas"/>
          <w:rFonts w:ascii="Times New Roman" w:hAnsi="Times New Roman" w:cs="Times New Roman"/>
          <w:b w:val="0"/>
          <w:bCs w:val="0"/>
          <w:kern w:val="0"/>
          <w:lang w:val="lt-LT"/>
        </w:rPr>
        <w:t>raštu</w:t>
      </w:r>
      <w:r w:rsidR="004F530B">
        <w:rPr>
          <w:lang w:val="lt-LT"/>
        </w:rPr>
        <w:t xml:space="preserve"> Nr. (18.9-08-2)-R-10119</w:t>
      </w:r>
      <w:r>
        <w:rPr>
          <w:lang w:val="lt-LT"/>
        </w:rPr>
        <w:t>)</w:t>
      </w:r>
    </w:p>
    <w:p w14:paraId="5BE63559" w14:textId="77777777" w:rsidR="00093845" w:rsidRDefault="000D779E">
      <w:pPr>
        <w:pStyle w:val="Pagrindiniotekstotrauka"/>
        <w:tabs>
          <w:tab w:val="left" w:pos="1260"/>
        </w:tabs>
        <w:ind w:right="278"/>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Pavyzdžiui, piniginės lėšos, laikomos kredito įstaigose pagal terminuoto, periodinio, taupomojo ar vienos nakties indėlių sutartis, PMĮ tikslams yra laikomos indėliu, jeigu jos atitinka “indėlio” sąvokos apibrėžime nustatytus požymius.</w:t>
      </w:r>
    </w:p>
    <w:p w14:paraId="29997B23" w14:textId="77777777" w:rsidR="00093845" w:rsidRDefault="000D779E">
      <w:pPr>
        <w:ind w:right="278" w:firstLine="720"/>
        <w:jc w:val="both"/>
        <w:rPr>
          <w:lang w:val="lt-LT"/>
        </w:rPr>
      </w:pPr>
      <w:r>
        <w:rPr>
          <w:lang w:val="lt-LT"/>
        </w:rPr>
        <w:t>Piniginės lėšos, laikomos kredito įstaigose pagal banko sąskaitos ar grupės sąskaitos (</w:t>
      </w:r>
      <w:r>
        <w:rPr>
          <w:i/>
          <w:iCs/>
          <w:lang w:val="lt-LT"/>
        </w:rPr>
        <w:t>cash pooling</w:t>
      </w:r>
      <w:r>
        <w:rPr>
          <w:lang w:val="lt-LT"/>
        </w:rPr>
        <w:t>) sutartis, PMĮ tikslams nėra laikomos indėliu.</w:t>
      </w:r>
    </w:p>
    <w:p w14:paraId="0015C576" w14:textId="77777777" w:rsidR="00093845" w:rsidRDefault="000D779E">
      <w:pPr>
        <w:ind w:right="278" w:firstLine="720"/>
        <w:jc w:val="both"/>
        <w:rPr>
          <w:lang w:val="lt-LT"/>
        </w:rPr>
      </w:pPr>
      <w:r>
        <w:rPr>
          <w:lang w:val="lt-LT"/>
        </w:rPr>
        <w:t xml:space="preserve"> (Papildyta VMI prie FM 2004-03-12 </w:t>
      </w:r>
      <w:r w:rsidR="00AB0CD5" w:rsidRPr="009C0219">
        <w:rPr>
          <w:rStyle w:val="Hipersaitas"/>
          <w:rFonts w:ascii="Times New Roman" w:hAnsi="Times New Roman" w:cs="Times New Roman"/>
          <w:b w:val="0"/>
          <w:bCs w:val="0"/>
          <w:kern w:val="0"/>
          <w:lang w:val="lt-LT"/>
        </w:rPr>
        <w:t>raštu</w:t>
      </w:r>
      <w:r w:rsidR="004F530B">
        <w:rPr>
          <w:lang w:val="lt-LT"/>
        </w:rPr>
        <w:t xml:space="preserve"> Nr. (18.9-25-1)-R-2809)</w:t>
      </w:r>
    </w:p>
    <w:p w14:paraId="5E44E7E1" w14:textId="77777777" w:rsidR="00093845" w:rsidRDefault="00D64187" w:rsidP="004A722D">
      <w:pPr>
        <w:spacing w:after="0"/>
        <w:ind w:firstLine="720"/>
        <w:jc w:val="both"/>
        <w:rPr>
          <w:b/>
          <w:lang w:eastAsia="lt-LT"/>
        </w:rPr>
      </w:pPr>
      <w:r>
        <w:rPr>
          <w:b/>
          <w:lang w:val="lt-LT" w:eastAsia="lt-LT"/>
        </w:rPr>
        <w:t>12</w:t>
      </w:r>
      <w:r w:rsidRPr="00D64187">
        <w:rPr>
          <w:b/>
          <w:vertAlign w:val="superscript"/>
          <w:lang w:val="lt-LT" w:eastAsia="lt-LT"/>
        </w:rPr>
        <w:t>1</w:t>
      </w:r>
      <w:r w:rsidR="000D779E" w:rsidRPr="0065344A">
        <w:rPr>
          <w:b/>
          <w:lang w:val="lt-LT" w:eastAsia="lt-LT"/>
        </w:rPr>
        <w:t>.</w:t>
      </w:r>
      <w:r w:rsidR="000D779E" w:rsidRPr="0065344A">
        <w:rPr>
          <w:b/>
          <w:bCs/>
          <w:lang w:val="lt-LT" w:eastAsia="lt-LT"/>
        </w:rPr>
        <w:t xml:space="preserve"> Investicinis projektas </w:t>
      </w:r>
      <w:r w:rsidR="000D779E" w:rsidRPr="0065344A">
        <w:rPr>
          <w:b/>
          <w:lang w:val="lt-LT" w:eastAsia="lt-LT"/>
        </w:rPr>
        <w:t>– vieneto investicijos į šio Įstatymo 46</w:t>
      </w:r>
      <w:r w:rsidR="000D779E" w:rsidRPr="0065344A">
        <w:rPr>
          <w:b/>
          <w:vertAlign w:val="superscript"/>
          <w:lang w:val="lt-LT" w:eastAsia="lt-LT"/>
        </w:rPr>
        <w:t>1</w:t>
      </w:r>
      <w:r w:rsidR="000D779E" w:rsidRPr="0065344A">
        <w:rPr>
          <w:b/>
          <w:lang w:val="lt-LT" w:eastAsia="lt-LT"/>
        </w:rPr>
        <w:t xml:space="preserve"> straipsnio 1 dalies 1 punkte nurodytą ilgalaikį turtą, skirtos naujų, papildomų produktų gamybai ar paslaugų teikimui arba gamybos (ar paslaugų teikimo) pajėgumų didinimui, arba naujo gamybos (ar paslaugų teikimo) proceso įdiegimui, arba esamo proceso (jo dalies) esminiam pakeitimui, taip pat tarptautiniais išradimų patentais apsaugotų technologijų įdiegimui. </w:t>
      </w:r>
      <w:r w:rsidR="000D779E">
        <w:rPr>
          <w:b/>
          <w:lang w:eastAsia="lt-LT"/>
        </w:rPr>
        <w:t>Vieneto investicijos, skirtos vien tik turimam ilgalaikiam turtui pakeisti kitu analogiškos rūšies ilgalaikiu turtu, nelaikomos investiciniu projektu (ar jo dalimi).</w:t>
      </w:r>
    </w:p>
    <w:p w14:paraId="14807C6F" w14:textId="77777777" w:rsidR="004A722D" w:rsidRDefault="004A722D" w:rsidP="00D3044F">
      <w:pPr>
        <w:spacing w:after="0"/>
        <w:jc w:val="both"/>
        <w:rPr>
          <w:i/>
          <w:lang w:eastAsia="lt-LT"/>
        </w:rPr>
      </w:pPr>
      <w:r w:rsidRPr="00D3044F">
        <w:rPr>
          <w:i/>
          <w:lang w:eastAsia="lt-LT"/>
        </w:rPr>
        <w:t>(KEISTA: 2008 12 18 įstatymu Nr. XI-73</w:t>
      </w:r>
      <w:r w:rsidR="00F31096" w:rsidRPr="00D3044F">
        <w:rPr>
          <w:i/>
          <w:lang w:eastAsia="lt-LT"/>
        </w:rPr>
        <w:t>,</w:t>
      </w:r>
      <w:r w:rsidRPr="00D3044F">
        <w:rPr>
          <w:i/>
          <w:lang w:eastAsia="lt-LT"/>
        </w:rPr>
        <w:t xml:space="preserve"> taikoma nuo 2008 m. gruodžio 30 d.)</w:t>
      </w:r>
    </w:p>
    <w:p w14:paraId="20325956" w14:textId="77777777" w:rsidR="00A914BC" w:rsidRPr="00D3044F" w:rsidRDefault="00A914BC" w:rsidP="00D3044F">
      <w:pPr>
        <w:spacing w:after="0"/>
        <w:jc w:val="both"/>
        <w:rPr>
          <w:i/>
          <w:lang w:eastAsia="lt-LT"/>
        </w:rPr>
      </w:pPr>
    </w:p>
    <w:p w14:paraId="4699F5C2" w14:textId="77777777" w:rsidR="00093845" w:rsidRDefault="000D779E">
      <w:pPr>
        <w:ind w:firstLine="720"/>
        <w:jc w:val="both"/>
        <w:outlineLvl w:val="0"/>
        <w:rPr>
          <w:b/>
          <w:lang w:val="lt-LT"/>
        </w:rPr>
      </w:pPr>
      <w:r>
        <w:rPr>
          <w:b/>
          <w:lang w:val="lt-LT"/>
        </w:rPr>
        <w:t>Komentaras</w:t>
      </w:r>
    </w:p>
    <w:p w14:paraId="1B75F230" w14:textId="77777777" w:rsidR="00093845" w:rsidRPr="00D955C0" w:rsidRDefault="000D779E" w:rsidP="004F5724">
      <w:pPr>
        <w:pStyle w:val="HTMLiankstoformatuotas"/>
        <w:spacing w:after="0"/>
        <w:rPr>
          <w:iCs/>
          <w:color w:val="000000"/>
          <w:lang w:val="lt-LT"/>
        </w:rPr>
      </w:pPr>
      <w:r>
        <w:rPr>
          <w:lang w:val="lt-LT"/>
        </w:rPr>
        <w:t xml:space="preserve">   </w:t>
      </w:r>
      <w:r>
        <w:rPr>
          <w:b/>
          <w:iCs/>
          <w:color w:val="000000"/>
          <w:lang w:val="lt-LT"/>
        </w:rPr>
        <w:t xml:space="preserve"> </w:t>
      </w:r>
      <w:r>
        <w:rPr>
          <w:b/>
          <w:iCs/>
          <w:color w:val="000000"/>
          <w:lang w:val="lt-LT"/>
        </w:rPr>
        <w:tab/>
      </w:r>
      <w:r w:rsidRPr="00D955C0">
        <w:rPr>
          <w:rFonts w:ascii="Times New Roman" w:hAnsi="Times New Roman" w:cs="Times New Roman"/>
          <w:iCs/>
          <w:color w:val="000000"/>
          <w:sz w:val="24"/>
          <w:szCs w:val="24"/>
          <w:lang w:val="lt-LT"/>
        </w:rPr>
        <w:t>1.</w:t>
      </w:r>
      <w:r w:rsidRPr="00D955C0">
        <w:rPr>
          <w:rFonts w:ascii="Times New Roman" w:hAnsi="Times New Roman" w:cs="Times New Roman"/>
          <w:b/>
          <w:iCs/>
          <w:color w:val="000000"/>
          <w:sz w:val="24"/>
          <w:szCs w:val="24"/>
          <w:lang w:val="lt-LT"/>
        </w:rPr>
        <w:t xml:space="preserve"> </w:t>
      </w:r>
      <w:r w:rsidRPr="00D955C0">
        <w:rPr>
          <w:rFonts w:ascii="Times New Roman" w:hAnsi="Times New Roman" w:cs="Times New Roman"/>
          <w:sz w:val="24"/>
          <w:szCs w:val="24"/>
          <w:lang w:val="lt-LT"/>
        </w:rPr>
        <w:t xml:space="preserve">Ši sąvoka apibrėžia, kas yra investicinis projektas pagal PMĮ nuostatas. Tai – vieneto investicijos </w:t>
      </w:r>
      <w:r w:rsidRPr="00D955C0">
        <w:rPr>
          <w:rFonts w:ascii="Times New Roman" w:hAnsi="Times New Roman" w:cs="Times New Roman"/>
          <w:iCs/>
          <w:color w:val="000000"/>
          <w:sz w:val="24"/>
          <w:szCs w:val="24"/>
          <w:lang w:val="lt-LT"/>
        </w:rPr>
        <w:t>į materialųjį ir nematerialųjį turtą, nurodytą PMĮ 46-1 str. 1 dalyje, skirtos šiems tikslams:</w:t>
      </w:r>
    </w:p>
    <w:p w14:paraId="16D8E5B2" w14:textId="77777777" w:rsidR="00093845" w:rsidRPr="004C3CF1" w:rsidRDefault="000D779E" w:rsidP="00EC4E29">
      <w:pPr>
        <w:numPr>
          <w:ilvl w:val="0"/>
          <w:numId w:val="7"/>
        </w:numPr>
        <w:spacing w:after="0"/>
        <w:jc w:val="both"/>
        <w:rPr>
          <w:iCs/>
          <w:color w:val="000000"/>
          <w:lang w:val="lt-LT"/>
        </w:rPr>
      </w:pPr>
      <w:r w:rsidRPr="00D955C0">
        <w:rPr>
          <w:iCs/>
          <w:color w:val="000000"/>
          <w:lang w:val="lt-LT"/>
        </w:rPr>
        <w:t>n</w:t>
      </w:r>
      <w:r w:rsidRPr="00443596">
        <w:rPr>
          <w:iCs/>
          <w:color w:val="000000"/>
          <w:lang w:val="lt-LT"/>
        </w:rPr>
        <w:t>aujų, papildomų produktų gamybai ar paslaugų teikimui arba</w:t>
      </w:r>
    </w:p>
    <w:p w14:paraId="19F0915E" w14:textId="77777777" w:rsidR="00093845" w:rsidRPr="00F62EDA" w:rsidRDefault="000D779E" w:rsidP="00EC4E29">
      <w:pPr>
        <w:numPr>
          <w:ilvl w:val="0"/>
          <w:numId w:val="7"/>
        </w:numPr>
        <w:spacing w:after="0"/>
        <w:jc w:val="both"/>
        <w:rPr>
          <w:iCs/>
          <w:color w:val="000000"/>
          <w:lang w:val="lt-LT"/>
        </w:rPr>
      </w:pPr>
      <w:r w:rsidRPr="004C3CF1">
        <w:rPr>
          <w:iCs/>
          <w:color w:val="000000"/>
          <w:lang w:val="lt-LT"/>
        </w:rPr>
        <w:t>gamybos (ar paslaugų teik</w:t>
      </w:r>
      <w:r w:rsidRPr="00916231">
        <w:rPr>
          <w:iCs/>
          <w:color w:val="000000"/>
          <w:lang w:val="lt-LT"/>
        </w:rPr>
        <w:t>imo) pajėgumų didinimui, arba</w:t>
      </w:r>
    </w:p>
    <w:p w14:paraId="3D05835D" w14:textId="77777777" w:rsidR="00093845" w:rsidRDefault="000D779E" w:rsidP="00EC4E29">
      <w:pPr>
        <w:numPr>
          <w:ilvl w:val="0"/>
          <w:numId w:val="7"/>
        </w:numPr>
        <w:spacing w:after="0"/>
        <w:jc w:val="both"/>
        <w:rPr>
          <w:iCs/>
          <w:color w:val="000000"/>
          <w:lang w:val="lt-LT"/>
        </w:rPr>
      </w:pPr>
      <w:r>
        <w:rPr>
          <w:iCs/>
          <w:color w:val="000000"/>
          <w:lang w:val="lt-LT"/>
        </w:rPr>
        <w:t>naujo gamybos (ar paslaugų teikimo) proceso įdiegimui, arba</w:t>
      </w:r>
    </w:p>
    <w:p w14:paraId="178D53D0" w14:textId="77777777" w:rsidR="00093845" w:rsidRDefault="000D779E" w:rsidP="00EC4E29">
      <w:pPr>
        <w:numPr>
          <w:ilvl w:val="0"/>
          <w:numId w:val="7"/>
        </w:numPr>
        <w:spacing w:after="0"/>
        <w:jc w:val="both"/>
        <w:rPr>
          <w:iCs/>
          <w:color w:val="000000"/>
          <w:lang w:val="lt-LT"/>
        </w:rPr>
      </w:pPr>
      <w:r>
        <w:rPr>
          <w:iCs/>
          <w:color w:val="000000"/>
          <w:lang w:val="lt-LT"/>
        </w:rPr>
        <w:t>esamo proceso (jo dalies) esminiam pakeitimui, taip pat</w:t>
      </w:r>
    </w:p>
    <w:p w14:paraId="23D521EA" w14:textId="77777777" w:rsidR="00093845" w:rsidRDefault="000D779E" w:rsidP="00EC4E29">
      <w:pPr>
        <w:numPr>
          <w:ilvl w:val="0"/>
          <w:numId w:val="7"/>
        </w:numPr>
        <w:spacing w:after="0"/>
        <w:jc w:val="both"/>
        <w:rPr>
          <w:iCs/>
          <w:color w:val="000000"/>
          <w:lang w:val="lt-LT"/>
        </w:rPr>
      </w:pPr>
      <w:r>
        <w:rPr>
          <w:iCs/>
          <w:color w:val="000000"/>
          <w:lang w:val="lt-LT"/>
        </w:rPr>
        <w:t>tarptautiniais išradimų patentais apsaugotų technologijų įdiegimui.</w:t>
      </w:r>
    </w:p>
    <w:p w14:paraId="4282CF32" w14:textId="77777777" w:rsidR="00093845" w:rsidRDefault="000D779E">
      <w:pPr>
        <w:ind w:firstLine="720"/>
        <w:jc w:val="both"/>
        <w:rPr>
          <w:iCs/>
          <w:color w:val="000000"/>
          <w:lang w:val="lt-LT"/>
        </w:rPr>
      </w:pPr>
      <w:r>
        <w:rPr>
          <w:iCs/>
          <w:color w:val="000000"/>
          <w:lang w:val="lt-LT"/>
        </w:rPr>
        <w:t>Pagal šios dalies nuostatas, investicinis projektas apima tokias investicijas į naujo arba esamo vieneto turtą, kurios susijusios su inovacijų kūrimu, vieneto plėtimu, produktyvumo ir darbo našumo didinimu, sunaudojamų resursų (ar žaliavų) mažinimu, vieneto produkcijos (paslaugų) diversifikavimu į naujus, papildomus produktus (paslaugas) arba vieneto gamybos ar paslaugų proceso esminiu pakeitimu.</w:t>
      </w:r>
    </w:p>
    <w:p w14:paraId="2F538C0E" w14:textId="77777777" w:rsidR="00093845" w:rsidRDefault="000D779E">
      <w:pPr>
        <w:ind w:firstLine="720"/>
        <w:jc w:val="both"/>
        <w:rPr>
          <w:iCs/>
          <w:color w:val="000000"/>
          <w:lang w:val="lt-LT"/>
        </w:rPr>
      </w:pPr>
      <w:r>
        <w:rPr>
          <w:iCs/>
          <w:color w:val="000000"/>
          <w:lang w:val="lt-LT"/>
        </w:rPr>
        <w:t>Investicinis projektas apima ir investicijas, susijusias su naujų gamybos technologinių linijų įsigijimu ir įdiegimu, esamų gamybos technologinių linijų modernizavimu, vieneto vidinių inžinerinių tinklų (statinyje nutiestų vandentiekio, nuotekų šalinimo, šilumos, dujų ir kitų vamzdynų, ventiliacijos sistemų, elektros ir nuotolinio ryšio (telekomunikacijų) linijų su jų maitinimo šaltiniais ir įrenginiais), kurie reikalingi naujoms gamybos technologinėms linijoms įdiegti ar esamoms modernizuoti, įrengimu.</w:t>
      </w:r>
    </w:p>
    <w:p w14:paraId="3330B53A" w14:textId="77777777" w:rsidR="00093845" w:rsidRDefault="000D779E">
      <w:pPr>
        <w:ind w:firstLine="720"/>
        <w:jc w:val="both"/>
        <w:rPr>
          <w:iCs/>
          <w:color w:val="000000"/>
          <w:lang w:val="lt-LT"/>
        </w:rPr>
      </w:pPr>
      <w:r>
        <w:rPr>
          <w:iCs/>
          <w:color w:val="000000"/>
          <w:lang w:val="lt-LT"/>
        </w:rPr>
        <w:t>Jeigu vienetas nepradeda gaminti naujų produktų ar teikti naujų paslaugų, tačiau išplečia vartotojų geografiją, pvz., sudaro galimybę naujiems vartotojams prisijungti prie vandens ir nuotėkų tinklų ar dujotiekio, tai yra laikoma, kad vienetas didina gamybos (ar paslaugų teikimo) pajėgumus.</w:t>
      </w:r>
    </w:p>
    <w:p w14:paraId="6EA53820" w14:textId="77777777" w:rsidR="00093845" w:rsidRDefault="000D779E">
      <w:pPr>
        <w:ind w:firstLine="720"/>
        <w:jc w:val="both"/>
        <w:rPr>
          <w:iCs/>
          <w:color w:val="000000"/>
          <w:lang w:val="lt-LT"/>
        </w:rPr>
      </w:pPr>
      <w:r>
        <w:rPr>
          <w:b/>
          <w:iCs/>
          <w:color w:val="000000"/>
          <w:lang w:val="lt-LT"/>
        </w:rPr>
        <w:lastRenderedPageBreak/>
        <w:t>Jeigu vienetas, įsigijęs ilgalaikį turtą, jį išnuomoja, tai laikoma, kad tokia vieneto vykdoma veikla neatitinka investicinio projekto sąvokos, nes vienetas įsigytu turtu tiesiogiai nekuria inovacijų, nemažina sunaudojamų resursų, nedidina produktyvumo ar darbo našumo, vieneto teikiamos paslaugos nediversifikuojamos į naujas (papildomas) paslaugas ir pan., ir investiciniams tikslams skirtas turtas faktiškai tiesiogiai naudojamas nuomininko. Šios nuostatos taikomos ir to atveju, kai vieneto pagrindinė veikla yra nuoma.</w:t>
      </w:r>
    </w:p>
    <w:p w14:paraId="53671D75" w14:textId="77777777" w:rsidR="00093845" w:rsidRDefault="000D779E">
      <w:pPr>
        <w:ind w:firstLine="720"/>
        <w:jc w:val="both"/>
        <w:rPr>
          <w:iCs/>
          <w:color w:val="000000"/>
          <w:lang w:val="lt-LT"/>
        </w:rPr>
      </w:pPr>
      <w:r>
        <w:rPr>
          <w:iCs/>
          <w:color w:val="000000"/>
          <w:lang w:val="lt-LT"/>
        </w:rPr>
        <w:t>4</w:t>
      </w:r>
      <w:r>
        <w:rPr>
          <w:iCs/>
          <w:color w:val="000000"/>
          <w:vertAlign w:val="superscript"/>
          <w:lang w:val="lt-LT"/>
        </w:rPr>
        <w:t>1</w:t>
      </w:r>
      <w:r>
        <w:rPr>
          <w:iCs/>
          <w:color w:val="000000"/>
          <w:lang w:val="lt-LT"/>
        </w:rPr>
        <w:t>-4</w:t>
      </w:r>
      <w:r>
        <w:rPr>
          <w:iCs/>
          <w:color w:val="000000"/>
          <w:vertAlign w:val="superscript"/>
          <w:lang w:val="lt-LT"/>
        </w:rPr>
        <w:t>3</w:t>
      </w:r>
      <w:r>
        <w:rPr>
          <w:iCs/>
          <w:color w:val="000000"/>
          <w:lang w:val="lt-LT"/>
        </w:rPr>
        <w:t xml:space="preserve"> pavyzdžiai</w:t>
      </w:r>
    </w:p>
    <w:p w14:paraId="35E1F8D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1. Vienetas planuoja atlikti esminį gamybos proceso pertvarkymą plečiant gamybą bei įdiegiant į bendrą gamybos proceso schemą integruotą modernią ir inovatyvią, analogų Baltijos šalyse neturinčią šilumokaičių, t. y. oro šildytuvų ir oro aušintuvų gamybos liniją, kuri ne tik sutrumpintų vėdinimo įrenginių gamybos laiką, užtikrintų greitą ir kokybišką atsarginių detalių pateikimą, leistų įmonei lanksčiau reaguoti į klientų poreikius, bet ir iš esmės pagerintų gaminamos produkcijos charakteristikas (naujosios kartos šilumokaičių panaudojimas pramoninės ir komercinės paskirties vėdinimo įrenginių gamyboje iki 50 proc. pagerintų elektros energijos suvartojimo efektyvumą), kartu sumažinant produkcijos savikainą. Tokios į esamo gamybos proceso esminį pakeitimą nukreiptos investicijos atitinka investicinio projekto sąvoką.</w:t>
      </w:r>
    </w:p>
    <w:p w14:paraId="3913C95D"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2. Vienetas numato atlikti esminį cemento gamybos proceso pertvarkymą - pagerinti cemento gamybos būdą, t.y. dabar veikiančios šlapios cemento gamybos būdą, rekonstruojant perdaryti į degimo krosnyje sausąjį būdą su daugiapakopiu suspensijos pašildymu ir pradiniu kalcinavimu. Tokios į esamo gamybos proceso esminį pakeitimą nukreiptos investicijos atitinka investicinio projekto sąvoką.</w:t>
      </w:r>
    </w:p>
    <w:p w14:paraId="4720C14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3. 2009 metais įregistruotas naujas vienetas, kuris planuoja vykdyti ortopedinės avalynės gamybą. Investicinio projekto reikalavimus atitinkančiu turtu bus laikomas </w:t>
      </w:r>
      <w:r>
        <w:rPr>
          <w:iCs/>
          <w:color w:val="000000"/>
          <w:u w:val="single"/>
          <w:lang w:val="lt-LT"/>
        </w:rPr>
        <w:t>visas</w:t>
      </w:r>
      <w:r>
        <w:rPr>
          <w:iCs/>
          <w:color w:val="000000"/>
          <w:lang w:val="lt-LT"/>
        </w:rPr>
        <w:t xml:space="preserve"> vieneto įsigytas šiai veiklai vykdyti reikalingas ilgalaikis turtas, </w:t>
      </w:r>
      <w:r>
        <w:rPr>
          <w:iCs/>
          <w:color w:val="000000"/>
          <w:u w:val="single"/>
          <w:lang w:val="lt-LT"/>
        </w:rPr>
        <w:t>kuris</w:t>
      </w:r>
      <w:r>
        <w:rPr>
          <w:iCs/>
          <w:color w:val="000000"/>
          <w:lang w:val="lt-LT"/>
        </w:rPr>
        <w:t xml:space="preserve"> </w:t>
      </w:r>
      <w:r>
        <w:rPr>
          <w:iCs/>
          <w:color w:val="000000"/>
          <w:u w:val="single"/>
          <w:lang w:val="lt-LT"/>
        </w:rPr>
        <w:t>tiesiogiai dalyvaus</w:t>
      </w:r>
      <w:r>
        <w:rPr>
          <w:iCs/>
          <w:color w:val="000000"/>
          <w:lang w:val="lt-LT"/>
        </w:rPr>
        <w:t xml:space="preserve"> šiame gamybos procese ir </w:t>
      </w:r>
      <w:r>
        <w:rPr>
          <w:iCs/>
          <w:color w:val="000000"/>
          <w:u w:val="single"/>
          <w:lang w:val="lt-LT"/>
        </w:rPr>
        <w:t>bus būtinas</w:t>
      </w:r>
      <w:r>
        <w:rPr>
          <w:iCs/>
          <w:color w:val="000000"/>
          <w:lang w:val="lt-LT"/>
        </w:rPr>
        <w:t xml:space="preserve"> šiame gamybos procese dalyvausiančio turto eksploatavimui ir aptarnavimui užtikrinti bei </w:t>
      </w:r>
      <w:r>
        <w:rPr>
          <w:bCs/>
          <w:szCs w:val="18"/>
          <w:u w:val="single"/>
          <w:lang w:val="lt-LT"/>
        </w:rPr>
        <w:t xml:space="preserve">atitinkantis </w:t>
      </w:r>
      <w:r>
        <w:rPr>
          <w:iCs/>
          <w:color w:val="000000"/>
          <w:u w:val="single"/>
          <w:lang w:val="lt-LT"/>
        </w:rPr>
        <w:t>PMĮ 46-1 str. 1 dalyje nustatytus kriterijus</w:t>
      </w:r>
      <w:r>
        <w:rPr>
          <w:iCs/>
          <w:color w:val="000000"/>
          <w:lang w:val="lt-LT"/>
        </w:rPr>
        <w:t>. Šios naujai įregistruoto vieneto investicijos atitinka investicinio projekto sąvoką.</w:t>
      </w:r>
    </w:p>
    <w:p w14:paraId="4EA3F8D1"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 Vienetas ketina atlikti esamo gamybos proceso esminį pakeitimą, kurio eigoje be kita ko bus keičiami šiuo metu naudojami energijos suvartojimo atžvilgiu neefektyvūs žaliavų pašildymo įrenginiai į naujus kaitintuvus. Naujieji kaitintuvai tam pačiam kaitinamų žaliavų kiekiui sunaudos 20 procentų mažiau energijos, o vienetas, tokiu būdu panaudodamas tą patį energijos kiekį, galės pagaminti daugiau galutinės produkcijos. Tokios į gamybos procese sunaudojamos energijos taupymą ir gaminamos produkcijos apimties didinimą nukreiptos investicijos atitinka investicinio projekto sąvoką.</w:t>
      </w:r>
    </w:p>
    <w:p w14:paraId="038D47F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1</w:t>
      </w:r>
      <w:r>
        <w:rPr>
          <w:iCs/>
          <w:color w:val="000000"/>
          <w:lang w:val="lt-LT"/>
        </w:rPr>
        <w:t xml:space="preserve">. Vienetas nusprendžia optimizuoti verslo ir paslaugų teikimo procesus ir tuo tikslu ketina įdiegti integruotą kompiuterinę verslo ir resursų valdymo sistemą (pavyzdžiui, SAP, Oracle arba lygiavertę). Ši sistema bus naudojama optimizuojant vieneto veiklos valdymo procesus (valdymui reikalingų duomenų planavimo, faktinių duomenų fiksavimo, apdorojimo ir analizės procesus, nustatant neefektyvias veiklos sritis ir priimant sprendimus dėl veiklos efektyvumo didinimo) bei vieneto vykdomų paslaugų teikimo procesus (pardavimų, atsiskaitymų ir santykių su klientais, turto eksploatavimo, personalo valdymo, prekių, paslaugų ir darbų pirkimo procesus, kontroliuoti ir analizuoti investicijas). Visi vieneto padaliniai naudosis centrine duomenų baze, į kurią kiekvienas duomuo bus įvedamas vieną kartą, eliminuojant duomenų dubliavimą, netikslumą ir taupant darbuotojų laiko sąnaudas. </w:t>
      </w:r>
    </w:p>
    <w:p w14:paraId="5E0E80A2"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Kadangi ši sistema yra susijusi su vidinių procesų efektyvinimu bei sąnaudų mažinimu ir yra integruota su gamybos ar paslaugų teikimo proceso vykdymu ir aptarnavimu, toks sistemos įdiegimas </w:t>
      </w:r>
      <w:r>
        <w:rPr>
          <w:iCs/>
          <w:color w:val="000000"/>
          <w:lang w:val="lt-LT"/>
        </w:rPr>
        <w:lastRenderedPageBreak/>
        <w:t>laikomas vykdomo paslaugų teikimo proceso dalies esminiu pakeitimu ir atitinkamai turtas yra laikomas investicinio projekto reikalavimus atitinkančiu turtu.</w:t>
      </w:r>
    </w:p>
    <w:p w14:paraId="6D699FA4"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2</w:t>
      </w:r>
      <w:r>
        <w:rPr>
          <w:iCs/>
          <w:color w:val="000000"/>
          <w:lang w:val="lt-LT"/>
        </w:rPr>
        <w:t xml:space="preserve">. Vienetas nusprendžia atnaujinti ir optimizuoti paslaugų teikimo procesus ir tuo tikslu įsigyja programinę įrangą, skirtą automatizuoti ryšio su klientu palaikymą. Naujoji programinė įranga vienetui leis </w:t>
      </w:r>
      <w:r>
        <w:rPr>
          <w:i/>
          <w:iCs/>
          <w:color w:val="000000"/>
          <w:lang w:val="lt-LT"/>
        </w:rPr>
        <w:t>automatiškai</w:t>
      </w:r>
      <w:r>
        <w:rPr>
          <w:iCs/>
          <w:color w:val="000000"/>
          <w:lang w:val="lt-LT"/>
        </w:rPr>
        <w:t xml:space="preserve"> iš kitų verslo apskaitos sistemų surinkti informaciją apie suteiktų paslaugų kiekius, parengti klientui reikalingas ataskaitas, sąskaitas klientui už atitinkamą paslaugų teikimo laikotarpį, suteiks klientui ar trečiosioms šalims galimybę pačiam, be vieneto darbuotojų įsikišimo, pasiimti jiems reikalingus duomenis iš vieneto interneto svetainės.</w:t>
      </w:r>
    </w:p>
    <w:p w14:paraId="081E39C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 xml:space="preserve">Kadangi šios informacijos teikimas klientui yra neatskiriama </w:t>
      </w:r>
      <w:r>
        <w:rPr>
          <w:i/>
          <w:iCs/>
          <w:color w:val="000000"/>
          <w:lang w:val="lt-LT"/>
        </w:rPr>
        <w:t>paslaugų teikimo proceso dalis</w:t>
      </w:r>
      <w:r>
        <w:rPr>
          <w:iCs/>
          <w:color w:val="000000"/>
          <w:lang w:val="lt-LT"/>
        </w:rPr>
        <w:t>, įsidiegdamas šią programinę įrangą vienetas iš esmės atliks vykdomo paslaugų teikimo proceso dalies esminį pakeitimą (perėjimą nuo rankiniu būdu generuojamos informacijos, prie automatinio duomenų ir ataskaitų generavimo).</w:t>
      </w:r>
    </w:p>
    <w:p w14:paraId="0A9B9A61"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Atitinkamai, tokia programinė įranga yra laikoma investicinio projekto reikalavimus atitinkančiu turtu.</w:t>
      </w:r>
    </w:p>
    <w:p w14:paraId="0E7E443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4</w:t>
      </w:r>
      <w:r>
        <w:rPr>
          <w:iCs/>
          <w:color w:val="000000"/>
          <w:vertAlign w:val="superscript"/>
          <w:lang w:val="lt-LT"/>
        </w:rPr>
        <w:t>3</w:t>
      </w:r>
      <w:r>
        <w:rPr>
          <w:iCs/>
          <w:color w:val="000000"/>
          <w:lang w:val="lt-LT"/>
        </w:rPr>
        <w:t xml:space="preserve">. Vienetas A, teikiantis statybos paslaugas, įsigyja naujų įrenginių, kurie neskirti jo vykdomai veiklai, ir išnuomoja juos vienetui B. Atsižvelgiant į tai, kad investiciniams tikslams skirtas turtas faktiškai tiesiogiai naudojamas nuomininko ir kad investicinio projekto sąvoka numato, kad investicinis projektas suprantamas kaip vieneto investicijos į ilgalaikį turtą, skirtą naujų ar papildomų paslaugų teikimui, t.y. vieneto tiesiogiai įsigytu turtu turi būti kuriamos inovacijos, didinamas produktyvumas ar darbo našumas, ar vieneto teikiamos paslaugos diversifikuojamos į naujas (papildomas) paslaugas, todėl vieneto A investicijos neatitinka investicinio projekto sąvokos. </w:t>
      </w:r>
    </w:p>
    <w:p w14:paraId="1D0BEF0A" w14:textId="77777777" w:rsidR="00093845" w:rsidRDefault="000D779E">
      <w:pPr>
        <w:pStyle w:val="Pagrindiniotekstotrauka"/>
        <w:tabs>
          <w:tab w:val="left" w:pos="720"/>
          <w:tab w:val="left" w:pos="1077"/>
          <w:tab w:val="left" w:pos="1418"/>
        </w:tabs>
        <w:rPr>
          <w:lang w:val="fr-FR"/>
        </w:rPr>
      </w:pPr>
      <w:r>
        <w:rPr>
          <w:iCs/>
          <w:lang w:val="fr-FR"/>
        </w:rPr>
        <w:t xml:space="preserve">(Papildyta pagal VMI prie FM  </w:t>
      </w:r>
      <w:r>
        <w:rPr>
          <w:lang w:val="lt-LT"/>
        </w:rPr>
        <w:t>2012-05-18 raštas Nr.</w:t>
      </w:r>
      <w:r>
        <w:rPr>
          <w:lang w:val="fr-FR"/>
        </w:rPr>
        <w:t xml:space="preserve"> (18.10-31-1)-R-4382)</w:t>
      </w:r>
    </w:p>
    <w:p w14:paraId="6DDE0C2D" w14:textId="77777777" w:rsidR="00093845" w:rsidRDefault="000D779E">
      <w:pPr>
        <w:tabs>
          <w:tab w:val="left" w:pos="720"/>
          <w:tab w:val="left" w:pos="1077"/>
          <w:tab w:val="left" w:pos="1418"/>
        </w:tabs>
        <w:ind w:firstLine="720"/>
        <w:jc w:val="both"/>
        <w:rPr>
          <w:bCs/>
          <w:szCs w:val="18"/>
          <w:lang w:val="fr-FR"/>
        </w:rPr>
      </w:pPr>
      <w:r>
        <w:rPr>
          <w:bCs/>
          <w:szCs w:val="18"/>
          <w:lang w:val="fr-FR"/>
        </w:rPr>
        <w:t>Išradimų apsaugos forma yra laikomas patentas, kuris yra išduodamas Lietuvos Respublikos patentų įstatyme nustatyta tvarka. Šiame įstatyme yra nustatyta, kad tarptautinė patentinė paraiška - tai pagal Patentinės kooperacijos sutartį,  pasirašytą  1970   m.  birželio  19  d. Vašingtone, paduota patentinė paraiška.</w:t>
      </w:r>
    </w:p>
    <w:p w14:paraId="7A86075D" w14:textId="77777777" w:rsidR="00093845" w:rsidRDefault="000D779E">
      <w:pPr>
        <w:tabs>
          <w:tab w:val="left" w:pos="720"/>
          <w:tab w:val="left" w:pos="1077"/>
          <w:tab w:val="left" w:pos="1418"/>
        </w:tabs>
        <w:ind w:firstLine="720"/>
        <w:jc w:val="both"/>
        <w:rPr>
          <w:bCs/>
          <w:szCs w:val="18"/>
          <w:lang w:val="fr-FR"/>
        </w:rPr>
      </w:pPr>
      <w:r>
        <w:rPr>
          <w:bCs/>
          <w:szCs w:val="18"/>
          <w:lang w:val="fr-FR"/>
        </w:rPr>
        <w:t xml:space="preserve"> Tarptautinis išradimų patentas tai tarptautinės paraiškos pagrindu išduotas patentas, kuris galioja, t.y. apsauga suteikiama, keliose šalyse. Pagal nacionalinę paraišką išduotas patentas galioja tik Lietuvos Respublikoje.</w:t>
      </w:r>
    </w:p>
    <w:p w14:paraId="02D58615" w14:textId="77777777" w:rsidR="00093845" w:rsidRDefault="000D779E">
      <w:pPr>
        <w:tabs>
          <w:tab w:val="left" w:pos="720"/>
          <w:tab w:val="left" w:pos="1077"/>
          <w:tab w:val="left" w:pos="1418"/>
        </w:tabs>
        <w:ind w:firstLine="720"/>
        <w:jc w:val="both"/>
        <w:rPr>
          <w:iCs/>
          <w:color w:val="000000"/>
          <w:lang w:val="fr-FR"/>
        </w:rPr>
      </w:pPr>
      <w:r>
        <w:rPr>
          <w:bCs/>
          <w:szCs w:val="18"/>
          <w:lang w:val="fr-FR"/>
        </w:rPr>
        <w:t xml:space="preserve">Aukščiau minėtuose teisės aktuose nustatyta tvarka išduotu tarptautiniu išradimų patentu apsaugotų </w:t>
      </w:r>
      <w:r>
        <w:rPr>
          <w:iCs/>
          <w:color w:val="000000"/>
          <w:lang w:val="fr-FR"/>
        </w:rPr>
        <w:t>technologijų įdiegimas vienete atitinka investicinio projekto sąvoką.</w:t>
      </w:r>
    </w:p>
    <w:p w14:paraId="54857A84" w14:textId="77777777" w:rsidR="00093845" w:rsidRDefault="000D779E">
      <w:pPr>
        <w:pStyle w:val="Pagrindiniotekstotrauka"/>
        <w:tabs>
          <w:tab w:val="left" w:pos="720"/>
          <w:tab w:val="left" w:pos="1077"/>
          <w:tab w:val="left" w:pos="1418"/>
        </w:tabs>
        <w:rPr>
          <w:lang w:val="fr-FR"/>
        </w:rPr>
      </w:pPr>
      <w:r>
        <w:rPr>
          <w:iCs/>
          <w:lang w:val="fr-FR"/>
        </w:rPr>
        <w:t xml:space="preserve"> (Papildyta pagal VMI prie FM  </w:t>
      </w:r>
      <w:r>
        <w:rPr>
          <w:lang w:val="lt-LT"/>
        </w:rPr>
        <w:t>2011-01-18 raštas Nr.</w:t>
      </w:r>
      <w:r>
        <w:rPr>
          <w:lang w:val="fr-FR"/>
        </w:rPr>
        <w:t xml:space="preserve"> (18.18-31-1)-R-688)</w:t>
      </w:r>
    </w:p>
    <w:p w14:paraId="1FB9FE36" w14:textId="77777777" w:rsidR="00093845" w:rsidRDefault="000D779E">
      <w:pPr>
        <w:tabs>
          <w:tab w:val="left" w:pos="720"/>
          <w:tab w:val="left" w:pos="1077"/>
          <w:tab w:val="left" w:pos="1418"/>
        </w:tabs>
        <w:ind w:firstLine="720"/>
        <w:jc w:val="both"/>
        <w:rPr>
          <w:bCs/>
          <w:szCs w:val="18"/>
          <w:lang w:val="fr-FR"/>
        </w:rPr>
      </w:pPr>
      <w:r>
        <w:rPr>
          <w:iCs/>
          <w:color w:val="000000"/>
          <w:lang w:val="fr-FR"/>
        </w:rPr>
        <w:t xml:space="preserve">2. Ilgalaikis turtas (toliau - turtas), pagal </w:t>
      </w:r>
      <w:r>
        <w:rPr>
          <w:lang w:val="fr-FR"/>
        </w:rPr>
        <w:t>PMĮ nuostatas</w:t>
      </w:r>
      <w:r>
        <w:rPr>
          <w:bCs/>
          <w:szCs w:val="18"/>
          <w:lang w:val="fr-FR"/>
        </w:rPr>
        <w:t>, tai turtas, kuris naudojamas vieneto pajamoms uždirbti arba ekonominei naudai gauti ilgiau kaip vienerius metus ir kurio įsigijimo kaina ne mažesnė už vieneto pagal PMĮ 1 priedėlyje išvardytas ilgalaikio turto grupes nustatytą kainą.</w:t>
      </w:r>
    </w:p>
    <w:p w14:paraId="3D5A2972" w14:textId="77777777" w:rsidR="00093845" w:rsidRDefault="000D779E">
      <w:pPr>
        <w:tabs>
          <w:tab w:val="left" w:pos="720"/>
          <w:tab w:val="left" w:pos="1077"/>
          <w:tab w:val="left" w:pos="1418"/>
        </w:tabs>
        <w:ind w:firstLine="720"/>
        <w:jc w:val="both"/>
        <w:rPr>
          <w:bCs/>
          <w:szCs w:val="18"/>
          <w:lang w:val="fr-FR"/>
        </w:rPr>
      </w:pPr>
      <w:r>
        <w:rPr>
          <w:bCs/>
          <w:szCs w:val="18"/>
          <w:lang w:val="fr-FR"/>
        </w:rPr>
        <w:t>Vienetas, vykdantis investicinį projektą, apmokestinamąjį pelną gali sumažinti tik ilgalaikio turto, atitinkančio</w:t>
      </w:r>
      <w:r>
        <w:rPr>
          <w:iCs/>
          <w:color w:val="000000"/>
          <w:lang w:val="fr-FR"/>
        </w:rPr>
        <w:t xml:space="preserve"> PMĮ 46-1 str. 1 dalyje nustatytus kriterijus, įsigijimo išlaidomis.</w:t>
      </w:r>
    </w:p>
    <w:p w14:paraId="46F4CD5C" w14:textId="77777777" w:rsidR="00093845" w:rsidRDefault="000D779E">
      <w:pPr>
        <w:ind w:firstLine="720"/>
        <w:jc w:val="both"/>
        <w:rPr>
          <w:iCs/>
          <w:color w:val="000000"/>
          <w:lang w:val="fr-FR"/>
        </w:rPr>
      </w:pPr>
      <w:r>
        <w:rPr>
          <w:iCs/>
          <w:color w:val="000000"/>
          <w:lang w:val="fr-FR"/>
        </w:rPr>
        <w:t>3. Investicinio projekto reikalavimus atitinkančiu turtu yra laikomas gamybos ar paslaugų teikimo procese tik tiesiogiai dalyvaujantis turtas ir turtas, būtinas gamybos ar paslaugų teikimo procesui vykdyti ir aptarnauti.</w:t>
      </w:r>
    </w:p>
    <w:p w14:paraId="38771F2F" w14:textId="77777777" w:rsidR="00093845" w:rsidRDefault="000D779E">
      <w:pPr>
        <w:ind w:firstLine="720"/>
        <w:jc w:val="both"/>
        <w:rPr>
          <w:iCs/>
          <w:color w:val="000000"/>
          <w:lang w:val="fr-FR"/>
        </w:rPr>
      </w:pPr>
      <w:r>
        <w:rPr>
          <w:iCs/>
          <w:color w:val="000000"/>
          <w:lang w:val="fr-FR"/>
        </w:rPr>
        <w:t>5-8 pavyzdžiai</w:t>
      </w:r>
    </w:p>
    <w:p w14:paraId="4CF422F8"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lastRenderedPageBreak/>
        <w:t>5. Vienetas, kurio pagrindinė veikla yra šaldytuvų gamyba, nusprendžia didinti gamybos pajėgumus, t.y. plėsti gamybos apimtis ir dalį pagamintos produkcijos eksportuoti į kitas užsienio šalis. Tuo tikslu, 2009 metais pradėtas vykdyti investicinis projektas. Vienetas įsigyja šiam investiciniam projektui įgyvendinti reikalingą turtą, t.y. gamybai skirtas mašinas ir įrengimus,  įrengia priešgaisrinės apsaugos sistemą bei papildomai įsigyja kompiuterizuotas gamybos valdymo/sandėlio bei buhalterinės apskaitos programas.</w:t>
      </w:r>
    </w:p>
    <w:p w14:paraId="4CEE563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Investicinio projekto reikalavimus atitinkančiu turtu yra laikomas tik </w:t>
      </w:r>
      <w:r>
        <w:rPr>
          <w:i/>
          <w:iCs/>
          <w:color w:val="000000"/>
          <w:lang w:val="fr-FR"/>
        </w:rPr>
        <w:t>tiesiogiai dalyvaujantis</w:t>
      </w:r>
      <w:r>
        <w:rPr>
          <w:iCs/>
          <w:color w:val="000000"/>
          <w:lang w:val="fr-FR"/>
        </w:rPr>
        <w:t xml:space="preserve"> gamybos procese vieneto įsigytas turtas ir turtas, kuris būtinas šiam investiciniam projektui vykdyti ir aptarnauti - gamybai skirtos mašinos ir įrengimai, kompiuterizuota gamybos valdymo/sandėlio programa.</w:t>
      </w:r>
    </w:p>
    <w:p w14:paraId="6E6E58D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
          <w:iCs/>
          <w:color w:val="000000"/>
          <w:lang w:val="fr-FR"/>
        </w:rPr>
        <w:t>Netiesiogiai dalyvaujantis</w:t>
      </w:r>
      <w:r>
        <w:rPr>
          <w:iCs/>
          <w:color w:val="000000"/>
          <w:lang w:val="fr-FR"/>
        </w:rPr>
        <w:t xml:space="preserve"> gamybos procese turtas, t.y. papildomai įsigyta buhalterinės apskaitos programa, nelaikomas investicinio projekto reikalavimus atitinkančiu turtu.</w:t>
      </w:r>
    </w:p>
    <w:p w14:paraId="1A5225CA"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Investicinio projekto reikalavimus atitinkančiam turtui </w:t>
      </w:r>
      <w:r>
        <w:rPr>
          <w:lang w:val="fr-FR"/>
        </w:rPr>
        <w:t>nepriskiriamas toks turtas, kuris yra įtrauktas į kitas nei 46-1 str. 1 d. 1 punkte nurodytas PMĮ 1 priedėlio ilgalaikio turto grupes, - priešgaisrinės apsaugos sistema („Elektros perdavimo ir ryšių įtaisai (išskyrus kompiuterių tinklus“).</w:t>
      </w:r>
    </w:p>
    <w:p w14:paraId="5C808488"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6. Vienetas, užsiimantis didmenine ir mažmenine prekyba, nusprendžia didinti paslaugų teikimo pajėgumus, t.y. įdiegti naują prekybos formą – elektroninę prekybą. Tuo tikslu, 2009 metais pradėtas vykdyti investicinis projektas. Pajėgumų didinimo tikslais priimami nauji darbuotojai, kuriems kuriamos darbo vietos, t.y. šiems darbuotojams perkami kompiuteriai, programų licencijos ir pan.</w:t>
      </w:r>
    </w:p>
    <w:p w14:paraId="4969408E"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 xml:space="preserve">Vieneto įsigytas turtas, t.y. kompiuteriai, programų licencijos, </w:t>
      </w:r>
      <w:r>
        <w:rPr>
          <w:i/>
          <w:iCs/>
          <w:color w:val="000000"/>
          <w:lang w:val="fr-FR"/>
        </w:rPr>
        <w:t>tiesiogiai dalyvaujantis</w:t>
      </w:r>
      <w:r>
        <w:rPr>
          <w:iCs/>
          <w:color w:val="000000"/>
          <w:lang w:val="fr-FR"/>
        </w:rPr>
        <w:t xml:space="preserve"> elektroninės prekybos procese, laikomas investicinio projekto reikalavimus atitinkančiu turtu.</w:t>
      </w:r>
    </w:p>
    <w:p w14:paraId="65DE57AF"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7. Jei apskaitos/valdymo/sandėlio apskaitos programas įsigyja ar tobulina tokią veiklą vykdantys vienetai (apskaitos, logistikos, įmonių grupes valdančios (holdingo) įmonės) ir tokio turto įsigijimas tenkina šioje dalyje nustatytus turto įsigijimo tikslus, tai šios įsigytos programos gali būti laikomos investicinio projekto reikalavimus atitinkančiu turtu.</w:t>
      </w:r>
    </w:p>
    <w:p w14:paraId="1DD6B51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lang w:val="fr-FR"/>
        </w:rPr>
      </w:pPr>
      <w:r>
        <w:rPr>
          <w:iCs/>
          <w:color w:val="000000"/>
          <w:lang w:val="fr-FR"/>
        </w:rPr>
        <w:t>8. Vienetas nusprendžia didinti gaminamos produkcijos pajėgumus ir tuo tikslu 2009 metais pradeda vykdyti investicinį projektą. Vienetas, be naujai įsigytų šiam investiciniam projektui įgyvendinti reikalingų gamybai skirtų mašinų ir įrengimų, dar ketina investuoti į pagamintos produkcijos laikymui skirtą turtą. Tuo tikslu, vienetas įsigyja naują produkcijos laikymui bei kokybei išsaugoti skirtą turtą, t.y. laikymo talpas (rezervuarus). Padidėjusioms gamybos apimtims valdyti ir nepertraukiamam gamybos procesui užtikrinti vienetas ketina pertvarkyti gamybos proceso stebėjimo, kontrolės ir valdymo sistemą, ir įsigyja gamybos proceso kontrolei ir valdymui reikalingą turtą (programinę įrangą, kompiuterius, gamybos procese naudojamos žaliavos būklės ir kokybės stebėjimo įrengimus ir pan.). Vykdant investicinį projektą, vieneto šiuo tikslu įsigytas turtas, skirtas pagamintai produkcijai saugoti ir laikyti, o taip pat turtas, įsigytas gamybos proceso stebėjimui, kontrolei ir valdymui užtikrinti yra laikomas investicinio projekto reikalavimus atitinkančiu turtu.</w:t>
      </w:r>
    </w:p>
    <w:p w14:paraId="50EDBEAB" w14:textId="77777777" w:rsidR="00093845" w:rsidRDefault="000D779E">
      <w:pPr>
        <w:ind w:firstLine="720"/>
        <w:jc w:val="both"/>
        <w:rPr>
          <w:iCs/>
          <w:color w:val="000000"/>
          <w:lang w:val="fr-FR"/>
        </w:rPr>
      </w:pPr>
      <w:r>
        <w:rPr>
          <w:rFonts w:ascii="Times New (W1)" w:hAnsi="Times New (W1)"/>
          <w:iCs/>
          <w:strike/>
          <w:color w:val="000000"/>
          <w:lang w:val="fr-FR"/>
        </w:rPr>
        <w:t>4</w:t>
      </w:r>
      <w:r>
        <w:rPr>
          <w:iCs/>
          <w:color w:val="000000"/>
          <w:lang w:val="fr-FR"/>
        </w:rPr>
        <w:t>. Jeigu vieneto turtas įsigyjamas tenkinant kituose teisės aktuose nustatytus reikalavimus, pvz. tam tikros technologijos diegiamos tenkinant teisės aktuose nustatytus aplinkosauginius reikalavimus, tai toks įsigyjamas turtas gal būti laikomas investicinio projekto reikalavimus atitinkančiu turtu, jeigu jis yra įsigyjamas ir šioje dalyje nustatytais turto įsigijimo tikslais.</w:t>
      </w:r>
    </w:p>
    <w:p w14:paraId="4BB8905E" w14:textId="77777777" w:rsidR="00093845" w:rsidRDefault="000D779E">
      <w:pPr>
        <w:ind w:firstLine="720"/>
        <w:jc w:val="both"/>
        <w:rPr>
          <w:iCs/>
          <w:color w:val="000000"/>
          <w:lang w:val="fr-FR"/>
        </w:rPr>
      </w:pPr>
      <w:r>
        <w:rPr>
          <w:rFonts w:ascii="Times New (W1)" w:hAnsi="Times New (W1)"/>
          <w:iCs/>
          <w:color w:val="000000"/>
          <w:lang w:val="fr-FR"/>
        </w:rPr>
        <w:t>9 pavyzdys</w:t>
      </w:r>
    </w:p>
    <w:p w14:paraId="028755B9" w14:textId="77777777" w:rsidR="00093845" w:rsidRDefault="000D779E">
      <w:pPr>
        <w:pBdr>
          <w:top w:val="single" w:sz="4" w:space="1" w:color="auto"/>
          <w:left w:val="single" w:sz="4" w:space="4" w:color="auto"/>
          <w:bottom w:val="single" w:sz="4" w:space="1" w:color="auto"/>
          <w:right w:val="single" w:sz="4" w:space="4" w:color="auto"/>
        </w:pBdr>
        <w:spacing w:line="280" w:lineRule="atLeast"/>
        <w:ind w:firstLine="540"/>
        <w:jc w:val="both"/>
        <w:rPr>
          <w:rFonts w:ascii="Times New (W1)" w:hAnsi="Times New (W1)"/>
          <w:iCs/>
          <w:color w:val="000000"/>
          <w:lang w:val="fr-FR"/>
        </w:rPr>
      </w:pPr>
      <w:r>
        <w:rPr>
          <w:rFonts w:ascii="Times New (W1)" w:hAnsi="Times New (W1)"/>
          <w:iCs/>
          <w:color w:val="000000"/>
          <w:lang w:val="fr-FR"/>
        </w:rPr>
        <w:t xml:space="preserve">Vienetas didina gamybos pajėgumus ir dėl to susidaro didesnis kiekis gamybos atliekų, kurios pagal teisės aktų reikalavimus privalo būti specialiai išvalytos (apdirbtos). Turtas, skirtas šių atliekų </w:t>
      </w:r>
      <w:r>
        <w:rPr>
          <w:rFonts w:ascii="Times New (W1)" w:hAnsi="Times New (W1)"/>
          <w:iCs/>
          <w:color w:val="000000"/>
          <w:lang w:val="fr-FR"/>
        </w:rPr>
        <w:lastRenderedPageBreak/>
        <w:t xml:space="preserve">tinkamam išvalymui, yra būtinas ir tiesiogiai susijęs su gamybos pajėgumų didinimu, todėl laikomas investicinio projekto reikalavimus atitinkančiu turtu. </w:t>
      </w:r>
    </w:p>
    <w:p w14:paraId="1CF03914"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 xml:space="preserve">            5. Jeigu modernizuojamas esamas vieneto turtas (įrenginiai, inžinerinės sistemos, gamybos linijos ir pan.), t.y., atliekami turto rekonstrukcijos ar remonto darbai, kurie pailgina turto naudingo tarnavimo laiką arba pagerina jo naudingąsias savybes, kurių metu yra keičiamos pagrindinės turto sudedamosios dalys, tai tokiu atveju, investicinio projekto reikalavimus atitinkančiu turtu yra laikomos tiek įsigyjamos naujos turto sudedamosios dalys (atliktų rekonstrukcijos ar remonto darbų vertė), kurios užpajamuojamos kaip atskiri turto vienetai, tiek įeinančios į jau esamo turto vertę, jeigu yra tenkinami šioje dalyje nustatyti turto įsigijimo tikslai.</w:t>
      </w:r>
    </w:p>
    <w:p w14:paraId="46CA87D0"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ab/>
      </w:r>
      <w:r>
        <w:rPr>
          <w:rFonts w:ascii="Times New (W1)" w:hAnsi="Times New (W1)"/>
          <w:iCs/>
          <w:color w:val="000000"/>
          <w:sz w:val="24"/>
          <w:szCs w:val="24"/>
          <w:lang w:val="lt-LT"/>
        </w:rPr>
        <w:tab/>
        <w:t>9</w:t>
      </w:r>
      <w:r>
        <w:rPr>
          <w:rFonts w:ascii="Times New (W1)" w:hAnsi="Times New (W1)"/>
          <w:iCs/>
          <w:color w:val="000000"/>
          <w:sz w:val="24"/>
          <w:szCs w:val="24"/>
          <w:vertAlign w:val="superscript"/>
          <w:lang w:val="lt-LT"/>
        </w:rPr>
        <w:t>1</w:t>
      </w:r>
      <w:r>
        <w:rPr>
          <w:rFonts w:ascii="Times New (W1)" w:hAnsi="Times New (W1)"/>
          <w:iCs/>
          <w:color w:val="000000"/>
          <w:sz w:val="24"/>
          <w:szCs w:val="24"/>
          <w:lang w:val="lt-LT"/>
        </w:rPr>
        <w:t>-pavyzdys</w:t>
      </w:r>
      <w:r>
        <w:rPr>
          <w:rFonts w:ascii="Times New (W1)" w:hAnsi="Times New (W1)"/>
          <w:iCs/>
          <w:color w:val="000000"/>
          <w:sz w:val="24"/>
          <w:szCs w:val="24"/>
          <w:lang w:val="lt-LT"/>
        </w:rPr>
        <w:tab/>
      </w:r>
    </w:p>
    <w:p w14:paraId="62C91558"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Vienetas 2009 metais pradėjo vykdyti investicinį projektą, kurio metu yra atliekami garo krosnies modernizavimo darbai. Šio projekto tikslas - esamos gamybos proceso dalies esminis pakeitimas, t.y. modernizuojama bei pailginama garo krosnis, tuo yra sumažinami gamyboje sunaudojami resursai, t.y. sutaupoma garo energija. Vieneto, pagal sutartis su kitais ūkio subjektais, 2009 metais vykdyti krosnies modernizavimo darbai pagerino turto naudingąsias savybes, todėl atliktų darbų verte buvo padidinta krosnies įsigijimo kaina.</w:t>
      </w:r>
    </w:p>
    <w:p w14:paraId="5744C88E"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Vykdant šį investicinį projektą, vieneto 2009 metais patirtos krosnies modernizavimo darbų išlaidos yra laikomos investicinio projekto reikalavimus atitinkančiu turtu ir atitinkamai joms gali būti taikomos PMĮ 46-1 straipsnio nuostatos.</w:t>
      </w:r>
    </w:p>
    <w:p w14:paraId="04CEC588"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Vienetas 2000 metais krosnį priskyrė ilgalaikio turto grupei „Mašinos ir įrengimai“, kuriai nustatytas 10 metų nusidėvėjimo normatyvas. Užbaigus krosnies remonto darbus ir 2009 metais įvedus ją į eksploataciją, yra likęs </w:t>
      </w:r>
      <w:r>
        <w:rPr>
          <w:rFonts w:ascii="Times New (W1)" w:hAnsi="Times New (W1)"/>
          <w:iCs/>
          <w:color w:val="000000"/>
          <w:sz w:val="24"/>
          <w:szCs w:val="24"/>
          <w:u w:val="single"/>
          <w:lang w:val="lt-LT"/>
        </w:rPr>
        <w:t>1 metų</w:t>
      </w:r>
      <w:r>
        <w:rPr>
          <w:rFonts w:ascii="Times New (W1)" w:hAnsi="Times New (W1)"/>
          <w:iCs/>
          <w:color w:val="000000"/>
          <w:sz w:val="24"/>
          <w:szCs w:val="24"/>
          <w:lang w:val="lt-LT"/>
        </w:rPr>
        <w:t xml:space="preserve"> nusidėvėjimo laikotarpis.</w:t>
      </w:r>
    </w:p>
    <w:p w14:paraId="0B7CB2F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Times New (W1)" w:hAnsi="Times New (W1)"/>
          <w:iCs/>
          <w:color w:val="000000"/>
          <w:lang w:val="lt-LT"/>
        </w:rPr>
      </w:pPr>
      <w:r>
        <w:rPr>
          <w:lang w:val="lt-LT"/>
        </w:rPr>
        <w:t xml:space="preserve">Investicinio projekto reikalavimus atitinkančiu turtu yra laikomas tik tas </w:t>
      </w:r>
      <w:r>
        <w:rPr>
          <w:iCs/>
          <w:color w:val="000000"/>
          <w:lang w:val="lt-LT"/>
        </w:rPr>
        <w:t xml:space="preserve">turtas, kuris </w:t>
      </w:r>
      <w:r>
        <w:rPr>
          <w:lang w:val="lt-LT"/>
        </w:rPr>
        <w:t>pagal savo paskirtį ar funkcijas priskirtinas PMĮ 46-1 str. 1 dalyje nurodytoms ilgalaikio turto grupėms</w:t>
      </w:r>
      <w:r>
        <w:rPr>
          <w:iCs/>
          <w:color w:val="000000"/>
          <w:lang w:val="lt-LT"/>
        </w:rPr>
        <w:t xml:space="preserve">, todėl </w:t>
      </w:r>
      <w:r>
        <w:rPr>
          <w:i/>
          <w:iCs/>
          <w:color w:val="000000"/>
          <w:lang w:val="lt-LT"/>
        </w:rPr>
        <w:t>neatsižvelgiant į tai, ar, vykdant</w:t>
      </w:r>
      <w:r>
        <w:rPr>
          <w:lang w:val="lt-LT"/>
        </w:rPr>
        <w:t xml:space="preserve"> </w:t>
      </w:r>
      <w:r>
        <w:rPr>
          <w:i/>
          <w:lang w:val="lt-LT"/>
        </w:rPr>
        <w:t>aukščiau minėtoms ilgalaikio turto grupėms</w:t>
      </w:r>
      <w:r>
        <w:rPr>
          <w:i/>
          <w:iCs/>
          <w:color w:val="000000"/>
          <w:lang w:val="lt-LT"/>
        </w:rPr>
        <w:t xml:space="preserve"> priskirtino turto modernizavimo darbus, šių </w:t>
      </w:r>
      <w:r>
        <w:rPr>
          <w:rFonts w:ascii="Times New (W1)" w:hAnsi="Times New (W1)"/>
          <w:i/>
          <w:iCs/>
          <w:color w:val="000000"/>
          <w:lang w:val="lt-LT"/>
        </w:rPr>
        <w:t>darbų vertė yra užpajamuojama kaip atskiri turto vienetai, ar įeina į jau esamo turto vertę,</w:t>
      </w:r>
      <w:r>
        <w:rPr>
          <w:rFonts w:ascii="Times New (W1)" w:hAnsi="Times New (W1)"/>
          <w:iCs/>
          <w:color w:val="000000"/>
          <w:lang w:val="lt-LT"/>
        </w:rPr>
        <w:t xml:space="preserve"> jai taikomi nusidėvėjimo normatyvai turi būti netrumpesni, kaip nustatyti minėtoms </w:t>
      </w:r>
      <w:r>
        <w:rPr>
          <w:lang w:val="lt-LT"/>
        </w:rPr>
        <w:t xml:space="preserve">ilgalaikio turto </w:t>
      </w:r>
      <w:r>
        <w:rPr>
          <w:rFonts w:ascii="Times New (W1)" w:hAnsi="Times New (W1)"/>
          <w:iCs/>
          <w:color w:val="000000"/>
          <w:lang w:val="lt-LT"/>
        </w:rPr>
        <w:t>grupėms.</w:t>
      </w:r>
    </w:p>
    <w:p w14:paraId="49EBAA24" w14:textId="77777777" w:rsidR="00093845" w:rsidRDefault="000D779E">
      <w:pPr>
        <w:pStyle w:val="Komentarotekstas"/>
        <w:pBdr>
          <w:top w:val="single" w:sz="4" w:space="1" w:color="auto"/>
          <w:left w:val="single" w:sz="4" w:space="4" w:color="auto"/>
          <w:bottom w:val="single" w:sz="4" w:space="1" w:color="auto"/>
          <w:right w:val="single" w:sz="4" w:space="4" w:color="auto"/>
        </w:pBdr>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Kadangi ilgalaikio turto grupei „Mašinos ir įrengimai“ priskirtino turto nusidėvėjimo normatyvas </w:t>
      </w:r>
      <w:r>
        <w:rPr>
          <w:rFonts w:ascii="Times New (W1)" w:hAnsi="Times New (W1)"/>
          <w:iCs/>
          <w:color w:val="000000"/>
          <w:sz w:val="24"/>
          <w:szCs w:val="24"/>
          <w:u w:val="single"/>
          <w:lang w:val="lt-LT"/>
        </w:rPr>
        <w:t>negali būti trumpesnis kaip 5 metai</w:t>
      </w:r>
      <w:r>
        <w:rPr>
          <w:rFonts w:ascii="Times New (W1)" w:hAnsi="Times New (W1)"/>
          <w:iCs/>
          <w:color w:val="000000"/>
          <w:sz w:val="24"/>
          <w:szCs w:val="24"/>
          <w:lang w:val="lt-LT"/>
        </w:rPr>
        <w:t xml:space="preserve">, todėl pagerinus krosnies naudingąsias savybes, po remonto padidinta turto vertė turėtų būti nudėvima </w:t>
      </w:r>
      <w:r>
        <w:rPr>
          <w:rFonts w:ascii="Times New (W1)" w:hAnsi="Times New (W1)"/>
          <w:iCs/>
          <w:color w:val="000000"/>
          <w:sz w:val="24"/>
          <w:szCs w:val="24"/>
          <w:u w:val="single"/>
          <w:lang w:val="lt-LT"/>
        </w:rPr>
        <w:t>per ne trumpesnį kaip</w:t>
      </w:r>
      <w:r>
        <w:rPr>
          <w:rFonts w:ascii="Times New (W1)" w:hAnsi="Times New (W1)"/>
          <w:iCs/>
          <w:color w:val="000000"/>
          <w:sz w:val="24"/>
          <w:szCs w:val="24"/>
          <w:lang w:val="lt-LT"/>
        </w:rPr>
        <w:t xml:space="preserve"> </w:t>
      </w:r>
      <w:r>
        <w:rPr>
          <w:rFonts w:ascii="Times New (W1)" w:hAnsi="Times New (W1)"/>
          <w:iCs/>
          <w:color w:val="000000"/>
          <w:sz w:val="24"/>
          <w:szCs w:val="24"/>
          <w:u w:val="single"/>
          <w:lang w:val="lt-LT"/>
        </w:rPr>
        <w:t>5 metų</w:t>
      </w:r>
      <w:r>
        <w:rPr>
          <w:rFonts w:ascii="Times New (W1)" w:hAnsi="Times New (W1)"/>
          <w:iCs/>
          <w:color w:val="000000"/>
          <w:sz w:val="24"/>
          <w:szCs w:val="24"/>
          <w:lang w:val="lt-LT"/>
        </w:rPr>
        <w:t xml:space="preserve"> nusidėvėjimo normatyvą.</w:t>
      </w:r>
    </w:p>
    <w:p w14:paraId="70EB082F" w14:textId="77777777" w:rsidR="00093845" w:rsidRDefault="000D779E">
      <w:pPr>
        <w:pStyle w:val="Komentarotekstas"/>
        <w:jc w:val="both"/>
        <w:rPr>
          <w:rFonts w:ascii="Times New (W1)" w:hAnsi="Times New (W1)"/>
          <w:iCs/>
          <w:color w:val="000000"/>
          <w:sz w:val="24"/>
          <w:szCs w:val="24"/>
          <w:lang w:val="lt-LT"/>
        </w:rPr>
      </w:pPr>
      <w:r>
        <w:rPr>
          <w:rFonts w:ascii="Times New (W1)" w:hAnsi="Times New (W1)"/>
          <w:iCs/>
          <w:color w:val="000000"/>
          <w:sz w:val="24"/>
          <w:szCs w:val="24"/>
          <w:lang w:val="lt-LT"/>
        </w:rPr>
        <w:tab/>
        <w:t xml:space="preserve">Jeigu </w:t>
      </w:r>
      <w:r>
        <w:rPr>
          <w:sz w:val="24"/>
          <w:szCs w:val="24"/>
          <w:lang w:val="lt-LT"/>
        </w:rPr>
        <w:t xml:space="preserve">vykdant investicinį projektą, </w:t>
      </w:r>
      <w:r>
        <w:rPr>
          <w:rFonts w:ascii="Times New (W1)" w:hAnsi="Times New (W1)"/>
          <w:iCs/>
          <w:color w:val="000000"/>
          <w:sz w:val="24"/>
          <w:szCs w:val="24"/>
          <w:lang w:val="lt-LT"/>
        </w:rPr>
        <w:t xml:space="preserve">atliekamas pastato modernizavimas, t.y. pastato rekonstrukcijos ar remonto darbai </w:t>
      </w:r>
      <w:r>
        <w:rPr>
          <w:sz w:val="24"/>
          <w:szCs w:val="24"/>
          <w:lang w:val="lt-LT"/>
        </w:rPr>
        <w:t>(sienų griovimas arba jų sutvirtinimas ir kiti statybos darbai)</w:t>
      </w:r>
      <w:r>
        <w:rPr>
          <w:rFonts w:ascii="Times New (W1)" w:hAnsi="Times New (W1)"/>
          <w:iCs/>
          <w:color w:val="000000"/>
          <w:sz w:val="24"/>
          <w:szCs w:val="24"/>
          <w:lang w:val="lt-LT"/>
        </w:rPr>
        <w:t>, kurie pailgina pastato naudingo tarnavimo laiką arba pagerina jo naudingąsias savybes, tai tokiu atveju vieneto patirtos pastato rekonstrukcijos ar remonto darbų išlaidos nebus laikomos investicinio projekto reikalavimus atitinkančiu turtu.</w:t>
      </w:r>
    </w:p>
    <w:p w14:paraId="03A5DC81" w14:textId="77777777" w:rsidR="00093845" w:rsidRDefault="004F530B" w:rsidP="00C958DE">
      <w:pPr>
        <w:pStyle w:val="Pagrindiniotekstotrauka"/>
        <w:tabs>
          <w:tab w:val="left" w:pos="720"/>
          <w:tab w:val="left" w:pos="1077"/>
          <w:tab w:val="left" w:pos="1418"/>
        </w:tabs>
        <w:rPr>
          <w:rFonts w:ascii="Times New (W1)" w:hAnsi="Times New (W1)"/>
          <w:iCs/>
          <w:color w:val="000000"/>
          <w:lang w:val="lt-LT"/>
        </w:rPr>
      </w:pPr>
      <w:r>
        <w:rPr>
          <w:iCs/>
          <w:lang w:val="lt-LT"/>
        </w:rPr>
        <w:t xml:space="preserve"> </w:t>
      </w:r>
      <w:r w:rsidR="000D779E">
        <w:rPr>
          <w:iCs/>
          <w:lang w:val="lt-LT"/>
        </w:rPr>
        <w:t xml:space="preserve">(Papildyta pagal VMI prie FM  </w:t>
      </w:r>
      <w:r w:rsidR="000D779E">
        <w:rPr>
          <w:lang w:val="lt-LT"/>
        </w:rPr>
        <w:t>2011-01-18 raštas Nr. (18.18-31-1)-R-688)</w:t>
      </w:r>
      <w:r w:rsidR="000D779E">
        <w:rPr>
          <w:rFonts w:ascii="Times New (W1)" w:hAnsi="Times New (W1)"/>
          <w:iCs/>
          <w:color w:val="000000"/>
          <w:lang w:val="lt-LT"/>
        </w:rPr>
        <w:tab/>
      </w:r>
    </w:p>
    <w:p w14:paraId="0D08E3DC" w14:textId="77777777" w:rsidR="00093845" w:rsidRDefault="000D779E">
      <w:pPr>
        <w:ind w:firstLine="720"/>
        <w:jc w:val="both"/>
        <w:rPr>
          <w:iCs/>
          <w:color w:val="000000"/>
          <w:lang w:val="lt-LT"/>
        </w:rPr>
      </w:pPr>
      <w:r>
        <w:rPr>
          <w:rFonts w:ascii="Times New (W1)" w:hAnsi="Times New (W1)"/>
          <w:iCs/>
          <w:color w:val="000000"/>
          <w:lang w:val="lt-LT"/>
        </w:rPr>
        <w:t>6</w:t>
      </w:r>
      <w:r>
        <w:rPr>
          <w:iCs/>
          <w:color w:val="000000"/>
          <w:lang w:val="lt-LT"/>
        </w:rPr>
        <w:t>. Vieneto investicijos, skirtos vien tik turimam turtui pakeisti kitu analogiškos rūšies turtu, nelaikomos investiciniu projektu (ar jo dalimi), jeigu šis įsigyjamas turtas netenkina šioje dalyje nustatytų turto įsigijimo tikslų.</w:t>
      </w:r>
    </w:p>
    <w:p w14:paraId="291A1BBB" w14:textId="77777777" w:rsidR="00093845" w:rsidRDefault="000D779E">
      <w:pPr>
        <w:ind w:firstLine="720"/>
        <w:jc w:val="both"/>
        <w:rPr>
          <w:iCs/>
          <w:color w:val="000000"/>
          <w:lang w:val="lt-LT"/>
        </w:rPr>
      </w:pPr>
      <w:r>
        <w:rPr>
          <w:iCs/>
          <w:color w:val="000000"/>
          <w:lang w:val="lt-LT"/>
        </w:rPr>
        <w:t>10-11 pavyzdžiai</w:t>
      </w:r>
    </w:p>
    <w:p w14:paraId="69A6A03C" w14:textId="77777777" w:rsidR="00093845" w:rsidRDefault="000D779E">
      <w:pPr>
        <w:pBdr>
          <w:top w:val="single" w:sz="4" w:space="0"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lastRenderedPageBreak/>
        <w:t>10. Vienetas 2009 metais įsigijo metalo pjovimo stakles už 70 000 Lt, kuriomis pakeitė analogiškas vienete naudojamas senas metalo pjovimo stakles. Kadangi vieneto tikslas buvo tik turimą turtą pakeisti nauju turtu, netenkinančiu šioje dalyje nustatytų turto įsigijimo tikslų, todėl  vieneto investicija į tokį 2009 metais įsigytą turtą nelaikoma investiciniu projektu.</w:t>
      </w:r>
    </w:p>
    <w:p w14:paraId="385E0CB1" w14:textId="77777777" w:rsidR="00093845" w:rsidRDefault="000D779E">
      <w:pPr>
        <w:pBdr>
          <w:top w:val="single" w:sz="4" w:space="0" w:color="auto"/>
          <w:left w:val="single" w:sz="4" w:space="4" w:color="auto"/>
          <w:bottom w:val="single" w:sz="4" w:space="1" w:color="auto"/>
          <w:right w:val="single" w:sz="4" w:space="4" w:color="auto"/>
        </w:pBdr>
        <w:ind w:firstLine="720"/>
        <w:jc w:val="both"/>
        <w:rPr>
          <w:iCs/>
          <w:color w:val="000000"/>
          <w:lang w:val="lt-LT"/>
        </w:rPr>
      </w:pPr>
      <w:r>
        <w:rPr>
          <w:iCs/>
          <w:color w:val="000000"/>
          <w:lang w:val="lt-LT"/>
        </w:rPr>
        <w:t>11. Vienetas 2009 metais įsigijo hidraulinį presą už 150 000 Lt, kuriuo pakeitė vienete naudojamą seną presą. Vienetas yra nustatęs, kad naujai įsigytas presas yra našesnis ir per laiko vienetą juo pagaminama daugiau produkcijos, o tai reiškia, kad didėja gamybos pajėgumai ir tobulėja gamybos procesas. Šiuo atveju, vieneto investicija į įsigytą turtą tenkina šioje dalyje nustatytus turto įsigijimo tikslus, todėl yra laikoma investiciniu projektu (ar jo dalimi).</w:t>
      </w:r>
    </w:p>
    <w:p w14:paraId="0B19B58D" w14:textId="77777777" w:rsidR="007E01C6" w:rsidRDefault="007E01C6" w:rsidP="004A7ADF">
      <w:pPr>
        <w:spacing w:after="0"/>
        <w:ind w:firstLine="720"/>
        <w:jc w:val="both"/>
      </w:pPr>
      <w:r>
        <w:t>7. Kad būtų galima įvertinti PMĮ 46-1 straipsnio taikymo pagrįstumą, vienetas privalo turėti juridinę galią turinčius turto įsigijimo dokumentus, taip pat dokumentus, įrodančius, kad turtas nenaudotas bei pagamintas ne anksčiau kaip prieš 2 metus, įvedimo į eksploataciją aktus ir kitus dokumentus, įrodančius turto reikalingumą investicinio projekto vykdymui bei jo naudojimo vieneto veikloje laikotarpį. Patikrinimo metu paaiškėjus, kad investicijų lengvata pagal PMĮ 46</w:t>
      </w:r>
      <w:r>
        <w:rPr>
          <w:vertAlign w:val="superscript"/>
        </w:rPr>
        <w:t>1</w:t>
      </w:r>
      <w:r>
        <w:t xml:space="preserve"> straipsnį pritaikyta nepagrįstai, vienetui bus taikomos įstatymuose nustatytos sankcijos už mokesčių sumokėjimą ne laiku.</w:t>
      </w:r>
    </w:p>
    <w:p w14:paraId="74568E21" w14:textId="77777777" w:rsidR="007E01C6" w:rsidRDefault="007E01C6" w:rsidP="004A7ADF">
      <w:pPr>
        <w:spacing w:after="0"/>
        <w:ind w:firstLine="720"/>
        <w:jc w:val="both"/>
      </w:pPr>
      <w:r>
        <w:rPr>
          <w:iCs/>
          <w:lang w:eastAsia="lt-LT"/>
        </w:rPr>
        <w:t xml:space="preserve">(PMĮ 2 straipsnio  </w:t>
      </w:r>
      <w:r>
        <w:rPr>
          <w:iCs/>
          <w:color w:val="000000"/>
        </w:rPr>
        <w:t>12</w:t>
      </w:r>
      <w:r>
        <w:rPr>
          <w:iCs/>
          <w:color w:val="000000"/>
          <w:vertAlign w:val="superscript"/>
        </w:rPr>
        <w:t>1</w:t>
      </w:r>
      <w:r w:rsidR="00477193">
        <w:rPr>
          <w:iCs/>
          <w:lang w:eastAsia="lt-LT"/>
        </w:rPr>
        <w:t xml:space="preserve"> d. komentaro 7 p. </w:t>
      </w:r>
      <w:r w:rsidR="00C275E3">
        <w:rPr>
          <w:iCs/>
          <w:lang w:eastAsia="lt-LT"/>
        </w:rPr>
        <w:t>pakeistas</w:t>
      </w:r>
      <w:r>
        <w:rPr>
          <w:iCs/>
          <w:lang w:eastAsia="lt-LT"/>
        </w:rPr>
        <w:t xml:space="preserve"> pagal VMI prie FM 2025-05-20 raštą Nr. (18.32-31-1 Mr) R-2170)</w:t>
      </w:r>
    </w:p>
    <w:p w14:paraId="379772C3" w14:textId="77777777" w:rsidR="007E01C6" w:rsidRDefault="007E01C6" w:rsidP="004A7ADF">
      <w:pPr>
        <w:spacing w:after="0"/>
        <w:ind w:firstLine="720"/>
        <w:jc w:val="both"/>
        <w:rPr>
          <w:b/>
          <w:lang w:val="lt-LT"/>
        </w:rPr>
      </w:pPr>
    </w:p>
    <w:p w14:paraId="481A7689" w14:textId="77777777" w:rsidR="004A7ADF" w:rsidRPr="008E4DF8" w:rsidRDefault="000D779E" w:rsidP="004A7ADF">
      <w:pPr>
        <w:spacing w:after="0"/>
        <w:ind w:firstLine="720"/>
        <w:jc w:val="both"/>
        <w:rPr>
          <w:b/>
          <w:lang w:val="lt-LT"/>
        </w:rPr>
      </w:pPr>
      <w:r>
        <w:rPr>
          <w:b/>
          <w:lang w:val="lt-LT"/>
        </w:rPr>
        <w:t>13.</w:t>
      </w:r>
      <w:r>
        <w:rPr>
          <w:b/>
          <w:bCs/>
          <w:lang w:val="lt-LT"/>
        </w:rPr>
        <w:t xml:space="preserve"> </w:t>
      </w:r>
      <w:r w:rsidR="004A7ADF" w:rsidRPr="008E4DF8">
        <w:rPr>
          <w:b/>
          <w:bCs/>
          <w:lang w:val="lt-LT"/>
        </w:rPr>
        <w:t>Išvestinė finansinė priemonė</w:t>
      </w:r>
      <w:r w:rsidR="004A7ADF" w:rsidRPr="008E4DF8">
        <w:rPr>
          <w:b/>
          <w:lang w:val="lt-LT"/>
        </w:rPr>
        <w:t xml:space="preserve"> – finansinis instrumentas (būsimasis sandoris, išankstinis sandoris ar kitas), kurio vertė arba kaina susijusi su prekių, kuriomis šis instrumentas grindžiamas, verte arba kaina, taip pat finansinis instrumentas (būsimasis sandoris, išankstinis sandoris ar kitas), kurio vertė arba kaina yra susijusi su vertybinių popierių kaina, valiutos kursu, palūkanų norma, biržos indeksu, kreditingumo vertinimu ar kitu kintamuoju.</w:t>
      </w:r>
    </w:p>
    <w:p w14:paraId="3A423B7D" w14:textId="77777777" w:rsidR="004A7ADF" w:rsidRPr="008E4DF8" w:rsidRDefault="004A7ADF" w:rsidP="004A7ADF">
      <w:pPr>
        <w:tabs>
          <w:tab w:val="left" w:pos="720"/>
          <w:tab w:val="left" w:pos="1077"/>
          <w:tab w:val="left" w:pos="1418"/>
        </w:tabs>
        <w:jc w:val="both"/>
        <w:rPr>
          <w:b/>
          <w:lang w:val="lt-LT"/>
        </w:rPr>
      </w:pPr>
      <w:r w:rsidRPr="008E4DF8">
        <w:rPr>
          <w:b/>
          <w:lang w:val="lt-LT"/>
        </w:rPr>
        <w:tab/>
        <w:t>Komentaras</w:t>
      </w:r>
    </w:p>
    <w:p w14:paraId="19F0FC76" w14:textId="77777777" w:rsidR="004A7ADF" w:rsidRPr="008E4DF8" w:rsidRDefault="004A7ADF" w:rsidP="004A7ADF">
      <w:pPr>
        <w:tabs>
          <w:tab w:val="left" w:pos="720"/>
          <w:tab w:val="left" w:pos="1077"/>
          <w:tab w:val="left" w:pos="1418"/>
        </w:tabs>
        <w:jc w:val="both"/>
        <w:rPr>
          <w:lang w:val="lt-LT"/>
        </w:rPr>
      </w:pPr>
      <w:r w:rsidRPr="008E4DF8">
        <w:rPr>
          <w:lang w:val="lt-LT"/>
        </w:rPr>
        <w:tab/>
      </w:r>
      <w:r w:rsidRPr="008E4DF8">
        <w:rPr>
          <w:bCs/>
          <w:lang w:val="lt-LT"/>
        </w:rPr>
        <w:t>Finansinė priemonė</w:t>
      </w:r>
      <w:r w:rsidRPr="008E4DF8">
        <w:rPr>
          <w:lang w:val="lt-LT"/>
        </w:rPr>
        <w:t xml:space="preserve"> – kiekvienas sandoris, kuris sąlygoja vienos sandorio šalies finansinio turto sukūrimą, o kitos sandorio šalies finansinio įsipareigojimo sukūrimą.</w:t>
      </w:r>
    </w:p>
    <w:p w14:paraId="4D11EA5F" w14:textId="77777777" w:rsidR="004A7ADF" w:rsidRPr="008E4DF8" w:rsidRDefault="004A7ADF" w:rsidP="004A7ADF">
      <w:pPr>
        <w:tabs>
          <w:tab w:val="left" w:pos="720"/>
          <w:tab w:val="left" w:pos="1077"/>
          <w:tab w:val="left" w:pos="1418"/>
        </w:tabs>
        <w:ind w:firstLine="720"/>
        <w:jc w:val="both"/>
        <w:rPr>
          <w:lang w:val="lt-LT"/>
        </w:rPr>
      </w:pPr>
      <w:r w:rsidRPr="008E4DF8">
        <w:rPr>
          <w:bCs/>
          <w:lang w:val="lt-LT"/>
        </w:rPr>
        <w:t>Išvestinė finansinė priemonė –</w:t>
      </w:r>
      <w:r w:rsidRPr="008E4DF8">
        <w:rPr>
          <w:lang w:val="lt-LT"/>
        </w:rPr>
        <w:t xml:space="preserve"> tai finansinė priemonė:</w:t>
      </w:r>
    </w:p>
    <w:p w14:paraId="43591E7F" w14:textId="77777777" w:rsidR="004A7ADF" w:rsidRPr="008E4DF8" w:rsidRDefault="004A7ADF" w:rsidP="004A7ADF">
      <w:pPr>
        <w:pStyle w:val="Pagrindiniotekstotrauka"/>
        <w:tabs>
          <w:tab w:val="left" w:pos="720"/>
          <w:tab w:val="left" w:pos="1077"/>
          <w:tab w:val="left" w:pos="1418"/>
        </w:tabs>
        <w:rPr>
          <w:rFonts w:ascii="Times New Roman" w:hAnsi="Times New Roman" w:cs="Times New Roman"/>
          <w:lang w:val="lt-LT"/>
        </w:rPr>
      </w:pPr>
      <w:r w:rsidRPr="008E4DF8">
        <w:rPr>
          <w:rFonts w:ascii="Times New Roman" w:hAnsi="Times New Roman" w:cs="Times New Roman"/>
          <w:lang w:val="lt-LT"/>
        </w:rPr>
        <w:t>-</w:t>
      </w:r>
      <w:r w:rsidRPr="008E4DF8">
        <w:rPr>
          <w:rFonts w:ascii="Times New Roman" w:hAnsi="Times New Roman" w:cs="Times New Roman"/>
          <w:lang w:val="lt-LT"/>
        </w:rPr>
        <w:tab/>
        <w:t>kurios vertė keičiasi priklausomai nuo prekių kainos, palūkanų normos, vertybinių popierių kainos, užsienio valiutos kurso, kainos arba palūkanų normos indekso, kreditingumo įvertinimo arba kredito indekso arba panašaus kintamojo,</w:t>
      </w:r>
    </w:p>
    <w:p w14:paraId="4CF3BBC3" w14:textId="77777777" w:rsidR="004A7ADF" w:rsidRPr="008E4DF8" w:rsidRDefault="004A7ADF" w:rsidP="004A7ADF">
      <w:pPr>
        <w:tabs>
          <w:tab w:val="left" w:pos="720"/>
          <w:tab w:val="left" w:pos="1077"/>
          <w:tab w:val="left" w:pos="1418"/>
        </w:tabs>
        <w:ind w:firstLine="720"/>
        <w:jc w:val="both"/>
        <w:rPr>
          <w:lang w:val="lt-LT"/>
        </w:rPr>
      </w:pPr>
      <w:r w:rsidRPr="008E4DF8">
        <w:rPr>
          <w:lang w:val="lt-LT"/>
        </w:rPr>
        <w:t>-</w:t>
      </w:r>
      <w:r w:rsidRPr="008E4DF8">
        <w:rPr>
          <w:lang w:val="lt-LT"/>
        </w:rPr>
        <w:tab/>
        <w:t>kuri nereikalauja jokių pradinių investicijų arba reikalauja nedidelių investicijų, palyginus su kitomis sandorių rūšimis, panašiai reaguojančiomis į rinkos sąlygų pokyčius,</w:t>
      </w:r>
    </w:p>
    <w:p w14:paraId="3D770893" w14:textId="77777777" w:rsidR="004A7ADF" w:rsidRPr="008E4DF8" w:rsidRDefault="004A7ADF" w:rsidP="004A7ADF">
      <w:pPr>
        <w:tabs>
          <w:tab w:val="left" w:pos="720"/>
          <w:tab w:val="left" w:pos="1077"/>
          <w:tab w:val="left" w:pos="1418"/>
        </w:tabs>
        <w:ind w:firstLine="720"/>
        <w:jc w:val="both"/>
        <w:rPr>
          <w:lang w:val="lt-LT"/>
        </w:rPr>
      </w:pPr>
      <w:r w:rsidRPr="008E4DF8">
        <w:rPr>
          <w:lang w:val="lt-LT"/>
        </w:rPr>
        <w:t>-</w:t>
      </w:r>
      <w:r w:rsidRPr="008E4DF8">
        <w:rPr>
          <w:lang w:val="lt-LT"/>
        </w:rPr>
        <w:tab/>
        <w:t>pagal kurią atsiskaitymas turi būti įvykdytas ateityje.</w:t>
      </w:r>
    </w:p>
    <w:p w14:paraId="1A90B5FD"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Išvestinės finansinės priemonės pagal jų įsigijimo tikslą skirstomos į išvestines finansines priemones, skirtas parduoti, ir išvestines finansines priemones, skirtas apsidrausti nuo galimos rizikos. </w:t>
      </w:r>
    </w:p>
    <w:p w14:paraId="3CA2626F"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Išvestinę finansinę priemonę priskiriant vienai ar kitai grupei (naudojama prekybos tikslais ar kaip apsidraudimo priemonė), remiamasi 26-ojo verslo apskaitos standarto „Išvestinės finansinės priemonės“ (toliau – 26 VAS) arba tarptautinių apskaitos standartų nuostatomis. Pelno mokesčio įstatymo nuostatų taikymo tikslais išvestinės finansinės priemonės samprata (įskaitant ir išvestines finansines priemones, skirtas rizikai drausti) analogiška išdėstytai 26 VAS standarte arba tarptautiniuose apskaitos standartuose.</w:t>
      </w:r>
    </w:p>
    <w:p w14:paraId="3CA706A7"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lastRenderedPageBreak/>
        <w:t xml:space="preserve">Pagal 26-ojo VAS nuostatas išvestinės finansinės priemonės, skirtos apsidrausti nuo galimos rizikos, vadinamos apsidraudimo priemonėmis. Įmonė išvestines finansines priemones pagal jų įsigijimo tikslą gali priskirti apsidraudimo priemonėms ir taikyti apsidraudimo priemonių apskaitą, kai: tarp apsidraudimo priemonės ir apdraudžiamojo objekto yra ryšys; įmonė yra patvirtinusi apsidraudimo priemonių apskaitos politiką, kurioje nurodyta rizika, nuo kurios apsidraudžiama, rizikos valdymo tikslas, apsidraudimo priemonių naudojimo strategija, naudojama apsidraudimo priemonė, apdraudžiamas objektas ir apsidraudimo nuo rizikos veiksmingumo vertinimo metodika, pagal kurią nustatomas apsidraudimo nuo rizikos veiksmingumo lygis ir įvertinama neveiksminga dalis; galima patikimai įvertinti išvestinės finansinės priemonės apsidraudimo nuo rizikos veiksmingumą. </w:t>
      </w:r>
    </w:p>
    <w:p w14:paraId="6EB715B3"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Apdraudžiamasis objektas  tai turtas, įsipareigojimai, tvirtas pasižadėjimas, sudarytas ar planuojamas sandoris, kurie įmonei kelia jų tikrosios vertės pasikeitimo ar ateityje sukuriamų pinigų srautų pasikeitimo riziką. Įmonė, įgyjanti apsidraudimo priemonę, apdraudžiamąjį objektą, tai yra finansinį turtą ar finansinį įsipareigojimą, turi parodyti savo balanse arba turėti patikimų įrodymų, kad planuojamas sandoris bus įvykdytas. </w:t>
      </w:r>
    </w:p>
    <w:p w14:paraId="00C8567D" w14:textId="77777777" w:rsidR="004A7ADF" w:rsidRPr="00D85FFE" w:rsidRDefault="004A7ADF" w:rsidP="004A7ADF">
      <w:pPr>
        <w:tabs>
          <w:tab w:val="left" w:pos="720"/>
          <w:tab w:val="left" w:pos="1077"/>
          <w:tab w:val="left" w:pos="1418"/>
        </w:tabs>
        <w:ind w:firstLine="720"/>
        <w:jc w:val="both"/>
        <w:rPr>
          <w:rStyle w:val="normal-h"/>
          <w:color w:val="000000"/>
          <w:lang w:val="lt-LT"/>
        </w:rPr>
      </w:pPr>
      <w:r w:rsidRPr="00D85FFE">
        <w:rPr>
          <w:rStyle w:val="normal-h"/>
          <w:color w:val="000000"/>
          <w:lang w:val="lt-LT"/>
        </w:rPr>
        <w:t xml:space="preserve">Visais kitais atvejais išvestinės finansinės priemonės priskiriamos finansinėms priemonėms, kurios skirtos parduoti, nes jos įsigyjamos siekiant gauti pelno iš kainos svyravimų. </w:t>
      </w:r>
    </w:p>
    <w:p w14:paraId="20AAA09A" w14:textId="77777777" w:rsidR="004A7ADF" w:rsidRDefault="004A7ADF" w:rsidP="004A7ADF">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4CDFE759" w14:textId="77777777" w:rsidR="00CC6DBE" w:rsidRPr="0065344A" w:rsidRDefault="000D779E">
      <w:pPr>
        <w:ind w:firstLine="720"/>
        <w:jc w:val="both"/>
        <w:rPr>
          <w:b/>
          <w:lang w:val="nb-NO"/>
        </w:rPr>
      </w:pPr>
      <w:r w:rsidRPr="0065344A">
        <w:rPr>
          <w:b/>
          <w:lang w:val="nb-NO"/>
        </w:rPr>
        <w:t>14. Jūrų laivo naudingoji talpa (jūrų laivo grynoji talpa) (toliau – jūrų laivo NT) – naudingoji talpa, nurodyta jūrų laivo tarptautiniame tonažo sertifikate, išduotame pagal 1969 m. Londono tarptautinę konvenciją dėl laivų matmenų nustatymo.</w:t>
      </w:r>
    </w:p>
    <w:p w14:paraId="44BB1789" w14:textId="77777777" w:rsidR="00093845" w:rsidRPr="00D3044F" w:rsidRDefault="00CC6DBE" w:rsidP="00D3044F">
      <w:pPr>
        <w:jc w:val="both"/>
        <w:rPr>
          <w:b/>
          <w:i/>
        </w:rPr>
      </w:pPr>
      <w:r w:rsidRPr="00D3044F">
        <w:rPr>
          <w:i/>
        </w:rPr>
        <w:t>(KEISTA:</w:t>
      </w:r>
      <w:r w:rsidR="000D779E" w:rsidRPr="00D3044F">
        <w:rPr>
          <w:b/>
          <w:i/>
        </w:rPr>
        <w:t xml:space="preserve"> </w:t>
      </w:r>
      <w:r w:rsidRPr="00D3044F">
        <w:rPr>
          <w:i/>
        </w:rPr>
        <w:t>2007 05 03  įstatymu Nr. X-1110; 2008 07 14  įstatymu Nr. X-1697</w:t>
      </w:r>
      <w:r w:rsidR="00F31096" w:rsidRPr="00D3044F">
        <w:rPr>
          <w:i/>
        </w:rPr>
        <w:t>,</w:t>
      </w:r>
      <w:r w:rsidRPr="00D3044F">
        <w:rPr>
          <w:i/>
        </w:rPr>
        <w:t xml:space="preserve"> taikoma apskaičiuojant 2007 metais prasidėjusio mokestinio laikotarpio ir vėlesnių mokestinių laikotarpių apmokestinamąjį pelną</w:t>
      </w:r>
      <w:r w:rsidR="002B03F4" w:rsidRPr="00D3044F">
        <w:rPr>
          <w:i/>
        </w:rPr>
        <w:t>)</w:t>
      </w:r>
    </w:p>
    <w:p w14:paraId="5882CEF7" w14:textId="77777777" w:rsidR="00093845" w:rsidRDefault="000D779E">
      <w:pPr>
        <w:ind w:firstLine="720"/>
        <w:jc w:val="both"/>
        <w:rPr>
          <w:b/>
        </w:rPr>
      </w:pPr>
      <w:r>
        <w:rPr>
          <w:b/>
        </w:rPr>
        <w:t>Komentaras</w:t>
      </w:r>
    </w:p>
    <w:p w14:paraId="2D4ABEA9" w14:textId="77777777" w:rsidR="00093845" w:rsidRDefault="000D779E">
      <w:pPr>
        <w:pStyle w:val="Pagrindiniotekstotrauka"/>
        <w:tabs>
          <w:tab w:val="left" w:pos="8280"/>
        </w:tabs>
        <w:rPr>
          <w:lang w:val="lt-LT"/>
        </w:rPr>
      </w:pPr>
      <w:r>
        <w:t>Jūrų laivo naudingoji talpa (toliau – jūrų laivo NT) yra vienas iš jūrų laivo parametrų, kuris naudojamas fiksuoto pelno mokesčio bazei apskaičiuoti. Jūrų laivo NT (grynoji talpa) nurodoma jūrų laivo tarptautiniame tonažo sertifikate, išduodamame remiantis 1969 m. Londono tarptautine konvencija dėl laivų matmenų nustatymo ir įtraukiama į Jūrų laivų registrą.</w:t>
      </w:r>
    </w:p>
    <w:p w14:paraId="27812693" w14:textId="77777777" w:rsidR="00093845" w:rsidRDefault="000D779E">
      <w:pPr>
        <w:ind w:firstLine="720"/>
        <w:jc w:val="both"/>
        <w:rPr>
          <w:bCs/>
          <w:lang w:val="lt-LT"/>
        </w:rPr>
      </w:pPr>
      <w:r>
        <w:rPr>
          <w:bCs/>
          <w:lang w:val="lt-LT"/>
        </w:rPr>
        <w:t>(</w:t>
      </w:r>
      <w:r w:rsidR="00BE449F">
        <w:rPr>
          <w:bCs/>
          <w:lang w:val="lt-LT"/>
        </w:rPr>
        <w:t>P</w:t>
      </w:r>
      <w:r>
        <w:rPr>
          <w:bCs/>
          <w:lang w:val="lt-LT"/>
        </w:rPr>
        <w:t>agal 2012-06-18 VMI prie FM raštą Nr. (18.-10-31-1)-R-5348)</w:t>
      </w:r>
    </w:p>
    <w:p w14:paraId="20B18C54" w14:textId="77777777" w:rsidR="00093845" w:rsidRPr="0065344A" w:rsidRDefault="000D779E" w:rsidP="00473E09">
      <w:pPr>
        <w:ind w:firstLine="720"/>
        <w:jc w:val="both"/>
        <w:rPr>
          <w:b/>
          <w:lang w:val="lt-LT"/>
        </w:rPr>
      </w:pPr>
      <w:r w:rsidRPr="0065344A">
        <w:rPr>
          <w:b/>
          <w:lang w:val="lt-LT"/>
        </w:rPr>
        <w:t>15. Laivybos vienetas – Lietuvos apmokestinamasis vienetas arba užsienio apmokestinamasis vienetas, įregistruotas ar kitaip organizuotas Europos ekonominės erdvės valstybėje ir vykdantis veiklą Lietuvos Respublikos teritorijoje per nuolatinę buveinę, užsiimantis tarptautiniu vežimu jūrų laivais arba tarptautiniu vežimu jūrų laivais ir su juo tiesiogiai susijusia veikla.</w:t>
      </w:r>
    </w:p>
    <w:p w14:paraId="56612B76" w14:textId="77777777" w:rsidR="00093845" w:rsidRPr="00D3044F" w:rsidRDefault="000D779E" w:rsidP="009C0219">
      <w:pPr>
        <w:jc w:val="both"/>
        <w:rPr>
          <w:i/>
          <w:lang w:val="lt-LT"/>
        </w:rPr>
      </w:pPr>
      <w:r w:rsidRPr="00D3044F">
        <w:rPr>
          <w:i/>
          <w:lang w:val="lt-LT"/>
        </w:rPr>
        <w:t>(KEISTA: 2017 06 01 įstatymu Nr. XIII-405 (nuo 2017 06 10)</w:t>
      </w:r>
      <w:r w:rsidR="00F31096" w:rsidRPr="00D3044F">
        <w:rPr>
          <w:i/>
          <w:lang w:val="lt-LT"/>
        </w:rPr>
        <w:t>,</w:t>
      </w:r>
      <w:r w:rsidR="00806625" w:rsidRPr="00D3044F">
        <w:rPr>
          <w:i/>
          <w:lang w:val="lt-LT"/>
        </w:rPr>
        <w:t xml:space="preserve"> taikoma apskaičiuojant 2017 metais prasidėjusio mokestinio laikotarpio ir vėlesnių mokestinių laikotarpių apmokestinamąjį pelną</w:t>
      </w:r>
      <w:r w:rsidRPr="00D3044F">
        <w:rPr>
          <w:i/>
          <w:lang w:val="lt-LT"/>
        </w:rPr>
        <w:t>)</w:t>
      </w:r>
    </w:p>
    <w:p w14:paraId="68CD2981" w14:textId="77777777" w:rsidR="00093845" w:rsidRPr="008B60DD" w:rsidRDefault="000D779E">
      <w:pPr>
        <w:ind w:firstLine="567"/>
        <w:jc w:val="both"/>
        <w:rPr>
          <w:b/>
          <w:lang w:val="lt-LT"/>
        </w:rPr>
      </w:pPr>
      <w:r w:rsidRPr="008B60DD">
        <w:rPr>
          <w:b/>
          <w:lang w:val="lt-LT"/>
        </w:rPr>
        <w:t>Komentaras</w:t>
      </w:r>
    </w:p>
    <w:p w14:paraId="21BE1953" w14:textId="77777777" w:rsidR="00093845" w:rsidRPr="008B60DD" w:rsidRDefault="000D779E">
      <w:pPr>
        <w:ind w:firstLine="567"/>
        <w:jc w:val="both"/>
        <w:rPr>
          <w:lang w:val="lt-LT"/>
        </w:rPr>
      </w:pPr>
      <w:r w:rsidRPr="008B60DD">
        <w:rPr>
          <w:lang w:val="lt-LT"/>
        </w:rPr>
        <w:t>1. Pagal PMĮ 38</w:t>
      </w:r>
      <w:r w:rsidRPr="008B60DD">
        <w:rPr>
          <w:vertAlign w:val="superscript"/>
          <w:lang w:val="lt-LT"/>
        </w:rPr>
        <w:t>1</w:t>
      </w:r>
      <w:r w:rsidRPr="008B60DD">
        <w:rPr>
          <w:lang w:val="lt-LT"/>
        </w:rPr>
        <w:t xml:space="preserve"> straipsnio nuostatas, fiksuotu pelno mokesčiu pajamas apmokestinti gali tik laivybos vienetai, užsiimantys tarptautiniu vežimu jūrų laivais arba tarptautiniu vežimu jūrų laivais ir su tuo tiesiogiai susijusia veikla. Pagal PMĮ, laivybos vienetu pripažįstami tik tarptautinį vežimą jūrų laivais arba tarptautinį vežimą jūrų laivais ir su tuo tiesiogiai susijusią veiklą vykdantys Lietuvos apmokestinamieji vienetai ir šia veikla užsiimantys EEE valstybėse įregistruoti vienetai, vykdantys </w:t>
      </w:r>
      <w:r w:rsidRPr="008B60DD">
        <w:rPr>
          <w:lang w:val="lt-LT"/>
        </w:rPr>
        <w:lastRenderedPageBreak/>
        <w:t>veiklą per nuolatines buveines Lietuvoje. Užsienio laivybos vienetams fiksuotas pelno mokestis gali būti taikomas tik jų nuolatinėms buveinėms Lietuvoje priskiriamoms pajamoms iš tarptautinio vežimo jūrų laivais arba tarptautinio vežimo jūrų laivais ir su tuo tiesiogiai susijusios veiklos apmokestinti. Vienetai, nevykdantys tarptautinio vežimo jūrų laivais, o užsiimantys tik su tarptautiniu vežimu jūrų laivais susijusia veikla (agentų ir laivų brokerių paslaugos, krovinių krovimo į jūrų laivus paslaugos, jūrinių konteinerių nuoma, gelbėjimo paslaugos ir pan.), iš šios veiklos gautoms pajamoms apmokestinti fiksuoto pelno mokesčio taikyti negali, jų pajamos apmokestinamos taikant bendrąsias pelno mokesčio apskaičiavimo taisykles.</w:t>
      </w:r>
    </w:p>
    <w:p w14:paraId="14DE485E" w14:textId="77777777" w:rsidR="00093845" w:rsidRDefault="000D779E">
      <w:pPr>
        <w:ind w:firstLine="567"/>
        <w:jc w:val="both"/>
      </w:pPr>
      <w:r>
        <w:t>2. Lietuvos apmokestinamojo vieneto ir užsienio apmokestinamojo vieneto sąvokos pateiktos PMĮ 2 straipsnio 2 ir 3 dalyse. Nuolatinės buveinės samprata pateikta PMĮ 2 straipsnio 22 dalyje. Tarptautinio vežimo jūrų laivais sąvoka apibrėžta PMĮ 2 straipsnio 35 dalyje. Su tarptautiniu vežimu jūrų laivais tiesiogiai susijusios veiklos sąrašas pateiktas PMĮ 2 straipsnio 34 dalyje.</w:t>
      </w:r>
    </w:p>
    <w:p w14:paraId="2E8AEF01" w14:textId="77777777" w:rsidR="00093845" w:rsidRDefault="000D779E">
      <w:pPr>
        <w:ind w:firstLine="567"/>
        <w:jc w:val="both"/>
      </w:pPr>
      <w:r>
        <w:t>3. Šiuo metu EEE valstybėmis yra visos Europos Sąjungos valstybės narės, Islandija, Norvegija ir Lichtenšteinas.</w:t>
      </w:r>
    </w:p>
    <w:p w14:paraId="22FFBD53" w14:textId="77777777" w:rsidR="00093845" w:rsidRDefault="000D779E">
      <w:pPr>
        <w:rPr>
          <w:bCs/>
        </w:rPr>
      </w:pPr>
      <w:r>
        <w:rPr>
          <w:bCs/>
        </w:rPr>
        <w:t xml:space="preserve">          (</w:t>
      </w:r>
      <w:r w:rsidR="00FF51B9">
        <w:rPr>
          <w:bCs/>
        </w:rPr>
        <w:t>P</w:t>
      </w:r>
      <w:r>
        <w:rPr>
          <w:bCs/>
        </w:rPr>
        <w:t xml:space="preserve">agal 2017-09-22 VMI prie FM raštą Nr. </w:t>
      </w:r>
      <w:r>
        <w:t xml:space="preserve">(32.42-31-1E) </w:t>
      </w:r>
      <w:r>
        <w:rPr>
          <w:bCs/>
        </w:rPr>
        <w:t>-</w:t>
      </w:r>
      <w:r>
        <w:t xml:space="preserve"> RM-29627</w:t>
      </w:r>
      <w:r>
        <w:rPr>
          <w:bCs/>
        </w:rPr>
        <w:t>)</w:t>
      </w:r>
    </w:p>
    <w:p w14:paraId="480EE953" w14:textId="77777777" w:rsidR="002A7B38" w:rsidRPr="002A7B38" w:rsidRDefault="002A7B38" w:rsidP="002A7B38">
      <w:pPr>
        <w:tabs>
          <w:tab w:val="left" w:pos="9638"/>
        </w:tabs>
        <w:jc w:val="both"/>
        <w:rPr>
          <w:b/>
          <w:bCs/>
          <w:color w:val="000000" w:themeColor="text1"/>
          <w:lang w:val="lt-LT" w:eastAsia="lt-LT"/>
        </w:rPr>
      </w:pPr>
      <w:bookmarkStart w:id="6" w:name="pn1_52"/>
      <w:bookmarkStart w:id="7" w:name="pn1_53"/>
      <w:bookmarkStart w:id="8" w:name="pn1_54"/>
      <w:bookmarkEnd w:id="6"/>
      <w:bookmarkEnd w:id="7"/>
      <w:bookmarkEnd w:id="8"/>
      <w:r>
        <w:rPr>
          <w:b/>
          <w:lang w:val="lt-LT" w:eastAsia="lt-LT"/>
        </w:rPr>
        <w:t xml:space="preserve">        </w:t>
      </w:r>
      <w:r w:rsidRPr="00085CAE">
        <w:rPr>
          <w:b/>
          <w:lang w:val="lt-LT" w:eastAsia="lt-LT"/>
        </w:rPr>
        <w:t>15</w:t>
      </w:r>
      <w:r w:rsidRPr="00085CAE">
        <w:rPr>
          <w:b/>
          <w:vertAlign w:val="superscript"/>
          <w:lang w:val="lt-LT" w:eastAsia="lt-LT"/>
        </w:rPr>
        <w:t>1</w:t>
      </w:r>
      <w:r>
        <w:rPr>
          <w:b/>
          <w:vertAlign w:val="superscript"/>
          <w:lang w:val="lt-LT" w:eastAsia="lt-LT"/>
        </w:rPr>
        <w:t>.</w:t>
      </w:r>
      <w:r w:rsidRPr="00085CAE">
        <w:rPr>
          <w:b/>
          <w:bCs/>
          <w:color w:val="000000" w:themeColor="text1"/>
          <w:lang w:val="lt-LT" w:eastAsia="lt-LT"/>
        </w:rPr>
        <w:t xml:space="preserve"> </w:t>
      </w:r>
      <w:bookmarkStart w:id="9" w:name="part_25e640f7c54e4f78b1c6badedcee43b6"/>
      <w:bookmarkStart w:id="10" w:name="part_f714ad57ad2f441b8204911a0c1f9d0a"/>
      <w:bookmarkEnd w:id="9"/>
      <w:bookmarkEnd w:id="10"/>
      <w:r w:rsidRPr="00085CAE">
        <w:rPr>
          <w:b/>
          <w:bCs/>
          <w:color w:val="000000" w:themeColor="text1"/>
          <w:lang w:val="lt-LT" w:eastAsia="lt-LT"/>
        </w:rPr>
        <w:t xml:space="preserve">Kolektyvinio investavimo subjektas – kolektyvinio investavimo subjektas, kaip ši sąvoka apibrėžta Lietuvos Respublikos kolektyvinio investavimo subjektų įstatyme, informuotiesiems investuotojams skirtas kolektyvinio investavimo subjektas, kaip ši sąvoka apibrėžta Lietuvos Respublikos informuotiesiems investuotojams skirtų kolektyvinio investavimo subjektų įstatyme, alternatyvusis kolektyvinio investavimo subjektas, kaip ši sąvoka apibrėžta Lietuvos Respublikos alternatyviųjų kolektyvinio investavimo subjektų valdytojų įstatyme. Kolektyvinio investavimo subjektu taip pat laikomas užsienio valstybėje įsteigtas ar kitaip organizuotas subjektas, </w:t>
      </w:r>
      <w:r w:rsidRPr="00CF74B9">
        <w:rPr>
          <w:b/>
          <w:bCs/>
          <w:i/>
          <w:color w:val="000000" w:themeColor="text1"/>
          <w:lang w:val="lt-LT" w:eastAsia="lt-LT"/>
        </w:rPr>
        <w:t>mutatis mutandis</w:t>
      </w:r>
      <w:r w:rsidRPr="00085CAE">
        <w:rPr>
          <w:b/>
          <w:bCs/>
          <w:color w:val="000000" w:themeColor="text1"/>
          <w:lang w:val="lt-LT" w:eastAsia="lt-LT"/>
        </w:rPr>
        <w:t xml:space="preserve"> atitinkantis šioje dalyje nurodytuose teisės aktuose atitinkamiems kolektyvinio investavimo subjektams nustatytus reikalavimus. Kolektyvinio investavimo subjektu taip pat laikomas subjektas, kuriam taikomas 2013 m. balandžio 17 d. Europos Parlamento ir Tarybos reglamentas (ES) Nr. 345/2013 dėl Europos rizikos kapitalo fondų (OL 2013 L 115, p. 1) arba 2013 m. balandžio 17 d. Europos Parlamento ir Tarybos reglamentas (ES) Nr. 346/2013 dėl Europos socialinio verslumo fondų (OL 2013 L 115, p. 18), arba 2015 m. balandžio 29 d. Europos Parlamento ir Tarybos reglamentas (ES) 2015/760 dėl Europos ilgalaikių investicijų fondų (OL 2015 L 123, p. 98), arba 2017 m. birželio 14 d. Europos Parlamento ir Tarybos reglamentas (ES) 2017/1131 dėl pinigų rinkos fondų (OL 2017 L 169, p. 8).</w:t>
      </w:r>
    </w:p>
    <w:p w14:paraId="7F19FCA0" w14:textId="77777777" w:rsidR="002A7B38" w:rsidRPr="00085CAE" w:rsidRDefault="002A7B38" w:rsidP="002A7B38">
      <w:pPr>
        <w:pStyle w:val="Pagrindiniotekstotrauka2"/>
        <w:tabs>
          <w:tab w:val="left" w:pos="720"/>
          <w:tab w:val="left" w:pos="1077"/>
          <w:tab w:val="left" w:pos="1418"/>
        </w:tabs>
        <w:spacing w:line="240" w:lineRule="auto"/>
        <w:rPr>
          <w:b w:val="0"/>
        </w:rPr>
      </w:pPr>
      <w:r w:rsidRPr="00085CAE">
        <w:t>(2018 m gruodžio 20 d. įstatymo Nr. XIII-1881 redakcija; taikoma nuo 2019 02 01).</w:t>
      </w:r>
    </w:p>
    <w:p w14:paraId="22FD8069" w14:textId="77777777" w:rsidR="00A914BC" w:rsidRPr="00D3044F" w:rsidRDefault="00A914BC" w:rsidP="00C75C50">
      <w:pPr>
        <w:pStyle w:val="tajtip"/>
        <w:spacing w:before="0" w:beforeAutospacing="0" w:after="0" w:afterAutospacing="0"/>
        <w:jc w:val="both"/>
        <w:rPr>
          <w:i/>
        </w:rPr>
      </w:pPr>
    </w:p>
    <w:p w14:paraId="72340067" w14:textId="77777777" w:rsidR="00093845" w:rsidRDefault="000D779E">
      <w:pPr>
        <w:ind w:firstLine="720"/>
        <w:jc w:val="both"/>
        <w:rPr>
          <w:b/>
          <w:lang w:val="lt-LT"/>
        </w:rPr>
      </w:pPr>
      <w:r w:rsidRPr="0065344A">
        <w:rPr>
          <w:b/>
          <w:lang w:val="lt-LT"/>
        </w:rPr>
        <w:t>Komentaras</w:t>
      </w:r>
    </w:p>
    <w:p w14:paraId="50005B77" w14:textId="77777777" w:rsidR="002A7B38" w:rsidRPr="00085CAE" w:rsidRDefault="002A7B38" w:rsidP="00927E61">
      <w:pPr>
        <w:pStyle w:val="Sraopastraipa"/>
        <w:numPr>
          <w:ilvl w:val="0"/>
          <w:numId w:val="71"/>
        </w:numPr>
        <w:tabs>
          <w:tab w:val="left" w:pos="993"/>
        </w:tabs>
        <w:spacing w:after="0" w:line="240" w:lineRule="auto"/>
        <w:ind w:left="0" w:firstLine="600"/>
        <w:jc w:val="both"/>
        <w:rPr>
          <w:lang w:eastAsia="lt-LT"/>
        </w:rPr>
      </w:pPr>
      <w:r w:rsidRPr="00085CAE">
        <w:rPr>
          <w:lang w:eastAsia="lt-LT"/>
        </w:rPr>
        <w:t>Komentuojamoje dalyje kolektyvinio investavimo subjekto (toliau - KIS) sąvokos apibrėžimas įtvirtintas:</w:t>
      </w:r>
    </w:p>
    <w:p w14:paraId="38C1BB5F" w14:textId="77777777" w:rsidR="002A7B38" w:rsidRPr="00085CAE" w:rsidRDefault="002A7B38" w:rsidP="002A7B38">
      <w:pPr>
        <w:pStyle w:val="Sraopastraipa"/>
        <w:tabs>
          <w:tab w:val="left" w:pos="993"/>
        </w:tabs>
        <w:ind w:left="0" w:firstLine="600"/>
        <w:jc w:val="both"/>
        <w:rPr>
          <w:lang w:eastAsia="lt-LT"/>
        </w:rPr>
      </w:pPr>
      <w:r w:rsidRPr="00085CAE">
        <w:rPr>
          <w:lang w:eastAsia="lt-LT"/>
        </w:rPr>
        <w:t xml:space="preserve">- </w:t>
      </w:r>
      <w:r>
        <w:rPr>
          <w:lang w:eastAsia="lt-LT"/>
        </w:rPr>
        <w:t xml:space="preserve"> </w:t>
      </w:r>
      <w:r w:rsidRPr="00085CAE">
        <w:rPr>
          <w:lang w:eastAsia="lt-LT"/>
        </w:rPr>
        <w:t>Lietuvos Respublikos kolektyvinio investavimo subjektų įstatymo (toliau – KISĮ) 2 straipsnio 26 dalyje - tai investicinis fondas ar investicinė bendrovė, kurių tikslas – platinant investicinius vienetus ar akcijas kaupti asmenų lėšas ir padalijant riziką jas kolektyviai investuoti į šiame įstatyme nurodytą turtą laikantis šiame įstatyme nustatytų investavimo reikalavimų;</w:t>
      </w:r>
    </w:p>
    <w:p w14:paraId="7B3E0EDD" w14:textId="77777777" w:rsidR="002A7B38" w:rsidRPr="00085CAE" w:rsidRDefault="002A7B38" w:rsidP="002A7B38">
      <w:pPr>
        <w:pStyle w:val="Sraopastraipa"/>
        <w:tabs>
          <w:tab w:val="left" w:pos="993"/>
        </w:tabs>
        <w:ind w:left="0" w:firstLine="600"/>
        <w:jc w:val="both"/>
        <w:rPr>
          <w:lang w:eastAsia="lt-LT"/>
        </w:rPr>
      </w:pPr>
      <w:r w:rsidRPr="00085CAE">
        <w:rPr>
          <w:lang w:eastAsia="lt-LT"/>
        </w:rPr>
        <w:t xml:space="preserve">- Lietuvos Respublikos informuotiesiems investuotojams skirtų kolektyvinio investavimo subjektų įstatymo (toliau – IISKISĮ) 2 straipsnio 5 dalyje </w:t>
      </w:r>
      <w:r>
        <w:rPr>
          <w:lang w:eastAsia="lt-LT"/>
        </w:rPr>
        <w:t>‒</w:t>
      </w:r>
      <w:r w:rsidRPr="00085CAE">
        <w:rPr>
          <w:lang w:eastAsia="lt-LT"/>
        </w:rPr>
        <w:t xml:space="preserve"> tai  Lietuvos Respublikoje įsteigtas </w:t>
      </w:r>
      <w:r>
        <w:rPr>
          <w:lang w:eastAsia="lt-LT"/>
        </w:rPr>
        <w:t>KIS</w:t>
      </w:r>
      <w:r w:rsidRPr="00085CAE">
        <w:rPr>
          <w:lang w:eastAsia="lt-LT"/>
        </w:rPr>
        <w:t xml:space="preserve"> – investicinis fondas ar investicinė bendrovė, atitinkantys IISKISĮ 17 straipsnio 1 dalyje nustatytas sąlygas;</w:t>
      </w:r>
    </w:p>
    <w:p w14:paraId="16CD2EF2" w14:textId="77777777" w:rsidR="002A7B38" w:rsidRPr="00085CAE" w:rsidRDefault="002A7B38" w:rsidP="002A7B38">
      <w:pPr>
        <w:pStyle w:val="Sraopastraipa"/>
        <w:tabs>
          <w:tab w:val="left" w:pos="993"/>
        </w:tabs>
        <w:ind w:left="0" w:firstLine="600"/>
        <w:jc w:val="both"/>
        <w:rPr>
          <w:lang w:eastAsia="lt-LT"/>
        </w:rPr>
      </w:pPr>
      <w:r w:rsidRPr="00085CAE">
        <w:rPr>
          <w:lang w:eastAsia="lt-LT"/>
        </w:rPr>
        <w:lastRenderedPageBreak/>
        <w:t>- a</w:t>
      </w:r>
      <w:r w:rsidRPr="00085CAE">
        <w:rPr>
          <w:bCs/>
          <w:iCs/>
          <w:lang w:eastAsia="lt-LT"/>
        </w:rPr>
        <w:t xml:space="preserve">lternatyviesiems kolektyvinio investavimo subjektų valdytojams </w:t>
      </w:r>
      <w:r w:rsidRPr="00085CAE">
        <w:rPr>
          <w:lang w:eastAsia="lt-LT"/>
        </w:rPr>
        <w:t xml:space="preserve">skirto Lietuvos Respublikos alternatyviųjų kolektyvinio investavimo subjektų valdytojų įstatymo (toliau – </w:t>
      </w:r>
      <w:r w:rsidRPr="00085CAE">
        <w:rPr>
          <w:bCs/>
          <w:iCs/>
          <w:lang w:eastAsia="lt-LT"/>
        </w:rPr>
        <w:t xml:space="preserve">AKISVĮ) 3 straipsnio 13 dalyje </w:t>
      </w:r>
      <w:r>
        <w:rPr>
          <w:bCs/>
          <w:iCs/>
          <w:lang w:eastAsia="lt-LT"/>
        </w:rPr>
        <w:t>–</w:t>
      </w:r>
      <w:r w:rsidRPr="00085CAE">
        <w:rPr>
          <w:bCs/>
          <w:iCs/>
          <w:lang w:eastAsia="lt-LT"/>
        </w:rPr>
        <w:t xml:space="preserve"> tai</w:t>
      </w:r>
      <w:r>
        <w:rPr>
          <w:bCs/>
          <w:iCs/>
          <w:lang w:eastAsia="lt-LT"/>
        </w:rPr>
        <w:t xml:space="preserve"> </w:t>
      </w:r>
      <w:r>
        <w:rPr>
          <w:lang w:eastAsia="lt-LT"/>
        </w:rPr>
        <w:t xml:space="preserve">KIS </w:t>
      </w:r>
      <w:r w:rsidRPr="00085CAE">
        <w:rPr>
          <w:lang w:eastAsia="lt-LT"/>
        </w:rPr>
        <w:t>– investicinis fondas ar investicinė bendrovė, įskaitant subfondus, - kuri</w:t>
      </w:r>
      <w:r>
        <w:rPr>
          <w:lang w:eastAsia="lt-LT"/>
        </w:rPr>
        <w:t>e</w:t>
      </w:r>
      <w:r w:rsidRPr="00085CAE">
        <w:rPr>
          <w:lang w:eastAsia="lt-LT"/>
        </w:rPr>
        <w:t>:</w:t>
      </w:r>
    </w:p>
    <w:p w14:paraId="588EBABA" w14:textId="77777777" w:rsidR="002A7B38" w:rsidRPr="00085CAE" w:rsidRDefault="002A7B38" w:rsidP="002A7B38">
      <w:pPr>
        <w:pStyle w:val="Sraopastraipa"/>
        <w:tabs>
          <w:tab w:val="left" w:pos="993"/>
        </w:tabs>
        <w:ind w:left="0" w:firstLine="600"/>
        <w:jc w:val="both"/>
        <w:rPr>
          <w:lang w:eastAsia="lt-LT"/>
        </w:rPr>
      </w:pPr>
      <w:r w:rsidRPr="00085CAE">
        <w:rPr>
          <w:lang w:eastAsia="lt-LT"/>
        </w:rPr>
        <w:t>1) pritraukia kapitalą iš keleto profesionaliųjų ir (arba) neprofesionaliųjų investuotojų, siekdam</w:t>
      </w:r>
      <w:r>
        <w:rPr>
          <w:lang w:eastAsia="lt-LT"/>
        </w:rPr>
        <w:t>i</w:t>
      </w:r>
      <w:r w:rsidRPr="00085CAE">
        <w:rPr>
          <w:lang w:eastAsia="lt-LT"/>
        </w:rPr>
        <w:t xml:space="preserve"> jį investuoti tų investuotojų naudai pagal nustatytą investavimo politiką, ir</w:t>
      </w:r>
    </w:p>
    <w:p w14:paraId="769E4FFA" w14:textId="77777777" w:rsidR="002A7B38" w:rsidRPr="00085CAE" w:rsidRDefault="002A7B38" w:rsidP="002A7B38">
      <w:pPr>
        <w:pStyle w:val="Sraopastraipa"/>
        <w:tabs>
          <w:tab w:val="left" w:pos="993"/>
        </w:tabs>
        <w:ind w:left="0" w:firstLine="600"/>
        <w:jc w:val="both"/>
        <w:rPr>
          <w:lang w:eastAsia="lt-LT"/>
        </w:rPr>
      </w:pPr>
      <w:r w:rsidRPr="00085CAE">
        <w:rPr>
          <w:lang w:eastAsia="lt-LT"/>
        </w:rPr>
        <w:t>2) nėra suderint</w:t>
      </w:r>
      <w:r>
        <w:rPr>
          <w:lang w:eastAsia="lt-LT"/>
        </w:rPr>
        <w:t>ieji</w:t>
      </w:r>
      <w:r w:rsidRPr="00085CAE">
        <w:rPr>
          <w:lang w:eastAsia="lt-LT"/>
        </w:rPr>
        <w:t xml:space="preserve"> </w:t>
      </w:r>
      <w:r>
        <w:rPr>
          <w:lang w:eastAsia="lt-LT"/>
        </w:rPr>
        <w:t>KIS</w:t>
      </w:r>
      <w:r w:rsidRPr="00085CAE">
        <w:rPr>
          <w:lang w:eastAsia="lt-LT"/>
        </w:rPr>
        <w:t>, veikiant</w:t>
      </w:r>
      <w:r>
        <w:rPr>
          <w:lang w:eastAsia="lt-LT"/>
        </w:rPr>
        <w:t>y</w:t>
      </w:r>
      <w:r w:rsidRPr="00085CAE">
        <w:rPr>
          <w:lang w:eastAsia="lt-LT"/>
        </w:rPr>
        <w:t>s pagal</w:t>
      </w:r>
      <w:r>
        <w:rPr>
          <w:lang w:eastAsia="lt-LT"/>
        </w:rPr>
        <w:t xml:space="preserve"> KISĮ</w:t>
      </w:r>
      <w:r w:rsidRPr="00085CAE">
        <w:rPr>
          <w:lang w:eastAsia="lt-LT"/>
        </w:rPr>
        <w:t>.</w:t>
      </w:r>
    </w:p>
    <w:p w14:paraId="326F24EE" w14:textId="77777777" w:rsidR="002A7B38" w:rsidRDefault="002A7B38" w:rsidP="002A7B38">
      <w:pPr>
        <w:jc w:val="both"/>
        <w:rPr>
          <w:lang w:val="lt-LT" w:eastAsia="lt-LT"/>
        </w:rPr>
      </w:pPr>
      <w:r w:rsidRPr="00085CAE">
        <w:rPr>
          <w:lang w:val="lt-LT" w:eastAsia="lt-LT"/>
        </w:rPr>
        <w:t xml:space="preserve">         </w:t>
      </w:r>
    </w:p>
    <w:p w14:paraId="6CE882B8" w14:textId="77777777" w:rsidR="002A7B38" w:rsidRPr="00085CAE" w:rsidRDefault="002A7B38" w:rsidP="002A7B38">
      <w:pPr>
        <w:ind w:firstLine="600"/>
        <w:jc w:val="both"/>
        <w:rPr>
          <w:lang w:val="lt-LT"/>
        </w:rPr>
      </w:pPr>
      <w:r w:rsidRPr="00085CAE">
        <w:rPr>
          <w:lang w:val="lt-LT" w:eastAsia="lt-LT"/>
        </w:rPr>
        <w:t xml:space="preserve">2. Komentuojamoje dalyje KIS laikomas investicinis fondas ar investicinė bendrovė, </w:t>
      </w:r>
      <w:r w:rsidRPr="00085CAE">
        <w:rPr>
          <w:lang w:val="lt-LT"/>
        </w:rPr>
        <w:t>kurių tikslas – platinant investicinius vienetus ar akcijas kaupti asmenų lėšas ir padalijant riziką jas kolektyviai investuoti į KISĮ nurodytą turtą</w:t>
      </w:r>
      <w:r>
        <w:rPr>
          <w:lang w:val="lt-LT"/>
        </w:rPr>
        <w:t xml:space="preserve"> ir iš šios veiklos </w:t>
      </w:r>
      <w:r w:rsidRPr="001008C6">
        <w:rPr>
          <w:lang w:val="lt-LT"/>
        </w:rPr>
        <w:t xml:space="preserve">uždirbti </w:t>
      </w:r>
      <w:r>
        <w:rPr>
          <w:lang w:val="lt-LT"/>
        </w:rPr>
        <w:t xml:space="preserve">pajamų </w:t>
      </w:r>
      <w:r w:rsidRPr="001008C6">
        <w:rPr>
          <w:lang w:val="lt-LT"/>
        </w:rPr>
        <w:t>KIS dalyviams</w:t>
      </w:r>
      <w:r w:rsidRPr="00085CAE">
        <w:rPr>
          <w:lang w:val="lt-LT"/>
        </w:rPr>
        <w:t>.</w:t>
      </w:r>
      <w:r>
        <w:rPr>
          <w:lang w:val="lt-LT"/>
        </w:rPr>
        <w:t xml:space="preserve"> </w:t>
      </w:r>
      <w:r w:rsidRPr="00A937F8">
        <w:rPr>
          <w:lang w:val="lt-LT"/>
        </w:rPr>
        <w:t>KISĮ, IISKISĮ, AKISVĮ ne tik įtvirtina atitinkamos rūšies KIS sąvoką, bet ir nustato reikalavimus, taikomus KIS (investicinėms bendrovėms, investiciniams fondams), taip pat šiuos KIS valdančioms valdymo įmonėms, kuriuos tenkindami minėti subjektai galėtų vykdyti veiklą Lietuvos Respublikoje.</w:t>
      </w:r>
    </w:p>
    <w:p w14:paraId="2EEBB8E4" w14:textId="77777777" w:rsidR="002A7B38" w:rsidRPr="00085CAE" w:rsidRDefault="002A7B38" w:rsidP="002A7B38">
      <w:pPr>
        <w:jc w:val="both"/>
        <w:rPr>
          <w:lang w:val="lt-LT"/>
        </w:rPr>
      </w:pPr>
      <w:r w:rsidRPr="00085CAE">
        <w:rPr>
          <w:lang w:val="lt-LT"/>
        </w:rPr>
        <w:t xml:space="preserve">          </w:t>
      </w:r>
      <w:r w:rsidRPr="00085CAE">
        <w:rPr>
          <w:bCs/>
          <w:lang w:val="lt-LT"/>
        </w:rPr>
        <w:t xml:space="preserve">3. KIS taip pat laikomas užsienio valstybėje </w:t>
      </w:r>
      <w:r w:rsidRPr="00085CAE">
        <w:rPr>
          <w:lang w:val="lt-LT"/>
        </w:rPr>
        <w:t xml:space="preserve">įsteigtas ar kitaip organizuotas subjektas (investicinė bendrovė, investicinis fondas), </w:t>
      </w:r>
      <w:r w:rsidRPr="00085CAE">
        <w:rPr>
          <w:i/>
          <w:iCs/>
          <w:lang w:val="lt-LT"/>
        </w:rPr>
        <w:t xml:space="preserve">mutatis mutandis </w:t>
      </w:r>
      <w:r w:rsidRPr="00085CAE">
        <w:rPr>
          <w:lang w:val="lt-LT"/>
        </w:rPr>
        <w:t xml:space="preserve">atitinkantis KISĮ, IISKISĮ ir AKISVĮ </w:t>
      </w:r>
      <w:r>
        <w:rPr>
          <w:lang w:val="lt-LT"/>
        </w:rPr>
        <w:t>KIS</w:t>
      </w:r>
      <w:r w:rsidRPr="00085CAE">
        <w:rPr>
          <w:lang w:val="lt-LT"/>
        </w:rPr>
        <w:t xml:space="preserve"> nustatytus reikalavimus.</w:t>
      </w:r>
    </w:p>
    <w:p w14:paraId="2420D9F9" w14:textId="77777777" w:rsidR="002A7B38" w:rsidRDefault="002A7B38" w:rsidP="002A7B38">
      <w:pPr>
        <w:pStyle w:val="Default"/>
        <w:tabs>
          <w:tab w:val="left" w:pos="851"/>
        </w:tabs>
        <w:ind w:firstLine="600"/>
        <w:jc w:val="both"/>
      </w:pPr>
      <w:r w:rsidRPr="00085CAE">
        <w:t>Europos ekonominės erdvės valstybėse įsteigtų KIS veiklą Lietuvos Respublikoje (pvz., jų investicinių vienetų, akcijų platinimą) reglamentuoja atskiros KISĮ ir AKISVĮ nuostatos, įtvirtinančios atitinkamas notifikavimo procedūras ir taikomus reikalavimus (KISĮ 120-122 straipsniai, AKISVĮ 41 straipsnis).</w:t>
      </w:r>
    </w:p>
    <w:p w14:paraId="1B56E274" w14:textId="77777777" w:rsidR="002A7B38" w:rsidRDefault="002A7B38" w:rsidP="002A7B38">
      <w:pPr>
        <w:pStyle w:val="Default"/>
        <w:tabs>
          <w:tab w:val="left" w:pos="7710"/>
        </w:tabs>
        <w:jc w:val="both"/>
        <w:outlineLvl w:val="0"/>
        <w:rPr>
          <w:sz w:val="23"/>
          <w:szCs w:val="23"/>
        </w:rPr>
      </w:pPr>
    </w:p>
    <w:p w14:paraId="6F3A2A12" w14:textId="77777777" w:rsidR="002A7B38" w:rsidRPr="00085CAE" w:rsidRDefault="002A7B38" w:rsidP="002A7B38">
      <w:pPr>
        <w:pStyle w:val="Default"/>
        <w:tabs>
          <w:tab w:val="left" w:pos="7710"/>
        </w:tabs>
        <w:jc w:val="both"/>
        <w:outlineLvl w:val="0"/>
        <w:rPr>
          <w:sz w:val="23"/>
          <w:szCs w:val="23"/>
        </w:rPr>
      </w:pPr>
      <w:r w:rsidRPr="00085CAE">
        <w:rPr>
          <w:sz w:val="23"/>
          <w:szCs w:val="23"/>
        </w:rPr>
        <w:t>Pavyzdys</w:t>
      </w:r>
    </w:p>
    <w:p w14:paraId="256CDBA4" w14:textId="77777777" w:rsidR="002A7B38" w:rsidRPr="00085CAE" w:rsidRDefault="002A7B38" w:rsidP="002A7B38">
      <w:pPr>
        <w:pStyle w:val="Default"/>
        <w:jc w:val="both"/>
        <w:rPr>
          <w:sz w:val="23"/>
          <w:szCs w:val="23"/>
        </w:rPr>
      </w:pPr>
      <w:r w:rsidRPr="00085CAE">
        <w:rPr>
          <w:sz w:val="23"/>
          <w:szCs w:val="23"/>
        </w:rPr>
        <w:t xml:space="preserve">            </w:t>
      </w:r>
    </w:p>
    <w:tbl>
      <w:tblPr>
        <w:tblStyle w:val="Lentelstinklelis"/>
        <w:tblW w:w="0" w:type="auto"/>
        <w:tblLook w:val="04A0" w:firstRow="1" w:lastRow="0" w:firstColumn="1" w:lastColumn="0" w:noHBand="0" w:noVBand="1"/>
      </w:tblPr>
      <w:tblGrid>
        <w:gridCol w:w="9628"/>
      </w:tblGrid>
      <w:tr w:rsidR="002A7B38" w:rsidRPr="0087335D" w14:paraId="2AAE6AAF" w14:textId="77777777" w:rsidTr="001E0C26">
        <w:trPr>
          <w:trHeight w:val="1346"/>
        </w:trPr>
        <w:tc>
          <w:tcPr>
            <w:tcW w:w="9628" w:type="dxa"/>
          </w:tcPr>
          <w:p w14:paraId="5C32FA05" w14:textId="77777777" w:rsidR="002A7B38" w:rsidRPr="00085CAE" w:rsidRDefault="002A7B38" w:rsidP="001E0C26">
            <w:pPr>
              <w:pStyle w:val="Default"/>
              <w:jc w:val="both"/>
            </w:pPr>
            <w:r w:rsidRPr="00085CAE">
              <w:t>Lietuvos vienetas investavo į Liuksemburgo partnerystės sutarties pagrindu (</w:t>
            </w:r>
            <w:r w:rsidRPr="00085CAE">
              <w:rPr>
                <w:bCs/>
                <w:iCs/>
              </w:rPr>
              <w:t xml:space="preserve">pranc. </w:t>
            </w:r>
            <w:r w:rsidRPr="00085CAE">
              <w:rPr>
                <w:bCs/>
                <w:i/>
                <w:iCs/>
              </w:rPr>
              <w:t>société commandite spéciale</w:t>
            </w:r>
            <w:r w:rsidRPr="00085CAE">
              <w:rPr>
                <w:bCs/>
                <w:iCs/>
              </w:rPr>
              <w:t xml:space="preserve">) įregistruotą ar kitaip organizuotą fondą (toliau – fondas), kuris nėra reguliuojamas (prižiūrimas) Liuksemburgo kompetentingų institucijų, ir pagal Liuksemburgo teisės aktus nėra apmokestinamasis asmuo Liuksemburge. </w:t>
            </w:r>
            <w:r w:rsidRPr="00085CAE">
              <w:rPr>
                <w:color w:val="000000" w:themeColor="text1"/>
              </w:rPr>
              <w:t>Tokiu atveju, minėtas fondas nėra laikomas</w:t>
            </w:r>
            <w:r>
              <w:rPr>
                <w:color w:val="000000" w:themeColor="text1"/>
              </w:rPr>
              <w:t xml:space="preserve"> KIS</w:t>
            </w:r>
            <w:r w:rsidRPr="00085CAE">
              <w:rPr>
                <w:color w:val="000000" w:themeColor="text1"/>
              </w:rPr>
              <w:t xml:space="preserve">, nes neatitinka Lietuvos Respublikos teisės aktuose įtvirtintų </w:t>
            </w:r>
            <w:r>
              <w:rPr>
                <w:color w:val="000000" w:themeColor="text1"/>
              </w:rPr>
              <w:t xml:space="preserve">KIS </w:t>
            </w:r>
            <w:r w:rsidRPr="00085CAE">
              <w:rPr>
                <w:color w:val="000000" w:themeColor="text1"/>
              </w:rPr>
              <w:t>nustatytų (jų veiklai būtinų) reikalavimų, o Lietuvos vieneto iš nurodyto fondo gautos pajamos bus apmokestinamos bendra PMĮ nustatyta tvarka.</w:t>
            </w:r>
          </w:p>
        </w:tc>
      </w:tr>
    </w:tbl>
    <w:p w14:paraId="003F7F63" w14:textId="77777777" w:rsidR="002A7B38" w:rsidRPr="00085CAE" w:rsidRDefault="002A7B38" w:rsidP="002A7B38">
      <w:pPr>
        <w:pStyle w:val="Default"/>
        <w:tabs>
          <w:tab w:val="left" w:pos="851"/>
        </w:tabs>
        <w:ind w:firstLine="600"/>
        <w:jc w:val="both"/>
      </w:pPr>
      <w:r w:rsidRPr="00085CAE">
        <w:tab/>
      </w:r>
    </w:p>
    <w:p w14:paraId="1F06BB34"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4. ES praktikoje (2013 m. rugpjūčio 13 d. </w:t>
      </w:r>
      <w:r w:rsidRPr="00C972AF">
        <w:rPr>
          <w:lang w:eastAsia="lt-LT"/>
        </w:rPr>
        <w:t>Europos vertybinių popierių ir rinkų institucijos (toliau – ESMA)</w:t>
      </w:r>
      <w:r w:rsidRPr="00085CAE">
        <w:rPr>
          <w:lang w:eastAsia="lt-LT"/>
        </w:rPr>
        <w:t xml:space="preserve"> gairės</w:t>
      </w:r>
      <w:r>
        <w:rPr>
          <w:lang w:eastAsia="lt-LT"/>
        </w:rPr>
        <w:t>e</w:t>
      </w:r>
      <w:r w:rsidRPr="00085CAE">
        <w:rPr>
          <w:lang w:eastAsia="lt-LT"/>
        </w:rPr>
        <w:t xml:space="preserve"> </w:t>
      </w:r>
      <w:r>
        <w:rPr>
          <w:lang w:eastAsia="lt-LT"/>
        </w:rPr>
        <w:t>(</w:t>
      </w:r>
      <w:r w:rsidRPr="00085CAE">
        <w:rPr>
          <w:lang w:eastAsia="lt-LT"/>
        </w:rPr>
        <w:t xml:space="preserve">ESMA/2013/611) KIS paprastai laikomas subjektas, kuris: </w:t>
      </w:r>
    </w:p>
    <w:p w14:paraId="6048833F"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 a) neturi bendro komercinio arba pramoninio tikslo (tai yra šio subjekto veikla yra investavimas, o ne gamyba,</w:t>
      </w:r>
      <w:r w:rsidRPr="00085CAE">
        <w:rPr>
          <w:rFonts w:eastAsiaTheme="minorHAnsi"/>
          <w:color w:val="000000"/>
          <w:sz w:val="23"/>
          <w:szCs w:val="23"/>
        </w:rPr>
        <w:t xml:space="preserve"> </w:t>
      </w:r>
      <w:r w:rsidRPr="00085CAE">
        <w:rPr>
          <w:lang w:eastAsia="lt-LT"/>
        </w:rPr>
        <w:t>prekyba ar pan.);</w:t>
      </w:r>
    </w:p>
    <w:p w14:paraId="58DFE971" w14:textId="77777777" w:rsidR="002A7B38" w:rsidRPr="00085CAE" w:rsidRDefault="002A7B38" w:rsidP="002A7B38">
      <w:pPr>
        <w:pStyle w:val="Sraopastraipa"/>
        <w:tabs>
          <w:tab w:val="left" w:pos="993"/>
        </w:tabs>
        <w:ind w:left="0" w:firstLine="567"/>
        <w:jc w:val="both"/>
        <w:rPr>
          <w:lang w:eastAsia="lt-LT"/>
        </w:rPr>
      </w:pPr>
      <w:r w:rsidRPr="00085CAE">
        <w:rPr>
          <w:lang w:eastAsia="lt-LT"/>
        </w:rPr>
        <w:t xml:space="preserve"> b) subjektas bendrai kaupia iš investuotojų pritrauktas lėšas, siekdamas gauti bendrai sukauptą grąžą šiems investuotojams (tai yra subjekto tikslas yra pelnas, gaunamas iš investavimo veiklos), ir </w:t>
      </w:r>
    </w:p>
    <w:p w14:paraId="210B80EC" w14:textId="77777777" w:rsidR="002A7B38" w:rsidRDefault="002A7B38" w:rsidP="002A7B38">
      <w:pPr>
        <w:pStyle w:val="Sraopastraipa"/>
        <w:tabs>
          <w:tab w:val="left" w:pos="993"/>
        </w:tabs>
        <w:ind w:left="0" w:firstLine="567"/>
        <w:jc w:val="both"/>
        <w:rPr>
          <w:lang w:eastAsia="lt-LT"/>
        </w:rPr>
      </w:pPr>
      <w:r w:rsidRPr="00085CAE">
        <w:rPr>
          <w:lang w:eastAsia="lt-LT"/>
        </w:rPr>
        <w:t xml:space="preserve"> c) investuotojai, kaip kolektyvinė grupė, neturi kasdienės diskrecijos arba kontrolės (nebūtinas požymis).</w:t>
      </w:r>
    </w:p>
    <w:p w14:paraId="515DB4A7" w14:textId="77777777" w:rsidR="002A7B38" w:rsidRDefault="00922FEB" w:rsidP="002A7B38">
      <w:pPr>
        <w:jc w:val="both"/>
        <w:rPr>
          <w:rFonts w:ascii="Trebuchet MS" w:hAnsi="Trebuchet MS"/>
          <w:sz w:val="20"/>
          <w:szCs w:val="22"/>
          <w:lang w:val="lt-LT"/>
        </w:rPr>
      </w:pPr>
      <w:r>
        <w:rPr>
          <w:iCs/>
          <w:lang w:eastAsia="lt-LT"/>
        </w:rPr>
        <w:t xml:space="preserve">(PMĮ 2 </w:t>
      </w:r>
      <w:r w:rsidR="002A7B38">
        <w:rPr>
          <w:iCs/>
          <w:lang w:eastAsia="lt-LT"/>
        </w:rPr>
        <w:t>straipsnio 15-1 dalies komentaras parengtas pagal VMI prie FM 2024-05-06 raštą Nr. (18.32-31-1 Mr)-R-1685)</w:t>
      </w:r>
    </w:p>
    <w:p w14:paraId="12E8391F" w14:textId="77777777" w:rsidR="002A7B38" w:rsidRPr="0065344A" w:rsidRDefault="002A7B38">
      <w:pPr>
        <w:ind w:firstLine="720"/>
        <w:jc w:val="both"/>
        <w:rPr>
          <w:b/>
          <w:lang w:val="lt-LT"/>
        </w:rPr>
      </w:pPr>
    </w:p>
    <w:p w14:paraId="71E4148E" w14:textId="77777777" w:rsidR="00603A25" w:rsidRDefault="000D779E" w:rsidP="00603A25">
      <w:pPr>
        <w:spacing w:after="0"/>
        <w:ind w:firstLine="720"/>
        <w:jc w:val="both"/>
        <w:rPr>
          <w:b/>
          <w:lang w:val="lt-LT"/>
        </w:rPr>
      </w:pPr>
      <w:r>
        <w:rPr>
          <w:b/>
          <w:lang w:val="lt-LT"/>
        </w:rPr>
        <w:lastRenderedPageBreak/>
        <w:t>16.</w:t>
      </w:r>
      <w:r>
        <w:rPr>
          <w:b/>
          <w:bCs/>
          <w:lang w:val="lt-LT"/>
        </w:rPr>
        <w:t xml:space="preserve">  Kompiuterio programa</w:t>
      </w:r>
      <w:r>
        <w:rPr>
          <w:b/>
          <w:lang w:val="lt-LT"/>
        </w:rPr>
        <w:t xml:space="preserve"> – kaip ši sąvoka apibrėžta Lietuvos Respublikos autorių teisių ir gretutinių teisių įstatyme.</w:t>
      </w:r>
    </w:p>
    <w:p w14:paraId="55F57190" w14:textId="77777777" w:rsidR="00093845" w:rsidRDefault="00603A25" w:rsidP="00BF3794">
      <w:pPr>
        <w:spacing w:after="0"/>
        <w:jc w:val="both"/>
        <w:rPr>
          <w:i/>
        </w:rPr>
      </w:pPr>
      <w:r w:rsidRPr="00BF3794">
        <w:rPr>
          <w:i/>
        </w:rPr>
        <w:t>(KEISTA: 2008 07 14 įstatymu Nr. IX-1697</w:t>
      </w:r>
      <w:r w:rsidR="00F31096" w:rsidRPr="00BF3794">
        <w:rPr>
          <w:i/>
        </w:rPr>
        <w:t>,</w:t>
      </w:r>
      <w:r w:rsidRPr="00BF3794">
        <w:rPr>
          <w:i/>
        </w:rPr>
        <w:t xml:space="preserve"> taikoma nuo 2009 m. sausio 1 d.)</w:t>
      </w:r>
    </w:p>
    <w:p w14:paraId="44128365" w14:textId="77777777" w:rsidR="00A914BC" w:rsidRPr="00BF3794" w:rsidRDefault="00A914BC" w:rsidP="00BF3794">
      <w:pPr>
        <w:spacing w:after="0"/>
        <w:jc w:val="both"/>
        <w:rPr>
          <w:i/>
        </w:rPr>
      </w:pPr>
    </w:p>
    <w:p w14:paraId="15478A9E" w14:textId="77777777" w:rsidR="00093845" w:rsidRDefault="000D779E">
      <w:pPr>
        <w:ind w:firstLine="720"/>
        <w:jc w:val="both"/>
        <w:rPr>
          <w:b/>
          <w:bCs/>
          <w:lang w:val="lt-LT"/>
        </w:rPr>
      </w:pPr>
      <w:r>
        <w:rPr>
          <w:b/>
          <w:bCs/>
          <w:lang w:val="lt-LT"/>
        </w:rPr>
        <w:t>Komentaras</w:t>
      </w:r>
    </w:p>
    <w:p w14:paraId="749D8977"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Lietuvos Respublikos</w:t>
      </w:r>
      <w:r w:rsidRPr="00C75C50">
        <w:rPr>
          <w:rFonts w:ascii="Times New Roman" w:hAnsi="Times New Roman"/>
        </w:rPr>
        <w:t xml:space="preserve"> </w:t>
      </w:r>
      <w:r w:rsidR="00AB0CD5" w:rsidRPr="009C0219">
        <w:rPr>
          <w:rStyle w:val="Hipersaitas"/>
          <w:rFonts w:ascii="Times New Roman" w:hAnsi="Times New Roman" w:cs="Times New Roman"/>
          <w:b w:val="0"/>
          <w:bCs w:val="0"/>
          <w:kern w:val="0"/>
          <w:lang w:val="lt-LT"/>
        </w:rPr>
        <w:t>autorių teisių ir gretutinių teisių įstatymo</w:t>
      </w:r>
      <w:r>
        <w:rPr>
          <w:rFonts w:ascii="Times New Roman" w:hAnsi="Times New Roman"/>
        </w:rPr>
        <w:t xml:space="preserve">  2 str. 16 dalyje </w:t>
      </w:r>
      <w:r>
        <w:rPr>
          <w:rFonts w:ascii="Times New Roman" w:hAnsi="Times New Roman"/>
          <w:i/>
        </w:rPr>
        <w:t>kompiuterio programos</w:t>
      </w:r>
      <w:r>
        <w:rPr>
          <w:rFonts w:ascii="Times New Roman" w:hAnsi="Times New Roman"/>
        </w:rPr>
        <w:t xml:space="preserve"> sąvoka apibrėžiama kaip ,,visuma instrukcijų, pateikiamų žodžiais, kodais, schemomis ar kitu pavidalu, kurios įgalina kompiuterį atlikti tam tikrą užduotį ar pasiekti tam tikrą rezultatą, kai tos instrukcijos pateikiamos tokiomis priemonėmis, kurias kompiuteris gali perskaityti; ši sąvoka apima ir parengiamąją projektinę tokių instrukcijų medžiagą su sąlyga, kad iš jos galima būtų sukurti minėtą instrukcijų visumą“.</w:t>
      </w:r>
    </w:p>
    <w:p w14:paraId="5AAF91AA" w14:textId="77777777" w:rsidR="00093845" w:rsidRDefault="000D779E" w:rsidP="00C958DE">
      <w:pPr>
        <w:tabs>
          <w:tab w:val="left" w:pos="720"/>
          <w:tab w:val="left" w:pos="1077"/>
          <w:tab w:val="left" w:pos="1418"/>
        </w:tabs>
        <w:spacing w:after="0"/>
        <w:ind w:firstLine="720"/>
        <w:jc w:val="both"/>
        <w:rPr>
          <w:lang w:val="lt-LT"/>
        </w:rPr>
      </w:pPr>
      <w:r>
        <w:rPr>
          <w:lang w:val="lt-LT"/>
        </w:rPr>
        <w:t>Kompiuterio programomis, neatsižvelgiant į jų išraiškos formas, laikomos:</w:t>
      </w:r>
    </w:p>
    <w:p w14:paraId="1C741548"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operacinės sistemos,</w:t>
      </w:r>
    </w:p>
    <w:p w14:paraId="2C611B90"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taikomosios programos (savarankiškos),</w:t>
      </w:r>
    </w:p>
    <w:p w14:paraId="246B23D4"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taikomųjų programų paketai (rinkiniai),</w:t>
      </w:r>
    </w:p>
    <w:p w14:paraId="3D4A3E8D" w14:textId="77777777" w:rsidR="00093845" w:rsidRDefault="000D779E" w:rsidP="00EC4E29">
      <w:pPr>
        <w:numPr>
          <w:ilvl w:val="0"/>
          <w:numId w:val="8"/>
        </w:numPr>
        <w:tabs>
          <w:tab w:val="clear" w:pos="1140"/>
          <w:tab w:val="left" w:pos="720"/>
          <w:tab w:val="left" w:pos="1077"/>
          <w:tab w:val="left" w:pos="1418"/>
        </w:tabs>
        <w:spacing w:after="0"/>
        <w:jc w:val="both"/>
        <w:rPr>
          <w:lang w:val="lt-LT"/>
        </w:rPr>
      </w:pPr>
      <w:r>
        <w:rPr>
          <w:lang w:val="lt-LT"/>
        </w:rPr>
        <w:t>atskiros programų dalys (paprogramės) ir pan.</w:t>
      </w:r>
    </w:p>
    <w:p w14:paraId="644E8C73"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Parengiamoji projektinė dokumentacija (programos ar/ir problemos aprašymas, jos naudotojui skirtos instrukcijos ir pan.) taip pat priskiriama kompiuterio programai, jeigu ji kartu su instrukcijomis, sudarančiomis galimybę kompiuteriui atlikti tam tikrą užduotį ar pasiekti tam tikrą rezultatą, sudaro visų minėtų instrukcijų visumą. Šią dokumentaciją gali sudaryti tekstas, skaičiai, skaitmeniniai simboliai, tekstinės ar grafinės schemos, ji gali būti pateikiama popieriuje ar kompiuterizuotu būdu.</w:t>
      </w:r>
    </w:p>
    <w:p w14:paraId="346F00D4"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 xml:space="preserve"> </w:t>
      </w:r>
    </w:p>
    <w:p w14:paraId="217F91D2" w14:textId="77777777" w:rsidR="00093845" w:rsidRPr="0065344A" w:rsidRDefault="000D779E">
      <w:pPr>
        <w:ind w:firstLine="567"/>
        <w:jc w:val="both"/>
        <w:rPr>
          <w:b/>
          <w:lang w:val="lt-LT" w:eastAsia="lt-LT"/>
        </w:rPr>
      </w:pPr>
      <w:r w:rsidRPr="0065344A">
        <w:rPr>
          <w:b/>
          <w:lang w:val="lt-LT" w:eastAsia="lt-LT"/>
        </w:rPr>
        <w:t>16</w:t>
      </w:r>
      <w:r w:rsidR="00DD0AE8" w:rsidRPr="0065344A">
        <w:rPr>
          <w:b/>
          <w:vertAlign w:val="superscript"/>
          <w:lang w:val="lt-LT" w:eastAsia="lt-LT"/>
        </w:rPr>
        <w:t>1</w:t>
      </w:r>
      <w:r w:rsidRPr="0065344A">
        <w:rPr>
          <w:lang w:val="lt-LT" w:eastAsia="lt-LT"/>
        </w:rPr>
        <w:t xml:space="preserve">. </w:t>
      </w:r>
      <w:r w:rsidRPr="0065344A">
        <w:rPr>
          <w:b/>
          <w:bCs/>
          <w:lang w:val="lt-LT" w:eastAsia="lt-LT"/>
        </w:rPr>
        <w:t>Lietuvos filmo gamintojas</w:t>
      </w:r>
      <w:r w:rsidRPr="0065344A">
        <w:rPr>
          <w:b/>
          <w:lang w:val="lt-LT" w:eastAsia="lt-LT"/>
        </w:rPr>
        <w:t xml:space="preserve"> – fizinis asmuo – nuolatinis Lietuvos gyventojas arba Europos ekonominės erdvės valstybės pilietis, veikiantis per nuolatinę bazę Lietuvoje, taip pat Lietuvos vienetas arba Europos ekonominės erdvės valstybės vienetas, veikiantis per nuolatinę buveinę Lietuvoje, kurie verčiasi filmų gamyba ir yra atsakingi už kūrybinį, organizacinį, finansinį filmo gamybos procesą.</w:t>
      </w:r>
    </w:p>
    <w:p w14:paraId="3609DFBC" w14:textId="77777777" w:rsidR="00093845" w:rsidRPr="00A914BC" w:rsidRDefault="00BF3794">
      <w:pPr>
        <w:jc w:val="both"/>
        <w:rPr>
          <w:i/>
        </w:rPr>
      </w:pPr>
      <w:r w:rsidRPr="00A914BC">
        <w:rPr>
          <w:i/>
        </w:rPr>
        <w:t>(P</w:t>
      </w:r>
      <w:r w:rsidR="000D779E" w:rsidRPr="00A914BC">
        <w:rPr>
          <w:i/>
        </w:rPr>
        <w:t>agal 2013 m. birželio 13 d. įstatymo Nr. XII-336 redakciją, taikoma nuo 2014 m. sausio 1 d.)</w:t>
      </w:r>
    </w:p>
    <w:p w14:paraId="33D8FCD9" w14:textId="77777777" w:rsidR="00093845" w:rsidRDefault="000D779E">
      <w:pPr>
        <w:ind w:firstLine="567"/>
        <w:jc w:val="both"/>
        <w:rPr>
          <w:b/>
        </w:rPr>
      </w:pPr>
      <w:r>
        <w:rPr>
          <w:b/>
        </w:rPr>
        <w:t>Komentaras</w:t>
      </w:r>
    </w:p>
    <w:p w14:paraId="2668EA99" w14:textId="77777777" w:rsidR="00093845" w:rsidRDefault="000D779E">
      <w:pPr>
        <w:ind w:firstLine="567"/>
        <w:jc w:val="both"/>
      </w:pPr>
      <w:r>
        <w:t>Ši sąvoka skirta apibrėžti asmenis, kurių vykdomai filmo ar jo dalies gamybai neatlygintinai skiriamoms lėšoms gali būti taikomos PMĮ 17</w:t>
      </w:r>
      <w:r>
        <w:rPr>
          <w:vertAlign w:val="superscript"/>
        </w:rPr>
        <w:t>2</w:t>
      </w:r>
      <w:r>
        <w:t xml:space="preserve"> ir 46</w:t>
      </w:r>
      <w:r>
        <w:rPr>
          <w:vertAlign w:val="superscript"/>
        </w:rPr>
        <w:t>2</w:t>
      </w:r>
      <w:r>
        <w:t> straipsniuose (žr. šių straipsnių PMĮ komentarus) nustatytos lengvatos.  Lietuvos filmo gamintoju minėtuose PMĮ straipsniuose nustatytų lengvatų taikymo tikslais gali būti:</w:t>
      </w:r>
    </w:p>
    <w:p w14:paraId="21FCBA4A" w14:textId="77777777" w:rsidR="00093845" w:rsidRDefault="000D779E">
      <w:pPr>
        <w:ind w:firstLine="567"/>
        <w:jc w:val="both"/>
      </w:pPr>
      <w:r>
        <w:t>1) nuolatinis Lietuvos gyventojas arba</w:t>
      </w:r>
    </w:p>
    <w:p w14:paraId="77836007" w14:textId="77777777" w:rsidR="00093845" w:rsidRDefault="000D779E">
      <w:pPr>
        <w:tabs>
          <w:tab w:val="left" w:pos="1418"/>
        </w:tabs>
        <w:ind w:firstLine="567"/>
        <w:jc w:val="both"/>
      </w:pPr>
      <w:r>
        <w:t>2) Europos ekonominės erdvės valstybės (toliau – EEE valstybė) pilietis, veikiantis per nuolatinę bazę Lietuvoje arba,</w:t>
      </w:r>
    </w:p>
    <w:p w14:paraId="0607E0C3" w14:textId="77777777" w:rsidR="00093845" w:rsidRDefault="000D779E">
      <w:pPr>
        <w:ind w:firstLine="567"/>
        <w:jc w:val="both"/>
      </w:pPr>
      <w:r>
        <w:t>3) Lietuvos vienetas arba,</w:t>
      </w:r>
    </w:p>
    <w:p w14:paraId="774641D3" w14:textId="77777777" w:rsidR="00093845" w:rsidRDefault="000D779E">
      <w:pPr>
        <w:ind w:firstLine="567"/>
        <w:jc w:val="both"/>
      </w:pPr>
      <w:r>
        <w:t>4) EEE valstybės vienetas, veikiantis per nuolatinę buveinę Lietuvoje, jei šie asmenys</w:t>
      </w:r>
    </w:p>
    <w:p w14:paraId="5D582334" w14:textId="77777777" w:rsidR="00093845" w:rsidRDefault="000D779E" w:rsidP="00EC4E29">
      <w:pPr>
        <w:numPr>
          <w:ilvl w:val="0"/>
          <w:numId w:val="9"/>
        </w:numPr>
        <w:tabs>
          <w:tab w:val="left" w:pos="1985"/>
        </w:tabs>
        <w:ind w:hanging="513"/>
        <w:jc w:val="both"/>
      </w:pPr>
      <w:r>
        <w:t>verčiasi filmų gamyba ir</w:t>
      </w:r>
    </w:p>
    <w:p w14:paraId="194B5CEE" w14:textId="77777777" w:rsidR="00093845" w:rsidRDefault="000D779E" w:rsidP="00EC4E29">
      <w:pPr>
        <w:numPr>
          <w:ilvl w:val="0"/>
          <w:numId w:val="9"/>
        </w:numPr>
        <w:tabs>
          <w:tab w:val="left" w:pos="1985"/>
        </w:tabs>
        <w:ind w:hanging="513"/>
        <w:jc w:val="both"/>
      </w:pPr>
      <w:r>
        <w:t>yra atsakingi už kūrybinį, organizacinį, finansinį filmo ar jo dalies gamybos procesą.</w:t>
      </w:r>
    </w:p>
    <w:p w14:paraId="7B38E488" w14:textId="77777777" w:rsidR="00093845" w:rsidRDefault="000D779E">
      <w:pPr>
        <w:ind w:firstLine="567"/>
        <w:jc w:val="both"/>
      </w:pPr>
      <w:r>
        <w:t xml:space="preserve">Fizinių asmenų, kurie pagal GPMĮ yra laikomi nuolatiniais Lietuvos gyventojais, apibrėžimas įtvirtinamas </w:t>
      </w:r>
      <w:hyperlink r:id="rId13" w:history="1">
        <w:r>
          <w:t>GPMĮ</w:t>
        </w:r>
      </w:hyperlink>
      <w:r>
        <w:t xml:space="preserve"> 4 straipsnyje (žr. GPMĮ 4 straipsnio komentarą). Nuolatinės bazės apibrėžimas </w:t>
      </w:r>
      <w:r>
        <w:lastRenderedPageBreak/>
        <w:t xml:space="preserve">įtvirtinamas GPMĮ 2 straipsnio 13 dalyje (žr. GPMĮ įstatymo 2 straipsnio 13 dalies komentarą). Lietuvos vieneto ir nuolatinės buveinės apibrėžimai įtvirtinti PMĮ 2 straipsnio 2 ir 22 dalyse (žr. PMĮ šių dalių komentarus). </w:t>
      </w:r>
    </w:p>
    <w:p w14:paraId="50A43FF3" w14:textId="77777777" w:rsidR="00093845" w:rsidRDefault="000D779E">
      <w:pPr>
        <w:ind w:firstLine="567"/>
        <w:jc w:val="both"/>
      </w:pPr>
      <w:r>
        <w:t>PMĮ 17</w:t>
      </w:r>
      <w:r>
        <w:rPr>
          <w:vertAlign w:val="superscript"/>
        </w:rPr>
        <w:t>2</w:t>
      </w:r>
      <w:r>
        <w:t xml:space="preserve"> ir 46</w:t>
      </w:r>
      <w:r>
        <w:rPr>
          <w:vertAlign w:val="superscript"/>
        </w:rPr>
        <w:t>2</w:t>
      </w:r>
      <w:r>
        <w:t> straipsniuose nustatytos lengvatos gali būti taikomos tik tuomet, kai aukščiau nurodyti asmenys yra laikomi Lietuvos filmo gamintoju neatlygintinų lėšų skyrimo momentu. Asmuo gali būti pripažįstamas Lietuvos filmo gamintoju, nepaisant to, kad:</w:t>
      </w:r>
    </w:p>
    <w:p w14:paraId="48362192" w14:textId="77777777" w:rsidR="00093845" w:rsidRDefault="000D779E" w:rsidP="00EC4E29">
      <w:pPr>
        <w:numPr>
          <w:ilvl w:val="0"/>
          <w:numId w:val="9"/>
        </w:numPr>
        <w:tabs>
          <w:tab w:val="left" w:pos="966"/>
        </w:tabs>
        <w:spacing w:after="0"/>
        <w:ind w:left="0" w:firstLine="567"/>
        <w:jc w:val="both"/>
      </w:pPr>
      <w:r>
        <w:t>jis nėra (netampa) gaminamo filmo autorių ir gretutinių teisių turėtoju ir</w:t>
      </w:r>
    </w:p>
    <w:p w14:paraId="5FB2C524" w14:textId="77777777" w:rsidR="00093845" w:rsidRDefault="000D779E" w:rsidP="00EC4E29">
      <w:pPr>
        <w:numPr>
          <w:ilvl w:val="0"/>
          <w:numId w:val="9"/>
        </w:numPr>
        <w:tabs>
          <w:tab w:val="left" w:pos="966"/>
          <w:tab w:val="left" w:pos="1022"/>
        </w:tabs>
        <w:spacing w:after="0"/>
        <w:ind w:left="0" w:firstLine="567"/>
        <w:jc w:val="both"/>
      </w:pPr>
      <w:r>
        <w:t>tik teikia filmo ar jo dalies gamybos paslaugas, t. y. faktiškai gamina užsakytą filmą ar jo dalį (užsakyto filmo sąvoka apibrėžta Lietuvos Respublikos kultūros ministro 2013 m. gruodžio 17 d. įsakymu Nr. ĮV-865 patvirtinto aprašo 2.7 punkte).</w:t>
      </w:r>
    </w:p>
    <w:p w14:paraId="6841CD84" w14:textId="77777777" w:rsidR="00093845" w:rsidRDefault="000D779E">
      <w:pPr>
        <w:tabs>
          <w:tab w:val="left" w:pos="966"/>
          <w:tab w:val="left" w:pos="1022"/>
        </w:tabs>
        <w:ind w:firstLine="567"/>
        <w:jc w:val="both"/>
      </w:pPr>
      <w:r>
        <w:t xml:space="preserve">Pavyzdys     </w:t>
      </w:r>
    </w:p>
    <w:p w14:paraId="3F76402F"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 xml:space="preserve">Lietuvos filmo gamintojas, kuris nėra (netampa) gaminamo filmo autorių ir gretutinių teisių turėtoju, teikia užsakyto filmo gamybos paslaugas ir yra atsakingas už kūrybinį, organizacinį, finansinį filmo ar jo dalies gamybos procesą. Filmo gamybos sutartyje numatoma, kad filmo gamybos paslaugų kaina užsakovui bus mažinama neatlygintinai iš Investuotojų gautomis lėšomis (iki 20 proc. filmo biudžeto). </w:t>
      </w:r>
    </w:p>
    <w:p w14:paraId="36890EE3"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 xml:space="preserve">Užsakovas neturi padalinio Lietuvoje. Visos reikalingos filmo gamybos paslaugų išlaidos patiriamos Lietuvoje ir įsigyjamos Lietuvos vieneto (filmo gamintojo) vardu užsakovo lėšomis (užsakovas perveda avansą). </w:t>
      </w:r>
    </w:p>
    <w:p w14:paraId="430CDCB4"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Lietuvos filmo gamintojas kiekvieną mėnesį dalimis parduoda filmo gamybos paslaugas užsakovui. Tuo atveju, jeigu Lietuvos filmo gamintojas neatlygintinai gaus iš Investuotojų lėšas, šiomis sumomis bus sumažinta filmo gamybos paslaugų vertė užsakovui.</w:t>
      </w:r>
    </w:p>
    <w:p w14:paraId="5F7BAEBE"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Jeigu filmo ar jo dalies gamybos paslaugų išlaidos atitinka PMĮ 17</w:t>
      </w:r>
      <w:r>
        <w:rPr>
          <w:vertAlign w:val="superscript"/>
        </w:rPr>
        <w:t>2</w:t>
      </w:r>
      <w:r>
        <w:t xml:space="preserve"> straipsnio 1 dalies 1 ir 2 punktų reikalavimus ir ši suma neviršija 20 proc. bendro filmo biudžeto, Investuotojai, neatlygintinai pervedę lėšas tokiam Lietuvos gamintojui gali taikyti PMĮ 17</w:t>
      </w:r>
      <w:r>
        <w:rPr>
          <w:vertAlign w:val="superscript"/>
        </w:rPr>
        <w:t>2</w:t>
      </w:r>
      <w:r>
        <w:t xml:space="preserve"> ir 46</w:t>
      </w:r>
      <w:r>
        <w:rPr>
          <w:vertAlign w:val="superscript"/>
        </w:rPr>
        <w:t>2</w:t>
      </w:r>
      <w:r>
        <w:t xml:space="preserve"> straipsniuose nustatytas lengvatas. </w:t>
      </w:r>
    </w:p>
    <w:p w14:paraId="26EBA88F" w14:textId="77777777" w:rsidR="00093845" w:rsidRDefault="000D779E">
      <w:pPr>
        <w:pStyle w:val="Sraopastraipa"/>
        <w:pBdr>
          <w:top w:val="single" w:sz="4" w:space="2" w:color="auto"/>
          <w:left w:val="single" w:sz="4" w:space="4" w:color="auto"/>
          <w:bottom w:val="single" w:sz="4" w:space="0" w:color="auto"/>
          <w:right w:val="single" w:sz="4" w:space="4" w:color="auto"/>
        </w:pBdr>
        <w:ind w:left="0" w:firstLine="567"/>
        <w:jc w:val="both"/>
      </w:pPr>
      <w:r>
        <w:t>Tuo atveju, jeigu Lietuvos vienetas neprisiima užsakovo kredito rizikos bei rizikos ir atsakomybės už vykdomas filmo gamybos paslaugas, ir pajamomis pripažįsta tik savo tiksliai apibrėžtą uždirbtą pajamų dalį, pelno mokesčio lengvatos, numatytos PMĮ 17</w:t>
      </w:r>
      <w:r>
        <w:rPr>
          <w:vertAlign w:val="superscript"/>
        </w:rPr>
        <w:t>2</w:t>
      </w:r>
      <w:r>
        <w:t xml:space="preserve"> bei 46</w:t>
      </w:r>
      <w:r>
        <w:rPr>
          <w:vertAlign w:val="superscript"/>
        </w:rPr>
        <w:t xml:space="preserve">2 </w:t>
      </w:r>
      <w:r>
        <w:t xml:space="preserve">straipsniuose, taikymo prasme nelaikoma, kad Investuotojai skyrė lėšas Lietuvos vienetui kaip filmo gamintojui filmo ar jo dalies gamybai Lietuvoje. </w:t>
      </w:r>
    </w:p>
    <w:p w14:paraId="39AE4141" w14:textId="77777777" w:rsidR="00093845" w:rsidRDefault="00A914BC">
      <w:pPr>
        <w:ind w:firstLine="720"/>
        <w:jc w:val="both"/>
        <w:rPr>
          <w:bCs/>
          <w:lang w:val="lt-LT"/>
        </w:rPr>
      </w:pPr>
      <w:r>
        <w:rPr>
          <w:bCs/>
          <w:lang w:val="lt-LT"/>
        </w:rPr>
        <w:t xml:space="preserve">   </w:t>
      </w:r>
      <w:r w:rsidR="000D779E">
        <w:rPr>
          <w:bCs/>
          <w:lang w:val="lt-LT"/>
        </w:rPr>
        <w:t>(</w:t>
      </w:r>
      <w:r w:rsidR="00A5401F">
        <w:rPr>
          <w:bCs/>
          <w:lang w:val="lt-LT"/>
        </w:rPr>
        <w:t>P</w:t>
      </w:r>
      <w:r w:rsidR="000D779E">
        <w:rPr>
          <w:bCs/>
          <w:lang w:val="lt-LT"/>
        </w:rPr>
        <w:t>agal 2017-09-12 VMI prie FM raštą Nr. (32.42-31-1E)-RM-28303)</w:t>
      </w:r>
    </w:p>
    <w:p w14:paraId="6D0A2324" w14:textId="77777777" w:rsidR="00C55B5D" w:rsidRDefault="00C55B5D">
      <w:pPr>
        <w:ind w:firstLine="720"/>
        <w:jc w:val="both"/>
        <w:rPr>
          <w:bCs/>
          <w:lang w:val="lt-LT"/>
        </w:rPr>
      </w:pPr>
      <w:r w:rsidRPr="00C55B5D">
        <w:rPr>
          <w:b/>
          <w:bCs/>
          <w:lang w:val="lt-LT"/>
        </w:rPr>
        <w:t>16</w:t>
      </w:r>
      <w:r>
        <w:rPr>
          <w:b/>
          <w:bCs/>
          <w:vertAlign w:val="superscript"/>
          <w:lang w:val="lt-LT"/>
        </w:rPr>
        <w:t>2</w:t>
      </w:r>
      <w:r w:rsidRPr="00546B57">
        <w:rPr>
          <w:b/>
          <w:bCs/>
          <w:lang w:val="lt-LT"/>
        </w:rPr>
        <w:t>. Lietuvos hibridinis subjektas – subjektas, išskyrus kolektyvinio investavimo subjektą, arba darinys, kuriame 50 procentų ar daugiau akcijų (dalių, pajų), balsavimo teisių ar teisių į paskirstytinojo pelno dalį, ar išimtinių teisių jas įsigyti tiesiogiai ar netiesiogiai valdo arba vienas užsienio valstybės rezidentas mokesčių tikslais, kuris pagal užsienio valstybės teisės aktus laikomas atskiru vienetu, tačiau jo pajamos ir sąnaudos pagal šį Įstatymą laikomos kito (kitų) asmens (asmenų) pajamomis ir sąnaudomis, arba keli asocijuoti asmenys, iš kurių bent vienas yra užsienio valstybės rezidentas mokesčių tikslais, kuris pagal užsienio valstybės teisės aktus laikomas atskiru vienetu, tačiau jo pajamos ir sąnaudos pagal šį Įstatymą laikomos kito (kitų) asmens (asmenų) pajamomis ir sąnaudomis.</w:t>
      </w:r>
    </w:p>
    <w:p w14:paraId="38F315B0" w14:textId="77777777" w:rsidR="00C55B5D" w:rsidRPr="00767A1A" w:rsidRDefault="00C55B5D" w:rsidP="00767A1A">
      <w:pPr>
        <w:ind w:firstLine="720"/>
        <w:jc w:val="both"/>
        <w:rPr>
          <w:bCs/>
          <w:i/>
          <w:iCs/>
          <w:lang w:val="lt-LT"/>
        </w:rPr>
      </w:pPr>
      <w:r w:rsidRPr="00767A1A">
        <w:rPr>
          <w:bCs/>
          <w:i/>
          <w:lang w:val="lt-LT"/>
        </w:rPr>
        <w:t xml:space="preserve">   (</w:t>
      </w:r>
      <w:r w:rsidR="00F407C3">
        <w:rPr>
          <w:bCs/>
          <w:i/>
          <w:lang w:val="lt-LT"/>
        </w:rPr>
        <w:t>KEISTA</w:t>
      </w:r>
      <w:r w:rsidRPr="00767A1A">
        <w:rPr>
          <w:bCs/>
          <w:i/>
          <w:lang w:val="lt-LT"/>
        </w:rPr>
        <w:t xml:space="preserve">: </w:t>
      </w:r>
      <w:r w:rsidR="00767A1A" w:rsidRPr="00767A1A">
        <w:rPr>
          <w:bCs/>
          <w:i/>
          <w:iCs/>
          <w:lang w:val="lt-LT"/>
        </w:rPr>
        <w:t xml:space="preserve">2023-06-08 įstatymu Nr.XIV-2038 </w:t>
      </w:r>
      <w:r w:rsidR="00767A1A" w:rsidRPr="0010244B">
        <w:rPr>
          <w:bCs/>
          <w:i/>
          <w:iCs/>
          <w:lang w:val="lt-LT"/>
        </w:rPr>
        <w:t>(nuo 2023</w:t>
      </w:r>
      <w:r w:rsidRPr="0010244B">
        <w:rPr>
          <w:bCs/>
          <w:i/>
          <w:iCs/>
          <w:lang w:val="lt-LT"/>
        </w:rPr>
        <w:t xml:space="preserve"> 0</w:t>
      </w:r>
      <w:r w:rsidR="0010244B" w:rsidRPr="0010244B">
        <w:rPr>
          <w:bCs/>
          <w:i/>
          <w:iCs/>
          <w:lang w:val="lt-LT"/>
        </w:rPr>
        <w:t>6</w:t>
      </w:r>
      <w:r w:rsidRPr="0010244B">
        <w:rPr>
          <w:bCs/>
          <w:i/>
          <w:iCs/>
          <w:lang w:val="lt-LT"/>
        </w:rPr>
        <w:t xml:space="preserve"> </w:t>
      </w:r>
      <w:r w:rsidR="0010244B" w:rsidRPr="0010244B">
        <w:rPr>
          <w:bCs/>
          <w:i/>
          <w:iCs/>
          <w:lang w:val="lt-LT"/>
        </w:rPr>
        <w:t>23</w:t>
      </w:r>
      <w:r w:rsidRPr="0010244B">
        <w:rPr>
          <w:bCs/>
          <w:i/>
          <w:iCs/>
          <w:lang w:val="lt-LT"/>
        </w:rPr>
        <w:t>)</w:t>
      </w:r>
    </w:p>
    <w:p w14:paraId="6093D348" w14:textId="77777777" w:rsidR="00A33F93" w:rsidRDefault="00A33F93" w:rsidP="00A33F93">
      <w:pPr>
        <w:pStyle w:val="Pagrindiniotekstotrauka2"/>
        <w:tabs>
          <w:tab w:val="left" w:pos="720"/>
          <w:tab w:val="left" w:pos="1077"/>
          <w:tab w:val="left" w:pos="1418"/>
        </w:tabs>
        <w:spacing w:line="240" w:lineRule="auto"/>
      </w:pPr>
      <w:r>
        <w:t>Komentaras</w:t>
      </w:r>
    </w:p>
    <w:p w14:paraId="221D62E6" w14:textId="77777777" w:rsidR="00A33F93" w:rsidRDefault="00A33F93" w:rsidP="00A33F93">
      <w:pPr>
        <w:pStyle w:val="tajtip"/>
        <w:rPr>
          <w:iCs/>
        </w:rPr>
      </w:pPr>
      <w:r>
        <w:rPr>
          <w:iCs/>
        </w:rPr>
        <w:tab/>
        <w:t>Komentaras rengiamas</w:t>
      </w:r>
    </w:p>
    <w:p w14:paraId="5C67E10D" w14:textId="77777777" w:rsidR="00093845" w:rsidRDefault="00093845" w:rsidP="00767A1A">
      <w:pPr>
        <w:jc w:val="both"/>
        <w:rPr>
          <w:bCs/>
          <w:lang w:val="lt-LT"/>
        </w:rPr>
      </w:pPr>
    </w:p>
    <w:p w14:paraId="1831A537" w14:textId="77777777" w:rsidR="00093845" w:rsidRDefault="000D779E">
      <w:pPr>
        <w:jc w:val="both"/>
        <w:rPr>
          <w:b/>
          <w:lang w:val="lt-LT"/>
        </w:rPr>
      </w:pPr>
      <w:r>
        <w:rPr>
          <w:b/>
          <w:lang w:val="lt-LT"/>
        </w:rPr>
        <w:lastRenderedPageBreak/>
        <w:t xml:space="preserve">               17. </w:t>
      </w:r>
      <w:r>
        <w:rPr>
          <w:b/>
          <w:bCs/>
          <w:lang w:val="lt-LT"/>
        </w:rPr>
        <w:t>Lietuvos Respublikos teritorija</w:t>
      </w:r>
      <w:r>
        <w:rPr>
          <w:b/>
          <w:lang w:val="lt-LT"/>
        </w:rPr>
        <w:t xml:space="preserve"> –</w:t>
      </w:r>
      <w:r>
        <w:rPr>
          <w:b/>
          <w:sz w:val="22"/>
          <w:szCs w:val="22"/>
          <w:lang w:val="lt-LT"/>
        </w:rPr>
        <w:t xml:space="preserve"> </w:t>
      </w:r>
      <w:r>
        <w:rPr>
          <w:b/>
          <w:lang w:val="lt-LT"/>
        </w:rPr>
        <w:t>Lietuvos Respublikos teritorija ir greta Lietuvos Respublikos teritorinių vandenų esantis plotas, kuriame pagal Lietuvos Respublikos įstatymus ir tarptautinę teisę Lietuvos Respublika turi teisę tyrinėti ir eksploatuoti jūros dugno ir požeminius gamtos išteklius.</w:t>
      </w:r>
    </w:p>
    <w:p w14:paraId="439BDB43" w14:textId="77777777" w:rsidR="00093845" w:rsidRDefault="000D779E">
      <w:pPr>
        <w:ind w:firstLine="720"/>
        <w:jc w:val="both"/>
        <w:rPr>
          <w:b/>
          <w:bCs/>
          <w:lang w:val="lt-LT"/>
        </w:rPr>
      </w:pPr>
      <w:r>
        <w:rPr>
          <w:b/>
          <w:bCs/>
          <w:lang w:val="lt-LT"/>
        </w:rPr>
        <w:t>Komentaras</w:t>
      </w:r>
    </w:p>
    <w:p w14:paraId="4D378097" w14:textId="77777777" w:rsidR="00093845" w:rsidRDefault="000D779E">
      <w:pPr>
        <w:tabs>
          <w:tab w:val="left" w:pos="720"/>
          <w:tab w:val="left" w:pos="1077"/>
          <w:tab w:val="left" w:pos="1418"/>
        </w:tabs>
        <w:ind w:firstLine="720"/>
        <w:jc w:val="both"/>
        <w:rPr>
          <w:lang w:val="lt-LT"/>
        </w:rPr>
      </w:pPr>
      <w:r>
        <w:rPr>
          <w:lang w:val="lt-LT"/>
        </w:rPr>
        <w:t>1.</w:t>
      </w:r>
      <w:r>
        <w:rPr>
          <w:lang w:val="lt-LT"/>
        </w:rPr>
        <w:tab/>
        <w:t>Kiekvienos valstybės teritorijos ribas nustato jos sienos, tarp kurių ta valstybė naudojasi visomis savo suvereniomis teisėmis. Valstybės teritorija apima sausumos teritoriją, vidaus vandenis bei teritorinę jūrą. Savo suverenitetą valstybė taip pat įgyvendina ir virš jos teritorijos esančioje oro erdvėje bei po ja esančiose žemės gelmėse.</w:t>
      </w:r>
    </w:p>
    <w:p w14:paraId="654D063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Sąvoka ,,Lietuvos Respublikos valstybės siena“ apibrėžta Lietuvos Respublikos</w:t>
      </w:r>
      <w:r>
        <w:rPr>
          <w:rFonts w:ascii="Times New Roman" w:hAnsi="Times New Roman"/>
          <w:u w:val="single"/>
        </w:rPr>
        <w:t xml:space="preserve"> </w:t>
      </w:r>
      <w:r w:rsidR="00AB0CD5" w:rsidRPr="009C0219">
        <w:rPr>
          <w:rStyle w:val="Hipersaitas"/>
          <w:rFonts w:ascii="Times New Roman" w:hAnsi="Times New Roman" w:cs="Times New Roman"/>
          <w:b w:val="0"/>
          <w:bCs w:val="0"/>
          <w:kern w:val="0"/>
          <w:lang w:val="lt-LT"/>
        </w:rPr>
        <w:t>valstybės sienos ir jos apsaugos įstatyme</w:t>
      </w:r>
      <w:r>
        <w:rPr>
          <w:rFonts w:ascii="Times New Roman" w:hAnsi="Times New Roman"/>
        </w:rPr>
        <w:t xml:space="preserve">. </w:t>
      </w:r>
      <w:r>
        <w:rPr>
          <w:rFonts w:ascii="Times New Roman" w:hAnsi="Times New Roman"/>
          <w:i/>
        </w:rPr>
        <w:t>Lietuvos Respublikos valstybės siena</w:t>
      </w:r>
      <w:r>
        <w:rPr>
          <w:rFonts w:ascii="Times New Roman" w:hAnsi="Times New Roman"/>
        </w:rPr>
        <w:t xml:space="preserve"> - tai linija ir šia linija einantis vertikalus paviršius, apibrėžiantis Lietuvos Respublikos teritorijos ribas sausumoje, žemės gelmėse, oro erdvėje, vidaus vandenyse, teritorinėje jūroje ir jos gelmėse. Lietuvos Respublikos teritorinė jūra – Lietuvos Respublikos pakrantės 12 jūrmylių pločio Baltijos jūros vandenų juosta, kuri yra sudėtinė Lietuvos Respublikos teritorijos dalis ir kurios ribas su gretimomis valstybėmis nustato Lietuvos Respublikos tarptautinės sutartys ir visuotinai pripažinti tarptautinės teisės principai bei normos.</w:t>
      </w:r>
    </w:p>
    <w:p w14:paraId="56F4FC6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iCs/>
        </w:rPr>
        <w:t>2.</w:t>
      </w:r>
      <w:r>
        <w:rPr>
          <w:rFonts w:ascii="Times New Roman" w:hAnsi="Times New Roman"/>
          <w:iCs/>
        </w:rPr>
        <w:tab/>
      </w:r>
      <w:r>
        <w:rPr>
          <w:rFonts w:ascii="Times New Roman" w:hAnsi="Times New Roman"/>
          <w:i/>
        </w:rPr>
        <w:t>Greta Lietuvos Respublikos teritorinių vandenų esantis plotas, kuriame pagal Lietuvos Respublikos įstatymus ir tarptautinę teisę Lietuvos Respublika turi teisę tyrinėti ir eksploatuoti jūros dugno ir požeminius gamtos išteklius</w:t>
      </w:r>
      <w:r>
        <w:rPr>
          <w:rFonts w:ascii="Times New Roman" w:hAnsi="Times New Roman"/>
        </w:rPr>
        <w:t xml:space="preserve">, nėra Lietuvos Respublikos teritorija, tačiau PMĮ tikslams, remiantis šiame įstatyme pateiktu Lietuvos Respublikos teritorijos apibrėžimu, tokia laikoma. Ši teritorija apima už valstybės teritorinių vandenų ribos esančią Baltijos jūros dalį, kurioje Lietuvos Respublika turi tam tikras suverenias teises, jurisdikciją ir pareigas, nustatytas pagal Lietuvos Respublikos įstatymus ir tarptautinius susitarimus, ir kurios ribas su kaimyninėmis valstybėmis nustato Lietuvos Respublikos tarptautiniai susitarimai. Tai išskirtinė ekonominė zona ir kontinentinis šelfas (kontinento tęsinys po vandeniu), esantys už teritorinės jūros ribų. Šiame plote Lietuvos Respublika turi išimtines teises žvejoti, medžioti jūroje, atlikti jūros mokslinius tyrimus, nustatyti gamtosaugos taisykles, eksploatuoti šio jūros dugno mineralus ir kitus išteklius. </w:t>
      </w:r>
    </w:p>
    <w:p w14:paraId="0F847FCC"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3.</w:t>
      </w:r>
      <w:r>
        <w:rPr>
          <w:rFonts w:ascii="Times New Roman" w:hAnsi="Times New Roman"/>
        </w:rPr>
        <w:tab/>
        <w:t>Lietuvos Respublikos teritorijai taip pat priskiriama Lietuvos Respublikos muitų teritorija, muitinės sandėliai.</w:t>
      </w:r>
    </w:p>
    <w:p w14:paraId="6927704D" w14:textId="77777777" w:rsidR="003312C5" w:rsidRPr="00E962A4" w:rsidRDefault="003312C5" w:rsidP="00F9258A">
      <w:pPr>
        <w:spacing w:line="240" w:lineRule="auto"/>
        <w:ind w:firstLine="720"/>
        <w:jc w:val="both"/>
        <w:rPr>
          <w:rFonts w:eastAsia="Calibri"/>
          <w:b/>
        </w:rPr>
      </w:pPr>
      <w:r w:rsidRPr="00E962A4">
        <w:rPr>
          <w:b/>
          <w:lang w:eastAsia="lt-LT"/>
        </w:rPr>
        <w:t>17</w:t>
      </w:r>
      <w:r w:rsidRPr="00E962A4">
        <w:rPr>
          <w:b/>
          <w:vertAlign w:val="superscript"/>
          <w:lang w:eastAsia="lt-LT"/>
        </w:rPr>
        <w:t>1</w:t>
      </w:r>
      <w:r w:rsidRPr="00E962A4">
        <w:rPr>
          <w:b/>
          <w:lang w:eastAsia="lt-LT"/>
        </w:rPr>
        <w:t xml:space="preserve">. Mokestinės tvarkos neatitikimas – </w:t>
      </w:r>
      <w:r w:rsidRPr="00E962A4">
        <w:rPr>
          <w:rFonts w:eastAsia="Calibri"/>
          <w:b/>
        </w:rPr>
        <w:t xml:space="preserve">situacija, kai dėl skirtingo finansinių priemonių, pagal jas atliktų mokėjimų ar jų perleidimo kvalifikavimo, taip pat vienetų, nuolatinių buveinių ar joms priskiriamų pajamų (sąnaudų) teisinio reglamentavimo ar traktavimo mokesčių tikslais skirtingose valstybėse įvyksta dvigubas mokėjimo sumos atskaitymas – asocijuotų asmenų arba pagal struktūrinį susitarimą atlikto mokėjimo suma atskaitoma iš pajamų dviejose valstybėse arba įvyksta mokėjimo sumos atskaitymas, bet ši suma neįtraukiama į apmokestinamąsias pajamas – vienoje valstybėje mokėjimo suma atskaitoma iš pajamų, o kitoje – neįtraukiama į apmokestinamąsias pajamas. Mokėjimo pagal finansines priemones ar jų perleidimą suma nelaikoma įtraukta į apmokestinamąsias pajamas, jeigu tokiam mokėjimui taikoma bet kokia pelno mokesčio ar jam tapataus mokesčio lengvata vien tik dėl to, kaip tas mokėjimas kvalifikuojamas pagal mokėjimo gavėjo valstybės teisės aktus, išskyrus atvejus, kai mokėjimo gavėjas įtraukia mokėjimo sumą į mokestinio laikotarpio, prasidedančio per 12 mėnesių nuo mokėjimą atlikusio vieneto mokestinio laikotarpio pabaigos, apmokestinamąsias pajamas arba galima pagrįstai tikėtis, kad mokėjimo gavėjas įtrauks mokėjimo sumą į būsimo mokestinio laikotarpio apmokestinamąsias pajamas, o mokėjimo sąlygos yra tokios, dėl kurių susitartų neasocijuoti asmenys. Mokestinės tvarkos neatitikimas, kai mokėjimas nepripažįstamas mokėjimo gavėjo valstybėje, laikomas mokestinės tvarkos neatitikimu tik tiek, kiek to mokėjimo suma atskaitoma iš pajamų, kurios </w:t>
      </w:r>
      <w:r w:rsidRPr="00E962A4">
        <w:rPr>
          <w:b/>
        </w:rPr>
        <w:t>pajamomis nelaikomos</w:t>
      </w:r>
      <w:r w:rsidRPr="00E962A4">
        <w:rPr>
          <w:rFonts w:eastAsia="Calibri"/>
          <w:b/>
        </w:rPr>
        <w:t xml:space="preserve"> mokėjimo gavėjo valstybėje. </w:t>
      </w:r>
      <w:r w:rsidRPr="00E962A4">
        <w:rPr>
          <w:rFonts w:eastAsia="Calibri"/>
          <w:b/>
        </w:rPr>
        <w:lastRenderedPageBreak/>
        <w:t>Lietuvos Respublikos finansų ministras tvirtina mokestinės tvarkos</w:t>
      </w:r>
      <w:r w:rsidR="00E962A4">
        <w:rPr>
          <w:rFonts w:eastAsia="Calibri"/>
          <w:b/>
        </w:rPr>
        <w:t xml:space="preserve"> neatitikimų pavyzdžių aprašą. </w:t>
      </w:r>
    </w:p>
    <w:p w14:paraId="290C26D8" w14:textId="77777777" w:rsidR="003312C5" w:rsidRPr="00BF3794" w:rsidRDefault="00F9258A" w:rsidP="00BF3794">
      <w:pPr>
        <w:shd w:val="clear" w:color="auto" w:fill="FFFFFF"/>
        <w:spacing w:after="0" w:line="240" w:lineRule="auto"/>
        <w:jc w:val="both"/>
        <w:rPr>
          <w:i/>
          <w:iCs/>
          <w:color w:val="000000"/>
          <w:lang w:val="lt-LT" w:eastAsia="lt-LT"/>
        </w:rPr>
      </w:pPr>
      <w:r w:rsidRPr="00BF3794">
        <w:rPr>
          <w:i/>
          <w:iCs/>
          <w:color w:val="000000"/>
          <w:lang w:val="lt-LT" w:eastAsia="lt-LT"/>
        </w:rPr>
        <w:t>(Papildyta</w:t>
      </w:r>
      <w:r w:rsidR="003312C5" w:rsidRPr="00BF3794">
        <w:rPr>
          <w:i/>
          <w:iCs/>
          <w:color w:val="000000"/>
          <w:lang w:val="lt-LT" w:eastAsia="lt-LT"/>
        </w:rPr>
        <w:t>: 2019 12 17 įstatymu Nr. XIII-2694 (nuo 2020 01 01)</w:t>
      </w:r>
    </w:p>
    <w:p w14:paraId="523B0363" w14:textId="77777777" w:rsidR="003312C5" w:rsidRDefault="003312C5" w:rsidP="003312C5">
      <w:pPr>
        <w:shd w:val="clear" w:color="auto" w:fill="FFFFFF"/>
        <w:spacing w:after="0" w:line="240" w:lineRule="auto"/>
        <w:ind w:firstLine="720"/>
        <w:jc w:val="both"/>
        <w:rPr>
          <w:iCs/>
          <w:color w:val="000000"/>
          <w:lang w:val="lt-LT" w:eastAsia="lt-LT"/>
        </w:rPr>
      </w:pPr>
    </w:p>
    <w:p w14:paraId="3CFDBB6A" w14:textId="77777777" w:rsidR="00E962A4" w:rsidRDefault="003312C5" w:rsidP="00F9258A">
      <w:pPr>
        <w:spacing w:line="240" w:lineRule="auto"/>
        <w:ind w:firstLine="720"/>
        <w:jc w:val="both"/>
        <w:rPr>
          <w:b/>
        </w:rPr>
      </w:pPr>
      <w:r w:rsidRPr="00E962A4">
        <w:rPr>
          <w:b/>
          <w:lang w:eastAsia="lt-LT"/>
        </w:rPr>
        <w:t>17</w:t>
      </w:r>
      <w:r w:rsidRPr="00E962A4">
        <w:rPr>
          <w:b/>
          <w:vertAlign w:val="superscript"/>
          <w:lang w:eastAsia="lt-LT"/>
        </w:rPr>
        <w:t>2</w:t>
      </w:r>
      <w:r w:rsidRPr="00E962A4">
        <w:rPr>
          <w:b/>
          <w:lang w:eastAsia="lt-LT"/>
        </w:rPr>
        <w:t xml:space="preserve">. Mokestinės tvarkos neatitikimas dėl </w:t>
      </w:r>
      <w:r w:rsidRPr="00E962A4">
        <w:rPr>
          <w:b/>
          <w:bCs/>
        </w:rPr>
        <w:t xml:space="preserve">finansinės priemonės perleidimo </w:t>
      </w:r>
      <w:r w:rsidRPr="00E962A4">
        <w:rPr>
          <w:b/>
        </w:rPr>
        <w:t>– mokestinės tvarkos neatitikimas, kai dėl finansinės priemonės perleidimo gauta grąža mokesčių tikslais laikoma vienu metu gauta daugiau kaip vienos susitarimo dėl finansin</w:t>
      </w:r>
      <w:r w:rsidR="00E962A4">
        <w:rPr>
          <w:b/>
        </w:rPr>
        <w:t xml:space="preserve">ės priemonės perleidimo šalies. </w:t>
      </w:r>
    </w:p>
    <w:p w14:paraId="6D0BB22A" w14:textId="77777777" w:rsidR="003312C5" w:rsidRPr="00BF3794" w:rsidRDefault="00F9258A" w:rsidP="00BF3794">
      <w:pPr>
        <w:spacing w:line="240" w:lineRule="auto"/>
        <w:jc w:val="both"/>
        <w:rPr>
          <w:i/>
          <w:iCs/>
          <w:color w:val="000000"/>
          <w:lang w:val="lt-LT" w:eastAsia="lt-LT"/>
        </w:rPr>
      </w:pPr>
      <w:r w:rsidRPr="00BF3794">
        <w:rPr>
          <w:i/>
          <w:iCs/>
          <w:color w:val="000000"/>
          <w:lang w:val="lt-LT" w:eastAsia="lt-LT"/>
        </w:rPr>
        <w:t>(Papildyta</w:t>
      </w:r>
      <w:r w:rsidR="003312C5" w:rsidRPr="00BF3794">
        <w:rPr>
          <w:i/>
          <w:iCs/>
          <w:color w:val="000000"/>
          <w:lang w:val="lt-LT" w:eastAsia="lt-LT"/>
        </w:rPr>
        <w:t>: 2019 12 17 įstatymu Nr. XIII-2694 (nuo 2020 01 01)</w:t>
      </w:r>
    </w:p>
    <w:p w14:paraId="74BEDB3B" w14:textId="77777777" w:rsidR="003312C5" w:rsidRDefault="003312C5" w:rsidP="003312C5">
      <w:pPr>
        <w:shd w:val="clear" w:color="auto" w:fill="FFFFFF"/>
        <w:spacing w:after="0" w:line="240" w:lineRule="auto"/>
        <w:ind w:firstLine="720"/>
        <w:jc w:val="both"/>
        <w:rPr>
          <w:iCs/>
          <w:color w:val="000000"/>
          <w:lang w:val="lt-LT" w:eastAsia="lt-LT"/>
        </w:rPr>
      </w:pPr>
    </w:p>
    <w:p w14:paraId="58ED6EE0" w14:textId="77777777" w:rsidR="00093845" w:rsidRDefault="000D779E">
      <w:pPr>
        <w:jc w:val="both"/>
        <w:rPr>
          <w:b/>
          <w:bCs/>
        </w:rPr>
      </w:pPr>
      <w:r>
        <w:rPr>
          <w:b/>
        </w:rPr>
        <w:t xml:space="preserve">          </w:t>
      </w:r>
      <w:r>
        <w:rPr>
          <w:b/>
          <w:bCs/>
        </w:rPr>
        <w:t>18. Moksliniai tyrimai ir eksperimentinė plėtra – kaip  šios  sąvokos apibrėžtos Lietuvos Respublikos mokslo ir studijų įstatyme.</w:t>
      </w:r>
    </w:p>
    <w:p w14:paraId="27C37EBD" w14:textId="77777777" w:rsidR="00093845" w:rsidRDefault="000D779E">
      <w:pPr>
        <w:pStyle w:val="Antrat1"/>
        <w:ind w:firstLine="720"/>
        <w:jc w:val="left"/>
      </w:pPr>
      <w:r>
        <w:t>Komentaras</w:t>
      </w:r>
    </w:p>
    <w:p w14:paraId="11E1D9B3" w14:textId="77777777" w:rsidR="00093845" w:rsidRDefault="000D779E">
      <w:pPr>
        <w:ind w:firstLine="720"/>
        <w:jc w:val="both"/>
        <w:rPr>
          <w:bCs/>
        </w:rPr>
      </w:pPr>
      <w:r>
        <w:rPr>
          <w:bCs/>
        </w:rPr>
        <w:t xml:space="preserve">1. Lietuvos Respublikos </w:t>
      </w:r>
      <w:r w:rsidR="00E77DCE" w:rsidRPr="009C0219">
        <w:rPr>
          <w:rStyle w:val="Hipersaitas"/>
          <w:rFonts w:ascii="Times New Roman" w:hAnsi="Times New Roman" w:cs="Times New Roman"/>
          <w:b w:val="0"/>
          <w:kern w:val="0"/>
        </w:rPr>
        <w:t>mokslo ir studijų įstatymo</w:t>
      </w:r>
      <w:r>
        <w:rPr>
          <w:bCs/>
        </w:rPr>
        <w:t xml:space="preserve"> 4 straipsnyje įtvirtinami tokie </w:t>
      </w:r>
      <w:r>
        <w:rPr>
          <w:bCs/>
          <w:iCs/>
        </w:rPr>
        <w:t>mokslinių tyrimų</w:t>
      </w:r>
      <w:r>
        <w:rPr>
          <w:bCs/>
        </w:rPr>
        <w:t xml:space="preserve"> ir </w:t>
      </w:r>
      <w:r>
        <w:rPr>
          <w:bCs/>
          <w:iCs/>
        </w:rPr>
        <w:t>eksperimentinės plėtros</w:t>
      </w:r>
      <w:r>
        <w:rPr>
          <w:bCs/>
        </w:rPr>
        <w:t xml:space="preserve"> apibrėžimai:</w:t>
      </w:r>
    </w:p>
    <w:p w14:paraId="206974FB" w14:textId="77777777" w:rsidR="00093845" w:rsidRDefault="000D779E">
      <w:pPr>
        <w:ind w:firstLine="720"/>
        <w:jc w:val="both"/>
      </w:pPr>
      <w:r>
        <w:rPr>
          <w:bCs/>
        </w:rPr>
        <w:t>Moksliniai tyrimai ir eksperimentinė (socialinė, kult</w:t>
      </w:r>
      <w:r>
        <w:rPr>
          <w:rStyle w:val="hw"/>
        </w:rPr>
        <w:t>ū</w:t>
      </w:r>
      <w:r>
        <w:rPr>
          <w:bCs/>
        </w:rPr>
        <w:t xml:space="preserve">rinė) plėtra </w:t>
      </w:r>
      <w:r>
        <w:t>– sisteminga kūrybinė gamtos, žmogaus, kultūros ir visuomenės pažinimo veikla ir jos rezultatų panaudojimas.</w:t>
      </w:r>
    </w:p>
    <w:p w14:paraId="08B98991" w14:textId="77777777" w:rsidR="00093845" w:rsidRDefault="000D779E">
      <w:pPr>
        <w:ind w:firstLine="720"/>
        <w:jc w:val="both"/>
        <w:rPr>
          <w:lang w:eastAsia="lt-LT"/>
        </w:rPr>
      </w:pPr>
      <w:r>
        <w:rPr>
          <w:bCs/>
          <w:iCs/>
        </w:rPr>
        <w:t>Moksliniai tyrimai</w:t>
      </w:r>
      <w:r>
        <w:rPr>
          <w:bCs/>
        </w:rPr>
        <w:t xml:space="preserve"> ir eksperimentinė plėtra (toliau – MTEP) a</w:t>
      </w:r>
      <w:r>
        <w:rPr>
          <w:lang w:eastAsia="lt-LT"/>
        </w:rPr>
        <w:t>pima tris veiklos sritis: fundamentinius mokslinius tyrimus, taikomuosius mokslinius tyrimus ir eksperimentinę plėtrą:</w:t>
      </w:r>
    </w:p>
    <w:p w14:paraId="50DF44FC" w14:textId="77777777" w:rsidR="00093845" w:rsidRDefault="000D779E">
      <w:pPr>
        <w:tabs>
          <w:tab w:val="left" w:pos="1080"/>
        </w:tabs>
        <w:ind w:firstLine="720"/>
        <w:jc w:val="both"/>
        <w:rPr>
          <w:bCs/>
        </w:rPr>
      </w:pPr>
      <w:r>
        <w:rPr>
          <w:bCs/>
        </w:rPr>
        <w:t xml:space="preserve">Fundamentiniai moksliniai tyrimai </w:t>
      </w:r>
      <w:r>
        <w:t>– eksperimentiniai ir (arba) teoriniai pažinimo darbai, atliekami siekiant visų pirma įgyti naujų žinių apie reiškinių esmę ir (arba) stebimą tikrovę, tuo metu neturint tikslo konkrečiai panaudoti gautų rezultatų</w:t>
      </w:r>
      <w:r>
        <w:rPr>
          <w:bCs/>
        </w:rPr>
        <w:t>.</w:t>
      </w:r>
      <w:r>
        <w:rPr>
          <w:bCs/>
        </w:rPr>
        <w:tab/>
      </w:r>
    </w:p>
    <w:p w14:paraId="20665210" w14:textId="77777777" w:rsidR="00093845" w:rsidRDefault="000D779E">
      <w:pPr>
        <w:tabs>
          <w:tab w:val="left" w:pos="1080"/>
        </w:tabs>
        <w:ind w:firstLine="720"/>
        <w:jc w:val="both"/>
        <w:rPr>
          <w:bCs/>
        </w:rPr>
      </w:pPr>
      <w:r>
        <w:rPr>
          <w:bCs/>
        </w:rPr>
        <w:t xml:space="preserve">Taikomieji moksliniai tyrimai </w:t>
      </w:r>
      <w:r>
        <w:t xml:space="preserve">– eksperimentiniai ir (arba) teoriniai darbai, atliekami norint gauti naujų žinių ir pirmiausia skiriami specifiniams praktiniams tikslams pasiekti arba uždaviniams spręsti. </w:t>
      </w:r>
    </w:p>
    <w:p w14:paraId="1066F37A" w14:textId="77777777" w:rsidR="00093845" w:rsidRDefault="000D779E">
      <w:pPr>
        <w:ind w:firstLine="720"/>
        <w:jc w:val="both"/>
      </w:pPr>
      <w:r>
        <w:rPr>
          <w:bCs/>
        </w:rPr>
        <w:t>Eksperimentinė (socialinė, kultūrinė) plėtra</w:t>
      </w:r>
      <w:r>
        <w:t xml:space="preserve"> –</w:t>
      </w:r>
      <w:r>
        <w:rPr>
          <w:bCs/>
        </w:rPr>
        <w:t xml:space="preserve"> </w:t>
      </w:r>
      <w:r>
        <w:t>moksliniais tyrimais ir praktine patirtimi sukauptu pažinimu grindžiama sisteminga veikla, kurios tikslas – kurti naujas medžiagas, produktus ir įrenginius, diegti naujus procesus, sistemas ir paslaugas arba iš esmės tobulinti jau sukurtus ar įdiegtus, taip pat kurti, diegti arba iš esmės tobulinti moksliniais tyrimais ir praktine patirtimi sukauptu pažinimu grindžiamus žmogaus, kultūros ir visuomenės problemų sprendinius.</w:t>
      </w:r>
    </w:p>
    <w:p w14:paraId="5897439E" w14:textId="77777777" w:rsidR="005002DC" w:rsidRPr="00BC1AF1" w:rsidRDefault="005002DC" w:rsidP="005002DC">
      <w:pPr>
        <w:pStyle w:val="Antrat3"/>
        <w:rPr>
          <w:b w:val="0"/>
        </w:rPr>
      </w:pPr>
      <w:r w:rsidRPr="00BC1AF1">
        <w:rPr>
          <w:b w:val="0"/>
        </w:rPr>
        <w:t xml:space="preserve">Pagal Lietuvos Respublikos Vyriausybės 2012 m. birželio 6 d. nutarimo Nr. 650 „Dėl rekomenduojamos mokslinių tyrimų ir eksperimentinės plėtros etapų klasifikacijos aprašo patvirtinimo“ nuostatas, ūkio subjektui ar mokesčių administratoriui kilus neaiškumų dėl vykdomos veiklos priskyrimo MTEP, nuo 2022 m. balandžio 1 d. galima kreiptis į </w:t>
      </w:r>
      <w:r w:rsidRPr="00BC1AF1">
        <w:rPr>
          <w:b w:val="0"/>
          <w:color w:val="000000"/>
        </w:rPr>
        <w:t>viešąją įstaigą Inovacijų agentūrą (</w:t>
      </w:r>
      <w:r w:rsidRPr="00BC1AF1">
        <w:rPr>
          <w:b w:val="0"/>
        </w:rPr>
        <w:t>iki 2022 m. kovo 31 d. galima buvo kreiptis į Mokslo, inovacijų ir technologijų agentūrą)</w:t>
      </w:r>
      <w:r w:rsidRPr="00BC1AF1">
        <w:rPr>
          <w:b w:val="0"/>
          <w:color w:val="000000"/>
        </w:rPr>
        <w:t xml:space="preserve">, </w:t>
      </w:r>
      <w:r w:rsidRPr="00BC1AF1">
        <w:rPr>
          <w:b w:val="0"/>
        </w:rPr>
        <w:t>kuri atliks veiklos vertinimą ir pateiks ekspertines išvadas. Tokiu būdu tiek mokesčių administratorius, tiek veiklą vykdantis ūkio subjektas bus užtikrintas, kad atitinkama veikla atitinka MTEP veiklos reikalavimus.</w:t>
      </w:r>
    </w:p>
    <w:p w14:paraId="3E09FC5C" w14:textId="77777777" w:rsidR="00093845" w:rsidRPr="00C75C50" w:rsidRDefault="000D779E">
      <w:pPr>
        <w:ind w:firstLine="720"/>
        <w:jc w:val="both"/>
        <w:rPr>
          <w:bCs/>
        </w:rPr>
      </w:pPr>
      <w:r w:rsidRPr="00C75C50">
        <w:t xml:space="preserve">Nutarime įtvirtinamas rekomendacinis MTEP etapų klasifikacijos aprašas (toliau - Aprašas), detalizuojantis MTEP etapus. Aprašas </w:t>
      </w:r>
      <w:r w:rsidRPr="00C75C50">
        <w:rPr>
          <w:bCs/>
        </w:rPr>
        <w:t>nustato mokslinių tyrimų ir eksperimentinės plėtros etapus nuo žinių įgijimo iki produkto sukūrimo pagal juos atitinkančios veiklos aprašymus ir numatomus veiklos rezultatus.</w:t>
      </w:r>
    </w:p>
    <w:p w14:paraId="202327D8" w14:textId="77777777" w:rsidR="00093845" w:rsidRPr="00C75C50" w:rsidRDefault="000D779E">
      <w:pPr>
        <w:ind w:firstLine="720"/>
        <w:jc w:val="both"/>
        <w:rPr>
          <w:bCs/>
        </w:rPr>
      </w:pPr>
      <w:r w:rsidRPr="00C75C50">
        <w:lastRenderedPageBreak/>
        <w:t xml:space="preserve">Vykdant </w:t>
      </w:r>
      <w:r w:rsidRPr="00C75C50">
        <w:rPr>
          <w:bCs/>
        </w:rPr>
        <w:t>mokslinių tyrimų ir eksperimentinės plėtros</w:t>
      </w:r>
      <w:r w:rsidRPr="00C75C50">
        <w:t xml:space="preserve"> veiklas, atskirų </w:t>
      </w:r>
      <w:r w:rsidRPr="00C75C50">
        <w:rPr>
          <w:bCs/>
        </w:rPr>
        <w:t>mokslinių tyrimų ir eksperimentinės plėtros</w:t>
      </w:r>
      <w:r w:rsidRPr="00C75C50">
        <w:t xml:space="preserve"> etapų trukmė (darbų apimtys, lėšų sąnaudos) nevienoda ir priklauso nuo konkretaus kuriamo produkto (paslaugos). Tam tikrais atvejais (ypač socialinių ir humanitarinių mokslų ir meno srityse) kai kurie etapai (vienas ar keli) gali būti praleidžiami.</w:t>
      </w:r>
    </w:p>
    <w:p w14:paraId="7FBC5BD0" w14:textId="77777777" w:rsidR="00093845" w:rsidRPr="00C75C50" w:rsidRDefault="000D779E">
      <w:pPr>
        <w:ind w:firstLine="720"/>
        <w:jc w:val="both"/>
        <w:rPr>
          <w:bCs/>
        </w:rPr>
      </w:pPr>
      <w:r w:rsidRPr="00C75C50">
        <w:rPr>
          <w:bCs/>
        </w:rPr>
        <w:t>Apraše detalizuojamos sąvokos:</w:t>
      </w:r>
    </w:p>
    <w:p w14:paraId="781B2C4D" w14:textId="77777777" w:rsidR="00093845" w:rsidRPr="00C75C50" w:rsidRDefault="000D779E">
      <w:pPr>
        <w:ind w:firstLine="720"/>
        <w:jc w:val="both"/>
      </w:pPr>
      <w:r w:rsidRPr="00C75C50">
        <w:rPr>
          <w:bCs/>
          <w:i/>
        </w:rPr>
        <w:t>Produktas</w:t>
      </w:r>
      <w:r w:rsidRPr="00C75C50">
        <w:rPr>
          <w:bCs/>
        </w:rPr>
        <w:t xml:space="preserve"> – </w:t>
      </w:r>
      <w:r w:rsidRPr="00C75C50">
        <w:t>moksliniais tyrimais ir praktine patirtimi sukauptu pažinimu</w:t>
      </w:r>
      <w:r w:rsidRPr="00C75C50">
        <w:rPr>
          <w:bCs/>
        </w:rPr>
        <w:t xml:space="preserve"> pagrįsta technologija, medžiaga, įrenginys, veislė, gyvūnų linija, procesas, sistema, paslauga, metodas, meno objektas arba </w:t>
      </w:r>
      <w:r w:rsidRPr="00C75C50">
        <w:t>kultūros ir visuomenės problemų sprendinys.</w:t>
      </w:r>
      <w:r w:rsidRPr="00C75C50">
        <w:rPr>
          <w:bCs/>
        </w:rPr>
        <w:t xml:space="preserve"> </w:t>
      </w:r>
    </w:p>
    <w:p w14:paraId="457F7BFC" w14:textId="77777777" w:rsidR="00093845" w:rsidRPr="00C75C50" w:rsidRDefault="000D779E">
      <w:pPr>
        <w:ind w:firstLine="720"/>
        <w:jc w:val="both"/>
      </w:pPr>
      <w:r w:rsidRPr="00C75C50">
        <w:rPr>
          <w:i/>
        </w:rPr>
        <w:t>Technologija</w:t>
      </w:r>
      <w:r w:rsidRPr="00C75C50">
        <w:t xml:space="preserve"> – įrankių, mechanizmų, techninių priemonių, gebėjimų, sistemų ar organizacinių metodų praktinio pritaikymo būdas, paprastai naudojamas materialiam (medžiaga, įrenginys, veislė, gyvūnų linija), virtualiam (programinė įranga, algoritmai) ar sociokultūriniam (politikos, sporto, mokymo, meno kūrimo, auklėjimo, gydymo, verslo ir panašūs procesai) objektui sukurti. </w:t>
      </w:r>
    </w:p>
    <w:p w14:paraId="46C44FAF" w14:textId="77777777" w:rsidR="00093845" w:rsidRPr="00C75C50" w:rsidRDefault="000D779E">
      <w:pPr>
        <w:ind w:firstLine="720"/>
        <w:jc w:val="both"/>
      </w:pPr>
      <w:r w:rsidRPr="00C75C50">
        <w:t xml:space="preserve">Apraše detalizuoti fundamentinių mokslinių tyrimų, taikomųjų mokslinių tyrimų, eksperimentinės plėtros bei inovacijų atskiri etapai, pateikiamas tokių etapų metu vykdomos veiklos aprašymas. </w:t>
      </w:r>
    </w:p>
    <w:p w14:paraId="7431BDF2" w14:textId="77777777" w:rsidR="00093845" w:rsidRDefault="000D779E">
      <w:pPr>
        <w:ind w:firstLine="720"/>
        <w:jc w:val="both"/>
        <w:rPr>
          <w:bCs/>
          <w:lang w:val="lt-LT"/>
        </w:rPr>
      </w:pPr>
      <w:r>
        <w:rPr>
          <w:bCs/>
          <w:lang w:val="lt-LT"/>
        </w:rPr>
        <w:t>(Pagal 2012-08-23 VMI prie FM raštą Nr. (18.-10-31-1)-R-7152).</w:t>
      </w:r>
    </w:p>
    <w:p w14:paraId="3350D0CB" w14:textId="77777777" w:rsidR="00093845" w:rsidRDefault="000D779E">
      <w:pPr>
        <w:autoSpaceDE w:val="0"/>
        <w:autoSpaceDN w:val="0"/>
        <w:adjustRightInd w:val="0"/>
        <w:ind w:firstLine="720"/>
        <w:jc w:val="both"/>
        <w:rPr>
          <w:lang w:val="fr-FR" w:eastAsia="lt-LT"/>
        </w:rPr>
      </w:pPr>
      <w:r>
        <w:rPr>
          <w:lang w:val="fr-FR"/>
        </w:rPr>
        <w:t>2</w:t>
      </w:r>
      <w:r>
        <w:rPr>
          <w:lang w:val="fr-FR" w:eastAsia="lt-LT"/>
        </w:rPr>
        <w:t xml:space="preserve">. MTEP yra mokslinės ir technologinės veiklos dalis. Be MTEP į mokslinę ir technologinę veiklą įeina mokslinis ir techninis mokymas ir specialistų rengimas bei mokslinės ir technologinės paslaugos. </w:t>
      </w:r>
    </w:p>
    <w:p w14:paraId="3E66DA88" w14:textId="77777777" w:rsidR="00093845" w:rsidRDefault="000D779E">
      <w:pPr>
        <w:autoSpaceDE w:val="0"/>
        <w:autoSpaceDN w:val="0"/>
        <w:adjustRightInd w:val="0"/>
        <w:ind w:firstLine="720"/>
        <w:jc w:val="both"/>
        <w:rPr>
          <w:lang w:val="fr-FR"/>
        </w:rPr>
      </w:pPr>
      <w:r>
        <w:rPr>
          <w:lang w:val="fr-FR" w:eastAsia="lt-LT"/>
        </w:rPr>
        <w:t>3. Pagrindinis kriterijus, pagal kurį MTEP veikla atskiriama nuo su ja susijusių veiklos rūšių, yra tas, kad MTEP būtų apčiuopiamas naujumo elementas bei mokslinio ir (arba) technologinio neapibrėžtumo sprendimas, t.y. kai asmeniui, gerai susipažinusiam su visiems prieinamomis pagrindinėmis žiniomis konkrečioje srityje (ekspertui), problemos sprendimas nėra lengvai matomas. MTEP projektu turi būti siekiama mokslinės ar technologijų pažangos, o šio projekto rezultatas yra reikšmingas ne tik jį iniciavusiam bei vykdžiusiam asmeniui (vienetui).</w:t>
      </w:r>
    </w:p>
    <w:p w14:paraId="0ADA64A2" w14:textId="77777777" w:rsidR="00093845" w:rsidRDefault="000D779E">
      <w:pPr>
        <w:ind w:firstLine="720"/>
        <w:jc w:val="both"/>
        <w:rPr>
          <w:lang w:val="fr-FR"/>
        </w:rPr>
      </w:pPr>
      <w:r>
        <w:rPr>
          <w:lang w:val="fr-FR"/>
        </w:rPr>
        <w:t>Pavyzdys</w:t>
      </w:r>
    </w:p>
    <w:p w14:paraId="77534A6E"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fr-FR"/>
        </w:rPr>
      </w:pPr>
      <w:r>
        <w:rPr>
          <w:lang w:val="fr-FR"/>
        </w:rPr>
        <w:t xml:space="preserve">Vienetas įsigijo naujas pagal technines charakteristikas ir eksploatacines savybes medžiagas ir naują įrenginį joms purkšti ir numato diegti (įeiti į Lietuvos rinką) naują Lietuvoje (bet jau naudojamą kitose Europos šalyse) pastatų apšiltinimo technologiją. Tokia veikla nebus laikoma MTEP, kadangi vienetas nesukūrė naujovių, o tiesiog išplėtė tam tikrų produktų rinkas.  </w:t>
      </w:r>
    </w:p>
    <w:p w14:paraId="515B44E9" w14:textId="77777777" w:rsidR="00093845" w:rsidRDefault="000D779E">
      <w:pPr>
        <w:ind w:firstLine="720"/>
        <w:jc w:val="both"/>
        <w:rPr>
          <w:lang w:val="fr-FR"/>
        </w:rPr>
      </w:pPr>
      <w:r>
        <w:rPr>
          <w:lang w:val="fr-FR"/>
        </w:rPr>
        <w:t>Pagalbiniai kriterijai atskiriant MTEP nuo susijusios mokslinės, technologinės ir pramoninės veiklos gali būti šie (didesnė jų dalis, bet nebūtinai visi, turi būti patenkinti):</w:t>
      </w:r>
    </w:p>
    <w:p w14:paraId="356F8EAA" w14:textId="77777777" w:rsidR="00093845" w:rsidRDefault="000D779E">
      <w:pPr>
        <w:spacing w:after="20"/>
        <w:ind w:firstLine="851"/>
        <w:jc w:val="both"/>
        <w:rPr>
          <w:lang w:val="fr-FR"/>
        </w:rPr>
      </w:pPr>
      <w:r>
        <w:rPr>
          <w:lang w:val="fr-FR"/>
        </w:rPr>
        <w:t>- projektu siekiama išspręsti mokslinę ar technologinę problemą – įgyti naujų žinių apie reiškinių esmę ar stebimą tikrovę, sukurti naują medžiagą, produktą, įrenginį, metodą ar technologiją, arba jau sukurtą iš esmės patobulinti;</w:t>
      </w:r>
    </w:p>
    <w:p w14:paraId="13C0D871" w14:textId="77777777" w:rsidR="00093845" w:rsidRDefault="000D779E">
      <w:pPr>
        <w:spacing w:after="20"/>
        <w:ind w:firstLine="851"/>
        <w:jc w:val="both"/>
        <w:rPr>
          <w:lang w:val="fr-FR"/>
        </w:rPr>
      </w:pPr>
      <w:r>
        <w:rPr>
          <w:lang w:val="fr-FR"/>
        </w:rPr>
        <w:t>- projekte naujai pritaikomos žinios ir technologijos;</w:t>
      </w:r>
    </w:p>
    <w:p w14:paraId="683C21DE" w14:textId="77777777" w:rsidR="00093845" w:rsidRDefault="000D779E">
      <w:pPr>
        <w:spacing w:after="20"/>
        <w:ind w:firstLine="851"/>
        <w:jc w:val="both"/>
        <w:rPr>
          <w:lang w:val="fr-FR"/>
        </w:rPr>
      </w:pPr>
      <w:r>
        <w:rPr>
          <w:lang w:val="fr-FR"/>
        </w:rPr>
        <w:t>- yra didelė tikimybė, kad projekto rezultatai bus naudingi, pritaikomi ir įdomūs ne tik jį vykdančiai organizacijai; tikėtina, kad šie rezultatai bus patentuotini;</w:t>
      </w:r>
    </w:p>
    <w:p w14:paraId="65EC320A" w14:textId="77777777" w:rsidR="00093845" w:rsidRDefault="000D779E">
      <w:pPr>
        <w:spacing w:after="20"/>
        <w:ind w:firstLine="851"/>
        <w:jc w:val="both"/>
        <w:rPr>
          <w:lang w:val="fr-FR"/>
        </w:rPr>
      </w:pPr>
      <w:r>
        <w:rPr>
          <w:lang w:val="fr-FR"/>
        </w:rPr>
        <w:t>- didžioji dauguma projekto vykdytojų yra asmenys, įgiję aukštąjį išsilavinimą, nemaža jų dalis turi mokslo laipsnį ar ilgalaikės darbo MTEP projektuose patirties;</w:t>
      </w:r>
    </w:p>
    <w:p w14:paraId="31489528" w14:textId="77777777" w:rsidR="00093845" w:rsidRDefault="000D779E">
      <w:pPr>
        <w:spacing w:after="20"/>
        <w:ind w:firstLine="851"/>
        <w:jc w:val="both"/>
        <w:rPr>
          <w:lang w:val="fr-FR"/>
        </w:rPr>
      </w:pPr>
      <w:r>
        <w:rPr>
          <w:lang w:val="fr-FR"/>
        </w:rPr>
        <w:t>- projekto vykdymui naudojami visuotinai pripažinti mokslinių tyrimų metodai arba kuriami nauji metodai.</w:t>
      </w:r>
    </w:p>
    <w:p w14:paraId="488EEC1C" w14:textId="77777777" w:rsidR="00093845" w:rsidRDefault="000D779E">
      <w:pPr>
        <w:spacing w:after="20"/>
        <w:ind w:firstLine="720"/>
        <w:jc w:val="both"/>
        <w:rPr>
          <w:lang w:val="fr-FR"/>
        </w:rPr>
      </w:pPr>
      <w:r>
        <w:rPr>
          <w:lang w:val="fr-FR"/>
        </w:rPr>
        <w:lastRenderedPageBreak/>
        <w:t>MTEP neabejotinai priskirtini projektai, pilnai ar dalinai finansuojami nacionalinių ar tarptautinių programų, skirtų MTEP veiklai skatinti. Tas pats pasakytina apie veiklas, kurios yra logiškas neseniai nurodytų būdu finansuotų projektų tęsinys, ir veiklas, kurios tapo tokių projektų prielaida.</w:t>
      </w:r>
    </w:p>
    <w:p w14:paraId="2E04BA13" w14:textId="77777777" w:rsidR="00093845" w:rsidRDefault="000D779E">
      <w:pPr>
        <w:spacing w:after="20"/>
        <w:ind w:firstLine="720"/>
        <w:jc w:val="both"/>
        <w:rPr>
          <w:lang w:val="fr-FR"/>
        </w:rPr>
      </w:pPr>
      <w:r>
        <w:rPr>
          <w:lang w:val="fr-FR" w:eastAsia="lt-LT"/>
        </w:rPr>
        <w:t xml:space="preserve">4. </w:t>
      </w:r>
      <w:r>
        <w:rPr>
          <w:lang w:val="fr-FR"/>
        </w:rPr>
        <w:t>Kartais tam tikra veikla gali būti priskirtina MTEP, jeigu ji vykdoma vienu tikslu, bet yra nepriskirtina MTEP, jeigu yra vykdoma kitu tikslu. Pavyzdžiui,: medicinos srityje įprastas skrodimas, norint nustatyti mirties priežastį, yra medicinos praktika, o ne MTEP; tuo metu specialūs tam tikro mirštamumo tyrimai, siekiant nustatyti šalutinį tam tikro vėžio gydymo būdo poveikį, yra MTEP. Panašiai įprasti tyrimai, tokie kaip gydytojams paskyrus atliekami kraujo ir bakteriologiniai tyrimai, nėra MTEP, o speciali kraujo tyrimų programa pradedant vartoti naują vaistą yra MTEP. Temperatūros arba atmosferos slėgio registravimas kiekvieną dieną yra ne MTEP, o meteorologijos tarnybos veikla arba bendrų duomenų rinkimas, tuo metu naujų temperatūros matavimo metodų tyrimas yra MTEP, kaip ir naujų sistemų ir metodų, skirtų duomenims aiškinti, tyrinėjimas ir tobulinimas. Mechanikos inžinerijos pramonėje atliekama MTEP veikla dažnai yra artimai susijusi (ir painiojama) su projektavimo ir braižybos darbais. Jei kalkuliacijos, projektai, darbo brėžiniai ir eksploatavimo instrukcijos yra sukurti bandomosioms gamykloms ir/ar prototipams įrengti bei eksploatuoti, jie turėtų būti priskirti MTEP. Jei jie atliekami produkcijos standartizavimui parengti, vykdyti ir prižiūrėti (pvz., technologinė įranga staklėms, staklės) arba produktų pardavimui skatinti (pvz., atsarginių dalių pasiūlymai, lankstinukai, katalogai), jie neturėtų būti priskirti MTEP.“.</w:t>
      </w:r>
    </w:p>
    <w:p w14:paraId="066344D2" w14:textId="77777777" w:rsidR="00093845" w:rsidRDefault="000D779E">
      <w:pPr>
        <w:ind w:firstLine="720"/>
        <w:rPr>
          <w:lang w:val="fr-FR"/>
        </w:rPr>
      </w:pPr>
      <w:r>
        <w:rPr>
          <w:lang w:val="fr-FR"/>
        </w:rPr>
        <w:t>5. MTEP paprastai nelaikoma ši veikla:</w:t>
      </w:r>
    </w:p>
    <w:p w14:paraId="2953DE91"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Mokymas ir rengimas. Mokymas ir personalo parengimas, pavyzdžiui, gamtos mokslų, inžinerijos, medicinos, žemės ūkio, socialinių ir humanitarinių mokslų srityse, atliekamas universitetuose ir specialiosiose aukštojo išsilavinimo institucijose, nėra MTEP.</w:t>
      </w:r>
    </w:p>
    <w:p w14:paraId="118E35F3"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 xml:space="preserve">Kita susijusi mokslinė ir technologinė veikla. MTEP nepriskiriama </w:t>
      </w:r>
      <w:r>
        <w:rPr>
          <w:iCs/>
          <w:lang w:val="fr-FR" w:eastAsia="lt-LT"/>
        </w:rPr>
        <w:t xml:space="preserve">mokslo ir techninės informacijos paslaugos, pavyzdžiui, </w:t>
      </w:r>
      <w:r>
        <w:rPr>
          <w:lang w:val="fr-FR" w:eastAsia="lt-LT"/>
        </w:rPr>
        <w:t>mokslinės ir techninės informacijos</w:t>
      </w:r>
      <w:r>
        <w:rPr>
          <w:iCs/>
          <w:lang w:val="fr-FR" w:eastAsia="lt-LT"/>
        </w:rPr>
        <w:t xml:space="preserve"> rinkimas, kodavimas, </w:t>
      </w:r>
      <w:r>
        <w:rPr>
          <w:lang w:val="fr-FR" w:eastAsia="lt-LT"/>
        </w:rPr>
        <w:t xml:space="preserve">klasifikavimas ir skleidimas, analizė, vertinimas, mokslinės ir technologinės literatūros vertimas ir redagavimas, statistiniai tyrimai bei perspektyvų rengimas, kokybės kontrolė, konsultavimo paslaugos. </w:t>
      </w:r>
    </w:p>
    <w:p w14:paraId="17B85384" w14:textId="77777777" w:rsidR="00093845" w:rsidRDefault="000D779E">
      <w:pPr>
        <w:ind w:firstLine="720"/>
        <w:jc w:val="both"/>
        <w:rPr>
          <w:lang w:val="fr-FR" w:eastAsia="lt-LT"/>
        </w:rPr>
      </w:pPr>
      <w:r>
        <w:rPr>
          <w:lang w:val="fr-FR" w:eastAsia="lt-LT"/>
        </w:rPr>
        <w:t>Tačiau kita susijusi mokslinė ir technologinė veikla gali būti priskiriama MTEP tuo atveju, kai ji vykdoma išskirtinai ar pirmiausia MTEP tikslais ir yra MTEP dalis, pavyzdžiui, pirminės ataskaitos apie MTEP metu gautus duomenis rengimas turėtų būti įtrauktas į MTEP veiklą.</w:t>
      </w:r>
    </w:p>
    <w:p w14:paraId="1568B730" w14:textId="77777777" w:rsidR="00093845" w:rsidRDefault="000D779E">
      <w:pPr>
        <w:tabs>
          <w:tab w:val="left" w:pos="1080"/>
        </w:tabs>
        <w:ind w:firstLine="720"/>
        <w:jc w:val="both"/>
        <w:rPr>
          <w:lang w:val="fr-FR" w:eastAsia="lt-LT"/>
        </w:rPr>
      </w:pPr>
      <w:r>
        <w:rPr>
          <w:lang w:val="fr-FR" w:eastAsia="lt-LT"/>
        </w:rPr>
        <w:t xml:space="preserve">Bendrosios paskirties duomenų rinkimas nėra MTEP, pavyzdžiui, įprastinė topografinė kartografija, įprastiniai geologiniai, hidrologiniai, okeanografiniai ir meteorologiniai tyrimai, astronominiai stebėjimai, kitų duomenų apie socialinius ekonominius reiškinius rinkimas. </w:t>
      </w:r>
    </w:p>
    <w:p w14:paraId="6D4863CF" w14:textId="77777777" w:rsidR="00093845" w:rsidRDefault="000D779E">
      <w:pPr>
        <w:tabs>
          <w:tab w:val="left" w:pos="1080"/>
        </w:tabs>
        <w:ind w:firstLine="720"/>
        <w:jc w:val="both"/>
        <w:rPr>
          <w:lang w:val="fr-FR" w:eastAsia="lt-LT"/>
        </w:rPr>
      </w:pPr>
      <w:r>
        <w:rPr>
          <w:lang w:val="fr-FR" w:eastAsia="lt-LT"/>
        </w:rPr>
        <w:t>Duomenys, surinkti išimtinai ar pirmiausia kaip MTEP proceso dalis, yra įtraukiami į MTEP. Tokios pat taisyklės galioja ir duomenų apdorojimui bei aiškinimui. Kai šie duomenys yra specialiai surenkami arba apdorojami MTEP tikslais, šios išlaidos turėtų būti įtrauktos į MTEP skirtas išlaidas; į jas įtraukiamos ir duomenų planavimo, sisteminimo ir kitos išlaidos. Tačiau duomenys, surinkti kitais arba bendrais tikslais, pvz., ketvirtinių duomenų apie nedarbą atranka, neturėtų būti įtraukiami į MTEP, net jeigu jie yra naudojami MTEP. Rinkos tyrimai taip pat neturėtų būti įtraukti į MTEP. R</w:t>
      </w:r>
      <w:r>
        <w:rPr>
          <w:lang w:val="fr-FR"/>
        </w:rPr>
        <w:t>inkos tyrimai, kurie sudaro neatskiriamą vykdomo MTEP projekto dalį, ir kurių metu yra vykdomi kryptingi moksliniai, technologiniai ar panašus tyrinėjimai, turėtų būti priskiriami prie MTEP.</w:t>
      </w:r>
    </w:p>
    <w:p w14:paraId="0D29DEF5" w14:textId="77777777" w:rsidR="00093845" w:rsidRDefault="000D779E">
      <w:pPr>
        <w:tabs>
          <w:tab w:val="left" w:pos="1080"/>
        </w:tabs>
        <w:ind w:firstLine="720"/>
        <w:jc w:val="both"/>
        <w:rPr>
          <w:lang w:val="fr-FR"/>
        </w:rPr>
      </w:pPr>
      <w:r>
        <w:rPr>
          <w:lang w:val="fr-FR" w:eastAsia="lt-LT"/>
        </w:rPr>
        <w:t xml:space="preserve">MTEP taip pat iš esmės nepriskiriama tokios veiklos kaip bandymai, </w:t>
      </w:r>
      <w:r>
        <w:rPr>
          <w:lang w:val="fr-FR"/>
        </w:rPr>
        <w:t>testavimas ir standartizacija; įgyvendinamumo tyrimai, t. y. siūlomų inžinerinių projektų tyrimas panaudojant egzistuojančias technologijas tam, kad būtų gauta papildoma informacija prieš nusprendžiant įdiegti. Tačiau, atkreiptinas dėmesys, jog pačių MTEP projektų įgyvendinamumo tyrimai yra MTEP dalis.</w:t>
      </w:r>
    </w:p>
    <w:p w14:paraId="1A5B2011" w14:textId="77777777" w:rsidR="00093845" w:rsidRDefault="000D779E">
      <w:pPr>
        <w:tabs>
          <w:tab w:val="left" w:pos="1080"/>
        </w:tabs>
        <w:ind w:firstLine="720"/>
        <w:jc w:val="both"/>
        <w:rPr>
          <w:lang w:val="fr-FR"/>
        </w:rPr>
      </w:pPr>
      <w:r>
        <w:rPr>
          <w:lang w:val="fr-FR"/>
        </w:rPr>
        <w:lastRenderedPageBreak/>
        <w:t>Taip pat MTEP yra priskiriami išsamūs bandymai, kurių pagrindu yra atliekamas tolesnis projektavimas bei inžinerija. Jeigu pradinė gamybos fazė nelemia tolesnio projektavimo ir inžinerijos, ji neturėtų būti laikoma MTEP, kadangi pirminis tikslas jau yra ne tolesnis produktų tobulinimas, o gamybos proceso pradžia.</w:t>
      </w:r>
    </w:p>
    <w:p w14:paraId="34E9F575" w14:textId="77777777" w:rsidR="00093845" w:rsidRDefault="000D779E">
      <w:pPr>
        <w:tabs>
          <w:tab w:val="left" w:pos="1080"/>
        </w:tabs>
        <w:ind w:firstLine="720"/>
        <w:jc w:val="both"/>
        <w:rPr>
          <w:lang w:val="fr-FR"/>
        </w:rPr>
      </w:pPr>
      <w:r>
        <w:rPr>
          <w:lang w:val="fr-FR"/>
        </w:rPr>
        <w:t>Bandomųjų gamyklų kūrimas ir veikimas yra MTEP dalis tol, kol pagrindinis tikslas yra įgyti patirties bei rinkti inžinerinius ir kitus duomenis, kurie bus naudojami:</w:t>
      </w:r>
    </w:p>
    <w:p w14:paraId="0E7A55B6" w14:textId="77777777" w:rsidR="00093845" w:rsidRDefault="000D779E" w:rsidP="00EC4E29">
      <w:pPr>
        <w:numPr>
          <w:ilvl w:val="0"/>
          <w:numId w:val="11"/>
        </w:numPr>
        <w:tabs>
          <w:tab w:val="left" w:pos="1080"/>
        </w:tabs>
        <w:spacing w:after="0"/>
        <w:ind w:left="1434" w:hanging="357"/>
        <w:jc w:val="both"/>
      </w:pPr>
      <w:r>
        <w:t>hipotezėms kelti;</w:t>
      </w:r>
    </w:p>
    <w:p w14:paraId="0636D02F" w14:textId="77777777" w:rsidR="00093845" w:rsidRDefault="000D779E" w:rsidP="00EC4E29">
      <w:pPr>
        <w:numPr>
          <w:ilvl w:val="0"/>
          <w:numId w:val="11"/>
        </w:numPr>
        <w:tabs>
          <w:tab w:val="left" w:pos="1080"/>
        </w:tabs>
        <w:spacing w:after="0"/>
        <w:ind w:left="1434" w:hanging="357"/>
        <w:jc w:val="both"/>
      </w:pPr>
      <w:r>
        <w:t>naujų produktų formulėms sudaryti;</w:t>
      </w:r>
    </w:p>
    <w:p w14:paraId="7FDD3CDD" w14:textId="77777777" w:rsidR="00093845" w:rsidRDefault="000D779E" w:rsidP="00EC4E29">
      <w:pPr>
        <w:numPr>
          <w:ilvl w:val="0"/>
          <w:numId w:val="11"/>
        </w:numPr>
        <w:tabs>
          <w:tab w:val="left" w:pos="1080"/>
        </w:tabs>
        <w:spacing w:after="0"/>
        <w:ind w:left="1434" w:hanging="357"/>
        <w:jc w:val="both"/>
      </w:pPr>
      <w:r>
        <w:t>naujų produktų specifikacijoms rengti;</w:t>
      </w:r>
    </w:p>
    <w:p w14:paraId="6574E76A" w14:textId="77777777" w:rsidR="00093845" w:rsidRDefault="000D779E" w:rsidP="00EC4E29">
      <w:pPr>
        <w:numPr>
          <w:ilvl w:val="0"/>
          <w:numId w:val="11"/>
        </w:numPr>
        <w:tabs>
          <w:tab w:val="left" w:pos="1080"/>
        </w:tabs>
        <w:spacing w:after="0"/>
        <w:ind w:left="1434" w:hanging="357"/>
        <w:jc w:val="both"/>
      </w:pPr>
      <w:r>
        <w:t>specialiai įrangai arba konstrukcijoms, reikalingoms naujiems procesams, kurti;</w:t>
      </w:r>
    </w:p>
    <w:p w14:paraId="50DEB489" w14:textId="77777777" w:rsidR="00093845" w:rsidRDefault="000D779E" w:rsidP="00EC4E29">
      <w:pPr>
        <w:numPr>
          <w:ilvl w:val="0"/>
          <w:numId w:val="11"/>
        </w:numPr>
        <w:tabs>
          <w:tab w:val="left" w:pos="1080"/>
        </w:tabs>
        <w:spacing w:after="0"/>
        <w:ind w:left="1434" w:hanging="357"/>
        <w:jc w:val="both"/>
      </w:pPr>
      <w:r>
        <w:t>darbo instrukcijoms ar proceso vadovams rengti.</w:t>
      </w:r>
    </w:p>
    <w:p w14:paraId="0AC0BC3F" w14:textId="77777777" w:rsidR="00093845" w:rsidRDefault="000D779E">
      <w:pPr>
        <w:tabs>
          <w:tab w:val="left" w:pos="1080"/>
        </w:tabs>
        <w:ind w:firstLine="720"/>
        <w:jc w:val="both"/>
      </w:pPr>
      <w:r>
        <w:t>Jeigu, pasibaigus eksperimentinei fazei, bandomoji gamykla tampa normaliai veikiančia komercinės gamybos įmone, jos veikla nebegali būti priskiriama MTEP.</w:t>
      </w:r>
    </w:p>
    <w:p w14:paraId="1F027383" w14:textId="77777777" w:rsidR="00093845" w:rsidRDefault="000D779E">
      <w:pPr>
        <w:tabs>
          <w:tab w:val="left" w:pos="1080"/>
        </w:tabs>
        <w:ind w:firstLine="720"/>
        <w:jc w:val="both"/>
        <w:rPr>
          <w:lang w:val="fr-FR"/>
        </w:rPr>
      </w:pPr>
      <w:r>
        <w:rPr>
          <w:lang w:val="fr-FR"/>
        </w:rPr>
        <w:t xml:space="preserve">MTEP nelaikoma įprastinė programinės įrangos plėtra, visa administracinė bei teisinė veikla, susijusi su patentais ir licencijomis. Pažymėtina, kad patentinė veikla, tiesiogiai susijusi su MTEP, yra MTEP. Įprastinė programinės įrangos kūrimo veikla apima darbą su sisteminiais-specifiniais arba programiniais specifiniais pasikeitimais, kurie buvo viešai prieinami prieš pradedant darbą. Techninės problemos, kurios buvo išspręstos ankstesniuose projektuose, tose pačiose operacinėse sistemose ir kompiuterių architektūroje, taip pat įprasta kompiuterių priežiūra irgi nelaikoma MTEP. </w:t>
      </w:r>
    </w:p>
    <w:p w14:paraId="3C162C07" w14:textId="77777777" w:rsidR="00093845" w:rsidRDefault="000D779E">
      <w:pPr>
        <w:tabs>
          <w:tab w:val="left" w:pos="1080"/>
        </w:tabs>
        <w:ind w:firstLine="720"/>
        <w:jc w:val="both"/>
        <w:rPr>
          <w:lang w:val="fr-FR"/>
        </w:rPr>
      </w:pPr>
      <w:r>
        <w:rPr>
          <w:lang w:val="fr-FR"/>
        </w:rPr>
        <w:t>Toliau pateikiami pavyzdžiai iliustruoja su programine įranga susijusią įprastinę veiklą, kuri nelaikoma MTEP:</w:t>
      </w:r>
    </w:p>
    <w:p w14:paraId="39A3CE4D" w14:textId="77777777" w:rsidR="00093845" w:rsidRDefault="000D779E" w:rsidP="00EC4E29">
      <w:pPr>
        <w:numPr>
          <w:ilvl w:val="0"/>
          <w:numId w:val="12"/>
        </w:numPr>
        <w:tabs>
          <w:tab w:val="left" w:pos="1080"/>
        </w:tabs>
        <w:spacing w:after="0"/>
        <w:ind w:left="1434" w:hanging="357"/>
        <w:jc w:val="both"/>
        <w:rPr>
          <w:lang w:val="fr-FR"/>
        </w:rPr>
      </w:pPr>
      <w:r>
        <w:rPr>
          <w:lang w:val="fr-FR"/>
        </w:rPr>
        <w:t>versle naudojama programinė įranga ir informacinių sistemų kūrimas, taikant žinomus metodus ir turimas programinės įrangos priemones;</w:t>
      </w:r>
    </w:p>
    <w:p w14:paraId="5C2E3DEE" w14:textId="77777777" w:rsidR="00093845" w:rsidRDefault="000D779E" w:rsidP="00EC4E29">
      <w:pPr>
        <w:numPr>
          <w:ilvl w:val="0"/>
          <w:numId w:val="12"/>
        </w:numPr>
        <w:tabs>
          <w:tab w:val="left" w:pos="1080"/>
        </w:tabs>
        <w:spacing w:after="0"/>
        <w:ind w:left="1434" w:hanging="357"/>
        <w:jc w:val="both"/>
      </w:pPr>
      <w:r>
        <w:t>esamų sistemų aptarnavimas;</w:t>
      </w:r>
    </w:p>
    <w:p w14:paraId="750ACB1E" w14:textId="77777777" w:rsidR="00093845" w:rsidRDefault="000D779E" w:rsidP="00EC4E29">
      <w:pPr>
        <w:numPr>
          <w:ilvl w:val="0"/>
          <w:numId w:val="12"/>
        </w:numPr>
        <w:tabs>
          <w:tab w:val="left" w:pos="1080"/>
        </w:tabs>
        <w:spacing w:after="0"/>
        <w:ind w:left="1434" w:hanging="357"/>
        <w:jc w:val="both"/>
        <w:rPr>
          <w:lang w:val="nb-NO"/>
        </w:rPr>
      </w:pPr>
      <w:r>
        <w:rPr>
          <w:lang w:val="nb-NO"/>
        </w:rPr>
        <w:t>kompiuterinių kalbų konvertavimas ir/ar vertimas;</w:t>
      </w:r>
    </w:p>
    <w:p w14:paraId="3A1F412C" w14:textId="77777777" w:rsidR="00093845" w:rsidRDefault="000D779E" w:rsidP="00EC4E29">
      <w:pPr>
        <w:numPr>
          <w:ilvl w:val="0"/>
          <w:numId w:val="12"/>
        </w:numPr>
        <w:tabs>
          <w:tab w:val="left" w:pos="1080"/>
        </w:tabs>
        <w:spacing w:after="0"/>
        <w:ind w:left="1434" w:hanging="357"/>
        <w:jc w:val="both"/>
        <w:rPr>
          <w:lang w:val="fr-FR"/>
        </w:rPr>
      </w:pPr>
      <w:r>
        <w:rPr>
          <w:lang w:val="fr-FR"/>
        </w:rPr>
        <w:t>taikomųjų programų praturtinimas naujomis vartojimo funkcijomis;</w:t>
      </w:r>
    </w:p>
    <w:p w14:paraId="5C1417D0" w14:textId="77777777" w:rsidR="00093845" w:rsidRDefault="000D779E" w:rsidP="00EC4E29">
      <w:pPr>
        <w:numPr>
          <w:ilvl w:val="0"/>
          <w:numId w:val="12"/>
        </w:numPr>
        <w:tabs>
          <w:tab w:val="left" w:pos="1080"/>
        </w:tabs>
        <w:spacing w:after="0"/>
        <w:ind w:left="1434" w:hanging="357"/>
        <w:jc w:val="both"/>
      </w:pPr>
      <w:r>
        <w:t>sistemų klaidų suradimas ir pašalinimas;</w:t>
      </w:r>
    </w:p>
    <w:p w14:paraId="09E276CF" w14:textId="77777777" w:rsidR="00093845" w:rsidRDefault="000D779E" w:rsidP="00EC4E29">
      <w:pPr>
        <w:numPr>
          <w:ilvl w:val="0"/>
          <w:numId w:val="12"/>
        </w:numPr>
        <w:tabs>
          <w:tab w:val="left" w:pos="1080"/>
        </w:tabs>
        <w:spacing w:after="0"/>
        <w:ind w:left="1434" w:hanging="357"/>
        <w:jc w:val="both"/>
      </w:pPr>
      <w:r>
        <w:t>esamos programinės įrangos pritaikymas;</w:t>
      </w:r>
    </w:p>
    <w:p w14:paraId="4FF49A6C" w14:textId="77777777" w:rsidR="00093845" w:rsidRDefault="000D779E" w:rsidP="00EC4E29">
      <w:pPr>
        <w:numPr>
          <w:ilvl w:val="0"/>
          <w:numId w:val="12"/>
        </w:numPr>
        <w:tabs>
          <w:tab w:val="left" w:pos="1080"/>
        </w:tabs>
        <w:spacing w:after="0"/>
        <w:ind w:left="1434" w:hanging="357"/>
        <w:jc w:val="both"/>
      </w:pPr>
      <w:r>
        <w:t>vartotojo dokumentacijos parengimas.</w:t>
      </w:r>
    </w:p>
    <w:p w14:paraId="75D4F60D" w14:textId="77777777" w:rsidR="00093845" w:rsidRDefault="000D779E">
      <w:pPr>
        <w:tabs>
          <w:tab w:val="left" w:pos="1080"/>
        </w:tabs>
        <w:ind w:firstLine="720"/>
        <w:jc w:val="both"/>
      </w:pPr>
      <w:r>
        <w:t>Kad programinės įrangos kūrimo projektas būtų laikomas MTEP, jis turi būti užbaigiamas priklausomai nuo mokslinės ir/ar technologinės pažangos, o projekto tikslu turi būti laikomas sistemingas mokslinės ir/arba technologinės problemos sprendimas. Esamos programos ar sistemos atnaujinimas, papildymas ar pakeitimas gali būti laikomas MTEP, jeigu skatina mokslinę ir/arba technologinę pažangą, pasireiškiančią žinių gausėjimu. Mokslinė ir arba technologinė pažanga programinėje įrangoje gali būti pasiekta net jeigu projektas nėra baigtas, kadangi nesėkmė gali suteikti kompiuterinės programinės įrangos kūrėjams žinių, pavyzdžiui, kad tam tikras būdas yra nesėkmingas.</w:t>
      </w:r>
    </w:p>
    <w:p w14:paraId="05F0423E" w14:textId="77777777" w:rsidR="00093845" w:rsidRDefault="000D779E">
      <w:pPr>
        <w:tabs>
          <w:tab w:val="left" w:pos="1080"/>
        </w:tabs>
        <w:ind w:firstLine="720"/>
        <w:jc w:val="both"/>
      </w:pPr>
      <w:r>
        <w:t>Toliau pateikiami pavyzdžiai iliustruoja su programinės įrangos kūrimu ar plėtra susijusią veiklą, kuri yra laikoma MTEP:</w:t>
      </w:r>
    </w:p>
    <w:p w14:paraId="6D29FF31" w14:textId="77777777" w:rsidR="00093845" w:rsidRDefault="000D779E" w:rsidP="00EC4E29">
      <w:pPr>
        <w:numPr>
          <w:ilvl w:val="0"/>
          <w:numId w:val="13"/>
        </w:numPr>
        <w:tabs>
          <w:tab w:val="left" w:pos="1080"/>
        </w:tabs>
        <w:spacing w:after="0"/>
        <w:ind w:left="1434" w:hanging="357"/>
        <w:jc w:val="both"/>
      </w:pPr>
      <w:r>
        <w:t>tyrimai, padedantys kurti naujas teorinės informatikos teoremas ir algoritmus;</w:t>
      </w:r>
    </w:p>
    <w:p w14:paraId="7F2FDD41" w14:textId="77777777" w:rsidR="00093845" w:rsidRDefault="000D779E" w:rsidP="00EC4E29">
      <w:pPr>
        <w:numPr>
          <w:ilvl w:val="0"/>
          <w:numId w:val="13"/>
        </w:numPr>
        <w:tabs>
          <w:tab w:val="left" w:pos="1080"/>
        </w:tabs>
        <w:spacing w:after="0"/>
        <w:ind w:left="1434" w:hanging="357"/>
        <w:jc w:val="both"/>
      </w:pPr>
      <w:r>
        <w:t>informacinių technologijų plėtra operacinių sistemų, programavimo kalbų, duomenų valdymo, komunikacinės programinės įrangos ir programinės įrangos kūrimo priemonių lygiu;</w:t>
      </w:r>
    </w:p>
    <w:p w14:paraId="6A47FA86" w14:textId="77777777" w:rsidR="00093845" w:rsidRDefault="000D779E" w:rsidP="00EC4E29">
      <w:pPr>
        <w:numPr>
          <w:ilvl w:val="0"/>
          <w:numId w:val="13"/>
        </w:numPr>
        <w:tabs>
          <w:tab w:val="left" w:pos="1080"/>
        </w:tabs>
        <w:spacing w:after="0"/>
        <w:ind w:left="1434" w:hanging="357"/>
        <w:jc w:val="both"/>
      </w:pPr>
      <w:r>
        <w:t>interneto technologijų kūrimas;</w:t>
      </w:r>
    </w:p>
    <w:p w14:paraId="6662E6E1" w14:textId="77777777" w:rsidR="00093845" w:rsidRDefault="000D779E" w:rsidP="00EC4E29">
      <w:pPr>
        <w:numPr>
          <w:ilvl w:val="0"/>
          <w:numId w:val="13"/>
        </w:numPr>
        <w:tabs>
          <w:tab w:val="left" w:pos="1080"/>
        </w:tabs>
        <w:spacing w:after="0"/>
        <w:ind w:left="1434" w:hanging="357"/>
        <w:jc w:val="both"/>
      </w:pPr>
      <w:r>
        <w:t>programinės įrangos projektavimo, tobulinimo, sklaidos ir palaikymo metodų moksliniai tyrimai;</w:t>
      </w:r>
    </w:p>
    <w:p w14:paraId="7B403DC5" w14:textId="77777777" w:rsidR="00093845" w:rsidRDefault="000D779E" w:rsidP="00EC4E29">
      <w:pPr>
        <w:numPr>
          <w:ilvl w:val="0"/>
          <w:numId w:val="13"/>
        </w:numPr>
        <w:tabs>
          <w:tab w:val="left" w:pos="1080"/>
        </w:tabs>
        <w:spacing w:after="0"/>
        <w:ind w:left="1434" w:hanging="357"/>
        <w:jc w:val="both"/>
      </w:pPr>
      <w:r>
        <w:lastRenderedPageBreak/>
        <w:t>programinės įrangos kūrimas, lemiantis pažangą bendrose informacijos kaupimo, perdavimo, saugojimo, atkūrimo, valdymo ar vizualizavimo srityse;</w:t>
      </w:r>
    </w:p>
    <w:p w14:paraId="6A8EAE51" w14:textId="77777777" w:rsidR="00093845" w:rsidRDefault="000D779E" w:rsidP="00EC4E29">
      <w:pPr>
        <w:numPr>
          <w:ilvl w:val="0"/>
          <w:numId w:val="13"/>
        </w:numPr>
        <w:tabs>
          <w:tab w:val="left" w:pos="1080"/>
        </w:tabs>
        <w:spacing w:after="0"/>
        <w:ind w:left="1434" w:hanging="357"/>
        <w:jc w:val="both"/>
      </w:pPr>
      <w:r>
        <w:t>eksperimentinė veikla, siekiant užpildyti programinės įrangos tobulinimo technologijos žinių spragas;</w:t>
      </w:r>
    </w:p>
    <w:p w14:paraId="7EC24E16" w14:textId="77777777" w:rsidR="00093845" w:rsidRDefault="000D779E">
      <w:pPr>
        <w:tabs>
          <w:tab w:val="left" w:pos="1080"/>
        </w:tabs>
        <w:ind w:firstLine="720"/>
        <w:jc w:val="both"/>
      </w:pPr>
      <w:r>
        <w:t>Daugeliu atvejų MTEP pasireiškia per programinę įrangą, kuri yra naujoviška ne techninėmis, o savo funkcinėmis galimybėmis. Naujos taikomosios programinės įrangos kūrimas, esminis operacinių sistemų patobulinimas priklauso MTEP sričiai.</w:t>
      </w:r>
    </w:p>
    <w:p w14:paraId="7F3A9B13" w14:textId="77777777" w:rsidR="00093845" w:rsidRDefault="000D779E" w:rsidP="00EC4E29">
      <w:pPr>
        <w:numPr>
          <w:ilvl w:val="0"/>
          <w:numId w:val="10"/>
        </w:numPr>
        <w:tabs>
          <w:tab w:val="clear" w:pos="720"/>
          <w:tab w:val="left" w:pos="1080"/>
        </w:tabs>
        <w:ind w:left="0" w:firstLine="720"/>
        <w:jc w:val="both"/>
        <w:rPr>
          <w:lang w:val="fr-FR" w:eastAsia="lt-LT"/>
        </w:rPr>
      </w:pPr>
      <w:r>
        <w:rPr>
          <w:lang w:eastAsia="lt-LT"/>
        </w:rPr>
        <w:t xml:space="preserve">Kita pramoninė veikla. MTEP nepriskiriami visi kiti tolesni moksliniai, techniniai, komerciniai ir finansiniai veiklos etapai, būtini naujų arba patobulintų gaminių ar paslaugų įdiegimui bei naujų ar patobulintų procesų komerciniam panaudojimui. Ši veikla apima technologijos įsigijimą, įrengimą ir pramonės inžineriją, niekur kitur nepriskirtą pramoninį projektavimą, kito turto įsigijimą, gamybos paleidimą ir naujų bei patobulintų gaminių rinkodarą. </w:t>
      </w:r>
      <w:r>
        <w:rPr>
          <w:lang w:val="fr-FR" w:eastAsia="lt-LT"/>
        </w:rPr>
        <w:t xml:space="preserve">MTEP taip pat nėra </w:t>
      </w:r>
      <w:r>
        <w:rPr>
          <w:iCs/>
          <w:lang w:val="fr-FR" w:eastAsia="lt-LT"/>
        </w:rPr>
        <w:t>gamyba ir su ja susijusi techninė veikla.</w:t>
      </w:r>
      <w:r>
        <w:rPr>
          <w:i/>
          <w:iCs/>
          <w:lang w:val="fr-FR" w:eastAsia="lt-LT"/>
        </w:rPr>
        <w:t xml:space="preserve"> </w:t>
      </w:r>
      <w:r>
        <w:rPr>
          <w:lang w:val="fr-FR" w:eastAsia="lt-LT"/>
        </w:rPr>
        <w:t>Tokia gamybos bei su ja susijusi techninė veikla apima pramoninę gamybą ir jos ikigamybinę stadiją, prekių ir paslaugų paskirstymą, įvairias giminingas technines paslaugas verslo įmonių sektoriuje ir ekonomikoje apskritai, kartu su gimininga veikla naudojant socialinių mokslų dalykus, pavyzdžiui, rinkos tyrimus.</w:t>
      </w:r>
    </w:p>
    <w:p w14:paraId="065C1620" w14:textId="77777777" w:rsidR="00093845" w:rsidRDefault="000D779E">
      <w:pPr>
        <w:ind w:firstLine="720"/>
        <w:jc w:val="both"/>
        <w:rPr>
          <w:lang w:val="fr-FR" w:eastAsia="lt-LT"/>
        </w:rPr>
      </w:pPr>
      <w:r>
        <w:rPr>
          <w:lang w:val="fr-FR" w:eastAsia="lt-LT"/>
        </w:rPr>
        <w:t xml:space="preserve">Pavyzdžiui, </w:t>
      </w:r>
      <w:r>
        <w:rPr>
          <w:lang w:val="fr-FR"/>
        </w:rPr>
        <w:t xml:space="preserve">prekių dekoravimo, etikečių sukūrimo, dizaino ir panaši </w:t>
      </w:r>
      <w:r>
        <w:rPr>
          <w:lang w:val="fr-FR" w:eastAsia="lt-LT"/>
        </w:rPr>
        <w:t xml:space="preserve">veikla, susijusi </w:t>
      </w:r>
      <w:r>
        <w:rPr>
          <w:lang w:val="fr-FR"/>
        </w:rPr>
        <w:t>prekių įvedimu į rinką, nelaikoma MTEP.</w:t>
      </w:r>
    </w:p>
    <w:p w14:paraId="15C98499" w14:textId="77777777" w:rsidR="00093845" w:rsidRDefault="000D779E" w:rsidP="00EC4E29">
      <w:pPr>
        <w:numPr>
          <w:ilvl w:val="0"/>
          <w:numId w:val="10"/>
        </w:numPr>
        <w:tabs>
          <w:tab w:val="clear" w:pos="720"/>
          <w:tab w:val="left" w:pos="1080"/>
        </w:tabs>
        <w:ind w:left="0" w:firstLine="720"/>
        <w:jc w:val="both"/>
        <w:rPr>
          <w:lang w:val="fr-FR" w:eastAsia="lt-LT"/>
        </w:rPr>
      </w:pPr>
      <w:r>
        <w:rPr>
          <w:lang w:val="fr-FR" w:eastAsia="lt-LT"/>
        </w:rPr>
        <w:t>Administravimas ir kita pagalbinė veikla, kuri nėra vykdoma vien tik MTEP tikslams. Administravimo ir biuro veikla, vykdoma ne vien tik MTEP, pavyzdžiui, centrinių finansų ir personalo departamentų veikla, nelaikoma MTEP.</w:t>
      </w:r>
    </w:p>
    <w:p w14:paraId="6EF0932F" w14:textId="77777777" w:rsidR="00093845" w:rsidRDefault="000D779E">
      <w:pPr>
        <w:autoSpaceDE w:val="0"/>
        <w:autoSpaceDN w:val="0"/>
        <w:adjustRightInd w:val="0"/>
        <w:ind w:firstLine="720"/>
        <w:jc w:val="both"/>
        <w:rPr>
          <w:lang w:val="fr-FR" w:eastAsia="lt-LT"/>
        </w:rPr>
      </w:pPr>
      <w:r>
        <w:rPr>
          <w:lang w:val="fr-FR" w:eastAsia="lt-LT"/>
        </w:rPr>
        <w:t>6. Prototipo(-ų) projektavimas, konstravimas ir bandymas paprastai patenka į MTEP, tačiau iki tol, kol atliekami visi būtini prototipo(-ų) pakeitimai, bandymas užbaigtas sėkmingai, o galutinis MTEP tikslas yra pasiektas. Jeigu prototipas pradedamas eksploatuoti vieneto komercinėje veikloje, tai nebelaikoma MTEP.</w:t>
      </w:r>
    </w:p>
    <w:p w14:paraId="1E4B555B" w14:textId="77777777" w:rsidR="00093845" w:rsidRDefault="002A3139">
      <w:pPr>
        <w:pStyle w:val="Pagrindiniotekstotrauka3"/>
        <w:tabs>
          <w:tab w:val="left" w:pos="720"/>
          <w:tab w:val="left" w:pos="1077"/>
          <w:tab w:val="left" w:pos="1418"/>
        </w:tabs>
        <w:ind w:right="-5"/>
      </w:pPr>
      <w:r>
        <w:t>(P</w:t>
      </w:r>
      <w:r w:rsidR="000D779E">
        <w:t>apildyta  pagal VMI prie FM 2010-02-12 raštą Nr. (18.10-31-1)-R-1439)</w:t>
      </w:r>
    </w:p>
    <w:p w14:paraId="4B165176" w14:textId="77777777" w:rsidR="00093845" w:rsidRDefault="00093845">
      <w:pPr>
        <w:pStyle w:val="Pagrindiniotekstotrauka3"/>
        <w:tabs>
          <w:tab w:val="left" w:pos="720"/>
          <w:tab w:val="left" w:pos="1077"/>
          <w:tab w:val="left" w:pos="1418"/>
        </w:tabs>
        <w:ind w:right="-5"/>
      </w:pPr>
    </w:p>
    <w:p w14:paraId="323FE7B2" w14:textId="77777777" w:rsidR="00093845" w:rsidRPr="0065344A" w:rsidRDefault="000D779E">
      <w:pPr>
        <w:ind w:firstLine="567"/>
        <w:jc w:val="both"/>
        <w:rPr>
          <w:b/>
          <w:lang w:val="lt-LT"/>
        </w:rPr>
      </w:pPr>
      <w:r w:rsidRPr="0065344A">
        <w:rPr>
          <w:b/>
          <w:lang w:val="lt-LT"/>
        </w:rPr>
        <w:t>18</w:t>
      </w:r>
      <w:r w:rsidRPr="0065344A">
        <w:rPr>
          <w:b/>
          <w:vertAlign w:val="superscript"/>
          <w:lang w:val="lt-LT"/>
        </w:rPr>
        <w:t>1</w:t>
      </w:r>
      <w:r w:rsidRPr="0065344A">
        <w:rPr>
          <w:b/>
          <w:lang w:val="lt-LT"/>
        </w:rPr>
        <w:t>. Nauda iš jūrų laivo perleidimo sutarties ar įsigijimo finansavimo sutarties - laivybos vieneto pajamos, gaunamos jūrų laivą perleidžiančiam asmeniui atsisakius visų ar dalies reikalavimų, kylančių iš jūrų laivo perleidimą reglamentuojančios sutarties, arba jūrų laivo įsigijimą finansuojančiai kredito įstaigai atsisakius visų ar dalies reikalavimų, kylančių iš kredito sutarties, įskaitant palūkanas ir kitus mokėjimus, numatytus šioje sutartyje.</w:t>
      </w:r>
    </w:p>
    <w:p w14:paraId="58A86A9C" w14:textId="77777777" w:rsidR="00093845" w:rsidRPr="00BF3794" w:rsidRDefault="000D779E" w:rsidP="00C75C50">
      <w:pPr>
        <w:jc w:val="both"/>
        <w:rPr>
          <w:i/>
          <w:lang w:val="lt-LT"/>
        </w:rPr>
      </w:pPr>
      <w:r w:rsidRPr="00BF3794">
        <w:rPr>
          <w:i/>
          <w:lang w:val="lt-LT"/>
        </w:rPr>
        <w:t>(KEISTA: 2017 06 01 įstatymu Nr. XIII-405 (nuo 2017 06 10), taikoma apskaičiuojant 2017 metais prasidėjusio mokestinio laikotarpio ir vėlesnių mokestinių laikotarpių apmokestinamąjį pelną)</w:t>
      </w:r>
    </w:p>
    <w:p w14:paraId="500EBF6F" w14:textId="77777777" w:rsidR="00093845" w:rsidRPr="008B60DD" w:rsidRDefault="000D779E">
      <w:pPr>
        <w:ind w:firstLine="567"/>
        <w:rPr>
          <w:b/>
          <w:lang w:val="lt-LT"/>
        </w:rPr>
      </w:pPr>
      <w:r w:rsidRPr="008B60DD">
        <w:rPr>
          <w:b/>
          <w:lang w:val="lt-LT"/>
        </w:rPr>
        <w:t>Komentaras</w:t>
      </w:r>
    </w:p>
    <w:p w14:paraId="60D2DA37" w14:textId="77777777" w:rsidR="00093845" w:rsidRPr="008B60DD" w:rsidRDefault="000D779E">
      <w:pPr>
        <w:ind w:firstLine="567"/>
        <w:jc w:val="both"/>
        <w:rPr>
          <w:lang w:val="lt-LT"/>
        </w:rPr>
      </w:pPr>
      <w:r w:rsidRPr="008B60DD">
        <w:rPr>
          <w:lang w:val="lt-LT"/>
        </w:rPr>
        <w:t>Laivybos vieneto pajamoms priskiriama gaunama nauda iš jūrų laivo perleidimo sutarties ar įsigijimo finansavimo sutarties, kuri gaunama:</w:t>
      </w:r>
    </w:p>
    <w:p w14:paraId="140A6878" w14:textId="77777777" w:rsidR="00093845" w:rsidRPr="008B60DD" w:rsidRDefault="000D779E">
      <w:pPr>
        <w:ind w:firstLine="567"/>
        <w:jc w:val="both"/>
        <w:rPr>
          <w:lang w:val="lt-LT"/>
        </w:rPr>
      </w:pPr>
      <w:r w:rsidRPr="008B60DD">
        <w:rPr>
          <w:lang w:val="lt-LT"/>
        </w:rPr>
        <w:t xml:space="preserve"> - jūrų laivą perleidžiančiam asmeniui atsisakius visų ar dalies reikalavimų, kylančių iš jūrų laivo perleidimą reglamentuojančios sutarties, įskaitant palūkanas ir kitus mokėjimus, numatytus šioje sutartyje arba</w:t>
      </w:r>
    </w:p>
    <w:p w14:paraId="6E567A10" w14:textId="77777777" w:rsidR="00093845" w:rsidRPr="008B60DD" w:rsidRDefault="000D779E">
      <w:pPr>
        <w:ind w:firstLine="567"/>
        <w:jc w:val="both"/>
        <w:rPr>
          <w:lang w:val="lt-LT"/>
        </w:rPr>
      </w:pPr>
      <w:r w:rsidRPr="008B60DD">
        <w:rPr>
          <w:lang w:val="lt-LT"/>
        </w:rPr>
        <w:t xml:space="preserve"> - jūrų laivo įsigijimą finansuojančiai kredito įstaigai atsisakius visų ar dalies reikalavimų, kylančių iš kredito sutarties, įskaitant palūkanas ir kitus mokėjimus, numatytus šioje sutartyje.</w:t>
      </w:r>
    </w:p>
    <w:p w14:paraId="0695BA0B" w14:textId="77777777" w:rsidR="00093845" w:rsidRDefault="002A3139">
      <w:pPr>
        <w:rPr>
          <w:sz w:val="22"/>
          <w:szCs w:val="22"/>
          <w:lang w:val="lt-LT"/>
        </w:rPr>
      </w:pPr>
      <w:r w:rsidRPr="008B60DD">
        <w:rPr>
          <w:bCs/>
          <w:lang w:val="lt-LT"/>
        </w:rPr>
        <w:lastRenderedPageBreak/>
        <w:t xml:space="preserve">          </w:t>
      </w:r>
      <w:r>
        <w:rPr>
          <w:bCs/>
        </w:rPr>
        <w:t>(Papildyta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390EDFC9" w14:textId="77777777" w:rsidR="00093845" w:rsidRDefault="00093845">
      <w:pPr>
        <w:pStyle w:val="Pagrindiniotekstotrauka3"/>
        <w:tabs>
          <w:tab w:val="left" w:pos="720"/>
          <w:tab w:val="left" w:pos="1077"/>
          <w:tab w:val="left" w:pos="1418"/>
        </w:tabs>
        <w:ind w:right="-5" w:firstLine="0"/>
      </w:pPr>
    </w:p>
    <w:p w14:paraId="0AABE6CF" w14:textId="77777777" w:rsidR="00093845" w:rsidRPr="0065344A" w:rsidRDefault="000D779E" w:rsidP="00EF49CB">
      <w:pPr>
        <w:spacing w:after="0"/>
        <w:ind w:firstLine="720"/>
        <w:jc w:val="both"/>
        <w:rPr>
          <w:b/>
          <w:lang w:val="lt-LT"/>
        </w:rPr>
      </w:pPr>
      <w:r w:rsidRPr="0065344A">
        <w:rPr>
          <w:b/>
          <w:bCs/>
          <w:lang w:val="lt-LT"/>
        </w:rPr>
        <w:t>19. Neigiama prestižo vertė</w:t>
      </w:r>
      <w:r w:rsidRPr="0065344A">
        <w:rPr>
          <w:b/>
          <w:lang w:val="lt-LT"/>
        </w:rPr>
        <w:t xml:space="preserve"> – dydis, kuriuo, įsigyjant kito vieneto veiklą kaip kompleksą ar jo veiklos dalį kaip teisių ir prievolių visumą, organizaciniu požiūriu sudarančią autonomišką ekonominį vienetą, vykdantį veiklą ir galintį atlikti savo funkcijas savo nuožiūra, arba siekiant valdyti kito vieneto grynąjį turtą ir veiklą, įsigyjant jo akcijas, įsigyjančiojo vieneto pinigais sumokėta kaina yra mažesnė už įsigyto vieneto grynojo turto dalies, įvertintos tikrąja rinkos kaina, vertę. Apskaičiuojant grynąjį turtą neatsižvelgiama į įsigyjamojo vieneto turimą turtą, kuris nebuvo pripažintas jo apskaitoje, nes šis turtas neturėjo reikalingų pripažinimo požymių (pagrįstai nebuvo tikimasi, kad vienetas iš turto gaus ekonominės naudos būsimaisiais laikotarpiais, ir nebuvo galima patikimai nustatyti turto įsigijimo kainos), arba buvo gautas neatlyginamai iš valstybės, savivaldybės ar viešojo juridinio asmens, kurio steigėjas yra valstybės ar savivaldybės institucija, tačiau turi tikrąją rinkos kainą.</w:t>
      </w:r>
    </w:p>
    <w:p w14:paraId="7FC23CEE" w14:textId="77777777" w:rsidR="00EF49CB" w:rsidRPr="0067677F" w:rsidRDefault="00A914BC" w:rsidP="00EF49CB">
      <w:pPr>
        <w:spacing w:after="0"/>
        <w:ind w:firstLine="720"/>
        <w:jc w:val="both"/>
        <w:rPr>
          <w:i/>
          <w:iCs/>
        </w:rPr>
      </w:pPr>
      <w:r>
        <w:rPr>
          <w:i/>
          <w:lang w:val="lt-LT"/>
        </w:rPr>
        <w:t>(T</w:t>
      </w:r>
      <w:r w:rsidR="00EF49CB" w:rsidRPr="0067677F">
        <w:rPr>
          <w:i/>
          <w:lang w:val="lt-LT"/>
        </w:rPr>
        <w:t xml:space="preserve">aikoma apskaičiuojant 2006 metais prasidėjusio mokestinio laikotarpio ir vėlesnių mokestinių laikotarpių apmokestinamąjį pelną pagal </w:t>
      </w:r>
      <w:r w:rsidR="00EF49CB" w:rsidRPr="0067677F">
        <w:rPr>
          <w:i/>
          <w:iCs/>
          <w:lang w:val="lt-LT"/>
        </w:rPr>
        <w:t xml:space="preserve">2007 m. gegužės 3 d. įstatymu Nr. </w:t>
      </w:r>
      <w:r w:rsidR="00EF49CB" w:rsidRPr="0067677F">
        <w:rPr>
          <w:i/>
          <w:iCs/>
        </w:rPr>
        <w:t xml:space="preserve">X-1110 nustatytą PMĮ 2 str. 16 dalies redakciją; 2008 m. liepos 14 d. įstatymu Nr. X-1697 </w:t>
      </w:r>
      <w:r w:rsidR="00EF49CB" w:rsidRPr="0067677F">
        <w:rPr>
          <w:i/>
        </w:rPr>
        <w:t>PMĮ 2 str. 16 dalis pernumeruota į 17 dalį, 2008 m. balandžio 10 d. įstatymu Nr. X-1484 – į 19 dalį)</w:t>
      </w:r>
    </w:p>
    <w:p w14:paraId="59A87D55" w14:textId="77777777" w:rsidR="00EF49CB" w:rsidRPr="0067677F" w:rsidRDefault="00EF49CB">
      <w:pPr>
        <w:ind w:firstLine="720"/>
        <w:jc w:val="both"/>
        <w:rPr>
          <w:b/>
          <w:i/>
        </w:rPr>
      </w:pPr>
    </w:p>
    <w:p w14:paraId="2FDCFDEC" w14:textId="77777777" w:rsidR="00093845" w:rsidRDefault="000D779E">
      <w:pPr>
        <w:pStyle w:val="Antrat1"/>
        <w:ind w:right="339"/>
        <w:jc w:val="left"/>
      </w:pPr>
      <w:r>
        <w:t xml:space="preserve">              Komentaras </w:t>
      </w:r>
    </w:p>
    <w:p w14:paraId="4C060A9E" w14:textId="77777777" w:rsidR="00093845" w:rsidRDefault="000D779E">
      <w:pPr>
        <w:ind w:firstLine="720"/>
        <w:jc w:val="both"/>
        <w:rPr>
          <w:bCs/>
        </w:rPr>
      </w:pPr>
      <w:r>
        <w:t>1. Šioje dalyje apibrėžiami neigiamos prestižo vertės susidarymo atvejai ir jos apskaičiavimo principai. Neigiama prestižo vertė gali susidaryti tais atvejais, kai vienetas</w:t>
      </w:r>
      <w:r>
        <w:rPr>
          <w:bCs/>
        </w:rPr>
        <w:t xml:space="preserve"> įsigyja kito vieneto: </w:t>
      </w:r>
    </w:p>
    <w:p w14:paraId="1ED23EF8" w14:textId="77777777" w:rsidR="00093845" w:rsidRDefault="000D779E">
      <w:pPr>
        <w:ind w:firstLine="720"/>
        <w:jc w:val="both"/>
        <w:rPr>
          <w:bCs/>
        </w:rPr>
      </w:pPr>
      <w:r>
        <w:t xml:space="preserve">- </w:t>
      </w:r>
      <w:r>
        <w:rPr>
          <w:bCs/>
        </w:rPr>
        <w:t xml:space="preserve">veiklą kaip kompleksą ar veiklos dalį kaip teisių ir prievolių visumą, organizaciniu požiūriu sudarančią autonomišką ekonominį vienetą, vykdantį veiklą ir galintį atlikti savo funkcijas savo nuožiūra (toliau vadinama veiklos arba verslo ar jų dalies įsigijimu), </w:t>
      </w:r>
      <w:r>
        <w:rPr>
          <w:b/>
          <w:bCs/>
        </w:rPr>
        <w:t>arba</w:t>
      </w:r>
      <w:r>
        <w:rPr>
          <w:bCs/>
        </w:rPr>
        <w:t xml:space="preserve"> </w:t>
      </w:r>
    </w:p>
    <w:p w14:paraId="02C67555" w14:textId="77777777" w:rsidR="00093845" w:rsidRDefault="000D779E">
      <w:pPr>
        <w:ind w:firstLine="720"/>
        <w:jc w:val="both"/>
      </w:pPr>
      <w:r>
        <w:t>- akcijas, siekdamas valdyti to vieneto grynąjį turtą ir veiklą,</w:t>
      </w:r>
      <w:r>
        <w:rPr>
          <w:b/>
          <w:bCs/>
        </w:rPr>
        <w:t xml:space="preserve"> </w:t>
      </w:r>
      <w:r>
        <w:rPr>
          <w:b/>
        </w:rPr>
        <w:t xml:space="preserve">ir </w:t>
      </w:r>
    </w:p>
    <w:p w14:paraId="128FEB10" w14:textId="77777777" w:rsidR="00093845" w:rsidRDefault="000D779E">
      <w:pPr>
        <w:ind w:firstLine="720"/>
        <w:jc w:val="both"/>
      </w:pPr>
      <w:r>
        <w:t>- už įsigytą verslą ar akcijas sumoka pinigais.</w:t>
      </w:r>
    </w:p>
    <w:p w14:paraId="36398C99" w14:textId="77777777" w:rsidR="00093845" w:rsidRDefault="000D779E">
      <w:pPr>
        <w:ind w:firstLine="720"/>
        <w:jc w:val="both"/>
      </w:pPr>
      <w:r>
        <w:t>2. Verslo (ar verslo dalies) įsigijimu laikomas sandoris, kai įsigyjantysis vienetas, ketindamas tęsti kito vieneto vykdytą veiklą, įsigyja su ta veikla susijusį turtą ir prievoles (įskaitant turtines teises ir įsipareigojimus). Įsigijęs verslą, įsigyjantysis vienetas turi tęsti tą patį verslą, naudodamas įsigytą turtą. Jeigu įsigyjantysis vienetas įsigyto verslo netęsia, komentuojamos dalies nuostatos netaikomos -  toks įsigijimas laikomas turto pirkimo sandoriu ir apmokestinmas pagal bendras PMĮ nuostatas.</w:t>
      </w:r>
    </w:p>
    <w:p w14:paraId="58D39482" w14:textId="77777777" w:rsidR="00093845" w:rsidRDefault="000D779E">
      <w:pPr>
        <w:pStyle w:val="Default"/>
        <w:ind w:firstLine="720"/>
        <w:jc w:val="both"/>
      </w:pPr>
      <w:r>
        <w:t xml:space="preserve">3. Kai sandorio objektas yra akcijos, suteikiančios teisę valdyti kito vieneto grynąjį turtą ir veiklą, </w:t>
      </w:r>
      <w:r>
        <w:rPr>
          <w:bCs/>
          <w:color w:val="auto"/>
        </w:rPr>
        <w:t xml:space="preserve">turtas ir įsipareigojimai įsigyjančiajam vienetui faktiškai neperduodami, bet </w:t>
      </w:r>
      <w:r>
        <w:t xml:space="preserve">įsigyjantysis vienetas įgyja teisę </w:t>
      </w:r>
      <w:r>
        <w:rPr>
          <w:bCs/>
          <w:color w:val="auto"/>
        </w:rPr>
        <w:t xml:space="preserve">valdyti to kito vieneto </w:t>
      </w:r>
      <w:r>
        <w:t xml:space="preserve">grynąjį turtą ir veiklą, </w:t>
      </w:r>
      <w:r>
        <w:rPr>
          <w:bCs/>
          <w:color w:val="auto"/>
        </w:rPr>
        <w:t xml:space="preserve">t.y. daryti lemiamą įtaką kitam vienetui (toliau – vadinama kito vieneto įsigijimu) ir abu vienetai toliau veikia kaip atskiri juridiniai asmenys. Šiuo atveju komentuojamos dalies nuostatos taikomos tik tuo atveju, kai įsigyjančioji bendrovė įsigyja tiek kitos bendrovės akcijų, kad įgyja teisę valdyti jos </w:t>
      </w:r>
      <w:r>
        <w:t>grynąjį turtą ir veiklą.</w:t>
      </w:r>
      <w:r>
        <w:rPr>
          <w:color w:val="auto"/>
        </w:rPr>
        <w:t xml:space="preserve"> Laikoma, kad </w:t>
      </w:r>
      <w:r>
        <w:t xml:space="preserve">įsigyjančioji bendrovė pradeda </w:t>
      </w:r>
      <w:r>
        <w:rPr>
          <w:bCs/>
          <w:color w:val="auto"/>
        </w:rPr>
        <w:t xml:space="preserve">valdyti kitos bendrovės </w:t>
      </w:r>
      <w:r>
        <w:t xml:space="preserve">grynąjį turtą ir veiklą, jeigu ji turi įsigijusi tiek akcijų, kurios suteikia daugiau kaip 50 proc. balsų visuotiniame tos bendrovės akcininkų susirinkime. </w:t>
      </w:r>
    </w:p>
    <w:p w14:paraId="47F531A4" w14:textId="77777777" w:rsidR="00093845" w:rsidRPr="0065344A" w:rsidRDefault="000D779E">
      <w:pPr>
        <w:ind w:firstLine="720"/>
        <w:jc w:val="both"/>
        <w:rPr>
          <w:lang w:val="lt-LT"/>
        </w:rPr>
      </w:pPr>
      <w:r w:rsidRPr="0065344A">
        <w:rPr>
          <w:lang w:val="lt-LT"/>
        </w:rPr>
        <w:t xml:space="preserve">4. Neigiama prestižo vertė apskaičuojama, kai įsigyjant kito vieneto verslą, arba kitą vienetą, įsigyjant jo akcijas, įsigyjančiojo vieneto pinigais sumokėta kaina yra mažesnė už įsigyto verslo grynojo turto ar kito vieneto grynojo turto dalies, įvertintų tikrąja rinkos kaina, vertę. </w:t>
      </w:r>
    </w:p>
    <w:p w14:paraId="247E486E" w14:textId="77777777" w:rsidR="00093845" w:rsidRPr="0065344A" w:rsidRDefault="000D779E">
      <w:pPr>
        <w:ind w:firstLine="720"/>
        <w:jc w:val="both"/>
        <w:rPr>
          <w:lang w:val="lt-LT"/>
        </w:rPr>
      </w:pPr>
      <w:r w:rsidRPr="0065344A">
        <w:rPr>
          <w:lang w:val="lt-LT"/>
        </w:rPr>
        <w:lastRenderedPageBreak/>
        <w:t>Kitaip tariant neigiama prestižo vertė yra pelnas, kurį įsigyjantysis vienetas apskaičiuoja, kai mažiau sumoka už įsigytą verslą ar akcijas. Verslo ar kito vieneto grynojo turto pirkimas pigiau nei rinkos kaina pasitaiko, kai pardavėjas priverstas parduoti turtą, pavyzdžiui, dėl finansinių aplinkybių (lėšų stygiaus).</w:t>
      </w:r>
    </w:p>
    <w:p w14:paraId="1BAD745D" w14:textId="77777777" w:rsidR="00093845" w:rsidRPr="0065344A" w:rsidRDefault="000D779E">
      <w:pPr>
        <w:ind w:firstLine="720"/>
        <w:jc w:val="both"/>
        <w:rPr>
          <w:lang w:val="lt-LT"/>
        </w:rPr>
      </w:pPr>
      <w:r w:rsidRPr="0065344A">
        <w:rPr>
          <w:lang w:val="lt-LT"/>
        </w:rPr>
        <w:t>5. Grynuoju turtu laikomas turtas, kurio vertė yra šioje dalyje nustatytais būdais įsigytų, tikrąja rinkos kaina įvertintų turto ir įsipareigojimų skirtumas. Tikrosios rinkos kainos sąvoka apibrėžta PMĮ 2 str. 37 dalyje (žr. PMĮ 2 str. 37 dalies komentarą).</w:t>
      </w:r>
    </w:p>
    <w:p w14:paraId="6855C370" w14:textId="77777777" w:rsidR="00093845" w:rsidRPr="0065344A" w:rsidRDefault="000D779E">
      <w:pPr>
        <w:ind w:firstLine="720"/>
        <w:jc w:val="both"/>
        <w:rPr>
          <w:lang w:val="lt-LT"/>
        </w:rPr>
      </w:pPr>
      <w:r w:rsidRPr="0065344A">
        <w:rPr>
          <w:lang w:val="lt-LT"/>
        </w:rPr>
        <w:t>6. Neigiama prestižo vertė apskaičuojama verslo ar akcijų, suteikiančių teisę valdyti kito vieneto grynąjį turtą ir veiklą, įsigijimo datą:</w:t>
      </w:r>
    </w:p>
    <w:p w14:paraId="3D378D9C" w14:textId="77777777" w:rsidR="00093845" w:rsidRPr="0065344A" w:rsidRDefault="000D779E">
      <w:pPr>
        <w:ind w:firstLine="720"/>
        <w:jc w:val="both"/>
        <w:rPr>
          <w:lang w:val="lt-LT"/>
        </w:rPr>
      </w:pPr>
      <w:r w:rsidRPr="0065344A">
        <w:rPr>
          <w:lang w:val="lt-LT"/>
        </w:rPr>
        <w:t xml:space="preserve">6.1. Verslą įsigijęs vienetas, turi įvertinti su verslu susijusį identifikuojamą turtą ir (ar) prisiimtus įsipareigojimus tikrąja rinkos kaina verslo įsigijimo datą. </w:t>
      </w:r>
    </w:p>
    <w:p w14:paraId="17405F0F" w14:textId="77777777" w:rsidR="00093845" w:rsidRPr="0065344A" w:rsidRDefault="000D779E">
      <w:pPr>
        <w:ind w:firstLine="720"/>
        <w:jc w:val="both"/>
        <w:rPr>
          <w:lang w:val="lt-LT"/>
        </w:rPr>
      </w:pPr>
      <w:r w:rsidRPr="0065344A">
        <w:rPr>
          <w:lang w:val="lt-LT"/>
        </w:rPr>
        <w:t>Verslo įsigijimo data yra ta data, kurią įsigyjantysis vienetas, ketindamas tęsti įsigytą verslą, iš kito vieneto perėmė su perleidžiamu verslu susijusį turtą ir (ar) įsipareigojimus, t.y., kai peremė su tuo turtu susijusią riziką, naudą ir prievolę vykdyti to vieneto įsipareigojimus, susijusius su įsigyjamu verslu.</w:t>
      </w:r>
    </w:p>
    <w:p w14:paraId="1B8B7D92" w14:textId="77777777" w:rsidR="00093845" w:rsidRPr="0065344A" w:rsidRDefault="000D779E">
      <w:pPr>
        <w:pStyle w:val="HTMLiankstoformatuotas"/>
        <w:tabs>
          <w:tab w:val="clear" w:pos="916"/>
          <w:tab w:val="left" w:pos="720"/>
        </w:tabs>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ab/>
        <w:t>Neigiama prestižo vertė (pelnas) apskaičiuojama kaip neigiamas skirtumas tarp už įsigytą verslą sumokėtos kainos ir šio verslo grynojo turto vertės.</w:t>
      </w:r>
    </w:p>
    <w:p w14:paraId="515D0994" w14:textId="77777777" w:rsidR="00093845" w:rsidRDefault="000D779E">
      <w:pPr>
        <w:pStyle w:val="Default"/>
        <w:ind w:firstLine="720"/>
        <w:jc w:val="both"/>
        <w:rPr>
          <w:color w:val="auto"/>
        </w:rPr>
      </w:pPr>
      <w:r>
        <w:t>6.2. Kai įsigyjantysis vienetas įsigyja tiek akcijų, kad įgyja teisę valdyti įsigyjamo vieneto grynąjį turtą ir veiklą</w:t>
      </w:r>
      <w:r>
        <w:rPr>
          <w:color w:val="auto"/>
        </w:rPr>
        <w:t xml:space="preserve"> (kai įsigytos akcijos visuotiniame akcininkų susirinkime suteikia daugiau kaip 50 proc. balsų)</w:t>
      </w:r>
      <w:r>
        <w:t xml:space="preserve">, </w:t>
      </w:r>
      <w:r>
        <w:rPr>
          <w:color w:val="auto"/>
        </w:rPr>
        <w:t xml:space="preserve">įsigyto vieneto grynasis turtas (turtas ir įsipareigojimai) įvertinamas tikrąja rinkos kaina ir apskaičuojama įsigyjančiajam vienetui (investuotojui) proporcingai įsigytoms akcijoms (nuosavybės daliai) tenkanti įsigyto vieneto grynojo turto dalies vertė. </w:t>
      </w:r>
    </w:p>
    <w:p w14:paraId="79454DCD" w14:textId="77777777" w:rsidR="00093845" w:rsidRPr="0065344A" w:rsidRDefault="000D779E">
      <w:pPr>
        <w:ind w:firstLine="720"/>
        <w:jc w:val="both"/>
        <w:rPr>
          <w:lang w:val="lt-LT"/>
        </w:rPr>
      </w:pPr>
      <w:r w:rsidRPr="0065344A">
        <w:rPr>
          <w:lang w:val="lt-LT"/>
        </w:rPr>
        <w:t xml:space="preserve">Kito vieneto įsigijimo data laikome tą datą, kada įsigijantysis vienetas perima akcijų nuosavybės teisę ir turi teisę valdyti įsigyto vieneto grynąjį turtą ir veiklą (t.y. įsigyja daugiau kaip 50 proc. balso teisę turinčių akcijų visuotiniame akcininkų susirinkime). </w:t>
      </w:r>
    </w:p>
    <w:p w14:paraId="72C6A5E9" w14:textId="77777777" w:rsidR="00093845" w:rsidRDefault="000D779E">
      <w:pPr>
        <w:pStyle w:val="Default"/>
        <w:ind w:firstLine="720"/>
        <w:jc w:val="both"/>
      </w:pPr>
      <w:r>
        <w:t>Apskaičiuojant įsigyjamo vieneto grynąjį turtą, į skaičiavimus neįtraukiamas ir nevertinamas jo turimas turtas, į kurį neturi būti atsižvelgiama komentuojamoje dalyje nustatytais atvejais.</w:t>
      </w:r>
    </w:p>
    <w:p w14:paraId="49D7BFF9" w14:textId="77777777" w:rsidR="00093845" w:rsidRDefault="000D779E">
      <w:pPr>
        <w:pStyle w:val="Default"/>
        <w:ind w:firstLine="720"/>
        <w:jc w:val="both"/>
      </w:pPr>
      <w:r>
        <w:t xml:space="preserve">Jeigu įsigyjančiojo vieneto už kito vieneto akcijas sumokėta kaina yra mažesnė už įsigytai nuosavybės daliai tenkančią grynojo turto vertę, gautas neigiamas skirtumas laikomas neigiama prestižo verte, kuri parodoma kaip pelnas tik konsoliduotose finansinėse ataskaitose.  </w:t>
      </w:r>
    </w:p>
    <w:p w14:paraId="74EC95AF" w14:textId="77777777" w:rsidR="00093845" w:rsidRDefault="00C178E1">
      <w:pPr>
        <w:pStyle w:val="Default"/>
        <w:ind w:firstLine="720"/>
        <w:jc w:val="both"/>
      </w:pPr>
      <w:r>
        <w:t>9</w:t>
      </w:r>
      <w:r w:rsidR="000D779E">
        <w:t>. Apskaičiuojant apmokestinamąjį pelną, verslo ar kito vieneto akcijų įsigijimo datą nustatyta neigiama prestižo vertė (pelnas) įtraukiama į įsigyjančiojo vieneto pajamas PMĮ 7 str. 2 ir 3 dalyse nustatyta tvarka (žr. PMĮ 7 str. 2 ir 3 dalies komentarus).</w:t>
      </w:r>
    </w:p>
    <w:p w14:paraId="33375FCC" w14:textId="77777777" w:rsidR="00093845" w:rsidRDefault="00C178E1">
      <w:pPr>
        <w:pStyle w:val="Pagrindiniotekstotrauka3"/>
        <w:tabs>
          <w:tab w:val="left" w:pos="720"/>
          <w:tab w:val="left" w:pos="1077"/>
          <w:tab w:val="left" w:pos="1418"/>
        </w:tabs>
        <w:ind w:firstLine="0"/>
        <w:rPr>
          <w:rFonts w:ascii="Times New Roman" w:hAnsi="Times New Roman"/>
        </w:rPr>
      </w:pPr>
      <w:r>
        <w:tab/>
      </w:r>
      <w:r w:rsidR="000D779E">
        <w:t>10. Kitos šioje dalyje nepateiktos neigiamos prestižo vertės (pelno) pripažinimo nuostatos taikomos analogiškai kaip ir prestižo vertės pripažinimo nuostatos, paaiškintos PMĮ 2 str. 30 dalies komentare (žr. PMĮ 2 str. 30 dalies komentarą) tiek, kiek neprieštarauja šios dalies nuostatoms.</w:t>
      </w:r>
    </w:p>
    <w:p w14:paraId="6E62ED73" w14:textId="77777777" w:rsidR="00093845" w:rsidRDefault="00A914BC">
      <w:pPr>
        <w:pStyle w:val="Pagrindiniotekstotrauka3"/>
        <w:tabs>
          <w:tab w:val="left" w:pos="720"/>
          <w:tab w:val="left" w:pos="1077"/>
          <w:tab w:val="left" w:pos="1418"/>
        </w:tabs>
        <w:ind w:firstLine="0"/>
        <w:rPr>
          <w:rFonts w:ascii="Times New Roman" w:hAnsi="Times New Roman"/>
        </w:rPr>
      </w:pPr>
      <w:r>
        <w:rPr>
          <w:rFonts w:ascii="Times New Roman" w:hAnsi="Times New Roman"/>
        </w:rPr>
        <w:t xml:space="preserve">              </w:t>
      </w:r>
      <w:r w:rsidR="000D779E">
        <w:rPr>
          <w:rFonts w:ascii="Times New Roman" w:hAnsi="Times New Roman"/>
        </w:rPr>
        <w:t>(P</w:t>
      </w:r>
      <w:r w:rsidR="008B79CD">
        <w:rPr>
          <w:rFonts w:ascii="Times New Roman" w:hAnsi="Times New Roman"/>
        </w:rPr>
        <w:t>apildyta p</w:t>
      </w:r>
      <w:r w:rsidR="000D779E">
        <w:rPr>
          <w:rFonts w:ascii="Times New Roman" w:hAnsi="Times New Roman"/>
        </w:rPr>
        <w:t>agal VMI prie FM 2018-07-18 raštą Nr. (</w:t>
      </w:r>
      <w:r w:rsidR="000D779E">
        <w:rPr>
          <w:rFonts w:ascii="Times New Roman" w:hAnsi="Times New Roman"/>
          <w:color w:val="000000"/>
        </w:rPr>
        <w:t>32.42-31-1E) RM-26011)</w:t>
      </w:r>
    </w:p>
    <w:p w14:paraId="643C3489" w14:textId="77777777" w:rsidR="00093845" w:rsidRDefault="00093845">
      <w:pPr>
        <w:tabs>
          <w:tab w:val="left" w:pos="720"/>
          <w:tab w:val="left" w:pos="1077"/>
          <w:tab w:val="left" w:pos="1418"/>
        </w:tabs>
        <w:ind w:firstLine="720"/>
        <w:jc w:val="both"/>
        <w:rPr>
          <w:lang w:val="lt-LT"/>
        </w:rPr>
      </w:pPr>
    </w:p>
    <w:p w14:paraId="74B84B00" w14:textId="77777777" w:rsidR="00093845" w:rsidRDefault="000D779E">
      <w:pPr>
        <w:jc w:val="both"/>
        <w:rPr>
          <w:b/>
          <w:lang w:val="lt-LT"/>
        </w:rPr>
      </w:pPr>
      <w:r>
        <w:rPr>
          <w:b/>
          <w:lang w:val="lt-LT"/>
        </w:rPr>
        <w:t xml:space="preserve">             20. </w:t>
      </w:r>
      <w:r>
        <w:rPr>
          <w:b/>
          <w:bCs/>
          <w:lang w:val="lt-LT"/>
        </w:rPr>
        <w:t>Nekilnojamasis pagal prigimtį daiktas</w:t>
      </w:r>
      <w:r>
        <w:rPr>
          <w:b/>
          <w:lang w:val="lt-LT"/>
        </w:rPr>
        <w:t xml:space="preserve"> – daiktas, kuris yra nekilnojamas pagal prigimtį, t. y. žemė ar kitas daiktas, kurio negalima perkelti iš vienos vietos į kitą nepakeitus jo paskirties ir iš esmės nesumažinus jo vertės.</w:t>
      </w:r>
    </w:p>
    <w:p w14:paraId="5D223A08" w14:textId="77777777" w:rsidR="00093845" w:rsidRDefault="000D779E">
      <w:pPr>
        <w:ind w:firstLine="720"/>
        <w:jc w:val="both"/>
        <w:rPr>
          <w:b/>
          <w:bCs/>
          <w:lang w:val="lt-LT"/>
        </w:rPr>
      </w:pPr>
      <w:r>
        <w:rPr>
          <w:b/>
          <w:bCs/>
          <w:lang w:val="lt-LT"/>
        </w:rPr>
        <w:lastRenderedPageBreak/>
        <w:t>Komentaras</w:t>
      </w:r>
    </w:p>
    <w:p w14:paraId="051928A4" w14:textId="77777777" w:rsidR="00093845" w:rsidRDefault="000D779E">
      <w:pPr>
        <w:tabs>
          <w:tab w:val="left" w:pos="720"/>
          <w:tab w:val="left" w:pos="1077"/>
          <w:tab w:val="left" w:pos="1418"/>
        </w:tabs>
        <w:ind w:firstLine="720"/>
        <w:jc w:val="both"/>
        <w:rPr>
          <w:lang w:val="lt-LT"/>
        </w:rPr>
      </w:pPr>
      <w:r>
        <w:rPr>
          <w:lang w:val="lt-LT"/>
        </w:rPr>
        <w:t>Lietuvos Respublikos</w:t>
      </w:r>
      <w:r w:rsidRPr="00C75C50">
        <w:rPr>
          <w:lang w:val="lt-LT"/>
        </w:rPr>
        <w:t xml:space="preserve"> </w:t>
      </w:r>
      <w:r w:rsidR="00A86C68" w:rsidRPr="009C0219">
        <w:rPr>
          <w:rStyle w:val="Hipersaitas"/>
          <w:rFonts w:ascii="Times New Roman" w:hAnsi="Times New Roman" w:cs="Times New Roman"/>
          <w:b w:val="0"/>
          <w:bCs w:val="0"/>
          <w:kern w:val="0"/>
          <w:lang w:val="lt-LT"/>
        </w:rPr>
        <w:t>civilinio kodekso</w:t>
      </w:r>
      <w:r>
        <w:rPr>
          <w:lang w:val="lt-LT"/>
        </w:rPr>
        <w:t xml:space="preserve"> 4.2 str. 2 dalyje nustatyta, kad </w:t>
      </w:r>
      <w:r>
        <w:rPr>
          <w:i/>
          <w:lang w:val="lt-LT"/>
        </w:rPr>
        <w:t>nekilnojamieji daiktai pagal prigimtį</w:t>
      </w:r>
      <w:r>
        <w:rPr>
          <w:lang w:val="lt-LT"/>
        </w:rPr>
        <w:t xml:space="preserve"> yra žemės sklypas ir su juo susiję daiktai, kurie negali būti perkeliami iš vienos vietos į kitą nepakeitus jų paskirties ir iš esmės nesumažinus jų vertės.</w:t>
      </w:r>
    </w:p>
    <w:p w14:paraId="3138C5FD" w14:textId="77777777" w:rsidR="00093845" w:rsidRDefault="000D779E">
      <w:pPr>
        <w:tabs>
          <w:tab w:val="left" w:pos="720"/>
          <w:tab w:val="left" w:pos="1077"/>
          <w:tab w:val="left" w:pos="1418"/>
        </w:tabs>
        <w:ind w:firstLine="720"/>
        <w:jc w:val="both"/>
        <w:rPr>
          <w:lang w:val="lt-LT"/>
        </w:rPr>
      </w:pPr>
      <w:r>
        <w:rPr>
          <w:lang w:val="lt-LT"/>
        </w:rPr>
        <w:t xml:space="preserve">Daiktai, kurie iš vienos vietos į kitą gali būti perkelti nepakeitus jų paskirties ir iš esmės nesumažinus jų vertės, laikomi kilnojamaisiais daiktais. Atskiri įstatymai gali pripažinti tokius pagal savo prigimtį kilnojamuosius daiktus nekilnojamaisiais, tačiau tokių daiktų PMĮ vartojama sąvoka „nekilnojamasis pagal prigimtį daiktas“ neapima. Todėl ši sąvoka neapima nei laivų, nei orlaivių. </w:t>
      </w:r>
    </w:p>
    <w:p w14:paraId="6A104D67" w14:textId="77777777" w:rsidR="00093845" w:rsidRDefault="000D779E">
      <w:pPr>
        <w:tabs>
          <w:tab w:val="left" w:pos="720"/>
          <w:tab w:val="left" w:pos="1077"/>
          <w:tab w:val="left" w:pos="1418"/>
        </w:tabs>
        <w:ind w:firstLine="720"/>
        <w:jc w:val="both"/>
        <w:rPr>
          <w:lang w:val="lt-LT"/>
        </w:rPr>
      </w:pPr>
      <w:r>
        <w:rPr>
          <w:lang w:val="lt-LT"/>
        </w:rPr>
        <w:t>Nekilnojamaisiais pagal prigimtį daiktais laikomas nekilnojamasis turtas, registruojamas Lietuvos Respublikos</w:t>
      </w:r>
      <w:r>
        <w:rPr>
          <w:u w:val="single"/>
          <w:lang w:val="lt-LT"/>
        </w:rPr>
        <w:t xml:space="preserve"> nekilnojamojo turto registre</w:t>
      </w:r>
      <w:r>
        <w:rPr>
          <w:lang w:val="lt-LT"/>
        </w:rPr>
        <w:t>.</w:t>
      </w:r>
    </w:p>
    <w:p w14:paraId="0E766819" w14:textId="77777777" w:rsidR="00093845" w:rsidRDefault="000D779E">
      <w:pPr>
        <w:tabs>
          <w:tab w:val="left" w:pos="720"/>
          <w:tab w:val="left" w:pos="1077"/>
          <w:tab w:val="left" w:pos="1418"/>
        </w:tabs>
        <w:ind w:firstLine="720"/>
        <w:jc w:val="both"/>
        <w:rPr>
          <w:lang w:val="lt-LT"/>
        </w:rPr>
      </w:pPr>
      <w:r>
        <w:rPr>
          <w:lang w:val="lt-LT"/>
        </w:rPr>
        <w:t>Nekilnojamaisiais pagal prigimtį daiktais, neatsižvelgiant į tai, ar jiems nustatyta privaloma teisinė registracija, ar ne, laikomi:</w:t>
      </w:r>
    </w:p>
    <w:p w14:paraId="6F844E56" w14:textId="77777777" w:rsidR="00093845" w:rsidRDefault="000D779E" w:rsidP="00EC4E29">
      <w:pPr>
        <w:pStyle w:val="Porat"/>
        <w:numPr>
          <w:ilvl w:val="0"/>
          <w:numId w:val="8"/>
        </w:numPr>
        <w:tabs>
          <w:tab w:val="clear" w:pos="1140"/>
          <w:tab w:val="left" w:pos="720"/>
          <w:tab w:val="left" w:pos="1077"/>
          <w:tab w:val="left" w:pos="1418"/>
        </w:tabs>
        <w:spacing w:line="240" w:lineRule="auto"/>
        <w:ind w:left="0" w:firstLine="720"/>
        <w:rPr>
          <w:rFonts w:ascii="Times New Roman" w:hAnsi="Times New Roman"/>
          <w:lang w:val="lt-LT"/>
        </w:rPr>
      </w:pPr>
      <w:r>
        <w:rPr>
          <w:rFonts w:ascii="Times New Roman" w:hAnsi="Times New Roman"/>
          <w:lang w:val="lt-LT"/>
        </w:rPr>
        <w:t>žemės sklypai – nustatytas ribas turintys sausumos, vandens ar miško plotai,</w:t>
      </w:r>
    </w:p>
    <w:p w14:paraId="41BE2F7B" w14:textId="77777777" w:rsidR="00093845" w:rsidRDefault="000D779E" w:rsidP="00EC4E29">
      <w:pPr>
        <w:pStyle w:val="Porat"/>
        <w:numPr>
          <w:ilvl w:val="0"/>
          <w:numId w:val="8"/>
        </w:numPr>
        <w:tabs>
          <w:tab w:val="clear" w:pos="1140"/>
          <w:tab w:val="left" w:pos="720"/>
          <w:tab w:val="left" w:pos="1077"/>
          <w:tab w:val="left" w:pos="1418"/>
        </w:tabs>
        <w:spacing w:line="240" w:lineRule="auto"/>
        <w:ind w:left="0" w:firstLine="720"/>
        <w:rPr>
          <w:rFonts w:ascii="Times New Roman" w:hAnsi="Times New Roman"/>
          <w:lang w:val="lt-LT"/>
        </w:rPr>
      </w:pPr>
      <w:r>
        <w:rPr>
          <w:rFonts w:ascii="Times New Roman" w:hAnsi="Times New Roman"/>
          <w:lang w:val="lt-LT"/>
        </w:rPr>
        <w:t>įvairūs statiniai (taip pat ir nebaigti statyti) - pastatai, priestatai, tiesiniai (inžineriniai tinklai, keliai ir pan.) ir visa tai, kas statoma (montuojama, tiesiama) ar pastatyta (sumontuota, nutiesta) naudojant statybines medžiagas, statybos gaminius, statybos dirbinius ir yra tvirtai sujungta su žeme,</w:t>
      </w:r>
    </w:p>
    <w:p w14:paraId="38304D70"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gyvenamajame pastate esantys butai arba negyvenamajame pastate įrengtos gyvenamosios patalpos,</w:t>
      </w:r>
    </w:p>
    <w:p w14:paraId="30178DAB"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kitą funkcinę paskirtį (ne gyvenamąją) turinčios patalpos, sudarančios atskirą statinio dalį,</w:t>
      </w:r>
    </w:p>
    <w:p w14:paraId="12A293A5"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įvairūs inžineriniai įrenginiai, kurių funkcijos susijusios su žemės sklypu ar pastatu,</w:t>
      </w:r>
    </w:p>
    <w:p w14:paraId="0206CF1A" w14:textId="77777777" w:rsidR="00093845" w:rsidRDefault="000D779E" w:rsidP="00EC4E29">
      <w:pPr>
        <w:numPr>
          <w:ilvl w:val="0"/>
          <w:numId w:val="8"/>
        </w:numPr>
        <w:tabs>
          <w:tab w:val="clear" w:pos="1140"/>
          <w:tab w:val="left" w:pos="720"/>
          <w:tab w:val="left" w:pos="1077"/>
          <w:tab w:val="left" w:pos="1418"/>
        </w:tabs>
        <w:spacing w:after="0"/>
        <w:ind w:left="0" w:firstLine="720"/>
        <w:jc w:val="both"/>
        <w:rPr>
          <w:lang w:val="lt-LT"/>
        </w:rPr>
      </w:pPr>
      <w:r>
        <w:rPr>
          <w:lang w:val="lt-LT"/>
        </w:rPr>
        <w:t>kita.</w:t>
      </w:r>
    </w:p>
    <w:p w14:paraId="5A43C7B9" w14:textId="77777777" w:rsidR="00093845" w:rsidRDefault="000D779E">
      <w:pPr>
        <w:ind w:firstLine="540"/>
        <w:jc w:val="both"/>
        <w:rPr>
          <w:b/>
          <w:bCs/>
          <w:lang w:val="lt-LT"/>
        </w:rPr>
      </w:pPr>
      <w:r>
        <w:rPr>
          <w:b/>
          <w:bCs/>
          <w:lang w:val="lt-LT"/>
        </w:rPr>
        <w:t>21.</w:t>
      </w:r>
      <w:r>
        <w:rPr>
          <w:bCs/>
          <w:lang w:val="lt-LT"/>
        </w:rPr>
        <w:t xml:space="preserve"> </w:t>
      </w:r>
      <w:r>
        <w:rPr>
          <w:b/>
          <w:lang w:val="lt-LT"/>
        </w:rPr>
        <w:t xml:space="preserve">Nuolatinė bazė </w:t>
      </w:r>
      <w:r>
        <w:rPr>
          <w:b/>
          <w:bCs/>
          <w:lang w:val="lt-LT"/>
        </w:rPr>
        <w:t xml:space="preserve">– kaip ši sąvoka apibrėžta </w:t>
      </w:r>
      <w:r>
        <w:rPr>
          <w:b/>
          <w:lang w:val="lt-LT"/>
        </w:rPr>
        <w:t>Lietuvos Respublikos gyventojų pajamų mokesčio įstatyme.</w:t>
      </w:r>
    </w:p>
    <w:p w14:paraId="7551F5A6" w14:textId="77777777" w:rsidR="00093845" w:rsidRPr="0065344A" w:rsidRDefault="000D779E">
      <w:pPr>
        <w:ind w:firstLine="540"/>
        <w:rPr>
          <w:b/>
          <w:bCs/>
          <w:lang w:val="lt-LT"/>
        </w:rPr>
      </w:pPr>
      <w:r w:rsidRPr="0065344A">
        <w:rPr>
          <w:b/>
          <w:bCs/>
          <w:lang w:val="lt-LT"/>
        </w:rPr>
        <w:t>Komentaras</w:t>
      </w:r>
    </w:p>
    <w:p w14:paraId="6449D24B" w14:textId="77777777" w:rsidR="00093845" w:rsidRPr="0065344A" w:rsidRDefault="000D779E">
      <w:pPr>
        <w:ind w:right="-50" w:firstLine="540"/>
        <w:jc w:val="both"/>
        <w:rPr>
          <w:lang w:val="lt-LT"/>
        </w:rPr>
      </w:pPr>
      <w:r w:rsidRPr="0065344A">
        <w:rPr>
          <w:lang w:val="lt-LT"/>
        </w:rPr>
        <w:t xml:space="preserve">1. Nuolatinės bazės sąvoka apibrėžta Lietuvos Respublikos </w:t>
      </w:r>
      <w:r w:rsidR="009B63B7"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2 str. 13 dalyje. </w:t>
      </w:r>
    </w:p>
    <w:p w14:paraId="7F158426" w14:textId="77777777" w:rsidR="00093845" w:rsidRDefault="000D779E">
      <w:pPr>
        <w:ind w:firstLine="720"/>
        <w:jc w:val="both"/>
        <w:rPr>
          <w:bCs/>
          <w:lang w:val="lt-LT"/>
        </w:rPr>
      </w:pPr>
      <w:r>
        <w:rPr>
          <w:bCs/>
          <w:lang w:val="lt-LT"/>
        </w:rPr>
        <w:t>(</w:t>
      </w:r>
      <w:r w:rsidR="00482DDD">
        <w:rPr>
          <w:bCs/>
          <w:lang w:val="lt-LT"/>
        </w:rPr>
        <w:t xml:space="preserve">Papildyta </w:t>
      </w:r>
      <w:r>
        <w:rPr>
          <w:bCs/>
          <w:lang w:val="lt-LT"/>
        </w:rPr>
        <w:t>pagal 2009-09-08 VMI prie FM raštą Nr. (18.-10-31-1)-R-8626).</w:t>
      </w:r>
    </w:p>
    <w:p w14:paraId="777B9E23" w14:textId="77777777" w:rsidR="00093845" w:rsidRPr="00586CCC" w:rsidRDefault="000D779E" w:rsidP="005C2FAD">
      <w:pPr>
        <w:jc w:val="both"/>
        <w:rPr>
          <w:b/>
          <w:lang w:val="lt-LT"/>
        </w:rPr>
      </w:pPr>
      <w:r>
        <w:rPr>
          <w:b/>
          <w:lang w:val="lt-LT"/>
        </w:rPr>
        <w:t xml:space="preserve">      </w:t>
      </w:r>
      <w:r w:rsidRPr="00586CCC">
        <w:rPr>
          <w:b/>
          <w:lang w:val="lt-LT"/>
        </w:rPr>
        <w:t xml:space="preserve">22. </w:t>
      </w:r>
      <w:r w:rsidR="00586CCC" w:rsidRPr="00586CCC">
        <w:rPr>
          <w:rStyle w:val="PagrindinistekstasDiagrama"/>
          <w:rFonts w:ascii="Times New Roman" w:hAnsi="Times New Roman" w:cs="Times New Roman"/>
          <w:b/>
        </w:rPr>
        <w:t xml:space="preserve">Nuolatinė buveinė - užsienio vieneto veiklos Lietuvos Respublikoje </w:t>
      </w:r>
      <w:r w:rsidR="00586CCC" w:rsidRPr="00586CCC">
        <w:rPr>
          <w:rStyle w:val="PagrindinistekstasDiagrama"/>
          <w:rFonts w:ascii="Times New Roman" w:hAnsi="Times New Roman" w:cs="Times New Roman"/>
          <w:b/>
          <w:bCs/>
        </w:rPr>
        <w:t xml:space="preserve">arba Lietuvos vieneto veiklos užsienio valstybėje vieta, įskaitant veiklos vykdymą visoje arba tam tikroje atitinkamos valstybės teritorijoje. </w:t>
      </w:r>
      <w:r w:rsidR="00586CCC" w:rsidRPr="00586CCC">
        <w:rPr>
          <w:rStyle w:val="PagrindinistekstasDiagrama"/>
          <w:rFonts w:ascii="Times New Roman" w:hAnsi="Times New Roman" w:cs="Times New Roman"/>
          <w:b/>
        </w:rPr>
        <w:t>Užsienio vienetas laikomas veikiančiu per nuolatinę buveinę Lietuvos Respublikos teritorijoje, jeigu jis Lietuvos Respublikoje nuolat vykdo veiklą arba vykdo savo veiklą per priklausomą atstovą (agentą);</w:t>
      </w:r>
      <w:r w:rsidR="00586CCC" w:rsidRPr="00586CCC">
        <w:rPr>
          <w:rStyle w:val="PagrindinistekstasDiagrama"/>
          <w:rFonts w:ascii="Times New Roman" w:hAnsi="Times New Roman" w:cs="Times New Roman"/>
          <w:b/>
          <w:bCs/>
        </w:rPr>
        <w:t xml:space="preserve">, </w:t>
      </w:r>
      <w:r w:rsidR="00586CCC" w:rsidRPr="00586CCC">
        <w:rPr>
          <w:rStyle w:val="PagrindinistekstasDiagrama"/>
          <w:rFonts w:ascii="Times New Roman" w:hAnsi="Times New Roman" w:cs="Times New Roman"/>
          <w:b/>
        </w:rPr>
        <w:t>arba naudoja statybos teritoriją, statybos, surinkimo ar įrangos objektą</w:t>
      </w:r>
      <w:r w:rsidR="00586CCC" w:rsidRPr="00586CCC">
        <w:rPr>
          <w:rStyle w:val="PagrindinistekstasDiagrama"/>
          <w:rFonts w:ascii="Times New Roman" w:hAnsi="Times New Roman" w:cs="Times New Roman"/>
          <w:b/>
          <w:bCs/>
        </w:rPr>
        <w:t xml:space="preserve">, </w:t>
      </w:r>
      <w:r w:rsidR="00586CCC" w:rsidRPr="00586CCC">
        <w:rPr>
          <w:rStyle w:val="PagrindinistekstasDiagrama"/>
          <w:rFonts w:ascii="Times New Roman" w:hAnsi="Times New Roman" w:cs="Times New Roman"/>
          <w:b/>
        </w:rPr>
        <w:t xml:space="preserve">arba gamtos </w:t>
      </w:r>
      <w:r w:rsidR="00586CCC" w:rsidRPr="00586CCC">
        <w:rPr>
          <w:rStyle w:val="PagrindinistekstasDiagrama"/>
          <w:rFonts w:ascii="Times New Roman" w:hAnsi="Times New Roman" w:cs="Times New Roman"/>
          <w:b/>
          <w:bCs/>
        </w:rPr>
        <w:t xml:space="preserve">ištekliams tirti </w:t>
      </w:r>
      <w:r w:rsidR="00586CCC" w:rsidRPr="00586CCC">
        <w:rPr>
          <w:rStyle w:val="PagrindinistekstasDiagrama"/>
          <w:rFonts w:ascii="Times New Roman" w:hAnsi="Times New Roman" w:cs="Times New Roman"/>
          <w:b/>
        </w:rPr>
        <w:t xml:space="preserve">ar </w:t>
      </w:r>
      <w:r w:rsidR="00586CCC" w:rsidRPr="00586CCC">
        <w:rPr>
          <w:rStyle w:val="PagrindinistekstasDiagrama"/>
          <w:rFonts w:ascii="Times New Roman" w:hAnsi="Times New Roman" w:cs="Times New Roman"/>
          <w:b/>
          <w:bCs/>
        </w:rPr>
        <w:t xml:space="preserve">gauti </w:t>
      </w:r>
      <w:r w:rsidR="00586CCC" w:rsidRPr="00586CCC">
        <w:rPr>
          <w:rStyle w:val="PagrindinistekstasDiagrama"/>
          <w:rFonts w:ascii="Times New Roman" w:hAnsi="Times New Roman" w:cs="Times New Roman"/>
          <w:b/>
        </w:rPr>
        <w:t xml:space="preserve">naudoja įrangą arba konstrukciją, įskaitant tam naudojamus gręžinius arba laivus. </w:t>
      </w:r>
      <w:r w:rsidR="00586CCC" w:rsidRPr="00586CCC">
        <w:rPr>
          <w:rStyle w:val="PagrindinistekstasDiagrama"/>
          <w:rFonts w:ascii="Times New Roman" w:hAnsi="Times New Roman" w:cs="Times New Roman"/>
          <w:b/>
          <w:bCs/>
        </w:rPr>
        <w:t xml:space="preserve">Nuolatinumą apibrėžia, </w:t>
      </w:r>
      <w:r w:rsidR="00586CCC" w:rsidRPr="00586CCC">
        <w:rPr>
          <w:rStyle w:val="PagrindinistekstasDiagrama"/>
          <w:rFonts w:ascii="Times New Roman" w:hAnsi="Times New Roman" w:cs="Times New Roman"/>
          <w:b/>
        </w:rPr>
        <w:t>atstovo (agento) statuso priklausomumo ar nepriklausomumo kriterijus nustato Lietuvos Respublikos Vyriausybė arba jos įgaliota institucija.</w:t>
      </w:r>
    </w:p>
    <w:p w14:paraId="5C6E9A20" w14:textId="77777777" w:rsidR="00093845" w:rsidRPr="0067677F" w:rsidRDefault="000D779E" w:rsidP="00C074BE">
      <w:pPr>
        <w:jc w:val="both"/>
        <w:rPr>
          <w:i/>
          <w:lang w:val="lt-LT"/>
        </w:rPr>
      </w:pPr>
      <w:r w:rsidRPr="0067677F">
        <w:rPr>
          <w:i/>
          <w:lang w:val="lt-LT"/>
        </w:rPr>
        <w:t>(KEISTA: 2018 12 06 įstatymu Nr. XIII-1697 (nuo 2019 01 01))</w:t>
      </w:r>
    </w:p>
    <w:p w14:paraId="1A1BAFBE" w14:textId="77777777" w:rsidR="00093845" w:rsidRDefault="000D779E" w:rsidP="00C074BE">
      <w:pPr>
        <w:ind w:firstLine="540"/>
        <w:jc w:val="both"/>
        <w:rPr>
          <w:b/>
          <w:lang w:val="lt-LT"/>
        </w:rPr>
      </w:pPr>
      <w:r w:rsidRPr="00C074BE">
        <w:rPr>
          <w:b/>
          <w:lang w:val="lt-LT"/>
        </w:rPr>
        <w:t>Komentaras</w:t>
      </w:r>
    </w:p>
    <w:p w14:paraId="3331D800" w14:textId="77777777" w:rsidR="00586CCC" w:rsidRPr="00716259" w:rsidRDefault="00586CCC" w:rsidP="00927E61">
      <w:pPr>
        <w:pStyle w:val="Pagrindinistekstas"/>
        <w:widowControl w:val="0"/>
        <w:numPr>
          <w:ilvl w:val="0"/>
          <w:numId w:val="74"/>
        </w:numPr>
        <w:tabs>
          <w:tab w:val="left" w:pos="874"/>
        </w:tabs>
        <w:spacing w:after="0" w:line="240" w:lineRule="auto"/>
        <w:ind w:left="1069" w:hanging="360"/>
        <w:rPr>
          <w:b/>
        </w:rPr>
      </w:pPr>
      <w:r w:rsidRPr="00716259">
        <w:rPr>
          <w:rStyle w:val="PagrindinistekstasDiagrama"/>
          <w:bCs/>
        </w:rPr>
        <w:t>Šioje straipsnio dalyje nustatyta, kad nuolatine buveine laikoma:</w:t>
      </w:r>
    </w:p>
    <w:p w14:paraId="1A3858E3" w14:textId="77777777" w:rsidR="00586CCC" w:rsidRPr="00716259" w:rsidRDefault="00586CCC" w:rsidP="00927E61">
      <w:pPr>
        <w:pStyle w:val="Pagrindinistekstas"/>
        <w:widowControl w:val="0"/>
        <w:numPr>
          <w:ilvl w:val="0"/>
          <w:numId w:val="75"/>
        </w:numPr>
        <w:tabs>
          <w:tab w:val="left" w:pos="893"/>
        </w:tabs>
        <w:spacing w:after="0" w:line="240" w:lineRule="auto"/>
        <w:ind w:left="1080" w:hanging="360"/>
        <w:rPr>
          <w:b/>
        </w:rPr>
      </w:pPr>
      <w:r w:rsidRPr="00716259">
        <w:rPr>
          <w:rStyle w:val="PagrindinistekstasDiagrama"/>
          <w:bCs/>
        </w:rPr>
        <w:t>užsienio vieneto ūkinės-komercinės veiklos vieta Lietuvos Respublikoje;</w:t>
      </w:r>
    </w:p>
    <w:p w14:paraId="7EB6AA9E" w14:textId="77777777" w:rsidR="00586CCC" w:rsidRPr="00716259" w:rsidRDefault="00586CCC" w:rsidP="00927E61">
      <w:pPr>
        <w:pStyle w:val="Pagrindinistekstas"/>
        <w:widowControl w:val="0"/>
        <w:numPr>
          <w:ilvl w:val="0"/>
          <w:numId w:val="75"/>
        </w:numPr>
        <w:tabs>
          <w:tab w:val="left" w:pos="890"/>
        </w:tabs>
        <w:spacing w:after="0" w:line="240" w:lineRule="auto"/>
        <w:ind w:left="1080" w:hanging="360"/>
        <w:rPr>
          <w:b/>
        </w:rPr>
      </w:pPr>
      <w:r w:rsidRPr="00716259">
        <w:rPr>
          <w:rStyle w:val="PagrindinistekstasDiagrama"/>
          <w:bCs/>
        </w:rPr>
        <w:t>vieta, kurioje Lietuvos vienetas vykdo ūkinę-komercinę veiklą užsienio valstybėje, įskaitant, kai veikla vykdoma visoje arba tam tikroje atitinkamos valstybės teritorijoje.</w:t>
      </w:r>
    </w:p>
    <w:p w14:paraId="40BC6B68" w14:textId="77777777" w:rsidR="00586CCC" w:rsidRPr="00716259" w:rsidRDefault="00586CCC" w:rsidP="00586CCC">
      <w:pPr>
        <w:pStyle w:val="Pagrindinistekstas"/>
        <w:ind w:firstLine="620"/>
        <w:rPr>
          <w:b/>
        </w:rPr>
      </w:pPr>
      <w:r w:rsidRPr="00716259">
        <w:rPr>
          <w:rStyle w:val="PagrindinistekstasDiagrama"/>
          <w:bCs/>
        </w:rPr>
        <w:lastRenderedPageBreak/>
        <w:t>Nuolatinės buveinės pripažinimas yra esminė sąlyga, paskirstant vienos valstybės rezidentų, vykdančių ūkinę komercinę veiklą kitoje valstybėje, pajamų iš tokios veiklos apmokestinimo teises tarp skirtingų valstybių.</w:t>
      </w:r>
    </w:p>
    <w:p w14:paraId="17713FF0" w14:textId="77777777" w:rsidR="00586CCC" w:rsidRPr="00716259" w:rsidRDefault="00586CCC" w:rsidP="00927E61">
      <w:pPr>
        <w:pStyle w:val="Pagrindinistekstas"/>
        <w:widowControl w:val="0"/>
        <w:numPr>
          <w:ilvl w:val="0"/>
          <w:numId w:val="76"/>
        </w:numPr>
        <w:tabs>
          <w:tab w:val="left" w:pos="923"/>
        </w:tabs>
        <w:spacing w:after="0" w:line="240" w:lineRule="auto"/>
        <w:ind w:left="1080" w:hanging="360"/>
        <w:rPr>
          <w:b/>
        </w:rPr>
      </w:pPr>
      <w:r w:rsidRPr="00716259">
        <w:rPr>
          <w:rStyle w:val="PagrindinistekstasDiagrama"/>
          <w:bCs/>
        </w:rPr>
        <w:t>Tam, kad užsienio vieneto veiklos ryšys su Lietuvos Respublikos teritorija būtų laikomas pakankamu ir kad tokiam užsienio vienetui, kaip vykdančiam veiklą per nuolatinę buveinę, atsirastų prievolė Lietuvos Respublikoje registruotis mokesčių mokėtojų registre ir mokėti pelno mokestį, būtina, kad užsienio vienetas Lietuvos Respublikoje:</w:t>
      </w:r>
    </w:p>
    <w:p w14:paraId="6EAE94C7" w14:textId="77777777" w:rsidR="00586CCC" w:rsidRPr="00716259" w:rsidRDefault="00586CCC" w:rsidP="00927E61">
      <w:pPr>
        <w:pStyle w:val="Pagrindinistekstas"/>
        <w:widowControl w:val="0"/>
        <w:numPr>
          <w:ilvl w:val="0"/>
          <w:numId w:val="77"/>
        </w:numPr>
        <w:tabs>
          <w:tab w:val="left" w:pos="852"/>
        </w:tabs>
        <w:spacing w:after="0" w:line="240" w:lineRule="auto"/>
        <w:ind w:left="1140" w:hanging="420"/>
        <w:rPr>
          <w:b/>
        </w:rPr>
      </w:pPr>
      <w:r w:rsidRPr="00716259">
        <w:rPr>
          <w:rStyle w:val="PagrindinistekstasDiagrama"/>
          <w:bCs/>
        </w:rPr>
        <w:t>nuolat vykdytų veiklą arba</w:t>
      </w:r>
    </w:p>
    <w:p w14:paraId="3A8E9825" w14:textId="77777777" w:rsidR="00586CCC" w:rsidRPr="00716259" w:rsidRDefault="00586CCC" w:rsidP="00927E61">
      <w:pPr>
        <w:pStyle w:val="Pagrindinistekstas"/>
        <w:widowControl w:val="0"/>
        <w:numPr>
          <w:ilvl w:val="0"/>
          <w:numId w:val="77"/>
        </w:numPr>
        <w:tabs>
          <w:tab w:val="left" w:pos="852"/>
        </w:tabs>
        <w:spacing w:after="0" w:line="240" w:lineRule="auto"/>
        <w:ind w:left="1140" w:hanging="420"/>
        <w:rPr>
          <w:b/>
        </w:rPr>
      </w:pPr>
      <w:r w:rsidRPr="00716259">
        <w:rPr>
          <w:rStyle w:val="PagrindinistekstasDiagrama"/>
          <w:bCs/>
        </w:rPr>
        <w:t>vykdytų savo veiklą per priklausomą atstovą (agentą), arba</w:t>
      </w:r>
    </w:p>
    <w:p w14:paraId="0B6F950B" w14:textId="77777777" w:rsidR="00586CCC" w:rsidRPr="00716259" w:rsidRDefault="00586CCC" w:rsidP="00927E61">
      <w:pPr>
        <w:pStyle w:val="Pagrindinistekstas"/>
        <w:widowControl w:val="0"/>
        <w:numPr>
          <w:ilvl w:val="0"/>
          <w:numId w:val="77"/>
        </w:numPr>
        <w:tabs>
          <w:tab w:val="left" w:pos="792"/>
        </w:tabs>
        <w:spacing w:after="0" w:line="240" w:lineRule="auto"/>
        <w:ind w:left="1140" w:hanging="420"/>
        <w:rPr>
          <w:b/>
        </w:rPr>
      </w:pPr>
      <w:r w:rsidRPr="00716259">
        <w:rPr>
          <w:rStyle w:val="PagrindinistekstasDiagrama"/>
          <w:bCs/>
        </w:rPr>
        <w:t>naudotų statybos teritoriją, statybos, surinkimo ar įrangos objektą, arba</w:t>
      </w:r>
    </w:p>
    <w:p w14:paraId="52B5730E" w14:textId="77777777" w:rsidR="00586CCC" w:rsidRPr="00716259" w:rsidRDefault="00586CCC" w:rsidP="00927E61">
      <w:pPr>
        <w:pStyle w:val="Pagrindinistekstas"/>
        <w:widowControl w:val="0"/>
        <w:numPr>
          <w:ilvl w:val="0"/>
          <w:numId w:val="77"/>
        </w:numPr>
        <w:tabs>
          <w:tab w:val="left" w:pos="836"/>
        </w:tabs>
        <w:spacing w:after="0" w:line="240" w:lineRule="auto"/>
        <w:ind w:left="1140" w:hanging="420"/>
        <w:rPr>
          <w:b/>
        </w:rPr>
      </w:pPr>
      <w:r w:rsidRPr="00716259">
        <w:rPr>
          <w:rStyle w:val="PagrindinistekstasDiagrama"/>
          <w:bCs/>
        </w:rPr>
        <w:t>gamtos ištekliams tirti ar gauti naudotų įrangą arba konstrukciją, įskaitant tam naudojamus gręžinius arba laivus.</w:t>
      </w:r>
    </w:p>
    <w:p w14:paraId="160BB26F" w14:textId="77777777" w:rsidR="00586CCC" w:rsidRPr="00716259" w:rsidRDefault="00586CCC" w:rsidP="00927E61">
      <w:pPr>
        <w:pStyle w:val="Pagrindinistekstas"/>
        <w:widowControl w:val="0"/>
        <w:numPr>
          <w:ilvl w:val="0"/>
          <w:numId w:val="76"/>
        </w:numPr>
        <w:tabs>
          <w:tab w:val="left" w:pos="861"/>
        </w:tabs>
        <w:spacing w:after="0" w:line="240" w:lineRule="auto"/>
        <w:ind w:left="1080" w:hanging="360"/>
        <w:rPr>
          <w:b/>
        </w:rPr>
      </w:pPr>
      <w:r w:rsidRPr="00716259">
        <w:rPr>
          <w:rStyle w:val="PagrindinistekstasDiagrama"/>
          <w:bCs/>
        </w:rPr>
        <w:t>Lietuvos Respublikos mokesčių administravimo įstatymo 5 straipsnyje nustatyta, kad „jeigu Lietuvos Respublikos tarptautinėse sutartyse nustatytos kitokios negu atitinkamų mokesčių įstatymuose apmokestinimo taisyklės ir šios sutartys yra ratifikuotos ir įsigaliojusios ir taikomos Lietuvos Respublikoje, tai viršenybę turi minėtose sutartyse nustatytos taisyklės“.</w:t>
      </w:r>
    </w:p>
    <w:p w14:paraId="59C917B3" w14:textId="77777777" w:rsidR="00586CCC" w:rsidRPr="00716259" w:rsidRDefault="00586CCC" w:rsidP="00586CCC">
      <w:pPr>
        <w:pStyle w:val="Pagrindinistekstas"/>
        <w:spacing w:after="280"/>
        <w:ind w:firstLine="560"/>
        <w:rPr>
          <w:b/>
        </w:rPr>
      </w:pPr>
      <w:r w:rsidRPr="00716259">
        <w:rPr>
          <w:rStyle w:val="PagrindinistekstasDiagrama"/>
          <w:bCs/>
        </w:rPr>
        <w:t>Nustatant, ar užsienio vienetas turi nuolatinę buveinę Lietuvoje, taip pat ar Lietuvos vienetas turi nuolatinę buveinę atitinkamoje užsienio valstybėje, visų pirma vadovaujamasi tarptautinėmis pajamų ir kapitalo dvigubo apmokestinimo išvengimo sutartimis (toliau — DAIS), kai ji su tokia užsienio valstybe sudaryta ir taikoma.</w:t>
      </w:r>
    </w:p>
    <w:p w14:paraId="129F23E5" w14:textId="77777777" w:rsidR="00586CCC" w:rsidRPr="00716259" w:rsidRDefault="00586CCC" w:rsidP="00586CCC">
      <w:pPr>
        <w:pStyle w:val="Pagrindinistekstas"/>
        <w:ind w:firstLine="500"/>
        <w:rPr>
          <w:b/>
        </w:rPr>
      </w:pPr>
      <w:r w:rsidRPr="00716259">
        <w:rPr>
          <w:rStyle w:val="PagrindinistekstasDiagrama"/>
          <w:bCs/>
        </w:rPr>
        <w:t xml:space="preserve">Aiškinant </w:t>
      </w:r>
      <w:r w:rsidRPr="00716259">
        <w:rPr>
          <w:rStyle w:val="PagrindinistekstasDiagrama"/>
          <w:bCs/>
          <w:lang w:bidi="en-US"/>
        </w:rPr>
        <w:t xml:space="preserve">DAIS nuostatas remiamasi Ekonominio bendradarbiavimo ir </w:t>
      </w:r>
      <w:r w:rsidRPr="00716259">
        <w:rPr>
          <w:rStyle w:val="PagrindinistekstasDiagrama"/>
          <w:bCs/>
        </w:rPr>
        <w:t xml:space="preserve">plėtros organizacijos (toliau - EBPO) parengta Pavyzdine pajamų ir kapitalo mokesčių konvencija (toliau - Pavyzdinė konvencija) ir jos komentarais, tiek, kiek 2019 m. sausio 1 d. įsigaliojusi Daugiašalė konvencija, kuria įgyvendinamos su mokesčių sutartimis susijusios </w:t>
      </w:r>
      <w:r w:rsidRPr="00716259">
        <w:rPr>
          <w:rStyle w:val="PagrindinistekstasDiagrama"/>
          <w:bCs/>
          <w:sz w:val="22"/>
          <w:szCs w:val="22"/>
        </w:rPr>
        <w:t xml:space="preserve">priemonės, </w:t>
      </w:r>
      <w:r w:rsidRPr="00716259">
        <w:rPr>
          <w:rStyle w:val="PagrindinistekstasDiagrama"/>
          <w:bCs/>
        </w:rPr>
        <w:t>keičia dvišalių DAIS konkrečias nuostatas, susijusias su nuolatinės buveinės nustatymu. Pavyzdinė konvencija ir jos komentarai nėra teisiškai privalomi dokumentai, tačiau yra vienas iš svarbiausių rekomendacinių šaltinių aiškinant DAIS, taip pat ir nuolatinės buveinės koncepciją.</w:t>
      </w:r>
    </w:p>
    <w:p w14:paraId="7E30B0F3" w14:textId="77777777" w:rsidR="00586CCC" w:rsidRPr="00716259" w:rsidRDefault="00586CCC" w:rsidP="00927E61">
      <w:pPr>
        <w:pStyle w:val="Pagrindinistekstas"/>
        <w:widowControl w:val="0"/>
        <w:numPr>
          <w:ilvl w:val="0"/>
          <w:numId w:val="76"/>
        </w:numPr>
        <w:tabs>
          <w:tab w:val="left" w:pos="845"/>
        </w:tabs>
        <w:spacing w:after="0" w:line="240" w:lineRule="auto"/>
        <w:ind w:left="1080" w:hanging="360"/>
        <w:rPr>
          <w:b/>
        </w:rPr>
      </w:pPr>
      <w:r w:rsidRPr="00716259">
        <w:rPr>
          <w:rStyle w:val="PagrindinistekstasDiagrama"/>
          <w:bCs/>
        </w:rPr>
        <w:t>Pavyzdinės konvencijos 5 straipsnyje nuolatinė buveinė apibrėžiama kaip nuolatinė ūkinės komercinės veiklos vieta, per kurią vienetas visiškai arba iš dalies užsiima ūkine komercine veikla.</w:t>
      </w:r>
    </w:p>
    <w:p w14:paraId="2D01534A" w14:textId="77777777" w:rsidR="00586CCC" w:rsidRPr="00716259" w:rsidRDefault="00586CCC" w:rsidP="00586CCC">
      <w:pPr>
        <w:pStyle w:val="Pagrindinistekstas"/>
        <w:ind w:firstLine="500"/>
        <w:rPr>
          <w:b/>
        </w:rPr>
      </w:pPr>
      <w:r w:rsidRPr="00716259">
        <w:rPr>
          <w:rStyle w:val="PagrindinistekstasDiagrama"/>
          <w:bCs/>
        </w:rPr>
        <w:t>Sąvoka „nuolatinė buveinė“ visų pirma apima:</w:t>
      </w:r>
    </w:p>
    <w:p w14:paraId="26E4FED9" w14:textId="77777777" w:rsidR="00586CCC" w:rsidRPr="00716259" w:rsidRDefault="00586CCC" w:rsidP="00927E61">
      <w:pPr>
        <w:pStyle w:val="Pagrindinistekstas"/>
        <w:widowControl w:val="0"/>
        <w:numPr>
          <w:ilvl w:val="0"/>
          <w:numId w:val="78"/>
        </w:numPr>
        <w:tabs>
          <w:tab w:val="left" w:pos="787"/>
        </w:tabs>
        <w:spacing w:after="0" w:line="240" w:lineRule="auto"/>
        <w:ind w:left="1080" w:hanging="360"/>
        <w:rPr>
          <w:b/>
        </w:rPr>
      </w:pPr>
      <w:r w:rsidRPr="00716259">
        <w:rPr>
          <w:rStyle w:val="PagrindinistekstasDiagrama"/>
          <w:bCs/>
        </w:rPr>
        <w:t>vadovybės buvimo vietą;</w:t>
      </w:r>
    </w:p>
    <w:p w14:paraId="3A1190D1" w14:textId="77777777" w:rsidR="00586CCC" w:rsidRPr="00716259" w:rsidRDefault="00586CCC" w:rsidP="00927E61">
      <w:pPr>
        <w:pStyle w:val="Pagrindinistekstas"/>
        <w:widowControl w:val="0"/>
        <w:numPr>
          <w:ilvl w:val="0"/>
          <w:numId w:val="78"/>
        </w:numPr>
        <w:tabs>
          <w:tab w:val="left" w:pos="787"/>
        </w:tabs>
        <w:spacing w:after="0" w:line="240" w:lineRule="auto"/>
        <w:ind w:left="1080" w:hanging="360"/>
        <w:rPr>
          <w:b/>
        </w:rPr>
      </w:pPr>
      <w:r w:rsidRPr="00716259">
        <w:rPr>
          <w:rStyle w:val="PagrindinistekstasDiagrama"/>
          <w:bCs/>
        </w:rPr>
        <w:t>filialą;</w:t>
      </w:r>
    </w:p>
    <w:p w14:paraId="4EED6E6D" w14:textId="77777777" w:rsidR="00586CCC" w:rsidRPr="00716259" w:rsidRDefault="00586CCC" w:rsidP="00927E61">
      <w:pPr>
        <w:pStyle w:val="Pagrindinistekstas"/>
        <w:widowControl w:val="0"/>
        <w:numPr>
          <w:ilvl w:val="0"/>
          <w:numId w:val="78"/>
        </w:numPr>
        <w:tabs>
          <w:tab w:val="left" w:pos="787"/>
        </w:tabs>
        <w:spacing w:after="0" w:line="240" w:lineRule="auto"/>
        <w:ind w:left="1080" w:hanging="360"/>
        <w:rPr>
          <w:b/>
        </w:rPr>
      </w:pPr>
      <w:r w:rsidRPr="00716259">
        <w:rPr>
          <w:rStyle w:val="PagrindinistekstasDiagrama"/>
          <w:bCs/>
        </w:rPr>
        <w:t>įstaigą;</w:t>
      </w:r>
    </w:p>
    <w:p w14:paraId="05B236E6" w14:textId="77777777" w:rsidR="00586CCC" w:rsidRPr="00716259" w:rsidRDefault="00586CCC" w:rsidP="00927E61">
      <w:pPr>
        <w:pStyle w:val="Pagrindinistekstas"/>
        <w:widowControl w:val="0"/>
        <w:numPr>
          <w:ilvl w:val="0"/>
          <w:numId w:val="78"/>
        </w:numPr>
        <w:tabs>
          <w:tab w:val="left" w:pos="787"/>
        </w:tabs>
        <w:spacing w:after="0" w:line="240" w:lineRule="auto"/>
        <w:ind w:left="1080" w:hanging="360"/>
        <w:rPr>
          <w:b/>
        </w:rPr>
      </w:pPr>
      <w:r w:rsidRPr="00716259">
        <w:rPr>
          <w:rStyle w:val="PagrindinistekstasDiagrama"/>
          <w:bCs/>
        </w:rPr>
        <w:t>gamyklą;</w:t>
      </w:r>
    </w:p>
    <w:p w14:paraId="20F0CD3B" w14:textId="77777777" w:rsidR="00586CCC" w:rsidRPr="00716259" w:rsidRDefault="00586CCC" w:rsidP="00927E61">
      <w:pPr>
        <w:pStyle w:val="Pagrindinistekstas"/>
        <w:widowControl w:val="0"/>
        <w:numPr>
          <w:ilvl w:val="0"/>
          <w:numId w:val="78"/>
        </w:numPr>
        <w:tabs>
          <w:tab w:val="left" w:pos="787"/>
        </w:tabs>
        <w:spacing w:after="0" w:line="240" w:lineRule="auto"/>
        <w:ind w:left="1080" w:hanging="360"/>
        <w:rPr>
          <w:b/>
        </w:rPr>
      </w:pPr>
      <w:r w:rsidRPr="00716259">
        <w:rPr>
          <w:rStyle w:val="PagrindinistekstasDiagrama"/>
          <w:bCs/>
        </w:rPr>
        <w:t>dirbtuvę;</w:t>
      </w:r>
    </w:p>
    <w:p w14:paraId="50FE0256" w14:textId="77777777" w:rsidR="00586CCC" w:rsidRPr="00716259" w:rsidRDefault="00586CCC" w:rsidP="00927E61">
      <w:pPr>
        <w:pStyle w:val="Pagrindinistekstas"/>
        <w:widowControl w:val="0"/>
        <w:numPr>
          <w:ilvl w:val="0"/>
          <w:numId w:val="78"/>
        </w:numPr>
        <w:tabs>
          <w:tab w:val="left" w:pos="773"/>
        </w:tabs>
        <w:spacing w:after="0" w:line="240" w:lineRule="auto"/>
        <w:ind w:left="1080" w:hanging="360"/>
        <w:rPr>
          <w:b/>
        </w:rPr>
      </w:pPr>
      <w:r w:rsidRPr="00716259">
        <w:rPr>
          <w:rStyle w:val="PagrindinistekstasDiagrama"/>
          <w:bCs/>
        </w:rPr>
        <w:t>kasyklą, naftos arba dujų gręžinį, karjerą arba bet kokią kitą gamtos išteklių gavybos vietą.</w:t>
      </w:r>
    </w:p>
    <w:p w14:paraId="3BAC7608" w14:textId="77777777" w:rsidR="00586CCC" w:rsidRPr="00716259" w:rsidRDefault="00586CCC" w:rsidP="00586CCC">
      <w:pPr>
        <w:pStyle w:val="Pagrindinistekstas"/>
        <w:ind w:firstLine="580"/>
        <w:rPr>
          <w:b/>
        </w:rPr>
      </w:pPr>
      <w:r w:rsidRPr="00716259">
        <w:rPr>
          <w:rStyle w:val="PagrindinistekstasDiagrama"/>
          <w:bCs/>
        </w:rPr>
        <w:t>Pavyzdinėje konvencijoje nurodytas veiklos vietų sąrašas nėra baigtinis, todėl kitoje valstybėje vieneto veiklos vieta pripažįstama nuolatine buveine, tik jei atitinka visus tris kriterijus:</w:t>
      </w:r>
    </w:p>
    <w:p w14:paraId="6238F41C" w14:textId="77777777" w:rsidR="00586CCC" w:rsidRPr="00716259" w:rsidRDefault="00586CCC" w:rsidP="00927E61">
      <w:pPr>
        <w:pStyle w:val="Pagrindinistekstas"/>
        <w:widowControl w:val="0"/>
        <w:numPr>
          <w:ilvl w:val="0"/>
          <w:numId w:val="79"/>
        </w:numPr>
        <w:tabs>
          <w:tab w:val="left" w:pos="812"/>
        </w:tabs>
        <w:spacing w:after="0" w:line="240" w:lineRule="auto"/>
        <w:ind w:left="720" w:hanging="360"/>
        <w:rPr>
          <w:b/>
        </w:rPr>
      </w:pPr>
      <w:r w:rsidRPr="00716259">
        <w:rPr>
          <w:rStyle w:val="PagrindinistekstasDiagrama"/>
          <w:bCs/>
        </w:rPr>
        <w:t>turi kitoje valstybėje egzistuojančią ūkinės komercinės veiklos vietą;</w:t>
      </w:r>
    </w:p>
    <w:p w14:paraId="3DF9C2E5" w14:textId="77777777" w:rsidR="00586CCC" w:rsidRPr="00716259" w:rsidRDefault="00586CCC" w:rsidP="00927E61">
      <w:pPr>
        <w:pStyle w:val="Pagrindinistekstas"/>
        <w:widowControl w:val="0"/>
        <w:numPr>
          <w:ilvl w:val="0"/>
          <w:numId w:val="79"/>
        </w:numPr>
        <w:tabs>
          <w:tab w:val="left" w:pos="827"/>
        </w:tabs>
        <w:spacing w:after="0" w:line="240" w:lineRule="auto"/>
        <w:ind w:left="720" w:hanging="360"/>
        <w:rPr>
          <w:b/>
        </w:rPr>
      </w:pPr>
      <w:r w:rsidRPr="00716259">
        <w:rPr>
          <w:rStyle w:val="PagrindinistekstasDiagrama"/>
          <w:bCs/>
        </w:rPr>
        <w:t>ūkinė komercinė veikla yra vykdoma nuolatos;</w:t>
      </w:r>
    </w:p>
    <w:p w14:paraId="31B6942C" w14:textId="77777777" w:rsidR="00586CCC" w:rsidRPr="00716259" w:rsidRDefault="00586CCC" w:rsidP="00927E61">
      <w:pPr>
        <w:pStyle w:val="Pagrindinistekstas"/>
        <w:widowControl w:val="0"/>
        <w:numPr>
          <w:ilvl w:val="0"/>
          <w:numId w:val="79"/>
        </w:numPr>
        <w:tabs>
          <w:tab w:val="left" w:pos="836"/>
        </w:tabs>
        <w:spacing w:after="0" w:line="240" w:lineRule="auto"/>
        <w:ind w:left="720" w:hanging="360"/>
        <w:rPr>
          <w:b/>
        </w:rPr>
      </w:pPr>
      <w:r w:rsidRPr="00716259">
        <w:rPr>
          <w:rStyle w:val="PagrindinistekstasDiagrama"/>
          <w:bCs/>
        </w:rPr>
        <w:t>per tą ūkinės komercinės veiklos vietą vykdo savo ūkinę komercinę veiklą (ar jos dalį).</w:t>
      </w:r>
    </w:p>
    <w:p w14:paraId="445F32AD" w14:textId="77777777" w:rsidR="00586CCC" w:rsidRPr="00716259" w:rsidRDefault="00586CCC" w:rsidP="00586CCC">
      <w:pPr>
        <w:pStyle w:val="Pagrindinistekstas"/>
        <w:ind w:firstLine="500"/>
        <w:rPr>
          <w:b/>
        </w:rPr>
      </w:pPr>
      <w:r w:rsidRPr="00716259">
        <w:rPr>
          <w:rStyle w:val="PagrindinistekstasDiagrama"/>
          <w:bCs/>
        </w:rPr>
        <w:t>Jei bent vienas kriterijus, iš nurodytųjų, neįvykdomas - vienos valstybės vienetas nelaikomas turinčiu nuolatinę buveinę kitoje valstybėje.</w:t>
      </w:r>
    </w:p>
    <w:p w14:paraId="1327F6C2" w14:textId="77777777" w:rsidR="00586CCC" w:rsidRPr="00716259" w:rsidRDefault="00586CCC" w:rsidP="00586CCC">
      <w:pPr>
        <w:pStyle w:val="Pagrindinistekstas"/>
        <w:ind w:firstLine="500"/>
        <w:rPr>
          <w:b/>
        </w:rPr>
      </w:pPr>
      <w:r w:rsidRPr="00716259">
        <w:rPr>
          <w:rStyle w:val="PagrindinistekstasDiagrama"/>
          <w:bCs/>
          <w:i/>
          <w:iCs/>
        </w:rPr>
        <w:t>Pirmasis kriterijus</w:t>
      </w:r>
      <w:r w:rsidRPr="00716259">
        <w:rPr>
          <w:rStyle w:val="PagrindinistekstasDiagrama"/>
          <w:bCs/>
        </w:rPr>
        <w:t xml:space="preserve">, kuriuo remiantis užsienio vieneto veikla pripažįstama nuolatine buveine, yra </w:t>
      </w:r>
      <w:r w:rsidRPr="00716259">
        <w:rPr>
          <w:rStyle w:val="PagrindinistekstasDiagrama"/>
          <w:bCs/>
          <w:u w:val="single"/>
        </w:rPr>
        <w:t>ūkinės komercinės veiklos vieta</w:t>
      </w:r>
      <w:r w:rsidRPr="00716259">
        <w:rPr>
          <w:rStyle w:val="PagrindinistekstasDiagrama"/>
          <w:bCs/>
        </w:rPr>
        <w:t>, kuri apibūdinama, kaip bet kokios patalpos ar įrengimai, taip pat ploto tam tikrose patalpose dalis, tam tikra geografinė teritorija ir pan.</w:t>
      </w:r>
    </w:p>
    <w:p w14:paraId="7F323721" w14:textId="77777777" w:rsidR="00586CCC" w:rsidRPr="00716259" w:rsidRDefault="00586CCC" w:rsidP="00586CCC">
      <w:pPr>
        <w:pStyle w:val="Pagrindinistekstas"/>
        <w:spacing w:after="280"/>
        <w:ind w:firstLine="560"/>
        <w:rPr>
          <w:rStyle w:val="PagrindinistekstasDiagrama"/>
          <w:bCs/>
        </w:rPr>
      </w:pPr>
      <w:r w:rsidRPr="00716259">
        <w:rPr>
          <w:rStyle w:val="PagrindinistekstasDiagrama"/>
          <w:bCs/>
        </w:rPr>
        <w:lastRenderedPageBreak/>
        <w:t xml:space="preserve">Veiklos vieta nebūtinai turi nuosavybės teise priklausyti pačiam vienetui, tačiau vienetas turi turėti tą veiklos vietą savo dispozicijoje ir joje vykdyti savo veiklą. Laikoma kad vieta disponuojama, jei negalima sutrukdyti naudotis šia vieta be išankstinio sutikimo. Jei veiklos vietos kontrolė yra ribota, atsitiktinė arba laikina, nėra laikoma, kad subjektas verslo vieta disponuoja. </w:t>
      </w:r>
    </w:p>
    <w:p w14:paraId="4479F835" w14:textId="77777777" w:rsidR="00586CCC" w:rsidRPr="00716259" w:rsidRDefault="00586CCC" w:rsidP="00586CCC">
      <w:pPr>
        <w:pStyle w:val="Pagrindinistekstas"/>
        <w:spacing w:after="340"/>
        <w:ind w:firstLine="500"/>
        <w:rPr>
          <w:b/>
        </w:rPr>
      </w:pPr>
      <w:r w:rsidRPr="00716259">
        <w:rPr>
          <w:rStyle w:val="PagrindinistekstasDiagrama"/>
          <w:bCs/>
        </w:rPr>
        <w:t>Pavyzdžiai</w:t>
      </w:r>
    </w:p>
    <w:p w14:paraId="1633CF9D" w14:textId="77777777" w:rsidR="00586CCC" w:rsidRPr="00716259" w:rsidRDefault="00586CCC" w:rsidP="00927E61">
      <w:pPr>
        <w:pStyle w:val="Pagrindinistekstas"/>
        <w:widowControl w:val="0"/>
        <w:numPr>
          <w:ilvl w:val="0"/>
          <w:numId w:val="80"/>
        </w:numPr>
        <w:pBdr>
          <w:top w:val="single" w:sz="4" w:space="0" w:color="auto"/>
          <w:left w:val="single" w:sz="4" w:space="0" w:color="auto"/>
          <w:bottom w:val="single" w:sz="4" w:space="0" w:color="auto"/>
          <w:right w:val="single" w:sz="4" w:space="0" w:color="auto"/>
        </w:pBdr>
        <w:tabs>
          <w:tab w:val="left" w:pos="303"/>
        </w:tabs>
        <w:spacing w:after="0"/>
        <w:ind w:left="1440" w:hanging="360"/>
        <w:rPr>
          <w:b/>
        </w:rPr>
      </w:pPr>
      <w:r w:rsidRPr="00716259">
        <w:rPr>
          <w:rStyle w:val="PagrindinistekstasDiagrama"/>
          <w:bCs/>
        </w:rPr>
        <w:t>Pardavėjas reguliariai atvyksta į kliento darbo vietą, susitinka su bendrovės direktoriumi ir priima iš jo užsakymus. Šiuo atveju patalpomis, kuriose dirba klientas, pardavėjas nedisponuoja, todėl tokios patalpos nėra pripažįstamos pardavėjo verslo vieta.</w:t>
      </w:r>
    </w:p>
    <w:p w14:paraId="5CB08304" w14:textId="77777777" w:rsidR="00586CCC" w:rsidRPr="00716259" w:rsidRDefault="00586CCC" w:rsidP="00927E61">
      <w:pPr>
        <w:pStyle w:val="Pagrindinistekstas"/>
        <w:widowControl w:val="0"/>
        <w:numPr>
          <w:ilvl w:val="0"/>
          <w:numId w:val="80"/>
        </w:numPr>
        <w:pBdr>
          <w:top w:val="single" w:sz="4" w:space="0" w:color="auto"/>
          <w:left w:val="single" w:sz="4" w:space="0" w:color="auto"/>
          <w:bottom w:val="single" w:sz="4" w:space="0" w:color="auto"/>
          <w:right w:val="single" w:sz="4" w:space="0" w:color="auto"/>
        </w:pBdr>
        <w:tabs>
          <w:tab w:val="left" w:pos="308"/>
        </w:tabs>
        <w:spacing w:after="0"/>
        <w:ind w:left="1440" w:hanging="360"/>
        <w:rPr>
          <w:b/>
        </w:rPr>
      </w:pPr>
      <w:r w:rsidRPr="00716259">
        <w:rPr>
          <w:rStyle w:val="PagrindinistekstasDiagrama"/>
          <w:bCs/>
        </w:rPr>
        <w:t>Užsienio vieneto darbuotojas - grafikas, dvejus metus, tris kartus per savaitę, dirba klientui priklausančiame biurų pastate. Šiuo atveju biurų pastatas bus laikomas grafiko veiklos vieta, nes jame atliekamos svarbiausios grafiko darbinės funkcijos.</w:t>
      </w:r>
    </w:p>
    <w:p w14:paraId="7A9F0724" w14:textId="77777777" w:rsidR="00586CCC" w:rsidRPr="00716259" w:rsidRDefault="00586CCC" w:rsidP="00927E61">
      <w:pPr>
        <w:pStyle w:val="Pagrindinistekstas"/>
        <w:widowControl w:val="0"/>
        <w:numPr>
          <w:ilvl w:val="0"/>
          <w:numId w:val="80"/>
        </w:numPr>
        <w:pBdr>
          <w:top w:val="single" w:sz="4" w:space="0" w:color="auto"/>
          <w:left w:val="single" w:sz="4" w:space="0" w:color="auto"/>
          <w:bottom w:val="single" w:sz="4" w:space="0" w:color="auto"/>
          <w:right w:val="single" w:sz="4" w:space="0" w:color="auto"/>
        </w:pBdr>
        <w:tabs>
          <w:tab w:val="left" w:pos="312"/>
        </w:tabs>
        <w:spacing w:after="280"/>
        <w:ind w:left="1440" w:hanging="360"/>
        <w:rPr>
          <w:rStyle w:val="PagrindinistekstasDiagrama"/>
          <w:bCs/>
        </w:rPr>
      </w:pPr>
      <w:r w:rsidRPr="00716259">
        <w:rPr>
          <w:rStyle w:val="PagrindinistekstasDiagrama"/>
          <w:bCs/>
        </w:rPr>
        <w:t>Užsienio vieneto patronuojančiojo subjekto darbuotojui leidžiama naudotis dukterinės įmonės biuru kitoje valstybėje pagal su patronuojamuoju vienetu sudarytą sutartį. Patronuojamojo vieneto darbuotojo tikslas užtikrinti, kad patronuojantysis vienetas tinkamai laikytųsi savo prisiimtų įsipareigojimų. Šiuo atveju patronuojamojo vieneto biuras bus laikomas patronuojančiojo vieneto veiklos vieta.</w:t>
      </w:r>
    </w:p>
    <w:p w14:paraId="41E1F65A" w14:textId="77777777" w:rsidR="00586CCC" w:rsidRPr="00716259" w:rsidRDefault="00586CCC" w:rsidP="00586CCC">
      <w:pPr>
        <w:pStyle w:val="Pagrindinistekstas"/>
        <w:spacing w:after="280"/>
        <w:ind w:firstLine="560"/>
        <w:rPr>
          <w:b/>
        </w:rPr>
      </w:pPr>
      <w:r w:rsidRPr="00716259">
        <w:rPr>
          <w:rStyle w:val="PagrindinistekstasDiagrama"/>
          <w:bCs/>
        </w:rPr>
        <w:t xml:space="preserve">Ūkinės komercinės </w:t>
      </w:r>
      <w:r w:rsidRPr="00716259">
        <w:rPr>
          <w:rStyle w:val="PagrindinistekstasDiagrama"/>
          <w:bCs/>
          <w:lang w:bidi="en-US"/>
        </w:rPr>
        <w:t xml:space="preserve">veiklos vykdymo vieta gali egzistuoti ir tuomet, kai </w:t>
      </w:r>
      <w:r w:rsidRPr="00716259">
        <w:rPr>
          <w:rStyle w:val="PagrindinistekstasDiagrama"/>
          <w:bCs/>
        </w:rPr>
        <w:t xml:space="preserve">nėra jokių patalpų </w:t>
      </w:r>
      <w:r w:rsidRPr="00716259">
        <w:rPr>
          <w:rStyle w:val="PagrindinistekstasDiagrama"/>
          <w:bCs/>
          <w:lang w:bidi="en-US"/>
        </w:rPr>
        <w:t xml:space="preserve">arba jos </w:t>
      </w:r>
      <w:r w:rsidRPr="00716259">
        <w:rPr>
          <w:rStyle w:val="PagrindinistekstasDiagrama"/>
          <w:bCs/>
        </w:rPr>
        <w:t xml:space="preserve">nėra </w:t>
      </w:r>
      <w:r w:rsidRPr="00716259">
        <w:rPr>
          <w:rStyle w:val="PagrindinistekstasDiagrama"/>
          <w:bCs/>
          <w:lang w:bidi="en-US"/>
        </w:rPr>
        <w:t xml:space="preserve">reikalingos vieneto veiklai vykdyti ir vienetas tiesiog turi tam </w:t>
      </w:r>
      <w:r w:rsidRPr="00716259">
        <w:rPr>
          <w:rStyle w:val="PagrindinistekstasDiagrama"/>
          <w:bCs/>
        </w:rPr>
        <w:t xml:space="preserve">tikrą plotą, </w:t>
      </w:r>
      <w:r w:rsidRPr="00716259">
        <w:rPr>
          <w:rStyle w:val="PagrindinistekstasDiagrama"/>
          <w:bCs/>
          <w:lang w:bidi="en-US"/>
        </w:rPr>
        <w:t xml:space="preserve">kuriuo gali naudotis, </w:t>
      </w:r>
      <w:r w:rsidRPr="00716259">
        <w:rPr>
          <w:rStyle w:val="PagrindinistekstasDiagrama"/>
          <w:bCs/>
        </w:rPr>
        <w:t xml:space="preserve">ūkinei </w:t>
      </w:r>
      <w:r w:rsidRPr="00716259">
        <w:rPr>
          <w:rStyle w:val="PagrindinistekstasDiagrama"/>
          <w:bCs/>
          <w:lang w:bidi="en-US"/>
        </w:rPr>
        <w:t xml:space="preserve">komercinei veiklai vykdyti. </w:t>
      </w:r>
      <w:r w:rsidRPr="00716259">
        <w:rPr>
          <w:rStyle w:val="PagrindinistekstasDiagrama"/>
          <w:bCs/>
        </w:rPr>
        <w:t>Pavyzdžiai</w:t>
      </w:r>
    </w:p>
    <w:p w14:paraId="14B4A15B" w14:textId="77777777" w:rsidR="00586CCC" w:rsidRPr="00716259" w:rsidRDefault="00586CCC" w:rsidP="00927E61">
      <w:pPr>
        <w:pStyle w:val="Pagrindinistekstas"/>
        <w:widowControl w:val="0"/>
        <w:numPr>
          <w:ilvl w:val="0"/>
          <w:numId w:val="81"/>
        </w:numPr>
        <w:pBdr>
          <w:top w:val="single" w:sz="4" w:space="0" w:color="auto"/>
          <w:left w:val="single" w:sz="4" w:space="0" w:color="auto"/>
          <w:bottom w:val="single" w:sz="4" w:space="0" w:color="auto"/>
          <w:right w:val="single" w:sz="4" w:space="0" w:color="auto"/>
        </w:pBdr>
        <w:tabs>
          <w:tab w:val="left" w:pos="303"/>
        </w:tabs>
        <w:spacing w:after="0" w:line="240" w:lineRule="auto"/>
        <w:ind w:left="1440" w:hanging="360"/>
        <w:rPr>
          <w:b/>
        </w:rPr>
      </w:pPr>
      <w:r w:rsidRPr="00716259">
        <w:rPr>
          <w:rStyle w:val="PagrindinistekstasDiagrama"/>
          <w:bCs/>
        </w:rPr>
        <w:t xml:space="preserve">Užsienio </w:t>
      </w:r>
      <w:r w:rsidRPr="00716259">
        <w:rPr>
          <w:rStyle w:val="PagrindinistekstasDiagrama"/>
          <w:bCs/>
          <w:lang w:bidi="en-US"/>
        </w:rPr>
        <w:t xml:space="preserve">vienetas, kurio </w:t>
      </w:r>
      <w:r w:rsidRPr="00716259">
        <w:rPr>
          <w:rStyle w:val="PagrindinistekstasDiagrama"/>
          <w:bCs/>
        </w:rPr>
        <w:t xml:space="preserve">ūkinė komercinė </w:t>
      </w:r>
      <w:r w:rsidRPr="00716259">
        <w:rPr>
          <w:rStyle w:val="PagrindinistekstasDiagrama"/>
          <w:bCs/>
          <w:lang w:bidi="en-US"/>
        </w:rPr>
        <w:t xml:space="preserve">veikla yra </w:t>
      </w:r>
      <w:r w:rsidRPr="00716259">
        <w:rPr>
          <w:rStyle w:val="PagrindinistekstasDiagrama"/>
          <w:bCs/>
        </w:rPr>
        <w:t xml:space="preserve">kelių </w:t>
      </w:r>
      <w:r w:rsidRPr="00716259">
        <w:rPr>
          <w:rStyle w:val="PagrindinistekstasDiagrama"/>
          <w:bCs/>
          <w:lang w:bidi="en-US"/>
        </w:rPr>
        <w:t xml:space="preserve">tiesimas, </w:t>
      </w:r>
      <w:r w:rsidRPr="00716259">
        <w:rPr>
          <w:rStyle w:val="PagrindinistekstasDiagrama"/>
          <w:bCs/>
        </w:rPr>
        <w:t xml:space="preserve">dangų įrengimo </w:t>
      </w:r>
      <w:r w:rsidRPr="00716259">
        <w:rPr>
          <w:rStyle w:val="PagrindinistekstasDiagrama"/>
          <w:bCs/>
          <w:lang w:bidi="en-US"/>
        </w:rPr>
        <w:t xml:space="preserve">darbai, bus laikomas </w:t>
      </w:r>
      <w:r w:rsidRPr="00716259">
        <w:rPr>
          <w:rStyle w:val="PagrindinistekstasDiagrama"/>
          <w:bCs/>
        </w:rPr>
        <w:t xml:space="preserve">vykdančiu </w:t>
      </w:r>
      <w:r w:rsidRPr="00716259">
        <w:rPr>
          <w:rStyle w:val="PagrindinistekstasDiagrama"/>
          <w:bCs/>
          <w:lang w:bidi="en-US"/>
        </w:rPr>
        <w:t xml:space="preserve">savo </w:t>
      </w:r>
      <w:r w:rsidRPr="00716259">
        <w:rPr>
          <w:rStyle w:val="PagrindinistekstasDiagrama"/>
          <w:bCs/>
        </w:rPr>
        <w:t xml:space="preserve">veiklą </w:t>
      </w:r>
      <w:r w:rsidRPr="00716259">
        <w:rPr>
          <w:rStyle w:val="PagrindinistekstasDiagrama"/>
          <w:bCs/>
          <w:lang w:bidi="en-US"/>
        </w:rPr>
        <w:t xml:space="preserve">ten, kur vyksta </w:t>
      </w:r>
      <w:r w:rsidRPr="00716259">
        <w:rPr>
          <w:rStyle w:val="PagrindinistekstasDiagrama"/>
          <w:bCs/>
        </w:rPr>
        <w:t xml:space="preserve">kelių </w:t>
      </w:r>
      <w:r w:rsidRPr="00716259">
        <w:rPr>
          <w:rStyle w:val="PagrindinistekstasDiagrama"/>
          <w:bCs/>
          <w:lang w:bidi="en-US"/>
        </w:rPr>
        <w:t xml:space="preserve">tiesimo, </w:t>
      </w:r>
      <w:r w:rsidRPr="00716259">
        <w:rPr>
          <w:rStyle w:val="PagrindinistekstasDiagrama"/>
          <w:bCs/>
        </w:rPr>
        <w:t xml:space="preserve">dangų įrengimo </w:t>
      </w:r>
      <w:r w:rsidRPr="00716259">
        <w:rPr>
          <w:rStyle w:val="PagrindinistekstasDiagrama"/>
          <w:bCs/>
          <w:lang w:bidi="en-US"/>
        </w:rPr>
        <w:t>darbai.</w:t>
      </w:r>
    </w:p>
    <w:p w14:paraId="709EDE8C" w14:textId="77777777" w:rsidR="00586CCC" w:rsidRPr="00716259" w:rsidRDefault="00586CCC" w:rsidP="00927E61">
      <w:pPr>
        <w:pStyle w:val="Pagrindinistekstas"/>
        <w:widowControl w:val="0"/>
        <w:numPr>
          <w:ilvl w:val="0"/>
          <w:numId w:val="81"/>
        </w:numPr>
        <w:pBdr>
          <w:top w:val="single" w:sz="4" w:space="0" w:color="auto"/>
          <w:left w:val="single" w:sz="4" w:space="0" w:color="auto"/>
          <w:bottom w:val="single" w:sz="4" w:space="0" w:color="auto"/>
          <w:right w:val="single" w:sz="4" w:space="0" w:color="auto"/>
        </w:pBdr>
        <w:tabs>
          <w:tab w:val="left" w:pos="303"/>
        </w:tabs>
        <w:spacing w:after="280" w:line="240" w:lineRule="auto"/>
        <w:ind w:left="1440" w:hanging="360"/>
        <w:rPr>
          <w:b/>
        </w:rPr>
      </w:pPr>
      <w:r w:rsidRPr="00716259">
        <w:rPr>
          <w:rStyle w:val="PagrindinistekstasDiagrama"/>
          <w:bCs/>
          <w:lang w:bidi="en-US"/>
        </w:rPr>
        <w:t xml:space="preserve">Prekybininkas, prekiaujantis </w:t>
      </w:r>
      <w:r w:rsidRPr="00716259">
        <w:rPr>
          <w:rStyle w:val="PagrindinistekstasDiagrama"/>
          <w:bCs/>
        </w:rPr>
        <w:t xml:space="preserve">gatvėje, </w:t>
      </w:r>
      <w:r w:rsidRPr="00716259">
        <w:rPr>
          <w:rStyle w:val="PagrindinistekstasDiagrama"/>
          <w:bCs/>
          <w:lang w:bidi="en-US"/>
        </w:rPr>
        <w:t xml:space="preserve">bus laikomas </w:t>
      </w:r>
      <w:r w:rsidRPr="00716259">
        <w:rPr>
          <w:rStyle w:val="PagrindinistekstasDiagrama"/>
          <w:bCs/>
        </w:rPr>
        <w:t xml:space="preserve">vykdančiu veiklą </w:t>
      </w:r>
      <w:r w:rsidRPr="00716259">
        <w:rPr>
          <w:rStyle w:val="PagrindinistekstasDiagrama"/>
          <w:bCs/>
          <w:lang w:bidi="en-US"/>
        </w:rPr>
        <w:t xml:space="preserve">ten, kur yra jo </w:t>
      </w:r>
      <w:r w:rsidRPr="00716259">
        <w:rPr>
          <w:rStyle w:val="PagrindinistekstasDiagrama"/>
          <w:bCs/>
        </w:rPr>
        <w:t>prekybinio stalo buvimo vieta.</w:t>
      </w:r>
    </w:p>
    <w:p w14:paraId="19CC8D6F" w14:textId="77777777" w:rsidR="00586CCC" w:rsidRPr="00716259" w:rsidRDefault="00586CCC" w:rsidP="00586CCC">
      <w:pPr>
        <w:pStyle w:val="Pagrindinistekstas"/>
        <w:ind w:firstLine="560"/>
        <w:rPr>
          <w:b/>
        </w:rPr>
      </w:pPr>
      <w:r w:rsidRPr="00716259">
        <w:rPr>
          <w:rStyle w:val="PagrindinistekstasDiagrama"/>
          <w:bCs/>
          <w:i/>
          <w:iCs/>
        </w:rPr>
        <w:t>Antrasis kriterijus</w:t>
      </w:r>
      <w:r w:rsidRPr="00716259">
        <w:rPr>
          <w:rStyle w:val="PagrindinistekstasDiagrama"/>
          <w:bCs/>
        </w:rPr>
        <w:t xml:space="preserve"> suprantamas taip, kad vykdoma kitoje valstybėje ūkinė komercinė </w:t>
      </w:r>
      <w:r w:rsidRPr="00716259">
        <w:rPr>
          <w:rStyle w:val="PagrindinistekstasDiagrama"/>
          <w:bCs/>
          <w:u w:val="single"/>
        </w:rPr>
        <w:t>veikla yra laikoma nuolatine</w:t>
      </w:r>
      <w:r w:rsidRPr="00716259">
        <w:rPr>
          <w:rStyle w:val="PagrindinistekstasDiagrama"/>
          <w:bCs/>
        </w:rPr>
        <w:t>, jei ji trunka nemažiau nei šešis mėnesius ir yra užbaigtas komercinis operacijų ciklas. Nuolatinės buveinės egzistavimo pradžia sutampa su užsienio vieneto vykdomos veiklos per fiksuotą veiklavietę pradžia.</w:t>
      </w:r>
    </w:p>
    <w:p w14:paraId="575A9671" w14:textId="77777777" w:rsidR="00586CCC" w:rsidRPr="00716259" w:rsidRDefault="00586CCC" w:rsidP="00586CCC">
      <w:pPr>
        <w:pStyle w:val="Pagrindinistekstas"/>
        <w:ind w:firstLine="560"/>
        <w:rPr>
          <w:b/>
        </w:rPr>
      </w:pPr>
      <w:r w:rsidRPr="00716259">
        <w:rPr>
          <w:rStyle w:val="PagrindinistekstasDiagrama"/>
          <w:bCs/>
        </w:rPr>
        <w:t>Atvejais, kai užsienio vieneto veikla yra nutraukiama dėl tam tikrų priežasčių (nesėkmingų investicijų ar pan.), nors buvo įkurta ilgalaikei veiklai, užsienio vienetas gali būti laikomas vykdžiusiu veiklą per nuolatinę buveinę, jei veikla truko mažiau nei šešis mėnesius.</w:t>
      </w:r>
    </w:p>
    <w:p w14:paraId="494A52F4" w14:textId="77777777" w:rsidR="00586CCC" w:rsidRPr="00716259" w:rsidRDefault="00586CCC" w:rsidP="00586CCC">
      <w:pPr>
        <w:pStyle w:val="Pagrindinistekstas"/>
        <w:ind w:firstLine="560"/>
        <w:rPr>
          <w:b/>
        </w:rPr>
      </w:pPr>
      <w:r w:rsidRPr="00716259">
        <w:rPr>
          <w:rStyle w:val="PagrindinistekstasDiagrama"/>
          <w:bCs/>
        </w:rPr>
        <w:t>Jeigu užsienio vienetas veiklos vietą įkūrė tik trumpalaikei veiklai, tačiau jos veikla truko tiek, kad ją galima vadinti nuolatine, tai toks vienetas taip pat gali būti laikoma veikiančiu per nuolatinę buveinę.</w:t>
      </w:r>
    </w:p>
    <w:p w14:paraId="435D35AE" w14:textId="77777777" w:rsidR="00586CCC" w:rsidRPr="00716259" w:rsidRDefault="00586CCC" w:rsidP="00586CCC">
      <w:pPr>
        <w:pStyle w:val="Pagrindinistekstas"/>
        <w:ind w:firstLine="560"/>
        <w:rPr>
          <w:b/>
        </w:rPr>
      </w:pPr>
      <w:r w:rsidRPr="00716259">
        <w:rPr>
          <w:rStyle w:val="PagrindinistekstasDiagrama"/>
          <w:bCs/>
        </w:rPr>
        <w:t>Pavyzdinėje konvencijoje nurodoma, kad jei veikla yra trumpalaikė, bet pasikartojančio pobūdžio (pvz., sezoninė veikla), tokiu atveju, atsižvelgiant į veiklos darbų pobūdį toje vietoje, gali būti laikoma, kad laiko reikalavimas dėl nuolatinės buveinės yra įvykdytas dėl pasikartojančio veiklos pobūdžio, nepaisant fakto, kad nuolatinis buvimas tęsiasi mažiau nei šešis mėnesius, jei dėl užsienio vieneto veiklos arba jos dalies specifikos užsienio vienetas vykdo trumpalaikę pasikartojančią (periodiškai kasmet, tačiau ne trumpiau kaip trejus metus) veiklą arba jos dalį. Sezoninių ar kitų laikinų darbų pertraukų laikas įskaičiuojamas į bendrą šešių mėnesių trukmę.</w:t>
      </w:r>
    </w:p>
    <w:p w14:paraId="69E12249" w14:textId="77777777" w:rsidR="00586CCC" w:rsidRPr="00716259" w:rsidRDefault="00586CCC" w:rsidP="00586CCC">
      <w:pPr>
        <w:pStyle w:val="Pagrindinistekstas"/>
        <w:ind w:firstLine="560"/>
        <w:rPr>
          <w:b/>
        </w:rPr>
      </w:pPr>
      <w:r w:rsidRPr="00716259">
        <w:rPr>
          <w:rStyle w:val="PagrindinistekstasDiagrama"/>
          <w:bCs/>
        </w:rPr>
        <w:lastRenderedPageBreak/>
        <w:t>Nustatant, ar užsienio vienetas turi nuolatinę buveinę Lietuvoje, vadovaujamasi ir Lietuvos vidaus teisės aktais. Nuolatinumo apibrėžimas, atstovo (agento) statuso priklausomumo ar nepriklausomumo kriterijai nustatyti Finansų ministro 2002 m. vasario 27 d. įsakymu Nr. 54 „Dėl Užsienio vieneto veiklos nuolatinumo apibrėžimo ir Užsienio vieneto atstovo (agento) statuso priklausomumo ar nepriklausomumo kriterijų patvirtinimo“ (toliau - Įsakymas).</w:t>
      </w:r>
    </w:p>
    <w:p w14:paraId="7CED2EB2" w14:textId="77777777" w:rsidR="00586CCC" w:rsidRPr="00716259" w:rsidRDefault="00586CCC" w:rsidP="00586CCC">
      <w:pPr>
        <w:pStyle w:val="Pagrindinistekstas"/>
        <w:ind w:firstLine="560"/>
        <w:rPr>
          <w:b/>
        </w:rPr>
      </w:pPr>
      <w:r w:rsidRPr="00716259">
        <w:rPr>
          <w:rStyle w:val="PagrindinistekstasDiagrama"/>
          <w:bCs/>
        </w:rPr>
        <w:t>Nuolatinumo kriterijus Lietuvoje siejamas su dviem salygomis, t. y. vykdoma ūkinė komercinė veikla nėra laikina - trunka ne trumpiau kaip šešis mėnesius ir yra užbaigtas komercinis operacijų ciklas. Pagal minėtą Įsakymą, užbaigtą komercinį operacijų ciklą sudaro trys užsienio vieneto veiklos operacijų etapai:</w:t>
      </w:r>
    </w:p>
    <w:p w14:paraId="32255D3F" w14:textId="77777777" w:rsidR="00586CCC" w:rsidRPr="00716259" w:rsidRDefault="00586CCC" w:rsidP="00927E61">
      <w:pPr>
        <w:pStyle w:val="Pagrindinistekstas"/>
        <w:widowControl w:val="0"/>
        <w:numPr>
          <w:ilvl w:val="0"/>
          <w:numId w:val="82"/>
        </w:numPr>
        <w:tabs>
          <w:tab w:val="left" w:pos="860"/>
        </w:tabs>
        <w:spacing w:after="0" w:line="240" w:lineRule="auto"/>
        <w:ind w:left="1440" w:hanging="360"/>
        <w:rPr>
          <w:b/>
        </w:rPr>
      </w:pPr>
      <w:r w:rsidRPr="00716259">
        <w:rPr>
          <w:rStyle w:val="PagrindinistekstasDiagrama"/>
          <w:bCs/>
        </w:rPr>
        <w:t>pirmąjį etapą sudaro viena arba kelios iš šių operacijų: rinkodara, įskaitant rinkotyrą, distribucija (paskirstymas), reklama, projektavimo ir tyrinėjimo darbai ir kitos iš esmės panašios operacijos;</w:t>
      </w:r>
    </w:p>
    <w:p w14:paraId="5E771A05" w14:textId="77777777" w:rsidR="00586CCC" w:rsidRPr="00716259" w:rsidRDefault="00586CCC" w:rsidP="00927E61">
      <w:pPr>
        <w:pStyle w:val="Pagrindinistekstas"/>
        <w:widowControl w:val="0"/>
        <w:numPr>
          <w:ilvl w:val="0"/>
          <w:numId w:val="82"/>
        </w:numPr>
        <w:tabs>
          <w:tab w:val="left" w:pos="855"/>
        </w:tabs>
        <w:spacing w:after="0" w:line="240" w:lineRule="auto"/>
        <w:ind w:left="1440" w:hanging="360"/>
        <w:rPr>
          <w:b/>
        </w:rPr>
      </w:pPr>
      <w:r w:rsidRPr="00716259">
        <w:rPr>
          <w:rStyle w:val="PagrindinistekstasDiagrama"/>
          <w:bCs/>
        </w:rPr>
        <w:t>antrąjį etapą sudaro viena arba kelios iš šių operacijų: sandėliavimas, konsultavimas, užsakymų priėmimas, mokslinio tyrimo, bandomieji, konstravimo ir technologiniai darbai, gamyba, paslaugų teikimas ir kitos iš esmės panašios operacijos;</w:t>
      </w:r>
    </w:p>
    <w:p w14:paraId="1A2E0D62" w14:textId="77777777" w:rsidR="00586CCC" w:rsidRPr="00716259" w:rsidRDefault="00586CCC" w:rsidP="00927E61">
      <w:pPr>
        <w:pStyle w:val="Pagrindinistekstas"/>
        <w:widowControl w:val="0"/>
        <w:numPr>
          <w:ilvl w:val="0"/>
          <w:numId w:val="82"/>
        </w:numPr>
        <w:tabs>
          <w:tab w:val="left" w:pos="860"/>
        </w:tabs>
        <w:spacing w:after="0" w:line="240" w:lineRule="auto"/>
        <w:ind w:left="1440" w:hanging="360"/>
        <w:rPr>
          <w:b/>
        </w:rPr>
      </w:pPr>
      <w:r w:rsidRPr="00716259">
        <w:rPr>
          <w:rStyle w:val="PagrindinistekstasDiagrama"/>
          <w:bCs/>
        </w:rPr>
        <w:t>trečiąjį etapą sudaro viena arba kelios iš šių operacijų: pardavimas, tiekimas, pristatymas, apmokėjimas (atlyginimas) ir kitos iš esmės panašios operacijos.</w:t>
      </w:r>
    </w:p>
    <w:p w14:paraId="73C41ABA" w14:textId="77777777" w:rsidR="00586CCC" w:rsidRPr="00716259" w:rsidRDefault="00586CCC" w:rsidP="00586CCC">
      <w:pPr>
        <w:pStyle w:val="Pagrindinistekstas"/>
        <w:ind w:firstLine="680"/>
        <w:rPr>
          <w:b/>
        </w:rPr>
      </w:pPr>
      <w:r w:rsidRPr="00716259">
        <w:rPr>
          <w:rStyle w:val="PagrindinistekstasDiagrama"/>
          <w:bCs/>
        </w:rPr>
        <w:t xml:space="preserve">Užsienio vieneto veikla arba jos dalis, vykdoma ilgiau nei šešis mėnesius, nelaikoma nuolatine, jei užsienio vienetas neįvykdė visų užbaigto komercinio operacijų ciklo etapų. Tačiau, jei vienas iš komercinio operacijų ciklo etapų yra savarankiška užsienio vieneto veikla arba jos dalis, tai tokia veikla bus laikoma nuolatine, net jei ir nėra įvykdomi visi komercinio operacijų </w:t>
      </w:r>
      <w:r w:rsidRPr="00716259">
        <w:rPr>
          <w:rStyle w:val="PagrindinistekstasDiagrama"/>
          <w:bCs/>
          <w:lang w:bidi="en-US"/>
        </w:rPr>
        <w:t xml:space="preserve">ciklo etapai. Veikla nebus laikoma nuolatine, jei bent vienas </w:t>
      </w:r>
      <w:r w:rsidRPr="00716259">
        <w:rPr>
          <w:rStyle w:val="PagrindinistekstasDiagrama"/>
          <w:bCs/>
        </w:rPr>
        <w:t xml:space="preserve">šios </w:t>
      </w:r>
      <w:r w:rsidRPr="00716259">
        <w:rPr>
          <w:rStyle w:val="PagrindinistekstasDiagrama"/>
          <w:bCs/>
          <w:lang w:bidi="en-US"/>
        </w:rPr>
        <w:t xml:space="preserve">veiklos komercinio </w:t>
      </w:r>
      <w:r w:rsidRPr="00716259">
        <w:rPr>
          <w:rStyle w:val="PagrindinistekstasDiagrama"/>
          <w:bCs/>
        </w:rPr>
        <w:t xml:space="preserve">operacijų </w:t>
      </w:r>
      <w:r w:rsidRPr="00716259">
        <w:rPr>
          <w:rStyle w:val="PagrindinistekstasDiagrama"/>
          <w:bCs/>
          <w:lang w:bidi="en-US"/>
        </w:rPr>
        <w:t xml:space="preserve">ciklo </w:t>
      </w:r>
      <w:r w:rsidRPr="00716259">
        <w:rPr>
          <w:rStyle w:val="PagrindinistekstasDiagrama"/>
          <w:bCs/>
        </w:rPr>
        <w:t xml:space="preserve">etapų </w:t>
      </w:r>
      <w:r w:rsidRPr="00716259">
        <w:rPr>
          <w:rStyle w:val="PagrindinistekstasDiagrama"/>
          <w:bCs/>
          <w:lang w:bidi="en-US"/>
        </w:rPr>
        <w:t xml:space="preserve">bus atliktas ne Lietuvoje, </w:t>
      </w:r>
      <w:r w:rsidRPr="00716259">
        <w:rPr>
          <w:rStyle w:val="PagrindinistekstasDiagrama"/>
          <w:bCs/>
        </w:rPr>
        <w:t xml:space="preserve">išskyrus, </w:t>
      </w:r>
      <w:r w:rsidRPr="00716259">
        <w:rPr>
          <w:rStyle w:val="PagrindinistekstasDiagrama"/>
          <w:bCs/>
          <w:lang w:bidi="en-US"/>
        </w:rPr>
        <w:t xml:space="preserve">kai konkretus </w:t>
      </w:r>
      <w:r w:rsidRPr="00716259">
        <w:rPr>
          <w:rStyle w:val="PagrindinistekstasDiagrama"/>
          <w:bCs/>
        </w:rPr>
        <w:t xml:space="preserve">operacijų </w:t>
      </w:r>
      <w:r w:rsidRPr="00716259">
        <w:rPr>
          <w:rStyle w:val="PagrindinistekstasDiagrama"/>
          <w:bCs/>
          <w:lang w:bidi="en-US"/>
        </w:rPr>
        <w:t xml:space="preserve">ciklo etapas, </w:t>
      </w:r>
      <w:r w:rsidRPr="00716259">
        <w:rPr>
          <w:rStyle w:val="PagrindinistekstasDiagrama"/>
          <w:bCs/>
        </w:rPr>
        <w:t xml:space="preserve">įvykdytas </w:t>
      </w:r>
      <w:r w:rsidRPr="00716259">
        <w:rPr>
          <w:rStyle w:val="PagrindinistekstasDiagrama"/>
          <w:bCs/>
          <w:lang w:bidi="en-US"/>
        </w:rPr>
        <w:t xml:space="preserve">Lietuvoje, yra </w:t>
      </w:r>
      <w:r w:rsidRPr="00716259">
        <w:rPr>
          <w:rStyle w:val="PagrindinistekstasDiagrama"/>
          <w:bCs/>
        </w:rPr>
        <w:t xml:space="preserve">savarankiška užsienio </w:t>
      </w:r>
      <w:r w:rsidRPr="00716259">
        <w:rPr>
          <w:rStyle w:val="PagrindinistekstasDiagrama"/>
          <w:bCs/>
          <w:lang w:bidi="en-US"/>
        </w:rPr>
        <w:t>vieneto veikla ar jos dalis.</w:t>
      </w:r>
    </w:p>
    <w:p w14:paraId="45423F44" w14:textId="77777777" w:rsidR="00586CCC" w:rsidRPr="00716259" w:rsidRDefault="00586CCC" w:rsidP="00586CCC">
      <w:pPr>
        <w:pStyle w:val="Pagrindinistekstas"/>
        <w:ind w:firstLine="560"/>
        <w:rPr>
          <w:b/>
        </w:rPr>
      </w:pPr>
      <w:r w:rsidRPr="00716259">
        <w:rPr>
          <w:rStyle w:val="PagrindinistekstasDiagrama"/>
          <w:bCs/>
        </w:rPr>
        <w:t xml:space="preserve">Įsakymas </w:t>
      </w:r>
      <w:r w:rsidRPr="00716259">
        <w:rPr>
          <w:rStyle w:val="PagrindinistekstasDiagrama"/>
          <w:bCs/>
          <w:lang w:bidi="en-US"/>
        </w:rPr>
        <w:t xml:space="preserve">taip pat nustato, kad </w:t>
      </w:r>
      <w:r w:rsidRPr="00716259">
        <w:rPr>
          <w:rStyle w:val="PagrindinistekstasDiagrama"/>
          <w:bCs/>
        </w:rPr>
        <w:t xml:space="preserve">užsienio </w:t>
      </w:r>
      <w:r w:rsidRPr="00716259">
        <w:rPr>
          <w:rStyle w:val="PagrindinistekstasDiagrama"/>
          <w:bCs/>
          <w:lang w:bidi="en-US"/>
        </w:rPr>
        <w:t xml:space="preserve">vieneto veikla arba jos dalis, nors ir atitinka laikinos veiklos </w:t>
      </w:r>
      <w:r w:rsidRPr="00716259">
        <w:rPr>
          <w:rStyle w:val="PagrindinistekstasDiagrama"/>
          <w:bCs/>
        </w:rPr>
        <w:t xml:space="preserve">požymius, </w:t>
      </w:r>
      <w:r w:rsidRPr="00716259">
        <w:rPr>
          <w:rStyle w:val="PagrindinistekstasDiagrama"/>
          <w:bCs/>
          <w:lang w:bidi="en-US"/>
        </w:rPr>
        <w:t>yra laikoma nuolatine, jei:</w:t>
      </w:r>
    </w:p>
    <w:p w14:paraId="1981EA8C" w14:textId="77777777" w:rsidR="00586CCC" w:rsidRPr="00716259" w:rsidRDefault="00586CCC" w:rsidP="00927E61">
      <w:pPr>
        <w:pStyle w:val="Pagrindinistekstas"/>
        <w:widowControl w:val="0"/>
        <w:numPr>
          <w:ilvl w:val="0"/>
          <w:numId w:val="82"/>
        </w:numPr>
        <w:tabs>
          <w:tab w:val="left" w:pos="854"/>
        </w:tabs>
        <w:spacing w:after="0" w:line="240" w:lineRule="auto"/>
        <w:ind w:left="1440" w:hanging="360"/>
        <w:rPr>
          <w:b/>
        </w:rPr>
      </w:pPr>
      <w:r w:rsidRPr="00716259">
        <w:rPr>
          <w:rStyle w:val="PagrindinistekstasDiagrama"/>
          <w:bCs/>
        </w:rPr>
        <w:t xml:space="preserve">ši </w:t>
      </w:r>
      <w:r w:rsidRPr="00716259">
        <w:rPr>
          <w:rStyle w:val="PagrindinistekstasDiagrama"/>
          <w:bCs/>
          <w:lang w:bidi="en-US"/>
        </w:rPr>
        <w:t xml:space="preserve">veikla yra </w:t>
      </w:r>
      <w:r w:rsidRPr="00716259">
        <w:rPr>
          <w:rStyle w:val="PagrindinistekstasDiagrama"/>
          <w:bCs/>
        </w:rPr>
        <w:t xml:space="preserve">trumpalaikė, tačiau </w:t>
      </w:r>
      <w:r w:rsidRPr="00716259">
        <w:rPr>
          <w:rStyle w:val="PagrindinistekstasDiagrama"/>
          <w:bCs/>
          <w:lang w:bidi="en-US"/>
        </w:rPr>
        <w:t xml:space="preserve">yra </w:t>
      </w:r>
      <w:r w:rsidRPr="00716259">
        <w:rPr>
          <w:rStyle w:val="PagrindinistekstasDiagrama"/>
          <w:bCs/>
        </w:rPr>
        <w:t xml:space="preserve">užbaigtas </w:t>
      </w:r>
      <w:r w:rsidRPr="00716259">
        <w:rPr>
          <w:rStyle w:val="PagrindinistekstasDiagrama"/>
          <w:bCs/>
          <w:lang w:bidi="en-US"/>
        </w:rPr>
        <w:t xml:space="preserve">komercinis </w:t>
      </w:r>
      <w:r w:rsidRPr="00716259">
        <w:rPr>
          <w:rStyle w:val="PagrindinistekstasDiagrama"/>
          <w:bCs/>
        </w:rPr>
        <w:t xml:space="preserve">operacijų </w:t>
      </w:r>
      <w:r w:rsidRPr="00716259">
        <w:rPr>
          <w:rStyle w:val="PagrindinistekstasDiagrama"/>
          <w:bCs/>
          <w:lang w:bidi="en-US"/>
        </w:rPr>
        <w:t xml:space="preserve">ciklas, galima </w:t>
      </w:r>
      <w:r w:rsidRPr="00716259">
        <w:rPr>
          <w:rStyle w:val="PagrindinistekstasDiagrama"/>
          <w:bCs/>
        </w:rPr>
        <w:t xml:space="preserve">aiškiai </w:t>
      </w:r>
      <w:r w:rsidRPr="00716259">
        <w:rPr>
          <w:rStyle w:val="PagrindinistekstasDiagrama"/>
          <w:bCs/>
          <w:lang w:bidi="en-US"/>
        </w:rPr>
        <w:t xml:space="preserve">nustatyti jos vykdymo </w:t>
      </w:r>
      <w:r w:rsidRPr="00716259">
        <w:rPr>
          <w:rStyle w:val="PagrindinistekstasDiagrama"/>
          <w:bCs/>
        </w:rPr>
        <w:t xml:space="preserve">vietą </w:t>
      </w:r>
      <w:r w:rsidRPr="00716259">
        <w:rPr>
          <w:rStyle w:val="PagrindinistekstasDiagrama"/>
          <w:bCs/>
          <w:lang w:bidi="en-US"/>
        </w:rPr>
        <w:t xml:space="preserve">Lietuvoje, ir pajamos, kurias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uždirbo iš šios </w:t>
      </w:r>
      <w:r w:rsidRPr="00716259">
        <w:rPr>
          <w:rStyle w:val="PagrindinistekstasDiagrama"/>
          <w:bCs/>
          <w:lang w:bidi="en-US"/>
        </w:rPr>
        <w:t xml:space="preserve">veiklos Lietuvoje, yra visos to </w:t>
      </w:r>
      <w:r w:rsidRPr="00716259">
        <w:rPr>
          <w:rStyle w:val="PagrindinistekstasDiagrama"/>
          <w:bCs/>
        </w:rPr>
        <w:t xml:space="preserve">užsienio </w:t>
      </w:r>
      <w:r w:rsidRPr="00716259">
        <w:rPr>
          <w:rStyle w:val="PagrindinistekstasDiagrama"/>
          <w:bCs/>
          <w:lang w:bidi="en-US"/>
        </w:rPr>
        <w:t xml:space="preserve">vieneto pajamos </w:t>
      </w:r>
      <w:r w:rsidRPr="00716259">
        <w:rPr>
          <w:rStyle w:val="PagrindinistekstasDiagrama"/>
          <w:bCs/>
        </w:rPr>
        <w:t xml:space="preserve">iš šios </w:t>
      </w:r>
      <w:r w:rsidRPr="00716259">
        <w:rPr>
          <w:rStyle w:val="PagrindinistekstasDiagrama"/>
          <w:bCs/>
          <w:lang w:bidi="en-US"/>
        </w:rPr>
        <w:t>veiklos, arba</w:t>
      </w:r>
    </w:p>
    <w:p w14:paraId="280FC458" w14:textId="77777777" w:rsidR="00586CCC" w:rsidRPr="00716259" w:rsidRDefault="00586CCC" w:rsidP="00927E61">
      <w:pPr>
        <w:pStyle w:val="Pagrindinistekstas"/>
        <w:widowControl w:val="0"/>
        <w:numPr>
          <w:ilvl w:val="0"/>
          <w:numId w:val="82"/>
        </w:numPr>
        <w:tabs>
          <w:tab w:val="left" w:pos="854"/>
        </w:tabs>
        <w:spacing w:after="0" w:line="240" w:lineRule="auto"/>
        <w:ind w:left="1440" w:hanging="360"/>
        <w:rPr>
          <w:b/>
        </w:rPr>
      </w:pPr>
      <w:r w:rsidRPr="00716259">
        <w:rPr>
          <w:rStyle w:val="PagrindinistekstasDiagrama"/>
          <w:bCs/>
        </w:rPr>
        <w:t xml:space="preserve">ši </w:t>
      </w:r>
      <w:r w:rsidRPr="00716259">
        <w:rPr>
          <w:rStyle w:val="PagrindinistekstasDiagrama"/>
          <w:bCs/>
          <w:lang w:bidi="en-US"/>
        </w:rPr>
        <w:t xml:space="preserve">veikla </w:t>
      </w:r>
      <w:r w:rsidRPr="00716259">
        <w:rPr>
          <w:rStyle w:val="PagrindinistekstasDiagrama"/>
          <w:bCs/>
        </w:rPr>
        <w:t xml:space="preserve">dėl </w:t>
      </w:r>
      <w:r w:rsidRPr="00716259">
        <w:rPr>
          <w:rStyle w:val="PagrindinistekstasDiagrama"/>
          <w:bCs/>
          <w:lang w:bidi="en-US"/>
        </w:rPr>
        <w:t xml:space="preserve">jos specifikos yra </w:t>
      </w:r>
      <w:r w:rsidRPr="00716259">
        <w:rPr>
          <w:rStyle w:val="PagrindinistekstasDiagrama"/>
          <w:bCs/>
        </w:rPr>
        <w:t xml:space="preserve">trumpalaikė </w:t>
      </w:r>
      <w:r w:rsidRPr="00716259">
        <w:rPr>
          <w:rStyle w:val="PagrindinistekstasDiagrama"/>
          <w:bCs/>
          <w:lang w:bidi="en-US"/>
        </w:rPr>
        <w:t xml:space="preserve">pasikartojanti </w:t>
      </w:r>
      <w:r w:rsidRPr="00716259">
        <w:rPr>
          <w:rStyle w:val="PagrindinistekstasDiagrama"/>
          <w:bCs/>
        </w:rPr>
        <w:t xml:space="preserve">(periodiškai </w:t>
      </w:r>
      <w:r w:rsidRPr="00716259">
        <w:rPr>
          <w:rStyle w:val="PagrindinistekstasDiagrama"/>
          <w:bCs/>
          <w:lang w:bidi="en-US"/>
        </w:rPr>
        <w:t xml:space="preserve">kasmet, </w:t>
      </w:r>
      <w:r w:rsidRPr="00716259">
        <w:rPr>
          <w:rStyle w:val="PagrindinistekstasDiagrama"/>
          <w:bCs/>
        </w:rPr>
        <w:t xml:space="preserve">tačiau </w:t>
      </w:r>
      <w:r w:rsidRPr="00716259">
        <w:rPr>
          <w:rStyle w:val="PagrindinistekstasDiagrama"/>
          <w:bCs/>
          <w:lang w:bidi="en-US"/>
        </w:rPr>
        <w:t xml:space="preserve">ne trumpiau kaip tris metus) ir kasmet </w:t>
      </w:r>
      <w:r w:rsidRPr="00716259">
        <w:rPr>
          <w:rStyle w:val="PagrindinistekstasDiagrama"/>
          <w:bCs/>
        </w:rPr>
        <w:t xml:space="preserve">ši </w:t>
      </w:r>
      <w:r w:rsidRPr="00716259">
        <w:rPr>
          <w:rStyle w:val="PagrindinistekstasDiagrama"/>
          <w:bCs/>
          <w:lang w:bidi="en-US"/>
        </w:rPr>
        <w:t xml:space="preserve">veikla yra </w:t>
      </w:r>
      <w:r w:rsidRPr="00716259">
        <w:rPr>
          <w:rStyle w:val="PagrindinistekstasDiagrama"/>
          <w:bCs/>
        </w:rPr>
        <w:t xml:space="preserve">užbaigtas </w:t>
      </w:r>
      <w:r w:rsidRPr="00716259">
        <w:rPr>
          <w:rStyle w:val="PagrindinistekstasDiagrama"/>
          <w:bCs/>
          <w:lang w:bidi="en-US"/>
        </w:rPr>
        <w:t xml:space="preserve">komercinis </w:t>
      </w:r>
      <w:r w:rsidRPr="00716259">
        <w:rPr>
          <w:rStyle w:val="PagrindinistekstasDiagrama"/>
          <w:bCs/>
        </w:rPr>
        <w:t xml:space="preserve">operacijų </w:t>
      </w:r>
      <w:r w:rsidRPr="00716259">
        <w:rPr>
          <w:rStyle w:val="PagrindinistekstasDiagrama"/>
          <w:bCs/>
          <w:lang w:bidi="en-US"/>
        </w:rPr>
        <w:t>ciklas, arba</w:t>
      </w:r>
    </w:p>
    <w:p w14:paraId="7FEC2261" w14:textId="77777777" w:rsidR="00586CCC" w:rsidRPr="00716259" w:rsidRDefault="00586CCC" w:rsidP="00927E61">
      <w:pPr>
        <w:pStyle w:val="Pagrindinistekstas"/>
        <w:widowControl w:val="0"/>
        <w:numPr>
          <w:ilvl w:val="0"/>
          <w:numId w:val="82"/>
        </w:numPr>
        <w:tabs>
          <w:tab w:val="left" w:pos="854"/>
        </w:tabs>
        <w:spacing w:after="0" w:line="240" w:lineRule="auto"/>
        <w:ind w:left="1440" w:hanging="360"/>
        <w:rPr>
          <w:b/>
        </w:rPr>
      </w:pPr>
      <w:r w:rsidRPr="00716259">
        <w:rPr>
          <w:rStyle w:val="PagrindinistekstasDiagrama"/>
          <w:bCs/>
        </w:rPr>
        <w:t xml:space="preserve">užsienio </w:t>
      </w:r>
      <w:r w:rsidRPr="00716259">
        <w:rPr>
          <w:rStyle w:val="PagrindinistekstasDiagrama"/>
          <w:bCs/>
          <w:lang w:bidi="en-US"/>
        </w:rPr>
        <w:t xml:space="preserve">vienetas per </w:t>
      </w:r>
      <w:r w:rsidRPr="00716259">
        <w:rPr>
          <w:rStyle w:val="PagrindinistekstasDiagrama"/>
          <w:bCs/>
        </w:rPr>
        <w:t xml:space="preserve">mokestinį laikotarpį </w:t>
      </w:r>
      <w:r w:rsidRPr="00716259">
        <w:rPr>
          <w:rStyle w:val="PagrindinistekstasDiagrama"/>
          <w:bCs/>
          <w:lang w:bidi="en-US"/>
        </w:rPr>
        <w:t xml:space="preserve">gavo daugiau kaip 15 000 </w:t>
      </w:r>
      <w:r w:rsidRPr="00716259">
        <w:rPr>
          <w:rStyle w:val="PagrindinistekstasDiagrama"/>
          <w:bCs/>
        </w:rPr>
        <w:t xml:space="preserve">eurų pajamų iš </w:t>
      </w:r>
      <w:r w:rsidRPr="00716259">
        <w:rPr>
          <w:rStyle w:val="PagrindinistekstasDiagrama"/>
          <w:bCs/>
          <w:lang w:bidi="en-US"/>
        </w:rPr>
        <w:t xml:space="preserve">veiklos Lietuvoje, </w:t>
      </w:r>
      <w:r w:rsidRPr="00716259">
        <w:rPr>
          <w:rStyle w:val="PagrindinistekstasDiagrama"/>
          <w:bCs/>
        </w:rPr>
        <w:t xml:space="preserve">išskyrus </w:t>
      </w:r>
      <w:r w:rsidRPr="00716259">
        <w:rPr>
          <w:rStyle w:val="PagrindinistekstasDiagrama"/>
          <w:bCs/>
          <w:lang w:bidi="en-US"/>
        </w:rPr>
        <w:t xml:space="preserve">atvejus, kai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mokesčių </w:t>
      </w:r>
      <w:r w:rsidRPr="00716259">
        <w:rPr>
          <w:rStyle w:val="PagrindinistekstasDiagrama"/>
          <w:bCs/>
          <w:lang w:bidi="en-US"/>
        </w:rPr>
        <w:t xml:space="preserve">administratoriui pateikia </w:t>
      </w:r>
      <w:r w:rsidRPr="00716259">
        <w:rPr>
          <w:rStyle w:val="PagrindinistekstasDiagrama"/>
          <w:bCs/>
        </w:rPr>
        <w:t xml:space="preserve">įrodymus, </w:t>
      </w:r>
      <w:r w:rsidRPr="00716259">
        <w:rPr>
          <w:rStyle w:val="PagrindinistekstasDiagrama"/>
          <w:bCs/>
          <w:lang w:bidi="en-US"/>
        </w:rPr>
        <w:t xml:space="preserve">kad </w:t>
      </w:r>
      <w:r w:rsidRPr="00716259">
        <w:rPr>
          <w:rStyle w:val="PagrindinistekstasDiagrama"/>
          <w:bCs/>
        </w:rPr>
        <w:t xml:space="preserve">šios užsienio </w:t>
      </w:r>
      <w:r w:rsidRPr="00716259">
        <w:rPr>
          <w:rStyle w:val="PagrindinistekstasDiagrama"/>
          <w:bCs/>
          <w:lang w:bidi="en-US"/>
        </w:rPr>
        <w:t xml:space="preserve">vieneto pajamos </w:t>
      </w:r>
      <w:r w:rsidRPr="00716259">
        <w:rPr>
          <w:rStyle w:val="PagrindinistekstasDiagrama"/>
          <w:bCs/>
        </w:rPr>
        <w:t xml:space="preserve">iš </w:t>
      </w:r>
      <w:r w:rsidRPr="00716259">
        <w:rPr>
          <w:rStyle w:val="PagrindinistekstasDiagrama"/>
          <w:bCs/>
          <w:lang w:bidi="en-US"/>
        </w:rPr>
        <w:t xml:space="preserve">veiklos Lietuvoje sudaro </w:t>
      </w:r>
      <w:r w:rsidRPr="00716259">
        <w:rPr>
          <w:rStyle w:val="PagrindinistekstasDiagrama"/>
          <w:bCs/>
        </w:rPr>
        <w:t xml:space="preserve">mažiau </w:t>
      </w:r>
      <w:r w:rsidRPr="00716259">
        <w:rPr>
          <w:rStyle w:val="PagrindinistekstasDiagrama"/>
          <w:bCs/>
          <w:lang w:bidi="en-US"/>
        </w:rPr>
        <w:t xml:space="preserve">kaip 15 </w:t>
      </w:r>
      <w:r w:rsidRPr="00716259">
        <w:rPr>
          <w:rStyle w:val="PagrindinistekstasDiagrama"/>
          <w:bCs/>
        </w:rPr>
        <w:t xml:space="preserve">procentų visų užsienio </w:t>
      </w:r>
      <w:r w:rsidRPr="00716259">
        <w:rPr>
          <w:rStyle w:val="PagrindinistekstasDiagrama"/>
          <w:bCs/>
          <w:lang w:bidi="en-US"/>
        </w:rPr>
        <w:t xml:space="preserve">vieneto </w:t>
      </w:r>
      <w:r w:rsidRPr="00716259">
        <w:rPr>
          <w:rStyle w:val="PagrindinistekstasDiagrama"/>
          <w:bCs/>
        </w:rPr>
        <w:t>gaunamų pajamų.</w:t>
      </w:r>
    </w:p>
    <w:p w14:paraId="20EFEF35" w14:textId="77777777" w:rsidR="00586CCC" w:rsidRPr="00716259" w:rsidRDefault="00586CCC" w:rsidP="00586CCC">
      <w:pPr>
        <w:pStyle w:val="Pagrindinistekstas"/>
        <w:ind w:firstLine="560"/>
        <w:rPr>
          <w:b/>
        </w:rPr>
      </w:pPr>
      <w:r w:rsidRPr="00716259">
        <w:rPr>
          <w:rStyle w:val="PagrindinistekstasDiagrama"/>
          <w:bCs/>
          <w:i/>
          <w:iCs/>
        </w:rPr>
        <w:t xml:space="preserve">Trečiasis </w:t>
      </w:r>
      <w:r w:rsidRPr="00716259">
        <w:rPr>
          <w:rStyle w:val="PagrindinistekstasDiagrama"/>
          <w:bCs/>
          <w:i/>
          <w:iCs/>
          <w:lang w:bidi="en-US"/>
        </w:rPr>
        <w:t>kriterijus</w:t>
      </w:r>
      <w:r w:rsidRPr="00716259">
        <w:rPr>
          <w:rStyle w:val="PagrindinistekstasDiagrama"/>
          <w:bCs/>
          <w:lang w:bidi="en-US"/>
        </w:rPr>
        <w:t xml:space="preserve"> numato, kad veiklos vieta laikoma nuolatine buveine, jei vienetas per </w:t>
      </w:r>
      <w:r w:rsidRPr="00716259">
        <w:rPr>
          <w:rStyle w:val="PagrindinistekstasDiagrama"/>
          <w:bCs/>
        </w:rPr>
        <w:t xml:space="preserve">ją visiškai ar iš dalies </w:t>
      </w:r>
      <w:r w:rsidRPr="00716259">
        <w:rPr>
          <w:rStyle w:val="PagrindinistekstasDiagrama"/>
          <w:bCs/>
          <w:u w:val="single"/>
        </w:rPr>
        <w:t>vykdo ūkinę komercinę veiklą</w:t>
      </w:r>
      <w:r w:rsidRPr="00716259">
        <w:rPr>
          <w:rStyle w:val="PagrindinistekstasDiagrama"/>
          <w:bCs/>
        </w:rPr>
        <w:t xml:space="preserve"> ir tais atvejais, jei visa arba pagrindinė vieneto veikla vykdoma per automatinę techninę įrangą, o darbuotojų veikla apsiribos tokios įrangos valdymu ir priežiūra.</w:t>
      </w:r>
    </w:p>
    <w:p w14:paraId="2FB8836B" w14:textId="77777777" w:rsidR="00586CCC" w:rsidRPr="00716259" w:rsidRDefault="00586CCC" w:rsidP="00586CCC">
      <w:pPr>
        <w:pStyle w:val="Pagrindinistekstas"/>
        <w:spacing w:after="280"/>
        <w:ind w:firstLine="560"/>
        <w:rPr>
          <w:b/>
        </w:rPr>
      </w:pPr>
      <w:r w:rsidRPr="00716259">
        <w:rPr>
          <w:rStyle w:val="PagrindinistekstasDiagrama"/>
          <w:bCs/>
        </w:rPr>
        <w:t>Atvejais, kai užsienio vienetas sumontuoja automatinę techninę įrangą konkrečioje vietoje, tačiau vėliau ją perleidžia ar išnuomoja kitam subjektui, kuris ją valdo, nebus laikoma, kad egzistuoja nuolatinė buveinė. Nuolatinė buveinė būtų pripažįstama tik tuo atveju, jei vienetas, sumontavęs tokią įrangą, ją išlaiko ir valdo savo sąskaita. Nuolatine buveine užsienio vieneto veikla būtų pripažįstama ir tuo atveju, jei automatinę techninę įrangą valdo, eksploatuoja ir prižiūri priklausomas agentas.</w:t>
      </w:r>
    </w:p>
    <w:p w14:paraId="54967E6E"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2C7D24A5"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lastRenderedPageBreak/>
        <w:t>Vokietijos įmonė Lietuvos įmonei pagal sudarytą sutartį suprojektavo, atvežė ir sumontavo automobilių kėbulų gamybai reikalingus įrengimus. Vokietijos įmonėje dirbantys ir atsakingi už mokymus asmenys apmokė Lietuvos įmonės darbuotojus, kaip tinkamai naudotis naujaisiais įrengimais. Vokietijos įmonė Lietuvos įmonei taip pat teikia šių įrengimų priežiūros ir garantinio aptarnavimo paslaugas. Įrengimus Lietuvoje nuolat prižiūri du Vokietijos įmonės darbuotojai, kurie keičiasi kas penkias savaites. Lietuvos įmonė Vokietijos įmonei reguliariai aštuonis mėnesius moka už įrengimų priežiūrą. Taigi tokia Vokietijos įmonė laikoma turinčia nuolatinę buveinę Lietuvoje, kadangi Lietuvoje ji turi veiklos vietą, per šią vietą vykdo savo ūkinę komercinę veiklą ir šią veiklą ji vykdo nuolatos (ilgiau nei šešis mėnesius).</w:t>
      </w:r>
    </w:p>
    <w:p w14:paraId="57F389E2" w14:textId="77777777" w:rsidR="00586CCC" w:rsidRPr="00716259" w:rsidRDefault="00586CCC" w:rsidP="00927E61">
      <w:pPr>
        <w:pStyle w:val="Pagrindinistekstas"/>
        <w:widowControl w:val="0"/>
        <w:numPr>
          <w:ilvl w:val="0"/>
          <w:numId w:val="83"/>
        </w:numPr>
        <w:tabs>
          <w:tab w:val="left" w:pos="798"/>
        </w:tabs>
        <w:spacing w:after="0" w:line="240" w:lineRule="auto"/>
        <w:ind w:left="1080" w:hanging="360"/>
        <w:rPr>
          <w:b/>
        </w:rPr>
      </w:pPr>
      <w:r w:rsidRPr="00716259">
        <w:rPr>
          <w:rStyle w:val="PagrindinistekstasDiagrama"/>
          <w:bCs/>
          <w:u w:val="single"/>
        </w:rPr>
        <w:t>Statybos aikštelė, statybos, surinkimo ar montavimo objektas</w:t>
      </w:r>
      <w:r w:rsidRPr="00716259">
        <w:rPr>
          <w:rStyle w:val="PagrindinistekstasDiagrama"/>
          <w:bCs/>
        </w:rPr>
        <w:t xml:space="preserve"> arba su jais susijusi priežiūros ar konsultacinė veikla taip pat yra nuolatinė buveinė bet tik tada, kai tokia aikštelė, objektas ar veikla egzistuoja ilgesnį nei šešių mėnesių laikotarpį </w:t>
      </w:r>
      <w:r w:rsidRPr="00716259">
        <w:rPr>
          <w:rStyle w:val="PagrindinistekstasDiagrama"/>
          <w:rFonts w:ascii="Cambria" w:eastAsia="Cambria" w:hAnsi="Cambria" w:cs="Cambria"/>
          <w:color w:val="333333"/>
          <w:sz w:val="20"/>
          <w:szCs w:val="20"/>
        </w:rPr>
        <w:t>(</w:t>
      </w:r>
      <w:r w:rsidRPr="00716259">
        <w:rPr>
          <w:rStyle w:val="PagrindinistekstasDiagrama"/>
          <w:bCs/>
          <w:color w:val="333333"/>
        </w:rPr>
        <w:t xml:space="preserve">atskirose </w:t>
      </w:r>
      <w:r w:rsidRPr="00716259">
        <w:rPr>
          <w:rStyle w:val="PagrindinistekstasDiagrama"/>
          <w:bCs/>
          <w:color w:val="333333"/>
          <w:lang w:bidi="en-US"/>
        </w:rPr>
        <w:t xml:space="preserve">DAIS </w:t>
      </w:r>
      <w:r w:rsidRPr="00716259">
        <w:rPr>
          <w:rStyle w:val="PagrindinistekstasDiagrama"/>
          <w:bCs/>
          <w:color w:val="333333"/>
        </w:rPr>
        <w:t>numatyta, kad statybų aikštelė arba statybos ar instaliavimo projektas nuolatine buveine laikomi tik tuo atveju, jeigu jo trukmė ilgesnė negu šešis, devynis ar dvylika mėnesių).</w:t>
      </w:r>
    </w:p>
    <w:p w14:paraId="34FD88EE" w14:textId="77777777" w:rsidR="00586CCC" w:rsidRPr="00716259" w:rsidRDefault="00586CCC" w:rsidP="00586CCC">
      <w:pPr>
        <w:pStyle w:val="Pagrindinistekstas"/>
        <w:ind w:firstLine="620"/>
        <w:rPr>
          <w:b/>
        </w:rPr>
      </w:pPr>
      <w:r w:rsidRPr="00716259">
        <w:rPr>
          <w:rStyle w:val="PagrindinistekstasDiagrama"/>
          <w:bCs/>
        </w:rPr>
        <w:t>Vienetas laikomas vykdančiu statybos veiklą kitoje valstybėje, jei:</w:t>
      </w:r>
    </w:p>
    <w:p w14:paraId="7D7AE687" w14:textId="77777777" w:rsidR="00586CCC" w:rsidRPr="00716259" w:rsidRDefault="00586CCC" w:rsidP="00927E61">
      <w:pPr>
        <w:pStyle w:val="Pagrindinistekstas"/>
        <w:widowControl w:val="0"/>
        <w:numPr>
          <w:ilvl w:val="0"/>
          <w:numId w:val="83"/>
        </w:numPr>
        <w:tabs>
          <w:tab w:val="left" w:pos="1237"/>
        </w:tabs>
        <w:spacing w:after="0" w:line="240" w:lineRule="auto"/>
        <w:ind w:left="1080" w:hanging="360"/>
        <w:rPr>
          <w:b/>
        </w:rPr>
      </w:pPr>
      <w:r w:rsidRPr="00716259">
        <w:rPr>
          <w:rStyle w:val="PagrindinistekstasDiagrama"/>
          <w:bCs/>
        </w:rPr>
        <w:t>turi toje kitoje valstybėje statybos aikštelę, statybos, surinkimo ar įrangos objektą.</w:t>
      </w:r>
    </w:p>
    <w:p w14:paraId="6EEAC19A" w14:textId="77777777" w:rsidR="00586CCC" w:rsidRPr="00716259" w:rsidRDefault="00586CCC" w:rsidP="00927E61">
      <w:pPr>
        <w:pStyle w:val="Pagrindinistekstas"/>
        <w:widowControl w:val="0"/>
        <w:numPr>
          <w:ilvl w:val="0"/>
          <w:numId w:val="83"/>
        </w:numPr>
        <w:tabs>
          <w:tab w:val="left" w:pos="750"/>
        </w:tabs>
        <w:spacing w:after="0" w:line="240" w:lineRule="auto"/>
        <w:ind w:left="1080" w:hanging="360"/>
        <w:rPr>
          <w:b/>
        </w:rPr>
      </w:pPr>
      <w:r w:rsidRPr="00716259">
        <w:rPr>
          <w:rStyle w:val="PagrindinistekstasDiagrama"/>
          <w:bCs/>
        </w:rPr>
        <w:t>teikia toje kitoje valstybėje su minėtais objektais susijusias priežiūros ar konsultacines paslaugas.</w:t>
      </w:r>
    </w:p>
    <w:p w14:paraId="3F1214D3" w14:textId="77777777" w:rsidR="00586CCC" w:rsidRPr="00716259" w:rsidRDefault="00586CCC" w:rsidP="00586CCC">
      <w:pPr>
        <w:pStyle w:val="Pagrindinistekstas"/>
        <w:spacing w:after="280"/>
        <w:ind w:firstLine="560"/>
        <w:rPr>
          <w:b/>
        </w:rPr>
      </w:pPr>
      <w:r w:rsidRPr="00716259">
        <w:rPr>
          <w:rStyle w:val="PagrindinistekstasDiagrama"/>
          <w:bCs/>
        </w:rPr>
        <w:t>Sąvoka „statybos aikštelė, statybos, surinkimo ar įrangos objektas“ apima ne tik pastatų statybą, bet taip pat ir tiltų ar kanalų statybą, kelių ar vamzdynų tiesimą, žemės kasimo ar siurbimo darbus ir pan.</w:t>
      </w:r>
    </w:p>
    <w:p w14:paraId="33B5C170" w14:textId="77777777" w:rsidR="00586CCC" w:rsidRPr="00716259" w:rsidRDefault="00586CCC" w:rsidP="00586CCC">
      <w:pPr>
        <w:pStyle w:val="Pagrindinistekstas"/>
        <w:ind w:firstLine="560"/>
        <w:rPr>
          <w:b/>
        </w:rPr>
      </w:pPr>
      <w:r w:rsidRPr="00716259">
        <w:rPr>
          <w:rStyle w:val="PagrindinistekstasDiagrama"/>
          <w:bCs/>
          <w:lang w:bidi="en-US"/>
        </w:rPr>
        <w:t xml:space="preserve">Vieneto kitoje </w:t>
      </w:r>
      <w:r w:rsidRPr="00716259">
        <w:rPr>
          <w:rStyle w:val="PagrindinistekstasDiagrama"/>
          <w:bCs/>
        </w:rPr>
        <w:t xml:space="preserve">valstybėje </w:t>
      </w:r>
      <w:r w:rsidRPr="00716259">
        <w:rPr>
          <w:rStyle w:val="PagrindinistekstasDiagrama"/>
          <w:bCs/>
          <w:lang w:bidi="en-US"/>
        </w:rPr>
        <w:t xml:space="preserve">vykdomos veiklos nuolatinumo kriterijams su statybomis </w:t>
      </w:r>
      <w:r w:rsidRPr="00716259">
        <w:rPr>
          <w:rStyle w:val="PagrindinistekstasDiagrama"/>
          <w:bCs/>
        </w:rPr>
        <w:t xml:space="preserve">susijusių priežiūros </w:t>
      </w:r>
      <w:r w:rsidRPr="00716259">
        <w:rPr>
          <w:rStyle w:val="PagrindinistekstasDiagrama"/>
          <w:bCs/>
          <w:lang w:bidi="en-US"/>
        </w:rPr>
        <w:t xml:space="preserve">ar </w:t>
      </w:r>
      <w:r w:rsidRPr="00716259">
        <w:rPr>
          <w:rStyle w:val="PagrindinistekstasDiagrama"/>
          <w:bCs/>
        </w:rPr>
        <w:t xml:space="preserve">konsultacinių paslaugų </w:t>
      </w:r>
      <w:r w:rsidRPr="00716259">
        <w:rPr>
          <w:rStyle w:val="PagrindinistekstasDiagrama"/>
          <w:bCs/>
          <w:lang w:bidi="en-US"/>
        </w:rPr>
        <w:t xml:space="preserve">teikimui taikomos </w:t>
      </w:r>
      <w:r w:rsidRPr="00716259">
        <w:rPr>
          <w:rStyle w:val="PagrindinistekstasDiagrama"/>
          <w:bCs/>
        </w:rPr>
        <w:t>išimtys:</w:t>
      </w:r>
    </w:p>
    <w:p w14:paraId="5ECAB6E9" w14:textId="77777777" w:rsidR="00586CCC" w:rsidRPr="00716259" w:rsidRDefault="00586CCC" w:rsidP="00927E61">
      <w:pPr>
        <w:pStyle w:val="Pagrindinistekstas"/>
        <w:widowControl w:val="0"/>
        <w:numPr>
          <w:ilvl w:val="0"/>
          <w:numId w:val="84"/>
        </w:numPr>
        <w:tabs>
          <w:tab w:val="left" w:pos="873"/>
        </w:tabs>
        <w:spacing w:after="0" w:line="240" w:lineRule="auto"/>
        <w:ind w:left="1080" w:hanging="360"/>
        <w:rPr>
          <w:b/>
        </w:rPr>
      </w:pPr>
      <w:r w:rsidRPr="00716259">
        <w:rPr>
          <w:rStyle w:val="PagrindinistekstasDiagrama"/>
          <w:bCs/>
        </w:rPr>
        <w:t xml:space="preserve">nėra </w:t>
      </w:r>
      <w:r w:rsidRPr="00716259">
        <w:rPr>
          <w:rStyle w:val="PagrindinistekstasDiagrama"/>
          <w:bCs/>
          <w:lang w:bidi="en-US"/>
        </w:rPr>
        <w:t xml:space="preserve">reikalavimo </w:t>
      </w:r>
      <w:r w:rsidRPr="00716259">
        <w:rPr>
          <w:rStyle w:val="PagrindinistekstasDiagrama"/>
          <w:bCs/>
        </w:rPr>
        <w:t xml:space="preserve">turėti </w:t>
      </w:r>
      <w:r w:rsidRPr="00716259">
        <w:rPr>
          <w:rStyle w:val="PagrindinistekstasDiagrama"/>
          <w:bCs/>
          <w:lang w:bidi="en-US"/>
        </w:rPr>
        <w:t xml:space="preserve">veiklos </w:t>
      </w:r>
      <w:r w:rsidRPr="00716259">
        <w:rPr>
          <w:rStyle w:val="PagrindinistekstasDiagrama"/>
          <w:bCs/>
        </w:rPr>
        <w:t xml:space="preserve">vietą tokių paslaugų </w:t>
      </w:r>
      <w:r w:rsidRPr="00716259">
        <w:rPr>
          <w:rStyle w:val="PagrindinistekstasDiagrama"/>
          <w:bCs/>
          <w:lang w:bidi="en-US"/>
        </w:rPr>
        <w:t>teikimui;</w:t>
      </w:r>
    </w:p>
    <w:p w14:paraId="21D7DE97" w14:textId="77777777" w:rsidR="00586CCC" w:rsidRPr="00716259" w:rsidRDefault="00586CCC" w:rsidP="00927E61">
      <w:pPr>
        <w:pStyle w:val="Pagrindinistekstas"/>
        <w:widowControl w:val="0"/>
        <w:numPr>
          <w:ilvl w:val="0"/>
          <w:numId w:val="84"/>
        </w:numPr>
        <w:tabs>
          <w:tab w:val="left" w:pos="865"/>
        </w:tabs>
        <w:spacing w:after="280" w:line="240" w:lineRule="auto"/>
        <w:ind w:left="1080" w:hanging="360"/>
        <w:rPr>
          <w:b/>
        </w:rPr>
      </w:pPr>
      <w:r w:rsidRPr="00716259">
        <w:rPr>
          <w:rStyle w:val="PagrindinistekstasDiagrama"/>
          <w:bCs/>
          <w:lang w:bidi="en-US"/>
        </w:rPr>
        <w:t xml:space="preserve">su statybomis susijusi </w:t>
      </w:r>
      <w:r w:rsidRPr="00716259">
        <w:rPr>
          <w:rStyle w:val="PagrindinistekstasDiagrama"/>
          <w:bCs/>
        </w:rPr>
        <w:t xml:space="preserve">priežiūros </w:t>
      </w:r>
      <w:r w:rsidRPr="00716259">
        <w:rPr>
          <w:rStyle w:val="PagrindinistekstasDiagrama"/>
          <w:bCs/>
          <w:lang w:bidi="en-US"/>
        </w:rPr>
        <w:t xml:space="preserve">ar </w:t>
      </w:r>
      <w:r w:rsidRPr="00716259">
        <w:rPr>
          <w:rStyle w:val="PagrindinistekstasDiagrama"/>
          <w:bCs/>
        </w:rPr>
        <w:t xml:space="preserve">konsultacinė </w:t>
      </w:r>
      <w:r w:rsidRPr="00716259">
        <w:rPr>
          <w:rStyle w:val="PagrindinistekstasDiagrama"/>
          <w:bCs/>
          <w:lang w:bidi="en-US"/>
        </w:rPr>
        <w:t xml:space="preserve">veikla bus laikoma nuolatine buveine </w:t>
      </w:r>
      <w:r w:rsidRPr="00716259">
        <w:rPr>
          <w:rStyle w:val="PagrindinistekstasDiagrama"/>
          <w:bCs/>
        </w:rPr>
        <w:t xml:space="preserve">tik tuomet, kai bus vykdoma nustatytą laikotarpį - ilgiau nei šešis mėnesius (atskirose </w:t>
      </w:r>
      <w:r w:rsidRPr="00716259">
        <w:rPr>
          <w:rStyle w:val="PagrindinistekstasDiagrama"/>
          <w:bCs/>
          <w:lang w:bidi="en-US"/>
        </w:rPr>
        <w:t xml:space="preserve">DAIS </w:t>
      </w:r>
      <w:r w:rsidRPr="00716259">
        <w:rPr>
          <w:rStyle w:val="PagrindinistekstasDiagrama"/>
          <w:bCs/>
        </w:rPr>
        <w:t>yra nustatytas ilgesnis būtinas veiklos laikotarpis).</w:t>
      </w:r>
    </w:p>
    <w:p w14:paraId="71830771"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4AC169EB"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t>Danijos įmonė pagal sutartį su Lietuvos įmone tiesia vamzdžius Lietuvoje. Vamzdynas tiesiamas per didelę teritoriją, skirtingu laiku darbai atliekami skirtingose tos teritorijos vietose, tačiau visi šie darbai sudaro vieningo projekto dalį. Darbus numatyta atlikti per dešimt mėnesių. Tokia Danijos įmonė laikoma veikiančia per nuolatinę buveinę Lietuvoje, kadangi jos veikla trunka ilgiau kaip šešis mėnesius.</w:t>
      </w:r>
    </w:p>
    <w:p w14:paraId="79093D8D" w14:textId="77777777" w:rsidR="00586CCC" w:rsidRPr="00716259" w:rsidRDefault="00586CCC" w:rsidP="00586CCC">
      <w:pPr>
        <w:pStyle w:val="Pagrindinistekstas"/>
        <w:spacing w:after="280"/>
        <w:ind w:firstLine="700"/>
        <w:rPr>
          <w:b/>
        </w:rPr>
      </w:pPr>
      <w:r w:rsidRPr="00716259">
        <w:rPr>
          <w:rStyle w:val="PagrindinistekstasDiagrama"/>
          <w:bCs/>
        </w:rPr>
        <w:t>Veiklos laikotarpio reikalavimas turi būti taikomas kiekvienai statybos aikštelei ar projektui atskirai. Statybos aikštelė turi būti laikoma atskiru vienetu, net jeigu yra sudarytos kelios sutartys, su sąlyga, kad ši aikštelė sudaro darnią komercinę ir geografinę visumą. Pagal šią nuostatą statybos aikštelė yra atskiras vienetas, net jeigu užsakymus pateikė keli asmenys (pvz., statomas namų kvartalas). Jeigu rangovas dėl to paties projekto sudarė keletą sutarčių arba vykdo keletą tarpusavyje komerciškai ir geografiškai susijusių projektų, tai šešių mėnesių laikotarpio skaičiavimo tikslams tai laikoma vienu projektu.</w:t>
      </w:r>
    </w:p>
    <w:p w14:paraId="728B3A9D"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6254848E"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lastRenderedPageBreak/>
        <w:t>Suomijos įmonė Lietuvoje vykdo vieną gyvenvietės statybos projektą, tačiau sutartis dėl gyvenamųjų namų statybos užsienio valstybės įmonė yra sudariusi su atskirais užsakovais - būsimaisiais tos gyvenvietės gyventojais. Vienas namas pastatomas per penkis mėnesius. Gyvenvietės statybos projektas bus vykdomas dvejus metus. Tokia Suomijos įmonė laikoma veikiančia per nuolatinę buveinę, nes jos sudarytos sutartys yra tarpusavyje susijusios tiek komerciškai, tiek geografiškai.</w:t>
      </w:r>
    </w:p>
    <w:p w14:paraId="5F6E2E99" w14:textId="77777777" w:rsidR="00586CCC" w:rsidRPr="00716259" w:rsidRDefault="00586CCC" w:rsidP="00586CCC">
      <w:pPr>
        <w:pStyle w:val="Pagrindinistekstas"/>
        <w:spacing w:after="280"/>
        <w:ind w:firstLine="560"/>
        <w:rPr>
          <w:b/>
        </w:rPr>
      </w:pPr>
      <w:r w:rsidRPr="00716259">
        <w:rPr>
          <w:rStyle w:val="PagrindinistekstasDiagrama"/>
          <w:bCs/>
        </w:rPr>
        <w:t>Jeigu visi ar dalis darbų pavedama atlikti kitoms įmonėms (subrangovams), laikotarpis, kuriuo darbus atlieka subrangovas, turi būti įtraukiamas į laiką, kurį sugaišo generalinis rangovas, įgyvendindamas statybos projektą, vertinant ar generalinio rangovo veikla vykdoma per nuolatinę buveinę. Jei subrangovas yra užsienio valstybės įmonė, ji taip pat laikoma turinčia nuolatinę buveinę, jeigu jos pačios veikla trunka ilgesnį kaip šešių mėnesių laikotarpį.</w:t>
      </w:r>
    </w:p>
    <w:p w14:paraId="20FE9CD1" w14:textId="77777777" w:rsidR="00586CCC" w:rsidRPr="00716259" w:rsidRDefault="00586CCC" w:rsidP="00586CCC">
      <w:pPr>
        <w:pStyle w:val="Pagrindinistekstas"/>
        <w:spacing w:after="280"/>
        <w:ind w:firstLine="560"/>
        <w:rPr>
          <w:b/>
        </w:rPr>
      </w:pPr>
      <w:r w:rsidRPr="00716259">
        <w:rPr>
          <w:rStyle w:val="PagrindinistekstasDiagrama"/>
          <w:bCs/>
        </w:rPr>
        <w:t>Pavyzdys</w:t>
      </w:r>
    </w:p>
    <w:p w14:paraId="62D2D3B8"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rPr>
        <w:t>Švedijos įmonė su Lietuvos įmone sudarė rangos sutartį statybos darbams atlikti. Visi darbai buvo atlikti Lietuvoje per dvylika mėnesių. Dalį darbų atliko pati Švedijos įmonė (šios įmonės darbuotojai Lietuvoje dirbo penkis mėnesius), kitiems darbams atlikti Švedijos įmonė, kaip generalinis rangovas, sudarė sutartis su dviem subrangovais - užsienio valstybės įmone ir Lietuvos įmone. Subrangovas - Lietuvos įmonė - Lietuvoje dirbo aštuonis mėnesius, subrangovas - užsienio valstybės įmonė - užsakytus darbus atliko per keturis likusius mėnesius. Švedijos įmonė - generalinis rangovas - laikoma veikiančia per nuolatinę buveinę Lietuvoje visu dvylikos mėnesių laikotarpiu, kadangi ši įmonė yra generalinis rangovas (neatsižvelgiant į tai, kad jos pačios darbuotojai Lietuvoje dirbo tik penkis mėnesius).</w:t>
      </w:r>
    </w:p>
    <w:p w14:paraId="4D1112DC" w14:textId="77777777" w:rsidR="00586CCC" w:rsidRPr="00716259" w:rsidRDefault="00586CCC" w:rsidP="00586CCC">
      <w:pPr>
        <w:pStyle w:val="Pagrindinistekstas"/>
        <w:ind w:firstLine="500"/>
        <w:rPr>
          <w:b/>
        </w:rPr>
      </w:pPr>
      <w:r w:rsidRPr="00716259">
        <w:rPr>
          <w:rStyle w:val="PagrindinistekstasDiagrama"/>
          <w:bCs/>
          <w:lang w:bidi="en-US"/>
        </w:rPr>
        <w:t xml:space="preserve">Siekiant nustatyti, ar buvo </w:t>
      </w:r>
      <w:r w:rsidRPr="00716259">
        <w:rPr>
          <w:rStyle w:val="PagrindinistekstasDiagrama"/>
          <w:bCs/>
        </w:rPr>
        <w:t xml:space="preserve">pratęsti </w:t>
      </w:r>
      <w:r w:rsidRPr="00716259">
        <w:rPr>
          <w:rStyle w:val="PagrindinistekstasDiagrama"/>
          <w:bCs/>
          <w:lang w:bidi="en-US"/>
        </w:rPr>
        <w:t xml:space="preserve">atskirose sudarytose DAIS nurodyti laikotarpiai, kuriais nustatomi laikotarpiai, kuriems pasibaigus, </w:t>
      </w:r>
      <w:r w:rsidRPr="00716259">
        <w:rPr>
          <w:rStyle w:val="PagrindinistekstasDiagrama"/>
          <w:bCs/>
        </w:rPr>
        <w:t xml:space="preserve">konkretūs </w:t>
      </w:r>
      <w:r w:rsidRPr="00716259">
        <w:rPr>
          <w:rStyle w:val="PagrindinistekstasDiagrama"/>
          <w:bCs/>
          <w:lang w:bidi="en-US"/>
        </w:rPr>
        <w:t>projektai ar veikla tampa nuolatine buveine:</w:t>
      </w:r>
    </w:p>
    <w:p w14:paraId="230D53AC" w14:textId="77777777" w:rsidR="00586CCC" w:rsidRPr="00716259" w:rsidRDefault="00586CCC" w:rsidP="00927E61">
      <w:pPr>
        <w:pStyle w:val="Pagrindinistekstas"/>
        <w:widowControl w:val="0"/>
        <w:numPr>
          <w:ilvl w:val="0"/>
          <w:numId w:val="85"/>
        </w:numPr>
        <w:tabs>
          <w:tab w:val="left" w:pos="842"/>
        </w:tabs>
        <w:spacing w:after="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vienetas vykdo </w:t>
      </w:r>
      <w:r w:rsidRPr="00716259">
        <w:rPr>
          <w:rStyle w:val="PagrindinistekstasDiagrama"/>
          <w:bCs/>
        </w:rPr>
        <w:t xml:space="preserve">veiklą </w:t>
      </w:r>
      <w:r w:rsidRPr="00716259">
        <w:rPr>
          <w:rStyle w:val="PagrindinistekstasDiagrama"/>
          <w:bCs/>
          <w:lang w:bidi="en-US"/>
        </w:rPr>
        <w:t xml:space="preserve">kokioje nors kitos </w:t>
      </w:r>
      <w:r w:rsidRPr="00716259">
        <w:rPr>
          <w:rStyle w:val="PagrindinistekstasDiagrama"/>
          <w:bCs/>
        </w:rPr>
        <w:t xml:space="preserve">užsienio valstybės </w:t>
      </w:r>
      <w:r w:rsidRPr="00716259">
        <w:rPr>
          <w:rStyle w:val="PagrindinistekstasDiagrama"/>
          <w:bCs/>
          <w:lang w:bidi="en-US"/>
        </w:rPr>
        <w:t xml:space="preserve">vietoje, kuri yra statybos </w:t>
      </w:r>
      <w:r w:rsidRPr="00716259">
        <w:rPr>
          <w:rStyle w:val="PagrindinistekstasDiagrama"/>
          <w:bCs/>
        </w:rPr>
        <w:t xml:space="preserve">aikštelė, </w:t>
      </w:r>
      <w:r w:rsidRPr="00716259">
        <w:rPr>
          <w:rStyle w:val="PagrindinistekstasDiagrama"/>
          <w:bCs/>
          <w:lang w:bidi="en-US"/>
        </w:rPr>
        <w:t xml:space="preserve">statybos, surinkimo ar montavimo projektas, arba vykdo su ta vieta </w:t>
      </w:r>
      <w:r w:rsidRPr="00716259">
        <w:rPr>
          <w:rStyle w:val="PagrindinistekstasDiagrama"/>
          <w:bCs/>
        </w:rPr>
        <w:t xml:space="preserve">susijusią priežiūros </w:t>
      </w:r>
      <w:r w:rsidRPr="00716259">
        <w:rPr>
          <w:rStyle w:val="PagrindinistekstasDiagrama"/>
          <w:bCs/>
          <w:lang w:bidi="en-US"/>
        </w:rPr>
        <w:t xml:space="preserve">ar konsultavimo </w:t>
      </w:r>
      <w:r w:rsidRPr="00716259">
        <w:rPr>
          <w:rStyle w:val="PagrindinistekstasDiagrama"/>
          <w:bCs/>
        </w:rPr>
        <w:t xml:space="preserve">veiklą, </w:t>
      </w:r>
      <w:r w:rsidRPr="00716259">
        <w:rPr>
          <w:rStyle w:val="PagrindinistekstasDiagrama"/>
          <w:bCs/>
          <w:lang w:bidi="en-US"/>
        </w:rPr>
        <w:t xml:space="preserve">kai tai </w:t>
      </w:r>
      <w:r w:rsidRPr="00716259">
        <w:rPr>
          <w:rStyle w:val="PagrindinistekstasDiagrama"/>
          <w:bCs/>
        </w:rPr>
        <w:t xml:space="preserve">susiję </w:t>
      </w:r>
      <w:r w:rsidRPr="00716259">
        <w:rPr>
          <w:rStyle w:val="PagrindinistekstasDiagrama"/>
          <w:bCs/>
          <w:lang w:bidi="en-US"/>
        </w:rPr>
        <w:t xml:space="preserve">su nurodyta veikla, ir </w:t>
      </w:r>
      <w:r w:rsidRPr="00716259">
        <w:rPr>
          <w:rStyle w:val="PagrindinistekstasDiagrama"/>
          <w:bCs/>
        </w:rPr>
        <w:t xml:space="preserve">ši </w:t>
      </w:r>
      <w:r w:rsidRPr="00716259">
        <w:rPr>
          <w:rStyle w:val="PagrindinistekstasDiagrama"/>
          <w:bCs/>
          <w:lang w:bidi="en-US"/>
        </w:rPr>
        <w:t xml:space="preserve">veikla vykdoma per </w:t>
      </w:r>
      <w:r w:rsidRPr="00716259">
        <w:rPr>
          <w:rStyle w:val="PagrindinistekstasDiagrama"/>
          <w:bCs/>
        </w:rPr>
        <w:t xml:space="preserve">vieną </w:t>
      </w:r>
      <w:r w:rsidRPr="00716259">
        <w:rPr>
          <w:rStyle w:val="PagrindinistekstasDiagrama"/>
          <w:bCs/>
          <w:lang w:bidi="en-US"/>
        </w:rPr>
        <w:t xml:space="preserve">ar kelis laikotarpius, </w:t>
      </w:r>
      <w:r w:rsidRPr="00716259">
        <w:rPr>
          <w:rStyle w:val="PagrindinistekstasDiagrama"/>
          <w:bCs/>
        </w:rPr>
        <w:t xml:space="preserve">kurių </w:t>
      </w:r>
      <w:r w:rsidRPr="00716259">
        <w:rPr>
          <w:rStyle w:val="PagrindinistekstasDiagrama"/>
          <w:bCs/>
          <w:lang w:bidi="en-US"/>
        </w:rPr>
        <w:t xml:space="preserve">bendra </w:t>
      </w:r>
      <w:r w:rsidRPr="00716259">
        <w:rPr>
          <w:rStyle w:val="PagrindinistekstasDiagrama"/>
          <w:bCs/>
        </w:rPr>
        <w:t xml:space="preserve">trukmė viršija </w:t>
      </w:r>
      <w:r w:rsidRPr="00716259">
        <w:rPr>
          <w:rStyle w:val="PagrindinistekstasDiagrama"/>
          <w:bCs/>
          <w:lang w:bidi="en-US"/>
        </w:rPr>
        <w:t xml:space="preserve">30 </w:t>
      </w:r>
      <w:r w:rsidRPr="00716259">
        <w:rPr>
          <w:rStyle w:val="PagrindinistekstasDiagrama"/>
          <w:bCs/>
        </w:rPr>
        <w:t xml:space="preserve">dienų neviršijant </w:t>
      </w:r>
      <w:r w:rsidRPr="00716259">
        <w:rPr>
          <w:rStyle w:val="PagrindinistekstasDiagrama"/>
          <w:bCs/>
          <w:lang w:bidi="en-US"/>
        </w:rPr>
        <w:t xml:space="preserve">atskirose DAIS nurodyto laikotarpio ar </w:t>
      </w:r>
      <w:r w:rsidRPr="00716259">
        <w:rPr>
          <w:rStyle w:val="PagrindinistekstasDiagrama"/>
          <w:bCs/>
        </w:rPr>
        <w:t xml:space="preserve">laikotarpių trukmės, </w:t>
      </w:r>
      <w:r w:rsidRPr="00716259">
        <w:rPr>
          <w:rStyle w:val="PagrindinistekstasDiagrama"/>
          <w:bCs/>
          <w:lang w:bidi="en-US"/>
        </w:rPr>
        <w:t xml:space="preserve">kuriems pasibaigus, </w:t>
      </w:r>
      <w:r w:rsidRPr="00716259">
        <w:rPr>
          <w:rStyle w:val="PagrindinistekstasDiagrama"/>
          <w:bCs/>
        </w:rPr>
        <w:t xml:space="preserve">konkretūs </w:t>
      </w:r>
      <w:r w:rsidRPr="00716259">
        <w:rPr>
          <w:rStyle w:val="PagrindinistekstasDiagrama"/>
          <w:bCs/>
          <w:lang w:bidi="en-US"/>
        </w:rPr>
        <w:t>projektai ar veikla tampa nuolatine;</w:t>
      </w:r>
    </w:p>
    <w:p w14:paraId="514FA77A" w14:textId="77777777" w:rsidR="00586CCC" w:rsidRPr="00716259" w:rsidRDefault="00586CCC" w:rsidP="00927E61">
      <w:pPr>
        <w:pStyle w:val="Pagrindinistekstas"/>
        <w:widowControl w:val="0"/>
        <w:numPr>
          <w:ilvl w:val="0"/>
          <w:numId w:val="85"/>
        </w:numPr>
        <w:tabs>
          <w:tab w:val="left" w:pos="937"/>
        </w:tabs>
        <w:spacing w:after="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susijusią veiklą </w:t>
      </w:r>
      <w:r w:rsidRPr="00716259">
        <w:rPr>
          <w:rStyle w:val="PagrindinistekstasDiagrama"/>
          <w:bCs/>
          <w:lang w:bidi="en-US"/>
        </w:rPr>
        <w:t xml:space="preserve">toje kitoje </w:t>
      </w:r>
      <w:r w:rsidRPr="00716259">
        <w:rPr>
          <w:rStyle w:val="PagrindinistekstasDiagrama"/>
          <w:bCs/>
        </w:rPr>
        <w:t xml:space="preserve">užsienio valstybėje </w:t>
      </w:r>
      <w:r w:rsidRPr="00716259">
        <w:rPr>
          <w:rStyle w:val="PagrindinistekstasDiagrama"/>
          <w:bCs/>
          <w:lang w:bidi="en-US"/>
        </w:rPr>
        <w:t xml:space="preserve">vykdo vienas ar daugiau su pirmiau </w:t>
      </w:r>
      <w:r w:rsidRPr="00716259">
        <w:rPr>
          <w:rStyle w:val="PagrindinistekstasDiagrama"/>
          <w:bCs/>
        </w:rPr>
        <w:t xml:space="preserve">minėtu </w:t>
      </w:r>
      <w:r w:rsidRPr="00716259">
        <w:rPr>
          <w:rStyle w:val="PagrindinistekstasDiagrama"/>
          <w:bCs/>
          <w:lang w:bidi="en-US"/>
        </w:rPr>
        <w:t xml:space="preserve">vienetu </w:t>
      </w:r>
      <w:r w:rsidRPr="00716259">
        <w:rPr>
          <w:rStyle w:val="PagrindinistekstasDiagrama"/>
          <w:bCs/>
        </w:rPr>
        <w:t xml:space="preserve">glaudžiai susijusių vienetų </w:t>
      </w:r>
      <w:r w:rsidRPr="00716259">
        <w:rPr>
          <w:rStyle w:val="PagrindinistekstasDiagrama"/>
          <w:bCs/>
          <w:lang w:bidi="en-US"/>
        </w:rPr>
        <w:t xml:space="preserve">toje </w:t>
      </w:r>
      <w:r w:rsidRPr="00716259">
        <w:rPr>
          <w:rStyle w:val="PagrindinistekstasDiagrama"/>
          <w:bCs/>
        </w:rPr>
        <w:t xml:space="preserve">pačioje </w:t>
      </w:r>
      <w:r w:rsidRPr="00716259">
        <w:rPr>
          <w:rStyle w:val="PagrindinistekstasDiagrama"/>
          <w:bCs/>
          <w:lang w:bidi="en-US"/>
        </w:rPr>
        <w:t xml:space="preserve">statybos </w:t>
      </w:r>
      <w:r w:rsidRPr="00716259">
        <w:rPr>
          <w:rStyle w:val="PagrindinistekstasDiagrama"/>
          <w:bCs/>
        </w:rPr>
        <w:t xml:space="preserve">aikštelėje, </w:t>
      </w:r>
      <w:r w:rsidRPr="00716259">
        <w:rPr>
          <w:rStyle w:val="PagrindinistekstasDiagrama"/>
          <w:bCs/>
          <w:lang w:bidi="en-US"/>
        </w:rPr>
        <w:t xml:space="preserve">statybos, surinkimo ar montavimo projekte skirtingais laikotarpiais, </w:t>
      </w:r>
      <w:r w:rsidRPr="00716259">
        <w:rPr>
          <w:rStyle w:val="PagrindinistekstasDiagrama"/>
          <w:bCs/>
        </w:rPr>
        <w:t xml:space="preserve">kurių </w:t>
      </w:r>
      <w:r w:rsidRPr="00716259">
        <w:rPr>
          <w:rStyle w:val="PagrindinistekstasDiagrama"/>
          <w:bCs/>
          <w:lang w:bidi="en-US"/>
        </w:rPr>
        <w:t xml:space="preserve">kiekvienas ilgesnis nei 30 </w:t>
      </w:r>
      <w:r w:rsidRPr="00716259">
        <w:rPr>
          <w:rStyle w:val="PagrindinistekstasDiagrama"/>
          <w:bCs/>
        </w:rPr>
        <w:t>dienų,</w:t>
      </w:r>
    </w:p>
    <w:p w14:paraId="77D8E3C9" w14:textId="77777777" w:rsidR="00586CCC" w:rsidRPr="00716259" w:rsidRDefault="00586CCC" w:rsidP="00586CCC">
      <w:pPr>
        <w:pStyle w:val="Pagrindinistekstas"/>
        <w:ind w:firstLine="620"/>
        <w:rPr>
          <w:b/>
        </w:rPr>
      </w:pPr>
      <w:r w:rsidRPr="00716259">
        <w:rPr>
          <w:rStyle w:val="PagrindinistekstasDiagrama"/>
          <w:bCs/>
        </w:rPr>
        <w:t xml:space="preserve">šie </w:t>
      </w:r>
      <w:r w:rsidRPr="00716259">
        <w:rPr>
          <w:rStyle w:val="PagrindinistekstasDiagrama"/>
          <w:bCs/>
          <w:lang w:bidi="en-US"/>
        </w:rPr>
        <w:t xml:space="preserve">skirtingi laikotarpiai pridedami prie bendro laikotarpio, per </w:t>
      </w:r>
      <w:r w:rsidRPr="00716259">
        <w:rPr>
          <w:rStyle w:val="PagrindinistekstasDiagrama"/>
          <w:bCs/>
        </w:rPr>
        <w:t xml:space="preserve">kurį </w:t>
      </w:r>
      <w:r w:rsidRPr="00716259">
        <w:rPr>
          <w:rStyle w:val="PagrindinistekstasDiagrama"/>
          <w:bCs/>
          <w:lang w:bidi="en-US"/>
        </w:rPr>
        <w:t xml:space="preserve">pirmiau </w:t>
      </w:r>
      <w:r w:rsidRPr="00716259">
        <w:rPr>
          <w:rStyle w:val="PagrindinistekstasDiagrama"/>
          <w:bCs/>
        </w:rPr>
        <w:t xml:space="preserve">minėtas </w:t>
      </w:r>
      <w:r w:rsidRPr="00716259">
        <w:rPr>
          <w:rStyle w:val="PagrindinistekstasDiagrama"/>
          <w:bCs/>
          <w:lang w:bidi="en-US"/>
        </w:rPr>
        <w:t xml:space="preserve">vienetas </w:t>
      </w:r>
      <w:r w:rsidRPr="00716259">
        <w:rPr>
          <w:rStyle w:val="PagrindinistekstasDiagrama"/>
          <w:bCs/>
        </w:rPr>
        <w:t xml:space="preserve">vykdė veiklą </w:t>
      </w:r>
      <w:r w:rsidRPr="00716259">
        <w:rPr>
          <w:rStyle w:val="PagrindinistekstasDiagrama"/>
          <w:bCs/>
          <w:lang w:bidi="en-US"/>
        </w:rPr>
        <w:t xml:space="preserve">toje statybos </w:t>
      </w:r>
      <w:r w:rsidRPr="00716259">
        <w:rPr>
          <w:rStyle w:val="PagrindinistekstasDiagrama"/>
          <w:bCs/>
        </w:rPr>
        <w:t xml:space="preserve">aikštelėje, </w:t>
      </w:r>
      <w:r w:rsidRPr="00716259">
        <w:rPr>
          <w:rStyle w:val="PagrindinistekstasDiagrama"/>
          <w:bCs/>
          <w:lang w:bidi="en-US"/>
        </w:rPr>
        <w:t>statybos, surinkimo ar montavimo projekte.</w:t>
      </w:r>
    </w:p>
    <w:p w14:paraId="56A78882" w14:textId="77777777" w:rsidR="00586CCC" w:rsidRPr="00716259" w:rsidRDefault="00586CCC" w:rsidP="00586CCC">
      <w:pPr>
        <w:pStyle w:val="Pagrindinistekstas"/>
        <w:ind w:firstLine="620"/>
        <w:rPr>
          <w:b/>
        </w:rPr>
      </w:pPr>
      <w:r w:rsidRPr="00716259">
        <w:rPr>
          <w:rStyle w:val="PagrindinistekstasDiagrama"/>
          <w:bCs/>
          <w:lang w:bidi="en-US"/>
        </w:rPr>
        <w:t xml:space="preserve">Nurodyta </w:t>
      </w:r>
      <w:r w:rsidRPr="00716259">
        <w:rPr>
          <w:rStyle w:val="PagrindinistekstasDiagrama"/>
          <w:bCs/>
        </w:rPr>
        <w:t xml:space="preserve">taisyklė dėl sutarčių išskaidymo nuostatų, </w:t>
      </w:r>
      <w:r w:rsidRPr="00716259">
        <w:rPr>
          <w:rStyle w:val="PagrindinistekstasDiagrama"/>
          <w:bCs/>
          <w:lang w:bidi="en-US"/>
        </w:rPr>
        <w:t xml:space="preserve">kai </w:t>
      </w:r>
      <w:r w:rsidRPr="00716259">
        <w:rPr>
          <w:rStyle w:val="PagrindinistekstasDiagrama"/>
          <w:bCs/>
        </w:rPr>
        <w:t xml:space="preserve">užsienio valstybėje </w:t>
      </w:r>
      <w:r w:rsidRPr="00716259">
        <w:rPr>
          <w:rStyle w:val="PagrindinistekstasDiagrama"/>
          <w:bCs/>
          <w:lang w:bidi="en-US"/>
        </w:rPr>
        <w:t xml:space="preserve">yra vykdoma veikla </w:t>
      </w:r>
      <w:r w:rsidRPr="00716259">
        <w:rPr>
          <w:rStyle w:val="PagrindinistekstasDiagrama"/>
          <w:bCs/>
        </w:rPr>
        <w:t xml:space="preserve">statybų aikštelėje, </w:t>
      </w:r>
      <w:r w:rsidRPr="00716259">
        <w:rPr>
          <w:rStyle w:val="PagrindinistekstasDiagrama"/>
          <w:bCs/>
          <w:lang w:bidi="en-US"/>
        </w:rPr>
        <w:t xml:space="preserve">vykdomas statybos ar montavimo projektas, papildomai </w:t>
      </w:r>
      <w:r w:rsidRPr="00716259">
        <w:rPr>
          <w:rStyle w:val="PagrindinistekstasDiagrama"/>
          <w:bCs/>
        </w:rPr>
        <w:t xml:space="preserve">į periodą, </w:t>
      </w:r>
      <w:r w:rsidRPr="00716259">
        <w:rPr>
          <w:rStyle w:val="PagrindinistekstasDiagrama"/>
          <w:bCs/>
          <w:lang w:bidi="en-US"/>
        </w:rPr>
        <w:t xml:space="preserve">kuris yra reikalingas siekiant kvalifikuoti </w:t>
      </w:r>
      <w:r w:rsidRPr="00716259">
        <w:rPr>
          <w:rStyle w:val="PagrindinistekstasDiagrama"/>
          <w:bCs/>
        </w:rPr>
        <w:t xml:space="preserve">nuolatinę buveinę, </w:t>
      </w:r>
      <w:r w:rsidRPr="00716259">
        <w:rPr>
          <w:rStyle w:val="PagrindinistekstasDiagrama"/>
          <w:bCs/>
          <w:lang w:bidi="en-US"/>
        </w:rPr>
        <w:t xml:space="preserve">turi </w:t>
      </w:r>
      <w:r w:rsidRPr="00716259">
        <w:rPr>
          <w:rStyle w:val="PagrindinistekstasDiagrama"/>
          <w:bCs/>
        </w:rPr>
        <w:t xml:space="preserve">būti skaičiuojamos </w:t>
      </w:r>
      <w:r w:rsidRPr="00716259">
        <w:rPr>
          <w:rStyle w:val="PagrindinistekstasDiagrama"/>
          <w:bCs/>
          <w:lang w:bidi="en-US"/>
        </w:rPr>
        <w:t xml:space="preserve">papildomos dienos, netaikoma veiklai, susijusiai su gamtos </w:t>
      </w:r>
      <w:r w:rsidRPr="00716259">
        <w:rPr>
          <w:rStyle w:val="PagrindinistekstasDiagrama"/>
          <w:bCs/>
        </w:rPr>
        <w:t xml:space="preserve">išteklių tyrinėjimu </w:t>
      </w:r>
      <w:r w:rsidRPr="00716259">
        <w:rPr>
          <w:rStyle w:val="PagrindinistekstasDiagrama"/>
          <w:bCs/>
          <w:lang w:bidi="en-US"/>
        </w:rPr>
        <w:t>ir naudojimu.</w:t>
      </w:r>
    </w:p>
    <w:p w14:paraId="742CD20B" w14:textId="77777777" w:rsidR="00586CCC" w:rsidRPr="00716259" w:rsidRDefault="00586CCC" w:rsidP="00586CCC">
      <w:pPr>
        <w:pStyle w:val="Pagrindinistekstas"/>
        <w:ind w:firstLine="560"/>
        <w:rPr>
          <w:b/>
        </w:rPr>
      </w:pPr>
      <w:r w:rsidRPr="00716259">
        <w:rPr>
          <w:rStyle w:val="PagrindinistekstasDiagrama"/>
          <w:bCs/>
        </w:rPr>
        <w:t xml:space="preserve">Šešių mėnesių </w:t>
      </w:r>
      <w:r w:rsidRPr="00716259">
        <w:rPr>
          <w:rStyle w:val="PagrindinistekstasDiagrama"/>
          <w:bCs/>
          <w:lang w:bidi="en-US"/>
        </w:rPr>
        <w:t xml:space="preserve">laikotarpis </w:t>
      </w:r>
      <w:r w:rsidRPr="00716259">
        <w:rPr>
          <w:rStyle w:val="PagrindinistekstasDiagrama"/>
          <w:bCs/>
        </w:rPr>
        <w:t xml:space="preserve">statybų aikštelėje </w:t>
      </w:r>
      <w:r w:rsidRPr="00716259">
        <w:rPr>
          <w:rStyle w:val="PagrindinistekstasDiagrama"/>
          <w:bCs/>
          <w:lang w:bidi="en-US"/>
        </w:rPr>
        <w:t xml:space="preserve">pradedamas </w:t>
      </w:r>
      <w:r w:rsidRPr="00716259">
        <w:rPr>
          <w:rStyle w:val="PagrindinistekstasDiagrama"/>
          <w:bCs/>
        </w:rPr>
        <w:t xml:space="preserve">skaičiuoti </w:t>
      </w:r>
      <w:r w:rsidRPr="00716259">
        <w:rPr>
          <w:rStyle w:val="PagrindinistekstasDiagrama"/>
          <w:bCs/>
          <w:lang w:bidi="en-US"/>
        </w:rPr>
        <w:t xml:space="preserve">nuo tos dienos, </w:t>
      </w:r>
      <w:r w:rsidRPr="00716259">
        <w:rPr>
          <w:rStyle w:val="PagrindinistekstasDiagrama"/>
          <w:bCs/>
        </w:rPr>
        <w:t xml:space="preserve">kurią </w:t>
      </w:r>
      <w:r w:rsidRPr="00716259">
        <w:rPr>
          <w:rStyle w:val="PagrindinistekstasDiagrama"/>
          <w:bCs/>
          <w:lang w:bidi="en-US"/>
        </w:rPr>
        <w:t xml:space="preserve">rangovas joje pradeda darbus, </w:t>
      </w:r>
      <w:r w:rsidRPr="00716259">
        <w:rPr>
          <w:rStyle w:val="PagrindinistekstasDiagrama"/>
          <w:bCs/>
        </w:rPr>
        <w:t xml:space="preserve">įskaitant </w:t>
      </w:r>
      <w:r w:rsidRPr="00716259">
        <w:rPr>
          <w:rStyle w:val="PagrindinistekstasDiagrama"/>
          <w:bCs/>
          <w:lang w:bidi="en-US"/>
        </w:rPr>
        <w:t xml:space="preserve">visus parengiamuosius darbus, toje </w:t>
      </w:r>
      <w:r w:rsidRPr="00716259">
        <w:rPr>
          <w:rStyle w:val="PagrindinistekstasDiagrama"/>
          <w:bCs/>
        </w:rPr>
        <w:t xml:space="preserve">valstybėje, </w:t>
      </w:r>
      <w:r w:rsidRPr="00716259">
        <w:rPr>
          <w:rStyle w:val="PagrindinistekstasDiagrama"/>
          <w:bCs/>
          <w:lang w:bidi="en-US"/>
        </w:rPr>
        <w:t xml:space="preserve">kurioje statybos vyks ar projektas bus vykdomas ir realiai egzistuoja iki tol, kol darbas </w:t>
      </w:r>
      <w:r w:rsidRPr="00716259">
        <w:rPr>
          <w:rStyle w:val="PagrindinistekstasDiagrama"/>
          <w:bCs/>
        </w:rPr>
        <w:t xml:space="preserve">užbaigiamas </w:t>
      </w:r>
      <w:r w:rsidRPr="00716259">
        <w:rPr>
          <w:rStyle w:val="PagrindinistekstasDiagrama"/>
          <w:bCs/>
          <w:lang w:bidi="en-US"/>
        </w:rPr>
        <w:t xml:space="preserve">arba galutinai nutraukiamas. Jeigu darbai trunka ilgiau kaip </w:t>
      </w:r>
      <w:r w:rsidRPr="00716259">
        <w:rPr>
          <w:rStyle w:val="PagrindinistekstasDiagrama"/>
          <w:bCs/>
        </w:rPr>
        <w:t xml:space="preserve">šešis mėnesius, </w:t>
      </w:r>
      <w:r w:rsidRPr="00716259">
        <w:rPr>
          <w:rStyle w:val="PagrindinistekstasDiagrama"/>
          <w:bCs/>
          <w:lang w:bidi="en-US"/>
        </w:rPr>
        <w:t xml:space="preserve">tai laikoma, kad projektas tampa nuolatine buveine nuo pat pirmos </w:t>
      </w:r>
      <w:r w:rsidRPr="00716259">
        <w:rPr>
          <w:rStyle w:val="PagrindinistekstasDiagrama"/>
          <w:bCs/>
        </w:rPr>
        <w:t xml:space="preserve">darbų </w:t>
      </w:r>
      <w:r w:rsidRPr="00716259">
        <w:rPr>
          <w:rStyle w:val="PagrindinistekstasDiagrama"/>
          <w:bCs/>
          <w:lang w:bidi="en-US"/>
        </w:rPr>
        <w:t xml:space="preserve">vykdymo dienos. Laikotarpis, kuriuo rangovas arba </w:t>
      </w:r>
      <w:r w:rsidRPr="00716259">
        <w:rPr>
          <w:rStyle w:val="PagrindinistekstasDiagrama"/>
          <w:bCs/>
          <w:lang w:bidi="en-US"/>
        </w:rPr>
        <w:lastRenderedPageBreak/>
        <w:t xml:space="preserve">subrangovas tikrina </w:t>
      </w:r>
      <w:r w:rsidRPr="00716259">
        <w:rPr>
          <w:rStyle w:val="PagrindinistekstasDiagrama"/>
          <w:bCs/>
        </w:rPr>
        <w:t xml:space="preserve">pastatą </w:t>
      </w:r>
      <w:r w:rsidRPr="00716259">
        <w:rPr>
          <w:rStyle w:val="PagrindinistekstasDiagrama"/>
          <w:bCs/>
          <w:lang w:bidi="en-US"/>
        </w:rPr>
        <w:t xml:space="preserve">ar jo </w:t>
      </w:r>
      <w:r w:rsidRPr="00716259">
        <w:rPr>
          <w:rStyle w:val="PagrindinistekstasDiagrama"/>
          <w:bCs/>
        </w:rPr>
        <w:t xml:space="preserve">įrenginius, </w:t>
      </w:r>
      <w:r w:rsidRPr="00716259">
        <w:rPr>
          <w:rStyle w:val="PagrindinistekstasDiagrama"/>
          <w:bCs/>
          <w:lang w:bidi="en-US"/>
        </w:rPr>
        <w:t xml:space="preserve">turi </w:t>
      </w:r>
      <w:r w:rsidRPr="00716259">
        <w:rPr>
          <w:rStyle w:val="PagrindinistekstasDiagrama"/>
          <w:bCs/>
        </w:rPr>
        <w:t xml:space="preserve">būti įtrauktas į laikotarpį, </w:t>
      </w:r>
      <w:r w:rsidRPr="00716259">
        <w:rPr>
          <w:rStyle w:val="PagrindinistekstasDiagrama"/>
          <w:bCs/>
          <w:lang w:bidi="en-US"/>
        </w:rPr>
        <w:t xml:space="preserve">kuriuo egzistuoja statybos </w:t>
      </w:r>
      <w:r w:rsidRPr="00716259">
        <w:rPr>
          <w:rStyle w:val="PagrindinistekstasDiagrama"/>
          <w:bCs/>
        </w:rPr>
        <w:t>aikštelė.</w:t>
      </w:r>
    </w:p>
    <w:p w14:paraId="7682E2A2" w14:textId="77777777" w:rsidR="00586CCC" w:rsidRPr="00716259" w:rsidRDefault="00586CCC" w:rsidP="00586CCC">
      <w:pPr>
        <w:pStyle w:val="Pagrindinistekstas"/>
        <w:spacing w:after="280"/>
        <w:ind w:firstLine="560"/>
        <w:rPr>
          <w:b/>
        </w:rPr>
      </w:pPr>
      <w:r w:rsidRPr="00716259">
        <w:rPr>
          <w:rStyle w:val="PagrindinistekstasDiagrama"/>
          <w:bCs/>
        </w:rPr>
        <w:t xml:space="preserve">Sezoninių </w:t>
      </w:r>
      <w:r w:rsidRPr="00716259">
        <w:rPr>
          <w:rStyle w:val="PagrindinistekstasDiagrama"/>
          <w:bCs/>
          <w:lang w:bidi="en-US"/>
        </w:rPr>
        <w:t xml:space="preserve">ar </w:t>
      </w:r>
      <w:r w:rsidRPr="00716259">
        <w:rPr>
          <w:rStyle w:val="PagrindinistekstasDiagrama"/>
          <w:bCs/>
        </w:rPr>
        <w:t xml:space="preserve">kitų laikinų darbų pertraukų </w:t>
      </w:r>
      <w:r w:rsidRPr="00716259">
        <w:rPr>
          <w:rStyle w:val="PagrindinistekstasDiagrama"/>
          <w:bCs/>
          <w:lang w:bidi="en-US"/>
        </w:rPr>
        <w:t xml:space="preserve">laikas </w:t>
      </w:r>
      <w:r w:rsidRPr="00716259">
        <w:rPr>
          <w:rStyle w:val="PagrindinistekstasDiagrama"/>
          <w:bCs/>
        </w:rPr>
        <w:t xml:space="preserve">įskaičiuojamas į bendrą šešių mėnesių trukmę. Sezoninės </w:t>
      </w:r>
      <w:r w:rsidRPr="00716259">
        <w:rPr>
          <w:rStyle w:val="PagrindinistekstasDiagrama"/>
          <w:bCs/>
          <w:lang w:bidi="en-US"/>
        </w:rPr>
        <w:t xml:space="preserve">pertraukos taip pat apima ir </w:t>
      </w:r>
      <w:r w:rsidRPr="00716259">
        <w:rPr>
          <w:rStyle w:val="PagrindinistekstasDiagrama"/>
          <w:bCs/>
        </w:rPr>
        <w:t xml:space="preserve">darbų dėl </w:t>
      </w:r>
      <w:r w:rsidRPr="00716259">
        <w:rPr>
          <w:rStyle w:val="PagrindinistekstasDiagrama"/>
          <w:bCs/>
          <w:lang w:bidi="en-US"/>
        </w:rPr>
        <w:t xml:space="preserve">blogo oro sustabdymo </w:t>
      </w:r>
      <w:r w:rsidRPr="00716259">
        <w:rPr>
          <w:rStyle w:val="PagrindinistekstasDiagrama"/>
          <w:bCs/>
        </w:rPr>
        <w:t xml:space="preserve">trukmę. </w:t>
      </w:r>
      <w:r w:rsidRPr="00716259">
        <w:rPr>
          <w:rStyle w:val="PagrindinistekstasDiagrama"/>
          <w:bCs/>
          <w:lang w:bidi="en-US"/>
        </w:rPr>
        <w:t xml:space="preserve">Darbai gali </w:t>
      </w:r>
      <w:r w:rsidRPr="00716259">
        <w:rPr>
          <w:rStyle w:val="PagrindinistekstasDiagrama"/>
          <w:bCs/>
        </w:rPr>
        <w:t xml:space="preserve">būti </w:t>
      </w:r>
      <w:r w:rsidRPr="00716259">
        <w:rPr>
          <w:rStyle w:val="PagrindinistekstasDiagrama"/>
          <w:bCs/>
          <w:lang w:bidi="en-US"/>
        </w:rPr>
        <w:t xml:space="preserve">laikinai nutraukiami, </w:t>
      </w:r>
      <w:r w:rsidRPr="00716259">
        <w:rPr>
          <w:rStyle w:val="PagrindinistekstasDiagrama"/>
          <w:bCs/>
        </w:rPr>
        <w:t xml:space="preserve">pavyzdžiui, dėl medžiagų </w:t>
      </w:r>
      <w:r w:rsidRPr="00716259">
        <w:rPr>
          <w:rStyle w:val="PagrindinistekstasDiagrama"/>
          <w:bCs/>
          <w:lang w:bidi="en-US"/>
        </w:rPr>
        <w:t xml:space="preserve">ar darbo </w:t>
      </w:r>
      <w:r w:rsidRPr="00716259">
        <w:rPr>
          <w:rStyle w:val="PagrindinistekstasDiagrama"/>
          <w:bCs/>
        </w:rPr>
        <w:t xml:space="preserve">jėgos </w:t>
      </w:r>
      <w:r w:rsidRPr="00716259">
        <w:rPr>
          <w:rStyle w:val="PagrindinistekstasDiagrama"/>
          <w:bCs/>
          <w:lang w:bidi="en-US"/>
        </w:rPr>
        <w:t xml:space="preserve">stygiaus. Projektas egzistuoja tol, kol visi darbai </w:t>
      </w:r>
      <w:r w:rsidRPr="00716259">
        <w:rPr>
          <w:rStyle w:val="PagrindinistekstasDiagrama"/>
          <w:bCs/>
        </w:rPr>
        <w:t xml:space="preserve">užbaigiami </w:t>
      </w:r>
      <w:r w:rsidRPr="00716259">
        <w:rPr>
          <w:rStyle w:val="PagrindinistekstasDiagrama"/>
          <w:bCs/>
          <w:lang w:bidi="en-US"/>
        </w:rPr>
        <w:t xml:space="preserve">arba </w:t>
      </w:r>
      <w:r w:rsidRPr="00716259">
        <w:rPr>
          <w:rStyle w:val="PagrindinistekstasDiagrama"/>
          <w:bCs/>
        </w:rPr>
        <w:t xml:space="preserve">visiškai </w:t>
      </w:r>
      <w:r w:rsidRPr="00716259">
        <w:rPr>
          <w:rStyle w:val="PagrindinistekstasDiagrama"/>
          <w:bCs/>
          <w:lang w:bidi="en-US"/>
        </w:rPr>
        <w:t>sustabdomi.</w:t>
      </w:r>
    </w:p>
    <w:p w14:paraId="163D5DC3" w14:textId="77777777" w:rsidR="00586CCC" w:rsidRPr="00716259" w:rsidRDefault="00586CCC" w:rsidP="00586CCC">
      <w:pPr>
        <w:pStyle w:val="Pagrindinistekstas"/>
        <w:spacing w:after="280"/>
        <w:ind w:firstLine="560"/>
        <w:rPr>
          <w:b/>
        </w:rPr>
      </w:pPr>
      <w:r w:rsidRPr="00716259">
        <w:rPr>
          <w:rStyle w:val="PagrindinistekstasDiagrama"/>
          <w:bCs/>
          <w:lang w:bidi="en-US"/>
        </w:rPr>
        <w:t>Pavyzdys</w:t>
      </w:r>
    </w:p>
    <w:p w14:paraId="4B42AD86"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lang w:bidi="en-US"/>
        </w:rPr>
        <w:t xml:space="preserve">Latvijos </w:t>
      </w:r>
      <w:r w:rsidRPr="00716259">
        <w:rPr>
          <w:rStyle w:val="PagrindinistekstasDiagrama"/>
          <w:bCs/>
        </w:rPr>
        <w:t xml:space="preserve">įmonė </w:t>
      </w:r>
      <w:r w:rsidRPr="00716259">
        <w:rPr>
          <w:rStyle w:val="PagrindinistekstasDiagrama"/>
          <w:bCs/>
          <w:lang w:bidi="en-US"/>
        </w:rPr>
        <w:t xml:space="preserve">pagal </w:t>
      </w:r>
      <w:r w:rsidRPr="00716259">
        <w:rPr>
          <w:rStyle w:val="PagrindinistekstasDiagrama"/>
          <w:bCs/>
        </w:rPr>
        <w:t xml:space="preserve">sutartį </w:t>
      </w:r>
      <w:r w:rsidRPr="00716259">
        <w:rPr>
          <w:rStyle w:val="PagrindinistekstasDiagrama"/>
          <w:bCs/>
          <w:lang w:bidi="en-US"/>
        </w:rPr>
        <w:t xml:space="preserve">su Lietuvos </w:t>
      </w:r>
      <w:r w:rsidRPr="00716259">
        <w:rPr>
          <w:rStyle w:val="PagrindinistekstasDiagrama"/>
          <w:bCs/>
        </w:rPr>
        <w:t xml:space="preserve">įmone </w:t>
      </w:r>
      <w:r w:rsidRPr="00716259">
        <w:rPr>
          <w:rStyle w:val="PagrindinistekstasDiagrama"/>
          <w:bCs/>
          <w:lang w:bidi="en-US"/>
        </w:rPr>
        <w:t xml:space="preserve">Lietuvoje renovuoja komercinei veiklai </w:t>
      </w:r>
      <w:r w:rsidRPr="00716259">
        <w:rPr>
          <w:rStyle w:val="PagrindinistekstasDiagrama"/>
          <w:bCs/>
        </w:rPr>
        <w:t xml:space="preserve">naudotiną pastatą. </w:t>
      </w:r>
      <w:r w:rsidRPr="00716259">
        <w:rPr>
          <w:rStyle w:val="PagrindinistekstasDiagrama"/>
          <w:bCs/>
          <w:lang w:bidi="en-US"/>
        </w:rPr>
        <w:t xml:space="preserve">Visus darbus buvo planuota atlikti per penkis </w:t>
      </w:r>
      <w:r w:rsidRPr="00716259">
        <w:rPr>
          <w:rStyle w:val="PagrindinistekstasDiagrama"/>
          <w:bCs/>
        </w:rPr>
        <w:t xml:space="preserve">mėnesius, tačiau </w:t>
      </w:r>
      <w:r w:rsidRPr="00716259">
        <w:rPr>
          <w:rStyle w:val="PagrindinistekstasDiagrama"/>
          <w:bCs/>
          <w:lang w:bidi="en-US"/>
        </w:rPr>
        <w:t xml:space="preserve">po </w:t>
      </w:r>
      <w:r w:rsidRPr="00716259">
        <w:rPr>
          <w:rStyle w:val="PagrindinistekstasDiagrama"/>
          <w:bCs/>
        </w:rPr>
        <w:t xml:space="preserve">keturių mėnesių </w:t>
      </w:r>
      <w:r w:rsidRPr="00716259">
        <w:rPr>
          <w:rStyle w:val="PagrindinistekstasDiagrama"/>
          <w:bCs/>
          <w:lang w:bidi="en-US"/>
        </w:rPr>
        <w:t xml:space="preserve">darbai 45 dienoms buvo sustabdyti </w:t>
      </w:r>
      <w:r w:rsidRPr="00716259">
        <w:rPr>
          <w:rStyle w:val="PagrindinistekstasDiagrama"/>
          <w:bCs/>
        </w:rPr>
        <w:t xml:space="preserve">(tiekėjai </w:t>
      </w:r>
      <w:r w:rsidRPr="00716259">
        <w:rPr>
          <w:rStyle w:val="PagrindinistekstasDiagrama"/>
          <w:bCs/>
          <w:lang w:bidi="en-US"/>
        </w:rPr>
        <w:t xml:space="preserve">laiku </w:t>
      </w:r>
      <w:r w:rsidRPr="00716259">
        <w:rPr>
          <w:rStyle w:val="PagrindinistekstasDiagrama"/>
          <w:bCs/>
        </w:rPr>
        <w:t xml:space="preserve">nepristatė statybinių medžiagų), todėl </w:t>
      </w:r>
      <w:r w:rsidRPr="00716259">
        <w:rPr>
          <w:rStyle w:val="PagrindinistekstasDiagrama"/>
          <w:bCs/>
          <w:lang w:bidi="en-US"/>
        </w:rPr>
        <w:t xml:space="preserve">darbai buvo baigti tik po </w:t>
      </w:r>
      <w:r w:rsidRPr="00716259">
        <w:rPr>
          <w:rStyle w:val="PagrindinistekstasDiagrama"/>
          <w:bCs/>
        </w:rPr>
        <w:t xml:space="preserve">šešių </w:t>
      </w:r>
      <w:r w:rsidRPr="00716259">
        <w:rPr>
          <w:rStyle w:val="PagrindinistekstasDiagrama"/>
          <w:bCs/>
          <w:lang w:bidi="en-US"/>
        </w:rPr>
        <w:t xml:space="preserve">su puse </w:t>
      </w:r>
      <w:r w:rsidRPr="00716259">
        <w:rPr>
          <w:rStyle w:val="PagrindinistekstasDiagrama"/>
          <w:bCs/>
        </w:rPr>
        <w:t xml:space="preserve">mėnesio. </w:t>
      </w:r>
      <w:r w:rsidRPr="00716259">
        <w:rPr>
          <w:rStyle w:val="PagrindinistekstasDiagrama"/>
          <w:bCs/>
          <w:lang w:bidi="en-US"/>
        </w:rPr>
        <w:t xml:space="preserve">Tokia Latvijos </w:t>
      </w:r>
      <w:r w:rsidRPr="00716259">
        <w:rPr>
          <w:rStyle w:val="PagrindinistekstasDiagrama"/>
          <w:bCs/>
        </w:rPr>
        <w:t xml:space="preserve">įmonė </w:t>
      </w:r>
      <w:r w:rsidRPr="00716259">
        <w:rPr>
          <w:rStyle w:val="PagrindinistekstasDiagrama"/>
          <w:bCs/>
          <w:lang w:bidi="en-US"/>
        </w:rPr>
        <w:t xml:space="preserve">laikoma </w:t>
      </w:r>
      <w:r w:rsidRPr="00716259">
        <w:rPr>
          <w:rStyle w:val="PagrindinistekstasDiagrama"/>
          <w:bCs/>
        </w:rPr>
        <w:t xml:space="preserve">turinčia nuolatinę buveinę </w:t>
      </w:r>
      <w:r w:rsidRPr="00716259">
        <w:rPr>
          <w:rStyle w:val="PagrindinistekstasDiagrama"/>
          <w:bCs/>
          <w:lang w:bidi="en-US"/>
        </w:rPr>
        <w:t xml:space="preserve">Lietuvoje, kadangi darbus ji </w:t>
      </w:r>
      <w:r w:rsidRPr="00716259">
        <w:rPr>
          <w:rStyle w:val="PagrindinistekstasDiagrama"/>
          <w:bCs/>
        </w:rPr>
        <w:t xml:space="preserve">vykdė </w:t>
      </w:r>
      <w:r w:rsidRPr="00716259">
        <w:rPr>
          <w:rStyle w:val="PagrindinistekstasDiagrama"/>
          <w:bCs/>
          <w:lang w:bidi="en-US"/>
        </w:rPr>
        <w:t xml:space="preserve">ilgiau kaip </w:t>
      </w:r>
      <w:r w:rsidRPr="00716259">
        <w:rPr>
          <w:rStyle w:val="PagrindinistekstasDiagrama"/>
          <w:bCs/>
        </w:rPr>
        <w:t xml:space="preserve">šešis mėnesius (neatsižvelgiant į </w:t>
      </w:r>
      <w:r w:rsidRPr="00716259">
        <w:rPr>
          <w:rStyle w:val="PagrindinistekstasDiagrama"/>
          <w:bCs/>
          <w:lang w:bidi="en-US"/>
        </w:rPr>
        <w:t xml:space="preserve">tai, kad </w:t>
      </w:r>
      <w:r w:rsidRPr="00716259">
        <w:rPr>
          <w:rStyle w:val="PagrindinistekstasDiagrama"/>
          <w:bCs/>
        </w:rPr>
        <w:t>darbai kuriam laikui buvo sustabdyti).</w:t>
      </w:r>
    </w:p>
    <w:p w14:paraId="5807C38C" w14:textId="77777777" w:rsidR="00586CCC" w:rsidRPr="00716259" w:rsidRDefault="00586CCC" w:rsidP="00927E61">
      <w:pPr>
        <w:pStyle w:val="Pagrindinistekstas"/>
        <w:widowControl w:val="0"/>
        <w:numPr>
          <w:ilvl w:val="0"/>
          <w:numId w:val="86"/>
        </w:numPr>
        <w:tabs>
          <w:tab w:val="left" w:pos="903"/>
        </w:tabs>
        <w:spacing w:after="0" w:line="240" w:lineRule="auto"/>
        <w:ind w:left="1080" w:hanging="360"/>
        <w:rPr>
          <w:b/>
        </w:rPr>
      </w:pPr>
      <w:r w:rsidRPr="00716259">
        <w:rPr>
          <w:rStyle w:val="PagrindinistekstasDiagrama"/>
          <w:bCs/>
        </w:rPr>
        <w:t xml:space="preserve">Paslaugų teikimas, įskaitant konsultacines paslaugas, kurias teikia užsienio vieneto tokiam tikslui pasamdyti darbuotojai arba kitas personalas </w:t>
      </w:r>
      <w:r w:rsidRPr="00716259">
        <w:t>(pvz., subrangovai, konsultantai, prekybos atstovai ir pan.)</w:t>
      </w:r>
      <w:r w:rsidRPr="00716259">
        <w:rPr>
          <w:rStyle w:val="PagrindinistekstasDiagrama"/>
          <w:bCs/>
        </w:rPr>
        <w:t>, laikomas nuolatine buveine, jei tokio pobūdžio veikla (tam pačiam ar susijusiam objektui) Lietuvos teritorijoje bet kuriuo dvylikos mėnesių laikotarpiu, prasidedančiu ar pasibaigiančiu tais mokestiniais metais, ištisai arba su pertraukomis trunka ilgiau kaip 183 dienas, išskyrus atvejus, kai nėra užbaigtas komercinis operacijų ciklas</w:t>
      </w:r>
    </w:p>
    <w:p w14:paraId="3CE5B1D8" w14:textId="77777777" w:rsidR="00586CCC" w:rsidRPr="00716259" w:rsidRDefault="00586CCC" w:rsidP="00927E61">
      <w:pPr>
        <w:pStyle w:val="Pagrindinistekstas"/>
        <w:widowControl w:val="0"/>
        <w:numPr>
          <w:ilvl w:val="0"/>
          <w:numId w:val="86"/>
        </w:numPr>
        <w:tabs>
          <w:tab w:val="left" w:pos="908"/>
        </w:tabs>
        <w:spacing w:after="0" w:line="240" w:lineRule="auto"/>
        <w:ind w:left="1080" w:hanging="360"/>
        <w:rPr>
          <w:b/>
        </w:rPr>
      </w:pPr>
      <w:r w:rsidRPr="00716259">
        <w:rPr>
          <w:rStyle w:val="PagrindinistekstasDiagrama"/>
          <w:bCs/>
        </w:rPr>
        <w:t xml:space="preserve">Užsienio vienetas taip pat laikomas vykdančiu veiklą per nuolatinę buveinę Lietuvos Respublikoje, jeigu jis gamtos išteklių tyrimui ar gavybai Lietuvos Respublikoje </w:t>
      </w:r>
      <w:r w:rsidRPr="00716259">
        <w:rPr>
          <w:rStyle w:val="PagrindinistekstasDiagrama"/>
          <w:bCs/>
          <w:u w:val="single"/>
        </w:rPr>
        <w:t>naudoja įrangą arba konstrukciją, įskaitant tam naudojamus gręžinius ir laivus</w:t>
      </w:r>
      <w:r w:rsidRPr="00716259">
        <w:rPr>
          <w:rStyle w:val="PagrindinistekstasDiagrama"/>
          <w:bCs/>
        </w:rPr>
        <w:t>.</w:t>
      </w:r>
    </w:p>
    <w:p w14:paraId="52E47918" w14:textId="77777777" w:rsidR="00586CCC" w:rsidRPr="00716259" w:rsidRDefault="00586CCC" w:rsidP="00586CCC">
      <w:pPr>
        <w:pStyle w:val="Pagrindinistekstas"/>
        <w:spacing w:after="280"/>
        <w:ind w:firstLine="620"/>
        <w:rPr>
          <w:b/>
        </w:rPr>
      </w:pPr>
      <w:r w:rsidRPr="00716259">
        <w:rPr>
          <w:rStyle w:val="PagrindinistekstasDiagrama"/>
          <w:bCs/>
        </w:rPr>
        <w:t>Lietuvos Respublikos aplinkos apsaugos įstatymo 1 str. 3 punkte gamtos ištekliai apibrėžti kaip gyvosios ir negyvosios gamtos elementai, kuriuos žmogus naudoja arba gali naudoti savo poreikiams.</w:t>
      </w:r>
    </w:p>
    <w:p w14:paraId="22066E74" w14:textId="77777777" w:rsidR="00586CCC" w:rsidRPr="00716259" w:rsidRDefault="00586CCC" w:rsidP="00586CCC">
      <w:pPr>
        <w:pStyle w:val="Pagrindinistekstas"/>
        <w:ind w:firstLine="640"/>
        <w:rPr>
          <w:b/>
        </w:rPr>
      </w:pPr>
      <w:r w:rsidRPr="00716259">
        <w:rPr>
          <w:rStyle w:val="PagrindinistekstasDiagrama"/>
          <w:bCs/>
          <w:lang w:bidi="en-US"/>
        </w:rPr>
        <w:t xml:space="preserve">Gamtos </w:t>
      </w:r>
      <w:r w:rsidRPr="00716259">
        <w:rPr>
          <w:rStyle w:val="PagrindinistekstasDiagrama"/>
          <w:bCs/>
        </w:rPr>
        <w:t xml:space="preserve">išteklių </w:t>
      </w:r>
      <w:r w:rsidRPr="00716259">
        <w:rPr>
          <w:rStyle w:val="PagrindinistekstasDiagrama"/>
          <w:bCs/>
          <w:lang w:bidi="en-US"/>
        </w:rPr>
        <w:t xml:space="preserve">tyrimo ir gavybos darbai gali </w:t>
      </w:r>
      <w:r w:rsidRPr="00716259">
        <w:rPr>
          <w:rStyle w:val="PagrindinistekstasDiagrama"/>
          <w:bCs/>
        </w:rPr>
        <w:t xml:space="preserve">būti </w:t>
      </w:r>
      <w:r w:rsidRPr="00716259">
        <w:rPr>
          <w:rStyle w:val="PagrindinistekstasDiagrama"/>
          <w:bCs/>
          <w:lang w:bidi="en-US"/>
        </w:rPr>
        <w:t xml:space="preserve">atliekami bet kurioje Lietuvos </w:t>
      </w:r>
      <w:r w:rsidRPr="00716259">
        <w:rPr>
          <w:rStyle w:val="PagrindinistekstasDiagrama"/>
          <w:bCs/>
        </w:rPr>
        <w:t>Respublikos teritorijos, apibrėžtos PMĮ 2 str. 17 dalyje, dalyje. Tyrimas - tai darbai, atliekami ruošiant gamtos išteklius gavybai ar naudojimui ir siekiant gauti apie juos žinių, reikalingų priimti sprendimams. Šie darbai apima eksploatacinių gręžinių gręžimą, geofizinius, inžinerinius geologinius, geotechninius tyrimus ir kita.</w:t>
      </w:r>
    </w:p>
    <w:p w14:paraId="6BC81EB9" w14:textId="77777777" w:rsidR="00586CCC" w:rsidRPr="00716259" w:rsidRDefault="00586CCC" w:rsidP="00586CCC">
      <w:pPr>
        <w:pStyle w:val="Pagrindinistekstas"/>
        <w:ind w:firstLine="640"/>
        <w:rPr>
          <w:b/>
        </w:rPr>
      </w:pPr>
      <w:r w:rsidRPr="00716259">
        <w:rPr>
          <w:rStyle w:val="PagrindinistekstasDiagrama"/>
          <w:bCs/>
        </w:rPr>
        <w:t>Gamtos išteklių tyrimui ar gavybai naudojama įranga arba konstrukcija gali būti tiek stacionari, tiek kilnojama, ji taip pat apima gręžinius, laivus, platformas ir pan.</w:t>
      </w:r>
    </w:p>
    <w:p w14:paraId="774F7D17" w14:textId="77777777" w:rsidR="00586CCC" w:rsidRPr="00716259" w:rsidRDefault="00586CCC" w:rsidP="00586CCC">
      <w:pPr>
        <w:pStyle w:val="Pagrindinistekstas"/>
        <w:ind w:firstLine="640"/>
        <w:rPr>
          <w:b/>
        </w:rPr>
      </w:pPr>
      <w:r w:rsidRPr="00716259">
        <w:rPr>
          <w:rStyle w:val="PagrindinistekstasDiagrama"/>
          <w:bCs/>
        </w:rPr>
        <w:t>Kai užsienio vienetas gamtos išteklių tyrimo ar gavybos reikalams Lietuvos Respublikos teritorijoje naudoja įrangą arba konstrukciją, jis laikomas vykdančiu veiklą per nuolatinę buveinę.</w:t>
      </w:r>
    </w:p>
    <w:p w14:paraId="3F7ECC1F" w14:textId="77777777" w:rsidR="00586CCC" w:rsidRPr="00716259" w:rsidRDefault="00586CCC" w:rsidP="00586CCC">
      <w:pPr>
        <w:pStyle w:val="Pagrindinistekstas"/>
        <w:ind w:firstLine="640"/>
        <w:rPr>
          <w:b/>
        </w:rPr>
      </w:pPr>
      <w:r w:rsidRPr="00716259">
        <w:rPr>
          <w:rStyle w:val="PagrindinistekstasDiagrama"/>
          <w:bCs/>
        </w:rPr>
        <w:t>Tuo atveju, kai gamtos ištekliams tirti ar gauti įrangą arba konstrukciją Lietuvoje naudoja užsienio vienetas, kuris yra rezidentas valstybės, su kuria Lietuva yra sudariusi ir taiko DAIS, bus laikoma, kad toks vienetas vykdo veiklą per nuolatinę buveinę Lietuvoje tik tuo atveju, jeigu ta veikla atitinka DAIS nustatytas sąlygas, t. y. ji Lietuvoje vykdoma DAIS nustatytą laikotarpį.</w:t>
      </w:r>
    </w:p>
    <w:p w14:paraId="7E69A955" w14:textId="77777777" w:rsidR="00586CCC" w:rsidRPr="00716259" w:rsidRDefault="00586CCC" w:rsidP="00927E61">
      <w:pPr>
        <w:pStyle w:val="Pagrindinistekstas"/>
        <w:widowControl w:val="0"/>
        <w:numPr>
          <w:ilvl w:val="0"/>
          <w:numId w:val="86"/>
        </w:numPr>
        <w:tabs>
          <w:tab w:val="left" w:pos="846"/>
        </w:tabs>
        <w:spacing w:after="0" w:line="240" w:lineRule="auto"/>
        <w:ind w:left="1080" w:hanging="360"/>
        <w:rPr>
          <w:b/>
        </w:rPr>
      </w:pPr>
      <w:r w:rsidRPr="00716259">
        <w:rPr>
          <w:rStyle w:val="PagrindinistekstasDiagrama"/>
          <w:bCs/>
        </w:rPr>
        <w:t xml:space="preserve">Vieneto vykdoma </w:t>
      </w:r>
      <w:r w:rsidRPr="00716259">
        <w:rPr>
          <w:rStyle w:val="PagrindinistekstasDiagrama"/>
          <w:bCs/>
          <w:u w:val="single"/>
        </w:rPr>
        <w:t>paruošiamojo ar pagalbinio pobūdžio ūkinė komercinė veikla</w:t>
      </w:r>
      <w:r w:rsidRPr="00716259">
        <w:rPr>
          <w:rStyle w:val="PagrindinistekstasDiagrama"/>
          <w:bCs/>
        </w:rPr>
        <w:t xml:space="preserve"> nėra laikoma nuolatine buveine, kadangi veikla yra nutolusi nuo faktiškai gaunamo pelno, kurį būtų sudėtinga priskirti tokiai, kad ir pastoviai ūkinės komercinės veiklos vietai. Vienos valstybės vieneto kitoje valstybėje atliekama ūkinė komercinė veikla, kuriai taikoma tokia išimtis, turi būti skirta tik pačiam vienetui.</w:t>
      </w:r>
    </w:p>
    <w:p w14:paraId="36922D8C" w14:textId="77777777" w:rsidR="00586CCC" w:rsidRPr="00716259" w:rsidRDefault="00586CCC" w:rsidP="00927E61">
      <w:pPr>
        <w:pStyle w:val="Pagrindinistekstas"/>
        <w:widowControl w:val="0"/>
        <w:numPr>
          <w:ilvl w:val="0"/>
          <w:numId w:val="86"/>
        </w:numPr>
        <w:tabs>
          <w:tab w:val="left" w:pos="1533"/>
        </w:tabs>
        <w:spacing w:after="0" w:line="240" w:lineRule="auto"/>
        <w:ind w:left="1080" w:hanging="360"/>
        <w:rPr>
          <w:b/>
        </w:rPr>
      </w:pPr>
      <w:r w:rsidRPr="00716259">
        <w:rPr>
          <w:rStyle w:val="PagrindinistekstasDiagrama"/>
          <w:bCs/>
          <w:color w:val="010202"/>
        </w:rPr>
        <w:t xml:space="preserve">Paruošiamojo </w:t>
      </w:r>
      <w:r w:rsidRPr="00716259">
        <w:rPr>
          <w:rStyle w:val="PagrindinistekstasDiagrama"/>
          <w:bCs/>
        </w:rPr>
        <w:t>ar pagalbinio pobūdžio veikla apima</w:t>
      </w:r>
      <w:r w:rsidRPr="00716259">
        <w:rPr>
          <w:rStyle w:val="PagrindinistekstasDiagrama"/>
          <w:color w:val="010202"/>
        </w:rPr>
        <w:t>:</w:t>
      </w:r>
    </w:p>
    <w:p w14:paraId="20EA1D84" w14:textId="77777777" w:rsidR="00586CCC" w:rsidRPr="00716259" w:rsidRDefault="00586CCC" w:rsidP="00927E61">
      <w:pPr>
        <w:pStyle w:val="Pagrindinistekstas"/>
        <w:widowControl w:val="0"/>
        <w:numPr>
          <w:ilvl w:val="0"/>
          <w:numId w:val="87"/>
        </w:numPr>
        <w:tabs>
          <w:tab w:val="left" w:pos="855"/>
        </w:tabs>
        <w:spacing w:after="0" w:line="240" w:lineRule="auto"/>
        <w:ind w:left="1080" w:hanging="360"/>
        <w:rPr>
          <w:b/>
        </w:rPr>
      </w:pPr>
      <w:r w:rsidRPr="00716259">
        <w:rPr>
          <w:rStyle w:val="PagrindinistekstasDiagrama"/>
          <w:bCs/>
        </w:rPr>
        <w:lastRenderedPageBreak/>
        <w:t>patalpų, kurios skirtos tik sandėliuoti, eksponuoti arba pristatyti įmonei priklausančius gaminius ar prekes, naudojimą;</w:t>
      </w:r>
    </w:p>
    <w:p w14:paraId="507B19A2" w14:textId="77777777" w:rsidR="00586CCC" w:rsidRPr="00716259" w:rsidRDefault="00586CCC" w:rsidP="00927E61">
      <w:pPr>
        <w:pStyle w:val="Pagrindinistekstas"/>
        <w:widowControl w:val="0"/>
        <w:numPr>
          <w:ilvl w:val="0"/>
          <w:numId w:val="87"/>
        </w:numPr>
        <w:tabs>
          <w:tab w:val="left" w:pos="874"/>
        </w:tabs>
        <w:spacing w:after="0" w:line="240" w:lineRule="auto"/>
        <w:ind w:left="1080" w:hanging="360"/>
        <w:rPr>
          <w:b/>
        </w:rPr>
      </w:pPr>
      <w:r w:rsidRPr="00716259">
        <w:rPr>
          <w:rStyle w:val="PagrindinistekstasDiagrama"/>
          <w:bCs/>
        </w:rPr>
        <w:t>įmonei priklausančių gaminių ar prekių atsargų, skirtų tik sandėliuoti, eksponuoti arba pristatyti, laikymą;</w:t>
      </w:r>
    </w:p>
    <w:p w14:paraId="1D933D09" w14:textId="77777777" w:rsidR="00586CCC" w:rsidRPr="00716259" w:rsidRDefault="00586CCC" w:rsidP="00927E61">
      <w:pPr>
        <w:pStyle w:val="Pagrindinistekstas"/>
        <w:widowControl w:val="0"/>
        <w:numPr>
          <w:ilvl w:val="0"/>
          <w:numId w:val="87"/>
        </w:numPr>
        <w:tabs>
          <w:tab w:val="left" w:pos="846"/>
        </w:tabs>
        <w:spacing w:after="0" w:line="240" w:lineRule="auto"/>
        <w:ind w:left="1080" w:hanging="360"/>
        <w:rPr>
          <w:b/>
        </w:rPr>
      </w:pPr>
      <w:r w:rsidRPr="00716259">
        <w:rPr>
          <w:rStyle w:val="PagrindinistekstasDiagrama"/>
          <w:bCs/>
        </w:rPr>
        <w:t>įmonei priklausančių gaminių arba prekių atsargų, skirtų tik perdirbti kitoje įmonėje, laikymą;</w:t>
      </w:r>
    </w:p>
    <w:p w14:paraId="34994C4D" w14:textId="77777777" w:rsidR="00586CCC" w:rsidRPr="00716259" w:rsidRDefault="00586CCC" w:rsidP="00927E61">
      <w:pPr>
        <w:pStyle w:val="Pagrindinistekstas"/>
        <w:widowControl w:val="0"/>
        <w:numPr>
          <w:ilvl w:val="0"/>
          <w:numId w:val="87"/>
        </w:numPr>
        <w:tabs>
          <w:tab w:val="left" w:pos="870"/>
        </w:tabs>
        <w:spacing w:after="0" w:line="240" w:lineRule="auto"/>
        <w:ind w:left="1080" w:hanging="360"/>
        <w:rPr>
          <w:b/>
        </w:rPr>
      </w:pPr>
      <w:r w:rsidRPr="00716259">
        <w:rPr>
          <w:rStyle w:val="PagrindinistekstasDiagrama"/>
          <w:bCs/>
        </w:rPr>
        <w:t>nuolatinės ūkinės komercinės veiklos vietos, naudojamos tik įmonei reikalingiems gaminiams arba prekėms įsigyti ar jai reikalingai informacijai rinkti, laikymą;</w:t>
      </w:r>
    </w:p>
    <w:p w14:paraId="7810EB21" w14:textId="77777777" w:rsidR="00586CCC" w:rsidRPr="00716259" w:rsidRDefault="00586CCC" w:rsidP="00927E61">
      <w:pPr>
        <w:pStyle w:val="Pagrindinistekstas"/>
        <w:widowControl w:val="0"/>
        <w:numPr>
          <w:ilvl w:val="0"/>
          <w:numId w:val="87"/>
        </w:numPr>
        <w:tabs>
          <w:tab w:val="left" w:pos="850"/>
        </w:tabs>
        <w:spacing w:after="0" w:line="240" w:lineRule="auto"/>
        <w:ind w:left="1080" w:hanging="360"/>
        <w:rPr>
          <w:b/>
        </w:rPr>
      </w:pPr>
      <w:r w:rsidRPr="00716259">
        <w:rPr>
          <w:rStyle w:val="PagrindinistekstasDiagrama"/>
          <w:bCs/>
        </w:rPr>
        <w:t>nuolatinės ūkinės komercinės veiklos vietos išlaikymą vien tik a-d punktuose nenurodytos veiklos vykdymo įmonės vardu tikslais, jei ta veikla yra parengiamoji arba papildoma;</w:t>
      </w:r>
    </w:p>
    <w:p w14:paraId="3C1943EE" w14:textId="77777777" w:rsidR="00586CCC" w:rsidRPr="00716259" w:rsidRDefault="00586CCC" w:rsidP="00927E61">
      <w:pPr>
        <w:pStyle w:val="Pagrindinistekstas"/>
        <w:widowControl w:val="0"/>
        <w:numPr>
          <w:ilvl w:val="0"/>
          <w:numId w:val="87"/>
        </w:numPr>
        <w:tabs>
          <w:tab w:val="left" w:pos="884"/>
        </w:tabs>
        <w:spacing w:after="0" w:line="240" w:lineRule="auto"/>
        <w:ind w:left="1080" w:hanging="360"/>
        <w:rPr>
          <w:b/>
        </w:rPr>
      </w:pPr>
      <w:r w:rsidRPr="00716259">
        <w:rPr>
          <w:rStyle w:val="PagrindinistekstasDiagrama"/>
          <w:bCs/>
        </w:rPr>
        <w:t>nuolatinės ūkinės komercinės veiklos vietos, naudojamos tik bet kuriam šios dalies a-e punktuose išvardytos veiklos deriniui, laikymą, jei visa tokios ūkinės komercinės veiklos vietos veikla, kuriai sąlygas sudaro toks derinys, yra parengiamojo arba pagalbinio pobūdžio.</w:t>
      </w:r>
    </w:p>
    <w:p w14:paraId="304FCD84" w14:textId="77777777" w:rsidR="00586CCC" w:rsidRPr="00716259" w:rsidRDefault="00586CCC" w:rsidP="00586CCC">
      <w:pPr>
        <w:pStyle w:val="Pagrindinistekstas"/>
        <w:ind w:firstLine="640"/>
        <w:rPr>
          <w:b/>
        </w:rPr>
      </w:pPr>
      <w:r w:rsidRPr="00716259">
        <w:rPr>
          <w:rStyle w:val="PagrindinistekstasDiagrama"/>
          <w:bCs/>
        </w:rPr>
        <w:t>Šis punktas apima atvejus, kai vienos valstybės vienetas kitoje valstybėje turi komercinės- ūkinės veiklos vietą, kuri naudojama kelioms a) - e) punktuose išvardytoms veikloms. Vienos valstybės vienetas nelaikomas turinčiu nuolatinę buveinę kitoje valstybėje, jeigu toje kitoje valstybėje jis turi ūkinės komercinės veiklos vietą, per kurią vykdo a) - e) punktuose išvardytą veiklą, tačiau veikla, kurią apsprendžia toks derinys, yra tik pagalbinio ar paruošiamojo pobūdžio. Kiekvienas atvejis turi būti nagrinėjamas atskirai, kadangi veikla, kurią apsprendžia toks derinys, ne visada yra tik pagalbinio ar paruošiamojo pobūdžio.</w:t>
      </w:r>
    </w:p>
    <w:p w14:paraId="008C0272" w14:textId="77777777" w:rsidR="00586CCC" w:rsidRPr="00716259" w:rsidRDefault="00586CCC" w:rsidP="00586CCC">
      <w:pPr>
        <w:pStyle w:val="Pagrindinistekstas"/>
        <w:ind w:firstLine="640"/>
        <w:rPr>
          <w:b/>
        </w:rPr>
      </w:pPr>
      <w:r w:rsidRPr="00716259">
        <w:rPr>
          <w:rStyle w:val="PagrindinistekstasDiagrama"/>
          <w:bCs/>
        </w:rPr>
        <w:t>Jei bet kokia kita neaprašyta veikla yra pagalbinio pobūdžio, tokios veiklos vykdymas nuolatinės buveinės nesukuria. Aukščiau išvardintų punktų jungtinė veikla, jei jų kombinaciją galima būtu laikyti pagalbinio pobūdžio veikla, taip pat nesukuria nuolatinės buveinės.</w:t>
      </w:r>
    </w:p>
    <w:p w14:paraId="16467974" w14:textId="77777777" w:rsidR="00586CCC" w:rsidRPr="00716259" w:rsidRDefault="00586CCC" w:rsidP="00586CCC">
      <w:pPr>
        <w:pStyle w:val="Pagrindinistekstas"/>
        <w:ind w:firstLine="580"/>
        <w:rPr>
          <w:b/>
        </w:rPr>
      </w:pPr>
      <w:r w:rsidRPr="00716259">
        <w:rPr>
          <w:rStyle w:val="PagrindinistekstasDiagrama"/>
          <w:bCs/>
        </w:rPr>
        <w:t>Paruošiamojo ar pagalbinio pobūdžio veikla gali būti nuolatine, jei:</w:t>
      </w:r>
    </w:p>
    <w:p w14:paraId="28AE06CC" w14:textId="77777777" w:rsidR="00586CCC" w:rsidRPr="00716259" w:rsidRDefault="00586CCC" w:rsidP="00927E61">
      <w:pPr>
        <w:pStyle w:val="Pagrindinistekstas"/>
        <w:widowControl w:val="0"/>
        <w:numPr>
          <w:ilvl w:val="0"/>
          <w:numId w:val="87"/>
        </w:numPr>
        <w:tabs>
          <w:tab w:val="left" w:pos="809"/>
        </w:tabs>
        <w:spacing w:after="0" w:line="240" w:lineRule="auto"/>
        <w:ind w:left="1080" w:hanging="360"/>
        <w:rPr>
          <w:b/>
        </w:rPr>
      </w:pPr>
      <w:r w:rsidRPr="00716259">
        <w:rPr>
          <w:rStyle w:val="PagrindinistekstasDiagrama"/>
          <w:bCs/>
        </w:rPr>
        <w:t>glaudžiai susiję vienetai vienoje iš valstybių (toje pačioje ar skirtingose valstybės vietose) vykdo veiklas, kurios nors atskirai ir yra pagalbinio ar paruošiamojo pobūdžio, tačiau kartu yra nuoseklios ūkinės veiklos dalis, arba</w:t>
      </w:r>
    </w:p>
    <w:p w14:paraId="3747932B" w14:textId="77777777" w:rsidR="00586CCC" w:rsidRPr="00716259" w:rsidRDefault="00586CCC" w:rsidP="00927E61">
      <w:pPr>
        <w:pStyle w:val="Pagrindinistekstas"/>
        <w:widowControl w:val="0"/>
        <w:numPr>
          <w:ilvl w:val="0"/>
          <w:numId w:val="87"/>
        </w:numPr>
        <w:tabs>
          <w:tab w:val="left" w:pos="861"/>
        </w:tabs>
        <w:spacing w:after="0" w:line="240" w:lineRule="auto"/>
        <w:ind w:left="1080" w:hanging="360"/>
        <w:rPr>
          <w:b/>
        </w:rPr>
      </w:pPr>
      <w:r w:rsidRPr="00716259">
        <w:rPr>
          <w:rStyle w:val="PagrindinistekstasDiagrama"/>
          <w:bCs/>
          <w:lang w:bidi="en-US"/>
        </w:rPr>
        <w:t xml:space="preserve">vienas </w:t>
      </w:r>
      <w:r w:rsidRPr="00716259">
        <w:rPr>
          <w:rStyle w:val="PagrindinistekstasDiagrama"/>
          <w:bCs/>
        </w:rPr>
        <w:t xml:space="preserve">iš glaudžiai susijusių vienetų </w:t>
      </w:r>
      <w:r w:rsidRPr="00716259">
        <w:rPr>
          <w:rStyle w:val="PagrindinistekstasDiagrama"/>
          <w:bCs/>
          <w:lang w:bidi="en-US"/>
        </w:rPr>
        <w:t xml:space="preserve">toje </w:t>
      </w:r>
      <w:r w:rsidRPr="00716259">
        <w:rPr>
          <w:rStyle w:val="PagrindinistekstasDiagrama"/>
          <w:bCs/>
        </w:rPr>
        <w:t xml:space="preserve">valstybėje </w:t>
      </w:r>
      <w:r w:rsidRPr="00716259">
        <w:rPr>
          <w:rStyle w:val="PagrindinistekstasDiagrama"/>
          <w:bCs/>
          <w:lang w:bidi="en-US"/>
        </w:rPr>
        <w:t xml:space="preserve">veikia per </w:t>
      </w:r>
      <w:r w:rsidRPr="00716259">
        <w:rPr>
          <w:rStyle w:val="PagrindinistekstasDiagrama"/>
          <w:bCs/>
        </w:rPr>
        <w:t xml:space="preserve">nuolatinę buveinę, </w:t>
      </w:r>
      <w:r w:rsidRPr="00716259">
        <w:rPr>
          <w:rStyle w:val="PagrindinistekstasDiagrama"/>
          <w:bCs/>
          <w:lang w:bidi="en-US"/>
        </w:rPr>
        <w:t xml:space="preserve">o kitas vykdo </w:t>
      </w:r>
      <w:r w:rsidRPr="00716259">
        <w:rPr>
          <w:rStyle w:val="PagrindinistekstasDiagrama"/>
          <w:bCs/>
        </w:rPr>
        <w:t xml:space="preserve">paruošiamojo </w:t>
      </w:r>
      <w:r w:rsidRPr="00716259">
        <w:rPr>
          <w:rStyle w:val="PagrindinistekstasDiagrama"/>
          <w:bCs/>
          <w:lang w:bidi="en-US"/>
        </w:rPr>
        <w:t xml:space="preserve">ar parengiamojo </w:t>
      </w:r>
      <w:r w:rsidRPr="00716259">
        <w:rPr>
          <w:rStyle w:val="PagrindinistekstasDiagrama"/>
          <w:bCs/>
        </w:rPr>
        <w:t xml:space="preserve">pobūdžio veiklą, </w:t>
      </w:r>
      <w:r w:rsidRPr="00716259">
        <w:rPr>
          <w:rStyle w:val="PagrindinistekstasDiagrama"/>
          <w:bCs/>
          <w:lang w:bidi="en-US"/>
        </w:rPr>
        <w:t xml:space="preserve">kurios kartu yra nuoseklios </w:t>
      </w:r>
      <w:r w:rsidRPr="00716259">
        <w:rPr>
          <w:rStyle w:val="PagrindinistekstasDiagrama"/>
          <w:bCs/>
        </w:rPr>
        <w:t xml:space="preserve">ūkinės </w:t>
      </w:r>
      <w:r w:rsidRPr="00716259">
        <w:rPr>
          <w:rStyle w:val="PagrindinistekstasDiagrama"/>
          <w:bCs/>
          <w:lang w:bidi="en-US"/>
        </w:rPr>
        <w:t>veiklos dalis.</w:t>
      </w:r>
    </w:p>
    <w:p w14:paraId="4FE5ACA7" w14:textId="77777777" w:rsidR="00586CCC" w:rsidRPr="00716259" w:rsidRDefault="00586CCC" w:rsidP="00586CCC">
      <w:pPr>
        <w:pStyle w:val="Pagrindinistekstas"/>
        <w:ind w:firstLine="520"/>
        <w:rPr>
          <w:b/>
        </w:rPr>
      </w:pPr>
      <w:r w:rsidRPr="00716259">
        <w:rPr>
          <w:rStyle w:val="PagrindinistekstasDiagrama"/>
          <w:bCs/>
          <w:lang w:bidi="en-US"/>
        </w:rPr>
        <w:t xml:space="preserve">Veikla nebus </w:t>
      </w:r>
      <w:r w:rsidRPr="00716259">
        <w:rPr>
          <w:rStyle w:val="PagrindinistekstasDiagrama"/>
          <w:bCs/>
        </w:rPr>
        <w:t xml:space="preserve">paruošiamojo </w:t>
      </w:r>
      <w:r w:rsidRPr="00716259">
        <w:rPr>
          <w:rStyle w:val="PagrindinistekstasDiagrama"/>
          <w:bCs/>
          <w:lang w:bidi="en-US"/>
        </w:rPr>
        <w:t xml:space="preserve">ar pagalbinio </w:t>
      </w:r>
      <w:r w:rsidRPr="00716259">
        <w:rPr>
          <w:rStyle w:val="PagrindinistekstasDiagrama"/>
          <w:bCs/>
        </w:rPr>
        <w:t xml:space="preserve">pobūdžio, </w:t>
      </w:r>
      <w:r w:rsidRPr="00716259">
        <w:rPr>
          <w:rStyle w:val="PagrindinistekstasDiagrama"/>
          <w:bCs/>
          <w:lang w:bidi="en-US"/>
        </w:rPr>
        <w:t xml:space="preserve">jei vienetas ar su juo </w:t>
      </w:r>
      <w:r w:rsidRPr="00716259">
        <w:rPr>
          <w:rStyle w:val="PagrindinistekstasDiagrama"/>
          <w:bCs/>
        </w:rPr>
        <w:t xml:space="preserve">glaudžiai susijęs </w:t>
      </w:r>
      <w:r w:rsidRPr="00716259">
        <w:rPr>
          <w:rStyle w:val="PagrindinistekstasDiagrama"/>
          <w:bCs/>
          <w:lang w:bidi="en-US"/>
        </w:rPr>
        <w:t xml:space="preserve">vienetas toje </w:t>
      </w:r>
      <w:r w:rsidRPr="00716259">
        <w:rPr>
          <w:rStyle w:val="PagrindinistekstasDiagrama"/>
          <w:bCs/>
        </w:rPr>
        <w:t xml:space="preserve">pačioje valstybėje </w:t>
      </w:r>
      <w:r w:rsidRPr="00716259">
        <w:rPr>
          <w:rStyle w:val="PagrindinistekstasDiagrama"/>
          <w:bCs/>
          <w:lang w:bidi="en-US"/>
        </w:rPr>
        <w:t xml:space="preserve">jau vykdo </w:t>
      </w:r>
      <w:r w:rsidRPr="00716259">
        <w:rPr>
          <w:rStyle w:val="PagrindinistekstasDiagrama"/>
          <w:bCs/>
        </w:rPr>
        <w:t xml:space="preserve">veiklą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arba jie vykdo kelias veiklas, kurios, </w:t>
      </w:r>
      <w:r w:rsidRPr="00716259">
        <w:rPr>
          <w:rStyle w:val="PagrindinistekstasDiagrama"/>
          <w:bCs/>
        </w:rPr>
        <w:t xml:space="preserve">paėmus </w:t>
      </w:r>
      <w:r w:rsidRPr="00716259">
        <w:rPr>
          <w:rStyle w:val="PagrindinistekstasDiagrama"/>
          <w:bCs/>
          <w:lang w:bidi="en-US"/>
        </w:rPr>
        <w:t xml:space="preserve">bendrai, negali </w:t>
      </w:r>
      <w:r w:rsidRPr="00716259">
        <w:rPr>
          <w:rStyle w:val="PagrindinistekstasDiagrama"/>
          <w:bCs/>
        </w:rPr>
        <w:t xml:space="preserve">būti </w:t>
      </w:r>
      <w:r w:rsidRPr="00716259">
        <w:rPr>
          <w:rStyle w:val="PagrindinistekstasDiagrama"/>
          <w:bCs/>
          <w:lang w:bidi="en-US"/>
        </w:rPr>
        <w:t xml:space="preserve">vertinamos kaip </w:t>
      </w:r>
      <w:r w:rsidRPr="00716259">
        <w:rPr>
          <w:rStyle w:val="PagrindinistekstasDiagrama"/>
          <w:bCs/>
        </w:rPr>
        <w:t xml:space="preserve">paruošiamojo </w:t>
      </w:r>
      <w:r w:rsidRPr="00716259">
        <w:rPr>
          <w:rStyle w:val="PagrindinistekstasDiagrama"/>
          <w:bCs/>
          <w:lang w:bidi="en-US"/>
        </w:rPr>
        <w:t xml:space="preserve">ar pagalbinio </w:t>
      </w:r>
      <w:r w:rsidRPr="00716259">
        <w:rPr>
          <w:rStyle w:val="PagrindinistekstasDiagrama"/>
          <w:bCs/>
        </w:rPr>
        <w:t xml:space="preserve">pobūdžio, </w:t>
      </w:r>
      <w:r w:rsidRPr="00716259">
        <w:rPr>
          <w:rStyle w:val="PagrindinistekstasDiagrama"/>
          <w:bCs/>
          <w:lang w:bidi="en-US"/>
        </w:rPr>
        <w:t xml:space="preserve">jei abiem atvejais tokios veiklos sudaro </w:t>
      </w:r>
      <w:r w:rsidRPr="00716259">
        <w:rPr>
          <w:rStyle w:val="PagrindinistekstasDiagrama"/>
          <w:bCs/>
        </w:rPr>
        <w:t xml:space="preserve">darnią </w:t>
      </w:r>
      <w:r w:rsidRPr="00716259">
        <w:rPr>
          <w:rStyle w:val="PagrindinistekstasDiagrama"/>
          <w:bCs/>
          <w:lang w:bidi="en-US"/>
        </w:rPr>
        <w:t xml:space="preserve">verslo </w:t>
      </w:r>
      <w:r w:rsidRPr="00716259">
        <w:rPr>
          <w:rStyle w:val="PagrindinistekstasDiagrama"/>
          <w:bCs/>
        </w:rPr>
        <w:t xml:space="preserve">grandinę </w:t>
      </w:r>
      <w:r w:rsidRPr="00716259">
        <w:rPr>
          <w:rStyle w:val="PagrindinistekstasDiagrama"/>
          <w:bCs/>
          <w:lang w:bidi="en-US"/>
        </w:rPr>
        <w:t>ir yra susijusios.</w:t>
      </w:r>
    </w:p>
    <w:p w14:paraId="391D6486" w14:textId="77777777" w:rsidR="00586CCC" w:rsidRPr="00716259" w:rsidRDefault="00586CCC" w:rsidP="00927E61">
      <w:pPr>
        <w:pStyle w:val="Pagrindinistekstas"/>
        <w:widowControl w:val="0"/>
        <w:numPr>
          <w:ilvl w:val="0"/>
          <w:numId w:val="86"/>
        </w:numPr>
        <w:tabs>
          <w:tab w:val="left" w:pos="913"/>
        </w:tabs>
        <w:spacing w:after="0" w:line="240" w:lineRule="auto"/>
        <w:ind w:left="1080" w:hanging="360"/>
        <w:rPr>
          <w:b/>
        </w:rPr>
      </w:pPr>
      <w:r w:rsidRPr="00716259">
        <w:rPr>
          <w:rStyle w:val="PagrindinistekstasDiagrama"/>
          <w:bCs/>
          <w:lang w:bidi="en-US"/>
        </w:rPr>
        <w:t xml:space="preserve">Asmuo arba vienetas yra </w:t>
      </w:r>
      <w:r w:rsidRPr="00716259">
        <w:rPr>
          <w:rStyle w:val="PagrindinistekstasDiagrama"/>
          <w:bCs/>
        </w:rPr>
        <w:t xml:space="preserve">glaudžiai susiję </w:t>
      </w:r>
      <w:r w:rsidRPr="00716259">
        <w:rPr>
          <w:rStyle w:val="PagrindinistekstasDiagrama"/>
          <w:bCs/>
          <w:lang w:bidi="en-US"/>
        </w:rPr>
        <w:t xml:space="preserve">su kitu vienetu, jei, remiantis visais </w:t>
      </w:r>
      <w:r w:rsidRPr="00716259">
        <w:rPr>
          <w:rStyle w:val="PagrindinistekstasDiagrama"/>
          <w:bCs/>
        </w:rPr>
        <w:t xml:space="preserve">reikšmingais </w:t>
      </w:r>
      <w:r w:rsidRPr="00716259">
        <w:rPr>
          <w:rStyle w:val="PagrindinistekstasDiagrama"/>
          <w:bCs/>
          <w:lang w:bidi="en-US"/>
        </w:rPr>
        <w:t xml:space="preserve">faktais ir </w:t>
      </w:r>
      <w:r w:rsidRPr="00716259">
        <w:rPr>
          <w:rStyle w:val="PagrindinistekstasDiagrama"/>
          <w:bCs/>
        </w:rPr>
        <w:t xml:space="preserve">aplinkybėmis, </w:t>
      </w:r>
      <w:r w:rsidRPr="00716259">
        <w:rPr>
          <w:rStyle w:val="PagrindinistekstasDiagrama"/>
          <w:bCs/>
          <w:lang w:bidi="en-US"/>
        </w:rPr>
        <w:t xml:space="preserve">vienetas ir asmuo kontroliuoja vienas </w:t>
      </w:r>
      <w:r w:rsidRPr="00716259">
        <w:rPr>
          <w:rStyle w:val="PagrindinistekstasDiagrama"/>
          <w:bCs/>
        </w:rPr>
        <w:t xml:space="preserve">kitą </w:t>
      </w:r>
      <w:r w:rsidRPr="00716259">
        <w:rPr>
          <w:rStyle w:val="PagrindinistekstasDiagrama"/>
          <w:bCs/>
          <w:lang w:bidi="en-US"/>
        </w:rPr>
        <w:t xml:space="preserve">arba juos abu kontroliuoja tie patys asmenys ar vienetai. Asmuo ar vienetas laikomi </w:t>
      </w:r>
      <w:r w:rsidRPr="00716259">
        <w:rPr>
          <w:rStyle w:val="PagrindinistekstasDiagrama"/>
          <w:bCs/>
        </w:rPr>
        <w:t xml:space="preserve">glaudžiai susiję </w:t>
      </w:r>
      <w:r w:rsidRPr="00716259">
        <w:rPr>
          <w:rStyle w:val="PagrindinistekstasDiagrama"/>
          <w:bCs/>
          <w:lang w:bidi="en-US"/>
        </w:rPr>
        <w:t xml:space="preserve">su vienetu, jei kuriam nors </w:t>
      </w:r>
      <w:r w:rsidRPr="00716259">
        <w:rPr>
          <w:rStyle w:val="PagrindinistekstasDiagrama"/>
          <w:bCs/>
        </w:rPr>
        <w:t xml:space="preserve">iš jų </w:t>
      </w:r>
      <w:r w:rsidRPr="00716259">
        <w:rPr>
          <w:rStyle w:val="PagrindinistekstasDiagrama"/>
          <w:bCs/>
          <w:lang w:bidi="en-US"/>
        </w:rPr>
        <w:t xml:space="preserve">tiesiogiai ar netiesiogiai priklauso daugiau nei 50 proc. kito asmens </w:t>
      </w:r>
      <w:r w:rsidRPr="00716259">
        <w:rPr>
          <w:rStyle w:val="PagrindinistekstasDiagrama"/>
          <w:bCs/>
        </w:rPr>
        <w:t xml:space="preserve">turtinių interesų </w:t>
      </w:r>
      <w:r w:rsidRPr="00716259">
        <w:rPr>
          <w:rStyle w:val="PagrindinistekstasDiagrama"/>
          <w:bCs/>
          <w:lang w:bidi="en-US"/>
        </w:rPr>
        <w:t xml:space="preserve">(arba, jei tai vienetas, bent 50 proc. </w:t>
      </w:r>
      <w:r w:rsidRPr="00716259">
        <w:rPr>
          <w:rStyle w:val="PagrindinistekstasDiagrama"/>
          <w:bCs/>
        </w:rPr>
        <w:t xml:space="preserve">visų </w:t>
      </w:r>
      <w:r w:rsidRPr="00716259">
        <w:rPr>
          <w:rStyle w:val="PagrindinistekstasDiagrama"/>
          <w:bCs/>
          <w:lang w:bidi="en-US"/>
        </w:rPr>
        <w:t xml:space="preserve">vieneto </w:t>
      </w:r>
      <w:r w:rsidRPr="00716259">
        <w:rPr>
          <w:rStyle w:val="PagrindinistekstasDiagrama"/>
          <w:bCs/>
        </w:rPr>
        <w:t xml:space="preserve">akcijų suteikiamų balsų </w:t>
      </w:r>
      <w:r w:rsidRPr="00716259">
        <w:rPr>
          <w:rStyle w:val="PagrindinistekstasDiagrama"/>
          <w:bCs/>
          <w:lang w:bidi="en-US"/>
        </w:rPr>
        <w:t xml:space="preserve">ir </w:t>
      </w:r>
      <w:r w:rsidRPr="00716259">
        <w:rPr>
          <w:rStyle w:val="PagrindinistekstasDiagrama"/>
          <w:bCs/>
        </w:rPr>
        <w:t xml:space="preserve">vertės </w:t>
      </w:r>
      <w:r w:rsidRPr="00716259">
        <w:rPr>
          <w:rStyle w:val="PagrindinistekstasDiagrama"/>
          <w:bCs/>
          <w:lang w:bidi="en-US"/>
        </w:rPr>
        <w:t xml:space="preserve">vieneto </w:t>
      </w:r>
      <w:r w:rsidRPr="00716259">
        <w:rPr>
          <w:rStyle w:val="PagrindinistekstasDiagrama"/>
          <w:bCs/>
        </w:rPr>
        <w:t xml:space="preserve">nuosavybės) </w:t>
      </w:r>
      <w:r w:rsidRPr="00716259">
        <w:rPr>
          <w:rStyle w:val="PagrindinistekstasDiagrama"/>
          <w:bCs/>
          <w:lang w:bidi="en-US"/>
        </w:rPr>
        <w:t xml:space="preserve">arba jei kitam asmeniui tiesiogiai ar netiesiogiai priklauso daugiau kaip 50 proc. asmens ar vieneto </w:t>
      </w:r>
      <w:r w:rsidRPr="00716259">
        <w:rPr>
          <w:rStyle w:val="PagrindinistekstasDiagrama"/>
          <w:bCs/>
        </w:rPr>
        <w:t xml:space="preserve">turtinių interesų </w:t>
      </w:r>
      <w:r w:rsidRPr="00716259">
        <w:rPr>
          <w:rStyle w:val="PagrindinistekstasDiagrama"/>
          <w:bCs/>
          <w:lang w:bidi="en-US"/>
        </w:rPr>
        <w:t xml:space="preserve">(arba, jei tai vienetas, bent 50 proc. </w:t>
      </w:r>
      <w:r w:rsidRPr="00716259">
        <w:rPr>
          <w:rStyle w:val="PagrindinistekstasDiagrama"/>
          <w:bCs/>
        </w:rPr>
        <w:t xml:space="preserve">visų </w:t>
      </w:r>
      <w:r w:rsidRPr="00716259">
        <w:rPr>
          <w:rStyle w:val="PagrindinistekstasDiagrama"/>
          <w:bCs/>
          <w:lang w:bidi="en-US"/>
        </w:rPr>
        <w:t xml:space="preserve">vieneto </w:t>
      </w:r>
      <w:r w:rsidRPr="00716259">
        <w:rPr>
          <w:rStyle w:val="PagrindinistekstasDiagrama"/>
          <w:bCs/>
        </w:rPr>
        <w:t xml:space="preserve">akcijų suteikiamų balsų </w:t>
      </w:r>
      <w:r w:rsidRPr="00716259">
        <w:rPr>
          <w:rStyle w:val="PagrindinistekstasDiagrama"/>
          <w:bCs/>
          <w:lang w:bidi="en-US"/>
        </w:rPr>
        <w:t xml:space="preserve">ir </w:t>
      </w:r>
      <w:r w:rsidRPr="00716259">
        <w:rPr>
          <w:rStyle w:val="PagrindinistekstasDiagrama"/>
          <w:bCs/>
        </w:rPr>
        <w:t xml:space="preserve">vertės </w:t>
      </w:r>
      <w:r w:rsidRPr="00716259">
        <w:rPr>
          <w:rStyle w:val="PagrindinistekstasDiagrama"/>
          <w:bCs/>
          <w:lang w:bidi="en-US"/>
        </w:rPr>
        <w:t xml:space="preserve">vieneto </w:t>
      </w:r>
      <w:r w:rsidRPr="00716259">
        <w:rPr>
          <w:rStyle w:val="PagrindinistekstasDiagrama"/>
          <w:bCs/>
        </w:rPr>
        <w:t xml:space="preserve">nuosavybės), </w:t>
      </w:r>
      <w:r w:rsidRPr="00716259">
        <w:rPr>
          <w:rStyle w:val="PagrindinistekstasDiagrama"/>
          <w:bCs/>
          <w:lang w:bidi="en-US"/>
        </w:rPr>
        <w:t xml:space="preserve">kaip nustatyta </w:t>
      </w:r>
      <w:r w:rsidRPr="00716259">
        <w:rPr>
          <w:rStyle w:val="PagrindinistekstasDiagrama"/>
          <w:bCs/>
        </w:rPr>
        <w:t xml:space="preserve">Pavyzdinės </w:t>
      </w:r>
      <w:r w:rsidRPr="00716259">
        <w:rPr>
          <w:rStyle w:val="PagrindinistekstasDiagrama"/>
          <w:bCs/>
          <w:lang w:bidi="en-US"/>
        </w:rPr>
        <w:t>konvencijos 5 straipsnyje</w:t>
      </w:r>
    </w:p>
    <w:p w14:paraId="37A64B10" w14:textId="77777777" w:rsidR="00586CCC" w:rsidRPr="00716259" w:rsidRDefault="00586CCC" w:rsidP="00927E61">
      <w:pPr>
        <w:pStyle w:val="Pagrindinistekstas"/>
        <w:widowControl w:val="0"/>
        <w:numPr>
          <w:ilvl w:val="0"/>
          <w:numId w:val="86"/>
        </w:numPr>
        <w:tabs>
          <w:tab w:val="left" w:pos="913"/>
        </w:tabs>
        <w:spacing w:after="0" w:line="240" w:lineRule="auto"/>
        <w:ind w:left="1080" w:hanging="360"/>
        <w:rPr>
          <w:b/>
        </w:rPr>
      </w:pPr>
      <w:r w:rsidRPr="00716259">
        <w:rPr>
          <w:rStyle w:val="PagrindinistekstasDiagrama"/>
          <w:bCs/>
          <w:lang w:bidi="en-US"/>
        </w:rPr>
        <w:t xml:space="preserve">Vienos </w:t>
      </w:r>
      <w:r w:rsidRPr="00716259">
        <w:rPr>
          <w:rStyle w:val="PagrindinistekstasDiagrama"/>
          <w:bCs/>
        </w:rPr>
        <w:t xml:space="preserve">valstybės </w:t>
      </w:r>
      <w:r w:rsidRPr="00716259">
        <w:rPr>
          <w:rStyle w:val="PagrindinistekstasDiagrama"/>
          <w:bCs/>
          <w:lang w:bidi="en-US"/>
        </w:rPr>
        <w:t xml:space="preserve">vienetas laikomas </w:t>
      </w:r>
      <w:r w:rsidRPr="00716259">
        <w:rPr>
          <w:rStyle w:val="PagrindinistekstasDiagrama"/>
          <w:bCs/>
        </w:rPr>
        <w:t xml:space="preserve">veikiančiu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kitoje </w:t>
      </w:r>
      <w:r w:rsidRPr="00716259">
        <w:rPr>
          <w:rStyle w:val="PagrindinistekstasDiagrama"/>
          <w:bCs/>
        </w:rPr>
        <w:t xml:space="preserve">valstybėje, </w:t>
      </w:r>
      <w:r w:rsidRPr="00716259">
        <w:rPr>
          <w:rStyle w:val="PagrindinistekstasDiagrama"/>
          <w:bCs/>
          <w:lang w:bidi="en-US"/>
        </w:rPr>
        <w:t xml:space="preserve">jeigu toje kitoje </w:t>
      </w:r>
      <w:r w:rsidRPr="00716259">
        <w:rPr>
          <w:rStyle w:val="PagrindinistekstasDiagrama"/>
          <w:bCs/>
        </w:rPr>
        <w:t xml:space="preserve">valstybėje </w:t>
      </w:r>
      <w:r w:rsidRPr="00716259">
        <w:rPr>
          <w:rStyle w:val="PagrindinistekstasDiagrama"/>
          <w:bCs/>
          <w:lang w:bidi="en-US"/>
        </w:rPr>
        <w:t xml:space="preserve">jo naudai veikia priklausomas agentas. Priklausomas agentas gali </w:t>
      </w:r>
      <w:r w:rsidRPr="00716259">
        <w:rPr>
          <w:rStyle w:val="PagrindinistekstasDiagrama"/>
          <w:bCs/>
        </w:rPr>
        <w:t xml:space="preserve">būti </w:t>
      </w:r>
      <w:r w:rsidRPr="00716259">
        <w:rPr>
          <w:rStyle w:val="PagrindinistekstasDiagrama"/>
          <w:bCs/>
          <w:lang w:bidi="en-US"/>
        </w:rPr>
        <w:t xml:space="preserve">ne tik fizinis, bet ir bet kuris kitas asmuo. Jis </w:t>
      </w:r>
      <w:r w:rsidRPr="00716259">
        <w:rPr>
          <w:rStyle w:val="PagrindinistekstasDiagrama"/>
          <w:bCs/>
        </w:rPr>
        <w:t xml:space="preserve">nebūtinai </w:t>
      </w:r>
      <w:r w:rsidRPr="00716259">
        <w:rPr>
          <w:rStyle w:val="PagrindinistekstasDiagrama"/>
          <w:bCs/>
          <w:lang w:bidi="en-US"/>
        </w:rPr>
        <w:t xml:space="preserve">turi </w:t>
      </w:r>
      <w:r w:rsidRPr="00716259">
        <w:rPr>
          <w:rStyle w:val="PagrindinistekstasDiagrama"/>
          <w:bCs/>
        </w:rPr>
        <w:t xml:space="preserve">būti </w:t>
      </w:r>
      <w:r w:rsidRPr="00716259">
        <w:rPr>
          <w:rStyle w:val="PagrindinistekstasDiagrama"/>
          <w:bCs/>
          <w:lang w:bidi="en-US"/>
        </w:rPr>
        <w:t xml:space="preserve">kurios nors </w:t>
      </w:r>
      <w:r w:rsidRPr="00716259">
        <w:rPr>
          <w:rStyle w:val="PagrindinistekstasDiagrama"/>
          <w:bCs/>
        </w:rPr>
        <w:t xml:space="preserve">valstybės </w:t>
      </w:r>
      <w:r w:rsidRPr="00716259">
        <w:rPr>
          <w:rStyle w:val="PagrindinistekstasDiagrama"/>
          <w:bCs/>
          <w:lang w:bidi="en-US"/>
        </w:rPr>
        <w:t xml:space="preserve">rezidentas ar </w:t>
      </w:r>
      <w:r w:rsidRPr="00716259">
        <w:rPr>
          <w:rStyle w:val="PagrindinistekstasDiagrama"/>
          <w:bCs/>
        </w:rPr>
        <w:t xml:space="preserve">turėti ūkinės komercinės </w:t>
      </w:r>
      <w:r w:rsidRPr="00716259">
        <w:rPr>
          <w:rStyle w:val="PagrindinistekstasDiagrama"/>
          <w:bCs/>
          <w:lang w:bidi="en-US"/>
        </w:rPr>
        <w:t xml:space="preserve">veiklos </w:t>
      </w:r>
      <w:r w:rsidRPr="00716259">
        <w:rPr>
          <w:rStyle w:val="PagrindinistekstasDiagrama"/>
          <w:bCs/>
        </w:rPr>
        <w:t>vietą.</w:t>
      </w:r>
    </w:p>
    <w:p w14:paraId="019A6B40" w14:textId="77777777" w:rsidR="00586CCC" w:rsidRPr="00716259" w:rsidRDefault="00586CCC" w:rsidP="00586CCC">
      <w:pPr>
        <w:pStyle w:val="Pagrindinistekstas"/>
        <w:ind w:firstLine="520"/>
        <w:rPr>
          <w:b/>
        </w:rPr>
      </w:pPr>
      <w:r w:rsidRPr="00716259">
        <w:rPr>
          <w:rStyle w:val="PagrindinistekstasDiagrama"/>
          <w:bCs/>
        </w:rPr>
        <w:t xml:space="preserve">Vienetas laikomas </w:t>
      </w:r>
      <w:r w:rsidRPr="00716259">
        <w:rPr>
          <w:rStyle w:val="PagrindinistekstasDiagrama"/>
          <w:bCs/>
          <w:u w:val="single"/>
        </w:rPr>
        <w:t>vykdančiu veiklą per nuolatinę buveinę, jei asmuo (priklausomas agentas)</w:t>
      </w:r>
      <w:r w:rsidRPr="00716259">
        <w:rPr>
          <w:rStyle w:val="PagrindinistekstasDiagrama"/>
          <w:bCs/>
        </w:rPr>
        <w:t>:</w:t>
      </w:r>
    </w:p>
    <w:p w14:paraId="1C111FD6" w14:textId="77777777" w:rsidR="00586CCC" w:rsidRPr="00716259" w:rsidRDefault="00586CCC" w:rsidP="00927E61">
      <w:pPr>
        <w:pStyle w:val="Pagrindinistekstas"/>
        <w:widowControl w:val="0"/>
        <w:numPr>
          <w:ilvl w:val="0"/>
          <w:numId w:val="88"/>
        </w:numPr>
        <w:tabs>
          <w:tab w:val="left" w:pos="732"/>
        </w:tabs>
        <w:spacing w:after="0" w:line="240" w:lineRule="auto"/>
        <w:ind w:left="1080" w:hanging="360"/>
        <w:rPr>
          <w:b/>
        </w:rPr>
      </w:pPr>
      <w:r w:rsidRPr="00716259">
        <w:rPr>
          <w:rStyle w:val="PagrindinistekstasDiagrama"/>
          <w:bCs/>
        </w:rPr>
        <w:lastRenderedPageBreak/>
        <w:t>veikia jo naudai ir</w:t>
      </w:r>
    </w:p>
    <w:p w14:paraId="57FF2750" w14:textId="77777777" w:rsidR="00586CCC" w:rsidRPr="00716259" w:rsidRDefault="00586CCC" w:rsidP="00927E61">
      <w:pPr>
        <w:pStyle w:val="Pagrindinistekstas"/>
        <w:widowControl w:val="0"/>
        <w:numPr>
          <w:ilvl w:val="0"/>
          <w:numId w:val="88"/>
        </w:numPr>
        <w:tabs>
          <w:tab w:val="left" w:pos="732"/>
        </w:tabs>
        <w:spacing w:after="0" w:line="240" w:lineRule="auto"/>
        <w:ind w:left="1080" w:hanging="360"/>
        <w:rPr>
          <w:b/>
        </w:rPr>
      </w:pPr>
      <w:r w:rsidRPr="00716259">
        <w:rPr>
          <w:rStyle w:val="PagrindinistekstasDiagrama"/>
          <w:bCs/>
        </w:rPr>
        <w:t>nuolat sudarinėja sutartis ar lemia jų sudarymą, ir</w:t>
      </w:r>
    </w:p>
    <w:p w14:paraId="729413D8" w14:textId="77777777" w:rsidR="00586CCC" w:rsidRPr="00716259" w:rsidRDefault="00586CCC" w:rsidP="00927E61">
      <w:pPr>
        <w:pStyle w:val="Pagrindinistekstas"/>
        <w:widowControl w:val="0"/>
        <w:numPr>
          <w:ilvl w:val="0"/>
          <w:numId w:val="88"/>
        </w:numPr>
        <w:tabs>
          <w:tab w:val="left" w:pos="740"/>
        </w:tabs>
        <w:spacing w:after="0" w:line="240" w:lineRule="auto"/>
        <w:ind w:left="1080" w:hanging="360"/>
        <w:rPr>
          <w:b/>
        </w:rPr>
      </w:pPr>
      <w:r w:rsidRPr="00716259">
        <w:rPr>
          <w:rStyle w:val="PagrindinistekstasDiagrama"/>
          <w:bCs/>
        </w:rPr>
        <w:t>sutartys sudaromos arba įmonės vardu, arba dėl įmonės disponuojamų prekių pardavimo ar paslaugų suteikimo.</w:t>
      </w:r>
    </w:p>
    <w:p w14:paraId="35CA3DA8" w14:textId="77777777" w:rsidR="00586CCC" w:rsidRPr="00716259" w:rsidRDefault="00586CCC" w:rsidP="00586CCC">
      <w:pPr>
        <w:pStyle w:val="Pagrindinistekstas"/>
        <w:ind w:firstLine="580"/>
        <w:rPr>
          <w:b/>
        </w:rPr>
      </w:pPr>
      <w:r w:rsidRPr="00716259">
        <w:rPr>
          <w:rStyle w:val="PagrindinistekstasDiagrama"/>
          <w:bCs/>
        </w:rPr>
        <w:t>Nurodytų priklausomo agento požymių visuma užtikrina, kad vienetas veikia per nuolatinę buveinę.</w:t>
      </w:r>
    </w:p>
    <w:p w14:paraId="2AAC16FF" w14:textId="77777777" w:rsidR="00586CCC" w:rsidRPr="00716259" w:rsidRDefault="00586CCC" w:rsidP="00586CCC">
      <w:pPr>
        <w:pStyle w:val="Pagrindinistekstas"/>
        <w:ind w:firstLine="580"/>
        <w:rPr>
          <w:b/>
        </w:rPr>
      </w:pPr>
      <w:r w:rsidRPr="00716259">
        <w:rPr>
          <w:rStyle w:val="PagrindinistekstasDiagrama"/>
          <w:bCs/>
        </w:rPr>
        <w:t>Vienetas laikomas vykdančiu veiklą per nuolatinę buveinę Lietuvoje esant bet kokiai veiklai, kurios asmuo (agentas), išskyrus tokį, kuris turi nepriklausomo agento statusą, imasi vieneto vardu, nebent tokia veikla, jeigu ją vykdytų vienetas per nuolatinę kitoje valstybėje esančią šio vieneto veiklos vietą, nesuteiktų pagrindo laikyti, kad ta nuolatinės veiklos vieta yra nuolatinė buveinė pagal DAIS pateiktą nuolatinės buveinės apibrėžtį.</w:t>
      </w:r>
    </w:p>
    <w:p w14:paraId="26FAFA9F" w14:textId="77777777" w:rsidR="00586CCC" w:rsidRPr="00716259" w:rsidRDefault="00586CCC" w:rsidP="00586CCC">
      <w:pPr>
        <w:pStyle w:val="Pagrindinistekstas"/>
        <w:ind w:firstLine="580"/>
        <w:rPr>
          <w:b/>
        </w:rPr>
      </w:pPr>
      <w:r w:rsidRPr="00716259">
        <w:rPr>
          <w:rStyle w:val="PagrindinistekstasDiagrama"/>
          <w:bCs/>
        </w:rPr>
        <w:t>Sutartys, kurias sudaro priklausomas agentas - tai sutartys, kurios yra susijusios su vieneto įprastine veikla ir yra įpareigojančios vienetą jas vykdyti.</w:t>
      </w:r>
    </w:p>
    <w:p w14:paraId="056D7244" w14:textId="77777777" w:rsidR="00586CCC" w:rsidRPr="00716259" w:rsidRDefault="00586CCC" w:rsidP="00586CCC">
      <w:pPr>
        <w:pStyle w:val="Pagrindinistekstas"/>
        <w:ind w:firstLine="580"/>
        <w:rPr>
          <w:b/>
        </w:rPr>
      </w:pPr>
      <w:r w:rsidRPr="00716259">
        <w:rPr>
          <w:rStyle w:val="PagrindinistekstasDiagrama"/>
          <w:bCs/>
        </w:rPr>
        <w:t>Vieneto veikla nuolatine buveine taip pat pripažįstama, kai priklausomas agentas ne tik formaliai sudaro sutartis kito vieneto vardu, bet aktyviai dalyvauja užimant svarbią vietą derybose. Svarbi vieta derybose apima sprendimų priėmimą (dalyvavimą sprendžiant esmines sutarties sąlygas, tokias kaip kainodara, pristatymo terminai, paslaugų apimtis ir kt.), derybų vedimą (vadovavimą deryboms, valdymą ir koordinavimą derybų procese), įgaliojimus (turėjimą reikiamų įgaliojimų sudaryti, pakeisti ar nutraukti sutartis kito vieneto vardu), gebėjimą daryti reikšmingą įtaką galutiniam derybų rezultatui, net jei formalūs sprendimai priimami kitur ir pan. Jeigu asmuo vieneto vardu derasi dėl sutarčių sudarymo, dėl jose numatomų detalių ir aplinkybių, tai laikoma, kad toks asmuo turi įgaliojimą vieneto vardu sudaryti sutartis, nors pačią sutartį vėliau pasirašo kitas asmuo arba ji pasirašoma toje valstybėje, kurioje tas vienetas yra.</w:t>
      </w:r>
    </w:p>
    <w:p w14:paraId="52C55FA3" w14:textId="77777777" w:rsidR="00586CCC" w:rsidRPr="00716259" w:rsidRDefault="00586CCC" w:rsidP="00586CCC">
      <w:pPr>
        <w:pStyle w:val="Pagrindinistekstas"/>
        <w:ind w:firstLine="640"/>
        <w:rPr>
          <w:b/>
        </w:rPr>
      </w:pPr>
      <w:r w:rsidRPr="00716259">
        <w:rPr>
          <w:rStyle w:val="PagrindinistekstasDiagrama"/>
          <w:bCs/>
        </w:rPr>
        <w:t>Užsienio vieneto veikla per nuolatinę buveinę laikytinos visos tokio asmens sudarytos sutartys užsienio vieneto vardu.</w:t>
      </w:r>
    </w:p>
    <w:p w14:paraId="78F2CE3F" w14:textId="77777777" w:rsidR="00586CCC" w:rsidRPr="00716259" w:rsidRDefault="00586CCC" w:rsidP="00586CCC">
      <w:pPr>
        <w:pStyle w:val="Pagrindinistekstas"/>
        <w:ind w:firstLine="54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vienetas vykdo </w:t>
      </w:r>
      <w:r w:rsidRPr="00716259">
        <w:rPr>
          <w:rStyle w:val="PagrindinistekstasDiagrama"/>
          <w:bCs/>
        </w:rPr>
        <w:t xml:space="preserve">ūkinę komercinę veiklą </w:t>
      </w:r>
      <w:r w:rsidRPr="00716259">
        <w:rPr>
          <w:rStyle w:val="PagrindinistekstasDiagrama"/>
          <w:bCs/>
          <w:lang w:bidi="en-US"/>
        </w:rPr>
        <w:t xml:space="preserve">per </w:t>
      </w:r>
      <w:r w:rsidRPr="00716259">
        <w:rPr>
          <w:rStyle w:val="PagrindinistekstasDiagrama"/>
          <w:bCs/>
        </w:rPr>
        <w:t xml:space="preserve">priklausomą atstovą (agentą), turintį </w:t>
      </w:r>
      <w:r w:rsidRPr="00716259">
        <w:rPr>
          <w:rStyle w:val="PagrindinistekstasDiagrama"/>
          <w:bCs/>
          <w:lang w:bidi="en-US"/>
        </w:rPr>
        <w:t xml:space="preserve">ir nuolatos </w:t>
      </w:r>
      <w:r w:rsidRPr="00716259">
        <w:rPr>
          <w:rStyle w:val="PagrindinistekstasDiagrama"/>
          <w:bCs/>
        </w:rPr>
        <w:t xml:space="preserve">vykdantį teisę </w:t>
      </w:r>
      <w:r w:rsidRPr="00716259">
        <w:rPr>
          <w:rStyle w:val="PagrindinistekstasDiagrama"/>
          <w:bCs/>
          <w:lang w:bidi="en-US"/>
        </w:rPr>
        <w:t xml:space="preserve">vieneto vardu sudaryti sutartis, tai </w:t>
      </w:r>
      <w:r w:rsidRPr="00716259">
        <w:rPr>
          <w:rStyle w:val="PagrindinistekstasDiagrama"/>
          <w:bCs/>
        </w:rPr>
        <w:t xml:space="preserve">šis </w:t>
      </w:r>
      <w:r w:rsidRPr="00716259">
        <w:rPr>
          <w:rStyle w:val="PagrindinistekstasDiagrama"/>
          <w:bCs/>
          <w:lang w:bidi="en-US"/>
        </w:rPr>
        <w:t xml:space="preserve">vienetas gali </w:t>
      </w:r>
      <w:r w:rsidRPr="00716259">
        <w:rPr>
          <w:rStyle w:val="PagrindinistekstasDiagrama"/>
          <w:bCs/>
        </w:rPr>
        <w:t xml:space="preserve">būti </w:t>
      </w:r>
      <w:r w:rsidRPr="00716259">
        <w:rPr>
          <w:rStyle w:val="PagrindinistekstasDiagrama"/>
          <w:bCs/>
          <w:lang w:bidi="en-US"/>
        </w:rPr>
        <w:t xml:space="preserve">laikomas </w:t>
      </w:r>
      <w:r w:rsidRPr="00716259">
        <w:rPr>
          <w:rStyle w:val="PagrindinistekstasDiagrama"/>
          <w:bCs/>
        </w:rPr>
        <w:t xml:space="preserve">veikiančiu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net jei neturi pastovios veiklos vykdymo vietos.</w:t>
      </w:r>
    </w:p>
    <w:p w14:paraId="15DF4585" w14:textId="77777777" w:rsidR="00586CCC" w:rsidRPr="00716259" w:rsidRDefault="00586CCC" w:rsidP="00586CCC">
      <w:pPr>
        <w:pStyle w:val="Pagrindinistekstas"/>
        <w:ind w:firstLine="540"/>
        <w:rPr>
          <w:b/>
        </w:rPr>
      </w:pPr>
      <w:r w:rsidRPr="00716259">
        <w:rPr>
          <w:rStyle w:val="PagrindinistekstasDiagrama"/>
          <w:bCs/>
          <w:lang w:bidi="en-US"/>
        </w:rPr>
        <w:t xml:space="preserve">Jei agentas </w:t>
      </w:r>
      <w:r w:rsidRPr="00716259">
        <w:rPr>
          <w:rStyle w:val="PagrindinistekstasDiagrama"/>
          <w:bCs/>
        </w:rPr>
        <w:t xml:space="preserve">būtų pripažintas </w:t>
      </w:r>
      <w:r w:rsidRPr="00716259">
        <w:rPr>
          <w:rStyle w:val="PagrindinistekstasDiagrama"/>
          <w:bCs/>
          <w:lang w:bidi="en-US"/>
        </w:rPr>
        <w:t xml:space="preserve">nepriklausomu agentu, </w:t>
      </w:r>
      <w:r w:rsidRPr="00716259">
        <w:rPr>
          <w:rStyle w:val="PagrindinistekstasDiagrama"/>
          <w:bCs/>
        </w:rPr>
        <w:t xml:space="preserve">nuolatinė buveinė nebūtų </w:t>
      </w:r>
      <w:r w:rsidRPr="00716259">
        <w:rPr>
          <w:rStyle w:val="PagrindinistekstasDiagrama"/>
          <w:bCs/>
          <w:lang w:bidi="en-US"/>
        </w:rPr>
        <w:t xml:space="preserve">sukurta, </w:t>
      </w:r>
      <w:r w:rsidRPr="00716259">
        <w:rPr>
          <w:rStyle w:val="PagrindinistekstasDiagrama"/>
          <w:bCs/>
        </w:rPr>
        <w:t xml:space="preserve">tačiau </w:t>
      </w:r>
      <w:r w:rsidRPr="00716259">
        <w:rPr>
          <w:rStyle w:val="PagrindinistekstasDiagrama"/>
          <w:bCs/>
          <w:lang w:bidi="en-US"/>
        </w:rPr>
        <w:t xml:space="preserve">tuo atveju, jei agentas veikia </w:t>
      </w:r>
      <w:r w:rsidRPr="00716259">
        <w:rPr>
          <w:rStyle w:val="PagrindinistekstasDiagrama"/>
          <w:bCs/>
        </w:rPr>
        <w:t xml:space="preserve">išimtinai </w:t>
      </w:r>
      <w:r w:rsidRPr="00716259">
        <w:rPr>
          <w:rStyle w:val="PagrindinistekstasDiagrama"/>
          <w:bCs/>
          <w:lang w:bidi="en-US"/>
        </w:rPr>
        <w:t xml:space="preserve">arba beveik </w:t>
      </w:r>
      <w:r w:rsidRPr="00716259">
        <w:rPr>
          <w:rStyle w:val="PagrindinistekstasDiagrama"/>
          <w:bCs/>
        </w:rPr>
        <w:t xml:space="preserve">išimtinai </w:t>
      </w:r>
      <w:r w:rsidRPr="00716259">
        <w:rPr>
          <w:rStyle w:val="PagrindinistekstasDiagrama"/>
          <w:bCs/>
          <w:lang w:bidi="en-US"/>
        </w:rPr>
        <w:t xml:space="preserve">vieneto naudai su kuria jis yra </w:t>
      </w:r>
      <w:r w:rsidRPr="00716259">
        <w:rPr>
          <w:rStyle w:val="PagrindinistekstasDiagrama"/>
          <w:bCs/>
        </w:rPr>
        <w:t xml:space="preserve">glaudžiai susijęs </w:t>
      </w:r>
      <w:r w:rsidRPr="00716259">
        <w:rPr>
          <w:rStyle w:val="PagrindinistekstasDiagrama"/>
          <w:bCs/>
          <w:lang w:bidi="en-US"/>
        </w:rPr>
        <w:t xml:space="preserve">(reikalingas daugiau kaip 50 proc. valdymas), jis </w:t>
      </w:r>
      <w:r w:rsidRPr="00716259">
        <w:rPr>
          <w:rStyle w:val="PagrindinistekstasDiagrama"/>
          <w:bCs/>
        </w:rPr>
        <w:t xml:space="preserve">nebūtų </w:t>
      </w:r>
      <w:r w:rsidRPr="00716259">
        <w:rPr>
          <w:rStyle w:val="PagrindinistekstasDiagrama"/>
          <w:bCs/>
          <w:lang w:bidi="en-US"/>
        </w:rPr>
        <w:t>laikomas nepriklausomu agentu.</w:t>
      </w:r>
    </w:p>
    <w:p w14:paraId="317AB1E5" w14:textId="77777777" w:rsidR="00586CCC" w:rsidRPr="00716259" w:rsidRDefault="00586CCC" w:rsidP="00927E61">
      <w:pPr>
        <w:pStyle w:val="Pagrindinistekstas"/>
        <w:widowControl w:val="0"/>
        <w:numPr>
          <w:ilvl w:val="0"/>
          <w:numId w:val="86"/>
        </w:numPr>
        <w:tabs>
          <w:tab w:val="left" w:pos="966"/>
        </w:tabs>
        <w:spacing w:after="280" w:line="240" w:lineRule="auto"/>
        <w:ind w:left="1080" w:hanging="360"/>
        <w:rPr>
          <w:b/>
        </w:rPr>
      </w:pPr>
      <w:r w:rsidRPr="00716259">
        <w:rPr>
          <w:rStyle w:val="PagrindinistekstasDiagrama"/>
          <w:bCs/>
          <w:lang w:bidi="en-US"/>
        </w:rPr>
        <w:t xml:space="preserve">Jeigu </w:t>
      </w:r>
      <w:r w:rsidRPr="00716259">
        <w:rPr>
          <w:rStyle w:val="PagrindinistekstasDiagrama"/>
          <w:bCs/>
        </w:rPr>
        <w:t xml:space="preserve">užsienio </w:t>
      </w:r>
      <w:r w:rsidRPr="00716259">
        <w:rPr>
          <w:rStyle w:val="PagrindinistekstasDiagrama"/>
          <w:bCs/>
          <w:lang w:bidi="en-US"/>
        </w:rPr>
        <w:t xml:space="preserve">vieneto naudai veikiantis asmuo vykdo </w:t>
      </w:r>
      <w:r w:rsidRPr="00716259">
        <w:rPr>
          <w:rStyle w:val="PagrindinistekstasDiagrama"/>
          <w:bCs/>
        </w:rPr>
        <w:t xml:space="preserve">veiklą </w:t>
      </w:r>
      <w:r w:rsidRPr="00716259">
        <w:rPr>
          <w:rStyle w:val="PagrindinistekstasDiagrama"/>
          <w:bCs/>
          <w:lang w:bidi="en-US"/>
        </w:rPr>
        <w:t xml:space="preserve">Lietuvoje kaip nepriklausomas atstovas (kai vienetas tik </w:t>
      </w:r>
      <w:r w:rsidRPr="00716259">
        <w:rPr>
          <w:rStyle w:val="PagrindinistekstasDiagrama"/>
          <w:bCs/>
        </w:rPr>
        <w:t xml:space="preserve">užsiima ūkine </w:t>
      </w:r>
      <w:r w:rsidRPr="00716259">
        <w:rPr>
          <w:rStyle w:val="PagrindinistekstasDiagrama"/>
          <w:bCs/>
          <w:lang w:bidi="en-US"/>
        </w:rPr>
        <w:t xml:space="preserve">komercine veikla per </w:t>
      </w:r>
      <w:r w:rsidRPr="00716259">
        <w:rPr>
          <w:rStyle w:val="PagrindinistekstasDiagrama"/>
          <w:bCs/>
        </w:rPr>
        <w:t xml:space="preserve">brokerį, komisionierių </w:t>
      </w:r>
      <w:r w:rsidRPr="00716259">
        <w:rPr>
          <w:rStyle w:val="PagrindinistekstasDiagrama"/>
          <w:bCs/>
          <w:lang w:bidi="en-US"/>
        </w:rPr>
        <w:t xml:space="preserve">arba bet </w:t>
      </w:r>
      <w:r w:rsidRPr="00716259">
        <w:rPr>
          <w:rStyle w:val="PagrindinistekstasDiagrama"/>
          <w:bCs/>
        </w:rPr>
        <w:t xml:space="preserve">kokį kitą </w:t>
      </w:r>
      <w:r w:rsidRPr="00716259">
        <w:rPr>
          <w:rStyle w:val="PagrindinistekstasDiagrama"/>
          <w:bCs/>
          <w:lang w:bidi="en-US"/>
        </w:rPr>
        <w:t xml:space="preserve">nepriklausomo agento </w:t>
      </w:r>
      <w:r w:rsidRPr="00716259">
        <w:rPr>
          <w:rStyle w:val="PagrindinistekstasDiagrama"/>
          <w:bCs/>
        </w:rPr>
        <w:t xml:space="preserve">statusą turintį agentą, </w:t>
      </w:r>
      <w:r w:rsidRPr="00716259">
        <w:rPr>
          <w:rStyle w:val="PagrindinistekstasDiagrama"/>
          <w:bCs/>
          <w:lang w:bidi="en-US"/>
        </w:rPr>
        <w:t xml:space="preserve">jeigu tokie asmenys veikia savo </w:t>
      </w:r>
      <w:r w:rsidRPr="00716259">
        <w:rPr>
          <w:rStyle w:val="PagrindinistekstasDiagrama"/>
          <w:bCs/>
        </w:rPr>
        <w:t xml:space="preserve">įprastinės ūkinės komercinės </w:t>
      </w:r>
      <w:r w:rsidRPr="00716259">
        <w:rPr>
          <w:rStyle w:val="PagrindinistekstasDiagrama"/>
          <w:bCs/>
          <w:lang w:bidi="en-US"/>
        </w:rPr>
        <w:t xml:space="preserve">veiklos ribose), vienetas nelaikomas </w:t>
      </w:r>
      <w:r w:rsidRPr="00716259">
        <w:rPr>
          <w:rStyle w:val="PagrindinistekstasDiagrama"/>
          <w:bCs/>
        </w:rPr>
        <w:t xml:space="preserve">veikiančiu </w:t>
      </w:r>
      <w:r w:rsidRPr="00716259">
        <w:rPr>
          <w:rStyle w:val="PagrindinistekstasDiagrama"/>
          <w:bCs/>
          <w:lang w:bidi="en-US"/>
        </w:rPr>
        <w:t xml:space="preserve">Lietuvoje per </w:t>
      </w:r>
      <w:r w:rsidRPr="00716259">
        <w:rPr>
          <w:rStyle w:val="PagrindinistekstasDiagrama"/>
          <w:bCs/>
        </w:rPr>
        <w:t xml:space="preserve">nuolatinę buveinę. Tačiau </w:t>
      </w:r>
      <w:r w:rsidRPr="00716259">
        <w:rPr>
          <w:rStyle w:val="PagrindinistekstasDiagrama"/>
          <w:bCs/>
          <w:lang w:bidi="en-US"/>
        </w:rPr>
        <w:t xml:space="preserve">kai toks agentas veikia vien tik arba beveik vien tik to vieneto vardu ir kai </w:t>
      </w:r>
      <w:r w:rsidRPr="00716259">
        <w:rPr>
          <w:rStyle w:val="PagrindinistekstasDiagrama"/>
          <w:bCs/>
        </w:rPr>
        <w:t xml:space="preserve">sąlygos </w:t>
      </w:r>
      <w:r w:rsidRPr="00716259">
        <w:rPr>
          <w:rStyle w:val="PagrindinistekstasDiagrama"/>
          <w:bCs/>
          <w:lang w:bidi="en-US"/>
        </w:rPr>
        <w:t xml:space="preserve">tarp agento ir vieneto skiriasi nuo </w:t>
      </w:r>
      <w:r w:rsidRPr="00716259">
        <w:rPr>
          <w:rStyle w:val="PagrindinistekstasDiagrama"/>
          <w:bCs/>
        </w:rPr>
        <w:t xml:space="preserve">tų, </w:t>
      </w:r>
      <w:r w:rsidRPr="00716259">
        <w:rPr>
          <w:rStyle w:val="PagrindinistekstasDiagrama"/>
          <w:bCs/>
          <w:lang w:bidi="en-US"/>
        </w:rPr>
        <w:t xml:space="preserve">kurios </w:t>
      </w:r>
      <w:r w:rsidRPr="00716259">
        <w:rPr>
          <w:rStyle w:val="PagrindinistekstasDiagrama"/>
          <w:bCs/>
        </w:rPr>
        <w:t xml:space="preserve">būtų </w:t>
      </w:r>
      <w:r w:rsidRPr="00716259">
        <w:rPr>
          <w:rStyle w:val="PagrindinistekstasDiagrama"/>
          <w:bCs/>
          <w:lang w:bidi="en-US"/>
        </w:rPr>
        <w:t xml:space="preserve">sudarytos tarp </w:t>
      </w:r>
      <w:r w:rsidRPr="00716259">
        <w:rPr>
          <w:rStyle w:val="PagrindinistekstasDiagrama"/>
          <w:bCs/>
        </w:rPr>
        <w:t xml:space="preserve">nepriklausomų asmenų, </w:t>
      </w:r>
      <w:r w:rsidRPr="00716259">
        <w:rPr>
          <w:rStyle w:val="PagrindinistekstasDiagrama"/>
          <w:bCs/>
          <w:lang w:bidi="en-US"/>
        </w:rPr>
        <w:t xml:space="preserve">toks agentas nelaikomas </w:t>
      </w:r>
      <w:r w:rsidRPr="00716259">
        <w:rPr>
          <w:rStyle w:val="PagrindinistekstasDiagrama"/>
          <w:bCs/>
        </w:rPr>
        <w:t xml:space="preserve">nepriklausomą statusą turinčiu </w:t>
      </w:r>
      <w:r w:rsidRPr="00716259">
        <w:rPr>
          <w:rStyle w:val="PagrindinistekstasDiagrama"/>
          <w:bCs/>
          <w:lang w:bidi="en-US"/>
        </w:rPr>
        <w:t>agentu.</w:t>
      </w:r>
    </w:p>
    <w:p w14:paraId="4B0768F8" w14:textId="77777777" w:rsidR="00586CCC" w:rsidRPr="00716259" w:rsidRDefault="00586CCC" w:rsidP="00586CCC">
      <w:pPr>
        <w:pStyle w:val="Pagrindinistekstas"/>
        <w:spacing w:after="280"/>
        <w:ind w:firstLine="440"/>
        <w:rPr>
          <w:b/>
        </w:rPr>
      </w:pPr>
      <w:r w:rsidRPr="00716259">
        <w:rPr>
          <w:rStyle w:val="PagrindinistekstasDiagrama"/>
          <w:bCs/>
          <w:lang w:bidi="en-US"/>
        </w:rPr>
        <w:t>Pavyzdys</w:t>
      </w:r>
    </w:p>
    <w:p w14:paraId="7652D692" w14:textId="77777777" w:rsidR="00586CCC" w:rsidRPr="00716259" w:rsidRDefault="00586CCC" w:rsidP="00586CCC">
      <w:pPr>
        <w:pStyle w:val="Pagrindinistekstas"/>
        <w:pBdr>
          <w:top w:val="single" w:sz="4" w:space="0" w:color="auto"/>
          <w:left w:val="single" w:sz="4" w:space="0" w:color="auto"/>
          <w:bottom w:val="single" w:sz="4" w:space="0" w:color="auto"/>
          <w:right w:val="single" w:sz="4" w:space="0" w:color="auto"/>
        </w:pBdr>
        <w:spacing w:after="280"/>
        <w:rPr>
          <w:b/>
        </w:rPr>
      </w:pPr>
      <w:r w:rsidRPr="00716259">
        <w:rPr>
          <w:rStyle w:val="PagrindinistekstasDiagrama"/>
          <w:bCs/>
          <w:lang w:bidi="en-US"/>
        </w:rPr>
        <w:t xml:space="preserve">Danijos </w:t>
      </w:r>
      <w:r w:rsidRPr="00716259">
        <w:rPr>
          <w:rStyle w:val="PagrindinistekstasDiagrama"/>
          <w:bCs/>
        </w:rPr>
        <w:t xml:space="preserve">įmonė </w:t>
      </w:r>
      <w:r w:rsidRPr="00716259">
        <w:rPr>
          <w:rStyle w:val="PagrindinistekstasDiagrama"/>
          <w:bCs/>
          <w:lang w:bidi="en-US"/>
        </w:rPr>
        <w:t xml:space="preserve">su Lietuvos </w:t>
      </w:r>
      <w:r w:rsidRPr="00716259">
        <w:rPr>
          <w:rStyle w:val="PagrindinistekstasDiagrama"/>
          <w:bCs/>
        </w:rPr>
        <w:t xml:space="preserve">įmone sudarė sutartį dėl pirkėjų paieškos </w:t>
      </w:r>
      <w:r w:rsidRPr="00716259">
        <w:rPr>
          <w:rStyle w:val="PagrindinistekstasDiagrama"/>
          <w:bCs/>
          <w:lang w:bidi="en-US"/>
        </w:rPr>
        <w:t xml:space="preserve">Danijos </w:t>
      </w:r>
      <w:r w:rsidRPr="00716259">
        <w:rPr>
          <w:rStyle w:val="PagrindinistekstasDiagrama"/>
          <w:bCs/>
        </w:rPr>
        <w:t xml:space="preserve">įmonės </w:t>
      </w:r>
      <w:r w:rsidRPr="00716259">
        <w:rPr>
          <w:rStyle w:val="PagrindinistekstasDiagrama"/>
          <w:bCs/>
          <w:lang w:bidi="en-US"/>
        </w:rPr>
        <w:t xml:space="preserve">gaminamiems </w:t>
      </w:r>
      <w:r w:rsidRPr="00716259">
        <w:rPr>
          <w:rStyle w:val="PagrindinistekstasDiagrama"/>
          <w:bCs/>
        </w:rPr>
        <w:t xml:space="preserve">įrengimams. </w:t>
      </w:r>
      <w:r w:rsidRPr="00716259">
        <w:rPr>
          <w:rStyle w:val="PagrindinistekstasDiagrama"/>
          <w:bCs/>
          <w:lang w:bidi="en-US"/>
        </w:rPr>
        <w:t xml:space="preserve">Pagal </w:t>
      </w:r>
      <w:r w:rsidRPr="00716259">
        <w:rPr>
          <w:rStyle w:val="PagrindinistekstasDiagrama"/>
          <w:bCs/>
        </w:rPr>
        <w:t xml:space="preserve">šią sutartį </w:t>
      </w:r>
      <w:r w:rsidRPr="00716259">
        <w:rPr>
          <w:rStyle w:val="PagrindinistekstasDiagrama"/>
          <w:bCs/>
          <w:lang w:bidi="en-US"/>
        </w:rPr>
        <w:t xml:space="preserve">Lietuvos </w:t>
      </w:r>
      <w:r w:rsidRPr="00716259">
        <w:rPr>
          <w:rStyle w:val="PagrindinistekstasDiagrama"/>
          <w:bCs/>
        </w:rPr>
        <w:t xml:space="preserve">įmonė </w:t>
      </w:r>
      <w:r w:rsidRPr="00716259">
        <w:rPr>
          <w:rStyle w:val="PagrindinistekstasDiagrama"/>
          <w:bCs/>
          <w:lang w:bidi="en-US"/>
        </w:rPr>
        <w:t xml:space="preserve">Lietuvoje tik </w:t>
      </w:r>
      <w:r w:rsidRPr="00716259">
        <w:rPr>
          <w:rStyle w:val="PagrindinistekstasDiagrama"/>
          <w:bCs/>
        </w:rPr>
        <w:t xml:space="preserve">ieško tų įrengimų galimų pirkėjų. Vėliau </w:t>
      </w:r>
      <w:r w:rsidRPr="00716259">
        <w:rPr>
          <w:rStyle w:val="PagrindinistekstasDiagrama"/>
          <w:bCs/>
          <w:lang w:bidi="en-US"/>
        </w:rPr>
        <w:t xml:space="preserve">Danijos </w:t>
      </w:r>
      <w:r w:rsidRPr="00716259">
        <w:rPr>
          <w:rStyle w:val="PagrindinistekstasDiagrama"/>
          <w:bCs/>
        </w:rPr>
        <w:t xml:space="preserve">įmonė </w:t>
      </w:r>
      <w:r w:rsidRPr="00716259">
        <w:rPr>
          <w:rStyle w:val="PagrindinistekstasDiagrama"/>
          <w:bCs/>
          <w:lang w:bidi="en-US"/>
        </w:rPr>
        <w:t xml:space="preserve">pati su surastais galimais </w:t>
      </w:r>
      <w:r w:rsidRPr="00716259">
        <w:rPr>
          <w:rStyle w:val="PagrindinistekstasDiagrama"/>
          <w:bCs/>
        </w:rPr>
        <w:t xml:space="preserve">pirkėjais </w:t>
      </w:r>
      <w:r w:rsidRPr="00716259">
        <w:rPr>
          <w:rStyle w:val="PagrindinistekstasDiagrama"/>
          <w:bCs/>
          <w:lang w:bidi="en-US"/>
        </w:rPr>
        <w:t xml:space="preserve">derasi bei sudaro pardavimo sutartis. Lietuvos </w:t>
      </w:r>
      <w:r w:rsidRPr="00716259">
        <w:rPr>
          <w:rStyle w:val="PagrindinistekstasDiagrama"/>
          <w:bCs/>
        </w:rPr>
        <w:t xml:space="preserve">įmonė </w:t>
      </w:r>
      <w:r w:rsidRPr="00716259">
        <w:rPr>
          <w:rStyle w:val="PagrindinistekstasDiagrama"/>
          <w:bCs/>
          <w:lang w:bidi="en-US"/>
        </w:rPr>
        <w:t xml:space="preserve">gauna 5 proc. nuo kiekvieno Lietuvoje parduoto </w:t>
      </w:r>
      <w:r w:rsidRPr="00716259">
        <w:rPr>
          <w:rStyle w:val="PagrindinistekstasDiagrama"/>
          <w:bCs/>
        </w:rPr>
        <w:t xml:space="preserve">įrengimo </w:t>
      </w:r>
      <w:r w:rsidRPr="00716259">
        <w:rPr>
          <w:rStyle w:val="PagrindinistekstasDiagrama"/>
          <w:bCs/>
          <w:lang w:bidi="en-US"/>
        </w:rPr>
        <w:t xml:space="preserve">kainos. Tokias </w:t>
      </w:r>
      <w:r w:rsidRPr="00716259">
        <w:rPr>
          <w:rStyle w:val="PagrindinistekstasDiagrama"/>
          <w:bCs/>
        </w:rPr>
        <w:t xml:space="preserve">pačias </w:t>
      </w:r>
      <w:r w:rsidRPr="00716259">
        <w:rPr>
          <w:rStyle w:val="PagrindinistekstasDiagrama"/>
          <w:bCs/>
          <w:lang w:bidi="en-US"/>
        </w:rPr>
        <w:t xml:space="preserve">paslaugas Lietuvos </w:t>
      </w:r>
      <w:r w:rsidRPr="00716259">
        <w:rPr>
          <w:rStyle w:val="PagrindinistekstasDiagrama"/>
          <w:bCs/>
        </w:rPr>
        <w:t xml:space="preserve">įmonė </w:t>
      </w:r>
      <w:r w:rsidRPr="00716259">
        <w:rPr>
          <w:rStyle w:val="PagrindinistekstasDiagrama"/>
          <w:bCs/>
          <w:lang w:bidi="en-US"/>
        </w:rPr>
        <w:t xml:space="preserve">taip pat teikia ir kitoms </w:t>
      </w:r>
      <w:r w:rsidRPr="00716259">
        <w:rPr>
          <w:rStyle w:val="PagrindinistekstasDiagrama"/>
          <w:bCs/>
        </w:rPr>
        <w:t xml:space="preserve">užsienio valstybių įmonėms - ji veikia tik kaip prekybos tarpininkas, </w:t>
      </w:r>
      <w:r w:rsidRPr="00716259">
        <w:rPr>
          <w:rStyle w:val="PagrindinistekstasDiagrama"/>
          <w:bCs/>
        </w:rPr>
        <w:lastRenderedPageBreak/>
        <w:t>pati tų prekių neįsigydama. Tokia Lietuvos įmonė laikoma nepriklausomu agentu ir nesukuria nuolatinės buveinės Danijos įmonei.</w:t>
      </w:r>
    </w:p>
    <w:p w14:paraId="62FE8F21" w14:textId="77777777" w:rsidR="00586CCC" w:rsidRPr="00716259" w:rsidRDefault="00586CCC" w:rsidP="00927E61">
      <w:pPr>
        <w:pStyle w:val="Pagrindinistekstas"/>
        <w:widowControl w:val="0"/>
        <w:numPr>
          <w:ilvl w:val="0"/>
          <w:numId w:val="86"/>
        </w:numPr>
        <w:tabs>
          <w:tab w:val="left" w:pos="941"/>
        </w:tabs>
        <w:spacing w:after="280" w:line="240" w:lineRule="auto"/>
        <w:ind w:left="1080" w:hanging="360"/>
        <w:rPr>
          <w:b/>
        </w:rPr>
      </w:pPr>
      <w:r w:rsidRPr="00716259">
        <w:rPr>
          <w:rStyle w:val="PagrindinistekstasDiagrama"/>
          <w:bCs/>
        </w:rPr>
        <w:t xml:space="preserve">Tai, kad vienetas, užsienio valstybės rezidentas, kontroliuoja ar yra kontroliuojamas kito vieneto, kuris yra kitos užsienio valstybės rezidentas arba kuris vykdo ūkinę komercinę veiklą (per nuolatinę buveinę arba kokiu kitu būdu) toje kitoje užsienio valstybėje, savaime dar nereiškia, kad vienas šių vienetų yra kito nuolatinė buveinė.  </w:t>
      </w:r>
      <w:r w:rsidRPr="00716259">
        <w:t>Tuo atveju, jeigu valstybėje, kurioje yra vykdoma užsienio vieneto veikla, yra registruota šio vieneto dukterinė įmonė, savaime nereiškia, kas užsienio vienetas turi toje valstybėje nuolatinę buveinę, todėl kiekvienu atveju būtina vertinti, kokią konkrečiai veiklą vykdo dukterinė įmonė ir ar tokia veikla nėra užsienio vieneto veiklos per nuolatinę buveinę išraiška.</w:t>
      </w:r>
    </w:p>
    <w:p w14:paraId="5AC5DB00" w14:textId="77777777" w:rsidR="00586CCC" w:rsidRPr="00716259" w:rsidRDefault="00586CCC" w:rsidP="00586CCC">
      <w:pPr>
        <w:pStyle w:val="Pagrindinistekstas"/>
        <w:spacing w:after="280"/>
        <w:ind w:firstLine="500"/>
        <w:rPr>
          <w:b/>
        </w:rPr>
      </w:pPr>
      <w:r w:rsidRPr="00716259">
        <w:rPr>
          <w:rStyle w:val="PagrindinistekstasDiagrama"/>
          <w:bCs/>
        </w:rPr>
        <w:t>Pavyzdžiai</w:t>
      </w:r>
    </w:p>
    <w:p w14:paraId="736F6C0F" w14:textId="77777777" w:rsidR="00586CCC" w:rsidRPr="00716259" w:rsidRDefault="00586CCC" w:rsidP="00927E61">
      <w:pPr>
        <w:pStyle w:val="Pagrindinistekstas"/>
        <w:widowControl w:val="0"/>
        <w:numPr>
          <w:ilvl w:val="0"/>
          <w:numId w:val="89"/>
        </w:numPr>
        <w:pBdr>
          <w:top w:val="single" w:sz="4" w:space="0" w:color="auto"/>
          <w:left w:val="single" w:sz="4" w:space="0" w:color="auto"/>
          <w:bottom w:val="single" w:sz="4" w:space="0" w:color="auto"/>
          <w:right w:val="single" w:sz="4" w:space="0" w:color="auto"/>
        </w:pBdr>
        <w:tabs>
          <w:tab w:val="left" w:pos="313"/>
        </w:tabs>
        <w:spacing w:after="0" w:line="240" w:lineRule="auto"/>
        <w:ind w:left="1080" w:hanging="360"/>
        <w:rPr>
          <w:b/>
        </w:rPr>
      </w:pPr>
      <w:r w:rsidRPr="00716259">
        <w:rPr>
          <w:rStyle w:val="PagrindinistekstasDiagrama"/>
          <w:bCs/>
        </w:rPr>
        <w:t>Visos Lietuvos įmonės akcijos priklauso Danijos įmonei, todėl Danijos įmonei kasmet išmokami dividendai. Jokios kitos veiklos ta užsienio įmonė Lietuvoje nevykdo, todėl nėra veikianti per nuolatinę buveinę Lietuvoje.</w:t>
      </w:r>
    </w:p>
    <w:p w14:paraId="14916C38" w14:textId="77777777" w:rsidR="00586CCC" w:rsidRPr="00716259" w:rsidRDefault="00586CCC" w:rsidP="00927E61">
      <w:pPr>
        <w:pStyle w:val="Pagrindinistekstas"/>
        <w:widowControl w:val="0"/>
        <w:numPr>
          <w:ilvl w:val="0"/>
          <w:numId w:val="89"/>
        </w:numPr>
        <w:pBdr>
          <w:top w:val="single" w:sz="4" w:space="0" w:color="auto"/>
          <w:left w:val="single" w:sz="4" w:space="0" w:color="auto"/>
          <w:bottom w:val="single" w:sz="4" w:space="0" w:color="auto"/>
          <w:right w:val="single" w:sz="4" w:space="0" w:color="auto"/>
        </w:pBdr>
        <w:tabs>
          <w:tab w:val="left" w:pos="313"/>
        </w:tabs>
        <w:spacing w:after="280" w:line="240" w:lineRule="auto"/>
        <w:ind w:left="1080" w:hanging="360"/>
        <w:rPr>
          <w:b/>
        </w:rPr>
      </w:pPr>
      <w:r w:rsidRPr="00716259">
        <w:rPr>
          <w:rStyle w:val="PagrindinistekstasDiagrama"/>
          <w:bCs/>
        </w:rPr>
        <w:t>Visos Lietuvos įmonės akcijos priklauso Švedijos įmonei, todėl Švedijos įmonei kasmet išmokami dividendai. Be to, Lietuvos dukterinė įmonė turi įgaliojimą patronuojančiosios Švedijos įmonės vardu sudarinėti jos gaminamų prekių pardavimo sutartis ir tokias sutartis reguliariai sudaro. Lietuvos įmonės sudaromų sutarčių pagrindu Švedijos įmonė vykdo pardavimus. Tokia patronuojanti Švedijos įmonė laikoma veikiančia per nuolatinę buveinę Lietuvoje.</w:t>
      </w:r>
    </w:p>
    <w:p w14:paraId="29F1620F" w14:textId="77777777" w:rsidR="00586CCC" w:rsidRPr="00716259" w:rsidRDefault="00586CCC" w:rsidP="00927E61">
      <w:pPr>
        <w:pStyle w:val="Pagrindinistekstas"/>
        <w:widowControl w:val="0"/>
        <w:numPr>
          <w:ilvl w:val="0"/>
          <w:numId w:val="90"/>
        </w:numPr>
        <w:tabs>
          <w:tab w:val="left" w:pos="966"/>
        </w:tabs>
        <w:spacing w:after="280" w:line="240" w:lineRule="auto"/>
        <w:ind w:left="1080" w:hanging="360"/>
        <w:rPr>
          <w:b/>
        </w:rPr>
      </w:pPr>
      <w:r w:rsidRPr="00716259">
        <w:rPr>
          <w:rStyle w:val="PagrindinistekstasDiagrama"/>
          <w:bCs/>
        </w:rPr>
        <w:t>Užsienio valstybių įmonių filialai bei užsienio valstybių bankų filialai (skyriai) laikomi nuolatinėmis buveinėmis PMĮ tikslams, jeigu atitinka PMĮ 2 str. 22 dalyje išvardytas sąlygas.</w:t>
      </w:r>
    </w:p>
    <w:p w14:paraId="2C4B9864" w14:textId="77777777" w:rsidR="00586CCC" w:rsidRPr="00716259" w:rsidRDefault="00586CCC" w:rsidP="00586CCC">
      <w:pPr>
        <w:pStyle w:val="Pagrindinistekstas"/>
        <w:ind w:firstLine="580"/>
        <w:rPr>
          <w:b/>
        </w:rPr>
      </w:pPr>
      <w:r w:rsidRPr="00716259">
        <w:rPr>
          <w:rStyle w:val="PagrindinistekstasDiagrama"/>
          <w:bCs/>
          <w:lang w:bidi="en-US"/>
        </w:rPr>
        <w:t xml:space="preserve">Remiantis Lietuvos Respublikos civilinio kodekso 2.56 straipsnio nuostatomis, juridinio asmens </w:t>
      </w:r>
      <w:r w:rsidRPr="00716259">
        <w:rPr>
          <w:rStyle w:val="PagrindinistekstasDiagrama"/>
          <w:bCs/>
        </w:rPr>
        <w:t xml:space="preserve">atstovybė </w:t>
      </w:r>
      <w:r w:rsidRPr="00716259">
        <w:rPr>
          <w:rStyle w:val="PagrindinistekstasDiagrama"/>
          <w:bCs/>
          <w:lang w:bidi="en-US"/>
        </w:rPr>
        <w:t xml:space="preserve">yra juridinio asmens padalinys, turintis savo </w:t>
      </w:r>
      <w:r w:rsidRPr="00716259">
        <w:rPr>
          <w:rStyle w:val="PagrindinistekstasDiagrama"/>
          <w:bCs/>
        </w:rPr>
        <w:t xml:space="preserve">buveinę </w:t>
      </w:r>
      <w:r w:rsidRPr="00716259">
        <w:rPr>
          <w:rStyle w:val="PagrindinistekstasDiagrama"/>
          <w:bCs/>
          <w:lang w:bidi="en-US"/>
        </w:rPr>
        <w:t xml:space="preserve">ir turintis </w:t>
      </w:r>
      <w:r w:rsidRPr="00716259">
        <w:rPr>
          <w:rStyle w:val="PagrindinistekstasDiagrama"/>
          <w:bCs/>
        </w:rPr>
        <w:t xml:space="preserve">teisę </w:t>
      </w:r>
      <w:r w:rsidRPr="00716259">
        <w:rPr>
          <w:rStyle w:val="PagrindinistekstasDiagrama"/>
          <w:bCs/>
          <w:lang w:bidi="en-US"/>
        </w:rPr>
        <w:t xml:space="preserve">atstovauti juridinio asmens interesams ir juos ginti, sudaryti sandorius bei atlikti kitus veiksmus juridinio asmens vardu, vykdyti eksporto ir importo operacijas, </w:t>
      </w:r>
      <w:r w:rsidRPr="00716259">
        <w:rPr>
          <w:rStyle w:val="PagrindinistekstasDiagrama"/>
          <w:bCs/>
        </w:rPr>
        <w:t xml:space="preserve">tačiau </w:t>
      </w:r>
      <w:r w:rsidRPr="00716259">
        <w:rPr>
          <w:rStyle w:val="PagrindinistekstasDiagrama"/>
          <w:bCs/>
          <w:lang w:bidi="en-US"/>
        </w:rPr>
        <w:t xml:space="preserve">tik tarp </w:t>
      </w:r>
      <w:r w:rsidRPr="00716259">
        <w:rPr>
          <w:rStyle w:val="PagrindinistekstasDiagrama"/>
          <w:bCs/>
        </w:rPr>
        <w:t xml:space="preserve">užsienio juridinių asmenų </w:t>
      </w:r>
      <w:r w:rsidRPr="00716259">
        <w:rPr>
          <w:rStyle w:val="PagrindinistekstasDiagrama"/>
          <w:bCs/>
          <w:lang w:bidi="en-US"/>
        </w:rPr>
        <w:t xml:space="preserve">ar </w:t>
      </w:r>
      <w:r w:rsidRPr="00716259">
        <w:rPr>
          <w:rStyle w:val="PagrindinistekstasDiagrama"/>
          <w:bCs/>
        </w:rPr>
        <w:t xml:space="preserve">kitų organizacijų, įsteigusių atstovybę, </w:t>
      </w:r>
      <w:r w:rsidRPr="00716259">
        <w:rPr>
          <w:rStyle w:val="PagrindinistekstasDiagrama"/>
          <w:bCs/>
          <w:lang w:bidi="en-US"/>
        </w:rPr>
        <w:t xml:space="preserve">arba su ja </w:t>
      </w:r>
      <w:r w:rsidRPr="00716259">
        <w:rPr>
          <w:rStyle w:val="PagrindinistekstasDiagrama"/>
          <w:bCs/>
        </w:rPr>
        <w:t xml:space="preserve">susijusių įmonių, įstaigų </w:t>
      </w:r>
      <w:r w:rsidRPr="00716259">
        <w:rPr>
          <w:rStyle w:val="PagrindinistekstasDiagrama"/>
          <w:bCs/>
          <w:lang w:bidi="en-US"/>
        </w:rPr>
        <w:t xml:space="preserve">ar </w:t>
      </w:r>
      <w:r w:rsidRPr="00716259">
        <w:rPr>
          <w:rStyle w:val="PagrindinistekstasDiagrama"/>
          <w:bCs/>
        </w:rPr>
        <w:t xml:space="preserve">organizacijų </w:t>
      </w:r>
      <w:r w:rsidRPr="00716259">
        <w:rPr>
          <w:rStyle w:val="PagrindinistekstasDiagrama"/>
          <w:bCs/>
          <w:lang w:bidi="en-US"/>
        </w:rPr>
        <w:t xml:space="preserve">ir </w:t>
      </w:r>
      <w:r w:rsidRPr="00716259">
        <w:rPr>
          <w:rStyle w:val="PagrindinistekstasDiagrama"/>
          <w:bCs/>
        </w:rPr>
        <w:t xml:space="preserve">atstovybės. </w:t>
      </w:r>
      <w:r w:rsidRPr="00716259">
        <w:rPr>
          <w:rStyle w:val="PagrindinistekstasDiagrama"/>
          <w:bCs/>
          <w:lang w:bidi="en-US"/>
        </w:rPr>
        <w:t xml:space="preserve">Juridinio asmens </w:t>
      </w:r>
      <w:r w:rsidRPr="00716259">
        <w:rPr>
          <w:rStyle w:val="PagrindinistekstasDiagrama"/>
          <w:bCs/>
        </w:rPr>
        <w:t xml:space="preserve">atstovybė nėra </w:t>
      </w:r>
      <w:r w:rsidRPr="00716259">
        <w:rPr>
          <w:rStyle w:val="PagrindinistekstasDiagrama"/>
          <w:bCs/>
          <w:lang w:bidi="en-US"/>
        </w:rPr>
        <w:t>juridinis asmuo.</w:t>
      </w:r>
    </w:p>
    <w:p w14:paraId="6B21FDFB" w14:textId="77777777" w:rsidR="00586CCC" w:rsidRPr="00716259" w:rsidRDefault="00586CCC" w:rsidP="00586CCC">
      <w:pPr>
        <w:pStyle w:val="Pagrindinistekstas"/>
        <w:ind w:firstLine="580"/>
        <w:rPr>
          <w:b/>
        </w:rPr>
      </w:pPr>
      <w:r w:rsidRPr="00716259">
        <w:rPr>
          <w:rStyle w:val="PagrindinistekstasDiagrama"/>
          <w:bCs/>
        </w:rPr>
        <w:t xml:space="preserve">Tačiau </w:t>
      </w:r>
      <w:r w:rsidRPr="00716259">
        <w:rPr>
          <w:rStyle w:val="PagrindinistekstasDiagrama"/>
          <w:bCs/>
          <w:lang w:bidi="en-US"/>
        </w:rPr>
        <w:t xml:space="preserve">tais atvejais, kai </w:t>
      </w:r>
      <w:r w:rsidRPr="00716259">
        <w:rPr>
          <w:rStyle w:val="PagrindinistekstasDiagrama"/>
          <w:bCs/>
        </w:rPr>
        <w:t xml:space="preserve">užsienio </w:t>
      </w:r>
      <w:r w:rsidRPr="00716259">
        <w:rPr>
          <w:rStyle w:val="PagrindinistekstasDiagrama"/>
          <w:bCs/>
          <w:lang w:bidi="en-US"/>
        </w:rPr>
        <w:t xml:space="preserve">vienetas per </w:t>
      </w:r>
      <w:r w:rsidRPr="00716259">
        <w:rPr>
          <w:rStyle w:val="PagrindinistekstasDiagrama"/>
          <w:bCs/>
        </w:rPr>
        <w:t xml:space="preserve">tokią atstovybę </w:t>
      </w:r>
      <w:r w:rsidRPr="00716259">
        <w:rPr>
          <w:rStyle w:val="PagrindinistekstasDiagrama"/>
          <w:bCs/>
          <w:lang w:bidi="en-US"/>
        </w:rPr>
        <w:t xml:space="preserve">vykdo </w:t>
      </w:r>
      <w:r w:rsidRPr="00716259">
        <w:rPr>
          <w:rStyle w:val="PagrindinistekstasDiagrama"/>
          <w:bCs/>
        </w:rPr>
        <w:t xml:space="preserve">veiklą, atitinkančią PMĮ </w:t>
      </w:r>
      <w:r w:rsidRPr="00716259">
        <w:rPr>
          <w:rStyle w:val="PagrindinistekstasDiagrama"/>
          <w:bCs/>
          <w:lang w:bidi="en-US"/>
        </w:rPr>
        <w:t xml:space="preserve">2 str. 22 dalyje </w:t>
      </w:r>
      <w:r w:rsidRPr="00716259">
        <w:rPr>
          <w:rStyle w:val="PagrindinistekstasDiagrama"/>
          <w:bCs/>
        </w:rPr>
        <w:t xml:space="preserve">išvardytas sąlygas, </w:t>
      </w:r>
      <w:r w:rsidRPr="00716259">
        <w:rPr>
          <w:rStyle w:val="PagrindinistekstasDiagrama"/>
          <w:bCs/>
          <w:lang w:bidi="en-US"/>
        </w:rPr>
        <w:t xml:space="preserve">jis </w:t>
      </w:r>
      <w:r w:rsidRPr="00716259">
        <w:rPr>
          <w:rStyle w:val="PagrindinistekstasDiagrama"/>
          <w:bCs/>
        </w:rPr>
        <w:t xml:space="preserve">šio įstatymo </w:t>
      </w:r>
      <w:r w:rsidRPr="00716259">
        <w:rPr>
          <w:rStyle w:val="PagrindinistekstasDiagrama"/>
          <w:bCs/>
          <w:lang w:bidi="en-US"/>
        </w:rPr>
        <w:t xml:space="preserve">tikslams laikomas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nuolatinę buveinę.</w:t>
      </w:r>
    </w:p>
    <w:p w14:paraId="1219753B" w14:textId="77777777" w:rsidR="00586CCC" w:rsidRPr="00716259" w:rsidRDefault="00586CCC" w:rsidP="00927E61">
      <w:pPr>
        <w:pStyle w:val="Pagrindinistekstas"/>
        <w:widowControl w:val="0"/>
        <w:numPr>
          <w:ilvl w:val="0"/>
          <w:numId w:val="90"/>
        </w:numPr>
        <w:tabs>
          <w:tab w:val="left" w:pos="989"/>
        </w:tabs>
        <w:spacing w:after="0" w:line="240" w:lineRule="auto"/>
        <w:ind w:left="1080" w:hanging="360"/>
        <w:rPr>
          <w:b/>
        </w:rPr>
      </w:pPr>
      <w:r w:rsidRPr="00716259">
        <w:rPr>
          <w:rStyle w:val="PagrindinistekstasDiagrama"/>
          <w:bCs/>
        </w:rPr>
        <w:t xml:space="preserve">Nuolatinės buveinės </w:t>
      </w:r>
      <w:r w:rsidRPr="00716259">
        <w:rPr>
          <w:rStyle w:val="PagrindinistekstasDiagrama"/>
          <w:bCs/>
          <w:lang w:bidi="en-US"/>
        </w:rPr>
        <w:t xml:space="preserve">registruojamos </w:t>
      </w:r>
      <w:r w:rsidRPr="00716259">
        <w:rPr>
          <w:rStyle w:val="PagrindinistekstasDiagrama"/>
          <w:bCs/>
        </w:rPr>
        <w:t xml:space="preserve">Mokesčio mokėtojų </w:t>
      </w:r>
      <w:r w:rsidRPr="00716259">
        <w:rPr>
          <w:rStyle w:val="PagrindinistekstasDiagrama"/>
          <w:bCs/>
          <w:lang w:bidi="en-US"/>
        </w:rPr>
        <w:t xml:space="preserve">registre. </w:t>
      </w:r>
      <w:r w:rsidRPr="00716259">
        <w:rPr>
          <w:rStyle w:val="PagrindinistekstasDiagrama"/>
          <w:bCs/>
        </w:rPr>
        <w:t xml:space="preserve">Mokesčio mokėtojų </w:t>
      </w:r>
      <w:r w:rsidRPr="00716259">
        <w:rPr>
          <w:rStyle w:val="PagrindinistekstasDiagrama"/>
          <w:bCs/>
          <w:lang w:bidi="en-US"/>
        </w:rPr>
        <w:t xml:space="preserve">registro nuostatai patvirtinti Lietuvos Respublikos </w:t>
      </w:r>
      <w:r w:rsidRPr="00716259">
        <w:rPr>
          <w:rStyle w:val="PagrindinistekstasDiagrama"/>
          <w:bCs/>
        </w:rPr>
        <w:t xml:space="preserve">Vyriausybės </w:t>
      </w:r>
      <w:r w:rsidRPr="00716259">
        <w:rPr>
          <w:rStyle w:val="PagrindinistekstasDiagrama"/>
          <w:bCs/>
          <w:lang w:bidi="en-US"/>
        </w:rPr>
        <w:t xml:space="preserve">2000 m. </w:t>
      </w:r>
      <w:r w:rsidRPr="00716259">
        <w:rPr>
          <w:rStyle w:val="PagrindinistekstasDiagrama"/>
          <w:bCs/>
        </w:rPr>
        <w:t xml:space="preserve">rugsėjo </w:t>
      </w:r>
      <w:r w:rsidRPr="00716259">
        <w:rPr>
          <w:rStyle w:val="PagrindinistekstasDiagrama"/>
          <w:bCs/>
          <w:lang w:bidi="en-US"/>
        </w:rPr>
        <w:t>6 d.</w:t>
      </w:r>
      <w:hyperlink r:id="rId14" w:history="1">
        <w:r w:rsidRPr="00716259">
          <w:rPr>
            <w:rStyle w:val="PagrindinistekstasDiagrama"/>
            <w:bCs/>
            <w:lang w:bidi="en-US"/>
          </w:rPr>
          <w:t xml:space="preserve"> nutarimu</w:t>
        </w:r>
      </w:hyperlink>
      <w:r w:rsidRPr="00716259">
        <w:rPr>
          <w:rStyle w:val="PagrindinistekstasDiagrama"/>
          <w:bCs/>
          <w:lang w:bidi="en-US"/>
        </w:rPr>
        <w:t xml:space="preserve"> </w:t>
      </w:r>
      <w:hyperlink r:id="rId15" w:history="1">
        <w:r w:rsidRPr="00716259">
          <w:rPr>
            <w:rStyle w:val="PagrindinistekstasDiagrama"/>
            <w:bCs/>
            <w:lang w:bidi="en-US"/>
          </w:rPr>
          <w:t xml:space="preserve">Nr. 1059 </w:t>
        </w:r>
      </w:hyperlink>
      <w:r w:rsidRPr="00716259">
        <w:rPr>
          <w:rStyle w:val="PagrindinistekstasDiagrama"/>
          <w:bCs/>
        </w:rPr>
        <w:t xml:space="preserve">„Dėl Mokesčio mokėtojų </w:t>
      </w:r>
      <w:r w:rsidRPr="00716259">
        <w:rPr>
          <w:rStyle w:val="PagrindinistekstasDiagrama"/>
          <w:bCs/>
          <w:lang w:bidi="en-US"/>
        </w:rPr>
        <w:t xml:space="preserve">registro </w:t>
      </w:r>
      <w:r w:rsidRPr="00716259">
        <w:rPr>
          <w:rStyle w:val="PagrindinistekstasDiagrama"/>
          <w:bCs/>
        </w:rPr>
        <w:t xml:space="preserve">įsteigimo </w:t>
      </w:r>
      <w:r w:rsidRPr="00716259">
        <w:rPr>
          <w:rStyle w:val="PagrindinistekstasDiagrama"/>
          <w:bCs/>
          <w:lang w:bidi="en-US"/>
        </w:rPr>
        <w:t xml:space="preserve">ir jo </w:t>
      </w:r>
      <w:r w:rsidRPr="00716259">
        <w:rPr>
          <w:rStyle w:val="PagrindinistekstasDiagrama"/>
          <w:bCs/>
        </w:rPr>
        <w:t xml:space="preserve">nuostatų </w:t>
      </w:r>
      <w:r w:rsidRPr="00716259">
        <w:rPr>
          <w:rStyle w:val="PagrindinistekstasDiagrama"/>
          <w:bCs/>
          <w:lang w:bidi="en-US"/>
        </w:rPr>
        <w:t xml:space="preserve">patvirtinimo“. </w:t>
      </w:r>
      <w:r w:rsidRPr="00716259">
        <w:rPr>
          <w:rStyle w:val="PagrindinistekstasDiagrama"/>
          <w:bCs/>
        </w:rPr>
        <w:t xml:space="preserve">Užsienio valstybių įmonių nuolatinės buveinės, kurių </w:t>
      </w:r>
      <w:r w:rsidRPr="00716259">
        <w:rPr>
          <w:rStyle w:val="PagrindinistekstasDiagrama"/>
          <w:bCs/>
          <w:lang w:bidi="en-US"/>
        </w:rPr>
        <w:t xml:space="preserve">teisinis </w:t>
      </w:r>
      <w:r w:rsidRPr="00716259">
        <w:rPr>
          <w:rStyle w:val="PagrindinistekstasDiagrama"/>
          <w:bCs/>
        </w:rPr>
        <w:t xml:space="preserve">įregistravimas </w:t>
      </w:r>
      <w:r w:rsidRPr="00716259">
        <w:rPr>
          <w:rStyle w:val="PagrindinistekstasDiagrama"/>
          <w:bCs/>
          <w:lang w:bidi="en-US"/>
        </w:rPr>
        <w:t xml:space="preserve">Lietuvos Respublikos </w:t>
      </w:r>
      <w:r w:rsidRPr="00716259">
        <w:rPr>
          <w:rStyle w:val="PagrindinistekstasDiagrama"/>
          <w:bCs/>
        </w:rPr>
        <w:t xml:space="preserve">įstatymuose </w:t>
      </w:r>
      <w:r w:rsidRPr="00716259">
        <w:rPr>
          <w:rStyle w:val="PagrindinistekstasDiagrama"/>
          <w:bCs/>
          <w:lang w:bidi="en-US"/>
        </w:rPr>
        <w:t xml:space="preserve">nenumatytas, privalo </w:t>
      </w:r>
      <w:r w:rsidRPr="00716259">
        <w:rPr>
          <w:rStyle w:val="PagrindinistekstasDiagrama"/>
          <w:bCs/>
        </w:rPr>
        <w:t>šiame</w:t>
      </w:r>
      <w:hyperlink r:id="rId16" w:history="1">
        <w:r w:rsidRPr="00716259">
          <w:rPr>
            <w:rStyle w:val="PagrindinistekstasDiagrama"/>
            <w:bCs/>
          </w:rPr>
          <w:t xml:space="preserve"> </w:t>
        </w:r>
        <w:r w:rsidRPr="00716259">
          <w:rPr>
            <w:rStyle w:val="PagrindinistekstasDiagrama"/>
            <w:bCs/>
            <w:lang w:bidi="en-US"/>
          </w:rPr>
          <w:t>registre</w:t>
        </w:r>
      </w:hyperlink>
      <w:hyperlink r:id="rId17" w:history="1">
        <w:r w:rsidRPr="00716259">
          <w:rPr>
            <w:rStyle w:val="PagrindinistekstasDiagrama"/>
            <w:bCs/>
            <w:lang w:bidi="en-US"/>
          </w:rPr>
          <w:t xml:space="preserve"> registruotis </w:t>
        </w:r>
      </w:hyperlink>
      <w:r w:rsidRPr="00716259">
        <w:rPr>
          <w:rStyle w:val="PagrindinistekstasDiagrama"/>
          <w:bCs/>
          <w:lang w:bidi="en-US"/>
        </w:rPr>
        <w:t xml:space="preserve">pagal veiklos vykdymo </w:t>
      </w:r>
      <w:r w:rsidRPr="00716259">
        <w:rPr>
          <w:rStyle w:val="PagrindinistekstasDiagrama"/>
          <w:bCs/>
        </w:rPr>
        <w:t xml:space="preserve">vietą </w:t>
      </w:r>
      <w:r w:rsidRPr="00716259">
        <w:rPr>
          <w:rStyle w:val="PagrindinistekstasDiagrama"/>
          <w:bCs/>
          <w:lang w:bidi="en-US"/>
        </w:rPr>
        <w:t xml:space="preserve">ne </w:t>
      </w:r>
      <w:r w:rsidRPr="00716259">
        <w:rPr>
          <w:rStyle w:val="PagrindinistekstasDiagrama"/>
          <w:bCs/>
        </w:rPr>
        <w:t xml:space="preserve">vėliau, </w:t>
      </w:r>
      <w:r w:rsidRPr="00716259">
        <w:rPr>
          <w:rStyle w:val="PagrindinistekstasDiagrama"/>
          <w:bCs/>
          <w:lang w:bidi="en-US"/>
        </w:rPr>
        <w:t xml:space="preserve">kaip per 5 darbo dienas nuo veiklos vykdymo Lietuvoje </w:t>
      </w:r>
      <w:r w:rsidRPr="00716259">
        <w:rPr>
          <w:rStyle w:val="PagrindinistekstasDiagrama"/>
          <w:bCs/>
        </w:rPr>
        <w:t>pradžios.</w:t>
      </w:r>
    </w:p>
    <w:p w14:paraId="75B31366" w14:textId="77777777" w:rsidR="00586CCC" w:rsidRPr="00716259" w:rsidRDefault="00586CCC" w:rsidP="00927E61">
      <w:pPr>
        <w:pStyle w:val="Pagrindinistekstas"/>
        <w:widowControl w:val="0"/>
        <w:numPr>
          <w:ilvl w:val="0"/>
          <w:numId w:val="90"/>
        </w:numPr>
        <w:tabs>
          <w:tab w:val="left" w:pos="989"/>
        </w:tabs>
        <w:spacing w:after="0" w:line="240" w:lineRule="auto"/>
        <w:ind w:left="1080" w:hanging="360"/>
        <w:rPr>
          <w:b/>
        </w:rPr>
      </w:pPr>
      <w:r w:rsidRPr="00716259">
        <w:rPr>
          <w:rStyle w:val="PagrindinistekstasDiagrama"/>
          <w:bCs/>
          <w:lang w:bidi="en-US"/>
        </w:rPr>
        <w:t xml:space="preserve">Jeigu, remiantis DAIS nuostatomis, </w:t>
      </w:r>
      <w:r w:rsidRPr="00716259">
        <w:rPr>
          <w:rStyle w:val="PagrindinistekstasDiagrama"/>
          <w:bCs/>
        </w:rPr>
        <w:t xml:space="preserve">užsienio </w:t>
      </w:r>
      <w:r w:rsidRPr="00716259">
        <w:rPr>
          <w:rStyle w:val="PagrindinistekstasDiagrama"/>
          <w:bCs/>
          <w:lang w:bidi="en-US"/>
        </w:rPr>
        <w:t xml:space="preserve">vienetas </w:t>
      </w:r>
      <w:r w:rsidRPr="00716259">
        <w:rPr>
          <w:rStyle w:val="PagrindinistekstasDiagrama"/>
          <w:bCs/>
        </w:rPr>
        <w:t xml:space="preserve">nėra </w:t>
      </w:r>
      <w:r w:rsidRPr="00716259">
        <w:rPr>
          <w:rStyle w:val="PagrindinistekstasDiagrama"/>
          <w:bCs/>
          <w:lang w:bidi="en-US"/>
        </w:rPr>
        <w:t xml:space="preserve">laikomas Lietuvoje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 xml:space="preserve">nuolatinę buveinę, tačiau </w:t>
      </w:r>
      <w:r w:rsidRPr="00716259">
        <w:rPr>
          <w:rStyle w:val="PagrindinistekstasDiagrama"/>
          <w:bCs/>
          <w:lang w:bidi="en-US"/>
        </w:rPr>
        <w:t xml:space="preserve">toks </w:t>
      </w:r>
      <w:r w:rsidRPr="00716259">
        <w:rPr>
          <w:rStyle w:val="PagrindinistekstasDiagrama"/>
          <w:bCs/>
        </w:rPr>
        <w:t xml:space="preserve">užsienio </w:t>
      </w:r>
      <w:r w:rsidRPr="00716259">
        <w:rPr>
          <w:rStyle w:val="PagrindinistekstasDiagrama"/>
          <w:bCs/>
          <w:lang w:bidi="en-US"/>
        </w:rPr>
        <w:t xml:space="preserve">vienetas laikomas </w:t>
      </w:r>
      <w:r w:rsidRPr="00716259">
        <w:rPr>
          <w:rStyle w:val="PagrindinistekstasDiagrama"/>
          <w:bCs/>
        </w:rPr>
        <w:t xml:space="preserve">vykdančiu veiklą </w:t>
      </w:r>
      <w:r w:rsidRPr="00716259">
        <w:rPr>
          <w:rStyle w:val="PagrindinistekstasDiagrama"/>
          <w:bCs/>
          <w:lang w:bidi="en-US"/>
        </w:rPr>
        <w:t xml:space="preserve">per </w:t>
      </w:r>
      <w:r w:rsidRPr="00716259">
        <w:rPr>
          <w:rStyle w:val="PagrindinistekstasDiagrama"/>
          <w:bCs/>
        </w:rPr>
        <w:t xml:space="preserve">nuolatinę buveinę </w:t>
      </w:r>
      <w:r w:rsidRPr="00716259">
        <w:rPr>
          <w:rStyle w:val="PagrindinistekstasDiagrama"/>
          <w:bCs/>
          <w:lang w:bidi="en-US"/>
        </w:rPr>
        <w:t xml:space="preserve">remiantis </w:t>
      </w:r>
      <w:r w:rsidRPr="00716259">
        <w:rPr>
          <w:rStyle w:val="PagrindinistekstasDiagrama"/>
          <w:bCs/>
        </w:rPr>
        <w:t xml:space="preserve">PMĮ </w:t>
      </w:r>
      <w:r w:rsidRPr="00716259">
        <w:rPr>
          <w:rStyle w:val="PagrindinistekstasDiagrama"/>
          <w:bCs/>
          <w:lang w:bidi="en-US"/>
        </w:rPr>
        <w:t xml:space="preserve">nuostatomis, tai tokia </w:t>
      </w:r>
      <w:r w:rsidRPr="00716259">
        <w:rPr>
          <w:rStyle w:val="PagrindinistekstasDiagrama"/>
          <w:bCs/>
        </w:rPr>
        <w:t xml:space="preserve">nuolatinė buveinė </w:t>
      </w:r>
      <w:r w:rsidRPr="00716259">
        <w:rPr>
          <w:rStyle w:val="PagrindinistekstasDiagrama"/>
          <w:bCs/>
          <w:lang w:bidi="en-US"/>
        </w:rPr>
        <w:t xml:space="preserve">turi </w:t>
      </w:r>
      <w:r w:rsidRPr="00716259">
        <w:rPr>
          <w:rStyle w:val="PagrindinistekstasDiagrama"/>
          <w:bCs/>
        </w:rPr>
        <w:t xml:space="preserve">būti </w:t>
      </w:r>
      <w:r w:rsidRPr="00716259">
        <w:rPr>
          <w:rStyle w:val="PagrindinistekstasDiagrama"/>
          <w:bCs/>
          <w:lang w:bidi="en-US"/>
        </w:rPr>
        <w:t xml:space="preserve">registruojama Lietuvoje, </w:t>
      </w:r>
      <w:r w:rsidRPr="00716259">
        <w:rPr>
          <w:rStyle w:val="PagrindinistekstasDiagrama"/>
          <w:bCs/>
        </w:rPr>
        <w:t xml:space="preserve">tačiau </w:t>
      </w:r>
      <w:r w:rsidRPr="00716259">
        <w:rPr>
          <w:rStyle w:val="PagrindinistekstasDiagrama"/>
          <w:bCs/>
          <w:lang w:bidi="en-US"/>
        </w:rPr>
        <w:t xml:space="preserve">pelno </w:t>
      </w:r>
      <w:r w:rsidRPr="00716259">
        <w:rPr>
          <w:rStyle w:val="PagrindinistekstasDiagrama"/>
          <w:bCs/>
        </w:rPr>
        <w:t xml:space="preserve">mokesčio deklaraciją </w:t>
      </w:r>
      <w:r w:rsidRPr="00716259">
        <w:rPr>
          <w:rStyle w:val="PagrindinistekstasDiagrama"/>
          <w:bCs/>
          <w:lang w:bidi="en-US"/>
        </w:rPr>
        <w:t xml:space="preserve">privalo pateikti ir pelno </w:t>
      </w:r>
      <w:r w:rsidRPr="00716259">
        <w:rPr>
          <w:rStyle w:val="PagrindinistekstasDiagrama"/>
          <w:bCs/>
        </w:rPr>
        <w:t xml:space="preserve">mokestį mokėti </w:t>
      </w:r>
      <w:r w:rsidRPr="00716259">
        <w:rPr>
          <w:rStyle w:val="PagrindinistekstasDiagrama"/>
          <w:bCs/>
          <w:lang w:bidi="en-US"/>
        </w:rPr>
        <w:t xml:space="preserve">tik tada, kai </w:t>
      </w:r>
      <w:r w:rsidRPr="00716259">
        <w:rPr>
          <w:rStyle w:val="PagrindinistekstasDiagrama"/>
          <w:bCs/>
        </w:rPr>
        <w:t xml:space="preserve">įvykdo </w:t>
      </w:r>
      <w:r w:rsidRPr="00716259">
        <w:rPr>
          <w:rStyle w:val="PagrindinistekstasDiagrama"/>
          <w:bCs/>
          <w:lang w:bidi="en-US"/>
        </w:rPr>
        <w:t xml:space="preserve">DAIS nustatytas </w:t>
      </w:r>
      <w:r w:rsidRPr="00716259">
        <w:rPr>
          <w:rStyle w:val="PagrindinistekstasDiagrama"/>
          <w:bCs/>
        </w:rPr>
        <w:t xml:space="preserve">nuolatinės buveinės būtinąsias sąlygas, </w:t>
      </w:r>
      <w:r w:rsidRPr="00716259">
        <w:rPr>
          <w:rStyle w:val="PagrindinistekstasDiagrama"/>
          <w:bCs/>
          <w:lang w:bidi="en-US"/>
        </w:rPr>
        <w:t xml:space="preserve">t. y. jei statybos teritorija, statybos, surinkimo ar </w:t>
      </w:r>
      <w:r w:rsidRPr="00716259">
        <w:rPr>
          <w:rStyle w:val="PagrindinistekstasDiagrama"/>
          <w:bCs/>
        </w:rPr>
        <w:t xml:space="preserve">įrangos </w:t>
      </w:r>
      <w:r w:rsidRPr="00716259">
        <w:rPr>
          <w:rStyle w:val="PagrindinistekstasDiagrama"/>
          <w:bCs/>
          <w:lang w:bidi="en-US"/>
        </w:rPr>
        <w:t xml:space="preserve">objektas egzistuoja arba su tuo susijusios </w:t>
      </w:r>
      <w:r w:rsidRPr="00716259">
        <w:rPr>
          <w:rStyle w:val="PagrindinistekstasDiagrama"/>
          <w:bCs/>
        </w:rPr>
        <w:t xml:space="preserve">priežiūros </w:t>
      </w:r>
      <w:r w:rsidRPr="00716259">
        <w:rPr>
          <w:rStyle w:val="PagrindinistekstasDiagrama"/>
          <w:bCs/>
          <w:lang w:bidi="en-US"/>
        </w:rPr>
        <w:t xml:space="preserve">veikla vykdoma ilgiau nei numatyta </w:t>
      </w:r>
      <w:r w:rsidRPr="00716259">
        <w:rPr>
          <w:rStyle w:val="PagrindinistekstasDiagrama"/>
          <w:bCs/>
        </w:rPr>
        <w:t xml:space="preserve">konkrečioje </w:t>
      </w:r>
      <w:r w:rsidRPr="00716259">
        <w:rPr>
          <w:rStyle w:val="PagrindinistekstasDiagrama"/>
          <w:bCs/>
          <w:lang w:bidi="en-US"/>
        </w:rPr>
        <w:t>DAIS.</w:t>
      </w:r>
    </w:p>
    <w:p w14:paraId="71FC2E62" w14:textId="77777777" w:rsidR="00586CCC" w:rsidRPr="00716259" w:rsidRDefault="00586CCC" w:rsidP="00927E61">
      <w:pPr>
        <w:pStyle w:val="Pagrindinistekstas"/>
        <w:widowControl w:val="0"/>
        <w:numPr>
          <w:ilvl w:val="0"/>
          <w:numId w:val="90"/>
        </w:numPr>
        <w:tabs>
          <w:tab w:val="left" w:pos="989"/>
        </w:tabs>
        <w:spacing w:after="0" w:line="240" w:lineRule="auto"/>
        <w:ind w:left="1080" w:hanging="360"/>
        <w:rPr>
          <w:b/>
        </w:rPr>
      </w:pPr>
      <w:r w:rsidRPr="00716259">
        <w:rPr>
          <w:rStyle w:val="PagrindinistekstasDiagrama"/>
          <w:bCs/>
          <w:lang w:bidi="en-US"/>
        </w:rPr>
        <w:t xml:space="preserve">Jeigu, remiantis DAIS nuostatomis, </w:t>
      </w:r>
      <w:r w:rsidRPr="00716259">
        <w:rPr>
          <w:rStyle w:val="PagrindinistekstasDiagrama"/>
          <w:bCs/>
        </w:rPr>
        <w:t xml:space="preserve">užsienio </w:t>
      </w:r>
      <w:r w:rsidRPr="00716259">
        <w:rPr>
          <w:rStyle w:val="PagrindinistekstasDiagrama"/>
          <w:bCs/>
          <w:lang w:bidi="en-US"/>
        </w:rPr>
        <w:t xml:space="preserve">vienetas laikomas Lietuvoje </w:t>
      </w:r>
      <w:r w:rsidRPr="00716259">
        <w:rPr>
          <w:rStyle w:val="PagrindinistekstasDiagrama"/>
          <w:bCs/>
        </w:rPr>
        <w:t xml:space="preserve">vykdančiu veiklą </w:t>
      </w:r>
      <w:r w:rsidRPr="00716259">
        <w:rPr>
          <w:rStyle w:val="PagrindinistekstasDiagrama"/>
          <w:bCs/>
          <w:lang w:bidi="en-US"/>
        </w:rPr>
        <w:lastRenderedPageBreak/>
        <w:t xml:space="preserve">per </w:t>
      </w:r>
      <w:r w:rsidRPr="00716259">
        <w:rPr>
          <w:rStyle w:val="PagrindinistekstasDiagrama"/>
          <w:bCs/>
        </w:rPr>
        <w:t xml:space="preserve">nuolatinę buveinę, tačiau užsienio </w:t>
      </w:r>
      <w:r w:rsidRPr="00716259">
        <w:rPr>
          <w:rStyle w:val="PagrindinistekstasDiagrama"/>
          <w:bCs/>
          <w:lang w:bidi="en-US"/>
        </w:rPr>
        <w:t xml:space="preserve">vieneto per </w:t>
      </w:r>
      <w:r w:rsidRPr="00716259">
        <w:rPr>
          <w:rStyle w:val="PagrindinistekstasDiagrama"/>
          <w:bCs/>
        </w:rPr>
        <w:t xml:space="preserve">tą nuolatinę buveinę </w:t>
      </w:r>
      <w:r w:rsidRPr="00716259">
        <w:rPr>
          <w:rStyle w:val="PagrindinistekstasDiagrama"/>
          <w:bCs/>
          <w:lang w:bidi="en-US"/>
        </w:rPr>
        <w:t xml:space="preserve">gaunamas visas pelnas arba jo dalis yra neapmokestinami, tai tokia </w:t>
      </w:r>
      <w:r w:rsidRPr="00716259">
        <w:rPr>
          <w:rStyle w:val="PagrindinistekstasDiagrama"/>
          <w:bCs/>
        </w:rPr>
        <w:t xml:space="preserve">nuolatinė buveinė </w:t>
      </w:r>
      <w:r w:rsidRPr="00716259">
        <w:rPr>
          <w:rStyle w:val="PagrindinistekstasDiagrama"/>
          <w:bCs/>
          <w:lang w:bidi="en-US"/>
        </w:rPr>
        <w:t xml:space="preserve">privalo tvarkyti </w:t>
      </w:r>
      <w:r w:rsidRPr="00716259">
        <w:rPr>
          <w:rStyle w:val="PagrindinistekstasDiagrama"/>
          <w:bCs/>
        </w:rPr>
        <w:t xml:space="preserve">apskaitą, </w:t>
      </w:r>
      <w:r w:rsidRPr="00716259">
        <w:rPr>
          <w:rStyle w:val="PagrindinistekstasDiagrama"/>
          <w:bCs/>
          <w:lang w:bidi="en-US"/>
        </w:rPr>
        <w:t xml:space="preserve">teikti deklaracijas ir ataskaitas bei vykdyti </w:t>
      </w:r>
      <w:r w:rsidRPr="00716259">
        <w:rPr>
          <w:rStyle w:val="PagrindinistekstasDiagrama"/>
          <w:bCs/>
        </w:rPr>
        <w:t xml:space="preserve">mokesčius išskaičiuojančio </w:t>
      </w:r>
      <w:r w:rsidRPr="00716259">
        <w:rPr>
          <w:rStyle w:val="PagrindinistekstasDiagrama"/>
          <w:bCs/>
          <w:lang w:bidi="en-US"/>
        </w:rPr>
        <w:t xml:space="preserve">asmens prievoles taip, kaip ir kitos </w:t>
      </w:r>
      <w:r w:rsidRPr="00716259">
        <w:rPr>
          <w:rStyle w:val="PagrindinistekstasDiagrama"/>
          <w:bCs/>
        </w:rPr>
        <w:t xml:space="preserve">nuolatinės buveinės, tačiau </w:t>
      </w:r>
      <w:r w:rsidRPr="00716259">
        <w:rPr>
          <w:rStyle w:val="PagrindinistekstasDiagrama"/>
          <w:bCs/>
          <w:lang w:bidi="en-US"/>
        </w:rPr>
        <w:t xml:space="preserve">pati pelno </w:t>
      </w:r>
      <w:r w:rsidRPr="00716259">
        <w:rPr>
          <w:rStyle w:val="PagrindinistekstasDiagrama"/>
          <w:bCs/>
        </w:rPr>
        <w:t xml:space="preserve">mokesčio </w:t>
      </w:r>
      <w:r w:rsidRPr="00716259">
        <w:rPr>
          <w:rStyle w:val="PagrindinistekstasDiagrama"/>
          <w:bCs/>
          <w:lang w:bidi="en-US"/>
        </w:rPr>
        <w:t xml:space="preserve">nemoka, arba moka tik nuo tos pelno dalies, kuri pagal DAIS nuostatas gali </w:t>
      </w:r>
      <w:r w:rsidRPr="00716259">
        <w:rPr>
          <w:rStyle w:val="PagrindinistekstasDiagrama"/>
          <w:bCs/>
        </w:rPr>
        <w:t xml:space="preserve">būti </w:t>
      </w:r>
      <w:r w:rsidRPr="00716259">
        <w:rPr>
          <w:rStyle w:val="PagrindinistekstasDiagrama"/>
          <w:bCs/>
          <w:lang w:bidi="en-US"/>
        </w:rPr>
        <w:t>apmokestinama Lietuvoje.</w:t>
      </w:r>
    </w:p>
    <w:p w14:paraId="728C4907" w14:textId="77777777" w:rsidR="00586CCC" w:rsidRPr="00716259" w:rsidRDefault="00586CCC" w:rsidP="00927E61">
      <w:pPr>
        <w:pStyle w:val="Pagrindinistekstas"/>
        <w:widowControl w:val="0"/>
        <w:numPr>
          <w:ilvl w:val="0"/>
          <w:numId w:val="90"/>
        </w:numPr>
        <w:tabs>
          <w:tab w:val="left" w:pos="1549"/>
        </w:tabs>
        <w:spacing w:after="0" w:line="240" w:lineRule="auto"/>
        <w:ind w:left="1080" w:hanging="360"/>
        <w:rPr>
          <w:b/>
        </w:rPr>
      </w:pPr>
      <w:r w:rsidRPr="00716259">
        <w:rPr>
          <w:rStyle w:val="PagrindinistekstasDiagrama"/>
          <w:bCs/>
        </w:rPr>
        <w:t>Nuolatinės buveinės:</w:t>
      </w:r>
    </w:p>
    <w:p w14:paraId="0ADA933F" w14:textId="77777777" w:rsidR="00586CCC" w:rsidRPr="00716259" w:rsidRDefault="00586CCC" w:rsidP="00927E61">
      <w:pPr>
        <w:pStyle w:val="Pagrindinistekstas"/>
        <w:widowControl w:val="0"/>
        <w:numPr>
          <w:ilvl w:val="0"/>
          <w:numId w:val="91"/>
        </w:numPr>
        <w:tabs>
          <w:tab w:val="left" w:pos="1100"/>
        </w:tabs>
        <w:spacing w:after="0" w:line="240" w:lineRule="auto"/>
        <w:ind w:firstLine="740"/>
        <w:rPr>
          <w:b/>
        </w:rPr>
      </w:pPr>
      <w:r w:rsidRPr="00716259">
        <w:rPr>
          <w:rStyle w:val="PagrindinistekstasDiagrama"/>
          <w:bCs/>
          <w:lang w:bidi="en-US"/>
        </w:rPr>
        <w:t xml:space="preserve">mokestinis laikotarpis nustatomas remiantis </w:t>
      </w:r>
      <w:r w:rsidRPr="00716259">
        <w:rPr>
          <w:rStyle w:val="PagrindinistekstasDiagrama"/>
          <w:bCs/>
        </w:rPr>
        <w:t xml:space="preserve">PMĮ </w:t>
      </w:r>
      <w:r w:rsidRPr="00716259">
        <w:rPr>
          <w:rStyle w:val="PagrindinistekstasDiagrama"/>
          <w:bCs/>
          <w:lang w:bidi="en-US"/>
        </w:rPr>
        <w:t>6 str. 1, 2 ir 5 dalimis;</w:t>
      </w:r>
    </w:p>
    <w:p w14:paraId="7E4F9B8B" w14:textId="77777777" w:rsidR="00586CCC" w:rsidRPr="00716259" w:rsidRDefault="00586CCC" w:rsidP="00927E61">
      <w:pPr>
        <w:pStyle w:val="Pagrindinistekstas"/>
        <w:widowControl w:val="0"/>
        <w:numPr>
          <w:ilvl w:val="0"/>
          <w:numId w:val="91"/>
        </w:numPr>
        <w:tabs>
          <w:tab w:val="left" w:pos="1100"/>
        </w:tabs>
        <w:spacing w:after="0" w:line="240" w:lineRule="auto"/>
        <w:ind w:firstLine="740"/>
        <w:rPr>
          <w:b/>
        </w:rPr>
      </w:pPr>
      <w:r w:rsidRPr="00716259">
        <w:rPr>
          <w:rStyle w:val="PagrindinistekstasDiagrama"/>
          <w:bCs/>
        </w:rPr>
        <w:t xml:space="preserve">mokesčio bazė </w:t>
      </w:r>
      <w:r w:rsidRPr="00716259">
        <w:rPr>
          <w:rStyle w:val="PagrindinistekstasDiagrama"/>
          <w:bCs/>
          <w:lang w:bidi="en-US"/>
        </w:rPr>
        <w:t xml:space="preserve">nustatoma remiantis </w:t>
      </w:r>
      <w:r w:rsidRPr="00716259">
        <w:rPr>
          <w:rStyle w:val="PagrindinistekstasDiagrama"/>
          <w:bCs/>
        </w:rPr>
        <w:t xml:space="preserve">PMĮ </w:t>
      </w:r>
      <w:r w:rsidRPr="00716259">
        <w:rPr>
          <w:rStyle w:val="PagrindinistekstasDiagrama"/>
          <w:bCs/>
          <w:lang w:bidi="en-US"/>
        </w:rPr>
        <w:t>4 str. 3 d. 1 punktu;</w:t>
      </w:r>
    </w:p>
    <w:p w14:paraId="4F0F2486" w14:textId="77777777" w:rsidR="00586CCC" w:rsidRPr="00716259" w:rsidRDefault="00586CCC" w:rsidP="00927E61">
      <w:pPr>
        <w:pStyle w:val="Pagrindinistekstas"/>
        <w:widowControl w:val="0"/>
        <w:numPr>
          <w:ilvl w:val="0"/>
          <w:numId w:val="91"/>
        </w:numPr>
        <w:tabs>
          <w:tab w:val="left" w:pos="1100"/>
        </w:tabs>
        <w:spacing w:after="0" w:line="240" w:lineRule="auto"/>
        <w:ind w:firstLine="740"/>
        <w:rPr>
          <w:b/>
        </w:rPr>
      </w:pPr>
      <w:r w:rsidRPr="00716259">
        <w:rPr>
          <w:rStyle w:val="PagrindinistekstasDiagrama"/>
          <w:bCs/>
          <w:lang w:bidi="en-US"/>
        </w:rPr>
        <w:t xml:space="preserve">pelno </w:t>
      </w:r>
      <w:r w:rsidRPr="00716259">
        <w:rPr>
          <w:rStyle w:val="PagrindinistekstasDiagrama"/>
          <w:bCs/>
        </w:rPr>
        <w:t xml:space="preserve">mokesčio </w:t>
      </w:r>
      <w:r w:rsidRPr="00716259">
        <w:rPr>
          <w:rStyle w:val="PagrindinistekstasDiagrama"/>
          <w:bCs/>
          <w:lang w:bidi="en-US"/>
        </w:rPr>
        <w:t xml:space="preserve">tarifas nustatytas </w:t>
      </w:r>
      <w:r w:rsidRPr="00716259">
        <w:rPr>
          <w:rStyle w:val="PagrindinistekstasDiagrama"/>
          <w:bCs/>
        </w:rPr>
        <w:t xml:space="preserve">PMĮ </w:t>
      </w:r>
      <w:r w:rsidRPr="00716259">
        <w:rPr>
          <w:rStyle w:val="PagrindinistekstasDiagrama"/>
          <w:bCs/>
          <w:lang w:bidi="en-US"/>
        </w:rPr>
        <w:t>5 str. 1 d. 1 punkte;</w:t>
      </w:r>
    </w:p>
    <w:p w14:paraId="12F8FA6E" w14:textId="77777777" w:rsidR="00586CCC" w:rsidRPr="00716259" w:rsidRDefault="00586CCC" w:rsidP="00927E61">
      <w:pPr>
        <w:pStyle w:val="Pagrindinistekstas"/>
        <w:widowControl w:val="0"/>
        <w:numPr>
          <w:ilvl w:val="0"/>
          <w:numId w:val="91"/>
        </w:numPr>
        <w:tabs>
          <w:tab w:val="left" w:pos="1100"/>
        </w:tabs>
        <w:spacing w:after="0" w:line="240" w:lineRule="auto"/>
        <w:ind w:firstLine="740"/>
        <w:rPr>
          <w:b/>
        </w:rPr>
      </w:pPr>
      <w:r w:rsidRPr="00716259">
        <w:rPr>
          <w:rStyle w:val="PagrindinistekstasDiagrama"/>
          <w:bCs/>
          <w:lang w:bidi="en-US"/>
        </w:rPr>
        <w:t xml:space="preserve">apmokestinamasis pelnas </w:t>
      </w:r>
      <w:r w:rsidRPr="00716259">
        <w:rPr>
          <w:rStyle w:val="PagrindinistekstasDiagrama"/>
          <w:bCs/>
        </w:rPr>
        <w:t xml:space="preserve">apskaičiuojamas </w:t>
      </w:r>
      <w:r w:rsidRPr="00716259">
        <w:rPr>
          <w:rStyle w:val="PagrindinistekstasDiagrama"/>
          <w:bCs/>
          <w:lang w:bidi="en-US"/>
        </w:rPr>
        <w:t xml:space="preserve">remiantis </w:t>
      </w:r>
      <w:r w:rsidRPr="00716259">
        <w:rPr>
          <w:rStyle w:val="PagrindinistekstasDiagrama"/>
          <w:bCs/>
        </w:rPr>
        <w:t xml:space="preserve">PMĮ </w:t>
      </w:r>
      <w:r w:rsidRPr="00716259">
        <w:rPr>
          <w:rStyle w:val="PagrindinistekstasDiagrama"/>
          <w:bCs/>
          <w:lang w:bidi="en-US"/>
        </w:rPr>
        <w:t>11 str. 2 dalimi.</w:t>
      </w:r>
    </w:p>
    <w:p w14:paraId="74AC07F4" w14:textId="77777777" w:rsidR="00586CCC" w:rsidRPr="00716259" w:rsidRDefault="00586CCC" w:rsidP="00927E61">
      <w:pPr>
        <w:pStyle w:val="Pagrindinistekstas"/>
        <w:widowControl w:val="0"/>
        <w:numPr>
          <w:ilvl w:val="0"/>
          <w:numId w:val="90"/>
        </w:numPr>
        <w:tabs>
          <w:tab w:val="left" w:pos="1023"/>
        </w:tabs>
        <w:spacing w:after="0" w:line="240" w:lineRule="auto"/>
        <w:ind w:left="1080" w:hanging="360"/>
        <w:rPr>
          <w:rStyle w:val="PagrindinistekstasDiagrama"/>
          <w:bCs/>
        </w:rPr>
      </w:pPr>
      <w:r w:rsidRPr="00716259">
        <w:rPr>
          <w:rStyle w:val="PagrindinistekstasDiagrama"/>
          <w:bCs/>
          <w:lang w:bidi="en-US"/>
        </w:rPr>
        <w:t xml:space="preserve">Lietuvoje </w:t>
      </w:r>
      <w:r w:rsidRPr="00716259">
        <w:rPr>
          <w:rStyle w:val="PagrindinistekstasDiagrama"/>
          <w:bCs/>
        </w:rPr>
        <w:t xml:space="preserve">įsteigtai užsienio </w:t>
      </w:r>
      <w:r w:rsidRPr="00716259">
        <w:rPr>
          <w:rStyle w:val="PagrindinistekstasDiagrama"/>
          <w:bCs/>
          <w:lang w:bidi="en-US"/>
        </w:rPr>
        <w:t xml:space="preserve">vieneto nuolatinei buveinei priskiriamos </w:t>
      </w:r>
      <w:r w:rsidRPr="00716259">
        <w:rPr>
          <w:rStyle w:val="PagrindinistekstasDiagrama"/>
          <w:bCs/>
        </w:rPr>
        <w:t xml:space="preserve">sąnaudos </w:t>
      </w:r>
      <w:r w:rsidRPr="00716259">
        <w:rPr>
          <w:rStyle w:val="PagrindinistekstasDiagrama"/>
          <w:bCs/>
          <w:lang w:bidi="en-US"/>
        </w:rPr>
        <w:t xml:space="preserve">nustatomos vadovaujantis </w:t>
      </w:r>
      <w:r w:rsidRPr="00716259">
        <w:rPr>
          <w:rStyle w:val="PagrindinistekstasDiagrama"/>
          <w:bCs/>
        </w:rPr>
        <w:t xml:space="preserve">Atskaitymų, susijusių </w:t>
      </w:r>
      <w:r w:rsidRPr="00716259">
        <w:rPr>
          <w:rStyle w:val="PagrindinistekstasDiagrama"/>
          <w:bCs/>
          <w:lang w:bidi="en-US"/>
        </w:rPr>
        <w:t xml:space="preserve">su </w:t>
      </w:r>
      <w:r w:rsidRPr="00716259">
        <w:rPr>
          <w:rStyle w:val="PagrindinistekstasDiagrama"/>
          <w:bCs/>
        </w:rPr>
        <w:t xml:space="preserve">pajamų uždirbimu </w:t>
      </w:r>
      <w:r w:rsidRPr="00716259">
        <w:rPr>
          <w:rStyle w:val="PagrindinistekstasDiagrama"/>
          <w:bCs/>
          <w:lang w:bidi="en-US"/>
        </w:rPr>
        <w:t xml:space="preserve">per nuolatines buveines, nustatymo tvarka, patvirtinta Lietuvos Respublikos </w:t>
      </w:r>
      <w:r w:rsidRPr="00716259">
        <w:rPr>
          <w:rStyle w:val="PagrindinistekstasDiagrama"/>
          <w:bCs/>
        </w:rPr>
        <w:t xml:space="preserve">Vyriausybės </w:t>
      </w:r>
      <w:r w:rsidRPr="00716259">
        <w:rPr>
          <w:rStyle w:val="PagrindinistekstasDiagrama"/>
          <w:bCs/>
          <w:lang w:bidi="en-US"/>
        </w:rPr>
        <w:t>2002 m. kovo 5 d. nutarimu Nr. 321.</w:t>
      </w:r>
    </w:p>
    <w:p w14:paraId="06BA0C1D" w14:textId="77777777" w:rsidR="00704A6A" w:rsidRPr="00704A6A" w:rsidRDefault="00704A6A" w:rsidP="00704A6A">
      <w:pPr>
        <w:jc w:val="both"/>
        <w:rPr>
          <w:rFonts w:ascii="Trebuchet MS" w:hAnsi="Trebuchet MS"/>
          <w:sz w:val="20"/>
          <w:szCs w:val="22"/>
          <w:lang w:val="lt-LT"/>
        </w:rPr>
      </w:pPr>
      <w:r>
        <w:t>(PMĮ 2 straipsnio 22 dalies komentaras parengtas pagal VMI prie FM 2024-12-16 raštą Nr. (18.32-31-1 E) R-4514)</w:t>
      </w:r>
    </w:p>
    <w:p w14:paraId="2A6F5A60" w14:textId="77777777" w:rsidR="00586CCC" w:rsidRPr="00716259" w:rsidRDefault="00586CCC" w:rsidP="00586CCC">
      <w:pPr>
        <w:pStyle w:val="Pagrindinistekstas"/>
        <w:tabs>
          <w:tab w:val="left" w:pos="1023"/>
        </w:tabs>
        <w:ind w:left="580"/>
        <w:rPr>
          <w:b/>
          <w:strike/>
        </w:rPr>
      </w:pPr>
    </w:p>
    <w:p w14:paraId="0CEAE44D" w14:textId="77777777" w:rsidR="00586CCC" w:rsidRPr="00C074BE" w:rsidRDefault="00586CCC" w:rsidP="00C074BE">
      <w:pPr>
        <w:ind w:firstLine="540"/>
        <w:jc w:val="both"/>
        <w:rPr>
          <w:b/>
          <w:lang w:val="lt-LT"/>
        </w:rPr>
      </w:pPr>
    </w:p>
    <w:p w14:paraId="2A452621" w14:textId="77777777" w:rsidR="00093845" w:rsidRDefault="000D779E">
      <w:pPr>
        <w:ind w:firstLine="540"/>
        <w:jc w:val="both"/>
        <w:rPr>
          <w:b/>
          <w:lang w:val="lt-LT"/>
        </w:rPr>
      </w:pPr>
      <w:r>
        <w:rPr>
          <w:b/>
          <w:lang w:val="lt-LT"/>
        </w:rPr>
        <w:t>23. Nuolatinis Lietuvos gyventojas – kaip ši sąvoka apibrėžta Lietuvos Respublikos gyventojų pajamų mokesčio įstatyme.</w:t>
      </w:r>
    </w:p>
    <w:p w14:paraId="39D496C2" w14:textId="77777777" w:rsidR="00093845" w:rsidRPr="0065344A" w:rsidRDefault="000D779E">
      <w:pPr>
        <w:tabs>
          <w:tab w:val="left" w:pos="720"/>
          <w:tab w:val="left" w:pos="1080"/>
        </w:tabs>
        <w:ind w:right="-5" w:firstLine="540"/>
        <w:jc w:val="both"/>
        <w:rPr>
          <w:b/>
          <w:lang w:val="lt-LT"/>
        </w:rPr>
      </w:pPr>
      <w:r w:rsidRPr="0065344A">
        <w:rPr>
          <w:b/>
          <w:lang w:val="lt-LT"/>
        </w:rPr>
        <w:t>Komentaras</w:t>
      </w:r>
    </w:p>
    <w:p w14:paraId="2BA850FE" w14:textId="77777777" w:rsidR="00093845" w:rsidRPr="0065344A" w:rsidRDefault="000D779E">
      <w:pPr>
        <w:ind w:right="-50" w:firstLine="540"/>
        <w:jc w:val="both"/>
        <w:rPr>
          <w:lang w:val="lt-LT"/>
        </w:rPr>
      </w:pPr>
      <w:r w:rsidRPr="0065344A">
        <w:rPr>
          <w:lang w:val="lt-LT"/>
        </w:rPr>
        <w:t xml:space="preserve">1. Lietuvos Respublikos </w:t>
      </w:r>
      <w:r w:rsidR="009B63B7"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4 straipsnyje nurodyta, kokie fiziniai asmenys laikomi nuolatiniais Lietuvos gyventojais.</w:t>
      </w:r>
    </w:p>
    <w:p w14:paraId="7337E2CF" w14:textId="77777777" w:rsidR="00093845" w:rsidRDefault="000D779E">
      <w:pPr>
        <w:ind w:firstLine="720"/>
        <w:jc w:val="both"/>
        <w:rPr>
          <w:b/>
          <w:lang w:val="lt-LT"/>
        </w:rPr>
      </w:pPr>
      <w:r>
        <w:rPr>
          <w:bCs/>
          <w:lang w:val="lt-LT"/>
        </w:rPr>
        <w:t>(</w:t>
      </w:r>
      <w:r w:rsidR="00482DDD">
        <w:rPr>
          <w:bCs/>
          <w:lang w:val="lt-LT"/>
        </w:rPr>
        <w:t xml:space="preserve">Papildyta </w:t>
      </w:r>
      <w:r>
        <w:rPr>
          <w:bCs/>
          <w:lang w:val="lt-LT"/>
        </w:rPr>
        <w:t>pagal 2009-09-08 VMI prie FM raštą Nr. (18.-10-31-1)-R-8626).</w:t>
      </w:r>
    </w:p>
    <w:p w14:paraId="4205046D" w14:textId="77777777" w:rsidR="00093845" w:rsidRDefault="000D779E" w:rsidP="001651A3">
      <w:pPr>
        <w:spacing w:after="0"/>
        <w:jc w:val="both"/>
        <w:rPr>
          <w:b/>
          <w:lang w:val="lt-LT"/>
        </w:rPr>
      </w:pPr>
      <w:r>
        <w:rPr>
          <w:b/>
          <w:lang w:val="lt-LT"/>
        </w:rPr>
        <w:t xml:space="preserve">             24. </w:t>
      </w:r>
      <w:r>
        <w:rPr>
          <w:b/>
          <w:bCs/>
          <w:lang w:val="lt-LT"/>
        </w:rPr>
        <w:t xml:space="preserve">Pajamos </w:t>
      </w:r>
      <w:r>
        <w:rPr>
          <w:b/>
          <w:lang w:val="lt-LT"/>
        </w:rPr>
        <w:t>– visos iš Lietuvos ir ne Lietuvos šaltinių uždirbtos ir (arba) gautos visų rūšių pajamos pinigais ir (arba) ne pinigais.</w:t>
      </w:r>
    </w:p>
    <w:p w14:paraId="5587B2B9" w14:textId="77777777" w:rsidR="001651A3" w:rsidRPr="0067677F" w:rsidRDefault="001651A3" w:rsidP="001651A3">
      <w:pPr>
        <w:spacing w:after="0"/>
        <w:jc w:val="both"/>
        <w:rPr>
          <w:i/>
          <w:lang w:val="lt-LT"/>
        </w:rPr>
      </w:pPr>
      <w:r w:rsidRPr="0067677F">
        <w:rPr>
          <w:i/>
          <w:lang w:val="lt-LT"/>
        </w:rPr>
        <w:t>(KEISTA: 2008 07 14 įstatymu Nr. IX-1697</w:t>
      </w:r>
      <w:r w:rsidR="00F31096" w:rsidRPr="0067677F">
        <w:rPr>
          <w:i/>
          <w:lang w:val="lt-LT"/>
        </w:rPr>
        <w:t>,</w:t>
      </w:r>
      <w:r w:rsidRPr="0067677F">
        <w:rPr>
          <w:i/>
          <w:lang w:val="lt-LT"/>
        </w:rPr>
        <w:t xml:space="preserve"> taikoma nuo 2009 m. sausio 1 d.)</w:t>
      </w:r>
    </w:p>
    <w:p w14:paraId="51E036FA" w14:textId="77777777" w:rsidR="00843F2F" w:rsidRPr="0067677F" w:rsidRDefault="00843F2F" w:rsidP="001651A3">
      <w:pPr>
        <w:spacing w:after="0"/>
        <w:jc w:val="both"/>
        <w:rPr>
          <w:i/>
          <w:lang w:val="lt-LT"/>
        </w:rPr>
      </w:pPr>
    </w:p>
    <w:p w14:paraId="21A9F182" w14:textId="77777777" w:rsidR="00093845" w:rsidRDefault="000D779E">
      <w:pPr>
        <w:tabs>
          <w:tab w:val="left" w:pos="720"/>
          <w:tab w:val="left" w:pos="1080"/>
        </w:tabs>
        <w:ind w:right="-5" w:firstLine="720"/>
        <w:jc w:val="both"/>
        <w:rPr>
          <w:b/>
          <w:lang w:val="lt-LT"/>
        </w:rPr>
      </w:pPr>
      <w:r>
        <w:rPr>
          <w:b/>
          <w:lang w:val="lt-LT"/>
        </w:rPr>
        <w:t>Komentaras</w:t>
      </w:r>
    </w:p>
    <w:p w14:paraId="0FA2D628" w14:textId="77777777" w:rsidR="00843F2F" w:rsidRDefault="000D779E" w:rsidP="00843F2F">
      <w:pPr>
        <w:tabs>
          <w:tab w:val="left" w:pos="720"/>
          <w:tab w:val="left" w:pos="1080"/>
        </w:tabs>
        <w:ind w:right="-5"/>
        <w:jc w:val="both"/>
        <w:rPr>
          <w:lang w:val="lt-LT"/>
        </w:rPr>
      </w:pPr>
      <w:r>
        <w:rPr>
          <w:lang w:val="lt-LT"/>
        </w:rPr>
        <w:tab/>
      </w:r>
      <w:r w:rsidR="00843F2F" w:rsidRPr="00620536">
        <w:rPr>
          <w:lang w:val="lt-LT"/>
        </w:rPr>
        <w:t>1.</w:t>
      </w:r>
      <w:r w:rsidR="00843F2F">
        <w:rPr>
          <w:lang w:val="lt-LT"/>
        </w:rPr>
        <w:t xml:space="preserve"> Pagal šios dalies nuostatas pajamos yra iš Lietuvos šaltinių ir iš ne Lietuvos šaltinių (t.y. iš užsienio valstybėse esančių šaltinių) uždirbtos ir (arba) gautos pajamos. Pajamomis nelaikomos trečiųjų asmenų vardu gautos sumos, savininkų (akcininkų) įnašai ir į biudžetą mokėtinas pridėtinės vertės mokestis (pardavimo PVM).</w:t>
      </w:r>
    </w:p>
    <w:p w14:paraId="74FE6C68" w14:textId="77777777" w:rsidR="00843F2F" w:rsidRDefault="00843F2F" w:rsidP="00843F2F">
      <w:pPr>
        <w:tabs>
          <w:tab w:val="left" w:pos="720"/>
          <w:tab w:val="left" w:pos="1080"/>
        </w:tabs>
        <w:ind w:right="-5"/>
        <w:jc w:val="both"/>
        <w:rPr>
          <w:lang w:val="lt-LT"/>
        </w:rPr>
      </w:pPr>
      <w:r>
        <w:rPr>
          <w:lang w:val="lt-LT"/>
        </w:rPr>
        <w:tab/>
        <w:t xml:space="preserve">Lietuvos vienetas moka pelno mokestį nuo visų pajamų, t. y. iš Lietuvos ir užsienio šaltinių, o užsienio vienetas - tik nuo pajamų iš Lietuvos šaltinių, įskaitant atvejus, kai uždirba (gauna) pajamų iš užsienio šaltinių, susijusių su Lietuvoje vykdoma veikla. Pajamų, kurių šaltinis yra Lietuvos Respublikos teritorijoje, sąvoka apibrėžta PMĮ </w:t>
      </w:r>
      <w:r w:rsidRPr="00620536">
        <w:rPr>
          <w:lang w:val="lt-LT"/>
        </w:rPr>
        <w:t>2 str. 26 dalyje, o pajamų, kurių šaltinis yra ne Lietuvos Respublikos teritorijoje, – PMĮ 2 str. 27 dalyje</w:t>
      </w:r>
      <w:r>
        <w:rPr>
          <w:lang w:val="lt-LT"/>
        </w:rPr>
        <w:t>.</w:t>
      </w:r>
    </w:p>
    <w:p w14:paraId="5F91D49B" w14:textId="77777777" w:rsidR="00843F2F" w:rsidRPr="00A52447" w:rsidRDefault="00843F2F" w:rsidP="00843F2F">
      <w:pPr>
        <w:tabs>
          <w:tab w:val="left" w:pos="720"/>
          <w:tab w:val="left" w:pos="1080"/>
        </w:tabs>
        <w:ind w:firstLine="720"/>
        <w:jc w:val="both"/>
        <w:rPr>
          <w:strike/>
          <w:lang w:val="lt-LT"/>
        </w:rPr>
      </w:pPr>
      <w:r>
        <w:rPr>
          <w:lang w:val="lt-LT"/>
        </w:rPr>
        <w:t xml:space="preserve">Jei Lietuvos vienetas užsienio valstybėje vykdo veiklą (pvz., toje užsienio valstybėje turi filialą, </w:t>
      </w:r>
      <w:r w:rsidRPr="00A52447">
        <w:rPr>
          <w:lang w:val="lt-LT"/>
        </w:rPr>
        <w:t>skyrių</w:t>
      </w:r>
      <w:r>
        <w:rPr>
          <w:lang w:val="lt-LT"/>
        </w:rPr>
        <w:t xml:space="preserve"> arba pagal sutartį toje užsienio valstybėje vykdo statybos ar kitokią veiklą), iš kurios gauna pajamų, tai jis į savo pajamas turi įtraukti ir toje užsienio valstybėje uždirbtas pajamas. Jei užsienio vienetas turi nuolatinę buveinę Lietuvos Respublikos teritorijoje, per kurią vykdo savo veiklą, tai tos nuolatinės buveinės pajamas sudaro ne tik pajamos, uždirbtos iš jo veiklos Lietuvos Respublikos teritorijoje, bet ir pajamos, uždirbtos iš tos nuolatinės buveinės veiklos užsienio valstybėse.</w:t>
      </w:r>
    </w:p>
    <w:p w14:paraId="78961DD7" w14:textId="77777777" w:rsidR="00843F2F" w:rsidRDefault="00843F2F" w:rsidP="00843F2F">
      <w:pPr>
        <w:tabs>
          <w:tab w:val="left" w:pos="720"/>
          <w:tab w:val="left" w:pos="1080"/>
        </w:tabs>
        <w:ind w:firstLine="720"/>
        <w:jc w:val="both"/>
        <w:rPr>
          <w:lang w:val="lt-LT"/>
        </w:rPr>
      </w:pPr>
      <w:r w:rsidRPr="00620536">
        <w:rPr>
          <w:lang w:val="lt-LT"/>
        </w:rPr>
        <w:lastRenderedPageBreak/>
        <w:t>2.</w:t>
      </w:r>
      <w:r>
        <w:rPr>
          <w:lang w:val="lt-LT"/>
        </w:rPr>
        <w:t xml:space="preserve"> Pajamos – tai vieneto ekonominės naudos padidėjimas per ataskaitinį laikotarpį, t. y. vieneto turto padidėjimas arba įsipareigojimų sumažėjimas, kai dėl to padidėja nuosavas kapitalas, išskyrus papildomus savininkų įnašus.</w:t>
      </w:r>
    </w:p>
    <w:p w14:paraId="3203B1A6" w14:textId="77777777" w:rsidR="00843F2F" w:rsidRDefault="00843F2F" w:rsidP="00843F2F">
      <w:pPr>
        <w:tabs>
          <w:tab w:val="left" w:pos="720"/>
          <w:tab w:val="left" w:pos="1080"/>
        </w:tabs>
        <w:ind w:firstLine="720"/>
        <w:jc w:val="both"/>
        <w:rPr>
          <w:lang w:val="lt-LT"/>
        </w:rPr>
      </w:pPr>
      <w:r>
        <w:rPr>
          <w:lang w:val="lt-LT"/>
        </w:rPr>
        <w:t>Pajamos pripažįstamos pagal kaupimo principą, t. y. apskaitoje registruojamos tada, kai jos uždirbamos, neatsižvelgiant į pinigų gavimo momentą, išskyrus tuos atvejus, kai pajamos pripažįstamos pagal pinigų apskaitos principą. Pajamų pripažinimo pagal pinigų apskaitos principą ir šio principo taikymo tvarka išdėstyta PMĮ 8 ir 9 straipsniuose.</w:t>
      </w:r>
    </w:p>
    <w:p w14:paraId="52C3008D" w14:textId="77777777" w:rsidR="00843F2F" w:rsidRDefault="00843F2F" w:rsidP="00843F2F">
      <w:pPr>
        <w:tabs>
          <w:tab w:val="left" w:pos="720"/>
          <w:tab w:val="left" w:pos="1080"/>
        </w:tabs>
        <w:ind w:firstLine="720"/>
        <w:jc w:val="both"/>
        <w:rPr>
          <w:lang w:val="lt-LT"/>
        </w:rPr>
      </w:pPr>
      <w:r>
        <w:rPr>
          <w:lang w:val="lt-LT"/>
        </w:rPr>
        <w:t>Vienetai pajamoms pripažinti taiko buhalterinėje apskaitoje taikomus visuotinai pripažintus pajamų pripažinimo metodus, jei PMĮ nenustato ko kita.</w:t>
      </w:r>
    </w:p>
    <w:p w14:paraId="1DF8F37F" w14:textId="77777777" w:rsidR="00843F2F" w:rsidRDefault="00843F2F" w:rsidP="00843F2F">
      <w:pPr>
        <w:tabs>
          <w:tab w:val="left" w:pos="720"/>
          <w:tab w:val="left" w:pos="1080"/>
        </w:tabs>
        <w:jc w:val="both"/>
        <w:rPr>
          <w:lang w:val="lt-LT"/>
        </w:rPr>
      </w:pPr>
      <w:r>
        <w:rPr>
          <w:lang w:val="lt-LT"/>
        </w:rPr>
        <w:tab/>
      </w:r>
      <w:r w:rsidRPr="00620536">
        <w:rPr>
          <w:lang w:val="lt-LT"/>
        </w:rPr>
        <w:t>3</w:t>
      </w:r>
      <w:r w:rsidRPr="00272486">
        <w:rPr>
          <w:b/>
          <w:lang w:val="lt-LT"/>
        </w:rPr>
        <w:t>.</w:t>
      </w:r>
      <w:r>
        <w:rPr>
          <w:lang w:val="lt-LT"/>
        </w:rPr>
        <w:t xml:space="preserve"> Kai kuriais atvejais vieneto pajamos nustatomos pagal specialias PMĮ (pvz., PMĮ 38 ir 40 straipsniuose) nustatytas taisykles, o kai kuriais atvejais faktiškai gautos pajamos į vieneto pajamas neįtraukiamos (pvz., pagal PMĮ 33 str. 4 dalies ir 35 str. 3 dalies nuostatas Lietuvos vienetai į pajamas neįtraukia iš kitų Lietuvos vienetų ar užsienio vienetų gautų dividendų, jei jie apmokestinti PMĮ nustatyta tvarka).</w:t>
      </w:r>
    </w:p>
    <w:p w14:paraId="72A2138B" w14:textId="77777777" w:rsidR="00843F2F" w:rsidRPr="00B7407C" w:rsidRDefault="00843F2F" w:rsidP="00843F2F">
      <w:pPr>
        <w:tabs>
          <w:tab w:val="left" w:pos="720"/>
          <w:tab w:val="left" w:pos="1080"/>
        </w:tabs>
        <w:ind w:firstLine="720"/>
        <w:jc w:val="both"/>
        <w:rPr>
          <w:rFonts w:ascii="Trebuchet MS" w:hAnsi="Trebuchet MS"/>
          <w:color w:val="000000"/>
          <w:sz w:val="22"/>
          <w:szCs w:val="22"/>
          <w:lang w:val="lt-LT"/>
        </w:rPr>
      </w:pPr>
      <w:r w:rsidRPr="00B7407C">
        <w:rPr>
          <w:lang w:val="lt-LT"/>
        </w:rPr>
        <w:t xml:space="preserve">4. Pelno nesiekiančių vienetų pajamos yra iš Lietuvos šaltinių ir iš ne Lietuvos šaltinių, t. y. iš užsienio valstybėse esančių šaltinių, uždirbtos ir (arba) gautos pajamos (žr. šios dalies komentaro 1-3 punktus), įskaitant pajamas, gautas vykdant viešąjį interesą tenkinančią veiklą. </w:t>
      </w:r>
    </w:p>
    <w:p w14:paraId="4ED4B57B"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B7407C">
        <w:rPr>
          <w:bCs/>
          <w:lang w:val="lt-LT"/>
        </w:rPr>
        <w:t>Pelno nesiekiančių vienetų pajamoms</w:t>
      </w:r>
      <w:r w:rsidRPr="00B7407C">
        <w:rPr>
          <w:lang w:val="lt-LT"/>
        </w:rPr>
        <w:t xml:space="preserve"> nepriskiriamos valstybės arba savivaldybių biudžetų, Europos Sąjungos, Lietuvos ir užsienio paramos fondų arba kitų juridinių ir fizinių asmenų parama, tikslinės lėšos ir (arba) materialinė pagalba, kuri naudojama pelno nesiekiančio vieneto įstatuose nustatytų tikslų įgyvendinimo finansavimui.</w:t>
      </w:r>
    </w:p>
    <w:p w14:paraId="5142FE6F"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Pelno nesiekiančio vieneto finansavimo sumų šaltiniai gali būti:</w:t>
      </w:r>
    </w:p>
    <w:p w14:paraId="1227BE7F"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tikslinis finansavimas iš valstybės ir savivaldybės biudžetų bei iš kitų šaltinių (</w:t>
      </w:r>
      <w:r w:rsidRPr="00B7407C">
        <w:rPr>
          <w:lang w:val="lt-LT"/>
        </w:rPr>
        <w:t>Europos Sąjungos, užsienio valstybių ir jų įsteigtų fondų ir kt.), gautos lėšos, skirtos programoms įgyvendinti arba kitiems tikslams</w:t>
      </w:r>
      <w:r w:rsidRPr="00B7407C">
        <w:rPr>
          <w:bCs/>
          <w:lang w:val="lt-LT"/>
        </w:rPr>
        <w:t>, pavyzdžiui švietimo įstaigų iš biudžeto gautas finansavimas (klasės krepšelis);</w:t>
      </w:r>
    </w:p>
    <w:p w14:paraId="19C3BD45"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juridinių ir fizinių asmenų parama;</w:t>
      </w:r>
    </w:p>
    <w:p w14:paraId="0540BD36"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nario mokesčiai;</w:t>
      </w:r>
    </w:p>
    <w:p w14:paraId="1FA77C7D"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bendrijų narių tiksliniai įnašai ir įmokos, pavyzdžiui, daugiabučių namų savininkų bendrijų butų savininkų įnašai namo remontui bei renovacijai;</w:t>
      </w:r>
    </w:p>
    <w:p w14:paraId="775F7FE7"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 xml:space="preserve"> -  kitas finansavimas.</w:t>
      </w:r>
    </w:p>
    <w:p w14:paraId="25BABF79"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Paramos gavėjo statusą įgijusių pelno nesiekiančių vienetų pajamoms taip pat nepriskiriama juridinių ar fizinių asmenų suteikta parama, išskyrus PMĮ 4 str. 6 dalyje nustatytas išimtis. Pagal LPĮ 10 straipsnį paramos gavėjai gautą paramą gali naudoti savo įstatuose ar nuostatuose arba religinių bendruomenių, bendrijų ir centrų kanonuose, statutuose ir kitose normose numatytiems LPĮ 3 straipsnio 3 dalyje nurodytiems visuomenei naudingiems tikslams, labdarai.</w:t>
      </w:r>
    </w:p>
    <w:p w14:paraId="085056DB" w14:textId="77777777" w:rsidR="00843F2F" w:rsidRPr="00B7407C"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B7407C">
        <w:rPr>
          <w:bCs/>
          <w:lang w:val="lt-LT"/>
        </w:rPr>
        <w:t>Jeigu, vadovaujantis LPĮ 13 straipsniu, paramos gavėjo statusas panaikinamas, tai nepanaudotas gautos paramos likutis priskiriamas pelno nesiekiančio vieneto pajamoms tą mokestinį laikotarpį, kurį paramos gavėjo statusas panaikinamas.</w:t>
      </w:r>
    </w:p>
    <w:p w14:paraId="0D20D77E" w14:textId="77777777" w:rsidR="00843F2F" w:rsidRDefault="00843F2F" w:rsidP="00843F2F">
      <w:pPr>
        <w:pStyle w:val="Porat"/>
        <w:tabs>
          <w:tab w:val="left" w:pos="1296"/>
        </w:tabs>
        <w:rPr>
          <w:rFonts w:ascii="Times New Roman" w:hAnsi="Times New Roman" w:cs="Times New Roman"/>
        </w:rPr>
      </w:pPr>
      <w:r>
        <w:rPr>
          <w:rFonts w:ascii="Times New Roman" w:hAnsi="Times New Roman" w:cs="Times New Roman"/>
          <w:lang w:val="lt-LT"/>
        </w:rPr>
        <w:t xml:space="preserve"> (Pakeista pagal VMI prie FM 2019-05-14 raštą Nr. </w:t>
      </w:r>
      <w:r>
        <w:rPr>
          <w:rFonts w:ascii="Trebuchet MS" w:hAnsi="Trebuchet MS"/>
          <w:color w:val="000000"/>
          <w:sz w:val="22"/>
          <w:szCs w:val="22"/>
        </w:rPr>
        <w:t xml:space="preserve">(32.42-31-1E) </w:t>
      </w:r>
      <w:r w:rsidRPr="00F81D3C">
        <w:rPr>
          <w:rFonts w:ascii="Trebuchet MS" w:hAnsi="Trebuchet MS"/>
          <w:color w:val="000000"/>
          <w:sz w:val="22"/>
          <w:szCs w:val="22"/>
        </w:rPr>
        <w:t>RM-</w:t>
      </w:r>
      <w:r>
        <w:rPr>
          <w:rFonts w:ascii="Trebuchet MS" w:hAnsi="Trebuchet MS"/>
          <w:color w:val="000000"/>
          <w:sz w:val="22"/>
          <w:szCs w:val="22"/>
        </w:rPr>
        <w:t>15145</w:t>
      </w:r>
    </w:p>
    <w:p w14:paraId="3FF7BEA3" w14:textId="77777777" w:rsidR="00922FEB" w:rsidRPr="00085CAE" w:rsidRDefault="00922FEB" w:rsidP="00922FEB">
      <w:pPr>
        <w:tabs>
          <w:tab w:val="left" w:pos="9638"/>
        </w:tabs>
        <w:jc w:val="both"/>
        <w:rPr>
          <w:b/>
          <w:lang w:val="lt-LT" w:eastAsia="lt-LT"/>
        </w:rPr>
      </w:pPr>
      <w:r>
        <w:rPr>
          <w:b/>
        </w:rPr>
        <w:t xml:space="preserve">           </w:t>
      </w:r>
      <w:r w:rsidR="000D779E">
        <w:rPr>
          <w:b/>
        </w:rPr>
        <w:t xml:space="preserve">25. </w:t>
      </w:r>
      <w:r w:rsidRPr="00085CAE">
        <w:rPr>
          <w:b/>
          <w:bCs/>
          <w:lang w:val="lt-LT" w:eastAsia="lt-LT"/>
        </w:rPr>
        <w:t>Pajamos iš paskirstytojo pelno</w:t>
      </w:r>
      <w:r w:rsidRPr="00085CAE">
        <w:rPr>
          <w:b/>
          <w:lang w:val="lt-LT" w:eastAsia="lt-LT"/>
        </w:rPr>
        <w:t xml:space="preserve"> - pajamos, įskaitant dividendus, gaunamos skirstant pelną vieneto dalyviams. Kai neribotos civilinės atsakomybės vieneto pelnas, apmokestinamas </w:t>
      </w:r>
      <w:r w:rsidRPr="00085CAE">
        <w:rPr>
          <w:b/>
          <w:lang w:val="lt-LT" w:eastAsia="lt-LT"/>
        </w:rPr>
        <w:lastRenderedPageBreak/>
        <w:t>pelno mokesčiu pagal šį Įstatymą, šio vieneto dalyvio gautos pajamos ar jam priklausančio turto paėmimas iš vieneto nelaikomas pelno paskirstymu. Neribotos civilinės atsakomybės kolektyvinio investavimo subjekto, neribotos civilinės atsakomybės rizikos ir privataus kapitalo subjekto dalyvio gautos pajamos ar jam priklausančio turto paėmimas iš tokio vieneto taip pat nelaikomas pelno paskirstymu, išskyrus atvejus, kai iš neribotos civilinės atsakomybės kolektyvinio investavimo subjekto, neribotos civilinės atsakomybės rizikos ir privataus kapitalo subjekto tokias pajamas gauna ar turtą taip paima užsienio vienetas, įregistruotas ar kitaip organizuotas tikslinėje teritorijoje.</w:t>
      </w:r>
    </w:p>
    <w:p w14:paraId="1E594018" w14:textId="77777777" w:rsidR="00A914BC" w:rsidRPr="00922FEB" w:rsidRDefault="00922FEB" w:rsidP="00922FEB">
      <w:pPr>
        <w:tabs>
          <w:tab w:val="left" w:pos="9638"/>
        </w:tabs>
        <w:jc w:val="both"/>
        <w:rPr>
          <w:color w:val="000000" w:themeColor="text1"/>
          <w:lang w:val="lt-LT" w:eastAsia="lt-LT"/>
        </w:rPr>
      </w:pPr>
      <w:r w:rsidRPr="00085CAE">
        <w:rPr>
          <w:color w:val="000000" w:themeColor="text1"/>
          <w:lang w:val="lt-LT" w:eastAsia="lt-LT"/>
        </w:rPr>
        <w:t xml:space="preserve">          (2017 m. gruodžio 7 d. įstatymo Nr. XIII-842 redakcija; taikoma nuo 2018-01-01).</w:t>
      </w:r>
    </w:p>
    <w:p w14:paraId="60FC9A21" w14:textId="77777777" w:rsidR="00093845" w:rsidRDefault="000D779E" w:rsidP="009C0219">
      <w:pPr>
        <w:pStyle w:val="Pagrindiniotekstotrauka"/>
        <w:tabs>
          <w:tab w:val="left" w:pos="720"/>
          <w:tab w:val="left" w:pos="1080"/>
        </w:tabs>
        <w:rPr>
          <w:b/>
          <w:iCs/>
        </w:rPr>
      </w:pPr>
      <w:r>
        <w:rPr>
          <w:b/>
          <w:iCs/>
        </w:rPr>
        <w:t>Komentaras</w:t>
      </w:r>
    </w:p>
    <w:p w14:paraId="55B1D3C8" w14:textId="77777777" w:rsidR="00922FEB" w:rsidRPr="00085CAE" w:rsidRDefault="00922FEB" w:rsidP="00922FEB">
      <w:pPr>
        <w:tabs>
          <w:tab w:val="left" w:pos="720"/>
        </w:tabs>
        <w:ind w:firstLine="567"/>
        <w:jc w:val="both"/>
        <w:rPr>
          <w:lang w:val="lt-LT" w:eastAsia="lt-LT"/>
        </w:rPr>
      </w:pPr>
      <w:r w:rsidRPr="00085CAE">
        <w:rPr>
          <w:lang w:val="lt-LT" w:eastAsia="lt-LT"/>
        </w:rPr>
        <w:t xml:space="preserve">  1. Pagal šios dalies nuostatas vieneto pajamomis iš paskirstytojo pelno laikomi dividendai ir kitokios iš kitų vienetų gaunamos paskirstytojo pelno sumos.</w:t>
      </w:r>
    </w:p>
    <w:p w14:paraId="221679CC" w14:textId="77777777" w:rsidR="00922FEB" w:rsidRPr="00085CAE" w:rsidRDefault="00922FEB" w:rsidP="00922FEB">
      <w:pPr>
        <w:tabs>
          <w:tab w:val="left" w:pos="720"/>
        </w:tabs>
        <w:ind w:firstLine="709"/>
        <w:jc w:val="both"/>
        <w:rPr>
          <w:lang w:val="lt-LT" w:eastAsia="lt-LT"/>
        </w:rPr>
      </w:pPr>
      <w:r w:rsidRPr="00085CAE">
        <w:rPr>
          <w:lang w:val="lt-LT" w:eastAsia="lt-LT"/>
        </w:rPr>
        <w:t>2. Vienetų, išskyrus akcines bendroves, pagal jų veiklą reguliuojančius įstatymus pelno paskirstymo procese jų dalyviams priskiriama pelno dalis, teisiškai neįforminama kaip dividendai, PMĮ taip pat laikoma dividendais ir apmokestinama ta pačia tvarka. Pavyzdžiui, Kredito unijų įstatymo 40 straipsnio 4 dalies 6 punkte</w:t>
      </w:r>
      <w:r w:rsidRPr="00085CAE">
        <w:rPr>
          <w:b/>
          <w:lang w:val="lt-LT" w:eastAsia="lt-LT"/>
        </w:rPr>
        <w:t xml:space="preserve"> </w:t>
      </w:r>
      <w:r w:rsidRPr="00085CAE">
        <w:rPr>
          <w:lang w:val="lt-LT" w:eastAsia="lt-LT"/>
        </w:rPr>
        <w:t xml:space="preserve">nustatyta, kad kredito unijos nariams (pajininkams) pelno dalis skiriama apyvartai proporcingoms išmokoms ir (arba) dividendams mokėti. Pelno dalis, skirta apyvartai proporcingoms išmokoms, išmokama premijomis ar kita kredito unijos įstatuose nustatyta išmokų forma. Todėl, kai kredito unijos pelno dalis išmokama premijomis kredito unijos nariams (pajininkams) - juridiniams asmenims, tai šios premijos prilyginamos dividendams. </w:t>
      </w:r>
    </w:p>
    <w:p w14:paraId="534B4E4A" w14:textId="77777777" w:rsidR="00922FEB" w:rsidRPr="00085CAE" w:rsidRDefault="00922FEB" w:rsidP="00922FEB">
      <w:pPr>
        <w:tabs>
          <w:tab w:val="left" w:pos="720"/>
        </w:tabs>
        <w:ind w:firstLine="709"/>
        <w:jc w:val="both"/>
        <w:rPr>
          <w:lang w:val="lt-LT" w:eastAsia="lt-LT"/>
        </w:rPr>
      </w:pPr>
      <w:r w:rsidRPr="00085CAE">
        <w:rPr>
          <w:lang w:val="lt-LT" w:eastAsia="lt-LT"/>
        </w:rPr>
        <w:t xml:space="preserve">3. Pajamomis iš paskirstytojo pelno taip pat laikomos vienetų iš kitų vienetų gautos pajamos pagal kitas (išskyrus turimas teises į akcijų, pajų ar kapitalo dalį) įgytas teises į tų vienetų pelną ar pajamų dalį. </w:t>
      </w:r>
    </w:p>
    <w:p w14:paraId="0B075C28" w14:textId="77777777" w:rsidR="00922FEB" w:rsidRPr="00085CAE" w:rsidRDefault="00922FEB" w:rsidP="00922FEB">
      <w:pPr>
        <w:tabs>
          <w:tab w:val="left" w:pos="720"/>
        </w:tabs>
        <w:ind w:firstLine="709"/>
        <w:jc w:val="both"/>
        <w:rPr>
          <w:lang w:val="lt-LT" w:eastAsia="lt-LT"/>
        </w:rPr>
      </w:pPr>
      <w:r w:rsidRPr="00085CAE">
        <w:rPr>
          <w:lang w:val="lt-LT" w:eastAsia="lt-LT"/>
        </w:rPr>
        <w:t>4. Pajamos iš paskirstytojo pelno PMĮ VII skyriuje nustatyta tvarka apmokestinamos kaip dividendai.</w:t>
      </w:r>
    </w:p>
    <w:p w14:paraId="346713E5" w14:textId="77777777" w:rsidR="00922FEB" w:rsidRPr="00085CAE" w:rsidRDefault="00922FEB" w:rsidP="00922FEB">
      <w:pPr>
        <w:tabs>
          <w:tab w:val="left" w:pos="720"/>
        </w:tabs>
        <w:ind w:firstLine="709"/>
        <w:jc w:val="both"/>
        <w:rPr>
          <w:lang w:val="lt-LT" w:eastAsia="lt-LT"/>
        </w:rPr>
      </w:pPr>
      <w:r w:rsidRPr="00085CAE">
        <w:rPr>
          <w:lang w:val="lt-LT" w:eastAsia="lt-LT"/>
        </w:rPr>
        <w:t xml:space="preserve">5. Šioje dalyje nustatyta, </w:t>
      </w:r>
      <w:r w:rsidRPr="00085CAE">
        <w:rPr>
          <w:color w:val="000000" w:themeColor="text1"/>
          <w:lang w:val="lt-LT" w:eastAsia="lt-LT"/>
        </w:rPr>
        <w:t xml:space="preserve">kad atvejais, kai neribotos </w:t>
      </w:r>
      <w:r w:rsidRPr="00085CAE">
        <w:rPr>
          <w:lang w:val="lt-LT" w:eastAsia="lt-LT"/>
        </w:rPr>
        <w:t>civilinės atsakomybės vieneto pelnas apmokestinamas PMĮ nustatyta tvarka, šio vieneto dalyvio (juridinio asmens) gautos pajamos ar jam priklausančio turto paėmimas iš vieneto nelaikomas pelno paskirstymu</w:t>
      </w:r>
      <w:r>
        <w:rPr>
          <w:lang w:val="lt-LT" w:eastAsia="lt-LT"/>
        </w:rPr>
        <w:t xml:space="preserve"> (žr. </w:t>
      </w:r>
      <w:r w:rsidRPr="00A937F8">
        <w:rPr>
          <w:lang w:val="lt-LT" w:eastAsia="lt-LT"/>
        </w:rPr>
        <w:t>PMĮ 12 str.</w:t>
      </w:r>
      <w:r>
        <w:rPr>
          <w:lang w:val="lt-LT" w:eastAsia="lt-LT"/>
        </w:rPr>
        <w:t xml:space="preserve"> </w:t>
      </w:r>
      <w:r w:rsidRPr="00A937F8">
        <w:rPr>
          <w:lang w:val="lt-LT" w:eastAsia="lt-LT"/>
        </w:rPr>
        <w:t>9 p.</w:t>
      </w:r>
      <w:r>
        <w:rPr>
          <w:lang w:val="lt-LT" w:eastAsia="lt-LT"/>
        </w:rPr>
        <w:t xml:space="preserve"> ir</w:t>
      </w:r>
      <w:r w:rsidRPr="00A937F8">
        <w:rPr>
          <w:lang w:val="lt-LT" w:eastAsia="lt-LT"/>
        </w:rPr>
        <w:t xml:space="preserve"> 32 str. 2 d.</w:t>
      </w:r>
      <w:r>
        <w:rPr>
          <w:lang w:val="lt-LT" w:eastAsia="lt-LT"/>
        </w:rPr>
        <w:t xml:space="preserve"> komentarą</w:t>
      </w:r>
      <w:r w:rsidRPr="00A937F8">
        <w:rPr>
          <w:lang w:val="lt-LT" w:eastAsia="lt-LT"/>
        </w:rPr>
        <w:t>)</w:t>
      </w:r>
      <w:r w:rsidRPr="00085CAE">
        <w:rPr>
          <w:lang w:val="lt-LT" w:eastAsia="lt-LT"/>
        </w:rPr>
        <w:t>.</w:t>
      </w:r>
    </w:p>
    <w:p w14:paraId="7172F5DB" w14:textId="77777777" w:rsidR="00922FEB" w:rsidRPr="00085CAE" w:rsidRDefault="00922FEB" w:rsidP="00922FEB">
      <w:pPr>
        <w:tabs>
          <w:tab w:val="left" w:pos="720"/>
        </w:tabs>
        <w:jc w:val="both"/>
        <w:rPr>
          <w:lang w:val="lt-LT" w:eastAsia="lt-LT"/>
        </w:rPr>
      </w:pPr>
      <w:r w:rsidRPr="00085CAE">
        <w:rPr>
          <w:lang w:val="lt-LT" w:eastAsia="lt-LT"/>
        </w:rPr>
        <w:t xml:space="preserve">            6. Pasibaigus ūkiniams metams, ūkinės bendrijos sudaro finansinių ataskaitų rinkinį ir pajamas paskirsto bendrijos nariams proporcingai jų įnašų dalims. Pajamų dalių išmokėjimas bendrijos nariams (arba pajamų dalių, kuriomis proporcingai padidinami jos narių pradiniai įnašai, palikimas bendrijoje) taip pat nelaikomas pelno paskirstymu</w:t>
      </w:r>
      <w:r>
        <w:rPr>
          <w:lang w:val="lt-LT" w:eastAsia="lt-LT"/>
        </w:rPr>
        <w:t xml:space="preserve"> (</w:t>
      </w:r>
      <w:r w:rsidRPr="00A937F8">
        <w:rPr>
          <w:lang w:val="lt-LT" w:eastAsia="lt-LT"/>
        </w:rPr>
        <w:t>žr. PMĮ 12 str. 9 p. ir 32 str. 2 d. komentarą)</w:t>
      </w:r>
      <w:r w:rsidRPr="00085CAE">
        <w:rPr>
          <w:lang w:val="lt-LT" w:eastAsia="lt-LT"/>
        </w:rPr>
        <w:t xml:space="preserve">. </w:t>
      </w:r>
    </w:p>
    <w:p w14:paraId="624EBF34" w14:textId="77777777" w:rsidR="00922FEB" w:rsidRPr="00085CAE" w:rsidRDefault="00922FEB" w:rsidP="00922FEB">
      <w:pPr>
        <w:tabs>
          <w:tab w:val="left" w:pos="720"/>
        </w:tabs>
        <w:ind w:firstLine="709"/>
        <w:jc w:val="both"/>
        <w:rPr>
          <w:lang w:val="lt-LT" w:eastAsia="lt-LT"/>
        </w:rPr>
      </w:pPr>
      <w:r w:rsidRPr="00085CAE">
        <w:rPr>
          <w:lang w:val="lt-LT" w:eastAsia="lt-LT"/>
        </w:rPr>
        <w:t>7. Remiantis PMĮ 32 str. 2 dalimi, paskirstytuoju pelnu taip pat nelaikomos iš vieneto lėšų arba dėl turto vertės padidėjimo vieneto dalyviams proporcingai jų turimų akcijų (dalių, pajų) skaičiui nemokamai išduotos akcijos (dalys, pajai) ir anksčiau išduotų akcijų nominalios vertės arba pajų vertės padidinimo suma</w:t>
      </w:r>
      <w:r>
        <w:rPr>
          <w:lang w:val="lt-LT" w:eastAsia="lt-LT"/>
        </w:rPr>
        <w:t xml:space="preserve"> (žr. PMĮ 32 str. 2 d. komentarą)</w:t>
      </w:r>
      <w:r w:rsidRPr="00085CAE">
        <w:rPr>
          <w:lang w:val="lt-LT" w:eastAsia="lt-LT"/>
        </w:rPr>
        <w:t>.</w:t>
      </w:r>
    </w:p>
    <w:p w14:paraId="020A166B" w14:textId="77777777" w:rsidR="00922FEB" w:rsidRPr="00085CAE" w:rsidRDefault="00922FEB" w:rsidP="00922FEB">
      <w:pPr>
        <w:tabs>
          <w:tab w:val="left" w:pos="720"/>
        </w:tabs>
        <w:ind w:firstLine="709"/>
        <w:jc w:val="both"/>
        <w:rPr>
          <w:lang w:val="lt-LT" w:eastAsia="lt-LT"/>
        </w:rPr>
      </w:pPr>
      <w:r w:rsidRPr="00085CAE">
        <w:rPr>
          <w:lang w:val="lt-LT" w:eastAsia="lt-LT"/>
        </w:rPr>
        <w:t>8. Neribotos civilinės atsakomybės KIS, neribotos civilinės atsakomybės rizikos ir privataus kapitalo subjekto dalyvių (juridinių asmenų) gaunamos pajamos ar jiems priklausančio turto paėmimas iš tokių vienetų nelaikomi pajamomis iš paskirstyto pelno, todėl nėra apmokestinamos PMĮ VII skyriuje nustatyta tvarka.</w:t>
      </w:r>
    </w:p>
    <w:p w14:paraId="580AC942" w14:textId="77777777" w:rsidR="00922FEB" w:rsidRDefault="002F3B82" w:rsidP="00922FEB">
      <w:pPr>
        <w:jc w:val="both"/>
        <w:rPr>
          <w:rFonts w:ascii="Trebuchet MS" w:hAnsi="Trebuchet MS"/>
          <w:sz w:val="20"/>
          <w:szCs w:val="22"/>
          <w:lang w:val="lt-LT"/>
        </w:rPr>
      </w:pPr>
      <w:r>
        <w:rPr>
          <w:iCs/>
          <w:lang w:eastAsia="lt-LT"/>
        </w:rPr>
        <w:t>(PMĮ 2  straipsnio 25</w:t>
      </w:r>
      <w:r w:rsidR="00922FEB">
        <w:rPr>
          <w:iCs/>
          <w:lang w:eastAsia="lt-LT"/>
        </w:rPr>
        <w:t xml:space="preserve"> dalies komentaras parengtas pagal VMI prie FM 2024-05-06 raštą Nr. (18.32-31-1 Mr)-R-1685)</w:t>
      </w:r>
    </w:p>
    <w:p w14:paraId="30D7C046" w14:textId="77777777" w:rsidR="00922FEB" w:rsidRDefault="00922FEB" w:rsidP="009C0219">
      <w:pPr>
        <w:pStyle w:val="Pagrindiniotekstotrauka"/>
        <w:tabs>
          <w:tab w:val="left" w:pos="720"/>
          <w:tab w:val="left" w:pos="1080"/>
        </w:tabs>
        <w:rPr>
          <w:b/>
          <w:iCs/>
        </w:rPr>
      </w:pPr>
    </w:p>
    <w:p w14:paraId="5FF7F8FF" w14:textId="77777777" w:rsidR="00093845" w:rsidRDefault="000D779E" w:rsidP="000E70F6">
      <w:pPr>
        <w:spacing w:after="0"/>
        <w:ind w:firstLine="720"/>
        <w:jc w:val="both"/>
        <w:rPr>
          <w:b/>
          <w:lang w:val="lt-LT"/>
        </w:rPr>
      </w:pPr>
      <w:r>
        <w:rPr>
          <w:b/>
          <w:lang w:val="lt-LT"/>
        </w:rPr>
        <w:t xml:space="preserve">26. </w:t>
      </w:r>
      <w:r>
        <w:rPr>
          <w:b/>
          <w:bCs/>
          <w:lang w:val="lt-LT"/>
        </w:rPr>
        <w:t>Pajamos, kurių šaltinis yra Lietuvos Respublikos teritorijoje (</w:t>
      </w:r>
      <w:r>
        <w:rPr>
          <w:b/>
          <w:lang w:val="lt-LT"/>
        </w:rPr>
        <w:t>toliau</w:t>
      </w:r>
      <w:r>
        <w:rPr>
          <w:b/>
          <w:bCs/>
          <w:lang w:val="lt-LT"/>
        </w:rPr>
        <w:t xml:space="preserve"> </w:t>
      </w:r>
      <w:r>
        <w:rPr>
          <w:b/>
          <w:lang w:val="lt-LT"/>
        </w:rPr>
        <w:t xml:space="preserve">– </w:t>
      </w:r>
      <w:r>
        <w:rPr>
          <w:b/>
          <w:bCs/>
          <w:lang w:val="lt-LT"/>
        </w:rPr>
        <w:t>pajamos, kurių šaltinis yra Lietuvos Respublikoje</w:t>
      </w:r>
      <w:r>
        <w:rPr>
          <w:b/>
          <w:lang w:val="lt-LT"/>
        </w:rPr>
        <w:t>):</w:t>
      </w:r>
    </w:p>
    <w:p w14:paraId="471837FC" w14:textId="77777777" w:rsidR="00E14BEB" w:rsidRDefault="00A914BC" w:rsidP="00A914BC">
      <w:pPr>
        <w:spacing w:after="0"/>
        <w:jc w:val="both"/>
        <w:rPr>
          <w:i/>
          <w:lang w:val="lt-LT"/>
        </w:rPr>
      </w:pPr>
      <w:r>
        <w:rPr>
          <w:i/>
          <w:lang w:val="lt-LT"/>
        </w:rPr>
        <w:t>(S</w:t>
      </w:r>
      <w:r w:rsidR="00E14BEB" w:rsidRPr="0067677F">
        <w:rPr>
          <w:i/>
          <w:lang w:val="lt-LT"/>
        </w:rPr>
        <w:t>traipsnio dalies numeracija nuo 2009-01-01 pakeista pagal 2008 m. liepos 14 d. įstatymą Nr. IX-1697; taikoma nuo 2009 m. sausio 1 d.)</w:t>
      </w:r>
    </w:p>
    <w:p w14:paraId="0728A73A" w14:textId="77777777" w:rsidR="00125105" w:rsidRPr="0067677F" w:rsidRDefault="00125105" w:rsidP="00A914BC">
      <w:pPr>
        <w:spacing w:after="0"/>
        <w:jc w:val="both"/>
        <w:rPr>
          <w:i/>
          <w:lang w:val="lt-LT"/>
        </w:rPr>
      </w:pPr>
    </w:p>
    <w:p w14:paraId="3DA40608" w14:textId="77777777" w:rsidR="00093845" w:rsidRPr="0065344A" w:rsidRDefault="000D779E">
      <w:pPr>
        <w:tabs>
          <w:tab w:val="left" w:pos="720"/>
          <w:tab w:val="left" w:pos="1080"/>
          <w:tab w:val="left" w:pos="1134"/>
        </w:tabs>
        <w:ind w:firstLine="720"/>
        <w:jc w:val="both"/>
        <w:rPr>
          <w:b/>
          <w:lang w:val="lt-LT"/>
        </w:rPr>
      </w:pPr>
      <w:r w:rsidRPr="0065344A">
        <w:rPr>
          <w:b/>
          <w:lang w:val="lt-LT"/>
        </w:rPr>
        <w:t xml:space="preserve">1) iš </w:t>
      </w:r>
      <w:r w:rsidRPr="0065344A">
        <w:rPr>
          <w:b/>
          <w:bCs/>
          <w:lang w:val="lt-LT"/>
        </w:rPr>
        <w:t xml:space="preserve">nuolatinių </w:t>
      </w:r>
      <w:r w:rsidRPr="0065344A">
        <w:rPr>
          <w:b/>
          <w:lang w:val="lt-LT"/>
        </w:rPr>
        <w:t xml:space="preserve">Lietuvos gyventojų, </w:t>
      </w:r>
      <w:r w:rsidRPr="0065344A">
        <w:rPr>
          <w:b/>
          <w:bCs/>
          <w:lang w:val="lt-LT"/>
        </w:rPr>
        <w:t xml:space="preserve">nenuolatinių Lietuvos gyventojų per nuolatines bazes, </w:t>
      </w:r>
      <w:r w:rsidRPr="0065344A">
        <w:rPr>
          <w:b/>
          <w:lang w:val="lt-LT"/>
        </w:rPr>
        <w:t xml:space="preserve">Lietuvos vienetų bei </w:t>
      </w:r>
      <w:r w:rsidRPr="0065344A">
        <w:rPr>
          <w:b/>
          <w:bCs/>
          <w:lang w:val="lt-LT"/>
        </w:rPr>
        <w:t>užsienio vienetų per nuolatines buveines gautos</w:t>
      </w:r>
      <w:r w:rsidRPr="0065344A">
        <w:rPr>
          <w:b/>
          <w:lang w:val="lt-LT"/>
        </w:rPr>
        <w:t xml:space="preserve"> palūkanos, kompensacijų už autori</w:t>
      </w:r>
      <w:r w:rsidRPr="0065344A">
        <w:rPr>
          <w:b/>
          <w:bCs/>
          <w:lang w:val="lt-LT"/>
        </w:rPr>
        <w:t>ų</w:t>
      </w:r>
      <w:r w:rsidRPr="0065344A">
        <w:rPr>
          <w:b/>
          <w:lang w:val="lt-LT"/>
        </w:rPr>
        <w:t xml:space="preserve"> arba gretutinių teisių pažeidimą pajamos</w:t>
      </w:r>
      <w:r w:rsidRPr="0065344A">
        <w:rPr>
          <w:b/>
          <w:bCs/>
          <w:lang w:val="lt-LT"/>
        </w:rPr>
        <w:t>, honorarai</w:t>
      </w:r>
      <w:r w:rsidRPr="0065344A">
        <w:rPr>
          <w:b/>
          <w:lang w:val="lt-LT"/>
        </w:rPr>
        <w:t>, taip pat pajamos už parduotą, kitokiu būdu perleistą nuosavybėn arba išnuomotą nekilnojamąjį pagal prigimtį daiktą, esantį Lietuvos Respublikoje;</w:t>
      </w:r>
    </w:p>
    <w:p w14:paraId="58882FF4" w14:textId="77777777" w:rsidR="00093845" w:rsidRPr="0065344A" w:rsidRDefault="000D779E">
      <w:pPr>
        <w:tabs>
          <w:tab w:val="left" w:pos="720"/>
          <w:tab w:val="left" w:pos="1080"/>
          <w:tab w:val="left" w:pos="1134"/>
        </w:tabs>
        <w:ind w:firstLine="720"/>
        <w:jc w:val="both"/>
        <w:rPr>
          <w:b/>
          <w:bCs/>
          <w:lang w:val="lt-LT"/>
        </w:rPr>
      </w:pPr>
      <w:r w:rsidRPr="0065344A">
        <w:rPr>
          <w:b/>
          <w:bCs/>
          <w:lang w:val="lt-LT"/>
        </w:rPr>
        <w:t>Komentaras</w:t>
      </w:r>
    </w:p>
    <w:p w14:paraId="7BA495AE" w14:textId="77777777" w:rsidR="00093845" w:rsidRPr="0065344A" w:rsidRDefault="000D779E">
      <w:pPr>
        <w:tabs>
          <w:tab w:val="left" w:pos="720"/>
          <w:tab w:val="left" w:pos="1080"/>
        </w:tabs>
        <w:jc w:val="both"/>
        <w:rPr>
          <w:lang w:val="lt-LT"/>
        </w:rPr>
      </w:pPr>
      <w:r w:rsidRPr="0065344A">
        <w:rPr>
          <w:lang w:val="lt-LT"/>
        </w:rPr>
        <w:tab/>
        <w:t>1. Jeigu palūkanos (sąvoka apibrėžta PMĮ 2 str. 28 dalyje), kompensacijų už autorių arba gretutinių teisių pažeidimą pajamos, honorarai (sąvoka apibrėžta PMĮ 2 str. 11 dalyje), yra gaunamos iš nuolatinių Lietuvos gyventojų, nenuolatinių Lietuvos gyventojų per nuolatines bazes, Lietuvos vienetų ar užsienio vienetų per nuolatines buveines, yra laikoma, kad tokių pajamų šaltinis yra Lietuvos Respublikoje. Pajamomis, kurių šaltinis yra Lietuvos Respublikos teritorijoje, taip pat yra laikomos iš bet kurių ūkio subjektų gautos pajamos už parduotą, kitokiu būdu perleistą nuosavybėn arba išnuomotą nekilnojamąjį pagal prigimtį daiktą, esantį Lietuvos Respublikoje.</w:t>
      </w:r>
    </w:p>
    <w:p w14:paraId="740F1F95" w14:textId="77777777" w:rsidR="00093845" w:rsidRPr="0065344A" w:rsidRDefault="000D779E">
      <w:pPr>
        <w:pStyle w:val="Pagrindinistekstas"/>
        <w:tabs>
          <w:tab w:val="left" w:pos="720"/>
          <w:tab w:val="left" w:pos="1080"/>
        </w:tabs>
        <w:rPr>
          <w:lang w:val="lt-LT"/>
        </w:rPr>
      </w:pPr>
      <w:r w:rsidRPr="0065344A">
        <w:rPr>
          <w:lang w:val="lt-LT"/>
        </w:rPr>
        <w:tab/>
        <w:t>2. Pelno mokesčio bazei priskiriamų užsienio vienetų ne per nuolatines buveines Lietuvos teritorijoje gautų pagal PMĮ apmokestinamų pajamų, kurių šaltinis yra Lietuvos Respublikoje, rūšys yra paaiškintos PMĮ 4 str. 4 dalies komentare.         </w:t>
      </w:r>
    </w:p>
    <w:p w14:paraId="033B7C36" w14:textId="77777777" w:rsidR="00093845" w:rsidRPr="0065344A" w:rsidRDefault="000D779E">
      <w:pPr>
        <w:tabs>
          <w:tab w:val="left" w:pos="720"/>
          <w:tab w:val="left" w:pos="1080"/>
        </w:tabs>
        <w:ind w:firstLine="720"/>
        <w:jc w:val="both"/>
        <w:rPr>
          <w:b/>
          <w:lang w:val="lt-LT"/>
        </w:rPr>
      </w:pPr>
      <w:r w:rsidRPr="0065344A">
        <w:rPr>
          <w:b/>
          <w:lang w:val="lt-LT"/>
        </w:rPr>
        <w:t xml:space="preserve">2) pajamos iš Lietuvos vienetų paskirstytojo pelno ir išmokos už stebėtojų tarybos narių veiklą; </w:t>
      </w:r>
    </w:p>
    <w:p w14:paraId="1C18D872" w14:textId="77777777" w:rsidR="00093845" w:rsidRPr="0067677F" w:rsidRDefault="000D779E" w:rsidP="00C074BE">
      <w:pPr>
        <w:tabs>
          <w:tab w:val="left" w:pos="720"/>
          <w:tab w:val="left" w:pos="1080"/>
        </w:tabs>
        <w:jc w:val="both"/>
        <w:rPr>
          <w:i/>
        </w:rPr>
      </w:pPr>
      <w:r w:rsidRPr="0067677F">
        <w:rPr>
          <w:i/>
        </w:rPr>
        <w:t>(KEISTA: 2013 06 27 įstatymu Nr. XII-428 (nuo 2014 01 01)).</w:t>
      </w:r>
    </w:p>
    <w:p w14:paraId="00344312" w14:textId="77777777" w:rsidR="00093845" w:rsidRDefault="000D779E">
      <w:pPr>
        <w:tabs>
          <w:tab w:val="left" w:pos="720"/>
          <w:tab w:val="left" w:pos="1080"/>
        </w:tabs>
        <w:ind w:firstLine="720"/>
        <w:jc w:val="both"/>
      </w:pPr>
      <w:r>
        <w:rPr>
          <w:b/>
        </w:rPr>
        <w:t>Komentaras</w:t>
      </w:r>
    </w:p>
    <w:p w14:paraId="6FFDAFC0" w14:textId="77777777" w:rsidR="00093845" w:rsidRDefault="000D779E">
      <w:pPr>
        <w:tabs>
          <w:tab w:val="left" w:pos="720"/>
          <w:tab w:val="left" w:pos="1080"/>
        </w:tabs>
        <w:ind w:firstLine="720"/>
        <w:jc w:val="both"/>
      </w:pPr>
      <w:r>
        <w:t>Paskirstytojo pelno pajamos laikomos gautomis iš Lietuvos šaltinių, jei jos gautos iš Lietuvos vienetų. Paskirstyto pelno sąvoka apibrėžta PMĮ 2 str. 25 dalyje.</w:t>
      </w:r>
    </w:p>
    <w:p w14:paraId="724C4B04" w14:textId="77777777" w:rsidR="00093845" w:rsidRDefault="000D779E">
      <w:pPr>
        <w:tabs>
          <w:tab w:val="left" w:pos="720"/>
          <w:tab w:val="left" w:pos="1080"/>
        </w:tabs>
        <w:ind w:firstLine="720"/>
        <w:jc w:val="both"/>
      </w:pPr>
      <w:r>
        <w:t>Pagal šio punkto nuostatas užsienio vieneto pajamoms, kurių šaltinis yra Lietuvos Respublikos teritorijoje, priskiriamos visos gautos išmokos už stebėtojų tarybos narių veiklą nepriklausomai nuo jų išmokėjimo periodiškumo ir to, ar už stebėtojų narių veiklą atlyginama metinėmis išmokomis (tantjemomis) ar kitais būdais.</w:t>
      </w:r>
    </w:p>
    <w:p w14:paraId="73E6C0D3"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 xml:space="preserve">Papildyta </w:t>
      </w:r>
      <w:r>
        <w:rPr>
          <w:lang w:val="lt-LT"/>
        </w:rPr>
        <w:t>pagal VMI prie FM 2013-11-07 raštą Nr. (18.10-31-2)-RM-7141)</w:t>
      </w:r>
    </w:p>
    <w:p w14:paraId="76805FE7" w14:textId="77777777" w:rsidR="00093845" w:rsidRDefault="000D779E">
      <w:pPr>
        <w:tabs>
          <w:tab w:val="left" w:pos="720"/>
          <w:tab w:val="left" w:pos="1080"/>
        </w:tabs>
        <w:jc w:val="both"/>
        <w:rPr>
          <w:b/>
        </w:rPr>
      </w:pPr>
      <w:r>
        <w:rPr>
          <w:b/>
        </w:rPr>
        <w:t xml:space="preserve">            3)</w:t>
      </w:r>
      <w:r>
        <w:rPr>
          <w:b/>
        </w:rPr>
        <w:tab/>
        <w:t xml:space="preserve">pajamos iš veiklos Lietuvos Respublikoje; </w:t>
      </w:r>
    </w:p>
    <w:p w14:paraId="35EC077F" w14:textId="77777777" w:rsidR="00093845" w:rsidRDefault="000D779E">
      <w:pPr>
        <w:tabs>
          <w:tab w:val="left" w:pos="720"/>
          <w:tab w:val="left" w:pos="1080"/>
        </w:tabs>
        <w:ind w:firstLine="720"/>
        <w:jc w:val="both"/>
        <w:rPr>
          <w:b/>
        </w:rPr>
      </w:pPr>
      <w:r>
        <w:rPr>
          <w:b/>
        </w:rPr>
        <w:t>Komentaras</w:t>
      </w:r>
    </w:p>
    <w:p w14:paraId="3AE8603D" w14:textId="77777777" w:rsidR="00093845" w:rsidRDefault="000D779E">
      <w:pPr>
        <w:tabs>
          <w:tab w:val="left" w:pos="720"/>
          <w:tab w:val="left" w:pos="1080"/>
        </w:tabs>
        <w:ind w:firstLine="720"/>
        <w:jc w:val="both"/>
      </w:pPr>
      <w:r>
        <w:t>Pagal šio punkto nuostatas veiklos pajamomis Lietuvos Respublikoje laikomos Lietuvos vieneto ar užsienio vieneto bet kokios jų vykdomos veiklos, įskaitant atlikėjų ir sporto veiklą,  pajamos. Veiklos sąvoka apibrėžta PMĮ 2 str. 40 dalyje.</w:t>
      </w:r>
    </w:p>
    <w:p w14:paraId="7FC0DA79" w14:textId="77777777" w:rsidR="00093845" w:rsidRDefault="000D779E">
      <w:pPr>
        <w:tabs>
          <w:tab w:val="left" w:pos="720"/>
          <w:tab w:val="left" w:pos="1080"/>
        </w:tabs>
        <w:ind w:firstLine="720"/>
        <w:jc w:val="both"/>
      </w:pPr>
      <w:r>
        <w:t>Veiklos pajamos priklauso nuo vieneto vykdomos veiklos pobūdžio (prekyba, gamyba, statyba, bankų, draudimo, pensijų fondų ir kt. veikla).</w:t>
      </w:r>
    </w:p>
    <w:p w14:paraId="248A5DC1" w14:textId="77777777" w:rsidR="00093845" w:rsidRDefault="000D779E" w:rsidP="002E2726">
      <w:pPr>
        <w:tabs>
          <w:tab w:val="left" w:pos="720"/>
          <w:tab w:val="left" w:pos="1080"/>
          <w:tab w:val="left" w:pos="1134"/>
        </w:tabs>
        <w:spacing w:after="0"/>
        <w:ind w:firstLine="720"/>
        <w:jc w:val="both"/>
        <w:rPr>
          <w:b/>
          <w:bCs/>
        </w:rPr>
      </w:pPr>
      <w:r>
        <w:rPr>
          <w:b/>
        </w:rPr>
        <w:lastRenderedPageBreak/>
        <w:t>4)</w:t>
      </w:r>
      <w:r>
        <w:rPr>
          <w:b/>
        </w:rPr>
        <w:tab/>
        <w:t xml:space="preserve">transportavimo, kuris prasideda Lietuvos Respublikos teritorijoje ir baigiasi užsienyje arba prasideda užsienyje ir baigiasi Lietuvos Respublikos teritorijoje, </w:t>
      </w:r>
      <w:r>
        <w:rPr>
          <w:b/>
          <w:bCs/>
        </w:rPr>
        <w:t>pajamos;</w:t>
      </w:r>
    </w:p>
    <w:p w14:paraId="6B3B6A16" w14:textId="77777777" w:rsidR="008C2456" w:rsidRDefault="008C2456" w:rsidP="0067677F">
      <w:pPr>
        <w:tabs>
          <w:tab w:val="left" w:pos="720"/>
          <w:tab w:val="left" w:pos="1080"/>
          <w:tab w:val="left" w:pos="1134"/>
        </w:tabs>
        <w:spacing w:after="0"/>
        <w:jc w:val="both"/>
        <w:rPr>
          <w:i/>
        </w:rPr>
      </w:pPr>
      <w:r w:rsidRPr="0067677F">
        <w:rPr>
          <w:i/>
        </w:rPr>
        <w:t>(KEISTA: 2008 07 14 įstatymu Nr. IX-1697</w:t>
      </w:r>
      <w:r w:rsidR="00F31096" w:rsidRPr="0067677F">
        <w:rPr>
          <w:i/>
        </w:rPr>
        <w:t>,</w:t>
      </w:r>
      <w:r w:rsidRPr="0067677F">
        <w:rPr>
          <w:i/>
        </w:rPr>
        <w:t xml:space="preserve"> taikoma nuo 2009 m. sausio 1 d.)</w:t>
      </w:r>
    </w:p>
    <w:p w14:paraId="6161B7F0" w14:textId="77777777" w:rsidR="00A914BC" w:rsidRPr="0067677F" w:rsidRDefault="00A914BC" w:rsidP="0067677F">
      <w:pPr>
        <w:tabs>
          <w:tab w:val="left" w:pos="720"/>
          <w:tab w:val="left" w:pos="1080"/>
          <w:tab w:val="left" w:pos="1134"/>
        </w:tabs>
        <w:spacing w:after="0"/>
        <w:jc w:val="both"/>
        <w:rPr>
          <w:i/>
        </w:rPr>
      </w:pPr>
    </w:p>
    <w:p w14:paraId="7CDA6C64" w14:textId="77777777" w:rsidR="00093845" w:rsidRDefault="000D779E">
      <w:pPr>
        <w:ind w:firstLine="720"/>
        <w:jc w:val="both"/>
        <w:rPr>
          <w:b/>
          <w:bCs/>
        </w:rPr>
      </w:pPr>
      <w:r>
        <w:rPr>
          <w:b/>
          <w:bCs/>
        </w:rPr>
        <w:t>Komentaras</w:t>
      </w:r>
    </w:p>
    <w:p w14:paraId="627D4258" w14:textId="77777777" w:rsidR="00093845" w:rsidRDefault="000D779E">
      <w:pPr>
        <w:pStyle w:val="Pagrindiniotekstotrauka3"/>
        <w:tabs>
          <w:tab w:val="left" w:pos="720"/>
          <w:tab w:val="left" w:pos="1080"/>
        </w:tabs>
      </w:pPr>
      <w:r>
        <w:t>Transportavimo pajamų sąvoka apibrėžta PMĮ 2 str. 39 dalyje.</w:t>
      </w:r>
    </w:p>
    <w:p w14:paraId="7A671A48" w14:textId="77777777" w:rsidR="00093845" w:rsidRDefault="000D779E">
      <w:pPr>
        <w:tabs>
          <w:tab w:val="left" w:pos="720"/>
          <w:tab w:val="left" w:pos="1080"/>
        </w:tabs>
        <w:ind w:firstLine="720"/>
        <w:jc w:val="both"/>
        <w:rPr>
          <w:lang w:val="lt-LT"/>
        </w:rPr>
      </w:pPr>
      <w:r>
        <w:rPr>
          <w:lang w:val="lt-LT"/>
        </w:rPr>
        <w:t>Jeigu vienetas uždirba transportavimo, kuris prasideda Lietuvos Respublikos teritorijoje ir baigiasi užsienyje arba prasideda užsienyje ir baigiasi Lietuvos Respublikos teritorijoje, pajamų, tai laikoma, kad tokių pajamų šaltinis yra Lietuvos Respublikoje.</w:t>
      </w:r>
    </w:p>
    <w:p w14:paraId="60684712" w14:textId="77777777" w:rsidR="00093845" w:rsidRPr="00C7644C" w:rsidRDefault="000D779E" w:rsidP="00927E61">
      <w:pPr>
        <w:pStyle w:val="Sraopastraipa"/>
        <w:numPr>
          <w:ilvl w:val="0"/>
          <w:numId w:val="70"/>
        </w:numPr>
        <w:tabs>
          <w:tab w:val="left" w:pos="720"/>
          <w:tab w:val="left" w:pos="1080"/>
          <w:tab w:val="left" w:pos="1134"/>
        </w:tabs>
        <w:jc w:val="both"/>
        <w:rPr>
          <w:b/>
        </w:rPr>
      </w:pPr>
      <w:r w:rsidRPr="00C7644C">
        <w:rPr>
          <w:b/>
        </w:rPr>
        <w:t>tarptautinių telekomunikacijų pajamos.</w:t>
      </w:r>
    </w:p>
    <w:p w14:paraId="1B7B74C1" w14:textId="77777777" w:rsidR="002E2726" w:rsidRPr="0067677F" w:rsidRDefault="002E2726" w:rsidP="0067677F">
      <w:pPr>
        <w:tabs>
          <w:tab w:val="left" w:pos="720"/>
          <w:tab w:val="left" w:pos="1080"/>
          <w:tab w:val="left" w:pos="1134"/>
        </w:tabs>
        <w:jc w:val="both"/>
        <w:rPr>
          <w:i/>
        </w:rPr>
      </w:pPr>
      <w:r w:rsidRPr="0067677F">
        <w:rPr>
          <w:i/>
        </w:rPr>
        <w:t>(KEISTA: 2008 07 14 įstatymu Nr. IX-1697</w:t>
      </w:r>
      <w:r w:rsidR="00F31096" w:rsidRPr="0067677F">
        <w:rPr>
          <w:i/>
        </w:rPr>
        <w:t>,</w:t>
      </w:r>
      <w:r w:rsidRPr="0067677F">
        <w:rPr>
          <w:i/>
        </w:rPr>
        <w:t xml:space="preserve"> taikoma nuo 2009 m. sausio 1 d.)</w:t>
      </w:r>
    </w:p>
    <w:p w14:paraId="6A3AC336" w14:textId="77777777" w:rsidR="00093845" w:rsidRPr="0065344A" w:rsidRDefault="000D779E">
      <w:pPr>
        <w:ind w:firstLine="720"/>
        <w:jc w:val="both"/>
        <w:rPr>
          <w:b/>
          <w:bCs/>
          <w:lang w:val="lt-LT"/>
        </w:rPr>
      </w:pPr>
      <w:r w:rsidRPr="0065344A">
        <w:rPr>
          <w:b/>
          <w:bCs/>
          <w:lang w:val="lt-LT"/>
        </w:rPr>
        <w:t>Komentaras</w:t>
      </w:r>
    </w:p>
    <w:p w14:paraId="6B5FEA2C" w14:textId="77777777" w:rsidR="00093845" w:rsidRPr="0065344A" w:rsidRDefault="000D779E">
      <w:pPr>
        <w:tabs>
          <w:tab w:val="left" w:pos="720"/>
          <w:tab w:val="left" w:pos="1080"/>
        </w:tabs>
        <w:ind w:firstLine="720"/>
        <w:jc w:val="both"/>
        <w:rPr>
          <w:lang w:val="lt-LT"/>
        </w:rPr>
      </w:pPr>
      <w:r w:rsidRPr="0065344A">
        <w:rPr>
          <w:lang w:val="lt-LT"/>
        </w:rPr>
        <w:t>Tarptautinių telekomunikacijų pajamų sąvoka apibrėžta PMĮ 2 str. 36 dalyje.</w:t>
      </w:r>
    </w:p>
    <w:p w14:paraId="59A787FA" w14:textId="77777777" w:rsidR="00093845" w:rsidRPr="0065344A" w:rsidRDefault="000D779E">
      <w:pPr>
        <w:tabs>
          <w:tab w:val="left" w:pos="720"/>
          <w:tab w:val="left" w:pos="1080"/>
        </w:tabs>
        <w:ind w:firstLine="720"/>
        <w:jc w:val="both"/>
        <w:rPr>
          <w:b/>
          <w:lang w:val="lt-LT"/>
        </w:rPr>
      </w:pPr>
      <w:r w:rsidRPr="0065344A">
        <w:rPr>
          <w:lang w:val="lt-LT"/>
        </w:rPr>
        <w:t>Jeigu vienetas Lietuvos Respublikos teritorijoje uždirba tarptautinių telekomunikacijų pajamų, tai laikoma, kad tokių pajamų šaltinis yra Lietuvos Respublikoje</w:t>
      </w:r>
      <w:r w:rsidRPr="0065344A">
        <w:rPr>
          <w:b/>
          <w:lang w:val="lt-LT"/>
        </w:rPr>
        <w:t>.</w:t>
      </w:r>
    </w:p>
    <w:p w14:paraId="0B18748A"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P</w:t>
      </w:r>
      <w:r>
        <w:rPr>
          <w:lang w:val="lt-LT"/>
        </w:rPr>
        <w:t>akeista pagal VMI prie FM 2010-12-31 raštą Nr. (18.10-31-1)-R-12544)</w:t>
      </w:r>
    </w:p>
    <w:p w14:paraId="443B8921" w14:textId="77777777" w:rsidR="00093845" w:rsidRDefault="000D779E" w:rsidP="00DF06D4">
      <w:pPr>
        <w:spacing w:after="0"/>
        <w:jc w:val="both"/>
        <w:rPr>
          <w:b/>
          <w:lang w:val="lt-LT"/>
        </w:rPr>
      </w:pPr>
      <w:r>
        <w:rPr>
          <w:b/>
          <w:lang w:val="lt-LT"/>
        </w:rPr>
        <w:t xml:space="preserve">             27. </w:t>
      </w:r>
      <w:r>
        <w:rPr>
          <w:b/>
          <w:bCs/>
          <w:lang w:val="lt-LT"/>
        </w:rPr>
        <w:t>Pajamos, kurių šaltinis yra ne Lietuvos Respublikos teritorijoje (</w:t>
      </w:r>
      <w:r>
        <w:rPr>
          <w:b/>
          <w:lang w:val="lt-LT"/>
        </w:rPr>
        <w:t xml:space="preserve">toliau – </w:t>
      </w:r>
      <w:r>
        <w:rPr>
          <w:b/>
          <w:bCs/>
          <w:lang w:val="lt-LT"/>
        </w:rPr>
        <w:t>pajamos, kurių šaltinis yra ne Lietuvos Respublikoje</w:t>
      </w:r>
      <w:r>
        <w:rPr>
          <w:b/>
          <w:lang w:val="lt-LT"/>
        </w:rPr>
        <w:t>) – visos pajamos, išskyrus pajamas, kurių šaltinis yra Lietuvos Respublikoje.</w:t>
      </w:r>
    </w:p>
    <w:p w14:paraId="3B089D44" w14:textId="77777777" w:rsidR="00DF06D4" w:rsidRDefault="00DF06D4" w:rsidP="00DF06D4">
      <w:pPr>
        <w:spacing w:after="0"/>
        <w:jc w:val="both"/>
        <w:rPr>
          <w:i/>
          <w:lang w:val="lt-LT"/>
        </w:rPr>
      </w:pPr>
      <w:r w:rsidRPr="0067677F">
        <w:rPr>
          <w:i/>
          <w:lang w:val="lt-LT"/>
        </w:rPr>
        <w:t>(KEISTA: 2008 07 14 įstatymu Nr. IX-1697</w:t>
      </w:r>
      <w:r w:rsidR="00F31096" w:rsidRPr="0067677F">
        <w:rPr>
          <w:i/>
          <w:lang w:val="lt-LT"/>
        </w:rPr>
        <w:t>,</w:t>
      </w:r>
      <w:r w:rsidRPr="0067677F">
        <w:rPr>
          <w:i/>
          <w:lang w:val="lt-LT"/>
        </w:rPr>
        <w:t xml:space="preserve"> taikoma nuo 2009 m. sausio 1 d.)</w:t>
      </w:r>
    </w:p>
    <w:p w14:paraId="54861138" w14:textId="77777777" w:rsidR="00125105" w:rsidRPr="0067677F" w:rsidRDefault="00125105" w:rsidP="00DF06D4">
      <w:pPr>
        <w:spacing w:after="0"/>
        <w:jc w:val="both"/>
        <w:rPr>
          <w:i/>
          <w:lang w:val="lt-LT"/>
        </w:rPr>
      </w:pPr>
    </w:p>
    <w:p w14:paraId="364F712E" w14:textId="77777777" w:rsidR="00093845" w:rsidRDefault="000D779E">
      <w:pPr>
        <w:tabs>
          <w:tab w:val="left" w:pos="720"/>
          <w:tab w:val="left" w:pos="1080"/>
        </w:tabs>
        <w:ind w:firstLine="720"/>
        <w:jc w:val="both"/>
        <w:rPr>
          <w:b/>
          <w:lang w:val="lt-LT"/>
        </w:rPr>
      </w:pPr>
      <w:r>
        <w:rPr>
          <w:b/>
          <w:lang w:val="lt-LT"/>
        </w:rPr>
        <w:t>Komentaras</w:t>
      </w:r>
    </w:p>
    <w:p w14:paraId="20B5B167" w14:textId="77777777" w:rsidR="00093845" w:rsidRDefault="000D779E">
      <w:pPr>
        <w:tabs>
          <w:tab w:val="left" w:pos="720"/>
          <w:tab w:val="left" w:pos="1080"/>
        </w:tabs>
        <w:ind w:firstLine="720"/>
        <w:jc w:val="both"/>
        <w:rPr>
          <w:lang w:val="lt-LT"/>
        </w:rPr>
      </w:pPr>
      <w:r>
        <w:rPr>
          <w:lang w:val="lt-LT"/>
        </w:rPr>
        <w:t xml:space="preserve">PMĮ 2 str. 16 dalyje apibrėžtos pajamos, kurių šaltinis yra Lietuvos Respublikoje. Visos pajamos, gautos iš veiklos užsienio valstybėse, įskaitant pajamas iš paskirstytojo pelno, laikomos pajamomis, gautomis iš ne Lietuvos Respublikoje esančių šaltinių. Pvz., jei Lietuvos vienetas užsienio valstybėje turimą nuosavybės teise jam priklausantį nekilnojamąjį turtą perleis tos užsienio valstybės nuolatiniam gyventojui arba vienetui, tai to turto perleidimo pajamos bus laikomos gautomis iš ne Lietuvos Respublikoje esančių šaltinių. </w:t>
      </w:r>
    </w:p>
    <w:p w14:paraId="75637F07" w14:textId="77777777" w:rsidR="00093845" w:rsidRDefault="000D779E" w:rsidP="00DF06D4">
      <w:pPr>
        <w:spacing w:after="0"/>
        <w:jc w:val="both"/>
        <w:rPr>
          <w:b/>
          <w:lang w:val="lt-LT"/>
        </w:rPr>
      </w:pPr>
      <w:r>
        <w:rPr>
          <w:b/>
          <w:lang w:val="lt-LT"/>
        </w:rPr>
        <w:t xml:space="preserve">            28. </w:t>
      </w:r>
      <w:r>
        <w:rPr>
          <w:b/>
          <w:bCs/>
          <w:lang w:val="lt-LT"/>
        </w:rPr>
        <w:t>Palūkanos</w:t>
      </w:r>
      <w:r>
        <w:rPr>
          <w:b/>
          <w:lang w:val="lt-LT"/>
        </w:rPr>
        <w:t xml:space="preserve"> – atlyginimas už pinigų skolinimą.</w:t>
      </w:r>
    </w:p>
    <w:p w14:paraId="050D1BBE" w14:textId="77777777" w:rsidR="00DF06D4" w:rsidRDefault="00DF06D4" w:rsidP="0067677F">
      <w:pPr>
        <w:tabs>
          <w:tab w:val="left" w:pos="720"/>
          <w:tab w:val="left" w:pos="1080"/>
          <w:tab w:val="left" w:pos="1134"/>
        </w:tabs>
        <w:spacing w:after="0"/>
        <w:jc w:val="both"/>
        <w:rPr>
          <w:i/>
        </w:rPr>
      </w:pPr>
      <w:r w:rsidRPr="0067677F">
        <w:rPr>
          <w:i/>
        </w:rPr>
        <w:t>(KEISTA: 2008 07 14 įstatymu Nr. IX-1697</w:t>
      </w:r>
      <w:r w:rsidR="00F31096" w:rsidRPr="0067677F">
        <w:rPr>
          <w:i/>
        </w:rPr>
        <w:t>,</w:t>
      </w:r>
      <w:r w:rsidRPr="0067677F">
        <w:rPr>
          <w:i/>
        </w:rPr>
        <w:t xml:space="preserve"> taikoma nuo 2009 m. sausio 1 d.)</w:t>
      </w:r>
    </w:p>
    <w:p w14:paraId="62EE0696" w14:textId="77777777" w:rsidR="00125105" w:rsidRPr="0067677F" w:rsidRDefault="00125105" w:rsidP="0067677F">
      <w:pPr>
        <w:tabs>
          <w:tab w:val="left" w:pos="720"/>
          <w:tab w:val="left" w:pos="1080"/>
          <w:tab w:val="left" w:pos="1134"/>
        </w:tabs>
        <w:spacing w:after="0"/>
        <w:jc w:val="both"/>
        <w:rPr>
          <w:i/>
        </w:rPr>
      </w:pPr>
    </w:p>
    <w:p w14:paraId="607F9C08" w14:textId="77777777" w:rsidR="00093845" w:rsidRDefault="000D779E">
      <w:pPr>
        <w:ind w:firstLine="720"/>
        <w:jc w:val="both"/>
        <w:rPr>
          <w:b/>
          <w:bCs/>
          <w:lang w:val="lt-LT"/>
        </w:rPr>
      </w:pPr>
      <w:r>
        <w:rPr>
          <w:b/>
          <w:bCs/>
          <w:lang w:val="lt-LT"/>
        </w:rPr>
        <w:t>Komentaras</w:t>
      </w:r>
    </w:p>
    <w:p w14:paraId="1A91BC32" w14:textId="77777777" w:rsidR="00093845" w:rsidRDefault="000D779E">
      <w:pPr>
        <w:tabs>
          <w:tab w:val="left" w:pos="720"/>
          <w:tab w:val="left" w:pos="1077"/>
          <w:tab w:val="left" w:pos="1418"/>
        </w:tabs>
        <w:autoSpaceDE w:val="0"/>
        <w:autoSpaceDN w:val="0"/>
        <w:ind w:firstLine="720"/>
        <w:jc w:val="both"/>
        <w:rPr>
          <w:lang w:val="lt-LT"/>
        </w:rPr>
      </w:pPr>
      <w:r>
        <w:rPr>
          <w:lang w:val="lt-LT"/>
        </w:rPr>
        <w:t>1.</w:t>
      </w:r>
      <w:r>
        <w:rPr>
          <w:lang w:val="lt-LT"/>
        </w:rPr>
        <w:tab/>
        <w:t>Pinigai gali būti skolinami įvairiomis formomis, pvz., sudarant paskolos, įskaitant kredito, ar lizingo (finansinės nuomos) sutartis, padedant indėlį, perkant vertybinius popierius ir pan. Už tokį pinigų skolinimą mokamas atlygis laikomas palūkanomis, neatsižvelgiant į tai, kokia forma išreikšta skolinime dalyvavusių asmenų valia: susitariant žodžiu, sudarant sutartį raštu ar kitokia forma.</w:t>
      </w:r>
    </w:p>
    <w:p w14:paraId="63ED831C" w14:textId="77777777" w:rsidR="00093845" w:rsidRDefault="000D779E">
      <w:pPr>
        <w:tabs>
          <w:tab w:val="left" w:pos="720"/>
          <w:tab w:val="left" w:pos="1077"/>
          <w:tab w:val="left" w:pos="1418"/>
        </w:tabs>
        <w:autoSpaceDE w:val="0"/>
        <w:autoSpaceDN w:val="0"/>
        <w:ind w:firstLine="720"/>
        <w:jc w:val="both"/>
        <w:rPr>
          <w:lang w:val="lt-LT"/>
        </w:rPr>
      </w:pPr>
      <w:r>
        <w:rPr>
          <w:lang w:val="lt-LT"/>
        </w:rPr>
        <w:t>2.</w:t>
      </w:r>
      <w:r>
        <w:rPr>
          <w:lang w:val="lt-LT"/>
        </w:rPr>
        <w:tab/>
        <w:t>PMĮ tikslams palūkanomis laikomos:</w:t>
      </w:r>
    </w:p>
    <w:p w14:paraId="29CBA4D0"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palūkanos už suteiktas paskolas,</w:t>
      </w:r>
    </w:p>
    <w:p w14:paraId="047E78A9"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palūkanos, mokamos pagal kredito ar vartojimo kredito sutartis,</w:t>
      </w:r>
    </w:p>
    <w:p w14:paraId="02E7AE9C" w14:textId="77777777" w:rsidR="00093845" w:rsidRDefault="000D779E" w:rsidP="004A5C91">
      <w:pPr>
        <w:tabs>
          <w:tab w:val="left" w:pos="720"/>
          <w:tab w:val="left" w:pos="1077"/>
          <w:tab w:val="left" w:pos="1418"/>
        </w:tabs>
        <w:autoSpaceDE w:val="0"/>
        <w:autoSpaceDN w:val="0"/>
        <w:spacing w:after="0"/>
        <w:ind w:firstLine="720"/>
        <w:jc w:val="both"/>
        <w:rPr>
          <w:lang w:val="lt-LT"/>
        </w:rPr>
      </w:pPr>
      <w:r>
        <w:rPr>
          <w:lang w:val="lt-LT"/>
        </w:rPr>
        <w:t>-</w:t>
      </w:r>
      <w:r>
        <w:rPr>
          <w:lang w:val="lt-LT"/>
        </w:rPr>
        <w:tab/>
        <w:t xml:space="preserve">palūkanos, mokamos pagal pirkimo-pardavimo išsimokėtinai sutartis, </w:t>
      </w:r>
    </w:p>
    <w:p w14:paraId="0D224787" w14:textId="77777777" w:rsidR="00093845" w:rsidRDefault="000D779E" w:rsidP="004A5C91">
      <w:pPr>
        <w:tabs>
          <w:tab w:val="left" w:pos="720"/>
          <w:tab w:val="left" w:pos="1077"/>
          <w:tab w:val="left" w:pos="1418"/>
        </w:tabs>
        <w:spacing w:after="0"/>
        <w:ind w:firstLine="720"/>
        <w:jc w:val="both"/>
        <w:rPr>
          <w:lang w:val="lt-LT"/>
        </w:rPr>
      </w:pPr>
      <w:r>
        <w:rPr>
          <w:lang w:val="lt-LT"/>
        </w:rPr>
        <w:t>-</w:t>
      </w:r>
      <w:r>
        <w:rPr>
          <w:lang w:val="lt-LT"/>
        </w:rPr>
        <w:tab/>
        <w:t>lizingo (finansinės nuomos) palūkanos,</w:t>
      </w:r>
    </w:p>
    <w:p w14:paraId="771ECA01" w14:textId="77777777" w:rsidR="00093845" w:rsidRDefault="000D779E" w:rsidP="00EC4E29">
      <w:pPr>
        <w:numPr>
          <w:ilvl w:val="0"/>
          <w:numId w:val="14"/>
        </w:numPr>
        <w:tabs>
          <w:tab w:val="left" w:pos="720"/>
          <w:tab w:val="left" w:pos="1418"/>
        </w:tabs>
        <w:spacing w:after="0"/>
        <w:jc w:val="both"/>
        <w:rPr>
          <w:lang w:val="lt-LT"/>
        </w:rPr>
      </w:pPr>
      <w:r>
        <w:rPr>
          <w:lang w:val="lt-LT"/>
        </w:rPr>
        <w:t>palūkanos už vertybinius popierius,</w:t>
      </w:r>
    </w:p>
    <w:p w14:paraId="73386F87" w14:textId="77777777" w:rsidR="00093845" w:rsidRDefault="000D779E" w:rsidP="00EC4E29">
      <w:pPr>
        <w:numPr>
          <w:ilvl w:val="0"/>
          <w:numId w:val="14"/>
        </w:numPr>
        <w:tabs>
          <w:tab w:val="left" w:pos="720"/>
          <w:tab w:val="left" w:pos="1418"/>
        </w:tabs>
        <w:spacing w:after="0"/>
        <w:jc w:val="both"/>
        <w:rPr>
          <w:lang w:val="lt-LT"/>
        </w:rPr>
      </w:pPr>
      <w:r>
        <w:rPr>
          <w:lang w:val="lt-LT"/>
        </w:rPr>
        <w:lastRenderedPageBreak/>
        <w:t>indėlių palūkanos ir kita.</w:t>
      </w:r>
    </w:p>
    <w:p w14:paraId="571B839B"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3.</w:t>
      </w:r>
      <w:r>
        <w:rPr>
          <w:rFonts w:ascii="Times New Roman" w:hAnsi="Times New Roman"/>
        </w:rPr>
        <w:tab/>
        <w:t>Palūkanomis turi būti laikomos bet kokios išmokos, kurios pagal savo esmę yra priskiriamos atlyginimui už pinigų skolinimą, nesvarbu kaip jos yra įvardijamos: palūkanomis, premija, priemoka ar pan. Atskirais atvejais palūkanos gali būti nustatytos ne tik šalių susitarimu, bet ir įstatymu.</w:t>
      </w:r>
    </w:p>
    <w:p w14:paraId="5594AAFF"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Sankcijos už sutartinių įsipareigojimų nevykdymą ar pavėluotą vykdymą (delspinigiai, baudos) palūkanomis nėra laikomos.</w:t>
      </w:r>
    </w:p>
    <w:p w14:paraId="4370E2BC" w14:textId="77777777" w:rsidR="00093845" w:rsidRDefault="000D779E">
      <w:pPr>
        <w:jc w:val="both"/>
        <w:rPr>
          <w:lang w:val="lt-LT"/>
        </w:rPr>
      </w:pPr>
      <w:r>
        <w:rPr>
          <w:lang w:val="lt-LT"/>
        </w:rPr>
        <w:t>Pavyzdys</w:t>
      </w:r>
    </w:p>
    <w:p w14:paraId="5CB727E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20"/>
        <w:jc w:val="both"/>
        <w:rPr>
          <w:lang w:val="lt-LT"/>
        </w:rPr>
      </w:pPr>
      <w:r>
        <w:rPr>
          <w:lang w:val="lt-LT"/>
        </w:rPr>
        <w:t>Lietuvos vienetas A išleido ir išplatino obligacijas, už kurias nustatytais laikotarpiais mokėjo palūkanas. Praėjus metams, vienetas A nutarė tas obligacijas išpirkti, nors jų išpirkimo terminas dar nebuvo suėjęs. Išpirkdamas obligacijas vienetas A jas įsigijusiems asmenims sumokėjo ne tik palūkanas, kurias jis turėjo sumokėti už nustatytą laikotarpį, bet ir papildomą premiją, kuri PMĮ tikslams taip pat laikoma palūkanomis (t.y. atlyginimu už pinigų skolinimą).</w:t>
      </w:r>
    </w:p>
    <w:p w14:paraId="7983A2EF"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Remiantis Lietuvos Respublikos finansų ministro 2000 m. birželio 5 d. </w:t>
      </w:r>
      <w:r w:rsidR="00273C75" w:rsidRPr="009C0219">
        <w:rPr>
          <w:rStyle w:val="Hipersaitas"/>
          <w:rFonts w:ascii="Times New Roman" w:hAnsi="Times New Roman" w:cs="Times New Roman"/>
          <w:b w:val="0"/>
          <w:bCs w:val="0"/>
          <w:kern w:val="0"/>
          <w:lang w:val="lt-LT"/>
        </w:rPr>
        <w:t>įsakymu Nr. 144</w:t>
      </w:r>
      <w:r w:rsidRPr="00C074BE">
        <w:rPr>
          <w:lang w:val="lt-LT"/>
        </w:rPr>
        <w:t xml:space="preserve"> </w:t>
      </w:r>
      <w:r>
        <w:rPr>
          <w:lang w:val="lt-LT"/>
        </w:rPr>
        <w:t xml:space="preserve"> patvirtinta Išsinuomoto ir išnuomoto turto finansinės apskaitos tvarka, palūkanos - tai pagal finansinės nuomos sutartį mokamų minimalių nuomos įmokų sumos ir sutartyje nurodytos turto vertės skirtumas. Pagal minėtos tvarkos 14.5 punktą, jei sutartyje nėra nustatytos palūkanos ir nenurodoma palūkanų norma arba jei palūkanų norma yra daug mažesnė už rinkos palūkanų normą, tai palūkanomis laikoma išskaičiuojama palūkanų suma, apskaičiuota, laikantis principo, kad palūkanų norma yra pastovi ir ne mažesnė už rinkos palūkanų normą. </w:t>
      </w:r>
    </w:p>
    <w:p w14:paraId="4A0EA3FC" w14:textId="77777777" w:rsidR="00093845" w:rsidRDefault="000D779E">
      <w:pPr>
        <w:tabs>
          <w:tab w:val="left" w:pos="720"/>
          <w:tab w:val="left" w:pos="1077"/>
          <w:tab w:val="left" w:pos="1418"/>
        </w:tabs>
        <w:autoSpaceDE w:val="0"/>
        <w:autoSpaceDN w:val="0"/>
        <w:ind w:firstLine="720"/>
        <w:jc w:val="both"/>
        <w:rPr>
          <w:lang w:val="lt-LT"/>
        </w:rPr>
      </w:pPr>
      <w:r>
        <w:rPr>
          <w:lang w:val="lt-LT"/>
        </w:rPr>
        <w:t>Nuo 2004 metų lizingo (finansinės nuomos) apskaitos ir pateikimo finansinėje atskaitomybėje tvarką nustato 20 verslo apskaitos standartas (toliau – VAS) ,,Nuoma, lizingas (finansinė nuoma) ir panauda“. Pagal šio standarto nuostatas, jei lizingo gavėjas gauna turtą pagal lizingo (finansinės nuomos) sutartį, kurioje nenumatytos palūkanos, tai lizingo gavėjas turi apskaičiuoti palūkanas, diskontuodamas sutartyje nustatytas minimalių lizingo įmokų sumas pagal vidutinę rinkos palūkanų normą. Apskaičiuojant apmokestinamąjį pelną, šios nuostatos dėl palūkanų apskaičiavimo taikomos nuo 2004 metais prasidėjusio mokestinio laikotarpio vienetams, kurie tvarkydami buhalterinę apskaitą ir rengdami finansinę atskaitomybę privalo vadovautis arba vadovaujasi VAS nuostatomis.</w:t>
      </w:r>
    </w:p>
    <w:p w14:paraId="2EB5C973" w14:textId="77777777" w:rsidR="00093845" w:rsidRDefault="000D779E">
      <w:pPr>
        <w:tabs>
          <w:tab w:val="left" w:pos="720"/>
          <w:tab w:val="left" w:pos="1077"/>
          <w:tab w:val="left" w:pos="1418"/>
        </w:tabs>
        <w:autoSpaceDE w:val="0"/>
        <w:autoSpaceDN w:val="0"/>
        <w:ind w:firstLine="720"/>
        <w:jc w:val="both"/>
        <w:rPr>
          <w:lang w:val="lt-LT"/>
        </w:rPr>
      </w:pPr>
      <w:r>
        <w:rPr>
          <w:lang w:val="lt-LT"/>
        </w:rPr>
        <w:t>(</w:t>
      </w:r>
      <w:r w:rsidR="00482DDD">
        <w:rPr>
          <w:lang w:val="lt-LT"/>
        </w:rPr>
        <w:t>P</w:t>
      </w:r>
      <w:r>
        <w:rPr>
          <w:lang w:val="lt-LT"/>
        </w:rPr>
        <w:t xml:space="preserve">apildyta 2-ąja pastraipa pagal VMI prie FM 2005-07-12 raštą Nr. </w:t>
      </w:r>
      <w:r>
        <w:rPr>
          <w:sz w:val="22"/>
          <w:lang w:val="lt-LT"/>
        </w:rPr>
        <w:t>(18.10-31-1)-R-6516)</w:t>
      </w:r>
    </w:p>
    <w:p w14:paraId="0EFDFE86" w14:textId="77777777" w:rsidR="00093845" w:rsidRDefault="000D779E">
      <w:pPr>
        <w:tabs>
          <w:tab w:val="left" w:pos="720"/>
          <w:tab w:val="left" w:pos="1077"/>
          <w:tab w:val="left" w:pos="1418"/>
        </w:tabs>
        <w:autoSpaceDE w:val="0"/>
        <w:autoSpaceDN w:val="0"/>
        <w:ind w:firstLine="720"/>
        <w:jc w:val="both"/>
        <w:rPr>
          <w:lang w:val="lt-LT"/>
        </w:rPr>
      </w:pPr>
      <w:r>
        <w:rPr>
          <w:lang w:val="lt-LT"/>
        </w:rPr>
        <w:t>5.</w:t>
      </w:r>
      <w:r>
        <w:rPr>
          <w:lang w:val="lt-LT"/>
        </w:rPr>
        <w:tab/>
        <w:t xml:space="preserve">Pagal Lietuvos Respublikos </w:t>
      </w:r>
      <w:r w:rsidR="00273C75" w:rsidRPr="00C074BE">
        <w:rPr>
          <w:rStyle w:val="Hipersaitas"/>
          <w:rFonts w:ascii="Times New Roman" w:hAnsi="Times New Roman" w:cs="Times New Roman"/>
          <w:b w:val="0"/>
          <w:bCs w:val="0"/>
          <w:kern w:val="0"/>
          <w:lang w:val="lt-LT"/>
        </w:rPr>
        <w:t>civilinio kodekso</w:t>
      </w:r>
      <w:r w:rsidRPr="00362DE2">
        <w:rPr>
          <w:lang w:val="lt-LT"/>
        </w:rPr>
        <w:t xml:space="preserve"> </w:t>
      </w:r>
      <w:r>
        <w:rPr>
          <w:lang w:val="lt-LT"/>
        </w:rPr>
        <w:t xml:space="preserve">1.103 straipsnį obligacija – tai vertybinis popierius, patvirtinantis jo turėtojo teisę nustatytais terminais iš tą popierių išleidusio asmens gauti nominaliąją obligacijų vertę, palūkanas ar kitokį ekvivalentą ar kitas turtines teises. </w:t>
      </w:r>
    </w:p>
    <w:p w14:paraId="411A0191" w14:textId="77777777" w:rsidR="00093845" w:rsidRDefault="000D779E">
      <w:pPr>
        <w:pStyle w:val="Pagrindiniotekstotrauka3"/>
        <w:tabs>
          <w:tab w:val="left" w:pos="720"/>
          <w:tab w:val="left" w:pos="1077"/>
          <w:tab w:val="left" w:pos="1418"/>
        </w:tabs>
        <w:rPr>
          <w:rFonts w:ascii="Times New Roman" w:hAnsi="Times New Roman"/>
        </w:rPr>
      </w:pPr>
      <w:r>
        <w:rPr>
          <w:rFonts w:ascii="Times New Roman" w:hAnsi="Times New Roman"/>
        </w:rPr>
        <w:t>Tuo atveju, jei vertybinis popierius (pvz., obligacija) patvirtina, kad suėjus vertybinio popieriaus (obligacijos) leidėjo nustatytam vertybinio popieriaus (obligacijos) išpirkimo terminui, emitentas jį išperka didesne kaina nei buvo sumokėta jį išleidžiant, tai vertybinio popieriaus (obligacijos) išleidimo ir išpirkimo kainų skirtumo suma laikoma palūkanomis.</w:t>
      </w:r>
    </w:p>
    <w:p w14:paraId="1DBAFBEF" w14:textId="77777777" w:rsidR="00093845" w:rsidRDefault="000D779E">
      <w:pPr>
        <w:jc w:val="both"/>
        <w:rPr>
          <w:lang w:val="lt-LT"/>
        </w:rPr>
      </w:pPr>
      <w:r>
        <w:rPr>
          <w:lang w:val="lt-LT"/>
        </w:rPr>
        <w:t>Pavyzdys</w:t>
      </w:r>
    </w:p>
    <w:p w14:paraId="295FB4A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20"/>
        <w:jc w:val="both"/>
        <w:rPr>
          <w:lang w:val="lt-LT"/>
        </w:rPr>
      </w:pPr>
      <w:r>
        <w:rPr>
          <w:lang w:val="lt-LT"/>
        </w:rPr>
        <w:t>Japonijos vienetas A iš Lietuvos vieneto B įsigijo 1000 obligacijų po 90 litų. Nominali vienos obligacijos vertė 100 litų. Suėjus obligacijų išpirkimo terminui, obligacijas išleidęs Lietuvos vienetas B išpirko obligacijas, Japonijos vienetui A sumokėdama nominalią obligacijos vertę (po 100 litų). Obligacijų įsigijimo ir išpirkimo vertės 10000 Lt skirtumo (100 000 – 90 000) suma laikoma palūkanomis.</w:t>
      </w:r>
    </w:p>
    <w:p w14:paraId="57A22051" w14:textId="77777777" w:rsidR="00093845" w:rsidRDefault="000D779E">
      <w:pPr>
        <w:tabs>
          <w:tab w:val="left" w:pos="720"/>
          <w:tab w:val="left" w:pos="1080"/>
        </w:tabs>
        <w:ind w:firstLine="720"/>
        <w:jc w:val="both"/>
        <w:rPr>
          <w:lang w:val="lt-LT"/>
        </w:rPr>
      </w:pPr>
      <w:r>
        <w:rPr>
          <w:lang w:val="lt-LT"/>
        </w:rPr>
        <w:t>(Papildyta VMI prie FM 2003-11-06 raštu Nr. (18.9-08-2)-R-10119.)</w:t>
      </w:r>
    </w:p>
    <w:p w14:paraId="01BE9F5E" w14:textId="77777777" w:rsidR="00093845" w:rsidRPr="0065344A" w:rsidRDefault="000D779E" w:rsidP="006022AD">
      <w:pPr>
        <w:spacing w:after="0"/>
        <w:jc w:val="both"/>
        <w:rPr>
          <w:b/>
          <w:lang w:val="lt-LT"/>
        </w:rPr>
      </w:pPr>
      <w:r w:rsidRPr="0065344A">
        <w:rPr>
          <w:lang w:val="lt-LT"/>
        </w:rPr>
        <w:lastRenderedPageBreak/>
        <w:tab/>
      </w:r>
      <w:r w:rsidRPr="0065344A">
        <w:rPr>
          <w:b/>
          <w:lang w:val="lt-LT"/>
        </w:rPr>
        <w:t>28</w:t>
      </w:r>
      <w:r w:rsidRPr="0065344A">
        <w:rPr>
          <w:b/>
          <w:vertAlign w:val="superscript"/>
          <w:lang w:val="lt-LT"/>
        </w:rPr>
        <w:t>1</w:t>
      </w:r>
      <w:r w:rsidRPr="0065344A">
        <w:rPr>
          <w:b/>
          <w:lang w:val="lt-LT"/>
        </w:rPr>
        <w:t>. Pajamos iš žemės ūkio veiklos – kaip ši sąvoka apibrėžta Lietuvos Respublikos gyventojų pajamų mokesčio įstatyme.</w:t>
      </w:r>
    </w:p>
    <w:p w14:paraId="08F487C2" w14:textId="77777777" w:rsidR="006022AD" w:rsidRPr="0067677F" w:rsidRDefault="006022AD" w:rsidP="006022AD">
      <w:pPr>
        <w:pStyle w:val="Pagrindinistekstas3"/>
        <w:spacing w:after="0"/>
        <w:jc w:val="both"/>
        <w:rPr>
          <w:rFonts w:ascii="Times New (W1)" w:hAnsi="Times New (W1)"/>
          <w:i/>
          <w:iCs/>
          <w:color w:val="000000"/>
        </w:rPr>
      </w:pPr>
      <w:r w:rsidRPr="0067677F">
        <w:rPr>
          <w:bCs/>
          <w:i/>
        </w:rPr>
        <w:t xml:space="preserve">(KEISTA: 2008 12 18 įstatymu Nr. XI–73, įsigaliojo nuo 2008 m. gruodžio 30 d.; </w:t>
      </w:r>
      <w:r w:rsidRPr="0067677F">
        <w:rPr>
          <w:rFonts w:ascii="Times New (W1)" w:hAnsi="Times New (W1)"/>
          <w:i/>
          <w:iCs/>
          <w:color w:val="000000"/>
        </w:rPr>
        <w:t>taikoma apskaičiuojant 2011 metų ir vėlesnių metų mokestinių laikotarpių pelno mokestį)</w:t>
      </w:r>
    </w:p>
    <w:p w14:paraId="2808D035" w14:textId="77777777" w:rsidR="006022AD" w:rsidRPr="0065344A" w:rsidRDefault="006022AD">
      <w:pPr>
        <w:jc w:val="both"/>
        <w:rPr>
          <w:b/>
          <w:lang w:val="lt-LT"/>
        </w:rPr>
      </w:pPr>
    </w:p>
    <w:p w14:paraId="75284A99" w14:textId="77777777" w:rsidR="00093845" w:rsidRDefault="000D779E">
      <w:pPr>
        <w:ind w:firstLine="720"/>
        <w:jc w:val="both"/>
        <w:rPr>
          <w:b/>
          <w:lang w:val="lt-LT"/>
        </w:rPr>
      </w:pPr>
      <w:r>
        <w:rPr>
          <w:b/>
          <w:lang w:val="lt-LT"/>
        </w:rPr>
        <w:t>Komentaras</w:t>
      </w:r>
    </w:p>
    <w:p w14:paraId="25C2B9DF" w14:textId="77777777" w:rsidR="00093845" w:rsidRDefault="000D779E">
      <w:pPr>
        <w:ind w:firstLine="720"/>
        <w:jc w:val="both"/>
        <w:rPr>
          <w:lang w:val="lt-LT" w:eastAsia="lt-LT"/>
        </w:rPr>
      </w:pPr>
      <w:r>
        <w:rPr>
          <w:lang w:val="lt-LT"/>
        </w:rPr>
        <w:t xml:space="preserve">1. Lietuvos Respublikos gyventojų pajamų mokesčio įstatymo 2 str. 33 dalyje (2010 m. lapkričio 23 d. įstatymo </w:t>
      </w:r>
      <w:hyperlink r:id="rId18" w:tgtFrame="FTurinys" w:tooltip="Lietuvos Respublikos gyventojų pajamų mokesčio įstatymo 2, 3, 5, 6, 7, 8, 9, 10, 12, 13-1, 16, 17, 18, 19, 20, 21, 22, 23, 27, 29, 30 straipsnių pakeitimo ir papildymo ir įstatymo papildymo 18-1 straipsniu įstatymas" w:history="1">
        <w:r>
          <w:rPr>
            <w:lang w:val="lt-LT"/>
          </w:rPr>
          <w:t>Nr. XI–11</w:t>
        </w:r>
      </w:hyperlink>
      <w:r>
        <w:rPr>
          <w:lang w:val="lt-LT"/>
        </w:rPr>
        <w:t xml:space="preserve">52 redakcija nustatyta, kad </w:t>
      </w:r>
      <w:r>
        <w:rPr>
          <w:u w:val="single"/>
          <w:lang w:val="lt-LT"/>
        </w:rPr>
        <w:t xml:space="preserve">pajamos iš žemės ūkio veiklos </w:t>
      </w:r>
      <w:r>
        <w:rPr>
          <w:lang w:val="lt-LT"/>
        </w:rPr>
        <w:t xml:space="preserve">– pajamos iš žemės ūkio produktų gamybos, kaip tai apibrėžta Lietuvos Respublikos žemės ūkio, maisto ūkio ir kaimo plėtros įstatyme (toliau – ŽMKPĮ), pajamos </w:t>
      </w:r>
      <w:r>
        <w:rPr>
          <w:lang w:val="lt-LT" w:eastAsia="lt-LT"/>
        </w:rPr>
        <w:t>iš Lietuvos Respublikos Vyriausybės ar jos įgaliotos institucijos patvirtintame sąraše nurodytų paslaugų žemės ūkiui teikimo, taip pat pajamos, gautos realizuojant iš savo ūkio žemės ūkio produktų pagamintus maisto produktus.</w:t>
      </w:r>
    </w:p>
    <w:p w14:paraId="3A6159A2" w14:textId="77777777" w:rsidR="00093845" w:rsidRDefault="000D779E">
      <w:pPr>
        <w:ind w:firstLine="720"/>
        <w:jc w:val="both"/>
        <w:rPr>
          <w:lang w:val="lt-LT"/>
        </w:rPr>
      </w:pPr>
      <w:r>
        <w:rPr>
          <w:lang w:val="lt-LT"/>
        </w:rPr>
        <w:t>Pagal ŽMKPĮ nuostatas žemės ūkio produktų gamybai yra priskiriama veikla, apimanti pirminę gamybą ir pirminį perdirbimą.</w:t>
      </w:r>
    </w:p>
    <w:p w14:paraId="43B8697A" w14:textId="77777777" w:rsidR="00093845" w:rsidRDefault="000D779E">
      <w:pPr>
        <w:ind w:firstLine="720"/>
        <w:jc w:val="both"/>
        <w:rPr>
          <w:lang w:val="lt-LT"/>
        </w:rPr>
      </w:pPr>
      <w:r>
        <w:rPr>
          <w:lang w:val="lt-LT"/>
        </w:rPr>
        <w:t>Šioje dalyje žemės ūkio produktų gamybą apibrėžiančios sąvokos suprantamos taip, kaip nustatyta ŽMKPĮ:</w:t>
      </w:r>
    </w:p>
    <w:p w14:paraId="14B34E0E" w14:textId="77777777" w:rsidR="00093845" w:rsidRDefault="000D779E" w:rsidP="00EC4E29">
      <w:pPr>
        <w:numPr>
          <w:ilvl w:val="0"/>
          <w:numId w:val="15"/>
        </w:numPr>
        <w:jc w:val="both"/>
        <w:rPr>
          <w:lang w:val="lt-LT"/>
        </w:rPr>
      </w:pPr>
      <w:r>
        <w:rPr>
          <w:lang w:val="lt-LT"/>
        </w:rPr>
        <w:t xml:space="preserve">Pirminė gamyba – </w:t>
      </w:r>
      <w:hyperlink r:id="rId19" w:anchor="80z#80z" w:history="1">
        <w:r>
          <w:rPr>
            <w:lang w:val="lt-LT"/>
          </w:rPr>
          <w:t>žemės</w:t>
        </w:r>
      </w:hyperlink>
      <w:r>
        <w:rPr>
          <w:lang w:val="lt-LT"/>
        </w:rPr>
        <w:t xml:space="preserve"> </w:t>
      </w:r>
      <w:hyperlink r:id="rId20" w:anchor="81z#81z" w:history="1">
        <w:r>
          <w:rPr>
            <w:lang w:val="lt-LT"/>
          </w:rPr>
          <w:t>ūkio</w:t>
        </w:r>
      </w:hyperlink>
      <w:r>
        <w:rPr>
          <w:lang w:val="lt-LT"/>
        </w:rPr>
        <w:t xml:space="preserve"> produktų gamyba, įskaitant ir auginimą, derliaus nuėmimą, melžimą, gyvūnų veisimą.</w:t>
      </w:r>
    </w:p>
    <w:p w14:paraId="3DC635AB" w14:textId="77777777" w:rsidR="00093845" w:rsidRDefault="000D779E" w:rsidP="00EC4E29">
      <w:pPr>
        <w:numPr>
          <w:ilvl w:val="0"/>
          <w:numId w:val="15"/>
        </w:numPr>
        <w:jc w:val="both"/>
        <w:rPr>
          <w:lang w:val="lt-LT"/>
        </w:rPr>
      </w:pPr>
      <w:r>
        <w:rPr>
          <w:lang w:val="lt-LT"/>
        </w:rPr>
        <w:t xml:space="preserve">Pirminis perdirbimas – veikla: apdorojimas, apdirbimas, pirminis tvarkymas, kurios metu iš </w:t>
      </w:r>
      <w:hyperlink r:id="rId21" w:anchor="82z#82z" w:history="1">
        <w:r>
          <w:rPr>
            <w:lang w:val="lt-LT"/>
          </w:rPr>
          <w:t>žemės</w:t>
        </w:r>
      </w:hyperlink>
      <w:r>
        <w:rPr>
          <w:lang w:val="lt-LT"/>
        </w:rPr>
        <w:t xml:space="preserve"> </w:t>
      </w:r>
      <w:hyperlink r:id="rId22" w:anchor="83z#83z" w:history="1">
        <w:r>
          <w:rPr>
            <w:lang w:val="lt-LT"/>
          </w:rPr>
          <w:t>ūkio</w:t>
        </w:r>
      </w:hyperlink>
      <w:r>
        <w:rPr>
          <w:lang w:val="lt-LT"/>
        </w:rPr>
        <w:t xml:space="preserve"> produkto nekeičiant jo cheminės sudėties taip pat gaunamas </w:t>
      </w:r>
      <w:hyperlink r:id="rId23" w:anchor="84z#84z" w:history="1">
        <w:r>
          <w:rPr>
            <w:lang w:val="lt-LT"/>
          </w:rPr>
          <w:t>žemės</w:t>
        </w:r>
      </w:hyperlink>
      <w:r>
        <w:rPr>
          <w:lang w:val="lt-LT"/>
        </w:rPr>
        <w:t xml:space="preserve"> </w:t>
      </w:r>
      <w:hyperlink r:id="rId24" w:anchor="85z#85z" w:history="1">
        <w:r>
          <w:rPr>
            <w:lang w:val="lt-LT"/>
          </w:rPr>
          <w:t>ūkio</w:t>
        </w:r>
      </w:hyperlink>
      <w:r>
        <w:rPr>
          <w:lang w:val="lt-LT"/>
        </w:rPr>
        <w:t xml:space="preserve"> produktas.</w:t>
      </w:r>
    </w:p>
    <w:p w14:paraId="7805BF01" w14:textId="77777777" w:rsidR="00093845" w:rsidRDefault="00F020FC" w:rsidP="00EC4E29">
      <w:pPr>
        <w:numPr>
          <w:ilvl w:val="0"/>
          <w:numId w:val="15"/>
        </w:numPr>
        <w:jc w:val="both"/>
        <w:rPr>
          <w:lang w:val="lt-LT"/>
        </w:rPr>
      </w:pPr>
      <w:hyperlink r:id="rId25" w:anchor="93z#93z" w:history="1">
        <w:r w:rsidR="000D779E">
          <w:rPr>
            <w:lang w:val="lt-LT"/>
          </w:rPr>
          <w:t>Žemės</w:t>
        </w:r>
      </w:hyperlink>
      <w:r w:rsidR="000D779E">
        <w:rPr>
          <w:lang w:val="lt-LT"/>
        </w:rPr>
        <w:t xml:space="preserve"> </w:t>
      </w:r>
      <w:hyperlink r:id="rId26" w:anchor="94z#94z" w:history="1">
        <w:r w:rsidR="000D779E">
          <w:rPr>
            <w:lang w:val="lt-LT"/>
          </w:rPr>
          <w:t>ūkio</w:t>
        </w:r>
      </w:hyperlink>
      <w:r w:rsidR="000D779E">
        <w:rPr>
          <w:lang w:val="lt-LT"/>
        </w:rPr>
        <w:t xml:space="preserve"> produktai – augalininkystės, gyvulininkystės, paukštininkystės, žvėrininkystės, bitininkystės ir žuvininkystės produktai ir iš jų gauti pirminio perdirbimo produktai.</w:t>
      </w:r>
    </w:p>
    <w:p w14:paraId="0F7D7A0F" w14:textId="77777777" w:rsidR="00093845" w:rsidRDefault="000D779E">
      <w:pPr>
        <w:ind w:firstLine="720"/>
        <w:jc w:val="both"/>
        <w:rPr>
          <w:lang w:val="lt-LT"/>
        </w:rPr>
      </w:pPr>
      <w:r>
        <w:rPr>
          <w:lang w:val="lt-LT"/>
        </w:rPr>
        <w:t>Pažymėtina, kad kailiai yra laikomi žemės ūkio produktais, o kailių apdorojimas priskiriamas pirminiam perdirbimui, todėl pajamos iš kailių apdorojimo veiklos yra laikomos pajamomis iš žemės ūkio veiklos.</w:t>
      </w:r>
    </w:p>
    <w:p w14:paraId="5BC04C1E" w14:textId="77777777" w:rsidR="00093845" w:rsidRPr="0065344A" w:rsidRDefault="000D779E">
      <w:pPr>
        <w:ind w:firstLine="720"/>
        <w:jc w:val="both"/>
        <w:rPr>
          <w:lang w:val="lt-LT"/>
        </w:rPr>
      </w:pPr>
      <w:r w:rsidRPr="0065344A">
        <w:rPr>
          <w:lang w:val="lt-LT"/>
        </w:rPr>
        <w:t xml:space="preserve">2. Apskaičiuojant ir deklaruojant 2011 metų mokestinio laikotarpio pajamas iš žemės ūkio veiklos, taikomas Paslaugų žemės ūkiui, iš kurių gautos pajamos laikomos pajamomis iš žemės ūkio veiklos, sąrašas, patvirtintas Lietuvos Respublikos finansų ministro 2010 m. gruodžio 31 d. įsakymu Nr. 1K-414 „Dėl paslaugų žemės ūkiui, iš kurių gautos pajamos laikomos pajamomis iš žemės ūkio veiklos, sąrašo patvirtinimo“. </w:t>
      </w:r>
    </w:p>
    <w:p w14:paraId="7B34FD5A" w14:textId="77777777" w:rsidR="00093845" w:rsidRPr="0065344A" w:rsidRDefault="000D779E">
      <w:pPr>
        <w:tabs>
          <w:tab w:val="left" w:pos="567"/>
          <w:tab w:val="left" w:pos="1077"/>
          <w:tab w:val="left" w:pos="1418"/>
        </w:tabs>
        <w:autoSpaceDE w:val="0"/>
        <w:autoSpaceDN w:val="0"/>
        <w:jc w:val="both"/>
        <w:rPr>
          <w:lang w:val="lt-LT"/>
        </w:rPr>
      </w:pPr>
      <w:r w:rsidRPr="0065344A">
        <w:rPr>
          <w:lang w:val="lt-LT"/>
        </w:rPr>
        <w:tab/>
        <w:t>Apskaičiuojant ir deklaruojant 2012 – jų ir vėlesnių metų mokestinių laikotarpių pajamas iš žemės ūkio veiklos, taikomas Paslaugų žemės ūkiui sąrašas, patvirtintas Lietuvos Respublikos Vyriausybės 2012 m. sausio 25 d. nutarimu Nr. 76 „Dėl paslaugų žemės ūkiui sąrašo patvirtinimo“.</w:t>
      </w:r>
    </w:p>
    <w:p w14:paraId="3AE85976" w14:textId="77777777" w:rsidR="00482DDD" w:rsidRPr="0065344A" w:rsidRDefault="000D779E">
      <w:pPr>
        <w:ind w:firstLine="720"/>
        <w:jc w:val="both"/>
        <w:rPr>
          <w:lang w:val="lt-LT"/>
        </w:rPr>
      </w:pPr>
      <w:r w:rsidRPr="0065344A">
        <w:rPr>
          <w:lang w:val="lt-LT"/>
        </w:rPr>
        <w:t xml:space="preserve">Pajamos iš paslaugų žemės ūkiui, laikomos žemės ūkio veiklos pajamomis tik tokiu atveju, jeigu šios paslaugos yra suteikiamos asmenims, besiverčiantiems žemės ūkio produktų gamyba, kaip tai apibrėžta Lietuvos Respublikos žemės ūkio, maisto ūkio ir kaimo plėtros įstatyme, t. y. užsiimantiems žemės ūkio produktų gamyba, įskaitant ir auginimą, derliaus nuėmimą, melžimą, gyvūnų veisimą, ir (ar) jos metu gautų savo žemės ūkio produktų pirminiu perdirbimu, t. y. veikla - apdorojimas, apdirbimas, pirminis tvarkymas, kurios metu iš žemės ūkio produkto nekeičiant jo cheminės sudėties taip pat gaunamas žemės ūkio produktas. </w:t>
      </w:r>
    </w:p>
    <w:p w14:paraId="7EBCCFC4" w14:textId="77777777" w:rsidR="00093845" w:rsidRPr="0065344A" w:rsidRDefault="000D779E">
      <w:pPr>
        <w:ind w:firstLine="720"/>
        <w:jc w:val="both"/>
        <w:rPr>
          <w:lang w:val="lt-LT"/>
        </w:rPr>
      </w:pPr>
      <w:r>
        <w:rPr>
          <w:lang w:val="lt-LT"/>
        </w:rPr>
        <w:t>(</w:t>
      </w:r>
      <w:r>
        <w:t>PMĮ 2</w:t>
      </w:r>
      <w:r>
        <w:rPr>
          <w:lang w:val="lt-LT"/>
        </w:rPr>
        <w:t xml:space="preserve"> str. </w:t>
      </w:r>
      <w:r>
        <w:t xml:space="preserve">28-1 dalies 2 punkto </w:t>
      </w:r>
      <w:r>
        <w:rPr>
          <w:lang w:val="lt-LT"/>
        </w:rPr>
        <w:t xml:space="preserve">komentaras pakeistas pagal VMI prie FM 2015-07-07 raštą Nr. </w:t>
      </w:r>
      <w:r w:rsidRPr="0065344A">
        <w:rPr>
          <w:lang w:val="lt-LT"/>
        </w:rPr>
        <w:t xml:space="preserve">(18.10-31-1) RM-15026)). </w:t>
      </w:r>
    </w:p>
    <w:p w14:paraId="2C7B927B" w14:textId="77777777" w:rsidR="00093845" w:rsidRDefault="000D779E">
      <w:pPr>
        <w:ind w:firstLine="720"/>
        <w:jc w:val="both"/>
        <w:rPr>
          <w:lang w:val="lt-LT"/>
        </w:rPr>
      </w:pPr>
      <w:r>
        <w:rPr>
          <w:lang w:val="lt-LT"/>
        </w:rPr>
        <w:lastRenderedPageBreak/>
        <w:t>3</w:t>
      </w:r>
      <w:r>
        <w:rPr>
          <w:b/>
          <w:lang w:val="lt-LT"/>
        </w:rPr>
        <w:t xml:space="preserve">. </w:t>
      </w:r>
      <w:r>
        <w:rPr>
          <w:lang w:val="lt-LT"/>
        </w:rPr>
        <w:t>Pajamos, gautos realizuojant iš savo ūkio žemės ūkio produktų pagamintus maisto produktus yra priskiriamos žemės ūkio veiklos pajamoms.</w:t>
      </w:r>
    </w:p>
    <w:p w14:paraId="1BAF5154" w14:textId="77777777" w:rsidR="00093845" w:rsidRDefault="000D779E">
      <w:pPr>
        <w:ind w:firstLine="720"/>
        <w:jc w:val="both"/>
        <w:rPr>
          <w:lang w:val="lt-LT"/>
        </w:rPr>
      </w:pPr>
      <w:r>
        <w:rPr>
          <w:lang w:val="lt-LT"/>
        </w:rPr>
        <w:t xml:space="preserve">4. Pagal ŽMKPĮ 2 str. 18 dalies nuostatas žemės ūkio produktams priskiriami žuvininkystės produktai ir iš jų gauti pirminio perdirbimo produktai. </w:t>
      </w:r>
    </w:p>
    <w:p w14:paraId="2FCFB26C" w14:textId="77777777" w:rsidR="00093845" w:rsidRDefault="00F020FC">
      <w:pPr>
        <w:ind w:firstLine="720"/>
        <w:jc w:val="both"/>
        <w:rPr>
          <w:lang w:val="lt-LT"/>
        </w:rPr>
      </w:pPr>
      <w:hyperlink r:id="rId27" w:anchor="28z#28z" w:history="1">
        <w:r w:rsidR="000D779E">
          <w:rPr>
            <w:lang w:val="lt-LT"/>
          </w:rPr>
          <w:t>Žuvininkystės</w:t>
        </w:r>
      </w:hyperlink>
      <w:r w:rsidR="000D779E">
        <w:rPr>
          <w:lang w:val="lt-LT"/>
        </w:rPr>
        <w:t xml:space="preserve"> produktų gamybai, vadovaujantis ŽMKPĮ 2 str. 19 dalies nuostatomis, priskiriama veikla, apimanti pirminę gamybą (</w:t>
      </w:r>
      <w:hyperlink r:id="rId28" w:anchor="29z#29z" w:history="1">
        <w:r w:rsidR="000D779E">
          <w:rPr>
            <w:lang w:val="lt-LT"/>
          </w:rPr>
          <w:t>žuvininkystės</w:t>
        </w:r>
      </w:hyperlink>
      <w:r w:rsidR="000D779E">
        <w:rPr>
          <w:lang w:val="lt-LT"/>
        </w:rPr>
        <w:t xml:space="preserve"> produktų gamyba, įskaitant žuvų auginimą, veisimą ir gaudymą) ir pirminį perdirbimą (apdorojimas, kurio metu iš </w:t>
      </w:r>
      <w:hyperlink r:id="rId29" w:anchor="30z#30z" w:history="1">
        <w:r w:rsidR="000D779E">
          <w:rPr>
            <w:lang w:val="lt-LT"/>
          </w:rPr>
          <w:t>žuvininkystės</w:t>
        </w:r>
      </w:hyperlink>
      <w:r w:rsidR="000D779E">
        <w:rPr>
          <w:lang w:val="lt-LT"/>
        </w:rPr>
        <w:t xml:space="preserve"> produkto nekeičiant jo cheminės sudėties taip pat gaunamas </w:t>
      </w:r>
      <w:hyperlink r:id="rId30" w:anchor="31z#31z" w:history="1">
        <w:r w:rsidR="000D779E">
          <w:rPr>
            <w:lang w:val="lt-LT"/>
          </w:rPr>
          <w:t>žuvininkystės</w:t>
        </w:r>
      </w:hyperlink>
      <w:r w:rsidR="000D779E">
        <w:rPr>
          <w:lang w:val="lt-LT"/>
        </w:rPr>
        <w:t xml:space="preserve"> produktas).</w:t>
      </w:r>
    </w:p>
    <w:p w14:paraId="4DFCA7D5" w14:textId="77777777" w:rsidR="00093845" w:rsidRDefault="000D779E">
      <w:pPr>
        <w:ind w:firstLine="720"/>
        <w:jc w:val="both"/>
        <w:rPr>
          <w:lang w:val="lt-LT"/>
        </w:rPr>
      </w:pPr>
      <w:r>
        <w:rPr>
          <w:lang w:val="lt-LT"/>
        </w:rPr>
        <w:t>Atkreiptinas dėmesys į tai, kad žemės ūkio veiklai yra priskiriamas žuvų gaudymas tiek jūrų (įskaitant vandenynų), tiek vidaus vandenyse.</w:t>
      </w:r>
    </w:p>
    <w:p w14:paraId="70BF84F8" w14:textId="77777777" w:rsidR="00093845" w:rsidRDefault="000D779E">
      <w:pPr>
        <w:tabs>
          <w:tab w:val="left" w:pos="720"/>
          <w:tab w:val="left" w:pos="1080"/>
        </w:tabs>
        <w:ind w:firstLine="720"/>
        <w:jc w:val="both"/>
        <w:rPr>
          <w:lang w:val="lt-LT"/>
        </w:rPr>
      </w:pPr>
      <w:r>
        <w:rPr>
          <w:lang w:val="lt-LT"/>
        </w:rPr>
        <w:t xml:space="preserve"> (</w:t>
      </w:r>
      <w:r w:rsidR="00482DDD">
        <w:rPr>
          <w:lang w:val="lt-LT"/>
        </w:rPr>
        <w:t>Papildyta p</w:t>
      </w:r>
      <w:r>
        <w:rPr>
          <w:lang w:val="lt-LT"/>
        </w:rPr>
        <w:t>agal VMI prie FM 2011-08-10 raštą Nr. (18.18-31-1)-R-7600)</w:t>
      </w:r>
    </w:p>
    <w:p w14:paraId="7E5D2230" w14:textId="77777777" w:rsidR="00093845" w:rsidRPr="00C074BE" w:rsidRDefault="000D779E" w:rsidP="00B60348">
      <w:pPr>
        <w:tabs>
          <w:tab w:val="left" w:pos="720"/>
          <w:tab w:val="left" w:pos="1080"/>
        </w:tabs>
        <w:spacing w:after="0"/>
        <w:ind w:firstLine="720"/>
        <w:jc w:val="both"/>
        <w:rPr>
          <w:b/>
          <w:lang w:val="lt-LT"/>
        </w:rPr>
      </w:pPr>
      <w:r w:rsidRPr="0065344A">
        <w:rPr>
          <w:lang w:val="lt-LT"/>
        </w:rPr>
        <w:t xml:space="preserve"> </w:t>
      </w:r>
      <w:r w:rsidRPr="00C074BE">
        <w:rPr>
          <w:b/>
          <w:lang w:val="lt-LT"/>
        </w:rPr>
        <w:t>29. Pozityviosios pajamos – kontroliuojamojo užsienio subjekto pajamos ar jų dalis, įskaitomos į Lietuvos vieneto pajamas šio Įstatymo 39 straipsnyje nustatyta tvarka. Kontroliuojamojo užsienio vieneto pajamos ar jų dalis įskaitomos paskutinę kontroliuojamojo užsienio vieneto mokestinio laikotarpio dieną proporcingai Lietuvos vieneto valdomų akcijų (dalių, pajų), balsavimo teisių ar teisių į paskirstytinojo pelno dalį arba išimtinių teisių jas įsigyti skaičiui.</w:t>
      </w:r>
    </w:p>
    <w:p w14:paraId="55F594A1" w14:textId="77777777" w:rsidR="00093845" w:rsidRDefault="000D779E" w:rsidP="00B60348">
      <w:pPr>
        <w:tabs>
          <w:tab w:val="left" w:pos="720"/>
          <w:tab w:val="left" w:pos="1080"/>
        </w:tabs>
        <w:spacing w:after="0"/>
        <w:jc w:val="both"/>
        <w:rPr>
          <w:i/>
          <w:lang w:val="lt-LT"/>
        </w:rPr>
      </w:pPr>
      <w:r w:rsidRPr="0067677F">
        <w:rPr>
          <w:i/>
          <w:lang w:val="lt-LT"/>
        </w:rPr>
        <w:t>(KEISTA: 2018 12 06 įstatymu Nr. XIII-1697 (nuo 2019 01 01))</w:t>
      </w:r>
    </w:p>
    <w:p w14:paraId="4953D4CE" w14:textId="77777777" w:rsidR="00A914BC" w:rsidRPr="0067677F" w:rsidRDefault="00A914BC" w:rsidP="00B60348">
      <w:pPr>
        <w:tabs>
          <w:tab w:val="left" w:pos="720"/>
          <w:tab w:val="left" w:pos="1080"/>
        </w:tabs>
        <w:spacing w:after="0"/>
        <w:jc w:val="both"/>
        <w:rPr>
          <w:i/>
          <w:lang w:val="lt-LT"/>
        </w:rPr>
      </w:pPr>
    </w:p>
    <w:p w14:paraId="3017C764" w14:textId="77777777" w:rsidR="00093845" w:rsidRDefault="000D779E">
      <w:pPr>
        <w:tabs>
          <w:tab w:val="left" w:pos="720"/>
          <w:tab w:val="left" w:pos="1080"/>
        </w:tabs>
        <w:ind w:firstLine="720"/>
        <w:jc w:val="both"/>
        <w:rPr>
          <w:b/>
          <w:lang w:val="lt-LT"/>
        </w:rPr>
      </w:pPr>
      <w:r>
        <w:rPr>
          <w:b/>
          <w:lang w:val="lt-LT"/>
        </w:rPr>
        <w:t>Komentaras</w:t>
      </w:r>
    </w:p>
    <w:p w14:paraId="1B491807" w14:textId="77777777" w:rsidR="00093845" w:rsidRPr="00C074BE" w:rsidRDefault="000D779E">
      <w:pPr>
        <w:tabs>
          <w:tab w:val="left" w:pos="720"/>
          <w:tab w:val="left" w:pos="1080"/>
        </w:tabs>
        <w:ind w:firstLine="720"/>
        <w:jc w:val="both"/>
        <w:rPr>
          <w:lang w:val="lt-LT"/>
        </w:rPr>
      </w:pPr>
      <w:r>
        <w:rPr>
          <w:lang w:val="lt-LT"/>
        </w:rPr>
        <w:t>Komentaras rengiamas</w:t>
      </w:r>
    </w:p>
    <w:p w14:paraId="5E2B9012" w14:textId="77777777" w:rsidR="00093845" w:rsidRPr="00C074BE" w:rsidRDefault="00093845">
      <w:pPr>
        <w:tabs>
          <w:tab w:val="left" w:pos="720"/>
          <w:tab w:val="left" w:pos="1080"/>
        </w:tabs>
        <w:ind w:firstLine="720"/>
        <w:jc w:val="both"/>
        <w:rPr>
          <w:strike/>
          <w:lang w:val="lt-LT"/>
        </w:rPr>
      </w:pPr>
    </w:p>
    <w:p w14:paraId="4842DFF9" w14:textId="77777777" w:rsidR="00093845" w:rsidRPr="0065344A" w:rsidRDefault="000D779E" w:rsidP="00C866D8">
      <w:pPr>
        <w:spacing w:after="0"/>
        <w:ind w:firstLine="720"/>
        <w:jc w:val="both"/>
        <w:rPr>
          <w:b/>
          <w:bCs/>
          <w:shd w:val="clear" w:color="auto" w:fill="FFFFFF"/>
          <w:lang w:val="lt-LT"/>
        </w:rPr>
      </w:pPr>
      <w:r w:rsidRPr="0065344A">
        <w:rPr>
          <w:b/>
          <w:lang w:val="lt-LT"/>
        </w:rPr>
        <w:t>30. Prestižo vertė</w:t>
      </w:r>
      <w:r w:rsidRPr="0065344A">
        <w:rPr>
          <w:b/>
          <w:bCs/>
          <w:lang w:val="lt-LT"/>
        </w:rPr>
        <w:t xml:space="preserve"> </w:t>
      </w:r>
      <w:r w:rsidRPr="0065344A">
        <w:rPr>
          <w:b/>
          <w:lang w:val="lt-LT"/>
        </w:rPr>
        <w:t xml:space="preserve">– </w:t>
      </w:r>
      <w:r w:rsidRPr="0065344A">
        <w:rPr>
          <w:b/>
          <w:color w:val="000000"/>
          <w:lang w:val="lt-LT"/>
        </w:rPr>
        <w:t>dydis, kuriuo</w:t>
      </w:r>
      <w:r w:rsidRPr="0065344A">
        <w:rPr>
          <w:b/>
          <w:lang w:val="lt-LT"/>
        </w:rPr>
        <w:t xml:space="preserve">, įsigyjant kito vieneto veiklą kaip kompleksą ar jo veiklos dalį kaip teisių ir prievolių visumą, organizaciniu požiūriu sudarančią autonomišką ekonominį vienetą, vykdantį veiklą ir galintį atlikti savo funkcijas savo nuožiūra, arba siekiant valdyti kito vieneto grynąjį turtą ir veiklą, įsigyjant jo akcijas, </w:t>
      </w:r>
      <w:r w:rsidRPr="0065344A">
        <w:rPr>
          <w:b/>
          <w:color w:val="000000"/>
          <w:lang w:val="lt-LT"/>
        </w:rPr>
        <w:t>įsigyjančiojo vieneto pinigais sumokėta kaina viršija įsigyto vieneto grynojo turto dalies, įvertintos tikrąja rinkos kaina, vertę ir iš kurios įsigyjantysis vienetas tikisi gauti ekonominės naudos.</w:t>
      </w:r>
      <w:r w:rsidRPr="0065344A">
        <w:rPr>
          <w:b/>
          <w:lang w:val="lt-LT"/>
        </w:rPr>
        <w:t xml:space="preserve"> </w:t>
      </w:r>
      <w:r w:rsidRPr="0065344A">
        <w:rPr>
          <w:b/>
          <w:bCs/>
          <w:lang w:val="lt-LT"/>
        </w:rPr>
        <w:t>Apskaičiuojant grynąjį turtą neatsižvelgiama į įsigyjamojo vieneto turimą turtą, kuris nebuvo pripažintas jo apskaitoje, nes šis turtas neturėjo reikalingų pripažinimo požymių (pagrįstai nebuvo tikimasi, kad vienetas iš turto gaus ekonominės naudos būsimaisiais laikotarpiais, ir nebuvo galima patikimai nustatyti turto įsigijimo kainos), arba buvo gautas neatlyginamai iš valstybės, savivaldybės ar viešojo juridinio asmens, kurio steigėjas yra valstybės ar savivaldybės institucija, tačiau turi tikrąją rinkos kainą</w:t>
      </w:r>
      <w:r w:rsidRPr="0065344A">
        <w:rPr>
          <w:b/>
          <w:bCs/>
          <w:shd w:val="clear" w:color="auto" w:fill="FFFFFF"/>
          <w:lang w:val="lt-LT"/>
        </w:rPr>
        <w:t>.</w:t>
      </w:r>
    </w:p>
    <w:p w14:paraId="489740B4" w14:textId="77777777" w:rsidR="00C866D8" w:rsidRPr="0067677F" w:rsidRDefault="00A914BC" w:rsidP="00A914BC">
      <w:pPr>
        <w:spacing w:after="0"/>
        <w:jc w:val="both"/>
        <w:rPr>
          <w:i/>
          <w:iCs/>
        </w:rPr>
      </w:pPr>
      <w:r>
        <w:rPr>
          <w:i/>
          <w:lang w:val="lt-LT"/>
        </w:rPr>
        <w:t>(T</w:t>
      </w:r>
      <w:r w:rsidR="00C866D8" w:rsidRPr="0067677F">
        <w:rPr>
          <w:i/>
          <w:lang w:val="lt-LT"/>
        </w:rPr>
        <w:t>aikoma apskaičiuojant 2006 metais prasidėjusio mokestinio laikotarpio ir vėlesnių mokestinių laikotarpių apmokestinamąjį pelną</w:t>
      </w:r>
      <w:r w:rsidR="00C866D8" w:rsidRPr="0067677F">
        <w:rPr>
          <w:i/>
          <w:iCs/>
          <w:lang w:val="lt-LT"/>
        </w:rPr>
        <w:t xml:space="preserve"> pagal 2007 m. gegužės 3 d. įstatymu Nr. </w:t>
      </w:r>
      <w:r w:rsidR="00C866D8" w:rsidRPr="0067677F">
        <w:rPr>
          <w:i/>
          <w:iCs/>
        </w:rPr>
        <w:t>X-1110 nustatytą PMĮ 2 str. 26 dalies redakciją;</w:t>
      </w:r>
      <w:r w:rsidR="00C866D8" w:rsidRPr="0067677F">
        <w:rPr>
          <w:i/>
        </w:rPr>
        <w:t xml:space="preserve"> 2008 m. balandžio 10 d. įstatymu Nr. X-1484 buvusi PMĮ 2 str. 26 dalis pernumeruota į 27 dalį, 2008 m. liepos 14 d. įstatymu Nr. X-1697 – į 30 dalį) </w:t>
      </w:r>
    </w:p>
    <w:p w14:paraId="6D9A0CC9" w14:textId="77777777" w:rsidR="00C866D8" w:rsidRDefault="00C866D8">
      <w:pPr>
        <w:ind w:firstLine="720"/>
        <w:jc w:val="both"/>
        <w:rPr>
          <w:b/>
          <w:shd w:val="clear" w:color="auto" w:fill="FFFFFF"/>
        </w:rPr>
      </w:pPr>
    </w:p>
    <w:p w14:paraId="49E95B3A" w14:textId="77777777" w:rsidR="00093845" w:rsidRDefault="000D779E">
      <w:pPr>
        <w:ind w:firstLine="720"/>
        <w:jc w:val="both"/>
        <w:rPr>
          <w:b/>
        </w:rPr>
      </w:pPr>
      <w:r>
        <w:rPr>
          <w:b/>
        </w:rPr>
        <w:t xml:space="preserve">Komentaras </w:t>
      </w:r>
    </w:p>
    <w:p w14:paraId="185DA29B" w14:textId="77777777" w:rsidR="00093845" w:rsidRDefault="000D779E">
      <w:pPr>
        <w:ind w:firstLine="720"/>
        <w:jc w:val="both"/>
        <w:rPr>
          <w:b/>
          <w:bCs/>
        </w:rPr>
      </w:pPr>
      <w:r>
        <w:t>1. Šioje dalyje apibrėžiami prestižo susidarymo atvejai ir jo vertės apskaičiavimo principai. Prestižas gali susidaryti ir jo vertė pripažįstama PMĮ 18 straipsnio taikymo tikslais, kai įsigyjantysis vienetas</w:t>
      </w:r>
      <w:r>
        <w:rPr>
          <w:bCs/>
        </w:rPr>
        <w:t xml:space="preserve">: </w:t>
      </w:r>
    </w:p>
    <w:p w14:paraId="5B33C250" w14:textId="77777777" w:rsidR="00093845" w:rsidRDefault="000D779E">
      <w:pPr>
        <w:ind w:firstLine="720"/>
        <w:jc w:val="both"/>
        <w:rPr>
          <w:bCs/>
        </w:rPr>
      </w:pPr>
      <w:r>
        <w:lastRenderedPageBreak/>
        <w:t xml:space="preserve">- </w:t>
      </w:r>
      <w:r>
        <w:rPr>
          <w:bCs/>
        </w:rPr>
        <w:t xml:space="preserve">įsigyja kito vieneto veiklą kaip kompleksą ar veiklos dalį kaip teisių ir prievolių visumą, organizaciniu požiūriu sudarančią autonomišką ekonominį vienetą, vykdantį veiklą ir galintį atlikti savo funkcijas savo nuožiūra, t.y., kai įsigyja visą verslą ar jo dalį (toliau vadinama verslo arba veiklos arba jų dalies įsigijimu), neįsigyjant to vieneto akcijų </w:t>
      </w:r>
      <w:r>
        <w:rPr>
          <w:b/>
          <w:bCs/>
        </w:rPr>
        <w:t>arba</w:t>
      </w:r>
      <w:r>
        <w:rPr>
          <w:bCs/>
        </w:rPr>
        <w:t xml:space="preserve"> </w:t>
      </w:r>
    </w:p>
    <w:p w14:paraId="6BB26521" w14:textId="77777777" w:rsidR="00093845" w:rsidRDefault="000D779E">
      <w:pPr>
        <w:ind w:firstLine="720"/>
        <w:jc w:val="both"/>
      </w:pPr>
      <w:r>
        <w:t>- akcijas, siekdamas valdyti to vieneto grynąjį turtą ir veiklą,</w:t>
      </w:r>
      <w:r>
        <w:rPr>
          <w:b/>
          <w:bCs/>
        </w:rPr>
        <w:t xml:space="preserve"> </w:t>
      </w:r>
      <w:r>
        <w:rPr>
          <w:b/>
        </w:rPr>
        <w:t xml:space="preserve">ir </w:t>
      </w:r>
    </w:p>
    <w:p w14:paraId="35DE9CAC" w14:textId="77777777" w:rsidR="00093845" w:rsidRDefault="000D779E">
      <w:pPr>
        <w:ind w:firstLine="720"/>
        <w:jc w:val="both"/>
        <w:rPr>
          <w:b/>
        </w:rPr>
      </w:pPr>
      <w:r>
        <w:t xml:space="preserve">- už įsigytą veiklą ar akcijas sumoka pinigais, </w:t>
      </w:r>
      <w:r>
        <w:rPr>
          <w:b/>
        </w:rPr>
        <w:t>ir</w:t>
      </w:r>
    </w:p>
    <w:p w14:paraId="382D4BBA" w14:textId="77777777" w:rsidR="00093845" w:rsidRDefault="000D779E">
      <w:pPr>
        <w:jc w:val="both"/>
      </w:pPr>
      <w:r>
        <w:tab/>
        <w:t>- abiem įsigijimų atvejais tikisi gauti ekonominės naudos.</w:t>
      </w:r>
    </w:p>
    <w:p w14:paraId="3CBEDEDC" w14:textId="77777777" w:rsidR="00093845" w:rsidRDefault="000D779E">
      <w:pPr>
        <w:ind w:firstLine="720"/>
        <w:jc w:val="both"/>
        <w:rPr>
          <w:color w:val="000000"/>
        </w:rPr>
      </w:pPr>
      <w:r>
        <w:rPr>
          <w:color w:val="000000"/>
        </w:rPr>
        <w:t xml:space="preserve">Pagal šios dalies nuostatas prestižas gali būti pripažįstamas, kai iš kito vieneto įsigyjama veikla kaip turtinis kompleksas ar veiklos dalis </w:t>
      </w:r>
      <w:r>
        <w:rPr>
          <w:bCs/>
          <w:color w:val="000000"/>
        </w:rPr>
        <w:t>kaip teisių ir prievolių visuma</w:t>
      </w:r>
      <w:r>
        <w:rPr>
          <w:color w:val="000000"/>
        </w:rPr>
        <w:t>. Pagal verslo pirkimo sandorį įsigyjantysis vienetas įgyja verslą ir visa, kas su juo susiję ir naudojama ekonominėje veikloje. Tačiau verslo įsigijimo, kai perkamas įsigyjamo vieneto akcijų paketas, sandorio objektas yra akcijos, suteikiančios teisę valdyti to vieneto grynąjį turtą ir veiklą su visa jo iki tol vykdyta ekonomine veikla.</w:t>
      </w:r>
    </w:p>
    <w:p w14:paraId="017871EC" w14:textId="77777777" w:rsidR="00093845" w:rsidRDefault="000D779E">
      <w:pPr>
        <w:pStyle w:val="Default"/>
        <w:ind w:firstLine="720"/>
        <w:jc w:val="both"/>
        <w:rPr>
          <w:bCs/>
          <w:color w:val="auto"/>
        </w:rPr>
      </w:pPr>
      <w:r>
        <w:rPr>
          <w:bCs/>
          <w:color w:val="auto"/>
        </w:rPr>
        <w:t xml:space="preserve">Prestižas yra neidentifikuojamas turtas, kurio vertė </w:t>
      </w:r>
      <w:r>
        <w:t xml:space="preserve">abiem minėtais įsigijimų atvejais apskaičiuojama, kai įsigyjančiojo vieneto pinigais sumokėta kaina yra didesnė už jam tenkančią įsigyto vieneto, perkant jo akcijas, grynojo turto dalį ar įsigyto verslo grynojo turto vertę, ir </w:t>
      </w:r>
      <w:r>
        <w:rPr>
          <w:bCs/>
          <w:color w:val="auto"/>
        </w:rPr>
        <w:t>kuri parodo iš šių įsigijimų tikėtiną gauti ekonominę naudą.</w:t>
      </w:r>
    </w:p>
    <w:p w14:paraId="04B70F9A" w14:textId="77777777" w:rsidR="00093845" w:rsidRDefault="000D779E">
      <w:pPr>
        <w:pStyle w:val="Default"/>
        <w:ind w:firstLine="720"/>
        <w:jc w:val="both"/>
        <w:rPr>
          <w:bCs/>
        </w:rPr>
      </w:pPr>
      <w:r>
        <w:rPr>
          <w:bCs/>
          <w:color w:val="auto"/>
        </w:rPr>
        <w:t xml:space="preserve">Kitaip tariant prestižo vertė </w:t>
      </w:r>
      <w:r>
        <w:t xml:space="preserve">yra turtas, nusakantis būsimą ekonominę naudą, atsirandančią iš kito turto, įsigyto minėtų įsigijimų metu, kuris nėra atskirai identifikuojamas ir pripažįstamas, nes neturi reikiamų požymių pripažinti turtu ir/ar įsipareigojimais. </w:t>
      </w:r>
    </w:p>
    <w:p w14:paraId="7DDE4881" w14:textId="77777777" w:rsidR="00093845" w:rsidRPr="0065344A" w:rsidRDefault="000D779E">
      <w:pPr>
        <w:ind w:firstLine="720"/>
        <w:jc w:val="both"/>
        <w:rPr>
          <w:lang w:val="lt-LT"/>
        </w:rPr>
      </w:pPr>
      <w:r w:rsidRPr="0065344A">
        <w:rPr>
          <w:lang w:val="lt-LT"/>
        </w:rPr>
        <w:t>2. Grynuoju turtu laikomas turtas, kurio vertė yra šioje dalyje nustatytais būdais įsigytų, tikrąja rinkos kaina įvertintų turto ir įsipareigojimų skirtumas. Tikrosios rinkos kainos sąvoka apibrėžta PMĮ 2 str. 37 dalyje (žr. PMĮ 2 str. 37 dalies komentarą).</w:t>
      </w:r>
    </w:p>
    <w:p w14:paraId="53908617" w14:textId="77777777" w:rsidR="00093845" w:rsidRPr="0065344A" w:rsidRDefault="000D779E">
      <w:pPr>
        <w:ind w:firstLine="720"/>
        <w:jc w:val="both"/>
        <w:rPr>
          <w:lang w:val="lt-LT"/>
        </w:rPr>
      </w:pPr>
      <w:r w:rsidRPr="0065344A">
        <w:rPr>
          <w:lang w:val="lt-LT"/>
        </w:rPr>
        <w:t xml:space="preserve">3. Verslu suprantama veikla, kuria siekiama gauti pajamų ir pelno naudojant ekonominius išteklius. Verslo (ar verslo dalies) įsigijimu laikomas sandoris, kai įsigyjantysis vienetas, ketindamas tęsti kito vieneto vykdytą veiklą, įsigyja su ta veikla susijusį turtą, teises, pareigas ir įsipareigojimus. </w:t>
      </w:r>
    </w:p>
    <w:p w14:paraId="6A74F94B" w14:textId="77777777" w:rsidR="00093845" w:rsidRDefault="000D779E">
      <w:pPr>
        <w:pStyle w:val="Default"/>
        <w:jc w:val="both"/>
      </w:pPr>
      <w:r>
        <w:tab/>
        <w:t xml:space="preserve">Verslo įsigijimas reiškia kito vieneto viso verslo, kaip komplekso įsigijimą, perkant jo grynąjį turtą, o veiklos dalies įsigijimas - veiklos (verslo) daliai priskiriamo grynojo turto, kurio pagrindu suformuota ta veiklos dalis, kaip autonomiškas ekonominis vienetas, vykdantis veiklą ir galintis atlikti savo funkcijas savo nuožiūra, pirkimą. </w:t>
      </w:r>
    </w:p>
    <w:p w14:paraId="248CA364" w14:textId="77777777" w:rsidR="00093845" w:rsidRPr="0065344A" w:rsidRDefault="000D779E">
      <w:pPr>
        <w:ind w:firstLine="720"/>
        <w:jc w:val="both"/>
        <w:rPr>
          <w:lang w:val="lt-LT"/>
        </w:rPr>
      </w:pPr>
      <w:r w:rsidRPr="0065344A">
        <w:rPr>
          <w:lang w:val="lt-LT"/>
        </w:rPr>
        <w:t xml:space="preserve">Verslo dalimi laikoma visuma turto, su tuo turtu susiję įsipareigojimai, teisės ir pareigos (pvz., įsipareigojimai tiekėjams, įvairūs leidimai, licencijos, technologijos, rinka, turimi tiekėjai ir pirkėjai ir pan.), t.y. visa tai, kas leidžia tokią veiklos dalį identifikuoti ir išskirti iš visos įmonės veiklos kaip savarankišką ekonominį vienetą (savarankišką veiklos padalinį) ir sudaro sąlygas toliau vykdyti tokią veiklą įsigyjančiajame vienete. </w:t>
      </w:r>
    </w:p>
    <w:p w14:paraId="4264F172" w14:textId="77777777" w:rsidR="00093845" w:rsidRDefault="000D779E">
      <w:pPr>
        <w:ind w:firstLine="720"/>
        <w:jc w:val="both"/>
      </w:pPr>
      <w:r>
        <w:t>Ne kiekvienas sandoris laikomas verslo įsigijimu. Prestižas nepripažįstamas ir jo vertė nenustatoma, kai įsigyto turto ir įsipareigojimų, negalima identifikuoti kaip verslo.</w:t>
      </w:r>
    </w:p>
    <w:p w14:paraId="358F6C25" w14:textId="77777777" w:rsidR="00093845" w:rsidRDefault="000D779E">
      <w:pPr>
        <w:pStyle w:val="CM4"/>
        <w:ind w:firstLine="720"/>
        <w:jc w:val="both"/>
        <w:rPr>
          <w:b/>
          <w:bCs/>
          <w:color w:val="000000"/>
          <w:lang w:val="lt-LT"/>
        </w:rPr>
      </w:pPr>
      <w:r>
        <w:rPr>
          <w:bCs/>
          <w:color w:val="000000"/>
          <w:lang w:val="lt-LT"/>
        </w:rPr>
        <w:t>Įsigyjantysis vienetas turi nustatyti, ar sandoris (įsigytas turtas ir/ar prisiimti įsipareigojimai) yra verslas.</w:t>
      </w:r>
      <w:r>
        <w:rPr>
          <w:b/>
          <w:bCs/>
          <w:color w:val="000000"/>
          <w:lang w:val="lt-LT"/>
        </w:rPr>
        <w:t xml:space="preserve"> </w:t>
      </w:r>
    </w:p>
    <w:p w14:paraId="5A349717" w14:textId="77777777" w:rsidR="00093845" w:rsidRPr="0065344A" w:rsidRDefault="000D779E">
      <w:pPr>
        <w:autoSpaceDE w:val="0"/>
        <w:autoSpaceDN w:val="0"/>
        <w:adjustRightInd w:val="0"/>
        <w:ind w:firstLine="720"/>
        <w:jc w:val="both"/>
        <w:rPr>
          <w:color w:val="000000"/>
          <w:lang w:val="lt-LT"/>
        </w:rPr>
      </w:pPr>
      <w:r w:rsidRPr="0065344A">
        <w:rPr>
          <w:rFonts w:eastAsia="Arial Unicode MS"/>
          <w:lang w:val="lt-LT"/>
        </w:rPr>
        <w:t xml:space="preserve">Pagal 3-ojo TFAS nuostatas, verslas identifikuojamas, kai </w:t>
      </w:r>
      <w:r w:rsidRPr="0065344A">
        <w:rPr>
          <w:lang w:val="lt-LT"/>
        </w:rPr>
        <w:t>yra: ekonominiai ištekliai (p</w:t>
      </w:r>
      <w:r w:rsidRPr="0065344A">
        <w:rPr>
          <w:color w:val="000000"/>
          <w:lang w:val="lt-LT"/>
        </w:rPr>
        <w:t xml:space="preserve">avyzdžiui, gali būti ilgalaikis turtas (įskaitant nematerialųjį turtą arba teises naudoti ilgalaikį turtą), intelektinė nuosavybė, galimybė gauti prieigą prie reikalingų medžiagų arba teisės ir darbuotojai; </w:t>
      </w:r>
      <w:r w:rsidRPr="0065344A">
        <w:rPr>
          <w:lang w:val="lt-LT"/>
        </w:rPr>
        <w:t xml:space="preserve">procesai, kurie taikomi tiems ištekliams, kurie visi kartu yra arba bus naudojami produkcijai gaminti; </w:t>
      </w:r>
      <w:r w:rsidRPr="0065344A">
        <w:rPr>
          <w:lang w:val="lt-LT"/>
        </w:rPr>
        <w:lastRenderedPageBreak/>
        <w:t>ir produkcija (kaip i</w:t>
      </w:r>
      <w:r w:rsidRPr="0065344A">
        <w:rPr>
          <w:color w:val="000000"/>
          <w:lang w:val="lt-LT"/>
        </w:rPr>
        <w:t xml:space="preserve">šteklių ir tiems ištekliams taikomų procesų, dėl kurių gaunamas pajamos ir pelnas, rezultatas). </w:t>
      </w:r>
    </w:p>
    <w:p w14:paraId="2E952A6B" w14:textId="77777777" w:rsidR="00093845" w:rsidRDefault="000D779E">
      <w:pPr>
        <w:autoSpaceDE w:val="0"/>
        <w:autoSpaceDN w:val="0"/>
        <w:adjustRightInd w:val="0"/>
        <w:ind w:firstLine="720"/>
        <w:jc w:val="both"/>
        <w:rPr>
          <w:color w:val="000000"/>
        </w:rPr>
      </w:pPr>
      <w:r>
        <w:rPr>
          <w:color w:val="000000"/>
        </w:rPr>
        <w:t>Vieneto veiklos ir turto junginys kūrimo etape gali neturėti produkcijos. Įsigyjantis vienetas, siekdamas nustatyti ar tai verslas, turėtų apsvarstyti kitus veiksnius, pavyzdžiui, ar vienetas pradėjo suplanuotą pagrindinę veiklą; turi darbuotojų, intelektinės nuosavybės ir kitų išteklių bei procesų, kurie galėtų būti taikomi tiems ištekliams; planuoja gaminti produkciją; turės klientų, kurie pirks produkciją ir pan.</w:t>
      </w:r>
    </w:p>
    <w:p w14:paraId="2B891547" w14:textId="77777777" w:rsidR="00093845" w:rsidRDefault="000D779E">
      <w:pPr>
        <w:ind w:firstLine="720"/>
        <w:jc w:val="both"/>
      </w:pPr>
      <w:r>
        <w:t xml:space="preserve">4. Iš kito vieneto verslą įsigijęs vienetas, norėdamas apskaičiuoti prestižo vertę, turi įvertinti su verslu susijusį identifikuojamą turtą ir (ar) prisiimtus įsipareigojimus tikrąja rinkos kaina verslo įsigijimo datą. </w:t>
      </w:r>
    </w:p>
    <w:p w14:paraId="4502066E" w14:textId="77777777" w:rsidR="00093845" w:rsidRDefault="000D779E">
      <w:pPr>
        <w:ind w:firstLine="720"/>
        <w:jc w:val="both"/>
      </w:pPr>
      <w:r>
        <w:t>Verslo įsigijimo data yra ta data, kurią įsigyjantysis vienetas, ketindamas tęsti įsigytą verslą, iš kito vieneto perėmė su perleidžiamu verslu susijusį turtą ir (ar) įsipareigojimus, t.y., kai peremė su tuo turtu susijusią riziką, naudą ir prievolę vykdyti to vieneto įsipareigojimus, susijusius su įsigyjamu verslu.</w:t>
      </w:r>
    </w:p>
    <w:p w14:paraId="79BD884B" w14:textId="77777777" w:rsidR="00093845" w:rsidRDefault="000D779E">
      <w:pPr>
        <w:ind w:firstLine="720"/>
        <w:jc w:val="both"/>
      </w:pPr>
      <w:r>
        <w:t xml:space="preserve">Prestižo vertė apskaičiuojama, jeigu įsigyjančiojo vieneto pinigais sumokėta kaina yra didesnė už įsigyto verslo grynojo turto, įvertinto tikrąja rinkos kaina, vertę ir įsigyjantysis vienetas dėl šio įsigijimo ateityje tikisi gauti ekonominės naudos. </w:t>
      </w:r>
    </w:p>
    <w:p w14:paraId="77229962" w14:textId="77777777" w:rsidR="00093845" w:rsidRDefault="000D779E">
      <w:pPr>
        <w:ind w:firstLine="720"/>
        <w:jc w:val="both"/>
        <w:rPr>
          <w:bCs/>
        </w:rPr>
      </w:pPr>
      <w:r>
        <w:t xml:space="preserve">Apskaičiuotas už verslą sumokėtos kainos ir verslo grynojo turto vertės skirtumas pripažįstamas prestižo verte ir įsigijusio </w:t>
      </w:r>
      <w:r>
        <w:rPr>
          <w:bCs/>
        </w:rPr>
        <w:t>vieneto atskirame balanso nematerialiojo turto straipsnyje parodoma kaip prestižas.</w:t>
      </w:r>
    </w:p>
    <w:p w14:paraId="0563336D" w14:textId="77777777" w:rsidR="00093845" w:rsidRDefault="000D779E">
      <w:pPr>
        <w:pStyle w:val="Default"/>
        <w:ind w:firstLine="720"/>
        <w:jc w:val="both"/>
        <w:rPr>
          <w:color w:val="auto"/>
        </w:rPr>
      </w:pPr>
      <w:r>
        <w:t xml:space="preserve">Verslą </w:t>
      </w:r>
      <w:r>
        <w:rPr>
          <w:bCs/>
          <w:color w:val="auto"/>
        </w:rPr>
        <w:t xml:space="preserve">įsigijusiam vienetui perimto su verslu susijusio turto įsigijimo kaina yra </w:t>
      </w:r>
      <w:r>
        <w:rPr>
          <w:color w:val="auto"/>
        </w:rPr>
        <w:t>šio turto tikroji rinkos kaina, nustatyta verslo įsigijimo datą (atsižvelgiant į PMĮ 14 str. 1 dalies nuostatas, žr. komentarą).</w:t>
      </w:r>
    </w:p>
    <w:p w14:paraId="49B88296" w14:textId="77777777" w:rsidR="00093845" w:rsidRDefault="000D779E">
      <w:pPr>
        <w:ind w:firstLine="720"/>
        <w:jc w:val="both"/>
      </w:pPr>
      <w:r>
        <w:t>Pavyzdys</w:t>
      </w:r>
    </w:p>
    <w:p w14:paraId="467691DA"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UAB „A“ aliejaus gamintoja, 2015 m. birželio 30 d.  įsigijo iš UAB „B“ logistikos verslo dalį su pastatu ir įrenginiais, kurie ateityje teiks ekonominės naudos. Pardavimo dieną UAB „B“ apskaitoje pastato dalies likutinė vertė buvo 150 000 EUR, o įrenginių likutinė vertė – 80 000 EUR, UAB „A“ pasamdyti turto vertintojai įvertino parduodamą pastatą ir įrenginius tikrąja rinkos kaina ir nustatė, kad pastato tikroji rinkos kaina yra 200 000 EUR, o įrenginių − 90 000 EUR. PMĮ taikymo tikslais UAB „A“ įsigyto pastato ir įrenginių įsigijimo kaina yra jų tikroji rinkos kaina.</w:t>
      </w:r>
    </w:p>
    <w:p w14:paraId="4DC63E79" w14:textId="77777777" w:rsidR="00093845" w:rsidRPr="0065344A" w:rsidRDefault="000D779E" w:rsidP="004E1705">
      <w:pPr>
        <w:pStyle w:val="CM4"/>
        <w:jc w:val="both"/>
        <w:rPr>
          <w:lang w:val="lt-LT"/>
        </w:rPr>
      </w:pPr>
      <w:r w:rsidRPr="0065344A">
        <w:rPr>
          <w:lang w:val="lt-LT"/>
        </w:rPr>
        <w:tab/>
        <w:t>Įsigijęs verslą, įsigyjantysis vienetas turi tęsti tą patį verslą, naudodamas įsigytą turtą. Jeigu  verslas netęsiamas arba jei įsigytasis turtas ir įsipareigojimai nebus naudojami įsigytam verslui vystyti, o panaudojami kitiems tikslams (pavyzdžiui, su įsigyta veikla susijęs turtas parduodamas arba išnuomojamas), arba įsigytas turtas ir įsipareigojimai neidentifikuojami kaip verslas, toke įsigijimai nelaikomi verslo įsigijimu, bet turto ir įsipareigojimų pirkimo sandoriais ir apmokestinami pagal bendras PMĮ nuostatas. Šiuo atveju prestižo vertė neskaičuojama ir nepripažįstama.</w:t>
      </w:r>
    </w:p>
    <w:p w14:paraId="49577F79" w14:textId="77777777" w:rsidR="00093845" w:rsidRDefault="000D779E">
      <w:pPr>
        <w:pStyle w:val="Default"/>
        <w:ind w:firstLine="720"/>
        <w:jc w:val="both"/>
      </w:pPr>
      <w:r>
        <w:t xml:space="preserve">5. Kai sandorio objektas yra akcijos, suteikiančios teisę valdyti kito vieneto grynąjį turtą ir veiklą, </w:t>
      </w:r>
      <w:r>
        <w:rPr>
          <w:bCs/>
        </w:rPr>
        <w:t xml:space="preserve">turtas ir įsipareigojimai įsigyjančiajam vienetui faktiškai neperduodami, bet </w:t>
      </w:r>
      <w:r>
        <w:t xml:space="preserve">įsigyjantysis vienetas įgyja teisę </w:t>
      </w:r>
      <w:r>
        <w:rPr>
          <w:bCs/>
        </w:rPr>
        <w:t xml:space="preserve">valdyti to kito vieneto </w:t>
      </w:r>
      <w:r>
        <w:t>grynąjį turtą ir veiklą</w:t>
      </w:r>
      <w:r>
        <w:rPr>
          <w:bCs/>
        </w:rPr>
        <w:t xml:space="preserve"> (t.y. daryti lemiamą įtaką kitam vienetui) siekiant gauti ekonominės naudos (toliau – vadinama kito vieneto įsigijimu), abu vienetai toliau veikia kaip atskiri juridiniai asmenys, tačiau </w:t>
      </w:r>
      <w:r>
        <w:t>tarp jų atsiranda patronuojančiojo ir patronuojamojo (dukterinio) vienetų santykiai.</w:t>
      </w:r>
      <w:r>
        <w:rPr>
          <w:bCs/>
        </w:rPr>
        <w:t xml:space="preserve"> </w:t>
      </w:r>
    </w:p>
    <w:p w14:paraId="3CC224CA" w14:textId="77777777" w:rsidR="00093845" w:rsidRDefault="000D779E">
      <w:pPr>
        <w:pStyle w:val="Default"/>
        <w:ind w:firstLine="720"/>
        <w:jc w:val="both"/>
      </w:pPr>
      <w:r>
        <w:rPr>
          <w:bCs/>
          <w:color w:val="auto"/>
        </w:rPr>
        <w:lastRenderedPageBreak/>
        <w:t xml:space="preserve">Šios dalies nuostatos dėl prestižo vertės pripažinimo taikomos tik tuo atveju, kai įsigyjančioji bendrovė įsigyja tiek kitos bendrovės akcijų, kad įgyja teisę valdyti jos </w:t>
      </w:r>
      <w:r>
        <w:t>grynąjį turtą ir veiklą.</w:t>
      </w:r>
      <w:r>
        <w:rPr>
          <w:color w:val="auto"/>
        </w:rPr>
        <w:t xml:space="preserve"> Laikoma, kad </w:t>
      </w:r>
      <w:r>
        <w:t xml:space="preserve">įsigyjančioji bendrovė pradeda </w:t>
      </w:r>
      <w:r>
        <w:rPr>
          <w:bCs/>
          <w:color w:val="auto"/>
        </w:rPr>
        <w:t xml:space="preserve">valdyti kitos bendrovės </w:t>
      </w:r>
      <w:r>
        <w:t xml:space="preserve">grynąjį turtą ir veiklą, jeigu ji turi įsigijusi tiek akcijų, kurios suteikia daugiau kaip 50 proc. balsų visuotiniame tos bendrovės akcininkų susirinkime. </w:t>
      </w:r>
    </w:p>
    <w:p w14:paraId="7F0A3F6E" w14:textId="77777777" w:rsidR="00093845" w:rsidRDefault="000D779E">
      <w:pPr>
        <w:pStyle w:val="Default"/>
        <w:ind w:firstLine="720"/>
        <w:jc w:val="both"/>
      </w:pPr>
      <w:r>
        <w:rPr>
          <w:color w:val="auto"/>
        </w:rPr>
        <w:t>Įsigijimo data galima laikyti tą datą, kada įsigijantysis vienetas perima kito vieneto akcijų nuosavybės teisę (kai įsigytos akcijos visuotiniame akcininkų susirinkime suteikia daugiau kaip 50 proc. balsų) ir turi teisę valdyti įsigyto vieneto grynąjį turtą ir veiklą.</w:t>
      </w:r>
      <w:r>
        <w:t xml:space="preserve"> </w:t>
      </w:r>
    </w:p>
    <w:p w14:paraId="47306E4C" w14:textId="77777777" w:rsidR="00093845" w:rsidRDefault="000D779E">
      <w:pPr>
        <w:pStyle w:val="Default"/>
        <w:ind w:firstLine="720"/>
        <w:jc w:val="both"/>
        <w:rPr>
          <w:sz w:val="23"/>
          <w:szCs w:val="23"/>
        </w:rPr>
      </w:pPr>
      <w:r>
        <w:t xml:space="preserve">Jeigu akcijų perėjimo nuosavybėn data su pinigų už jas sumokėjimo data nesutampa, akcijų perėjimo nuosavybėn data nustatoma pagal akcijų pirkimo sutartyje nustatytas sąlygas. Pavyzdžiui, </w:t>
      </w:r>
      <w:r>
        <w:rPr>
          <w:color w:val="auto"/>
        </w:rPr>
        <w:t xml:space="preserve">jei sutartyje numatyta, kad nuosavybės teisė, o kartu ir teisė valdyti įsigyto vieneto grynąjį turtą ir veiklą kitam vienetui perimama sutarties pasirašymo momentu, o atsiskaitymas atidedamas vėlesniam laikui, įsigijimo data bus ta, kai įgyjama teisė valdyti įsigyto vieneto grynąjį turtą ir veiklą. </w:t>
      </w:r>
    </w:p>
    <w:p w14:paraId="280445E2" w14:textId="77777777" w:rsidR="00093845" w:rsidRDefault="000D779E">
      <w:pPr>
        <w:pStyle w:val="Default"/>
        <w:ind w:firstLine="720"/>
        <w:jc w:val="both"/>
        <w:rPr>
          <w:sz w:val="23"/>
          <w:szCs w:val="23"/>
        </w:rPr>
      </w:pPr>
      <w:r>
        <w:rPr>
          <w:sz w:val="23"/>
          <w:szCs w:val="23"/>
        </w:rPr>
        <w:t>Pavyzdys</w:t>
      </w:r>
    </w:p>
    <w:p w14:paraId="46F9B4A3"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pPr>
      <w:r>
        <w:rPr>
          <w:sz w:val="23"/>
          <w:szCs w:val="23"/>
        </w:rPr>
        <w:t xml:space="preserve">UAB „A“, ketindama plėsti veiklą, 2016 m. kovo 30 d. įsigijo nuosavybėn gamybos įmonės UAB </w:t>
      </w:r>
      <w:r>
        <w:rPr>
          <w:color w:val="auto"/>
        </w:rPr>
        <w:t>„B“</w:t>
      </w:r>
      <w:r>
        <w:t xml:space="preserve"> akcijų, suteikiančių 60</w:t>
      </w:r>
      <w:r>
        <w:rPr>
          <w:sz w:val="23"/>
          <w:szCs w:val="23"/>
        </w:rPr>
        <w:t xml:space="preserve"> proc. balsų visuotiniame šios bendrovės akcininkų susirinkime. Bendrovės „B“ įsigijimo data yra 2016 m. kovo 30 d., nes nuo tos dienos bendrovė „A“turi daugiau kaip 50 proc. balsų </w:t>
      </w:r>
      <w:r>
        <w:t xml:space="preserve">visuotiniame bendrovės </w:t>
      </w:r>
      <w:r>
        <w:rPr>
          <w:sz w:val="23"/>
          <w:szCs w:val="23"/>
        </w:rPr>
        <w:t xml:space="preserve">„B“ </w:t>
      </w:r>
      <w:r>
        <w:t>akcininkų susirinkime suteikiančių akcijų ir</w:t>
      </w:r>
      <w:r>
        <w:rPr>
          <w:sz w:val="23"/>
          <w:szCs w:val="23"/>
        </w:rPr>
        <w:t xml:space="preserve"> </w:t>
      </w:r>
      <w:r>
        <w:t xml:space="preserve">pradeda </w:t>
      </w:r>
      <w:r>
        <w:rPr>
          <w:bCs/>
          <w:sz w:val="23"/>
          <w:szCs w:val="23"/>
        </w:rPr>
        <w:t xml:space="preserve">valdyti šios bendrovės </w:t>
      </w:r>
      <w:r>
        <w:t>grynąjį turtą ir veiklą.</w:t>
      </w:r>
    </w:p>
    <w:p w14:paraId="74939A44" w14:textId="77777777" w:rsidR="00093845" w:rsidRDefault="000D779E">
      <w:pPr>
        <w:ind w:firstLine="720"/>
        <w:jc w:val="both"/>
      </w:pPr>
      <w:r>
        <w:rPr>
          <w:u w:val="single"/>
        </w:rPr>
        <w:t>Į</w:t>
      </w:r>
      <w:r>
        <w:t>sigyjantysis vienetas akcijas gali įsigyti  dalimis (etapais). Prestižo vertė neskaičiuojama, kai vieneto įsigytos akcijos nesuteikia teisės valdyti kito vieneto grynojo turto ir veiklos (pavyzdžiui, kai nusiperkama nereikšminga akcijų dalis ar akcijų įsigijimas yra investicija į asocijuotą įmonę). Jei vėliau įsigyjantysis vienetas papildomai nusiperka to kito vieneto akcijų ir dėl to įgyja teisę valdyti jo grynąjį turtą ir veiklą, tai įsigijimo data nustatoma tą etapą, kai įsigyjama teisė valdyti įsigyjamo vieneto grynąjį turtą ir veiklą (kai įsigytos akcijos visuotiniame akcininkų susirinkime suteikia daugiau kaip 50 proc. balsų).</w:t>
      </w:r>
    </w:p>
    <w:p w14:paraId="5D9226BA"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tab/>
      </w:r>
      <w:r>
        <w:rPr>
          <w:rFonts w:ascii="Times New Roman" w:hAnsi="Times New Roman" w:cs="Times New Roman"/>
          <w:sz w:val="24"/>
          <w:szCs w:val="24"/>
        </w:rPr>
        <w:t>Pavyzdys</w:t>
      </w:r>
    </w:p>
    <w:p w14:paraId="4AE4898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pPr>
      <w:r>
        <w:t xml:space="preserve">2015 m. gruodžio 31 d. bendrovė </w:t>
      </w:r>
      <w:r>
        <w:rPr>
          <w:color w:val="auto"/>
        </w:rPr>
        <w:t>„A“</w:t>
      </w:r>
      <w:r>
        <w:t xml:space="preserve"> jau turėjo bendrovės </w:t>
      </w:r>
      <w:r>
        <w:rPr>
          <w:color w:val="auto"/>
        </w:rPr>
        <w:t>„B“</w:t>
      </w:r>
      <w:r>
        <w:t xml:space="preserve"> nuosavybės dalį (ak</w:t>
      </w:r>
      <w:r>
        <w:rPr>
          <w:color w:val="auto"/>
        </w:rPr>
        <w:t xml:space="preserve">cijų, suteikiančių </w:t>
      </w:r>
      <w:r>
        <w:t>30 proc.</w:t>
      </w:r>
      <w:r>
        <w:rPr>
          <w:color w:val="auto"/>
        </w:rPr>
        <w:t xml:space="preserve"> balsų visuotiniame akcininkų susirinkime).</w:t>
      </w:r>
      <w:r>
        <w:t xml:space="preserve"> 2016 m. balandžio 1 d. bendrovė </w:t>
      </w:r>
      <w:r>
        <w:rPr>
          <w:color w:val="auto"/>
        </w:rPr>
        <w:t>„A“</w:t>
      </w:r>
      <w:r>
        <w:t xml:space="preserve"> nusiperka dar akcijų, </w:t>
      </w:r>
      <w:r>
        <w:rPr>
          <w:color w:val="auto"/>
        </w:rPr>
        <w:t>suteikiančių 4</w:t>
      </w:r>
      <w:r>
        <w:t>0 proc.</w:t>
      </w:r>
      <w:r>
        <w:rPr>
          <w:color w:val="auto"/>
        </w:rPr>
        <w:t xml:space="preserve"> balsų visuotiniame akcininkų susirinkime,</w:t>
      </w:r>
      <w:r>
        <w:t xml:space="preserve"> taip įgydama teisę </w:t>
      </w:r>
      <w:r>
        <w:rPr>
          <w:color w:val="auto"/>
        </w:rPr>
        <w:t xml:space="preserve">valdyti </w:t>
      </w:r>
      <w:r>
        <w:t xml:space="preserve">bendrovės </w:t>
      </w:r>
      <w:r>
        <w:rPr>
          <w:color w:val="auto"/>
        </w:rPr>
        <w:t>„B“</w:t>
      </w:r>
      <w:r>
        <w:t xml:space="preserve"> </w:t>
      </w:r>
      <w:r>
        <w:rPr>
          <w:color w:val="auto"/>
        </w:rPr>
        <w:t xml:space="preserve">grynąjį turtą ir veiklą. </w:t>
      </w:r>
    </w:p>
    <w:p w14:paraId="3C7C153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Teisės valdyti UAB „B“ grynąjį turtą ir veiklą įsigijimo data bus laikoma 2016 m. balandžio 1 d., kai bendrovė „A“ turi akcijų, suteikiančių 55 proc. balsų bendrovės „B“ visuotiniame akcininkų susirinkime.</w:t>
      </w:r>
    </w:p>
    <w:p w14:paraId="7F45F840" w14:textId="77777777" w:rsidR="00093845" w:rsidRDefault="000D779E">
      <w:pPr>
        <w:pStyle w:val="Default"/>
        <w:ind w:firstLine="720"/>
        <w:jc w:val="both"/>
      </w:pPr>
      <w:r>
        <w:t>Pavyzdys</w:t>
      </w:r>
    </w:p>
    <w:p w14:paraId="3A51AE54"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UAB „A“ įsigijo UAB „B“ akcijas keliais etapais: 2015 m. kovo 1 d. įsigijo akcijų, suteikiančių 10 proc. balsų visuotiniame akcininkų susirinkime; 2015 m. birželio 10 d. įsigijo akcijų, suteikiančių 15 proc. balsų visuotiniame akcininkų susirinkime; 2015 m. gruodžio 15 d. įsigijo akcijų, suteikiančių 30 proc. balsų visuotiniame akcininkų susirinkime ir 2016 m. balandžio 1 d. įsigijo likusias akcijas, suteikiančias 45 proc. balsų visuotiniame akcininkų susirinkime. </w:t>
      </w:r>
    </w:p>
    <w:p w14:paraId="6A99A8C0"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Teisės valdyti UAB „B“ grynąjį turtą ir veiklą įsigijimo data bus laikoma 2015 m. gruodžio 15 d., kai bendrovė „A“ turi akcijų, suteikiančių 55 proc. balsų bendrovės „B“ visuotiniame akcininkų susirinkime.</w:t>
      </w:r>
    </w:p>
    <w:p w14:paraId="23EBBE98" w14:textId="77777777" w:rsidR="00093845" w:rsidRDefault="000D779E">
      <w:pPr>
        <w:pStyle w:val="Default"/>
        <w:ind w:firstLine="720"/>
        <w:jc w:val="both"/>
        <w:rPr>
          <w:color w:val="auto"/>
          <w:highlight w:val="yellow"/>
        </w:rPr>
      </w:pPr>
      <w:r>
        <w:rPr>
          <w:color w:val="auto"/>
        </w:rPr>
        <w:lastRenderedPageBreak/>
        <w:t xml:space="preserve">Kai įsigytos kito vieneto akcijos visuotiniame akcininkų susirinkime suteikia daugiau kaip 50 proc. balsų, </w:t>
      </w:r>
      <w:r>
        <w:rPr>
          <w:bCs/>
          <w:color w:val="auto"/>
        </w:rPr>
        <w:t>įsigijimo datą nustotoma įsigytai nuosavybės daliai tenkanti grynojo turto (turto ir įsipareigojimų) vertė. A</w:t>
      </w:r>
      <w:r>
        <w:rPr>
          <w:color w:val="auto"/>
        </w:rPr>
        <w:t>pskaičiuojant įsigyto grynojo turto vertę, vieneto, kurios akcijos įsigytos, turtas ir įsipareigojimai įvertinami tikrąja rinkos kaina. Jei įsigyto vieneto akcijų įsigijimo kaina yra didesnė už įsigytos grynojo turto dalies vertę ir įsigyjantysis vienetas iš šio įsigijimo tikisi ekonominės naudos, apskaičiuojama prestižo vertė.</w:t>
      </w:r>
    </w:p>
    <w:p w14:paraId="25FB95D4" w14:textId="77777777" w:rsidR="00093845" w:rsidRDefault="000D779E">
      <w:pPr>
        <w:pStyle w:val="Default"/>
        <w:ind w:firstLine="720"/>
        <w:jc w:val="both"/>
        <w:rPr>
          <w:color w:val="auto"/>
          <w:sz w:val="23"/>
          <w:szCs w:val="23"/>
        </w:rPr>
      </w:pPr>
      <w:r>
        <w:t>Į akcijų įsigijimo kainą (jei už akcijas sumokama pinigais) gali būti įtraukiamos ir kitos tiesioginės su akcijų įsigijimu susijusios išlaidos, pavyzdžiui teisinių paslaugų, turto vertinimo, konsultacijų ir pan.</w:t>
      </w:r>
      <w:r>
        <w:rPr>
          <w:color w:val="auto"/>
          <w:sz w:val="23"/>
          <w:szCs w:val="23"/>
        </w:rPr>
        <w:t xml:space="preserve"> </w:t>
      </w:r>
    </w:p>
    <w:p w14:paraId="3FAF99DE" w14:textId="77777777" w:rsidR="00093845" w:rsidRDefault="000D779E">
      <w:pPr>
        <w:pStyle w:val="Default"/>
        <w:ind w:firstLine="720"/>
        <w:jc w:val="both"/>
      </w:pPr>
      <w:r>
        <w:t>Pavyzdys</w:t>
      </w:r>
    </w:p>
    <w:p w14:paraId="4EAEA7CC"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strike/>
          <w:color w:val="auto"/>
        </w:rPr>
      </w:pPr>
      <w:r>
        <w:rPr>
          <w:color w:val="auto"/>
        </w:rPr>
        <w:t xml:space="preserve">UAB „A“ 2015 m. rugsėjo 30 d. įsigijo 100 proc. balsų visuotiniame UAB „B“ akcininkų susirinkime suteikiančių akcijų, už kurias sumokėjo 200 000 EUR. </w:t>
      </w:r>
    </w:p>
    <w:p w14:paraId="1D682842"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Įgijus teisę </w:t>
      </w:r>
      <w:r>
        <w:rPr>
          <w:bCs/>
          <w:color w:val="auto"/>
        </w:rPr>
        <w:t xml:space="preserve">valdyti </w:t>
      </w:r>
      <w:r>
        <w:rPr>
          <w:color w:val="auto"/>
        </w:rPr>
        <w:t xml:space="preserve">Bendrovės „B“ </w:t>
      </w:r>
      <w:r>
        <w:t>grynąjį turtą ir veiklą</w:t>
      </w:r>
      <w:r>
        <w:rPr>
          <w:color w:val="auto"/>
        </w:rPr>
        <w:t xml:space="preserve">, turi būti nustatoma įsigyto grynojo turto, įvertinto tikrąja rinkos kaina, vertė. </w:t>
      </w:r>
    </w:p>
    <w:p w14:paraId="3FDD3C13"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rPr>
      </w:pPr>
      <w:r>
        <w:rPr>
          <w:color w:val="auto"/>
        </w:rPr>
        <w:t xml:space="preserve">Bendrovės „B“ grynojo turto balansinė vertė sudarė 110 000 EUR. Bendrovė „A“ įvertino turtą ir įsipareigojimus tikrąja rinkos kaina. Pagal turimus turto vertinimo, atlikto 2015 m. rugsėjo 30 dienai, duomenis ilgalaikio materialaus ir nematerialaus turto vertė buvo didesnė už balansinę vertę. Grynojo turto, įvertinto tikrąja rinkos kaina, vertė sudarė 160 000 EUR. </w:t>
      </w:r>
    </w:p>
    <w:p w14:paraId="25568569" w14:textId="77777777" w:rsidR="00093845" w:rsidRDefault="000D779E">
      <w:pPr>
        <w:pStyle w:val="Default"/>
        <w:pBdr>
          <w:top w:val="single" w:sz="4" w:space="1" w:color="auto"/>
          <w:left w:val="single" w:sz="4" w:space="4" w:color="auto"/>
          <w:bottom w:val="single" w:sz="4" w:space="1" w:color="auto"/>
          <w:right w:val="single" w:sz="4" w:space="4" w:color="auto"/>
        </w:pBdr>
        <w:ind w:firstLine="720"/>
        <w:jc w:val="both"/>
        <w:rPr>
          <w:color w:val="auto"/>
          <w:highlight w:val="yellow"/>
        </w:rPr>
      </w:pPr>
      <w:r>
        <w:rPr>
          <w:color w:val="auto"/>
        </w:rPr>
        <w:t>Kadangi bendrovė „A“ tikisi ateityje gauti ekonominės naudos iš įsigytos bendrovės „B“ verslo, iš akcijų įsigijimo savikainos atėmus įsigyto grynojo turto dalies vertę apskaičiuojama      40 000 EUR (200 000 EUR - 160 000 EUR) prestižo vertė.</w:t>
      </w:r>
    </w:p>
    <w:p w14:paraId="0348E530" w14:textId="77777777" w:rsidR="00093845" w:rsidRDefault="000D779E">
      <w:pPr>
        <w:pStyle w:val="Default"/>
        <w:ind w:firstLine="720"/>
        <w:jc w:val="both"/>
        <w:rPr>
          <w:color w:val="auto"/>
        </w:rPr>
      </w:pPr>
      <w:r>
        <w:rPr>
          <w:color w:val="auto"/>
        </w:rPr>
        <w:t xml:space="preserve">Jei kito vieneto akcijos įsigyjamos dalimis (etapais), tai tą etapą, kai įsigyjama teisė valdyti įsigyjamo vieneto grynąjį turtą ir veiklą (kai įsigytos akcijos visuotiniame akcininkų susirinkime suteikia daugiau kaip 50 proc. balsų), apskaičiuojama bendra visų etapų investicijų (akcijų) įsigijimo savikaina. Įsigyjamo vieneto grynasis turtas (turtas ir įsipareigojimai) įvertinamas tikrąją rinkos kaina ir nustatoma įsigytai nuosavybės daliai (visai įsigytų akcijų investicijai) tenkanti grynojo turto vertė. </w:t>
      </w:r>
    </w:p>
    <w:p w14:paraId="1E8D2653" w14:textId="77777777" w:rsidR="00093845" w:rsidRDefault="000D779E" w:rsidP="00CC2361">
      <w:pPr>
        <w:pStyle w:val="Default"/>
        <w:jc w:val="both"/>
        <w:rPr>
          <w:bCs/>
          <w:color w:val="auto"/>
        </w:rPr>
      </w:pPr>
      <w:r>
        <w:rPr>
          <w:bCs/>
          <w:color w:val="auto"/>
          <w:sz w:val="23"/>
          <w:szCs w:val="23"/>
        </w:rPr>
        <w:tab/>
      </w:r>
      <w:r>
        <w:rPr>
          <w:bCs/>
          <w:color w:val="auto"/>
        </w:rPr>
        <w:t>Pavyzdys</w:t>
      </w:r>
    </w:p>
    <w:p w14:paraId="2804075D"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jc w:val="both"/>
        <w:rPr>
          <w:color w:val="auto"/>
        </w:rPr>
      </w:pPr>
      <w:r>
        <w:rPr>
          <w:color w:val="auto"/>
        </w:rPr>
        <w:tab/>
        <w:t>1 etapas UAB „A“ 2015 m. spalio 1 d. už 30 000 EUR įsigijo UAB „B“ akcijų, kurios suteikia 10 proc. balsų bendrovės „B“ visuotiniame akcininkų susirinkime. Už įsigytas akcijas sumokėta pinigais.</w:t>
      </w:r>
    </w:p>
    <w:p w14:paraId="3D9B30A9"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Ši investicija nesuteikia teisės </w:t>
      </w:r>
      <w:r>
        <w:t xml:space="preserve">valdyti </w:t>
      </w:r>
      <w:r>
        <w:rPr>
          <w:color w:val="auto"/>
        </w:rPr>
        <w:t xml:space="preserve">bendrovės „B“ </w:t>
      </w:r>
      <w:r>
        <w:t>grynąjį turtą ir veiklą</w:t>
      </w:r>
      <w:r>
        <w:rPr>
          <w:color w:val="auto"/>
        </w:rPr>
        <w:t>.</w:t>
      </w:r>
    </w:p>
    <w:p w14:paraId="05A68DE1"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2 etapas. UAB „A“ 2015 m. gruodžio 1 d. už 450 000 EUR įsigijo (sumokėjo pinigais) bendrovės „B“ akcijų, kurios jai suteikė dar 70 proc. balsų visuotiniame akcininkų susirinkime ir įsigijo teisę </w:t>
      </w:r>
      <w:r>
        <w:t xml:space="preserve">valdyti </w:t>
      </w:r>
      <w:r>
        <w:rPr>
          <w:color w:val="auto"/>
        </w:rPr>
        <w:t xml:space="preserve">bendrovės „B“ </w:t>
      </w:r>
      <w:r>
        <w:t>grynąjį turtą ir veiklą</w:t>
      </w:r>
      <w:r>
        <w:rPr>
          <w:color w:val="auto"/>
        </w:rPr>
        <w:t xml:space="preserve">. </w:t>
      </w:r>
    </w:p>
    <w:p w14:paraId="619D92F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pPr>
      <w:r>
        <w:rPr>
          <w:color w:val="auto"/>
        </w:rPr>
        <w:t xml:space="preserve">Kadangi akcijos buvo įsigytos etapais, prestižo vertė skaičiuojama tą etapą, kai įgyjama teisė </w:t>
      </w:r>
      <w:r>
        <w:t xml:space="preserve">valdyti </w:t>
      </w:r>
      <w:r>
        <w:rPr>
          <w:color w:val="auto"/>
        </w:rPr>
        <w:t xml:space="preserve">bendrovės „B“ </w:t>
      </w:r>
      <w:r>
        <w:t xml:space="preserve">grynąjį turtą ir veiklą. </w:t>
      </w:r>
    </w:p>
    <w:p w14:paraId="751C8165"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Pirmojo etapo metu įsigyto grynojo turto vertė ir prestižas nebuvo skaičiuojami, nes nebuvo įsigyta teisė </w:t>
      </w:r>
      <w:r>
        <w:t xml:space="preserve">valdyti </w:t>
      </w:r>
      <w:r>
        <w:rPr>
          <w:color w:val="auto"/>
        </w:rPr>
        <w:t xml:space="preserve">bendrovės „B“ </w:t>
      </w:r>
      <w:r>
        <w:t>grynąjį turtą ir veiklą</w:t>
      </w:r>
      <w:r>
        <w:rPr>
          <w:color w:val="auto"/>
        </w:rPr>
        <w:t xml:space="preserve">. </w:t>
      </w:r>
    </w:p>
    <w:p w14:paraId="619CF434"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Antrajame etape 2015 m. gruodžio 1 d. įgijus teisę </w:t>
      </w:r>
      <w:r>
        <w:t xml:space="preserve">valdyti </w:t>
      </w:r>
      <w:r>
        <w:rPr>
          <w:color w:val="auto"/>
        </w:rPr>
        <w:t xml:space="preserve">bendrovės „B“ </w:t>
      </w:r>
      <w:r>
        <w:t xml:space="preserve">grynąjį turtą ir veiklą, </w:t>
      </w:r>
      <w:r>
        <w:rPr>
          <w:color w:val="auto"/>
        </w:rPr>
        <w:t>turi būti nustatoma įsigytos bendrovės grynojo turto dalies vertė.</w:t>
      </w:r>
    </w:p>
    <w:p w14:paraId="5D515A1D"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Investicijos į bendrovę „B“ įsigijimo savikaina yra už akcijas, kurios suteikė 10 proc. ir 70 proc. (80 proc.) balsų visuotiniame bendrovės „B“ akcininkų susirinkime, sumokėta suma. Nustatant įsigijimo savikainą, už akcijas sumokėtos sumos sudedamos, bendra akcijų įsigijimo savikaina sudaro 480 000 EUR. </w:t>
      </w:r>
    </w:p>
    <w:p w14:paraId="14FAE19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lastRenderedPageBreak/>
        <w:t xml:space="preserve">Įsigijimo datą (2015 m. gruodžio 1 d.) įsigytas turtas ir įsipareigojimai vertinami tikrąja rinkos kaina ir, jei susidaro, apskaičiuojamas prestižas. </w:t>
      </w:r>
    </w:p>
    <w:p w14:paraId="77ADAD54"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Tarkime, kad bendrovės „B“ grynojo turto, įvertinto tikrąja rinkos kaina, vertė 2015 m. gruodžio 1 d. yra 500 000 EUR.</w:t>
      </w:r>
    </w:p>
    <w:p w14:paraId="5CDF6E4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Bendrovės „A“ įsigytai nuosvybės daliai tenkanti bendrovės „B“ grynojo turto vertė sudaro 400 000 EUR (500 000 EUR x 0,80). </w:t>
      </w:r>
    </w:p>
    <w:p w14:paraId="029719FA"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Kadangi atskirų akcijų paketų įsigijimų metu visa sumokėta suma viršija įsigytosios bendrovės grynojo turto dalies vertę, įsigijimo datą apskaičiuota prestižo vertė yra 80 000 (480 000 EUR - 400 000 EUR) EUR suma.</w:t>
      </w:r>
    </w:p>
    <w:p w14:paraId="79CC406B"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pPr>
      <w:r>
        <w:rPr>
          <w:color w:val="auto"/>
        </w:rPr>
        <w:t xml:space="preserve">3 etapas. UAB „A“ 2016 m. balandžio 1 d. už 100 000 EUR įsigijo likusias bendrovės „B“ akcijas, kurios suteikė 20 proc. balsų visuotiniame bendrovės akcininkų susirinkime, ir įgijo teisę </w:t>
      </w:r>
      <w:r>
        <w:t xml:space="preserve">valdyti </w:t>
      </w:r>
      <w:r>
        <w:rPr>
          <w:color w:val="auto"/>
        </w:rPr>
        <w:t xml:space="preserve">bendrovės „B“ </w:t>
      </w:r>
      <w:r>
        <w:t xml:space="preserve">grynąjį turtą ir veiklą. </w:t>
      </w:r>
    </w:p>
    <w:p w14:paraId="2BD03658" w14:textId="77777777" w:rsidR="00093845" w:rsidRDefault="000D779E" w:rsidP="00EF6636">
      <w:pPr>
        <w:pStyle w:val="Default"/>
        <w:pBdr>
          <w:top w:val="single" w:sz="4" w:space="1" w:color="auto"/>
          <w:left w:val="single" w:sz="4" w:space="4" w:color="auto"/>
          <w:bottom w:val="single" w:sz="4" w:space="1" w:color="auto"/>
          <w:right w:val="single" w:sz="4" w:space="4" w:color="auto"/>
        </w:pBdr>
        <w:spacing w:after="0"/>
        <w:ind w:firstLine="720"/>
        <w:jc w:val="both"/>
        <w:rPr>
          <w:color w:val="auto"/>
        </w:rPr>
      </w:pPr>
      <w:r>
        <w:rPr>
          <w:color w:val="auto"/>
        </w:rPr>
        <w:t xml:space="preserve">Šis akcijų įsigijimas nėra kito vieneto įsigijimas, nes bendrovė „A“ jau turi teisę </w:t>
      </w:r>
      <w:r>
        <w:t xml:space="preserve">valdyti </w:t>
      </w:r>
      <w:r>
        <w:rPr>
          <w:color w:val="auto"/>
        </w:rPr>
        <w:t xml:space="preserve">bendrovės „B“ </w:t>
      </w:r>
      <w:r>
        <w:t xml:space="preserve">grynąjį turtą </w:t>
      </w:r>
      <w:r>
        <w:rPr>
          <w:color w:val="auto"/>
        </w:rPr>
        <w:t xml:space="preserve">nuo 2015 m. gruodžio 1 d., todėl įsigytos bendrovės turto ir įsipareigojimų vertinti tikrąja rinkos kaina nereikia ir prestižo vertė šiam įsigijimui neskaičiuojama ir nepripažįstama.  </w:t>
      </w:r>
    </w:p>
    <w:p w14:paraId="6DC1A6E8" w14:textId="77777777" w:rsidR="00093845" w:rsidRDefault="000D779E">
      <w:pPr>
        <w:pStyle w:val="Default"/>
        <w:ind w:firstLine="720"/>
        <w:jc w:val="both"/>
        <w:rPr>
          <w:color w:val="auto"/>
        </w:rPr>
      </w:pPr>
      <w:r>
        <w:rPr>
          <w:color w:val="auto"/>
        </w:rPr>
        <w:t xml:space="preserve">Jei turto, įvertinto tikrąja rinkos kaina, vertė skiriasi nuo balansinės vertės, įsigijantysis vienetas turto tikrąją vertę parodo tik konsoliduotosiose finansinėse ataskaitose (balanse). Apskaičiuota prestižo vertė parodoma kaip prestižas taip pat tik konsoliduotosiose finansinėse ataskaitose. </w:t>
      </w:r>
    </w:p>
    <w:p w14:paraId="392D036C" w14:textId="77777777" w:rsidR="00093845" w:rsidRDefault="000D779E">
      <w:pPr>
        <w:pStyle w:val="Default"/>
        <w:ind w:firstLine="720"/>
        <w:jc w:val="both"/>
      </w:pPr>
      <w:r>
        <w:t xml:space="preserve">6. </w:t>
      </w:r>
      <w:r>
        <w:rPr>
          <w:bCs/>
        </w:rPr>
        <w:t xml:space="preserve">Prestižo </w:t>
      </w:r>
      <w:r>
        <w:t xml:space="preserve">vertė abiem minėtais įsigijimų atvejais apskaičiuojama, kai įsigyjančiojo vieneto pinigais sumokėta kaina yra didesnė už įsigyto kito vieneto grynojo turto dalį ar įsigyto verslo grynąjį turtą, jeigu įsigyjantysis vienetas dėl šių įsigijimų tikisi gauti ekonominės naudos. </w:t>
      </w:r>
    </w:p>
    <w:p w14:paraId="0EE92ADE" w14:textId="77777777" w:rsidR="00093845" w:rsidRDefault="000D779E">
      <w:pPr>
        <w:pStyle w:val="Default"/>
        <w:ind w:firstLine="720"/>
        <w:jc w:val="both"/>
        <w:rPr>
          <w:color w:val="auto"/>
          <w:sz w:val="23"/>
          <w:szCs w:val="23"/>
        </w:rPr>
      </w:pPr>
      <w:r>
        <w:rPr>
          <w:color w:val="auto"/>
          <w:sz w:val="23"/>
          <w:szCs w:val="23"/>
        </w:rPr>
        <w:t xml:space="preserve">Jeigu kitą vienetą ar verslą įsigijęs vienetas nesitiki gauti ekonominės naudos, tada prestižo vertė nepripažįstama. </w:t>
      </w:r>
    </w:p>
    <w:p w14:paraId="221E37F4" w14:textId="77777777" w:rsidR="00093845" w:rsidRDefault="000D779E">
      <w:pPr>
        <w:pStyle w:val="Default"/>
        <w:ind w:firstLine="720"/>
        <w:jc w:val="both"/>
        <w:rPr>
          <w:color w:val="auto"/>
          <w:sz w:val="23"/>
          <w:szCs w:val="23"/>
        </w:rPr>
      </w:pPr>
      <w:r>
        <w:t>Pažymėtina, kad p</w:t>
      </w:r>
      <w:r>
        <w:rPr>
          <w:bCs/>
        </w:rPr>
        <w:t xml:space="preserve">restižo vertė nėra tik matematinis įsigyto vieneto grynojo turto ir už pinigus įsigytų to vieneto akcijų įsigijimo kainos skirtumas (arba įsigyto verslo ar jo dalies grynojo turto ir už tą verslą ar jo dalį pinigais sumokėtos kainos skirtumas). </w:t>
      </w:r>
      <w:r>
        <w:t xml:space="preserve">Prestižo vertė - tai ta kaina, kuri sumokama už būsimą ekonominę naudą, kurios tikimasi gauti iš įsigyjamo vieneto turto, kurio negalima atskirai identifikuoti ir pripažinti. </w:t>
      </w:r>
      <w:r>
        <w:rPr>
          <w:color w:val="auto"/>
          <w:sz w:val="23"/>
          <w:szCs w:val="23"/>
        </w:rPr>
        <w:t xml:space="preserve">Jeigu kitą vienetą ar verslą įsigijęs vienetas nesitiki gauti ekonominės naudos, tada prestižo vertė nepripažįstama (laikoma nuostoliu). </w:t>
      </w:r>
    </w:p>
    <w:p w14:paraId="7C55530B" w14:textId="77777777" w:rsidR="00093845" w:rsidRPr="0065344A" w:rsidRDefault="000D779E">
      <w:pPr>
        <w:ind w:firstLine="720"/>
        <w:jc w:val="both"/>
        <w:rPr>
          <w:bCs/>
          <w:lang w:val="lt-LT"/>
        </w:rPr>
      </w:pPr>
      <w:r w:rsidRPr="0065344A">
        <w:rPr>
          <w:lang w:val="lt-LT"/>
        </w:rPr>
        <w:t xml:space="preserve">Pavyzdžiui, jei </w:t>
      </w:r>
      <w:r w:rsidRPr="0065344A">
        <w:rPr>
          <w:bCs/>
          <w:lang w:val="lt-LT"/>
        </w:rPr>
        <w:t>vienetas sumoka ne už būsimą ekonominę naudą, kurios jis tikisi gauti iš įsigyjamo vieneto turto, bet permoka už įsigyjamas akcijas, veiklą ar jos dalį, tai prestižo vertė laikoma nuostoliu, kuris nepriskiriamas leidžiamiems atskaitymams kaip neįprastinės vieneto veiklai sąnaudos (PMĮ 31 str. 1 d. 13 punktas, žr. komentarą).</w:t>
      </w:r>
    </w:p>
    <w:p w14:paraId="705FD12B" w14:textId="77777777" w:rsidR="00093845" w:rsidRPr="0065344A" w:rsidRDefault="000D779E">
      <w:pPr>
        <w:ind w:right="-21" w:firstLine="720"/>
        <w:jc w:val="both"/>
        <w:rPr>
          <w:lang w:val="lt-LT"/>
        </w:rPr>
      </w:pPr>
      <w:r w:rsidRPr="0065344A">
        <w:rPr>
          <w:lang w:val="lt-LT"/>
        </w:rPr>
        <w:t>7. Prestižo vertė gali ir nesusidaryti tais atvejais, kai įsigyjant kitą vienetą ar jo verslą , grynojo turto vertė, įvertinta tikrąja rinkos kaina, buvo lygi akcijų ar verslo įsigijimo savikainai,  nes jos grynasis turtas buvo lygus akcijų įsigijimo savikainai.</w:t>
      </w:r>
    </w:p>
    <w:p w14:paraId="26E84859" w14:textId="77777777" w:rsidR="00093845" w:rsidRDefault="000D779E">
      <w:pPr>
        <w:pStyle w:val="Default"/>
        <w:ind w:firstLine="720"/>
        <w:jc w:val="both"/>
      </w:pPr>
      <w:r>
        <w:t>8. Jeigu pinigais sumokėta kaina abiem minėtais įsigijimų atvejais yra mažesnė už įsigyto kito vieneto grynojo turto dalį ar įsigyto verslo grynąjį turtą, nustatoma neigiama prestižo vertė (pelnas) (žr. PMĮ 2 str. 19 dalies komentarą).</w:t>
      </w:r>
    </w:p>
    <w:p w14:paraId="382C3D33" w14:textId="77777777" w:rsidR="00093845" w:rsidRDefault="000D779E">
      <w:pPr>
        <w:pStyle w:val="Default"/>
        <w:ind w:firstLine="720"/>
        <w:jc w:val="both"/>
      </w:pPr>
      <w:r>
        <w:t>9. Bendro pavaldumo vienetu laikomas vienas iš dviejų ar daugiau vienetų, kurių grynąjį turtą ir veiklą, siekiant ekonominės naudos turi teisę valdyti tie patys juridiniai ar fiziniai asmenys.</w:t>
      </w:r>
    </w:p>
    <w:p w14:paraId="14349037" w14:textId="77777777" w:rsidR="00093845" w:rsidRPr="0065344A" w:rsidRDefault="000D779E">
      <w:pPr>
        <w:pStyle w:val="HTMLiankstoformatuotas"/>
        <w:tabs>
          <w:tab w:val="clear" w:pos="916"/>
          <w:tab w:val="left" w:pos="720"/>
        </w:tabs>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ab/>
        <w:t xml:space="preserve">Jei vienas iš bendro pavaldumo vienetų įgyja teisę valdyti kito bendro pavaldumo vieneto grynąjį turtą ir veiklą arba </w:t>
      </w:r>
      <w:r w:rsidRPr="0065344A">
        <w:rPr>
          <w:rFonts w:ascii="Times New Roman" w:hAnsi="Times New Roman" w:cs="Times New Roman"/>
          <w:bCs/>
          <w:sz w:val="24"/>
          <w:szCs w:val="24"/>
          <w:lang w:val="lt-LT"/>
        </w:rPr>
        <w:t>verslą ar jo dalį</w:t>
      </w:r>
      <w:r w:rsidRPr="0065344A">
        <w:rPr>
          <w:rFonts w:ascii="Times New Roman" w:hAnsi="Times New Roman" w:cs="Times New Roman"/>
          <w:sz w:val="24"/>
          <w:szCs w:val="24"/>
          <w:lang w:val="lt-LT"/>
        </w:rPr>
        <w:t xml:space="preserve">, siekdamas  ekonominės naudos, tai įsigyjantysis vienetas </w:t>
      </w:r>
      <w:r w:rsidRPr="0065344A">
        <w:rPr>
          <w:rFonts w:ascii="Times New Roman" w:hAnsi="Times New Roman" w:cs="Times New Roman"/>
          <w:sz w:val="24"/>
          <w:szCs w:val="24"/>
          <w:lang w:val="lt-LT"/>
        </w:rPr>
        <w:lastRenderedPageBreak/>
        <w:t xml:space="preserve">gali vertinti įsigyjamojo vieneto grynąjį turtą ar įsigyto verslo grynąjį turtą tikrąja rinkos kaina arba nevertinti, pripažįstant to turto balansines vertes. </w:t>
      </w:r>
    </w:p>
    <w:p w14:paraId="3F8D5AC8" w14:textId="77777777" w:rsidR="00093845" w:rsidRDefault="000D779E">
      <w:pPr>
        <w:pStyle w:val="Default"/>
        <w:ind w:firstLine="720"/>
        <w:jc w:val="both"/>
        <w:rPr>
          <w:color w:val="auto"/>
          <w:sz w:val="23"/>
          <w:szCs w:val="23"/>
        </w:rPr>
      </w:pPr>
      <w:r>
        <w:t xml:space="preserve">Jei įsigyjant kito vieneto akcijas ar verslą, nusprendžiama grynojo turto (turto ir įsipareigojimų) nevertinti tikrąja rinkos kaina, </w:t>
      </w:r>
      <w:r>
        <w:rPr>
          <w:color w:val="auto"/>
          <w:sz w:val="23"/>
          <w:szCs w:val="23"/>
        </w:rPr>
        <w:t>prestižo vertė neskaičuojama ir nepripažįstama.</w:t>
      </w:r>
    </w:p>
    <w:p w14:paraId="2CE08B77" w14:textId="77777777" w:rsidR="00093845" w:rsidRPr="0065344A" w:rsidRDefault="000D779E">
      <w:pPr>
        <w:ind w:firstLine="720"/>
        <w:jc w:val="both"/>
        <w:rPr>
          <w:lang w:val="lt-LT"/>
        </w:rPr>
      </w:pPr>
      <w:r w:rsidRPr="0065344A">
        <w:rPr>
          <w:lang w:val="lt-LT"/>
        </w:rPr>
        <w:t xml:space="preserve">10. </w:t>
      </w:r>
      <w:r w:rsidRPr="0065344A">
        <w:rPr>
          <w:bCs/>
          <w:color w:val="000000"/>
          <w:lang w:val="lt-LT"/>
        </w:rPr>
        <w:t>Įsigijimo datą įsigyjantysis</w:t>
      </w:r>
      <w:r w:rsidRPr="0065344A">
        <w:rPr>
          <w:b/>
          <w:bCs/>
          <w:color w:val="000000"/>
          <w:lang w:val="lt-LT"/>
        </w:rPr>
        <w:t xml:space="preserve"> </w:t>
      </w:r>
      <w:r w:rsidRPr="0065344A">
        <w:rPr>
          <w:bCs/>
          <w:color w:val="000000"/>
          <w:lang w:val="lt-LT"/>
        </w:rPr>
        <w:t>vienetas turi įvertinti įsigytą identifikuojamą turtą ir prisiimtus įsipareigojimus tikrąja rinkos kaina. I</w:t>
      </w:r>
      <w:r w:rsidRPr="0065344A">
        <w:rPr>
          <w:color w:val="000000"/>
          <w:lang w:val="lt-LT"/>
        </w:rPr>
        <w:t>dentifikuojamas įsigytas turtas ir prisiimti įsipareigojimai įsigijimo datą turi atitikti turto ir įsipareigojimų apibrėžimus, pateiktus Verslo apskaitos standartuose.</w:t>
      </w:r>
      <w:r w:rsidRPr="0065344A">
        <w:rPr>
          <w:lang w:val="lt-LT"/>
        </w:rPr>
        <w:t xml:space="preserve"> Įsigyjamojo vieneto finansinėse ataskaitose anksčiau nepripažintas kai kuris turtas turi būti įtraukiamas į šio vieneto grynojo turto vertės apskaičiavimą, jei jį galima identifikuoti kaip turtą, nors </w:t>
      </w:r>
      <w:r w:rsidRPr="0065344A">
        <w:rPr>
          <w:color w:val="000000"/>
          <w:lang w:val="lt-LT"/>
        </w:rPr>
        <w:t xml:space="preserve">anksčiau </w:t>
      </w:r>
      <w:r w:rsidRPr="0065344A">
        <w:rPr>
          <w:lang w:val="lt-LT"/>
        </w:rPr>
        <w:t>dėl apskaitos taisyklių ar kitų priežasčių</w:t>
      </w:r>
      <w:r w:rsidRPr="0065344A">
        <w:rPr>
          <w:color w:val="000000"/>
          <w:lang w:val="lt-LT"/>
        </w:rPr>
        <w:t xml:space="preserve"> jis </w:t>
      </w:r>
      <w:r w:rsidRPr="0065344A">
        <w:rPr>
          <w:lang w:val="lt-LT"/>
        </w:rPr>
        <w:t xml:space="preserve">šio turto įsigijimo išlaidų </w:t>
      </w:r>
      <w:r w:rsidRPr="0065344A">
        <w:rPr>
          <w:color w:val="000000"/>
          <w:lang w:val="lt-LT"/>
        </w:rPr>
        <w:t>savo finansinėse ataskaitose nepripažino turtu.</w:t>
      </w:r>
    </w:p>
    <w:p w14:paraId="3D5321C8" w14:textId="77777777" w:rsidR="00093845" w:rsidRPr="0065344A" w:rsidRDefault="000D779E">
      <w:pPr>
        <w:ind w:firstLine="720"/>
        <w:jc w:val="both"/>
        <w:rPr>
          <w:lang w:val="lt-LT"/>
        </w:rPr>
      </w:pPr>
      <w:r w:rsidRPr="0065344A">
        <w:rPr>
          <w:lang w:val="lt-LT"/>
        </w:rPr>
        <w:t>Pagal šios dalies nuostatas, apskaičiuojant grynojo turto vertę, neatsižvelgiama į įsigyjamo vieneto turimą turtą, kuris:</w:t>
      </w:r>
    </w:p>
    <w:p w14:paraId="3943CF6C" w14:textId="77777777" w:rsidR="00093845" w:rsidRPr="0065344A" w:rsidRDefault="000D779E">
      <w:pPr>
        <w:ind w:firstLine="720"/>
        <w:jc w:val="both"/>
        <w:rPr>
          <w:lang w:val="lt-LT"/>
        </w:rPr>
      </w:pPr>
      <w:r w:rsidRPr="0065344A">
        <w:rPr>
          <w:lang w:val="lt-LT"/>
        </w:rPr>
        <w:t xml:space="preserve">- nebuvo pripažintas jo apskaitoje, nes šis turtas neturėjo reikalingų pripažinimo požymių (pagrįstai nebuvo tikimasi, kad vienetas iš turto gaus ekonominės naudos būsimaisiais laikotarpiais, ir nebuvo galima patikimai nustatyti turto įsigijimo kainos), </w:t>
      </w:r>
      <w:r w:rsidRPr="0065344A">
        <w:rPr>
          <w:b/>
          <w:lang w:val="lt-LT"/>
        </w:rPr>
        <w:t>arba</w:t>
      </w:r>
      <w:r w:rsidRPr="0065344A">
        <w:rPr>
          <w:lang w:val="lt-LT"/>
        </w:rPr>
        <w:t xml:space="preserve"> </w:t>
      </w:r>
    </w:p>
    <w:p w14:paraId="79792CEF" w14:textId="77777777" w:rsidR="00093845" w:rsidRPr="0065344A" w:rsidRDefault="000D779E">
      <w:pPr>
        <w:ind w:firstLine="720"/>
        <w:jc w:val="both"/>
        <w:rPr>
          <w:lang w:val="lt-LT"/>
        </w:rPr>
      </w:pPr>
      <w:r w:rsidRPr="0065344A">
        <w:rPr>
          <w:lang w:val="lt-LT"/>
        </w:rPr>
        <w:t>- buvo gautas neatlyginamai iš valstybės, savivaldybės ar viešojo juridinio asmens, kurio steigėjas yra valstybės ar savivaldybės institucija, tačiau turi tikrąją rinkos kainą.</w:t>
      </w:r>
    </w:p>
    <w:p w14:paraId="38BDD0B3" w14:textId="77777777" w:rsidR="00093845" w:rsidRPr="0065344A" w:rsidRDefault="000D779E">
      <w:pPr>
        <w:ind w:firstLine="720"/>
        <w:jc w:val="both"/>
        <w:rPr>
          <w:lang w:val="lt-LT"/>
        </w:rPr>
      </w:pPr>
      <w:r w:rsidRPr="0065344A">
        <w:rPr>
          <w:lang w:val="lt-LT"/>
        </w:rPr>
        <w:t>Pavyzdžiai</w:t>
      </w:r>
    </w:p>
    <w:p w14:paraId="64FC30E0"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color w:val="auto"/>
          <w:w w:val="100"/>
          <w:sz w:val="24"/>
          <w:szCs w:val="24"/>
          <w:lang w:val="lt-LT"/>
        </w:rPr>
        <w:tab/>
      </w:r>
      <w:r>
        <w:rPr>
          <w:rStyle w:val="BoldItalic"/>
          <w:b w:val="0"/>
          <w:i w:val="0"/>
          <w:color w:val="auto"/>
          <w:w w:val="100"/>
          <w:sz w:val="24"/>
          <w:szCs w:val="24"/>
          <w:lang w:val="lt-LT"/>
        </w:rPr>
        <w:t>1. UAB „A“, užsimanti statybų verslu, ketindama plėsti veiklą, už pinigus įsigijo 100 proc.</w:t>
      </w:r>
      <w:r>
        <w:rPr>
          <w:rStyle w:val="BoldItalic"/>
          <w:color w:val="auto"/>
          <w:w w:val="100"/>
          <w:sz w:val="24"/>
          <w:szCs w:val="24"/>
          <w:lang w:val="lt-LT"/>
        </w:rPr>
        <w:t xml:space="preserve"> </w:t>
      </w:r>
      <w:r>
        <w:rPr>
          <w:rStyle w:val="BoldItalic"/>
          <w:b w:val="0"/>
          <w:i w:val="0"/>
          <w:color w:val="auto"/>
          <w:w w:val="100"/>
          <w:sz w:val="24"/>
          <w:szCs w:val="24"/>
          <w:lang w:val="lt-LT"/>
        </w:rPr>
        <w:t>statybų projektavimo bendrovės UAB „B“ akcijų. Bendrovei „B“ priklausė nedidelės vertės pastatas ir žemės nuomos teisė. Bendrovė „B“, žemės nuomos teisę įgijo neatlyginamai, pirkdama pastatą (savivaldybė bendrovei „B“ suteikė žemės, kurioje stovėjo pastatas, nuomos teisę), todėl šios teisės nepripažino nematerialiuoju turtu (žemės nuomos teisės ekonominė nauda neatsiejama nuo įsigyto pastato ir neturi įsigijimo kainos).</w:t>
      </w:r>
    </w:p>
    <w:p w14:paraId="39EBF703"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ab/>
        <w:t xml:space="preserve">UAB „A“ akcijų įsigijimo datą įvertino įsigyjamos bendrovės „B“ visą turtą ir įsipareigojimus tikrąją rinkos kaina. Taikant PMĮ 2 str. 30 dalį, žemės nuomos teisė, į grynojo turto apskaičiavimus neįtraukiama, nes šis turtas pagrįstai nebuvo įtrauktas į įsigyjamos bendrovės „B“ apskaitą (neturėjo nematerialiojo turto pripažinimo požymių ir įsigijimo kainos – valstybinės žemės nuomos teisė negali būti rinkos sandorio objektas, o tuo pačiu nėra ir vertinimo objektas). </w:t>
      </w:r>
    </w:p>
    <w:p w14:paraId="2C700EAD"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851"/>
        <w:rPr>
          <w:rStyle w:val="BoldItalic"/>
          <w:b w:val="0"/>
          <w:i w:val="0"/>
          <w:color w:val="auto"/>
          <w:w w:val="100"/>
          <w:sz w:val="24"/>
          <w:szCs w:val="24"/>
          <w:lang w:val="lt-LT"/>
        </w:rPr>
      </w:pPr>
      <w:r>
        <w:rPr>
          <w:rStyle w:val="BoldItalic"/>
          <w:b w:val="0"/>
          <w:i w:val="0"/>
          <w:color w:val="auto"/>
          <w:w w:val="100"/>
          <w:sz w:val="24"/>
          <w:szCs w:val="24"/>
          <w:lang w:val="lt-LT"/>
        </w:rPr>
        <w:t>2. UAB „A“, kurios veikla energijos gamyba, tikėdamasi ekonominės naudos, 2015 m. gruodžio 31 d. įsigijo 100 proc. UAB „B“ akcijų. Bendrovė „A“, iš valstybės neatlygintinai gavo               50 000 apyvartinių taršos leidimų (toliau - ATL) išmesti į aplinką tokį patį kiekį tonų CO2 dujų.</w:t>
      </w:r>
      <w:r>
        <w:rPr>
          <w:rStyle w:val="BoldItalic"/>
          <w:b w:val="0"/>
          <w:i w:val="0"/>
          <w:color w:val="auto"/>
          <w:w w:val="100"/>
          <w:sz w:val="24"/>
          <w:szCs w:val="24"/>
          <w:lang w:val="lt-LT"/>
        </w:rPr>
        <w:tab/>
        <w:t>Bendrovės „B“ apskaitoje ATL neapskaitomi kaip turtas (informacija kaupiama tik nebalansinėse sąskaitose). Apyvartinio taršos leidimo vieneto rinkos kaina 2015 m. gruodžio 31 d. buvo 10 EUR. Neatlygintinai gautų apyvartinių taršos leidimų tikroji rinkos kaina 2015 m. gruodžio 31 d.  buvo 500 000 EUR.</w:t>
      </w:r>
    </w:p>
    <w:p w14:paraId="61EFBB7E"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Bendrovė „A“, akcijų įsigijimo datą apskaičiuodama bendrovės „B“ grynąjį turtą,  neatsižvelgiant į tai, kad ATL gali būti perleidžiami kitiems vienetams ir turi rinkos kainą, neturi jų įtraukti į grynojo turto apskaičiavimą, nes šie leidimai iš valstybės buvo gauti neatlygintinai.</w:t>
      </w:r>
    </w:p>
    <w:p w14:paraId="44F8B6E7"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851"/>
        <w:rPr>
          <w:rStyle w:val="BoldItalic"/>
          <w:b w:val="0"/>
          <w:i w:val="0"/>
          <w:color w:val="auto"/>
          <w:w w:val="100"/>
          <w:sz w:val="24"/>
          <w:szCs w:val="24"/>
          <w:lang w:val="lt-LT"/>
        </w:rPr>
      </w:pPr>
      <w:r>
        <w:rPr>
          <w:rStyle w:val="BoldItalic"/>
          <w:b w:val="0"/>
          <w:i w:val="0"/>
          <w:color w:val="auto"/>
          <w:w w:val="100"/>
          <w:sz w:val="24"/>
          <w:szCs w:val="24"/>
          <w:lang w:val="lt-LT"/>
        </w:rPr>
        <w:t>3. UAB „A“, tikėdamasi ekonominės naudos, už pinigus įsigijo 100 proc. UAB „B“ akcijų, ketindama vėliau ją prisijungti. Įsigijimo datą bendrovė „A“, įvertindama bendrovės „B“ turtą ir įsipareigojimus, prekės ženklą, kurio bendrovė „B“ nepripažino turtu savo finansinėse ataskaitose, (nes plėtojo jį viduje ir susijusias išlaidas priskirdavo sąnaudoms), pripažino identifikuojamu turtu, teikiančiu ekonominę naudą, ir įtraukė į grynojo turto apskaičiavimą.</w:t>
      </w:r>
    </w:p>
    <w:p w14:paraId="148D8580" w14:textId="77777777" w:rsidR="00093845" w:rsidRDefault="000D779E">
      <w:pPr>
        <w:pStyle w:val="Indent2"/>
        <w:pBdr>
          <w:top w:val="single" w:sz="4" w:space="1" w:color="auto"/>
          <w:left w:val="single" w:sz="4" w:space="4" w:color="auto"/>
          <w:bottom w:val="single" w:sz="4" w:space="1" w:color="auto"/>
          <w:right w:val="single" w:sz="4" w:space="4" w:color="auto"/>
        </w:pBdr>
        <w:shd w:val="clear" w:color="auto" w:fill="FFFFFF"/>
        <w:tabs>
          <w:tab w:val="clear" w:pos="1120"/>
          <w:tab w:val="left" w:pos="0"/>
        </w:tabs>
        <w:spacing w:after="0"/>
        <w:ind w:left="0" w:firstLine="0"/>
        <w:rPr>
          <w:rStyle w:val="BoldItalic"/>
          <w:b w:val="0"/>
          <w:i w:val="0"/>
          <w:color w:val="auto"/>
          <w:w w:val="100"/>
          <w:sz w:val="24"/>
          <w:szCs w:val="24"/>
          <w:lang w:val="lt-LT"/>
        </w:rPr>
      </w:pPr>
      <w:r>
        <w:rPr>
          <w:rStyle w:val="BoldItalic"/>
          <w:b w:val="0"/>
          <w:i w:val="0"/>
          <w:color w:val="auto"/>
          <w:w w:val="100"/>
          <w:sz w:val="24"/>
          <w:szCs w:val="24"/>
          <w:lang w:val="lt-LT"/>
        </w:rPr>
        <w:tab/>
        <w:t xml:space="preserve">Taikant PMĮ 2 str. 30 dalį, bendrovė „A“, apskaičiuodama bendrovės „B“ grynojo turto vertę, į ją turi įtraukti prekės ženklą, įvertintą tikrąja rinkos kaina, kaip nematerialųjį turtą. Nors šio turto </w:t>
      </w:r>
      <w:r>
        <w:rPr>
          <w:rStyle w:val="BoldItalic"/>
          <w:b w:val="0"/>
          <w:i w:val="0"/>
          <w:color w:val="auto"/>
          <w:w w:val="100"/>
          <w:sz w:val="24"/>
          <w:szCs w:val="24"/>
          <w:lang w:val="lt-LT"/>
        </w:rPr>
        <w:lastRenderedPageBreak/>
        <w:t>bendrovė „B“ pagal apskaitos taisykles pagrįstai nepripažino turtu, tačiau prekių ženklo kūrimo išlaidos buvo patirtos.</w:t>
      </w:r>
    </w:p>
    <w:p w14:paraId="14474137" w14:textId="77777777" w:rsidR="00093845" w:rsidRDefault="000D779E">
      <w:pPr>
        <w:pStyle w:val="Indent2"/>
        <w:shd w:val="clear" w:color="auto" w:fill="FFFFFF"/>
        <w:tabs>
          <w:tab w:val="clear" w:pos="1120"/>
          <w:tab w:val="left" w:pos="0"/>
        </w:tabs>
        <w:spacing w:after="0"/>
        <w:ind w:left="0" w:firstLine="0"/>
        <w:rPr>
          <w:sz w:val="24"/>
          <w:szCs w:val="24"/>
          <w:lang w:val="lt-LT"/>
        </w:rPr>
      </w:pPr>
      <w:r>
        <w:rPr>
          <w:sz w:val="24"/>
          <w:szCs w:val="24"/>
          <w:lang w:val="lt-LT"/>
        </w:rPr>
        <w:tab/>
      </w:r>
    </w:p>
    <w:p w14:paraId="0C9D99EC" w14:textId="77777777" w:rsidR="00093845" w:rsidRDefault="000D779E">
      <w:pPr>
        <w:pStyle w:val="Indent2"/>
        <w:shd w:val="clear" w:color="auto" w:fill="FFFFFF"/>
        <w:tabs>
          <w:tab w:val="clear" w:pos="1120"/>
          <w:tab w:val="left" w:pos="0"/>
        </w:tabs>
        <w:spacing w:after="0"/>
        <w:ind w:left="0" w:firstLine="0"/>
        <w:rPr>
          <w:sz w:val="24"/>
          <w:szCs w:val="24"/>
          <w:lang w:val="lt-LT"/>
        </w:rPr>
      </w:pPr>
      <w:r>
        <w:rPr>
          <w:sz w:val="24"/>
          <w:szCs w:val="24"/>
          <w:lang w:val="lt-LT"/>
        </w:rPr>
        <w:tab/>
        <w:t xml:space="preserve">11. Prestižo vertė, apskaičuojant apmokestinamąjį pelną, nepripažįstama, jei vienetas, įsigydamas kito vieneto veiklą, jos dalį ar akcijas, sumoka ne pinigais, bet kitu turtu. Pavyzdžiui, prestižo vertė nepripažįstama, jei vienetas, įsigydamas kito vieneto veiklą, jos dalį ar akcijas, mainais atiduoda ilgalaikį materialųjį turtą arba vertybinius popierius. Jeigu vienetas, įsigydamas kito vieneto veiklą, jos dalį ar akcijas sumoka ir pinigais, ir kitu turtu, tai prestižo vertė pelno mokesčio tikslais apskaičiuojama tokia apimtimi, kiek sumokama pinigais. </w:t>
      </w:r>
    </w:p>
    <w:p w14:paraId="1526BC64" w14:textId="77777777" w:rsidR="00093845" w:rsidRDefault="000D779E">
      <w:pPr>
        <w:tabs>
          <w:tab w:val="left" w:pos="5040"/>
        </w:tabs>
        <w:ind w:firstLine="720"/>
        <w:jc w:val="both"/>
      </w:pPr>
      <w:r>
        <w:t>Pavyzdys</w:t>
      </w:r>
    </w:p>
    <w:p w14:paraId="0A161103" w14:textId="77777777" w:rsidR="00093845" w:rsidRDefault="000D779E">
      <w:pPr>
        <w:pBdr>
          <w:top w:val="single" w:sz="4" w:space="1" w:color="auto"/>
          <w:left w:val="single" w:sz="4" w:space="4" w:color="auto"/>
          <w:bottom w:val="single" w:sz="4" w:space="1" w:color="auto"/>
          <w:right w:val="single" w:sz="4" w:space="4" w:color="auto"/>
        </w:pBdr>
        <w:tabs>
          <w:tab w:val="left" w:pos="5040"/>
        </w:tabs>
        <w:ind w:firstLine="720"/>
        <w:jc w:val="both"/>
      </w:pPr>
      <w:r>
        <w:t>UAB „A“ už 800 000 EUR įsigijo 80 proc. UAB „B“ akcijų (8000 vnt. akcijų po 100 EUR). Už šias akcijas bendrovė „A“ atsiskaitė taip: už 6000 vnt. akcijų sumokėjo 600 000 EUR pinigais, už kitas akcijas mainais perleido žemės sklypą, kurio rinkos kaina yra 200 000 EUR. Bendrovė „A“ įvertino bendrovės „B“ turtą ir įsipareigojimus tikrąją rinkos kaina ir nustatė, kad grynojo turto vertė sudarė 700 000 EUR. Įvertinusi akcijų įsigijimo kainą (800 000 EUR) ir šioms akcijoms tenkančią 560 000 EUR (700 000 EUR* 80/100) grynojo turto vertę, bendrovė „A“ apskaičiavo ir konsoliduotose finansinėse ataskaitose (balanse) parodė 240 000 EUR prestižo vertę.</w:t>
      </w:r>
    </w:p>
    <w:p w14:paraId="0B975AE9" w14:textId="77777777" w:rsidR="00093845" w:rsidRDefault="000D779E">
      <w:pPr>
        <w:pBdr>
          <w:top w:val="single" w:sz="4" w:space="1" w:color="auto"/>
          <w:left w:val="single" w:sz="4" w:space="4" w:color="auto"/>
          <w:bottom w:val="single" w:sz="4" w:space="1" w:color="auto"/>
          <w:right w:val="single" w:sz="4" w:space="4" w:color="auto"/>
        </w:pBdr>
        <w:tabs>
          <w:tab w:val="left" w:pos="5040"/>
        </w:tabs>
        <w:ind w:firstLine="720"/>
        <w:jc w:val="both"/>
      </w:pPr>
      <w:r>
        <w:t xml:space="preserve">Šiuo atveju pinigais buvo sumokėta už 60 proc. UAB „B“ akcijų. Todėl, apskaičiuojant apmokestinamąjį pelną, prestižo vertės suma yra 180 000 EUR (pinigais sumokėtų akcijų įsigijimo kainos (600 000 EUR) ir už šias akcijas įsigyto 420 000 EUR (700 000 EUR *60/100) vertės bendrovės „B“ grynojo turto dalies skirtumas). Likusios (20 proc.) akcijų dalies įsigijimas laikomas akcijų ir žemės sklypo mainų sandoriu, kuriam taikomos PMĮ 14 straipsnio nuostatos (žr. šio straipsnio komentarą). </w:t>
      </w:r>
    </w:p>
    <w:p w14:paraId="488766AC" w14:textId="77777777" w:rsidR="00093845" w:rsidRDefault="000D779E">
      <w:pPr>
        <w:ind w:firstLine="720"/>
        <w:jc w:val="both"/>
      </w:pPr>
      <w:r>
        <w:t>12. Prestižo vertė nesusidaro, kai akcijos apmokamos steigiant naują vienetą.</w:t>
      </w:r>
    </w:p>
    <w:p w14:paraId="0D7AC003" w14:textId="77777777" w:rsidR="00093845" w:rsidRDefault="000D779E">
      <w:pPr>
        <w:pStyle w:val="HTMLiankstoformatuotas"/>
        <w:tabs>
          <w:tab w:val="clear" w:pos="916"/>
          <w:tab w:val="left" w:pos="720"/>
        </w:tabs>
        <w:jc w:val="both"/>
        <w:rPr>
          <w:rFonts w:ascii="Times New Roman" w:hAnsi="Times New Roman" w:cs="Times New Roman"/>
          <w:color w:val="000000"/>
          <w:sz w:val="24"/>
          <w:szCs w:val="24"/>
        </w:rPr>
      </w:pPr>
      <w:r>
        <w:tab/>
      </w:r>
      <w:r>
        <w:rPr>
          <w:rFonts w:ascii="Times New Roman" w:hAnsi="Times New Roman" w:cs="Times New Roman"/>
          <w:sz w:val="24"/>
          <w:szCs w:val="24"/>
        </w:rPr>
        <w:t xml:space="preserve">13. Jei dalis akcijų perleidžiama, tačiau vienetas dėl šio perleidimo nepraranda teisės valdyti įsigyto vieneto grynąjį turtą ir veiklą, tai akcijų įsigijimo datą nustatyta prestižo vertė atitinkamai perskaičiuojama. </w:t>
      </w:r>
    </w:p>
    <w:p w14:paraId="3924D94E"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color w:val="000000"/>
          <w:sz w:val="24"/>
          <w:szCs w:val="24"/>
        </w:rPr>
        <w:tab/>
        <w:t>14</w:t>
      </w:r>
      <w:r>
        <w:rPr>
          <w:rFonts w:ascii="Times New Roman" w:hAnsi="Times New Roman" w:cs="Times New Roman"/>
          <w:sz w:val="24"/>
          <w:szCs w:val="24"/>
        </w:rPr>
        <w:t xml:space="preserve">. Akcijų, verslo ar verslo dalies įsigijimo metu nustatyta prestižo vertė, laikoma šio nematerialaus turto įsigijimo kaina, kuri amortizuojama ir pripažįstama sąnaudomis (ribojamų dydžių leidžiamais atskaitymais) PMĮ 18 str. 10 dalyje nustatyta tvarka (žr. PMĮ 18 str. 10 dalies komentarą). </w:t>
      </w:r>
    </w:p>
    <w:p w14:paraId="55B1513D"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sz w:val="24"/>
          <w:szCs w:val="24"/>
        </w:rPr>
        <w:tab/>
        <w:t>15. Jei vienetas prestižą (prestižo vertę) nustatė, įsigydamas akcijas iki 2006 metais prasidėjusio mokestinio laikotarpio, tai atsižvelgiant į PMĮ 57 str. 3 dalį, jei akcijos buvo įsigytos iki verslo apskaitos standartų įsigaliojimo (toliau – VAS) ir prestižas nustatytas, vadovaujantis tuo metu galiojusiais buhalterinę apskaitą ir finansines atskaitas reguliuojančiais teisės aktais, arba akcijos įsigytos įsigaliojus VAS ir prestižas nustatytas pagal juos, tai akcijų įsigijimo datą apskaitoje nustatytas prestižas, atitinkantis prestižo sąvoką, apibrėžtą VAS, pagal PMĮ pripažįstamas prestižo verte, jei akcijos buvo įsigytos už pinigus.</w:t>
      </w:r>
    </w:p>
    <w:p w14:paraId="0E866B14" w14:textId="77777777" w:rsidR="00093845" w:rsidRDefault="000D779E">
      <w:pPr>
        <w:pStyle w:val="HTMLiankstoformatuotas"/>
        <w:tabs>
          <w:tab w:val="clear" w:pos="916"/>
          <w:tab w:val="left" w:pos="720"/>
        </w:tabs>
        <w:jc w:val="both"/>
        <w:rPr>
          <w:rFonts w:ascii="Times New Roman" w:hAnsi="Times New Roman" w:cs="Times New Roman"/>
          <w:sz w:val="24"/>
          <w:szCs w:val="24"/>
        </w:rPr>
      </w:pPr>
      <w:r>
        <w:rPr>
          <w:rFonts w:ascii="Times New Roman" w:hAnsi="Times New Roman" w:cs="Times New Roman"/>
          <w:sz w:val="24"/>
          <w:szCs w:val="24"/>
        </w:rPr>
        <w:tab/>
        <w:t xml:space="preserve">16. Mokesčių mokėtojas privalo turėti visą informaciją, susijusią su prestižo vertės apskaičiavimu (akcijų ar verslo įsigijimo sandoriai, akcijų ar verslo įsigijimo savikaina, grynojo turto vertinimo tikrąja rinkos kaina duomenys, ekonominis sandorių pagrindimas ir kita svarbi infromacija, suusijusi su prestižo vertės nustatymu, kuri neatskleista konsoliduotų finansinių ataskaitų aiškinamajame rašte, taip pat prestižo vertės suma, kurią įsigyjantysis vienetas ketina pripažinti pelno mokesčio tikslais) ir ją pateikti mokesčių administratoriui pareikalavimus. Ši informacija saugoma tol, kol nepasibaigia PMĮ 1 priedėlyje nustatytas prestižo vertės amortizacijos laikotarpis bei MAĮ 68 straipsnyje nustatytas deklaracijų tikslinimo dėl mokesčių perskaičiavimo laikotarpis.“ </w:t>
      </w:r>
    </w:p>
    <w:p w14:paraId="55C6908B" w14:textId="77777777" w:rsidR="00093845" w:rsidRDefault="0067677F">
      <w:pPr>
        <w:pStyle w:val="Pagrindiniotekstotrauka3"/>
        <w:tabs>
          <w:tab w:val="left" w:pos="720"/>
          <w:tab w:val="left" w:pos="1077"/>
          <w:tab w:val="left" w:pos="1418"/>
        </w:tabs>
        <w:ind w:firstLine="0"/>
        <w:rPr>
          <w:rFonts w:ascii="Times New Roman" w:hAnsi="Times New Roman"/>
          <w:color w:val="000000"/>
        </w:rPr>
      </w:pPr>
      <w:r>
        <w:rPr>
          <w:rFonts w:ascii="Times New Roman" w:hAnsi="Times New Roman"/>
        </w:rPr>
        <w:lastRenderedPageBreak/>
        <w:t xml:space="preserve">            </w:t>
      </w:r>
      <w:r w:rsidR="000D779E">
        <w:rPr>
          <w:rFonts w:ascii="Times New Roman" w:hAnsi="Times New Roman"/>
        </w:rPr>
        <w:t>(</w:t>
      </w:r>
      <w:r w:rsidR="00482DDD">
        <w:rPr>
          <w:rFonts w:ascii="Times New Roman" w:hAnsi="Times New Roman"/>
        </w:rPr>
        <w:t>Papildyta p</w:t>
      </w:r>
      <w:r w:rsidR="000D779E">
        <w:rPr>
          <w:rFonts w:ascii="Times New Roman" w:hAnsi="Times New Roman"/>
        </w:rPr>
        <w:t>agal VMI prie FM 2018-07-18 raštą Nr. (</w:t>
      </w:r>
      <w:r w:rsidR="000D779E">
        <w:rPr>
          <w:rFonts w:ascii="Times New Roman" w:hAnsi="Times New Roman"/>
          <w:color w:val="000000"/>
        </w:rPr>
        <w:t>32.42-31-1E) RM-26011)</w:t>
      </w:r>
    </w:p>
    <w:p w14:paraId="3DA3F9C4" w14:textId="77777777" w:rsidR="004317E7" w:rsidRPr="00085CAE" w:rsidRDefault="00D64187" w:rsidP="004317E7">
      <w:pPr>
        <w:tabs>
          <w:tab w:val="left" w:pos="9638"/>
        </w:tabs>
        <w:jc w:val="both"/>
        <w:rPr>
          <w:b/>
          <w:lang w:val="lt-LT" w:eastAsia="lt-LT"/>
        </w:rPr>
      </w:pPr>
      <w:r>
        <w:rPr>
          <w:b/>
          <w:color w:val="000000"/>
          <w:lang w:eastAsia="lt-LT"/>
        </w:rPr>
        <w:t xml:space="preserve">      </w:t>
      </w:r>
      <w:r w:rsidR="00E962A4" w:rsidRPr="004612B3">
        <w:rPr>
          <w:b/>
          <w:color w:val="000000"/>
          <w:lang w:eastAsia="lt-LT"/>
        </w:rPr>
        <w:t>30</w:t>
      </w:r>
      <w:r w:rsidR="00E962A4" w:rsidRPr="004612B3">
        <w:rPr>
          <w:b/>
          <w:color w:val="000000"/>
          <w:vertAlign w:val="superscript"/>
          <w:lang w:eastAsia="lt-LT"/>
        </w:rPr>
        <w:t>1</w:t>
      </w:r>
      <w:r w:rsidR="00E962A4" w:rsidRPr="004612B3">
        <w:rPr>
          <w:b/>
          <w:color w:val="000000"/>
          <w:lang w:eastAsia="lt-LT"/>
        </w:rPr>
        <w:t xml:space="preserve">. </w:t>
      </w:r>
      <w:r w:rsidR="004317E7" w:rsidRPr="00085CAE">
        <w:rPr>
          <w:b/>
          <w:bCs/>
          <w:lang w:val="lt-LT" w:eastAsia="lt-LT"/>
        </w:rPr>
        <w:t>Rizikos ir privataus kapitalo subjektas</w:t>
      </w:r>
      <w:r w:rsidR="004317E7" w:rsidRPr="00085CAE">
        <w:rPr>
          <w:b/>
          <w:lang w:val="lt-LT" w:eastAsia="lt-LT"/>
        </w:rPr>
        <w:t xml:space="preserve"> – vienetas, kurio pagrindinė vykdoma veikla yra laikinas lėšų iš nesusijusių asmenų ir (arba) viešųjų lėšų pritraukimas ir lėšų investavimas į kitus vienetus, jei daugiau negu 70 procentų rizikos ir privataus kapitalo subjekto investicijų sudaro investicijos į vienetų, kurių vidutinis metinis sąrašuose esančių darbuotojų skaičius neviršija 250 žmonių ir mokestinio laikotarpio pajamos neviršija 50 milijonų eurų arba balanse nurodyto turto vertė neviršija 43 milijonų eurų, </w:t>
      </w:r>
      <w:r w:rsidR="004317E7" w:rsidRPr="0027609B">
        <w:rPr>
          <w:b/>
          <w:lang w:val="lt-LT" w:eastAsia="lt-LT"/>
        </w:rPr>
        <w:t>nuosavybės vertybinius popierius, ir (arba) konvertuojamąsias obligacijas, kaip ši sąvoka</w:t>
      </w:r>
      <w:r w:rsidR="004317E7" w:rsidRPr="00085CAE">
        <w:rPr>
          <w:b/>
          <w:lang w:val="lt-LT" w:eastAsia="lt-LT"/>
        </w:rPr>
        <w:t xml:space="preserve"> suprantama pagal Lietuvos Respublikos akcinių bendrovių įstatymą, neįtrauktus į prekybą reguliuojamoje rinkoje.</w:t>
      </w:r>
    </w:p>
    <w:p w14:paraId="56B1A2CD" w14:textId="77777777" w:rsidR="00A33F93" w:rsidRPr="004317E7" w:rsidRDefault="004317E7" w:rsidP="004317E7">
      <w:pPr>
        <w:jc w:val="both"/>
        <w:rPr>
          <w:lang w:val="lt-LT"/>
        </w:rPr>
      </w:pPr>
      <w:r w:rsidRPr="00085CAE">
        <w:rPr>
          <w:lang w:val="lt-LT"/>
        </w:rPr>
        <w:t xml:space="preserve">     (KEISTA: 2019 12 17 įstatymu Nr. XIII-2694 (taikoma nuo 2020 01 01))</w:t>
      </w:r>
    </w:p>
    <w:p w14:paraId="77BF8110" w14:textId="77777777" w:rsidR="00A33F93" w:rsidRDefault="000D779E" w:rsidP="00A33F93">
      <w:pPr>
        <w:pStyle w:val="Pagrindiniotekstotrauka2"/>
        <w:tabs>
          <w:tab w:val="left" w:pos="720"/>
          <w:tab w:val="left" w:pos="1077"/>
          <w:tab w:val="left" w:pos="1418"/>
        </w:tabs>
        <w:spacing w:line="240" w:lineRule="auto"/>
      </w:pPr>
      <w:r>
        <w:rPr>
          <w:b w:val="0"/>
        </w:rPr>
        <w:t xml:space="preserve">         </w:t>
      </w:r>
      <w:r w:rsidR="00A33F93">
        <w:t>Komentaras</w:t>
      </w:r>
    </w:p>
    <w:p w14:paraId="08C746EA" w14:textId="77777777" w:rsidR="004317E7" w:rsidRPr="002774F3" w:rsidRDefault="004317E7" w:rsidP="004317E7">
      <w:pPr>
        <w:tabs>
          <w:tab w:val="left" w:pos="709"/>
        </w:tabs>
        <w:jc w:val="both"/>
        <w:rPr>
          <w:lang w:val="lt-LT"/>
        </w:rPr>
      </w:pPr>
      <w:r w:rsidRPr="00085CAE">
        <w:rPr>
          <w:iCs/>
          <w:lang w:val="lt-LT" w:eastAsia="lt-LT"/>
        </w:rPr>
        <w:t xml:space="preserve">1. Komentuojamoje dalyje nustatyta, kad rizikos ir privataus kapitalo subjektu (toliau – RPKS) laikomas vienetas (komanditinė ūkinė bendrija, tikroji ūkinė bendrija, uždaroji akcinė bendrovė ar kitos verslo organizavimo formos juridinis asmuo), kurio pagrindinė vykdoma veikla yra laikinas lėšų iš nesusijusių asmenų pritraukimas ir </w:t>
      </w:r>
      <w:r w:rsidRPr="00085CAE">
        <w:rPr>
          <w:lang w:val="lt-LT" w:eastAsia="lt-LT"/>
        </w:rPr>
        <w:t xml:space="preserve">(arba) viešųjų lėšų pritraukimas ir </w:t>
      </w:r>
      <w:r w:rsidRPr="00085CAE">
        <w:rPr>
          <w:iCs/>
          <w:lang w:val="lt-LT" w:eastAsia="lt-LT"/>
        </w:rPr>
        <w:t>lėšų investavimas į kitus vienetus</w:t>
      </w:r>
      <w:r w:rsidRPr="00085CAE">
        <w:rPr>
          <w:rStyle w:val="Grietas"/>
          <w:b w:val="0"/>
          <w:lang w:val="lt-LT"/>
        </w:rPr>
        <w:t xml:space="preserve"> ir, </w:t>
      </w:r>
      <w:r w:rsidRPr="00085CAE">
        <w:rPr>
          <w:shd w:val="clear" w:color="auto" w:fill="FFFFFF"/>
          <w:lang w:val="lt-LT"/>
        </w:rPr>
        <w:t xml:space="preserve">kuris </w:t>
      </w:r>
      <w:r>
        <w:rPr>
          <w:shd w:val="clear" w:color="auto" w:fill="FFFFFF"/>
          <w:lang w:val="lt-LT"/>
        </w:rPr>
        <w:t xml:space="preserve">atitinka nustatytą </w:t>
      </w:r>
      <w:r w:rsidRPr="00085CAE">
        <w:rPr>
          <w:shd w:val="clear" w:color="auto" w:fill="FFFFFF"/>
          <w:lang w:val="lt-LT"/>
        </w:rPr>
        <w:t xml:space="preserve"> investicijų santyk</w:t>
      </w:r>
      <w:r>
        <w:rPr>
          <w:shd w:val="clear" w:color="auto" w:fill="FFFFFF"/>
          <w:lang w:val="lt-LT"/>
        </w:rPr>
        <w:t>į</w:t>
      </w:r>
      <w:r w:rsidRPr="002774F3">
        <w:rPr>
          <w:shd w:val="clear" w:color="auto" w:fill="FFFFFF"/>
          <w:lang w:val="lt-LT"/>
        </w:rPr>
        <w:t xml:space="preserve">, t. y. toks RPKS privalo daugiau kaip 70 proc. visų savo investicijų skirti investicijoms į nuosavybės vertybinius popierius  ir (arba) į konvertuojamąsias obligacijas,  </w:t>
      </w:r>
      <w:r w:rsidRPr="002774F3">
        <w:rPr>
          <w:bCs/>
          <w:lang w:val="lt-LT"/>
        </w:rPr>
        <w:t>vienetų</w:t>
      </w:r>
      <w:r w:rsidRPr="002774F3">
        <w:rPr>
          <w:shd w:val="clear" w:color="auto" w:fill="FFFFFF"/>
          <w:lang w:val="lt-LT"/>
        </w:rPr>
        <w:t>, kurių:</w:t>
      </w:r>
      <w:r w:rsidRPr="002774F3">
        <w:rPr>
          <w:highlight w:val="yellow"/>
          <w:shd w:val="clear" w:color="auto" w:fill="FFFFFF"/>
          <w:lang w:val="lt-LT"/>
        </w:rPr>
        <w:t xml:space="preserve"> </w:t>
      </w:r>
    </w:p>
    <w:p w14:paraId="5FF83B79" w14:textId="77777777" w:rsidR="004317E7" w:rsidRPr="00085CAE" w:rsidRDefault="004317E7" w:rsidP="004317E7">
      <w:pPr>
        <w:pStyle w:val="Sraopastraipa"/>
        <w:tabs>
          <w:tab w:val="left" w:pos="709"/>
        </w:tabs>
        <w:ind w:left="0"/>
        <w:jc w:val="both"/>
        <w:rPr>
          <w:shd w:val="clear" w:color="auto" w:fill="FFFFFF"/>
        </w:rPr>
      </w:pPr>
      <w:r w:rsidRPr="00085CAE">
        <w:t xml:space="preserve">           1.1. </w:t>
      </w:r>
      <w:r w:rsidRPr="00085CAE">
        <w:rPr>
          <w:shd w:val="clear" w:color="auto" w:fill="FFFFFF"/>
        </w:rPr>
        <w:t>vidutinis metinis sąrašuose esančių darbuotojų skaičius neviršija 250 žmonių;</w:t>
      </w:r>
    </w:p>
    <w:p w14:paraId="510E8133" w14:textId="77777777" w:rsidR="004317E7" w:rsidRPr="00085CAE" w:rsidRDefault="004317E7" w:rsidP="004317E7">
      <w:pPr>
        <w:jc w:val="both"/>
        <w:rPr>
          <w:shd w:val="clear" w:color="auto" w:fill="FFFFFF"/>
          <w:lang w:val="lt-LT"/>
        </w:rPr>
      </w:pPr>
      <w:r w:rsidRPr="00085CAE">
        <w:rPr>
          <w:lang w:val="lt-LT"/>
        </w:rPr>
        <w:t xml:space="preserve">           1.2. </w:t>
      </w:r>
      <w:r w:rsidRPr="00085CAE">
        <w:rPr>
          <w:shd w:val="clear" w:color="auto" w:fill="FFFFFF"/>
          <w:lang w:val="lt-LT"/>
        </w:rPr>
        <w:t>metinė apyvarta neviršija 50 milijonų eurų arba bendra balanse nurodyto turto vertė neviršija 43 milijonų eurų; </w:t>
      </w:r>
    </w:p>
    <w:p w14:paraId="347F5F1D"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 xml:space="preserve">           1.3.  vertybiniai popieriai nėra įtraukti į prekybą reguliuojamoje rinkoje.</w:t>
      </w:r>
    </w:p>
    <w:p w14:paraId="1570B05B" w14:textId="77777777" w:rsidR="004317E7" w:rsidRDefault="004317E7" w:rsidP="004317E7">
      <w:pPr>
        <w:jc w:val="both"/>
        <w:rPr>
          <w:rFonts w:eastAsia="MS Mincho"/>
          <w:noProof/>
          <w:lang w:val="lt-LT" w:eastAsia="ja-JP"/>
        </w:rPr>
      </w:pPr>
      <w:r w:rsidRPr="00085CAE">
        <w:rPr>
          <w:shd w:val="clear" w:color="auto" w:fill="FFFFFF"/>
          <w:lang w:val="lt-LT"/>
        </w:rPr>
        <w:t xml:space="preserve">           </w:t>
      </w:r>
      <w:r w:rsidRPr="00085CAE">
        <w:rPr>
          <w:rFonts w:eastAsia="MS Mincho"/>
          <w:noProof/>
          <w:lang w:val="lt-LT" w:eastAsia="ja-JP"/>
        </w:rPr>
        <w:t xml:space="preserve">Sprendžiant ar daugiau kaip 70 proc. visų </w:t>
      </w:r>
      <w:r w:rsidRPr="00085CAE">
        <w:rPr>
          <w:lang w:val="lt-LT" w:eastAsia="lt-LT"/>
        </w:rPr>
        <w:t>RPKS investicijų sudaro investicijos į vienetus</w:t>
      </w:r>
      <w:r w:rsidRPr="00085CAE">
        <w:rPr>
          <w:rFonts w:eastAsia="MS Mincho"/>
          <w:noProof/>
          <w:lang w:val="lt-LT" w:eastAsia="ja-JP"/>
        </w:rPr>
        <w:t xml:space="preserve">, atitinkančiu </w:t>
      </w:r>
      <w:r w:rsidRPr="00085CAE">
        <w:rPr>
          <w:shd w:val="clear" w:color="auto" w:fill="FFFFFF"/>
          <w:lang w:val="lt-LT"/>
        </w:rPr>
        <w:t>PMĮ nustatytus darbuotojų, pajamų arba balanse nurodyto turto vertės kriterijus, o tokių vienetų vertybiniai popieriai neįtraukti į prekybą reguliuojamoje rinkoje,</w:t>
      </w:r>
      <w:r w:rsidRPr="00085CAE">
        <w:rPr>
          <w:rFonts w:eastAsia="MS Mincho"/>
          <w:noProof/>
          <w:lang w:val="lt-LT" w:eastAsia="ja-JP"/>
        </w:rPr>
        <w:t xml:space="preserve"> daugiau kaip 70 proc. rodiklis turėtų būti įvertinamas </w:t>
      </w:r>
      <w:r w:rsidRPr="00A937F8">
        <w:rPr>
          <w:rFonts w:eastAsia="MS Mincho"/>
          <w:noProof/>
          <w:lang w:val="lt-LT" w:eastAsia="ja-JP"/>
        </w:rPr>
        <w:t xml:space="preserve">visą investavimo laikotarpį </w:t>
      </w:r>
      <w:r>
        <w:rPr>
          <w:rFonts w:eastAsia="MS Mincho"/>
          <w:noProof/>
          <w:lang w:val="lt-LT" w:eastAsia="ja-JP"/>
        </w:rPr>
        <w:t xml:space="preserve">kiekvienų </w:t>
      </w:r>
      <w:r w:rsidRPr="00085CAE">
        <w:rPr>
          <w:rFonts w:eastAsia="MS Mincho"/>
          <w:noProof/>
          <w:lang w:val="lt-LT" w:eastAsia="ja-JP"/>
        </w:rPr>
        <w:t xml:space="preserve">mokestinių metų pabaigoje. Jeigu RPKS investicijų rodikliai mokestinių metų pabaigoje netenkins nustatyto daugiau nei 70 proc. visų investicijų proporcijos santykio, laikytina, kad tais mokestiniais metais subjektas neatitiks RPKS statuso.           </w:t>
      </w:r>
    </w:p>
    <w:p w14:paraId="1F2A5E37" w14:textId="77777777" w:rsidR="004317E7" w:rsidRPr="00085CAE" w:rsidRDefault="004317E7" w:rsidP="004317E7">
      <w:pPr>
        <w:ind w:firstLine="709"/>
        <w:jc w:val="both"/>
        <w:rPr>
          <w:rFonts w:eastAsiaTheme="minorHAnsi"/>
          <w:lang w:val="lt-LT" w:eastAsia="en-GB"/>
        </w:rPr>
      </w:pPr>
      <w:r w:rsidRPr="00085CAE">
        <w:rPr>
          <w:rFonts w:eastAsia="MS Mincho"/>
          <w:noProof/>
          <w:lang w:val="lt-LT" w:eastAsia="ja-JP"/>
        </w:rPr>
        <w:t>Vienetų, į kuriuos investuojama, rodikliai įvertinami investavimo į kiekvieną vienetą momentu, t. y. įgyjant vieneto vertybinius popierius ir (arba) konvertuojamąsias obligacijas.</w:t>
      </w:r>
      <w:r w:rsidRPr="00085CAE">
        <w:rPr>
          <w:rFonts w:eastAsiaTheme="minorHAnsi"/>
          <w:lang w:val="lt-LT" w:eastAsia="en-GB"/>
        </w:rPr>
        <w:t xml:space="preserve"> </w:t>
      </w:r>
    </w:p>
    <w:p w14:paraId="376D1E93" w14:textId="77777777" w:rsidR="004317E7" w:rsidRPr="00085CAE" w:rsidRDefault="004317E7" w:rsidP="004317E7">
      <w:pPr>
        <w:jc w:val="both"/>
        <w:rPr>
          <w:rFonts w:eastAsia="MS Mincho"/>
          <w:strike/>
          <w:noProof/>
          <w:highlight w:val="lightGray"/>
          <w:lang w:val="lt-LT" w:eastAsia="ja-JP"/>
        </w:rPr>
      </w:pPr>
      <w:r w:rsidRPr="00085CAE">
        <w:rPr>
          <w:rFonts w:eastAsia="MS Mincho"/>
          <w:noProof/>
          <w:color w:val="000000" w:themeColor="text1"/>
          <w:highlight w:val="lightGray"/>
          <w:lang w:val="lt-LT" w:eastAsia="ja-JP"/>
        </w:rPr>
        <w:t xml:space="preserve">      </w:t>
      </w:r>
    </w:p>
    <w:p w14:paraId="703AC8E3" w14:textId="77777777" w:rsidR="004317E7" w:rsidRPr="00085CAE" w:rsidRDefault="004317E7" w:rsidP="004317E7">
      <w:pPr>
        <w:jc w:val="both"/>
        <w:rPr>
          <w:rFonts w:eastAsia="MS Mincho"/>
          <w:noProof/>
          <w:highlight w:val="lightGray"/>
          <w:lang w:val="lt-LT" w:eastAsia="ja-JP"/>
        </w:rPr>
      </w:pPr>
      <w:r w:rsidRPr="00085CAE">
        <w:rPr>
          <w:rFonts w:eastAsia="MS Mincho"/>
          <w:strike/>
          <w:noProof/>
          <w:highlight w:val="lightGray"/>
          <w:lang w:val="lt-LT" w:eastAsia="ja-JP"/>
        </w:rPr>
        <w:t xml:space="preserve">               </w:t>
      </w:r>
    </w:p>
    <w:p w14:paraId="1A39A45A" w14:textId="77777777" w:rsidR="004317E7" w:rsidRPr="00085CAE" w:rsidRDefault="004317E7" w:rsidP="004317E7">
      <w:pPr>
        <w:tabs>
          <w:tab w:val="center" w:pos="0"/>
          <w:tab w:val="center" w:pos="993"/>
        </w:tabs>
        <w:jc w:val="both"/>
        <w:rPr>
          <w:rFonts w:eastAsia="MS Mincho"/>
          <w:noProof/>
          <w:lang w:val="lt-LT" w:eastAsia="ja-JP"/>
        </w:rPr>
      </w:pPr>
      <w:r w:rsidRPr="00085CAE">
        <w:rPr>
          <w:rFonts w:eastAsia="MS Mincho"/>
          <w:noProof/>
          <w:lang w:val="lt-LT" w:eastAsia="ja-JP"/>
        </w:rPr>
        <w:t>Pavyzdys</w:t>
      </w:r>
    </w:p>
    <w:p w14:paraId="3062DC26" w14:textId="77777777" w:rsidR="004317E7" w:rsidRPr="00085CAE" w:rsidRDefault="004317E7" w:rsidP="004317E7">
      <w:pPr>
        <w:tabs>
          <w:tab w:val="center" w:pos="0"/>
          <w:tab w:val="center" w:pos="993"/>
        </w:tabs>
        <w:jc w:val="both"/>
        <w:rPr>
          <w:rFonts w:eastAsia="MS Mincho"/>
          <w:noProof/>
          <w:lang w:val="lt-LT" w:eastAsia="ja-JP"/>
        </w:rPr>
      </w:pPr>
    </w:p>
    <w:p w14:paraId="5BA47445"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center" w:pos="0"/>
          <w:tab w:val="center" w:pos="993"/>
        </w:tabs>
        <w:jc w:val="both"/>
        <w:rPr>
          <w:rFonts w:eastAsia="MS Mincho"/>
          <w:noProof/>
          <w:lang w:val="lt-LT" w:eastAsia="ja-JP"/>
        </w:rPr>
      </w:pPr>
      <w:r w:rsidRPr="00085CAE">
        <w:rPr>
          <w:rFonts w:eastAsia="MS Mincho"/>
          <w:noProof/>
          <w:lang w:val="lt-LT" w:eastAsia="ja-JP"/>
        </w:rPr>
        <w:t>RPKS A savo veiklos dokumentuose yra nurodęs, kad daugiau kaip 70 proc. jo investicijų bus nukreipiama į PMĮ 2 straipsnio 30</w:t>
      </w:r>
      <w:r w:rsidRPr="00085CAE">
        <w:rPr>
          <w:rFonts w:eastAsia="MS Mincho"/>
          <w:noProof/>
          <w:vertAlign w:val="superscript"/>
          <w:lang w:val="lt-LT" w:eastAsia="ja-JP"/>
        </w:rPr>
        <w:t>1</w:t>
      </w:r>
      <w:r w:rsidRPr="00085CAE">
        <w:rPr>
          <w:rFonts w:eastAsia="MS Mincho"/>
          <w:noProof/>
          <w:lang w:val="lt-LT" w:eastAsia="ja-JP"/>
        </w:rPr>
        <w:t xml:space="preserve"> dalyje nurodytus rodiklius atitinkančias smulkias ir vidutinio dydžio įmones. 2022 m. sausio 1 d., RPKS A investuoja į įmonę B, į įmonę C – 2022 m. rugsėjo 15 d., į įmonę D – 2023 m. gegužės 1 d. RPKS A, atlikdamas kiekvieną investiciją (t. y. įgydamas vieneto vertybinius popierius ir (arba) konvertuojamąsias obligacijas), įvertina ar vienetas, į kurį investuojama, atitinka </w:t>
      </w:r>
      <w:r w:rsidRPr="00085CAE">
        <w:rPr>
          <w:shd w:val="clear" w:color="auto" w:fill="FFFFFF"/>
          <w:lang w:val="lt-LT"/>
        </w:rPr>
        <w:t xml:space="preserve">keliamus darbuotojų, apyvartos ir </w:t>
      </w:r>
      <w:r w:rsidRPr="003C1BBA">
        <w:rPr>
          <w:shd w:val="clear" w:color="auto" w:fill="FFFFFF"/>
          <w:lang w:val="lt-LT"/>
        </w:rPr>
        <w:t>balanse nurodyto turto</w:t>
      </w:r>
      <w:r w:rsidRPr="00085CAE">
        <w:rPr>
          <w:shd w:val="clear" w:color="auto" w:fill="FFFFFF"/>
          <w:lang w:val="lt-LT"/>
        </w:rPr>
        <w:t xml:space="preserve"> vertės kriterijus, ir ar tokių vienetų vertybiniai popieriai nėra įtraukti į prekybą reguliuojamoje rinkoje</w:t>
      </w:r>
      <w:r w:rsidRPr="00085CAE">
        <w:rPr>
          <w:rFonts w:eastAsia="MS Mincho"/>
          <w:noProof/>
          <w:lang w:val="lt-LT" w:eastAsia="ja-JP"/>
        </w:rPr>
        <w:t xml:space="preserve">. Visų investicijų į visas tris įmones </w:t>
      </w:r>
      <w:r w:rsidRPr="00085CAE">
        <w:rPr>
          <w:rFonts w:eastAsia="MS Mincho"/>
          <w:noProof/>
          <w:lang w:val="lt-LT" w:eastAsia="ja-JP"/>
        </w:rPr>
        <w:lastRenderedPageBreak/>
        <w:t xml:space="preserve">atitiktį daugiau kaip 70 proc. visų investicijų proporcijos reikalavimui, RPKS įvertina pasibaigus mokestiniams metams, t. y. įvertina rodiklius, buvusius 2022 m. gruodžio 31 d. (investicijoms į įmonę B ir C), bei 2023 m. gruodžio 31 d. (investicijoms į įmonę D).  </w:t>
      </w:r>
    </w:p>
    <w:p w14:paraId="4F0D6C6F"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center" w:pos="0"/>
          <w:tab w:val="center" w:pos="993"/>
        </w:tabs>
        <w:jc w:val="both"/>
        <w:rPr>
          <w:rFonts w:eastAsia="MS Mincho"/>
          <w:strike/>
          <w:noProof/>
          <w:color w:val="FF0000"/>
          <w:highlight w:val="lightGray"/>
          <w:lang w:val="lt-LT" w:eastAsia="ja-JP"/>
        </w:rPr>
      </w:pPr>
      <w:r w:rsidRPr="00CF74B9">
        <w:rPr>
          <w:rFonts w:eastAsia="MS Mincho"/>
          <w:noProof/>
          <w:lang w:val="lt-LT" w:eastAsia="ja-JP"/>
        </w:rPr>
        <w:t>Jeigu</w:t>
      </w:r>
      <w:r w:rsidRPr="00085CAE">
        <w:rPr>
          <w:rFonts w:eastAsia="MS Mincho"/>
          <w:noProof/>
          <w:lang w:val="lt-LT" w:eastAsia="ja-JP"/>
        </w:rPr>
        <w:t xml:space="preserve"> RPKS finansiniai metai, nustatyti pelno mokesčio tikslais, nesutampa su kalendoriniais metais, </w:t>
      </w:r>
      <w:r w:rsidRPr="00085CAE">
        <w:rPr>
          <w:lang w:val="lt-LT"/>
        </w:rPr>
        <w:t xml:space="preserve">toks RPKS tinkamų investicijų atitiktį apskaičiuoja už tą mokestinį laikotarpį, </w:t>
      </w:r>
      <w:r w:rsidRPr="00085CAE">
        <w:rPr>
          <w:bCs/>
          <w:lang w:val="lt-LT" w:eastAsia="lt-LT"/>
        </w:rPr>
        <w:t>kurį prasidėjo ir baigėsi RPKS nustatytas mokestinis laikotarpis.</w:t>
      </w:r>
    </w:p>
    <w:p w14:paraId="5105B158" w14:textId="77777777" w:rsidR="004317E7" w:rsidRDefault="004317E7" w:rsidP="004317E7">
      <w:pPr>
        <w:tabs>
          <w:tab w:val="left" w:pos="851"/>
          <w:tab w:val="center" w:pos="993"/>
          <w:tab w:val="left" w:pos="1276"/>
        </w:tabs>
        <w:jc w:val="both"/>
        <w:rPr>
          <w:rFonts w:eastAsia="MS Mincho"/>
          <w:noProof/>
          <w:lang w:val="lt-LT" w:eastAsia="ja-JP"/>
        </w:rPr>
      </w:pPr>
      <w:r w:rsidRPr="00085CAE">
        <w:rPr>
          <w:rFonts w:eastAsia="MS Mincho"/>
          <w:noProof/>
          <w:lang w:val="lt-LT" w:eastAsia="ja-JP"/>
        </w:rPr>
        <w:tab/>
      </w:r>
    </w:p>
    <w:p w14:paraId="627160B2" w14:textId="77777777" w:rsidR="004317E7" w:rsidRPr="00085CAE" w:rsidRDefault="004317E7" w:rsidP="004317E7">
      <w:pPr>
        <w:tabs>
          <w:tab w:val="center" w:pos="851"/>
          <w:tab w:val="left" w:pos="1276"/>
        </w:tabs>
        <w:ind w:firstLine="567"/>
        <w:jc w:val="both"/>
        <w:rPr>
          <w:shd w:val="clear" w:color="auto" w:fill="FFFFFF"/>
          <w:lang w:val="lt-LT"/>
        </w:rPr>
      </w:pPr>
      <w:r>
        <w:rPr>
          <w:shd w:val="clear" w:color="auto" w:fill="FFFFFF"/>
          <w:lang w:val="lt-LT"/>
        </w:rPr>
        <w:tab/>
      </w:r>
      <w:r w:rsidRPr="00085CAE">
        <w:rPr>
          <w:shd w:val="clear" w:color="auto" w:fill="FFFFFF"/>
          <w:lang w:val="lt-LT"/>
        </w:rPr>
        <w:t xml:space="preserve">2.  Pagal </w:t>
      </w:r>
      <w:r>
        <w:rPr>
          <w:shd w:val="clear" w:color="auto" w:fill="FFFFFF"/>
          <w:lang w:val="lt-LT"/>
        </w:rPr>
        <w:t>komentuojamosios</w:t>
      </w:r>
      <w:r w:rsidRPr="00085CAE">
        <w:rPr>
          <w:shd w:val="clear" w:color="auto" w:fill="FFFFFF"/>
          <w:lang w:val="lt-LT"/>
        </w:rPr>
        <w:t xml:space="preserve"> dalies nuostatas vienetas gali būti laikomas RPKS, tik jeigu jis laikinai pritraukia lėšas iš asmenų (investuotojų), kurie nėra susiję su pačiu RPKS.</w:t>
      </w:r>
      <w:r w:rsidRPr="003F0BD1">
        <w:rPr>
          <w:shd w:val="clear" w:color="auto" w:fill="FFFFFF"/>
          <w:lang w:val="lt-LT"/>
        </w:rPr>
        <w:t xml:space="preserve"> </w:t>
      </w:r>
      <w:r w:rsidRPr="00085CAE">
        <w:rPr>
          <w:shd w:val="clear" w:color="auto" w:fill="FFFFFF"/>
          <w:lang w:val="lt-LT"/>
        </w:rPr>
        <w:t xml:space="preserve">Susijusių asmenų sąvokos, taikytinos pelno mokesčio tikslais, apibrėžimas pateikiamas PMĮ 2 straipsnio 33 punkte (žr. šio punkto komentarą). </w:t>
      </w:r>
    </w:p>
    <w:p w14:paraId="329783CD" w14:textId="77777777" w:rsidR="004317E7" w:rsidRPr="006B1A54" w:rsidRDefault="004317E7" w:rsidP="004317E7">
      <w:pPr>
        <w:pStyle w:val="Komentarotekstas"/>
        <w:rPr>
          <w:sz w:val="24"/>
          <w:szCs w:val="24"/>
          <w:shd w:val="clear" w:color="auto" w:fill="FFFFFF"/>
        </w:rPr>
      </w:pPr>
      <w:r w:rsidRPr="00085CAE">
        <w:rPr>
          <w:shd w:val="clear" w:color="auto" w:fill="FFFFFF"/>
        </w:rPr>
        <w:t xml:space="preserve">           </w:t>
      </w:r>
      <w:r w:rsidRPr="006B1A54">
        <w:rPr>
          <w:sz w:val="24"/>
          <w:szCs w:val="24"/>
          <w:shd w:val="clear" w:color="auto" w:fill="FFFFFF"/>
        </w:rPr>
        <w:t xml:space="preserve">Investuotojo </w:t>
      </w:r>
      <w:r>
        <w:rPr>
          <w:sz w:val="24"/>
          <w:szCs w:val="24"/>
          <w:shd w:val="clear" w:color="auto" w:fill="FFFFFF"/>
        </w:rPr>
        <w:t xml:space="preserve">susietumo </w:t>
      </w:r>
      <w:r w:rsidRPr="006B1A54">
        <w:rPr>
          <w:sz w:val="24"/>
          <w:szCs w:val="24"/>
          <w:shd w:val="clear" w:color="auto" w:fill="FFFFFF"/>
        </w:rPr>
        <w:t>sąsaja su RPKS vertinama investicijos pritraukimo momentu.</w:t>
      </w:r>
    </w:p>
    <w:p w14:paraId="79A821F7" w14:textId="77777777" w:rsidR="004317E7" w:rsidRDefault="004317E7" w:rsidP="004317E7">
      <w:pPr>
        <w:pStyle w:val="Komentarotekstas"/>
        <w:ind w:firstLine="360"/>
        <w:jc w:val="both"/>
        <w:rPr>
          <w:sz w:val="24"/>
          <w:szCs w:val="24"/>
          <w:lang w:eastAsia="lt-LT"/>
        </w:rPr>
      </w:pPr>
      <w:r>
        <w:rPr>
          <w:sz w:val="24"/>
          <w:szCs w:val="24"/>
          <w:shd w:val="clear" w:color="auto" w:fill="FFFFFF"/>
        </w:rPr>
        <w:t xml:space="preserve">   3. </w:t>
      </w:r>
      <w:r w:rsidRPr="006B1A54">
        <w:rPr>
          <w:sz w:val="24"/>
          <w:szCs w:val="24"/>
          <w:shd w:val="clear" w:color="auto" w:fill="FFFFFF"/>
        </w:rPr>
        <w:t xml:space="preserve">Pelno mokesčio apskaičiavimo tikslais </w:t>
      </w:r>
      <w:r w:rsidRPr="006B1A54">
        <w:rPr>
          <w:sz w:val="24"/>
          <w:szCs w:val="24"/>
          <w:lang w:eastAsia="lt-LT"/>
        </w:rPr>
        <w:t>laikinu lėšų iš nesusijusių asmenų pritraukimu nelaikom</w:t>
      </w:r>
      <w:r>
        <w:rPr>
          <w:sz w:val="24"/>
          <w:szCs w:val="24"/>
          <w:lang w:eastAsia="lt-LT"/>
        </w:rPr>
        <w:t>a</w:t>
      </w:r>
      <w:r w:rsidRPr="006B1A54">
        <w:rPr>
          <w:sz w:val="24"/>
          <w:szCs w:val="24"/>
          <w:lang w:eastAsia="lt-LT"/>
        </w:rPr>
        <w:t>:</w:t>
      </w:r>
    </w:p>
    <w:p w14:paraId="422C0069" w14:textId="77777777" w:rsidR="004317E7" w:rsidRPr="006B1A54" w:rsidRDefault="004317E7" w:rsidP="004317E7">
      <w:pPr>
        <w:pStyle w:val="Komentarotekstas"/>
        <w:ind w:firstLine="567"/>
        <w:jc w:val="both"/>
        <w:rPr>
          <w:sz w:val="24"/>
          <w:szCs w:val="24"/>
          <w:shd w:val="clear" w:color="auto" w:fill="FFFFFF"/>
        </w:rPr>
      </w:pPr>
      <w:r>
        <w:rPr>
          <w:sz w:val="24"/>
          <w:szCs w:val="24"/>
          <w:shd w:val="clear" w:color="auto" w:fill="FFFFFF"/>
        </w:rPr>
        <w:t xml:space="preserve">3.1. </w:t>
      </w:r>
      <w:r w:rsidRPr="006B1A54">
        <w:rPr>
          <w:sz w:val="24"/>
          <w:szCs w:val="24"/>
          <w:shd w:val="clear" w:color="auto" w:fill="FFFFFF"/>
        </w:rPr>
        <w:t>anksčiau atliktos investicijos sumos didinim</w:t>
      </w:r>
      <w:r>
        <w:rPr>
          <w:sz w:val="24"/>
          <w:szCs w:val="24"/>
          <w:shd w:val="clear" w:color="auto" w:fill="FFFFFF"/>
        </w:rPr>
        <w:t>as</w:t>
      </w:r>
      <w:r w:rsidRPr="006B1A54">
        <w:rPr>
          <w:sz w:val="24"/>
          <w:szCs w:val="24"/>
          <w:shd w:val="clear" w:color="auto" w:fill="FFFFFF"/>
        </w:rPr>
        <w:t>;</w:t>
      </w:r>
    </w:p>
    <w:p w14:paraId="2D188367" w14:textId="77777777" w:rsidR="004317E7" w:rsidRPr="0095593F" w:rsidRDefault="004317E7" w:rsidP="004317E7">
      <w:pPr>
        <w:pStyle w:val="Sraopastraipa"/>
        <w:tabs>
          <w:tab w:val="left" w:pos="567"/>
          <w:tab w:val="left" w:pos="1276"/>
        </w:tabs>
        <w:ind w:left="360"/>
        <w:jc w:val="both"/>
        <w:rPr>
          <w:shd w:val="clear" w:color="auto" w:fill="FFFFFF"/>
        </w:rPr>
      </w:pPr>
      <w:r>
        <w:rPr>
          <w:shd w:val="clear" w:color="auto" w:fill="FFFFFF"/>
        </w:rPr>
        <w:t xml:space="preserve">   3.2.  </w:t>
      </w:r>
      <w:r w:rsidRPr="0095593F">
        <w:rPr>
          <w:shd w:val="clear" w:color="auto" w:fill="FFFFFF"/>
        </w:rPr>
        <w:t>Juridinių asmenų registre RPKS vieneto steigimo dokumente steigėjų prisiimtų įsipareigojimų pagrindu įnešt</w:t>
      </w:r>
      <w:r>
        <w:rPr>
          <w:shd w:val="clear" w:color="auto" w:fill="FFFFFF"/>
        </w:rPr>
        <w:t>os</w:t>
      </w:r>
      <w:r w:rsidRPr="0095593F">
        <w:rPr>
          <w:shd w:val="clear" w:color="auto" w:fill="FFFFFF"/>
        </w:rPr>
        <w:t xml:space="preserve"> lėš</w:t>
      </w:r>
      <w:r>
        <w:rPr>
          <w:shd w:val="clear" w:color="auto" w:fill="FFFFFF"/>
        </w:rPr>
        <w:t>os -</w:t>
      </w:r>
      <w:r w:rsidRPr="0095593F">
        <w:rPr>
          <w:shd w:val="clear" w:color="auto" w:fill="FFFFFF"/>
        </w:rPr>
        <w:t xml:space="preserve"> įnaš</w:t>
      </w:r>
      <w:r>
        <w:rPr>
          <w:shd w:val="clear" w:color="auto" w:fill="FFFFFF"/>
        </w:rPr>
        <w:t>ai.</w:t>
      </w:r>
    </w:p>
    <w:p w14:paraId="2075D64B"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 xml:space="preserve">              </w:t>
      </w:r>
    </w:p>
    <w:p w14:paraId="63AAC6D9" w14:textId="77777777" w:rsidR="004317E7" w:rsidRPr="00085CAE" w:rsidRDefault="004317E7" w:rsidP="004317E7">
      <w:pPr>
        <w:tabs>
          <w:tab w:val="left" w:pos="851"/>
          <w:tab w:val="left" w:pos="1276"/>
        </w:tabs>
        <w:jc w:val="both"/>
        <w:rPr>
          <w:shd w:val="clear" w:color="auto" w:fill="FFFFFF"/>
          <w:lang w:val="lt-LT"/>
        </w:rPr>
      </w:pPr>
      <w:r w:rsidRPr="00085CAE">
        <w:rPr>
          <w:shd w:val="clear" w:color="auto" w:fill="FFFFFF"/>
          <w:lang w:val="lt-LT"/>
        </w:rPr>
        <w:t>Pavyzdžiai</w:t>
      </w:r>
    </w:p>
    <w:p w14:paraId="299B573D" w14:textId="77777777" w:rsidR="004317E7" w:rsidRPr="00085CAE" w:rsidRDefault="004317E7" w:rsidP="004317E7">
      <w:pPr>
        <w:tabs>
          <w:tab w:val="left" w:pos="851"/>
          <w:tab w:val="left" w:pos="1276"/>
        </w:tabs>
        <w:jc w:val="both"/>
        <w:rPr>
          <w:color w:val="FF0000"/>
          <w:shd w:val="clear" w:color="auto" w:fill="FFFFFF"/>
          <w:lang w:val="lt-LT"/>
        </w:rPr>
      </w:pPr>
    </w:p>
    <w:p w14:paraId="476E81EC"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1. Komanditinė ūkinė bendrija (toliau – KŪB), įregistruota Lietuvos Respublikos teisės aktų nustatyta tvarka, daugiau kaip 70 proc. visų savo investicijų skiria investicijoms į inovatyvias pradedančiąsias įmones (startuolius). KŪB steigėjai komanditoriai (fiziniai ir juridiniai asmenys), o KŪB tikruoju nariu yra komanditorių kontroliuojama bendrovė. KŪB veikla - trumpalaikė, t. y.  apribota 10 metų laikotarpiui, su galimybe šį terminą pratęsti ne daugiau kaip 5 metams. KŪB investuoja komanditorių (fizinių ir juridinių asmenų) lėšas į vienetus, kurie atitinka PMĮ keliamus darbuotojų, apyvartos ir balansinio turto vertės kriterijus, o tokių vienetų vertybiniai popieriai nėra įtraukti į prekybą reguliuojamoje rinkoje. Toks KŪB negali būti laikomas RPKS PMĮ 2 straipsnio 30</w:t>
      </w:r>
      <w:r w:rsidRPr="00085CAE">
        <w:rPr>
          <w:shd w:val="clear" w:color="auto" w:fill="FFFFFF"/>
          <w:vertAlign w:val="superscript"/>
          <w:lang w:val="lt-LT"/>
        </w:rPr>
        <w:t>1</w:t>
      </w:r>
      <w:r w:rsidRPr="00085CAE">
        <w:rPr>
          <w:shd w:val="clear" w:color="auto" w:fill="FFFFFF"/>
          <w:lang w:val="lt-LT"/>
        </w:rPr>
        <w:t xml:space="preserve"> punkto prasme, kadangi investuoja tik susijusių asmenų (tikrųjų KŪB narių ir komanditorių lėšas), t. y. nepritraukia lėšų iš nesusijusių asmenų. KŪB steigėjai ir investuotojai investuodami į KŪB tampa su KŪB susijusiais asmenimis, kadangi tampa tokio KŪB dalyviais (tikraisiais KŪB nariais ir komanditoriais), todėl tokia investicija yra laikoma lėšų pritraukimu iš susijusių asmenų ir PMĮ 12 straipsnio 5 punkte įtvirtinta pajamų neapmokestinimo lengvata jam  netaikoma.</w:t>
      </w:r>
    </w:p>
    <w:p w14:paraId="757B0E80"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p>
    <w:p w14:paraId="0CE8478E"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2. UAB, įsteigta 2 fizinių asmenų, kurie, investavę į UAB, tapo su UAB susijusiais asmenimis - vieneto dalyviais. UAB vis</w:t>
      </w:r>
      <w:r>
        <w:rPr>
          <w:shd w:val="clear" w:color="auto" w:fill="FFFFFF"/>
          <w:lang w:val="lt-LT"/>
        </w:rPr>
        <w:t>as</w:t>
      </w:r>
      <w:r w:rsidRPr="00085CAE">
        <w:rPr>
          <w:shd w:val="clear" w:color="auto" w:fill="FFFFFF"/>
          <w:lang w:val="lt-LT"/>
        </w:rPr>
        <w:t xml:space="preserve"> savo investicij</w:t>
      </w:r>
      <w:r>
        <w:rPr>
          <w:shd w:val="clear" w:color="auto" w:fill="FFFFFF"/>
          <w:lang w:val="lt-LT"/>
        </w:rPr>
        <w:t>as</w:t>
      </w:r>
      <w:r w:rsidRPr="00085CAE">
        <w:rPr>
          <w:shd w:val="clear" w:color="auto" w:fill="FFFFFF"/>
          <w:lang w:val="lt-LT"/>
        </w:rPr>
        <w:t xml:space="preserve"> skiria investicijoms į inovatyvias pradedančiąsias įmones (startuolius). UAB savo veikloje investuoja lėšas, pritrauktas tik iš tarpusavyje nesusijusių privačių asmenų, išorės skolintojų (UAB akcininkų lėšos nėra investuojamos), pati UAB investicijas tik administruoja, ieško įmonių, kurioms galėtų padėti aktyviai plėstis, planuoja eksporto ir pardavimų veiklą ir pan.,  todėl toks subjektas laikomas RPKS, jei vienetai, į kuriuos investuojama, atitinka PMĮ nustatytus darbuotojų, apyvartos arba balansinio turto vertės kriterijus, o tokių vienetų vertybiniai popieriai neįtraukti į prekybą reguliuojamoje rinkoje.</w:t>
      </w:r>
    </w:p>
    <w:p w14:paraId="460DBA39"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p>
    <w:p w14:paraId="17ADF9EC"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 xml:space="preserve">3. UAB, įsteigta 2 fizinių asmenų, kurie, investavę į UAB, tapo su ja susijusiais asmenimis - vieneto dalyviais. UAB  100 proc. visų savo investicijų skiria investicijoms į inovatyvias smulkias ir vidutines įmones, atitinkančias </w:t>
      </w:r>
      <w:r w:rsidRPr="00085CAE">
        <w:rPr>
          <w:lang w:val="lt-LT"/>
        </w:rPr>
        <w:t>PMĮ 2 straipsnio 30</w:t>
      </w:r>
      <w:r w:rsidRPr="00085CAE">
        <w:rPr>
          <w:vertAlign w:val="superscript"/>
          <w:lang w:val="lt-LT"/>
        </w:rPr>
        <w:t>1</w:t>
      </w:r>
      <w:r w:rsidRPr="00085CAE">
        <w:rPr>
          <w:lang w:val="lt-LT"/>
        </w:rPr>
        <w:t xml:space="preserve"> </w:t>
      </w:r>
      <w:r w:rsidRPr="00085CAE">
        <w:rPr>
          <w:rStyle w:val="normal-h"/>
          <w:lang w:val="lt-LT"/>
        </w:rPr>
        <w:t>dalyje nustatytus reikalavimus</w:t>
      </w:r>
      <w:r w:rsidRPr="00085CAE">
        <w:rPr>
          <w:shd w:val="clear" w:color="auto" w:fill="FFFFFF"/>
          <w:lang w:val="lt-LT"/>
        </w:rPr>
        <w:t xml:space="preserve">. </w:t>
      </w:r>
    </w:p>
    <w:p w14:paraId="085984B7"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202</w:t>
      </w:r>
      <w:r>
        <w:rPr>
          <w:shd w:val="clear" w:color="auto" w:fill="FFFFFF"/>
          <w:lang w:val="lt-LT"/>
        </w:rPr>
        <w:t>3</w:t>
      </w:r>
      <w:r w:rsidRPr="00085CAE">
        <w:rPr>
          <w:shd w:val="clear" w:color="auto" w:fill="FFFFFF"/>
          <w:lang w:val="lt-LT"/>
        </w:rPr>
        <w:t xml:space="preserve"> m. mokestiniu laikotarpiu UAB investicijas sudaro lėšos, pritrauktos dviem būdais, t. y., </w:t>
      </w:r>
      <w:r>
        <w:rPr>
          <w:shd w:val="clear" w:color="auto" w:fill="FFFFFF"/>
          <w:lang w:val="lt-LT"/>
        </w:rPr>
        <w:t>8</w:t>
      </w:r>
      <w:r w:rsidRPr="00085CAE">
        <w:rPr>
          <w:shd w:val="clear" w:color="auto" w:fill="FFFFFF"/>
          <w:lang w:val="lt-LT"/>
        </w:rPr>
        <w:t>0 proc. sudaro lėšos pritrauktos iš UAB dalyvių (susijusių asmenų), didinant akcinį kapitalą</w:t>
      </w:r>
      <w:r w:rsidRPr="00085CAE">
        <w:rPr>
          <w:rFonts w:ascii="Trebuchet MS" w:hAnsi="Trebuchet MS"/>
          <w:bCs/>
          <w:szCs w:val="22"/>
          <w:shd w:val="clear" w:color="auto" w:fill="FFFFFF"/>
          <w:lang w:val="lt-LT"/>
        </w:rPr>
        <w:t>,</w:t>
      </w:r>
      <w:r w:rsidRPr="00085CAE">
        <w:rPr>
          <w:shd w:val="clear" w:color="auto" w:fill="FFFFFF"/>
          <w:lang w:val="lt-LT"/>
        </w:rPr>
        <w:t xml:space="preserve"> likusią dalį (</w:t>
      </w:r>
      <w:r>
        <w:rPr>
          <w:shd w:val="clear" w:color="auto" w:fill="FFFFFF"/>
          <w:lang w:val="lt-LT"/>
        </w:rPr>
        <w:t>2</w:t>
      </w:r>
      <w:r w:rsidRPr="00085CAE">
        <w:rPr>
          <w:shd w:val="clear" w:color="auto" w:fill="FFFFFF"/>
          <w:lang w:val="lt-LT"/>
        </w:rPr>
        <w:t xml:space="preserve">0 proc.) sudaro lėšos, pritrauktos 2 metų trukmės obligacijomis iš mažmeninių investuotojų (nesusijusių asmenų). </w:t>
      </w:r>
    </w:p>
    <w:p w14:paraId="6D4519E0" w14:textId="77777777" w:rsidR="004317E7" w:rsidRPr="00085CAE" w:rsidRDefault="004317E7" w:rsidP="004317E7">
      <w:pPr>
        <w:pBdr>
          <w:top w:val="single" w:sz="4" w:space="1" w:color="auto"/>
          <w:left w:val="single" w:sz="4" w:space="4" w:color="auto"/>
          <w:bottom w:val="single" w:sz="4" w:space="1" w:color="auto"/>
          <w:right w:val="single" w:sz="4" w:space="4" w:color="auto"/>
        </w:pBdr>
        <w:tabs>
          <w:tab w:val="left" w:pos="851"/>
          <w:tab w:val="left" w:pos="1276"/>
        </w:tabs>
        <w:jc w:val="both"/>
        <w:rPr>
          <w:shd w:val="clear" w:color="auto" w:fill="FFFFFF"/>
          <w:lang w:val="lt-LT"/>
        </w:rPr>
      </w:pPr>
      <w:r w:rsidRPr="00085CAE">
        <w:rPr>
          <w:shd w:val="clear" w:color="auto" w:fill="FFFFFF"/>
          <w:lang w:val="lt-LT"/>
        </w:rPr>
        <w:t xml:space="preserve">UAB, atitinkamu mokestiniu laikotarpiu RPKS įtvirtinta mokestine lengvata pasinaudoti negalės, </w:t>
      </w:r>
      <w:r w:rsidRPr="003C1BBA">
        <w:rPr>
          <w:shd w:val="clear" w:color="auto" w:fill="FFFFFF"/>
          <w:lang w:val="lt-LT"/>
        </w:rPr>
        <w:t>kadangi investicijoms lėšos yra pritrauktos iš susijusių asmenų</w:t>
      </w:r>
      <w:r>
        <w:rPr>
          <w:shd w:val="clear" w:color="auto" w:fill="FFFFFF"/>
          <w:lang w:val="lt-LT"/>
        </w:rPr>
        <w:t>.</w:t>
      </w:r>
      <w:r w:rsidRPr="00256EA4">
        <w:rPr>
          <w:highlight w:val="yellow"/>
          <w:shd w:val="clear" w:color="auto" w:fill="FFFFFF"/>
          <w:lang w:val="lt-LT"/>
        </w:rPr>
        <w:t xml:space="preserve"> </w:t>
      </w:r>
    </w:p>
    <w:p w14:paraId="0EFE8576" w14:textId="77777777" w:rsidR="004317E7" w:rsidRPr="00085CAE" w:rsidRDefault="004317E7" w:rsidP="004317E7">
      <w:pPr>
        <w:tabs>
          <w:tab w:val="left" w:pos="851"/>
          <w:tab w:val="left" w:pos="1276"/>
        </w:tabs>
        <w:jc w:val="both"/>
        <w:rPr>
          <w:color w:val="FF0000"/>
          <w:shd w:val="clear" w:color="auto" w:fill="FFFFFF"/>
          <w:lang w:val="lt-LT"/>
        </w:rPr>
      </w:pPr>
      <w:r w:rsidRPr="00085CAE">
        <w:rPr>
          <w:color w:val="FF0000"/>
          <w:shd w:val="clear" w:color="auto" w:fill="FFFFFF"/>
          <w:lang w:val="lt-LT"/>
        </w:rPr>
        <w:t xml:space="preserve">        </w:t>
      </w:r>
    </w:p>
    <w:p w14:paraId="5552C6AC" w14:textId="77777777" w:rsidR="004317E7" w:rsidRPr="00085CAE" w:rsidRDefault="004317E7" w:rsidP="004317E7">
      <w:pPr>
        <w:tabs>
          <w:tab w:val="left" w:pos="851"/>
        </w:tabs>
        <w:ind w:firstLine="600"/>
        <w:jc w:val="both"/>
        <w:rPr>
          <w:rFonts w:eastAsia="MS Mincho"/>
          <w:noProof/>
          <w:lang w:val="lt-LT" w:eastAsia="ja-JP"/>
        </w:rPr>
      </w:pPr>
      <w:r w:rsidRPr="00085CAE">
        <w:rPr>
          <w:lang w:val="lt-LT"/>
        </w:rPr>
        <w:t xml:space="preserve">4. Pagal komentuojamąją dalį, jei pritraukiamos viešosios lėšos, laikoma, kad jos pritrauktos iš nesusijusių asmenų.          </w:t>
      </w:r>
      <w:r>
        <w:rPr>
          <w:rFonts w:eastAsia="MS Mincho"/>
          <w:noProof/>
          <w:lang w:val="lt-LT" w:eastAsia="ja-JP"/>
        </w:rPr>
        <w:t xml:space="preserve">  </w:t>
      </w:r>
    </w:p>
    <w:p w14:paraId="639CA746" w14:textId="77777777" w:rsidR="004317E7" w:rsidRPr="00085CAE" w:rsidRDefault="004317E7" w:rsidP="004317E7">
      <w:pPr>
        <w:tabs>
          <w:tab w:val="left" w:pos="993"/>
          <w:tab w:val="center" w:pos="1134"/>
        </w:tabs>
        <w:ind w:firstLine="567"/>
        <w:jc w:val="both"/>
        <w:rPr>
          <w:rFonts w:eastAsia="MS Mincho"/>
          <w:noProof/>
          <w:lang w:val="lt-LT" w:eastAsia="ja-JP"/>
        </w:rPr>
      </w:pPr>
      <w:r>
        <w:rPr>
          <w:rFonts w:eastAsia="MS Mincho"/>
          <w:noProof/>
          <w:lang w:val="lt-LT" w:eastAsia="ja-JP"/>
        </w:rPr>
        <w:t>5</w:t>
      </w:r>
      <w:r w:rsidRPr="00085CAE">
        <w:rPr>
          <w:rFonts w:eastAsia="MS Mincho"/>
          <w:noProof/>
          <w:lang w:val="lt-LT" w:eastAsia="ja-JP"/>
        </w:rPr>
        <w:t xml:space="preserve">. Komentuojamosios dalies nuostatoje nurodytas reikalavimas dėl daugiau kaip 70 proc. visų RPKS investicijų į nurodytus rodiklius atitinkančius vienetus, dydžio, turi būti suprantamas kaip daugiau kaip 70 proc. visų RPKS investicijų, išreikštų eurais. </w:t>
      </w:r>
    </w:p>
    <w:p w14:paraId="0BCA0CC3" w14:textId="77777777" w:rsidR="004317E7" w:rsidRPr="00085CAE" w:rsidRDefault="004317E7" w:rsidP="004317E7">
      <w:pPr>
        <w:tabs>
          <w:tab w:val="left" w:pos="993"/>
          <w:tab w:val="center" w:pos="1134"/>
        </w:tabs>
        <w:ind w:firstLine="567"/>
        <w:jc w:val="both"/>
        <w:rPr>
          <w:rFonts w:eastAsia="MS Mincho"/>
          <w:noProof/>
          <w:lang w:val="lt-LT" w:eastAsia="ja-JP"/>
        </w:rPr>
      </w:pPr>
      <w:r>
        <w:rPr>
          <w:rFonts w:eastAsia="MS Mincho"/>
          <w:noProof/>
          <w:lang w:val="lt-LT" w:eastAsia="ja-JP"/>
        </w:rPr>
        <w:t>6</w:t>
      </w:r>
      <w:r w:rsidRPr="00085CAE">
        <w:rPr>
          <w:rFonts w:eastAsia="MS Mincho"/>
          <w:noProof/>
          <w:lang w:val="lt-LT" w:eastAsia="ja-JP"/>
        </w:rPr>
        <w:t>. RPKS dokumentais, patvirtinančiais teisę taikyti specialias PMĮ įtvirtintam RPKS statusui, galėtų būti steigimo dokumentai (jungtinės veiklos sutartis), komanditorių sutartys,</w:t>
      </w:r>
      <w:r>
        <w:rPr>
          <w:rFonts w:eastAsia="MS Mincho"/>
          <w:noProof/>
          <w:lang w:val="lt-LT" w:eastAsia="ja-JP"/>
        </w:rPr>
        <w:t xml:space="preserve"> finansinių ataskaitų rinkinys</w:t>
      </w:r>
      <w:r w:rsidRPr="00085CAE">
        <w:rPr>
          <w:rFonts w:eastAsia="MS Mincho"/>
          <w:noProof/>
          <w:lang w:val="lt-LT" w:eastAsia="ja-JP"/>
        </w:rPr>
        <w:t>, veiklos dokumentai, kiti sandorius patvirtinantys dokumentai.</w:t>
      </w:r>
    </w:p>
    <w:p w14:paraId="615850A2" w14:textId="77777777" w:rsidR="004317E7" w:rsidRDefault="004317E7" w:rsidP="004317E7">
      <w:pPr>
        <w:pStyle w:val="Sraopastraipa"/>
        <w:tabs>
          <w:tab w:val="center" w:pos="0"/>
          <w:tab w:val="center" w:pos="993"/>
          <w:tab w:val="center" w:pos="1134"/>
        </w:tabs>
        <w:ind w:left="0" w:firstLine="567"/>
        <w:jc w:val="both"/>
        <w:rPr>
          <w:color w:val="000000"/>
          <w:shd w:val="clear" w:color="auto" w:fill="FFFFFF"/>
        </w:rPr>
      </w:pPr>
      <w:r>
        <w:rPr>
          <w:color w:val="000000"/>
          <w:shd w:val="clear" w:color="auto" w:fill="FFFFFF"/>
        </w:rPr>
        <w:t>7</w:t>
      </w:r>
      <w:r w:rsidRPr="00085CAE">
        <w:rPr>
          <w:color w:val="000000"/>
          <w:shd w:val="clear" w:color="auto" w:fill="FFFFFF"/>
        </w:rPr>
        <w:t xml:space="preserve">. Reguliuojama rinka suprantama kaip rinka, atitinkanti Lietuvos Respublikos finansinių priemonių rinkų įstatymo (toliau – FPRĮ) 3 straipsnio 59 dalyje pateiktą sąvokos </w:t>
      </w:r>
      <w:r w:rsidRPr="002774F3">
        <w:rPr>
          <w:color w:val="000000"/>
          <w:shd w:val="clear" w:color="auto" w:fill="FFFFFF"/>
        </w:rPr>
        <w:t>„reguliuojama rinka“</w:t>
      </w:r>
      <w:r w:rsidRPr="00085CAE">
        <w:rPr>
          <w:color w:val="000000"/>
          <w:shd w:val="clear" w:color="auto" w:fill="FFFFFF"/>
        </w:rPr>
        <w:t xml:space="preserve"> apibrėžimą. </w:t>
      </w:r>
    </w:p>
    <w:p w14:paraId="141A2EBF" w14:textId="77777777" w:rsidR="00093845" w:rsidRPr="00C0571A" w:rsidRDefault="004317E7" w:rsidP="00C0571A">
      <w:pPr>
        <w:pStyle w:val="Sraopastraipa"/>
        <w:tabs>
          <w:tab w:val="center" w:pos="0"/>
          <w:tab w:val="center" w:pos="993"/>
          <w:tab w:val="center" w:pos="1134"/>
        </w:tabs>
        <w:ind w:left="0" w:firstLine="567"/>
        <w:jc w:val="both"/>
        <w:rPr>
          <w:rFonts w:eastAsia="MS Mincho"/>
          <w:noProof/>
          <w:lang w:eastAsia="ja-JP"/>
        </w:rPr>
      </w:pPr>
      <w:r>
        <w:rPr>
          <w:iCs/>
          <w:lang w:eastAsia="lt-LT"/>
        </w:rPr>
        <w:t>(PMĮ 2  straipsnio 30-1 dalies komentaras parengtas pagal VMI prie FM 2024-05-06 raštą Nr. (18.32-31-1 Mr)-R-1685)</w:t>
      </w:r>
    </w:p>
    <w:p w14:paraId="4B800B56" w14:textId="77777777" w:rsidR="00093845" w:rsidRDefault="00E123EB" w:rsidP="00481614">
      <w:pPr>
        <w:spacing w:after="0"/>
        <w:jc w:val="both"/>
        <w:rPr>
          <w:lang w:val="lt-LT"/>
        </w:rPr>
      </w:pPr>
      <w:r>
        <w:rPr>
          <w:b/>
          <w:lang w:val="lt-LT"/>
        </w:rPr>
        <w:t xml:space="preserve">       </w:t>
      </w:r>
      <w:r w:rsidR="000D779E">
        <w:rPr>
          <w:b/>
          <w:lang w:val="lt-LT"/>
        </w:rPr>
        <w:t xml:space="preserve">31. </w:t>
      </w:r>
      <w:r w:rsidR="000D779E">
        <w:rPr>
          <w:b/>
          <w:bCs/>
          <w:lang w:val="lt-LT"/>
        </w:rPr>
        <w:t>Sąnaudos</w:t>
      </w:r>
      <w:r w:rsidR="000D779E">
        <w:rPr>
          <w:b/>
          <w:lang w:val="lt-LT"/>
        </w:rPr>
        <w:t xml:space="preserve"> – visos išlaidos, patirtos uždirbant pajamas</w:t>
      </w:r>
      <w:r w:rsidR="000D779E">
        <w:rPr>
          <w:lang w:val="lt-LT"/>
        </w:rPr>
        <w:t>.</w:t>
      </w:r>
    </w:p>
    <w:p w14:paraId="0A3FB3B1" w14:textId="77777777" w:rsidR="00E123EB" w:rsidRDefault="0067677F" w:rsidP="00E123EB">
      <w:pPr>
        <w:spacing w:after="0"/>
        <w:jc w:val="both"/>
        <w:rPr>
          <w:i/>
          <w:lang w:val="lt-LT"/>
        </w:rPr>
      </w:pPr>
      <w:r w:rsidRPr="0067677F">
        <w:rPr>
          <w:i/>
          <w:lang w:val="lt-LT"/>
        </w:rPr>
        <w:t xml:space="preserve">  </w:t>
      </w:r>
      <w:r w:rsidR="00481614" w:rsidRPr="0067677F">
        <w:rPr>
          <w:i/>
          <w:lang w:val="lt-LT"/>
        </w:rPr>
        <w:t>(KEISTA: 2008 07 14 įstatymu Nr. IX-1697</w:t>
      </w:r>
      <w:r w:rsidR="00F31096" w:rsidRPr="0067677F">
        <w:rPr>
          <w:i/>
          <w:lang w:val="lt-LT"/>
        </w:rPr>
        <w:t>,</w:t>
      </w:r>
      <w:r w:rsidR="00481614" w:rsidRPr="0067677F">
        <w:rPr>
          <w:i/>
          <w:lang w:val="lt-LT"/>
        </w:rPr>
        <w:t xml:space="preserve"> taikoma nuo 2009 m. sausio 1 d.)</w:t>
      </w:r>
    </w:p>
    <w:p w14:paraId="48DD51C9" w14:textId="77777777" w:rsidR="000C7FFC" w:rsidRPr="0067677F" w:rsidRDefault="000C7FFC" w:rsidP="00E123EB">
      <w:pPr>
        <w:spacing w:after="0"/>
        <w:jc w:val="both"/>
        <w:rPr>
          <w:i/>
          <w:lang w:val="lt-LT"/>
        </w:rPr>
      </w:pPr>
    </w:p>
    <w:p w14:paraId="6D97669B" w14:textId="77777777" w:rsidR="00093845" w:rsidRPr="00E123EB" w:rsidRDefault="00E123EB" w:rsidP="00E123EB">
      <w:pPr>
        <w:spacing w:after="0"/>
        <w:jc w:val="both"/>
        <w:rPr>
          <w:lang w:val="lt-LT"/>
        </w:rPr>
      </w:pPr>
      <w:r>
        <w:rPr>
          <w:lang w:val="lt-LT"/>
        </w:rPr>
        <w:t xml:space="preserve">     </w:t>
      </w:r>
      <w:r w:rsidR="000D779E">
        <w:rPr>
          <w:b/>
          <w:lang w:val="lt-LT"/>
        </w:rPr>
        <w:t>Komentaras</w:t>
      </w:r>
    </w:p>
    <w:p w14:paraId="6448394C" w14:textId="77777777" w:rsidR="00093845" w:rsidRDefault="000D779E">
      <w:pPr>
        <w:pStyle w:val="Style1"/>
        <w:tabs>
          <w:tab w:val="left" w:pos="720"/>
          <w:tab w:val="left" w:pos="1080"/>
        </w:tabs>
        <w:rPr>
          <w:rFonts w:ascii="Times New Roman" w:hAnsi="Times New Roman"/>
        </w:rPr>
      </w:pPr>
      <w:r>
        <w:rPr>
          <w:rFonts w:ascii="Times New Roman" w:hAnsi="Times New Roman"/>
        </w:rPr>
        <w:t>1.</w:t>
      </w:r>
      <w:r>
        <w:rPr>
          <w:rFonts w:ascii="Times New Roman" w:hAnsi="Times New Roman"/>
        </w:rPr>
        <w:tab/>
        <w:t>Patirtomis sąnaudomis laikomas sunaudotas turtas bei suteiktų paslaugų kaina ar įsipareigojimų tiekėjams (rangovams) išlaidos, susijusios su per ataskaitinį laikotarpį uždirbtomis pajamomis. Pinigai ar kitas turtas, išleistas per ataskaitinį laikotarpį neuždirbant pajamų, vadinami išlaidomis. Pavyzdžiui, įrengimams arba kitam ilgalaikiam turtui įsigyti išleisti pinigai ar dėl to atsiradusi skola, sunaudotos žaliavos ir medžiagos bei kitos gamybinės išlaidos nebaigtiems gaminiams arba pagamintai, bet neparduotai produkcijai, taip pat iš anksto sumokėti pinigai už paslaugas (prekes), kurios bus suteiktos ateityje (vėlesniais laikotarpiais), bei kitos avansinės išmokos neįtraukiamos į to laikotarpio sąnaudas. Visas toks turto sumažėjimas (ar įsipareigojimų padidėjimas) sąnaudomis gali būti pripažintas tik tą mokestinį laikotarpį, per kurį jos iš tikrųjų uždirba pajamų (kada atliekami darbai, parduodama produkcija, suteikiamos paslaugos).</w:t>
      </w:r>
    </w:p>
    <w:p w14:paraId="41CB1584" w14:textId="77777777" w:rsidR="00093845" w:rsidRDefault="000D779E">
      <w:pPr>
        <w:pStyle w:val="Pagrindinistekstas"/>
        <w:tabs>
          <w:tab w:val="left" w:pos="720"/>
          <w:tab w:val="left" w:pos="1080"/>
        </w:tabs>
        <w:rPr>
          <w:rFonts w:ascii="Times New Roman" w:hAnsi="Times New Roman" w:cs="Times New Roman"/>
          <w:lang w:val="lt-LT"/>
        </w:rPr>
      </w:pPr>
      <w:r>
        <w:rPr>
          <w:rFonts w:ascii="Times New Roman" w:hAnsi="Times New Roman" w:cs="Times New Roman"/>
          <w:lang w:val="lt-LT"/>
        </w:rPr>
        <w:tab/>
        <w:t>2.</w:t>
      </w:r>
      <w:r>
        <w:rPr>
          <w:rFonts w:ascii="Times New Roman" w:hAnsi="Times New Roman" w:cs="Times New Roman"/>
          <w:lang w:val="lt-LT"/>
        </w:rPr>
        <w:tab/>
        <w:t>Sąnaudos, susijusios su pajamomis, uždirbtomis per mokestinį laikotarpį arba su įplaukomis, gautomis per mokestinį laikotarpį, pripažįstamos nepriklausomai nuo faktiško jų apmokėjimo.</w:t>
      </w:r>
    </w:p>
    <w:p w14:paraId="27053AED" w14:textId="77777777" w:rsidR="00093845" w:rsidRDefault="000D779E" w:rsidP="00BE2E9D">
      <w:pPr>
        <w:spacing w:after="0"/>
        <w:ind w:right="-50" w:firstLine="540"/>
        <w:jc w:val="both"/>
        <w:rPr>
          <w:b/>
          <w:lang w:val="lt-LT"/>
        </w:rPr>
      </w:pPr>
      <w:r>
        <w:rPr>
          <w:b/>
          <w:lang w:val="lt-LT" w:eastAsia="lt-LT"/>
        </w:rPr>
        <w:t>3</w:t>
      </w:r>
      <w:r>
        <w:rPr>
          <w:b/>
          <w:lang w:val="lt-LT"/>
        </w:rPr>
        <w:t>2.</w:t>
      </w:r>
      <w:r>
        <w:rPr>
          <w:lang w:val="lt-LT"/>
        </w:rPr>
        <w:t xml:space="preserve"> </w:t>
      </w:r>
      <w:r>
        <w:rPr>
          <w:b/>
          <w:bCs/>
          <w:lang w:val="lt-LT"/>
        </w:rPr>
        <w:t>Sporto veikla</w:t>
      </w:r>
      <w:r>
        <w:rPr>
          <w:b/>
          <w:lang w:val="lt-LT"/>
        </w:rPr>
        <w:t xml:space="preserve"> – kaip ši sąvoka apibrėžta Lietuvos Respublikos gyventojų pajamų mokesčio įstatyme.</w:t>
      </w:r>
    </w:p>
    <w:p w14:paraId="0EB26500" w14:textId="77777777" w:rsidR="00BE2E9D" w:rsidRPr="0067677F" w:rsidRDefault="00BE2E9D" w:rsidP="00BE2E9D">
      <w:pPr>
        <w:spacing w:after="0"/>
        <w:jc w:val="both"/>
        <w:rPr>
          <w:i/>
          <w:lang w:val="lt-LT"/>
        </w:rPr>
      </w:pPr>
      <w:r w:rsidRPr="0067677F">
        <w:rPr>
          <w:i/>
          <w:lang w:val="lt-LT"/>
        </w:rPr>
        <w:lastRenderedPageBreak/>
        <w:t>(KEISTA: 2008 07 14 įstatymu Nr. IX-1697</w:t>
      </w:r>
      <w:r w:rsidR="00F31096" w:rsidRPr="0067677F">
        <w:rPr>
          <w:i/>
          <w:lang w:val="lt-LT"/>
        </w:rPr>
        <w:t>,</w:t>
      </w:r>
      <w:r w:rsidRPr="0067677F">
        <w:rPr>
          <w:i/>
          <w:lang w:val="lt-LT"/>
        </w:rPr>
        <w:t xml:space="preserve"> taikoma nuo 2009 m. sausio 1 d.)</w:t>
      </w:r>
    </w:p>
    <w:p w14:paraId="6CD96EBD" w14:textId="77777777" w:rsidR="00BE2E9D" w:rsidRDefault="00BE2E9D" w:rsidP="00BE2E9D">
      <w:pPr>
        <w:spacing w:after="0"/>
        <w:ind w:right="-50" w:firstLine="540"/>
        <w:jc w:val="both"/>
        <w:rPr>
          <w:b/>
          <w:lang w:val="lt-LT"/>
        </w:rPr>
      </w:pPr>
    </w:p>
    <w:p w14:paraId="6C7A3C46" w14:textId="77777777" w:rsidR="00093845" w:rsidRPr="0065344A" w:rsidRDefault="000D779E">
      <w:pPr>
        <w:ind w:firstLine="540"/>
        <w:rPr>
          <w:b/>
          <w:bCs/>
          <w:lang w:val="lt-LT"/>
        </w:rPr>
      </w:pPr>
      <w:r w:rsidRPr="0065344A">
        <w:rPr>
          <w:b/>
          <w:bCs/>
          <w:lang w:val="lt-LT"/>
        </w:rPr>
        <w:t>Komentaras</w:t>
      </w:r>
    </w:p>
    <w:p w14:paraId="28672DC3" w14:textId="77777777" w:rsidR="00093845" w:rsidRPr="0065344A" w:rsidRDefault="000D779E">
      <w:pPr>
        <w:ind w:right="-50" w:firstLine="540"/>
        <w:jc w:val="both"/>
        <w:rPr>
          <w:lang w:val="lt-LT"/>
        </w:rPr>
      </w:pPr>
      <w:r w:rsidRPr="0065344A">
        <w:rPr>
          <w:lang w:val="lt-LT"/>
        </w:rPr>
        <w:t xml:space="preserve">1. Sporto veiklos sąvoka apibrėžta Lietuvos Respublikos </w:t>
      </w:r>
      <w:r w:rsidR="00273C75" w:rsidRPr="0065344A">
        <w:rPr>
          <w:rStyle w:val="Hipersaitas"/>
          <w:rFonts w:ascii="Times New Roman" w:hAnsi="Times New Roman" w:cs="Times New Roman"/>
          <w:b w:val="0"/>
          <w:bCs w:val="0"/>
          <w:kern w:val="0"/>
          <w:lang w:val="lt-LT"/>
        </w:rPr>
        <w:t>gyventojų pajamų mokesčio įstatymo</w:t>
      </w:r>
      <w:r w:rsidRPr="0065344A">
        <w:rPr>
          <w:lang w:val="lt-LT"/>
        </w:rPr>
        <w:t xml:space="preserve">  2 str. 8 dalyje.</w:t>
      </w:r>
    </w:p>
    <w:p w14:paraId="19534DB6" w14:textId="77777777" w:rsidR="00093845" w:rsidRDefault="000D779E">
      <w:pPr>
        <w:ind w:firstLine="720"/>
        <w:jc w:val="both"/>
        <w:rPr>
          <w:bCs/>
          <w:lang w:val="lt-LT"/>
        </w:rPr>
      </w:pPr>
      <w:r>
        <w:rPr>
          <w:bCs/>
          <w:lang w:val="lt-LT"/>
        </w:rPr>
        <w:t>(</w:t>
      </w:r>
      <w:r w:rsidR="00482DDD">
        <w:rPr>
          <w:bCs/>
          <w:lang w:val="lt-LT"/>
        </w:rPr>
        <w:t xml:space="preserve">Papildyta </w:t>
      </w:r>
      <w:r>
        <w:rPr>
          <w:bCs/>
          <w:lang w:val="lt-LT"/>
        </w:rPr>
        <w:t>pagal 2009-09-08 VMI prie FM raštą Nr. (18.-10-31-1)-R-8626).</w:t>
      </w:r>
    </w:p>
    <w:p w14:paraId="2BD8F79D" w14:textId="77777777" w:rsidR="00513D40" w:rsidRDefault="000C7FFC" w:rsidP="000C7FFC">
      <w:pPr>
        <w:jc w:val="both"/>
        <w:rPr>
          <w:b/>
        </w:rPr>
      </w:pPr>
      <w:r>
        <w:rPr>
          <w:b/>
          <w:lang w:eastAsia="lt-LT"/>
        </w:rPr>
        <w:t xml:space="preserve">           </w:t>
      </w:r>
      <w:r w:rsidR="00513D40" w:rsidRPr="00513D40">
        <w:rPr>
          <w:b/>
          <w:lang w:eastAsia="lt-LT"/>
        </w:rPr>
        <w:t>32</w:t>
      </w:r>
      <w:r w:rsidR="00513D40" w:rsidRPr="00513D40">
        <w:rPr>
          <w:b/>
          <w:vertAlign w:val="superscript"/>
          <w:lang w:eastAsia="lt-LT"/>
        </w:rPr>
        <w:t>1</w:t>
      </w:r>
      <w:r w:rsidR="00513D40" w:rsidRPr="00513D40">
        <w:rPr>
          <w:b/>
          <w:lang w:eastAsia="lt-LT"/>
        </w:rPr>
        <w:t xml:space="preserve">. Struktūrinis susitarimas – </w:t>
      </w:r>
      <w:r w:rsidR="00513D40" w:rsidRPr="00513D40">
        <w:rPr>
          <w:b/>
        </w:rPr>
        <w:t>susitarimas, kurio sąlygoms poveikį turi mokestinės tvarkos neatitikimas ir dėl jo gaunama mokestinė nauda, arba susitarimas, kuriuo siekiama, kad atsirastų mokestinės tvarkos neatitikimo pasekmės, išskyrus atvejus, kai negalima pagrįstai manyti, kad vienetas, sudarydamas susitarimą, žinojo apie galimybę pasinaudoti mokestinės tvarkos neatitikimu, ir iš šio susitarimo nega</w:t>
      </w:r>
      <w:r w:rsidR="00513D40">
        <w:rPr>
          <w:b/>
        </w:rPr>
        <w:t>unama jokios mokestinės naudos.</w:t>
      </w:r>
    </w:p>
    <w:p w14:paraId="3DA01A3A" w14:textId="77777777" w:rsidR="00513D40" w:rsidRPr="003312C5" w:rsidRDefault="00E123EB" w:rsidP="000C7FFC">
      <w:pPr>
        <w:shd w:val="clear" w:color="auto" w:fill="FFFFFF"/>
        <w:spacing w:after="0" w:line="240" w:lineRule="auto"/>
        <w:ind w:firstLine="720"/>
        <w:jc w:val="both"/>
        <w:rPr>
          <w:iCs/>
          <w:color w:val="000000"/>
          <w:lang w:val="lt-LT" w:eastAsia="lt-LT"/>
        </w:rPr>
      </w:pPr>
      <w:r>
        <w:rPr>
          <w:iCs/>
          <w:color w:val="000000"/>
          <w:lang w:val="lt-LT" w:eastAsia="lt-LT"/>
        </w:rPr>
        <w:t>(Papildyta</w:t>
      </w:r>
      <w:r w:rsidR="00513D40" w:rsidRPr="003312C5">
        <w:rPr>
          <w:iCs/>
          <w:color w:val="000000"/>
          <w:lang w:val="lt-LT" w:eastAsia="lt-LT"/>
        </w:rPr>
        <w:t>: 2019 12 17 įstatym</w:t>
      </w:r>
      <w:r w:rsidR="000C7FFC">
        <w:rPr>
          <w:iCs/>
          <w:color w:val="000000"/>
          <w:lang w:val="lt-LT" w:eastAsia="lt-LT"/>
        </w:rPr>
        <w:t>u Nr. XIII-2694 (nuo 2020 01 01))</w:t>
      </w:r>
    </w:p>
    <w:p w14:paraId="421AF4E4" w14:textId="77777777" w:rsidR="00513D40" w:rsidRPr="00513D40" w:rsidRDefault="00513D40">
      <w:pPr>
        <w:ind w:firstLine="720"/>
        <w:jc w:val="both"/>
        <w:rPr>
          <w:b/>
          <w:bCs/>
          <w:lang w:val="lt-LT"/>
        </w:rPr>
      </w:pPr>
    </w:p>
    <w:p w14:paraId="1F31B628" w14:textId="77777777" w:rsidR="00093845" w:rsidRDefault="000D779E" w:rsidP="004153AB">
      <w:pPr>
        <w:spacing w:after="0"/>
        <w:jc w:val="both"/>
        <w:rPr>
          <w:b/>
          <w:lang w:val="lt-LT"/>
        </w:rPr>
      </w:pPr>
      <w:r>
        <w:rPr>
          <w:b/>
          <w:lang w:val="lt-LT"/>
        </w:rPr>
        <w:t xml:space="preserve"> </w:t>
      </w:r>
      <w:r>
        <w:rPr>
          <w:b/>
          <w:lang w:val="lt-LT"/>
        </w:rPr>
        <w:tab/>
        <w:t xml:space="preserve">33. </w:t>
      </w:r>
      <w:r>
        <w:rPr>
          <w:b/>
          <w:bCs/>
          <w:lang w:val="lt-LT"/>
        </w:rPr>
        <w:t xml:space="preserve">Susiję asmenys </w:t>
      </w:r>
      <w:r>
        <w:rPr>
          <w:b/>
          <w:lang w:val="lt-LT"/>
        </w:rPr>
        <w:t>– asmenys laikomi susijusiais, jei bet kurią ataskaitinio mokestinio laikotarpio arba mokestinio laikotarpio, buvusio prieš ataskaitinį mokestinį laikotarpį, dieną atitinka bent vieną šių kriterijų – jie yra:</w:t>
      </w:r>
    </w:p>
    <w:p w14:paraId="5125E283" w14:textId="77777777" w:rsidR="004153AB" w:rsidRPr="0067677F" w:rsidRDefault="004153AB" w:rsidP="004153AB">
      <w:pPr>
        <w:spacing w:after="0"/>
        <w:jc w:val="both"/>
        <w:rPr>
          <w:i/>
          <w:lang w:val="lt-LT"/>
        </w:rPr>
      </w:pPr>
      <w:r w:rsidRPr="0067677F">
        <w:rPr>
          <w:i/>
          <w:lang w:val="lt-LT"/>
        </w:rPr>
        <w:t>(KEISTA: 2008 12 22 d. įstatymu Nr. XI-106</w:t>
      </w:r>
      <w:r w:rsidR="000E08B1" w:rsidRPr="0067677F">
        <w:rPr>
          <w:i/>
          <w:lang w:val="lt-LT"/>
        </w:rPr>
        <w:t>,</w:t>
      </w:r>
      <w:r w:rsidRPr="0067677F">
        <w:rPr>
          <w:i/>
          <w:lang w:val="lt-LT"/>
        </w:rPr>
        <w:t xml:space="preserve"> taikoma nuo 2008 m. gruodžio 30 d.)</w:t>
      </w:r>
    </w:p>
    <w:p w14:paraId="356FAE75" w14:textId="77777777" w:rsidR="004153AB" w:rsidRDefault="004153AB">
      <w:pPr>
        <w:jc w:val="both"/>
        <w:rPr>
          <w:b/>
          <w:lang w:val="lt-LT"/>
        </w:rPr>
      </w:pPr>
    </w:p>
    <w:p w14:paraId="18848371" w14:textId="77777777" w:rsidR="00093845" w:rsidRPr="0065344A" w:rsidRDefault="000D779E" w:rsidP="00FF72FA">
      <w:pPr>
        <w:jc w:val="both"/>
        <w:rPr>
          <w:b/>
          <w:lang w:val="lt-LT"/>
        </w:rPr>
      </w:pPr>
      <w:r w:rsidRPr="00FF72FA">
        <w:rPr>
          <w:b/>
          <w:lang w:val="lt-LT"/>
        </w:rPr>
        <w:t xml:space="preserve">           </w:t>
      </w:r>
      <w:r w:rsidRPr="0065344A">
        <w:rPr>
          <w:b/>
          <w:lang w:val="lt-LT"/>
        </w:rPr>
        <w:t>Komentaras</w:t>
      </w:r>
    </w:p>
    <w:p w14:paraId="2EB33DB9" w14:textId="77777777" w:rsidR="00093845" w:rsidRDefault="000D779E">
      <w:pPr>
        <w:pStyle w:val="Pagrindiniotekstotrauka2"/>
        <w:tabs>
          <w:tab w:val="left" w:pos="720"/>
          <w:tab w:val="left" w:pos="1080"/>
        </w:tabs>
        <w:spacing w:line="240" w:lineRule="auto"/>
        <w:rPr>
          <w:b w:val="0"/>
        </w:rPr>
      </w:pPr>
      <w:r>
        <w:rPr>
          <w:b w:val="0"/>
        </w:rPr>
        <w:t>Asmenys laikomi susijusiais, jei jie atitinka kokį nors šioje dalyje nustatytą požymį (požymius) bet kurią ataskaitinio mokestinio laikotarpio arba prieš jį buvusio mokestinio laikotarpio dieną. Vadinasi, nustatant susijusius asmenis, turi būti vertinama:</w:t>
      </w:r>
    </w:p>
    <w:p w14:paraId="2D53BA79" w14:textId="77777777" w:rsidR="00093845" w:rsidRDefault="000D779E">
      <w:pPr>
        <w:pStyle w:val="Pagrindiniotekstotrauka2"/>
        <w:tabs>
          <w:tab w:val="left" w:pos="720"/>
          <w:tab w:val="left" w:pos="1080"/>
        </w:tabs>
        <w:spacing w:line="240" w:lineRule="auto"/>
        <w:rPr>
          <w:b w:val="0"/>
        </w:rPr>
      </w:pPr>
      <w:r>
        <w:rPr>
          <w:b w:val="0"/>
        </w:rPr>
        <w:t>ar nebuvo sudaryta sandorių su asmenimis, atitinkančiais susijusių asmenų požymį (požymius), nors vieną atskaitinio mokestinio laikotarpio dieną;</w:t>
      </w:r>
    </w:p>
    <w:p w14:paraId="00258CC0" w14:textId="77777777" w:rsidR="00093845" w:rsidRDefault="000D779E">
      <w:pPr>
        <w:pStyle w:val="Pagrindiniotekstotrauka2"/>
        <w:tabs>
          <w:tab w:val="left" w:pos="720"/>
          <w:tab w:val="left" w:pos="1080"/>
        </w:tabs>
        <w:spacing w:line="240" w:lineRule="auto"/>
        <w:rPr>
          <w:b w:val="0"/>
        </w:rPr>
      </w:pPr>
      <w:r>
        <w:rPr>
          <w:b w:val="0"/>
        </w:rPr>
        <w:t xml:space="preserve">ar nebuvo sudaryta sandorių su asmenimis, atitinkančiais susijusių asmenų požymį (požymius), nors vieną mokestinio laikotarpio, buvusio prieš ataskaitinį mokestinį laikotarpį, dieną. </w:t>
      </w:r>
    </w:p>
    <w:p w14:paraId="3B955E98" w14:textId="77777777" w:rsidR="00093845" w:rsidRDefault="000D779E">
      <w:pPr>
        <w:pStyle w:val="Pagrindiniotekstotrauka2"/>
        <w:tabs>
          <w:tab w:val="left" w:pos="720"/>
          <w:tab w:val="left" w:pos="1080"/>
        </w:tabs>
        <w:spacing w:line="240" w:lineRule="auto"/>
        <w:rPr>
          <w:b w:val="0"/>
        </w:rPr>
      </w:pPr>
      <w:r>
        <w:rPr>
          <w:b w:val="0"/>
        </w:rPr>
        <w:t xml:space="preserve">Pavyzdžiui, jei per ataskaitinį mokestinį laikotarpį – 2003 metais - asmenys neatitiko susijusių asmenų požymių, tačiau atitiko 2002 metais, tokie asmenys ir 2003 metais laikomi susijusiais asmenimis ir jiems taikomos atitinkamos PMĮ nustatytos mokestinės pasekmės. </w:t>
      </w:r>
    </w:p>
    <w:p w14:paraId="6C5AB393" w14:textId="77777777" w:rsidR="00093845" w:rsidRDefault="000D779E">
      <w:pPr>
        <w:pStyle w:val="Pagrindiniotekstotrauka2"/>
        <w:tabs>
          <w:tab w:val="left" w:pos="720"/>
          <w:tab w:val="left" w:pos="1080"/>
        </w:tabs>
        <w:spacing w:line="240" w:lineRule="auto"/>
        <w:rPr>
          <w:b w:val="0"/>
        </w:rPr>
      </w:pPr>
      <w:r>
        <w:rPr>
          <w:b w:val="0"/>
        </w:rPr>
        <w:t>Susijusiais asmenimis pagal Įstatymą gali būti du vienetai arba vienetas ir fizinis asmuo.</w:t>
      </w:r>
    </w:p>
    <w:p w14:paraId="6EA80C21" w14:textId="77777777" w:rsidR="00093845" w:rsidRDefault="000D779E">
      <w:pPr>
        <w:pStyle w:val="Pagrindiniotekstotrauka2"/>
        <w:tabs>
          <w:tab w:val="left" w:pos="720"/>
          <w:tab w:val="left" w:pos="1080"/>
        </w:tabs>
        <w:spacing w:line="240" w:lineRule="auto"/>
        <w:rPr>
          <w:b w:val="0"/>
        </w:rPr>
      </w:pPr>
      <w:r>
        <w:rPr>
          <w:b w:val="0"/>
        </w:rPr>
        <w:t>Darbo santykiai nėra kriterijus, kuriuo remiantis nustatoma, ar vienetas ir jame dirbantis fizinis asmuo yra susiję asmenys.</w:t>
      </w:r>
    </w:p>
    <w:p w14:paraId="3FE64666" w14:textId="77777777" w:rsidR="00093845" w:rsidRDefault="000D779E" w:rsidP="00EC4E29">
      <w:pPr>
        <w:pStyle w:val="Porat"/>
        <w:numPr>
          <w:ilvl w:val="0"/>
          <w:numId w:val="16"/>
        </w:numPr>
        <w:tabs>
          <w:tab w:val="left" w:pos="720"/>
        </w:tabs>
        <w:spacing w:line="240" w:lineRule="auto"/>
        <w:rPr>
          <w:rFonts w:ascii="Times New Roman" w:hAnsi="Times New Roman"/>
          <w:b/>
          <w:lang w:val="lt-LT"/>
        </w:rPr>
      </w:pPr>
      <w:r>
        <w:rPr>
          <w:rFonts w:ascii="Times New Roman" w:hAnsi="Times New Roman"/>
          <w:b/>
          <w:lang w:val="lt-LT"/>
        </w:rPr>
        <w:t>vienetas ir jo dalyviai;</w:t>
      </w:r>
    </w:p>
    <w:p w14:paraId="00278D00" w14:textId="77777777" w:rsidR="00093845" w:rsidRDefault="000D779E">
      <w:pPr>
        <w:pStyle w:val="Porat"/>
        <w:tabs>
          <w:tab w:val="left" w:pos="720"/>
          <w:tab w:val="left" w:pos="1080"/>
        </w:tabs>
        <w:spacing w:line="240" w:lineRule="auto"/>
        <w:rPr>
          <w:rFonts w:ascii="Times New Roman" w:hAnsi="Times New Roman"/>
          <w:b/>
          <w:lang w:val="lt-LT"/>
        </w:rPr>
      </w:pPr>
      <w:r>
        <w:rPr>
          <w:rFonts w:ascii="Times New Roman" w:hAnsi="Times New Roman"/>
          <w:b/>
          <w:lang w:val="lt-LT"/>
        </w:rPr>
        <w:t>Komentaras</w:t>
      </w:r>
    </w:p>
    <w:p w14:paraId="0858F998" w14:textId="77777777" w:rsidR="00093845" w:rsidRDefault="000D779E">
      <w:pPr>
        <w:pStyle w:val="Porat"/>
        <w:tabs>
          <w:tab w:val="left" w:pos="720"/>
          <w:tab w:val="left" w:pos="1080"/>
        </w:tabs>
        <w:spacing w:line="240" w:lineRule="auto"/>
        <w:rPr>
          <w:rFonts w:ascii="Times New Roman" w:hAnsi="Times New Roman"/>
          <w:lang w:val="lt-LT"/>
        </w:rPr>
      </w:pPr>
      <w:r>
        <w:rPr>
          <w:rFonts w:ascii="Times New Roman" w:hAnsi="Times New Roman"/>
          <w:lang w:val="lt-LT"/>
        </w:rPr>
        <w:t>Vieneto dalyvio sąvoka apibrėžta šio straipsnio 6 dalyje (žr. PMĮ 2 str. 6 dalies komentarą).</w:t>
      </w:r>
    </w:p>
    <w:p w14:paraId="586BDF5C" w14:textId="77777777" w:rsidR="00093845" w:rsidRDefault="000D779E">
      <w:pPr>
        <w:tabs>
          <w:tab w:val="left" w:pos="720"/>
          <w:tab w:val="left" w:pos="1080"/>
        </w:tabs>
        <w:ind w:left="720"/>
        <w:jc w:val="both"/>
        <w:rPr>
          <w:lang w:val="lt-LT"/>
        </w:rPr>
      </w:pPr>
      <w:r>
        <w:rPr>
          <w:b/>
          <w:lang w:val="lt-LT"/>
        </w:rPr>
        <w:t>2)</w:t>
      </w:r>
      <w:r>
        <w:rPr>
          <w:b/>
          <w:lang w:val="lt-LT"/>
        </w:rPr>
        <w:tab/>
        <w:t>vienetas ir jo valdymo organų nariai;</w:t>
      </w:r>
    </w:p>
    <w:p w14:paraId="3D64BBE8" w14:textId="77777777" w:rsidR="00093845" w:rsidRDefault="000D779E">
      <w:pPr>
        <w:ind w:firstLine="720"/>
        <w:jc w:val="both"/>
        <w:rPr>
          <w:b/>
          <w:bCs/>
          <w:lang w:val="lt-LT"/>
        </w:rPr>
      </w:pPr>
      <w:r>
        <w:rPr>
          <w:b/>
          <w:bCs/>
          <w:lang w:val="lt-LT"/>
        </w:rPr>
        <w:t>Komentaras</w:t>
      </w:r>
    </w:p>
    <w:p w14:paraId="5C8988A0" w14:textId="77777777" w:rsidR="00093845" w:rsidRDefault="000D779E">
      <w:pPr>
        <w:tabs>
          <w:tab w:val="left" w:pos="720"/>
          <w:tab w:val="left" w:pos="1080"/>
        </w:tabs>
        <w:ind w:firstLine="720"/>
        <w:jc w:val="both"/>
        <w:rPr>
          <w:lang w:val="lt-LT"/>
        </w:rPr>
      </w:pPr>
      <w:r>
        <w:rPr>
          <w:lang w:val="lt-LT"/>
        </w:rPr>
        <w:t xml:space="preserve">Kiekvienas juridinis asmuo turi turėti vienasmenį ar kolegialų valdymo organą ir dalyvių susirinkimą, jei steigimo dokumentuose ir juridinių asmenų veiklą reglamentuojančiuose įstatymuose nenustatyta kitokia struktūra (CK 2.82 str.). Vienasmeniu valdymo organu paprastai yra paskirtas administracijos vadovas (įmonės prezidentas, direktorius ar kitas įmonės veiklai vadovaujantis </w:t>
      </w:r>
      <w:r>
        <w:rPr>
          <w:lang w:val="lt-LT"/>
        </w:rPr>
        <w:lastRenderedPageBreak/>
        <w:t>asmuo). Kolegialių valdymo organų sudėtį nustato atitinkami įmonių veiklą reglamentuojantys įstatymai. Pavyzdžiui, Lietuvos Respublikos</w:t>
      </w:r>
      <w:r>
        <w:rPr>
          <w:u w:val="single"/>
          <w:lang w:val="lt-LT"/>
        </w:rPr>
        <w:t xml:space="preserve"> </w:t>
      </w:r>
      <w:r w:rsidR="00273C75" w:rsidRPr="009C0219">
        <w:rPr>
          <w:rStyle w:val="Hipersaitas"/>
          <w:rFonts w:ascii="Times New Roman" w:hAnsi="Times New Roman" w:cs="Times New Roman"/>
          <w:b w:val="0"/>
          <w:bCs w:val="0"/>
          <w:kern w:val="0"/>
          <w:lang w:val="lt-LT"/>
        </w:rPr>
        <w:t>akcinių bendrovių įstatyme</w:t>
      </w:r>
      <w:r>
        <w:rPr>
          <w:lang w:val="lt-LT"/>
        </w:rPr>
        <w:t xml:space="preserve"> nustatyta, kad bendrovės valdymo organai yra visuotinis susirinkimas, stebėtojų taryba ir valdyba. Bendrovė turi teisę samdyti administraciją ir administracijos vadovą (prezidentą, generalinį direktorių, direktorių). Jeigu bendrovė turi 50 ar mažiau akcininkų ir joje dirba ne daugiau kaip 200 darbuotojų, stebėtojų taryba gali būti nesudaroma. Visuotiniam susirinkimui nutarus, uždarosios akcinės bendrovės valdyba gali būti nesudaroma ir jos funkcijos perduodamos bendrovės administracijos vadovui ir visuotiniam susirinkimui.</w:t>
      </w:r>
    </w:p>
    <w:p w14:paraId="234B37B2" w14:textId="77777777" w:rsidR="00093845" w:rsidRDefault="000D779E" w:rsidP="0047571D">
      <w:pPr>
        <w:spacing w:after="0"/>
        <w:ind w:firstLine="720"/>
        <w:jc w:val="both"/>
        <w:rPr>
          <w:b/>
          <w:bCs/>
          <w:lang w:val="lt-LT"/>
        </w:rPr>
      </w:pPr>
      <w:r>
        <w:rPr>
          <w:b/>
          <w:bCs/>
          <w:lang w:val="lt-LT"/>
        </w:rPr>
        <w:t>3) vienetas ir jo dalyvių arba valdymo organų narių sutuoktiniai, sužadėtiniai, sugyventiniai, kiti fiziniai asmenys, susiję su šio vieneto dalyviais arba valdymo organų nariais giminystės ryšiais (tiesiąja giminystės linija iki antrojo laipsnio, šonine giminystės linija iki ketvirtojo laipsnio) arba svainystės santykiais (fizinis asmuo ir jo sutuoktinio giminaičiai (tiesiąja giminystės linija iki antrojo laipsnio, šonine giminystės linija iki antrojo laipsnio), taip pat šio vieneto dalyvių arba valdymo organų narių sugyventinių giminaičiai (tiesiąja giminystės linija iki antrojo laipsnio, šonine giminystės linija iki antrojo laipsnio), šio vieneto dalyvių arba valdymo organų narių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w:t>
      </w:r>
    </w:p>
    <w:p w14:paraId="17A46BC7" w14:textId="77777777" w:rsidR="0047571D" w:rsidRDefault="0047571D" w:rsidP="0067677F">
      <w:pPr>
        <w:tabs>
          <w:tab w:val="left" w:pos="720"/>
          <w:tab w:val="left" w:pos="1077"/>
          <w:tab w:val="left" w:pos="1418"/>
        </w:tabs>
        <w:autoSpaceDE w:val="0"/>
        <w:autoSpaceDN w:val="0"/>
        <w:spacing w:after="0"/>
        <w:jc w:val="both"/>
        <w:rPr>
          <w:bCs/>
          <w:i/>
          <w:iCs/>
          <w:lang w:val="lt-LT"/>
        </w:rPr>
      </w:pPr>
      <w:r w:rsidRPr="0067677F">
        <w:rPr>
          <w:bCs/>
          <w:i/>
          <w:iCs/>
          <w:lang w:val="lt-LT"/>
        </w:rPr>
        <w:t>(KEISTA: 2005 06 21 įstatymu Nr. X-259, taikoma apskaičiuojant 2005 metais prasidėjusio mokestinio laikotarpio ir vėlesnių mokestinių laikotarpių apmokestinamąjį pelną)</w:t>
      </w:r>
    </w:p>
    <w:p w14:paraId="19C7690B" w14:textId="77777777" w:rsidR="00A914BC" w:rsidRPr="0067677F" w:rsidRDefault="00A914BC" w:rsidP="0067677F">
      <w:pPr>
        <w:tabs>
          <w:tab w:val="left" w:pos="720"/>
          <w:tab w:val="left" w:pos="1077"/>
          <w:tab w:val="left" w:pos="1418"/>
        </w:tabs>
        <w:autoSpaceDE w:val="0"/>
        <w:autoSpaceDN w:val="0"/>
        <w:spacing w:after="0"/>
        <w:jc w:val="both"/>
        <w:rPr>
          <w:bCs/>
          <w:i/>
          <w:iCs/>
          <w:lang w:val="lt-LT"/>
        </w:rPr>
      </w:pPr>
    </w:p>
    <w:p w14:paraId="121583DF" w14:textId="77777777" w:rsidR="00093845" w:rsidRDefault="000D779E">
      <w:pPr>
        <w:pStyle w:val="Pagrindiniotekstotrauka2"/>
        <w:tabs>
          <w:tab w:val="left" w:pos="720"/>
          <w:tab w:val="left" w:pos="1077"/>
          <w:tab w:val="left" w:pos="1418"/>
        </w:tabs>
        <w:spacing w:line="240" w:lineRule="auto"/>
      </w:pPr>
      <w:r>
        <w:t>Komentaras</w:t>
      </w:r>
    </w:p>
    <w:p w14:paraId="5E70B051" w14:textId="77777777" w:rsidR="00093845" w:rsidRDefault="000D779E">
      <w:pPr>
        <w:pStyle w:val="Pagrindiniotekstotrauka2"/>
        <w:tabs>
          <w:tab w:val="left" w:pos="720"/>
          <w:tab w:val="left" w:pos="1077"/>
          <w:tab w:val="left" w:pos="1418"/>
        </w:tabs>
        <w:spacing w:line="240" w:lineRule="auto"/>
        <w:rPr>
          <w:b w:val="0"/>
        </w:rPr>
      </w:pPr>
      <w:r>
        <w:rPr>
          <w:b w:val="0"/>
        </w:rPr>
        <w:t xml:space="preserve">Pagal šį punktą susijusiais asmenimis laikomi vienetas ir su </w:t>
      </w:r>
      <w:r>
        <w:t>to vieneto</w:t>
      </w:r>
      <w:r>
        <w:rPr>
          <w:b w:val="0"/>
        </w:rPr>
        <w:t xml:space="preserve"> dalyviais arba valdymo organų nariais (fiziniais asmenimis) susiję fiziniai asmenys. Su vieneto dalyviais arba valdymo organų nariais susiję fiziniai asmenys yra to vieneto dalyvių ar valdymo organų narių:</w:t>
      </w:r>
    </w:p>
    <w:p w14:paraId="2428F702"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sutuoktiniai, sužadėtiniai, sugyventiniai;</w:t>
      </w:r>
    </w:p>
    <w:p w14:paraId="5298CA90"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giminaičiai (tėvai, vaikai, seneliai, vaikaičiai, broliai, seserys, tetos, dėdės, sūnėnai ir dukterėčios bei jų vaikai, senelių broliai ir seserys, o taip pat pusbroliai ir pusseserės);</w:t>
      </w:r>
    </w:p>
    <w:p w14:paraId="4A9FD10D"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sutuoktinių ar sugyventinių giminaičiai (tėvai, vaikai, seneliai, vaikaičiai, broliai, seserys);</w:t>
      </w:r>
    </w:p>
    <w:p w14:paraId="7023B849" w14:textId="77777777" w:rsidR="00093845" w:rsidRDefault="000D779E" w:rsidP="00EC4E29">
      <w:pPr>
        <w:pStyle w:val="Pagrindiniotekstotrauka2"/>
        <w:numPr>
          <w:ilvl w:val="0"/>
          <w:numId w:val="17"/>
        </w:numPr>
        <w:tabs>
          <w:tab w:val="left" w:pos="720"/>
          <w:tab w:val="left" w:pos="1418"/>
        </w:tabs>
        <w:spacing w:line="240" w:lineRule="auto"/>
        <w:rPr>
          <w:b w:val="0"/>
        </w:rPr>
      </w:pPr>
      <w:r>
        <w:rPr>
          <w:b w:val="0"/>
        </w:rPr>
        <w:t>giminaičių (tėvų, vaikų, brolių, seserų) sutuoktiniai ar sugyventiniai; taip pat tokių sutuoktinių ar sugyventinių giminaičiai (tėvai, vaikai, broliai, seserys).</w:t>
      </w:r>
    </w:p>
    <w:p w14:paraId="2561BD2F" w14:textId="77777777" w:rsidR="00093845" w:rsidRDefault="000D779E">
      <w:pPr>
        <w:pStyle w:val="Pagrindiniotekstotrauka2"/>
        <w:tabs>
          <w:tab w:val="left" w:pos="720"/>
          <w:tab w:val="left" w:pos="1077"/>
          <w:tab w:val="left" w:pos="1418"/>
        </w:tabs>
        <w:spacing w:line="240" w:lineRule="auto"/>
        <w:rPr>
          <w:b w:val="0"/>
        </w:rPr>
      </w:pPr>
      <w:r>
        <w:rPr>
          <w:b w:val="0"/>
        </w:rPr>
        <w:t>Sutuoktinio, sužadėtinio, sugyventinio ir giminaičio prasmė yra ta pati, kaip ir Lietuvos Respublikos civiliniame kodekse.</w:t>
      </w:r>
    </w:p>
    <w:p w14:paraId="31A386DF" w14:textId="77777777" w:rsidR="00093845" w:rsidRDefault="00093845">
      <w:pPr>
        <w:pStyle w:val="Pagrindiniotekstotrauka2"/>
        <w:tabs>
          <w:tab w:val="left" w:pos="720"/>
          <w:tab w:val="left" w:pos="1077"/>
          <w:tab w:val="left" w:pos="1418"/>
        </w:tabs>
        <w:spacing w:line="240" w:lineRule="auto"/>
        <w:rPr>
          <w:b w:val="0"/>
        </w:rPr>
      </w:pPr>
    </w:p>
    <w:p w14:paraId="6979E7D6" w14:textId="77777777" w:rsidR="00093845" w:rsidRDefault="000D779E">
      <w:pPr>
        <w:pStyle w:val="Pagrindiniotekstotrauka2"/>
        <w:tabs>
          <w:tab w:val="left" w:pos="720"/>
          <w:tab w:val="left" w:pos="1080"/>
        </w:tabs>
        <w:spacing w:line="240" w:lineRule="auto"/>
        <w:ind w:firstLine="0"/>
        <w:rPr>
          <w:b w:val="0"/>
          <w:bCs w:val="0"/>
        </w:rPr>
      </w:pPr>
      <w:r>
        <w:tab/>
      </w:r>
      <w:r w:rsidR="00482DDD">
        <w:rPr>
          <w:b w:val="0"/>
          <w:bCs w:val="0"/>
        </w:rPr>
        <w:t>(P</w:t>
      </w:r>
      <w:r>
        <w:rPr>
          <w:b w:val="0"/>
          <w:bCs w:val="0"/>
        </w:rPr>
        <w:t>akeista pagal VMI prie FM 2005-09-30 raštą Nr. (18.10-31-1)-R-8829)</w:t>
      </w:r>
    </w:p>
    <w:p w14:paraId="04BFD9E2" w14:textId="77777777" w:rsidR="00093845" w:rsidRDefault="000D779E">
      <w:pPr>
        <w:pStyle w:val="Pagrindiniotekstotrauka2"/>
        <w:tabs>
          <w:tab w:val="left" w:pos="720"/>
          <w:tab w:val="left" w:pos="1080"/>
        </w:tabs>
        <w:spacing w:line="240" w:lineRule="auto"/>
        <w:rPr>
          <w:b w:val="0"/>
        </w:rPr>
      </w:pPr>
      <w:r>
        <w:rPr>
          <w:noProof/>
          <w:lang w:eastAsia="lt-LT"/>
        </w:rPr>
        <w:lastRenderedPageBreak/>
        <mc:AlternateContent>
          <mc:Choice Requires="wpg">
            <w:drawing>
              <wp:anchor distT="0" distB="0" distL="114300" distR="114300" simplePos="0" relativeHeight="251594752" behindDoc="0" locked="0" layoutInCell="1" allowOverlap="1" wp14:anchorId="06A8BE28" wp14:editId="1293A8BA">
                <wp:simplePos x="0" y="0"/>
                <wp:positionH relativeFrom="column">
                  <wp:posOffset>74930</wp:posOffset>
                </wp:positionH>
                <wp:positionV relativeFrom="paragraph">
                  <wp:posOffset>-254000</wp:posOffset>
                </wp:positionV>
                <wp:extent cx="6286500" cy="7017385"/>
                <wp:effectExtent l="3810" t="12065" r="0" b="0"/>
                <wp:wrapSquare wrapText="bothSides"/>
                <wp:docPr id="336" name="Group 2"/>
                <wp:cNvGraphicFramePr/>
                <a:graphic xmlns:a="http://schemas.openxmlformats.org/drawingml/2006/main">
                  <a:graphicData uri="http://schemas.microsoft.com/office/word/2010/wordprocessingGroup">
                    <wpg:wgp>
                      <wpg:cNvGrpSpPr/>
                      <wpg:grpSpPr>
                        <a:xfrm>
                          <a:off x="0" y="0"/>
                          <a:ext cx="6286500" cy="7017385"/>
                          <a:chOff x="1521" y="1603"/>
                          <a:chExt cx="9900" cy="11051"/>
                        </a:xfrm>
                      </wpg:grpSpPr>
                      <wps:wsp>
                        <wps:cNvPr id="337" name="AutoShape 3"/>
                        <wps:cNvSpPr>
                          <a:spLocks noChangeArrowheads="1"/>
                        </wps:cNvSpPr>
                        <wps:spPr bwMode="auto">
                          <a:xfrm>
                            <a:off x="5845" y="3043"/>
                            <a:ext cx="1576" cy="1083"/>
                          </a:xfrm>
                          <a:prstGeom prst="roundRect">
                            <a:avLst>
                              <a:gd name="adj" fmla="val 16667"/>
                            </a:avLst>
                          </a:prstGeom>
                          <a:noFill/>
                          <a:ln w="9525">
                            <a:solidFill>
                              <a:srgbClr val="000000"/>
                            </a:solidFill>
                            <a:round/>
                          </a:ln>
                        </wps:spPr>
                        <wps:txbx>
                          <w:txbxContent>
                            <w:p w14:paraId="1FBFB29A" w14:textId="77777777" w:rsidR="007B24A1" w:rsidRDefault="007B24A1">
                              <w:pPr>
                                <w:jc w:val="center"/>
                                <w:rPr>
                                  <w:lang w:val="lt-LT"/>
                                </w:rPr>
                              </w:pPr>
                            </w:p>
                            <w:p w14:paraId="1833723F" w14:textId="77777777" w:rsidR="007B24A1" w:rsidRDefault="007B24A1">
                              <w:pPr>
                                <w:jc w:val="center"/>
                                <w:rPr>
                                  <w:lang w:val="lt-LT"/>
                                </w:rPr>
                              </w:pPr>
                              <w:r>
                                <w:rPr>
                                  <w:b/>
                                  <w:bCs/>
                                </w:rPr>
                                <w:t>Vaikaičiai</w:t>
                              </w:r>
                            </w:p>
                          </w:txbxContent>
                        </wps:txbx>
                        <wps:bodyPr rot="0" vert="horz" wrap="square" lIns="91440" tIns="45720" rIns="91440" bIns="45720" anchor="t" anchorCtr="0" upright="1">
                          <a:noAutofit/>
                        </wps:bodyPr>
                      </wps:wsp>
                      <wps:wsp>
                        <wps:cNvPr id="338" name="AutoShape 4"/>
                        <wps:cNvSpPr>
                          <a:spLocks noChangeArrowheads="1"/>
                        </wps:cNvSpPr>
                        <wps:spPr bwMode="auto">
                          <a:xfrm>
                            <a:off x="5845" y="4843"/>
                            <a:ext cx="1576" cy="1083"/>
                          </a:xfrm>
                          <a:prstGeom prst="roundRect">
                            <a:avLst>
                              <a:gd name="adj" fmla="val 16667"/>
                            </a:avLst>
                          </a:prstGeom>
                          <a:noFill/>
                          <a:ln w="9525">
                            <a:solidFill>
                              <a:srgbClr val="000000"/>
                            </a:solidFill>
                            <a:round/>
                          </a:ln>
                        </wps:spPr>
                        <wps:txbx>
                          <w:txbxContent>
                            <w:p w14:paraId="498FE378" w14:textId="77777777" w:rsidR="007B24A1" w:rsidRDefault="007B24A1">
                              <w:pPr>
                                <w:jc w:val="center"/>
                                <w:rPr>
                                  <w:lang w:val="lt-LT"/>
                                </w:rPr>
                              </w:pPr>
                            </w:p>
                            <w:p w14:paraId="301644F1" w14:textId="77777777" w:rsidR="007B24A1" w:rsidRDefault="007B24A1">
                              <w:pPr>
                                <w:jc w:val="center"/>
                                <w:rPr>
                                  <w:lang w:val="lt-LT"/>
                                </w:rPr>
                              </w:pPr>
                              <w:r>
                                <w:rPr>
                                  <w:b/>
                                  <w:bCs/>
                                </w:rPr>
                                <w:t>Vaikai*</w:t>
                              </w:r>
                            </w:p>
                          </w:txbxContent>
                        </wps:txbx>
                        <wps:bodyPr rot="0" vert="horz" wrap="square" lIns="91440" tIns="45720" rIns="91440" bIns="45720" anchor="t" anchorCtr="0" upright="1">
                          <a:noAutofit/>
                        </wps:bodyPr>
                      </wps:wsp>
                      <wps:wsp>
                        <wps:cNvPr id="339" name="AutoShape 5"/>
                        <wps:cNvSpPr>
                          <a:spLocks noChangeArrowheads="1"/>
                        </wps:cNvSpPr>
                        <wps:spPr bwMode="auto">
                          <a:xfrm>
                            <a:off x="5845" y="8443"/>
                            <a:ext cx="1576" cy="1083"/>
                          </a:xfrm>
                          <a:prstGeom prst="roundRect">
                            <a:avLst>
                              <a:gd name="adj" fmla="val 16667"/>
                            </a:avLst>
                          </a:prstGeom>
                          <a:noFill/>
                          <a:ln w="9525">
                            <a:solidFill>
                              <a:srgbClr val="000000"/>
                            </a:solidFill>
                            <a:round/>
                          </a:ln>
                        </wps:spPr>
                        <wps:txbx>
                          <w:txbxContent>
                            <w:p w14:paraId="2C1425F6" w14:textId="77777777" w:rsidR="007B24A1" w:rsidRDefault="007B24A1">
                              <w:pPr>
                                <w:jc w:val="center"/>
                                <w:rPr>
                                  <w:lang w:val="lt-LT"/>
                                </w:rPr>
                              </w:pPr>
                            </w:p>
                            <w:p w14:paraId="1C011D7E" w14:textId="77777777" w:rsidR="007B24A1" w:rsidRDefault="007B24A1">
                              <w:pPr>
                                <w:jc w:val="center"/>
                                <w:rPr>
                                  <w:lang w:val="lt-LT"/>
                                </w:rPr>
                              </w:pPr>
                              <w:r>
                                <w:rPr>
                                  <w:b/>
                                  <w:bCs/>
                                </w:rPr>
                                <w:t>Tėvai*</w:t>
                              </w:r>
                            </w:p>
                          </w:txbxContent>
                        </wps:txbx>
                        <wps:bodyPr rot="0" vert="horz" wrap="square" lIns="91440" tIns="45720" rIns="91440" bIns="45720" anchor="t" anchorCtr="0" upright="1">
                          <a:noAutofit/>
                        </wps:bodyPr>
                      </wps:wsp>
                      <wps:wsp>
                        <wps:cNvPr id="340" name="AutoShape 6"/>
                        <wps:cNvSpPr>
                          <a:spLocks noChangeArrowheads="1"/>
                        </wps:cNvSpPr>
                        <wps:spPr bwMode="auto">
                          <a:xfrm>
                            <a:off x="5845" y="10246"/>
                            <a:ext cx="1576" cy="1083"/>
                          </a:xfrm>
                          <a:prstGeom prst="roundRect">
                            <a:avLst>
                              <a:gd name="adj" fmla="val 16667"/>
                            </a:avLst>
                          </a:prstGeom>
                          <a:noFill/>
                          <a:ln w="9525">
                            <a:solidFill>
                              <a:srgbClr val="000000"/>
                            </a:solidFill>
                            <a:round/>
                          </a:ln>
                        </wps:spPr>
                        <wps:txbx>
                          <w:txbxContent>
                            <w:p w14:paraId="1CA21920" w14:textId="77777777" w:rsidR="007B24A1" w:rsidRDefault="007B24A1">
                              <w:pPr>
                                <w:rPr>
                                  <w:lang w:val="lt-LT"/>
                                </w:rPr>
                              </w:pPr>
                            </w:p>
                            <w:p w14:paraId="11AA9FCB" w14:textId="77777777" w:rsidR="007B24A1" w:rsidRDefault="007B24A1">
                              <w:pPr>
                                <w:jc w:val="center"/>
                                <w:rPr>
                                  <w:lang w:val="lt-LT"/>
                                </w:rPr>
                              </w:pPr>
                              <w:r>
                                <w:rPr>
                                  <w:lang w:val="lt-LT"/>
                                </w:rPr>
                                <w:t>Seneliai</w:t>
                              </w:r>
                            </w:p>
                          </w:txbxContent>
                        </wps:txbx>
                        <wps:bodyPr rot="0" vert="horz" wrap="square" lIns="91440" tIns="45720" rIns="91440" bIns="45720" anchor="t" anchorCtr="0" upright="1">
                          <a:noAutofit/>
                        </wps:bodyPr>
                      </wps:wsp>
                      <wps:wsp>
                        <wps:cNvPr id="341" name="AutoShape 7"/>
                        <wps:cNvSpPr>
                          <a:spLocks noChangeArrowheads="1"/>
                        </wps:cNvSpPr>
                        <wps:spPr bwMode="auto">
                          <a:xfrm>
                            <a:off x="3865" y="10246"/>
                            <a:ext cx="1576" cy="1083"/>
                          </a:xfrm>
                          <a:prstGeom prst="roundRect">
                            <a:avLst>
                              <a:gd name="adj" fmla="val 16667"/>
                            </a:avLst>
                          </a:prstGeom>
                          <a:noFill/>
                          <a:ln w="9525">
                            <a:solidFill>
                              <a:srgbClr val="000000"/>
                            </a:solidFill>
                            <a:round/>
                          </a:ln>
                        </wps:spPr>
                        <wps:txbx>
                          <w:txbxContent>
                            <w:p w14:paraId="58688E3B" w14:textId="77777777" w:rsidR="007B24A1" w:rsidRDefault="007B24A1">
                              <w:pPr>
                                <w:pStyle w:val="Pagrindinistekstas"/>
                                <w:jc w:val="center"/>
                              </w:pPr>
                              <w:r>
                                <w:t>Senelių broliai ir seserys</w:t>
                              </w:r>
                            </w:p>
                          </w:txbxContent>
                        </wps:txbx>
                        <wps:bodyPr rot="0" vert="horz" wrap="square" lIns="91440" tIns="45720" rIns="91440" bIns="45720" anchor="t" anchorCtr="0" upright="1">
                          <a:noAutofit/>
                        </wps:bodyPr>
                      </wps:wsp>
                      <wps:wsp>
                        <wps:cNvPr id="342" name="AutoShape 8"/>
                        <wps:cNvSpPr>
                          <a:spLocks noChangeArrowheads="1"/>
                        </wps:cNvSpPr>
                        <wps:spPr bwMode="auto">
                          <a:xfrm>
                            <a:off x="3865" y="3043"/>
                            <a:ext cx="1576" cy="1083"/>
                          </a:xfrm>
                          <a:prstGeom prst="roundRect">
                            <a:avLst>
                              <a:gd name="adj" fmla="val 16667"/>
                            </a:avLst>
                          </a:prstGeom>
                          <a:noFill/>
                          <a:ln w="9525">
                            <a:solidFill>
                              <a:srgbClr val="000000"/>
                            </a:solidFill>
                            <a:round/>
                          </a:ln>
                        </wps:spPr>
                        <wps:txbx>
                          <w:txbxContent>
                            <w:p w14:paraId="3870EB7D" w14:textId="77777777" w:rsidR="007B24A1" w:rsidRDefault="007B24A1">
                              <w:pPr>
                                <w:pStyle w:val="Pagrindinistekstas"/>
                                <w:jc w:val="center"/>
                              </w:pPr>
                              <w:r>
                                <w:t>Brolio ir sesers vaikaičiai</w:t>
                              </w:r>
                            </w:p>
                          </w:txbxContent>
                        </wps:txbx>
                        <wps:bodyPr rot="0" vert="horz" wrap="square" lIns="91440" tIns="45720" rIns="91440" bIns="45720" anchor="t" anchorCtr="0" upright="1">
                          <a:noAutofit/>
                        </wps:bodyPr>
                      </wps:wsp>
                      <wps:wsp>
                        <wps:cNvPr id="343" name="AutoShape 9"/>
                        <wps:cNvSpPr>
                          <a:spLocks noChangeArrowheads="1"/>
                        </wps:cNvSpPr>
                        <wps:spPr bwMode="auto">
                          <a:xfrm>
                            <a:off x="3865" y="4843"/>
                            <a:ext cx="1576" cy="1083"/>
                          </a:xfrm>
                          <a:prstGeom prst="roundRect">
                            <a:avLst>
                              <a:gd name="adj" fmla="val 16667"/>
                            </a:avLst>
                          </a:prstGeom>
                          <a:noFill/>
                          <a:ln w="9525">
                            <a:solidFill>
                              <a:srgbClr val="000000"/>
                            </a:solidFill>
                            <a:round/>
                          </a:ln>
                        </wps:spPr>
                        <wps:txbx>
                          <w:txbxContent>
                            <w:p w14:paraId="27F7B6E2" w14:textId="77777777" w:rsidR="007B24A1" w:rsidRDefault="007B24A1">
                              <w:pPr>
                                <w:pStyle w:val="Pagrindinistekstas"/>
                                <w:jc w:val="center"/>
                              </w:pPr>
                              <w:r>
                                <w:t>Sūnėnai ir dukterėčios</w:t>
                              </w:r>
                            </w:p>
                          </w:txbxContent>
                        </wps:txbx>
                        <wps:bodyPr rot="0" vert="horz" wrap="square" lIns="91440" tIns="45720" rIns="91440" bIns="45720" anchor="t" anchorCtr="0" upright="1">
                          <a:noAutofit/>
                        </wps:bodyPr>
                      </wps:wsp>
                      <wps:wsp>
                        <wps:cNvPr id="344" name="AutoShape 10"/>
                        <wps:cNvSpPr>
                          <a:spLocks noChangeArrowheads="1"/>
                        </wps:cNvSpPr>
                        <wps:spPr bwMode="auto">
                          <a:xfrm>
                            <a:off x="3865" y="6643"/>
                            <a:ext cx="1576" cy="1083"/>
                          </a:xfrm>
                          <a:prstGeom prst="roundRect">
                            <a:avLst>
                              <a:gd name="adj" fmla="val 16667"/>
                            </a:avLst>
                          </a:prstGeom>
                          <a:solidFill>
                            <a:srgbClr val="FFFFFF"/>
                          </a:solidFill>
                          <a:ln w="9525">
                            <a:solidFill>
                              <a:srgbClr val="000000"/>
                            </a:solidFill>
                            <a:round/>
                          </a:ln>
                        </wps:spPr>
                        <wps:txbx>
                          <w:txbxContent>
                            <w:p w14:paraId="72EDE13C" w14:textId="77777777" w:rsidR="007B24A1" w:rsidRDefault="007B24A1">
                              <w:pPr>
                                <w:pStyle w:val="Pagrindinistekstas"/>
                                <w:jc w:val="center"/>
                              </w:pPr>
                              <w:r>
                                <w:t>Broliai ir seserys *</w:t>
                              </w:r>
                            </w:p>
                          </w:txbxContent>
                        </wps:txbx>
                        <wps:bodyPr rot="0" vert="horz" wrap="square" lIns="91440" tIns="45720" rIns="91440" bIns="45720" anchor="t" anchorCtr="0" upright="1">
                          <a:noAutofit/>
                        </wps:bodyPr>
                      </wps:wsp>
                      <wps:wsp>
                        <wps:cNvPr id="345" name="AutoShape 11"/>
                        <wps:cNvSpPr>
                          <a:spLocks noChangeArrowheads="1"/>
                        </wps:cNvSpPr>
                        <wps:spPr bwMode="auto">
                          <a:xfrm>
                            <a:off x="2065" y="6643"/>
                            <a:ext cx="1576" cy="1083"/>
                          </a:xfrm>
                          <a:prstGeom prst="roundRect">
                            <a:avLst>
                              <a:gd name="adj" fmla="val 16667"/>
                            </a:avLst>
                          </a:prstGeom>
                          <a:noFill/>
                          <a:ln w="9525">
                            <a:solidFill>
                              <a:srgbClr val="000000"/>
                            </a:solidFill>
                            <a:round/>
                          </a:ln>
                        </wps:spPr>
                        <wps:txbx>
                          <w:txbxContent>
                            <w:p w14:paraId="6EE8F49B" w14:textId="77777777" w:rsidR="007B24A1" w:rsidRDefault="007B24A1">
                              <w:pPr>
                                <w:pStyle w:val="Pagrindinistekstas"/>
                                <w:jc w:val="center"/>
                              </w:pPr>
                              <w:r>
                                <w:t>Pusbroliai ir pusseserės</w:t>
                              </w:r>
                            </w:p>
                          </w:txbxContent>
                        </wps:txbx>
                        <wps:bodyPr rot="0" vert="horz" wrap="square" lIns="91440" tIns="45720" rIns="91440" bIns="45720" anchor="t" anchorCtr="0" upright="1">
                          <a:noAutofit/>
                        </wps:bodyPr>
                      </wps:wsp>
                      <wps:wsp>
                        <wps:cNvPr id="346" name="AutoShape 12"/>
                        <wps:cNvSpPr>
                          <a:spLocks noChangeArrowheads="1"/>
                        </wps:cNvSpPr>
                        <wps:spPr bwMode="auto">
                          <a:xfrm>
                            <a:off x="3865" y="8443"/>
                            <a:ext cx="1576" cy="1083"/>
                          </a:xfrm>
                          <a:prstGeom prst="roundRect">
                            <a:avLst>
                              <a:gd name="adj" fmla="val 16667"/>
                            </a:avLst>
                          </a:prstGeom>
                          <a:noFill/>
                          <a:ln w="9525">
                            <a:solidFill>
                              <a:srgbClr val="000000"/>
                            </a:solidFill>
                            <a:round/>
                          </a:ln>
                        </wps:spPr>
                        <wps:txbx>
                          <w:txbxContent>
                            <w:p w14:paraId="73B7C781" w14:textId="77777777" w:rsidR="007B24A1" w:rsidRDefault="007B24A1">
                              <w:pPr>
                                <w:pStyle w:val="Pagrindinistekstas"/>
                                <w:jc w:val="center"/>
                              </w:pPr>
                              <w:r>
                                <w:t>Dėdės ir tetos</w:t>
                              </w:r>
                            </w:p>
                          </w:txbxContent>
                        </wps:txbx>
                        <wps:bodyPr rot="0" vert="horz" wrap="square" lIns="91440" tIns="45720" rIns="91440" bIns="45720" anchor="t" anchorCtr="0" upright="1">
                          <a:noAutofit/>
                        </wps:bodyPr>
                      </wps:wsp>
                      <wps:wsp>
                        <wps:cNvPr id="347" name="Line 13"/>
                        <wps:cNvCnPr/>
                        <wps:spPr bwMode="auto">
                          <a:xfrm flipV="1">
                            <a:off x="6565" y="5923"/>
                            <a:ext cx="0" cy="720"/>
                          </a:xfrm>
                          <a:prstGeom prst="line">
                            <a:avLst/>
                          </a:prstGeom>
                          <a:noFill/>
                          <a:ln w="9525">
                            <a:solidFill>
                              <a:srgbClr val="000000"/>
                            </a:solidFill>
                            <a:round/>
                            <a:tailEnd type="triangle" w="med" len="med"/>
                          </a:ln>
                        </wps:spPr>
                        <wps:bodyPr/>
                      </wps:wsp>
                      <wps:wsp>
                        <wps:cNvPr id="348" name="Line 14"/>
                        <wps:cNvCnPr/>
                        <wps:spPr bwMode="auto">
                          <a:xfrm flipV="1">
                            <a:off x="6565" y="7723"/>
                            <a:ext cx="0" cy="720"/>
                          </a:xfrm>
                          <a:prstGeom prst="line">
                            <a:avLst/>
                          </a:prstGeom>
                          <a:noFill/>
                          <a:ln w="9525">
                            <a:solidFill>
                              <a:srgbClr val="000000"/>
                            </a:solidFill>
                            <a:round/>
                            <a:tailEnd type="triangle" w="med" len="med"/>
                          </a:ln>
                        </wps:spPr>
                        <wps:bodyPr/>
                      </wps:wsp>
                      <wps:wsp>
                        <wps:cNvPr id="349" name="Line 15"/>
                        <wps:cNvCnPr/>
                        <wps:spPr bwMode="auto">
                          <a:xfrm flipV="1">
                            <a:off x="6565" y="9523"/>
                            <a:ext cx="0" cy="720"/>
                          </a:xfrm>
                          <a:prstGeom prst="line">
                            <a:avLst/>
                          </a:prstGeom>
                          <a:noFill/>
                          <a:ln w="9525">
                            <a:solidFill>
                              <a:srgbClr val="000000"/>
                            </a:solidFill>
                            <a:round/>
                            <a:tailEnd type="triangle" w="med" len="med"/>
                          </a:ln>
                        </wps:spPr>
                        <wps:bodyPr/>
                      </wps:wsp>
                      <wps:wsp>
                        <wps:cNvPr id="350" name="AutoShape 16"/>
                        <wps:cNvSpPr>
                          <a:spLocks noChangeArrowheads="1"/>
                        </wps:cNvSpPr>
                        <wps:spPr bwMode="auto">
                          <a:xfrm>
                            <a:off x="2785" y="1603"/>
                            <a:ext cx="1576" cy="1083"/>
                          </a:xfrm>
                          <a:prstGeom prst="roundRect">
                            <a:avLst>
                              <a:gd name="adj" fmla="val 16667"/>
                            </a:avLst>
                          </a:prstGeom>
                          <a:solidFill>
                            <a:srgbClr val="FFFFFF"/>
                          </a:solidFill>
                          <a:ln w="9525">
                            <a:solidFill>
                              <a:srgbClr val="000000"/>
                            </a:solidFill>
                            <a:round/>
                          </a:ln>
                        </wps:spPr>
                        <wps:txbx>
                          <w:txbxContent>
                            <w:p w14:paraId="44FE79C9" w14:textId="77777777" w:rsidR="007B24A1" w:rsidRDefault="007B24A1">
                              <w:pPr>
                                <w:jc w:val="center"/>
                                <w:rPr>
                                  <w:lang w:val="lt-LT"/>
                                </w:rPr>
                              </w:pPr>
                              <w:r>
                                <w:rPr>
                                  <w:b/>
                                  <w:bCs/>
                                </w:rPr>
                                <w:t>Sužadėtiniai</w:t>
                              </w:r>
                            </w:p>
                          </w:txbxContent>
                        </wps:txbx>
                        <wps:bodyPr rot="0" vert="horz" wrap="square" lIns="91440" tIns="45720" rIns="91440" bIns="45720" anchor="t" anchorCtr="0" upright="1">
                          <a:noAutofit/>
                        </wps:bodyPr>
                      </wps:wsp>
                      <wps:wsp>
                        <wps:cNvPr id="351" name="AutoShape 17"/>
                        <wps:cNvSpPr>
                          <a:spLocks noChangeArrowheads="1"/>
                        </wps:cNvSpPr>
                        <wps:spPr bwMode="auto">
                          <a:xfrm>
                            <a:off x="7825" y="4843"/>
                            <a:ext cx="1576" cy="1083"/>
                          </a:xfrm>
                          <a:prstGeom prst="roundRect">
                            <a:avLst>
                              <a:gd name="adj" fmla="val 16667"/>
                            </a:avLst>
                          </a:prstGeom>
                          <a:noFill/>
                          <a:ln w="9525">
                            <a:solidFill>
                              <a:srgbClr val="000000"/>
                            </a:solidFill>
                            <a:round/>
                          </a:ln>
                        </wps:spPr>
                        <wps:txbx>
                          <w:txbxContent>
                            <w:p w14:paraId="2B34F42F" w14:textId="77777777" w:rsidR="007B24A1" w:rsidRDefault="007B24A1">
                              <w:pPr>
                                <w:jc w:val="center"/>
                                <w:rPr>
                                  <w:lang w:val="lt-LT"/>
                                </w:rPr>
                              </w:pPr>
                            </w:p>
                            <w:p w14:paraId="298879A1" w14:textId="77777777" w:rsidR="007B24A1" w:rsidRDefault="007B24A1">
                              <w:pPr>
                                <w:jc w:val="center"/>
                                <w:rPr>
                                  <w:lang w:val="lt-LT"/>
                                </w:rPr>
                              </w:pPr>
                              <w:r>
                                <w:rPr>
                                  <w:b/>
                                  <w:bCs/>
                                </w:rPr>
                                <w:t>Vaikai</w:t>
                              </w:r>
                            </w:p>
                          </w:txbxContent>
                        </wps:txbx>
                        <wps:bodyPr rot="0" vert="horz" wrap="square" lIns="91440" tIns="45720" rIns="91440" bIns="45720" anchor="t" anchorCtr="0" upright="1">
                          <a:noAutofit/>
                        </wps:bodyPr>
                      </wps:wsp>
                      <wps:wsp>
                        <wps:cNvPr id="352" name="AutoShape 18"/>
                        <wps:cNvSpPr>
                          <a:spLocks noChangeArrowheads="1"/>
                        </wps:cNvSpPr>
                        <wps:spPr bwMode="auto">
                          <a:xfrm>
                            <a:off x="7825" y="3043"/>
                            <a:ext cx="1576" cy="1083"/>
                          </a:xfrm>
                          <a:prstGeom prst="roundRect">
                            <a:avLst>
                              <a:gd name="adj" fmla="val 16667"/>
                            </a:avLst>
                          </a:prstGeom>
                          <a:noFill/>
                          <a:ln w="9525">
                            <a:solidFill>
                              <a:srgbClr val="000000"/>
                            </a:solidFill>
                            <a:round/>
                          </a:ln>
                        </wps:spPr>
                        <wps:txbx>
                          <w:txbxContent>
                            <w:p w14:paraId="17966CE8" w14:textId="77777777" w:rsidR="007B24A1" w:rsidRDefault="007B24A1">
                              <w:pPr>
                                <w:rPr>
                                  <w:lang w:val="lt-LT"/>
                                </w:rPr>
                              </w:pPr>
                            </w:p>
                            <w:p w14:paraId="00DCCEE3" w14:textId="77777777" w:rsidR="007B24A1" w:rsidRDefault="007B24A1">
                              <w:pPr>
                                <w:jc w:val="center"/>
                                <w:rPr>
                                  <w:lang w:val="lt-LT"/>
                                </w:rPr>
                              </w:pPr>
                              <w:r>
                                <w:rPr>
                                  <w:lang w:val="lt-LT"/>
                                </w:rPr>
                                <w:t>Vaikaičiai</w:t>
                              </w:r>
                            </w:p>
                          </w:txbxContent>
                        </wps:txbx>
                        <wps:bodyPr rot="0" vert="horz" wrap="square" lIns="91440" tIns="45720" rIns="91440" bIns="45720" anchor="t" anchorCtr="0" upright="1">
                          <a:noAutofit/>
                        </wps:bodyPr>
                      </wps:wsp>
                      <wps:wsp>
                        <wps:cNvPr id="353" name="AutoShape 19"/>
                        <wps:cNvSpPr>
                          <a:spLocks noChangeArrowheads="1"/>
                        </wps:cNvSpPr>
                        <wps:spPr bwMode="auto">
                          <a:xfrm>
                            <a:off x="7825" y="8443"/>
                            <a:ext cx="1576" cy="1083"/>
                          </a:xfrm>
                          <a:prstGeom prst="roundRect">
                            <a:avLst>
                              <a:gd name="adj" fmla="val 16667"/>
                            </a:avLst>
                          </a:prstGeom>
                          <a:noFill/>
                          <a:ln w="9525">
                            <a:solidFill>
                              <a:srgbClr val="000000"/>
                            </a:solidFill>
                            <a:round/>
                          </a:ln>
                        </wps:spPr>
                        <wps:txbx>
                          <w:txbxContent>
                            <w:p w14:paraId="4B23A69D" w14:textId="77777777" w:rsidR="007B24A1" w:rsidRDefault="007B24A1">
                              <w:pPr>
                                <w:jc w:val="center"/>
                                <w:rPr>
                                  <w:lang w:val="lt-LT"/>
                                </w:rPr>
                              </w:pPr>
                            </w:p>
                            <w:p w14:paraId="31BBC34B" w14:textId="77777777" w:rsidR="007B24A1" w:rsidRDefault="007B24A1">
                              <w:pPr>
                                <w:jc w:val="center"/>
                                <w:rPr>
                                  <w:lang w:val="lt-LT"/>
                                </w:rPr>
                              </w:pPr>
                              <w:r>
                                <w:rPr>
                                  <w:b/>
                                  <w:bCs/>
                                </w:rPr>
                                <w:t>Tėvai</w:t>
                              </w:r>
                            </w:p>
                          </w:txbxContent>
                        </wps:txbx>
                        <wps:bodyPr rot="0" vert="horz" wrap="square" lIns="91440" tIns="45720" rIns="91440" bIns="45720" anchor="t" anchorCtr="0" upright="1">
                          <a:noAutofit/>
                        </wps:bodyPr>
                      </wps:wsp>
                      <wps:wsp>
                        <wps:cNvPr id="354" name="AutoShape 20"/>
                        <wps:cNvSpPr>
                          <a:spLocks noChangeArrowheads="1"/>
                        </wps:cNvSpPr>
                        <wps:spPr bwMode="auto">
                          <a:xfrm>
                            <a:off x="7825" y="10246"/>
                            <a:ext cx="1576" cy="1083"/>
                          </a:xfrm>
                          <a:prstGeom prst="roundRect">
                            <a:avLst>
                              <a:gd name="adj" fmla="val 16667"/>
                            </a:avLst>
                          </a:prstGeom>
                          <a:noFill/>
                          <a:ln w="9525">
                            <a:solidFill>
                              <a:srgbClr val="000000"/>
                            </a:solidFill>
                            <a:round/>
                          </a:ln>
                        </wps:spPr>
                        <wps:txbx>
                          <w:txbxContent>
                            <w:p w14:paraId="2D5E8205" w14:textId="77777777" w:rsidR="007B24A1" w:rsidRDefault="007B24A1">
                              <w:pPr>
                                <w:jc w:val="center"/>
                                <w:rPr>
                                  <w:lang w:val="lt-LT"/>
                                </w:rPr>
                              </w:pPr>
                            </w:p>
                            <w:p w14:paraId="1DAED049" w14:textId="77777777" w:rsidR="007B24A1" w:rsidRDefault="007B24A1">
                              <w:pPr>
                                <w:jc w:val="center"/>
                                <w:rPr>
                                  <w:lang w:val="lt-LT"/>
                                </w:rPr>
                              </w:pPr>
                              <w:r>
                                <w:rPr>
                                  <w:b/>
                                  <w:bCs/>
                                </w:rPr>
                                <w:t>Seneliai</w:t>
                              </w:r>
                            </w:p>
                          </w:txbxContent>
                        </wps:txbx>
                        <wps:bodyPr rot="0" vert="horz" wrap="square" lIns="91440" tIns="45720" rIns="91440" bIns="45720" anchor="t" anchorCtr="0" upright="1">
                          <a:noAutofit/>
                        </wps:bodyPr>
                      </wps:wsp>
                      <wps:wsp>
                        <wps:cNvPr id="355" name="Line 21"/>
                        <wps:cNvCnPr/>
                        <wps:spPr bwMode="auto">
                          <a:xfrm flipH="1" flipV="1">
                            <a:off x="8545" y="9523"/>
                            <a:ext cx="0" cy="720"/>
                          </a:xfrm>
                          <a:prstGeom prst="line">
                            <a:avLst/>
                          </a:prstGeom>
                          <a:noFill/>
                          <a:ln w="9525">
                            <a:solidFill>
                              <a:srgbClr val="000000"/>
                            </a:solidFill>
                            <a:round/>
                            <a:tailEnd type="triangle" w="med" len="med"/>
                          </a:ln>
                        </wps:spPr>
                        <wps:bodyPr/>
                      </wps:wsp>
                      <wps:wsp>
                        <wps:cNvPr id="356" name="Line 22"/>
                        <wps:cNvCnPr/>
                        <wps:spPr bwMode="auto">
                          <a:xfrm flipV="1">
                            <a:off x="8545" y="7723"/>
                            <a:ext cx="0" cy="720"/>
                          </a:xfrm>
                          <a:prstGeom prst="line">
                            <a:avLst/>
                          </a:prstGeom>
                          <a:noFill/>
                          <a:ln w="9525">
                            <a:solidFill>
                              <a:srgbClr val="000000"/>
                            </a:solidFill>
                            <a:round/>
                            <a:tailEnd type="triangle" w="med" len="med"/>
                          </a:ln>
                        </wps:spPr>
                        <wps:bodyPr/>
                      </wps:wsp>
                      <wps:wsp>
                        <wps:cNvPr id="357" name="Line 23"/>
                        <wps:cNvCnPr/>
                        <wps:spPr bwMode="auto">
                          <a:xfrm flipH="1" flipV="1">
                            <a:off x="8545" y="5923"/>
                            <a:ext cx="0" cy="720"/>
                          </a:xfrm>
                          <a:prstGeom prst="line">
                            <a:avLst/>
                          </a:prstGeom>
                          <a:noFill/>
                          <a:ln w="9525">
                            <a:solidFill>
                              <a:srgbClr val="000000"/>
                            </a:solidFill>
                            <a:round/>
                            <a:tailEnd type="triangle" w="med" len="med"/>
                          </a:ln>
                        </wps:spPr>
                        <wps:bodyPr/>
                      </wps:wsp>
                      <wps:wsp>
                        <wps:cNvPr id="358" name="AutoShape 24"/>
                        <wps:cNvSpPr>
                          <a:spLocks noChangeArrowheads="1"/>
                        </wps:cNvSpPr>
                        <wps:spPr bwMode="auto">
                          <a:xfrm>
                            <a:off x="9805" y="6643"/>
                            <a:ext cx="1576" cy="1083"/>
                          </a:xfrm>
                          <a:prstGeom prst="roundRect">
                            <a:avLst>
                              <a:gd name="adj" fmla="val 16667"/>
                            </a:avLst>
                          </a:prstGeom>
                          <a:solidFill>
                            <a:srgbClr val="FFFFFF"/>
                          </a:solidFill>
                          <a:ln w="9525">
                            <a:solidFill>
                              <a:srgbClr val="000000"/>
                            </a:solidFill>
                            <a:round/>
                          </a:ln>
                        </wps:spPr>
                        <wps:txbx>
                          <w:txbxContent>
                            <w:p w14:paraId="065326B4" w14:textId="77777777" w:rsidR="007B24A1" w:rsidRDefault="007B24A1">
                              <w:pPr>
                                <w:pStyle w:val="Pagrindinistekstas"/>
                                <w:jc w:val="center"/>
                              </w:pPr>
                              <w:r>
                                <w:t>Broliai ir seserys</w:t>
                              </w:r>
                            </w:p>
                          </w:txbxContent>
                        </wps:txbx>
                        <wps:bodyPr rot="0" vert="horz" wrap="square" lIns="91440" tIns="45720" rIns="91440" bIns="45720" anchor="t" anchorCtr="0" upright="1">
                          <a:noAutofit/>
                        </wps:bodyPr>
                      </wps:wsp>
                      <wps:wsp>
                        <wps:cNvPr id="359" name="Line 25"/>
                        <wps:cNvCnPr/>
                        <wps:spPr bwMode="auto">
                          <a:xfrm flipH="1" flipV="1">
                            <a:off x="4765" y="9523"/>
                            <a:ext cx="1428" cy="723"/>
                          </a:xfrm>
                          <a:prstGeom prst="line">
                            <a:avLst/>
                          </a:prstGeom>
                          <a:noFill/>
                          <a:ln w="9525">
                            <a:solidFill>
                              <a:srgbClr val="000000"/>
                            </a:solidFill>
                            <a:round/>
                            <a:tailEnd type="triangle" w="med" len="med"/>
                          </a:ln>
                        </wps:spPr>
                        <wps:bodyPr/>
                      </wps:wsp>
                      <wps:wsp>
                        <wps:cNvPr id="360" name="Line 26"/>
                        <wps:cNvCnPr/>
                        <wps:spPr bwMode="auto">
                          <a:xfrm flipH="1" flipV="1">
                            <a:off x="4585" y="5923"/>
                            <a:ext cx="0" cy="720"/>
                          </a:xfrm>
                          <a:prstGeom prst="line">
                            <a:avLst/>
                          </a:prstGeom>
                          <a:noFill/>
                          <a:ln w="9525">
                            <a:solidFill>
                              <a:srgbClr val="000000"/>
                            </a:solidFill>
                            <a:round/>
                            <a:tailEnd type="triangle" w="med" len="med"/>
                          </a:ln>
                        </wps:spPr>
                        <wps:bodyPr/>
                      </wps:wsp>
                      <wps:wsp>
                        <wps:cNvPr id="361" name="Line 27"/>
                        <wps:cNvCnPr/>
                        <wps:spPr bwMode="auto">
                          <a:xfrm flipH="1" flipV="1">
                            <a:off x="4585" y="4123"/>
                            <a:ext cx="0" cy="720"/>
                          </a:xfrm>
                          <a:prstGeom prst="line">
                            <a:avLst/>
                          </a:prstGeom>
                          <a:noFill/>
                          <a:ln w="9525">
                            <a:solidFill>
                              <a:srgbClr val="000000"/>
                            </a:solidFill>
                            <a:round/>
                            <a:tailEnd type="triangle" w="med" len="med"/>
                          </a:ln>
                        </wps:spPr>
                        <wps:bodyPr/>
                      </wps:wsp>
                      <wps:wsp>
                        <wps:cNvPr id="362" name="Line 28"/>
                        <wps:cNvCnPr/>
                        <wps:spPr bwMode="auto">
                          <a:xfrm flipH="1" flipV="1">
                            <a:off x="5665" y="2143"/>
                            <a:ext cx="0" cy="5040"/>
                          </a:xfrm>
                          <a:prstGeom prst="line">
                            <a:avLst/>
                          </a:prstGeom>
                          <a:noFill/>
                          <a:ln w="9525">
                            <a:solidFill>
                              <a:srgbClr val="000000"/>
                            </a:solidFill>
                            <a:round/>
                          </a:ln>
                        </wps:spPr>
                        <wps:bodyPr/>
                      </wps:wsp>
                      <wps:wsp>
                        <wps:cNvPr id="363" name="Line 29"/>
                        <wps:cNvCnPr/>
                        <wps:spPr bwMode="auto">
                          <a:xfrm flipV="1">
                            <a:off x="6565" y="4123"/>
                            <a:ext cx="0" cy="720"/>
                          </a:xfrm>
                          <a:prstGeom prst="line">
                            <a:avLst/>
                          </a:prstGeom>
                          <a:noFill/>
                          <a:ln w="9525">
                            <a:solidFill>
                              <a:srgbClr val="000000"/>
                            </a:solidFill>
                            <a:round/>
                            <a:tailEnd type="triangle" w="med" len="med"/>
                          </a:ln>
                        </wps:spPr>
                        <wps:bodyPr/>
                      </wps:wsp>
                      <wps:wsp>
                        <wps:cNvPr id="364" name="Line 30"/>
                        <wps:cNvCnPr/>
                        <wps:spPr bwMode="auto">
                          <a:xfrm flipV="1">
                            <a:off x="8545" y="4123"/>
                            <a:ext cx="0" cy="733"/>
                          </a:xfrm>
                          <a:prstGeom prst="line">
                            <a:avLst/>
                          </a:prstGeom>
                          <a:noFill/>
                          <a:ln w="9525">
                            <a:solidFill>
                              <a:srgbClr val="000000"/>
                            </a:solidFill>
                            <a:round/>
                            <a:tailEnd type="triangle" w="med" len="med"/>
                          </a:ln>
                        </wps:spPr>
                        <wps:bodyPr/>
                      </wps:wsp>
                      <wps:wsp>
                        <wps:cNvPr id="365" name="Line 31"/>
                        <wps:cNvCnPr/>
                        <wps:spPr bwMode="auto">
                          <a:xfrm flipH="1" flipV="1">
                            <a:off x="4585" y="7723"/>
                            <a:ext cx="1357" cy="733"/>
                          </a:xfrm>
                          <a:prstGeom prst="line">
                            <a:avLst/>
                          </a:prstGeom>
                          <a:noFill/>
                          <a:ln w="9525">
                            <a:solidFill>
                              <a:srgbClr val="000000"/>
                            </a:solidFill>
                            <a:round/>
                            <a:tailEnd type="triangle" w="med" len="med"/>
                          </a:ln>
                        </wps:spPr>
                        <wps:bodyPr/>
                      </wps:wsp>
                      <wps:wsp>
                        <wps:cNvPr id="366" name="Line 32"/>
                        <wps:cNvCnPr/>
                        <wps:spPr bwMode="auto">
                          <a:xfrm flipV="1">
                            <a:off x="9265" y="7723"/>
                            <a:ext cx="1219" cy="720"/>
                          </a:xfrm>
                          <a:prstGeom prst="line">
                            <a:avLst/>
                          </a:prstGeom>
                          <a:noFill/>
                          <a:ln w="9525">
                            <a:solidFill>
                              <a:srgbClr val="000000"/>
                            </a:solidFill>
                            <a:round/>
                            <a:tailEnd type="triangle" w="med" len="med"/>
                          </a:ln>
                        </wps:spPr>
                        <wps:bodyPr/>
                      </wps:wsp>
                      <wps:wsp>
                        <wps:cNvPr id="367" name="AutoShape 33"/>
                        <wps:cNvSpPr>
                          <a:spLocks noChangeArrowheads="1"/>
                        </wps:cNvSpPr>
                        <wps:spPr bwMode="auto">
                          <a:xfrm>
                            <a:off x="5845" y="6643"/>
                            <a:ext cx="1576" cy="1083"/>
                          </a:xfrm>
                          <a:prstGeom prst="roundRect">
                            <a:avLst>
                              <a:gd name="adj" fmla="val 0"/>
                            </a:avLst>
                          </a:prstGeom>
                          <a:solidFill>
                            <a:srgbClr val="C0C0C0"/>
                          </a:solidFill>
                          <a:ln w="9525">
                            <a:solidFill>
                              <a:srgbClr val="000000"/>
                            </a:solidFill>
                            <a:round/>
                          </a:ln>
                        </wps:spPr>
                        <wps:txbx>
                          <w:txbxContent>
                            <w:p w14:paraId="11F1D741" w14:textId="77777777" w:rsidR="007B24A1" w:rsidRDefault="007B24A1">
                              <w:pPr>
                                <w:jc w:val="center"/>
                                <w:rPr>
                                  <w:lang w:val="lt-LT"/>
                                </w:rPr>
                              </w:pPr>
                              <w:r>
                                <w:rPr>
                                  <w:b/>
                                  <w:bCs/>
                                </w:rPr>
                                <w:t>Dalyvis ar</w:t>
                              </w:r>
                            </w:p>
                            <w:p w14:paraId="05DB84C0" w14:textId="77777777" w:rsidR="007B24A1" w:rsidRDefault="007B24A1">
                              <w:pPr>
                                <w:jc w:val="center"/>
                                <w:rPr>
                                  <w:lang w:val="lt-LT"/>
                                </w:rPr>
                              </w:pPr>
                              <w:r>
                                <w:rPr>
                                  <w:b/>
                                  <w:bCs/>
                                </w:rPr>
                                <w:t>valdymo</w:t>
                              </w:r>
                            </w:p>
                            <w:p w14:paraId="51806CB3" w14:textId="77777777" w:rsidR="007B24A1" w:rsidRDefault="007B24A1">
                              <w:pPr>
                                <w:pStyle w:val="Pagrindinistekstas"/>
                                <w:jc w:val="center"/>
                                <w:rPr>
                                  <w:color w:val="008000"/>
                                </w:rPr>
                              </w:pPr>
                              <w:r>
                                <w:t>organo narys</w:t>
                              </w:r>
                            </w:p>
                          </w:txbxContent>
                        </wps:txbx>
                        <wps:bodyPr rot="0" vert="horz" wrap="square" lIns="91440" tIns="45720" rIns="91440" bIns="45720" anchor="t" anchorCtr="0" upright="1">
                          <a:noAutofit/>
                        </wps:bodyPr>
                      </wps:wsp>
                      <wps:wsp>
                        <wps:cNvPr id="368" name="AutoShape 34"/>
                        <wps:cNvSpPr>
                          <a:spLocks noChangeArrowheads="1"/>
                        </wps:cNvSpPr>
                        <wps:spPr bwMode="auto">
                          <a:xfrm>
                            <a:off x="7825" y="6643"/>
                            <a:ext cx="1576" cy="1083"/>
                          </a:xfrm>
                          <a:prstGeom prst="roundRect">
                            <a:avLst>
                              <a:gd name="adj" fmla="val 0"/>
                            </a:avLst>
                          </a:prstGeom>
                          <a:noFill/>
                          <a:ln w="9525">
                            <a:solidFill>
                              <a:srgbClr val="000000"/>
                            </a:solidFill>
                            <a:round/>
                          </a:ln>
                        </wps:spPr>
                        <wps:txbx>
                          <w:txbxContent>
                            <w:p w14:paraId="40A73C2E" w14:textId="77777777" w:rsidR="007B24A1" w:rsidRDefault="007B24A1">
                              <w:pPr>
                                <w:jc w:val="center"/>
                                <w:rPr>
                                  <w:lang w:val="lt-LT"/>
                                </w:rPr>
                              </w:pPr>
                              <w:r>
                                <w:rPr>
                                  <w:b/>
                                  <w:bCs/>
                                </w:rPr>
                                <w:t>Sutuoktiniai,</w:t>
                              </w:r>
                            </w:p>
                            <w:p w14:paraId="6ABC7C50" w14:textId="77777777" w:rsidR="007B24A1" w:rsidRDefault="007B24A1">
                              <w:pPr>
                                <w:jc w:val="center"/>
                                <w:rPr>
                                  <w:lang w:val="lt-LT"/>
                                </w:rPr>
                              </w:pPr>
                              <w:r>
                                <w:rPr>
                                  <w:b/>
                                  <w:bCs/>
                                </w:rPr>
                                <w:t>sugyventiniai</w:t>
                              </w:r>
                            </w:p>
                          </w:txbxContent>
                        </wps:txbx>
                        <wps:bodyPr rot="0" vert="horz" wrap="square" lIns="54000" tIns="118800" rIns="54000" bIns="45720" anchor="t" anchorCtr="0" upright="1">
                          <a:noAutofit/>
                        </wps:bodyPr>
                      </wps:wsp>
                      <wps:wsp>
                        <wps:cNvPr id="369" name="Line 35"/>
                        <wps:cNvCnPr/>
                        <wps:spPr bwMode="auto">
                          <a:xfrm flipH="1">
                            <a:off x="4405" y="2143"/>
                            <a:ext cx="1260" cy="0"/>
                          </a:xfrm>
                          <a:prstGeom prst="line">
                            <a:avLst/>
                          </a:prstGeom>
                          <a:noFill/>
                          <a:ln w="9525">
                            <a:solidFill>
                              <a:srgbClr val="000000"/>
                            </a:solidFill>
                            <a:round/>
                          </a:ln>
                        </wps:spPr>
                        <wps:bodyPr/>
                      </wps:wsp>
                      <wps:wsp>
                        <wps:cNvPr id="370" name="Text Box 36"/>
                        <wps:cNvSpPr txBox="1">
                          <a:spLocks noChangeArrowheads="1"/>
                        </wps:cNvSpPr>
                        <wps:spPr bwMode="auto">
                          <a:xfrm>
                            <a:off x="1521" y="11778"/>
                            <a:ext cx="9900" cy="876"/>
                          </a:xfrm>
                          <a:prstGeom prst="rect">
                            <a:avLst/>
                          </a:prstGeom>
                          <a:solidFill>
                            <a:srgbClr val="FFFFFF"/>
                          </a:solidFill>
                          <a:ln>
                            <a:noFill/>
                          </a:ln>
                        </wps:spPr>
                        <wps:txbx>
                          <w:txbxContent>
                            <w:p w14:paraId="1E17D75B" w14:textId="77777777" w:rsidR="007B24A1" w:rsidRDefault="007B24A1">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wps:txbx>
                        <wps:bodyPr rot="0" vert="horz" wrap="square" lIns="91440" tIns="45720" rIns="91440" bIns="45720" anchor="t" anchorCtr="0" upright="1">
                          <a:noAutofit/>
                        </wps:bodyPr>
                      </wps:wsp>
                      <wps:wsp>
                        <wps:cNvPr id="371" name="Line 37"/>
                        <wps:cNvCnPr/>
                        <wps:spPr bwMode="auto">
                          <a:xfrm flipH="1" flipV="1">
                            <a:off x="2965" y="7723"/>
                            <a:ext cx="1620" cy="720"/>
                          </a:xfrm>
                          <a:prstGeom prst="line">
                            <a:avLst/>
                          </a:prstGeom>
                          <a:noFill/>
                          <a:ln w="9525">
                            <a:solidFill>
                              <a:srgbClr val="000000"/>
                            </a:solidFill>
                            <a:round/>
                            <a:tailEnd type="triangle" w="med" len="med"/>
                          </a:ln>
                        </wps:spPr>
                        <wps:bodyPr/>
                      </wps:wsp>
                      <wps:wsp>
                        <wps:cNvPr id="372" name="Line 38"/>
                        <wps:cNvCnPr/>
                        <wps:spPr bwMode="auto">
                          <a:xfrm>
                            <a:off x="5665" y="7183"/>
                            <a:ext cx="180" cy="0"/>
                          </a:xfrm>
                          <a:prstGeom prst="line">
                            <a:avLst/>
                          </a:prstGeom>
                          <a:noFill/>
                          <a:ln w="9525">
                            <a:solidFill>
                              <a:srgbClr val="000000"/>
                            </a:solidFill>
                            <a:round/>
                          </a:ln>
                        </wps:spPr>
                        <wps:bodyPr/>
                      </wps:wsp>
                      <wps:wsp>
                        <wps:cNvPr id="373" name="Line 39"/>
                        <wps:cNvCnPr/>
                        <wps:spPr bwMode="auto">
                          <a:xfrm flipV="1">
                            <a:off x="7417" y="7183"/>
                            <a:ext cx="408" cy="4"/>
                          </a:xfrm>
                          <a:prstGeom prst="line">
                            <a:avLst/>
                          </a:prstGeom>
                          <a:noFill/>
                          <a:ln w="9525">
                            <a:solidFill>
                              <a:srgbClr val="000000"/>
                            </a:solidFill>
                            <a:round/>
                          </a:ln>
                        </wps:spPr>
                        <wps:bodyPr/>
                      </wps:wsp>
                    </wpg:wgp>
                  </a:graphicData>
                </a:graphic>
              </wp:anchor>
            </w:drawing>
          </mc:Choice>
          <mc:Fallback>
            <w:pict>
              <v:group w14:anchorId="06A8BE28" id="Group 2" o:spid="_x0000_s1026" style="position:absolute;left:0;text-align:left;margin-left:5.9pt;margin-top:-20pt;width:495pt;height:552.55pt;z-index:251594752" coordorigin="1521,1603" coordsize="9900,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SQgcAAFZVAAAOAAAAZHJzL2Uyb0RvYy54bWzsXNty2zYQfe9M/wHD91oE79JYzqTOpZ1x&#10;20yT9p0mKYktRbAgbcn9+i4uBAldMnaiIEoNZ0YRBRIEdw8Wu2fBvXyxXVfovqBtSeq5gy9cBxV1&#10;RvKyXs6dPz68+SFxUNuldZ5WpC7mzkPROi+uvv/uctPMCo+sSJUXFEEndTvbNHNn1XXNbDJps1Wx&#10;TtsL0hQ1NC4IXacdHNLlJKfpBnpfVxPPdaPJhtC8oSQr2hZ+fSUanSve/2JRZN1vi0VbdKiaOzC2&#10;jn9S/nnLPidXl+lsSdNmVWZyGOknjGKdljXcVHX1Ku1SdEfLva7WZUZJSxbdRUbWE7JYlFnBnwGe&#10;Brs7T/OWkruGP8tytlk2Skwg2h05fXK32a/37ygq87nj+5GD6nQNSuL3RR4TzqZZzuCct7R537yj&#10;8oelOGLPu13QNfsfngRtuVgflFiLbYcy+DHykih0QfoZtMUujv0kFILPVqAddh0OPewgaMaR6/dt&#10;r+X102l/McZuiFnzpL/zhA1QjWfTAIraQVDt5wnq/SptCi7/lglBCSruBfXyriP8JMQHzW4P5zFJ&#10;MZm0zQ3J/m5RTa5Xab0sXlJKNqsizWFY4im0C9hBC5ei280vJAc1pNA7B9WOkMMkCLmwfDeQwupF&#10;jcMYtMjkjN2EtylJpbOGtt3bgqwR+zJ3AFx1/jvMEH6P9P6m7TiCc4mCNP/LQYt1BfPhPq0QjqIo&#10;lrKXJ0PffZ/sypq8KauKz6iqRpu5Mw29kHfekqrMWSMXC13eXlcUQacAFf4nu9VO48MTqq5q0Hgv&#10;HobJdtZtb7ccje3sluQPIDVKxOQGYwRfVoT+66ANTOy50/5zl9LCQdXPNUh+ioOAWQJ+EISxBwd0&#10;3HI7bknrDLqaO52DxNfrTliPu4aWyxXcCfMnrAnDwqLs2IjZAMWo5AFgUgzbADjB4IpZPIAzYPJl&#10;gzIJziB51uDkNpXP8gENFqNypZnuY5SvCKYxmgQWo3KZ7y2WxajAKFsjdu1o9DXsKHa9gN84nT3L&#10;VV6oo5e8XezHnmgATvMuSLmPZsiQ+uDYC7fdgnTuKDfLglQDqbcP0qSfzwY8UgXSZx4ucUOq3CyL&#10;UQ2j/j5Gp18DozZqAr6oF7zFqIbRYB+jmDOYplf7KDqrsEmjjdoxu/SG/zE4AVWlnWaEoOIWV/lj&#10;Fs0amsFx3HVdseJLDLgFnit91zNDs2kWlYNU+WMWpBpIVUpkIFOxIkwMgFT5rpapAube+gWH0lGB&#10;SkfdlHWB8DgVdV3LpN3HUktoUZXNn30mQ2byolCax3Dq7SSZ+kweZE7Eytrnp/pkkEwwVTCcIbck&#10;Tu1P+XL5onTWpWX1us5R99BAFq2jJSTfKsj/QEZqXeSQByogVc2+iSEdyC4JK8iamWtlMHsTqOyN&#10;0KWiFMDWnECXcWx1aSwTF6gsh9ClCr1Po0tIrtp5aSqrGh7IBmAVpxpwBLwY9kzoGyTOIhugBVVn&#10;F3sN4bH1a8d+LWyi2Q++VKBqAM5xAjtDGJwt3wV+lwp7LUo1lB5IHGAVqZpEqc0cAEpV3GtRqqH0&#10;QOoAq1DVJEotRwAoVdGvRamG0gPJAxG/G0oeqBXf7mfJAaYqsLcw1WCqsgI8ZoZN4UDCSIQ+nv/4&#10;CQQMW5cPsFpJKLdO2+jZIKsVKhpdaFV5ErA6Pl6ruwyl0qVltUzqUmebBQf1JWao5Z1NalXxzkOi&#10;y1NrlAEndpq4ghA4s2zsmfNbilO2boTmRujUO3BNp3Ujglgmx/bdCBx4MJf4m27CNh5/Aauy+bGj&#10;rz4eefUuUjy88CTGFPzjPYnj/mEQSprdrj4GV59I0dFCq2Mm+qRaDbDNmRnLf0aKvhVaHTO3p9Bq&#10;GEkj7OHd7Yhyh0Lowls8Isl/VlsUYEk4p00HkWIwhaLG5OXjFbUbnqkNJHbSmTSliufjuvTH+4M/&#10;XZcq1D6uS58Tr9bZkYUrnlSQ4Zizo5Nh/qnJMOXs7BMo2A8hzuderFWsVpHkJIrV+TD/NHzY1JPr&#10;4QF1epCRkkHJWa6I3/SmPSiLsbebQswaQ7kVVRDEKHnSA+lwMZDjxMm1y/5Jv0w7zdxLGcPeLUuc&#10;jImT6AAP6JvkAVWa8Iyg/FXeyMAqCH4iQsMASur09W0wThJ2JArcyKZvu8BNpHN7/mdwe2wTutzu&#10;DjWBBP+8H0xij7FOzBfqjZYNJqHU2hGnNQZZife6PrANqj+SLYLCYgP9yopjoW4Lv7MkLa8H9YXK&#10;ZA01xXAcc/JhqKAxlBRLoGDWRykCqlXIEqeO32LQVrBH74DV3n84zAewElf85axhz9sTTcH/vNRV&#10;rNOGvrKYT0orHyeDvelxhzpiZcMEy3+WVuGbdqhjnTn0n8wcjgy7YgljLAriDUYAJ9au7xedPGbX&#10;dZLQPw1JGAfg57B94PvaCVyZR+Pu57kRS4dNtrDPbI1gkR+n/eAbL97JX0GXhUZZddDxMT9/KId6&#10;9R8AAAD//wMAUEsDBBQABgAIAAAAIQA6ZpgJ3wAAAAwBAAAPAAAAZHJzL2Rvd25yZXYueG1sTI9B&#10;a8MwDIXvg/0Ho8FurZ1tLSONU0rZdiqDtYPRmxurSWgsh9hN0n8/5bTd9KTH0/ey9ega0WMXak8a&#10;krkCgVR4W1Op4fvwPnsFEaIhaxpPqOGGAdb5/V1mUusH+sJ+H0vBIRRSo6GKsU2lDEWFzoS5b5H4&#10;dvadM5FlV0rbmYHDXSOflFpKZ2riD5VpcVthcdlfnYaPwQyb5+St313O29vxsPj82SWo9ePDuFmB&#10;iDjGPzNM+IwOOTOd/JVsEA3rhMmjhtmL4k6TQalpdZqm5SIBmWfyf4n8FwAA//8DAFBLAQItABQA&#10;BgAIAAAAIQC2gziS/gAAAOEBAAATAAAAAAAAAAAAAAAAAAAAAABbQ29udGVudF9UeXBlc10ueG1s&#10;UEsBAi0AFAAGAAgAAAAhADj9If/WAAAAlAEAAAsAAAAAAAAAAAAAAAAALwEAAF9yZWxzLy5yZWxz&#10;UEsBAi0AFAAGAAgAAAAhADL625JCBwAAVlUAAA4AAAAAAAAAAAAAAAAALgIAAGRycy9lMm9Eb2Mu&#10;eG1sUEsBAi0AFAAGAAgAAAAhADpmmAnfAAAADAEAAA8AAAAAAAAAAAAAAAAAnAkAAGRycy9kb3du&#10;cmV2LnhtbFBLBQYAAAAABAAEAPMAAACoCgAAAAA=&#10;">
                <v:roundrect id="AutoShape 3" o:spid="_x0000_s1027" style="position:absolute;left:584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cwNxQAAANwAAAAPAAAAZHJzL2Rvd25yZXYueG1sRI9BawIx&#10;FITvBf9DeEJvNavStWyNIoIgnqotlr09Nq/Z1c3LmqS6/feNUOhxmJlvmPmyt624kg+NYwXjUQaC&#10;uHK6YaPg433z9AIiRGSNrWNS8EMBlovBwxwL7W68p+shGpEgHApUUMfYFVKGqiaLYeQ64uR9OW8x&#10;JumN1B5vCW5bOcmyXFpsOC3U2NG6pup8+LYKymM+8c/lJ+9263Lb592bOV2MUo/DfvUKIlIf/8N/&#10;7a1WMJ3O4H4mHQG5+AUAAP//AwBQSwECLQAUAAYACAAAACEA2+H2y+4AAACFAQAAEwAAAAAAAAAA&#10;AAAAAAAAAAAAW0NvbnRlbnRfVHlwZXNdLnhtbFBLAQItABQABgAIAAAAIQBa9CxbvwAAABUBAAAL&#10;AAAAAAAAAAAAAAAAAB8BAABfcmVscy8ucmVsc1BLAQItABQABgAIAAAAIQDX1cwNxQAAANwAAAAP&#10;AAAAAAAAAAAAAAAAAAcCAABkcnMvZG93bnJldi54bWxQSwUGAAAAAAMAAwC3AAAA+QIAAAAA&#10;" filled="f">
                  <v:textbox>
                    <w:txbxContent>
                      <w:p w14:paraId="1FBFB29A" w14:textId="77777777" w:rsidR="007B24A1" w:rsidRDefault="007B24A1">
                        <w:pPr>
                          <w:jc w:val="center"/>
                          <w:rPr>
                            <w:lang w:val="lt-LT"/>
                          </w:rPr>
                        </w:pPr>
                      </w:p>
                      <w:p w14:paraId="1833723F" w14:textId="77777777" w:rsidR="007B24A1" w:rsidRDefault="007B24A1">
                        <w:pPr>
                          <w:jc w:val="center"/>
                          <w:rPr>
                            <w:lang w:val="lt-LT"/>
                          </w:rPr>
                        </w:pPr>
                        <w:r>
                          <w:rPr>
                            <w:b/>
                            <w:bCs/>
                          </w:rPr>
                          <w:t>Vaikaičiai</w:t>
                        </w:r>
                      </w:p>
                    </w:txbxContent>
                  </v:textbox>
                </v:roundrect>
                <v:roundrect id="AutoShape 4" o:spid="_x0000_s1028" style="position:absolute;left:584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h/wgAAANwAAAAPAAAAZHJzL2Rvd25yZXYueG1sRE/LagIx&#10;FN0L/kO4QneaUXEoU6OIUBBX9YFldpfJbWZ0cjNNUp3+fbMouDyc93Ld21bcyYfGsYLpJANBXDnd&#10;sFFwPr2PX0GEiKyxdUwKfinAejUcLLHQ7sEHuh+jESmEQ4EK6hi7QspQ1WQxTFxHnLgv5y3GBL2R&#10;2uMjhdtWzrIslxYbTg01drStqbodf6yC8pLP/KL85P1+W+76vPsw12+j1Muo37yBiNTHp/jfvdMK&#10;5vO0Np1JR0Cu/gAAAP//AwBQSwECLQAUAAYACAAAACEA2+H2y+4AAACFAQAAEwAAAAAAAAAAAAAA&#10;AAAAAAAAW0NvbnRlbnRfVHlwZXNdLnhtbFBLAQItABQABgAIAAAAIQBa9CxbvwAAABUBAAALAAAA&#10;AAAAAAAAAAAAAB8BAABfcmVscy8ucmVsc1BLAQItABQABgAIAAAAIQCmSlh/wgAAANwAAAAPAAAA&#10;AAAAAAAAAAAAAAcCAABkcnMvZG93bnJldi54bWxQSwUGAAAAAAMAAwC3AAAA9gIAAAAA&#10;" filled="f">
                  <v:textbox>
                    <w:txbxContent>
                      <w:p w14:paraId="498FE378" w14:textId="77777777" w:rsidR="007B24A1" w:rsidRDefault="007B24A1">
                        <w:pPr>
                          <w:jc w:val="center"/>
                          <w:rPr>
                            <w:lang w:val="lt-LT"/>
                          </w:rPr>
                        </w:pPr>
                      </w:p>
                      <w:p w14:paraId="301644F1" w14:textId="77777777" w:rsidR="007B24A1" w:rsidRDefault="007B24A1">
                        <w:pPr>
                          <w:jc w:val="center"/>
                          <w:rPr>
                            <w:lang w:val="lt-LT"/>
                          </w:rPr>
                        </w:pPr>
                        <w:r>
                          <w:rPr>
                            <w:b/>
                            <w:bCs/>
                          </w:rPr>
                          <w:t>Vaikai*</w:t>
                        </w:r>
                      </w:p>
                    </w:txbxContent>
                  </v:textbox>
                </v:roundrect>
                <v:roundrect id="AutoShape 5" o:spid="_x0000_s1029" style="position:absolute;left:584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3kxQAAANwAAAAPAAAAZHJzL2Rvd25yZXYueG1sRI9BawIx&#10;FITvBf9DeEJvNavSxW6NIoIgnqotlr09Nq/Z1c3LmqS6/feNUOhxmJlvmPmyt624kg+NYwXjUQaC&#10;uHK6YaPg433zNAMRIrLG1jEp+KEAy8XgYY6Fdjfe0/UQjUgQDgUqqGPsCilDVZPFMHIdcfK+nLcY&#10;k/RGao+3BLetnGRZLi02nBZq7GhdU3U+fFsF5TGf+Ofyk3e7dbnt8+7NnC5Gqcdhv3oFEamP/+G/&#10;9lYrmE5f4H4mHQG5+AUAAP//AwBQSwECLQAUAAYACAAAACEA2+H2y+4AAACFAQAAEwAAAAAAAAAA&#10;AAAAAAAAAAAAW0NvbnRlbnRfVHlwZXNdLnhtbFBLAQItABQABgAIAAAAIQBa9CxbvwAAABUBAAAL&#10;AAAAAAAAAAAAAAAAAB8BAABfcmVscy8ucmVsc1BLAQItABQABgAIAAAAIQDJBv3kxQAAANwAAAAP&#10;AAAAAAAAAAAAAAAAAAcCAABkcnMvZG93bnJldi54bWxQSwUGAAAAAAMAAwC3AAAA+QIAAAAA&#10;" filled="f">
                  <v:textbox>
                    <w:txbxContent>
                      <w:p w14:paraId="2C1425F6" w14:textId="77777777" w:rsidR="007B24A1" w:rsidRDefault="007B24A1">
                        <w:pPr>
                          <w:jc w:val="center"/>
                          <w:rPr>
                            <w:lang w:val="lt-LT"/>
                          </w:rPr>
                        </w:pPr>
                      </w:p>
                      <w:p w14:paraId="1C011D7E" w14:textId="77777777" w:rsidR="007B24A1" w:rsidRDefault="007B24A1">
                        <w:pPr>
                          <w:jc w:val="center"/>
                          <w:rPr>
                            <w:lang w:val="lt-LT"/>
                          </w:rPr>
                        </w:pPr>
                        <w:r>
                          <w:rPr>
                            <w:b/>
                            <w:bCs/>
                          </w:rPr>
                          <w:t>Tėvai*</w:t>
                        </w:r>
                      </w:p>
                    </w:txbxContent>
                  </v:textbox>
                </v:roundrect>
                <v:roundrect id="AutoShape 6" o:spid="_x0000_s1030" style="position:absolute;left:584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icEwgAAANwAAAAPAAAAZHJzL2Rvd25yZXYueG1sRE/Pa8Iw&#10;FL4L/g/hCbvNVLcVqUYRYSCeNjeU3h7NM602LzXJtPvvl8PA48f3e7HqbStu5EPjWMFknIEgrpxu&#10;2Cj4/np/noEIEVlj65gU/FKA1XI4WGCh3Z0/6baPRqQQDgUqqGPsCilDVZPFMHYdceJOzluMCXoj&#10;tcd7CretnGZZLi02nBpq7GhTU3XZ/1gF5SGf+rfyyLvdptz2efdhzlej1NOoX89BROrjQ/zv3moF&#10;L69pfjqTjoBc/gEAAP//AwBQSwECLQAUAAYACAAAACEA2+H2y+4AAACFAQAAEwAAAAAAAAAAAAAA&#10;AAAAAAAAW0NvbnRlbnRfVHlwZXNdLnhtbFBLAQItABQABgAIAAAAIQBa9CxbvwAAABUBAAALAAAA&#10;AAAAAAAAAAAAAB8BAABfcmVscy8ucmVsc1BLAQItABQABgAIAAAAIQAAOicEwgAAANwAAAAPAAAA&#10;AAAAAAAAAAAAAAcCAABkcnMvZG93bnJldi54bWxQSwUGAAAAAAMAAwC3AAAA9gIAAAAA&#10;" filled="f">
                  <v:textbox>
                    <w:txbxContent>
                      <w:p w14:paraId="1CA21920" w14:textId="77777777" w:rsidR="007B24A1" w:rsidRDefault="007B24A1">
                        <w:pPr>
                          <w:rPr>
                            <w:lang w:val="lt-LT"/>
                          </w:rPr>
                        </w:pPr>
                      </w:p>
                      <w:p w14:paraId="11AA9FCB" w14:textId="77777777" w:rsidR="007B24A1" w:rsidRDefault="007B24A1">
                        <w:pPr>
                          <w:jc w:val="center"/>
                          <w:rPr>
                            <w:lang w:val="lt-LT"/>
                          </w:rPr>
                        </w:pPr>
                        <w:r>
                          <w:rPr>
                            <w:lang w:val="lt-LT"/>
                          </w:rPr>
                          <w:t>Seneliai</w:t>
                        </w:r>
                      </w:p>
                    </w:txbxContent>
                  </v:textbox>
                </v:roundrect>
                <v:roundrect id="AutoShape 7" o:spid="_x0000_s1031" style="position:absolute;left:386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KfxgAAANwAAAAPAAAAZHJzL2Rvd25yZXYueG1sRI9PawIx&#10;FMTvgt8hPMFbzartUrZGEaEgnuofWvb22Lxmt25etkmq229vCgWPw8z8hlmsetuKC/nQOFYwnWQg&#10;iCunGzYKTsfXh2cQISJrbB2Tgl8KsFoOBwsstLvyni6HaESCcChQQR1jV0gZqposhonriJP36bzF&#10;mKQ3Unu8Jrht5SzLcmmx4bRQY0ebmqrz4ccqKN/zmX8qP3i325TbPu/ezNe3UWo86tcvICL18R7+&#10;b2+1gvnjFP7OpCMglzcAAAD//wMAUEsBAi0AFAAGAAgAAAAhANvh9svuAAAAhQEAABMAAAAAAAAA&#10;AAAAAAAAAAAAAFtDb250ZW50X1R5cGVzXS54bWxQSwECLQAUAAYACAAAACEAWvQsW78AAAAVAQAA&#10;CwAAAAAAAAAAAAAAAAAfAQAAX3JlbHMvLnJlbHNQSwECLQAUAAYACAAAACEAb3aCn8YAAADcAAAA&#10;DwAAAAAAAAAAAAAAAAAHAgAAZHJzL2Rvd25yZXYueG1sUEsFBgAAAAADAAMAtwAAAPoCAAAAAA==&#10;" filled="f">
                  <v:textbox>
                    <w:txbxContent>
                      <w:p w14:paraId="58688E3B" w14:textId="77777777" w:rsidR="007B24A1" w:rsidRDefault="007B24A1">
                        <w:pPr>
                          <w:pStyle w:val="Pagrindinistekstas"/>
                          <w:jc w:val="center"/>
                        </w:pPr>
                        <w:r>
                          <w:t>Senelių broliai ir seserys</w:t>
                        </w:r>
                      </w:p>
                    </w:txbxContent>
                  </v:textbox>
                </v:roundrect>
                <v:roundrect id="AutoShape 8" o:spid="_x0000_s1032" style="position:absolute;left:386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zoxQAAANwAAAAPAAAAZHJzL2Rvd25yZXYueG1sRI9BS8NA&#10;FITvgv9heYI3szHWIGk2RQpC6UlbUXJ7ZF830ezbuLu26b93BcHjMDPfMPVqtqM4kg+DYwW3WQ6C&#10;uHN6YKPgdf908wAiRGSNo2NScKYAq+byosZKuxO/0HEXjUgQDhUq6GOcKilD15PFkLmJOHkH5y3G&#10;JL2R2uMpwe0oizwvpcWB00KPE6176j5331ZB+1YW/r595+123W7mcno2H19Gqeur+XEJItIc/8N/&#10;7Y1WcLco4PdMOgKy+QEAAP//AwBQSwECLQAUAAYACAAAACEA2+H2y+4AAACFAQAAEwAAAAAAAAAA&#10;AAAAAAAAAAAAW0NvbnRlbnRfVHlwZXNdLnhtbFBLAQItABQABgAIAAAAIQBa9CxbvwAAABUBAAAL&#10;AAAAAAAAAAAAAAAAAB8BAABfcmVscy8ucmVsc1BLAQItABQABgAIAAAAIQCfpBzoxQAAANwAAAAP&#10;AAAAAAAAAAAAAAAAAAcCAABkcnMvZG93bnJldi54bWxQSwUGAAAAAAMAAwC3AAAA+QIAAAAA&#10;" filled="f">
                  <v:textbox>
                    <w:txbxContent>
                      <w:p w14:paraId="3870EB7D" w14:textId="77777777" w:rsidR="007B24A1" w:rsidRDefault="007B24A1">
                        <w:pPr>
                          <w:pStyle w:val="Pagrindinistekstas"/>
                          <w:jc w:val="center"/>
                        </w:pPr>
                        <w:r>
                          <w:t>Brolio ir sesers vaikaičiai</w:t>
                        </w:r>
                      </w:p>
                    </w:txbxContent>
                  </v:textbox>
                </v:roundrect>
                <v:roundrect id="AutoShape 9" o:spid="_x0000_s1033" style="position:absolute;left:386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LlzxgAAANwAAAAPAAAAZHJzL2Rvd25yZXYueG1sRI9PawIx&#10;FMTvgt8hPKG3mq1/lrI1iggF8VRtadnbY/Oa3Xbzsiaprt/eCAWPw8z8hlmsetuKE/nQOFbwNM5A&#10;EFdON2wUfLy/Pj6DCBFZY+uYFFwowGo5HCyw0O7MezodohEJwqFABXWMXSFlqGqyGMauI07et/MW&#10;Y5LeSO3xnOC2lZMsy6XFhtNCjR1taqp+D39WQfmZT/y8/OLdblNu+7x7Mz9Ho9TDqF+/gIjUx3v4&#10;v73VCqazKdzOpCMgl1cAAAD//wMAUEsBAi0AFAAGAAgAAAAhANvh9svuAAAAhQEAABMAAAAAAAAA&#10;AAAAAAAAAAAAAFtDb250ZW50X1R5cGVzXS54bWxQSwECLQAUAAYACAAAACEAWvQsW78AAAAVAQAA&#10;CwAAAAAAAAAAAAAAAAAfAQAAX3JlbHMvLnJlbHNQSwECLQAUAAYACAAAACEA8Oi5c8YAAADcAAAA&#10;DwAAAAAAAAAAAAAAAAAHAgAAZHJzL2Rvd25yZXYueG1sUEsFBgAAAAADAAMAtwAAAPoCAAAAAA==&#10;" filled="f">
                  <v:textbox>
                    <w:txbxContent>
                      <w:p w14:paraId="27F7B6E2" w14:textId="77777777" w:rsidR="007B24A1" w:rsidRDefault="007B24A1">
                        <w:pPr>
                          <w:pStyle w:val="Pagrindinistekstas"/>
                          <w:jc w:val="center"/>
                        </w:pPr>
                        <w:r>
                          <w:t>Sūnėnai ir dukterėčios</w:t>
                        </w:r>
                      </w:p>
                    </w:txbxContent>
                  </v:textbox>
                </v:roundrect>
                <v:roundrect id="AutoShape 10" o:spid="_x0000_s1034" style="position:absolute;left:38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UvxQAAANwAAAAPAAAAZHJzL2Rvd25yZXYueG1sRI9BawIx&#10;FITvhf6H8Aq91URri65GkUKLN+m2B4/PzXN3cfOyJtl16683hUKPw8x8wyzXg21ETz7UjjWMRwoE&#10;ceFMzaWG76/3pxmIEJENNo5Jww8FWK/u75aYGXfhT+rzWIoE4ZChhirGNpMyFBVZDCPXEifv6LzF&#10;mKQvpfF4SXDbyIlSr9JizWmhwpbeKipOeWc1FEZ1yu/73fzwEvNr351Zfpy1fnwYNgsQkYb4H/5r&#10;b42G5+kUfs+kIyBXNwAAAP//AwBQSwECLQAUAAYACAAAACEA2+H2y+4AAACFAQAAEwAAAAAAAAAA&#10;AAAAAAAAAAAAW0NvbnRlbnRfVHlwZXNdLnhtbFBLAQItABQABgAIAAAAIQBa9CxbvwAAABUBAAAL&#10;AAAAAAAAAAAAAAAAAB8BAABfcmVscy8ucmVsc1BLAQItABQABgAIAAAAIQBY5eUvxQAAANwAAAAP&#10;AAAAAAAAAAAAAAAAAAcCAABkcnMvZG93bnJldi54bWxQSwUGAAAAAAMAAwC3AAAA+QIAAAAA&#10;">
                  <v:textbox>
                    <w:txbxContent>
                      <w:p w14:paraId="72EDE13C" w14:textId="77777777" w:rsidR="007B24A1" w:rsidRDefault="007B24A1">
                        <w:pPr>
                          <w:pStyle w:val="Pagrindinistekstas"/>
                          <w:jc w:val="center"/>
                        </w:pPr>
                        <w:r>
                          <w:t>Broliai ir seserys *</w:t>
                        </w:r>
                      </w:p>
                    </w:txbxContent>
                  </v:textbox>
                </v:roundrect>
                <v:roundrect id="AutoShape 11" o:spid="_x0000_s1035" style="position:absolute;left:206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YScxQAAANwAAAAPAAAAZHJzL2Rvd25yZXYueG1sRI9BawIx&#10;FITvBf9DeIK3mq3WpWyNIoIgnlqVlr09Nq/ZbTcvaxJ1/femUOhxmJlvmPmyt624kA+NYwVP4wwE&#10;ceV0w0bB8bB5fAERIrLG1jEpuFGA5WLwMMdCuyu/02UfjUgQDgUqqGPsCilDVZPFMHYdcfK+nLcY&#10;k/RGao/XBLetnGRZLi02nBZq7GhdU/WzP1sF5Uc+8bPyk3e7dbnt8+7NfJ+MUqNhv3oFEamP/+G/&#10;9lYrmD7P4PdMOgJycQcAAP//AwBQSwECLQAUAAYACAAAACEA2+H2y+4AAACFAQAAEwAAAAAAAAAA&#10;AAAAAAAAAAAAW0NvbnRlbnRfVHlwZXNdLnhtbFBLAQItABQABgAIAAAAIQBa9CxbvwAAABUBAAAL&#10;AAAAAAAAAAAAAAAAAB8BAABfcmVscy8ucmVsc1BLAQItABQABgAIAAAAIQAQTYScxQAAANwAAAAP&#10;AAAAAAAAAAAAAAAAAAcCAABkcnMvZG93bnJldi54bWxQSwUGAAAAAAMAAwC3AAAA+QIAAAAA&#10;" filled="f">
                  <v:textbox>
                    <w:txbxContent>
                      <w:p w14:paraId="6EE8F49B" w14:textId="77777777" w:rsidR="007B24A1" w:rsidRDefault="007B24A1">
                        <w:pPr>
                          <w:pStyle w:val="Pagrindinistekstas"/>
                          <w:jc w:val="center"/>
                        </w:pPr>
                        <w:r>
                          <w:t>Pusbroliai ir pusseserės</w:t>
                        </w:r>
                      </w:p>
                    </w:txbxContent>
                  </v:textbox>
                </v:roundrect>
                <v:roundrect id="AutoShape 12" o:spid="_x0000_s1036" style="position:absolute;left:386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rrxQAAANwAAAAPAAAAZHJzL2Rvd25yZXYueG1sRI9PawIx&#10;FMTvgt8hvEJvNVvbLmVrFBEE8eQ/LHt7bF6z225e1iTq9tubQsHjMDO/YSaz3rbiQj40jhU8jzIQ&#10;xJXTDRsFh/3y6R1EiMgaW8ek4JcCzKbDwQQL7a68pcsuGpEgHApUUMfYFVKGqiaLYeQ64uR9OW8x&#10;JumN1B6vCW5bOc6yXFpsOC3U2NGipupnd7YKymM+9m/lJ6/Xi3LV593GfJ+MUo8P/fwDRKQ+3sP/&#10;7ZVW8PKaw9+ZdATk9AYAAP//AwBQSwECLQAUAAYACAAAACEA2+H2y+4AAACFAQAAEwAAAAAAAAAA&#10;AAAAAAAAAAAAW0NvbnRlbnRfVHlwZXNdLnhtbFBLAQItABQABgAIAAAAIQBa9CxbvwAAABUBAAAL&#10;AAAAAAAAAAAAAAAAAB8BAABfcmVscy8ucmVsc1BLAQItABQABgAIAAAAIQDgnxrrxQAAANwAAAAP&#10;AAAAAAAAAAAAAAAAAAcCAABkcnMvZG93bnJldi54bWxQSwUGAAAAAAMAAwC3AAAA+QIAAAAA&#10;" filled="f">
                  <v:textbox>
                    <w:txbxContent>
                      <w:p w14:paraId="73B7C781" w14:textId="77777777" w:rsidR="007B24A1" w:rsidRDefault="007B24A1">
                        <w:pPr>
                          <w:pStyle w:val="Pagrindinistekstas"/>
                          <w:jc w:val="center"/>
                        </w:pPr>
                        <w:r>
                          <w:t>Dėdės ir tetos</w:t>
                        </w:r>
                      </w:p>
                    </w:txbxContent>
                  </v:textbox>
                </v:roundrect>
                <v:line id="Line 13" o:spid="_x0000_s1037" style="position:absolute;flip:y;visibility:visible;mso-wrap-style:square" from="6565,5923" to="656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MxgAAANwAAAAPAAAAZHJzL2Rvd25yZXYueG1sRI9Ba8JA&#10;EIXvBf/DMkIvQTc1pd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BfnYjMYAAADcAAAA&#10;DwAAAAAAAAAAAAAAAAAHAgAAZHJzL2Rvd25yZXYueG1sUEsFBgAAAAADAAMAtwAAAPoCAAAAAA==&#10;">
                  <v:stroke endarrow="block"/>
                </v:line>
                <v:line id="Line 14" o:spid="_x0000_s1038" style="position:absolute;flip:y;visibility:visible;mso-wrap-style:square" from="6565,7723" to="656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z+xQAAANwAAAAPAAAAZHJzL2Rvd25yZXYueG1sRI9NS8NA&#10;EIbvgv9hGcFLaDcaER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B0Zkz+xQAAANwAAAAP&#10;AAAAAAAAAAAAAAAAAAcCAABkcnMvZG93bnJldi54bWxQSwUGAAAAAAMAAwC3AAAA+QIAAAAA&#10;">
                  <v:stroke endarrow="block"/>
                </v:line>
                <v:line id="Line 15" o:spid="_x0000_s1039" style="position:absolute;flip:y;visibility:visible;mso-wrap-style:square" from="6565,9523" to="656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llxQAAANwAAAAPAAAAZHJzL2Rvd25yZXYueG1sRI9Ba8JA&#10;EIXvgv9hmYKXoJs2Um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AbKullxQAAANwAAAAP&#10;AAAAAAAAAAAAAAAAAAcCAABkcnMvZG93bnJldi54bWxQSwUGAAAAAAMAAwC3AAAA+QIAAAAA&#10;">
                  <v:stroke endarrow="block"/>
                </v:line>
                <v:roundrect id="AutoShape 16" o:spid="_x0000_s1040" style="position:absolute;left:2785;top:160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3XxwQAAANwAAAAPAAAAZHJzL2Rvd25yZXYueG1sRE/Pa8Iw&#10;FL4P9j+EN/C2JlMcW2eUMVC8idXDjm/NW1vWvNQkrdW/3hyEHT++34vVaFsxkA+NYw0vmQJBXDrT&#10;cKXheFg/v4EIEdlg65g0XCjAavn4sMDcuDPvaShiJVIIhxw11DF2uZShrMliyFxHnLhf5y3GBH0l&#10;jcdzCretnCr1Ki02nBpq7OirpvKv6K2G0qhe+e9h9/4zj8V16E8sNyetJ0/j5weISGP8F9/dW6Nh&#10;Nk/z05l0BOTyBgAA//8DAFBLAQItABQABgAIAAAAIQDb4fbL7gAAAIUBAAATAAAAAAAAAAAAAAAA&#10;AAAAAABbQ29udGVudF9UeXBlc10ueG1sUEsBAi0AFAAGAAgAAAAhAFr0LFu/AAAAFQEAAAsAAAAA&#10;AAAAAAAAAAAAHwEAAF9yZWxzLy5yZWxzUEsBAi0AFAAGAAgAAAAhAKIHdfHBAAAA3AAAAA8AAAAA&#10;AAAAAAAAAAAABwIAAGRycy9kb3ducmV2LnhtbFBLBQYAAAAAAwADALcAAAD1AgAAAAA=&#10;">
                  <v:textbox>
                    <w:txbxContent>
                      <w:p w14:paraId="44FE79C9" w14:textId="77777777" w:rsidR="007B24A1" w:rsidRDefault="007B24A1">
                        <w:pPr>
                          <w:jc w:val="center"/>
                          <w:rPr>
                            <w:lang w:val="lt-LT"/>
                          </w:rPr>
                        </w:pPr>
                        <w:r>
                          <w:rPr>
                            <w:b/>
                            <w:bCs/>
                          </w:rPr>
                          <w:t>Sužadėtiniai</w:t>
                        </w:r>
                      </w:p>
                    </w:txbxContent>
                  </v:textbox>
                </v:roundrect>
                <v:roundrect id="AutoShape 17" o:spid="_x0000_s1041" style="position:absolute;left:7825;top:48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RCxQAAANwAAAAPAAAAZHJzL2Rvd25yZXYueG1sRI9BawIx&#10;FITvgv8hvII3zaq4lK1RiiCIp1ZLy94em9fstpuXNYm6/feNIHgcZuYbZrnubSsu5EPjWMF0koEg&#10;rpxu2Cj4OG7HzyBCRNbYOiYFfxRgvRoOllhod+V3uhyiEQnCoUAFdYxdIWWoarIYJq4jTt638xZj&#10;kt5I7fGa4LaVsyzLpcWG00KNHW1qqn4PZ6ug/MxnflF+8X6/KXd93r2Zn5NRavTUv76AiNTHR/je&#10;3mkF88UUbmfSEZCrfwAAAP//AwBQSwECLQAUAAYACAAAACEA2+H2y+4AAACFAQAAEwAAAAAAAAAA&#10;AAAAAAAAAAAAW0NvbnRlbnRfVHlwZXNdLnhtbFBLAQItABQABgAIAAAAIQBa9CxbvwAAABUBAAAL&#10;AAAAAAAAAAAAAAAAAB8BAABfcmVscy8ucmVsc1BLAQItABQABgAIAAAAIQDqrxRCxQAAANwAAAAP&#10;AAAAAAAAAAAAAAAAAAcCAABkcnMvZG93bnJldi54bWxQSwUGAAAAAAMAAwC3AAAA+QIAAAAA&#10;" filled="f">
                  <v:textbox>
                    <w:txbxContent>
                      <w:p w14:paraId="2B34F42F" w14:textId="77777777" w:rsidR="007B24A1" w:rsidRDefault="007B24A1">
                        <w:pPr>
                          <w:jc w:val="center"/>
                          <w:rPr>
                            <w:lang w:val="lt-LT"/>
                          </w:rPr>
                        </w:pPr>
                      </w:p>
                      <w:p w14:paraId="298879A1" w14:textId="77777777" w:rsidR="007B24A1" w:rsidRDefault="007B24A1">
                        <w:pPr>
                          <w:jc w:val="center"/>
                          <w:rPr>
                            <w:lang w:val="lt-LT"/>
                          </w:rPr>
                        </w:pPr>
                        <w:r>
                          <w:rPr>
                            <w:b/>
                            <w:bCs/>
                          </w:rPr>
                          <w:t>Vaikai</w:t>
                        </w:r>
                      </w:p>
                    </w:txbxContent>
                  </v:textbox>
                </v:roundrect>
                <v:roundrect id="AutoShape 18" o:spid="_x0000_s1042" style="position:absolute;left:7825;top:30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Yo1xQAAANwAAAAPAAAAZHJzL2Rvd25yZXYueG1sRI9BawIx&#10;FITvhf6H8ITeatYtLrIapQiCeGqtKHt7bJ7ZtZuXbRJ1+++bQqHHYWa+YRarwXbiRj60jhVMxhkI&#10;4trplo2Cw8fmeQYiRGSNnWNS8E0BVsvHhwWW2t35nW77aESCcChRQRNjX0oZ6oYshrHriZN3dt5i&#10;TNIbqT3eE9x2Ms+yQlpsOS002NO6ofpzf7UKqmOR+2l14t1uXW2Hon8zly+j1NNoeJ2DiDTE//Bf&#10;e6sVvExz+D2TjoBc/gAAAP//AwBQSwECLQAUAAYACAAAACEA2+H2y+4AAACFAQAAEwAAAAAAAAAA&#10;AAAAAAAAAAAAW0NvbnRlbnRfVHlwZXNdLnhtbFBLAQItABQABgAIAAAAIQBa9CxbvwAAABUBAAAL&#10;AAAAAAAAAAAAAAAAAB8BAABfcmVscy8ucmVsc1BLAQItABQABgAIAAAAIQAafYo1xQAAANwAAAAP&#10;AAAAAAAAAAAAAAAAAAcCAABkcnMvZG93bnJldi54bWxQSwUGAAAAAAMAAwC3AAAA+QIAAAAA&#10;" filled="f">
                  <v:textbox>
                    <w:txbxContent>
                      <w:p w14:paraId="17966CE8" w14:textId="77777777" w:rsidR="007B24A1" w:rsidRDefault="007B24A1">
                        <w:pPr>
                          <w:rPr>
                            <w:lang w:val="lt-LT"/>
                          </w:rPr>
                        </w:pPr>
                      </w:p>
                      <w:p w14:paraId="00DCCEE3" w14:textId="77777777" w:rsidR="007B24A1" w:rsidRDefault="007B24A1">
                        <w:pPr>
                          <w:jc w:val="center"/>
                          <w:rPr>
                            <w:lang w:val="lt-LT"/>
                          </w:rPr>
                        </w:pPr>
                        <w:r>
                          <w:rPr>
                            <w:lang w:val="lt-LT"/>
                          </w:rPr>
                          <w:t>Vaikaičiai</w:t>
                        </w:r>
                      </w:p>
                    </w:txbxContent>
                  </v:textbox>
                </v:roundrect>
                <v:roundrect id="AutoShape 19" o:spid="_x0000_s1043" style="position:absolute;left:7825;top:84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S+uxQAAANwAAAAPAAAAZHJzL2Rvd25yZXYueG1sRI9BawIx&#10;FITvgv8hPKE3zVZxKatRilAQT62Wlr09Ns/s6uZlm6S6/feNIHgcZuYbZrnubSsu5EPjWMHzJANB&#10;XDndsFHweXgbv4AIEVlj65gU/FGA9Wo4WGKh3ZU/6LKPRiQIhwIV1DF2hZShqslimLiOOHlH5y3G&#10;JL2R2uM1wW0rp1mWS4sNp4UaO9rUVJ33v1ZB+ZVP/bz85t1uU277vHs3px+j1NOof12AiNTHR/je&#10;3moFs/kMbmfSEZCrfwAAAP//AwBQSwECLQAUAAYACAAAACEA2+H2y+4AAACFAQAAEwAAAAAAAAAA&#10;AAAAAAAAAAAAW0NvbnRlbnRfVHlwZXNdLnhtbFBLAQItABQABgAIAAAAIQBa9CxbvwAAABUBAAAL&#10;AAAAAAAAAAAAAAAAAB8BAABfcmVscy8ucmVsc1BLAQItABQABgAIAAAAIQB1MS+uxQAAANwAAAAP&#10;AAAAAAAAAAAAAAAAAAcCAABkcnMvZG93bnJldi54bWxQSwUGAAAAAAMAAwC3AAAA+QIAAAAA&#10;" filled="f">
                  <v:textbox>
                    <w:txbxContent>
                      <w:p w14:paraId="4B23A69D" w14:textId="77777777" w:rsidR="007B24A1" w:rsidRDefault="007B24A1">
                        <w:pPr>
                          <w:jc w:val="center"/>
                          <w:rPr>
                            <w:lang w:val="lt-LT"/>
                          </w:rPr>
                        </w:pPr>
                      </w:p>
                      <w:p w14:paraId="31BBC34B" w14:textId="77777777" w:rsidR="007B24A1" w:rsidRDefault="007B24A1">
                        <w:pPr>
                          <w:jc w:val="center"/>
                          <w:rPr>
                            <w:lang w:val="lt-LT"/>
                          </w:rPr>
                        </w:pPr>
                        <w:r>
                          <w:rPr>
                            <w:b/>
                            <w:bCs/>
                          </w:rPr>
                          <w:t>Tėvai</w:t>
                        </w:r>
                      </w:p>
                    </w:txbxContent>
                  </v:textbox>
                </v:roundrect>
                <v:roundrect id="AutoShape 20" o:spid="_x0000_s1044" style="position:absolute;left:7825;top:10246;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LfaxQAAANwAAAAPAAAAZHJzL2Rvd25yZXYueG1sRI9BawIx&#10;FITvBf9DeIK3mq3WpWyNIoIgnlqVlr09Nq/ZbTcvaxJ1/femUOhxmJlvmPmyt624kA+NYwVP4wwE&#10;ceV0w0bB8bB5fAERIrLG1jEpuFGA5WLwMMdCuyu/02UfjUgQDgUqqGPsCilDVZPFMHYdcfK+nLcY&#10;k/RGao/XBLetnGRZLi02nBZq7GhdU/WzP1sF5Uc+8bPyk3e7dbnt8+7NfJ+MUqNhv3oFEamP/+G/&#10;9lYrmM6e4fdMOgJycQcAAP//AwBQSwECLQAUAAYACAAAACEA2+H2y+4AAACFAQAAEwAAAAAAAAAA&#10;AAAAAAAAAAAAW0NvbnRlbnRfVHlwZXNdLnhtbFBLAQItABQABgAIAAAAIQBa9CxbvwAAABUBAAAL&#10;AAAAAAAAAAAAAAAAAB8BAABfcmVscy8ucmVsc1BLAQItABQABgAIAAAAIQD62LfaxQAAANwAAAAP&#10;AAAAAAAAAAAAAAAAAAcCAABkcnMvZG93bnJldi54bWxQSwUGAAAAAAMAAwC3AAAA+QIAAAAA&#10;" filled="f">
                  <v:textbox>
                    <w:txbxContent>
                      <w:p w14:paraId="2D5E8205" w14:textId="77777777" w:rsidR="007B24A1" w:rsidRDefault="007B24A1">
                        <w:pPr>
                          <w:jc w:val="center"/>
                          <w:rPr>
                            <w:lang w:val="lt-LT"/>
                          </w:rPr>
                        </w:pPr>
                      </w:p>
                      <w:p w14:paraId="1DAED049" w14:textId="77777777" w:rsidR="007B24A1" w:rsidRDefault="007B24A1">
                        <w:pPr>
                          <w:jc w:val="center"/>
                          <w:rPr>
                            <w:lang w:val="lt-LT"/>
                          </w:rPr>
                        </w:pPr>
                        <w:r>
                          <w:rPr>
                            <w:b/>
                            <w:bCs/>
                          </w:rPr>
                          <w:t>Seneliai</w:t>
                        </w:r>
                      </w:p>
                    </w:txbxContent>
                  </v:textbox>
                </v:roundrect>
                <v:line id="Line 21" o:spid="_x0000_s1045" style="position:absolute;flip:x y;visibility:visible;mso-wrap-style:square" from="8545,9523" to="8545,10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WtxgAAANwAAAAPAAAAZHJzL2Rvd25yZXYueG1sRI9Pa8JA&#10;FMTvQr/D8gq96cYWxaauUgTBgxf/0F5fss9sNPs2ya4x/fZdQfA4zMxvmPmyt5XoqPWlYwXjUQKC&#10;OHe65ELB8bAezkD4gKyxckwK/sjDcvEymGOq3Y131O1DISKEfYoKTAh1KqXPDVn0I1cTR+/kWosh&#10;yraQusVbhNtKvifJVFosOS4YrGllKL/sr1ZBl13H55/t7uKz3+Yzm5lmtW2mSr299t9fIAL14Rl+&#10;tDdawcdkAvcz8QjIxT8AAAD//wMAUEsBAi0AFAAGAAgAAAAhANvh9svuAAAAhQEAABMAAAAAAAAA&#10;AAAAAAAAAAAAAFtDb250ZW50X1R5cGVzXS54bWxQSwECLQAUAAYACAAAACEAWvQsW78AAAAVAQAA&#10;CwAAAAAAAAAAAAAAAAAfAQAAX3JlbHMvLnJlbHNQSwECLQAUAAYACAAAACEAKDflrcYAAADcAAAA&#10;DwAAAAAAAAAAAAAAAAAHAgAAZHJzL2Rvd25yZXYueG1sUEsFBgAAAAADAAMAtwAAAPoCAAAAAA==&#10;">
                  <v:stroke endarrow="block"/>
                </v:line>
                <v:line id="Line 22" o:spid="_x0000_s1046" style="position:absolute;flip:y;visibility:visible;mso-wrap-style:square" from="8545,7723" to="854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vKxQAAANwAAAAPAAAAZHJzL2Rvd25yZXYueG1sRI9Ba8JA&#10;EIXvgv9hmYKXUDdtU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DvbOvKxQAAANwAAAAP&#10;AAAAAAAAAAAAAAAAAAcCAABkcnMvZG93bnJldi54bWxQSwUGAAAAAAMAAwC3AAAA+QIAAAAA&#10;">
                  <v:stroke endarrow="block"/>
                </v:line>
                <v:line id="Line 23" o:spid="_x0000_s1047" style="position:absolute;flip:x y;visibility:visible;mso-wrap-style:square" from="8545,5923" to="854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d5BxgAAANwAAAAPAAAAZHJzL2Rvd25yZXYueG1sRI9Ba8JA&#10;FITvhf6H5RV6MxsrtZq6ShGEHryoRa8v2Wc2Nfs2ya4x/ffdgtDjMDPfMIvVYGvRU+crxwrGSQqC&#10;uHC64lLB12EzmoHwAVlj7ZgU/JCH1fLxYYGZdjfeUb8PpYgQ9hkqMCE0mZS+MGTRJ64hjt7ZdRZD&#10;lF0pdYe3CLe1fEnTqbRYcVww2NDaUHHZX62CPr+Ov4/b3cXnp3aez0y73rZTpZ6fho93EIGG8B++&#10;tz+1gsnrG/ydiUdALn8BAAD//wMAUEsBAi0AFAAGAAgAAAAhANvh9svuAAAAhQEAABMAAAAAAAAA&#10;AAAAAAAAAAAAAFtDb250ZW50X1R5cGVzXS54bWxQSwECLQAUAAYACAAAACEAWvQsW78AAAAVAQAA&#10;CwAAAAAAAAAAAAAAAAAfAQAAX3JlbHMvLnJlbHNQSwECLQAUAAYACAAAACEAt6neQcYAAADcAAAA&#10;DwAAAAAAAAAAAAAAAAAHAgAAZHJzL2Rvd25yZXYueG1sUEsFBgAAAAADAAMAtwAAAPoCAAAAAA==&#10;">
                  <v:stroke endarrow="block"/>
                </v:line>
                <v:roundrect id="AutoShape 24" o:spid="_x0000_s1048" style="position:absolute;left:9805;top:6643;width:1576;height:10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n3wQAAANwAAAAPAAAAZHJzL2Rvd25yZXYueG1sRE/Pa8Iw&#10;FL4P9j+EN/C2JlMcW2eUMVC8idXDjm/NW1vWvNQkrdW/3hyEHT++34vVaFsxkA+NYw0vmQJBXDrT&#10;cKXheFg/v4EIEdlg65g0XCjAavn4sMDcuDPvaShiJVIIhxw11DF2uZShrMliyFxHnLhf5y3GBH0l&#10;jcdzCretnCr1Ki02nBpq7OirpvKv6K2G0qhe+e9h9/4zj8V16E8sNyetJ0/j5weISGP8F9/dW6Nh&#10;Nk9r05l0BOTyBgAA//8DAFBLAQItABQABgAIAAAAIQDb4fbL7gAAAIUBAAATAAAAAAAAAAAAAAAA&#10;AAAAAABbQ29udGVudF9UeXBlc10ueG1sUEsBAi0AFAAGAAgAAAAhAFr0LFu/AAAAFQEAAAsAAAAA&#10;AAAAAAAAAAAAHwEAAF9yZWxzLy5yZWxzUEsBAi0AFAAGAAgAAAAhAFxxeffBAAAA3AAAAA8AAAAA&#10;AAAAAAAAAAAABwIAAGRycy9kb3ducmV2LnhtbFBLBQYAAAAAAwADALcAAAD1AgAAAAA=&#10;">
                  <v:textbox>
                    <w:txbxContent>
                      <w:p w14:paraId="065326B4" w14:textId="77777777" w:rsidR="007B24A1" w:rsidRDefault="007B24A1">
                        <w:pPr>
                          <w:pStyle w:val="Pagrindinistekstas"/>
                          <w:jc w:val="center"/>
                        </w:pPr>
                        <w:r>
                          <w:t>Broliai ir seserys</w:t>
                        </w:r>
                      </w:p>
                    </w:txbxContent>
                  </v:textbox>
                </v:roundrect>
                <v:line id="Line 25" o:spid="_x0000_s1049" style="position:absolute;flip:x y;visibility:visible;mso-wrap-style:square" from="4765,9523" to="6193,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u+oxQAAANwAAAAPAAAAZHJzL2Rvd25yZXYueG1sRI9Ba8JA&#10;FITvQv/D8gRvdWOLoqmrFKHQgxettNeX7Gs2mn2bZNcY/70rCB6HmfmGWa57W4mOWl86VjAZJyCI&#10;c6dLLhQcfr5e5yB8QNZYOSYFV/KwXr0Mlphqd+EddftQiAhhn6ICE0KdSulzQxb92NXE0ft3rcUQ&#10;ZVtI3eIlwm0l35JkJi2WHBcM1rQxlJ/2Z6ugy86T4+92d/LZX7PI5qbZbJuZUqNh//kBIlAfnuFH&#10;+1sreJ8u4H4mHgG5ugEAAP//AwBQSwECLQAUAAYACAAAACEA2+H2y+4AAACFAQAAEwAAAAAAAAAA&#10;AAAAAAAAAAAAW0NvbnRlbnRfVHlwZXNdLnhtbFBLAQItABQABgAIAAAAIQBa9CxbvwAAABUBAAAL&#10;AAAAAAAAAAAAAAAAAB8BAABfcmVscy8ucmVsc1BLAQItABQABgAIAAAAIQCpeu+oxQAAANwAAAAP&#10;AAAAAAAAAAAAAAAAAAcCAABkcnMvZG93bnJldi54bWxQSwUGAAAAAAMAAwC3AAAA+QIAAAAA&#10;">
                  <v:stroke endarrow="block"/>
                </v:line>
                <v:line id="Line 26" o:spid="_x0000_s1050" style="position:absolute;flip:x y;visibility:visible;mso-wrap-style:square" from="4585,5923" to="4585,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IyIwgAAANwAAAAPAAAAZHJzL2Rvd25yZXYueG1sRE/Pa8Iw&#10;FL4P/B/CG3ibqQpFq1GGIHjwoht6fW3ems7mpW1irf+9OQx2/Ph+r7eDrUVPna8cK5hOEhDEhdMV&#10;lwq+v/YfCxA+IGusHZOCJ3nYbkZva8y0e/CJ+nMoRQxhn6ECE0KTSekLQxb9xDXEkftxncUQYVdK&#10;3eEjhttazpIklRYrjg0GG9oZKm7nu1XQ5/fp7+V4uvn82i7zhWl3xzZVavw+fK5ABBrCv/jPfdAK&#10;5mmcH8/EIyA3LwAAAP//AwBQSwECLQAUAAYACAAAACEA2+H2y+4AAACFAQAAEwAAAAAAAAAAAAAA&#10;AAAAAAAAW0NvbnRlbnRfVHlwZXNdLnhtbFBLAQItABQABgAIAAAAIQBa9CxbvwAAABUBAAALAAAA&#10;AAAAAAAAAAAAAB8BAABfcmVscy8ucmVsc1BLAQItABQABgAIAAAAIQD2LIyIwgAAANwAAAAPAAAA&#10;AAAAAAAAAAAAAAcCAABkcnMvZG93bnJldi54bWxQSwUGAAAAAAMAAwC3AAAA9gIAAAAA&#10;">
                  <v:stroke endarrow="block"/>
                </v:line>
                <v:line id="Line 27" o:spid="_x0000_s1051" style="position:absolute;flip:x y;visibility:visible;mso-wrap-style:square" from="4585,4123" to="458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kTxQAAANwAAAAPAAAAZHJzL2Rvd25yZXYueG1sRI9Ba8JA&#10;FITvBf/D8gRvdRMLQVNXKYLQgxdt0etL9jWbmn2bZNcY/323UOhxmJlvmPV2tI0YqPe1YwXpPAFB&#10;XDpdc6Xg82P/vAThA7LGxjEpeJCH7WbytMZcuzsfaTiFSkQI+xwVmBDaXEpfGrLo564ljt6X6y2G&#10;KPtK6h7vEW4buUiSTFqsOS4YbGlnqLyeblbBUNzS7/PhePXFpVsVS9PtDl2m1Gw6vr2CCDSG//Bf&#10;+10reMlS+D0Tj4Dc/AAAAP//AwBQSwECLQAUAAYACAAAACEA2+H2y+4AAACFAQAAEwAAAAAAAAAA&#10;AAAAAAAAAAAAW0NvbnRlbnRfVHlwZXNdLnhtbFBLAQItABQABgAIAAAAIQBa9CxbvwAAABUBAAAL&#10;AAAAAAAAAAAAAAAAAB8BAABfcmVscy8ucmVsc1BLAQItABQABgAIAAAAIQCZYCkTxQAAANwAAAAP&#10;AAAAAAAAAAAAAAAAAAcCAABkcnMvZG93bnJldi54bWxQSwUGAAAAAAMAAwC3AAAA+QIAAAAA&#10;">
                  <v:stroke endarrow="block"/>
                </v:line>
                <v:line id="Line 28" o:spid="_x0000_s1052" style="position:absolute;flip:x y;visibility:visible;mso-wrap-style:square" from="5665,2143" to="566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AmKxQAAANwAAAAPAAAAZHJzL2Rvd25yZXYueG1sRI9Pa8JA&#10;FMTvBb/D8oReSt0kFpGYVYJg6UmpVXp9ZF/+YPZtyG5N2k/vCkKPw8z8hsk2o2nFlXrXWFYQzyIQ&#10;xIXVDVcKTl+71yUI55E1tpZJwS852KwnTxmm2g78Sdejr0SAsEtRQe19l0rpipoMupntiINX2t6g&#10;D7KvpO5xCHDTyiSKFtJgw2Ghxo62NRWX449RgLz/my+HmN7kO327ZH94yc+lUs/TMV+B8DT6//Cj&#10;/aEVzBcJ3M+EIyDXNwAAAP//AwBQSwECLQAUAAYACAAAACEA2+H2y+4AAACFAQAAEwAAAAAAAAAA&#10;AAAAAAAAAAAAW0NvbnRlbnRfVHlwZXNdLnhtbFBLAQItABQABgAIAAAAIQBa9CxbvwAAABUBAAAL&#10;AAAAAAAAAAAAAAAAAB8BAABfcmVscy8ucmVsc1BLAQItABQABgAIAAAAIQB6KAmKxQAAANwAAAAP&#10;AAAAAAAAAAAAAAAAAAcCAABkcnMvZG93bnJldi54bWxQSwUGAAAAAAMAAwC3AAAA+QIAAAAA&#10;"/>
                <v:line id="Line 29" o:spid="_x0000_s1053" style="position:absolute;flip:y;visibility:visible;mso-wrap-style:square" from="6565,4123" to="6565,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4LvxQAAANwAAAAPAAAAZHJzL2Rvd25yZXYueG1sRI9Pa8JA&#10;EMXvBb/DMkIvQTdtQDS6iv0jFKSHRg8eh+yYBLOzITvV9Nt3C0KPjzfv9+atNoNr1ZX60Hg28DRN&#10;QRGX3jZcGTgedpM5qCDIFlvPZOCHAmzWo4cV5tbf+IuuhVQqQjjkaKAW6XKtQ1mTwzD1HXH0zr53&#10;KFH2lbY93iLctfo5TWfaYcOxocaOXmsqL8W3i2/sPvkty5IXp5NkQe8n2adajHkcD9slKKFB/o/v&#10;6Q9rIJtl8DcmEkCvfwEAAP//AwBQSwECLQAUAAYACAAAACEA2+H2y+4AAACFAQAAEwAAAAAAAAAA&#10;AAAAAAAAAAAAW0NvbnRlbnRfVHlwZXNdLnhtbFBLAQItABQABgAIAAAAIQBa9CxbvwAAABUBAAAL&#10;AAAAAAAAAAAAAAAAAB8BAABfcmVscy8ucmVsc1BLAQItABQABgAIAAAAIQAxd4LvxQAAANwAAAAP&#10;AAAAAAAAAAAAAAAAAAcCAABkcnMvZG93bnJldi54bWxQSwUGAAAAAAMAAwC3AAAA+QIAAAAA&#10;">
                  <v:stroke endarrow="block"/>
                </v:line>
                <v:line id="Line 30" o:spid="_x0000_s1054" style="position:absolute;flip:y;visibility:visible;mso-wrap-style:square" from="8545,4123" to="8545,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v:line id="Line 31" o:spid="_x0000_s1055" style="position:absolute;flip:x y;visibility:visible;mso-wrap-style:square" from="4585,7723" to="5942,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8QxQAAANwAAAAPAAAAZHJzL2Rvd25yZXYueG1sRI9Ba8JA&#10;FITvhf6H5Qm96caWBo2uUoRCD17UUq8v2Wc2mn2bZNeY/vuuIPQ4zMw3zHI92Fr01PnKsYLpJAFB&#10;XDhdcang+/A5noHwAVlj7ZgU/JKH9er5aYmZdjfeUb8PpYgQ9hkqMCE0mZS+MGTRT1xDHL2T6yyG&#10;KLtS6g5vEW5r+ZokqbRYcVww2NDGUHHZX62CPr9Ozz/b3cXnx3aez0y72bapUi+j4WMBItAQ/sOP&#10;9pdW8Ja+w/1MPAJy9QcAAP//AwBQSwECLQAUAAYACAAAACEA2+H2y+4AAACFAQAAEwAAAAAAAAAA&#10;AAAAAAAAAAAAW0NvbnRlbnRfVHlwZXNdLnhtbFBLAQItABQABgAIAAAAIQBa9CxbvwAAABUBAAAL&#10;AAAAAAAAAAAAAAAAAB8BAABfcmVscy8ucmVsc1BLAQItABQABgAIAAAAIQDmWy8QxQAAANwAAAAP&#10;AAAAAAAAAAAAAAAAAAcCAABkcnMvZG93bnJldi54bWxQSwUGAAAAAAMAAwC3AAAA+QIAAAAA&#10;">
                  <v:stroke endarrow="block"/>
                </v:line>
                <v:line id="Line 32" o:spid="_x0000_s1056" style="position:absolute;flip:y;visibility:visible;mso-wrap-style:square" from="9265,7723" to="10484,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F3xQAAANwAAAAPAAAAZHJzL2Rvd25yZXYueG1sRI9Ba8JA&#10;EIXvBf/DMoVeQt1oILSpq2itIBQPWg8eh+w0Cc3OhuxU4793hUKPjzfve/Nmi8G16kx9aDwbmIxT&#10;UMSltw1XBo5fm+cXUEGQLbaeycCVAizmo4cZFtZfeE/ng1QqQjgUaKAW6QqtQ1mTwzD2HXH0vn3v&#10;UKLsK217vES4a/U0TXPtsOHYUGNH7zWVP4dfF9/Y7HidZcnK6SR5pY+TfKZajHl6HJZvoIQG+T/+&#10;S2+tgSzP4T4mEkDPbwAAAP//AwBQSwECLQAUAAYACAAAACEA2+H2y+4AAACFAQAAEwAAAAAAAAAA&#10;AAAAAAAAAAAAW0NvbnRlbnRfVHlwZXNdLnhtbFBLAQItABQABgAIAAAAIQBa9CxbvwAAABUBAAAL&#10;AAAAAAAAAAAAAAAAAB8BAABfcmVscy8ucmVsc1BLAQItABQABgAIAAAAIQAhACF3xQAAANwAAAAP&#10;AAAAAAAAAAAAAAAAAAcCAABkcnMvZG93bnJldi54bWxQSwUGAAAAAAMAAwC3AAAA+QIAAAAA&#10;">
                  <v:stroke endarrow="block"/>
                </v:line>
                <v:roundrect id="AutoShape 33" o:spid="_x0000_s1057" style="position:absolute;left:584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Y+wwAAANwAAAAPAAAAZHJzL2Rvd25yZXYueG1sRI9Ba8JA&#10;FITvBf/D8gRvdaNCqqmriLRQPGlUen1kX5PQ7NuQfZr033cLQo/DzHzDrLeDa9SdulB7NjCbJqCI&#10;C29rLg1czu/PS1BBkC02nsnADwXYbkZPa8ys7/lE91xKFSEcMjRQibSZ1qGoyGGY+pY4el++cyhR&#10;dqW2HfYR7ho9T5JUO6w5LlTY0r6i4ju/OQPXwyHtP899EU7H2zVfSULSvhkzGQ+7V1BCg/yHH+0P&#10;a2CRvsDfmXgE9OYXAAD//wMAUEsBAi0AFAAGAAgAAAAhANvh9svuAAAAhQEAABMAAAAAAAAAAAAA&#10;AAAAAAAAAFtDb250ZW50X1R5cGVzXS54bWxQSwECLQAUAAYACAAAACEAWvQsW78AAAAVAQAACwAA&#10;AAAAAAAAAAAAAAAfAQAAX3JlbHMvLnJlbHNQSwECLQAUAAYACAAAACEAV3MWPsMAAADcAAAADwAA&#10;AAAAAAAAAAAAAAAHAgAAZHJzL2Rvd25yZXYueG1sUEsFBgAAAAADAAMAtwAAAPcCAAAAAA==&#10;" fillcolor="silver">
                  <v:textbox>
                    <w:txbxContent>
                      <w:p w14:paraId="11F1D741" w14:textId="77777777" w:rsidR="007B24A1" w:rsidRDefault="007B24A1">
                        <w:pPr>
                          <w:jc w:val="center"/>
                          <w:rPr>
                            <w:lang w:val="lt-LT"/>
                          </w:rPr>
                        </w:pPr>
                        <w:r>
                          <w:rPr>
                            <w:b/>
                            <w:bCs/>
                          </w:rPr>
                          <w:t>Dalyvis ar</w:t>
                        </w:r>
                      </w:p>
                      <w:p w14:paraId="05DB84C0" w14:textId="77777777" w:rsidR="007B24A1" w:rsidRDefault="007B24A1">
                        <w:pPr>
                          <w:jc w:val="center"/>
                          <w:rPr>
                            <w:lang w:val="lt-LT"/>
                          </w:rPr>
                        </w:pPr>
                        <w:r>
                          <w:rPr>
                            <w:b/>
                            <w:bCs/>
                          </w:rPr>
                          <w:t>valdymo</w:t>
                        </w:r>
                      </w:p>
                      <w:p w14:paraId="51806CB3" w14:textId="77777777" w:rsidR="007B24A1" w:rsidRDefault="007B24A1">
                        <w:pPr>
                          <w:pStyle w:val="Pagrindinistekstas"/>
                          <w:jc w:val="center"/>
                          <w:rPr>
                            <w:color w:val="008000"/>
                          </w:rPr>
                        </w:pPr>
                        <w:r>
                          <w:t>organo narys</w:t>
                        </w:r>
                      </w:p>
                    </w:txbxContent>
                  </v:textbox>
                </v:roundrect>
                <v:roundrect id="AutoShape 34" o:spid="_x0000_s1058" style="position:absolute;left:7825;top:6643;width:1576;height:1083;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1+IvAAAANwAAAAPAAAAZHJzL2Rvd25yZXYueG1sRE9LCsIw&#10;EN0L3iGM4E5Tv0g1igiKihs/BxiasQ02k9JErbc3C8Hl4/0Xq8aW4kW1N44VDPoJCOLMacO5gtt1&#10;25uB8AFZY+mYFHzIw2rZbi0w1e7NZ3pdQi5iCPsUFRQhVKmUPivIou+7ijhyd1dbDBHWudQ1vmO4&#10;LeUwSabSouHYUGBFm4Kyx+VpFWwm8ni40hjL9WgX0FB12puDUt1Os56DCNSEv/jn3msFo2lcG8/E&#10;IyCXXwAAAP//AwBQSwECLQAUAAYACAAAACEA2+H2y+4AAACFAQAAEwAAAAAAAAAAAAAAAAAAAAAA&#10;W0NvbnRlbnRfVHlwZXNdLnhtbFBLAQItABQABgAIAAAAIQBa9CxbvwAAABUBAAALAAAAAAAAAAAA&#10;AAAAAB8BAABfcmVscy8ucmVsc1BLAQItABQABgAIAAAAIQCMD1+IvAAAANwAAAAPAAAAAAAAAAAA&#10;AAAAAAcCAABkcnMvZG93bnJldi54bWxQSwUGAAAAAAMAAwC3AAAA8AIAAAAA&#10;" filled="f">
                  <v:textbox inset="1.5mm,3.3mm,1.5mm">
                    <w:txbxContent>
                      <w:p w14:paraId="40A73C2E" w14:textId="77777777" w:rsidR="007B24A1" w:rsidRDefault="007B24A1">
                        <w:pPr>
                          <w:jc w:val="center"/>
                          <w:rPr>
                            <w:lang w:val="lt-LT"/>
                          </w:rPr>
                        </w:pPr>
                        <w:r>
                          <w:rPr>
                            <w:b/>
                            <w:bCs/>
                          </w:rPr>
                          <w:t>Sutuoktiniai,</w:t>
                        </w:r>
                      </w:p>
                      <w:p w14:paraId="6ABC7C50" w14:textId="77777777" w:rsidR="007B24A1" w:rsidRDefault="007B24A1">
                        <w:pPr>
                          <w:jc w:val="center"/>
                          <w:rPr>
                            <w:lang w:val="lt-LT"/>
                          </w:rPr>
                        </w:pPr>
                        <w:r>
                          <w:rPr>
                            <w:b/>
                            <w:bCs/>
                          </w:rPr>
                          <w:t>sugyventiniai</w:t>
                        </w:r>
                      </w:p>
                    </w:txbxContent>
                  </v:textbox>
                </v:roundrect>
                <v:line id="Line 35" o:spid="_x0000_s1059" style="position:absolute;flip:x;visibility:visible;mso-wrap-style:square" from="4405,2143" to="5665,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9xgAAANwAAAAPAAAAZHJzL2Rvd25yZXYueG1sRI9BawIx&#10;FITvhf6H8ApepGa1RXQ1ihQKPXiplhVvz81zs+zmZU1S3f77piD0OMzMN8xy3dtWXMmH2rGC8SgD&#10;QVw6XXOl4Gv//jwDESKyxtYxKfihAOvV48MSc+1u/EnXXaxEgnDIUYGJsculDKUhi2HkOuLknZ23&#10;GJP0ldQebwluWznJsqm0WHNaMNjRm6Gy2X1bBXK2HV785vTaFM3hMDdFWXTHrVKDp36zABGpj//h&#10;e/tDK3iZzuHvTDoCcvULAAD//wMAUEsBAi0AFAAGAAgAAAAhANvh9svuAAAAhQEAABMAAAAAAAAA&#10;AAAAAAAAAAAAAFtDb250ZW50X1R5cGVzXS54bWxQSwECLQAUAAYACAAAACEAWvQsW78AAAAVAQAA&#10;CwAAAAAAAAAAAAAAAAAfAQAAX3JlbHMvLnJlbHNQSwECLQAUAAYACAAAACEArvyjfcYAAADcAAAA&#10;DwAAAAAAAAAAAAAAAAAHAgAAZHJzL2Rvd25yZXYueG1sUEsFBgAAAAADAAMAtwAAAPoCAAAAAA==&#10;"/>
                <v:shapetype id="_x0000_t202" coordsize="21600,21600" o:spt="202" path="m,l,21600r21600,l21600,xe">
                  <v:stroke joinstyle="miter"/>
                  <v:path gradientshapeok="t" o:connecttype="rect"/>
                </v:shapetype>
                <v:shape id="Text Box 36" o:spid="_x0000_s1060" type="#_x0000_t202" style="position:absolute;left:1521;top:11778;width:990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KNvwAAANwAAAAPAAAAZHJzL2Rvd25yZXYueG1sRE/LisIw&#10;FN0L8w/hDriRMfVZrUZRQXGr4wdcm2tbbG5KE239e7MQXB7Oe7luTSmeVLvCsoJBPwJBnFpdcKbg&#10;8r//m4FwHlljaZkUvMjBevXTWWKibcMnep59JkIIuwQV5N5XiZQuzcmg69uKOHA3Wxv0AdaZ1DU2&#10;IdyUchhFU2mw4NCQY0W7nNL7+WEU3I5NbzJvrgd/iU/j6RaL+GpfSnV/280ChKfWf8Uf91ErGMVh&#10;fjgTjoBcvQEAAP//AwBQSwECLQAUAAYACAAAACEA2+H2y+4AAACFAQAAEwAAAAAAAAAAAAAAAAAA&#10;AAAAW0NvbnRlbnRfVHlwZXNdLnhtbFBLAQItABQABgAIAAAAIQBa9CxbvwAAABUBAAALAAAAAAAA&#10;AAAAAAAAAB8BAABfcmVscy8ucmVsc1BLAQItABQABgAIAAAAIQC6XlKNvwAAANwAAAAPAAAAAAAA&#10;AAAAAAAAAAcCAABkcnMvZG93bnJldi54bWxQSwUGAAAAAAMAAwC3AAAA8wIAAAAA&#10;" stroked="f">
                  <v:textbox>
                    <w:txbxContent>
                      <w:p w14:paraId="1E17D75B" w14:textId="77777777" w:rsidR="007B24A1" w:rsidRDefault="007B24A1">
                        <w:pPr>
                          <w:pStyle w:val="Pagrindinistekstas"/>
                          <w:spacing w:after="120"/>
                          <w:rPr>
                            <w:bCs/>
                          </w:rPr>
                        </w:pPr>
                        <w:r>
                          <w:rPr>
                            <w:bCs/>
                          </w:rPr>
                          <w:t xml:space="preserve">* </w:t>
                        </w:r>
                        <w:r>
                          <w:rPr>
                            <w:bCs/>
                          </w:rPr>
                          <w:noBreakHyphen/>
                          <w:t xml:space="preserve"> jų sutuoktiniai ar sugyventiniai ir šių sutuoktinių ar sugyventinių giminaičiai (tėvai, vaikai, broliai, seserys).“</w:t>
                        </w:r>
                      </w:p>
                    </w:txbxContent>
                  </v:textbox>
                </v:shape>
                <v:line id="Line 37" o:spid="_x0000_s1061" style="position:absolute;flip:x y;visibility:visible;mso-wrap-style:square" from="2965,7723" to="4585,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OxQAAANwAAAAPAAAAZHJzL2Rvd25yZXYueG1sRI9Ba8JA&#10;FITvhf6H5RW86SYW1EZXKYLQgxet2OtL9plNzb5NsmuM/75bKPQ4zMw3zGoz2Fr01PnKsYJ0koAg&#10;LpyuuFRw+tyNFyB8QNZYOyYFD/KwWT8/rTDT7s4H6o+hFBHCPkMFJoQmk9IXhiz6iWuIo3dxncUQ&#10;ZVdK3eE9wm0tp0kykxYrjgsGG9oaKq7Hm1XQ57f0+7w/XH3+1b7lC9Nu9+1MqdHL8L4EEWgI/+G/&#10;9odW8DpP4fdMPAJy/QMAAP//AwBQSwECLQAUAAYACAAAACEA2+H2y+4AAACFAQAAEwAAAAAAAAAA&#10;AAAAAAAAAAAAW0NvbnRlbnRfVHlwZXNdLnhtbFBLAQItABQABgAIAAAAIQBa9CxbvwAAABUBAAAL&#10;AAAAAAAAAAAAAAAAAB8BAABfcmVscy8ucmVsc1BLAQItABQABgAIAAAAIQAcub/OxQAAANwAAAAP&#10;AAAAAAAAAAAAAAAAAAcCAABkcnMvZG93bnJldi54bWxQSwUGAAAAAAMAAwC3AAAA+QIAAAAA&#10;">
                  <v:stroke endarrow="block"/>
                </v:line>
                <v:line id="Line 38" o:spid="_x0000_s1062" style="position:absolute;visibility:visible;mso-wrap-style:square" from="5665,7183" to="5845,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line id="Line 39" o:spid="_x0000_s1063" style="position:absolute;flip:y;visibility:visible;mso-wrap-style:square" from="7417,7183" to="7825,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w10:wrap type="square"/>
              </v:group>
            </w:pict>
          </mc:Fallback>
        </mc:AlternateContent>
      </w:r>
    </w:p>
    <w:p w14:paraId="4F165E1C" w14:textId="77777777" w:rsidR="00093845" w:rsidRDefault="000D779E" w:rsidP="00EC4E29">
      <w:pPr>
        <w:pStyle w:val="Porat"/>
        <w:numPr>
          <w:ilvl w:val="0"/>
          <w:numId w:val="18"/>
        </w:numPr>
        <w:tabs>
          <w:tab w:val="left" w:pos="720"/>
        </w:tabs>
        <w:spacing w:line="240" w:lineRule="auto"/>
        <w:rPr>
          <w:rFonts w:ascii="Times New Roman" w:hAnsi="Times New Roman"/>
          <w:b/>
          <w:lang w:val="lt-LT"/>
        </w:rPr>
      </w:pPr>
      <w:r>
        <w:rPr>
          <w:rFonts w:ascii="Times New Roman" w:hAnsi="Times New Roman"/>
          <w:b/>
          <w:lang w:val="lt-LT"/>
        </w:rPr>
        <w:t>vienetų grupės narės;</w:t>
      </w:r>
    </w:p>
    <w:p w14:paraId="28253C0E" w14:textId="77777777" w:rsidR="00093845" w:rsidRDefault="000D779E">
      <w:pPr>
        <w:pStyle w:val="Porat"/>
        <w:tabs>
          <w:tab w:val="left" w:pos="720"/>
          <w:tab w:val="left" w:pos="1080"/>
        </w:tabs>
        <w:spacing w:line="240" w:lineRule="auto"/>
        <w:ind w:left="720" w:firstLine="0"/>
        <w:rPr>
          <w:rFonts w:ascii="Times New Roman" w:hAnsi="Times New Roman"/>
          <w:b/>
          <w:lang w:val="lt-LT"/>
        </w:rPr>
      </w:pPr>
      <w:r>
        <w:rPr>
          <w:rFonts w:ascii="Times New Roman" w:hAnsi="Times New Roman"/>
          <w:b/>
          <w:lang w:val="lt-LT"/>
        </w:rPr>
        <w:t>Komentaras</w:t>
      </w:r>
    </w:p>
    <w:p w14:paraId="377D9D6F" w14:textId="77777777" w:rsidR="00093845" w:rsidRDefault="00093845">
      <w:pPr>
        <w:pStyle w:val="Porat"/>
        <w:tabs>
          <w:tab w:val="left" w:pos="720"/>
          <w:tab w:val="left" w:pos="1080"/>
        </w:tabs>
        <w:spacing w:line="240" w:lineRule="auto"/>
        <w:ind w:left="720" w:firstLine="0"/>
        <w:rPr>
          <w:rFonts w:ascii="Times New Roman" w:hAnsi="Times New Roman"/>
          <w:b/>
          <w:lang w:val="lt-LT"/>
        </w:rPr>
      </w:pPr>
    </w:p>
    <w:p w14:paraId="690D7593" w14:textId="77777777" w:rsidR="00093845" w:rsidRDefault="000D779E">
      <w:pPr>
        <w:pStyle w:val="Porat"/>
        <w:tabs>
          <w:tab w:val="left" w:pos="720"/>
          <w:tab w:val="left" w:pos="1080"/>
        </w:tabs>
        <w:spacing w:line="240" w:lineRule="auto"/>
        <w:rPr>
          <w:rFonts w:ascii="Times New Roman" w:hAnsi="Times New Roman"/>
          <w:lang w:val="lt-LT"/>
        </w:rPr>
      </w:pPr>
      <w:r>
        <w:rPr>
          <w:rFonts w:ascii="Times New Roman" w:hAnsi="Times New Roman"/>
          <w:lang w:val="lt-LT"/>
        </w:rPr>
        <w:t xml:space="preserve">Vienetų grupės sąvoka yra apibrėžta PMĮ 2 str. 7 dalyje (žr. šio straipsnio 7 dalies komentarą). Susijusiais asmenimis laikomi patronuojantis vienetas ir jo dukteriniai vienetai bei dukteriniai vienetai tarpusavyje. </w:t>
      </w:r>
    </w:p>
    <w:p w14:paraId="446488D4" w14:textId="77777777" w:rsidR="000C7FFC" w:rsidRDefault="000C7FFC">
      <w:pPr>
        <w:pStyle w:val="Porat"/>
        <w:tabs>
          <w:tab w:val="left" w:pos="720"/>
          <w:tab w:val="left" w:pos="1080"/>
        </w:tabs>
        <w:spacing w:line="240" w:lineRule="auto"/>
        <w:rPr>
          <w:rFonts w:ascii="Times New Roman" w:hAnsi="Times New Roman"/>
          <w:lang w:val="lt-LT"/>
        </w:rPr>
      </w:pPr>
    </w:p>
    <w:p w14:paraId="5FE21397" w14:textId="77777777" w:rsidR="00093845" w:rsidRDefault="000D779E">
      <w:pPr>
        <w:pStyle w:val="Pagrindiniotekstotrauka2"/>
        <w:keepLines/>
        <w:spacing w:line="240" w:lineRule="auto"/>
        <w:ind w:firstLine="0"/>
      </w:pPr>
      <w:r>
        <w:t>Vienetų grupės schema</w:t>
      </w:r>
    </w:p>
    <w:p w14:paraId="7F167B3E" w14:textId="77777777" w:rsidR="00093845" w:rsidRDefault="000D779E">
      <w:pPr>
        <w:pStyle w:val="Pagrindiniotekstotrauka2"/>
        <w:keepLines/>
        <w:spacing w:line="240" w:lineRule="auto"/>
        <w:ind w:firstLine="0"/>
      </w:pPr>
      <w:r>
        <w:rPr>
          <w:noProof/>
          <w:lang w:eastAsia="lt-LT"/>
        </w:rPr>
        <w:lastRenderedPageBreak/>
        <mc:AlternateContent>
          <mc:Choice Requires="wps">
            <w:drawing>
              <wp:anchor distT="0" distB="0" distL="114300" distR="114300" simplePos="0" relativeHeight="251584512" behindDoc="0" locked="0" layoutInCell="0" allowOverlap="1" wp14:anchorId="45BC90C8" wp14:editId="6E0B1EBF">
                <wp:simplePos x="0" y="0"/>
                <wp:positionH relativeFrom="column">
                  <wp:posOffset>2057400</wp:posOffset>
                </wp:positionH>
                <wp:positionV relativeFrom="paragraph">
                  <wp:posOffset>147320</wp:posOffset>
                </wp:positionV>
                <wp:extent cx="1828800" cy="457200"/>
                <wp:effectExtent l="5080" t="13335" r="13970" b="5715"/>
                <wp:wrapNone/>
                <wp:docPr id="33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ln>
                      </wps:spPr>
                      <wps:txbx>
                        <w:txbxContent>
                          <w:p w14:paraId="04C04EB5" w14:textId="77777777" w:rsidR="007B24A1" w:rsidRDefault="007B24A1">
                            <w:pPr>
                              <w:jc w:val="center"/>
                              <w:rPr>
                                <w:lang w:val="lt-LT"/>
                              </w:rPr>
                            </w:pPr>
                            <w:r>
                              <w:rPr>
                                <w:b/>
                                <w:bCs/>
                              </w:rPr>
                              <w:t>Patronuojantis vienetas</w:t>
                            </w:r>
                          </w:p>
                        </w:txbxContent>
                      </wps:txbx>
                      <wps:bodyPr rot="0" vert="horz" wrap="square" lIns="91440" tIns="45720" rIns="91440" bIns="45720" anchor="t" anchorCtr="0" upright="1">
                        <a:noAutofit/>
                      </wps:bodyPr>
                    </wps:wsp>
                  </a:graphicData>
                </a:graphic>
              </wp:anchor>
            </w:drawing>
          </mc:Choice>
          <mc:Fallback>
            <w:pict>
              <v:rect w14:anchorId="45BC90C8" id="Rectangle 40" o:spid="_x0000_s1064" style="position:absolute;left:0;text-align:left;margin-left:162pt;margin-top:11.6pt;width:2in;height:36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AFKHgIAADoEAAAOAAAAZHJzL2Uyb0RvYy54bWysU9uO0zAQfUfiHyy/0yTdFtqo6WrVVRHS&#10;AisWPsBxnMTCN8Zuk+XrGbvZbhd4QvjB8njGxzPnzGyuR63IUYCX1lS0mOWUCMNtI01X0W9f929W&#10;lPjATMOUNaKij8LT6+3rV5vBlWJue6saAQRBjC8HV9E+BFdmmee90MzPrBMGna0FzQKa0GUNsAHR&#10;tcrmef42Gyw0DiwX3uPt7clJtwm/bQUPn9vWi0BURTG3kHZIex33bLthZQfM9ZJPabB/yEIzafDT&#10;M9QtC4wcQP4BpSUH620bZtzqzLat5CLVgNUU+W/VPPTMiVQLkuPdmSb//2D5p+M9ENlU9OpqSYlh&#10;GkX6grQx0ylBFomhwfkSAx/cPcQavbuz/Lsnxu56DBM3AHboBWswryIymr14EA2PT0k9fLQNwrND&#10;sImssQUdAZEGMiZNHs+aiDEQjpfFar5a5SgdR99i+Q5FT1+w8um1Ax/eC6tJPFQUMPmEzo53PsRs&#10;WPkUkrK3SjZ7qVQyoKt3CsiRYX/s05rQ/WWYMmSo6Ho5XybkFz5/CZGn9TcILQM2upK6olgOrilI&#10;mYmvSFFsW1+GsR6TJMU6BsWr2jaPyCDYUwPjwOGht/CTkgGbt6L+x4GBoER9MKjCuligciQkI5FG&#10;CVx66ksPMxyhKhooOR134TQhBwey6/GnIpVt7A0q18pE6nNWU/7YoInraZjiBFzaKep55Le/AAAA&#10;//8DAFBLAwQUAAYACAAAACEAvw/w1t4AAAAJAQAADwAAAGRycy9kb3ducmV2LnhtbEyPwU7DMBBE&#10;70j8g7VI3KhTByqaxqkQqEgc2/TCbRO7SSBeR7HTBr6e5QTH2RnNvsm3s+vF2Y6h86RhuUhAWKq9&#10;6ajRcCx3d48gQkQy2HuyGr5sgG1xfZVjZvyF9vZ8iI3gEgoZamhjHDIpQ91ah2HhB0vsnfzoMLIc&#10;G2lGvHC566VKkpV02BF/aHGwz62tPw+T01B16ojf+/I1cetdGt/m8mN6f9H69mZ+2oCIdo5/YfjF&#10;Z3QomKnyE5kgeg2puuctUYNKFQgOrJaKD5WG9YMCWeTy/4LiBwAA//8DAFBLAQItABQABgAIAAAA&#10;IQC2gziS/gAAAOEBAAATAAAAAAAAAAAAAAAAAAAAAABbQ29udGVudF9UeXBlc10ueG1sUEsBAi0A&#10;FAAGAAgAAAAhADj9If/WAAAAlAEAAAsAAAAAAAAAAAAAAAAALwEAAF9yZWxzLy5yZWxzUEsBAi0A&#10;FAAGAAgAAAAhAJRcAUoeAgAAOgQAAA4AAAAAAAAAAAAAAAAALgIAAGRycy9lMm9Eb2MueG1sUEsB&#10;Ai0AFAAGAAgAAAAhAL8P8NbeAAAACQEAAA8AAAAAAAAAAAAAAAAAeAQAAGRycy9kb3ducmV2Lnht&#10;bFBLBQYAAAAABAAEAPMAAACDBQAAAAA=&#10;" o:allowincell="f">
                <v:textbox>
                  <w:txbxContent>
                    <w:p w14:paraId="04C04EB5" w14:textId="77777777" w:rsidR="007B24A1" w:rsidRDefault="007B24A1">
                      <w:pPr>
                        <w:jc w:val="center"/>
                        <w:rPr>
                          <w:lang w:val="lt-LT"/>
                        </w:rPr>
                      </w:pPr>
                      <w:r>
                        <w:rPr>
                          <w:b/>
                          <w:bCs/>
                        </w:rPr>
                        <w:t>Patronuojantis vienetas</w:t>
                      </w:r>
                    </w:p>
                  </w:txbxContent>
                </v:textbox>
              </v:rect>
            </w:pict>
          </mc:Fallback>
        </mc:AlternateContent>
      </w:r>
    </w:p>
    <w:p w14:paraId="1C82EF3D" w14:textId="77777777" w:rsidR="00093845" w:rsidRDefault="00093845">
      <w:pPr>
        <w:pStyle w:val="Pagrindiniotekstotrauka2"/>
        <w:keepLines/>
        <w:spacing w:line="240" w:lineRule="auto"/>
      </w:pPr>
    </w:p>
    <w:p w14:paraId="6620B86C" w14:textId="77777777" w:rsidR="00093845" w:rsidRDefault="00093845">
      <w:pPr>
        <w:pStyle w:val="Pagrindiniotekstotrauka2"/>
        <w:keepLines/>
        <w:spacing w:line="240" w:lineRule="auto"/>
      </w:pPr>
    </w:p>
    <w:p w14:paraId="104FE918" w14:textId="77777777" w:rsidR="00093845" w:rsidRDefault="000D779E">
      <w:pPr>
        <w:pStyle w:val="Pagrindiniotekstotrauka2"/>
        <w:keepLines/>
        <w:spacing w:line="240" w:lineRule="auto"/>
      </w:pPr>
      <w:r>
        <w:rPr>
          <w:noProof/>
          <w:lang w:eastAsia="lt-LT"/>
        </w:rPr>
        <mc:AlternateContent>
          <mc:Choice Requires="wps">
            <w:drawing>
              <wp:anchor distT="0" distB="0" distL="114300" distR="114300" simplePos="0" relativeHeight="251590656" behindDoc="0" locked="0" layoutInCell="0" allowOverlap="1" wp14:anchorId="3BA77A47" wp14:editId="230AB70F">
                <wp:simplePos x="0" y="0"/>
                <wp:positionH relativeFrom="column">
                  <wp:posOffset>3657600</wp:posOffset>
                </wp:positionH>
                <wp:positionV relativeFrom="paragraph">
                  <wp:posOffset>78740</wp:posOffset>
                </wp:positionV>
                <wp:extent cx="914400" cy="228600"/>
                <wp:effectExtent l="5080" t="13335" r="13970" b="5715"/>
                <wp:wrapNone/>
                <wp:docPr id="33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28600"/>
                        </a:xfrm>
                        <a:prstGeom prst="line">
                          <a:avLst/>
                        </a:prstGeom>
                        <a:noFill/>
                        <a:ln w="9525">
                          <a:solidFill>
                            <a:srgbClr val="000000"/>
                          </a:solidFill>
                          <a:round/>
                        </a:ln>
                      </wps:spPr>
                      <wps:bodyPr/>
                    </wps:wsp>
                  </a:graphicData>
                </a:graphic>
              </wp:anchor>
            </w:drawing>
          </mc:Choice>
          <mc:Fallback>
            <w:pict>
              <v:line w14:anchorId="2EEA82AB" id="Line 41"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4in,6.2pt" to="5in,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MiugEAAFgDAAAOAAAAZHJzL2Uyb0RvYy54bWysU8lu2zAQvRfoPxC815IVJ0gFyzk4SC9u&#10;ayDpB9BcJKIkhyBpS/77DuklTXMLqgNBzrx582bR8mGyhhxkiBpcR+ezmhLpOAjt+o7+enn6ck9J&#10;TMwJZsDJjh5lpA+rz5+Wo29lAwMYIQNBEhfb0Xd0SMm3VRX5IC2LM/DSoVNBsCzhM/SVCGxEdmuq&#10;pq7vqhGC8AG4jBGtjycnXRV+pSRPP5WKMhHTUdSWyhnKuctntVqytg/MD5qfZbAPqLBMO0x6pXpk&#10;iZF90O+orOYBIqg042ArUEpzWWrAaub1P9U8D8zLUgs2J/prm+L/o+U/DttAtOjozc2CEscsDmmj&#10;nSSLeW7O6GOLmLXbhlwen9yz3wD/HYmD9cBcL4vIl6PHuBJRvQnJj+gxxW78DgIxbJ+gdGpSwWZK&#10;7AGZykCO14HIKRGOxq/zxaLGsXF0Nc39Hd5RU8XaS7APMX2TYEm+dNSg8ELODpuYTtALJOdy8KSN&#10;KTM3joyY4La5LQERjBbZmWEx9Lu1CeTA8taU75z3DSzA3olTEuNQ1qXWU9d2II7bkN3ZjuMrws+r&#10;lvfj73dBvf4Qqz8AAAD//wMAUEsDBBQABgAIAAAAIQDhadiU3gAAAAkBAAAPAAAAZHJzL2Rvd25y&#10;ZXYueG1sTI/BTsMwEETvSPyDtUhcKuoQQluFOBUCcuPSAuK6jZckIl6nsdsGvp7lBMfRjGbeFOvJ&#10;9epIY+g8G7ieJ6CIa287bgy8vlRXK1AhIlvsPZOBLwqwLs/PCsytP/GGjtvYKCnhkKOBNsYh1zrU&#10;LTkMcz8Qi/fhR4dR5NhoO+JJyl2v0yRZaIcdy0KLAz20VH9uD85AqN5oX33P6lnyftN4SvePz09o&#10;zOXFdH8HKtIU/8Lwiy/oUArTzh/YBtUbuF0u5EsUI81ASWApe6B2BrJVBros9P8H5Q8AAAD//wMA&#10;UEsBAi0AFAAGAAgAAAAhALaDOJL+AAAA4QEAABMAAAAAAAAAAAAAAAAAAAAAAFtDb250ZW50X1R5&#10;cGVzXS54bWxQSwECLQAUAAYACAAAACEAOP0h/9YAAACUAQAACwAAAAAAAAAAAAAAAAAvAQAAX3Jl&#10;bHMvLnJlbHNQSwECLQAUAAYACAAAACEAkjrDIroBAABYAwAADgAAAAAAAAAAAAAAAAAuAgAAZHJz&#10;L2Uyb0RvYy54bWxQSwECLQAUAAYACAAAACEA4WnYlN4AAAAJAQAADwAAAAAAAAAAAAAAAAAUBAAA&#10;ZHJzL2Rvd25yZXYueG1sUEsFBgAAAAAEAAQA8wAAAB8FAAAAAA==&#10;" o:allowincell="f"/>
            </w:pict>
          </mc:Fallback>
        </mc:AlternateContent>
      </w:r>
      <w:r>
        <w:rPr>
          <w:noProof/>
          <w:lang w:eastAsia="lt-LT"/>
        </w:rPr>
        <mc:AlternateContent>
          <mc:Choice Requires="wps">
            <w:drawing>
              <wp:anchor distT="0" distB="0" distL="114300" distR="114300" simplePos="0" relativeHeight="251589632" behindDoc="0" locked="0" layoutInCell="0" allowOverlap="1" wp14:anchorId="6D1D75F1" wp14:editId="1E4280EF">
                <wp:simplePos x="0" y="0"/>
                <wp:positionH relativeFrom="column">
                  <wp:posOffset>2857500</wp:posOffset>
                </wp:positionH>
                <wp:positionV relativeFrom="paragraph">
                  <wp:posOffset>78740</wp:posOffset>
                </wp:positionV>
                <wp:extent cx="0" cy="228600"/>
                <wp:effectExtent l="5080" t="13335" r="13970" b="5715"/>
                <wp:wrapNone/>
                <wp:docPr id="33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20546179" id="Line 42"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225pt,6.2pt" to="2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A9twEAAFMDAAAOAAAAZHJzL2Uyb0RvYy54bWysU02P2yAQvVfqf0DcGydOd7W14uwhq+0l&#10;bSPt9gcQwDYqMGggsfPvO5CPbttbVR+QYWbevPcGVo+Ts+yoMRrwLV/M5pxpL0EZ37f8++vzhwfO&#10;YhJeCQtet/ykI39cv3+3GkOjaxjAKo2MQHxsxtDyIaXQVFWUg3YiziBoT8EO0IlEW+wrhWIkdGer&#10;ej6/r0ZAFRCkjpFOn85Bvi74Xadl+tZ1USdmW07cUlmxrPu8VuuVaHoUYTDyQkP8AwsnjKemN6gn&#10;kQQ7oPkLyhmJEKFLMwmugq4zUhcNpGYx/0PNyyCCLlrInBhuNsX/Byu/HnfIjGr5crnkzAtHQ9oa&#10;r9nHOpszhthQzsbvMMuTk38JW5A/IvOwGYTvdSH5egpUt8gV1W8leRMDtdiPX0BRjjgkKE5NHboM&#10;SR6wqQzkdBuInhKT50NJp3X9cD8vs6pEc60LGNNnDY7ln5Zb4lxwxXEbU+YhmmtKbuPh2Vhbxm09&#10;G1v+6a6+KwURrFE5mNMi9vuNRXYU+cKUr4iiyNs0hINX5ybWXzRnmWfD9qBOO7x6QZMrbC63LF+N&#10;t/tS/estrH8CAAD//wMAUEsDBBQABgAIAAAAIQAthGPL3AAAAAkBAAAPAAAAZHJzL2Rvd25yZXYu&#10;eG1sTI9BT8MwDIXvSPyHyEhcpi2hlGkqTScE9MaFAeLqtaataJyuybbCr8doB7jZfk/P38vXk+vV&#10;gcbQebZwtTCgiCtfd9xYeH0p5ytQISLX2HsmC18UYF2cn+WY1f7Iz3TYxEZJCIcMLbQxDpnWoWrJ&#10;YVj4gVi0Dz86jLKOja5HPEq463VizFI77Fg+tDjQfUvV52bvLITyjXbl96yamffrxlOye3h6RGsv&#10;L6a7W1CRpvhnhl98QYdCmLZ+z3VQvYX0xkiXKEKSghLD6bCVYZWCLnL9v0HxAwAA//8DAFBLAQIt&#10;ABQABgAIAAAAIQC2gziS/gAAAOEBAAATAAAAAAAAAAAAAAAAAAAAAABbQ29udGVudF9UeXBlc10u&#10;eG1sUEsBAi0AFAAGAAgAAAAhADj9If/WAAAAlAEAAAsAAAAAAAAAAAAAAAAALwEAAF9yZWxzLy5y&#10;ZWxzUEsBAi0AFAAGAAgAAAAhAErOcD23AQAAUwMAAA4AAAAAAAAAAAAAAAAALgIAAGRycy9lMm9E&#10;b2MueG1sUEsBAi0AFAAGAAgAAAAhAC2EY8vcAAAACQEAAA8AAAAAAAAAAAAAAAAAEQQAAGRycy9k&#10;b3ducmV2LnhtbFBLBQYAAAAABAAEAPMAAAAaBQAAAAA=&#10;" o:allowincell="f"/>
            </w:pict>
          </mc:Fallback>
        </mc:AlternateContent>
      </w:r>
      <w:r>
        <w:rPr>
          <w:noProof/>
          <w:lang w:eastAsia="lt-LT"/>
        </w:rPr>
        <mc:AlternateContent>
          <mc:Choice Requires="wps">
            <w:drawing>
              <wp:anchor distT="0" distB="0" distL="114300" distR="114300" simplePos="0" relativeHeight="251588608" behindDoc="0" locked="0" layoutInCell="0" allowOverlap="1" wp14:anchorId="78591754" wp14:editId="0CE0EECD">
                <wp:simplePos x="0" y="0"/>
                <wp:positionH relativeFrom="column">
                  <wp:posOffset>1143000</wp:posOffset>
                </wp:positionH>
                <wp:positionV relativeFrom="paragraph">
                  <wp:posOffset>78740</wp:posOffset>
                </wp:positionV>
                <wp:extent cx="1028700" cy="228600"/>
                <wp:effectExtent l="5080" t="13335" r="13970" b="5715"/>
                <wp:wrapNone/>
                <wp:docPr id="33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228600"/>
                        </a:xfrm>
                        <a:prstGeom prst="line">
                          <a:avLst/>
                        </a:prstGeom>
                        <a:noFill/>
                        <a:ln w="9525">
                          <a:solidFill>
                            <a:srgbClr val="000000"/>
                          </a:solidFill>
                          <a:round/>
                        </a:ln>
                      </wps:spPr>
                      <wps:bodyPr/>
                    </wps:wsp>
                  </a:graphicData>
                </a:graphic>
              </wp:anchor>
            </w:drawing>
          </mc:Choice>
          <mc:Fallback>
            <w:pict>
              <v:line w14:anchorId="7D7B1EF4" id="Line 43" o:spid="_x0000_s1026" style="position:absolute;flip:x;z-index:251588608;visibility:visible;mso-wrap-style:square;mso-wrap-distance-left:9pt;mso-wrap-distance-top:0;mso-wrap-distance-right:9pt;mso-wrap-distance-bottom:0;mso-position-horizontal:absolute;mso-position-horizontal-relative:text;mso-position-vertical:absolute;mso-position-vertical-relative:text" from="90pt,6.2pt" to="171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gVxQEAAGMDAAAOAAAAZHJzL2Uyb0RvYy54bWysU8tu2zAQvBfoPxC815LlJnUEyzk4SHtw&#10;WwNJP4DmQyJKcgmStuS/75J23Ka9BdWBILmzszuz1Op+soYcZYgaXEfns5oS6TgI7fqO/nh+/LCk&#10;JCbmBDPgZEdPMtL79ft3q9G3soEBjJCBIImL7eg7OqTk26qKfJCWxRl46TCoIFiW8Bj6SgQ2Irs1&#10;VVPXt9UIQfgAXMaItw/nIF0XfqUkT9+VijIR01HsLZU1lHWf12q9Ym0fmB80v7TB3tCFZdph0SvV&#10;A0uMHIL+h8pqHiCCSjMOtgKlNJdFA6qZ13+peRqYl0ULmhP91ab4/2j5t+MuEC06ulg0lDhmcUhb&#10;7ST5uMjmjD62iNm4Xcjy+OSe/Bb4z0gcbAbmelmafD55zJvnjOpVSj5EjyX241cQiGGHBMWpSQVL&#10;lNH+S07M5OgGmcpoTtfRyCkRjpfzull+qnGCHGNNs7zFfS7G2syTs32I6bMES/KmowY1FFZ23MZ0&#10;hr5AMtzBozYG71lrHBk7enfT3JSECEaLHMyxGPr9xgRyZPkBle9S9xUswMGJcxHjLh5k2WcD9yBO&#10;u5DD2Q6cZGn88uryU/nzXFC//431LwAAAP//AwBQSwMEFAAGAAgAAAAhAIW5N8bcAAAACQEAAA8A&#10;AABkcnMvZG93bnJldi54bWxMj0FLxDAQhe+C/yGM4M1N7BaptemyiHoRBNfqOW3GtphMSpPt1n/v&#10;eNLbvJnHm+9Vu9U7seAcx0AarjcKBFIX7Ei9hubt8aoAEZMha1wg1PCNEXb1+VllShtO9IrLIfWC&#10;QyiWRsOQ0lRKGbsBvYmbMCHx7TPM3iSWcy/tbE4c7p3MlLqR3ozEHwYz4f2A3dfh6DXsP54fti9L&#10;64Ozt33zbn2jnjKtLy/W/R2IhGv6M8MvPqNDzUxtOJKNwrEuFHdJPGQ5CDZs84wXrYa8yEHWlfzf&#10;oP4BAAD//wMAUEsBAi0AFAAGAAgAAAAhALaDOJL+AAAA4QEAABMAAAAAAAAAAAAAAAAAAAAAAFtD&#10;b250ZW50X1R5cGVzXS54bWxQSwECLQAUAAYACAAAACEAOP0h/9YAAACUAQAACwAAAAAAAAAAAAAA&#10;AAAvAQAAX3JlbHMvLnJlbHNQSwECLQAUAAYACAAAACEAJ1xIFcUBAABjAwAADgAAAAAAAAAAAAAA&#10;AAAuAgAAZHJzL2Uyb0RvYy54bWxQSwECLQAUAAYACAAAACEAhbk3xtwAAAAJAQAADwAAAAAAAAAA&#10;AAAAAAAfBAAAZHJzL2Rvd25yZXYueG1sUEsFBgAAAAAEAAQA8wAAACgFAAAAAA==&#10;" o:allowincell="f"/>
            </w:pict>
          </mc:Fallback>
        </mc:AlternateContent>
      </w:r>
    </w:p>
    <w:p w14:paraId="64ADF9BC" w14:textId="77777777" w:rsidR="00093845" w:rsidRDefault="00BA4DB1">
      <w:pPr>
        <w:pStyle w:val="Pagrindiniotekstotrauka2"/>
        <w:keepLines/>
        <w:spacing w:line="240" w:lineRule="auto"/>
      </w:pPr>
      <w:r>
        <w:rPr>
          <w:noProof/>
          <w:lang w:eastAsia="lt-LT"/>
        </w:rPr>
        <mc:AlternateContent>
          <mc:Choice Requires="wps">
            <w:drawing>
              <wp:anchor distT="0" distB="0" distL="114300" distR="114300" simplePos="0" relativeHeight="251587584" behindDoc="0" locked="0" layoutInCell="0" allowOverlap="1" wp14:anchorId="2C35D690" wp14:editId="28750C9C">
                <wp:simplePos x="0" y="0"/>
                <wp:positionH relativeFrom="column">
                  <wp:posOffset>4004945</wp:posOffset>
                </wp:positionH>
                <wp:positionV relativeFrom="paragraph">
                  <wp:posOffset>135255</wp:posOffset>
                </wp:positionV>
                <wp:extent cx="1257300" cy="1009650"/>
                <wp:effectExtent l="0" t="0" r="19050" b="19050"/>
                <wp:wrapNone/>
                <wp:docPr id="330"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09650"/>
                        </a:xfrm>
                        <a:prstGeom prst="ellipse">
                          <a:avLst/>
                        </a:prstGeom>
                        <a:solidFill>
                          <a:srgbClr val="FFFFFF"/>
                        </a:solidFill>
                        <a:ln w="9525">
                          <a:solidFill>
                            <a:srgbClr val="000000"/>
                          </a:solidFill>
                          <a:round/>
                        </a:ln>
                      </wps:spPr>
                      <wps:txbx>
                        <w:txbxContent>
                          <w:p w14:paraId="46A982AB" w14:textId="77777777" w:rsidR="007B24A1" w:rsidRDefault="007B24A1">
                            <w:pPr>
                              <w:rPr>
                                <w:lang w:val="lt-LT"/>
                              </w:rPr>
                            </w:pPr>
                            <w:r>
                              <w:rPr>
                                <w:b/>
                                <w:bCs/>
                              </w:rPr>
                              <w:t xml:space="preserve">Dukterinis </w:t>
                            </w:r>
                          </w:p>
                          <w:p w14:paraId="7006B694" w14:textId="77777777" w:rsidR="007B24A1" w:rsidRDefault="007B24A1">
                            <w:pPr>
                              <w:rPr>
                                <w:lang w:val="lt-LT"/>
                              </w:rPr>
                            </w:pPr>
                            <w:r>
                              <w:rPr>
                                <w:b/>
                                <w:bCs/>
                              </w:rPr>
                              <w:t>vienetas C</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C35D690" id="Oval 45" o:spid="_x0000_s1065" style="position:absolute;left:0;text-align:left;margin-left:315.35pt;margin-top:10.65pt;width:99pt;height:79.5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glGgIAACwEAAAOAAAAZHJzL2Uyb0RvYy54bWysU8tu2zAQvBfoPxC815L8SGLBchA4cFEg&#10;bQKk/QCKoiyiFJdd0pbdr++Sdhyn7amoDgRXuxzOzC4Xt/vesJ1Cr8FWvBjlnCkrodF2U/FvX9cf&#10;bjjzQdhGGLCq4gfl+e3y/bvF4Eo1hg5Mo5ARiPXl4CreheDKLPOyU73wI3DKUrIF7EWgEDdZg2Ig&#10;9N5k4zy/ygbAxiFI5T39vT8m+TLht62S4bFtvQrMVJy4hbRiWuu4ZsuFKDcoXKfliYb4Bxa90JYu&#10;PUPdiyDYFvUfUL2WCB7aMJLQZ9C2WqqkgdQU+W9qnjvhVNJC5nh3tsn/P1j5ZfeETDcVn0zIHyt6&#10;atLjThg2nUVzBudLqnl2TxjlefcA8rtnFladsBt1hwhDp0RDlIpYn705EANPR1k9fIaGkMU2QPJp&#10;32IfAckBtk/tOJzbofaBSfpZjGfXk5xYScoVeT6/mqWGZaJ8Oe7Qh48KehY3FVfGaOejZaIUuwcf&#10;IiNRvlQlBWB0s9bGpAA39cogI70VX6cviSChl2XGsqHi89l4lpDf5PwlRJ6+v0EgbG1zZGPsyabo&#10;zNHhsK/3qQnjJDDaVkNzIOMQjiNLT4w2HeBPzgYa14r7H1uBijPzyZL582I6jfOdgunsmoAYXmbq&#10;y4ywkqAqHjg7blfh+Ca2DvWmo5uKpNTCHTWs1cnHV1Yn/jSSyd7T84kzfxmnqtdHvvwFAAD//wMA&#10;UEsDBBQABgAIAAAAIQAyT4N23gAAAAoBAAAPAAAAZHJzL2Rvd25yZXYueG1sTI/BTsMwDIbvSHuH&#10;yJO4saSNVqrSdJqYkODAgQ7uWeO11ZqkarKuvD3mBEfbn35/f7lb7MBmnELvnYJkI4Cha7zpXavg&#10;8/jykAMLUTujB+9QwTcG2FWru1IXxt/cB851bBmFuFBoBV2MY8F5aDq0Omz8iI5uZz9ZHWmcWm4m&#10;faNwO/BUiIxb3Tv60OkRnztsLvXVKji0+zqbuYxbeT68xu3l6/1NJkrdr5f9E7CIS/yD4Vef1KEi&#10;p5O/OhPYoCCT4pFQBWkigRGQpzktTkTmQgKvSv6/QvUDAAD//wMAUEsBAi0AFAAGAAgAAAAhALaD&#10;OJL+AAAA4QEAABMAAAAAAAAAAAAAAAAAAAAAAFtDb250ZW50X1R5cGVzXS54bWxQSwECLQAUAAYA&#10;CAAAACEAOP0h/9YAAACUAQAACwAAAAAAAAAAAAAAAAAvAQAAX3JlbHMvLnJlbHNQSwECLQAUAAYA&#10;CAAAACEAsuYYJRoCAAAsBAAADgAAAAAAAAAAAAAAAAAuAgAAZHJzL2Uyb0RvYy54bWxQSwECLQAU&#10;AAYACAAAACEAMk+Ddt4AAAAKAQAADwAAAAAAAAAAAAAAAAB0BAAAZHJzL2Rvd25yZXYueG1sUEsF&#10;BgAAAAAEAAQA8wAAAH8FAAAAAA==&#10;" o:allowincell="f">
                <v:textbox>
                  <w:txbxContent>
                    <w:p w14:paraId="46A982AB" w14:textId="77777777" w:rsidR="007B24A1" w:rsidRDefault="007B24A1">
                      <w:pPr>
                        <w:rPr>
                          <w:lang w:val="lt-LT"/>
                        </w:rPr>
                      </w:pPr>
                      <w:r>
                        <w:rPr>
                          <w:b/>
                          <w:bCs/>
                        </w:rPr>
                        <w:t xml:space="preserve">Dukterinis </w:t>
                      </w:r>
                    </w:p>
                    <w:p w14:paraId="7006B694" w14:textId="77777777" w:rsidR="007B24A1" w:rsidRDefault="007B24A1">
                      <w:pPr>
                        <w:rPr>
                          <w:lang w:val="lt-LT"/>
                        </w:rPr>
                      </w:pPr>
                      <w:r>
                        <w:rPr>
                          <w:b/>
                          <w:bCs/>
                        </w:rPr>
                        <w:t>vienetas C</w:t>
                      </w:r>
                    </w:p>
                  </w:txbxContent>
                </v:textbox>
              </v:oval>
            </w:pict>
          </mc:Fallback>
        </mc:AlternateContent>
      </w:r>
      <w:r>
        <w:rPr>
          <w:noProof/>
          <w:lang w:eastAsia="lt-LT"/>
        </w:rPr>
        <mc:AlternateContent>
          <mc:Choice Requires="wps">
            <w:drawing>
              <wp:anchor distT="0" distB="0" distL="114300" distR="114300" simplePos="0" relativeHeight="251586560" behindDoc="0" locked="0" layoutInCell="0" allowOverlap="1" wp14:anchorId="2D717C4A" wp14:editId="75B9DE86">
                <wp:simplePos x="0" y="0"/>
                <wp:positionH relativeFrom="column">
                  <wp:posOffset>2176145</wp:posOffset>
                </wp:positionH>
                <wp:positionV relativeFrom="paragraph">
                  <wp:posOffset>135255</wp:posOffset>
                </wp:positionV>
                <wp:extent cx="1257300" cy="1028700"/>
                <wp:effectExtent l="0" t="0" r="19050" b="19050"/>
                <wp:wrapNone/>
                <wp:docPr id="329"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28700"/>
                        </a:xfrm>
                        <a:prstGeom prst="ellipse">
                          <a:avLst/>
                        </a:prstGeom>
                        <a:solidFill>
                          <a:srgbClr val="FFFFFF"/>
                        </a:solidFill>
                        <a:ln w="9525">
                          <a:solidFill>
                            <a:srgbClr val="000000"/>
                          </a:solidFill>
                          <a:round/>
                        </a:ln>
                      </wps:spPr>
                      <wps:txbx>
                        <w:txbxContent>
                          <w:p w14:paraId="641EF145" w14:textId="77777777" w:rsidR="007B24A1" w:rsidRDefault="007B24A1">
                            <w:pPr>
                              <w:rPr>
                                <w:lang w:val="lt-LT"/>
                              </w:rPr>
                            </w:pPr>
                            <w:r>
                              <w:rPr>
                                <w:b/>
                                <w:bCs/>
                              </w:rPr>
                              <w:t xml:space="preserve">Dukterinis </w:t>
                            </w:r>
                          </w:p>
                          <w:p w14:paraId="121AC660" w14:textId="77777777" w:rsidR="007B24A1" w:rsidRDefault="007B24A1">
                            <w:pPr>
                              <w:rPr>
                                <w:lang w:val="lt-LT"/>
                              </w:rPr>
                            </w:pPr>
                            <w:r>
                              <w:rPr>
                                <w:b/>
                                <w:bCs/>
                              </w:rPr>
                              <w:t>vienetas B</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D717C4A" id="Oval 46" o:spid="_x0000_s1066" style="position:absolute;left:0;text-align:left;margin-left:171.35pt;margin-top:10.65pt;width:99pt;height:81pt;z-index:25158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0c9GAIAACwEAAAOAAAAZHJzL2Uyb0RvYy54bWysU9tu2zAMfR+wfxD0vvrSpGmMOEWRosOA&#10;bi3Q7QMUWY6FyaJGKXGyrx8lp2m67WmYHgRRpI54DsnFzb43bKfQa7A1Ly5yzpSV0Gi7qfm3r/cf&#10;rjnzQdhGGLCq5gfl+c3y/bvF4CpVQgemUcgIxPpqcDXvQnBVlnnZqV74C3DKkrMF7EUgEzdZg2Ig&#10;9N5kZZ5fZQNg4xCk8p5u70YnXyb8tlUyPLatV4GZmlNuIe2Y9nXcs+VCVBsUrtPymIb4hyx6oS19&#10;eoK6E0GwLeo/oHotETy04UJCn0HbaqkSB2JT5L+xee6EU4kLiePdSSb//2Dll90TMt3U/LKcc2ZF&#10;T0V63AnDJldRnMH5imKe3RNGet49gPzumYVVJ+xG3SLC0CnRUEpFjM/ePIiGp6dsPXyGhpDFNkDS&#10;ad9iHwFJAbZP5TicyqH2gUm6LMrp7DKnqknyFXl5PSMj/iGql+cOffiooGfxUHNljHY+SiYqsXvw&#10;YYx+iUoMwOjmXhuTDNysVwYZ8a35fVrHD/x5mLFsqPl8Wk4T8hufP4fI0/obBMLWNmM2xh5lisqM&#10;Cof9ep+KUCYRo2xraA4kHMLYsjRidOgAf3I2ULvW3P/YClScmU+WxJ8Xk0ns72RMprOSDDz3rM89&#10;wkqCqnngbDyuwjgTW4d609FPRWJq4ZYK1uqk42tWx/ypJVMxjuMTe/7cTlGvQ778BQAA//8DAFBL&#10;AwQUAAYACAAAACEAh94ITd8AAAAKAQAADwAAAGRycy9kb3ducmV2LnhtbEyPwU6DQBCG7ya+w2ZM&#10;vNkFttSGsjSNjYkePIj2voUpkLKzhN1SfHvHkz3OzJd/vj/fzrYXE46+c6QhXkQgkCpXd9Ro+P56&#10;fVqD8MFQbXpHqOEHPWyL+7vcZLW70idOZWgEh5DPjIY2hCGT0lctWuMXbkDi28mN1gQex0bWo7ly&#10;uO1lEkUraU1H/KE1A760WJ3Li9Wwb3blapIqpOq0fwvp+fDxrmKtHx/m3QZEwDn8w/Cnz+pQsNPR&#10;Xaj2oteglskzoxqSWIFgIF1GvDgyuVYKZJHL2wrFLwAAAP//AwBQSwECLQAUAAYACAAAACEAtoM4&#10;kv4AAADhAQAAEwAAAAAAAAAAAAAAAAAAAAAAW0NvbnRlbnRfVHlwZXNdLnhtbFBLAQItABQABgAI&#10;AAAAIQA4/SH/1gAAAJQBAAALAAAAAAAAAAAAAAAAAC8BAABfcmVscy8ucmVsc1BLAQItABQABgAI&#10;AAAAIQDK30c9GAIAACwEAAAOAAAAAAAAAAAAAAAAAC4CAABkcnMvZTJvRG9jLnhtbFBLAQItABQA&#10;BgAIAAAAIQCH3ghN3wAAAAoBAAAPAAAAAAAAAAAAAAAAAHIEAABkcnMvZG93bnJldi54bWxQSwUG&#10;AAAAAAQABADzAAAAfgUAAAAA&#10;" o:allowincell="f">
                <v:textbox>
                  <w:txbxContent>
                    <w:p w14:paraId="641EF145" w14:textId="77777777" w:rsidR="007B24A1" w:rsidRDefault="007B24A1">
                      <w:pPr>
                        <w:rPr>
                          <w:lang w:val="lt-LT"/>
                        </w:rPr>
                      </w:pPr>
                      <w:r>
                        <w:rPr>
                          <w:b/>
                          <w:bCs/>
                        </w:rPr>
                        <w:t xml:space="preserve">Dukterinis </w:t>
                      </w:r>
                    </w:p>
                    <w:p w14:paraId="121AC660" w14:textId="77777777" w:rsidR="007B24A1" w:rsidRDefault="007B24A1">
                      <w:pPr>
                        <w:rPr>
                          <w:lang w:val="lt-LT"/>
                        </w:rPr>
                      </w:pPr>
                      <w:r>
                        <w:rPr>
                          <w:b/>
                          <w:bCs/>
                        </w:rPr>
                        <w:t>vienetas B</w:t>
                      </w:r>
                    </w:p>
                  </w:txbxContent>
                </v:textbox>
              </v:oval>
            </w:pict>
          </mc:Fallback>
        </mc:AlternateContent>
      </w:r>
      <w:r w:rsidR="000D779E">
        <w:rPr>
          <w:noProof/>
          <w:lang w:eastAsia="lt-LT"/>
        </w:rPr>
        <mc:AlternateContent>
          <mc:Choice Requires="wps">
            <w:drawing>
              <wp:anchor distT="0" distB="0" distL="114300" distR="114300" simplePos="0" relativeHeight="251585536" behindDoc="0" locked="0" layoutInCell="0" allowOverlap="1" wp14:anchorId="769AAAFF" wp14:editId="269EDD44">
                <wp:simplePos x="0" y="0"/>
                <wp:positionH relativeFrom="column">
                  <wp:posOffset>461645</wp:posOffset>
                </wp:positionH>
                <wp:positionV relativeFrom="paragraph">
                  <wp:posOffset>135255</wp:posOffset>
                </wp:positionV>
                <wp:extent cx="1257300" cy="933450"/>
                <wp:effectExtent l="0" t="0" r="19050" b="19050"/>
                <wp:wrapNone/>
                <wp:docPr id="331"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33450"/>
                        </a:xfrm>
                        <a:prstGeom prst="ellipse">
                          <a:avLst/>
                        </a:prstGeom>
                        <a:solidFill>
                          <a:srgbClr val="FFFFFF"/>
                        </a:solidFill>
                        <a:ln w="9525">
                          <a:solidFill>
                            <a:srgbClr val="000000"/>
                          </a:solidFill>
                          <a:round/>
                        </a:ln>
                      </wps:spPr>
                      <wps:txbx>
                        <w:txbxContent>
                          <w:p w14:paraId="3034ADAD" w14:textId="77777777" w:rsidR="007B24A1" w:rsidRDefault="007B24A1">
                            <w:pPr>
                              <w:rPr>
                                <w:lang w:val="lt-LT"/>
                              </w:rPr>
                            </w:pPr>
                            <w:r>
                              <w:rPr>
                                <w:b/>
                                <w:bCs/>
                              </w:rPr>
                              <w:t xml:space="preserve">Dukterinis </w:t>
                            </w:r>
                          </w:p>
                          <w:p w14:paraId="6FF7980B" w14:textId="77777777" w:rsidR="007B24A1" w:rsidRDefault="007B24A1">
                            <w:r>
                              <w:rPr>
                                <w:b/>
                                <w:bCs/>
                              </w:rPr>
                              <w:t>vienetas 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769AAAFF" id="Oval 44" o:spid="_x0000_s1067" style="position:absolute;left:0;text-align:left;margin-left:36.35pt;margin-top:10.65pt;width:99pt;height:73.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yMqGgIAACsEAAAOAAAAZHJzL2Uyb0RvYy54bWysU9tuEzEQfUfiHyy/k70koe0qm6pKFYRU&#10;aKXCBzheb9bC6zFjJ5vy9Yy9SUiBJ8Q+WJ6d8fE5Z8aL20Nv2F6h12BrXkxyzpSV0Gi7rfnXL+t3&#10;15z5IGwjDFhV8xfl+e3y7ZvF4CpVQgemUcgIxPpqcDXvQnBVlnnZqV74CThlKdkC9iJQiNusQTEQ&#10;em+yMs/fZwNg4xCk8p7+3o9Jvkz4batkeGxbrwIzNSduIa2Y1k1cs+VCVFsUrtPySEP8A4teaEuX&#10;nqHuRRBsh/oPqF5LBA9tmEjoM2hbLVXSQGqK/Dc1z51wKmkhc7w72+T/H6z8vH9CppuaT6cFZ1b0&#10;1KTHvTBsNovmDM5XVPPsnjDK8+4B5DfPLKw6YbfqDhGGTomGKBWxPnt1IAaejrLN8AkaQha7AMmn&#10;Q4t9BCQH2CG14+XcDnUITNLPopxfTXPqmqTczXQ6m6d+ZaI6nXbowwcFPYubmitjtPPRMVGJ/YMP&#10;kZCoTlVJABjdrLUxKcDtZmWQkdyar9OXNJDOyzJj2UAE5uU8Ib/K+UuIPH1/g0DY2WZkY+zRpWjM&#10;aHA4bA6pB2V58nwDzQv5hjBOLL0w2nSAPzgbaFpr7r/vBCrOzEdL3t8Us1kc7xTM5lclBXiZ2Vxm&#10;hJUEVfPA2bhdhfFJ7BzqbUc3FUmphTvqV6uTj7GXI6sjf5rIZO/x9cSRv4xT1a83vvwJAAD//wMA&#10;UEsDBBQABgAIAAAAIQDvT/mi3gAAAAkBAAAPAAAAZHJzL2Rvd25yZXYueG1sTI/BToNAEIbvJn2H&#10;zTTxZhfYFBpkaRobEz14EPW+hSmQsrOE3VJ8e8eTHmf+L/98U+wXO4gZJ9870hBvIhBItWt6ajV8&#10;fjw/7ED4YKgxgyPU8I0e9uXqrjB54270jnMVWsEl5HOjoQthzKX0dYfW+I0bkTg7u8mawOPUymYy&#10;Ny63g0yiKJXW9MQXOjPiU4f1pbpaDcf2UKWzVGGrzseXsL18vb2qWOv79XJ4BBFwCX8w/OqzOpTs&#10;dHJXarwYNGRJxqSGJFYgOE+yiBcnBtOdAlkW8v8H5Q8AAAD//wMAUEsBAi0AFAAGAAgAAAAhALaD&#10;OJL+AAAA4QEAABMAAAAAAAAAAAAAAAAAAAAAAFtDb250ZW50X1R5cGVzXS54bWxQSwECLQAUAAYA&#10;CAAAACEAOP0h/9YAAACUAQAACwAAAAAAAAAAAAAAAAAvAQAAX3JlbHMvLnJlbHNQSwECLQAUAAYA&#10;CAAAACEAufcjKhoCAAArBAAADgAAAAAAAAAAAAAAAAAuAgAAZHJzL2Uyb0RvYy54bWxQSwECLQAU&#10;AAYACAAAACEA70/5ot4AAAAJAQAADwAAAAAAAAAAAAAAAAB0BAAAZHJzL2Rvd25yZXYueG1sUEsF&#10;BgAAAAAEAAQA8wAAAH8FAAAAAA==&#10;" o:allowincell="f">
                <v:textbox>
                  <w:txbxContent>
                    <w:p w14:paraId="3034ADAD" w14:textId="77777777" w:rsidR="007B24A1" w:rsidRDefault="007B24A1">
                      <w:pPr>
                        <w:rPr>
                          <w:lang w:val="lt-LT"/>
                        </w:rPr>
                      </w:pPr>
                      <w:r>
                        <w:rPr>
                          <w:b/>
                          <w:bCs/>
                        </w:rPr>
                        <w:t xml:space="preserve">Dukterinis </w:t>
                      </w:r>
                    </w:p>
                    <w:p w14:paraId="6FF7980B" w14:textId="77777777" w:rsidR="007B24A1" w:rsidRDefault="007B24A1">
                      <w:r>
                        <w:rPr>
                          <w:b/>
                          <w:bCs/>
                        </w:rPr>
                        <w:t>vienetas A</w:t>
                      </w:r>
                    </w:p>
                  </w:txbxContent>
                </v:textbox>
              </v:oval>
            </w:pict>
          </mc:Fallback>
        </mc:AlternateContent>
      </w:r>
    </w:p>
    <w:p w14:paraId="01528E19" w14:textId="77777777" w:rsidR="00093845" w:rsidRDefault="00093845">
      <w:pPr>
        <w:pStyle w:val="Pagrindiniotekstotrauka2"/>
        <w:keepLines/>
        <w:spacing w:line="240" w:lineRule="auto"/>
      </w:pPr>
    </w:p>
    <w:p w14:paraId="5721FEAB" w14:textId="77777777" w:rsidR="00093845" w:rsidRDefault="000D779E">
      <w:pPr>
        <w:pStyle w:val="Pagrindiniotekstotrauka2"/>
        <w:keepLines/>
        <w:spacing w:line="240" w:lineRule="auto"/>
      </w:pPr>
      <w:r>
        <w:rPr>
          <w:noProof/>
          <w:lang w:eastAsia="lt-LT"/>
        </w:rPr>
        <mc:AlternateContent>
          <mc:Choice Requires="wps">
            <w:drawing>
              <wp:anchor distT="0" distB="0" distL="114300" distR="114300" simplePos="0" relativeHeight="251592704" behindDoc="0" locked="0" layoutInCell="0" allowOverlap="1" wp14:anchorId="379B5172" wp14:editId="5C9050CA">
                <wp:simplePos x="0" y="0"/>
                <wp:positionH relativeFrom="column">
                  <wp:posOffset>3429000</wp:posOffset>
                </wp:positionH>
                <wp:positionV relativeFrom="paragraph">
                  <wp:posOffset>125095</wp:posOffset>
                </wp:positionV>
                <wp:extent cx="571500" cy="0"/>
                <wp:effectExtent l="5080" t="13970" r="13970" b="5080"/>
                <wp:wrapNone/>
                <wp:docPr id="32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w:pict>
              <v:line w14:anchorId="5AD2D19A" id="Line 47"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270pt,9.85pt" to="3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9ItwEAAFMDAAAOAAAAZHJzL2Uyb0RvYy54bWysU02P2yAQvVfqf0DcGztp022tOHvIantJ&#10;20i7/QEEsI0KDGJI7Pz7DuRjt+2tqg/IMDNv5r0Hq/vJWXbUEQ34ls9nNWfaS1DG9y3/8fz47hNn&#10;mIRXwoLXLT9p5Pfrt29WY2j0AgawSkdGIB6bMbR8SCk0VYVy0E7gDIL2FOwgOpFoG/tKRTESurPV&#10;oq4/ViNEFSJIjUinD+cgXxf8rtMyfe861InZltNsqayxrPu8VuuVaPoowmDkZQzxD1M4YTw1vUE9&#10;iCTYIZq/oJyRERC6NJPgKug6I3XhQGzm9R9sngYRdOFC4mC4yYT/D1Z+O+4iM6rl7xdklReOTNoa&#10;r9mHuyzOGLChnI3fxUxPTv4pbEH+ROZhMwjf6zLk8ylQ3TxXVL+V5A0GarEfv4KiHHFIUJSauugy&#10;JGnApmLI6WaInhKTdLi8my9rsk1eQ5VornUhYvqiwbH803JLMxdccdxiynOI5pqS23h4NNYWu61n&#10;Y8s/LxfLUoBgjcrBnIax329sZEeRL0z5CimKvE6LcPDq3MT6C+dM8yzYHtRpF69akHNlmssty1fj&#10;9b5Uv7yF9S8AAAD//wMAUEsDBBQABgAIAAAAIQB40Uad3AAAAAkBAAAPAAAAZHJzL2Rvd25yZXYu&#10;eG1sTI/BTsMwEETvSPyDtUhcKmrTQoEQp0JAblwoIK7beEki4nUau23g69mKAxx3ZjT7Jl+OvlM7&#10;GmIb2ML51IAiroJrubbw+lKeXYOKCdlhF5gsfFGEZXF8lGPmwp6fabdKtZISjhlaaFLqM61j1ZDH&#10;OA09sXgfYfCY5Bxq7QbcS7nv9MyYhfbYsnxosKf7hqrP1dZbiOUbbcrvSTUx7/M60Gzz8PSI1p6e&#10;jHe3oBKN6S8MB3xBh0KY1mHLLqrOwuWFkS1JjJsrUBJYzA/C+lfQRa7/Lyh+AAAA//8DAFBLAQIt&#10;ABQABgAIAAAAIQC2gziS/gAAAOEBAAATAAAAAAAAAAAAAAAAAAAAAABbQ29udGVudF9UeXBlc10u&#10;eG1sUEsBAi0AFAAGAAgAAAAhADj9If/WAAAAlAEAAAsAAAAAAAAAAAAAAAAALwEAAF9yZWxzLy5y&#10;ZWxzUEsBAi0AFAAGAAgAAAAhAHJU30i3AQAAUwMAAA4AAAAAAAAAAAAAAAAALgIAAGRycy9lMm9E&#10;b2MueG1sUEsBAi0AFAAGAAgAAAAhAHjRRp3cAAAACQEAAA8AAAAAAAAAAAAAAAAAEQQAAGRycy9k&#10;b3ducmV2LnhtbFBLBQYAAAAABAAEAPMAAAAaBQAAAAA=&#10;" o:allowincell="f"/>
            </w:pict>
          </mc:Fallback>
        </mc:AlternateContent>
      </w:r>
      <w:r>
        <w:rPr>
          <w:noProof/>
          <w:lang w:eastAsia="lt-LT"/>
        </w:rPr>
        <mc:AlternateContent>
          <mc:Choice Requires="wps">
            <w:drawing>
              <wp:anchor distT="0" distB="0" distL="114300" distR="114300" simplePos="0" relativeHeight="251591680" behindDoc="0" locked="0" layoutInCell="0" allowOverlap="1" wp14:anchorId="27782F13" wp14:editId="48B2AFA3">
                <wp:simplePos x="0" y="0"/>
                <wp:positionH relativeFrom="column">
                  <wp:posOffset>1714500</wp:posOffset>
                </wp:positionH>
                <wp:positionV relativeFrom="paragraph">
                  <wp:posOffset>125095</wp:posOffset>
                </wp:positionV>
                <wp:extent cx="457200" cy="0"/>
                <wp:effectExtent l="5080" t="13970" r="13970" b="5080"/>
                <wp:wrapNone/>
                <wp:docPr id="3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ln>
                      </wps:spPr>
                      <wps:bodyPr/>
                    </wps:wsp>
                  </a:graphicData>
                </a:graphic>
              </wp:anchor>
            </w:drawing>
          </mc:Choice>
          <mc:Fallback>
            <w:pict>
              <v:line w14:anchorId="5DEBA5C6" id="Line 48"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135pt,9.85pt" to="17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bitwEAAFMDAAAOAAAAZHJzL2Uyb0RvYy54bWysU01vGyEQvVfqf0Dc67XduElXXufgKL24&#10;raWkPwADu4sCDBqwd/3vO+CPpO2tyh7Qwsy8ee8NLO9HZ9lBYzTgGz6bTDnTXoIyvmv4r+fHT3ec&#10;xSS8Eha8bvhRR36/+vhhOYRaz6EHqzQyAvGxHkLD+5RCXVVR9tqJOIGgPQVbQCcSbbGrFIqB0J2t&#10;5tPpl2oAVAFB6hjp9OEU5KuC37Zapp9tG3VituHELZUVy7rLa7VairpDEXojzzTEf7BwwnhqeoV6&#10;EEmwPZp/oJyRCBHaNJHgKmhbI3XRQGpm07/UPPUi6KKFzInhalN8P1j547BFZlTDP89vOfPC0ZA2&#10;xmt2c5fNGUKsKWftt5jlydE/hQ3Il8g8rHvhO11IPh8D1c1yRfVHSd7EQC12w3dQlCP2CYpTY4su&#10;Q5IHbCwDOV4HosfEJB3eLG5pyJzJS6gS9aUuYEzfNDiWfxpuiXPBFYdNTJmHqC8puY2HR2NtGbf1&#10;bGj418V8UQoiWKNyMKdF7HZri+wg8oUpXxFFkbdpCHuvTk2sP2vOMk+G7UAdt3jxgiZX2JxvWb4a&#10;b/el+vUtrH4DAAD//wMAUEsDBBQABgAIAAAAIQAY1+zk3AAAAAkBAAAPAAAAZHJzL2Rvd25yZXYu&#10;eG1sTI/BTsMwEETvSPyDtUhcKmqTIgohToWA3LhQQFy38ZJExOs0dtvA17OIAxx3ZjT7plhNvld7&#10;GmMX2ML53IAiroPruLHw8lydXYGKCdlhH5gsfFKEVXl8VGDuwoGfaL9OjZISjjlaaFMacq1j3ZLH&#10;OA8DsXjvYfSY5Bwb7UY8SLnvdWbMpfbYsXxocaC7luqP9c5biNUrbauvWT0zb4smULa9f3xAa09P&#10;ptsbUImm9BeGH3xBh1KYNmHHLqreQrY0siWJcb0EJYHFRSbC5lfQZaH/Lyi/AQAA//8DAFBLAQIt&#10;ABQABgAIAAAAIQC2gziS/gAAAOEBAAATAAAAAAAAAAAAAAAAAAAAAABbQ29udGVudF9UeXBlc10u&#10;eG1sUEsBAi0AFAAGAAgAAAAhADj9If/WAAAAlAEAAAsAAAAAAAAAAAAAAAAALwEAAF9yZWxzLy5y&#10;ZWxzUEsBAi0AFAAGAAgAAAAhAMC/BuK3AQAAUwMAAA4AAAAAAAAAAAAAAAAALgIAAGRycy9lMm9E&#10;b2MueG1sUEsBAi0AFAAGAAgAAAAhABjX7OTcAAAACQEAAA8AAAAAAAAAAAAAAAAAEQQAAGRycy9k&#10;b3ducmV2LnhtbFBLBQYAAAAABAAEAPMAAAAaBQAAAAA=&#10;" o:allowincell="f"/>
            </w:pict>
          </mc:Fallback>
        </mc:AlternateContent>
      </w:r>
    </w:p>
    <w:p w14:paraId="4E33B8B1" w14:textId="77777777" w:rsidR="00093845" w:rsidRDefault="00093845">
      <w:pPr>
        <w:pStyle w:val="Pagrindiniotekstotrauka2"/>
        <w:keepLines/>
        <w:spacing w:line="240" w:lineRule="auto"/>
      </w:pPr>
    </w:p>
    <w:p w14:paraId="31414A0D" w14:textId="77777777" w:rsidR="009E53D9" w:rsidRDefault="009E53D9">
      <w:pPr>
        <w:pStyle w:val="Pagrindiniotekstotrauka2"/>
        <w:keepLines/>
        <w:spacing w:line="240" w:lineRule="auto"/>
      </w:pPr>
    </w:p>
    <w:p w14:paraId="30C28FD8" w14:textId="77777777" w:rsidR="009E53D9" w:rsidRPr="00A833E4" w:rsidRDefault="009E53D9" w:rsidP="009E53D9">
      <w:pPr>
        <w:spacing w:after="0" w:line="240" w:lineRule="auto"/>
        <w:ind w:firstLine="726"/>
        <w:jc w:val="both"/>
        <w:rPr>
          <w:b/>
          <w:color w:val="000000"/>
          <w:lang w:eastAsia="lt-LT"/>
        </w:rPr>
      </w:pPr>
      <w:r w:rsidRPr="00584460">
        <w:rPr>
          <w:b/>
          <w:color w:val="000000"/>
          <w:lang w:eastAsia="lt-LT"/>
        </w:rPr>
        <w:t>5) vienetas ir kito vieneto dalyviai, </w:t>
      </w:r>
      <w:r w:rsidRPr="00584460">
        <w:rPr>
          <w:b/>
          <w:bCs/>
          <w:color w:val="000000"/>
          <w:lang w:eastAsia="lt-LT"/>
        </w:rPr>
        <w:t>turintys 25 procentus ar daugiau akcijų (pajų, dalių) tame kitame vienete,</w:t>
      </w:r>
      <w:r w:rsidRPr="00584460">
        <w:rPr>
          <w:b/>
          <w:color w:val="000000"/>
          <w:lang w:eastAsia="lt-LT"/>
        </w:rPr>
        <w:t> jei tie vienetai sudaro vieną vienetų grupę;</w:t>
      </w:r>
    </w:p>
    <w:p w14:paraId="33151102" w14:textId="77777777" w:rsidR="009E53D9" w:rsidRPr="0067677F" w:rsidRDefault="009E53D9" w:rsidP="0067677F">
      <w:pPr>
        <w:tabs>
          <w:tab w:val="left" w:pos="720"/>
          <w:tab w:val="left" w:pos="1077"/>
          <w:tab w:val="left" w:pos="1418"/>
        </w:tabs>
        <w:autoSpaceDE w:val="0"/>
        <w:autoSpaceDN w:val="0"/>
        <w:spacing w:after="0" w:line="240" w:lineRule="auto"/>
        <w:jc w:val="both"/>
        <w:rPr>
          <w:bCs/>
          <w:i/>
          <w:iCs/>
        </w:rPr>
      </w:pPr>
      <w:bookmarkStart w:id="11" w:name="part_5ee5decee0454513bc5d97ab797f96fe"/>
      <w:bookmarkEnd w:id="11"/>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4A3A54C4" w14:textId="77777777" w:rsidR="009E53D9" w:rsidRPr="0067677F" w:rsidRDefault="009E53D9" w:rsidP="009E53D9">
      <w:pPr>
        <w:tabs>
          <w:tab w:val="left" w:pos="720"/>
          <w:tab w:val="left" w:pos="1077"/>
          <w:tab w:val="left" w:pos="1418"/>
        </w:tabs>
        <w:autoSpaceDE w:val="0"/>
        <w:autoSpaceDN w:val="0"/>
        <w:spacing w:after="0" w:line="240" w:lineRule="auto"/>
        <w:ind w:firstLine="720"/>
        <w:jc w:val="both"/>
        <w:rPr>
          <w:bCs/>
          <w:i/>
          <w:iCs/>
        </w:rPr>
      </w:pPr>
    </w:p>
    <w:p w14:paraId="3AD2B147" w14:textId="77777777" w:rsidR="009E53D9" w:rsidRPr="006C5F6C" w:rsidRDefault="009E53D9" w:rsidP="009E53D9">
      <w:pPr>
        <w:pStyle w:val="Antrat5"/>
        <w:keepNext w:val="0"/>
        <w:tabs>
          <w:tab w:val="left" w:pos="720"/>
          <w:tab w:val="left" w:pos="1077"/>
          <w:tab w:val="left" w:pos="1418"/>
        </w:tabs>
        <w:ind w:firstLine="720"/>
        <w:jc w:val="both"/>
        <w:rPr>
          <w:rFonts w:ascii="Times New Roman" w:hAnsi="Times New Roman"/>
        </w:rPr>
      </w:pPr>
      <w:r w:rsidRPr="006C5F6C">
        <w:rPr>
          <w:rFonts w:ascii="Times New Roman" w:hAnsi="Times New Roman"/>
        </w:rPr>
        <w:t>Komentaras</w:t>
      </w:r>
    </w:p>
    <w:p w14:paraId="3FE7D4F9" w14:textId="77777777" w:rsidR="009E53D9" w:rsidRPr="006C5F6C" w:rsidRDefault="009E53D9" w:rsidP="009E53D9">
      <w:pPr>
        <w:tabs>
          <w:tab w:val="left" w:pos="1080"/>
        </w:tabs>
        <w:ind w:firstLine="720"/>
        <w:jc w:val="both"/>
      </w:pPr>
      <w:r w:rsidRPr="006C5F6C">
        <w:t>Vieneto dalyvių sąvoka apibrėžta PMĮ 2 str. 6 dalyje, o vienetų grupė - 7 dalyje (žr. PMĮ 2 str. 6 ir 7 dalių komentarus).</w:t>
      </w:r>
    </w:p>
    <w:p w14:paraId="3BE228AD" w14:textId="77777777" w:rsidR="009E53D9" w:rsidRPr="006C5F6C" w:rsidRDefault="009E53D9" w:rsidP="009E53D9">
      <w:pPr>
        <w:tabs>
          <w:tab w:val="left" w:pos="1080"/>
        </w:tabs>
        <w:ind w:firstLine="720"/>
        <w:jc w:val="both"/>
      </w:pPr>
      <w:r w:rsidRPr="006C5F6C">
        <w:t>Pavyzdys</w:t>
      </w:r>
    </w:p>
    <w:p w14:paraId="6E3F54FA" w14:textId="77777777" w:rsidR="009E53D9" w:rsidRPr="006C5F6C" w:rsidRDefault="009E53D9" w:rsidP="009E53D9">
      <w:pPr>
        <w:tabs>
          <w:tab w:val="left" w:pos="720"/>
          <w:tab w:val="left" w:pos="1077"/>
          <w:tab w:val="left" w:pos="1418"/>
        </w:tabs>
        <w:autoSpaceDE w:val="0"/>
        <w:autoSpaceDN w:val="0"/>
        <w:ind w:firstLine="720"/>
        <w:jc w:val="both"/>
      </w:pPr>
    </w:p>
    <w:p w14:paraId="0EABFCC0" w14:textId="77777777" w:rsidR="009E53D9" w:rsidRPr="006C5F6C" w:rsidRDefault="009E53D9" w:rsidP="009E53D9">
      <w:pPr>
        <w:tabs>
          <w:tab w:val="left" w:pos="720"/>
          <w:tab w:val="left" w:pos="1077"/>
          <w:tab w:val="left" w:pos="1418"/>
        </w:tabs>
        <w:autoSpaceDE w:val="0"/>
        <w:autoSpaceDN w:val="0"/>
        <w:ind w:firstLine="720"/>
        <w:jc w:val="both"/>
      </w:pPr>
      <w:r>
        <w:rPr>
          <w:noProof/>
          <w:lang w:val="lt-LT" w:eastAsia="lt-LT"/>
        </w:rPr>
        <mc:AlternateContent>
          <mc:Choice Requires="wps">
            <w:drawing>
              <wp:anchor distT="0" distB="0" distL="114300" distR="114300" simplePos="0" relativeHeight="251602944" behindDoc="0" locked="0" layoutInCell="1" allowOverlap="1" wp14:anchorId="0A08E1DA" wp14:editId="11CD0F50">
                <wp:simplePos x="0" y="0"/>
                <wp:positionH relativeFrom="margin">
                  <wp:posOffset>1950085</wp:posOffset>
                </wp:positionH>
                <wp:positionV relativeFrom="paragraph">
                  <wp:posOffset>6985</wp:posOffset>
                </wp:positionV>
                <wp:extent cx="2181225" cy="2889250"/>
                <wp:effectExtent l="0" t="0" r="28575" b="25400"/>
                <wp:wrapNone/>
                <wp:docPr id="3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889250"/>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FD852B" id="Rectangle 49" o:spid="_x0000_s1026" style="position:absolute;margin-left:153.55pt;margin-top:.55pt;width:171.75pt;height:22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qrCGwIAABcEAAAOAAAAZHJzL2Uyb0RvYy54bWysU8GO0zAQvSPxD5bvNE1olzZqulq1WoS0&#10;sCsWPsB1nMTC8Zix27R8PWOnWwrcEDlYnsz4ed6b59XtsTfsoNBrsBXPJ1POlJVQa9tW/OuX+zcL&#10;znwQthYGrKr4SXl+u379ajW4UhXQgakVMgKxvhxcxbsQXJllXnaqF34CTllKNoC9CBRim9UoBkLv&#10;TVZMpzfZAFg7BKm8p7/bMcnXCb9plAyPTeNVYKbi1FtIK6Z1F9dsvRJli8J1Wp7bEP/QRS+0pUsv&#10;UFsRBNuj/guq1xLBQxMmEvoMmkZLlTgQm3z6B5vnTjiVuJA43l1k8v8PVn46PCHTdcXfFjecWdHT&#10;kD6TbMK2RrHZMio0OF9S4bN7wsjRuweQ3zyzsOmoTN0hwtApUVNfeazPfjsQA09H2W74CDXBi32A&#10;JNaxwT4CkgzsmGZyusxEHQOT9LPIF3lRzDmTlCsWi2UxT1PLRPly3KEP7xX0LG4qjtR9gheHBx9i&#10;O6J8KYm3WbjXxqTBG8uGii/nhJ+IgdF1TKYA293GIDuIaJ30JW7E/7osIm+F78a6mnajp3odyNhG&#10;9xVfXB829qxPlGSUdgf1ieRBGN1Jr4k2HeAPzgZyZsX9971AxZn5YEniZT6bRSunYDZ/V1CA15nd&#10;dUZYSVAVD5yN200Y7b93qNuObsoTdwt3NJZGJ8HiyMauzs2S+5KO55cS7X0dp6pf73n9EwAA//8D&#10;AFBLAwQUAAYACAAAACEAEdZHSNwAAAAJAQAADwAAAGRycy9kb3ducmV2LnhtbEyPTUsDMRCG74L/&#10;IYzgRWyy2saybraIWPAkWAWvaRJ3F5PJkmTb7b93PNnTMDwv70ezmYNnB5fyEFFBtRDAHJpoB+wU&#10;fH5sb9fActFotY/oFJxchk17edHo2sYjvrvDrnSMTDDXWkFfylhznk3vgs6LODok9h1T0IXe1HGb&#10;9JHMg+d3Qkge9ICU0OvRPffO/OymQCHmZRL+1b9t8fQli1yadINrpa6v5qdHYMXN5V8Mf/WpOrTU&#10;aR8ntJl5BffioSIpATrE5UpIYHsFy5WsgLcNP1/Q/gIAAP//AwBQSwECLQAUAAYACAAAACEAtoM4&#10;kv4AAADhAQAAEwAAAAAAAAAAAAAAAAAAAAAAW0NvbnRlbnRfVHlwZXNdLnhtbFBLAQItABQABgAI&#10;AAAAIQA4/SH/1gAAAJQBAAALAAAAAAAAAAAAAAAAAC8BAABfcmVscy8ucmVsc1BLAQItABQABgAI&#10;AAAAIQA36qrCGwIAABcEAAAOAAAAAAAAAAAAAAAAAC4CAABkcnMvZTJvRG9jLnhtbFBLAQItABQA&#10;BgAIAAAAIQAR1kdI3AAAAAkBAAAPAAAAAAAAAAAAAAAAAHUEAABkcnMvZG93bnJldi54bWxQSwUG&#10;AAAAAAQABADzAAAAfgUAAAAA&#10;" filled="f">
                <v:stroke dashstyle="dash"/>
                <w10:wrap anchorx="margin"/>
              </v:rect>
            </w:pict>
          </mc:Fallback>
        </mc:AlternateContent>
      </w:r>
      <w:r w:rsidRPr="006C5F6C">
        <w:rPr>
          <w:noProof/>
          <w:lang w:val="lt-LT" w:eastAsia="lt-LT"/>
        </w:rPr>
        <mc:AlternateContent>
          <mc:Choice Requires="wps">
            <w:drawing>
              <wp:anchor distT="0" distB="0" distL="114300" distR="114300" simplePos="0" relativeHeight="251756544" behindDoc="0" locked="0" layoutInCell="1" allowOverlap="1" wp14:anchorId="02D11C80" wp14:editId="2B3F02F6">
                <wp:simplePos x="0" y="0"/>
                <wp:positionH relativeFrom="column">
                  <wp:posOffset>1990725</wp:posOffset>
                </wp:positionH>
                <wp:positionV relativeFrom="paragraph">
                  <wp:posOffset>17145</wp:posOffset>
                </wp:positionV>
                <wp:extent cx="2057400" cy="2917825"/>
                <wp:effectExtent l="5080" t="5715" r="13970" b="10160"/>
                <wp:wrapNone/>
                <wp:docPr id="20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917825"/>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anchor>
            </w:drawing>
          </mc:Choice>
          <mc:Fallback>
            <w:pict>
              <v:rect w14:anchorId="00492FAE" id="Rectangle 49" o:spid="_x0000_s1026" style="position:absolute;margin-left:156.75pt;margin-top:1.35pt;width:162pt;height:22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DAGgIAABcEAAAOAAAAZHJzL2Uyb0RvYy54bWysU1GP0zAMfkfiP0R5Z12rjW3VutNp0yGk&#10;A04c/IAsTduINA5Otm78epx0Nwa8IfoQxbX92f78ZX136g07KvQabMXzyZQzZSXU2rYV//rl4c2S&#10;Mx+ErYUBqyp+Vp7fbV6/Wg+uVAV0YGqFjECsLwdX8S4EV2aZl53qhZ+AU5acDWAvApnYZjWKgdB7&#10;kxXT6dtsAKwdglTe09/d6OSbhN80SoZPTeNVYKbi1FtIJ6ZzH89ssxZli8J1Wl7aEP/QRS+0paJX&#10;qJ0Igh1Q/wXVa4ngoQkTCX0GTaOlSjPQNPn0j2meO+FUmoXI8e5Kk/9/sPLj8QmZritO9Tmzoqcl&#10;fSbahG2NYrNVZGhwvqTAZ/eEcUbvHkF+88zCtqMwdY8IQ6dETX3lMT77LSEanlLZfvgANcGLQ4BE&#10;1qnBPgISDeyUdnK+7kSdApP0s5jOF7MprU6Sr1jli2UxTzVE+ZLu0Id3CnoWLxVH6j7Bi+OjD7Ed&#10;Ub6ExGoWHrQxafHGsqHiqzlBpsHA6Do6k4HtfmuQHUWUTvoudf1tWETeCd+NcTXdYpQoex1I2Eb3&#10;FV/eJht74SdSMlK7h/pM9CCM6qTXRJcO8AdnAymz4v77QaDizLy3RPEqn82ilJMxmy8KMvDWs7/1&#10;CCsJquKBs/G6DaP8Dw5121GlPM1u4Z7W0uhEWFzZ2NWlWVJf4vHyUqK8b+0U9es9b34CAAD//wMA&#10;UEsDBBQABgAIAAAAIQDn0pBq3QAAAAkBAAAPAAAAZHJzL2Rvd25yZXYueG1sTI9BSwMxFITvgv8h&#10;PMGL2Gx3a1rWzRYRC56EVsFrmsTdxeRlSbLt9t/7POlxmGHmm2Y7e8dONqYhoITlogBmUQczYCfh&#10;4313vwGWskKjXEAr4WITbNvrq0bVJpxxb0+H3DEqwVQrCX3OY8150r31Ki3CaJG8rxC9yiRjx01U&#10;Zyr3jpdFIbhXA9JCr0b73Fv9fZg8jeiXqXCv7m2Hl0+RxUrHO9xIeXszPz0Cy3bOf2H4xSd0aInp&#10;GCY0iTkJ1bJ6oKiEcg2MfFGtSR8lrERZAm8b/v9B+wMAAP//AwBQSwECLQAUAAYACAAAACEAtoM4&#10;kv4AAADhAQAAEwAAAAAAAAAAAAAAAAAAAAAAW0NvbnRlbnRfVHlwZXNdLnhtbFBLAQItABQABgAI&#10;AAAAIQA4/SH/1gAAAJQBAAALAAAAAAAAAAAAAAAAAC8BAABfcmVscy8ucmVsc1BLAQItABQABgAI&#10;AAAAIQDuAmDAGgIAABcEAAAOAAAAAAAAAAAAAAAAAC4CAABkcnMvZTJvRG9jLnhtbFBLAQItABQA&#10;BgAIAAAAIQDn0pBq3QAAAAkBAAAPAAAAAAAAAAAAAAAAAHQEAABkcnMvZG93bnJldi54bWxQSwUG&#10;AAAAAAQABADzAAAAfgUAAAAA&#10;" filled="f">
                <v:stroke dashstyle="dash"/>
              </v:rect>
            </w:pict>
          </mc:Fallback>
        </mc:AlternateContent>
      </w:r>
      <w:r w:rsidRPr="006C5F6C">
        <w:rPr>
          <w:noProof/>
          <w:lang w:val="lt-LT" w:eastAsia="lt-LT"/>
        </w:rPr>
        <mc:AlternateContent>
          <mc:Choice Requires="wps">
            <w:drawing>
              <wp:anchor distT="0" distB="0" distL="114300" distR="114300" simplePos="0" relativeHeight="251749376" behindDoc="0" locked="0" layoutInCell="1" allowOverlap="1" wp14:anchorId="2B617482" wp14:editId="54BF613D">
                <wp:simplePos x="0" y="0"/>
                <wp:positionH relativeFrom="column">
                  <wp:posOffset>2057400</wp:posOffset>
                </wp:positionH>
                <wp:positionV relativeFrom="paragraph">
                  <wp:posOffset>7620</wp:posOffset>
                </wp:positionV>
                <wp:extent cx="1828800" cy="457200"/>
                <wp:effectExtent l="5080" t="10160" r="13970" b="8890"/>
                <wp:wrapNone/>
                <wp:docPr id="20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ln>
                      </wps:spPr>
                      <wps:txbx>
                        <w:txbxContent>
                          <w:p w14:paraId="3467AD37" w14:textId="77777777" w:rsidR="007B24A1" w:rsidRPr="00E543D1" w:rsidRDefault="007B24A1" w:rsidP="009E53D9">
                            <w:pPr>
                              <w:jc w:val="center"/>
                            </w:pPr>
                            <w:r w:rsidRPr="00E543D1">
                              <w:t>Patronuojantis vienetas</w:t>
                            </w:r>
                          </w:p>
                        </w:txbxContent>
                      </wps:txbx>
                      <wps:bodyPr rot="0" vert="horz" wrap="square" lIns="91440" tIns="45720" rIns="91440" bIns="45720" anchor="t" anchorCtr="0" upright="1">
                        <a:noAutofit/>
                      </wps:bodyPr>
                    </wps:wsp>
                  </a:graphicData>
                </a:graphic>
              </wp:anchor>
            </w:drawing>
          </mc:Choice>
          <mc:Fallback>
            <w:pict>
              <v:rect w14:anchorId="2B617482" id="Rectangle 50" o:spid="_x0000_s1068" style="position:absolute;left:0;text-align:left;margin-left:162pt;margin-top:.6pt;width:2in;height:36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1QHQIAADoEAAAOAAAAZHJzL2Uyb0RvYy54bWysU9tuEzEQfUfiHyy/k72QQLrKpqpSBSEV&#10;WlH4AMfr3bXwjbGT3fD1jJ1tmgJPCD9YHs/4+MyZmdX1qBU5CPDSmpoWs5wSYbhtpOlq+u3r9s2S&#10;Eh+YaZiyRtT0KDy9Xr9+tRpcJUrbW9UIIAhifDW4mvYhuCrLPO+FZn5mnTDobC1oFtCELmuADYiu&#10;VVbm+btssNA4sFx4j7e3JyddJ/y2FTzct60XgaiaIreQdkj7Lu7ZesWqDpjrJZ9osH9goZk0+OkZ&#10;6pYFRvYg/4DSkoP1tg0zbnVm21ZykXLAbIr8t2wee+ZEygXF8e4sk/9/sPzz4QGIbGpa5iUlhmks&#10;0heUjZlOCbJICg3OVxj46B4g5ujdneXfPTF202OYuAGwQy9Yg7yKqGj24kE0PD4lu+GTbRCe7YNN&#10;Yo0t6AiIMpAx1eR4rokYA+F4WSzL5TLH0nH0zRfvsejpC1Y9vXbgwwdhNYmHmgKST+jscOdDZMOq&#10;p5DE3irZbKVSyYBut1FADgz7Y5vWhO4vw5QhQ02vFuUiIb/w+UuIPK2/QWgZsNGV1DXFdHBNQcpM&#10;ekWJYtv6Koy78VSStzEoXu1sc0QFwZ4aGAcOD72Fn5QM2Lw19T/2DAQl6qPBKlwV83ns9mQk0SiB&#10;S8/u0sMMR6iaBkpOx004Tcjegex6/KlIaRt7g5VrZRL1mdXEHxs0aT0NU5yASztFPY/8+hcAAAD/&#10;/wMAUEsDBBQABgAIAAAAIQBxCL9Y3AAAAAgBAAAPAAAAZHJzL2Rvd25yZXYueG1sTI/BTsMwEETv&#10;SPyDtUjcqFMHFUjjVAhUJI5teuG2ibdJILaj2GkDX89yosfRW82+yTez7cWJxtB5p2G5SECQq73p&#10;XKPhUG7vHkGEiM5g7x1p+KYAm+L6KsfM+LPb0WkfG8ElLmSooY1xyKQMdUsWw8IP5Jgd/Wgxchwb&#10;aUY8c7ntpUqSlbTYOf7Q4kAvLdVf+8lqqDp1wJ9d+ZbYp20a3+fyc/p41fr2Zn5eg4g0x/9j+NNn&#10;dSjYqfKTM0H0GlJ1z1siAwWC+WqpOFcaHlIFssjl5YDiFwAA//8DAFBLAQItABQABgAIAAAAIQC2&#10;gziS/gAAAOEBAAATAAAAAAAAAAAAAAAAAAAAAABbQ29udGVudF9UeXBlc10ueG1sUEsBAi0AFAAG&#10;AAgAAAAhADj9If/WAAAAlAEAAAsAAAAAAAAAAAAAAAAALwEAAF9yZWxzLy5yZWxzUEsBAi0AFAAG&#10;AAgAAAAhANHxPVAdAgAAOgQAAA4AAAAAAAAAAAAAAAAALgIAAGRycy9lMm9Eb2MueG1sUEsBAi0A&#10;FAAGAAgAAAAhAHEIv1jcAAAACAEAAA8AAAAAAAAAAAAAAAAAdwQAAGRycy9kb3ducmV2LnhtbFBL&#10;BQYAAAAABAAEAPMAAACABQAAAAA=&#10;">
                <v:textbox>
                  <w:txbxContent>
                    <w:p w14:paraId="3467AD37" w14:textId="77777777" w:rsidR="007B24A1" w:rsidRPr="00E543D1" w:rsidRDefault="007B24A1" w:rsidP="009E53D9">
                      <w:pPr>
                        <w:jc w:val="center"/>
                      </w:pPr>
                      <w:r w:rsidRPr="00E543D1">
                        <w:t>Patronuojantis vienetas</w:t>
                      </w:r>
                    </w:p>
                  </w:txbxContent>
                </v:textbox>
              </v:rect>
            </w:pict>
          </mc:Fallback>
        </mc:AlternateContent>
      </w:r>
    </w:p>
    <w:p w14:paraId="770C0406" w14:textId="77777777" w:rsidR="009E53D9" w:rsidRPr="006C5F6C" w:rsidRDefault="009E53D9" w:rsidP="009E53D9">
      <w:pPr>
        <w:tabs>
          <w:tab w:val="left" w:pos="720"/>
          <w:tab w:val="left" w:pos="1077"/>
          <w:tab w:val="left" w:pos="1418"/>
        </w:tabs>
        <w:autoSpaceDE w:val="0"/>
        <w:autoSpaceDN w:val="0"/>
        <w:ind w:firstLine="720"/>
        <w:jc w:val="both"/>
      </w:pPr>
    </w:p>
    <w:p w14:paraId="230355D0"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4496" behindDoc="0" locked="0" layoutInCell="1" allowOverlap="1" wp14:anchorId="4D023BF9" wp14:editId="69C39EFD">
                <wp:simplePos x="0" y="0"/>
                <wp:positionH relativeFrom="column">
                  <wp:posOffset>3429000</wp:posOffset>
                </wp:positionH>
                <wp:positionV relativeFrom="paragraph">
                  <wp:posOffset>114300</wp:posOffset>
                </wp:positionV>
                <wp:extent cx="1028700" cy="571500"/>
                <wp:effectExtent l="5080" t="10160" r="42545" b="56515"/>
                <wp:wrapNone/>
                <wp:docPr id="20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tailEnd type="triangle" w="med" len="med"/>
                        </a:ln>
                      </wps:spPr>
                      <wps:bodyPr/>
                    </wps:wsp>
                  </a:graphicData>
                </a:graphic>
              </wp:anchor>
            </w:drawing>
          </mc:Choice>
          <mc:Fallback>
            <w:pict>
              <v:line w14:anchorId="02945C24" id="Line 51"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70pt,9pt" to="35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861AEAAIcDAAAOAAAAZHJzL2Uyb0RvYy54bWysU02P2yAQvVfqf0DcG9up0t1acfaQ7faS&#10;tpF2+wMI4BgVGDSQ2Pn3HchHu+2tqg8ImDdv3rzBy4fJWXbUGA34jjezmjPtJSjj9x3//vL07p6z&#10;mIRXwoLXHT/pyB9Wb98sx9DqOQxglUZGJD62Y+j4kFJoqyrKQTsRZxC0p2AP6ESiI+4rhWIkdmer&#10;eV1/qEZAFRCkjpFuH89Bvir8fa9l+tb3USdmO07aUlmxrLu8VqulaPcowmDkRYb4BxVOGE9Fb1SP&#10;Igl2QPMXlTMSIUKfZhJcBX1vpC49UDdN/Uc3z4MIuvRC5sRwsyn+P1r59bhFZlTH5/V7zrxwNKSN&#10;8ZotmmzOGGJLmLXfYm5PTv45bED+iMzDehB+r4vIl1OgvJJRvUrJhxioxG78Aoow4pCgODX16DIl&#10;ecCmMpDTbSB6SkzSZVPP7+9qmpuk2OKuWdCeRFWivWYHjOmzBsfypuOWlBd2cdzEdIZeIbmYhydj&#10;bRm69Wzs+MfFfFESIlijcjDDIu53a4vsKPKzKd+l7isYwsGrQpaEsZ+8Yqn4kNCQM1bzXMFpxZnV&#10;9Hfk3VmS9dTE1ZqzyTtQpy3mcL6naZc2Ly8zP6ffzwX16/9Z/QQAAP//AwBQSwMEFAAGAAgAAAAh&#10;ACshRwnfAAAACgEAAA8AAABkcnMvZG93bnJldi54bWxMT8tOwzAQvCPxD9YicaN2Kx5RiFMhpHJp&#10;oWqLqnJz4yWJiNeR7bTh71lOcNrdmdHsTDEfXSdOGGLrScN0okAgVd62VGt43y1uMhAxGbKm84Qa&#10;vjHCvLy8KExu/Zk2eNqmWrAJxdxoaFLqcylj1aAzceJ7JOY+fXAm8RlqaYM5s7nr5Eype+lMS/yh&#10;MT0+N1h9bQenYbNaLLP9chir8PEyfdutV6+HmGl9fTU+PYJIOKY/MfzG5+hQcqajH8hG0Wm4u1Xc&#10;JTGR8WTBg5rxcmRAMSLLQv6vUP4AAAD//wMAUEsBAi0AFAAGAAgAAAAhALaDOJL+AAAA4QEAABMA&#10;AAAAAAAAAAAAAAAAAAAAAFtDb250ZW50X1R5cGVzXS54bWxQSwECLQAUAAYACAAAACEAOP0h/9YA&#10;AACUAQAACwAAAAAAAAAAAAAAAAAvAQAAX3JlbHMvLnJlbHNQSwECLQAUAAYACAAAACEAvai/OtQB&#10;AACHAwAADgAAAAAAAAAAAAAAAAAuAgAAZHJzL2Uyb0RvYy54bWxQSwECLQAUAAYACAAAACEAKyFH&#10;Cd8AAAAKAQAADwAAAAAAAAAAAAAAAAAuBAAAZHJzL2Rvd25yZXYueG1sUEsFBgAAAAAEAAQA8wAA&#10;ADoFAAAAAA==&#10;">
                <v:stroke endarrow="block"/>
              </v:line>
            </w:pict>
          </mc:Fallback>
        </mc:AlternateContent>
      </w:r>
      <w:r w:rsidRPr="006C5F6C">
        <w:rPr>
          <w:noProof/>
          <w:lang w:val="lt-LT" w:eastAsia="lt-LT"/>
        </w:rPr>
        <mc:AlternateContent>
          <mc:Choice Requires="wps">
            <w:drawing>
              <wp:anchor distT="0" distB="0" distL="114300" distR="114300" simplePos="0" relativeHeight="251753472" behindDoc="0" locked="0" layoutInCell="1" allowOverlap="1" wp14:anchorId="10B74075" wp14:editId="6130753C">
                <wp:simplePos x="0" y="0"/>
                <wp:positionH relativeFrom="column">
                  <wp:posOffset>1485900</wp:posOffset>
                </wp:positionH>
                <wp:positionV relativeFrom="paragraph">
                  <wp:posOffset>114300</wp:posOffset>
                </wp:positionV>
                <wp:extent cx="1028700" cy="457200"/>
                <wp:effectExtent l="33655" t="10160" r="13970" b="56515"/>
                <wp:wrapNone/>
                <wp:docPr id="20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457200"/>
                        </a:xfrm>
                        <a:prstGeom prst="line">
                          <a:avLst/>
                        </a:prstGeom>
                        <a:noFill/>
                        <a:ln w="9525">
                          <a:solidFill>
                            <a:srgbClr val="000000"/>
                          </a:solidFill>
                          <a:round/>
                          <a:tailEnd type="triangle" w="med" len="med"/>
                        </a:ln>
                      </wps:spPr>
                      <wps:bodyPr/>
                    </wps:wsp>
                  </a:graphicData>
                </a:graphic>
              </wp:anchor>
            </w:drawing>
          </mc:Choice>
          <mc:Fallback>
            <w:pict>
              <v:line w14:anchorId="0C1847EF" id="Line 52" o:spid="_x0000_s1026" style="position:absolute;flip:x;z-index:251753472;visibility:visible;mso-wrap-style:square;mso-wrap-distance-left:9pt;mso-wrap-distance-top:0;mso-wrap-distance-right:9pt;mso-wrap-distance-bottom:0;mso-position-horizontal:absolute;mso-position-horizontal-relative:text;mso-position-vertical:absolute;mso-position-vertical-relative:text" from="117pt,9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aac3AEAAJEDAAAOAAAAZHJzL2Uyb0RvYy54bWysU8GO2yAQvVfqPyDujR1r091acfaQ7baH&#10;tI202w8ggGNUYBCQ2Pn7zpAou9veqvqADDPz5s17sLyfnGVHHZMB3/H5rOZMewnK+H3Hfz4/frjj&#10;LGXhlbDgdcdPOvH71ft3yzG0uoEBrNKRIYhP7Rg6PuQc2qpKctBOpBkE7THYQ3Qi4zbuKxXFiOjO&#10;Vk1df6xGiCpEkDolPH04B/mq4Pe9lvlH3yedme04cstljWXd0VqtlqLdRxEGIy80xD+wcMJ4bHqF&#10;ehBZsEM0f0E5IyMk6PNMgqug743UZQacZl7/Mc3TIIIus6A4KVxlSv8PVn4/biMzquNNfcOZFw5N&#10;2hiv2aIhccaQWsxZ+22k8eTkn8IG5K/EPKwH4fe6kHw+BaybU0X1poQ2KWCL3fgNFOaIQ4ai1NRH&#10;x3prwlcqJHBUg03FmtPVGj1lJvFwXjd3tzU6KDF2s7hF70sz0RIOVYeY8hcNjtFPxy3OUFDFcZMy&#10;8XpJoXQPj8baYr/1bOz4p0WzKAUJrFEUpLQU97u1jewo6AKV79L3TVqEg1cFLAtjP3vFclEkR4Ma&#10;Wc2pg9OKM6vxndDfmZL1F8VIpLPcO1CnbaQwiYe+F+6XO0oX6/W+ZL28pNVvAAAA//8DAFBLAwQU&#10;AAYACAAAACEAq/61huAAAAAJAQAADwAAAGRycy9kb3ducmV2LnhtbEyPzU7DMBCE70i8g7VI3Kjd&#10;H6o2xKkQAokToi2q1JsbL0lobAd72wSenuUEp93VjGa/yVeDa8UZY2qC1zAeKRDoy2AbX2l42z7d&#10;LEAkMt6aNnjU8IUJVsXlRW4yG3q/xvOGKsEhPmVGQ03UZVKmskZn0ih06Fl7D9EZ4jNW0kbTc7hr&#10;5USpuXSm8fyhNh0+1FgeNyenYbntb8NrPO5m4+Zz//34Qd3zC2l9fTXc34EgHOjPDL/4jA4FMx3C&#10;ydskWg2T6Yy7EAsLnmyYLue8HDhdKZBFLv83KH4AAAD//wMAUEsBAi0AFAAGAAgAAAAhALaDOJL+&#10;AAAA4QEAABMAAAAAAAAAAAAAAAAAAAAAAFtDb250ZW50X1R5cGVzXS54bWxQSwECLQAUAAYACAAA&#10;ACEAOP0h/9YAAACUAQAACwAAAAAAAAAAAAAAAAAvAQAAX3JlbHMvLnJlbHNQSwECLQAUAAYACAAA&#10;ACEA+CGmnNwBAACRAwAADgAAAAAAAAAAAAAAAAAuAgAAZHJzL2Uyb0RvYy54bWxQSwECLQAUAAYA&#10;CAAAACEAq/61huAAAAAJAQAADwAAAAAAAAAAAAAAAAA2BAAAZHJzL2Rvd25yZXYueG1sUEsFBgAA&#10;AAAEAAQA8wAAAEMFAAAAAA==&#10;">
                <v:stroke endarrow="block"/>
              </v:line>
            </w:pict>
          </mc:Fallback>
        </mc:AlternateContent>
      </w:r>
    </w:p>
    <w:p w14:paraId="51FFDB50" w14:textId="77777777" w:rsidR="009E53D9" w:rsidRPr="006C5F6C" w:rsidRDefault="009E53D9" w:rsidP="009E53D9">
      <w:pPr>
        <w:tabs>
          <w:tab w:val="left" w:pos="720"/>
          <w:tab w:val="left" w:pos="1077"/>
          <w:tab w:val="left" w:pos="1418"/>
        </w:tabs>
        <w:autoSpaceDE w:val="0"/>
        <w:autoSpaceDN w:val="0"/>
        <w:ind w:firstLine="720"/>
        <w:jc w:val="both"/>
      </w:pPr>
    </w:p>
    <w:p w14:paraId="5F8D623A"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0400" behindDoc="0" locked="0" layoutInCell="1" allowOverlap="1" wp14:anchorId="1B0E697F" wp14:editId="12F1F9CB">
                <wp:simplePos x="0" y="0"/>
                <wp:positionH relativeFrom="column">
                  <wp:posOffset>347345</wp:posOffset>
                </wp:positionH>
                <wp:positionV relativeFrom="paragraph">
                  <wp:posOffset>104775</wp:posOffset>
                </wp:positionV>
                <wp:extent cx="2095500" cy="1009650"/>
                <wp:effectExtent l="0" t="0" r="19050" b="19050"/>
                <wp:wrapNone/>
                <wp:docPr id="205"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1009650"/>
                        </a:xfrm>
                        <a:prstGeom prst="ellipse">
                          <a:avLst/>
                        </a:prstGeom>
                        <a:solidFill>
                          <a:srgbClr val="FFFFFF"/>
                        </a:solidFill>
                        <a:ln w="9525">
                          <a:solidFill>
                            <a:srgbClr val="000000"/>
                          </a:solidFill>
                          <a:round/>
                        </a:ln>
                      </wps:spPr>
                      <wps:txbx>
                        <w:txbxContent>
                          <w:p w14:paraId="54A7ADBF" w14:textId="77777777" w:rsidR="007B24A1" w:rsidRPr="00E543D1" w:rsidRDefault="007B24A1" w:rsidP="009E53D9">
                            <w:pPr>
                              <w:jc w:val="center"/>
                            </w:pPr>
                            <w:r w:rsidRPr="00E543D1">
                              <w:t xml:space="preserve">            Dukterinis</w:t>
                            </w:r>
                          </w:p>
                          <w:p w14:paraId="3FC1627C" w14:textId="77777777" w:rsidR="007B24A1" w:rsidRPr="00E543D1" w:rsidRDefault="007B24A1" w:rsidP="009E53D9">
                            <w:pPr>
                              <w:pStyle w:val="Porat"/>
                              <w:jc w:val="center"/>
                              <w:rPr>
                                <w:rFonts w:ascii="Times New Roman" w:hAnsi="Times New Roman" w:cs="Times New Roman"/>
                                <w:lang w:val="lt-LT"/>
                              </w:rPr>
                            </w:pPr>
                            <w:r w:rsidRPr="00E543D1">
                              <w:rPr>
                                <w:rFonts w:ascii="Times New Roman" w:hAnsi="Times New Roman" w:cs="Times New Roman"/>
                                <w:lang w:val="lt-LT"/>
                              </w:rPr>
                              <w:t>vienetas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B0E697F" id="Oval 54" o:spid="_x0000_s1069" style="position:absolute;left:0;text-align:left;margin-left:27.35pt;margin-top:8.25pt;width:165pt;height:7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oHGQIAACwEAAAOAAAAZHJzL2Uyb0RvYy54bWysU8Fu2zAMvQ/YPwi6L3aMuFuMOEWRIsOA&#10;bi3Q7QMUWbaFyaJGKXG6rx8lp2m67TRMB0EUqSe+R3J1fRwMOyj0GmzN57OcM2UlNNp2Nf/2dfvu&#10;A2c+CNsIA1bV/El5fr1++2Y1ukoV0INpFDICsb4aXc37EFyVZV72ahB+Bk5ZcraAgwhkYpc1KEZC&#10;H0xW5PlVNgI2DkEq7+n2dnLydcJvWyXDfdt6FZipOeUW0o5p38U9W69E1aFwvZanNMQ/ZDEIbenT&#10;M9StCILtUf8BNWiJ4KENMwlDBm2rpUociM08/43NYy+cSlxIHO/OMvn/Byu/HB6Q6abmRV5yZsVA&#10;Rbo/CMPKRRRndL6imEf3gJGed3cgv3tmYdML26kbRBh7JRpKaR7js1cPouHpKduNn6EhZLEPkHQ6&#10;tjhEQFKAHVM5ns7lUMfAJF0W+bIsc6qaJN88z5dXZSpYJqrn5w59+KhgYPFQc2WMdj5KJipxuPMh&#10;ZiSq56jEAIxuttqYZGC32xhkxLfm27QSCSJ6GWYsG2u+LIsyIb/y+UuIPK2/QSDsbTNlY+xJpqjM&#10;pHA47o5TEc6i76B5IuEQppalEaNDD/iTs5Hateb+x16g4sx8siT+cr5YxP5OxqJ8X5CBl57dpUdY&#10;SVA1D5xNx02YZmLvUHc9/TRPTC3cUMFanXSMxZyyOuVPLZnkPY1P7PlLO0W9DPn6FwAAAP//AwBQ&#10;SwMEFAAGAAgAAAAhAAAqRLrdAAAACQEAAA8AAABkcnMvZG93bnJldi54bWxMj8FOwzAQRO9I/IO1&#10;SNyoU4LTKsSpKiokOHAgwN2Nt0nUeB3Fbhr+nu2JHvfNaHam2MyuFxOOofOkYblIQCDV3nbUaPj+&#10;en1YgwjRkDW9J9TwiwE25e1NYXLrz/SJUxUbwSEUcqOhjXHIpQx1i86EhR+QWDv40ZnI59hIO5oz&#10;h7tePiZJJp3piD+0ZsCXFutjdXIads22yiaZRpUedm9RHX8+3tOl1vd38/YZRMQ5/pvhUp+rQ8md&#10;9v5ENoheg3pasZN5pkCwnq4vYM9gpRTIspDXC8o/AAAA//8DAFBLAQItABQABgAIAAAAIQC2gziS&#10;/gAAAOEBAAATAAAAAAAAAAAAAAAAAAAAAABbQ29udGVudF9UeXBlc10ueG1sUEsBAi0AFAAGAAgA&#10;AAAhADj9If/WAAAAlAEAAAsAAAAAAAAAAAAAAAAALwEAAF9yZWxzLy5yZWxzUEsBAi0AFAAGAAgA&#10;AAAhALvq2gcZAgAALAQAAA4AAAAAAAAAAAAAAAAALgIAAGRycy9lMm9Eb2MueG1sUEsBAi0AFAAG&#10;AAgAAAAhAAAqRLrdAAAACQEAAA8AAAAAAAAAAAAAAAAAcwQAAGRycy9kb3ducmV2LnhtbFBLBQYA&#10;AAAABAAEAPMAAAB9BQAAAAA=&#10;">
                <v:textbox>
                  <w:txbxContent>
                    <w:p w14:paraId="54A7ADBF" w14:textId="77777777" w:rsidR="007B24A1" w:rsidRPr="00E543D1" w:rsidRDefault="007B24A1" w:rsidP="009E53D9">
                      <w:pPr>
                        <w:jc w:val="center"/>
                      </w:pPr>
                      <w:r w:rsidRPr="00E543D1">
                        <w:t xml:space="preserve">            Dukterinis</w:t>
                      </w:r>
                    </w:p>
                    <w:p w14:paraId="3FC1627C" w14:textId="77777777" w:rsidR="007B24A1" w:rsidRPr="00E543D1" w:rsidRDefault="007B24A1" w:rsidP="009E53D9">
                      <w:pPr>
                        <w:pStyle w:val="Porat"/>
                        <w:jc w:val="center"/>
                        <w:rPr>
                          <w:rFonts w:ascii="Times New Roman" w:hAnsi="Times New Roman" w:cs="Times New Roman"/>
                          <w:lang w:val="lt-LT"/>
                        </w:rPr>
                      </w:pPr>
                      <w:r w:rsidRPr="00E543D1">
                        <w:rPr>
                          <w:rFonts w:ascii="Times New Roman" w:hAnsi="Times New Roman" w:cs="Times New Roman"/>
                          <w:lang w:val="lt-LT"/>
                        </w:rPr>
                        <w:t>vienetas A</w:t>
                      </w:r>
                    </w:p>
                  </w:txbxContent>
                </v:textbox>
              </v:oval>
            </w:pict>
          </mc:Fallback>
        </mc:AlternateContent>
      </w:r>
      <w:r w:rsidRPr="006C5F6C">
        <w:rPr>
          <w:noProof/>
          <w:lang w:val="lt-LT" w:eastAsia="lt-LT"/>
        </w:rPr>
        <mc:AlternateContent>
          <mc:Choice Requires="wps">
            <w:drawing>
              <wp:anchor distT="0" distB="0" distL="114300" distR="114300" simplePos="0" relativeHeight="251757568" behindDoc="0" locked="0" layoutInCell="1" allowOverlap="1" wp14:anchorId="68088D40" wp14:editId="2B1FCC68">
                <wp:simplePos x="0" y="0"/>
                <wp:positionH relativeFrom="column">
                  <wp:posOffset>2057400</wp:posOffset>
                </wp:positionH>
                <wp:positionV relativeFrom="paragraph">
                  <wp:posOffset>152400</wp:posOffset>
                </wp:positionV>
                <wp:extent cx="3543300" cy="1600200"/>
                <wp:effectExtent l="5080" t="8255" r="13970" b="10795"/>
                <wp:wrapNone/>
                <wp:docPr id="20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600200"/>
                        </a:xfrm>
                        <a:prstGeom prst="rect">
                          <a:avLst/>
                        </a:prstGeom>
                        <a:noFill/>
                        <a:ln w="9525">
                          <a:solidFill>
                            <a:srgbClr val="000000"/>
                          </a:solidFill>
                          <a:prstDash val="dash"/>
                          <a:miter lim="800000"/>
                        </a:ln>
                      </wps:spPr>
                      <wps:bodyPr rot="0" vert="horz" wrap="square" lIns="91440" tIns="45720" rIns="91440" bIns="45720" anchor="t" anchorCtr="0" upright="1">
                        <a:noAutofit/>
                      </wps:bodyPr>
                    </wps:wsp>
                  </a:graphicData>
                </a:graphic>
              </wp:anchor>
            </w:drawing>
          </mc:Choice>
          <mc:Fallback>
            <w:pict>
              <v:rect w14:anchorId="62E4641F" id="Rectangle 53" o:spid="_x0000_s1026" style="position:absolute;margin-left:162pt;margin-top:12pt;width:279pt;height:126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OCHAIAABcEAAAOAAAAZHJzL2Uyb0RvYy54bWysU9tu2zAMfR+wfxD0vtjOba0RpygSdBjQ&#10;rcW6fYAiy7YwWdQoJU739aPkNEu3t2F+EESTPCQPj1Y3x96wg0KvwVa8mOScKSuh1rat+Levd++u&#10;OPNB2FoYsKriz8rzm/XbN6vBlWoKHZhaISMQ68vBVbwLwZVZ5mWneuEn4JQlZwPYi0AmtlmNYiD0&#10;3mTTPF9mA2DtEKTynv5uRydfJ/ymUTI8NI1XgZmKU28hnZjOXTyz9UqULQrXaXlqQ/xDF73Qloqe&#10;obYiCLZH/RdUryWChyZMJPQZNI2WKs1A0xT5H9M8dcKpNAuR492ZJv//YOXnwyMyXVd8mi85s6Kn&#10;JX0h2oRtjWKLWWRocL6kwCf3iHFG7+5BfvfMwqajMHWLCEOnRE19FTE+e5UQDU+pbDd8gprgxT5A&#10;IuvYYB8BiQZ2TDt5Pu9EHQOT9HO2mM9mOa1Okq9Y5jltPdUQ5Uu6Qx8+KOhZvFQcqfsELw73PsR2&#10;RPkSEqtZuNPGpMUby4aKXy+mi5Tgweg6OtOU2O42BtlBROmk71T3VVhE3grfjXE13WKUKHsdSNhG&#10;9xW/ukw29sRPpGSkdgf1M9GDMKqTXhNdOsCfnA2kzIr7H3uBijPz0RLF18V8HqWcjPni/ZQMvPTs&#10;Lj3CSoKqeOBsvG7CKP+9Q912VKlIs1u4pbU0OhEWVzZ2dWqW1Jd4PL2UKO9LO0X9fs/rXwAAAP//&#10;AwBQSwMEFAAGAAgAAAAhAPnoP7zbAAAACgEAAA8AAABkcnMvZG93bnJldi54bWxMT01LxDAQvQv+&#10;hzCCF3ET61JLbbqIuOBJcBW8ZpOxLSaT0qS73X/v6EVPw7z3eB/NZgleHHBKQyQNNysFAslGN1Cn&#10;4f1te12BSNmQMz4Sajhhgk17ftaY2sUjveJhlzvBJpRqo6HPeaylTLbHYNIqjkjMfcYpmMzv1Ek3&#10;mSObBy8LpUoZzECc0JsRH3u0X7s5cIh9mpV/9i9bOn2UuVzb6YoqrS8vlod7EBmX/CeGn/pcHVru&#10;tI8zuSS8httizVuyht/LgqoqGNgzcFcqkG0j/09ovwEAAP//AwBQSwECLQAUAAYACAAAACEAtoM4&#10;kv4AAADhAQAAEwAAAAAAAAAAAAAAAAAAAAAAW0NvbnRlbnRfVHlwZXNdLnhtbFBLAQItABQABgAI&#10;AAAAIQA4/SH/1gAAAJQBAAALAAAAAAAAAAAAAAAAAC8BAABfcmVscy8ucmVsc1BLAQItABQABgAI&#10;AAAAIQCOFKOCHAIAABcEAAAOAAAAAAAAAAAAAAAAAC4CAABkcnMvZTJvRG9jLnhtbFBLAQItABQA&#10;BgAIAAAAIQD56D+82wAAAAoBAAAPAAAAAAAAAAAAAAAAAHYEAABkcnMvZG93bnJldi54bWxQSwUG&#10;AAAAAAQABADzAAAAfgUAAAAA&#10;" filled="f">
                <v:stroke dashstyle="dash"/>
              </v:rect>
            </w:pict>
          </mc:Fallback>
        </mc:AlternateContent>
      </w:r>
    </w:p>
    <w:p w14:paraId="4DFE46ED"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1424" behindDoc="0" locked="0" layoutInCell="1" allowOverlap="1" wp14:anchorId="7DF18ACB" wp14:editId="366685DB">
                <wp:simplePos x="0" y="0"/>
                <wp:positionH relativeFrom="column">
                  <wp:posOffset>4119245</wp:posOffset>
                </wp:positionH>
                <wp:positionV relativeFrom="paragraph">
                  <wp:posOffset>14605</wp:posOffset>
                </wp:positionV>
                <wp:extent cx="1371600" cy="1009650"/>
                <wp:effectExtent l="0" t="0" r="19050" b="19050"/>
                <wp:wrapNone/>
                <wp:docPr id="207"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09650"/>
                        </a:xfrm>
                        <a:prstGeom prst="ellipse">
                          <a:avLst/>
                        </a:prstGeom>
                        <a:solidFill>
                          <a:srgbClr val="FFFFFF"/>
                        </a:solidFill>
                        <a:ln w="9525">
                          <a:solidFill>
                            <a:srgbClr val="000000"/>
                          </a:solidFill>
                          <a:round/>
                        </a:ln>
                      </wps:spPr>
                      <wps:txbx>
                        <w:txbxContent>
                          <w:p w14:paraId="1348B0B1" w14:textId="77777777" w:rsidR="007B24A1" w:rsidRPr="00E543D1" w:rsidRDefault="007B24A1" w:rsidP="009E53D9">
                            <w:pPr>
                              <w:jc w:val="center"/>
                            </w:pPr>
                            <w:r w:rsidRPr="00E543D1">
                              <w:t>Dukterinis</w:t>
                            </w:r>
                          </w:p>
                          <w:p w14:paraId="66AF22E2" w14:textId="77777777" w:rsidR="007B24A1" w:rsidRPr="00E543D1" w:rsidRDefault="007B24A1" w:rsidP="009E53D9">
                            <w:pPr>
                              <w:jc w:val="center"/>
                            </w:pPr>
                            <w:r w:rsidRPr="00E543D1">
                              <w:t>vienetas B</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7DF18ACB" id="Oval 55" o:spid="_x0000_s1070" style="position:absolute;left:0;text-align:left;margin-left:324.35pt;margin-top:1.15pt;width:108pt;height:79.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ehGgIAACwEAAAOAAAAZHJzL2Uyb0RvYy54bWysU9tu2zAMfR+wfxD0vtjOcmmMOEWRIsOA&#10;bi3Q7QMUWY6FyaJGKXGyrx8lp1m67WmYHgRRpI54Dsnl7bEz7KDQa7AVL0Y5Z8pKqLXdVfzrl827&#10;G858ELYWBqyq+El5frt6+2bZu1KNoQVTK2QEYn3Zu4q3Ibgyy7xsVSf8CJyy5GwAOxHIxF1Wo+gJ&#10;vTPZOM9nWQ9YOwSpvKfb+8HJVwm/aZQMj03jVWCm4pRbSDumfRv3bLUU5Q6Fa7U8pyH+IYtOaEuf&#10;XqDuRRBsj/oPqE5LBA9NGEnoMmgaLVXiQGyK/Dc2z61wKnEhcby7yOT/H6z8fHhCpuuKj/M5Z1Z0&#10;VKTHgzBsOo3i9M6XFPPsnjDS8+4B5DfPLKxbYXfqDhH6VomaUipifPbqQTQ8PWXb/hPUhCz2AZJO&#10;xwa7CEgKsGMqx+lSDnUMTNJl8X5ezHKqmiRfkeeL2TQVLBPly3OHPnxQ0LF4qLgyRjsfJROlODz4&#10;EDMS5UtUYgBG1xttTDJwt10bZMS34pu0Egkieh1mLOsrvpiOpwn5lc9fQ+Rp/Q0CYW/rIRtjzzJF&#10;ZQaFw3F7HIpwEX0L9YmEQxhalkaMDi3gD856ateK++97gYoz89GS+ItiMon9nYzJdD4mA68922uP&#10;sJKgKh44G47rMMzE3qHetfRTkZhauKOCNTrpGIs5ZHXOn1oyyXsen9jz13aK+jXkq58AAAD//wMA&#10;UEsDBBQABgAIAAAAIQCePegj3gAAAAkBAAAPAAAAZHJzL2Rvd25yZXYueG1sTI/BTsMwEETvSPyD&#10;tUjcqJO6NVEap6qokODAgUDvbuwmUeN1FLtp+HuWEz2O5mn2bbGdXc8mO4bOo4J0kQCzWHvTYaPg&#10;++v1KQMWokaje49WwY8NsC3v7wqdG3/FTztVsWE0giHXCtoYh5zzULfW6bDwg0XqTn50OlIcG25G&#10;faVx1/NlkkjudId0odWDfWltfa4uTsG+2VVy4iKuxWn/Ftfnw8e7SJV6fJh3G2DRzvEfhj99UoeS&#10;nI7+giawXoFcZc+EKlgKYNRnckX5SKBMBfCy4LcflL8AAAD//wMAUEsBAi0AFAAGAAgAAAAhALaD&#10;OJL+AAAA4QEAABMAAAAAAAAAAAAAAAAAAAAAAFtDb250ZW50X1R5cGVzXS54bWxQSwECLQAUAAYA&#10;CAAAACEAOP0h/9YAAACUAQAACwAAAAAAAAAAAAAAAAAvAQAAX3JlbHMvLnJlbHNQSwECLQAUAAYA&#10;CAAAACEAU5znoRoCAAAsBAAADgAAAAAAAAAAAAAAAAAuAgAAZHJzL2Uyb0RvYy54bWxQSwECLQAU&#10;AAYACAAAACEAnj3oI94AAAAJAQAADwAAAAAAAAAAAAAAAAB0BAAAZHJzL2Rvd25yZXYueG1sUEsF&#10;BgAAAAAEAAQA8wAAAH8FAAAAAA==&#10;">
                <v:textbox>
                  <w:txbxContent>
                    <w:p w14:paraId="1348B0B1" w14:textId="77777777" w:rsidR="007B24A1" w:rsidRPr="00E543D1" w:rsidRDefault="007B24A1" w:rsidP="009E53D9">
                      <w:pPr>
                        <w:jc w:val="center"/>
                      </w:pPr>
                      <w:r w:rsidRPr="00E543D1">
                        <w:t>Dukterinis</w:t>
                      </w:r>
                    </w:p>
                    <w:p w14:paraId="66AF22E2" w14:textId="77777777" w:rsidR="007B24A1" w:rsidRPr="00E543D1" w:rsidRDefault="007B24A1" w:rsidP="009E53D9">
                      <w:pPr>
                        <w:jc w:val="center"/>
                      </w:pPr>
                      <w:r w:rsidRPr="00E543D1">
                        <w:t>vienetas B</w:t>
                      </w:r>
                    </w:p>
                  </w:txbxContent>
                </v:textbox>
              </v:oval>
            </w:pict>
          </mc:Fallback>
        </mc:AlternateContent>
      </w:r>
    </w:p>
    <w:p w14:paraId="2EF3D59B" w14:textId="77777777" w:rsidR="009E53D9" w:rsidRPr="006C5F6C" w:rsidRDefault="009E53D9" w:rsidP="009E53D9">
      <w:pPr>
        <w:tabs>
          <w:tab w:val="left" w:pos="720"/>
          <w:tab w:val="left" w:pos="1077"/>
          <w:tab w:val="left" w:pos="1418"/>
        </w:tabs>
        <w:autoSpaceDE w:val="0"/>
        <w:autoSpaceDN w:val="0"/>
        <w:ind w:firstLine="720"/>
        <w:jc w:val="both"/>
      </w:pPr>
    </w:p>
    <w:p w14:paraId="5B56572D" w14:textId="77777777" w:rsidR="009E53D9" w:rsidRPr="006C5F6C" w:rsidRDefault="009E53D9" w:rsidP="009E53D9">
      <w:pPr>
        <w:tabs>
          <w:tab w:val="left" w:pos="720"/>
          <w:tab w:val="left" w:pos="1077"/>
          <w:tab w:val="left" w:pos="1418"/>
        </w:tabs>
        <w:autoSpaceDE w:val="0"/>
        <w:autoSpaceDN w:val="0"/>
        <w:ind w:firstLine="720"/>
        <w:jc w:val="both"/>
      </w:pPr>
      <w:r w:rsidRPr="006C5F6C">
        <w:rPr>
          <w:noProof/>
          <w:lang w:val="lt-LT" w:eastAsia="lt-LT"/>
        </w:rPr>
        <mc:AlternateContent>
          <mc:Choice Requires="wps">
            <w:drawing>
              <wp:anchor distT="0" distB="0" distL="114300" distR="114300" simplePos="0" relativeHeight="251752448" behindDoc="0" locked="0" layoutInCell="1" allowOverlap="1" wp14:anchorId="162A02FF" wp14:editId="64C19B58">
                <wp:simplePos x="0" y="0"/>
                <wp:positionH relativeFrom="column">
                  <wp:posOffset>2120265</wp:posOffset>
                </wp:positionH>
                <wp:positionV relativeFrom="paragraph">
                  <wp:posOffset>229235</wp:posOffset>
                </wp:positionV>
                <wp:extent cx="1704975" cy="1143000"/>
                <wp:effectExtent l="0" t="0" r="28575" b="19050"/>
                <wp:wrapNone/>
                <wp:docPr id="208"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143000"/>
                        </a:xfrm>
                        <a:prstGeom prst="ellipse">
                          <a:avLst/>
                        </a:prstGeom>
                        <a:solidFill>
                          <a:srgbClr val="FFFFFF"/>
                        </a:solidFill>
                        <a:ln w="9525">
                          <a:solidFill>
                            <a:srgbClr val="000000"/>
                          </a:solidFill>
                          <a:round/>
                        </a:ln>
                      </wps:spPr>
                      <wps:txbx>
                        <w:txbxContent>
                          <w:p w14:paraId="345F372E" w14:textId="77777777" w:rsidR="007B24A1" w:rsidRPr="00584460" w:rsidRDefault="007B24A1" w:rsidP="009E53D9">
                            <w:pPr>
                              <w:pStyle w:val="Pagrindinistekstas"/>
                              <w:jc w:val="center"/>
                              <w:rPr>
                                <w:bCs/>
                                <w:lang w:val="lt-LT"/>
                              </w:rPr>
                            </w:pPr>
                            <w:r w:rsidRPr="007D4A8C">
                              <w:rPr>
                                <w:bCs/>
                                <w:lang w:val="lt-LT"/>
                              </w:rPr>
                              <w:t>A vieneto  dalyvis</w:t>
                            </w:r>
                            <w:r>
                              <w:rPr>
                                <w:bCs/>
                                <w:lang w:val="lt-LT"/>
                              </w:rPr>
                              <w:t xml:space="preserve"> </w:t>
                            </w:r>
                            <w:r w:rsidRPr="00584460">
                              <w:rPr>
                                <w:bCs/>
                                <w:lang w:val="lt-LT"/>
                              </w:rPr>
                              <w:t>(25 proc.)</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162A02FF" id="Oval 57" o:spid="_x0000_s1071" style="position:absolute;left:0;text-align:left;margin-left:166.95pt;margin-top:18.05pt;width:134.25pt;height:9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oXFgIAACwEAAAOAAAAZHJzL2Uyb0RvYy54bWysU8GO2jAQvVfqP1i+lyTsAt2IsFqxoqq0&#10;7a607QcYxyFWHY87NgT69R07wEJ7q5qD5cmMn99745nf7zvDdgq9BlvxYpRzpqyEWttNxb9/W334&#10;yJkPwtbCgFUVPyjP7xfv3817V6oxtGBqhYxArC97V/E2BFdmmZet6oQfgVOWkg1gJwKFuMlqFD2h&#10;dyYb5/k06wFrhyCV9/T3cUjyRcJvGiXDc9N4FZipOHELacW0ruOaLeai3KBwrZZHGuIfWHRCW7r0&#10;DPUogmBb1H9BdVoieGjCSEKXQdNoqZIGUlPkf6h5bYVTSQuZ493ZJv//YOXX3QsyXVd8nFOrrOio&#10;Sc87YdhkFs3pnS+p5tW9YJTn3RPIH55ZWLbCbtQDIvStEjVRKmJ9dnUgBp6OsnX/BWpCFtsAyad9&#10;g10EJAfYPrXjcG6H2gcm6Wcxy2/vZhPOJOWK4vYmz1PDMlGejjv04ZOCjsVNxZUx2vlomSjF7smH&#10;yEiUp6qkAIyuV9qYFOBmvTTISG/FV+lLIkjoZZmxrK/43WQ8SchXOX8JQQTfOF6VIWxtPbAx9mhT&#10;dGZwOOzX+6EJ05Ppa6gPZBzC8GRpxGjTAv7irKfnWnH/cytQcWY+WzL/ZhovZuEywMtgfRkIKwmq&#10;4oGzYbsMw0xsHepNSzcVSamFB2pYo5OPsZkDqyN/epLJ3uP4xDd/GaeqtyFf/AYAAP//AwBQSwME&#10;FAAGAAgAAAAhAOMHYIvcAAAACgEAAA8AAABkcnMvZG93bnJldi54bWxMj01OwzAQRvdI3MEaJHbU&#10;iYPSNo1TURASW1IO4MYmiRqPo3iaprdnWMFufp6+eVPuFz+I2U2xD6ghXSUgHDbB9thq+Dq+P21A&#10;RDJozRDQabi5CPvq/q40hQ1X/HRzTa3gEIyF0dARjYWUsemcN3EVRoe8+w6TN8Tt1Eo7mSuH+0Gq&#10;JMmlNz3yhc6M7rVzzbm+eA1v+fGjvimaN+skXSs60CHQVuvHh+VlB4LcQn8w/OqzOlTsdAoXtFEM&#10;GrIs2zLKRZ6CYCBP1DOIkwaV8kRWpfz/QvUDAAD//wMAUEsBAi0AFAAGAAgAAAAhALaDOJL+AAAA&#10;4QEAABMAAAAAAAAAAAAAAAAAAAAAAFtDb250ZW50X1R5cGVzXS54bWxQSwECLQAUAAYACAAAACEA&#10;OP0h/9YAAACUAQAACwAAAAAAAAAAAAAAAAAvAQAAX3JlbHMvLnJlbHNQSwECLQAUAAYACAAAACEA&#10;kpRKFxYCAAAsBAAADgAAAAAAAAAAAAAAAAAuAgAAZHJzL2Uyb0RvYy54bWxQSwECLQAUAAYACAAA&#10;ACEA4wdgi9wAAAAKAQAADwAAAAAAAAAAAAAAAABwBAAAZHJzL2Rvd25yZXYueG1sUEsFBgAAAAAE&#10;AAQA8wAAAHkFAAAAAA==&#10;">
                <v:textbox inset="1mm,1mm,1mm,1mm">
                  <w:txbxContent>
                    <w:p w14:paraId="345F372E" w14:textId="77777777" w:rsidR="007B24A1" w:rsidRPr="00584460" w:rsidRDefault="007B24A1" w:rsidP="009E53D9">
                      <w:pPr>
                        <w:pStyle w:val="Pagrindinistekstas"/>
                        <w:jc w:val="center"/>
                        <w:rPr>
                          <w:bCs/>
                          <w:lang w:val="lt-LT"/>
                        </w:rPr>
                      </w:pPr>
                      <w:r w:rsidRPr="007D4A8C">
                        <w:rPr>
                          <w:bCs/>
                          <w:lang w:val="lt-LT"/>
                        </w:rPr>
                        <w:t>A vieneto  dalyvis</w:t>
                      </w:r>
                      <w:r>
                        <w:rPr>
                          <w:bCs/>
                          <w:lang w:val="lt-LT"/>
                        </w:rPr>
                        <w:t xml:space="preserve"> </w:t>
                      </w:r>
                      <w:r w:rsidRPr="00584460">
                        <w:rPr>
                          <w:bCs/>
                          <w:lang w:val="lt-LT"/>
                        </w:rPr>
                        <w:t>(25 proc.)</w:t>
                      </w:r>
                    </w:p>
                  </w:txbxContent>
                </v:textbox>
              </v:oval>
            </w:pict>
          </mc:Fallback>
        </mc:AlternateContent>
      </w:r>
      <w:r w:rsidRPr="006C5F6C">
        <w:rPr>
          <w:noProof/>
          <w:lang w:val="lt-LT" w:eastAsia="lt-LT"/>
        </w:rPr>
        <mc:AlternateContent>
          <mc:Choice Requires="wps">
            <w:drawing>
              <wp:anchor distT="0" distB="0" distL="114300" distR="114300" simplePos="0" relativeHeight="251755520" behindDoc="0" locked="0" layoutInCell="1" allowOverlap="1" wp14:anchorId="72716D56" wp14:editId="047C6B71">
                <wp:simplePos x="0" y="0"/>
                <wp:positionH relativeFrom="column">
                  <wp:posOffset>1647190</wp:posOffset>
                </wp:positionH>
                <wp:positionV relativeFrom="paragraph">
                  <wp:posOffset>83185</wp:posOffset>
                </wp:positionV>
                <wp:extent cx="570230" cy="335280"/>
                <wp:effectExtent l="42545" t="55245" r="6350" b="9525"/>
                <wp:wrapNone/>
                <wp:docPr id="20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0230" cy="335280"/>
                        </a:xfrm>
                        <a:prstGeom prst="line">
                          <a:avLst/>
                        </a:prstGeom>
                        <a:noFill/>
                        <a:ln w="9525">
                          <a:solidFill>
                            <a:srgbClr val="000000"/>
                          </a:solidFill>
                          <a:round/>
                          <a:tailEnd type="triangle" w="med" len="med"/>
                        </a:ln>
                      </wps:spPr>
                      <wps:bodyPr/>
                    </wps:wsp>
                  </a:graphicData>
                </a:graphic>
              </wp:anchor>
            </w:drawing>
          </mc:Choice>
          <mc:Fallback>
            <w:pict>
              <v:line w14:anchorId="6CCB1518" id="Line 56" o:spid="_x0000_s1026" style="position:absolute;flip:x y;z-index:251755520;visibility:visible;mso-wrap-style:square;mso-wrap-distance-left:9pt;mso-wrap-distance-top:0;mso-wrap-distance-right:9pt;mso-wrap-distance-bottom:0;mso-position-horizontal:absolute;mso-position-horizontal-relative:text;mso-position-vertical:absolute;mso-position-vertical-relative:text" from="129.7pt,6.55pt" to="174.6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az4QEAAJoDAAAOAAAAZHJzL2Uyb0RvYy54bWysU8Fu2zAMvQ/YPwi6L3YcpGuNOD2k63bI&#10;tgDtdlckORYmiYKkxMnfj1SCtN1uw3wQKPPxkXykFvdHZ9lBx2TAd3w6qTnTXoIyftfxH8+PH245&#10;S1l4JSx43fGTTvx++f7dYgytbmAAq3RkSOJTO4aODzmHtqqSHLQTaQJBe3T2EJ3IeI27SkUxIruz&#10;VVPXN9UIUYUIUqeEfx/OTr4s/H2vZf7e90lnZjuOteVyxnJu6ayWC9HuogiDkZcyxD9U4YTxmPRK&#10;9SCyYPto/qJyRkZI0OeJBFdB3xupSw/YzbT+o5unQQRdekFxUrjKlP4frfx22ERmVMeb+o4zLxwO&#10;aW28ZvMbEmcMqUXMym8itSeP/imsQf5KzMNqEH6nS5HPp4BxU4qo3oTQJQVMsR2/gkKM2GcoSh37&#10;6FhvTfhCgcX6SRalQV3YsQzpdB2SPmYm8ef8Y93McJQSXbPZvLktQ6xES4QUHGLKnzU4RkbHLTZT&#10;SMVhnTIV+AIhuIdHY23ZA+vZ2PG7eTMvAQmsUeQkWIq77cpGdhC0SeUr3aLnNSzC3qtCloWxn7xi&#10;uUiTo0GxrOaUwWnFmdX4YMg6l2T9RTpS66z7FtRpE8lNKuIClNovy0ob9vpeUC9PavkbAAD//wMA&#10;UEsDBBQABgAIAAAAIQAxxU9Z4AAAAAkBAAAPAAAAZHJzL2Rvd25yZXYueG1sTI/LTsMwEEX3SPyD&#10;NUhsKurEbaMmxKkqJKDqBtH2A9x4SAJ+RLHThr9nWMFydI/uPVNuJmvYBYfQeSchnSfA0NVed66R&#10;cDo+P6yBhaicVsY7lPCNATbV7U2pCu2v7h0vh9gwKnGhUBLaGPuC81C3aFWY+x4dZR9+sCrSOTRc&#10;D+pK5dZwkSQZt6pztNCqHp9arL8Oo5Ww7d8+R7FLX3RyFLOZ2WWpf91LeX83bR+BRZziHwy/+qQO&#10;FTmd/eh0YEaCWOVLQilYpMAIWCxzAewsIVvlwKuS//+g+gEAAP//AwBQSwECLQAUAAYACAAAACEA&#10;toM4kv4AAADhAQAAEwAAAAAAAAAAAAAAAAAAAAAAW0NvbnRlbnRfVHlwZXNdLnhtbFBLAQItABQA&#10;BgAIAAAAIQA4/SH/1gAAAJQBAAALAAAAAAAAAAAAAAAAAC8BAABfcmVscy8ucmVsc1BLAQItABQA&#10;BgAIAAAAIQAQlKaz4QEAAJoDAAAOAAAAAAAAAAAAAAAAAC4CAABkcnMvZTJvRG9jLnhtbFBLAQIt&#10;ABQABgAIAAAAIQAxxU9Z4AAAAAkBAAAPAAAAAAAAAAAAAAAAADsEAABkcnMvZG93bnJldi54bWxQ&#10;SwUGAAAAAAQABADzAAAASAUAAAAA&#10;">
                <v:stroke endarrow="block"/>
              </v:line>
            </w:pict>
          </mc:Fallback>
        </mc:AlternateContent>
      </w:r>
    </w:p>
    <w:p w14:paraId="1A5B3836" w14:textId="77777777" w:rsidR="009E53D9" w:rsidRPr="006C5F6C" w:rsidRDefault="009E53D9" w:rsidP="009E53D9">
      <w:pPr>
        <w:tabs>
          <w:tab w:val="left" w:pos="720"/>
          <w:tab w:val="left" w:pos="1077"/>
          <w:tab w:val="left" w:pos="1418"/>
        </w:tabs>
        <w:autoSpaceDE w:val="0"/>
        <w:autoSpaceDN w:val="0"/>
        <w:ind w:firstLine="720"/>
        <w:jc w:val="both"/>
      </w:pPr>
    </w:p>
    <w:p w14:paraId="38882172" w14:textId="77777777" w:rsidR="009E53D9" w:rsidRPr="006C5F6C" w:rsidRDefault="009E53D9" w:rsidP="009E53D9">
      <w:pPr>
        <w:tabs>
          <w:tab w:val="left" w:pos="720"/>
          <w:tab w:val="left" w:pos="1077"/>
          <w:tab w:val="left" w:pos="1418"/>
        </w:tabs>
        <w:autoSpaceDE w:val="0"/>
        <w:autoSpaceDN w:val="0"/>
        <w:ind w:firstLine="720"/>
        <w:jc w:val="both"/>
      </w:pPr>
    </w:p>
    <w:p w14:paraId="5977E43C" w14:textId="77777777" w:rsidR="009E53D9" w:rsidRPr="006C5F6C" w:rsidRDefault="009E53D9" w:rsidP="009E53D9">
      <w:pPr>
        <w:tabs>
          <w:tab w:val="left" w:pos="720"/>
          <w:tab w:val="left" w:pos="1077"/>
          <w:tab w:val="left" w:pos="1418"/>
        </w:tabs>
        <w:autoSpaceDE w:val="0"/>
        <w:autoSpaceDN w:val="0"/>
        <w:ind w:firstLine="720"/>
        <w:jc w:val="both"/>
      </w:pPr>
    </w:p>
    <w:p w14:paraId="677BB91F" w14:textId="77777777" w:rsidR="009E53D9" w:rsidRPr="006C5F6C" w:rsidRDefault="009E53D9" w:rsidP="009E53D9">
      <w:pPr>
        <w:pStyle w:val="Style1"/>
        <w:tabs>
          <w:tab w:val="left" w:pos="720"/>
          <w:tab w:val="left" w:pos="1077"/>
          <w:tab w:val="left" w:pos="1418"/>
        </w:tabs>
        <w:autoSpaceDE w:val="0"/>
        <w:autoSpaceDN w:val="0"/>
        <w:rPr>
          <w:rFonts w:ascii="Times New Roman" w:hAnsi="Times New Roman"/>
          <w:szCs w:val="24"/>
        </w:rPr>
      </w:pPr>
    </w:p>
    <w:p w14:paraId="1079C69C" w14:textId="77777777" w:rsidR="009E53D9" w:rsidRPr="006C5F6C" w:rsidRDefault="009E53D9" w:rsidP="009E53D9">
      <w:pPr>
        <w:pStyle w:val="Style1"/>
        <w:tabs>
          <w:tab w:val="left" w:pos="720"/>
          <w:tab w:val="left" w:pos="1077"/>
          <w:tab w:val="left" w:pos="1418"/>
        </w:tabs>
        <w:autoSpaceDE w:val="0"/>
        <w:autoSpaceDN w:val="0"/>
        <w:spacing w:after="0" w:line="240" w:lineRule="auto"/>
        <w:rPr>
          <w:rFonts w:ascii="Times New Roman" w:hAnsi="Times New Roman"/>
          <w:szCs w:val="24"/>
        </w:rPr>
      </w:pPr>
      <w:r w:rsidRPr="006C5F6C">
        <w:rPr>
          <w:rFonts w:ascii="Times New Roman" w:hAnsi="Times New Roman"/>
          <w:noProof/>
          <w:szCs w:val="24"/>
          <w:lang w:eastAsia="lt-LT"/>
        </w:rPr>
        <mc:AlternateContent>
          <mc:Choice Requires="wps">
            <w:drawing>
              <wp:anchor distT="0" distB="0" distL="114300" distR="114300" simplePos="0" relativeHeight="251758592" behindDoc="0" locked="0" layoutInCell="1" allowOverlap="1" wp14:anchorId="34327072" wp14:editId="0E108734">
                <wp:simplePos x="0" y="0"/>
                <wp:positionH relativeFrom="column">
                  <wp:posOffset>5372100</wp:posOffset>
                </wp:positionH>
                <wp:positionV relativeFrom="paragraph">
                  <wp:posOffset>122555</wp:posOffset>
                </wp:positionV>
                <wp:extent cx="228600" cy="228600"/>
                <wp:effectExtent l="0" t="0" r="4445" b="635"/>
                <wp:wrapNone/>
                <wp:docPr id="2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wps:spPr>
                      <wps:txbx>
                        <w:txbxContent>
                          <w:p w14:paraId="51B71537" w14:textId="77777777" w:rsidR="007B24A1" w:rsidRDefault="007B24A1" w:rsidP="009E53D9"/>
                        </w:txbxContent>
                      </wps:txbx>
                      <wps:bodyPr rot="0" vert="horz" wrap="square" lIns="0" tIns="0" rIns="0" bIns="0" anchor="t" anchorCtr="0" upright="1">
                        <a:noAutofit/>
                      </wps:bodyPr>
                    </wps:wsp>
                  </a:graphicData>
                </a:graphic>
              </wp:anchor>
            </w:drawing>
          </mc:Choice>
          <mc:Fallback>
            <w:pict>
              <v:shape w14:anchorId="34327072" id="Text Box 58" o:spid="_x0000_s1072" type="#_x0000_t202" style="position:absolute;left:0;text-align:left;margin-left:423pt;margin-top:9.65pt;width:18pt;height:18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Bm6AEAAMADAAAOAAAAZHJzL2Uyb0RvYy54bWysU9tu2zAMfR+wfxD0vtgxsC4w4hRdiw4D&#10;ugvQ9gMYWbaF2aJGKbGzrx8lx1m3vQ17ESiSOjw8pLbX09CLoyZv0FZyvcql0FZhbWxbyeen+zcb&#10;KXwAW0OPVlfypL283r1+tR1dqQvssK81CQaxvhxdJbsQXJllXnV6AL9Cpy0HG6QBAl+pzWqCkdGH&#10;Pivy/CobkWpHqLT37L2bg3KX8JtGq/ClabwOoq8kcwvppHTu45nttlC2BK4z6kwD/oHFAMZy0QvU&#10;HQQQBzJ/QQ1GEXpswkrhkGHTGKVTD9zNOv+jm8cOnE69sDjeXWTy/w9WfT5+JWHqShZr1sfCwEN6&#10;0lMQ73ESbzdRoNH5kvMeHWeGif086NSsdw+ovnlh8bYD2+obIhw7DTUTXMeX2YunM46PIPvxE9Zc&#10;Bw4BE9DU0BDVYz0EozOR02U4kYtiZ1FsrnKOKA6d7VgByuWxIx8+aBxENCpJPPsEDscHH+bUJSXW&#10;snhv+p79UPb2NwdjRk8iH/nOzMO0n2ah3i2i7LE+cTuE81rxN2CjQ/ohxcgrVUn//QCkpeg/WpYk&#10;7t9i0GLsFwOs4qeVDFLM5m2Y9/TgyLQdI8+iW7xh2RqTWor6zizOfHlNkijnlY57+PKesn59vN1P&#10;AAAA//8DAFBLAwQUAAYACAAAACEALhcyu98AAAAJAQAADwAAAGRycy9kb3ducmV2LnhtbEyPwU7D&#10;MBBE70j8g7VI3KhDS6M0xKkqBCckRBoOHJ14m1iN1yF22/D3LCc47sxo9k2xnd0gzjgF60nB/SIB&#10;gdR6Y6lT8FG/3GUgQtRk9OAJFXxjgG15fVXo3PgLVXjex05wCYVcK+hjHHMpQ9uj02HhRyT2Dn5y&#10;OvI5ddJM+sLlbpDLJEml05b4Q69HfOqxPe5PTsHuk6pn+/XWvFeHytb1JqHX9KjU7c28ewQRcY5/&#10;YfjFZ3QomanxJzJBDAqyh5S3RDY2KxAcyLIlC42C9XoFsizk/wXlDwAAAP//AwBQSwECLQAUAAYA&#10;CAAAACEAtoM4kv4AAADhAQAAEwAAAAAAAAAAAAAAAAAAAAAAW0NvbnRlbnRfVHlwZXNdLnhtbFBL&#10;AQItABQABgAIAAAAIQA4/SH/1gAAAJQBAAALAAAAAAAAAAAAAAAAAC8BAABfcmVscy8ucmVsc1BL&#10;AQItABQABgAIAAAAIQBVI8Bm6AEAAMADAAAOAAAAAAAAAAAAAAAAAC4CAABkcnMvZTJvRG9jLnht&#10;bFBLAQItABQABgAIAAAAIQAuFzK73wAAAAkBAAAPAAAAAAAAAAAAAAAAAEIEAABkcnMvZG93bnJl&#10;di54bWxQSwUGAAAAAAQABADzAAAATgUAAAAA&#10;" filled="f" stroked="f">
                <v:textbox inset="0,0,0,0">
                  <w:txbxContent>
                    <w:p w14:paraId="51B71537" w14:textId="77777777" w:rsidR="007B24A1" w:rsidRDefault="007B24A1" w:rsidP="009E53D9"/>
                  </w:txbxContent>
                </v:textbox>
              </v:shape>
            </w:pict>
          </mc:Fallback>
        </mc:AlternateContent>
      </w:r>
      <w:r w:rsidRPr="006C5F6C">
        <w:rPr>
          <w:rFonts w:ascii="Times New Roman" w:hAnsi="Times New Roman"/>
          <w:szCs w:val="24"/>
        </w:rPr>
        <w:t>Pateiktoje schemoje pagal šį punktą susijusiais asmenimis būtų laikomi:</w:t>
      </w:r>
    </w:p>
    <w:p w14:paraId="2AC51B2D" w14:textId="77777777" w:rsidR="009E53D9" w:rsidRPr="006C5F6C" w:rsidRDefault="009E53D9" w:rsidP="00EC4E29">
      <w:pPr>
        <w:numPr>
          <w:ilvl w:val="0"/>
          <w:numId w:val="19"/>
        </w:numPr>
        <w:tabs>
          <w:tab w:val="left" w:pos="720"/>
          <w:tab w:val="left" w:pos="1418"/>
        </w:tabs>
        <w:autoSpaceDE w:val="0"/>
        <w:autoSpaceDN w:val="0"/>
        <w:spacing w:after="0" w:line="240" w:lineRule="auto"/>
        <w:jc w:val="both"/>
      </w:pPr>
      <w:r w:rsidRPr="006C5F6C">
        <w:t>patronuojantis vienetas ir A vieneto dalyvis;</w:t>
      </w:r>
    </w:p>
    <w:p w14:paraId="66B05248" w14:textId="77777777" w:rsidR="009E53D9" w:rsidRDefault="009E53D9" w:rsidP="00EC4E29">
      <w:pPr>
        <w:numPr>
          <w:ilvl w:val="0"/>
          <w:numId w:val="19"/>
        </w:numPr>
        <w:tabs>
          <w:tab w:val="left" w:pos="720"/>
          <w:tab w:val="left" w:pos="1418"/>
        </w:tabs>
        <w:autoSpaceDE w:val="0"/>
        <w:autoSpaceDN w:val="0"/>
        <w:spacing w:after="0" w:line="240" w:lineRule="auto"/>
        <w:jc w:val="both"/>
      </w:pPr>
      <w:r w:rsidRPr="006C5F6C">
        <w:t>dukterinis vienetas B ir A vieneto dalyvis</w:t>
      </w:r>
      <w:r>
        <w:t>.</w:t>
      </w:r>
    </w:p>
    <w:p w14:paraId="15517232" w14:textId="77777777" w:rsidR="009E53D9" w:rsidRPr="009E53D9" w:rsidRDefault="009E53D9" w:rsidP="009E53D9">
      <w:pPr>
        <w:pStyle w:val="Pagrindiniotekstotrauka2"/>
        <w:tabs>
          <w:tab w:val="left" w:pos="720"/>
          <w:tab w:val="left" w:pos="1080"/>
        </w:tabs>
        <w:spacing w:line="240" w:lineRule="auto"/>
        <w:ind w:left="720" w:firstLine="0"/>
        <w:rPr>
          <w:b w:val="0"/>
          <w:bCs w:val="0"/>
        </w:rPr>
      </w:pP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70969A10" w14:textId="77777777" w:rsidR="00093845" w:rsidRDefault="000D779E">
      <w:pPr>
        <w:pStyle w:val="Pagrindiniotekstotrauka"/>
        <w:tabs>
          <w:tab w:val="left" w:pos="1080"/>
        </w:tabs>
        <w:rPr>
          <w:rFonts w:ascii="Times New Roman" w:hAnsi="Times New Roman"/>
          <w:b/>
          <w:lang w:val="lt-LT"/>
        </w:rPr>
      </w:pPr>
      <w:r>
        <w:rPr>
          <w:rFonts w:ascii="Times New Roman" w:hAnsi="Times New Roman"/>
          <w:b/>
          <w:lang w:val="lt-LT"/>
        </w:rPr>
        <w:lastRenderedPageBreak/>
        <w:t>6)</w:t>
      </w:r>
      <w:r>
        <w:rPr>
          <w:rFonts w:ascii="Times New Roman" w:hAnsi="Times New Roman"/>
          <w:b/>
          <w:lang w:val="lt-LT"/>
        </w:rPr>
        <w:tab/>
        <w:t>vienetas ir kito vieneto valdymo organų nariai, jei tie vienetai sudaro vieną vienetų grupę;</w:t>
      </w:r>
    </w:p>
    <w:p w14:paraId="5CA156F7" w14:textId="77777777" w:rsidR="00093845" w:rsidRDefault="000D779E">
      <w:pPr>
        <w:pStyle w:val="Pagrindiniotekstotrauka"/>
        <w:tabs>
          <w:tab w:val="left" w:pos="1080"/>
        </w:tabs>
        <w:rPr>
          <w:rFonts w:ascii="Times New Roman" w:hAnsi="Times New Roman"/>
          <w:b/>
          <w:lang w:val="lt-LT"/>
        </w:rPr>
      </w:pPr>
      <w:r>
        <w:rPr>
          <w:rFonts w:ascii="Times New Roman" w:hAnsi="Times New Roman"/>
          <w:b/>
          <w:lang w:val="lt-LT"/>
        </w:rPr>
        <w:t>Komentaras</w:t>
      </w:r>
    </w:p>
    <w:p w14:paraId="34922503" w14:textId="77777777" w:rsidR="00093845" w:rsidRDefault="000D779E">
      <w:pPr>
        <w:pStyle w:val="Pagrindiniotekstotrauka"/>
        <w:tabs>
          <w:tab w:val="left" w:pos="1080"/>
        </w:tabs>
        <w:rPr>
          <w:rFonts w:ascii="Times New Roman" w:hAnsi="Times New Roman"/>
          <w:lang w:val="lt-LT"/>
        </w:rPr>
      </w:pPr>
      <w:r>
        <w:rPr>
          <w:rFonts w:ascii="Times New Roman" w:hAnsi="Times New Roman"/>
          <w:lang w:val="lt-LT"/>
        </w:rPr>
        <w:t xml:space="preserve">Pagal šį punktą susijusiais asmenimis laikomi vienetas ir kito vieneto, priklausančio tai pačiai vienetų grupei (vieneto dukteriniam vienetui, vieneto patronuojančiam vienetui ar kitam to patronuojančio vieneto dukteriniam vienetui) valdymo organų nariai. Apie vienetų grupę ir valdymo organų narius pakomentuota PMĮ 2 str. 7 dalies komentare ir 2 str. 20 d. 2 punkto komentare. </w:t>
      </w:r>
    </w:p>
    <w:p w14:paraId="65A2B16A" w14:textId="77777777" w:rsidR="00A914BC" w:rsidRDefault="00A914BC">
      <w:pPr>
        <w:pStyle w:val="Pagrindiniotekstotrauka"/>
        <w:tabs>
          <w:tab w:val="left" w:pos="1080"/>
        </w:tabs>
        <w:rPr>
          <w:rFonts w:ascii="Times New Roman" w:hAnsi="Times New Roman"/>
          <w:lang w:val="lt-LT"/>
        </w:rPr>
      </w:pPr>
    </w:p>
    <w:p w14:paraId="2D7D1ABB"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7) vienetas ir kito vieneto dalyvių, </w:t>
      </w:r>
      <w:r w:rsidRPr="008B60DD">
        <w:rPr>
          <w:b/>
          <w:bCs/>
          <w:color w:val="000000"/>
          <w:lang w:val="lt-LT" w:eastAsia="lt-LT"/>
        </w:rPr>
        <w:t>turinčių 25 procentus ar daugiau akcijų (pajų, dalių) tame kitame vienete,</w:t>
      </w:r>
      <w:r w:rsidRPr="008B60DD">
        <w:rPr>
          <w:b/>
          <w:color w:val="000000"/>
          <w:lang w:val="lt-LT" w:eastAsia="lt-LT"/>
        </w:rPr>
        <w:t> arba valdymo organų narių sutuoktiniai, sužadėtiniai, sugyventiniai, kiti fiziniai asmenys, susiję su kito vieneto dalyviais arba valdymo organų nariais giminystės ryšiais (tiesiąja giminystės linija iki pirmojo laipsnio, šonine giminystės linija iki antrojo laipsnio) arba svainystės santykiais (fizinis asmuo ir jo sutuoktinio giminaičiai (tiesiąja giminystės linija iki pirmojo laipsnio, šonine giminystės linija iki antrojo laipsnio), taip pat kito vieneto dalyvių arba valdymo organų narių sugyventinių giminaičiai (tiesiąja giminystės linija iki pirmojo laipsnio, šonine giminystės linija iki antrojo laipsnio), kito vieneto dalyvių arba valdymo organų narių giminaičių (tiesiąja giminystės linija iki pirmojo laipsnio, šonine giminystės linija iki antrojo laipsnio) sutuoktiniai ar sugyventiniai, jei tie apmokestinamieji vienetai sudaro vieną vienetų grupę;</w:t>
      </w:r>
    </w:p>
    <w:p w14:paraId="33774F00" w14:textId="77777777" w:rsidR="00244C63" w:rsidRDefault="00244C63" w:rsidP="000C7FFC">
      <w:pPr>
        <w:tabs>
          <w:tab w:val="left" w:pos="720"/>
          <w:tab w:val="left" w:pos="1077"/>
          <w:tab w:val="left" w:pos="1418"/>
        </w:tabs>
        <w:autoSpaceDE w:val="0"/>
        <w:autoSpaceDN w:val="0"/>
        <w:jc w:val="both"/>
        <w:rPr>
          <w:bCs/>
          <w:i/>
          <w:iCs/>
        </w:rPr>
      </w:pPr>
      <w:bookmarkStart w:id="12" w:name="part_b613393243624f66a677284330dfcc4a"/>
      <w:bookmarkStart w:id="13" w:name="part_19a8d2e214244f468c8b935d053389c0"/>
      <w:bookmarkEnd w:id="12"/>
      <w:bookmarkEnd w:id="13"/>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031E8F64" w14:textId="77777777" w:rsidR="00244C63" w:rsidRPr="006C5F6C" w:rsidRDefault="00244C63" w:rsidP="00244C63">
      <w:pPr>
        <w:ind w:left="2340" w:hanging="1620"/>
        <w:jc w:val="both"/>
        <w:rPr>
          <w:b/>
          <w:bCs/>
        </w:rPr>
      </w:pPr>
      <w:r w:rsidRPr="006C5F6C">
        <w:rPr>
          <w:b/>
          <w:bCs/>
        </w:rPr>
        <w:t>Komentaras</w:t>
      </w:r>
    </w:p>
    <w:p w14:paraId="466FA161" w14:textId="77777777" w:rsidR="00244C63" w:rsidRPr="00584460" w:rsidRDefault="00244C63" w:rsidP="00244C63">
      <w:pPr>
        <w:ind w:firstLine="720"/>
        <w:jc w:val="both"/>
      </w:pPr>
      <w:r w:rsidRPr="00584460">
        <w:t xml:space="preserve">Pagal šį punktą susijusiais asmenimis laikomi vienetas ir su </w:t>
      </w:r>
      <w:r w:rsidRPr="00584460">
        <w:rPr>
          <w:bCs/>
        </w:rPr>
        <w:t>kito vieneto</w:t>
      </w:r>
      <w:r w:rsidRPr="00584460">
        <w:t xml:space="preserve"> dalyviais, turinčiais  </w:t>
      </w:r>
      <w:r w:rsidRPr="00584460">
        <w:rPr>
          <w:bCs/>
          <w:color w:val="000000"/>
          <w:lang w:eastAsia="lt-LT"/>
        </w:rPr>
        <w:t xml:space="preserve">25 procentus ar daugiau akcijų (pajų, dalių) tame kitame vienete, </w:t>
      </w:r>
      <w:r w:rsidRPr="00584460">
        <w:t xml:space="preserve">arba valdymo organų nariais (fiziniais asmenimis) susiję fiziniai asmenys, </w:t>
      </w:r>
      <w:r w:rsidRPr="00584460">
        <w:rPr>
          <w:bCs/>
        </w:rPr>
        <w:t>jei šie vienetai sudaro vieną vienetų grupę</w:t>
      </w:r>
      <w:r w:rsidRPr="00584460">
        <w:t xml:space="preserve"> (apie vienetų grupę paaiškinta šio straipsnio 7 dalies komentare). Su kito vieneto dalyviais arba valdymo organų nariais susiję fiziniai asmenys yra to kito vieneto dalyvių ar valdymo organų narių:</w:t>
      </w:r>
    </w:p>
    <w:p w14:paraId="438EECF8"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sutuoktiniai, sužadėtiniai, sugyventiniai;</w:t>
      </w:r>
    </w:p>
    <w:p w14:paraId="5D25B1B2"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giminaičiai (tėvai, vaikai, broliai, seserys);</w:t>
      </w:r>
    </w:p>
    <w:p w14:paraId="0A1EDE12" w14:textId="77777777" w:rsidR="00244C63" w:rsidRPr="00584460" w:rsidRDefault="00244C63" w:rsidP="00EC4E29">
      <w:pPr>
        <w:pStyle w:val="Pagrindiniotekstotrauka2"/>
        <w:numPr>
          <w:ilvl w:val="0"/>
          <w:numId w:val="20"/>
        </w:numPr>
        <w:tabs>
          <w:tab w:val="left" w:pos="720"/>
          <w:tab w:val="left" w:pos="1418"/>
        </w:tabs>
        <w:spacing w:after="0" w:line="240" w:lineRule="auto"/>
        <w:ind w:left="1077" w:hanging="357"/>
      </w:pPr>
      <w:r w:rsidRPr="00584460">
        <w:t>sutuoktinių ar sugyventinių giminaičiai (tėvai, vaikai, broliai, seserys);</w:t>
      </w:r>
    </w:p>
    <w:p w14:paraId="5D3A1B4C" w14:textId="77777777" w:rsidR="00244C63" w:rsidRPr="000C7FFC" w:rsidRDefault="00244C63" w:rsidP="00EC4E29">
      <w:pPr>
        <w:pStyle w:val="Pagrindiniotekstotrauka2"/>
        <w:numPr>
          <w:ilvl w:val="0"/>
          <w:numId w:val="20"/>
        </w:numPr>
        <w:tabs>
          <w:tab w:val="left" w:pos="720"/>
          <w:tab w:val="left" w:pos="1418"/>
        </w:tabs>
        <w:spacing w:after="0" w:line="240" w:lineRule="auto"/>
        <w:ind w:left="1077" w:hanging="357"/>
        <w:rPr>
          <w:b w:val="0"/>
        </w:rPr>
      </w:pPr>
      <w:r w:rsidRPr="00584460">
        <w:t>giminaičių (tėvų, vaikų, brolių, seserų) sutuoktiniai</w:t>
      </w:r>
      <w:r w:rsidRPr="006C5F6C">
        <w:t xml:space="preserve"> ar sugyventiniai.</w:t>
      </w:r>
    </w:p>
    <w:p w14:paraId="19362CBF" w14:textId="77777777" w:rsidR="000C7FFC" w:rsidRDefault="000C7FFC" w:rsidP="000C7FFC">
      <w:pPr>
        <w:pStyle w:val="Pagrindiniotekstotrauka2"/>
        <w:tabs>
          <w:tab w:val="left" w:pos="720"/>
          <w:tab w:val="left" w:pos="1080"/>
          <w:tab w:val="left" w:pos="1418"/>
        </w:tabs>
        <w:spacing w:after="0" w:line="240" w:lineRule="auto"/>
      </w:pPr>
    </w:p>
    <w:p w14:paraId="4E5F51B6" w14:textId="77777777" w:rsidR="000C7FFC" w:rsidRDefault="000C7FFC" w:rsidP="000C7FFC">
      <w:pPr>
        <w:pStyle w:val="Pagrindiniotekstotrauka2"/>
        <w:tabs>
          <w:tab w:val="left" w:pos="720"/>
          <w:tab w:val="left" w:pos="1080"/>
          <w:tab w:val="left" w:pos="1418"/>
        </w:tabs>
        <w:spacing w:after="0" w:line="240" w:lineRule="auto"/>
      </w:pPr>
    </w:p>
    <w:p w14:paraId="39CE810B" w14:textId="77777777" w:rsidR="000C7FFC" w:rsidRDefault="000C7FFC" w:rsidP="000C7FFC">
      <w:pPr>
        <w:pStyle w:val="Pagrindiniotekstotrauka2"/>
        <w:tabs>
          <w:tab w:val="left" w:pos="720"/>
          <w:tab w:val="left" w:pos="1080"/>
          <w:tab w:val="left" w:pos="1418"/>
        </w:tabs>
        <w:spacing w:after="0" w:line="240" w:lineRule="auto"/>
      </w:pPr>
    </w:p>
    <w:p w14:paraId="4239593D" w14:textId="77777777" w:rsidR="000C7FFC" w:rsidRDefault="000C7FFC" w:rsidP="000C7FFC">
      <w:pPr>
        <w:pStyle w:val="Pagrindiniotekstotrauka2"/>
        <w:tabs>
          <w:tab w:val="left" w:pos="720"/>
          <w:tab w:val="left" w:pos="1080"/>
          <w:tab w:val="left" w:pos="1418"/>
        </w:tabs>
        <w:spacing w:after="0" w:line="240" w:lineRule="auto"/>
      </w:pPr>
    </w:p>
    <w:p w14:paraId="2D2155A0" w14:textId="77777777" w:rsidR="000C7FFC" w:rsidRDefault="000C7FFC" w:rsidP="000C7FFC">
      <w:pPr>
        <w:pStyle w:val="Pagrindiniotekstotrauka2"/>
        <w:tabs>
          <w:tab w:val="left" w:pos="720"/>
          <w:tab w:val="left" w:pos="1080"/>
          <w:tab w:val="left" w:pos="1418"/>
        </w:tabs>
        <w:spacing w:after="0" w:line="240" w:lineRule="auto"/>
      </w:pPr>
    </w:p>
    <w:p w14:paraId="72DE9425" w14:textId="77777777" w:rsidR="000C7FFC" w:rsidRDefault="000C7FFC" w:rsidP="000C7FFC">
      <w:pPr>
        <w:pStyle w:val="Pagrindiniotekstotrauka2"/>
        <w:tabs>
          <w:tab w:val="left" w:pos="720"/>
          <w:tab w:val="left" w:pos="1080"/>
          <w:tab w:val="left" w:pos="1418"/>
        </w:tabs>
        <w:spacing w:after="0" w:line="240" w:lineRule="auto"/>
      </w:pPr>
    </w:p>
    <w:p w14:paraId="5FE6320C" w14:textId="77777777" w:rsidR="000C7FFC" w:rsidRDefault="000C7FFC" w:rsidP="000C7FFC">
      <w:pPr>
        <w:pStyle w:val="Pagrindiniotekstotrauka2"/>
        <w:tabs>
          <w:tab w:val="left" w:pos="720"/>
          <w:tab w:val="left" w:pos="1080"/>
          <w:tab w:val="left" w:pos="1418"/>
        </w:tabs>
        <w:spacing w:after="0" w:line="240" w:lineRule="auto"/>
      </w:pPr>
    </w:p>
    <w:p w14:paraId="1D1AD1B3" w14:textId="77777777" w:rsidR="000C7FFC" w:rsidRDefault="000C7FFC" w:rsidP="000C7FFC">
      <w:pPr>
        <w:pStyle w:val="Pagrindiniotekstotrauka2"/>
        <w:tabs>
          <w:tab w:val="left" w:pos="720"/>
          <w:tab w:val="left" w:pos="1080"/>
          <w:tab w:val="left" w:pos="1418"/>
        </w:tabs>
        <w:spacing w:after="0" w:line="240" w:lineRule="auto"/>
      </w:pPr>
    </w:p>
    <w:p w14:paraId="28EB839D" w14:textId="77777777" w:rsidR="000C7FFC" w:rsidRDefault="000C7FFC" w:rsidP="000C7FFC">
      <w:pPr>
        <w:pStyle w:val="Pagrindiniotekstotrauka2"/>
        <w:tabs>
          <w:tab w:val="left" w:pos="720"/>
          <w:tab w:val="left" w:pos="1080"/>
          <w:tab w:val="left" w:pos="1418"/>
        </w:tabs>
        <w:spacing w:after="0" w:line="240" w:lineRule="auto"/>
      </w:pPr>
    </w:p>
    <w:p w14:paraId="6E24F1BA" w14:textId="77777777" w:rsidR="000C7FFC" w:rsidRPr="006C5F6C" w:rsidRDefault="000C7FFC" w:rsidP="000C7FFC">
      <w:pPr>
        <w:pStyle w:val="Pagrindiniotekstotrauka2"/>
        <w:tabs>
          <w:tab w:val="left" w:pos="720"/>
          <w:tab w:val="left" w:pos="1080"/>
          <w:tab w:val="left" w:pos="1418"/>
        </w:tabs>
        <w:spacing w:after="0" w:line="240" w:lineRule="auto"/>
        <w:rPr>
          <w:b w:val="0"/>
        </w:rPr>
      </w:pPr>
    </w:p>
    <w:p w14:paraId="1A5A68A7"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1664" behindDoc="0" locked="0" layoutInCell="1" allowOverlap="1" wp14:anchorId="2B1F9BCD" wp14:editId="76A8CD01">
                <wp:simplePos x="0" y="0"/>
                <wp:positionH relativeFrom="column">
                  <wp:posOffset>-114300</wp:posOffset>
                </wp:positionH>
                <wp:positionV relativeFrom="paragraph">
                  <wp:posOffset>92075</wp:posOffset>
                </wp:positionV>
                <wp:extent cx="1000760" cy="687705"/>
                <wp:effectExtent l="5080" t="10795" r="13335" b="6350"/>
                <wp:wrapNone/>
                <wp:docPr id="21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11CDBE79" w14:textId="77777777" w:rsidR="007B24A1" w:rsidRDefault="007B24A1" w:rsidP="00244C63">
                            <w:pPr>
                              <w:jc w:val="center"/>
                            </w:pPr>
                            <w:r>
                              <w:t>Sužadėtiniai</w:t>
                            </w:r>
                          </w:p>
                        </w:txbxContent>
                      </wps:txbx>
                      <wps:bodyPr rot="0" vert="horz" wrap="square" lIns="91440" tIns="45720" rIns="91440" bIns="45720" anchor="t" anchorCtr="0" upright="1">
                        <a:noAutofit/>
                      </wps:bodyPr>
                    </wps:wsp>
                  </a:graphicData>
                </a:graphic>
              </wp:anchor>
            </w:drawing>
          </mc:Choice>
          <mc:Fallback>
            <w:pict>
              <v:roundrect w14:anchorId="2B1F9BCD" id="AutoShape 60" o:spid="_x0000_s1073" style="position:absolute;left:0;text-align:left;margin-left:-9pt;margin-top:7.25pt;width:78.8pt;height:54.15pt;z-index:2517616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llMwIAAF4EAAAOAAAAZHJzL2Uyb0RvYy54bWysVNuO0zAQfUfiHyy/0yRVL7tR09WqqyKk&#10;BVYsfIBrO03A8Zix27R8PWM3LV3gCZEHy+PxHM85M5PF3aEzbK/Rt2ArXoxyzrSVoFq7rfiXz+s3&#10;N5z5IKwSBqyu+FF7frd8/WrRu1KPoQGjNDICsb7sXcWbEFyZZV42uhN+BE5bctaAnQhk4jZTKHpC&#10;70w2zvNZ1gMqhyC193T6cHLyZcKvay3Dx7r2OjBTccotpBXTuolrtlyIcovCNa0c0hD/kEUnWkuP&#10;XqAeRBBsh+0fUF0rETzUYSShy6CuW6kTB2JT5L+xeW6E04kLiePdRSb//2Dlh/0TslZVfFwUnFnR&#10;UZHudwHS22yWFOqdL+nis3vCyNG7R5DfPLOwaoTd6ntE6BstFOVVREWzFwHR8BTKNv17UAQvCD6J&#10;daixi4AkAzukmhwvNdGHwCQdFnmezykNJsk3u5nP82l6QpTnaIc+vNXQsbipOMLOqk9U+PSE2D/6&#10;kAqjBnJCfeWs7gyVeS8MK2az2XxAHC5nojxjJrpgWrVujUkGbjcrg4xCK75O3xDsr68Zy/qK307H&#10;05TFC5+/hiB29P0NIvGIYorS2EHTKGNsbV+Gw+ZwKttNDI5HG1BHUhnh1OQ0lLRpAH9w1lODV9x/&#10;3wnUnJl3lip1W0wmcSKSMZnOx2TgtWdz7RFWElTFA2en7SqcpmjnsN029FKRmFqIzVO34dwGp6yG&#10;/KmJE6Fh4OKUXNvp1q/fwvInAAAA//8DAFBLAwQUAAYACAAAACEA7wGL7t4AAAAKAQAADwAAAGRy&#10;cy9kb3ducmV2LnhtbEyPwU7DMBBE70j8g7VI3Fq7gVZpiFMhJLgiAgeOTrwkEfE6jZ008PVsT/S2&#10;oxnNvskPi+vFjGPoPGnYrBUIpNrbjhoNH+/PqxREiIas6T2hhh8McCiur3KTWX+iN5zL2AguoZAZ&#10;DW2MQyZlqFt0Jqz9gMTelx+diSzHRtrRnLjc9TJRaied6Yg/tGbApxbr73JyGmqrJjV+zq/7ahvL&#10;33k6knw5an17szw+gIi4xP8wnPEZHQpmqvxENohew2qT8pbIxv0WxDlwt9+BqPhIkhRkkcvLCcUf&#10;AAAA//8DAFBLAQItABQABgAIAAAAIQC2gziS/gAAAOEBAAATAAAAAAAAAAAAAAAAAAAAAABbQ29u&#10;dGVudF9UeXBlc10ueG1sUEsBAi0AFAAGAAgAAAAhADj9If/WAAAAlAEAAAsAAAAAAAAAAAAAAAAA&#10;LwEAAF9yZWxzLy5yZWxzUEsBAi0AFAAGAAgAAAAhAGajyWUzAgAAXgQAAA4AAAAAAAAAAAAAAAAA&#10;LgIAAGRycy9lMm9Eb2MueG1sUEsBAi0AFAAGAAgAAAAhAO8Bi+7eAAAACgEAAA8AAAAAAAAAAAAA&#10;AAAAjQQAAGRycy9kb3ducmV2LnhtbFBLBQYAAAAABAAEAPMAAACYBQAAAAA=&#10;">
                <v:textbox>
                  <w:txbxContent>
                    <w:p w14:paraId="11CDBE79" w14:textId="77777777" w:rsidR="007B24A1" w:rsidRDefault="007B24A1" w:rsidP="00244C63">
                      <w:pPr>
                        <w:jc w:val="center"/>
                      </w:pPr>
                      <w:r>
                        <w:t>Sužadėtiniai</w:t>
                      </w:r>
                    </w:p>
                  </w:txbxContent>
                </v:textbox>
              </v:roundrect>
            </w:pict>
          </mc:Fallback>
        </mc:AlternateContent>
      </w:r>
    </w:p>
    <w:p w14:paraId="196DA0B8" w14:textId="77777777" w:rsidR="00244C63" w:rsidRPr="008B60DD" w:rsidRDefault="00244C63" w:rsidP="00244C63">
      <w:pPr>
        <w:jc w:val="both"/>
        <w:rPr>
          <w:lang w:val="lt-LT"/>
        </w:rPr>
      </w:pPr>
    </w:p>
    <w:p w14:paraId="1DBB625A"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9856" behindDoc="0" locked="0" layoutInCell="1" allowOverlap="1" wp14:anchorId="44CD8EC8" wp14:editId="1CEB6C65">
                <wp:simplePos x="0" y="0"/>
                <wp:positionH relativeFrom="column">
                  <wp:posOffset>883920</wp:posOffset>
                </wp:positionH>
                <wp:positionV relativeFrom="paragraph">
                  <wp:posOffset>85090</wp:posOffset>
                </wp:positionV>
                <wp:extent cx="830580" cy="3175"/>
                <wp:effectExtent l="12700" t="11430" r="13970" b="13970"/>
                <wp:wrapNone/>
                <wp:docPr id="21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0580" cy="3175"/>
                        </a:xfrm>
                        <a:prstGeom prst="line">
                          <a:avLst/>
                        </a:prstGeom>
                        <a:noFill/>
                        <a:ln w="9525">
                          <a:solidFill>
                            <a:srgbClr val="000000"/>
                          </a:solidFill>
                          <a:round/>
                        </a:ln>
                      </wps:spPr>
                      <wps:bodyPr/>
                    </wps:wsp>
                  </a:graphicData>
                </a:graphic>
              </wp:anchor>
            </w:drawing>
          </mc:Choice>
          <mc:Fallback>
            <w:pict>
              <v:line w14:anchorId="64FFDA8C" id="Line 61" o:spid="_x0000_s1026" style="position:absolute;flip:x;z-index:251769856;visibility:visible;mso-wrap-style:square;mso-wrap-distance-left:9pt;mso-wrap-distance-top:0;mso-wrap-distance-right:9pt;mso-wrap-distance-bottom:0;mso-position-horizontal:absolute;mso-position-horizontal-relative:text;mso-position-vertical:absolute;mso-position-vertical-relative:text" from="69.6pt,6.7pt" to="1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7CiwQEAAGADAAAOAAAAZHJzL2Uyb0RvYy54bWysU8tu2zAQvBfoPxC815IcOHUFyzk4SHtw&#10;WwNJP4DmQyJKcgmStuS/75J2nKS9FdGBELmzszO75OpusoYcZYgaXEebWU2JdByEdn1Hfz09fFpS&#10;EhNzghlwsqMnGend+uOH1ehbOYcBjJCBIImL7eg7OqTk26qKfJCWxRl46TCoIFiWcBv6SgQ2Irs1&#10;1byub6sRgvABuIwRT+/PQbou/EpJnn4qFWUipqOoLZU1lHWf12q9Ym0fmB80v8hg/6HCMu2w6JXq&#10;niVGDkH/Q2U1DxBBpRkHW4FSmsviAd009V9uHgfmZfGCzYn+2qb4frT8x3EXiBYdnTdzShyzOKSt&#10;dpLcNrk5o48tYjZuF7I9PrlHvwX+OxIHm4G5XhaRTyePeSWjepOSN9Fjif34HQRi2CFB6dSkgiXK&#10;aP8tJ2Zy7AaZymhO19HIKRGOh8uberHEAXIM3TSfF1lbxdpMklN9iOmrBEvyT0cNGiiU7LiN6Qx9&#10;hmS4gwdtTJm9cWTs6JfFfFESIhgtcjDDYuj3GxPIkeXbU75L3TewAAcnzkWMQ1nPns/d24M47UIO&#10;53McYxF+uXL5nrzeF9TLw1j/AQAA//8DAFBLAwQUAAYACAAAACEAJiVqd9sAAAAJAQAADwAAAGRy&#10;cy9kb3ducmV2LnhtbEyPwU7DMBBE70j8g7VI3KhNioCmcaoKARckJEro2YmXJMJeR7Gbhr9nywVu&#10;O5qn2ZliM3snJhxjH0jD9UKBQGqC7anVUL0/Xd2DiMmQNS4QavjGCJvy/KwwuQ1HesNpl1rBIRRz&#10;o6FLaciljE2H3sRFGJDY+wyjN4nl2Eo7miOHeyczpW6lNz3xh84M+NBh87U7eA3b/cvj8nWqfXB2&#10;1VYf1lfqOdP68mLerkEknNMfDKf6XB1K7lSHA9koHOvlKmP0dNyAYCC7Uzyu/nVAloX8v6D8AQAA&#10;//8DAFBLAQItABQABgAIAAAAIQC2gziS/gAAAOEBAAATAAAAAAAAAAAAAAAAAAAAAABbQ29udGVu&#10;dF9UeXBlc10ueG1sUEsBAi0AFAAGAAgAAAAhADj9If/WAAAAlAEAAAsAAAAAAAAAAAAAAAAALwEA&#10;AF9yZWxzLy5yZWxzUEsBAi0AFAAGAAgAAAAhAP1jsKLBAQAAYAMAAA4AAAAAAAAAAAAAAAAALgIA&#10;AGRycy9lMm9Eb2MueG1sUEsBAi0AFAAGAAgAAAAhACYlanfbAAAACQEAAA8AAAAAAAAAAAAAAAAA&#10;GwQAAGRycy9kb3ducmV2LnhtbFBLBQYAAAAABAAEAPMAAAAjBQAAAAA=&#10;"/>
            </w:pict>
          </mc:Fallback>
        </mc:AlternateContent>
      </w:r>
      <w:r w:rsidRPr="006C5F6C">
        <w:rPr>
          <w:noProof/>
          <w:lang w:val="lt-LT" w:eastAsia="lt-LT"/>
        </w:rPr>
        <mc:AlternateContent>
          <mc:Choice Requires="wps">
            <w:drawing>
              <wp:anchor distT="0" distB="0" distL="114300" distR="114300" simplePos="0" relativeHeight="251770880" behindDoc="0" locked="0" layoutInCell="1" allowOverlap="1" wp14:anchorId="0EAA1B16" wp14:editId="2EDDDDE8">
                <wp:simplePos x="0" y="0"/>
                <wp:positionH relativeFrom="column">
                  <wp:posOffset>1714500</wp:posOffset>
                </wp:positionH>
                <wp:positionV relativeFrom="paragraph">
                  <wp:posOffset>85090</wp:posOffset>
                </wp:positionV>
                <wp:extent cx="0" cy="2171700"/>
                <wp:effectExtent l="5080" t="11430" r="13970" b="7620"/>
                <wp:wrapNone/>
                <wp:docPr id="21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71700"/>
                        </a:xfrm>
                        <a:prstGeom prst="line">
                          <a:avLst/>
                        </a:prstGeom>
                        <a:noFill/>
                        <a:ln w="9525">
                          <a:solidFill>
                            <a:srgbClr val="000000"/>
                          </a:solidFill>
                          <a:round/>
                        </a:ln>
                      </wps:spPr>
                      <wps:bodyPr/>
                    </wps:wsp>
                  </a:graphicData>
                </a:graphic>
              </wp:anchor>
            </w:drawing>
          </mc:Choice>
          <mc:Fallback>
            <w:pict>
              <v:line w14:anchorId="5663FCB5" id="Line 62" o:spid="_x0000_s1026" style="position:absolute;flip:x y;z-index:251770880;visibility:visible;mso-wrap-style:square;mso-wrap-distance-left:9pt;mso-wrap-distance-top:0;mso-wrap-distance-right:9pt;mso-wrap-distance-bottom:0;mso-position-horizontal:absolute;mso-position-horizontal-relative:text;mso-position-vertical:absolute;mso-position-vertical-relative:text" from="135pt,6.7pt" to="135pt,1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GQwgEAAGgDAAAOAAAAZHJzL2Uyb0RvYy54bWysU01v2zAMvQ/YfxB0X/wxtN2MOD2k6HbI&#10;tgDtelf0YQuTRIFSYuffT1LStNtuxXwQRJF85Hukl7ezNeQgMWhwPW0WNSXScRDaDT39+Xj/4RMl&#10;ITInmAEne3qUgd6u3r9bTr6TLYxghESSQFzoJt/TMUbfVVXgo7QsLMBLl5wK0LKYTBwqgWxK6NZU&#10;bV1fVxOg8AhchpBe705Ouir4SkkefygVZCSmp6m3WE4s5y6f1WrJugGZHzU/t8He0IVl2qWiF6g7&#10;FhnZo/4HymqOEEDFBQdbgVKay8IhsWnqv9g8jMzLwiWJE/xFpvD/YPn3wxaJFj1tm4+UOGbTkDba&#10;SXLdZnEmH7oUs3ZbzPT47B78BvivQBysR+YGWZp8PPqU1+SM6o+UbASfSuymbyBSDNtHKErNCi1R&#10;RvuvObHcnvItl0m6kLkM6XgZkpwj4adHnl7b5qa5qcsAK9ZlsJzoMcQvEizJl56aRKQAssMmxNzc&#10;S0gOd3CvjSk7YByZevr5qr0qCQGMFtmZwwIOu7VBcmB5i8pXmCbP6zCEvROnIsadhcjcTyruQBy3&#10;+CxQGmfp5rx6eV9e2yX75QdZ/QYAAP//AwBQSwMEFAAGAAgAAAAhAN8iQPHbAAAACgEAAA8AAABk&#10;cnMvZG93bnJldi54bWxMj81OwzAQhO9IvIO1SNyo3T8SpXEqVKkP0IIqjm68TSLsdYjdJrw9izjA&#10;cXdGM9+U28k7ccMhdoE0zGcKBFIdbEeNhrfX/VMOIiZD1rhAqOELI2yr+7vSFDaMdMDbMTWCQygW&#10;RkObUl9IGesWvYmz0COxdgmDN4nPoZF2MCOHeycXSj1Lbzrihtb0uGux/jhevQaXq/zztMvG94Pl&#10;lv3JtZTNtX58mF42IBJO6c8MP/iMDhUzncOVbBROwyJTvCWxsFyBYMPv46xhuV6vQFal/D+h+gYA&#10;AP//AwBQSwECLQAUAAYACAAAACEAtoM4kv4AAADhAQAAEwAAAAAAAAAAAAAAAAAAAAAAW0NvbnRl&#10;bnRfVHlwZXNdLnhtbFBLAQItABQABgAIAAAAIQA4/SH/1gAAAJQBAAALAAAAAAAAAAAAAAAAAC8B&#10;AABfcmVscy8ucmVsc1BLAQItABQABgAIAAAAIQCqX6GQwgEAAGgDAAAOAAAAAAAAAAAAAAAAAC4C&#10;AABkcnMvZTJvRG9jLnhtbFBLAQItABQABgAIAAAAIQDfIkDx2wAAAAoBAAAPAAAAAAAAAAAAAAAA&#10;ABwEAABkcnMvZG93bnJldi54bWxQSwUGAAAAAAQABADzAAAAJAUAAAAA&#10;"/>
            </w:pict>
          </mc:Fallback>
        </mc:AlternateContent>
      </w:r>
    </w:p>
    <w:p w14:paraId="38B8D051" w14:textId="77777777" w:rsidR="00244C63" w:rsidRPr="008B60DD" w:rsidRDefault="00244C63" w:rsidP="00244C63">
      <w:pPr>
        <w:jc w:val="both"/>
        <w:rPr>
          <w:lang w:val="lt-LT"/>
        </w:rPr>
      </w:pPr>
    </w:p>
    <w:p w14:paraId="251C810E" w14:textId="77777777" w:rsidR="00244C63" w:rsidRPr="008B60DD" w:rsidRDefault="00244C63" w:rsidP="00244C63">
      <w:pPr>
        <w:jc w:val="both"/>
        <w:rPr>
          <w:lang w:val="lt-LT"/>
        </w:rPr>
      </w:pPr>
    </w:p>
    <w:p w14:paraId="518FB074" w14:textId="77777777" w:rsidR="00244C63" w:rsidRPr="008B60DD" w:rsidRDefault="00244C63" w:rsidP="00244C63">
      <w:pPr>
        <w:jc w:val="both"/>
        <w:rPr>
          <w:lang w:val="lt-LT"/>
        </w:rPr>
      </w:pPr>
    </w:p>
    <w:p w14:paraId="10713F17"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4736" behindDoc="0" locked="0" layoutInCell="1" allowOverlap="1" wp14:anchorId="1096C8A1" wp14:editId="039B7693">
                <wp:simplePos x="0" y="0"/>
                <wp:positionH relativeFrom="column">
                  <wp:posOffset>3314700</wp:posOffset>
                </wp:positionH>
                <wp:positionV relativeFrom="paragraph">
                  <wp:posOffset>70485</wp:posOffset>
                </wp:positionV>
                <wp:extent cx="1000760" cy="687705"/>
                <wp:effectExtent l="5080" t="12065" r="13335" b="5080"/>
                <wp:wrapNone/>
                <wp:docPr id="21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2B433D0C" w14:textId="77777777" w:rsidR="007B24A1" w:rsidRDefault="007B24A1" w:rsidP="00244C63">
                            <w:pPr>
                              <w:jc w:val="center"/>
                            </w:pPr>
                          </w:p>
                          <w:p w14:paraId="4D89D0FF" w14:textId="77777777" w:rsidR="007B24A1" w:rsidRDefault="007B24A1" w:rsidP="00244C63">
                            <w:pPr>
                              <w:jc w:val="center"/>
                            </w:pPr>
                            <w:r>
                              <w:t>Vaikai</w:t>
                            </w:r>
                          </w:p>
                        </w:txbxContent>
                      </wps:txbx>
                      <wps:bodyPr rot="0" vert="horz" wrap="square" lIns="91440" tIns="45720" rIns="91440" bIns="45720" anchor="t" anchorCtr="0" upright="1">
                        <a:noAutofit/>
                      </wps:bodyPr>
                    </wps:wsp>
                  </a:graphicData>
                </a:graphic>
              </wp:anchor>
            </w:drawing>
          </mc:Choice>
          <mc:Fallback>
            <w:pict>
              <v:roundrect w14:anchorId="1096C8A1" id="AutoShape 63" o:spid="_x0000_s1074" style="position:absolute;left:0;text-align:left;margin-left:261pt;margin-top:5.55pt;width:78.8pt;height:54.15pt;z-index:2517647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pKKwIAADUEAAAOAAAAZHJzL2Uyb0RvYy54bWysU1Fv0zAQfkfiP1h+p0lKm67R0mnaNIQ0&#10;YGLwA1zbaQKOz5zdpuXXc3bSscEbIg+WL3f33d33nS+vjr1hB42+A1vzYpZzpq0E1dldzb9+uXtz&#10;wZkPwiphwOqan7TnV5vXry4HV+k5tGCURkYg1leDq3kbgquyzMtW98LPwGlLzgawF4FM3GUKxUDo&#10;vcnmeV5mA6ByCFJ7T39vRyffJPym0TJ8ahqvAzM1p95COjGd23hmm0tR7VC4tpNTG+IfuuhFZ6no&#10;E9StCILtsfsLqu8kgocmzCT0GTRNJ3WagaYp8j+meWyF02kWIse7J5r8/4OVHw8PyDpV83mx4MyK&#10;nkS63gdItVn5NjI0OF9R4KN7wDijd/cgv3tm4aYVdqevEWFotVDUVxHjsxcJ0fCUyrbDB1AELwg+&#10;kXVssI+ARAM7Jk1OT5roY2CSfhZ5nq9Kkk6Sr7xYrfJlKiGqc7ZDH95p6Fm81Bxhb9VnEj6VEId7&#10;H5IwahpOqG+cNb0hmQ/CsKIsy9WEOAVnojpjxkwLd50xaVGMZUPN18v5MoF7MJ2KzsQK7rY3BhmB&#10;0hDpm2BfhKX2IkeiMnaiKrIzshyO2+OoxjomR+q2oE5EHsK4u/TW6NIC/uRsoL2tuf+xF6g5M+8t&#10;CbAuFou46MlYLFdzMvC5Z/vcI6wkqJoHzsbrTRgfx95ht2upUpEmtRB3ounCWd2xq6l/2s000PSO&#10;4vI/t1PU79e++QUAAP//AwBQSwMEFAAGAAgAAAAhAHgECHjgAAAACgEAAA8AAABkcnMvZG93bnJl&#10;di54bWxMj8FOwzAQRO9I/IO1SNyok4iaNsSpUCUk1BMURJWbGy9OIF4H223D3+Oe4Lgzo9k31Wqy&#10;AzuiD70jCfksA4bUOt2TkfD2+nizABaiIq0GRyjhBwOs6suLSpXanegFj9toWCqhUCoJXYxjyXlo&#10;O7QqzNyIlLwP562K6fSGa69OqdwOvMgywa3qKX3o1IjrDtuv7cFKaN5F4efNjjabdfM0ifHZfH4b&#10;Ka+vpod7YBGn+BeGM35Chzox7d2BdGCDhHlRpC0xGXkOLAXE3VIA25+F5S3wuuL/J9S/AAAA//8D&#10;AFBLAQItABQABgAIAAAAIQC2gziS/gAAAOEBAAATAAAAAAAAAAAAAAAAAAAAAABbQ29udGVudF9U&#10;eXBlc10ueG1sUEsBAi0AFAAGAAgAAAAhADj9If/WAAAAlAEAAAsAAAAAAAAAAAAAAAAALwEAAF9y&#10;ZWxzLy5yZWxzUEsBAi0AFAAGAAgAAAAhAKwUukorAgAANQQAAA4AAAAAAAAAAAAAAAAALgIAAGRy&#10;cy9lMm9Eb2MueG1sUEsBAi0AFAAGAAgAAAAhAHgECHjgAAAACgEAAA8AAAAAAAAAAAAAAAAAhQQA&#10;AGRycy9kb3ducmV2LnhtbFBLBQYAAAAABAAEAPMAAACSBQAAAAA=&#10;" filled="f">
                <v:textbox>
                  <w:txbxContent>
                    <w:p w14:paraId="2B433D0C" w14:textId="77777777" w:rsidR="007B24A1" w:rsidRDefault="007B24A1" w:rsidP="00244C63">
                      <w:pPr>
                        <w:jc w:val="center"/>
                      </w:pPr>
                    </w:p>
                    <w:p w14:paraId="4D89D0FF" w14:textId="77777777" w:rsidR="007B24A1" w:rsidRDefault="007B24A1" w:rsidP="00244C63">
                      <w:pPr>
                        <w:jc w:val="center"/>
                      </w:pPr>
                      <w:r>
                        <w:t>Vaikai</w:t>
                      </w:r>
                    </w:p>
                  </w:txbxContent>
                </v:textbox>
              </v:roundrect>
            </w:pict>
          </mc:Fallback>
        </mc:AlternateContent>
      </w:r>
      <w:r w:rsidRPr="006C5F6C">
        <w:rPr>
          <w:noProof/>
          <w:lang w:val="lt-LT" w:eastAsia="lt-LT"/>
        </w:rPr>
        <mc:AlternateContent>
          <mc:Choice Requires="wps">
            <w:drawing>
              <wp:anchor distT="0" distB="0" distL="114300" distR="114300" simplePos="0" relativeHeight="251762688" behindDoc="0" locked="0" layoutInCell="1" allowOverlap="1" wp14:anchorId="7E208DB6" wp14:editId="41E974AE">
                <wp:simplePos x="0" y="0"/>
                <wp:positionH relativeFrom="column">
                  <wp:posOffset>1828800</wp:posOffset>
                </wp:positionH>
                <wp:positionV relativeFrom="paragraph">
                  <wp:posOffset>70485</wp:posOffset>
                </wp:positionV>
                <wp:extent cx="1000760" cy="687705"/>
                <wp:effectExtent l="5080" t="12065" r="13335" b="5080"/>
                <wp:wrapNone/>
                <wp:docPr id="21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61A7D04A" w14:textId="77777777" w:rsidR="007B24A1" w:rsidRDefault="007B24A1" w:rsidP="00244C63">
                            <w:pPr>
                              <w:jc w:val="center"/>
                            </w:pPr>
                          </w:p>
                          <w:p w14:paraId="7DEEA476" w14:textId="77777777" w:rsidR="007B24A1" w:rsidRDefault="007B24A1" w:rsidP="00244C63">
                            <w:pPr>
                              <w:jc w:val="center"/>
                            </w:pPr>
                            <w:r>
                              <w:t>Vaikai*</w:t>
                            </w:r>
                          </w:p>
                        </w:txbxContent>
                      </wps:txbx>
                      <wps:bodyPr rot="0" vert="horz" wrap="square" lIns="91440" tIns="45720" rIns="91440" bIns="45720" anchor="t" anchorCtr="0" upright="1">
                        <a:noAutofit/>
                      </wps:bodyPr>
                    </wps:wsp>
                  </a:graphicData>
                </a:graphic>
              </wp:anchor>
            </w:drawing>
          </mc:Choice>
          <mc:Fallback>
            <w:pict>
              <v:roundrect w14:anchorId="7E208DB6" id="AutoShape 64" o:spid="_x0000_s1075" style="position:absolute;left:0;text-align:left;margin-left:2in;margin-top:5.55pt;width:78.8pt;height:54.15pt;z-index:2517626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p+LAIAADUEAAAOAAAAZHJzL2Uyb0RvYy54bWysU1Fv0zAQfkfiP1h+p0lKm25R02nqNIQ0&#10;YGLwA1zbaQKOz5zdpuPXc3bT0sEbIg+WL3f+7u777pY3h96wvUbfga15Mck501aC6uy25l+/3L+5&#10;4swHYZUwYHXNn7XnN6vXr5aDq/QUWjBKIyMQ66vB1bwNwVVZ5mWre+En4LQlZwPYi0AmbjOFYiD0&#10;3mTTPC+zAVA5BKm9p793RydfJfym0TJ8ahqvAzM1p9pCOjGdm3hmq6Wotihc28mxDPEPVfSis5T0&#10;DHUngmA77P6C6juJ4KEJEwl9Bk3TSZ16oG6K/I9unlrhdOqFyPHuTJP/f7Dy4/4RWadqPi3mnFnR&#10;k0i3uwApNytnkaHB+YoCn9wjxh69ewD53TML61bYrb5FhKHVQlFdRYzPXjyIhqenbDN8AEXwguAT&#10;WYcG+whINLBD0uT5rIk+BCbpZ5Hn+aIk6ST5yqvFIp+nFKI6vXbowzsNPYuXmiPsrPpMwqcUYv/g&#10;QxJGjc0J9Y2zpjck814YVpRluRgRx+BMVCfM+NLCfWdMGhRj2VDz6/l0nsA9mE5FZ2IFt5u1QUag&#10;1ET6RtgXYam8yJGojB2piuwcWQ6HzSGp8TaNZqRuA+qZyEM4zi7tGl1awJ+cDTS3Nfc/dgI1Z+a9&#10;JQGui9ksDnoyZvPFlAy89GwuPcJKgqp54Ox4XYfjcuwcdtuWMhWpUwtxJpounNQ9VjXWT7OZGhr3&#10;KA7/pZ2ifm/76hcAAAD//wMAUEsDBBQABgAIAAAAIQD5dyTw4AAAAAoBAAAPAAAAZHJzL2Rvd25y&#10;ZXYueG1sTI/BTsMwEETvSPyDtUjcqJMojdIQp0KVkFBPUBBVbm68OIF4HWy3DX+Pe4Ljzoxm39Tr&#10;2YzshM4PlgSkiwQYUmfVQFrA2+vjXQnMB0lKjpZQwA96WDfXV7WslD3TC552QbNYQr6SAvoQpopz&#10;3/VopF/YCSl6H9YZGeLpNFdOnmO5GXmWJAU3cqD4oZcTbnrsvnZHI6B9LzK3bPe03W7ap7mYnvXn&#10;txbi9mZ+uAcWcA5/YbjgR3RoItPBHkl5NgrIyjJuCdFIU2AxkOfLAtjhIqxy4E3N/09ofgEAAP//&#10;AwBQSwECLQAUAAYACAAAACEAtoM4kv4AAADhAQAAEwAAAAAAAAAAAAAAAAAAAAAAW0NvbnRlbnRf&#10;VHlwZXNdLnhtbFBLAQItABQABgAIAAAAIQA4/SH/1gAAAJQBAAALAAAAAAAAAAAAAAAAAC8BAABf&#10;cmVscy8ucmVsc1BLAQItABQABgAIAAAAIQBJDjp+LAIAADUEAAAOAAAAAAAAAAAAAAAAAC4CAABk&#10;cnMvZTJvRG9jLnhtbFBLAQItABQABgAIAAAAIQD5dyTw4AAAAAoBAAAPAAAAAAAAAAAAAAAAAIYE&#10;AABkcnMvZG93bnJldi54bWxQSwUGAAAAAAQABADzAAAAkwUAAAAA&#10;" filled="f">
                <v:textbox>
                  <w:txbxContent>
                    <w:p w14:paraId="61A7D04A" w14:textId="77777777" w:rsidR="007B24A1" w:rsidRDefault="007B24A1" w:rsidP="00244C63">
                      <w:pPr>
                        <w:jc w:val="center"/>
                      </w:pPr>
                    </w:p>
                    <w:p w14:paraId="7DEEA476" w14:textId="77777777" w:rsidR="007B24A1" w:rsidRDefault="007B24A1" w:rsidP="00244C63">
                      <w:pPr>
                        <w:jc w:val="center"/>
                      </w:pPr>
                      <w:r>
                        <w:t>Vaikai*</w:t>
                      </w:r>
                    </w:p>
                  </w:txbxContent>
                </v:textbox>
              </v:roundrect>
            </w:pict>
          </mc:Fallback>
        </mc:AlternateContent>
      </w:r>
    </w:p>
    <w:p w14:paraId="638E0CE0" w14:textId="77777777" w:rsidR="00244C63" w:rsidRPr="008B60DD" w:rsidRDefault="00244C63" w:rsidP="00244C63">
      <w:pPr>
        <w:jc w:val="both"/>
        <w:rPr>
          <w:lang w:val="lt-LT"/>
        </w:rPr>
      </w:pPr>
    </w:p>
    <w:p w14:paraId="5B90DE11" w14:textId="77777777" w:rsidR="00244C63" w:rsidRPr="008B60DD" w:rsidRDefault="00244C63" w:rsidP="00244C63">
      <w:pPr>
        <w:jc w:val="both"/>
        <w:rPr>
          <w:lang w:val="lt-LT"/>
        </w:rPr>
      </w:pPr>
    </w:p>
    <w:p w14:paraId="5FA41335" w14:textId="77777777" w:rsidR="00244C63" w:rsidRPr="008B60DD" w:rsidRDefault="00244C63" w:rsidP="00244C63">
      <w:pPr>
        <w:jc w:val="both"/>
        <w:rPr>
          <w:lang w:val="lt-LT"/>
        </w:rPr>
      </w:pPr>
    </w:p>
    <w:p w14:paraId="3481BAB6"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2928" behindDoc="0" locked="0" layoutInCell="1" allowOverlap="1" wp14:anchorId="342E10E7" wp14:editId="664B31A7">
                <wp:simplePos x="0" y="0"/>
                <wp:positionH relativeFrom="column">
                  <wp:posOffset>2306320</wp:posOffset>
                </wp:positionH>
                <wp:positionV relativeFrom="paragraph">
                  <wp:posOffset>49530</wp:posOffset>
                </wp:positionV>
                <wp:extent cx="0" cy="457200"/>
                <wp:effectExtent l="53975" t="15875" r="60325" b="12700"/>
                <wp:wrapNone/>
                <wp:docPr id="21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33756221" id="Line 65" o:spid="_x0000_s1026" style="position:absolute;flip:y;z-index:251772928;visibility:visible;mso-wrap-style:square;mso-wrap-distance-left:9pt;mso-wrap-distance-top:0;mso-wrap-distance-right:9pt;mso-wrap-distance-bottom:0;mso-position-horizontal:absolute;mso-position-horizontal-relative:text;mso-position-vertical:absolute;mso-position-vertical-relative:text" from="181.6pt,3.9pt" to="181.6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tw1AEAAIsDAAAOAAAAZHJzL2Uyb0RvYy54bWysU02P0zAQvSPxHyzfadqKFoia7qHLcilQ&#10;aRfurj8SC9tj2W7T/ntm3Kq7CzdEDlbsefPmzRt7dXfyjh11yhZCx2eTKWc6SFA29B3/8fTw7iNn&#10;uYighIOgO37Wmd+t375ZjbHVcxjAKZ0YkoTcjrHjQymxbZosB+1FnkDUAYMGkhcFt6lvVBIjsnvX&#10;zKfTZTNCUjGB1Dnj6f0lyNeV3xgty3djsi7MdRy1lbqmuu5pbdYr0fZJxMHKqwzxDyq8sAGL3qju&#10;RRHskOxfVN7KBBlMmUjwDRhjpa49YDez6R/dPA4i6toLmpPjzab8/2jlt+MuMas6Pp8tOQvC45C2&#10;Nmi2XJA5Y8wtYjZhl6g9eQqPcQvyV2YBNoMIva4in84R82aU0bxKoU2OWGI/fgWFGHEoUJ06meSZ&#10;cTb+pEQiRzfYqY7mfBuNPhUmL4cST98vPuDUaxnREgPlxZTLFw2e0U/HHaqvfOK4zYUUPUMIHuDB&#10;OlcH7wIbO/5pMV/UhAzOKgoSLKd+v3GJHQVdnfpd676CJTgEVcmKsO5zUKxUL0qy6I7TnCp4rThz&#10;Gl8I/V0kuXD1iuy5GL0Hdd4lCpNtOPGq/Xo76Uq93FfU8xta/wYAAP//AwBQSwMEFAAGAAgAAAAh&#10;ADAIO+rdAAAACAEAAA8AAABkcnMvZG93bnJldi54bWxMj8tOwzAQRfeV+AdrkNi1TlsobYhTIQQS&#10;K0QfqsTOjYckNB4H220CX88gFmV5dK/uI1v2thEn9KF2pGA8SkAgFc7UVCrYbp6GcxAhajK6cYQK&#10;vjDAMr8YZDo1rqMVntaxFBxCIdUKqhjbVMpQVGh1GLkWibV3562OjL6UxuuOw20jJ0kyk1bXxA2V&#10;bvGhwuKwPloFi0134179YXc9rj/fvh8/Yvv8EpW6uuzv70BE7OPZDL/zeTrkvGnvjmSCaBRMZ9MJ&#10;WxXc8gPW/3jPvJiDzDP5/0D+AwAA//8DAFBLAQItABQABgAIAAAAIQC2gziS/gAAAOEBAAATAAAA&#10;AAAAAAAAAAAAAAAAAABbQ29udGVudF9UeXBlc10ueG1sUEsBAi0AFAAGAAgAAAAhADj9If/WAAAA&#10;lAEAAAsAAAAAAAAAAAAAAAAALwEAAF9yZWxzLy5yZWxzUEsBAi0AFAAGAAgAAAAhAP/Ty3DUAQAA&#10;iwMAAA4AAAAAAAAAAAAAAAAALgIAAGRycy9lMm9Eb2MueG1sUEsBAi0AFAAGAAgAAAAhADAIO+rd&#10;AAAACAEAAA8AAAAAAAAAAAAAAAAALgQAAGRycy9kb3ducmV2LnhtbFBLBQYAAAAABAAEAPMAAAA4&#10;BQAAAAA=&#10;">
                <v:stroke endarrow="block"/>
              </v:line>
            </w:pict>
          </mc:Fallback>
        </mc:AlternateContent>
      </w:r>
      <w:r w:rsidRPr="006C5F6C">
        <w:rPr>
          <w:noProof/>
          <w:lang w:val="lt-LT" w:eastAsia="lt-LT"/>
        </w:rPr>
        <mc:AlternateContent>
          <mc:Choice Requires="wps">
            <w:drawing>
              <wp:anchor distT="0" distB="0" distL="114300" distR="114300" simplePos="0" relativeHeight="251777024" behindDoc="0" locked="0" layoutInCell="1" allowOverlap="1" wp14:anchorId="6DBCB54C" wp14:editId="7B841872">
                <wp:simplePos x="0" y="0"/>
                <wp:positionH relativeFrom="column">
                  <wp:posOffset>3825875</wp:posOffset>
                </wp:positionH>
                <wp:positionV relativeFrom="paragraph">
                  <wp:posOffset>46355</wp:posOffset>
                </wp:positionV>
                <wp:extent cx="0" cy="457200"/>
                <wp:effectExtent l="59055" t="22225" r="55245" b="6350"/>
                <wp:wrapNone/>
                <wp:docPr id="21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7F1C4B4F" id="Line 66" o:spid="_x0000_s1026" style="position:absolute;flip:y;z-index:251777024;visibility:visible;mso-wrap-style:square;mso-wrap-distance-left:9pt;mso-wrap-distance-top:0;mso-wrap-distance-right:9pt;mso-wrap-distance-bottom:0;mso-position-horizontal:absolute;mso-position-horizontal-relative:text;mso-position-vertical:absolute;mso-position-vertical-relative:text" from="301.25pt,3.65pt" to="301.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7n1AEAAIsDAAAOAAAAZHJzL2Uyb0RvYy54bWysU02P0zAQvSPxHyzfadqKFoia7qHLcilQ&#10;aRfurj8SC9tj2W7T/ntm3Kq7CzdEDlbsmXnz5j17dXfyjh11yhZCx2eTKWc6SFA29B3/8fTw7iNn&#10;uYighIOgO37Wmd+t375ZjbHVcxjAKZ0YgoTcjrHjQymxbZosB+1FnkDUAYMGkhcFt6lvVBIjonvX&#10;zKfTZTNCUjGB1Dnj6f0lyNcV3xgty3djsi7MdRy5lbqmuu5pbdYr0fZJxMHKKw3xDyy8sAGb3qDu&#10;RRHskOxfUN7KBBlMmUjwDRhjpa4z4DSz6R/TPA4i6joLipPjTab8/2Dlt+MuMas6Pp+hVUF4NGlr&#10;g2bLJYkzxtxizibsEo0nT+ExbkH+yizAZhCh15Xk0zli3YwqmlcltMkRW+zHr6AwRxwKVKVOJnlm&#10;nI0/qZDAUQ12qtacb9boU2Hycijx9P3iA7pe24iWEKguply+aPCMfjrukH3FE8dtLsToOYXSAzxY&#10;56rxLrCx458W80UtyOCsoiCl5dTvNy6xo6CrU79r31dpCQ5BVbAirPscFCtVi5IsquM0pw5eK86c&#10;xhdCfxdKLly1InkuQu9BnXeJwiQbOl65X28nXamX+5r1/IbWvwEAAP//AwBQSwMEFAAGAAgAAAAh&#10;AJCtRNveAAAACAEAAA8AAABkcnMvZG93bnJldi54bWxMj8tOwzAQRfdI/IM1SOyo05YWGuJUFQKJ&#10;FaIPVWLnxkOSNh4H220CX88gFmV5dK/unMnmvW3ECX2oHSkYDhIQSIUzNZUKNuvnm3sQIWoyunGE&#10;Cr4wwDy/vMh0alxHSzytYil4hEKqFVQxtqmUoajQ6jBwLRJnH85bHRl9KY3XHY/bRo6SZCqtrokv&#10;VLrFxwqLw+poFczW3cS9+cP2dlh/vn8/7WP78hqVur7qFw8gIvbxXIZffVaHnJ127kgmiEbBNBlN&#10;uKrgbgyC8z/eMc/GIPNM/n8g/wEAAP//AwBQSwECLQAUAAYACAAAACEAtoM4kv4AAADhAQAAEwAA&#10;AAAAAAAAAAAAAAAAAAAAW0NvbnRlbnRfVHlwZXNdLnhtbFBLAQItABQABgAIAAAAIQA4/SH/1gAA&#10;AJQBAAALAAAAAAAAAAAAAAAAAC8BAABfcmVscy8ucmVsc1BLAQItABQABgAIAAAAIQDUmp7n1AEA&#10;AIsDAAAOAAAAAAAAAAAAAAAAAC4CAABkcnMvZTJvRG9jLnhtbFBLAQItABQABgAIAAAAIQCQrUTb&#10;3gAAAAgBAAAPAAAAAAAAAAAAAAAAAC4EAABkcnMvZG93bnJldi54bWxQSwUGAAAAAAQABADzAAAA&#10;OQUAAAAA&#10;">
                <v:stroke endarrow="block"/>
              </v:line>
            </w:pict>
          </mc:Fallback>
        </mc:AlternateContent>
      </w:r>
    </w:p>
    <w:p w14:paraId="6FE4A584"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0640" behindDoc="0" locked="0" layoutInCell="1" allowOverlap="1" wp14:anchorId="15AAC6BA" wp14:editId="5396840B">
                <wp:simplePos x="0" y="0"/>
                <wp:positionH relativeFrom="column">
                  <wp:posOffset>1452880</wp:posOffset>
                </wp:positionH>
                <wp:positionV relativeFrom="paragraph">
                  <wp:posOffset>158115</wp:posOffset>
                </wp:positionV>
                <wp:extent cx="1382395" cy="1581150"/>
                <wp:effectExtent l="0" t="0" r="27305" b="19050"/>
                <wp:wrapNone/>
                <wp:docPr id="219"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1581150"/>
                        </a:xfrm>
                        <a:prstGeom prst="roundRect">
                          <a:avLst>
                            <a:gd name="adj" fmla="val 4157"/>
                          </a:avLst>
                        </a:prstGeom>
                        <a:solidFill>
                          <a:srgbClr val="C0C0C0"/>
                        </a:solidFill>
                        <a:ln w="9525">
                          <a:solidFill>
                            <a:srgbClr val="000000"/>
                          </a:solidFill>
                          <a:round/>
                        </a:ln>
                      </wps:spPr>
                      <wps:txbx>
                        <w:txbxContent>
                          <w:p w14:paraId="6B5A810C" w14:textId="77777777" w:rsidR="007B24A1" w:rsidRPr="006C5F6C" w:rsidRDefault="007B24A1" w:rsidP="00244C63">
                            <w:pPr>
                              <w:jc w:val="center"/>
                            </w:pPr>
                            <w:r w:rsidRPr="006C5F6C">
                              <w:t xml:space="preserve">Dalyvis, </w:t>
                            </w:r>
                            <w:r w:rsidRPr="00584460">
                              <w:t>turintis 25 proc. ar daugiau akcijų (pajų,</w:t>
                            </w:r>
                            <w:r w:rsidRPr="00584460">
                              <w:rPr>
                                <w:bCs/>
                                <w:color w:val="000000"/>
                                <w:highlight w:val="lightGray"/>
                                <w:lang w:eastAsia="lt-LT"/>
                              </w:rPr>
                              <w:t xml:space="preserve"> </w:t>
                            </w:r>
                            <w:r w:rsidRPr="00584460">
                              <w:t>dalių) tame vienete</w:t>
                            </w:r>
                            <w:r w:rsidRPr="006C5F6C">
                              <w:t>, ar</w:t>
                            </w:r>
                          </w:p>
                          <w:p w14:paraId="0A1597CF" w14:textId="77777777" w:rsidR="007B24A1" w:rsidRPr="006C5F6C" w:rsidRDefault="007B24A1" w:rsidP="00244C63">
                            <w:pPr>
                              <w:spacing w:after="0" w:line="240" w:lineRule="auto"/>
                              <w:jc w:val="center"/>
                            </w:pPr>
                            <w:r w:rsidRPr="006C5F6C">
                              <w:t>valdymo</w:t>
                            </w:r>
                          </w:p>
                          <w:p w14:paraId="796D89C8" w14:textId="77777777" w:rsidR="007B24A1" w:rsidRDefault="007B24A1" w:rsidP="00244C63">
                            <w:pPr>
                              <w:pStyle w:val="Pagrindinistekstas"/>
                              <w:spacing w:after="0" w:line="240" w:lineRule="auto"/>
                              <w:jc w:val="center"/>
                              <w:rPr>
                                <w:color w:val="008000"/>
                              </w:rPr>
                            </w:pPr>
                            <w:r w:rsidRPr="006C5F6C">
                              <w:rPr>
                                <w:rFonts w:ascii="Times New Roman" w:hAnsi="Times New Roman" w:cs="Times New Roman"/>
                              </w:rPr>
                              <w:t>organo narys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AAC6BA" id="AutoShape 70" o:spid="_x0000_s1076" style="position:absolute;left:0;text-align:left;margin-left:114.4pt;margin-top:12.45pt;width:108.85pt;height:1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38NQIAAF4EAAAOAAAAZHJzL2Uyb0RvYy54bWysVFFv0zAQfkfiP1h+p2nahq5R02nqNIQ0&#10;YGLwA1zbaQKOz5zdpuXX7+xmpQOeEK1k+Xy+z/d9d5fl9aEzbK/Rt2Arno/GnGkrQbV2W/GvX+7e&#10;XHHmg7BKGLC64kft+fXq9atl70o9gQaM0sgIxPqydxVvQnBllnnZ6E74EThtyVkDdiKQidtMoegJ&#10;vTPZZDx+m/WAyiFI7T2d3p6cfJXw61rL8KmuvQ7MVJxyC2nFtG7imq2WotyicE0rhzTEP2TRidbS&#10;o2eoWxEE22H7B1TXSgQPdRhJ6DKo61bqxIHY5OPf2Dw2wunEhcTx7iyT/3+w8uP+AVmrKj7JF5xZ&#10;0VGRbnYB0ttsnhTqnS/p4qN7wMjRu3uQ3z2zsG6E3eobROgbLRTllUdFsxcB0fAUyjb9B1AELwg+&#10;iXWosYuAJAM7pJoczzXRh8AkHebTq8l0UXAmyZcXV3lepJwyUT6HO/ThnYaOxU3FEXZWfabKpzfE&#10;/t6HVBk1sBPqG2d1Z6jOe2HYLC/mKWlRDncJ+hky0QXTqrvWmGTgdrM2yCiy4utx/A/B/vKasayv&#10;+KKYFCmJFz5/CTFOv79BJBpRTFEaO2gaZYyt7ctw2BxS2aZJ8Xi0AXUklRFOTU5DSZsG8CdnPTV4&#10;xf2PnUDNmXlvqVKLfDaLE5GMWTGfkIGXns2lR1hJUBUPnJ2263Caop3DdtvQS3liaiE2T92G5zY4&#10;ZTXkT02cCA0DF6fk0k63fn0WVk8AAAD//wMAUEsDBBQABgAIAAAAIQCA26Me4AAAAAoBAAAPAAAA&#10;ZHJzL2Rvd25yZXYueG1sTI/BTsMwEETvSPyDtUjcqNM0LWmIUxWiVuJWAh/gxCYJxGsTu034e5YT&#10;3HZnRzNv891sBnbRo+8tClguImAaG6t6bAW8vR7uUmA+SFRysKgFfGsPu+L6KpeZshO+6EsVWkYh&#10;6DMpoAvBZZz7ptNG+oV1Gun2bkcjA61jy9UoJwo3A4+jaMON7JEaOun0U6ebz+psBKyej19T9VE/&#10;lr1fnk5p6faH0glxezPvH4AFPYc/M/ziEzoUxFTbMyrPBgFxnBJ6oCHZAiNDkmzWwGoS7ldb4EXO&#10;/79Q/AAAAP//AwBQSwECLQAUAAYACAAAACEAtoM4kv4AAADhAQAAEwAAAAAAAAAAAAAAAAAAAAAA&#10;W0NvbnRlbnRfVHlwZXNdLnhtbFBLAQItABQABgAIAAAAIQA4/SH/1gAAAJQBAAALAAAAAAAAAAAA&#10;AAAAAC8BAABfcmVscy8ucmVsc1BLAQItABQABgAIAAAAIQBTWu38NQIAAF4EAAAOAAAAAAAAAAAA&#10;AAAAAC4CAABkcnMvZTJvRG9jLnhtbFBLAQItABQABgAIAAAAIQCA26Me4AAAAAoBAAAPAAAAAAAA&#10;AAAAAAAAAI8EAABkcnMvZG93bnJldi54bWxQSwUGAAAAAAQABADzAAAAnAUAAAAA&#10;" fillcolor="silver">
                <v:textbox>
                  <w:txbxContent>
                    <w:p w14:paraId="6B5A810C" w14:textId="77777777" w:rsidR="007B24A1" w:rsidRPr="006C5F6C" w:rsidRDefault="007B24A1" w:rsidP="00244C63">
                      <w:pPr>
                        <w:jc w:val="center"/>
                      </w:pPr>
                      <w:r w:rsidRPr="006C5F6C">
                        <w:t xml:space="preserve">Dalyvis, </w:t>
                      </w:r>
                      <w:r w:rsidRPr="00584460">
                        <w:t>turintis 25 proc. ar daugiau akcijų (pajų,</w:t>
                      </w:r>
                      <w:r w:rsidRPr="00584460">
                        <w:rPr>
                          <w:bCs/>
                          <w:color w:val="000000"/>
                          <w:highlight w:val="lightGray"/>
                          <w:lang w:eastAsia="lt-LT"/>
                        </w:rPr>
                        <w:t xml:space="preserve"> </w:t>
                      </w:r>
                      <w:r w:rsidRPr="00584460">
                        <w:t>dalių) tame vienete</w:t>
                      </w:r>
                      <w:r w:rsidRPr="006C5F6C">
                        <w:t>, ar</w:t>
                      </w:r>
                    </w:p>
                    <w:p w14:paraId="0A1597CF" w14:textId="77777777" w:rsidR="007B24A1" w:rsidRPr="006C5F6C" w:rsidRDefault="007B24A1" w:rsidP="00244C63">
                      <w:pPr>
                        <w:spacing w:after="0" w:line="240" w:lineRule="auto"/>
                        <w:jc w:val="center"/>
                      </w:pPr>
                      <w:r w:rsidRPr="006C5F6C">
                        <w:t>valdymo</w:t>
                      </w:r>
                    </w:p>
                    <w:p w14:paraId="796D89C8" w14:textId="77777777" w:rsidR="007B24A1" w:rsidRDefault="007B24A1" w:rsidP="00244C63">
                      <w:pPr>
                        <w:pStyle w:val="Pagrindinistekstas"/>
                        <w:spacing w:after="0" w:line="240" w:lineRule="auto"/>
                        <w:jc w:val="center"/>
                        <w:rPr>
                          <w:color w:val="008000"/>
                        </w:rPr>
                      </w:pPr>
                      <w:r w:rsidRPr="006C5F6C">
                        <w:rPr>
                          <w:rFonts w:ascii="Times New Roman" w:hAnsi="Times New Roman" w:cs="Times New Roman"/>
                        </w:rPr>
                        <w:t>organo narys</w:t>
                      </w:r>
                    </w:p>
                  </w:txbxContent>
                </v:textbox>
              </v:roundrect>
            </w:pict>
          </mc:Fallback>
        </mc:AlternateContent>
      </w:r>
      <w:r w:rsidRPr="006C5F6C">
        <w:rPr>
          <w:noProof/>
          <w:lang w:val="lt-LT" w:eastAsia="lt-LT"/>
        </w:rPr>
        <mc:AlternateContent>
          <mc:Choice Requires="wps">
            <w:drawing>
              <wp:anchor distT="0" distB="0" distL="114300" distR="114300" simplePos="0" relativeHeight="251765760" behindDoc="0" locked="0" layoutInCell="1" allowOverlap="1" wp14:anchorId="505475DC" wp14:editId="533A46EC">
                <wp:simplePos x="0" y="0"/>
                <wp:positionH relativeFrom="column">
                  <wp:posOffset>256540</wp:posOffset>
                </wp:positionH>
                <wp:positionV relativeFrom="paragraph">
                  <wp:posOffset>162560</wp:posOffset>
                </wp:positionV>
                <wp:extent cx="1000760" cy="687705"/>
                <wp:effectExtent l="13970" t="12700" r="13970" b="13970"/>
                <wp:wrapNone/>
                <wp:docPr id="22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45A89F4A" w14:textId="77777777" w:rsidR="007B24A1" w:rsidRDefault="007B24A1" w:rsidP="00244C63">
                            <w:pPr>
                              <w:pStyle w:val="Pagrindinistekstas"/>
                              <w:jc w:val="center"/>
                            </w:pPr>
                            <w:r>
                              <w:t>Broliai ir seserys *</w:t>
                            </w:r>
                          </w:p>
                        </w:txbxContent>
                      </wps:txbx>
                      <wps:bodyPr rot="0" vert="horz" wrap="square" lIns="91440" tIns="45720" rIns="91440" bIns="45720" anchor="t" anchorCtr="0" upright="1">
                        <a:noAutofit/>
                      </wps:bodyPr>
                    </wps:wsp>
                  </a:graphicData>
                </a:graphic>
              </wp:anchor>
            </w:drawing>
          </mc:Choice>
          <mc:Fallback>
            <w:pict>
              <v:roundrect w14:anchorId="505475DC" id="AutoShape 67" o:spid="_x0000_s1077" style="position:absolute;left:0;text-align:left;margin-left:20.2pt;margin-top:12.8pt;width:78.8pt;height:54.15pt;z-index:2517657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2MwIAAF4EAAAOAAAAZHJzL2Uyb0RvYy54bWysVF1v0zAUfUfiP1h+p/lgbbdo6TRtKkIa&#10;MDH4Aa7tNAHH11y7Tcev37WTjg54QuTBsn2vj+855zqXV4fesL1G34GteTHLOdNWgurstuZfv6zf&#10;nHPmg7BKGLC65o/a86vV61eXg6t0CS0YpZERiPXV4GrehuCqLPOy1b3wM3DaUrAB7EWgJW4zhWIg&#10;9N5kZZ4vsgFQOQSpvafd2zHIVwm/abQMn5rG68BMzam2kEZM4yaO2epSVFsUru3kVIb4hyp60Vm6&#10;9BnqVgTBdtj9AdV3EsFDE2YS+gyappM6cSA2Rf4bm4dWOJ24kDjePcvk/x+s/Li/R9apmpcl6WNF&#10;TyZd7wKku9liGRUanK8o8cHdY+To3R3I755ZuGmF3eprRBhaLRTVVcT87MWBuPB0lG2GD6AIXhB8&#10;EuvQYB8BSQZ2SJ48PnuiD4FJ2izyPF8uqDRJscX5cpnP0xWiOp526MM7DT2Lk5oj7Kz6TManK8T+&#10;zodkjJrICfWNs6Y3ZPNeGFYsFiPJTFRTMs2OmIkumE6tO2PSArebG4OMjtZ8nb6pHH+aZiwban4x&#10;L+epihcxfwpB7Oj7G0TiEcUUlbGTplHG0Y5w2BySbW/LeDhqvAH1SCojjE1Oj5ImLeBPzgZq8Jr7&#10;HzuBmjPz3pJTF8XZWXwRaXE2X0b78TSyOY0IKwmq5oGzcXoTxle0c9htW7qpSEwtxOZpunBsg7Gq&#10;qX5q4kRoenDxlZyuU9av38LqCQAA//8DAFBLAwQUAAYACAAAACEAlBcmkt0AAAAJAQAADwAAAGRy&#10;cy9kb3ducmV2LnhtbEyPzU7DMBCE70i8g7VI3KhN/9SkcSqEBFdE4MDRiZckarxOYycNPD3bE73t&#10;aEaz32SH2XViwiG0njQ8LhQIpMrblmoNnx8vDzsQIRqypvOEGn4wwCG/vclMav2Z3nEqYi24hEJq&#10;NDQx9qmUoWrQmbDwPRJ7335wJrIcamkHc+Zy18mlUlvpTEv8oTE9PjdYHYvRaaisGtXwNb0l5SYW&#10;v9N4Ivl60vr+bn7ag4g4x/8wXPAZHXJmKv1INohOw1qtOalhudmCuPjJjreVfKxWCcg8k9cL8j8A&#10;AAD//wMAUEsBAi0AFAAGAAgAAAAhALaDOJL+AAAA4QEAABMAAAAAAAAAAAAAAAAAAAAAAFtDb250&#10;ZW50X1R5cGVzXS54bWxQSwECLQAUAAYACAAAACEAOP0h/9YAAACUAQAACwAAAAAAAAAAAAAAAAAv&#10;AQAAX3JlbHMvLnJlbHNQSwECLQAUAAYACAAAACEAuvyYtjMCAABeBAAADgAAAAAAAAAAAAAAAAAu&#10;AgAAZHJzL2Uyb0RvYy54bWxQSwECLQAUAAYACAAAACEAlBcmkt0AAAAJAQAADwAAAAAAAAAAAAAA&#10;AACNBAAAZHJzL2Rvd25yZXYueG1sUEsFBgAAAAAEAAQA8wAAAJcFAAAAAA==&#10;">
                <v:textbox>
                  <w:txbxContent>
                    <w:p w14:paraId="45A89F4A" w14:textId="77777777" w:rsidR="007B24A1" w:rsidRDefault="007B24A1" w:rsidP="00244C63">
                      <w:pPr>
                        <w:pStyle w:val="Pagrindinistekstas"/>
                        <w:jc w:val="center"/>
                      </w:pPr>
                      <w:r>
                        <w:t>Broliai ir seserys *</w:t>
                      </w:r>
                    </w:p>
                  </w:txbxContent>
                </v:textbox>
              </v:roundrect>
            </w:pict>
          </mc:Fallback>
        </mc:AlternateContent>
      </w:r>
      <w:r w:rsidRPr="006C5F6C">
        <w:rPr>
          <w:noProof/>
          <w:lang w:val="lt-LT" w:eastAsia="lt-LT"/>
        </w:rPr>
        <mc:AlternateContent>
          <mc:Choice Requires="wps">
            <w:drawing>
              <wp:anchor distT="0" distB="0" distL="114300" distR="114300" simplePos="0" relativeHeight="251768832" behindDoc="0" locked="0" layoutInCell="1" allowOverlap="1" wp14:anchorId="7DBFA8F1" wp14:editId="3CC12441">
                <wp:simplePos x="0" y="0"/>
                <wp:positionH relativeFrom="column">
                  <wp:posOffset>4800600</wp:posOffset>
                </wp:positionH>
                <wp:positionV relativeFrom="paragraph">
                  <wp:posOffset>162560</wp:posOffset>
                </wp:positionV>
                <wp:extent cx="1000760" cy="687705"/>
                <wp:effectExtent l="5080" t="12700" r="13335" b="13970"/>
                <wp:wrapNone/>
                <wp:docPr id="22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solidFill>
                          <a:srgbClr val="FFFFFF"/>
                        </a:solidFill>
                        <a:ln w="9525">
                          <a:solidFill>
                            <a:srgbClr val="000000"/>
                          </a:solidFill>
                          <a:round/>
                        </a:ln>
                      </wps:spPr>
                      <wps:txbx>
                        <w:txbxContent>
                          <w:p w14:paraId="4EF520E1" w14:textId="77777777" w:rsidR="007B24A1" w:rsidRDefault="007B24A1" w:rsidP="00244C63">
                            <w:pPr>
                              <w:pStyle w:val="Pagrindinistekstas"/>
                              <w:jc w:val="center"/>
                            </w:pPr>
                            <w:r>
                              <w:t>Broliai ir seserys</w:t>
                            </w:r>
                          </w:p>
                        </w:txbxContent>
                      </wps:txbx>
                      <wps:bodyPr rot="0" vert="horz" wrap="square" lIns="91440" tIns="45720" rIns="91440" bIns="45720" anchor="t" anchorCtr="0" upright="1">
                        <a:noAutofit/>
                      </wps:bodyPr>
                    </wps:wsp>
                  </a:graphicData>
                </a:graphic>
              </wp:anchor>
            </w:drawing>
          </mc:Choice>
          <mc:Fallback>
            <w:pict>
              <v:roundrect w14:anchorId="7DBFA8F1" id="AutoShape 68" o:spid="_x0000_s1078" style="position:absolute;left:0;text-align:left;margin-left:378pt;margin-top:12.8pt;width:78.8pt;height:54.15pt;z-index:2517688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XLNAIAAF4EAAAOAAAAZHJzL2Uyb0RvYy54bWysVF9v0zAQf0fiO1h+p0m6Nu2ipdO0qQhp&#10;wMTgA7i20wQcnzm7Tcun5+xmowOeEHmwfL67393v/uTq+tAbttfoO7A1LyY5Z9pKUJ3d1vzL5/Wb&#10;JWc+CKuEAatrftSeX69ev7oaXKWn0IJRGhmBWF8NruZtCK7KMi9b3Qs/AactKRvAXgQScZspFAOh&#10;9yab5nmZDYDKIUjtPb3enZR8lfCbRsvwsWm8DszUnHIL6cR0buKZra5EtUXh2k6OaYh/yKIXnaWg&#10;z1B3Igi2w+4PqL6TCB6aMJHQZ9A0ndSJA7Ep8t/YPLbC6cSFiuPdc5n8/4OVH/YPyDpV8+m04MyK&#10;npp0swuQYrNyGSs0OF+R4aN7wMjRu3uQ3zyzcNsKu9U3iDC0WijKq4j22QuHKHhyZZvhPSiCFwSf&#10;inVosI+AVAZ2SD05PvdEHwKT9Fjkeb4oqXWSdOVyscjnKYSonrwd+vBWQ8/ipeYIO6s+UeNTCLG/&#10;9yE1Ro3khPrKWdMbavNeGFaUZbkYEUfjTFRPmIkumE6tO2OSgNvNrUFGrjVfp2909udmxrKh5pfz&#10;6Txl8ULnzyGIHX1/g0g8YjFFZexY01jGUzvCYXNIbbu4iM6xxhtQR6oywmnIaSnp0gL+4GygAa+5&#10;/74TqDkz7yx16rKYzeJGJGE2X0xJwHPN5lwjrCSomgfOTtfbcNqincNu21KkIjG1EIen6cLTGJyy&#10;GvOnIU6ExoWLW3IuJ6tfv4XVTwAAAP//AwBQSwMEFAAGAAgAAAAhANvMFW3eAAAACgEAAA8AAABk&#10;cnMvZG93bnJldi54bWxMj8FOhDAQhu8mvkMzJt7cdpeAwlI2xkSvRtaDx0K7QKRTti0s+vSOJ73N&#10;ZL788/3lYbUjW4wPg0MJ240AZrB1esBOwvvx+e4BWIgKtRodGglfJsChur4qVaHdBd/MUseOUQiG&#10;QknoY5wKzkPbG6vCxk0G6XZy3qpIq++49upC4XbkOyEybtWA9KFXk3nqTftZz1ZCq8Us/Mfymjdp&#10;rL+X+Yz85Szl7c36uAcWzRr/YPjVJ3WoyKlxM+rARgn3aUZdooRdmgEjIN8mNDREJkkOvCr5/wrV&#10;DwAAAP//AwBQSwECLQAUAAYACAAAACEAtoM4kv4AAADhAQAAEwAAAAAAAAAAAAAAAAAAAAAAW0Nv&#10;bnRlbnRfVHlwZXNdLnhtbFBLAQItABQABgAIAAAAIQA4/SH/1gAAAJQBAAALAAAAAAAAAAAAAAAA&#10;AC8BAABfcmVscy8ucmVsc1BLAQItABQABgAIAAAAIQDK7XXLNAIAAF4EAAAOAAAAAAAAAAAAAAAA&#10;AC4CAABkcnMvZTJvRG9jLnhtbFBLAQItABQABgAIAAAAIQDbzBVt3gAAAAoBAAAPAAAAAAAAAAAA&#10;AAAAAI4EAABkcnMvZG93bnJldi54bWxQSwUGAAAAAAQABADzAAAAmQUAAAAA&#10;">
                <v:textbox>
                  <w:txbxContent>
                    <w:p w14:paraId="4EF520E1" w14:textId="77777777" w:rsidR="007B24A1" w:rsidRDefault="007B24A1" w:rsidP="00244C63">
                      <w:pPr>
                        <w:pStyle w:val="Pagrindinistekstas"/>
                        <w:jc w:val="center"/>
                      </w:pPr>
                      <w:r>
                        <w:t>Broliai ir seserys</w:t>
                      </w:r>
                    </w:p>
                  </w:txbxContent>
                </v:textbox>
              </v:roundrect>
            </w:pict>
          </mc:Fallback>
        </mc:AlternateContent>
      </w:r>
      <w:r w:rsidRPr="006C5F6C">
        <w:rPr>
          <w:noProof/>
          <w:lang w:val="lt-LT" w:eastAsia="lt-LT"/>
        </w:rPr>
        <mc:AlternateContent>
          <mc:Choice Requires="wps">
            <w:drawing>
              <wp:anchor distT="0" distB="0" distL="114300" distR="114300" simplePos="0" relativeHeight="251763712" behindDoc="0" locked="0" layoutInCell="1" allowOverlap="1" wp14:anchorId="5898B172" wp14:editId="74DC4877">
                <wp:simplePos x="0" y="0"/>
                <wp:positionH relativeFrom="column">
                  <wp:posOffset>3314700</wp:posOffset>
                </wp:positionH>
                <wp:positionV relativeFrom="paragraph">
                  <wp:posOffset>162560</wp:posOffset>
                </wp:positionV>
                <wp:extent cx="1000760" cy="687705"/>
                <wp:effectExtent l="5080" t="12700" r="13335" b="13970"/>
                <wp:wrapNone/>
                <wp:docPr id="22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0"/>
                          </a:avLst>
                        </a:prstGeom>
                        <a:noFill/>
                        <a:ln w="9525">
                          <a:solidFill>
                            <a:srgbClr val="000000"/>
                          </a:solidFill>
                          <a:round/>
                        </a:ln>
                      </wps:spPr>
                      <wps:txbx>
                        <w:txbxContent>
                          <w:p w14:paraId="3E44AE6F" w14:textId="77777777" w:rsidR="007B24A1" w:rsidRPr="006C5F6C" w:rsidRDefault="007B24A1" w:rsidP="00244C63">
                            <w:pPr>
                              <w:jc w:val="center"/>
                            </w:pPr>
                            <w:r w:rsidRPr="006C5F6C">
                              <w:t>Sutuoktiniai,</w:t>
                            </w:r>
                          </w:p>
                          <w:p w14:paraId="6BE4B4B5" w14:textId="77777777" w:rsidR="007B24A1" w:rsidRPr="006C5F6C" w:rsidRDefault="007B24A1" w:rsidP="00244C63">
                            <w:pPr>
                              <w:jc w:val="center"/>
                            </w:pPr>
                            <w:r w:rsidRPr="006C5F6C">
                              <w:t>sugyventiniai</w:t>
                            </w:r>
                          </w:p>
                        </w:txbxContent>
                      </wps:txbx>
                      <wps:bodyPr rot="0" vert="horz" wrap="square" lIns="54000" tIns="118800" rIns="54000" bIns="45720" anchor="t" anchorCtr="0" upright="1">
                        <a:noAutofit/>
                      </wps:bodyPr>
                    </wps:wsp>
                  </a:graphicData>
                </a:graphic>
              </wp:anchor>
            </w:drawing>
          </mc:Choice>
          <mc:Fallback>
            <w:pict>
              <v:roundrect w14:anchorId="5898B172" id="AutoShape 69" o:spid="_x0000_s1079" style="position:absolute;left:0;text-align:left;margin-left:261pt;margin-top:12.8pt;width:78.8pt;height:54.15pt;z-index:251763712;visibility:visible;mso-wrap-style:square;mso-wrap-distance-left:9pt;mso-wrap-distance-top:0;mso-wrap-distance-right:9pt;mso-wrap-distance-bottom:0;mso-position-horizontal:absolute;mso-position-horizontal-relative:text;mso-position-vertical:absolute;mso-position-vertical-relative:text;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fI1KwIAADIEAAAOAAAAZHJzL2Uyb0RvYy54bWysU9tu2zAMfR+wfxD0vviy3GrEKYoUHQZ0&#10;W7FuH6BIcuxNFjVKidN9/SjFydrtbZgfBNGkDnkOydX1sTfsoNF3YGteTHLOtJWgOrur+dcvd2+W&#10;nPkgrBIGrK75k/b8ev361WpwlS6hBaM0MgKxvhpczdsQXJVlXra6F34CTltyNoC9CGTiLlMoBkLv&#10;TVbm+TwbAJVDkNp7+nt7cvJ1wm8aLcOnpvE6MFNzqi2kE9O5jWe2Xolqh8K1nRzLEP9QRS86S0kv&#10;ULciCLbH7i+ovpMIHpowkdBn0DSd1IkDsSnyP9g8tsLpxIXE8e4ik/9/sPLj4QFZp2peliVnVvTU&#10;pJt9gJSbza+iQoPzFQU+ugeMHL27B/ndMwubVtidvkGEodVCUV1FjM9ePIiGp6dsO3wARfCC4JNY&#10;xwb7CEgysGPqydOlJ/oYmKSfRZ7nizm1TpJvvlws8llKIarza4c+vNPQs3ipOcLeqs/U+JRCHO59&#10;SI1RIzmhvnHW9IbafBCGpRHIRDUG0u2MF19ZuOuMSUNiLBtqfjUrZwnYg+lUdCZFcLfdGGQESATS&#10;Nxb5IiyVFvURlbGjTFGZk8LhuD2mTrydnkXfgnoi4RBOc0t7RpcW8CdnA81szf2PvUDNmXlvSfzZ&#10;lFLTkCejKJbLaOFz1zYZ09miJI+wkrBqHs7XTThtxt5ht2spVZGoWogD0XTh3NpTWSMBGszEaFyi&#10;OPnP7RT1e9XXvwAAAP//AwBQSwMEFAAGAAgAAAAhAHTBnNbeAAAACgEAAA8AAABkcnMvZG93bnJl&#10;di54bWxMj8tOw0AMRfdI/MPISOzohIQEGjKpqkogitjQ8gFuxiQj5hFlpm34e8wKdrZ8dH1us5qd&#10;FSeaoglewe0iA0G+C9r4XsHH/unmAURM6DXa4EnBN0VYtZcXDdY6nP07nXapFxziY40KhpTGWsrY&#10;DeQwLsJInm+fYXKYeJ16qSc8c7izMs+ySjo0nj8MONJmoO5rd3QKNqV83e7pDu26eE5oaHx7MVul&#10;rq/m9SOIRHP6g+FXn9WhZadDOHodhVVQ5jl3SQrysgLBQHW/5OHAZFEsQbaN/F+h/QEAAP//AwBQ&#10;SwECLQAUAAYACAAAACEAtoM4kv4AAADhAQAAEwAAAAAAAAAAAAAAAAAAAAAAW0NvbnRlbnRfVHlw&#10;ZXNdLnhtbFBLAQItABQABgAIAAAAIQA4/SH/1gAAAJQBAAALAAAAAAAAAAAAAAAAAC8BAABfcmVs&#10;cy8ucmVsc1BLAQItABQABgAIAAAAIQC1yfI1KwIAADIEAAAOAAAAAAAAAAAAAAAAAC4CAABkcnMv&#10;ZTJvRG9jLnhtbFBLAQItABQABgAIAAAAIQB0wZzW3gAAAAoBAAAPAAAAAAAAAAAAAAAAAIUEAABk&#10;cnMvZG93bnJldi54bWxQSwUGAAAAAAQABADzAAAAkAUAAAAA&#10;" filled="f">
                <v:textbox inset="1.5mm,3.3mm,1.5mm">
                  <w:txbxContent>
                    <w:p w14:paraId="3E44AE6F" w14:textId="77777777" w:rsidR="007B24A1" w:rsidRPr="006C5F6C" w:rsidRDefault="007B24A1" w:rsidP="00244C63">
                      <w:pPr>
                        <w:jc w:val="center"/>
                      </w:pPr>
                      <w:r w:rsidRPr="006C5F6C">
                        <w:t>Sutuoktiniai,</w:t>
                      </w:r>
                    </w:p>
                    <w:p w14:paraId="6BE4B4B5" w14:textId="77777777" w:rsidR="007B24A1" w:rsidRPr="006C5F6C" w:rsidRDefault="007B24A1" w:rsidP="00244C63">
                      <w:pPr>
                        <w:jc w:val="center"/>
                      </w:pPr>
                      <w:r w:rsidRPr="006C5F6C">
                        <w:t>sugyventiniai</w:t>
                      </w:r>
                    </w:p>
                  </w:txbxContent>
                </v:textbox>
              </v:roundrect>
            </w:pict>
          </mc:Fallback>
        </mc:AlternateContent>
      </w:r>
    </w:p>
    <w:p w14:paraId="31AEAB25" w14:textId="77777777" w:rsidR="00244C63" w:rsidRPr="008B60DD" w:rsidRDefault="00244C63" w:rsidP="00244C63">
      <w:pPr>
        <w:jc w:val="both"/>
        <w:rPr>
          <w:lang w:val="lt-LT"/>
        </w:rPr>
      </w:pPr>
    </w:p>
    <w:p w14:paraId="14E87D64"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1904" behindDoc="0" locked="0" layoutInCell="1" allowOverlap="1" wp14:anchorId="41D4E635" wp14:editId="1F90452A">
                <wp:simplePos x="0" y="0"/>
                <wp:positionH relativeFrom="column">
                  <wp:posOffset>1254125</wp:posOffset>
                </wp:positionH>
                <wp:positionV relativeFrom="paragraph">
                  <wp:posOffset>149225</wp:posOffset>
                </wp:positionV>
                <wp:extent cx="199390" cy="2540"/>
                <wp:effectExtent l="0" t="0" r="29210" b="35560"/>
                <wp:wrapNone/>
                <wp:docPr id="22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 cy="254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3B971465" id="Line 72"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75pt,11.75pt" to="114.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tCuwEAAFYDAAAOAAAAZHJzL2Uyb0RvYy54bWysU02P2yAQvVfqf0DcGyfepm2sOHvIantJ&#10;20i7/QEEcIwKDBpI7Pz7DuSj2/a2Wh+QYWbezHsPlvejs+yoMRrwLZ9NppxpL0EZv2/5z+fHD184&#10;i0l4JSx43fKTjvx+9f7dcgiNrqEHqzQyAvGxGULL+5RCU1VR9tqJOIGgPQU7QCcSbXFfKRQDoTtb&#10;1dPpp2oAVAFB6hjp9OEc5KuC33Vaph9dF3VituU0WyorlnWX12q1FM0eReiNvIwhXjGFE8ZT0xvU&#10;g0iCHdD8B+WMRIjQpYkEV0HXGakLB2Izm/7D5qkXQRcuJE4MN5ni28HK78ctMqNaXtd3nHnhyKSN&#10;8Zp9rrM4Q4gN5az9FjM9OfqnsAH5KzIP6174vS5DPp8C1c1yRfVXSd7EQC12wzdQlCMOCYpSY4cu&#10;Q5IGbCyGnG6G6DExSYezxeJuQbZJCtXzj8WuSjTX0oAxfdXgWP5puaWxC7Q4bmLKo4jmmpI7eXg0&#10;1hbHrWdDyxfzel4KIlijcjCnRdzv1hbZUeQ7U77CiyIv0xAOXp2bWH+hnZmeNduBOm3xKgeZV6a5&#10;XLR8O17uS/Wf57D6DQAA//8DAFBLAwQUAAYACAAAACEAxLt3n90AAAAJAQAADwAAAGRycy9kb3du&#10;cmV2LnhtbEyPQU/DMAyF70j8h8hIXCaW0glYS9MJAb1x2QBx9RrTVjRO12Rb4dfjneBkPfvp+XvF&#10;anK9OtAYOs8GrucJKOLa244bA2+v1dUSVIjIFnvPZOCbAqzK87MCc+uPvKbDJjZKQjjkaKCNcci1&#10;DnVLDsPcD8Ry+/SjwyhybLQd8Sjhrtdpktxqhx3LhxYHemyp/trsnYFQvdOu+pnVs+Rj0XhKd08v&#10;z2jM5cX0cA8q0hT/zHDCF3QohWnr92yD6kVndzdiNZAuZIohTZcZqO1pkYEuC/2/QfkLAAD//wMA&#10;UEsBAi0AFAAGAAgAAAAhALaDOJL+AAAA4QEAABMAAAAAAAAAAAAAAAAAAAAAAFtDb250ZW50X1R5&#10;cGVzXS54bWxQSwECLQAUAAYACAAAACEAOP0h/9YAAACUAQAACwAAAAAAAAAAAAAAAAAvAQAAX3Jl&#10;bHMvLnJlbHNQSwECLQAUAAYACAAAACEAu3UbQrsBAABWAwAADgAAAAAAAAAAAAAAAAAuAgAAZHJz&#10;L2Uyb0RvYy54bWxQSwECLQAUAAYACAAAACEAxLt3n90AAAAJAQAADwAAAAAAAAAAAAAAAAAVBAAA&#10;ZHJzL2Rvd25yZXYueG1sUEsFBgAAAAAEAAQA8wAAAB8FAAAAAA==&#10;"/>
            </w:pict>
          </mc:Fallback>
        </mc:AlternateContent>
      </w:r>
      <w:r w:rsidRPr="006C5F6C">
        <w:rPr>
          <w:noProof/>
          <w:lang w:val="lt-LT" w:eastAsia="lt-LT"/>
        </w:rPr>
        <mc:AlternateContent>
          <mc:Choice Requires="wps">
            <w:drawing>
              <wp:anchor distT="0" distB="0" distL="114300" distR="114300" simplePos="0" relativeHeight="251779072" behindDoc="0" locked="0" layoutInCell="1" allowOverlap="1" wp14:anchorId="7CBA21CA" wp14:editId="0BAF31CE">
                <wp:simplePos x="0" y="0"/>
                <wp:positionH relativeFrom="column">
                  <wp:posOffset>2823845</wp:posOffset>
                </wp:positionH>
                <wp:positionV relativeFrom="paragraph">
                  <wp:posOffset>147320</wp:posOffset>
                </wp:positionV>
                <wp:extent cx="490855" cy="2540"/>
                <wp:effectExtent l="9525" t="5080" r="13970" b="11430"/>
                <wp:wrapNone/>
                <wp:docPr id="38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0855" cy="2540"/>
                        </a:xfrm>
                        <a:prstGeom prst="line">
                          <a:avLst/>
                        </a:prstGeom>
                        <a:noFill/>
                        <a:ln w="9525">
                          <a:solidFill>
                            <a:srgbClr val="000000"/>
                          </a:solidFill>
                          <a:round/>
                        </a:ln>
                      </wps:spPr>
                      <wps:bodyPr/>
                    </wps:wsp>
                  </a:graphicData>
                </a:graphic>
              </wp:anchor>
            </w:drawing>
          </mc:Choice>
          <mc:Fallback>
            <w:pict>
              <v:line w14:anchorId="3B6E3822" id="Line 71" o:spid="_x0000_s1026" style="position:absolute;flip:y;z-index:251779072;visibility:visible;mso-wrap-style:square;mso-wrap-distance-left:9pt;mso-wrap-distance-top:0;mso-wrap-distance-right:9pt;mso-wrap-distance-bottom:0;mso-position-horizontal:absolute;mso-position-horizontal-relative:text;mso-position-vertical:absolute;mso-position-vertical-relative:text" from="222.35pt,11.6pt" to="261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3bwgEAAGADAAAOAAAAZHJzL2Uyb0RvYy54bWysU02P2yAQvVfqf0DcGztp3GatOHvIantJ&#10;20i73Tvhw0YFBgGJnX/fgeym3fa2qg/IzLx5zHsD69vJGnKSIWpwHZ3Pakqk4yC06zv64/H+w4qS&#10;mJgTzICTHT3LSG8379+tR9/KBQxghAwESVxsR9/RISXfVlXkg7QszsBLh0kFwbKE29BXIrAR2a2p&#10;FnX9qRohCB+AyxgxendJ0k3hV0ry9F2pKBMxHcXeUllDWQ95rTZr1vaB+UHz5zbYG7qwTDs89Ep1&#10;xxIjx6D/obKaB4ig0oyDrUApzWXRgGrm9V9qHgbmZdGC5kR/tSn+P1r+7bQPRIuOflwtKXHM4pB2&#10;2knyeZ7NGX1sEbN1+5Dl8ck9+B3wn5E42A7M9bI0+Xj2WFcqqlcleRM9HnEYv4JADDsmKE5NKlii&#10;jPZPuTCToxtkKqM5X0cjp0Q4Bpc39appKOGYWjTLMriKtZkkl/oQ0xcJluSfjhoUUCjZaRcTykDo&#10;CyTDHdxrY8rsjSNjR2+aRVMKIhgtcjLDYugPWxPIieXbU77sCZK9ggU4OnGJG4fpF80X9w4gzvuQ&#10;0zmOYywEz1cu35M/9wX1+2FsfgEAAP//AwBQSwMEFAAGAAgAAAAhAJ3BMSTdAAAACQEAAA8AAABk&#10;cnMvZG93bnJldi54bWxMj8FOwzAMhu9IvENkJG4sJStjlKbThIAL0iRGxzltTFvROFWTdeXt8U5w&#10;tP3p9/fnm9n1YsIxdJ403C4SEEi1tx01GsqPl5s1iBANWdN7Qg0/GGBTXF7kJrP+RO847WMjOIRC&#10;ZjS0MQ6ZlKFu0Zmw8AMS37786EzkcWykHc2Jw10vVZKspDMd8YfWDPjUYv29PzoN28+35+Vuqpzv&#10;7UNTHqwrk1el9fXVvH0EEXGOfzCc9VkdCnaq/JFsEL2GNE3vGdWglgoEA3dKcbnqvFiBLHL5v0Hx&#10;CwAA//8DAFBLAQItABQABgAIAAAAIQC2gziS/gAAAOEBAAATAAAAAAAAAAAAAAAAAAAAAABbQ29u&#10;dGVudF9UeXBlc10ueG1sUEsBAi0AFAAGAAgAAAAhADj9If/WAAAAlAEAAAsAAAAAAAAAAAAAAAAA&#10;LwEAAF9yZWxzLy5yZWxzUEsBAi0AFAAGAAgAAAAhAJLQTdvCAQAAYAMAAA4AAAAAAAAAAAAAAAAA&#10;LgIAAGRycy9lMm9Eb2MueG1sUEsBAi0AFAAGAAgAAAAhAJ3BMSTdAAAACQEAAA8AAAAAAAAAAAAA&#10;AAAAHAQAAGRycy9kb3ducmV2LnhtbFBLBQYAAAAABAAEAPMAAAAmBQAAAAA=&#10;"/>
            </w:pict>
          </mc:Fallback>
        </mc:AlternateContent>
      </w:r>
    </w:p>
    <w:p w14:paraId="361F1BBA" w14:textId="77777777" w:rsidR="00244C63" w:rsidRPr="008B60DD" w:rsidRDefault="00244C63" w:rsidP="00244C63">
      <w:pPr>
        <w:jc w:val="both"/>
        <w:rPr>
          <w:lang w:val="lt-LT"/>
        </w:rPr>
      </w:pPr>
    </w:p>
    <w:p w14:paraId="62778376"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6000" behindDoc="0" locked="0" layoutInCell="1" allowOverlap="1" wp14:anchorId="5B166335" wp14:editId="04E8CB03">
                <wp:simplePos x="0" y="0"/>
                <wp:positionH relativeFrom="column">
                  <wp:posOffset>3825875</wp:posOffset>
                </wp:positionH>
                <wp:positionV relativeFrom="paragraph">
                  <wp:posOffset>143510</wp:posOffset>
                </wp:positionV>
                <wp:extent cx="0" cy="457200"/>
                <wp:effectExtent l="59055" t="18415" r="55245" b="10160"/>
                <wp:wrapNone/>
                <wp:docPr id="38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2DBA722C" id="Line 74" o:spid="_x0000_s1026" style="position:absolute;flip:y;z-index:251776000;visibility:visible;mso-wrap-style:square;mso-wrap-distance-left:9pt;mso-wrap-distance-top:0;mso-wrap-distance-right:9pt;mso-wrap-distance-bottom:0;mso-position-horizontal:absolute;mso-position-horizontal-relative:text;mso-position-vertical:absolute;mso-position-vertical-relative:text" from="301.25pt,11.3pt" to="301.2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mv1QEAAIsDAAAOAAAAZHJzL2Uyb0RvYy54bWysU01vEzEQvSPxHyzfySahoWWVTQ8p5RIg&#10;Ugt3xx+7FrbHsp1s8u+ZcaKUwg2xB2vtefPmzRt7eX/0jh10yhZCx2eTKWc6SFA29B3//vz47o6z&#10;XERQwkHQHT/pzO9Xb98sx9jqOQzglE4MSUJux9jxoZTYNk2Wg/YiTyDqgEEDyYuC29Q3KokR2b1r&#10;5tPph2aEpGICqXPG04dzkK8qvzFalm/GZF2Y6zhqK3VNdd3R2qyWou2TiIOVFxniH1R4YQMWvVI9&#10;iCLYPtm/qLyVCTKYMpHgGzDGSl17wG5m0z+6eRpE1LUXNCfHq035/9HKr4dtYlZ1/P3dgrMgPA5p&#10;Y4Nmtzdkzhhzi5h12CZqTx7DU9yA/JlZgPUgQq+ryOdTxLwZZTSvUmiTI5bYjV9AIUbsC1SnjiZ5&#10;ZpyNPyiRyNENdqyjOV1Ho4+FyfOhxNObxS1OvZYRLTFQXky5fNbgGf103KH6yicOm1xI0QuE4AEe&#10;rXN18C6wseMfF/NFTcjgrKIgwXLqd2uX2EHQ1anfpe4rWIJ9UJWsCOs+BcVK9aIki+44zamC14oz&#10;p/GF0N9ZkgsXr8ies9E7UKdtojDZhhOv2i+3k67U7/uKenlDq18AAAD//wMAUEsDBBQABgAIAAAA&#10;IQAFOGjd3wAAAAkBAAAPAAAAZHJzL2Rvd25yZXYueG1sTI/BTsMwDIbvSHuHyJO4sXTVVkFpOk0I&#10;JE4INoTELWtM261xSpKthafHEwc42v71+fuL1Wg7cUIfWkcK5rMEBFLlTEu1gtftw9U1iBA1Gd05&#10;QgVfGGBVTi4KnRs30AueNrEWDKGQawVNjH0uZagatDrMXI/Etw/nrY48+loarweG206mSZJJq1vi&#10;D43u8a7B6rA5WgU322Hpnv3hbTFvP9+/7/exf3yKSl1Ox/UtiIhj/AvDWZ/VoWSnnTuSCaJTkCXp&#10;kqMK0jQDwYHfxY7piwxkWcj/DcofAAAA//8DAFBLAQItABQABgAIAAAAIQC2gziS/gAAAOEBAAAT&#10;AAAAAAAAAAAAAAAAAAAAAABbQ29udGVudF9UeXBlc10ueG1sUEsBAi0AFAAGAAgAAAAhADj9If/W&#10;AAAAlAEAAAsAAAAAAAAAAAAAAAAALwEAAF9yZWxzLy5yZWxzUEsBAi0AFAAGAAgAAAAhABhV6a/V&#10;AQAAiwMAAA4AAAAAAAAAAAAAAAAALgIAAGRycy9lMm9Eb2MueG1sUEsBAi0AFAAGAAgAAAAhAAU4&#10;aN3fAAAACQEAAA8AAAAAAAAAAAAAAAAALwQAAGRycy9kb3ducmV2LnhtbFBLBQYAAAAABAAEAPMA&#10;AAA7BQAAAAA=&#10;">
                <v:stroke endarrow="block"/>
              </v:line>
            </w:pict>
          </mc:Fallback>
        </mc:AlternateContent>
      </w:r>
      <w:r w:rsidRPr="006C5F6C">
        <w:rPr>
          <w:noProof/>
          <w:lang w:val="lt-LT" w:eastAsia="lt-LT"/>
        </w:rPr>
        <mc:AlternateContent>
          <mc:Choice Requires="wps">
            <w:drawing>
              <wp:anchor distT="0" distB="0" distL="114300" distR="114300" simplePos="0" relativeHeight="251778048" behindDoc="0" locked="0" layoutInCell="1" allowOverlap="1" wp14:anchorId="71C0F500" wp14:editId="1283E2B6">
                <wp:simplePos x="0" y="0"/>
                <wp:positionH relativeFrom="column">
                  <wp:posOffset>4229100</wp:posOffset>
                </wp:positionH>
                <wp:positionV relativeFrom="paragraph">
                  <wp:posOffset>147955</wp:posOffset>
                </wp:positionV>
                <wp:extent cx="774065" cy="457200"/>
                <wp:effectExtent l="5080" t="51435" r="40005" b="5715"/>
                <wp:wrapNone/>
                <wp:docPr id="38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4065" cy="457200"/>
                        </a:xfrm>
                        <a:prstGeom prst="line">
                          <a:avLst/>
                        </a:prstGeom>
                        <a:noFill/>
                        <a:ln w="9525">
                          <a:solidFill>
                            <a:srgbClr val="000000"/>
                          </a:solidFill>
                          <a:round/>
                          <a:tailEnd type="triangle" w="med" len="med"/>
                        </a:ln>
                      </wps:spPr>
                      <wps:bodyPr/>
                    </wps:wsp>
                  </a:graphicData>
                </a:graphic>
              </wp:anchor>
            </w:drawing>
          </mc:Choice>
          <mc:Fallback>
            <w:pict>
              <v:line w14:anchorId="433696D7" id="Line 75" o:spid="_x0000_s1026" style="position:absolute;flip:y;z-index:251778048;visibility:visible;mso-wrap-style:square;mso-wrap-distance-left:9pt;mso-wrap-distance-top:0;mso-wrap-distance-right:9pt;mso-wrap-distance-bottom:0;mso-position-horizontal:absolute;mso-position-horizontal-relative:text;mso-position-vertical:absolute;mso-position-vertical-relative:text" from="333pt,11.65pt" to="393.9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C2wEAAJADAAAOAAAAZHJzL2Uyb0RvYy54bWysU8FuGyEQvVfqPyDu9dpubKcrr3Nwml7c&#10;1lLS3DGwu6jAIMBe++87gy0naW9V9oAW5s2bN29geXd0lh10TAZ8wyejMWfaS1DGdw3/9fTw6Zaz&#10;lIVXwoLXDT/pxO9WHz8sh1DrKfRglY4MSXyqh9DwPudQV1WSvXYijSBoj8EWohMZt7GrVBQDsjtb&#10;TcfjeTVAVCGC1Cnh6f05yFeFv221zD/bNunMbMNRWy5rLOuO1mq1FHUXReiNvMgQ/6HCCeOx6JXq&#10;XmTB9tH8Q+WMjJCgzSMJroK2NVKXHrCbyfivbh57EXTpBc1J4WpTej9a+eOwjcyohn++nXPmhcMh&#10;bYzXbDEjc4aQasSs/TZSe/LoH8MG5O/EPKx74TtdRD6dAuZNKKN6k0KbFLDEbvgOCjFin6E4dWyj&#10;Y6014ZkSiRzdYMcymtN1NPqYmcTDxeJmPJ9xJjF0M1vg6EstURMNJYeY8jcNjtFPwy22UEjFYZMy&#10;yXqBENzDg7G2TN96NjT8y2w6KwkJrFEUJFiK3W5tIzsIuj/lu9R9A4uw96qQZWHsV69YLobkaNAi&#10;qzlVcFpxZjU+E/o7S7L+Yhh5dHZ7B+q0jRQm73DsRfvlitK9er0vqJeHtPoDAAD//wMAUEsDBBQA&#10;BgAIAAAAIQDaqs8n4QAAAAkBAAAPAAAAZHJzL2Rvd25yZXYueG1sTI/BTsMwEETvSPyDtUjcqNOG&#10;pm2IUyEEEidUWoTEzY2XJDReB3vbBL4ec4Ljakdv3hTr0XbihD60jhRMJwkIpMqZlmoFL7uHqyWI&#10;wJqM7hyhgi8MsC7PzwqdGzfQM562XIsIoZBrBQ1zn0sZqgatDhPXI8Xfu/NWczx9LY3XQ4TbTs6S&#10;JJNWtxQbGt3jXYPVYXu0Cla7Ye42/vB6PW0/377vP7h/fGKlLi/G2xsQjCP/heFXP6pDGZ327kgm&#10;iE5BlmVxCyuYpSmIGFgsFysQ+0ifpyDLQv5fUP4AAAD//wMAUEsBAi0AFAAGAAgAAAAhALaDOJL+&#10;AAAA4QEAABMAAAAAAAAAAAAAAAAAAAAAAFtDb250ZW50X1R5cGVzXS54bWxQSwECLQAUAAYACAAA&#10;ACEAOP0h/9YAAACUAQAACwAAAAAAAAAAAAAAAAAvAQAAX3JlbHMvLnJlbHNQSwECLQAUAAYACAAA&#10;ACEAvmjrwtsBAACQAwAADgAAAAAAAAAAAAAAAAAuAgAAZHJzL2Uyb0RvYy54bWxQSwECLQAUAAYA&#10;CAAAACEA2qrPJ+EAAAAJAQAADwAAAAAAAAAAAAAAAAA1BAAAZHJzL2Rvd25yZXYueG1sUEsFBgAA&#10;AAAEAAQA8wAAAEMFAAAAAA==&#10;">
                <v:stroke endarrow="block"/>
              </v:line>
            </w:pict>
          </mc:Fallback>
        </mc:AlternateContent>
      </w:r>
    </w:p>
    <w:p w14:paraId="1DFB3E5B"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74976" behindDoc="0" locked="0" layoutInCell="1" allowOverlap="1" wp14:anchorId="689D0E32" wp14:editId="6C368933">
                <wp:simplePos x="0" y="0"/>
                <wp:positionH relativeFrom="column">
                  <wp:posOffset>866775</wp:posOffset>
                </wp:positionH>
                <wp:positionV relativeFrom="paragraph">
                  <wp:posOffset>9525</wp:posOffset>
                </wp:positionV>
                <wp:extent cx="861695" cy="465455"/>
                <wp:effectExtent l="43180" t="51435" r="9525" b="6985"/>
                <wp:wrapNone/>
                <wp:docPr id="38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1695" cy="465455"/>
                        </a:xfrm>
                        <a:prstGeom prst="line">
                          <a:avLst/>
                        </a:prstGeom>
                        <a:noFill/>
                        <a:ln w="9525">
                          <a:solidFill>
                            <a:srgbClr val="000000"/>
                          </a:solidFill>
                          <a:round/>
                          <a:tailEnd type="triangle" w="med" len="med"/>
                        </a:ln>
                      </wps:spPr>
                      <wps:bodyPr/>
                    </wps:wsp>
                  </a:graphicData>
                </a:graphic>
              </wp:anchor>
            </w:drawing>
          </mc:Choice>
          <mc:Fallback>
            <w:pict>
              <v:line w14:anchorId="6AFCD204" id="Line 76" o:spid="_x0000_s1026" style="position:absolute;flip:x y;z-index:251774976;visibility:visible;mso-wrap-style:square;mso-wrap-distance-left:9pt;mso-wrap-distance-top:0;mso-wrap-distance-right:9pt;mso-wrap-distance-bottom:0;mso-position-horizontal:absolute;mso-position-horizontal-relative:text;mso-position-vertical:absolute;mso-position-vertical-relative:text" from="68.25pt,.75pt" to="136.1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zS4QEAAJoDAAAOAAAAZHJzL2Uyb0RvYy54bWysU8FuGyEQvVfqPyDu9dpu1nFWXufgNO3B&#10;bSwl7R0D60UFBgH22n/fGWw5TXurygENzJs3M49hcX90lh10TAZ8yyejMWfaS1DG71r+/eXxw5yz&#10;lIVXwoLXLT/pxO+X798thtDoKfRglY4MSXxqhtDyPufQVFWSvXYijSBoj84OohMZj3FXqSgGZHe2&#10;mo7Hs2qAqEIEqVPC24ezky8Lf9dpmZ+6LunMbMuxtlz2WPYt7dVyIZpdFKE38lKG+IcqnDAek16p&#10;HkQWbB/NX1TOyAgJujyS4CroOiN16QG7mYz/6Oa5F0GXXlCcFK4ypf9HK78dNpEZ1fKP81vOvHD4&#10;SGvjNbudkThDSA1iVn4TqT159M9hDfJnYh5WvfA7XYp8OQWMm1BE9SaEDilgiu3wFRRixD5DUerY&#10;Rcc6a8IXCizWD7IoDerCjuWRTtdH0sfMJF7OZ5PZXc2ZRNfNrL6p65JVNERIwSGm/FmDY2S03GIz&#10;hVQc1ilTga8Qgnt4NNaWObCeDS2/q6d1CUhgjSInwVLcbVc2soOgSSrrkvcNLMLeq0KWhbGfvGK5&#10;SJOjQbGs5pTBacWZ1fhhyDqXZP1FOlLrrPsW1GkTyU0q4gCU2i/DShP2+7mgXr/U8hcAAAD//wMA&#10;UEsDBBQABgAIAAAAIQCPRmoc3gAAAAgBAAAPAAAAZHJzL2Rvd25yZXYueG1sTI/BTsMwEETvSPyD&#10;tUhcKurEQFqFOFWFBFS9INp+gBtvk0C8jmKnDX/PcoLT7mhGs2+L1eQ6ccYhtJ40pPMEBFLlbUu1&#10;hsP+5W4JIkRD1nSeUMM3BliV11eFya2/0Aeed7EWXEIhNxqaGPtcylA16EyY+x6JvZMfnIksh1ra&#10;wVy43HVSJUkmnWmJLzSmx+cGq6/d6DSs+/fPUW3SV5vs1WzWbbLUv221vr2Z1k8gIk7xLwy/+IwO&#10;JTMd/Ug2iI71ffbIUV54sK8WSoE4alg8LEGWhfz/QPkDAAD//wMAUEsBAi0AFAAGAAgAAAAhALaD&#10;OJL+AAAA4QEAABMAAAAAAAAAAAAAAAAAAAAAAFtDb250ZW50X1R5cGVzXS54bWxQSwECLQAUAAYA&#10;CAAAACEAOP0h/9YAAACUAQAACwAAAAAAAAAAAAAAAAAvAQAAX3JlbHMvLnJlbHNQSwECLQAUAAYA&#10;CAAAACEAlAXM0uEBAACaAwAADgAAAAAAAAAAAAAAAAAuAgAAZHJzL2Uyb0RvYy54bWxQSwECLQAU&#10;AAYACAAAACEAj0ZqHN4AAAAIAQAADwAAAAAAAAAAAAAAAAA7BAAAZHJzL2Rvd25yZXYueG1sUEsF&#10;BgAAAAAEAAQA8wAAAEYFAAAAAA==&#10;">
                <v:stroke endarrow="block"/>
              </v:line>
            </w:pict>
          </mc:Fallback>
        </mc:AlternateContent>
      </w:r>
      <w:r w:rsidRPr="006C5F6C">
        <w:rPr>
          <w:noProof/>
          <w:lang w:val="lt-LT" w:eastAsia="lt-LT"/>
        </w:rPr>
        <mc:AlternateContent>
          <mc:Choice Requires="wps">
            <w:drawing>
              <wp:anchor distT="0" distB="0" distL="114300" distR="114300" simplePos="0" relativeHeight="251773952" behindDoc="0" locked="0" layoutInCell="1" allowOverlap="1" wp14:anchorId="033A5F18" wp14:editId="715ECF0B">
                <wp:simplePos x="0" y="0"/>
                <wp:positionH relativeFrom="column">
                  <wp:posOffset>2341880</wp:posOffset>
                </wp:positionH>
                <wp:positionV relativeFrom="paragraph">
                  <wp:posOffset>195580</wp:posOffset>
                </wp:positionV>
                <wp:extent cx="0" cy="457200"/>
                <wp:effectExtent l="60960" t="18415" r="53340" b="10160"/>
                <wp:wrapNone/>
                <wp:docPr id="38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6C416367" id="Line 73" o:spid="_x0000_s1026" style="position:absolute;flip:y;z-index:251773952;visibility:visible;mso-wrap-style:square;mso-wrap-distance-left:9pt;mso-wrap-distance-top:0;mso-wrap-distance-right:9pt;mso-wrap-distance-bottom:0;mso-position-horizontal:absolute;mso-position-horizontal-relative:text;mso-position-vertical:absolute;mso-position-vertical-relative:text" from="184.4pt,15.4pt" to="184.4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eP1QEAAIsDAAAOAAAAZHJzL2Uyb0RvYy54bWysU01vEzEQvSPxHyzfySYpoWWVTQ8p5RIg&#10;Ugt3xx+7FrbHsp1s8u+ZcaKUwg2xB2vtmXnz5j17eX/0jh10yhZCx2eTKWc6SFA29B3//vz47o6z&#10;XERQwkHQHT/pzO9Xb98sx9jqOQzglE4MQUJux9jxoZTYNk2Wg/YiTyDqgEEDyYuC29Q3KokR0b1r&#10;5tPph2aEpGICqXPG04dzkK8qvjFalm/GZF2Y6zhyK3VNdd3R2qyWou2TiIOVFxriH1h4YQM2vUI9&#10;iCLYPtm/oLyVCTKYMpHgGzDGSl1nwGlm0z+meRpE1HUWFCfHq0z5/8HKr4dtYlZ1/OYOrQrCo0kb&#10;GzS7vSFxxphbzFmHbaLx5DE8xQ3In5kFWA8i9LqSfD5FrJtRRfOqhDY5Yovd+AUU5oh9garU0STP&#10;jLPxBxUSOKrBjtWa09UafSxMng8lnr5f3KLrtY1oCYHqYsrlswbP6KfjDtlXPHHY5EKMXlIoPcCj&#10;da4a7wIbO/5xMV/UggzOKgpSWk79bu0SOwi6OvW79H2VlmAfVAUrwrpPQbFStSjJojpOc+rgteLM&#10;aXwh9Hem5MJFK5LnLPQO1GmbKEyyoeOV++V20pX6fV+zXt7Q6hcAAAD//wMAUEsDBBQABgAIAAAA&#10;IQCZXyAw3gAAAAoBAAAPAAAAZHJzL2Rvd25yZXYueG1sTI/LTsMwEEX3SPyDNUjsqN0CVQhxKoRA&#10;YoXoQ5XYubFJQuNxsKdN4OsZxAJW87q690yxGH0nji6mNqCG6USBcFgF22KtYbN+vMhAJDJoTRfQ&#10;afh0CRbl6UlhchsGXLrjimrBJphyo6Eh6nMpU9U4b9Ik9A759haiN8RjrKWNZmBz38mZUnPpTYuc&#10;0Jje3Teu2q8OXsPNergOL3G/vZq2H69fD+/UPz2T1udn490tCHIj/YnhB5/RoWSmXTigTaLTcDnP&#10;GJ24UVxZ8LvYsVLNMpBlIf+/UH4DAAD//wMAUEsBAi0AFAAGAAgAAAAhALaDOJL+AAAA4QEAABMA&#10;AAAAAAAAAAAAAAAAAAAAAFtDb250ZW50X1R5cGVzXS54bWxQSwECLQAUAAYACAAAACEAOP0h/9YA&#10;AACUAQAACwAAAAAAAAAAAAAAAAAvAQAAX3JlbHMvLnJlbHNQSwECLQAUAAYACAAAACEADGknj9UB&#10;AACLAwAADgAAAAAAAAAAAAAAAAAuAgAAZHJzL2Uyb0RvYy54bWxQSwECLQAUAAYACAAAACEAmV8g&#10;MN4AAAAKAQAADwAAAAAAAAAAAAAAAAAvBAAAZHJzL2Rvd25yZXYueG1sUEsFBgAAAAAEAAQA8wAA&#10;ADoFAAAAAA==&#10;">
                <v:stroke endarrow="block"/>
              </v:line>
            </w:pict>
          </mc:Fallback>
        </mc:AlternateContent>
      </w:r>
    </w:p>
    <w:p w14:paraId="4A93DF88" w14:textId="77777777" w:rsidR="00244C63" w:rsidRPr="008B60DD" w:rsidRDefault="00244C63" w:rsidP="00244C63">
      <w:pPr>
        <w:jc w:val="both"/>
        <w:rPr>
          <w:lang w:val="lt-LT"/>
        </w:rPr>
      </w:pPr>
    </w:p>
    <w:p w14:paraId="25F34045" w14:textId="77777777" w:rsidR="00244C63" w:rsidRPr="008B60DD" w:rsidRDefault="00244C63" w:rsidP="00244C63">
      <w:pPr>
        <w:jc w:val="both"/>
        <w:rPr>
          <w:lang w:val="lt-LT"/>
        </w:rPr>
      </w:pPr>
      <w:r w:rsidRPr="006C5F6C">
        <w:rPr>
          <w:noProof/>
          <w:lang w:val="lt-LT" w:eastAsia="lt-LT"/>
        </w:rPr>
        <mc:AlternateContent>
          <mc:Choice Requires="wps">
            <w:drawing>
              <wp:anchor distT="0" distB="0" distL="114300" distR="114300" simplePos="0" relativeHeight="251766784" behindDoc="0" locked="0" layoutInCell="1" allowOverlap="1" wp14:anchorId="5D39C318" wp14:editId="0BFE686F">
                <wp:simplePos x="0" y="0"/>
                <wp:positionH relativeFrom="column">
                  <wp:posOffset>1828800</wp:posOffset>
                </wp:positionH>
                <wp:positionV relativeFrom="paragraph">
                  <wp:posOffset>72390</wp:posOffset>
                </wp:positionV>
                <wp:extent cx="1000760" cy="687705"/>
                <wp:effectExtent l="5080" t="6350" r="13335" b="10795"/>
                <wp:wrapNone/>
                <wp:docPr id="38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489D8222" w14:textId="77777777" w:rsidR="007B24A1" w:rsidRDefault="007B24A1" w:rsidP="00244C63">
                            <w:pPr>
                              <w:jc w:val="center"/>
                            </w:pPr>
                          </w:p>
                          <w:p w14:paraId="5D962D50" w14:textId="77777777" w:rsidR="007B24A1" w:rsidRDefault="007B24A1" w:rsidP="00244C63">
                            <w:pPr>
                              <w:jc w:val="center"/>
                            </w:pPr>
                            <w:r>
                              <w:t>Tėvai*</w:t>
                            </w:r>
                          </w:p>
                        </w:txbxContent>
                      </wps:txbx>
                      <wps:bodyPr rot="0" vert="horz" wrap="square" lIns="91440" tIns="45720" rIns="91440" bIns="45720" anchor="t" anchorCtr="0" upright="1">
                        <a:noAutofit/>
                      </wps:bodyPr>
                    </wps:wsp>
                  </a:graphicData>
                </a:graphic>
              </wp:anchor>
            </w:drawing>
          </mc:Choice>
          <mc:Fallback>
            <w:pict>
              <v:roundrect w14:anchorId="5D39C318" id="AutoShape 77" o:spid="_x0000_s1080" style="position:absolute;left:0;text-align:left;margin-left:2in;margin-top:5.7pt;width:78.8pt;height:54.15pt;z-index:2517667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d0KwIAADUEAAAOAAAAZHJzL2Uyb0RvYy54bWysU9tu1DAQfUfiHyy/s0mWvTVqtqq2KkIq&#10;UFH4AK/tXMDxmLF3s+XrGTvZ0sIbIg+WJ2OfmXPO+PLq1Bt21Og7sBUvZjln2kpQnW0q/vXL7ZsN&#10;Zz4Iq4QBqyv+qD2/2r5+dTm4Us+hBaM0MgKxvhxcxdsQXJllXra6F34GTltK1oC9CBRikykUA6H3&#10;Jpvn+SobAJVDkNp7+nszJvk24de1luFTXXsdmKk49RbSimndxzXbXoqyQeHaTk5tiH/oohedpaJP&#10;UDciCHbA7i+ovpMIHuowk9BnUNed1IkDsSnyP9g8tMLpxIXE8e5JJv//YOXH4z2yTlX87eaCMyt6&#10;Mun6ECDVZut1VGhwvqSDD+4eI0fv7kB+98zCrhW20deIMLRaKOqriOezFxdi4Okq2w8fQBG8IPgk&#10;1qnGPgKSDOyUPHl88kSfApP0s8jzfL0i6yTlVpv1Ol+mEqI833bowzsNPYubiiMcrPpMxqcS4njn&#10;QzJGTeSE+sZZ3Ruy+SgMK1arVSKZiXI6TLszZrxp4bYzJg2KsWyo+MVyvkzgHkynYjKpgs1+Z5AR&#10;KJFI39Toi2OpvaiRKI2dpIrqjCqH0/40upFYRun2oB5JPIRxdumt0aYF/MnZQHNbcf/jIFBzZt5b&#10;MuCiWCzioKdgsVzPKcDnmf3zjLCSoCoeOBu3uzA+joPDrmmpUpGYWogzUXfh7O7Y1dQ/zWYiNL2j&#10;OPzP43Tq92vf/gIAAP//AwBQSwMEFAAGAAgAAAAhAPCw0b3gAAAACgEAAA8AAABkcnMvZG93bnJl&#10;di54bWxMj8FOwzAQRO9I/IO1SNyo0ygNaRqnQpWQUE/QIlBubmycQLwOttuGv2d7guPOjGbfVOvJ&#10;DuykfegdCpjPEmAaW6d6NAJe9493BbAQJSo5ONQCfnSAdX19VclSuTO+6NMuGkYlGEopoItxLDkP&#10;baetDDM3aiTvw3krI53ecOXlmcrtwNMkybmVPdKHTo560+n2a3e0Apq3PPWL5h23203zNOXjs/n8&#10;NkLc3kwPK2BRT/EvDBd8QoeamA7uiCqwQUBaFLQlkjHPgFEgyxY5sMNFWN4Dryv+f0L9CwAA//8D&#10;AFBLAQItABQABgAIAAAAIQC2gziS/gAAAOEBAAATAAAAAAAAAAAAAAAAAAAAAABbQ29udGVudF9U&#10;eXBlc10ueG1sUEsBAi0AFAAGAAgAAAAhADj9If/WAAAAlAEAAAsAAAAAAAAAAAAAAAAALwEAAF9y&#10;ZWxzLy5yZWxzUEsBAi0AFAAGAAgAAAAhAOpwN3QrAgAANQQAAA4AAAAAAAAAAAAAAAAALgIAAGRy&#10;cy9lMm9Eb2MueG1sUEsBAi0AFAAGAAgAAAAhAPCw0b3gAAAACgEAAA8AAAAAAAAAAAAAAAAAhQQA&#10;AGRycy9kb3ducmV2LnhtbFBLBQYAAAAABAAEAPMAAACSBQAAAAA=&#10;" filled="f">
                <v:textbox>
                  <w:txbxContent>
                    <w:p w14:paraId="489D8222" w14:textId="77777777" w:rsidR="007B24A1" w:rsidRDefault="007B24A1" w:rsidP="00244C63">
                      <w:pPr>
                        <w:jc w:val="center"/>
                      </w:pPr>
                    </w:p>
                    <w:p w14:paraId="5D962D50" w14:textId="77777777" w:rsidR="007B24A1" w:rsidRDefault="007B24A1" w:rsidP="00244C63">
                      <w:pPr>
                        <w:jc w:val="center"/>
                      </w:pPr>
                      <w:r>
                        <w:t>Tėvai*</w:t>
                      </w:r>
                    </w:p>
                  </w:txbxContent>
                </v:textbox>
              </v:roundrect>
            </w:pict>
          </mc:Fallback>
        </mc:AlternateContent>
      </w:r>
      <w:r w:rsidRPr="006C5F6C">
        <w:rPr>
          <w:noProof/>
          <w:lang w:val="lt-LT" w:eastAsia="lt-LT"/>
        </w:rPr>
        <mc:AlternateContent>
          <mc:Choice Requires="wps">
            <w:drawing>
              <wp:anchor distT="0" distB="0" distL="114300" distR="114300" simplePos="0" relativeHeight="251767808" behindDoc="0" locked="0" layoutInCell="1" allowOverlap="1" wp14:anchorId="39F90F57" wp14:editId="22CE4C1B">
                <wp:simplePos x="0" y="0"/>
                <wp:positionH relativeFrom="column">
                  <wp:posOffset>3314700</wp:posOffset>
                </wp:positionH>
                <wp:positionV relativeFrom="paragraph">
                  <wp:posOffset>80010</wp:posOffset>
                </wp:positionV>
                <wp:extent cx="1000760" cy="687705"/>
                <wp:effectExtent l="5080" t="13970" r="13335" b="12700"/>
                <wp:wrapNone/>
                <wp:docPr id="39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687705"/>
                        </a:xfrm>
                        <a:prstGeom prst="roundRect">
                          <a:avLst>
                            <a:gd name="adj" fmla="val 16667"/>
                          </a:avLst>
                        </a:prstGeom>
                        <a:noFill/>
                        <a:ln w="9525">
                          <a:solidFill>
                            <a:srgbClr val="000000"/>
                          </a:solidFill>
                          <a:round/>
                        </a:ln>
                      </wps:spPr>
                      <wps:txbx>
                        <w:txbxContent>
                          <w:p w14:paraId="130CA0B6" w14:textId="77777777" w:rsidR="007B24A1" w:rsidRDefault="007B24A1" w:rsidP="00244C63">
                            <w:pPr>
                              <w:jc w:val="center"/>
                            </w:pPr>
                          </w:p>
                          <w:p w14:paraId="667E1399" w14:textId="77777777" w:rsidR="007B24A1" w:rsidRDefault="007B24A1" w:rsidP="00244C63">
                            <w:pPr>
                              <w:jc w:val="center"/>
                            </w:pPr>
                            <w:r>
                              <w:t>Tėvai</w:t>
                            </w:r>
                          </w:p>
                        </w:txbxContent>
                      </wps:txbx>
                      <wps:bodyPr rot="0" vert="horz" wrap="square" lIns="91440" tIns="45720" rIns="91440" bIns="45720" anchor="t" anchorCtr="0" upright="1">
                        <a:noAutofit/>
                      </wps:bodyPr>
                    </wps:wsp>
                  </a:graphicData>
                </a:graphic>
              </wp:anchor>
            </w:drawing>
          </mc:Choice>
          <mc:Fallback>
            <w:pict>
              <v:roundrect w14:anchorId="39F90F57" id="AutoShape 78" o:spid="_x0000_s1081" style="position:absolute;left:0;text-align:left;margin-left:261pt;margin-top:6.3pt;width:78.8pt;height:54.15pt;z-index:2517678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5DKwIAADUEAAAOAAAAZHJzL2Uyb0RvYy54bWysU1Fv0zAQfkfiP1h+p0lKm67R0mnaNIQ0&#10;YGLwA1zbaQKOz5zdpuPXc3bSssEbIg+WL3f33X3fnS+vjr1hB42+A1vzYpZzpq0E1dldzb9+uXtz&#10;wZkPwiphwOqaP2nPrzavX10OrtJzaMEojYxArK8GV/M2BFdlmZet7oWfgdOWnA1gLwKZuMsUioHQ&#10;e5PN87zMBkDlEKT2nv7ejk6+SfhNo2X41DReB2ZqTr2FdGI6t/HMNpei2qFwbSenNsQ/dNGLzlLR&#10;M9StCILtsfsLqu8kgocmzCT0GTRNJ3XiQGyK/A82j61wOnEhcbw7y+T/H6z8eHhA1qmav12TPlb0&#10;NKTrfYBUm60uokKD8xUFProHjBy9uwf53TMLN62wO32NCEOrhaK+ihifvUiIhqdUth0+gCJ4QfBJ&#10;rGODfQQkGdgxzeTpPBN9DEzSzyLP81VJrUnylRerVb5MJUR1ynbowzsNPYuXmiPsrfpMg08lxOHe&#10;hzQYNZET6htnTW9ozAdhWFGW5WpCnIIzUZ0wY6aFu86YtCjGsqHm6+V8mcA9mE5FZ1IFd9sbg4xA&#10;iUT6JtgXYam9qJGojJ2kiuqMKofj9jhOo4zJUbotqCcSD2HcXXprdGkBf3I20N7W3P/YC9ScmfeW&#10;BrAuFou46MlYLFdzMvC5Z/vcI6wkqJoHzsbrTRgfx95ht2upUpGYWog70XThNN2xq6l/2s1EaHpH&#10;cfmf2ynq92vf/AIAAP//AwBQSwMEFAAGAAgAAAAhAOiSW7XfAAAACgEAAA8AAABkcnMvZG93bnJl&#10;di54bWxMj8FOwzAQRO9I/IO1SNyog6UaGuJUqBIS6gkKAuXmxq6TEq+D7bbh79me4La7M5p9Uy0n&#10;P7CjjakPqOB2VgCz2AbTo1Pw/vZ0cw8sZY1GDwGtgh+bYFlfXlS6NOGEr/a4yY5RCKZSK+hyHkvO&#10;U9tZr9MsjBZJ24XodaY1Om6iPlG4H7goCsm97pE+dHq0q862X5uDV9B8SBHnzSeu16vmeZLji9t/&#10;O6Wur6bHB2DZTvnPDGd8QoeamLbhgCaxQcFcCOqSSRASGBnk3YKG7flQLIDXFf9fof4FAAD//wMA&#10;UEsBAi0AFAAGAAgAAAAhALaDOJL+AAAA4QEAABMAAAAAAAAAAAAAAAAAAAAAAFtDb250ZW50X1R5&#10;cGVzXS54bWxQSwECLQAUAAYACAAAACEAOP0h/9YAAACUAQAACwAAAAAAAAAAAAAAAAAvAQAAX3Jl&#10;bHMvLnJlbHNQSwECLQAUAAYACAAAACEAc4zuQysCAAA1BAAADgAAAAAAAAAAAAAAAAAuAgAAZHJz&#10;L2Uyb0RvYy54bWxQSwECLQAUAAYACAAAACEA6JJbtd8AAAAKAQAADwAAAAAAAAAAAAAAAACFBAAA&#10;ZHJzL2Rvd25yZXYueG1sUEsFBgAAAAAEAAQA8wAAAJEFAAAAAA==&#10;" filled="f">
                <v:textbox>
                  <w:txbxContent>
                    <w:p w14:paraId="130CA0B6" w14:textId="77777777" w:rsidR="007B24A1" w:rsidRDefault="007B24A1" w:rsidP="00244C63">
                      <w:pPr>
                        <w:jc w:val="center"/>
                      </w:pPr>
                    </w:p>
                    <w:p w14:paraId="667E1399" w14:textId="77777777" w:rsidR="007B24A1" w:rsidRDefault="007B24A1" w:rsidP="00244C63">
                      <w:pPr>
                        <w:jc w:val="center"/>
                      </w:pPr>
                      <w:r>
                        <w:t>Tėvai</w:t>
                      </w:r>
                    </w:p>
                  </w:txbxContent>
                </v:textbox>
              </v:roundrect>
            </w:pict>
          </mc:Fallback>
        </mc:AlternateContent>
      </w:r>
    </w:p>
    <w:p w14:paraId="7FF56510" w14:textId="77777777" w:rsidR="00244C63" w:rsidRPr="008B60DD" w:rsidRDefault="00244C63" w:rsidP="00244C63">
      <w:pPr>
        <w:jc w:val="both"/>
        <w:rPr>
          <w:lang w:val="lt-LT"/>
        </w:rPr>
      </w:pPr>
    </w:p>
    <w:p w14:paraId="04331A64" w14:textId="77777777" w:rsidR="00244C63" w:rsidRPr="008B60DD" w:rsidRDefault="00244C63" w:rsidP="00244C63">
      <w:pPr>
        <w:jc w:val="both"/>
        <w:rPr>
          <w:lang w:val="lt-LT"/>
        </w:rPr>
      </w:pPr>
    </w:p>
    <w:p w14:paraId="3788204E" w14:textId="77777777" w:rsidR="00244C63" w:rsidRPr="008B60DD" w:rsidRDefault="00244C63" w:rsidP="00244C63">
      <w:pPr>
        <w:jc w:val="both"/>
        <w:rPr>
          <w:lang w:val="lt-LT"/>
        </w:rPr>
      </w:pPr>
      <w:r w:rsidRPr="008B60DD">
        <w:rPr>
          <w:lang w:val="lt-LT"/>
        </w:rPr>
        <w:t>* - jų sutuoktiniai ir sugyventiniai.“</w:t>
      </w:r>
    </w:p>
    <w:p w14:paraId="7C4C3017"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11DDE7CE"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8) du vienetai, jei vienas jų tiesiogiai ar netiesiogiai (per vieną ar kelis vienetus ar fizinius asmenis) valdo  25 procentus </w:t>
      </w:r>
      <w:r w:rsidRPr="008B60DD">
        <w:rPr>
          <w:b/>
          <w:bCs/>
          <w:color w:val="000000"/>
          <w:lang w:val="lt-LT" w:eastAsia="lt-LT"/>
        </w:rPr>
        <w:t>ar daugiau</w:t>
      </w:r>
      <w:r w:rsidRPr="008B60DD">
        <w:rPr>
          <w:b/>
          <w:color w:val="000000"/>
          <w:lang w:val="lt-LT" w:eastAsia="lt-LT"/>
        </w:rPr>
        <w:t> kito akcijų (dalių, pajų) arba turi teises į  25 procentus </w:t>
      </w:r>
      <w:r w:rsidRPr="008B60DD">
        <w:rPr>
          <w:b/>
          <w:bCs/>
          <w:color w:val="000000"/>
          <w:lang w:val="lt-LT" w:eastAsia="lt-LT"/>
        </w:rPr>
        <w:t>ar daugiau</w:t>
      </w:r>
      <w:r w:rsidRPr="008B60DD">
        <w:rPr>
          <w:b/>
          <w:color w:val="000000"/>
          <w:lang w:val="lt-LT" w:eastAsia="lt-LT"/>
        </w:rPr>
        <w:t> visų kito iš jų sprendžiamųjų balsų, arba yra įsipareigojęs derinti savo veiklos sprendimus su kitu vienetu, arba yra įsipareigojęs atsakyti už kito prievolių tretiesiems asmenims įvykdymą, arba tam kitam vienetui yra įsipareigojęs perduoti visą arba dalį pelno ar suteikęs teisę naudoti  25 procentus </w:t>
      </w:r>
      <w:r w:rsidRPr="008B60DD">
        <w:rPr>
          <w:b/>
          <w:bCs/>
          <w:color w:val="000000"/>
          <w:lang w:val="lt-LT" w:eastAsia="lt-LT"/>
        </w:rPr>
        <w:t>ar daugiau</w:t>
      </w:r>
      <w:r w:rsidRPr="008B60DD">
        <w:rPr>
          <w:b/>
          <w:color w:val="000000"/>
          <w:lang w:val="lt-LT" w:eastAsia="lt-LT"/>
        </w:rPr>
        <w:t> savo turto;</w:t>
      </w:r>
    </w:p>
    <w:p w14:paraId="091290A6"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2843D65F" w14:textId="77777777" w:rsidR="00244C63" w:rsidRPr="006C5F6C" w:rsidRDefault="00244C63" w:rsidP="00244C63">
      <w:pPr>
        <w:pStyle w:val="linos"/>
        <w:tabs>
          <w:tab w:val="left" w:pos="1080"/>
        </w:tabs>
        <w:ind w:firstLine="720"/>
        <w:rPr>
          <w:rFonts w:ascii="Times New Roman" w:hAnsi="Times New Roman" w:cs="Times New Roman"/>
          <w:b/>
          <w:lang w:val="lt-LT"/>
        </w:rPr>
      </w:pPr>
      <w:r w:rsidRPr="006C5F6C">
        <w:rPr>
          <w:rFonts w:ascii="Times New Roman" w:hAnsi="Times New Roman" w:cs="Times New Roman"/>
          <w:b/>
          <w:lang w:val="lt-LT"/>
        </w:rPr>
        <w:t>Komentaras</w:t>
      </w:r>
    </w:p>
    <w:p w14:paraId="4D83B87A" w14:textId="77777777" w:rsidR="00244C63" w:rsidRPr="006C5F6C" w:rsidRDefault="00244C63" w:rsidP="00244C63">
      <w:pPr>
        <w:pStyle w:val="linos"/>
        <w:tabs>
          <w:tab w:val="left" w:pos="720"/>
          <w:tab w:val="left" w:pos="1080"/>
          <w:tab w:val="left" w:pos="1418"/>
        </w:tabs>
        <w:ind w:firstLine="720"/>
        <w:rPr>
          <w:rFonts w:ascii="Times New Roman" w:hAnsi="Times New Roman" w:cs="Times New Roman"/>
          <w:lang w:val="lt-LT"/>
        </w:rPr>
      </w:pPr>
      <w:r w:rsidRPr="006C5F6C">
        <w:rPr>
          <w:rFonts w:ascii="Times New Roman" w:hAnsi="Times New Roman" w:cs="Times New Roman"/>
          <w:lang w:val="lt-LT"/>
        </w:rPr>
        <w:t>1.</w:t>
      </w:r>
      <w:r w:rsidRPr="006C5F6C">
        <w:rPr>
          <w:rFonts w:ascii="Times New Roman" w:hAnsi="Times New Roman" w:cs="Times New Roman"/>
          <w:lang w:val="lt-LT"/>
        </w:rPr>
        <w:tab/>
        <w:t>Pagal šį punktą du vienetai yra laikomi susijusiais, jei vienas iš šių vienetų atitinka nors vieną iš šių kriterijų:</w:t>
      </w:r>
    </w:p>
    <w:p w14:paraId="5149027A" w14:textId="77777777" w:rsidR="00244C63" w:rsidRPr="00A44BC4" w:rsidRDefault="00244C63" w:rsidP="00244C63">
      <w:pPr>
        <w:pStyle w:val="linos"/>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bCs/>
          <w:lang w:val="lt-LT"/>
        </w:rPr>
        <w:t>1.1.</w:t>
      </w:r>
      <w:r w:rsidRPr="00A44BC4">
        <w:rPr>
          <w:rFonts w:ascii="Times New Roman" w:hAnsi="Times New Roman" w:cs="Times New Roman"/>
          <w:bCs/>
          <w:lang w:val="lt-LT"/>
        </w:rPr>
        <w:tab/>
        <w:t xml:space="preserve">tiesiogiai ar netiesiogiai valdo 25 </w:t>
      </w:r>
      <w:r w:rsidRPr="002565EB">
        <w:rPr>
          <w:rFonts w:ascii="Times New Roman" w:hAnsi="Times New Roman" w:cs="Times New Roman"/>
          <w:bCs/>
          <w:lang w:val="lt-LT"/>
        </w:rPr>
        <w:t xml:space="preserve">proc. </w:t>
      </w:r>
      <w:r w:rsidRPr="002565EB">
        <w:rPr>
          <w:rFonts w:ascii="Times New Roman" w:hAnsi="Times New Roman" w:cs="Times New Roman"/>
          <w:bCs/>
          <w:color w:val="000000"/>
          <w:lang w:val="lt-LT" w:eastAsia="lt-LT"/>
        </w:rPr>
        <w:t>ar daugiau</w:t>
      </w:r>
      <w:r w:rsidRPr="002565EB">
        <w:rPr>
          <w:rFonts w:ascii="Times New Roman" w:hAnsi="Times New Roman" w:cs="Times New Roman"/>
          <w:color w:val="000000"/>
          <w:lang w:val="lt-LT" w:eastAsia="lt-LT"/>
        </w:rPr>
        <w:t> </w:t>
      </w:r>
      <w:r w:rsidRPr="002565EB">
        <w:rPr>
          <w:rFonts w:ascii="Times New Roman" w:hAnsi="Times New Roman" w:cs="Times New Roman"/>
          <w:bCs/>
          <w:lang w:val="lt-LT"/>
        </w:rPr>
        <w:t xml:space="preserve"> kito vieneto akcijų, dalių ar pajų.</w:t>
      </w:r>
      <w:r w:rsidRPr="002565EB">
        <w:rPr>
          <w:rFonts w:ascii="Times New Roman" w:hAnsi="Times New Roman" w:cs="Times New Roman"/>
          <w:lang w:val="lt-LT"/>
        </w:rPr>
        <w:t xml:space="preserve"> Netiesioginiu valdymu šiuo atveju laikomas valdymas per kitus vienetus ar fizinius asmenis. Netiesioginiam valdymui priskiriamas akcijų, dalių ar pajų valdymas per</w:t>
      </w:r>
      <w:r w:rsidRPr="00A44BC4">
        <w:rPr>
          <w:rFonts w:ascii="Times New Roman" w:hAnsi="Times New Roman" w:cs="Times New Roman"/>
          <w:lang w:val="lt-LT"/>
        </w:rPr>
        <w:t xml:space="preserve"> įgaliotus asmenis, taip pat vieneto valdymas per savo kontroliuojamą vienetą. </w:t>
      </w:r>
    </w:p>
    <w:p w14:paraId="78F0DA35" w14:textId="77777777" w:rsidR="00244C63" w:rsidRPr="00A44BC4" w:rsidRDefault="00244C63" w:rsidP="00244C63">
      <w:pPr>
        <w:pStyle w:val="linos"/>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lang w:val="lt-LT"/>
        </w:rPr>
        <w:t>Pavyzdžiai</w:t>
      </w:r>
    </w:p>
    <w:p w14:paraId="4AF025EE" w14:textId="77777777" w:rsidR="00244C63" w:rsidRPr="002565EB"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A44BC4">
        <w:rPr>
          <w:rFonts w:ascii="Times New Roman" w:hAnsi="Times New Roman" w:cs="Times New Roman"/>
          <w:lang w:val="lt-LT"/>
        </w:rPr>
        <w:lastRenderedPageBreak/>
        <w:t>1.</w:t>
      </w:r>
      <w:r w:rsidRPr="00A44BC4">
        <w:rPr>
          <w:rFonts w:ascii="Times New Roman" w:hAnsi="Times New Roman" w:cs="Times New Roman"/>
          <w:lang w:val="lt-LT"/>
        </w:rPr>
        <w:tab/>
        <w:t xml:space="preserve">Vienetui A priklauso 30 proc. vieneto B akcijų. Šiuo atveju laikoma, kad vienetai A ir B yra susiję asmenys, nes vienetas </w:t>
      </w:r>
      <w:r w:rsidRPr="002565EB">
        <w:rPr>
          <w:rFonts w:ascii="Times New Roman" w:hAnsi="Times New Roman" w:cs="Times New Roman"/>
          <w:lang w:val="lt-LT"/>
        </w:rPr>
        <w:t xml:space="preserve">A tiesiogiai valdo 25 proc. </w:t>
      </w:r>
      <w:r w:rsidRPr="002565EB">
        <w:rPr>
          <w:rFonts w:ascii="Times New Roman" w:hAnsi="Times New Roman" w:cs="Times New Roman"/>
          <w:bCs/>
          <w:color w:val="000000"/>
          <w:lang w:val="lt-LT" w:eastAsia="lt-LT"/>
        </w:rPr>
        <w:t>ar daugiau</w:t>
      </w:r>
      <w:r w:rsidRPr="002565EB">
        <w:rPr>
          <w:rFonts w:ascii="Times New Roman" w:hAnsi="Times New Roman" w:cs="Times New Roman"/>
          <w:lang w:val="lt-LT"/>
        </w:rPr>
        <w:t xml:space="preserve"> akcijų.</w:t>
      </w:r>
    </w:p>
    <w:p w14:paraId="79EBECE8" w14:textId="77777777" w:rsidR="00244C63" w:rsidRPr="00A44BC4"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2565EB">
        <w:rPr>
          <w:rFonts w:ascii="Times New Roman" w:hAnsi="Times New Roman" w:cs="Times New Roman"/>
          <w:lang w:val="lt-LT"/>
        </w:rPr>
        <w:t>2.</w:t>
      </w:r>
      <w:r w:rsidRPr="002565EB">
        <w:rPr>
          <w:rFonts w:ascii="Times New Roman" w:hAnsi="Times New Roman" w:cs="Times New Roman"/>
          <w:lang w:val="lt-LT"/>
        </w:rPr>
        <w:tab/>
        <w:t>Vienetui A priklauso 60 proc. vieneto B akcijų. Vienetui B priklauso 30 proc. vieneto C akcijų. Šiuo atveju vienetas A netiesiogiai valdo 18 proc. vieneto C akcijų (60 proc. X 30 proc.). Kadangi laikoma, kad vienetas A netiesiogiai valdo mažiau kaip 25 proc. vieneto C akcijų, todėl vienetai A ir C nelaikomi susijusiais asmenimis</w:t>
      </w:r>
      <w:r w:rsidRPr="00A44BC4">
        <w:rPr>
          <w:rFonts w:ascii="Times New Roman" w:hAnsi="Times New Roman" w:cs="Times New Roman"/>
          <w:lang w:val="lt-LT"/>
        </w:rPr>
        <w:t xml:space="preserve">. </w:t>
      </w:r>
    </w:p>
    <w:p w14:paraId="6AEC6B20" w14:textId="77777777" w:rsidR="00244C63" w:rsidRPr="00513D40"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3.</w:t>
      </w:r>
      <w:r w:rsidRPr="00513D40">
        <w:rPr>
          <w:rFonts w:ascii="Times New Roman" w:hAnsi="Times New Roman" w:cs="Times New Roman"/>
          <w:lang w:val="lt-LT"/>
        </w:rPr>
        <w:tab/>
        <w:t>Vienetas A valdo 30 proc. vieneto B akcijų ir 15 proc. vieneto C akcijų. Vienetas B valdo 70 procentų vieneto C akcijų. Vadinasi vienetas A tiesiogiai ir netiesiogiai valdo 36 proc. vieneto C akcijų: 15 proc.+ (30 proc. x 70 proc.).</w:t>
      </w:r>
    </w:p>
    <w:p w14:paraId="0AD6ABBB"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bCs/>
          <w:lang w:val="lt-LT"/>
        </w:rPr>
        <w:t>1.2.</w:t>
      </w:r>
      <w:r w:rsidRPr="00513D40">
        <w:rPr>
          <w:rFonts w:ascii="Times New Roman" w:hAnsi="Times New Roman" w:cs="Times New Roman"/>
          <w:bCs/>
          <w:lang w:val="lt-LT"/>
        </w:rPr>
        <w:tab/>
        <w:t xml:space="preserve">turi teises į 25 proc. </w:t>
      </w:r>
      <w:r w:rsidRPr="00513D40">
        <w:rPr>
          <w:rFonts w:ascii="Times New Roman" w:hAnsi="Times New Roman" w:cs="Times New Roman"/>
          <w:bCs/>
          <w:color w:val="000000"/>
          <w:lang w:val="lt-LT" w:eastAsia="lt-LT"/>
        </w:rPr>
        <w:t>ar daugiau</w:t>
      </w:r>
      <w:r w:rsidRPr="00513D40">
        <w:rPr>
          <w:rFonts w:ascii="Times New Roman" w:hAnsi="Times New Roman" w:cs="Times New Roman"/>
          <w:bCs/>
          <w:lang w:val="lt-LT"/>
        </w:rPr>
        <w:t xml:space="preserve"> sprendžiamųjų balsų kitame vienete.</w:t>
      </w:r>
      <w:r w:rsidRPr="00513D40">
        <w:rPr>
          <w:rFonts w:ascii="Times New Roman" w:hAnsi="Times New Roman" w:cs="Times New Roman"/>
          <w:lang w:val="lt-LT"/>
        </w:rPr>
        <w:t xml:space="preserve"> </w:t>
      </w:r>
    </w:p>
    <w:p w14:paraId="6886D735" w14:textId="77777777" w:rsidR="00244C63" w:rsidRPr="00513D40" w:rsidRDefault="00244C63" w:rsidP="00244C63">
      <w:pPr>
        <w:tabs>
          <w:tab w:val="left" w:pos="720"/>
          <w:tab w:val="left" w:pos="1080"/>
          <w:tab w:val="left" w:pos="1418"/>
        </w:tabs>
        <w:ind w:firstLine="720"/>
        <w:jc w:val="both"/>
        <w:rPr>
          <w:lang w:val="lt-LT"/>
        </w:rPr>
      </w:pPr>
      <w:r w:rsidRPr="00513D40">
        <w:rPr>
          <w:rStyle w:val="HTMLspausdinimomainl"/>
          <w:rFonts w:ascii="Times New Roman" w:eastAsiaTheme="minorHAnsi" w:hAnsi="Times New Roman" w:cs="Times New Roman"/>
          <w:sz w:val="24"/>
          <w:szCs w:val="24"/>
          <w:lang w:val="lt-LT"/>
        </w:rPr>
        <w:t xml:space="preserve">Įmonių ar kitų vienetų veiklą reglamentuojančiuose teisės aktuose ar įstatuose nustatoma, kaip suteikiama balsavimo teisė ir kiek balsų suteikiama atsižvelgiant į akcijų, dalių, pajų rūšį ir vertę. Pavyzdžiui, Lietuvos Respublikos </w:t>
      </w:r>
      <w:r w:rsidRPr="00513D40">
        <w:rPr>
          <w:rStyle w:val="Hipersaitas"/>
          <w:rFonts w:ascii="Times New Roman" w:eastAsiaTheme="minorHAnsi" w:hAnsi="Times New Roman" w:cs="Times New Roman"/>
          <w:lang w:val="lt-LT"/>
        </w:rPr>
        <w:t>akcinių bendrovių įstatyme</w:t>
      </w:r>
      <w:r w:rsidRPr="00513D40">
        <w:rPr>
          <w:rStyle w:val="HTMLspausdinimomainl"/>
          <w:rFonts w:ascii="Times New Roman" w:eastAsiaTheme="minorHAnsi" w:hAnsi="Times New Roman" w:cs="Times New Roman"/>
          <w:sz w:val="24"/>
          <w:szCs w:val="24"/>
          <w:lang w:val="lt-LT"/>
        </w:rPr>
        <w:t xml:space="preserve">  yra nustatyta, kad jei visos bendrovės akcijos, suteikiančios balsavimo teisę, yra vienodos nominalios vertės, kiekviena akcija, išskyrus specialiąsias akcijas, visuotiniame akcininkų susirinkime suteikia po vieną balsą.</w:t>
      </w:r>
      <w:r w:rsidRPr="00513D40">
        <w:rPr>
          <w:lang w:val="lt-LT"/>
        </w:rPr>
        <w:t xml:space="preserve"> </w:t>
      </w:r>
      <w:r w:rsidRPr="00513D40">
        <w:rPr>
          <w:rStyle w:val="HTMLspausdinimomainl"/>
          <w:rFonts w:ascii="Times New Roman" w:eastAsiaTheme="minorHAnsi" w:hAnsi="Times New Roman" w:cs="Times New Roman"/>
          <w:sz w:val="24"/>
          <w:szCs w:val="24"/>
          <w:lang w:val="lt-LT"/>
        </w:rPr>
        <w:t xml:space="preserve">Bendrovės įstatuose gali būti nustatyta, kad kai kurių klasių akcijoms balsavimo teisė nesuteikiama. </w:t>
      </w:r>
    </w:p>
    <w:p w14:paraId="17FB07E3" w14:textId="77777777" w:rsidR="00244C63" w:rsidRPr="00513D40" w:rsidRDefault="00244C63" w:rsidP="00244C63">
      <w:pPr>
        <w:tabs>
          <w:tab w:val="left" w:pos="720"/>
          <w:tab w:val="left" w:pos="1080"/>
          <w:tab w:val="left" w:pos="1418"/>
        </w:tabs>
        <w:ind w:firstLine="720"/>
        <w:jc w:val="both"/>
        <w:rPr>
          <w:lang w:val="lt-LT"/>
        </w:rPr>
      </w:pPr>
      <w:r w:rsidRPr="00513D40">
        <w:rPr>
          <w:rStyle w:val="HTMLspausdinimomainl"/>
          <w:rFonts w:ascii="Times New Roman" w:eastAsiaTheme="minorHAnsi" w:hAnsi="Times New Roman" w:cs="Times New Roman"/>
          <w:sz w:val="24"/>
          <w:szCs w:val="24"/>
          <w:lang w:val="lt-LT"/>
        </w:rPr>
        <w:t xml:space="preserve">Jeigu akcijos, suteikiančios balsavimo teisę, yra skirtingos nominalios vertės, tai viena mažiausios nominalios vertės akcija jos savininkui suteikia vieną balsą. Kitų akcijų suteikiamų balsų skaičius yra lygus jų nominaliai vertei, padalintai iš mažiausios nominalios akcijos vertės. Balsų skaičius suteikiamas ir tuo atveju, kai šio įstatymo nustatytais atvejais teisė balsuoti suteikiama akcijų, nesuteikiančių balsavimo teisės, savininkams. Bendrovės įstatuose gali būti numatoma ir kitokia balsų skaičiaus nustatymo tvarka, tačiau akcijos suteikiamų balsų skaičius turi būti proporcingas jos nominaliai vertei. Užsienio vienetų valdymas, remiantis tų užsienio valstybių įstatymais, gali priklausyti nuo turimų balsų tuose užsienio vienetuose. </w:t>
      </w:r>
    </w:p>
    <w:p w14:paraId="146A5E11"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bCs/>
          <w:lang w:val="lt-LT"/>
        </w:rPr>
      </w:pPr>
      <w:r w:rsidRPr="00513D40">
        <w:rPr>
          <w:rFonts w:ascii="Times New Roman" w:hAnsi="Times New Roman" w:cs="Times New Roman"/>
          <w:bCs/>
          <w:lang w:val="lt-LT"/>
        </w:rPr>
        <w:t>1.3.</w:t>
      </w:r>
      <w:r w:rsidRPr="00513D40">
        <w:rPr>
          <w:rFonts w:ascii="Times New Roman" w:hAnsi="Times New Roman" w:cs="Times New Roman"/>
          <w:bCs/>
          <w:lang w:val="lt-LT"/>
        </w:rPr>
        <w:tab/>
        <w:t xml:space="preserve">yra įsipareigojęs derinti savo veiklos sprendimus su kitu vienetu. </w:t>
      </w:r>
    </w:p>
    <w:p w14:paraId="4FA77A68" w14:textId="77777777" w:rsidR="00244C63" w:rsidRPr="00513D40" w:rsidRDefault="00244C63" w:rsidP="00244C63">
      <w:pPr>
        <w:pStyle w:val="linos"/>
        <w:tabs>
          <w:tab w:val="left" w:pos="720"/>
          <w:tab w:val="left" w:pos="1080"/>
          <w:tab w:val="left" w:pos="1418"/>
        </w:tabs>
        <w:ind w:firstLine="720"/>
        <w:rPr>
          <w:rStyle w:val="HTMLspausdinimomainl"/>
          <w:rFonts w:ascii="Times New Roman" w:hAnsi="Times New Roman" w:cs="Times New Roman"/>
          <w:sz w:val="24"/>
          <w:szCs w:val="24"/>
          <w:lang w:val="lt-LT"/>
        </w:rPr>
      </w:pPr>
      <w:r w:rsidRPr="00513D40">
        <w:rPr>
          <w:rStyle w:val="HTMLspausdinimomainl"/>
          <w:rFonts w:ascii="Times New Roman" w:hAnsi="Times New Roman" w:cs="Times New Roman"/>
          <w:sz w:val="24"/>
          <w:szCs w:val="24"/>
          <w:lang w:val="lt-LT"/>
        </w:rPr>
        <w:t>Pavyzdys</w:t>
      </w:r>
    </w:p>
    <w:p w14:paraId="670FC584" w14:textId="77777777" w:rsidR="00244C63" w:rsidRPr="00513D40" w:rsidRDefault="00244C63" w:rsidP="00244C63">
      <w:pPr>
        <w:pStyle w:val="linos"/>
        <w:pBdr>
          <w:top w:val="single" w:sz="4" w:space="1" w:color="auto"/>
          <w:left w:val="single" w:sz="4" w:space="4" w:color="auto"/>
          <w:bottom w:val="single" w:sz="4" w:space="1" w:color="auto"/>
          <w:right w:val="single" w:sz="4" w:space="4" w:color="auto"/>
        </w:pBdr>
        <w:tabs>
          <w:tab w:val="left" w:pos="720"/>
          <w:tab w:val="left" w:pos="1080"/>
          <w:tab w:val="left" w:pos="1418"/>
        </w:tabs>
        <w:ind w:firstLine="720"/>
        <w:rPr>
          <w:rFonts w:ascii="Times New Roman" w:hAnsi="Times New Roman" w:cs="Times New Roman"/>
          <w:lang w:val="lt-LT"/>
        </w:rPr>
      </w:pPr>
      <w:r w:rsidRPr="00513D40">
        <w:rPr>
          <w:rStyle w:val="HTMLspausdinimomainl"/>
          <w:rFonts w:ascii="Times New Roman" w:hAnsi="Times New Roman" w:cs="Times New Roman"/>
          <w:sz w:val="24"/>
          <w:szCs w:val="24"/>
          <w:lang w:val="lt-LT"/>
        </w:rPr>
        <w:t xml:space="preserve">Akcinė bendrovė A su kita individualia įmone B yra sudariusi jungtinės veiklos sutartį, kurioje numatyta, kad kiekvienam sandoriui sudaryti reikia abiejų partnerių sutikimo. Tokiu atveju laikoma, kad akcinė bendrovė A ir personali įmonė B yra susiję asmenys. </w:t>
      </w:r>
    </w:p>
    <w:p w14:paraId="63193BB5"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1.4.</w:t>
      </w:r>
      <w:r w:rsidRPr="00513D40">
        <w:rPr>
          <w:rFonts w:ascii="Times New Roman" w:hAnsi="Times New Roman" w:cs="Times New Roman"/>
          <w:lang w:val="lt-LT"/>
        </w:rPr>
        <w:tab/>
        <w:t>yra įsipareigojęs atsakyti už kito vieneto prievoles tretiesiems asmenims,</w:t>
      </w:r>
    </w:p>
    <w:p w14:paraId="5A147807" w14:textId="77777777" w:rsidR="00244C63" w:rsidRPr="00513D40" w:rsidRDefault="00244C63" w:rsidP="00244C63">
      <w:pPr>
        <w:pStyle w:val="linos"/>
        <w:tabs>
          <w:tab w:val="left" w:pos="720"/>
          <w:tab w:val="left" w:pos="1080"/>
          <w:tab w:val="left" w:pos="1418"/>
        </w:tabs>
        <w:ind w:firstLine="720"/>
        <w:rPr>
          <w:rFonts w:ascii="Times New Roman" w:hAnsi="Times New Roman" w:cs="Times New Roman"/>
          <w:lang w:val="lt-LT"/>
        </w:rPr>
      </w:pPr>
      <w:r w:rsidRPr="00513D40">
        <w:rPr>
          <w:rFonts w:ascii="Times New Roman" w:hAnsi="Times New Roman" w:cs="Times New Roman"/>
          <w:lang w:val="lt-LT"/>
        </w:rPr>
        <w:t>1.5.</w:t>
      </w:r>
      <w:r w:rsidRPr="00513D40">
        <w:rPr>
          <w:rFonts w:ascii="Times New Roman" w:hAnsi="Times New Roman" w:cs="Times New Roman"/>
          <w:lang w:val="lt-LT"/>
        </w:rPr>
        <w:tab/>
        <w:t xml:space="preserve">arba tam kitam vienetui yra įsipareigojęs perduoti visą arba dalį pelno ar suteikęs teisę naudoti 25 proc. </w:t>
      </w:r>
      <w:r w:rsidRPr="00513D40">
        <w:rPr>
          <w:rFonts w:ascii="Times New Roman" w:hAnsi="Times New Roman" w:cs="Times New Roman"/>
          <w:bCs/>
          <w:color w:val="000000"/>
          <w:lang w:val="lt-LT" w:eastAsia="lt-LT"/>
        </w:rPr>
        <w:t>ar daugiau</w:t>
      </w:r>
      <w:r w:rsidRPr="00513D40">
        <w:rPr>
          <w:rFonts w:ascii="Times New Roman" w:hAnsi="Times New Roman" w:cs="Times New Roman"/>
          <w:lang w:val="lt-LT"/>
        </w:rPr>
        <w:t xml:space="preserve"> savo turto.“</w:t>
      </w:r>
    </w:p>
    <w:p w14:paraId="5E4D863F" w14:textId="77777777" w:rsidR="00244C63" w:rsidRPr="00513D40" w:rsidRDefault="00244C63" w:rsidP="00244C63">
      <w:pPr>
        <w:pStyle w:val="Pagrindiniotekstotrauka2"/>
        <w:tabs>
          <w:tab w:val="left" w:pos="720"/>
          <w:tab w:val="left" w:pos="1080"/>
        </w:tabs>
        <w:spacing w:line="240" w:lineRule="auto"/>
        <w:ind w:left="720" w:firstLine="0"/>
        <w:rPr>
          <w:b w:val="0"/>
          <w:bCs w:val="0"/>
        </w:rPr>
      </w:pPr>
      <w:r w:rsidRPr="00513D40">
        <w:rPr>
          <w:b w:val="0"/>
          <w:bCs w:val="0"/>
        </w:rPr>
        <w:t>(Pakeista pagal VMI prie FM 2020-04-01 raštą Nr. (32.42-31-1E)-RM-10702)</w:t>
      </w:r>
    </w:p>
    <w:p w14:paraId="5F2419B1" w14:textId="77777777" w:rsidR="00244C63" w:rsidRPr="008B60DD" w:rsidRDefault="00244C63" w:rsidP="00244C63">
      <w:pPr>
        <w:spacing w:after="0" w:line="240" w:lineRule="auto"/>
        <w:ind w:firstLine="726"/>
        <w:jc w:val="both"/>
        <w:rPr>
          <w:b/>
          <w:color w:val="000000"/>
          <w:lang w:val="lt-LT" w:eastAsia="lt-LT"/>
        </w:rPr>
      </w:pPr>
      <w:r w:rsidRPr="008B60DD">
        <w:rPr>
          <w:b/>
          <w:color w:val="000000"/>
          <w:lang w:val="lt-LT" w:eastAsia="lt-LT"/>
        </w:rPr>
        <w:t>9) du vienetai, jei tie patys dalyviai ar jų sutuoktiniai, sužadėtiniai, sugyventiniai, fiziniai asmenys, susiję giminystės ryšiais (tiesiąja giminystės linija iki antrojo laipsnio, šonine giminystės linija iki ketvirtojo laipsnio) arba svainystės santykiais (fizinis asmuo ir jo sutuoktinio giminaičiai (tiesiąja giminystės linija iki antrojo laipsnio, šonine giminystės linija iki antrojo laipsnio), taip pat fizinis asmuo ir jo sugyventinio giminaičiai (tiesiąja giminystės linija iki antrojo laipsnio, šonine giminystės linija iki antrojo laipsnio), fizinis asmuo ir jo giminaičių (tiesiąja giminystės linija iki pirmojo laipsnio, šonine giminystės linija iki antrojo laipsnio) sutuoktiniai ar sugyventiniai ir šių sutuoktinių ar sugyventinių giminaičiai (tiesiąja giminystės linija iki pirmojo laipsnio, šonine giminystės linija iki antrojo laipsnio) tiesiogiai ar netiesiogiai valdo 25 procentus </w:t>
      </w:r>
      <w:r w:rsidRPr="008B60DD">
        <w:rPr>
          <w:b/>
          <w:bCs/>
          <w:color w:val="000000"/>
          <w:lang w:val="lt-LT" w:eastAsia="lt-LT"/>
        </w:rPr>
        <w:t xml:space="preserve">ar daugiau </w:t>
      </w:r>
      <w:r w:rsidRPr="008B60DD">
        <w:rPr>
          <w:b/>
          <w:color w:val="000000"/>
          <w:lang w:val="lt-LT" w:eastAsia="lt-LT"/>
        </w:rPr>
        <w:t>akcijų (dalių, pajų) kiekviename iš jų;</w:t>
      </w:r>
    </w:p>
    <w:p w14:paraId="06FA9058" w14:textId="77777777" w:rsidR="00244C63" w:rsidRPr="0067677F" w:rsidRDefault="00244C63" w:rsidP="00244C63">
      <w:pPr>
        <w:tabs>
          <w:tab w:val="left" w:pos="720"/>
          <w:tab w:val="left" w:pos="1077"/>
          <w:tab w:val="left" w:pos="1418"/>
        </w:tabs>
        <w:autoSpaceDE w:val="0"/>
        <w:autoSpaceDN w:val="0"/>
        <w:ind w:firstLine="720"/>
        <w:jc w:val="both"/>
        <w:rPr>
          <w:bCs/>
          <w:i/>
          <w:iCs/>
        </w:rPr>
      </w:pPr>
      <w:r w:rsidRPr="0067677F">
        <w:rPr>
          <w:bCs/>
          <w:i/>
          <w:iCs/>
        </w:rPr>
        <w:lastRenderedPageBreak/>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558028CE" w14:textId="77777777" w:rsidR="00244C63" w:rsidRPr="006C5F6C" w:rsidRDefault="00244C63" w:rsidP="00244C63">
      <w:pPr>
        <w:ind w:firstLine="720"/>
        <w:jc w:val="both"/>
        <w:rPr>
          <w:b/>
          <w:bCs/>
        </w:rPr>
      </w:pPr>
      <w:r w:rsidRPr="006C5F6C">
        <w:rPr>
          <w:b/>
          <w:bCs/>
        </w:rPr>
        <w:t>Komentaras</w:t>
      </w:r>
    </w:p>
    <w:p w14:paraId="30AA4074" w14:textId="77777777" w:rsidR="00244C63" w:rsidRPr="006C5F6C" w:rsidRDefault="00244C63" w:rsidP="00244C63">
      <w:pPr>
        <w:spacing w:after="0" w:line="240" w:lineRule="auto"/>
        <w:ind w:firstLine="720"/>
        <w:jc w:val="both"/>
      </w:pPr>
      <w:r w:rsidRPr="006C5F6C">
        <w:t xml:space="preserve">Vienetai A ir B laikomi </w:t>
      </w:r>
      <w:r w:rsidRPr="00A44BC4">
        <w:t xml:space="preserve">susijusiais, jei 25 proc. </w:t>
      </w:r>
      <w:r w:rsidRPr="00584460">
        <w:rPr>
          <w:bCs/>
          <w:color w:val="000000"/>
          <w:lang w:eastAsia="lt-LT"/>
        </w:rPr>
        <w:t>ar daugiau</w:t>
      </w:r>
      <w:r w:rsidRPr="00A44BC4">
        <w:rPr>
          <w:b/>
          <w:bCs/>
          <w:color w:val="000000"/>
          <w:lang w:eastAsia="lt-LT"/>
        </w:rPr>
        <w:t xml:space="preserve"> </w:t>
      </w:r>
      <w:r w:rsidRPr="00A44BC4">
        <w:t>akcijų (dalių, pajų) kiekviename iš šių vienetų tiesiogiai ar netiesiogiai valdo:</w:t>
      </w:r>
    </w:p>
    <w:p w14:paraId="0E775EE9" w14:textId="77777777" w:rsidR="00244C63" w:rsidRPr="006C5F6C" w:rsidRDefault="00244C63" w:rsidP="00EC4E29">
      <w:pPr>
        <w:numPr>
          <w:ilvl w:val="0"/>
          <w:numId w:val="21"/>
        </w:numPr>
        <w:spacing w:after="0" w:line="240" w:lineRule="auto"/>
        <w:jc w:val="both"/>
        <w:rPr>
          <w:bCs/>
        </w:rPr>
      </w:pPr>
      <w:r w:rsidRPr="006C5F6C">
        <w:rPr>
          <w:bCs/>
        </w:rPr>
        <w:t>tie patys dalyviai (neatsižvelgiant į jų tarpusavio sąsajas (santuoką, giminystės ar svainystės ryšius ir pan.);</w:t>
      </w:r>
    </w:p>
    <w:p w14:paraId="1480D009" w14:textId="77777777" w:rsidR="00244C63" w:rsidRPr="006C5F6C" w:rsidRDefault="00244C63" w:rsidP="00EC4E29">
      <w:pPr>
        <w:numPr>
          <w:ilvl w:val="0"/>
          <w:numId w:val="21"/>
        </w:numPr>
        <w:spacing w:after="0" w:line="240" w:lineRule="auto"/>
        <w:jc w:val="both"/>
        <w:rPr>
          <w:bCs/>
        </w:rPr>
      </w:pPr>
      <w:r w:rsidRPr="006C5F6C">
        <w:rPr>
          <w:bCs/>
        </w:rPr>
        <w:t>dalyvių sutuoktiniai, sužadėtiniai, sugyventiniai;</w:t>
      </w:r>
    </w:p>
    <w:p w14:paraId="2CB9B65F" w14:textId="77777777" w:rsidR="00244C63" w:rsidRPr="006C5F6C" w:rsidRDefault="00244C63" w:rsidP="00EC4E29">
      <w:pPr>
        <w:numPr>
          <w:ilvl w:val="0"/>
          <w:numId w:val="21"/>
        </w:numPr>
        <w:spacing w:after="0" w:line="240" w:lineRule="auto"/>
        <w:jc w:val="both"/>
        <w:rPr>
          <w:bCs/>
        </w:rPr>
      </w:pPr>
      <w:r w:rsidRPr="006C5F6C">
        <w:rPr>
          <w:bCs/>
        </w:rPr>
        <w:t xml:space="preserve">dalyvių giminaičiai (tėvai, vaikai, seneliai, vaikaičiai, broliai, seserys, tetos, dėdės, sūnėnai ir dukterėčios bei jų vaikai, </w:t>
      </w:r>
      <w:r w:rsidRPr="006C5F6C">
        <w:t>senelių broliai ir seserys, o taip pat pusbroliai ir pusseserės</w:t>
      </w:r>
      <w:r w:rsidRPr="006C5F6C">
        <w:rPr>
          <w:bCs/>
        </w:rPr>
        <w:t>);</w:t>
      </w:r>
    </w:p>
    <w:p w14:paraId="6B9630D4" w14:textId="77777777" w:rsidR="00244C63" w:rsidRPr="006C5F6C" w:rsidRDefault="00244C63" w:rsidP="00EC4E29">
      <w:pPr>
        <w:numPr>
          <w:ilvl w:val="0"/>
          <w:numId w:val="21"/>
        </w:numPr>
        <w:spacing w:after="0" w:line="240" w:lineRule="auto"/>
        <w:jc w:val="both"/>
        <w:rPr>
          <w:bCs/>
        </w:rPr>
      </w:pPr>
      <w:r w:rsidRPr="006C5F6C">
        <w:rPr>
          <w:bCs/>
        </w:rPr>
        <w:t>dalyvių sutuoktinių ar sugyventinių giminaičiai (tėvai, vaikai, seneliai, vaikaičiai, broliai, seserys);</w:t>
      </w:r>
    </w:p>
    <w:p w14:paraId="7BDC1871" w14:textId="77777777" w:rsidR="00244C63" w:rsidRPr="006C5F6C" w:rsidRDefault="00244C63" w:rsidP="00EC4E29">
      <w:pPr>
        <w:numPr>
          <w:ilvl w:val="0"/>
          <w:numId w:val="21"/>
        </w:numPr>
        <w:spacing w:after="0" w:line="240" w:lineRule="auto"/>
        <w:jc w:val="both"/>
        <w:rPr>
          <w:bCs/>
        </w:rPr>
      </w:pPr>
      <w:r w:rsidRPr="006C5F6C">
        <w:rPr>
          <w:bCs/>
        </w:rPr>
        <w:t>dalyvių giminaičių (tėvų, vaikų, brolių, seserų) sutuoktiniai ar sugyventiniai; taip pat tokių sutuoktinių ar sugyventinių giminaičiai (tėvai, vaikai, broliai, seserys).</w:t>
      </w:r>
    </w:p>
    <w:p w14:paraId="45A2A8C0" w14:textId="77777777" w:rsidR="00244C63" w:rsidRPr="0021418F" w:rsidRDefault="00244C63" w:rsidP="00244C63">
      <w:pPr>
        <w:ind w:firstLine="720"/>
        <w:jc w:val="both"/>
      </w:pPr>
    </w:p>
    <w:p w14:paraId="0C30B7C7" w14:textId="77777777" w:rsidR="00244C63" w:rsidRPr="006C5F6C" w:rsidRDefault="00244C63" w:rsidP="00244C63">
      <w:pPr>
        <w:ind w:firstLine="720"/>
        <w:jc w:val="both"/>
      </w:pPr>
      <w:r w:rsidRPr="0021418F">
        <w:t xml:space="preserve">Nustatant susijusius vienetus, turi būti atsižvelgiama į tai, ar kiekviename iš šių vienetų tų pačių dalyvių ir pagal šį punktą išvardytų susijusių asmenų valdomos akcijos (dalys, pajai) bendrai sudaro 25 proc. </w:t>
      </w:r>
      <w:r w:rsidRPr="0021418F">
        <w:rPr>
          <w:b/>
          <w:bCs/>
          <w:color w:val="000000"/>
          <w:lang w:eastAsia="lt-LT"/>
        </w:rPr>
        <w:t xml:space="preserve"> </w:t>
      </w:r>
      <w:r w:rsidRPr="00584460">
        <w:rPr>
          <w:bCs/>
          <w:color w:val="000000"/>
          <w:lang w:eastAsia="lt-LT"/>
        </w:rPr>
        <w:t>ar daugiau</w:t>
      </w:r>
      <w:r w:rsidRPr="00584460">
        <w:t xml:space="preserve"> vieneto akcijų (dalių ar pajų), nesvarbu, kad kiekvienas iš šių asmenų atskirai nevaldo 25 proc. </w:t>
      </w:r>
      <w:r w:rsidRPr="00584460">
        <w:rPr>
          <w:bCs/>
          <w:color w:val="000000"/>
          <w:lang w:eastAsia="lt-LT"/>
        </w:rPr>
        <w:t>ar daugiau</w:t>
      </w:r>
      <w:r w:rsidRPr="0021418F">
        <w:t xml:space="preserve"> vieneto akcijų (dalių, pajų).</w:t>
      </w:r>
      <w:r w:rsidRPr="006C5F6C">
        <w:t xml:space="preserve"> </w:t>
      </w:r>
    </w:p>
    <w:p w14:paraId="44070198" w14:textId="77777777" w:rsidR="00244C63" w:rsidRPr="006C5F6C" w:rsidRDefault="00244C63" w:rsidP="00244C63">
      <w:pPr>
        <w:ind w:firstLine="720"/>
        <w:jc w:val="both"/>
      </w:pPr>
      <w:r w:rsidRPr="006C5F6C">
        <w:t>Pavyzdžiai</w:t>
      </w:r>
    </w:p>
    <w:p w14:paraId="5BD4F5D0" w14:textId="77777777" w:rsidR="00244C63" w:rsidRPr="006C5F6C" w:rsidRDefault="00244C63" w:rsidP="00244C63">
      <w:pPr>
        <w:pStyle w:val="Porat"/>
        <w:pBdr>
          <w:top w:val="single" w:sz="4" w:space="1" w:color="auto"/>
          <w:left w:val="single" w:sz="4" w:space="4" w:color="auto"/>
          <w:bottom w:val="single" w:sz="4" w:space="1" w:color="auto"/>
          <w:right w:val="single" w:sz="4" w:space="4" w:color="auto"/>
        </w:pBdr>
        <w:tabs>
          <w:tab w:val="left" w:pos="1080"/>
        </w:tabs>
        <w:spacing w:line="240" w:lineRule="auto"/>
        <w:rPr>
          <w:rFonts w:ascii="Times New Roman" w:hAnsi="Times New Roman" w:cs="Times New Roman"/>
          <w:lang w:val="lt-LT"/>
        </w:rPr>
      </w:pPr>
      <w:r w:rsidRPr="006C5F6C">
        <w:rPr>
          <w:rFonts w:ascii="Times New Roman" w:hAnsi="Times New Roman" w:cs="Times New Roman"/>
          <w:lang w:val="lt-LT"/>
        </w:rPr>
        <w:t>1.</w:t>
      </w:r>
      <w:r w:rsidRPr="006C5F6C">
        <w:rPr>
          <w:rFonts w:ascii="Times New Roman" w:hAnsi="Times New Roman" w:cs="Times New Roman"/>
          <w:lang w:val="lt-LT"/>
        </w:rPr>
        <w:tab/>
        <w:t xml:space="preserve">Įmonėje A fiziniam asmeniui X ir jo sutuoktinei priklauso 30 proc. akcijų (kiekvienam po 15 proc.), o įmonėje B asmeniui X priklauso 60 proc. akcijų. Įmonės A ir B yra susiję asmenys. </w:t>
      </w:r>
    </w:p>
    <w:p w14:paraId="13E7255A" w14:textId="77777777" w:rsidR="00244C63" w:rsidRPr="00A44BC4" w:rsidRDefault="00244C63" w:rsidP="00244C63">
      <w:pPr>
        <w:pStyle w:val="Porat"/>
        <w:pBdr>
          <w:top w:val="single" w:sz="4" w:space="1" w:color="auto"/>
          <w:left w:val="single" w:sz="4" w:space="4" w:color="auto"/>
          <w:bottom w:val="single" w:sz="4" w:space="1" w:color="auto"/>
          <w:right w:val="single" w:sz="4" w:space="4" w:color="auto"/>
        </w:pBdr>
        <w:tabs>
          <w:tab w:val="left" w:pos="1080"/>
        </w:tabs>
        <w:spacing w:line="240" w:lineRule="auto"/>
        <w:rPr>
          <w:rFonts w:ascii="Times New Roman" w:hAnsi="Times New Roman" w:cs="Times New Roman"/>
          <w:lang w:val="lt-LT"/>
        </w:rPr>
      </w:pPr>
      <w:r w:rsidRPr="006C5F6C">
        <w:rPr>
          <w:rFonts w:ascii="Times New Roman" w:hAnsi="Times New Roman" w:cs="Times New Roman"/>
          <w:lang w:val="lt-LT"/>
        </w:rPr>
        <w:t>2.</w:t>
      </w:r>
      <w:r w:rsidRPr="006C5F6C">
        <w:rPr>
          <w:rFonts w:ascii="Times New Roman" w:hAnsi="Times New Roman" w:cs="Times New Roman"/>
          <w:lang w:val="lt-LT"/>
        </w:rPr>
        <w:tab/>
        <w:t xml:space="preserve">Įmonėje A fiziniam asmeniui X priklauso 20 proc. akcijų, jo sūnui - 5 proc. akcijų, broliui - 20 proc. akcijų, įmonėje B fizinio asmens X sutuoktinei priklauso 10 proc. akcijų, o jos (sutuoktinės) dviem seserims priklauso po 10 proc. akcijų. Įmonėje A giminystės ryšiais susijusiems asmenims priklauso 45 proc. akcijų. </w:t>
      </w:r>
      <w:r w:rsidRPr="002565EB">
        <w:rPr>
          <w:rFonts w:ascii="Times New Roman" w:hAnsi="Times New Roman" w:cs="Times New Roman"/>
          <w:lang w:val="lt-LT"/>
        </w:rPr>
        <w:t>Įmonėje B svainystės santykiais susijusiems asmenims priklauso 30 proc. akcijų. Kadangi ir įmonėje A, ir įmonėje B giminystės ryšiais ir svainystės santykiais susijusiems fiziniams asmenims priklauso 25 proc.</w:t>
      </w:r>
      <w:r w:rsidRPr="002565EB">
        <w:rPr>
          <w:rFonts w:ascii="Times New Roman" w:hAnsi="Times New Roman" w:cs="Times New Roman"/>
          <w:b/>
          <w:bCs/>
          <w:color w:val="000000"/>
          <w:lang w:val="lt-LT" w:eastAsia="lt-LT"/>
        </w:rPr>
        <w:t xml:space="preserve"> </w:t>
      </w:r>
      <w:r w:rsidRPr="002565EB">
        <w:rPr>
          <w:rFonts w:ascii="Times New Roman" w:hAnsi="Times New Roman" w:cs="Times New Roman"/>
          <w:bCs/>
          <w:color w:val="000000"/>
          <w:lang w:val="lt-LT" w:eastAsia="lt-LT"/>
        </w:rPr>
        <w:t>ar daugiau</w:t>
      </w:r>
      <w:r w:rsidRPr="002565EB">
        <w:rPr>
          <w:rFonts w:ascii="Times New Roman" w:hAnsi="Times New Roman" w:cs="Times New Roman"/>
          <w:lang w:val="lt-LT"/>
        </w:rPr>
        <w:t xml:space="preserve"> akcijų,</w:t>
      </w:r>
      <w:r w:rsidRPr="00A44BC4">
        <w:rPr>
          <w:rFonts w:ascii="Times New Roman" w:hAnsi="Times New Roman" w:cs="Times New Roman"/>
          <w:lang w:val="lt-LT"/>
        </w:rPr>
        <w:t xml:space="preserve"> todėl įmonės A ir B yra laikomos susijusiais asmenimis.“</w:t>
      </w:r>
    </w:p>
    <w:p w14:paraId="259099AE"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37647397" w14:textId="77777777" w:rsidR="00244C63" w:rsidRPr="008B60DD" w:rsidRDefault="00244C63" w:rsidP="00244C63">
      <w:pPr>
        <w:spacing w:after="0" w:line="240" w:lineRule="auto"/>
        <w:ind w:firstLine="726"/>
        <w:jc w:val="both"/>
        <w:rPr>
          <w:color w:val="000000"/>
          <w:lang w:val="lt-LT" w:eastAsia="lt-LT"/>
        </w:rPr>
      </w:pPr>
      <w:r w:rsidRPr="008B60DD">
        <w:rPr>
          <w:b/>
          <w:color w:val="000000"/>
          <w:lang w:val="lt-LT" w:eastAsia="lt-LT"/>
        </w:rPr>
        <w:t>10) vienetas ir jo nuolatinė buveinė</w:t>
      </w:r>
      <w:r w:rsidRPr="008B60DD">
        <w:rPr>
          <w:b/>
          <w:bCs/>
          <w:color w:val="000000"/>
          <w:lang w:val="lt-LT" w:eastAsia="lt-LT"/>
        </w:rPr>
        <w:t>, taip pat kito vieneto nuolatinė buveinė, jei tie vienetai sudaro vieną vienetų grupę</w:t>
      </w:r>
      <w:r w:rsidRPr="008B60DD">
        <w:rPr>
          <w:color w:val="000000"/>
          <w:lang w:val="lt-LT" w:eastAsia="lt-LT"/>
        </w:rPr>
        <w:t>;</w:t>
      </w:r>
    </w:p>
    <w:p w14:paraId="23B3375B"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2D5F6D2F" w14:textId="77777777" w:rsidR="00244C63" w:rsidRPr="006C5F6C" w:rsidRDefault="00244C63" w:rsidP="00244C63">
      <w:pPr>
        <w:tabs>
          <w:tab w:val="left" w:pos="720"/>
          <w:tab w:val="left" w:pos="1077"/>
          <w:tab w:val="left" w:pos="1418"/>
        </w:tabs>
        <w:ind w:firstLine="720"/>
        <w:jc w:val="both"/>
        <w:rPr>
          <w:b/>
        </w:rPr>
      </w:pPr>
      <w:r w:rsidRPr="006C5F6C">
        <w:rPr>
          <w:b/>
        </w:rPr>
        <w:t>Komentaras</w:t>
      </w:r>
    </w:p>
    <w:p w14:paraId="40EC76B8" w14:textId="77777777" w:rsidR="00244C63" w:rsidRPr="006C5F6C" w:rsidRDefault="00244C63" w:rsidP="00244C63">
      <w:pPr>
        <w:pStyle w:val="Pagrindiniotekstotrauka"/>
        <w:tabs>
          <w:tab w:val="left" w:pos="720"/>
          <w:tab w:val="left" w:pos="1077"/>
          <w:tab w:val="left" w:pos="1418"/>
        </w:tabs>
        <w:ind w:firstLine="709"/>
        <w:rPr>
          <w:rFonts w:ascii="Times New Roman" w:hAnsi="Times New Roman" w:cs="Times New Roman"/>
        </w:rPr>
      </w:pPr>
      <w:r w:rsidRPr="006C5F6C">
        <w:rPr>
          <w:rFonts w:ascii="Times New Roman" w:hAnsi="Times New Roman" w:cs="Times New Roman"/>
          <w:b/>
        </w:rPr>
        <w:t>1</w:t>
      </w:r>
      <w:r w:rsidRPr="006C5F6C">
        <w:rPr>
          <w:rFonts w:ascii="Times New Roman" w:hAnsi="Times New Roman" w:cs="Times New Roman"/>
        </w:rPr>
        <w:t xml:space="preserve">. Pagal šį punktą susijusiais asmenimis laikomi vienetas ir jo nuolatinė buveinė, t. y. Lietuvos vienetas ir jo nuolatinė buveinė, per kurią jis veikia užsienyje, arba užsienio vienetas ir jo nuolatinė buveinė, per kurią jis veikia Lietuvoje. </w:t>
      </w:r>
    </w:p>
    <w:p w14:paraId="4A935818" w14:textId="77777777" w:rsidR="00244C63" w:rsidRPr="00584460" w:rsidRDefault="00244C63" w:rsidP="00244C63">
      <w:pPr>
        <w:pStyle w:val="Pagrindiniotekstotrauka"/>
        <w:tabs>
          <w:tab w:val="left" w:pos="720"/>
          <w:tab w:val="left" w:pos="1077"/>
          <w:tab w:val="left" w:pos="1418"/>
        </w:tabs>
        <w:spacing w:after="0" w:line="240" w:lineRule="auto"/>
        <w:ind w:firstLine="709"/>
        <w:rPr>
          <w:rFonts w:ascii="Times New Roman" w:hAnsi="Times New Roman" w:cs="Times New Roman"/>
        </w:rPr>
      </w:pPr>
      <w:r w:rsidRPr="00584460">
        <w:rPr>
          <w:rFonts w:ascii="Times New Roman" w:hAnsi="Times New Roman" w:cs="Times New Roman"/>
        </w:rPr>
        <w:t>2. Susijusiais asmenimis taip pat laikomi vienetas ir kito vieneto nuolatinė buveinė, jei tie vienetai sudaro vieną vienetų grupę.</w:t>
      </w:r>
    </w:p>
    <w:p w14:paraId="11A7761A" w14:textId="77777777" w:rsidR="00244C63" w:rsidRDefault="00244C63" w:rsidP="00244C63">
      <w:pPr>
        <w:pStyle w:val="Pagrindiniotekstotrauka"/>
        <w:tabs>
          <w:tab w:val="left" w:pos="720"/>
          <w:tab w:val="left" w:pos="1077"/>
          <w:tab w:val="left" w:pos="1418"/>
        </w:tabs>
        <w:rPr>
          <w:rFonts w:ascii="Times New Roman" w:hAnsi="Times New Roman"/>
          <w:lang w:val="lt-LT"/>
        </w:rPr>
      </w:pPr>
      <w:r w:rsidRPr="00584460">
        <w:rPr>
          <w:rFonts w:ascii="Times New Roman" w:hAnsi="Times New Roman" w:cs="Times New Roman"/>
        </w:rPr>
        <w:t>Vienetų grupės sąvoka apibrėžta PMĮ 2 str. 7 dalyje (žr. PMĮ 2 str. 7 dalies komentarą)</w:t>
      </w:r>
    </w:p>
    <w:p w14:paraId="606A6DB4" w14:textId="77777777" w:rsidR="00244C63" w:rsidRPr="009E53D9" w:rsidRDefault="00244C63" w:rsidP="00244C6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6DFF7D50" w14:textId="77777777" w:rsidR="00244C63" w:rsidRPr="00584460" w:rsidRDefault="00244C63" w:rsidP="00244C63">
      <w:pPr>
        <w:spacing w:after="0" w:line="360" w:lineRule="atLeast"/>
        <w:ind w:firstLine="726"/>
        <w:jc w:val="both"/>
        <w:rPr>
          <w:color w:val="000000"/>
          <w:lang w:eastAsia="lt-LT"/>
        </w:rPr>
      </w:pPr>
      <w:r w:rsidRPr="00584460">
        <w:rPr>
          <w:b/>
          <w:bCs/>
          <w:color w:val="000000"/>
          <w:lang w:eastAsia="lt-LT"/>
        </w:rPr>
        <w:lastRenderedPageBreak/>
        <w:t>11)</w:t>
      </w:r>
      <w:r w:rsidRPr="00584460">
        <w:rPr>
          <w:color w:val="000000"/>
          <w:lang w:eastAsia="lt-LT"/>
        </w:rPr>
        <w:t> </w:t>
      </w:r>
      <w:r w:rsidRPr="00584460">
        <w:rPr>
          <w:b/>
          <w:bCs/>
          <w:color w:val="000000"/>
          <w:lang w:eastAsia="lt-LT"/>
        </w:rPr>
        <w:t>vieneto nuolatinės buveinės;</w:t>
      </w:r>
    </w:p>
    <w:p w14:paraId="7D77479E"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6403656B" w14:textId="77777777" w:rsidR="00244C63" w:rsidRPr="00584460" w:rsidRDefault="00244C63" w:rsidP="00244C63">
      <w:pPr>
        <w:ind w:firstLine="720"/>
        <w:jc w:val="both"/>
        <w:rPr>
          <w:b/>
          <w:bCs/>
        </w:rPr>
      </w:pPr>
      <w:r w:rsidRPr="00584460">
        <w:rPr>
          <w:b/>
          <w:bCs/>
        </w:rPr>
        <w:t>Komentaras</w:t>
      </w:r>
    </w:p>
    <w:p w14:paraId="71569ECC" w14:textId="77777777" w:rsidR="00244C63" w:rsidRPr="00584460" w:rsidRDefault="00244C63" w:rsidP="00244C63">
      <w:pPr>
        <w:spacing w:after="0" w:line="360" w:lineRule="atLeast"/>
        <w:ind w:firstLine="726"/>
        <w:jc w:val="both"/>
      </w:pPr>
      <w:r w:rsidRPr="00584460">
        <w:t>Pagal šį punktą susijusiais asmenimis laikomos to paties vieneto nuolatinės buveinės.“</w:t>
      </w:r>
    </w:p>
    <w:p w14:paraId="2316EBA7" w14:textId="77777777" w:rsidR="00244C63" w:rsidRPr="00584460" w:rsidRDefault="00244C63" w:rsidP="00244C63">
      <w:pPr>
        <w:spacing w:after="0" w:line="360" w:lineRule="atLeast"/>
        <w:ind w:firstLine="726"/>
        <w:jc w:val="both"/>
        <w:rPr>
          <w:color w:val="000000"/>
          <w:lang w:eastAsia="lt-LT"/>
        </w:rPr>
      </w:pPr>
    </w:p>
    <w:p w14:paraId="415B1CBE" w14:textId="77777777" w:rsidR="00244C63" w:rsidRPr="006C5F6C" w:rsidRDefault="00244C63" w:rsidP="00244C63">
      <w:pPr>
        <w:spacing w:after="0" w:line="240" w:lineRule="auto"/>
        <w:ind w:firstLine="726"/>
        <w:jc w:val="both"/>
        <w:rPr>
          <w:color w:val="000000"/>
          <w:lang w:eastAsia="lt-LT"/>
        </w:rPr>
      </w:pPr>
      <w:r w:rsidRPr="00584460">
        <w:rPr>
          <w:b/>
          <w:bCs/>
          <w:color w:val="000000"/>
          <w:lang w:eastAsia="lt-LT"/>
        </w:rPr>
        <w:t>12) vieneto nuolatinė buveinė ir kito vieneto nuolatinė buveinė</w:t>
      </w:r>
      <w:bookmarkStart w:id="14" w:name="part_738121b7d1e84f6499bc876b66dad53e"/>
      <w:bookmarkEnd w:id="14"/>
      <w:r w:rsidRPr="00584460">
        <w:rPr>
          <w:b/>
          <w:bCs/>
          <w:color w:val="000000"/>
          <w:lang w:eastAsia="lt-LT"/>
        </w:rPr>
        <w:t>, jei tie vienetai sudaro vieną vienetų grupę;</w:t>
      </w:r>
    </w:p>
    <w:p w14:paraId="5F6A6BE7" w14:textId="77777777" w:rsidR="00244C63" w:rsidRPr="0067677F" w:rsidRDefault="00244C63" w:rsidP="0067677F">
      <w:pPr>
        <w:tabs>
          <w:tab w:val="left" w:pos="720"/>
          <w:tab w:val="left" w:pos="1077"/>
          <w:tab w:val="left" w:pos="1418"/>
        </w:tabs>
        <w:autoSpaceDE w:val="0"/>
        <w:autoSpaceDN w:val="0"/>
        <w:jc w:val="both"/>
        <w:rPr>
          <w:bCs/>
          <w:i/>
          <w:iCs/>
        </w:rPr>
      </w:pPr>
      <w:r w:rsidRPr="0067677F">
        <w:rPr>
          <w:bCs/>
          <w:i/>
          <w:iCs/>
        </w:rPr>
        <w:t>(</w:t>
      </w:r>
      <w:r w:rsidR="00E123EB" w:rsidRPr="0067677F">
        <w:rPr>
          <w:bCs/>
          <w:i/>
          <w:iCs/>
        </w:rPr>
        <w:t xml:space="preserve">KEISTA: </w:t>
      </w:r>
      <w:r w:rsidRPr="0067677F">
        <w:rPr>
          <w:bCs/>
          <w:i/>
          <w:iCs/>
        </w:rPr>
        <w:t>pagal 2019 m. gruodžio 17 d. įstatymo Nr. XIII-2694 redakciją, taikoma apskaičiuojant 2020 metais prasidėjusio mokestinio laikotarpio ir vėlesnių mokestinių laikotarpių apmokestinamąjį pelną)</w:t>
      </w:r>
    </w:p>
    <w:p w14:paraId="10BA76AE" w14:textId="77777777" w:rsidR="00244C63" w:rsidRPr="006C5F6C" w:rsidRDefault="00244C63" w:rsidP="00244C63">
      <w:pPr>
        <w:ind w:firstLine="720"/>
        <w:jc w:val="both"/>
        <w:rPr>
          <w:b/>
          <w:bCs/>
        </w:rPr>
      </w:pPr>
      <w:r w:rsidRPr="006C5F6C">
        <w:rPr>
          <w:b/>
          <w:bCs/>
        </w:rPr>
        <w:t>Komentaras</w:t>
      </w:r>
    </w:p>
    <w:p w14:paraId="5C67AB0E" w14:textId="77777777" w:rsidR="00244C63" w:rsidRDefault="00244C63" w:rsidP="00244C63">
      <w:pPr>
        <w:spacing w:after="0" w:line="240" w:lineRule="auto"/>
        <w:ind w:firstLine="726"/>
        <w:jc w:val="both"/>
        <w:rPr>
          <w:color w:val="000000"/>
          <w:lang w:eastAsia="lt-LT"/>
        </w:rPr>
      </w:pPr>
      <w:r w:rsidRPr="006C5F6C">
        <w:t xml:space="preserve">Pagal šį punktą susijusiais asmenimis laikomos </w:t>
      </w:r>
      <w:r>
        <w:t>tos pačios vienetų grupės vienetų nuolatinės buveinės</w:t>
      </w:r>
      <w:r w:rsidRPr="00A833E4">
        <w:rPr>
          <w:color w:val="000000"/>
          <w:lang w:eastAsia="lt-LT"/>
        </w:rPr>
        <w:t>.</w:t>
      </w:r>
    </w:p>
    <w:p w14:paraId="101A1A9F" w14:textId="77777777" w:rsidR="00244C63" w:rsidRDefault="00C30A83" w:rsidP="00244C63">
      <w:pPr>
        <w:pStyle w:val="Pagrindiniotekstotrauka2"/>
        <w:tabs>
          <w:tab w:val="left" w:pos="720"/>
          <w:tab w:val="left" w:pos="1080"/>
        </w:tabs>
        <w:spacing w:line="240" w:lineRule="auto"/>
        <w:ind w:firstLine="0"/>
        <w:rPr>
          <w:b w:val="0"/>
        </w:rPr>
      </w:pPr>
      <w:r>
        <w:rPr>
          <w:b w:val="0"/>
        </w:rPr>
        <w:t xml:space="preserve">            </w:t>
      </w:r>
      <w:r w:rsidR="00244C63" w:rsidRPr="00C30A83">
        <w:rPr>
          <w:b w:val="0"/>
        </w:rPr>
        <w:t>Vienetų grupės sąvoka apibrėžta PMĮ 2 str. 7 dalyje (žr. PMĮ 2 str. 7 dalies komentarą</w:t>
      </w:r>
      <w:r w:rsidR="000C7FFC">
        <w:rPr>
          <w:b w:val="0"/>
        </w:rPr>
        <w:t>)</w:t>
      </w:r>
      <w:r>
        <w:rPr>
          <w:b w:val="0"/>
        </w:rPr>
        <w:t>.</w:t>
      </w:r>
    </w:p>
    <w:p w14:paraId="547BF3C4" w14:textId="77777777" w:rsidR="00C30A83" w:rsidRDefault="00C30A83" w:rsidP="00244C63">
      <w:pPr>
        <w:pStyle w:val="Pagrindiniotekstotrauka2"/>
        <w:tabs>
          <w:tab w:val="left" w:pos="720"/>
          <w:tab w:val="left" w:pos="1080"/>
        </w:tabs>
        <w:spacing w:line="240" w:lineRule="auto"/>
        <w:ind w:firstLine="0"/>
        <w:rPr>
          <w:b w:val="0"/>
        </w:rPr>
      </w:pPr>
    </w:p>
    <w:p w14:paraId="32439446" w14:textId="77777777" w:rsidR="00C30A83" w:rsidRDefault="00C30A83" w:rsidP="00C30A83">
      <w:pPr>
        <w:spacing w:after="0" w:line="240" w:lineRule="auto"/>
        <w:ind w:firstLine="726"/>
        <w:jc w:val="both"/>
        <w:rPr>
          <w:bCs/>
          <w:i/>
          <w:iCs/>
        </w:rPr>
      </w:pPr>
      <w:r w:rsidRPr="008B60DD">
        <w:rPr>
          <w:b/>
          <w:bCs/>
          <w:color w:val="000000"/>
          <w:lang w:val="lt-LT" w:eastAsia="lt-LT"/>
        </w:rPr>
        <w:t>13) du vienetai, kai vienam iš jų priklauso sprendimų priėmimo teisė kitame.</w:t>
      </w:r>
      <w:r w:rsidRPr="008B60DD">
        <w:rPr>
          <w:b/>
          <w:bCs/>
          <w:color w:val="000000"/>
          <w:lang w:val="lt-LT" w:eastAsia="lt-LT"/>
        </w:rPr>
        <w:br/>
      </w:r>
      <w:r w:rsidRPr="000C7FFC">
        <w:rPr>
          <w:bCs/>
          <w:i/>
          <w:iCs/>
        </w:rPr>
        <w:t>(</w:t>
      </w:r>
      <w:r w:rsidR="00E123EB" w:rsidRPr="000C7FFC">
        <w:rPr>
          <w:bCs/>
          <w:i/>
          <w:iCs/>
        </w:rPr>
        <w:t xml:space="preserve">KEISTA: </w:t>
      </w:r>
      <w:r w:rsidRPr="000C7FFC">
        <w:rPr>
          <w:bCs/>
          <w:i/>
          <w:iCs/>
        </w:rPr>
        <w:t>pagal 2019 m. gruodžio 17 d. įstatymo Nr. XIII-2694 redakciją (keista punkto numeris)</w:t>
      </w:r>
    </w:p>
    <w:p w14:paraId="659C14BF" w14:textId="77777777" w:rsidR="00C30A83" w:rsidRPr="009C40A6" w:rsidRDefault="00C30A83" w:rsidP="00C30A83">
      <w:pPr>
        <w:spacing w:after="0" w:line="240" w:lineRule="auto"/>
        <w:ind w:firstLine="726"/>
        <w:jc w:val="both"/>
        <w:rPr>
          <w:bCs/>
          <w:i/>
          <w:iCs/>
        </w:rPr>
      </w:pPr>
    </w:p>
    <w:p w14:paraId="2FD4E2FE" w14:textId="77777777" w:rsidR="00C30A83" w:rsidRPr="009E53D9" w:rsidRDefault="00C30A83" w:rsidP="00C30A83">
      <w:pPr>
        <w:pStyle w:val="Pagrindiniotekstotrauka2"/>
        <w:tabs>
          <w:tab w:val="left" w:pos="720"/>
          <w:tab w:val="left" w:pos="1080"/>
        </w:tabs>
        <w:spacing w:line="240" w:lineRule="auto"/>
        <w:ind w:left="720" w:firstLine="0"/>
        <w:rPr>
          <w:b w:val="0"/>
          <w:bCs w:val="0"/>
        </w:rPr>
      </w:pPr>
      <w:r>
        <w:rPr>
          <w:b w:val="0"/>
          <w:bCs w:val="0"/>
        </w:rPr>
        <w:t>(</w:t>
      </w:r>
      <w:r w:rsidRPr="009E53D9">
        <w:rPr>
          <w:b w:val="0"/>
          <w:bCs w:val="0"/>
        </w:rPr>
        <w:t>Pakeista pagal VMI prie FM 2020-04-</w:t>
      </w:r>
      <w:r>
        <w:rPr>
          <w:b w:val="0"/>
          <w:bCs w:val="0"/>
        </w:rPr>
        <w:t>01</w:t>
      </w:r>
      <w:r w:rsidRPr="009E53D9">
        <w:rPr>
          <w:b w:val="0"/>
          <w:bCs w:val="0"/>
        </w:rPr>
        <w:t xml:space="preserve"> raštą Nr. (</w:t>
      </w:r>
      <w:r>
        <w:rPr>
          <w:b w:val="0"/>
          <w:bCs w:val="0"/>
        </w:rPr>
        <w:t>32</w:t>
      </w:r>
      <w:r w:rsidRPr="009E53D9">
        <w:rPr>
          <w:b w:val="0"/>
          <w:bCs w:val="0"/>
        </w:rPr>
        <w:t>.</w:t>
      </w:r>
      <w:r>
        <w:rPr>
          <w:b w:val="0"/>
          <w:bCs w:val="0"/>
        </w:rPr>
        <w:t>42</w:t>
      </w:r>
      <w:r w:rsidRPr="009E53D9">
        <w:rPr>
          <w:b w:val="0"/>
          <w:bCs w:val="0"/>
        </w:rPr>
        <w:t>-31-1</w:t>
      </w:r>
      <w:r>
        <w:rPr>
          <w:b w:val="0"/>
          <w:bCs w:val="0"/>
        </w:rPr>
        <w:t>E</w:t>
      </w:r>
      <w:r w:rsidRPr="009E53D9">
        <w:rPr>
          <w:b w:val="0"/>
          <w:bCs w:val="0"/>
        </w:rPr>
        <w:t>)-R</w:t>
      </w:r>
      <w:r>
        <w:rPr>
          <w:b w:val="0"/>
          <w:bCs w:val="0"/>
        </w:rPr>
        <w:t>M</w:t>
      </w:r>
      <w:r w:rsidRPr="009E53D9">
        <w:rPr>
          <w:b w:val="0"/>
          <w:bCs w:val="0"/>
        </w:rPr>
        <w:t>-</w:t>
      </w:r>
      <w:r>
        <w:rPr>
          <w:b w:val="0"/>
          <w:bCs w:val="0"/>
        </w:rPr>
        <w:t>10702</w:t>
      </w:r>
      <w:r w:rsidRPr="009E53D9">
        <w:rPr>
          <w:b w:val="0"/>
          <w:bCs w:val="0"/>
        </w:rPr>
        <w:t>)</w:t>
      </w:r>
    </w:p>
    <w:p w14:paraId="1514EA91" w14:textId="77777777" w:rsidR="00093845" w:rsidRDefault="000D779E">
      <w:pPr>
        <w:pStyle w:val="tajtip"/>
        <w:spacing w:before="0" w:beforeAutospacing="0" w:after="0" w:afterAutospacing="0"/>
        <w:ind w:firstLine="567"/>
        <w:jc w:val="both"/>
        <w:rPr>
          <w:b/>
        </w:rPr>
      </w:pPr>
      <w:r>
        <w:rPr>
          <w:b/>
        </w:rPr>
        <w:t>34. Su tarptautiniu vežimu jūrų laivais tiesiogiai susijusi veikla – paslaugos, būtinos tarptautiniam vežimui jūrų laivais, ir (arba) kitos ekonomiškai svarbios priemonės:</w:t>
      </w:r>
    </w:p>
    <w:p w14:paraId="5E776A4E" w14:textId="77777777" w:rsidR="00093845" w:rsidRPr="00F62677" w:rsidRDefault="000D779E">
      <w:pPr>
        <w:pStyle w:val="tajtip"/>
        <w:spacing w:before="0" w:beforeAutospacing="0" w:after="0" w:afterAutospacing="0"/>
        <w:jc w:val="both"/>
        <w:rPr>
          <w:i/>
        </w:rPr>
      </w:pPr>
      <w:r>
        <w:t>(</w:t>
      </w:r>
      <w:r w:rsidRPr="00F62677">
        <w:rPr>
          <w:i/>
        </w:rPr>
        <w:t>KEISTA: 2017 06 01 įstatymu Nr. XIII-405 (nuo 2017 06 10), taikoma apskaičiuojant 2017 metais prasidėjusio mokestinio laikotarpio ir vėlesnių mokestinių laikotarpių apmokestinamąjį pelną)</w:t>
      </w:r>
    </w:p>
    <w:p w14:paraId="263623EE" w14:textId="77777777" w:rsidR="00093845" w:rsidRPr="00F62677" w:rsidRDefault="00093845">
      <w:pPr>
        <w:pStyle w:val="tajtip"/>
        <w:spacing w:before="0" w:beforeAutospacing="0" w:after="0" w:afterAutospacing="0"/>
        <w:jc w:val="both"/>
        <w:rPr>
          <w:b/>
          <w:i/>
        </w:rPr>
      </w:pPr>
    </w:p>
    <w:p w14:paraId="060D2307" w14:textId="77777777" w:rsidR="00093845" w:rsidRDefault="000D779E">
      <w:pPr>
        <w:pStyle w:val="tajtip"/>
        <w:spacing w:before="0" w:beforeAutospacing="0" w:after="0" w:afterAutospacing="0"/>
        <w:jc w:val="both"/>
      </w:pPr>
      <w:r>
        <w:t xml:space="preserve">         </w:t>
      </w:r>
      <w:r>
        <w:rPr>
          <w:b/>
          <w:bCs/>
        </w:rPr>
        <w:t>Komentaras</w:t>
      </w:r>
    </w:p>
    <w:bookmarkStart w:id="15" w:name="n1_617"/>
    <w:p w14:paraId="4105748C" w14:textId="77777777" w:rsidR="00093845" w:rsidRDefault="000D779E">
      <w:pPr>
        <w:pStyle w:val="tajtip"/>
        <w:spacing w:before="0" w:beforeAutospacing="0" w:after="0" w:afterAutospacing="0"/>
        <w:ind w:firstLine="567"/>
        <w:jc w:val="both"/>
      </w:pPr>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16" w:name="pn1_617"/>
      <w:bookmarkEnd w:id="15"/>
      <w:bookmarkEnd w:id="16"/>
      <w:r>
        <w:t xml:space="preserve"> </w:t>
      </w:r>
      <w:bookmarkStart w:id="17" w:name="n1_618"/>
      <w:r>
        <w:fldChar w:fldCharType="begin"/>
      </w:r>
      <w:r>
        <w:instrText xml:space="preserve"> HYPERLINK "JavaScript:OL('12868','2')" \o "Pagrindinės šio Įstatymo sąvokos (str. 2)" </w:instrText>
      </w:r>
      <w:r>
        <w:fldChar w:fldCharType="separate"/>
      </w:r>
      <w:r w:rsidRPr="0065344A">
        <w:rPr>
          <w:rStyle w:val="Hipersaitas"/>
          <w:lang w:val="lt-LT"/>
        </w:rPr>
        <w:t>2</w:t>
      </w:r>
      <w:r>
        <w:fldChar w:fldCharType="end"/>
      </w:r>
      <w:bookmarkStart w:id="18" w:name="pn1_618"/>
      <w:bookmarkEnd w:id="17"/>
      <w:bookmarkEnd w:id="18"/>
      <w:r>
        <w:t xml:space="preserve"> straipsnio 34 dalyje pateikiamas baigtinis su tarptautiniu vežimu jūrų laivais tiesiogiai susijusios veiklos sąrašas. Šioje dalyje sąvoka ,,su tarptautiniu vežimu jūrų laivais tiesiogiai susijusi veikla“ suprantama kaip paslaugos, būtinos tarptautiniam vežimui jūrų laivais ir įtvirtinta nuostata, pagal kurią laivybos vienetas, vykdydamas su tarptautiniu vežimu jūrų laivais tiesiogiai susijusią veiklą, gali vykdyti tik tarptautiniam vežimui jūrų laivais būtinas paslaugas. Šios su tarptautiniu vežimu jūrų laivais tiesiogiai susijusios veiklos pajamos ir sąnaudos mokesčių apskaičiavimo tikslais traktuojamos taip pat kaip tarptautinio vežimo jūrų laivais veiklos pajamos ir sąnaudos. Apmokestinamieji vienetai ar užsienio vienetų nuolatinės buveinės, vykdantys tik su tarptautiniu vežimu jūrų laivais tiesiogiai susijusią veiklą (tačiau nevykdantys paties tarptautinio vežimo jūrų laivais veiklos), savo pajamų apmokestinti fiksuotu pelno mokesčiu negali, nes pagal </w:t>
      </w:r>
      <w:bookmarkStart w:id="19" w:name="n1_619"/>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20" w:name="pn1_619"/>
      <w:bookmarkEnd w:id="19"/>
      <w:bookmarkEnd w:id="20"/>
      <w:r>
        <w:t xml:space="preserve"> </w:t>
      </w:r>
      <w:bookmarkStart w:id="21" w:name="n1_620"/>
      <w:r>
        <w:fldChar w:fldCharType="begin"/>
      </w:r>
      <w:r>
        <w:instrText xml:space="preserve"> HYPERLINK "JavaScript:OL('12868','2')" \o "Pagrindinės šio Įstatymo sąvokos (str. 2)" </w:instrText>
      </w:r>
      <w:r>
        <w:fldChar w:fldCharType="separate"/>
      </w:r>
      <w:r w:rsidRPr="0065344A">
        <w:rPr>
          <w:rStyle w:val="Hipersaitas"/>
          <w:lang w:val="lt-LT"/>
        </w:rPr>
        <w:t>2</w:t>
      </w:r>
      <w:r>
        <w:fldChar w:fldCharType="end"/>
      </w:r>
      <w:bookmarkStart w:id="22" w:name="pn1_620"/>
      <w:bookmarkEnd w:id="21"/>
      <w:bookmarkEnd w:id="22"/>
      <w:r>
        <w:t xml:space="preserve"> straipsnio 15 dalį, jie nėra laivybos vienetai. Pažymėtina, jog visos išvardintos paslaugos ir (arba) kitos ekonomiškai svarbios priemonės turi būti neatsiejamos nuo laivybos vieneto vykdomo tarptautinio vežimo jūrų laivais veiklos ir, pagal vieneto vykdomos veiklos pobūdį, praktikoje įprastos.</w:t>
      </w:r>
    </w:p>
    <w:p w14:paraId="0954F0C2" w14:textId="77777777" w:rsidR="00093845" w:rsidRDefault="000D779E">
      <w:pPr>
        <w:pStyle w:val="tajtip"/>
        <w:spacing w:before="0" w:beforeAutospacing="0" w:after="0" w:afterAutospacing="0"/>
        <w:ind w:firstLine="567"/>
        <w:jc w:val="both"/>
      </w:pPr>
      <w:r>
        <w:t xml:space="preserve"> </w:t>
      </w:r>
    </w:p>
    <w:p w14:paraId="1AA50A69" w14:textId="77777777" w:rsidR="00093845" w:rsidRDefault="000D779E">
      <w:pPr>
        <w:pStyle w:val="tajtip"/>
        <w:spacing w:before="0" w:beforeAutospacing="0" w:after="0" w:afterAutospacing="0"/>
        <w:ind w:firstLine="567"/>
        <w:jc w:val="both"/>
        <w:rPr>
          <w:b/>
          <w:bCs/>
        </w:rPr>
      </w:pPr>
      <w:r>
        <w:rPr>
          <w:b/>
          <w:bCs/>
        </w:rPr>
        <w:t>1) jūrų laivo valdymo, administracinės, eksploatavimo ir priežiūros paslaugos, tiesiogiai susijusios su tarptautiniu vežimu jūrų laivais (degalų įgijimas, įgulos, kuri gali būti perduota trečiajai šaliai, samda, krovinių ir keleivių užsakymai, jūrų laivo remontas, techninė priežiūra, saugumo reikalavimų užtikrinimas ir kt.);</w:t>
      </w:r>
    </w:p>
    <w:p w14:paraId="488D2002" w14:textId="77777777" w:rsidR="00093845" w:rsidRDefault="000D779E">
      <w:pPr>
        <w:pStyle w:val="tajtip"/>
        <w:spacing w:before="0" w:beforeAutospacing="0" w:after="0" w:afterAutospacing="0"/>
        <w:ind w:firstLine="567"/>
        <w:jc w:val="both"/>
      </w:pPr>
      <w:r>
        <w:rPr>
          <w:rFonts w:ascii="Arial" w:hAnsi="Arial" w:cs="Arial"/>
          <w:sz w:val="22"/>
          <w:szCs w:val="22"/>
        </w:rPr>
        <w:t> </w:t>
      </w:r>
      <w:r>
        <w:rPr>
          <w:b/>
          <w:bCs/>
        </w:rPr>
        <w:t>Komentaras</w:t>
      </w:r>
    </w:p>
    <w:p w14:paraId="6911B99A" w14:textId="77777777" w:rsidR="00093845" w:rsidRDefault="000D779E">
      <w:pPr>
        <w:pStyle w:val="tajtip"/>
        <w:spacing w:before="0" w:beforeAutospacing="0" w:after="0" w:afterAutospacing="0"/>
        <w:ind w:firstLine="567"/>
        <w:jc w:val="both"/>
      </w:pPr>
      <w:r>
        <w:lastRenderedPageBreak/>
        <w:t>Su tarptautiniu vežimu jūrų laivais susijusiai veiklai priskirtinas jūrų laivų įgulos samdymas, degalų jūrų laivams įsigijimas, užsakymų gabenti krovinius ir keleivius tarptautiniais maršrutais jūrų laivais priėmimas ir bilietų pardavimas, maršrutų planavimas, vieneto valdomų jūrų laivų priežiūra, aptarnavimas,  remontas,  techninė priežiūra, veikla saugumui užtikrinti vykdant tarptautinius vežimus, kita pagalbinio, organizacinio pobūdžio veikla, sudaranti sąlygas sėkmingai vykdyti pagrindinę laivybos vieneto veiklą: gabenti keleivius ir/ar krovinius jūrų laivais tarptautiniais maršrutais, administruoti gabenimo sutartis, atsiskaitymus, laivų apdraudimą, tarptautinio vežimo paslaugų reklamą ir pan.</w:t>
      </w:r>
      <w:r>
        <w:rPr>
          <w:strike/>
        </w:rPr>
        <w:t>)</w:t>
      </w:r>
      <w:r>
        <w:t>.</w:t>
      </w:r>
    </w:p>
    <w:p w14:paraId="680A30B8" w14:textId="77777777" w:rsidR="00093845" w:rsidRDefault="00093845">
      <w:pPr>
        <w:pStyle w:val="tajtip"/>
        <w:spacing w:before="0" w:beforeAutospacing="0" w:after="0" w:afterAutospacing="0"/>
        <w:ind w:firstLine="567"/>
        <w:jc w:val="both"/>
        <w:rPr>
          <w:rFonts w:ascii="Arial" w:hAnsi="Arial" w:cs="Arial"/>
          <w:sz w:val="22"/>
          <w:szCs w:val="22"/>
        </w:rPr>
      </w:pPr>
    </w:p>
    <w:p w14:paraId="69FBF2A2" w14:textId="77777777" w:rsidR="00093845" w:rsidRDefault="000D779E">
      <w:pPr>
        <w:pStyle w:val="tajtip"/>
        <w:spacing w:before="0" w:beforeAutospacing="0" w:after="0" w:afterAutospacing="0"/>
        <w:ind w:firstLine="567"/>
        <w:jc w:val="both"/>
        <w:rPr>
          <w:b/>
          <w:bCs/>
        </w:rPr>
      </w:pPr>
      <w:r>
        <w:rPr>
          <w:rFonts w:ascii="Arial" w:hAnsi="Arial" w:cs="Arial"/>
          <w:sz w:val="22"/>
          <w:szCs w:val="22"/>
        </w:rPr>
        <w:t> </w:t>
      </w:r>
      <w:r>
        <w:rPr>
          <w:b/>
          <w:bCs/>
        </w:rPr>
        <w:t>2) draudimo paslaugos, tiesiogiai susijusios su tarptautiniu vežimu jūrų laivais;</w:t>
      </w:r>
    </w:p>
    <w:p w14:paraId="0198315C" w14:textId="77777777" w:rsidR="00093845" w:rsidRDefault="000D779E">
      <w:pPr>
        <w:pStyle w:val="tajtip"/>
        <w:spacing w:before="0" w:beforeAutospacing="0" w:after="0" w:afterAutospacing="0"/>
        <w:ind w:firstLine="567"/>
        <w:jc w:val="both"/>
      </w:pPr>
      <w:r>
        <w:t> </w:t>
      </w:r>
      <w:r>
        <w:rPr>
          <w:b/>
          <w:bCs/>
        </w:rPr>
        <w:t>Komentaras</w:t>
      </w:r>
    </w:p>
    <w:p w14:paraId="46AA373E" w14:textId="77777777" w:rsidR="00093845" w:rsidRDefault="00093845">
      <w:pPr>
        <w:pStyle w:val="tajtip"/>
        <w:spacing w:before="0" w:beforeAutospacing="0" w:after="0" w:afterAutospacing="0"/>
        <w:ind w:firstLine="567"/>
        <w:jc w:val="both"/>
      </w:pPr>
    </w:p>
    <w:p w14:paraId="0B160E6F" w14:textId="77777777" w:rsidR="00093845" w:rsidRDefault="000D779E">
      <w:pPr>
        <w:pStyle w:val="tajtip"/>
        <w:spacing w:before="0" w:beforeAutospacing="0" w:after="0" w:afterAutospacing="0"/>
        <w:ind w:firstLine="567"/>
        <w:jc w:val="both"/>
      </w:pPr>
      <w:r>
        <w:t>Su tarptautiniu vežimu jūrų laivais tiesiogiai susijusia veikla taip pat laikomos ir jūrų laivais, nuo kurių naudingos talpos (toliau – NT) mokamas fiksuotas pelno mokestis, gabenamų krovinių ir/ar keleivių draudimo ar draudimo tarpininkavimo paslaugos, kurias teikia vienetas, todėl apmokestinant tokias pajamas taip pat taikoma fiksuoto pelno mokesčio apskaičiavimo tvarka.</w:t>
      </w:r>
    </w:p>
    <w:p w14:paraId="68346D26" w14:textId="77777777" w:rsidR="00093845" w:rsidRDefault="00093845">
      <w:pPr>
        <w:pStyle w:val="tajtip"/>
        <w:spacing w:before="0" w:beforeAutospacing="0" w:after="0" w:afterAutospacing="0"/>
        <w:ind w:firstLine="567"/>
        <w:jc w:val="both"/>
      </w:pPr>
    </w:p>
    <w:p w14:paraId="3E4C26D1" w14:textId="77777777" w:rsidR="00093845" w:rsidRDefault="000D779E">
      <w:pPr>
        <w:pStyle w:val="tajtip"/>
        <w:spacing w:before="0" w:beforeAutospacing="0" w:after="0" w:afterAutospacing="0"/>
        <w:ind w:firstLine="567"/>
        <w:jc w:val="both"/>
        <w:rPr>
          <w:b/>
          <w:bCs/>
        </w:rPr>
      </w:pPr>
      <w:r>
        <w:t> </w:t>
      </w:r>
      <w:r>
        <w:rPr>
          <w:b/>
          <w:bCs/>
        </w:rPr>
        <w:t>3) keleivių įlaipinimo į jūrų laivus ir (arba) išlaipinimo iš jų paslaugos;</w:t>
      </w:r>
    </w:p>
    <w:p w14:paraId="0A79FBDE" w14:textId="77777777" w:rsidR="00093845" w:rsidRDefault="000D779E">
      <w:pPr>
        <w:pStyle w:val="tajtip"/>
        <w:spacing w:before="0" w:beforeAutospacing="0" w:after="0" w:afterAutospacing="0"/>
        <w:ind w:firstLine="567"/>
        <w:jc w:val="both"/>
      </w:pPr>
      <w:r>
        <w:t> </w:t>
      </w:r>
    </w:p>
    <w:p w14:paraId="04C02242" w14:textId="77777777" w:rsidR="00093845" w:rsidRDefault="000D779E">
      <w:pPr>
        <w:pStyle w:val="tajtip"/>
        <w:spacing w:before="0" w:beforeAutospacing="0" w:after="0" w:afterAutospacing="0"/>
        <w:ind w:firstLine="567"/>
        <w:jc w:val="both"/>
      </w:pPr>
      <w:r>
        <w:rPr>
          <w:b/>
          <w:bCs/>
        </w:rPr>
        <w:t>Komentaras</w:t>
      </w:r>
    </w:p>
    <w:p w14:paraId="59EEF0B4" w14:textId="77777777" w:rsidR="00093845" w:rsidRDefault="000D779E">
      <w:pPr>
        <w:pStyle w:val="tajtip"/>
        <w:spacing w:before="0" w:beforeAutospacing="0" w:after="0" w:afterAutospacing="0"/>
        <w:ind w:firstLine="567"/>
        <w:jc w:val="both"/>
      </w:pPr>
      <w:r>
        <w:t xml:space="preserve">Keleivių įlaipinimas į ir/ar išlaipinimas iš laivybos vieneto valdomų jūrų laivų, kuriais vykdomas tarptautinis vežimas, laikytinas su tarptautiniu vežimu jūrų laivais susijusia veikla. Keleivių įlaipinimo ir išlaipinimo paslaugos, teikiamos trečiosioms šalims, pavyzdžiui, pagal sutartis su kitais laivybos vienetais, nelaikytinos su vieneto vykdomu tarptautiniu vežimu jūrų laivais tiesiogiai susijusia veikla, todėl šios veiklos pajamos (patiriamos sąnaudos) nepriskirtinos laivybos vieneto vykdomos tarptautinio vežimo jūrų laivais ir su tuo tiesiogiai susijusios veiklos pajamoms (sąnaudoms). </w:t>
      </w:r>
    </w:p>
    <w:p w14:paraId="3E95021B" w14:textId="77777777" w:rsidR="00093845" w:rsidRDefault="00093845">
      <w:pPr>
        <w:pStyle w:val="tajtip"/>
        <w:spacing w:before="0" w:beforeAutospacing="0" w:after="0" w:afterAutospacing="0"/>
        <w:ind w:firstLine="567"/>
        <w:jc w:val="both"/>
      </w:pPr>
    </w:p>
    <w:p w14:paraId="757EA20B" w14:textId="77777777" w:rsidR="00093845" w:rsidRDefault="000D779E">
      <w:pPr>
        <w:pStyle w:val="tajtip"/>
        <w:spacing w:before="0" w:beforeAutospacing="0" w:after="0" w:afterAutospacing="0"/>
        <w:ind w:firstLine="567"/>
        <w:jc w:val="both"/>
        <w:rPr>
          <w:b/>
          <w:bCs/>
        </w:rPr>
      </w:pPr>
      <w:r>
        <w:t> </w:t>
      </w:r>
      <w:r>
        <w:rPr>
          <w:b/>
          <w:bCs/>
        </w:rPr>
        <w:t>4) krovinių pakrovimo į jūrų laivus ir (arba) iškrovimo iš jų paslaugos, įskaitant krovinių perkėlimą arba įpakavimą ir (arba) išpakavimą prieš pakrovimą arba netrukus po iškrovimo;</w:t>
      </w:r>
    </w:p>
    <w:p w14:paraId="161B70D7" w14:textId="77777777" w:rsidR="00093845" w:rsidRDefault="000D779E">
      <w:pPr>
        <w:pStyle w:val="tajtip"/>
        <w:spacing w:before="0" w:beforeAutospacing="0" w:after="0" w:afterAutospacing="0"/>
        <w:ind w:firstLine="567"/>
        <w:jc w:val="both"/>
      </w:pPr>
      <w:r>
        <w:t> </w:t>
      </w:r>
    </w:p>
    <w:p w14:paraId="35C4B0DD" w14:textId="77777777" w:rsidR="00093845" w:rsidRDefault="000D779E">
      <w:pPr>
        <w:pStyle w:val="tajtip"/>
        <w:spacing w:before="0" w:beforeAutospacing="0" w:after="0" w:afterAutospacing="0"/>
        <w:ind w:firstLine="567"/>
        <w:jc w:val="both"/>
      </w:pPr>
      <w:r>
        <w:rPr>
          <w:b/>
          <w:bCs/>
        </w:rPr>
        <w:t>Komentaras</w:t>
      </w:r>
    </w:p>
    <w:p w14:paraId="55C1D012" w14:textId="77777777" w:rsidR="00093845" w:rsidRDefault="000D779E">
      <w:pPr>
        <w:pStyle w:val="tajtip"/>
        <w:spacing w:before="0" w:beforeAutospacing="0" w:after="0" w:afterAutospacing="0"/>
        <w:ind w:firstLine="567"/>
        <w:jc w:val="both"/>
      </w:pPr>
      <w:r>
        <w:t xml:space="preserve">Su tarptautiniu vežimu jūrų laivais tiesiogiai susijusiai veiklai priskiriama ir krovinių pakrovimo į jūrų laivus, kuriais laivybos vienetas vykdo tarptautinį vežimą, ir jų iškrovimo veikla. Ši veikla taip pat apima prieš pakrovimą arba netrukus po iškrovimo teikiamas minėtų krovinių perkėlimo, įpakavimo ir/arba išpakavimo paslaugas, jeigu jos yra įprastos gabenant atitinkamos rūšies krovinius. Minėtos paslaugos, teikiamos trečiosioms šalims pakraunant, iškraunant, pakuojant ar išpakuojant krovinius, kuriuos jūrų laivų tarptautiniais maršrutais gabeno, gabena ar gabens ne pats šias paslaugas teikiantis laivybos vienetas, nėra su to laivybos vieneto vykdomu tarptautiniu vežimu jūrų laivais tiesiogiai susijusi veikla, todėl iš jos gaunamos pajamos apmokestinamos taikant bendrąsias apmokestinimo pelno mokesčiu taisykles. </w:t>
      </w:r>
    </w:p>
    <w:p w14:paraId="07582ED0" w14:textId="77777777" w:rsidR="00093845" w:rsidRDefault="000D779E">
      <w:pPr>
        <w:pStyle w:val="tajtip"/>
        <w:spacing w:before="0" w:beforeAutospacing="0" w:after="0" w:afterAutospacing="0"/>
        <w:ind w:firstLine="567"/>
        <w:jc w:val="both"/>
      </w:pPr>
      <w:r>
        <w:t> </w:t>
      </w:r>
    </w:p>
    <w:p w14:paraId="5D08A718" w14:textId="77777777" w:rsidR="00093845" w:rsidRDefault="000D779E">
      <w:pPr>
        <w:pStyle w:val="tajtip"/>
        <w:spacing w:before="0" w:beforeAutospacing="0" w:after="0" w:afterAutospacing="0"/>
        <w:ind w:firstLine="567"/>
        <w:jc w:val="both"/>
        <w:rPr>
          <w:b/>
          <w:bCs/>
        </w:rPr>
      </w:pPr>
      <w:r>
        <w:rPr>
          <w:b/>
          <w:bCs/>
        </w:rPr>
        <w:t>5) konteinerių, būtinų prekėms vežti jūrų laive, išnuomojimas ar kitoks tiekimas užsakovui;</w:t>
      </w:r>
    </w:p>
    <w:p w14:paraId="2FFF3323" w14:textId="77777777" w:rsidR="00093845" w:rsidRDefault="000D779E">
      <w:pPr>
        <w:pStyle w:val="tajtip"/>
        <w:spacing w:before="0" w:beforeAutospacing="0" w:after="0" w:afterAutospacing="0"/>
        <w:ind w:firstLine="567"/>
        <w:jc w:val="both"/>
      </w:pPr>
      <w:r>
        <w:rPr>
          <w:b/>
          <w:bCs/>
        </w:rPr>
        <w:t>Komentaras</w:t>
      </w:r>
    </w:p>
    <w:p w14:paraId="6C59A35F" w14:textId="77777777" w:rsidR="00093845" w:rsidRDefault="000D779E">
      <w:pPr>
        <w:pStyle w:val="tajtip"/>
        <w:spacing w:before="0" w:beforeAutospacing="0" w:after="0" w:afterAutospacing="0"/>
        <w:ind w:firstLine="567"/>
        <w:jc w:val="both"/>
      </w:pPr>
      <w:r>
        <w:t xml:space="preserve">Konteinerių ar kitų daugkartinio naudojimo talpyklų, skirtų kroviniams vežti jūrų laivais, nuoma ar kitoks suteikimas klientams, laivybos vienetui vykdant tarptautinį krovinių gabenimą jūrų laivais, laikytina veikla, iš kurios gaunamos pajamos gali būti apmokestinamos fiksuotu pelno mokesčiu. Jeigu konteinerių ar kitų talpyklų nuoma laivybos vienetas verčiasi kaip papildoma veikla ir šie išnuomoti konteineriai (talpyklos) naudojami ne pačiam laivybos vienetui atliekant tarptautinį krovinių gabenimą </w:t>
      </w:r>
      <w:r>
        <w:lastRenderedPageBreak/>
        <w:t>jūrų laivais, iš šios veiklos gaunamos pajamos nepriskiriamos laivybos vieneto pajamoms iš tarptautinio gabenimo jūrų laivais ir jos apmokestinamos taikant bendrąsias apmokestinimo pelno mokesčiu taisykles.</w:t>
      </w:r>
    </w:p>
    <w:p w14:paraId="45DD75AA" w14:textId="77777777" w:rsidR="00093845" w:rsidRDefault="000D779E">
      <w:pPr>
        <w:pStyle w:val="tajtip"/>
        <w:spacing w:before="0" w:beforeAutospacing="0" w:after="0" w:afterAutospacing="0"/>
        <w:ind w:firstLine="567"/>
        <w:jc w:val="both"/>
      </w:pPr>
      <w:r>
        <w:t> </w:t>
      </w:r>
    </w:p>
    <w:p w14:paraId="5BF7C1DD" w14:textId="77777777" w:rsidR="00093845" w:rsidRDefault="000D779E">
      <w:pPr>
        <w:pStyle w:val="tajtip"/>
        <w:spacing w:before="0" w:beforeAutospacing="0" w:after="0" w:afterAutospacing="0"/>
        <w:ind w:firstLine="567"/>
        <w:jc w:val="both"/>
        <w:rPr>
          <w:b/>
        </w:rPr>
      </w:pPr>
      <w:r>
        <w:rPr>
          <w:b/>
        </w:rPr>
        <w:t>6)  paslaugų, būtinų jūrų laive ir suteikiamų pačiame jūrų laive, teikimas ir prekių, reikalingų naudoti ar naudojamų jūrų laive, pardavimas tarptautinio keleivių vežimo metu, išskyrus prabangos paslaugų (lošimai ir stalo žaidimai, ekskursijos keleiviams ir kt.) teikimą ir prabangos prekių (juvelyrinių dirbinių, suvenyrų ir kt.) pardavimą;</w:t>
      </w:r>
    </w:p>
    <w:p w14:paraId="4AD52396" w14:textId="77777777" w:rsidR="00093845" w:rsidRDefault="00093845">
      <w:pPr>
        <w:pStyle w:val="tajtip"/>
        <w:spacing w:before="0" w:beforeAutospacing="0" w:after="0" w:afterAutospacing="0"/>
        <w:ind w:firstLine="567"/>
        <w:jc w:val="both"/>
        <w:rPr>
          <w:b/>
          <w:bCs/>
        </w:rPr>
      </w:pPr>
    </w:p>
    <w:p w14:paraId="6DC30556" w14:textId="77777777" w:rsidR="00093845" w:rsidRDefault="000D779E">
      <w:pPr>
        <w:pStyle w:val="tajtip"/>
        <w:spacing w:before="0" w:beforeAutospacing="0" w:after="0" w:afterAutospacing="0"/>
        <w:ind w:firstLine="567"/>
        <w:jc w:val="both"/>
      </w:pPr>
      <w:r>
        <w:rPr>
          <w:b/>
          <w:bCs/>
        </w:rPr>
        <w:t>Komentaras</w:t>
      </w:r>
    </w:p>
    <w:p w14:paraId="6DB097E5" w14:textId="77777777" w:rsidR="00093845" w:rsidRDefault="000D779E">
      <w:pPr>
        <w:pStyle w:val="tajtip"/>
        <w:spacing w:before="0" w:beforeAutospacing="0" w:after="0" w:afterAutospacing="0"/>
        <w:ind w:firstLine="567"/>
        <w:jc w:val="both"/>
      </w:pPr>
      <w:r>
        <w:t>1. Su tarptautiniu vežimu jūrų laivais susijusiai veiklai priskiriama būtinų jūrų laive ir jūrų laive teikiamų paslaugų, taip pat jūrų laive reikalingų naudoti bei naudojamų jame prekių pardavimo veikla. Atsižvelgiant į tarptautinio vežimo jūrų laivais pobūdį, būtinuosius keleivių poreikius, tokioms paslaugoms galėtų būti priskiriamos keleivių maitinimo, sveikatos priežiūros ir panašios paslaugos, o parduodamomis prekėmis laikytini maisto produktai, gėrimai, taip pat įvairūs kelionės metu naudotini reikmenys.</w:t>
      </w:r>
    </w:p>
    <w:p w14:paraId="2AC01C83" w14:textId="77777777" w:rsidR="00093845" w:rsidRDefault="000D779E">
      <w:pPr>
        <w:pStyle w:val="tajtip"/>
        <w:spacing w:before="0" w:beforeAutospacing="0" w:after="0" w:afterAutospacing="0"/>
        <w:ind w:firstLine="567"/>
        <w:jc w:val="both"/>
      </w:pPr>
      <w:r>
        <w:t xml:space="preserve">2. Prabangos prekių tiekimo ir/ar paslaugų teikimo veikla nelaikoma su tarptautiniu vežimu jūrų laivais tiesiogiai susijusia veikla, todėl laivybos vieneto iš jūrų laive organizuotų azartinių lošimų, lažybų, seminarų, konferencijų, pažintinių ekskursijų keleiviams ir pan., taip pat iš prekiavimo juvelyriniais dirbiniais, suvenyrais, prekių, kurios nėra naudojamos jūrų laive ir keleiviams </w:t>
      </w:r>
      <w:r>
        <w:rPr>
          <w:strike/>
        </w:rPr>
        <w:t>pa</w:t>
      </w:r>
      <w:r>
        <w:t xml:space="preserve">tiekiamos ne tarptautinio vežimo metu, užsakymų priėmimo, pardavinėjimo kitų prabangos ir laisvalaikio prekių, kurios nėra skirtos naudoti jūrų laivuose ar juose paprastai nenaudojamos, gautos pajamos apmokestinamos taikant bendrąsias apmokestinimo pelno mokesčiu taisykles. Laivybos vieneto vykdomas bet kokių prekių tiekimas ir/ar paslaugų teikimas jūrų laive ne tarptautinio vežimo metu, išskyrus laiką prieš pat ar iškart po vežimo (įlaipinant ar išlaipinant keleivius, įlaipinus keleivius ir negalint pradėti vežimo dėl nepalankių meteorologinių sąlygų ir pan.), nelaikoma su tarptautiniu vežimu jūrų laivais tiesiogiai susijusia veikla. </w:t>
      </w:r>
    </w:p>
    <w:p w14:paraId="27128BDB" w14:textId="77777777" w:rsidR="00093845" w:rsidRDefault="000D779E">
      <w:pPr>
        <w:pStyle w:val="tajtip"/>
        <w:spacing w:before="0" w:beforeAutospacing="0" w:after="0" w:afterAutospacing="0"/>
        <w:ind w:firstLine="567"/>
        <w:jc w:val="both"/>
      </w:pPr>
      <w:r>
        <w:t> </w:t>
      </w:r>
    </w:p>
    <w:p w14:paraId="0D8C283A" w14:textId="77777777" w:rsidR="00093845" w:rsidRDefault="000D779E">
      <w:pPr>
        <w:pStyle w:val="tajtip"/>
        <w:spacing w:before="0" w:beforeAutospacing="0" w:after="0" w:afterAutospacing="0"/>
        <w:ind w:firstLine="567"/>
        <w:jc w:val="both"/>
        <w:rPr>
          <w:b/>
          <w:bCs/>
        </w:rPr>
      </w:pPr>
      <w:r>
        <w:rPr>
          <w:b/>
          <w:bCs/>
        </w:rPr>
        <w:t>7) gelbėjimo ir kitos pagalbos jūroje paslaugos, kai jas jūroje suteikia jūrų laivas;</w:t>
      </w:r>
    </w:p>
    <w:p w14:paraId="54F0007A" w14:textId="77777777" w:rsidR="00093845" w:rsidRDefault="00093845">
      <w:pPr>
        <w:pStyle w:val="tajtip"/>
        <w:spacing w:before="0" w:beforeAutospacing="0" w:after="0" w:afterAutospacing="0"/>
        <w:ind w:firstLine="567"/>
        <w:jc w:val="both"/>
        <w:rPr>
          <w:b/>
          <w:bCs/>
        </w:rPr>
      </w:pPr>
    </w:p>
    <w:p w14:paraId="164F2622" w14:textId="77777777" w:rsidR="00093845" w:rsidRDefault="000D779E">
      <w:pPr>
        <w:pStyle w:val="tajtip"/>
        <w:spacing w:before="0" w:beforeAutospacing="0" w:after="0" w:afterAutospacing="0"/>
        <w:ind w:firstLine="567"/>
        <w:jc w:val="both"/>
      </w:pPr>
      <w:r>
        <w:rPr>
          <w:b/>
          <w:bCs/>
        </w:rPr>
        <w:t>Komentaras</w:t>
      </w:r>
    </w:p>
    <w:p w14:paraId="7576A9B6" w14:textId="77777777" w:rsidR="00093845" w:rsidRDefault="000D779E">
      <w:pPr>
        <w:pStyle w:val="tajtip"/>
        <w:spacing w:before="0" w:beforeAutospacing="0" w:after="0" w:afterAutospacing="0"/>
        <w:ind w:firstLine="567"/>
        <w:jc w:val="both"/>
      </w:pPr>
      <w:r>
        <w:t>Tarptautinio vežimo jūrų laivais ir su tuo tiesiogiai susijusios veiklos pajamoms ir sąnaudoms taip pat priskiriamos laivybos vieneto pajamos bei atitinkamos sąnaudos, keleiviams ir/ar kroviniams gabenti skirtu jūrų laivu teikiant vilkimo, gelbėjimo ar kitokios pagalbos jūroje paslaugas. Pabrėžtina, kad gelbėjimo paslaugos, teikiamos specialiai šiai veiklai pritaikytais laivais (o ne krovininiais, konteineriniais, tanklaiviais, keleiviniais įvažiuojamaisiais ar kruiziniais jūrų laivais), nelaikomos su tarptautiniu vežimu jūrų laivais tiesiogiai susijusia veikla. Gelbėjimo paslaugų jūroje teikimo veikla šiuo atveju turėtų būti atsitiktinė, o ne pagrindinė ar viena iš pagrindinių laivybos vieneto vykdomos veiklos rūšių.</w:t>
      </w:r>
    </w:p>
    <w:p w14:paraId="64599045" w14:textId="77777777" w:rsidR="00093845" w:rsidRDefault="00093845">
      <w:pPr>
        <w:pStyle w:val="tajtip"/>
        <w:spacing w:before="0" w:beforeAutospacing="0" w:after="0" w:afterAutospacing="0"/>
        <w:ind w:firstLine="567"/>
        <w:rPr>
          <w:rFonts w:ascii="Arial" w:hAnsi="Arial" w:cs="Arial"/>
          <w:sz w:val="22"/>
          <w:szCs w:val="22"/>
        </w:rPr>
      </w:pPr>
    </w:p>
    <w:p w14:paraId="5B00894C" w14:textId="77777777" w:rsidR="00093845" w:rsidRPr="0065344A" w:rsidRDefault="000D779E">
      <w:pPr>
        <w:ind w:firstLine="567"/>
        <w:jc w:val="both"/>
        <w:rPr>
          <w:b/>
          <w:lang w:val="lt-LT" w:eastAsia="lt-LT"/>
        </w:rPr>
      </w:pPr>
      <w:r w:rsidRPr="0065344A">
        <w:rPr>
          <w:lang w:val="lt-LT"/>
        </w:rPr>
        <w:t> </w:t>
      </w:r>
      <w:r w:rsidRPr="0065344A">
        <w:rPr>
          <w:b/>
          <w:lang w:val="lt-LT" w:eastAsia="lt-LT"/>
        </w:rPr>
        <w:t>8) laivybos vieneto nuosavybės teise valdomo jūrų laivo išnuomojimas pagal laivo nuomos be įgulos sutartį (</w:t>
      </w:r>
      <w:r w:rsidRPr="0065344A">
        <w:rPr>
          <w:b/>
          <w:i/>
          <w:lang w:val="lt-LT" w:eastAsia="lt-LT"/>
        </w:rPr>
        <w:t>bareboat charter out</w:t>
      </w:r>
      <w:r w:rsidRPr="0065344A">
        <w:rPr>
          <w:b/>
          <w:lang w:val="lt-LT" w:eastAsia="lt-LT"/>
        </w:rPr>
        <w:t>), kai pajamos pagal šią sutartį gaunamos ne ilgiau negu trejus metus, o toks išnuomojimas yra susijęs su laikinu laivybos vieneto jūrų laivų tonažo pertekliumi ir jūrų laivas, išnuomojamas pagal laivo nuomos be įgulos sutartį (</w:t>
      </w:r>
      <w:r w:rsidRPr="0065344A">
        <w:rPr>
          <w:b/>
          <w:i/>
          <w:lang w:val="lt-LT" w:eastAsia="lt-LT"/>
        </w:rPr>
        <w:t>bareboat charter out</w:t>
      </w:r>
      <w:r w:rsidRPr="0065344A">
        <w:rPr>
          <w:b/>
          <w:lang w:val="lt-LT" w:eastAsia="lt-LT"/>
        </w:rPr>
        <w:t>), nebuvo įsigytas ar išsinuomotas pagal laivo nuomos be įgulos sutartį (</w:t>
      </w:r>
      <w:r w:rsidRPr="0065344A">
        <w:rPr>
          <w:b/>
          <w:i/>
          <w:lang w:val="lt-LT" w:eastAsia="lt-LT"/>
        </w:rPr>
        <w:t>bareboat charter in</w:t>
      </w:r>
      <w:r w:rsidRPr="0065344A">
        <w:rPr>
          <w:b/>
          <w:lang w:val="lt-LT" w:eastAsia="lt-LT"/>
        </w:rPr>
        <w:t>) vien tam, kad būtų išnuomotas pagal laivo nuomos be įgulos sutartį (</w:t>
      </w:r>
      <w:r w:rsidRPr="0065344A">
        <w:rPr>
          <w:b/>
          <w:i/>
          <w:lang w:val="lt-LT" w:eastAsia="lt-LT"/>
        </w:rPr>
        <w:t>bareboat charter out</w:t>
      </w:r>
      <w:r w:rsidRPr="0065344A">
        <w:rPr>
          <w:b/>
          <w:lang w:val="lt-LT" w:eastAsia="lt-LT"/>
        </w:rPr>
        <w:t>);</w:t>
      </w:r>
    </w:p>
    <w:p w14:paraId="3EA00778" w14:textId="77777777" w:rsidR="00093845" w:rsidRDefault="00093845">
      <w:pPr>
        <w:pStyle w:val="tajtip"/>
        <w:spacing w:before="0" w:beforeAutospacing="0" w:after="0" w:afterAutospacing="0"/>
        <w:ind w:firstLine="567"/>
        <w:rPr>
          <w:b/>
          <w:bCs/>
        </w:rPr>
      </w:pPr>
    </w:p>
    <w:p w14:paraId="1C4B5EC9" w14:textId="77777777" w:rsidR="00093845" w:rsidRDefault="000D779E">
      <w:pPr>
        <w:pStyle w:val="tajtip"/>
        <w:spacing w:before="0" w:beforeAutospacing="0" w:after="0" w:afterAutospacing="0"/>
        <w:ind w:firstLine="567"/>
        <w:rPr>
          <w:b/>
          <w:bCs/>
        </w:rPr>
      </w:pPr>
      <w:r>
        <w:rPr>
          <w:b/>
          <w:bCs/>
        </w:rPr>
        <w:t>Komentaras</w:t>
      </w:r>
    </w:p>
    <w:p w14:paraId="128016D8" w14:textId="77777777" w:rsidR="000C7FFC" w:rsidRDefault="000C7FFC">
      <w:pPr>
        <w:pStyle w:val="tajtip"/>
        <w:spacing w:before="0" w:beforeAutospacing="0" w:after="0" w:afterAutospacing="0"/>
        <w:ind w:firstLine="567"/>
      </w:pPr>
    </w:p>
    <w:p w14:paraId="56F91D6E" w14:textId="77777777" w:rsidR="00093845" w:rsidRPr="0065344A" w:rsidRDefault="000D779E">
      <w:pPr>
        <w:ind w:firstLine="567"/>
        <w:jc w:val="both"/>
        <w:rPr>
          <w:bCs/>
          <w:lang w:val="lt-LT"/>
        </w:rPr>
      </w:pPr>
      <w:r w:rsidRPr="0065344A">
        <w:rPr>
          <w:lang w:val="lt-LT" w:eastAsia="lt-LT"/>
        </w:rPr>
        <w:lastRenderedPageBreak/>
        <w:t>Laivybos vieneto nuosavybės teise valdomo jūrų laivo išnuomojimas</w:t>
      </w:r>
      <w:r w:rsidRPr="0065344A">
        <w:rPr>
          <w:lang w:val="lt-LT"/>
        </w:rPr>
        <w:t> </w:t>
      </w:r>
      <w:r w:rsidRPr="0065344A">
        <w:rPr>
          <w:bCs/>
          <w:lang w:val="lt-LT"/>
        </w:rPr>
        <w:t>pagal laivo nuomos be įgulos sutartį (</w:t>
      </w:r>
      <w:r w:rsidRPr="0065344A">
        <w:rPr>
          <w:bCs/>
          <w:i/>
          <w:lang w:val="lt-LT"/>
        </w:rPr>
        <w:t>bareboat charter out</w:t>
      </w:r>
      <w:r w:rsidRPr="0065344A">
        <w:rPr>
          <w:i/>
          <w:lang w:val="lt-LT"/>
        </w:rPr>
        <w:t xml:space="preserve">) </w:t>
      </w:r>
      <w:r w:rsidRPr="0065344A">
        <w:rPr>
          <w:bCs/>
          <w:lang w:val="lt-LT"/>
        </w:rPr>
        <w:t xml:space="preserve">priskiriamas su tarptautiniu vežimu jūrų laivais tiesiogiai susijusiai veiklai. </w:t>
      </w:r>
    </w:p>
    <w:p w14:paraId="2DEAF14F" w14:textId="77777777" w:rsidR="00093845" w:rsidRDefault="000D779E">
      <w:pPr>
        <w:pStyle w:val="tajtip"/>
        <w:spacing w:before="0" w:beforeAutospacing="0" w:after="0" w:afterAutospacing="0"/>
        <w:ind w:firstLine="567"/>
        <w:jc w:val="both"/>
      </w:pPr>
      <w:r>
        <w:t>Laivybos vieneto pajamos pagal nuosavybės teise valdomo jūrų laivo išnuomojimo be įgulos sutartį (bareboat charter out) gali būti gaunamos ne ilgiau negu trejus metus, o toks išnuomojimas yra susijęs su laikinu laivybos vieneto jūrų laivų tonažo pertekliumi ir jūrų laivas, išnuomojamas pagal laivo nuomos be įgulos sutartį (</w:t>
      </w:r>
      <w:r>
        <w:rPr>
          <w:i/>
        </w:rPr>
        <w:t>bareboat charter out</w:t>
      </w:r>
      <w:r>
        <w:t>), nebuvo įsigytas ar išsinuomotas pagal laivo nuomos be įgulos sutartį (</w:t>
      </w:r>
      <w:r>
        <w:rPr>
          <w:i/>
        </w:rPr>
        <w:t>bareboat charter in</w:t>
      </w:r>
      <w:r>
        <w:t>) vien tam, kad būtų išnuomotas pagal laivo nuomos be įgulos sutartį (</w:t>
      </w:r>
      <w:r>
        <w:rPr>
          <w:i/>
        </w:rPr>
        <w:t>bareboat charter out</w:t>
      </w:r>
      <w:r>
        <w:t>).</w:t>
      </w:r>
    </w:p>
    <w:p w14:paraId="29383034" w14:textId="77777777" w:rsidR="00093845" w:rsidRDefault="00093845">
      <w:pPr>
        <w:pStyle w:val="tajtip"/>
        <w:spacing w:before="0" w:beforeAutospacing="0" w:after="0" w:afterAutospacing="0"/>
        <w:ind w:firstLine="567"/>
        <w:jc w:val="both"/>
        <w:rPr>
          <w:b/>
          <w:bCs/>
          <w:strike/>
        </w:rPr>
      </w:pPr>
    </w:p>
    <w:p w14:paraId="6B9DFFD3" w14:textId="77777777" w:rsidR="00093845" w:rsidRPr="0065344A" w:rsidRDefault="000D779E">
      <w:pPr>
        <w:ind w:firstLine="567"/>
        <w:jc w:val="both"/>
        <w:rPr>
          <w:b/>
          <w:lang w:val="lt-LT" w:eastAsia="lt-LT"/>
        </w:rPr>
      </w:pPr>
      <w:r w:rsidRPr="0065344A">
        <w:rPr>
          <w:b/>
          <w:lang w:val="lt-LT" w:eastAsia="lt-LT"/>
        </w:rPr>
        <w:t>9) trumpalaikės investicijos iš mokestinio laikotarpio pajamų, gautų iš tarptautinio vežimo jūrų laivais ir (arba) su tarptautiniu vežimu jūrų laivais tiesiogiai susijusių veiklos rūšių;</w:t>
      </w:r>
    </w:p>
    <w:p w14:paraId="276C1FB0" w14:textId="77777777" w:rsidR="00093845" w:rsidRDefault="000D779E">
      <w:pPr>
        <w:pStyle w:val="tajtip"/>
        <w:spacing w:before="0" w:beforeAutospacing="0" w:after="0" w:afterAutospacing="0"/>
        <w:ind w:firstLine="567"/>
        <w:jc w:val="both"/>
        <w:rPr>
          <w:b/>
          <w:bCs/>
        </w:rPr>
      </w:pPr>
      <w:r>
        <w:rPr>
          <w:b/>
          <w:bCs/>
        </w:rPr>
        <w:t>Komentaras</w:t>
      </w:r>
    </w:p>
    <w:p w14:paraId="7A087B46" w14:textId="77777777" w:rsidR="000C7FFC" w:rsidRDefault="000C7FFC">
      <w:pPr>
        <w:pStyle w:val="tajtip"/>
        <w:spacing w:before="0" w:beforeAutospacing="0" w:after="0" w:afterAutospacing="0"/>
        <w:ind w:firstLine="567"/>
        <w:jc w:val="both"/>
      </w:pPr>
    </w:p>
    <w:p w14:paraId="326E328D" w14:textId="77777777" w:rsidR="00093845" w:rsidRDefault="000D779E">
      <w:pPr>
        <w:pStyle w:val="tajtip"/>
        <w:spacing w:before="0" w:beforeAutospacing="0" w:after="0" w:afterAutospacing="0"/>
        <w:ind w:firstLine="567"/>
        <w:jc w:val="both"/>
      </w:pPr>
      <w:r>
        <w:t xml:space="preserve">1. Investavimas apskritai nėra su tarptautiniu vežimu jūrų laivais tiesiogiai susijusi veikla, nes nėra būtina siekiant efektyviai vykdyti keleivių ir krovinių gabenimą jūra tarptautiniais maršrutais, todėl pajamos iš investicijų pelno mokesčiu apmokestinamos bendrąja tvarka. Šiame punkte nustatyta išimtimi su tarptautiniu vežimu jūrų laivais tiesiogiai susijusia veikla pripažįstamas tik trumpalaikis laivybos vieneto mokestinio laikotarpio tarptautinio vežimo jūrų laivais pajamų investavimas. Tai reiškia, jog šių investicijų pelnas (nuostolis) ir joms patiriamos sąnaudos laikomos tarptautinio vežimo jūrų laivais ir su tuo tiesiogiai susijusios veiklos pajamomis (nuostoliais) bei sąnaudomis. </w:t>
      </w:r>
    </w:p>
    <w:p w14:paraId="48962A75" w14:textId="77777777" w:rsidR="00093845" w:rsidRDefault="000D779E">
      <w:pPr>
        <w:pStyle w:val="tajtip"/>
        <w:spacing w:before="0" w:beforeAutospacing="0" w:after="0" w:afterAutospacing="0"/>
        <w:ind w:firstLine="567"/>
        <w:jc w:val="both"/>
      </w:pPr>
      <w:r>
        <w:t xml:space="preserve">2. Trumpalaikių investicijų apibrėžimas </w:t>
      </w:r>
      <w:bookmarkStart w:id="23" w:name="n1_625"/>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24" w:name="pn1_625"/>
      <w:bookmarkEnd w:id="23"/>
      <w:bookmarkEnd w:id="24"/>
      <w:r>
        <w:t xml:space="preserve"> nepateiktas, todėl kiekvienas atvejis turi būti vertintinas individualiai, atsižvelgiant į investavimo tikslus, terminus, pasirinktas priemones. Tipinės pajamos iš trumpalaikių investicijų yra palūkanos už laivybos vieneto banko sąskaitose laikomas lėšas, taip pat pajamos, gautos iš laisvų lėšų laikino investavimo į itin dideliu likvidumu pasižyminčias pinigų rinkos priemones. </w:t>
      </w:r>
    </w:p>
    <w:p w14:paraId="43E79F2C" w14:textId="77777777" w:rsidR="00093845" w:rsidRDefault="000D779E">
      <w:pPr>
        <w:pStyle w:val="tajtip"/>
        <w:spacing w:before="0" w:beforeAutospacing="0" w:after="0" w:afterAutospacing="0"/>
        <w:ind w:firstLine="567"/>
        <w:rPr>
          <w:rFonts w:ascii="Arial" w:hAnsi="Arial" w:cs="Arial"/>
          <w:sz w:val="22"/>
          <w:szCs w:val="22"/>
        </w:rPr>
      </w:pPr>
      <w:r>
        <w:rPr>
          <w:rFonts w:ascii="Arial" w:hAnsi="Arial" w:cs="Arial"/>
          <w:sz w:val="22"/>
          <w:szCs w:val="22"/>
        </w:rPr>
        <w:t> </w:t>
      </w:r>
    </w:p>
    <w:p w14:paraId="27D23E91" w14:textId="77777777" w:rsidR="00093845" w:rsidRDefault="000D779E">
      <w:pPr>
        <w:pStyle w:val="tajtip"/>
        <w:spacing w:before="0" w:beforeAutospacing="0" w:after="0" w:afterAutospacing="0"/>
        <w:ind w:firstLine="567"/>
        <w:rPr>
          <w:b/>
          <w:bCs/>
        </w:rPr>
      </w:pPr>
      <w:r>
        <w:rPr>
          <w:b/>
          <w:bCs/>
        </w:rPr>
        <w:t>10) reklamos ir rinkodaros paslaugos, kai ši veikla susijusi su reklaminės vietos jūrų laivuose išnuomojimu;</w:t>
      </w:r>
    </w:p>
    <w:p w14:paraId="47B70383" w14:textId="77777777" w:rsidR="00093845" w:rsidRDefault="00093845">
      <w:pPr>
        <w:pStyle w:val="tajtip"/>
        <w:spacing w:before="0" w:beforeAutospacing="0" w:after="0" w:afterAutospacing="0"/>
        <w:ind w:firstLine="567"/>
        <w:jc w:val="both"/>
        <w:rPr>
          <w:b/>
          <w:bCs/>
        </w:rPr>
      </w:pPr>
    </w:p>
    <w:p w14:paraId="530E9354" w14:textId="77777777" w:rsidR="00093845" w:rsidRDefault="000D779E">
      <w:pPr>
        <w:pStyle w:val="tajtip"/>
        <w:spacing w:before="0" w:beforeAutospacing="0" w:after="0" w:afterAutospacing="0"/>
        <w:ind w:firstLine="567"/>
        <w:jc w:val="both"/>
      </w:pPr>
      <w:r>
        <w:rPr>
          <w:b/>
          <w:bCs/>
        </w:rPr>
        <w:t>Komentaras</w:t>
      </w:r>
    </w:p>
    <w:p w14:paraId="7136D614" w14:textId="77777777" w:rsidR="00093845" w:rsidRDefault="000D779E">
      <w:pPr>
        <w:pStyle w:val="tajtip"/>
        <w:spacing w:before="0" w:beforeAutospacing="0" w:after="0" w:afterAutospacing="0"/>
        <w:ind w:firstLine="567"/>
        <w:jc w:val="both"/>
      </w:pPr>
      <w:r>
        <w:t>Pajamos, kurias laivybos vienetas gauna už reklamos plotų jūrų laive išnuomojimą, įskaitant reklamos transliavimus jūrų laivuose įrengtuose ekranuose bei kitokį vaizdinės ar garsinės reklaminio turinio informacijos skleidimą, laikomos laivybos vieneto pajamomis, susijusiomis su tarptautiniu vežimu jūrų laivais. Atlygis už reklaminės medžiagos (plakatų, vaizdo klipų, garso įrašų ir pan.) kūrimą, gamybą taip pat įvairių rinkodaros tyrimų ar renginių organizavimą ir/ar patalpų šiems renginiams išnuomojimą jūrų laive ar kitų panašių paslaugų teikimą trečiosioms šalims, nelaikomos tiesiogiai su laivybos vieneto vykdomais vežimais jūrų laivais tiesiogiai susijusia veikla, todėl pajamos iš šios veiklos pelno mokesčiu apmokestinamos bendra tvarka.</w:t>
      </w:r>
    </w:p>
    <w:p w14:paraId="5FBFB1ED" w14:textId="77777777" w:rsidR="00093845" w:rsidRDefault="00093845">
      <w:pPr>
        <w:pStyle w:val="tajtip"/>
        <w:spacing w:before="0" w:beforeAutospacing="0" w:after="0" w:afterAutospacing="0"/>
        <w:ind w:firstLine="567"/>
        <w:rPr>
          <w:rFonts w:ascii="Arial" w:hAnsi="Arial" w:cs="Arial"/>
          <w:sz w:val="22"/>
          <w:szCs w:val="22"/>
        </w:rPr>
      </w:pPr>
    </w:p>
    <w:p w14:paraId="5819CA41" w14:textId="77777777" w:rsidR="00093845" w:rsidRDefault="000D779E">
      <w:pPr>
        <w:pStyle w:val="tajtip"/>
        <w:spacing w:before="0" w:beforeAutospacing="0" w:after="0" w:afterAutospacing="0"/>
        <w:ind w:firstLine="567"/>
        <w:rPr>
          <w:b/>
          <w:bCs/>
        </w:rPr>
      </w:pPr>
      <w:r>
        <w:rPr>
          <w:rFonts w:ascii="Arial" w:hAnsi="Arial" w:cs="Arial"/>
          <w:sz w:val="22"/>
          <w:szCs w:val="22"/>
        </w:rPr>
        <w:t> </w:t>
      </w:r>
      <w:r>
        <w:rPr>
          <w:b/>
          <w:bCs/>
        </w:rPr>
        <w:t>11) agentų ir laivų brokerių paslaugos, teikiamos laivybos vienetų nuosaviems jūrų laivams;</w:t>
      </w:r>
    </w:p>
    <w:p w14:paraId="707114CC" w14:textId="77777777" w:rsidR="00093845" w:rsidRDefault="00093845">
      <w:pPr>
        <w:pStyle w:val="tajtip"/>
        <w:spacing w:before="0" w:beforeAutospacing="0" w:after="0" w:afterAutospacing="0"/>
        <w:ind w:firstLine="567"/>
        <w:jc w:val="both"/>
        <w:rPr>
          <w:b/>
          <w:bCs/>
        </w:rPr>
      </w:pPr>
    </w:p>
    <w:p w14:paraId="3D37D99C" w14:textId="77777777" w:rsidR="00093845" w:rsidRDefault="000D779E">
      <w:pPr>
        <w:pStyle w:val="tajtip"/>
        <w:spacing w:before="0" w:beforeAutospacing="0" w:after="0" w:afterAutospacing="0"/>
        <w:ind w:firstLine="567"/>
        <w:jc w:val="both"/>
        <w:rPr>
          <w:b/>
          <w:bCs/>
        </w:rPr>
      </w:pPr>
      <w:r>
        <w:rPr>
          <w:b/>
          <w:bCs/>
        </w:rPr>
        <w:t>Komentaras</w:t>
      </w:r>
    </w:p>
    <w:p w14:paraId="22A4071F" w14:textId="77777777" w:rsidR="000C7FFC" w:rsidRDefault="000C7FFC">
      <w:pPr>
        <w:pStyle w:val="tajtip"/>
        <w:spacing w:before="0" w:beforeAutospacing="0" w:after="0" w:afterAutospacing="0"/>
        <w:ind w:firstLine="567"/>
        <w:jc w:val="both"/>
      </w:pPr>
    </w:p>
    <w:p w14:paraId="09B1F4C0" w14:textId="77777777" w:rsidR="00093845" w:rsidRDefault="000D779E">
      <w:pPr>
        <w:pStyle w:val="tajtip"/>
        <w:spacing w:before="0" w:beforeAutospacing="0" w:after="0" w:afterAutospacing="0"/>
        <w:ind w:firstLine="567"/>
        <w:jc w:val="both"/>
      </w:pPr>
      <w:r>
        <w:t xml:space="preserve">1. Laivybos vieneto teikiamos laivų agentavimo ir tarpininkavimo (brokerio) paslaugos, susijusios su jūrų laivais, nuo kurių NT apskaičiuojama to laivybos vieneto fiksuoto pelno mokesčio bazė, yra su tarptautiniu vežimu jūrų laivais tiesiogiai susijusi veikla, todėl jos pajamos pelno mokesčio apskaičiavimo tikslu vertintinos kaip tarptautinio vežimo jūrų laivais pajamos. Pagal Lietuvos </w:t>
      </w:r>
      <w:r>
        <w:lastRenderedPageBreak/>
        <w:t xml:space="preserve">Respublikos </w:t>
      </w:r>
      <w:bookmarkStart w:id="25" w:name="n1_626"/>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26" w:name="pn1_626"/>
      <w:bookmarkEnd w:id="25"/>
      <w:bookmarkEnd w:id="26"/>
      <w:r>
        <w:t xml:space="preserve"> 40-1 straipsnį, laivų agentavimas apima tarpininkavimą įsigyjant ir perleidžiant laivus (šiuo atveju tuos, kurie buvo ar bus naudojami vežimo tarptautiniais maršrutais tikslu), tarpininkavimą sudarant frachtavimo sutartis ir prižiūrint jų vykdymą, frachto, uosto rinkliavų ir kitų mokesčių bei rinkliavų surinkimą bei mokėjimą, muitinės ir krovinio dokumentų tvarkymą, laivo atplaukimo į uostą ir išplaukimo iš uosto, taip pat krovos darbų organizavimą, laivo aprūpinimo ir aptarnavimo organizavimą uoste.</w:t>
      </w:r>
    </w:p>
    <w:p w14:paraId="0B071DFB" w14:textId="77777777" w:rsidR="00093845" w:rsidRDefault="000D779E">
      <w:pPr>
        <w:pStyle w:val="tajtip"/>
        <w:spacing w:before="0" w:beforeAutospacing="0" w:after="0" w:afterAutospacing="0"/>
        <w:ind w:firstLine="567"/>
        <w:jc w:val="both"/>
      </w:pPr>
      <w:r>
        <w:t xml:space="preserve">2. Laivų agentų ir brokerių paslaugos, susijusios su trečiųjų asmenų jūrų laivais ir nesusiję su paties laivybos vieneto vykdomu tarptautiniu vežimu, priskirtinos veiklai, kurios pajamos pelno mokesčiu apmokestinamos bendra tvarka. </w:t>
      </w:r>
    </w:p>
    <w:p w14:paraId="2B15CA73" w14:textId="77777777" w:rsidR="00093845" w:rsidRDefault="000D779E">
      <w:pPr>
        <w:pStyle w:val="tajtip"/>
        <w:spacing w:before="0" w:beforeAutospacing="0" w:after="0" w:afterAutospacing="0"/>
        <w:ind w:firstLine="567"/>
        <w:jc w:val="both"/>
        <w:rPr>
          <w:rFonts w:ascii="Arial" w:hAnsi="Arial" w:cs="Arial"/>
          <w:b/>
          <w:sz w:val="22"/>
          <w:szCs w:val="22"/>
        </w:rPr>
      </w:pPr>
      <w:r>
        <w:rPr>
          <w:b/>
          <w:bCs/>
        </w:rPr>
        <w:t>12) eksploatuojamo turto perleidimas, kai pagal pobūdį šis turtas priskiriamas jūrų transportui;</w:t>
      </w:r>
      <w:r>
        <w:rPr>
          <w:rFonts w:ascii="Arial" w:hAnsi="Arial" w:cs="Arial"/>
          <w:b/>
          <w:sz w:val="22"/>
          <w:szCs w:val="22"/>
        </w:rPr>
        <w:t> </w:t>
      </w:r>
    </w:p>
    <w:p w14:paraId="7E047451" w14:textId="77777777" w:rsidR="00093845" w:rsidRDefault="00093845">
      <w:pPr>
        <w:pStyle w:val="tajtip"/>
        <w:spacing w:before="0" w:beforeAutospacing="0" w:after="0" w:afterAutospacing="0"/>
        <w:ind w:firstLine="567"/>
        <w:jc w:val="both"/>
        <w:rPr>
          <w:b/>
          <w:bCs/>
        </w:rPr>
      </w:pPr>
    </w:p>
    <w:p w14:paraId="0BEF3FC4" w14:textId="77777777" w:rsidR="00093845" w:rsidRDefault="000D779E">
      <w:pPr>
        <w:pStyle w:val="tajtip"/>
        <w:spacing w:before="0" w:beforeAutospacing="0" w:after="0" w:afterAutospacing="0"/>
        <w:ind w:firstLine="567"/>
        <w:jc w:val="both"/>
        <w:rPr>
          <w:b/>
          <w:bCs/>
        </w:rPr>
      </w:pPr>
      <w:r>
        <w:rPr>
          <w:b/>
          <w:bCs/>
        </w:rPr>
        <w:t>Komentaras</w:t>
      </w:r>
    </w:p>
    <w:p w14:paraId="746DEAE3" w14:textId="77777777" w:rsidR="000C7FFC" w:rsidRDefault="000C7FFC">
      <w:pPr>
        <w:pStyle w:val="tajtip"/>
        <w:spacing w:before="0" w:beforeAutospacing="0" w:after="0" w:afterAutospacing="0"/>
        <w:ind w:firstLine="567"/>
        <w:jc w:val="both"/>
      </w:pPr>
    </w:p>
    <w:p w14:paraId="37D8F882" w14:textId="77777777" w:rsidR="00093845" w:rsidRDefault="000D779E">
      <w:pPr>
        <w:pStyle w:val="tajtip"/>
        <w:spacing w:before="0" w:beforeAutospacing="0" w:after="0" w:afterAutospacing="0"/>
        <w:ind w:firstLine="567"/>
        <w:jc w:val="both"/>
        <w:rPr>
          <w:strike/>
        </w:rPr>
      </w:pPr>
      <w:r>
        <w:t xml:space="preserve">1. Su tarptautiniu vežimu jūrų laivais susijusios veiklos pajamomis taip pat laikomos pajamos, kurias laivybos vienetas gauna iš tarptautiniam vežimui jūrų laivais arba tarptautiniam vežimui jūrų laivais ir su tuo tiesiogiai susijusiai veiklai naudotų jūrų laivų perleidimo sandorių. Turto perleidimu šiuo atveju laikytinas ne tik nuosavybės teisių į jūrų laivų perleidimas, bet ir visų teisių į jūrų laivus, valdomus pagal finansinės nuomos sutartį, kurioje numatytas nuosavybės teisės perėjimas, bei jūrų laivus, valdomus pagal pirkimo-pardavimo ar nuomos sutartis, kuriose numatytas nuosavybės teisės perėjimas sumokėjus visą sutartyje nustatytą sumą, perleidimas. Jūrų laivų perleidimo pajamos bus laikomos su tarptautiniu vežimu jūrų laivais tiesiogiai susijusios veiklos pajamomis ir apmokestinamos taikant fiksuotą pelno mokestį tik tuo atveju, jeigu jūrų laivai, teisės į kuriuos perleidžiamos, faktiškai buvo naudojami laivybos vieneto vykdomoje tarptautinio keleivių ir/ar krovinių vežimo veikloje ir nuo šių laivų NT buvo skaičiuojamas ir mokamas fiksuotas pelno mokestis. </w:t>
      </w:r>
    </w:p>
    <w:p w14:paraId="19C25863" w14:textId="77777777" w:rsidR="00093845" w:rsidRDefault="000D779E">
      <w:pPr>
        <w:pStyle w:val="tajtip"/>
        <w:spacing w:before="0" w:beforeAutospacing="0" w:after="0" w:afterAutospacing="0"/>
        <w:ind w:firstLine="567"/>
        <w:jc w:val="both"/>
        <w:rPr>
          <w:rFonts w:ascii="Arial" w:hAnsi="Arial" w:cs="Arial"/>
          <w:sz w:val="22"/>
          <w:szCs w:val="22"/>
        </w:rPr>
      </w:pPr>
      <w:r>
        <w:rPr>
          <w:rFonts w:ascii="Arial" w:hAnsi="Arial" w:cs="Arial"/>
          <w:sz w:val="22"/>
          <w:szCs w:val="22"/>
        </w:rPr>
        <w:t> </w:t>
      </w:r>
    </w:p>
    <w:p w14:paraId="4FC59A8A" w14:textId="77777777" w:rsidR="00093845" w:rsidRDefault="000D779E">
      <w:pPr>
        <w:pStyle w:val="tajtip"/>
        <w:spacing w:before="0" w:beforeAutospacing="0" w:after="0" w:afterAutospacing="0"/>
        <w:ind w:firstLine="567"/>
        <w:jc w:val="both"/>
        <w:rPr>
          <w:b/>
        </w:rPr>
      </w:pPr>
      <w:r>
        <w:rPr>
          <w:b/>
        </w:rPr>
        <w:t>13) jūrų laivo įsigijimo finansavimas, įskaitant įsigijimo finansavimą per laivybos vieneto patronuojamąją įmonę, tarptautinio vežimo jūrų laivais arba tarptautinio vežimo jūrų laivais ir su juo tiesiogiai susijusiai veiklai vykdyti;</w:t>
      </w:r>
    </w:p>
    <w:p w14:paraId="6AC69265" w14:textId="77777777" w:rsidR="00093845" w:rsidRDefault="00093845">
      <w:pPr>
        <w:pStyle w:val="tajtip"/>
        <w:spacing w:before="0" w:beforeAutospacing="0" w:after="0" w:afterAutospacing="0"/>
        <w:ind w:firstLine="567"/>
        <w:jc w:val="both"/>
        <w:rPr>
          <w:b/>
          <w:bCs/>
        </w:rPr>
      </w:pPr>
    </w:p>
    <w:p w14:paraId="5EEB2CF8" w14:textId="77777777" w:rsidR="00093845" w:rsidRDefault="000D779E">
      <w:pPr>
        <w:pStyle w:val="tajtip"/>
        <w:spacing w:before="0" w:beforeAutospacing="0" w:after="0" w:afterAutospacing="0"/>
        <w:ind w:firstLine="567"/>
        <w:jc w:val="both"/>
      </w:pPr>
      <w:r>
        <w:rPr>
          <w:b/>
          <w:bCs/>
        </w:rPr>
        <w:t>Komentaras</w:t>
      </w:r>
    </w:p>
    <w:p w14:paraId="7F28FEBB" w14:textId="77777777" w:rsidR="00093845" w:rsidRPr="0065344A" w:rsidRDefault="000D779E">
      <w:pPr>
        <w:ind w:firstLine="567"/>
        <w:jc w:val="both"/>
        <w:rPr>
          <w:lang w:val="lt-LT"/>
        </w:rPr>
      </w:pPr>
      <w:r w:rsidRPr="0065344A">
        <w:rPr>
          <w:lang w:val="lt-LT"/>
        </w:rPr>
        <w:t>Siekiant vykdyti tarptautinių vežimų jūrų laivais veiklą, laivybos bendrovėms reikalingi laivai. Laivybos bendrovės priklausomai nuo ekonominės situacijos ir verslo sąlygų gali laivus įsigyti, juos nuomotis, įsigyti per patronuojamąsias įmones, lizinguoti ir pan.</w:t>
      </w:r>
    </w:p>
    <w:p w14:paraId="62C14790" w14:textId="77777777" w:rsidR="00093845" w:rsidRPr="0065344A" w:rsidRDefault="000D779E">
      <w:pPr>
        <w:ind w:firstLine="567"/>
        <w:jc w:val="both"/>
        <w:rPr>
          <w:lang w:val="lt-LT"/>
        </w:rPr>
      </w:pPr>
      <w:r w:rsidRPr="0065344A">
        <w:rPr>
          <w:lang w:val="lt-LT"/>
        </w:rPr>
        <w:t>Šioje dalyje jūrų laivo įsigijimo finansavimo samprata apima ne tik laivo įsigijimą pagal pirkimo - pardavimo sutartį, bet ir, pavyzdžiui, laivo nuomos be įgulos sutartį su laivo išsipirkimo teise, lizingo sutartį ir pan. Laivui įsigyti laivybos vienetas gali naudoti nuosavas lėšas ar panaudoti įvairias finansavimo priemones, kurios lemia palūkanų atsiradimą. Atsižvelgiant į tai, sąnaudos (įskaitant ir palūkanų sąnaudas), susijusios su laivų įsigijimu, priskiriamos tonažo mokesčio schemai.</w:t>
      </w:r>
    </w:p>
    <w:p w14:paraId="2BE3546D" w14:textId="77777777" w:rsidR="00093845" w:rsidRPr="0065344A" w:rsidRDefault="000D779E">
      <w:pPr>
        <w:ind w:firstLine="567"/>
        <w:jc w:val="both"/>
        <w:rPr>
          <w:lang w:val="lt-LT"/>
        </w:rPr>
      </w:pPr>
      <w:r w:rsidRPr="0065344A">
        <w:rPr>
          <w:lang w:val="lt-LT"/>
        </w:rPr>
        <w:t xml:space="preserve">Atsižvelgiant į bankų reikalavimus, yra įprasta, kad bankai, taikydami tradicinę laivų įsigijimo finansavimo  schemą, reikalauja, kad laivybos bendrovės savo veiklai reikalingus laivus įsigytų per specialiai tam tikslui bankui priimtinoje jurisdikcijoje įsteigtas patronuojamas įmones. Tokiu atveju laivybos bendrovė patronuojamoms įmonėms pradiniam įnašui suformuoti suteikia paskolas, kad šios įmonės galėtų įsigyti laivus. Pagal šias laivybos bendrovės suteiktas paskolas laivybos bendrovė privalo, remdamasi „ištiestos rankos“ principu, iš patronuojamų įmonių, kaip iš susijusių asmenų, reikalauti mokėti palūkanas. Įsigyti laivai paprastai nuomojami laivybos bendrovei ir laivybos bendrovė jais naudojasi tarptautinių vežimų jūrų laivais veiklai vykdyti. Tokioms laivybos bendrovės </w:t>
      </w:r>
      <w:r w:rsidRPr="0065344A">
        <w:rPr>
          <w:lang w:val="lt-LT"/>
        </w:rPr>
        <w:lastRenderedPageBreak/>
        <w:t>gautoms pajamoms (palūkanoms), kurios susijusios su šia laivų įsigijimo ir finansavimo schema, taikomas fiksuotas pelno (tonažo) mokestis.</w:t>
      </w:r>
    </w:p>
    <w:p w14:paraId="4B2AAFC4" w14:textId="77777777" w:rsidR="00093845" w:rsidRDefault="00093845">
      <w:pPr>
        <w:pStyle w:val="tajtip"/>
        <w:spacing w:before="0" w:beforeAutospacing="0" w:after="0" w:afterAutospacing="0"/>
        <w:ind w:firstLine="567"/>
        <w:jc w:val="both"/>
        <w:rPr>
          <w:b/>
        </w:rPr>
      </w:pPr>
    </w:p>
    <w:p w14:paraId="3FA5C7B2" w14:textId="77777777" w:rsidR="00093845" w:rsidRDefault="000D779E">
      <w:pPr>
        <w:pStyle w:val="tajtip"/>
        <w:spacing w:before="0" w:beforeAutospacing="0" w:after="0" w:afterAutospacing="0"/>
        <w:ind w:firstLine="567"/>
        <w:jc w:val="both"/>
        <w:rPr>
          <w:b/>
        </w:rPr>
      </w:pPr>
      <w:r>
        <w:rPr>
          <w:b/>
        </w:rPr>
        <w:t xml:space="preserve">14) naudos iš jūrų laivo perleidimo sutarties ar įsigijimo finansavimo sutarties, sudarytos siekiant vykdyti tarptautinio vežimo jūrų laivais arba tarptautinio vežimo jūrų laivais ir su juo tiesiogiai susijusią veiklą, gavimas. </w:t>
      </w:r>
    </w:p>
    <w:p w14:paraId="55EADB2B" w14:textId="77777777" w:rsidR="00093845" w:rsidRDefault="00093845">
      <w:pPr>
        <w:pStyle w:val="tajtip"/>
        <w:spacing w:before="0" w:beforeAutospacing="0" w:after="0" w:afterAutospacing="0"/>
        <w:ind w:firstLine="567"/>
        <w:jc w:val="both"/>
        <w:rPr>
          <w:b/>
          <w:bCs/>
        </w:rPr>
      </w:pPr>
    </w:p>
    <w:p w14:paraId="2DE6E2DA" w14:textId="77777777" w:rsidR="00093845" w:rsidRDefault="000D779E">
      <w:pPr>
        <w:pStyle w:val="tajtip"/>
        <w:spacing w:before="0" w:beforeAutospacing="0" w:after="0" w:afterAutospacing="0"/>
        <w:ind w:firstLine="567"/>
        <w:jc w:val="both"/>
        <w:rPr>
          <w:b/>
          <w:bCs/>
        </w:rPr>
      </w:pPr>
      <w:r>
        <w:rPr>
          <w:b/>
          <w:bCs/>
        </w:rPr>
        <w:t>Komentaras</w:t>
      </w:r>
    </w:p>
    <w:p w14:paraId="0D99A40F" w14:textId="77777777" w:rsidR="00093845" w:rsidRDefault="000D779E">
      <w:pPr>
        <w:pStyle w:val="tajtip"/>
        <w:spacing w:before="0" w:beforeAutospacing="0" w:after="0" w:afterAutospacing="0"/>
        <w:ind w:firstLine="567"/>
        <w:jc w:val="both"/>
      </w:pPr>
      <w:r>
        <w:t>Naudos, kylančios iš jūrų laivo perleidimo sutarties ar įsigijimo finansavimo sutarties, gavimas priskiriamas su tarptautiniu vežimu jūrų laivais tiesiogiai susijusiai veiklai. Todėl minėtoms pajamoms taikomas fiksuotas pelno (tonažo) mokestis, nes vertinama, kad už paskolą įgytu jūrų laivu būtų vykdoma tarptautinio vežimo jūrų laivais veikla, kuriai yra taikomas fiksuotas pelno (tonažo) mokestis. Tokiu būdu, paskola (jos dalis), į kurią finansuojantis bankas ar kredito įstaiga atsisakė reikalavimo teisių, kaip pajamos priskiriamos su tarptautiniu vežimu jūrų laivais tiesiogiai susijusiai veiklai, atsižvelgiant į tai, kad gauta nauda būtų naudojama tarptautinio vežimo jūrų laivais veikloje, yra laikoma pajamomis, kurioms  yra taikomas fiksuotas pelno (tonažo) mokestis.</w:t>
      </w:r>
    </w:p>
    <w:p w14:paraId="5A378546" w14:textId="77777777" w:rsidR="00093845" w:rsidRDefault="000D779E">
      <w:pPr>
        <w:ind w:firstLine="720"/>
        <w:jc w:val="both"/>
        <w:rPr>
          <w:bCs/>
        </w:rPr>
      </w:pP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1F00C69E" w14:textId="77777777" w:rsidR="00093845" w:rsidRDefault="00093845">
      <w:pPr>
        <w:ind w:firstLine="720"/>
        <w:jc w:val="both"/>
        <w:rPr>
          <w:b/>
        </w:rPr>
      </w:pPr>
    </w:p>
    <w:p w14:paraId="7BD05C5C" w14:textId="77777777" w:rsidR="00093845" w:rsidRDefault="000D779E">
      <w:pPr>
        <w:pStyle w:val="tajtip"/>
        <w:spacing w:before="0" w:beforeAutospacing="0" w:after="0" w:afterAutospacing="0"/>
        <w:ind w:firstLine="567"/>
        <w:jc w:val="both"/>
      </w:pPr>
      <w:r>
        <w:rPr>
          <w:b/>
          <w:bCs/>
        </w:rPr>
        <w:t>35. Tarptautinis vežimas jūrų laivais – laivybos vieneto vykdomas keleivių ir (arba) krovinių vežimas jūrų laivais, kuriuos laivybos vienetas valdo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b/>
          <w:bCs/>
          <w:i/>
          <w:iCs/>
        </w:rPr>
        <w:t>bareboat charter</w:t>
      </w:r>
      <w:r>
        <w:rPr>
          <w:b/>
          <w:bCs/>
        </w:rPr>
        <w:t>) arba kuriuos naudoja pagal laivo frachtavimo sutartį (laivo frachtavimo sutartį laivo reisui (</w:t>
      </w:r>
      <w:r>
        <w:rPr>
          <w:b/>
          <w:bCs/>
          <w:i/>
          <w:iCs/>
        </w:rPr>
        <w:t>voyage charter</w:t>
      </w:r>
      <w:r>
        <w:rPr>
          <w:b/>
          <w:bCs/>
        </w:rPr>
        <w:t>) arba terminuotą frachtavimo sutartį (</w:t>
      </w:r>
      <w:r>
        <w:rPr>
          <w:b/>
          <w:bCs/>
          <w:i/>
          <w:iCs/>
        </w:rPr>
        <w:t>time</w:t>
      </w:r>
      <w:r>
        <w:rPr>
          <w:b/>
          <w:bCs/>
        </w:rPr>
        <w:t xml:space="preserve"> </w:t>
      </w:r>
      <w:r>
        <w:rPr>
          <w:b/>
          <w:bCs/>
          <w:i/>
          <w:iCs/>
        </w:rPr>
        <w:t xml:space="preserve">charter in </w:t>
      </w:r>
      <w:r>
        <w:rPr>
          <w:b/>
          <w:bCs/>
        </w:rPr>
        <w:t xml:space="preserve">arba </w:t>
      </w:r>
      <w:r>
        <w:rPr>
          <w:b/>
          <w:bCs/>
          <w:i/>
          <w:iCs/>
        </w:rPr>
        <w:t>time charter out</w:t>
      </w:r>
      <w:r>
        <w:rPr>
          <w:b/>
          <w:bCs/>
        </w:rPr>
        <w:t xml:space="preserve">), kaip numatyta Lietuvos Respublikos </w:t>
      </w:r>
      <w:bookmarkStart w:id="27" w:name="n1_631"/>
      <w:r>
        <w:rPr>
          <w:b/>
          <w:bCs/>
        </w:rPr>
        <w:fldChar w:fldCharType="begin"/>
      </w:r>
      <w:r>
        <w:rPr>
          <w:b/>
          <w:bCs/>
        </w:rPr>
        <w:instrText xml:space="preserve"> HYPERLINK "http://www.infolex.lt/ta/96001" \o "Lietuvos Respublikos prekybinės laivybos įstatymas" \t "_blank" </w:instrText>
      </w:r>
      <w:r>
        <w:rPr>
          <w:b/>
          <w:bCs/>
        </w:rPr>
        <w:fldChar w:fldCharType="separate"/>
      </w:r>
      <w:r>
        <w:rPr>
          <w:rStyle w:val="Hipersaitas"/>
          <w:b w:val="0"/>
          <w:bCs w:val="0"/>
        </w:rPr>
        <w:t>prekybinės laivybos įstatymo</w:t>
      </w:r>
      <w:r>
        <w:rPr>
          <w:b/>
          <w:bCs/>
        </w:rPr>
        <w:fldChar w:fldCharType="end"/>
      </w:r>
      <w:bookmarkStart w:id="28" w:name="pn1_631"/>
      <w:bookmarkEnd w:id="27"/>
      <w:bookmarkEnd w:id="28"/>
      <w:r>
        <w:rPr>
          <w:b/>
          <w:bCs/>
        </w:rPr>
        <w:t xml:space="preserve"> </w:t>
      </w:r>
      <w:bookmarkStart w:id="29" w:name="n1_632"/>
      <w:r>
        <w:rPr>
          <w:b/>
          <w:bCs/>
        </w:rPr>
        <w:fldChar w:fldCharType="begin"/>
      </w:r>
      <w:r>
        <w:rPr>
          <w:b/>
          <w:bCs/>
        </w:rPr>
        <w:instrText xml:space="preserve"> HYPERLINK "JavaScript:OL('96001','2')" \o "Pagrindinės sąvokos (str. 2)" </w:instrText>
      </w:r>
      <w:r>
        <w:rPr>
          <w:b/>
          <w:bCs/>
        </w:rPr>
        <w:fldChar w:fldCharType="separate"/>
      </w:r>
      <w:r>
        <w:rPr>
          <w:rStyle w:val="Hipersaitas"/>
          <w:b w:val="0"/>
          <w:bCs w:val="0"/>
        </w:rPr>
        <w:t>2</w:t>
      </w:r>
      <w:r>
        <w:rPr>
          <w:b/>
          <w:bCs/>
        </w:rPr>
        <w:fldChar w:fldCharType="end"/>
      </w:r>
      <w:bookmarkStart w:id="30" w:name="pn1_632"/>
      <w:bookmarkEnd w:id="29"/>
      <w:bookmarkEnd w:id="30"/>
      <w:r>
        <w:rPr>
          <w:b/>
          <w:bCs/>
        </w:rPr>
        <w:t xml:space="preserve"> straipsnyje, ir kurie plaukioja su Lietuvos Respublikos arba kitos Europos ekonominės erdvės valstybės vėliava, išskyrus atvejus, kai jūrų laivai kursuoja tik tarp Lietuvos Respublikos uostų.</w:t>
      </w:r>
    </w:p>
    <w:p w14:paraId="037421C6" w14:textId="77777777" w:rsidR="00093845" w:rsidRPr="00F62677" w:rsidRDefault="000D779E" w:rsidP="00C074BE">
      <w:pPr>
        <w:pStyle w:val="tajtip"/>
        <w:spacing w:before="0" w:beforeAutospacing="0" w:after="0" w:afterAutospacing="0"/>
        <w:jc w:val="both"/>
        <w:rPr>
          <w:i/>
        </w:rPr>
      </w:pPr>
      <w:r w:rsidRPr="00F62677">
        <w:rPr>
          <w:i/>
        </w:rPr>
        <w:t>(KEISTA: 2017 06 01 įstatymu Nr. XIII-405 (nuo 2017 06 10), taikoma apskaičiuojant 2017 metais prasidėjusio mokestinio laikotarpio ir vėlesnių mokestinių laikotarpių apmokestinamąjį pelną)</w:t>
      </w:r>
    </w:p>
    <w:p w14:paraId="19404F39" w14:textId="77777777" w:rsidR="00093845" w:rsidRDefault="00093845">
      <w:pPr>
        <w:pStyle w:val="tajtip"/>
        <w:spacing w:before="0" w:beforeAutospacing="0" w:after="0" w:afterAutospacing="0"/>
        <w:ind w:firstLine="567"/>
        <w:jc w:val="both"/>
        <w:rPr>
          <w:b/>
          <w:bCs/>
        </w:rPr>
      </w:pPr>
    </w:p>
    <w:p w14:paraId="532BEA37" w14:textId="77777777" w:rsidR="00093845" w:rsidRDefault="000D779E">
      <w:pPr>
        <w:pStyle w:val="tajtip"/>
        <w:spacing w:before="0" w:beforeAutospacing="0" w:after="0" w:afterAutospacing="0"/>
        <w:ind w:firstLine="567"/>
        <w:jc w:val="both"/>
      </w:pPr>
      <w:r>
        <w:rPr>
          <w:b/>
          <w:bCs/>
        </w:rPr>
        <w:t>Komentaras</w:t>
      </w:r>
    </w:p>
    <w:p w14:paraId="56C515C6" w14:textId="77777777" w:rsidR="00093845" w:rsidRDefault="000D779E">
      <w:pPr>
        <w:pStyle w:val="tajtip"/>
        <w:spacing w:before="0" w:beforeAutospacing="0" w:after="0" w:afterAutospacing="0"/>
        <w:ind w:firstLine="567"/>
        <w:jc w:val="both"/>
      </w:pPr>
      <w:r>
        <w:t>Tarptautinis vežimas jūrų laivais suprantamas kaip  laivybos vieneto vykdomas keleivių ir (arba) krovinių vežimas jūrų laivais, kuriuos laivybos vienetas valdo nuosavybės teise arba pagal finansinės nuomos sutartį, kurioje numatytas nuosavybės teisės perėjimas, arba pagal pirkimo - pardavimo ar nuomos sutartį, kurioje numatytas nuosavybės teisės perėjimas laivybos vienetui apmokėjus visą turto vertę, arba pagal laivo nuomos be įgulos sutartį (bareboat charter) arba kuriuos naudoja pagal laivo frachtavimo sutartį (laivo frachtavimo sutartį laivo reisui (</w:t>
      </w:r>
      <w:r>
        <w:rPr>
          <w:i/>
        </w:rPr>
        <w:t>voyage charter</w:t>
      </w:r>
      <w:r>
        <w:t>) arba terminuotą frachtavimo sutartį (</w:t>
      </w:r>
      <w:r>
        <w:rPr>
          <w:i/>
        </w:rPr>
        <w:t>time charter in</w:t>
      </w:r>
      <w:r>
        <w:t xml:space="preserve"> arba </w:t>
      </w:r>
      <w:r>
        <w:rPr>
          <w:i/>
        </w:rPr>
        <w:t>time charter out</w:t>
      </w:r>
      <w:r>
        <w:t>), kaip numatyta Lietuvos Respublikos prekybinės laivybos įstatymo 2 straipsnyje.</w:t>
      </w:r>
    </w:p>
    <w:p w14:paraId="61E125F1" w14:textId="77777777" w:rsidR="00093845" w:rsidRDefault="000D779E">
      <w:pPr>
        <w:pStyle w:val="tajtip"/>
        <w:spacing w:before="0" w:beforeAutospacing="0" w:after="0" w:afterAutospacing="0"/>
        <w:ind w:firstLine="567"/>
        <w:jc w:val="both"/>
      </w:pPr>
      <w:r>
        <w:t>Šios dalies nuostatos taikomos jūrų laivams, kurie plaukioja su Lietuvos Respublikos arba kitos Europos ekonominės erdvės valstybės vėliava.</w:t>
      </w:r>
    </w:p>
    <w:p w14:paraId="157986AA" w14:textId="77777777" w:rsidR="00093845" w:rsidRDefault="000D779E">
      <w:pPr>
        <w:pStyle w:val="tajtip"/>
        <w:spacing w:before="0" w:beforeAutospacing="0" w:after="0" w:afterAutospacing="0"/>
        <w:ind w:firstLine="567"/>
        <w:jc w:val="both"/>
        <w:rPr>
          <w:b/>
          <w:highlight w:val="lightGray"/>
        </w:rPr>
      </w:pPr>
      <w:r>
        <w:t>Tarptautiniu vežimu jūrų laivais nelaikomi atvejai, kai jūrų laivas plaukioja tik tarp Lietuvos Respublikos jūrų uostų.</w:t>
      </w:r>
    </w:p>
    <w:p w14:paraId="722FE1C0" w14:textId="77777777" w:rsidR="00093845" w:rsidRDefault="000D779E">
      <w:pPr>
        <w:pStyle w:val="tajtip"/>
        <w:spacing w:before="0" w:beforeAutospacing="0" w:after="0" w:afterAutospacing="0"/>
        <w:ind w:firstLine="567"/>
        <w:jc w:val="both"/>
      </w:pPr>
      <w:r>
        <w:t xml:space="preserve">Lietuvos Respublikos </w:t>
      </w:r>
      <w:bookmarkStart w:id="31" w:name="n1_633"/>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32" w:name="pn1_633"/>
      <w:bookmarkEnd w:id="31"/>
      <w:bookmarkEnd w:id="32"/>
      <w:r>
        <w:t xml:space="preserve"> </w:t>
      </w:r>
      <w:bookmarkStart w:id="33" w:name="n1_635"/>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34" w:name="pn1_635"/>
      <w:bookmarkEnd w:id="33"/>
      <w:bookmarkEnd w:id="34"/>
      <w:r>
        <w:t xml:space="preserve"> straipsnyje nustatyta, jog laivo frachtavimo sutartis (čarteris) – susitarimas, pagal kurį laivo valdytojas (frachtininkas), t. y. laivybos vienetas, įsipareigoja kitai šaliai (frachtuotojui) už mokestį leisti naudotis laivu ar jo dalimi kroviniams, keleiviams ar bagažui vežti. Laivybos vienetas, išnuomojantis laivą (ar jo dalį), t. y. </w:t>
      </w:r>
      <w:r>
        <w:lastRenderedPageBreak/>
        <w:t>frachtininkas, sutarties galiojimo laikotarpiui išsaugo tiek paties laivo, tiek ir jo įgulos kontrolę, prisiima paties vežimo organizavimą, perduodamas tik teisės naudotis laivo triumais ar kitomis keleiviams, kroviniams ar bagažui skirtomis patalpomis.</w:t>
      </w:r>
    </w:p>
    <w:p w14:paraId="31F47338" w14:textId="77777777" w:rsidR="00093845" w:rsidRDefault="000D779E">
      <w:pPr>
        <w:pStyle w:val="tajtip"/>
        <w:spacing w:before="0" w:beforeAutospacing="0" w:after="0" w:afterAutospacing="0"/>
        <w:ind w:firstLine="567"/>
        <w:jc w:val="both"/>
      </w:pPr>
      <w:r>
        <w:t xml:space="preserve">Pagal Lietuvos Respublikos </w:t>
      </w:r>
      <w:bookmarkStart w:id="35" w:name="n1_636"/>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36" w:name="pn1_636"/>
      <w:bookmarkEnd w:id="35"/>
      <w:bookmarkEnd w:id="36"/>
      <w:r>
        <w:t xml:space="preserve"> </w:t>
      </w:r>
      <w:bookmarkStart w:id="37" w:name="n1_637"/>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38" w:name="pn1_637"/>
      <w:bookmarkEnd w:id="37"/>
      <w:bookmarkEnd w:id="38"/>
      <w:r>
        <w:t xml:space="preserve"> straipsnio 9 dalį, jūrų laivas – tai laivas, suprojektuotas ir pastatytas laivybai jūroje, kai yra tai patvirtinantys dokumentai. Pagrindinės jūrų laivų, kuriais vykdomos tarptautinio vežimo pajamos gali būti apmokestinamos fiksuotu pelno mokesčiu, pagal </w:t>
      </w:r>
      <w:bookmarkStart w:id="39" w:name="n1_638"/>
      <w:r>
        <w:fldChar w:fldCharType="begin"/>
      </w:r>
      <w:r>
        <w:instrText xml:space="preserve"> HYPERLINK "http://www.infolex.lt/ta/12868" \o "Lietuvos Respublikos pelno mokesčio įstatymas" \t "_blank" </w:instrText>
      </w:r>
      <w:r>
        <w:fldChar w:fldCharType="separate"/>
      </w:r>
      <w:r w:rsidRPr="0065344A">
        <w:rPr>
          <w:rStyle w:val="Hipersaitas"/>
          <w:lang w:val="lt-LT"/>
        </w:rPr>
        <w:t>PMĮ</w:t>
      </w:r>
      <w:r>
        <w:fldChar w:fldCharType="end"/>
      </w:r>
      <w:bookmarkStart w:id="40" w:name="pn1_638"/>
      <w:bookmarkEnd w:id="39"/>
      <w:bookmarkEnd w:id="40"/>
      <w:r>
        <w:t xml:space="preserve"> </w:t>
      </w:r>
      <w:bookmarkStart w:id="41" w:name="n1_639"/>
      <w:r>
        <w:fldChar w:fldCharType="begin"/>
      </w:r>
      <w:r>
        <w:instrText xml:space="preserve"> HYPERLINK "JavaScript:OL('12868','38-1')" \o "Tarptautinio vežimo jūrų laivais arba tarptautinio vežimo jūrų laivais ir su juo tiesiogiai susijusios veiklos pajamų apmokestinimas (str. 38-1)" </w:instrText>
      </w:r>
      <w:r>
        <w:fldChar w:fldCharType="separate"/>
      </w:r>
      <w:r w:rsidRPr="0065344A">
        <w:rPr>
          <w:rStyle w:val="Hipersaitas"/>
          <w:lang w:val="lt-LT"/>
        </w:rPr>
        <w:t>38</w:t>
      </w:r>
      <w:r w:rsidRPr="0065344A">
        <w:rPr>
          <w:rStyle w:val="Hipersaitas"/>
          <w:vertAlign w:val="superscript"/>
          <w:lang w:val="lt-LT"/>
        </w:rPr>
        <w:t>1</w:t>
      </w:r>
      <w:r>
        <w:fldChar w:fldCharType="end"/>
      </w:r>
      <w:bookmarkStart w:id="42" w:name="pn1_639"/>
      <w:bookmarkEnd w:id="41"/>
      <w:bookmarkEnd w:id="42"/>
      <w:r>
        <w:t xml:space="preserve"> straipsnį, rūšys yra krovininiai, konteineriniai, tanklaiviai, </w:t>
      </w:r>
      <w:r>
        <w:rPr>
          <w:strike/>
        </w:rPr>
        <w:t>ro-ro</w:t>
      </w:r>
      <w:r>
        <w:t xml:space="preserve"> keleiviniai įvažiuojamieji ir kruiziniai laivai.</w:t>
      </w:r>
    </w:p>
    <w:p w14:paraId="09F4F78D" w14:textId="77777777" w:rsidR="00093845" w:rsidRDefault="000D779E">
      <w:pPr>
        <w:pStyle w:val="tajtip"/>
        <w:spacing w:before="0" w:beforeAutospacing="0" w:after="0" w:afterAutospacing="0"/>
        <w:ind w:firstLine="567"/>
        <w:jc w:val="both"/>
      </w:pPr>
      <w:r>
        <w:t xml:space="preserve">Reikalavimus, keliamus finansinės nuomos sutartims, kuriose numatytas nuosavybės teisės perėjimas, pirkimo-pardavimo ir nuomos sutartims, kuriose numatytas nuosavybės teisės perėjimas, sumokėjus visą sutartą sumą, nustato Lietuvos Respublikos </w:t>
      </w:r>
      <w:bookmarkStart w:id="43" w:name="n1_640"/>
      <w:r>
        <w:fldChar w:fldCharType="begin"/>
      </w:r>
      <w:r>
        <w:instrText xml:space="preserve"> HYPERLINK "http://www.infolex.lt/ta/100228" \o "Lietuvos Respublikos civilinis kodeksas" \t "_blank" </w:instrText>
      </w:r>
      <w:r>
        <w:fldChar w:fldCharType="separate"/>
      </w:r>
      <w:r w:rsidRPr="0065344A">
        <w:rPr>
          <w:rStyle w:val="Hipersaitas"/>
          <w:lang w:val="lt-LT"/>
        </w:rPr>
        <w:t>civilinis kodeksas</w:t>
      </w:r>
      <w:r>
        <w:fldChar w:fldCharType="end"/>
      </w:r>
      <w:bookmarkStart w:id="44" w:name="pn1_640"/>
      <w:bookmarkEnd w:id="43"/>
      <w:bookmarkEnd w:id="44"/>
      <w:r>
        <w:t xml:space="preserve">, Lietuvos Respublikos </w:t>
      </w:r>
      <w:bookmarkStart w:id="45" w:name="n1_642"/>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įstatymas</w:t>
      </w:r>
      <w:r>
        <w:fldChar w:fldCharType="end"/>
      </w:r>
      <w:bookmarkStart w:id="46" w:name="pn1_642"/>
      <w:bookmarkEnd w:id="45"/>
      <w:bookmarkEnd w:id="46"/>
      <w:r>
        <w:t xml:space="preserve"> ir kiti Lietuvos Respublikos įstatymai. Laivo nuomos be įgulos sutarties </w:t>
      </w:r>
      <w:r>
        <w:rPr>
          <w:i/>
          <w:iCs/>
        </w:rPr>
        <w:t>(bareboat charter)</w:t>
      </w:r>
      <w:r>
        <w:t xml:space="preserve"> samprata pateikta </w:t>
      </w:r>
      <w:bookmarkStart w:id="47" w:name="n1_644"/>
      <w:r>
        <w:fldChar w:fldCharType="begin"/>
      </w:r>
      <w:r>
        <w:instrText xml:space="preserve"> HYPERLINK "http://www.infolex.lt/ta/96001" \o "Lietuvos Respublikos prekybinės laivybos įstatymas" \t "_blank" </w:instrText>
      </w:r>
      <w:r>
        <w:fldChar w:fldCharType="separate"/>
      </w:r>
      <w:r w:rsidRPr="0065344A">
        <w:rPr>
          <w:rStyle w:val="Hipersaitas"/>
          <w:lang w:val="lt-LT"/>
        </w:rPr>
        <w:t>Prekybinės laivybos įstatymo</w:t>
      </w:r>
      <w:r>
        <w:fldChar w:fldCharType="end"/>
      </w:r>
      <w:bookmarkStart w:id="48" w:name="pn1_644"/>
      <w:bookmarkEnd w:id="47"/>
      <w:bookmarkEnd w:id="48"/>
      <w:r>
        <w:t xml:space="preserve"> </w:t>
      </w:r>
      <w:bookmarkStart w:id="49" w:name="n1_645"/>
      <w:r>
        <w:fldChar w:fldCharType="begin"/>
      </w:r>
      <w:r>
        <w:instrText xml:space="preserve"> HYPERLINK "JavaScript:OL('96001','2')" \o "Pagrindinės sąvokos (str. 2)" </w:instrText>
      </w:r>
      <w:r>
        <w:fldChar w:fldCharType="separate"/>
      </w:r>
      <w:r w:rsidRPr="0065344A">
        <w:rPr>
          <w:rStyle w:val="Hipersaitas"/>
          <w:lang w:val="lt-LT"/>
        </w:rPr>
        <w:t>2</w:t>
      </w:r>
      <w:r>
        <w:fldChar w:fldCharType="end"/>
      </w:r>
      <w:bookmarkStart w:id="50" w:name="pn1_645"/>
      <w:bookmarkEnd w:id="49"/>
      <w:bookmarkEnd w:id="50"/>
      <w:r>
        <w:t xml:space="preserve"> straipsnio 3 dalyje, kur nustatyta, kad tai yra terminuotas susitarimas, pagal kurį laivo nuomininkas įgyja teisę valdyti laivą, įskaitant teisę nuomos laikotarpiui paskirti laivo kapitoną ir laivo įgulą.</w:t>
      </w:r>
    </w:p>
    <w:p w14:paraId="15C98549" w14:textId="77777777" w:rsidR="00093845" w:rsidRDefault="000D779E">
      <w:pPr>
        <w:rPr>
          <w:sz w:val="22"/>
          <w:szCs w:val="22"/>
          <w:lang w:val="lt-LT"/>
        </w:rPr>
      </w:pPr>
      <w:r w:rsidRPr="0065344A">
        <w:rPr>
          <w:bCs/>
          <w:lang w:val="lt-LT"/>
        </w:rPr>
        <w:t xml:space="preserve">          </w:t>
      </w:r>
      <w:r w:rsidR="00A914BC">
        <w:rPr>
          <w:bCs/>
          <w:lang w:val="lt-LT"/>
        </w:rPr>
        <w:t xml:space="preserve">   </w:t>
      </w: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6F0B09AC" w14:textId="77777777" w:rsidR="00093845" w:rsidRDefault="00093845">
      <w:pPr>
        <w:ind w:firstLine="720"/>
        <w:jc w:val="both"/>
        <w:rPr>
          <w:lang w:val="lt-LT"/>
        </w:rPr>
      </w:pPr>
    </w:p>
    <w:p w14:paraId="157F089E" w14:textId="77777777" w:rsidR="00093845" w:rsidRDefault="000D779E" w:rsidP="00FD3A86">
      <w:pPr>
        <w:pStyle w:val="Pagrindiniotekstotrauka3"/>
        <w:spacing w:after="0"/>
        <w:ind w:firstLine="0"/>
        <w:rPr>
          <w:b/>
        </w:rPr>
      </w:pPr>
      <w:r>
        <w:rPr>
          <w:b/>
        </w:rPr>
        <w:tab/>
        <w:t>36.</w:t>
      </w:r>
      <w:r>
        <w:rPr>
          <w:rFonts w:ascii="Times New Roman" w:hAnsi="Times New Roman"/>
        </w:rPr>
        <w:t xml:space="preserve"> </w:t>
      </w:r>
      <w:r>
        <w:rPr>
          <w:b/>
          <w:bCs/>
        </w:rPr>
        <w:t>Tarptautinių telekomunikacijų pajamos</w:t>
      </w:r>
      <w:r>
        <w:rPr>
          <w:b/>
        </w:rPr>
        <w:t xml:space="preserve"> – pajamos, gautos už telekomunikacijų paslaugas </w:t>
      </w:r>
      <w:r>
        <w:rPr>
          <w:b/>
          <w:bCs/>
        </w:rPr>
        <w:t>(</w:t>
      </w:r>
      <w:r>
        <w:rPr>
          <w:b/>
        </w:rPr>
        <w:t>kaip ši sąvoka apibrėžta Lietuvos Respublikos</w:t>
      </w:r>
      <w:r>
        <w:rPr>
          <w:b/>
          <w:bCs/>
        </w:rPr>
        <w:t>elektroninių ryšių</w:t>
      </w:r>
      <w:r>
        <w:rPr>
          <w:b/>
          <w:i/>
          <w:iCs/>
        </w:rPr>
        <w:t xml:space="preserve">  </w:t>
      </w:r>
      <w:r>
        <w:rPr>
          <w:b/>
        </w:rPr>
        <w:t>įstatyme</w:t>
      </w:r>
      <w:r>
        <w:rPr>
          <w:b/>
          <w:bCs/>
        </w:rPr>
        <w:t>)</w:t>
      </w:r>
      <w:r>
        <w:rPr>
          <w:b/>
        </w:rPr>
        <w:t xml:space="preserve">, jei teikiant šias paslaugas signalai perduodami, komutuojami </w:t>
      </w:r>
      <w:r>
        <w:rPr>
          <w:b/>
          <w:bCs/>
        </w:rPr>
        <w:t>ir</w:t>
      </w:r>
      <w:r>
        <w:rPr>
          <w:b/>
        </w:rPr>
        <w:t xml:space="preserve"> programos siunčiamos iš Lietuvos Respublikos teritorijos į užsienį arba iš užsienio į Lietuvos Respublikos teritoriją.</w:t>
      </w:r>
    </w:p>
    <w:p w14:paraId="457A5610" w14:textId="77777777" w:rsidR="00713926" w:rsidRDefault="00713926" w:rsidP="00FD3A86">
      <w:pPr>
        <w:pStyle w:val="Pagrindiniotekstotrauka3"/>
        <w:spacing w:after="0"/>
        <w:ind w:firstLine="0"/>
        <w:rPr>
          <w:i/>
        </w:rPr>
      </w:pPr>
      <w:r w:rsidRPr="00F62677">
        <w:rPr>
          <w:i/>
        </w:rPr>
        <w:t>(KEISTA: 2008 12 22 įstatymu Nr.XI-106; taikoma nuo 2008 m. gruodžio 30 d.)</w:t>
      </w:r>
    </w:p>
    <w:p w14:paraId="0144744A" w14:textId="77777777" w:rsidR="000C7FFC" w:rsidRPr="00F62677" w:rsidRDefault="000C7FFC" w:rsidP="00FD3A86">
      <w:pPr>
        <w:pStyle w:val="Pagrindiniotekstotrauka3"/>
        <w:spacing w:after="0"/>
        <w:ind w:firstLine="0"/>
        <w:rPr>
          <w:i/>
        </w:rPr>
      </w:pPr>
    </w:p>
    <w:p w14:paraId="3A2DF182" w14:textId="77777777" w:rsidR="00093845" w:rsidRDefault="000D779E" w:rsidP="00195F32">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bCs/>
          <w:lang w:val="nb-NO"/>
        </w:rPr>
      </w:pPr>
      <w:r>
        <w:rPr>
          <w:lang w:val="lt-LT"/>
        </w:rPr>
        <w:t xml:space="preserve">            </w:t>
      </w:r>
      <w:r>
        <w:rPr>
          <w:b/>
          <w:bCs/>
          <w:lang w:val="nb-NO"/>
        </w:rPr>
        <w:t>Komentaras</w:t>
      </w:r>
    </w:p>
    <w:p w14:paraId="0F96CBAB" w14:textId="77777777" w:rsidR="00093845" w:rsidRDefault="000D779E">
      <w:pPr>
        <w:pStyle w:val="Pagrindiniotekstotrauka3"/>
      </w:pPr>
      <w:r>
        <w:t xml:space="preserve">Lietuvos Respublikos </w:t>
      </w:r>
      <w:r w:rsidR="00273C75" w:rsidRPr="009C0219">
        <w:rPr>
          <w:rStyle w:val="Hipersaitas"/>
          <w:rFonts w:cs="Times New Roman"/>
          <w:b w:val="0"/>
          <w:bCs w:val="0"/>
          <w:kern w:val="0"/>
          <w:lang w:val="lt-LT"/>
        </w:rPr>
        <w:t>elektroninių ryšių įstatymo</w:t>
      </w:r>
      <w:r>
        <w:t xml:space="preserve">  3 str. 58 dalyje telekomunikacijų</w:t>
      </w:r>
      <w:r>
        <w:rPr>
          <w:i/>
        </w:rPr>
        <w:t xml:space="preserve"> </w:t>
      </w:r>
      <w:r>
        <w:t>paslauga</w:t>
      </w:r>
      <w:r>
        <w:rPr>
          <w:i/>
        </w:rPr>
        <w:t xml:space="preserve"> </w:t>
      </w:r>
      <w:r>
        <w:t>apibrėžta kaip paslauga, kurią visiškai ar daugiausiai sudaro signalų perdavimas elektroninių ryšių tinklais, išskyrus televizijos ir (ar) radijo programų perdavimo tinklais, naudojamais transliavimui (retransliavimui), paslaugas.</w:t>
      </w:r>
    </w:p>
    <w:p w14:paraId="271009FB" w14:textId="77777777" w:rsidR="00093845" w:rsidRDefault="000D779E">
      <w:pPr>
        <w:pStyle w:val="Pagrindinistekstas"/>
        <w:ind w:firstLine="720"/>
        <w:rPr>
          <w:lang w:val="lt-LT"/>
        </w:rPr>
      </w:pPr>
      <w:r>
        <w:rPr>
          <w:lang w:val="lt-LT"/>
        </w:rPr>
        <w:t>PMĮ naudojama tarptautinių telekomunikacijų pajamų sąvoka apima tik tą už suteiktas telekomunikacines paslaugas gaunamų pajamų dalį, kuri gaunama teikiant paslaugas, susijusias su signalų perdavimu ar komutavimu arba programų siuntimu elektroninių ryšių tinklais</w:t>
      </w:r>
      <w:r>
        <w:rPr>
          <w:b/>
          <w:lang w:val="lt-LT"/>
        </w:rPr>
        <w:t>,</w:t>
      </w:r>
      <w:r>
        <w:rPr>
          <w:lang w:val="lt-LT"/>
        </w:rPr>
        <w:t xml:space="preserve"> išskyrus televizijos ir (ar) radijo programų perdavimo tinklais, naudojamais transliavimui (retransliavimui), į užsienio valstybes arba iš užsienio valstybių. Kartu pažymėtina, kad tarptautinių telekomunikacijų pajamų sąvoka PMĮ tikslais naudojama nustatant tik užsienio vienetų, teikiančių telekomunikacijų paslaugas, pelno mokesčio bazę Lietuvos Respublikoje.</w:t>
      </w:r>
    </w:p>
    <w:p w14:paraId="2D5BB821" w14:textId="77777777" w:rsidR="00093845" w:rsidRDefault="000D779E">
      <w:pPr>
        <w:pStyle w:val="Pagrindiniotekstotrauka2"/>
        <w:tabs>
          <w:tab w:val="left" w:pos="720"/>
          <w:tab w:val="left" w:pos="1080"/>
        </w:tabs>
        <w:spacing w:line="240" w:lineRule="auto"/>
        <w:rPr>
          <w:b w:val="0"/>
        </w:rPr>
      </w:pPr>
      <w:r>
        <w:rPr>
          <w:b w:val="0"/>
        </w:rPr>
        <w:t xml:space="preserve">(Pakeista pagal VMI prie FM 2008-08-01 raštą Nr. </w:t>
      </w:r>
      <w:r>
        <w:rPr>
          <w:b w:val="0"/>
          <w:color w:val="000000"/>
        </w:rPr>
        <w:t>(18.10-31-1)-R-6905)</w:t>
      </w:r>
      <w:r>
        <w:rPr>
          <w:b w:val="0"/>
        </w:rPr>
        <w:t xml:space="preserve">. </w:t>
      </w:r>
    </w:p>
    <w:p w14:paraId="32B38A94" w14:textId="77777777" w:rsidR="00DE1F51" w:rsidRDefault="000D779E" w:rsidP="00DE1F51">
      <w:pPr>
        <w:spacing w:line="254" w:lineRule="auto"/>
        <w:jc w:val="both"/>
        <w:rPr>
          <w:b/>
        </w:rPr>
      </w:pPr>
      <w:r>
        <w:rPr>
          <w:b/>
          <w:lang w:val="lt-LT"/>
        </w:rPr>
        <w:t xml:space="preserve">            </w:t>
      </w:r>
      <w:r w:rsidR="00DE1F51">
        <w:rPr>
          <w:b/>
        </w:rPr>
        <w:t xml:space="preserve">37. </w:t>
      </w:r>
      <w:r w:rsidR="00DE1F51">
        <w:rPr>
          <w:b/>
          <w:bCs/>
        </w:rPr>
        <w:t>Tikroji rinkos kaina</w:t>
      </w:r>
      <w:r w:rsidR="00DE1F51">
        <w:rPr>
          <w:b/>
        </w:rPr>
        <w:t xml:space="preserve"> – suma, už kurią gali būti apsikeista turtu arba kuria, sudarius tiesioginį sandorį, gali būti įskaitytas nepriklausomų ir ketinančių pirkti arba parduoti asmenų tarpusavio įsipareigojimas.</w:t>
      </w:r>
    </w:p>
    <w:p w14:paraId="2CD81946" w14:textId="77777777" w:rsidR="00DE1F51" w:rsidRDefault="00DE1F51" w:rsidP="00DE1F51">
      <w:pPr>
        <w:autoSpaceDE w:val="0"/>
        <w:autoSpaceDN w:val="0"/>
        <w:spacing w:line="254" w:lineRule="auto"/>
        <w:jc w:val="both"/>
        <w:rPr>
          <w:rFonts w:ascii="TimesLT" w:hAnsi="TimesLT"/>
          <w:i/>
        </w:rPr>
      </w:pPr>
      <w:r w:rsidRPr="00E03065">
        <w:rPr>
          <w:rFonts w:ascii="TimesLT" w:hAnsi="TimesLT"/>
          <w:i/>
        </w:rPr>
        <w:t>(KEISTA: 2008 12 22 įstatymu Nr.XI-106, taikoma nuo 2008 m. gruodžio 30 d.)</w:t>
      </w:r>
      <w:r>
        <w:rPr>
          <w:rFonts w:ascii="TimesLT" w:hAnsi="TimesLT"/>
          <w:i/>
        </w:rPr>
        <w:t xml:space="preserve"> </w:t>
      </w:r>
    </w:p>
    <w:p w14:paraId="794E4D2C" w14:textId="77777777" w:rsidR="00DE1F51" w:rsidRDefault="00DE1F51" w:rsidP="00DE1F51">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54" w:lineRule="auto"/>
        <w:jc w:val="both"/>
        <w:rPr>
          <w:rFonts w:ascii="TimesLT" w:hAnsi="TimesLT" w:cs="Arial Unicode MS"/>
          <w:b/>
        </w:rPr>
      </w:pPr>
      <w:r>
        <w:rPr>
          <w:rFonts w:ascii="TimesLT" w:hAnsi="TimesLT" w:cs="Arial Unicode MS"/>
          <w:b/>
        </w:rPr>
        <w:t xml:space="preserve">            Komentaras </w:t>
      </w:r>
    </w:p>
    <w:p w14:paraId="4BF37A68" w14:textId="77777777" w:rsidR="00DE1F51" w:rsidRDefault="00DE1F51" w:rsidP="00DE1F51">
      <w:pPr>
        <w:tabs>
          <w:tab w:val="left" w:pos="720"/>
          <w:tab w:val="left" w:pos="1080"/>
        </w:tabs>
        <w:spacing w:line="254" w:lineRule="auto"/>
        <w:ind w:firstLine="720"/>
        <w:jc w:val="both"/>
        <w:rPr>
          <w:color w:val="FF0000"/>
        </w:rPr>
      </w:pPr>
      <w:r>
        <w:t>1.</w:t>
      </w:r>
      <w:r>
        <w:tab/>
        <w:t xml:space="preserve">Šioje dalyje apibrėžta sąvoka nustato, kas yra tikroji rinkos kaina. Tikroji rinkos kaina susiformuoja sandoriuose tarp nepriklausomų ir ketinančių pirkti ar parduoti asmenų. Sudarydami tokius sandorius asmenys veikia sąžiningai, laisva valia, nevaržomi jokiais apribojimais ar tarpusavio ryšiais (santykiais), galinčiais turėti įtakos sandorio objekto kainai, susiklosčiusiomis rinkos sąlygomis </w:t>
      </w:r>
      <w:r>
        <w:lastRenderedPageBreak/>
        <w:t xml:space="preserve">siekdami abipusės maksimalios ekonominės naudos. Be to, tikrajai rinkos kainai įtakos </w:t>
      </w:r>
      <w:r w:rsidRPr="00CC34A9">
        <w:t>turi t</w:t>
      </w:r>
      <w:r>
        <w:t xml:space="preserve">okios aplinkybės, kaip sezoninės ar kiekio nuolaidos, įvairios akcijos bei reklaminės kompanijos, </w:t>
      </w:r>
      <w:r w:rsidRPr="00657277">
        <w:t>prekių</w:t>
      </w:r>
      <w:r>
        <w:t xml:space="preserve"> p</w:t>
      </w:r>
      <w:r w:rsidRPr="00CC34A9">
        <w:t>a</w:t>
      </w:r>
      <w:r>
        <w:t>rdavimo</w:t>
      </w:r>
      <w:r w:rsidRPr="00185FB8">
        <w:rPr>
          <w:b/>
        </w:rPr>
        <w:t xml:space="preserve"> </w:t>
      </w:r>
      <w:r w:rsidRPr="00CC34A9">
        <w:t>(paslaugų teikimo)</w:t>
      </w:r>
      <w:r w:rsidRPr="00185FB8">
        <w:rPr>
          <w:b/>
        </w:rPr>
        <w:t xml:space="preserve"> </w:t>
      </w:r>
      <w:r>
        <w:t xml:space="preserve">sąlygos ir su tuo susijusios rizikos pasidalijimas tarp šalių, atsiskaitymo terminai, garantinio ir pogarantinio aptarnavimo įsipareigojimai ir pan. </w:t>
      </w:r>
    </w:p>
    <w:p w14:paraId="56ABD780" w14:textId="77777777" w:rsidR="00DE1F51" w:rsidRDefault="00DE1F51" w:rsidP="00DE1F51">
      <w:pPr>
        <w:tabs>
          <w:tab w:val="left" w:pos="720"/>
          <w:tab w:val="left" w:pos="1080"/>
        </w:tabs>
        <w:spacing w:line="254" w:lineRule="auto"/>
        <w:ind w:firstLine="720"/>
        <w:jc w:val="both"/>
        <w:rPr>
          <w:b/>
        </w:rPr>
      </w:pPr>
      <w:r>
        <w:t>2.</w:t>
      </w:r>
      <w:r>
        <w:tab/>
        <w:t xml:space="preserve">Tikrosios rinkos kainos sąvoka PMĮ tekste vartojama nustatant turto įsigijimo, pardavimo kainą, turto vertės padidėjimo pajamas, turto ar turtinio komplekso nuomos apmokestinimo ir kitais atvejais. </w:t>
      </w:r>
    </w:p>
    <w:p w14:paraId="19771CAC" w14:textId="77777777" w:rsidR="00DE1F51" w:rsidRDefault="00DE1F51" w:rsidP="00DE1F51">
      <w:pPr>
        <w:tabs>
          <w:tab w:val="left" w:pos="720"/>
          <w:tab w:val="left" w:pos="1080"/>
        </w:tabs>
        <w:ind w:firstLine="720"/>
        <w:jc w:val="both"/>
        <w:rPr>
          <w:bCs/>
        </w:rPr>
      </w:pPr>
      <w:r>
        <w:rPr>
          <w:bCs/>
        </w:rPr>
        <w:t>3.</w:t>
      </w:r>
      <w:r>
        <w:rPr>
          <w:bCs/>
        </w:rPr>
        <w:tab/>
        <w:t>Jei sandoriuose nustatytos kainos neatitinka tikrosios rinkos kainos, ją pelno mokesčio tikslais turi apskaičiuoti pats mokesčio mokėtojas.</w:t>
      </w:r>
      <w:r w:rsidRPr="00185FB8">
        <w:rPr>
          <w:b/>
          <w:bCs/>
        </w:rPr>
        <w:t xml:space="preserve"> </w:t>
      </w:r>
      <w:r w:rsidRPr="00CC34A9">
        <w:rPr>
          <w:bCs/>
        </w:rPr>
        <w:t>PMĮ 40 straipsnio 2 dalyje nustatytais atvejais tikroji rinkos kaina nustatoma vadovaujantis Finansų ministro 2004-04-09 įsakymu Nr. 1K-123 „Dėl Lietuvos Respublikos pelno mokesčio įstatymo 40 straipsnio 2 dalies ir Lietuvos Respublikos gyventojų pajamų mokesčio įstatymo 15 straipsnio 2 dalies įgyvendinimo taisyklių” nustatytomis taisyklėmis (plačiau žr. PMĮ 40 str. 2 d. komentarą).  Bet kuriuo a</w:t>
      </w:r>
      <w:r>
        <w:rPr>
          <w:bCs/>
        </w:rPr>
        <w:t xml:space="preserve">tveju apskaičiuota tikroji turto rinkos kaina turi būti ekonomiškai pagrįsta. Jei sandorio šalys yra nepriklausomos ir veikia sąžiningai, </w:t>
      </w:r>
      <w:r w:rsidRPr="00CC34A9">
        <w:rPr>
          <w:bCs/>
        </w:rPr>
        <w:t>pelno mokesčio tikslais laikoma,</w:t>
      </w:r>
      <w:r w:rsidRPr="0023433F">
        <w:rPr>
          <w:bCs/>
        </w:rPr>
        <w:t xml:space="preserve"> kad </w:t>
      </w:r>
      <w:r>
        <w:rPr>
          <w:bCs/>
        </w:rPr>
        <w:t>sandoriuose tarp tokių šalių nustatytos faktinės kainos atitinka tikrąsias rinkos kainas.</w:t>
      </w:r>
    </w:p>
    <w:p w14:paraId="0993BDCA" w14:textId="77777777" w:rsidR="00DE1F51" w:rsidRPr="00D771F4" w:rsidRDefault="00DE1F51" w:rsidP="00D771F4">
      <w:pPr>
        <w:rPr>
          <w:lang w:val="lt-LT"/>
        </w:rPr>
      </w:pPr>
      <w:r w:rsidRPr="00FE7AB0">
        <w:rPr>
          <w:lang w:val="lt-LT"/>
        </w:rPr>
        <w:t>(</w:t>
      </w:r>
      <w:r>
        <w:rPr>
          <w:lang w:val="lt-LT"/>
        </w:rPr>
        <w:t>PMĮ 2 straipsnio 37 punkto komentaras pakeistas pagal VMI prie FM 2024-01-23</w:t>
      </w:r>
      <w:r w:rsidR="0086696D">
        <w:rPr>
          <w:lang w:val="lt-LT"/>
        </w:rPr>
        <w:t xml:space="preserve"> </w:t>
      </w:r>
      <w:r>
        <w:rPr>
          <w:lang w:val="lt-LT"/>
        </w:rPr>
        <w:t>raštą Nr.</w:t>
      </w:r>
      <w:r w:rsidR="00D771F4">
        <w:rPr>
          <w:lang w:val="lt-LT"/>
        </w:rPr>
        <w:t xml:space="preserve"> </w:t>
      </w:r>
      <w:r w:rsidR="00D771F4">
        <w:rPr>
          <w:rFonts w:ascii="Trebuchet MS" w:hAnsi="Trebuchet MS"/>
          <w:sz w:val="22"/>
          <w:szCs w:val="22"/>
          <w:lang w:val="lt-LT"/>
        </w:rPr>
        <w:t>(</w:t>
      </w:r>
      <w:r w:rsidR="00D771F4" w:rsidRPr="00D771F4">
        <w:rPr>
          <w:lang w:val="lt-LT"/>
        </w:rPr>
        <w:t>32.42-31-1-Mr</w:t>
      </w:r>
      <w:r w:rsidRPr="00D771F4">
        <w:rPr>
          <w:lang w:val="lt-LT"/>
        </w:rPr>
        <w:t>) R-293).</w:t>
      </w:r>
    </w:p>
    <w:p w14:paraId="03E4B6EB" w14:textId="77777777" w:rsidR="00093845" w:rsidRDefault="00093845" w:rsidP="00DE1F51">
      <w:pPr>
        <w:spacing w:after="0"/>
        <w:jc w:val="both"/>
        <w:rPr>
          <w:b/>
        </w:rPr>
      </w:pPr>
    </w:p>
    <w:p w14:paraId="784A0240" w14:textId="77777777" w:rsidR="00093845" w:rsidRDefault="000D779E" w:rsidP="00195F32">
      <w:pPr>
        <w:pStyle w:val="Pagrindinistekstas"/>
        <w:rPr>
          <w:rFonts w:ascii="Times New Roman" w:hAnsi="Times New Roman" w:cs="Times New Roman"/>
          <w:b/>
          <w:lang w:val="lt-LT"/>
        </w:rPr>
      </w:pPr>
      <w:r>
        <w:rPr>
          <w:b/>
          <w:lang w:val="lt-LT"/>
        </w:rPr>
        <w:t xml:space="preserve">           </w:t>
      </w:r>
      <w:r>
        <w:rPr>
          <w:rFonts w:ascii="Times New Roman" w:hAnsi="Times New Roman" w:cs="Times New Roman"/>
          <w:b/>
          <w:lang w:val="lt-LT"/>
        </w:rPr>
        <w:t>38. Tikslinė teritorija – užsienio valstybė arba zona, įtraukta į finansų ministro nustatytą Tikslinių teritorijų sąrašą. Į šį sąrašą užsienio valstybė arba zona įtraukiama, jeigu atitinka bent du iš šioje dalyje nustatytų kriterijų:</w:t>
      </w:r>
    </w:p>
    <w:p w14:paraId="4A4549E2"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1) šioje teritorijoje analogiško mokesčio tarifas yra mažesnis kaip 75 procentai šio Įstatymo 5 straipsnio 1 dalies 1 punkte nustatyto tarifo;</w:t>
      </w:r>
    </w:p>
    <w:p w14:paraId="5F304E06"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2) šioje teritorijoje taikomos skirtingos apmokestinimo analogišku mokesčiu taisyklės – pagal tai, kokioje valstybėje yra įregistruotas ar kitaip organizuotas kontroliuojantis asmuo;</w:t>
      </w:r>
    </w:p>
    <w:p w14:paraId="5B2E1DBC"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3) šioje teritorijoje taikomos skirtingos apmokestinimo analogišku mokesčiu taisyklės – pagal tai, kokioje valstybėje vykdoma veikla;</w:t>
      </w:r>
    </w:p>
    <w:p w14:paraId="1337A22C"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4) kontroliuojamasis apmokestinamasis vienetas yra sudaręs sutartį su tos valstybės mokesčio administratoriumi dėl mokesčio tarifo ar mokesčio bazės;</w:t>
      </w:r>
    </w:p>
    <w:p w14:paraId="58552289"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5) šioje teritorijoje nėra efektyvaus keitimosi informacija;</w:t>
      </w:r>
    </w:p>
    <w:p w14:paraId="551AD695"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6) šioje teritorijoje nėra finansinio-administracinio skaidrumo: nevisiškai aiškios mokesčio administravimo taisyklės ir šių taisyklių taikymo tvarka nėra pateikiama kitų valstybių mokesčių administratoriams.</w:t>
      </w:r>
    </w:p>
    <w:p w14:paraId="01A6F2CA" w14:textId="77777777" w:rsidR="00093845" w:rsidRPr="00F62677" w:rsidRDefault="000D779E" w:rsidP="00C074BE">
      <w:pPr>
        <w:pStyle w:val="Pagrindiniotekstotrauka"/>
        <w:tabs>
          <w:tab w:val="left" w:pos="720"/>
          <w:tab w:val="left" w:pos="1080"/>
        </w:tabs>
        <w:autoSpaceDE w:val="0"/>
        <w:autoSpaceDN w:val="0"/>
        <w:ind w:firstLine="0"/>
        <w:rPr>
          <w:rFonts w:ascii="Times New Roman" w:hAnsi="Times New Roman" w:cs="Times New Roman"/>
          <w:i/>
          <w:lang w:val="lt-LT"/>
        </w:rPr>
      </w:pPr>
      <w:r w:rsidRPr="00F62677">
        <w:rPr>
          <w:rFonts w:ascii="Times New Roman" w:hAnsi="Times New Roman" w:cs="Times New Roman"/>
          <w:i/>
          <w:lang w:val="lt-LT"/>
        </w:rPr>
        <w:t>(KEISTA: 2018 12 06 įstatymu Nr. XIII-1697 (nuo 2019 01 01))</w:t>
      </w:r>
    </w:p>
    <w:p w14:paraId="7CBCEEFE" w14:textId="77777777" w:rsidR="00093845" w:rsidRDefault="000D779E">
      <w:pPr>
        <w:pStyle w:val="Pagrindiniotekstotrauka"/>
        <w:tabs>
          <w:tab w:val="left" w:pos="720"/>
          <w:tab w:val="left" w:pos="1080"/>
        </w:tabs>
        <w:autoSpaceDE w:val="0"/>
        <w:autoSpaceDN w:val="0"/>
        <w:rPr>
          <w:rFonts w:ascii="Times New Roman" w:hAnsi="Times New Roman" w:cs="Times New Roman"/>
          <w:b/>
          <w:lang w:val="lt-LT"/>
        </w:rPr>
      </w:pPr>
      <w:r>
        <w:rPr>
          <w:rFonts w:ascii="Times New Roman" w:hAnsi="Times New Roman" w:cs="Times New Roman"/>
          <w:b/>
          <w:lang w:val="lt-LT"/>
        </w:rPr>
        <w:t>Komentaras</w:t>
      </w:r>
    </w:p>
    <w:p w14:paraId="77298EA4" w14:textId="77777777" w:rsidR="00093845" w:rsidRPr="00C074BE" w:rsidRDefault="000D779E">
      <w:pPr>
        <w:pStyle w:val="Pagrindiniotekstotrauka"/>
        <w:tabs>
          <w:tab w:val="left" w:pos="720"/>
          <w:tab w:val="left" w:pos="1080"/>
        </w:tabs>
        <w:autoSpaceDE w:val="0"/>
        <w:autoSpaceDN w:val="0"/>
        <w:rPr>
          <w:rFonts w:ascii="Times New Roman" w:hAnsi="Times New Roman" w:cs="Times New Roman"/>
          <w:lang w:val="lt-LT"/>
        </w:rPr>
      </w:pPr>
      <w:r>
        <w:rPr>
          <w:rFonts w:ascii="Times New Roman" w:hAnsi="Times New Roman" w:cs="Times New Roman"/>
          <w:lang w:val="lt-LT"/>
        </w:rPr>
        <w:t>Komentaras rengiamas</w:t>
      </w:r>
    </w:p>
    <w:p w14:paraId="10522570" w14:textId="77777777" w:rsidR="00093845" w:rsidRDefault="00093845">
      <w:pPr>
        <w:pStyle w:val="Pagrindiniotekstotrauka"/>
        <w:tabs>
          <w:tab w:val="left" w:pos="720"/>
          <w:tab w:val="left" w:pos="1080"/>
        </w:tabs>
        <w:autoSpaceDE w:val="0"/>
        <w:autoSpaceDN w:val="0"/>
        <w:rPr>
          <w:rFonts w:ascii="Times New Roman" w:hAnsi="Times New Roman"/>
          <w:b/>
          <w:lang w:val="lt-LT"/>
        </w:rPr>
      </w:pPr>
    </w:p>
    <w:p w14:paraId="3A72F6E8" w14:textId="77777777" w:rsidR="00093845" w:rsidRDefault="000D779E" w:rsidP="007B3022">
      <w:pPr>
        <w:spacing w:after="0"/>
        <w:jc w:val="both"/>
        <w:rPr>
          <w:b/>
          <w:lang w:val="lt-LT"/>
        </w:rPr>
      </w:pPr>
      <w:r>
        <w:rPr>
          <w:b/>
          <w:lang w:val="lt-LT"/>
        </w:rPr>
        <w:t xml:space="preserve">           39. </w:t>
      </w:r>
      <w:r>
        <w:rPr>
          <w:b/>
          <w:bCs/>
          <w:lang w:val="lt-LT"/>
        </w:rPr>
        <w:t>Transportavimo pajamos</w:t>
      </w:r>
      <w:r>
        <w:rPr>
          <w:b/>
          <w:lang w:val="lt-LT"/>
        </w:rPr>
        <w:t xml:space="preserve"> – pajamos, gautos iš krovinių gabenimo geležinkelių, kelių, vandens, oro transportu naudojant nuosavus arba nuomojamus automobilius, laivus, orlaivius, riedmenis, kroviniams transportuoti skirtas talpas (konteinerius, cisternas ir kt.) ir iš krovinių </w:t>
      </w:r>
      <w:r>
        <w:rPr>
          <w:b/>
          <w:lang w:val="lt-LT"/>
        </w:rPr>
        <w:lastRenderedPageBreak/>
        <w:t>transportavimo vamzdynais. Tokioms pajamoms priskiriamos ir pajamos iš paslaugų, tiesiogiai susijusių su krovinių gabenimu ar transportavimu.</w:t>
      </w:r>
    </w:p>
    <w:p w14:paraId="6776E51D" w14:textId="77777777" w:rsidR="007B3022" w:rsidRPr="00F62677" w:rsidRDefault="007B3022" w:rsidP="007B3022">
      <w:pPr>
        <w:pStyle w:val="Pagrindiniotekstotrauka3"/>
        <w:spacing w:after="0"/>
        <w:ind w:firstLine="0"/>
        <w:rPr>
          <w:i/>
        </w:rPr>
      </w:pPr>
      <w:r w:rsidRPr="00F62677">
        <w:rPr>
          <w:i/>
        </w:rPr>
        <w:t>(KEISTA: 2008 12 22 įstatymu Nr.XI-106</w:t>
      </w:r>
      <w:r w:rsidR="000E08B1" w:rsidRPr="00F62677">
        <w:rPr>
          <w:i/>
        </w:rPr>
        <w:t>,</w:t>
      </w:r>
      <w:r w:rsidRPr="00F62677">
        <w:rPr>
          <w:i/>
        </w:rPr>
        <w:t xml:space="preserve"> taikoma nuo 2008 m. gruodžio 30 d.)</w:t>
      </w:r>
    </w:p>
    <w:p w14:paraId="57408AA3" w14:textId="77777777" w:rsidR="007B3022" w:rsidRDefault="007B3022">
      <w:pPr>
        <w:jc w:val="both"/>
        <w:rPr>
          <w:b/>
          <w:lang w:val="lt-LT"/>
        </w:rPr>
      </w:pPr>
    </w:p>
    <w:p w14:paraId="621367C7" w14:textId="77777777" w:rsidR="00093845" w:rsidRDefault="000D779E" w:rsidP="00195F32">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lang w:val="lt-LT"/>
        </w:rPr>
      </w:pPr>
      <w:r>
        <w:rPr>
          <w:lang w:val="lt-LT"/>
        </w:rPr>
        <w:t xml:space="preserve">           </w:t>
      </w:r>
      <w:r>
        <w:rPr>
          <w:b/>
          <w:lang w:val="lt-LT"/>
        </w:rPr>
        <w:t>Komentaras</w:t>
      </w:r>
    </w:p>
    <w:p w14:paraId="1D8131F5"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Transportavimo pajamos apima tik tokias pajamas, kurios gaunamos gabenant ar transportuojant krovinius (bet ne keleivius ar jų bagažą). Paštas, dokumentų siuntos ar kitos siuntos laikomos kroviniu.</w:t>
      </w:r>
    </w:p>
    <w:p w14:paraId="006656BB"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Kroviniai gali būti gabenami geležinkelių, kelių, vandens ar oro transporto priemonėmis bei transportuojami vamzdynais.</w:t>
      </w:r>
    </w:p>
    <w:p w14:paraId="7119E56D" w14:textId="77777777" w:rsidR="00093845" w:rsidRDefault="000D779E" w:rsidP="00B80DD7">
      <w:pPr>
        <w:pStyle w:val="HTMLiankstoformatuotas"/>
        <w:tabs>
          <w:tab w:val="clear" w:pos="916"/>
          <w:tab w:val="left" w:pos="720"/>
          <w:tab w:val="left" w:pos="1080"/>
        </w:tabs>
        <w:spacing w:after="0"/>
        <w:jc w:val="both"/>
        <w:rPr>
          <w:rFonts w:ascii="Times New Roman" w:hAnsi="Times New Roman"/>
          <w:sz w:val="24"/>
          <w:lang w:val="lt-LT"/>
        </w:rPr>
      </w:pPr>
      <w:r>
        <w:rPr>
          <w:rFonts w:ascii="Times New Roman" w:hAnsi="Times New Roman"/>
          <w:sz w:val="24"/>
          <w:lang w:val="lt-LT"/>
        </w:rPr>
        <w:tab/>
        <w:t xml:space="preserve">Geležinkelio transportas – tai geležinkelio infrastruktūros ir riedmenų kompleksas, skirtas keleiviams ir kroviniams vežti. </w:t>
      </w:r>
    </w:p>
    <w:p w14:paraId="098367DC"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Kelių transportas – tai ūkio ir socialinės infrastruktūros dalis, susijusi su keleivių ir krovinių vežimu keliais. </w:t>
      </w:r>
    </w:p>
    <w:p w14:paraId="11341BF2"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Vandens transportas – tai ūkinės veiklos sritis, kuri apima krovinių vežimą vidaus vandenų ar jūrų keliais. </w:t>
      </w:r>
    </w:p>
    <w:p w14:paraId="1720CF29"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Vamzdynais transportuojama nafta, naftos produktai, dujos, vanduo, įvairūs skiediniai (cemento, molio, smėlio) ir kitos medžiagos bei produktai.</w:t>
      </w:r>
    </w:p>
    <w:p w14:paraId="60B80CDE"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 xml:space="preserve">Kroviniai gali būti vežami ne tik transporto priemonėmis, bet ir jiems gabenti skirtomis talpomis. Joms priskiriami konteineriai, cisternos, tankai ir pan. </w:t>
      </w:r>
    </w:p>
    <w:p w14:paraId="0FD28A9A"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sz w:val="24"/>
          <w:lang w:val="lt-LT"/>
        </w:rPr>
        <w:t>Transporto priemonės ar kroviniams vežti skirtos talpos transportavimo pajamas gaunančiam vienetui turi arba priklausyti nuosavybės teise, arba būti jo išsinuomotos.</w:t>
      </w:r>
    </w:p>
    <w:p w14:paraId="1B1BE348" w14:textId="77777777" w:rsidR="00093845" w:rsidRDefault="000D779E" w:rsidP="00B80DD7">
      <w:pPr>
        <w:pStyle w:val="Antrats"/>
        <w:tabs>
          <w:tab w:val="clear" w:pos="4153"/>
          <w:tab w:val="clear" w:pos="8306"/>
          <w:tab w:val="left" w:pos="720"/>
          <w:tab w:val="left" w:pos="1080"/>
        </w:tabs>
        <w:spacing w:after="0"/>
        <w:ind w:firstLine="720"/>
        <w:jc w:val="both"/>
        <w:rPr>
          <w:sz w:val="24"/>
          <w:lang w:val="lt-LT"/>
        </w:rPr>
      </w:pPr>
      <w:r>
        <w:rPr>
          <w:iCs/>
          <w:sz w:val="24"/>
          <w:lang w:val="lt-LT"/>
        </w:rPr>
        <w:t>Paslaugoms, tiesiogiai susijusioms su krovinių gabenimu ar transportavimu</w:t>
      </w:r>
      <w:r>
        <w:rPr>
          <w:sz w:val="24"/>
          <w:lang w:val="lt-LT"/>
        </w:rPr>
        <w:t>, priskiriamas krovinių krovimas ir iškrovimas, jų saugojimas ir sandėliavimas, vežimui reikalingų dokumentų rengimas, krovinių vežimo organizavimas ir pan., bet tik tada, jeigu tokios papildomos paslaugos yra tiesiogiai susijusios su jo paties vykdoma tų krovinių vežimo veikla.</w:t>
      </w:r>
    </w:p>
    <w:p w14:paraId="17EAF084" w14:textId="77777777" w:rsidR="005F000B" w:rsidRPr="00F9258A" w:rsidRDefault="005F000B" w:rsidP="005F000B">
      <w:pPr>
        <w:spacing w:before="100" w:beforeAutospacing="1" w:after="100" w:afterAutospacing="1"/>
        <w:ind w:firstLine="720"/>
        <w:jc w:val="both"/>
        <w:rPr>
          <w:b/>
          <w:lang w:val="lt-LT" w:eastAsia="lt-LT"/>
        </w:rPr>
      </w:pPr>
      <w:r w:rsidRPr="00F9258A">
        <w:rPr>
          <w:b/>
          <w:lang w:val="lt-LT"/>
        </w:rPr>
        <w:t>39</w:t>
      </w:r>
      <w:r w:rsidRPr="00F9258A">
        <w:rPr>
          <w:b/>
          <w:vertAlign w:val="superscript"/>
          <w:lang w:val="lt-LT"/>
        </w:rPr>
        <w:t>1</w:t>
      </w:r>
      <w:r w:rsidRPr="00F9258A">
        <w:rPr>
          <w:b/>
          <w:lang w:val="lt-LT"/>
        </w:rPr>
        <w:t>.</w:t>
      </w:r>
      <w:r w:rsidRPr="00F9258A">
        <w:rPr>
          <w:b/>
          <w:bCs/>
          <w:lang w:val="lt-LT"/>
        </w:rPr>
        <w:t xml:space="preserve"> Turto perkėlimas </w:t>
      </w:r>
      <w:r w:rsidRPr="00F9258A">
        <w:rPr>
          <w:b/>
          <w:lang w:val="lt-LT"/>
        </w:rPr>
        <w:t xml:space="preserve">– operacija, kai vieneto turtas, naudojamas vieneto Lietuvos Respublikoje vykdomai veiklai, perkeliamas į užsienio valstybę ir pradedamas naudoti užsienio valstybėje vykdomai veiklai. </w:t>
      </w:r>
    </w:p>
    <w:p w14:paraId="2B19A3A3" w14:textId="77777777" w:rsidR="005F000B" w:rsidRDefault="005F000B" w:rsidP="005F000B">
      <w:pPr>
        <w:spacing w:before="100" w:beforeAutospacing="1" w:after="100" w:afterAutospacing="1"/>
        <w:jc w:val="both"/>
        <w:rPr>
          <w:i/>
          <w:lang w:val="lt-LT"/>
        </w:rPr>
      </w:pPr>
      <w:r w:rsidRPr="00F62677">
        <w:rPr>
          <w:i/>
          <w:iCs/>
        </w:rPr>
        <w:t xml:space="preserve">(Papildyta 2019-12-17, </w:t>
      </w:r>
      <w:r w:rsidRPr="00F62677">
        <w:rPr>
          <w:i/>
          <w:lang w:val="lt-LT"/>
        </w:rPr>
        <w:t xml:space="preserve">įstatymu </w:t>
      </w:r>
      <w:r w:rsidRPr="00F62677">
        <w:rPr>
          <w:i/>
          <w:iCs/>
        </w:rPr>
        <w:t xml:space="preserve">Nr. </w:t>
      </w:r>
      <w:hyperlink r:id="rId31"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w:t>
      </w:r>
      <w:r w:rsidR="003E69E5" w:rsidRPr="00F62677">
        <w:rPr>
          <w:i/>
          <w:lang w:val="lt-LT"/>
        </w:rPr>
        <w:t>20</w:t>
      </w:r>
      <w:r w:rsidRPr="00F62677">
        <w:rPr>
          <w:i/>
          <w:lang w:val="lt-LT"/>
        </w:rPr>
        <w:t xml:space="preserve"> 01 01))</w:t>
      </w:r>
    </w:p>
    <w:p w14:paraId="11A77A16" w14:textId="77777777" w:rsidR="005568CA" w:rsidRPr="002B3D21" w:rsidRDefault="005568CA" w:rsidP="005568CA">
      <w:pPr>
        <w:ind w:firstLine="567"/>
        <w:contextualSpacing/>
        <w:jc w:val="both"/>
        <w:rPr>
          <w:b/>
          <w:color w:val="000000"/>
        </w:rPr>
      </w:pPr>
      <w:r w:rsidRPr="002B3D21">
        <w:rPr>
          <w:b/>
          <w:color w:val="000000"/>
        </w:rPr>
        <w:t>Komentaras</w:t>
      </w:r>
    </w:p>
    <w:p w14:paraId="6103579C" w14:textId="77777777" w:rsidR="005568CA" w:rsidRPr="002B3D21" w:rsidRDefault="005568CA" w:rsidP="005568CA">
      <w:pPr>
        <w:ind w:firstLine="567"/>
        <w:contextualSpacing/>
        <w:jc w:val="both"/>
        <w:rPr>
          <w:color w:val="000000"/>
        </w:rPr>
      </w:pPr>
      <w:r w:rsidRPr="002B3D21">
        <w:rPr>
          <w:color w:val="000000"/>
        </w:rPr>
        <w:t>Turto perkėlimo sąvoka vartojama taikant turto perkėlimo apmokestinimo taisykles PMĮ 40</w:t>
      </w:r>
      <w:r w:rsidRPr="002B3D21">
        <w:rPr>
          <w:color w:val="000000"/>
          <w:vertAlign w:val="superscript"/>
        </w:rPr>
        <w:t>2</w:t>
      </w:r>
      <w:r w:rsidRPr="002B3D21">
        <w:rPr>
          <w:color w:val="000000"/>
        </w:rPr>
        <w:t xml:space="preserve"> straipsnyje nustatyta tvarka. Šiomis taisyklėmis užtikrinama, kad turto iškėlimo (perkėlimo) iš Lietuvos atvejais Lietuvoje būtų sumokamas mokestis nuo Lietuvoje iki turto iškėlimo sukurtos to turto vertės, t. y. būtų apmokestinamas iškelto (perkelto) turto ekonominės vertės prieaugis. Plačiau apie turto perkėlimo taisykles paaiškinta PMĮ 40</w:t>
      </w:r>
      <w:r w:rsidRPr="002B3D21">
        <w:rPr>
          <w:color w:val="000000"/>
          <w:vertAlign w:val="superscript"/>
        </w:rPr>
        <w:t>2</w:t>
      </w:r>
      <w:r w:rsidRPr="002B3D21">
        <w:rPr>
          <w:color w:val="000000"/>
        </w:rPr>
        <w:t xml:space="preserve"> straipsnio komentare.</w:t>
      </w:r>
    </w:p>
    <w:p w14:paraId="5844EFA9" w14:textId="77777777" w:rsidR="005568CA" w:rsidRPr="002B3D21" w:rsidRDefault="005568CA" w:rsidP="005568CA">
      <w:pPr>
        <w:ind w:firstLine="567"/>
        <w:contextualSpacing/>
        <w:jc w:val="both"/>
        <w:rPr>
          <w:color w:val="000000"/>
        </w:rPr>
      </w:pPr>
      <w:r w:rsidRPr="002B3D21">
        <w:rPr>
          <w:color w:val="000000"/>
        </w:rPr>
        <w:t xml:space="preserve">Turto perkėlimas - tai ūkinė operacija, kai vieneto turtas, naudotas vieneto Lietuvos Respublikoje vykdomai veiklai, perkeliamas į užsienio (bet kurią) valstybę ir pradedamas naudoti užsienio valstybėje vykdomai veiklai. </w:t>
      </w:r>
    </w:p>
    <w:p w14:paraId="67AB0720" w14:textId="77777777" w:rsidR="005568CA" w:rsidRPr="002B3D21" w:rsidRDefault="005568CA" w:rsidP="005568CA">
      <w:pPr>
        <w:tabs>
          <w:tab w:val="left" w:pos="720"/>
          <w:tab w:val="left" w:pos="1077"/>
          <w:tab w:val="left" w:pos="1418"/>
        </w:tabs>
        <w:ind w:firstLine="567"/>
        <w:jc w:val="both"/>
      </w:pPr>
      <w:r w:rsidRPr="002B3D21">
        <w:rPr>
          <w:color w:val="000000"/>
        </w:rPr>
        <w:t xml:space="preserve">Vieneto turtas – vieneto įsigytos materialios, nematerialios ir finansinės vertybės. </w:t>
      </w:r>
      <w:r w:rsidRPr="002B3D21">
        <w:t>Plačiau apie vienetų turtą yra paaiškinta PMĮ 13 straipsnio komentare.</w:t>
      </w:r>
    </w:p>
    <w:p w14:paraId="273D4393" w14:textId="77777777" w:rsidR="005568CA" w:rsidRDefault="005568CA" w:rsidP="00B754F1">
      <w:pPr>
        <w:spacing w:before="100" w:beforeAutospacing="1" w:after="100" w:afterAutospacing="1"/>
        <w:jc w:val="both"/>
      </w:pPr>
      <w:r>
        <w:t>(Papildyta pagal VMI prie FM 2020-11-11 raštą Nr. (18.10-31-1E) RM-57235</w:t>
      </w:r>
      <w:r w:rsidR="00267E17">
        <w:t>)</w:t>
      </w:r>
    </w:p>
    <w:p w14:paraId="745615EC" w14:textId="77777777" w:rsidR="005568CA" w:rsidRDefault="005568CA" w:rsidP="005F000B">
      <w:pPr>
        <w:spacing w:before="100" w:beforeAutospacing="1" w:after="100" w:afterAutospacing="1"/>
        <w:jc w:val="both"/>
      </w:pPr>
    </w:p>
    <w:p w14:paraId="2593EF6E" w14:textId="77777777" w:rsidR="00093845" w:rsidRDefault="000D779E" w:rsidP="007B3022">
      <w:pPr>
        <w:spacing w:after="0"/>
        <w:jc w:val="both"/>
        <w:rPr>
          <w:b/>
          <w:lang w:val="lt-LT"/>
        </w:rPr>
      </w:pPr>
      <w:r>
        <w:rPr>
          <w:b/>
          <w:lang w:val="lt-LT"/>
        </w:rPr>
        <w:lastRenderedPageBreak/>
        <w:t xml:space="preserve">            40. </w:t>
      </w:r>
      <w:r>
        <w:rPr>
          <w:b/>
          <w:bCs/>
          <w:lang w:val="lt-LT"/>
        </w:rPr>
        <w:t>Veikla</w:t>
      </w:r>
      <w:r>
        <w:rPr>
          <w:b/>
          <w:lang w:val="lt-LT"/>
        </w:rPr>
        <w:t xml:space="preserve"> – bet kokio pobūdžio komercinė arba gamybinė veikla, kuria siekiama gauti ir (arba) uždirbti pajamų ar kokios kitos ekonominės naudos.</w:t>
      </w:r>
    </w:p>
    <w:p w14:paraId="375509A1" w14:textId="77777777" w:rsidR="007B3022" w:rsidRPr="00F62677" w:rsidRDefault="007B3022" w:rsidP="007B3022">
      <w:pPr>
        <w:pStyle w:val="Pagrindiniotekstotrauka3"/>
        <w:spacing w:after="0"/>
        <w:ind w:firstLine="0"/>
        <w:rPr>
          <w:i/>
        </w:rPr>
      </w:pPr>
      <w:r w:rsidRPr="00F62677">
        <w:rPr>
          <w:i/>
        </w:rPr>
        <w:t>(KEISTA: 2008 12 22 įstatymu Nr.XI-106</w:t>
      </w:r>
      <w:r w:rsidR="000E08B1" w:rsidRPr="00F62677">
        <w:rPr>
          <w:i/>
        </w:rPr>
        <w:t>,</w:t>
      </w:r>
      <w:r w:rsidRPr="00F62677">
        <w:rPr>
          <w:i/>
        </w:rPr>
        <w:t xml:space="preserve"> taikoma nuo 2008 m. gruodžio 30 d.)</w:t>
      </w:r>
    </w:p>
    <w:p w14:paraId="545F47F1" w14:textId="77777777" w:rsidR="007B3022" w:rsidRDefault="007B3022">
      <w:pPr>
        <w:jc w:val="both"/>
        <w:rPr>
          <w:lang w:val="lt-LT"/>
        </w:rPr>
      </w:pPr>
    </w:p>
    <w:p w14:paraId="6657DC50" w14:textId="77777777" w:rsidR="00093845" w:rsidRDefault="000D779E">
      <w:pPr>
        <w:pStyle w:val="Pagrindiniotekstotrauka2"/>
        <w:tabs>
          <w:tab w:val="left" w:pos="720"/>
          <w:tab w:val="left" w:pos="1080"/>
        </w:tabs>
        <w:spacing w:line="240" w:lineRule="auto"/>
      </w:pPr>
      <w:r>
        <w:t>Komentaras</w:t>
      </w:r>
    </w:p>
    <w:p w14:paraId="53ABDB41" w14:textId="77777777" w:rsidR="00093845" w:rsidRDefault="000D779E">
      <w:pPr>
        <w:pStyle w:val="Pagrindiniotekstotrauka2"/>
        <w:tabs>
          <w:tab w:val="left" w:pos="720"/>
          <w:tab w:val="left" w:pos="1080"/>
        </w:tabs>
        <w:spacing w:line="240" w:lineRule="auto"/>
        <w:rPr>
          <w:b w:val="0"/>
        </w:rPr>
      </w:pPr>
      <w:r>
        <w:rPr>
          <w:b w:val="0"/>
        </w:rPr>
        <w:t xml:space="preserve">Ši sąvoka apibrėžia, kas yra veikla, tai - bet kokio pobūdžio komercinė ar gamybinė veikla, kuria siekiama gauti ir (arba) uždirbti pajamų ar kokios kitos ekonominės naudos. Tai pats plačiausias veiklos apibrėžimas, neapimantis tik su darbo santykiais arba jų esmę atitinkančiais santykiais susijusios veiklos. Veiklos sąvoka yra siejama su siekimu uždirbti (gauti) pelno esančiu ar būsimais mokestiniais laikotarpiais. </w:t>
      </w:r>
    </w:p>
    <w:p w14:paraId="03071F90" w14:textId="77777777" w:rsidR="00093845" w:rsidRDefault="00EB0AA8">
      <w:pPr>
        <w:ind w:firstLine="720"/>
        <w:jc w:val="both"/>
        <w:rPr>
          <w:b/>
          <w:color w:val="000000"/>
          <w:shd w:val="clear" w:color="auto" w:fill="FFFFFF"/>
        </w:rPr>
      </w:pPr>
      <w:bookmarkStart w:id="51" w:name="_3_straipsnis._Mokesčio"/>
      <w:bookmarkEnd w:id="51"/>
      <w:r w:rsidRPr="00EB0AA8">
        <w:rPr>
          <w:b/>
          <w:color w:val="000000"/>
        </w:rPr>
        <w:t>41. </w:t>
      </w:r>
      <w:r w:rsidRPr="00EB0AA8">
        <w:rPr>
          <w:b/>
          <w:color w:val="000000"/>
          <w:shd w:val="clear" w:color="auto" w:fill="FFFFFF"/>
        </w:rPr>
        <w:t>Kitos šiame Įstatyme vartojamos sąvokos suprantamos taip, kaip jos apibrėžtos Lietuvos Respublikos mokesčių administravimo įstatyme, Lietuvos Respublikos civiliniame kodekse, Lietuvos Respublikos baudžiamajame kodekse, Lietuvos Respublikos finansų įstaigų įstatyme, Lietuvos Respublikos draudimo įstatyme</w:t>
      </w:r>
      <w:r w:rsidRPr="00EB0AA8">
        <w:rPr>
          <w:b/>
          <w:color w:val="000000"/>
        </w:rPr>
        <w:t>, Lietuvos Respublikos investicijų įstatyme </w:t>
      </w:r>
      <w:r w:rsidRPr="00EB0AA8">
        <w:rPr>
          <w:b/>
          <w:color w:val="000000"/>
          <w:shd w:val="clear" w:color="auto" w:fill="FFFFFF"/>
        </w:rPr>
        <w:t>ir Lietuvos Respublikos kino įstatyme, kiek tai neprieštarauja šiam Įstatymui (išskyrus Civilinio kodekso įsakmiai nurodytus atvejus)</w:t>
      </w:r>
      <w:r>
        <w:rPr>
          <w:b/>
          <w:color w:val="000000"/>
          <w:shd w:val="clear" w:color="auto" w:fill="FFFFFF"/>
        </w:rPr>
        <w:t xml:space="preserve">. </w:t>
      </w:r>
    </w:p>
    <w:p w14:paraId="43528DB6" w14:textId="77777777" w:rsidR="00EB0AA8" w:rsidRPr="00EB0AA8" w:rsidRDefault="00EB0AA8" w:rsidP="00EB0AA8">
      <w:pPr>
        <w:jc w:val="both"/>
        <w:rPr>
          <w:color w:val="000000"/>
          <w:lang w:val="lt-LT" w:eastAsia="lt-LT"/>
        </w:rPr>
      </w:pPr>
      <w:r>
        <w:rPr>
          <w:i/>
          <w:iCs/>
          <w:color w:val="000000"/>
        </w:rPr>
        <w:t>(KEISTA</w:t>
      </w:r>
      <w:r w:rsidRPr="00EB0AA8">
        <w:rPr>
          <w:i/>
          <w:iCs/>
          <w:color w:val="000000"/>
        </w:rPr>
        <w:t>: 2020-06-30, įstatymu Nr. </w:t>
      </w:r>
      <w:hyperlink r:id="rId32" w:tgtFrame="_parent" w:history="1">
        <w:r w:rsidRPr="00EB0AA8">
          <w:rPr>
            <w:rStyle w:val="Hipersaitas"/>
            <w:rFonts w:ascii="Times New Roman" w:hAnsi="Times New Roman" w:cs="Times New Roman"/>
            <w:i/>
            <w:iCs/>
          </w:rPr>
          <w:t>XIII-3213</w:t>
        </w:r>
      </w:hyperlink>
      <w:r w:rsidRPr="00EB0AA8">
        <w:rPr>
          <w:i/>
          <w:iCs/>
          <w:color w:val="000000"/>
        </w:rPr>
        <w:t xml:space="preserve"> (nuo 2021 01 01)</w:t>
      </w:r>
      <w:r>
        <w:rPr>
          <w:i/>
          <w:iCs/>
          <w:color w:val="000000"/>
        </w:rPr>
        <w:t>)</w:t>
      </w:r>
    </w:p>
    <w:p w14:paraId="51135403" w14:textId="77777777" w:rsidR="00093845" w:rsidRPr="00E11CA8" w:rsidRDefault="00EB0AA8" w:rsidP="00E11CA8">
      <w:pPr>
        <w:rPr>
          <w:b/>
          <w:bCs/>
          <w:lang w:val="lt-LT"/>
        </w:rPr>
      </w:pPr>
      <w:r>
        <w:rPr>
          <w:color w:val="000000"/>
          <w:sz w:val="27"/>
          <w:szCs w:val="27"/>
        </w:rPr>
        <w:t> </w:t>
      </w:r>
      <w:r w:rsidR="00E11CA8">
        <w:rPr>
          <w:color w:val="000000"/>
          <w:sz w:val="27"/>
          <w:szCs w:val="27"/>
        </w:rPr>
        <w:t xml:space="preserve">           </w:t>
      </w:r>
      <w:r w:rsidR="000D779E" w:rsidRPr="00E11CA8">
        <w:rPr>
          <w:b/>
          <w:lang w:val="lt-LT"/>
        </w:rPr>
        <w:t>Komentaras</w:t>
      </w:r>
    </w:p>
    <w:p w14:paraId="6D8AE036" w14:textId="77777777" w:rsidR="00E11CA8" w:rsidRPr="006E4682" w:rsidRDefault="00E11CA8" w:rsidP="00E11CA8">
      <w:pPr>
        <w:tabs>
          <w:tab w:val="left" w:pos="720"/>
          <w:tab w:val="left" w:pos="1080"/>
        </w:tabs>
        <w:ind w:firstLine="720"/>
        <w:jc w:val="both"/>
        <w:rPr>
          <w:bCs/>
          <w:strike/>
        </w:rPr>
      </w:pPr>
      <w:r>
        <w:rPr>
          <w:b/>
          <w:bCs/>
          <w:lang w:val="lt-LT"/>
        </w:rPr>
        <w:tab/>
      </w:r>
      <w:r w:rsidRPr="006E4682">
        <w:rPr>
          <w:bCs/>
        </w:rPr>
        <w:t>PMĮ vartojamos Mokesčių administravimo įstatyme apibrėžtos sąvokos, kiek tai neprieštarauja šiam įstatymui.</w:t>
      </w:r>
      <w:r>
        <w:rPr>
          <w:bCs/>
          <w:strike/>
        </w:rPr>
        <w:t xml:space="preserve"> </w:t>
      </w:r>
    </w:p>
    <w:p w14:paraId="03C871C1" w14:textId="77777777" w:rsidR="00E11CA8" w:rsidRPr="006E4682" w:rsidRDefault="00E11CA8" w:rsidP="00E11CA8">
      <w:pPr>
        <w:tabs>
          <w:tab w:val="left" w:pos="720"/>
          <w:tab w:val="left" w:pos="1080"/>
        </w:tabs>
        <w:ind w:firstLine="720"/>
        <w:jc w:val="both"/>
        <w:rPr>
          <w:bCs/>
        </w:rPr>
      </w:pPr>
      <w:r w:rsidRPr="006E4682">
        <w:rPr>
          <w:bCs/>
        </w:rPr>
        <w:t>PMĮ vartojamos Civiliniame kodekse apibrėžtos sąvokos suprantamos taip, kiek tai neprieštarauja šiam Įstatymui.</w:t>
      </w:r>
    </w:p>
    <w:p w14:paraId="3BC0AF96" w14:textId="77777777" w:rsidR="00E11CA8" w:rsidRPr="006E4682" w:rsidRDefault="00E11CA8" w:rsidP="00E11CA8">
      <w:pPr>
        <w:tabs>
          <w:tab w:val="left" w:pos="720"/>
          <w:tab w:val="left" w:pos="1080"/>
        </w:tabs>
        <w:ind w:firstLine="720"/>
        <w:jc w:val="both"/>
        <w:rPr>
          <w:bCs/>
        </w:rPr>
      </w:pPr>
      <w:r w:rsidRPr="006E4682">
        <w:rPr>
          <w:bCs/>
        </w:rPr>
        <w:t>PMĮ 31 straipsnio 1 dalies 20 punkte vartojamos Baudžiamojo kodekso (toliau – BK) uždraustų veikų, įskaitant kyšius, sąvokos suprantamos taip, kaip jos apibrėžtos BK, kiek tai neprieštarauja šiam Įstatymui.</w:t>
      </w:r>
    </w:p>
    <w:p w14:paraId="6A1CE95A" w14:textId="77777777" w:rsidR="00E11CA8" w:rsidRPr="006E4682" w:rsidRDefault="00E11CA8" w:rsidP="00E11CA8">
      <w:pPr>
        <w:tabs>
          <w:tab w:val="left" w:pos="720"/>
          <w:tab w:val="left" w:pos="1080"/>
        </w:tabs>
        <w:ind w:firstLine="720"/>
        <w:jc w:val="both"/>
        <w:rPr>
          <w:bCs/>
        </w:rPr>
      </w:pPr>
      <w:r w:rsidRPr="006E4682">
        <w:rPr>
          <w:bCs/>
        </w:rPr>
        <w:t>Kitos PMĮ vartojamos sąvokos taip pat suprantamos taip, kaip jos apibrėžtos Lietuvos Respublikos finansų įstaigų įstatymo 2 straipsnyje (sąvokos vartojamos taikant PMĮ 2 str., 7 str., 27 str., 30 str.,  30</w:t>
      </w:r>
      <w:r w:rsidRPr="006E4682">
        <w:rPr>
          <w:bCs/>
          <w:vertAlign w:val="superscript"/>
        </w:rPr>
        <w:t>1</w:t>
      </w:r>
      <w:r w:rsidRPr="006E4682">
        <w:rPr>
          <w:bCs/>
        </w:rPr>
        <w:t xml:space="preserve"> str., 38</w:t>
      </w:r>
      <w:r w:rsidRPr="006E4682">
        <w:rPr>
          <w:bCs/>
          <w:vertAlign w:val="superscript"/>
        </w:rPr>
        <w:t>3</w:t>
      </w:r>
      <w:r w:rsidRPr="006E4682">
        <w:rPr>
          <w:bCs/>
        </w:rPr>
        <w:t xml:space="preserve"> str., 43 str. ir kitų straipsnių nuostatas), Lietuvos Respublikos draudimo įstatymo 2 straipsnyje (sąvokos vartojamos taikant PMĮ 12 str., 7 str., 30</w:t>
      </w:r>
      <w:r w:rsidRPr="006E4682">
        <w:rPr>
          <w:bCs/>
          <w:vertAlign w:val="superscript"/>
        </w:rPr>
        <w:t>1</w:t>
      </w:r>
      <w:r w:rsidRPr="006E4682">
        <w:rPr>
          <w:bCs/>
        </w:rPr>
        <w:t xml:space="preserve"> str., 31 str. ir kitų straipsnių nuostatas), Lietuvos Respublikos investicijų įstatymo 2 straipsnyje (sąvokos vartojamos taikant PMĮ 58 str. 16, 16</w:t>
      </w:r>
      <w:r w:rsidRPr="006E4682">
        <w:rPr>
          <w:bCs/>
          <w:vertAlign w:val="superscript"/>
        </w:rPr>
        <w:t>1</w:t>
      </w:r>
      <w:r w:rsidRPr="006E4682">
        <w:rPr>
          <w:bCs/>
        </w:rPr>
        <w:t>, 16</w:t>
      </w:r>
      <w:r w:rsidRPr="006E4682">
        <w:rPr>
          <w:bCs/>
          <w:vertAlign w:val="superscript"/>
        </w:rPr>
        <w:t>2</w:t>
      </w:r>
      <w:r w:rsidRPr="006E4682">
        <w:rPr>
          <w:bCs/>
        </w:rPr>
        <w:t xml:space="preserve"> dalių nuostatas), kiek tai neprieštarauja šiam Įstatymui.</w:t>
      </w:r>
    </w:p>
    <w:p w14:paraId="7231160E" w14:textId="77777777" w:rsidR="00E11CA8" w:rsidRPr="006E4682" w:rsidRDefault="00E11CA8" w:rsidP="00E11CA8">
      <w:pPr>
        <w:ind w:firstLine="720"/>
        <w:jc w:val="both"/>
      </w:pPr>
      <w:r w:rsidRPr="006E4682">
        <w:t>PMĮ 17</w:t>
      </w:r>
      <w:r w:rsidRPr="006E4682">
        <w:rPr>
          <w:vertAlign w:val="superscript"/>
        </w:rPr>
        <w:t>2</w:t>
      </w:r>
      <w:r w:rsidRPr="006E4682">
        <w:t xml:space="preserve"> ir 46</w:t>
      </w:r>
      <w:r w:rsidRPr="006E4682">
        <w:rPr>
          <w:vertAlign w:val="superscript"/>
        </w:rPr>
        <w:t>2</w:t>
      </w:r>
      <w:r w:rsidRPr="006E4682">
        <w:t xml:space="preserve"> straipsniuose vartojamos filmo gamybos sąvokos suprantamos taip, kaip jos apibrėžtos Lietuvos Respublikos kino įstatyme, kiek tai neprieštarauja šiam Įstatymui.</w:t>
      </w:r>
      <w:r w:rsidRPr="006E4682">
        <w:rPr>
          <w:strike/>
        </w:rPr>
        <w:t xml:space="preserve"> </w:t>
      </w:r>
      <w:r w:rsidRPr="006E4682">
        <w:t xml:space="preserve"> </w:t>
      </w:r>
    </w:p>
    <w:p w14:paraId="60281AA9" w14:textId="77777777" w:rsidR="00E11CA8" w:rsidRDefault="00E11CA8" w:rsidP="00E11CA8">
      <w:pPr>
        <w:spacing w:before="100" w:beforeAutospacing="1" w:after="100" w:afterAutospacing="1"/>
        <w:jc w:val="both"/>
      </w:pPr>
      <w:r>
        <w:t>(Pagal VMI prie FM 2021-05-06 raštą Nr. (18.10-31-1Mr) R-2008)</w:t>
      </w:r>
    </w:p>
    <w:p w14:paraId="7D939DBB" w14:textId="77777777" w:rsidR="00093845" w:rsidRPr="00C074BE" w:rsidRDefault="00093845" w:rsidP="00E11CA8">
      <w:pPr>
        <w:pStyle w:val="Antrat1"/>
        <w:jc w:val="both"/>
        <w:rPr>
          <w:rFonts w:ascii="Times New Roman" w:hAnsi="Times New Roman" w:cs="Times New Roman"/>
          <w:b w:val="0"/>
          <w:bCs w:val="0"/>
          <w:lang w:val="lt-LT"/>
        </w:rPr>
      </w:pPr>
    </w:p>
    <w:p w14:paraId="2317150F" w14:textId="77777777" w:rsidR="00093845" w:rsidRDefault="000D779E">
      <w:pPr>
        <w:pStyle w:val="Antrat1"/>
        <w:jc w:val="both"/>
        <w:rPr>
          <w:rFonts w:ascii="Times New Roman" w:hAnsi="Times New Roman" w:cs="Times New Roman"/>
          <w:bCs w:val="0"/>
          <w:szCs w:val="20"/>
          <w:lang w:val="lt-LT"/>
        </w:rPr>
      </w:pPr>
      <w:r>
        <w:rPr>
          <w:rFonts w:ascii="Times New Roman" w:hAnsi="Times New Roman" w:cs="Times New Roman"/>
          <w:bCs w:val="0"/>
          <w:lang w:val="lt-LT"/>
        </w:rPr>
        <w:t>3 STRAIPSNIS. Mokesčio mokėtojai</w:t>
      </w:r>
    </w:p>
    <w:p w14:paraId="478F9952" w14:textId="77777777" w:rsidR="00093845" w:rsidRDefault="000D779E">
      <w:pPr>
        <w:tabs>
          <w:tab w:val="left" w:pos="720"/>
          <w:tab w:val="left" w:pos="1077"/>
          <w:tab w:val="left" w:pos="1418"/>
        </w:tabs>
        <w:ind w:right="-999" w:firstLine="720"/>
        <w:jc w:val="both"/>
        <w:rPr>
          <w:b/>
          <w:szCs w:val="20"/>
          <w:lang w:val="lt-LT"/>
        </w:rPr>
      </w:pPr>
      <w:r>
        <w:rPr>
          <w:b/>
          <w:lang w:val="lt-LT"/>
        </w:rPr>
        <w:t>1.</w:t>
      </w:r>
      <w:r>
        <w:rPr>
          <w:b/>
          <w:lang w:val="lt-LT"/>
        </w:rPr>
        <w:tab/>
        <w:t>Pelno mokestį moka:</w:t>
      </w:r>
    </w:p>
    <w:p w14:paraId="6AF9B375" w14:textId="77777777" w:rsidR="00093845" w:rsidRDefault="000D779E">
      <w:pPr>
        <w:tabs>
          <w:tab w:val="left" w:pos="720"/>
          <w:tab w:val="left" w:pos="1077"/>
          <w:tab w:val="left" w:pos="1418"/>
        </w:tabs>
        <w:ind w:right="-999" w:firstLine="720"/>
        <w:jc w:val="both"/>
        <w:rPr>
          <w:b/>
          <w:szCs w:val="20"/>
          <w:lang w:val="lt-LT"/>
        </w:rPr>
      </w:pPr>
      <w:r>
        <w:rPr>
          <w:b/>
          <w:lang w:val="lt-LT"/>
        </w:rPr>
        <w:t>1)</w:t>
      </w:r>
      <w:r>
        <w:rPr>
          <w:b/>
          <w:lang w:val="lt-LT"/>
        </w:rPr>
        <w:tab/>
        <w:t>Lietuvos vienetas;</w:t>
      </w:r>
    </w:p>
    <w:p w14:paraId="08667316" w14:textId="77777777" w:rsidR="00093845" w:rsidRDefault="00E353CF" w:rsidP="00E353CF">
      <w:pPr>
        <w:tabs>
          <w:tab w:val="left" w:pos="720"/>
          <w:tab w:val="left" w:pos="1077"/>
          <w:tab w:val="left" w:pos="1418"/>
        </w:tabs>
        <w:spacing w:line="240" w:lineRule="auto"/>
        <w:ind w:right="-999"/>
        <w:jc w:val="both"/>
        <w:rPr>
          <w:b/>
          <w:szCs w:val="20"/>
          <w:lang w:val="lt-LT"/>
        </w:rPr>
      </w:pPr>
      <w:r>
        <w:rPr>
          <w:b/>
          <w:lang w:val="lt-LT"/>
        </w:rPr>
        <w:t xml:space="preserve">            </w:t>
      </w:r>
      <w:r w:rsidR="000D779E">
        <w:rPr>
          <w:b/>
          <w:lang w:val="lt-LT"/>
        </w:rPr>
        <w:t>Komentaras</w:t>
      </w:r>
    </w:p>
    <w:p w14:paraId="5D59D5E7" w14:textId="77777777" w:rsidR="00396133" w:rsidRPr="00752209" w:rsidRDefault="00396133" w:rsidP="00396133">
      <w:pPr>
        <w:jc w:val="both"/>
      </w:pPr>
      <w:r>
        <w:lastRenderedPageBreak/>
        <w:t xml:space="preserve">            </w:t>
      </w:r>
      <w:r w:rsidRPr="00752209">
        <w:t>1. Pagal PMĮ pelno mokestį moka Lietuvos apmokestinamasis vienetas – juridinis asmuo, įregistruotas Lietuvos Respublikos teisės aktų nustatyta tvarka, taip pat Lietuvos Respublikoje įsteigtas kolektyvinio investavimo subjektas, neturintis juridinio asmens statuso. Kai kolektyvinio investavimo subjekto valdymas perduotas valdymo įmonei, šio Įstatymo nustatytą kolektyvinio investavimo subjekto uždirbto pelno ir (arba) gautų, išmokamų pajamų apmokestinimo tvarką taiko valdymo įmonė. Lietuvos apmokestinamojo vieneto sąvoka pateikta PMĮ 2 str. 2 dalyje.</w:t>
      </w:r>
    </w:p>
    <w:p w14:paraId="5A6FE0A0" w14:textId="77777777" w:rsidR="00396133" w:rsidRPr="00396133" w:rsidRDefault="00396133" w:rsidP="00545F5B">
      <w:pPr>
        <w:ind w:firstLine="720"/>
        <w:jc w:val="both"/>
        <w:rPr>
          <w:b/>
        </w:rPr>
      </w:pPr>
      <w:r w:rsidRPr="00396133">
        <w:rPr>
          <w:b/>
        </w:rPr>
        <w:t xml:space="preserve">2) užsienio vienetas. </w:t>
      </w:r>
    </w:p>
    <w:p w14:paraId="11092E93" w14:textId="77777777" w:rsidR="00396133" w:rsidRPr="00396133" w:rsidRDefault="00396133" w:rsidP="00545F5B">
      <w:pPr>
        <w:ind w:firstLine="720"/>
        <w:jc w:val="both"/>
        <w:rPr>
          <w:b/>
        </w:rPr>
      </w:pPr>
      <w:r w:rsidRPr="00396133">
        <w:rPr>
          <w:b/>
        </w:rPr>
        <w:t xml:space="preserve">Komentaras </w:t>
      </w:r>
    </w:p>
    <w:p w14:paraId="284C65B7" w14:textId="77777777" w:rsidR="00396133" w:rsidRPr="00752209" w:rsidRDefault="00396133" w:rsidP="00545F5B">
      <w:pPr>
        <w:ind w:firstLine="720"/>
        <w:jc w:val="both"/>
      </w:pPr>
      <w:r w:rsidRPr="00752209">
        <w:t xml:space="preserve">Pagal PMĮ pelno mokestį moka užsienio apmokestinamasis vienetas – tai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įskaitant kolektyvinio investavimo subjektus. Užsienio apmokestinamojo vieneto sąvoka paaiškinta PMĮ 2 straipsnio 3 dalies komentare. Užsienio vienetas pelno mokestį moka: </w:t>
      </w:r>
    </w:p>
    <w:p w14:paraId="15E6ECAF" w14:textId="77777777" w:rsidR="00396133" w:rsidRPr="00752209" w:rsidRDefault="00396133" w:rsidP="00545F5B">
      <w:pPr>
        <w:ind w:firstLine="720"/>
        <w:jc w:val="both"/>
      </w:pPr>
      <w:r w:rsidRPr="00752209">
        <w:t xml:space="preserve">a) nuo apmokestinamojo pelno, jei užsienio vienetas Lietuvos teritorijoje pajamas uždirba per nuolatinę buveinę (nuolatinės buveinės sąvoka paaiškinta PMĮ 2 str. 22 dalyje), arba </w:t>
      </w:r>
    </w:p>
    <w:p w14:paraId="5712A8D3" w14:textId="77777777" w:rsidR="00545F5B" w:rsidRDefault="00396133" w:rsidP="00545F5B">
      <w:pPr>
        <w:ind w:firstLine="720"/>
        <w:jc w:val="both"/>
      </w:pPr>
      <w:r w:rsidRPr="00752209">
        <w:t>b) prie pajamų šaltinio, nuo PMĮ 4 str. 4 dalyje išvardytų pajamų, gautų ne per nuolatinę buveinę.</w:t>
      </w:r>
      <w:r w:rsidR="00545F5B">
        <w:t xml:space="preserve"> </w:t>
      </w:r>
    </w:p>
    <w:p w14:paraId="01E389C9" w14:textId="77777777" w:rsidR="00396133" w:rsidRPr="00545F5B" w:rsidRDefault="00396133" w:rsidP="00545F5B">
      <w:pPr>
        <w:ind w:firstLine="720"/>
        <w:jc w:val="both"/>
      </w:pPr>
      <w:r>
        <w:t>(Pakeista p</w:t>
      </w:r>
      <w:r w:rsidR="00545F5B">
        <w:t>agal VMI prie FM 202</w:t>
      </w:r>
      <w:r>
        <w:t>0-10-14 raštą Nr. (18.10-31-1 E) RM-53743</w:t>
      </w:r>
    </w:p>
    <w:p w14:paraId="1129A369" w14:textId="77777777" w:rsidR="00396133" w:rsidRDefault="00396133" w:rsidP="00396133">
      <w:pPr>
        <w:pStyle w:val="Tekstoblokas"/>
        <w:ind w:left="0" w:right="-83"/>
      </w:pPr>
    </w:p>
    <w:p w14:paraId="056EC041" w14:textId="77777777" w:rsidR="00093845" w:rsidRDefault="000D779E">
      <w:pPr>
        <w:ind w:right="-83" w:firstLine="720"/>
        <w:jc w:val="both"/>
        <w:rPr>
          <w:b/>
          <w:bCs/>
          <w:lang w:val="lt-LT"/>
        </w:rPr>
      </w:pPr>
      <w:r>
        <w:rPr>
          <w:b/>
          <w:bCs/>
          <w:lang w:val="lt-LT"/>
        </w:rPr>
        <w:t>2. Šio įstatymo nustatyta tvarka pelno mokesčio nemoka:</w:t>
      </w:r>
    </w:p>
    <w:p w14:paraId="04D21E36" w14:textId="77777777" w:rsidR="00093845" w:rsidRDefault="000D779E">
      <w:pPr>
        <w:tabs>
          <w:tab w:val="left" w:pos="720"/>
          <w:tab w:val="left" w:pos="1077"/>
          <w:tab w:val="left" w:pos="1418"/>
        </w:tabs>
        <w:ind w:right="-83" w:firstLine="720"/>
        <w:jc w:val="both"/>
        <w:rPr>
          <w:lang w:val="lt-LT"/>
        </w:rPr>
      </w:pPr>
      <w:r>
        <w:rPr>
          <w:lang w:val="lt-LT"/>
        </w:rPr>
        <w:t>PMĮ 3 str. 2 d. 1, 2, 3, 4, 5 ir 6 punktuose išvardyti juridiniai asmenys nemoka pelno mokesčio nuo apmokestinamojo pelno, tačiau PMĮ nustatytais atvejais jie privalo išskaičiuoti pelno mokestį prie pajamų šaltinio.</w:t>
      </w:r>
    </w:p>
    <w:p w14:paraId="0BDDB19F" w14:textId="77777777" w:rsidR="00093845" w:rsidRDefault="000D779E">
      <w:pPr>
        <w:tabs>
          <w:tab w:val="left" w:pos="720"/>
          <w:tab w:val="left" w:pos="1077"/>
          <w:tab w:val="left" w:pos="1418"/>
        </w:tabs>
        <w:ind w:right="-83" w:firstLine="720"/>
        <w:jc w:val="both"/>
        <w:rPr>
          <w:b/>
          <w:lang w:val="lt-LT"/>
        </w:rPr>
      </w:pPr>
      <w:r>
        <w:rPr>
          <w:b/>
          <w:lang w:val="lt-LT"/>
        </w:rPr>
        <w:t>1)</w:t>
      </w:r>
      <w:r>
        <w:rPr>
          <w:b/>
          <w:lang w:val="lt-LT"/>
        </w:rPr>
        <w:tab/>
        <w:t>biudžetinės įstaigos;</w:t>
      </w:r>
    </w:p>
    <w:p w14:paraId="52F3D67C" w14:textId="77777777" w:rsidR="00093845" w:rsidRDefault="000D779E">
      <w:pPr>
        <w:tabs>
          <w:tab w:val="left" w:pos="720"/>
          <w:tab w:val="left" w:pos="1077"/>
          <w:tab w:val="left" w:pos="1418"/>
        </w:tabs>
        <w:ind w:right="-83" w:firstLine="720"/>
        <w:jc w:val="both"/>
        <w:rPr>
          <w:b/>
          <w:lang w:val="lt-LT"/>
        </w:rPr>
      </w:pPr>
      <w:r>
        <w:rPr>
          <w:b/>
          <w:lang w:val="lt-LT"/>
        </w:rPr>
        <w:t>Komentaras</w:t>
      </w:r>
    </w:p>
    <w:p w14:paraId="6F7835F3" w14:textId="77777777" w:rsidR="00093845" w:rsidRDefault="000D779E">
      <w:pPr>
        <w:tabs>
          <w:tab w:val="left" w:pos="720"/>
          <w:tab w:val="left" w:pos="1077"/>
          <w:tab w:val="left" w:pos="1418"/>
        </w:tabs>
        <w:ind w:right="-83" w:firstLine="720"/>
        <w:jc w:val="both"/>
        <w:rPr>
          <w:lang w:val="lt-LT"/>
        </w:rPr>
      </w:pPr>
      <w:r>
        <w:rPr>
          <w:lang w:val="lt-LT"/>
        </w:rPr>
        <w:t>Biudžetinės įstaigos – tai valstybės arba savivaldybių institucijos, steigiamos įstatymų nustatyta tvarka, visiškai arba iš dalies išlaikomos iš biudžeto ir taip įvardytos steigimo aktuose bei nuostatuose. Biudžetinės įstaigos yra steigiamos tam tikriems visuomenės poreikiams tenkinti. Biudžetinių įstaigų steigimo, reorganizavimo ir likvidavimo, valdymo, finansavimo ir kiti su jų veikla susiję pagrindai nustatyti Lietuvos Respublikos biudžetinių įstaigų įstatyme.</w:t>
      </w:r>
    </w:p>
    <w:p w14:paraId="71BAA27C" w14:textId="77777777" w:rsidR="00093845" w:rsidRDefault="000D779E">
      <w:pPr>
        <w:tabs>
          <w:tab w:val="left" w:pos="720"/>
          <w:tab w:val="left" w:pos="1077"/>
          <w:tab w:val="left" w:pos="1418"/>
        </w:tabs>
        <w:ind w:right="-83" w:firstLine="720"/>
        <w:jc w:val="both"/>
        <w:rPr>
          <w:b/>
          <w:lang w:val="lt-LT"/>
        </w:rPr>
      </w:pPr>
      <w:r>
        <w:rPr>
          <w:b/>
          <w:lang w:val="lt-LT"/>
        </w:rPr>
        <w:t>2)</w:t>
      </w:r>
      <w:r>
        <w:rPr>
          <w:b/>
          <w:lang w:val="lt-LT"/>
        </w:rPr>
        <w:tab/>
        <w:t>Lietuvos bankas;</w:t>
      </w:r>
    </w:p>
    <w:p w14:paraId="1FF86EF4" w14:textId="77777777" w:rsidR="00093845" w:rsidRDefault="000D779E">
      <w:pPr>
        <w:tabs>
          <w:tab w:val="left" w:pos="720"/>
          <w:tab w:val="left" w:pos="1077"/>
          <w:tab w:val="left" w:pos="1418"/>
        </w:tabs>
        <w:ind w:right="-83" w:firstLine="720"/>
        <w:jc w:val="both"/>
        <w:rPr>
          <w:b/>
          <w:lang w:val="lt-LT"/>
        </w:rPr>
      </w:pPr>
      <w:r>
        <w:rPr>
          <w:b/>
          <w:lang w:val="lt-LT"/>
        </w:rPr>
        <w:t>Komentaras</w:t>
      </w:r>
    </w:p>
    <w:p w14:paraId="18C53C84" w14:textId="77777777" w:rsidR="00093845" w:rsidRDefault="000D779E">
      <w:pPr>
        <w:tabs>
          <w:tab w:val="left" w:pos="720"/>
          <w:tab w:val="left" w:pos="1077"/>
          <w:tab w:val="left" w:pos="1418"/>
        </w:tabs>
        <w:ind w:right="-83" w:firstLine="720"/>
        <w:jc w:val="both"/>
        <w:rPr>
          <w:lang w:val="lt-LT"/>
        </w:rPr>
      </w:pPr>
      <w:r>
        <w:rPr>
          <w:lang w:val="lt-LT"/>
        </w:rPr>
        <w:t xml:space="preserve">Lietuvos banko steigimo, valdymo ir veiklos tvarką reguliuoja </w:t>
      </w:r>
      <w:r w:rsidR="00273C75" w:rsidRPr="009C0219">
        <w:rPr>
          <w:rStyle w:val="Hipersaitas"/>
          <w:rFonts w:ascii="Times New Roman" w:hAnsi="Times New Roman" w:cs="Times New Roman"/>
          <w:b w:val="0"/>
          <w:bCs w:val="0"/>
          <w:kern w:val="0"/>
          <w:lang w:val="lt-LT"/>
        </w:rPr>
        <w:t>Lietuvos banko įstatymas</w:t>
      </w:r>
      <w:r>
        <w:rPr>
          <w:lang w:val="lt-LT"/>
        </w:rPr>
        <w:t xml:space="preserve">. </w:t>
      </w:r>
    </w:p>
    <w:p w14:paraId="61AF5E6E" w14:textId="77777777" w:rsidR="00093845" w:rsidRDefault="000D779E">
      <w:pPr>
        <w:tabs>
          <w:tab w:val="left" w:pos="720"/>
          <w:tab w:val="left" w:pos="1077"/>
          <w:tab w:val="left" w:pos="1418"/>
        </w:tabs>
        <w:ind w:right="-83" w:firstLine="720"/>
        <w:jc w:val="both"/>
        <w:rPr>
          <w:b/>
          <w:lang w:val="lt-LT"/>
        </w:rPr>
      </w:pPr>
      <w:r>
        <w:rPr>
          <w:b/>
          <w:lang w:val="lt-LT"/>
        </w:rPr>
        <w:t>3)</w:t>
      </w:r>
      <w:r>
        <w:rPr>
          <w:b/>
          <w:lang w:val="lt-LT"/>
        </w:rPr>
        <w:tab/>
        <w:t>valstybė ir savivaldybės;</w:t>
      </w:r>
    </w:p>
    <w:p w14:paraId="1FC690EF" w14:textId="77777777" w:rsidR="00093845" w:rsidRDefault="000D779E">
      <w:pPr>
        <w:tabs>
          <w:tab w:val="left" w:pos="720"/>
          <w:tab w:val="left" w:pos="1077"/>
          <w:tab w:val="left" w:pos="1418"/>
        </w:tabs>
        <w:ind w:right="-83" w:firstLine="720"/>
        <w:jc w:val="both"/>
        <w:rPr>
          <w:b/>
          <w:lang w:val="lt-LT"/>
        </w:rPr>
      </w:pPr>
      <w:r>
        <w:rPr>
          <w:b/>
          <w:lang w:val="lt-LT"/>
        </w:rPr>
        <w:t>Komentaras</w:t>
      </w:r>
    </w:p>
    <w:p w14:paraId="1FB2D4AD" w14:textId="77777777" w:rsidR="00093845" w:rsidRDefault="000D779E">
      <w:pPr>
        <w:tabs>
          <w:tab w:val="left" w:pos="720"/>
          <w:tab w:val="left" w:pos="1077"/>
          <w:tab w:val="left" w:pos="1418"/>
        </w:tabs>
        <w:ind w:right="-83" w:firstLine="720"/>
        <w:jc w:val="both"/>
        <w:rPr>
          <w:lang w:val="lt-LT"/>
        </w:rPr>
      </w:pPr>
      <w:r>
        <w:rPr>
          <w:lang w:val="lt-LT"/>
        </w:rPr>
        <w:t>Valstybė ir savivaldybės pelno mokesčio nemoka.</w:t>
      </w:r>
    </w:p>
    <w:p w14:paraId="2A95BF00" w14:textId="77777777" w:rsidR="00093845" w:rsidRDefault="000D779E">
      <w:pPr>
        <w:tabs>
          <w:tab w:val="left" w:pos="720"/>
          <w:tab w:val="left" w:pos="1077"/>
          <w:tab w:val="left" w:pos="1418"/>
        </w:tabs>
        <w:ind w:right="-83" w:firstLine="720"/>
        <w:jc w:val="both"/>
        <w:rPr>
          <w:lang w:val="lt-LT"/>
        </w:rPr>
      </w:pPr>
      <w:r>
        <w:rPr>
          <w:lang w:val="lt-LT"/>
        </w:rPr>
        <w:t>(</w:t>
      </w:r>
      <w:r w:rsidR="00357561">
        <w:rPr>
          <w:lang w:val="lt-LT"/>
        </w:rPr>
        <w:t>P</w:t>
      </w:r>
      <w:r>
        <w:rPr>
          <w:lang w:val="lt-LT"/>
        </w:rPr>
        <w:t>akeista pagal VMI prie FM 2008-05-26 raštą Nr. (18.10-31-1)-R-4853)</w:t>
      </w:r>
    </w:p>
    <w:p w14:paraId="4DCD27C9" w14:textId="77777777" w:rsidR="00093845" w:rsidRDefault="000D779E">
      <w:pPr>
        <w:tabs>
          <w:tab w:val="left" w:pos="720"/>
          <w:tab w:val="left" w:pos="1077"/>
          <w:tab w:val="left" w:pos="1418"/>
        </w:tabs>
        <w:ind w:right="-83" w:firstLine="720"/>
        <w:jc w:val="both"/>
        <w:rPr>
          <w:b/>
          <w:lang w:val="lt-LT"/>
        </w:rPr>
      </w:pPr>
      <w:r>
        <w:rPr>
          <w:b/>
          <w:lang w:val="lt-LT"/>
        </w:rPr>
        <w:t>4)</w:t>
      </w:r>
      <w:r>
        <w:rPr>
          <w:b/>
          <w:lang w:val="lt-LT"/>
        </w:rPr>
        <w:tab/>
        <w:t>valstybės ir vietos savivaldos institucijos, įstaigos, tarnybos ar organizacijos;</w:t>
      </w:r>
    </w:p>
    <w:p w14:paraId="527C1A1E" w14:textId="77777777" w:rsidR="00093845" w:rsidRDefault="000D779E">
      <w:pPr>
        <w:tabs>
          <w:tab w:val="left" w:pos="720"/>
          <w:tab w:val="left" w:pos="1077"/>
          <w:tab w:val="left" w:pos="1418"/>
        </w:tabs>
        <w:ind w:right="-83" w:firstLine="720"/>
        <w:jc w:val="both"/>
        <w:rPr>
          <w:b/>
          <w:lang w:val="lt-LT"/>
        </w:rPr>
      </w:pPr>
      <w:r>
        <w:rPr>
          <w:b/>
          <w:lang w:val="lt-LT"/>
        </w:rPr>
        <w:lastRenderedPageBreak/>
        <w:t>Komentaras</w:t>
      </w:r>
    </w:p>
    <w:p w14:paraId="7E02D167" w14:textId="77777777" w:rsidR="00093845" w:rsidRDefault="000D779E">
      <w:pPr>
        <w:tabs>
          <w:tab w:val="left" w:pos="720"/>
          <w:tab w:val="left" w:pos="1077"/>
          <w:tab w:val="left" w:pos="1418"/>
        </w:tabs>
        <w:ind w:right="-83" w:firstLine="720"/>
        <w:jc w:val="both"/>
        <w:rPr>
          <w:lang w:val="lt-LT"/>
        </w:rPr>
      </w:pPr>
      <w:r>
        <w:rPr>
          <w:lang w:val="lt-LT"/>
        </w:rPr>
        <w:t>Valstybės ir vietos savivaldos įsteigtoms institucijoms bei įstaigoms priskiriamos atstovaujamosios, valstybės vadovo, vykdomosios valdžios institucijos, teisminės, teisėsaugos institucijos ir įstaigos, kurios finansuojamos iš valstybės, savivaldybių biudžetų bei valstybės pinigų fondų ir kurioms įstatymais suteikiama viešojo administravimo įgaliojimai.</w:t>
      </w:r>
    </w:p>
    <w:p w14:paraId="399DB599" w14:textId="77777777" w:rsidR="000A111D" w:rsidRDefault="000A111D" w:rsidP="000A111D">
      <w:pPr>
        <w:tabs>
          <w:tab w:val="left" w:pos="720"/>
          <w:tab w:val="left" w:pos="1077"/>
          <w:tab w:val="left" w:pos="1418"/>
        </w:tabs>
        <w:ind w:right="-83" w:firstLine="720"/>
        <w:jc w:val="both"/>
        <w:rPr>
          <w:b/>
          <w:lang w:val="lt-LT"/>
        </w:rPr>
      </w:pPr>
      <w:r>
        <w:rPr>
          <w:b/>
          <w:lang w:val="lt-LT"/>
        </w:rPr>
        <w:t>5)</w:t>
      </w:r>
      <w:r>
        <w:rPr>
          <w:b/>
          <w:lang w:val="lt-LT"/>
        </w:rPr>
        <w:tab/>
      </w:r>
      <w:r w:rsidRPr="007C0179">
        <w:rPr>
          <w:b/>
          <w:lang w:val="lt-LT"/>
        </w:rPr>
        <w:t>viešoji įstaiga</w:t>
      </w:r>
      <w:r>
        <w:rPr>
          <w:b/>
          <w:lang w:val="lt-LT"/>
        </w:rPr>
        <w:t xml:space="preserve"> ,,Indėlių ir investicijų draudimas“;</w:t>
      </w:r>
    </w:p>
    <w:p w14:paraId="724C7CE1" w14:textId="77777777" w:rsidR="000A111D" w:rsidRPr="00113DB1" w:rsidRDefault="000A111D" w:rsidP="000A111D">
      <w:pPr>
        <w:tabs>
          <w:tab w:val="left" w:pos="720"/>
          <w:tab w:val="left" w:pos="1077"/>
          <w:tab w:val="left" w:pos="1418"/>
        </w:tabs>
        <w:ind w:right="-83" w:firstLine="720"/>
        <w:jc w:val="both"/>
        <w:rPr>
          <w:i/>
          <w:lang w:val="lt-LT"/>
        </w:rPr>
      </w:pPr>
      <w:r w:rsidRPr="00113DB1">
        <w:rPr>
          <w:i/>
          <w:lang w:val="lt-LT"/>
        </w:rPr>
        <w:t>Keista: 2025-12-09 įstatymu Nr. XV-630 (nuo 2025-12-12)</w:t>
      </w:r>
    </w:p>
    <w:p w14:paraId="7B5FBCD2" w14:textId="77777777" w:rsidR="000A111D" w:rsidRDefault="000A111D" w:rsidP="000A111D">
      <w:pPr>
        <w:tabs>
          <w:tab w:val="left" w:pos="720"/>
          <w:tab w:val="left" w:pos="1077"/>
          <w:tab w:val="left" w:pos="1418"/>
        </w:tabs>
        <w:ind w:right="-83" w:firstLine="720"/>
        <w:jc w:val="both"/>
        <w:rPr>
          <w:b/>
          <w:lang w:val="lt-LT"/>
        </w:rPr>
      </w:pPr>
      <w:r>
        <w:rPr>
          <w:b/>
          <w:lang w:val="lt-LT"/>
        </w:rPr>
        <w:t>Komentaras</w:t>
      </w:r>
    </w:p>
    <w:p w14:paraId="22DBB283" w14:textId="615C068F" w:rsidR="000A111D" w:rsidRDefault="000A111D" w:rsidP="000A111D">
      <w:pPr>
        <w:tabs>
          <w:tab w:val="left" w:pos="720"/>
          <w:tab w:val="left" w:pos="1077"/>
          <w:tab w:val="left" w:pos="1418"/>
        </w:tabs>
        <w:ind w:right="-83" w:firstLine="720"/>
        <w:jc w:val="both"/>
        <w:rPr>
          <w:lang w:val="lt-LT"/>
        </w:rPr>
      </w:pPr>
      <w:r w:rsidRPr="00113DB1">
        <w:rPr>
          <w:lang w:val="lt-LT"/>
        </w:rPr>
        <w:t>Pagal PMĮ 3 str. 2 dalies 5 punktą pelno mokesčio nemoka Viešoji įstaiga „Indėlių ir investicijų draudimas“.</w:t>
      </w:r>
    </w:p>
    <w:p w14:paraId="227473EB" w14:textId="075CD269" w:rsidR="000A111D" w:rsidRPr="000A111D" w:rsidRDefault="000A111D" w:rsidP="000A111D">
      <w:r>
        <w:rPr>
          <w:lang w:val="lt-LT"/>
        </w:rPr>
        <w:tab/>
        <w:t xml:space="preserve">(Pakeista pagal </w:t>
      </w:r>
      <w:r w:rsidRPr="0051529C">
        <w:t xml:space="preserve">VMI prie FM </w:t>
      </w:r>
      <w:r w:rsidRPr="005E14CD">
        <w:t>2026-02-06</w:t>
      </w:r>
      <w:r>
        <w:t xml:space="preserve"> raštą</w:t>
      </w:r>
      <w:r w:rsidRPr="005E14CD">
        <w:t xml:space="preserve"> Nr. (18.10-31-1 Mr) RM-3848</w:t>
      </w:r>
      <w:r>
        <w:t>)</w:t>
      </w:r>
    </w:p>
    <w:p w14:paraId="4A7F27BB" w14:textId="77777777" w:rsidR="00093845" w:rsidRDefault="000C7FFC">
      <w:pPr>
        <w:ind w:right="-83" w:firstLine="567"/>
        <w:jc w:val="both"/>
        <w:rPr>
          <w:b/>
          <w:bCs/>
          <w:lang w:val="lt-LT"/>
        </w:rPr>
      </w:pPr>
      <w:r>
        <w:rPr>
          <w:b/>
          <w:bCs/>
          <w:lang w:val="lt-LT"/>
        </w:rPr>
        <w:t xml:space="preserve">   </w:t>
      </w:r>
      <w:r w:rsidR="000D779E">
        <w:rPr>
          <w:b/>
          <w:bCs/>
          <w:lang w:val="lt-LT"/>
        </w:rPr>
        <w:t>6) Europos ekonominių interesų grupės.</w:t>
      </w:r>
    </w:p>
    <w:p w14:paraId="0B2404DB" w14:textId="77777777" w:rsidR="00093845" w:rsidRDefault="000D779E">
      <w:pPr>
        <w:pStyle w:val="Antrat1"/>
        <w:ind w:right="-83" w:firstLine="567"/>
        <w:jc w:val="both"/>
        <w:rPr>
          <w:rFonts w:ascii="Times New Roman" w:hAnsi="Times New Roman" w:cs="Times New Roman"/>
          <w:lang w:val="lt-LT"/>
        </w:rPr>
      </w:pPr>
      <w:r>
        <w:rPr>
          <w:rFonts w:ascii="Times New Roman" w:hAnsi="Times New Roman" w:cs="Times New Roman"/>
          <w:lang w:val="lt-LT"/>
        </w:rPr>
        <w:t xml:space="preserve"> Komentaras</w:t>
      </w:r>
    </w:p>
    <w:p w14:paraId="7FDB09D1" w14:textId="77777777" w:rsidR="00093845" w:rsidRDefault="000D779E">
      <w:pPr>
        <w:pStyle w:val="Tekstoblokas"/>
        <w:ind w:left="0" w:right="-83"/>
      </w:pPr>
      <w:r>
        <w:t xml:space="preserve">Europos ekonominių interesų grupės teisinė forma įtvirtinta 1985 m. liepos 25 d. Tarybos Reglamentu (EEB) Nr. 2137/85 ,,Dėl Europos ekonominių interesų grupių (EEIG)“. Grupės nariais gali būti juridiniai asmenys ir kitos organizacijos, kurių buveinė yra Europos Sąjungoje, bei fiziniai asmenys, užsiimantys pramonine, komercine, amatininkystės arba žemės ūkio veikla, arba teikiantys profesines ar kitas paslaugas Europos Sąjungoje, bet bent dviejų EEIG narių buveinės ar pagrindinės veiklos vieta turi būti skirtingose Europos Sąjungos valstybėse narėse. </w:t>
      </w:r>
    </w:p>
    <w:p w14:paraId="111482FA" w14:textId="77777777" w:rsidR="00093845" w:rsidRDefault="000D779E">
      <w:pPr>
        <w:pStyle w:val="Tekstoblokas"/>
        <w:ind w:left="0" w:right="-83"/>
      </w:pPr>
      <w:r>
        <w:t>EEIG veiklos tikslas – padėti savo nariams vykdyti arba plėsti ekonominę veiklą ir siekti kuo geresnių tokios veiklos rezultatų, t.y. nors EEIG veikla yra susijusi su pačių jos narių vykdoma veikla, tačiau ji yra tik ją papildanti veikla; jos tikslas nėra pelno siekimas sau. Todėl EEIG pelnas yra apmokestinamas ne pačios grupės lygmenyje, o jos narių lygmenyje.</w:t>
      </w:r>
    </w:p>
    <w:p w14:paraId="5AF16199" w14:textId="77777777" w:rsidR="00357561" w:rsidRDefault="000D779E">
      <w:pPr>
        <w:pStyle w:val="Tekstoblokas"/>
        <w:ind w:left="0" w:right="-83"/>
      </w:pPr>
      <w:r>
        <w:t xml:space="preserve">EEIG, kurių buveinė yra Lietuvos Respublikoje, toms sritims, kurių nereguliuoja Reglamentas, taikomas Lietuvos Respublikos </w:t>
      </w:r>
      <w:r w:rsidR="00273C75" w:rsidRPr="009C0219">
        <w:rPr>
          <w:rStyle w:val="Hipersaitas"/>
          <w:rFonts w:ascii="Times New Roman" w:hAnsi="Times New Roman" w:cs="Times New Roman"/>
          <w:b w:val="0"/>
          <w:bCs w:val="0"/>
          <w:kern w:val="0"/>
          <w:lang w:val="lt-LT"/>
        </w:rPr>
        <w:t>Europos ekonominių interesų grupių įstatymas</w:t>
      </w:r>
      <w:r>
        <w:t xml:space="preserve">. </w:t>
      </w:r>
    </w:p>
    <w:p w14:paraId="793A0DEF" w14:textId="77777777" w:rsidR="00093845" w:rsidRDefault="000D779E">
      <w:pPr>
        <w:pStyle w:val="Tekstoblokas"/>
        <w:ind w:left="0" w:right="-83"/>
      </w:pPr>
      <w:r>
        <w:t>(</w:t>
      </w:r>
      <w:r w:rsidR="00357561">
        <w:t>Pakeista p</w:t>
      </w:r>
      <w:r>
        <w:t>agal VMI prie FM 2004-08-04 raštą Nr. (18.9-25-1)-R-7944</w:t>
      </w:r>
      <w:r>
        <w:rPr>
          <w:sz w:val="18"/>
        </w:rPr>
        <w:t>)</w:t>
      </w:r>
    </w:p>
    <w:p w14:paraId="3CEC3FF1" w14:textId="77777777" w:rsidR="000A111D" w:rsidRDefault="000A111D" w:rsidP="000A111D">
      <w:pPr>
        <w:tabs>
          <w:tab w:val="left" w:pos="720"/>
          <w:tab w:val="left" w:pos="1077"/>
          <w:tab w:val="left" w:pos="1418"/>
        </w:tabs>
        <w:ind w:right="-83" w:firstLine="720"/>
        <w:jc w:val="both"/>
        <w:rPr>
          <w:lang w:val="lt-LT"/>
        </w:rPr>
      </w:pPr>
      <w:r>
        <w:rPr>
          <w:b/>
        </w:rPr>
        <w:t xml:space="preserve">7) </w:t>
      </w:r>
      <w:r w:rsidRPr="007C0179">
        <w:rPr>
          <w:b/>
          <w:lang w:val="lt-LT"/>
        </w:rPr>
        <w:t>nacionalinis plėtros bankas.</w:t>
      </w:r>
    </w:p>
    <w:p w14:paraId="4E5DD55E" w14:textId="77777777" w:rsidR="000A111D" w:rsidRPr="00113DB1" w:rsidRDefault="000A111D" w:rsidP="000A111D">
      <w:pPr>
        <w:tabs>
          <w:tab w:val="left" w:pos="720"/>
          <w:tab w:val="left" w:pos="1077"/>
          <w:tab w:val="left" w:pos="1418"/>
        </w:tabs>
        <w:ind w:right="-83" w:firstLine="720"/>
        <w:jc w:val="both"/>
        <w:rPr>
          <w:i/>
          <w:lang w:val="lt-LT"/>
        </w:rPr>
      </w:pPr>
      <w:r w:rsidRPr="00113DB1">
        <w:rPr>
          <w:i/>
          <w:lang w:val="lt-LT"/>
        </w:rPr>
        <w:t>Papildyta 2025-12-09 įstatymu Nr. XV-630 (nuo 2025-12-12).</w:t>
      </w:r>
    </w:p>
    <w:p w14:paraId="00CF68AB" w14:textId="77777777" w:rsidR="000A111D" w:rsidRPr="00113DB1" w:rsidRDefault="000A111D" w:rsidP="000A111D">
      <w:pPr>
        <w:tabs>
          <w:tab w:val="left" w:pos="720"/>
          <w:tab w:val="left" w:pos="1077"/>
          <w:tab w:val="left" w:pos="1418"/>
        </w:tabs>
        <w:spacing w:after="0" w:line="240" w:lineRule="auto"/>
        <w:ind w:right="-85" w:firstLine="720"/>
        <w:jc w:val="both"/>
        <w:rPr>
          <w:i/>
          <w:lang w:val="lt-LT"/>
        </w:rPr>
      </w:pPr>
      <w:r w:rsidRPr="00113DB1">
        <w:rPr>
          <w:i/>
          <w:lang w:val="lt-LT"/>
        </w:rPr>
        <w:t>Pastaba. PMĮ 3 straipsnio 2 dalies 7 punktas įsigalioja po 10 darbo dienų nuo Europos Komisijos pritarimo pagal Sutarties dėl Europos Sąjungos veikimo 108 straipsnio 3 dalies nuostatas gavimo dienos.</w:t>
      </w:r>
    </w:p>
    <w:p w14:paraId="2FEF22B7" w14:textId="77777777" w:rsidR="000A111D" w:rsidRPr="00113DB1" w:rsidRDefault="000A111D" w:rsidP="000A111D">
      <w:pPr>
        <w:tabs>
          <w:tab w:val="left" w:pos="720"/>
          <w:tab w:val="left" w:pos="1077"/>
          <w:tab w:val="left" w:pos="1418"/>
        </w:tabs>
        <w:spacing w:after="0" w:line="240" w:lineRule="auto"/>
        <w:ind w:right="-85" w:firstLine="720"/>
        <w:jc w:val="both"/>
        <w:rPr>
          <w:i/>
          <w:lang w:val="lt-LT"/>
        </w:rPr>
      </w:pPr>
      <w:r w:rsidRPr="00113DB1">
        <w:rPr>
          <w:i/>
          <w:lang w:val="lt-LT"/>
        </w:rPr>
        <w:t>Įstatymo 3 straipsnio 2 dalies 7 punkto nuostata taikoma 2026 metų ir vėlesniems mokestiniams laikotarpiams, kol sukaupiami Lietuvos Respublikos akcinių bendrovių įstatyme, Lietuvos Respublikos finansų įstaigų įstatyme ir Lietuvos Respublikos nacionalinio plėtros banko įstatyme nustatyto dydžio rezervai.</w:t>
      </w:r>
    </w:p>
    <w:p w14:paraId="0413A1F9" w14:textId="77777777" w:rsidR="000A111D" w:rsidRDefault="000A111D" w:rsidP="000A111D">
      <w:pPr>
        <w:tabs>
          <w:tab w:val="left" w:pos="720"/>
          <w:tab w:val="left" w:pos="1077"/>
          <w:tab w:val="left" w:pos="1418"/>
        </w:tabs>
        <w:spacing w:after="0" w:line="240" w:lineRule="auto"/>
        <w:ind w:right="-85" w:firstLine="720"/>
        <w:jc w:val="both"/>
        <w:rPr>
          <w:b/>
          <w:lang w:val="lt-LT"/>
        </w:rPr>
      </w:pPr>
    </w:p>
    <w:p w14:paraId="0039841F" w14:textId="77777777" w:rsidR="000A111D" w:rsidRPr="00113DB1" w:rsidRDefault="000A111D" w:rsidP="000A111D">
      <w:pPr>
        <w:tabs>
          <w:tab w:val="left" w:pos="720"/>
          <w:tab w:val="left" w:pos="1077"/>
          <w:tab w:val="left" w:pos="1418"/>
        </w:tabs>
        <w:ind w:right="-83" w:firstLine="720"/>
        <w:jc w:val="both"/>
        <w:rPr>
          <w:b/>
          <w:lang w:val="lt-LT"/>
        </w:rPr>
      </w:pPr>
      <w:r w:rsidRPr="00113DB1">
        <w:rPr>
          <w:b/>
          <w:lang w:val="lt-LT"/>
        </w:rPr>
        <w:t>Komentaras</w:t>
      </w:r>
    </w:p>
    <w:p w14:paraId="398E4D00" w14:textId="232CCFE2" w:rsidR="000A111D" w:rsidRDefault="000A111D" w:rsidP="000A111D">
      <w:pPr>
        <w:tabs>
          <w:tab w:val="left" w:pos="720"/>
          <w:tab w:val="left" w:pos="1077"/>
          <w:tab w:val="left" w:pos="1418"/>
        </w:tabs>
        <w:ind w:right="-83" w:firstLine="720"/>
        <w:jc w:val="both"/>
      </w:pPr>
      <w:r w:rsidRPr="00113DB1">
        <w:rPr>
          <w:lang w:val="lt-LT"/>
        </w:rPr>
        <w:t>Pagal PMĮ 3 straipsnio 2 dalies 7 punktą, pelno mokesčio nemoka Nacionalinis plėtros bankas (toliau – NPB)</w:t>
      </w:r>
      <w:r w:rsidRPr="00113DB1">
        <w:t xml:space="preserve">. </w:t>
      </w:r>
      <w:r w:rsidRPr="00113DB1">
        <w:rPr>
          <w:lang w:val="lt-LT"/>
        </w:rPr>
        <w:t>NPB veikla reglamentuota Lietuvos Respublikos Nacionalinio plėtros banko 2024-11-12 įstatymu Nr. XIV-3098</w:t>
      </w:r>
      <w:r w:rsidRPr="00113DB1">
        <w:t>.</w:t>
      </w:r>
    </w:p>
    <w:p w14:paraId="216027DB" w14:textId="00E5B4FC" w:rsidR="000A111D" w:rsidRPr="005E14CD" w:rsidRDefault="000A111D" w:rsidP="000A111D">
      <w:r>
        <w:rPr>
          <w:lang w:val="lt-LT"/>
        </w:rPr>
        <w:tab/>
        <w:t xml:space="preserve">(Pakeista pagal </w:t>
      </w:r>
      <w:r w:rsidRPr="0051529C">
        <w:t xml:space="preserve">VMI prie FM </w:t>
      </w:r>
      <w:r w:rsidRPr="005E14CD">
        <w:t>2026-02-06</w:t>
      </w:r>
      <w:r>
        <w:t xml:space="preserve"> raštą</w:t>
      </w:r>
      <w:r w:rsidRPr="005E14CD">
        <w:t xml:space="preserve"> Nr. (18.10-31-1 Mr) RM-3848</w:t>
      </w:r>
      <w:r>
        <w:t>)</w:t>
      </w:r>
    </w:p>
    <w:p w14:paraId="092FD73D" w14:textId="77777777" w:rsidR="000A111D" w:rsidRPr="00113DB1" w:rsidRDefault="000A111D" w:rsidP="000A111D">
      <w:pPr>
        <w:tabs>
          <w:tab w:val="left" w:pos="720"/>
          <w:tab w:val="left" w:pos="1077"/>
          <w:tab w:val="left" w:pos="1418"/>
        </w:tabs>
        <w:ind w:right="-83" w:firstLine="720"/>
        <w:jc w:val="both"/>
      </w:pPr>
    </w:p>
    <w:p w14:paraId="4335847B" w14:textId="77777777" w:rsidR="00093845" w:rsidRDefault="00093845">
      <w:pPr>
        <w:tabs>
          <w:tab w:val="left" w:pos="720"/>
          <w:tab w:val="left" w:pos="1077"/>
          <w:tab w:val="left" w:pos="1418"/>
        </w:tabs>
        <w:ind w:firstLine="720"/>
        <w:jc w:val="both"/>
        <w:rPr>
          <w:b/>
          <w:lang w:val="lt-LT"/>
        </w:rPr>
      </w:pPr>
    </w:p>
    <w:p w14:paraId="772849DB" w14:textId="77777777" w:rsidR="00093845" w:rsidRDefault="000D779E">
      <w:pPr>
        <w:pStyle w:val="Antrat1"/>
        <w:jc w:val="both"/>
        <w:rPr>
          <w:rFonts w:ascii="Times New Roman" w:hAnsi="Times New Roman" w:cs="Times New Roman"/>
          <w:lang w:val="lt-LT"/>
        </w:rPr>
      </w:pPr>
      <w:bookmarkStart w:id="52" w:name="_4_straipsnis._Mokesčio"/>
      <w:bookmarkEnd w:id="52"/>
      <w:r>
        <w:rPr>
          <w:rFonts w:ascii="Times New Roman" w:hAnsi="Times New Roman" w:cs="Times New Roman"/>
          <w:lang w:val="lt-LT"/>
        </w:rPr>
        <w:t>4 STRAIPSNIS. Mokesčio bazė</w:t>
      </w:r>
    </w:p>
    <w:p w14:paraId="5FA65B54" w14:textId="77777777" w:rsidR="00093845" w:rsidRDefault="000D779E">
      <w:pPr>
        <w:pStyle w:val="Pagrindinistekstas"/>
        <w:tabs>
          <w:tab w:val="left" w:pos="720"/>
          <w:tab w:val="left" w:pos="1077"/>
          <w:tab w:val="left" w:pos="1134"/>
          <w:tab w:val="left" w:pos="1418"/>
        </w:tabs>
        <w:ind w:right="-85" w:firstLine="720"/>
        <w:rPr>
          <w:b/>
          <w:bCs/>
          <w:lang w:val="lt-LT"/>
        </w:rPr>
      </w:pPr>
      <w:r>
        <w:rPr>
          <w:b/>
          <w:bCs/>
          <w:lang w:val="lt-LT"/>
        </w:rPr>
        <w:t>1. Lietuvos vieneto mokesčio bazė yra visos Lietuvos Respublikoje ir užsienio valstybėse uždirbtos pajamos, kurių šaltinis yra Lietuvos Respublikoje ir ne Lietuvos Respublikoje. Per Lietuvos vieneto nuolatines buveines, esančias Europos ekonominės erdvės valstybėse arba valstybėse, su kuriomis Lietuvos Respublika yra sudariusi ir taiko dvigubo apmokestinimo išvengimo sutartis, vykdomos veiklos pajamos nepriskiriamos Lietuvos vieneto mokesčio bazei, jeigu per šias nuolatines buveines vykdomos veiklos pajamos nustatyta tvarka apmokestinamos pelno mokesčiu ar jam tapačiu mokesčiu tose valstybėse.</w:t>
      </w:r>
    </w:p>
    <w:p w14:paraId="0C0AA0A0" w14:textId="77777777" w:rsidR="00093845" w:rsidRPr="00F62677" w:rsidRDefault="000D779E" w:rsidP="00C074BE">
      <w:pPr>
        <w:pStyle w:val="Pagrindinistekstas"/>
        <w:tabs>
          <w:tab w:val="left" w:pos="720"/>
          <w:tab w:val="left" w:pos="1077"/>
          <w:tab w:val="left" w:pos="1134"/>
          <w:tab w:val="left" w:pos="1418"/>
        </w:tabs>
        <w:ind w:right="-85"/>
        <w:rPr>
          <w:i/>
          <w:iCs/>
          <w:lang w:val="lt-LT"/>
        </w:rPr>
      </w:pPr>
      <w:r w:rsidRPr="00F62677">
        <w:rPr>
          <w:i/>
          <w:lang w:val="lt-LT"/>
        </w:rPr>
        <w:t>(KEISTA: 2009 12 09 įstatymu Nr. XI-539 (nuo 2009 12 28)</w:t>
      </w:r>
      <w:r w:rsidRPr="00F62677">
        <w:rPr>
          <w:bCs/>
          <w:i/>
          <w:lang w:val="lt-LT"/>
        </w:rPr>
        <w:t xml:space="preserve">, </w:t>
      </w:r>
      <w:r w:rsidRPr="00F62677">
        <w:rPr>
          <w:i/>
          <w:iCs/>
          <w:lang w:val="lt-LT"/>
        </w:rPr>
        <w:t>nuostatos taikomos apskaičiuojant 2010 metais prasidėjusio mokestinio laikotarpio ir vėlesnių mokestinių laikotarpių pelno mokestį)</w:t>
      </w:r>
    </w:p>
    <w:p w14:paraId="0EC0DE50" w14:textId="77777777" w:rsidR="00093845" w:rsidRDefault="000D779E">
      <w:pPr>
        <w:pStyle w:val="Pagrindinistekstas"/>
        <w:tabs>
          <w:tab w:val="left" w:pos="720"/>
          <w:tab w:val="left" w:pos="1077"/>
          <w:tab w:val="left" w:pos="1134"/>
          <w:tab w:val="left" w:pos="1418"/>
        </w:tabs>
        <w:ind w:right="-85" w:firstLine="720"/>
        <w:rPr>
          <w:b/>
          <w:iCs/>
          <w:lang w:val="lt-LT"/>
        </w:rPr>
      </w:pPr>
      <w:r>
        <w:rPr>
          <w:b/>
          <w:iCs/>
          <w:lang w:val="lt-LT"/>
        </w:rPr>
        <w:t>Komentaras</w:t>
      </w:r>
    </w:p>
    <w:p w14:paraId="181D61C8" w14:textId="77777777" w:rsidR="00093845" w:rsidRDefault="000D779E">
      <w:pPr>
        <w:pStyle w:val="Pagrindinistekstas"/>
        <w:tabs>
          <w:tab w:val="left" w:pos="720"/>
          <w:tab w:val="left" w:pos="1077"/>
          <w:tab w:val="left" w:pos="1134"/>
          <w:tab w:val="left" w:pos="1418"/>
        </w:tabs>
        <w:ind w:right="-85" w:firstLine="720"/>
        <w:rPr>
          <w:bCs/>
          <w:lang w:val="lt-LT"/>
        </w:rPr>
      </w:pPr>
      <w:r>
        <w:rPr>
          <w:bCs/>
          <w:lang w:val="lt-LT"/>
        </w:rPr>
        <w:t>1. Apskaičiuojant Lietuvos vieneto apmokestinamąjį pelną, Lietuvos vienetas į pajamas</w:t>
      </w:r>
      <w:r>
        <w:rPr>
          <w:lang w:val="lt-LT"/>
        </w:rPr>
        <w:t xml:space="preserve"> neturi įtraukti pajamų, uždirbtų per nuolatines buveines, esančias </w:t>
      </w:r>
      <w:r>
        <w:rPr>
          <w:bCs/>
          <w:lang w:val="lt-LT"/>
        </w:rPr>
        <w:t>Europos ekonominės erdvės valstybėse arba valstybėse, su kuriomis Lietuvos Respublika yra sudariusi ir taiko dvigubo apmokestinimo išvengimo sutartis.</w:t>
      </w:r>
    </w:p>
    <w:p w14:paraId="3A3CEA68" w14:textId="77777777" w:rsidR="00093845" w:rsidRDefault="000D779E">
      <w:pPr>
        <w:pStyle w:val="Pagrindinistekstas"/>
        <w:tabs>
          <w:tab w:val="left" w:pos="720"/>
          <w:tab w:val="left" w:pos="1077"/>
          <w:tab w:val="left" w:pos="1134"/>
          <w:tab w:val="left" w:pos="1418"/>
        </w:tabs>
        <w:ind w:right="-85" w:firstLine="720"/>
        <w:rPr>
          <w:lang w:val="lt-LT"/>
        </w:rPr>
      </w:pPr>
      <w:r>
        <w:rPr>
          <w:lang w:val="lt-LT"/>
        </w:rPr>
        <w:t xml:space="preserve">Ši įstatymo nuostata, iš esmės reiškia, kad naikinant dvigubą Lietuvos vieneto, veikiančio per nuolatinę buveinę kitoje valstybėje, priklausančioje Europos ekonominei erdvei (toliau – EEE) arba su kuria Lietuva sudariusi ir taiko dvigubo apmokestinimo išvengimo sutartis, apmokestinimą, taikomas atleidimo metodas – t.y. Lietuvos vieneto nuolatinei buveinei priskiriamas pelnas Lietuvoje neapmokestinamas. Lietuvos vieneto, veikiančio per nuolatinę buveinę užsienio valstybėje, nepriklausančioje EEE arba su kuria Lietuva nėra sudariusi dvigubo apmokestinimo išvengimo sutarties (arba ji nėra taikoma), per mokestinį laikotarpį gautos arba uždirbtos pajamos buvo apmokestintos ir Lietuvoje, ir užsienio valstybėje, kurioje tos pajamos buvo gautos arba uždirbtos, Lietuvos vieneto užsienio valstybėje gautų pajamų dvigubas apmokestinimas naikinamas, taikant užsienio valstybėje sumokėto mokesčio sumos atskaitymo iš Lietuvoje vieneto mokėtino pelno mokesčio sumos metodą (taikomos PMĮ 55 straipsnio nuostatos). </w:t>
      </w:r>
    </w:p>
    <w:p w14:paraId="4DF96CD3" w14:textId="77777777" w:rsidR="00093845" w:rsidRDefault="000D779E">
      <w:pPr>
        <w:pStyle w:val="Pagrindinistekstas"/>
        <w:tabs>
          <w:tab w:val="left" w:pos="720"/>
          <w:tab w:val="left" w:pos="1077"/>
          <w:tab w:val="left" w:pos="1134"/>
          <w:tab w:val="left" w:pos="1418"/>
        </w:tabs>
        <w:ind w:right="-85" w:firstLine="720"/>
        <w:rPr>
          <w:bCs/>
          <w:lang w:val="lt-LT"/>
        </w:rPr>
      </w:pPr>
      <w:r>
        <w:rPr>
          <w:lang w:val="lt-LT"/>
        </w:rPr>
        <w:t xml:space="preserve">Šios PMĮ nuostatos taikymui įmonė turi turėti dokumentus, pagal kuriuos galima būtų identifikuoti, kad Lietuvos vienetas vykdo veiklą per nuolatinę buveinę, esančią </w:t>
      </w:r>
      <w:r>
        <w:rPr>
          <w:bCs/>
          <w:lang w:val="lt-LT"/>
        </w:rPr>
        <w:t xml:space="preserve">EEE valstybėse arba valstybėse, su kuriomis Lietuvos Respublika yra sudariusi ir taiko dvigubo apmokestinimo išvengimo sutartis, ir tokios nuolatinės buveinės pajamos yra apmokestinamos pelno mokesčiu ar jam tapačiu mokesčius tose valstybėse. </w:t>
      </w:r>
    </w:p>
    <w:p w14:paraId="74D0BAB5" w14:textId="77777777" w:rsidR="00093845" w:rsidRDefault="000D779E">
      <w:pPr>
        <w:pStyle w:val="Pagrindinistekstas"/>
        <w:tabs>
          <w:tab w:val="left" w:pos="720"/>
          <w:tab w:val="left" w:pos="1077"/>
          <w:tab w:val="left" w:pos="1134"/>
          <w:tab w:val="left" w:pos="1418"/>
        </w:tabs>
        <w:ind w:right="-85" w:firstLine="720"/>
        <w:rPr>
          <w:bCs/>
          <w:lang w:val="lt-LT"/>
        </w:rPr>
      </w:pPr>
      <w:r>
        <w:rPr>
          <w:bCs/>
          <w:lang w:val="lt-LT"/>
        </w:rPr>
        <w:t>Pavyzdys</w:t>
      </w:r>
    </w:p>
    <w:p w14:paraId="0697ACB7" w14:textId="77777777" w:rsidR="00093845" w:rsidRDefault="00093845">
      <w:pPr>
        <w:pStyle w:val="Pagrindinistekstas"/>
        <w:tabs>
          <w:tab w:val="left" w:pos="720"/>
          <w:tab w:val="left" w:pos="1077"/>
          <w:tab w:val="left" w:pos="1134"/>
          <w:tab w:val="left" w:pos="1418"/>
        </w:tabs>
        <w:ind w:right="-85" w:firstLine="720"/>
        <w:rPr>
          <w:b/>
          <w:lang w:val="lt-LT"/>
        </w:rPr>
      </w:pPr>
    </w:p>
    <w:p w14:paraId="03C99ECF"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right="-85" w:firstLine="720"/>
        <w:rPr>
          <w:lang w:val="lt-LT"/>
        </w:rPr>
      </w:pPr>
      <w:r>
        <w:rPr>
          <w:bCs/>
          <w:lang w:val="lt-LT"/>
        </w:rPr>
        <w:t xml:space="preserve">Estijoje pelno mokesčiu apmokestinamas tik </w:t>
      </w:r>
      <w:r>
        <w:rPr>
          <w:lang w:val="lt-LT"/>
        </w:rPr>
        <w:t xml:space="preserve">paskirstytasis pelnas. PMĮ 4 straipsnio 1 dalies nuostatos taikomos tik tais atvejais, kai Lietuvos vienetas turi nuolatinę buveinę </w:t>
      </w:r>
      <w:r>
        <w:rPr>
          <w:bCs/>
          <w:lang w:val="lt-LT"/>
        </w:rPr>
        <w:t>EEE  valstybėse arba valstybėse, su kuriomis Lietuvos Respublika yra sudariusi ir taiko dvigubo apmokestinimo išvengimo sutartis</w:t>
      </w:r>
      <w:r>
        <w:rPr>
          <w:lang w:val="lt-LT"/>
        </w:rPr>
        <w:t xml:space="preserve"> bei </w:t>
      </w:r>
      <w:r>
        <w:rPr>
          <w:bCs/>
          <w:lang w:val="lt-LT"/>
        </w:rPr>
        <w:t xml:space="preserve">per šias nuolatines buveines vykdomos veiklos pajamos nustatyta tvarka apmokestinamos pelno mokesčiu ar jam tapačiu mokesčiu tose valstybėse. Šiuo atveju yra laikoma, kad Lietuvos vieneto </w:t>
      </w:r>
      <w:r>
        <w:rPr>
          <w:lang w:val="lt-LT"/>
        </w:rPr>
        <w:t xml:space="preserve">nuolatinės buveinės pajamos Estijoje yra apmokestinamos pelno mokesčiu, todėl Lietuvos vieneto per nuolatinę buveinę Estijoje uždirbtos pajamos nepriskiriamos Lietuvos vieneto pajamoms. </w:t>
      </w:r>
    </w:p>
    <w:p w14:paraId="68DE12C2" w14:textId="77777777" w:rsidR="00093845" w:rsidRDefault="000D779E">
      <w:pPr>
        <w:tabs>
          <w:tab w:val="left" w:pos="720"/>
          <w:tab w:val="left" w:pos="1077"/>
          <w:tab w:val="left" w:pos="1418"/>
        </w:tabs>
        <w:autoSpaceDE w:val="0"/>
        <w:autoSpaceDN w:val="0"/>
        <w:ind w:firstLine="720"/>
        <w:jc w:val="both"/>
        <w:rPr>
          <w:b/>
          <w:lang w:val="lt-LT"/>
        </w:rPr>
      </w:pPr>
      <w:r>
        <w:t>(</w:t>
      </w:r>
      <w:r w:rsidR="00357561">
        <w:t xml:space="preserve">Pakeista </w:t>
      </w:r>
      <w:r>
        <w:t>pagal VMI prie FM 2012-03-05 raštą Nr. (18.10-31-1)-R-2152)</w:t>
      </w:r>
    </w:p>
    <w:p w14:paraId="2A829915" w14:textId="77777777" w:rsidR="00093845" w:rsidRPr="00C074BE" w:rsidRDefault="000D779E">
      <w:pPr>
        <w:tabs>
          <w:tab w:val="left" w:pos="720"/>
          <w:tab w:val="left" w:pos="1077"/>
          <w:tab w:val="left" w:pos="1418"/>
        </w:tabs>
        <w:autoSpaceDE w:val="0"/>
        <w:autoSpaceDN w:val="0"/>
        <w:ind w:firstLine="720"/>
        <w:jc w:val="both"/>
        <w:rPr>
          <w:b/>
          <w:lang w:val="lt-LT"/>
        </w:rPr>
      </w:pPr>
      <w:r w:rsidRPr="00C074BE">
        <w:rPr>
          <w:b/>
          <w:lang w:val="lt-LT"/>
        </w:rPr>
        <w:lastRenderedPageBreak/>
        <w:t>2. Į Lietuvos vieneto pajamas taip pat įskaitomos pozityviosios pajamos šio Įstatymo 39 straipsnyje nustatyta tvarka. Į Lietuvos vieneto (Europos ekonominių interesų grupės dalyvio) pajamas taip pat įskaitomos tos Europos ekonominių interesų grupės pajamos šio Įstatymo 391 straipsnyje nustatyta tvarka.</w:t>
      </w:r>
    </w:p>
    <w:p w14:paraId="6F379716" w14:textId="77777777" w:rsidR="00093845" w:rsidRPr="00F62677" w:rsidRDefault="000D779E" w:rsidP="00C074BE">
      <w:pPr>
        <w:tabs>
          <w:tab w:val="left" w:pos="720"/>
          <w:tab w:val="left" w:pos="1077"/>
          <w:tab w:val="left" w:pos="1418"/>
        </w:tabs>
        <w:autoSpaceDE w:val="0"/>
        <w:autoSpaceDN w:val="0"/>
        <w:jc w:val="both"/>
        <w:rPr>
          <w:i/>
          <w:lang w:val="lt-LT"/>
        </w:rPr>
      </w:pPr>
      <w:r w:rsidRPr="00F62677">
        <w:rPr>
          <w:i/>
          <w:lang w:val="lt-LT"/>
        </w:rPr>
        <w:t>(KEISTA: 2018 12 06 įstatymu Nr. XIII-1697 (nuo 2019 01 01))</w:t>
      </w:r>
    </w:p>
    <w:p w14:paraId="42AC2CBD" w14:textId="77777777" w:rsidR="00093845" w:rsidRDefault="000D779E">
      <w:pPr>
        <w:tabs>
          <w:tab w:val="left" w:pos="720"/>
          <w:tab w:val="left" w:pos="1077"/>
          <w:tab w:val="left" w:pos="1418"/>
        </w:tabs>
        <w:autoSpaceDE w:val="0"/>
        <w:autoSpaceDN w:val="0"/>
        <w:ind w:firstLine="720"/>
        <w:jc w:val="both"/>
        <w:rPr>
          <w:b/>
          <w:lang w:val="lt-LT"/>
        </w:rPr>
      </w:pPr>
      <w:r>
        <w:rPr>
          <w:b/>
          <w:lang w:val="lt-LT"/>
        </w:rPr>
        <w:t>Komentaras</w:t>
      </w:r>
    </w:p>
    <w:p w14:paraId="623D3157" w14:textId="77777777" w:rsidR="00093845" w:rsidRDefault="000D779E">
      <w:pPr>
        <w:tabs>
          <w:tab w:val="left" w:pos="720"/>
          <w:tab w:val="left" w:pos="1077"/>
          <w:tab w:val="left" w:pos="1418"/>
        </w:tabs>
        <w:autoSpaceDE w:val="0"/>
        <w:autoSpaceDN w:val="0"/>
        <w:ind w:firstLine="720"/>
        <w:jc w:val="both"/>
        <w:rPr>
          <w:lang w:val="lt-LT"/>
        </w:rPr>
      </w:pPr>
      <w:r>
        <w:rPr>
          <w:lang w:val="lt-LT"/>
        </w:rPr>
        <w:t>Komentaras rengiamas</w:t>
      </w:r>
    </w:p>
    <w:p w14:paraId="609AB8E9" w14:textId="77777777" w:rsidR="00093845" w:rsidRDefault="000D779E">
      <w:pPr>
        <w:tabs>
          <w:tab w:val="left" w:pos="720"/>
          <w:tab w:val="left" w:pos="1077"/>
          <w:tab w:val="left" w:pos="1418"/>
        </w:tabs>
        <w:autoSpaceDE w:val="0"/>
        <w:autoSpaceDN w:val="0"/>
        <w:ind w:firstLine="720"/>
        <w:jc w:val="both"/>
        <w:rPr>
          <w:b/>
          <w:bCs/>
          <w:lang w:val="lt-LT"/>
        </w:rPr>
      </w:pPr>
      <w:r>
        <w:rPr>
          <w:b/>
          <w:bCs/>
          <w:lang w:val="lt-LT"/>
        </w:rPr>
        <w:t>3.</w:t>
      </w:r>
      <w:r>
        <w:rPr>
          <w:b/>
          <w:bCs/>
          <w:lang w:val="lt-LT"/>
        </w:rPr>
        <w:tab/>
        <w:t>Užsienio vieneto mokesčio bazė yra:</w:t>
      </w:r>
    </w:p>
    <w:p w14:paraId="2AB4A879" w14:textId="77777777" w:rsidR="00093845" w:rsidRDefault="000D779E">
      <w:pPr>
        <w:pStyle w:val="Pagrindinistekstas"/>
        <w:tabs>
          <w:tab w:val="left" w:pos="720"/>
          <w:tab w:val="left" w:pos="1077"/>
          <w:tab w:val="left" w:pos="1418"/>
        </w:tabs>
        <w:ind w:right="-85" w:firstLine="720"/>
        <w:rPr>
          <w:b/>
          <w:bCs/>
          <w:lang w:val="lt-LT"/>
        </w:rPr>
      </w:pPr>
      <w:r>
        <w:rPr>
          <w:b/>
          <w:bCs/>
          <w:lang w:val="lt-LT"/>
        </w:rPr>
        <w:t>1) užsienio vieneto per nuolatines buveines Lietuvos Respublikos teritorijoje vykdomos veiklos pajamos, per nuolatines buveines Lietuvos Respublikoje uždirbtos tarptautinių telekomunikacijų pajamos bei 50 procentų transportavimo, kuris prasideda Lietuvos Respublikos teritorijoje ir baigiasi užsienyje arba prasideda užsienyje ir baigiasi Lietuvos Respublikos teritorijoje, pajamų ir užsienio valstybėse uždirbtos pajamos, priskiriamos toms nuolatinėms buveinėms Lietuvos Respublikoje tuo atveju, kai tos pajamos susijusios su užsienio vieneto veikla per nuolatines buveines Lietuvos Respublikoje;</w:t>
      </w:r>
    </w:p>
    <w:p w14:paraId="6FAFFE06" w14:textId="77777777" w:rsidR="00093845" w:rsidRPr="00F62677" w:rsidRDefault="000D779E" w:rsidP="00C074BE">
      <w:pPr>
        <w:pStyle w:val="Pagrindiniotekstotrauka3"/>
        <w:ind w:right="-85" w:firstLine="0"/>
        <w:rPr>
          <w:i/>
        </w:rPr>
      </w:pPr>
      <w:r w:rsidRPr="00F62677">
        <w:rPr>
          <w:i/>
        </w:rPr>
        <w:t>(KEISTA: 2008 07 14 įstatymu Nr. X-1697 (nuo 2009 01 01))</w:t>
      </w:r>
    </w:p>
    <w:p w14:paraId="4DB124BD" w14:textId="77777777" w:rsidR="00093845" w:rsidRDefault="000D779E">
      <w:pPr>
        <w:pStyle w:val="Antrat9"/>
      </w:pPr>
      <w:r>
        <w:t>Komentaras</w:t>
      </w:r>
    </w:p>
    <w:p w14:paraId="1FDB4A8B"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1.</w:t>
      </w:r>
      <w:r>
        <w:rPr>
          <w:lang w:val="lt-LT"/>
        </w:rPr>
        <w:tab/>
        <w:t xml:space="preserve">Nuolatinės buveinės sąvoka apibrėžta </w:t>
      </w:r>
      <w:r>
        <w:rPr>
          <w:u w:val="single"/>
          <w:lang w:val="lt-LT"/>
        </w:rPr>
        <w:t>PMĮ 2 str. 22 dalyje</w:t>
      </w:r>
      <w:r>
        <w:rPr>
          <w:lang w:val="lt-LT"/>
        </w:rPr>
        <w:t>.</w:t>
      </w:r>
    </w:p>
    <w:p w14:paraId="3AC76ED8"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Jeigu užsienio vienetas vykdo veiklą Lietuvos Respublikos teritorijoje per nuolatinę buveinę, tai tos nuolatinės buveinės mokesčio bazę sudaro pajamos, uždirbtos iš jos veiklos Lietuvos Respublikos teritorijoje, ir pajamos, uždirbtos iš tos nuolatinės buveinės veiklos užsienio valstybėse.</w:t>
      </w:r>
    </w:p>
    <w:p w14:paraId="0FF41EBA"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Jeigu užsienio vienetas vykdo veiklą Lietuvos Respublikos teritorijoje per kelias nuolatines buveines, tai kiekvienos nuolatinės buveinės mokesčio bazė nustatoma atskirai.</w:t>
      </w:r>
    </w:p>
    <w:p w14:paraId="234B7946"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2.</w:t>
      </w:r>
      <w:r>
        <w:rPr>
          <w:lang w:val="lt-LT"/>
        </w:rPr>
        <w:tab/>
        <w:t xml:space="preserve">Jeigu užsienio vienetas vykdo veiklą Lietuvos Respublikos teritorijoje per nuolatinę buveinę, per kurią uždirba </w:t>
      </w:r>
      <w:r>
        <w:rPr>
          <w:u w:val="single"/>
          <w:lang w:val="lt-LT"/>
        </w:rPr>
        <w:t>PMĮ 2 str. 39 dalyje</w:t>
      </w:r>
      <w:r>
        <w:rPr>
          <w:lang w:val="lt-LT"/>
        </w:rPr>
        <w:t xml:space="preserve"> apibrėžtų transportavimo, prasidedančio Lietuvos Respublikos teritorijoje ir pasibaigiančio užsienio valstybėje arba prasidedančio užsienio valstybėje ir pasibaigiančio Lietuvos Respublikos teritorijoje, pajamų, tai tokios nuolatinės buveinės mokesčio bazei priskiriama tik 50 proc. taip uždirbtų pajamų.</w:t>
      </w:r>
    </w:p>
    <w:p w14:paraId="217832A5" w14:textId="77777777" w:rsidR="00093845" w:rsidRDefault="000D779E">
      <w:pPr>
        <w:pStyle w:val="Pagrindiniotekstotrauka"/>
        <w:tabs>
          <w:tab w:val="left" w:pos="720"/>
          <w:tab w:val="left" w:pos="1080"/>
        </w:tabs>
        <w:rPr>
          <w:rFonts w:ascii="Times New Roman" w:hAnsi="Times New Roman"/>
          <w:bCs/>
          <w:lang w:val="lt-LT"/>
        </w:rPr>
      </w:pPr>
      <w:r>
        <w:rPr>
          <w:rFonts w:ascii="Times New Roman" w:hAnsi="Times New Roman"/>
          <w:bCs/>
          <w:lang w:val="lt-LT"/>
        </w:rPr>
        <w:t xml:space="preserve">Tarptautinių telekomunikacijų pajamų sąvoka apibrėžta PMĮ 2 str. 36 dalyje. Jei užsienio vienetas vykdo veiklą Lietuvos Respublikos teritorijoje per nuolatinę buveinę, ir per ją uždirba PMĮ 2 str. 36 dalyje apibrėžtų tarptautinių telekomunikacijų pajamų, tai šios pajamos priskiriamos tokios nuolatinės buveinės mokesčio bazei. </w:t>
      </w:r>
    </w:p>
    <w:p w14:paraId="1B3BB0F8" w14:textId="77777777" w:rsidR="00093845" w:rsidRDefault="000D779E">
      <w:pPr>
        <w:tabs>
          <w:tab w:val="left" w:pos="720"/>
          <w:tab w:val="left" w:pos="1077"/>
          <w:tab w:val="left" w:pos="1418"/>
        </w:tabs>
        <w:autoSpaceDE w:val="0"/>
        <w:autoSpaceDN w:val="0"/>
        <w:ind w:right="-85" w:firstLine="720"/>
        <w:jc w:val="both"/>
        <w:rPr>
          <w:lang w:val="lt-LT"/>
        </w:rPr>
      </w:pPr>
      <w:r>
        <w:rPr>
          <w:lang w:val="lt-LT"/>
        </w:rPr>
        <w:t>3.</w:t>
      </w:r>
      <w:r>
        <w:rPr>
          <w:lang w:val="lt-LT"/>
        </w:rPr>
        <w:tab/>
        <w:t>Užsienio vieneto nuolatinės buveinės uždirbtos pajamos, remiantis PMĮ II skyriaus nuostatomis, pripažįstamos taikant kaupimo apskaitos principą.</w:t>
      </w:r>
    </w:p>
    <w:p w14:paraId="5C00E971" w14:textId="77777777" w:rsidR="00093845" w:rsidRDefault="000D779E">
      <w:pPr>
        <w:tabs>
          <w:tab w:val="left" w:pos="9072"/>
        </w:tabs>
        <w:ind w:right="-85" w:firstLine="709"/>
        <w:jc w:val="both"/>
        <w:rPr>
          <w:bCs/>
          <w:lang w:val="lt-LT"/>
        </w:rPr>
      </w:pPr>
      <w:r>
        <w:rPr>
          <w:bCs/>
          <w:lang w:val="lt-LT"/>
        </w:rPr>
        <w:t xml:space="preserve">4. Nuolatinė buveinė pelno mokesčio apskaičiavimo tikslais yra laikoma atskiru vienetu. </w:t>
      </w:r>
      <w:r>
        <w:rPr>
          <w:lang w:val="lt-LT"/>
        </w:rPr>
        <w:t>Nuolatinei buveinei priskiriama tiek pajamų, kiek ji gautų kaip atskirai veikiantis vienetas, atsižvelgiant į tai, kokias teises ir pareigas ji prisiima vykdydama jai paskirtas užduotis, kokias funkcijas atlieka ir kokią riziką prisiima nuolatinės buveinės darbuotojai šias užduotis ir funkcijas atlikdami, bei kokia turto, rizikos ir kapitalo nuosavybės dalis yra priskiriama nuolatinei buveinei.</w:t>
      </w:r>
    </w:p>
    <w:p w14:paraId="2A087B9A" w14:textId="77777777" w:rsidR="00093845" w:rsidRDefault="000D779E">
      <w:pPr>
        <w:tabs>
          <w:tab w:val="left" w:pos="9072"/>
        </w:tabs>
        <w:ind w:right="-85" w:firstLine="709"/>
        <w:jc w:val="both"/>
        <w:rPr>
          <w:bCs/>
          <w:lang w:val="lt-LT"/>
        </w:rPr>
      </w:pPr>
      <w:r>
        <w:rPr>
          <w:bCs/>
          <w:lang w:val="lt-LT"/>
        </w:rPr>
        <w:t xml:space="preserve">Tuo atveju, kai užsienio vienetas vykdo veiklą Lietuvos Respublikoje per nuolatinę buveinę, kuri verčiasi priežiūros, tiekimo, gamybinių, prekybinių ar mokslinių įrenginių gamybos, patalpų </w:t>
      </w:r>
      <w:r>
        <w:rPr>
          <w:bCs/>
          <w:lang w:val="lt-LT"/>
        </w:rPr>
        <w:lastRenderedPageBreak/>
        <w:t>įrangos ar statybos veikla, ar panašiomis veiklomis ir vienas ar keli projekto etapai atliekami Lietuvos Respublikos teritorijoje, bei vienas ar keli projekto etapai atliekami už Lietuvos Respublikos teritorijos ribų, nuolatinės buveinės mokesčio bazę sudaro tik pajamos gautos dėl Lietuvos Respublikos teritorijoje vykdomos veiklos. Ši nuostata taikoma tais atvejais kai nuolatinės buveinės Lietuvos Respublikos teritorijoje ir ne Lietuvos Respublikos teritorijoje atliekami darbai yra konkrečiai atskirti, užmokestis už skirtingus projekto etapus yra aiškiai atskirtas sudarytose sutartyse ar kituose dokumentuose.</w:t>
      </w:r>
    </w:p>
    <w:p w14:paraId="227A9DD6" w14:textId="77777777" w:rsidR="00093845" w:rsidRDefault="000D779E">
      <w:pPr>
        <w:tabs>
          <w:tab w:val="left" w:pos="9072"/>
        </w:tabs>
        <w:ind w:right="-227" w:firstLine="709"/>
        <w:rPr>
          <w:lang w:val="lt-LT"/>
        </w:rPr>
      </w:pPr>
      <w:r>
        <w:rPr>
          <w:lang w:val="lt-LT"/>
        </w:rPr>
        <w:t>Pavyzdys</w:t>
      </w:r>
    </w:p>
    <w:p w14:paraId="5505DAE1" w14:textId="77777777" w:rsidR="00093845" w:rsidRDefault="000D779E">
      <w:pPr>
        <w:keepNext/>
        <w:pBdr>
          <w:top w:val="single" w:sz="4" w:space="1" w:color="auto"/>
          <w:left w:val="single" w:sz="4" w:space="4" w:color="auto"/>
          <w:bottom w:val="single" w:sz="4" w:space="4" w:color="auto"/>
          <w:right w:val="single" w:sz="4" w:space="4" w:color="auto"/>
        </w:pBdr>
        <w:tabs>
          <w:tab w:val="left" w:pos="9072"/>
        </w:tabs>
        <w:ind w:right="-85" w:firstLine="709"/>
        <w:jc w:val="both"/>
        <w:outlineLvl w:val="7"/>
        <w:rPr>
          <w:bCs/>
          <w:lang w:val="lt-LT"/>
        </w:rPr>
      </w:pPr>
      <w:r>
        <w:rPr>
          <w:bCs/>
          <w:lang w:val="lt-LT"/>
        </w:rPr>
        <w:t xml:space="preserve">Italijos įmonė pagal užsakymą gamina Lietuvos įmonei įrenginius. Įrenginių projektavimo ir planavimo darbai atliekami Italijoje. Medžiagos, reikalingos įrenginiams, įsigyjamos Italijoje ir atgabenamos į Lietuvą. Lietuvoje Italijos įmonė montuoja įrenginius. Montavimo darbai trunka ilgiau nei 9 mėnesius. Italijos įmonė įregistravo Mokesčio mokėtojų registre nuolatinę buveinę. Sutartyje tarp Lietuvos įmonės ir Italijos įmonės yra aiškiai išskirti atskiri darbų etapai bei užmokestis už juos. </w:t>
      </w:r>
    </w:p>
    <w:p w14:paraId="5CAAD628" w14:textId="77777777" w:rsidR="00093845" w:rsidRDefault="000D779E">
      <w:pPr>
        <w:keepNext/>
        <w:pBdr>
          <w:top w:val="single" w:sz="4" w:space="1" w:color="auto"/>
          <w:left w:val="single" w:sz="4" w:space="4" w:color="auto"/>
          <w:bottom w:val="single" w:sz="4" w:space="4" w:color="auto"/>
          <w:right w:val="single" w:sz="4" w:space="4" w:color="auto"/>
        </w:pBdr>
        <w:tabs>
          <w:tab w:val="left" w:pos="9072"/>
        </w:tabs>
        <w:ind w:right="-85" w:firstLine="709"/>
        <w:jc w:val="both"/>
        <w:outlineLvl w:val="7"/>
        <w:rPr>
          <w:bCs/>
          <w:lang w:val="lt-LT"/>
        </w:rPr>
      </w:pPr>
      <w:r>
        <w:rPr>
          <w:bCs/>
          <w:lang w:val="lt-LT"/>
        </w:rPr>
        <w:t>Nuolatinės buveinės pajamoms priskiriamos tik pajamos už montavimo darbus, kurie atlikti Lietuvoje.</w:t>
      </w:r>
    </w:p>
    <w:p w14:paraId="20E6B65E" w14:textId="77777777" w:rsidR="00093845" w:rsidRDefault="000D779E">
      <w:pPr>
        <w:tabs>
          <w:tab w:val="left" w:pos="2880"/>
        </w:tabs>
        <w:rPr>
          <w:lang w:val="lt-LT"/>
        </w:rPr>
      </w:pPr>
      <w:r>
        <w:rPr>
          <w:lang w:val="lt-LT"/>
        </w:rPr>
        <w:t xml:space="preserve">       </w:t>
      </w:r>
      <w:r w:rsidR="00A914BC">
        <w:rPr>
          <w:lang w:val="lt-LT"/>
        </w:rPr>
        <w:t xml:space="preserve">   </w:t>
      </w:r>
      <w:r>
        <w:rPr>
          <w:lang w:val="lt-LT"/>
        </w:rPr>
        <w:t xml:space="preserve"> (</w:t>
      </w:r>
      <w:r w:rsidR="00357561">
        <w:rPr>
          <w:lang w:val="lt-LT"/>
        </w:rPr>
        <w:t>P</w:t>
      </w:r>
      <w:r>
        <w:rPr>
          <w:lang w:val="lt-LT"/>
        </w:rPr>
        <w:t>akeista pagal 2009-05-18 VMI prie FM raštą Nr. (18.10-31-1)-R-4738).</w:t>
      </w:r>
    </w:p>
    <w:p w14:paraId="4DEEF4F6" w14:textId="77777777" w:rsidR="00093845" w:rsidRDefault="00093845">
      <w:pPr>
        <w:tabs>
          <w:tab w:val="left" w:pos="720"/>
          <w:tab w:val="left" w:pos="1077"/>
          <w:tab w:val="left" w:pos="1418"/>
        </w:tabs>
        <w:autoSpaceDE w:val="0"/>
        <w:autoSpaceDN w:val="0"/>
        <w:jc w:val="both"/>
        <w:rPr>
          <w:i/>
          <w:lang w:val="lt-LT"/>
        </w:rPr>
      </w:pPr>
    </w:p>
    <w:p w14:paraId="63385FC6" w14:textId="77777777" w:rsidR="00093845" w:rsidRDefault="000D779E">
      <w:pPr>
        <w:pStyle w:val="Pagrindinistekstas"/>
        <w:tabs>
          <w:tab w:val="left" w:pos="720"/>
          <w:tab w:val="left" w:pos="1077"/>
          <w:tab w:val="left" w:pos="1134"/>
          <w:tab w:val="left" w:pos="1418"/>
        </w:tabs>
        <w:ind w:firstLine="720"/>
        <w:rPr>
          <w:rFonts w:ascii="Times New Roman" w:hAnsi="Times New Roman"/>
          <w:b/>
          <w:bCs/>
          <w:lang w:val="lt-LT"/>
        </w:rPr>
      </w:pPr>
      <w:r>
        <w:rPr>
          <w:rFonts w:ascii="Times New Roman" w:hAnsi="Times New Roman"/>
          <w:b/>
          <w:bCs/>
          <w:lang w:val="lt-LT"/>
        </w:rPr>
        <w:t>2)</w:t>
      </w:r>
      <w:r>
        <w:rPr>
          <w:rFonts w:ascii="Times New Roman" w:hAnsi="Times New Roman"/>
          <w:b/>
          <w:bCs/>
          <w:lang w:val="lt-LT"/>
        </w:rPr>
        <w:tab/>
        <w:t xml:space="preserve">užsienio vieneto ne per nuolatines buveines Lietuvos teritorijoje gautos pajamos, kurių šaltinis yra Lietuvos Respublikoje. </w:t>
      </w:r>
    </w:p>
    <w:p w14:paraId="04BF2A0A" w14:textId="77777777" w:rsidR="00093845" w:rsidRDefault="000D779E">
      <w:pPr>
        <w:ind w:firstLine="720"/>
        <w:jc w:val="both"/>
        <w:rPr>
          <w:b/>
          <w:bCs/>
          <w:lang w:val="lt-LT"/>
        </w:rPr>
      </w:pPr>
      <w:r>
        <w:rPr>
          <w:b/>
          <w:bCs/>
          <w:lang w:val="lt-LT"/>
        </w:rPr>
        <w:t>Komentaras</w:t>
      </w:r>
    </w:p>
    <w:p w14:paraId="34BC85D2" w14:textId="77777777" w:rsidR="00093845" w:rsidRDefault="000D779E">
      <w:pPr>
        <w:tabs>
          <w:tab w:val="left" w:pos="720"/>
          <w:tab w:val="left" w:pos="1077"/>
          <w:tab w:val="left" w:pos="1418"/>
        </w:tabs>
        <w:autoSpaceDE w:val="0"/>
        <w:autoSpaceDN w:val="0"/>
        <w:ind w:firstLine="720"/>
        <w:jc w:val="both"/>
        <w:rPr>
          <w:lang w:val="lt-LT"/>
        </w:rPr>
      </w:pPr>
      <w:r>
        <w:rPr>
          <w:lang w:val="lt-LT"/>
        </w:rPr>
        <w:t>1.</w:t>
      </w:r>
      <w:r>
        <w:rPr>
          <w:lang w:val="lt-LT"/>
        </w:rPr>
        <w:tab/>
        <w:t xml:space="preserve">Jeigu užsienio vienetas ne per Lietuvos Respublikos teritorijoje esančią nuolatinę buveinę (jos sąvoka apibrėžta </w:t>
      </w:r>
      <w:r>
        <w:rPr>
          <w:u w:val="single"/>
          <w:lang w:val="lt-LT"/>
        </w:rPr>
        <w:t>PMĮ 2 str. 12 dalyje</w:t>
      </w:r>
      <w:r>
        <w:rPr>
          <w:lang w:val="lt-LT"/>
        </w:rPr>
        <w:t xml:space="preserve">) gauna pajamų, kurių šaltinis yra Lietuvos Respublikoje ir kurios išvardytos </w:t>
      </w:r>
      <w:r>
        <w:rPr>
          <w:u w:val="single"/>
          <w:lang w:val="lt-LT"/>
        </w:rPr>
        <w:t>PMĮ 4 str. 4 dalyje</w:t>
      </w:r>
      <w:r>
        <w:rPr>
          <w:lang w:val="lt-LT"/>
        </w:rPr>
        <w:t xml:space="preserve">, tai šios pajamos apmokestinamos be atskaitymų prie pajamų šaltinio taikant PMĮ 5 str. 1 d. 2 ir 3 punktuose nustatytus mokesčio tarifus (10 arba 15 proc. atitinkamai). Taip gaunamų užsienio vieneto pajamų apmokestinimo tvarką reglamentuoja </w:t>
      </w:r>
      <w:r>
        <w:rPr>
          <w:u w:val="single"/>
          <w:lang w:val="lt-LT"/>
        </w:rPr>
        <w:t>PMĮ 37 straipsnio</w:t>
      </w:r>
      <w:r>
        <w:rPr>
          <w:lang w:val="lt-LT"/>
        </w:rPr>
        <w:t xml:space="preserve"> nuostatos.</w:t>
      </w:r>
    </w:p>
    <w:p w14:paraId="3F668801" w14:textId="77777777" w:rsidR="00093845" w:rsidRDefault="000D779E">
      <w:pPr>
        <w:tabs>
          <w:tab w:val="left" w:pos="720"/>
          <w:tab w:val="left" w:pos="1077"/>
          <w:tab w:val="left" w:pos="1418"/>
        </w:tabs>
        <w:autoSpaceDE w:val="0"/>
        <w:autoSpaceDN w:val="0"/>
        <w:ind w:firstLine="720"/>
        <w:jc w:val="both"/>
        <w:rPr>
          <w:lang w:val="lt-LT"/>
        </w:rPr>
      </w:pPr>
      <w:r>
        <w:rPr>
          <w:lang w:val="lt-LT"/>
        </w:rPr>
        <w:t>Užsienio vieneto ne per nuolatinę buveinę gautos pajamos, remiantis PMĮ 8 str. 1 dalimi, pripažįstamos taikant pinigų apskaitos principą – pagal faktišką pajamų gavimo momentą, t.y. išmokant išmokas užsienio vienetui.</w:t>
      </w:r>
    </w:p>
    <w:p w14:paraId="5B7C697A" w14:textId="77777777" w:rsidR="00093845" w:rsidRDefault="000D779E">
      <w:pPr>
        <w:tabs>
          <w:tab w:val="left" w:pos="720"/>
          <w:tab w:val="left" w:pos="1077"/>
          <w:tab w:val="left" w:pos="1418"/>
        </w:tabs>
        <w:autoSpaceDE w:val="0"/>
        <w:autoSpaceDN w:val="0"/>
        <w:ind w:firstLine="720"/>
        <w:jc w:val="both"/>
        <w:rPr>
          <w:lang w:val="lt-LT"/>
        </w:rPr>
      </w:pPr>
      <w:r>
        <w:rPr>
          <w:lang w:val="lt-LT"/>
        </w:rPr>
        <w:t>2.</w:t>
      </w:r>
      <w:r>
        <w:rPr>
          <w:lang w:val="lt-LT"/>
        </w:rPr>
        <w:tab/>
        <w:t xml:space="preserve">Jeigu užsienio vienetas ne per Lietuvos Respublikos teritorijoje esančią nuolatinę buveinę uždirba pajamų, kurios pagal šį PMĮ punktą yra apmokestinamos, o pagal Lietuvos su ta užsienio valstybe sudarytą ir taikomą tarptautinę dvigubo apmokestinimo išvengimo sutartį nustatytas mažesnis tokių pajamų rūšies apmokestinimo tarifas arba tokios pajamos yra neapmokestinamos, tai, remiantis </w:t>
      </w:r>
      <w:r w:rsidRPr="00C074BE">
        <w:rPr>
          <w:lang w:val="lt-LT"/>
        </w:rPr>
        <w:t>Lietuvos Respublikos mokesčių administravimo įstatymo</w:t>
      </w:r>
      <w:r>
        <w:rPr>
          <w:lang w:val="lt-LT"/>
        </w:rPr>
        <w:t xml:space="preserve"> 4 straipsniu, taikomos tarptautinių sutarčių taisyklės.</w:t>
      </w:r>
    </w:p>
    <w:p w14:paraId="4EE7425D" w14:textId="77777777" w:rsidR="00093845" w:rsidRDefault="000D779E">
      <w:pPr>
        <w:tabs>
          <w:tab w:val="left" w:pos="720"/>
          <w:tab w:val="left" w:pos="1077"/>
          <w:tab w:val="left" w:pos="1418"/>
        </w:tabs>
        <w:autoSpaceDE w:val="0"/>
        <w:autoSpaceDN w:val="0"/>
        <w:ind w:firstLine="720"/>
        <w:jc w:val="both"/>
        <w:rPr>
          <w:lang w:val="lt-LT"/>
        </w:rPr>
      </w:pPr>
      <w:r>
        <w:rPr>
          <w:lang w:val="lt-LT"/>
        </w:rPr>
        <w:t>Dvigubo apmokestinimo išvengimo sutartyse numatytoms lengvatoms taikyti naudojamos formos, kurių naudojimo taisyklės nustatytos Valstybinės mokesčių inspekcijos prie Lietuvos Respublikos finansų ministerijos viršininko 2001 m. birželio 27 d</w:t>
      </w:r>
      <w:hyperlink r:id="rId33" w:history="1">
        <w:r w:rsidRPr="00C074BE">
          <w:rPr>
            <w:rStyle w:val="Hipersaitas"/>
            <w:rFonts w:ascii="Times New Roman" w:hAnsi="Times New Roman" w:cs="Times New Roman"/>
            <w:b w:val="0"/>
            <w:bCs w:val="0"/>
            <w:kern w:val="0"/>
            <w:lang w:val="lt-LT"/>
          </w:rPr>
          <w:t>. įsakymu Nr.159</w:t>
        </w:r>
      </w:hyperlink>
      <w:r>
        <w:rPr>
          <w:lang w:val="lt-LT"/>
        </w:rPr>
        <w:t xml:space="preserve"> „Dėl su tarptautinių dvigubo apmokestinimo išvengimo sutarčių taikymu susijusių FR0021 (DAS-1), FR0022 (DAS-2), FR0023 (DAS-3) ir FR00254 (DAS-4) formų pildymo taisyklių patvirtinimo“.</w:t>
      </w:r>
    </w:p>
    <w:p w14:paraId="18E9C9D9" w14:textId="77777777" w:rsidR="00093845" w:rsidRDefault="000D779E">
      <w:pPr>
        <w:pStyle w:val="Pagrindiniotekstotrauka"/>
        <w:rPr>
          <w:rFonts w:ascii="Times New Roman" w:hAnsi="Times New Roman" w:cs="Times New Roman"/>
          <w:b/>
          <w:lang w:val="lt-LT"/>
        </w:rPr>
      </w:pPr>
      <w:r>
        <w:rPr>
          <w:rFonts w:ascii="Times New Roman" w:hAnsi="Times New Roman" w:cs="Times New Roman"/>
          <w:b/>
          <w:lang w:val="lt-LT"/>
        </w:rPr>
        <w:t>4. Užsienio vieneto ne per nuolatines buveines Lietuvos Respublikos teritorijoje gautos pajamos, kurių šaltinis yra Lietuvos Respublikoje:</w:t>
      </w:r>
    </w:p>
    <w:p w14:paraId="5BF13810" w14:textId="77777777" w:rsidR="00093845" w:rsidRDefault="000D779E" w:rsidP="00EC4E29">
      <w:pPr>
        <w:numPr>
          <w:ilvl w:val="0"/>
          <w:numId w:val="22"/>
        </w:numPr>
        <w:ind w:firstLine="720"/>
        <w:jc w:val="both"/>
        <w:rPr>
          <w:lang w:val="lt-LT"/>
        </w:rPr>
      </w:pPr>
      <w:r>
        <w:rPr>
          <w:b/>
          <w:color w:val="000000"/>
          <w:lang w:val="lt-LT"/>
        </w:rPr>
        <w:lastRenderedPageBreak/>
        <w:t>palūkanos, išskyrus palūkanas už Vyriausybės vertybinius popierius, sukauptas ir išmokamas palūkanas už indėlius ir palūkanas už subordinuotas paskolas, kurios atitinka Lietuvos banko teisės aktais nustatytus kriterijus</w:t>
      </w:r>
      <w:r>
        <w:rPr>
          <w:lang w:val="lt-LT"/>
        </w:rPr>
        <w:t xml:space="preserve"> </w:t>
      </w:r>
    </w:p>
    <w:p w14:paraId="50009A6C" w14:textId="77777777" w:rsidR="00093845" w:rsidRDefault="000D779E" w:rsidP="00C074BE">
      <w:pPr>
        <w:numPr>
          <w:ilvl w:val="255"/>
          <w:numId w:val="0"/>
        </w:numPr>
        <w:ind w:firstLine="720"/>
        <w:jc w:val="both"/>
        <w:rPr>
          <w:lang w:val="lt-LT"/>
        </w:rPr>
      </w:pPr>
      <w:r>
        <w:rPr>
          <w:b/>
          <w:bCs/>
          <w:lang w:val="lt-LT"/>
        </w:rPr>
        <w:t>Komentaras</w:t>
      </w:r>
    </w:p>
    <w:p w14:paraId="42310E8E" w14:textId="77777777" w:rsidR="00093845" w:rsidRDefault="000D779E" w:rsidP="00C074BE">
      <w:pPr>
        <w:numPr>
          <w:ilvl w:val="255"/>
          <w:numId w:val="0"/>
        </w:numPr>
        <w:ind w:firstLine="720"/>
        <w:jc w:val="both"/>
        <w:rPr>
          <w:lang w:val="lt-LT"/>
        </w:rPr>
      </w:pPr>
      <w:r>
        <w:rPr>
          <w:lang w:val="lt-LT"/>
        </w:rPr>
        <w:t>Komentaras rengiamas</w:t>
      </w:r>
    </w:p>
    <w:p w14:paraId="6F0837F2" w14:textId="77777777" w:rsidR="00093845" w:rsidRPr="0065344A" w:rsidRDefault="000D779E">
      <w:pPr>
        <w:tabs>
          <w:tab w:val="left" w:pos="720"/>
          <w:tab w:val="left" w:pos="1077"/>
          <w:tab w:val="left" w:pos="1418"/>
        </w:tabs>
        <w:ind w:firstLine="709"/>
        <w:jc w:val="both"/>
        <w:rPr>
          <w:b/>
          <w:color w:val="000000"/>
          <w:lang w:val="lt-LT"/>
        </w:rPr>
      </w:pPr>
      <w:r w:rsidRPr="0065344A">
        <w:rPr>
          <w:b/>
          <w:color w:val="000000"/>
          <w:lang w:val="lt-LT"/>
        </w:rPr>
        <w:t xml:space="preserve">2) pajamos iš paskirstytojo pelno, išskyrus ne tikslinėje teritorijoje įregistruoto ar kitaip organizuoto užsienio vieneto iš kolektyvinio investavimo subjektų paskirstytojo pelno gaunamas pajamas; </w:t>
      </w:r>
    </w:p>
    <w:p w14:paraId="2957415E" w14:textId="77777777" w:rsidR="00093845" w:rsidRPr="00F62677" w:rsidRDefault="000D779E" w:rsidP="00C074BE">
      <w:pPr>
        <w:tabs>
          <w:tab w:val="left" w:pos="720"/>
          <w:tab w:val="left" w:pos="1077"/>
          <w:tab w:val="left" w:pos="1418"/>
        </w:tabs>
        <w:jc w:val="both"/>
        <w:rPr>
          <w:bCs/>
          <w:i/>
        </w:rPr>
      </w:pPr>
      <w:r w:rsidRPr="00F62677">
        <w:rPr>
          <w:bCs/>
          <w:i/>
        </w:rPr>
        <w:t>(</w:t>
      </w:r>
      <w:r w:rsidRPr="00F62677">
        <w:rPr>
          <w:i/>
        </w:rPr>
        <w:t>KEISTA: 20</w:t>
      </w:r>
      <w:r w:rsidRPr="00F62677">
        <w:rPr>
          <w:i/>
          <w:lang w:val="lt-LT"/>
        </w:rPr>
        <w:t>17 12</w:t>
      </w:r>
      <w:r w:rsidRPr="00F62677">
        <w:rPr>
          <w:i/>
        </w:rPr>
        <w:t xml:space="preserve"> </w:t>
      </w:r>
      <w:r w:rsidRPr="00F62677">
        <w:rPr>
          <w:i/>
          <w:lang w:val="lt-LT"/>
        </w:rPr>
        <w:t>07</w:t>
      </w:r>
      <w:r w:rsidRPr="00F62677">
        <w:rPr>
          <w:i/>
        </w:rPr>
        <w:t xml:space="preserve"> įstatymu Nr. X</w:t>
      </w:r>
      <w:r w:rsidRPr="00F62677">
        <w:rPr>
          <w:i/>
          <w:lang w:val="lt-LT"/>
        </w:rPr>
        <w:t>III</w:t>
      </w:r>
      <w:r w:rsidRPr="00F62677">
        <w:rPr>
          <w:i/>
        </w:rPr>
        <w:t>-</w:t>
      </w:r>
      <w:r w:rsidRPr="00F62677">
        <w:rPr>
          <w:i/>
          <w:lang w:val="lt-LT"/>
        </w:rPr>
        <w:t>842</w:t>
      </w:r>
      <w:r w:rsidRPr="00F62677">
        <w:rPr>
          <w:i/>
        </w:rPr>
        <w:t xml:space="preserve"> (nuo 20</w:t>
      </w:r>
      <w:r w:rsidRPr="00F62677">
        <w:rPr>
          <w:i/>
          <w:lang w:val="lt-LT"/>
        </w:rPr>
        <w:t>18</w:t>
      </w:r>
      <w:r w:rsidRPr="00F62677">
        <w:rPr>
          <w:i/>
        </w:rPr>
        <w:t xml:space="preserve"> 01 01)</w:t>
      </w:r>
      <w:r w:rsidRPr="00F62677">
        <w:rPr>
          <w:bCs/>
          <w:i/>
        </w:rPr>
        <w:t>)</w:t>
      </w:r>
    </w:p>
    <w:p w14:paraId="13736FC5" w14:textId="77777777" w:rsidR="00093845" w:rsidRDefault="000D779E">
      <w:pPr>
        <w:ind w:firstLine="709"/>
        <w:jc w:val="both"/>
        <w:rPr>
          <w:b/>
          <w:bCs/>
        </w:rPr>
      </w:pPr>
      <w:r>
        <w:rPr>
          <w:b/>
          <w:bCs/>
        </w:rPr>
        <w:t xml:space="preserve">Komentaras </w:t>
      </w:r>
    </w:p>
    <w:p w14:paraId="4E938A05"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Pajamų iš paskirstytojo pelno sąvoka apibrėžta PMĮ 2 str. 25 dalyje.</w:t>
      </w:r>
    </w:p>
    <w:p w14:paraId="0D22B72A"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Kai užsienio vienetas ne per nuolatinę buveinę gauna pajamų iš Lietuvos vienetų (išskyrus kolektyvinio investavimo subjektų) paskirstytojo pelno, tokios pajamos apmokestinamos taikant PMĮ 5 str. 1 d. 3 punkte nustatytą mokesčio tarifą (15 proc.) ir 34 straipsnio nuostatas.</w:t>
      </w:r>
    </w:p>
    <w:p w14:paraId="07D97577" w14:textId="77777777" w:rsidR="00093845" w:rsidRDefault="000D779E">
      <w:pPr>
        <w:ind w:firstLine="709"/>
        <w:jc w:val="both"/>
        <w:rPr>
          <w:bCs/>
        </w:rPr>
      </w:pPr>
      <w:r>
        <w:t>Kai n</w:t>
      </w:r>
      <w:r>
        <w:rPr>
          <w:color w:val="000000"/>
        </w:rPr>
        <w:t xml:space="preserve">e tikslinėje teritorijoje įregistruotas ar kitaip organizuotas </w:t>
      </w:r>
      <w:r>
        <w:t>užsienio vienetas ne per nuolatinę buveinę gauna pajamų iš Lietuvos kolektyvinio investavimo subjektų paskirstytojo pelno, tokios pajamos nėra</w:t>
      </w:r>
      <w:r>
        <w:rPr>
          <w:bCs/>
        </w:rPr>
        <w:t xml:space="preserve"> pelno mokesčio prie pajamų šaltinio objektas.</w:t>
      </w:r>
    </w:p>
    <w:p w14:paraId="3C7C1A57"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5" w:firstLine="709"/>
        <w:jc w:val="both"/>
      </w:pPr>
      <w:r>
        <w:t>Paskirstytojo pelno sumos, kurias Lietuvos kolektyvinio investavimo subjektas išmoka t</w:t>
      </w:r>
      <w:r>
        <w:rPr>
          <w:color w:val="000000"/>
        </w:rPr>
        <w:t xml:space="preserve">ikslinėje teritorijoje įregistruotam ar kitaip organizuotam </w:t>
      </w:r>
      <w:r>
        <w:t>užsienio vienetui, apmokestinamos taikant PMĮ 5 str. 1 d. 3 punkte nustatytą mokesčio tarifą (15 proc.) ir 34 str. 1 dalies  nuostatas.</w:t>
      </w:r>
    </w:p>
    <w:p w14:paraId="000B59B8" w14:textId="77777777" w:rsidR="00093845" w:rsidRDefault="00F62677">
      <w:pPr>
        <w:pStyle w:val="Pagrindiniotekstotrauka3"/>
        <w:tabs>
          <w:tab w:val="left" w:pos="720"/>
          <w:tab w:val="left" w:pos="1077"/>
          <w:tab w:val="left" w:pos="1418"/>
        </w:tabs>
        <w:ind w:firstLine="0"/>
        <w:rPr>
          <w:rFonts w:ascii="Times New Roman" w:hAnsi="Times New Roman"/>
          <w:color w:val="000000"/>
        </w:rPr>
      </w:pPr>
      <w:r>
        <w:rPr>
          <w:rFonts w:ascii="Times New Roman" w:hAnsi="Times New Roman"/>
        </w:rPr>
        <w:t xml:space="preserve">            </w:t>
      </w:r>
      <w:r w:rsidR="000D779E">
        <w:rPr>
          <w:rFonts w:ascii="Times New Roman" w:hAnsi="Times New Roman"/>
        </w:rPr>
        <w:t>(P</w:t>
      </w:r>
      <w:r w:rsidR="00357561">
        <w:rPr>
          <w:rFonts w:ascii="Times New Roman" w:hAnsi="Times New Roman"/>
        </w:rPr>
        <w:t>akeista p</w:t>
      </w:r>
      <w:r w:rsidR="000D779E">
        <w:rPr>
          <w:rFonts w:ascii="Times New Roman" w:hAnsi="Times New Roman"/>
        </w:rPr>
        <w:t>agal VMI prie FM 2018-07-17 raštą Nr. (</w:t>
      </w:r>
      <w:r w:rsidR="000D779E">
        <w:rPr>
          <w:rFonts w:ascii="Times New Roman" w:hAnsi="Times New Roman"/>
          <w:color w:val="000000"/>
        </w:rPr>
        <w:t>32.42-31-1E) RM-25937)</w:t>
      </w:r>
    </w:p>
    <w:p w14:paraId="4E7DA0B7" w14:textId="77777777" w:rsidR="00093845" w:rsidRDefault="000D779E">
      <w:pPr>
        <w:ind w:firstLine="720"/>
        <w:jc w:val="both"/>
        <w:rPr>
          <w:b/>
          <w:lang w:val="lt-LT"/>
        </w:rPr>
      </w:pPr>
      <w:r>
        <w:rPr>
          <w:b/>
          <w:lang w:val="lt-LT"/>
        </w:rPr>
        <w:t xml:space="preserve">3) honorarai, įskaitant šio straipsnio 5 dalyje nustatytus atvejus; </w:t>
      </w:r>
    </w:p>
    <w:p w14:paraId="448B6127" w14:textId="77777777" w:rsidR="00093845" w:rsidRPr="00F62677" w:rsidRDefault="00A914BC">
      <w:pPr>
        <w:ind w:firstLine="720"/>
        <w:jc w:val="both"/>
        <w:rPr>
          <w:b/>
          <w:i/>
          <w:lang w:val="lt-LT"/>
        </w:rPr>
      </w:pPr>
      <w:r>
        <w:rPr>
          <w:i/>
          <w:lang w:val="lt-LT"/>
        </w:rPr>
        <w:t>(P</w:t>
      </w:r>
      <w:r w:rsidR="000D779E" w:rsidRPr="00F62677">
        <w:rPr>
          <w:i/>
          <w:lang w:val="lt-LT"/>
        </w:rPr>
        <w:t xml:space="preserve">agal 2008-07-14 Pelno mokesčio įstatymo pakeitimo įstatymą Nr. </w:t>
      </w:r>
      <w:r w:rsidR="002D3AFE" w:rsidRPr="00F62677">
        <w:rPr>
          <w:rStyle w:val="Hipersaitas"/>
          <w:b w:val="0"/>
          <w:i/>
          <w:iCs/>
          <w:lang w:val="lt-LT"/>
        </w:rPr>
        <w:t>X-1697</w:t>
      </w:r>
      <w:r w:rsidR="00F62677" w:rsidRPr="00F62677">
        <w:rPr>
          <w:i/>
          <w:lang w:val="lt-LT"/>
        </w:rPr>
        <w:t xml:space="preserve">, </w:t>
      </w:r>
      <w:r w:rsidR="000D779E" w:rsidRPr="00F62677">
        <w:rPr>
          <w:i/>
          <w:lang w:val="lt-LT"/>
        </w:rPr>
        <w:t>taikoma apskaičiuojant 2009 metais prasidėjusio mokestinio laikotarpio ir vėlesnių mokestinių laikotarpių apmokestinamąjį pelną).</w:t>
      </w:r>
    </w:p>
    <w:p w14:paraId="321AE006" w14:textId="77777777" w:rsidR="00093845" w:rsidRDefault="000D779E">
      <w:pPr>
        <w:ind w:firstLine="720"/>
        <w:jc w:val="both"/>
        <w:rPr>
          <w:b/>
          <w:bCs/>
          <w:lang w:val="lt-LT"/>
        </w:rPr>
      </w:pPr>
      <w:r>
        <w:rPr>
          <w:b/>
          <w:bCs/>
          <w:lang w:val="lt-LT"/>
        </w:rPr>
        <w:t xml:space="preserve">Komentaras </w:t>
      </w:r>
    </w:p>
    <w:p w14:paraId="4C110B43"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Honoraro sąvoka apibrėžta PMĮ 2 str. 11 dalyje (žr. PMĮ 2 str. 11 dalies apibendrintą paaiškinimą (komentarą)).</w:t>
      </w:r>
    </w:p>
    <w:p w14:paraId="44E9F550"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Tais atvejais, kai perleidžiama kompiuterio programa, taikomos PMĮ 4 str. 5 dalies nuostatos.</w:t>
      </w:r>
    </w:p>
    <w:p w14:paraId="5E74CE16" w14:textId="77777777" w:rsidR="00093845" w:rsidRDefault="000D779E">
      <w:pPr>
        <w:pStyle w:val="HTMLiankstoformatuotas"/>
        <w:tabs>
          <w:tab w:val="left" w:pos="720"/>
          <w:tab w:val="left" w:pos="1077"/>
          <w:tab w:val="left" w:pos="1418"/>
        </w:tabs>
        <w:ind w:firstLine="540"/>
        <w:jc w:val="both"/>
        <w:rPr>
          <w:rFonts w:ascii="Times New Roman" w:hAnsi="Times New Roman"/>
          <w:color w:val="000000"/>
          <w:sz w:val="24"/>
          <w:szCs w:val="24"/>
          <w:lang w:val="lt-LT"/>
        </w:rPr>
      </w:pPr>
      <w:r>
        <w:rPr>
          <w:rFonts w:ascii="Times New Roman" w:hAnsi="Times New Roman"/>
          <w:color w:val="000000"/>
          <w:sz w:val="24"/>
          <w:szCs w:val="24"/>
          <w:lang w:val="lt-LT"/>
        </w:rPr>
        <w:t>Kai užsienio vienetas ne per nuolatinę buveinę gauna honorarą, tokios pajamos apmokestinamos taikant PMĮ 5 str. 1 d. 2 punkte nustatytą mokesčio tarifą (10 proc.).</w:t>
      </w:r>
    </w:p>
    <w:p w14:paraId="4212FB88" w14:textId="77777777" w:rsidR="00093845" w:rsidRDefault="000D779E" w:rsidP="006C4028">
      <w:pPr>
        <w:spacing w:after="0"/>
        <w:ind w:firstLine="720"/>
        <w:jc w:val="both"/>
        <w:rPr>
          <w:b/>
          <w:lang w:val="lt-LT"/>
        </w:rPr>
      </w:pPr>
      <w:r>
        <w:rPr>
          <w:b/>
          <w:lang w:val="lt-LT"/>
        </w:rPr>
        <w:t>4)</w:t>
      </w:r>
      <w:r>
        <w:rPr>
          <w:lang w:val="lt-LT"/>
        </w:rPr>
        <w:t xml:space="preserve"> </w:t>
      </w:r>
      <w:r>
        <w:rPr>
          <w:b/>
          <w:lang w:val="lt-LT"/>
        </w:rPr>
        <w:t>pajamos už parduotą, kitokiu būdu perleistą nuosavybėn arba išnuomotą nekilnojamąjį pagal prigimtį daiktą, esantį Lietuvos Respublikos teritorijoje</w:t>
      </w:r>
    </w:p>
    <w:p w14:paraId="6D486C91" w14:textId="77777777" w:rsidR="006C4028" w:rsidRPr="00F62677" w:rsidRDefault="006C4028" w:rsidP="00F62677">
      <w:pPr>
        <w:spacing w:after="0"/>
        <w:jc w:val="both"/>
        <w:rPr>
          <w:b/>
          <w:i/>
          <w:lang w:val="lt-LT"/>
        </w:rPr>
      </w:pPr>
      <w:r w:rsidRPr="00F62677">
        <w:rPr>
          <w:i/>
          <w:iCs/>
          <w:lang w:val="lt-LT"/>
        </w:rPr>
        <w:t xml:space="preserve">(KEISTA: 2008 07 14 įstatymu Nr. </w:t>
      </w:r>
      <w:hyperlink r:id="rId34"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0E79E08E" w14:textId="77777777" w:rsidR="006C4028" w:rsidRPr="00F62677" w:rsidRDefault="006C4028">
      <w:pPr>
        <w:ind w:firstLine="720"/>
        <w:jc w:val="both"/>
        <w:rPr>
          <w:b/>
          <w:i/>
          <w:lang w:val="lt-LT"/>
        </w:rPr>
      </w:pPr>
    </w:p>
    <w:p w14:paraId="74A84E05" w14:textId="77777777" w:rsidR="00093845" w:rsidRDefault="000D779E">
      <w:pPr>
        <w:ind w:firstLine="720"/>
        <w:jc w:val="both"/>
        <w:rPr>
          <w:b/>
          <w:bCs/>
          <w:lang w:val="lt-LT"/>
        </w:rPr>
      </w:pPr>
      <w:r>
        <w:rPr>
          <w:lang w:val="lt-LT"/>
        </w:rPr>
        <w:t xml:space="preserve"> </w:t>
      </w:r>
      <w:r>
        <w:rPr>
          <w:b/>
          <w:bCs/>
          <w:lang w:val="lt-LT"/>
        </w:rPr>
        <w:t>Komentaras</w:t>
      </w:r>
    </w:p>
    <w:p w14:paraId="77C61CFC" w14:textId="77777777" w:rsidR="00093845" w:rsidRDefault="000D779E" w:rsidP="009B5DF3">
      <w:pPr>
        <w:ind w:firstLine="720"/>
        <w:jc w:val="both"/>
        <w:rPr>
          <w:lang w:val="lt-LT"/>
        </w:rPr>
      </w:pPr>
      <w:r>
        <w:rPr>
          <w:b/>
          <w:bCs/>
          <w:lang w:val="lt-LT"/>
        </w:rPr>
        <w:t xml:space="preserve"> </w:t>
      </w:r>
      <w:r>
        <w:rPr>
          <w:lang w:val="lt-LT"/>
        </w:rPr>
        <w:t>1. Nekilnojamojo pagal prigimtį daikto sąvoka apibrėžta PMĮ 2 str. 20 dalyje.</w:t>
      </w:r>
    </w:p>
    <w:p w14:paraId="0652E377" w14:textId="77777777" w:rsidR="00093845" w:rsidRDefault="000D779E">
      <w:pPr>
        <w:pStyle w:val="Pagrindinistekstas"/>
        <w:ind w:firstLine="540"/>
        <w:rPr>
          <w:lang w:val="lt-LT"/>
        </w:rPr>
      </w:pPr>
      <w:r>
        <w:rPr>
          <w:lang w:val="lt-LT"/>
        </w:rPr>
        <w:lastRenderedPageBreak/>
        <w:t xml:space="preserve">2. Kai užsienio vienetas ne per nuolatinę buveinę gauna pajamų už parduotą, kitokiu būdu perleistą nuosavybėn arba išnuomotą nekilnojamąjį pagal prigimtį daiktą, esantį Lietuvos Respublikos teritorijoje, tokios pajamos apmokestinamos taikant PMĮ 5 str. 1 d. 2 punkte nustatytą mokesčio tarifą (15 proc.). </w:t>
      </w:r>
    </w:p>
    <w:p w14:paraId="34ECFFB5" w14:textId="77777777" w:rsidR="00093845" w:rsidRDefault="000D779E">
      <w:pPr>
        <w:pStyle w:val="Pagrindiniotekstotrauka"/>
        <w:ind w:firstLine="540"/>
        <w:rPr>
          <w:lang w:val="lt-LT"/>
        </w:rPr>
      </w:pPr>
      <w:r>
        <w:rPr>
          <w:lang w:val="lt-LT"/>
        </w:rPr>
        <w:t>3. Tokios užsienio vieneto gaunamos pajamos apmokestinamos, nepriklausomai nuo jų gavimo formos (pinigais, nekilnojamuoju turtu, vertybiniais popieriais ir pan.) ir mokėjimo būdo (mokama tiesiogiai, atsiskaitoma apmokant to užsienio vieneto skolinius įsipareigojimus, jo vardu vykdant mokestines prievoles ar pan.).</w:t>
      </w:r>
    </w:p>
    <w:p w14:paraId="031A946E" w14:textId="77777777" w:rsidR="00093845" w:rsidRDefault="000D779E">
      <w:pPr>
        <w:pStyle w:val="Pagrindiniotekstotrauka"/>
        <w:ind w:firstLine="540"/>
        <w:rPr>
          <w:lang w:val="lt-LT"/>
        </w:rPr>
      </w:pPr>
      <w:r>
        <w:rPr>
          <w:lang w:val="lt-LT"/>
        </w:rPr>
        <w:t>Pavyzdžiai</w:t>
      </w:r>
    </w:p>
    <w:p w14:paraId="2DBCF2FD"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right="23" w:firstLine="540"/>
        <w:rPr>
          <w:lang w:val="lt-LT"/>
        </w:rPr>
      </w:pPr>
      <w:r w:rsidRPr="0065344A">
        <w:rPr>
          <w:lang w:val="lt-LT"/>
        </w:rPr>
        <w:t xml:space="preserve"> 1. Lietuvos vienetas su užsienio vienetu sudarė sutartį, pagal kurią Lietuvos vienetas savo prekybinei veiklai naudoja Vilniuje esančias ir užsienio vienetui nuosavybės teise priklausančias patalpas</w:t>
      </w:r>
      <w:r w:rsidRPr="0065344A">
        <w:rPr>
          <w:b/>
          <w:lang w:val="lt-LT"/>
        </w:rPr>
        <w:t xml:space="preserve">. </w:t>
      </w:r>
      <w:r w:rsidRPr="0065344A">
        <w:rPr>
          <w:lang w:val="lt-LT"/>
        </w:rPr>
        <w:t>Minėti Lietuvos vienetas ir užsienio vienetas nėra asocijuoti asmenys. Lietuvos vienetas nuomos mokesčio už šias patalpas nemoka, tačiau sudarytoje sutartyje yra įsipareigojęs užsienio vieneto vardu į Lietuvos Respublikos biudžetą mokėti nekilnojamojo turto mokestį bei žemės nuomos mokestį. Sutartis pavadinta „panaudos sutartimi“.</w:t>
      </w:r>
    </w:p>
    <w:p w14:paraId="44C2A223"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rPr>
          <w:lang w:val="lt-LT"/>
        </w:rPr>
      </w:pPr>
      <w:r w:rsidRPr="0065344A">
        <w:rPr>
          <w:lang w:val="lt-LT"/>
        </w:rPr>
        <w:t>Remiantis Lietuvos Respublikos civilinio kodekso 6.629 straipsniu, pagal panaudos sutartį viena šalis (panaudos davėja) perduoda kitai šaliai (panaudos gavėjai) nesunaudojamąjį daiktą laikinai ir neatlygintinai valdyti ir juo naudotis. Pagal šio kodekso 6.477 straipsnį nuomos sutartyje viena šalis (nuomotoja) įsipareigoja duoti nuomininkui daiktą laikinai valdyti ir naudotis juo už užmokestį. Kadangi užsienio vienetas leido Lietuvos vienetui naudotis jam priklausančiomis patalpomis ne neatlygintinai, o už tam tikrą užmokestį (jo vardu mokamo nekilnojamojo turto mokesčio ir žemės mokesčio forma), todėl tarp šių vienetų sudaryta sutartis, nors ir pavadinta panaudos sutartimi, iš esmės turėtų būti laikoma nuomos sutartimi.</w:t>
      </w:r>
    </w:p>
    <w:p w14:paraId="79D2FB78" w14:textId="77777777" w:rsidR="00093845" w:rsidRPr="0065344A" w:rsidRDefault="000D779E">
      <w:pPr>
        <w:pStyle w:val="Pagrindiniotekstotrauka"/>
        <w:pBdr>
          <w:top w:val="single" w:sz="4" w:space="1" w:color="auto"/>
          <w:left w:val="single" w:sz="4" w:space="4" w:color="auto"/>
          <w:bottom w:val="single" w:sz="4" w:space="1" w:color="auto"/>
          <w:right w:val="single" w:sz="4" w:space="4" w:color="auto"/>
        </w:pBdr>
        <w:ind w:right="23" w:firstLine="540"/>
        <w:rPr>
          <w:lang w:val="lt-LT"/>
        </w:rPr>
      </w:pPr>
      <w:r w:rsidRPr="0065344A">
        <w:rPr>
          <w:lang w:val="lt-LT"/>
        </w:rPr>
        <w:t>Remiantis PMĮ 4 str. 4 d. 4 punktu ir 5 str. 1 d. 2 punktu, sumos, kurias Lietuvos vienetas išmoka užsienio vienetui už išnuomotą nekilnojamąjį pagal prigimtį daiktą, apmokestinamos be atskaitymų prie pajamų šaltinio taikant 15 proc. mokesčio tarifą. Suma, nuo kurios skaičiuojamas mokestis šiuo atveju, turėtų būti laikoma užsienio vieneto vardu mokama nekilnojamojo turto mokesčio ir žemės nuomos mokesčio suma.</w:t>
      </w:r>
    </w:p>
    <w:p w14:paraId="2E0613D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autoSpaceDE w:val="0"/>
        <w:autoSpaceDN w:val="0"/>
        <w:ind w:right="23" w:firstLine="540"/>
      </w:pPr>
      <w:r>
        <w:t xml:space="preserve">2. Užsienio vienetui nuosavybės teise priklauso pastatas – nekilnojamasis turtas, registruotas Nekilnojamojo turto registre. Šiuo turtu užsienio vienetas apmoka įsigyjamas naujai steigiamos Lietuvos uždaros akcinės bendrovės akcijas. </w:t>
      </w:r>
    </w:p>
    <w:p w14:paraId="3A350D6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pPr>
      <w:r>
        <w:t xml:space="preserve">Remiantis Lietuvos Respublikos civilinio kodekso Ketvirtosios knygos V skyriaus nuostatomis, turto perleidimu laikomas jo nuosavybės teisės perdavimas. Todėl tuo atveju, kai užsienio vienetas jam priklausiusią turto nuosavybės teisę perdavė Lietuvos vienetui, laikoma, kad tas užsienio vienetas perleido turtą. </w:t>
      </w:r>
    </w:p>
    <w:p w14:paraId="2051106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firstLine="540"/>
        <w:rPr>
          <w:lang w:val="lt-LT"/>
        </w:rPr>
      </w:pPr>
      <w:r>
        <w:t>Remiantis PMĮ 4 str. 4 d. 4 punktu ir 5 str. 1 d. 2 punktu, sumos, kurias užsienio vienetas gauna už perleistą nekilnojamąjį pagal prigimtį daiktą, apmokestinamos be atskaitymų prie pajamų šaltinio taikant 15 proc. mokesčio tarifą. Kadangi užsienio vienetas pajamas gavo akcijomis (ne pinigais), tai šiuo atveju suma, nuo kurios skaičiuojamas mokestis, yra lygi steigimo metu užsienio vieneto įsigytų akcijų emisijos kainai.</w:t>
      </w:r>
    </w:p>
    <w:p w14:paraId="60EDFD6D" w14:textId="77777777" w:rsidR="00093845" w:rsidRPr="0065344A" w:rsidRDefault="000D779E">
      <w:pPr>
        <w:pStyle w:val="Pagrindiniotekstotrauka"/>
        <w:tabs>
          <w:tab w:val="left" w:pos="720"/>
          <w:tab w:val="left" w:pos="1077"/>
          <w:tab w:val="left" w:pos="1418"/>
        </w:tabs>
        <w:ind w:firstLine="540"/>
        <w:rPr>
          <w:lang w:val="lt-LT"/>
        </w:rPr>
      </w:pPr>
      <w:r w:rsidRPr="0065344A">
        <w:rPr>
          <w:lang w:val="lt-LT"/>
        </w:rPr>
        <w:t xml:space="preserve">4. Jeigu užsienio vienetas ne per nuolatinę buveinę parduoda ar kitaip perleidžia nuosavybėn nekilnojamąjį pagal prigimtį daiktą, esantį Lietuvos Respublikos teritorijoje, nuolatiniam Lietuvos gyventojui, nenuolatiniam Lietuvos gyventojui per nuolatinę bazę, Lietuvos vienetui ar užsienio vienetui per nuolatinę buveinę, tai minėtas mokesčio tarifas taikomas apmokestinant visas tokio daikto </w:t>
      </w:r>
      <w:r w:rsidRPr="0065344A">
        <w:rPr>
          <w:lang w:val="lt-LT"/>
        </w:rPr>
        <w:lastRenderedPageBreak/>
        <w:t>pardavimo pajamas, tačiau užsienio vienetas turi teisę centrinio mokesčių administratoriaus nustatyta tvarka kreiptis į vietos mokesčių administratorių, kurio veiklos teritorijoje įregistruotas mokestį išskaičiavęs asmuo, dėl tokio mokesčio perskaičiavimo. Šiuo atveju pelno mokestis apskaičiuojamas nuo turto vertės padidėjimo pajamų PMĮ 54 straipsnyje nustatyta tvarka.</w:t>
      </w:r>
    </w:p>
    <w:p w14:paraId="25203489" w14:textId="77777777" w:rsidR="00093845" w:rsidRPr="0065344A" w:rsidRDefault="000D779E">
      <w:pPr>
        <w:tabs>
          <w:tab w:val="left" w:pos="720"/>
          <w:tab w:val="left" w:pos="1077"/>
          <w:tab w:val="left" w:pos="1418"/>
        </w:tabs>
        <w:ind w:right="-5" w:firstLine="540"/>
        <w:jc w:val="both"/>
        <w:rPr>
          <w:lang w:val="lt-LT"/>
        </w:rPr>
      </w:pPr>
      <w:r w:rsidRPr="0065344A">
        <w:rPr>
          <w:lang w:val="lt-LT"/>
        </w:rPr>
        <w:t>5. Jeigu užsienio vienetas ne per nuolatinę buveinę parduoda ar kitaip perleidžia nuosavybėn nekilnojamąjį pagal prigimtį daiktą, esantį Lietuvos Respublikos teritorijoje, nenuolatiniam Lietuvos gyventojui, nenuolatiniam Lietuvos gyventojui per nuolatinę bazę, Lietuvos vienetui ar užsienio vienetui per nuolatinę buveinę (t.y., jeigu mokestis nuo už to turto perleidimą išmokėtų sumų nebuvo išskaičiuotas), tai toks užsienio vienetas, gavęs tokių pajamų, privalo pateikti pajamų deklaraciją tam mokesčių administratoriui, kurio administruojamoje teritorijoje tas nekilnojamasis turtas yra, ir mokėti mokestį nuo visų gautų pajamų arba, jeigu turi visus mokesčio perskaičiavimui reikalingus dokumentus, nuo turto vertės padidėjimo pajamų.</w:t>
      </w:r>
    </w:p>
    <w:p w14:paraId="5F8C41DC" w14:textId="77777777" w:rsidR="00093845" w:rsidRDefault="000D779E">
      <w:pPr>
        <w:tabs>
          <w:tab w:val="left" w:pos="720"/>
          <w:tab w:val="left" w:pos="1077"/>
          <w:tab w:val="left" w:pos="1418"/>
        </w:tabs>
        <w:ind w:right="-5" w:firstLine="720"/>
      </w:pPr>
      <w:r>
        <w:t>Pavyzdys</w:t>
      </w:r>
    </w:p>
    <w:p w14:paraId="22C789D0"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20"/>
        <w:jc w:val="both"/>
      </w:pPr>
      <w:r>
        <w:t>Užsienio vienetui A, kuris nevykdo jokios veiklos Lietuvoje, nuosavybės teise priklauso pastatas – nekilnojamasis turtas, registruotas Nekilnojamojo turto registre. Šį pastatą jis pardavė kitam užsienio vienetui B, kuris taip pat nevykdo jokios veiklos Lietuvoje.</w:t>
      </w:r>
    </w:p>
    <w:p w14:paraId="5BFEB1D3"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20"/>
        <w:jc w:val="both"/>
      </w:pPr>
      <w:r>
        <w:t>Remiantis PMĮ 4 str. 4 d. 4 punktu ir 5 str. 1 d. 2 punktu, sumos, kurias užsienio vienetas gauna už perleistą nekilnojamąjį pagal prigimtį daiktą, apmokestinamos be atskaitymų prie pajamų šaltinio taikant 15</w:t>
      </w:r>
      <w:r>
        <w:rPr>
          <w:b/>
        </w:rPr>
        <w:t xml:space="preserve"> </w:t>
      </w:r>
      <w:r>
        <w:t>proc. mokesčio tarifą. Atsižvelgiant į PMĮ 54 straipsnyje numatytą pelno mokesčio perskaičiavimą, tokio užsienio vieneto A už nekilnojamojo turto perleidimą iš užsienio vieneto B gautos pajamos gali būti apmokestinamos, skaičiuojant pelno mokestį tik nuo parduoto turto vertės padidėjimo pajamų.</w:t>
      </w:r>
    </w:p>
    <w:p w14:paraId="54F8CD8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pPr>
      <w:r>
        <w:t>Todėl užsienio vienetas A, pardavęs jam nuosavybės teise priklausiusį pastatą užsienio vienetui B ir gavęs už tai pajamų, privalo pateikti pajamų deklaraciją tam mokesčių administratoriui, kurio administruojamoje teritorijoje tas nekilnojamasis turtas yra, ir mokėti mokestį nuo visų gautų pajamų arba, jeigu turi visus mokesčio perskaičiavimui reikalingus dokumentus, nuo turto vertės padidėjimo pajamų.</w:t>
      </w:r>
    </w:p>
    <w:p w14:paraId="67F0D69B" w14:textId="77777777" w:rsidR="00093845" w:rsidRDefault="00093845">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b/>
          <w:lang w:val="lt-LT"/>
        </w:rPr>
      </w:pPr>
    </w:p>
    <w:p w14:paraId="1D65E51B" w14:textId="77777777" w:rsidR="00093845" w:rsidRDefault="000D779E" w:rsidP="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right="-85"/>
        <w:rPr>
          <w:b/>
          <w:lang w:val="lt-LT"/>
        </w:rPr>
      </w:pPr>
      <w:r>
        <w:rPr>
          <w:b/>
          <w:lang w:val="lt-LT"/>
        </w:rPr>
        <w:t>5) kompensacijų už autorių arba gretutinių teisių pažeidimą pajamos</w:t>
      </w:r>
    </w:p>
    <w:p w14:paraId="69130CC1" w14:textId="77777777" w:rsidR="006F6820" w:rsidRPr="00F62677" w:rsidRDefault="006F6820" w:rsidP="00F62677">
      <w:pPr>
        <w:spacing w:after="0"/>
        <w:jc w:val="both"/>
        <w:rPr>
          <w:b/>
          <w:i/>
          <w:lang w:val="lt-LT"/>
        </w:rPr>
      </w:pPr>
      <w:r w:rsidRPr="00F62677">
        <w:rPr>
          <w:i/>
          <w:iCs/>
          <w:lang w:val="lt-LT"/>
        </w:rPr>
        <w:t xml:space="preserve">(KEISTA: 2008 07 14 įstatymu Nr. </w:t>
      </w:r>
      <w:hyperlink r:id="rId35"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1ADD410D" w14:textId="77777777" w:rsidR="006F6820" w:rsidRDefault="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b/>
          <w:lang w:val="lt-LT"/>
        </w:rPr>
      </w:pPr>
    </w:p>
    <w:p w14:paraId="351549A5" w14:textId="77777777" w:rsidR="00093845" w:rsidRDefault="000D779E">
      <w:pPr>
        <w:ind w:firstLine="720"/>
        <w:rPr>
          <w:b/>
          <w:bCs/>
          <w:lang w:val="lt-LT"/>
        </w:rPr>
      </w:pPr>
      <w:r>
        <w:rPr>
          <w:b/>
          <w:bCs/>
          <w:lang w:val="lt-LT"/>
        </w:rPr>
        <w:t>Komentaras</w:t>
      </w:r>
    </w:p>
    <w:p w14:paraId="0CB70215"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color w:val="000000"/>
          <w:lang w:val="lt-LT"/>
        </w:rPr>
      </w:pPr>
      <w:r>
        <w:rPr>
          <w:lang w:val="lt-LT"/>
        </w:rPr>
        <w:t>1. Lietuvos Respublikos</w:t>
      </w:r>
      <w:r>
        <w:rPr>
          <w:u w:val="single"/>
          <w:lang w:val="lt-LT"/>
        </w:rPr>
        <w:t xml:space="preserve"> </w:t>
      </w:r>
      <w:r>
        <w:rPr>
          <w:rFonts w:ascii="TimesLT" w:hAnsi="TimesLT" w:cs="Arial Unicode MS"/>
          <w:b/>
          <w:bCs/>
          <w:kern w:val="36"/>
          <w:lang w:val="lt-LT"/>
        </w:rPr>
        <w:t>autorių teisių ir gretutinių teisių įstatyme</w:t>
      </w:r>
      <w:r>
        <w:rPr>
          <w:lang w:val="lt-LT"/>
        </w:rPr>
        <w:t xml:space="preserve"> (</w:t>
      </w:r>
      <w:r w:rsidRPr="0065344A">
        <w:rPr>
          <w:lang w:val="lt-LT"/>
        </w:rPr>
        <w:t xml:space="preserve">nustatyta, kas yra </w:t>
      </w:r>
      <w:r w:rsidRPr="0065344A">
        <w:rPr>
          <w:i/>
          <w:iCs/>
          <w:lang w:val="lt-LT"/>
        </w:rPr>
        <w:t>autorių teisės</w:t>
      </w:r>
      <w:r w:rsidRPr="0065344A">
        <w:rPr>
          <w:lang w:val="lt-LT"/>
        </w:rPr>
        <w:t xml:space="preserve">, </w:t>
      </w:r>
      <w:r w:rsidRPr="0065344A">
        <w:rPr>
          <w:i/>
          <w:iCs/>
          <w:lang w:val="lt-LT"/>
        </w:rPr>
        <w:t>autorių teisių objektai</w:t>
      </w:r>
      <w:r w:rsidRPr="0065344A">
        <w:rPr>
          <w:lang w:val="lt-LT"/>
        </w:rPr>
        <w:t xml:space="preserve">, </w:t>
      </w:r>
      <w:r w:rsidRPr="0065344A">
        <w:rPr>
          <w:i/>
          <w:iCs/>
          <w:color w:val="000000"/>
          <w:lang w:val="lt-LT"/>
        </w:rPr>
        <w:t>gretutinės teisės</w:t>
      </w:r>
      <w:r w:rsidRPr="0065344A">
        <w:rPr>
          <w:color w:val="000000"/>
          <w:lang w:val="lt-LT"/>
        </w:rPr>
        <w:t xml:space="preserve">, </w:t>
      </w:r>
      <w:r w:rsidRPr="0065344A">
        <w:rPr>
          <w:i/>
          <w:iCs/>
          <w:color w:val="000000"/>
          <w:lang w:val="lt-LT"/>
        </w:rPr>
        <w:t>gretutinių teisių objektai</w:t>
      </w:r>
      <w:r w:rsidRPr="0065344A">
        <w:rPr>
          <w:color w:val="000000"/>
          <w:lang w:val="lt-LT"/>
        </w:rPr>
        <w:t>.</w:t>
      </w:r>
    </w:p>
    <w:p w14:paraId="63D78983"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sidRPr="0065344A">
        <w:rPr>
          <w:color w:val="000000"/>
          <w:lang w:val="lt-LT"/>
        </w:rPr>
        <w:t>Remiantis minėto įstatymo 73</w:t>
      </w:r>
      <w:r w:rsidRPr="0065344A">
        <w:rPr>
          <w:b/>
          <w:color w:val="000000"/>
          <w:lang w:val="lt-LT"/>
        </w:rPr>
        <w:t xml:space="preserve"> </w:t>
      </w:r>
      <w:r w:rsidRPr="0065344A">
        <w:rPr>
          <w:color w:val="000000"/>
          <w:lang w:val="lt-LT"/>
        </w:rPr>
        <w:t xml:space="preserve">straipsniu, </w:t>
      </w:r>
      <w:r w:rsidRPr="0065344A">
        <w:rPr>
          <w:i/>
          <w:iCs/>
          <w:color w:val="000000"/>
          <w:lang w:val="lt-LT"/>
        </w:rPr>
        <w:t>autorių arba gretutinių teisių pažeidimu</w:t>
      </w:r>
      <w:r w:rsidRPr="0065344A">
        <w:rPr>
          <w:color w:val="000000"/>
          <w:lang w:val="lt-LT"/>
        </w:rPr>
        <w:t xml:space="preserve"> laikomi veiksmai</w:t>
      </w:r>
      <w:r w:rsidRPr="0065344A">
        <w:rPr>
          <w:lang w:val="lt-LT"/>
        </w:rPr>
        <w:t>, kuriais pažeidžiamos bet kurios šio įstatymo ir kitų įstatymų saugomos autorių teisės, gretutinės teisės</w:t>
      </w:r>
      <w:r w:rsidRPr="0065344A">
        <w:rPr>
          <w:color w:val="000000"/>
          <w:lang w:val="lt-LT"/>
        </w:rPr>
        <w:t>.</w:t>
      </w:r>
      <w:r w:rsidRPr="0065344A">
        <w:rPr>
          <w:lang w:val="lt-LT"/>
        </w:rPr>
        <w:t xml:space="preserve"> </w:t>
      </w:r>
    </w:p>
    <w:p w14:paraId="5EC35508"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sidRPr="0065344A">
        <w:rPr>
          <w:lang w:val="lt-LT"/>
        </w:rPr>
        <w:t>Lietuvos Respublikos</w:t>
      </w:r>
      <w:r w:rsidRPr="0065344A">
        <w:rPr>
          <w:u w:val="single"/>
          <w:lang w:val="lt-LT"/>
        </w:rPr>
        <w:t xml:space="preserve"> </w:t>
      </w:r>
      <w:r w:rsidRPr="0065344A">
        <w:rPr>
          <w:rFonts w:ascii="TimesLT" w:hAnsi="TimesLT" w:cs="Arial Unicode MS"/>
          <w:b/>
          <w:bCs/>
          <w:kern w:val="36"/>
          <w:lang w:val="lt-LT"/>
        </w:rPr>
        <w:t>autorių teisių ir gretutinių teisių įstatymo</w:t>
      </w:r>
      <w:r w:rsidRPr="0065344A">
        <w:rPr>
          <w:lang w:val="lt-LT"/>
        </w:rPr>
        <w:t xml:space="preserve"> 83 straipsnio 4 dalyje įtvirtinta, kad vietoj dėl teisių pažeidimo faktiškai atsiradusios žalos (nuostolių) atlyginimo </w:t>
      </w:r>
      <w:r w:rsidRPr="0065344A">
        <w:rPr>
          <w:color w:val="000000"/>
          <w:lang w:val="lt-LT"/>
        </w:rPr>
        <w:t xml:space="preserve">autorių teisių ar gretutinių teisių </w:t>
      </w:r>
      <w:r w:rsidRPr="0065344A">
        <w:rPr>
          <w:lang w:val="lt-LT"/>
        </w:rPr>
        <w:t>subjektas gali reikalauti:</w:t>
      </w:r>
    </w:p>
    <w:p w14:paraId="06A20A12" w14:textId="77777777" w:rsidR="00093845" w:rsidRPr="0065344A" w:rsidRDefault="000D779E" w:rsidP="00EC4E29">
      <w:pPr>
        <w:pStyle w:val="Pagrindinistekstas"/>
        <w:numPr>
          <w:ilvl w:val="0"/>
          <w:numId w:val="23"/>
        </w:numPr>
        <w:tabs>
          <w:tab w:val="clear" w:pos="1635"/>
          <w:tab w:val="left" w:pos="0"/>
          <w:tab w:val="left" w:pos="1080"/>
        </w:tabs>
        <w:ind w:left="0" w:firstLine="720"/>
        <w:rPr>
          <w:lang w:val="lt-LT"/>
        </w:rPr>
      </w:pPr>
      <w:r w:rsidRPr="0065344A">
        <w:rPr>
          <w:lang w:val="lt-LT"/>
        </w:rPr>
        <w:lastRenderedPageBreak/>
        <w:t>kompensacijos, kurios dydį iki 1 000 minimalių gyvenimo lygių (MGL) nustato teismas, atsižvelgdamas į pažeidėjo kaltę, jo turtinę padėtį, neteisėtų veiksmų priežastis ir kitas turinčias reikšmės bylai aplinkybes, taip pat sąžiningumo, teisingumo ir protingumo kriterijus; arba</w:t>
      </w:r>
    </w:p>
    <w:p w14:paraId="1169192D" w14:textId="77777777" w:rsidR="00093845" w:rsidRPr="0065344A" w:rsidRDefault="000D779E" w:rsidP="00EC4E29">
      <w:pPr>
        <w:pStyle w:val="Pagrindinistekstas"/>
        <w:numPr>
          <w:ilvl w:val="0"/>
          <w:numId w:val="23"/>
        </w:numPr>
        <w:tabs>
          <w:tab w:val="clear" w:pos="1635"/>
          <w:tab w:val="left" w:pos="0"/>
          <w:tab w:val="left" w:pos="1080"/>
        </w:tabs>
        <w:ind w:left="0" w:firstLine="720"/>
        <w:rPr>
          <w:lang w:val="lt-LT"/>
        </w:rPr>
      </w:pPr>
      <w:r w:rsidRPr="0065344A">
        <w:rPr>
          <w:lang w:val="lt-LT"/>
        </w:rPr>
        <w:t>atlyginimo, kuris turėjo būti sumokėtas, jeigu pažeidėjas būtų teisėtai naudojęsis kūriniais ar kitais Lietuvos Respublikos</w:t>
      </w:r>
      <w:r w:rsidRPr="0065344A">
        <w:rPr>
          <w:u w:val="single"/>
          <w:lang w:val="lt-LT"/>
        </w:rPr>
        <w:t xml:space="preserve"> </w:t>
      </w:r>
      <w:r w:rsidRPr="0065344A">
        <w:rPr>
          <w:b/>
          <w:bCs/>
          <w:kern w:val="36"/>
          <w:lang w:val="lt-LT"/>
        </w:rPr>
        <w:t>autorių teisių ir gretutinių teisių įstatymo</w:t>
      </w:r>
      <w:r w:rsidRPr="0065344A">
        <w:rPr>
          <w:lang w:val="lt-LT"/>
        </w:rPr>
        <w:t xml:space="preserve"> saugomų teisių objektais (tai yra gavęs leidimą), o kai yra pažeidėjo tyčia ar didelis neatsargumas, – iki dviejų kartų didesnio šio atlyginimo.</w:t>
      </w:r>
    </w:p>
    <w:p w14:paraId="07F79583" w14:textId="77777777" w:rsidR="00093845" w:rsidRPr="0065344A" w:rsidRDefault="000D779E">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color w:val="000000"/>
          <w:lang w:val="lt-LT"/>
        </w:rPr>
      </w:pPr>
      <w:r w:rsidRPr="0065344A">
        <w:rPr>
          <w:lang w:val="lt-LT"/>
        </w:rPr>
        <w:t>Taigi tai yra teisių subjekto pasirinkimo teisė: jis savo nuožiūra gali reikalauti arba faktinių nuostolių atlyginimo, arba kompensacijos (atlyginimo) už padarytus nuostolius.</w:t>
      </w:r>
    </w:p>
    <w:p w14:paraId="402F84FA" w14:textId="77777777" w:rsidR="00093845" w:rsidRPr="0065344A" w:rsidRDefault="000D779E">
      <w:pPr>
        <w:pStyle w:val="HTMLiankstoformatuotas"/>
        <w:tabs>
          <w:tab w:val="left" w:pos="720"/>
          <w:tab w:val="left" w:pos="1077"/>
          <w:tab w:val="left" w:pos="1418"/>
        </w:tabs>
        <w:ind w:firstLine="720"/>
        <w:jc w:val="both"/>
        <w:rPr>
          <w:rFonts w:ascii="Times New Roman" w:hAnsi="Times New Roman" w:cs="Times New Roman"/>
          <w:color w:val="000000"/>
          <w:sz w:val="24"/>
          <w:szCs w:val="24"/>
          <w:lang w:val="lt-LT"/>
        </w:rPr>
      </w:pPr>
      <w:r w:rsidRPr="0065344A">
        <w:rPr>
          <w:rFonts w:ascii="Times New Roman" w:hAnsi="Times New Roman" w:cs="Times New Roman"/>
          <w:color w:val="000000"/>
          <w:sz w:val="24"/>
          <w:szCs w:val="24"/>
          <w:lang w:val="lt-LT"/>
        </w:rPr>
        <w:t>Kai užsienio vienetas kompensaciją už autorių teisių arba gretutinių teisių pažeidimą gauna ne per nuolatines buveines Lietuvos teritorijoje, tokios pajamos apmokestinamos taikant PMĮ 5 str. 1 d. 2 punkte nustatytą mokesčio tarifą (10 proc.).</w:t>
      </w:r>
    </w:p>
    <w:p w14:paraId="7A0D421C" w14:textId="77777777" w:rsidR="00093845" w:rsidRDefault="000D779E">
      <w:pPr>
        <w:pStyle w:val="HTMLiankstoformatuotas"/>
        <w:tabs>
          <w:tab w:val="clear" w:pos="8244"/>
          <w:tab w:val="clear" w:pos="9160"/>
          <w:tab w:val="left" w:pos="9540"/>
        </w:tabs>
        <w:rPr>
          <w:rFonts w:ascii="Times New Roman" w:hAnsi="Times New Roman" w:cs="Times New Roman"/>
          <w:b/>
          <w:sz w:val="24"/>
          <w:szCs w:val="24"/>
          <w:lang w:val="lt-LT"/>
        </w:rPr>
      </w:pPr>
      <w:r>
        <w:rPr>
          <w:rFonts w:ascii="Times New Roman" w:hAnsi="Times New Roman" w:cs="Times New Roman"/>
          <w:b/>
          <w:sz w:val="24"/>
          <w:szCs w:val="24"/>
          <w:lang w:val="lt-LT"/>
        </w:rPr>
        <w:t xml:space="preserve">           6) pajamos už Lietuvos Respublikoje vykdomą atlikėjų ir sporto veiklą;</w:t>
      </w:r>
    </w:p>
    <w:p w14:paraId="69AE1D76" w14:textId="77777777" w:rsidR="006F6820" w:rsidRPr="00F62677" w:rsidRDefault="006F6820" w:rsidP="00F62677">
      <w:pPr>
        <w:spacing w:after="0"/>
        <w:jc w:val="both"/>
        <w:rPr>
          <w:b/>
          <w:i/>
          <w:lang w:val="lt-LT"/>
        </w:rPr>
      </w:pPr>
      <w:r w:rsidRPr="00F62677">
        <w:rPr>
          <w:i/>
          <w:iCs/>
          <w:lang w:val="lt-LT"/>
        </w:rPr>
        <w:t xml:space="preserve">(KEISTA: 2008 07 14 įstatymu Nr. </w:t>
      </w:r>
      <w:hyperlink r:id="rId36" w:history="1">
        <w:r w:rsidRPr="00F62677">
          <w:rPr>
            <w:rStyle w:val="Hipersaitas"/>
            <w:b w:val="0"/>
            <w:i/>
            <w:iCs/>
            <w:lang w:val="lt-LT"/>
          </w:rPr>
          <w:t>X-1697</w:t>
        </w:r>
      </w:hyperlink>
      <w:r w:rsidR="00AE39CB" w:rsidRPr="00F62677">
        <w:rPr>
          <w:rStyle w:val="Hipersaitas"/>
          <w:b w:val="0"/>
          <w:i/>
          <w:iCs/>
          <w:lang w:val="lt-LT"/>
        </w:rPr>
        <w:t>,</w:t>
      </w:r>
      <w:r w:rsidRPr="00F62677">
        <w:rPr>
          <w:i/>
          <w:iCs/>
          <w:lang w:val="lt-LT"/>
        </w:rPr>
        <w:t xml:space="preserve"> taikoma apskaičiuojant 2009 metais prasidėjusio mokestinio laikotarpio ir vėlesnių mokestinių laikotarpių apmokestinamąjį pelną).</w:t>
      </w:r>
    </w:p>
    <w:p w14:paraId="57AD2A48" w14:textId="77777777" w:rsidR="006F6820" w:rsidRPr="00F62677" w:rsidRDefault="006F6820">
      <w:pPr>
        <w:pStyle w:val="HTMLiankstoformatuotas"/>
        <w:tabs>
          <w:tab w:val="clear" w:pos="8244"/>
          <w:tab w:val="clear" w:pos="9160"/>
          <w:tab w:val="left" w:pos="9540"/>
        </w:tabs>
        <w:rPr>
          <w:rFonts w:ascii="Times New Roman" w:hAnsi="Times New Roman" w:cs="Times New Roman"/>
          <w:b/>
          <w:i/>
          <w:sz w:val="24"/>
          <w:szCs w:val="24"/>
          <w:lang w:val="lt-LT"/>
        </w:rPr>
      </w:pPr>
    </w:p>
    <w:p w14:paraId="293BF402" w14:textId="77777777" w:rsidR="00093845" w:rsidRDefault="000D779E" w:rsidP="009B5DF3">
      <w:pPr>
        <w:pStyle w:val="HTMLiankstoformatuotas"/>
        <w:tabs>
          <w:tab w:val="clear" w:pos="8244"/>
          <w:tab w:val="clear" w:pos="9160"/>
          <w:tab w:val="left" w:pos="9540"/>
        </w:tabs>
        <w:rPr>
          <w:rFonts w:ascii="Times New Roman" w:hAnsi="Times New Roman" w:cs="Times New Roman"/>
          <w:b/>
          <w:sz w:val="24"/>
          <w:szCs w:val="24"/>
          <w:lang w:val="lt-LT"/>
        </w:rPr>
      </w:pPr>
      <w:r>
        <w:rPr>
          <w:lang w:val="lt-LT"/>
        </w:rPr>
        <w:tab/>
      </w:r>
      <w:r>
        <w:rPr>
          <w:rFonts w:ascii="Times New Roman" w:hAnsi="Times New Roman" w:cs="Times New Roman"/>
          <w:b/>
          <w:sz w:val="24"/>
          <w:szCs w:val="24"/>
          <w:lang w:val="lt-LT"/>
        </w:rPr>
        <w:t>Komentaras</w:t>
      </w:r>
    </w:p>
    <w:p w14:paraId="7C0CC11F"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1. Atlikėjo veiklos sąvoka apibrėžta Lietuvos Respublikos gyventojų pajamų mokesčio įstatymo (toliau - GPMĮ) 2 str. 9 dalyje, o sporto veiklos sąvoka – GPMĮ 2 str. 8 dalyje.</w:t>
      </w:r>
    </w:p>
    <w:p w14:paraId="1059BEA5"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ab/>
        <w:t>2. Pajamos, gautos už Lietuvos Respublikoje vykdomą atlikėjų ir sporto veiklą, apmokestinamos pelno mokesčiu „prie pajamų šaltinio“ tik tokiu atveju, kai galutinis pajamų gavėjas yra užsienio vienetas, veikiantis Lietuvoje ne per nuolatinę buveinę ir vykdantis atlikėjų ar sporto veiklą (pvz., orkestras, trupė, komanda).</w:t>
      </w:r>
    </w:p>
    <w:p w14:paraId="5DF3877F"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Pavyzdžiai</w:t>
      </w:r>
    </w:p>
    <w:p w14:paraId="62A1FEE2"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 Lietuvos vienetas su užsienio vienetu sudarė sutartį, pagal kurią užsienio vienetas Lietuvoje turi suorganizuoti orkestro, kuris taip pat yra užsienio vienetas, koncertą. Taip pat sutartyje numatyta, kad užmokestį už koncertą Lietuvos vienetas perves užsienio vienetui, o šis jį sumokės orkestrui. Tokiu atveju Lietuvos vienetas išmokėdamas užmokestį už koncertą užsienio vienetui turi išskaičiuoti ir į biudžetą sumokėti pelno mokestį.</w:t>
      </w:r>
    </w:p>
    <w:p w14:paraId="7BBC059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2. Lietuvos vienetas su užsienio vienetu sudarė sutartį, kurioje numatyta, kad užsienio vienetas suorganizuos Lietuvoje dainininko koncertą. Taip pat sutartyje numatyta, kad užmokestį už koncertą Lietuvos vienetas perves užsienio vienetui, o šis jį sumokės dainininkui. Tokiu atveju Lietuvos vienetas išmokėdamas užmokestį už koncertą užsienio vienetui pelno mokesčio išskaičiuoti neturi, nes sutartyje numatytas užmokestis už dainininko koncertą Lietuvoje neapmokestinamas pelno mokesčiu. Jis apmokestinamas vadovaujantis Lietuvos Respublikos gyventojų pajamų mokesčio įstatymo 5 str. 4 d. 7 punktu.</w:t>
      </w:r>
    </w:p>
    <w:p w14:paraId="772F0B0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3. Lietuvos vienetas sudarė sutartį su dainininko įmone, kuri yra užsienio vienetas, dėl dainininko koncerto Lietuvoje. Taip pat sutartyje numatyta, kad užmokestį už koncertą Lietuvos vienetas perves užsienio vienetui (dainininko įmonei). Tokiu atveju Lietuvos vienetas išmokėdamas užmokestį už koncertą užsienio vienetui pelno mokesčio išskaičiuoti neturi, nes sutartyje numatytas užmokestis už dainininko koncertą Lietuvoje neapmokestinamas pelno mokesčiu. Jis apmokestinamas vadovaujantis Lietuvos Respublikos gyventojų pajamų mokesčio įstatymo 5 str. 4 d. 7 punktu.</w:t>
      </w:r>
    </w:p>
    <w:p w14:paraId="62C70CF1"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b/>
        <w:t>3. Kai užsienio vienetas ne per nuolatinę buveinę gauna pajamų už Lietuvos Respublikoje vykdomą atlikėjų veiklą ar (ir) sporto veiklą, tokios pajamos apmokestinamos taikant PMĮ 5 str. 1 d. 2 punkte nustatytą 15 proc. dydžio pelno mokesčio tarifą .</w:t>
      </w:r>
    </w:p>
    <w:p w14:paraId="09486E11"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ab/>
      </w:r>
      <w:r>
        <w:rPr>
          <w:rFonts w:ascii="Times New Roman" w:hAnsi="Times New Roman" w:cs="Times New Roman"/>
          <w:sz w:val="24"/>
          <w:szCs w:val="24"/>
          <w:lang w:val="lt-LT"/>
        </w:rPr>
        <w:t>Tokios užsienio vieneto gaunamos pajamos apmokestinamos nepriklausomai nuo jų gavimo formos (pinigais ar natūra) ir mokėjimo būdo (tiesiogiai, jo vardu vykdant įsipareigojimus ar pan.).</w:t>
      </w:r>
    </w:p>
    <w:p w14:paraId="3AB346F6" w14:textId="77777777" w:rsidR="00093845" w:rsidRDefault="000D779E">
      <w:pPr>
        <w:pStyle w:val="HTMLiankstoformatuotas"/>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Pavyzdžiai</w:t>
      </w:r>
    </w:p>
    <w:tbl>
      <w:tblPr>
        <w:tblW w:w="9638" w:type="dxa"/>
        <w:tblLayout w:type="fixed"/>
        <w:tblLook w:val="04A0" w:firstRow="1" w:lastRow="0" w:firstColumn="1" w:lastColumn="0" w:noHBand="0" w:noVBand="1"/>
      </w:tblPr>
      <w:tblGrid>
        <w:gridCol w:w="9638"/>
      </w:tblGrid>
      <w:tr w:rsidR="00093845" w:rsidRPr="0065344A" w14:paraId="04191EB4" w14:textId="77777777">
        <w:tc>
          <w:tcPr>
            <w:tcW w:w="9638" w:type="dxa"/>
            <w:tcBorders>
              <w:top w:val="single" w:sz="4" w:space="0" w:color="auto"/>
              <w:left w:val="single" w:sz="4" w:space="0" w:color="auto"/>
              <w:right w:val="single" w:sz="4" w:space="0" w:color="auto"/>
            </w:tcBorders>
          </w:tcPr>
          <w:p w14:paraId="0AB61B78" w14:textId="77777777" w:rsidR="00093845" w:rsidRDefault="000D779E">
            <w:pPr>
              <w:pStyle w:val="HTMLiankstoformatuotas"/>
              <w:tabs>
                <w:tab w:val="clear" w:pos="8244"/>
                <w:tab w:val="clear" w:pos="9160"/>
                <w:tab w:val="left" w:pos="9540"/>
              </w:tabs>
              <w:ind w:firstLine="596"/>
              <w:jc w:val="both"/>
              <w:rPr>
                <w:rFonts w:ascii="Times New Roman" w:hAnsi="Times New Roman" w:cs="Times New Roman"/>
                <w:sz w:val="24"/>
                <w:szCs w:val="24"/>
                <w:lang w:val="lt-LT"/>
              </w:rPr>
            </w:pPr>
            <w:r>
              <w:rPr>
                <w:rFonts w:ascii="Times New Roman" w:hAnsi="Times New Roman" w:cs="Times New Roman"/>
                <w:sz w:val="24"/>
                <w:szCs w:val="24"/>
                <w:lang w:val="lt-LT"/>
              </w:rPr>
              <w:t>1. Lietuvos vienetas su užsienio vienetu sudarė sutartį, pagal kurią užsienio vienetas Lietuvoje turi suorganizuoti orkestro, kuris taip pat yra užsienio vienetas, koncertą. Sutartyje nurodyta, kad Lietuvos vienetas užsienio vienetui sumokės 50 000 EUR, iš kurių 10 000 EUR mokama užsienio vienetui už koncerto organizavimą, o 40 000 EUR orkestrui už atliktą koncertą. Tokiu atveju Lietuvos vienetas išmokėdamas sutartyje nurodytą sumą (50 000</w:t>
            </w:r>
            <w:r w:rsidRPr="0065344A">
              <w:rPr>
                <w:lang w:val="lt-LT"/>
              </w:rPr>
              <w:t xml:space="preserve"> </w:t>
            </w:r>
            <w:r>
              <w:rPr>
                <w:rFonts w:ascii="Times New Roman" w:hAnsi="Times New Roman" w:cs="Times New Roman"/>
                <w:sz w:val="24"/>
                <w:szCs w:val="24"/>
                <w:lang w:val="lt-LT"/>
              </w:rPr>
              <w:t>EUR) pelno mokestį turės išskaičiuoti ir į biudžetą sumokėti nuo 40 000</w:t>
            </w:r>
            <w:r w:rsidRPr="0065344A">
              <w:rPr>
                <w:lang w:val="lt-LT"/>
              </w:rPr>
              <w:t xml:space="preserve"> </w:t>
            </w:r>
            <w:r>
              <w:rPr>
                <w:rFonts w:ascii="Times New Roman" w:hAnsi="Times New Roman" w:cs="Times New Roman"/>
                <w:sz w:val="24"/>
                <w:szCs w:val="24"/>
                <w:lang w:val="lt-LT"/>
              </w:rPr>
              <w:t>EUR sumos, nes koncerto organizavimo veikla nelaikoma atlikėjų veikla. 2. Lietuvos vienetas su užsienio vienetu sudarė sutartį, pagal kurią užsienio vienetas Lietuvoje turi suorganizuoti krepšinio komandos A, kuri taip pat yra užsienio vienetas, varžybas su Lietuvos komanda. Sutartyje nurodyta, kad Lietuvos vienetas užsienio vienetui sumokės 30 000 EUR , tačiau nenurodyta, kokia dalis iš šios sumos mokama užsienio vienetui už varžybų organizavimą, o kokia dalis krepšinio komandai už dalyvavimą varžybose. Tokiu atveju Lietuvos vienetas išmokėdamas sutartyje nurodytą sumą (30 000 EUR) pelno mokestį turės išskaičiuoti ir į biudžetą sumokėti nuo visos 30 000 EUR</w:t>
            </w:r>
            <w:r w:rsidRPr="0065344A">
              <w:rPr>
                <w:lang w:val="lt-LT"/>
              </w:rPr>
              <w:t xml:space="preserve"> </w:t>
            </w:r>
            <w:r>
              <w:rPr>
                <w:rFonts w:ascii="Times New Roman" w:hAnsi="Times New Roman" w:cs="Times New Roman"/>
                <w:sz w:val="24"/>
                <w:szCs w:val="24"/>
                <w:lang w:val="lt-LT"/>
              </w:rPr>
              <w:t>sumos.</w:t>
            </w:r>
          </w:p>
          <w:p w14:paraId="074884BE" w14:textId="77777777" w:rsidR="00093845" w:rsidRDefault="000D779E">
            <w:pPr>
              <w:pStyle w:val="HTMLiankstoformatuotas"/>
              <w:tabs>
                <w:tab w:val="clear" w:pos="8244"/>
                <w:tab w:val="clear" w:pos="9160"/>
                <w:tab w:val="left" w:pos="9540"/>
              </w:tabs>
              <w:ind w:firstLine="596"/>
              <w:jc w:val="both"/>
              <w:rPr>
                <w:rFonts w:ascii="Times New Roman" w:hAnsi="Times New Roman" w:cs="Times New Roman"/>
                <w:sz w:val="24"/>
                <w:szCs w:val="24"/>
                <w:lang w:val="lt-LT"/>
              </w:rPr>
            </w:pPr>
            <w:r>
              <w:rPr>
                <w:rFonts w:ascii="Times New Roman" w:hAnsi="Times New Roman" w:cs="Times New Roman"/>
                <w:sz w:val="24"/>
                <w:szCs w:val="24"/>
                <w:lang w:val="lt-LT"/>
              </w:rPr>
              <w:t>Komanda A vadovaudamasis PMĮ 54 straipsniu, turi teisę kreiptis į tą Lietuvos Respublikos teritorinę valstybinę mokesčių inspekciją, kurios veiklos teritorijoje įregistruotas mokestį išskaičiavęs Lietuvos subjektas, dėl pelno mokesčio perskaičiavimo nuo veiklos Lietuvos Respublikoje apmokestinamojo pelno.</w:t>
            </w:r>
          </w:p>
        </w:tc>
      </w:tr>
      <w:tr w:rsidR="00093845" w:rsidRPr="0065344A" w14:paraId="0373A400" w14:textId="77777777">
        <w:tc>
          <w:tcPr>
            <w:tcW w:w="9638" w:type="dxa"/>
            <w:tcBorders>
              <w:left w:val="single" w:sz="4" w:space="0" w:color="auto"/>
              <w:bottom w:val="single" w:sz="4" w:space="0" w:color="auto"/>
              <w:right w:val="single" w:sz="4" w:space="0" w:color="auto"/>
            </w:tcBorders>
          </w:tcPr>
          <w:p w14:paraId="52BBA346" w14:textId="77777777" w:rsidR="00093845" w:rsidRDefault="00093845">
            <w:pPr>
              <w:pStyle w:val="HTMLiankstoformatuotas"/>
              <w:tabs>
                <w:tab w:val="clear" w:pos="8244"/>
                <w:tab w:val="clear" w:pos="9160"/>
                <w:tab w:val="left" w:pos="9540"/>
              </w:tabs>
              <w:ind w:firstLine="313"/>
              <w:jc w:val="both"/>
              <w:rPr>
                <w:rFonts w:ascii="Times New Roman" w:hAnsi="Times New Roman" w:cs="Times New Roman"/>
                <w:sz w:val="24"/>
                <w:szCs w:val="24"/>
                <w:lang w:val="lt-LT"/>
              </w:rPr>
            </w:pPr>
          </w:p>
        </w:tc>
      </w:tr>
    </w:tbl>
    <w:p w14:paraId="0667593D" w14:textId="77777777" w:rsidR="00093845" w:rsidRDefault="00093845">
      <w:pPr>
        <w:pStyle w:val="HTMLiankstoformatuotas"/>
        <w:tabs>
          <w:tab w:val="clear" w:pos="8244"/>
          <w:tab w:val="clear" w:pos="9160"/>
          <w:tab w:val="left" w:pos="9540"/>
        </w:tabs>
        <w:ind w:firstLine="720"/>
        <w:jc w:val="both"/>
        <w:rPr>
          <w:rFonts w:ascii="Times New Roman" w:hAnsi="Times New Roman" w:cs="Times New Roman"/>
          <w:b/>
          <w:sz w:val="24"/>
          <w:szCs w:val="24"/>
          <w:lang w:val="lt-LT"/>
        </w:rPr>
      </w:pPr>
    </w:p>
    <w:p w14:paraId="45D72658"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b/>
          <w:sz w:val="24"/>
          <w:szCs w:val="24"/>
          <w:lang w:val="lt-LT"/>
        </w:rPr>
        <w:tab/>
      </w:r>
      <w:r>
        <w:rPr>
          <w:rFonts w:ascii="Times New Roman" w:hAnsi="Times New Roman" w:cs="Times New Roman"/>
          <w:sz w:val="24"/>
          <w:szCs w:val="24"/>
          <w:lang w:val="lt-LT"/>
        </w:rPr>
        <w:t>Jei užsienio vienetas ne per nuolatinę buveinę gauna pajamų už Lietuvos Respublikoje vykdomą atlikėjų veiklą ar (ir) sporto veiklą iš nuolatinio Lietuvos gyventojo, Lietuvos vieneto (iš pelno siekiančio ir pelno nesiekiančio) ar nuolatinės buveinės (toliau – Lietuvos subjektas), tai Lietuvos subjektas iš visų išmokamų užsienio vienetui pajamų turi išskaičiuoti 15 proc. dydžio pelno mokestį, tačiau užsienio vienetas, vadovaudamasis PMĮ 54 straipsniu, turi teisę kreiptis į tą Lietuvos Respublikos teritorinę valstybinę mokesčių inspekciją, kurios veiklos teritorijoje įregistruotas mokestį išskaičiavęs Lietuvos subjektas, dėl tokio mokesčio perskaičiavimo nuo veiklos Lietuvos Respublikoje apmokestinamojo pelno (Žr. PMĮ 54 str. 1 dalies komentarą).</w:t>
      </w:r>
    </w:p>
    <w:p w14:paraId="69E6C5BF"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4. Jeigu užsienio vienetas ne per nuolatinę buveinę gauna pajamų už Lietuvos Respublikoje vykdomą atlikėjų veiklą ar (ir) sporto veiklą ne iš Lietuvos subjekto (t. y. jeigu pelno mokestis nuo pajamų už Lietuvos Respublikoje vykdomą atlikėjų veiklą ar (ir) sporto veiklą nebuvo išskaičiuotas), tai toks užsienio vienetas, gavęs tokių pajamų, privalo pateikti Valstybinės mokesčių inspekcijos prie Lietuvos Respublikos finansų ministerijos viršininko 2002 m. vasario 8 d. įsakymu Nr. 40 patvirtintą Užsienio apmokestinamiesiems vienetams išmokėtų pajamų (sumų) ir nuo jų apskaičiuoto pelno mokesčio deklaracijos FR0313 formą (toliau – FR0313 forma) mokesčių administratoriui ir sumokėti pelno mokestį nuo visų gautų pajamų arba, jeigu turi visus pelno mokesčio perskaičiavimui reikalingus dokumentus, nuo veiklos Lietuvos Respublikoje apmokestinamojo pelno.            </w:t>
      </w:r>
    </w:p>
    <w:p w14:paraId="553D310A" w14:textId="77777777" w:rsidR="00093845" w:rsidRDefault="000D779E">
      <w:pPr>
        <w:pStyle w:val="HTMLiankstoformatuotas"/>
        <w:tabs>
          <w:tab w:val="clear" w:pos="8244"/>
          <w:tab w:val="clear" w:pos="9160"/>
          <w:tab w:val="left" w:pos="9540"/>
        </w:tabs>
        <w:ind w:firstLine="90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Pavyzdys</w:t>
      </w:r>
    </w:p>
    <w:p w14:paraId="278F21C1"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Užsienio vienetas su šokėjų trupe, kuri yra taip pat užsienio vienetas, sudarė sutartį dėl pasirodymo Lietuvoje. Sutartyje nurodyta, kad užsienio vienetas šokėjų trupei sumokės 20 000 EUR atlyginimą.</w:t>
      </w:r>
    </w:p>
    <w:p w14:paraId="390EA9C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clear" w:pos="8244"/>
          <w:tab w:val="clear" w:pos="9160"/>
          <w:tab w:val="left" w:pos="9540"/>
        </w:tabs>
        <w:ind w:firstLine="720"/>
        <w:jc w:val="both"/>
        <w:rPr>
          <w:rFonts w:ascii="Times New Roman" w:hAnsi="Times New Roman" w:cs="Times New Roman"/>
          <w:b/>
          <w:sz w:val="24"/>
          <w:szCs w:val="24"/>
          <w:lang w:val="lt-LT"/>
        </w:rPr>
      </w:pPr>
      <w:r>
        <w:rPr>
          <w:rFonts w:ascii="Times New Roman" w:hAnsi="Times New Roman" w:cs="Times New Roman"/>
          <w:sz w:val="24"/>
          <w:szCs w:val="24"/>
          <w:lang w:val="lt-LT"/>
        </w:rPr>
        <w:t>Užsienio vienetas išmokėdamas sutartyje nurodytą sumą (20 000</w:t>
      </w:r>
      <w:r w:rsidRPr="0065344A">
        <w:rPr>
          <w:lang w:val="lt-LT"/>
        </w:rPr>
        <w:t xml:space="preserve"> </w:t>
      </w:r>
      <w:r>
        <w:rPr>
          <w:rFonts w:ascii="Times New Roman" w:hAnsi="Times New Roman" w:cs="Times New Roman"/>
          <w:sz w:val="24"/>
          <w:szCs w:val="24"/>
          <w:lang w:val="lt-LT"/>
        </w:rPr>
        <w:t>EUR) neturi pareigos išskaičiuoti pelno mokestį, nes jis neveikia Lietuvoje per nuolatinę buveinę. Šiuo atveju šokėjų trupė turi pati įsiregistruoti Lietuvos Respublikoje mokesčių mokėtoju ir pateikti FR0313 formą tam mokesčių administratoriui, kurio administruojamoje teritorijoje jis įsiregistravo mokesčių mokėtoju, bei sumokėti pelno mokestį į biudžetą nuo visų gautų pajamų (20 000</w:t>
      </w:r>
      <w:r w:rsidRPr="0065344A">
        <w:rPr>
          <w:lang w:val="lt-LT"/>
        </w:rPr>
        <w:t xml:space="preserve"> </w:t>
      </w:r>
      <w:r>
        <w:rPr>
          <w:rFonts w:ascii="Times New Roman" w:hAnsi="Times New Roman" w:cs="Times New Roman"/>
          <w:sz w:val="24"/>
          <w:szCs w:val="24"/>
          <w:lang w:val="lt-LT"/>
        </w:rPr>
        <w:t>EUR), o jeigu turi visus pelno mokesčio perskaičiavimui reikalingus dokumentus (t. y. dokumentus, pagrindžiančius išlaidas, tiesiogiai susijusias su šokių trupės Lietuvos Respublikoje vykdyta atlikėjų veikla), nuo veiklos Lietuvos Respublikoje apmokestinamojo pelno.</w:t>
      </w:r>
    </w:p>
    <w:p w14:paraId="029407C5" w14:textId="77777777" w:rsidR="00093845" w:rsidRDefault="000D779E">
      <w:pPr>
        <w:pStyle w:val="Pagrindiniotekstotrauka"/>
        <w:tabs>
          <w:tab w:val="left" w:pos="720"/>
          <w:tab w:val="left" w:pos="1077"/>
          <w:tab w:val="left" w:pos="1418"/>
        </w:tabs>
      </w:pPr>
      <w:r w:rsidRPr="0065344A">
        <w:rPr>
          <w:color w:val="FF0000"/>
          <w:lang w:val="lt-LT"/>
        </w:rPr>
        <w:tab/>
      </w:r>
      <w:r>
        <w:t>5. Jei užsienio vienetas yra užsienio pelno nesiekianti organizacija:</w:t>
      </w:r>
    </w:p>
    <w:p w14:paraId="03FAC731" w14:textId="77777777" w:rsidR="00093845" w:rsidRDefault="000D779E">
      <w:pPr>
        <w:pStyle w:val="Pagrindiniotekstotrauka"/>
        <w:tabs>
          <w:tab w:val="left" w:pos="720"/>
          <w:tab w:val="left" w:pos="1077"/>
          <w:tab w:val="left" w:pos="1418"/>
        </w:tabs>
      </w:pPr>
      <w:r>
        <w:tab/>
        <w:t>5.1. ir gauna pajamų už Lietuvos Respublikoje vykdomą atlikėjų veiklą ar (ir) sporto veiklą, iš Lietuvos subjekto, Lietuvos subjektas gali neišskaičiuoti pelno mokesčio nuo tokiam užsienio vienetui išmokamų pajamų, jeigu jis Lietuvos vienetui pateikia įrodymus, kad ji yra laikoma užsienio valstybėje pelno nesiekiančia organizacija ir kad pajamos, gautos už atlikėjų veiklą ar (ir) sporto veiklą Lietuvoje, nėra jos ūkinės komercinės veiklos pajamos.</w:t>
      </w:r>
    </w:p>
    <w:p w14:paraId="46B8663D" w14:textId="77777777" w:rsidR="00093845" w:rsidRDefault="000D779E">
      <w:pPr>
        <w:pStyle w:val="Pagrindiniotekstotrauka"/>
        <w:tabs>
          <w:tab w:val="left" w:pos="720"/>
          <w:tab w:val="left" w:pos="1077"/>
          <w:tab w:val="left" w:pos="1418"/>
        </w:tabs>
      </w:pPr>
      <w:r>
        <w:tab/>
      </w:r>
      <w:r>
        <w:tab/>
        <w:t>Tačiau, jeigu Lietuvos subjektui nepateikiami minėti įrodymai arba jie yra netinkami ar nepakankami, jis turi išskaičiuoti nuo užsienio pelno nesiekiančiai organizacijai mokamo atlygio pelno mokestį ir sumokėti jį į biudžetą. Tokiu atveju, užsienio pelno nesiekiančiai organizacijai pateikus mokesčių administratoriui įrodymus, kad ji yra laikoma užsienio valstybėje pelno nesiekiančia organizacija ir kad pajamos, gautos už atlikėjų veiklą ar (ir) sporto veiklą Lietuvoje, nėra jos ūkinės komercinės veiklos pajamos, iš pajamų, gautų už atlikėjų veiklą ar (ir) sporto veiklą Lietuvoje, išskaičiuotas ir į biudžetą sumokėtas pelno mokestis grąžinamas užsienio pelno nesiekiančiai organizacijai.</w:t>
      </w:r>
    </w:p>
    <w:p w14:paraId="2B370EEA" w14:textId="77777777" w:rsidR="00093845" w:rsidRDefault="000D779E">
      <w:pPr>
        <w:pStyle w:val="HTMLiankstoformatuotas"/>
        <w:tabs>
          <w:tab w:val="clear" w:pos="8244"/>
          <w:tab w:val="clear" w:pos="9160"/>
          <w:tab w:val="left" w:pos="9540"/>
        </w:tabs>
        <w:jc w:val="both"/>
        <w:rPr>
          <w:rFonts w:ascii="Times New Roman" w:hAnsi="Times New Roman" w:cs="Times New Roman"/>
          <w:b/>
          <w:sz w:val="24"/>
          <w:szCs w:val="24"/>
          <w:lang w:val="lt-LT"/>
        </w:rPr>
      </w:pPr>
      <w:r>
        <w:rPr>
          <w:lang w:val="lt-LT"/>
        </w:rPr>
        <w:tab/>
      </w:r>
      <w:r>
        <w:rPr>
          <w:rFonts w:ascii="Times New Roman" w:hAnsi="Times New Roman" w:cs="Times New Roman"/>
          <w:sz w:val="24"/>
          <w:szCs w:val="24"/>
          <w:lang w:val="lt-LT"/>
        </w:rPr>
        <w:t>5.2. ir gauna pajamų už Lietuvos Respublikoje vykdomą atlikėjų veiklą ar (ir) sporto veiklą, ne iš Lietuvos subjekto (t. y. jeigu pelno mokestis nuo pajamų už Lietuvos Respublikoje vykdomą atlikėjų veiklą ar (ir) sporto veiklą nebuvo išskaičiuotas), užsienio pelno nesiekianti organizacija, pateikusi mokesčių administratoriui įrodymus, kad ji yra laikoma užsienio valstybėje pelno nesiekiančia organizacija ir kad pajamos, gautos už atlikėjų veiklą ar (ir) sporto veiklą Lietuvoje, nėra jos ūkinės komercinės veiklos pajamos, pelno mokesčio nemoka. Nepateikus tokių įrodymų mokesčių administratoriui, užsienio pelno nesiekianti organizacija privalo pateikti FR0313 formą mokesčių administratoriuiir sumokėti mokestį nuo visų gautų pajamų arba, jeigu turi visus pelno mokesčio perskaičiavimui reikalingus dokumentus, nuo veiklos Lietuvos Respublikoje apmokestinamojo pelno.</w:t>
      </w:r>
    </w:p>
    <w:p w14:paraId="7A43EC9D" w14:textId="77777777" w:rsidR="00093845" w:rsidRPr="0065344A" w:rsidRDefault="000D779E">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85"/>
        <w:rPr>
          <w:lang w:val="lt-LT"/>
        </w:rPr>
      </w:pPr>
      <w:r w:rsidRPr="0065344A">
        <w:rPr>
          <w:b/>
          <w:lang w:val="lt-LT"/>
        </w:rPr>
        <w:t xml:space="preserve">7) išmokos už stebėtojų tarybos narių veiklą; </w:t>
      </w:r>
    </w:p>
    <w:p w14:paraId="1AD9396D" w14:textId="77777777" w:rsidR="00093845" w:rsidRPr="00F62677" w:rsidRDefault="000D779E" w:rsidP="00F62677">
      <w:pPr>
        <w:tabs>
          <w:tab w:val="left" w:pos="720"/>
          <w:tab w:val="left" w:pos="1080"/>
        </w:tabs>
        <w:jc w:val="both"/>
        <w:rPr>
          <w:i/>
        </w:rPr>
      </w:pPr>
      <w:r w:rsidRPr="00F62677">
        <w:rPr>
          <w:i/>
        </w:rPr>
        <w:t>(KEISTA: 20</w:t>
      </w:r>
      <w:r w:rsidRPr="00F62677">
        <w:rPr>
          <w:i/>
          <w:lang w:val="lt-LT"/>
        </w:rPr>
        <w:t>13</w:t>
      </w:r>
      <w:r w:rsidRPr="00F62677">
        <w:rPr>
          <w:i/>
        </w:rPr>
        <w:t xml:space="preserve"> 0</w:t>
      </w:r>
      <w:r w:rsidRPr="00F62677">
        <w:rPr>
          <w:i/>
          <w:lang w:val="lt-LT"/>
        </w:rPr>
        <w:t>6</w:t>
      </w:r>
      <w:r w:rsidRPr="00F62677">
        <w:rPr>
          <w:i/>
        </w:rPr>
        <w:t xml:space="preserve"> </w:t>
      </w:r>
      <w:r w:rsidRPr="00F62677">
        <w:rPr>
          <w:i/>
          <w:lang w:val="lt-LT"/>
        </w:rPr>
        <w:t>27</w:t>
      </w:r>
      <w:r w:rsidRPr="00F62677">
        <w:rPr>
          <w:i/>
        </w:rPr>
        <w:t xml:space="preserve"> įstatymu Nr. X</w:t>
      </w:r>
      <w:r w:rsidRPr="00F62677">
        <w:rPr>
          <w:i/>
          <w:lang w:val="lt-LT"/>
        </w:rPr>
        <w:t>II</w:t>
      </w:r>
      <w:r w:rsidRPr="00F62677">
        <w:rPr>
          <w:i/>
        </w:rPr>
        <w:t>-</w:t>
      </w:r>
      <w:r w:rsidRPr="00F62677">
        <w:rPr>
          <w:i/>
          <w:lang w:val="lt-LT"/>
        </w:rPr>
        <w:t>428</w:t>
      </w:r>
      <w:r w:rsidRPr="00F62677">
        <w:rPr>
          <w:i/>
        </w:rPr>
        <w:t xml:space="preserve"> (nuo 20</w:t>
      </w:r>
      <w:r w:rsidRPr="00F62677">
        <w:rPr>
          <w:i/>
          <w:lang w:val="lt-LT"/>
        </w:rPr>
        <w:t>14</w:t>
      </w:r>
      <w:r w:rsidRPr="00F62677">
        <w:rPr>
          <w:i/>
        </w:rPr>
        <w:t xml:space="preserve"> 01 01)).</w:t>
      </w:r>
    </w:p>
    <w:p w14:paraId="1A7CBDC7" w14:textId="77777777" w:rsidR="00093845" w:rsidRDefault="000D779E">
      <w:pPr>
        <w:pStyle w:val="Antrat9"/>
        <w:ind w:right="-85"/>
      </w:pPr>
      <w:r>
        <w:t>Komentaras</w:t>
      </w:r>
    </w:p>
    <w:p w14:paraId="3E893118" w14:textId="77777777" w:rsidR="00093845" w:rsidRDefault="000D779E">
      <w:pPr>
        <w:tabs>
          <w:tab w:val="left" w:pos="720"/>
          <w:tab w:val="left" w:pos="1080"/>
        </w:tabs>
        <w:ind w:firstLine="720"/>
        <w:jc w:val="both"/>
      </w:pPr>
      <w:r>
        <w:rPr>
          <w:bCs/>
        </w:rPr>
        <w:t>Lietuvos vieneto išmokėtos išmokos už stebėtojų tarybos narių veiklą užsienio vienetams yra pelno mokesčio prie pajamų šaltinio objektas</w:t>
      </w:r>
      <w:r>
        <w:t>, kuris apmokestinamas taikant PMĮ 5 str. 1 d. 2 punkte nustatytą mokesčio tarifą (15 proc.).</w:t>
      </w:r>
    </w:p>
    <w:p w14:paraId="302D293B" w14:textId="77777777" w:rsidR="00093845" w:rsidRDefault="000D779E">
      <w:pPr>
        <w:spacing w:before="100" w:beforeAutospacing="1" w:after="100" w:afterAutospacing="1"/>
        <w:ind w:firstLine="720"/>
        <w:jc w:val="both"/>
        <w:rPr>
          <w:bCs/>
        </w:rPr>
      </w:pPr>
      <w:r>
        <w:rPr>
          <w:bCs/>
        </w:rPr>
        <w:t>Pajamų mokestį apskaičiuoja, išskaičiuoja ir į Lietuvos biudžetą sumoka išmokas išmokėjęs asmuo – Lietuvos vienetas PMĮ 37 straipsnyje nustatyta tvarka.</w:t>
      </w:r>
    </w:p>
    <w:tbl>
      <w:tblPr>
        <w:tblW w:w="9037" w:type="dxa"/>
        <w:jc w:val="center"/>
        <w:tblLayout w:type="fixed"/>
        <w:tblCellMar>
          <w:left w:w="0" w:type="dxa"/>
          <w:right w:w="0" w:type="dxa"/>
        </w:tblCellMar>
        <w:tblLook w:val="04A0" w:firstRow="1" w:lastRow="0" w:firstColumn="1" w:lastColumn="0" w:noHBand="0" w:noVBand="1"/>
      </w:tblPr>
      <w:tblGrid>
        <w:gridCol w:w="9037"/>
      </w:tblGrid>
      <w:tr w:rsidR="00093845" w14:paraId="60BED4F8" w14:textId="77777777" w:rsidTr="009B5DF3">
        <w:trPr>
          <w:trHeight w:val="26"/>
          <w:jc w:val="center"/>
        </w:trPr>
        <w:tc>
          <w:tcPr>
            <w:tcW w:w="9037" w:type="dxa"/>
          </w:tcPr>
          <w:p w14:paraId="4F938929" w14:textId="77777777" w:rsidR="00093845" w:rsidRPr="00D3044F" w:rsidRDefault="00D3044F">
            <w:pPr>
              <w:rPr>
                <w:color w:val="000000"/>
              </w:rPr>
            </w:pPr>
            <w:r>
              <w:rPr>
                <w:color w:val="000000"/>
                <w:sz w:val="22"/>
                <w:szCs w:val="22"/>
              </w:rPr>
              <w:lastRenderedPageBreak/>
              <w:t xml:space="preserve"> </w:t>
            </w:r>
            <w:r w:rsidRPr="00D3044F">
              <w:rPr>
                <w:color w:val="000000"/>
              </w:rPr>
              <w:t>(</w:t>
            </w:r>
            <w:r w:rsidR="00357561" w:rsidRPr="00D3044F">
              <w:rPr>
                <w:color w:val="000000"/>
              </w:rPr>
              <w:t>Pakeista p</w:t>
            </w:r>
            <w:r w:rsidR="000D779E" w:rsidRPr="00D3044F">
              <w:rPr>
                <w:color w:val="000000"/>
              </w:rPr>
              <w:t>agal VMI prie FM 2018-06-22 raštą Nr. (18.10-31-1E) RM-23419)</w:t>
            </w:r>
          </w:p>
          <w:p w14:paraId="6A01C3BB" w14:textId="77777777" w:rsidR="00093845" w:rsidRDefault="00093845">
            <w:pPr>
              <w:spacing w:before="100" w:beforeAutospacing="1" w:after="100" w:afterAutospacing="1"/>
              <w:ind w:firstLine="720"/>
              <w:jc w:val="both"/>
              <w:rPr>
                <w:color w:val="000000"/>
                <w:sz w:val="22"/>
                <w:szCs w:val="22"/>
              </w:rPr>
            </w:pPr>
          </w:p>
        </w:tc>
      </w:tr>
    </w:tbl>
    <w:p w14:paraId="13FD077C" w14:textId="77777777" w:rsidR="00093845" w:rsidRDefault="000D779E">
      <w:pPr>
        <w:ind w:firstLine="720"/>
        <w:jc w:val="both"/>
        <w:rPr>
          <w:b/>
          <w:lang w:val="lt-LT"/>
        </w:rPr>
      </w:pPr>
      <w:r>
        <w:rPr>
          <w:b/>
          <w:lang w:val="lt-LT"/>
        </w:rPr>
        <w:t>5. Tuo atveju, kai perleidžiama kompiuterio programa, šio straipsnio 4 dalies 3 punkto nuostatos taikomos, jei yra perleidžiamas ne autorių teisėmis apsaugotas daiktas, o kompiuterio programoje yra suteikiamos šios teisės:</w:t>
      </w:r>
    </w:p>
    <w:p w14:paraId="6D14EE45" w14:textId="77777777" w:rsidR="00093845" w:rsidRDefault="000D779E">
      <w:pPr>
        <w:ind w:firstLine="720"/>
        <w:jc w:val="both"/>
        <w:rPr>
          <w:b/>
          <w:lang w:val="lt-LT"/>
        </w:rPr>
      </w:pPr>
      <w:r>
        <w:rPr>
          <w:b/>
          <w:lang w:val="lt-LT"/>
        </w:rPr>
        <w:t xml:space="preserve">1) teisė daryti kompiuterio programos kopijas, turint tikslą jas viešai platinti ar kitaip perduoti nuosavybėn, išnuomoti arba paskolinti, arba </w:t>
      </w:r>
    </w:p>
    <w:p w14:paraId="5705BF2E" w14:textId="77777777" w:rsidR="00093845" w:rsidRDefault="000D779E">
      <w:pPr>
        <w:ind w:firstLine="720"/>
        <w:jc w:val="both"/>
        <w:rPr>
          <w:b/>
          <w:lang w:val="lt-LT"/>
        </w:rPr>
      </w:pPr>
      <w:r>
        <w:rPr>
          <w:b/>
          <w:lang w:val="lt-LT"/>
        </w:rPr>
        <w:t xml:space="preserve">2) teisė rengti išvestines kompiuterio programas, kurios remiasi autorių teisėmis apsaugota kompiuterio programa, arba </w:t>
      </w:r>
    </w:p>
    <w:p w14:paraId="12843A21" w14:textId="77777777" w:rsidR="00093845" w:rsidRDefault="000D779E">
      <w:pPr>
        <w:pStyle w:val="Pagrindinistekstas"/>
        <w:ind w:firstLine="709"/>
        <w:rPr>
          <w:rFonts w:ascii="Times New Roman" w:hAnsi="Times New Roman" w:cs="Times New Roman"/>
          <w:b/>
          <w:lang w:val="nb-NO"/>
        </w:rPr>
      </w:pPr>
      <w:r>
        <w:rPr>
          <w:rFonts w:ascii="Times New Roman" w:hAnsi="Times New Roman" w:cs="Times New Roman"/>
          <w:b/>
          <w:lang w:val="nb-NO"/>
        </w:rPr>
        <w:t>3) teisė viešai demonstruoti kompiuterio programą.</w:t>
      </w:r>
    </w:p>
    <w:p w14:paraId="75B6C579" w14:textId="77777777" w:rsidR="006F6820" w:rsidRPr="00F62677" w:rsidRDefault="006F6820" w:rsidP="006F6820">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Cs/>
          <w:i/>
          <w:color w:val="000000"/>
          <w:lang w:val="nb-NO"/>
        </w:rPr>
      </w:pPr>
      <w:r w:rsidRPr="00F62677">
        <w:rPr>
          <w:i/>
          <w:lang w:val="nb-NO"/>
        </w:rPr>
        <w:t>(</w:t>
      </w:r>
      <w:r w:rsidR="001876B7" w:rsidRPr="00F62677">
        <w:rPr>
          <w:i/>
          <w:lang w:val="nb-NO"/>
        </w:rPr>
        <w:t>KEISTA: 2008 07 14</w:t>
      </w:r>
      <w:r w:rsidRPr="00F62677">
        <w:rPr>
          <w:i/>
          <w:lang w:val="nb-NO"/>
        </w:rPr>
        <w:t xml:space="preserve"> įstatym</w:t>
      </w:r>
      <w:r w:rsidR="001876B7" w:rsidRPr="00F62677">
        <w:rPr>
          <w:i/>
          <w:lang w:val="nb-NO"/>
        </w:rPr>
        <w:t>u</w:t>
      </w:r>
      <w:r w:rsidRPr="00F62677">
        <w:rPr>
          <w:i/>
          <w:lang w:val="nb-NO"/>
        </w:rPr>
        <w:t xml:space="preserve"> Nr. </w:t>
      </w:r>
      <w:hyperlink r:id="rId37" w:history="1">
        <w:r w:rsidRPr="00F62677">
          <w:rPr>
            <w:rStyle w:val="Hipersaitas"/>
            <w:rFonts w:ascii="Times New Roman" w:hAnsi="Times New Roman" w:cs="Times New Roman"/>
            <w:b w:val="0"/>
            <w:bCs w:val="0"/>
            <w:i/>
            <w:iCs/>
            <w:kern w:val="0"/>
            <w:lang w:val="nb-NO"/>
          </w:rPr>
          <w:t>X-1697</w:t>
        </w:r>
      </w:hyperlink>
      <w:r w:rsidR="00AE39CB" w:rsidRPr="00F62677">
        <w:rPr>
          <w:rStyle w:val="Hipersaitas"/>
          <w:rFonts w:ascii="Times New Roman" w:hAnsi="Times New Roman" w:cs="Times New Roman"/>
          <w:b w:val="0"/>
          <w:bCs w:val="0"/>
          <w:i/>
          <w:iCs/>
          <w:kern w:val="0"/>
          <w:lang w:val="nb-NO"/>
        </w:rPr>
        <w:t>,</w:t>
      </w:r>
      <w:r w:rsidRPr="00F62677">
        <w:rPr>
          <w:bCs/>
          <w:i/>
          <w:lang w:val="nb-NO"/>
        </w:rPr>
        <w:t xml:space="preserve"> taikoma apskaičiuojant 2009 metais pasidėjusio mokestinio laikotarpio ir vėlesnių mokestinių laikotarpių apmokestinamąjį pelną).</w:t>
      </w:r>
    </w:p>
    <w:p w14:paraId="7FC2A9B7" w14:textId="77777777" w:rsidR="006F6820" w:rsidRDefault="006F6820">
      <w:pPr>
        <w:pStyle w:val="Pagrindinistekstas"/>
        <w:ind w:firstLine="709"/>
        <w:rPr>
          <w:rFonts w:ascii="Times New Roman" w:hAnsi="Times New Roman" w:cs="Times New Roman"/>
          <w:b/>
          <w:lang w:val="nb-NO"/>
        </w:rPr>
      </w:pPr>
    </w:p>
    <w:p w14:paraId="69F5CDEF" w14:textId="77777777" w:rsidR="00093845" w:rsidRDefault="000D779E" w:rsidP="009B5DF3">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0"/>
        <w:rPr>
          <w:b/>
          <w:bCs/>
          <w:lang w:val="lt-LT"/>
        </w:rPr>
      </w:pPr>
      <w:r>
        <w:rPr>
          <w:lang w:val="nb-NO"/>
        </w:rPr>
        <w:t xml:space="preserve">           </w:t>
      </w:r>
      <w:r>
        <w:rPr>
          <w:b/>
          <w:bCs/>
          <w:lang w:val="lt-LT"/>
        </w:rPr>
        <w:t>Komentaras</w:t>
      </w:r>
    </w:p>
    <w:p w14:paraId="15EA3ECA" w14:textId="77777777" w:rsidR="00093845" w:rsidRDefault="000D779E">
      <w:pPr>
        <w:pStyle w:val="Pagrindiniotekstotrauka"/>
        <w:tabs>
          <w:tab w:val="left" w:pos="720"/>
        </w:tabs>
        <w:rPr>
          <w:u w:val="single"/>
          <w:lang w:val="lt-LT"/>
        </w:rPr>
      </w:pPr>
      <w:r>
        <w:rPr>
          <w:b/>
          <w:bCs/>
          <w:lang w:val="lt-LT"/>
        </w:rPr>
        <w:t xml:space="preserve"> </w:t>
      </w:r>
      <w:r>
        <w:rPr>
          <w:lang w:val="lt-LT"/>
        </w:rPr>
        <w:t>Kompiuterio programos sąvoka apibrėžta Lietuvos Respublikos</w:t>
      </w:r>
      <w:r w:rsidRPr="00C074BE">
        <w:rPr>
          <w:lang w:val="lt-LT"/>
        </w:rPr>
        <w:t xml:space="preserve"> </w:t>
      </w:r>
      <w:r w:rsidR="002D3AFE" w:rsidRPr="009C0219">
        <w:rPr>
          <w:rStyle w:val="Hipersaitas"/>
          <w:b w:val="0"/>
          <w:bCs w:val="0"/>
          <w:kern w:val="0"/>
          <w:lang w:val="lt-LT"/>
        </w:rPr>
        <w:t>autorių teisių ir gretutinių teisių įstatymo</w:t>
      </w:r>
      <w:r w:rsidRPr="00C074BE">
        <w:rPr>
          <w:lang w:val="lt-LT"/>
        </w:rPr>
        <w:t xml:space="preserve"> </w:t>
      </w:r>
      <w:r>
        <w:rPr>
          <w:lang w:val="lt-LT"/>
        </w:rPr>
        <w:t>2 str. 18 dalyje.</w:t>
      </w:r>
    </w:p>
    <w:p w14:paraId="5677939D" w14:textId="77777777" w:rsidR="00093845" w:rsidRDefault="000D779E">
      <w:pPr>
        <w:pStyle w:val="Pagrindiniotekstotrauka"/>
        <w:tabs>
          <w:tab w:val="left" w:pos="720"/>
        </w:tabs>
        <w:rPr>
          <w:lang w:val="lt-LT"/>
        </w:rPr>
      </w:pPr>
      <w:r>
        <w:rPr>
          <w:lang w:val="lt-LT"/>
        </w:rPr>
        <w:t>Kai užsienio vienetas ne per nuolatinę buveinę Lietuvos teritorijoje gauna atlyginimą už suteiktą teisę:</w:t>
      </w:r>
    </w:p>
    <w:p w14:paraId="4466CBC5" w14:textId="77777777" w:rsidR="00093845" w:rsidRDefault="000D779E">
      <w:pPr>
        <w:pStyle w:val="Pagrindiniotekstotrauka"/>
        <w:tabs>
          <w:tab w:val="left" w:pos="900"/>
        </w:tabs>
        <w:rPr>
          <w:lang w:val="lt-LT"/>
        </w:rPr>
      </w:pPr>
      <w:r>
        <w:rPr>
          <w:lang w:val="lt-LT"/>
        </w:rPr>
        <w:t>-</w:t>
      </w:r>
      <w:r>
        <w:rPr>
          <w:lang w:val="lt-LT"/>
        </w:rPr>
        <w:tab/>
        <w:t xml:space="preserve">daryti kompiuterio programos kopijas, turint tikslą jas viešai platinti ar kitaip perduoti nuosavybėn, išnuomoti ar paskolinti (t.y., kai tokios kompiuterio programos kopijos nėra daromos paties Lietuvos vieneto reikmėms tenkinti, o skirtos tretiesiems asmenims), arba </w:t>
      </w:r>
    </w:p>
    <w:p w14:paraId="36A42753" w14:textId="77777777" w:rsidR="00093845" w:rsidRDefault="000D779E">
      <w:pPr>
        <w:pStyle w:val="Pagrindiniotekstotrauka"/>
        <w:tabs>
          <w:tab w:val="left" w:pos="900"/>
        </w:tabs>
        <w:rPr>
          <w:lang w:val="lt-LT"/>
        </w:rPr>
      </w:pPr>
      <w:r>
        <w:rPr>
          <w:lang w:val="lt-LT"/>
        </w:rPr>
        <w:t>-</w:t>
      </w:r>
      <w:r>
        <w:rPr>
          <w:lang w:val="lt-LT"/>
        </w:rPr>
        <w:tab/>
        <w:t>naudojantis kompiuterio programa, kurios autoriaus teisės priklauso tam užsienio vienetui, rengti išvestines kompiuterio programas, kurios pačios yra autorių teisių objektas, arba</w:t>
      </w:r>
    </w:p>
    <w:p w14:paraId="52855E10" w14:textId="77777777" w:rsidR="00093845" w:rsidRDefault="000D779E">
      <w:pPr>
        <w:pStyle w:val="Pagrindiniotekstotrauka"/>
        <w:rPr>
          <w:lang w:val="lt-LT"/>
        </w:rPr>
      </w:pPr>
      <w:r>
        <w:rPr>
          <w:lang w:val="lt-LT"/>
        </w:rPr>
        <w:t>- viešai demonstruoti kompiuterio programą,</w:t>
      </w:r>
    </w:p>
    <w:p w14:paraId="61766D84" w14:textId="77777777" w:rsidR="00093845" w:rsidRDefault="000D779E">
      <w:pPr>
        <w:pStyle w:val="Pagrindiniotekstotrauka"/>
        <w:rPr>
          <w:lang w:val="lt-LT"/>
        </w:rPr>
      </w:pPr>
      <w:r>
        <w:rPr>
          <w:lang w:val="lt-LT"/>
        </w:rPr>
        <w:t xml:space="preserve">tai tokios jo pajamos apmokestinamos taikant </w:t>
      </w:r>
      <w:r>
        <w:rPr>
          <w:color w:val="000000"/>
          <w:lang w:val="lt-LT"/>
        </w:rPr>
        <w:t>PMĮ 5 str. 1 d. 2 punkte nustatytą mokesčio tarifą (10 proc.).</w:t>
      </w:r>
    </w:p>
    <w:p w14:paraId="17545BC3" w14:textId="77777777" w:rsidR="00093845" w:rsidRDefault="000D779E">
      <w:pPr>
        <w:pStyle w:val="Pagrindiniotekstotrauka"/>
        <w:rPr>
          <w:lang w:val="lt-LT"/>
        </w:rPr>
      </w:pPr>
      <w:r>
        <w:rPr>
          <w:lang w:val="lt-LT"/>
        </w:rPr>
        <w:t>Jeigu užsienio vienetas ne per nuolatinę buveinę Lietuvos vienetui suteikia su kompiuterio programa susijusias kitokias nei aukščiau išvardytas teises, arba parduoda jam kompiuterio programą (kartu suteikiant tam vienetui priklausiusias kompiuterio programos autoriaus teises ar ne), tai tokios jo pajamos neapmokestinamos.</w:t>
      </w:r>
    </w:p>
    <w:p w14:paraId="1A511684" w14:textId="77777777" w:rsidR="00093845" w:rsidRDefault="000D779E">
      <w:pPr>
        <w:pStyle w:val="Pagrindiniotekstotrauka"/>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3"/>
        <w:rPr>
          <w:color w:val="000000"/>
          <w:lang w:val="lt-LT"/>
        </w:rPr>
      </w:pPr>
      <w:r>
        <w:rPr>
          <w:color w:val="000000"/>
          <w:lang w:val="lt-LT"/>
        </w:rPr>
        <w:t>Pavyzdžiai</w:t>
      </w:r>
    </w:p>
    <w:p w14:paraId="33D99527"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1.</w:t>
      </w:r>
      <w:r>
        <w:rPr>
          <w:lang w:val="lt-LT"/>
        </w:rPr>
        <w:tab/>
        <w:t>Užsienio vienetas, neturintis nuolatinės buveinės Lietuvos Respublikos teritorijoje, pardavė Lietuvos vienetui kompiuterio programą ir sudarė sutartį, suteikiančią Lietuvos vienetui teisę daryti dešimt tos programos kopijų, naudojamų dešimtyje to vieneto darbo vietų. Vėliau buvo sudaryta papildoma sutartis, pagal kurią Lietuvos vienetui buvo suteikta teisė daryti dar penkias programos kopijas, naudojamas penkiose Lietuvos vieneto filialo darbo vietose. Lietuvos vienetas užsienio vienetui sumokėjo už kompiuterio programą ir už kiekvieną jos kopiją.</w:t>
      </w:r>
    </w:p>
    <w:p w14:paraId="3D3BD2C8" w14:textId="77777777" w:rsidR="00093845" w:rsidRDefault="000D779E">
      <w:pPr>
        <w:pStyle w:val="Pagrindiniotekstotrauka"/>
        <w:pBdr>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Remiantis PMĮ 4 str. 5 dalimi, sumos, kurias Lietuvos vienetas sumokėjo užsienio vienetui už kompiuterio programą bei suteiktas teises, neapmokestinamos.</w:t>
      </w:r>
    </w:p>
    <w:p w14:paraId="3B1225C9" w14:textId="77777777" w:rsidR="00093845" w:rsidRDefault="000D779E">
      <w:pPr>
        <w:pStyle w:val="Pagrindiniotekstotrauka"/>
        <w:pBdr>
          <w:left w:val="single" w:sz="4" w:space="4"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lastRenderedPageBreak/>
        <w:t>2.</w:t>
      </w:r>
      <w:r>
        <w:rPr>
          <w:lang w:val="lt-LT"/>
        </w:rPr>
        <w:tab/>
        <w:t>Lietuvos vienetas, užsiimantis prekyba kompiuteriais ir programine įranga, iš užsienio vieneto, neturinčio nuolatinės buveinės Lietuvos Respublikos teritorijoje, įsigijo kompiuterio programas kartu su licencijomis, patvirtinančiomis tų kompiuterio programų legalumą. Kompiuterio programos nebus naudojamos paties Lietuvos vieneto veikloje, o skirtos tik perpardavimui.</w:t>
      </w:r>
    </w:p>
    <w:p w14:paraId="424075C6"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21"/>
        <w:rPr>
          <w:lang w:val="lt-LT"/>
        </w:rPr>
      </w:pPr>
      <w:r>
        <w:rPr>
          <w:lang w:val="lt-LT"/>
        </w:rPr>
        <w:t>Sumos, kurias Lietuvos vienetas sumoka užsienio vienetui už tokių programų įsigijimą neapmokestinamos, kadangi Lietuvos vienetui nėra suteikiama nei viena iš PMĮ 4 str. 5 dalyje nurodytų teisių.</w:t>
      </w:r>
    </w:p>
    <w:p w14:paraId="3DF2FA08" w14:textId="77777777" w:rsidR="00093845" w:rsidRDefault="000D779E">
      <w:pPr>
        <w:ind w:firstLine="720"/>
        <w:jc w:val="both"/>
        <w:rPr>
          <w:bCs/>
          <w:lang w:val="lt-LT"/>
        </w:rPr>
      </w:pPr>
      <w:r>
        <w:rPr>
          <w:bCs/>
          <w:lang w:val="lt-LT"/>
        </w:rPr>
        <w:t>(</w:t>
      </w:r>
      <w:r w:rsidR="00357561">
        <w:rPr>
          <w:bCs/>
          <w:lang w:val="lt-LT"/>
        </w:rPr>
        <w:t xml:space="preserve">Pakeista </w:t>
      </w:r>
      <w:r>
        <w:rPr>
          <w:bCs/>
          <w:lang w:val="lt-LT"/>
        </w:rPr>
        <w:t>pagal 2009-09-08 VMI prie FM raštą Nr. (18.-10-31-1)-R-8626).</w:t>
      </w:r>
    </w:p>
    <w:p w14:paraId="2D6EDB3A" w14:textId="77777777" w:rsidR="00E63DE3" w:rsidRDefault="00E63DE3" w:rsidP="00E63DE3">
      <w:pPr>
        <w:ind w:firstLine="720"/>
        <w:jc w:val="both"/>
        <w:rPr>
          <w:b/>
          <w:bCs/>
          <w:lang w:val="lt-LT"/>
        </w:rPr>
      </w:pPr>
      <w:r>
        <w:rPr>
          <w:b/>
          <w:bCs/>
          <w:lang w:val="lt-LT"/>
        </w:rPr>
        <w:t>6. Vieneto mokesčio bazė taip pat yra:</w:t>
      </w:r>
    </w:p>
    <w:p w14:paraId="10DCFD24" w14:textId="77777777" w:rsidR="00E63DE3" w:rsidRDefault="00E63DE3" w:rsidP="00E63DE3">
      <w:pPr>
        <w:ind w:firstLine="720"/>
        <w:jc w:val="both"/>
        <w:rPr>
          <w:b/>
          <w:bCs/>
          <w:lang w:val="lt-LT"/>
        </w:rPr>
      </w:pPr>
      <w:r>
        <w:rPr>
          <w:b/>
          <w:bCs/>
          <w:lang w:val="lt-LT"/>
        </w:rPr>
        <w:t>1) gauta parama, panaudota ne pagal Lietuvos Respublikos labdaros ir paramos įstatyme nustatytą paramos paskirtį;</w:t>
      </w:r>
    </w:p>
    <w:p w14:paraId="08E802FB" w14:textId="77777777" w:rsidR="00E63DE3" w:rsidRPr="00F62677" w:rsidRDefault="00E63DE3" w:rsidP="00E63DE3">
      <w:pPr>
        <w:jc w:val="both"/>
        <w:rPr>
          <w:bCs/>
          <w:i/>
          <w:lang w:val="lt-LT"/>
        </w:rPr>
      </w:pPr>
      <w:r w:rsidRPr="00F62677">
        <w:rPr>
          <w:bCs/>
          <w:i/>
          <w:lang w:val="lt-LT"/>
        </w:rPr>
        <w:t>(KEISTA: 2005 12 20 įstatymu Nr. X-456 (nuo 2006 01 01), nuostatos taikomos apskaičiuojant 2006 metais prasidėjusio ir vėlesnių mokestinių laikotarpių apmokestinamąjį pelną)</w:t>
      </w:r>
    </w:p>
    <w:p w14:paraId="47C713CD" w14:textId="77777777" w:rsidR="00E63DE3" w:rsidRDefault="00E63DE3" w:rsidP="00E63DE3">
      <w:pPr>
        <w:ind w:firstLine="720"/>
        <w:jc w:val="both"/>
        <w:rPr>
          <w:b/>
          <w:bCs/>
          <w:lang w:val="lt-LT"/>
        </w:rPr>
      </w:pPr>
      <w:r>
        <w:rPr>
          <w:b/>
          <w:bCs/>
          <w:lang w:val="lt-LT"/>
        </w:rPr>
        <w:t>Komentaras</w:t>
      </w:r>
    </w:p>
    <w:p w14:paraId="3B4F774A" w14:textId="77777777" w:rsidR="00E63DE3" w:rsidRDefault="00E63DE3" w:rsidP="00E63DE3">
      <w:pPr>
        <w:ind w:firstLine="720"/>
        <w:jc w:val="both"/>
        <w:rPr>
          <w:lang w:val="lt-LT"/>
        </w:rPr>
      </w:pPr>
      <w:r>
        <w:rPr>
          <w:lang w:val="lt-LT"/>
        </w:rPr>
        <w:t xml:space="preserve">1. </w:t>
      </w:r>
      <w:r>
        <w:rPr>
          <w:u w:val="single"/>
          <w:lang w:val="lt-LT"/>
        </w:rPr>
        <w:t xml:space="preserve">PMĮ 4 str. 6 </w:t>
      </w:r>
      <w:r>
        <w:rPr>
          <w:lang w:val="lt-LT"/>
        </w:rPr>
        <w:t xml:space="preserve">dalyje nustatyta atskira pelno mokesčio bazė gautai paramai, panaudotai ne pagal Lietuvos Respublikos labdaros ir paramos įstatymo (toliau - LPĮ) nustatytą paramos paskirtį. </w:t>
      </w:r>
    </w:p>
    <w:p w14:paraId="72A02739" w14:textId="77777777" w:rsidR="00E63DE3" w:rsidRDefault="00E63DE3" w:rsidP="00E63DE3">
      <w:pPr>
        <w:ind w:firstLine="720"/>
        <w:jc w:val="both"/>
        <w:rPr>
          <w:lang w:val="lt-LT"/>
        </w:rPr>
      </w:pPr>
      <w:r>
        <w:rPr>
          <w:lang w:val="lt-LT"/>
        </w:rPr>
        <w:t xml:space="preserve">2. Pagal </w:t>
      </w:r>
      <w:r>
        <w:rPr>
          <w:u w:val="single"/>
          <w:lang w:val="lt-LT"/>
        </w:rPr>
        <w:t>LPĮ 10 straipsnį</w:t>
      </w:r>
      <w:r>
        <w:rPr>
          <w:lang w:val="lt-LT"/>
        </w:rPr>
        <w:t xml:space="preserve"> paramos gavėjai gautą paramą gali naudoti savo įstatuose ar nuostatuose arba religinių bendruomenių, bendrijų ir centrų kanonuose, statutuose ir kitose normose numatytiems LPĮ 3 straipsnio 3 dalyje nurodytiems visuomenei naudingiems tikslams siekti, labdarai (jeigu jie pagal LPĮ turi teisę teikti labdarą).</w:t>
      </w:r>
    </w:p>
    <w:p w14:paraId="050DB1A4" w14:textId="77777777" w:rsidR="00E63DE3" w:rsidRDefault="00E63DE3" w:rsidP="00E63DE3">
      <w:pPr>
        <w:ind w:firstLine="720"/>
        <w:jc w:val="both"/>
        <w:rPr>
          <w:lang w:val="lt-LT"/>
        </w:rPr>
      </w:pPr>
      <w:r>
        <w:rPr>
          <w:lang w:val="lt-LT"/>
        </w:rPr>
        <w:t>3. Ne pagal paskirtį panaudota gauta parama būtų, pavyzdžiui, tokiais atvejais:</w:t>
      </w:r>
    </w:p>
    <w:p w14:paraId="7964A4D6" w14:textId="77777777" w:rsidR="00E63DE3" w:rsidRDefault="00E63DE3" w:rsidP="00E63DE3">
      <w:pPr>
        <w:pStyle w:val="Pagrindiniotekstotrauka2"/>
        <w:spacing w:line="240" w:lineRule="auto"/>
        <w:rPr>
          <w:b w:val="0"/>
          <w:bCs w:val="0"/>
        </w:rPr>
      </w:pPr>
      <w:r>
        <w:rPr>
          <w:b w:val="0"/>
          <w:bCs w:val="0"/>
        </w:rPr>
        <w:t>3.1. Kai gauta parama naudojama politinėms partijoms ar politinėms kompanijoms finansuoti bei politinių kampanijų dalyvių politinių kampanijų laikotarpiu atsiradusiems ar su politinėmis kampanijomis susijusiems skolos įsipareigojimams padengti (</w:t>
      </w:r>
      <w:r>
        <w:rPr>
          <w:b w:val="0"/>
          <w:bCs w:val="0"/>
          <w:u w:val="single"/>
        </w:rPr>
        <w:t>LPĮ 10 str.  2 dalis)</w:t>
      </w:r>
      <w:r>
        <w:rPr>
          <w:b w:val="0"/>
          <w:bCs w:val="0"/>
        </w:rPr>
        <w:t>.</w:t>
      </w:r>
    </w:p>
    <w:p w14:paraId="251491CA" w14:textId="77777777" w:rsidR="00E63DE3" w:rsidRDefault="00E63DE3" w:rsidP="00E63DE3">
      <w:pPr>
        <w:ind w:firstLine="720"/>
        <w:jc w:val="both"/>
        <w:rPr>
          <w:lang w:val="lt-LT"/>
        </w:rPr>
      </w:pPr>
      <w:r>
        <w:rPr>
          <w:lang w:val="lt-LT"/>
        </w:rPr>
        <w:t xml:space="preserve">Pelno nesiekiančių vienetų (toliau – PNV) iš rėmėjų gauta parama, panaudota </w:t>
      </w:r>
      <w:r>
        <w:rPr>
          <w:bCs/>
          <w:lang w:val="lt-LT"/>
        </w:rPr>
        <w:t>politinėms partijoms ar politinėms kompanijoms finansuoti bei politinių kampanijų dalyvių politinių kampanijų laikotarpiu atsiradusiems ar su politinėmis kampanijomis susijusiems skolos įsipareigojimams padengti</w:t>
      </w:r>
      <w:r>
        <w:rPr>
          <w:lang w:val="lt-LT"/>
        </w:rPr>
        <w:t>, priskiriama ne pagal paskirtį panaudotai paramai.</w:t>
      </w:r>
    </w:p>
    <w:p w14:paraId="2129C987" w14:textId="77777777" w:rsidR="00E63DE3" w:rsidRDefault="00E63DE3" w:rsidP="00E63DE3">
      <w:pPr>
        <w:ind w:firstLine="720"/>
        <w:jc w:val="both"/>
        <w:rPr>
          <w:lang w:val="lt-LT"/>
        </w:rPr>
      </w:pPr>
      <w:r>
        <w:rPr>
          <w:lang w:val="lt-LT"/>
        </w:rPr>
        <w:t>Pavyzdys</w:t>
      </w:r>
    </w:p>
    <w:p w14:paraId="5B24FD09" w14:textId="77777777" w:rsidR="00E63DE3" w:rsidRDefault="00E63DE3" w:rsidP="00E63DE3">
      <w:pPr>
        <w:pBdr>
          <w:top w:val="single" w:sz="4" w:space="1" w:color="auto"/>
          <w:left w:val="single" w:sz="4" w:space="0" w:color="auto"/>
          <w:bottom w:val="single" w:sz="4" w:space="1" w:color="auto"/>
          <w:right w:val="single" w:sz="4" w:space="0" w:color="auto"/>
        </w:pBdr>
        <w:ind w:firstLine="720"/>
        <w:jc w:val="both"/>
        <w:rPr>
          <w:lang w:val="lt-LT"/>
        </w:rPr>
      </w:pPr>
      <w:r>
        <w:rPr>
          <w:lang w:val="lt-LT"/>
        </w:rPr>
        <w:t>Viešoji įstaiga, kurios įstatuose numatyta neformalaus ir pilietinio ugdymo veikla, iš paramos teikėjų gautą 20 000 Eur paramą panaudojo dviejų partijų kandidatų į vietos savivaldybės narius susitikimo su rinkėjais renginio organizavimui. Kadangi gauta parama panaudota su politine kompanija susijusio renginio organizavimui, visa panaudotoji paramos suma laikoma ne pagal LPĮ nustatytą paskirtį panaudota parama ir priskiriama pelno mokesčio bazei.</w:t>
      </w:r>
    </w:p>
    <w:p w14:paraId="350C1691" w14:textId="77777777" w:rsidR="00E63DE3" w:rsidRDefault="00E63DE3" w:rsidP="00E63DE3">
      <w:pPr>
        <w:pStyle w:val="Pagrindiniotekstotrauka2"/>
        <w:spacing w:line="240" w:lineRule="auto"/>
        <w:rPr>
          <w:b w:val="0"/>
          <w:bCs w:val="0"/>
        </w:rPr>
      </w:pPr>
      <w:r>
        <w:rPr>
          <w:b w:val="0"/>
          <w:bCs w:val="0"/>
        </w:rPr>
        <w:t xml:space="preserve">3.2. Kai gauta parama perduodama kaip įnašas juridiniam asmeniui, kurio dalyvis yra paramos gavėjas </w:t>
      </w:r>
      <w:r>
        <w:rPr>
          <w:b w:val="0"/>
          <w:bCs w:val="0"/>
          <w:u w:val="single"/>
        </w:rPr>
        <w:t>(LPĮ 10 str. 3 dalis).</w:t>
      </w:r>
    </w:p>
    <w:p w14:paraId="2BCA796A" w14:textId="77777777" w:rsidR="00E63DE3" w:rsidRDefault="00E63DE3" w:rsidP="00E63DE3">
      <w:pPr>
        <w:ind w:firstLine="720"/>
        <w:jc w:val="both"/>
        <w:rPr>
          <w:lang w:val="lt-LT"/>
        </w:rPr>
      </w:pPr>
      <w:r>
        <w:rPr>
          <w:lang w:val="lt-LT"/>
        </w:rPr>
        <w:t>Jeigu PNV gautą paramą (lėšas ar turtą) perduoda kaip įnašą kitam vienetui, kurio dalyvis yra tas PNV arba jis tokiu dalyviu taptų perdavęs gautą paramą, tai gauta parama laikoma ne pagal paskirtį panaudota parama. Punkto nuostata reiškia, kad gauta parama negali būti naudojama investicinėje veikloje (steigiant vienetus, įsigyjant veikiančių vienetų akcijas).</w:t>
      </w:r>
    </w:p>
    <w:p w14:paraId="11A0AEF4" w14:textId="77777777" w:rsidR="00E63DE3" w:rsidRDefault="00E63DE3" w:rsidP="00E63DE3">
      <w:pPr>
        <w:ind w:left="720"/>
        <w:jc w:val="both"/>
        <w:rPr>
          <w:lang w:val="lt-LT"/>
        </w:rPr>
      </w:pPr>
      <w:r>
        <w:rPr>
          <w:lang w:val="lt-LT"/>
        </w:rPr>
        <w:t xml:space="preserve">3.3. Kai gauta parama panaudojama, teikiant labdarą ne LPĮ nustatyta tvarka. </w:t>
      </w:r>
    </w:p>
    <w:p w14:paraId="5C647924" w14:textId="77777777" w:rsidR="00E63DE3" w:rsidRDefault="00E63DE3" w:rsidP="00E63DE3">
      <w:pPr>
        <w:ind w:firstLine="720"/>
        <w:jc w:val="both"/>
        <w:rPr>
          <w:lang w:val="lt-LT"/>
        </w:rPr>
      </w:pPr>
      <w:r>
        <w:rPr>
          <w:lang w:val="lt-LT"/>
        </w:rPr>
        <w:lastRenderedPageBreak/>
        <w:t>Pavyzdys</w:t>
      </w:r>
    </w:p>
    <w:p w14:paraId="15884441"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Akcinė bendrovė paramos ir labdaros fondui suteikė 45 000  Eur paramą. Paramos ir labdaros fondas dalį gautų lėšų panaudojo teikdamas labdarą akcinės bendrovės darbuotojams. Patikrinimo metu nustatyta, kad 20 000  Eur perduota fiziniams asmenims ne LPĮ 6 straipsnyje nustatyta tvarka, todėl 20 000  Eur yra laikomi ne pagal LPĮ nustatytą paskirtį panaudota parama ir priskiriami pelno mokesčio bazei.</w:t>
      </w:r>
    </w:p>
    <w:p w14:paraId="27AF33DA" w14:textId="77777777" w:rsidR="00E63DE3" w:rsidRDefault="00E63DE3" w:rsidP="00E63DE3">
      <w:pPr>
        <w:pStyle w:val="Pagrindiniotekstotrauka2"/>
        <w:spacing w:line="240" w:lineRule="auto"/>
        <w:rPr>
          <w:b w:val="0"/>
          <w:bCs w:val="0"/>
        </w:rPr>
      </w:pPr>
      <w:r>
        <w:rPr>
          <w:b w:val="0"/>
          <w:bCs w:val="0"/>
        </w:rPr>
        <w:t>3.4. Gauta parama panaudojama, neatsižvelgiant į PNV veiklą reguliuojančiame įstatyme nustatytus apribojimus.</w:t>
      </w:r>
    </w:p>
    <w:p w14:paraId="0764FB8E" w14:textId="77777777" w:rsidR="00E63DE3" w:rsidRDefault="00E63DE3" w:rsidP="00E63DE3">
      <w:pPr>
        <w:ind w:firstLine="720"/>
        <w:jc w:val="both"/>
        <w:rPr>
          <w:lang w:val="lt-LT"/>
        </w:rPr>
      </w:pPr>
      <w:r>
        <w:rPr>
          <w:lang w:val="lt-LT"/>
        </w:rPr>
        <w:t>PNV veiklą reguliuojančiuose įstatymuose gali būti nustatyti tam tikri veiklos apribojimai, į kuriuos atsižvelgiama ir kontroliuojant gautos paramos panaudojimą. Pvz., Lietuvos Respublikos asociacijų įstatymo 16 str. 2 dalies 7 punkte nustatyta, kad asociacijai draudžiama pirkti prekes ir paslaugas už akivaizdžiai per didelę kainą, išskyrus atvejus, kai tokiu būdu yra suteikiama labdara asmeniui, kuris pagal LPĮ yra labdaros gavėjas. Todėl, nustačius, kad pažeidžiant minėtą apribojimą, ne komercinei veiklai skirtos prekės ar paslaugos buvo įsigytos už kaip parama gautas lėšas žymiai didesne, nei rinkos kaina, skirtumas tarp įsigijimo ir tikrosios rinkos kainos turi būti priskirtas ne pagal paskirtį panaudotai paramai.</w:t>
      </w:r>
    </w:p>
    <w:p w14:paraId="48132365" w14:textId="77777777" w:rsidR="00E63DE3" w:rsidRDefault="00E63DE3" w:rsidP="00E63DE3">
      <w:pPr>
        <w:ind w:firstLine="720"/>
        <w:jc w:val="both"/>
        <w:rPr>
          <w:lang w:val="lt-LT"/>
        </w:rPr>
      </w:pPr>
      <w:r>
        <w:rPr>
          <w:lang w:val="lt-LT"/>
        </w:rPr>
        <w:t>Pavyzdys</w:t>
      </w:r>
    </w:p>
    <w:p w14:paraId="2141A4FF" w14:textId="77777777" w:rsidR="00E63DE3" w:rsidRDefault="00E63DE3" w:rsidP="00E63DE3">
      <w:pPr>
        <w:pBdr>
          <w:top w:val="single" w:sz="4" w:space="1" w:color="auto"/>
          <w:left w:val="single" w:sz="4" w:space="0" w:color="auto"/>
          <w:bottom w:val="single" w:sz="4" w:space="1" w:color="auto"/>
          <w:right w:val="single" w:sz="4" w:space="0" w:color="auto"/>
        </w:pBdr>
        <w:ind w:firstLine="720"/>
        <w:jc w:val="both"/>
        <w:rPr>
          <w:lang w:val="lt-LT"/>
        </w:rPr>
      </w:pPr>
      <w:r>
        <w:rPr>
          <w:lang w:val="lt-LT"/>
        </w:rPr>
        <w:t xml:space="preserve">Viešoji įstaiga – sporto klubas, kurio įstatuose numatyta, kad pagrindinė veiklos kryptis yra automobilinio sporto propagavimas, už iš rėmėjų gautus pinigus iš fizinių asmenų nupirko 3 automobilius. Nustatyta, kad už vieną automobilį sumokėta 100 000 Eur, nors tokios pat markės ir tokių pat metų gamybos automobiliai komisinėje prekyboje parduodami už 40 000 Eur. Kadangi automobilis buvo įsigytas už akivaizdžiai per didelę kainą, skirtumas tarp įsigijimo kainos ir tikrosios rinkos kainos komisinėje prekyboje laikoma ne pagal LPĮ nustatytą paskirtį panaudota parama ir priskiriama pelno mokesčio bazei. </w:t>
      </w:r>
    </w:p>
    <w:p w14:paraId="6E63932A" w14:textId="77777777" w:rsidR="00E63DE3" w:rsidRPr="00F24D7B" w:rsidRDefault="00E63DE3" w:rsidP="00E63DE3">
      <w:pPr>
        <w:pStyle w:val="Pagrindiniotekstotrauka"/>
        <w:rPr>
          <w:lang w:val="lt-LT"/>
        </w:rPr>
      </w:pPr>
      <w:r w:rsidRPr="00F24D7B">
        <w:rPr>
          <w:lang w:val="lt-LT"/>
        </w:rPr>
        <w:t xml:space="preserve">3.5. Parama panaudojama ne visuomenei naudingiems tikslams, nustatytiems </w:t>
      </w:r>
      <w:r w:rsidRPr="00F24D7B">
        <w:rPr>
          <w:u w:val="single"/>
          <w:lang w:val="lt-LT"/>
        </w:rPr>
        <w:t>LPĮ 3 str.       3 dalyje</w:t>
      </w:r>
      <w:r w:rsidRPr="00F24D7B">
        <w:rPr>
          <w:lang w:val="lt-LT"/>
        </w:rPr>
        <w:t xml:space="preserve">, tenkinti. </w:t>
      </w:r>
    </w:p>
    <w:p w14:paraId="7D11ABDD" w14:textId="77777777" w:rsidR="00E63DE3" w:rsidRDefault="00E63DE3" w:rsidP="00E63DE3">
      <w:pPr>
        <w:ind w:firstLine="720"/>
        <w:jc w:val="both"/>
        <w:rPr>
          <w:lang w:val="lt-LT"/>
        </w:rPr>
      </w:pPr>
      <w:r>
        <w:rPr>
          <w:lang w:val="lt-LT"/>
        </w:rPr>
        <w:t xml:space="preserve">Mokesčio bazei gali būti priskirta parama, panaudota ne visuomenei naudingiems tikslams, nustatytiems LPĮ 3 str. 3 dalyje, tenkinti. </w:t>
      </w:r>
    </w:p>
    <w:p w14:paraId="29FB35FF" w14:textId="77777777" w:rsidR="00E63DE3" w:rsidRDefault="00E63DE3" w:rsidP="00E63DE3">
      <w:pPr>
        <w:ind w:firstLine="720"/>
        <w:jc w:val="both"/>
        <w:rPr>
          <w:lang w:val="lt-LT"/>
        </w:rPr>
      </w:pPr>
      <w:r>
        <w:rPr>
          <w:lang w:val="lt-LT"/>
        </w:rPr>
        <w:t>Pavyzdys</w:t>
      </w:r>
    </w:p>
    <w:p w14:paraId="25534317" w14:textId="77777777" w:rsidR="00E63DE3" w:rsidRDefault="00E63DE3" w:rsidP="00E63DE3">
      <w:pPr>
        <w:pBdr>
          <w:top w:val="single" w:sz="4" w:space="1" w:color="auto"/>
          <w:left w:val="single" w:sz="4" w:space="0" w:color="auto"/>
          <w:bottom w:val="single" w:sz="4" w:space="1" w:color="auto"/>
          <w:right w:val="single" w:sz="4" w:space="2" w:color="auto"/>
        </w:pBdr>
        <w:ind w:firstLine="720"/>
        <w:jc w:val="both"/>
        <w:rPr>
          <w:lang w:val="lt-LT"/>
        </w:rPr>
      </w:pPr>
      <w:r>
        <w:rPr>
          <w:lang w:val="lt-LT"/>
        </w:rPr>
        <w:t>Fizinis asmuo įsteigė paramos ir labdaros fondą, kurio įstatuose numatyta materialiai padėti asmenims, sergantiems kraujagyslių ligomis. 2018 metais fondas organizavo lėšų, reikalingų sergančiojo operacijai atlikti, akciją ir jos metu iš rėmėjų šiam tikslui surinko 20 000  Eur paramos. Surinktos lėšos nebuvo perduotos sergančiajam ar apmokėjimui už operacijas, o išleistos pastato, kuriame įsikūręs fondas, tačiau nuosavybės teise priklauso fiziniam asmeniui, remontui. Kadangi fondas surinktas lėšas panaudojo ne pagal jų rinkimo paskirtį, ir panaudojimas susijęs su steigėjo ekonomine nauda, surinktos paramos suma laikoma ne pagal LPĮ nustatytą paskirtį panaudota parama ir priskiriama pelno mokesčio bazei.</w:t>
      </w:r>
    </w:p>
    <w:p w14:paraId="06419FD4" w14:textId="77777777" w:rsidR="00E63DE3" w:rsidRPr="00422629" w:rsidRDefault="00E63DE3" w:rsidP="00E63DE3">
      <w:pPr>
        <w:ind w:firstLine="900"/>
        <w:jc w:val="both"/>
        <w:rPr>
          <w:lang w:val="lt-LT"/>
        </w:rPr>
      </w:pPr>
      <w:r w:rsidRPr="0065344A">
        <w:rPr>
          <w:lang w:val="lt-LT"/>
        </w:rPr>
        <w:t xml:space="preserve">3.6. Pagal LPĮ 8 str. 2 dalies  </w:t>
      </w:r>
      <w:r w:rsidRPr="00422629">
        <w:rPr>
          <w:lang w:val="lt-LT"/>
        </w:rPr>
        <w:t>nuostatas, išlaidų, kurias patiria paramos gavėjas, viešindamas informaciją apie paramos teikėją, suma neturi viršyti 10 procentų šio paramos teikėjo suteiktos paramos vertės. Nustatytą ribą viršijančios išlaidos laikomos parama, panaudota ne pagal paramos paskirtį.</w:t>
      </w:r>
    </w:p>
    <w:p w14:paraId="1E9D2CA8" w14:textId="77777777" w:rsidR="00E63DE3" w:rsidRPr="00422629" w:rsidRDefault="00E63DE3" w:rsidP="00E63DE3">
      <w:pPr>
        <w:ind w:firstLine="900"/>
        <w:jc w:val="both"/>
        <w:rPr>
          <w:lang w:val="lt-LT"/>
        </w:rPr>
      </w:pPr>
      <w:r w:rsidRPr="00422629">
        <w:rPr>
          <w:lang w:val="lt-LT"/>
        </w:rPr>
        <w:t>Pavyzdys</w:t>
      </w:r>
    </w:p>
    <w:p w14:paraId="0EC6FC0E" w14:textId="77777777" w:rsidR="00E63DE3" w:rsidRPr="0065344A" w:rsidRDefault="00E63DE3" w:rsidP="00E63DE3">
      <w:pPr>
        <w:pBdr>
          <w:top w:val="single" w:sz="4" w:space="1" w:color="auto"/>
          <w:left w:val="single" w:sz="4" w:space="0" w:color="auto"/>
          <w:bottom w:val="single" w:sz="4" w:space="1" w:color="auto"/>
          <w:right w:val="single" w:sz="4" w:space="0" w:color="auto"/>
        </w:pBdr>
        <w:ind w:firstLine="900"/>
        <w:jc w:val="both"/>
        <w:rPr>
          <w:lang w:val="lt-LT"/>
        </w:rPr>
      </w:pPr>
      <w:r w:rsidRPr="00422629">
        <w:rPr>
          <w:lang w:val="lt-LT"/>
        </w:rPr>
        <w:lastRenderedPageBreak/>
        <w:t xml:space="preserve">Akcinė bendrovė </w:t>
      </w:r>
      <w:r>
        <w:rPr>
          <w:lang w:val="lt-LT"/>
        </w:rPr>
        <w:t>2017</w:t>
      </w:r>
      <w:r w:rsidRPr="00422629">
        <w:rPr>
          <w:lang w:val="lt-LT"/>
        </w:rPr>
        <w:t xml:space="preserve"> metais suteikė 200 000 </w:t>
      </w:r>
      <w:r>
        <w:rPr>
          <w:lang w:val="lt-LT"/>
        </w:rPr>
        <w:t xml:space="preserve"> Eur </w:t>
      </w:r>
      <w:r w:rsidRPr="00422629">
        <w:rPr>
          <w:lang w:val="lt-LT"/>
        </w:rPr>
        <w:t>paramą viešajai įstaigai. Paramos teikimo sutartyje buvo numatytas viešosios įstaigos įsipareigojimas sukurti filmuotą vaizdo klipą apie AB veiklą. Vaizdo įrašo sukūrimui viešoji įstaiga išleido 30 000</w:t>
      </w:r>
      <w:r>
        <w:rPr>
          <w:lang w:val="lt-LT"/>
        </w:rPr>
        <w:t xml:space="preserve"> Eur</w:t>
      </w:r>
      <w:r w:rsidRPr="00422629">
        <w:rPr>
          <w:lang w:val="lt-LT"/>
        </w:rPr>
        <w:t xml:space="preserve">. Išlaidos, patirtos viešinant informaciją apie paramos teikėją, viršijo 10 proc. paramos teikėjo suteiktos paramos vertės, todėl nustatytą ribą viršijanti 10 000 </w:t>
      </w:r>
      <w:r>
        <w:rPr>
          <w:lang w:val="lt-LT"/>
        </w:rPr>
        <w:t xml:space="preserve"> Eur </w:t>
      </w:r>
      <w:r w:rsidRPr="00422629">
        <w:rPr>
          <w:lang w:val="lt-LT"/>
        </w:rPr>
        <w:t xml:space="preserve">(30 000 </w:t>
      </w:r>
      <w:r>
        <w:rPr>
          <w:lang w:val="lt-LT"/>
        </w:rPr>
        <w:t xml:space="preserve"> Eur </w:t>
      </w:r>
      <w:r w:rsidRPr="00422629">
        <w:rPr>
          <w:lang w:val="lt-LT"/>
        </w:rPr>
        <w:t xml:space="preserve">- 20 000 </w:t>
      </w:r>
      <w:r>
        <w:rPr>
          <w:lang w:val="lt-LT"/>
        </w:rPr>
        <w:t xml:space="preserve"> Eur</w:t>
      </w:r>
      <w:r w:rsidRPr="00422629">
        <w:rPr>
          <w:lang w:val="lt-LT"/>
        </w:rPr>
        <w:t>) suma laikoma ne pagal LPĮ nustatytą paskirtį panaudota parama ir priskiriama pelno mokesčio bazei pagal PMĮ 4 str. 6 dalies nuostatas</w:t>
      </w:r>
      <w:r w:rsidRPr="0065344A">
        <w:rPr>
          <w:lang w:val="lt-LT"/>
        </w:rPr>
        <w:t>.</w:t>
      </w:r>
    </w:p>
    <w:p w14:paraId="02C06275" w14:textId="77777777" w:rsidR="005F000B" w:rsidRDefault="005F000B" w:rsidP="00E63DE3">
      <w:pPr>
        <w:ind w:firstLine="720"/>
        <w:jc w:val="both"/>
        <w:rPr>
          <w:b/>
          <w:bCs/>
          <w:lang w:val="lt-LT"/>
        </w:rPr>
      </w:pPr>
    </w:p>
    <w:p w14:paraId="298DCCEA" w14:textId="77777777" w:rsidR="00E63DE3" w:rsidRDefault="00E63DE3" w:rsidP="00E63DE3">
      <w:pPr>
        <w:ind w:firstLine="720"/>
        <w:jc w:val="both"/>
        <w:rPr>
          <w:b/>
          <w:bCs/>
          <w:lang w:val="lt-LT"/>
        </w:rPr>
      </w:pPr>
      <w:r>
        <w:rPr>
          <w:b/>
          <w:bCs/>
          <w:lang w:val="lt-LT"/>
        </w:rPr>
        <w:t>2) iš vieno paramos teikėjo per mokestinį laikotarpį grynais pinigais gautos paramos dalis, viršijanti 250 minimalių gyvenimo lygių dydžio sumą.</w:t>
      </w:r>
    </w:p>
    <w:p w14:paraId="3FFAFF82" w14:textId="77777777" w:rsidR="00E63DE3" w:rsidRPr="00707A08" w:rsidRDefault="00E63DE3" w:rsidP="00E63DE3">
      <w:pPr>
        <w:jc w:val="both"/>
        <w:rPr>
          <w:bCs/>
          <w:i/>
          <w:lang w:val="lt-LT"/>
        </w:rPr>
      </w:pPr>
      <w:r w:rsidRPr="00707A08">
        <w:rPr>
          <w:bCs/>
          <w:i/>
          <w:lang w:val="lt-LT"/>
        </w:rPr>
        <w:t>(KEISTA: 2005 12 20 įstatymu Nr. X-456 (nuo 2006 01 01), nuostatos taikomos apskaičiuojant 2006 metais prasidėjusio ir vėlesnių mokestinių laikotarpių apmokestinamąjį pelną)</w:t>
      </w:r>
    </w:p>
    <w:p w14:paraId="1B28E82F" w14:textId="77777777" w:rsidR="00E63DE3" w:rsidRDefault="00E63DE3" w:rsidP="00E63DE3">
      <w:pPr>
        <w:pStyle w:val="Antrat2"/>
        <w:ind w:firstLine="720"/>
        <w:jc w:val="both"/>
      </w:pPr>
      <w:r>
        <w:t>Komentaras</w:t>
      </w:r>
    </w:p>
    <w:p w14:paraId="0B601145" w14:textId="77777777" w:rsidR="00E63DE3" w:rsidRDefault="00E63DE3" w:rsidP="00E63DE3">
      <w:pPr>
        <w:ind w:firstLine="720"/>
        <w:jc w:val="both"/>
        <w:rPr>
          <w:lang w:val="lt-LT"/>
        </w:rPr>
      </w:pPr>
      <w:r>
        <w:rPr>
          <w:lang w:val="lt-LT"/>
        </w:rPr>
        <w:t>1. PNV pelno mokesčio bazei priskiriama grynais pinigais iš to paties paramos teikėjo per mokestinį laikotarpį gautos paramos dalis, viršijanti 250 minimalių gyvenimo lygių (toliau – MGL) sumą.</w:t>
      </w:r>
    </w:p>
    <w:p w14:paraId="7F832E66" w14:textId="77777777" w:rsidR="00E63DE3" w:rsidRDefault="00E63DE3" w:rsidP="00E63DE3">
      <w:pPr>
        <w:ind w:firstLine="720"/>
        <w:jc w:val="both"/>
        <w:rPr>
          <w:lang w:val="lt-LT"/>
        </w:rPr>
      </w:pPr>
      <w:r>
        <w:rPr>
          <w:lang w:val="lt-LT"/>
        </w:rPr>
        <w:t>Pavyzdys</w:t>
      </w:r>
    </w:p>
    <w:p w14:paraId="6697F0F2"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 xml:space="preserve">Viešoji įstaiga iš akcinės bendrovės X  2018 metų kovo mėnesį gavo 12 000 Eur, gegužės mėnesį – 10 000 Eur, rugpjūčio mėnesį – 18 000  Eur ir spalio mėnesį – 15 000 Eur paramos grynais pinigais. Viso per mokestinį laikotarpį gauta 55 000  Eur paramos. Minimalus gyvenimo lygis – 38 Eur. Skirtumas tarp 250 MGL, t. y.  9 500 Eur ( 38 Eur x 250), ir suteiktos per metus paramos grynais pinigais – 55 000  Eur sudaro 45 500 Eur, kuris, vadovaujantis PMĮ 4 str. 6 dalimi, priskiriamas pelno mokesčio bazei. </w:t>
      </w:r>
    </w:p>
    <w:p w14:paraId="6E035159" w14:textId="77777777" w:rsidR="00E63DE3" w:rsidRDefault="00E63DE3" w:rsidP="00E63DE3">
      <w:pPr>
        <w:ind w:firstLine="720"/>
        <w:jc w:val="both"/>
        <w:rPr>
          <w:lang w:val="lt-LT"/>
        </w:rPr>
      </w:pPr>
      <w:r>
        <w:rPr>
          <w:lang w:val="lt-LT"/>
        </w:rPr>
        <w:t>2. Jeigu mokestiniame laikotarpyje pasikeičia MGL dydis, nustatant 250 MGL, apskaičiuojamas vidutinis aritmetinis tų metų MGL dydis ir dauginamas iš 250.</w:t>
      </w:r>
    </w:p>
    <w:p w14:paraId="1054B095" w14:textId="77777777" w:rsidR="00E63DE3" w:rsidRDefault="00E63DE3" w:rsidP="00E63DE3">
      <w:pPr>
        <w:ind w:firstLine="720"/>
        <w:jc w:val="both"/>
        <w:rPr>
          <w:lang w:val="lt-LT"/>
        </w:rPr>
      </w:pPr>
      <w:r>
        <w:rPr>
          <w:lang w:val="lt-LT"/>
        </w:rPr>
        <w:t>Pavyzdys</w:t>
      </w:r>
    </w:p>
    <w:p w14:paraId="1C06F150" w14:textId="77777777" w:rsidR="00E63DE3" w:rsidRDefault="00E63DE3" w:rsidP="00E63DE3">
      <w:pPr>
        <w:pBdr>
          <w:top w:val="single" w:sz="4" w:space="1" w:color="auto"/>
          <w:left w:val="single" w:sz="4" w:space="4" w:color="auto"/>
          <w:bottom w:val="single" w:sz="4" w:space="1" w:color="auto"/>
          <w:right w:val="single" w:sz="4" w:space="4" w:color="auto"/>
        </w:pBdr>
        <w:ind w:firstLine="720"/>
        <w:jc w:val="both"/>
        <w:rPr>
          <w:lang w:val="lt-LT"/>
        </w:rPr>
      </w:pPr>
      <w:r>
        <w:rPr>
          <w:lang w:val="lt-LT"/>
        </w:rPr>
        <w:t>Teisės aktu nustatyta, kad nuo atitinkamų metų rugpjūčio 1 dienos nustatomas  44 Eur MGL (iki šios datos MGL buvo 38 Eur). Vidutinis aritmetinis tų metų MGL yra 40,50 Eur (38 Eur  x 7 mėn. +  44 Eur x 5 mėn.)/12. Mokesčio bazei tokiu atveju priskiriama iš vieno paramos teikėjo per mokestinį laikotarpį grynais pinigais gauta suma, viršijanti  10 125 Eur (40, 50 Eur x 250).</w:t>
      </w:r>
    </w:p>
    <w:p w14:paraId="516451D8" w14:textId="77777777" w:rsidR="00E63DE3" w:rsidRDefault="00E63DE3" w:rsidP="00E63DE3">
      <w:pPr>
        <w:ind w:firstLine="720"/>
        <w:jc w:val="both"/>
        <w:rPr>
          <w:lang w:val="lt-LT"/>
        </w:rPr>
      </w:pPr>
      <w:r>
        <w:rPr>
          <w:lang w:val="lt-LT"/>
        </w:rPr>
        <w:t xml:space="preserve">3. Pagal </w:t>
      </w:r>
      <w:r>
        <w:rPr>
          <w:u w:val="single"/>
          <w:lang w:val="lt-LT"/>
        </w:rPr>
        <w:t>Mokėjimų įstatymo 2 str. 13 punktą</w:t>
      </w:r>
      <w:r>
        <w:rPr>
          <w:lang w:val="lt-LT"/>
        </w:rPr>
        <w:t xml:space="preserve"> mokėjimas gali būti atliekamas grynaisiais pinigais arba negrynųjų pinigų pervedimu per pasirinktas kredito įstaigas. Remiantis šiomis nuostatomis, parama laikoma suteikta grynaisiais pinigais, jeigu pagal paramos gavėjo ir paramos teikėjo susitarimą grynieji pinigai įnešami į paramos gavėjo kasą ar į jo sąskaitą banke.</w:t>
      </w:r>
    </w:p>
    <w:p w14:paraId="10A4A5C3" w14:textId="77777777" w:rsidR="00E63DE3" w:rsidRDefault="00E63DE3" w:rsidP="00E63DE3">
      <w:pPr>
        <w:ind w:firstLine="720"/>
        <w:jc w:val="both"/>
        <w:rPr>
          <w:bCs/>
          <w:lang w:val="lt-LT"/>
        </w:rPr>
      </w:pPr>
      <w:r>
        <w:rPr>
          <w:bCs/>
          <w:lang w:val="lt-LT"/>
        </w:rPr>
        <w:t>(Pakeista pagal 2019-08-06 VMI prie FM raštą Nr. (18.-10-31-1E)-RM-23984).</w:t>
      </w:r>
    </w:p>
    <w:p w14:paraId="1777D899" w14:textId="77777777" w:rsidR="003E69E5" w:rsidRPr="003E69E5" w:rsidRDefault="003E69E5" w:rsidP="003E69E5">
      <w:pPr>
        <w:spacing w:before="100" w:beforeAutospacing="1" w:after="100" w:afterAutospacing="1" w:line="240" w:lineRule="auto"/>
        <w:ind w:firstLine="720"/>
        <w:jc w:val="both"/>
        <w:rPr>
          <w:b/>
          <w:lang w:val="lt-LT" w:eastAsia="lt-LT"/>
        </w:rPr>
      </w:pPr>
      <w:r w:rsidRPr="003E69E5">
        <w:rPr>
          <w:b/>
          <w:lang w:val="lt-LT" w:eastAsia="lt-LT"/>
        </w:rPr>
        <w:t xml:space="preserve">3) </w:t>
      </w:r>
      <w:r w:rsidRPr="003E69E5">
        <w:rPr>
          <w:b/>
          <w:color w:val="000000"/>
          <w:lang w:val="lt-LT" w:eastAsia="lt-LT"/>
        </w:rPr>
        <w:t>bet kokia gauta mokėjimo suma, kuri, jeigu yra mokestinės tvarkos neatitikimas, atskaitoma mokėjimo valstybėje, tačiau neįtraukiama į pajamas taikant šio Įstatymo nuostatas. Šio punkto nuostatos netaikomos, kai mokestinės tvarkos neatitikimas yra susijęs su nuolatinės buveinės ar jai priskiriamų pajamų (sąnaudų) teisinio reglamentavimo ar traktavimo skirtumais;</w:t>
      </w:r>
      <w:r w:rsidRPr="003E69E5">
        <w:rPr>
          <w:b/>
          <w:lang w:val="lt-LT" w:eastAsia="lt-LT"/>
        </w:rPr>
        <w:t xml:space="preserve"> </w:t>
      </w:r>
    </w:p>
    <w:p w14:paraId="6BBD263E" w14:textId="77777777" w:rsidR="003E69E5" w:rsidRDefault="003E69E5" w:rsidP="003E69E5">
      <w:pPr>
        <w:spacing w:before="100" w:beforeAutospacing="1" w:after="100" w:afterAutospacing="1" w:line="240" w:lineRule="auto"/>
        <w:jc w:val="both"/>
        <w:rPr>
          <w:i/>
          <w:iCs/>
          <w:color w:val="000000"/>
          <w:lang w:val="lt-LT" w:eastAsia="lt-LT"/>
        </w:rPr>
      </w:pPr>
      <w:r w:rsidRPr="003E69E5">
        <w:rPr>
          <w:b/>
          <w:bCs/>
          <w:i/>
          <w:iCs/>
          <w:color w:val="000000"/>
          <w:lang w:val="lt-LT" w:eastAsia="lt-LT"/>
        </w:rPr>
        <w:t>TAR pastaba.</w:t>
      </w:r>
      <w:r w:rsidRPr="003E69E5">
        <w:rPr>
          <w:i/>
          <w:iCs/>
          <w:color w:val="000000"/>
          <w:lang w:val="lt-LT" w:eastAsia="lt-LT"/>
        </w:rPr>
        <w:t xml:space="preserve"> 3 punkto nuostatos taikomos apskaičiuojant ir deklaruojant 2020 metų ir vėlesnių mokestinių laikotarpių pelno mokestį.</w:t>
      </w:r>
    </w:p>
    <w:p w14:paraId="52710F5C" w14:textId="77777777" w:rsidR="003E69E5" w:rsidRPr="00F62677" w:rsidRDefault="003E69E5" w:rsidP="003E69E5">
      <w:pPr>
        <w:spacing w:before="100" w:beforeAutospacing="1" w:after="100" w:afterAutospacing="1"/>
        <w:jc w:val="both"/>
        <w:rPr>
          <w:i/>
        </w:rPr>
      </w:pPr>
      <w:r w:rsidRPr="00F62677">
        <w:rPr>
          <w:i/>
          <w:iCs/>
        </w:rPr>
        <w:lastRenderedPageBreak/>
        <w:t xml:space="preserve">(Papildyta 2019-12-17, </w:t>
      </w:r>
      <w:r w:rsidRPr="00F62677">
        <w:rPr>
          <w:i/>
          <w:lang w:val="lt-LT"/>
        </w:rPr>
        <w:t xml:space="preserve">įstatymu </w:t>
      </w:r>
      <w:r w:rsidRPr="00F62677">
        <w:rPr>
          <w:i/>
          <w:iCs/>
        </w:rPr>
        <w:t xml:space="preserve">Nr. </w:t>
      </w:r>
      <w:hyperlink r:id="rId38"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2020 01 01))</w:t>
      </w:r>
    </w:p>
    <w:p w14:paraId="5667198F" w14:textId="77777777" w:rsidR="003E69E5" w:rsidRPr="003E69E5" w:rsidRDefault="003E69E5" w:rsidP="003E69E5">
      <w:pPr>
        <w:spacing w:before="100" w:beforeAutospacing="1" w:after="100" w:afterAutospacing="1" w:line="240" w:lineRule="auto"/>
        <w:ind w:firstLine="720"/>
        <w:jc w:val="both"/>
        <w:rPr>
          <w:b/>
          <w:lang w:val="lt-LT" w:eastAsia="lt-LT"/>
        </w:rPr>
      </w:pPr>
      <w:r w:rsidRPr="003E69E5">
        <w:rPr>
          <w:b/>
          <w:color w:val="000000"/>
          <w:lang w:val="lt-LT" w:eastAsia="lt-LT"/>
        </w:rPr>
        <w:t>4) pajamos dėl turto perkėlimo, apskaičiuotos šio Įstatymo 40</w:t>
      </w:r>
      <w:r w:rsidRPr="003E69E5">
        <w:rPr>
          <w:b/>
          <w:color w:val="000000"/>
          <w:vertAlign w:val="superscript"/>
          <w:lang w:val="lt-LT" w:eastAsia="lt-LT"/>
        </w:rPr>
        <w:t>2</w:t>
      </w:r>
      <w:r w:rsidRPr="003E69E5">
        <w:rPr>
          <w:b/>
          <w:color w:val="000000"/>
          <w:lang w:val="lt-LT" w:eastAsia="lt-LT"/>
        </w:rPr>
        <w:t xml:space="preserve"> straipsnyje nustatyta tvarka.</w:t>
      </w:r>
    </w:p>
    <w:p w14:paraId="4C4C5452" w14:textId="77777777" w:rsidR="003E69E5" w:rsidRPr="00F62677" w:rsidRDefault="003E69E5" w:rsidP="003E69E5">
      <w:pPr>
        <w:spacing w:before="100" w:beforeAutospacing="1" w:after="100" w:afterAutospacing="1" w:line="240" w:lineRule="auto"/>
        <w:jc w:val="both"/>
        <w:rPr>
          <w:i/>
          <w:lang w:val="lt-LT" w:eastAsia="lt-LT"/>
        </w:rPr>
      </w:pPr>
      <w:r w:rsidRPr="00F62677">
        <w:rPr>
          <w:b/>
          <w:bCs/>
          <w:i/>
          <w:iCs/>
          <w:color w:val="000000"/>
          <w:lang w:val="lt-LT" w:eastAsia="lt-LT"/>
        </w:rPr>
        <w:t>TAR pastaba.</w:t>
      </w:r>
      <w:r w:rsidRPr="00F62677">
        <w:rPr>
          <w:i/>
          <w:iCs/>
          <w:color w:val="000000"/>
          <w:lang w:val="lt-LT" w:eastAsia="lt-LT"/>
        </w:rPr>
        <w:t xml:space="preserve"> 4 punkto nuostatos taikomos apskaičiuojant ir deklaruojant 2020 metų ir vėlesnių mokestinių laikotarpių pelno mokestį.</w:t>
      </w:r>
      <w:r w:rsidRPr="00F62677">
        <w:rPr>
          <w:i/>
          <w:lang w:val="lt-LT" w:eastAsia="lt-LT"/>
        </w:rPr>
        <w:t xml:space="preserve"> </w:t>
      </w:r>
    </w:p>
    <w:p w14:paraId="274BB1AC" w14:textId="77777777" w:rsidR="003E69E5" w:rsidRPr="00F62677" w:rsidRDefault="003E69E5" w:rsidP="003E69E5">
      <w:pPr>
        <w:spacing w:before="100" w:beforeAutospacing="1" w:after="100" w:afterAutospacing="1"/>
        <w:jc w:val="both"/>
        <w:rPr>
          <w:i/>
        </w:rPr>
      </w:pPr>
      <w:r w:rsidRPr="00F62677">
        <w:rPr>
          <w:i/>
          <w:iCs/>
        </w:rPr>
        <w:t xml:space="preserve">(Papildyta 2019-12-17, </w:t>
      </w:r>
      <w:r w:rsidRPr="00F62677">
        <w:rPr>
          <w:i/>
          <w:lang w:val="lt-LT"/>
        </w:rPr>
        <w:t xml:space="preserve">įstatymu </w:t>
      </w:r>
      <w:r w:rsidRPr="00F62677">
        <w:rPr>
          <w:i/>
          <w:iCs/>
        </w:rPr>
        <w:t xml:space="preserve">Nr. </w:t>
      </w:r>
      <w:hyperlink r:id="rId39" w:tgtFrame="_parent" w:history="1">
        <w:r w:rsidRPr="00F62677">
          <w:rPr>
            <w:rStyle w:val="Hipersaitas"/>
            <w:rFonts w:ascii="Times New Roman" w:hAnsi="Times New Roman" w:cs="Times New Roman"/>
            <w:b w:val="0"/>
            <w:i/>
            <w:iCs/>
          </w:rPr>
          <w:t>XIII-2694</w:t>
        </w:r>
      </w:hyperlink>
      <w:r w:rsidRPr="00F62677">
        <w:rPr>
          <w:i/>
          <w:iCs/>
        </w:rPr>
        <w:t xml:space="preserve"> </w:t>
      </w:r>
      <w:r w:rsidRPr="00F62677">
        <w:rPr>
          <w:i/>
          <w:lang w:val="lt-LT"/>
        </w:rPr>
        <w:t>(nuo 2020 01 01))</w:t>
      </w:r>
    </w:p>
    <w:p w14:paraId="1DEBCBD5" w14:textId="77777777" w:rsidR="00093845" w:rsidRDefault="000D779E">
      <w:pPr>
        <w:pStyle w:val="tajtip"/>
        <w:spacing w:before="0" w:beforeAutospacing="0" w:after="0" w:afterAutospacing="0"/>
        <w:ind w:firstLine="567"/>
        <w:jc w:val="both"/>
        <w:rPr>
          <w:b/>
          <w:iCs/>
        </w:rPr>
      </w:pPr>
      <w:r>
        <w:rPr>
          <w:b/>
          <w:iCs/>
        </w:rPr>
        <w:t>7. Šio straipsnio nuostatos netaikomos laivybos vieneto pajamoms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Pr>
          <w:b/>
          <w:iCs/>
          <w:vertAlign w:val="superscript"/>
        </w:rPr>
        <w:t>1</w:t>
      </w:r>
      <w:r>
        <w:rPr>
          <w:b/>
          <w:iCs/>
        </w:rPr>
        <w:t xml:space="preserve"> straipsnio nuostatas taikomas fiksuotas pelno mokestis. </w:t>
      </w:r>
    </w:p>
    <w:p w14:paraId="79F774A1" w14:textId="77777777" w:rsidR="00093845" w:rsidRPr="00F62677" w:rsidRDefault="000D779E" w:rsidP="00C074BE">
      <w:pPr>
        <w:pStyle w:val="tajtip"/>
        <w:spacing w:before="0" w:beforeAutospacing="0" w:after="0" w:afterAutospacing="0"/>
        <w:jc w:val="both"/>
        <w:rPr>
          <w:i/>
          <w:iCs/>
        </w:rPr>
      </w:pPr>
      <w:r w:rsidRPr="00F62677">
        <w:rPr>
          <w:i/>
          <w:iCs/>
        </w:rPr>
        <w:t>(</w:t>
      </w:r>
      <w:r w:rsidRPr="00F62677">
        <w:rPr>
          <w:i/>
        </w:rPr>
        <w:t>KEISTA: 2017 06 01 įstatymu Nr. XIII-405 (nuo 2017 06 10)</w:t>
      </w:r>
      <w:r w:rsidRPr="00F62677">
        <w:rPr>
          <w:i/>
          <w:iCs/>
        </w:rPr>
        <w:t>, taikoma apskaičiuojant 2017 metais prasidėjusio mokestinio laikotarpio ir vėlesnių mokestinių laikotarpių apmokestinamąjį pelną)</w:t>
      </w:r>
    </w:p>
    <w:p w14:paraId="254244EB" w14:textId="77777777" w:rsidR="00093845" w:rsidRDefault="00093845">
      <w:pPr>
        <w:pStyle w:val="tajtip"/>
        <w:spacing w:before="0" w:beforeAutospacing="0" w:after="0" w:afterAutospacing="0"/>
        <w:ind w:firstLine="567"/>
        <w:jc w:val="both"/>
        <w:rPr>
          <w:iCs/>
        </w:rPr>
      </w:pPr>
    </w:p>
    <w:p w14:paraId="7A5AABBB" w14:textId="77777777" w:rsidR="00093845" w:rsidRDefault="000D779E">
      <w:pPr>
        <w:pStyle w:val="tajtip"/>
        <w:spacing w:before="0" w:beforeAutospacing="0" w:after="0" w:afterAutospacing="0"/>
        <w:ind w:firstLine="567"/>
        <w:jc w:val="both"/>
        <w:rPr>
          <w:b/>
          <w:iCs/>
        </w:rPr>
      </w:pPr>
      <w:r>
        <w:rPr>
          <w:b/>
          <w:iCs/>
        </w:rPr>
        <w:t>Komentaras</w:t>
      </w:r>
    </w:p>
    <w:p w14:paraId="037B2644" w14:textId="77777777" w:rsidR="00093845" w:rsidRDefault="000D779E">
      <w:pPr>
        <w:pStyle w:val="tajtip"/>
        <w:spacing w:before="0" w:beforeAutospacing="0" w:after="0" w:afterAutospacing="0"/>
        <w:ind w:firstLine="567"/>
        <w:jc w:val="both"/>
        <w:rPr>
          <w:iCs/>
        </w:rPr>
      </w:pPr>
      <w:r>
        <w:rPr>
          <w:iCs/>
        </w:rPr>
        <w:t xml:space="preserve">Jei laivybos vieneto pasirinkimu iš </w:t>
      </w:r>
      <w:r>
        <w:t xml:space="preserve">tarptautinio vežimo jūrų laivais </w:t>
      </w:r>
      <w:r>
        <w:rPr>
          <w:iCs/>
        </w:rPr>
        <w:t xml:space="preserve">arba tarptautinio vežimo jūrų laivais ir su tuo tiesiogiai susijusios veiklos apmokestinamos taikant fiksuotą pelno mokesčio tarifą, tokios pajamos nepriskiriamos pelno mokesčio bazei pagal šio straipsnio nuostatas. </w:t>
      </w:r>
    </w:p>
    <w:p w14:paraId="26779F99" w14:textId="77777777" w:rsidR="00093845" w:rsidRDefault="000D779E">
      <w:pPr>
        <w:pStyle w:val="tajtip"/>
        <w:spacing w:before="0" w:beforeAutospacing="0" w:after="0" w:afterAutospacing="0"/>
        <w:ind w:firstLine="567"/>
        <w:jc w:val="both"/>
        <w:rPr>
          <w:iCs/>
        </w:rPr>
      </w:pPr>
      <w:r>
        <w:rPr>
          <w:iCs/>
        </w:rPr>
        <w:t xml:space="preserve">Tuo atveju, kai laivybos vienetas pasirinko pajamoms iš </w:t>
      </w:r>
      <w:r>
        <w:t xml:space="preserve">tarptautinio vežimo jūrų laivais </w:t>
      </w:r>
      <w:r>
        <w:rPr>
          <w:iCs/>
        </w:rPr>
        <w:t xml:space="preserve">arba tarptautinio vežimo jūrų laivais ir su tuo tiesiogiai susijusios veiklos taikyti fiksuotą pelno mokestį, tačiau uždirba pajamų iš veiklos, kuri nepriskiriama </w:t>
      </w:r>
      <w:r>
        <w:t xml:space="preserve">tarptautinio vežimo jūrų laivais </w:t>
      </w:r>
      <w:r>
        <w:rPr>
          <w:iCs/>
        </w:rPr>
        <w:t>arba tarptautinio vežimo jūrų laivais ir su tuo tiesiogiai susijusiai veiklai, tokios pajamos priskiriamos PMĮ 4 str. 1 dalies mokesčio bazei, nuo kurios apskaičiuojamas apmokestinamasis pelnas PMĮ 11 straipsnyje nustatyta tvarka.</w:t>
      </w:r>
    </w:p>
    <w:p w14:paraId="56328074" w14:textId="77777777" w:rsidR="00093845" w:rsidRDefault="000D779E">
      <w:pPr>
        <w:rPr>
          <w:bCs/>
        </w:rPr>
      </w:pPr>
      <w:r w:rsidRPr="0065344A">
        <w:rPr>
          <w:bCs/>
          <w:lang w:val="lt-LT"/>
        </w:rPr>
        <w:t xml:space="preserve">          </w:t>
      </w:r>
      <w:r>
        <w:rPr>
          <w:bCs/>
        </w:rPr>
        <w:t>(</w:t>
      </w:r>
      <w:r w:rsidR="00357561">
        <w:rPr>
          <w:bCs/>
        </w:rPr>
        <w:t xml:space="preserve">Pakeista </w:t>
      </w:r>
      <w:r>
        <w:rPr>
          <w:bCs/>
        </w:rPr>
        <w:t xml:space="preserve">pagal 2017-09-22 VMI prie FM raštą Nr. </w:t>
      </w:r>
      <w:r>
        <w:t xml:space="preserve">(32.42-31-1E) </w:t>
      </w:r>
      <w:r>
        <w:rPr>
          <w:bCs/>
        </w:rPr>
        <w:t>-</w:t>
      </w:r>
      <w:r>
        <w:t xml:space="preserve"> RM-29627</w:t>
      </w:r>
      <w:r>
        <w:rPr>
          <w:bCs/>
        </w:rPr>
        <w:t>)</w:t>
      </w:r>
    </w:p>
    <w:p w14:paraId="6A76D41B" w14:textId="77777777" w:rsidR="00B859FF" w:rsidRDefault="00B859FF" w:rsidP="00B859FF">
      <w:pPr>
        <w:pStyle w:val="tajtip"/>
        <w:spacing w:before="0" w:beforeAutospacing="0" w:after="0" w:afterAutospacing="0"/>
        <w:ind w:firstLine="567"/>
        <w:jc w:val="both"/>
        <w:rPr>
          <w:sz w:val="22"/>
          <w:szCs w:val="22"/>
        </w:rPr>
      </w:pPr>
      <w:r>
        <w:rPr>
          <w:b/>
          <w:iCs/>
        </w:rPr>
        <w:t xml:space="preserve">8. </w:t>
      </w:r>
      <w:r w:rsidRPr="00B859FF">
        <w:rPr>
          <w:b/>
          <w:iCs/>
        </w:rPr>
        <w:t>Lietuvos hibridinio subjekto mokesčio bazei priskiriama pajamų dalis, kuri nėra kitaip apmokestinama pelno mokesčiu ar jam tapačiu mokesčiu pagal šio Įstatymo arba bet kurios kitos valstybės, kurios rezidentas mokesčių tikslais yra Lietuvos hibridinio subjekto dalyvis, teisės aktus.</w:t>
      </w:r>
    </w:p>
    <w:p w14:paraId="6BB3F436" w14:textId="77777777" w:rsidR="00B859FF" w:rsidRDefault="000D779E" w:rsidP="00454A94">
      <w:pPr>
        <w:spacing w:before="100" w:beforeAutospacing="1" w:after="100" w:afterAutospacing="1"/>
        <w:jc w:val="both"/>
        <w:rPr>
          <w:i/>
          <w:lang w:val="lt-LT"/>
        </w:rPr>
      </w:pPr>
      <w:r>
        <w:rPr>
          <w:b/>
          <w:lang w:val="lt-LT"/>
        </w:rPr>
        <w:t xml:space="preserve">          </w:t>
      </w:r>
      <w:r w:rsidR="00B859FF" w:rsidRPr="00F62677">
        <w:rPr>
          <w:i/>
          <w:iCs/>
        </w:rPr>
        <w:t xml:space="preserve">(Papildyta </w:t>
      </w:r>
      <w:r w:rsidR="00B859FF" w:rsidRPr="00B859FF">
        <w:rPr>
          <w:i/>
          <w:iCs/>
          <w:lang w:val="lt-LT"/>
        </w:rPr>
        <w:t>2021-12-07</w:t>
      </w:r>
      <w:r w:rsidR="00B859FF" w:rsidRPr="00F62677">
        <w:rPr>
          <w:i/>
          <w:iCs/>
        </w:rPr>
        <w:t xml:space="preserve">, </w:t>
      </w:r>
      <w:r w:rsidR="00B859FF" w:rsidRPr="00F62677">
        <w:rPr>
          <w:i/>
          <w:lang w:val="lt-LT"/>
        </w:rPr>
        <w:t xml:space="preserve">įstatymu </w:t>
      </w:r>
      <w:r w:rsidR="00B859FF" w:rsidRPr="00F62677">
        <w:rPr>
          <w:i/>
          <w:iCs/>
        </w:rPr>
        <w:t xml:space="preserve">Nr. </w:t>
      </w:r>
      <w:r w:rsidR="00B859FF" w:rsidRPr="00B859FF">
        <w:rPr>
          <w:rStyle w:val="Hipersaitas"/>
          <w:rFonts w:ascii="Times New Roman" w:hAnsi="Times New Roman" w:cs="Times New Roman"/>
          <w:b w:val="0"/>
          <w:i/>
          <w:iCs/>
        </w:rPr>
        <w:t xml:space="preserve">XIV-726 </w:t>
      </w:r>
      <w:r w:rsidR="00B859FF" w:rsidRPr="0010244B">
        <w:rPr>
          <w:i/>
          <w:lang w:val="lt-LT"/>
        </w:rPr>
        <w:t>(nuo 2023 01 01))</w:t>
      </w:r>
    </w:p>
    <w:p w14:paraId="71ACA4BD" w14:textId="77777777" w:rsidR="00A33F93" w:rsidRDefault="00A33F93" w:rsidP="00A33F93">
      <w:pPr>
        <w:pStyle w:val="Pagrindiniotekstotrauka2"/>
        <w:tabs>
          <w:tab w:val="left" w:pos="720"/>
          <w:tab w:val="left" w:pos="1077"/>
          <w:tab w:val="left" w:pos="1418"/>
        </w:tabs>
        <w:spacing w:line="240" w:lineRule="auto"/>
      </w:pPr>
      <w:r>
        <w:t>Komentaras</w:t>
      </w:r>
    </w:p>
    <w:p w14:paraId="0738E0DF" w14:textId="77777777" w:rsidR="009E0403" w:rsidRDefault="00A33F93" w:rsidP="009E0403">
      <w:pPr>
        <w:pStyle w:val="tajtip"/>
        <w:rPr>
          <w:iCs/>
        </w:rPr>
      </w:pPr>
      <w:r>
        <w:rPr>
          <w:iCs/>
        </w:rPr>
        <w:tab/>
        <w:t>Komentaras rengiama</w:t>
      </w:r>
      <w:r w:rsidR="009E0403">
        <w:rPr>
          <w:iCs/>
        </w:rPr>
        <w:t>s</w:t>
      </w:r>
    </w:p>
    <w:p w14:paraId="2C178861" w14:textId="77777777" w:rsidR="00CB71B2" w:rsidRDefault="00CB71B2" w:rsidP="009E0403">
      <w:pPr>
        <w:pStyle w:val="tajtip"/>
        <w:rPr>
          <w:iCs/>
        </w:rPr>
      </w:pPr>
    </w:p>
    <w:p w14:paraId="1DD7C203" w14:textId="77777777" w:rsidR="00CB71B2" w:rsidRPr="00CB71B2" w:rsidRDefault="00CB71B2" w:rsidP="009E0403">
      <w:pPr>
        <w:pStyle w:val="tajtip"/>
        <w:rPr>
          <w:b/>
          <w:iCs/>
        </w:rPr>
      </w:pPr>
      <w:r w:rsidRPr="00CB71B2">
        <w:rPr>
          <w:b/>
          <w:iCs/>
        </w:rPr>
        <w:t xml:space="preserve">Nuo </w:t>
      </w:r>
      <w:r w:rsidR="00EB4807">
        <w:rPr>
          <w:b/>
          <w:iCs/>
        </w:rPr>
        <w:t>2026 metų mokestinio laikotarpio</w:t>
      </w:r>
      <w:r w:rsidRPr="00CB71B2">
        <w:rPr>
          <w:b/>
          <w:iCs/>
        </w:rPr>
        <w:t xml:space="preserve"> galiojanti PMĮ  5 straipsnio redacija:</w:t>
      </w:r>
    </w:p>
    <w:p w14:paraId="793ABF95" w14:textId="77777777" w:rsidR="00E1190A" w:rsidRDefault="000D779E" w:rsidP="00C36238">
      <w:pPr>
        <w:pStyle w:val="Antrat1"/>
        <w:spacing w:after="0"/>
        <w:jc w:val="both"/>
        <w:rPr>
          <w:rFonts w:ascii="Times New Roman" w:hAnsi="Times New Roman" w:cs="Times New Roman"/>
          <w:bCs w:val="0"/>
          <w:lang w:val="lt-LT"/>
        </w:rPr>
      </w:pPr>
      <w:bookmarkStart w:id="53" w:name="_5_straipsnis._Mokesčio"/>
      <w:bookmarkEnd w:id="53"/>
      <w:r>
        <w:rPr>
          <w:rFonts w:ascii="Times New Roman" w:hAnsi="Times New Roman" w:cs="Times New Roman"/>
          <w:bCs w:val="0"/>
          <w:lang w:val="lt-LT"/>
        </w:rPr>
        <w:t xml:space="preserve">5 STRAIPSNIS. Mokesčio tarifai </w:t>
      </w:r>
    </w:p>
    <w:p w14:paraId="5DD4B6CE" w14:textId="77777777" w:rsidR="009E0403" w:rsidRDefault="006A21E0" w:rsidP="00BB302F">
      <w:pPr>
        <w:tabs>
          <w:tab w:val="left" w:pos="720"/>
          <w:tab w:val="left" w:pos="1077"/>
          <w:tab w:val="left" w:pos="1418"/>
        </w:tabs>
        <w:spacing w:after="0"/>
        <w:jc w:val="both"/>
        <w:rPr>
          <w:bCs/>
          <w:i/>
          <w:szCs w:val="20"/>
          <w:lang w:val="lt-LT"/>
        </w:rPr>
      </w:pPr>
      <w:r>
        <w:rPr>
          <w:bCs/>
          <w:i/>
          <w:szCs w:val="20"/>
          <w:lang w:val="lt-LT"/>
        </w:rPr>
        <w:tab/>
      </w:r>
      <w:r w:rsidR="00E1190A" w:rsidRPr="00C66211">
        <w:rPr>
          <w:bCs/>
          <w:i/>
          <w:szCs w:val="20"/>
          <w:lang w:val="lt-LT"/>
        </w:rPr>
        <w:t xml:space="preserve">(Pagal 2025 m. birželio 17 d. įstatymo Nr.  </w:t>
      </w:r>
      <w:r w:rsidR="00E1190A" w:rsidRPr="00C66211">
        <w:rPr>
          <w:i/>
        </w:rPr>
        <w:t>XV-285</w:t>
      </w:r>
      <w:r w:rsidR="00E1190A" w:rsidRPr="00C66211">
        <w:rPr>
          <w:bCs/>
          <w:i/>
          <w:szCs w:val="20"/>
          <w:lang w:val="lt-LT"/>
        </w:rPr>
        <w:t xml:space="preserve"> redakciją; taikoma apskaičiuojant 2026 metais prasidėjusio ir vėlesnių mokestinių laikotarpių apmokestinamąjį pelną)</w:t>
      </w:r>
    </w:p>
    <w:p w14:paraId="4475EA75" w14:textId="77777777" w:rsidR="00BB302F" w:rsidRDefault="00BB302F" w:rsidP="00BB302F">
      <w:pPr>
        <w:tabs>
          <w:tab w:val="left" w:pos="720"/>
          <w:tab w:val="left" w:pos="1077"/>
          <w:tab w:val="left" w:pos="1418"/>
        </w:tabs>
        <w:spacing w:after="0"/>
        <w:jc w:val="both"/>
        <w:rPr>
          <w:bCs/>
          <w:i/>
          <w:szCs w:val="20"/>
          <w:lang w:val="lt-LT"/>
        </w:rPr>
      </w:pPr>
    </w:p>
    <w:p w14:paraId="7AB05A60" w14:textId="77777777" w:rsidR="002F2037" w:rsidRPr="002F2037" w:rsidRDefault="002F2037" w:rsidP="00AE5D41">
      <w:pPr>
        <w:tabs>
          <w:tab w:val="left" w:pos="709"/>
        </w:tabs>
        <w:ind w:left="567" w:hanging="567"/>
        <w:jc w:val="both"/>
        <w:rPr>
          <w:b/>
        </w:rPr>
      </w:pPr>
      <w:r>
        <w:rPr>
          <w:b/>
        </w:rPr>
        <w:t xml:space="preserve">           1. Taikomi šie pelno mokesčio tarifai:</w:t>
      </w:r>
    </w:p>
    <w:p w14:paraId="5A8806D7" w14:textId="77777777" w:rsidR="00E372F1" w:rsidRPr="00017F09" w:rsidRDefault="00E372F1" w:rsidP="00DD4E26">
      <w:pPr>
        <w:spacing w:after="0"/>
        <w:ind w:firstLine="720"/>
        <w:jc w:val="both"/>
        <w:rPr>
          <w:b/>
          <w:lang w:val="lt-LT" w:eastAsia="lt-LT"/>
        </w:rPr>
      </w:pPr>
      <w:r w:rsidRPr="00017F09">
        <w:rPr>
          <w:b/>
          <w:lang w:val="lt-LT" w:eastAsia="lt-LT"/>
        </w:rPr>
        <w:lastRenderedPageBreak/>
        <w:t xml:space="preserve">1) Lietuvos vieneto, nuolatinių buveinių apmokestinamasis pelnas apmokestinamas taikant </w:t>
      </w:r>
      <w:r w:rsidRPr="00C66211">
        <w:rPr>
          <w:b/>
          <w:lang w:val="lt-LT" w:eastAsia="lt-LT"/>
        </w:rPr>
        <w:t>17</w:t>
      </w:r>
      <w:r>
        <w:rPr>
          <w:b/>
          <w:lang w:val="lt-LT" w:eastAsia="lt-LT"/>
        </w:rPr>
        <w:t xml:space="preserve"> </w:t>
      </w:r>
      <w:r w:rsidRPr="00C26FC4">
        <w:rPr>
          <w:b/>
          <w:lang w:val="lt-LT" w:eastAsia="lt-LT"/>
        </w:rPr>
        <w:t>p</w:t>
      </w:r>
      <w:r w:rsidRPr="00017F09">
        <w:rPr>
          <w:b/>
          <w:lang w:val="lt-LT" w:eastAsia="lt-LT"/>
        </w:rPr>
        <w:t xml:space="preserve">rocentų </w:t>
      </w:r>
      <w:bookmarkStart w:id="54" w:name="54z"/>
      <w:bookmarkEnd w:id="54"/>
      <w:r w:rsidRPr="00017F09">
        <w:rPr>
          <w:b/>
          <w:color w:val="000000"/>
          <w:lang w:val="lt-LT" w:eastAsia="lt-LT"/>
        </w:rPr>
        <w:t>mokesčio</w:t>
      </w:r>
      <w:r w:rsidRPr="00017F09">
        <w:rPr>
          <w:b/>
          <w:lang w:val="lt-LT" w:eastAsia="lt-LT"/>
        </w:rPr>
        <w:t xml:space="preserve"> tarifą, jeigu šis Įstatymas nenustato ko kita;</w:t>
      </w:r>
    </w:p>
    <w:p w14:paraId="2F7B4A96" w14:textId="77777777" w:rsidR="00E372F1" w:rsidRDefault="006A21E0" w:rsidP="00DD4E26">
      <w:pPr>
        <w:tabs>
          <w:tab w:val="left" w:pos="720"/>
          <w:tab w:val="left" w:pos="1077"/>
          <w:tab w:val="left" w:pos="1418"/>
        </w:tabs>
        <w:spacing w:after="0"/>
        <w:jc w:val="both"/>
        <w:rPr>
          <w:bCs/>
          <w:i/>
          <w:szCs w:val="20"/>
          <w:lang w:val="lt-LT"/>
        </w:rPr>
      </w:pPr>
      <w:r>
        <w:rPr>
          <w:bCs/>
          <w:i/>
          <w:szCs w:val="20"/>
          <w:lang w:val="lt-LT"/>
        </w:rPr>
        <w:tab/>
      </w:r>
      <w:r w:rsidR="00E372F1" w:rsidRPr="00C66211">
        <w:rPr>
          <w:bCs/>
          <w:i/>
          <w:szCs w:val="20"/>
          <w:lang w:val="lt-LT"/>
        </w:rPr>
        <w:t xml:space="preserve">(Pagal 2025 m. birželio 17 d. įstatymo Nr.  </w:t>
      </w:r>
      <w:r w:rsidR="00E372F1" w:rsidRPr="00C66211">
        <w:rPr>
          <w:i/>
        </w:rPr>
        <w:t>XV-285</w:t>
      </w:r>
      <w:r w:rsidR="00E372F1" w:rsidRPr="00C66211">
        <w:rPr>
          <w:bCs/>
          <w:i/>
          <w:szCs w:val="20"/>
          <w:lang w:val="lt-LT"/>
        </w:rPr>
        <w:t xml:space="preserve"> redakciją; taikoma apskaičiuojant 2026 metais prasidėjusio ir vėlesnių mokestinių laikotarpių apmokestinamąjį pelną)</w:t>
      </w:r>
    </w:p>
    <w:p w14:paraId="27E92639" w14:textId="77777777" w:rsidR="009E0403" w:rsidRPr="00F510E7" w:rsidRDefault="009E0403" w:rsidP="00DD4E26">
      <w:pPr>
        <w:tabs>
          <w:tab w:val="left" w:pos="720"/>
          <w:tab w:val="left" w:pos="1077"/>
          <w:tab w:val="left" w:pos="1418"/>
        </w:tabs>
        <w:spacing w:after="0"/>
        <w:jc w:val="both"/>
        <w:rPr>
          <w:bCs/>
          <w:i/>
          <w:szCs w:val="20"/>
          <w:lang w:val="lt-LT"/>
        </w:rPr>
      </w:pPr>
    </w:p>
    <w:p w14:paraId="366C285B" w14:textId="77777777" w:rsidR="00E961C7" w:rsidRPr="00AC3F9A" w:rsidRDefault="00AC3F9A" w:rsidP="00AC3F9A">
      <w:pPr>
        <w:tabs>
          <w:tab w:val="left" w:pos="720"/>
          <w:tab w:val="left" w:pos="1077"/>
          <w:tab w:val="left" w:pos="1134"/>
          <w:tab w:val="left" w:pos="1418"/>
        </w:tabs>
        <w:spacing w:after="0"/>
        <w:ind w:right="-85"/>
        <w:jc w:val="both"/>
        <w:rPr>
          <w:b/>
          <w:bCs/>
        </w:rPr>
      </w:pPr>
      <w:r w:rsidRPr="00AC3F9A">
        <w:rPr>
          <w:b/>
          <w:bCs/>
        </w:rPr>
        <w:tab/>
        <w:t>2</w:t>
      </w:r>
      <w:r>
        <w:rPr>
          <w:b/>
          <w:bCs/>
        </w:rPr>
        <w:t xml:space="preserve">) </w:t>
      </w:r>
      <w:r w:rsidR="00E372F1" w:rsidRPr="00AC3F9A">
        <w:rPr>
          <w:b/>
          <w:bCs/>
        </w:rPr>
        <w:t>užsienio vienetų pajamos, kurių šaltinis yra Lietuvos Respublikoje, gautos ne per jų nuolatines buveines Lietuvos Respublikoje, išvardytos šio Įstatymo 4 straipsnio 4 dalies 3 ir 5 punktuose, apmokestinamos be atskaitymų taikant 10 procentų mokesčio tarifą, o išvardytos šio Įstatymo 4 straipsnio 4 dalies 4, 6 ir 7 punktuose, - taikant 17 procentų mokesčio tarifą, jeigu šis Įstatymas nenustato ko kita. Užsienio vienetų, kurie yra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neapmokestinamos. Užsienio vienetų, kurie nėra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apmokestinamos be atskaitymų taikant 10 procentų mokesčio tarifą;</w:t>
      </w:r>
      <w:r w:rsidR="00E961C7" w:rsidRPr="00AC3F9A">
        <w:rPr>
          <w:b/>
          <w:bCs/>
        </w:rPr>
        <w:t xml:space="preserve"> </w:t>
      </w:r>
    </w:p>
    <w:p w14:paraId="6E55081E" w14:textId="77777777" w:rsidR="00493D7B" w:rsidRPr="00AC3F9A" w:rsidRDefault="003F4DE6" w:rsidP="00AC3F9A">
      <w:pPr>
        <w:tabs>
          <w:tab w:val="left" w:pos="720"/>
          <w:tab w:val="left" w:pos="1077"/>
          <w:tab w:val="left" w:pos="1134"/>
          <w:tab w:val="left" w:pos="1418"/>
        </w:tabs>
        <w:spacing w:after="0"/>
        <w:ind w:right="-85"/>
        <w:jc w:val="both"/>
        <w:rPr>
          <w:b/>
          <w:bCs/>
        </w:rPr>
      </w:pPr>
      <w:r>
        <w:rPr>
          <w:bCs/>
          <w:i/>
          <w:szCs w:val="20"/>
        </w:rPr>
        <w:tab/>
      </w:r>
      <w:r w:rsidR="00E372F1" w:rsidRPr="00AC3F9A">
        <w:rPr>
          <w:bCs/>
          <w:i/>
          <w:szCs w:val="20"/>
        </w:rPr>
        <w:t xml:space="preserve">(Pagal 2025 m. birželio 17 d. įstatymo Nr.  </w:t>
      </w:r>
      <w:r w:rsidR="00E372F1" w:rsidRPr="00AC3F9A">
        <w:rPr>
          <w:i/>
        </w:rPr>
        <w:t>XV-285</w:t>
      </w:r>
      <w:r w:rsidR="00E372F1" w:rsidRPr="00AC3F9A">
        <w:rPr>
          <w:bCs/>
          <w:i/>
          <w:szCs w:val="20"/>
        </w:rPr>
        <w:t xml:space="preserve"> redakciją; taikoma apskaičiuojant 2026 metais prasidėjusio ir vėlesnių mokestinių laikotarpių apmokestinamąjį pelną)</w:t>
      </w:r>
    </w:p>
    <w:p w14:paraId="4F2557AA" w14:textId="77777777" w:rsidR="001E2A5C" w:rsidRPr="00183317" w:rsidRDefault="001E2A5C" w:rsidP="00F32DE7">
      <w:pPr>
        <w:spacing w:before="160"/>
        <w:ind w:firstLine="720"/>
        <w:jc w:val="both"/>
        <w:rPr>
          <w:b/>
          <w:bCs/>
          <w:iCs/>
          <w:lang w:val="lt-LT"/>
        </w:rPr>
      </w:pPr>
      <w:r w:rsidRPr="00183317">
        <w:rPr>
          <w:b/>
          <w:bCs/>
          <w:iCs/>
          <w:lang w:val="lt-LT"/>
        </w:rPr>
        <w:t xml:space="preserve">Komentaras </w:t>
      </w:r>
    </w:p>
    <w:p w14:paraId="66A0FCD5" w14:textId="77777777" w:rsidR="00E372F1" w:rsidRDefault="00E372F1" w:rsidP="00DD4E26">
      <w:pPr>
        <w:spacing w:after="0"/>
        <w:ind w:right="-82" w:firstLine="720"/>
        <w:jc w:val="both"/>
        <w:rPr>
          <w:lang w:val="lt-LT"/>
        </w:rPr>
      </w:pPr>
      <w:r w:rsidRPr="00183317">
        <w:rPr>
          <w:bCs/>
          <w:iCs/>
          <w:lang w:val="lt-LT"/>
        </w:rPr>
        <w:t>1. Užsienio vieneto pajamos apmokestinamos prie pajamų šaltinio be atskaitymų (užsienio vienetas turi teisę kreiptis</w:t>
      </w:r>
      <w:r w:rsidRPr="00017F09">
        <w:rPr>
          <w:bCs/>
          <w:lang w:val="lt-LT"/>
        </w:rPr>
        <w:t xml:space="preserve"> į vietos mokesčio administratorių, kurio veiklos teritorijoje yra įregistruotas dėl apskaičiuoto ir sumokėto pelno mokesčio už Lietuvos Respublikoje vykdomą atlikėjų ir sporto veiklą ir (arba) parduotą ar kitaip perleistą nuosavybėn turtą perskaičiavimo. Žr. PMĮ 54 straipsnio komentarą) taikant </w:t>
      </w:r>
      <w:r w:rsidRPr="00C217B9">
        <w:rPr>
          <w:bCs/>
          <w:lang w:val="lt-LT"/>
        </w:rPr>
        <w:t xml:space="preserve">17 </w:t>
      </w:r>
      <w:r w:rsidRPr="00017F09">
        <w:rPr>
          <w:bCs/>
          <w:lang w:val="lt-LT"/>
        </w:rPr>
        <w:t xml:space="preserve">proc. mokesčio </w:t>
      </w:r>
      <w:r w:rsidRPr="00DF0C52">
        <w:rPr>
          <w:lang w:val="lt-LT"/>
        </w:rPr>
        <w:t xml:space="preserve">tarifą, jeigu: </w:t>
      </w:r>
    </w:p>
    <w:p w14:paraId="49105CAF" w14:textId="77777777" w:rsidR="00E372F1" w:rsidRPr="00E372F1" w:rsidRDefault="00E372F1" w:rsidP="00DD4E26">
      <w:pPr>
        <w:spacing w:after="0"/>
        <w:ind w:right="-82" w:firstLine="720"/>
        <w:jc w:val="both"/>
        <w:rPr>
          <w:lang w:val="lt-LT"/>
        </w:rPr>
      </w:pPr>
      <w:r w:rsidRPr="00DF0C52">
        <w:rPr>
          <w:lang w:val="lt-LT"/>
        </w:rPr>
        <w:t>- tokias pajamas jis gauna ne per</w:t>
      </w:r>
      <w:r w:rsidRPr="00017F09">
        <w:rPr>
          <w:bCs/>
          <w:lang w:val="lt-LT"/>
        </w:rPr>
        <w:t xml:space="preserve"> savo nuolatinę buveinę Lietuvos Respublikoje ir </w:t>
      </w:r>
    </w:p>
    <w:p w14:paraId="13C06F3B" w14:textId="77777777" w:rsidR="00AC3F9A" w:rsidRDefault="00E372F1" w:rsidP="00E961C7">
      <w:pPr>
        <w:tabs>
          <w:tab w:val="left" w:pos="72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85"/>
        <w:jc w:val="both"/>
        <w:rPr>
          <w:lang w:val="lt-LT" w:eastAsia="lt-LT"/>
        </w:rPr>
      </w:pPr>
      <w:r w:rsidRPr="00017F09">
        <w:rPr>
          <w:lang w:val="lt-LT"/>
        </w:rPr>
        <w:tab/>
        <w:t xml:space="preserve">- tokios pajamos yra išvardytos PMĮ 4 straipsnio 4 dalies 4, 6 ir 7 punktuose (t. y. pajamos už parduotą, kitokiu būdu perleistą nuosavybėn arba išnuomotą nekilnojamąjį pagal prigimtį daiktą, esantį Lietuvos Respublikos teritorijoje, </w:t>
      </w:r>
      <w:r w:rsidRPr="00017F09">
        <w:rPr>
          <w:lang w:val="lt-LT" w:eastAsia="lt-LT"/>
        </w:rPr>
        <w:t>pajamos už Lietuvos Respublikoje vykdomą atlikėjų ir sporto veiklą; metinės išmokos (tantjemos) už stebėtojų tarybos narių veiklą).</w:t>
      </w:r>
      <w:r w:rsidR="00E961C7">
        <w:rPr>
          <w:lang w:val="lt-LT" w:eastAsia="lt-LT"/>
        </w:rPr>
        <w:t xml:space="preserve"> </w:t>
      </w:r>
    </w:p>
    <w:p w14:paraId="5877F31D" w14:textId="77777777" w:rsidR="00CB71B2" w:rsidRDefault="00CB71B2" w:rsidP="00E961C7">
      <w:pPr>
        <w:tabs>
          <w:tab w:val="left" w:pos="72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right="-85"/>
        <w:jc w:val="both"/>
        <w:rPr>
          <w:lang w:val="lt-LT" w:eastAsia="lt-LT"/>
        </w:rPr>
      </w:pPr>
    </w:p>
    <w:p w14:paraId="0CB680B8" w14:textId="77777777" w:rsidR="00056918"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5074DCDF"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2. Užsienio vieneto pajamos apmokestinamos prie pajamų šaltinio be atskaitymų taikant 10 proc. mokesčio tarifą, jeigu:</w:t>
      </w:r>
    </w:p>
    <w:p w14:paraId="2E4A4289"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71E74E58" w14:textId="77777777" w:rsidR="00093845" w:rsidRDefault="000D779E" w:rsidP="00DD4E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85"/>
        <w:jc w:val="both"/>
      </w:pPr>
      <w:r>
        <w:tab/>
        <w:t xml:space="preserve">- tokios pajamos yra išvardytos PMĮ 4 straipsnio 4 dalies 3 ir 5 punktuose (t.y. </w:t>
      </w:r>
      <w:r>
        <w:rPr>
          <w:lang w:eastAsia="lt-LT"/>
        </w:rPr>
        <w:t>honorarai, kompensacijų už autorių arba gretutinių teisių pažeidimą pajamos</w:t>
      </w:r>
      <w:r>
        <w:t>).</w:t>
      </w:r>
    </w:p>
    <w:p w14:paraId="51B5783C"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3. Užsienio vieneto gaunamos palūkanos yra apmokestinamos prie pajamų šaltinio be atskaitymų taikant 10 proc. mokesčio tarifą, jeigu:</w:t>
      </w:r>
    </w:p>
    <w:p w14:paraId="39D26FC9"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591751A0"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 užsienio vienetas nėra įregistruotas ar kitaip organizuotas Europos ekonominės erdvės valstybėje arba valstybėje, su kuria sudaryta ir taikoma dvigubo apmokestinimo išvengimo sutartis.</w:t>
      </w:r>
    </w:p>
    <w:p w14:paraId="6EA35EA2" w14:textId="77777777" w:rsidR="00093845" w:rsidRDefault="000D779E" w:rsidP="00DD4E26">
      <w:pPr>
        <w:tabs>
          <w:tab w:val="left" w:pos="720"/>
          <w:tab w:val="left" w:pos="1077"/>
          <w:tab w:val="left" w:pos="1134"/>
          <w:tab w:val="left" w:pos="1418"/>
        </w:tabs>
        <w:spacing w:after="0"/>
        <w:ind w:right="-85" w:firstLine="720"/>
        <w:jc w:val="both"/>
        <w:rPr>
          <w:rFonts w:ascii="TimesLT" w:hAnsi="TimesLT" w:cs="Arial Unicode MS"/>
          <w:bCs/>
        </w:rPr>
      </w:pPr>
      <w:r>
        <w:rPr>
          <w:rFonts w:ascii="TimesLT" w:hAnsi="TimesLT" w:cs="Arial Unicode MS"/>
          <w:bCs/>
        </w:rPr>
        <w:t>4. Užsienio vieneto gaunamos palūkanos neapmokestinamos mokesčiu prie pajamų šaltinio, jeigu:</w:t>
      </w:r>
    </w:p>
    <w:p w14:paraId="0C726231"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B2DB6AA"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t>- užsienio vienetas yra įregistruotas ar kitaip organizuotas Europos ekonominės erdvės valstybėje arba valstybėje, su kuria sudaryta ir taikoma dvigubo apmokestinimo išvengimo sutartis.</w:t>
      </w:r>
    </w:p>
    <w:p w14:paraId="43C54876" w14:textId="77777777" w:rsidR="00093845"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bCs/>
        </w:rPr>
        <w:lastRenderedPageBreak/>
        <w:t xml:space="preserve">5. Tuo atveju, jei Lietuvos vienetas išmoka palūkanas Europos ekonominės erdvės valstybėse arba valstybėse, su kuriomis sudarytos ir taikomos dvigubo apmokestinimo išvengimo sutartys, įregistruotiems užsienio vienetams per jų rezidavimo šalyse įsisteigusius tarpininkus, t. y. bankus ar finansų maklerių įmones, tai toks vienetas gali neapmokestinti palūkanų tik tuo atveju, jei jis turi užsienio tarpininkų pateiktą sąrašą su atskleistais faktiškaisiais palūkanų savininkais bei turi aiškią, nedviprasmišką, su šias pajamas gaunančiais užsienio vienetais susijusią informaciją: užsienio vieneto (palūkanų gavėjo) pavadinimas, identifikacinis numeris, adresas, valstybė, kurioje šis vienetas yra registruotas ar kitaip organizuotas. Tuo atveju, jei Lietuvos vienetas išmoka palūkanas tarpininkui ir neturi įrodymų apie palūkanų gavėjus, tai toks vienetas nuo išmokamų palūkanų privalo išskaityti 10 proc. pelno mokestį bei jį sumokėti į biudžetą. </w:t>
      </w:r>
    </w:p>
    <w:p w14:paraId="0279B342" w14:textId="77777777" w:rsidR="00E372F1" w:rsidRDefault="000D779E" w:rsidP="00DD4E26">
      <w:pPr>
        <w:tabs>
          <w:tab w:val="left" w:pos="720"/>
          <w:tab w:val="left" w:pos="851"/>
          <w:tab w:val="left" w:pos="1134"/>
          <w:tab w:val="left" w:pos="1418"/>
        </w:tabs>
        <w:spacing w:after="0"/>
        <w:ind w:right="-85" w:firstLine="720"/>
        <w:jc w:val="both"/>
        <w:rPr>
          <w:rFonts w:ascii="TimesLT" w:hAnsi="TimesLT" w:cs="Arial Unicode MS"/>
          <w:bCs/>
        </w:rPr>
      </w:pPr>
      <w:r>
        <w:rPr>
          <w:rFonts w:ascii="TimesLT" w:hAnsi="TimesLT" w:cs="Arial Unicode MS"/>
        </w:rPr>
        <w:t>6. Vadovaujantis PMĮ 2 straipsnio 2 dalimi, užsienio vienetas - tai</w:t>
      </w:r>
      <w:r>
        <w:rPr>
          <w:rFonts w:ascii="TimesLT" w:hAnsi="TimesLT" w:cs="Arial Unicode MS"/>
          <w:lang w:eastAsia="lt-LT"/>
        </w:rPr>
        <w:t xml:space="preserve">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Todėl tuo</w:t>
      </w:r>
      <w:r>
        <w:rPr>
          <w:rFonts w:ascii="TimesLT" w:hAnsi="TimesLT" w:cs="Arial Unicode MS"/>
          <w:bCs/>
        </w:rPr>
        <w:t xml:space="preserve"> atveju, kai palūkanos mokamos užsienio vieneto nuolatinei buveinei, kuri yra Europos ekonominės erdvės valstybėje, arba valstybėje, su kuria sudaryta ir taikoma dvigubo apmokestinimo išvengimo sutartis, o toks užsienio vienetas yra įregistruotas ar kitaip organizuotas valstybėje, kuri nėra Europos ekonominės erdvės valstybė, ir su šia valstybe nėra sudaryta ir taikoma dvigubo apmokestinimo išvengimo sutartis, tokios palūkanos yra apmokestinamos prie pajamų šaltinio, taikant 10 proc. mokesčio tarifą.</w:t>
      </w:r>
    </w:p>
    <w:p w14:paraId="11DE9D08" w14:textId="77777777" w:rsidR="00F32DE7" w:rsidRPr="00F510E7" w:rsidRDefault="00F32DE7" w:rsidP="00DD4E26">
      <w:pPr>
        <w:tabs>
          <w:tab w:val="left" w:pos="720"/>
          <w:tab w:val="left" w:pos="851"/>
          <w:tab w:val="left" w:pos="1134"/>
          <w:tab w:val="left" w:pos="1418"/>
        </w:tabs>
        <w:spacing w:after="0"/>
        <w:ind w:right="-85" w:firstLine="720"/>
        <w:jc w:val="both"/>
        <w:rPr>
          <w:rFonts w:ascii="TimesLT" w:hAnsi="TimesLT" w:cs="Arial Unicode MS"/>
          <w:bCs/>
        </w:rPr>
      </w:pPr>
    </w:p>
    <w:p w14:paraId="243AFC46" w14:textId="77777777" w:rsidR="00E372F1" w:rsidRPr="00E35707" w:rsidRDefault="00E372F1" w:rsidP="00DD4E26">
      <w:pPr>
        <w:tabs>
          <w:tab w:val="left" w:pos="720"/>
          <w:tab w:val="left" w:pos="1077"/>
          <w:tab w:val="left" w:pos="1418"/>
          <w:tab w:val="left" w:pos="9356"/>
        </w:tabs>
        <w:spacing w:after="0"/>
        <w:jc w:val="both"/>
        <w:rPr>
          <w:b/>
        </w:rPr>
      </w:pPr>
      <w:r>
        <w:rPr>
          <w:rFonts w:ascii="TimesLT" w:hAnsi="TimesLT" w:cs="Arial Unicode MS"/>
          <w:b/>
        </w:rPr>
        <w:tab/>
      </w:r>
      <w:r w:rsidRPr="00E35707">
        <w:rPr>
          <w:b/>
        </w:rPr>
        <w:t>3</w:t>
      </w:r>
      <w:r w:rsidRPr="00E35707">
        <w:rPr>
          <w:b/>
          <w:lang w:val="lt-LT"/>
        </w:rPr>
        <w:t xml:space="preserve">) pajamos iš paskirstytojo pelno apmokestinamos taikant </w:t>
      </w:r>
      <w:r w:rsidRPr="00E52023">
        <w:rPr>
          <w:b/>
          <w:lang w:val="lt-LT"/>
        </w:rPr>
        <w:t>17</w:t>
      </w:r>
      <w:r w:rsidRPr="00E35707">
        <w:rPr>
          <w:b/>
          <w:lang w:val="lt-LT"/>
        </w:rPr>
        <w:t xml:space="preserve"> procentų mokesčio tarifą.</w:t>
      </w:r>
    </w:p>
    <w:p w14:paraId="05ECD509" w14:textId="77777777" w:rsidR="00F56688" w:rsidRPr="00705ABB" w:rsidRDefault="006A21E0" w:rsidP="00DD4E26">
      <w:pPr>
        <w:tabs>
          <w:tab w:val="left" w:pos="720"/>
          <w:tab w:val="left" w:pos="1077"/>
          <w:tab w:val="left" w:pos="1418"/>
        </w:tabs>
        <w:spacing w:after="0"/>
        <w:jc w:val="both"/>
        <w:rPr>
          <w:bCs/>
          <w:i/>
          <w:szCs w:val="20"/>
          <w:lang w:val="lt-LT"/>
        </w:rPr>
      </w:pPr>
      <w:r>
        <w:rPr>
          <w:b/>
          <w:bCs/>
          <w:i/>
          <w:szCs w:val="20"/>
          <w:lang w:val="lt-LT"/>
        </w:rPr>
        <w:tab/>
      </w:r>
      <w:r w:rsidR="00E372F1" w:rsidRPr="00017F09">
        <w:rPr>
          <w:b/>
          <w:bCs/>
          <w:i/>
          <w:szCs w:val="20"/>
          <w:lang w:val="lt-LT"/>
        </w:rPr>
        <w:t>(</w:t>
      </w:r>
      <w:r w:rsidR="00E372F1" w:rsidRPr="00E52023">
        <w:rPr>
          <w:bCs/>
          <w:i/>
          <w:szCs w:val="20"/>
          <w:lang w:val="lt-LT"/>
        </w:rPr>
        <w:t xml:space="preserve">Pagal 2025 m. birželio 17 d. įstatymo Nr.  </w:t>
      </w:r>
      <w:r w:rsidR="00E372F1" w:rsidRPr="00E52023">
        <w:rPr>
          <w:i/>
        </w:rPr>
        <w:t>XV-285</w:t>
      </w:r>
      <w:r w:rsidR="00E372F1" w:rsidRPr="00E52023">
        <w:rPr>
          <w:bCs/>
          <w:i/>
          <w:szCs w:val="20"/>
          <w:lang w:val="lt-LT"/>
        </w:rPr>
        <w:t xml:space="preserve"> redakciją; taikoma apskaičiuojant 2026 metais prasidėjusio ir vėlesnių mokestinių laikotarpių apmokestinamąjį pelną)</w:t>
      </w:r>
    </w:p>
    <w:p w14:paraId="69B5784F" w14:textId="77777777" w:rsidR="00F56688" w:rsidRDefault="00F56688" w:rsidP="00F32DE7">
      <w:pPr>
        <w:spacing w:before="160"/>
        <w:ind w:firstLine="720"/>
        <w:jc w:val="both"/>
        <w:rPr>
          <w:iCs/>
          <w:lang w:val="lt-LT"/>
        </w:rPr>
      </w:pPr>
      <w:r>
        <w:rPr>
          <w:b/>
          <w:bCs/>
          <w:iCs/>
          <w:lang w:val="lt-LT"/>
        </w:rPr>
        <w:t>Komentaras</w:t>
      </w:r>
    </w:p>
    <w:p w14:paraId="71D557D2" w14:textId="77777777" w:rsidR="00F56688" w:rsidRPr="0081358A" w:rsidRDefault="00F56688" w:rsidP="00DD4E26">
      <w:pPr>
        <w:spacing w:after="0"/>
        <w:ind w:right="-82" w:firstLine="720"/>
        <w:jc w:val="both"/>
        <w:rPr>
          <w:lang w:val="lt-LT"/>
        </w:rPr>
      </w:pPr>
      <w:r w:rsidRPr="0081358A">
        <w:rPr>
          <w:lang w:val="lt-LT"/>
        </w:rPr>
        <w:t>1. Pajamų iš paskirstytojo pelno apmokestinimo tvarka nustatyta PMĮ VII skyriuje ,,Dividendų ir kito paskirstytojo pelno apmokestinimo tvarka“ (žr. PMĮ 33-35 straipsnių komentarus).</w:t>
      </w:r>
    </w:p>
    <w:p w14:paraId="20970D6D" w14:textId="77777777" w:rsidR="0081358A" w:rsidRDefault="00F56688" w:rsidP="00DD4E26">
      <w:pPr>
        <w:spacing w:after="0"/>
        <w:ind w:right="-82" w:firstLine="720"/>
        <w:jc w:val="both"/>
        <w:rPr>
          <w:lang w:val="lt-LT"/>
        </w:rPr>
      </w:pPr>
      <w:r w:rsidRPr="0081358A">
        <w:rPr>
          <w:lang w:val="lt-LT"/>
        </w:rPr>
        <w:t>2. Iš paskirstytojo pelno gautos pajamos apmokestinamos 1</w:t>
      </w:r>
      <w:r w:rsidR="006A21E0">
        <w:rPr>
          <w:lang w:val="lt-LT"/>
        </w:rPr>
        <w:t>7</w:t>
      </w:r>
      <w:r w:rsidRPr="0081358A">
        <w:rPr>
          <w:lang w:val="lt-LT"/>
        </w:rPr>
        <w:t xml:space="preserve"> proc. pelno mokesčio tarifu, išskyrus tam tikras išimtis nustatytas PMĮ 33-35 straipsniuose.</w:t>
      </w:r>
    </w:p>
    <w:p w14:paraId="5DEAC512" w14:textId="77777777" w:rsidR="00CB71B2" w:rsidRDefault="00CB71B2" w:rsidP="00DD4E26">
      <w:pPr>
        <w:spacing w:after="0"/>
        <w:ind w:right="-82" w:firstLine="720"/>
        <w:jc w:val="both"/>
        <w:rPr>
          <w:lang w:val="lt-LT"/>
        </w:rPr>
      </w:pPr>
    </w:p>
    <w:p w14:paraId="12971F67"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4A9C806B" w14:textId="77777777" w:rsidR="005C1F9A" w:rsidRDefault="005C1F9A" w:rsidP="00DD4E26">
      <w:pPr>
        <w:spacing w:after="0"/>
        <w:ind w:right="-82" w:firstLine="720"/>
        <w:jc w:val="both"/>
        <w:rPr>
          <w:lang w:val="lt-LT"/>
        </w:rPr>
      </w:pPr>
    </w:p>
    <w:p w14:paraId="70F76614" w14:textId="77777777" w:rsidR="00F32DE7" w:rsidRDefault="00F32DE7" w:rsidP="00DD4E26">
      <w:pPr>
        <w:spacing w:after="0"/>
        <w:ind w:right="-82" w:firstLine="720"/>
        <w:jc w:val="both"/>
        <w:rPr>
          <w:lang w:val="lt-LT"/>
        </w:rPr>
      </w:pPr>
    </w:p>
    <w:p w14:paraId="5E140BF8" w14:textId="77777777" w:rsidR="00D2266A" w:rsidRPr="00183317" w:rsidRDefault="00D2266A" w:rsidP="00DD4E26">
      <w:pPr>
        <w:spacing w:after="0"/>
        <w:ind w:firstLine="720"/>
        <w:jc w:val="both"/>
        <w:rPr>
          <w:b/>
          <w:lang w:val="lt-LT"/>
        </w:rPr>
      </w:pPr>
      <w:r w:rsidRPr="00183317">
        <w:rPr>
          <w:b/>
          <w:lang w:val="lt-LT"/>
        </w:rPr>
        <w:t xml:space="preserve">4) gauta parama, panaudota ne pagal Lietuvos Respublikos labdaros ir paramos įstatyme nustatytą paramos paskirtį, taip pat iš vieno paramos teikėjo per mokestinį laikotarpį grynais pinigais gautos paramos dalis, viršijanti 250 MGL dydžio sumą, apmokestinama be atskaitymų, taikant </w:t>
      </w:r>
      <w:r w:rsidRPr="00E52023">
        <w:rPr>
          <w:b/>
          <w:lang w:val="lt-LT"/>
        </w:rPr>
        <w:t>17</w:t>
      </w:r>
      <w:r>
        <w:rPr>
          <w:b/>
          <w:lang w:val="lt-LT"/>
        </w:rPr>
        <w:t xml:space="preserve"> </w:t>
      </w:r>
      <w:r w:rsidRPr="00183317">
        <w:rPr>
          <w:b/>
          <w:lang w:val="lt-LT"/>
        </w:rPr>
        <w:t>procentų mokesčio tarifą.</w:t>
      </w:r>
    </w:p>
    <w:p w14:paraId="421C08ED" w14:textId="77777777" w:rsidR="00D2266A" w:rsidRPr="00705ABB" w:rsidRDefault="006A21E0" w:rsidP="00DD4E26">
      <w:pPr>
        <w:tabs>
          <w:tab w:val="left" w:pos="720"/>
          <w:tab w:val="left" w:pos="1077"/>
          <w:tab w:val="left" w:pos="1418"/>
        </w:tabs>
        <w:spacing w:after="0"/>
        <w:jc w:val="both"/>
        <w:rPr>
          <w:bCs/>
          <w:i/>
          <w:szCs w:val="20"/>
          <w:lang w:val="lt-LT"/>
        </w:rPr>
      </w:pPr>
      <w:r>
        <w:rPr>
          <w:bCs/>
          <w:i/>
          <w:szCs w:val="20"/>
          <w:lang w:val="lt-LT"/>
        </w:rPr>
        <w:tab/>
      </w:r>
      <w:r w:rsidR="00D2266A" w:rsidRPr="00E52023">
        <w:rPr>
          <w:bCs/>
          <w:i/>
          <w:szCs w:val="20"/>
          <w:lang w:val="lt-LT"/>
        </w:rPr>
        <w:t xml:space="preserve">(Pagal 2025 m. birželio 17 d. įstatymo Nr.  </w:t>
      </w:r>
      <w:r w:rsidR="00D2266A" w:rsidRPr="00E52023">
        <w:rPr>
          <w:i/>
        </w:rPr>
        <w:t>XV-285</w:t>
      </w:r>
      <w:r w:rsidR="00D2266A" w:rsidRPr="00E52023">
        <w:rPr>
          <w:bCs/>
          <w:i/>
          <w:szCs w:val="20"/>
          <w:lang w:val="lt-LT"/>
        </w:rPr>
        <w:t xml:space="preserve"> redakciją; taikoma apskaičiuojant 2026 metais prasidėjusio ir vėlesnių mokestinių laikotarpių apmokestinamąjį pelną)</w:t>
      </w:r>
    </w:p>
    <w:p w14:paraId="488F5226" w14:textId="77777777" w:rsidR="00EC4AE3" w:rsidRDefault="00EC4AE3" w:rsidP="00F32DE7">
      <w:pPr>
        <w:spacing w:before="160"/>
        <w:ind w:firstLine="720"/>
        <w:jc w:val="both"/>
        <w:rPr>
          <w:b/>
          <w:bCs/>
          <w:iCs/>
          <w:lang w:val="lt-LT"/>
        </w:rPr>
      </w:pPr>
      <w:r>
        <w:rPr>
          <w:b/>
          <w:bCs/>
          <w:iCs/>
          <w:lang w:val="lt-LT"/>
        </w:rPr>
        <w:t>Komentaras</w:t>
      </w:r>
    </w:p>
    <w:p w14:paraId="3D4F64C8" w14:textId="77777777" w:rsidR="00D2266A" w:rsidRPr="002B3757" w:rsidRDefault="00D2266A" w:rsidP="00DD4E26">
      <w:pPr>
        <w:spacing w:after="0"/>
        <w:ind w:right="-82" w:firstLine="720"/>
        <w:jc w:val="both"/>
        <w:rPr>
          <w:lang w:val="lt-LT"/>
        </w:rPr>
      </w:pPr>
      <w:r w:rsidRPr="002B3757">
        <w:rPr>
          <w:lang w:val="lt-LT"/>
        </w:rPr>
        <w:t xml:space="preserve">Pagal PMĮ 4 straipsnio 6 dalį pelno mokesčio mokestinei bazei (pajamoms) priskirtos sumos (panaudotos ne pagal Lietuvos Respublikos labdaros ir paramos įstatyme nustatytą paramos paskirtį, taip pat iš vieno paramos teikėjo per mokestinį laikotarpį grynais pinigais gautos paramos dalis, viršijanti 250 MGL dydžio sumą) </w:t>
      </w:r>
      <w:r w:rsidRPr="002B3757">
        <w:rPr>
          <w:bCs/>
          <w:lang w:val="lt-LT"/>
        </w:rPr>
        <w:t>apmokestinama be atskaitymų</w:t>
      </w:r>
      <w:r w:rsidRPr="002B3757">
        <w:rPr>
          <w:lang w:val="lt-LT"/>
        </w:rPr>
        <w:t>, taikant</w:t>
      </w:r>
      <w:r>
        <w:rPr>
          <w:lang w:val="lt-LT"/>
        </w:rPr>
        <w:t xml:space="preserve"> </w:t>
      </w:r>
      <w:r w:rsidRPr="00E52023">
        <w:rPr>
          <w:lang w:val="lt-LT"/>
        </w:rPr>
        <w:t xml:space="preserve">17 </w:t>
      </w:r>
      <w:r w:rsidRPr="002B3757">
        <w:rPr>
          <w:lang w:val="lt-LT"/>
        </w:rPr>
        <w:t>proc. pelno mokesčio tarifą.</w:t>
      </w:r>
      <w:r>
        <w:rPr>
          <w:lang w:val="lt-LT"/>
        </w:rPr>
        <w:t xml:space="preserve">    </w:t>
      </w:r>
    </w:p>
    <w:p w14:paraId="29DA127E" w14:textId="77777777" w:rsidR="00BB302F" w:rsidRDefault="00BB302F" w:rsidP="00DD4E26">
      <w:pPr>
        <w:spacing w:after="0"/>
        <w:ind w:right="-82" w:firstLine="720"/>
        <w:jc w:val="both"/>
        <w:rPr>
          <w:lang w:val="lt-LT"/>
        </w:rPr>
      </w:pPr>
    </w:p>
    <w:p w14:paraId="2E042A57" w14:textId="77777777" w:rsidR="00D2266A" w:rsidRPr="00390E3E" w:rsidRDefault="00D2266A" w:rsidP="00DD4E26">
      <w:pPr>
        <w:spacing w:after="0"/>
        <w:ind w:right="-82" w:firstLine="720"/>
        <w:jc w:val="both"/>
        <w:rPr>
          <w:lang w:val="lt-LT"/>
        </w:rPr>
      </w:pPr>
      <w:r w:rsidRPr="00390E3E">
        <w:rPr>
          <w:lang w:val="lt-LT"/>
        </w:rPr>
        <w:t>Pavyzdys</w:t>
      </w:r>
      <w:r>
        <w:rPr>
          <w:lang w:val="lt-LT"/>
        </w:rPr>
        <w:t xml:space="preserve">     </w:t>
      </w:r>
    </w:p>
    <w:p w14:paraId="70D918C7" w14:textId="77777777" w:rsidR="00B2244C" w:rsidRPr="00CA6988" w:rsidRDefault="00D2266A" w:rsidP="00DD4E26">
      <w:pPr>
        <w:pBdr>
          <w:top w:val="single" w:sz="4" w:space="0" w:color="auto"/>
          <w:left w:val="single" w:sz="4" w:space="0" w:color="auto"/>
          <w:bottom w:val="single" w:sz="4" w:space="1" w:color="auto"/>
          <w:right w:val="single" w:sz="4" w:space="0" w:color="auto"/>
        </w:pBdr>
        <w:spacing w:after="0"/>
        <w:ind w:right="-82" w:firstLine="720"/>
        <w:jc w:val="both"/>
        <w:rPr>
          <w:lang w:val="lt-LT"/>
        </w:rPr>
      </w:pPr>
      <w:r w:rsidRPr="00E52023">
        <w:rPr>
          <w:lang w:val="lt-LT"/>
        </w:rPr>
        <w:t>Viešoji įstaiga iš akcinės bendrovės X per mokestinį laikotarpį grynais pinigais gavo 19 500 Eur paramą. 2026 metų 250 MGL</w:t>
      </w:r>
      <w:r w:rsidRPr="00E52023">
        <w:rPr>
          <w:szCs w:val="20"/>
          <w:lang w:val="lt-LT"/>
        </w:rPr>
        <w:t xml:space="preserve"> (</w:t>
      </w:r>
      <w:r w:rsidRPr="00E52023">
        <w:rPr>
          <w:lang w:val="lt-LT"/>
        </w:rPr>
        <w:t>bazinė socialinė išmoka)</w:t>
      </w:r>
      <w:r w:rsidRPr="00E52023">
        <w:rPr>
          <w:szCs w:val="20"/>
          <w:lang w:val="lt-LT"/>
        </w:rPr>
        <w:t xml:space="preserve"> </w:t>
      </w:r>
      <w:r w:rsidRPr="00E52023">
        <w:rPr>
          <w:lang w:val="lt-LT"/>
        </w:rPr>
        <w:t xml:space="preserve">yra 17 500 Eur (70 Eur x 250). Gautą </w:t>
      </w:r>
      <w:r w:rsidRPr="00E52023">
        <w:rPr>
          <w:lang w:val="lt-LT"/>
        </w:rPr>
        <w:lastRenderedPageBreak/>
        <w:t xml:space="preserve">paramą viešoji įstaiga panaudojo savo įstatuose numatytai veiklai vykdyti. Vadovaujantis PMĮ 5 str. 1 dalies 4 punktu, visa 250 MGL dydžio sumą viršijanti grynais pinigais gautos paramos dalis, t. y.     2 000 Eur (19 500 Eur – 17 500 Eur), priskiriama pelno mokesčio bazei, neatsižvelgiant į gautos paramos panaudojimą. Todėl viešoji įstaiga nuo mokesčio bazei (pajamoms) priskirtų 2 000 Eur privalo apskaičiuoti ir sumokėti  340 Eur (2 000 Eur x 17 proc.) pelno mokestį.   </w:t>
      </w:r>
      <w:bookmarkStart w:id="55" w:name="_Hlk202429243"/>
    </w:p>
    <w:bookmarkEnd w:id="55"/>
    <w:p w14:paraId="53988DF1" w14:textId="77777777" w:rsidR="00CB71B2" w:rsidRDefault="00CB71B2" w:rsidP="005C1F9A">
      <w:pPr>
        <w:rPr>
          <w:lang w:val="lt-LT"/>
        </w:rPr>
      </w:pPr>
    </w:p>
    <w:p w14:paraId="1E8A35F0" w14:textId="77777777" w:rsidR="005C1F9A" w:rsidRPr="00CB71B2" w:rsidRDefault="005C1F9A" w:rsidP="005C1F9A">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3743F46E" w14:textId="77777777" w:rsidR="00BB302F" w:rsidRPr="00BB302F" w:rsidRDefault="00BB302F" w:rsidP="00BB302F">
      <w:pPr>
        <w:pStyle w:val="Sraopastraipa"/>
        <w:spacing w:after="0"/>
        <w:ind w:left="0"/>
        <w:jc w:val="both"/>
        <w:rPr>
          <w:b/>
          <w:bCs/>
          <w:sz w:val="22"/>
          <w:szCs w:val="22"/>
        </w:rPr>
      </w:pPr>
    </w:p>
    <w:p w14:paraId="4504FB4C" w14:textId="77777777" w:rsidR="00CA6988" w:rsidRPr="002F2037" w:rsidRDefault="00AC3F9A" w:rsidP="00AC3F9A">
      <w:pPr>
        <w:tabs>
          <w:tab w:val="left" w:pos="709"/>
        </w:tabs>
        <w:spacing w:after="0"/>
        <w:jc w:val="both"/>
        <w:rPr>
          <w:b/>
          <w:bCs/>
          <w:sz w:val="22"/>
          <w:szCs w:val="22"/>
        </w:rPr>
      </w:pPr>
      <w:r>
        <w:rPr>
          <w:b/>
          <w:bCs/>
        </w:rPr>
        <w:tab/>
      </w:r>
      <w:r w:rsidR="002F2037">
        <w:rPr>
          <w:b/>
          <w:bCs/>
        </w:rPr>
        <w:t xml:space="preserve">2. </w:t>
      </w:r>
      <w:r w:rsidR="00B2244C" w:rsidRPr="002F2037">
        <w:rPr>
          <w:b/>
          <w:bCs/>
        </w:rPr>
        <w:t xml:space="preserve">Vienetų, kuriuose mokestinio laikotarpio pajamos neviršija 300 000 eurų, pirmojo ir antrojo mokestinių laikotarpių apmokestinamasis pelnas apmokestinamas taikant 0 procentų mokesčio tarifą, kitų mokestinių laikotarpių apmokestinamasis pelnas – taikant 7  procentų mokesčio tarifą, išskyrus šio straipsnio 3 dalyje nustatytus atvejus. Šioje dalyje nustatytas 0 procentų mokesčio tarifas taikomas tik tokiam vienetui, kurio dalyvis (dalyviai) yra fizinis asmuo (fiziniai asmenys), ir tik tuo atveju, kai per tris vienas po kito einančius mokestinius laikotarpius, įskaitant pirmąjį </w:t>
      </w:r>
      <w:r w:rsidR="00B2244C" w:rsidRPr="002F2037">
        <w:rPr>
          <w:b/>
          <w:bCs/>
          <w:color w:val="000000"/>
        </w:rPr>
        <w:t>ir antrąjį</w:t>
      </w:r>
      <w:r w:rsidR="00B2244C" w:rsidRPr="002F2037">
        <w:rPr>
          <w:color w:val="000000"/>
        </w:rPr>
        <w:t> </w:t>
      </w:r>
      <w:r w:rsidR="00B2244C" w:rsidRPr="002F2037">
        <w:rPr>
          <w:b/>
          <w:bCs/>
        </w:rPr>
        <w:t xml:space="preserve"> </w:t>
      </w:r>
      <w:r w:rsidR="00B2244C" w:rsidRPr="002F2037">
        <w:rPr>
          <w:b/>
          <w:bCs/>
          <w:color w:val="000000"/>
        </w:rPr>
        <w:t>mokestinius laikotarpius</w:t>
      </w:r>
      <w:r w:rsidR="00B2244C" w:rsidRPr="002F2037">
        <w:rPr>
          <w:b/>
          <w:bCs/>
        </w:rPr>
        <w:t>: vieneto veikla nėra sustabdoma, vienetas nėra likviduojamas, reorganizuojamas ir vieneto akcijos (dalys, pajai) nėra perleidžiamos naujiems dalyviams.</w:t>
      </w:r>
    </w:p>
    <w:p w14:paraId="6B297C8E" w14:textId="77777777" w:rsidR="00B2244C" w:rsidRPr="00CA6988" w:rsidRDefault="00B2244C" w:rsidP="003F4DE6">
      <w:pPr>
        <w:pStyle w:val="Sraopastraipa"/>
        <w:spacing w:after="0"/>
        <w:ind w:left="0" w:firstLine="720"/>
        <w:jc w:val="both"/>
        <w:rPr>
          <w:b/>
          <w:bCs/>
          <w:sz w:val="22"/>
          <w:szCs w:val="22"/>
        </w:rPr>
      </w:pPr>
      <w:r w:rsidRPr="00CA6988">
        <w:rPr>
          <w:bCs/>
          <w:i/>
          <w:szCs w:val="20"/>
        </w:rPr>
        <w:t xml:space="preserve">(Pagal 2025 m. birželio 17 d. įstatymo Nr.  </w:t>
      </w:r>
      <w:r w:rsidRPr="00CA6988">
        <w:rPr>
          <w:i/>
        </w:rPr>
        <w:t>XV-285</w:t>
      </w:r>
      <w:r w:rsidRPr="00CA6988">
        <w:rPr>
          <w:bCs/>
          <w:i/>
          <w:szCs w:val="20"/>
        </w:rPr>
        <w:t xml:space="preserve"> redakciją; taikoma apskaičiuojant 2026 metais prasidėjusio ir vėlesnių mokestinių laikotarpių apmokestinamąjį pelną)</w:t>
      </w:r>
    </w:p>
    <w:p w14:paraId="319C4DA5" w14:textId="77777777" w:rsidR="008C104A" w:rsidRPr="00550091" w:rsidRDefault="008C104A" w:rsidP="00F32DE7">
      <w:pPr>
        <w:spacing w:before="160"/>
        <w:ind w:firstLine="720"/>
        <w:jc w:val="both"/>
        <w:rPr>
          <w:b/>
          <w:bCs/>
          <w:iCs/>
          <w:lang w:val="lt-LT"/>
        </w:rPr>
      </w:pPr>
      <w:r w:rsidRPr="00550091">
        <w:rPr>
          <w:b/>
          <w:bCs/>
          <w:iCs/>
          <w:lang w:val="lt-LT"/>
        </w:rPr>
        <w:t xml:space="preserve">Komentaras </w:t>
      </w:r>
    </w:p>
    <w:p w14:paraId="545B88BC" w14:textId="77777777" w:rsidR="00B2244C" w:rsidRPr="00550091" w:rsidRDefault="00B2244C" w:rsidP="00DD4E26">
      <w:pPr>
        <w:spacing w:after="0"/>
        <w:ind w:right="-82" w:firstLine="720"/>
        <w:jc w:val="both"/>
        <w:rPr>
          <w:lang w:val="lt-LT"/>
        </w:rPr>
      </w:pPr>
      <w:r w:rsidRPr="00550091">
        <w:rPr>
          <w:bCs/>
          <w:iCs/>
          <w:lang w:val="lt-LT"/>
        </w:rPr>
        <w:t xml:space="preserve">1. </w:t>
      </w:r>
      <w:r w:rsidRPr="00FB3B14">
        <w:rPr>
          <w:bCs/>
          <w:iCs/>
          <w:lang w:val="lt-LT"/>
        </w:rPr>
        <w:t>Apmokestinti</w:t>
      </w:r>
      <w:r w:rsidRPr="00FB3B14">
        <w:rPr>
          <w:lang w:val="lt-LT"/>
        </w:rPr>
        <w:t xml:space="preserve"> apmokestinamąjį pelną 7  proc. mokesčio tarifu vienetai gali tuo atveju, jei tie vienetai atitinka 2 sąlygas:</w:t>
      </w:r>
    </w:p>
    <w:p w14:paraId="56996D50" w14:textId="77777777" w:rsidR="00B2244C" w:rsidRPr="00550091" w:rsidRDefault="00B2244C" w:rsidP="00DD4E26">
      <w:pPr>
        <w:spacing w:after="0"/>
        <w:ind w:firstLine="709"/>
        <w:jc w:val="both"/>
        <w:rPr>
          <w:lang w:val="lt-LT"/>
        </w:rPr>
      </w:pPr>
      <w:r w:rsidRPr="00FB3B14">
        <w:rPr>
          <w:lang w:val="lt-LT"/>
        </w:rPr>
        <w:t>1)</w:t>
      </w:r>
      <w:r>
        <w:rPr>
          <w:lang w:val="lt-LT"/>
        </w:rPr>
        <w:t xml:space="preserve"> </w:t>
      </w:r>
      <w:r w:rsidRPr="00550091">
        <w:rPr>
          <w:lang w:val="lt-LT"/>
        </w:rPr>
        <w:t>mokestinio laikotarpio pajamos ne didesnės kaip 300 000 Eur;</w:t>
      </w:r>
    </w:p>
    <w:p w14:paraId="570367CF" w14:textId="77777777" w:rsidR="00AC3F9A" w:rsidRDefault="00B2244C" w:rsidP="00AC3F9A">
      <w:pPr>
        <w:spacing w:after="0"/>
        <w:ind w:right="26" w:firstLine="709"/>
        <w:jc w:val="both"/>
        <w:rPr>
          <w:lang w:val="lt-LT"/>
        </w:rPr>
      </w:pPr>
      <w:r w:rsidRPr="00FB3B14">
        <w:rPr>
          <w:lang w:val="lt-LT"/>
        </w:rPr>
        <w:t>2)</w:t>
      </w:r>
      <w:r>
        <w:rPr>
          <w:lang w:val="lt-LT"/>
        </w:rPr>
        <w:t xml:space="preserve"> </w:t>
      </w:r>
      <w:r w:rsidRPr="00550091">
        <w:rPr>
          <w:lang w:val="lt-LT"/>
        </w:rPr>
        <w:t xml:space="preserve">vienetas neatitinka </w:t>
      </w:r>
      <w:hyperlink r:id="rId40" w:history="1">
        <w:r w:rsidRPr="00550091">
          <w:rPr>
            <w:rStyle w:val="Hipersaitas"/>
            <w:lang w:val="lt-LT"/>
          </w:rPr>
          <w:t>PMĮ</w:t>
        </w:r>
      </w:hyperlink>
      <w:r w:rsidRPr="00550091">
        <w:rPr>
          <w:lang w:val="lt-LT"/>
        </w:rPr>
        <w:t xml:space="preserve"> 5 str. 3 dalyje nustatytų sąlygų (žr. PMĮ 5 str. 3 dalies komentarą).</w:t>
      </w:r>
    </w:p>
    <w:p w14:paraId="38B2508F" w14:textId="77777777" w:rsidR="00AE5D41" w:rsidRDefault="00AE5D41" w:rsidP="00AE5D41">
      <w:pPr>
        <w:spacing w:after="0"/>
        <w:ind w:right="26" w:firstLine="709"/>
        <w:jc w:val="both"/>
        <w:rPr>
          <w:lang w:val="lt-LT"/>
        </w:rPr>
      </w:pPr>
    </w:p>
    <w:p w14:paraId="2BC9480E" w14:textId="77777777" w:rsidR="00B2244C" w:rsidRDefault="00B2244C" w:rsidP="00DD4E26">
      <w:pPr>
        <w:spacing w:after="0"/>
        <w:ind w:firstLine="709"/>
        <w:jc w:val="both"/>
        <w:rPr>
          <w:lang w:val="lt-LT"/>
        </w:rPr>
      </w:pPr>
      <w:r w:rsidRPr="00D95413">
        <w:rPr>
          <w:lang w:val="lt-LT"/>
        </w:rPr>
        <w:t>1 pavyzdys</w:t>
      </w:r>
    </w:p>
    <w:p w14:paraId="63DE0D36" w14:textId="77777777" w:rsidR="00AE5D41" w:rsidRPr="00D95413" w:rsidRDefault="00AE5D41" w:rsidP="00DD4E26">
      <w:pPr>
        <w:spacing w:after="0"/>
        <w:ind w:firstLine="709"/>
        <w:jc w:val="both"/>
        <w:rPr>
          <w:lang w:val="lt-LT"/>
        </w:rPr>
      </w:pPr>
    </w:p>
    <w:p w14:paraId="58ADBF6F"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u w:val="single"/>
          <w:lang w:val="lt-LT"/>
        </w:rPr>
        <w:t>Pastaba</w:t>
      </w:r>
      <w:r w:rsidRPr="00D77E08">
        <w:rPr>
          <w:lang w:val="lt-LT"/>
        </w:rPr>
        <w:t xml:space="preserve">. Pavyzdyje mokestinis laikotarpis sutampa su kalendoriniais metais. </w:t>
      </w:r>
    </w:p>
    <w:p w14:paraId="1C95F7F8"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J. Jonaičio individualios įmonės 2026 metų rodikliai atitinka PMĮ 5 straipsnio 2 dalyje nustatytas sąlygas:</w:t>
      </w:r>
    </w:p>
    <w:p w14:paraId="40569520"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xml:space="preserve">- įmonės mokestinio laikotarpio pajamos – 250 000 Eur (neviršija 300 000 Eur), </w:t>
      </w:r>
    </w:p>
    <w:p w14:paraId="54A3B0A9" w14:textId="77777777" w:rsidR="00B2244C" w:rsidRPr="00D77E08"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 įmonė neatitinka PMĮ 5 str. 3 dalyje nustatytų sąlygų.</w:t>
      </w:r>
    </w:p>
    <w:p w14:paraId="26BD1A8A" w14:textId="77777777" w:rsidR="00B2244C" w:rsidRDefault="00B2244C" w:rsidP="00DD4E26">
      <w:pPr>
        <w:pBdr>
          <w:top w:val="single" w:sz="4" w:space="1" w:color="auto"/>
          <w:left w:val="single" w:sz="4" w:space="4" w:color="auto"/>
          <w:bottom w:val="single" w:sz="4" w:space="1" w:color="auto"/>
          <w:right w:val="single" w:sz="4" w:space="4" w:color="auto"/>
        </w:pBdr>
        <w:spacing w:after="0"/>
        <w:ind w:firstLine="709"/>
        <w:jc w:val="both"/>
        <w:rPr>
          <w:lang w:val="lt-LT"/>
        </w:rPr>
      </w:pPr>
      <w:r w:rsidRPr="00D77E08">
        <w:rPr>
          <w:lang w:val="lt-LT"/>
        </w:rPr>
        <w:t>Atsižvelgiant į tai, kad J. Jonaičio individuali įmonė atitinka visas 5 str. 2 dalyje nustatytas 2 sąlygas, todėl ši įmonė gali 2026 metų apmokestinamąjį pelną apmokestinti 7 proc. pelno mokesčio tarifu.</w:t>
      </w:r>
    </w:p>
    <w:p w14:paraId="3FAFDD20" w14:textId="77777777" w:rsidR="00AC3F9A" w:rsidRDefault="00AC3F9A" w:rsidP="00DD4E26">
      <w:pPr>
        <w:pBdr>
          <w:top w:val="single" w:sz="4" w:space="1" w:color="auto"/>
          <w:left w:val="single" w:sz="4" w:space="4" w:color="auto"/>
          <w:bottom w:val="single" w:sz="4" w:space="1" w:color="auto"/>
          <w:right w:val="single" w:sz="4" w:space="4" w:color="auto"/>
        </w:pBdr>
        <w:spacing w:after="0"/>
        <w:ind w:firstLine="709"/>
        <w:jc w:val="both"/>
        <w:rPr>
          <w:lang w:val="lt-LT"/>
        </w:rPr>
      </w:pPr>
    </w:p>
    <w:p w14:paraId="58C2E8EB" w14:textId="77777777" w:rsidR="00CB71B2" w:rsidRDefault="00CB71B2" w:rsidP="00CB71B2">
      <w:pPr>
        <w:rPr>
          <w:color w:val="FF0000"/>
          <w:lang w:val="lt-LT"/>
        </w:rPr>
      </w:pPr>
    </w:p>
    <w:p w14:paraId="486E6679" w14:textId="77777777" w:rsidR="00CB71B2" w:rsidRPr="00CB71B2" w:rsidRDefault="00CB71B2" w:rsidP="00CB71B2">
      <w:r w:rsidRPr="00CB71B2">
        <w:rPr>
          <w:lang w:val="lt-LT"/>
        </w:rPr>
        <w:t xml:space="preserve">(Pakeista pagal VMI prie FM </w:t>
      </w:r>
      <w:r w:rsidRPr="00CB71B2">
        <w:t>2025-09-22</w:t>
      </w:r>
      <w:r w:rsidR="00FE3B22">
        <w:t xml:space="preserve"> </w:t>
      </w:r>
      <w:r w:rsidRPr="00CB71B2">
        <w:t xml:space="preserve"> </w:t>
      </w:r>
      <w:r w:rsidRPr="00CB71B2">
        <w:rPr>
          <w:lang w:val="lt-LT"/>
        </w:rPr>
        <w:t xml:space="preserve">raštą Nr. </w:t>
      </w:r>
      <w:r w:rsidRPr="00CB71B2">
        <w:t>(18.10-31-1 Mr)  R-3583)</w:t>
      </w:r>
    </w:p>
    <w:p w14:paraId="4E5E0766" w14:textId="77777777" w:rsidR="00B2244C" w:rsidRPr="00D95413" w:rsidRDefault="00B2244C" w:rsidP="00DD4E26">
      <w:pPr>
        <w:spacing w:after="0"/>
        <w:ind w:firstLine="709"/>
        <w:jc w:val="both"/>
        <w:rPr>
          <w:lang w:val="lt-LT"/>
        </w:rPr>
      </w:pPr>
      <w:r w:rsidRPr="00D77E08">
        <w:rPr>
          <w:lang w:val="lt-LT"/>
        </w:rPr>
        <w:t>2.</w:t>
      </w:r>
      <w:r w:rsidRPr="00D95413">
        <w:rPr>
          <w:lang w:val="lt-LT"/>
        </w:rPr>
        <w:t xml:space="preserve"> PMĮ 5 straipsnio 2 dalies nuostatos taikomos ir žemės ūkio veiklą vykdantiems vienetams, jeigu negali būti taikomos PMĮ 5 str. 6 dalies nuostatos. </w:t>
      </w:r>
    </w:p>
    <w:p w14:paraId="084EACEC" w14:textId="77777777" w:rsidR="00B2244C" w:rsidRPr="00D95413" w:rsidRDefault="00B2244C" w:rsidP="00DD4E26">
      <w:pPr>
        <w:spacing w:after="0"/>
        <w:ind w:firstLine="709"/>
        <w:jc w:val="both"/>
        <w:rPr>
          <w:color w:val="000000"/>
          <w:lang w:val="lt-LT"/>
        </w:rPr>
      </w:pPr>
      <w:r w:rsidRPr="00D77E08">
        <w:rPr>
          <w:lang w:val="lt-LT"/>
        </w:rPr>
        <w:t>3.</w:t>
      </w:r>
      <w:r>
        <w:rPr>
          <w:lang w:val="lt-LT"/>
        </w:rPr>
        <w:t xml:space="preserve"> </w:t>
      </w:r>
      <w:r w:rsidRPr="00D95413">
        <w:rPr>
          <w:lang w:val="lt-LT"/>
        </w:rPr>
        <w:t>PMĮ 5 straipsnio 2 dalyje nustatyta pelno mokesčio lengvata</w:t>
      </w:r>
      <w:r w:rsidRPr="00D95413">
        <w:rPr>
          <w:color w:val="000000"/>
          <w:lang w:val="lt-LT"/>
        </w:rPr>
        <w:t xml:space="preserve"> taikoma ir pelno nesiekiantiems vienetams</w:t>
      </w:r>
      <w:r>
        <w:rPr>
          <w:strike/>
          <w:color w:val="000000"/>
          <w:lang w:val="lt-LT"/>
        </w:rPr>
        <w:t>.</w:t>
      </w:r>
    </w:p>
    <w:p w14:paraId="4D4C9D8B" w14:textId="77777777" w:rsidR="00B2244C" w:rsidRPr="00D95413" w:rsidRDefault="00B2244C" w:rsidP="00DD4E26">
      <w:pPr>
        <w:spacing w:after="0"/>
        <w:ind w:right="26" w:firstLine="709"/>
        <w:jc w:val="both"/>
        <w:rPr>
          <w:lang w:val="lt-LT"/>
        </w:rPr>
      </w:pPr>
      <w:r w:rsidRPr="00D77E08">
        <w:rPr>
          <w:lang w:val="lt-LT"/>
        </w:rPr>
        <w:t>4.</w:t>
      </w:r>
      <w:r>
        <w:rPr>
          <w:lang w:val="lt-LT"/>
        </w:rPr>
        <w:t xml:space="preserve"> </w:t>
      </w:r>
      <w:r w:rsidRPr="00D95413">
        <w:rPr>
          <w:lang w:val="lt-LT"/>
        </w:rPr>
        <w:t xml:space="preserve">Pagal </w:t>
      </w:r>
      <w:hyperlink r:id="rId41" w:history="1">
        <w:r w:rsidRPr="00D95413">
          <w:rPr>
            <w:rStyle w:val="Hipersaitas"/>
            <w:lang w:val="lt-LT"/>
          </w:rPr>
          <w:t>PMĮ</w:t>
        </w:r>
      </w:hyperlink>
      <w:r w:rsidRPr="00D95413">
        <w:rPr>
          <w:lang w:val="lt-LT"/>
        </w:rPr>
        <w:t xml:space="preserve"> 6 straipsnio nuostatas mokestinis laikotarpis sutampa su kalendoriniais metais arba vietos mokesčių administratoriaus leidimu jis nustatomas kitoks, bet lygus 12 mėnesių. Šio mokestinio laikotarpio pajamos turi būti ne didesnės 300 000 Eur. Tais atvejais, kai pirmasis mokestinis laikotarpis trumpesnis negu 12 mėnesių (pvz., vienetas įsiregistravo mokesčio mokėtoju ir </w:t>
      </w:r>
      <w:r w:rsidRPr="00D95413">
        <w:rPr>
          <w:lang w:val="lt-LT"/>
        </w:rPr>
        <w:lastRenderedPageBreak/>
        <w:t xml:space="preserve">pradėjo veiklą nuo kalendorinių metų birželio 1 d.), tai to pirmojo mokestinio laikotarpio pajamos taip pat turi būti ne didesnės negu 300 000 Eur. </w:t>
      </w:r>
    </w:p>
    <w:p w14:paraId="0F44C619" w14:textId="77777777" w:rsidR="00B2244C" w:rsidRPr="00D95413" w:rsidRDefault="00B2244C" w:rsidP="00DD4E26">
      <w:pPr>
        <w:spacing w:after="0"/>
        <w:ind w:right="26" w:firstLine="709"/>
        <w:jc w:val="both"/>
        <w:rPr>
          <w:lang w:val="lt-LT"/>
        </w:rPr>
      </w:pPr>
      <w:r w:rsidRPr="00D95413">
        <w:rPr>
          <w:lang w:val="lt-LT"/>
        </w:rPr>
        <w:t xml:space="preserve">Skaičiuojant, ar pajamos nėra didesnės už šią sumą, atsižvelgiama į visas pajamas, t. y. ir į tas, kurios, vadovaujantis </w:t>
      </w:r>
      <w:hyperlink r:id="rId42" w:history="1">
        <w:r w:rsidRPr="00D95413">
          <w:rPr>
            <w:rStyle w:val="Hipersaitas"/>
            <w:lang w:val="lt-LT"/>
          </w:rPr>
          <w:t>PMĮ</w:t>
        </w:r>
      </w:hyperlink>
      <w:r w:rsidRPr="00D95413">
        <w:rPr>
          <w:lang w:val="lt-LT"/>
        </w:rPr>
        <w:t xml:space="preserve"> 12 straipsniu, priskiriamos neapmokestinamosioms pajamoms. Tuo atveju, jeigu vienetas vykdo veiklą per nuolatinę buveinę kitoje užsienio valstybėje, tai nustatant, ar vieneto mokestinio laikotarpio pajamos yra ne didesnės negu 300 000 Eur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5C70766F" w14:textId="77777777" w:rsidR="00B2244C" w:rsidRPr="00D95413" w:rsidRDefault="00B2244C" w:rsidP="00DD4E26">
      <w:pPr>
        <w:spacing w:after="0"/>
        <w:ind w:firstLine="709"/>
        <w:jc w:val="both"/>
        <w:rPr>
          <w:lang w:val="lt-LT"/>
        </w:rPr>
      </w:pPr>
      <w:r w:rsidRPr="00D95413">
        <w:rPr>
          <w:lang w:val="lt-LT"/>
        </w:rPr>
        <w:t xml:space="preserve">Jeigu šią lengvatą taiko </w:t>
      </w:r>
      <w:bookmarkStart w:id="56" w:name="_Hlk204590398"/>
      <w:r w:rsidRPr="00D95413">
        <w:rPr>
          <w:lang w:val="lt-LT"/>
        </w:rPr>
        <w:t>užsienio vieneto nuolatinė buveinė Lietuvoje</w:t>
      </w:r>
      <w:bookmarkEnd w:id="56"/>
      <w:r w:rsidRPr="00D95413">
        <w:rPr>
          <w:lang w:val="lt-LT"/>
        </w:rPr>
        <w:t>, tai turi būti skaičiuojamos visos užsienio vieneto pajamos, įskaitant nuolatinės buveinės pajamas uždirbtas Lietuvoje.</w:t>
      </w:r>
    </w:p>
    <w:p w14:paraId="617C79DB" w14:textId="77777777" w:rsidR="00B2244C" w:rsidRPr="00D95413" w:rsidRDefault="00B2244C" w:rsidP="00DD4E26">
      <w:pPr>
        <w:spacing w:after="0"/>
        <w:ind w:firstLine="709"/>
        <w:jc w:val="both"/>
        <w:rPr>
          <w:lang w:val="lt-LT"/>
        </w:rPr>
      </w:pPr>
      <w:r w:rsidRPr="00D95413">
        <w:rPr>
          <w:lang w:val="lt-LT"/>
        </w:rPr>
        <w:t>Pažymėtina, kad į pajamų ribos skaičiavimą neįtraukiami iš Lietuvos ir užsienio vienetų gauti dividendai.</w:t>
      </w:r>
    </w:p>
    <w:p w14:paraId="7F5BB839" w14:textId="77777777" w:rsidR="00B2244C" w:rsidRPr="004D115E" w:rsidRDefault="00B2244C" w:rsidP="00DD4E26">
      <w:pPr>
        <w:spacing w:after="0"/>
        <w:ind w:right="-82" w:firstLine="720"/>
        <w:jc w:val="both"/>
        <w:rPr>
          <w:lang w:val="lt-LT"/>
        </w:rPr>
      </w:pPr>
      <w:bookmarkStart w:id="57" w:name="_Hlk203395880"/>
      <w:r w:rsidRPr="004D115E">
        <w:rPr>
          <w:color w:val="000000"/>
          <w:shd w:val="clear" w:color="auto" w:fill="FFFFFF"/>
          <w:lang w:val="lt-LT"/>
        </w:rPr>
        <w:t>5.</w:t>
      </w:r>
      <w:r>
        <w:rPr>
          <w:color w:val="000000"/>
          <w:shd w:val="clear" w:color="auto" w:fill="FFFFFF"/>
          <w:lang w:val="lt-LT"/>
        </w:rPr>
        <w:t xml:space="preserve"> </w:t>
      </w:r>
      <w:r w:rsidRPr="004D115E">
        <w:rPr>
          <w:lang w:val="lt-LT"/>
        </w:rPr>
        <w:t>Vienetų bei užsienio vienetų nuolatinės buveinės Lietuvoje pirmojo ir antrojo mokestinių laikotarpių apmokestinamasis pelnas gali būti apmokestinamas taikant 0 procentų mokesčio tarifą, jeigu tenkinamos  šios sąlygos:</w:t>
      </w:r>
    </w:p>
    <w:p w14:paraId="7CB75199" w14:textId="77777777" w:rsidR="00B2244C" w:rsidRPr="004D115E" w:rsidRDefault="00B2244C" w:rsidP="00DD4E26">
      <w:pPr>
        <w:spacing w:after="0"/>
        <w:ind w:right="-82" w:firstLine="720"/>
        <w:jc w:val="both"/>
        <w:rPr>
          <w:lang w:val="lt-LT"/>
        </w:rPr>
      </w:pPr>
      <w:r w:rsidRPr="004D115E">
        <w:rPr>
          <w:lang w:val="lt-LT"/>
        </w:rPr>
        <w:t>- pirmojo ir antrojo mokestinių laikotarpių pajamos ne didesnės kaip 300 000 Eur (pajamų apribojimo dydis vertinamas kiekvieno mokestinio laikotarpio atskirai);</w:t>
      </w:r>
    </w:p>
    <w:p w14:paraId="1FC25431" w14:textId="77777777" w:rsidR="00B2244C" w:rsidRPr="004D115E" w:rsidRDefault="00B2244C" w:rsidP="00DD4E26">
      <w:pPr>
        <w:spacing w:after="0"/>
        <w:ind w:right="-82" w:firstLine="720"/>
        <w:jc w:val="both"/>
        <w:rPr>
          <w:lang w:val="lt-LT"/>
        </w:rPr>
      </w:pPr>
      <w:r w:rsidRPr="004D115E">
        <w:rPr>
          <w:lang w:val="lt-LT"/>
        </w:rPr>
        <w:t xml:space="preserve">- vienetas neatitinka </w:t>
      </w:r>
      <w:hyperlink r:id="rId43" w:history="1">
        <w:r w:rsidRPr="004D115E">
          <w:rPr>
            <w:lang w:val="lt-LT"/>
          </w:rPr>
          <w:t>PMĮ</w:t>
        </w:r>
      </w:hyperlink>
      <w:r w:rsidRPr="004D115E">
        <w:rPr>
          <w:lang w:val="lt-LT"/>
        </w:rPr>
        <w:t xml:space="preserve"> 5 str. 3 dalyje nustatytų sąlygų (žr. PMĮ 5 str. 3 dalies komentarą);</w:t>
      </w:r>
    </w:p>
    <w:p w14:paraId="7D24AE25" w14:textId="77777777" w:rsidR="00B2244C" w:rsidRPr="004D115E" w:rsidRDefault="00B2244C" w:rsidP="00DD4E26">
      <w:pPr>
        <w:spacing w:after="0"/>
        <w:ind w:right="-82" w:firstLine="720"/>
        <w:jc w:val="both"/>
        <w:rPr>
          <w:lang w:val="lt-LT"/>
        </w:rPr>
      </w:pPr>
      <w:r w:rsidRPr="004D115E">
        <w:rPr>
          <w:lang w:val="lt-LT"/>
        </w:rPr>
        <w:t>- vieneto dalyvis (dalyviai) yra tik fizinis asmuo (ar fiziniai asmenys);</w:t>
      </w:r>
    </w:p>
    <w:p w14:paraId="0339B330" w14:textId="77777777" w:rsidR="00B2244C" w:rsidRPr="004D115E" w:rsidRDefault="00B2244C" w:rsidP="00DD4E26">
      <w:pPr>
        <w:spacing w:after="0"/>
        <w:ind w:right="-82" w:firstLine="720"/>
        <w:jc w:val="both"/>
        <w:rPr>
          <w:lang w:val="lt-LT"/>
        </w:rPr>
      </w:pPr>
      <w:r w:rsidRPr="004D115E">
        <w:rPr>
          <w:lang w:val="lt-LT"/>
        </w:rPr>
        <w:t>- per tris vienas po kito einančius mokestinius laikotarpius, įskaitant pirmąjį ir antrąjį mokestinius laikotarpius: vieneto veikla nėra sustabdoma, vienetas nėra likviduojamas, reorganizuojamas ir vieneto akcijos (dalys, pajai) nėra perleidžiamos naujiems dalyviams.</w:t>
      </w:r>
    </w:p>
    <w:p w14:paraId="579BE1B9" w14:textId="77777777" w:rsidR="00B2244C" w:rsidRPr="004D115E" w:rsidRDefault="00B2244C" w:rsidP="00DD4E26">
      <w:pPr>
        <w:spacing w:after="0"/>
        <w:ind w:right="-82" w:firstLine="720"/>
        <w:jc w:val="both"/>
        <w:rPr>
          <w:lang w:val="lt-LT"/>
        </w:rPr>
      </w:pPr>
      <w:r w:rsidRPr="004D115E">
        <w:rPr>
          <w:lang w:val="lt-LT"/>
        </w:rPr>
        <w:t>Jeigu vienetas buvo įsteigtas 2025 metais, tai 2026 metais – antruoju mokestiniu laikotarpiu – jis taip pat gali taikyti 0 procentų pelno mokesčio tarifą, jeigu atitinka visas PMĮ 5 straipsnio 2 dalyje nustatytas sąlygas.</w:t>
      </w:r>
    </w:p>
    <w:bookmarkEnd w:id="57"/>
    <w:p w14:paraId="122F5346" w14:textId="77777777" w:rsidR="00B2244C" w:rsidRDefault="00B2244C" w:rsidP="00DD4E26">
      <w:pPr>
        <w:spacing w:after="0"/>
        <w:ind w:right="-82" w:firstLine="720"/>
        <w:jc w:val="both"/>
        <w:rPr>
          <w:lang w:val="lt-LT"/>
        </w:rPr>
      </w:pPr>
      <w:r w:rsidRPr="004D115E">
        <w:rPr>
          <w:lang w:val="lt-LT"/>
        </w:rPr>
        <w:t xml:space="preserve">Jeigu per tris vienas po kito einančius mokestinius laikotarpius paaiškėja aplinkybės dėl kurių pirmaisiais ir antraisiais mokestiniais metais apmokestinamasis pelnas negali būti apmokestinamas taikant 0 procentų mokesčio tarifą - vienetas sustabdo veiklą, yra likviduojamas ar reorganizuojamas, arba vieneto akcijos (dalys, pajai) perleidžiamos naujiems dalyviams, tai 0 tarifą taikęs vienetas privalo perskaičiuoti ir apmokestinti </w:t>
      </w:r>
      <w:r w:rsidRPr="004D115E">
        <w:rPr>
          <w:bCs/>
          <w:color w:val="000000"/>
          <w:lang w:val="lt-LT"/>
        </w:rPr>
        <w:t xml:space="preserve">lengvatiniu (5 proc. – apskaičiuojant iki 2025 metais prasidėjusio mokestinio laikotarpio, 6 proc. – apskaičiuojant 2025 metais prasidėjusio mokestinio laikotarpio ir 7 proc. apskaičiuojant 2026 metais prasidėjusio ir vėlesnių mokestinių laikotarpių apmokestinamąjį pelną) </w:t>
      </w:r>
      <w:r w:rsidRPr="004D115E">
        <w:rPr>
          <w:lang w:val="lt-LT"/>
        </w:rPr>
        <w:t xml:space="preserve">pelno mokesčio tarifu pirmojo ir antrojo mokestinių laikotarpių apmokestinamąjį pelną, ir mokesčių administratoriui pateikti patikslintas to mokestinio laikotarpio metines pelno mokesčio deklaracijas. Delspinigiai už ne laiku sumokėtą mokestį sumokami Mokesčių administravimo įstatymo nustatyta tvarka. </w:t>
      </w:r>
    </w:p>
    <w:p w14:paraId="3C9A5F79" w14:textId="77777777" w:rsidR="00CB71B2" w:rsidRDefault="00CB71B2" w:rsidP="00DD4E26">
      <w:pPr>
        <w:spacing w:after="0"/>
        <w:ind w:right="-82" w:firstLine="720"/>
        <w:jc w:val="both"/>
        <w:rPr>
          <w:lang w:val="lt-LT"/>
        </w:rPr>
      </w:pPr>
    </w:p>
    <w:p w14:paraId="094D83E5"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7DC9A0FC" w14:textId="77777777" w:rsidR="005C1F9A" w:rsidRDefault="005C1F9A" w:rsidP="00DD4E26">
      <w:pPr>
        <w:spacing w:after="0"/>
        <w:ind w:right="-82" w:firstLine="720"/>
        <w:jc w:val="both"/>
        <w:rPr>
          <w:lang w:val="lt-LT"/>
        </w:rPr>
      </w:pPr>
    </w:p>
    <w:p w14:paraId="3B31D79D" w14:textId="77777777" w:rsidR="00B2244C" w:rsidRDefault="00B2244C" w:rsidP="00DD4E26">
      <w:pPr>
        <w:spacing w:after="0" w:line="360" w:lineRule="atLeast"/>
        <w:ind w:firstLine="720"/>
        <w:jc w:val="both"/>
        <w:rPr>
          <w:b/>
          <w:color w:val="000000"/>
          <w:lang w:val="lt-LT" w:eastAsia="lt-LT"/>
        </w:rPr>
      </w:pPr>
      <w:r w:rsidRPr="002B7192">
        <w:rPr>
          <w:b/>
          <w:color w:val="000000"/>
          <w:lang w:val="lt-LT" w:eastAsia="lt-LT"/>
        </w:rPr>
        <w:t>3. Šio straipsnio 2 dalies nuostatos netaikomos, kai šioje dalyje nurodytų susijusių vienetų mokestinio laikotarpio bendros pajamos viršija 300 000 eurų:</w:t>
      </w:r>
    </w:p>
    <w:p w14:paraId="02296374" w14:textId="77777777" w:rsidR="00493D7B" w:rsidRPr="00BB302F" w:rsidRDefault="00B2244C" w:rsidP="00C36238">
      <w:pPr>
        <w:spacing w:after="0"/>
        <w:jc w:val="both"/>
        <w:rPr>
          <w:bCs/>
          <w:i/>
          <w:szCs w:val="20"/>
          <w:lang w:val="lt-LT"/>
        </w:rPr>
      </w:pPr>
      <w:r w:rsidRPr="00017F09">
        <w:rPr>
          <w:b/>
          <w:bCs/>
          <w:i/>
          <w:szCs w:val="20"/>
          <w:lang w:val="lt-LT"/>
        </w:rPr>
        <w:t>(</w:t>
      </w:r>
      <w:r w:rsidRPr="0013275D">
        <w:rPr>
          <w:bCs/>
          <w:i/>
          <w:szCs w:val="20"/>
          <w:lang w:val="lt-LT"/>
        </w:rPr>
        <w:t xml:space="preserve">Pagal 2025 m. birželio 17 d. įstatymo Nr.  </w:t>
      </w:r>
      <w:r w:rsidRPr="0013275D">
        <w:rPr>
          <w:i/>
        </w:rPr>
        <w:t>XV-285</w:t>
      </w:r>
      <w:r w:rsidRPr="0013275D">
        <w:rPr>
          <w:bCs/>
          <w:i/>
          <w:szCs w:val="20"/>
          <w:lang w:val="lt-LT"/>
        </w:rPr>
        <w:t xml:space="preserve"> redakciją; taikoma apskaičiuojant 2026 metais prasidėjusio ir vėlesnių mokestinių laikotarpių apmokestinamąjį pelną)</w:t>
      </w:r>
    </w:p>
    <w:p w14:paraId="08D8FC36" w14:textId="77777777" w:rsidR="00B2244C" w:rsidRPr="0053304A" w:rsidRDefault="00B2244C" w:rsidP="00F32DE7">
      <w:pPr>
        <w:spacing w:before="160"/>
        <w:ind w:firstLine="720"/>
        <w:jc w:val="both"/>
        <w:rPr>
          <w:b/>
          <w:bCs/>
          <w:iCs/>
          <w:lang w:val="lt-LT"/>
        </w:rPr>
      </w:pPr>
      <w:r w:rsidRPr="0053304A">
        <w:rPr>
          <w:b/>
          <w:bCs/>
          <w:iCs/>
          <w:lang w:val="lt-LT"/>
        </w:rPr>
        <w:t>Komentaras</w:t>
      </w:r>
    </w:p>
    <w:p w14:paraId="07505766" w14:textId="77777777" w:rsidR="00BB302F" w:rsidRDefault="00B2244C" w:rsidP="00DD4E26">
      <w:pPr>
        <w:spacing w:after="0"/>
        <w:ind w:firstLine="720"/>
        <w:jc w:val="both"/>
        <w:rPr>
          <w:bCs/>
          <w:lang w:val="lt-LT"/>
        </w:rPr>
      </w:pPr>
      <w:r w:rsidRPr="0013275D">
        <w:rPr>
          <w:bCs/>
          <w:iCs/>
          <w:lang w:val="lt-LT"/>
        </w:rPr>
        <w:lastRenderedPageBreak/>
        <w:t>Pagal šios</w:t>
      </w:r>
      <w:r w:rsidRPr="0013275D">
        <w:rPr>
          <w:lang w:val="lt-LT"/>
        </w:rPr>
        <w:t xml:space="preserve"> dalies nuostatas, PMĮ 5 str. 2 dalyje nustatytas lengvatinis 7 proc. arba 0 proc. (pirmąjį ir antrąjį </w:t>
      </w:r>
      <w:r w:rsidRPr="0013275D">
        <w:rPr>
          <w:bCs/>
          <w:color w:val="000000"/>
          <w:lang w:val="lt-LT"/>
        </w:rPr>
        <w:t>mokestinius laikotarpius</w:t>
      </w:r>
      <w:r w:rsidRPr="0013275D">
        <w:rPr>
          <w:lang w:val="lt-LT"/>
        </w:rPr>
        <w:t xml:space="preserve">) </w:t>
      </w:r>
      <w:r w:rsidRPr="0013275D">
        <w:rPr>
          <w:bCs/>
          <w:lang w:val="lt-LT"/>
        </w:rPr>
        <w:t>pelno mokesčio tarifas netaikomas, kai PMĮ 5 str. 3 d. 1 - 4 punktuose nurodytų susijusių vienetų bendros mokestinio laikotarpio pajamos viršija PMĮ 5 str. 2 dalyje nustatytą 300 000 Eur pajamų apribojimą.</w:t>
      </w:r>
    </w:p>
    <w:p w14:paraId="30359BDE" w14:textId="77777777" w:rsidR="006A21E0" w:rsidRDefault="006A21E0" w:rsidP="006A21E0">
      <w:pPr>
        <w:jc w:val="both"/>
        <w:rPr>
          <w:i/>
          <w:iCs/>
          <w:sz w:val="22"/>
          <w:szCs w:val="22"/>
          <w:lang w:val="lt-LT"/>
        </w:rPr>
      </w:pPr>
      <w:r>
        <w:rPr>
          <w:i/>
          <w:iCs/>
        </w:rPr>
        <w:t>(Pagal 2025 m. birželio 17 d. įstatymo Nr.  XV-285 redakciją; taikoma apskaičiuojant 2026 metais prasidėjusio ir vėlesnių mokestinių laikotarpių apmokestinamąjį pelną)</w:t>
      </w:r>
    </w:p>
    <w:p w14:paraId="13A96A99" w14:textId="77777777" w:rsidR="00C36238" w:rsidRPr="00F510E7" w:rsidRDefault="00C36238" w:rsidP="00C36238">
      <w:pPr>
        <w:tabs>
          <w:tab w:val="left" w:pos="720"/>
          <w:tab w:val="left" w:pos="1077"/>
          <w:tab w:val="left" w:pos="1418"/>
        </w:tabs>
        <w:spacing w:after="0"/>
        <w:jc w:val="both"/>
        <w:rPr>
          <w:bCs/>
          <w:i/>
          <w:szCs w:val="20"/>
          <w:lang w:val="lt-LT"/>
        </w:rPr>
      </w:pPr>
    </w:p>
    <w:p w14:paraId="656B1F16" w14:textId="77777777" w:rsidR="00774CD5" w:rsidRPr="00774CD5" w:rsidRDefault="00B2244C" w:rsidP="00DD4E26">
      <w:pPr>
        <w:spacing w:after="0"/>
        <w:ind w:firstLine="720"/>
        <w:jc w:val="both"/>
        <w:rPr>
          <w:bCs/>
          <w:lang w:val="lt-LT"/>
        </w:rPr>
      </w:pPr>
      <w:r w:rsidRPr="0013275D">
        <w:rPr>
          <w:bCs/>
          <w:lang w:val="lt-LT"/>
        </w:rPr>
        <w:t xml:space="preserve"> </w:t>
      </w:r>
    </w:p>
    <w:p w14:paraId="59946EF9" w14:textId="77777777" w:rsidR="00493D7B" w:rsidRDefault="00493D7B" w:rsidP="00BB302F">
      <w:pPr>
        <w:tabs>
          <w:tab w:val="left" w:pos="284"/>
          <w:tab w:val="left" w:pos="1077"/>
          <w:tab w:val="left" w:pos="1418"/>
        </w:tabs>
        <w:spacing w:after="0"/>
        <w:jc w:val="both"/>
        <w:rPr>
          <w:b/>
          <w:bCs/>
          <w:szCs w:val="20"/>
        </w:rPr>
      </w:pPr>
      <w:r w:rsidRPr="00493D7B">
        <w:rPr>
          <w:b/>
          <w:bCs/>
          <w:szCs w:val="20"/>
          <w:lang w:val="lt-LT"/>
        </w:rPr>
        <w:t>1)</w:t>
      </w:r>
      <w:r>
        <w:rPr>
          <w:b/>
          <w:bCs/>
          <w:szCs w:val="20"/>
        </w:rPr>
        <w:tab/>
      </w:r>
      <w:r w:rsidR="005A582F" w:rsidRPr="00493D7B">
        <w:rPr>
          <w:b/>
          <w:bCs/>
          <w:szCs w:val="20"/>
        </w:rPr>
        <w:t>vienetams (individualioms (personalinėms) įmonėms), kurių dalyvis ar jo šeimos nariai yra ir kitų vienetų (individualių (personalinių) įmonių) dalyviai;</w:t>
      </w:r>
    </w:p>
    <w:p w14:paraId="2E723A73" w14:textId="77777777" w:rsidR="00B2244C" w:rsidRPr="00BF1BA7" w:rsidRDefault="00B2244C" w:rsidP="00F32DE7">
      <w:pPr>
        <w:spacing w:before="160"/>
        <w:ind w:firstLine="720"/>
        <w:jc w:val="both"/>
        <w:rPr>
          <w:b/>
          <w:bCs/>
          <w:iCs/>
          <w:lang w:val="lt-LT"/>
        </w:rPr>
      </w:pPr>
      <w:r w:rsidRPr="00BF1BA7">
        <w:rPr>
          <w:b/>
          <w:bCs/>
          <w:iCs/>
          <w:lang w:val="lt-LT"/>
        </w:rPr>
        <w:t>Komentaras</w:t>
      </w:r>
    </w:p>
    <w:p w14:paraId="6F390825" w14:textId="77777777" w:rsidR="00B2244C" w:rsidRPr="00D325D5" w:rsidRDefault="00B2244C" w:rsidP="00DD4E26">
      <w:pPr>
        <w:spacing w:after="0"/>
        <w:ind w:right="-82" w:firstLine="720"/>
        <w:jc w:val="both"/>
        <w:rPr>
          <w:lang w:val="lt-LT"/>
        </w:rPr>
      </w:pPr>
      <w:r w:rsidRPr="00D325D5">
        <w:rPr>
          <w:lang w:val="lt-LT"/>
        </w:rPr>
        <w:t xml:space="preserve">1. Ši punkto nuostata taikoma toms individualioms įmonėms, kurių savininkai ar jų šeimos nariai yra ir kitų individualių įmonių savininkai ir jeigu šių individualių įmonių bendros mokestinio laikotarpio pajamos viršija PMĮ 5 str. 2 dalyje nustatytą 300 000 Eur pajamų apribojimą. Tokios individualios įmonės, kurių savininkai ar jų šeimos nariai yra ir kitų individualių įmonių savininkai  bei šių įmonių bendros mokestinio laikotarpio pajamos viršija nustatytą 300 000 Eur pajamų apribojimą, negali apmokestinamojo pelno apmokestinti taikant PMĮ 5 str. 2 dalyje nustatytą lengvatinį 7 proc. arba 0 proc. </w:t>
      </w:r>
      <w:r>
        <w:rPr>
          <w:lang w:val="lt-LT"/>
        </w:rPr>
        <w:t>(</w:t>
      </w:r>
      <w:r w:rsidRPr="00D325D5">
        <w:rPr>
          <w:lang w:val="lt-LT"/>
        </w:rPr>
        <w:t xml:space="preserve">pirmąjį ir antrąjį </w:t>
      </w:r>
      <w:r w:rsidRPr="00D325D5">
        <w:rPr>
          <w:bCs/>
          <w:color w:val="000000"/>
          <w:lang w:val="lt-LT"/>
        </w:rPr>
        <w:t>mokestinius laikotarpius</w:t>
      </w:r>
      <w:r>
        <w:rPr>
          <w:bCs/>
          <w:color w:val="000000"/>
          <w:lang w:val="lt-LT"/>
        </w:rPr>
        <w:t>)</w:t>
      </w:r>
      <w:r w:rsidRPr="00D325D5">
        <w:rPr>
          <w:lang w:val="lt-LT"/>
        </w:rPr>
        <w:t xml:space="preserve"> pelno mokesčio tarifą.</w:t>
      </w:r>
    </w:p>
    <w:p w14:paraId="79FA6062" w14:textId="77777777" w:rsidR="00B2244C" w:rsidRPr="006A1298" w:rsidRDefault="00B2244C" w:rsidP="00DD4E26">
      <w:pPr>
        <w:tabs>
          <w:tab w:val="left" w:pos="720"/>
          <w:tab w:val="left" w:pos="1077"/>
          <w:tab w:val="left" w:pos="1418"/>
        </w:tabs>
        <w:spacing w:after="0"/>
        <w:ind w:firstLine="720"/>
        <w:jc w:val="both"/>
        <w:rPr>
          <w:szCs w:val="20"/>
        </w:rPr>
      </w:pPr>
      <w:r w:rsidRPr="00D325D5">
        <w:rPr>
          <w:szCs w:val="20"/>
          <w:lang w:val="lt-LT"/>
        </w:rPr>
        <w:t>2. PMĮ nenustatyta šeimos narių sąvoka, todėl šiuo atveju pagal PMĮ 2 str</w:t>
      </w:r>
      <w:r>
        <w:rPr>
          <w:szCs w:val="20"/>
          <w:lang w:val="lt-LT"/>
        </w:rPr>
        <w:t>.</w:t>
      </w:r>
      <w:r w:rsidRPr="00D325D5">
        <w:rPr>
          <w:szCs w:val="20"/>
          <w:lang w:val="lt-LT"/>
        </w:rPr>
        <w:t xml:space="preserve"> 41 dalį reikia vadovautis Civiliniu</w:t>
      </w:r>
      <w:r w:rsidRPr="00E71AD5">
        <w:rPr>
          <w:szCs w:val="20"/>
          <w:lang w:val="lt-LT"/>
        </w:rPr>
        <w:t xml:space="preserve"> kodeksu. Civilinio kodekso trečiojoje knygoje ,,Šeimos teisė“ nėra bendro šeimos narių sąvokos apibrėžimo, todėl šiuo atveju būtina atsižvelgti į teisinio reguliavimo tikslą ir reguliuojamų santykių ypatumus, nustatančius nario ryšį su šeima. Apibrėžiant dalyvio šeimos narius yra privalomos tokios sąlygos: giminystės ryšys ir (arba) gyvenimas kartu su dalyviu ir bendro ūkio tvarkymas. Atsižvelgiant į tai, dalyvio šeimos narys yra kartu gyvenantis sutuoktinis (sugyventinis), jų vaikai, pilnamečių vaikų sutuoktiniai (sugyventiniai), tėvai, vaikaičiai, jei jie kartu gyvena ir turi bendrą ūkį.</w:t>
      </w:r>
    </w:p>
    <w:p w14:paraId="15509401" w14:textId="77777777" w:rsidR="00F510E7" w:rsidRDefault="00B2244C" w:rsidP="00DD4E26">
      <w:pPr>
        <w:tabs>
          <w:tab w:val="left" w:pos="720"/>
          <w:tab w:val="left" w:pos="1077"/>
          <w:tab w:val="left" w:pos="1418"/>
        </w:tabs>
        <w:spacing w:after="0"/>
        <w:ind w:firstLine="720"/>
        <w:jc w:val="both"/>
        <w:rPr>
          <w:szCs w:val="20"/>
          <w:lang w:val="lt-LT"/>
        </w:rPr>
      </w:pPr>
      <w:r w:rsidRPr="00E71AD5">
        <w:rPr>
          <w:szCs w:val="20"/>
          <w:lang w:val="lt-LT"/>
        </w:rPr>
        <w:t>3. PMĮ 2 str</w:t>
      </w:r>
      <w:r>
        <w:rPr>
          <w:szCs w:val="20"/>
          <w:lang w:val="lt-LT"/>
        </w:rPr>
        <w:t>.</w:t>
      </w:r>
      <w:r w:rsidRPr="00E71AD5">
        <w:rPr>
          <w:szCs w:val="20"/>
          <w:lang w:val="lt-LT"/>
        </w:rPr>
        <w:t xml:space="preserve"> 6 dalyje nustatyta vieneto dalyvio sąvoka. Vieneto dalyvis apibrėžiamas kaip asmuo, kuris turi nuosavybės teisę į vieneto turtą, arba asmuo, kuris neišsaugo nuosavybės teisių į vieneto turtą, bet įgyja prievolinių teisių ir (arba) pareigų, susijusių su vienetu.</w:t>
      </w:r>
    </w:p>
    <w:p w14:paraId="4F4A9C57" w14:textId="77777777" w:rsidR="00B2244C" w:rsidRDefault="00B2244C" w:rsidP="00DD4E26">
      <w:pPr>
        <w:tabs>
          <w:tab w:val="left" w:pos="720"/>
          <w:tab w:val="left" w:pos="1077"/>
          <w:tab w:val="left" w:pos="1418"/>
        </w:tabs>
        <w:spacing w:after="0"/>
        <w:ind w:firstLine="720"/>
        <w:jc w:val="both"/>
        <w:rPr>
          <w:szCs w:val="20"/>
          <w:lang w:val="lt-LT"/>
        </w:rPr>
      </w:pPr>
      <w:r w:rsidRPr="00E71AD5">
        <w:rPr>
          <w:szCs w:val="20"/>
          <w:lang w:val="lt-LT"/>
        </w:rPr>
        <w:t>1 pavyzdys</w:t>
      </w:r>
    </w:p>
    <w:p w14:paraId="7C5C955C"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 xml:space="preserve">Individualios įmonės X savininko žmona turi individualią įmonę Y, ji yra tos įmonės savininkė. Individualios įmonės X 2026 mokestinių metų pajamos sudaro 120 000 </w:t>
      </w:r>
      <w:r w:rsidRPr="00141E36">
        <w:rPr>
          <w:lang w:val="lt-LT"/>
        </w:rPr>
        <w:t>Eur</w:t>
      </w:r>
      <w:r w:rsidRPr="00141E36">
        <w:rPr>
          <w:szCs w:val="20"/>
          <w:lang w:val="lt-LT"/>
        </w:rPr>
        <w:t xml:space="preserve">, o individualios įmonės Y 2026 mokestinių metų pajamos - </w:t>
      </w:r>
      <w:r w:rsidRPr="00141E36">
        <w:rPr>
          <w:lang w:val="lt-LT"/>
        </w:rPr>
        <w:t>200 000 Eur.</w:t>
      </w:r>
      <w:r w:rsidRPr="00141E36">
        <w:rPr>
          <w:szCs w:val="20"/>
          <w:lang w:val="lt-LT"/>
        </w:rPr>
        <w:t xml:space="preserve"> Bendros šių individualių įmonių 2026 mokestinių metų pajamos – 320 000 Eur.</w:t>
      </w:r>
    </w:p>
    <w:p w14:paraId="06DAEFDF"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Atsižvelgiant į tai, kad šių individualių įmonių bendros pajamos viršija PMĮ 5 str. 2 dalyje nustatytą apribojimą, t. y. 300 000 Eur, apmokestindamos 2026 mokestinių metų apmokestinamąjį pelną, šios įmonės negali taikyti PMĮ 5 str. 2 dalyje nustatyto lengvatinio pelno mokesčio tarifo.</w:t>
      </w:r>
      <w:r w:rsidRPr="00141E36">
        <w:rPr>
          <w:lang w:val="lt-LT"/>
        </w:rPr>
        <w:t xml:space="preserve"> Apmokestinamajam pelnui turi būti taikomas 17 proc. pelno mokesčio tarifas.</w:t>
      </w:r>
    </w:p>
    <w:p w14:paraId="183104D2" w14:textId="77777777" w:rsidR="00B2244C" w:rsidRPr="00E71AD5" w:rsidRDefault="00B2244C" w:rsidP="00DD4E26">
      <w:pPr>
        <w:spacing w:after="0" w:line="360" w:lineRule="auto"/>
        <w:ind w:firstLine="720"/>
        <w:jc w:val="both"/>
        <w:rPr>
          <w:rFonts w:ascii="TimesLT" w:hAnsi="TimesLT" w:cs="Arial Unicode MS"/>
          <w:lang w:val="lt-LT"/>
        </w:rPr>
      </w:pPr>
      <w:r w:rsidRPr="00E71AD5">
        <w:rPr>
          <w:rFonts w:ascii="TimesLT" w:hAnsi="TimesLT" w:cs="Arial Unicode MS"/>
          <w:lang w:val="lt-LT"/>
        </w:rPr>
        <w:t xml:space="preserve">2 pavyzdys     </w:t>
      </w:r>
    </w:p>
    <w:p w14:paraId="2B92B8B8" w14:textId="77777777" w:rsidR="00B2244C" w:rsidRPr="00141E36"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Individualios įmonės X 2026 mokestinių metų pajamos - 150 000 Eur. Įmonės X savininko žmona turi individualią įmonę Y ir yra šios įmonės savininkė.  Šios įmonės Y 2026 mokestinių metų pajamos - 100 000 Eur. Šių individualių įmonių 2026 mokestinių metų bendros</w:t>
      </w:r>
      <w:r w:rsidRPr="00141E36">
        <w:rPr>
          <w:bCs/>
          <w:lang w:val="lt-LT"/>
        </w:rPr>
        <w:t xml:space="preserve"> </w:t>
      </w:r>
      <w:r w:rsidRPr="00141E36">
        <w:rPr>
          <w:szCs w:val="20"/>
          <w:lang w:val="lt-LT"/>
        </w:rPr>
        <w:t>pajamos – 250 000 Eur.</w:t>
      </w:r>
    </w:p>
    <w:p w14:paraId="36C528CF" w14:textId="77777777" w:rsidR="00B2244C" w:rsidRPr="00F510E7"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41E36">
        <w:rPr>
          <w:szCs w:val="20"/>
          <w:lang w:val="lt-LT"/>
        </w:rPr>
        <w:t>Atsižvelgiant į tai, kad šių įmonių bendros pajamos neviršija PMĮ 5 str. 2 dalyje nustatyto pajamų apribojimo, t. y.  300 000 Eur, apmokestindamos 2026 metų apmokestinamąjį pelną, šios įmonės galės taikyti PMĮ 5 str. 2 dalyje nustatytą lengvatinį pelno mokesčio tarifą.</w:t>
      </w:r>
    </w:p>
    <w:p w14:paraId="44BB6F5B" w14:textId="77777777" w:rsidR="00CB71B2" w:rsidRDefault="00CB71B2" w:rsidP="005C1F9A">
      <w:pPr>
        <w:rPr>
          <w:color w:val="FF0000"/>
          <w:lang w:val="lt-LT"/>
        </w:rPr>
      </w:pPr>
    </w:p>
    <w:p w14:paraId="65ABCDF3" w14:textId="77777777" w:rsidR="005C1F9A" w:rsidRPr="00CB71B2" w:rsidRDefault="005C1F9A" w:rsidP="005C1F9A">
      <w:r w:rsidRPr="00CB71B2">
        <w:rPr>
          <w:lang w:val="lt-LT"/>
        </w:rPr>
        <w:lastRenderedPageBreak/>
        <w:t xml:space="preserve">(Pakeista pagal VMI prie FM </w:t>
      </w:r>
      <w:r w:rsidRPr="00CB71B2">
        <w:t xml:space="preserve">2025-09-22 </w:t>
      </w:r>
      <w:r w:rsidRPr="00CB71B2">
        <w:rPr>
          <w:lang w:val="lt-LT"/>
        </w:rPr>
        <w:t xml:space="preserve">raštą Nr. </w:t>
      </w:r>
      <w:r w:rsidRPr="00CB71B2">
        <w:t>(18.10-31-1 Mr)  R-3583)</w:t>
      </w:r>
    </w:p>
    <w:p w14:paraId="0B08BF98" w14:textId="77777777" w:rsidR="006A21E0" w:rsidRPr="00C36238" w:rsidRDefault="006A21E0" w:rsidP="00F36FDB">
      <w:pPr>
        <w:tabs>
          <w:tab w:val="left" w:pos="1077"/>
          <w:tab w:val="left" w:pos="1418"/>
        </w:tabs>
        <w:spacing w:after="0"/>
        <w:jc w:val="both"/>
        <w:rPr>
          <w:bCs/>
          <w:i/>
          <w:szCs w:val="20"/>
          <w:lang w:val="lt-LT"/>
        </w:rPr>
      </w:pPr>
    </w:p>
    <w:p w14:paraId="69AAD54D" w14:textId="77777777" w:rsidR="006A21E0" w:rsidRPr="006A21E0" w:rsidRDefault="006A21E0" w:rsidP="00F36FDB">
      <w:pPr>
        <w:tabs>
          <w:tab w:val="left" w:pos="720"/>
          <w:tab w:val="left" w:pos="1077"/>
          <w:tab w:val="left" w:pos="1418"/>
        </w:tabs>
        <w:ind w:firstLine="426"/>
        <w:jc w:val="both"/>
        <w:rPr>
          <w:b/>
          <w:bCs/>
          <w:szCs w:val="20"/>
          <w:lang w:val="lt-LT"/>
        </w:rPr>
      </w:pPr>
      <w:r w:rsidRPr="00E71AD5">
        <w:rPr>
          <w:b/>
          <w:lang w:val="lt-LT"/>
        </w:rPr>
        <w:t>2</w:t>
      </w:r>
      <w:r w:rsidRPr="00E71AD5">
        <w:rPr>
          <w:b/>
          <w:bCs/>
          <w:szCs w:val="20"/>
          <w:lang w:val="lt-LT"/>
        </w:rPr>
        <w:t>)</w:t>
      </w:r>
      <w:r w:rsidRPr="00E71AD5">
        <w:rPr>
          <w:b/>
          <w:bCs/>
          <w:szCs w:val="20"/>
          <w:lang w:val="lt-LT"/>
        </w:rPr>
        <w:tab/>
        <w:t>vienetams (individualioms (personalinėms) įmonėms), kurių dalyvis ir (arba) jo šeimos nariai paskutinę mokestinio laikotarpio dieną valdo daugiau kaip 50 procentų akcijų (dalių, pajų) kituose vienetuose, ir vienetams, kuriuose vieneto (individualios (personalinės) įmonės) dalyvis ir (arba) jo šeimos nariai paskutinę mokestinio laikotarpio dieną valdo daugiau kaip 50 procentų akcijų (dalių, pajų);</w:t>
      </w:r>
    </w:p>
    <w:p w14:paraId="59C5D5D2" w14:textId="77777777" w:rsidR="00B2244C" w:rsidRPr="000A06C6" w:rsidRDefault="00B2244C" w:rsidP="00F32DE7">
      <w:pPr>
        <w:spacing w:before="160"/>
        <w:ind w:firstLine="720"/>
        <w:jc w:val="both"/>
        <w:rPr>
          <w:b/>
          <w:bCs/>
          <w:iCs/>
          <w:lang w:val="lt-LT"/>
        </w:rPr>
      </w:pPr>
      <w:r w:rsidRPr="000A06C6">
        <w:rPr>
          <w:b/>
          <w:bCs/>
          <w:iCs/>
          <w:lang w:val="lt-LT"/>
        </w:rPr>
        <w:t xml:space="preserve">Komentaras </w:t>
      </w:r>
    </w:p>
    <w:p w14:paraId="15A8B3E1" w14:textId="77777777" w:rsidR="00B2244C" w:rsidRPr="00141E36" w:rsidRDefault="00B2244C" w:rsidP="00DD4E26">
      <w:pPr>
        <w:spacing w:after="0"/>
        <w:ind w:firstLine="720"/>
        <w:jc w:val="both"/>
        <w:rPr>
          <w:szCs w:val="20"/>
          <w:lang w:val="lt-LT"/>
        </w:rPr>
      </w:pPr>
      <w:r w:rsidRPr="00141E36">
        <w:rPr>
          <w:bCs/>
          <w:iCs/>
          <w:lang w:val="lt-LT"/>
        </w:rPr>
        <w:t>1. Ši punkto nuostata taikoma toms individualioms įmonėms, kurių savininkas ir (arba) jo šeimos nariai paskutinę</w:t>
      </w:r>
      <w:r w:rsidRPr="00141E36">
        <w:rPr>
          <w:szCs w:val="20"/>
          <w:lang w:val="lt-LT"/>
        </w:rPr>
        <w:t xml:space="preserve"> mokestinio laikotarpio dieną kitame vienete valdo daugiau kaip 50 proc. akcijų (dalių, pajų) ir jeigu šių vienetų, t. y. individualios įmonės ir vieneto, kuriame individualios įmonės savininkas ir (arba) jo šeimos nariai valdo daugiau kaip 50 proc. akcijų (dalių, pajų), bendros </w:t>
      </w:r>
      <w:r w:rsidRPr="00141E36">
        <w:rPr>
          <w:bCs/>
          <w:lang w:val="lt-LT"/>
        </w:rPr>
        <w:t xml:space="preserve">mokestinio laikotarpio </w:t>
      </w:r>
      <w:r w:rsidRPr="00141E36">
        <w:rPr>
          <w:szCs w:val="20"/>
          <w:lang w:val="lt-LT"/>
        </w:rPr>
        <w:t xml:space="preserve">pajamos viršija PMĮ 5 str. 2 dalyje nustatytą pajamų apribojimą, t. y. 300 000 Eur.  </w:t>
      </w:r>
    </w:p>
    <w:p w14:paraId="0409895F" w14:textId="77777777" w:rsidR="00B2244C" w:rsidRPr="00141E36" w:rsidRDefault="00B2244C" w:rsidP="00DD4E26">
      <w:pPr>
        <w:tabs>
          <w:tab w:val="left" w:pos="720"/>
          <w:tab w:val="left" w:pos="1077"/>
          <w:tab w:val="left" w:pos="1418"/>
        </w:tabs>
        <w:spacing w:after="0"/>
        <w:ind w:firstLine="720"/>
        <w:jc w:val="both"/>
        <w:rPr>
          <w:szCs w:val="20"/>
          <w:lang w:val="lt-LT"/>
        </w:rPr>
      </w:pPr>
      <w:r w:rsidRPr="00141E36">
        <w:rPr>
          <w:szCs w:val="20"/>
          <w:lang w:val="lt-LT"/>
        </w:rPr>
        <w:t xml:space="preserve">Taip pat, ši punkto nuostata taikoma tiems vienetams, kurių daugiau kaip 50 proc. akcijų (dalių, pajų) paskutinę mokestinio laikotarpio dieną valdo individualios įmonės savininkas ir (arba) jo šeimos nariai, bei kurių bendros </w:t>
      </w:r>
      <w:r w:rsidRPr="00141E36">
        <w:rPr>
          <w:bCs/>
          <w:lang w:val="lt-LT"/>
        </w:rPr>
        <w:t>mokestinio laikotarpio</w:t>
      </w:r>
      <w:r w:rsidRPr="00141E36">
        <w:rPr>
          <w:szCs w:val="20"/>
          <w:lang w:val="lt-LT"/>
        </w:rPr>
        <w:t xml:space="preserve"> pajamos viršija PMĮ 5 str. 2 dalyje nustatytą pajamų apribojimą, t. y. 300 000 Eur. </w:t>
      </w:r>
    </w:p>
    <w:p w14:paraId="7CE7B1B0" w14:textId="77777777" w:rsidR="00B2244C" w:rsidRPr="00A51AB1" w:rsidRDefault="00B2244C" w:rsidP="00DD4E26">
      <w:pPr>
        <w:tabs>
          <w:tab w:val="left" w:pos="720"/>
          <w:tab w:val="left" w:pos="1077"/>
          <w:tab w:val="left" w:pos="1418"/>
        </w:tabs>
        <w:spacing w:after="0"/>
        <w:ind w:firstLine="720"/>
        <w:jc w:val="both"/>
        <w:rPr>
          <w:szCs w:val="20"/>
          <w:lang w:val="lt-LT"/>
        </w:rPr>
      </w:pPr>
      <w:r w:rsidRPr="00141E36">
        <w:rPr>
          <w:szCs w:val="20"/>
          <w:lang w:val="lt-LT"/>
        </w:rPr>
        <w:t>Vadinasi, tos individualios įmonės bei vienetai, kurių daugiau kaip 50 proc. akcijų (dalių, pajų) paskutinę mokestinio laikotarpio dieną valdo individualios įmonės savininkas ir (arba) jo šeimos nariai bei</w:t>
      </w:r>
      <w:r>
        <w:rPr>
          <w:szCs w:val="20"/>
          <w:lang w:val="lt-LT"/>
        </w:rPr>
        <w:t>,</w:t>
      </w:r>
      <w:r w:rsidRPr="00141E36">
        <w:rPr>
          <w:szCs w:val="20"/>
          <w:lang w:val="lt-LT"/>
        </w:rPr>
        <w:t xml:space="preserve"> kurių bendros pajamos viršija nustatytą dydį, negali apmokestinamojo pelno apmokestinti taikant PMĮ 5 str. 2 dalyje nustatytą lengvatinį </w:t>
      </w:r>
      <w:r w:rsidRPr="00141E36">
        <w:rPr>
          <w:lang w:val="lt-LT"/>
        </w:rPr>
        <w:t xml:space="preserve">7 proc. arba 0 proc. (pirmąjį ir antrąjį </w:t>
      </w:r>
      <w:r w:rsidRPr="00141E36">
        <w:rPr>
          <w:bCs/>
          <w:color w:val="000000"/>
          <w:lang w:val="lt-LT"/>
        </w:rPr>
        <w:t>mokestinius laikotarpius</w:t>
      </w:r>
      <w:r w:rsidRPr="00141E36">
        <w:rPr>
          <w:lang w:val="lt-LT"/>
        </w:rPr>
        <w:t xml:space="preserve">) </w:t>
      </w:r>
      <w:r w:rsidRPr="00141E36">
        <w:rPr>
          <w:szCs w:val="20"/>
          <w:lang w:val="lt-LT"/>
        </w:rPr>
        <w:t>pelno mokesčio tarifą.</w:t>
      </w:r>
    </w:p>
    <w:p w14:paraId="5F98A545" w14:textId="77777777" w:rsidR="00B2244C" w:rsidRDefault="00B2244C" w:rsidP="00DD4E26">
      <w:pPr>
        <w:tabs>
          <w:tab w:val="left" w:pos="720"/>
          <w:tab w:val="left" w:pos="1077"/>
          <w:tab w:val="left" w:pos="1418"/>
        </w:tabs>
        <w:spacing w:after="0"/>
        <w:ind w:firstLine="720"/>
        <w:jc w:val="both"/>
        <w:rPr>
          <w:lang w:val="lt-LT"/>
        </w:rPr>
      </w:pPr>
      <w:r>
        <w:rPr>
          <w:lang w:val="lt-LT"/>
        </w:rPr>
        <w:t>1</w:t>
      </w:r>
      <w:r w:rsidRPr="00E71AD5">
        <w:rPr>
          <w:lang w:val="lt-LT"/>
        </w:rPr>
        <w:t xml:space="preserve"> pavyzdys</w:t>
      </w:r>
    </w:p>
    <w:p w14:paraId="7E093D7A" w14:textId="77777777" w:rsidR="00B2244C" w:rsidRPr="00F46FC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F46FC2">
        <w:rPr>
          <w:lang w:val="lt-LT"/>
        </w:rPr>
        <w:t xml:space="preserve">Individualios įmonės savininkui priklauso UAB X 50 proc. akcijų, likusias 50 proc. UAB X akcijų valdo kartu gyvenanti individualios įmonės savininko duktė. </w:t>
      </w:r>
    </w:p>
    <w:p w14:paraId="4388635C" w14:textId="77777777" w:rsidR="00B2244C" w:rsidRPr="00F46FC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F46FC2">
        <w:rPr>
          <w:lang w:val="lt-LT"/>
        </w:rPr>
        <w:t xml:space="preserve">UAB X </w:t>
      </w:r>
      <w:r w:rsidRPr="00F46FC2">
        <w:rPr>
          <w:szCs w:val="20"/>
          <w:lang w:val="lt-LT"/>
        </w:rPr>
        <w:t xml:space="preserve">2026 mokestinių metų pajamos - 250 000 Eur, o individualios įmonės mokestinių metų pajamos - 150 000 </w:t>
      </w:r>
      <w:r w:rsidRPr="00F46FC2">
        <w:rPr>
          <w:lang w:val="lt-LT"/>
        </w:rPr>
        <w:t>Eur</w:t>
      </w:r>
      <w:r w:rsidRPr="00F46FC2">
        <w:rPr>
          <w:szCs w:val="20"/>
          <w:lang w:val="lt-LT"/>
        </w:rPr>
        <w:t xml:space="preserve"> Bendros šių vienetų 2026 mokestinių metų pajamos – 400 000 Eur.</w:t>
      </w:r>
    </w:p>
    <w:p w14:paraId="6258ABF1" w14:textId="77777777" w:rsidR="00B2244C" w:rsidRPr="00E71AD5"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F46FC2">
        <w:rPr>
          <w:szCs w:val="20"/>
          <w:lang w:val="lt-LT"/>
        </w:rPr>
        <w:t>Atsižvelgiant į tai, kad šių vienetų bendros mokestinių metų pajamos viršija PMĮ 5 str. 2 dalyje nustatytą apribojimą, t. y. 300 000 Eur, apmokestindami 2026 mokestinių metų apmokestinamąjį pelną, šie vienetai negali taikyti PMĮ 5 str. 2 dalyje nustatyto lengvatinio pelno mokesčio tarifo.</w:t>
      </w:r>
      <w:r w:rsidRPr="00F46FC2">
        <w:rPr>
          <w:lang w:val="lt-LT"/>
        </w:rPr>
        <w:t xml:space="preserve"> Tų metų apmokestinamajam pelnui turi būti taikomas 17 proc. pelno mokesčio tarifas. </w:t>
      </w:r>
    </w:p>
    <w:p w14:paraId="7EC92F7D" w14:textId="77777777" w:rsidR="00B2244C" w:rsidRDefault="00B2244C" w:rsidP="00DD4E26">
      <w:pPr>
        <w:tabs>
          <w:tab w:val="left" w:pos="720"/>
          <w:tab w:val="left" w:pos="1077"/>
          <w:tab w:val="left" w:pos="1418"/>
        </w:tabs>
        <w:spacing w:after="0"/>
        <w:ind w:firstLine="720"/>
        <w:jc w:val="both"/>
        <w:rPr>
          <w:szCs w:val="20"/>
          <w:lang w:val="lt-LT"/>
        </w:rPr>
      </w:pPr>
      <w:r>
        <w:rPr>
          <w:szCs w:val="20"/>
          <w:lang w:val="lt-LT"/>
        </w:rPr>
        <w:t>2</w:t>
      </w:r>
      <w:r w:rsidRPr="00E71AD5">
        <w:rPr>
          <w:szCs w:val="20"/>
          <w:lang w:val="lt-LT"/>
        </w:rPr>
        <w:t xml:space="preserve"> pavyzdys</w:t>
      </w:r>
    </w:p>
    <w:p w14:paraId="072FC0AE" w14:textId="77777777" w:rsidR="00B2244C" w:rsidRPr="0022501E"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324582">
        <w:rPr>
          <w:szCs w:val="20"/>
          <w:lang w:val="lt-LT"/>
        </w:rPr>
        <w:t xml:space="preserve">Individualios įmonės X savininko šeimos nariai nėra kitų individualių įmonių savininkai, tačiau </w:t>
      </w:r>
      <w:r w:rsidRPr="0022501E">
        <w:rPr>
          <w:szCs w:val="20"/>
          <w:lang w:val="lt-LT"/>
        </w:rPr>
        <w:t xml:space="preserve">pats įmonės savininkas paskutinę 2026 metų mokestinio laikotarpio dieną valdo UAB Y 55 proc. akcijų, t. y. individualios įmonės X savininko kitame vienete turimos akcijos viršija 50 proc. </w:t>
      </w:r>
    </w:p>
    <w:p w14:paraId="4DFF86D6" w14:textId="77777777" w:rsidR="00B2244C" w:rsidRPr="0022501E"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22501E">
        <w:rPr>
          <w:szCs w:val="20"/>
          <w:lang w:val="lt-LT"/>
        </w:rPr>
        <w:t xml:space="preserve">Individualios įmonės X 2026 metų mokestinio laikotarpio pajamos 50 000 </w:t>
      </w:r>
      <w:r w:rsidRPr="0022501E">
        <w:rPr>
          <w:lang w:val="lt-LT"/>
        </w:rPr>
        <w:t>Eur</w:t>
      </w:r>
      <w:r w:rsidRPr="0022501E">
        <w:rPr>
          <w:szCs w:val="20"/>
          <w:lang w:val="lt-LT"/>
        </w:rPr>
        <w:t>, o UAB Y 2026 mokestinių metų pajamos - 100 000 Eur. Bendros šių vienetų 2026 mokestinių metų pajamos – 150 000 Eur.</w:t>
      </w:r>
    </w:p>
    <w:p w14:paraId="5EE49F59" w14:textId="77777777" w:rsidR="00B2244C" w:rsidRPr="00E71AD5"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22501E">
        <w:rPr>
          <w:szCs w:val="20"/>
          <w:lang w:val="lt-LT"/>
        </w:rPr>
        <w:t>Atsižvelgiant į tai, kad individualios įmonės X ir UAB Y bendros mokestinio laikotarpio pajamos neviršija PMĮ 5 str. 2 dalyje nustatyto pajamų apribojimo, t. y.  300 000 Eur, apmokestindami 2026 mokestinių metų apmokestinamąjį pelną, šie vienetai gali taikyti PMĮ 5 str. 2 dalyje nustatytą lengvatinį pelno mokesčio tarifą.</w:t>
      </w:r>
    </w:p>
    <w:p w14:paraId="03C210D9" w14:textId="77777777" w:rsidR="00B2244C" w:rsidRDefault="00B2244C" w:rsidP="00DD4E26">
      <w:pPr>
        <w:spacing w:after="0" w:line="360" w:lineRule="auto"/>
        <w:ind w:firstLine="720"/>
        <w:jc w:val="both"/>
        <w:rPr>
          <w:rFonts w:ascii="TimesLT" w:hAnsi="TimesLT" w:cs="Arial Unicode MS"/>
          <w:lang w:val="lt-LT"/>
        </w:rPr>
      </w:pPr>
      <w:r>
        <w:rPr>
          <w:rFonts w:ascii="TimesLT" w:hAnsi="TimesLT" w:cs="Arial Unicode MS"/>
          <w:lang w:val="lt-LT"/>
        </w:rPr>
        <w:t>3</w:t>
      </w:r>
      <w:r w:rsidRPr="00E71AD5">
        <w:rPr>
          <w:rFonts w:ascii="TimesLT" w:hAnsi="TimesLT" w:cs="Arial Unicode MS"/>
          <w:lang w:val="lt-LT"/>
        </w:rPr>
        <w:t xml:space="preserve"> pavyzdys    </w:t>
      </w:r>
    </w:p>
    <w:p w14:paraId="470CFD71" w14:textId="77777777" w:rsidR="00B2244C" w:rsidRPr="00A3054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A30542">
        <w:rPr>
          <w:szCs w:val="20"/>
          <w:lang w:val="lt-LT"/>
        </w:rPr>
        <w:t>Individualios įmonės Y savininkas yra viešosios įstaigos (pelno nesiekiančios organizacijos) steigėjas ir vienintelis šios įstaigos dalininkas, t. y. individualios įmonės savininkui priklauso 100 proc. viešosios įstaigos dalininko kapitalo.</w:t>
      </w:r>
    </w:p>
    <w:p w14:paraId="5863C31F" w14:textId="77777777" w:rsidR="00B2244C" w:rsidRPr="00A30542"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A30542">
        <w:rPr>
          <w:szCs w:val="20"/>
          <w:lang w:val="lt-LT"/>
        </w:rPr>
        <w:lastRenderedPageBreak/>
        <w:t xml:space="preserve">Individualios įmonės Y 2026 metų mokestinio laikotarpio pajamos 220 000 </w:t>
      </w:r>
      <w:r w:rsidRPr="00A30542">
        <w:rPr>
          <w:lang w:val="lt-LT"/>
        </w:rPr>
        <w:t>Eur</w:t>
      </w:r>
      <w:r w:rsidRPr="00A30542">
        <w:rPr>
          <w:szCs w:val="20"/>
          <w:lang w:val="lt-LT"/>
        </w:rPr>
        <w:t xml:space="preserve">, o viešosios įstaigos pajamos - 70 000 </w:t>
      </w:r>
      <w:r w:rsidRPr="00A30542">
        <w:rPr>
          <w:lang w:val="lt-LT"/>
        </w:rPr>
        <w:t xml:space="preserve">Eur. </w:t>
      </w:r>
      <w:r w:rsidRPr="00A30542">
        <w:rPr>
          <w:szCs w:val="20"/>
          <w:lang w:val="lt-LT"/>
        </w:rPr>
        <w:t>Bendros šių vienetų 2026 mokestinių metų pajamos – 290 000 Eur.</w:t>
      </w:r>
    </w:p>
    <w:p w14:paraId="06416BC2" w14:textId="77777777" w:rsidR="00B2244C" w:rsidRPr="00F510E7" w:rsidRDefault="00B2244C"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rFonts w:ascii="Arial Unicode MS" w:hAnsi="Arial Unicode MS" w:cs="Arial Unicode MS"/>
          <w:i/>
          <w:iCs/>
          <w:sz w:val="20"/>
          <w:szCs w:val="20"/>
          <w:lang w:val="lt-LT"/>
        </w:rPr>
      </w:pPr>
      <w:r w:rsidRPr="00A30542">
        <w:rPr>
          <w:szCs w:val="20"/>
          <w:lang w:val="lt-LT"/>
        </w:rPr>
        <w:t>Atsižvelgiant į tai, kad 2026 metais individualios įmonės Y ir viešosios įstaigos bendros mokestinio laikotarpio pajamos neviršija PMĮ 5 str. 2 dalyje nustatyto pajamų apribojimo, t. y.  300 000 Eur, šie vienetai apmokestindami 2026 mokestinių metų apmokestinamąjį pelną, gali taikyti PMĮ 5 str. 2 dalyje nustatytą lengvatinį pelno mokesčio tarifą.</w:t>
      </w:r>
    </w:p>
    <w:p w14:paraId="16CFAFBF" w14:textId="77777777" w:rsidR="00CB71B2" w:rsidRDefault="00CB71B2" w:rsidP="005C1F9A">
      <w:pPr>
        <w:rPr>
          <w:color w:val="FF0000"/>
          <w:lang w:val="lt-LT"/>
        </w:rPr>
      </w:pPr>
    </w:p>
    <w:p w14:paraId="3895E3B1" w14:textId="77777777" w:rsidR="005C1F9A" w:rsidRPr="00CB71B2" w:rsidRDefault="005C1F9A" w:rsidP="005C1F9A">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694CC4B5" w14:textId="77777777" w:rsidR="00F32DE7" w:rsidRDefault="00F32DE7" w:rsidP="00C36238">
      <w:pPr>
        <w:tabs>
          <w:tab w:val="left" w:pos="720"/>
          <w:tab w:val="left" w:pos="1077"/>
          <w:tab w:val="left" w:pos="1418"/>
        </w:tabs>
        <w:spacing w:after="0"/>
        <w:jc w:val="both"/>
        <w:rPr>
          <w:b/>
          <w:lang w:val="lt-LT"/>
        </w:rPr>
      </w:pPr>
    </w:p>
    <w:p w14:paraId="41233190" w14:textId="77777777" w:rsidR="00493D7B" w:rsidRDefault="007A3283" w:rsidP="00C36238">
      <w:pPr>
        <w:tabs>
          <w:tab w:val="left" w:pos="720"/>
          <w:tab w:val="left" w:pos="1077"/>
          <w:tab w:val="left" w:pos="1418"/>
        </w:tabs>
        <w:spacing w:after="0"/>
        <w:ind w:firstLine="720"/>
        <w:jc w:val="both"/>
        <w:rPr>
          <w:b/>
          <w:lang w:val="lt-LT"/>
        </w:rPr>
      </w:pPr>
      <w:r w:rsidRPr="00E71AD5">
        <w:rPr>
          <w:b/>
          <w:lang w:val="lt-LT"/>
        </w:rPr>
        <w:t>3)</w:t>
      </w:r>
      <w:r w:rsidRPr="00E71AD5">
        <w:rPr>
          <w:b/>
          <w:lang w:val="lt-LT"/>
        </w:rPr>
        <w:tab/>
        <w:t xml:space="preserve">vienetams, kuriuose tas pats dalyvis paskutinę mokestinio laikotarpio dieną valdo daugiau kaip 50 procentų akcijų (dalių, pajų); </w:t>
      </w:r>
    </w:p>
    <w:p w14:paraId="7E314B08" w14:textId="77777777" w:rsidR="00675C9B" w:rsidRPr="00675C9B" w:rsidRDefault="00675C9B" w:rsidP="00F32DE7">
      <w:pPr>
        <w:tabs>
          <w:tab w:val="left" w:pos="720"/>
          <w:tab w:val="left" w:pos="1077"/>
          <w:tab w:val="left" w:pos="1418"/>
        </w:tabs>
        <w:spacing w:before="160"/>
        <w:ind w:firstLine="720"/>
        <w:jc w:val="both"/>
        <w:rPr>
          <w:b/>
          <w:lang w:val="lt-LT"/>
        </w:rPr>
      </w:pPr>
      <w:r w:rsidRPr="001D56FD">
        <w:rPr>
          <w:b/>
          <w:lang w:val="lt-LT"/>
        </w:rPr>
        <w:t>Komentaras</w:t>
      </w:r>
    </w:p>
    <w:p w14:paraId="44187D6C" w14:textId="77777777" w:rsidR="00675C9B" w:rsidRPr="001D56FD" w:rsidRDefault="00675C9B" w:rsidP="00DD4E26">
      <w:pPr>
        <w:tabs>
          <w:tab w:val="left" w:pos="720"/>
          <w:tab w:val="left" w:pos="1077"/>
          <w:tab w:val="left" w:pos="1418"/>
        </w:tabs>
        <w:spacing w:after="0"/>
        <w:ind w:firstLine="720"/>
        <w:jc w:val="both"/>
        <w:rPr>
          <w:lang w:val="lt-LT"/>
        </w:rPr>
      </w:pPr>
      <w:r w:rsidRPr="001D56FD">
        <w:rPr>
          <w:lang w:val="lt-LT"/>
        </w:rPr>
        <w:t>1. Šio punkto nuostata taikoma tiems vienetams, kuriuose tas pats dalyvis (akcininkas, narys ar pajininkas) paskutinę mokestinio laikotarpio dieną valdo daugiau kaip 50 proc. akcijų (dalių, pajų)</w:t>
      </w:r>
      <w:r w:rsidRPr="001D56FD">
        <w:rPr>
          <w:szCs w:val="20"/>
          <w:lang w:val="lt-LT"/>
        </w:rPr>
        <w:t xml:space="preserve"> bei jeigu šių vienetų bendros mokestinio laikotarpio pajamos viršija PMĮ 5 str. 2 dalyje nustatytą pajamų apribojimą, t. y. 300 000 Eur. </w:t>
      </w:r>
      <w:r w:rsidRPr="001D56FD">
        <w:rPr>
          <w:lang w:val="lt-LT"/>
        </w:rPr>
        <w:t xml:space="preserve">Vienetai, atitinkantys šią sąlygą, negali apmokestinamojo pelno apmokestinti taikant </w:t>
      </w:r>
      <w:r w:rsidRPr="001D56FD">
        <w:rPr>
          <w:szCs w:val="20"/>
          <w:lang w:val="lt-LT"/>
        </w:rPr>
        <w:t xml:space="preserve">PMĮ 5 str. 2 dalyje nustatytą lengvatinį </w:t>
      </w:r>
      <w:r w:rsidRPr="001D56FD">
        <w:rPr>
          <w:lang w:val="lt-LT"/>
        </w:rPr>
        <w:t xml:space="preserve">7 procentų </w:t>
      </w:r>
      <w:r w:rsidRPr="001D56FD">
        <w:rPr>
          <w:szCs w:val="20"/>
          <w:lang w:val="lt-LT"/>
        </w:rPr>
        <w:t xml:space="preserve">arba 0 proc. (pirmąjį </w:t>
      </w:r>
      <w:r w:rsidRPr="001D56FD">
        <w:rPr>
          <w:lang w:val="lt-LT"/>
        </w:rPr>
        <w:t xml:space="preserve">ir antrąjį </w:t>
      </w:r>
      <w:r w:rsidRPr="001D56FD">
        <w:rPr>
          <w:bCs/>
          <w:lang w:val="lt-LT"/>
        </w:rPr>
        <w:t>mokestinius laikotarpius</w:t>
      </w:r>
      <w:r w:rsidRPr="001D56FD">
        <w:rPr>
          <w:szCs w:val="20"/>
          <w:lang w:val="lt-LT"/>
        </w:rPr>
        <w:t xml:space="preserve">) </w:t>
      </w:r>
      <w:r w:rsidRPr="001D56FD">
        <w:rPr>
          <w:lang w:val="lt-LT"/>
        </w:rPr>
        <w:t xml:space="preserve">tarifą. </w:t>
      </w:r>
    </w:p>
    <w:p w14:paraId="7A907A76"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jc w:val="both"/>
        <w:rPr>
          <w:szCs w:val="20"/>
          <w:lang w:val="lt-LT"/>
        </w:rPr>
      </w:pPr>
      <w:r w:rsidRPr="001D56FD">
        <w:rPr>
          <w:szCs w:val="20"/>
          <w:lang w:val="lt-LT"/>
        </w:rPr>
        <w:t>1 pavyzdys</w:t>
      </w:r>
    </w:p>
    <w:p w14:paraId="13B70618"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UAB X akcininkas A paskutinę 2026 metų mokestinio laikotarpio dieną valdo 52 proc. UAB X akcijų ir 60 proc. UAB Y akcijų, t. y.  tas pats UAB X ir UAB Y akcininkas A valdo daugiau kaip 50 proc. akcijų.</w:t>
      </w:r>
    </w:p>
    <w:p w14:paraId="6F7178B1"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lang w:val="lt-LT"/>
        </w:rPr>
        <w:t xml:space="preserve">UAB X </w:t>
      </w:r>
      <w:r w:rsidRPr="001D56FD">
        <w:rPr>
          <w:szCs w:val="20"/>
          <w:lang w:val="lt-LT"/>
        </w:rPr>
        <w:t xml:space="preserve">2026 metų mokestinio laikotarpio </w:t>
      </w:r>
      <w:r w:rsidRPr="001D56FD">
        <w:rPr>
          <w:lang w:val="lt-LT"/>
        </w:rPr>
        <w:t xml:space="preserve">pajamos – 165 000 Eur, o UAB Y </w:t>
      </w:r>
      <w:r w:rsidRPr="001D56FD">
        <w:rPr>
          <w:szCs w:val="20"/>
          <w:lang w:val="lt-LT"/>
        </w:rPr>
        <w:t xml:space="preserve">mokestinio laikotarpio </w:t>
      </w:r>
      <w:r w:rsidRPr="001D56FD">
        <w:rPr>
          <w:lang w:val="lt-LT"/>
        </w:rPr>
        <w:t>pajamos –  100 000 Eur.</w:t>
      </w:r>
      <w:r w:rsidRPr="001D56FD">
        <w:rPr>
          <w:szCs w:val="20"/>
          <w:lang w:val="lt-LT"/>
        </w:rPr>
        <w:t xml:space="preserve"> Bendros UAB X ir UAB Y 2026 mokestinių metų metinės pajamos – 265 000 Eur.</w:t>
      </w:r>
    </w:p>
    <w:p w14:paraId="6F30246B"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Atsižvelgiant į tai, kad </w:t>
      </w:r>
      <w:r w:rsidRPr="001D56FD">
        <w:rPr>
          <w:szCs w:val="20"/>
          <w:lang w:val="lt-LT"/>
        </w:rPr>
        <w:t>2026 metais UAB X ir UAB Y bendros mokestinio laikotarpio pajamos neviršija PMĮ 5 str. 2 dalyje  nustatyto pajamų apribojimo, t. y. 300 000 Eur, šie vienetai apmokestindami 2026 mokestinių metų apmokestinamąjį pelną gali taikyti PMĮ 5 str. 2 dalyje nustatytą lengvatinį pelno mokesčio tarifą.</w:t>
      </w:r>
    </w:p>
    <w:p w14:paraId="24F22278"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ind w:firstLine="720"/>
        <w:jc w:val="both"/>
        <w:rPr>
          <w:szCs w:val="20"/>
          <w:lang w:val="lt-LT"/>
        </w:rPr>
      </w:pPr>
      <w:r w:rsidRPr="001D56FD">
        <w:rPr>
          <w:szCs w:val="20"/>
          <w:lang w:val="lt-LT"/>
        </w:rPr>
        <w:t>2 pavyzdys</w:t>
      </w:r>
    </w:p>
    <w:p w14:paraId="78212A56"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Mažosios bendrijos nariais yra gyventojai A ir B. Įnašai į mažąją bendriją yra gyventojo A – 52 proc., o gyventojo B - 48 proc. Taip pat, gyventojas A paskutinę 2026 metų mokestinio laikotarpio dieną valdo 51 proc. UAB X akcijų.    </w:t>
      </w:r>
    </w:p>
    <w:p w14:paraId="2B620FCB"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Mažosios bendrijos 2026 metų mokestinio laikotarpio</w:t>
      </w:r>
      <w:r w:rsidRPr="001D56FD">
        <w:rPr>
          <w:lang w:val="lt-LT"/>
        </w:rPr>
        <w:t>, pajamos – 35 000 Eur, o UAB X pajamos –  40 000 Eur.</w:t>
      </w:r>
      <w:r w:rsidRPr="001D56FD">
        <w:rPr>
          <w:szCs w:val="20"/>
          <w:lang w:val="lt-LT"/>
        </w:rPr>
        <w:t xml:space="preserve"> Bendros mažosios bendrijos ir UAB X 2026 mokestinių metų pajamos – 75 000 Eur.   </w:t>
      </w:r>
    </w:p>
    <w:p w14:paraId="6C049D9C"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Atsižvelgiant į tai, kad </w:t>
      </w:r>
      <w:r w:rsidRPr="001D56FD">
        <w:rPr>
          <w:szCs w:val="20"/>
          <w:lang w:val="lt-LT"/>
        </w:rPr>
        <w:t xml:space="preserve"> 2026 metais</w:t>
      </w:r>
      <w:r w:rsidRPr="001D56FD">
        <w:rPr>
          <w:lang w:val="lt-LT"/>
        </w:rPr>
        <w:t xml:space="preserve"> mažosios bendrijos ir  UAB X pajamos neviršija</w:t>
      </w:r>
      <w:r w:rsidRPr="001D56FD">
        <w:rPr>
          <w:szCs w:val="20"/>
          <w:lang w:val="lt-LT"/>
        </w:rPr>
        <w:t xml:space="preserve"> PMĮ 5 str. 2 dalyje, nustatyto pajamų apribojimo, šie vienetai, apmokestindami </w:t>
      </w:r>
      <w:r w:rsidRPr="001D56FD">
        <w:rPr>
          <w:lang w:val="lt-LT"/>
        </w:rPr>
        <w:t xml:space="preserve">2026 metų mokestinio laikotarpio apmokestinamąjį pelną, gali taikyti </w:t>
      </w:r>
      <w:r w:rsidRPr="001D56FD">
        <w:rPr>
          <w:szCs w:val="20"/>
          <w:lang w:val="lt-LT"/>
        </w:rPr>
        <w:t xml:space="preserve">PMĮ 5 str. 2 dalyje nustatytą </w:t>
      </w:r>
      <w:r w:rsidRPr="001D56FD">
        <w:rPr>
          <w:lang w:val="lt-LT"/>
        </w:rPr>
        <w:t xml:space="preserve">lengvatinį pelno mokesčio tarifą.  </w:t>
      </w:r>
    </w:p>
    <w:p w14:paraId="081F52BA" w14:textId="77777777" w:rsidR="00675C9B" w:rsidRPr="001D56FD" w:rsidRDefault="00675C9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0" w:lineRule="atLeast"/>
        <w:ind w:firstLine="720"/>
        <w:jc w:val="both"/>
        <w:rPr>
          <w:szCs w:val="20"/>
          <w:lang w:val="lt-LT"/>
        </w:rPr>
      </w:pPr>
      <w:r w:rsidRPr="001D56FD">
        <w:rPr>
          <w:szCs w:val="20"/>
          <w:lang w:val="lt-LT"/>
        </w:rPr>
        <w:t>3 pavyzdys</w:t>
      </w:r>
    </w:p>
    <w:p w14:paraId="34B55029"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lang w:val="lt-LT"/>
        </w:rPr>
        <w:t xml:space="preserve">UAB A yra tikrosios ūkinės bendrijos dalyvis, kurio įnašas į tikrąją ūkinę bendriją yra 60 proc. visų įnašų sumos. UAB A paskutinę 2026 metų mokestinio laikotarpio dieną valdo 90 proc. UAB X akcijų,  t. y. tas pats dalyvis, - UAB A, paskutinę mokestinio laikotarpio dieną valdo daugiau kaip 50 proc. UAB X akcijų ir tikrosios ūkinės bendrijos įnašų.      </w:t>
      </w:r>
    </w:p>
    <w:p w14:paraId="2AD0FD47"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lang w:val="lt-LT"/>
        </w:rPr>
        <w:lastRenderedPageBreak/>
        <w:t>Tikrosios ūkinės bendrijos</w:t>
      </w:r>
      <w:r w:rsidRPr="001D56FD">
        <w:rPr>
          <w:szCs w:val="20"/>
          <w:lang w:val="lt-LT"/>
        </w:rPr>
        <w:t xml:space="preserve"> 2026 metų mokestinio laikotarpio</w:t>
      </w:r>
      <w:r w:rsidRPr="001D56FD">
        <w:rPr>
          <w:lang w:val="lt-LT"/>
        </w:rPr>
        <w:t xml:space="preserve"> pajamos –  190 000 Eur, o UAB X pajamos –  240 000 Eur.</w:t>
      </w:r>
      <w:r w:rsidRPr="001D56FD">
        <w:rPr>
          <w:szCs w:val="20"/>
          <w:lang w:val="lt-LT"/>
        </w:rPr>
        <w:t xml:space="preserve"> Bendros tikrosios ūkinės bendrijos ir UAB X 2026 mokestinių metų pajamos – 430 000 Eur.                 </w:t>
      </w:r>
    </w:p>
    <w:p w14:paraId="2E91521A" w14:textId="77777777" w:rsidR="00675C9B" w:rsidRPr="00F510E7"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Atsižvelgiant į tai, kad šių vienetų bendros mokestinio laikotarpio pajamos viršija PMĮ 5 str. 2 dalyje nustatytą apribojimą, t. y. 300 000 Eur, apmokestinant 2026 mokestinių metų apmokestinamąjį pelną, tiek tikroji ūkinė bendrija, tiek UAB X negali taikyti PMĮ 5 str. 2 dalyje nustatyto lengvatinio pelno mokesčio tarifo.</w:t>
      </w:r>
      <w:r w:rsidRPr="001D56FD">
        <w:rPr>
          <w:lang w:val="lt-LT"/>
        </w:rPr>
        <w:t xml:space="preserve"> Tų metų apmokestinamajam pelnui abu vienetai turi taikyti 17 proc. pelno mokesčio tarifą.  </w:t>
      </w:r>
    </w:p>
    <w:p w14:paraId="180789F6" w14:textId="77777777" w:rsidR="00CB71B2" w:rsidRDefault="00CB71B2" w:rsidP="005C1F9A">
      <w:pPr>
        <w:rPr>
          <w:color w:val="FF0000"/>
          <w:lang w:val="lt-LT"/>
        </w:rPr>
      </w:pPr>
    </w:p>
    <w:p w14:paraId="74446606"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7F0AF534" w14:textId="77777777" w:rsidR="007A3283" w:rsidRDefault="007A3283" w:rsidP="00DD4E26">
      <w:pPr>
        <w:tabs>
          <w:tab w:val="left" w:pos="720"/>
          <w:tab w:val="left" w:pos="1077"/>
          <w:tab w:val="left" w:pos="1418"/>
        </w:tabs>
        <w:spacing w:after="0"/>
        <w:ind w:firstLine="720"/>
        <w:jc w:val="both"/>
        <w:rPr>
          <w:b/>
          <w:lang w:val="lt-LT"/>
        </w:rPr>
      </w:pPr>
      <w:r w:rsidRPr="00E71AD5">
        <w:rPr>
          <w:b/>
          <w:bCs/>
          <w:lang w:val="lt-LT"/>
        </w:rPr>
        <w:t>4</w:t>
      </w:r>
      <w:r w:rsidRPr="00E71AD5">
        <w:rPr>
          <w:b/>
          <w:lang w:val="lt-LT"/>
        </w:rPr>
        <w:t>)</w:t>
      </w:r>
      <w:r w:rsidRPr="00E71AD5">
        <w:rPr>
          <w:b/>
          <w:lang w:val="lt-LT"/>
        </w:rPr>
        <w:tab/>
        <w:t xml:space="preserve">vienetams, kuriuose tie patys dalyviai kartu paskutinę mokestinio laikotarpio dieną valdo daugiau kaip 50 procentų akcijų (dalių, pajų). </w:t>
      </w:r>
    </w:p>
    <w:p w14:paraId="626DC400" w14:textId="77777777" w:rsidR="00493D7B" w:rsidRDefault="00493D7B" w:rsidP="00DD4E26">
      <w:pPr>
        <w:tabs>
          <w:tab w:val="left" w:pos="720"/>
          <w:tab w:val="left" w:pos="1077"/>
          <w:tab w:val="left" w:pos="1418"/>
        </w:tabs>
        <w:spacing w:after="0"/>
        <w:ind w:firstLine="720"/>
        <w:jc w:val="both"/>
        <w:rPr>
          <w:b/>
          <w:lang w:val="lt-LT"/>
        </w:rPr>
      </w:pPr>
    </w:p>
    <w:p w14:paraId="2805146F" w14:textId="77777777" w:rsidR="00675C9B" w:rsidRPr="00675C9B" w:rsidRDefault="00675C9B" w:rsidP="00F32DE7">
      <w:pPr>
        <w:tabs>
          <w:tab w:val="left" w:pos="720"/>
          <w:tab w:val="left" w:pos="1077"/>
          <w:tab w:val="left" w:pos="1418"/>
        </w:tabs>
        <w:spacing w:before="160"/>
        <w:ind w:firstLine="720"/>
        <w:jc w:val="both"/>
        <w:rPr>
          <w:b/>
          <w:lang w:val="lt-LT"/>
        </w:rPr>
      </w:pPr>
      <w:r w:rsidRPr="001D56FD">
        <w:rPr>
          <w:b/>
          <w:lang w:val="lt-LT"/>
        </w:rPr>
        <w:t>Komentaras</w:t>
      </w:r>
    </w:p>
    <w:p w14:paraId="65EDB765" w14:textId="77777777" w:rsidR="00675C9B" w:rsidRPr="001D56FD" w:rsidRDefault="00675C9B" w:rsidP="00DD4E26">
      <w:pPr>
        <w:tabs>
          <w:tab w:val="left" w:pos="720"/>
          <w:tab w:val="left" w:pos="1077"/>
          <w:tab w:val="left" w:pos="1418"/>
        </w:tabs>
        <w:spacing w:after="0"/>
        <w:ind w:firstLine="720"/>
        <w:jc w:val="both"/>
        <w:rPr>
          <w:lang w:val="lt-LT"/>
        </w:rPr>
      </w:pPr>
      <w:r w:rsidRPr="001D56FD">
        <w:rPr>
          <w:szCs w:val="20"/>
          <w:lang w:val="lt-LT"/>
        </w:rPr>
        <w:t xml:space="preserve">1. Šio punkto nuostata taikoma tiems vienetams, kuriuose tie patys dalyviai (akcininkai, nariai ar pajininkai) paskutinę mokestinio laikotarpio dieną kartu valdo daugiau kaip 50 proc. akcijų (dalių, pajų) bei jeigu šių vienetų bendros mokestinio laikotarpio pajamos viršija PMĮ 5 str. 2 dalyje nustatytą pajamų apribojimą,  t. y. 300 000 Eur. </w:t>
      </w:r>
      <w:r w:rsidRPr="001D56FD">
        <w:rPr>
          <w:lang w:val="lt-LT"/>
        </w:rPr>
        <w:t xml:space="preserve">Vienetai, atitinkantys šią sąlygą, negali apmokestinamojo pelno apmokestinti, taikant </w:t>
      </w:r>
      <w:r w:rsidRPr="001D56FD">
        <w:rPr>
          <w:szCs w:val="20"/>
          <w:lang w:val="lt-LT"/>
        </w:rPr>
        <w:t xml:space="preserve">PMĮ 5 str. 2 dalyje nustatytą lengvatinį </w:t>
      </w:r>
      <w:r w:rsidRPr="001D56FD">
        <w:rPr>
          <w:lang w:val="lt-LT"/>
        </w:rPr>
        <w:t xml:space="preserve">7 procentų </w:t>
      </w:r>
      <w:r w:rsidRPr="001D56FD">
        <w:rPr>
          <w:szCs w:val="20"/>
          <w:lang w:val="lt-LT"/>
        </w:rPr>
        <w:t xml:space="preserve">arba 0 proc. (pirmąjį </w:t>
      </w:r>
      <w:r w:rsidRPr="001D56FD">
        <w:rPr>
          <w:lang w:val="lt-LT"/>
        </w:rPr>
        <w:t xml:space="preserve">ir antrąjį </w:t>
      </w:r>
      <w:r w:rsidRPr="001D56FD">
        <w:rPr>
          <w:bCs/>
          <w:lang w:val="lt-LT"/>
        </w:rPr>
        <w:t>mokestinius laikotarpius</w:t>
      </w:r>
      <w:r w:rsidRPr="001D56FD">
        <w:rPr>
          <w:szCs w:val="20"/>
          <w:lang w:val="lt-LT"/>
        </w:rPr>
        <w:t xml:space="preserve">) </w:t>
      </w:r>
      <w:r w:rsidRPr="001D56FD">
        <w:rPr>
          <w:lang w:val="lt-LT"/>
        </w:rPr>
        <w:t xml:space="preserve">tarifą. </w:t>
      </w:r>
    </w:p>
    <w:p w14:paraId="6BA18C0F" w14:textId="77777777" w:rsidR="00675C9B" w:rsidRPr="00F510E7" w:rsidRDefault="00675C9B" w:rsidP="00044011">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ind w:firstLine="720"/>
        <w:jc w:val="both"/>
        <w:rPr>
          <w:szCs w:val="20"/>
          <w:lang w:val="lt-LT"/>
        </w:rPr>
      </w:pPr>
      <w:r w:rsidRPr="001D56FD">
        <w:rPr>
          <w:szCs w:val="20"/>
          <w:lang w:val="lt-LT"/>
        </w:rPr>
        <w:t>1 pavyzdys</w:t>
      </w:r>
    </w:p>
    <w:p w14:paraId="2F870AA5"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bookmarkStart w:id="58" w:name="_Hlk209689214"/>
      <w:r w:rsidRPr="001D56FD">
        <w:rPr>
          <w:szCs w:val="20"/>
          <w:lang w:val="lt-LT"/>
        </w:rPr>
        <w:t xml:space="preserve">UAB X du akcininkai A ir B paskutinę 2026 metų mokestinio laikotarpio dieną valdo po 30 proc. UAB X akcijų, t. y. kartu 60 proc., ir po 40 proc. UAB Y akcijų, t. y. abu akcininkai kartu paskutinę mokestinio laikotarpio dieną valdo 80 proc.,  ir tai sudaro daugiau kaip 50 proc. akcijų. </w:t>
      </w:r>
    </w:p>
    <w:p w14:paraId="6AB024B2"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UAB X 2026 metų mokestinio laikotarpio</w:t>
      </w:r>
      <w:r w:rsidRPr="001D56FD">
        <w:rPr>
          <w:lang w:val="lt-LT"/>
        </w:rPr>
        <w:t xml:space="preserve"> pajamos – 280 000 Eur, o UAB Y pajamos –  140 000 Eur.</w:t>
      </w:r>
      <w:r w:rsidRPr="001D56FD">
        <w:rPr>
          <w:szCs w:val="20"/>
          <w:lang w:val="lt-LT"/>
        </w:rPr>
        <w:t xml:space="preserve"> Bendros UAB X ir UAB Y 2026 mokestinių metų mokestinio laikotarpio pajamos 420 000 Eur.</w:t>
      </w:r>
    </w:p>
    <w:p w14:paraId="027CA8D2"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szCs w:val="20"/>
          <w:lang w:val="lt-LT"/>
        </w:rPr>
      </w:pPr>
      <w:r w:rsidRPr="001D56FD">
        <w:rPr>
          <w:szCs w:val="20"/>
          <w:lang w:val="lt-LT"/>
        </w:rPr>
        <w:t>Atsižvelgiant į tai, kad šių vienetų bendros mokestinio laikotarpio pajamos viršija PMĮ 5 str. 2 dalyje nustatytą apribojimą, tiek UAB X, tiek UAB Y apmokestindamos 2026 mokestinių metų apmokestinamąjį pelną negali taikyti PMĮ 5 str. 2 dalyje nustatyto lengvatinio pelno mokesčio tarifo.</w:t>
      </w:r>
      <w:r w:rsidRPr="001D56FD">
        <w:rPr>
          <w:lang w:val="lt-LT"/>
        </w:rPr>
        <w:t xml:space="preserve"> Tų metų apmokestinamajam pelnui turi būti taikomas 17 proc. pelno mokesčio tarifas.</w:t>
      </w:r>
    </w:p>
    <w:bookmarkEnd w:id="58"/>
    <w:p w14:paraId="03651FD7" w14:textId="77777777" w:rsidR="00675C9B" w:rsidRPr="001D56FD" w:rsidRDefault="00675C9B" w:rsidP="0004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line="340" w:lineRule="atLeast"/>
        <w:ind w:firstLine="720"/>
        <w:jc w:val="both"/>
        <w:rPr>
          <w:lang w:val="lt-LT"/>
        </w:rPr>
      </w:pPr>
      <w:r w:rsidRPr="001D56FD">
        <w:rPr>
          <w:lang w:val="lt-LT"/>
        </w:rPr>
        <w:t xml:space="preserve">2 pavyzdys </w:t>
      </w:r>
    </w:p>
    <w:p w14:paraId="59831A47"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Cs w:val="20"/>
          <w:lang w:val="lt-LT"/>
        </w:rPr>
      </w:pPr>
      <w:bookmarkStart w:id="59" w:name="_Hlk209689232"/>
      <w:r w:rsidRPr="001D56FD">
        <w:rPr>
          <w:szCs w:val="20"/>
          <w:lang w:val="lt-LT"/>
        </w:rPr>
        <w:t>Mažoji bendrija turi du narius – gyventojus A ir B (įnašų dalys lygios – t. y. po 50 proc.). Tačiau gyventojas A kartu su gyventoju B paskutinę 2026 metų mokestinio laikotarpio dieną kartu valdo 70 proc. akcijų UAB X, t. y. abu akcininkai kartu valdo daugiau kaip 50 proc. akcijų UAB X ir jiems kartu priklauso 100 proc. mažosios bendrijos įnašų.</w:t>
      </w:r>
    </w:p>
    <w:p w14:paraId="1593F5D8"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 xml:space="preserve">Atsižvelgiant į tai, kad mažosios bendrijos ir UAB X 2026 mokestinių metų bendros pajamos – 200 000 Eur, t. y. </w:t>
      </w:r>
      <w:r w:rsidRPr="001D56FD">
        <w:rPr>
          <w:lang w:val="lt-LT"/>
        </w:rPr>
        <w:t>neviršija</w:t>
      </w:r>
      <w:r w:rsidRPr="001D56FD">
        <w:rPr>
          <w:szCs w:val="20"/>
          <w:lang w:val="lt-LT"/>
        </w:rPr>
        <w:t xml:space="preserve"> PMĮ 5 str. 2 dalyje nustatyto pajamų apribojimo, todėl tiek mažoji bendrija, tiek </w:t>
      </w:r>
      <w:r w:rsidRPr="001D56FD">
        <w:rPr>
          <w:lang w:val="lt-LT"/>
        </w:rPr>
        <w:t xml:space="preserve">UAB X 2025 metų mokestinio laikotarpio apskaičiuotam apmokestinamajam pelnui gali taikyti </w:t>
      </w:r>
      <w:r w:rsidRPr="001D56FD">
        <w:rPr>
          <w:szCs w:val="20"/>
          <w:lang w:val="lt-LT"/>
        </w:rPr>
        <w:t xml:space="preserve">PMĮ 5 str. 2 dalyje nustatytą </w:t>
      </w:r>
      <w:r w:rsidRPr="001D56FD">
        <w:rPr>
          <w:lang w:val="lt-LT"/>
        </w:rPr>
        <w:t>lengvatinį pelno mokesčio tarifą.</w:t>
      </w:r>
    </w:p>
    <w:bookmarkEnd w:id="59"/>
    <w:p w14:paraId="684B24C6" w14:textId="77777777" w:rsidR="00675C9B" w:rsidRPr="001D56FD" w:rsidRDefault="00675C9B" w:rsidP="00044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line="340" w:lineRule="atLeast"/>
        <w:ind w:firstLine="720"/>
        <w:jc w:val="both"/>
        <w:rPr>
          <w:szCs w:val="20"/>
          <w:lang w:val="lt-LT"/>
        </w:rPr>
      </w:pPr>
      <w:r w:rsidRPr="001D56FD">
        <w:rPr>
          <w:szCs w:val="20"/>
          <w:lang w:val="lt-LT"/>
        </w:rPr>
        <w:t xml:space="preserve">3 pavyzdys </w:t>
      </w:r>
    </w:p>
    <w:p w14:paraId="25CEC0CF"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Cs w:val="20"/>
          <w:lang w:val="lt-LT"/>
        </w:rPr>
      </w:pPr>
      <w:r w:rsidRPr="001D56FD">
        <w:rPr>
          <w:lang w:val="lt-LT"/>
        </w:rPr>
        <w:t xml:space="preserve">Mažoji bendrija X turi du narius </w:t>
      </w:r>
      <w:r w:rsidRPr="001D56FD">
        <w:rPr>
          <w:szCs w:val="20"/>
          <w:lang w:val="lt-LT"/>
        </w:rPr>
        <w:t xml:space="preserve">gyventoją A ir B (įnašų dalys lygios – t. y. po 50 proc.), tačiau gyventojai A ir B taip pat yra mažosios bendrijos Y nariai, kurių įnašų dalys taip pat lygios – t. y. po </w:t>
      </w:r>
      <w:r w:rsidRPr="001D56FD">
        <w:rPr>
          <w:szCs w:val="20"/>
          <w:lang w:val="lt-LT"/>
        </w:rPr>
        <w:lastRenderedPageBreak/>
        <w:t>50 proc., t. y. gyventojai A ir B kartu paskutinę 2026 metų mokestinio laikotarpio dieną valdo daugiau kaip 50 proc. mažosios bendrijos X ir mažosios bendrijos Y įnašų.</w:t>
      </w:r>
    </w:p>
    <w:p w14:paraId="07C788DD" w14:textId="77777777" w:rsidR="00675C9B" w:rsidRPr="001D56FD" w:rsidRDefault="00675C9B" w:rsidP="00DD4E26">
      <w:pPr>
        <w:pBdr>
          <w:top w:val="single" w:sz="4" w:space="1" w:color="auto"/>
          <w:left w:val="single" w:sz="4" w:space="4" w:color="auto"/>
          <w:bottom w:val="single" w:sz="4" w:space="1" w:color="auto"/>
          <w:right w:val="single" w:sz="4" w:space="4" w:color="auto"/>
        </w:pBdr>
        <w:tabs>
          <w:tab w:val="left" w:pos="720"/>
          <w:tab w:val="left" w:pos="1077"/>
          <w:tab w:val="left" w:pos="1418"/>
        </w:tabs>
        <w:spacing w:after="0"/>
        <w:ind w:firstLine="720"/>
        <w:jc w:val="both"/>
        <w:rPr>
          <w:lang w:val="lt-LT"/>
        </w:rPr>
      </w:pPr>
      <w:r w:rsidRPr="001D56FD">
        <w:rPr>
          <w:szCs w:val="20"/>
          <w:lang w:val="lt-LT"/>
        </w:rPr>
        <w:t xml:space="preserve">Atsižvelgiant į tai, kad bendros mažosios bendrijos X ir mažosios bendrijos Y 2026 mokestinių metų pajamos – 250 000 Eur, t. y. </w:t>
      </w:r>
      <w:r w:rsidRPr="001D56FD">
        <w:rPr>
          <w:lang w:val="lt-LT"/>
        </w:rPr>
        <w:t>neviršija</w:t>
      </w:r>
      <w:r w:rsidRPr="001D56FD">
        <w:rPr>
          <w:szCs w:val="20"/>
          <w:lang w:val="lt-LT"/>
        </w:rPr>
        <w:t xml:space="preserve"> PMĮ 5 str. 2 dalyje nustatyto pajamų apribojimo, todėl abi mažosios bendrijos </w:t>
      </w:r>
      <w:r w:rsidRPr="001D56FD">
        <w:rPr>
          <w:lang w:val="lt-LT"/>
        </w:rPr>
        <w:t xml:space="preserve">2026 metų mokestinio laikotarpio apskaičiuotam apmokestinamajam pelnui gali taikyti </w:t>
      </w:r>
      <w:r w:rsidRPr="001D56FD">
        <w:rPr>
          <w:szCs w:val="20"/>
          <w:lang w:val="lt-LT"/>
        </w:rPr>
        <w:t xml:space="preserve">PMĮ 5 str. 2 dalyje nustatytą </w:t>
      </w:r>
      <w:r w:rsidRPr="001D56FD">
        <w:rPr>
          <w:lang w:val="lt-LT"/>
        </w:rPr>
        <w:t>lengvatinį pelno mokesčio tarifą.</w:t>
      </w:r>
    </w:p>
    <w:p w14:paraId="0CDA3A97" w14:textId="77777777" w:rsidR="00C36238" w:rsidRDefault="00C36238" w:rsidP="00C36238">
      <w:pPr>
        <w:tabs>
          <w:tab w:val="left" w:pos="720"/>
          <w:tab w:val="left" w:pos="1077"/>
          <w:tab w:val="left" w:pos="1418"/>
        </w:tabs>
        <w:spacing w:after="0"/>
        <w:jc w:val="both"/>
        <w:rPr>
          <w:bCs/>
          <w:i/>
          <w:szCs w:val="20"/>
          <w:lang w:val="lt-LT"/>
        </w:rPr>
      </w:pPr>
      <w:r w:rsidRPr="00C66211">
        <w:rPr>
          <w:bCs/>
          <w:i/>
          <w:szCs w:val="20"/>
          <w:lang w:val="lt-LT"/>
        </w:rPr>
        <w:t xml:space="preserve">(Pagal 2025 m. birželio 17 d. įstatymo Nr.  </w:t>
      </w:r>
      <w:r w:rsidRPr="00C66211">
        <w:rPr>
          <w:i/>
        </w:rPr>
        <w:t>XV-285</w:t>
      </w:r>
      <w:r w:rsidRPr="00C66211">
        <w:rPr>
          <w:bCs/>
          <w:i/>
          <w:szCs w:val="20"/>
          <w:lang w:val="lt-LT"/>
        </w:rPr>
        <w:t xml:space="preserve"> redakciją; taikoma apskaičiuojant 2026 metais prasidėjusio ir vėlesnių mokestinių laikotarpių apmokestinamąjį pelną)</w:t>
      </w:r>
    </w:p>
    <w:p w14:paraId="2B065E17" w14:textId="77777777" w:rsidR="00493D7B" w:rsidRDefault="00493D7B" w:rsidP="00C36238">
      <w:pPr>
        <w:spacing w:after="0"/>
        <w:jc w:val="both"/>
        <w:rPr>
          <w:b/>
          <w:bCs/>
        </w:rPr>
      </w:pPr>
    </w:p>
    <w:p w14:paraId="2E546AC7" w14:textId="77777777" w:rsidR="00093845" w:rsidRDefault="00493D7B" w:rsidP="00DD4E26">
      <w:pPr>
        <w:pStyle w:val="Sraopastraipa"/>
        <w:spacing w:after="0"/>
        <w:jc w:val="both"/>
      </w:pPr>
      <w:r>
        <w:rPr>
          <w:b/>
          <w:bCs/>
        </w:rPr>
        <w:t xml:space="preserve">4. </w:t>
      </w:r>
      <w:r w:rsidR="000D779E" w:rsidRPr="00493D7B">
        <w:rPr>
          <w:b/>
          <w:bCs/>
        </w:rPr>
        <w:t>NETEKO GALIOS</w:t>
      </w:r>
      <w:r w:rsidR="000D779E" w:rsidRPr="00493D7B">
        <w:rPr>
          <w:b/>
          <w:bCs/>
          <w:i/>
        </w:rPr>
        <w:t xml:space="preserve">: </w:t>
      </w:r>
      <w:r w:rsidR="000D779E" w:rsidRPr="00493D7B">
        <w:rPr>
          <w:b/>
          <w:bCs/>
        </w:rPr>
        <w:t>2018 06 28 įstatymu Nr. XIII-1333 (nuo 2019 01 01</w:t>
      </w:r>
      <w:r w:rsidR="000D779E" w:rsidRPr="005D5312">
        <w:t>)</w:t>
      </w:r>
    </w:p>
    <w:p w14:paraId="779126A3" w14:textId="77777777" w:rsidR="00493D7B" w:rsidRDefault="00493D7B" w:rsidP="00DD4E26">
      <w:pPr>
        <w:pStyle w:val="Sraopastraipa"/>
        <w:spacing w:after="0"/>
        <w:jc w:val="both"/>
      </w:pPr>
    </w:p>
    <w:p w14:paraId="16842CF5" w14:textId="77777777" w:rsidR="004C62C6" w:rsidRDefault="000D779E"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iCs/>
        </w:rPr>
      </w:pPr>
      <w:r w:rsidRPr="009B5DF3">
        <w:rPr>
          <w:b/>
          <w:bCs/>
          <w:szCs w:val="20"/>
        </w:rPr>
        <w:t xml:space="preserve">       </w:t>
      </w:r>
      <w:r w:rsidRPr="009B5DF3">
        <w:rPr>
          <w:b/>
        </w:rPr>
        <w:t xml:space="preserve">     </w:t>
      </w:r>
      <w:r w:rsidRPr="004A0910">
        <w:rPr>
          <w:b/>
        </w:rPr>
        <w:t>5</w:t>
      </w:r>
      <w:r w:rsidRPr="004A0910">
        <w:rPr>
          <w:b/>
          <w:i/>
        </w:rPr>
        <w:t xml:space="preserve">. </w:t>
      </w:r>
      <w:r w:rsidRPr="004A0910">
        <w:rPr>
          <w:b/>
          <w:iCs/>
        </w:rPr>
        <w:t>NETEKO GALIOS</w:t>
      </w:r>
      <w:r>
        <w:rPr>
          <w:b/>
          <w:i/>
          <w:iCs/>
        </w:rPr>
        <w:t xml:space="preserve">: </w:t>
      </w:r>
      <w:r w:rsidRPr="005D5312">
        <w:rPr>
          <w:b/>
          <w:iCs/>
        </w:rPr>
        <w:t>2017 12 07 įstatymu Nr. XIII-842 (nuo 2017 12 23)</w:t>
      </w:r>
    </w:p>
    <w:p w14:paraId="67BD82A7" w14:textId="77777777" w:rsidR="00493D7B" w:rsidRPr="00493D7B" w:rsidRDefault="00493D7B" w:rsidP="00DD4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p>
    <w:p w14:paraId="6C4A1DBA" w14:textId="77777777" w:rsidR="004C62C6" w:rsidRPr="006419B3" w:rsidRDefault="004C62C6" w:rsidP="00DD4E26">
      <w:pPr>
        <w:spacing w:after="0"/>
        <w:ind w:firstLine="720"/>
        <w:jc w:val="both"/>
        <w:rPr>
          <w:rFonts w:ascii="Times New (W1)" w:hAnsi="Times New (W1)"/>
          <w:b/>
          <w:iCs/>
          <w:color w:val="000000"/>
          <w:lang w:val="lt-LT"/>
        </w:rPr>
      </w:pPr>
      <w:r w:rsidRPr="00AA019F">
        <w:rPr>
          <w:rFonts w:ascii="Times New (W1)" w:hAnsi="Times New (W1)"/>
          <w:b/>
          <w:iCs/>
          <w:color w:val="000000"/>
          <w:lang w:val="lt-LT"/>
        </w:rPr>
        <w:t>6. Kooperatinių bendrovių (kooperatyvų), kurių per mokestinį laikotarpį daugiau kaip 50 procentų pajamų sudaro pajamos iš žemės ūkio veiklos, įskaitant kooperatinių bendrovių (kooperatyvų) pajamas už parduotus įsigytus iš savo narių šių narių pagamintus žemės ūkio produktus, apmokestinamasis pelnas apmokestinamas taikant 7 procentų</w:t>
      </w:r>
      <w:r w:rsidRPr="006419B3">
        <w:rPr>
          <w:rFonts w:ascii="Times New (W1)" w:hAnsi="Times New (W1)"/>
          <w:b/>
          <w:iCs/>
          <w:color w:val="000000"/>
          <w:lang w:val="lt-LT"/>
        </w:rPr>
        <w:t xml:space="preserve"> mokesčio tarifą.</w:t>
      </w:r>
    </w:p>
    <w:p w14:paraId="72635956" w14:textId="77777777" w:rsidR="00DD4E26" w:rsidRDefault="004C62C6" w:rsidP="00DD4E26">
      <w:pPr>
        <w:tabs>
          <w:tab w:val="left" w:pos="720"/>
          <w:tab w:val="left" w:pos="1077"/>
          <w:tab w:val="left" w:pos="1418"/>
        </w:tabs>
        <w:spacing w:after="0"/>
        <w:jc w:val="both"/>
        <w:rPr>
          <w:bCs/>
          <w:i/>
          <w:szCs w:val="20"/>
          <w:lang w:val="lt-LT"/>
        </w:rPr>
      </w:pPr>
      <w:r>
        <w:rPr>
          <w:bCs/>
          <w:i/>
          <w:szCs w:val="20"/>
          <w:lang w:val="lt-LT"/>
        </w:rPr>
        <w:tab/>
      </w:r>
      <w:r w:rsidRPr="00AA019F">
        <w:rPr>
          <w:bCs/>
          <w:i/>
          <w:szCs w:val="20"/>
          <w:lang w:val="lt-LT"/>
        </w:rPr>
        <w:t xml:space="preserve">(Pagal 2025 m. birželio 17 d. įstatymo Nr.  </w:t>
      </w:r>
      <w:r w:rsidRPr="00AA019F">
        <w:rPr>
          <w:i/>
        </w:rPr>
        <w:t>XV-285</w:t>
      </w:r>
      <w:r w:rsidRPr="00AA019F">
        <w:rPr>
          <w:bCs/>
          <w:i/>
          <w:szCs w:val="20"/>
          <w:lang w:val="lt-LT"/>
        </w:rPr>
        <w:t xml:space="preserve"> redakciją; taikoma apskaičiuojant 2026 metais prasidėjusio ir vėlesnių mokestinių laikotarpių apmokestinamąjį pelną)</w:t>
      </w:r>
    </w:p>
    <w:p w14:paraId="68672051" w14:textId="77777777" w:rsidR="00675C9B" w:rsidRPr="00675C9B" w:rsidRDefault="00675C9B" w:rsidP="00F32DE7">
      <w:pPr>
        <w:tabs>
          <w:tab w:val="left" w:pos="720"/>
          <w:tab w:val="left" w:pos="1080"/>
          <w:tab w:val="left" w:pos="1418"/>
        </w:tabs>
        <w:spacing w:before="160"/>
        <w:jc w:val="both"/>
        <w:rPr>
          <w:b/>
          <w:lang w:val="lt-LT"/>
        </w:rPr>
      </w:pPr>
      <w:r>
        <w:rPr>
          <w:bCs/>
          <w:i/>
          <w:szCs w:val="20"/>
          <w:lang w:val="lt-LT"/>
        </w:rPr>
        <w:tab/>
      </w:r>
      <w:r w:rsidRPr="001D56FD">
        <w:rPr>
          <w:b/>
          <w:lang w:val="lt-LT"/>
        </w:rPr>
        <w:t>Komentaras</w:t>
      </w:r>
    </w:p>
    <w:p w14:paraId="574FA8CD" w14:textId="77777777" w:rsidR="00093845" w:rsidRDefault="000D779E" w:rsidP="00DD4E26">
      <w:pPr>
        <w:tabs>
          <w:tab w:val="left" w:pos="1080"/>
        </w:tabs>
        <w:spacing w:after="0"/>
        <w:ind w:firstLine="720"/>
        <w:jc w:val="both"/>
        <w:rPr>
          <w:bCs/>
        </w:rPr>
      </w:pPr>
      <w:r>
        <w:rPr>
          <w:bCs/>
        </w:rPr>
        <w:t>1. Žemės ūkio veiklos sąvoka apibrėžta PMĮ 2 str. 28</w:t>
      </w:r>
      <w:r>
        <w:rPr>
          <w:bCs/>
          <w:sz w:val="22"/>
          <w:vertAlign w:val="superscript"/>
        </w:rPr>
        <w:t>1</w:t>
      </w:r>
      <w:r>
        <w:rPr>
          <w:bCs/>
        </w:rPr>
        <w:t xml:space="preserve"> dalyje (žr. PMĮ 2 str. 28</w:t>
      </w:r>
      <w:r>
        <w:rPr>
          <w:bCs/>
          <w:vertAlign w:val="superscript"/>
        </w:rPr>
        <w:t>1</w:t>
      </w:r>
      <w:r>
        <w:rPr>
          <w:bCs/>
        </w:rPr>
        <w:t xml:space="preserve"> dalies komentarą).</w:t>
      </w:r>
    </w:p>
    <w:p w14:paraId="260BB776" w14:textId="77777777" w:rsidR="001A0E6B" w:rsidRPr="001A0E6B" w:rsidRDefault="000D779E" w:rsidP="00DD4E26">
      <w:pPr>
        <w:tabs>
          <w:tab w:val="left" w:pos="1080"/>
        </w:tabs>
        <w:spacing w:after="0"/>
        <w:ind w:firstLine="720"/>
        <w:jc w:val="both"/>
        <w:rPr>
          <w:bCs/>
        </w:rPr>
      </w:pPr>
      <w:r>
        <w:rPr>
          <w:bCs/>
        </w:rPr>
        <w:t>2. Kooperatinių bendrovių veiklą reglamentuoja Lietuvos Respublikos kooperatinių bendrovių (kooperatyvų) įstatymas.</w:t>
      </w:r>
    </w:p>
    <w:p w14:paraId="2A89EE6E" w14:textId="77777777" w:rsidR="001A0E6B" w:rsidRPr="00D25A83" w:rsidRDefault="001A0E6B" w:rsidP="00DD4E26">
      <w:pPr>
        <w:tabs>
          <w:tab w:val="left" w:pos="1080"/>
        </w:tabs>
        <w:spacing w:after="0"/>
        <w:ind w:firstLine="720"/>
        <w:jc w:val="both"/>
        <w:rPr>
          <w:bCs/>
          <w:lang w:val="lt-LT"/>
        </w:rPr>
      </w:pPr>
      <w:r w:rsidRPr="00D25A83">
        <w:rPr>
          <w:bCs/>
          <w:lang w:val="lt-LT"/>
        </w:rPr>
        <w:t>3. Kooperatinių bendrovių (kooperatyvų), kurių pajamos iš žemės ūkio veiklos, įskaitant jų  pajamas už parduotus įsigytus iš savo narių šių narių pagamintus žemės ūkio produktus, per mokestinį laikotarpį sudaro daugiau kaip 50 proc. visų jų pajamų,  apmokestinamasis pelnas apmokestinamas taikant 7 proc. pelno mokesčio tarifą. Jeigu kooperatinės bendrovės (kooperatyvo) mokestinio laikotarpio pajamos iš žemės ūkio veiklos sudaro 50 proc. ir mažiau visų jos pajamų, tai bendrovei taikoma bendra apmokestinamojo pelno apmokestinimo taisyklė, t. y. apmokestinamasis pelnas apmokestinamas taikant vieną iš PMĮ 5 straipsnyje nurodytų pelno mokesčių tarifų 17 proc. arba 7 proc.). Pavyzdžiui, jei žemės ūkio veiklą vykdančios kooperatinės bendrovės (kooperatyvo)  mokestinio laikotarpio pajamos neviršija 300 000 Eur ir vienetas neatitinka PMĮ 5 straipsnio 3 dalyje nustatytų sąlygų, tai apmokestinamasis pelnas gali būti apmokestinamas taikant 7 proc. mokesčio tarifą.</w:t>
      </w:r>
    </w:p>
    <w:p w14:paraId="088CAD28" w14:textId="77777777" w:rsidR="001A0E6B" w:rsidRPr="002121F5" w:rsidRDefault="001A0E6B" w:rsidP="00DD4E26">
      <w:pPr>
        <w:tabs>
          <w:tab w:val="left" w:pos="1080"/>
        </w:tabs>
        <w:spacing w:after="0"/>
        <w:ind w:firstLine="720"/>
        <w:jc w:val="both"/>
        <w:rPr>
          <w:bCs/>
          <w:lang w:val="lt-LT"/>
        </w:rPr>
      </w:pPr>
      <w:r w:rsidRPr="002121F5">
        <w:rPr>
          <w:bCs/>
          <w:lang w:val="lt-LT"/>
        </w:rPr>
        <w:t>Kitų žemės ūkio veiklą vykdančių vienetų, išskyrus kooperatines bendroves (kooperatyvus), apmokestinamasis pelnas apmokestinamas taikant bendrą apmokestinamojo pelno apmokestinimo taisyklę, t. y. vieną iš PMĮ 5 straipsnyje nurodytų pelno mokesčių tarifų (17 proc. arba 7 proc.).</w:t>
      </w:r>
    </w:p>
    <w:p w14:paraId="17DB9E0B" w14:textId="77777777" w:rsidR="00565295" w:rsidRDefault="001A0E6B" w:rsidP="00DD4E26">
      <w:pPr>
        <w:tabs>
          <w:tab w:val="left" w:pos="1080"/>
        </w:tabs>
        <w:spacing w:after="0"/>
        <w:ind w:firstLine="720"/>
        <w:jc w:val="both"/>
        <w:rPr>
          <w:bCs/>
        </w:rPr>
      </w:pPr>
      <w:r>
        <w:rPr>
          <w:iCs/>
          <w:lang w:eastAsia="lt-LT"/>
        </w:rPr>
        <w:t xml:space="preserve"> </w:t>
      </w:r>
      <w:r w:rsidR="00565295">
        <w:rPr>
          <w:iCs/>
          <w:lang w:eastAsia="lt-LT"/>
        </w:rPr>
        <w:t>(PMĮ 5 straipsnio 6 d. 3 p. komentaras parengtas pagal VMI prie FM 2025-01-09 raštą Nr. (18.32-31-1 Mr)-R-80)</w:t>
      </w:r>
    </w:p>
    <w:p w14:paraId="5F4ABC8C" w14:textId="77777777" w:rsidR="00093845" w:rsidRDefault="000D779E" w:rsidP="00DD4E26">
      <w:pPr>
        <w:tabs>
          <w:tab w:val="left" w:pos="1080"/>
        </w:tabs>
        <w:spacing w:after="0"/>
        <w:ind w:firstLine="720"/>
        <w:jc w:val="both"/>
        <w:rPr>
          <w:bCs/>
        </w:rPr>
      </w:pPr>
      <w:r>
        <w:rPr>
          <w:bCs/>
        </w:rPr>
        <w:t>4. Pajamų iš žemės ūkio veiklos dalis vadovaujantis PMĮ 2 straipsnio  24 dalimi yra nustatoma visose vieneto iš Lietuvos ir ne Lietuvos šaltinių uždirbtose ir (arba) gautose visų rūšių pajamose. Žemės ūkio veiklą vykdančių vienetų pajamoms iš žemės ūkio veiklos priskirtinos pajamos, gautos iš vykdomos žemės ūkio veiklos tiek Lietuvoje, tiek užsienyje (jeigu PMĮ nenustatyta kitaip). Pažymime, kad žemės ūkio veikla užsiimančių vienetų, gautos tiesioginės ar kompensacinės išmokos, pajamų lygiui palaikyti ar kompensuoti pajamų netekimą, priskiriamos žemės ūkio veiklos pajamoms.</w:t>
      </w:r>
    </w:p>
    <w:p w14:paraId="51303BAC" w14:textId="77777777" w:rsidR="00093845" w:rsidRDefault="000D779E" w:rsidP="00DD4E26">
      <w:pPr>
        <w:tabs>
          <w:tab w:val="left" w:pos="1080"/>
        </w:tabs>
        <w:spacing w:after="0"/>
        <w:ind w:firstLine="720"/>
        <w:jc w:val="both"/>
        <w:rPr>
          <w:bCs/>
        </w:rPr>
      </w:pPr>
      <w:r>
        <w:rPr>
          <w:bCs/>
        </w:rPr>
        <w:t xml:space="preserve">Jeigu vienetas, vykdantis žemės ūkio veiklą turi nuolatinę buveinę kitoje užsienio valstybėje, tai nustatant žemės ūkio veiklos dalį visose pajamose, turi būti skaičiuojamos visos Lietuvos vieneto </w:t>
      </w:r>
      <w:r>
        <w:rPr>
          <w:bCs/>
        </w:rPr>
        <w:lastRenderedPageBreak/>
        <w:t>pajamos bei per nuolatinę buveinę, įskaitant nuolatinę buveinę, kurios pajamos pagal PMĮ 4 straipsnio 1 dalį į mokesčio bazę neįtraukiamos, užsienyje uždirbtos pajamos, išskyrus gautus dividendus.</w:t>
      </w:r>
    </w:p>
    <w:p w14:paraId="426E1624" w14:textId="77777777" w:rsidR="00093845" w:rsidRDefault="000D779E" w:rsidP="00DD4E26">
      <w:pPr>
        <w:tabs>
          <w:tab w:val="left" w:pos="1080"/>
        </w:tabs>
        <w:spacing w:after="0"/>
        <w:ind w:firstLine="720"/>
        <w:jc w:val="both"/>
        <w:rPr>
          <w:bCs/>
        </w:rPr>
      </w:pPr>
      <w:r>
        <w:rPr>
          <w:bCs/>
        </w:rPr>
        <w:t>Jeigu užsienio vienetas vykdo žemės ūkio veiklą per nuolatinę buveinę Lietuvoje, tai atitinkamai nustatant žemės ūkio veiklos dalį visose pajamose, turi būti skaičiuojamos visos užsienio vieneto pajamos, įskaitant nuolatinės buveinės pajamas uždirbtas Lietuvoje.</w:t>
      </w:r>
    </w:p>
    <w:p w14:paraId="1454490F" w14:textId="77777777" w:rsidR="00093845" w:rsidRDefault="000D779E" w:rsidP="00DD4E26">
      <w:pPr>
        <w:tabs>
          <w:tab w:val="left" w:pos="1080"/>
        </w:tabs>
        <w:spacing w:after="0"/>
        <w:ind w:firstLine="720"/>
        <w:jc w:val="both"/>
        <w:rPr>
          <w:bCs/>
        </w:rPr>
      </w:pPr>
      <w:r>
        <w:rPr>
          <w:bCs/>
        </w:rPr>
        <w:t>Pažymėtina, kad nustatant žemės ūkio veiklos dalį visose pajamose, iš Lietuvos ir užsienio vienetų gauti dividendai į pajamų ribos skaičiavimą neįtraukiami.</w:t>
      </w:r>
    </w:p>
    <w:p w14:paraId="00838019" w14:textId="77777777" w:rsidR="00044011" w:rsidRDefault="00953C98" w:rsidP="00044011">
      <w:pPr>
        <w:tabs>
          <w:tab w:val="left" w:pos="1080"/>
        </w:tabs>
        <w:spacing w:before="160"/>
        <w:ind w:firstLine="720"/>
        <w:jc w:val="both"/>
        <w:rPr>
          <w:bCs/>
          <w:lang w:val="lt-LT"/>
        </w:rPr>
      </w:pPr>
      <w:r w:rsidRPr="00BA5F78">
        <w:rPr>
          <w:bCs/>
          <w:lang w:val="lt-LT"/>
        </w:rPr>
        <w:t>Pavyzdžiai</w:t>
      </w:r>
    </w:p>
    <w:tbl>
      <w:tblPr>
        <w:tblW w:w="9449" w:type="dxa"/>
        <w:tblLayout w:type="fixed"/>
        <w:tblLook w:val="04A0" w:firstRow="1" w:lastRow="0" w:firstColumn="1" w:lastColumn="0" w:noHBand="0" w:noVBand="1"/>
      </w:tblPr>
      <w:tblGrid>
        <w:gridCol w:w="9449"/>
      </w:tblGrid>
      <w:tr w:rsidR="00F67303" w:rsidRPr="00BA5F78" w14:paraId="6DF2BF17" w14:textId="77777777" w:rsidTr="00774CD5">
        <w:tc>
          <w:tcPr>
            <w:tcW w:w="9449" w:type="dxa"/>
            <w:tcBorders>
              <w:top w:val="single" w:sz="4" w:space="0" w:color="auto"/>
              <w:left w:val="single" w:sz="4" w:space="0" w:color="auto"/>
              <w:bottom w:val="single" w:sz="4" w:space="0" w:color="auto"/>
              <w:right w:val="single" w:sz="4" w:space="0" w:color="auto"/>
            </w:tcBorders>
          </w:tcPr>
          <w:p w14:paraId="4FD5E2AC" w14:textId="77777777" w:rsidR="00F67303" w:rsidRPr="00BC5326" w:rsidRDefault="00F67303" w:rsidP="00DD4E26">
            <w:pPr>
              <w:tabs>
                <w:tab w:val="left" w:pos="1080"/>
              </w:tabs>
              <w:spacing w:after="0"/>
              <w:ind w:firstLine="720"/>
              <w:jc w:val="both"/>
              <w:rPr>
                <w:bCs/>
                <w:lang w:val="lt-LT"/>
              </w:rPr>
            </w:pPr>
            <w:bookmarkStart w:id="60" w:name="_Hlk209687196"/>
            <w:r w:rsidRPr="00BC5326">
              <w:rPr>
                <w:bCs/>
                <w:lang w:val="lt-LT"/>
              </w:rPr>
              <w:t>1. Žemės ūkio kooperatyvas X (toliau – kooperatyvas) vykdo žemės ūkio veiklą. Per 2026 metais prasidėjusį mokestinį laikotarpį uždirbo 260 000 Eur pajamų, iš jų:</w:t>
            </w:r>
          </w:p>
          <w:p w14:paraId="5B65C50A" w14:textId="77777777" w:rsidR="00F67303" w:rsidRPr="00BC5326" w:rsidRDefault="00F67303" w:rsidP="00DD4E26">
            <w:pPr>
              <w:tabs>
                <w:tab w:val="left" w:pos="1080"/>
              </w:tabs>
              <w:spacing w:after="0"/>
              <w:ind w:firstLine="720"/>
              <w:jc w:val="both"/>
              <w:rPr>
                <w:bCs/>
                <w:lang w:val="lt-LT"/>
              </w:rPr>
            </w:pPr>
            <w:r w:rsidRPr="00BC5326">
              <w:rPr>
                <w:bCs/>
                <w:lang w:val="lt-LT"/>
              </w:rPr>
              <w:t>133 000 Eur pajamų už tvenkinių valymo darbus (sudaro 51,15 proc. visų pajamų);</w:t>
            </w:r>
          </w:p>
          <w:p w14:paraId="6A44ECCB" w14:textId="77777777" w:rsidR="00F67303" w:rsidRPr="00BC5326" w:rsidRDefault="00F67303" w:rsidP="00DD4E26">
            <w:pPr>
              <w:tabs>
                <w:tab w:val="left" w:pos="1080"/>
              </w:tabs>
              <w:spacing w:after="0"/>
              <w:ind w:firstLine="720"/>
              <w:jc w:val="both"/>
              <w:rPr>
                <w:bCs/>
                <w:lang w:val="lt-LT"/>
              </w:rPr>
            </w:pPr>
            <w:r w:rsidRPr="00BC5326">
              <w:rPr>
                <w:bCs/>
                <w:lang w:val="lt-LT"/>
              </w:rPr>
              <w:t>10 000 Eur kitų pajamų (sudaro 3,85 proc. visų pajamų);</w:t>
            </w:r>
          </w:p>
          <w:p w14:paraId="713D119E" w14:textId="77777777" w:rsidR="00F67303" w:rsidRPr="00BC5326" w:rsidRDefault="00F67303" w:rsidP="00DD4E26">
            <w:pPr>
              <w:tabs>
                <w:tab w:val="left" w:pos="1080"/>
              </w:tabs>
              <w:spacing w:after="0"/>
              <w:ind w:firstLine="720"/>
              <w:jc w:val="both"/>
              <w:rPr>
                <w:bCs/>
                <w:lang w:val="lt-LT"/>
              </w:rPr>
            </w:pPr>
            <w:r w:rsidRPr="00BC5326">
              <w:rPr>
                <w:bCs/>
                <w:lang w:val="lt-LT"/>
              </w:rPr>
              <w:t>117 000 Eur turto vertės padidėjimo pajamų iš ilgalaikio turto (pastato) perleidimo (sudaro 45 proc. visų pajamų).</w:t>
            </w:r>
          </w:p>
          <w:p w14:paraId="4ED9CD7D" w14:textId="77777777" w:rsidR="00F67303" w:rsidRPr="00BC5326" w:rsidRDefault="00F67303" w:rsidP="00DD4E26">
            <w:pPr>
              <w:tabs>
                <w:tab w:val="left" w:pos="1080"/>
              </w:tabs>
              <w:spacing w:after="0"/>
              <w:ind w:firstLine="720"/>
              <w:jc w:val="both"/>
              <w:rPr>
                <w:bCs/>
                <w:lang w:val="lt-LT"/>
              </w:rPr>
            </w:pPr>
            <w:r w:rsidRPr="00BC5326">
              <w:rPr>
                <w:bCs/>
                <w:lang w:val="lt-LT"/>
              </w:rPr>
              <w:t>Kadangi kooperatyvo pajamos iš žemės ūkio veiklos sudaro 51,15 proc. visų pajamų, tai 2026 metais kooperatyvo apmokestinamasis pelnas apmokestinamas 7 proc. pelno mokesčio tarifu.</w:t>
            </w:r>
          </w:p>
          <w:p w14:paraId="14AD0E41" w14:textId="77777777" w:rsidR="00F67303" w:rsidRPr="00DE1734" w:rsidRDefault="00F67303" w:rsidP="00DD4E26">
            <w:pPr>
              <w:tabs>
                <w:tab w:val="left" w:pos="1080"/>
              </w:tabs>
              <w:spacing w:after="0"/>
              <w:ind w:firstLine="720"/>
              <w:jc w:val="both"/>
              <w:rPr>
                <w:bCs/>
                <w:lang w:val="lt-LT"/>
              </w:rPr>
            </w:pPr>
          </w:p>
          <w:p w14:paraId="4E087EEC" w14:textId="77777777" w:rsidR="00F67303" w:rsidRPr="00BC5326" w:rsidRDefault="00F67303" w:rsidP="00DD4E26">
            <w:pPr>
              <w:tabs>
                <w:tab w:val="left" w:pos="1080"/>
              </w:tabs>
              <w:spacing w:after="0"/>
              <w:ind w:firstLine="720"/>
              <w:jc w:val="both"/>
              <w:rPr>
                <w:bCs/>
                <w:lang w:val="lt-LT"/>
              </w:rPr>
            </w:pPr>
            <w:r w:rsidRPr="00BC5326">
              <w:rPr>
                <w:bCs/>
                <w:lang w:val="lt-LT"/>
              </w:rPr>
              <w:t>2. Žemės ūkio kooperatyvas Y (toliau – kooperatyvas) 2026 metais prasidėjusį mokestinį laikotarpį apskaičiavo 44 000 Eur apmokestinamojo pelno. Kooperatyvas 2026 metais prasidėjusį mokestinį laikotarpį uždirbo 87 000 Eur pajamų, iš jų:</w:t>
            </w:r>
          </w:p>
          <w:p w14:paraId="36F9FD20" w14:textId="77777777" w:rsidR="00F67303" w:rsidRPr="00BC5326" w:rsidRDefault="00F67303" w:rsidP="00DD4E26">
            <w:pPr>
              <w:tabs>
                <w:tab w:val="left" w:pos="1080"/>
              </w:tabs>
              <w:spacing w:after="0"/>
              <w:ind w:firstLine="720"/>
              <w:jc w:val="both"/>
              <w:rPr>
                <w:bCs/>
                <w:lang w:val="lt-LT"/>
              </w:rPr>
            </w:pPr>
            <w:r w:rsidRPr="00BC5326">
              <w:rPr>
                <w:bCs/>
                <w:lang w:val="lt-LT"/>
              </w:rPr>
              <w:t>78 000 Eur pajamų už realizuotą pieną, įsigytą iš savo narių, kurie verčiasi žemės ūkio veikla (sudaro 89,66 proc. visų pajamų);</w:t>
            </w:r>
          </w:p>
          <w:p w14:paraId="2F7082DA" w14:textId="77777777" w:rsidR="00F67303" w:rsidRPr="00BC5326" w:rsidRDefault="00F67303" w:rsidP="00DD4E26">
            <w:pPr>
              <w:tabs>
                <w:tab w:val="left" w:pos="1080"/>
              </w:tabs>
              <w:spacing w:after="0"/>
              <w:ind w:firstLine="720"/>
              <w:jc w:val="both"/>
              <w:rPr>
                <w:bCs/>
                <w:lang w:val="lt-LT"/>
              </w:rPr>
            </w:pPr>
            <w:r w:rsidRPr="00BC5326">
              <w:rPr>
                <w:bCs/>
                <w:lang w:val="lt-LT"/>
              </w:rPr>
              <w:t>4 500 Eur kitų pajamų (5,17 proc. visų pajamų);</w:t>
            </w:r>
          </w:p>
          <w:p w14:paraId="0A58B0F4" w14:textId="77777777" w:rsidR="00F67303" w:rsidRPr="00BC5326" w:rsidRDefault="00F67303" w:rsidP="00DD4E26">
            <w:pPr>
              <w:tabs>
                <w:tab w:val="left" w:pos="1080"/>
              </w:tabs>
              <w:spacing w:after="0"/>
              <w:ind w:firstLine="720"/>
              <w:jc w:val="both"/>
              <w:rPr>
                <w:bCs/>
                <w:lang w:val="lt-LT"/>
              </w:rPr>
            </w:pPr>
            <w:r w:rsidRPr="00BC5326">
              <w:rPr>
                <w:bCs/>
                <w:lang w:val="lt-LT"/>
              </w:rPr>
              <w:t>4 500 Eur neapmokestinamųjų pajamų pagal PMĮ 12 straipsnio 2 punktą (5,17 proc. visų pajamų);</w:t>
            </w:r>
          </w:p>
          <w:p w14:paraId="07892642" w14:textId="77777777" w:rsidR="00F67303" w:rsidRPr="00BC5326" w:rsidRDefault="00F67303" w:rsidP="00DD4E26">
            <w:pPr>
              <w:tabs>
                <w:tab w:val="left" w:pos="1080"/>
              </w:tabs>
              <w:spacing w:after="0"/>
              <w:ind w:firstLine="720"/>
              <w:jc w:val="both"/>
              <w:rPr>
                <w:bCs/>
                <w:lang w:val="lt-LT"/>
              </w:rPr>
            </w:pPr>
            <w:r w:rsidRPr="00BC5326">
              <w:rPr>
                <w:bCs/>
                <w:lang w:val="lt-LT"/>
              </w:rPr>
              <w:t>Kadangi kooperatyvas gavęs 78 000 Eur pajamų už realizuotą pieną, įsigytą iš savo narių, kurie verčiasi žemės ūkio veikla, tenkina PMĮ 5 str. 6 dalyje nustatytus reikalavimus t. y. pajamų dalis iš žemės ūkio veiklos sudaro 90 proc. visų pajamų, todėl 2026 metais apmokestinamasis pelnas gali būti apmokestinamas 7 proc. tarifu.</w:t>
            </w:r>
          </w:p>
          <w:p w14:paraId="338D6C7F" w14:textId="77777777" w:rsidR="00F67303" w:rsidRPr="00BA5F78" w:rsidRDefault="00F67303" w:rsidP="00DD4E26">
            <w:pPr>
              <w:tabs>
                <w:tab w:val="left" w:pos="1080"/>
              </w:tabs>
              <w:spacing w:after="0"/>
              <w:ind w:firstLine="720"/>
              <w:jc w:val="both"/>
              <w:rPr>
                <w:bCs/>
                <w:lang w:val="lt-LT"/>
              </w:rPr>
            </w:pPr>
          </w:p>
          <w:p w14:paraId="538818A8" w14:textId="77777777" w:rsidR="00F67303" w:rsidRPr="00BC5326" w:rsidRDefault="00F67303" w:rsidP="00DD4E26">
            <w:pPr>
              <w:tabs>
                <w:tab w:val="left" w:pos="1080"/>
              </w:tabs>
              <w:spacing w:after="0"/>
              <w:ind w:firstLine="720"/>
              <w:jc w:val="both"/>
              <w:rPr>
                <w:bCs/>
                <w:lang w:val="lt-LT"/>
              </w:rPr>
            </w:pPr>
            <w:r w:rsidRPr="00BC5326">
              <w:rPr>
                <w:bCs/>
                <w:lang w:val="lt-LT"/>
              </w:rPr>
              <w:t>3. Žemės ūkio kooperatyvas X (toliau – kooperatyvas) 2026 metais prasidėjusį mokestinį laikotarpį apskaičiavo 20 000 Eur apmokestinamojo pelno. Kooperatyvas 2026 metais prasidėjusį mokestinį laikotarpį uždirbo 217 000 Eur pajamų, iš jų:</w:t>
            </w:r>
          </w:p>
          <w:p w14:paraId="2726BAAD" w14:textId="77777777" w:rsidR="00F67303" w:rsidRPr="00BC5326" w:rsidRDefault="00F67303" w:rsidP="00DD4E26">
            <w:pPr>
              <w:tabs>
                <w:tab w:val="left" w:pos="1080"/>
              </w:tabs>
              <w:spacing w:after="0"/>
              <w:ind w:firstLine="720"/>
              <w:jc w:val="both"/>
              <w:rPr>
                <w:bCs/>
                <w:lang w:val="lt-LT"/>
              </w:rPr>
            </w:pPr>
            <w:r w:rsidRPr="00BC5326">
              <w:rPr>
                <w:bCs/>
                <w:lang w:val="lt-LT"/>
              </w:rPr>
              <w:t>43 000 Eur pajamų už derliaus nuėmimo darbus (sudaro 19.82 proc. visų pajamų);</w:t>
            </w:r>
          </w:p>
          <w:p w14:paraId="13D449EE" w14:textId="77777777" w:rsidR="00F67303" w:rsidRPr="00BC5326" w:rsidRDefault="00F67303" w:rsidP="00DD4E26">
            <w:pPr>
              <w:tabs>
                <w:tab w:val="left" w:pos="1080"/>
              </w:tabs>
              <w:spacing w:after="0"/>
              <w:ind w:firstLine="720"/>
              <w:jc w:val="both"/>
              <w:rPr>
                <w:bCs/>
                <w:lang w:val="lt-LT"/>
              </w:rPr>
            </w:pPr>
            <w:r w:rsidRPr="00BC5326">
              <w:rPr>
                <w:bCs/>
                <w:lang w:val="lt-LT"/>
              </w:rPr>
              <w:t>30 000 Eur pajamų už parduotus įsigytus iš savo narių šių narių pagamintus žemės ūkio produktus (sudaro 13,82 proc. visų pajamų);</w:t>
            </w:r>
          </w:p>
          <w:p w14:paraId="5224E316" w14:textId="77777777" w:rsidR="00F67303" w:rsidRPr="00BC5326" w:rsidRDefault="00F67303" w:rsidP="00DD4E26">
            <w:pPr>
              <w:tabs>
                <w:tab w:val="left" w:pos="1080"/>
              </w:tabs>
              <w:spacing w:after="0"/>
              <w:ind w:firstLine="720"/>
              <w:jc w:val="both"/>
              <w:rPr>
                <w:bCs/>
                <w:lang w:val="lt-LT"/>
              </w:rPr>
            </w:pPr>
            <w:r w:rsidRPr="00BC5326">
              <w:rPr>
                <w:bCs/>
                <w:lang w:val="lt-LT"/>
              </w:rPr>
              <w:t>144 000 Eur kitų pajamų (sudaro 66,36 proc. visų pajamų).</w:t>
            </w:r>
          </w:p>
          <w:p w14:paraId="6C28A299" w14:textId="77777777" w:rsidR="00F67303" w:rsidRPr="00BA5F78" w:rsidRDefault="00F67303" w:rsidP="00DD4E26">
            <w:pPr>
              <w:tabs>
                <w:tab w:val="left" w:pos="1080"/>
              </w:tabs>
              <w:spacing w:after="0"/>
              <w:ind w:firstLine="720"/>
              <w:jc w:val="both"/>
              <w:rPr>
                <w:bCs/>
                <w:lang w:val="lt-LT"/>
              </w:rPr>
            </w:pPr>
            <w:r w:rsidRPr="00BC5326">
              <w:rPr>
                <w:bCs/>
                <w:lang w:val="lt-LT"/>
              </w:rPr>
              <w:t>Kadangi kooperatyvo pajamos iš žemės ūkio veiklos sudaro tik 33,64 proc. visų pajamų ir neatitinka PMĮ 5 straipsnio 6 dalyje keliamų reikalavimų, todėl kooperatyvo apmokestinamasis pelnas, apmokestinamas taikant 17 proc. pelno mokesčio tarifą ir apskaičiuojamas 3 400 Eur (20 000 Eur x 17 proc.) pelno mokestis. Bet jei kooperatyvas atitiktų PMĮ 5 straipsnio 2 dalies reikalavimus - tuo atveju apmokestinamajam pelnui galėtų būti taikomas 7 proc</w:t>
            </w:r>
            <w:r w:rsidRPr="00DE1734">
              <w:rPr>
                <w:bCs/>
                <w:lang w:val="lt-LT"/>
              </w:rPr>
              <w:t>. pelno mokesčio tarifas.</w:t>
            </w:r>
          </w:p>
        </w:tc>
      </w:tr>
      <w:bookmarkEnd w:id="60"/>
    </w:tbl>
    <w:p w14:paraId="1499CAC5" w14:textId="77777777" w:rsidR="00CB71B2" w:rsidRDefault="00CB71B2" w:rsidP="005C1F9A">
      <w:pPr>
        <w:rPr>
          <w:color w:val="FF0000"/>
          <w:lang w:val="lt-LT"/>
        </w:rPr>
      </w:pPr>
    </w:p>
    <w:p w14:paraId="6B04B351" w14:textId="77777777" w:rsidR="005C1F9A" w:rsidRPr="00CB71B2" w:rsidRDefault="005C1F9A" w:rsidP="005C1F9A">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2E601CC5" w14:textId="77777777" w:rsidR="00675C9B" w:rsidRDefault="00675C9B" w:rsidP="00C36238">
      <w:pPr>
        <w:pStyle w:val="tajtip"/>
        <w:shd w:val="clear" w:color="auto" w:fill="FFFFFF"/>
        <w:spacing w:before="0" w:beforeAutospacing="0" w:after="0" w:afterAutospacing="0"/>
        <w:jc w:val="both"/>
        <w:rPr>
          <w:b/>
        </w:rPr>
      </w:pPr>
    </w:p>
    <w:p w14:paraId="383C6C3C"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CF16AD">
        <w:rPr>
          <w:b/>
        </w:rPr>
        <w:t>7</w:t>
      </w:r>
      <w:r w:rsidRPr="00CF16AD">
        <w:rPr>
          <w:b/>
          <w:iCs/>
          <w:color w:val="000000"/>
          <w:lang w:eastAsia="en-US"/>
        </w:rPr>
        <w:t xml:space="preserve">. </w:t>
      </w:r>
      <w:r w:rsidRPr="00A968F4">
        <w:rPr>
          <w:b/>
          <w:iCs/>
          <w:color w:val="000000"/>
          <w:lang w:eastAsia="en-US"/>
        </w:rPr>
        <w:t xml:space="preserve">Lietuvos vieneto, nuolatinių buveinių pagal šio straipsnio 9 dalyje nustatytą formulę apskaičiuota apmokestinamojo pelno iš turto naudojimo, pardavimo ar kitokio perleidimo nuosavybėn dalis </w:t>
      </w:r>
      <w:r w:rsidRPr="00BC5326">
        <w:rPr>
          <w:b/>
          <w:iCs/>
          <w:color w:val="000000"/>
          <w:lang w:eastAsia="en-US"/>
        </w:rPr>
        <w:t xml:space="preserve">apmokestinama </w:t>
      </w:r>
      <w:r w:rsidRPr="00BC5326">
        <w:rPr>
          <w:b/>
          <w:iCs/>
          <w:lang w:eastAsia="en-US"/>
        </w:rPr>
        <w:t xml:space="preserve">taikant </w:t>
      </w:r>
      <w:r w:rsidRPr="00BC5326">
        <w:rPr>
          <w:iCs/>
          <w:lang w:eastAsia="en-US"/>
        </w:rPr>
        <w:t xml:space="preserve">7  </w:t>
      </w:r>
      <w:r w:rsidRPr="00BC5326">
        <w:rPr>
          <w:b/>
          <w:iCs/>
          <w:lang w:eastAsia="en-US"/>
        </w:rPr>
        <w:t xml:space="preserve">procentų </w:t>
      </w:r>
      <w:r w:rsidRPr="00A968F4">
        <w:rPr>
          <w:b/>
          <w:iCs/>
          <w:color w:val="000000"/>
          <w:lang w:eastAsia="en-US"/>
        </w:rPr>
        <w:t>mokesčio tarifą, jeigu:</w:t>
      </w:r>
    </w:p>
    <w:p w14:paraId="01111C42"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1) pajamas iš minėto turto naudojimo, pardavimo ar kitokio perleidimo nuosavybėn gauna tik jį sukūręs Lietuvos vienetas ar nuolatinė buveinė ir tik jie dėl minėtų pajamų uždirbimo patiria visas išlaidas ir</w:t>
      </w:r>
    </w:p>
    <w:p w14:paraId="0875B705" w14:textId="77777777" w:rsidR="00384EC5" w:rsidRPr="00A968F4" w:rsidRDefault="00384EC5" w:rsidP="00DD4E26">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2) turtas yra pagal autorių teises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w:t>
      </w:r>
      <w:r>
        <w:rPr>
          <w:b/>
          <w:iCs/>
          <w:color w:val="000000"/>
          <w:lang w:eastAsia="en-US"/>
        </w:rPr>
        <w:t>apildomos apsaugos liudijimais.</w:t>
      </w:r>
    </w:p>
    <w:p w14:paraId="26FAE049" w14:textId="77777777" w:rsidR="00384EC5" w:rsidRDefault="00384EC5" w:rsidP="00DD4E26">
      <w:pPr>
        <w:tabs>
          <w:tab w:val="left" w:pos="720"/>
          <w:tab w:val="left" w:pos="1077"/>
          <w:tab w:val="left" w:pos="1418"/>
        </w:tabs>
        <w:spacing w:after="0"/>
        <w:jc w:val="both"/>
        <w:rPr>
          <w:bCs/>
          <w:i/>
          <w:szCs w:val="20"/>
          <w:lang w:val="lt-LT"/>
        </w:rPr>
      </w:pPr>
      <w:r>
        <w:rPr>
          <w:b/>
          <w:bCs/>
          <w:i/>
          <w:szCs w:val="20"/>
          <w:lang w:val="lt-LT"/>
        </w:rPr>
        <w:tab/>
      </w:r>
      <w:r w:rsidRPr="00BC5326">
        <w:rPr>
          <w:bCs/>
          <w:i/>
          <w:szCs w:val="20"/>
          <w:lang w:val="lt-LT"/>
        </w:rPr>
        <w:t xml:space="preserve">(Pagal 2025 m. birželio 17 d. įstatymo Nr.  </w:t>
      </w:r>
      <w:r w:rsidRPr="00BC5326">
        <w:rPr>
          <w:i/>
        </w:rPr>
        <w:t>XV-285</w:t>
      </w:r>
      <w:r w:rsidRPr="00BC5326">
        <w:rPr>
          <w:bCs/>
          <w:i/>
          <w:szCs w:val="20"/>
          <w:lang w:val="lt-LT"/>
        </w:rPr>
        <w:t xml:space="preserve"> redakciją; taikoma apskaičiuojant 2026 metais prasidėjusio ir vėlesnių mokestinių laikotarpių apmokestinamąjį pelną)</w:t>
      </w:r>
    </w:p>
    <w:p w14:paraId="017B089C" w14:textId="77777777" w:rsidR="00DD4E26" w:rsidRPr="00BC5326" w:rsidRDefault="00DD4E26" w:rsidP="00DD4E26">
      <w:pPr>
        <w:tabs>
          <w:tab w:val="left" w:pos="720"/>
          <w:tab w:val="left" w:pos="1077"/>
          <w:tab w:val="left" w:pos="1418"/>
        </w:tabs>
        <w:spacing w:after="0"/>
        <w:jc w:val="both"/>
        <w:rPr>
          <w:bCs/>
          <w:i/>
          <w:szCs w:val="20"/>
          <w:lang w:val="lt-LT"/>
        </w:rPr>
      </w:pPr>
    </w:p>
    <w:p w14:paraId="6805E75A" w14:textId="77777777" w:rsidR="00C905FC" w:rsidRPr="00C905FC" w:rsidRDefault="00C905FC" w:rsidP="00F32DE7">
      <w:pPr>
        <w:spacing w:before="160"/>
        <w:ind w:firstLine="720"/>
        <w:jc w:val="both"/>
        <w:rPr>
          <w:sz w:val="22"/>
          <w:szCs w:val="22"/>
          <w:lang w:val="lt-LT"/>
        </w:rPr>
      </w:pPr>
      <w:r w:rsidRPr="0065344A">
        <w:rPr>
          <w:b/>
          <w:lang w:val="lt-LT"/>
        </w:rPr>
        <w:t>Komentaras</w:t>
      </w:r>
      <w:r w:rsidRPr="005629D6">
        <w:rPr>
          <w:lang w:val="lt-LT"/>
        </w:rPr>
        <w:t xml:space="preserve">   </w:t>
      </w:r>
    </w:p>
    <w:p w14:paraId="4589635E" w14:textId="77777777" w:rsidR="00C905FC"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Mokslinių tyrimų ir eksperimentinės plėtros (toliau – MTEP) sąvokos yra apibrėžtos PMĮ 2 str. 18 dalyje (žr. šios dalies komentarą).</w:t>
      </w:r>
    </w:p>
    <w:p w14:paraId="42B5D78D" w14:textId="77777777" w:rsidR="00CB3924" w:rsidRPr="00BC5326" w:rsidRDefault="00CB3924"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2. Apmokestinamojo pelno dalis, nustatyta pagal šio straipsnio 9 dalyje patvirtintą formulę, apskaičiuota iš paties Lietuvos vieneto ar nuolatinės buveinės vykdomoje MTEP veikloje sukurto turto naudojimo, pardavimo ar kitokio perleidimo nuosavybėn gautų pajamų atskaičius šioms pajamoms tenkančius leidžiamus ir ribojamų dydžių leidžiamus atskaitymus, gali būti apmokestinama </w:t>
      </w:r>
      <w:r w:rsidRPr="00BC5326">
        <w:rPr>
          <w:iCs/>
          <w:color w:val="000000"/>
          <w:lang w:eastAsia="en-US"/>
        </w:rPr>
        <w:t>taikant 7 procentų mokesčio tarifą, jeigu yra tenkinamos šios sąlygos:</w:t>
      </w:r>
    </w:p>
    <w:p w14:paraId="551B2439" w14:textId="77777777" w:rsidR="00CB3924" w:rsidRPr="00B56C17" w:rsidRDefault="00CB3924" w:rsidP="00DD4E26">
      <w:pPr>
        <w:pStyle w:val="tajtip"/>
        <w:shd w:val="clear" w:color="auto" w:fill="FFFFFF"/>
        <w:spacing w:before="0" w:beforeAutospacing="0" w:after="0" w:afterAutospacing="0"/>
        <w:ind w:firstLine="720"/>
        <w:jc w:val="both"/>
        <w:rPr>
          <w:iCs/>
          <w:color w:val="000000"/>
          <w:lang w:eastAsia="en-US"/>
        </w:rPr>
      </w:pPr>
      <w:r w:rsidRPr="00BC5326">
        <w:rPr>
          <w:iCs/>
          <w:color w:val="000000"/>
          <w:lang w:eastAsia="en-US"/>
        </w:rPr>
        <w:t>1) pajamas iš minėto</w:t>
      </w:r>
      <w:r w:rsidRPr="00B56C17">
        <w:rPr>
          <w:iCs/>
          <w:color w:val="000000"/>
          <w:lang w:eastAsia="en-US"/>
        </w:rPr>
        <w:t xml:space="preserve"> turto naudojimo, pardavimo ar kitokio perleidimo nuosavybėn gauna tik jį sukūręs vienetas ir tik jis dėl minėtų pajamų uždirbimo patiria visas išlaidas</w:t>
      </w:r>
      <w:r w:rsidRPr="002664AB">
        <w:rPr>
          <w:iCs/>
          <w:color w:val="000000"/>
          <w:lang w:eastAsia="en-US"/>
        </w:rPr>
        <w:t xml:space="preserve"> ir</w:t>
      </w:r>
    </w:p>
    <w:p w14:paraId="0D497D0C" w14:textId="77777777" w:rsidR="00CB3924" w:rsidRDefault="00CB3924"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2) turtas yra pagal autorių teisę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p>
    <w:p w14:paraId="574EDCC5" w14:textId="77777777" w:rsidR="00CB71B2" w:rsidRDefault="00CB71B2" w:rsidP="00DD4E26">
      <w:pPr>
        <w:pStyle w:val="tajtip"/>
        <w:shd w:val="clear" w:color="auto" w:fill="FFFFFF"/>
        <w:spacing w:before="0" w:beforeAutospacing="0" w:after="0" w:afterAutospacing="0"/>
        <w:ind w:firstLine="720"/>
        <w:jc w:val="both"/>
        <w:rPr>
          <w:iCs/>
          <w:color w:val="000000"/>
          <w:lang w:eastAsia="en-US"/>
        </w:rPr>
      </w:pPr>
    </w:p>
    <w:p w14:paraId="0778603D" w14:textId="77777777" w:rsidR="006E251E" w:rsidRPr="00CB71B2" w:rsidRDefault="006E251E" w:rsidP="006E251E">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3010C280" w14:textId="77777777" w:rsidR="00C905FC"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3. Pagal šios dalies reikalavimus, pajamas iš turto naudojimo, pardavimo ar kitokio perleidimo nuosavybėn privalo gauti bei joms tenkančias išlaidas patirti tik pats šį turtą MTEP veikloje sukūręs vienetas. </w:t>
      </w:r>
    </w:p>
    <w:p w14:paraId="0E028723"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t>Pažymėtina, kad PMĮ 41 straipsnyje numatytais reorganizavimo bei veiklos perleidimo atvejais, po reorganizavimo ar perleidimo įsigyjantysis vienetas neturi teisės tęsti šioje dalyje nustatytos lengvatos taikymo, kadangi būtų pažeistas reikalavimas, kad pajamas ir sąnaudas iš MTEP veiklos sukurto turto privalo gauti tik šį turtą sukūręs vienetas.</w:t>
      </w:r>
    </w:p>
    <w:p w14:paraId="12070D01" w14:textId="77777777" w:rsidR="00C905FC" w:rsidRPr="00B56C17" w:rsidRDefault="00C905FC" w:rsidP="00DD4E26">
      <w:pPr>
        <w:pStyle w:val="tajtip"/>
        <w:shd w:val="clear" w:color="auto" w:fill="FFFFFF"/>
        <w:spacing w:before="0" w:beforeAutospacing="0" w:after="0" w:afterAutospacing="0"/>
        <w:jc w:val="both"/>
        <w:rPr>
          <w:iCs/>
          <w:color w:val="000000"/>
          <w:lang w:eastAsia="en-US"/>
        </w:rPr>
      </w:pPr>
      <w:r w:rsidRPr="00B56C17">
        <w:rPr>
          <w:iCs/>
          <w:color w:val="000000"/>
          <w:lang w:eastAsia="en-US"/>
        </w:rPr>
        <w:tab/>
        <w:t>4. Pagal šios dalies nuostatas, vieneto MTEP veikloje sukurtu turtu yra laikoma:</w:t>
      </w:r>
    </w:p>
    <w:p w14:paraId="338A9730" w14:textId="77777777" w:rsidR="00C905FC" w:rsidRPr="00B56C17" w:rsidRDefault="00C905FC" w:rsidP="00DD4E26">
      <w:pPr>
        <w:pStyle w:val="tajtip"/>
        <w:shd w:val="clear" w:color="auto" w:fill="FFFFFF"/>
        <w:spacing w:before="0" w:beforeAutospacing="0" w:after="0" w:afterAutospacing="0"/>
        <w:jc w:val="both"/>
        <w:rPr>
          <w:iCs/>
          <w:color w:val="000000"/>
          <w:lang w:eastAsia="en-US"/>
        </w:rPr>
      </w:pPr>
      <w:r w:rsidRPr="00B56C17">
        <w:rPr>
          <w:iCs/>
          <w:color w:val="000000"/>
          <w:lang w:eastAsia="en-US"/>
        </w:rPr>
        <w:tab/>
        <w:t xml:space="preserve">● kompiuterio programa, kuri saugojama pagal Lietuvos Respublikos autorių teisių ir gretutinių teisių įstatymą (toliau – ATGT įstatymas) kaip autorių teisių objektas </w:t>
      </w:r>
      <w:r w:rsidRPr="00B56C17">
        <w:rPr>
          <w:b/>
          <w:iCs/>
          <w:color w:val="000000"/>
          <w:lang w:eastAsia="en-US"/>
        </w:rPr>
        <w:t>arba</w:t>
      </w:r>
    </w:p>
    <w:p w14:paraId="66D6CC46"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r w:rsidRPr="00B56C17">
        <w:rPr>
          <w:rStyle w:val="Puslapioinaosnuoroda"/>
          <w:iCs/>
          <w:color w:val="000000"/>
          <w:lang w:eastAsia="en-US"/>
        </w:rPr>
        <w:footnoteReference w:id="1"/>
      </w:r>
      <w:r w:rsidRPr="00B56C17">
        <w:rPr>
          <w:iCs/>
          <w:color w:val="000000"/>
          <w:lang w:eastAsia="en-US"/>
        </w:rPr>
        <w:t>.</w:t>
      </w:r>
    </w:p>
    <w:p w14:paraId="59679057" w14:textId="77777777" w:rsidR="00C905FC" w:rsidRPr="00B56C17" w:rsidRDefault="00C905FC" w:rsidP="00DD4E26">
      <w:pPr>
        <w:pStyle w:val="Komentarotekstas"/>
        <w:spacing w:after="0"/>
        <w:ind w:firstLine="720"/>
        <w:jc w:val="both"/>
        <w:rPr>
          <w:sz w:val="24"/>
          <w:szCs w:val="24"/>
          <w:lang w:val="lt-LT"/>
        </w:rPr>
      </w:pPr>
      <w:r w:rsidRPr="00B56C17">
        <w:rPr>
          <w:sz w:val="24"/>
          <w:szCs w:val="24"/>
          <w:lang w:val="lt-LT"/>
        </w:rPr>
        <w:lastRenderedPageBreak/>
        <w:t>Pažymėtina, kad sąvokos „kompiuterių programa“ ir „programinė įranga“ suprantamos kaip  tas pats turto vienetas, t. y. kompiuterių programa, kaip ji yra apibrėžta ATGT įstatyme.</w:t>
      </w:r>
    </w:p>
    <w:p w14:paraId="75193D8F" w14:textId="77777777" w:rsidR="00C905FC" w:rsidRPr="00B56C17" w:rsidRDefault="00C905FC" w:rsidP="00DD4E26">
      <w:pPr>
        <w:pStyle w:val="tajtip"/>
        <w:shd w:val="clear" w:color="auto" w:fill="FFFFFF"/>
        <w:spacing w:before="0" w:beforeAutospacing="0" w:after="0" w:afterAutospacing="0"/>
        <w:jc w:val="both"/>
      </w:pPr>
      <w:r w:rsidRPr="00B56C17">
        <w:rPr>
          <w:iCs/>
          <w:lang w:eastAsia="en-US"/>
        </w:rPr>
        <w:tab/>
        <w:t xml:space="preserve">5. </w:t>
      </w:r>
      <w:r w:rsidRPr="00B56C17">
        <w:rPr>
          <w:b/>
          <w:iCs/>
          <w:lang w:eastAsia="en-US"/>
        </w:rPr>
        <w:t>Išradimas</w:t>
      </w:r>
      <w:r w:rsidRPr="00B56C17">
        <w:rPr>
          <w:iCs/>
          <w:lang w:eastAsia="en-US"/>
        </w:rPr>
        <w:t xml:space="preserve"> yra suprantamas kaip </w:t>
      </w:r>
      <w:r w:rsidRPr="00B56C17">
        <w:t xml:space="preserve">naujas pasauliniu lygiu, išradimo lygio (neakivaizdus atitinkamos srities specialistui) ir pramonėje pritaikomas tam tikros problemos (uždavinio) techninis sprendimas. </w:t>
      </w:r>
    </w:p>
    <w:p w14:paraId="645B7CA0" w14:textId="77777777" w:rsidR="00C905FC" w:rsidRPr="00B56C17" w:rsidRDefault="00C905FC" w:rsidP="00DD4E26">
      <w:pPr>
        <w:pStyle w:val="tajtip"/>
        <w:shd w:val="clear" w:color="auto" w:fill="FFFFFF"/>
        <w:spacing w:before="0" w:beforeAutospacing="0" w:after="0" w:afterAutospacing="0"/>
        <w:ind w:firstLine="720"/>
        <w:jc w:val="both"/>
      </w:pPr>
      <w:r w:rsidRPr="00B56C17">
        <w:rPr>
          <w:b/>
        </w:rPr>
        <w:t>Patentas</w:t>
      </w:r>
      <w:r w:rsidRPr="00B56C17">
        <w:rPr>
          <w:i/>
        </w:rPr>
        <w:t xml:space="preserve"> </w:t>
      </w:r>
      <w:r w:rsidRPr="00B56C17">
        <w:t>yra suprantamas kaip išradimo teisinės</w:t>
      </w:r>
      <w:r w:rsidRPr="00B56C17">
        <w:rPr>
          <w:rFonts w:ascii="&amp;quot" w:hAnsi="&amp;quot"/>
          <w:b/>
          <w:bCs/>
        </w:rPr>
        <w:t xml:space="preserve"> </w:t>
      </w:r>
      <w:r w:rsidRPr="00B56C17">
        <w:t>apsaugos forma.</w:t>
      </w:r>
    </w:p>
    <w:p w14:paraId="24C8F2B3" w14:textId="77777777" w:rsidR="00C905FC" w:rsidRPr="00B56C17" w:rsidRDefault="00C905FC" w:rsidP="00DD4E26">
      <w:pPr>
        <w:pStyle w:val="tajtip"/>
        <w:shd w:val="clear" w:color="auto" w:fill="FFFFFF"/>
        <w:spacing w:before="0" w:beforeAutospacing="0" w:after="0" w:afterAutospacing="0"/>
        <w:ind w:firstLine="720"/>
        <w:jc w:val="both"/>
        <w:rPr>
          <w:iCs/>
          <w:lang w:eastAsia="en-US"/>
        </w:rPr>
      </w:pPr>
      <w:r w:rsidRPr="00B56C17">
        <w:t>Išradimo objektu, kuris gali būti patentuojamas, paprastai gali būti įrenginys, būdas, medžiaga, žinomo įrenginio, būdo, medžiagos naujas panaudojimas</w:t>
      </w:r>
      <w:r w:rsidRPr="00B56C17">
        <w:rPr>
          <w:iCs/>
          <w:lang w:eastAsia="en-US"/>
        </w:rPr>
        <w:t>. Išradimų patentavimui keliamus reikalavimus nustato tarptautinės sutartys, ES teisė ir valstybės, kurioje siekiama gauti patentą, nacionalinė teisė. Pažymėtina, kad išradimų patentams negali būti prilyginami naudingieji modeliai</w:t>
      </w:r>
      <w:r w:rsidRPr="00B56C17">
        <w:rPr>
          <w:rStyle w:val="Puslapioinaosnuoroda"/>
          <w:iCs/>
          <w:lang w:eastAsia="en-US"/>
        </w:rPr>
        <w:footnoteReference w:id="2"/>
      </w:r>
      <w:r w:rsidRPr="00B56C17">
        <w:rPr>
          <w:iCs/>
          <w:lang w:eastAsia="en-US"/>
        </w:rPr>
        <w:t xml:space="preserve"> (atskirose valstybėse įvardijami įvairiomis sąvokomis: angl. </w:t>
      </w:r>
      <w:r w:rsidRPr="00B56C17">
        <w:rPr>
          <w:i/>
          <w:iCs/>
          <w:lang w:eastAsia="en-US"/>
        </w:rPr>
        <w:t xml:space="preserve">„utility model“, „petty patent“, „short-term patent“, utility innovation“, „innovation patent“ </w:t>
      </w:r>
      <w:r w:rsidRPr="00B56C17">
        <w:rPr>
          <w:iCs/>
          <w:lang w:eastAsia="en-US"/>
        </w:rPr>
        <w:t>ir pan.).</w:t>
      </w:r>
    </w:p>
    <w:p w14:paraId="4C137812"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6. Pažymėtina, kad pagal Lietuvos Respublikos </w:t>
      </w:r>
      <w:r w:rsidRPr="00B56C17">
        <w:t xml:space="preserve">patentų įstatymą (toliau – Patentų įstatymą) </w:t>
      </w:r>
      <w:r w:rsidRPr="00B56C17">
        <w:rPr>
          <w:iCs/>
          <w:color w:val="000000"/>
          <w:lang w:eastAsia="en-US"/>
        </w:rPr>
        <w:t>b</w:t>
      </w:r>
      <w:r w:rsidRPr="00B56C17">
        <w:t>et kokios technikos srities išradimai yra patentabilūs, jeigu jie yra nauji, atitinka išradimo lygį ir turi pramoninį pritaikomumą.</w:t>
      </w:r>
      <w:r w:rsidRPr="00B56C17">
        <w:rPr>
          <w:iCs/>
          <w:color w:val="000000"/>
          <w:lang w:eastAsia="en-US"/>
        </w:rPr>
        <w:t xml:space="preserve"> </w:t>
      </w:r>
    </w:p>
    <w:p w14:paraId="21F2297A"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Išradimas laikomas nauju, jeigu jis nežinomas </w:t>
      </w:r>
      <w:hyperlink r:id="rId44" w:tooltip="Technika (įranga)" w:history="1">
        <w:r w:rsidRPr="00B56C17">
          <w:rPr>
            <w:iCs/>
            <w:color w:val="000000"/>
            <w:lang w:eastAsia="en-US"/>
          </w:rPr>
          <w:t>technikos</w:t>
        </w:r>
      </w:hyperlink>
      <w:r w:rsidRPr="00B56C17">
        <w:rPr>
          <w:iCs/>
          <w:color w:val="000000"/>
          <w:lang w:eastAsia="en-US"/>
        </w:rPr>
        <w:t xml:space="preserve"> lygiu. Technikos lygis yra visa, kas iki patento paraiškos padavimo datos buvo viešai skelbta arba naudota. </w:t>
      </w:r>
    </w:p>
    <w:p w14:paraId="622DE61D"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Išradimas laikomas atitinkančiu išradimo lygį, jeigu jis, atsižvelgiant į technikos lygį, nėra akivaizdus atitinkamos srities specialistui. </w:t>
      </w:r>
    </w:p>
    <w:p w14:paraId="15E1DA9A"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Praktinį pritaikomumą turi išradimas, kurį galima pagaminti ar panaudoti pramonėje, žemės ūkyje, sveikatos apsaugos ar kitose srityse.</w:t>
      </w:r>
    </w:p>
    <w:p w14:paraId="148C0749"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t xml:space="preserve">7. Išradimas yra laikomas patentabilumo kriterijus atitinkančiu, jeigu jis yra apsaugotas </w:t>
      </w:r>
      <w:r w:rsidRPr="00B56C17">
        <w:rPr>
          <w:iCs/>
          <w:color w:val="000000"/>
          <w:lang w:eastAsia="en-US"/>
        </w:rPr>
        <w:t>Europos patentų tarnybos, Europos ekonominės erdvės valstybėje arba valstybėje, su kuria sudaryta ir taikoma dvigubo apmokestinimo išvengimo sutartis, išduotais patentais ar papildomos apsaugos liudijimais, ir vienetas turi išradimo atitikimo patentabilumo kriterijams pagrindžiančius dokumentus (žr. šios dalies komentaro 8 punktą).</w:t>
      </w:r>
    </w:p>
    <w:p w14:paraId="5B003DFB"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8. Atkreiptinas dėmesys, kad kai kurių valstybių patentų tarnybos patentus išduoda prieš tai atlikusios esminę išradimo atitikimo patentabilumo kriterijams ekspertizę</w:t>
      </w:r>
      <w:r w:rsidRPr="00B56C17">
        <w:rPr>
          <w:rStyle w:val="Puslapioinaosnuoroda"/>
        </w:rPr>
        <w:footnoteReference w:id="3"/>
      </w:r>
      <w:r w:rsidRPr="00B56C17">
        <w:rPr>
          <w:iCs/>
          <w:color w:val="000000"/>
          <w:lang w:eastAsia="en-US"/>
        </w:rPr>
        <w:t>, tačiau kai kurios patentų tarnybos tokios ekspertizės neatlieka</w:t>
      </w:r>
      <w:r w:rsidRPr="00B56C17">
        <w:rPr>
          <w:rStyle w:val="Puslapioinaosnuoroda"/>
          <w:iCs/>
          <w:color w:val="000000"/>
          <w:lang w:eastAsia="en-US"/>
        </w:rPr>
        <w:footnoteReference w:id="4"/>
      </w:r>
      <w:r w:rsidRPr="00B56C17">
        <w:rPr>
          <w:iCs/>
          <w:color w:val="000000"/>
          <w:lang w:eastAsia="en-US"/>
        </w:rPr>
        <w:t xml:space="preserve"> (pastarosios sistemos paprastai įvardijamos kaip „pareikštinės“, angl. „</w:t>
      </w:r>
      <w:r w:rsidRPr="00B56C17">
        <w:rPr>
          <w:i/>
          <w:iCs/>
          <w:color w:val="000000"/>
          <w:lang w:eastAsia="en-US"/>
        </w:rPr>
        <w:t>registration system</w:t>
      </w:r>
      <w:r w:rsidRPr="00B56C17">
        <w:rPr>
          <w:iCs/>
          <w:color w:val="000000"/>
          <w:lang w:eastAsia="en-US"/>
        </w:rPr>
        <w:t>“). Dėl šios priežasties abiem atvejais skiriasi dokumentai, kuriuos vienetas turi turėti, siekiant pagrįsti lengvatos taikymo pagrįstumą. Jeigu patento paraiškoje prašoma suteikti prioritetą remiantis ankstesne paraiška, kuri buvo pateikta</w:t>
      </w:r>
      <w:r w:rsidRPr="00B56C17">
        <w:t xml:space="preserve"> </w:t>
      </w:r>
      <w:r w:rsidRPr="00B56C17">
        <w:rPr>
          <w:iCs/>
          <w:color w:val="000000"/>
          <w:lang w:eastAsia="en-US"/>
        </w:rPr>
        <w:t>Europos patentų tarnybai, Europos ekonominės erdvės valstybėje arba valstybėje, su kuria sudaryta ir taikoma dvigubo apmokestinimo išvengimo sutartis, lengvatos taikymo tikslu bus atsižvelgiama į šios ankstesnės paraiškos datą.</w:t>
      </w:r>
    </w:p>
    <w:p w14:paraId="3356A472" w14:textId="77777777" w:rsidR="00C905FC" w:rsidRPr="00B56C17" w:rsidRDefault="00C905FC" w:rsidP="00DD4E26">
      <w:pPr>
        <w:pStyle w:val="tajtip"/>
        <w:shd w:val="clear" w:color="auto" w:fill="FFFFFF"/>
        <w:spacing w:before="0" w:beforeAutospacing="0" w:after="0" w:afterAutospacing="0"/>
        <w:ind w:firstLine="720"/>
        <w:jc w:val="both"/>
        <w:rPr>
          <w:iCs/>
          <w:color w:val="000000"/>
          <w:u w:val="single"/>
          <w:lang w:eastAsia="en-US"/>
        </w:rPr>
      </w:pPr>
      <w:r w:rsidRPr="00B56C17">
        <w:rPr>
          <w:iCs/>
          <w:color w:val="000000"/>
          <w:u w:val="single"/>
          <w:lang w:eastAsia="en-US"/>
        </w:rPr>
        <w:t>Patentabilumo kriterijus atitinkančiu išradimu yra laikomas:</w:t>
      </w:r>
    </w:p>
    <w:p w14:paraId="1DEF7039"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lastRenderedPageBreak/>
        <w:t>8.1. išradimas, apsaugotas patentu, kurį atitinkama patentų tarnyba išduoda, atlikusi šio išradimo naujumo, išradimo lygio ir pramoninio pritaikomumo ekspertizę. Atitikimas patentabilumo kriterijams turi būti pagrindžiamas šių patentų tarnybų išduotu patentu.</w:t>
      </w:r>
      <w:r w:rsidRPr="00B56C17">
        <w:t xml:space="preserve"> Mokesčio lengvata tokiu atveju taikoma nuo patento paraiškos padavimo datos. </w:t>
      </w:r>
    </w:p>
    <w:p w14:paraId="05B10723" w14:textId="77777777" w:rsidR="00C905FC" w:rsidRPr="00B56C17" w:rsidRDefault="00C905FC" w:rsidP="00DD4E26">
      <w:pPr>
        <w:pStyle w:val="tajtip"/>
        <w:shd w:val="clear" w:color="auto" w:fill="FFFFFF"/>
        <w:tabs>
          <w:tab w:val="left" w:pos="993"/>
        </w:tabs>
        <w:spacing w:before="0" w:beforeAutospacing="0" w:after="0" w:afterAutospacing="0"/>
        <w:ind w:firstLine="709"/>
        <w:jc w:val="both"/>
      </w:pPr>
      <w:r w:rsidRPr="00B56C17">
        <w:t xml:space="preserve">Atkreiptinas dėmesys, kad patentas paprastai išduodamas praėjus keleriems metams nuo patento paraiškos padavimo. Todėl, jeigu vienetas pageidauja taikyti šioje dalyje nustatytą lengvatą dar iki patento išdavimo jam, t. y. patento </w:t>
      </w:r>
      <w:r w:rsidRPr="00B56C17">
        <w:rPr>
          <w:u w:val="single"/>
        </w:rPr>
        <w:t>paraiškos</w:t>
      </w:r>
      <w:r w:rsidRPr="00B56C17">
        <w:t xml:space="preserve"> stadijoje (pavyzdžiui, kai patento paraiškos nagrinėjimo laikotarpis yra pakankamai ilgas), jis turi turėti:</w:t>
      </w:r>
    </w:p>
    <w:p w14:paraId="736B87AD" w14:textId="77777777" w:rsidR="00C905FC" w:rsidRPr="00B56C17" w:rsidRDefault="00C905FC" w:rsidP="00DD4E26">
      <w:pPr>
        <w:pStyle w:val="tajtip"/>
        <w:numPr>
          <w:ilvl w:val="0"/>
          <w:numId w:val="54"/>
        </w:numPr>
        <w:shd w:val="clear" w:color="auto" w:fill="FFFFFF"/>
        <w:tabs>
          <w:tab w:val="left" w:pos="851"/>
        </w:tabs>
        <w:spacing w:before="0" w:beforeAutospacing="0" w:after="0" w:afterAutospacing="0" w:line="240" w:lineRule="auto"/>
        <w:ind w:left="0" w:firstLine="720"/>
        <w:jc w:val="both"/>
        <w:rPr>
          <w:iCs/>
          <w:color w:val="000000"/>
          <w:lang w:eastAsia="en-US"/>
        </w:rPr>
      </w:pPr>
      <w:r w:rsidRPr="00B56C17">
        <w:t xml:space="preserve">atitinkamos patentų tarnybos išduotą paieškos ataskaitą (paprastai įvardijama kaip angl. </w:t>
      </w:r>
      <w:r w:rsidRPr="00B56C17">
        <w:rPr>
          <w:i/>
        </w:rPr>
        <w:t>„search report“</w:t>
      </w:r>
      <w:r w:rsidRPr="00B56C17">
        <w:t>) ir</w:t>
      </w:r>
    </w:p>
    <w:p w14:paraId="7F41005D" w14:textId="77777777" w:rsidR="00C905FC" w:rsidRPr="00B56C17" w:rsidRDefault="00C905FC" w:rsidP="00DD4E26">
      <w:pPr>
        <w:pStyle w:val="tajtip"/>
        <w:shd w:val="clear" w:color="auto" w:fill="FFFFFF"/>
        <w:spacing w:before="0" w:beforeAutospacing="0" w:after="0" w:afterAutospacing="0"/>
        <w:ind w:firstLine="720"/>
        <w:jc w:val="both"/>
      </w:pPr>
      <w:r w:rsidRPr="00B56C17">
        <w:t xml:space="preserve">- rašytinę nuomonę dėl išradimo patentabilumo (paprastai įvardijama kaip angl. </w:t>
      </w:r>
      <w:r w:rsidRPr="00B56C17">
        <w:rPr>
          <w:i/>
        </w:rPr>
        <w:t>„written opinion“</w:t>
      </w:r>
      <w:r w:rsidRPr="00B56C17">
        <w:t>).</w:t>
      </w:r>
    </w:p>
    <w:p w14:paraId="7BB7EE30"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Šie dokumentai turi demonstruoti pirminį patentų tarnybos vertinimą dėl visų išradimo apibrėžties punktų atitikimo patentabilumo kriterijams.</w:t>
      </w:r>
    </w:p>
    <w:p w14:paraId="5A3991C2"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Jeigu rašytinėje nuomonėje nurodoma, kad tam tikri išradimo apibrėžties punktai neatitinka patentabilumo kriterijų, patento paraiška paprastai tikslinama ir susiaurinama išradimo apibrėžties apimtis. Tokiu atveju vienetas turi turėti:</w:t>
      </w:r>
    </w:p>
    <w:p w14:paraId="6D99B616"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patento paraiškos patikslinimą (išradimo apibrėžties susiaurinimą) patvirtinančius dokumentus ir</w:t>
      </w:r>
    </w:p>
    <w:p w14:paraId="3CEB5870"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patentinio patikėtinio</w:t>
      </w:r>
      <w:r w:rsidRPr="00B56C17">
        <w:rPr>
          <w:iCs/>
          <w:color w:val="000000"/>
          <w:vertAlign w:val="superscript"/>
          <w:lang w:eastAsia="en-US"/>
        </w:rPr>
        <w:t>5</w:t>
      </w:r>
      <w:r w:rsidRPr="00B56C17">
        <w:rPr>
          <w:iCs/>
          <w:color w:val="000000"/>
          <w:lang w:eastAsia="en-US"/>
        </w:rPr>
        <w:t xml:space="preserve"> (</w:t>
      </w:r>
      <w:r w:rsidRPr="00B56C17">
        <w:rPr>
          <w:iCs/>
          <w:color w:val="000000"/>
          <w:lang w:eastAsia="en-US"/>
        </w:rPr>
        <w:footnoteReference w:id="5"/>
      </w:r>
      <w:r w:rsidRPr="00B56C17">
        <w:rPr>
          <w:iCs/>
          <w:color w:val="000000"/>
          <w:lang w:eastAsia="en-US"/>
        </w:rPr>
        <w:t xml:space="preserve">) patvirtinimą apie šioje patikslintoje paraiškoje nurodyto išradimo atitikimą patentabilumo kriterijams. </w:t>
      </w:r>
    </w:p>
    <w:p w14:paraId="2BAC90A3" w14:textId="77777777" w:rsidR="00C905FC" w:rsidRPr="0065344A" w:rsidRDefault="00C905FC" w:rsidP="00DD4E2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lang w:val="lt-LT"/>
        </w:rPr>
      </w:pPr>
      <w:r w:rsidRPr="0065344A">
        <w:rPr>
          <w:lang w:val="lt-LT"/>
        </w:rPr>
        <w:t>Tais atvejais, kai anksčiau minėti dokumentai yra surašyti užsienio kalba, mokesčių mokėtojas turi turėti ir tokių dokumentų vertimą į lietuvių kalbą, patvirtintą vertėjo parašu ir spaudu.</w:t>
      </w:r>
    </w:p>
    <w:p w14:paraId="16358FCA"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8.2. išradimas, apsaugotas patentu, kuris išduotas atitinkamai patentų tarnybai neatlikus esminės šio išradimo naujumo, išradimo lygio ir pramoninio pritaikomumo ekspertizės. Paprastai tokie patentai išduodami praėjus 1–2 metams nuo patento paraiškos padavimo datos. Tokių išradimų atitikimas patentabilumo kriterijams gali būti pagrindžiamas dvejopai</w:t>
      </w:r>
      <w:r w:rsidRPr="00B56C17">
        <w:t>:</w:t>
      </w:r>
    </w:p>
    <w:p w14:paraId="1FD9F24E" w14:textId="77777777" w:rsidR="00C905FC" w:rsidRPr="00B56C17" w:rsidRDefault="00C905FC" w:rsidP="00DD4E26">
      <w:pPr>
        <w:pStyle w:val="tajtip"/>
        <w:shd w:val="clear" w:color="auto" w:fill="FFFFFF"/>
        <w:spacing w:before="0" w:beforeAutospacing="0" w:after="0" w:afterAutospacing="0"/>
        <w:ind w:firstLine="720"/>
        <w:jc w:val="both"/>
      </w:pPr>
      <w:r w:rsidRPr="00B56C17">
        <w:t>8.2.1. pateikiamas patentinio patikėtinio patvirtinimas apie išradimo atitikimą patentabilumo kriterijams arba</w:t>
      </w:r>
    </w:p>
    <w:p w14:paraId="07315D7A" w14:textId="77777777" w:rsidR="00C905FC" w:rsidRPr="00B56C17" w:rsidRDefault="00C905FC" w:rsidP="00DD4E26">
      <w:pPr>
        <w:pStyle w:val="tajtip"/>
        <w:shd w:val="clear" w:color="auto" w:fill="FFFFFF"/>
        <w:spacing w:before="0" w:beforeAutospacing="0" w:after="0" w:afterAutospacing="0"/>
        <w:ind w:firstLine="720"/>
        <w:jc w:val="both"/>
      </w:pPr>
      <w:r w:rsidRPr="00B56C17">
        <w:t xml:space="preserve">8.2.2. pateikiama patentų tarnybos, turinčios tarptautinės paieškos įstaigos (angl. – </w:t>
      </w:r>
      <w:r w:rsidRPr="00B56C17">
        <w:rPr>
          <w:i/>
        </w:rPr>
        <w:t>„International Searching Authority“</w:t>
      </w:r>
      <w:r w:rsidRPr="00B56C17">
        <w:t>) statusą</w:t>
      </w:r>
      <w:r w:rsidRPr="00B56C17">
        <w:rPr>
          <w:rStyle w:val="Puslapioinaosnuoroda"/>
        </w:rPr>
        <w:footnoteReference w:id="6"/>
      </w:r>
      <w:r w:rsidRPr="00B56C17">
        <w:t xml:space="preserve"> ir teikiančios tokias paslaugas, išduota paieškos ataskaita ir rašytinė nuomonė dėl išradimo patentabilumo. </w:t>
      </w:r>
    </w:p>
    <w:p w14:paraId="0BDBBB35" w14:textId="77777777" w:rsidR="00C905FC" w:rsidRPr="00B56C17" w:rsidRDefault="00C905FC" w:rsidP="00DD4E26">
      <w:pPr>
        <w:pStyle w:val="tajtip"/>
        <w:shd w:val="clear" w:color="auto" w:fill="FFFFFF"/>
        <w:spacing w:before="0" w:beforeAutospacing="0" w:after="0" w:afterAutospacing="0"/>
        <w:ind w:firstLine="720"/>
        <w:jc w:val="both"/>
      </w:pPr>
      <w:r w:rsidRPr="00B56C17">
        <w:t>Šie dokumentai turi demonstruoti visų išradimo apibrėžties punktų atitikimą patentabilumo kriterijams.</w:t>
      </w:r>
    </w:p>
    <w:p w14:paraId="07A9A857" w14:textId="77777777" w:rsidR="00C905FC" w:rsidRPr="00B56C17" w:rsidRDefault="00C905FC" w:rsidP="00DD4E26">
      <w:pPr>
        <w:pStyle w:val="tajtip"/>
        <w:shd w:val="clear" w:color="auto" w:fill="FFFFFF"/>
        <w:spacing w:before="0" w:beforeAutospacing="0" w:after="0" w:afterAutospacing="0"/>
        <w:ind w:firstLine="720"/>
        <w:jc w:val="both"/>
      </w:pPr>
      <w:r w:rsidRPr="00B56C17">
        <w:t>Jeigu patentų tarnybos išduotoje paieškos ataskaitoje ir (ar) rašytinėje nuomonėje nurodoma, kad tam tikri išradimo apibrėžties punktai neatitinka patentabilumo kriterijų, vienetas turi turėti patento paraiškos patikslinimą patvirtinančius dokumentus arba išduotą patentą kartu su patentinio patikėtinio patvirtinimu apie šioje patikslintoje paraiškoje ar išduotame patente nurodyto išradimo atitikimą patentabilumo kriterijams.</w:t>
      </w:r>
    </w:p>
    <w:p w14:paraId="12ABBB0B" w14:textId="77777777" w:rsidR="00C905FC" w:rsidRPr="0065344A" w:rsidRDefault="00C905FC" w:rsidP="00DD4E2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lang w:val="lt-LT"/>
        </w:rPr>
      </w:pPr>
      <w:r w:rsidRPr="0065344A">
        <w:rPr>
          <w:lang w:val="lt-LT"/>
        </w:rPr>
        <w:t>Tais atvejais, kai aukščiau minėti dokumentai yra surašyti užsienio kalba, mokesčių mokėtojas turi turėti ir tokių dokumentų vertimą į lietuvių kalbą, patvirtintą vertėjo parašu ir spaudu.</w:t>
      </w:r>
    </w:p>
    <w:p w14:paraId="613359A1"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bCs/>
          <w:iCs/>
          <w:color w:val="000000"/>
          <w:lang w:eastAsia="en-US"/>
        </w:rPr>
        <w:t>9. Pagal šios dalies nuostatas, išradimas gali būti apsaugotas ir papildomos apsaugos liudijimu (angl. – „</w:t>
      </w:r>
      <w:r w:rsidRPr="00B56C17">
        <w:rPr>
          <w:bCs/>
          <w:i/>
          <w:iCs/>
          <w:color w:val="000000"/>
          <w:lang w:eastAsia="en-US"/>
        </w:rPr>
        <w:t>supplementary protection certificate</w:t>
      </w:r>
      <w:r w:rsidRPr="00B56C17">
        <w:rPr>
          <w:bCs/>
          <w:iCs/>
          <w:color w:val="000000"/>
          <w:lang w:eastAsia="en-US"/>
        </w:rPr>
        <w:t xml:space="preserve">“), kuris pagal Patentų įstatymo nuostatas yra </w:t>
      </w:r>
      <w:r w:rsidRPr="00B56C17">
        <w:rPr>
          <w:iCs/>
          <w:color w:val="000000"/>
          <w:lang w:eastAsia="en-US"/>
        </w:rPr>
        <w:t xml:space="preserve">dokumentas, suteikiantis papildomą apsaugą vaistų veikliosioms medžiagoms ir augalų apsaugos priemonėms, pasibaigus jų patento galiojimo laikui. Papildomos apsaugos paskirtis – kompensuoti išradimų kūrimo farmacijos ir agrochemijos srityse ilgai trunkančius ir sudėtingus specialius tyrimus bei gaunant leidimą išleisti šiuos produktus į rinką sugaištą laiką. Pažymėtina, kad papildomos </w:t>
      </w:r>
      <w:r w:rsidRPr="00B56C17">
        <w:rPr>
          <w:iCs/>
          <w:color w:val="000000"/>
          <w:lang w:eastAsia="en-US"/>
        </w:rPr>
        <w:lastRenderedPageBreak/>
        <w:t xml:space="preserve">apsaugos liudijimai atskirose valstybėse gali būti įvardijami įvairiai, juos siejant su patento apsaugos termino pratęsimu (pvz., angl. </w:t>
      </w:r>
      <w:r w:rsidRPr="00B56C17">
        <w:t>„</w:t>
      </w:r>
      <w:r w:rsidRPr="00B56C17">
        <w:rPr>
          <w:i/>
          <w:iCs/>
          <w:color w:val="000000"/>
          <w:lang w:eastAsia="en-US"/>
        </w:rPr>
        <w:t xml:space="preserve">Certificate Extending Patent Term“, „Extension of Term of Patent Right“ </w:t>
      </w:r>
      <w:r w:rsidRPr="00B56C17">
        <w:rPr>
          <w:iCs/>
          <w:color w:val="000000"/>
          <w:lang w:eastAsia="en-US"/>
        </w:rPr>
        <w:t>ir pan.).</w:t>
      </w:r>
    </w:p>
    <w:p w14:paraId="0A025E04"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Papildomos apsaugos liudijimas turi būti išduotas pagrindinio patento, atitinkančio patentabilumo kriterijus, pagrindu. Pagrindinio patento patentabilumas nustatomas pagal anksčiau nurodytus kriterijus ir įrodomas pateikus aukščiau nurodytus dokumentus (žr. šios dalies komentaro 8 punktą).</w:t>
      </w:r>
    </w:p>
    <w:p w14:paraId="17DD81D8"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p>
    <w:p w14:paraId="27CAEC66" w14:textId="77777777" w:rsidR="00C905FC" w:rsidRPr="00B56C17" w:rsidRDefault="00C905FC" w:rsidP="00DD4E26">
      <w:pPr>
        <w:spacing w:after="0"/>
        <w:ind w:firstLine="720"/>
        <w:jc w:val="both"/>
        <w:rPr>
          <w:iCs/>
          <w:color w:val="000000"/>
        </w:rPr>
      </w:pPr>
      <w:r w:rsidRPr="00B56C17">
        <w:rPr>
          <w:iCs/>
          <w:color w:val="000000"/>
        </w:rPr>
        <w:t>1-4 pavyzdžiai</w:t>
      </w:r>
    </w:p>
    <w:p w14:paraId="2EDBCFFC"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1. Kai patentas išduotas Lietuvoje:</w:t>
      </w:r>
    </w:p>
    <w:p w14:paraId="41C6C29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Siekdamas įvertinti išradimo atitikimą patentabilumo reikalavimams, vienetas 2018 metais pateikė Valstybiniam patentų biurui (toliau –VPB)  paraišką patentui gauti ir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xml:space="preserve"> Europos patentų tarnyboje. Remiantis VPB ir Europos patentų tarnybos bendradarbiavimo susitarimu, šio išradimo atitikimas patentabilumo kriterijams buvo įvertintas Europos patentų tarnyboje. Europos patentų tarnyba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pateikė prašymą VPB atitinkamai susiaurinti išradimo apibrėžties apimtį. Vienetas taip pat kreipėsi į patentinį patikėtinį, kad šis patvirtintų, jog susiaurinta išradimo apibrėžtis atitinka patentabilumo kriterijus. </w:t>
      </w:r>
    </w:p>
    <w:p w14:paraId="01244F70"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iki patento išdavimo, t. y. 2018 metais prasidėjusį mokestinį laikotarpį, privalo turėti paieškos ataskaitą, rašytinę nuomonę, dokumentus, patvirtinančius išradimo apibrėžties susiaurinimą bei patentinio patikėtinio patvirtinimą.</w:t>
      </w:r>
    </w:p>
    <w:p w14:paraId="690825B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VPB 2019 metais išdavė vienetui išradimo patentą.                   </w:t>
      </w:r>
    </w:p>
    <w:p w14:paraId="789C003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p>
    <w:p w14:paraId="13C1841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2. Kai patentas išduotas ne Lietuvoje (patentų tarnybai nevertinant patentabilumo kriterijų)</w:t>
      </w:r>
    </w:p>
    <w:p w14:paraId="01F54A1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dėl kurio patentavimo 2018 metais kreipėsi į Slovėnijos intelektinės nuosavybės tarnybą. </w:t>
      </w:r>
    </w:p>
    <w:p w14:paraId="3A27FEC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Slovėnijos intelektinės nuosavybės tarnyba 2018 metais išdavė patentą. Kadangi Slovėnijos intelektinės nuosavybės tarnyba neatliko ekspertinio vertinimo, ar išradimas atitinka patentabilumo kriterijus, vienetas dėl tokio vertinimo kreipėsi į patentinį patikėtinį, kuris pateikė rašytinį </w:t>
      </w:r>
      <w:r w:rsidRPr="00B56C17">
        <w:t>patvirtinimą dėl šio išradimo atitikimo patentabilumo reikalavimams</w:t>
      </w:r>
      <w:r w:rsidRPr="00B56C17">
        <w:rPr>
          <w:iCs/>
          <w:color w:val="000000"/>
          <w:lang w:eastAsia="en-US"/>
        </w:rPr>
        <w:t xml:space="preserve">. </w:t>
      </w:r>
    </w:p>
    <w:p w14:paraId="2B6577B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privalo turėti patentinio patikėtinio išduotą rašytinį patvirtinimą ir išduotą patentą.</w:t>
      </w:r>
    </w:p>
    <w:p w14:paraId="6EADFE58"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24035A86"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3. Kai patentas išduotas Europos patentų tarnyboje</w:t>
      </w:r>
      <w:r w:rsidRPr="00B56C17">
        <w:rPr>
          <w:iCs/>
          <w:color w:val="000000"/>
          <w:lang w:eastAsia="en-US"/>
        </w:rPr>
        <w:t>:</w:t>
      </w:r>
    </w:p>
    <w:p w14:paraId="2FB4978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2016-2017 metais Lietuvoje vykdė MTEP veiklą ir sukūrė naują turtą – lazerinį prietaisą, dėl kurio patentavimo 2018 metais pateikė Europos patento paraišką Europos patentų tarnybai.</w:t>
      </w:r>
    </w:p>
    <w:p w14:paraId="3E25EF82"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Europos patentų tarnyba 2018 m. viduryje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pateikė prašymą Europos patentų tarnybai susiaurinti išradimo apibrėžties apimtį. Vienetas taip pat kreipėsi į patentinį patikėtinį, kad šis patvirtintų, jog susiaurinta išradimo apibrėžtis atitinka patentabilumo kriterijus. </w:t>
      </w:r>
    </w:p>
    <w:p w14:paraId="5062236B"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taikydamas šioje dalyje nustatytą lengvatą iki patento išdavimo, t. y.  2018 metais prasidėjusį mokestinį laikotarpį, turi turėti paieškos ataskaitą, rašytinę nuomonę, dokumentus, patvirtinančius išradimo apibrėžties susiaurinimą ir patentinio patikėtinio patvirtinimą. </w:t>
      </w:r>
    </w:p>
    <w:p w14:paraId="5FF5ADD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Europos patentų tarnyba 2021 m. išdavė patentą.</w:t>
      </w:r>
    </w:p>
    <w:p w14:paraId="6F1BE9FF"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1CECDF5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4. Kai sudaryta išimtinė licencija:</w:t>
      </w:r>
    </w:p>
    <w:p w14:paraId="4641B2D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2016-2017 metais vykdė MTEP veiklą ir sukūrė naują turtą – lazerinį prietaisą, kuriam 2018 metais išduotas patentas. Kadangi vienetas yra įmonių grupės dalis, patento paraiškoje pareiškėju buvo nurodytas ne vienetas X, o kita įmonės grupė – vienetas Y. VPB išdavė išradimo patentą vienetui Y.</w:t>
      </w:r>
    </w:p>
    <w:p w14:paraId="6177144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Siekdamas įvertinti išradimo atitikimą patentabilumo reikalavimams, vienetas Y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Remiantis VPB ir Europos patentų tarnybos bendradarbiavimo susitarimu, šio išradimo atitikimas patentabilumo kriterijams buvo atliktas Europos patentų tarnyboje. Europos patentų tarnyba vienetui Y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Rašytinėje nuomonėje buvo nurodyta, kad išradimas atitinka patentabilumo kriterijus.</w:t>
      </w:r>
    </w:p>
    <w:p w14:paraId="30520C1D"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X su vienetu Y dėl šio patento 2018 metais sudarė išimtinę licenciją, kuri buvo įregistruota VPB. </w:t>
      </w:r>
    </w:p>
    <w:p w14:paraId="56A774F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taikydamas šioje dalyje nustatytą lengvatą, turi turėti išimtinės licencijos išrašą, vieneto Y gautą paieškos ataskaitos ir rašytinės nuomonės kopiją (patvirtintą) ir vieneto Y gauto patento kopiją (patvirtintą).</w:t>
      </w:r>
    </w:p>
    <w:p w14:paraId="713F5663" w14:textId="77777777" w:rsidR="00C905FC" w:rsidRPr="00B56C17" w:rsidRDefault="00C905FC" w:rsidP="00DD4E26">
      <w:pPr>
        <w:pStyle w:val="tajtip"/>
        <w:shd w:val="clear" w:color="auto" w:fill="FFFFFF"/>
        <w:spacing w:before="0" w:beforeAutospacing="0" w:after="0" w:afterAutospacing="0"/>
        <w:ind w:firstLine="720"/>
        <w:jc w:val="both"/>
      </w:pPr>
    </w:p>
    <w:p w14:paraId="25E1FD51" w14:textId="77777777" w:rsidR="00C905FC" w:rsidRPr="00B56C17" w:rsidRDefault="00C905FC" w:rsidP="00DD4E26">
      <w:pPr>
        <w:pStyle w:val="tajtip"/>
        <w:shd w:val="clear" w:color="auto" w:fill="FFFFFF"/>
        <w:spacing w:before="0" w:beforeAutospacing="0" w:after="0" w:afterAutospacing="0"/>
        <w:ind w:firstLine="720"/>
        <w:jc w:val="both"/>
        <w:rPr>
          <w:b/>
          <w:iCs/>
          <w:color w:val="000000"/>
          <w:lang w:eastAsia="en-US"/>
        </w:rPr>
      </w:pPr>
      <w:r w:rsidRPr="00B56C17">
        <w:rPr>
          <w:b/>
          <w:color w:val="000000"/>
        </w:rPr>
        <w:t>8. Šio straipsnio 7 dalies nuostatos taikomos ir tuo atveju, kai Lietuvos vieneto arba nuolatinės buveinės sukurtas turtas yra jų naudojamas pagal išimtinę licenciją. Lengvata pradedama taikyti, kai jau yra atsiradusios autorių teisės, paduota patento paraiška, išduotas patentas, įsigaliojęs papildomos apsaugos liudijimas ar kai yra suteikta išimtinė licencija. Kai lengvata taikoma nuo patento paraiškos padavimo, o patentas nėra išduodamas arba kai patentas pripažįstamas negaliojančiu, taip pat pripažįstamas negaliojančiu papildomos apsaugos liudijimas ar išimtinė licencija yra negaliojanti, sumokėtas pelno mokestis nuo apmokestinamojo pelno iš turto naudojimo, pardavimo ar kitokio perleidimo nuosavybėn dalies, apskaičiuotos pagal šio straipsnio 9 dalyje nustatytą formulę, privalo būti perskaičiuotas už visus mokestinius laikotarpius, kuriais buvo taikyta lengvata, atsižvelgiant į Mokesčių administravimo įstatymo 68 straipsnio nuostatas.</w:t>
      </w:r>
    </w:p>
    <w:p w14:paraId="69BFCEE3" w14:textId="77777777" w:rsidR="00C905FC" w:rsidRDefault="00C905FC" w:rsidP="00DD4E26">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7E70B8B9" w14:textId="77777777" w:rsidR="00F510E7" w:rsidRPr="00F510E7" w:rsidRDefault="00F510E7" w:rsidP="00DD4E26">
      <w:pPr>
        <w:pStyle w:val="tajtip"/>
        <w:shd w:val="clear" w:color="auto" w:fill="FFFFFF"/>
        <w:spacing w:before="0" w:beforeAutospacing="0" w:after="0" w:afterAutospacing="0"/>
        <w:jc w:val="both"/>
        <w:rPr>
          <w:bCs/>
          <w:i/>
        </w:rPr>
      </w:pPr>
    </w:p>
    <w:p w14:paraId="456B7E61" w14:textId="77777777" w:rsidR="00C905FC" w:rsidRPr="0065344A" w:rsidRDefault="00C905FC" w:rsidP="00F32DE7">
      <w:pPr>
        <w:spacing w:before="160"/>
        <w:ind w:firstLine="720"/>
        <w:jc w:val="both"/>
        <w:rPr>
          <w:b/>
          <w:lang w:val="lt-LT"/>
        </w:rPr>
      </w:pPr>
      <w:r w:rsidRPr="0065344A">
        <w:rPr>
          <w:b/>
          <w:lang w:val="lt-LT"/>
        </w:rPr>
        <w:t>Komentaras</w:t>
      </w:r>
    </w:p>
    <w:p w14:paraId="47DC1BBD" w14:textId="77777777" w:rsidR="00C905FC" w:rsidRPr="00B56C17" w:rsidRDefault="00C905FC" w:rsidP="00DD4E26">
      <w:pPr>
        <w:pStyle w:val="tajtip"/>
        <w:shd w:val="clear" w:color="auto" w:fill="FFFFFF"/>
        <w:spacing w:before="0" w:beforeAutospacing="0" w:after="0" w:afterAutospacing="0"/>
        <w:ind w:firstLine="720"/>
        <w:jc w:val="both"/>
        <w:rPr>
          <w:rFonts w:ascii="Arial" w:hAnsi="Arial" w:cs="Arial"/>
          <w:color w:val="333333"/>
          <w:sz w:val="20"/>
          <w:szCs w:val="20"/>
        </w:rPr>
      </w:pPr>
      <w:r w:rsidRPr="00B56C17">
        <w:rPr>
          <w:iCs/>
          <w:color w:val="000000"/>
          <w:lang w:eastAsia="en-US"/>
        </w:rPr>
        <w:t xml:space="preserve">1. Pažymėtina, kad PMĮ 5 str. 7 dalies nuostatos taikomos ir tuo atveju, kai Lietuvos vieneto ar nuolatinės buveinės MTEP veikloje sukurtas turtas yra jo naudojamas pagal išimtinę licenciją (angl. </w:t>
      </w:r>
      <w:r w:rsidRPr="00B56C17">
        <w:rPr>
          <w:i/>
          <w:iCs/>
          <w:color w:val="000000"/>
          <w:lang w:eastAsia="en-US"/>
        </w:rPr>
        <w:t>„exclusive licence“</w:t>
      </w:r>
      <w:r w:rsidRPr="00B56C17">
        <w:rPr>
          <w:iCs/>
          <w:color w:val="000000"/>
          <w:lang w:eastAsia="en-US"/>
        </w:rPr>
        <w:t>).</w:t>
      </w:r>
      <w:r w:rsidRPr="00B56C17">
        <w:rPr>
          <w:rFonts w:ascii="Arial" w:hAnsi="Arial" w:cs="Arial"/>
          <w:color w:val="333333"/>
          <w:sz w:val="20"/>
          <w:szCs w:val="20"/>
        </w:rPr>
        <w:t xml:space="preserve"> </w:t>
      </w:r>
    </w:p>
    <w:p w14:paraId="62210CF5" w14:textId="77777777" w:rsidR="00C905FC" w:rsidRPr="00B56C17" w:rsidRDefault="00C905FC" w:rsidP="00DD4E26">
      <w:pPr>
        <w:pStyle w:val="tajtip"/>
        <w:shd w:val="clear" w:color="auto" w:fill="FFFFFF"/>
        <w:spacing w:before="0" w:beforeAutospacing="0" w:after="0" w:afterAutospacing="0"/>
        <w:ind w:firstLine="720"/>
        <w:jc w:val="both"/>
      </w:pPr>
      <w:r w:rsidRPr="00B56C17">
        <w:rPr>
          <w:bCs/>
        </w:rPr>
        <w:t>Išimtinė licencija</w:t>
      </w:r>
      <w:r w:rsidRPr="00B56C17">
        <w:t xml:space="preserve"> yra tokia, pagal kurią ją suteikęs asmuo netenka teisės suteikti tokias pačias licencijas kitiems asmenims, taip pat neturi teisės pats naudotis suteiktomis teisėmis išimtinės licencijos suteikimo laikotarpiui. Išimtinumas turi būti aiškiai apibrėžtas sutartyje. Išimtinėje licencijoje gali būti numatytos ir kitos sąlygos (pavyzdžiui, licencinės sutarties galiojimo teritorija), kurios neturi įtakos licencijos išimtinumui. Išimtine licencija nelaikoma vienetinė licencija (angl. – </w:t>
      </w:r>
      <w:r w:rsidRPr="00B56C17">
        <w:rPr>
          <w:i/>
        </w:rPr>
        <w:t>„sole licence“</w:t>
      </w:r>
      <w:r w:rsidRPr="00B56C17">
        <w:t xml:space="preserve">), pagal kurią ją suteikęs asmuo netenka teisės suteikti tokias pačias licencijas kitiems asmenims, tačiau turi teisę pats naudotis suteiktomis teisėmis išimtinės licencijos suteikimo laikotarpiu. </w:t>
      </w:r>
    </w:p>
    <w:p w14:paraId="28FAF10A" w14:textId="77777777" w:rsidR="00C905FC" w:rsidRPr="00B56C17" w:rsidRDefault="00C905FC" w:rsidP="00DD4E26">
      <w:pPr>
        <w:pStyle w:val="tajtip"/>
        <w:shd w:val="clear" w:color="auto" w:fill="FFFFFF"/>
        <w:spacing w:before="0" w:beforeAutospacing="0" w:after="0" w:afterAutospacing="0"/>
        <w:ind w:firstLine="720"/>
        <w:jc w:val="both"/>
      </w:pPr>
      <w:r w:rsidRPr="00B56C17">
        <w:t>Išradimų atveju išimtinė licencija turi būti išduota patentabilumo kriterijus atitinkančio išradimo patentui arba patento paraiškai.</w:t>
      </w:r>
      <w:r w:rsidRPr="00B56C17">
        <w:rPr>
          <w:iCs/>
          <w:color w:val="000000"/>
          <w:lang w:eastAsia="en-US"/>
        </w:rPr>
        <w:t xml:space="preserve"> Patentabilumas nustatomas pagal anksčiau nurodytus kriterijus ir įrodomas pateikus aukščiau nurodytus dokumentus (žr. šio straipsnio 7 d. komentaro 8 </w:t>
      </w:r>
      <w:r w:rsidRPr="00B56C17">
        <w:rPr>
          <w:iCs/>
          <w:color w:val="000000"/>
          <w:lang w:eastAsia="en-US"/>
        </w:rPr>
        <w:lastRenderedPageBreak/>
        <w:t>punktą). Atkreiptinas dėmesys, kad paprastai išimtinę patento licenciją yra reikalinga įregistruoti viešame registre</w:t>
      </w:r>
      <w:r w:rsidRPr="00B56C17">
        <w:rPr>
          <w:rStyle w:val="Puslapioinaosnuoroda"/>
          <w:iCs/>
          <w:color w:val="000000"/>
          <w:lang w:eastAsia="en-US"/>
        </w:rPr>
        <w:footnoteReference w:id="7"/>
      </w:r>
      <w:r w:rsidRPr="00B56C17">
        <w:rPr>
          <w:iCs/>
          <w:color w:val="000000"/>
          <w:lang w:eastAsia="en-US"/>
        </w:rPr>
        <w:t>.</w:t>
      </w:r>
    </w:p>
    <w:p w14:paraId="3DFDE4E6"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2.</w:t>
      </w:r>
      <w:r w:rsidRPr="00B56C17">
        <w:t xml:space="preserve">Vadovaujantis ATGT įstatymu, autorių teisių apsauga į sukurtą kompiuterinę programą atsiranda ją sukūrus ir išreiškus objektyvia forma, nereikalaujant jokios papildomos registracijos.  Kompiuterių programos autorius gali būti fizinis asmuo arba fizinių asmenų grupė, sukūrę programą. ATGT įstatymas taip pat numato, jog turtinės autorių teisės į kompiuterių programą, kurią sukūrė darbuotojas atlikdamas savo tarnybines pareigas ar darbo funkcijas, gali priklausyti ir darbdaviui/gamintojui, jei kitaip nenustatyta sutartyje. Autorių teisių turėtojas gali pranešti visuomenei apie savo turtines teises panaudodamas autorių teisių apsaugos ženklą – apskritime arba lenktiniuose skliaustuose įrašyta raidė C, autoriaus arba kito autorių teisių subjekto vardas (pavadinimas) ir išleidimo metai. </w:t>
      </w:r>
    </w:p>
    <w:p w14:paraId="50432458" w14:textId="77777777" w:rsidR="00C905FC" w:rsidRPr="0065344A" w:rsidRDefault="00C905FC" w:rsidP="00DD4E26">
      <w:pPr>
        <w:spacing w:after="0"/>
        <w:ind w:firstLine="720"/>
        <w:jc w:val="both"/>
        <w:rPr>
          <w:lang w:val="lt-LT"/>
        </w:rPr>
      </w:pPr>
      <w:r w:rsidRPr="0065344A">
        <w:rPr>
          <w:lang w:val="lt-LT"/>
        </w:rPr>
        <w:t>Atsižvelgiant į tai, kad  autorių teisių apsauga į sukurtą kompiuterinę programą atsiranda iš karto ją sukūrus ir išreiškus objektyvia forma, nereikalaujant jokios papildomos registracijos, todėl  iš karto pradedama taikyti ir PMĮ 5 str. 7 dalyje nustatyta lengvata. Atitinkamai, atsiradus autorių teisėms į sukurtą kompiuterinę programą, papildomų dokumentų, pagrindžiančių PMĮ 5 str. 7 dalyje nustatytos lengvatos taikymą, vienetui turėti nereikia.</w:t>
      </w:r>
    </w:p>
    <w:p w14:paraId="3AD6272D" w14:textId="77777777" w:rsidR="00C36238" w:rsidRDefault="00C36238" w:rsidP="00DD4E26">
      <w:pPr>
        <w:tabs>
          <w:tab w:val="left" w:pos="720"/>
          <w:tab w:val="left" w:pos="1077"/>
          <w:tab w:val="left" w:pos="1418"/>
        </w:tabs>
        <w:spacing w:after="0"/>
        <w:jc w:val="both"/>
        <w:rPr>
          <w:iCs/>
          <w:color w:val="000000"/>
        </w:rPr>
      </w:pPr>
      <w:r>
        <w:rPr>
          <w:iCs/>
          <w:color w:val="000000"/>
        </w:rPr>
        <w:tab/>
      </w:r>
      <w:r w:rsidR="00CB3924" w:rsidRPr="00BC5326">
        <w:rPr>
          <w:iCs/>
          <w:color w:val="000000"/>
        </w:rPr>
        <w:t xml:space="preserve">3. PMĮ 5 str. 7 dalyje nustatyta lengvata, apmokestinamojo pelno dalį apmokestinant   </w:t>
      </w:r>
      <w:r w:rsidR="00CB3924" w:rsidRPr="00BC5326">
        <w:rPr>
          <w:bCs/>
          <w:color w:val="000000"/>
        </w:rPr>
        <w:t xml:space="preserve">lengvatiniu (5 proc. – apskaičiuojant iki 2025 metais prasidėjusio mokestinio laikotarpio, 6 proc. – apskaičiuojant 2025 metais prasidėjusio mokestinio laikotarpio ir 7 proc.  –  apskaičiuojant  2026 m. prasidėjusio mokestinio laikotarpio ir vėlesnių mokestinių laikotarpių apmokestinamąjį pelną) </w:t>
      </w:r>
      <w:r w:rsidR="00CB3924" w:rsidRPr="00BC5326">
        <w:rPr>
          <w:color w:val="000000"/>
        </w:rPr>
        <w:t>pelno mokesčio</w:t>
      </w:r>
      <w:r w:rsidR="00CB3924" w:rsidRPr="00BC5326">
        <w:rPr>
          <w:iCs/>
          <w:color w:val="000000"/>
        </w:rPr>
        <w:t xml:space="preserve"> tarifu, pradedama taikyti tą mokestinį laikotarpį, kurį yra išduotas patentas arba paduota paraiška patentui gauti, atsiradusios autorių teisės, įsigaliojęs papildomos apsaugos liudijimas ar kai yra suteikta išimtinė licencija.</w:t>
      </w:r>
    </w:p>
    <w:p w14:paraId="44A9AFB5" w14:textId="77777777" w:rsidR="00CB71B2" w:rsidRDefault="00CB71B2" w:rsidP="00DD4E26">
      <w:pPr>
        <w:tabs>
          <w:tab w:val="left" w:pos="720"/>
          <w:tab w:val="left" w:pos="1077"/>
          <w:tab w:val="left" w:pos="1418"/>
        </w:tabs>
        <w:spacing w:after="0"/>
        <w:jc w:val="both"/>
        <w:rPr>
          <w:iCs/>
          <w:color w:val="000000"/>
        </w:rPr>
      </w:pPr>
    </w:p>
    <w:p w14:paraId="3CC67BBC" w14:textId="77777777" w:rsidR="007D2D47" w:rsidRPr="00CB71B2" w:rsidRDefault="007D2D47" w:rsidP="006E251E">
      <w:r w:rsidRPr="006E251E">
        <w:rPr>
          <w:iCs/>
          <w:color w:val="FF0000"/>
        </w:rPr>
        <w:t xml:space="preserve"> </w:t>
      </w:r>
      <w:r w:rsidR="006E251E" w:rsidRPr="00CB71B2">
        <w:rPr>
          <w:lang w:val="lt-LT"/>
        </w:rPr>
        <w:t xml:space="preserve">(Pakeista pagal VMI prie FM </w:t>
      </w:r>
      <w:r w:rsidR="006E251E" w:rsidRPr="00CB71B2">
        <w:t xml:space="preserve">2025-09-22 </w:t>
      </w:r>
      <w:r w:rsidR="006E251E" w:rsidRPr="00CB71B2">
        <w:rPr>
          <w:lang w:val="lt-LT"/>
        </w:rPr>
        <w:t xml:space="preserve">raštą Nr. </w:t>
      </w:r>
      <w:r w:rsidR="006E251E" w:rsidRPr="00CB71B2">
        <w:t>(18.10-31-1 Mr)  R-3583)</w:t>
      </w:r>
    </w:p>
    <w:p w14:paraId="2585B1FE" w14:textId="77777777" w:rsidR="00C905FC" w:rsidRDefault="00C905FC" w:rsidP="00DD4E26">
      <w:pPr>
        <w:spacing w:after="0"/>
        <w:ind w:right="-82" w:firstLine="709"/>
        <w:jc w:val="both"/>
        <w:rPr>
          <w:color w:val="000000"/>
          <w:shd w:val="clear" w:color="auto" w:fill="FFFFFF"/>
          <w:lang w:val="lt-LT"/>
        </w:rPr>
      </w:pPr>
      <w:r w:rsidRPr="0065344A">
        <w:rPr>
          <w:lang w:val="lt-LT"/>
        </w:rPr>
        <w:t xml:space="preserve">Tuo atveju, kai lengvata taikoma nuo patento paraiškos padavimo, tačiau </w:t>
      </w:r>
      <w:r w:rsidRPr="0065344A">
        <w:rPr>
          <w:iCs/>
          <w:color w:val="000000"/>
          <w:lang w:val="lt-LT"/>
        </w:rPr>
        <w:t>patentas nėra išduodamas arba jeigu patentas pripažįstamas negaliojančiu,</w:t>
      </w:r>
      <w:r w:rsidRPr="0065344A">
        <w:rPr>
          <w:bCs/>
          <w:sz w:val="20"/>
          <w:szCs w:val="20"/>
          <w:lang w:val="lt-LT"/>
        </w:rPr>
        <w:t xml:space="preserve"> </w:t>
      </w:r>
      <w:r w:rsidRPr="0065344A">
        <w:rPr>
          <w:bCs/>
          <w:lang w:val="lt-LT"/>
        </w:rPr>
        <w:t>taip pat pripažįstamas negaliojančiu papildomos apsaugos liudijimas arba išimtinė licencija yra negaliojanti,</w:t>
      </w:r>
      <w:r w:rsidRPr="0065344A">
        <w:rPr>
          <w:iCs/>
          <w:color w:val="000000"/>
          <w:lang w:val="lt-LT"/>
        </w:rPr>
        <w:t xml:space="preserve"> </w:t>
      </w:r>
      <w:r w:rsidRPr="0065344A">
        <w:rPr>
          <w:lang w:val="lt-LT"/>
        </w:rPr>
        <w:t>tai privalės būti atlikti apmokestinamojo pelno koregavimai nuo pat patento paraiškos padavimo datos, t. y. tų mokestinių laikotarpių, kurių pagal šios dalies nuostatas buvo sumažintas apmokestinamasis pelnas, ir mokesčių administratoriui privalės būti pateiktos patikslintos tų mokestinių laikotarpių metinės pelno mokesčio deklaracijos, o tuo atveju, jeigu jau išduotas patentas yra panaikinamas (pavyzdžiui nesumokėjus metų mokesčių ar pan.) ar patento yra atsisakyta, tai šioje dalyje nustatyta lengvata nebetaikoma nuo panaikinimo ar atsisakymo datos.</w:t>
      </w:r>
      <w:r w:rsidRPr="0065344A">
        <w:rPr>
          <w:color w:val="000000"/>
          <w:shd w:val="clear" w:color="auto" w:fill="FFFFFF"/>
          <w:lang w:val="lt-LT"/>
        </w:rPr>
        <w:t xml:space="preserve"> Delspinigiai už ne laiku sumokėtą mokestį sumokami Mokesčių administravimo įstatymo nustatyta tvarka.</w:t>
      </w:r>
    </w:p>
    <w:p w14:paraId="150A16D2" w14:textId="77777777" w:rsidR="00C36238" w:rsidRPr="0065344A" w:rsidRDefault="00C36238" w:rsidP="00C36238">
      <w:pPr>
        <w:spacing w:after="0"/>
        <w:ind w:right="-82"/>
        <w:jc w:val="both"/>
        <w:rPr>
          <w:color w:val="000000"/>
          <w:shd w:val="clear" w:color="auto" w:fill="FFFFFF"/>
          <w:lang w:val="lt-LT"/>
        </w:rPr>
      </w:pPr>
    </w:p>
    <w:p w14:paraId="3F1A3CF2"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r w:rsidRPr="00B56C17">
        <w:rPr>
          <w:b/>
          <w:color w:val="000000"/>
        </w:rPr>
        <w:t>9. Apmokestinamojo pelno iš turto naudojimo, pardavimo ar kitokio perleidimo nuosavybėn dalis apskaičiuojama pagal šią formulę:</w:t>
      </w:r>
    </w:p>
    <w:p w14:paraId="6CA0F4C4"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p>
    <w:p w14:paraId="75DAEFC5" w14:textId="77777777" w:rsidR="00C905FC" w:rsidRDefault="00C905FC" w:rsidP="00DD4E26">
      <w:pPr>
        <w:spacing w:after="0" w:line="360" w:lineRule="atLeast"/>
        <w:ind w:firstLine="720"/>
        <w:jc w:val="both"/>
        <w:rPr>
          <w:b/>
          <w:noProof/>
          <w:color w:val="000000"/>
        </w:rPr>
      </w:pPr>
      <w:r w:rsidRPr="00B56C17">
        <w:rPr>
          <w:noProof/>
          <w:lang w:val="lt-LT" w:eastAsia="lt-LT"/>
        </w:rPr>
        <w:drawing>
          <wp:inline distT="0" distB="0" distL="0" distR="0" wp14:anchorId="5F4A76EE" wp14:editId="46C18178">
            <wp:extent cx="4362450" cy="352425"/>
            <wp:effectExtent l="0" t="0" r="0" b="9525"/>
            <wp:docPr id="7" name="Paveikslėlis 7" descr="https://e-seimas.lrs.lt/rs/legalact/TAK/aabd5480ed6311e89d4ad92e8434e309/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eimas.lrs.lt/rs/legalact/TAK/aabd5480ed6311e89d4ad92e8434e309/content_files/image00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p>
    <w:p w14:paraId="6B2D6069" w14:textId="77777777" w:rsidR="006E251E" w:rsidRDefault="006E251E" w:rsidP="00DD4E26">
      <w:pPr>
        <w:pStyle w:val="tajtip"/>
        <w:shd w:val="clear" w:color="auto" w:fill="FFFFFF"/>
        <w:spacing w:before="0" w:beforeAutospacing="0" w:after="0" w:afterAutospacing="0"/>
        <w:ind w:firstLine="720"/>
        <w:jc w:val="both"/>
        <w:rPr>
          <w:b/>
          <w:color w:val="000000"/>
        </w:rPr>
      </w:pPr>
    </w:p>
    <w:p w14:paraId="46D8821F"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r w:rsidRPr="00B56C17">
        <w:rPr>
          <w:b/>
          <w:color w:val="000000"/>
        </w:rPr>
        <w:t xml:space="preserve">1) tinkamos finansuoti išlaidos – sąnaudos, patirtos mokslinių tyrimų ir eksperimentinės plėtros veikloje sukuriant turtą, priskiriamos prie mokslinių tyrimų ir eksperimentinės plėtros darbų sąnaudų, kurios tris kartus gali būti atskaitomos iš pajamų, išskyrus dėl susijusių asmenų veiklos patirtas sąnaudas ir šio straipsnio 7 dalies 2 punkte nurodyto turto įsigijimo išlaidas. Į </w:t>
      </w:r>
      <w:r w:rsidRPr="00B56C17">
        <w:rPr>
          <w:b/>
          <w:color w:val="000000"/>
        </w:rPr>
        <w:lastRenderedPageBreak/>
        <w:t>formulę įtraukiama apskaičiuota tinkamų finansuoti išlaidų suma padidinama 30 procentų, tačiau ši padidinta suma negali būti didesnė už apskaičiuotą visų išlaidų sumą;</w:t>
      </w:r>
    </w:p>
    <w:p w14:paraId="7B04C157"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bookmarkStart w:id="61" w:name="part_fcc6032329ab4971a32d6ae28d7748bf"/>
      <w:bookmarkEnd w:id="61"/>
      <w:r w:rsidRPr="00B56C17">
        <w:rPr>
          <w:b/>
          <w:color w:val="000000"/>
        </w:rPr>
        <w:t>2) visos išlaidos – tinkamos finansuoti išlaidos, šio straipsnio 7 dalies 2 punkte nurodyto turto įsigijimo išlaidos ir kitos sąnaudos, priskiriamos prie leidžiamų atskaitymų ar ribojamų dydžių leidžiamų atskaitymų, patirtos mokslinių tyrimų ir eksperimentinės plėtros veikloje sukuriant turtą, įskaitant dėl susijusių asmenų veiklos patirtas sąnaudas, išskyrus palūkanas ir pastatų nusidėvėjimo sąnaudas;</w:t>
      </w:r>
    </w:p>
    <w:p w14:paraId="007A1DE5" w14:textId="77777777" w:rsidR="00C905FC" w:rsidRPr="00B56C17" w:rsidRDefault="00C905FC" w:rsidP="00DD4E26">
      <w:pPr>
        <w:pStyle w:val="tajtip"/>
        <w:shd w:val="clear" w:color="auto" w:fill="FFFFFF"/>
        <w:spacing w:before="0" w:beforeAutospacing="0" w:after="0" w:afterAutospacing="0"/>
        <w:ind w:firstLine="720"/>
        <w:jc w:val="both"/>
        <w:rPr>
          <w:b/>
          <w:color w:val="000000"/>
        </w:rPr>
      </w:pPr>
      <w:bookmarkStart w:id="62" w:name="part_76aa6362fa7e4067bb910d0407f387dc"/>
      <w:bookmarkEnd w:id="62"/>
      <w:r w:rsidRPr="00B56C17">
        <w:rPr>
          <w:b/>
          <w:color w:val="000000"/>
        </w:rPr>
        <w:t>3) pelnas iš turto naudojimo – apmokestinamasis pelnas, apskaičiuotas iš paties vieneto vykdomoje mokslinių tyrimų ir eksperimentinės plėtros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w:t>
      </w:r>
    </w:p>
    <w:p w14:paraId="67D99442" w14:textId="77777777" w:rsidR="00C905FC" w:rsidRPr="00F510E7" w:rsidRDefault="00C905FC" w:rsidP="004D797E">
      <w:pPr>
        <w:pStyle w:val="tajtip"/>
        <w:shd w:val="clear" w:color="auto" w:fill="FFFFFF"/>
        <w:spacing w:before="0" w:beforeAutospacing="0" w:after="0" w:afterAutospacing="0"/>
        <w:ind w:firstLine="72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21199F6A" w14:textId="77777777" w:rsidR="00C905FC" w:rsidRPr="00B56C17" w:rsidRDefault="00C905FC" w:rsidP="00F32DE7">
      <w:pPr>
        <w:spacing w:before="160"/>
        <w:ind w:firstLine="720"/>
        <w:jc w:val="both"/>
        <w:rPr>
          <w:b/>
        </w:rPr>
      </w:pPr>
      <w:r w:rsidRPr="00B56C17">
        <w:rPr>
          <w:b/>
        </w:rPr>
        <w:t>Komentaras</w:t>
      </w:r>
    </w:p>
    <w:p w14:paraId="6F0578FA" w14:textId="77777777" w:rsidR="00CB3924" w:rsidRDefault="00CB3924" w:rsidP="00DD4E26">
      <w:pPr>
        <w:pStyle w:val="tajtip"/>
        <w:shd w:val="clear" w:color="auto" w:fill="FFFFFF"/>
        <w:spacing w:before="0" w:beforeAutospacing="0" w:after="0" w:afterAutospacing="0"/>
        <w:ind w:firstLine="720"/>
        <w:jc w:val="both"/>
        <w:rPr>
          <w:color w:val="000000"/>
        </w:rPr>
      </w:pPr>
      <w:r w:rsidRPr="00C41E4A">
        <w:rPr>
          <w:color w:val="000000"/>
        </w:rPr>
        <w:t xml:space="preserve">1. Apmokestinamojo pelno dalis, kuri apmokestinama </w:t>
      </w:r>
      <w:r w:rsidRPr="00C41E4A">
        <w:rPr>
          <w:bCs/>
          <w:color w:val="000000"/>
        </w:rPr>
        <w:t xml:space="preserve">lengvatiniu (5 proc. – apskaičiuojant iki 2025 metais prasidėjusio mokestinio laikotarpio, 6 proc. – apskaičiuojant 2025 metais prasidėjusio mokestinio laikotarpio ir 7 proc.  –  apskaičiuojant  2026 m. prasidėjusio mokestinio laikotarpio ir vėlesnių mokestinių laikotarpių apmokestinamąjį pelną) </w:t>
      </w:r>
      <w:r w:rsidRPr="00C41E4A">
        <w:rPr>
          <w:color w:val="000000"/>
        </w:rPr>
        <w:t>pelno mokesčio tarifu apskaičiuojama pagal šią formulę:</w:t>
      </w:r>
    </w:p>
    <w:p w14:paraId="3FFEF5FF" w14:textId="77777777" w:rsidR="00CB71B2" w:rsidRDefault="00CB71B2" w:rsidP="00DD4E26">
      <w:pPr>
        <w:pStyle w:val="tajtip"/>
        <w:shd w:val="clear" w:color="auto" w:fill="FFFFFF"/>
        <w:spacing w:before="0" w:beforeAutospacing="0" w:after="0" w:afterAutospacing="0"/>
        <w:ind w:firstLine="720"/>
        <w:jc w:val="both"/>
        <w:rPr>
          <w:color w:val="000000"/>
        </w:rPr>
      </w:pPr>
    </w:p>
    <w:p w14:paraId="3330161F" w14:textId="77777777" w:rsidR="006E251E" w:rsidRPr="00CB71B2" w:rsidRDefault="006E251E" w:rsidP="006E251E">
      <w:r w:rsidRPr="00CB71B2">
        <w:rPr>
          <w:lang w:val="lt-LT"/>
        </w:rPr>
        <w:t xml:space="preserve">(Pakeista pagal VMI prie FM </w:t>
      </w:r>
      <w:r w:rsidRPr="00CB71B2">
        <w:t xml:space="preserve">2025-09-22 Nr. </w:t>
      </w:r>
      <w:r w:rsidRPr="00CB71B2">
        <w:rPr>
          <w:lang w:val="lt-LT"/>
        </w:rPr>
        <w:t xml:space="preserve">raštą Nr. </w:t>
      </w:r>
      <w:r w:rsidRPr="00CB71B2">
        <w:t>(18.10-31-1 Mr)  R-3583)</w:t>
      </w:r>
    </w:p>
    <w:p w14:paraId="56CD7EF9" w14:textId="77777777" w:rsidR="00CB3924" w:rsidRPr="00C41E4A" w:rsidRDefault="00CB3924" w:rsidP="00DD4E26">
      <w:pPr>
        <w:pStyle w:val="tajtip"/>
        <w:shd w:val="clear" w:color="auto" w:fill="FFFFFF"/>
        <w:spacing w:before="0" w:beforeAutospacing="0" w:after="0" w:afterAutospacing="0"/>
        <w:ind w:firstLine="720"/>
        <w:jc w:val="both"/>
        <w:rPr>
          <w:color w:val="000000"/>
        </w:rPr>
      </w:pPr>
    </w:p>
    <w:p w14:paraId="248CFCE3" w14:textId="77777777" w:rsidR="00907D1E" w:rsidRDefault="00907D1E" w:rsidP="00DD4E26">
      <w:pPr>
        <w:spacing w:after="0" w:line="360" w:lineRule="atLeast"/>
        <w:jc w:val="both"/>
        <w:rPr>
          <w:color w:val="000000"/>
        </w:rPr>
      </w:pPr>
      <w:r w:rsidRPr="00B56C17">
        <w:rPr>
          <w:color w:val="000000"/>
        </w:rPr>
        <w:t xml:space="preserve">               </w:t>
      </w:r>
      <w:r w:rsidRPr="00B56C17">
        <w:rPr>
          <w:noProof/>
          <w:color w:val="000000"/>
          <w:lang w:val="lt-LT" w:eastAsia="lt-LT"/>
        </w:rPr>
        <w:drawing>
          <wp:inline distT="0" distB="0" distL="0" distR="0" wp14:anchorId="0890BFD9" wp14:editId="341CA6D9">
            <wp:extent cx="3990975" cy="352425"/>
            <wp:effectExtent l="0" t="0" r="9525" b="9525"/>
            <wp:docPr id="8" name="Paveikslėlis 8" descr="https://e-seimas.lrs.lt/rs/legalact/TAP/8c402780ed6311e89d4ad92e8434e309/content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eimas.lrs.lt/rs/legalact/TAP/8c402780ed6311e89d4ad92e8434e309/content_files/image00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975" cy="352425"/>
                    </a:xfrm>
                    <a:prstGeom prst="rect">
                      <a:avLst/>
                    </a:prstGeom>
                    <a:noFill/>
                    <a:ln>
                      <a:noFill/>
                    </a:ln>
                  </pic:spPr>
                </pic:pic>
              </a:graphicData>
            </a:graphic>
          </wp:inline>
        </w:drawing>
      </w:r>
    </w:p>
    <w:p w14:paraId="4FCE4F8E" w14:textId="77777777" w:rsidR="00C36238" w:rsidRDefault="00C36238" w:rsidP="00DD4E26">
      <w:pPr>
        <w:spacing w:after="0" w:line="360" w:lineRule="atLeast"/>
        <w:jc w:val="both"/>
        <w:rPr>
          <w:color w:val="000000"/>
        </w:rPr>
      </w:pPr>
    </w:p>
    <w:p w14:paraId="38CED22E" w14:textId="77777777" w:rsidR="00332766" w:rsidRPr="00BC5326" w:rsidRDefault="00332766" w:rsidP="00DD4E26">
      <w:pPr>
        <w:tabs>
          <w:tab w:val="left" w:pos="720"/>
          <w:tab w:val="left" w:pos="1077"/>
          <w:tab w:val="left" w:pos="1418"/>
        </w:tabs>
        <w:spacing w:after="0"/>
        <w:jc w:val="both"/>
        <w:rPr>
          <w:bCs/>
          <w:i/>
          <w:szCs w:val="20"/>
          <w:lang w:val="lt-LT"/>
        </w:rPr>
      </w:pPr>
    </w:p>
    <w:p w14:paraId="7161EF26" w14:textId="77777777" w:rsidR="00C905FC" w:rsidRPr="00B56C17" w:rsidRDefault="00C905FC" w:rsidP="00DD4E26">
      <w:pPr>
        <w:pStyle w:val="tajtip"/>
        <w:shd w:val="clear" w:color="auto" w:fill="FFFFFF"/>
        <w:spacing w:before="0" w:beforeAutospacing="0" w:after="0" w:afterAutospacing="0"/>
        <w:ind w:firstLine="720"/>
        <w:jc w:val="both"/>
        <w:rPr>
          <w:color w:val="000000"/>
        </w:rPr>
      </w:pPr>
      <w:r w:rsidRPr="00B56C17">
        <w:rPr>
          <w:color w:val="000000"/>
        </w:rPr>
        <w:t>2. Tinkamos finansuoti išlaidos – sąnaudos, patirtos MTEP veikloje sukuriant turtą, priskirtinos MTEP darbų sąnaudoms, kurios tris kartus gali būti atskaitomos iš pajamų. Į formulę įtraukiama apskaičiuota tinkamų finansuoti išlaidų suma gali būti padidinama 30 procentų, tačiau tokia padidinta suma negali būti didesnė už apskaičiuotą visų išlaidų sumą.</w:t>
      </w:r>
    </w:p>
    <w:p w14:paraId="552066BC" w14:textId="77777777" w:rsidR="00C905FC" w:rsidRPr="00B56C17" w:rsidRDefault="00C905FC" w:rsidP="00DD4E26">
      <w:pPr>
        <w:pStyle w:val="tajtip"/>
        <w:shd w:val="clear" w:color="auto" w:fill="FFFFFF"/>
        <w:spacing w:before="0" w:beforeAutospacing="0" w:after="0" w:afterAutospacing="0"/>
        <w:ind w:firstLine="720"/>
        <w:jc w:val="both"/>
        <w:rPr>
          <w:color w:val="000000"/>
        </w:rPr>
      </w:pPr>
      <w:r w:rsidRPr="00B56C17">
        <w:rPr>
          <w:color w:val="000000"/>
        </w:rPr>
        <w:t>Sąnaudų priskyrimo MTEP darbų sąnaudoms, atskaitomoms iš vieneto pajamų, tvarka yra reglamentuota PMĮ 17</w:t>
      </w:r>
      <w:r w:rsidRPr="00B56C17">
        <w:rPr>
          <w:color w:val="000000"/>
          <w:vertAlign w:val="superscript"/>
        </w:rPr>
        <w:t>1</w:t>
      </w:r>
      <w:r w:rsidRPr="00B56C17">
        <w:rPr>
          <w:color w:val="000000"/>
        </w:rPr>
        <w:t xml:space="preserve"> straipsnyje (žr. 17</w:t>
      </w:r>
      <w:r w:rsidRPr="00B56C17">
        <w:rPr>
          <w:color w:val="000000"/>
          <w:vertAlign w:val="superscript"/>
        </w:rPr>
        <w:t>1</w:t>
      </w:r>
      <w:r w:rsidRPr="00B56C17">
        <w:rPr>
          <w:color w:val="000000"/>
        </w:rPr>
        <w:t xml:space="preserve"> straipsnio komentarą). Pažymėtina, kad Sąnaudų priskyrimo mokslinių tyrimų ir eksperimentinės plėtros darbų sąnaudoms tvarkos apraše, patvirtintame </w:t>
      </w:r>
      <w:hyperlink r:id="rId47" w:tgtFrame="_blank" w:history="1">
        <w:r w:rsidRPr="00B56C17">
          <w:rPr>
            <w:color w:val="000000"/>
          </w:rPr>
          <w:t>2008 m. lapkričio 19 d. Lietuvos Respublikos Vyriausybės nutarimu Nr. 1183</w:t>
        </w:r>
      </w:hyperlink>
      <w:r w:rsidRPr="00B56C17">
        <w:rPr>
          <w:color w:val="000000"/>
        </w:rPr>
        <w:t xml:space="preserve"> (toliau – Aprašas), yra  nustatytos konkrečios MTEP veiklos sąnaudos, kurios gali būti atskaitomos iš pajamų tris kartus. </w:t>
      </w:r>
    </w:p>
    <w:p w14:paraId="571223B8" w14:textId="77777777" w:rsidR="00C905FC" w:rsidRPr="00B56C17" w:rsidRDefault="00C905FC" w:rsidP="00DD4E26">
      <w:pPr>
        <w:pStyle w:val="tajtip"/>
        <w:shd w:val="clear" w:color="auto" w:fill="FFFFFF"/>
        <w:spacing w:before="0" w:beforeAutospacing="0" w:after="0" w:afterAutospacing="0"/>
        <w:ind w:firstLine="720"/>
        <w:jc w:val="both"/>
      </w:pPr>
      <w:r w:rsidRPr="00B56C17">
        <w:rPr>
          <w:color w:val="000000"/>
        </w:rPr>
        <w:t xml:space="preserve">Nustatant į formulę įrašomą tinkamų finansuoti išlaidų sumą yra skaičiuojamos tik tos MTEP darbų sąnaudos, atskaitomos iš pajamų tris kartus, kurios yra patirtos MTEP veikloje sukuriant </w:t>
      </w:r>
      <w:r w:rsidRPr="00B56C17">
        <w:t xml:space="preserve">šio straipsnio 7 d. 2 punkte </w:t>
      </w:r>
      <w:r w:rsidRPr="00B56C17">
        <w:rPr>
          <w:color w:val="000000"/>
        </w:rPr>
        <w:t>nustatytą turtą. Jeigu vienetas šias sąnaudas patiria ne vien tik kuriant šį turtą, bet ir vykdant kitus MTEP darb</w:t>
      </w:r>
      <w:r w:rsidRPr="00B56C17">
        <w:t xml:space="preserve">us, tokiu atveju vienetas turi proporcingai apskaičiuoti, kokia šių patirtų išlaidų dalis tenka šio turto sukūrimui. </w:t>
      </w:r>
    </w:p>
    <w:p w14:paraId="6DF1397C"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Jeigu MTEP veikloje turtas kuriamas keletą mokestinių laikotarpių, tai tinkamų finansuoti išlaidų suma nustatoma susumuojant šių mokestinių laikotarpių</w:t>
      </w:r>
      <w:r w:rsidRPr="00B56C17">
        <w:rPr>
          <w:color w:val="000000"/>
          <w:lang w:val="lt-LT"/>
        </w:rPr>
        <w:t xml:space="preserve"> </w:t>
      </w:r>
      <w:r w:rsidRPr="00B56C17">
        <w:rPr>
          <w:rFonts w:ascii="Times New Roman" w:hAnsi="Times New Roman" w:cs="Times New Roman"/>
          <w:sz w:val="24"/>
          <w:szCs w:val="24"/>
          <w:lang w:val="lt-LT"/>
        </w:rPr>
        <w:t xml:space="preserve">MTEP darbų sąnaudas, atskaitomas iš pajamų tris kartus, tenkančias konkrečiai to turto sukūrimui. </w:t>
      </w:r>
    </w:p>
    <w:p w14:paraId="5A373C9C"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Lengvata gali būti taikoma ir tuo atveju, kai vienetas įsigijęs bet kokį turtą (įskaitant nurodytą šio straipsnio 7 d. 2 punkte), jį išplėtoja ir sukuria naują, patentabilumo kriterijus atitinkantį bei patentu ar kitu šio straipsnio 7 dalyje nustatytu dokumentu apsaugotą, turtą. Į tinkamas finansuoti  išlaidas neįtraukiamos turto, nurodyto šio straipsnio 7 d. 2 punkte, įsigijimo išlaidos. </w:t>
      </w:r>
    </w:p>
    <w:p w14:paraId="141D2289" w14:textId="77777777" w:rsidR="00C905FC" w:rsidRPr="00B56C17" w:rsidRDefault="00C905FC" w:rsidP="00DD4E26">
      <w:pPr>
        <w:pStyle w:val="HTMLiankstoformatuotas"/>
        <w:spacing w:after="0"/>
        <w:ind w:firstLine="709"/>
        <w:jc w:val="both"/>
        <w:rPr>
          <w:rFonts w:ascii="Times New Roman" w:hAnsi="Times New Roman" w:cs="Times New Roman"/>
          <w:iCs/>
          <w:color w:val="000000"/>
          <w:sz w:val="24"/>
          <w:szCs w:val="24"/>
          <w:lang w:val="lt-LT"/>
        </w:rPr>
      </w:pPr>
      <w:r w:rsidRPr="00B56C17">
        <w:rPr>
          <w:rFonts w:ascii="Times New Roman" w:hAnsi="Times New Roman" w:cs="Times New Roman"/>
          <w:sz w:val="24"/>
          <w:szCs w:val="24"/>
          <w:lang w:val="lt-LT"/>
        </w:rPr>
        <w:lastRenderedPageBreak/>
        <w:t>Į formulę įrašant tinkamų finansuoti išlaidų sumą yra skaičiuojamos tik tos MTEP darbų sąnaudos, atskaitomos iš pajamų tris kartus, kaip nurodyta  PMĮ 17</w:t>
      </w:r>
      <w:r w:rsidRPr="00B56C17">
        <w:rPr>
          <w:rFonts w:ascii="Times New Roman" w:hAnsi="Times New Roman" w:cs="Times New Roman"/>
          <w:sz w:val="24"/>
          <w:szCs w:val="24"/>
          <w:vertAlign w:val="superscript"/>
          <w:lang w:val="lt-LT"/>
        </w:rPr>
        <w:t>1</w:t>
      </w:r>
      <w:r w:rsidRPr="00B56C17">
        <w:rPr>
          <w:rFonts w:ascii="Times New Roman" w:hAnsi="Times New Roman" w:cs="Times New Roman"/>
          <w:sz w:val="24"/>
          <w:szCs w:val="24"/>
          <w:lang w:val="lt-LT"/>
        </w:rPr>
        <w:t xml:space="preserve"> straipsnyje, kurios yra patirtos ne iš susijusių asmenų. Susijusių asmenų sąvoka yra pateikta 2 str. 33 dalyje (</w:t>
      </w:r>
      <w:r w:rsidRPr="00B56C17">
        <w:rPr>
          <w:rFonts w:ascii="Times New Roman" w:hAnsi="Times New Roman" w:cs="Times New Roman"/>
          <w:iCs/>
          <w:color w:val="000000"/>
          <w:sz w:val="24"/>
          <w:szCs w:val="24"/>
          <w:lang w:val="lt-LT"/>
        </w:rPr>
        <w:t xml:space="preserve">žr. 2 str. 33 dalies komentarą). </w:t>
      </w:r>
    </w:p>
    <w:p w14:paraId="3CC2B0E5"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Pažymėtina, kad į formulę įtraukiama apskaičiuota tinkamų finansuoti išlaidų suma gali būti padidinama 30 procentų, tačiau tokia padidinta suma negali būti didesnė už apskaičiuotą visų išlaidų sumą.</w:t>
      </w:r>
    </w:p>
    <w:p w14:paraId="140913D7" w14:textId="77777777" w:rsidR="00C905FC" w:rsidRPr="00B56C1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3.</w:t>
      </w:r>
      <w:r w:rsidRPr="00B56C17">
        <w:rPr>
          <w:rFonts w:ascii="Times New Roman" w:hAnsi="Times New Roman" w:cs="Times New Roman"/>
          <w:b/>
          <w:i/>
          <w:sz w:val="24"/>
          <w:szCs w:val="24"/>
          <w:lang w:val="lt-LT"/>
        </w:rPr>
        <w:t xml:space="preserve"> Visos išlaidos</w:t>
      </w:r>
      <w:r w:rsidRPr="00B56C17">
        <w:rPr>
          <w:rFonts w:ascii="Times New Roman" w:hAnsi="Times New Roman" w:cs="Times New Roman"/>
          <w:sz w:val="24"/>
          <w:szCs w:val="24"/>
          <w:lang w:val="lt-LT"/>
        </w:rPr>
        <w:t xml:space="preserve"> – visos sąnaudos, priskirtinos leidžiamiems atskaitymams ar ribojamų dydžių leidžiamiems atskaitymams, patirtos MTEP veikloje sukuriant turtą, išskyrus bet kokias palūkanas, t. y. ne tik kredito, ir pastatų nusidėvėjimo sąnaudas.</w:t>
      </w:r>
    </w:p>
    <w:p w14:paraId="3B4ADFFE"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Nustatant į formulę įrašomą visų išlaidų sumą yra skaičiuojamos visos vieneto sąnaudos, priskirtinos leidžiamiems atskaitymams ar ribojamų dydžių leidžiamiems atskaitymams, patirtos MTEP veikloje sukuriant turtą, t. y. skaičiuojamos Apraše nustatytos MTEP darbų sąnaudos, atskaitomos iš pajamų tris kartus, įskaitant ir tas Apraše nustatytas MTEP darbų sąnaudas, kurios yra patirtos iš susijusių asmenų, taip pat ilgalaikio turto (išskyrus pastatų) nusidėvėjimo arba amortizacijos sąnaudos (įskaitant turto, nurodyto šios dalies 2 punkte, įsigijimo išlaidas, kai turtas įsigyjamas ankstyvoje vystymo stadijoje) ir kitos (išskyrus palūkanas),  kurios yra patirtos MTEP </w:t>
      </w:r>
      <w:r w:rsidRPr="007F3CE7">
        <w:rPr>
          <w:rFonts w:ascii="Times New Roman" w:hAnsi="Times New Roman" w:cs="Times New Roman"/>
          <w:sz w:val="24"/>
          <w:szCs w:val="24"/>
          <w:lang w:val="lt-LT"/>
        </w:rPr>
        <w:t>veikloje sukuriant šio straipsnio 7 d. 2 punkte nustatytą turtą.</w:t>
      </w:r>
    </w:p>
    <w:p w14:paraId="427FF8A7"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 xml:space="preserve">Pažymėtina, kad vieneto sąnaudos, kurios nėra susijusios su MTEP veikloje kuriamu turtu,     t. y. kurios yra susijusios su kita vieneto vykdoma veikla, skaičiuojant formulėje tinkamų finansuoti /visų išlaidų proporciją, prie visų sąnaudų nepriskiriamos. </w:t>
      </w:r>
    </w:p>
    <w:p w14:paraId="4272EF4A" w14:textId="77777777" w:rsidR="00C905FC" w:rsidRPr="007F3CE7" w:rsidRDefault="00C905FC" w:rsidP="00DD4E26">
      <w:pPr>
        <w:pStyle w:val="HTMLiankstoformatuotas"/>
        <w:spacing w:after="0"/>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Jeigu MTEP veikloje turtas kuriamas keletą mokestinių laikotarpių, tai visų išlaidų suma nustatoma susumuojant šių mokestinių laikotarpių visas sąnaudas, priskirtinas leidžiamiems ar ribojamų dydžių leidžiamiems atskaitymams, tenkančias konkrečiai to turto MTEP veikloje sukūrimui, išskyrus bet kokias palūkanas, t. y. ne tik kredito, ir pastatų nusidėvėjimo sąnaudas.</w:t>
      </w:r>
    </w:p>
    <w:p w14:paraId="4E52D4CE" w14:textId="77777777" w:rsidR="00C905FC" w:rsidRPr="00F150CC" w:rsidRDefault="00C905FC" w:rsidP="00DD4E26">
      <w:pPr>
        <w:pStyle w:val="tajtip"/>
        <w:shd w:val="clear" w:color="auto" w:fill="FFFFFF"/>
        <w:spacing w:before="0" w:beforeAutospacing="0" w:after="0" w:afterAutospacing="0"/>
        <w:jc w:val="both"/>
      </w:pPr>
      <w:r w:rsidRPr="007F3CE7">
        <w:t>Atkreiptinas dėmesys, kad į vieneto patirtų tinkamų finansuoti /visų išlaidų proporcijos skaičiavimą MTEP veikloje sukuriamo turto išlaidos turi būti įtraukiamos kaupiamuoju būdu, t. y. į išlaidų (tinkamų finansuoti / visų išlaidų) proporcijos skaičiavimą turi būti įtraukiamos visos konkretaus turto už visą turto kūrimo laikotarpį su MTEP veikla susijusios išlaidos, patirtos nuo tada, kai įsigaliojo PMĮ 17</w:t>
      </w:r>
      <w:r w:rsidRPr="007F3CE7">
        <w:rPr>
          <w:vertAlign w:val="superscript"/>
        </w:rPr>
        <w:t xml:space="preserve">1 </w:t>
      </w:r>
      <w:r w:rsidRPr="007F3CE7">
        <w:t xml:space="preserve"> straipsnyje nustatyta lengvata, t. y. nuo 2008 metais prasidėjusio mokestinio laikotarpio, iki kol turtas yra sukuriamas, įskaitant vieneto patirtas tinkamas finansuoti /visas išlaidas, faktiškai patirtas jau pradėjus uždirbti pajamas iš šio turto pardavimo ar naudojimo vieneto veikloje, pavyzdžiui su MTEP veikla susijusias turto tobulinimo išlaidas ir pan.</w:t>
      </w:r>
    </w:p>
    <w:p w14:paraId="5ABAC464" w14:textId="77777777" w:rsidR="00C905FC" w:rsidRPr="00B56C17" w:rsidRDefault="00C905FC" w:rsidP="00DD4E26">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4.</w:t>
      </w:r>
      <w:r w:rsidRPr="00B56C17">
        <w:rPr>
          <w:b/>
          <w:i/>
          <w:iCs/>
          <w:color w:val="000000"/>
          <w:lang w:eastAsia="en-US"/>
        </w:rPr>
        <w:t xml:space="preserve"> Pelnas iš turto naudojimo</w:t>
      </w:r>
      <w:r w:rsidRPr="00B56C17">
        <w:rPr>
          <w:iCs/>
          <w:color w:val="000000"/>
          <w:lang w:eastAsia="en-US"/>
        </w:rPr>
        <w:t xml:space="preserve"> – apmokestinamasis pelnas, apskaičiuotas iš paties vieneto vykdomoje MTEP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 </w:t>
      </w:r>
    </w:p>
    <w:p w14:paraId="4A0D1D33" w14:textId="77777777" w:rsidR="00C905FC" w:rsidRPr="00B56C17" w:rsidRDefault="00C905FC" w:rsidP="00DD4E26">
      <w:pPr>
        <w:pStyle w:val="tajtip"/>
        <w:shd w:val="clear" w:color="auto" w:fill="FFFFFF"/>
        <w:spacing w:before="0" w:beforeAutospacing="0" w:after="0" w:afterAutospacing="0"/>
        <w:ind w:firstLine="720"/>
        <w:jc w:val="both"/>
      </w:pPr>
      <w:r w:rsidRPr="00B56C17">
        <w:rPr>
          <w:iCs/>
          <w:color w:val="000000"/>
          <w:lang w:eastAsia="en-US"/>
        </w:rPr>
        <w:t xml:space="preserve">Vienetas, taikantis šio straipsnio 7 dalyje nustatytą lengvatą, paties MTEP veikloje sukurtą turtą gali naudoti tiek savo vykdomoje veikloje, t. y. gamyboje ar paslaugų teikime, ir iš šio turto naudojimo veikloje uždirbti pajamas, bei šį turtą išnuomojant pagal nuomos sutartį ar perduodant šį turtą naudoti pagal autorinę sutartį, tiek parduoti ar kitaip perleisti kitų asmenų nuosavybėn, pavyzdžiui </w:t>
      </w:r>
      <w:r w:rsidRPr="00B56C17">
        <w:t>pagal lizingo (finansinės nuomos) arba nuomos sutartis, kuriose numatytas nuosavybės teisės perėjimas, apmokėjus visą turto vertę ir pan., bei taip uždirbti pajamas.</w:t>
      </w:r>
    </w:p>
    <w:p w14:paraId="74260471" w14:textId="77777777" w:rsidR="00C905FC" w:rsidRDefault="00C905FC" w:rsidP="00DD4E26">
      <w:pPr>
        <w:pStyle w:val="tajtip"/>
        <w:shd w:val="clear" w:color="auto" w:fill="FFFFFF"/>
        <w:spacing w:before="0" w:beforeAutospacing="0" w:after="0" w:afterAutospacing="0"/>
        <w:jc w:val="both"/>
        <w:rPr>
          <w:iCs/>
          <w:color w:val="000000"/>
          <w:lang w:eastAsia="en-US"/>
        </w:rPr>
      </w:pPr>
      <w:r w:rsidRPr="00B56C17">
        <w:t xml:space="preserve"> </w:t>
      </w:r>
      <w:r w:rsidRPr="00B56C17">
        <w:tab/>
        <w:t xml:space="preserve">Pažymėtina tai, kad </w:t>
      </w:r>
      <w:r w:rsidRPr="00B56C17">
        <w:rPr>
          <w:iCs/>
          <w:color w:val="000000"/>
          <w:lang w:eastAsia="en-US"/>
        </w:rPr>
        <w:t xml:space="preserve">MTEP veikloje sukurto turto naudojimo, pardavimo ar kitokio perleidimo nuosavybėn gautos pajamos yra sumažinamos šioms pajamoms tiesiogiai tenkančiomis sąnaudomis, t. y. </w:t>
      </w:r>
      <w:r w:rsidRPr="00B56C17">
        <w:t xml:space="preserve">leidžiamais ar ribojamų dydžių leidžiamais atskaitymais, taikant bendras PMĮ 17 straipsnio nuostatas. </w:t>
      </w:r>
      <w:r w:rsidRPr="00B56C17">
        <w:rPr>
          <w:iCs/>
          <w:color w:val="000000"/>
          <w:lang w:eastAsia="en-US"/>
        </w:rPr>
        <w:t xml:space="preserve">Tais atvejais, kai dalis sąnaudų yra susijusios ne tik su MTEP veikloje sukurto turto naudojimo, pardavimo ar kitokio perleidimo nuosavybėn gautomis pajamomis, bet ir su kita vieneto </w:t>
      </w:r>
      <w:r w:rsidRPr="00B56C17">
        <w:rPr>
          <w:iCs/>
          <w:color w:val="000000"/>
          <w:lang w:eastAsia="en-US"/>
        </w:rPr>
        <w:lastRenderedPageBreak/>
        <w:t xml:space="preserve">vykdoma veikla, </w:t>
      </w:r>
      <w:r w:rsidRPr="00B56C17">
        <w:t xml:space="preserve">pavyzdžiui, kitų gaminių pardavimu / paslaugų teikimu, </w:t>
      </w:r>
      <w:r w:rsidRPr="00B56C17">
        <w:rPr>
          <w:iCs/>
          <w:color w:val="000000"/>
          <w:lang w:eastAsia="en-US"/>
        </w:rPr>
        <w:t xml:space="preserve">tai tokios netiesioginės išlaidos, pavyzdžiui, rinkodaros, reprezentacinės, komandiruočių, patalpų apšvietimo ir šildymo, </w:t>
      </w:r>
      <w:r w:rsidRPr="00B56C17">
        <w:t>netiesioginio darbo užmokesčio,</w:t>
      </w:r>
      <w:r w:rsidRPr="00B56C17">
        <w:rPr>
          <w:iCs/>
          <w:color w:val="000000"/>
          <w:lang w:eastAsia="en-US"/>
        </w:rPr>
        <w:t xml:space="preserve"> turto draudimo ir kitos, turėtų būti paskirstomos pagal vieneto apskaitos politikoje nustatytą tvarką, pateikiant tokių sąnaudų dalies priskyrimo MTEP veikloje sukurto turto naudojimo, pardavimo ar kitokio perleidimo nuosavybėn gautų pajamų uždirbimui pagrįstumą. Vieneto apskaita turi būti tvarkoma taip, kad ji teiktų pakankamą informaciją pelno mokesčiui apskaičiuoti.    </w:t>
      </w:r>
    </w:p>
    <w:p w14:paraId="718557DC" w14:textId="77777777" w:rsidR="00C905FC" w:rsidRPr="007F3CE7" w:rsidRDefault="00C905FC" w:rsidP="00DD4E26">
      <w:pPr>
        <w:pStyle w:val="tajtip"/>
        <w:shd w:val="clear" w:color="auto" w:fill="FFFFFF"/>
        <w:spacing w:before="0" w:beforeAutospacing="0" w:after="0" w:afterAutospacing="0"/>
        <w:jc w:val="both"/>
        <w:rPr>
          <w:iCs/>
          <w:color w:val="000000"/>
          <w:lang w:eastAsia="en-US"/>
        </w:rPr>
      </w:pPr>
      <w:r>
        <w:rPr>
          <w:iCs/>
          <w:color w:val="000000"/>
          <w:lang w:eastAsia="en-US"/>
        </w:rPr>
        <w:tab/>
      </w:r>
      <w:r w:rsidRPr="007F3CE7">
        <w:rPr>
          <w:iCs/>
          <w:color w:val="000000"/>
          <w:lang w:eastAsia="en-US"/>
        </w:rPr>
        <w:t xml:space="preserve">Atsižvelgiant į tai, kad </w:t>
      </w:r>
      <w:r w:rsidRPr="007F3CE7">
        <w:rPr>
          <w:color w:val="000000"/>
        </w:rPr>
        <w:t xml:space="preserve">MTEP veikloje sukuriant turtą, MTEP darbų sąnaudos yra tris kartus atskaitomos iš pajamų, todėl šis </w:t>
      </w:r>
      <w:r w:rsidRPr="007F3CE7">
        <w:rPr>
          <w:iCs/>
          <w:color w:val="000000"/>
          <w:lang w:eastAsia="en-US"/>
        </w:rPr>
        <w:t>turtas, pradėjus jį naudoti ekonominėje veikloje pajamų uždirbimui, pelno mokesčio apskaičiavimo tikslais nenudėvimas/ neamortizuojamas, t. y. iš šio turto naudojimo ar pardavimo uždirbtos pajamos nemažinamos nusidėvėjimo / amortizacijos sąnaudomis.</w:t>
      </w:r>
    </w:p>
    <w:p w14:paraId="23889A05" w14:textId="77777777" w:rsidR="00332766" w:rsidRDefault="00C36238" w:rsidP="00DD4E26">
      <w:pPr>
        <w:tabs>
          <w:tab w:val="left" w:pos="720"/>
          <w:tab w:val="left" w:pos="1077"/>
          <w:tab w:val="left" w:pos="1418"/>
        </w:tabs>
        <w:spacing w:after="0"/>
        <w:jc w:val="both"/>
        <w:rPr>
          <w:rFonts w:ascii="Arial" w:hAnsi="Arial" w:cs="Arial"/>
          <w:sz w:val="21"/>
          <w:szCs w:val="21"/>
          <w:shd w:val="clear" w:color="auto" w:fill="FFFFFF"/>
          <w:lang w:val="lt-LT"/>
        </w:rPr>
      </w:pPr>
      <w:bookmarkStart w:id="63" w:name="_Hlk209686647"/>
      <w:r>
        <w:rPr>
          <w:iCs/>
          <w:color w:val="000000"/>
        </w:rPr>
        <w:tab/>
      </w:r>
      <w:r w:rsidR="00CB3924" w:rsidRPr="00326773">
        <w:rPr>
          <w:iCs/>
          <w:color w:val="000000"/>
        </w:rPr>
        <w:t>5</w:t>
      </w:r>
      <w:r w:rsidR="00CB3924" w:rsidRPr="00326773">
        <w:rPr>
          <w:iCs/>
          <w:color w:val="000000"/>
          <w:lang w:val="lt-LT"/>
        </w:rPr>
        <w:t xml:space="preserve">. </w:t>
      </w:r>
      <w:r w:rsidR="00675C9B" w:rsidRPr="001D56FD">
        <w:rPr>
          <w:iCs/>
          <w:lang w:val="lt-LT"/>
        </w:rPr>
        <w:t>Vieneto MTEP veikloje sukurtas turtas gali būti glaudžiai susijęs su jau naudojamu vienete turtu, kuris nebuvo sukurtas MTEP veikloje, t. y. vienete nėra naudojamas kaip savarankiškas</w:t>
      </w:r>
      <w:r w:rsidR="00675C9B" w:rsidRPr="001D56FD">
        <w:rPr>
          <w:iCs/>
        </w:rPr>
        <w:t xml:space="preserve"> turto vienetas, o </w:t>
      </w:r>
      <w:r w:rsidR="00675C9B" w:rsidRPr="001D56FD">
        <w:rPr>
          <w:iCs/>
          <w:lang w:val="lt-LT"/>
        </w:rPr>
        <w:t xml:space="preserve">yra turto tam tikra sudėtinė dalis. </w:t>
      </w:r>
      <w:bookmarkStart w:id="64" w:name="_Hlk191480174"/>
      <w:r w:rsidR="00675C9B" w:rsidRPr="001D56FD">
        <w:rPr>
          <w:iCs/>
          <w:lang w:val="lt-LT"/>
        </w:rPr>
        <w:t>Tokiu atveju, apskaičiuojant a</w:t>
      </w:r>
      <w:r w:rsidR="00675C9B" w:rsidRPr="001D56FD">
        <w:rPr>
          <w:lang w:val="lt-LT"/>
        </w:rPr>
        <w:t xml:space="preserve">pmokestinamojo pelno dalį, apmokestinamą </w:t>
      </w:r>
      <w:r w:rsidR="00675C9B" w:rsidRPr="001D56FD">
        <w:rPr>
          <w:bCs/>
          <w:lang w:val="lt-LT"/>
        </w:rPr>
        <w:t xml:space="preserve">lengvatiniu pelno mokesčio tarifu,  </w:t>
      </w:r>
      <w:r w:rsidR="00675C9B" w:rsidRPr="001D56FD">
        <w:rPr>
          <w:shd w:val="clear" w:color="auto" w:fill="FFFFFF"/>
          <w:lang w:val="lt-LT"/>
        </w:rPr>
        <w:t>vadovaujantis vieneto pasitvirtinta vidaus tvarka</w:t>
      </w:r>
      <w:r w:rsidR="00675C9B" w:rsidRPr="001D56FD">
        <w:rPr>
          <w:iCs/>
          <w:lang w:val="lt-LT"/>
        </w:rPr>
        <w:t xml:space="preserve"> turi būti nustatoma </w:t>
      </w:r>
      <w:r w:rsidR="00675C9B" w:rsidRPr="001D56FD">
        <w:rPr>
          <w:shd w:val="clear" w:color="auto" w:fill="FFFFFF"/>
          <w:lang w:val="lt-LT"/>
        </w:rPr>
        <w:t xml:space="preserve">apmokestinamojo pelno iš </w:t>
      </w:r>
      <w:r w:rsidR="00675C9B" w:rsidRPr="001D56FD">
        <w:rPr>
          <w:lang w:val="lt-LT"/>
        </w:rPr>
        <w:t xml:space="preserve">MTEP veikloje sukurto </w:t>
      </w:r>
      <w:r w:rsidR="00675C9B" w:rsidRPr="001D56FD">
        <w:rPr>
          <w:shd w:val="clear" w:color="auto" w:fill="FFFFFF"/>
          <w:lang w:val="lt-LT"/>
        </w:rPr>
        <w:t>turto naudojimo, pardavimo ar kitokio perleidimo nuosavybėn dalis bendrose šio turto pardavimo pajamose ir sąnaudose, t. y. vienetas turi pagrįsti tokios naujai sukurtos MTEP turto dalies įtaką viso turto, į kurį ji integruota, naudojimo, pardavimo ar kitokio perleidimo nuosavybėn pajamoms.</w:t>
      </w:r>
      <w:r w:rsidR="00675C9B" w:rsidRPr="001D56FD">
        <w:rPr>
          <w:rFonts w:ascii="Arial" w:hAnsi="Arial" w:cs="Arial"/>
          <w:sz w:val="21"/>
          <w:szCs w:val="21"/>
          <w:shd w:val="clear" w:color="auto" w:fill="FFFFFF"/>
          <w:lang w:val="lt-LT"/>
        </w:rPr>
        <w:t xml:space="preserve"> </w:t>
      </w:r>
      <w:bookmarkEnd w:id="64"/>
    </w:p>
    <w:p w14:paraId="4A897879" w14:textId="77777777" w:rsidR="00CB71B2" w:rsidRDefault="00CB71B2" w:rsidP="00DD4E26">
      <w:pPr>
        <w:tabs>
          <w:tab w:val="left" w:pos="720"/>
          <w:tab w:val="left" w:pos="1077"/>
          <w:tab w:val="left" w:pos="1418"/>
        </w:tabs>
        <w:spacing w:after="0"/>
        <w:jc w:val="both"/>
        <w:rPr>
          <w:rFonts w:ascii="Arial" w:hAnsi="Arial" w:cs="Arial"/>
          <w:sz w:val="21"/>
          <w:szCs w:val="21"/>
          <w:shd w:val="clear" w:color="auto" w:fill="FFFFFF"/>
          <w:lang w:val="lt-LT"/>
        </w:rPr>
      </w:pPr>
    </w:p>
    <w:p w14:paraId="16DF9ED0" w14:textId="77777777" w:rsidR="006E251E" w:rsidRPr="00CB71B2" w:rsidRDefault="006E251E" w:rsidP="006E251E">
      <w:r w:rsidRPr="00CB71B2">
        <w:rPr>
          <w:lang w:val="lt-LT"/>
        </w:rPr>
        <w:t xml:space="preserve">(Pakeista pagal VMI prie FM </w:t>
      </w:r>
      <w:r w:rsidRPr="00CB71B2">
        <w:t>2025-09-22</w:t>
      </w:r>
      <w:r w:rsidR="00FE3B22">
        <w:t xml:space="preserve"> </w:t>
      </w:r>
      <w:r w:rsidRPr="00CB71B2">
        <w:rPr>
          <w:lang w:val="lt-LT"/>
        </w:rPr>
        <w:t xml:space="preserve">raštą Nr. </w:t>
      </w:r>
      <w:r w:rsidRPr="00CB71B2">
        <w:t>(18.10-31-1 Mr)  R-3583)</w:t>
      </w:r>
    </w:p>
    <w:p w14:paraId="1BDC57C6" w14:textId="77777777" w:rsidR="00675C9B" w:rsidRPr="001D56FD" w:rsidRDefault="00675C9B" w:rsidP="00DD4E26">
      <w:pPr>
        <w:tabs>
          <w:tab w:val="left" w:pos="9540"/>
        </w:tabs>
        <w:spacing w:after="0" w:line="280" w:lineRule="atLeast"/>
        <w:ind w:right="6" w:firstLine="862"/>
        <w:jc w:val="both"/>
        <w:rPr>
          <w:strike/>
        </w:rPr>
      </w:pPr>
    </w:p>
    <w:bookmarkEnd w:id="63"/>
    <w:p w14:paraId="6F2001F8" w14:textId="77777777" w:rsidR="00C905FC" w:rsidRPr="0065344A" w:rsidRDefault="00C905FC" w:rsidP="00DD4E26">
      <w:pPr>
        <w:spacing w:after="0"/>
        <w:ind w:firstLine="720"/>
        <w:jc w:val="both"/>
        <w:rPr>
          <w:iCs/>
          <w:color w:val="000000"/>
          <w:lang w:val="lt-LT"/>
        </w:rPr>
      </w:pPr>
      <w:r w:rsidRPr="0065344A">
        <w:rPr>
          <w:iCs/>
          <w:color w:val="000000"/>
          <w:lang w:val="lt-LT"/>
        </w:rPr>
        <w:t>1-3 Pavyzdžiai</w:t>
      </w:r>
    </w:p>
    <w:p w14:paraId="39F88C6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1. Vienetas, gaminantis medicininę įrangą, 2016-2017 metais vykdė MTEP veiklą ir sukūrė naują turtą – Portatyvinį lazerinį prietaisą skirtą gydymui, kuris 2018 metais pripažintas  patentabilumo kriterijus atitinkančiu turtu ir jam yra išduotas išradimo patentas. Šis vieneto išradimas priskirtinas medicinos technikos sričiai - fizioterapijos aparatams, skirtiems naudoti įvairiems susirgimams gydyti artrologijoje, traumatologijoje, chirurgijoje, kardiologijoje, neurologijoje, otorinolaringologijoje, odontologijoje, ginekologijoje, dermatologijoje, imunologijoje. Pažymėtina, kad vienetas planuoja gauti pajamas įvairiose valstybėse.</w:t>
      </w:r>
    </w:p>
    <w:p w14:paraId="0F2EB791"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B56C17">
        <w:rPr>
          <w:iCs/>
          <w:color w:val="000000"/>
          <w:lang w:eastAsia="en-US"/>
        </w:rPr>
        <w:t xml:space="preserve">  Vienetas 2016-2017 metais vykdydamas MTEP veiklą, t. y. sukuriant šį lazerinį prietaisą, patyrė 90 000 Eur (50 000 Eur (2016 m.) + 40 000 Eur (2017 m.) </w:t>
      </w:r>
      <w:r w:rsidRPr="00B56C17">
        <w:t>MTEP darbų sąnaudų, atskaitytinų iš pajamų tris kartus, kaip nurodyta PMĮ 17</w:t>
      </w:r>
      <w:r w:rsidRPr="00B56C17">
        <w:rPr>
          <w:vertAlign w:val="superscript"/>
        </w:rPr>
        <w:t>1</w:t>
      </w:r>
      <w:r w:rsidRPr="00B56C17">
        <w:t xml:space="preserve"> str., taip pat 10 000 Eur </w:t>
      </w:r>
      <w:r w:rsidRPr="00B56C17">
        <w:rPr>
          <w:iCs/>
          <w:color w:val="000000"/>
          <w:lang w:eastAsia="en-US"/>
        </w:rPr>
        <w:t xml:space="preserve">(6 000 Eur (2016 m.) + 4 000 Eur (2017 m.) </w:t>
      </w:r>
      <w:r w:rsidRPr="00B56C17">
        <w:t xml:space="preserve">MTEP darbų sąnaudų, perkant paslaugas iš susijusių asmenų, o taip pat apskaičiavo 30 000 Eur, t. y. 2016 ir 2017 metais po 15 000 Eur, ilgalaikio turto (išskyrus pastatų), naudojamo MTEP veikloje kuriant šį lazerinį prietaisą, nusidėvėjimo sąnaudų. </w:t>
      </w:r>
    </w:p>
    <w:p w14:paraId="0E44E3FC"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Vieneto apskaičiuota tinkamų finansuoti išlaidų suma yra 90 000 Eur bei visų išlaidų suma yra  130 000 Eur (90 000 + 10 000 + 30 000). </w:t>
      </w:r>
    </w:p>
    <w:p w14:paraId="03EAF7C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Į formulę įtraukiama apskaičiuota tinkamų finansuoti išlaidų suma gali būti padidinama 30 procentų, tačiau tokia padidinta suma negali būti didesnė už apskaičiuotą visų išlaidų sumą. </w:t>
      </w:r>
    </w:p>
    <w:p w14:paraId="682FDD0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Šiuo atveju apskaičiuojama į formulę įtraukiamų tinkamų finansuoti išlaidų suma yra 117 000 Eur (90 000 x 30 proc.).</w:t>
      </w:r>
    </w:p>
    <w:p w14:paraId="0F3FA360"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Pradėjus gaminti šiuos prietaisus, vienetas apskaičiuoja apmokestinamąjį pelną iš šio prietaiso pardavimo:</w:t>
      </w:r>
    </w:p>
    <w:p w14:paraId="176B4C14"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- 30 000 Eur (80 000 Eur gautos pajamos - 50 000 Eur sąnaudos, tenkančios šioms gautoms pajamoms) už 2018 metų mokestinį laikotarpį;</w:t>
      </w:r>
    </w:p>
    <w:p w14:paraId="0A526992"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- 80 000 Eur (150 000 Eur gautos pajamos - 70 000 Eur sąnaudos, tenkančios šioms gautoms pajamoms) už 2019 metų mokestinį laikotarpį.</w:t>
      </w:r>
    </w:p>
    <w:p w14:paraId="16A8B266"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Apskaičiuojama apmokestinamojo pelno dalis, kuri apmokestinama 5 procentų tarifu:</w:t>
      </w:r>
    </w:p>
    <w:p w14:paraId="60D0BAE9"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 už 2018 metus yra 27 000 Eur (117 000 Eur (tinkamos finansuoti išlaidos) : 130 000 Eur (visos išlaidos) x 30 000 Eur (apmokestinamasis pelnas iš prietaisų naudojimo).</w:t>
      </w:r>
    </w:p>
    <w:p w14:paraId="429F5DE7" w14:textId="77777777" w:rsidR="00C905FC" w:rsidRPr="00B56C1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už 2019 metus yra 72 000 Eur (117 000 Eur (tinkamos finansuoti išlaidos) : 130 000 Eur (visos išlaidos) x 80 000 Eur). </w:t>
      </w:r>
    </w:p>
    <w:p w14:paraId="76E237EA"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Likusi apmokestinamojo pelno dalis, atitinkamai 2018 m. – 3 000 Eur (30 000-27 000) ir 2019 m. – 8 </w:t>
      </w:r>
      <w:r w:rsidRPr="007F3CE7">
        <w:rPr>
          <w:iCs/>
          <w:color w:val="000000"/>
          <w:lang w:eastAsia="en-US"/>
        </w:rPr>
        <w:t xml:space="preserve">000 Eur (80 000-72 000), yra apmokestinama taikant pagrindinį 15 proc. tarifą. </w:t>
      </w:r>
    </w:p>
    <w:p w14:paraId="5F87F368"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sidRPr="007F3CE7">
        <w:rPr>
          <w:iCs/>
          <w:color w:val="000000"/>
          <w:lang w:eastAsia="en-US"/>
        </w:rPr>
        <w:tab/>
        <w:t xml:space="preserve">Vienetas ir kitais mokestiniais laikotarpiais, kuriais iš šio MTEP veikloje sukurto turto (Portatyvinio lazerinio prietaiso) pardavimo bus uždirbamos pajamos (neterminuotai), taip pat skaičiuoja apmokestinamojo pelno, iš šio turto (prietaisų) pardavimų, dalį,  apmokestinamą 5 procentų tarifu.  </w:t>
      </w:r>
    </w:p>
    <w:p w14:paraId="7D91D018" w14:textId="77777777" w:rsidR="00C905FC"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Atkreiptinas dėmesys, kad vienetas privalo turėti pagal savo vidaus apskaitos taisykles nusistatytus vidaus apskaitos dokumentus, kuriais būtų pagrindžiamas ryšys tarp tinkamų finansuoti išlaidų, visų išlaidų ir turto, nurodyto šio straipsnio 5 str. 7 d. 2 punkte, pelno iš turto naudojimo.</w:t>
      </w:r>
    </w:p>
    <w:p w14:paraId="5DE91776" w14:textId="77777777" w:rsidR="00332766" w:rsidRPr="007F3CE7" w:rsidRDefault="00332766"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235F5B0" w14:textId="77777777" w:rsidR="00BD4C77" w:rsidRPr="002708F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2. Vienetas yra sukūręs pagal autorių teisę saugojamą kompiuterinę programą, kurią platina internetu užsienio elektroninės prekybos platformoje. Programos kūrimo išlaidoms MTEP lengvata nebuvo taikyta. </w:t>
      </w:r>
      <w:bookmarkStart w:id="65" w:name="_Hlk208317501"/>
      <w:r w:rsidRPr="002708F5">
        <w:rPr>
          <w:iCs/>
          <w:color w:val="000000"/>
          <w:lang w:eastAsia="en-US"/>
        </w:rPr>
        <w:t xml:space="preserve">2022 – 2024 </w:t>
      </w:r>
      <w:bookmarkEnd w:id="65"/>
      <w:r w:rsidRPr="002708F5">
        <w:rPr>
          <w:iCs/>
          <w:color w:val="000000"/>
          <w:lang w:eastAsia="en-US"/>
        </w:rPr>
        <w:t xml:space="preserve">metais vienetas vykdė kompiuterinės programos tobulinimo, sklaidos ir palaikymo metodų mokslinius tyrimus ir sukūrė naują šios programos algoritmą, integruojamą į kompiuterinę programą, sudarantį neatskiriamą jos dalį. 2025 metais vienetui yra atsiradusios autorių teisės į naujai sukurtą algoritmą. </w:t>
      </w:r>
    </w:p>
    <w:p w14:paraId="7B1F4962"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2708F5">
        <w:rPr>
          <w:iCs/>
          <w:color w:val="000000"/>
          <w:lang w:eastAsia="en-US"/>
        </w:rPr>
        <w:t xml:space="preserve">  Vienetas 2022 – 2024 metais vykdydamas MTEP veiklą, t. y. sukuriant šį algoritmą, patyrė 45 000 Eur (15 000 Eur (2022 m.) + 20 000 Eur (2023 m.) + 10 000 Eur (2024 m.) </w:t>
      </w:r>
      <w:r w:rsidRPr="002708F5">
        <w:t>MTEP darbų sąnaudų, atskaitytinų iš pajamų tris kartus, kaip nurodyta PMĮ 17</w:t>
      </w:r>
      <w:r w:rsidRPr="002708F5">
        <w:rPr>
          <w:vertAlign w:val="superscript"/>
        </w:rPr>
        <w:t>1</w:t>
      </w:r>
      <w:r w:rsidRPr="002708F5">
        <w:t xml:space="preserve"> str., taip pat apskaičiavo 15 000 Eur, t. y. </w:t>
      </w:r>
      <w:r w:rsidRPr="002708F5">
        <w:rPr>
          <w:iCs/>
          <w:color w:val="000000"/>
          <w:lang w:eastAsia="en-US"/>
        </w:rPr>
        <w:t xml:space="preserve">2022 – 2024 </w:t>
      </w:r>
      <w:r w:rsidRPr="002708F5">
        <w:t>metais po 5 000 Eur, ilgalaikio turto (išskyrus pastatų), naudojamo MTEP veikloje kuriant šį algoritmą, nusidėvėjimo</w:t>
      </w:r>
      <w:r w:rsidRPr="00A44835">
        <w:t xml:space="preserve"> sąnaudų.  </w:t>
      </w:r>
    </w:p>
    <w:p w14:paraId="7A4F3CBE"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Vieneto apskaičiuota algoritmo tinkamų finansuoti išlaidų suma yra 45 000 Eur (15 000 + 20 000 + 10 000) bei algoritmo kūrimo MTEP veikloje visų išlaidų suma yra  60 000 Eur (45 000 + 15 000).</w:t>
      </w:r>
    </w:p>
    <w:p w14:paraId="4CDA46E0"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Šiuo atveju apskaičiuojama į formulę įtraukiamų algoritmo tinkamų finansuoti išlaidų suma yra 58 500 Eur (45 000 + (45000 x 30 proc.).</w:t>
      </w:r>
    </w:p>
    <w:p w14:paraId="6CDDD0F8" w14:textId="77777777" w:rsidR="00BD4C77" w:rsidRPr="00A44835"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strike/>
          <w:color w:val="000000"/>
          <w:lang w:eastAsia="en-US"/>
        </w:rPr>
      </w:pPr>
      <w:r w:rsidRPr="00A44835">
        <w:rPr>
          <w:iCs/>
          <w:color w:val="000000"/>
          <w:lang w:eastAsia="en-US"/>
        </w:rPr>
        <w:t>Vieneto MTEP veikloje sukurtas algoritmas tarpusavyje yra glaudžiai susijęs su kompiuterine programa, t. y. algoritmas nėra naudojamas kaip savarankiškas turto vienetas, o yra programos tam tikra sudėtinė dalis.</w:t>
      </w:r>
      <w:r w:rsidRPr="00A44835">
        <w:rPr>
          <w:iCs/>
          <w:strike/>
          <w:color w:val="000000"/>
          <w:lang w:eastAsia="en-US"/>
        </w:rPr>
        <w:t xml:space="preserve"> </w:t>
      </w:r>
    </w:p>
    <w:p w14:paraId="14A6B2E2" w14:textId="77777777" w:rsidR="00BD4C77" w:rsidRPr="00326773"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Pradėjus platinti šią kompiuterinę programą su nauju algoritmu, vienetas pagal patvirtintą vidaus tvarką apskaičiavo, kad 30 proc. iš kompiuterinės programos (kartu su algoritmu) platinimo gautų pajamų ir, atitinkamai, sąnaudų tenka</w:t>
      </w:r>
      <w:r w:rsidRPr="00326773">
        <w:rPr>
          <w:color w:val="000000"/>
        </w:rPr>
        <w:t xml:space="preserve"> iš MTEP veikloje sukurto </w:t>
      </w:r>
      <w:r w:rsidRPr="00326773">
        <w:rPr>
          <w:iCs/>
          <w:color w:val="000000"/>
          <w:lang w:eastAsia="en-US"/>
        </w:rPr>
        <w:t>turto, t. y. programos algoritmo, platinimo.</w:t>
      </w:r>
    </w:p>
    <w:p w14:paraId="5A293415" w14:textId="77777777" w:rsidR="00BD4C77" w:rsidRPr="00326773"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 xml:space="preserve">Taigi, pradėjus platinti šią programą su nauju MTEP veikloje sukurtu algoritmu, vienetas už 2026 metų mokestinį laikotarpį gavęs 90 000 Eur pajamų ir 40 000 Eur sąnaudų, pagal savo nustatytą procentinę dalį apskaičiuoja 15 000 Eur (27 000 Eur (90 000 x 30 / 100) - 12 000 Eur (40 000 Eur x 30 / 100)) apmokestinamąjį pelną iš šio turto, t. y. iš MTEP veikloje sukurto,  algoritmo platinimo. </w:t>
      </w:r>
    </w:p>
    <w:p w14:paraId="79BFFB5E" w14:textId="77777777" w:rsidR="00BD4C7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Apskaičiuojama 14 625 Eur (58 500 Eur (tinkamos finansuoti išlaidos) : 60 000 Eur (visos išlaidos) x 15 000 Eur (apmokestinamasis pelnas iš kompiuterinės programos platinimo) apmokestinamojo pelno dalis, kuri apmokestinama 7 procentų tarifu, o likusi apmokestinamojo pelno dalis – 35 375 Eur yra apmokestinama taikant pagrindinį 17 proc. </w:t>
      </w:r>
      <w:r>
        <w:rPr>
          <w:iCs/>
          <w:color w:val="000000"/>
          <w:lang w:eastAsia="en-US"/>
        </w:rPr>
        <w:t xml:space="preserve">pelno mokesčio </w:t>
      </w:r>
      <w:r w:rsidRPr="002708F5">
        <w:rPr>
          <w:iCs/>
          <w:color w:val="000000"/>
          <w:lang w:eastAsia="en-US"/>
        </w:rPr>
        <w:t>tarifą.</w:t>
      </w:r>
      <w:r w:rsidR="00C36238">
        <w:rPr>
          <w:iCs/>
          <w:color w:val="000000"/>
          <w:lang w:eastAsia="en-US"/>
        </w:rPr>
        <w:t xml:space="preserve"> </w:t>
      </w:r>
    </w:p>
    <w:p w14:paraId="551B3B02" w14:textId="77777777" w:rsidR="00332766" w:rsidRDefault="00C36238" w:rsidP="00C36238">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Pr>
          <w:iCs/>
          <w:color w:val="000000"/>
          <w:lang w:eastAsia="en-US"/>
        </w:rPr>
        <w:t xml:space="preserve">        </w:t>
      </w:r>
    </w:p>
    <w:p w14:paraId="10B3B14B" w14:textId="77777777" w:rsidR="00BD4C77" w:rsidRPr="007F3CE7" w:rsidRDefault="00BD4C77" w:rsidP="0033276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3. Vienetas 2016-2017 metais vykdė mokslinius tyrimus ir sukūrė pagal autorių teisę saugojamą kompiuterinę programą. 2017 metais vienetui yra atsiradusios autorių teisės į šią naujai sukurtą kompiuterinę programą.  </w:t>
      </w:r>
    </w:p>
    <w:p w14:paraId="58A53D7F"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rPr>
          <w:iCs/>
          <w:color w:val="000000"/>
          <w:lang w:eastAsia="en-US"/>
        </w:rPr>
        <w:lastRenderedPageBreak/>
        <w:t xml:space="preserve">  Vykdant MTEP veiklą, t. y. sukuriant šią kompiuterinę programą, 2016-2017 metais yra patirtos 45 000 Eur (25 000 Eur (2016 m.) + 20 000 Eur (2017 m.) </w:t>
      </w:r>
      <w:r w:rsidRPr="007F3CE7">
        <w:t>MTEP darbų sąnaudos, atskaitytinos iš pajamų tris kartus, kaip nurodyta PMĮ 17</w:t>
      </w:r>
      <w:r w:rsidRPr="007F3CE7">
        <w:rPr>
          <w:vertAlign w:val="superscript"/>
        </w:rPr>
        <w:t>1</w:t>
      </w:r>
      <w:r w:rsidRPr="007F3CE7">
        <w:t xml:space="preserve"> str., taip pat apskaičiuotos 16 000 Eur, t. y. 2016-2017 metais po 8 000 Eur, ilgalaikio turto (išskyrus pastatų), naudojamo MTEP veikloje kuriant šią kompiuterinę programą, nusidėvėjimo sąnaudos.  </w:t>
      </w:r>
    </w:p>
    <w:p w14:paraId="56351444"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45 000 Eur (25 000 + 20 000) bei programos kūrimo MTEP veikloje visų išlaidų suma yra 61 000 Eur (45 000 + 16 000). Šiuo atveju apskaičiuojama į formulę įtraukiamų kompiuterinės programos tinkamų finansuoti išlaidų suma yra 58 500 Eur (45 000 + (45 000 x 30 proc.).</w:t>
      </w:r>
    </w:p>
    <w:p w14:paraId="4D575A75"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Pradėjus platinti šią kompiuterinę programą, vienetas už 2018 metų mokestinį laikotarpį apskaičiuoja 60 000 Eur apmokestinamąjį pelną iš kompiuterinės programos platinimo.</w:t>
      </w:r>
    </w:p>
    <w:p w14:paraId="2B36079B"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57 546 Eur (58 500 Eur (tinkamos finansuoti išlaidos) : 61 000 Eur (visos išlaidos) x 60 000 Eur (apmokestinamasis pelnas iš kompiuterinės programos platinimo) apmokestinamojo pelno dalis, kuri apmokestinama 5 procentų tarifu, o likusi apmokestinamojo pelno dalis – 2 454 Eur yra apmokestinama taikant pagrindinį 15 proc. tarifą.</w:t>
      </w:r>
    </w:p>
    <w:p w14:paraId="52CE9BA0"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B352C8E"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2019 metais vienetas, atlikęs šios kompiuterinės programos tobulinimo ir funkcionalumo gerinimo darbus, patyrė 10 000 Eur </w:t>
      </w:r>
      <w:r w:rsidRPr="007F3CE7">
        <w:t>MTEP darbų sąnaudų, atskaitytinų iš pajamų tris kartus, kaip nurodyta PMĮ 17</w:t>
      </w:r>
      <w:r w:rsidRPr="007F3CE7">
        <w:rPr>
          <w:vertAlign w:val="superscript"/>
        </w:rPr>
        <w:t>1</w:t>
      </w:r>
      <w:r w:rsidRPr="007F3CE7">
        <w:t xml:space="preserve"> str. bei 15 000 Eur MTEP darbų sąnaudų, perkant paslaugas iš susijusių asmenų.</w:t>
      </w:r>
    </w:p>
    <w:p w14:paraId="21FB1EDA"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Atsižvelgiant į tai, kad į vieneto patirtų tinkamų finansuoti /visų išlaidų proporcijos skaičiavimą MTEP veikloje sukuriamo turto išlaidos turi būti įtraukiamos kaupiamuoju būdu, todėl, atitinkamai, yra perskaičiuojama tinkamų finansuoti /visų išlaidų proporcija už 2019 metų mokestinį laikotarpį:</w:t>
      </w:r>
    </w:p>
    <w:p w14:paraId="39DB4DD0"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55 000 Eur (45 000 + 10 000) bei programos kūrimo MTEP veikloje visų išlaidų suma yra 76 000 Eur (61 000 + 15 000). Šiuo atveju apskaičiuojama į formulę įtraukiamų tinkamų finansuoti išlaidų suma yra 71 500 Eur (55 000 + (55 000 x 30 proc.).</w:t>
      </w:r>
    </w:p>
    <w:p w14:paraId="2D44FC61"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Už 2019 metų mokestinį laikotarpį yra apskaičiuojamas 80 000 Eur apmokestinamasis pelnas iš kompiuterinės programos platinimo.</w:t>
      </w:r>
    </w:p>
    <w:p w14:paraId="4A92EA95" w14:textId="77777777" w:rsidR="00BD4C77" w:rsidRPr="007F3CE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75 263 Eur (71 500 Eur (tinkamos finansuoti išlaidos) : 76 000 Eur (visos išlaidos) x 80 000 Eur (apmokestinamasis pelnas iš kompiuterinės programos platinimo) apmokestinamojo pelno dalis, kuri apmokestinama 5 procentų tarifu, o likusi apmokestinamojo pelno dalis –  4 737 Eur yra apmokestinama taikant pagrindinį 15 proc. tarifą.</w:t>
      </w:r>
    </w:p>
    <w:p w14:paraId="013E2BB4" w14:textId="77777777" w:rsidR="00BD4C77" w:rsidRPr="00B56C1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turto, nurodyto šio straipsnio 5 str. 7 d. 2 punkte, pelno iš turto naudojimo.</w:t>
      </w:r>
    </w:p>
    <w:p w14:paraId="491F3623" w14:textId="77777777" w:rsidR="00BD4C77" w:rsidRDefault="00BD4C77"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4D6CBAD3" w14:textId="77777777" w:rsidR="00C905FC" w:rsidRPr="007F3CE7" w:rsidRDefault="00C905FC"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5F481B59" w14:textId="77777777" w:rsidR="00F67303" w:rsidRPr="002708F5" w:rsidRDefault="00F67303" w:rsidP="00DD4E26">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C4E1858" w14:textId="77777777" w:rsidR="00C905FC" w:rsidRPr="008A410F" w:rsidRDefault="008A410F" w:rsidP="008A410F">
      <w:r w:rsidRPr="00CB71B2">
        <w:rPr>
          <w:lang w:val="lt-LT"/>
        </w:rPr>
        <w:t xml:space="preserve">(Pakeista pagal VMI prie FM </w:t>
      </w:r>
      <w:r w:rsidRPr="00CB71B2">
        <w:t xml:space="preserve">2025-09-22  </w:t>
      </w:r>
      <w:r w:rsidRPr="00CB71B2">
        <w:rPr>
          <w:lang w:val="lt-LT"/>
        </w:rPr>
        <w:t xml:space="preserve">raštą Nr. </w:t>
      </w:r>
      <w:r w:rsidRPr="00CB71B2">
        <w:t>(18.10-31-1 Mr)  R-3583)</w:t>
      </w:r>
    </w:p>
    <w:p w14:paraId="0B08E135" w14:textId="77777777" w:rsidR="00C905FC" w:rsidRPr="0065344A" w:rsidRDefault="00C905FC" w:rsidP="00DD4E26">
      <w:pPr>
        <w:spacing w:after="0"/>
        <w:ind w:firstLine="720"/>
        <w:jc w:val="both"/>
        <w:rPr>
          <w:b/>
          <w:lang w:val="lt-LT"/>
        </w:rPr>
      </w:pPr>
      <w:r w:rsidRPr="0065344A">
        <w:rPr>
          <w:b/>
          <w:color w:val="000000"/>
          <w:lang w:val="lt-LT"/>
        </w:rPr>
        <w:t>10.</w:t>
      </w:r>
      <w:r w:rsidRPr="0065344A">
        <w:rPr>
          <w:b/>
          <w:bCs/>
          <w:color w:val="000000"/>
          <w:lang w:val="lt-LT"/>
        </w:rPr>
        <w:t> </w:t>
      </w:r>
      <w:r w:rsidRPr="0065344A">
        <w:rPr>
          <w:b/>
          <w:color w:val="000000"/>
          <w:lang w:val="lt-LT"/>
        </w:rPr>
        <w:t>Apmokestinamojo pelno iš turto naudojimo, pardavimo ar kitokio perleidimo nuosavybėn daliai apskaičiuoti šio straipsnio 9 dalyje nustatyta formulė taikoma atskirai kiekvienam šio straipsnio 7 dalies 2 punkte nurodytam turtui arba turtui (produktui) ar turto (produktų) grupei, kai šis turtas (produktas) ar turto (produktų) grupė sukuriami panaudojant kelis šio straipsnio 7 dalies 2 punkte nurodyto turto vienetus ir vienetas gali pagrįsti, kad formulė dėl praktinių priežasčių negali būti taikoma atskirai kiekvienam šio straipsnio 7 dalies 2 punkte nurodytam turtui. Visais atvejais vienetas turi turėti dokumentus, kuriais pagrindžiamas ryšys tarp tinkamų finansuoti išlaidų, visų išlaidų, šio straipsnio 7 dalies 2 punkte nurodyto turto arba turto (produkto) ar turto (produktų) grupės, pelno iš turto naudojimo.</w:t>
      </w:r>
    </w:p>
    <w:p w14:paraId="6EB45DD5" w14:textId="77777777" w:rsidR="00C905FC" w:rsidRDefault="00C905FC" w:rsidP="004D797E">
      <w:pPr>
        <w:pStyle w:val="tajtip"/>
        <w:shd w:val="clear" w:color="auto" w:fill="FFFFFF"/>
        <w:spacing w:before="0" w:beforeAutospacing="0" w:after="0" w:afterAutospacing="0"/>
        <w:ind w:firstLine="720"/>
        <w:jc w:val="both"/>
        <w:rPr>
          <w:bCs/>
          <w:i/>
        </w:rPr>
      </w:pPr>
      <w:r w:rsidRPr="00B56C17">
        <w:rPr>
          <w:bCs/>
          <w:i/>
        </w:rPr>
        <w:lastRenderedPageBreak/>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18809B55" w14:textId="77777777" w:rsidR="00F510E7" w:rsidRPr="00F510E7" w:rsidRDefault="00F510E7" w:rsidP="00DD4E26">
      <w:pPr>
        <w:pStyle w:val="tajtip"/>
        <w:shd w:val="clear" w:color="auto" w:fill="FFFFFF"/>
        <w:spacing w:before="0" w:beforeAutospacing="0" w:after="0" w:afterAutospacing="0"/>
        <w:jc w:val="both"/>
        <w:rPr>
          <w:bCs/>
          <w:i/>
        </w:rPr>
      </w:pPr>
    </w:p>
    <w:p w14:paraId="18D3D589" w14:textId="77777777" w:rsidR="00C905FC" w:rsidRPr="0065344A" w:rsidRDefault="00C905FC" w:rsidP="00F32DE7">
      <w:pPr>
        <w:spacing w:before="160"/>
        <w:ind w:firstLine="720"/>
        <w:jc w:val="both"/>
        <w:rPr>
          <w:b/>
          <w:lang w:val="lt-LT"/>
        </w:rPr>
      </w:pPr>
      <w:r w:rsidRPr="0065344A">
        <w:rPr>
          <w:b/>
          <w:lang w:val="lt-LT"/>
        </w:rPr>
        <w:t>Komentaras</w:t>
      </w:r>
    </w:p>
    <w:p w14:paraId="11B3B174" w14:textId="77777777" w:rsidR="00C905FC" w:rsidRPr="0065344A" w:rsidRDefault="00C905FC" w:rsidP="00DD4E26">
      <w:pPr>
        <w:spacing w:after="0"/>
        <w:ind w:firstLine="720"/>
        <w:jc w:val="both"/>
        <w:rPr>
          <w:bCs/>
          <w:lang w:val="lt-LT"/>
        </w:rPr>
      </w:pPr>
      <w:r w:rsidRPr="0065344A">
        <w:rPr>
          <w:lang w:val="lt-LT"/>
        </w:rPr>
        <w:t xml:space="preserve">1. Apmokestinamojo pelno iš turto naudojimo, pardavimo ar kitokio perleidimo nuosavybėn daliai apskaičiuoti šio straipsnio 9 dalyje nustatyta formulė taikoma atskirai kiekvienam turtui, nurodytam šio straipsnio 7 d. 2 punkte, arba turtui (produktui) ar turto (produktų) grupei, kai šis turtas (produktas) ar turto (produktų) grupė sukuriami panaudojant kelis turto, nurodyto šio straipsnio 7 d. 2 punkte, vienetus ir vienetas gali pagrįsti, kad formulė dėl praktinių priežasčių negali būti taikoma atskirai kiekvienam turtui, nurodytam šio straipsnio 7 d. 2 punkte. Visais atvejais vienetas turi turėti </w:t>
      </w:r>
      <w:r w:rsidRPr="0065344A">
        <w:rPr>
          <w:bCs/>
          <w:lang w:val="lt-LT"/>
        </w:rPr>
        <w:t>dokumentus, kuriais</w:t>
      </w:r>
      <w:r w:rsidRPr="0065344A">
        <w:rPr>
          <w:lang w:val="lt-LT"/>
        </w:rPr>
        <w:t xml:space="preserve"> </w:t>
      </w:r>
      <w:r w:rsidRPr="0065344A">
        <w:rPr>
          <w:bCs/>
          <w:lang w:val="lt-LT"/>
        </w:rPr>
        <w:t xml:space="preserve">pagrindžiamas ryšys tarp tinkamų finansuoti išlaidų, visų išlaidų, </w:t>
      </w:r>
      <w:r w:rsidRPr="0065344A">
        <w:rPr>
          <w:lang w:val="lt-LT"/>
        </w:rPr>
        <w:t xml:space="preserve">turto, nurodyto šio straipsnio 7 d. 2 punkte, arba turto (produkto) ar turto (produktų) grupės, </w:t>
      </w:r>
      <w:r w:rsidRPr="0065344A">
        <w:rPr>
          <w:bCs/>
          <w:lang w:val="lt-LT"/>
        </w:rPr>
        <w:t>pelno iš turto naudojimo.</w:t>
      </w:r>
    </w:p>
    <w:p w14:paraId="35AB69F6" w14:textId="77777777" w:rsidR="00C905FC" w:rsidRPr="00B56C17" w:rsidRDefault="00C905FC" w:rsidP="00DD4E26">
      <w:pPr>
        <w:spacing w:after="0"/>
        <w:ind w:firstLine="567"/>
        <w:jc w:val="both"/>
      </w:pPr>
      <w:r w:rsidRPr="00B56C17">
        <w:t>Pažymėtina, kad vienetas vidaus apskaitos dokumentus ir jų rengimo tvarką nusistato pats savo vidaus apskaitos taisyklėse. Atsižvelgiant į tai, pagal nusistatytus vidaus apskaitos dokumentus vienetas atskirai turi pagrįsti kiekvieno MTEP veikloje sukurto turto (produkto) ryšį tarp į formulę įrašomų tinkamų finansuoti išlaidų, visų išlaidų bei šio turto (produkto) apmokestinamojo pelno apskaičiavimo arba pagrįsti dėl kokių konkrečių praktinių priežasčių negali būti taikoma formulė atskirai kiekvienam turtui, ir, atitinkamai, ji yra pritaikyta turtui (produktui) ar turto (produktų) grupei, sukuriamai panaudojant kelis turto, nurodyto šio straipsnio 7 d. 2 punkte, vienetus.</w:t>
      </w:r>
    </w:p>
    <w:p w14:paraId="0C0CCC66" w14:textId="77777777" w:rsidR="00C905FC" w:rsidRDefault="00C905FC" w:rsidP="00DD4E26">
      <w:pPr>
        <w:shd w:val="clear" w:color="auto" w:fill="FFFFFF"/>
        <w:spacing w:after="0"/>
        <w:ind w:firstLine="720"/>
        <w:jc w:val="both"/>
      </w:pPr>
      <w:r w:rsidRPr="00B56C17">
        <w:t>2. Pažymėtina, kad, jeigu iki lengvatos įvedimo, t. y. iki 2017 m. gruodžio 31 d., yra išduotas patentas ar papildomas apsaugos liudijimas, atsiradusios autorių teisės ar suteikta išimtinė licencija, tai PMĮ 5 str. 7 dalyje  įteisinta MTEP pelno mokesčio lengvata gali būti taikoma tik tokiu atveju, jeigu yra šios lengvatos taikymą pagrindžiantys dokumentai, t. y. yra dokumentai, kuriais pagrindžiamas ryšys tarp tinkamų finansuoti išlaidų, visų išlaidų, turto, nurodyto šio straipsnio 5 str. 7 d. 2 punkte, arba turto (produkto) ar turto (produktų) grupės, pelno iš turto naudojimo.</w:t>
      </w:r>
      <w:r w:rsidRPr="0091491A">
        <w:t xml:space="preserve"> </w:t>
      </w:r>
    </w:p>
    <w:p w14:paraId="620A2A36" w14:textId="77777777" w:rsidR="00093845" w:rsidRPr="005E291D" w:rsidRDefault="00C905FC" w:rsidP="00DD4E26">
      <w:pPr>
        <w:tabs>
          <w:tab w:val="left" w:pos="720"/>
          <w:tab w:val="left" w:pos="1077"/>
          <w:tab w:val="left" w:pos="1418"/>
        </w:tabs>
        <w:spacing w:after="0"/>
        <w:ind w:right="-5" w:firstLine="720"/>
        <w:jc w:val="both"/>
        <w:rPr>
          <w:iCs/>
          <w:lang w:val="lt-LT"/>
        </w:rPr>
      </w:pPr>
      <w:r w:rsidRPr="001A3023">
        <w:rPr>
          <w:lang w:val="lt-LT"/>
        </w:rPr>
        <w:t>(</w:t>
      </w:r>
      <w:r>
        <w:rPr>
          <w:lang w:val="lt-LT"/>
        </w:rPr>
        <w:t>P</w:t>
      </w:r>
      <w:r w:rsidRPr="001A3023">
        <w:rPr>
          <w:lang w:val="lt-LT"/>
        </w:rPr>
        <w:t>akeista pagal VMI prie FM 201</w:t>
      </w:r>
      <w:r>
        <w:rPr>
          <w:lang w:val="lt-LT"/>
        </w:rPr>
        <w:t>9</w:t>
      </w:r>
      <w:r w:rsidRPr="001A3023">
        <w:rPr>
          <w:lang w:val="lt-LT"/>
        </w:rPr>
        <w:t>-0</w:t>
      </w:r>
      <w:r>
        <w:rPr>
          <w:lang w:val="lt-LT"/>
        </w:rPr>
        <w:t>5</w:t>
      </w:r>
      <w:r w:rsidRPr="001A3023">
        <w:rPr>
          <w:lang w:val="lt-LT"/>
        </w:rPr>
        <w:t>-2</w:t>
      </w:r>
      <w:r>
        <w:rPr>
          <w:lang w:val="lt-LT"/>
        </w:rPr>
        <w:t>2</w:t>
      </w:r>
      <w:r w:rsidRPr="001A3023">
        <w:rPr>
          <w:lang w:val="lt-LT"/>
        </w:rPr>
        <w:t xml:space="preserve"> raštą Nr. </w:t>
      </w:r>
      <w:r w:rsidRPr="001A3023">
        <w:t>(32.42-31-1E) RM-1</w:t>
      </w:r>
      <w:r>
        <w:t>6161)</w:t>
      </w:r>
      <w:r>
        <w:rPr>
          <w:rFonts w:ascii="Trebuchet MS" w:hAnsi="Trebuchet MS"/>
          <w:color w:val="000000"/>
          <w:sz w:val="22"/>
          <w:szCs w:val="22"/>
        </w:rPr>
        <w:t xml:space="preserve">                 </w:t>
      </w:r>
      <w:r w:rsidRPr="001070F4">
        <w:rPr>
          <w:rFonts w:ascii="Trebuchet MS" w:hAnsi="Trebuchet MS"/>
          <w:color w:val="000000"/>
          <w:sz w:val="22"/>
          <w:szCs w:val="22"/>
        </w:rPr>
        <w:t xml:space="preserve"> </w:t>
      </w:r>
    </w:p>
    <w:p w14:paraId="3B024C8F" w14:textId="77777777" w:rsidR="00CB71B2" w:rsidRDefault="00CB71B2" w:rsidP="00CB71B2">
      <w:pPr>
        <w:pStyle w:val="tajtip"/>
        <w:rPr>
          <w:color w:val="FF0000"/>
          <w:lang w:val="en-US" w:eastAsia="en-US"/>
        </w:rPr>
      </w:pPr>
      <w:bookmarkStart w:id="66" w:name="_6_straipsnis._Mokestinis"/>
      <w:bookmarkEnd w:id="66"/>
    </w:p>
    <w:p w14:paraId="623FD5DA" w14:textId="77777777" w:rsidR="00CB71B2" w:rsidRPr="00CB71B2" w:rsidRDefault="00CB71B2" w:rsidP="00CB71B2">
      <w:pPr>
        <w:pStyle w:val="tajtip"/>
        <w:rPr>
          <w:b/>
          <w:iCs/>
        </w:rPr>
      </w:pPr>
      <w:r>
        <w:rPr>
          <w:b/>
          <w:iCs/>
        </w:rPr>
        <w:t>Iki</w:t>
      </w:r>
      <w:r w:rsidRPr="00CB71B2">
        <w:rPr>
          <w:b/>
          <w:iCs/>
        </w:rPr>
        <w:t xml:space="preserve"> 202</w:t>
      </w:r>
      <w:r w:rsidR="00EB4807">
        <w:rPr>
          <w:b/>
          <w:iCs/>
        </w:rPr>
        <w:t>6 metų mokestinio laikotarpio</w:t>
      </w:r>
      <w:r w:rsidRPr="00CB71B2">
        <w:rPr>
          <w:b/>
          <w:iCs/>
        </w:rPr>
        <w:t xml:space="preserve"> galiojanti PMĮ  5 straipsnio redacija:</w:t>
      </w:r>
    </w:p>
    <w:p w14:paraId="45FBE61C" w14:textId="77777777" w:rsidR="009E0403" w:rsidRDefault="009E0403" w:rsidP="00E1190A">
      <w:pPr>
        <w:pStyle w:val="Antrat1"/>
        <w:spacing w:after="0"/>
        <w:jc w:val="both"/>
        <w:rPr>
          <w:rFonts w:ascii="Times New Roman" w:hAnsi="Times New Roman" w:cs="Times New Roman"/>
          <w:bCs w:val="0"/>
          <w:lang w:val="lt-LT"/>
        </w:rPr>
      </w:pPr>
      <w:r>
        <w:rPr>
          <w:rFonts w:ascii="Times New Roman" w:hAnsi="Times New Roman" w:cs="Times New Roman"/>
          <w:bCs w:val="0"/>
          <w:lang w:val="lt-LT"/>
        </w:rPr>
        <w:t xml:space="preserve">5 STRAIPSNIS. Mokesčio tarifai </w:t>
      </w:r>
    </w:p>
    <w:p w14:paraId="6BB798CF" w14:textId="77777777" w:rsidR="00E1190A" w:rsidRPr="00C26FC4" w:rsidRDefault="0068038A" w:rsidP="00E1190A">
      <w:pPr>
        <w:tabs>
          <w:tab w:val="left" w:pos="720"/>
          <w:tab w:val="left" w:pos="1077"/>
          <w:tab w:val="left" w:pos="1418"/>
        </w:tabs>
        <w:spacing w:after="0"/>
        <w:jc w:val="both"/>
        <w:rPr>
          <w:bCs/>
          <w:i/>
          <w:szCs w:val="20"/>
          <w:lang w:val="lt-LT"/>
        </w:rPr>
      </w:pPr>
      <w:r>
        <w:rPr>
          <w:bCs/>
          <w:i/>
          <w:szCs w:val="20"/>
          <w:lang w:val="lt-LT"/>
        </w:rPr>
        <w:t>(</w:t>
      </w:r>
      <w:r w:rsidR="00E1190A" w:rsidRPr="00C26FC4">
        <w:rPr>
          <w:bCs/>
          <w:i/>
          <w:szCs w:val="20"/>
          <w:lang w:val="lt-LT"/>
        </w:rPr>
        <w:t xml:space="preserve">Pagal 2024 m. birželio 20  d. įstatymo Nr.  </w:t>
      </w:r>
      <w:r w:rsidR="00E1190A" w:rsidRPr="00C26FC4">
        <w:rPr>
          <w:i/>
          <w:color w:val="000000"/>
          <w:lang w:val="lt-LT"/>
        </w:rPr>
        <w:t>XIV-2774</w:t>
      </w:r>
      <w:r w:rsidR="00E1190A" w:rsidRPr="00C26FC4">
        <w:rPr>
          <w:i/>
          <w:lang w:val="lt-LT"/>
        </w:rPr>
        <w:t xml:space="preserve"> </w:t>
      </w:r>
      <w:r w:rsidR="00E1190A" w:rsidRPr="00C26FC4">
        <w:rPr>
          <w:bCs/>
          <w:i/>
          <w:szCs w:val="20"/>
          <w:lang w:val="lt-LT"/>
        </w:rPr>
        <w:t>redakciją; taikoma apskaičiuojant 2025 met</w:t>
      </w:r>
      <w:r>
        <w:rPr>
          <w:bCs/>
          <w:i/>
          <w:szCs w:val="20"/>
          <w:lang w:val="lt-LT"/>
        </w:rPr>
        <w:t>ų</w:t>
      </w:r>
      <w:r w:rsidR="00E1190A" w:rsidRPr="00C26FC4">
        <w:rPr>
          <w:bCs/>
          <w:i/>
          <w:szCs w:val="20"/>
          <w:lang w:val="lt-LT"/>
        </w:rPr>
        <w:t xml:space="preserve"> apmokestinamąjį pelną)</w:t>
      </w:r>
    </w:p>
    <w:p w14:paraId="7D6E38D4" w14:textId="77777777" w:rsidR="00E1190A" w:rsidRPr="00E1190A" w:rsidRDefault="00E1190A" w:rsidP="00E1190A">
      <w:pPr>
        <w:rPr>
          <w:lang w:val="lt-LT"/>
        </w:rPr>
      </w:pPr>
    </w:p>
    <w:p w14:paraId="08871222" w14:textId="77777777" w:rsidR="009E0403" w:rsidRDefault="009E0403" w:rsidP="009E0403">
      <w:pPr>
        <w:jc w:val="both"/>
        <w:rPr>
          <w:b/>
        </w:rPr>
      </w:pPr>
      <w:r>
        <w:rPr>
          <w:b/>
        </w:rPr>
        <w:t xml:space="preserve">           1. Taikomi šie pelno mokesčio tarifai:</w:t>
      </w:r>
    </w:p>
    <w:p w14:paraId="40CF523B" w14:textId="77777777" w:rsidR="009E0403" w:rsidRPr="00017F09" w:rsidRDefault="009E0403" w:rsidP="009E0403">
      <w:pPr>
        <w:ind w:firstLine="720"/>
        <w:jc w:val="both"/>
        <w:rPr>
          <w:b/>
          <w:lang w:val="lt-LT" w:eastAsia="lt-LT"/>
        </w:rPr>
      </w:pPr>
      <w:r w:rsidRPr="00017F09">
        <w:rPr>
          <w:b/>
          <w:lang w:val="lt-LT" w:eastAsia="lt-LT"/>
        </w:rPr>
        <w:t xml:space="preserve">1) Lietuvos vieneto, nuolatinių buveinių apmokestinamasis pelnas apmokestinamas taikant </w:t>
      </w:r>
      <w:r w:rsidRPr="00C26FC4">
        <w:rPr>
          <w:b/>
          <w:lang w:val="lt-LT" w:eastAsia="lt-LT"/>
        </w:rPr>
        <w:t>16 p</w:t>
      </w:r>
      <w:r w:rsidRPr="00017F09">
        <w:rPr>
          <w:b/>
          <w:lang w:val="lt-LT" w:eastAsia="lt-LT"/>
        </w:rPr>
        <w:t xml:space="preserve">rocentų </w:t>
      </w:r>
      <w:r w:rsidRPr="00017F09">
        <w:rPr>
          <w:b/>
          <w:color w:val="000000"/>
          <w:lang w:val="lt-LT" w:eastAsia="lt-LT"/>
        </w:rPr>
        <w:t>mokesčio</w:t>
      </w:r>
      <w:r w:rsidRPr="00017F09">
        <w:rPr>
          <w:b/>
          <w:lang w:val="lt-LT" w:eastAsia="lt-LT"/>
        </w:rPr>
        <w:t xml:space="preserve"> tarifą, jeigu šis Įstatymas nenustato ko kita;</w:t>
      </w:r>
    </w:p>
    <w:p w14:paraId="6C927DE5"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4AF49993" w14:textId="77777777" w:rsidR="009E0403" w:rsidRPr="00DD4E26" w:rsidRDefault="009E0403" w:rsidP="00DD4E26">
      <w:pPr>
        <w:tabs>
          <w:tab w:val="left" w:pos="720"/>
          <w:tab w:val="left" w:pos="1077"/>
          <w:tab w:val="left" w:pos="1418"/>
        </w:tabs>
        <w:jc w:val="both"/>
        <w:rPr>
          <w:bCs/>
          <w:i/>
          <w:szCs w:val="20"/>
          <w:lang w:val="lt-LT"/>
        </w:rPr>
      </w:pPr>
    </w:p>
    <w:p w14:paraId="24B47F16" w14:textId="77777777" w:rsidR="009E0403" w:rsidRPr="00017F09" w:rsidRDefault="009E0403" w:rsidP="009E0403">
      <w:pPr>
        <w:tabs>
          <w:tab w:val="left" w:pos="720"/>
          <w:tab w:val="left" w:pos="1077"/>
          <w:tab w:val="left" w:pos="1134"/>
          <w:tab w:val="left" w:pos="1418"/>
        </w:tabs>
        <w:ind w:right="-85" w:firstLine="720"/>
        <w:jc w:val="both"/>
        <w:rPr>
          <w:b/>
          <w:bCs/>
          <w:lang w:val="lt-LT"/>
        </w:rPr>
      </w:pPr>
      <w:r w:rsidRPr="00017F09">
        <w:rPr>
          <w:b/>
          <w:bCs/>
          <w:lang w:val="lt-LT"/>
        </w:rPr>
        <w:t>2) užsienio vienetų pajamos, kurių šaltinis yra Lietuvos Respublikoje, gautos ne per jų nuolatines buveines Lietuvos Respublikoje, išvardytos šio Įstatymo 4 straipsnio 4 dalies 3 ir 5 punktuose, apmokestinamos be atskaitymų taikant 10 procentų mokesčio tarifą, o išvardytos šio Įstatymo 4 straipsnio 4 dalies 4, 6 ir 7 punktuose, - taikant 1</w:t>
      </w:r>
      <w:r w:rsidRPr="002C1260">
        <w:rPr>
          <w:b/>
          <w:bCs/>
          <w:lang w:val="lt-LT"/>
        </w:rPr>
        <w:t>6</w:t>
      </w:r>
      <w:r w:rsidRPr="00017F09">
        <w:rPr>
          <w:b/>
          <w:bCs/>
          <w:lang w:val="lt-LT"/>
        </w:rPr>
        <w:t xml:space="preserve"> procentų mokesčio tarifą, jeigu šis Įstatymas nenustato ko kita. Užsienio vienetų, kurie yra įregistruoti ar kitaip organizuoti </w:t>
      </w:r>
      <w:r w:rsidRPr="00017F09">
        <w:rPr>
          <w:b/>
          <w:bCs/>
          <w:lang w:val="lt-LT"/>
        </w:rPr>
        <w:lastRenderedPageBreak/>
        <w:t>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neapmokestinamos. Užsienio vienetų, kurie nėra įregistruoti ar kitaip organizuoti Europos ekonominės erdvės valstybėje arba valstybėje, su kuria sudaryta ir taikoma dvigubo apmokestinimo išvengimo sutartis, pajamos, kurių šaltinis yra Lietuvos Respublikoje, gautos ne per jų nuolatines buveines Lietuvos Respublikoje, išvardytos šio Įstatymo 4 straipsnio 4 dalies 1 punkte, apmokestinamos be atskaitymų taikant 10 procentų mokesčio tarifą;</w:t>
      </w:r>
    </w:p>
    <w:p w14:paraId="3B7C2AEF"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2587F8A7" w14:textId="77777777" w:rsidR="009E0403" w:rsidRPr="00183317" w:rsidRDefault="009E0403" w:rsidP="0068038A">
      <w:pPr>
        <w:tabs>
          <w:tab w:val="left" w:pos="720"/>
          <w:tab w:val="left" w:pos="1077"/>
          <w:tab w:val="left" w:pos="1418"/>
        </w:tabs>
        <w:jc w:val="both"/>
        <w:rPr>
          <w:b/>
          <w:bCs/>
          <w:iCs/>
          <w:lang w:val="lt-LT"/>
        </w:rPr>
      </w:pPr>
      <w:r w:rsidRPr="00183317">
        <w:rPr>
          <w:b/>
          <w:bCs/>
          <w:iCs/>
          <w:lang w:val="lt-LT"/>
        </w:rPr>
        <w:t xml:space="preserve">Komentaras </w:t>
      </w:r>
    </w:p>
    <w:p w14:paraId="6C5AF2BC" w14:textId="77777777" w:rsidR="009E0403" w:rsidRPr="00DF0C52" w:rsidRDefault="009E0403" w:rsidP="009E0403">
      <w:pPr>
        <w:ind w:right="-82" w:firstLine="720"/>
        <w:jc w:val="both"/>
        <w:rPr>
          <w:lang w:val="lt-LT"/>
        </w:rPr>
      </w:pPr>
      <w:r w:rsidRPr="00183317">
        <w:rPr>
          <w:bCs/>
          <w:iCs/>
          <w:lang w:val="lt-LT"/>
        </w:rPr>
        <w:t>1. Užsienio vieneto pajamos apmokestinamos prie pajamų šaltinio be atskaitymų (užsienio vienetas turi teisę kreiptis</w:t>
      </w:r>
      <w:r w:rsidRPr="00017F09">
        <w:rPr>
          <w:bCs/>
          <w:lang w:val="lt-LT"/>
        </w:rPr>
        <w:t xml:space="preserve"> į vietos mokesčio administratorių, kurio veiklos teritorijoje yra įregistruotas dėl apskaičiuoto ir sumokėto pelno mokesčio už Lietuvos Respublikoje vykdomą atlikėjų ir sporto veiklą ir (arba) parduotą ar kitaip perleistą nuosavybėn turtą perskaičiavimo. Žr. PMĮ 54 straipsnio komentarą) taikant 1</w:t>
      </w:r>
      <w:r w:rsidRPr="002C1260">
        <w:rPr>
          <w:bCs/>
          <w:lang w:val="lt-LT"/>
        </w:rPr>
        <w:t>6</w:t>
      </w:r>
      <w:r>
        <w:rPr>
          <w:bCs/>
          <w:lang w:val="lt-LT"/>
        </w:rPr>
        <w:t xml:space="preserve"> </w:t>
      </w:r>
      <w:r w:rsidRPr="00017F09">
        <w:rPr>
          <w:bCs/>
          <w:lang w:val="lt-LT"/>
        </w:rPr>
        <w:t xml:space="preserve">proc. mokesčio </w:t>
      </w:r>
      <w:r w:rsidRPr="00DF0C52">
        <w:rPr>
          <w:lang w:val="lt-LT"/>
        </w:rPr>
        <w:t xml:space="preserve">tarifą, jeigu: </w:t>
      </w:r>
    </w:p>
    <w:p w14:paraId="781F0EDA" w14:textId="77777777" w:rsidR="009E0403" w:rsidRPr="00017F09" w:rsidRDefault="009E0403" w:rsidP="009E0403">
      <w:pPr>
        <w:ind w:right="-82" w:firstLine="720"/>
        <w:jc w:val="both"/>
        <w:rPr>
          <w:bCs/>
          <w:lang w:val="lt-LT"/>
        </w:rPr>
      </w:pPr>
      <w:r w:rsidRPr="00DF0C52">
        <w:rPr>
          <w:lang w:val="lt-LT"/>
        </w:rPr>
        <w:t>- tokias pajamas jis gauna ne per</w:t>
      </w:r>
      <w:r w:rsidRPr="00017F09">
        <w:rPr>
          <w:bCs/>
          <w:lang w:val="lt-LT"/>
        </w:rPr>
        <w:t xml:space="preserve"> savo nuolatinę buveinę Lietuvos Respublikoje ir </w:t>
      </w:r>
    </w:p>
    <w:p w14:paraId="5A89CB70" w14:textId="77777777" w:rsidR="009E0403" w:rsidRPr="00BB302F" w:rsidRDefault="009E0403" w:rsidP="00BB302F">
      <w:pPr>
        <w:tabs>
          <w:tab w:val="left" w:pos="709"/>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ind w:right="-85"/>
        <w:jc w:val="both"/>
        <w:rPr>
          <w:lang w:val="lt-LT" w:eastAsia="lt-LT"/>
        </w:rPr>
      </w:pPr>
      <w:r w:rsidRPr="00017F09">
        <w:rPr>
          <w:lang w:val="lt-LT"/>
        </w:rPr>
        <w:tab/>
        <w:t xml:space="preserve">- tokios pajamos yra išvardytos PMĮ 4 straipsnio 4 dalies 4, 6 ir 7 punktuose (t. y. pajamos už parduotą, kitokiu būdu perleistą nuosavybėn arba išnuomotą nekilnojamąjį pagal prigimtį daiktą, esantį Lietuvos Respublikos teritorijoje, </w:t>
      </w:r>
      <w:r w:rsidRPr="00017F09">
        <w:rPr>
          <w:lang w:val="lt-LT" w:eastAsia="lt-LT"/>
        </w:rPr>
        <w:t>pajamos už Lietuvos Respublikoje vykdomą atlikėjų ir sporto veiklą; metinės išmokos (tantjemos) už stebėtojų tarybos narių veiklą).</w:t>
      </w:r>
      <w:r w:rsidR="00BB302F">
        <w:rPr>
          <w:lang w:val="lt-LT" w:eastAsia="lt-LT"/>
        </w:rPr>
        <w:t xml:space="preserve"> </w:t>
      </w:r>
      <w:r>
        <w:rPr>
          <w:iCs/>
          <w:lang w:eastAsia="lt-LT"/>
        </w:rPr>
        <w:t>(PMĮ 5 straipsnio 1 d. 1 p. ir 2 p. 1 p. komentaras parengtas pagal VMI prie FM 2025-01-09 raštą Nr. (18.32-31-1 Mr)-R-80)</w:t>
      </w:r>
    </w:p>
    <w:p w14:paraId="734E6678"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2. Užsienio vieneto pajamos apmokestinamos prie pajamų šaltinio be atskaitymų taikant 10 proc. mokesčio tarifą, jeigu:</w:t>
      </w:r>
    </w:p>
    <w:p w14:paraId="21BE012E"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14017A8" w14:textId="77777777" w:rsidR="009E0403" w:rsidRDefault="009E0403" w:rsidP="009E040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5"/>
        <w:jc w:val="both"/>
      </w:pPr>
      <w:r>
        <w:tab/>
        <w:t xml:space="preserve">- tokios pajamos yra išvardytos PMĮ 4 straipsnio 4 dalies 3 ir 5 punktuose (t.y. </w:t>
      </w:r>
      <w:r>
        <w:rPr>
          <w:lang w:eastAsia="lt-LT"/>
        </w:rPr>
        <w:t>honorarai, kompensacijų už autorių arba gretutinių teisių pažeidimą pajamos</w:t>
      </w:r>
      <w:r>
        <w:t>).</w:t>
      </w:r>
    </w:p>
    <w:p w14:paraId="62D8489E"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3. Užsienio vieneto gaunamos palūkanos yra apmokestinamos prie pajamų šaltinio be atskaitymų taikant 10 proc. mokesčio tarifą, jeigu:</w:t>
      </w:r>
    </w:p>
    <w:p w14:paraId="1E66C545"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67AAA2CF"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 užsienio vienetas nėra įregistruotas ar kitaip organizuotas Europos ekonominės erdvės valstybėje arba valstybėje, su kuria sudaryta ir taikoma dvigubo apmokestinimo išvengimo sutartis.</w:t>
      </w:r>
    </w:p>
    <w:p w14:paraId="1834C8A0" w14:textId="77777777" w:rsidR="009E0403" w:rsidRDefault="009E0403" w:rsidP="009E0403">
      <w:pPr>
        <w:tabs>
          <w:tab w:val="left" w:pos="720"/>
          <w:tab w:val="left" w:pos="1077"/>
          <w:tab w:val="left" w:pos="1134"/>
          <w:tab w:val="left" w:pos="1418"/>
        </w:tabs>
        <w:ind w:right="-85" w:firstLine="720"/>
        <w:jc w:val="both"/>
        <w:rPr>
          <w:rFonts w:ascii="TimesLT" w:hAnsi="TimesLT" w:cs="Arial Unicode MS"/>
          <w:bCs/>
        </w:rPr>
      </w:pPr>
      <w:r>
        <w:rPr>
          <w:rFonts w:ascii="TimesLT" w:hAnsi="TimesLT" w:cs="Arial Unicode MS"/>
          <w:bCs/>
        </w:rPr>
        <w:t>4. Užsienio vieneto gaunamos palūkanos neapmokestinamos mokesčiu prie pajamų šaltinio, jeigu:</w:t>
      </w:r>
    </w:p>
    <w:p w14:paraId="3C016B68"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w:t>
      </w:r>
      <w:r>
        <w:rPr>
          <w:rFonts w:ascii="TimesLT" w:hAnsi="TimesLT" w:cs="Arial Unicode MS"/>
          <w:bCs/>
        </w:rPr>
        <w:tab/>
        <w:t xml:space="preserve"> tokias pajamas jis gauna ne per savo nuolatinę buveinę Lietuvos Respublikoje ir </w:t>
      </w:r>
    </w:p>
    <w:p w14:paraId="1D8240FC"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 užsienio vienetas yra įregistruotas ar kitaip organizuotas Europos ekonominės erdvės valstybėje arba valstybėje, su kuria sudaryta ir taikoma dvigubo apmokestinimo išvengimo sutartis.</w:t>
      </w:r>
    </w:p>
    <w:p w14:paraId="2903D2F9" w14:textId="77777777" w:rsidR="009E0403"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bCs/>
        </w:rPr>
        <w:t xml:space="preserve">5. Tuo atveju, jei Lietuvos vienetas išmoka palūkanas Europos ekonominės erdvės valstybėse arba valstybėse, su kuriomis sudarytos ir taikomos dvigubo apmokestinimo išvengimo sutartys, įregistruotiems užsienio vienetams per jų rezidavimo šalyse įsisteigusius tarpininkus, t. y. bankus ar finansų maklerių įmones, tai toks vienetas gali neapmokestinti palūkanų tik tuo atveju, jei jis turi užsienio tarpininkų pateiktą sąrašą su atskleistais faktiškaisiais palūkanų savininkais bei turi aiškią, </w:t>
      </w:r>
      <w:r>
        <w:rPr>
          <w:rFonts w:ascii="TimesLT" w:hAnsi="TimesLT" w:cs="Arial Unicode MS"/>
          <w:bCs/>
        </w:rPr>
        <w:lastRenderedPageBreak/>
        <w:t xml:space="preserve">nedviprasmišką, su šias pajamas gaunančiais užsienio vienetais susijusią informaciją: užsienio vieneto (palūkanų gavėjo) pavadinimas, identifikacinis numeris, adresas, valstybė, kurioje šis vienetas yra registruotas ar kitaip organizuotas. Tuo atveju, jei Lietuvos vienetas išmoka palūkanas tarpininkui ir neturi įrodymų apie palūkanų gavėjus, tai toks vienetas nuo išmokamų palūkanų privalo išskaityti 10 proc. pelno mokestį bei jį sumokėti į biudžetą. </w:t>
      </w:r>
    </w:p>
    <w:p w14:paraId="12C1629E" w14:textId="77777777" w:rsidR="009E0403" w:rsidRPr="00F56688" w:rsidRDefault="009E0403" w:rsidP="009E0403">
      <w:pPr>
        <w:tabs>
          <w:tab w:val="left" w:pos="720"/>
          <w:tab w:val="left" w:pos="851"/>
          <w:tab w:val="left" w:pos="1134"/>
          <w:tab w:val="left" w:pos="1418"/>
        </w:tabs>
        <w:ind w:right="-85" w:firstLine="720"/>
        <w:jc w:val="both"/>
        <w:rPr>
          <w:rFonts w:ascii="TimesLT" w:hAnsi="TimesLT" w:cs="Arial Unicode MS"/>
          <w:bCs/>
        </w:rPr>
      </w:pPr>
      <w:r>
        <w:rPr>
          <w:rFonts w:ascii="TimesLT" w:hAnsi="TimesLT" w:cs="Arial Unicode MS"/>
        </w:rPr>
        <w:t>6. Vadovaujantis PMĮ 2 straipsnio 2 dalimi, užsienio vienetas - tai</w:t>
      </w:r>
      <w:r>
        <w:rPr>
          <w:rFonts w:ascii="TimesLT" w:hAnsi="TimesLT" w:cs="Arial Unicode MS"/>
          <w:lang w:eastAsia="lt-LT"/>
        </w:rPr>
        <w:t xml:space="preserve"> užsienio valstybės juridinis asmuo ar organizacija, kurių buveinė yra užsienio valstybėje ir kurie įsteigti arba kitokiu būdu organizuoti pagal užsienio valstybės teisės aktus, taip pat bet kuris kitas užsienyje įsteigtas, įkurtas ar kitaip organizuotas apmokestinamasis vienetas. Todėl tuo</w:t>
      </w:r>
      <w:r>
        <w:rPr>
          <w:rFonts w:ascii="TimesLT" w:hAnsi="TimesLT" w:cs="Arial Unicode MS"/>
          <w:bCs/>
        </w:rPr>
        <w:t xml:space="preserve"> atveju, kai palūkanos mokamos užsienio vieneto nuolatinei buveinei, kuri yra Europos ekonominės erdvės valstybėje, arba valstybėje, su kuria sudaryta ir taikoma dvigubo apmokestinimo išvengimo sutartis, o toks užsienio vienetas yra įregistruotas ar kitaip organizuotas valstybėje, kuri nėra Europos ekonominės erdvės valstybė, ir su šia valstybe nėra sudaryta ir taikoma dvigubo apmokestinimo išvengimo sutartis, tokios palūkanos yra apmokestinamos prie pajamų šaltinio, taikant 10 proc. mokesčio tarifą.</w:t>
      </w:r>
    </w:p>
    <w:p w14:paraId="1FF0F7CE" w14:textId="77777777" w:rsidR="009E0403" w:rsidRDefault="009E0403" w:rsidP="009E0403">
      <w:pPr>
        <w:tabs>
          <w:tab w:val="left" w:pos="720"/>
          <w:tab w:val="left" w:pos="1077"/>
          <w:tab w:val="left" w:pos="1418"/>
          <w:tab w:val="left" w:pos="9356"/>
        </w:tabs>
        <w:jc w:val="both"/>
        <w:rPr>
          <w:rFonts w:ascii="TimesLT" w:hAnsi="TimesLT" w:cs="Arial Unicode MS"/>
          <w:b/>
        </w:rPr>
      </w:pPr>
      <w:r>
        <w:rPr>
          <w:b/>
        </w:rPr>
        <w:tab/>
        <w:t>3</w:t>
      </w:r>
      <w:r w:rsidRPr="00E673AF">
        <w:rPr>
          <w:rFonts w:ascii="TimesLT" w:hAnsi="TimesLT" w:cs="Arial Unicode MS"/>
          <w:b/>
          <w:lang w:val="lt-LT"/>
        </w:rPr>
        <w:t>) pajamos iš paskirstytojo pelno apmokestinamos taikant 1</w:t>
      </w:r>
      <w:r w:rsidRPr="002C1260">
        <w:rPr>
          <w:rFonts w:ascii="TimesLT" w:hAnsi="TimesLT" w:cs="Arial Unicode MS"/>
          <w:b/>
          <w:lang w:val="lt-LT"/>
        </w:rPr>
        <w:t>6</w:t>
      </w:r>
      <w:r w:rsidRPr="00E673AF">
        <w:rPr>
          <w:rFonts w:ascii="TimesLT" w:hAnsi="TimesLT" w:cs="Arial Unicode MS"/>
          <w:b/>
          <w:lang w:val="lt-LT"/>
        </w:rPr>
        <w:t xml:space="preserve"> procentų mokesčio tarifą.</w:t>
      </w:r>
    </w:p>
    <w:p w14:paraId="7A5F5A59" w14:textId="77777777" w:rsidR="0068038A" w:rsidRPr="00C26FC4" w:rsidRDefault="009E0403" w:rsidP="0068038A">
      <w:pPr>
        <w:tabs>
          <w:tab w:val="left" w:pos="720"/>
          <w:tab w:val="left" w:pos="1077"/>
          <w:tab w:val="left" w:pos="1418"/>
        </w:tabs>
        <w:spacing w:after="0"/>
        <w:jc w:val="both"/>
        <w:rPr>
          <w:bCs/>
          <w:i/>
          <w:szCs w:val="20"/>
          <w:lang w:val="lt-LT"/>
        </w:rPr>
      </w:pPr>
      <w:r>
        <w:rPr>
          <w:b/>
          <w:bCs/>
          <w:i/>
          <w:szCs w:val="20"/>
          <w:lang w:val="lt-LT"/>
        </w:rPr>
        <w:tab/>
      </w:r>
      <w:r w:rsidR="0068038A">
        <w:rPr>
          <w:b/>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719F13C" w14:textId="77777777" w:rsidR="009E0403" w:rsidRPr="00EA5331" w:rsidRDefault="009E0403" w:rsidP="009E0403">
      <w:pPr>
        <w:tabs>
          <w:tab w:val="left" w:pos="720"/>
          <w:tab w:val="left" w:pos="1077"/>
          <w:tab w:val="left" w:pos="1418"/>
        </w:tabs>
        <w:jc w:val="both"/>
        <w:rPr>
          <w:bCs/>
          <w:i/>
          <w:szCs w:val="20"/>
        </w:rPr>
      </w:pPr>
    </w:p>
    <w:p w14:paraId="794849A9" w14:textId="77777777" w:rsidR="009E0403" w:rsidRDefault="009E0403" w:rsidP="009E0403">
      <w:pPr>
        <w:spacing w:before="100" w:after="100"/>
        <w:ind w:firstLine="720"/>
        <w:jc w:val="both"/>
        <w:rPr>
          <w:iCs/>
          <w:lang w:val="lt-LT"/>
        </w:rPr>
      </w:pPr>
      <w:r>
        <w:rPr>
          <w:b/>
          <w:bCs/>
          <w:iCs/>
          <w:lang w:val="lt-LT"/>
        </w:rPr>
        <w:t>Komentaras</w:t>
      </w:r>
    </w:p>
    <w:p w14:paraId="653EC171" w14:textId="77777777" w:rsidR="009E0403" w:rsidRPr="0081358A" w:rsidRDefault="009E0403" w:rsidP="009E0403">
      <w:pPr>
        <w:ind w:right="-82" w:firstLine="720"/>
        <w:jc w:val="both"/>
        <w:rPr>
          <w:lang w:val="lt-LT"/>
        </w:rPr>
      </w:pPr>
      <w:r w:rsidRPr="0081358A">
        <w:rPr>
          <w:lang w:val="lt-LT"/>
        </w:rPr>
        <w:t>1. Pajamų iš paskirstytojo pelno apmokestinimo tvarka nustatyta PMĮ VII skyriuje ,,Dividendų ir kito paskirstytojo pelno apmokestinimo tvarka“ (žr. PMĮ 33-35 straipsnių komentarus).</w:t>
      </w:r>
    </w:p>
    <w:p w14:paraId="338FFF5E" w14:textId="77777777" w:rsidR="009E0403" w:rsidRPr="00EC4AE3" w:rsidRDefault="009E0403" w:rsidP="009E0403">
      <w:pPr>
        <w:ind w:right="-82" w:firstLine="720"/>
        <w:jc w:val="both"/>
        <w:rPr>
          <w:lang w:val="lt-LT"/>
        </w:rPr>
      </w:pPr>
      <w:r w:rsidRPr="0081358A">
        <w:rPr>
          <w:lang w:val="lt-LT"/>
        </w:rPr>
        <w:t>2. Iš paskirstytojo pelno gautos pajamos apmokestinamos 1</w:t>
      </w:r>
      <w:r w:rsidRPr="002C1260">
        <w:rPr>
          <w:lang w:val="lt-LT"/>
        </w:rPr>
        <w:t>6</w:t>
      </w:r>
      <w:r w:rsidRPr="0081358A">
        <w:rPr>
          <w:lang w:val="lt-LT"/>
        </w:rPr>
        <w:t xml:space="preserve"> proc. pelno mokesčio tarifu, išskyrus tam tikras išimtis nustatytas PMĮ 33-35 straipsniuose.</w:t>
      </w:r>
    </w:p>
    <w:p w14:paraId="36448188" w14:textId="77777777" w:rsidR="009E0403" w:rsidRPr="00183317" w:rsidRDefault="009E0403" w:rsidP="009E0403">
      <w:pPr>
        <w:ind w:firstLine="720"/>
        <w:jc w:val="both"/>
        <w:rPr>
          <w:b/>
          <w:lang w:val="lt-LT"/>
        </w:rPr>
      </w:pPr>
      <w:r>
        <w:rPr>
          <w:rFonts w:ascii="TimesLT" w:hAnsi="TimesLT" w:cs="Arial Unicode MS"/>
          <w:b/>
        </w:rPr>
        <w:t xml:space="preserve">  </w:t>
      </w:r>
      <w:r w:rsidRPr="00183317">
        <w:rPr>
          <w:b/>
          <w:lang w:val="lt-LT"/>
        </w:rPr>
        <w:t>4) gauta parama, panaudota ne pagal Lietuvos Respublikos labdaros ir paramos įstatyme nustatytą paramos paskirtį, taip pat iš vieno paramos teikėjo per mokestinį laikotarpį grynais pinigais gautos paramos dalis, viršijanti 250 MGL dydžio sumą, apmokestinama be atskaitymų, taikant 1</w:t>
      </w:r>
      <w:r w:rsidRPr="002C1260">
        <w:rPr>
          <w:b/>
          <w:lang w:val="lt-LT"/>
        </w:rPr>
        <w:t>6</w:t>
      </w:r>
      <w:r w:rsidRPr="00183317">
        <w:rPr>
          <w:b/>
          <w:lang w:val="lt-LT"/>
        </w:rPr>
        <w:t xml:space="preserve"> procentų mokesčio tarifą.</w:t>
      </w:r>
    </w:p>
    <w:p w14:paraId="7D2A03B6" w14:textId="77777777" w:rsidR="009E0403" w:rsidRPr="00EC4AE3" w:rsidRDefault="009E0403" w:rsidP="0068038A">
      <w:pPr>
        <w:tabs>
          <w:tab w:val="left" w:pos="720"/>
          <w:tab w:val="left" w:pos="1077"/>
          <w:tab w:val="left" w:pos="1418"/>
        </w:tabs>
        <w:spacing w:after="0"/>
        <w:jc w:val="both"/>
        <w:rPr>
          <w:bCs/>
          <w:i/>
          <w:szCs w:val="20"/>
          <w:lang w:val="lt-LT"/>
        </w:rPr>
      </w:pPr>
      <w:r>
        <w:rPr>
          <w:b/>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4FDD5DFE" w14:textId="77777777" w:rsidR="009E0403" w:rsidRDefault="009E0403" w:rsidP="009E0403">
      <w:pPr>
        <w:spacing w:before="100" w:after="100"/>
        <w:ind w:firstLine="720"/>
        <w:jc w:val="both"/>
        <w:rPr>
          <w:iCs/>
          <w:lang w:val="lt-LT"/>
        </w:rPr>
      </w:pPr>
      <w:r>
        <w:rPr>
          <w:b/>
          <w:bCs/>
          <w:iCs/>
          <w:lang w:val="lt-LT"/>
        </w:rPr>
        <w:t>Komentaras</w:t>
      </w:r>
    </w:p>
    <w:p w14:paraId="7A6BC34B" w14:textId="77777777" w:rsidR="009E0403" w:rsidRPr="002B3757" w:rsidRDefault="009E0403" w:rsidP="009E0403">
      <w:pPr>
        <w:ind w:right="-82" w:firstLine="720"/>
        <w:jc w:val="both"/>
        <w:rPr>
          <w:lang w:val="lt-LT"/>
        </w:rPr>
      </w:pPr>
      <w:r w:rsidRPr="002B3757">
        <w:rPr>
          <w:lang w:val="lt-LT"/>
        </w:rPr>
        <w:t xml:space="preserve">Pagal PMĮ 4 straipsnio 6 dalį pelno mokesčio mokestinei bazei (pajamoms) priskirtos sumos (panaudotos ne pagal Lietuvos Respublikos labdaros ir paramos įstatyme nustatytą paramos paskirtį, taip pat iš vieno paramos teikėjo per mokestinį laikotarpį grynais pinigais gautos paramos dalis, viršijanti 250 MGL dydžio sumą) </w:t>
      </w:r>
      <w:r w:rsidRPr="002B3757">
        <w:rPr>
          <w:bCs/>
          <w:lang w:val="lt-LT"/>
        </w:rPr>
        <w:t>apmokestinama be atskaitymų</w:t>
      </w:r>
      <w:r w:rsidRPr="002B3757">
        <w:rPr>
          <w:lang w:val="lt-LT"/>
        </w:rPr>
        <w:t>, taikant </w:t>
      </w:r>
      <w:r w:rsidRPr="00031CE9">
        <w:rPr>
          <w:lang w:val="lt-LT"/>
        </w:rPr>
        <w:t>16</w:t>
      </w:r>
      <w:r w:rsidRPr="002B3757">
        <w:rPr>
          <w:lang w:val="lt-LT"/>
        </w:rPr>
        <w:t xml:space="preserve"> proc. pelno mokesčio tarifą.</w:t>
      </w:r>
    </w:p>
    <w:p w14:paraId="13301547" w14:textId="77777777" w:rsidR="009E0403" w:rsidRPr="00BF1018" w:rsidRDefault="009E0403" w:rsidP="009E0403">
      <w:pPr>
        <w:ind w:right="-82" w:firstLine="720"/>
        <w:jc w:val="both"/>
        <w:rPr>
          <w:lang w:val="lt-LT"/>
        </w:rPr>
      </w:pPr>
      <w:r w:rsidRPr="00BF1018">
        <w:rPr>
          <w:lang w:val="lt-LT"/>
        </w:rPr>
        <w:t>Pavyzdys</w:t>
      </w:r>
    </w:p>
    <w:p w14:paraId="36ACF02D" w14:textId="77777777" w:rsidR="009E0403" w:rsidRPr="002C1260" w:rsidRDefault="009E0403" w:rsidP="009E0403">
      <w:pPr>
        <w:pBdr>
          <w:top w:val="single" w:sz="4" w:space="0" w:color="auto"/>
          <w:left w:val="single" w:sz="4" w:space="0" w:color="auto"/>
          <w:bottom w:val="single" w:sz="4" w:space="1" w:color="auto"/>
          <w:right w:val="single" w:sz="4" w:space="0" w:color="auto"/>
        </w:pBdr>
        <w:ind w:right="-82" w:firstLine="720"/>
        <w:jc w:val="both"/>
        <w:rPr>
          <w:lang w:val="lt-LT"/>
        </w:rPr>
      </w:pPr>
      <w:r w:rsidRPr="002C1260">
        <w:rPr>
          <w:lang w:val="lt-LT"/>
        </w:rPr>
        <w:t xml:space="preserve">Viešoji įstaiga iš akcinės bendrovės X per mokestinį laikotarpį grynais pinigais gavo </w:t>
      </w:r>
      <w:r>
        <w:rPr>
          <w:lang w:val="lt-LT"/>
        </w:rPr>
        <w:t>19</w:t>
      </w:r>
      <w:r w:rsidRPr="002C1260">
        <w:rPr>
          <w:lang w:val="lt-LT"/>
        </w:rPr>
        <w:t> 500 Eur paramą. 2025 metų 250 MGL</w:t>
      </w:r>
      <w:r w:rsidRPr="002C1260">
        <w:rPr>
          <w:szCs w:val="20"/>
          <w:lang w:val="lt-LT"/>
        </w:rPr>
        <w:t xml:space="preserve"> (</w:t>
      </w:r>
      <w:r w:rsidRPr="002C1260">
        <w:rPr>
          <w:lang w:val="lt-LT"/>
        </w:rPr>
        <w:t>bazinė socialinė išmoka)</w:t>
      </w:r>
      <w:r w:rsidRPr="002C1260">
        <w:rPr>
          <w:szCs w:val="20"/>
          <w:lang w:val="lt-LT"/>
        </w:rPr>
        <w:t xml:space="preserve"> </w:t>
      </w:r>
      <w:r w:rsidRPr="002C1260">
        <w:rPr>
          <w:lang w:val="lt-LT"/>
        </w:rPr>
        <w:t>yra 1</w:t>
      </w:r>
      <w:r>
        <w:rPr>
          <w:lang w:val="lt-LT"/>
        </w:rPr>
        <w:t>7 50</w:t>
      </w:r>
      <w:r w:rsidRPr="002C1260">
        <w:rPr>
          <w:lang w:val="lt-LT"/>
        </w:rPr>
        <w:t>0 Eur (</w:t>
      </w:r>
      <w:r>
        <w:rPr>
          <w:lang w:val="lt-LT"/>
        </w:rPr>
        <w:t>70</w:t>
      </w:r>
      <w:r w:rsidRPr="002C1260">
        <w:rPr>
          <w:lang w:val="lt-LT"/>
        </w:rPr>
        <w:t xml:space="preserve"> Eur x 250). Gautą paramą viešoji įstaiga panaudojo savo įstatuose numatytai veiklai vykdyti. Vadovaujantis PMĮ 5 str. 1 dalies 4 punktu, visa 250 MGL dydžio sumą viršijanti grynais pinigais gautos paramos dalis, t. y. </w:t>
      </w:r>
      <w:r>
        <w:rPr>
          <w:lang w:val="lt-LT"/>
        </w:rPr>
        <w:t xml:space="preserve">    2 000</w:t>
      </w:r>
      <w:r w:rsidRPr="002C1260">
        <w:rPr>
          <w:lang w:val="lt-LT"/>
        </w:rPr>
        <w:t xml:space="preserve"> Eur (1</w:t>
      </w:r>
      <w:r>
        <w:rPr>
          <w:lang w:val="lt-LT"/>
        </w:rPr>
        <w:t>9</w:t>
      </w:r>
      <w:r w:rsidRPr="002C1260">
        <w:rPr>
          <w:lang w:val="lt-LT"/>
        </w:rPr>
        <w:t xml:space="preserve"> 500 Eur – </w:t>
      </w:r>
      <w:r>
        <w:rPr>
          <w:lang w:val="lt-LT"/>
        </w:rPr>
        <w:t>17 500</w:t>
      </w:r>
      <w:r w:rsidRPr="002C1260">
        <w:rPr>
          <w:lang w:val="lt-LT"/>
        </w:rPr>
        <w:t xml:space="preserve"> Eur), priskiriama pelno mokesčio bazei, neatsižvelgiant į gautos paramos panaudojimą. Todėl viešoji įstaiga nuo mokesčio bazei (pajamoms) priskirtų </w:t>
      </w:r>
      <w:r>
        <w:rPr>
          <w:lang w:val="lt-LT"/>
        </w:rPr>
        <w:t>2 000</w:t>
      </w:r>
      <w:r w:rsidRPr="002C1260">
        <w:rPr>
          <w:lang w:val="lt-LT"/>
        </w:rPr>
        <w:t xml:space="preserve"> Eur privalo apskaičiuoti ir sumokėti  </w:t>
      </w:r>
      <w:r>
        <w:rPr>
          <w:lang w:val="lt-LT"/>
        </w:rPr>
        <w:t xml:space="preserve">320 </w:t>
      </w:r>
      <w:r w:rsidRPr="002C1260">
        <w:rPr>
          <w:lang w:val="lt-LT"/>
        </w:rPr>
        <w:t>Eur (</w:t>
      </w:r>
      <w:r>
        <w:rPr>
          <w:lang w:val="lt-LT"/>
        </w:rPr>
        <w:t>2 000</w:t>
      </w:r>
      <w:r w:rsidRPr="002C1260">
        <w:rPr>
          <w:lang w:val="lt-LT"/>
        </w:rPr>
        <w:t xml:space="preserve"> Eur x 16 proc.) pelno mokestį.</w:t>
      </w:r>
    </w:p>
    <w:p w14:paraId="2386CEB5" w14:textId="77777777" w:rsidR="009E0403" w:rsidRPr="002D57A4" w:rsidRDefault="009E0403" w:rsidP="009E0403">
      <w:pPr>
        <w:jc w:val="both"/>
        <w:rPr>
          <w:rFonts w:ascii="Trebuchet MS" w:hAnsi="Trebuchet MS"/>
          <w:sz w:val="20"/>
          <w:szCs w:val="22"/>
          <w:lang w:val="lt-LT"/>
        </w:rPr>
      </w:pPr>
      <w:r>
        <w:rPr>
          <w:b/>
          <w:i/>
        </w:rPr>
        <w:lastRenderedPageBreak/>
        <w:t xml:space="preserve">  </w:t>
      </w:r>
      <w:r>
        <w:rPr>
          <w:iCs/>
          <w:lang w:eastAsia="lt-LT"/>
        </w:rPr>
        <w:t>(PMĮ 5 straipsnio 1 d. 3, 4 p.  komentaras parengtas pagal VMI prie FM 2025-01-09 raštą Nr. (18.32-31-1 Mr)-R-80)</w:t>
      </w:r>
    </w:p>
    <w:p w14:paraId="05B4BFDD" w14:textId="77777777" w:rsidR="009E0403" w:rsidRPr="00C268C0" w:rsidRDefault="009E0403" w:rsidP="009E0403">
      <w:pPr>
        <w:ind w:firstLine="720"/>
        <w:jc w:val="both"/>
        <w:rPr>
          <w:b/>
          <w:bCs/>
          <w:sz w:val="22"/>
          <w:szCs w:val="22"/>
          <w:lang w:val="lt-LT"/>
        </w:rPr>
      </w:pPr>
      <w:r w:rsidRPr="00C268C0">
        <w:rPr>
          <w:b/>
          <w:bCs/>
          <w:lang w:val="lt-LT"/>
        </w:rPr>
        <w:t xml:space="preserve">2. Vienetų, kuriuose vidutinis sąrašuose esančių darbuotojų skaičius neviršija 10 žmonių ir mokestinio laikotarpio pajamos neviršija 300 000 eurų, pirmojo mokestinio laikotarpio apmokestinamasis pelnas apmokestinamas taikant 0 procentų mokesčio tarifą, kitų mokestinių laikotarpių apmokestinamasis pelnas – </w:t>
      </w:r>
      <w:r w:rsidRPr="00031C2E">
        <w:rPr>
          <w:b/>
          <w:bCs/>
          <w:lang w:val="lt-LT"/>
        </w:rPr>
        <w:t>taikant 6 procentų</w:t>
      </w:r>
      <w:r w:rsidRPr="00C268C0">
        <w:rPr>
          <w:b/>
          <w:bCs/>
          <w:lang w:val="lt-LT"/>
        </w:rPr>
        <w:t xml:space="preserve"> mokesčio tarifą, išskyrus šio straipsnio 3 dalyje nustatytus atvejus. Šioje dalyje nustatytas 0 procentų mokesčio tarifas taikomas tik tokiam vienetui, kurio dalyvis (dalyviai) yra fizinis asmuo (fiziniai asmenys), ir tik tuo atveju, kai per tris vienas po kito einančius mokestinius laikotarpius, įskaitant pirmąjį mokestinį laikotarpį: vieneto veikla nėra sustabdoma, vienetas nėra likviduojamas, reorganizuojamas ir vieneto akcijos (dalys, pajai) nėra perleidžiamos naujiems dalyviams.</w:t>
      </w:r>
    </w:p>
    <w:p w14:paraId="0231270E"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2B3E62E" w14:textId="77777777" w:rsidR="009E0403" w:rsidRPr="008C104A" w:rsidRDefault="009E0403" w:rsidP="009E0403">
      <w:pPr>
        <w:tabs>
          <w:tab w:val="left" w:pos="720"/>
          <w:tab w:val="left" w:pos="1077"/>
          <w:tab w:val="left" w:pos="1418"/>
        </w:tabs>
        <w:jc w:val="both"/>
        <w:rPr>
          <w:bCs/>
          <w:i/>
          <w:szCs w:val="20"/>
          <w:lang w:val="lt-LT"/>
        </w:rPr>
      </w:pPr>
    </w:p>
    <w:p w14:paraId="3A923EFE" w14:textId="77777777" w:rsidR="009E0403" w:rsidRPr="00550091" w:rsidRDefault="009E0403" w:rsidP="009E0403">
      <w:pPr>
        <w:spacing w:before="100" w:after="100"/>
        <w:ind w:firstLine="720"/>
        <w:jc w:val="both"/>
        <w:rPr>
          <w:b/>
          <w:bCs/>
          <w:iCs/>
          <w:lang w:val="lt-LT"/>
        </w:rPr>
      </w:pPr>
      <w:r w:rsidRPr="00550091">
        <w:rPr>
          <w:b/>
          <w:bCs/>
          <w:iCs/>
          <w:lang w:val="lt-LT"/>
        </w:rPr>
        <w:t xml:space="preserve">Komentaras </w:t>
      </w:r>
    </w:p>
    <w:p w14:paraId="17875D4F" w14:textId="77777777" w:rsidR="009E0403" w:rsidRPr="00550091" w:rsidRDefault="009E0403" w:rsidP="009E0403">
      <w:pPr>
        <w:ind w:right="-82" w:firstLine="720"/>
        <w:jc w:val="both"/>
        <w:rPr>
          <w:lang w:val="lt-LT"/>
        </w:rPr>
      </w:pPr>
      <w:r w:rsidRPr="00550091">
        <w:rPr>
          <w:bCs/>
          <w:iCs/>
          <w:lang w:val="lt-LT"/>
        </w:rPr>
        <w:t>1. Apmokestinti</w:t>
      </w:r>
      <w:r w:rsidRPr="00550091">
        <w:rPr>
          <w:lang w:val="lt-LT"/>
        </w:rPr>
        <w:t xml:space="preserve"> apmokestinamąjį </w:t>
      </w:r>
      <w:r w:rsidRPr="00031C2E">
        <w:rPr>
          <w:lang w:val="lt-LT"/>
        </w:rPr>
        <w:t>pelną 6 pr</w:t>
      </w:r>
      <w:r w:rsidRPr="00550091">
        <w:rPr>
          <w:lang w:val="lt-LT"/>
        </w:rPr>
        <w:t>oc. mokesčio tarifu vienetai gali tuo atveju, jei tie vienetai atitinka 3 sąlygas:</w:t>
      </w:r>
    </w:p>
    <w:p w14:paraId="3F135AAB" w14:textId="77777777" w:rsidR="009E0403" w:rsidRPr="00550091" w:rsidRDefault="009E0403" w:rsidP="009E0403">
      <w:pPr>
        <w:ind w:right="-82" w:firstLine="720"/>
        <w:jc w:val="both"/>
        <w:rPr>
          <w:lang w:val="lt-LT"/>
        </w:rPr>
      </w:pPr>
      <w:r w:rsidRPr="00550091">
        <w:rPr>
          <w:lang w:val="lt-LT"/>
        </w:rPr>
        <w:t xml:space="preserve">1) vidutinis sąrašuose esančių darbuotojų skaičius ne didesnis kaip 10 žmonių, t. y. mažiau arba lygus 10; </w:t>
      </w:r>
    </w:p>
    <w:p w14:paraId="648A2A16" w14:textId="77777777" w:rsidR="009E0403" w:rsidRPr="00550091" w:rsidRDefault="009E0403" w:rsidP="009E0403">
      <w:pPr>
        <w:ind w:firstLine="709"/>
        <w:jc w:val="both"/>
        <w:rPr>
          <w:lang w:val="lt-LT"/>
        </w:rPr>
      </w:pPr>
      <w:r w:rsidRPr="00550091">
        <w:rPr>
          <w:lang w:val="lt-LT"/>
        </w:rPr>
        <w:t>2) mokestinio laikotarpio pajamos ne didesnės kaip 300 000 Eur;</w:t>
      </w:r>
    </w:p>
    <w:p w14:paraId="237D7146" w14:textId="77777777" w:rsidR="009E0403" w:rsidRPr="00550091" w:rsidRDefault="009E0403" w:rsidP="009E0403">
      <w:pPr>
        <w:ind w:right="26" w:firstLine="709"/>
        <w:jc w:val="both"/>
        <w:rPr>
          <w:lang w:val="lt-LT"/>
        </w:rPr>
      </w:pPr>
      <w:r w:rsidRPr="00550091">
        <w:rPr>
          <w:lang w:val="lt-LT"/>
        </w:rPr>
        <w:t xml:space="preserve">3) vienetas neatitinka </w:t>
      </w:r>
      <w:hyperlink r:id="rId48" w:history="1">
        <w:r w:rsidRPr="00550091">
          <w:rPr>
            <w:rStyle w:val="Hipersaitas"/>
            <w:lang w:val="lt-LT"/>
          </w:rPr>
          <w:t>PMĮ</w:t>
        </w:r>
      </w:hyperlink>
      <w:r w:rsidRPr="00550091">
        <w:rPr>
          <w:lang w:val="lt-LT"/>
        </w:rPr>
        <w:t xml:space="preserve"> 5 str. 3 dalyje nustatytų sąlygų (žr. PMĮ 5 str. 3 dalies komentarą).</w:t>
      </w:r>
    </w:p>
    <w:p w14:paraId="1E6F57C2" w14:textId="77777777" w:rsidR="009E0403" w:rsidRPr="008C104A" w:rsidRDefault="009E0403" w:rsidP="009E0403">
      <w:pPr>
        <w:jc w:val="both"/>
        <w:rPr>
          <w:rFonts w:ascii="Trebuchet MS" w:hAnsi="Trebuchet MS"/>
          <w:sz w:val="20"/>
          <w:szCs w:val="22"/>
          <w:lang w:val="lt-LT"/>
        </w:rPr>
      </w:pPr>
      <w:r>
        <w:rPr>
          <w:iCs/>
          <w:lang w:eastAsia="lt-LT"/>
        </w:rPr>
        <w:t>(PMĮ 5  straipsnio 2 d. 1 p. komentaras parengtas pagal VMI prie FM 2025-01-09 raštą Nr. (18.32-31-1 Mr)-R-80)</w:t>
      </w:r>
    </w:p>
    <w:p w14:paraId="30867256" w14:textId="77777777" w:rsidR="009E0403" w:rsidRDefault="009E0403" w:rsidP="009E0403">
      <w:pPr>
        <w:ind w:firstLine="709"/>
        <w:jc w:val="both"/>
      </w:pPr>
      <w:r>
        <w:t xml:space="preserve">2. Vidutinis sąrašuose esančių darbuotojų skaičius apskaičiuojamas pagal 2002 m. gegužės 15 d. finansų ministro </w:t>
      </w:r>
      <w:hyperlink r:id="rId49" w:history="1">
        <w:r>
          <w:rPr>
            <w:rStyle w:val="Hipersaitas"/>
          </w:rPr>
          <w:t>įsakymą Nr. 134</w:t>
        </w:r>
      </w:hyperlink>
      <w:r>
        <w:t xml:space="preserve"> „Dėl Vidutinio metų sąrašinio darbuotojų skaičiaus apskaičiavimo taisyklių patvirtinimo“.</w:t>
      </w:r>
    </w:p>
    <w:p w14:paraId="30DD244F" w14:textId="77777777" w:rsidR="009E0403" w:rsidRDefault="009E0403" w:rsidP="009E0403">
      <w:pPr>
        <w:ind w:right="26" w:firstLine="709"/>
        <w:jc w:val="both"/>
      </w:pPr>
      <w:r>
        <w:t>Vidutinis sąrašuose esančių darbuotojų skaičius turi būti apvalinamas iki sveikų skaičių, pavyzdžiui, jeigu vidutinis sąrašuose esančių darbuotojų skaičius apskaičiuojamas 10.50, tai šis skaičius apvalinamas iki sveikų skaičių, t. y. sudaro 11 žmonių ir atitinkamai laikoma, kad netenkinama šioje dalyje nustatyta sąlyga.  </w:t>
      </w:r>
    </w:p>
    <w:p w14:paraId="2EC6C716" w14:textId="77777777" w:rsidR="009E0403" w:rsidRPr="00267536" w:rsidRDefault="009E0403" w:rsidP="009E0403">
      <w:pPr>
        <w:ind w:firstLine="709"/>
        <w:jc w:val="both"/>
        <w:rPr>
          <w:lang w:val="lt-LT"/>
        </w:rPr>
      </w:pPr>
      <w:r w:rsidRPr="00267536">
        <w:rPr>
          <w:lang w:val="lt-LT"/>
        </w:rPr>
        <w:t>1 pavyzdys</w:t>
      </w:r>
    </w:p>
    <w:p w14:paraId="1AD06F69"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267536">
        <w:rPr>
          <w:u w:val="single"/>
          <w:lang w:val="lt-LT"/>
        </w:rPr>
        <w:t>Pastaba</w:t>
      </w:r>
      <w:r w:rsidRPr="00267536">
        <w:rPr>
          <w:lang w:val="lt-LT"/>
        </w:rPr>
        <w:t xml:space="preserve">. </w:t>
      </w:r>
      <w:r w:rsidRPr="00031CE9">
        <w:rPr>
          <w:lang w:val="lt-LT"/>
        </w:rPr>
        <w:t xml:space="preserve">Pavyzdyje mokestinis laikotarpis sutampa su kalendoriniais metais. </w:t>
      </w:r>
    </w:p>
    <w:p w14:paraId="494ECF82"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J. Jonaičio individualios įmonės 2025 metų rodikliai atitinka PMĮ 5 straipsnio 2 dalyje nustatytas sąlygas:</w:t>
      </w:r>
    </w:p>
    <w:p w14:paraId="6F7B8930"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xml:space="preserve">- įmonės mokestinio laikotarpio pajamos – 250 000 Eur (neviršija 300 000 Eur), </w:t>
      </w:r>
    </w:p>
    <w:p w14:paraId="714AE3E8"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įmonės vidutinis sąrašuose esantis darbuotojų skaičius - 8 darbuotojai,</w:t>
      </w:r>
    </w:p>
    <w:p w14:paraId="611623A8" w14:textId="77777777" w:rsidR="009E0403" w:rsidRPr="00031CE9"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 įmonė neatitinka PMĮ 5 str. 3 dalyje nustatytų sąlygų.</w:t>
      </w:r>
    </w:p>
    <w:p w14:paraId="2962BEEC" w14:textId="77777777" w:rsidR="009E0403" w:rsidRPr="00267536"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031CE9">
        <w:rPr>
          <w:lang w:val="lt-LT"/>
        </w:rPr>
        <w:t>Atsižvelgiant į tai, kad J. Jonaičio individuali įmonė atitinka visas 5 str. 2 dalyje nustatytas 3 sąlygas, todėl ši įmonė gali 2025 metų apmokestinamąjį pelną apmokestinti 6 proc. pelno mokesčio tarifu.</w:t>
      </w:r>
    </w:p>
    <w:p w14:paraId="4C4323DF" w14:textId="77777777" w:rsidR="009E0403" w:rsidRPr="00267536" w:rsidRDefault="009E0403" w:rsidP="009E0403">
      <w:pPr>
        <w:ind w:firstLine="709"/>
        <w:jc w:val="both"/>
        <w:rPr>
          <w:lang w:val="lt-LT"/>
        </w:rPr>
      </w:pPr>
      <w:r w:rsidRPr="00267536">
        <w:rPr>
          <w:lang w:val="lt-LT"/>
        </w:rPr>
        <w:lastRenderedPageBreak/>
        <w:t>2 pavyzdys</w:t>
      </w:r>
    </w:p>
    <w:p w14:paraId="46C40E6F"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xml:space="preserve">2025 metų rugsėjo mėnesį įsteigta mažoji bendrija, kurios 2025 metų rodikliai: </w:t>
      </w:r>
    </w:p>
    <w:p w14:paraId="6A6A8BCB"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mokestinio laikotarpio pajamos – 200 000 Eur (neviršija 300 000 Eur);</w:t>
      </w:r>
    </w:p>
    <w:p w14:paraId="1481D1ED"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vidutinis sąrašuose esantis darbuotojų skaičius - 11 darbuotojų (viršija 10 darbuotojų),</w:t>
      </w:r>
    </w:p>
    <w:p w14:paraId="535F2925"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  neatitinka PMĮ 5 straipsnio 3 dalyje nustatytų sąlygų.</w:t>
      </w:r>
    </w:p>
    <w:p w14:paraId="04BA4530" w14:textId="77777777" w:rsidR="009E0403" w:rsidRPr="00436E48" w:rsidRDefault="009E0403" w:rsidP="009E0403">
      <w:pPr>
        <w:pBdr>
          <w:top w:val="single" w:sz="4" w:space="1" w:color="auto"/>
          <w:left w:val="single" w:sz="4" w:space="4" w:color="auto"/>
          <w:bottom w:val="single" w:sz="4" w:space="1" w:color="auto"/>
          <w:right w:val="single" w:sz="4" w:space="4" w:color="auto"/>
        </w:pBdr>
        <w:ind w:firstLine="709"/>
        <w:jc w:val="both"/>
        <w:rPr>
          <w:lang w:val="lt-LT"/>
        </w:rPr>
      </w:pPr>
      <w:r w:rsidRPr="00436E48">
        <w:rPr>
          <w:lang w:val="lt-LT"/>
        </w:rPr>
        <w:t>Atsižvelgiant į tai, kad mažoji bendrija neatitinka visų 5 str. 2 dalyje nustatytų 3 sąlygų (vidutinis sąrašuose esantis darbuotojų skaičius - 11 darbuotojų), todėl mažoji bendrija negali 2025 metų apmokestinamąjį pelną apmokestinti 6 proc. pelno mokesčio tarifu.</w:t>
      </w:r>
    </w:p>
    <w:p w14:paraId="78FD069E" w14:textId="77777777" w:rsidR="009E0403" w:rsidRDefault="009E0403" w:rsidP="009E0403">
      <w:pPr>
        <w:ind w:right="26"/>
        <w:jc w:val="both"/>
      </w:pPr>
      <w:r>
        <w:t>(</w:t>
      </w:r>
      <w:r>
        <w:rPr>
          <w:iCs/>
          <w:lang w:eastAsia="lt-LT"/>
        </w:rPr>
        <w:t>PMĮ 5 straipsnio 2 d. 2 p. 1 ir 2 pavyzdžiai parengti pagal VMI prie FM 2025-01-09 raštą Nr. (18.32-31-1 Mr)-R-80)</w:t>
      </w:r>
    </w:p>
    <w:p w14:paraId="1DF3E6D8" w14:textId="77777777" w:rsidR="009E0403" w:rsidRPr="00B51B7C" w:rsidRDefault="009E0403" w:rsidP="009E0403">
      <w:pPr>
        <w:ind w:firstLine="709"/>
        <w:jc w:val="both"/>
        <w:rPr>
          <w:lang w:val="lt-LT"/>
        </w:rPr>
      </w:pPr>
      <w:r>
        <w:t xml:space="preserve">3. PMĮ 5 straipsnio 2 dalies nuostatos taikomos ir žemės ūkio veiklą vykdantiems vienetams, jeigu negali būti taikomos PMĮ 5 str. 6 dalies nuostatos. </w:t>
      </w:r>
    </w:p>
    <w:p w14:paraId="30EBA14B" w14:textId="77777777" w:rsidR="009E0403" w:rsidRPr="0065344A" w:rsidRDefault="009E0403" w:rsidP="009E0403">
      <w:pPr>
        <w:ind w:firstLine="709"/>
        <w:jc w:val="both"/>
        <w:rPr>
          <w:color w:val="000000"/>
          <w:lang w:val="lt-LT"/>
        </w:rPr>
      </w:pPr>
      <w:r w:rsidRPr="0065344A">
        <w:rPr>
          <w:lang w:val="lt-LT"/>
        </w:rPr>
        <w:t>4. PMĮ 5 straipsnio 2 dalyje nustatyta pelno mokesčio lengvata</w:t>
      </w:r>
      <w:r w:rsidRPr="0065344A">
        <w:rPr>
          <w:color w:val="000000"/>
          <w:lang w:val="lt-LT"/>
        </w:rPr>
        <w:t xml:space="preserve"> taikoma ir pelno nesiekiantiems vienetams,</w:t>
      </w:r>
      <w:r w:rsidRPr="0065344A">
        <w:rPr>
          <w:lang w:val="lt-LT"/>
        </w:rPr>
        <w:t xml:space="preserve"> apskaičiuojantiems 2019 metais prasidėjusio ir vėlesnių mokestinių laikotarpių apmokestinamąjį pelną</w:t>
      </w:r>
      <w:r w:rsidRPr="0065344A">
        <w:rPr>
          <w:color w:val="000000"/>
          <w:lang w:val="lt-LT"/>
        </w:rPr>
        <w:t>.</w:t>
      </w:r>
    </w:p>
    <w:p w14:paraId="5A979642" w14:textId="77777777" w:rsidR="009E0403" w:rsidRPr="00B51B7C" w:rsidRDefault="009E0403" w:rsidP="009E0403">
      <w:pPr>
        <w:pStyle w:val="Porat"/>
        <w:tabs>
          <w:tab w:val="left" w:pos="1296"/>
        </w:tabs>
        <w:ind w:left="720" w:firstLine="0"/>
        <w:rPr>
          <w:rFonts w:ascii="Times New Roman" w:hAnsi="Times New Roman" w:cs="Times New Roman"/>
        </w:rPr>
      </w:pPr>
      <w:r w:rsidRPr="00487E08">
        <w:rPr>
          <w:rFonts w:ascii="Times New Roman" w:hAnsi="Times New Roman" w:cs="Times New Roman"/>
          <w:lang w:val="lt-LT"/>
        </w:rPr>
        <w:t xml:space="preserve">(Pakeista pagal VMI prie FM 2019-05-14 raštą Nr. </w:t>
      </w:r>
      <w:r w:rsidRPr="00487E08">
        <w:rPr>
          <w:rFonts w:ascii="Times New Roman" w:hAnsi="Times New Roman" w:cs="Times New Roman"/>
          <w:color w:val="000000"/>
        </w:rPr>
        <w:t>(32.42-31-1E) RM-15145</w:t>
      </w:r>
      <w:r>
        <w:rPr>
          <w:rFonts w:ascii="Times New Roman" w:hAnsi="Times New Roman" w:cs="Times New Roman"/>
          <w:color w:val="000000"/>
        </w:rPr>
        <w:t>)</w:t>
      </w:r>
    </w:p>
    <w:p w14:paraId="046C3DEB" w14:textId="77777777" w:rsidR="009E0403" w:rsidRDefault="009E0403" w:rsidP="009E0403">
      <w:pPr>
        <w:ind w:right="26" w:firstLine="709"/>
        <w:jc w:val="both"/>
      </w:pPr>
      <w:r>
        <w:t xml:space="preserve">5. Pagal </w:t>
      </w:r>
      <w:hyperlink r:id="rId50" w:history="1">
        <w:r>
          <w:rPr>
            <w:rStyle w:val="Hipersaitas"/>
          </w:rPr>
          <w:t>PMĮ</w:t>
        </w:r>
      </w:hyperlink>
      <w:r>
        <w:t xml:space="preserve"> 6 straipsnio nuostatas mokestinis laikotarpis sutampa su kalendoriniais metais arba vietos mokesčių administratoriaus leidimu jis nustatomas kitoks, bet lygus 12 mėnesių. Šio mokestinio laikotarpio pajamos turi būti ne didesnės 300 000 Eur. Tais atvejais, kai pirmasis mokestinis laikotarpis trumpesnis negu 12 mėnesių (pvz., vienetas įsiregistravo mokesčio mokėtoju ir pradėjo veiklą nuo kalendorinių metų birželio 1 d.), tai to pirmojo mokestinio laikotarpio pajamos taip pat turi būti ne didesnės negu 300 000 Eur. </w:t>
      </w:r>
    </w:p>
    <w:p w14:paraId="47900EFA" w14:textId="77777777" w:rsidR="009E0403" w:rsidRDefault="009E0403" w:rsidP="009E0403">
      <w:pPr>
        <w:ind w:right="26" w:firstLine="709"/>
        <w:jc w:val="both"/>
      </w:pPr>
      <w:r>
        <w:t xml:space="preserve">Skaičiuojant, ar pajamos nėra didesnės už šią sumą, atsižvelgiama į visas pajamas, t. y. ir į tas, kurios, vadovaujantis </w:t>
      </w:r>
      <w:hyperlink r:id="rId51" w:history="1">
        <w:r>
          <w:rPr>
            <w:rStyle w:val="Hipersaitas"/>
          </w:rPr>
          <w:t>PMĮ</w:t>
        </w:r>
      </w:hyperlink>
      <w:r>
        <w:t xml:space="preserve"> 12 straipsniu, priskiriamos neapmokestinamosioms pajamoms. Tuo atveju, jeigu vienetas vykdo veiklą per nuolatinę buveinę kitoje užsienio valstybėje, tai nustatant, ar vieneto mokestinio laikotarpio pajamos yra ne didesnės negu 300 000 Eur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7C9B65E8" w14:textId="77777777" w:rsidR="009E0403" w:rsidRDefault="009E0403" w:rsidP="009E0403">
      <w:pPr>
        <w:ind w:firstLine="709"/>
        <w:jc w:val="both"/>
      </w:pPr>
      <w:r>
        <w:t>Jeigu šią lengvatą taiko užsienio vieneto nuolatinė buveinė Lietuvoje, tai turi būti skaičiuojamos visos užsienio vieneto pajamos, įskaitant nuolatinės buveinės pajamas uždirbtas Lietuvoje.</w:t>
      </w:r>
    </w:p>
    <w:p w14:paraId="70A1745B" w14:textId="77777777" w:rsidR="009E0403" w:rsidRDefault="009E0403" w:rsidP="009E0403">
      <w:pPr>
        <w:ind w:firstLine="709"/>
        <w:jc w:val="both"/>
      </w:pPr>
      <w:r>
        <w:t>Pažymėtina, kad į pajamų ribos skaičiavimą neįtraukiami iš Lietuvos ir užsienio vienetų gauti dividendai.</w:t>
      </w:r>
    </w:p>
    <w:p w14:paraId="7CF9C9A8" w14:textId="77777777" w:rsidR="009E0403" w:rsidRPr="00DF0C52" w:rsidRDefault="009E0403" w:rsidP="009E0403">
      <w:pPr>
        <w:ind w:right="-82" w:firstLine="720"/>
        <w:jc w:val="both"/>
        <w:rPr>
          <w:lang w:val="lt-LT"/>
        </w:rPr>
      </w:pPr>
      <w:r>
        <w:rPr>
          <w:color w:val="000000"/>
          <w:shd w:val="clear" w:color="auto" w:fill="FFFFFF"/>
        </w:rPr>
        <w:t xml:space="preserve">6. </w:t>
      </w:r>
      <w:r w:rsidRPr="00DF0C52">
        <w:rPr>
          <w:lang w:val="lt-LT"/>
        </w:rPr>
        <w:t>Vienetų pirmojo mokestinio laikotarpio apmokestinamasis pelnas gali būti apmokestinamas taikant 0 procentų mokesčio tarifą, jeigu t</w:t>
      </w:r>
      <w:r>
        <w:rPr>
          <w:lang w:val="lt-LT"/>
        </w:rPr>
        <w:t>e</w:t>
      </w:r>
      <w:r w:rsidRPr="00DF0C52">
        <w:rPr>
          <w:lang w:val="lt-LT"/>
        </w:rPr>
        <w:t>nkinamos  šios sąlygos:</w:t>
      </w:r>
    </w:p>
    <w:p w14:paraId="15BA22F3" w14:textId="77777777" w:rsidR="009E0403" w:rsidRPr="00DF0C52" w:rsidRDefault="009E0403" w:rsidP="009E0403">
      <w:pPr>
        <w:ind w:right="-82" w:firstLine="720"/>
        <w:jc w:val="both"/>
        <w:rPr>
          <w:lang w:val="lt-LT"/>
        </w:rPr>
      </w:pPr>
      <w:r w:rsidRPr="00DF0C52">
        <w:rPr>
          <w:lang w:val="lt-LT"/>
        </w:rPr>
        <w:t xml:space="preserve">-vidutinis sąrašuose esančių darbuotojų skaičius ne didesnis kaip 10 žmonių, t. y. mažiau arba lygus 10; </w:t>
      </w:r>
    </w:p>
    <w:p w14:paraId="20DB93EE" w14:textId="77777777" w:rsidR="009E0403" w:rsidRPr="00DF0C52" w:rsidRDefault="009E0403" w:rsidP="009E0403">
      <w:pPr>
        <w:ind w:right="-82" w:firstLine="720"/>
        <w:jc w:val="both"/>
        <w:rPr>
          <w:lang w:val="lt-LT"/>
        </w:rPr>
      </w:pPr>
      <w:r w:rsidRPr="00DF0C52">
        <w:rPr>
          <w:lang w:val="lt-LT"/>
        </w:rPr>
        <w:t>- pirmojo mokestinio laikotarpio pajamos ne didesnės kaip 300 000 Eur;</w:t>
      </w:r>
    </w:p>
    <w:p w14:paraId="22C6C829" w14:textId="77777777" w:rsidR="009E0403" w:rsidRPr="00DF0C52" w:rsidRDefault="009E0403" w:rsidP="009E0403">
      <w:pPr>
        <w:ind w:right="-82" w:firstLine="720"/>
        <w:jc w:val="both"/>
        <w:rPr>
          <w:lang w:val="lt-LT"/>
        </w:rPr>
      </w:pPr>
      <w:r w:rsidRPr="00DF0C52">
        <w:rPr>
          <w:lang w:val="lt-LT"/>
        </w:rPr>
        <w:t xml:space="preserve">-vienetas neatitinka </w:t>
      </w:r>
      <w:hyperlink r:id="rId52" w:history="1">
        <w:r w:rsidRPr="00DF0C52">
          <w:rPr>
            <w:lang w:val="lt-LT"/>
          </w:rPr>
          <w:t>PMĮ</w:t>
        </w:r>
      </w:hyperlink>
      <w:r w:rsidRPr="00DF0C52">
        <w:rPr>
          <w:lang w:val="lt-LT"/>
        </w:rPr>
        <w:t xml:space="preserve"> 5 str. 3 dalyje nustatytų sąlygų (žr. PMĮ 5 str. 3 dalies komentarą);</w:t>
      </w:r>
    </w:p>
    <w:p w14:paraId="3EF9974C" w14:textId="77777777" w:rsidR="009E0403" w:rsidRPr="00DF0C52" w:rsidRDefault="009E0403" w:rsidP="009E0403">
      <w:pPr>
        <w:ind w:right="-82" w:firstLine="720"/>
        <w:jc w:val="both"/>
        <w:rPr>
          <w:lang w:val="lt-LT"/>
        </w:rPr>
      </w:pPr>
      <w:r w:rsidRPr="00DF0C52">
        <w:rPr>
          <w:lang w:val="lt-LT"/>
        </w:rPr>
        <w:lastRenderedPageBreak/>
        <w:t>- vieneto dalyvis (dalyviai) yra tik fizinis asmuo (ar fiziniai asmenys);</w:t>
      </w:r>
    </w:p>
    <w:p w14:paraId="082E269D" w14:textId="77777777" w:rsidR="009E0403" w:rsidRPr="00DF0C52" w:rsidRDefault="009E0403" w:rsidP="009E0403">
      <w:pPr>
        <w:ind w:right="-82" w:firstLine="720"/>
        <w:jc w:val="both"/>
        <w:rPr>
          <w:lang w:val="lt-LT"/>
        </w:rPr>
      </w:pPr>
      <w:r w:rsidRPr="00DF0C52">
        <w:rPr>
          <w:lang w:val="lt-LT"/>
        </w:rPr>
        <w:t>- per tris vienas po kito einančius mokestinius laikotarpius, įskaitant pirmąjį mokestinį laikotarpį: vieneto veikla nėra sustabdoma, vienetas nėra likviduojamas, reorganizuojamas ir vieneto akcijos (dalys, pajai) nėra perleidžiamos naujiems dalyviams.</w:t>
      </w:r>
    </w:p>
    <w:p w14:paraId="6D8C0D01" w14:textId="77777777" w:rsidR="009E0403" w:rsidRPr="00DF0C52" w:rsidRDefault="009E0403" w:rsidP="009E0403">
      <w:pPr>
        <w:ind w:right="-82" w:firstLine="720"/>
        <w:jc w:val="both"/>
        <w:rPr>
          <w:lang w:val="lt-LT"/>
        </w:rPr>
      </w:pPr>
      <w:r w:rsidRPr="00DF0C52">
        <w:rPr>
          <w:lang w:val="lt-LT"/>
        </w:rPr>
        <w:t xml:space="preserve">Jeigu per tris vienas po kito einančius mokestinius laikotarpius paaiškėja aplinkybės dėl kurių pirmaisiais mokestiniais metais apmokestinamasis pelnas negali būti apmokestinamas taikant 0 procentų mokesčio tarifą - vienetas sustabdo veiklą, yra likviduojamas ar reorganizuojamas, arba </w:t>
      </w:r>
      <w:r w:rsidRPr="00415932">
        <w:rPr>
          <w:lang w:val="lt-LT"/>
        </w:rPr>
        <w:t xml:space="preserve">vieneto akcijos (dalys, pajai) perleidžiamos naujiems dalyviams, tai 0 tarifą taikęs vienetas privalo perskaičiuoti ir apmokestinti </w:t>
      </w:r>
      <w:r w:rsidRPr="00415932">
        <w:rPr>
          <w:bCs/>
          <w:color w:val="000000"/>
          <w:lang w:val="lt-LT"/>
        </w:rPr>
        <w:t>lengvatiniu (5 proc. – apskaičiuojant iki 2025 metais prasidėjusio mokestinio laikotarpio bei 6 proc. – apskaičiuojant 2025 metais prasidėjusio ir vėlesnių mokestinių laikotarpių apmokestinamąjį pelną)</w:t>
      </w:r>
      <w:r w:rsidRPr="00415932">
        <w:rPr>
          <w:bCs/>
          <w:color w:val="000000"/>
        </w:rPr>
        <w:t xml:space="preserve"> </w:t>
      </w:r>
      <w:r w:rsidRPr="00415932">
        <w:rPr>
          <w:lang w:val="lt-LT"/>
        </w:rPr>
        <w:t>pelno mokesčio tarifu</w:t>
      </w:r>
      <w:r>
        <w:rPr>
          <w:lang w:val="lt-LT"/>
        </w:rPr>
        <w:t xml:space="preserve"> </w:t>
      </w:r>
      <w:r w:rsidRPr="00DF0C52">
        <w:rPr>
          <w:lang w:val="lt-LT"/>
        </w:rPr>
        <w:t xml:space="preserve">pirmojo mokestinio laikotarpio apmokestinamąjį pelną, ir mokesčių administratoriui pateikti patikslintą to mokestinio laikotarpio metinę pelno mokesčio deklaraciją. Delspinigiai už ne laiku sumokėtą mokestį sumokami Mokesčių administravimo įstatymo nustatyta tvarka. </w:t>
      </w:r>
    </w:p>
    <w:p w14:paraId="30DBD381" w14:textId="77777777" w:rsidR="009E0403" w:rsidRPr="00250D8F" w:rsidRDefault="009E0403" w:rsidP="009E0403">
      <w:pPr>
        <w:jc w:val="both"/>
        <w:rPr>
          <w:rFonts w:ascii="Trebuchet MS" w:hAnsi="Trebuchet MS"/>
          <w:sz w:val="20"/>
          <w:szCs w:val="22"/>
          <w:lang w:val="lt-LT"/>
        </w:rPr>
      </w:pPr>
      <w:r>
        <w:rPr>
          <w:iCs/>
          <w:lang w:eastAsia="lt-LT"/>
        </w:rPr>
        <w:t>(PMĮ  5 straipsnio 2 d. 6 p. komentaras parengtas pagal VMI prie FM 2025-01-09 raštą Nr. (18.32-31-1 Mr)-R-80)</w:t>
      </w:r>
    </w:p>
    <w:p w14:paraId="7C4DC451" w14:textId="77777777" w:rsidR="009E0403" w:rsidRDefault="009E0403" w:rsidP="009E0403">
      <w:pPr>
        <w:spacing w:after="0" w:line="360" w:lineRule="atLeast"/>
        <w:ind w:firstLine="720"/>
        <w:jc w:val="both"/>
        <w:rPr>
          <w:b/>
          <w:color w:val="000000"/>
          <w:lang w:val="lt-LT" w:eastAsia="lt-LT"/>
        </w:rPr>
      </w:pPr>
      <w:r w:rsidRPr="002B7192">
        <w:rPr>
          <w:b/>
          <w:color w:val="000000"/>
          <w:lang w:val="lt-LT" w:eastAsia="lt-LT"/>
        </w:rPr>
        <w:t>3. Šio straipsnio 2 dalies nuostatos netaikomos, kai šioje dalyje nurodytų susijusių vienetų bendras vidutinis sąrašuose esančių darbuotojų skaičius viršija 10 žmonių ir (arba) mokestinio laikotarpio bendros pajamos viršija 300 000 eurų:</w:t>
      </w:r>
    </w:p>
    <w:p w14:paraId="4E714A11" w14:textId="77777777" w:rsidR="009E0403" w:rsidRPr="00FC4CFA" w:rsidRDefault="009E0403" w:rsidP="009E0403">
      <w:pPr>
        <w:tabs>
          <w:tab w:val="left" w:pos="720"/>
          <w:tab w:val="left" w:pos="1077"/>
          <w:tab w:val="left" w:pos="1418"/>
        </w:tabs>
        <w:jc w:val="both"/>
        <w:rPr>
          <w:bCs/>
          <w:i/>
          <w:szCs w:val="20"/>
          <w:lang w:val="lt-LT"/>
        </w:rPr>
      </w:pPr>
      <w:r>
        <w:rPr>
          <w:bCs/>
          <w:i/>
          <w:szCs w:val="20"/>
          <w:lang w:val="lt-LT"/>
        </w:rPr>
        <w:t xml:space="preserve">(KEISTA: </w:t>
      </w:r>
      <w:r w:rsidRPr="00A51AB1">
        <w:rPr>
          <w:bCs/>
          <w:i/>
          <w:szCs w:val="20"/>
          <w:lang w:val="lt-LT"/>
        </w:rPr>
        <w:t xml:space="preserve">pagal 2020 m. gruodžio 3  d. įstatymo Nr.  </w:t>
      </w:r>
      <w:r w:rsidRPr="00A51AB1">
        <w:rPr>
          <w:color w:val="000000"/>
          <w:lang w:val="lt-LT"/>
        </w:rPr>
        <w:t>XIV-39</w:t>
      </w:r>
      <w:r w:rsidRPr="00A51AB1">
        <w:rPr>
          <w:lang w:val="lt-LT"/>
        </w:rPr>
        <w:t xml:space="preserve"> </w:t>
      </w:r>
      <w:r w:rsidRPr="00A51AB1">
        <w:rPr>
          <w:bCs/>
          <w:i/>
          <w:szCs w:val="20"/>
          <w:lang w:val="lt-LT"/>
        </w:rPr>
        <w:t>redakciją; taikoma apskaičiuojant 2021 metais prasidėjusio ir vėlesnių mokestinių laikotarpių apmokestinamąjį pelną)</w:t>
      </w:r>
    </w:p>
    <w:p w14:paraId="6B3344B7" w14:textId="77777777" w:rsidR="009E0403" w:rsidRDefault="009E0403" w:rsidP="00BB302F">
      <w:pPr>
        <w:tabs>
          <w:tab w:val="left" w:pos="720"/>
          <w:tab w:val="left" w:pos="1077"/>
          <w:tab w:val="left" w:pos="1418"/>
        </w:tabs>
        <w:spacing w:before="100" w:after="100"/>
        <w:ind w:firstLine="720"/>
        <w:jc w:val="both"/>
        <w:rPr>
          <w:b/>
          <w:lang w:val="lt-LT"/>
        </w:rPr>
      </w:pPr>
      <w:r>
        <w:rPr>
          <w:b/>
          <w:lang w:val="lt-LT"/>
        </w:rPr>
        <w:t>Komentaras</w:t>
      </w:r>
    </w:p>
    <w:p w14:paraId="28E018D1" w14:textId="77777777" w:rsidR="009E0403" w:rsidRPr="002322C5" w:rsidRDefault="009E0403" w:rsidP="009E0403">
      <w:pPr>
        <w:spacing w:before="100" w:after="100"/>
        <w:ind w:firstLine="720"/>
        <w:jc w:val="both"/>
        <w:rPr>
          <w:bCs/>
          <w:lang w:val="lt-LT"/>
        </w:rPr>
      </w:pPr>
      <w:r w:rsidRPr="0053304A">
        <w:rPr>
          <w:bCs/>
          <w:iCs/>
          <w:lang w:val="lt-LT"/>
        </w:rPr>
        <w:t>Pagal šios</w:t>
      </w:r>
      <w:r w:rsidRPr="0053304A">
        <w:rPr>
          <w:lang w:val="lt-LT"/>
        </w:rPr>
        <w:t xml:space="preserve"> dalies</w:t>
      </w:r>
      <w:r w:rsidRPr="00A51AB1">
        <w:rPr>
          <w:lang w:val="lt-LT"/>
        </w:rPr>
        <w:t xml:space="preserve"> nuostatas, PMĮ 5 str. 2 dalyje nustatytas lengvatinis</w:t>
      </w:r>
      <w:r w:rsidRPr="00092859">
        <w:rPr>
          <w:lang w:val="lt-LT"/>
        </w:rPr>
        <w:t xml:space="preserve"> 6</w:t>
      </w:r>
      <w:r w:rsidRPr="00030E10">
        <w:rPr>
          <w:b/>
          <w:lang w:val="lt-LT"/>
        </w:rPr>
        <w:t xml:space="preserve"> </w:t>
      </w:r>
      <w:r w:rsidRPr="00A51AB1">
        <w:rPr>
          <w:lang w:val="lt-LT"/>
        </w:rPr>
        <w:t xml:space="preserve"> proc. arba 0 proc. (pirmąjį mokestinį laikotarpį) </w:t>
      </w:r>
      <w:r w:rsidRPr="00A51AB1">
        <w:rPr>
          <w:bCs/>
          <w:lang w:val="lt-LT"/>
        </w:rPr>
        <w:t xml:space="preserve">pelno mokesčio </w:t>
      </w:r>
      <w:r w:rsidRPr="002322C5">
        <w:rPr>
          <w:bCs/>
          <w:lang w:val="lt-LT"/>
        </w:rPr>
        <w:t>tarifas netaikomas, kai PMĮ 5 str. 3 d. 1</w:t>
      </w:r>
      <w:r>
        <w:rPr>
          <w:bCs/>
          <w:lang w:val="lt-LT"/>
        </w:rPr>
        <w:t xml:space="preserve"> </w:t>
      </w:r>
      <w:r w:rsidRPr="002322C5">
        <w:rPr>
          <w:bCs/>
          <w:lang w:val="lt-LT"/>
        </w:rPr>
        <w:t>-</w:t>
      </w:r>
      <w:r>
        <w:rPr>
          <w:bCs/>
          <w:lang w:val="lt-LT"/>
        </w:rPr>
        <w:t xml:space="preserve"> </w:t>
      </w:r>
      <w:r w:rsidRPr="002322C5">
        <w:rPr>
          <w:bCs/>
          <w:lang w:val="lt-LT"/>
        </w:rPr>
        <w:t>4 punktuose nurodytų susijusių vienetų bendras vidutinis sąrašuose esančių darbuotojų skaičius ir (arba) bendros mokestinio laikotarpio pajamos viršija PMĮ 5 str. 2 dalyje nustatytus apribojimus, t. y. 10 darbuotojų ir (arba) 300 000 eurų pajamų.</w:t>
      </w:r>
    </w:p>
    <w:p w14:paraId="3824D8FA" w14:textId="77777777" w:rsidR="009E0403" w:rsidRPr="00FC4CFA" w:rsidRDefault="009E0403" w:rsidP="009E0403">
      <w:pPr>
        <w:jc w:val="both"/>
        <w:rPr>
          <w:rFonts w:ascii="Trebuchet MS" w:hAnsi="Trebuchet MS"/>
          <w:sz w:val="20"/>
          <w:szCs w:val="22"/>
          <w:lang w:val="lt-LT"/>
        </w:rPr>
      </w:pPr>
      <w:r>
        <w:rPr>
          <w:iCs/>
          <w:lang w:eastAsia="lt-LT"/>
        </w:rPr>
        <w:t>(PMĮ 5 straipsnio 3 d. pirmos pastraipos komentaras parengtas pagal VMI prie FM 2025-01-09 raštą Nr. (18.32-31-1 Mr)-R-80)</w:t>
      </w:r>
    </w:p>
    <w:p w14:paraId="78A4BA7F" w14:textId="77777777" w:rsidR="009E0403" w:rsidRPr="00E71AD5" w:rsidRDefault="009E0403" w:rsidP="009E0403">
      <w:pPr>
        <w:tabs>
          <w:tab w:val="left" w:pos="720"/>
          <w:tab w:val="left" w:pos="1077"/>
          <w:tab w:val="left" w:pos="1418"/>
        </w:tabs>
        <w:ind w:firstLine="720"/>
        <w:jc w:val="both"/>
        <w:rPr>
          <w:b/>
          <w:bCs/>
          <w:szCs w:val="20"/>
          <w:lang w:val="lt-LT"/>
        </w:rPr>
      </w:pPr>
      <w:r w:rsidRPr="00E71AD5">
        <w:rPr>
          <w:b/>
          <w:bCs/>
          <w:szCs w:val="20"/>
          <w:lang w:val="lt-LT"/>
        </w:rPr>
        <w:t>1)</w:t>
      </w:r>
      <w:r w:rsidRPr="00E71AD5">
        <w:rPr>
          <w:b/>
          <w:bCs/>
          <w:szCs w:val="20"/>
          <w:lang w:val="lt-LT"/>
        </w:rPr>
        <w:tab/>
        <w:t>vienetams (individualioms (personalinėms) įmonėms), kurių dalyvis ar jo šeimos nariai yra ir kitų vienetų (individualių (personalinių) įmonių) dalyviai;</w:t>
      </w:r>
    </w:p>
    <w:p w14:paraId="62938582" w14:textId="77777777" w:rsidR="009E0403" w:rsidRDefault="009E0403" w:rsidP="00BB302F">
      <w:pPr>
        <w:tabs>
          <w:tab w:val="left" w:pos="720"/>
          <w:tab w:val="left" w:pos="1077"/>
          <w:tab w:val="left" w:pos="1418"/>
        </w:tabs>
        <w:spacing w:before="100" w:after="100"/>
        <w:ind w:firstLine="720"/>
        <w:jc w:val="both"/>
        <w:rPr>
          <w:b/>
          <w:bCs/>
          <w:szCs w:val="20"/>
          <w:lang w:val="lt-LT"/>
        </w:rPr>
      </w:pPr>
      <w:r w:rsidRPr="00E71AD5">
        <w:rPr>
          <w:b/>
          <w:bCs/>
          <w:szCs w:val="20"/>
          <w:lang w:val="lt-LT"/>
        </w:rPr>
        <w:t>Komentaras</w:t>
      </w:r>
    </w:p>
    <w:p w14:paraId="5075B14E" w14:textId="77777777" w:rsidR="009E0403" w:rsidRPr="00BF1BA7" w:rsidRDefault="009E0403" w:rsidP="009E0403">
      <w:pPr>
        <w:ind w:right="-82" w:firstLine="720"/>
        <w:jc w:val="both"/>
        <w:rPr>
          <w:lang w:val="lt-LT"/>
        </w:rPr>
      </w:pPr>
      <w:r>
        <w:rPr>
          <w:lang w:val="lt-LT"/>
        </w:rPr>
        <w:t>1. Š</w:t>
      </w:r>
      <w:r w:rsidRPr="00BF1BA7">
        <w:rPr>
          <w:lang w:val="lt-LT"/>
        </w:rPr>
        <w:t xml:space="preserve">i punkto nuostata taikoma toms individualioms įmonėms, kurių savininkai ar jų šeimos nariai yra ir kitų individualių įmonių savininkai ir jeigu šių individualių įmonių bendras vidutinis sąrašuose esančių darbuotojų skaičius ir (arba) bendros mokestinio laikotarpio pajamos viršija PMĮ 5 str. 2 dalyje nustatytus apribojimus, t. y. 10 darbuotojų ir (arba) 300 000 eurų pajamų. Tokios individualios įmonės, kurių savininkai ar jų šeimos nariai yra ir kitų individualių įmonių savininkai  bei bendras šių individualių įmonių vidutinis sąrašuose esančių darbuotojų skaičius ir (arba) šių įmonių bendros mokestinio laikotarpio pajamos viršija nustatytus dydžius, t. y. 10 darbuotojų ir (arba) 300 000 eurų pajamų, negali apmokestinamojo pelno apmokestinti taikant PMĮ 5 str. 2 dalyje nustatytą lengvatinį </w:t>
      </w:r>
      <w:r w:rsidRPr="00092859">
        <w:rPr>
          <w:lang w:val="lt-LT"/>
        </w:rPr>
        <w:t>6</w:t>
      </w:r>
      <w:r>
        <w:rPr>
          <w:lang w:val="lt-LT"/>
        </w:rPr>
        <w:t xml:space="preserve"> </w:t>
      </w:r>
      <w:r w:rsidRPr="00BF1BA7">
        <w:rPr>
          <w:lang w:val="lt-LT"/>
        </w:rPr>
        <w:t>proc. arba 0 proc. (pirmąjį mokestinį laikotarpį) pelno mokesčio tarifą.</w:t>
      </w:r>
    </w:p>
    <w:p w14:paraId="4E1FD873" w14:textId="77777777" w:rsidR="009E0403" w:rsidRPr="006A1298" w:rsidRDefault="009E0403" w:rsidP="009E0403">
      <w:pPr>
        <w:tabs>
          <w:tab w:val="left" w:pos="720"/>
          <w:tab w:val="left" w:pos="1077"/>
          <w:tab w:val="left" w:pos="1418"/>
        </w:tabs>
        <w:ind w:firstLine="720"/>
        <w:jc w:val="both"/>
        <w:rPr>
          <w:szCs w:val="20"/>
        </w:rPr>
      </w:pPr>
      <w:r w:rsidRPr="00E71AD5">
        <w:rPr>
          <w:szCs w:val="20"/>
          <w:lang w:val="lt-LT"/>
        </w:rPr>
        <w:t xml:space="preserve">2. PMĮ nenustatyta šeimos narių sąvoka, todėl šiuo atveju pagal PMĮ 2 straipsnio 41 dalį reikia vadovautis Civiliniu kodeksu. Civilinio kodekso trečiojoje knygoje ,,Šeimos teisė“ nėra bendro šeimos </w:t>
      </w:r>
      <w:r w:rsidRPr="00E71AD5">
        <w:rPr>
          <w:szCs w:val="20"/>
          <w:lang w:val="lt-LT"/>
        </w:rPr>
        <w:lastRenderedPageBreak/>
        <w:t>narių sąvokos apibrėžimo, todėl šiuo atveju būtina atsižvelgti į teisinio reguliavimo tikslą ir reguliuojamų santykių ypatumus, nustatančius nario ryšį su šeima. Apibrėžiant dalyvio šeimos narius yra privalomos tokios sąlygos: giminystės ryšys ir (arba) gyvenimas kartu su dalyviu ir bendro ūkio tvarkymas. Atsižvelgiant į tai, dalyvio šeimos narys yra kartu gyvenantis sutuoktinis (sugyventinis), jų vaikai, pilnamečių vaikų sutuoktiniai (sugyventiniai), tėvai, vaikaičiai, jei jie kartu gyvena ir turi bendrą ūkį.</w:t>
      </w:r>
    </w:p>
    <w:p w14:paraId="36BF88D2" w14:textId="77777777" w:rsidR="009E0403" w:rsidRPr="00BB302F" w:rsidRDefault="009E0403" w:rsidP="00BB302F">
      <w:pPr>
        <w:tabs>
          <w:tab w:val="left" w:pos="720"/>
          <w:tab w:val="left" w:pos="1077"/>
          <w:tab w:val="left" w:pos="1418"/>
        </w:tabs>
        <w:ind w:firstLine="720"/>
        <w:jc w:val="both"/>
        <w:rPr>
          <w:szCs w:val="20"/>
          <w:lang w:val="lt-LT"/>
        </w:rPr>
      </w:pPr>
      <w:r w:rsidRPr="00E71AD5">
        <w:rPr>
          <w:szCs w:val="20"/>
          <w:lang w:val="lt-LT"/>
        </w:rPr>
        <w:t>3. PMĮ 2 straipsnio 6 dalyje nustatyta vieneto dalyvio sąvoka. Vieneto dalyvis apibrėžiamas kaip asmuo, kuris turi nuosavybės teisę į vieneto turtą, arba asmuo, kuris neišsaugo nuosavybės teisių į vieneto turtą, bet įgyja prievolinių teisių ir (arba) pareigų, susijusių su vienetu.</w:t>
      </w:r>
    </w:p>
    <w:p w14:paraId="6CF0C058" w14:textId="77777777" w:rsidR="009E0403" w:rsidRDefault="009E0403" w:rsidP="00BB302F">
      <w:pPr>
        <w:tabs>
          <w:tab w:val="left" w:pos="720"/>
          <w:tab w:val="left" w:pos="1077"/>
          <w:tab w:val="left" w:pos="1418"/>
        </w:tabs>
        <w:ind w:firstLine="720"/>
        <w:jc w:val="both"/>
        <w:rPr>
          <w:szCs w:val="20"/>
          <w:lang w:val="lt-LT"/>
        </w:rPr>
      </w:pPr>
      <w:r w:rsidRPr="00E71AD5">
        <w:rPr>
          <w:szCs w:val="20"/>
          <w:lang w:val="lt-LT"/>
        </w:rPr>
        <w:t>1 pavyzdys</w:t>
      </w:r>
    </w:p>
    <w:p w14:paraId="6B0FEAEC"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 xml:space="preserve">Individualios įmonės X savininko žmona turi individualią įmonę Y, ji yra tos įmonės savininkė. Individualios įmonės X 2025 mokestinių metų pajamos sudaro 120 000 </w:t>
      </w:r>
      <w:r w:rsidRPr="006A1298">
        <w:rPr>
          <w:lang w:val="lt-LT"/>
        </w:rPr>
        <w:t>Eur</w:t>
      </w:r>
      <w:r w:rsidRPr="006A1298">
        <w:rPr>
          <w:szCs w:val="20"/>
          <w:lang w:val="lt-LT"/>
        </w:rPr>
        <w:t xml:space="preserve"> ir vidutinis sąrašuose esančių darbuotojų skaičius yra 2,13 darbuotojai, o individualios įmonės Y 2025 mokestinių metų pajamos - 150 000 </w:t>
      </w:r>
      <w:r w:rsidRPr="006A1298">
        <w:rPr>
          <w:lang w:val="lt-LT"/>
        </w:rPr>
        <w:t>Eur</w:t>
      </w:r>
      <w:r w:rsidRPr="006A1298">
        <w:rPr>
          <w:szCs w:val="20"/>
          <w:lang w:val="lt-LT"/>
        </w:rPr>
        <w:t xml:space="preserve"> ir vidutinis sąrašuose esančių darbuotojų skaičius – 8,46 darbuotojai. Bendras šių individualių įmonių 2025 mokestinių metų vidutinis sąrašuose esančių darbuotojų skaičius – 10,59, t. y. 11 darbuotojų ir bendros </w:t>
      </w:r>
      <w:r w:rsidRPr="006A1298">
        <w:rPr>
          <w:bCs/>
          <w:lang w:val="lt-LT"/>
        </w:rPr>
        <w:t xml:space="preserve">mokestinio laikotarpio </w:t>
      </w:r>
      <w:r w:rsidRPr="006A1298">
        <w:rPr>
          <w:szCs w:val="20"/>
          <w:lang w:val="lt-LT"/>
        </w:rPr>
        <w:t>pajamos – 270 000 Eur.</w:t>
      </w:r>
    </w:p>
    <w:p w14:paraId="5CB462C8"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Atsižvelgiant į tai, kad šių individualių įmonių bendras vidutinis sąrašuose esančių darbuotojų skaičius viršija PMĮ 5 str. 2 dalyje nustatytą apribojimą, t. y. 10 darbuotojų, apmokestindamos 2025 mokestinių metų apmokestinamąjį pelną, šios įmonės negali taikyti PMĮ 5 str. 2 dalyje nustatyto lengvatinio pelno mokesčio tarifo.</w:t>
      </w:r>
      <w:r w:rsidRPr="006A1298">
        <w:rPr>
          <w:lang w:val="lt-LT"/>
        </w:rPr>
        <w:t xml:space="preserve"> Apmokestinamajam pelnui turi būti taikomas 16 proc. pelno mokesčio tarifas.</w:t>
      </w:r>
    </w:p>
    <w:p w14:paraId="0F3E8706" w14:textId="77777777" w:rsidR="00BB302F" w:rsidRDefault="00BB302F">
      <w:pPr>
        <w:rPr>
          <w:rFonts w:ascii="TimesLT" w:hAnsi="TimesLT" w:cs="Arial Unicode MS"/>
          <w:lang w:val="lt-LT"/>
        </w:rPr>
      </w:pPr>
      <w:r>
        <w:rPr>
          <w:rFonts w:ascii="TimesLT" w:hAnsi="TimesLT" w:cs="Arial Unicode MS"/>
          <w:lang w:val="lt-LT"/>
        </w:rPr>
        <w:br w:type="page"/>
      </w:r>
    </w:p>
    <w:p w14:paraId="6CCEA806" w14:textId="77777777" w:rsidR="009E0403" w:rsidRPr="00E71AD5" w:rsidRDefault="009E0403" w:rsidP="009E0403">
      <w:pPr>
        <w:spacing w:line="360" w:lineRule="auto"/>
        <w:ind w:firstLine="720"/>
        <w:jc w:val="both"/>
        <w:rPr>
          <w:rFonts w:ascii="TimesLT" w:hAnsi="TimesLT" w:cs="Arial Unicode MS"/>
          <w:lang w:val="lt-LT"/>
        </w:rPr>
      </w:pPr>
      <w:r w:rsidRPr="00E71AD5">
        <w:rPr>
          <w:rFonts w:ascii="TimesLT" w:hAnsi="TimesLT" w:cs="Arial Unicode MS"/>
          <w:lang w:val="lt-LT"/>
        </w:rPr>
        <w:lastRenderedPageBreak/>
        <w:t xml:space="preserve">2 pavyzdys     </w:t>
      </w:r>
    </w:p>
    <w:p w14:paraId="4F10ECE2" w14:textId="77777777" w:rsidR="009E0403" w:rsidRPr="006A1298"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Individualios įmonės X 2025 mokestinių metų pajamos - 150 000 Eur, vidutinis sąrašuose esančių darbuotojų skaičius – 5 darbuotojai. Įmonės X savininko žmona turi individualią įmonę Y ir yra šios įmonės savininkė.  Šios įmonės Y 2025 mokestinių metų pajamos - 100 000 Eur, vidutinis sąrašuose esančių darbuotojų skaičius – 3 darbuotojai. Bendras šių individualių įmonių 2025  mokestinių metų vidutinis sąrašuose esančių darbuotojų skaičius – 8 darbuotojai ir bendros</w:t>
      </w:r>
      <w:r w:rsidRPr="006A1298">
        <w:rPr>
          <w:bCs/>
          <w:lang w:val="lt-LT"/>
        </w:rPr>
        <w:t xml:space="preserve"> mokestinio laikotarpio</w:t>
      </w:r>
      <w:r w:rsidRPr="006A1298">
        <w:rPr>
          <w:szCs w:val="20"/>
          <w:lang w:val="lt-LT"/>
        </w:rPr>
        <w:t xml:space="preserve"> pajamos – 250 000 Eur.</w:t>
      </w:r>
    </w:p>
    <w:p w14:paraId="575C79EF" w14:textId="77777777" w:rsidR="009E0403" w:rsidRPr="00FC4CFA"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6A1298">
        <w:rPr>
          <w:szCs w:val="20"/>
          <w:lang w:val="lt-LT"/>
        </w:rPr>
        <w:t xml:space="preserve">Atsižvelgiant į tai, kad šių įmonių bendros pajamos ir darbuotojų skaičius neviršija PMĮ 5 str. 2 dalyje nustatytų apribojimų, t. y. 10 darbuotojų ir 300 000 Eur </w:t>
      </w:r>
      <w:r w:rsidRPr="006A1298">
        <w:rPr>
          <w:bCs/>
          <w:lang w:val="lt-LT"/>
        </w:rPr>
        <w:t xml:space="preserve">mokestinio laikotarpio </w:t>
      </w:r>
      <w:r w:rsidRPr="006A1298">
        <w:rPr>
          <w:szCs w:val="20"/>
          <w:lang w:val="lt-LT"/>
        </w:rPr>
        <w:t>pajamų,  apmokestindamos 2025 metų apmokestinamąjį pelną, šios įmonės galės taikyti PMĮ 5 str. 2 dalyje nustatytą lengvatinį pelno mokesčio tarifą.</w:t>
      </w:r>
    </w:p>
    <w:p w14:paraId="11BEABE1" w14:textId="77777777" w:rsidR="009E0403" w:rsidRPr="00826334" w:rsidRDefault="009E0403" w:rsidP="009E0403">
      <w:pPr>
        <w:jc w:val="both"/>
        <w:rPr>
          <w:rFonts w:ascii="Trebuchet MS" w:hAnsi="Trebuchet MS"/>
          <w:sz w:val="20"/>
          <w:szCs w:val="22"/>
          <w:lang w:val="lt-LT"/>
        </w:rPr>
      </w:pPr>
      <w:r>
        <w:rPr>
          <w:iCs/>
          <w:lang w:eastAsia="lt-LT"/>
        </w:rPr>
        <w:t>(PMĮ 5 straipsnio 3 d. 1 p. komentaras parengtas pagal VMI prie FM 2025-01-09 raštą Nr. (18.32-31-1 Mr)-R-80)</w:t>
      </w:r>
    </w:p>
    <w:p w14:paraId="5AD49959" w14:textId="77777777" w:rsidR="009E0403" w:rsidRPr="00E71AD5" w:rsidRDefault="009E0403" w:rsidP="00BB302F">
      <w:pPr>
        <w:tabs>
          <w:tab w:val="left" w:pos="720"/>
          <w:tab w:val="left" w:pos="1077"/>
          <w:tab w:val="left" w:pos="1418"/>
        </w:tabs>
        <w:spacing w:before="100" w:after="100"/>
        <w:jc w:val="both"/>
        <w:rPr>
          <w:b/>
          <w:bCs/>
          <w:szCs w:val="20"/>
          <w:lang w:val="lt-LT"/>
        </w:rPr>
      </w:pPr>
      <w:r>
        <w:rPr>
          <w:b/>
          <w:lang w:val="lt-LT"/>
        </w:rPr>
        <w:tab/>
      </w:r>
      <w:r w:rsidRPr="00E71AD5">
        <w:rPr>
          <w:b/>
          <w:lang w:val="lt-LT"/>
        </w:rPr>
        <w:t>2</w:t>
      </w:r>
      <w:r w:rsidRPr="00E71AD5">
        <w:rPr>
          <w:b/>
          <w:bCs/>
          <w:szCs w:val="20"/>
          <w:lang w:val="lt-LT"/>
        </w:rPr>
        <w:t>)</w:t>
      </w:r>
      <w:r w:rsidRPr="00E71AD5">
        <w:rPr>
          <w:b/>
          <w:bCs/>
          <w:szCs w:val="20"/>
          <w:lang w:val="lt-LT"/>
        </w:rPr>
        <w:tab/>
        <w:t xml:space="preserve">vienetams (individualioms (personalinėms) įmonėms), kurių dalyvis ir (arba) jo šeimos nariai paskutinę mokestinio laikotarpio dieną valdo daugiau kaip 50 procentų akcijų (dalių, pajų) kituose vienetuose, ir vienetams, kuriuose vieneto (individualios (personalinės) įmonės) dalyvis ir (arba) jo šeimos nariai paskutinę mokestinio laikotarpio dieną valdo daugiau kaip 50 procentų akcijų (dalių, pajų); </w:t>
      </w:r>
    </w:p>
    <w:p w14:paraId="290BD788" w14:textId="77777777" w:rsidR="009E0403" w:rsidRPr="00E71AD5" w:rsidRDefault="009E0403" w:rsidP="00BB302F">
      <w:pPr>
        <w:tabs>
          <w:tab w:val="left" w:pos="720"/>
          <w:tab w:val="left" w:pos="1077"/>
          <w:tab w:val="left" w:pos="1418"/>
        </w:tabs>
        <w:spacing w:before="100" w:after="100"/>
        <w:ind w:firstLine="720"/>
        <w:jc w:val="both"/>
        <w:rPr>
          <w:b/>
          <w:lang w:val="lt-LT"/>
        </w:rPr>
      </w:pPr>
      <w:r w:rsidRPr="00E71AD5">
        <w:rPr>
          <w:b/>
          <w:lang w:val="lt-LT"/>
        </w:rPr>
        <w:t xml:space="preserve">Komentaras </w:t>
      </w:r>
    </w:p>
    <w:p w14:paraId="46583AF9" w14:textId="77777777" w:rsidR="009E0403" w:rsidRPr="002322C5" w:rsidRDefault="009E0403" w:rsidP="009E0403">
      <w:pPr>
        <w:tabs>
          <w:tab w:val="left" w:pos="720"/>
          <w:tab w:val="left" w:pos="1077"/>
          <w:tab w:val="left" w:pos="1418"/>
        </w:tabs>
        <w:ind w:firstLine="720"/>
        <w:jc w:val="both"/>
        <w:rPr>
          <w:szCs w:val="20"/>
          <w:lang w:val="lt-LT"/>
        </w:rPr>
      </w:pPr>
      <w:r w:rsidRPr="00A51AB1">
        <w:rPr>
          <w:szCs w:val="20"/>
          <w:lang w:val="lt-LT"/>
        </w:rPr>
        <w:t>1</w:t>
      </w:r>
      <w:r w:rsidRPr="002322C5">
        <w:rPr>
          <w:szCs w:val="20"/>
          <w:lang w:val="lt-LT"/>
        </w:rPr>
        <w:t xml:space="preserve">. Ši punkto nuostata taikoma toms individualioms įmonėms, kurių savininkas ir (arba) jo šeimos nariai paskutinę mokestinio laikotarpio dieną kitame vienete valdo daugiau kaip 50 proc. akcijų (dalių, pajų) ir jeigu šių vienetų, t. y. individualios įmonės ir vieneto, kuriame individualios įmonės savininkas ir (arba) jo šeimos nariai valdo daugiau kaip 50 proc. akcijų (dalių, pajų), bendras vidutinis sąrašuose esančių darbuotojų skaičius ir (arba) bendros </w:t>
      </w:r>
      <w:r w:rsidRPr="002322C5">
        <w:rPr>
          <w:bCs/>
          <w:lang w:val="lt-LT"/>
        </w:rPr>
        <w:t xml:space="preserve">mokestinio laikotarpio </w:t>
      </w:r>
      <w:r w:rsidRPr="002322C5">
        <w:rPr>
          <w:szCs w:val="20"/>
          <w:lang w:val="lt-LT"/>
        </w:rPr>
        <w:t xml:space="preserve">pajamos viršija PMĮ 5 str. 2 dalyje nustatytus apribojimus, t. y. 10 darbuotojų ir (arba) 300 000 eurų metinių pajamų.  </w:t>
      </w:r>
    </w:p>
    <w:p w14:paraId="41DB2FA2" w14:textId="77777777" w:rsidR="009E0403" w:rsidRPr="002322C5" w:rsidRDefault="009E0403" w:rsidP="009E0403">
      <w:pPr>
        <w:tabs>
          <w:tab w:val="left" w:pos="720"/>
          <w:tab w:val="left" w:pos="1077"/>
          <w:tab w:val="left" w:pos="1418"/>
        </w:tabs>
        <w:ind w:firstLine="720"/>
        <w:jc w:val="both"/>
        <w:rPr>
          <w:szCs w:val="20"/>
          <w:lang w:val="lt-LT"/>
        </w:rPr>
      </w:pPr>
      <w:r w:rsidRPr="002322C5">
        <w:rPr>
          <w:szCs w:val="20"/>
          <w:lang w:val="lt-LT"/>
        </w:rPr>
        <w:t xml:space="preserve">Taip pat, ši punkto nuostata taikoma tiems vienetams, kurių daugiau kaip 50 proc. akcijų (dalių, pajų) paskutinę mokestinio laikotarpio dieną valdo individualios įmonės savininkas ir (arba) jo šeimos nariai, bei kurių bendras vidutinis sąrašuose esančių darbuotojų skaičius ir (arba) bendros </w:t>
      </w:r>
      <w:r w:rsidRPr="002322C5">
        <w:rPr>
          <w:bCs/>
          <w:lang w:val="lt-LT"/>
        </w:rPr>
        <w:t>mokestinio laikotarpio</w:t>
      </w:r>
      <w:r w:rsidRPr="002322C5">
        <w:rPr>
          <w:szCs w:val="20"/>
          <w:lang w:val="lt-LT"/>
        </w:rPr>
        <w:t xml:space="preserve"> pajamos viršija PMĮ 5 str. 2 dalyje nustatytus apribojimus, t. y. 10 darbuotojų ir (arba) 300 000 eurų pajamų. </w:t>
      </w:r>
    </w:p>
    <w:p w14:paraId="10BF3724" w14:textId="77777777" w:rsidR="009E0403" w:rsidRPr="00A51AB1" w:rsidRDefault="009E0403" w:rsidP="009E0403">
      <w:pPr>
        <w:tabs>
          <w:tab w:val="left" w:pos="720"/>
          <w:tab w:val="left" w:pos="1077"/>
          <w:tab w:val="left" w:pos="1418"/>
        </w:tabs>
        <w:ind w:firstLine="720"/>
        <w:jc w:val="both"/>
        <w:rPr>
          <w:szCs w:val="20"/>
          <w:lang w:val="lt-LT"/>
        </w:rPr>
      </w:pPr>
      <w:r w:rsidRPr="002322C5">
        <w:rPr>
          <w:szCs w:val="20"/>
          <w:lang w:val="lt-LT"/>
        </w:rPr>
        <w:t xml:space="preserve">Vadinasi, tos individualios įmonės bei vienetai, kurių daugiau kaip 50 proc. akcijų (dalių, pajų) paskutinę mokestinio laikotarpio dieną valdo individualios įmonės savininkas ir (arba) jo šeimos nariai bei kurių bendras vidutinis sąrašuose esančių darbuotojų skaičius ir (arba) bendros pajamos viršija nustatytus dydžius, negali apmokestinamojo pelno apmokestinti taikant  PMĮ 5 str. 2 dalyje nustatytą lengvatinį </w:t>
      </w:r>
      <w:r w:rsidRPr="00AD2204">
        <w:rPr>
          <w:lang w:val="lt-LT"/>
        </w:rPr>
        <w:t>6 proc. arba 0 proc. (pirmąjį mokestinį laikotarpį)</w:t>
      </w:r>
      <w:r>
        <w:rPr>
          <w:b/>
          <w:lang w:val="lt-LT"/>
        </w:rPr>
        <w:t xml:space="preserve"> </w:t>
      </w:r>
      <w:r w:rsidRPr="002322C5">
        <w:rPr>
          <w:szCs w:val="20"/>
          <w:lang w:val="lt-LT"/>
        </w:rPr>
        <w:t>pelno mokesčio tarifą.</w:t>
      </w:r>
    </w:p>
    <w:p w14:paraId="12B31907" w14:textId="77777777" w:rsidR="009E0403" w:rsidRDefault="009E0403" w:rsidP="009E0403">
      <w:pPr>
        <w:tabs>
          <w:tab w:val="left" w:pos="720"/>
          <w:tab w:val="left" w:pos="1077"/>
          <w:tab w:val="left" w:pos="1418"/>
        </w:tabs>
        <w:ind w:firstLine="720"/>
        <w:jc w:val="both"/>
        <w:rPr>
          <w:lang w:val="lt-LT"/>
        </w:rPr>
      </w:pPr>
      <w:r>
        <w:rPr>
          <w:lang w:val="lt-LT"/>
        </w:rPr>
        <w:t>1</w:t>
      </w:r>
      <w:r w:rsidRPr="00E71AD5">
        <w:rPr>
          <w:lang w:val="lt-LT"/>
        </w:rPr>
        <w:t xml:space="preserve"> pavyzdys</w:t>
      </w:r>
    </w:p>
    <w:p w14:paraId="7BD3D6D0"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324582">
        <w:rPr>
          <w:lang w:val="lt-LT"/>
        </w:rPr>
        <w:t xml:space="preserve">Individualios įmonės savininkui priklauso UAB X 50 proc. akcijų, likusias 50 proc. UAB X akcijų valdo kartu gyvenanti individualios įmonės savininko duktė. </w:t>
      </w:r>
    </w:p>
    <w:p w14:paraId="08E4EF63"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lang w:val="lt-LT"/>
        </w:rPr>
        <w:t xml:space="preserve">UAB X </w:t>
      </w:r>
      <w:r w:rsidRPr="00324582">
        <w:rPr>
          <w:szCs w:val="20"/>
          <w:lang w:val="lt-LT"/>
        </w:rPr>
        <w:t xml:space="preserve">2025 mokestinių metų pajamos - 250 000 Eur, vidutinis sąrašuose esančių darbuotojų skaičius – 5 darbuotojai, o individualios įmonės mokestinių metų pajamos - 150 000 </w:t>
      </w:r>
      <w:r w:rsidRPr="00324582">
        <w:rPr>
          <w:lang w:val="lt-LT"/>
        </w:rPr>
        <w:t>Eur</w:t>
      </w:r>
      <w:r w:rsidRPr="00324582">
        <w:rPr>
          <w:szCs w:val="20"/>
          <w:lang w:val="lt-LT"/>
        </w:rPr>
        <w:t xml:space="preserve"> ir vidutinis sąrašuose esančių darbuotojų skaičius – 4 darbuotojai. Bendras šių vienetų 2025 mokestinių metų vidutinis sąrašuose esančių darbuotojų skaičius – 9 darbuotojai ir bendros  mokestinių metų pajamos – 400 000 Eur.</w:t>
      </w:r>
    </w:p>
    <w:p w14:paraId="51C06C53" w14:textId="77777777" w:rsidR="009E0403" w:rsidRPr="00E71AD5"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324582">
        <w:rPr>
          <w:szCs w:val="20"/>
          <w:lang w:val="lt-LT"/>
        </w:rPr>
        <w:lastRenderedPageBreak/>
        <w:t>Atsižvelgiant į tai, kad šių vienetų bendros mokestinių metų pajamos viršija PMĮ 5 str. 2 dalyje nustatytą apribojimą, t. y. 300 000 Eur, apmokestindami 2025 mokestinių metų apmokestinamąjį pelną, šie vienetai negali taikyti PMĮ 5 str. 2 dalyje nustatyto lengvatinio pelno mokesčio tarifo.</w:t>
      </w:r>
      <w:r w:rsidRPr="00324582">
        <w:rPr>
          <w:lang w:val="lt-LT"/>
        </w:rPr>
        <w:t xml:space="preserve"> Tų metų apmokestinamajam pelnui turi būti taikomas 16 proc. pelno mokesčio tarifas. </w:t>
      </w:r>
    </w:p>
    <w:p w14:paraId="5E08914E" w14:textId="77777777" w:rsidR="009E0403" w:rsidRDefault="009E0403" w:rsidP="009E0403">
      <w:pPr>
        <w:tabs>
          <w:tab w:val="left" w:pos="720"/>
          <w:tab w:val="left" w:pos="1077"/>
          <w:tab w:val="left" w:pos="1418"/>
        </w:tabs>
        <w:ind w:firstLine="720"/>
        <w:jc w:val="both"/>
        <w:rPr>
          <w:szCs w:val="20"/>
          <w:lang w:val="lt-LT"/>
        </w:rPr>
      </w:pPr>
      <w:r>
        <w:rPr>
          <w:szCs w:val="20"/>
          <w:lang w:val="lt-LT"/>
        </w:rPr>
        <w:t>2</w:t>
      </w:r>
      <w:r w:rsidRPr="00E71AD5">
        <w:rPr>
          <w:szCs w:val="20"/>
          <w:lang w:val="lt-LT"/>
        </w:rPr>
        <w:t xml:space="preserve"> pavyzdys</w:t>
      </w:r>
    </w:p>
    <w:p w14:paraId="09BB3F6C"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 xml:space="preserve">Individualios įmonės X savininko šeimos nariai nėra kitų individualių įmonių savininkai, tačiau pats įmonės savininkas paskutinę 2025 metų mokestinio laikotarpio dieną valdo UAB Y 55 proc. akcijų, t. y. individualios įmonės X savininko kitame vienete turimos akcijos viršija 50 proc. </w:t>
      </w:r>
    </w:p>
    <w:p w14:paraId="6F7CBCCB" w14:textId="77777777" w:rsidR="009E0403" w:rsidRPr="0032458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 xml:space="preserve">Individualios įmonės X 2025 metų mokestinio laikotarpio pajamos 50 000 </w:t>
      </w:r>
      <w:r w:rsidRPr="00324582">
        <w:rPr>
          <w:lang w:val="lt-LT"/>
        </w:rPr>
        <w:t xml:space="preserve">Eur ir </w:t>
      </w:r>
      <w:r w:rsidRPr="00324582">
        <w:rPr>
          <w:szCs w:val="20"/>
          <w:lang w:val="lt-LT"/>
        </w:rPr>
        <w:t>samdomų darbuotojų įmonė neturi, o UAB Y 2025 mokestinių metų pajamos - 100 000 Eur bei vidutinis sąrašuose esančių darbuotojų skaičius – 5 darbuotojai. Bendras šių vienetų 2025 mokestinių metų vidutinis sąrašuose esančių darbuotojų skaičius – 5 darbuotojai ir bendros metinės pajamos – 150 000 Eur.</w:t>
      </w:r>
    </w:p>
    <w:p w14:paraId="1F63982E" w14:textId="77777777" w:rsidR="009E0403" w:rsidRPr="00E71AD5"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324582">
        <w:rPr>
          <w:szCs w:val="20"/>
          <w:lang w:val="lt-LT"/>
        </w:rPr>
        <w:t>Atsižvelgiant į tai, kad individualios įmonės X ir UAB Y bendras vidutinis sąrašuose esančių darbuotojų skaičius ir bendros mokestinio laikotarpio pajamos neviršija PMĮ 5 str. 2 dalyje nustatytų apribojimų (10 darbuotojų ir 300 000 eurų metinių pajamų), apmokestindami 2025 mokestinių metų apmokestinamąjį pelną, šie vienetai gali taikyti PMĮ 5 str. 2 dalyje nustatytą lengvatinį pelno mokesčio tarifą.</w:t>
      </w:r>
    </w:p>
    <w:p w14:paraId="4AD1EDDC" w14:textId="77777777" w:rsidR="009E0403" w:rsidRDefault="009E0403" w:rsidP="009E0403">
      <w:pPr>
        <w:spacing w:line="360" w:lineRule="auto"/>
        <w:ind w:firstLine="720"/>
        <w:jc w:val="both"/>
        <w:rPr>
          <w:rFonts w:ascii="TimesLT" w:hAnsi="TimesLT" w:cs="Arial Unicode MS"/>
          <w:lang w:val="lt-LT"/>
        </w:rPr>
      </w:pPr>
      <w:r>
        <w:rPr>
          <w:rFonts w:ascii="TimesLT" w:hAnsi="TimesLT" w:cs="Arial Unicode MS"/>
          <w:lang w:val="lt-LT"/>
        </w:rPr>
        <w:t>3</w:t>
      </w:r>
      <w:r w:rsidRPr="00E71AD5">
        <w:rPr>
          <w:rFonts w:ascii="TimesLT" w:hAnsi="TimesLT" w:cs="Arial Unicode MS"/>
          <w:lang w:val="lt-LT"/>
        </w:rPr>
        <w:t xml:space="preserve"> pavyzdys    </w:t>
      </w:r>
    </w:p>
    <w:p w14:paraId="729EDFE5"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E32C21">
        <w:rPr>
          <w:szCs w:val="20"/>
          <w:lang w:val="lt-LT"/>
        </w:rPr>
        <w:t>Individualios įmonės Y savininkas yra viešosios įstaigos (pelno nesiekiančios organizacijos) steigėjas ir vienintelis šios įstaigos dalininkas, t. y. individualios įmonės savininkui priklauso 100 proc. viešosios įstaigos dalininko kapitalo.</w:t>
      </w:r>
    </w:p>
    <w:p w14:paraId="54003F43"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E32C21">
        <w:rPr>
          <w:szCs w:val="20"/>
          <w:lang w:val="lt-LT"/>
        </w:rPr>
        <w:t xml:space="preserve">Individualios įmonės Y 2025 metų mokestinio laikotarpio pajamos 220 000 </w:t>
      </w:r>
      <w:r w:rsidRPr="00E32C21">
        <w:rPr>
          <w:lang w:val="lt-LT"/>
        </w:rPr>
        <w:t>Eur</w:t>
      </w:r>
      <w:r w:rsidRPr="00E32C21">
        <w:rPr>
          <w:szCs w:val="20"/>
          <w:lang w:val="lt-LT"/>
        </w:rPr>
        <w:t xml:space="preserve"> ir vidutinis sąrašinis darbuotojų skaičius yra 5 darbuotojai, o viešosios įstaigos pajamos - 70 000 </w:t>
      </w:r>
      <w:r w:rsidRPr="00E32C21">
        <w:rPr>
          <w:lang w:val="lt-LT"/>
        </w:rPr>
        <w:t>Eur</w:t>
      </w:r>
      <w:r w:rsidRPr="00E32C21">
        <w:rPr>
          <w:szCs w:val="20"/>
          <w:lang w:val="lt-LT"/>
        </w:rPr>
        <w:t xml:space="preserve"> ir vidutinis sąrašuose esančių darbuotojų skaičius – 2 darbuotojai. Bendras šių vienetų 2025 mokestinių metų vidutinis sąrašuose esančių darbuotojų skaičius – 7 darbuotojai ir bendros mokestinio laikotarpio pajamos – 290 000 Eur.</w:t>
      </w:r>
    </w:p>
    <w:p w14:paraId="2887DCE9" w14:textId="77777777" w:rsidR="009E0403" w:rsidRPr="00E32C21"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Arial Unicode MS" w:hAnsi="Arial Unicode MS" w:cs="Arial Unicode MS"/>
          <w:i/>
          <w:iCs/>
          <w:sz w:val="20"/>
          <w:szCs w:val="20"/>
          <w:lang w:val="lt-LT"/>
        </w:rPr>
      </w:pPr>
      <w:r w:rsidRPr="00E32C21">
        <w:rPr>
          <w:szCs w:val="20"/>
          <w:lang w:val="lt-LT"/>
        </w:rPr>
        <w:t>Atsižvelgiant į tai, kad 2025 metais individualios įmonės Y ir viešosios įstaigos bendras vidutinis sąrašuose esančių darbuotojų skaičius ir bendros mokestinio laikotarpio pajamos neviršija PMĮ 5 str. 2 dalyje nustatytų apribojimų, t. y. 10 darbuotojų ir 300 000 eurų metinių pajamų, šie vienetai apmokestindami 2025 mokestinių metų apmokestinamąjį pelną, gali taikyti PMĮ 5 str. 2 dalyje nustatytą lengvatinį pelno mokesčio tarifą.</w:t>
      </w:r>
    </w:p>
    <w:p w14:paraId="7F329BE0" w14:textId="77777777" w:rsidR="009E0403" w:rsidRPr="00A13C01" w:rsidRDefault="009E0403" w:rsidP="009E0403">
      <w:pPr>
        <w:jc w:val="both"/>
        <w:rPr>
          <w:rFonts w:ascii="Trebuchet MS" w:hAnsi="Trebuchet MS"/>
          <w:sz w:val="20"/>
          <w:szCs w:val="22"/>
          <w:lang w:val="lt-LT"/>
        </w:rPr>
      </w:pPr>
      <w:r>
        <w:rPr>
          <w:iCs/>
          <w:lang w:eastAsia="lt-LT"/>
        </w:rPr>
        <w:t>(PMĮ 5 straipsnio 3 d. 2 p. komentaras parengtas pagal VMI prie FM 2025-01-09 raštą Nr. (18.32-31-1 Mr)-R-80)</w:t>
      </w:r>
    </w:p>
    <w:p w14:paraId="5392DA48" w14:textId="77777777" w:rsidR="009E0403" w:rsidRPr="00E71AD5" w:rsidRDefault="009E0403" w:rsidP="009E0403">
      <w:pPr>
        <w:tabs>
          <w:tab w:val="left" w:pos="720"/>
          <w:tab w:val="left" w:pos="1077"/>
          <w:tab w:val="left" w:pos="1418"/>
        </w:tabs>
        <w:ind w:firstLine="720"/>
        <w:jc w:val="both"/>
        <w:rPr>
          <w:b/>
          <w:lang w:val="lt-LT"/>
        </w:rPr>
      </w:pPr>
      <w:r w:rsidRPr="00E71AD5">
        <w:rPr>
          <w:b/>
          <w:lang w:val="lt-LT"/>
        </w:rPr>
        <w:t>3)</w:t>
      </w:r>
      <w:r w:rsidRPr="00E71AD5">
        <w:rPr>
          <w:b/>
          <w:lang w:val="lt-LT"/>
        </w:rPr>
        <w:tab/>
        <w:t xml:space="preserve">vienetams, kuriuose tas pats dalyvis paskutinę mokestinio laikotarpio dieną valdo daugiau kaip 50 procentų akcijų (dalių, pajų); </w:t>
      </w:r>
    </w:p>
    <w:p w14:paraId="43CCEA60" w14:textId="77777777" w:rsidR="009E0403" w:rsidRDefault="009E0403" w:rsidP="00BB302F">
      <w:pPr>
        <w:tabs>
          <w:tab w:val="left" w:pos="720"/>
          <w:tab w:val="left" w:pos="1077"/>
          <w:tab w:val="left" w:pos="1418"/>
        </w:tabs>
        <w:spacing w:before="100" w:after="100"/>
        <w:ind w:firstLine="720"/>
        <w:jc w:val="both"/>
        <w:rPr>
          <w:b/>
          <w:lang w:val="lt-LT"/>
        </w:rPr>
      </w:pPr>
      <w:r w:rsidRPr="00E71AD5">
        <w:rPr>
          <w:b/>
          <w:lang w:val="lt-LT"/>
        </w:rPr>
        <w:t>Komentaras</w:t>
      </w:r>
    </w:p>
    <w:p w14:paraId="27484622" w14:textId="77777777" w:rsidR="009E0403" w:rsidRPr="00A51AB1" w:rsidRDefault="009E0403" w:rsidP="009E0403">
      <w:pPr>
        <w:tabs>
          <w:tab w:val="left" w:pos="720"/>
          <w:tab w:val="left" w:pos="1077"/>
          <w:tab w:val="left" w:pos="1418"/>
        </w:tabs>
        <w:ind w:firstLine="720"/>
        <w:jc w:val="both"/>
        <w:rPr>
          <w:lang w:val="lt-LT"/>
        </w:rPr>
      </w:pPr>
      <w:r w:rsidRPr="00A51AB1">
        <w:rPr>
          <w:lang w:val="lt-LT"/>
        </w:rPr>
        <w:t xml:space="preserve">1. Šio </w:t>
      </w:r>
      <w:r w:rsidRPr="0024409D">
        <w:rPr>
          <w:lang w:val="lt-LT"/>
        </w:rPr>
        <w:t>punkto nuostata taikoma tiems vienetams, kuriuose tas pats dalyvis (akcininkas, narys ar pajininkas) paskutinę mokestinio laikotarpio dieną valdo daugiau kaip 50 proc. akcijų (dalių, pajų)</w:t>
      </w:r>
      <w:r w:rsidRPr="0024409D">
        <w:rPr>
          <w:szCs w:val="20"/>
          <w:lang w:val="lt-LT"/>
        </w:rPr>
        <w:t xml:space="preserve"> bei jeigu šių vienetų bendras vidutinis sąrašuose esančių darbuotojų skaičius ir (arba) bendros mokestinio laikotarpio pajamos viršija PMĮ 5 str. 2 dalyje nustatytus apribojimus, t. y. 10 darbuotojų ir (arba) 300 000 eurų pajamų. </w:t>
      </w:r>
      <w:r w:rsidRPr="0024409D">
        <w:rPr>
          <w:lang w:val="lt-LT"/>
        </w:rPr>
        <w:t xml:space="preserve">Vienetai, atitinkantys šią sąlygą, negali apmokestinamojo pelno </w:t>
      </w:r>
      <w:r w:rsidRPr="0024409D">
        <w:rPr>
          <w:lang w:val="lt-LT"/>
        </w:rPr>
        <w:lastRenderedPageBreak/>
        <w:t xml:space="preserve">apmokestinti taikant </w:t>
      </w:r>
      <w:r w:rsidRPr="0024409D">
        <w:rPr>
          <w:szCs w:val="20"/>
          <w:lang w:val="lt-LT"/>
        </w:rPr>
        <w:t xml:space="preserve">PMĮ 5 str. 2 dalyje nustatytą lengvatinį </w:t>
      </w:r>
      <w:r w:rsidRPr="009B3499">
        <w:rPr>
          <w:szCs w:val="20"/>
          <w:lang w:val="lt-LT"/>
        </w:rPr>
        <w:t>6</w:t>
      </w:r>
      <w:r>
        <w:rPr>
          <w:szCs w:val="20"/>
          <w:lang w:val="lt-LT"/>
        </w:rPr>
        <w:t xml:space="preserve"> </w:t>
      </w:r>
      <w:r w:rsidRPr="0024409D">
        <w:rPr>
          <w:lang w:val="lt-LT"/>
        </w:rPr>
        <w:t xml:space="preserve">procentų </w:t>
      </w:r>
      <w:r w:rsidRPr="0024409D">
        <w:rPr>
          <w:szCs w:val="20"/>
          <w:lang w:val="lt-LT"/>
        </w:rPr>
        <w:t>arba 0 proc. (pirmąjį mokestinį</w:t>
      </w:r>
      <w:r w:rsidRPr="00A51AB1">
        <w:rPr>
          <w:szCs w:val="20"/>
          <w:lang w:val="lt-LT"/>
        </w:rPr>
        <w:t xml:space="preserve"> laikotarpį) </w:t>
      </w:r>
      <w:r w:rsidRPr="00A51AB1">
        <w:rPr>
          <w:lang w:val="lt-LT"/>
        </w:rPr>
        <w:t xml:space="preserve">tarifą. </w:t>
      </w:r>
    </w:p>
    <w:p w14:paraId="1AB7575A"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sidRPr="00E71AD5">
        <w:rPr>
          <w:szCs w:val="20"/>
          <w:lang w:val="lt-LT"/>
        </w:rPr>
        <w:t>1 pavyzdys</w:t>
      </w:r>
    </w:p>
    <w:p w14:paraId="069ED8BD" w14:textId="77777777" w:rsidR="009E0403" w:rsidRPr="009B3499"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B3499">
        <w:rPr>
          <w:lang w:val="lt-LT"/>
        </w:rPr>
        <w:t>UAB X akcininkas A paskutinę 2025 metų mokestinio laikotarpio dieną valdo 52 proc. UAB X akcijų ir 60 proc. UAB Y akcijų, t. y.  tas pats UAB X ir UAB Y akcininkas A valdo daugiau kaip 50 proc. akcijų.</w:t>
      </w:r>
    </w:p>
    <w:p w14:paraId="16ED7140" w14:textId="77777777" w:rsidR="009E0403" w:rsidRPr="009B3499"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9B3499">
        <w:rPr>
          <w:lang w:val="lt-LT"/>
        </w:rPr>
        <w:t xml:space="preserve">UAB X </w:t>
      </w:r>
      <w:r w:rsidRPr="009B3499">
        <w:rPr>
          <w:szCs w:val="20"/>
          <w:lang w:val="lt-LT"/>
        </w:rPr>
        <w:t xml:space="preserve">2025 metų mokestinio laikotarpio </w:t>
      </w:r>
      <w:r w:rsidRPr="009B3499">
        <w:rPr>
          <w:lang w:val="lt-LT"/>
        </w:rPr>
        <w:t xml:space="preserve">vidutinis sąrašuose esančių darbuotojų skaičius – 6 darbuotojai, </w:t>
      </w:r>
      <w:r w:rsidRPr="009B3499">
        <w:rPr>
          <w:szCs w:val="20"/>
          <w:lang w:val="lt-LT"/>
        </w:rPr>
        <w:t xml:space="preserve">mokestinio laikotarpio </w:t>
      </w:r>
      <w:r w:rsidRPr="009B3499">
        <w:rPr>
          <w:lang w:val="lt-LT"/>
        </w:rPr>
        <w:t xml:space="preserve">pajamos – 165 000 Eur, o UAB Y vidutinis sąrašuose esančių darbuotojų skaičius –  3 darbuotojai, </w:t>
      </w:r>
      <w:r w:rsidRPr="009B3499">
        <w:rPr>
          <w:szCs w:val="20"/>
          <w:lang w:val="lt-LT"/>
        </w:rPr>
        <w:t xml:space="preserve">mokestinio laikotarpio </w:t>
      </w:r>
      <w:r w:rsidRPr="009B3499">
        <w:rPr>
          <w:lang w:val="lt-LT"/>
        </w:rPr>
        <w:t>pajamos –  100 000 Eur.</w:t>
      </w:r>
      <w:r w:rsidRPr="009B3499">
        <w:rPr>
          <w:szCs w:val="20"/>
          <w:lang w:val="lt-LT"/>
        </w:rPr>
        <w:t xml:space="preserve"> Bendras UAB X ir UAB Y 2025 mokestinių metų vidutinis sąrašuose esančių darbuotojų skaičius – 9 darbuotojai ir bendros metinės pajamos – 265 000 Eur.</w:t>
      </w:r>
    </w:p>
    <w:p w14:paraId="2E1E6CA2" w14:textId="77777777" w:rsidR="009E0403" w:rsidRPr="006C5724"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B3499">
        <w:rPr>
          <w:lang w:val="lt-LT"/>
        </w:rPr>
        <w:t xml:space="preserve">Atsižvelgiant į tai, kad </w:t>
      </w:r>
      <w:r w:rsidRPr="009B3499">
        <w:rPr>
          <w:szCs w:val="20"/>
          <w:lang w:val="lt-LT"/>
        </w:rPr>
        <w:t>2025 metais UAB X ir UAB Y bendras vidutinis sąrašuose esančių darbuotojų skaičius ir bendros mokestinio laikotarpio pajamos neviršija PMĮ 5 str. 2 dalyje nustatytų apribojimų, t. y. 10 darbuotojų ir 300 000 eurų metinių pajamų, šie vienetai apmokestindami 2025 mokestinių metų apmokestinamąjį pelną gali taikyti PMĮ 5 str. 2 dalyje nustatytą lengvatinį pelno</w:t>
      </w:r>
      <w:r w:rsidRPr="0024409D">
        <w:rPr>
          <w:szCs w:val="20"/>
          <w:lang w:val="lt-LT"/>
        </w:rPr>
        <w:t xml:space="preserve"> mokesčio tarifą.</w:t>
      </w:r>
    </w:p>
    <w:p w14:paraId="603A4829"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2</w:t>
      </w:r>
      <w:r w:rsidRPr="00E71AD5">
        <w:rPr>
          <w:szCs w:val="20"/>
          <w:lang w:val="lt-LT"/>
        </w:rPr>
        <w:t xml:space="preserve"> pavyzdys</w:t>
      </w:r>
    </w:p>
    <w:p w14:paraId="36EF2769" w14:textId="77777777" w:rsidR="009E0403" w:rsidRPr="00063AE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063AE2">
        <w:rPr>
          <w:lang w:val="lt-LT"/>
        </w:rPr>
        <w:t xml:space="preserve">2025 metais rugsėjo mėnesį įsteigiama mažoji bendrija, kurios nariais yra gyventojai A ir B. Įnašai į mažąją bendriją yra gyventojo A – 52 proc., o gyventojo B - 48 proc. Taip pat, gyventojas A paskutinę 2025 metų mokestinio laikotarpio dieną valdo 51 proc. UAB X akcijų.    </w:t>
      </w:r>
    </w:p>
    <w:p w14:paraId="0FC7AACF" w14:textId="77777777" w:rsidR="009E0403" w:rsidRPr="00063AE2"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063AE2">
        <w:rPr>
          <w:szCs w:val="20"/>
          <w:lang w:val="lt-LT"/>
        </w:rPr>
        <w:t xml:space="preserve">Mažosios bendrijos 2025 metų mokestinio laikotarpio </w:t>
      </w:r>
      <w:r w:rsidRPr="00063AE2">
        <w:rPr>
          <w:lang w:val="lt-LT"/>
        </w:rPr>
        <w:t>vidutinis sąrašuose esančių darbuotojų skaičius – 2 darbuotojai, pajamos – 35 000 Eur, o UAB X vidutinis sąrašuose esančių darbuotojų skaičius –  3 darbuotojai, pajamos –  40 000 Eur.</w:t>
      </w:r>
      <w:r w:rsidRPr="00063AE2">
        <w:rPr>
          <w:szCs w:val="20"/>
          <w:lang w:val="lt-LT"/>
        </w:rPr>
        <w:t xml:space="preserve"> Bendras mažosios bendrijos ir UAB X 2025 mokestinių metų vidutinis sąrašuose esančių darbuotojų skaičius – 5 darbuotojai ir bendros mokestinio laikotarpio pajamos – 75 000 Eur.   </w:t>
      </w:r>
    </w:p>
    <w:p w14:paraId="79F07B7F" w14:textId="77777777" w:rsidR="009E0403" w:rsidRPr="006C5724"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063AE2">
        <w:rPr>
          <w:lang w:val="lt-LT"/>
        </w:rPr>
        <w:t xml:space="preserve">Atsižvelgiant į tai, kad </w:t>
      </w:r>
      <w:r w:rsidRPr="00063AE2">
        <w:rPr>
          <w:szCs w:val="20"/>
          <w:lang w:val="lt-LT"/>
        </w:rPr>
        <w:t xml:space="preserve"> 2025 metais</w:t>
      </w:r>
      <w:r w:rsidRPr="00063AE2">
        <w:rPr>
          <w:lang w:val="lt-LT"/>
        </w:rPr>
        <w:t xml:space="preserve"> mažosios bendrijos ir  UAB X vidutinis sąrašuose esančių darbuotojų skaičius neviršija</w:t>
      </w:r>
      <w:r w:rsidRPr="00063AE2">
        <w:rPr>
          <w:szCs w:val="20"/>
          <w:lang w:val="lt-LT"/>
        </w:rPr>
        <w:t xml:space="preserve"> PMĮ 5 str. 2 dalyje nustatytų apribojimų, šie vienetai, apmokestindami  </w:t>
      </w:r>
      <w:r w:rsidRPr="00063AE2">
        <w:rPr>
          <w:lang w:val="lt-LT"/>
        </w:rPr>
        <w:t xml:space="preserve">2025 metų mokestinio laikotarpio apmokestinamąjį pelną, gali taikyti </w:t>
      </w:r>
      <w:r w:rsidRPr="00063AE2">
        <w:rPr>
          <w:szCs w:val="20"/>
          <w:lang w:val="lt-LT"/>
        </w:rPr>
        <w:t xml:space="preserve">PMĮ 5 str. 2 dalyje nustatytą </w:t>
      </w:r>
      <w:r w:rsidRPr="00063AE2">
        <w:rPr>
          <w:lang w:val="lt-LT"/>
        </w:rPr>
        <w:t xml:space="preserve">lengvatinį pelno mokesčio tarifą.  </w:t>
      </w:r>
    </w:p>
    <w:p w14:paraId="19BEAF19" w14:textId="77777777" w:rsidR="009E0403"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3</w:t>
      </w:r>
      <w:r w:rsidRPr="00E71AD5">
        <w:rPr>
          <w:szCs w:val="20"/>
          <w:lang w:val="lt-LT"/>
        </w:rPr>
        <w:t xml:space="preserve"> pavyzdys</w:t>
      </w:r>
    </w:p>
    <w:p w14:paraId="4350249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02B67">
        <w:rPr>
          <w:lang w:val="lt-LT"/>
        </w:rPr>
        <w:t xml:space="preserve">UAB A yra tikrosios ūkinės bendrijos dalyvis, kurio įnašas į tikrąją ūkinę bendriją yra 60 proc. visų įnašų sumos. UAB A paskutinę 2025 metų mokestinio laikotarpio dieną valdo 90 proc. UAB X akcijų,  t. y. tas pats dalyvis, - UAB A, paskutinę mokestinio laikotarpio dieną valdo daugiau kaip 50 proc. UAB X akcijų ir tikrosios ūkinės bendrijos įnašų.      </w:t>
      </w:r>
    </w:p>
    <w:p w14:paraId="74981B1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902B67">
        <w:rPr>
          <w:lang w:val="lt-LT"/>
        </w:rPr>
        <w:t>Tikrosios ūkinės bendrijos</w:t>
      </w:r>
      <w:r w:rsidRPr="00902B67">
        <w:rPr>
          <w:szCs w:val="20"/>
          <w:lang w:val="lt-LT"/>
        </w:rPr>
        <w:t xml:space="preserve"> 2025 metų mokestinio laikotarpio </w:t>
      </w:r>
      <w:r w:rsidRPr="00902B67">
        <w:rPr>
          <w:lang w:val="lt-LT"/>
        </w:rPr>
        <w:t>vidutinis sąrašuose esančių darbuotojų skaičius – 3 darbuotojai, pajamos –  190 000 Eur, o UAB X vidutinis sąrašuose esančių darbuotojų skaičius –  5 darbuotojai, pajamos –  240 000 Eur.</w:t>
      </w:r>
      <w:r w:rsidRPr="00902B67">
        <w:rPr>
          <w:szCs w:val="20"/>
          <w:lang w:val="lt-LT"/>
        </w:rPr>
        <w:t xml:space="preserve"> Bendras tikrosios ūkinės bendrijos ir UAB X 2025 mokestinių metų vidutinis sąrašuose esančių darbuotojų skaičius – 8 darbuotojai ir bendros mokestinio laikotarpio pajamos – 430 000 Eur.                 </w:t>
      </w:r>
    </w:p>
    <w:p w14:paraId="0A53BBE4" w14:textId="77777777" w:rsidR="009E0403" w:rsidRPr="00902B6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902B67">
        <w:rPr>
          <w:szCs w:val="20"/>
          <w:lang w:val="lt-LT"/>
        </w:rPr>
        <w:t xml:space="preserve">Atsižvelgiant į tai, kad šių vienetų bendros mokestinio laikotarpio pajamos viršija PMĮ 5 str. 2 dalyje nustatytą apribojimą, t. y. 300 000 Eur, apmokestinant 2025 mokestinių metų apmokestinamąjį pelną, tiek tikroji ūkinė bendrija, tiek UAB X negali taikyti PMĮ 5 str. 2 dalyje nustatyto lengvatinio </w:t>
      </w:r>
      <w:r w:rsidRPr="00902B67">
        <w:rPr>
          <w:szCs w:val="20"/>
          <w:lang w:val="lt-LT"/>
        </w:rPr>
        <w:lastRenderedPageBreak/>
        <w:t>pelno mokesčio tarifo.</w:t>
      </w:r>
      <w:r w:rsidRPr="00902B67">
        <w:rPr>
          <w:lang w:val="lt-LT"/>
        </w:rPr>
        <w:t xml:space="preserve"> Tų metų apmokestinamajam pelnui abu vienetai turi taikyti 16 proc. pelno mokesčio tarifą.  </w:t>
      </w:r>
    </w:p>
    <w:p w14:paraId="495BC36A" w14:textId="77777777" w:rsidR="009E0403" w:rsidRPr="006C5724" w:rsidRDefault="009E0403" w:rsidP="009E0403">
      <w:pPr>
        <w:jc w:val="both"/>
        <w:rPr>
          <w:rFonts w:ascii="Trebuchet MS" w:hAnsi="Trebuchet MS"/>
          <w:sz w:val="20"/>
          <w:szCs w:val="22"/>
          <w:lang w:val="lt-LT"/>
        </w:rPr>
      </w:pPr>
      <w:r>
        <w:rPr>
          <w:iCs/>
          <w:lang w:eastAsia="lt-LT"/>
        </w:rPr>
        <w:t>(PMĮ 5 straipsnio 3 d. 3 p. komentaras parengtas pagal VMI prie FM 2025-01-09 raštą Nr. (18.32-31-1 Mr)-R-80)</w:t>
      </w:r>
    </w:p>
    <w:p w14:paraId="60648C14" w14:textId="77777777" w:rsidR="009E0403" w:rsidRDefault="009E0403" w:rsidP="009E0403">
      <w:pPr>
        <w:tabs>
          <w:tab w:val="left" w:pos="720"/>
          <w:tab w:val="left" w:pos="1077"/>
          <w:tab w:val="left" w:pos="1418"/>
        </w:tabs>
        <w:ind w:firstLine="720"/>
        <w:jc w:val="both"/>
        <w:rPr>
          <w:b/>
          <w:lang w:val="lt-LT"/>
        </w:rPr>
      </w:pPr>
      <w:r w:rsidRPr="00E71AD5">
        <w:rPr>
          <w:b/>
          <w:bCs/>
          <w:lang w:val="lt-LT"/>
        </w:rPr>
        <w:t>4</w:t>
      </w:r>
      <w:r w:rsidRPr="00E71AD5">
        <w:rPr>
          <w:b/>
          <w:lang w:val="lt-LT"/>
        </w:rPr>
        <w:t>)</w:t>
      </w:r>
      <w:r w:rsidRPr="00E71AD5">
        <w:rPr>
          <w:b/>
          <w:lang w:val="lt-LT"/>
        </w:rPr>
        <w:tab/>
        <w:t xml:space="preserve">vienetams, kuriuose tie patys dalyviai kartu paskutinę mokestinio laikotarpio dieną valdo daugiau kaip 50 procentų akcijų (dalių, pajų). </w:t>
      </w:r>
    </w:p>
    <w:p w14:paraId="0C5EBB8D" w14:textId="77777777" w:rsidR="009E0403" w:rsidRPr="00A51AB1" w:rsidRDefault="009E0403" w:rsidP="009E0403">
      <w:pPr>
        <w:tabs>
          <w:tab w:val="left" w:pos="720"/>
          <w:tab w:val="left" w:pos="1077"/>
          <w:tab w:val="left" w:pos="1418"/>
        </w:tabs>
        <w:ind w:firstLine="720"/>
        <w:jc w:val="both"/>
        <w:rPr>
          <w:lang w:val="lt-LT"/>
        </w:rPr>
      </w:pPr>
      <w:r w:rsidRPr="00330745">
        <w:rPr>
          <w:szCs w:val="20"/>
          <w:lang w:val="lt-LT"/>
        </w:rPr>
        <w:t xml:space="preserve">1. </w:t>
      </w:r>
      <w:r w:rsidRPr="0024409D">
        <w:rPr>
          <w:szCs w:val="20"/>
          <w:lang w:val="lt-LT"/>
        </w:rPr>
        <w:t xml:space="preserve">Šio punkto nuostata taikoma tiems vienetams, kuriuose tie patys dalyviai (akcininkai, nariai ar pajininkai) paskutinę mokestinio laikotarpio dieną kartu valdo daugiau kaip 50 proc. akcijų (dalių, pajų) bei jeigu šių vienetų bendras vidutinis sąrašuose esančių darbuotojų skaičius ir (arba) bendros mokestinio laikotarpio pajamos viršija PMĮ 5 str. 2 dalyje nustatytus apribojimus, t. y. 10 darbuotojų ir (arba) 300 000 eurų pajamų. </w:t>
      </w:r>
      <w:r w:rsidRPr="0024409D">
        <w:rPr>
          <w:lang w:val="lt-LT"/>
        </w:rPr>
        <w:t xml:space="preserve">Vienetai, atitinkantys šią sąlygą, negali apmokestinamojo pelno apmokestinti, taikant </w:t>
      </w:r>
      <w:r w:rsidRPr="0024409D">
        <w:rPr>
          <w:szCs w:val="20"/>
          <w:lang w:val="lt-LT"/>
        </w:rPr>
        <w:t xml:space="preserve">PMĮ 5 str. 2 dalyje nustatytą lengvatinį </w:t>
      </w:r>
      <w:r w:rsidRPr="00777B3F">
        <w:rPr>
          <w:szCs w:val="20"/>
          <w:lang w:val="lt-LT"/>
        </w:rPr>
        <w:t xml:space="preserve">6 </w:t>
      </w:r>
      <w:r w:rsidRPr="0024409D">
        <w:rPr>
          <w:lang w:val="lt-LT"/>
        </w:rPr>
        <w:t xml:space="preserve">procentų </w:t>
      </w:r>
      <w:r w:rsidRPr="0024409D">
        <w:rPr>
          <w:szCs w:val="20"/>
          <w:lang w:val="lt-LT"/>
        </w:rPr>
        <w:t>arba 0 proc. (pirmąjį mokestinį laikotarpį</w:t>
      </w:r>
      <w:r w:rsidRPr="00A51AB1">
        <w:rPr>
          <w:szCs w:val="20"/>
          <w:lang w:val="lt-LT"/>
        </w:rPr>
        <w:t xml:space="preserve">) </w:t>
      </w:r>
      <w:r w:rsidRPr="00A51AB1">
        <w:rPr>
          <w:lang w:val="lt-LT"/>
        </w:rPr>
        <w:t xml:space="preserve">tarifą. </w:t>
      </w:r>
    </w:p>
    <w:p w14:paraId="294DD35C" w14:textId="77777777" w:rsidR="009E0403" w:rsidRPr="00383405" w:rsidRDefault="009E0403" w:rsidP="009E0403">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Pr>
          <w:szCs w:val="20"/>
          <w:lang w:val="lt-LT"/>
        </w:rPr>
        <w:t>1</w:t>
      </w:r>
      <w:r w:rsidRPr="00E71AD5">
        <w:rPr>
          <w:szCs w:val="20"/>
          <w:lang w:val="lt-LT"/>
        </w:rPr>
        <w:t xml:space="preserve"> pavyzdys</w:t>
      </w:r>
    </w:p>
    <w:p w14:paraId="29B240AC"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 xml:space="preserve">UAB X du akcininkai A ir B paskutinę 2025 metų mokestinio laikotarpio dieną valdo po 30 proc. UAB X akcijų, t. y. kartu 60 proc., ir po 40 proc. UAB Y akcijų, t. y. abu akcininkai kartu paskutinę mokestinio laikotarpio dieną valdo 80 proc.,  ir tai sudaro daugiau kaip 50 proc. akcijų. </w:t>
      </w:r>
    </w:p>
    <w:p w14:paraId="3667CE91"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 xml:space="preserve">UAB X 2025 metų mokestinio laikotarpio </w:t>
      </w:r>
      <w:r w:rsidRPr="00777B3F">
        <w:rPr>
          <w:lang w:val="lt-LT"/>
        </w:rPr>
        <w:t>vidutinis sąrašuose esančių darbuotojų skaičius – 9 darbuotojai, pajamos – 135 000 Eur, o UAB Y vidutinis sąrašuose esančių darbuotojų skaičius –  5 darbuotojai, pajamos –  140 000 Eur.</w:t>
      </w:r>
      <w:r w:rsidRPr="00777B3F">
        <w:rPr>
          <w:szCs w:val="20"/>
          <w:lang w:val="lt-LT"/>
        </w:rPr>
        <w:t xml:space="preserve"> Bendras UAB X ir UAB Y 2025 mokestinių metų vidutinis sąrašuose esančių darbuotojų skaičius – 14 darbuotojų ir bendros mokestinio laikotarpio pajamos –275 000 Eur.</w:t>
      </w:r>
    </w:p>
    <w:p w14:paraId="476C6079" w14:textId="77777777" w:rsidR="009E0403" w:rsidRPr="001120A7"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sidRPr="00777B3F">
        <w:rPr>
          <w:szCs w:val="20"/>
          <w:lang w:val="lt-LT"/>
        </w:rPr>
        <w:t>Atsižvelgiant į tai, kad šių vienetų bendras vidutinis sąrašuose esančių darbuotojų skaičius viršija PMĮ 5 str. 2 dalyje nustatytą apribojimą, tiek UAB X, tiek UAB Y apmokestindamos 2025 mokestinių metų apmokestinamąjį pelną negali taikyti PMĮ 5 str. 2 dalyje nustatyto lengvatinio pelno mokesčio tarifo.</w:t>
      </w:r>
      <w:r w:rsidRPr="00777B3F">
        <w:rPr>
          <w:lang w:val="lt-LT"/>
        </w:rPr>
        <w:t xml:space="preserve"> Tų metų apmokestinamajam pelnui turi būti taikomas 16 proc. pelno mokesčio tarifas.</w:t>
      </w:r>
    </w:p>
    <w:p w14:paraId="23BDECF5" w14:textId="77777777" w:rsidR="009E0403" w:rsidRPr="00E71AD5" w:rsidRDefault="009E0403" w:rsidP="00BB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lang w:val="lt-LT"/>
        </w:rPr>
      </w:pPr>
      <w:r>
        <w:rPr>
          <w:lang w:val="lt-LT"/>
        </w:rPr>
        <w:t>2</w:t>
      </w:r>
      <w:r w:rsidRPr="00E71AD5">
        <w:rPr>
          <w:lang w:val="lt-LT"/>
        </w:rPr>
        <w:t xml:space="preserve"> pavyzdys </w:t>
      </w:r>
    </w:p>
    <w:p w14:paraId="4838352A"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sidRPr="00777B3F">
        <w:rPr>
          <w:szCs w:val="20"/>
          <w:lang w:val="lt-LT"/>
        </w:rPr>
        <w:t>2025 metais įkuriama mažoji bendrija. Mažoji bendrija turi du narius – gyventojus A ir B (įnašų dalys lygios – t. y. po 50 proc.). Tačiau gyventojas A kartu su gyventoju B paskutinę 2025 metų mokestinio laikotarpio dieną kartu valdo 70 proc. akcijų UAB X, t. y. abu akcininkai kartu valdo daugiau kaip 50 proc. akcijų UAB X ir jiems kartu priklauso 100 proc. mažosios bendrijos įnašų.</w:t>
      </w:r>
    </w:p>
    <w:p w14:paraId="2F5C7502"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777B3F">
        <w:rPr>
          <w:szCs w:val="20"/>
          <w:lang w:val="lt-LT"/>
        </w:rPr>
        <w:t xml:space="preserve">Atsižvelgiant į tai, kad bendras mažosios bendrijos ir UAB X 2025 mokestinių metų vidutinis sąrašuose esančių darbuotojų skaičius – 9 darbuotojai ir bendros mokestinio laikotarpio pajamos – 200 000 Eur, t. y. </w:t>
      </w:r>
      <w:r w:rsidRPr="00777B3F">
        <w:rPr>
          <w:lang w:val="lt-LT"/>
        </w:rPr>
        <w:t>neviršija</w:t>
      </w:r>
      <w:r w:rsidRPr="00777B3F">
        <w:rPr>
          <w:szCs w:val="20"/>
          <w:lang w:val="lt-LT"/>
        </w:rPr>
        <w:t xml:space="preserve"> PMĮ 5 str. 2 dalyje nustatytų apribojimų, todėl tiek mažoji bendrija, tiek </w:t>
      </w:r>
      <w:r w:rsidRPr="00777B3F">
        <w:rPr>
          <w:lang w:val="lt-LT"/>
        </w:rPr>
        <w:t xml:space="preserve">UAB X 2025 metų mokestinio laikotarpio apskaičiuotam apmokestinamajam pelnui gali taikyti </w:t>
      </w:r>
      <w:r w:rsidRPr="00777B3F">
        <w:rPr>
          <w:szCs w:val="20"/>
          <w:lang w:val="lt-LT"/>
        </w:rPr>
        <w:t xml:space="preserve">PMĮ 5 str. 2 dalyje nustatytą </w:t>
      </w:r>
      <w:r w:rsidRPr="00777B3F">
        <w:rPr>
          <w:lang w:val="lt-LT"/>
        </w:rPr>
        <w:t>lengvatinį pelno mokesčio tarifą.</w:t>
      </w:r>
    </w:p>
    <w:p w14:paraId="0901A506" w14:textId="77777777" w:rsidR="009E0403" w:rsidRPr="00E71AD5"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720"/>
        <w:jc w:val="both"/>
        <w:rPr>
          <w:szCs w:val="20"/>
          <w:lang w:val="lt-LT"/>
        </w:rPr>
      </w:pPr>
      <w:r>
        <w:rPr>
          <w:szCs w:val="20"/>
          <w:lang w:val="lt-LT"/>
        </w:rPr>
        <w:t>3</w:t>
      </w:r>
      <w:r w:rsidRPr="00E71AD5">
        <w:rPr>
          <w:szCs w:val="20"/>
          <w:lang w:val="lt-LT"/>
        </w:rPr>
        <w:t xml:space="preserve"> pavyzdys</w:t>
      </w:r>
      <w:r>
        <w:rPr>
          <w:szCs w:val="20"/>
          <w:lang w:val="lt-LT"/>
        </w:rPr>
        <w:t xml:space="preserve"> </w:t>
      </w:r>
    </w:p>
    <w:p w14:paraId="1F247BBF"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0"/>
          <w:lang w:val="lt-LT"/>
        </w:rPr>
      </w:pPr>
      <w:r w:rsidRPr="00777B3F">
        <w:rPr>
          <w:lang w:val="lt-LT"/>
        </w:rPr>
        <w:t xml:space="preserve">Mažoji bendrija X turi du narius </w:t>
      </w:r>
      <w:r w:rsidRPr="00777B3F">
        <w:rPr>
          <w:szCs w:val="20"/>
          <w:lang w:val="lt-LT"/>
        </w:rPr>
        <w:t>gyventoją A ir B (įnašų dalys lygios – t. y. po 50 proc.), tačiau gyventojai A ir B taip pat yra mažosios bendrijos Y nariai, kurių įnašų dalys taip pat lygios – t. y. po 50 proc., t. y. gyventojai A ir B kartu paskutinę 2025 metų mokestinio laikotarpio dieną valdo daugiau kaip 50 proc. mažosios bendrijos X ir mažosios bendrijos Y įnašų.</w:t>
      </w:r>
    </w:p>
    <w:p w14:paraId="55AC1A70" w14:textId="77777777" w:rsidR="009E0403" w:rsidRPr="00777B3F" w:rsidRDefault="009E0403" w:rsidP="009E0403">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sidRPr="00777B3F">
        <w:rPr>
          <w:szCs w:val="20"/>
          <w:lang w:val="lt-LT"/>
        </w:rPr>
        <w:lastRenderedPageBreak/>
        <w:t xml:space="preserve">Atsižvelgiant į tai, kad bendras mažosios bendrijos X ir mažosios bendrijos Y 2025 mokestinių metų vidutinis sąrašuose esančių darbuotojų skaičius – 8 darbuotojai ir bendros mokestinio laikotarpio pajamos – 250 000 Eur, t. y. </w:t>
      </w:r>
      <w:r w:rsidRPr="00777B3F">
        <w:rPr>
          <w:lang w:val="lt-LT"/>
        </w:rPr>
        <w:t>neviršija</w:t>
      </w:r>
      <w:r w:rsidRPr="00777B3F">
        <w:rPr>
          <w:szCs w:val="20"/>
          <w:lang w:val="lt-LT"/>
        </w:rPr>
        <w:t xml:space="preserve"> PMĮ 5 str. 2 dalyje nustatytų apribojimų, todėl abi mažosios bendrijos </w:t>
      </w:r>
      <w:r w:rsidRPr="00777B3F">
        <w:rPr>
          <w:lang w:val="lt-LT"/>
        </w:rPr>
        <w:t xml:space="preserve">2025 metų mokestinio laikotarpio apskaičiuotam apmokestinamajam pelnui gali taikyti </w:t>
      </w:r>
      <w:r w:rsidRPr="00777B3F">
        <w:rPr>
          <w:szCs w:val="20"/>
          <w:lang w:val="lt-LT"/>
        </w:rPr>
        <w:t xml:space="preserve">PMĮ 5 str. 2 dalyje nustatytą </w:t>
      </w:r>
      <w:r w:rsidRPr="00777B3F">
        <w:rPr>
          <w:lang w:val="lt-LT"/>
        </w:rPr>
        <w:t>lengvatinį pelno mokesčio tarifą.</w:t>
      </w:r>
    </w:p>
    <w:p w14:paraId="467F228A" w14:textId="77777777" w:rsidR="009E0403" w:rsidRPr="00383405" w:rsidRDefault="009E0403" w:rsidP="009E0403">
      <w:pPr>
        <w:jc w:val="both"/>
        <w:rPr>
          <w:rFonts w:ascii="Trebuchet MS" w:hAnsi="Trebuchet MS"/>
          <w:sz w:val="20"/>
          <w:szCs w:val="22"/>
          <w:lang w:val="lt-LT"/>
        </w:rPr>
      </w:pPr>
      <w:r>
        <w:rPr>
          <w:iCs/>
          <w:lang w:eastAsia="lt-LT"/>
        </w:rPr>
        <w:t>(PMĮ 5 straipsnio 3 d. 4 p. komentaras parengtas pagal VMI prie FM 2025-01-09 raštą Nr. (18.32-31-1 Mr)-R-80)</w:t>
      </w:r>
    </w:p>
    <w:p w14:paraId="165CD889" w14:textId="77777777" w:rsidR="009E0403" w:rsidRDefault="009E0403" w:rsidP="009E0403">
      <w:pPr>
        <w:ind w:firstLine="720"/>
        <w:jc w:val="both"/>
        <w:rPr>
          <w:i/>
        </w:rPr>
      </w:pPr>
      <w:r w:rsidRPr="00C074BE">
        <w:rPr>
          <w:b/>
          <w:bCs/>
        </w:rPr>
        <w:t>4</w:t>
      </w:r>
      <w:r w:rsidRPr="00C074BE">
        <w:rPr>
          <w:b/>
          <w:bCs/>
          <w:lang w:val="lt-LT"/>
        </w:rPr>
        <w:t xml:space="preserve">. </w:t>
      </w:r>
      <w:r w:rsidRPr="009B5DF3">
        <w:rPr>
          <w:b/>
          <w:bCs/>
        </w:rPr>
        <w:t>NETEKO GALIOS</w:t>
      </w:r>
      <w:r w:rsidRPr="00C074BE">
        <w:rPr>
          <w:b/>
          <w:bCs/>
          <w:i/>
        </w:rPr>
        <w:t>:</w:t>
      </w:r>
      <w:r w:rsidRPr="00C074BE">
        <w:rPr>
          <w:b/>
          <w:bCs/>
          <w:i/>
          <w:lang w:val="lt-LT"/>
        </w:rPr>
        <w:t xml:space="preserve"> </w:t>
      </w:r>
      <w:r w:rsidRPr="005D5312">
        <w:rPr>
          <w:b/>
          <w:bCs/>
        </w:rPr>
        <w:t>2018 06 28 įstatymu Nr. XIII-1333 (nuo 2019 01 01</w:t>
      </w:r>
      <w:r w:rsidRPr="005D5312">
        <w:t>)</w:t>
      </w:r>
    </w:p>
    <w:p w14:paraId="02EBAF6E" w14:textId="77777777" w:rsidR="009E0403" w:rsidRPr="005D5312" w:rsidRDefault="009E0403" w:rsidP="009E0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B5DF3">
        <w:rPr>
          <w:b/>
          <w:bCs/>
          <w:szCs w:val="20"/>
        </w:rPr>
        <w:t xml:space="preserve">       </w:t>
      </w:r>
      <w:r w:rsidRPr="009B5DF3">
        <w:rPr>
          <w:b/>
        </w:rPr>
        <w:t xml:space="preserve">     </w:t>
      </w:r>
      <w:r w:rsidRPr="004A0910">
        <w:rPr>
          <w:b/>
        </w:rPr>
        <w:t>5</w:t>
      </w:r>
      <w:r w:rsidRPr="004A0910">
        <w:rPr>
          <w:b/>
          <w:i/>
        </w:rPr>
        <w:t xml:space="preserve">. </w:t>
      </w:r>
      <w:r w:rsidRPr="004A0910">
        <w:rPr>
          <w:b/>
          <w:iCs/>
        </w:rPr>
        <w:t>NETEKO GALIOS</w:t>
      </w:r>
      <w:r>
        <w:rPr>
          <w:b/>
          <w:i/>
          <w:iCs/>
        </w:rPr>
        <w:t xml:space="preserve">: </w:t>
      </w:r>
      <w:r w:rsidRPr="005D5312">
        <w:rPr>
          <w:b/>
          <w:iCs/>
        </w:rPr>
        <w:t>2017 12 07 įstatymu Nr. XIII-842 (nuo 2017 12 23)</w:t>
      </w:r>
    </w:p>
    <w:p w14:paraId="26B5B028" w14:textId="77777777" w:rsidR="009E0403" w:rsidRPr="006419B3" w:rsidRDefault="009E0403" w:rsidP="009E0403">
      <w:pPr>
        <w:ind w:firstLine="720"/>
        <w:jc w:val="both"/>
        <w:rPr>
          <w:rFonts w:ascii="Times New (W1)" w:hAnsi="Times New (W1)"/>
          <w:b/>
          <w:iCs/>
          <w:color w:val="000000"/>
          <w:lang w:val="lt-LT"/>
        </w:rPr>
      </w:pPr>
      <w:r w:rsidRPr="006419B3">
        <w:rPr>
          <w:rFonts w:ascii="Times New (W1)" w:hAnsi="Times New (W1)"/>
          <w:b/>
          <w:iCs/>
          <w:color w:val="000000"/>
          <w:lang w:val="lt-LT"/>
        </w:rPr>
        <w:t xml:space="preserve">6. Kooperatinių bendrovių (kooperatyvų), kurių per mokestinį laikotarpį daugiau kaip 50 procentų pajamų sudaro pajamos iš žemės ūkio veiklos, įskaitant kooperatinių bendrovių (kooperatyvų) pajamas už parduotus įsigytus iš savo narių šių narių pagamintus žemės ūkio produktus, apmokestinamasis pelnas apmokestinamas </w:t>
      </w:r>
      <w:r w:rsidRPr="00777B3F">
        <w:rPr>
          <w:rFonts w:ascii="Times New (W1)" w:hAnsi="Times New (W1)"/>
          <w:b/>
          <w:iCs/>
          <w:color w:val="000000"/>
          <w:lang w:val="lt-LT"/>
        </w:rPr>
        <w:t>taikant 6 procentų</w:t>
      </w:r>
      <w:r w:rsidRPr="006419B3">
        <w:rPr>
          <w:rFonts w:ascii="Times New (W1)" w:hAnsi="Times New (W1)"/>
          <w:b/>
          <w:iCs/>
          <w:color w:val="000000"/>
          <w:lang w:val="lt-LT"/>
        </w:rPr>
        <w:t xml:space="preserve"> mokesčio tarifą.</w:t>
      </w:r>
    </w:p>
    <w:p w14:paraId="2333B3EB" w14:textId="77777777" w:rsidR="0068038A" w:rsidRPr="00C26FC4" w:rsidRDefault="009E0403" w:rsidP="0068038A">
      <w:pPr>
        <w:tabs>
          <w:tab w:val="left" w:pos="720"/>
          <w:tab w:val="left" w:pos="1077"/>
          <w:tab w:val="left" w:pos="1418"/>
        </w:tabs>
        <w:spacing w:after="0"/>
        <w:jc w:val="both"/>
        <w:rPr>
          <w:bCs/>
          <w:i/>
          <w:szCs w:val="20"/>
          <w:lang w:val="lt-LT"/>
        </w:rPr>
      </w:pPr>
      <w:r>
        <w:rPr>
          <w:bCs/>
          <w:i/>
          <w:szCs w:val="20"/>
          <w:lang w:val="lt-LT"/>
        </w:rPr>
        <w:tab/>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118A107F" w14:textId="77777777" w:rsidR="009E0403" w:rsidRDefault="009E0403" w:rsidP="0068038A">
      <w:pPr>
        <w:tabs>
          <w:tab w:val="left" w:pos="720"/>
          <w:tab w:val="left" w:pos="1077"/>
          <w:tab w:val="left" w:pos="1418"/>
        </w:tabs>
        <w:jc w:val="both"/>
        <w:rPr>
          <w:b/>
          <w:iCs/>
          <w:color w:val="000000"/>
        </w:rPr>
      </w:pPr>
      <w:r>
        <w:rPr>
          <w:b/>
          <w:iCs/>
          <w:color w:val="000000"/>
        </w:rPr>
        <w:t>Komentaras</w:t>
      </w:r>
    </w:p>
    <w:p w14:paraId="78A78E9B" w14:textId="77777777" w:rsidR="009E0403" w:rsidRDefault="009E0403" w:rsidP="009E0403">
      <w:pPr>
        <w:tabs>
          <w:tab w:val="left" w:pos="1080"/>
        </w:tabs>
        <w:ind w:firstLine="720"/>
        <w:jc w:val="both"/>
        <w:rPr>
          <w:bCs/>
        </w:rPr>
      </w:pPr>
      <w:r>
        <w:rPr>
          <w:bCs/>
        </w:rPr>
        <w:t>1. Žemės ūkio veiklos sąvoka apibrėžta PMĮ 2 str. 28</w:t>
      </w:r>
      <w:r>
        <w:rPr>
          <w:bCs/>
          <w:sz w:val="22"/>
          <w:vertAlign w:val="superscript"/>
        </w:rPr>
        <w:t>1</w:t>
      </w:r>
      <w:r>
        <w:rPr>
          <w:bCs/>
        </w:rPr>
        <w:t xml:space="preserve"> dalyje (žr. PMĮ 2 str. 28</w:t>
      </w:r>
      <w:r>
        <w:rPr>
          <w:bCs/>
          <w:vertAlign w:val="superscript"/>
        </w:rPr>
        <w:t>1</w:t>
      </w:r>
      <w:r>
        <w:rPr>
          <w:bCs/>
        </w:rPr>
        <w:t xml:space="preserve"> dalies komentarą).</w:t>
      </w:r>
    </w:p>
    <w:p w14:paraId="4F16D289" w14:textId="77777777" w:rsidR="009E0403" w:rsidRDefault="009E0403" w:rsidP="009E0403">
      <w:pPr>
        <w:tabs>
          <w:tab w:val="left" w:pos="1080"/>
        </w:tabs>
        <w:ind w:firstLine="720"/>
        <w:jc w:val="both"/>
        <w:rPr>
          <w:bCs/>
        </w:rPr>
      </w:pPr>
      <w:r>
        <w:rPr>
          <w:bCs/>
        </w:rPr>
        <w:t>2. Kooperatinių bendrovių veiklą reglamentuoja Lietuvos Respublikos kooperatinių bendrovių (kooperatyvų) įstatymas.</w:t>
      </w:r>
    </w:p>
    <w:p w14:paraId="39979FEC" w14:textId="77777777" w:rsidR="009E0403" w:rsidRPr="003A7743" w:rsidRDefault="009E0403" w:rsidP="009E0403">
      <w:pPr>
        <w:tabs>
          <w:tab w:val="left" w:pos="1080"/>
        </w:tabs>
        <w:ind w:firstLine="720"/>
        <w:jc w:val="both"/>
        <w:rPr>
          <w:bCs/>
          <w:lang w:val="lt-LT"/>
        </w:rPr>
      </w:pPr>
      <w:r w:rsidRPr="003A7743">
        <w:rPr>
          <w:bCs/>
          <w:lang w:val="lt-LT"/>
        </w:rPr>
        <w:t>3. Kooperatinių bendrovių (kooperatyvų), kurių pajamos iš žemės ūkio veiklos, įskaitant jų  pajamas už parduotus įsigytus iš savo narių šių narių pagamintus žemės ūkio produktus, per mokestinį laikotarpį sudaro daugiau kaip 50 proc. visų jų pajamų,  apmokestinamasis pelnas apmokestinamas taikant 6 proc. pelno mokesčio tarifą. Jeigu kooperatinės bendrovės (kooperatyvo) mokestinio laikotarpio pajamos iš žemės ūkio veiklos sudaro 50 proc. ir mažiau visų jos pajamų, tai bendrovei taikoma bendra apmokestinamojo pelno apmokestinimo taisyklė, t. y. apmokestinamasis pelnas apmokestinamas taikant vieną iš PMĮ 5 straipsnyje nurodytų pelno mokesčių tarifų (16 proc. arba 6 proc.). Pavyzdžiui, jei žemės ūkio veiklą vykdančios kooperatinės bendrovės (kooperatyvo) vidutinis sąrašuose esančių darbuotojų skaičius neviršija 10 žmonių ir mokestinio laikotarpio pajamos neviršija 300 000 Eur ir vienetas neatitinka PMĮ 5 straipsnio 3 dalyje nustatytų sąlygų, tai apmokestinamasis pelnas gali būti apmokestinamas taikant 6 proc. mokesčio tarifą.</w:t>
      </w:r>
    </w:p>
    <w:p w14:paraId="08DEE586" w14:textId="77777777" w:rsidR="009E0403" w:rsidRPr="003A7743" w:rsidRDefault="009E0403" w:rsidP="009E0403">
      <w:pPr>
        <w:tabs>
          <w:tab w:val="left" w:pos="1080"/>
        </w:tabs>
        <w:ind w:firstLine="720"/>
        <w:jc w:val="both"/>
        <w:rPr>
          <w:bCs/>
          <w:lang w:val="lt-LT"/>
        </w:rPr>
      </w:pPr>
      <w:r w:rsidRPr="003A7743">
        <w:rPr>
          <w:bCs/>
          <w:lang w:val="lt-LT"/>
        </w:rPr>
        <w:t>Kitų žemės ūkio veiklą vykdančių vienetų, išskyrus kooperatines bendroves (kooperatyvus), apmokestinamasis pelnas apmokestinamas taikant bendrą apmokestinamojo pelno apmokestinimo taisyklę, t. y. vieną iš PMĮ 5 straipsnyje nurodytų pelno mokesčių tarifų (16 proc. arba 6 proc.).</w:t>
      </w:r>
    </w:p>
    <w:p w14:paraId="6A17EF6A" w14:textId="77777777" w:rsidR="009E0403" w:rsidRDefault="009E0403" w:rsidP="009E0403">
      <w:pPr>
        <w:tabs>
          <w:tab w:val="left" w:pos="1080"/>
        </w:tabs>
        <w:ind w:firstLine="720"/>
        <w:jc w:val="both"/>
        <w:rPr>
          <w:bCs/>
        </w:rPr>
      </w:pPr>
      <w:r>
        <w:rPr>
          <w:iCs/>
          <w:lang w:eastAsia="lt-LT"/>
        </w:rPr>
        <w:t>(PMĮ 5 straipsnio 6 d. 3 p. komentaras parengtas pagal VMI prie FM 2025-01-09 raštą Nr. (18.32-31-1 Mr)-R-80)</w:t>
      </w:r>
    </w:p>
    <w:p w14:paraId="33489604" w14:textId="77777777" w:rsidR="009E0403" w:rsidRDefault="009E0403" w:rsidP="009E0403">
      <w:pPr>
        <w:tabs>
          <w:tab w:val="left" w:pos="1080"/>
        </w:tabs>
        <w:ind w:firstLine="720"/>
        <w:jc w:val="both"/>
        <w:rPr>
          <w:bCs/>
        </w:rPr>
      </w:pPr>
      <w:r>
        <w:rPr>
          <w:bCs/>
        </w:rPr>
        <w:t>4. Pajamų iš žemės ūkio veiklos dalis vadovaujantis PMĮ 2 straipsnio  24 dalimi yra nustatoma visose vieneto iš Lietuvos ir ne Lietuvos šaltinių uždirbtose ir (arba) gautose visų rūšių pajamose. Žemės ūkio veiklą vykdančių vienetų pajamoms iš žemės ūkio veiklos priskirtinos pajamos, gautos iš vykdomos žemės ūkio veiklos tiek Lietuvoje, tiek užsienyje (jeigu PMĮ nenustatyta kitaip). Pažymime, kad žemės ūkio veikla užsiimančių vienetų, gautos tiesioginės ar kompensacinės išmokos, pajamų lygiui palaikyti ar kompensuoti pajamų netekimą, priskiriamos žemės ūkio veiklos pajamoms.</w:t>
      </w:r>
    </w:p>
    <w:p w14:paraId="02AFEF7F" w14:textId="77777777" w:rsidR="009E0403" w:rsidRDefault="009E0403" w:rsidP="009E0403">
      <w:pPr>
        <w:tabs>
          <w:tab w:val="left" w:pos="1080"/>
        </w:tabs>
        <w:ind w:firstLine="720"/>
        <w:jc w:val="both"/>
        <w:rPr>
          <w:bCs/>
        </w:rPr>
      </w:pPr>
      <w:r>
        <w:rPr>
          <w:bCs/>
        </w:rPr>
        <w:lastRenderedPageBreak/>
        <w:t>Jeigu vienetas, vykdantis žemės ūkio veiklą turi nuolatinę buveinę kitoje užsienio valstybėje, tai nustatant žemės ūkio veiklos dalį visose pajamose, turi būti skaičiuojamos visos Lietuvos vieneto pajamos bei per nuolatinę buveinę, įskaitant nuolatinę buveinę, kurios pajamos pagal PMĮ 4 straipsnio 1 dalį į mokesčio bazę neįtraukiamos, užsienyje uždirbtos pajamos, išskyrus gautus dividendus.</w:t>
      </w:r>
    </w:p>
    <w:p w14:paraId="32839F06" w14:textId="77777777" w:rsidR="009E0403" w:rsidRDefault="009E0403" w:rsidP="009E0403">
      <w:pPr>
        <w:tabs>
          <w:tab w:val="left" w:pos="1080"/>
        </w:tabs>
        <w:ind w:firstLine="720"/>
        <w:jc w:val="both"/>
        <w:rPr>
          <w:bCs/>
        </w:rPr>
      </w:pPr>
      <w:r>
        <w:rPr>
          <w:bCs/>
        </w:rPr>
        <w:t>Jeigu užsienio vienetas vykdo žemės ūkio veiklą per nuolatinę buveinę Lietuvoje, tai atitinkamai nustatant žemės ūkio veiklos dalį visose pajamose, turi būti skaičiuojamos visos užsienio vieneto pajamos, įskaitant nuolatinės buveinės pajamas uždirbtas Lietuvoje.</w:t>
      </w:r>
    </w:p>
    <w:p w14:paraId="7E787262" w14:textId="77777777" w:rsidR="009E0403" w:rsidRDefault="009E0403" w:rsidP="009E0403">
      <w:pPr>
        <w:tabs>
          <w:tab w:val="left" w:pos="1080"/>
        </w:tabs>
        <w:ind w:firstLine="720"/>
        <w:jc w:val="both"/>
        <w:rPr>
          <w:bCs/>
        </w:rPr>
      </w:pPr>
      <w:r>
        <w:rPr>
          <w:bCs/>
        </w:rPr>
        <w:t>Pažymėtina, kad nustatant žemės ūkio veiklos dalį visose pajamose, iš Lietuvos ir užsienio vienetų gauti dividendai į pajamų ribos skaičiavimą neįtraukiami.</w:t>
      </w:r>
    </w:p>
    <w:p w14:paraId="6DC91C33" w14:textId="77777777" w:rsidR="009E0403" w:rsidRPr="00BA5F78" w:rsidRDefault="009E0403" w:rsidP="009E0403">
      <w:pPr>
        <w:tabs>
          <w:tab w:val="left" w:pos="1080"/>
        </w:tabs>
        <w:ind w:firstLine="720"/>
        <w:jc w:val="both"/>
        <w:rPr>
          <w:bCs/>
          <w:lang w:val="lt-LT"/>
        </w:rPr>
      </w:pPr>
      <w:r w:rsidRPr="00BA5F78">
        <w:rPr>
          <w:bCs/>
          <w:lang w:val="lt-LT"/>
        </w:rPr>
        <w:t>Pavyzdžiai</w:t>
      </w:r>
    </w:p>
    <w:tbl>
      <w:tblPr>
        <w:tblW w:w="9449" w:type="dxa"/>
        <w:tblLayout w:type="fixed"/>
        <w:tblLook w:val="04A0" w:firstRow="1" w:lastRow="0" w:firstColumn="1" w:lastColumn="0" w:noHBand="0" w:noVBand="1"/>
      </w:tblPr>
      <w:tblGrid>
        <w:gridCol w:w="9449"/>
      </w:tblGrid>
      <w:tr w:rsidR="009E0403" w:rsidRPr="00BA5F78" w14:paraId="00E7DE86" w14:textId="77777777" w:rsidTr="00513B27">
        <w:tc>
          <w:tcPr>
            <w:tcW w:w="9449" w:type="dxa"/>
            <w:tcBorders>
              <w:top w:val="single" w:sz="4" w:space="0" w:color="auto"/>
              <w:left w:val="single" w:sz="4" w:space="0" w:color="auto"/>
              <w:bottom w:val="single" w:sz="4" w:space="0" w:color="auto"/>
              <w:right w:val="single" w:sz="4" w:space="0" w:color="auto"/>
            </w:tcBorders>
          </w:tcPr>
          <w:p w14:paraId="574BC171" w14:textId="77777777" w:rsidR="009E0403" w:rsidRPr="00DE1734" w:rsidRDefault="009E0403" w:rsidP="00513B27">
            <w:pPr>
              <w:tabs>
                <w:tab w:val="left" w:pos="1080"/>
              </w:tabs>
              <w:ind w:firstLine="720"/>
              <w:jc w:val="both"/>
              <w:rPr>
                <w:bCs/>
                <w:lang w:val="lt-LT"/>
              </w:rPr>
            </w:pPr>
            <w:r w:rsidRPr="00DE1734">
              <w:rPr>
                <w:bCs/>
                <w:lang w:val="lt-LT"/>
              </w:rPr>
              <w:t>1. Žemės ūkio kooperatyvas X (toliau – kooperatyvas) vykdo žemės ūkio veiklą. Per 2025 metais prasidėjusį mokestinį laikotarpį uždirbo 260 000 Eur pajamų, iš jų:</w:t>
            </w:r>
          </w:p>
          <w:p w14:paraId="10490211" w14:textId="77777777" w:rsidR="009E0403" w:rsidRPr="00DE1734" w:rsidRDefault="009E0403" w:rsidP="00513B27">
            <w:pPr>
              <w:tabs>
                <w:tab w:val="left" w:pos="1080"/>
              </w:tabs>
              <w:ind w:firstLine="720"/>
              <w:jc w:val="both"/>
              <w:rPr>
                <w:bCs/>
                <w:lang w:val="lt-LT"/>
              </w:rPr>
            </w:pPr>
            <w:r w:rsidRPr="00DE1734">
              <w:rPr>
                <w:bCs/>
                <w:lang w:val="lt-LT"/>
              </w:rPr>
              <w:t>133 000 Eur pajamų už tvenkinių valymo darbus (sudaro 51,15 proc. visų pajamų);</w:t>
            </w:r>
          </w:p>
          <w:p w14:paraId="5BE0FCDF" w14:textId="77777777" w:rsidR="009E0403" w:rsidRPr="00DE1734" w:rsidRDefault="009E0403" w:rsidP="00513B27">
            <w:pPr>
              <w:tabs>
                <w:tab w:val="left" w:pos="1080"/>
              </w:tabs>
              <w:ind w:firstLine="720"/>
              <w:jc w:val="both"/>
              <w:rPr>
                <w:bCs/>
                <w:lang w:val="lt-LT"/>
              </w:rPr>
            </w:pPr>
            <w:r w:rsidRPr="00DE1734">
              <w:rPr>
                <w:bCs/>
                <w:lang w:val="lt-LT"/>
              </w:rPr>
              <w:t>10 000 Eur kitų pajamų (sudaro 3,85 proc. visų pajamų);</w:t>
            </w:r>
          </w:p>
          <w:p w14:paraId="6151E7C7" w14:textId="77777777" w:rsidR="009E0403" w:rsidRPr="00DE1734" w:rsidRDefault="009E0403" w:rsidP="00513B27">
            <w:pPr>
              <w:tabs>
                <w:tab w:val="left" w:pos="1080"/>
              </w:tabs>
              <w:ind w:firstLine="720"/>
              <w:jc w:val="both"/>
              <w:rPr>
                <w:bCs/>
                <w:lang w:val="lt-LT"/>
              </w:rPr>
            </w:pPr>
            <w:r w:rsidRPr="00DE1734">
              <w:rPr>
                <w:bCs/>
                <w:lang w:val="lt-LT"/>
              </w:rPr>
              <w:t>117 000 Eur turto vertės padidėjimo pajamų iš ilgalaikio turto (pastato) perleidimo (sudaro 45 proc. visų pajamų).</w:t>
            </w:r>
          </w:p>
          <w:p w14:paraId="1E35A54C" w14:textId="77777777" w:rsidR="009E0403" w:rsidRPr="00DE1734" w:rsidRDefault="009E0403" w:rsidP="00513B27">
            <w:pPr>
              <w:tabs>
                <w:tab w:val="left" w:pos="1080"/>
              </w:tabs>
              <w:ind w:firstLine="720"/>
              <w:jc w:val="both"/>
              <w:rPr>
                <w:bCs/>
                <w:lang w:val="lt-LT"/>
              </w:rPr>
            </w:pPr>
            <w:r w:rsidRPr="00DE1734">
              <w:rPr>
                <w:bCs/>
                <w:lang w:val="lt-LT"/>
              </w:rPr>
              <w:t>Kadangi kooperatyvo pajamos iš žemės ūkio veiklos sudaro 51,15 proc. visų pajamų, tai 2025 metais kooperatyvo apmokestinamasis pelnas apmokestinamas 6 proc. pelno mokesčio tarifu.</w:t>
            </w:r>
          </w:p>
          <w:p w14:paraId="0B130C96" w14:textId="77777777" w:rsidR="009E0403" w:rsidRPr="00DE1734" w:rsidRDefault="009E0403" w:rsidP="00513B27">
            <w:pPr>
              <w:tabs>
                <w:tab w:val="left" w:pos="1080"/>
              </w:tabs>
              <w:ind w:firstLine="720"/>
              <w:jc w:val="both"/>
              <w:rPr>
                <w:bCs/>
                <w:lang w:val="lt-LT"/>
              </w:rPr>
            </w:pPr>
            <w:r w:rsidRPr="00DE1734">
              <w:rPr>
                <w:bCs/>
                <w:lang w:val="lt-LT"/>
              </w:rPr>
              <w:t>2. Žemės ūkio kooperatyvas Y (toliau – kooperatyvas) 2025 metais prasidėjusį mokestinį laikotarpį apskaičiavo 44 000 Eur apmokestinamojo pelno. Kooperatyvas 2025 metais prasidėjusį mokestinį laikotarpį uždirbo 87 000 Eur pajamų, iš jų:</w:t>
            </w:r>
          </w:p>
          <w:p w14:paraId="74D67DE7" w14:textId="77777777" w:rsidR="009E0403" w:rsidRPr="00DE1734" w:rsidRDefault="009E0403" w:rsidP="00513B27">
            <w:pPr>
              <w:tabs>
                <w:tab w:val="left" w:pos="1080"/>
              </w:tabs>
              <w:ind w:firstLine="720"/>
              <w:jc w:val="both"/>
              <w:rPr>
                <w:bCs/>
                <w:lang w:val="lt-LT"/>
              </w:rPr>
            </w:pPr>
            <w:r w:rsidRPr="00DE1734">
              <w:rPr>
                <w:bCs/>
                <w:lang w:val="lt-LT"/>
              </w:rPr>
              <w:t>78 000 Eur pajamų už realizuotą pieną, įsigytą iš savo narių, kurie verčiasi žemės ūkio veikla (sudaro 89,66 proc. visų pajamų);</w:t>
            </w:r>
          </w:p>
          <w:p w14:paraId="63A8F596" w14:textId="77777777" w:rsidR="009E0403" w:rsidRPr="00DE1734" w:rsidRDefault="009E0403" w:rsidP="00513B27">
            <w:pPr>
              <w:tabs>
                <w:tab w:val="left" w:pos="1080"/>
              </w:tabs>
              <w:ind w:firstLine="720"/>
              <w:jc w:val="both"/>
              <w:rPr>
                <w:bCs/>
                <w:lang w:val="lt-LT"/>
              </w:rPr>
            </w:pPr>
            <w:r w:rsidRPr="00DE1734">
              <w:rPr>
                <w:bCs/>
                <w:lang w:val="lt-LT"/>
              </w:rPr>
              <w:t>4 500 Eur kitų pajamų (5,17 proc. visų pajamų);</w:t>
            </w:r>
          </w:p>
          <w:p w14:paraId="63E26045" w14:textId="77777777" w:rsidR="009E0403" w:rsidRPr="00DE1734" w:rsidRDefault="009E0403" w:rsidP="00513B27">
            <w:pPr>
              <w:tabs>
                <w:tab w:val="left" w:pos="1080"/>
              </w:tabs>
              <w:ind w:firstLine="720"/>
              <w:jc w:val="both"/>
              <w:rPr>
                <w:bCs/>
                <w:lang w:val="lt-LT"/>
              </w:rPr>
            </w:pPr>
            <w:r w:rsidRPr="00DE1734">
              <w:rPr>
                <w:bCs/>
                <w:lang w:val="lt-LT"/>
              </w:rPr>
              <w:t>4 500 Eur neapmokestinamųjų pajamų pagal PMĮ 12 straipsnio 2 punktą (5,17 proc. visų pajamų);</w:t>
            </w:r>
          </w:p>
          <w:p w14:paraId="7E941CAA" w14:textId="77777777" w:rsidR="009E0403" w:rsidRPr="00BA5F78" w:rsidRDefault="009E0403" w:rsidP="00513B27">
            <w:pPr>
              <w:tabs>
                <w:tab w:val="left" w:pos="1080"/>
              </w:tabs>
              <w:ind w:firstLine="720"/>
              <w:jc w:val="both"/>
              <w:rPr>
                <w:bCs/>
                <w:lang w:val="lt-LT"/>
              </w:rPr>
            </w:pPr>
            <w:r w:rsidRPr="00DE1734">
              <w:rPr>
                <w:bCs/>
                <w:lang w:val="lt-LT"/>
              </w:rPr>
              <w:t>Kadangi kooperatyvas gavęs 78 000 Eur pajamų už realizuotą pieną, įsigytą iš savo narių, kurie verčiasi žemės ūkio veikla, tenkina PMĮ 5 str. 6 dalyje nustatytus reikalavimus t. y. pajamų dalis iš žemės ūkio veiklos sudaro 90 proc. visų pajamų, todėl 2025 metais apmokestinamasis pelnas gali būti apmokestinamas 6 proc. tarifu.</w:t>
            </w:r>
          </w:p>
          <w:p w14:paraId="131CB1A7" w14:textId="77777777" w:rsidR="009E0403" w:rsidRPr="00DE1734" w:rsidRDefault="009E0403" w:rsidP="00513B27">
            <w:pPr>
              <w:tabs>
                <w:tab w:val="left" w:pos="1080"/>
              </w:tabs>
              <w:ind w:firstLine="720"/>
              <w:jc w:val="both"/>
              <w:rPr>
                <w:bCs/>
                <w:lang w:val="lt-LT"/>
              </w:rPr>
            </w:pPr>
            <w:r w:rsidRPr="00DE1734">
              <w:rPr>
                <w:bCs/>
                <w:lang w:val="lt-LT"/>
              </w:rPr>
              <w:t>3. Žemės ūkio kooperatyvas X (toliau – kooperatyvas) 2025 metais prasidėjusį mokestinį laikotarpį apskaičiavo 20 000 Eur apmokestinamojo pelno. Kooperatyvas 2025 metais prasidėjusį mokestinį laikotarpį uždirbo 217 000 Eur pajamų, iš jų:</w:t>
            </w:r>
          </w:p>
          <w:p w14:paraId="4ED80BF0" w14:textId="77777777" w:rsidR="009E0403" w:rsidRPr="00DE1734" w:rsidRDefault="009E0403" w:rsidP="00513B27">
            <w:pPr>
              <w:tabs>
                <w:tab w:val="left" w:pos="1080"/>
              </w:tabs>
              <w:ind w:firstLine="720"/>
              <w:jc w:val="both"/>
              <w:rPr>
                <w:bCs/>
                <w:lang w:val="lt-LT"/>
              </w:rPr>
            </w:pPr>
            <w:r w:rsidRPr="00DE1734">
              <w:rPr>
                <w:bCs/>
                <w:lang w:val="lt-LT"/>
              </w:rPr>
              <w:t>43 000 Eur pajamų už derliaus nuėmimo darbus (sudaro 19.82 proc. visų pajamų);</w:t>
            </w:r>
          </w:p>
          <w:p w14:paraId="514EDFD6" w14:textId="77777777" w:rsidR="009E0403" w:rsidRPr="00DE1734" w:rsidRDefault="009E0403" w:rsidP="00513B27">
            <w:pPr>
              <w:tabs>
                <w:tab w:val="left" w:pos="1080"/>
              </w:tabs>
              <w:ind w:firstLine="720"/>
              <w:jc w:val="both"/>
              <w:rPr>
                <w:bCs/>
                <w:lang w:val="lt-LT"/>
              </w:rPr>
            </w:pPr>
            <w:r w:rsidRPr="00DE1734">
              <w:rPr>
                <w:bCs/>
                <w:lang w:val="lt-LT"/>
              </w:rPr>
              <w:t>30 000 Eur pajamų už parduotus įsigytus iš savo narių šių narių pagamintus žemės ūkio produktus (sudaro 13,82 proc. visų pajamų);</w:t>
            </w:r>
          </w:p>
          <w:p w14:paraId="59EDF2ED" w14:textId="77777777" w:rsidR="009E0403" w:rsidRPr="00DE1734" w:rsidRDefault="009E0403" w:rsidP="00513B27">
            <w:pPr>
              <w:tabs>
                <w:tab w:val="left" w:pos="1080"/>
              </w:tabs>
              <w:ind w:firstLine="720"/>
              <w:jc w:val="both"/>
              <w:rPr>
                <w:bCs/>
                <w:lang w:val="lt-LT"/>
              </w:rPr>
            </w:pPr>
            <w:r w:rsidRPr="00DE1734">
              <w:rPr>
                <w:bCs/>
                <w:lang w:val="lt-LT"/>
              </w:rPr>
              <w:t>144 000 Eur kitų pajamų (sudaro 66,36 proc. visų pajamų).</w:t>
            </w:r>
          </w:p>
          <w:p w14:paraId="188D544D" w14:textId="77777777" w:rsidR="009E0403" w:rsidRPr="00BA5F78" w:rsidRDefault="009E0403" w:rsidP="00513B27">
            <w:pPr>
              <w:tabs>
                <w:tab w:val="left" w:pos="1080"/>
              </w:tabs>
              <w:ind w:firstLine="720"/>
              <w:jc w:val="both"/>
              <w:rPr>
                <w:bCs/>
                <w:lang w:val="lt-LT"/>
              </w:rPr>
            </w:pPr>
            <w:r w:rsidRPr="00DE1734">
              <w:rPr>
                <w:bCs/>
                <w:lang w:val="lt-LT"/>
              </w:rPr>
              <w:lastRenderedPageBreak/>
              <w:t>Kadangi kooperatyvo pajamos iš žemės ūkio veiklos sudaro tik 33,64 proc. visų pajamų ir neatitinka PMĮ 5 straipsnio 6 dalyje keliamų reikalavimų, todėl kooperatyvo apmokestinamasis pelnas, apmokestinamas taikant 16 proc. pelno mokesčio tarifą ir apskaičiuojamas 3 200 Eur (20 000 Eur x 16 proc.) pelno mokestis. Bet jei kooperatyvas atitiktų PMĮ 5 straipsnio 2 dalies reikalavimus - tuo atveju apmokestinamajam pelnui galėtų būti taikomas 6 proc. pelno mokesčio tarifas.</w:t>
            </w:r>
          </w:p>
        </w:tc>
      </w:tr>
    </w:tbl>
    <w:p w14:paraId="5A507845" w14:textId="77777777" w:rsidR="009E0403" w:rsidRPr="00953C98" w:rsidRDefault="009E0403" w:rsidP="009E0403">
      <w:pPr>
        <w:jc w:val="both"/>
        <w:rPr>
          <w:rFonts w:ascii="Trebuchet MS" w:hAnsi="Trebuchet MS"/>
          <w:sz w:val="20"/>
          <w:szCs w:val="22"/>
          <w:lang w:val="lt-LT"/>
        </w:rPr>
      </w:pPr>
      <w:r>
        <w:rPr>
          <w:iCs/>
          <w:lang w:eastAsia="lt-LT"/>
        </w:rPr>
        <w:lastRenderedPageBreak/>
        <w:t>(PMĮ 5 straipsnio 6 d. 4 p. 1-3 pavyzdžiai parengti pagal VMI prie FM 2025-01-09 raštą Nr. (18.32-31-1 Mr)-R-80)</w:t>
      </w:r>
    </w:p>
    <w:p w14:paraId="5C22D4BE"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CF16AD">
        <w:rPr>
          <w:b/>
        </w:rPr>
        <w:t>7</w:t>
      </w:r>
      <w:r w:rsidRPr="00CF16AD">
        <w:rPr>
          <w:b/>
          <w:iCs/>
          <w:color w:val="000000"/>
          <w:lang w:eastAsia="en-US"/>
        </w:rPr>
        <w:t xml:space="preserve">. </w:t>
      </w:r>
      <w:r w:rsidRPr="00A968F4">
        <w:rPr>
          <w:b/>
          <w:iCs/>
          <w:color w:val="000000"/>
          <w:lang w:eastAsia="en-US"/>
        </w:rPr>
        <w:t xml:space="preserve">Lietuvos vieneto, nuolatinių buveinių pagal šio straipsnio 9 dalyje nustatytą formulę apskaičiuota apmokestinamojo pelno iš turto naudojimo, pardavimo ar kitokio perleidimo nuosavybėn dalis apmokestinama </w:t>
      </w:r>
      <w:r w:rsidRPr="00F9196D">
        <w:rPr>
          <w:b/>
          <w:iCs/>
          <w:color w:val="000000"/>
          <w:lang w:eastAsia="en-US"/>
        </w:rPr>
        <w:t>taikant 6</w:t>
      </w:r>
      <w:r w:rsidRPr="00F0340F">
        <w:rPr>
          <w:b/>
          <w:iCs/>
          <w:color w:val="000000"/>
          <w:lang w:eastAsia="en-US"/>
        </w:rPr>
        <w:t xml:space="preserve">  </w:t>
      </w:r>
      <w:r w:rsidRPr="00A968F4">
        <w:rPr>
          <w:b/>
          <w:iCs/>
          <w:color w:val="000000"/>
          <w:lang w:eastAsia="en-US"/>
        </w:rPr>
        <w:t>procentų mokesčio tarifą, jeigu:</w:t>
      </w:r>
    </w:p>
    <w:p w14:paraId="3F4874FC"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1) pajamas iš minėto turto naudojimo, pardavimo ar kitokio perleidimo nuosavybėn gauna tik jį sukūręs Lietuvos vienetas ar nuolatinė buveinė ir tik jie dėl minėtų pajamų uždirbimo patiria visas išlaidas ir</w:t>
      </w:r>
    </w:p>
    <w:p w14:paraId="59BCB9F7" w14:textId="77777777" w:rsidR="009E0403" w:rsidRPr="00A968F4" w:rsidRDefault="009E0403" w:rsidP="009E0403">
      <w:pPr>
        <w:pStyle w:val="tajtip"/>
        <w:shd w:val="clear" w:color="auto" w:fill="FFFFFF"/>
        <w:spacing w:before="0" w:beforeAutospacing="0" w:after="0" w:afterAutospacing="0"/>
        <w:ind w:firstLine="720"/>
        <w:jc w:val="both"/>
        <w:rPr>
          <w:b/>
          <w:iCs/>
          <w:color w:val="000000"/>
          <w:lang w:eastAsia="en-US"/>
        </w:rPr>
      </w:pPr>
      <w:r w:rsidRPr="00A968F4">
        <w:rPr>
          <w:b/>
          <w:iCs/>
          <w:color w:val="000000"/>
          <w:lang w:eastAsia="en-US"/>
        </w:rPr>
        <w:t>2) turtas yra pagal autorių teises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w:t>
      </w:r>
      <w:r>
        <w:rPr>
          <w:b/>
          <w:iCs/>
          <w:color w:val="000000"/>
          <w:lang w:eastAsia="en-US"/>
        </w:rPr>
        <w:t>apildomos apsaugos liudijimais.</w:t>
      </w:r>
    </w:p>
    <w:p w14:paraId="38373171" w14:textId="77777777" w:rsidR="0068038A" w:rsidRPr="00C26FC4" w:rsidRDefault="009E0403" w:rsidP="0068038A">
      <w:pPr>
        <w:tabs>
          <w:tab w:val="left" w:pos="720"/>
          <w:tab w:val="left" w:pos="1077"/>
          <w:tab w:val="left" w:pos="1418"/>
        </w:tabs>
        <w:spacing w:after="0"/>
        <w:jc w:val="both"/>
        <w:rPr>
          <w:bCs/>
          <w:i/>
          <w:szCs w:val="20"/>
          <w:lang w:val="lt-LT"/>
        </w:rPr>
      </w:pPr>
      <w:r w:rsidRPr="00F9196D">
        <w:rPr>
          <w:bCs/>
          <w:i/>
        </w:rPr>
        <w:t xml:space="preserve"> </w:t>
      </w:r>
      <w:r w:rsidR="0068038A">
        <w:rPr>
          <w:bCs/>
          <w:i/>
          <w:szCs w:val="20"/>
          <w:lang w:val="lt-LT"/>
        </w:rPr>
        <w:t>(</w:t>
      </w:r>
      <w:r w:rsidR="0068038A" w:rsidRPr="00C26FC4">
        <w:rPr>
          <w:bCs/>
          <w:i/>
          <w:szCs w:val="20"/>
          <w:lang w:val="lt-LT"/>
        </w:rPr>
        <w:t xml:space="preserve">Pagal 2024 m. birželio 20  d. įstatymo Nr.  </w:t>
      </w:r>
      <w:r w:rsidR="0068038A" w:rsidRPr="00C26FC4">
        <w:rPr>
          <w:i/>
          <w:color w:val="000000"/>
          <w:lang w:val="lt-LT"/>
        </w:rPr>
        <w:t>XIV-2774</w:t>
      </w:r>
      <w:r w:rsidR="0068038A" w:rsidRPr="00C26FC4">
        <w:rPr>
          <w:i/>
          <w:lang w:val="lt-LT"/>
        </w:rPr>
        <w:t xml:space="preserve"> </w:t>
      </w:r>
      <w:r w:rsidR="0068038A" w:rsidRPr="00C26FC4">
        <w:rPr>
          <w:bCs/>
          <w:i/>
          <w:szCs w:val="20"/>
          <w:lang w:val="lt-LT"/>
        </w:rPr>
        <w:t>redakciją; taikoma apskaičiuojant 2025 met</w:t>
      </w:r>
      <w:r w:rsidR="0068038A">
        <w:rPr>
          <w:bCs/>
          <w:i/>
          <w:szCs w:val="20"/>
          <w:lang w:val="lt-LT"/>
        </w:rPr>
        <w:t>ų</w:t>
      </w:r>
      <w:r w:rsidR="0068038A" w:rsidRPr="00C26FC4">
        <w:rPr>
          <w:bCs/>
          <w:i/>
          <w:szCs w:val="20"/>
          <w:lang w:val="lt-LT"/>
        </w:rPr>
        <w:t xml:space="preserve"> apmokestinamąjį pelną)</w:t>
      </w:r>
    </w:p>
    <w:p w14:paraId="3870876E" w14:textId="77777777" w:rsidR="009E0403" w:rsidRDefault="009E0403" w:rsidP="0068038A">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Mokslinių tyrimų ir eksperimentinės plėtros (toliau – MTEP) sąvokos yra apibrėžtos PMĮ 2 str. 18 dalyje (žr. šios dalies komentarą).</w:t>
      </w:r>
    </w:p>
    <w:p w14:paraId="5008567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2. Apmokestinamojo pelno dalis, nustatyta pagal šio straipsnio 9 dalyje patvirtintą formulę, apskaičiuota iš paties Lietuvos vieneto ar nuolatinės buveinės vykdomoje MTEP veikloje sukurto turto naudojimo, pardavimo ar kitokio perleidimo nuosavybėn gautų pajamų atskaičius šioms pajamoms tenkančius leidžiamus ir ribojamų dydžių leidžiamus atskaitymus, gali būti apmokestinama taikant </w:t>
      </w:r>
      <w:r w:rsidRPr="00F9196D">
        <w:rPr>
          <w:iCs/>
          <w:color w:val="000000"/>
          <w:lang w:eastAsia="en-US"/>
        </w:rPr>
        <w:t>6</w:t>
      </w:r>
      <w:r>
        <w:rPr>
          <w:iCs/>
          <w:color w:val="000000"/>
          <w:lang w:eastAsia="en-US"/>
        </w:rPr>
        <w:t xml:space="preserve"> </w:t>
      </w:r>
      <w:r w:rsidRPr="00B56C17">
        <w:rPr>
          <w:iCs/>
          <w:color w:val="000000"/>
          <w:lang w:eastAsia="en-US"/>
        </w:rPr>
        <w:t>procentų mokesčio tarifą, jeigu yra tenkinamos šios sąlygos:</w:t>
      </w:r>
    </w:p>
    <w:p w14:paraId="6AE9BBFD"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1) pajamas iš minėto turto naudojimo, pardavimo ar kitokio perleidimo nuosavybėn gauna tik jį sukūręs vienetas ir tik jis dėl minėtų pajamų uždirbimo patiria visas išlaidas</w:t>
      </w:r>
      <w:r w:rsidRPr="002664AB">
        <w:rPr>
          <w:iCs/>
          <w:color w:val="000000"/>
          <w:lang w:eastAsia="en-US"/>
        </w:rPr>
        <w:t xml:space="preserve"> ir</w:t>
      </w:r>
    </w:p>
    <w:p w14:paraId="23DDD1E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2) turtas yra pagal autorių teisę saugoma kompiuterio programa ar patentabilumo kriterijus (naujumas, išradimo lygis, pramoninis pritaikomumas) atitinkantis išradimas, apsaugotas Europos patentų tarnybos, Europos ekonominės erdvės valstybėje arba valstybėje, su kuria sudaryta ir taikoma dvigubo apmokestinimo išvengimo sutartis, išduotais patentais ar papildomos apsaugos liudijimais.</w:t>
      </w:r>
    </w:p>
    <w:p w14:paraId="0FCB0BB3" w14:textId="77777777" w:rsidR="009E0403" w:rsidRPr="00720C7C" w:rsidRDefault="009E0403" w:rsidP="009E0403">
      <w:pPr>
        <w:jc w:val="both"/>
        <w:rPr>
          <w:rFonts w:ascii="Trebuchet MS" w:hAnsi="Trebuchet MS"/>
          <w:sz w:val="20"/>
          <w:szCs w:val="22"/>
          <w:lang w:val="lt-LT"/>
        </w:rPr>
      </w:pPr>
      <w:r>
        <w:rPr>
          <w:iCs/>
          <w:lang w:eastAsia="lt-LT"/>
        </w:rPr>
        <w:t>(PMĮ 5  straipsnio 7 d.  2 p.  komentaras parengtas  pagal VMI prie FM 2025-01-09 raštą Nr. (18.32-31-1 Mr)-R-80)</w:t>
      </w:r>
    </w:p>
    <w:p w14:paraId="7B8C9802" w14:textId="77777777" w:rsidR="009E0403"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3. Pagal šios dalies reikalavimus, pajamas iš turto naudojimo, pardavimo ar kitokio perleidimo nuosavybėn privalo gauti bei joms tenkančias išlaidas patirti tik pats šį turtą MTEP veikloje sukūręs vienetas. </w:t>
      </w:r>
    </w:p>
    <w:p w14:paraId="5BB07797"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t>Pažymėtina, kad PMĮ 41 straipsnyje numatytais reorganizavimo bei veiklos perleidimo atvejais, po reorganizavimo ar perleidimo įsigyjantysis vienetas neturi teisės tęsti šioje dalyje nustatytos lengvatos taikymo, kadangi būtų pažeistas reikalavimas, kad pajamas ir sąnaudas iš MTEP veiklos sukurto turto privalo gauti tik šį turtą sukūręs vienetas.</w:t>
      </w:r>
    </w:p>
    <w:p w14:paraId="1BE8C73B" w14:textId="77777777" w:rsidR="009E0403" w:rsidRPr="00B56C17" w:rsidRDefault="009E0403" w:rsidP="009E0403">
      <w:pPr>
        <w:pStyle w:val="tajtip"/>
        <w:shd w:val="clear" w:color="auto" w:fill="FFFFFF"/>
        <w:spacing w:before="0" w:beforeAutospacing="0" w:after="0" w:afterAutospacing="0"/>
        <w:jc w:val="both"/>
        <w:rPr>
          <w:iCs/>
          <w:color w:val="000000"/>
          <w:lang w:eastAsia="en-US"/>
        </w:rPr>
      </w:pPr>
      <w:r w:rsidRPr="00B56C17">
        <w:rPr>
          <w:iCs/>
          <w:color w:val="000000"/>
          <w:lang w:eastAsia="en-US"/>
        </w:rPr>
        <w:tab/>
        <w:t>4. Pagal šios dalies nuostatas, vieneto MTEP veikloje sukurtu turtu yra laikoma:</w:t>
      </w:r>
    </w:p>
    <w:p w14:paraId="4C2FE113" w14:textId="77777777" w:rsidR="009E0403" w:rsidRPr="00B56C17" w:rsidRDefault="009E0403" w:rsidP="009E0403">
      <w:pPr>
        <w:pStyle w:val="tajtip"/>
        <w:shd w:val="clear" w:color="auto" w:fill="FFFFFF"/>
        <w:spacing w:before="0" w:beforeAutospacing="0" w:after="0" w:afterAutospacing="0"/>
        <w:jc w:val="both"/>
        <w:rPr>
          <w:iCs/>
          <w:color w:val="000000"/>
          <w:lang w:eastAsia="en-US"/>
        </w:rPr>
      </w:pPr>
      <w:r w:rsidRPr="00B56C17">
        <w:rPr>
          <w:iCs/>
          <w:color w:val="000000"/>
          <w:lang w:eastAsia="en-US"/>
        </w:rPr>
        <w:tab/>
        <w:t xml:space="preserve">● kompiuterio programa, kuri saugojama pagal Lietuvos Respublikos autorių teisių ir gretutinių teisių įstatymą (toliau – ATGT įstatymas) kaip autorių teisių objektas </w:t>
      </w:r>
      <w:r w:rsidRPr="00B56C17">
        <w:rPr>
          <w:b/>
          <w:iCs/>
          <w:color w:val="000000"/>
          <w:lang w:eastAsia="en-US"/>
        </w:rPr>
        <w:t>arba</w:t>
      </w:r>
    </w:p>
    <w:p w14:paraId="63DA6A0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patentabilumo kriterijus (naujumas, išradimo lygis, pramoninis pritaikomumas) atitinkantis išradimas, apsaugotas Europos patentų tarnybos, Europos ekonominės erdvės valstybėje arba </w:t>
      </w:r>
      <w:r w:rsidRPr="00B56C17">
        <w:rPr>
          <w:iCs/>
          <w:color w:val="000000"/>
          <w:lang w:eastAsia="en-US"/>
        </w:rPr>
        <w:lastRenderedPageBreak/>
        <w:t>valstybėje, su kuria sudaryta ir taikoma dvigubo apmokestinimo išvengimo sutartis, išduotais patentais ar papildomos apsaugos liudijimais</w:t>
      </w:r>
      <w:r w:rsidRPr="00B56C17">
        <w:rPr>
          <w:rStyle w:val="Puslapioinaosnuoroda"/>
          <w:iCs/>
          <w:color w:val="000000"/>
          <w:lang w:eastAsia="en-US"/>
        </w:rPr>
        <w:footnoteReference w:id="8"/>
      </w:r>
      <w:r w:rsidRPr="00B56C17">
        <w:rPr>
          <w:iCs/>
          <w:color w:val="000000"/>
          <w:lang w:eastAsia="en-US"/>
        </w:rPr>
        <w:t>.</w:t>
      </w:r>
    </w:p>
    <w:p w14:paraId="4D232786" w14:textId="77777777" w:rsidR="009E0403" w:rsidRPr="00B56C17" w:rsidRDefault="009E0403" w:rsidP="009E0403">
      <w:pPr>
        <w:pStyle w:val="Komentarotekstas"/>
        <w:ind w:firstLine="720"/>
        <w:jc w:val="both"/>
        <w:rPr>
          <w:sz w:val="24"/>
          <w:szCs w:val="24"/>
          <w:lang w:val="lt-LT"/>
        </w:rPr>
      </w:pPr>
      <w:r w:rsidRPr="00B56C17">
        <w:rPr>
          <w:sz w:val="24"/>
          <w:szCs w:val="24"/>
          <w:lang w:val="lt-LT"/>
        </w:rPr>
        <w:t>Pažymėtina, kad sąvokos „kompiuterių programa“ ir „programinė įranga“ suprantamos kaip  tas pats turto vienetas, t. y. kompiuterių programa, kaip ji yra apibrėžta ATGT įstatyme.</w:t>
      </w:r>
    </w:p>
    <w:p w14:paraId="58B01F5D" w14:textId="77777777" w:rsidR="009E0403" w:rsidRPr="00B56C17" w:rsidRDefault="009E0403" w:rsidP="009E0403">
      <w:pPr>
        <w:pStyle w:val="tajtip"/>
        <w:shd w:val="clear" w:color="auto" w:fill="FFFFFF"/>
        <w:spacing w:before="0" w:beforeAutospacing="0" w:after="0" w:afterAutospacing="0"/>
        <w:jc w:val="both"/>
      </w:pPr>
      <w:r w:rsidRPr="00B56C17">
        <w:rPr>
          <w:iCs/>
          <w:lang w:eastAsia="en-US"/>
        </w:rPr>
        <w:tab/>
        <w:t xml:space="preserve">5. </w:t>
      </w:r>
      <w:r w:rsidRPr="00B56C17">
        <w:rPr>
          <w:b/>
          <w:iCs/>
          <w:lang w:eastAsia="en-US"/>
        </w:rPr>
        <w:t>Išradimas</w:t>
      </w:r>
      <w:r w:rsidRPr="00B56C17">
        <w:rPr>
          <w:iCs/>
          <w:lang w:eastAsia="en-US"/>
        </w:rPr>
        <w:t xml:space="preserve"> yra suprantamas kaip </w:t>
      </w:r>
      <w:r w:rsidRPr="00B56C17">
        <w:t xml:space="preserve">naujas pasauliniu lygiu, išradimo lygio (neakivaizdus atitinkamos srities specialistui) ir pramonėje pritaikomas tam tikros problemos (uždavinio) techninis sprendimas. </w:t>
      </w:r>
    </w:p>
    <w:p w14:paraId="77B00AE6" w14:textId="77777777" w:rsidR="009E0403" w:rsidRPr="00B56C17" w:rsidRDefault="009E0403" w:rsidP="009E0403">
      <w:pPr>
        <w:pStyle w:val="tajtip"/>
        <w:shd w:val="clear" w:color="auto" w:fill="FFFFFF"/>
        <w:spacing w:before="0" w:beforeAutospacing="0" w:after="0" w:afterAutospacing="0"/>
        <w:ind w:firstLine="720"/>
        <w:jc w:val="both"/>
      </w:pPr>
      <w:r w:rsidRPr="00B56C17">
        <w:rPr>
          <w:b/>
        </w:rPr>
        <w:t>Patentas</w:t>
      </w:r>
      <w:r w:rsidRPr="00B56C17">
        <w:rPr>
          <w:i/>
        </w:rPr>
        <w:t xml:space="preserve"> </w:t>
      </w:r>
      <w:r w:rsidRPr="00B56C17">
        <w:t>yra suprantamas kaip išradimo teisinės</w:t>
      </w:r>
      <w:r w:rsidRPr="00B56C17">
        <w:rPr>
          <w:rFonts w:ascii="&amp;quot" w:hAnsi="&amp;quot"/>
          <w:b/>
          <w:bCs/>
        </w:rPr>
        <w:t xml:space="preserve"> </w:t>
      </w:r>
      <w:r w:rsidRPr="00B56C17">
        <w:t>apsaugos forma.</w:t>
      </w:r>
    </w:p>
    <w:p w14:paraId="379F0AC6" w14:textId="77777777" w:rsidR="009E0403" w:rsidRPr="00B56C17" w:rsidRDefault="009E0403" w:rsidP="009E0403">
      <w:pPr>
        <w:pStyle w:val="tajtip"/>
        <w:shd w:val="clear" w:color="auto" w:fill="FFFFFF"/>
        <w:spacing w:before="0" w:beforeAutospacing="0" w:after="0" w:afterAutospacing="0"/>
        <w:ind w:firstLine="720"/>
        <w:jc w:val="both"/>
        <w:rPr>
          <w:iCs/>
          <w:lang w:eastAsia="en-US"/>
        </w:rPr>
      </w:pPr>
      <w:r w:rsidRPr="00B56C17">
        <w:t>Išradimo objektu, kuris gali būti patentuojamas, paprastai gali būti įrenginys, būdas, medžiaga, žinomo įrenginio, būdo, medžiagos naujas panaudojimas</w:t>
      </w:r>
      <w:r w:rsidRPr="00B56C17">
        <w:rPr>
          <w:iCs/>
          <w:lang w:eastAsia="en-US"/>
        </w:rPr>
        <w:t>. Išradimų patentavimui keliamus reikalavimus nustato tarptautinės sutartys, ES teisė ir valstybės, kurioje siekiama gauti patentą, nacionalinė teisė. Pažymėtina, kad išradimų patentams negali būti prilyginami naudingieji modeliai</w:t>
      </w:r>
      <w:r w:rsidRPr="00B56C17">
        <w:rPr>
          <w:rStyle w:val="Puslapioinaosnuoroda"/>
          <w:iCs/>
          <w:lang w:eastAsia="en-US"/>
        </w:rPr>
        <w:footnoteReference w:id="9"/>
      </w:r>
      <w:r w:rsidRPr="00B56C17">
        <w:rPr>
          <w:iCs/>
          <w:lang w:eastAsia="en-US"/>
        </w:rPr>
        <w:t xml:space="preserve"> (atskirose valstybėse įvardijami įvairiomis sąvokomis: angl. </w:t>
      </w:r>
      <w:r w:rsidRPr="00B56C17">
        <w:rPr>
          <w:i/>
          <w:iCs/>
          <w:lang w:eastAsia="en-US"/>
        </w:rPr>
        <w:t xml:space="preserve">„utility model“, „petty patent“, „short-term patent“, utility innovation“, „innovation patent“ </w:t>
      </w:r>
      <w:r w:rsidRPr="00B56C17">
        <w:rPr>
          <w:iCs/>
          <w:lang w:eastAsia="en-US"/>
        </w:rPr>
        <w:t>ir pan.).</w:t>
      </w:r>
    </w:p>
    <w:p w14:paraId="6B6D131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6. Pažymėtina, kad pagal Lietuvos Respublikos </w:t>
      </w:r>
      <w:r w:rsidRPr="00B56C17">
        <w:t xml:space="preserve">patentų įstatymą (toliau – Patentų įstatymą) </w:t>
      </w:r>
      <w:r w:rsidRPr="00B56C17">
        <w:rPr>
          <w:iCs/>
          <w:color w:val="000000"/>
          <w:lang w:eastAsia="en-US"/>
        </w:rPr>
        <w:t>b</w:t>
      </w:r>
      <w:r w:rsidRPr="00B56C17">
        <w:t>et kokios technikos srities išradimai yra patentabilūs, jeigu jie yra nauji, atitinka išradimo lygį ir turi pramoninį pritaikomumą.</w:t>
      </w:r>
      <w:r w:rsidRPr="00B56C17">
        <w:rPr>
          <w:iCs/>
          <w:color w:val="000000"/>
          <w:lang w:eastAsia="en-US"/>
        </w:rPr>
        <w:t xml:space="preserve"> </w:t>
      </w:r>
    </w:p>
    <w:p w14:paraId="528225EE"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Išradimas laikomas nauju, jeigu jis nežinomas </w:t>
      </w:r>
      <w:hyperlink r:id="rId53" w:tooltip="Technika (įranga)" w:history="1">
        <w:r w:rsidRPr="00B56C17">
          <w:rPr>
            <w:iCs/>
            <w:color w:val="000000"/>
            <w:lang w:eastAsia="en-US"/>
          </w:rPr>
          <w:t>technikos</w:t>
        </w:r>
      </w:hyperlink>
      <w:r w:rsidRPr="00B56C17">
        <w:rPr>
          <w:iCs/>
          <w:color w:val="000000"/>
          <w:lang w:eastAsia="en-US"/>
        </w:rPr>
        <w:t xml:space="preserve"> lygiu. Technikos lygis yra visa, kas iki patento paraiškos padavimo datos buvo viešai skelbta arba naudota. </w:t>
      </w:r>
    </w:p>
    <w:p w14:paraId="65F60DE0"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Išradimas laikomas atitinkančiu išradimo lygį, jeigu jis, atsižvelgiant į technikos lygį, nėra akivaizdus atitinkamos srities specialistui. </w:t>
      </w:r>
    </w:p>
    <w:p w14:paraId="2B7F323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Praktinį pritaikomumą turi išradimas, kurį galima pagaminti ar panaudoti pramonėje, žemės ūkyje, sveikatos apsaugos ar kitose srityse.</w:t>
      </w:r>
    </w:p>
    <w:p w14:paraId="49B6AB7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t xml:space="preserve">7. Išradimas yra laikomas patentabilumo kriterijus atitinkančiu, jeigu jis yra apsaugotas </w:t>
      </w:r>
      <w:r w:rsidRPr="00B56C17">
        <w:rPr>
          <w:iCs/>
          <w:color w:val="000000"/>
          <w:lang w:eastAsia="en-US"/>
        </w:rPr>
        <w:t>Europos patentų tarnybos, Europos ekonominės erdvės valstybėje arba valstybėje, su kuria sudaryta ir taikoma dvigubo apmokestinimo išvengimo sutartis, išduotais patentais ar papildomos apsaugos liudijimais, ir vienetas turi išradimo atitikimo patentabilumo kriterijams pagrindžiančius dokumentus (žr. šios dalies komentaro 8 punktą).</w:t>
      </w:r>
    </w:p>
    <w:p w14:paraId="7FDCF09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8. Atkreiptinas dėmesys, kad kai kurių valstybių patentų tarnybos patentus išduoda prieš tai atlikusios esminę išradimo atitikimo patentabilumo kriterijams ekspertizę</w:t>
      </w:r>
      <w:r w:rsidRPr="00B56C17">
        <w:rPr>
          <w:rStyle w:val="Puslapioinaosnuoroda"/>
        </w:rPr>
        <w:footnoteReference w:id="10"/>
      </w:r>
      <w:r w:rsidRPr="00B56C17">
        <w:rPr>
          <w:iCs/>
          <w:color w:val="000000"/>
          <w:lang w:eastAsia="en-US"/>
        </w:rPr>
        <w:t>, tačiau kai kurios patentų tarnybos tokios ekspertizės neatlieka</w:t>
      </w:r>
      <w:r w:rsidRPr="00B56C17">
        <w:rPr>
          <w:rStyle w:val="Puslapioinaosnuoroda"/>
          <w:iCs/>
          <w:color w:val="000000"/>
          <w:lang w:eastAsia="en-US"/>
        </w:rPr>
        <w:footnoteReference w:id="11"/>
      </w:r>
      <w:r w:rsidRPr="00B56C17">
        <w:rPr>
          <w:iCs/>
          <w:color w:val="000000"/>
          <w:lang w:eastAsia="en-US"/>
        </w:rPr>
        <w:t xml:space="preserve"> (pastarosios sistemos paprastai įvardijamos kaip „pareikštinės“, angl. „</w:t>
      </w:r>
      <w:r w:rsidRPr="00B56C17">
        <w:rPr>
          <w:i/>
          <w:iCs/>
          <w:color w:val="000000"/>
          <w:lang w:eastAsia="en-US"/>
        </w:rPr>
        <w:t>registration system</w:t>
      </w:r>
      <w:r w:rsidRPr="00B56C17">
        <w:rPr>
          <w:iCs/>
          <w:color w:val="000000"/>
          <w:lang w:eastAsia="en-US"/>
        </w:rPr>
        <w:t xml:space="preserve">“). Dėl šios priežasties abiem atvejais skiriasi dokumentai, kuriuos vienetas </w:t>
      </w:r>
      <w:r w:rsidRPr="00B56C17">
        <w:rPr>
          <w:iCs/>
          <w:color w:val="000000"/>
          <w:lang w:eastAsia="en-US"/>
        </w:rPr>
        <w:lastRenderedPageBreak/>
        <w:t>turi turėti, siekiant pagrįsti lengvatos taikymo pagrįstumą. Jeigu patento paraiškoje prašoma suteikti prioritetą remiantis ankstesne paraiška, kuri buvo pateikta</w:t>
      </w:r>
      <w:r w:rsidRPr="00B56C17">
        <w:t xml:space="preserve"> </w:t>
      </w:r>
      <w:r w:rsidRPr="00B56C17">
        <w:rPr>
          <w:iCs/>
          <w:color w:val="000000"/>
          <w:lang w:eastAsia="en-US"/>
        </w:rPr>
        <w:t>Europos patentų tarnybai, Europos ekonominės erdvės valstybėje arba valstybėje, su kuria sudaryta ir taikoma dvigubo apmokestinimo išvengimo sutartis, lengvatos taikymo tikslu bus atsižvelgiama į šios ankstesnės paraiškos datą.</w:t>
      </w:r>
    </w:p>
    <w:p w14:paraId="5A077E97" w14:textId="77777777" w:rsidR="009E0403" w:rsidRPr="00B56C17" w:rsidRDefault="009E0403" w:rsidP="009E0403">
      <w:pPr>
        <w:pStyle w:val="tajtip"/>
        <w:shd w:val="clear" w:color="auto" w:fill="FFFFFF"/>
        <w:spacing w:before="0" w:beforeAutospacing="0" w:after="0" w:afterAutospacing="0"/>
        <w:ind w:firstLine="720"/>
        <w:jc w:val="both"/>
        <w:rPr>
          <w:iCs/>
          <w:color w:val="000000"/>
          <w:u w:val="single"/>
          <w:lang w:eastAsia="en-US"/>
        </w:rPr>
      </w:pPr>
      <w:r w:rsidRPr="00B56C17">
        <w:rPr>
          <w:iCs/>
          <w:color w:val="000000"/>
          <w:u w:val="single"/>
          <w:lang w:eastAsia="en-US"/>
        </w:rPr>
        <w:t>Patentabilumo kriterijus atitinkančiu išradimu yra laikomas:</w:t>
      </w:r>
    </w:p>
    <w:p w14:paraId="6C9052AD"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8.1. išradimas, apsaugotas patentu, kurį atitinkama patentų tarnyba išduoda, atlikusi šio išradimo naujumo, išradimo lygio ir pramoninio pritaikomumo ekspertizę. Atitikimas patentabilumo kriterijams turi būti pagrindžiamas šių patentų tarnybų išduotu patentu.</w:t>
      </w:r>
      <w:r w:rsidRPr="00B56C17">
        <w:t xml:space="preserve"> Mokesčio lengvata tokiu atveju taikoma nuo patento paraiškos padavimo datos. </w:t>
      </w:r>
    </w:p>
    <w:p w14:paraId="77C09F4B" w14:textId="77777777" w:rsidR="009E0403" w:rsidRPr="00B56C17" w:rsidRDefault="009E0403" w:rsidP="009E0403">
      <w:pPr>
        <w:pStyle w:val="tajtip"/>
        <w:shd w:val="clear" w:color="auto" w:fill="FFFFFF"/>
        <w:tabs>
          <w:tab w:val="left" w:pos="993"/>
        </w:tabs>
        <w:spacing w:before="0" w:beforeAutospacing="0" w:after="0" w:afterAutospacing="0"/>
        <w:ind w:firstLine="709"/>
        <w:jc w:val="both"/>
      </w:pPr>
      <w:r w:rsidRPr="00B56C17">
        <w:t xml:space="preserve">Atkreiptinas dėmesys, kad patentas paprastai išduodamas praėjus keleriems metams nuo patento paraiškos padavimo. Todėl, jeigu vienetas pageidauja taikyti šioje dalyje nustatytą lengvatą dar iki patento išdavimo jam, t. y. patento </w:t>
      </w:r>
      <w:r w:rsidRPr="00B56C17">
        <w:rPr>
          <w:u w:val="single"/>
        </w:rPr>
        <w:t>paraiškos</w:t>
      </w:r>
      <w:r w:rsidRPr="00B56C17">
        <w:t xml:space="preserve"> stadijoje (pavyzdžiui, kai patento paraiškos nagrinėjimo laikotarpis yra pakankamai ilgas), jis turi turėti:</w:t>
      </w:r>
    </w:p>
    <w:p w14:paraId="33AC088B" w14:textId="77777777" w:rsidR="009E0403" w:rsidRPr="00B56C17" w:rsidRDefault="009E0403" w:rsidP="009E0403">
      <w:pPr>
        <w:pStyle w:val="tajtip"/>
        <w:numPr>
          <w:ilvl w:val="0"/>
          <w:numId w:val="54"/>
        </w:numPr>
        <w:shd w:val="clear" w:color="auto" w:fill="FFFFFF"/>
        <w:tabs>
          <w:tab w:val="left" w:pos="851"/>
        </w:tabs>
        <w:spacing w:before="0" w:beforeAutospacing="0" w:after="0" w:afterAutospacing="0" w:line="240" w:lineRule="auto"/>
        <w:ind w:left="0" w:firstLine="720"/>
        <w:jc w:val="both"/>
        <w:rPr>
          <w:iCs/>
          <w:color w:val="000000"/>
          <w:lang w:eastAsia="en-US"/>
        </w:rPr>
      </w:pPr>
      <w:r w:rsidRPr="00B56C17">
        <w:t xml:space="preserve">atitinkamos patentų tarnybos išduotą paieškos ataskaitą (paprastai įvardijama kaip angl. </w:t>
      </w:r>
      <w:r w:rsidRPr="00B56C17">
        <w:rPr>
          <w:i/>
        </w:rPr>
        <w:t>„search report“</w:t>
      </w:r>
      <w:r w:rsidRPr="00B56C17">
        <w:t>) ir</w:t>
      </w:r>
    </w:p>
    <w:p w14:paraId="69D07F8E" w14:textId="77777777" w:rsidR="009E0403" w:rsidRPr="00B56C17" w:rsidRDefault="009E0403" w:rsidP="009E0403">
      <w:pPr>
        <w:pStyle w:val="tajtip"/>
        <w:shd w:val="clear" w:color="auto" w:fill="FFFFFF"/>
        <w:spacing w:before="0" w:beforeAutospacing="0" w:after="0" w:afterAutospacing="0"/>
        <w:ind w:firstLine="720"/>
        <w:jc w:val="both"/>
      </w:pPr>
      <w:r w:rsidRPr="00B56C17">
        <w:t xml:space="preserve">- rašytinę nuomonę dėl išradimo patentabilumo (paprastai įvardijama kaip angl. </w:t>
      </w:r>
      <w:r w:rsidRPr="00B56C17">
        <w:rPr>
          <w:i/>
        </w:rPr>
        <w:t>„written opinion“</w:t>
      </w:r>
      <w:r w:rsidRPr="00B56C17">
        <w:t>).</w:t>
      </w:r>
    </w:p>
    <w:p w14:paraId="7EBA5A3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Šie dokumentai turi demonstruoti pirminį patentų tarnybos vertinimą dėl visų išradimo apibrėžties punktų atitikimo patentabilumo kriterijams.</w:t>
      </w:r>
    </w:p>
    <w:p w14:paraId="4E2455A3"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Jeigu rašytinėje nuomonėje nurodoma, kad tam tikri išradimo apibrėžties punktai neatitinka patentabilumo kriterijų, patento paraiška paprastai tikslinama ir susiaurinama išradimo apibrėžties apimtis. Tokiu atveju vienetas turi turėti:</w:t>
      </w:r>
    </w:p>
    <w:p w14:paraId="62F61DB6"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patento paraiškos patikslinimą (išradimo apibrėžties susiaurinimą) patvirtinančius dokumentus ir</w:t>
      </w:r>
    </w:p>
    <w:p w14:paraId="16DEC49C"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 patentinio patikėtinio</w:t>
      </w:r>
      <w:r w:rsidRPr="00B56C17">
        <w:rPr>
          <w:iCs/>
          <w:color w:val="000000"/>
          <w:vertAlign w:val="superscript"/>
          <w:lang w:eastAsia="en-US"/>
        </w:rPr>
        <w:t>5</w:t>
      </w:r>
      <w:r w:rsidRPr="00B56C17">
        <w:rPr>
          <w:iCs/>
          <w:color w:val="000000"/>
          <w:lang w:eastAsia="en-US"/>
        </w:rPr>
        <w:t xml:space="preserve"> (</w:t>
      </w:r>
      <w:r w:rsidRPr="00B56C17">
        <w:rPr>
          <w:iCs/>
          <w:color w:val="000000"/>
          <w:lang w:eastAsia="en-US"/>
        </w:rPr>
        <w:footnoteReference w:id="12"/>
      </w:r>
      <w:r w:rsidRPr="00B56C17">
        <w:rPr>
          <w:iCs/>
          <w:color w:val="000000"/>
          <w:lang w:eastAsia="en-US"/>
        </w:rPr>
        <w:t xml:space="preserve">) patvirtinimą apie šioje patikslintoje paraiškoje nurodyto išradimo atitikimą patentabilumo kriterijams. </w:t>
      </w:r>
    </w:p>
    <w:p w14:paraId="7B2940F4" w14:textId="77777777" w:rsidR="009E0403" w:rsidRPr="0065344A" w:rsidRDefault="009E0403" w:rsidP="009E040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val="lt-LT"/>
        </w:rPr>
      </w:pPr>
      <w:r w:rsidRPr="0065344A">
        <w:rPr>
          <w:lang w:val="lt-LT"/>
        </w:rPr>
        <w:t>Tais atvejais, kai anksčiau minėti dokumentai yra surašyti užsienio kalba, mokesčių mokėtojas turi turėti ir tokių dokumentų vertimą į lietuvių kalbą, patvirtintą vertėjo parašu ir spaudu.</w:t>
      </w:r>
    </w:p>
    <w:p w14:paraId="78ADB7E4"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8.2. išradimas, apsaugotas patentu, kuris išduotas atitinkamai patentų tarnybai neatlikus esminės šio išradimo naujumo, išradimo lygio ir pramoninio pritaikomumo ekspertizės. Paprastai tokie patentai išduodami praėjus 1–2 metams nuo patento paraiškos padavimo datos. Tokių išradimų atitikimas patentabilumo kriterijams gali būti pagrindžiamas dvejopai</w:t>
      </w:r>
      <w:r w:rsidRPr="00B56C17">
        <w:t>:</w:t>
      </w:r>
    </w:p>
    <w:p w14:paraId="3B748B5B" w14:textId="77777777" w:rsidR="009E0403" w:rsidRPr="00B56C17" w:rsidRDefault="009E0403" w:rsidP="009E0403">
      <w:pPr>
        <w:pStyle w:val="tajtip"/>
        <w:shd w:val="clear" w:color="auto" w:fill="FFFFFF"/>
        <w:spacing w:before="0" w:beforeAutospacing="0" w:after="0" w:afterAutospacing="0"/>
        <w:ind w:firstLine="720"/>
        <w:jc w:val="both"/>
      </w:pPr>
      <w:r w:rsidRPr="00B56C17">
        <w:t>8.2.1. pateikiamas patentinio patikėtinio patvirtinimas apie išradimo atitikimą patentabilumo kriterijams arba</w:t>
      </w:r>
    </w:p>
    <w:p w14:paraId="011300B2" w14:textId="77777777" w:rsidR="009E0403" w:rsidRPr="00B56C17" w:rsidRDefault="009E0403" w:rsidP="009E0403">
      <w:pPr>
        <w:pStyle w:val="tajtip"/>
        <w:shd w:val="clear" w:color="auto" w:fill="FFFFFF"/>
        <w:spacing w:before="0" w:beforeAutospacing="0" w:after="0" w:afterAutospacing="0"/>
        <w:ind w:firstLine="720"/>
        <w:jc w:val="both"/>
      </w:pPr>
      <w:r w:rsidRPr="00B56C17">
        <w:t xml:space="preserve">8.2.2. pateikiama patentų tarnybos, turinčios tarptautinės paieškos įstaigos (angl. – </w:t>
      </w:r>
      <w:r w:rsidRPr="00B56C17">
        <w:rPr>
          <w:i/>
        </w:rPr>
        <w:t>„International Searching Authority“</w:t>
      </w:r>
      <w:r w:rsidRPr="00B56C17">
        <w:t>) statusą</w:t>
      </w:r>
      <w:r w:rsidRPr="00B56C17">
        <w:rPr>
          <w:rStyle w:val="Puslapioinaosnuoroda"/>
        </w:rPr>
        <w:footnoteReference w:id="13"/>
      </w:r>
      <w:r w:rsidRPr="00B56C17">
        <w:t xml:space="preserve"> ir teikiančios tokias paslaugas, išduota paieškos ataskaita ir rašytinė nuomonė dėl išradimo patentabilumo. </w:t>
      </w:r>
    </w:p>
    <w:p w14:paraId="510E6FF3" w14:textId="77777777" w:rsidR="009E0403" w:rsidRPr="00B56C17" w:rsidRDefault="009E0403" w:rsidP="009E0403">
      <w:pPr>
        <w:pStyle w:val="tajtip"/>
        <w:shd w:val="clear" w:color="auto" w:fill="FFFFFF"/>
        <w:spacing w:before="0" w:beforeAutospacing="0" w:after="0" w:afterAutospacing="0"/>
        <w:ind w:firstLine="720"/>
        <w:jc w:val="both"/>
      </w:pPr>
      <w:r w:rsidRPr="00B56C17">
        <w:t>Šie dokumentai turi demonstruoti visų išradimo apibrėžties punktų atitikimą patentabilumo kriterijams.</w:t>
      </w:r>
    </w:p>
    <w:p w14:paraId="31E99B77" w14:textId="77777777" w:rsidR="009E0403" w:rsidRPr="00B56C17" w:rsidRDefault="009E0403" w:rsidP="009E0403">
      <w:pPr>
        <w:pStyle w:val="tajtip"/>
        <w:shd w:val="clear" w:color="auto" w:fill="FFFFFF"/>
        <w:spacing w:before="0" w:beforeAutospacing="0" w:after="0" w:afterAutospacing="0"/>
        <w:ind w:firstLine="720"/>
        <w:jc w:val="both"/>
      </w:pPr>
      <w:r w:rsidRPr="00B56C17">
        <w:t>Jeigu patentų tarnybos išduotoje paieškos ataskaitoje ir (ar) rašytinėje nuomonėje nurodoma, kad tam tikri išradimo apibrėžties punktai neatitinka patentabilumo kriterijų, vienetas turi turėti patento paraiškos patikslinimą patvirtinančius dokumentus arba išduotą patentą kartu su patentinio patikėtinio patvirtinimu apie šioje patikslintoje paraiškoje ar išduotame patente nurodyto išradimo atitikimą patentabilumo kriterijams.</w:t>
      </w:r>
    </w:p>
    <w:p w14:paraId="69FDEF88" w14:textId="77777777" w:rsidR="009E0403" w:rsidRPr="0065344A" w:rsidRDefault="009E0403" w:rsidP="009E040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lang w:val="lt-LT"/>
        </w:rPr>
      </w:pPr>
      <w:r w:rsidRPr="0065344A">
        <w:rPr>
          <w:lang w:val="lt-LT"/>
        </w:rPr>
        <w:t>Tais atvejais, kai aukščiau minėti dokumentai yra surašyti užsienio kalba, mokesčių mokėtojas turi turėti ir tokių dokumentų vertimą į lietuvių kalbą, patvirtintą vertėjo parašu ir spaudu.</w:t>
      </w:r>
    </w:p>
    <w:p w14:paraId="4DDB234D"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bCs/>
          <w:iCs/>
          <w:color w:val="000000"/>
          <w:lang w:eastAsia="en-US"/>
        </w:rPr>
        <w:lastRenderedPageBreak/>
        <w:t>9. Pagal šios dalies nuostatas, išradimas gali būti apsaugotas ir papildomos apsaugos liudijimu (angl. – „</w:t>
      </w:r>
      <w:r w:rsidRPr="00B56C17">
        <w:rPr>
          <w:bCs/>
          <w:i/>
          <w:iCs/>
          <w:color w:val="000000"/>
          <w:lang w:eastAsia="en-US"/>
        </w:rPr>
        <w:t>supplementary protection certificate</w:t>
      </w:r>
      <w:r w:rsidRPr="00B56C17">
        <w:rPr>
          <w:bCs/>
          <w:iCs/>
          <w:color w:val="000000"/>
          <w:lang w:eastAsia="en-US"/>
        </w:rPr>
        <w:t xml:space="preserve">“), kuris pagal Patentų įstatymo nuostatas yra </w:t>
      </w:r>
      <w:r w:rsidRPr="00B56C17">
        <w:rPr>
          <w:iCs/>
          <w:color w:val="000000"/>
          <w:lang w:eastAsia="en-US"/>
        </w:rPr>
        <w:t xml:space="preserve">dokumentas, suteikiantis papildomą apsaugą vaistų veikliosioms medžiagoms ir augalų apsaugos priemonėms, pasibaigus jų patento galiojimo laikui. Papildomos apsaugos paskirtis – kompensuoti išradimų kūrimo farmacijos ir agrochemijos srityse ilgai trunkančius ir sudėtingus specialius tyrimus bei gaunant leidimą išleisti šiuos produktus į rinką sugaištą laiką. Pažymėtina, kad papildomos apsaugos liudijimai atskirose valstybėse gali būti įvardijami įvairiai, juos siejant su patento apsaugos termino pratęsimu (pvz., angl. </w:t>
      </w:r>
      <w:r w:rsidRPr="00B56C17">
        <w:t>„</w:t>
      </w:r>
      <w:r w:rsidRPr="00B56C17">
        <w:rPr>
          <w:i/>
          <w:iCs/>
          <w:color w:val="000000"/>
          <w:lang w:eastAsia="en-US"/>
        </w:rPr>
        <w:t xml:space="preserve">Certificate Extending Patent Term“, „Extension of Term of Patent Right“ </w:t>
      </w:r>
      <w:r w:rsidRPr="00B56C17">
        <w:rPr>
          <w:iCs/>
          <w:color w:val="000000"/>
          <w:lang w:eastAsia="en-US"/>
        </w:rPr>
        <w:t>ir pan.).</w:t>
      </w:r>
    </w:p>
    <w:p w14:paraId="6AE61437"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Papildomos apsaugos liudijimas turi būti išduotas pagrindinio patento, atitinkančio patentabilumo kriterijus, pagrindu. Pagrindinio patento patentabilumas nustatomas pagal anksčiau nurodytus kriterijus ir įrodomas pateikus aukščiau nurodytus dokumentus (žr. šios dalies komentaro 8 punktą).</w:t>
      </w:r>
    </w:p>
    <w:p w14:paraId="17A27A9E"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4F46C3F5" w14:textId="77777777" w:rsidR="009E0403" w:rsidRPr="00B56C17" w:rsidRDefault="009E0403" w:rsidP="009E0403">
      <w:pPr>
        <w:ind w:firstLine="720"/>
        <w:jc w:val="both"/>
        <w:rPr>
          <w:iCs/>
          <w:color w:val="000000"/>
        </w:rPr>
      </w:pPr>
      <w:r w:rsidRPr="00B56C17">
        <w:rPr>
          <w:iCs/>
          <w:color w:val="000000"/>
        </w:rPr>
        <w:t>1-4 pavyzdžiai</w:t>
      </w:r>
    </w:p>
    <w:p w14:paraId="68D86F8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1. Kai patentas išduotas Lietuvoje:</w:t>
      </w:r>
    </w:p>
    <w:p w14:paraId="523CADD2"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Siekdamas įvertinti išradimo atitikimą patentabilumo reikalavimams, vienetas 2018 metais pateikė Valstybiniam patentų biurui (toliau –VPB)  paraišką patentui gauti ir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xml:space="preserve"> Europos patentų tarnyboje. Remiantis VPB ir Europos patentų tarnybos bendradarbiavimo susitarimu, šio išradimo atitikimas patentabilumo kriterijams buvo įvertintas Europos patentų tarnyboje. Europos patentų tarnyba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pateikė prašymą VPB atitinkamai susiaurinti išradimo apibrėžties apimtį. Vienetas taip pat kreipėsi į patentinį patikėtinį, kad šis patvirtintų, jog susiaurinta išradimo apibrėžtis atitinka patentabilumo kriterijus. </w:t>
      </w:r>
    </w:p>
    <w:p w14:paraId="7CE5283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iki patento išdavimo, t. y. 2018 metais prasidėjusį mokestinį laikotarpį, privalo turėti paieškos ataskaitą, rašytinę nuomonę, dokumentus, patvirtinančius išradimo apibrėžties susiaurinimą bei patentinio patikėtinio patvirtinimą.</w:t>
      </w:r>
    </w:p>
    <w:p w14:paraId="7E4447B3"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VPB 2019 metais išdavė vienetui išradimo patentą.                   </w:t>
      </w:r>
    </w:p>
    <w:p w14:paraId="1C7FA52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p>
    <w:p w14:paraId="67EE8348"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2. Kai patentas išduotas ne Lietuvoje (patentų tarnybai nevertinant patentabilumo kriterijų)</w:t>
      </w:r>
    </w:p>
    <w:p w14:paraId="442F4603"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2016-2017 metais Lietuvoje vykdė MTEP veiklą ir sukūrė naują turtą – lazerinį prietaisą, dėl kurio patentavimo 2018 metais kreipėsi į Slovėnijos intelektinės nuosavybės tarnybą. </w:t>
      </w:r>
    </w:p>
    <w:p w14:paraId="649DA74C"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Slovėnijos intelektinės nuosavybės tarnyba 2018 metais išdavė patentą. Kadangi Slovėnijos intelektinės nuosavybės tarnyba neatliko ekspertinio vertinimo, ar išradimas atitinka patentabilumo kriterijus, vienetas dėl tokio vertinimo kreipėsi į patentinį patikėtinį, kuris pateikė rašytinį </w:t>
      </w:r>
      <w:r w:rsidRPr="00B56C17">
        <w:t>patvirtinimą dėl šio išradimo atitikimo patentabilumo reikalavimams</w:t>
      </w:r>
      <w:r w:rsidRPr="00B56C17">
        <w:rPr>
          <w:iCs/>
          <w:color w:val="000000"/>
          <w:lang w:eastAsia="en-US"/>
        </w:rPr>
        <w:t xml:space="preserve">. </w:t>
      </w:r>
    </w:p>
    <w:p w14:paraId="0F27F005"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taikydamas šioje dalyje nustatytą lengvatą privalo turėti patentinio patikėtinio išduotą rašytinį patvirtinimą ir išduotą patentą.</w:t>
      </w:r>
    </w:p>
    <w:p w14:paraId="0A2FA86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15BBD1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
          <w:iCs/>
          <w:color w:val="000000"/>
          <w:lang w:eastAsia="en-US"/>
        </w:rPr>
        <w:t>3. Kai patentas išduotas Europos patentų tarnyboje</w:t>
      </w:r>
      <w:r w:rsidRPr="00B56C17">
        <w:rPr>
          <w:iCs/>
          <w:color w:val="000000"/>
          <w:lang w:eastAsia="en-US"/>
        </w:rPr>
        <w:t>:</w:t>
      </w:r>
    </w:p>
    <w:p w14:paraId="1773425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2016-2017 metais Lietuvoje vykdė MTEP veiklą ir sukūrė naują turtą – lazerinį prietaisą, dėl kurio patentavimo 2018 metais pateikė Europos patento paraišką Europos patentų tarnybai.</w:t>
      </w:r>
    </w:p>
    <w:p w14:paraId="3BC451D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Europos patentų tarnyba 2018 m. viduryje vienetui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xml:space="preserve">“). Rašytinėje nuomonėje buvo nurodyta, kad tam tikri išradimo apibrėžties punktai neatitinka patentabilumo kriterijų. Dėl šios priežasties vienetas </w:t>
      </w:r>
      <w:r w:rsidRPr="00B56C17">
        <w:rPr>
          <w:iCs/>
          <w:color w:val="000000"/>
          <w:lang w:eastAsia="en-US"/>
        </w:rPr>
        <w:lastRenderedPageBreak/>
        <w:t xml:space="preserve">pateikė prašymą Europos patentų tarnybai susiaurinti išradimo apibrėžties apimtį. Vienetas taip pat kreipėsi į patentinį patikėtinį, kad šis patvirtintų, jog susiaurinta išradimo apibrėžtis atitinka patentabilumo kriterijus. </w:t>
      </w:r>
    </w:p>
    <w:p w14:paraId="7585010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taikydamas šioje dalyje nustatytą lengvatą iki patento išdavimo, t. y.  2018 metais prasidėjusį mokestinį laikotarpį, turi turėti paieškos ataskaitą, rašytinę nuomonę, dokumentus, patvirtinančius išradimo apibrėžties susiaurinimą ir patentinio patikėtinio patvirtinimą. </w:t>
      </w:r>
    </w:p>
    <w:p w14:paraId="0A84FB1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Europos patentų tarnyba 2021 m. išdavė patentą.</w:t>
      </w:r>
    </w:p>
    <w:p w14:paraId="2AA0F539"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7BEC6611"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
          <w:iCs/>
          <w:color w:val="000000"/>
          <w:lang w:eastAsia="en-US"/>
        </w:rPr>
      </w:pPr>
      <w:r w:rsidRPr="00B56C17">
        <w:rPr>
          <w:i/>
          <w:iCs/>
          <w:color w:val="000000"/>
          <w:lang w:eastAsia="en-US"/>
        </w:rPr>
        <w:t>4. Kai sudaryta išimtinė licencija:</w:t>
      </w:r>
    </w:p>
    <w:p w14:paraId="37149CA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2016-2017 metais vykdė MTEP veiklą ir sukūrė naują turtą – lazerinį prietaisą, kuriam 2018 metais išduotas patentas. Kadangi vienetas yra įmonių grupės dalis, patento paraiškoje pareiškėju buvo nurodytas ne vienetas X, o kita įmonės grupė – vienetas Y. VPB išdavė išradimo patentą vienetui Y.</w:t>
      </w:r>
    </w:p>
    <w:p w14:paraId="2CC9891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Siekdamas įvertinti išradimo atitikimą patentabilumo reikalavimams, vienetas Y netrukus po patento paraiškos padavimo pateikė </w:t>
      </w:r>
      <w:r w:rsidRPr="00B56C17">
        <w:rPr>
          <w:color w:val="000000"/>
        </w:rPr>
        <w:t xml:space="preserve">prašymą </w:t>
      </w:r>
      <w:r w:rsidRPr="00B56C17">
        <w:rPr>
          <w:iCs/>
          <w:color w:val="000000"/>
          <w:lang w:eastAsia="en-US"/>
        </w:rPr>
        <w:t xml:space="preserve">VPB </w:t>
      </w:r>
      <w:r w:rsidRPr="00B56C17">
        <w:rPr>
          <w:color w:val="000000"/>
        </w:rPr>
        <w:t>atlikti paiešką</w:t>
      </w:r>
      <w:r w:rsidRPr="00B56C17">
        <w:rPr>
          <w:iCs/>
          <w:color w:val="000000"/>
          <w:lang w:eastAsia="en-US"/>
        </w:rPr>
        <w:t>. Remiantis VPB ir Europos patentų tarnybos bendradarbiavimo susitarimu, šio išradimo atitikimas patentabilumo kriterijams buvo atliktas Europos patentų tarnyboje. Europos patentų tarnyba vienetui Y pateikė paieškos ataskaitą (angl. – „</w:t>
      </w:r>
      <w:r w:rsidRPr="00B56C17">
        <w:rPr>
          <w:i/>
          <w:iCs/>
          <w:color w:val="000000"/>
          <w:lang w:eastAsia="en-US"/>
        </w:rPr>
        <w:t>search report</w:t>
      </w:r>
      <w:r w:rsidRPr="00B56C17">
        <w:rPr>
          <w:iCs/>
          <w:color w:val="000000"/>
          <w:lang w:eastAsia="en-US"/>
        </w:rPr>
        <w:t>“) ir rašytinę nuomonę (angl. – „</w:t>
      </w:r>
      <w:r w:rsidRPr="00B56C17">
        <w:rPr>
          <w:i/>
          <w:iCs/>
          <w:color w:val="000000"/>
          <w:lang w:eastAsia="en-US"/>
        </w:rPr>
        <w:t>written opinion</w:t>
      </w:r>
      <w:r w:rsidRPr="00B56C17">
        <w:rPr>
          <w:iCs/>
          <w:color w:val="000000"/>
          <w:lang w:eastAsia="en-US"/>
        </w:rPr>
        <w:t>“). Rašytinėje nuomonėje buvo nurodyta, kad išradimas atitinka patentabilumo kriterijus.</w:t>
      </w:r>
    </w:p>
    <w:p w14:paraId="4A9DA8A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Vienetas X su vienetu Y dėl šio patento 2018 metais sudarė išimtinę licenciją, kuri buvo įregistruota VPB. </w:t>
      </w:r>
    </w:p>
    <w:p w14:paraId="1D5AD779"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Vienetas X, taikydamas šioje dalyje nustatytą lengvatą, turi turėti išimtinės licencijos išrašą, vieneto Y gautą paieškos ataskaitos ir rašytinės nuomonės kopiją (patvirtintą) ir vieneto Y gauto patento kopiją (patvirtintą).</w:t>
      </w:r>
    </w:p>
    <w:p w14:paraId="4108EC2A" w14:textId="77777777" w:rsidR="009E0403" w:rsidRPr="00B56C17" w:rsidRDefault="009E0403" w:rsidP="009E0403">
      <w:pPr>
        <w:pStyle w:val="tajtip"/>
        <w:shd w:val="clear" w:color="auto" w:fill="FFFFFF"/>
        <w:spacing w:before="0" w:beforeAutospacing="0" w:after="0" w:afterAutospacing="0"/>
        <w:ind w:firstLine="720"/>
        <w:jc w:val="both"/>
      </w:pPr>
    </w:p>
    <w:p w14:paraId="0E58CB5F" w14:textId="77777777" w:rsidR="009E0403" w:rsidRPr="00B56C17" w:rsidRDefault="009E0403" w:rsidP="009E0403">
      <w:pPr>
        <w:pStyle w:val="tajtip"/>
        <w:shd w:val="clear" w:color="auto" w:fill="FFFFFF"/>
        <w:spacing w:before="0" w:beforeAutospacing="0" w:after="0" w:afterAutospacing="0"/>
        <w:ind w:firstLine="720"/>
        <w:jc w:val="both"/>
        <w:rPr>
          <w:b/>
          <w:iCs/>
          <w:color w:val="000000"/>
          <w:lang w:eastAsia="en-US"/>
        </w:rPr>
      </w:pPr>
      <w:r w:rsidRPr="00B56C17">
        <w:rPr>
          <w:b/>
          <w:color w:val="000000"/>
        </w:rPr>
        <w:t>8. Šio straipsnio 7 dalies nuostatos taikomos ir tuo atveju, kai Lietuvos vieneto arba nuolatinės buveinės sukurtas turtas yra jų naudojamas pagal išimtinę licenciją. Lengvata pradedama taikyti, kai jau yra atsiradusios autorių teisės, paduota patento paraiška, išduotas patentas, įsigaliojęs papildomos apsaugos liudijimas ar kai yra suteikta išimtinė licencija. Kai lengvata taikoma nuo patento paraiškos padavimo, o patentas nėra išduodamas arba kai patentas pripažįstamas negaliojančiu, taip pat pripažįstamas negaliojančiu papildomos apsaugos liudijimas ar išimtinė licencija yra negaliojanti, sumokėtas pelno mokestis nuo apmokestinamojo pelno iš turto naudojimo, pardavimo ar kitokio perleidimo nuosavybėn dalies, apskaičiuotos pagal šio straipsnio 9 dalyje nustatytą formulę, privalo būti perskaičiuotas už visus mokestinius laikotarpius, kuriais buvo taikyta lengvata, atsižvelgiant į Mokesčių administravimo įstatymo 68 straipsnio nuostatas.</w:t>
      </w:r>
    </w:p>
    <w:p w14:paraId="7F7EB341" w14:textId="77777777" w:rsidR="009E0403" w:rsidRPr="00B56C17" w:rsidRDefault="009E0403" w:rsidP="009E0403">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3AAFCA36" w14:textId="77777777" w:rsidR="009E0403" w:rsidRPr="0065344A" w:rsidRDefault="009E0403" w:rsidP="009E0403">
      <w:pPr>
        <w:ind w:firstLine="720"/>
        <w:jc w:val="both"/>
        <w:rPr>
          <w:b/>
          <w:lang w:val="lt-LT"/>
        </w:rPr>
      </w:pPr>
    </w:p>
    <w:p w14:paraId="04ED4E5D" w14:textId="77777777" w:rsidR="009E0403" w:rsidRPr="0065344A" w:rsidRDefault="009E0403" w:rsidP="009E0403">
      <w:pPr>
        <w:ind w:firstLine="720"/>
        <w:jc w:val="both"/>
        <w:rPr>
          <w:b/>
          <w:lang w:val="lt-LT"/>
        </w:rPr>
      </w:pPr>
      <w:r w:rsidRPr="0065344A">
        <w:rPr>
          <w:b/>
          <w:lang w:val="lt-LT"/>
        </w:rPr>
        <w:t>Komentaras</w:t>
      </w:r>
    </w:p>
    <w:p w14:paraId="1EE409F9" w14:textId="77777777" w:rsidR="009E0403" w:rsidRPr="00B56C17" w:rsidRDefault="009E0403" w:rsidP="009E0403">
      <w:pPr>
        <w:pStyle w:val="tajtip"/>
        <w:shd w:val="clear" w:color="auto" w:fill="FFFFFF"/>
        <w:spacing w:before="0" w:beforeAutospacing="0" w:after="0" w:afterAutospacing="0"/>
        <w:ind w:firstLine="720"/>
        <w:jc w:val="both"/>
        <w:rPr>
          <w:rFonts w:ascii="Arial" w:hAnsi="Arial" w:cs="Arial"/>
          <w:color w:val="333333"/>
          <w:sz w:val="20"/>
          <w:szCs w:val="20"/>
        </w:rPr>
      </w:pPr>
      <w:r w:rsidRPr="00B56C17">
        <w:rPr>
          <w:iCs/>
          <w:color w:val="000000"/>
          <w:lang w:eastAsia="en-US"/>
        </w:rPr>
        <w:t xml:space="preserve">1. Pažymėtina, kad PMĮ 5 str. 7 dalies nuostatos taikomos ir tuo atveju, kai Lietuvos vieneto ar nuolatinės buveinės MTEP veikloje sukurtas turtas yra jo naudojamas pagal išimtinę licenciją (angl. </w:t>
      </w:r>
      <w:r w:rsidRPr="00B56C17">
        <w:rPr>
          <w:i/>
          <w:iCs/>
          <w:color w:val="000000"/>
          <w:lang w:eastAsia="en-US"/>
        </w:rPr>
        <w:t>„exclusive licence“</w:t>
      </w:r>
      <w:r w:rsidRPr="00B56C17">
        <w:rPr>
          <w:iCs/>
          <w:color w:val="000000"/>
          <w:lang w:eastAsia="en-US"/>
        </w:rPr>
        <w:t>).</w:t>
      </w:r>
      <w:r w:rsidRPr="00B56C17">
        <w:rPr>
          <w:rFonts w:ascii="Arial" w:hAnsi="Arial" w:cs="Arial"/>
          <w:color w:val="333333"/>
          <w:sz w:val="20"/>
          <w:szCs w:val="20"/>
        </w:rPr>
        <w:t xml:space="preserve"> </w:t>
      </w:r>
    </w:p>
    <w:p w14:paraId="2D5F542C" w14:textId="77777777" w:rsidR="009E0403" w:rsidRPr="00B56C17" w:rsidRDefault="009E0403" w:rsidP="009E0403">
      <w:pPr>
        <w:pStyle w:val="tajtip"/>
        <w:shd w:val="clear" w:color="auto" w:fill="FFFFFF"/>
        <w:spacing w:before="0" w:beforeAutospacing="0" w:after="0" w:afterAutospacing="0"/>
        <w:ind w:firstLine="720"/>
        <w:jc w:val="both"/>
      </w:pPr>
      <w:r w:rsidRPr="00B56C17">
        <w:rPr>
          <w:bCs/>
        </w:rPr>
        <w:t>Išimtinė licencija</w:t>
      </w:r>
      <w:r w:rsidRPr="00B56C17">
        <w:t xml:space="preserve"> yra tokia, pagal kurią ją suteikęs asmuo netenka teisės suteikti tokias pačias licencijas kitiems asmenims, taip pat neturi teisės pats naudotis suteiktomis teisėmis išimtinės licencijos suteikimo laikotarpiui. Išimtinumas turi būti aiškiai apibrėžtas sutartyje. Išimtinėje licencijoje gali būti numatytos ir kitos sąlygos (pavyzdžiui, licencinės sutarties galiojimo teritorija), kurios neturi įtakos licencijos išimtinumui. Išimtine licencija nelaikoma vienetinė licencija (angl. – </w:t>
      </w:r>
      <w:r w:rsidRPr="00B56C17">
        <w:rPr>
          <w:i/>
        </w:rPr>
        <w:lastRenderedPageBreak/>
        <w:t>„sole licence“</w:t>
      </w:r>
      <w:r w:rsidRPr="00B56C17">
        <w:t xml:space="preserve">), pagal kurią ją suteikęs asmuo netenka teisės suteikti tokias pačias licencijas kitiems asmenims, tačiau turi teisę pats naudotis suteiktomis teisėmis išimtinės licencijos suteikimo laikotarpiu. </w:t>
      </w:r>
    </w:p>
    <w:p w14:paraId="3D2CF719" w14:textId="77777777" w:rsidR="009E0403" w:rsidRPr="00B56C17" w:rsidRDefault="009E0403" w:rsidP="009E0403">
      <w:pPr>
        <w:pStyle w:val="tajtip"/>
        <w:shd w:val="clear" w:color="auto" w:fill="FFFFFF"/>
        <w:spacing w:before="0" w:beforeAutospacing="0" w:after="0" w:afterAutospacing="0"/>
        <w:ind w:firstLine="720"/>
        <w:jc w:val="both"/>
      </w:pPr>
      <w:r w:rsidRPr="00B56C17">
        <w:t>Išradimų atveju išimtinė licencija turi būti išduota patentabilumo kriterijus atitinkančio išradimo patentui arba patento paraiškai.</w:t>
      </w:r>
      <w:r w:rsidRPr="00B56C17">
        <w:rPr>
          <w:iCs/>
          <w:color w:val="000000"/>
          <w:lang w:eastAsia="en-US"/>
        </w:rPr>
        <w:t xml:space="preserve"> Patentabilumas nustatomas pagal anksčiau nurodytus kriterijus ir įrodomas pateikus aukščiau nurodytus dokumentus (žr. šio straipsnio 7 d. komentaro 8 punktą). Atkreiptinas dėmesys, kad paprastai išimtinę patento licenciją yra reikalinga įregistruoti viešame registre</w:t>
      </w:r>
      <w:r w:rsidRPr="00B56C17">
        <w:rPr>
          <w:rStyle w:val="Puslapioinaosnuoroda"/>
          <w:iCs/>
          <w:color w:val="000000"/>
          <w:lang w:eastAsia="en-US"/>
        </w:rPr>
        <w:footnoteReference w:id="14"/>
      </w:r>
      <w:r w:rsidRPr="00B56C17">
        <w:rPr>
          <w:iCs/>
          <w:color w:val="000000"/>
          <w:lang w:eastAsia="en-US"/>
        </w:rPr>
        <w:t>.</w:t>
      </w:r>
    </w:p>
    <w:p w14:paraId="01104F21"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t>2.</w:t>
      </w:r>
      <w:r w:rsidRPr="00B56C17">
        <w:t xml:space="preserve">Vadovaujantis ATGT įstatymu, autorių teisių apsauga į sukurtą kompiuterinę programą atsiranda ją sukūrus ir išreiškus objektyvia forma, nereikalaujant jokios papildomos registracijos.  Kompiuterių programos autorius gali būti fizinis asmuo arba fizinių asmenų grupė, sukūrę programą. ATGT įstatymas taip pat numato, jog turtinės autorių teisės į kompiuterių programą, kurią sukūrė darbuotojas atlikdamas savo tarnybines pareigas ar darbo funkcijas, gali priklausyti ir darbdaviui/gamintojui, jei kitaip nenustatyta sutartyje. Autorių teisių turėtojas gali pranešti visuomenei apie savo turtines teises panaudodamas autorių teisių apsaugos ženklą – apskritime arba lenktiniuose skliaustuose įrašyta raidė C, autoriaus arba kito autorių teisių subjekto vardas (pavadinimas) ir išleidimo metai. </w:t>
      </w:r>
    </w:p>
    <w:p w14:paraId="69B85EAE" w14:textId="77777777" w:rsidR="009E0403" w:rsidRPr="0065344A" w:rsidRDefault="009E0403" w:rsidP="009E0403">
      <w:pPr>
        <w:ind w:firstLine="720"/>
        <w:jc w:val="both"/>
        <w:rPr>
          <w:lang w:val="lt-LT"/>
        </w:rPr>
      </w:pPr>
      <w:r w:rsidRPr="0065344A">
        <w:rPr>
          <w:lang w:val="lt-LT"/>
        </w:rPr>
        <w:t>Atsižvelgiant į tai, kad  autorių teisių apsauga į sukurtą kompiuterinę programą atsiranda iš karto ją sukūrus ir išreiškus objektyvia forma, nereikalaujant jokios papildomos registracijos, todėl  iš karto pradedama taikyti ir PMĮ 5 str. 7 dalyje nustatyta lengvata. Atitinkamai, atsiradus autorių teisėms į sukurtą kompiuterinę programą, papildomų dokumentų, pagrindžiančių PMĮ 5 str. 7 dalyje nustatytos lengvatos taikymą, vienetui turėti nereikia.</w:t>
      </w:r>
    </w:p>
    <w:p w14:paraId="6115342B" w14:textId="77777777" w:rsidR="009E0403" w:rsidRPr="00F9196D" w:rsidRDefault="009E0403" w:rsidP="009E0403">
      <w:pPr>
        <w:pStyle w:val="tajtip"/>
        <w:shd w:val="clear" w:color="auto" w:fill="FFFFFF"/>
        <w:spacing w:before="0" w:beforeAutospacing="0" w:after="0" w:afterAutospacing="0"/>
        <w:ind w:firstLine="720"/>
        <w:jc w:val="both"/>
        <w:rPr>
          <w:iCs/>
          <w:color w:val="000000"/>
          <w:lang w:eastAsia="en-US"/>
        </w:rPr>
      </w:pPr>
      <w:r w:rsidRPr="00F9196D">
        <w:rPr>
          <w:iCs/>
          <w:color w:val="000000"/>
          <w:lang w:eastAsia="en-US"/>
        </w:rPr>
        <w:t xml:space="preserve">3. PMĮ 5 str. 7 dalyje nustatyta lengvata, apmokestinamojo pelno dalį apmokestinant   </w:t>
      </w:r>
      <w:r w:rsidRPr="00F9196D">
        <w:rPr>
          <w:bCs/>
          <w:color w:val="000000"/>
        </w:rPr>
        <w:t xml:space="preserve">lengvatiniu (5 proc. – apskaičiuojant iki 2025 metais prasidėjusio mokestinio laikotarpio bei 6 proc. – apskaičiuojant 2025 metais prasidėjusio ir vėlesnių mokestinių laikotarpių apmokestinamąjį pelną) </w:t>
      </w:r>
      <w:r w:rsidRPr="00F9196D">
        <w:rPr>
          <w:color w:val="000000"/>
        </w:rPr>
        <w:t>pelno mokesčio</w:t>
      </w:r>
      <w:r w:rsidRPr="00F9196D">
        <w:rPr>
          <w:iCs/>
          <w:color w:val="000000"/>
          <w:lang w:eastAsia="en-US"/>
        </w:rPr>
        <w:t xml:space="preserve"> tarifu, pradedama taikyti tą mokestinį laikotarpį, kurį yra išduotas patentas arba paduota paraiška patentui gauti, atsiradusios autorių teisės, įsigaliojęs papildomos apsaugos liudijimas ar kai yra suteikta išimtinė licencija.</w:t>
      </w:r>
    </w:p>
    <w:p w14:paraId="057F3DB3" w14:textId="77777777" w:rsidR="009E0403" w:rsidRPr="00720C7C" w:rsidRDefault="009E0403" w:rsidP="009E0403">
      <w:pPr>
        <w:jc w:val="both"/>
        <w:rPr>
          <w:rFonts w:ascii="Trebuchet MS" w:hAnsi="Trebuchet MS"/>
          <w:sz w:val="20"/>
          <w:szCs w:val="22"/>
          <w:lang w:val="lt-LT"/>
        </w:rPr>
      </w:pPr>
      <w:r>
        <w:rPr>
          <w:lang w:val="lt-LT"/>
        </w:rPr>
        <w:t xml:space="preserve">            </w:t>
      </w:r>
      <w:r>
        <w:rPr>
          <w:iCs/>
          <w:lang w:eastAsia="lt-LT"/>
        </w:rPr>
        <w:t>(PMĮ 5  straipsnio 8 d. 3 p. pirmos pastraipos  komentaras parengtas  pagal VMI prie FM 2025-01-09 raštą Nr. (18.32-31-1 Mr)-R-80)</w:t>
      </w:r>
    </w:p>
    <w:p w14:paraId="7D6EBAF7" w14:textId="77777777" w:rsidR="009E0403" w:rsidRPr="0065344A" w:rsidRDefault="009E0403" w:rsidP="009E0403">
      <w:pPr>
        <w:ind w:right="-82" w:firstLine="709"/>
        <w:jc w:val="both"/>
        <w:rPr>
          <w:color w:val="000000"/>
          <w:shd w:val="clear" w:color="auto" w:fill="FFFFFF"/>
          <w:lang w:val="lt-LT"/>
        </w:rPr>
      </w:pPr>
      <w:r w:rsidRPr="0065344A">
        <w:rPr>
          <w:lang w:val="lt-LT"/>
        </w:rPr>
        <w:t xml:space="preserve">Tuo atveju, kai lengvata taikoma nuo patento paraiškos padavimo, tačiau </w:t>
      </w:r>
      <w:r w:rsidRPr="0065344A">
        <w:rPr>
          <w:iCs/>
          <w:color w:val="000000"/>
          <w:lang w:val="lt-LT"/>
        </w:rPr>
        <w:t>patentas nėra išduodamas arba jeigu patentas pripažįstamas negaliojančiu,</w:t>
      </w:r>
      <w:r w:rsidRPr="0065344A">
        <w:rPr>
          <w:bCs/>
          <w:sz w:val="20"/>
          <w:szCs w:val="20"/>
          <w:lang w:val="lt-LT"/>
        </w:rPr>
        <w:t xml:space="preserve"> </w:t>
      </w:r>
      <w:r w:rsidRPr="0065344A">
        <w:rPr>
          <w:bCs/>
          <w:lang w:val="lt-LT"/>
        </w:rPr>
        <w:t>taip pat pripažįstamas negaliojančiu papildomos apsaugos liudijimas arba išimtinė licencija yra negaliojanti,</w:t>
      </w:r>
      <w:r w:rsidRPr="0065344A">
        <w:rPr>
          <w:iCs/>
          <w:color w:val="000000"/>
          <w:lang w:val="lt-LT"/>
        </w:rPr>
        <w:t xml:space="preserve"> </w:t>
      </w:r>
      <w:r w:rsidRPr="0065344A">
        <w:rPr>
          <w:lang w:val="lt-LT"/>
        </w:rPr>
        <w:t>tai privalės būti atlikti apmokestinamojo pelno koregavimai nuo pat patento paraiškos padavimo datos, t. y. tų mokestinių laikotarpių, kurių pagal šios dalies nuostatas buvo sumažintas apmokestinamasis pelnas, ir mokesčių administratoriui privalės būti pateiktos patikslintos tų mokestinių laikotarpių metinės pelno mokesčio deklaracijos, o tuo atveju, jeigu jau išduotas patentas yra panaikinamas (pavyzdžiui nesumokėjus metų mokesčių ar pan.) ar patento yra atsisakyta, tai šioje dalyje nustatyta lengvata nebetaikoma nuo panaikinimo ar atsisakymo datos.</w:t>
      </w:r>
      <w:r w:rsidRPr="0065344A">
        <w:rPr>
          <w:color w:val="000000"/>
          <w:shd w:val="clear" w:color="auto" w:fill="FFFFFF"/>
          <w:lang w:val="lt-LT"/>
        </w:rPr>
        <w:t xml:space="preserve"> Delspinigiai už ne laiku sumokėtą mokestį sumokami Mokesčių administravimo įstatymo nustatyta tvarka. </w:t>
      </w:r>
    </w:p>
    <w:p w14:paraId="1C0785C0"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67A2DF81"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9. Apmokestinamojo pelno iš turto naudojimo, pardavimo ar kitokio perleidimo nuosavybėn dalis apskaičiuojama pagal šią formulę:</w:t>
      </w:r>
    </w:p>
    <w:p w14:paraId="6E654003"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p>
    <w:p w14:paraId="3D559F5D" w14:textId="77777777" w:rsidR="009E0403" w:rsidRPr="00B56C17" w:rsidRDefault="009E0403" w:rsidP="009E0403">
      <w:pPr>
        <w:spacing w:line="360" w:lineRule="atLeast"/>
        <w:ind w:firstLine="720"/>
        <w:jc w:val="both"/>
        <w:rPr>
          <w:b/>
          <w:noProof/>
          <w:color w:val="000000"/>
        </w:rPr>
      </w:pPr>
      <w:r w:rsidRPr="00B56C17">
        <w:rPr>
          <w:noProof/>
          <w:lang w:val="lt-LT" w:eastAsia="lt-LT"/>
        </w:rPr>
        <w:lastRenderedPageBreak/>
        <w:drawing>
          <wp:inline distT="0" distB="0" distL="0" distR="0" wp14:anchorId="4A39A374" wp14:editId="20408411">
            <wp:extent cx="4362450" cy="352425"/>
            <wp:effectExtent l="0" t="0" r="0" b="9525"/>
            <wp:docPr id="64" name="Paveikslėlis 7" descr="https://e-seimas.lrs.lt/rs/legalact/TAK/aabd5480ed6311e89d4ad92e8434e309/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seimas.lrs.lt/rs/legalact/TAK/aabd5480ed6311e89d4ad92e8434e309/content_files/image00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62450" cy="352425"/>
                    </a:xfrm>
                    <a:prstGeom prst="rect">
                      <a:avLst/>
                    </a:prstGeom>
                    <a:noFill/>
                    <a:ln>
                      <a:noFill/>
                    </a:ln>
                  </pic:spPr>
                </pic:pic>
              </a:graphicData>
            </a:graphic>
          </wp:inline>
        </w:drawing>
      </w:r>
    </w:p>
    <w:p w14:paraId="18CF7865"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p>
    <w:p w14:paraId="6A4A8AB6"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1) tinkamos finansuoti išlaidos – sąnaudos, patirtos mokslinių tyrimų ir eksperimentinės plėtros veikloje sukuriant turtą, priskiriamos prie mokslinių tyrimų ir eksperimentinės plėtros darbų sąnaudų, kurios tris kartus gali būti atskaitomos iš pajamų, išskyrus dėl susijusių asmenų veiklos patirtas sąnaudas ir šio straipsnio 7 dalies 2 punkte nurodyto turto įsigijimo išlaidas. Į formulę įtraukiama apskaičiuota tinkamų finansuoti išlaidų suma padidinama 30 procentų, tačiau ši padidinta suma negali būti didesnė už apskaičiuotą visų išlaidų sumą;</w:t>
      </w:r>
    </w:p>
    <w:p w14:paraId="48B86805"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2) visos išlaidos – tinkamos finansuoti išlaidos, šio straipsnio 7 dalies 2 punkte nurodyto turto įsigijimo išlaidos ir kitos sąnaudos, priskiriamos prie leidžiamų atskaitymų ar ribojamų dydžių leidžiamų atskaitymų, patirtos mokslinių tyrimų ir eksperimentinės plėtros veikloje sukuriant turtą, įskaitant dėl susijusių asmenų veiklos patirtas sąnaudas, išskyrus palūkanas ir pastatų nusidėvėjimo sąnaudas;</w:t>
      </w:r>
    </w:p>
    <w:p w14:paraId="657B63FA" w14:textId="77777777" w:rsidR="009E0403" w:rsidRPr="00B56C17" w:rsidRDefault="009E0403" w:rsidP="009E0403">
      <w:pPr>
        <w:pStyle w:val="tajtip"/>
        <w:shd w:val="clear" w:color="auto" w:fill="FFFFFF"/>
        <w:spacing w:before="0" w:beforeAutospacing="0" w:after="0" w:afterAutospacing="0"/>
        <w:ind w:firstLine="720"/>
        <w:jc w:val="both"/>
        <w:rPr>
          <w:b/>
          <w:color w:val="000000"/>
        </w:rPr>
      </w:pPr>
      <w:r w:rsidRPr="00B56C17">
        <w:rPr>
          <w:b/>
          <w:color w:val="000000"/>
        </w:rPr>
        <w:t>3) pelnas iš turto naudojimo – apmokestinamasis pelnas, apskaičiuotas iš paties vieneto vykdomoje mokslinių tyrimų ir eksperimentinės plėtros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w:t>
      </w:r>
    </w:p>
    <w:p w14:paraId="49B757B2" w14:textId="77777777" w:rsidR="009E0403" w:rsidRPr="00B56C17" w:rsidRDefault="009E0403" w:rsidP="009E0403">
      <w:pPr>
        <w:pStyle w:val="tajtip"/>
        <w:shd w:val="clear" w:color="auto" w:fill="FFFFFF"/>
        <w:spacing w:before="0" w:beforeAutospacing="0" w:after="0" w:afterAutospacing="0"/>
        <w:jc w:val="both"/>
        <w:rPr>
          <w:bCs/>
          <w:i/>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19AC1465" w14:textId="77777777" w:rsidR="009E0403" w:rsidRPr="0065344A" w:rsidRDefault="009E0403" w:rsidP="009E0403">
      <w:pPr>
        <w:ind w:firstLine="720"/>
        <w:jc w:val="both"/>
        <w:rPr>
          <w:b/>
          <w:lang w:val="lt-LT"/>
        </w:rPr>
      </w:pPr>
    </w:p>
    <w:p w14:paraId="79971A2A" w14:textId="77777777" w:rsidR="009E0403" w:rsidRPr="00B56C17" w:rsidRDefault="009E0403" w:rsidP="009E0403">
      <w:pPr>
        <w:ind w:firstLine="720"/>
        <w:jc w:val="both"/>
        <w:rPr>
          <w:b/>
        </w:rPr>
      </w:pPr>
      <w:r w:rsidRPr="00B56C17">
        <w:rPr>
          <w:b/>
        </w:rPr>
        <w:t>Komentaras</w:t>
      </w:r>
    </w:p>
    <w:p w14:paraId="34D3B54B" w14:textId="77777777" w:rsidR="009E0403" w:rsidRPr="00F9196D" w:rsidRDefault="009E0403" w:rsidP="009E0403">
      <w:pPr>
        <w:pStyle w:val="tajtip"/>
        <w:shd w:val="clear" w:color="auto" w:fill="FFFFFF"/>
        <w:spacing w:before="0" w:beforeAutospacing="0" w:after="0" w:afterAutospacing="0"/>
        <w:ind w:firstLine="720"/>
        <w:jc w:val="both"/>
        <w:rPr>
          <w:color w:val="000000"/>
        </w:rPr>
      </w:pPr>
      <w:r w:rsidRPr="00F9196D">
        <w:rPr>
          <w:color w:val="000000"/>
        </w:rPr>
        <w:t xml:space="preserve">1. Apmokestinamojo pelno dalis, kuri apmokestinama </w:t>
      </w:r>
      <w:r w:rsidRPr="00F9196D">
        <w:rPr>
          <w:bCs/>
          <w:color w:val="000000"/>
        </w:rPr>
        <w:t xml:space="preserve">lengvatiniu (5 proc. – apskaičiuojant iki 2025 metais prasidėjusio mokestinio laikotarpio bei 6 proc. – apskaičiuojant 2025 metais prasidėjusio ir vėlesnių mokestinių laikotarpių apmokestinamąjį pelną) </w:t>
      </w:r>
      <w:r w:rsidRPr="00F9196D">
        <w:rPr>
          <w:color w:val="000000"/>
        </w:rPr>
        <w:t>pelno mokesčio tarifu apskaičiuojama pagal šią formulę:</w:t>
      </w:r>
    </w:p>
    <w:p w14:paraId="38DED7C9" w14:textId="77777777" w:rsidR="009E0403" w:rsidRPr="00B56C17" w:rsidRDefault="009E0403" w:rsidP="009E0403">
      <w:pPr>
        <w:spacing w:line="360" w:lineRule="atLeast"/>
        <w:jc w:val="both"/>
        <w:rPr>
          <w:color w:val="000000"/>
        </w:rPr>
      </w:pPr>
      <w:r w:rsidRPr="00B56C17">
        <w:rPr>
          <w:color w:val="000000"/>
        </w:rPr>
        <w:t xml:space="preserve">                 </w:t>
      </w:r>
    </w:p>
    <w:p w14:paraId="5809162E" w14:textId="77777777" w:rsidR="009E0403" w:rsidRPr="003724F6" w:rsidRDefault="009E0403" w:rsidP="009E0403">
      <w:pPr>
        <w:spacing w:line="360" w:lineRule="atLeast"/>
        <w:jc w:val="both"/>
        <w:rPr>
          <w:color w:val="000000"/>
          <w:sz w:val="27"/>
          <w:szCs w:val="27"/>
        </w:rPr>
      </w:pPr>
      <w:r w:rsidRPr="00B56C17">
        <w:rPr>
          <w:color w:val="000000"/>
        </w:rPr>
        <w:t xml:space="preserve">               </w:t>
      </w:r>
      <w:r w:rsidRPr="00B56C17">
        <w:rPr>
          <w:noProof/>
          <w:color w:val="000000"/>
          <w:lang w:val="lt-LT" w:eastAsia="lt-LT"/>
        </w:rPr>
        <w:drawing>
          <wp:inline distT="0" distB="0" distL="0" distR="0" wp14:anchorId="66173B5E" wp14:editId="244D7205">
            <wp:extent cx="3990975" cy="352425"/>
            <wp:effectExtent l="0" t="0" r="9525" b="9525"/>
            <wp:docPr id="65" name="Paveikslėlis 8" descr="https://e-seimas.lrs.lt/rs/legalact/TAP/8c402780ed6311e89d4ad92e8434e309/content_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eimas.lrs.lt/rs/legalact/TAP/8c402780ed6311e89d4ad92e8434e309/content_files/image00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975" cy="352425"/>
                    </a:xfrm>
                    <a:prstGeom prst="rect">
                      <a:avLst/>
                    </a:prstGeom>
                    <a:noFill/>
                    <a:ln>
                      <a:noFill/>
                    </a:ln>
                  </pic:spPr>
                </pic:pic>
              </a:graphicData>
            </a:graphic>
          </wp:inline>
        </w:drawing>
      </w:r>
    </w:p>
    <w:p w14:paraId="6FA4CC95" w14:textId="77777777" w:rsidR="009E0403" w:rsidRPr="00311509" w:rsidRDefault="009E0403" w:rsidP="009E0403">
      <w:pPr>
        <w:jc w:val="both"/>
        <w:rPr>
          <w:rFonts w:ascii="Trebuchet MS" w:hAnsi="Trebuchet MS"/>
          <w:i/>
          <w:sz w:val="20"/>
          <w:szCs w:val="22"/>
          <w:lang w:val="lt-LT"/>
        </w:rPr>
      </w:pPr>
      <w:r w:rsidRPr="00311509">
        <w:rPr>
          <w:i/>
          <w:iCs/>
          <w:lang w:eastAsia="lt-LT"/>
        </w:rPr>
        <w:t>(PMĮ 5 straipsnio 9 d. 1 p. komentaras parengtas  pagal VMI prie FM 2025-01-09 raštą Nr. (18.32-31-1 Mr)-R-80)</w:t>
      </w:r>
    </w:p>
    <w:p w14:paraId="20496339" w14:textId="77777777" w:rsidR="009E0403" w:rsidRPr="00B56C17" w:rsidRDefault="009E0403" w:rsidP="009E0403">
      <w:pPr>
        <w:pStyle w:val="tajtip"/>
        <w:shd w:val="clear" w:color="auto" w:fill="FFFFFF"/>
        <w:spacing w:before="0" w:beforeAutospacing="0" w:after="0" w:afterAutospacing="0"/>
        <w:ind w:firstLine="720"/>
        <w:jc w:val="both"/>
        <w:rPr>
          <w:color w:val="000000"/>
        </w:rPr>
      </w:pPr>
      <w:r w:rsidRPr="00B56C17">
        <w:rPr>
          <w:color w:val="000000"/>
        </w:rPr>
        <w:t>2. Tinkamos finansuoti išlaidos – sąnaudos, patirtos MTEP veikloje sukuriant turtą, priskirtinos MTEP darbų sąnaudoms, kurios tris kartus gali būti atskaitomos iš pajamų. Į formulę įtraukiama apskaičiuota tinkamų finansuoti išlaidų suma gali būti padidinama 30 procentų, tačiau tokia padidinta suma negali būti didesnė už apskaičiuotą visų išlaidų sumą.</w:t>
      </w:r>
    </w:p>
    <w:p w14:paraId="3A70352F" w14:textId="77777777" w:rsidR="009E0403" w:rsidRPr="00B56C17" w:rsidRDefault="009E0403" w:rsidP="009E0403">
      <w:pPr>
        <w:pStyle w:val="tajtip"/>
        <w:shd w:val="clear" w:color="auto" w:fill="FFFFFF"/>
        <w:spacing w:before="0" w:beforeAutospacing="0" w:after="0" w:afterAutospacing="0"/>
        <w:ind w:firstLine="720"/>
        <w:jc w:val="both"/>
        <w:rPr>
          <w:color w:val="000000"/>
        </w:rPr>
      </w:pPr>
      <w:r w:rsidRPr="00B56C17">
        <w:rPr>
          <w:color w:val="000000"/>
        </w:rPr>
        <w:t>Sąnaudų priskyrimo MTEP darbų sąnaudoms, atskaitomoms iš vieneto pajamų, tvarka yra reglamentuota PMĮ 17</w:t>
      </w:r>
      <w:r w:rsidRPr="00B56C17">
        <w:rPr>
          <w:color w:val="000000"/>
          <w:vertAlign w:val="superscript"/>
        </w:rPr>
        <w:t>1</w:t>
      </w:r>
      <w:r w:rsidRPr="00B56C17">
        <w:rPr>
          <w:color w:val="000000"/>
        </w:rPr>
        <w:t xml:space="preserve"> straipsnyje (žr. 17</w:t>
      </w:r>
      <w:r w:rsidRPr="00B56C17">
        <w:rPr>
          <w:color w:val="000000"/>
          <w:vertAlign w:val="superscript"/>
        </w:rPr>
        <w:t>1</w:t>
      </w:r>
      <w:r w:rsidRPr="00B56C17">
        <w:rPr>
          <w:color w:val="000000"/>
        </w:rPr>
        <w:t xml:space="preserve"> straipsnio komentarą). Pažymėtina, kad Sąnaudų priskyrimo mokslinių tyrimų ir eksperimentinės plėtros darbų sąnaudoms tvarkos apraše, patvirtintame </w:t>
      </w:r>
      <w:hyperlink r:id="rId54" w:tgtFrame="_blank" w:history="1">
        <w:r w:rsidRPr="00B56C17">
          <w:rPr>
            <w:color w:val="000000"/>
          </w:rPr>
          <w:t>2008 m. lapkričio 19 d. Lietuvos Respublikos Vyriausybės nutarimu Nr. 1183</w:t>
        </w:r>
      </w:hyperlink>
      <w:r w:rsidRPr="00B56C17">
        <w:rPr>
          <w:color w:val="000000"/>
        </w:rPr>
        <w:t xml:space="preserve"> (toliau – Aprašas), yra  nustatytos konkrečios MTEP veiklos sąnaudos, kurios gali būti atskaitomos iš pajamų tris kartus. </w:t>
      </w:r>
    </w:p>
    <w:p w14:paraId="7DB51DBE" w14:textId="77777777" w:rsidR="009E0403" w:rsidRPr="00B56C17" w:rsidRDefault="009E0403" w:rsidP="009E0403">
      <w:pPr>
        <w:pStyle w:val="tajtip"/>
        <w:shd w:val="clear" w:color="auto" w:fill="FFFFFF"/>
        <w:spacing w:before="0" w:beforeAutospacing="0" w:after="0" w:afterAutospacing="0"/>
        <w:ind w:firstLine="720"/>
        <w:jc w:val="both"/>
      </w:pPr>
      <w:r w:rsidRPr="00B56C17">
        <w:rPr>
          <w:color w:val="000000"/>
        </w:rPr>
        <w:t xml:space="preserve">Nustatant į formulę įrašomą tinkamų finansuoti išlaidų sumą yra skaičiuojamos tik tos MTEP darbų sąnaudos, atskaitomos iš pajamų tris kartus, kurios yra patirtos MTEP veikloje sukuriant </w:t>
      </w:r>
      <w:r w:rsidRPr="00B56C17">
        <w:t xml:space="preserve">šio straipsnio 7 d. 2 punkte </w:t>
      </w:r>
      <w:r w:rsidRPr="00B56C17">
        <w:rPr>
          <w:color w:val="000000"/>
        </w:rPr>
        <w:t>nustatytą turtą. Jeigu vienetas šias sąnaudas patiria ne vien tik kuriant šį turtą, bet ir vykdant kitus MTEP darb</w:t>
      </w:r>
      <w:r w:rsidRPr="00B56C17">
        <w:t xml:space="preserve">us, tokiu atveju vienetas turi proporcingai apskaičiuoti, kokia šių patirtų išlaidų dalis tenka šio turto sukūrimui. </w:t>
      </w:r>
    </w:p>
    <w:p w14:paraId="284301C7"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lastRenderedPageBreak/>
        <w:t>Jeigu MTEP veikloje turtas kuriamas keletą mokestinių laikotarpių, tai tinkamų finansuoti išlaidų suma nustatoma susumuojant šių mokestinių laikotarpių</w:t>
      </w:r>
      <w:r w:rsidRPr="00B56C17">
        <w:rPr>
          <w:color w:val="000000"/>
          <w:lang w:val="lt-LT"/>
        </w:rPr>
        <w:t xml:space="preserve"> </w:t>
      </w:r>
      <w:r w:rsidRPr="00B56C17">
        <w:rPr>
          <w:rFonts w:ascii="Times New Roman" w:hAnsi="Times New Roman" w:cs="Times New Roman"/>
          <w:sz w:val="24"/>
          <w:szCs w:val="24"/>
          <w:lang w:val="lt-LT"/>
        </w:rPr>
        <w:t xml:space="preserve">MTEP darbų sąnaudas, atskaitomas iš pajamų tris kartus, tenkančias konkrečiai to turto sukūrimui. </w:t>
      </w:r>
    </w:p>
    <w:p w14:paraId="2DA7FD98"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Lengvata gali būti taikoma ir tuo atveju, kai vienetas įsigijęs bet kokį turtą (įskaitant nurodytą šio straipsnio 7 d. 2 punkte), jį išplėtoja ir sukuria naują, patentabilumo kriterijus atitinkantį bei patentu ar kitu šio straipsnio 7 dalyje nustatytu dokumentu apsaugotą, turtą. Į tinkamas finansuoti  išlaidas neįtraukiamos turto, nurodyto šio straipsnio 7 d. 2 punkte, įsigijimo išlaidos. </w:t>
      </w:r>
    </w:p>
    <w:p w14:paraId="20B882F1" w14:textId="77777777" w:rsidR="009E0403" w:rsidRPr="00B56C17" w:rsidRDefault="009E0403" w:rsidP="009E0403">
      <w:pPr>
        <w:pStyle w:val="HTMLiankstoformatuotas"/>
        <w:ind w:firstLine="709"/>
        <w:jc w:val="both"/>
        <w:rPr>
          <w:rFonts w:ascii="Times New Roman" w:hAnsi="Times New Roman" w:cs="Times New Roman"/>
          <w:iCs/>
          <w:color w:val="000000"/>
          <w:sz w:val="24"/>
          <w:szCs w:val="24"/>
          <w:lang w:val="lt-LT"/>
        </w:rPr>
      </w:pPr>
      <w:r w:rsidRPr="00B56C17">
        <w:rPr>
          <w:rFonts w:ascii="Times New Roman" w:hAnsi="Times New Roman" w:cs="Times New Roman"/>
          <w:sz w:val="24"/>
          <w:szCs w:val="24"/>
          <w:lang w:val="lt-LT"/>
        </w:rPr>
        <w:t>Į formulę įrašant tinkamų finansuoti išlaidų sumą yra skaičiuojamos tik tos MTEP darbų sąnaudos, atskaitomos iš pajamų tris kartus, kaip nurodyta  PMĮ 17</w:t>
      </w:r>
      <w:r w:rsidRPr="00B56C17">
        <w:rPr>
          <w:rFonts w:ascii="Times New Roman" w:hAnsi="Times New Roman" w:cs="Times New Roman"/>
          <w:sz w:val="24"/>
          <w:szCs w:val="24"/>
          <w:vertAlign w:val="superscript"/>
          <w:lang w:val="lt-LT"/>
        </w:rPr>
        <w:t>1</w:t>
      </w:r>
      <w:r w:rsidRPr="00B56C17">
        <w:rPr>
          <w:rFonts w:ascii="Times New Roman" w:hAnsi="Times New Roman" w:cs="Times New Roman"/>
          <w:sz w:val="24"/>
          <w:szCs w:val="24"/>
          <w:lang w:val="lt-LT"/>
        </w:rPr>
        <w:t xml:space="preserve"> straipsnyje, kurios yra patirtos ne iš susijusių asmenų. Susijusių asmenų sąvoka yra pateikta 2 str. 33 dalyje (</w:t>
      </w:r>
      <w:r w:rsidRPr="00B56C17">
        <w:rPr>
          <w:rFonts w:ascii="Times New Roman" w:hAnsi="Times New Roman" w:cs="Times New Roman"/>
          <w:iCs/>
          <w:color w:val="000000"/>
          <w:sz w:val="24"/>
          <w:szCs w:val="24"/>
          <w:lang w:val="lt-LT"/>
        </w:rPr>
        <w:t xml:space="preserve">žr. 2 str. 33 dalies komentarą). </w:t>
      </w:r>
    </w:p>
    <w:p w14:paraId="61841F6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Pažymėtina, kad į formulę įtraukiama apskaičiuota tinkamų finansuoti išlaidų suma gali būti padidinama 30 procentų, tačiau tokia padidinta suma negali būti didesnė už apskaičiuotą visų išlaidų sumą.</w:t>
      </w:r>
    </w:p>
    <w:p w14:paraId="24B5BA0A" w14:textId="77777777" w:rsidR="009E0403" w:rsidRPr="00B56C1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3.</w:t>
      </w:r>
      <w:r w:rsidRPr="00B56C17">
        <w:rPr>
          <w:rFonts w:ascii="Times New Roman" w:hAnsi="Times New Roman" w:cs="Times New Roman"/>
          <w:b/>
          <w:i/>
          <w:sz w:val="24"/>
          <w:szCs w:val="24"/>
          <w:lang w:val="lt-LT"/>
        </w:rPr>
        <w:t xml:space="preserve"> Visos išlaidos</w:t>
      </w:r>
      <w:r w:rsidRPr="00B56C17">
        <w:rPr>
          <w:rFonts w:ascii="Times New Roman" w:hAnsi="Times New Roman" w:cs="Times New Roman"/>
          <w:sz w:val="24"/>
          <w:szCs w:val="24"/>
          <w:lang w:val="lt-LT"/>
        </w:rPr>
        <w:t xml:space="preserve"> – visos sąnaudos, priskirtinos leidžiamiems atskaitymams ar ribojamų dydžių leidžiamiems atskaitymams, patirtos MTEP veikloje sukuriant turtą, išskyrus bet kokias palūkanas, t. y. ne tik kredito, ir pastatų nusidėvėjimo sąnaudas.</w:t>
      </w:r>
    </w:p>
    <w:p w14:paraId="6AAEE2A1"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B56C17">
        <w:rPr>
          <w:rFonts w:ascii="Times New Roman" w:hAnsi="Times New Roman" w:cs="Times New Roman"/>
          <w:sz w:val="24"/>
          <w:szCs w:val="24"/>
          <w:lang w:val="lt-LT"/>
        </w:rPr>
        <w:t xml:space="preserve">Nustatant į formulę įrašomą visų išlaidų sumą yra skaičiuojamos visos vieneto sąnaudos, priskirtinos leidžiamiems atskaitymams ar ribojamų dydžių leidžiamiems atskaitymams, patirtos MTEP veikloje sukuriant turtą, t. y. skaičiuojamos Apraše nustatytos MTEP darbų sąnaudos, atskaitomos iš pajamų tris kartus, įskaitant ir tas Apraše nustatytas MTEP darbų sąnaudas, kurios yra patirtos iš susijusių asmenų, taip pat ilgalaikio turto (išskyrus pastatų) nusidėvėjimo arba amortizacijos sąnaudos (įskaitant turto, nurodyto šios dalies 2 punkte, įsigijimo išlaidas, kai turtas įsigyjamas ankstyvoje vystymo stadijoje) ir kitos (išskyrus palūkanas),  kurios yra patirtos MTEP </w:t>
      </w:r>
      <w:r w:rsidRPr="007F3CE7">
        <w:rPr>
          <w:rFonts w:ascii="Times New Roman" w:hAnsi="Times New Roman" w:cs="Times New Roman"/>
          <w:sz w:val="24"/>
          <w:szCs w:val="24"/>
          <w:lang w:val="lt-LT"/>
        </w:rPr>
        <w:t>veikloje sukuriant šio straipsnio 7 d. 2 punkte nustatytą turtą.</w:t>
      </w:r>
    </w:p>
    <w:p w14:paraId="523921E3"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 xml:space="preserve">Pažymėtina, kad vieneto sąnaudos, kurios nėra susijusios su MTEP veikloje kuriamu turtu,     t. y. kurios yra susijusios su kita vieneto vykdoma veikla, skaičiuojant formulėje tinkamų finansuoti /visų išlaidų proporciją, prie visų sąnaudų nepriskiriamos. </w:t>
      </w:r>
    </w:p>
    <w:p w14:paraId="74D5F4C7" w14:textId="77777777" w:rsidR="009E0403" w:rsidRPr="007F3CE7" w:rsidRDefault="009E0403" w:rsidP="009E0403">
      <w:pPr>
        <w:pStyle w:val="HTMLiankstoformatuotas"/>
        <w:ind w:firstLine="709"/>
        <w:jc w:val="both"/>
        <w:rPr>
          <w:rFonts w:ascii="Times New Roman" w:hAnsi="Times New Roman" w:cs="Times New Roman"/>
          <w:sz w:val="24"/>
          <w:szCs w:val="24"/>
          <w:lang w:val="lt-LT"/>
        </w:rPr>
      </w:pPr>
      <w:r w:rsidRPr="007F3CE7">
        <w:rPr>
          <w:rFonts w:ascii="Times New Roman" w:hAnsi="Times New Roman" w:cs="Times New Roman"/>
          <w:sz w:val="24"/>
          <w:szCs w:val="24"/>
          <w:lang w:val="lt-LT"/>
        </w:rPr>
        <w:t>Jeigu MTEP veikloje turtas kuriamas keletą mokestinių laikotarpių, tai visų išlaidų suma nustatoma susumuojant šių mokestinių laikotarpių visas sąnaudas, priskirtinas leidžiamiems ar ribojamų dydžių leidžiamiems atskaitymams, tenkančias konkrečiai to turto MTEP veikloje sukūrimui, išskyrus bet kokias palūkanas, t. y. ne tik kredito, ir pastatų nusidėvėjimo sąnaudas.</w:t>
      </w:r>
    </w:p>
    <w:p w14:paraId="4F1C6509" w14:textId="77777777" w:rsidR="009E0403" w:rsidRPr="00F150CC" w:rsidRDefault="009E0403" w:rsidP="009E0403">
      <w:pPr>
        <w:pStyle w:val="tajtip"/>
        <w:shd w:val="clear" w:color="auto" w:fill="FFFFFF"/>
        <w:spacing w:before="0" w:beforeAutospacing="0" w:after="0" w:afterAutospacing="0"/>
        <w:jc w:val="both"/>
      </w:pPr>
      <w:r w:rsidRPr="007F3CE7">
        <w:t>Atkreiptinas dėmesys, kad į vieneto patirtų tinkamų finansuoti /visų išlaidų proporcijos skaičiavimą MTEP veikloje sukuriamo turto išlaidos turi būti įtraukiamos kaupiamuoju būdu, t. y. į išlaidų (tinkamų finansuoti / visų išlaidų) proporcijos skaičiavimą turi būti įtraukiamos visos konkretaus turto už visą turto kūrimo laikotarpį su MTEP veikla susijusios išlaidos, patirtos nuo tada, kai įsigaliojo PMĮ 17</w:t>
      </w:r>
      <w:r w:rsidRPr="007F3CE7">
        <w:rPr>
          <w:vertAlign w:val="superscript"/>
        </w:rPr>
        <w:t xml:space="preserve">1 </w:t>
      </w:r>
      <w:r w:rsidRPr="007F3CE7">
        <w:t xml:space="preserve"> straipsnyje nustatyta lengvata, t. y. nuo 2008 metais prasidėjusio mokestinio laikotarpio, iki kol turtas yra sukuriamas, įskaitant vieneto patirtas tinkamas finansuoti /visas išlaidas, faktiškai patirtas jau pradėjus uždirbti pajamas iš šio turto pardavimo ar naudojimo vieneto veikloje, pavyzdžiui su MTEP veikla susijusias turto tobulinimo išlaidas ir pan.</w:t>
      </w:r>
    </w:p>
    <w:p w14:paraId="0F5CF618"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r w:rsidRPr="00B56C17">
        <w:rPr>
          <w:iCs/>
          <w:color w:val="000000"/>
          <w:lang w:eastAsia="en-US"/>
        </w:rPr>
        <w:t>4.</w:t>
      </w:r>
      <w:r w:rsidRPr="00B56C17">
        <w:rPr>
          <w:b/>
          <w:i/>
          <w:iCs/>
          <w:color w:val="000000"/>
          <w:lang w:eastAsia="en-US"/>
        </w:rPr>
        <w:t xml:space="preserve"> Pelnas iš turto naudojimo</w:t>
      </w:r>
      <w:r w:rsidRPr="00B56C17">
        <w:rPr>
          <w:iCs/>
          <w:color w:val="000000"/>
          <w:lang w:eastAsia="en-US"/>
        </w:rPr>
        <w:t xml:space="preserve"> – apmokestinamasis pelnas, apskaičiuotas iš paties vieneto vykdomoje MTEP veikloje sukurto turto naudojimo, pardavimo ar kitokio perleidimo nuosavybėn gautų pajamų (įskaitant honorarus ir kompensacijas už pažeistas intelektinės nuosavybės teises) atskaičius šioms pajamoms tenkančius leidžiamus atskaitymus ir ribojamų dydžių leidžiamus atskaitymus. </w:t>
      </w:r>
    </w:p>
    <w:p w14:paraId="7C59B8CD" w14:textId="77777777" w:rsidR="009E0403" w:rsidRPr="00B56C17" w:rsidRDefault="009E0403" w:rsidP="009E0403">
      <w:pPr>
        <w:pStyle w:val="tajtip"/>
        <w:shd w:val="clear" w:color="auto" w:fill="FFFFFF"/>
        <w:spacing w:before="0" w:beforeAutospacing="0" w:after="0" w:afterAutospacing="0"/>
        <w:ind w:firstLine="720"/>
        <w:jc w:val="both"/>
      </w:pPr>
      <w:r w:rsidRPr="00B56C17">
        <w:rPr>
          <w:iCs/>
          <w:color w:val="000000"/>
          <w:lang w:eastAsia="en-US"/>
        </w:rPr>
        <w:lastRenderedPageBreak/>
        <w:t xml:space="preserve">Vienetas, taikantis šio straipsnio 7 dalyje nustatytą lengvatą, paties MTEP veikloje sukurtą turtą gali naudoti tiek savo vykdomoje veikloje, t. y. gamyboje ar paslaugų teikime, ir iš šio turto naudojimo veikloje uždirbti pajamas, bei šį turtą išnuomojant pagal nuomos sutartį ar perduodant šį turtą naudoti pagal autorinę sutartį, tiek parduoti ar kitaip perleisti kitų asmenų nuosavybėn, pavyzdžiui </w:t>
      </w:r>
      <w:r w:rsidRPr="00B56C17">
        <w:t>pagal lizingo (finansinės nuomos) arba nuomos sutartis, kuriose numatytas nuosavybės teisės perėjimas, apmokėjus visą turto vertę ir pan., bei taip uždirbti pajamas.</w:t>
      </w:r>
    </w:p>
    <w:p w14:paraId="1913989F" w14:textId="77777777" w:rsidR="009E0403" w:rsidRDefault="009E0403" w:rsidP="009E0403">
      <w:pPr>
        <w:pStyle w:val="tajtip"/>
        <w:shd w:val="clear" w:color="auto" w:fill="FFFFFF"/>
        <w:spacing w:before="0" w:beforeAutospacing="0" w:after="0" w:afterAutospacing="0"/>
        <w:jc w:val="both"/>
        <w:rPr>
          <w:iCs/>
          <w:color w:val="000000"/>
          <w:lang w:eastAsia="en-US"/>
        </w:rPr>
      </w:pPr>
      <w:r w:rsidRPr="00B56C17">
        <w:t xml:space="preserve"> </w:t>
      </w:r>
      <w:r w:rsidRPr="00B56C17">
        <w:tab/>
        <w:t xml:space="preserve">Pažymėtina tai, kad </w:t>
      </w:r>
      <w:r w:rsidRPr="00B56C17">
        <w:rPr>
          <w:iCs/>
          <w:color w:val="000000"/>
          <w:lang w:eastAsia="en-US"/>
        </w:rPr>
        <w:t xml:space="preserve">MTEP veikloje sukurto turto naudojimo, pardavimo ar kitokio perleidimo nuosavybėn gautos pajamos yra sumažinamos šioms pajamoms tiesiogiai tenkančiomis sąnaudomis, t. y. </w:t>
      </w:r>
      <w:r w:rsidRPr="00B56C17">
        <w:t xml:space="preserve">leidžiamais ar ribojamų dydžių leidžiamais atskaitymais, taikant bendras PMĮ 17 straipsnio nuostatas. </w:t>
      </w:r>
      <w:r w:rsidRPr="00B56C17">
        <w:rPr>
          <w:iCs/>
          <w:color w:val="000000"/>
          <w:lang w:eastAsia="en-US"/>
        </w:rPr>
        <w:t xml:space="preserve">Tais atvejais, kai dalis sąnaudų yra susijusios ne tik su MTEP veikloje sukurto turto naudojimo, pardavimo ar kitokio perleidimo nuosavybėn gautomis pajamomis, bet ir su kita vieneto vykdoma veikla, </w:t>
      </w:r>
      <w:r w:rsidRPr="00B56C17">
        <w:t xml:space="preserve">pavyzdžiui, kitų gaminių pardavimu / paslaugų teikimu, </w:t>
      </w:r>
      <w:r w:rsidRPr="00B56C17">
        <w:rPr>
          <w:iCs/>
          <w:color w:val="000000"/>
          <w:lang w:eastAsia="en-US"/>
        </w:rPr>
        <w:t xml:space="preserve">tai tokios netiesioginės išlaidos, pavyzdžiui, rinkodaros, reprezentacinės, komandiruočių, patalpų apšvietimo ir šildymo, </w:t>
      </w:r>
      <w:r w:rsidRPr="00B56C17">
        <w:t>netiesioginio darbo užmokesčio,</w:t>
      </w:r>
      <w:r w:rsidRPr="00B56C17">
        <w:rPr>
          <w:iCs/>
          <w:color w:val="000000"/>
          <w:lang w:eastAsia="en-US"/>
        </w:rPr>
        <w:t xml:space="preserve"> turto draudimo ir kitos, turėtų būti paskirstomos pagal vieneto apskaitos politikoje nustatytą tvarką, pateikiant tokių sąnaudų dalies priskyrimo MTEP veikloje sukurto turto naudojimo, pardavimo ar kitokio perleidimo nuosavybėn gautų pajamų uždirbimui pagrįstumą. Vieneto apskaita turi būti tvarkoma taip, kad ji teiktų pakankamą informaciją pelno mokesčiui apskaičiuoti.    </w:t>
      </w:r>
    </w:p>
    <w:p w14:paraId="1FD2C0E3" w14:textId="77777777" w:rsidR="009E0403" w:rsidRPr="007F3CE7" w:rsidRDefault="009E0403" w:rsidP="009E0403">
      <w:pPr>
        <w:pStyle w:val="tajtip"/>
        <w:shd w:val="clear" w:color="auto" w:fill="FFFFFF"/>
        <w:spacing w:before="0" w:beforeAutospacing="0" w:after="0" w:afterAutospacing="0"/>
        <w:jc w:val="both"/>
        <w:rPr>
          <w:iCs/>
          <w:color w:val="000000"/>
          <w:lang w:eastAsia="en-US"/>
        </w:rPr>
      </w:pPr>
      <w:r>
        <w:rPr>
          <w:iCs/>
          <w:color w:val="000000"/>
          <w:lang w:eastAsia="en-US"/>
        </w:rPr>
        <w:tab/>
      </w:r>
      <w:r w:rsidRPr="007F3CE7">
        <w:rPr>
          <w:iCs/>
          <w:color w:val="000000"/>
          <w:lang w:eastAsia="en-US"/>
        </w:rPr>
        <w:t xml:space="preserve">Atsižvelgiant į tai, kad </w:t>
      </w:r>
      <w:r w:rsidRPr="007F3CE7">
        <w:rPr>
          <w:color w:val="000000"/>
        </w:rPr>
        <w:t xml:space="preserve">MTEP veikloje sukuriant turtą, MTEP darbų sąnaudos yra tris kartus atskaitomos iš pajamų, todėl šis </w:t>
      </w:r>
      <w:r w:rsidRPr="007F3CE7">
        <w:rPr>
          <w:iCs/>
          <w:color w:val="000000"/>
          <w:lang w:eastAsia="en-US"/>
        </w:rPr>
        <w:t>turtas, pradėjus jį naudoti ekonominėje veikloje pajamų uždirbimui, pelno mokesčio apskaičiavimo tikslais nenudėvimas/ neamortizuojamas, t. y. iš šio turto naudojimo ar pardavimo uždirbtos pajamos nemažinamos nusidėvėjimo / amortizacijos sąnaudomis.</w:t>
      </w:r>
    </w:p>
    <w:p w14:paraId="733E95FC" w14:textId="77777777" w:rsidR="00311509" w:rsidRPr="0068038A" w:rsidRDefault="009E0403" w:rsidP="00311509">
      <w:pPr>
        <w:jc w:val="both"/>
        <w:rPr>
          <w:rFonts w:ascii="Arial" w:hAnsi="Arial" w:cs="Arial"/>
          <w:color w:val="474747"/>
          <w:sz w:val="21"/>
          <w:szCs w:val="21"/>
          <w:shd w:val="clear" w:color="auto" w:fill="FFFFFF"/>
          <w:lang w:val="lt-LT"/>
        </w:rPr>
      </w:pPr>
      <w:r w:rsidRPr="007F3CE7">
        <w:rPr>
          <w:iCs/>
          <w:color w:val="000000"/>
        </w:rPr>
        <w:t xml:space="preserve">5. </w:t>
      </w:r>
      <w:r w:rsidR="00513B27" w:rsidRPr="00326773">
        <w:rPr>
          <w:iCs/>
          <w:color w:val="000000"/>
          <w:lang w:val="lt-LT"/>
        </w:rPr>
        <w:t>Vieneto MTEP veikloje sukurtas turtas gali būti glaudžiai susijęs su jau naudojamu vienete turtu, kuris nebuvo sukurtas MTEP veikloje, t. y. vienete nėra naudojamas kaip savarankiškas</w:t>
      </w:r>
      <w:r w:rsidR="00513B27" w:rsidRPr="00326773">
        <w:rPr>
          <w:iCs/>
          <w:color w:val="000000"/>
        </w:rPr>
        <w:t xml:space="preserve"> turto vienetas, o </w:t>
      </w:r>
      <w:r w:rsidR="00513B27" w:rsidRPr="00326773">
        <w:rPr>
          <w:iCs/>
          <w:color w:val="000000"/>
          <w:lang w:val="lt-LT"/>
        </w:rPr>
        <w:t>yra turto tam tikra sudėtinė dalis. Tokiu atveju, apskaičiuojant a</w:t>
      </w:r>
      <w:r w:rsidR="00513B27" w:rsidRPr="00326773">
        <w:rPr>
          <w:color w:val="000000"/>
          <w:lang w:val="lt-LT"/>
        </w:rPr>
        <w:t xml:space="preserve">pmokestinamojo pelno dalį, apmokestinamą </w:t>
      </w:r>
      <w:r w:rsidR="00513B27" w:rsidRPr="00326773">
        <w:rPr>
          <w:bCs/>
          <w:color w:val="000000"/>
          <w:lang w:val="lt-LT"/>
        </w:rPr>
        <w:t xml:space="preserve">lengvatiniu pelno mokesčio tarifu,  </w:t>
      </w:r>
      <w:r w:rsidR="00513B27" w:rsidRPr="00326773">
        <w:rPr>
          <w:color w:val="000000"/>
          <w:shd w:val="clear" w:color="auto" w:fill="FFFFFF"/>
          <w:lang w:val="lt-LT"/>
        </w:rPr>
        <w:t>vadovaujantis vieneto pasitvirtinta vidaus tvarka</w:t>
      </w:r>
      <w:r w:rsidR="00513B27" w:rsidRPr="00326773">
        <w:rPr>
          <w:iCs/>
          <w:color w:val="000000"/>
          <w:lang w:val="lt-LT"/>
        </w:rPr>
        <w:t xml:space="preserve"> turi būti nustatoma </w:t>
      </w:r>
      <w:r w:rsidR="00513B27" w:rsidRPr="00326773">
        <w:rPr>
          <w:color w:val="000000"/>
          <w:shd w:val="clear" w:color="auto" w:fill="FFFFFF"/>
          <w:lang w:val="lt-LT"/>
        </w:rPr>
        <w:t xml:space="preserve">apmokestinamojo pelno iš </w:t>
      </w:r>
      <w:r w:rsidR="00513B27" w:rsidRPr="00326773">
        <w:rPr>
          <w:color w:val="000000"/>
          <w:lang w:val="lt-LT"/>
        </w:rPr>
        <w:t xml:space="preserve">MTEP veikloje sukurto </w:t>
      </w:r>
      <w:r w:rsidR="00513B27" w:rsidRPr="00326773">
        <w:rPr>
          <w:color w:val="000000"/>
          <w:shd w:val="clear" w:color="auto" w:fill="FFFFFF"/>
          <w:lang w:val="lt-LT"/>
        </w:rPr>
        <w:t>turto naudojimo, pardavimo ar kitokio perleidimo nuosavybėn dalis bendrose šio turto pardavimo pajamose ir sąnaudose, t. y. vienetas turi pagrįsti tokios naujai sukurtos MTEP turto dalies įtaką viso turto, į kurį ji integruota, naudojimo, pardavimo ar kitokio perleidimo nuosavybėn pajamoms.</w:t>
      </w:r>
      <w:r w:rsidR="00513B27" w:rsidRPr="00326773">
        <w:rPr>
          <w:rFonts w:ascii="Arial" w:hAnsi="Arial" w:cs="Arial"/>
          <w:color w:val="474747"/>
          <w:sz w:val="21"/>
          <w:szCs w:val="21"/>
          <w:shd w:val="clear" w:color="auto" w:fill="FFFFFF"/>
          <w:lang w:val="lt-LT"/>
        </w:rPr>
        <w:t xml:space="preserve"> </w:t>
      </w:r>
      <w:r w:rsidR="00311509" w:rsidRPr="00311509">
        <w:rPr>
          <w:i/>
          <w:iCs/>
          <w:lang w:eastAsia="lt-LT"/>
        </w:rPr>
        <w:t>(PMĮ 5 straipsnio 9 d. 1 p. komentaras parengtas  pagal VMI prie FM 2025-01-09 raštą Nr. (18.32-31-1 Mr)-R-80)</w:t>
      </w:r>
    </w:p>
    <w:p w14:paraId="430CD65D" w14:textId="77777777" w:rsidR="009E0403" w:rsidRPr="00B56C17" w:rsidRDefault="009E0403" w:rsidP="00311509">
      <w:pPr>
        <w:pStyle w:val="tajtip"/>
        <w:shd w:val="clear" w:color="auto" w:fill="FFFFFF"/>
        <w:spacing w:before="0" w:beforeAutospacing="0" w:after="0" w:afterAutospacing="0"/>
        <w:jc w:val="both"/>
        <w:rPr>
          <w:iCs/>
          <w:color w:val="000000"/>
          <w:lang w:eastAsia="en-US"/>
        </w:rPr>
      </w:pPr>
    </w:p>
    <w:p w14:paraId="5E888453" w14:textId="77777777" w:rsidR="009E0403" w:rsidRPr="0065344A" w:rsidRDefault="009E0403" w:rsidP="009E0403">
      <w:pPr>
        <w:ind w:firstLine="720"/>
        <w:jc w:val="both"/>
        <w:rPr>
          <w:iCs/>
          <w:color w:val="000000"/>
          <w:lang w:val="lt-LT"/>
        </w:rPr>
      </w:pPr>
      <w:r w:rsidRPr="0065344A">
        <w:rPr>
          <w:iCs/>
          <w:color w:val="000000"/>
          <w:lang w:val="lt-LT"/>
        </w:rPr>
        <w:t>1-3 Pavyzdžiai</w:t>
      </w:r>
    </w:p>
    <w:p w14:paraId="36495C7D"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1. Vienetas, gaminantis medicininę įrangą, 2016-2017 metais vykdė MTEP veiklą ir sukūrė naują turtą – Portatyvinį lazerinį prietaisą skirtą gydymui, kuris 2018 metais pripažintas  patentabilumo kriterijus atitinkančiu turtu ir jam yra išduotas išradimo patentas. Šis vieneto išradimas priskirtinas medicinos technikos sričiai - fizioterapijos aparatams, skirtiems naudoti įvairiems susirgimams gydyti artrologijoje, traumatologijoje, chirurgijoje, kardiologijoje, neurologijoje, otorinolaringologijoje, odontologijoje, ginekologijoje, dermatologijoje, imunologijoje. Pažymėtina, kad vienetas planuoja gauti pajamas įvairiose valstybėse.</w:t>
      </w:r>
    </w:p>
    <w:p w14:paraId="376DF64F"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B56C17">
        <w:rPr>
          <w:iCs/>
          <w:color w:val="000000"/>
          <w:lang w:eastAsia="en-US"/>
        </w:rPr>
        <w:t xml:space="preserve">  Vienetas 2016-2017 metais vykdydamas MTEP veiklą, t. y. sukuriant šį lazerinį prietaisą, patyrė 90 000 Eur (50 000 Eur (2016 m.) + 40 000 Eur (2017 m.) </w:t>
      </w:r>
      <w:r w:rsidRPr="00B56C17">
        <w:t>MTEP darbų sąnaudų, atskaitytinų iš pajamų tris kartus, kaip nurodyta PMĮ 17</w:t>
      </w:r>
      <w:r w:rsidRPr="00B56C17">
        <w:rPr>
          <w:vertAlign w:val="superscript"/>
        </w:rPr>
        <w:t>1</w:t>
      </w:r>
      <w:r w:rsidRPr="00B56C17">
        <w:t xml:space="preserve"> str., taip pat 10 000 Eur </w:t>
      </w:r>
      <w:r w:rsidRPr="00B56C17">
        <w:rPr>
          <w:iCs/>
          <w:color w:val="000000"/>
          <w:lang w:eastAsia="en-US"/>
        </w:rPr>
        <w:t xml:space="preserve">(6 000 Eur (2016 m.) + 4 000 Eur (2017 m.) </w:t>
      </w:r>
      <w:r w:rsidRPr="00B56C17">
        <w:t xml:space="preserve">MTEP darbų sąnaudų, perkant paslaugas iš susijusių asmenų, o taip pat apskaičiavo 30 000 Eur, t. y. 2016 ir 2017 metais po 15 000 Eur, ilgalaikio turto (išskyrus pastatų), naudojamo MTEP veikloje kuriant šį lazerinį prietaisą, nusidėvėjimo sąnaudų. </w:t>
      </w:r>
    </w:p>
    <w:p w14:paraId="108F18CE"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Vieneto apskaičiuota tinkamų finansuoti išlaidų suma yra 90 000 Eur bei visų išlaidų suma yra  130 000 Eur (90 000 + 10 000 + 30 000). </w:t>
      </w:r>
    </w:p>
    <w:p w14:paraId="5CB76416"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lastRenderedPageBreak/>
        <w:t xml:space="preserve">Į formulę įtraukiama apskaičiuota tinkamų finansuoti išlaidų suma gali būti padidinama 30 procentų, tačiau tokia padidinta suma negali būti didesnė už apskaičiuotą visų išlaidų sumą. </w:t>
      </w:r>
    </w:p>
    <w:p w14:paraId="02878440"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Šiuo atveju apskaičiuojama į formulę įtraukiamų tinkamų finansuoti išlaidų suma yra 117 000 Eur (90 000 x 30 proc.).</w:t>
      </w:r>
    </w:p>
    <w:p w14:paraId="23E9401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Pradėjus gaminti šiuos prietaisus, vienetas apskaičiuoja apmokestinamąjį pelną iš šio prietaiso pardavimo:</w:t>
      </w:r>
    </w:p>
    <w:p w14:paraId="464BF4EB"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- 30 000 Eur (80 000 Eur gautos pajamos - 50 000 Eur sąnaudos, tenkančios šioms gautoms pajamoms) už 2018 metų mokestinį laikotarpį;</w:t>
      </w:r>
    </w:p>
    <w:p w14:paraId="6AFFA7F2"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- 80 000 Eur (150 000 Eur gautos pajamos - 70 000 Eur sąnaudos, tenkančios šioms gautoms pajamoms) už 2019 metų mokestinį laikotarpį.</w:t>
      </w:r>
    </w:p>
    <w:p w14:paraId="6CDAE12D"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Apskaičiuojama apmokestinamojo pelno dalis, kuri apmokestinama 5 procentų tarifu:</w:t>
      </w:r>
    </w:p>
    <w:p w14:paraId="23FD7BB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už 2018 metus yra 27 000 Eur (117 000 Eur (tinkamos finansuoti išlaidos) : 130 000 Eur (visos išlaidos) x 30 000 Eur (apmokestinamasis pelnas iš prietaisų naudojimo).</w:t>
      </w:r>
    </w:p>
    <w:p w14:paraId="4E7F61B6"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 už 2019 metus yra 72 000 Eur (117 000 Eur (tinkamos finansuoti išlaidos) : 130 000 Eur (visos išlaidos) x 80 000 Eur). </w:t>
      </w:r>
    </w:p>
    <w:p w14:paraId="07D45B3D"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B56C17">
        <w:rPr>
          <w:iCs/>
          <w:color w:val="000000"/>
          <w:lang w:eastAsia="en-US"/>
        </w:rPr>
        <w:t xml:space="preserve">Likusi apmokestinamojo pelno dalis, atitinkamai 2018 m. – 3 000 Eur (30 000-27 000) ir 2019 m. – 8 </w:t>
      </w:r>
      <w:r w:rsidRPr="007F3CE7">
        <w:rPr>
          <w:iCs/>
          <w:color w:val="000000"/>
          <w:lang w:eastAsia="en-US"/>
        </w:rPr>
        <w:t xml:space="preserve">000 Eur (80 000-72 000), yra apmokestinama taikant pagrindinį 15 proc. tarifą. </w:t>
      </w:r>
    </w:p>
    <w:p w14:paraId="78BCD7A6"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iCs/>
          <w:color w:val="000000"/>
          <w:lang w:eastAsia="en-US"/>
        </w:rPr>
      </w:pPr>
      <w:r w:rsidRPr="007F3CE7">
        <w:rPr>
          <w:iCs/>
          <w:color w:val="000000"/>
          <w:lang w:eastAsia="en-US"/>
        </w:rPr>
        <w:tab/>
        <w:t xml:space="preserve">Vienetas ir kitais mokestiniais laikotarpiais, kuriais iš šio MTEP veikloje sukurto turto (Portatyvinio lazerinio prietaiso) pardavimo bus uždirbamos pajamos (neterminuotai), taip pat skaičiuoja apmokestinamojo pelno, iš šio turto (prietaisų) pardavimų, dalį,  apmokestinamą 5 procentų tarifu.  </w:t>
      </w:r>
    </w:p>
    <w:p w14:paraId="7FA9E6C0"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ir turto, nurodyto šio straipsnio 5 str. 7 d. 2 punkte, pelno iš turto naudojimo.</w:t>
      </w:r>
    </w:p>
    <w:p w14:paraId="34063FDF" w14:textId="77777777" w:rsidR="00C66B99" w:rsidRPr="002708F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2. Vienetas yra sukūręs pagal autorių teisę saugojamą kompiuterinę programą, kurią platina internetu užsienio elektroninės prekybos platformoje. Programos kūrimo išlaidoms MTEP lengvata nebuvo taikyta. 2022 – 2024 metais vienetas vykdė kompiuterinės programos tobulinimo, sklaidos ir palaikymo metodų mokslinius tyrimus ir sukūrė naują šios programos algoritmą, integruojamą į kompiuterinę programą, sudarantį neatskiriamą jos dalį. 2025 metais vienetui yra atsiradusios autorių teisės į naujai sukurtą algoritmą. </w:t>
      </w:r>
    </w:p>
    <w:p w14:paraId="6ECD2C0B"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2708F5">
        <w:rPr>
          <w:iCs/>
          <w:color w:val="000000"/>
          <w:lang w:eastAsia="en-US"/>
        </w:rPr>
        <w:t xml:space="preserve">  Vienetas 2022 – 2024 metais vykdydamas MTEP veiklą, t. y. sukuriant šį algoritmą, patyrė 45 000 Eur (15 000 Eur (2022 m.) + 20 000 Eur (2023 m.) + 10 000 Eur (2024 m.) </w:t>
      </w:r>
      <w:r w:rsidRPr="002708F5">
        <w:t>MTEP darbų sąnaudų, atskaitytinų iš pajamų tris kartus, kaip nurodyta PMĮ 17</w:t>
      </w:r>
      <w:r w:rsidRPr="002708F5">
        <w:rPr>
          <w:vertAlign w:val="superscript"/>
        </w:rPr>
        <w:t>1</w:t>
      </w:r>
      <w:r w:rsidRPr="002708F5">
        <w:t xml:space="preserve"> str., taip pat apskaičiavo 15 000 Eur, t. y. </w:t>
      </w:r>
      <w:r w:rsidRPr="002708F5">
        <w:rPr>
          <w:iCs/>
          <w:color w:val="000000"/>
          <w:lang w:eastAsia="en-US"/>
        </w:rPr>
        <w:t xml:space="preserve">2022 – 2024 </w:t>
      </w:r>
      <w:r w:rsidRPr="002708F5">
        <w:t>metais po 5 000 Eur, ilgalaikio turto (išskyrus pastatų), naudojamo MTEP veikloje kuriant šį algoritmą, nusidėvėjimo</w:t>
      </w:r>
      <w:r w:rsidRPr="00A44835">
        <w:t xml:space="preserve"> sąnaudų.  </w:t>
      </w:r>
    </w:p>
    <w:p w14:paraId="501FA0A0"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Vieneto apskaičiuota algoritmo tinkamų finansuoti išlaidų suma yra 45 000 Eur (15 000 + 20 000 + 10 000) bei algoritmo kūrimo MTEP veikloje visų išlaidų suma yra  60 000 Eur (45 000 + 15 000).</w:t>
      </w:r>
    </w:p>
    <w:p w14:paraId="6861F310"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A44835">
        <w:rPr>
          <w:iCs/>
          <w:color w:val="000000"/>
          <w:lang w:eastAsia="en-US"/>
        </w:rPr>
        <w:t>Šiuo atveju apskaičiuojama į formulę įtraukiamų algoritmo tinkamų finansuoti išlaidų suma yra 58 500 Eur (45 000 + (45000 x 30 proc.).</w:t>
      </w:r>
    </w:p>
    <w:p w14:paraId="10B69DF5" w14:textId="77777777" w:rsidR="00C66B99" w:rsidRPr="00A44835"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strike/>
          <w:color w:val="000000"/>
          <w:lang w:eastAsia="en-US"/>
        </w:rPr>
      </w:pPr>
      <w:r w:rsidRPr="00A44835">
        <w:rPr>
          <w:iCs/>
          <w:color w:val="000000"/>
          <w:lang w:eastAsia="en-US"/>
        </w:rPr>
        <w:t>Vieneto MTEP veikloje sukurtas algoritmas tarpusavyje yra glaudžiai susijęs su kompiuterine programa, t. y. algoritmas nėra naudojamas kaip savarankiškas turto vienetas, o yra programos tam tikra sudėtinė dalis.</w:t>
      </w:r>
      <w:r w:rsidRPr="00A44835">
        <w:rPr>
          <w:iCs/>
          <w:strike/>
          <w:color w:val="000000"/>
          <w:lang w:eastAsia="en-US"/>
        </w:rPr>
        <w:t xml:space="preserve"> </w:t>
      </w:r>
    </w:p>
    <w:p w14:paraId="48D67E1F" w14:textId="77777777" w:rsidR="00C66B99" w:rsidRPr="00326773"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Pradėjus platinti šią kompiuterinę programą su nauju algoritmu, vienetas pagal patvirtintą vidaus tvarką apskaičiavo, kad 30 proc. iš kompiuterinės programos (kartu su algoritmu) platinimo gautų pajamų ir, atitinkamai, sąnaudų tenka</w:t>
      </w:r>
      <w:r w:rsidRPr="00326773">
        <w:rPr>
          <w:color w:val="000000"/>
        </w:rPr>
        <w:t xml:space="preserve"> iš MTEP veikloje sukurto </w:t>
      </w:r>
      <w:r w:rsidRPr="00326773">
        <w:rPr>
          <w:iCs/>
          <w:color w:val="000000"/>
          <w:lang w:eastAsia="en-US"/>
        </w:rPr>
        <w:t>turto, t. y. programos algoritmo, platinimo.</w:t>
      </w:r>
    </w:p>
    <w:p w14:paraId="67B134FD" w14:textId="77777777" w:rsidR="00C66B99" w:rsidRPr="00326773"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326773">
        <w:rPr>
          <w:iCs/>
          <w:color w:val="000000"/>
          <w:lang w:eastAsia="en-US"/>
        </w:rPr>
        <w:t xml:space="preserve">Taigi, pradėjus platinti šią programą su nauju MTEP veikloje sukurtu algoritmu, vienetas už 2026 metų mokestinį laikotarpį gavęs 90 000 Eur pajamų ir 40 000 Eur sąnaudų, pagal savo nustatytą </w:t>
      </w:r>
      <w:r w:rsidRPr="00326773">
        <w:rPr>
          <w:iCs/>
          <w:color w:val="000000"/>
          <w:lang w:eastAsia="en-US"/>
        </w:rPr>
        <w:lastRenderedPageBreak/>
        <w:t xml:space="preserve">procentinę dalį apskaičiuoja 15 000 Eur (27 000 Eur (90 000 x 30 / 100) - 12 000 Eur (40 000 Eur x 30 / 100)) apmokestinamąjį pelną iš šio turto, t. y. iš MTEP veikloje sukurto,  algoritmo platinimo. </w:t>
      </w:r>
    </w:p>
    <w:p w14:paraId="144AC3ED" w14:textId="77777777" w:rsidR="009E0403" w:rsidRPr="007F3CE7" w:rsidRDefault="00C66B99" w:rsidP="00C66B99">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2708F5">
        <w:rPr>
          <w:iCs/>
          <w:color w:val="000000"/>
          <w:lang w:eastAsia="en-US"/>
        </w:rPr>
        <w:t xml:space="preserve">Apskaičiuojama 14 625 Eur (58 500 Eur (tinkamos finansuoti išlaidos) : 60 000 Eur (visos išlaidos) x 15 000 Eur (apmokestinamasis pelnas iš kompiuterinės programos platinimo) apmokestinamojo pelno dalis, kuri apmokestinama 7 procentų tarifu, o likusi apmokestinamojo pelno dalis – 35 375 Eur yra apmokestinama taikant pagrindinį 17 proc. </w:t>
      </w:r>
      <w:r>
        <w:rPr>
          <w:iCs/>
          <w:color w:val="000000"/>
          <w:lang w:eastAsia="en-US"/>
        </w:rPr>
        <w:t xml:space="preserve">pelno mokesčio </w:t>
      </w:r>
      <w:r w:rsidRPr="002708F5">
        <w:rPr>
          <w:iCs/>
          <w:color w:val="000000"/>
          <w:lang w:eastAsia="en-US"/>
        </w:rPr>
        <w:t>tarifą.</w:t>
      </w:r>
    </w:p>
    <w:p w14:paraId="134B11CC"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3. Vienetas 2016-2017 metais vykdė mokslinius tyrimus ir sukūrė pagal autorių teisę saugojamą kompiuterinę programą. 2017 metais vienetui yra atsiradusios autorių teisės į šią naujai sukurtą kompiuterinę programą.  </w:t>
      </w:r>
    </w:p>
    <w:p w14:paraId="41F68983"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rPr>
          <w:iCs/>
          <w:color w:val="000000"/>
          <w:lang w:eastAsia="en-US"/>
        </w:rPr>
        <w:t xml:space="preserve">  Vykdant MTEP veiklą, t. y. sukuriant šią kompiuterinę programą, 2016-2017 metais yra patirtos 45 000 Eur (25 000 Eur (2016 m.) + 20 000 Eur (2017 m.) </w:t>
      </w:r>
      <w:r w:rsidRPr="007F3CE7">
        <w:t>MTEP darbų sąnaudos, atskaitytinos iš pajamų tris kartus, kaip nurodyta PMĮ 17</w:t>
      </w:r>
      <w:r w:rsidRPr="007F3CE7">
        <w:rPr>
          <w:vertAlign w:val="superscript"/>
        </w:rPr>
        <w:t>1</w:t>
      </w:r>
      <w:r w:rsidRPr="007F3CE7">
        <w:t xml:space="preserve"> str., taip pat apskaičiuotos 16 000 Eur, t. y. 2016-2017 metais po 8 000 Eur, ilgalaikio turto (išskyrus pastatų), naudojamo MTEP veikloje kuriant šią kompiuterinę programą, nusidėvėjimo sąnaudos.  </w:t>
      </w:r>
    </w:p>
    <w:p w14:paraId="2A064E98"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45 000 Eur (25 000 + 20 000) bei programos kūrimo MTEP veikloje visų išlaidų suma yra 61 000 Eur (45 000 + 16 000). Šiuo atveju apskaičiuojama į formulę įtraukiamų kompiuterinės programos tinkamų finansuoti išlaidų suma yra 58 500 Eur (45 000 + (45 000 x 30 proc.).</w:t>
      </w:r>
    </w:p>
    <w:p w14:paraId="4F01D531"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Pradėjus platinti šią kompiuterinę programą, vienetas už 2018 metų mokestinį laikotarpį apskaičiuoja 60 000 Eur apmokestinamąjį pelną iš kompiuterinės programos platinimo.</w:t>
      </w:r>
    </w:p>
    <w:p w14:paraId="145C8694"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57 546 Eur (58 500 Eur (tinkamos finansuoti išlaidos) : 61 000 Eur (visos išlaidos) x 60 000 Eur (apmokestinamasis pelnas iš kompiuterinės programos platinimo) apmokestinamojo pelno dalis, kuri apmokestinama 5 procentų tarifu, o likusi apmokestinamojo pelno dalis – 2 454 Eur yra apmokestinama taikant pagrindinį 15 proc. tarifą.</w:t>
      </w:r>
    </w:p>
    <w:p w14:paraId="3CA3A412"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p>
    <w:p w14:paraId="6CDA2B3E"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 xml:space="preserve">2019 metais vienetas, atlikęs šios kompiuterinės programos tobulinimo ir funkcionalumo gerinimo darbus, patyrė 10 000 Eur </w:t>
      </w:r>
      <w:r w:rsidRPr="007F3CE7">
        <w:t>MTEP darbų sąnaudų, atskaitytinų iš pajamų tris kartus, kaip nurodyta PMĮ 17</w:t>
      </w:r>
      <w:r w:rsidRPr="007F3CE7">
        <w:rPr>
          <w:vertAlign w:val="superscript"/>
        </w:rPr>
        <w:t>1</w:t>
      </w:r>
      <w:r w:rsidRPr="007F3CE7">
        <w:t xml:space="preserve"> str. bei 15 000 Eur MTEP darbų sąnaudų, perkant paslaugas iš susijusių asmenų.</w:t>
      </w:r>
    </w:p>
    <w:p w14:paraId="08B9C829"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pPr>
      <w:r w:rsidRPr="007F3CE7">
        <w:t>Atsižvelgiant į tai, kad į vieneto patirtų tinkamų finansuoti /visų išlaidų proporcijos skaičiavimą MTEP veikloje sukuriamo turto išlaidos turi būti įtraukiamos kaupiamuoju būdu, todėl, atitinkamai, yra perskaičiuojama tinkamų finansuoti /visų išlaidų proporcija už 2019 metų mokestinį laikotarpį:</w:t>
      </w:r>
    </w:p>
    <w:p w14:paraId="5A409041"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Vieneto apskaičiuota kompiuterinės programos tinkamų finansuoti išlaidų suma yra 55 000 Eur (45 000 + 10 000) bei programos kūrimo MTEP veikloje visų išlaidų suma yra 76 000 Eur (61 000 + 15 000). Šiuo atveju apskaičiuojama į formulę įtraukiamų tinkamų finansuoti išlaidų suma yra 71 500 Eur (55 000 + (55 000 x 30 proc.).</w:t>
      </w:r>
    </w:p>
    <w:p w14:paraId="79EAF2C3"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Už 2019 metų mokestinį laikotarpį yra apskaičiuojamas 80 000 Eur apmokestinamasis pelnas iš kompiuterinės programos platinimo.</w:t>
      </w:r>
    </w:p>
    <w:p w14:paraId="45702B49" w14:textId="77777777" w:rsidR="009E0403" w:rsidRPr="007F3CE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rPr>
          <w:iCs/>
          <w:color w:val="000000"/>
          <w:lang w:eastAsia="en-US"/>
        </w:rPr>
        <w:t>Apskaičiuojama 75 263 Eur (71 500 Eur (tinkamos finansuoti išlaidos) : 76 000 Eur (visos išlaidos) x 80 000 Eur (apmokestinamasis pelnas iš kompiuterinės programos platinimo) apmokestinamojo pelno dalis, kuri apmokestinama 5 procentų tarifu, o likusi apmokestinamojo pelno dalis –  4 737 Eur yra apmokestinama taikant pagrindinį 15 proc. tarifą.</w:t>
      </w:r>
    </w:p>
    <w:p w14:paraId="7B396084" w14:textId="77777777" w:rsidR="009E0403" w:rsidRPr="00B56C17" w:rsidRDefault="009E0403" w:rsidP="009E0403">
      <w:pPr>
        <w:pStyle w:val="taj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iCs/>
          <w:color w:val="000000"/>
          <w:lang w:eastAsia="en-US"/>
        </w:rPr>
      </w:pPr>
      <w:r w:rsidRPr="007F3CE7">
        <w:t>Atkreiptinas dėmesys, kad vienetas privalo turėti pagal savo vidaus apskaitos taisykles nusistatytus vidaus apskaitos dokumentus, kuriais būtų pagrindžiamas ryšys tarp tinkamų finansuoti išlaidų, visų išlaidų, turto, nurodyto šio straipsnio 5 str. 7 d. 2 punkte, pelno iš turto naudojimo.</w:t>
      </w:r>
    </w:p>
    <w:p w14:paraId="63388F5A" w14:textId="77777777" w:rsidR="009E0403" w:rsidRPr="00B56C17" w:rsidRDefault="009E0403" w:rsidP="009E0403">
      <w:pPr>
        <w:pStyle w:val="tajtip"/>
        <w:shd w:val="clear" w:color="auto" w:fill="FFFFFF"/>
        <w:spacing w:before="0" w:beforeAutospacing="0" w:after="0" w:afterAutospacing="0"/>
        <w:ind w:firstLine="720"/>
        <w:jc w:val="both"/>
        <w:rPr>
          <w:iCs/>
          <w:color w:val="000000"/>
          <w:lang w:eastAsia="en-US"/>
        </w:rPr>
      </w:pPr>
    </w:p>
    <w:p w14:paraId="0BE06303" w14:textId="77777777" w:rsidR="004D797E" w:rsidRDefault="009E0403" w:rsidP="004D797E">
      <w:pPr>
        <w:ind w:firstLine="720"/>
        <w:jc w:val="both"/>
        <w:rPr>
          <w:b/>
          <w:color w:val="000000"/>
          <w:lang w:val="lt-LT"/>
        </w:rPr>
      </w:pPr>
      <w:r w:rsidRPr="0065344A">
        <w:rPr>
          <w:b/>
          <w:color w:val="000000"/>
          <w:lang w:val="lt-LT"/>
        </w:rPr>
        <w:t>10.</w:t>
      </w:r>
      <w:r w:rsidRPr="0065344A">
        <w:rPr>
          <w:b/>
          <w:bCs/>
          <w:color w:val="000000"/>
          <w:lang w:val="lt-LT"/>
        </w:rPr>
        <w:t> </w:t>
      </w:r>
      <w:r w:rsidRPr="0065344A">
        <w:rPr>
          <w:b/>
          <w:color w:val="000000"/>
          <w:lang w:val="lt-LT"/>
        </w:rPr>
        <w:t xml:space="preserve">Apmokestinamojo pelno iš turto naudojimo, pardavimo ar kitokio perleidimo nuosavybėn daliai apskaičiuoti šio straipsnio 9 dalyje nustatyta formulė taikoma atskirai kiekvienam šio straipsnio 7 dalies 2 punkte nurodytam turtui arba turtui (produktui) ar turto </w:t>
      </w:r>
      <w:r w:rsidRPr="0065344A">
        <w:rPr>
          <w:b/>
          <w:color w:val="000000"/>
          <w:lang w:val="lt-LT"/>
        </w:rPr>
        <w:lastRenderedPageBreak/>
        <w:t>(produktų) grupei, kai šis turtas (produktas) ar turto (produktų) grupė sukuriami panaudojant kelis šio straipsnio 7 dalies 2 punkte nurodyto turto vienetus ir vienetas gali pagrįsti, kad formulė dėl praktinių priežasčių negali būti taikoma atskirai kiekvienam šio straipsnio 7 dalies 2 punkte nurodytam turtui. Visais atvejais vienetas turi turėti dokumentus, kuriais pagrindžiamas ryšys tarp tinkamų finansuoti išlaidų, visų išlaidų, šio straipsnio 7 dalies 2 punkte nurodyto turto arba turto (produkto) ar turto (produktų) grupės, pelno iš turto naudojimo.</w:t>
      </w:r>
    </w:p>
    <w:p w14:paraId="3A433279" w14:textId="77777777" w:rsidR="009E0403" w:rsidRDefault="009E0403" w:rsidP="00CF4C1D">
      <w:pPr>
        <w:jc w:val="both"/>
        <w:rPr>
          <w:b/>
          <w:lang w:val="lt-LT"/>
        </w:rPr>
      </w:pPr>
      <w:r w:rsidRPr="00B56C17">
        <w:rPr>
          <w:bCs/>
          <w:i/>
        </w:rPr>
        <w:t>(2018 m. gruodžio 6 d. įstatymo Nr. XIII-1697; taikoma apskaičiuojant 2018 m.</w:t>
      </w:r>
      <w:r w:rsidRPr="00B56C17">
        <w:rPr>
          <w:rFonts w:ascii="Arial" w:hAnsi="Arial" w:cs="Arial"/>
          <w:i/>
          <w:color w:val="000000"/>
          <w:sz w:val="22"/>
          <w:szCs w:val="22"/>
          <w:shd w:val="clear" w:color="auto" w:fill="FFFFFF"/>
        </w:rPr>
        <w:t xml:space="preserve"> </w:t>
      </w:r>
      <w:r w:rsidRPr="00B56C17">
        <w:rPr>
          <w:bCs/>
          <w:i/>
        </w:rPr>
        <w:t>ir vėlesnių metų mokestinių laikotarpių pelno mokestį)</w:t>
      </w:r>
    </w:p>
    <w:p w14:paraId="3EF41144" w14:textId="77777777" w:rsidR="00CF4C1D" w:rsidRPr="0065344A" w:rsidRDefault="00CF4C1D" w:rsidP="00CF4C1D">
      <w:pPr>
        <w:jc w:val="both"/>
        <w:rPr>
          <w:b/>
          <w:lang w:val="lt-LT"/>
        </w:rPr>
      </w:pPr>
    </w:p>
    <w:p w14:paraId="34473838" w14:textId="77777777" w:rsidR="009E0403" w:rsidRPr="0065344A" w:rsidRDefault="009E0403" w:rsidP="009E0403">
      <w:pPr>
        <w:ind w:firstLine="720"/>
        <w:jc w:val="both"/>
        <w:rPr>
          <w:b/>
          <w:lang w:val="lt-LT"/>
        </w:rPr>
      </w:pPr>
      <w:r w:rsidRPr="0065344A">
        <w:rPr>
          <w:b/>
          <w:lang w:val="lt-LT"/>
        </w:rPr>
        <w:t>Komentaras</w:t>
      </w:r>
    </w:p>
    <w:p w14:paraId="2B448001" w14:textId="77777777" w:rsidR="009E0403" w:rsidRPr="0065344A" w:rsidRDefault="009E0403" w:rsidP="009E0403">
      <w:pPr>
        <w:ind w:firstLine="720"/>
        <w:jc w:val="both"/>
        <w:rPr>
          <w:bCs/>
          <w:lang w:val="lt-LT"/>
        </w:rPr>
      </w:pPr>
      <w:r w:rsidRPr="0065344A">
        <w:rPr>
          <w:lang w:val="lt-LT"/>
        </w:rPr>
        <w:t xml:space="preserve">1. Apmokestinamojo pelno iš turto naudojimo, pardavimo ar kitokio perleidimo nuosavybėn daliai apskaičiuoti šio straipsnio 9 dalyje nustatyta formulė taikoma atskirai kiekvienam turtui, nurodytam šio straipsnio 7 d. 2 punkte, arba turtui (produktui) ar turto (produktų) grupei, kai šis turtas (produktas) ar turto (produktų) grupė sukuriami panaudojant kelis turto, nurodyto šio straipsnio 7 d. 2 punkte, vienetus ir vienetas gali pagrįsti, kad formulė dėl praktinių priežasčių negali būti taikoma atskirai kiekvienam turtui, nurodytam šio straipsnio 7 d. 2 punkte. Visais atvejais vienetas turi turėti </w:t>
      </w:r>
      <w:r w:rsidRPr="0065344A">
        <w:rPr>
          <w:bCs/>
          <w:lang w:val="lt-LT"/>
        </w:rPr>
        <w:t>dokumentus, kuriais</w:t>
      </w:r>
      <w:r w:rsidRPr="0065344A">
        <w:rPr>
          <w:lang w:val="lt-LT"/>
        </w:rPr>
        <w:t xml:space="preserve"> </w:t>
      </w:r>
      <w:r w:rsidRPr="0065344A">
        <w:rPr>
          <w:bCs/>
          <w:lang w:val="lt-LT"/>
        </w:rPr>
        <w:t xml:space="preserve">pagrindžiamas ryšys tarp tinkamų finansuoti išlaidų, visų išlaidų, </w:t>
      </w:r>
      <w:r w:rsidRPr="0065344A">
        <w:rPr>
          <w:lang w:val="lt-LT"/>
        </w:rPr>
        <w:t xml:space="preserve">turto, nurodyto šio straipsnio 7 d. 2 punkte, arba turto (produkto) ar turto (produktų) grupės, </w:t>
      </w:r>
      <w:r w:rsidRPr="0065344A">
        <w:rPr>
          <w:bCs/>
          <w:lang w:val="lt-LT"/>
        </w:rPr>
        <w:t>pelno iš turto naudojimo.</w:t>
      </w:r>
    </w:p>
    <w:p w14:paraId="7DEF8106" w14:textId="77777777" w:rsidR="009E0403" w:rsidRPr="00B56C17" w:rsidRDefault="009E0403" w:rsidP="009E0403">
      <w:pPr>
        <w:ind w:firstLine="567"/>
        <w:jc w:val="both"/>
      </w:pPr>
      <w:r w:rsidRPr="00B56C17">
        <w:t>Pažymėtina, kad vienetas vidaus apskaitos dokumentus ir jų rengimo tvarką nusistato pats savo vidaus apskaitos taisyklėse. Atsižvelgiant į tai, pagal nusistatytus vidaus apskaitos dokumentus vienetas atskirai turi pagrįsti kiekvieno MTEP veikloje sukurto turto (produkto) ryšį tarp į formulę įrašomų tinkamų finansuoti išlaidų, visų išlaidų bei šio turto (produkto) apmokestinamojo pelno apskaičiavimo arba pagrįsti dėl kokių konkrečių praktinių priežasčių negali būti taikoma formulė atskirai kiekvienam turtui, ir, atitinkamai, ji yra pritaikyta turtui (produktui) ar turto (produktų) grupei, sukuriamai panaudojant kelis turto, nurodyto šio straipsnio 7 d. 2 punkte, vienetus.</w:t>
      </w:r>
    </w:p>
    <w:p w14:paraId="6835BB23" w14:textId="77777777" w:rsidR="009E0403" w:rsidRDefault="009E0403" w:rsidP="009E0403">
      <w:pPr>
        <w:shd w:val="clear" w:color="auto" w:fill="FFFFFF"/>
        <w:ind w:firstLine="720"/>
        <w:jc w:val="both"/>
      </w:pPr>
      <w:r w:rsidRPr="00B56C17">
        <w:t>2. Pažymėtina, kad, jeigu iki lengvatos įvedimo, t. y. iki 2017 m. gruodžio 31 d., yra išduotas patentas ar papildomas apsaugos liudijimas, atsiradusios autorių teisės ar suteikta išimtinė licencija, tai PMĮ 5 str. 7 dalyje  įteisinta MTEP pelno mokesčio lengvata gali būti taikoma tik tokiu atveju, jeigu yra šios lengvatos taikymą pagrindžiantys dokumentai, t. y. yra dokumentai, kuriais pagrindžiamas ryšys tarp tinkamų finansuoti išlaidų, visų išlaidų, turto, nurodyto šio straipsnio 5 str. 7 d. 2 punkte, arba turto (produkto) ar turto (produktų) grupės, pelno iš turto naudojimo.</w:t>
      </w:r>
      <w:r w:rsidRPr="0091491A">
        <w:t xml:space="preserve"> </w:t>
      </w:r>
    </w:p>
    <w:p w14:paraId="70592692" w14:textId="77777777" w:rsidR="009E0403" w:rsidRPr="00664BDD" w:rsidRDefault="009E0403" w:rsidP="00664BDD">
      <w:pPr>
        <w:tabs>
          <w:tab w:val="left" w:pos="720"/>
          <w:tab w:val="left" w:pos="1077"/>
          <w:tab w:val="left" w:pos="1418"/>
        </w:tabs>
        <w:ind w:right="-5" w:firstLine="720"/>
        <w:jc w:val="both"/>
        <w:rPr>
          <w:iCs/>
          <w:lang w:val="lt-LT"/>
        </w:rPr>
      </w:pPr>
      <w:r w:rsidRPr="001A3023">
        <w:rPr>
          <w:lang w:val="lt-LT"/>
        </w:rPr>
        <w:t>(</w:t>
      </w:r>
      <w:r>
        <w:rPr>
          <w:lang w:val="lt-LT"/>
        </w:rPr>
        <w:t>P</w:t>
      </w:r>
      <w:r w:rsidRPr="001A3023">
        <w:rPr>
          <w:lang w:val="lt-LT"/>
        </w:rPr>
        <w:t>akeista pagal VMI prie FM 201</w:t>
      </w:r>
      <w:r>
        <w:rPr>
          <w:lang w:val="lt-LT"/>
        </w:rPr>
        <w:t>9</w:t>
      </w:r>
      <w:r w:rsidRPr="001A3023">
        <w:rPr>
          <w:lang w:val="lt-LT"/>
        </w:rPr>
        <w:t>-0</w:t>
      </w:r>
      <w:r>
        <w:rPr>
          <w:lang w:val="lt-LT"/>
        </w:rPr>
        <w:t>5</w:t>
      </w:r>
      <w:r w:rsidRPr="001A3023">
        <w:rPr>
          <w:lang w:val="lt-LT"/>
        </w:rPr>
        <w:t>-2</w:t>
      </w:r>
      <w:r>
        <w:rPr>
          <w:lang w:val="lt-LT"/>
        </w:rPr>
        <w:t>2</w:t>
      </w:r>
      <w:r w:rsidRPr="001A3023">
        <w:rPr>
          <w:lang w:val="lt-LT"/>
        </w:rPr>
        <w:t xml:space="preserve"> raštą Nr. </w:t>
      </w:r>
      <w:r w:rsidRPr="001A3023">
        <w:t>(32.42-31-1E) RM-1</w:t>
      </w:r>
      <w:r>
        <w:t>6161)</w:t>
      </w:r>
      <w:r>
        <w:rPr>
          <w:rFonts w:ascii="Trebuchet MS" w:hAnsi="Trebuchet MS"/>
          <w:color w:val="000000"/>
          <w:sz w:val="22"/>
          <w:szCs w:val="22"/>
        </w:rPr>
        <w:t xml:space="preserve">                 </w:t>
      </w:r>
      <w:r w:rsidRPr="001070F4">
        <w:rPr>
          <w:rFonts w:ascii="Trebuchet MS" w:hAnsi="Trebuchet MS"/>
          <w:color w:val="000000"/>
          <w:sz w:val="22"/>
          <w:szCs w:val="22"/>
        </w:rPr>
        <w:t xml:space="preserve"> </w:t>
      </w:r>
    </w:p>
    <w:p w14:paraId="2729AEB8" w14:textId="77777777" w:rsidR="00093845" w:rsidRDefault="000D779E">
      <w:pPr>
        <w:pStyle w:val="Antrat1"/>
        <w:jc w:val="both"/>
        <w:rPr>
          <w:bCs w:val="0"/>
          <w:szCs w:val="20"/>
          <w:lang w:val="lt-LT"/>
        </w:rPr>
      </w:pPr>
      <w:r>
        <w:rPr>
          <w:bCs w:val="0"/>
          <w:lang w:val="lt-LT"/>
        </w:rPr>
        <w:t>6 STRAIPSNIS. Mokestinis laikotarpis</w:t>
      </w:r>
    </w:p>
    <w:p w14:paraId="0520901B" w14:textId="77777777" w:rsidR="00093845" w:rsidRDefault="000D779E">
      <w:pPr>
        <w:tabs>
          <w:tab w:val="left" w:pos="720"/>
          <w:tab w:val="left" w:pos="1077"/>
          <w:tab w:val="left" w:pos="1418"/>
        </w:tabs>
        <w:ind w:right="-99" w:firstLine="720"/>
        <w:jc w:val="both"/>
        <w:rPr>
          <w:b/>
          <w:lang w:val="lt-LT"/>
        </w:rPr>
      </w:pPr>
      <w:r>
        <w:rPr>
          <w:b/>
          <w:lang w:val="lt-LT"/>
        </w:rPr>
        <w:t>1.</w:t>
      </w:r>
      <w:r>
        <w:rPr>
          <w:b/>
          <w:lang w:val="lt-LT"/>
        </w:rPr>
        <w:tab/>
        <w:t>Mokesčio mokestinis laikotarpis yra mokestiniai metai. Jie sutampa su kalendoriniais metais, jeigu šis straipsnis nenustato ko kita.</w:t>
      </w:r>
    </w:p>
    <w:p w14:paraId="4D450552" w14:textId="77777777" w:rsidR="00093845" w:rsidRDefault="000D779E">
      <w:pPr>
        <w:tabs>
          <w:tab w:val="left" w:pos="720"/>
          <w:tab w:val="left" w:pos="1077"/>
          <w:tab w:val="left" w:pos="1418"/>
        </w:tabs>
        <w:ind w:right="-99" w:firstLine="720"/>
        <w:jc w:val="both"/>
        <w:rPr>
          <w:b/>
          <w:bCs/>
          <w:lang w:val="lt-LT"/>
        </w:rPr>
      </w:pPr>
      <w:r>
        <w:rPr>
          <w:b/>
          <w:bCs/>
          <w:lang w:val="lt-LT"/>
        </w:rPr>
        <w:t>Komentaras</w:t>
      </w:r>
    </w:p>
    <w:p w14:paraId="6BE9E664" w14:textId="77777777" w:rsidR="00093845" w:rsidRDefault="000D779E">
      <w:pPr>
        <w:tabs>
          <w:tab w:val="left" w:pos="720"/>
          <w:tab w:val="left" w:pos="1077"/>
          <w:tab w:val="left" w:pos="1418"/>
        </w:tabs>
        <w:ind w:right="-99" w:firstLine="720"/>
        <w:jc w:val="both"/>
        <w:rPr>
          <w:lang w:val="lt-LT"/>
        </w:rPr>
      </w:pPr>
      <w:r>
        <w:rPr>
          <w:lang w:val="lt-LT"/>
        </w:rPr>
        <w:t>Lietuvos vienetų mokestinis laikotarpis yra kalendoriniai metai, išskyrus PMĮ 6 straipsnio 2, 3, 4 ir 5 dalyse nurodytus atvejus. Jeigu Lietuvos vienetų mokestinis laikotarpis sutampa su kalendoriniais metais, tokių vienetų mokestinis laikotarpis prasideda kalendorinių metų sausio 1 d., o baigiasi kalendorinių metų gruodžio 31 dieną.</w:t>
      </w:r>
    </w:p>
    <w:p w14:paraId="07386EBC" w14:textId="77777777" w:rsidR="00093845" w:rsidRDefault="00093845">
      <w:pPr>
        <w:tabs>
          <w:tab w:val="left" w:pos="720"/>
          <w:tab w:val="left" w:pos="1077"/>
          <w:tab w:val="left" w:pos="1418"/>
        </w:tabs>
        <w:ind w:right="-99" w:firstLine="720"/>
        <w:jc w:val="both"/>
        <w:rPr>
          <w:szCs w:val="20"/>
          <w:lang w:val="lt-LT"/>
        </w:rPr>
      </w:pPr>
    </w:p>
    <w:p w14:paraId="1AFCE510" w14:textId="77777777" w:rsidR="00093845" w:rsidRPr="0065344A" w:rsidRDefault="000D779E">
      <w:pPr>
        <w:tabs>
          <w:tab w:val="left" w:pos="720"/>
          <w:tab w:val="left" w:pos="1077"/>
          <w:tab w:val="left" w:pos="1418"/>
        </w:tabs>
        <w:ind w:right="-99" w:firstLine="720"/>
        <w:jc w:val="both"/>
        <w:rPr>
          <w:b/>
          <w:szCs w:val="20"/>
          <w:lang w:val="lt-LT"/>
        </w:rPr>
      </w:pPr>
      <w:r w:rsidRPr="0065344A">
        <w:rPr>
          <w:b/>
          <w:lang w:val="lt-LT"/>
        </w:rPr>
        <w:lastRenderedPageBreak/>
        <w:t>2.</w:t>
      </w:r>
      <w:r w:rsidRPr="0065344A">
        <w:rPr>
          <w:b/>
          <w:lang w:val="lt-LT"/>
        </w:rPr>
        <w:tab/>
        <w:t>Centrinio mokesčio administratoriaus nustatyta tvarka mokesčio mokėtojo prašymu ir atsižvelgdamas į jo veiklos ypatybes vietos mokesčio administratorius gali nustatyti kitokį mokestinį laikotarpį, negu nurodyta šio straipsnio 1 dalyje, su sąlyga, kad tas mokestinis laikotarpis bus lygus 12 mėnesių. Toks mokestinis laikotarpis gali būti keičiamas tik dėl objektyvių priežasčių, gavus vietos mokesčio administratoriaus leidimą.</w:t>
      </w:r>
    </w:p>
    <w:p w14:paraId="72EC4437" w14:textId="77777777" w:rsidR="00093845" w:rsidRPr="0065344A" w:rsidRDefault="000D779E">
      <w:pPr>
        <w:ind w:firstLine="720"/>
        <w:jc w:val="both"/>
        <w:rPr>
          <w:b/>
          <w:bCs/>
          <w:lang w:val="lt-LT"/>
        </w:rPr>
      </w:pPr>
      <w:r w:rsidRPr="0065344A">
        <w:rPr>
          <w:b/>
          <w:bCs/>
          <w:lang w:val="lt-LT"/>
        </w:rPr>
        <w:t>Komentaras</w:t>
      </w:r>
    </w:p>
    <w:p w14:paraId="1183DC19" w14:textId="09F0E0F2" w:rsidR="009D5201" w:rsidRDefault="009D5201" w:rsidP="009D5201">
      <w:pPr>
        <w:tabs>
          <w:tab w:val="left" w:pos="720"/>
          <w:tab w:val="left" w:pos="1080"/>
        </w:tabs>
        <w:jc w:val="both"/>
        <w:rPr>
          <w:lang w:eastAsia="lt-LT"/>
        </w:rPr>
      </w:pPr>
      <w:r w:rsidRPr="00671FC7">
        <w:rPr>
          <w:lang w:eastAsia="lt-LT"/>
        </w:rPr>
        <w:t>Mokesčių administratorius, atsižvelgdamas į vieneto prašymą ir į jo veiklos ypatybes (veiklos sezoniškumą, didžiausių pajamų gavimo laikotarpį, mokestinio laikotarpio priklausomumą nuo pagrindinio (patronuojančio) vieneto finansinių (mokestinių) metų ir pan.), Valstybinės mokesčių inspekcijos Finansų ministerijos viršininko 2002 m. sausio 31 d. įsakymu Nr. 28 patvirtinta Mokestinio laikotarpio nustatymo, atsižvelgiant į mokestinių vienetų veiklos ypatybes, Tvarka vienetui gali nustatyti su kalendoriniais metais nesutampantį 12 mėnesių mokestinį laikotarpį. Tvarkoje numatyta, kad prašymą vienetas gali pateikti</w:t>
      </w:r>
      <w:r>
        <w:rPr>
          <w:lang w:eastAsia="lt-LT"/>
        </w:rPr>
        <w:t xml:space="preserve"> p</w:t>
      </w:r>
      <w:r w:rsidRPr="00671FC7">
        <w:rPr>
          <w:lang w:eastAsia="lt-LT"/>
        </w:rPr>
        <w:t>risijungęs prie Valstybinės mokesčių inspekcijos portalo e. VMI autorizuotų elektroninių paslaugų srities</w:t>
      </w:r>
      <w:r>
        <w:rPr>
          <w:lang w:eastAsia="lt-LT"/>
        </w:rPr>
        <w:t>.</w:t>
      </w:r>
    </w:p>
    <w:p w14:paraId="2BC80757" w14:textId="33CE50D9" w:rsidR="001255D1" w:rsidRPr="00671FC7" w:rsidRDefault="001255D1" w:rsidP="001255D1">
      <w:r>
        <w:rPr>
          <w:lang w:val="lt-LT"/>
        </w:rPr>
        <w:tab/>
      </w:r>
      <w:r w:rsidR="002A28EB">
        <w:rPr>
          <w:lang w:val="lt-LT"/>
        </w:rPr>
        <w:t xml:space="preserve">(Pakeista pagal </w:t>
      </w:r>
      <w:r w:rsidR="002A28EB" w:rsidRPr="0051529C">
        <w:t xml:space="preserve">VMI prie FM </w:t>
      </w:r>
      <w:r w:rsidR="002A28EB" w:rsidRPr="00C0467E">
        <w:t>2026-02-05</w:t>
      </w:r>
      <w:r w:rsidR="002A28EB">
        <w:t xml:space="preserve"> raštą</w:t>
      </w:r>
      <w:r w:rsidR="002A28EB" w:rsidRPr="00C0467E">
        <w:t xml:space="preserve"> Nr. (18.10-31-1 Mr) R-321</w:t>
      </w:r>
      <w:r w:rsidR="002A28EB">
        <w:t>)</w:t>
      </w:r>
    </w:p>
    <w:p w14:paraId="38C5E00F" w14:textId="4B2625C5" w:rsidR="00093845" w:rsidRDefault="000D779E">
      <w:pPr>
        <w:tabs>
          <w:tab w:val="left" w:pos="720"/>
          <w:tab w:val="left" w:pos="1077"/>
          <w:tab w:val="left" w:pos="1418"/>
        </w:tabs>
        <w:ind w:right="-99" w:firstLine="720"/>
        <w:jc w:val="both"/>
        <w:rPr>
          <w:szCs w:val="20"/>
        </w:rPr>
      </w:pPr>
      <w:r w:rsidRPr="0065344A">
        <w:rPr>
          <w:lang w:val="lt-LT"/>
        </w:rPr>
        <w:t xml:space="preserve">Vienetai, norintys pakeisti mokestinį laikotarpį, prašymą turi pateikti iki numatomo kitokio mokestinio laikotarpio pradžios. </w:t>
      </w:r>
      <w:r>
        <w:t>Vienetui nustatytas kitoks mokestinis laikotarpis turi būti lygus 12 mėnesių.</w:t>
      </w:r>
    </w:p>
    <w:p w14:paraId="1A31820F" w14:textId="77777777" w:rsidR="00093845" w:rsidRDefault="000D779E">
      <w:pPr>
        <w:tabs>
          <w:tab w:val="left" w:pos="720"/>
          <w:tab w:val="left" w:pos="1077"/>
          <w:tab w:val="left" w:pos="1418"/>
        </w:tabs>
        <w:ind w:right="-99" w:firstLine="720"/>
        <w:jc w:val="both"/>
        <w:rPr>
          <w:szCs w:val="20"/>
        </w:rPr>
      </w:pPr>
      <w:r>
        <w:t>Pavyzdys</w:t>
      </w:r>
    </w:p>
    <w:p w14:paraId="78572E6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Vieneto mokestinis laikotarpis sutapo su kalendoriniais metais. 2014 m. balandžio 2 d. vienetas kreipėsi į mokesčių administratorių, kad jam būtų nustatytas kitoks mokestinis laikotarpis, nes kitoks mokestinis laikotarpis buvo nustatytas patronuojančiam vienetui. Mokesčių administratorius, atsižvelgdamas į vieneto prašymą, jam nustatė mokestinį laikotarpį, kuris prasideda 2014 m. gegužės 1 d. ir baigiasi 2015 m. balandžio 30 dieną.</w:t>
      </w:r>
    </w:p>
    <w:p w14:paraId="439CCF2F" w14:textId="77777777" w:rsidR="00093845" w:rsidRDefault="000D779E">
      <w:pPr>
        <w:tabs>
          <w:tab w:val="left" w:pos="720"/>
          <w:tab w:val="left" w:pos="1077"/>
          <w:tab w:val="left" w:pos="1418"/>
        </w:tabs>
        <w:ind w:right="-99" w:firstLine="720"/>
        <w:jc w:val="both"/>
        <w:rPr>
          <w:szCs w:val="20"/>
        </w:rPr>
      </w:pPr>
      <w:r>
        <w:t>Vienetai, kuriems mokesčių administratorius patvirtino kitokį, su ankstesniu mokestiniu laikotarpiu nesutampantį mokestinį laikotarpį, privalo pateikti pereinamojo mokestinio laikotarpio (laikotarpio nuo kalendorinių metų pradžios (jei ankstesnis mokestinis laikotarpis buvo kalendoriniai metai) arba laikotarpio po ankstesnio mokestinio laikotarpio pabaigos iki naujo mokestinio laikotarpio pradžios) pelno mokesčio deklaracijas PMĮ X skyriuje nustatyta tvarka, t.y. ta pačia tvarka, kaip ir metines pelno mokesčio deklaracijas, taip pat sumokėti pelno mokestį.</w:t>
      </w:r>
    </w:p>
    <w:p w14:paraId="71C511EB" w14:textId="77777777" w:rsidR="00093845" w:rsidRDefault="000D779E">
      <w:pPr>
        <w:tabs>
          <w:tab w:val="left" w:pos="720"/>
          <w:tab w:val="left" w:pos="1077"/>
          <w:tab w:val="left" w:pos="1418"/>
        </w:tabs>
        <w:ind w:right="-99" w:firstLine="720"/>
        <w:jc w:val="both"/>
        <w:rPr>
          <w:szCs w:val="20"/>
        </w:rPr>
      </w:pPr>
      <w:r>
        <w:t>Pavyzdys</w:t>
      </w:r>
    </w:p>
    <w:p w14:paraId="304D48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pPr>
      <w:r>
        <w:t>1. Vienetui, kurio ankstesnis mokestinis laikotarpis buvo kalendoriniai metai, buvo nustatytas kitas mokestinis laikotarpis (nuo 2014 m. liepos 1 d. iki 2015 m. birželio 30 d.), todėl vienetas privalo iki kito mokestinio laikotarpio šešto mėnesio 1 dienos (šiuo atveju iki 2014 m. gruodžio 1 d.) mokesčių administratoriui pateikti pereinamojo mokestinio laikotarpio (2014 m. sausio 1 d. – 2014 m. birželio 30 d.) pelno mokesčio deklaraciją, taip pat pagal pateiktą metinę pelno mokesčio deklaraciją sumokėti pelno mokestį.</w:t>
      </w:r>
    </w:p>
    <w:p w14:paraId="1FD0FE8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2. Vienetui, kurio ankstesnis mokestinis laikotarpis buvo kalendoriniai metai, buvo nustatytas kitas mokestinis laikotarpis (nuo 2016 m. rugsėjo 1 d. iki 2017 m. rugpjūčio 31 d.), todėl vienetas privalo iki kito mokestinio laikotarpio šešto mėnesio 15 dienos (pagal 2016 m. kovo 22 d. PMĮ Nr. XII-2262 redakciją, nuo 2017 m. sausio 1 d. pelno mokesčio deklaracijos pateikimo terminas – šešto mėnesio 15 diena; šiuo atveju – iki 2017 m. vasario 15 d.) mokesčių administratoriui pateikti pereinamojo mokestinio laikotarpio (2016 m. sausio 1 d. – 2016 m. rugpjūčio 31 d.) pelno mokesčio deklaraciją ir pagal pateiktą metinę pelno mokesčio deklaraciją sumokėti pelno mokestį.</w:t>
      </w:r>
    </w:p>
    <w:p w14:paraId="2FC032B1" w14:textId="77777777" w:rsidR="00093845" w:rsidRDefault="000D779E">
      <w:pPr>
        <w:tabs>
          <w:tab w:val="left" w:pos="720"/>
          <w:tab w:val="left" w:pos="1077"/>
          <w:tab w:val="left" w:pos="1418"/>
        </w:tabs>
        <w:ind w:right="-99" w:firstLine="720"/>
        <w:jc w:val="both"/>
      </w:pPr>
      <w:r>
        <w:lastRenderedPageBreak/>
        <w:t>Naujai įregistruotam vienetui gali būti nustatomas kitoks mokestinis laikotarpis (pateikus prašymą per 5 darbo dienas nuo jo įregistravimo Juridinių asmenų registre, toliau – JAR) be pereinamojo mokestinio laikotarpio, jeigu prašomas kitoks mokestinis laikotarpis prasideda anksčiau nei vienetas įregistruotas JAR ir jeigu iki įregistravimo JAR datos vienetas nevykdė veiklos. Šiuo atveju pirmasis mokestinis laikotarpis skaičiuojamas nuo įregistravimo JAR dienos iki jam nustatyto kito mokestinio laikotarpio pabaigos dienos.</w:t>
      </w:r>
    </w:p>
    <w:p w14:paraId="7B6580FF" w14:textId="77777777" w:rsidR="00093845" w:rsidRDefault="000D779E">
      <w:pPr>
        <w:tabs>
          <w:tab w:val="left" w:pos="720"/>
          <w:tab w:val="left" w:pos="1077"/>
          <w:tab w:val="left" w:pos="1418"/>
        </w:tabs>
        <w:ind w:right="-99" w:firstLine="720"/>
        <w:jc w:val="both"/>
      </w:pPr>
      <w:r>
        <w:t>Pavyzdys</w:t>
      </w:r>
    </w:p>
    <w:p w14:paraId="0012A88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rPr>
      </w:pPr>
      <w:r>
        <w:t>Vienetas JAR įregistruotas 2015 m. rugpjūčio 20 d. Vieneto įstatuose numatyta, kad finansiniai metai prasideda liepos 1 d. ir baigiasi kitų metų birželio 30 d. Vienetas pateikia prašymą nustatyti mokestinį laikotarpį, sutampantį su finansinių metų laikotarpiu. Vienetas iki įregistravimo JAR veiklos nevykdė, prašyme nurodytos veiklos ypatybės suteikia teisę prašyti kitokio mokestinio laikotarpio nustatymo. Mokesčių administratoriaus priimtame sprendime vienetui nustatytas kitas mokestinis laikotarpis, sutampantis su finansinių metų laikotarpiu, yra nuo liepos 1 d. iki kitų metų birželio 30 d. Šiuo atveju vienetui pirmasis mokestinis laikotarpis prasideda nuo 2015 m. rugpjūčio 20 d. ir baigiasi 2016 m. birželio 30 d., tačiau pildant metinę pelno mokesčio deklaraciją nurodomas mokestinis laikotarpis nuo 2015-07-01 iki 2016-06-30.</w:t>
      </w:r>
    </w:p>
    <w:p w14:paraId="66D8207A" w14:textId="77777777" w:rsidR="00093845" w:rsidRPr="001A3023" w:rsidRDefault="000D779E">
      <w:pPr>
        <w:tabs>
          <w:tab w:val="left" w:pos="720"/>
          <w:tab w:val="left" w:pos="1077"/>
          <w:tab w:val="left" w:pos="1418"/>
        </w:tabs>
        <w:ind w:right="-5" w:firstLine="720"/>
        <w:jc w:val="both"/>
        <w:rPr>
          <w:lang w:val="lt-LT"/>
        </w:rPr>
      </w:pPr>
      <w:r w:rsidRPr="001A3023">
        <w:rPr>
          <w:lang w:val="lt-LT"/>
        </w:rPr>
        <w:t xml:space="preserve"> (</w:t>
      </w:r>
      <w:r w:rsidR="00357561">
        <w:rPr>
          <w:lang w:val="lt-LT"/>
        </w:rPr>
        <w:t>P</w:t>
      </w:r>
      <w:r w:rsidRPr="001A3023">
        <w:rPr>
          <w:lang w:val="lt-LT"/>
        </w:rPr>
        <w:t xml:space="preserve">akeista pagal VMI prie FM 2016-06-23 raštą Nr. </w:t>
      </w:r>
      <w:r w:rsidRPr="0065344A">
        <w:rPr>
          <w:lang w:val="lt-LT"/>
        </w:rPr>
        <w:t>(32.42-31-1E) RM-18220</w:t>
      </w:r>
    </w:p>
    <w:p w14:paraId="0C62D592" w14:textId="77777777" w:rsidR="00093845" w:rsidRDefault="000D779E">
      <w:pPr>
        <w:tabs>
          <w:tab w:val="left" w:pos="720"/>
          <w:tab w:val="left" w:pos="1077"/>
          <w:tab w:val="left" w:pos="1418"/>
        </w:tabs>
        <w:ind w:right="-99" w:firstLine="720"/>
        <w:jc w:val="both"/>
        <w:rPr>
          <w:b/>
          <w:szCs w:val="20"/>
          <w:lang w:val="lt-LT"/>
        </w:rPr>
      </w:pPr>
      <w:r>
        <w:rPr>
          <w:b/>
          <w:lang w:val="lt-LT"/>
        </w:rPr>
        <w:t>3.</w:t>
      </w:r>
      <w:r>
        <w:rPr>
          <w:b/>
          <w:lang w:val="lt-LT"/>
        </w:rPr>
        <w:tab/>
        <w:t>Pirmas mokestinis laikotarpis prasideda nuo Lietuvos vieneto įregistravimo Lietuvos Respublikoje arba, jei Lietuvos vienetas neįsiregistravo įstatymų nustatyta tvarka, - nuo veiklos vykdymo pradžios. Paskutinis Lietuvos vieneto mokestinis laikotarpis pasibaigia Lietuvos vienetui pasibaigus.</w:t>
      </w:r>
    </w:p>
    <w:p w14:paraId="46A7FCB5" w14:textId="77777777" w:rsidR="00093845" w:rsidRDefault="000D779E">
      <w:pPr>
        <w:tabs>
          <w:tab w:val="left" w:pos="720"/>
          <w:tab w:val="left" w:pos="1077"/>
          <w:tab w:val="left" w:pos="1418"/>
        </w:tabs>
        <w:ind w:right="-99" w:firstLine="720"/>
        <w:jc w:val="both"/>
        <w:rPr>
          <w:b/>
          <w:szCs w:val="20"/>
          <w:lang w:val="lt-LT"/>
        </w:rPr>
      </w:pPr>
      <w:r>
        <w:rPr>
          <w:b/>
          <w:lang w:val="lt-LT"/>
        </w:rPr>
        <w:t>Komentaras</w:t>
      </w:r>
    </w:p>
    <w:p w14:paraId="35968E36" w14:textId="77777777" w:rsidR="00093845" w:rsidRDefault="000D779E">
      <w:pPr>
        <w:tabs>
          <w:tab w:val="left" w:pos="720"/>
          <w:tab w:val="left" w:pos="1077"/>
          <w:tab w:val="left" w:pos="1418"/>
        </w:tabs>
        <w:ind w:right="-99" w:firstLine="720"/>
        <w:jc w:val="both"/>
        <w:rPr>
          <w:szCs w:val="20"/>
          <w:lang w:val="lt-LT"/>
        </w:rPr>
      </w:pPr>
      <w:r>
        <w:rPr>
          <w:lang w:val="lt-LT"/>
        </w:rPr>
        <w:t xml:space="preserve">Lietuvos vieneto pirmas mokestinis laikotarpis prasideda nuo to vieneto įregistravimo Lietuvos Respublikoje datos, nurodytos Lietuvos vieneto teisinio įregistravimo pažymėjime, arba nuo jo veiklos vykdymo pradžios, jei Lietuvos vienetas neįsiregistravo įstatymų nustatyta tvarka. </w:t>
      </w:r>
    </w:p>
    <w:p w14:paraId="6BDA7B04" w14:textId="77777777" w:rsidR="00093845" w:rsidRDefault="000D779E">
      <w:pPr>
        <w:tabs>
          <w:tab w:val="left" w:pos="720"/>
          <w:tab w:val="left" w:pos="1077"/>
          <w:tab w:val="left" w:pos="1418"/>
        </w:tabs>
        <w:ind w:right="-99" w:firstLine="720"/>
        <w:jc w:val="both"/>
        <w:rPr>
          <w:szCs w:val="20"/>
          <w:lang w:val="lt-LT"/>
        </w:rPr>
      </w:pPr>
      <w:r>
        <w:rPr>
          <w:lang w:val="lt-LT"/>
        </w:rPr>
        <w:t>Pavyzdys</w:t>
      </w:r>
    </w:p>
    <w:p w14:paraId="37AE3AA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lt-LT"/>
        </w:rPr>
        <w:t>Lietuvos vienetas įregistruotas kalendorinių metų balandžio 1 dieną. Kadangi šio vieneto mokestinis laikotarpis sutampa su kalendoriniais metais, tai pirmas jo mokestinis laikotarpis bus nuo balandžio 1 dienos iki kalendorinių metų gruodžio 31 dienos.</w:t>
      </w:r>
    </w:p>
    <w:p w14:paraId="320C9EE3" w14:textId="77777777" w:rsidR="00093845" w:rsidRDefault="000D779E">
      <w:pPr>
        <w:tabs>
          <w:tab w:val="left" w:pos="720"/>
          <w:tab w:val="left" w:pos="1077"/>
          <w:tab w:val="left" w:pos="1418"/>
        </w:tabs>
        <w:ind w:right="-99" w:firstLine="720"/>
        <w:jc w:val="both"/>
        <w:rPr>
          <w:szCs w:val="20"/>
          <w:lang w:val="lt-LT"/>
        </w:rPr>
      </w:pPr>
      <w:r>
        <w:rPr>
          <w:lang w:val="lt-LT"/>
        </w:rPr>
        <w:t>Jeigu naujam Lietuvos vienetui nustatomas mokestinis laikotarpis, kuris nesutampa su kalendoriniais metais, tai jo pirmas mokestinis laikotarpis skaičiuojamas nuo įregistravimo datos iki jam nustatyto mokestinio laikotarpio pabaigos.</w:t>
      </w:r>
    </w:p>
    <w:p w14:paraId="2938473A" w14:textId="77777777" w:rsidR="00093845" w:rsidRDefault="000D779E">
      <w:pPr>
        <w:tabs>
          <w:tab w:val="left" w:pos="720"/>
          <w:tab w:val="left" w:pos="1077"/>
          <w:tab w:val="left" w:pos="1418"/>
        </w:tabs>
        <w:ind w:right="-99" w:firstLine="720"/>
        <w:jc w:val="both"/>
        <w:rPr>
          <w:szCs w:val="20"/>
          <w:lang w:val="lt-LT"/>
        </w:rPr>
      </w:pPr>
      <w:r>
        <w:rPr>
          <w:lang w:val="fr-FR"/>
        </w:rPr>
        <w:t>Pavyzdys</w:t>
      </w:r>
    </w:p>
    <w:p w14:paraId="6F1150F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fr-FR"/>
        </w:rPr>
        <w:t>Lietuvos vienetas įregistruotas 2002 m. liepos 15 dieną. Vieneto prašymu jam nustatytas mokestinis laikotarpis, kuris prasideda kalendorinių metų birželio 1 dieną. Remiantis PMĮ 6 straipsnio nuostatomis, šio vieneto pirmas mokestinis laikotarpis skaičiuojamas nuo 2002 m. liepos 15 d. iki 2003 m. gegužės 31 dienos.</w:t>
      </w:r>
    </w:p>
    <w:p w14:paraId="065BE5DB" w14:textId="77777777" w:rsidR="00093845" w:rsidRDefault="000D779E">
      <w:pPr>
        <w:tabs>
          <w:tab w:val="left" w:pos="720"/>
          <w:tab w:val="left" w:pos="1077"/>
          <w:tab w:val="left" w:pos="1418"/>
        </w:tabs>
        <w:ind w:right="-99" w:firstLine="720"/>
        <w:jc w:val="both"/>
        <w:rPr>
          <w:szCs w:val="20"/>
          <w:lang w:val="lt-LT"/>
        </w:rPr>
      </w:pPr>
      <w:r>
        <w:rPr>
          <w:lang w:val="lt-LT"/>
        </w:rPr>
        <w:t>Paskutiniu mokestiniu laikotarpiu laikomas laikotarpis nuo mokestinio laikotarpio pradžios iki vieneto pabaigos dienos. Vienetas pasibaigia po jo išregistravimo iš juridinių asmenų registro.</w:t>
      </w:r>
    </w:p>
    <w:p w14:paraId="0E8DB909" w14:textId="77777777" w:rsidR="00093845" w:rsidRDefault="000D779E">
      <w:pPr>
        <w:tabs>
          <w:tab w:val="left" w:pos="720"/>
          <w:tab w:val="left" w:pos="1077"/>
          <w:tab w:val="left" w:pos="1418"/>
        </w:tabs>
        <w:ind w:right="-99" w:firstLine="720"/>
        <w:jc w:val="both"/>
        <w:rPr>
          <w:b/>
          <w:lang w:val="lt-LT"/>
        </w:rPr>
      </w:pPr>
      <w:r>
        <w:rPr>
          <w:b/>
          <w:lang w:val="lt-LT"/>
        </w:rPr>
        <w:t>4.</w:t>
      </w:r>
      <w:r>
        <w:rPr>
          <w:b/>
          <w:lang w:val="lt-LT"/>
        </w:rPr>
        <w:tab/>
        <w:t xml:space="preserve">Jeigu Lietuvos vienetas faktiškai vykdė veiklą trumpiau kaip 12 mėnesių, mokestinis laikotarpis skaičiuojamas nuo vieneto įregistravimo Lietuvos Respublikoje, o jei Lietuvos </w:t>
      </w:r>
      <w:r>
        <w:rPr>
          <w:b/>
          <w:lang w:val="lt-LT"/>
        </w:rPr>
        <w:lastRenderedPageBreak/>
        <w:t>vienetas neįsiregistravo įstatymų nustatyta tvarka, nuo veiklos vykdymo pradžios iki Lietuvos vieneto pabaigos dienos.</w:t>
      </w:r>
    </w:p>
    <w:p w14:paraId="6E0043C4" w14:textId="77777777" w:rsidR="00093845" w:rsidRDefault="000D779E">
      <w:pPr>
        <w:tabs>
          <w:tab w:val="left" w:pos="720"/>
          <w:tab w:val="left" w:pos="1077"/>
          <w:tab w:val="left" w:pos="1418"/>
        </w:tabs>
        <w:ind w:right="-99" w:firstLine="720"/>
        <w:jc w:val="both"/>
        <w:rPr>
          <w:b/>
          <w:szCs w:val="20"/>
          <w:lang w:val="lt-LT"/>
        </w:rPr>
      </w:pPr>
      <w:r>
        <w:rPr>
          <w:b/>
          <w:szCs w:val="20"/>
          <w:lang w:val="lt-LT"/>
        </w:rPr>
        <w:t>Komentaras</w:t>
      </w:r>
    </w:p>
    <w:p w14:paraId="1B34AA92" w14:textId="77777777" w:rsidR="00093845" w:rsidRDefault="000D779E">
      <w:pPr>
        <w:tabs>
          <w:tab w:val="left" w:pos="720"/>
          <w:tab w:val="left" w:pos="1077"/>
          <w:tab w:val="left" w:pos="1418"/>
        </w:tabs>
        <w:ind w:right="-99" w:firstLine="720"/>
        <w:jc w:val="both"/>
        <w:rPr>
          <w:szCs w:val="20"/>
          <w:lang w:val="lt-LT"/>
        </w:rPr>
      </w:pPr>
      <w:r>
        <w:rPr>
          <w:lang w:val="lt-LT"/>
        </w:rPr>
        <w:t>Jeigu vienetas buvo įregistruotas Lietuvos Respublikoje ir veiklą vykdė trumpiau kaip 12 mėnesių, tai jo mokestinis laikotarpis skaičiuojamas nuo vieneto įregistravimo (veiklos pradžios) datos iki jo veiklos pabaigos (išregistravimo iš juridinių asmenų registro datos).</w:t>
      </w:r>
    </w:p>
    <w:p w14:paraId="4E8059F6" w14:textId="77777777" w:rsidR="00093845" w:rsidRDefault="000D779E">
      <w:pPr>
        <w:tabs>
          <w:tab w:val="left" w:pos="720"/>
          <w:tab w:val="left" w:pos="1077"/>
          <w:tab w:val="left" w:pos="1418"/>
        </w:tabs>
        <w:ind w:right="-99" w:firstLine="720"/>
        <w:jc w:val="both"/>
        <w:rPr>
          <w:szCs w:val="20"/>
          <w:lang w:val="lt-LT"/>
        </w:rPr>
      </w:pPr>
      <w:r>
        <w:rPr>
          <w:lang w:val="lt-LT"/>
        </w:rPr>
        <w:t>Pavyzdys</w:t>
      </w:r>
    </w:p>
    <w:p w14:paraId="2D0811A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99" w:firstLine="720"/>
        <w:jc w:val="both"/>
        <w:rPr>
          <w:szCs w:val="20"/>
          <w:lang w:val="lt-LT"/>
        </w:rPr>
      </w:pPr>
      <w:r>
        <w:rPr>
          <w:lang w:val="lt-LT"/>
        </w:rPr>
        <w:t>Vienetas buvo įregistruotas kalendorinių metų kovo 10 dieną, o lapkričio 1 dieną buvo išregistruotas. Šio vieneto mokestinis laikotarpis bus nuo kovo 10 dienos iki lapkričio 1 dienos.</w:t>
      </w:r>
    </w:p>
    <w:p w14:paraId="299AF57D" w14:textId="77777777" w:rsidR="00093845" w:rsidRDefault="000D779E">
      <w:pPr>
        <w:tabs>
          <w:tab w:val="left" w:pos="720"/>
          <w:tab w:val="left" w:pos="1077"/>
          <w:tab w:val="left" w:pos="1418"/>
        </w:tabs>
        <w:ind w:right="-99" w:firstLine="720"/>
        <w:jc w:val="both"/>
        <w:rPr>
          <w:b/>
          <w:szCs w:val="20"/>
          <w:lang w:val="lt-LT"/>
        </w:rPr>
      </w:pPr>
      <w:r>
        <w:rPr>
          <w:b/>
          <w:lang w:val="lt-LT"/>
        </w:rPr>
        <w:t>5.</w:t>
      </w:r>
      <w:r>
        <w:rPr>
          <w:b/>
          <w:lang w:val="lt-LT"/>
        </w:rPr>
        <w:tab/>
        <w:t>Nuolatinės buveinės pirmas ir paskutinis mokestiniai laikotarpiai nustatomi Lietuvos Respublikos Vyriausybės arba jos įgaliotos institucijos nustatyta tvarka.</w:t>
      </w:r>
    </w:p>
    <w:p w14:paraId="38C87582" w14:textId="77777777" w:rsidR="00093845" w:rsidRDefault="000D779E">
      <w:pPr>
        <w:tabs>
          <w:tab w:val="left" w:pos="1620"/>
        </w:tabs>
        <w:ind w:firstLine="720"/>
        <w:jc w:val="both"/>
        <w:rPr>
          <w:b/>
          <w:bCs/>
          <w:lang w:val="lt-LT"/>
        </w:rPr>
      </w:pPr>
      <w:r>
        <w:rPr>
          <w:b/>
          <w:bCs/>
          <w:lang w:val="lt-LT"/>
        </w:rPr>
        <w:t>Komentaras</w:t>
      </w:r>
    </w:p>
    <w:p w14:paraId="7D50BF6F" w14:textId="77777777" w:rsidR="00093845" w:rsidRDefault="000D779E">
      <w:pPr>
        <w:tabs>
          <w:tab w:val="left" w:pos="720"/>
          <w:tab w:val="left" w:pos="1077"/>
          <w:tab w:val="left" w:pos="1418"/>
        </w:tabs>
        <w:ind w:right="-99" w:firstLine="720"/>
        <w:jc w:val="both"/>
        <w:rPr>
          <w:szCs w:val="20"/>
          <w:lang w:val="lt-LT"/>
        </w:rPr>
      </w:pPr>
      <w:r>
        <w:rPr>
          <w:lang w:val="lt-LT"/>
        </w:rPr>
        <w:t xml:space="preserve">Lietuvos Respublikos Vyriausybė 2002 m. kovo 5 d. </w:t>
      </w:r>
      <w:r w:rsidR="008054AC" w:rsidRPr="009C0219">
        <w:rPr>
          <w:rStyle w:val="Hipersaitas"/>
          <w:rFonts w:ascii="Times New Roman" w:hAnsi="Times New Roman" w:cs="Times New Roman"/>
          <w:b w:val="0"/>
          <w:bCs w:val="0"/>
          <w:kern w:val="0"/>
          <w:lang w:val="lt-LT"/>
        </w:rPr>
        <w:t>nutarimu Nr. 321</w:t>
      </w:r>
      <w:r>
        <w:rPr>
          <w:lang w:val="lt-LT"/>
        </w:rPr>
        <w:t xml:space="preserve"> „Dėl Atskaitymų, susijusių su pajamų uždirbimu per nuolatines buveines, nustatymo tvarkos ir Nuolatinės buveinės pirmo ir paskutinio mokestinių laikotarpių nustatymo tvarkos patvirtinimo“ patvirtino nuolatinės buveinės pirmo ir paskutinio mokestinių laikotarpių nustatymo tvarką.</w:t>
      </w:r>
    </w:p>
    <w:p w14:paraId="1DCD02E8" w14:textId="77777777" w:rsidR="00093845" w:rsidRDefault="000D779E">
      <w:pPr>
        <w:tabs>
          <w:tab w:val="left" w:pos="720"/>
          <w:tab w:val="left" w:pos="1077"/>
          <w:tab w:val="left" w:pos="1418"/>
        </w:tabs>
        <w:ind w:right="-99" w:firstLine="720"/>
        <w:jc w:val="both"/>
        <w:rPr>
          <w:szCs w:val="20"/>
          <w:lang w:val="lt-LT"/>
        </w:rPr>
      </w:pPr>
      <w:r>
        <w:rPr>
          <w:lang w:val="lt-LT"/>
        </w:rPr>
        <w:t>Nuolatinės buveinės veiklos pradžia yra pirmojo sandorio sudarymo diena. Nuolatinės buveinės veiklos pabaiga yra visų sandorių įvykdymo diena. Nuolatinės buveinės veiklos laikinas sustabdymas (dėl jos sezoniškumo, meteorologinių sąlygų pasikeitimo, darbo jėgos ar kapitalo stygiaus ir pan.) nėra laikomas tos nuolatinės buveinės veiklos pabaiga.</w:t>
      </w:r>
    </w:p>
    <w:p w14:paraId="5CF5423D" w14:textId="77777777" w:rsidR="00093845" w:rsidRDefault="000D779E">
      <w:pPr>
        <w:tabs>
          <w:tab w:val="left" w:pos="720"/>
          <w:tab w:val="left" w:pos="1077"/>
          <w:tab w:val="left" w:pos="1418"/>
        </w:tabs>
        <w:ind w:right="-99" w:firstLine="720"/>
        <w:jc w:val="both"/>
        <w:rPr>
          <w:szCs w:val="20"/>
          <w:lang w:val="lt-LT"/>
        </w:rPr>
      </w:pPr>
      <w:r>
        <w:rPr>
          <w:lang w:val="lt-LT"/>
        </w:rPr>
        <w:t>Remiantis PMĮ 6 str. 1 dalimi, nuolatinės buveinės mokestinis laikotarpis yra mokestiniai metai, kurie sutampa su kalendoriniais metais. Užsienio vieneto prašymu ir atsižvelgdamas į jo nuolatinės buveinės veiklos ypatybes, vietos mokesčių administratorius gali nustatyti kitokį mokestinį laikotarpį, kaip tai numatyta PMĮ 6 str. 2 dalyje. Nuolatinės buveinės veiklos ypatybei priskiriama aplinkybė, kai užsienio vieneto, kurio nuolatinė buveinė ji yra, mokestiniai metai nesutampa su kalendoriniais metais.</w:t>
      </w:r>
    </w:p>
    <w:p w14:paraId="47FB14B2" w14:textId="77777777" w:rsidR="00093845" w:rsidRDefault="000D779E">
      <w:pPr>
        <w:tabs>
          <w:tab w:val="left" w:pos="720"/>
          <w:tab w:val="left" w:pos="1077"/>
          <w:tab w:val="left" w:pos="1418"/>
        </w:tabs>
        <w:ind w:right="-99" w:firstLine="720"/>
        <w:jc w:val="both"/>
        <w:rPr>
          <w:szCs w:val="20"/>
          <w:lang w:val="lt-LT"/>
        </w:rPr>
      </w:pPr>
      <w:r>
        <w:rPr>
          <w:lang w:val="lt-LT"/>
        </w:rPr>
        <w:t>Nuolatinės buveinės pirmas mokestinis laikotarpis yra kalendoriniai metai, kuriais ji buvo arba turėjo būti įregistruota. Jeigu nuolatinės buveinės mokestinis laikotarpis nesutampa su kalendoriniais metais, tai pirmas mokestinis laikotarpis skaičiuojamas nuo kalendorinių metų, kuriais ji buvo arba turėjo būti įregistruota, sausio 1 dienos iki nustatyto mokestinio laikotarpio pradžios, neatsižvelgiant į tai, ar ji tuo metu vykdė veiklą, ar ne.</w:t>
      </w:r>
    </w:p>
    <w:p w14:paraId="0655D825" w14:textId="77777777" w:rsidR="00093845" w:rsidRDefault="000D779E">
      <w:pPr>
        <w:tabs>
          <w:tab w:val="left" w:pos="720"/>
          <w:tab w:val="left" w:pos="1077"/>
          <w:tab w:val="left" w:pos="1418"/>
        </w:tabs>
        <w:ind w:right="-99" w:firstLine="720"/>
        <w:jc w:val="both"/>
        <w:rPr>
          <w:szCs w:val="20"/>
          <w:lang w:val="lt-LT"/>
        </w:rPr>
      </w:pPr>
      <w:r>
        <w:rPr>
          <w:lang w:val="lt-LT"/>
        </w:rPr>
        <w:t>Nuolatinės buveinės paskutinis mokestinis laikotarpis skaičiuojamas:</w:t>
      </w:r>
    </w:p>
    <w:p w14:paraId="2651B100"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kurį nuolatinės buveinės veikla pasibaigia, pradžios iki jos veiklos pasibaigimo dienos arba</w:t>
      </w:r>
    </w:p>
    <w:p w14:paraId="27001143"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kai nuolatinė buveinė perleidžiama Lietuvos vienetui, pradžios iki jos perleidimo dienos, arba</w:t>
      </w:r>
    </w:p>
    <w:p w14:paraId="48A2FD06" w14:textId="77777777" w:rsidR="00093845" w:rsidRDefault="000D779E">
      <w:pPr>
        <w:tabs>
          <w:tab w:val="left" w:pos="720"/>
          <w:tab w:val="left" w:pos="1077"/>
          <w:tab w:val="left" w:pos="1418"/>
        </w:tabs>
        <w:ind w:right="-99" w:firstLine="720"/>
        <w:jc w:val="both"/>
        <w:rPr>
          <w:szCs w:val="20"/>
          <w:lang w:val="lt-LT"/>
        </w:rPr>
      </w:pPr>
      <w:r>
        <w:rPr>
          <w:lang w:val="lt-LT"/>
        </w:rPr>
        <w:t>-</w:t>
      </w:r>
      <w:r>
        <w:rPr>
          <w:lang w:val="lt-LT"/>
        </w:rPr>
        <w:tab/>
        <w:t>nuo mokestinio laikotarpio, kurį pasibaigia užsienio vienetas, kurio nuolatinė buveinė ji yra, pradžios iki to užsienio vieneto pasibaigimo dienos.</w:t>
      </w:r>
    </w:p>
    <w:p w14:paraId="2FD1A62C" w14:textId="77777777" w:rsidR="00093845" w:rsidRDefault="000D779E">
      <w:pPr>
        <w:tabs>
          <w:tab w:val="left" w:pos="720"/>
          <w:tab w:val="left" w:pos="1077"/>
          <w:tab w:val="left" w:pos="1418"/>
        </w:tabs>
        <w:ind w:right="-99" w:firstLine="720"/>
        <w:jc w:val="both"/>
        <w:rPr>
          <w:lang w:val="lt-LT"/>
        </w:rPr>
      </w:pPr>
      <w:r>
        <w:rPr>
          <w:lang w:val="lt-LT"/>
        </w:rPr>
        <w:t>Jeigu nuolatinė buveinė perleidžiama kitam užsienio vienetui ir to užsienio vieneto mokestinis laikotarpis nesutampa su nuolatinės buveinės mokestiniu laikotarpiu, tai tokios nuolatinės buveinės mokestinis laikotarpis gali būti nustatomas iš naujo, remiantis PMĮ 6 str. 2 dalimi.</w:t>
      </w:r>
    </w:p>
    <w:p w14:paraId="18E0BB68" w14:textId="77777777" w:rsidR="00093845" w:rsidRDefault="00093845">
      <w:pPr>
        <w:tabs>
          <w:tab w:val="left" w:pos="720"/>
          <w:tab w:val="left" w:pos="1077"/>
          <w:tab w:val="left" w:pos="1418"/>
        </w:tabs>
        <w:ind w:right="-99" w:firstLine="720"/>
        <w:jc w:val="both"/>
        <w:rPr>
          <w:lang w:val="lt-LT"/>
        </w:rPr>
      </w:pPr>
    </w:p>
    <w:p w14:paraId="00823AF5" w14:textId="77777777" w:rsidR="00093845" w:rsidRDefault="000D779E">
      <w:pPr>
        <w:ind w:left="3600" w:firstLine="720"/>
        <w:jc w:val="both"/>
        <w:rPr>
          <w:b/>
          <w:lang w:val="lt-LT"/>
        </w:rPr>
      </w:pPr>
      <w:r>
        <w:rPr>
          <w:b/>
          <w:lang w:val="lt-LT"/>
        </w:rPr>
        <w:lastRenderedPageBreak/>
        <w:t>II SKYRIUS</w:t>
      </w:r>
    </w:p>
    <w:p w14:paraId="1F1C88FF" w14:textId="77777777" w:rsidR="00093845" w:rsidRDefault="00093845">
      <w:pPr>
        <w:pStyle w:val="Antrat1"/>
        <w:tabs>
          <w:tab w:val="left" w:pos="720"/>
        </w:tabs>
        <w:ind w:right="-5"/>
        <w:jc w:val="both"/>
        <w:rPr>
          <w:rFonts w:ascii="Times New Roman" w:hAnsi="Times New Roman"/>
          <w:bCs w:val="0"/>
          <w:lang w:val="lt-LT"/>
        </w:rPr>
      </w:pPr>
    </w:p>
    <w:p w14:paraId="24C056C3" w14:textId="77777777" w:rsidR="00093845" w:rsidRDefault="000D779E">
      <w:pPr>
        <w:ind w:left="2160" w:firstLine="720"/>
        <w:jc w:val="both"/>
        <w:rPr>
          <w:b/>
          <w:lang w:val="lt-LT"/>
        </w:rPr>
      </w:pPr>
      <w:r>
        <w:rPr>
          <w:b/>
          <w:lang w:val="lt-LT"/>
        </w:rPr>
        <w:t>PAJAMŲ IR SĄNAUDŲ PRIPAŽINIMAS</w:t>
      </w:r>
    </w:p>
    <w:p w14:paraId="01CD37B2" w14:textId="77777777" w:rsidR="00093845" w:rsidRDefault="000D779E">
      <w:pPr>
        <w:pStyle w:val="Antrat1"/>
        <w:jc w:val="both"/>
        <w:rPr>
          <w:bCs w:val="0"/>
          <w:lang w:val="lt-LT"/>
        </w:rPr>
      </w:pPr>
      <w:bookmarkStart w:id="67" w:name="_7_straipsnis._Pajamų"/>
      <w:bookmarkEnd w:id="67"/>
      <w:r>
        <w:rPr>
          <w:bCs w:val="0"/>
          <w:lang w:val="lt-LT"/>
        </w:rPr>
        <w:t xml:space="preserve">7 STRAIPSNIS. Pajamų ir sąnaudų pripažinimas </w:t>
      </w:r>
    </w:p>
    <w:p w14:paraId="38DE5004" w14:textId="77777777" w:rsidR="00551983" w:rsidRDefault="00551983" w:rsidP="00825238">
      <w:pPr>
        <w:spacing w:after="0"/>
        <w:ind w:firstLine="720"/>
        <w:jc w:val="both"/>
        <w:rPr>
          <w:b/>
          <w:bCs/>
          <w:lang w:val="lt-LT"/>
        </w:rPr>
      </w:pPr>
      <w:r w:rsidRPr="005462C4">
        <w:rPr>
          <w:b/>
          <w:color w:val="000000"/>
          <w:shd w:val="clear" w:color="auto" w:fill="FFFFFF"/>
          <w:lang w:val="lt-LT"/>
        </w:rPr>
        <w:t>1. Pajamos ir sąnaudos pripažįstamos pagal pajamų ir sąnaudų kaupimo bei kitus finansinę apskaitą reglamentuojančiuose teisės aktuose nustatytus apskaitos principus, išskyrus atvejus, kai pagal šio skyriaus nuostatas pajamos gali būti pripažįstamos taikant pinigų apskaitos principą, ir šio straipsnio nuostatas.</w:t>
      </w:r>
    </w:p>
    <w:p w14:paraId="43B068F5" w14:textId="77777777" w:rsidR="00093845" w:rsidRPr="00F62677" w:rsidRDefault="00551983" w:rsidP="00825238">
      <w:pPr>
        <w:spacing w:after="0"/>
        <w:rPr>
          <w:i/>
          <w:iCs/>
          <w:color w:val="000000"/>
          <w:lang w:val="lt-LT" w:eastAsia="lt-LT"/>
        </w:rPr>
      </w:pPr>
      <w:r w:rsidRPr="00F62677">
        <w:rPr>
          <w:i/>
          <w:iCs/>
          <w:color w:val="000000"/>
          <w:lang w:val="lt-LT" w:eastAsia="lt-LT"/>
        </w:rPr>
        <w:t xml:space="preserve"> </w:t>
      </w:r>
      <w:r w:rsidR="000D779E" w:rsidRPr="00F62677">
        <w:rPr>
          <w:i/>
          <w:iCs/>
          <w:color w:val="000000"/>
          <w:lang w:val="lt-LT" w:eastAsia="lt-LT"/>
        </w:rPr>
        <w:t>(KEISTA:</w:t>
      </w:r>
      <w:r w:rsidR="002B03F4" w:rsidRPr="00F62677">
        <w:rPr>
          <w:i/>
          <w:iCs/>
          <w:color w:val="000000"/>
          <w:lang w:val="lt-LT" w:eastAsia="lt-LT"/>
        </w:rPr>
        <w:t xml:space="preserve"> </w:t>
      </w:r>
      <w:r w:rsidRPr="005462C4">
        <w:rPr>
          <w:color w:val="000000"/>
          <w:shd w:val="clear" w:color="auto" w:fill="FFFFFF"/>
          <w:lang w:val="lt-LT"/>
        </w:rPr>
        <w:t>2021 11 23 įstatymu Nr. XIV-686 (nuo 2022 05 01)</w:t>
      </w:r>
      <w:r w:rsidRPr="005462C4">
        <w:rPr>
          <w:color w:val="000000"/>
          <w:lang w:val="lt-LT"/>
        </w:rPr>
        <w:br/>
      </w:r>
    </w:p>
    <w:p w14:paraId="61B75A57" w14:textId="77777777" w:rsidR="00093845" w:rsidRPr="0065344A" w:rsidRDefault="000D779E">
      <w:pPr>
        <w:spacing w:before="100" w:beforeAutospacing="1" w:after="100" w:afterAutospacing="1"/>
        <w:jc w:val="both"/>
        <w:rPr>
          <w:lang w:val="lt-LT" w:eastAsia="lt-LT"/>
        </w:rPr>
      </w:pPr>
      <w:r>
        <w:rPr>
          <w:bCs/>
          <w:lang w:val="lt-LT"/>
        </w:rPr>
        <w:tab/>
      </w:r>
      <w:r w:rsidRPr="0065344A">
        <w:rPr>
          <w:b/>
          <w:bCs/>
          <w:lang w:val="lt-LT" w:eastAsia="lt-LT"/>
        </w:rPr>
        <w:t>Komentaras</w:t>
      </w:r>
    </w:p>
    <w:p w14:paraId="5211A58E" w14:textId="77777777" w:rsidR="00551983" w:rsidRDefault="000D779E">
      <w:pPr>
        <w:spacing w:before="100" w:beforeAutospacing="1" w:after="100" w:afterAutospacing="1"/>
        <w:jc w:val="both"/>
        <w:rPr>
          <w:lang w:eastAsia="lt-LT"/>
        </w:rPr>
      </w:pPr>
      <w:r w:rsidRPr="0065344A">
        <w:rPr>
          <w:lang w:val="lt-LT" w:eastAsia="lt-LT"/>
        </w:rPr>
        <w:t xml:space="preserve">        1.</w:t>
      </w:r>
      <w:r w:rsidR="00551983" w:rsidRPr="00551983">
        <w:rPr>
          <w:lang w:eastAsia="lt-LT"/>
        </w:rPr>
        <w:t xml:space="preserve"> </w:t>
      </w:r>
      <w:r w:rsidR="00551983" w:rsidRPr="006F7867">
        <w:rPr>
          <w:lang w:eastAsia="lt-LT"/>
        </w:rPr>
        <w:t xml:space="preserve">Bendrieji apskaitos principai įtvirtinti Verslo apskaitos standartuose (toliau – VAS; nuo 2022-05-01 VAS pervardinti į Lietuvos finansinės atskaitomybės standartus) ir tarptautinių finansinės atskaitomybės standartų gairėse (vadinami kokybinėmis naudingos informacijos savybėmis). </w:t>
      </w:r>
      <w:bookmarkStart w:id="68" w:name="n1_1358"/>
      <w:r w:rsidR="00551983" w:rsidRPr="006F7867">
        <w:rPr>
          <w:lang w:eastAsia="lt-LT"/>
        </w:rPr>
        <w:t>1 VAS „Finansinė atskaitomybė“ nustatyta, kad tvarkydamos apskaitą ir sudarydamos finansines ataskaitas,</w:t>
      </w:r>
      <w:bookmarkEnd w:id="68"/>
      <w:r w:rsidR="00551983" w:rsidRPr="006F7867">
        <w:rPr>
          <w:lang w:eastAsia="lt-LT"/>
        </w:rPr>
        <w:t xml:space="preserve"> vadovaujasi šiais bendraisiais apskaitos principais: įmonės, įmonės veiklos tęstinumo, periodiškumo, pastovumo, piniginio mato, kaupimo, palyginimo, atsargumo, neutralumo, turinio viršenybės prieš formą apskaitos principais. Šiais apskaitos principais, tvarkydami finansinę apskaitą ir sudarydami finansines ataskaitas, turi vadovautis ribotos civilinės atsakomybės pelno siekiantys asmenys, taip pat neribotos civilinės atsakomybės juridiniai asmenys, kurie pagal šio įstatymo nuostatas privalo sudaryti finansines ataskaitas (arba jie jas sudaro savo nuožiūra).</w:t>
      </w:r>
    </w:p>
    <w:p w14:paraId="0A090C49" w14:textId="77777777" w:rsidR="00093845" w:rsidRPr="00551983" w:rsidRDefault="000D779E">
      <w:pPr>
        <w:spacing w:before="100" w:beforeAutospacing="1" w:after="100" w:afterAutospacing="1"/>
        <w:jc w:val="both"/>
        <w:rPr>
          <w:bCs/>
          <w:lang w:eastAsia="lt-LT"/>
        </w:rPr>
      </w:pPr>
      <w:r>
        <w:rPr>
          <w:lang w:eastAsia="lt-LT"/>
        </w:rPr>
        <w:t xml:space="preserve">        Pelno nesiekiantys ribotos civilinės atsakomybės juridiniai asmenys, tvarkydami apskaitą vadovaujasi Lietuvos</w:t>
      </w:r>
      <w:r>
        <w:rPr>
          <w:i/>
          <w:iCs/>
          <w:lang w:eastAsia="lt-LT"/>
        </w:rPr>
        <w:t xml:space="preserve"> </w:t>
      </w:r>
      <w:r>
        <w:rPr>
          <w:lang w:eastAsia="lt-LT"/>
        </w:rPr>
        <w:t>Respublikos</w:t>
      </w:r>
      <w:r>
        <w:rPr>
          <w:i/>
          <w:iCs/>
          <w:lang w:eastAsia="lt-LT"/>
        </w:rPr>
        <w:t xml:space="preserve"> </w:t>
      </w:r>
      <w:r>
        <w:rPr>
          <w:lang w:eastAsia="lt-LT"/>
        </w:rPr>
        <w:t>finansų</w:t>
      </w:r>
      <w:r>
        <w:rPr>
          <w:i/>
          <w:iCs/>
          <w:lang w:eastAsia="lt-LT"/>
        </w:rPr>
        <w:t xml:space="preserve"> </w:t>
      </w:r>
      <w:r>
        <w:rPr>
          <w:lang w:eastAsia="lt-LT"/>
        </w:rPr>
        <w:t>ministro</w:t>
      </w:r>
      <w:r>
        <w:rPr>
          <w:i/>
          <w:iCs/>
          <w:lang w:eastAsia="lt-LT"/>
        </w:rPr>
        <w:t xml:space="preserve"> </w:t>
      </w:r>
      <w:r>
        <w:rPr>
          <w:lang w:eastAsia="lt-LT"/>
        </w:rPr>
        <w:t>2004</w:t>
      </w:r>
      <w:r>
        <w:rPr>
          <w:i/>
          <w:iCs/>
          <w:lang w:eastAsia="lt-LT"/>
        </w:rPr>
        <w:t xml:space="preserve"> </w:t>
      </w:r>
      <w:r>
        <w:rPr>
          <w:lang w:eastAsia="lt-LT"/>
        </w:rPr>
        <w:t>m.</w:t>
      </w:r>
      <w:r>
        <w:rPr>
          <w:i/>
          <w:iCs/>
          <w:lang w:eastAsia="lt-LT"/>
        </w:rPr>
        <w:t xml:space="preserve"> </w:t>
      </w:r>
      <w:r>
        <w:rPr>
          <w:lang w:eastAsia="lt-LT"/>
        </w:rPr>
        <w:t>lapkričio</w:t>
      </w:r>
      <w:r>
        <w:rPr>
          <w:i/>
          <w:iCs/>
          <w:lang w:eastAsia="lt-LT"/>
        </w:rPr>
        <w:t xml:space="preserve"> </w:t>
      </w:r>
      <w:r>
        <w:rPr>
          <w:lang w:eastAsia="lt-LT"/>
        </w:rPr>
        <w:t>22</w:t>
      </w:r>
      <w:r>
        <w:rPr>
          <w:i/>
          <w:iCs/>
          <w:lang w:eastAsia="lt-LT"/>
        </w:rPr>
        <w:t xml:space="preserve"> </w:t>
      </w:r>
      <w:r>
        <w:rPr>
          <w:lang w:eastAsia="lt-LT"/>
        </w:rPr>
        <w:t>d.</w:t>
      </w:r>
      <w:r>
        <w:rPr>
          <w:i/>
          <w:iCs/>
          <w:lang w:eastAsia="lt-LT"/>
        </w:rPr>
        <w:t xml:space="preserve"> </w:t>
      </w:r>
      <w:r>
        <w:rPr>
          <w:lang w:eastAsia="lt-LT"/>
        </w:rPr>
        <w:t>įsakymu</w:t>
      </w:r>
      <w:r>
        <w:rPr>
          <w:i/>
          <w:iCs/>
          <w:lang w:eastAsia="lt-LT"/>
        </w:rPr>
        <w:t xml:space="preserve"> </w:t>
      </w:r>
      <w:r>
        <w:rPr>
          <w:lang w:eastAsia="lt-LT"/>
        </w:rPr>
        <w:t>Nr.</w:t>
      </w:r>
      <w:r>
        <w:rPr>
          <w:i/>
          <w:iCs/>
          <w:lang w:eastAsia="lt-LT"/>
        </w:rPr>
        <w:t xml:space="preserve"> </w:t>
      </w:r>
      <w:r>
        <w:rPr>
          <w:lang w:eastAsia="lt-LT"/>
        </w:rPr>
        <w:t>1K-372</w:t>
      </w:r>
      <w:r>
        <w:rPr>
          <w:i/>
          <w:iCs/>
          <w:lang w:eastAsia="lt-LT"/>
        </w:rPr>
        <w:t xml:space="preserve"> </w:t>
      </w:r>
      <w:r>
        <w:rPr>
          <w:lang w:eastAsia="lt-LT"/>
        </w:rPr>
        <w:t>patvirtintų</w:t>
      </w:r>
      <w:r>
        <w:rPr>
          <w:i/>
          <w:iCs/>
          <w:lang w:eastAsia="lt-LT"/>
        </w:rPr>
        <w:t xml:space="preserve"> </w:t>
      </w:r>
      <w:r>
        <w:rPr>
          <w:lang w:eastAsia="lt-LT"/>
        </w:rPr>
        <w:t>Pelno</w:t>
      </w:r>
      <w:r>
        <w:rPr>
          <w:i/>
          <w:iCs/>
          <w:lang w:eastAsia="lt-LT"/>
        </w:rPr>
        <w:t xml:space="preserve"> </w:t>
      </w:r>
      <w:r>
        <w:rPr>
          <w:lang w:eastAsia="lt-LT"/>
        </w:rPr>
        <w:t>nesiekiančių</w:t>
      </w:r>
      <w:r>
        <w:rPr>
          <w:i/>
          <w:iCs/>
          <w:lang w:eastAsia="lt-LT"/>
        </w:rPr>
        <w:t xml:space="preserve"> </w:t>
      </w:r>
      <w:r>
        <w:rPr>
          <w:lang w:eastAsia="lt-LT"/>
        </w:rPr>
        <w:t>ribotos</w:t>
      </w:r>
      <w:r>
        <w:rPr>
          <w:i/>
          <w:iCs/>
          <w:lang w:eastAsia="lt-LT"/>
        </w:rPr>
        <w:t xml:space="preserve"> </w:t>
      </w:r>
      <w:r>
        <w:rPr>
          <w:lang w:eastAsia="lt-LT"/>
        </w:rPr>
        <w:t>civilinės</w:t>
      </w:r>
      <w:r>
        <w:rPr>
          <w:i/>
          <w:iCs/>
          <w:lang w:eastAsia="lt-LT"/>
        </w:rPr>
        <w:t xml:space="preserve"> </w:t>
      </w:r>
      <w:r>
        <w:rPr>
          <w:lang w:eastAsia="lt-LT"/>
        </w:rPr>
        <w:t>atsakomybės</w:t>
      </w:r>
      <w:r>
        <w:rPr>
          <w:i/>
          <w:iCs/>
          <w:lang w:eastAsia="lt-LT"/>
        </w:rPr>
        <w:t xml:space="preserve"> </w:t>
      </w:r>
      <w:r>
        <w:rPr>
          <w:lang w:eastAsia="lt-LT"/>
        </w:rPr>
        <w:t>juridinių</w:t>
      </w:r>
      <w:r>
        <w:rPr>
          <w:i/>
          <w:iCs/>
          <w:lang w:eastAsia="lt-LT"/>
        </w:rPr>
        <w:t xml:space="preserve"> </w:t>
      </w:r>
      <w:r>
        <w:rPr>
          <w:lang w:eastAsia="lt-LT"/>
        </w:rPr>
        <w:t>asmenų</w:t>
      </w:r>
      <w:r>
        <w:rPr>
          <w:i/>
          <w:iCs/>
          <w:lang w:eastAsia="lt-LT"/>
        </w:rPr>
        <w:t xml:space="preserve"> </w:t>
      </w:r>
      <w:r>
        <w:rPr>
          <w:lang w:eastAsia="lt-LT"/>
        </w:rPr>
        <w:t>buhalterinės</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finansinių ataskaitų</w:t>
      </w:r>
      <w:r>
        <w:rPr>
          <w:i/>
          <w:iCs/>
          <w:lang w:eastAsia="lt-LT"/>
        </w:rPr>
        <w:t xml:space="preserve"> </w:t>
      </w:r>
      <w:r>
        <w:rPr>
          <w:lang w:eastAsia="lt-LT"/>
        </w:rPr>
        <w:t>sudarymo</w:t>
      </w:r>
      <w:r>
        <w:rPr>
          <w:i/>
          <w:iCs/>
          <w:lang w:eastAsia="lt-LT"/>
        </w:rPr>
        <w:t xml:space="preserve"> </w:t>
      </w:r>
      <w:r>
        <w:rPr>
          <w:lang w:eastAsia="lt-LT"/>
        </w:rPr>
        <w:t>ir</w:t>
      </w:r>
      <w:r>
        <w:rPr>
          <w:i/>
          <w:iCs/>
          <w:lang w:eastAsia="lt-LT"/>
        </w:rPr>
        <w:t xml:space="preserve"> </w:t>
      </w:r>
      <w:r>
        <w:rPr>
          <w:lang w:eastAsia="lt-LT"/>
        </w:rPr>
        <w:t xml:space="preserve">pateikimo ir politinių kampanijų dalyvių neatlygintinai gauto turto ir paslaugų įvertinimo taisyklių (toliau – Taisyklės) nuostatomis. Viešosios įstaigos, kurios pagal </w:t>
      </w:r>
      <w:bookmarkStart w:id="69" w:name="n1_1363"/>
      <w:r w:rsidRPr="00551983">
        <w:rPr>
          <w:lang w:eastAsia="lt-LT"/>
        </w:rPr>
        <w:fldChar w:fldCharType="begin"/>
      </w:r>
      <w:r w:rsidRPr="00551983">
        <w:rPr>
          <w:lang w:eastAsia="lt-LT"/>
        </w:rPr>
        <w:instrText xml:space="preserve"> HYPERLINK "http://www.infolex.lt/ta/74893" \o "Lietuvos Respublikos viešojo sektoriaus atskaitomybės įstatymas" \t "_blank" </w:instrText>
      </w:r>
      <w:r w:rsidRPr="00551983">
        <w:rPr>
          <w:lang w:eastAsia="lt-LT"/>
        </w:rPr>
        <w:fldChar w:fldCharType="separate"/>
      </w:r>
      <w:r w:rsidRPr="00551983">
        <w:rPr>
          <w:rStyle w:val="Hipersaitas"/>
          <w:rFonts w:ascii="Times New Roman" w:hAnsi="Times New Roman" w:cs="Times New Roman"/>
          <w:b w:val="0"/>
          <w:lang w:eastAsia="lt-LT"/>
        </w:rPr>
        <w:t>Viešojo sektoriaus atskaitomybės įstatymą</w:t>
      </w:r>
      <w:r w:rsidRPr="00551983">
        <w:rPr>
          <w:lang w:eastAsia="lt-LT"/>
        </w:rPr>
        <w:fldChar w:fldCharType="end"/>
      </w:r>
      <w:bookmarkStart w:id="70" w:name="pn1_1363"/>
      <w:bookmarkEnd w:id="69"/>
      <w:bookmarkEnd w:id="70"/>
      <w:r w:rsidRPr="00551983">
        <w:rPr>
          <w:lang w:eastAsia="lt-LT"/>
        </w:rPr>
        <w:t xml:space="preserve"> priskiriamos prie viešojo sektoriaus subjektų, tvarkydamos apskaitą taiko viešojo sektoriaus apskaitos ir finansinės atskaitomybės standartus. Pelno nesiekiantys ribotos civilinės atsakomybės juridiniai asmenys, tvarkydami apskaitą ir sudarydami finansines ataskaitas, taip pat vadovaujasi Taisyklėse nustatytais bendraisiais apskaitos principais, o viešosios sveikatos priežiūros įstaigos, priskiriamos prie viešojo sektoriaus subjektų – Viešojo sektoriaus atskaitomybės įstatyme </w:t>
      </w:r>
      <w:bookmarkStart w:id="71" w:name="n1_1364"/>
      <w:r w:rsidRPr="00551983">
        <w:rPr>
          <w:b/>
          <w:lang w:eastAsia="lt-LT"/>
        </w:rPr>
        <w:fldChar w:fldCharType="begin"/>
      </w:r>
      <w:r w:rsidRPr="00551983">
        <w:rPr>
          <w:b/>
          <w:lang w:eastAsia="lt-LT"/>
        </w:rPr>
        <w:instrText xml:space="preserve"> HYPERLINK "http://www.infolex.lt/ta/126988" \o "Dėl Neribotos civilinės atsakomybės juridinių asmenų buhalterinės apskaitos taisyklių patvirtinimo" \t "_blank" </w:instrText>
      </w:r>
      <w:r w:rsidRPr="00551983">
        <w:rPr>
          <w:b/>
          <w:lang w:eastAsia="lt-LT"/>
        </w:rPr>
        <w:fldChar w:fldCharType="separate"/>
      </w:r>
      <w:r w:rsidRPr="00551983">
        <w:rPr>
          <w:rStyle w:val="Hipersaitas"/>
          <w:rFonts w:ascii="Times New Roman" w:hAnsi="Times New Roman" w:cs="Times New Roman"/>
          <w:b w:val="0"/>
          <w:lang w:eastAsia="lt-LT"/>
        </w:rPr>
        <w:t>nustatytais</w:t>
      </w:r>
      <w:r w:rsidRPr="00551983">
        <w:rPr>
          <w:b/>
          <w:lang w:eastAsia="lt-LT"/>
        </w:rPr>
        <w:fldChar w:fldCharType="end"/>
      </w:r>
      <w:bookmarkStart w:id="72" w:name="pn1_1364"/>
      <w:bookmarkEnd w:id="71"/>
      <w:bookmarkEnd w:id="72"/>
      <w:r w:rsidRPr="00551983">
        <w:rPr>
          <w:b/>
          <w:lang w:eastAsia="lt-LT"/>
        </w:rPr>
        <w:t xml:space="preserve"> </w:t>
      </w:r>
      <w:r w:rsidRPr="00551983">
        <w:rPr>
          <w:lang w:eastAsia="lt-LT"/>
        </w:rPr>
        <w:t>principais.</w:t>
      </w:r>
      <w:r w:rsidRPr="00551983">
        <w:rPr>
          <w:bCs/>
          <w:lang w:eastAsia="lt-LT"/>
        </w:rPr>
        <w:t xml:space="preserve"> </w:t>
      </w:r>
    </w:p>
    <w:p w14:paraId="1828FBE1" w14:textId="77777777" w:rsidR="00093845" w:rsidRDefault="000D779E">
      <w:pPr>
        <w:spacing w:before="100" w:beforeAutospacing="1" w:after="100" w:afterAutospacing="1"/>
        <w:jc w:val="both"/>
        <w:rPr>
          <w:lang w:eastAsia="lt-LT"/>
        </w:rPr>
      </w:pPr>
      <w:r>
        <w:rPr>
          <w:lang w:eastAsia="lt-LT"/>
        </w:rPr>
        <w:t xml:space="preserve">      Pagal 2005 m. vasario 4 d. įsakymu Nr. 1K-040 patvirtintų Neribotos civilinės atsakomybės juridinių asmenų buhalterinės apskaitos taisyklių nuostatas neribotos civilinės atsakomybės juridiniai asmenys tvarkydami apskaitą vadovaujasi bendraisiais apskaitos principais.</w:t>
      </w:r>
    </w:p>
    <w:p w14:paraId="7753926B" w14:textId="77777777" w:rsidR="00093845" w:rsidRDefault="000D779E">
      <w:pPr>
        <w:spacing w:before="100" w:beforeAutospacing="1" w:after="100" w:afterAutospacing="1"/>
        <w:jc w:val="both"/>
        <w:rPr>
          <w:lang w:eastAsia="lt-LT"/>
        </w:rPr>
      </w:pPr>
      <w:r>
        <w:rPr>
          <w:lang w:eastAsia="lt-LT"/>
        </w:rPr>
        <w:t xml:space="preserve">       2.</w:t>
      </w:r>
      <w:r>
        <w:rPr>
          <w:i/>
          <w:iCs/>
          <w:lang w:eastAsia="lt-LT"/>
        </w:rPr>
        <w:t xml:space="preserve"> </w:t>
      </w:r>
      <w:r>
        <w:rPr>
          <w:lang w:eastAsia="lt-LT"/>
        </w:rPr>
        <w:t>Pagal</w:t>
      </w:r>
      <w:r>
        <w:rPr>
          <w:i/>
          <w:iCs/>
          <w:lang w:eastAsia="lt-LT"/>
        </w:rPr>
        <w:t xml:space="preserve"> </w:t>
      </w:r>
      <w:r>
        <w:rPr>
          <w:lang w:eastAsia="lt-LT"/>
        </w:rPr>
        <w:t>įmonės</w:t>
      </w:r>
      <w:r>
        <w:rPr>
          <w:i/>
          <w:iCs/>
          <w:lang w:eastAsia="lt-LT"/>
        </w:rPr>
        <w:t xml:space="preserve"> </w:t>
      </w:r>
      <w:r>
        <w:rPr>
          <w:lang w:eastAsia="lt-LT"/>
        </w:rPr>
        <w:t>principą</w:t>
      </w:r>
      <w:r>
        <w:rPr>
          <w:i/>
          <w:iCs/>
          <w:lang w:eastAsia="lt-LT"/>
        </w:rPr>
        <w:t xml:space="preserve"> </w:t>
      </w:r>
      <w:r>
        <w:rPr>
          <w:lang w:eastAsia="lt-LT"/>
        </w:rPr>
        <w:t>kiekviena</w:t>
      </w:r>
      <w:r>
        <w:rPr>
          <w:i/>
          <w:iCs/>
          <w:lang w:eastAsia="lt-LT"/>
        </w:rPr>
        <w:t xml:space="preserve"> </w:t>
      </w:r>
      <w:r>
        <w:rPr>
          <w:lang w:eastAsia="lt-LT"/>
        </w:rPr>
        <w:t>įmonė</w:t>
      </w:r>
      <w:r>
        <w:rPr>
          <w:i/>
          <w:iCs/>
          <w:lang w:eastAsia="lt-LT"/>
        </w:rPr>
        <w:t xml:space="preserve"> </w:t>
      </w:r>
      <w:r>
        <w:rPr>
          <w:lang w:eastAsia="lt-LT"/>
        </w:rPr>
        <w:t>laikoma</w:t>
      </w:r>
      <w:r>
        <w:rPr>
          <w:i/>
          <w:iCs/>
          <w:lang w:eastAsia="lt-LT"/>
        </w:rPr>
        <w:t xml:space="preserve"> </w:t>
      </w:r>
      <w:r>
        <w:rPr>
          <w:lang w:eastAsia="lt-LT"/>
        </w:rPr>
        <w:t>atskiru</w:t>
      </w:r>
      <w:r>
        <w:rPr>
          <w:i/>
          <w:iCs/>
          <w:lang w:eastAsia="lt-LT"/>
        </w:rPr>
        <w:t xml:space="preserve"> </w:t>
      </w:r>
      <w:r>
        <w:rPr>
          <w:lang w:eastAsia="lt-LT"/>
        </w:rPr>
        <w:t>apskaitos</w:t>
      </w:r>
      <w:r>
        <w:rPr>
          <w:i/>
          <w:iCs/>
          <w:lang w:eastAsia="lt-LT"/>
        </w:rPr>
        <w:t xml:space="preserve"> </w:t>
      </w:r>
      <w:r>
        <w:rPr>
          <w:lang w:eastAsia="lt-LT"/>
        </w:rPr>
        <w:t>vienetu,</w:t>
      </w:r>
      <w:r>
        <w:rPr>
          <w:i/>
          <w:iCs/>
          <w:lang w:eastAsia="lt-LT"/>
        </w:rPr>
        <w:t xml:space="preserve"> </w:t>
      </w:r>
      <w:r>
        <w:rPr>
          <w:lang w:eastAsia="lt-LT"/>
        </w:rPr>
        <w:t>į</w:t>
      </w:r>
      <w:r>
        <w:rPr>
          <w:i/>
          <w:iCs/>
          <w:lang w:eastAsia="lt-LT"/>
        </w:rPr>
        <w:t xml:space="preserve"> </w:t>
      </w:r>
      <w:r>
        <w:rPr>
          <w:lang w:eastAsia="lt-LT"/>
        </w:rPr>
        <w:t>kurio</w:t>
      </w:r>
      <w:r>
        <w:rPr>
          <w:i/>
          <w:iCs/>
          <w:lang w:eastAsia="lt-LT"/>
        </w:rPr>
        <w:t xml:space="preserve"> </w:t>
      </w:r>
      <w:r>
        <w:rPr>
          <w:lang w:eastAsia="lt-LT"/>
        </w:rPr>
        <w:t>apskaitą</w:t>
      </w:r>
      <w:r>
        <w:rPr>
          <w:i/>
          <w:iCs/>
          <w:lang w:eastAsia="lt-LT"/>
        </w:rPr>
        <w:t xml:space="preserve"> </w:t>
      </w:r>
      <w:r>
        <w:rPr>
          <w:lang w:eastAsia="lt-LT"/>
        </w:rPr>
        <w:t>įtraukiamas</w:t>
      </w:r>
      <w:r>
        <w:rPr>
          <w:i/>
          <w:iCs/>
          <w:lang w:eastAsia="lt-LT"/>
        </w:rPr>
        <w:t xml:space="preserve"> </w:t>
      </w:r>
      <w:r>
        <w:rPr>
          <w:lang w:eastAsia="lt-LT"/>
        </w:rPr>
        <w:t>tik</w:t>
      </w:r>
      <w:r>
        <w:rPr>
          <w:i/>
          <w:iCs/>
          <w:lang w:eastAsia="lt-LT"/>
        </w:rPr>
        <w:t xml:space="preserve"> </w:t>
      </w:r>
      <w:r>
        <w:rPr>
          <w:lang w:eastAsia="lt-LT"/>
        </w:rPr>
        <w:t>tos</w:t>
      </w:r>
      <w:r>
        <w:rPr>
          <w:i/>
          <w:iCs/>
          <w:lang w:eastAsia="lt-LT"/>
        </w:rPr>
        <w:t xml:space="preserve"> </w:t>
      </w:r>
      <w:r>
        <w:rPr>
          <w:lang w:eastAsia="lt-LT"/>
        </w:rPr>
        <w:t>įmonės</w:t>
      </w:r>
      <w:r>
        <w:rPr>
          <w:i/>
          <w:iCs/>
          <w:lang w:eastAsia="lt-LT"/>
        </w:rPr>
        <w:t xml:space="preserve"> </w:t>
      </w:r>
      <w:r>
        <w:rPr>
          <w:lang w:eastAsia="lt-LT"/>
        </w:rPr>
        <w:t>turtas,</w:t>
      </w:r>
      <w:r>
        <w:rPr>
          <w:i/>
          <w:iCs/>
          <w:lang w:eastAsia="lt-LT"/>
        </w:rPr>
        <w:t xml:space="preserve"> </w:t>
      </w:r>
      <w:r>
        <w:rPr>
          <w:lang w:eastAsia="lt-LT"/>
        </w:rPr>
        <w:t>nuosavas</w:t>
      </w:r>
      <w:r>
        <w:rPr>
          <w:i/>
          <w:iCs/>
          <w:lang w:eastAsia="lt-LT"/>
        </w:rPr>
        <w:t xml:space="preserve"> </w:t>
      </w:r>
      <w:r>
        <w:rPr>
          <w:lang w:eastAsia="lt-LT"/>
        </w:rPr>
        <w:t>kapitalas</w:t>
      </w:r>
      <w:r>
        <w:rPr>
          <w:i/>
          <w:iCs/>
          <w:lang w:eastAsia="lt-LT"/>
        </w:rPr>
        <w:t xml:space="preserve"> </w:t>
      </w:r>
      <w:r>
        <w:rPr>
          <w:lang w:eastAsia="lt-LT"/>
        </w:rPr>
        <w:t>ir</w:t>
      </w:r>
      <w:r>
        <w:rPr>
          <w:i/>
          <w:iCs/>
          <w:lang w:eastAsia="lt-LT"/>
        </w:rPr>
        <w:t xml:space="preserve"> </w:t>
      </w:r>
      <w:r>
        <w:rPr>
          <w:lang w:eastAsia="lt-LT"/>
        </w:rPr>
        <w:t>įsipareigojimai, pajamos, sąnaudos ir pinigų srautai, jeigu įmonė sudaro pinigų srautų ataskaitą.</w:t>
      </w:r>
    </w:p>
    <w:p w14:paraId="5C250F1A" w14:textId="77777777" w:rsidR="00093845" w:rsidRDefault="000D779E">
      <w:pPr>
        <w:spacing w:before="100" w:beforeAutospacing="1" w:after="100" w:afterAutospacing="1"/>
        <w:jc w:val="both"/>
        <w:rPr>
          <w:lang w:eastAsia="lt-LT"/>
        </w:rPr>
      </w:pPr>
      <w:r>
        <w:rPr>
          <w:lang w:eastAsia="lt-LT"/>
        </w:rPr>
        <w:t xml:space="preserve">       3.</w:t>
      </w:r>
      <w:r>
        <w:rPr>
          <w:i/>
          <w:iCs/>
          <w:lang w:eastAsia="lt-LT"/>
        </w:rPr>
        <w:t xml:space="preserve"> </w:t>
      </w:r>
      <w:r>
        <w:rPr>
          <w:lang w:eastAsia="lt-LT"/>
        </w:rPr>
        <w:t>Pagal įmonės</w:t>
      </w:r>
      <w:r>
        <w:rPr>
          <w:i/>
          <w:iCs/>
          <w:lang w:eastAsia="lt-LT"/>
        </w:rPr>
        <w:t xml:space="preserve"> </w:t>
      </w:r>
      <w:r>
        <w:rPr>
          <w:lang w:eastAsia="lt-LT"/>
        </w:rPr>
        <w:t>veiklos</w:t>
      </w:r>
      <w:r>
        <w:rPr>
          <w:i/>
          <w:iCs/>
          <w:lang w:eastAsia="lt-LT"/>
        </w:rPr>
        <w:t xml:space="preserve"> </w:t>
      </w:r>
      <w:r>
        <w:rPr>
          <w:lang w:eastAsia="lt-LT"/>
        </w:rPr>
        <w:t>tęstinumo</w:t>
      </w:r>
      <w:r>
        <w:rPr>
          <w:i/>
          <w:iCs/>
          <w:lang w:eastAsia="lt-LT"/>
        </w:rPr>
        <w:t xml:space="preserve"> </w:t>
      </w:r>
      <w:r>
        <w:rPr>
          <w:lang w:eastAsia="lt-LT"/>
        </w:rPr>
        <w:t>principą,</w:t>
      </w:r>
      <w:r>
        <w:rPr>
          <w:i/>
          <w:iCs/>
          <w:lang w:eastAsia="lt-LT"/>
        </w:rPr>
        <w:t xml:space="preserve"> </w:t>
      </w:r>
      <w:r>
        <w:rPr>
          <w:lang w:eastAsia="lt-LT"/>
        </w:rPr>
        <w:t>sudarant finansines ataskaitas daroma</w:t>
      </w:r>
      <w:r>
        <w:rPr>
          <w:i/>
          <w:iCs/>
          <w:lang w:eastAsia="lt-LT"/>
        </w:rPr>
        <w:t xml:space="preserve"> </w:t>
      </w:r>
      <w:r>
        <w:rPr>
          <w:lang w:eastAsia="lt-LT"/>
        </w:rPr>
        <w:t>prielaida,</w:t>
      </w:r>
      <w:r>
        <w:rPr>
          <w:i/>
          <w:iCs/>
          <w:lang w:eastAsia="lt-LT"/>
        </w:rPr>
        <w:t xml:space="preserve"> </w:t>
      </w:r>
      <w:r>
        <w:rPr>
          <w:lang w:eastAsia="lt-LT"/>
        </w:rPr>
        <w:t>kad</w:t>
      </w:r>
      <w:r>
        <w:rPr>
          <w:i/>
          <w:iCs/>
          <w:lang w:eastAsia="lt-LT"/>
        </w:rPr>
        <w:t xml:space="preserve"> </w:t>
      </w:r>
      <w:r>
        <w:rPr>
          <w:lang w:eastAsia="lt-LT"/>
        </w:rPr>
        <w:t>įmonės</w:t>
      </w:r>
      <w:r>
        <w:rPr>
          <w:i/>
          <w:iCs/>
          <w:lang w:eastAsia="lt-LT"/>
        </w:rPr>
        <w:t xml:space="preserve"> </w:t>
      </w:r>
      <w:r>
        <w:rPr>
          <w:lang w:eastAsia="lt-LT"/>
        </w:rPr>
        <w:t>veiklos</w:t>
      </w:r>
      <w:r>
        <w:rPr>
          <w:i/>
          <w:iCs/>
          <w:lang w:eastAsia="lt-LT"/>
        </w:rPr>
        <w:t xml:space="preserve"> </w:t>
      </w:r>
      <w:r>
        <w:rPr>
          <w:lang w:eastAsia="lt-LT"/>
        </w:rPr>
        <w:t>laikotarpis</w:t>
      </w:r>
      <w:r>
        <w:rPr>
          <w:i/>
          <w:iCs/>
          <w:lang w:eastAsia="lt-LT"/>
        </w:rPr>
        <w:t xml:space="preserve"> </w:t>
      </w:r>
      <w:r>
        <w:rPr>
          <w:lang w:eastAsia="lt-LT"/>
        </w:rPr>
        <w:t>neribotas</w:t>
      </w:r>
      <w:r>
        <w:rPr>
          <w:i/>
          <w:iCs/>
          <w:lang w:eastAsia="lt-LT"/>
        </w:rPr>
        <w:t xml:space="preserve"> </w:t>
      </w:r>
      <w:r>
        <w:rPr>
          <w:lang w:eastAsia="lt-LT"/>
        </w:rPr>
        <w:t>ir</w:t>
      </w:r>
      <w:r>
        <w:rPr>
          <w:i/>
          <w:iCs/>
          <w:lang w:eastAsia="lt-LT"/>
        </w:rPr>
        <w:t xml:space="preserve"> </w:t>
      </w:r>
      <w:r>
        <w:rPr>
          <w:lang w:eastAsia="lt-LT"/>
        </w:rPr>
        <w:t>įmonės</w:t>
      </w:r>
      <w:r>
        <w:rPr>
          <w:i/>
          <w:iCs/>
          <w:lang w:eastAsia="lt-LT"/>
        </w:rPr>
        <w:t xml:space="preserve"> </w:t>
      </w:r>
      <w:r>
        <w:rPr>
          <w:lang w:eastAsia="lt-LT"/>
        </w:rPr>
        <w:t>nenumatoma</w:t>
      </w:r>
      <w:r>
        <w:rPr>
          <w:i/>
          <w:iCs/>
          <w:lang w:eastAsia="lt-LT"/>
        </w:rPr>
        <w:t xml:space="preserve"> </w:t>
      </w:r>
      <w:r>
        <w:rPr>
          <w:lang w:eastAsia="lt-LT"/>
        </w:rPr>
        <w:t>likviduoti.</w:t>
      </w:r>
      <w:r>
        <w:rPr>
          <w:i/>
          <w:iCs/>
          <w:lang w:eastAsia="lt-LT"/>
        </w:rPr>
        <w:t xml:space="preserve"> </w:t>
      </w:r>
      <w:r>
        <w:rPr>
          <w:lang w:eastAsia="lt-LT"/>
        </w:rPr>
        <w:t>Tačiau,</w:t>
      </w:r>
      <w:r>
        <w:rPr>
          <w:i/>
          <w:iCs/>
          <w:lang w:eastAsia="lt-LT"/>
        </w:rPr>
        <w:t xml:space="preserve"> </w:t>
      </w:r>
      <w:r>
        <w:rPr>
          <w:lang w:eastAsia="lt-LT"/>
        </w:rPr>
        <w:t>jei</w:t>
      </w:r>
      <w:r>
        <w:rPr>
          <w:i/>
          <w:iCs/>
          <w:lang w:eastAsia="lt-LT"/>
        </w:rPr>
        <w:t xml:space="preserve"> </w:t>
      </w:r>
      <w:r>
        <w:rPr>
          <w:lang w:eastAsia="lt-LT"/>
        </w:rPr>
        <w:t>priimamas</w:t>
      </w:r>
      <w:r>
        <w:rPr>
          <w:i/>
          <w:iCs/>
          <w:lang w:eastAsia="lt-LT"/>
        </w:rPr>
        <w:t xml:space="preserve"> </w:t>
      </w:r>
      <w:r>
        <w:rPr>
          <w:lang w:eastAsia="lt-LT"/>
        </w:rPr>
        <w:t>sprendimas</w:t>
      </w:r>
      <w:r>
        <w:rPr>
          <w:i/>
          <w:iCs/>
          <w:lang w:eastAsia="lt-LT"/>
        </w:rPr>
        <w:t xml:space="preserve"> </w:t>
      </w:r>
      <w:r>
        <w:rPr>
          <w:lang w:eastAsia="lt-LT"/>
        </w:rPr>
        <w:t>įmonę</w:t>
      </w:r>
      <w:r>
        <w:rPr>
          <w:i/>
          <w:iCs/>
          <w:lang w:eastAsia="lt-LT"/>
        </w:rPr>
        <w:t xml:space="preserve"> </w:t>
      </w:r>
      <w:r>
        <w:rPr>
          <w:lang w:eastAsia="lt-LT"/>
        </w:rPr>
        <w:t>likviduoti</w:t>
      </w:r>
      <w:r>
        <w:rPr>
          <w:i/>
          <w:iCs/>
          <w:lang w:eastAsia="lt-LT"/>
        </w:rPr>
        <w:t xml:space="preserve"> </w:t>
      </w:r>
      <w:r>
        <w:rPr>
          <w:lang w:eastAsia="lt-LT"/>
        </w:rPr>
        <w:t>arba sustabdyti jos veiklą arba</w:t>
      </w:r>
      <w:r>
        <w:rPr>
          <w:i/>
          <w:iCs/>
          <w:lang w:eastAsia="lt-LT"/>
        </w:rPr>
        <w:t xml:space="preserve"> </w:t>
      </w:r>
      <w:r>
        <w:rPr>
          <w:lang w:eastAsia="lt-LT"/>
        </w:rPr>
        <w:t>įmonė</w:t>
      </w:r>
      <w:r>
        <w:rPr>
          <w:i/>
          <w:iCs/>
          <w:lang w:eastAsia="lt-LT"/>
        </w:rPr>
        <w:t xml:space="preserve"> </w:t>
      </w:r>
      <w:r>
        <w:rPr>
          <w:lang w:eastAsia="lt-LT"/>
        </w:rPr>
        <w:t>yra</w:t>
      </w:r>
      <w:r>
        <w:rPr>
          <w:i/>
          <w:iCs/>
          <w:lang w:eastAsia="lt-LT"/>
        </w:rPr>
        <w:t xml:space="preserve"> </w:t>
      </w:r>
      <w:r>
        <w:rPr>
          <w:lang w:eastAsia="lt-LT"/>
        </w:rPr>
        <w:t>įsteigta</w:t>
      </w:r>
      <w:r>
        <w:rPr>
          <w:i/>
          <w:iCs/>
          <w:lang w:eastAsia="lt-LT"/>
        </w:rPr>
        <w:t xml:space="preserve"> </w:t>
      </w:r>
      <w:r>
        <w:rPr>
          <w:lang w:eastAsia="lt-LT"/>
        </w:rPr>
        <w:t>ribotam</w:t>
      </w:r>
      <w:r>
        <w:rPr>
          <w:i/>
          <w:iCs/>
          <w:lang w:eastAsia="lt-LT"/>
        </w:rPr>
        <w:t xml:space="preserve"> </w:t>
      </w:r>
      <w:r>
        <w:rPr>
          <w:lang w:eastAsia="lt-LT"/>
        </w:rPr>
        <w:t>laikotarpiui,</w:t>
      </w:r>
      <w:r>
        <w:rPr>
          <w:i/>
          <w:iCs/>
          <w:lang w:eastAsia="lt-LT"/>
        </w:rPr>
        <w:t xml:space="preserve"> </w:t>
      </w:r>
      <w:r>
        <w:rPr>
          <w:lang w:eastAsia="lt-LT"/>
        </w:rPr>
        <w:t>tai</w:t>
      </w:r>
      <w:r>
        <w:rPr>
          <w:i/>
          <w:iCs/>
          <w:lang w:eastAsia="lt-LT"/>
        </w:rPr>
        <w:t xml:space="preserve"> </w:t>
      </w:r>
      <w:r>
        <w:rPr>
          <w:lang w:eastAsia="lt-LT"/>
        </w:rPr>
        <w:t>šis</w:t>
      </w:r>
      <w:r>
        <w:rPr>
          <w:i/>
          <w:iCs/>
          <w:lang w:eastAsia="lt-LT"/>
        </w:rPr>
        <w:t xml:space="preserve"> </w:t>
      </w:r>
      <w:r>
        <w:rPr>
          <w:lang w:eastAsia="lt-LT"/>
        </w:rPr>
        <w:t>veiklos</w:t>
      </w:r>
      <w:r>
        <w:rPr>
          <w:i/>
          <w:iCs/>
          <w:lang w:eastAsia="lt-LT"/>
        </w:rPr>
        <w:t xml:space="preserve"> </w:t>
      </w:r>
      <w:r>
        <w:rPr>
          <w:lang w:eastAsia="lt-LT"/>
        </w:rPr>
        <w:t>tęstinumo</w:t>
      </w:r>
      <w:r>
        <w:rPr>
          <w:i/>
          <w:iCs/>
          <w:lang w:eastAsia="lt-LT"/>
        </w:rPr>
        <w:t xml:space="preserve"> </w:t>
      </w:r>
      <w:r>
        <w:rPr>
          <w:lang w:eastAsia="lt-LT"/>
        </w:rPr>
        <w:t>principas</w:t>
      </w:r>
      <w:r>
        <w:rPr>
          <w:i/>
          <w:iCs/>
          <w:lang w:eastAsia="lt-LT"/>
        </w:rPr>
        <w:t xml:space="preserve"> </w:t>
      </w:r>
      <w:r>
        <w:rPr>
          <w:lang w:eastAsia="lt-LT"/>
        </w:rPr>
        <w:t>netaikomas.</w:t>
      </w:r>
    </w:p>
    <w:p w14:paraId="14C13895" w14:textId="77777777" w:rsidR="00093845" w:rsidRDefault="000D779E">
      <w:pPr>
        <w:spacing w:before="100" w:beforeAutospacing="1" w:after="100" w:afterAutospacing="1"/>
        <w:jc w:val="both"/>
        <w:rPr>
          <w:lang w:eastAsia="lt-LT"/>
        </w:rPr>
      </w:pPr>
      <w:r>
        <w:rPr>
          <w:lang w:eastAsia="lt-LT"/>
        </w:rPr>
        <w:lastRenderedPageBreak/>
        <w:t xml:space="preserve">     4.</w:t>
      </w:r>
      <w:r>
        <w:rPr>
          <w:i/>
          <w:iCs/>
          <w:lang w:eastAsia="lt-LT"/>
        </w:rPr>
        <w:t xml:space="preserve"> </w:t>
      </w:r>
      <w:r>
        <w:rPr>
          <w:lang w:eastAsia="lt-LT"/>
        </w:rPr>
        <w:t>Periodiškumo</w:t>
      </w:r>
      <w:r>
        <w:rPr>
          <w:i/>
          <w:iCs/>
          <w:lang w:eastAsia="lt-LT"/>
        </w:rPr>
        <w:t xml:space="preserve"> </w:t>
      </w:r>
      <w:r>
        <w:rPr>
          <w:lang w:eastAsia="lt-LT"/>
        </w:rPr>
        <w:t>principas</w:t>
      </w:r>
      <w:r>
        <w:rPr>
          <w:i/>
          <w:iCs/>
          <w:lang w:eastAsia="lt-LT"/>
        </w:rPr>
        <w:t xml:space="preserve"> </w:t>
      </w:r>
      <w:r>
        <w:rPr>
          <w:lang w:eastAsia="lt-LT"/>
        </w:rPr>
        <w:t>reiškia,</w:t>
      </w:r>
      <w:r>
        <w:rPr>
          <w:i/>
          <w:iCs/>
          <w:lang w:eastAsia="lt-LT"/>
        </w:rPr>
        <w:t xml:space="preserve"> </w:t>
      </w:r>
      <w:r>
        <w:rPr>
          <w:lang w:eastAsia="lt-LT"/>
        </w:rPr>
        <w:t>kad</w:t>
      </w:r>
      <w:r>
        <w:rPr>
          <w:i/>
          <w:iCs/>
          <w:lang w:eastAsia="lt-LT"/>
        </w:rPr>
        <w:t xml:space="preserve"> </w:t>
      </w:r>
      <w:r>
        <w:rPr>
          <w:lang w:eastAsia="lt-LT"/>
        </w:rPr>
        <w:t>įmonės finansinės ataskaitos sudaromos pagal paskutinės ataskaitinio laikotarpio dienos duomenis. Todėl</w:t>
      </w:r>
      <w:r>
        <w:rPr>
          <w:i/>
          <w:iCs/>
          <w:lang w:eastAsia="lt-LT"/>
        </w:rPr>
        <w:t xml:space="preserve"> </w:t>
      </w:r>
      <w:r>
        <w:rPr>
          <w:lang w:eastAsia="lt-LT"/>
        </w:rPr>
        <w:t>įmonės</w:t>
      </w:r>
      <w:r>
        <w:rPr>
          <w:i/>
          <w:iCs/>
          <w:lang w:eastAsia="lt-LT"/>
        </w:rPr>
        <w:t xml:space="preserve"> </w:t>
      </w:r>
      <w:r>
        <w:rPr>
          <w:lang w:eastAsia="lt-LT"/>
        </w:rPr>
        <w:t>veikla</w:t>
      </w:r>
      <w:r>
        <w:rPr>
          <w:i/>
          <w:iCs/>
          <w:lang w:eastAsia="lt-LT"/>
        </w:rPr>
        <w:t xml:space="preserve"> </w:t>
      </w:r>
      <w:r>
        <w:rPr>
          <w:lang w:eastAsia="lt-LT"/>
        </w:rPr>
        <w:t>suskirstoma</w:t>
      </w:r>
      <w:r>
        <w:rPr>
          <w:i/>
          <w:iCs/>
          <w:lang w:eastAsia="lt-LT"/>
        </w:rPr>
        <w:t xml:space="preserve"> </w:t>
      </w:r>
      <w:r>
        <w:rPr>
          <w:lang w:eastAsia="lt-LT"/>
        </w:rPr>
        <w:t>į</w:t>
      </w:r>
      <w:r>
        <w:rPr>
          <w:i/>
          <w:iCs/>
          <w:lang w:eastAsia="lt-LT"/>
        </w:rPr>
        <w:t xml:space="preserve"> </w:t>
      </w:r>
      <w:r>
        <w:rPr>
          <w:lang w:eastAsia="lt-LT"/>
        </w:rPr>
        <w:t>atskirus</w:t>
      </w:r>
      <w:r>
        <w:rPr>
          <w:i/>
          <w:iCs/>
          <w:lang w:eastAsia="lt-LT"/>
        </w:rPr>
        <w:t xml:space="preserve"> </w:t>
      </w:r>
      <w:r>
        <w:rPr>
          <w:lang w:eastAsia="lt-LT"/>
        </w:rPr>
        <w:t>ataskaitinius</w:t>
      </w:r>
      <w:r>
        <w:rPr>
          <w:i/>
          <w:iCs/>
          <w:lang w:eastAsia="lt-LT"/>
        </w:rPr>
        <w:t xml:space="preserve"> </w:t>
      </w:r>
      <w:r>
        <w:rPr>
          <w:lang w:eastAsia="lt-LT"/>
        </w:rPr>
        <w:t>laikotarpius</w:t>
      </w:r>
      <w:r>
        <w:rPr>
          <w:i/>
          <w:iCs/>
          <w:lang w:eastAsia="lt-LT"/>
        </w:rPr>
        <w:t xml:space="preserve"> </w:t>
      </w:r>
      <w:r>
        <w:rPr>
          <w:lang w:eastAsia="lt-LT"/>
        </w:rPr>
        <w:t>(metus,</w:t>
      </w:r>
      <w:r>
        <w:rPr>
          <w:i/>
          <w:iCs/>
          <w:lang w:eastAsia="lt-LT"/>
        </w:rPr>
        <w:t xml:space="preserve"> </w:t>
      </w:r>
      <w:r>
        <w:rPr>
          <w:lang w:eastAsia="lt-LT"/>
        </w:rPr>
        <w:t>ketvirčių</w:t>
      </w:r>
      <w:r>
        <w:rPr>
          <w:i/>
          <w:iCs/>
          <w:lang w:eastAsia="lt-LT"/>
        </w:rPr>
        <w:t xml:space="preserve"> </w:t>
      </w:r>
      <w:r>
        <w:rPr>
          <w:lang w:eastAsia="lt-LT"/>
        </w:rPr>
        <w:t>ar</w:t>
      </w:r>
      <w:r>
        <w:rPr>
          <w:i/>
          <w:iCs/>
          <w:lang w:eastAsia="lt-LT"/>
        </w:rPr>
        <w:t xml:space="preserve"> </w:t>
      </w:r>
      <w:r>
        <w:rPr>
          <w:lang w:eastAsia="lt-LT"/>
        </w:rPr>
        <w:t>pan.),</w:t>
      </w:r>
      <w:r>
        <w:rPr>
          <w:i/>
          <w:iCs/>
          <w:lang w:eastAsia="lt-LT"/>
        </w:rPr>
        <w:t xml:space="preserve"> </w:t>
      </w:r>
      <w:r>
        <w:rPr>
          <w:lang w:eastAsia="lt-LT"/>
        </w:rPr>
        <w:t>kuriems</w:t>
      </w:r>
      <w:r>
        <w:rPr>
          <w:i/>
          <w:iCs/>
          <w:lang w:eastAsia="lt-LT"/>
        </w:rPr>
        <w:t xml:space="preserve"> </w:t>
      </w:r>
      <w:r>
        <w:rPr>
          <w:lang w:eastAsia="lt-LT"/>
        </w:rPr>
        <w:t>pasibaigus,</w:t>
      </w:r>
      <w:r>
        <w:rPr>
          <w:i/>
          <w:iCs/>
          <w:lang w:eastAsia="lt-LT"/>
        </w:rPr>
        <w:t xml:space="preserve"> </w:t>
      </w:r>
      <w:r>
        <w:rPr>
          <w:lang w:eastAsia="lt-LT"/>
        </w:rPr>
        <w:t>sudaromos</w:t>
      </w:r>
      <w:r>
        <w:rPr>
          <w:i/>
          <w:iCs/>
          <w:lang w:eastAsia="lt-LT"/>
        </w:rPr>
        <w:t xml:space="preserve"> </w:t>
      </w:r>
      <w:r>
        <w:rPr>
          <w:lang w:eastAsia="lt-LT"/>
        </w:rPr>
        <w:t>finansinės</w:t>
      </w:r>
      <w:r>
        <w:rPr>
          <w:i/>
          <w:iCs/>
          <w:lang w:eastAsia="lt-LT"/>
        </w:rPr>
        <w:t xml:space="preserve"> </w:t>
      </w:r>
      <w:r>
        <w:rPr>
          <w:lang w:eastAsia="lt-LT"/>
        </w:rPr>
        <w:t>ataskaitos.</w:t>
      </w:r>
      <w:r>
        <w:rPr>
          <w:i/>
          <w:iCs/>
          <w:lang w:eastAsia="lt-LT"/>
        </w:rPr>
        <w:t xml:space="preserve"> </w:t>
      </w:r>
      <w:r>
        <w:rPr>
          <w:lang w:eastAsia="lt-LT"/>
        </w:rPr>
        <w:t>Pelno mokesčio</w:t>
      </w:r>
      <w:r>
        <w:rPr>
          <w:i/>
          <w:iCs/>
          <w:lang w:eastAsia="lt-LT"/>
        </w:rPr>
        <w:t xml:space="preserve"> </w:t>
      </w:r>
      <w:r>
        <w:rPr>
          <w:lang w:eastAsia="lt-LT"/>
        </w:rPr>
        <w:t>apskaičiavimo</w:t>
      </w:r>
      <w:r>
        <w:rPr>
          <w:i/>
          <w:iCs/>
          <w:lang w:eastAsia="lt-LT"/>
        </w:rPr>
        <w:t xml:space="preserve"> </w:t>
      </w:r>
      <w:r>
        <w:rPr>
          <w:lang w:eastAsia="lt-LT"/>
        </w:rPr>
        <w:t>tikslais</w:t>
      </w:r>
      <w:r>
        <w:rPr>
          <w:i/>
          <w:iCs/>
          <w:lang w:eastAsia="lt-LT"/>
        </w:rPr>
        <w:t xml:space="preserve"> </w:t>
      </w:r>
      <w:r>
        <w:rPr>
          <w:lang w:eastAsia="lt-LT"/>
        </w:rPr>
        <w:t>šie</w:t>
      </w:r>
      <w:r>
        <w:rPr>
          <w:i/>
          <w:iCs/>
          <w:lang w:eastAsia="lt-LT"/>
        </w:rPr>
        <w:t xml:space="preserve"> </w:t>
      </w:r>
      <w:r>
        <w:rPr>
          <w:lang w:eastAsia="lt-LT"/>
        </w:rPr>
        <w:t>laikotarpiai</w:t>
      </w:r>
      <w:r>
        <w:rPr>
          <w:i/>
          <w:iCs/>
          <w:lang w:eastAsia="lt-LT"/>
        </w:rPr>
        <w:t xml:space="preserve"> </w:t>
      </w:r>
      <w:r>
        <w:rPr>
          <w:lang w:eastAsia="lt-LT"/>
        </w:rPr>
        <w:t>yra</w:t>
      </w:r>
      <w:r>
        <w:rPr>
          <w:i/>
          <w:iCs/>
          <w:lang w:eastAsia="lt-LT"/>
        </w:rPr>
        <w:t xml:space="preserve"> </w:t>
      </w:r>
      <w:r>
        <w:rPr>
          <w:lang w:eastAsia="lt-LT"/>
        </w:rPr>
        <w:t>nustatyti</w:t>
      </w:r>
      <w:r>
        <w:rPr>
          <w:i/>
          <w:iCs/>
          <w:lang w:eastAsia="lt-LT"/>
        </w:rPr>
        <w:t xml:space="preserve"> </w:t>
      </w:r>
      <w:bookmarkStart w:id="73" w:name="n1_136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74" w:name="pn1_1366"/>
      <w:bookmarkEnd w:id="73"/>
      <w:bookmarkEnd w:id="74"/>
      <w:r>
        <w:rPr>
          <w:i/>
          <w:iCs/>
          <w:lang w:eastAsia="lt-LT"/>
        </w:rPr>
        <w:t xml:space="preserve"> </w:t>
      </w:r>
      <w:r>
        <w:rPr>
          <w:lang w:eastAsia="lt-LT"/>
        </w:rPr>
        <w:t>6</w:t>
      </w:r>
      <w:r>
        <w:rPr>
          <w:i/>
          <w:iCs/>
          <w:lang w:eastAsia="lt-LT"/>
        </w:rPr>
        <w:t xml:space="preserve"> </w:t>
      </w:r>
      <w:r>
        <w:rPr>
          <w:lang w:eastAsia="lt-LT"/>
        </w:rPr>
        <w:t xml:space="preserve">straipsnyje (žr. </w:t>
      </w:r>
      <w:bookmarkStart w:id="75" w:name="n1_137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76" w:name="pn1_1371"/>
      <w:bookmarkEnd w:id="75"/>
      <w:bookmarkEnd w:id="76"/>
      <w:r>
        <w:rPr>
          <w:lang w:eastAsia="lt-LT"/>
        </w:rPr>
        <w:t xml:space="preserve"> </w:t>
      </w:r>
      <w:bookmarkStart w:id="77" w:name="n1_1372"/>
      <w:r>
        <w:rPr>
          <w:lang w:eastAsia="lt-LT"/>
        </w:rPr>
        <w:fldChar w:fldCharType="begin"/>
      </w:r>
      <w:r>
        <w:rPr>
          <w:lang w:eastAsia="lt-LT"/>
        </w:rPr>
        <w:instrText xml:space="preserve"> HYPERLINK "JavaScript:OL('12868','6')" \o "Mokestinis laikotarpis (str. 6)" </w:instrText>
      </w:r>
      <w:r>
        <w:rPr>
          <w:lang w:eastAsia="lt-LT"/>
        </w:rPr>
        <w:fldChar w:fldCharType="separate"/>
      </w:r>
      <w:r>
        <w:rPr>
          <w:rStyle w:val="Hipersaitas"/>
          <w:rFonts w:ascii="Times New Roman" w:hAnsi="Times New Roman" w:cs="Times New Roman"/>
          <w:lang w:eastAsia="lt-LT"/>
        </w:rPr>
        <w:t>6</w:t>
      </w:r>
      <w:r>
        <w:rPr>
          <w:lang w:eastAsia="lt-LT"/>
        </w:rPr>
        <w:fldChar w:fldCharType="end"/>
      </w:r>
      <w:bookmarkStart w:id="78" w:name="pn1_1372"/>
      <w:bookmarkEnd w:id="77"/>
      <w:bookmarkEnd w:id="78"/>
      <w:r>
        <w:rPr>
          <w:lang w:eastAsia="lt-LT"/>
        </w:rPr>
        <w:t xml:space="preserve"> straipsnio komentarą).</w:t>
      </w:r>
      <w:r>
        <w:rPr>
          <w:i/>
          <w:iCs/>
          <w:lang w:eastAsia="lt-LT"/>
        </w:rPr>
        <w:t xml:space="preserve"> </w:t>
      </w:r>
    </w:p>
    <w:p w14:paraId="53A46154" w14:textId="77777777" w:rsidR="00093845" w:rsidRDefault="000D779E">
      <w:pPr>
        <w:spacing w:before="100" w:beforeAutospacing="1" w:after="100" w:afterAutospacing="1"/>
        <w:jc w:val="both"/>
        <w:rPr>
          <w:lang w:eastAsia="lt-LT"/>
        </w:rPr>
      </w:pPr>
      <w:r>
        <w:rPr>
          <w:lang w:eastAsia="lt-LT"/>
        </w:rPr>
        <w:t xml:space="preserve">      5.</w:t>
      </w:r>
      <w:r>
        <w:rPr>
          <w:i/>
          <w:iCs/>
          <w:lang w:eastAsia="lt-LT"/>
        </w:rPr>
        <w:t xml:space="preserve"> </w:t>
      </w:r>
      <w:r>
        <w:rPr>
          <w:lang w:eastAsia="lt-LT"/>
        </w:rPr>
        <w:t>Pagal</w:t>
      </w:r>
      <w:r>
        <w:rPr>
          <w:i/>
          <w:iCs/>
          <w:lang w:eastAsia="lt-LT"/>
        </w:rPr>
        <w:t xml:space="preserve"> </w:t>
      </w:r>
      <w:r>
        <w:rPr>
          <w:lang w:eastAsia="lt-LT"/>
        </w:rPr>
        <w:t>pastovumo</w:t>
      </w:r>
      <w:r>
        <w:rPr>
          <w:i/>
          <w:iCs/>
          <w:lang w:eastAsia="lt-LT"/>
        </w:rPr>
        <w:t xml:space="preserve"> </w:t>
      </w:r>
      <w:r>
        <w:rPr>
          <w:lang w:eastAsia="lt-LT"/>
        </w:rPr>
        <w:t>principą</w:t>
      </w:r>
      <w:r>
        <w:rPr>
          <w:i/>
          <w:iCs/>
          <w:lang w:eastAsia="lt-LT"/>
        </w:rPr>
        <w:t xml:space="preserve"> </w:t>
      </w:r>
      <w:r>
        <w:rPr>
          <w:lang w:eastAsia="lt-LT"/>
        </w:rPr>
        <w:t>įmonė</w:t>
      </w:r>
      <w:r>
        <w:rPr>
          <w:i/>
          <w:iCs/>
          <w:lang w:eastAsia="lt-LT"/>
        </w:rPr>
        <w:t xml:space="preserve"> </w:t>
      </w:r>
      <w:r>
        <w:rPr>
          <w:lang w:eastAsia="lt-LT"/>
        </w:rPr>
        <w:t>pasirinktą</w:t>
      </w:r>
      <w:r>
        <w:rPr>
          <w:i/>
          <w:iCs/>
          <w:lang w:eastAsia="lt-LT"/>
        </w:rPr>
        <w:t xml:space="preserve"> </w:t>
      </w:r>
      <w:r>
        <w:rPr>
          <w:lang w:eastAsia="lt-LT"/>
        </w:rPr>
        <w:t>apskaitos</w:t>
      </w:r>
      <w:r>
        <w:rPr>
          <w:i/>
          <w:iCs/>
          <w:lang w:eastAsia="lt-LT"/>
        </w:rPr>
        <w:t xml:space="preserve"> </w:t>
      </w:r>
      <w:r>
        <w:rPr>
          <w:lang w:eastAsia="lt-LT"/>
        </w:rPr>
        <w:t>politiką turi</w:t>
      </w:r>
      <w:r>
        <w:rPr>
          <w:i/>
          <w:iCs/>
          <w:lang w:eastAsia="lt-LT"/>
        </w:rPr>
        <w:t xml:space="preserve"> </w:t>
      </w:r>
      <w:r>
        <w:rPr>
          <w:lang w:eastAsia="lt-LT"/>
        </w:rPr>
        <w:t>taikyti</w:t>
      </w:r>
      <w:r>
        <w:rPr>
          <w:i/>
          <w:iCs/>
          <w:lang w:eastAsia="lt-LT"/>
        </w:rPr>
        <w:t xml:space="preserve"> </w:t>
      </w:r>
      <w:r>
        <w:rPr>
          <w:lang w:eastAsia="lt-LT"/>
        </w:rPr>
        <w:t xml:space="preserve">nuolat arba pakankamai ilgą laiką, nebent reikšmingi įvykiai ar aplinkybės priverstų ją pakeisti. Apskaitos politiką galima keisti tik tuo atveju, jeigu tuo siekiama teisingai parodyti įmonės ataskaitinio laikotarpio turtą, nuosavą kapitalą, įsipareigojimus, pajamas, sąnaudas ir pinigų srautus, jeigu įmonė sudaro pinigų srautų ataskaitą“. </w:t>
      </w:r>
    </w:p>
    <w:p w14:paraId="6436AC01" w14:textId="77777777" w:rsidR="00093845" w:rsidRDefault="000D779E">
      <w:pPr>
        <w:spacing w:before="100" w:beforeAutospacing="1" w:after="100" w:afterAutospacing="1"/>
        <w:jc w:val="both"/>
        <w:rPr>
          <w:lang w:eastAsia="lt-LT"/>
        </w:rPr>
      </w:pPr>
      <w:r>
        <w:rPr>
          <w:lang w:eastAsia="lt-LT"/>
        </w:rPr>
        <w:t xml:space="preserve">     6.</w:t>
      </w:r>
      <w:r>
        <w:rPr>
          <w:i/>
          <w:iCs/>
          <w:lang w:eastAsia="lt-LT"/>
        </w:rPr>
        <w:t xml:space="preserve"> </w:t>
      </w:r>
      <w:r>
        <w:rPr>
          <w:lang w:eastAsia="lt-LT"/>
        </w:rPr>
        <w:t>Vadovaujantis</w:t>
      </w:r>
      <w:r>
        <w:rPr>
          <w:i/>
          <w:iCs/>
          <w:lang w:eastAsia="lt-LT"/>
        </w:rPr>
        <w:t xml:space="preserve"> </w:t>
      </w:r>
      <w:r>
        <w:rPr>
          <w:lang w:eastAsia="lt-LT"/>
        </w:rPr>
        <w:t>piniginio</w:t>
      </w:r>
      <w:r>
        <w:rPr>
          <w:i/>
          <w:iCs/>
          <w:lang w:eastAsia="lt-LT"/>
        </w:rPr>
        <w:t xml:space="preserve"> </w:t>
      </w:r>
      <w:r>
        <w:rPr>
          <w:lang w:eastAsia="lt-LT"/>
        </w:rPr>
        <w:t>mato</w:t>
      </w:r>
      <w:r>
        <w:rPr>
          <w:i/>
          <w:iCs/>
          <w:lang w:eastAsia="lt-LT"/>
        </w:rPr>
        <w:t xml:space="preserve"> </w:t>
      </w:r>
      <w:r>
        <w:rPr>
          <w:lang w:eastAsia="lt-LT"/>
        </w:rPr>
        <w:t>principu,</w:t>
      </w:r>
      <w:r>
        <w:rPr>
          <w:i/>
          <w:iCs/>
          <w:lang w:eastAsia="lt-LT"/>
        </w:rPr>
        <w:t xml:space="preserve"> </w:t>
      </w:r>
      <w:r>
        <w:rPr>
          <w:lang w:eastAsia="lt-LT"/>
        </w:rPr>
        <w:t>visas</w:t>
      </w:r>
      <w:r>
        <w:rPr>
          <w:i/>
          <w:iCs/>
          <w:lang w:eastAsia="lt-LT"/>
        </w:rPr>
        <w:t xml:space="preserve"> </w:t>
      </w:r>
      <w:r>
        <w:rPr>
          <w:lang w:eastAsia="lt-LT"/>
        </w:rPr>
        <w:t>įmonės</w:t>
      </w:r>
      <w:r>
        <w:rPr>
          <w:i/>
          <w:iCs/>
          <w:lang w:eastAsia="lt-LT"/>
        </w:rPr>
        <w:t xml:space="preserve"> </w:t>
      </w:r>
      <w:r>
        <w:rPr>
          <w:lang w:eastAsia="lt-LT"/>
        </w:rPr>
        <w:t>turtas,</w:t>
      </w:r>
      <w:r>
        <w:rPr>
          <w:i/>
          <w:iCs/>
          <w:lang w:eastAsia="lt-LT"/>
        </w:rPr>
        <w:t xml:space="preserve"> </w:t>
      </w:r>
      <w:r>
        <w:rPr>
          <w:lang w:eastAsia="lt-LT"/>
        </w:rPr>
        <w:t>nuosavas</w:t>
      </w:r>
      <w:r>
        <w:rPr>
          <w:i/>
          <w:iCs/>
          <w:lang w:eastAsia="lt-LT"/>
        </w:rPr>
        <w:t xml:space="preserve"> </w:t>
      </w:r>
      <w:r>
        <w:rPr>
          <w:lang w:eastAsia="lt-LT"/>
        </w:rPr>
        <w:t>kapitalas,</w:t>
      </w:r>
      <w:r>
        <w:rPr>
          <w:i/>
          <w:iCs/>
          <w:lang w:eastAsia="lt-LT"/>
        </w:rPr>
        <w:t xml:space="preserve"> </w:t>
      </w:r>
      <w:r>
        <w:rPr>
          <w:lang w:eastAsia="lt-LT"/>
        </w:rPr>
        <w:t>įsipareigojimai,</w:t>
      </w:r>
      <w:r>
        <w:rPr>
          <w:i/>
          <w:iCs/>
          <w:lang w:eastAsia="lt-LT"/>
        </w:rPr>
        <w:t xml:space="preserve"> </w:t>
      </w:r>
      <w:r>
        <w:rPr>
          <w:lang w:eastAsia="lt-LT"/>
        </w:rPr>
        <w:t>pajamos, sąnaudos ir pinigų srautai, jeigu įmonė sudaro pinigų srautų ataskaitą, finansinėse ataskaitose išreiškiami pinigais.</w:t>
      </w:r>
    </w:p>
    <w:p w14:paraId="20719010" w14:textId="77777777" w:rsidR="00093845" w:rsidRDefault="000D779E">
      <w:pPr>
        <w:spacing w:before="100" w:beforeAutospacing="1" w:after="100" w:afterAutospacing="1"/>
        <w:jc w:val="both"/>
        <w:rPr>
          <w:lang w:eastAsia="lt-LT"/>
        </w:rPr>
      </w:pPr>
      <w:r>
        <w:rPr>
          <w:lang w:eastAsia="lt-LT"/>
        </w:rPr>
        <w:t xml:space="preserve">     7.</w:t>
      </w:r>
      <w:r>
        <w:rPr>
          <w:i/>
          <w:iCs/>
          <w:lang w:eastAsia="lt-LT"/>
        </w:rPr>
        <w:t xml:space="preserve"> </w:t>
      </w:r>
      <w:r>
        <w:rPr>
          <w:lang w:eastAsia="lt-LT"/>
        </w:rPr>
        <w:t>Kaupimo</w:t>
      </w:r>
      <w:r>
        <w:rPr>
          <w:i/>
          <w:iCs/>
          <w:lang w:eastAsia="lt-LT"/>
        </w:rPr>
        <w:t xml:space="preserve"> </w:t>
      </w:r>
      <w:r>
        <w:rPr>
          <w:lang w:eastAsia="lt-LT"/>
        </w:rPr>
        <w:t>principo</w:t>
      </w:r>
      <w:r>
        <w:rPr>
          <w:i/>
          <w:iCs/>
          <w:lang w:eastAsia="lt-LT"/>
        </w:rPr>
        <w:t xml:space="preserve"> </w:t>
      </w:r>
      <w:r>
        <w:rPr>
          <w:lang w:eastAsia="lt-LT"/>
        </w:rPr>
        <w:t>esmė</w:t>
      </w:r>
      <w:r>
        <w:rPr>
          <w:i/>
          <w:iCs/>
          <w:lang w:eastAsia="lt-LT"/>
        </w:rPr>
        <w:t xml:space="preserve"> </w:t>
      </w:r>
      <w:r>
        <w:rPr>
          <w:lang w:eastAsia="lt-LT"/>
        </w:rPr>
        <w:t>ta,</w:t>
      </w:r>
      <w:r>
        <w:rPr>
          <w:i/>
          <w:iCs/>
          <w:lang w:eastAsia="lt-LT"/>
        </w:rPr>
        <w:t xml:space="preserve"> </w:t>
      </w:r>
      <w:r>
        <w:rPr>
          <w:lang w:eastAsia="lt-LT"/>
        </w:rPr>
        <w:t>kad</w:t>
      </w:r>
      <w:r>
        <w:rPr>
          <w:i/>
          <w:iCs/>
          <w:lang w:eastAsia="lt-LT"/>
        </w:rPr>
        <w:t xml:space="preserve"> </w:t>
      </w:r>
      <w:r>
        <w:rPr>
          <w:lang w:eastAsia="lt-LT"/>
        </w:rPr>
        <w:t>pajamos</w:t>
      </w:r>
      <w:r>
        <w:rPr>
          <w:i/>
          <w:iCs/>
          <w:lang w:eastAsia="lt-LT"/>
        </w:rPr>
        <w:t xml:space="preserve"> </w:t>
      </w:r>
      <w:r>
        <w:rPr>
          <w:lang w:eastAsia="lt-LT"/>
        </w:rPr>
        <w:t>registruojamos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jos</w:t>
      </w:r>
      <w:r>
        <w:rPr>
          <w:i/>
          <w:iCs/>
          <w:lang w:eastAsia="lt-LT"/>
        </w:rPr>
        <w:t xml:space="preserve"> </w:t>
      </w:r>
      <w:r>
        <w:rPr>
          <w:lang w:eastAsia="lt-LT"/>
        </w:rPr>
        <w:t>uždirbamos,</w:t>
      </w:r>
      <w:r>
        <w:rPr>
          <w:i/>
          <w:iCs/>
          <w:lang w:eastAsia="lt-LT"/>
        </w:rPr>
        <w:t xml:space="preserve"> </w:t>
      </w:r>
      <w:r>
        <w:rPr>
          <w:lang w:eastAsia="lt-LT"/>
        </w:rPr>
        <w:t>o</w:t>
      </w:r>
      <w:r>
        <w:rPr>
          <w:i/>
          <w:iCs/>
          <w:lang w:eastAsia="lt-LT"/>
        </w:rPr>
        <w:t xml:space="preserve"> </w:t>
      </w:r>
      <w:r>
        <w:rPr>
          <w:lang w:eastAsia="lt-LT"/>
        </w:rPr>
        <w:t>sąnaudos –</w:t>
      </w:r>
      <w:r>
        <w:rPr>
          <w:i/>
          <w:iCs/>
          <w:lang w:eastAsia="lt-LT"/>
        </w:rPr>
        <w:t xml:space="preserve"> </w:t>
      </w:r>
      <w:r>
        <w:rPr>
          <w:lang w:eastAsia="lt-LT"/>
        </w:rPr>
        <w:t>kai patiriamos (jų susidarymo metu),</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pinigų</w:t>
      </w:r>
      <w:r>
        <w:rPr>
          <w:i/>
          <w:iCs/>
          <w:lang w:eastAsia="lt-LT"/>
        </w:rPr>
        <w:t xml:space="preserve"> </w:t>
      </w:r>
      <w:r>
        <w:rPr>
          <w:lang w:eastAsia="lt-LT"/>
        </w:rPr>
        <w:t>gavimo</w:t>
      </w:r>
      <w:r>
        <w:rPr>
          <w:i/>
          <w:iCs/>
          <w:lang w:eastAsia="lt-LT"/>
        </w:rPr>
        <w:t xml:space="preserve"> </w:t>
      </w:r>
      <w:r>
        <w:rPr>
          <w:lang w:eastAsia="lt-LT"/>
        </w:rPr>
        <w:t>ar</w:t>
      </w:r>
      <w:r>
        <w:rPr>
          <w:i/>
          <w:iCs/>
          <w:lang w:eastAsia="lt-LT"/>
        </w:rPr>
        <w:t xml:space="preserve"> </w:t>
      </w:r>
      <w:r>
        <w:rPr>
          <w:lang w:eastAsia="lt-LT"/>
        </w:rPr>
        <w:t>išmokėjimo</w:t>
      </w:r>
      <w:r>
        <w:rPr>
          <w:i/>
          <w:iCs/>
          <w:lang w:eastAsia="lt-LT"/>
        </w:rPr>
        <w:t xml:space="preserve"> </w:t>
      </w:r>
      <w:r>
        <w:rPr>
          <w:lang w:eastAsia="lt-LT"/>
        </w:rPr>
        <w:t>momentą.</w:t>
      </w:r>
      <w:r>
        <w:rPr>
          <w:i/>
          <w:iCs/>
          <w:lang w:eastAsia="lt-LT"/>
        </w:rPr>
        <w:t xml:space="preserve"> </w:t>
      </w:r>
      <w:r>
        <w:rPr>
          <w:lang w:eastAsia="lt-LT"/>
        </w:rPr>
        <w:t>Tačiau</w:t>
      </w:r>
      <w:r>
        <w:rPr>
          <w:i/>
          <w:iCs/>
          <w:lang w:eastAsia="lt-LT"/>
        </w:rPr>
        <w:t xml:space="preserve"> </w:t>
      </w:r>
      <w:bookmarkStart w:id="79" w:name="n1_137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0" w:name="pn1_1375"/>
      <w:bookmarkEnd w:id="79"/>
      <w:bookmarkEnd w:id="80"/>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straipsniuose</w:t>
      </w:r>
      <w:r>
        <w:rPr>
          <w:i/>
          <w:iCs/>
          <w:lang w:eastAsia="lt-LT"/>
        </w:rPr>
        <w:t xml:space="preserve"> </w:t>
      </w:r>
      <w:r>
        <w:rPr>
          <w:lang w:eastAsia="lt-LT"/>
        </w:rPr>
        <w:t>nustatyti</w:t>
      </w:r>
      <w:r>
        <w:rPr>
          <w:i/>
          <w:iCs/>
          <w:lang w:eastAsia="lt-LT"/>
        </w:rPr>
        <w:t xml:space="preserve"> </w:t>
      </w:r>
      <w:r>
        <w:rPr>
          <w:lang w:eastAsia="lt-LT"/>
        </w:rPr>
        <w:t>atvejai,</w:t>
      </w:r>
      <w:r>
        <w:rPr>
          <w:i/>
          <w:iCs/>
          <w:lang w:eastAsia="lt-LT"/>
        </w:rPr>
        <w:t xml:space="preserve"> </w:t>
      </w:r>
      <w:r>
        <w:rPr>
          <w:lang w:eastAsia="lt-LT"/>
        </w:rPr>
        <w:t>kai</w:t>
      </w:r>
      <w:r>
        <w:rPr>
          <w:i/>
          <w:iCs/>
          <w:lang w:eastAsia="lt-LT"/>
        </w:rPr>
        <w:t xml:space="preserve"> </w:t>
      </w:r>
      <w:r>
        <w:rPr>
          <w:lang w:eastAsia="lt-LT"/>
        </w:rPr>
        <w:t>pajamas</w:t>
      </w:r>
      <w:r>
        <w:rPr>
          <w:i/>
          <w:iCs/>
          <w:lang w:eastAsia="lt-LT"/>
        </w:rPr>
        <w:t xml:space="preserve"> </w:t>
      </w:r>
      <w:r>
        <w:rPr>
          <w:lang w:eastAsia="lt-LT"/>
        </w:rPr>
        <w:t>galima</w:t>
      </w:r>
      <w:r>
        <w:rPr>
          <w:i/>
          <w:iCs/>
          <w:lang w:eastAsia="lt-LT"/>
        </w:rPr>
        <w:t xml:space="preserve"> </w:t>
      </w:r>
      <w:r>
        <w:rPr>
          <w:lang w:eastAsia="lt-LT"/>
        </w:rPr>
        <w:t>pripažinti</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mokėjimo</w:t>
      </w:r>
      <w:r>
        <w:rPr>
          <w:i/>
          <w:iCs/>
          <w:lang w:eastAsia="lt-LT"/>
        </w:rPr>
        <w:t xml:space="preserve"> </w:t>
      </w:r>
      <w:r>
        <w:rPr>
          <w:lang w:eastAsia="lt-LT"/>
        </w:rPr>
        <w:t>momentą,</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taikant</w:t>
      </w:r>
      <w:r>
        <w:rPr>
          <w:i/>
          <w:iCs/>
          <w:lang w:eastAsia="lt-LT"/>
        </w:rPr>
        <w:t xml:space="preserve"> </w:t>
      </w:r>
      <w:r>
        <w:rPr>
          <w:lang w:eastAsia="lt-LT"/>
        </w:rPr>
        <w:t>pinigų</w:t>
      </w:r>
      <w:r>
        <w:rPr>
          <w:i/>
          <w:iCs/>
          <w:lang w:eastAsia="lt-LT"/>
        </w:rPr>
        <w:t xml:space="preserve"> </w:t>
      </w:r>
      <w:r>
        <w:rPr>
          <w:lang w:eastAsia="lt-LT"/>
        </w:rPr>
        <w:t>principą.</w:t>
      </w:r>
      <w:r>
        <w:rPr>
          <w:i/>
          <w:iCs/>
          <w:lang w:eastAsia="lt-LT"/>
        </w:rPr>
        <w:t xml:space="preserve"> </w:t>
      </w:r>
      <w:r>
        <w:rPr>
          <w:lang w:eastAsia="lt-LT"/>
        </w:rPr>
        <w:t>Sąnaudos</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pripažįstamos</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mokėjimo</w:t>
      </w:r>
      <w:r>
        <w:rPr>
          <w:i/>
          <w:iCs/>
          <w:lang w:eastAsia="lt-LT"/>
        </w:rPr>
        <w:t xml:space="preserve"> </w:t>
      </w:r>
      <w:r>
        <w:rPr>
          <w:lang w:eastAsia="lt-LT"/>
        </w:rPr>
        <w:t xml:space="preserve">momentą (žr. </w:t>
      </w:r>
      <w:bookmarkStart w:id="81" w:name="n1_138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2" w:name="pn1_1387"/>
      <w:bookmarkEnd w:id="81"/>
      <w:bookmarkEnd w:id="82"/>
      <w:r>
        <w:rPr>
          <w:lang w:eastAsia="lt-LT"/>
        </w:rPr>
        <w:t xml:space="preserve"> </w:t>
      </w:r>
      <w:bookmarkStart w:id="83" w:name="n1_1388"/>
      <w:r>
        <w:rPr>
          <w:lang w:eastAsia="lt-LT"/>
        </w:rPr>
        <w:fldChar w:fldCharType="begin"/>
      </w:r>
      <w:r>
        <w:rPr>
          <w:lang w:eastAsia="lt-LT"/>
        </w:rPr>
        <w:instrText xml:space="preserve"> HYPERLINK "JavaScript:OL('12868','8')" \o "Pajamų ir sąnaudų pripažinimas pagal pinigų apskaitos principą (str. 8)" </w:instrText>
      </w:r>
      <w:r>
        <w:rPr>
          <w:lang w:eastAsia="lt-LT"/>
        </w:rPr>
        <w:fldChar w:fldCharType="separate"/>
      </w:r>
      <w:r>
        <w:rPr>
          <w:rStyle w:val="Hipersaitas"/>
          <w:rFonts w:ascii="Times New Roman" w:hAnsi="Times New Roman" w:cs="Times New Roman"/>
          <w:lang w:eastAsia="lt-LT"/>
        </w:rPr>
        <w:t>8</w:t>
      </w:r>
      <w:r>
        <w:rPr>
          <w:lang w:eastAsia="lt-LT"/>
        </w:rPr>
        <w:fldChar w:fldCharType="end"/>
      </w:r>
      <w:bookmarkStart w:id="84" w:name="pn1_1388"/>
      <w:bookmarkEnd w:id="83"/>
      <w:bookmarkEnd w:id="84"/>
      <w:r>
        <w:rPr>
          <w:lang w:eastAsia="lt-LT"/>
        </w:rPr>
        <w:t xml:space="preserve"> ir </w:t>
      </w:r>
      <w:bookmarkStart w:id="85" w:name="n1_1389"/>
      <w:r>
        <w:rPr>
          <w:lang w:eastAsia="lt-LT"/>
        </w:rPr>
        <w:fldChar w:fldCharType="begin"/>
      </w:r>
      <w:r>
        <w:rPr>
          <w:lang w:eastAsia="lt-LT"/>
        </w:rPr>
        <w:instrText xml:space="preserve"> HYPERLINK "JavaScript:OL('12868','9')" \o "Pinigų apskaitos principo taikymas (str. 9)" </w:instrText>
      </w:r>
      <w:r>
        <w:rPr>
          <w:lang w:eastAsia="lt-LT"/>
        </w:rPr>
        <w:fldChar w:fldCharType="separate"/>
      </w:r>
      <w:r>
        <w:rPr>
          <w:rStyle w:val="Hipersaitas"/>
          <w:rFonts w:ascii="Times New Roman" w:hAnsi="Times New Roman" w:cs="Times New Roman"/>
          <w:lang w:eastAsia="lt-LT"/>
        </w:rPr>
        <w:t>9</w:t>
      </w:r>
      <w:r>
        <w:rPr>
          <w:lang w:eastAsia="lt-LT"/>
        </w:rPr>
        <w:fldChar w:fldCharType="end"/>
      </w:r>
      <w:bookmarkStart w:id="86" w:name="pn1_1389"/>
      <w:bookmarkEnd w:id="85"/>
      <w:bookmarkEnd w:id="86"/>
      <w:r>
        <w:rPr>
          <w:lang w:eastAsia="lt-LT"/>
        </w:rPr>
        <w:t xml:space="preserve"> straipsnių komentarus).</w:t>
      </w:r>
    </w:p>
    <w:p w14:paraId="3FB0664B" w14:textId="77777777" w:rsidR="00093845" w:rsidRDefault="000D779E">
      <w:pPr>
        <w:spacing w:before="100" w:beforeAutospacing="1" w:after="100" w:afterAutospacing="1"/>
        <w:jc w:val="both"/>
        <w:rPr>
          <w:lang w:eastAsia="lt-LT"/>
        </w:rPr>
      </w:pPr>
      <w:r>
        <w:rPr>
          <w:lang w:eastAsia="lt-LT"/>
        </w:rPr>
        <w:t xml:space="preserve">     8.</w:t>
      </w:r>
      <w:r>
        <w:rPr>
          <w:i/>
          <w:iCs/>
          <w:lang w:eastAsia="lt-LT"/>
        </w:rPr>
        <w:t xml:space="preserve"> </w:t>
      </w:r>
      <w:r>
        <w:rPr>
          <w:lang w:eastAsia="lt-LT"/>
        </w:rPr>
        <w:t>Vadovaujantis</w:t>
      </w:r>
      <w:r>
        <w:rPr>
          <w:i/>
          <w:iCs/>
          <w:lang w:eastAsia="lt-LT"/>
        </w:rPr>
        <w:t xml:space="preserve"> </w:t>
      </w:r>
      <w:r>
        <w:rPr>
          <w:lang w:eastAsia="lt-LT"/>
        </w:rPr>
        <w:t>palyginimo</w:t>
      </w:r>
      <w:r>
        <w:rPr>
          <w:i/>
          <w:iCs/>
          <w:lang w:eastAsia="lt-LT"/>
        </w:rPr>
        <w:t xml:space="preserve"> </w:t>
      </w:r>
      <w:r>
        <w:rPr>
          <w:lang w:eastAsia="lt-LT"/>
        </w:rPr>
        <w:t>principu,</w:t>
      </w:r>
      <w:r>
        <w:rPr>
          <w:i/>
          <w:iCs/>
          <w:lang w:eastAsia="lt-LT"/>
        </w:rPr>
        <w:t xml:space="preserve"> </w:t>
      </w:r>
      <w:r>
        <w:rPr>
          <w:lang w:eastAsia="lt-LT"/>
        </w:rPr>
        <w:t>per</w:t>
      </w:r>
      <w:r>
        <w:rPr>
          <w:i/>
          <w:iCs/>
          <w:lang w:eastAsia="lt-LT"/>
        </w:rPr>
        <w:t xml:space="preserve"> </w:t>
      </w:r>
      <w:r>
        <w:rPr>
          <w:lang w:eastAsia="lt-LT"/>
        </w:rPr>
        <w:t>ataskaitinį</w:t>
      </w:r>
      <w:r>
        <w:rPr>
          <w:i/>
          <w:iCs/>
          <w:lang w:eastAsia="lt-LT"/>
        </w:rPr>
        <w:t xml:space="preserve"> </w:t>
      </w:r>
      <w:r>
        <w:rPr>
          <w:lang w:eastAsia="lt-LT"/>
        </w:rPr>
        <w:t>laikotarpį</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siejamos</w:t>
      </w:r>
      <w:r>
        <w:rPr>
          <w:i/>
          <w:iCs/>
          <w:lang w:eastAsia="lt-LT"/>
        </w:rPr>
        <w:t xml:space="preserve"> </w:t>
      </w:r>
      <w:r>
        <w:rPr>
          <w:lang w:eastAsia="lt-LT"/>
        </w:rPr>
        <w:t>su</w:t>
      </w:r>
      <w:r>
        <w:rPr>
          <w:i/>
          <w:iCs/>
          <w:lang w:eastAsia="lt-LT"/>
        </w:rPr>
        <w:t xml:space="preserve"> </w:t>
      </w:r>
      <w:r>
        <w:rPr>
          <w:lang w:eastAsia="lt-LT"/>
        </w:rPr>
        <w:t>sąnaudomis, patirtomis uždirbant tas pajamas.</w:t>
      </w:r>
      <w:r>
        <w:rPr>
          <w:i/>
          <w:iCs/>
          <w:lang w:eastAsia="lt-LT"/>
        </w:rPr>
        <w:t xml:space="preserve"> </w:t>
      </w:r>
      <w:r>
        <w:rPr>
          <w:lang w:eastAsia="lt-LT"/>
        </w:rPr>
        <w:t>Skirtingiems</w:t>
      </w:r>
      <w:r>
        <w:rPr>
          <w:i/>
          <w:iCs/>
          <w:lang w:eastAsia="lt-LT"/>
        </w:rPr>
        <w:t xml:space="preserve"> </w:t>
      </w:r>
      <w:r>
        <w:rPr>
          <w:lang w:eastAsia="lt-LT"/>
        </w:rPr>
        <w:t>ataskaitiniams</w:t>
      </w:r>
      <w:r>
        <w:rPr>
          <w:i/>
          <w:iCs/>
          <w:lang w:eastAsia="lt-LT"/>
        </w:rPr>
        <w:t xml:space="preserve"> </w:t>
      </w:r>
      <w:r>
        <w:rPr>
          <w:lang w:eastAsia="lt-LT"/>
        </w:rPr>
        <w:t>laikotarpiams</w:t>
      </w:r>
      <w:r>
        <w:rPr>
          <w:i/>
          <w:iCs/>
          <w:lang w:eastAsia="lt-LT"/>
        </w:rPr>
        <w:t xml:space="preserve"> </w:t>
      </w:r>
      <w:r>
        <w:rPr>
          <w:lang w:eastAsia="lt-LT"/>
        </w:rPr>
        <w:t>tenkančios</w:t>
      </w:r>
      <w:r>
        <w:rPr>
          <w:i/>
          <w:iCs/>
          <w:lang w:eastAsia="lt-LT"/>
        </w:rPr>
        <w:t xml:space="preserve"> </w:t>
      </w:r>
      <w:r>
        <w:rPr>
          <w:lang w:eastAsia="lt-LT"/>
        </w:rPr>
        <w:t>sąnaudos</w:t>
      </w:r>
      <w:r>
        <w:rPr>
          <w:i/>
          <w:iCs/>
          <w:lang w:eastAsia="lt-LT"/>
        </w:rPr>
        <w:t xml:space="preserve"> </w:t>
      </w:r>
      <w:r>
        <w:rPr>
          <w:lang w:eastAsia="lt-LT"/>
        </w:rPr>
        <w:t>paskirstomos</w:t>
      </w:r>
      <w:r>
        <w:rPr>
          <w:i/>
          <w:iCs/>
          <w:lang w:eastAsia="lt-LT"/>
        </w:rPr>
        <w:t xml:space="preserve"> </w:t>
      </w:r>
      <w:r>
        <w:rPr>
          <w:lang w:eastAsia="lt-LT"/>
        </w:rPr>
        <w:t>laikotarpiams,</w:t>
      </w:r>
      <w:r>
        <w:rPr>
          <w:i/>
          <w:iCs/>
          <w:lang w:eastAsia="lt-LT"/>
        </w:rPr>
        <w:t xml:space="preserve"> </w:t>
      </w:r>
      <w:r>
        <w:rPr>
          <w:lang w:eastAsia="lt-LT"/>
        </w:rPr>
        <w:t>per</w:t>
      </w:r>
      <w:r>
        <w:rPr>
          <w:i/>
          <w:iCs/>
          <w:lang w:eastAsia="lt-LT"/>
        </w:rPr>
        <w:t xml:space="preserve"> </w:t>
      </w:r>
      <w:r>
        <w:rPr>
          <w:lang w:eastAsia="lt-LT"/>
        </w:rPr>
        <w:t>kuriuos</w:t>
      </w:r>
      <w:r>
        <w:rPr>
          <w:i/>
          <w:iCs/>
          <w:lang w:eastAsia="lt-LT"/>
        </w:rPr>
        <w:t xml:space="preserve"> </w:t>
      </w:r>
      <w:r>
        <w:rPr>
          <w:lang w:eastAsia="lt-LT"/>
        </w:rPr>
        <w:t>įmonė</w:t>
      </w:r>
      <w:r>
        <w:rPr>
          <w:i/>
          <w:iCs/>
          <w:lang w:eastAsia="lt-LT"/>
        </w:rPr>
        <w:t xml:space="preserve"> </w:t>
      </w:r>
      <w:r>
        <w:rPr>
          <w:lang w:eastAsia="lt-LT"/>
        </w:rPr>
        <w:t>uždirba</w:t>
      </w:r>
      <w:r>
        <w:rPr>
          <w:i/>
          <w:iCs/>
          <w:lang w:eastAsia="lt-LT"/>
        </w:rPr>
        <w:t xml:space="preserve"> </w:t>
      </w:r>
      <w:r>
        <w:rPr>
          <w:lang w:eastAsia="lt-LT"/>
        </w:rPr>
        <w:t>pajamų.</w:t>
      </w:r>
      <w:r>
        <w:rPr>
          <w:i/>
          <w:iCs/>
          <w:lang w:eastAsia="lt-LT"/>
        </w:rPr>
        <w:t xml:space="preserve"> </w:t>
      </w:r>
      <w:bookmarkStart w:id="87" w:name="n1_139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88" w:name="pn1_1390"/>
      <w:bookmarkEnd w:id="87"/>
      <w:bookmarkEnd w:id="88"/>
      <w:r>
        <w:rPr>
          <w:i/>
          <w:iCs/>
          <w:lang w:eastAsia="lt-LT"/>
        </w:rPr>
        <w:t xml:space="preserve"> </w:t>
      </w:r>
      <w:r>
        <w:rPr>
          <w:lang w:eastAsia="lt-LT"/>
        </w:rPr>
        <w:t>8</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dalyje</w:t>
      </w:r>
      <w:r>
        <w:rPr>
          <w:i/>
          <w:iCs/>
          <w:lang w:eastAsia="lt-LT"/>
        </w:rPr>
        <w:t xml:space="preserve"> </w:t>
      </w:r>
      <w:r>
        <w:rPr>
          <w:lang w:eastAsia="lt-LT"/>
        </w:rPr>
        <w:t>palyginimo</w:t>
      </w:r>
      <w:r>
        <w:rPr>
          <w:i/>
          <w:iCs/>
          <w:lang w:eastAsia="lt-LT"/>
        </w:rPr>
        <w:t xml:space="preserve"> </w:t>
      </w:r>
      <w:r>
        <w:rPr>
          <w:lang w:eastAsia="lt-LT"/>
        </w:rPr>
        <w:t>principas</w:t>
      </w:r>
      <w:r>
        <w:rPr>
          <w:i/>
          <w:iCs/>
          <w:lang w:eastAsia="lt-LT"/>
        </w:rPr>
        <w:t xml:space="preserve"> </w:t>
      </w:r>
      <w:r>
        <w:rPr>
          <w:lang w:eastAsia="lt-LT"/>
        </w:rPr>
        <w:t>įtvirtintas</w:t>
      </w:r>
      <w:r>
        <w:rPr>
          <w:i/>
          <w:iCs/>
          <w:lang w:eastAsia="lt-LT"/>
        </w:rPr>
        <w:t xml:space="preserve"> </w:t>
      </w:r>
      <w:r>
        <w:rPr>
          <w:lang w:eastAsia="lt-LT"/>
        </w:rPr>
        <w:t>ir</w:t>
      </w:r>
      <w:r>
        <w:rPr>
          <w:i/>
          <w:iCs/>
          <w:lang w:eastAsia="lt-LT"/>
        </w:rPr>
        <w:t xml:space="preserve"> </w:t>
      </w:r>
      <w:r>
        <w:rPr>
          <w:lang w:eastAsia="lt-LT"/>
        </w:rPr>
        <w:t>tuo</w:t>
      </w:r>
      <w:r>
        <w:rPr>
          <w:i/>
          <w:iCs/>
          <w:lang w:eastAsia="lt-LT"/>
        </w:rPr>
        <w:t xml:space="preserve"> </w:t>
      </w:r>
      <w:r>
        <w:rPr>
          <w:lang w:eastAsia="lt-LT"/>
        </w:rPr>
        <w:t>atveju,</w:t>
      </w:r>
      <w:r>
        <w:rPr>
          <w:i/>
          <w:iCs/>
          <w:lang w:eastAsia="lt-LT"/>
        </w:rPr>
        <w:t xml:space="preserve"> </w:t>
      </w:r>
      <w:r>
        <w:rPr>
          <w:lang w:eastAsia="lt-LT"/>
        </w:rPr>
        <w:t>kai</w:t>
      </w:r>
      <w:r>
        <w:rPr>
          <w:i/>
          <w:iCs/>
          <w:lang w:eastAsia="lt-LT"/>
        </w:rPr>
        <w:t xml:space="preserve"> </w:t>
      </w:r>
      <w:r>
        <w:rPr>
          <w:lang w:eastAsia="lt-LT"/>
        </w:rPr>
        <w:t>pajamos</w:t>
      </w:r>
      <w:r>
        <w:rPr>
          <w:i/>
          <w:iCs/>
          <w:lang w:eastAsia="lt-LT"/>
        </w:rPr>
        <w:t xml:space="preserve"> </w:t>
      </w:r>
      <w:r>
        <w:rPr>
          <w:lang w:eastAsia="lt-LT"/>
        </w:rPr>
        <w:t>pripažįstamos</w:t>
      </w:r>
      <w:r>
        <w:rPr>
          <w:i/>
          <w:iCs/>
          <w:lang w:eastAsia="lt-LT"/>
        </w:rPr>
        <w:t xml:space="preserve"> </w:t>
      </w:r>
      <w:r>
        <w:rPr>
          <w:lang w:eastAsia="lt-LT"/>
        </w:rPr>
        <w:t>taikant</w:t>
      </w:r>
      <w:r>
        <w:rPr>
          <w:i/>
          <w:iCs/>
          <w:lang w:eastAsia="lt-LT"/>
        </w:rPr>
        <w:t xml:space="preserve"> </w:t>
      </w:r>
      <w:r>
        <w:rPr>
          <w:lang w:eastAsia="lt-LT"/>
        </w:rPr>
        <w:t>pinigų</w:t>
      </w:r>
      <w:r>
        <w:rPr>
          <w:i/>
          <w:iCs/>
          <w:lang w:eastAsia="lt-LT"/>
        </w:rPr>
        <w:t xml:space="preserve"> </w:t>
      </w:r>
      <w:r>
        <w:rPr>
          <w:lang w:eastAsia="lt-LT"/>
        </w:rPr>
        <w:t>principą.</w:t>
      </w:r>
      <w:r>
        <w:rPr>
          <w:i/>
          <w:iCs/>
          <w:lang w:eastAsia="lt-LT"/>
        </w:rPr>
        <w:t xml:space="preserve"> </w:t>
      </w:r>
      <w:r>
        <w:rPr>
          <w:lang w:eastAsia="lt-LT"/>
        </w:rPr>
        <w:t>Šioje</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pripažįstamos</w:t>
      </w:r>
      <w:r>
        <w:rPr>
          <w:i/>
          <w:iCs/>
          <w:lang w:eastAsia="lt-LT"/>
        </w:rPr>
        <w:t xml:space="preserve"> </w:t>
      </w:r>
      <w:r>
        <w:rPr>
          <w:lang w:eastAsia="lt-LT"/>
        </w:rPr>
        <w:t>tik</w:t>
      </w:r>
      <w:r>
        <w:rPr>
          <w:i/>
          <w:iCs/>
          <w:lang w:eastAsia="lt-LT"/>
        </w:rPr>
        <w:t xml:space="preserve"> </w:t>
      </w:r>
      <w:r>
        <w:rPr>
          <w:lang w:eastAsia="lt-LT"/>
        </w:rPr>
        <w:t>tos</w:t>
      </w:r>
      <w:r>
        <w:rPr>
          <w:i/>
          <w:iCs/>
          <w:lang w:eastAsia="lt-LT"/>
        </w:rPr>
        <w:t xml:space="preserve"> </w:t>
      </w:r>
      <w:r>
        <w:rPr>
          <w:lang w:eastAsia="lt-LT"/>
        </w:rPr>
        <w:t>sąnaudos,</w:t>
      </w:r>
      <w:r>
        <w:rPr>
          <w:i/>
          <w:iCs/>
          <w:lang w:eastAsia="lt-LT"/>
        </w:rPr>
        <w:t xml:space="preserve"> </w:t>
      </w:r>
      <w:r>
        <w:rPr>
          <w:lang w:eastAsia="lt-LT"/>
        </w:rPr>
        <w:t>kurios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per</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faktiškai</w:t>
      </w:r>
      <w:r>
        <w:rPr>
          <w:i/>
          <w:iCs/>
          <w:lang w:eastAsia="lt-LT"/>
        </w:rPr>
        <w:t xml:space="preserve"> </w:t>
      </w:r>
      <w:r>
        <w:rPr>
          <w:lang w:eastAsia="lt-LT"/>
        </w:rPr>
        <w:t>gautomis</w:t>
      </w:r>
      <w:r>
        <w:rPr>
          <w:i/>
          <w:iCs/>
          <w:lang w:eastAsia="lt-LT"/>
        </w:rPr>
        <w:t xml:space="preserve"> </w:t>
      </w:r>
      <w:r>
        <w:rPr>
          <w:lang w:eastAsia="lt-LT"/>
        </w:rPr>
        <w:t xml:space="preserve">pajamomis (žr. </w:t>
      </w:r>
      <w:bookmarkStart w:id="89" w:name="n1_139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0" w:name="pn1_1395"/>
      <w:bookmarkEnd w:id="89"/>
      <w:bookmarkEnd w:id="90"/>
      <w:r>
        <w:rPr>
          <w:lang w:eastAsia="lt-LT"/>
        </w:rPr>
        <w:t xml:space="preserve"> </w:t>
      </w:r>
      <w:bookmarkStart w:id="91" w:name="n1_1396"/>
      <w:r>
        <w:rPr>
          <w:lang w:eastAsia="lt-LT"/>
        </w:rPr>
        <w:fldChar w:fldCharType="begin"/>
      </w:r>
      <w:r>
        <w:rPr>
          <w:lang w:eastAsia="lt-LT"/>
        </w:rPr>
        <w:instrText xml:space="preserve"> HYPERLINK "JavaScript:OL('12868','8')" \o "Pajamų ir sąnaudų pripažinimas pagal pinigų apskaitos principą (str. 8)" </w:instrText>
      </w:r>
      <w:r>
        <w:rPr>
          <w:lang w:eastAsia="lt-LT"/>
        </w:rPr>
        <w:fldChar w:fldCharType="separate"/>
      </w:r>
      <w:r>
        <w:rPr>
          <w:rStyle w:val="Hipersaitas"/>
          <w:rFonts w:ascii="Times New Roman" w:hAnsi="Times New Roman" w:cs="Times New Roman"/>
          <w:lang w:eastAsia="lt-LT"/>
        </w:rPr>
        <w:t>8</w:t>
      </w:r>
      <w:r>
        <w:rPr>
          <w:lang w:eastAsia="lt-LT"/>
        </w:rPr>
        <w:fldChar w:fldCharType="end"/>
      </w:r>
      <w:bookmarkStart w:id="92" w:name="pn1_1396"/>
      <w:bookmarkEnd w:id="91"/>
      <w:bookmarkEnd w:id="92"/>
      <w:r>
        <w:rPr>
          <w:lang w:eastAsia="lt-LT"/>
        </w:rPr>
        <w:t xml:space="preserve"> str. 2 dalies komentarą).</w:t>
      </w:r>
    </w:p>
    <w:p w14:paraId="6D5112BA" w14:textId="77777777" w:rsidR="00093845" w:rsidRDefault="000D779E">
      <w:pPr>
        <w:spacing w:before="100" w:beforeAutospacing="1" w:after="100" w:afterAutospacing="1"/>
        <w:jc w:val="both"/>
        <w:rPr>
          <w:lang w:eastAsia="lt-LT"/>
        </w:rPr>
      </w:pPr>
      <w:r>
        <w:rPr>
          <w:lang w:eastAsia="lt-LT"/>
        </w:rPr>
        <w:t xml:space="preserve">     9.</w:t>
      </w:r>
      <w:r>
        <w:rPr>
          <w:i/>
          <w:iCs/>
          <w:lang w:eastAsia="lt-LT"/>
        </w:rPr>
        <w:t xml:space="preserve"> </w:t>
      </w:r>
      <w:r>
        <w:rPr>
          <w:lang w:eastAsia="lt-LT"/>
        </w:rPr>
        <w:t>Įmonė,</w:t>
      </w:r>
      <w:r>
        <w:rPr>
          <w:i/>
          <w:iCs/>
          <w:lang w:eastAsia="lt-LT"/>
        </w:rPr>
        <w:t xml:space="preserve"> </w:t>
      </w:r>
      <w:r>
        <w:rPr>
          <w:lang w:eastAsia="lt-LT"/>
        </w:rPr>
        <w:t>vadovaudamasi</w:t>
      </w:r>
      <w:r>
        <w:rPr>
          <w:i/>
          <w:iCs/>
          <w:lang w:eastAsia="lt-LT"/>
        </w:rPr>
        <w:t xml:space="preserve"> </w:t>
      </w:r>
      <w:r>
        <w:rPr>
          <w:lang w:eastAsia="lt-LT"/>
        </w:rPr>
        <w:t>atsargumo</w:t>
      </w:r>
      <w:r>
        <w:rPr>
          <w:i/>
          <w:iCs/>
          <w:lang w:eastAsia="lt-LT"/>
        </w:rPr>
        <w:t xml:space="preserve"> </w:t>
      </w:r>
      <w:r>
        <w:rPr>
          <w:lang w:eastAsia="lt-LT"/>
        </w:rPr>
        <w:t>principu,</w:t>
      </w:r>
      <w:r>
        <w:rPr>
          <w:i/>
          <w:iCs/>
          <w:lang w:eastAsia="lt-LT"/>
        </w:rPr>
        <w:t xml:space="preserve"> </w:t>
      </w:r>
      <w:r>
        <w:rPr>
          <w:lang w:eastAsia="lt-LT"/>
        </w:rPr>
        <w:t>turi</w:t>
      </w:r>
      <w:r>
        <w:rPr>
          <w:i/>
          <w:iCs/>
          <w:lang w:eastAsia="lt-LT"/>
        </w:rPr>
        <w:t xml:space="preserve"> </w:t>
      </w:r>
      <w:r>
        <w:rPr>
          <w:lang w:eastAsia="lt-LT"/>
        </w:rPr>
        <w:t>pasirinkti</w:t>
      </w:r>
      <w:r>
        <w:rPr>
          <w:i/>
          <w:iCs/>
          <w:lang w:eastAsia="lt-LT"/>
        </w:rPr>
        <w:t xml:space="preserve"> </w:t>
      </w:r>
      <w:r>
        <w:rPr>
          <w:lang w:eastAsia="lt-LT"/>
        </w:rPr>
        <w:t>tokius</w:t>
      </w:r>
      <w:r>
        <w:rPr>
          <w:i/>
          <w:iCs/>
          <w:lang w:eastAsia="lt-LT"/>
        </w:rPr>
        <w:t xml:space="preserve"> </w:t>
      </w:r>
      <w:r>
        <w:rPr>
          <w:lang w:eastAsia="lt-LT"/>
        </w:rPr>
        <w:t>apskaitos</w:t>
      </w:r>
      <w:r>
        <w:rPr>
          <w:i/>
          <w:iCs/>
          <w:lang w:eastAsia="lt-LT"/>
        </w:rPr>
        <w:t xml:space="preserve"> </w:t>
      </w:r>
      <w:r>
        <w:rPr>
          <w:lang w:eastAsia="lt-LT"/>
        </w:rPr>
        <w:t>metodus,</w:t>
      </w:r>
      <w:r>
        <w:rPr>
          <w:i/>
          <w:iCs/>
          <w:lang w:eastAsia="lt-LT"/>
        </w:rPr>
        <w:t xml:space="preserve"> </w:t>
      </w:r>
      <w:r>
        <w:rPr>
          <w:lang w:eastAsia="lt-LT"/>
        </w:rPr>
        <w:t>kuriais</w:t>
      </w:r>
      <w:r>
        <w:rPr>
          <w:i/>
          <w:iCs/>
          <w:lang w:eastAsia="lt-LT"/>
        </w:rPr>
        <w:t xml:space="preserve"> </w:t>
      </w:r>
      <w:r>
        <w:rPr>
          <w:lang w:eastAsia="lt-LT"/>
        </w:rPr>
        <w:t>įmonės</w:t>
      </w:r>
      <w:r>
        <w:rPr>
          <w:i/>
          <w:iCs/>
          <w:lang w:eastAsia="lt-LT"/>
        </w:rPr>
        <w:t xml:space="preserve"> </w:t>
      </w:r>
      <w:r>
        <w:rPr>
          <w:lang w:eastAsia="lt-LT"/>
        </w:rPr>
        <w:t>turto,</w:t>
      </w:r>
      <w:r>
        <w:rPr>
          <w:i/>
          <w:iCs/>
          <w:lang w:eastAsia="lt-LT"/>
        </w:rPr>
        <w:t xml:space="preserve"> </w:t>
      </w:r>
      <w:r>
        <w:rPr>
          <w:lang w:eastAsia="lt-LT"/>
        </w:rPr>
        <w:t>nuosavo</w:t>
      </w:r>
      <w:r>
        <w:rPr>
          <w:i/>
          <w:iCs/>
          <w:lang w:eastAsia="lt-LT"/>
        </w:rPr>
        <w:t xml:space="preserve"> </w:t>
      </w:r>
      <w:r>
        <w:rPr>
          <w:lang w:eastAsia="lt-LT"/>
        </w:rPr>
        <w:t>kapitalo</w:t>
      </w:r>
      <w:r>
        <w:rPr>
          <w:i/>
          <w:iCs/>
          <w:lang w:eastAsia="lt-LT"/>
        </w:rPr>
        <w:t xml:space="preserve"> </w:t>
      </w:r>
      <w:r>
        <w:rPr>
          <w:lang w:eastAsia="lt-LT"/>
        </w:rPr>
        <w:t>ir</w:t>
      </w:r>
      <w:r>
        <w:rPr>
          <w:i/>
          <w:iCs/>
          <w:lang w:eastAsia="lt-LT"/>
        </w:rPr>
        <w:t xml:space="preserve"> </w:t>
      </w:r>
      <w:r>
        <w:rPr>
          <w:lang w:eastAsia="lt-LT"/>
        </w:rPr>
        <w:t>įsipareigojimų, pajamų ir sąnaudų</w:t>
      </w:r>
      <w:r>
        <w:rPr>
          <w:i/>
          <w:iCs/>
          <w:lang w:eastAsia="lt-LT"/>
        </w:rPr>
        <w:t xml:space="preserve"> </w:t>
      </w:r>
      <w:r>
        <w:rPr>
          <w:lang w:eastAsia="lt-LT"/>
        </w:rPr>
        <w:t>vertė</w:t>
      </w:r>
      <w:r>
        <w:rPr>
          <w:i/>
          <w:iCs/>
          <w:lang w:eastAsia="lt-LT"/>
        </w:rPr>
        <w:t xml:space="preserve"> </w:t>
      </w:r>
      <w:r>
        <w:rPr>
          <w:lang w:eastAsia="lt-LT"/>
        </w:rPr>
        <w:t>negali</w:t>
      </w:r>
      <w:r>
        <w:rPr>
          <w:i/>
          <w:iCs/>
          <w:lang w:eastAsia="lt-LT"/>
        </w:rPr>
        <w:t xml:space="preserve"> </w:t>
      </w:r>
      <w:r>
        <w:rPr>
          <w:lang w:eastAsia="lt-LT"/>
        </w:rPr>
        <w:t>būti</w:t>
      </w:r>
      <w:r>
        <w:rPr>
          <w:i/>
          <w:iCs/>
          <w:lang w:eastAsia="lt-LT"/>
        </w:rPr>
        <w:t xml:space="preserve"> </w:t>
      </w:r>
      <w:r>
        <w:rPr>
          <w:lang w:eastAsia="lt-LT"/>
        </w:rPr>
        <w:t>nepagrįstai</w:t>
      </w:r>
      <w:r>
        <w:rPr>
          <w:i/>
          <w:iCs/>
          <w:lang w:eastAsia="lt-LT"/>
        </w:rPr>
        <w:t xml:space="preserve"> </w:t>
      </w:r>
      <w:r>
        <w:rPr>
          <w:lang w:eastAsia="lt-LT"/>
        </w:rPr>
        <w:t>padidinta</w:t>
      </w:r>
      <w:r>
        <w:rPr>
          <w:i/>
          <w:iCs/>
          <w:lang w:eastAsia="lt-LT"/>
        </w:rPr>
        <w:t xml:space="preserve"> </w:t>
      </w:r>
      <w:r>
        <w:rPr>
          <w:lang w:eastAsia="lt-LT"/>
        </w:rPr>
        <w:t>arba</w:t>
      </w:r>
      <w:r>
        <w:rPr>
          <w:i/>
          <w:iCs/>
          <w:lang w:eastAsia="lt-LT"/>
        </w:rPr>
        <w:t xml:space="preserve"> </w:t>
      </w:r>
      <w:r>
        <w:rPr>
          <w:lang w:eastAsia="lt-LT"/>
        </w:rPr>
        <w:t>sumažinta.</w:t>
      </w:r>
    </w:p>
    <w:p w14:paraId="5A484E59" w14:textId="77777777" w:rsidR="00093845" w:rsidRDefault="000D779E">
      <w:pPr>
        <w:spacing w:before="100" w:beforeAutospacing="1" w:after="100" w:afterAutospacing="1"/>
        <w:jc w:val="both"/>
        <w:rPr>
          <w:lang w:eastAsia="lt-LT"/>
        </w:rPr>
      </w:pPr>
      <w:r>
        <w:rPr>
          <w:lang w:eastAsia="lt-LT"/>
        </w:rPr>
        <w:t xml:space="preserve">     10.</w:t>
      </w:r>
      <w:r>
        <w:rPr>
          <w:i/>
          <w:iCs/>
          <w:lang w:eastAsia="lt-LT"/>
        </w:rPr>
        <w:t xml:space="preserve"> </w:t>
      </w:r>
      <w:r>
        <w:rPr>
          <w:lang w:eastAsia="lt-LT"/>
        </w:rPr>
        <w:t>Neutralumo</w:t>
      </w:r>
      <w:r>
        <w:rPr>
          <w:i/>
          <w:iCs/>
          <w:lang w:eastAsia="lt-LT"/>
        </w:rPr>
        <w:t xml:space="preserve"> </w:t>
      </w:r>
      <w:r>
        <w:rPr>
          <w:lang w:eastAsia="lt-LT"/>
        </w:rPr>
        <w:t>principas</w:t>
      </w:r>
      <w:r>
        <w:rPr>
          <w:i/>
          <w:iCs/>
          <w:lang w:eastAsia="lt-LT"/>
        </w:rPr>
        <w:t xml:space="preserve"> </w:t>
      </w:r>
      <w:r>
        <w:rPr>
          <w:lang w:eastAsia="lt-LT"/>
        </w:rPr>
        <w:t>reiškia,</w:t>
      </w:r>
      <w:r>
        <w:rPr>
          <w:i/>
          <w:iCs/>
          <w:lang w:eastAsia="lt-LT"/>
        </w:rPr>
        <w:t xml:space="preserve"> </w:t>
      </w:r>
      <w:r>
        <w:rPr>
          <w:lang w:eastAsia="lt-LT"/>
        </w:rPr>
        <w:t>kad</w:t>
      </w:r>
      <w:r>
        <w:rPr>
          <w:i/>
          <w:iCs/>
          <w:lang w:eastAsia="lt-LT"/>
        </w:rPr>
        <w:t xml:space="preserve"> </w:t>
      </w:r>
      <w:r>
        <w:rPr>
          <w:lang w:eastAsia="lt-LT"/>
        </w:rPr>
        <w:t>apskaitos</w:t>
      </w:r>
      <w:r>
        <w:rPr>
          <w:i/>
          <w:iCs/>
          <w:lang w:eastAsia="lt-LT"/>
        </w:rPr>
        <w:t xml:space="preserve"> </w:t>
      </w:r>
      <w:r w:rsidRPr="00551983">
        <w:rPr>
          <w:lang w:eastAsia="lt-LT"/>
        </w:rPr>
        <w:t>informacija</w:t>
      </w:r>
      <w:r w:rsidRPr="00551983">
        <w:rPr>
          <w:iCs/>
          <w:lang w:eastAsia="lt-LT"/>
        </w:rPr>
        <w:t xml:space="preserve"> </w:t>
      </w:r>
      <w:r w:rsidR="00551983" w:rsidRPr="00551983">
        <w:rPr>
          <w:iCs/>
          <w:lang w:eastAsia="lt-LT"/>
        </w:rPr>
        <w:t xml:space="preserve">turi būti </w:t>
      </w:r>
      <w:r w:rsidR="00551983">
        <w:rPr>
          <w:lang w:eastAsia="lt-LT"/>
        </w:rPr>
        <w:t xml:space="preserve">objektyvi </w:t>
      </w:r>
      <w:r>
        <w:rPr>
          <w:lang w:eastAsia="lt-LT"/>
        </w:rPr>
        <w:t>ir</w:t>
      </w:r>
      <w:r>
        <w:rPr>
          <w:i/>
          <w:iCs/>
          <w:lang w:eastAsia="lt-LT"/>
        </w:rPr>
        <w:t xml:space="preserve"> </w:t>
      </w:r>
      <w:r w:rsidR="00551983">
        <w:rPr>
          <w:lang w:eastAsia="lt-LT"/>
        </w:rPr>
        <w:t>nešališka</w:t>
      </w:r>
      <w:r>
        <w:rPr>
          <w:lang w:eastAsia="lt-LT"/>
        </w:rPr>
        <w:t>.</w:t>
      </w:r>
      <w:r>
        <w:rPr>
          <w:i/>
          <w:iCs/>
          <w:lang w:eastAsia="lt-LT"/>
        </w:rPr>
        <w:t xml:space="preserve"> </w:t>
      </w:r>
      <w:r>
        <w:rPr>
          <w:lang w:eastAsia="lt-LT"/>
        </w:rPr>
        <w:t>Jos</w:t>
      </w:r>
      <w:r>
        <w:rPr>
          <w:i/>
          <w:iCs/>
          <w:lang w:eastAsia="lt-LT"/>
        </w:rPr>
        <w:t xml:space="preserve"> </w:t>
      </w:r>
      <w:r>
        <w:rPr>
          <w:lang w:eastAsia="lt-LT"/>
        </w:rPr>
        <w:t>pateikimas</w:t>
      </w:r>
      <w:r>
        <w:rPr>
          <w:i/>
          <w:iCs/>
          <w:lang w:eastAsia="lt-LT"/>
        </w:rPr>
        <w:t xml:space="preserve"> </w:t>
      </w:r>
      <w:r>
        <w:rPr>
          <w:lang w:eastAsia="lt-LT"/>
        </w:rPr>
        <w:t>neturėtų</w:t>
      </w:r>
      <w:r>
        <w:rPr>
          <w:i/>
          <w:iCs/>
          <w:lang w:eastAsia="lt-LT"/>
        </w:rPr>
        <w:t xml:space="preserve"> </w:t>
      </w:r>
      <w:r>
        <w:rPr>
          <w:lang w:eastAsia="lt-LT"/>
        </w:rPr>
        <w:t>daryti</w:t>
      </w:r>
      <w:r>
        <w:rPr>
          <w:i/>
          <w:iCs/>
          <w:lang w:eastAsia="lt-LT"/>
        </w:rPr>
        <w:t xml:space="preserve"> </w:t>
      </w:r>
      <w:r>
        <w:rPr>
          <w:lang w:eastAsia="lt-LT"/>
        </w:rPr>
        <w:t>įtakos</w:t>
      </w:r>
      <w:r>
        <w:rPr>
          <w:i/>
          <w:iCs/>
          <w:lang w:eastAsia="lt-LT"/>
        </w:rPr>
        <w:t xml:space="preserve"> </w:t>
      </w:r>
      <w:r>
        <w:rPr>
          <w:lang w:eastAsia="lt-LT"/>
        </w:rPr>
        <w:t>apskaitos</w:t>
      </w:r>
      <w:r>
        <w:rPr>
          <w:i/>
          <w:iCs/>
          <w:lang w:eastAsia="lt-LT"/>
        </w:rPr>
        <w:t xml:space="preserve"> </w:t>
      </w:r>
      <w:r>
        <w:rPr>
          <w:lang w:eastAsia="lt-LT"/>
        </w:rPr>
        <w:t>informacijos</w:t>
      </w:r>
      <w:r>
        <w:rPr>
          <w:i/>
          <w:iCs/>
          <w:lang w:eastAsia="lt-LT"/>
        </w:rPr>
        <w:t xml:space="preserve"> </w:t>
      </w:r>
      <w:r>
        <w:rPr>
          <w:lang w:eastAsia="lt-LT"/>
        </w:rPr>
        <w:t>vartotojų</w:t>
      </w:r>
      <w:r>
        <w:rPr>
          <w:i/>
          <w:iCs/>
          <w:lang w:eastAsia="lt-LT"/>
        </w:rPr>
        <w:t xml:space="preserve"> </w:t>
      </w:r>
      <w:r>
        <w:rPr>
          <w:lang w:eastAsia="lt-LT"/>
        </w:rPr>
        <w:t>priimamiems</w:t>
      </w:r>
      <w:r>
        <w:rPr>
          <w:i/>
          <w:iCs/>
          <w:lang w:eastAsia="lt-LT"/>
        </w:rPr>
        <w:t xml:space="preserve"> </w:t>
      </w:r>
      <w:r>
        <w:rPr>
          <w:lang w:eastAsia="lt-LT"/>
        </w:rPr>
        <w:t>sprendimams</w:t>
      </w:r>
      <w:r>
        <w:rPr>
          <w:i/>
          <w:iCs/>
          <w:lang w:eastAsia="lt-LT"/>
        </w:rPr>
        <w:t xml:space="preserve"> </w:t>
      </w:r>
      <w:r>
        <w:rPr>
          <w:lang w:eastAsia="lt-LT"/>
        </w:rPr>
        <w:t>ir</w:t>
      </w:r>
      <w:r>
        <w:rPr>
          <w:i/>
          <w:iCs/>
          <w:lang w:eastAsia="lt-LT"/>
        </w:rPr>
        <w:t xml:space="preserve"> </w:t>
      </w:r>
      <w:r>
        <w:rPr>
          <w:lang w:eastAsia="lt-LT"/>
        </w:rPr>
        <w:t>juo</w:t>
      </w:r>
      <w:r>
        <w:rPr>
          <w:i/>
          <w:iCs/>
          <w:lang w:eastAsia="lt-LT"/>
        </w:rPr>
        <w:t xml:space="preserve"> </w:t>
      </w:r>
      <w:r>
        <w:rPr>
          <w:lang w:eastAsia="lt-LT"/>
        </w:rPr>
        <w:t>neturėtų</w:t>
      </w:r>
      <w:r>
        <w:rPr>
          <w:i/>
          <w:iCs/>
          <w:lang w:eastAsia="lt-LT"/>
        </w:rPr>
        <w:t xml:space="preserve"> </w:t>
      </w:r>
      <w:r>
        <w:rPr>
          <w:lang w:eastAsia="lt-LT"/>
        </w:rPr>
        <w:t>būti</w:t>
      </w:r>
      <w:r>
        <w:rPr>
          <w:i/>
          <w:iCs/>
          <w:lang w:eastAsia="lt-LT"/>
        </w:rPr>
        <w:t xml:space="preserve"> </w:t>
      </w:r>
      <w:r>
        <w:rPr>
          <w:lang w:eastAsia="lt-LT"/>
        </w:rPr>
        <w:t>siekiama</w:t>
      </w:r>
      <w:r>
        <w:rPr>
          <w:i/>
          <w:iCs/>
          <w:lang w:eastAsia="lt-LT"/>
        </w:rPr>
        <w:t xml:space="preserve"> </w:t>
      </w:r>
      <w:r>
        <w:rPr>
          <w:lang w:eastAsia="lt-LT"/>
        </w:rPr>
        <w:t>iš</w:t>
      </w:r>
      <w:r>
        <w:rPr>
          <w:i/>
          <w:iCs/>
          <w:lang w:eastAsia="lt-LT"/>
        </w:rPr>
        <w:t xml:space="preserve"> </w:t>
      </w:r>
      <w:r>
        <w:rPr>
          <w:lang w:eastAsia="lt-LT"/>
        </w:rPr>
        <w:t>anksto</w:t>
      </w:r>
      <w:r>
        <w:rPr>
          <w:i/>
          <w:iCs/>
          <w:lang w:eastAsia="lt-LT"/>
        </w:rPr>
        <w:t xml:space="preserve"> </w:t>
      </w:r>
      <w:r>
        <w:rPr>
          <w:lang w:eastAsia="lt-LT"/>
        </w:rPr>
        <w:t>numatyto</w:t>
      </w:r>
      <w:r>
        <w:rPr>
          <w:i/>
          <w:iCs/>
          <w:lang w:eastAsia="lt-LT"/>
        </w:rPr>
        <w:t xml:space="preserve"> </w:t>
      </w:r>
      <w:r>
        <w:rPr>
          <w:lang w:eastAsia="lt-LT"/>
        </w:rPr>
        <w:t>rezultato.</w:t>
      </w:r>
    </w:p>
    <w:p w14:paraId="22F29203" w14:textId="77777777" w:rsidR="00093845" w:rsidRDefault="000D779E">
      <w:pPr>
        <w:spacing w:before="100" w:beforeAutospacing="1" w:after="100" w:afterAutospacing="1"/>
        <w:jc w:val="both"/>
        <w:rPr>
          <w:lang w:eastAsia="lt-LT"/>
        </w:rPr>
      </w:pPr>
      <w:r>
        <w:rPr>
          <w:lang w:eastAsia="lt-LT"/>
        </w:rPr>
        <w:t xml:space="preserve">    11.</w:t>
      </w:r>
      <w:r>
        <w:rPr>
          <w:i/>
          <w:iCs/>
          <w:lang w:eastAsia="lt-LT"/>
        </w:rPr>
        <w:t xml:space="preserve"> </w:t>
      </w:r>
      <w:r>
        <w:rPr>
          <w:lang w:eastAsia="lt-LT"/>
        </w:rPr>
        <w:t>Pagal</w:t>
      </w:r>
      <w:r>
        <w:rPr>
          <w:i/>
          <w:iCs/>
          <w:lang w:eastAsia="lt-LT"/>
        </w:rPr>
        <w:t xml:space="preserve"> </w:t>
      </w:r>
      <w:r>
        <w:rPr>
          <w:lang w:eastAsia="lt-LT"/>
        </w:rPr>
        <w:t>turinio</w:t>
      </w:r>
      <w:r>
        <w:rPr>
          <w:i/>
          <w:iCs/>
          <w:lang w:eastAsia="lt-LT"/>
        </w:rPr>
        <w:t xml:space="preserve"> </w:t>
      </w:r>
      <w:r>
        <w:rPr>
          <w:lang w:eastAsia="lt-LT"/>
        </w:rPr>
        <w:t>viršenybės prieš formą</w:t>
      </w:r>
      <w:r>
        <w:rPr>
          <w:i/>
          <w:iCs/>
          <w:lang w:eastAsia="lt-LT"/>
        </w:rPr>
        <w:t xml:space="preserve"> </w:t>
      </w:r>
      <w:r>
        <w:rPr>
          <w:lang w:eastAsia="lt-LT"/>
        </w:rPr>
        <w:t>principą</w:t>
      </w:r>
      <w:r>
        <w:rPr>
          <w:i/>
          <w:iCs/>
          <w:lang w:eastAsia="lt-LT"/>
        </w:rPr>
        <w:t xml:space="preserve"> </w:t>
      </w:r>
      <w:r>
        <w:rPr>
          <w:lang w:eastAsia="lt-LT"/>
        </w:rPr>
        <w:t>ūkinės</w:t>
      </w:r>
      <w:r>
        <w:rPr>
          <w:i/>
          <w:iCs/>
          <w:lang w:eastAsia="lt-LT"/>
        </w:rPr>
        <w:t xml:space="preserve"> </w:t>
      </w:r>
      <w:r>
        <w:rPr>
          <w:lang w:eastAsia="lt-LT"/>
        </w:rPr>
        <w:t>operacijos</w:t>
      </w:r>
      <w:r>
        <w:rPr>
          <w:i/>
          <w:iCs/>
          <w:lang w:eastAsia="lt-LT"/>
        </w:rPr>
        <w:t xml:space="preserve"> </w:t>
      </w:r>
      <w:r>
        <w:rPr>
          <w:lang w:eastAsia="lt-LT"/>
        </w:rPr>
        <w:t>ir</w:t>
      </w:r>
      <w:r>
        <w:rPr>
          <w:i/>
          <w:iCs/>
          <w:lang w:eastAsia="lt-LT"/>
        </w:rPr>
        <w:t xml:space="preserve"> </w:t>
      </w:r>
      <w:r>
        <w:rPr>
          <w:lang w:eastAsia="lt-LT"/>
        </w:rPr>
        <w:t>ūkiniai</w:t>
      </w:r>
      <w:r>
        <w:rPr>
          <w:i/>
          <w:iCs/>
          <w:lang w:eastAsia="lt-LT"/>
        </w:rPr>
        <w:t xml:space="preserve"> </w:t>
      </w:r>
      <w:r>
        <w:rPr>
          <w:lang w:eastAsia="lt-LT"/>
        </w:rPr>
        <w:t>įvykiai</w:t>
      </w:r>
      <w:r>
        <w:rPr>
          <w:i/>
          <w:iCs/>
          <w:lang w:eastAsia="lt-LT"/>
        </w:rPr>
        <w:t xml:space="preserve"> </w:t>
      </w:r>
      <w:r>
        <w:rPr>
          <w:lang w:eastAsia="lt-LT"/>
        </w:rPr>
        <w:t>į</w:t>
      </w:r>
      <w:r>
        <w:rPr>
          <w:i/>
          <w:iCs/>
          <w:lang w:eastAsia="lt-LT"/>
        </w:rPr>
        <w:t xml:space="preserve"> </w:t>
      </w:r>
      <w:r>
        <w:rPr>
          <w:lang w:eastAsia="lt-LT"/>
        </w:rPr>
        <w:t>apskaitą</w:t>
      </w:r>
      <w:r>
        <w:rPr>
          <w:i/>
          <w:iCs/>
          <w:lang w:eastAsia="lt-LT"/>
        </w:rPr>
        <w:t xml:space="preserve"> </w:t>
      </w:r>
      <w:r>
        <w:rPr>
          <w:lang w:eastAsia="lt-LT"/>
        </w:rPr>
        <w:t>traukiami</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turinį</w:t>
      </w:r>
      <w:r>
        <w:rPr>
          <w:i/>
          <w:iCs/>
          <w:lang w:eastAsia="lt-LT"/>
        </w:rPr>
        <w:t xml:space="preserve"> </w:t>
      </w:r>
      <w:r>
        <w:rPr>
          <w:lang w:eastAsia="lt-LT"/>
        </w:rPr>
        <w:t>ir</w:t>
      </w:r>
      <w:r>
        <w:rPr>
          <w:i/>
          <w:iCs/>
          <w:lang w:eastAsia="lt-LT"/>
        </w:rPr>
        <w:t xml:space="preserve"> </w:t>
      </w:r>
      <w:r>
        <w:rPr>
          <w:lang w:eastAsia="lt-LT"/>
        </w:rPr>
        <w:t>ekonominę</w:t>
      </w:r>
      <w:r>
        <w:rPr>
          <w:i/>
          <w:iCs/>
          <w:lang w:eastAsia="lt-LT"/>
        </w:rPr>
        <w:t xml:space="preserve"> </w:t>
      </w:r>
      <w:r>
        <w:rPr>
          <w:lang w:eastAsia="lt-LT"/>
        </w:rPr>
        <w:t>prasmę,</w:t>
      </w:r>
      <w:r>
        <w:rPr>
          <w:i/>
          <w:iCs/>
          <w:lang w:eastAsia="lt-LT"/>
        </w:rPr>
        <w:t xml:space="preserve"> </w:t>
      </w:r>
      <w:r>
        <w:rPr>
          <w:lang w:eastAsia="lt-LT"/>
        </w:rPr>
        <w:t>o</w:t>
      </w:r>
      <w:r>
        <w:rPr>
          <w:i/>
          <w:iCs/>
          <w:lang w:eastAsia="lt-LT"/>
        </w:rPr>
        <w:t xml:space="preserve"> </w:t>
      </w:r>
      <w:r>
        <w:rPr>
          <w:lang w:eastAsia="lt-LT"/>
        </w:rPr>
        <w:t>ne</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juridinę</w:t>
      </w:r>
      <w:r>
        <w:rPr>
          <w:i/>
          <w:iCs/>
          <w:lang w:eastAsia="lt-LT"/>
        </w:rPr>
        <w:t xml:space="preserve"> </w:t>
      </w:r>
      <w:r>
        <w:rPr>
          <w:lang w:eastAsia="lt-LT"/>
        </w:rPr>
        <w:t>formą.</w:t>
      </w:r>
      <w:r>
        <w:rPr>
          <w:i/>
          <w:iCs/>
          <w:lang w:eastAsia="lt-LT"/>
        </w:rPr>
        <w:t xml:space="preserve"> </w:t>
      </w:r>
    </w:p>
    <w:p w14:paraId="4ED84339" w14:textId="77777777" w:rsidR="00093845" w:rsidRDefault="000D779E">
      <w:pPr>
        <w:spacing w:before="100" w:beforeAutospacing="1" w:after="100" w:afterAutospacing="1"/>
        <w:jc w:val="both"/>
        <w:rPr>
          <w:lang w:eastAsia="lt-LT"/>
        </w:rPr>
      </w:pPr>
      <w:r>
        <w:rPr>
          <w:lang w:eastAsia="lt-LT"/>
        </w:rPr>
        <w:t xml:space="preserve">Bendraisiais apskaitos principais vadovaujamasi pripažįstant pajamas ir sąnaudas bei apskaičiuojant apmokestinamąjį pelną, kiek tai neprieštarauja </w:t>
      </w:r>
      <w:bookmarkStart w:id="93" w:name="n1_139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4" w:name="pn1_1397"/>
      <w:bookmarkEnd w:id="93"/>
      <w:bookmarkEnd w:id="94"/>
      <w:r>
        <w:rPr>
          <w:lang w:eastAsia="lt-LT"/>
        </w:rPr>
        <w:t xml:space="preserve"> nuostatoms.</w:t>
      </w:r>
    </w:p>
    <w:p w14:paraId="5997BC25" w14:textId="77777777" w:rsidR="00093845" w:rsidRDefault="000D779E">
      <w:pPr>
        <w:spacing w:before="100" w:beforeAutospacing="1" w:after="100" w:afterAutospacing="1"/>
        <w:jc w:val="both"/>
        <w:rPr>
          <w:lang w:eastAsia="lt-LT"/>
        </w:rPr>
      </w:pPr>
      <w:r>
        <w:rPr>
          <w:lang w:eastAsia="lt-LT"/>
        </w:rPr>
        <w:t xml:space="preserve">    12. Pajamos – tai iš Lietuvos šaltinių ir iš ne Lietuvos šaltinių (t. y. iš užsienio valstybėse esančių šaltinių) uždirbtos ir (arba) gautos pajamos. Pajamomis nelaikomos trečiųjų asmenų vardu gautos sumos, savininkų (akcininkų) įnašai ir į biudžetą mokėtinas pridėtinės vertės mokestis (pardavimo PVM) (žr. 2 str. 24 punkto komentarą).</w:t>
      </w:r>
    </w:p>
    <w:p w14:paraId="2D19BA80" w14:textId="77777777" w:rsidR="00093845" w:rsidRDefault="000D779E">
      <w:pPr>
        <w:spacing w:before="100" w:beforeAutospacing="1" w:after="100" w:afterAutospacing="1"/>
        <w:jc w:val="both"/>
        <w:rPr>
          <w:lang w:eastAsia="lt-LT"/>
        </w:rPr>
      </w:pPr>
      <w:r>
        <w:rPr>
          <w:lang w:eastAsia="lt-LT"/>
        </w:rPr>
        <w:t>Nustatant</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mokėtino</w:t>
      </w:r>
      <w:r>
        <w:rPr>
          <w:i/>
          <w:iCs/>
          <w:lang w:eastAsia="lt-LT"/>
        </w:rPr>
        <w:t xml:space="preserve"> </w:t>
      </w:r>
      <w:r>
        <w:rPr>
          <w:lang w:eastAsia="lt-LT"/>
        </w:rPr>
        <w:t>nuo</w:t>
      </w:r>
      <w:r>
        <w:rPr>
          <w:i/>
          <w:iCs/>
          <w:lang w:eastAsia="lt-LT"/>
        </w:rPr>
        <w:t xml:space="preserve"> </w:t>
      </w:r>
      <w:r>
        <w:rPr>
          <w:lang w:eastAsia="lt-LT"/>
        </w:rPr>
        <w:t>apmokestinamojo</w:t>
      </w:r>
      <w:r>
        <w:rPr>
          <w:i/>
          <w:iCs/>
          <w:lang w:eastAsia="lt-LT"/>
        </w:rPr>
        <w:t xml:space="preserve"> </w:t>
      </w:r>
      <w:r>
        <w:rPr>
          <w:lang w:eastAsia="lt-LT"/>
        </w:rPr>
        <w:t>pelno,</w:t>
      </w:r>
      <w:r>
        <w:rPr>
          <w:i/>
          <w:iCs/>
          <w:lang w:eastAsia="lt-LT"/>
        </w:rPr>
        <w:t xml:space="preserve"> </w:t>
      </w:r>
      <w:r>
        <w:rPr>
          <w:lang w:eastAsia="lt-LT"/>
        </w:rPr>
        <w:t>bazę,</w:t>
      </w:r>
      <w:r>
        <w:rPr>
          <w:i/>
          <w:iCs/>
          <w:lang w:eastAsia="lt-LT"/>
        </w:rPr>
        <w:t xml:space="preserve"> </w:t>
      </w:r>
      <w:r>
        <w:rPr>
          <w:lang w:eastAsia="lt-LT"/>
        </w:rPr>
        <w:t>į</w:t>
      </w:r>
      <w:r>
        <w:rPr>
          <w:i/>
          <w:iCs/>
          <w:lang w:eastAsia="lt-LT"/>
        </w:rPr>
        <w:t xml:space="preserve"> </w:t>
      </w:r>
      <w:r>
        <w:rPr>
          <w:lang w:eastAsia="lt-LT"/>
        </w:rPr>
        <w:t>Lietuvos</w:t>
      </w:r>
      <w:r>
        <w:rPr>
          <w:i/>
          <w:iCs/>
          <w:lang w:eastAsia="lt-LT"/>
        </w:rPr>
        <w:t xml:space="preserve"> </w:t>
      </w:r>
      <w:r>
        <w:rPr>
          <w:lang w:eastAsia="lt-LT"/>
        </w:rPr>
        <w:t>vieneto pajamas</w:t>
      </w:r>
      <w:r>
        <w:rPr>
          <w:i/>
          <w:iCs/>
          <w:lang w:eastAsia="lt-LT"/>
        </w:rPr>
        <w:t xml:space="preserve"> </w:t>
      </w:r>
      <w:r>
        <w:rPr>
          <w:lang w:eastAsia="lt-LT"/>
        </w:rPr>
        <w:t xml:space="preserve">neįtraukiamos Lietuvos vieneto per nuolatines buveines, esančias Europos ekonominės erdvės </w:t>
      </w:r>
      <w:r>
        <w:rPr>
          <w:lang w:eastAsia="lt-LT"/>
        </w:rPr>
        <w:lastRenderedPageBreak/>
        <w:t>valstybėse arba valstybėse, su kuriomis Lietuvos Respublika yra sudariusi ir taiko dvigubo apmokestinimo išvengimo sutartis uždirbtos pajamos, taip pat</w:t>
      </w:r>
      <w:r>
        <w:rPr>
          <w:i/>
          <w:iCs/>
          <w:lang w:eastAsia="lt-LT"/>
        </w:rPr>
        <w:t xml:space="preserve"> </w:t>
      </w:r>
      <w:r>
        <w:rPr>
          <w:lang w:eastAsia="lt-LT"/>
        </w:rPr>
        <w:t>iš</w:t>
      </w:r>
      <w:r>
        <w:rPr>
          <w:i/>
          <w:iCs/>
          <w:lang w:eastAsia="lt-LT"/>
        </w:rPr>
        <w:t xml:space="preserve"> </w:t>
      </w:r>
      <w:r>
        <w:rPr>
          <w:lang w:eastAsia="lt-LT"/>
        </w:rPr>
        <w:t>Lietuvos</w:t>
      </w:r>
      <w:r>
        <w:rPr>
          <w:i/>
          <w:iCs/>
          <w:lang w:eastAsia="lt-LT"/>
        </w:rPr>
        <w:t xml:space="preserve"> </w:t>
      </w:r>
      <w:r>
        <w:rPr>
          <w:lang w:eastAsia="lt-LT"/>
        </w:rPr>
        <w:t>ir</w:t>
      </w:r>
      <w:r>
        <w:rPr>
          <w:i/>
          <w:iCs/>
          <w:lang w:eastAsia="lt-LT"/>
        </w:rPr>
        <w:t xml:space="preserve"> </w:t>
      </w:r>
      <w:r>
        <w:rPr>
          <w:lang w:eastAsia="lt-LT"/>
        </w:rPr>
        <w:t>užsienio</w:t>
      </w:r>
      <w:r>
        <w:rPr>
          <w:i/>
          <w:iCs/>
          <w:lang w:eastAsia="lt-LT"/>
        </w:rPr>
        <w:t xml:space="preserve"> </w:t>
      </w:r>
      <w:r>
        <w:rPr>
          <w:lang w:eastAsia="lt-LT"/>
        </w:rPr>
        <w:t>vienetų</w:t>
      </w:r>
      <w:r>
        <w:rPr>
          <w:i/>
          <w:iCs/>
          <w:lang w:eastAsia="lt-LT"/>
        </w:rPr>
        <w:t xml:space="preserve"> </w:t>
      </w:r>
      <w:r>
        <w:rPr>
          <w:lang w:eastAsia="lt-LT"/>
        </w:rPr>
        <w:t>gautos</w:t>
      </w:r>
      <w:r>
        <w:rPr>
          <w:i/>
          <w:iCs/>
          <w:lang w:eastAsia="lt-LT"/>
        </w:rPr>
        <w:t xml:space="preserve"> </w:t>
      </w:r>
      <w:r>
        <w:rPr>
          <w:lang w:eastAsia="lt-LT"/>
        </w:rPr>
        <w:t>dividendų</w:t>
      </w:r>
      <w:r>
        <w:rPr>
          <w:i/>
          <w:iCs/>
          <w:lang w:eastAsia="lt-LT"/>
        </w:rPr>
        <w:t xml:space="preserve"> </w:t>
      </w:r>
      <w:r>
        <w:rPr>
          <w:lang w:eastAsia="lt-LT"/>
        </w:rPr>
        <w:t>bei</w:t>
      </w:r>
      <w:r>
        <w:rPr>
          <w:i/>
          <w:iCs/>
          <w:lang w:eastAsia="lt-LT"/>
        </w:rPr>
        <w:t xml:space="preserve"> </w:t>
      </w:r>
      <w:r>
        <w:rPr>
          <w:lang w:eastAsia="lt-LT"/>
        </w:rPr>
        <w:t>kitos</w:t>
      </w:r>
      <w:r>
        <w:rPr>
          <w:i/>
          <w:iCs/>
          <w:lang w:eastAsia="lt-LT"/>
        </w:rPr>
        <w:t xml:space="preserve"> </w:t>
      </w:r>
      <w:r>
        <w:rPr>
          <w:lang w:eastAsia="lt-LT"/>
        </w:rPr>
        <w:t>paskirstytojo</w:t>
      </w:r>
      <w:r>
        <w:rPr>
          <w:i/>
          <w:iCs/>
          <w:lang w:eastAsia="lt-LT"/>
        </w:rPr>
        <w:t xml:space="preserve"> </w:t>
      </w:r>
      <w:r>
        <w:rPr>
          <w:lang w:eastAsia="lt-LT"/>
        </w:rPr>
        <w:t>pelno</w:t>
      </w:r>
      <w:r>
        <w:rPr>
          <w:i/>
          <w:iCs/>
          <w:lang w:eastAsia="lt-LT"/>
        </w:rPr>
        <w:t xml:space="preserve"> </w:t>
      </w:r>
      <w:r>
        <w:rPr>
          <w:lang w:eastAsia="lt-LT"/>
        </w:rPr>
        <w:t>sumos</w:t>
      </w:r>
      <w:r>
        <w:rPr>
          <w:i/>
          <w:iCs/>
          <w:lang w:eastAsia="lt-LT"/>
        </w:rPr>
        <w:t xml:space="preserve"> </w:t>
      </w:r>
      <w:bookmarkStart w:id="95" w:name="n1_140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6" w:name="pn1_1406"/>
      <w:bookmarkEnd w:id="95"/>
      <w:bookmarkEnd w:id="96"/>
      <w:r>
        <w:rPr>
          <w:i/>
          <w:iCs/>
          <w:lang w:eastAsia="lt-LT"/>
        </w:rPr>
        <w:t xml:space="preserve"> </w:t>
      </w:r>
      <w:r>
        <w:rPr>
          <w:lang w:eastAsia="lt-LT"/>
        </w:rPr>
        <w:t>33</w:t>
      </w:r>
      <w:r>
        <w:rPr>
          <w:i/>
          <w:iCs/>
          <w:lang w:eastAsia="lt-LT"/>
        </w:rPr>
        <w:t xml:space="preserve"> </w:t>
      </w:r>
      <w:r>
        <w:rPr>
          <w:lang w:eastAsia="lt-LT"/>
        </w:rPr>
        <w:t>ir</w:t>
      </w:r>
      <w:r>
        <w:rPr>
          <w:i/>
          <w:iCs/>
          <w:lang w:eastAsia="lt-LT"/>
        </w:rPr>
        <w:t xml:space="preserve"> </w:t>
      </w:r>
      <w:r>
        <w:rPr>
          <w:lang w:eastAsia="lt-LT"/>
        </w:rPr>
        <w:t>35</w:t>
      </w:r>
      <w:r>
        <w:rPr>
          <w:i/>
          <w:iCs/>
          <w:lang w:eastAsia="lt-LT"/>
        </w:rPr>
        <w:t xml:space="preserve"> </w:t>
      </w:r>
      <w:r>
        <w:rPr>
          <w:lang w:eastAsia="lt-LT"/>
        </w:rPr>
        <w:t>straipsniuose</w:t>
      </w:r>
      <w:r>
        <w:rPr>
          <w:i/>
          <w:iCs/>
          <w:lang w:eastAsia="lt-LT"/>
        </w:rPr>
        <w:t xml:space="preserve"> </w:t>
      </w:r>
      <w:r>
        <w:rPr>
          <w:lang w:eastAsia="lt-LT"/>
        </w:rPr>
        <w:t>nustatyta</w:t>
      </w:r>
      <w:r>
        <w:rPr>
          <w:i/>
          <w:iCs/>
          <w:lang w:eastAsia="lt-LT"/>
        </w:rPr>
        <w:t xml:space="preserve"> </w:t>
      </w:r>
      <w:r>
        <w:rPr>
          <w:lang w:eastAsia="lt-LT"/>
        </w:rPr>
        <w:t xml:space="preserve">tvarka (žr. </w:t>
      </w:r>
      <w:bookmarkStart w:id="97" w:name="n1_1418"/>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98" w:name="pn1_1418"/>
      <w:bookmarkEnd w:id="97"/>
      <w:bookmarkEnd w:id="98"/>
      <w:r>
        <w:rPr>
          <w:lang w:eastAsia="lt-LT"/>
        </w:rPr>
        <w:t xml:space="preserve"> </w:t>
      </w:r>
      <w:bookmarkStart w:id="99" w:name="n1_1419"/>
      <w:r>
        <w:rPr>
          <w:lang w:eastAsia="lt-LT"/>
        </w:rPr>
        <w:fldChar w:fldCharType="begin"/>
      </w:r>
      <w:r>
        <w:rPr>
          <w:lang w:eastAsia="lt-LT"/>
        </w:rPr>
        <w:instrText xml:space="preserve"> HYPERLINK "JavaScript:OL('12868','33')" \o "Dividendų, išmokamų Lietuvos vienetams, apmokestinimo tvarka (str. 33)" </w:instrText>
      </w:r>
      <w:r>
        <w:rPr>
          <w:lang w:eastAsia="lt-LT"/>
        </w:rPr>
        <w:fldChar w:fldCharType="separate"/>
      </w:r>
      <w:r>
        <w:rPr>
          <w:rStyle w:val="Hipersaitas"/>
          <w:rFonts w:ascii="Times New Roman" w:hAnsi="Times New Roman" w:cs="Times New Roman"/>
          <w:lang w:eastAsia="lt-LT"/>
        </w:rPr>
        <w:t>33</w:t>
      </w:r>
      <w:r>
        <w:rPr>
          <w:lang w:eastAsia="lt-LT"/>
        </w:rPr>
        <w:fldChar w:fldCharType="end"/>
      </w:r>
      <w:bookmarkStart w:id="100" w:name="pn1_1419"/>
      <w:bookmarkEnd w:id="99"/>
      <w:bookmarkEnd w:id="100"/>
      <w:r>
        <w:rPr>
          <w:lang w:eastAsia="lt-LT"/>
        </w:rPr>
        <w:t xml:space="preserve"> ir </w:t>
      </w:r>
      <w:bookmarkStart w:id="101" w:name="n1_1420"/>
      <w:r>
        <w:rPr>
          <w:lang w:eastAsia="lt-LT"/>
        </w:rPr>
        <w:fldChar w:fldCharType="begin"/>
      </w:r>
      <w:r>
        <w:rPr>
          <w:lang w:eastAsia="lt-LT"/>
        </w:rPr>
        <w:instrText xml:space="preserve"> HYPERLINK "JavaScript:OL('12868','35')" \o "Užsienio vienetų dividendai (str. 35)" </w:instrText>
      </w:r>
      <w:r>
        <w:rPr>
          <w:lang w:eastAsia="lt-LT"/>
        </w:rPr>
        <w:fldChar w:fldCharType="separate"/>
      </w:r>
      <w:r>
        <w:rPr>
          <w:rStyle w:val="Hipersaitas"/>
          <w:rFonts w:ascii="Times New Roman" w:hAnsi="Times New Roman" w:cs="Times New Roman"/>
          <w:lang w:eastAsia="lt-LT"/>
        </w:rPr>
        <w:t>35</w:t>
      </w:r>
      <w:r>
        <w:rPr>
          <w:lang w:eastAsia="lt-LT"/>
        </w:rPr>
        <w:fldChar w:fldCharType="end"/>
      </w:r>
      <w:bookmarkStart w:id="102" w:name="pn1_1420"/>
      <w:bookmarkEnd w:id="101"/>
      <w:bookmarkEnd w:id="102"/>
      <w:r>
        <w:rPr>
          <w:lang w:eastAsia="lt-LT"/>
        </w:rPr>
        <w:t xml:space="preserve"> straipsnių komentarus).</w:t>
      </w:r>
      <w:r>
        <w:rPr>
          <w:i/>
          <w:iCs/>
          <w:lang w:eastAsia="lt-LT"/>
        </w:rPr>
        <w:t xml:space="preserve"> </w:t>
      </w:r>
    </w:p>
    <w:p w14:paraId="4F1478EC" w14:textId="77777777" w:rsidR="00093845" w:rsidRDefault="000D779E">
      <w:pPr>
        <w:spacing w:before="100" w:beforeAutospacing="1" w:after="100" w:afterAutospacing="1"/>
        <w:jc w:val="both"/>
        <w:rPr>
          <w:lang w:eastAsia="lt-LT"/>
        </w:rPr>
      </w:pPr>
      <w:r>
        <w:rPr>
          <w:lang w:eastAsia="lt-LT"/>
        </w:rPr>
        <w:t>Užsienio</w:t>
      </w:r>
      <w:r>
        <w:rPr>
          <w:i/>
          <w:iCs/>
          <w:lang w:eastAsia="lt-LT"/>
        </w:rPr>
        <w:t xml:space="preserve"> </w:t>
      </w:r>
      <w:r>
        <w:rPr>
          <w:lang w:eastAsia="lt-LT"/>
        </w:rPr>
        <w:t>vieneto</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teritorijoje</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pajamas</w:t>
      </w:r>
      <w:r>
        <w:rPr>
          <w:i/>
          <w:iCs/>
          <w:lang w:eastAsia="lt-LT"/>
        </w:rPr>
        <w:t xml:space="preserve"> </w:t>
      </w:r>
      <w:r>
        <w:rPr>
          <w:lang w:eastAsia="lt-LT"/>
        </w:rPr>
        <w:t>sudaro</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teritorijoje</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pajamos</w:t>
      </w:r>
      <w:r>
        <w:rPr>
          <w:i/>
          <w:iCs/>
          <w:lang w:eastAsia="lt-LT"/>
        </w:rPr>
        <w:t xml:space="preserve"> </w:t>
      </w:r>
      <w:r>
        <w:rPr>
          <w:lang w:eastAsia="lt-LT"/>
        </w:rPr>
        <w:t>ir</w:t>
      </w:r>
      <w:r>
        <w:rPr>
          <w:i/>
          <w:iCs/>
          <w:lang w:eastAsia="lt-LT"/>
        </w:rPr>
        <w:t xml:space="preserve"> </w:t>
      </w:r>
      <w:r>
        <w:rPr>
          <w:lang w:eastAsia="lt-LT"/>
        </w:rPr>
        <w:t>užsienio</w:t>
      </w:r>
      <w:r>
        <w:rPr>
          <w:i/>
          <w:iCs/>
          <w:lang w:eastAsia="lt-LT"/>
        </w:rPr>
        <w:t xml:space="preserve"> </w:t>
      </w:r>
      <w:r>
        <w:rPr>
          <w:lang w:eastAsia="lt-LT"/>
        </w:rPr>
        <w:t>valstybėse</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priskiriamos</w:t>
      </w:r>
      <w:r>
        <w:rPr>
          <w:i/>
          <w:iCs/>
          <w:lang w:eastAsia="lt-LT"/>
        </w:rPr>
        <w:t xml:space="preserve"> </w:t>
      </w:r>
      <w:r>
        <w:rPr>
          <w:lang w:eastAsia="lt-LT"/>
        </w:rPr>
        <w:t>tai</w:t>
      </w:r>
      <w:r>
        <w:rPr>
          <w:i/>
          <w:iCs/>
          <w:lang w:eastAsia="lt-LT"/>
        </w:rPr>
        <w:t xml:space="preserve"> </w:t>
      </w:r>
      <w:r>
        <w:rPr>
          <w:lang w:eastAsia="lt-LT"/>
        </w:rPr>
        <w:t>nuolatinei</w:t>
      </w:r>
      <w:r>
        <w:rPr>
          <w:i/>
          <w:iCs/>
          <w:lang w:eastAsia="lt-LT"/>
        </w:rPr>
        <w:t xml:space="preserve"> </w:t>
      </w:r>
      <w:r>
        <w:rPr>
          <w:lang w:eastAsia="lt-LT"/>
        </w:rPr>
        <w:t>buveinei</w:t>
      </w:r>
      <w:r>
        <w:rPr>
          <w:i/>
          <w:iCs/>
          <w:lang w:eastAsia="lt-LT"/>
        </w:rPr>
        <w:t xml:space="preserve"> </w:t>
      </w:r>
      <w:r>
        <w:rPr>
          <w:lang w:eastAsia="lt-LT"/>
        </w:rPr>
        <w:t>Lietuvos</w:t>
      </w:r>
      <w:r>
        <w:rPr>
          <w:i/>
          <w:iCs/>
          <w:lang w:eastAsia="lt-LT"/>
        </w:rPr>
        <w:t xml:space="preserve"> </w:t>
      </w:r>
      <w:r>
        <w:rPr>
          <w:lang w:eastAsia="lt-LT"/>
        </w:rPr>
        <w:t>Respublikoje,</w:t>
      </w:r>
      <w:r>
        <w:rPr>
          <w:i/>
          <w:iCs/>
          <w:lang w:eastAsia="lt-LT"/>
        </w:rPr>
        <w:t xml:space="preserve"> </w:t>
      </w:r>
      <w:r>
        <w:rPr>
          <w:lang w:eastAsia="lt-LT"/>
        </w:rPr>
        <w:t>jei</w:t>
      </w:r>
      <w:r>
        <w:rPr>
          <w:i/>
          <w:iCs/>
          <w:lang w:eastAsia="lt-LT"/>
        </w:rPr>
        <w:t xml:space="preserve"> </w:t>
      </w:r>
      <w:r>
        <w:rPr>
          <w:lang w:eastAsia="lt-LT"/>
        </w:rPr>
        <w:t>tos</w:t>
      </w:r>
      <w:r>
        <w:rPr>
          <w:i/>
          <w:iCs/>
          <w:lang w:eastAsia="lt-LT"/>
        </w:rPr>
        <w:t xml:space="preserve"> </w:t>
      </w:r>
      <w:r>
        <w:rPr>
          <w:lang w:eastAsia="lt-LT"/>
        </w:rPr>
        <w:t>pajamos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užsienio</w:t>
      </w:r>
      <w:r>
        <w:rPr>
          <w:i/>
          <w:iCs/>
          <w:lang w:eastAsia="lt-LT"/>
        </w:rPr>
        <w:t xml:space="preserve"> </w:t>
      </w:r>
      <w:r>
        <w:rPr>
          <w:lang w:eastAsia="lt-LT"/>
        </w:rPr>
        <w:t>vieneto</w:t>
      </w:r>
      <w:r>
        <w:rPr>
          <w:i/>
          <w:iCs/>
          <w:lang w:eastAsia="lt-LT"/>
        </w:rPr>
        <w:t xml:space="preserve"> </w:t>
      </w:r>
      <w:r>
        <w:rPr>
          <w:lang w:eastAsia="lt-LT"/>
        </w:rPr>
        <w:t>veikla</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Lietuvos</w:t>
      </w:r>
      <w:r>
        <w:rPr>
          <w:i/>
          <w:iCs/>
          <w:lang w:eastAsia="lt-LT"/>
        </w:rPr>
        <w:t xml:space="preserve"> </w:t>
      </w:r>
      <w:r>
        <w:rPr>
          <w:lang w:eastAsia="lt-LT"/>
        </w:rPr>
        <w:t xml:space="preserve">Respublikoje. Nustatant pelno mokesčio, mokėtino nuo apmokestinamojo pelno, bazę, į nuolatinės buveinės pajamas neįtraukiamos užsienio vienetų gautos dividendų bei kitos paskirstytojo pelno sumos </w:t>
      </w:r>
      <w:bookmarkStart w:id="103" w:name="n1_142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04" w:name="pn1_1421"/>
      <w:bookmarkEnd w:id="103"/>
      <w:bookmarkEnd w:id="104"/>
      <w:r>
        <w:rPr>
          <w:lang w:eastAsia="lt-LT"/>
        </w:rPr>
        <w:t xml:space="preserve"> </w:t>
      </w:r>
      <w:bookmarkStart w:id="105" w:name="n1_1422"/>
      <w:r>
        <w:rPr>
          <w:lang w:eastAsia="lt-LT"/>
        </w:rPr>
        <w:fldChar w:fldCharType="begin"/>
      </w:r>
      <w:r>
        <w:rPr>
          <w:lang w:eastAsia="lt-LT"/>
        </w:rPr>
        <w:instrText xml:space="preserve"> HYPERLINK "JavaScript:OL('12868','33')" \o "Dividendų, išmokamų Lietuvos vienetams, apmokestinimo tvarka (str. 33)" </w:instrText>
      </w:r>
      <w:r>
        <w:rPr>
          <w:lang w:eastAsia="lt-LT"/>
        </w:rPr>
        <w:fldChar w:fldCharType="separate"/>
      </w:r>
      <w:r>
        <w:rPr>
          <w:rStyle w:val="Hipersaitas"/>
          <w:rFonts w:ascii="Times New Roman" w:hAnsi="Times New Roman" w:cs="Times New Roman"/>
          <w:lang w:eastAsia="lt-LT"/>
        </w:rPr>
        <w:t>33</w:t>
      </w:r>
      <w:r>
        <w:rPr>
          <w:lang w:eastAsia="lt-LT"/>
        </w:rPr>
        <w:fldChar w:fldCharType="end"/>
      </w:r>
      <w:bookmarkStart w:id="106" w:name="pn1_1422"/>
      <w:bookmarkEnd w:id="105"/>
      <w:bookmarkEnd w:id="106"/>
      <w:r>
        <w:rPr>
          <w:lang w:eastAsia="lt-LT"/>
        </w:rPr>
        <w:t xml:space="preserve"> ir </w:t>
      </w:r>
      <w:bookmarkStart w:id="107" w:name="n1_1423"/>
      <w:r>
        <w:rPr>
          <w:lang w:eastAsia="lt-LT"/>
        </w:rPr>
        <w:fldChar w:fldCharType="begin"/>
      </w:r>
      <w:r>
        <w:rPr>
          <w:lang w:eastAsia="lt-LT"/>
        </w:rPr>
        <w:instrText xml:space="preserve"> HYPERLINK "JavaScript:OL('12868','35')" \o "Užsienio vienetų dividendai (str. 35)" </w:instrText>
      </w:r>
      <w:r>
        <w:rPr>
          <w:lang w:eastAsia="lt-LT"/>
        </w:rPr>
        <w:fldChar w:fldCharType="separate"/>
      </w:r>
      <w:r>
        <w:rPr>
          <w:rStyle w:val="Hipersaitas"/>
          <w:rFonts w:ascii="Times New Roman" w:hAnsi="Times New Roman" w:cs="Times New Roman"/>
          <w:lang w:eastAsia="lt-LT"/>
        </w:rPr>
        <w:t>35</w:t>
      </w:r>
      <w:r>
        <w:rPr>
          <w:lang w:eastAsia="lt-LT"/>
        </w:rPr>
        <w:fldChar w:fldCharType="end"/>
      </w:r>
      <w:bookmarkStart w:id="108" w:name="pn1_1423"/>
      <w:bookmarkEnd w:id="107"/>
      <w:bookmarkEnd w:id="108"/>
      <w:r>
        <w:rPr>
          <w:lang w:eastAsia="lt-LT"/>
        </w:rPr>
        <w:t xml:space="preserve"> straipsniuose nustatyta tvarka.</w:t>
      </w:r>
    </w:p>
    <w:p w14:paraId="5F6FC6F4" w14:textId="77777777" w:rsidR="00093845" w:rsidRDefault="000D779E">
      <w:pPr>
        <w:spacing w:before="100" w:beforeAutospacing="1" w:after="100" w:afterAutospacing="1"/>
        <w:jc w:val="both"/>
        <w:rPr>
          <w:lang w:eastAsia="lt-LT"/>
        </w:rPr>
      </w:pPr>
      <w:r>
        <w:rPr>
          <w:lang w:eastAsia="lt-LT"/>
        </w:rPr>
        <w:t xml:space="preserve">      13.</w:t>
      </w:r>
      <w:r>
        <w:rPr>
          <w:i/>
          <w:iCs/>
          <w:lang w:eastAsia="lt-LT"/>
        </w:rPr>
        <w:t xml:space="preserve"> </w:t>
      </w:r>
      <w:r>
        <w:rPr>
          <w:lang w:eastAsia="lt-LT"/>
        </w:rPr>
        <w:t>Vieneto</w:t>
      </w:r>
      <w:r>
        <w:rPr>
          <w:i/>
          <w:iCs/>
          <w:lang w:eastAsia="lt-LT"/>
        </w:rPr>
        <w:t xml:space="preserve"> </w:t>
      </w:r>
      <w:r>
        <w:rPr>
          <w:lang w:eastAsia="lt-LT"/>
        </w:rPr>
        <w:t>už</w:t>
      </w:r>
      <w:r>
        <w:rPr>
          <w:i/>
          <w:iCs/>
          <w:lang w:eastAsia="lt-LT"/>
        </w:rPr>
        <w:t xml:space="preserve"> </w:t>
      </w:r>
      <w:r>
        <w:rPr>
          <w:lang w:eastAsia="lt-LT"/>
        </w:rPr>
        <w:t>parduotą</w:t>
      </w:r>
      <w:r>
        <w:rPr>
          <w:i/>
          <w:iCs/>
          <w:lang w:eastAsia="lt-LT"/>
        </w:rPr>
        <w:t xml:space="preserve"> </w:t>
      </w:r>
      <w:r>
        <w:rPr>
          <w:lang w:eastAsia="lt-LT"/>
        </w:rPr>
        <w:t>turtą</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r>
        <w:rPr>
          <w:lang w:eastAsia="lt-LT"/>
        </w:rPr>
        <w:t>pagal</w:t>
      </w:r>
      <w:r>
        <w:rPr>
          <w:i/>
          <w:iCs/>
          <w:lang w:eastAsia="lt-LT"/>
        </w:rPr>
        <w:t xml:space="preserve"> </w:t>
      </w:r>
      <w:r>
        <w:rPr>
          <w:lang w:eastAsia="lt-LT"/>
        </w:rPr>
        <w:t>tikrąją</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kuri</w:t>
      </w:r>
      <w:r>
        <w:rPr>
          <w:i/>
          <w:iCs/>
          <w:lang w:eastAsia="lt-LT"/>
        </w:rPr>
        <w:t xml:space="preserve"> </w:t>
      </w:r>
      <w:r>
        <w:rPr>
          <w:lang w:eastAsia="lt-LT"/>
        </w:rPr>
        <w:t>paprastai</w:t>
      </w:r>
      <w:r>
        <w:rPr>
          <w:i/>
          <w:iCs/>
          <w:lang w:eastAsia="lt-LT"/>
        </w:rPr>
        <w:t xml:space="preserve"> </w:t>
      </w:r>
      <w:r>
        <w:rPr>
          <w:lang w:eastAsia="lt-LT"/>
        </w:rPr>
        <w:t>nustatoma</w:t>
      </w:r>
      <w:r>
        <w:rPr>
          <w:i/>
          <w:iCs/>
          <w:lang w:eastAsia="lt-LT"/>
        </w:rPr>
        <w:t xml:space="preserve"> </w:t>
      </w:r>
      <w:r>
        <w:rPr>
          <w:lang w:eastAsia="lt-LT"/>
        </w:rPr>
        <w:t>turto</w:t>
      </w:r>
      <w:r>
        <w:rPr>
          <w:i/>
          <w:iCs/>
          <w:lang w:eastAsia="lt-LT"/>
        </w:rPr>
        <w:t xml:space="preserve"> </w:t>
      </w:r>
      <w:r>
        <w:rPr>
          <w:lang w:eastAsia="lt-LT"/>
        </w:rPr>
        <w:t>pardavėjo</w:t>
      </w:r>
      <w:r>
        <w:rPr>
          <w:i/>
          <w:iCs/>
          <w:lang w:eastAsia="lt-LT"/>
        </w:rPr>
        <w:t xml:space="preserve"> </w:t>
      </w:r>
      <w:r>
        <w:rPr>
          <w:lang w:eastAsia="lt-LT"/>
        </w:rPr>
        <w:t>ir</w:t>
      </w:r>
      <w:r>
        <w:rPr>
          <w:i/>
          <w:iCs/>
          <w:lang w:eastAsia="lt-LT"/>
        </w:rPr>
        <w:t xml:space="preserve"> </w:t>
      </w:r>
      <w:r>
        <w:rPr>
          <w:lang w:eastAsia="lt-LT"/>
        </w:rPr>
        <w:t>pirkėjo</w:t>
      </w:r>
      <w:r>
        <w:rPr>
          <w:i/>
          <w:iCs/>
          <w:lang w:eastAsia="lt-LT"/>
        </w:rPr>
        <w:t xml:space="preserve"> </w:t>
      </w:r>
      <w:r>
        <w:rPr>
          <w:lang w:eastAsia="lt-LT"/>
        </w:rPr>
        <w:t>susitarimu.</w:t>
      </w:r>
      <w:r>
        <w:rPr>
          <w:i/>
          <w:iCs/>
          <w:lang w:eastAsia="lt-LT"/>
        </w:rPr>
        <w:t xml:space="preserve"> </w:t>
      </w:r>
      <w:r>
        <w:rPr>
          <w:lang w:eastAsia="lt-LT"/>
        </w:rPr>
        <w:t>Tikrosios</w:t>
      </w:r>
      <w:r>
        <w:rPr>
          <w:i/>
          <w:iCs/>
          <w:lang w:eastAsia="lt-LT"/>
        </w:rPr>
        <w:t xml:space="preserve"> </w:t>
      </w:r>
      <w:r>
        <w:rPr>
          <w:lang w:eastAsia="lt-LT"/>
        </w:rPr>
        <w:t>rinkos</w:t>
      </w:r>
      <w:r>
        <w:rPr>
          <w:i/>
          <w:iCs/>
          <w:lang w:eastAsia="lt-LT"/>
        </w:rPr>
        <w:t xml:space="preserve"> </w:t>
      </w:r>
      <w:r>
        <w:rPr>
          <w:lang w:eastAsia="lt-LT"/>
        </w:rPr>
        <w:t>kainos</w:t>
      </w:r>
      <w:r>
        <w:rPr>
          <w:i/>
          <w:iCs/>
          <w:lang w:eastAsia="lt-LT"/>
        </w:rPr>
        <w:t xml:space="preserve"> </w:t>
      </w:r>
      <w:r>
        <w:rPr>
          <w:lang w:eastAsia="lt-LT"/>
        </w:rPr>
        <w:t>sąvoka</w:t>
      </w:r>
      <w:r>
        <w:rPr>
          <w:i/>
          <w:iCs/>
          <w:lang w:eastAsia="lt-LT"/>
        </w:rPr>
        <w:t xml:space="preserve"> </w:t>
      </w:r>
      <w:r>
        <w:rPr>
          <w:lang w:eastAsia="lt-LT"/>
        </w:rPr>
        <w:t>apibrėžta</w:t>
      </w:r>
      <w:r>
        <w:rPr>
          <w:i/>
          <w:iCs/>
          <w:lang w:eastAsia="lt-LT"/>
        </w:rPr>
        <w:t xml:space="preserve"> </w:t>
      </w:r>
      <w:bookmarkStart w:id="109" w:name="n1_1424"/>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0" w:name="pn1_1424"/>
      <w:bookmarkEnd w:id="109"/>
      <w:bookmarkEnd w:id="110"/>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sidR="00551983">
        <w:rPr>
          <w:lang w:eastAsia="lt-LT"/>
        </w:rPr>
        <w:t>37</w:t>
      </w:r>
      <w:r>
        <w:rPr>
          <w:i/>
          <w:iCs/>
          <w:lang w:eastAsia="lt-LT"/>
        </w:rPr>
        <w:t xml:space="preserve"> </w:t>
      </w:r>
      <w:r>
        <w:rPr>
          <w:lang w:eastAsia="lt-LT"/>
        </w:rPr>
        <w:t>dalyje</w:t>
      </w:r>
      <w:r>
        <w:rPr>
          <w:i/>
          <w:iCs/>
          <w:lang w:eastAsia="lt-LT"/>
        </w:rPr>
        <w:t xml:space="preserve"> </w:t>
      </w:r>
      <w:r>
        <w:rPr>
          <w:lang w:eastAsia="lt-LT"/>
        </w:rPr>
        <w:t>(žr.</w:t>
      </w:r>
      <w:r>
        <w:rPr>
          <w:i/>
          <w:iCs/>
          <w:lang w:eastAsia="lt-LT"/>
        </w:rPr>
        <w:t xml:space="preserve"> </w:t>
      </w:r>
      <w:bookmarkStart w:id="111" w:name="n1_142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2" w:name="pn1_1429"/>
      <w:bookmarkEnd w:id="111"/>
      <w:bookmarkEnd w:id="112"/>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sidR="00551983">
        <w:rPr>
          <w:lang w:eastAsia="lt-LT"/>
        </w:rPr>
        <w:t>37</w:t>
      </w:r>
      <w:r>
        <w:rPr>
          <w:i/>
          <w:iCs/>
          <w:lang w:eastAsia="lt-LT"/>
        </w:rPr>
        <w:t xml:space="preserve"> </w:t>
      </w:r>
      <w:r>
        <w:rPr>
          <w:lang w:eastAsia="lt-LT"/>
        </w:rPr>
        <w:t>dalies</w:t>
      </w:r>
      <w:r>
        <w:rPr>
          <w:i/>
          <w:iCs/>
          <w:lang w:eastAsia="lt-LT"/>
        </w:rPr>
        <w:t xml:space="preserve"> </w:t>
      </w:r>
      <w:r>
        <w:rPr>
          <w:lang w:eastAsia="lt-LT"/>
        </w:rPr>
        <w:t>komentarą).</w:t>
      </w:r>
      <w:r>
        <w:rPr>
          <w:i/>
          <w:iCs/>
          <w:lang w:eastAsia="lt-LT"/>
        </w:rPr>
        <w:t xml:space="preserve"> </w:t>
      </w:r>
    </w:p>
    <w:p w14:paraId="5E307AF2" w14:textId="77777777" w:rsidR="00093845" w:rsidRDefault="000D779E">
      <w:pPr>
        <w:spacing w:before="100" w:beforeAutospacing="1" w:after="100" w:afterAutospacing="1"/>
        <w:jc w:val="both"/>
        <w:rPr>
          <w:lang w:eastAsia="lt-LT"/>
        </w:rPr>
      </w:pPr>
      <w:r>
        <w:rPr>
          <w:lang w:eastAsia="lt-LT"/>
        </w:rPr>
        <w:t xml:space="preserve">     14.</w:t>
      </w:r>
      <w:r>
        <w:rPr>
          <w:i/>
          <w:iCs/>
          <w:lang w:eastAsia="lt-LT"/>
        </w:rPr>
        <w:t xml:space="preserve"> </w:t>
      </w:r>
      <w:r>
        <w:rPr>
          <w:lang w:eastAsia="lt-LT"/>
        </w:rPr>
        <w:t>Iš</w:t>
      </w:r>
      <w:r>
        <w:rPr>
          <w:i/>
          <w:iCs/>
          <w:lang w:eastAsia="lt-LT"/>
        </w:rPr>
        <w:t xml:space="preserve"> </w:t>
      </w:r>
      <w:r>
        <w:rPr>
          <w:lang w:eastAsia="lt-LT"/>
        </w:rPr>
        <w:t>vieneto</w:t>
      </w:r>
      <w:r>
        <w:rPr>
          <w:i/>
          <w:iCs/>
          <w:lang w:eastAsia="lt-LT"/>
        </w:rPr>
        <w:t xml:space="preserve"> </w:t>
      </w:r>
      <w:r>
        <w:rPr>
          <w:lang w:eastAsia="lt-LT"/>
        </w:rPr>
        <w:t>už</w:t>
      </w:r>
      <w:r>
        <w:rPr>
          <w:i/>
          <w:iCs/>
          <w:lang w:eastAsia="lt-LT"/>
        </w:rPr>
        <w:t xml:space="preserve"> </w:t>
      </w:r>
      <w:r>
        <w:rPr>
          <w:lang w:eastAsia="lt-LT"/>
        </w:rPr>
        <w:t>parduotas</w:t>
      </w:r>
      <w:r>
        <w:rPr>
          <w:i/>
          <w:iCs/>
          <w:lang w:eastAsia="lt-LT"/>
        </w:rPr>
        <w:t xml:space="preserve"> </w:t>
      </w:r>
      <w:r>
        <w:rPr>
          <w:lang w:eastAsia="lt-LT"/>
        </w:rPr>
        <w:t>prekes</w:t>
      </w:r>
      <w:r>
        <w:rPr>
          <w:i/>
          <w:iCs/>
          <w:lang w:eastAsia="lt-LT"/>
        </w:rPr>
        <w:t xml:space="preserve"> </w:t>
      </w:r>
      <w:r>
        <w:rPr>
          <w:lang w:eastAsia="lt-LT"/>
        </w:rPr>
        <w:t>uždirbtų</w:t>
      </w:r>
      <w:r>
        <w:rPr>
          <w:i/>
          <w:iCs/>
          <w:lang w:eastAsia="lt-LT"/>
        </w:rPr>
        <w:t xml:space="preserve"> </w:t>
      </w:r>
      <w:r>
        <w:rPr>
          <w:lang w:eastAsia="lt-LT"/>
        </w:rPr>
        <w:t>pajamų</w:t>
      </w:r>
      <w:r>
        <w:rPr>
          <w:i/>
          <w:iCs/>
          <w:lang w:eastAsia="lt-LT"/>
        </w:rPr>
        <w:t xml:space="preserve"> </w:t>
      </w:r>
      <w:r>
        <w:rPr>
          <w:lang w:eastAsia="lt-LT"/>
        </w:rPr>
        <w:t>atimamos</w:t>
      </w:r>
      <w:r>
        <w:rPr>
          <w:i/>
          <w:iCs/>
          <w:lang w:eastAsia="lt-LT"/>
        </w:rPr>
        <w:t xml:space="preserve"> </w:t>
      </w:r>
      <w:r>
        <w:rPr>
          <w:lang w:eastAsia="lt-LT"/>
        </w:rPr>
        <w:t>jo</w:t>
      </w:r>
      <w:r>
        <w:rPr>
          <w:i/>
          <w:iCs/>
          <w:lang w:eastAsia="lt-LT"/>
        </w:rPr>
        <w:t xml:space="preserve"> </w:t>
      </w:r>
      <w:r>
        <w:rPr>
          <w:lang w:eastAsia="lt-LT"/>
        </w:rPr>
        <w:t>suteiktos</w:t>
      </w:r>
      <w:r>
        <w:rPr>
          <w:i/>
          <w:iCs/>
          <w:lang w:eastAsia="lt-LT"/>
        </w:rPr>
        <w:t xml:space="preserve"> </w:t>
      </w:r>
      <w:r>
        <w:rPr>
          <w:lang w:eastAsia="lt-LT"/>
        </w:rPr>
        <w:t>prekybos</w:t>
      </w:r>
      <w:r>
        <w:rPr>
          <w:i/>
          <w:iCs/>
          <w:lang w:eastAsia="lt-LT"/>
        </w:rPr>
        <w:t xml:space="preserve"> </w:t>
      </w:r>
      <w:r>
        <w:rPr>
          <w:lang w:eastAsia="lt-LT"/>
        </w:rPr>
        <w:t>nuolaidos,</w:t>
      </w:r>
      <w:r>
        <w:rPr>
          <w:i/>
          <w:iCs/>
          <w:lang w:eastAsia="lt-LT"/>
        </w:rPr>
        <w:t xml:space="preserve"> </w:t>
      </w:r>
      <w:r>
        <w:rPr>
          <w:lang w:eastAsia="lt-LT"/>
        </w:rPr>
        <w:t>nuolaidos</w:t>
      </w:r>
      <w:r>
        <w:rPr>
          <w:i/>
          <w:iCs/>
          <w:lang w:eastAsia="lt-LT"/>
        </w:rPr>
        <w:t xml:space="preserve"> </w:t>
      </w:r>
      <w:r>
        <w:rPr>
          <w:lang w:eastAsia="lt-LT"/>
        </w:rPr>
        <w:t>nuo</w:t>
      </w:r>
      <w:r>
        <w:rPr>
          <w:i/>
          <w:iCs/>
          <w:lang w:eastAsia="lt-LT"/>
        </w:rPr>
        <w:t xml:space="preserve"> </w:t>
      </w:r>
      <w:r>
        <w:rPr>
          <w:lang w:eastAsia="lt-LT"/>
        </w:rPr>
        <w:t>pardavimų</w:t>
      </w:r>
      <w:r>
        <w:rPr>
          <w:i/>
          <w:iCs/>
          <w:lang w:eastAsia="lt-LT"/>
        </w:rPr>
        <w:t xml:space="preserve"> </w:t>
      </w:r>
      <w:r>
        <w:rPr>
          <w:lang w:eastAsia="lt-LT"/>
        </w:rPr>
        <w:t>apyvartos,</w:t>
      </w:r>
      <w:r>
        <w:rPr>
          <w:i/>
          <w:iCs/>
          <w:lang w:eastAsia="lt-LT"/>
        </w:rPr>
        <w:t xml:space="preserve"> </w:t>
      </w:r>
      <w:r>
        <w:rPr>
          <w:lang w:eastAsia="lt-LT"/>
        </w:rPr>
        <w:t>apmokėjimo</w:t>
      </w:r>
      <w:r>
        <w:rPr>
          <w:i/>
          <w:iCs/>
          <w:lang w:eastAsia="lt-LT"/>
        </w:rPr>
        <w:t xml:space="preserve"> </w:t>
      </w:r>
      <w:r>
        <w:rPr>
          <w:lang w:eastAsia="lt-LT"/>
        </w:rPr>
        <w:t>nuolaidos,</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nukainojimo</w:t>
      </w:r>
      <w:r>
        <w:rPr>
          <w:i/>
          <w:iCs/>
          <w:lang w:eastAsia="lt-LT"/>
        </w:rPr>
        <w:t xml:space="preserve"> </w:t>
      </w:r>
      <w:r>
        <w:rPr>
          <w:lang w:eastAsia="lt-LT"/>
        </w:rPr>
        <w:t>sumos</w:t>
      </w:r>
      <w:r>
        <w:rPr>
          <w:i/>
          <w:iCs/>
          <w:lang w:eastAsia="lt-LT"/>
        </w:rPr>
        <w:t xml:space="preserve"> </w:t>
      </w:r>
      <w:r>
        <w:rPr>
          <w:lang w:eastAsia="lt-LT"/>
        </w:rPr>
        <w:t>ir</w:t>
      </w:r>
      <w:r>
        <w:rPr>
          <w:i/>
          <w:iCs/>
          <w:lang w:eastAsia="lt-LT"/>
        </w:rPr>
        <w:t xml:space="preserve"> </w:t>
      </w:r>
      <w:r>
        <w:rPr>
          <w:lang w:eastAsia="lt-LT"/>
        </w:rPr>
        <w:t>pajamų</w:t>
      </w:r>
      <w:r>
        <w:rPr>
          <w:i/>
          <w:iCs/>
          <w:lang w:eastAsia="lt-LT"/>
        </w:rPr>
        <w:t xml:space="preserve"> </w:t>
      </w:r>
      <w:r>
        <w:rPr>
          <w:lang w:eastAsia="lt-LT"/>
        </w:rPr>
        <w:t>už</w:t>
      </w:r>
      <w:r>
        <w:rPr>
          <w:i/>
          <w:iCs/>
          <w:lang w:eastAsia="lt-LT"/>
        </w:rPr>
        <w:t xml:space="preserve"> </w:t>
      </w:r>
      <w:r>
        <w:rPr>
          <w:lang w:eastAsia="lt-LT"/>
        </w:rPr>
        <w:t>anksčiau</w:t>
      </w:r>
      <w:r>
        <w:rPr>
          <w:i/>
          <w:iCs/>
          <w:lang w:eastAsia="lt-LT"/>
        </w:rPr>
        <w:t xml:space="preserve"> </w:t>
      </w:r>
      <w:r>
        <w:rPr>
          <w:lang w:eastAsia="lt-LT"/>
        </w:rPr>
        <w:t>parduotą,</w:t>
      </w:r>
      <w:r>
        <w:rPr>
          <w:i/>
          <w:iCs/>
          <w:lang w:eastAsia="lt-LT"/>
        </w:rPr>
        <w:t xml:space="preserve"> </w:t>
      </w:r>
      <w:r>
        <w:rPr>
          <w:lang w:eastAsia="lt-LT"/>
        </w:rPr>
        <w:t>bet</w:t>
      </w:r>
      <w:r>
        <w:rPr>
          <w:i/>
          <w:iCs/>
          <w:lang w:eastAsia="lt-LT"/>
        </w:rPr>
        <w:t xml:space="preserve"> </w:t>
      </w:r>
      <w:r>
        <w:rPr>
          <w:lang w:eastAsia="lt-LT"/>
        </w:rPr>
        <w:t>pirkėjų</w:t>
      </w:r>
      <w:r>
        <w:rPr>
          <w:i/>
          <w:iCs/>
          <w:lang w:eastAsia="lt-LT"/>
        </w:rPr>
        <w:t xml:space="preserve"> </w:t>
      </w:r>
      <w:r>
        <w:rPr>
          <w:lang w:eastAsia="lt-LT"/>
        </w:rPr>
        <w:t>sugrąžintą</w:t>
      </w:r>
      <w:r>
        <w:rPr>
          <w:i/>
          <w:iCs/>
          <w:lang w:eastAsia="lt-LT"/>
        </w:rPr>
        <w:t xml:space="preserve"> </w:t>
      </w:r>
      <w:r>
        <w:rPr>
          <w:lang w:eastAsia="lt-LT"/>
        </w:rPr>
        <w:t>produkciją</w:t>
      </w:r>
      <w:r>
        <w:rPr>
          <w:i/>
          <w:iCs/>
          <w:lang w:eastAsia="lt-LT"/>
        </w:rPr>
        <w:t xml:space="preserve"> </w:t>
      </w:r>
      <w:r>
        <w:rPr>
          <w:lang w:eastAsia="lt-LT"/>
        </w:rPr>
        <w:t>ar</w:t>
      </w:r>
      <w:r>
        <w:rPr>
          <w:i/>
          <w:iCs/>
          <w:lang w:eastAsia="lt-LT"/>
        </w:rPr>
        <w:t xml:space="preserve"> </w:t>
      </w:r>
      <w:r>
        <w:rPr>
          <w:lang w:eastAsia="lt-LT"/>
        </w:rPr>
        <w:t>prekes</w:t>
      </w:r>
      <w:r>
        <w:rPr>
          <w:i/>
          <w:iCs/>
          <w:lang w:eastAsia="lt-LT"/>
        </w:rPr>
        <w:t xml:space="preserve"> </w:t>
      </w:r>
      <w:r>
        <w:rPr>
          <w:lang w:eastAsia="lt-LT"/>
        </w:rPr>
        <w:t>sumos.</w:t>
      </w:r>
    </w:p>
    <w:p w14:paraId="04E97CDF" w14:textId="77777777" w:rsidR="00093845" w:rsidRDefault="000D779E">
      <w:pPr>
        <w:spacing w:before="100" w:beforeAutospacing="1" w:after="100" w:afterAutospacing="1"/>
        <w:jc w:val="both"/>
        <w:rPr>
          <w:lang w:eastAsia="lt-LT"/>
        </w:rPr>
      </w:pPr>
      <w:r>
        <w:rPr>
          <w:lang w:eastAsia="lt-LT"/>
        </w:rPr>
        <w:t xml:space="preserve">     </w:t>
      </w:r>
      <w:r>
        <w:rPr>
          <w:b/>
          <w:bCs/>
          <w:lang w:eastAsia="lt-LT"/>
        </w:rPr>
        <w:t>Pavyzdys</w:t>
      </w:r>
    </w:p>
    <w:p w14:paraId="0C681A2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Vienetas, skatindamas pirkti savo prekes ar paslaugas, naudoja įvairias klientų lojalumo programas, t. y. už parduotas prekes ar suteiktas paslaugas suteikia tam tikrą lojalumo taškų kiekį, kuriuos klientas gali iškeisti į nemokamas arba su nuolaida parduodamas prekes ar paslaugas ateityje. Šiuo atveju, vieneto apmokestinamosios pajamos suteiktų nuolaidų sumomis bus mažinamos tada, kai pirkėjai pasinaudos suteiktais lojalumo taškais ir įsigis prekes ar paslaugas.</w:t>
      </w:r>
    </w:p>
    <w:p w14:paraId="10C02B47" w14:textId="77777777" w:rsidR="00093845" w:rsidRDefault="000D779E">
      <w:pPr>
        <w:spacing w:before="100" w:beforeAutospacing="1" w:after="100" w:afterAutospacing="1"/>
        <w:jc w:val="both"/>
        <w:rPr>
          <w:lang w:eastAsia="lt-LT"/>
        </w:rPr>
      </w:pPr>
      <w:r>
        <w:rPr>
          <w:lang w:eastAsia="lt-LT"/>
        </w:rPr>
        <w:t xml:space="preserve">      15.</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pajamos</w:t>
      </w:r>
      <w:r>
        <w:rPr>
          <w:i/>
          <w:iCs/>
          <w:lang w:eastAsia="lt-LT"/>
        </w:rPr>
        <w:t xml:space="preserve"> </w:t>
      </w:r>
      <w:r>
        <w:rPr>
          <w:lang w:eastAsia="lt-LT"/>
        </w:rPr>
        <w:t>pripažįstamos</w:t>
      </w:r>
      <w:r>
        <w:rPr>
          <w:i/>
          <w:iCs/>
          <w:lang w:eastAsia="lt-LT"/>
        </w:rPr>
        <w:t xml:space="preserve"> </w:t>
      </w:r>
      <w:r>
        <w:rPr>
          <w:lang w:eastAsia="lt-LT"/>
        </w:rPr>
        <w:t>uždirbtomis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prekės</w:t>
      </w:r>
      <w:r>
        <w:rPr>
          <w:i/>
          <w:iCs/>
          <w:lang w:eastAsia="lt-LT"/>
        </w:rPr>
        <w:t xml:space="preserve"> </w:t>
      </w:r>
      <w:r>
        <w:rPr>
          <w:lang w:eastAsia="lt-LT"/>
        </w:rPr>
        <w:t>yra</w:t>
      </w:r>
      <w:r>
        <w:rPr>
          <w:i/>
          <w:iCs/>
          <w:lang w:eastAsia="lt-LT"/>
        </w:rPr>
        <w:t xml:space="preserve"> </w:t>
      </w:r>
      <w:r>
        <w:rPr>
          <w:lang w:eastAsia="lt-LT"/>
        </w:rPr>
        <w:t>parduotos.</w:t>
      </w:r>
      <w:r>
        <w:rPr>
          <w:i/>
          <w:iCs/>
          <w:strike/>
          <w:lang w:eastAsia="lt-LT"/>
        </w:rPr>
        <w:t xml:space="preserve"> </w:t>
      </w:r>
    </w:p>
    <w:p w14:paraId="374905DB"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nuosavybė</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nepereina</w:t>
      </w:r>
      <w:r>
        <w:rPr>
          <w:i/>
          <w:iCs/>
          <w:lang w:eastAsia="lt-LT"/>
        </w:rPr>
        <w:t xml:space="preserve"> </w:t>
      </w:r>
      <w:r>
        <w:rPr>
          <w:lang w:eastAsia="lt-LT"/>
        </w:rPr>
        <w:t>tik</w:t>
      </w:r>
      <w:r>
        <w:rPr>
          <w:i/>
          <w:iCs/>
          <w:lang w:eastAsia="lt-LT"/>
        </w:rPr>
        <w:t xml:space="preserve"> </w:t>
      </w:r>
      <w:r>
        <w:rPr>
          <w:lang w:eastAsia="lt-LT"/>
        </w:rPr>
        <w:t>formaliai</w:t>
      </w:r>
      <w:r>
        <w:rPr>
          <w:i/>
          <w:iCs/>
          <w:lang w:eastAsia="lt-LT"/>
        </w:rPr>
        <w:t xml:space="preserve"> </w:t>
      </w:r>
      <w:r>
        <w:rPr>
          <w:lang w:eastAsia="lt-LT"/>
        </w:rPr>
        <w:t>(pvz.,</w:t>
      </w:r>
      <w:r>
        <w:rPr>
          <w:i/>
          <w:iCs/>
          <w:lang w:eastAsia="lt-LT"/>
        </w:rPr>
        <w:t xml:space="preserve"> </w:t>
      </w:r>
      <w:r>
        <w:rPr>
          <w:lang w:eastAsia="lt-LT"/>
        </w:rPr>
        <w:t>pagal</w:t>
      </w:r>
      <w:r>
        <w:rPr>
          <w:i/>
          <w:iCs/>
          <w:lang w:eastAsia="lt-LT"/>
        </w:rPr>
        <w:t xml:space="preserve"> </w:t>
      </w:r>
      <w:r>
        <w:rPr>
          <w:lang w:eastAsia="lt-LT"/>
        </w:rPr>
        <w:t>prekių</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išsimokėtinai</w:t>
      </w:r>
      <w:r>
        <w:rPr>
          <w:i/>
          <w:iCs/>
          <w:lang w:eastAsia="lt-LT"/>
        </w:rPr>
        <w:t xml:space="preserve"> </w:t>
      </w:r>
      <w:r>
        <w:rPr>
          <w:lang w:eastAsia="lt-LT"/>
        </w:rPr>
        <w:t>(kreditan)</w:t>
      </w:r>
      <w:r>
        <w:rPr>
          <w:i/>
          <w:iCs/>
          <w:lang w:eastAsia="lt-LT"/>
        </w:rPr>
        <w:t xml:space="preserve"> </w:t>
      </w:r>
      <w:r>
        <w:rPr>
          <w:lang w:eastAsia="lt-LT"/>
        </w:rPr>
        <w:t>sutartis</w:t>
      </w:r>
      <w:r>
        <w:rPr>
          <w:i/>
          <w:iCs/>
          <w:lang w:eastAsia="lt-LT"/>
        </w:rPr>
        <w:t xml:space="preserve"> </w:t>
      </w:r>
      <w:r>
        <w:rPr>
          <w:lang w:eastAsia="lt-LT"/>
        </w:rPr>
        <w:t>pardavėjui</w:t>
      </w:r>
      <w:r>
        <w:rPr>
          <w:i/>
          <w:iCs/>
          <w:lang w:eastAsia="lt-LT"/>
        </w:rPr>
        <w:t xml:space="preserve"> </w:t>
      </w:r>
      <w:r>
        <w:rPr>
          <w:lang w:eastAsia="lt-LT"/>
        </w:rPr>
        <w:t>išlieka</w:t>
      </w:r>
      <w:r>
        <w:rPr>
          <w:i/>
          <w:iCs/>
          <w:lang w:eastAsia="lt-LT"/>
        </w:rPr>
        <w:t xml:space="preserve"> </w:t>
      </w:r>
      <w:r>
        <w:rPr>
          <w:lang w:eastAsia="lt-LT"/>
        </w:rPr>
        <w:t>nuosavybės</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parduodamas</w:t>
      </w:r>
      <w:r>
        <w:rPr>
          <w:i/>
          <w:iCs/>
          <w:lang w:eastAsia="lt-LT"/>
        </w:rPr>
        <w:t xml:space="preserve"> </w:t>
      </w:r>
      <w:r>
        <w:rPr>
          <w:lang w:eastAsia="lt-LT"/>
        </w:rPr>
        <w:t>prekes</w:t>
      </w:r>
      <w:r>
        <w:rPr>
          <w:i/>
          <w:iCs/>
          <w:lang w:eastAsia="lt-LT"/>
        </w:rPr>
        <w:t xml:space="preserve"> </w:t>
      </w:r>
      <w:r>
        <w:rPr>
          <w:lang w:eastAsia="lt-LT"/>
        </w:rPr>
        <w:t>tol,</w:t>
      </w:r>
      <w:r>
        <w:rPr>
          <w:i/>
          <w:iCs/>
          <w:lang w:eastAsia="lt-LT"/>
        </w:rPr>
        <w:t xml:space="preserve"> </w:t>
      </w:r>
      <w:r>
        <w:rPr>
          <w:lang w:eastAsia="lt-LT"/>
        </w:rPr>
        <w:t>kol</w:t>
      </w:r>
      <w:r>
        <w:rPr>
          <w:i/>
          <w:iCs/>
          <w:lang w:eastAsia="lt-LT"/>
        </w:rPr>
        <w:t xml:space="preserve"> </w:t>
      </w:r>
      <w:r>
        <w:rPr>
          <w:lang w:eastAsia="lt-LT"/>
        </w:rPr>
        <w:t>pirkėjas</w:t>
      </w:r>
      <w:r>
        <w:rPr>
          <w:i/>
          <w:iCs/>
          <w:lang w:eastAsia="lt-LT"/>
        </w:rPr>
        <w:t xml:space="preserve"> </w:t>
      </w:r>
      <w:r>
        <w:rPr>
          <w:lang w:eastAsia="lt-LT"/>
        </w:rPr>
        <w:t>nesumoka</w:t>
      </w:r>
      <w:r>
        <w:rPr>
          <w:i/>
          <w:iCs/>
          <w:lang w:eastAsia="lt-LT"/>
        </w:rPr>
        <w:t xml:space="preserve"> </w:t>
      </w:r>
      <w:r>
        <w:rPr>
          <w:lang w:eastAsia="lt-LT"/>
        </w:rPr>
        <w:t>visos</w:t>
      </w:r>
      <w:r>
        <w:rPr>
          <w:i/>
          <w:iCs/>
          <w:lang w:eastAsia="lt-LT"/>
        </w:rPr>
        <w:t xml:space="preserve"> </w:t>
      </w:r>
      <w:r>
        <w:rPr>
          <w:lang w:eastAsia="lt-LT"/>
        </w:rPr>
        <w:t>sutartyje</w:t>
      </w:r>
      <w:r>
        <w:rPr>
          <w:i/>
          <w:iCs/>
          <w:lang w:eastAsia="lt-LT"/>
        </w:rPr>
        <w:t xml:space="preserve"> </w:t>
      </w:r>
      <w:r>
        <w:rPr>
          <w:lang w:eastAsia="lt-LT"/>
        </w:rPr>
        <w:t>numatytos</w:t>
      </w:r>
      <w:r>
        <w:rPr>
          <w:i/>
          <w:iCs/>
          <w:lang w:eastAsia="lt-LT"/>
        </w:rPr>
        <w:t xml:space="preserve"> </w:t>
      </w:r>
      <w:r>
        <w:rPr>
          <w:lang w:eastAsia="lt-LT"/>
        </w:rPr>
        <w:t>kainos),</w:t>
      </w:r>
      <w:r>
        <w:rPr>
          <w:i/>
          <w:iCs/>
          <w:lang w:eastAsia="lt-LT"/>
        </w:rPr>
        <w:t xml:space="preserve"> </w:t>
      </w:r>
      <w:r>
        <w:rPr>
          <w:lang w:eastAsia="lt-LT"/>
        </w:rPr>
        <w:t>tai</w:t>
      </w:r>
      <w:r>
        <w:rPr>
          <w:i/>
          <w:iCs/>
          <w:lang w:eastAsia="lt-LT"/>
        </w:rPr>
        <w:t xml:space="preserve"> </w:t>
      </w:r>
      <w:r>
        <w:rPr>
          <w:lang w:eastAsia="lt-LT"/>
        </w:rPr>
        <w:t>pajamos</w:t>
      </w:r>
      <w:r>
        <w:rPr>
          <w:i/>
          <w:iCs/>
          <w:lang w:eastAsia="lt-LT"/>
        </w:rPr>
        <w:t xml:space="preserve"> </w:t>
      </w:r>
      <w:r>
        <w:rPr>
          <w:lang w:eastAsia="lt-LT"/>
        </w:rPr>
        <w:t>laikomos</w:t>
      </w:r>
      <w:r>
        <w:rPr>
          <w:i/>
          <w:iCs/>
          <w:lang w:eastAsia="lt-LT"/>
        </w:rPr>
        <w:t xml:space="preserve"> </w:t>
      </w:r>
      <w:r>
        <w:rPr>
          <w:lang w:eastAsia="lt-LT"/>
        </w:rPr>
        <w:t>uždirbtomis</w:t>
      </w:r>
      <w:r>
        <w:rPr>
          <w:i/>
          <w:iCs/>
          <w:lang w:eastAsia="lt-LT"/>
        </w:rPr>
        <w:t xml:space="preserve"> </w:t>
      </w:r>
      <w:r>
        <w:rPr>
          <w:lang w:eastAsia="lt-LT"/>
        </w:rPr>
        <w:t>nuo</w:t>
      </w:r>
      <w:r>
        <w:rPr>
          <w:i/>
          <w:iCs/>
          <w:lang w:eastAsia="lt-LT"/>
        </w:rPr>
        <w:t xml:space="preserve"> </w:t>
      </w:r>
      <w:r>
        <w:rPr>
          <w:lang w:eastAsia="lt-LT"/>
        </w:rPr>
        <w:t>faktiško</w:t>
      </w:r>
      <w:r>
        <w:rPr>
          <w:i/>
          <w:iCs/>
          <w:lang w:eastAsia="lt-LT"/>
        </w:rPr>
        <w:t xml:space="preserve"> </w:t>
      </w:r>
      <w:r>
        <w:rPr>
          <w:lang w:eastAsia="lt-LT"/>
        </w:rPr>
        <w:t>turto</w:t>
      </w:r>
      <w:r>
        <w:rPr>
          <w:i/>
          <w:iCs/>
          <w:lang w:eastAsia="lt-LT"/>
        </w:rPr>
        <w:t xml:space="preserve"> </w:t>
      </w:r>
      <w:r>
        <w:rPr>
          <w:lang w:eastAsia="lt-LT"/>
        </w:rPr>
        <w:t>perdavimo</w:t>
      </w:r>
      <w:r>
        <w:rPr>
          <w:i/>
          <w:iCs/>
          <w:lang w:eastAsia="lt-LT"/>
        </w:rPr>
        <w:t xml:space="preserve"> </w:t>
      </w:r>
      <w:r>
        <w:rPr>
          <w:lang w:eastAsia="lt-LT"/>
        </w:rPr>
        <w:t>pirkėjui</w:t>
      </w:r>
      <w:r>
        <w:rPr>
          <w:i/>
          <w:iCs/>
          <w:lang w:eastAsia="lt-LT"/>
        </w:rPr>
        <w:t xml:space="preserve"> </w:t>
      </w:r>
      <w:r>
        <w:rPr>
          <w:lang w:eastAsia="lt-LT"/>
        </w:rPr>
        <w:t>momento, t.y. nuo priėmimo – perdavimo akte nurodyto faktiško perdavimo naudotis turtu momento.</w:t>
      </w:r>
    </w:p>
    <w:p w14:paraId="07726BD8" w14:textId="77777777" w:rsidR="00093845" w:rsidRDefault="000D779E">
      <w:pPr>
        <w:spacing w:before="100" w:beforeAutospacing="1" w:after="100" w:afterAutospacing="1"/>
        <w:jc w:val="both"/>
        <w:rPr>
          <w:lang w:eastAsia="lt-LT"/>
        </w:rPr>
      </w:pPr>
      <w:r>
        <w:rPr>
          <w:lang w:eastAsia="lt-LT"/>
        </w:rPr>
        <w:t xml:space="preserve">     Nuosavybės</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parduotą</w:t>
      </w:r>
      <w:r>
        <w:rPr>
          <w:i/>
          <w:iCs/>
          <w:lang w:eastAsia="lt-LT"/>
        </w:rPr>
        <w:t xml:space="preserve"> </w:t>
      </w:r>
      <w:r>
        <w:rPr>
          <w:lang w:eastAsia="lt-LT"/>
        </w:rPr>
        <w:t>nekilnojamąjį</w:t>
      </w:r>
      <w:r>
        <w:rPr>
          <w:i/>
          <w:iCs/>
          <w:lang w:eastAsia="lt-LT"/>
        </w:rPr>
        <w:t xml:space="preserve"> </w:t>
      </w:r>
      <w:r>
        <w:rPr>
          <w:lang w:eastAsia="lt-LT"/>
        </w:rPr>
        <w:t>turtą</w:t>
      </w:r>
      <w:r>
        <w:rPr>
          <w:i/>
          <w:iCs/>
          <w:lang w:eastAsia="lt-LT"/>
        </w:rPr>
        <w:t xml:space="preserve"> </w:t>
      </w:r>
      <w:r>
        <w:rPr>
          <w:lang w:eastAsia="lt-LT"/>
        </w:rPr>
        <w:t>pirkėjui</w:t>
      </w:r>
      <w:r>
        <w:rPr>
          <w:i/>
          <w:iCs/>
          <w:lang w:eastAsia="lt-LT"/>
        </w:rPr>
        <w:t xml:space="preserve"> </w:t>
      </w:r>
      <w:r>
        <w:rPr>
          <w:lang w:eastAsia="lt-LT"/>
        </w:rPr>
        <w:t>pereina</w:t>
      </w:r>
      <w:r>
        <w:rPr>
          <w:i/>
          <w:iCs/>
          <w:lang w:eastAsia="lt-LT"/>
        </w:rPr>
        <w:t xml:space="preserve"> </w:t>
      </w:r>
      <w:r>
        <w:rPr>
          <w:lang w:eastAsia="lt-LT"/>
        </w:rPr>
        <w:t>nuo</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perdavimo</w:t>
      </w:r>
      <w:r>
        <w:rPr>
          <w:i/>
          <w:iCs/>
          <w:lang w:eastAsia="lt-LT"/>
        </w:rPr>
        <w:t xml:space="preserve"> </w:t>
      </w:r>
      <w:r>
        <w:rPr>
          <w:lang w:eastAsia="lt-LT"/>
        </w:rPr>
        <w:t>momento.</w:t>
      </w:r>
      <w:r>
        <w:rPr>
          <w:i/>
          <w:iCs/>
          <w:lang w:eastAsia="lt-LT"/>
        </w:rPr>
        <w:t xml:space="preserve"> </w:t>
      </w:r>
      <w:r>
        <w:rPr>
          <w:lang w:eastAsia="lt-LT"/>
        </w:rPr>
        <w:t>Remiantis</w:t>
      </w:r>
      <w:r>
        <w:rPr>
          <w:i/>
          <w:iCs/>
          <w:lang w:eastAsia="lt-LT"/>
        </w:rPr>
        <w:t xml:space="preserve"> </w:t>
      </w:r>
      <w:r>
        <w:rPr>
          <w:lang w:eastAsia="lt-LT"/>
        </w:rPr>
        <w:t>Civilinio</w:t>
      </w:r>
      <w:r>
        <w:rPr>
          <w:i/>
          <w:iCs/>
          <w:lang w:eastAsia="lt-LT"/>
        </w:rPr>
        <w:t xml:space="preserve"> </w:t>
      </w:r>
      <w:r>
        <w:rPr>
          <w:lang w:eastAsia="lt-LT"/>
        </w:rPr>
        <w:t>kodekso</w:t>
      </w:r>
      <w:r>
        <w:rPr>
          <w:i/>
          <w:iCs/>
          <w:lang w:eastAsia="lt-LT"/>
        </w:rPr>
        <w:t xml:space="preserve"> </w:t>
      </w:r>
      <w:r>
        <w:rPr>
          <w:lang w:eastAsia="lt-LT"/>
        </w:rPr>
        <w:t>6.398</w:t>
      </w:r>
      <w:r>
        <w:rPr>
          <w:i/>
          <w:iCs/>
          <w:lang w:eastAsia="lt-LT"/>
        </w:rPr>
        <w:t xml:space="preserve"> </w:t>
      </w:r>
      <w:r>
        <w:rPr>
          <w:lang w:eastAsia="lt-LT"/>
        </w:rPr>
        <w:t>straipsnio</w:t>
      </w:r>
      <w:r>
        <w:rPr>
          <w:i/>
          <w:iCs/>
          <w:lang w:eastAsia="lt-LT"/>
        </w:rPr>
        <w:t xml:space="preserve"> </w:t>
      </w:r>
      <w:r>
        <w:rPr>
          <w:lang w:eastAsia="lt-LT"/>
        </w:rPr>
        <w:t>nuostatomis,</w:t>
      </w:r>
      <w:r>
        <w:rPr>
          <w:i/>
          <w:iCs/>
          <w:lang w:eastAsia="lt-LT"/>
        </w:rPr>
        <w:t xml:space="preserve"> </w:t>
      </w:r>
      <w:r>
        <w:rPr>
          <w:lang w:eastAsia="lt-LT"/>
        </w:rPr>
        <w:t>nekilnojamojo</w:t>
      </w:r>
      <w:r>
        <w:rPr>
          <w:i/>
          <w:iCs/>
          <w:lang w:eastAsia="lt-LT"/>
        </w:rPr>
        <w:t xml:space="preserve"> </w:t>
      </w:r>
      <w:r>
        <w:rPr>
          <w:lang w:eastAsia="lt-LT"/>
        </w:rPr>
        <w:t>turto</w:t>
      </w:r>
      <w:r>
        <w:rPr>
          <w:i/>
          <w:iCs/>
          <w:lang w:eastAsia="lt-LT"/>
        </w:rPr>
        <w:t xml:space="preserve"> </w:t>
      </w:r>
      <w:r>
        <w:rPr>
          <w:lang w:eastAsia="lt-LT"/>
        </w:rPr>
        <w:t>perdavimas</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įformintas</w:t>
      </w:r>
      <w:r>
        <w:rPr>
          <w:i/>
          <w:iCs/>
          <w:lang w:eastAsia="lt-LT"/>
        </w:rPr>
        <w:t xml:space="preserve"> </w:t>
      </w:r>
      <w:r>
        <w:rPr>
          <w:lang w:eastAsia="lt-LT"/>
        </w:rPr>
        <w:t>pardavėjo</w:t>
      </w:r>
      <w:r>
        <w:rPr>
          <w:i/>
          <w:iCs/>
          <w:lang w:eastAsia="lt-LT"/>
        </w:rPr>
        <w:t xml:space="preserve"> </w:t>
      </w:r>
      <w:r>
        <w:rPr>
          <w:lang w:eastAsia="lt-LT"/>
        </w:rPr>
        <w:t>ir</w:t>
      </w:r>
      <w:r>
        <w:rPr>
          <w:i/>
          <w:iCs/>
          <w:lang w:eastAsia="lt-LT"/>
        </w:rPr>
        <w:t xml:space="preserve"> </w:t>
      </w:r>
      <w:r>
        <w:rPr>
          <w:lang w:eastAsia="lt-LT"/>
        </w:rPr>
        <w:t>pirkėjo</w:t>
      </w:r>
      <w:r>
        <w:rPr>
          <w:i/>
          <w:iCs/>
          <w:lang w:eastAsia="lt-LT"/>
        </w:rPr>
        <w:t xml:space="preserve"> </w:t>
      </w:r>
      <w:r>
        <w:rPr>
          <w:lang w:eastAsia="lt-LT"/>
        </w:rPr>
        <w:t>pasirašytu</w:t>
      </w:r>
      <w:r>
        <w:rPr>
          <w:i/>
          <w:iCs/>
          <w:lang w:eastAsia="lt-LT"/>
        </w:rPr>
        <w:t xml:space="preserve"> </w:t>
      </w:r>
      <w:r>
        <w:rPr>
          <w:lang w:eastAsia="lt-LT"/>
        </w:rPr>
        <w:t>priėmimo</w:t>
      </w:r>
      <w:r>
        <w:rPr>
          <w:i/>
          <w:iCs/>
          <w:lang w:eastAsia="lt-LT"/>
        </w:rPr>
        <w:t xml:space="preserve"> </w:t>
      </w:r>
      <w:r>
        <w:rPr>
          <w:lang w:eastAsia="lt-LT"/>
        </w:rPr>
        <w:t>–</w:t>
      </w:r>
      <w:r>
        <w:rPr>
          <w:i/>
          <w:iCs/>
          <w:lang w:eastAsia="lt-LT"/>
        </w:rPr>
        <w:t xml:space="preserve"> </w:t>
      </w:r>
      <w:r>
        <w:rPr>
          <w:lang w:eastAsia="lt-LT"/>
        </w:rPr>
        <w:t>perdavimo</w:t>
      </w:r>
      <w:r>
        <w:rPr>
          <w:i/>
          <w:iCs/>
          <w:lang w:eastAsia="lt-LT"/>
        </w:rPr>
        <w:t xml:space="preserve"> </w:t>
      </w:r>
      <w:r>
        <w:rPr>
          <w:lang w:eastAsia="lt-LT"/>
        </w:rPr>
        <w:t>aktu</w:t>
      </w:r>
      <w:r>
        <w:rPr>
          <w:i/>
          <w:iCs/>
          <w:lang w:eastAsia="lt-LT"/>
        </w:rPr>
        <w:t xml:space="preserve"> </w:t>
      </w:r>
      <w:r>
        <w:rPr>
          <w:lang w:eastAsia="lt-LT"/>
        </w:rPr>
        <w:t>ar</w:t>
      </w:r>
      <w:r>
        <w:rPr>
          <w:i/>
          <w:iCs/>
          <w:lang w:eastAsia="lt-LT"/>
        </w:rPr>
        <w:t xml:space="preserve"> </w:t>
      </w:r>
      <w:r>
        <w:rPr>
          <w:lang w:eastAsia="lt-LT"/>
        </w:rPr>
        <w:t>kitu</w:t>
      </w:r>
      <w:r>
        <w:rPr>
          <w:i/>
          <w:iCs/>
          <w:lang w:eastAsia="lt-LT"/>
        </w:rPr>
        <w:t xml:space="preserve"> </w:t>
      </w:r>
      <w:r>
        <w:rPr>
          <w:lang w:eastAsia="lt-LT"/>
        </w:rPr>
        <w:t>sutartyje</w:t>
      </w:r>
      <w:r>
        <w:rPr>
          <w:i/>
          <w:iCs/>
          <w:lang w:eastAsia="lt-LT"/>
        </w:rPr>
        <w:t xml:space="preserve"> </w:t>
      </w:r>
      <w:r>
        <w:rPr>
          <w:lang w:eastAsia="lt-LT"/>
        </w:rPr>
        <w:t>nustatytu</w:t>
      </w:r>
      <w:r>
        <w:rPr>
          <w:i/>
          <w:iCs/>
          <w:lang w:eastAsia="lt-LT"/>
        </w:rPr>
        <w:t xml:space="preserve"> </w:t>
      </w:r>
      <w:r>
        <w:rPr>
          <w:lang w:eastAsia="lt-LT"/>
        </w:rPr>
        <w:t>dokumentu.</w:t>
      </w:r>
    </w:p>
    <w:p w14:paraId="4B9FE34F" w14:textId="77777777" w:rsidR="00093845" w:rsidRDefault="000D779E">
      <w:pPr>
        <w:spacing w:before="100" w:beforeAutospacing="1" w:after="100" w:afterAutospacing="1"/>
        <w:jc w:val="both"/>
        <w:rPr>
          <w:lang w:eastAsia="lt-LT"/>
        </w:rPr>
      </w:pPr>
      <w:r>
        <w:rPr>
          <w:lang w:eastAsia="lt-LT"/>
        </w:rPr>
        <w:t xml:space="preserve">    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pajamas</w:t>
      </w:r>
      <w:r>
        <w:rPr>
          <w:i/>
          <w:iCs/>
          <w:lang w:eastAsia="lt-LT"/>
        </w:rPr>
        <w:t xml:space="preserve"> </w:t>
      </w:r>
      <w:r>
        <w:rPr>
          <w:lang w:eastAsia="lt-LT"/>
        </w:rPr>
        <w:t>pripažįsta</w:t>
      </w:r>
      <w:r>
        <w:rPr>
          <w:i/>
          <w:iCs/>
          <w:lang w:eastAsia="lt-LT"/>
        </w:rPr>
        <w:t xml:space="preserve"> </w:t>
      </w:r>
      <w:r>
        <w:rPr>
          <w:lang w:eastAsia="lt-LT"/>
        </w:rPr>
        <w:t>pagal</w:t>
      </w:r>
      <w:r>
        <w:rPr>
          <w:i/>
          <w:iCs/>
          <w:lang w:eastAsia="lt-LT"/>
        </w:rPr>
        <w:t xml:space="preserve"> </w:t>
      </w:r>
      <w:r>
        <w:rPr>
          <w:lang w:eastAsia="lt-LT"/>
        </w:rPr>
        <w:t>10</w:t>
      </w:r>
      <w:r>
        <w:rPr>
          <w:i/>
          <w:iCs/>
          <w:lang w:eastAsia="lt-LT"/>
        </w:rPr>
        <w:t xml:space="preserve"> </w:t>
      </w:r>
      <w:r>
        <w:rPr>
          <w:lang w:eastAsia="lt-LT"/>
        </w:rPr>
        <w:t>VAS</w:t>
      </w:r>
      <w:r>
        <w:rPr>
          <w:i/>
          <w:iCs/>
          <w:lang w:eastAsia="lt-LT"/>
        </w:rPr>
        <w:t xml:space="preserve"> „</w:t>
      </w:r>
      <w:r>
        <w:rPr>
          <w:lang w:eastAsia="lt-LT"/>
        </w:rPr>
        <w:t>Pajamos</w:t>
      </w:r>
      <w:r>
        <w:rPr>
          <w:i/>
          <w:iCs/>
          <w:lang w:eastAsia="lt-LT"/>
        </w:rPr>
        <w:t>“</w:t>
      </w:r>
      <w:r>
        <w:rPr>
          <w:lang w:eastAsia="lt-LT"/>
        </w:rPr>
        <w:t>.</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jos</w:t>
      </w:r>
      <w:r>
        <w:rPr>
          <w:i/>
          <w:iCs/>
          <w:lang w:eastAsia="lt-LT"/>
        </w:rPr>
        <w:t xml:space="preserve"> </w:t>
      </w:r>
      <w:r>
        <w:rPr>
          <w:lang w:eastAsia="lt-LT"/>
        </w:rPr>
        <w:t>neprieštarauja</w:t>
      </w:r>
      <w:r>
        <w:rPr>
          <w:i/>
          <w:iCs/>
          <w:lang w:eastAsia="lt-LT"/>
        </w:rPr>
        <w:t xml:space="preserve"> </w:t>
      </w:r>
      <w:bookmarkStart w:id="113" w:name="n1_1438"/>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4" w:name="pn1_1438"/>
      <w:bookmarkEnd w:id="113"/>
      <w:bookmarkEnd w:id="114"/>
      <w:r>
        <w:rPr>
          <w:i/>
          <w:iCs/>
          <w:lang w:eastAsia="lt-LT"/>
        </w:rPr>
        <w:t xml:space="preserve"> </w:t>
      </w:r>
      <w:r>
        <w:rPr>
          <w:lang w:eastAsia="lt-LT"/>
        </w:rPr>
        <w:t>nuostatoms.</w:t>
      </w:r>
    </w:p>
    <w:p w14:paraId="4FE01D1F" w14:textId="77777777" w:rsidR="00093845" w:rsidRDefault="000D779E">
      <w:pPr>
        <w:spacing w:before="100" w:beforeAutospacing="1" w:after="100" w:afterAutospacing="1"/>
        <w:jc w:val="both"/>
        <w:rPr>
          <w:lang w:eastAsia="lt-LT"/>
        </w:rPr>
      </w:pPr>
      <w:r>
        <w:rPr>
          <w:lang w:eastAsia="lt-LT"/>
        </w:rPr>
        <w:t xml:space="preserve">    Tais atvejais, kai pagal 18 VAS „Finansinis turtas ir finansiniai įsipareigojimai“ nuostatas vienetai privalo apskaičiuoti palūkanas diskontuojant visas</w:t>
      </w:r>
      <w:r w:rsidR="00551983">
        <w:rPr>
          <w:lang w:eastAsia="lt-LT"/>
        </w:rPr>
        <w:t xml:space="preserve"> gautinas sumas, ir finansinėje</w:t>
      </w:r>
      <w:r>
        <w:rPr>
          <w:lang w:eastAsia="lt-LT"/>
        </w:rPr>
        <w:t xml:space="preserve"> apskaitoje pripažinti tiek palūkanų pajamas, tiek palūkanų sąnaudas, tai apskaičiuodami pelno mokestį, vienetai palūkanų </w:t>
      </w:r>
      <w:r>
        <w:rPr>
          <w:lang w:eastAsia="lt-LT"/>
        </w:rPr>
        <w:lastRenderedPageBreak/>
        <w:t>pajamų atskirai apskaičiuoti ir šių pajamų bei sąnaudų pripažinti neturi. Todėl, pelnas (nuostolis), atsiradęs (su</w:t>
      </w:r>
      <w:r w:rsidR="00551983">
        <w:rPr>
          <w:lang w:eastAsia="lt-LT"/>
        </w:rPr>
        <w:t>sidaręs) dėl vienetų finansinėje</w:t>
      </w:r>
      <w:r>
        <w:rPr>
          <w:lang w:eastAsia="lt-LT"/>
        </w:rPr>
        <w:t>je apskaitoje palūkanų apskaičiavimo taikant apskaičiuotų palūkanų metodą, pelno mokesčio apskaičiavimui įtakos neturi.</w:t>
      </w:r>
    </w:p>
    <w:p w14:paraId="63CA1CC7"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teikia</w:t>
      </w:r>
      <w:r>
        <w:rPr>
          <w:i/>
          <w:iCs/>
          <w:lang w:eastAsia="lt-LT"/>
        </w:rPr>
        <w:t xml:space="preserve"> </w:t>
      </w:r>
      <w:r>
        <w:rPr>
          <w:lang w:eastAsia="lt-LT"/>
        </w:rPr>
        <w:t>beprocentinį</w:t>
      </w:r>
      <w:r>
        <w:rPr>
          <w:i/>
          <w:iCs/>
          <w:lang w:eastAsia="lt-LT"/>
        </w:rPr>
        <w:t xml:space="preserve"> </w:t>
      </w:r>
      <w:r>
        <w:rPr>
          <w:lang w:eastAsia="lt-LT"/>
        </w:rPr>
        <w:t>kreditą</w:t>
      </w:r>
      <w:r>
        <w:rPr>
          <w:i/>
          <w:iCs/>
          <w:lang w:eastAsia="lt-LT"/>
        </w:rPr>
        <w:t xml:space="preserve"> </w:t>
      </w:r>
      <w:r>
        <w:rPr>
          <w:lang w:eastAsia="lt-LT"/>
        </w:rPr>
        <w:t>pirkėjui</w:t>
      </w:r>
      <w:r>
        <w:rPr>
          <w:i/>
          <w:iCs/>
          <w:lang w:eastAsia="lt-LT"/>
        </w:rPr>
        <w:t xml:space="preserve"> </w:t>
      </w:r>
      <w:r>
        <w:rPr>
          <w:lang w:eastAsia="lt-LT"/>
        </w:rPr>
        <w:t>(parduoda</w:t>
      </w:r>
      <w:r>
        <w:rPr>
          <w:i/>
          <w:iCs/>
          <w:lang w:eastAsia="lt-LT"/>
        </w:rPr>
        <w:t xml:space="preserve"> </w:t>
      </w:r>
      <w:r>
        <w:rPr>
          <w:lang w:eastAsia="lt-LT"/>
        </w:rPr>
        <w:t>prekes</w:t>
      </w:r>
      <w:r>
        <w:rPr>
          <w:i/>
          <w:iCs/>
          <w:lang w:eastAsia="lt-LT"/>
        </w:rPr>
        <w:t xml:space="preserve"> </w:t>
      </w:r>
      <w:r>
        <w:rPr>
          <w:lang w:eastAsia="lt-LT"/>
        </w:rPr>
        <w:t>išsimokėtinai,</w:t>
      </w:r>
      <w:r>
        <w:rPr>
          <w:i/>
          <w:iCs/>
          <w:lang w:eastAsia="lt-LT"/>
        </w:rPr>
        <w:t xml:space="preserve"> </w:t>
      </w:r>
      <w:r>
        <w:rPr>
          <w:lang w:eastAsia="lt-LT"/>
        </w:rPr>
        <w:t>nenustatydamas</w:t>
      </w:r>
      <w:r>
        <w:rPr>
          <w:i/>
          <w:iCs/>
          <w:lang w:eastAsia="lt-LT"/>
        </w:rPr>
        <w:t xml:space="preserve"> </w:t>
      </w:r>
      <w:r>
        <w:rPr>
          <w:lang w:eastAsia="lt-LT"/>
        </w:rPr>
        <w:t>palūkanų)</w:t>
      </w:r>
      <w:r>
        <w:rPr>
          <w:i/>
          <w:iCs/>
          <w:lang w:eastAsia="lt-LT"/>
        </w:rPr>
        <w:t xml:space="preserve"> </w:t>
      </w:r>
      <w:r>
        <w:rPr>
          <w:lang w:eastAsia="lt-LT"/>
        </w:rPr>
        <w:t>ir</w:t>
      </w:r>
      <w:r>
        <w:rPr>
          <w:i/>
          <w:iCs/>
          <w:lang w:eastAsia="lt-LT"/>
        </w:rPr>
        <w:t xml:space="preserve"> </w:t>
      </w:r>
      <w:r>
        <w:rPr>
          <w:lang w:eastAsia="lt-LT"/>
        </w:rPr>
        <w:t>jei</w:t>
      </w:r>
      <w:r>
        <w:rPr>
          <w:i/>
          <w:iCs/>
          <w:lang w:eastAsia="lt-LT"/>
        </w:rPr>
        <w:t xml:space="preserve"> </w:t>
      </w:r>
      <w:r>
        <w:rPr>
          <w:lang w:eastAsia="lt-LT"/>
        </w:rPr>
        <w:t>toks</w:t>
      </w:r>
      <w:r>
        <w:rPr>
          <w:i/>
          <w:iCs/>
          <w:lang w:eastAsia="lt-LT"/>
        </w:rPr>
        <w:t xml:space="preserve"> </w:t>
      </w:r>
      <w:r>
        <w:rPr>
          <w:lang w:eastAsia="lt-LT"/>
        </w:rPr>
        <w:t>susitarimas</w:t>
      </w:r>
      <w:r>
        <w:rPr>
          <w:i/>
          <w:iCs/>
          <w:lang w:eastAsia="lt-LT"/>
        </w:rPr>
        <w:t xml:space="preserve"> </w:t>
      </w:r>
      <w:r>
        <w:rPr>
          <w:lang w:eastAsia="lt-LT"/>
        </w:rPr>
        <w:t>laikomas</w:t>
      </w:r>
      <w:r>
        <w:rPr>
          <w:i/>
          <w:iCs/>
          <w:lang w:eastAsia="lt-LT"/>
        </w:rPr>
        <w:t xml:space="preserve"> </w:t>
      </w:r>
      <w:r>
        <w:rPr>
          <w:lang w:eastAsia="lt-LT"/>
        </w:rPr>
        <w:t>finansavimo</w:t>
      </w:r>
      <w:r>
        <w:rPr>
          <w:i/>
          <w:iCs/>
          <w:lang w:eastAsia="lt-LT"/>
        </w:rPr>
        <w:t xml:space="preserve"> </w:t>
      </w:r>
      <w:r>
        <w:rPr>
          <w:lang w:eastAsia="lt-LT"/>
        </w:rPr>
        <w:t>sandoriu,</w:t>
      </w:r>
      <w:r>
        <w:rPr>
          <w:i/>
          <w:iCs/>
          <w:lang w:eastAsia="lt-LT"/>
        </w:rPr>
        <w:t xml:space="preserve"> </w:t>
      </w:r>
      <w:r>
        <w:rPr>
          <w:lang w:eastAsia="lt-LT"/>
        </w:rPr>
        <w:t>tuomet,</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prekių</w:t>
      </w:r>
      <w:r>
        <w:rPr>
          <w:i/>
          <w:iCs/>
          <w:lang w:eastAsia="lt-LT"/>
        </w:rPr>
        <w:t xml:space="preserve"> </w:t>
      </w:r>
      <w:r>
        <w:rPr>
          <w:lang w:eastAsia="lt-LT"/>
        </w:rPr>
        <w:t>pardavimo</w:t>
      </w:r>
      <w:r>
        <w:rPr>
          <w:i/>
          <w:iCs/>
          <w:lang w:eastAsia="lt-LT"/>
        </w:rPr>
        <w:t xml:space="preserve"> </w:t>
      </w:r>
      <w:r>
        <w:rPr>
          <w:lang w:eastAsia="lt-LT"/>
        </w:rPr>
        <w:t>pajamos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apskaičiuojamos</w:t>
      </w:r>
      <w:r>
        <w:rPr>
          <w:i/>
          <w:iCs/>
          <w:lang w:eastAsia="lt-LT"/>
        </w:rPr>
        <w:t xml:space="preserve"> </w:t>
      </w:r>
      <w:r>
        <w:rPr>
          <w:lang w:eastAsia="lt-LT"/>
        </w:rPr>
        <w:t>diskontuojant</w:t>
      </w:r>
      <w:r>
        <w:rPr>
          <w:i/>
          <w:iCs/>
          <w:lang w:eastAsia="lt-LT"/>
        </w:rPr>
        <w:t xml:space="preserve"> </w:t>
      </w:r>
      <w:r>
        <w:rPr>
          <w:lang w:eastAsia="lt-LT"/>
        </w:rPr>
        <w:t>visas</w:t>
      </w:r>
      <w:r>
        <w:rPr>
          <w:i/>
          <w:iCs/>
          <w:lang w:eastAsia="lt-LT"/>
        </w:rPr>
        <w:t xml:space="preserve"> </w:t>
      </w:r>
      <w:r>
        <w:rPr>
          <w:lang w:eastAsia="lt-LT"/>
        </w:rPr>
        <w:t>gautinas</w:t>
      </w:r>
      <w:r>
        <w:rPr>
          <w:i/>
          <w:iCs/>
          <w:lang w:eastAsia="lt-LT"/>
        </w:rPr>
        <w:t xml:space="preserve"> </w:t>
      </w:r>
      <w:r>
        <w:rPr>
          <w:lang w:eastAsia="lt-LT"/>
        </w:rPr>
        <w:t>sumas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palūkanų</w:t>
      </w:r>
      <w:r>
        <w:rPr>
          <w:i/>
          <w:iCs/>
          <w:lang w:eastAsia="lt-LT"/>
        </w:rPr>
        <w:t xml:space="preserve"> </w:t>
      </w:r>
      <w:r>
        <w:rPr>
          <w:lang w:eastAsia="lt-LT"/>
        </w:rPr>
        <w:t>normą.</w:t>
      </w:r>
      <w:r>
        <w:rPr>
          <w:i/>
          <w:iCs/>
          <w:lang w:eastAsia="lt-LT"/>
        </w:rPr>
        <w:t xml:space="preserve"> </w:t>
      </w:r>
      <w:r>
        <w:rPr>
          <w:lang w:eastAsia="lt-LT"/>
        </w:rPr>
        <w:t>Vadinasi,</w:t>
      </w:r>
      <w:r>
        <w:rPr>
          <w:i/>
          <w:iCs/>
          <w:lang w:eastAsia="lt-LT"/>
        </w:rPr>
        <w:t xml:space="preserve"> </w:t>
      </w:r>
      <w:r>
        <w:rPr>
          <w:lang w:eastAsia="lt-LT"/>
        </w:rPr>
        <w:t>vieneto</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dviejų</w:t>
      </w:r>
      <w:r>
        <w:rPr>
          <w:i/>
          <w:iCs/>
          <w:lang w:eastAsia="lt-LT"/>
        </w:rPr>
        <w:t xml:space="preserve"> </w:t>
      </w:r>
      <w:r>
        <w:rPr>
          <w:lang w:eastAsia="lt-LT"/>
        </w:rPr>
        <w:t>rūšių</w:t>
      </w:r>
      <w:r>
        <w:rPr>
          <w:i/>
          <w:iCs/>
          <w:lang w:eastAsia="lt-LT"/>
        </w:rPr>
        <w:t xml:space="preserve"> </w:t>
      </w:r>
      <w:r>
        <w:rPr>
          <w:lang w:eastAsia="lt-LT"/>
        </w:rPr>
        <w:t>pajamos</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ir</w:t>
      </w:r>
      <w:r>
        <w:rPr>
          <w:i/>
          <w:iCs/>
          <w:lang w:eastAsia="lt-LT"/>
        </w:rPr>
        <w:t xml:space="preserve"> </w:t>
      </w:r>
      <w:r>
        <w:rPr>
          <w:lang w:eastAsia="lt-LT"/>
        </w:rPr>
        <w:t>palūkanų</w:t>
      </w:r>
      <w:r>
        <w:rPr>
          <w:i/>
          <w:iCs/>
          <w:lang w:eastAsia="lt-LT"/>
        </w:rPr>
        <w:t xml:space="preserve"> </w:t>
      </w:r>
      <w:r>
        <w:rPr>
          <w:lang w:eastAsia="lt-LT"/>
        </w:rPr>
        <w:t>pajamos</w:t>
      </w:r>
      <w:r>
        <w:rPr>
          <w:i/>
          <w:iCs/>
          <w:lang w:eastAsia="lt-LT"/>
        </w:rPr>
        <w:t xml:space="preserve"> </w:t>
      </w:r>
      <w:r>
        <w:rPr>
          <w:lang w:eastAsia="lt-LT"/>
        </w:rPr>
        <w:t>(atitinkamai</w:t>
      </w:r>
      <w:r>
        <w:rPr>
          <w:i/>
          <w:iCs/>
          <w:lang w:eastAsia="lt-LT"/>
        </w:rPr>
        <w:t xml:space="preserve"> </w:t>
      </w:r>
      <w:r>
        <w:rPr>
          <w:lang w:eastAsia="lt-LT"/>
        </w:rPr>
        <w:t>pirkėjui</w:t>
      </w:r>
      <w:r>
        <w:rPr>
          <w:i/>
          <w:iCs/>
          <w:lang w:eastAsia="lt-LT"/>
        </w:rPr>
        <w:t xml:space="preserve"> </w:t>
      </w:r>
      <w:r>
        <w:rPr>
          <w:lang w:eastAsia="lt-LT"/>
        </w:rPr>
        <w:t>susidarys</w:t>
      </w:r>
      <w:r>
        <w:rPr>
          <w:i/>
          <w:iCs/>
          <w:lang w:eastAsia="lt-LT"/>
        </w:rPr>
        <w:t xml:space="preserve"> </w:t>
      </w:r>
      <w:r>
        <w:rPr>
          <w:lang w:eastAsia="lt-LT"/>
        </w:rPr>
        <w:t>dviejų</w:t>
      </w:r>
      <w:r>
        <w:rPr>
          <w:i/>
          <w:iCs/>
          <w:lang w:eastAsia="lt-LT"/>
        </w:rPr>
        <w:t xml:space="preserve"> </w:t>
      </w:r>
      <w:r>
        <w:rPr>
          <w:lang w:eastAsia="lt-LT"/>
        </w:rPr>
        <w:t>rūšių</w:t>
      </w:r>
      <w:r>
        <w:rPr>
          <w:i/>
          <w:iCs/>
          <w:lang w:eastAsia="lt-LT"/>
        </w:rPr>
        <w:t xml:space="preserve"> </w:t>
      </w:r>
      <w:r>
        <w:rPr>
          <w:lang w:eastAsia="lt-LT"/>
        </w:rPr>
        <w:t>leidžiami</w:t>
      </w:r>
      <w:r>
        <w:rPr>
          <w:i/>
          <w:iCs/>
          <w:lang w:eastAsia="lt-LT"/>
        </w:rPr>
        <w:t xml:space="preserve"> </w:t>
      </w:r>
      <w:r>
        <w:rPr>
          <w:lang w:eastAsia="lt-LT"/>
        </w:rPr>
        <w:t>atskaitymai:</w:t>
      </w:r>
      <w:r>
        <w:rPr>
          <w:i/>
          <w:iCs/>
          <w:lang w:eastAsia="lt-LT"/>
        </w:rPr>
        <w:t xml:space="preserve"> </w:t>
      </w:r>
      <w:r>
        <w:rPr>
          <w:lang w:eastAsia="lt-LT"/>
        </w:rPr>
        <w:t>prekių</w:t>
      </w:r>
      <w:r>
        <w:rPr>
          <w:i/>
          <w:iCs/>
          <w:lang w:eastAsia="lt-LT"/>
        </w:rPr>
        <w:t xml:space="preserve"> </w:t>
      </w:r>
      <w:r>
        <w:rPr>
          <w:lang w:eastAsia="lt-LT"/>
        </w:rPr>
        <w:t>įsigijimo</w:t>
      </w:r>
      <w:r>
        <w:rPr>
          <w:i/>
          <w:iCs/>
          <w:lang w:eastAsia="lt-LT"/>
        </w:rPr>
        <w:t xml:space="preserve"> </w:t>
      </w:r>
      <w:r>
        <w:rPr>
          <w:lang w:eastAsia="lt-LT"/>
        </w:rPr>
        <w:t>savikaina</w:t>
      </w:r>
      <w:r>
        <w:rPr>
          <w:i/>
          <w:iCs/>
          <w:lang w:eastAsia="lt-LT"/>
        </w:rPr>
        <w:t xml:space="preserve"> </w:t>
      </w:r>
      <w:r>
        <w:rPr>
          <w:lang w:eastAsia="lt-LT"/>
        </w:rPr>
        <w:t>ir</w:t>
      </w:r>
      <w:r>
        <w:rPr>
          <w:i/>
          <w:iCs/>
          <w:lang w:eastAsia="lt-LT"/>
        </w:rPr>
        <w:t xml:space="preserve"> </w:t>
      </w:r>
      <w:r>
        <w:rPr>
          <w:lang w:eastAsia="lt-LT"/>
        </w:rPr>
        <w:t>palūkanų</w:t>
      </w:r>
      <w:r>
        <w:rPr>
          <w:i/>
          <w:iCs/>
          <w:lang w:eastAsia="lt-LT"/>
        </w:rPr>
        <w:t xml:space="preserve"> </w:t>
      </w:r>
      <w:r>
        <w:rPr>
          <w:lang w:eastAsia="lt-LT"/>
        </w:rPr>
        <w:t>sąnaudos).</w:t>
      </w:r>
    </w:p>
    <w:p w14:paraId="5BBEFB6C" w14:textId="77777777" w:rsidR="00093845" w:rsidRDefault="000D779E">
      <w:pPr>
        <w:spacing w:before="100" w:beforeAutospacing="1" w:after="100" w:afterAutospacing="1"/>
        <w:jc w:val="both"/>
        <w:rPr>
          <w:lang w:eastAsia="lt-LT"/>
        </w:rPr>
      </w:pPr>
      <w:r>
        <w:rPr>
          <w:lang w:eastAsia="lt-LT"/>
        </w:rPr>
        <w:t xml:space="preserve">     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suteikia</w:t>
      </w:r>
      <w:r>
        <w:rPr>
          <w:i/>
          <w:iCs/>
          <w:lang w:eastAsia="lt-LT"/>
        </w:rPr>
        <w:t xml:space="preserve"> </w:t>
      </w:r>
      <w:r>
        <w:rPr>
          <w:lang w:eastAsia="lt-LT"/>
        </w:rPr>
        <w:t>ilgalaikes</w:t>
      </w:r>
      <w:r>
        <w:rPr>
          <w:i/>
          <w:iCs/>
          <w:lang w:eastAsia="lt-LT"/>
        </w:rPr>
        <w:t xml:space="preserve"> </w:t>
      </w:r>
      <w:r>
        <w:rPr>
          <w:lang w:eastAsia="lt-LT"/>
        </w:rPr>
        <w:t>ar</w:t>
      </w:r>
      <w:r>
        <w:rPr>
          <w:i/>
          <w:iCs/>
          <w:lang w:eastAsia="lt-LT"/>
        </w:rPr>
        <w:t xml:space="preserve"> </w:t>
      </w:r>
      <w:r>
        <w:rPr>
          <w:lang w:eastAsia="lt-LT"/>
        </w:rPr>
        <w:t>trumpalaikes</w:t>
      </w:r>
      <w:r>
        <w:rPr>
          <w:i/>
          <w:iCs/>
          <w:lang w:eastAsia="lt-LT"/>
        </w:rPr>
        <w:t xml:space="preserve"> </w:t>
      </w:r>
      <w:r>
        <w:rPr>
          <w:lang w:eastAsia="lt-LT"/>
        </w:rPr>
        <w:t>paskolas,</w:t>
      </w:r>
      <w:r>
        <w:rPr>
          <w:i/>
          <w:iCs/>
          <w:lang w:eastAsia="lt-LT"/>
        </w:rPr>
        <w:t xml:space="preserve"> </w:t>
      </w:r>
      <w:r>
        <w:rPr>
          <w:lang w:eastAsia="lt-LT"/>
        </w:rPr>
        <w:t>nenustatydamas</w:t>
      </w:r>
      <w:r>
        <w:rPr>
          <w:i/>
          <w:iCs/>
          <w:lang w:eastAsia="lt-LT"/>
        </w:rPr>
        <w:t xml:space="preserve"> </w:t>
      </w:r>
      <w:r>
        <w:rPr>
          <w:lang w:eastAsia="lt-LT"/>
        </w:rPr>
        <w:t>palūkanų,</w:t>
      </w:r>
      <w:r>
        <w:rPr>
          <w:i/>
          <w:iCs/>
          <w:lang w:eastAsia="lt-LT"/>
        </w:rPr>
        <w:t xml:space="preserve"> </w:t>
      </w:r>
      <w:r>
        <w:rPr>
          <w:lang w:eastAsia="lt-LT"/>
        </w:rPr>
        <w:t>neasocijuotiems</w:t>
      </w:r>
      <w:r>
        <w:rPr>
          <w:i/>
          <w:iCs/>
          <w:lang w:eastAsia="lt-LT"/>
        </w:rPr>
        <w:t xml:space="preserve"> </w:t>
      </w:r>
      <w:r>
        <w:rPr>
          <w:lang w:eastAsia="lt-LT"/>
        </w:rPr>
        <w:t>asmenims</w:t>
      </w:r>
      <w:r>
        <w:rPr>
          <w:i/>
          <w:iCs/>
          <w:lang w:eastAsia="lt-LT"/>
        </w:rPr>
        <w:t xml:space="preserve"> </w:t>
      </w:r>
      <w:r>
        <w:rPr>
          <w:lang w:eastAsia="lt-LT"/>
        </w:rPr>
        <w:t>ir</w:t>
      </w:r>
      <w:r>
        <w:rPr>
          <w:i/>
          <w:iCs/>
          <w:lang w:eastAsia="lt-LT"/>
        </w:rPr>
        <w:t xml:space="preserve"> </w:t>
      </w:r>
      <w:r>
        <w:rPr>
          <w:lang w:eastAsia="lt-LT"/>
        </w:rPr>
        <w:t>pagal</w:t>
      </w:r>
      <w:r>
        <w:rPr>
          <w:i/>
          <w:iCs/>
          <w:lang w:eastAsia="lt-LT"/>
        </w:rPr>
        <w:t xml:space="preserve"> </w:t>
      </w:r>
      <w:r>
        <w:rPr>
          <w:lang w:eastAsia="lt-LT"/>
        </w:rPr>
        <w:t>18</w:t>
      </w:r>
      <w:r>
        <w:rPr>
          <w:i/>
          <w:iCs/>
          <w:lang w:eastAsia="lt-LT"/>
        </w:rPr>
        <w:t xml:space="preserve"> </w:t>
      </w:r>
      <w:r>
        <w:rPr>
          <w:lang w:eastAsia="lt-LT"/>
        </w:rPr>
        <w:t>VAS</w:t>
      </w:r>
      <w:r>
        <w:rPr>
          <w:i/>
          <w:iCs/>
          <w:lang w:eastAsia="lt-LT"/>
        </w:rPr>
        <w:t xml:space="preserve"> </w:t>
      </w:r>
      <w:r>
        <w:rPr>
          <w:lang w:eastAsia="lt-LT"/>
        </w:rPr>
        <w:t>„Finansinis turtas ir finansiniai įsipareigojimai“</w:t>
      </w:r>
      <w:r>
        <w:rPr>
          <w:i/>
          <w:iCs/>
          <w:lang w:eastAsia="lt-LT"/>
        </w:rPr>
        <w:t xml:space="preserve"> </w:t>
      </w:r>
      <w:r>
        <w:rPr>
          <w:lang w:eastAsia="lt-LT"/>
        </w:rPr>
        <w:t>nuostatas</w:t>
      </w:r>
      <w:r>
        <w:rPr>
          <w:i/>
          <w:iCs/>
          <w:lang w:eastAsia="lt-LT"/>
        </w:rPr>
        <w:t xml:space="preserve"> </w:t>
      </w:r>
      <w:r>
        <w:rPr>
          <w:lang w:eastAsia="lt-LT"/>
        </w:rPr>
        <w:t>privalo</w:t>
      </w:r>
      <w:r>
        <w:rPr>
          <w:i/>
          <w:iCs/>
          <w:lang w:eastAsia="lt-LT"/>
        </w:rPr>
        <w:t xml:space="preserve"> </w:t>
      </w:r>
      <w:r>
        <w:rPr>
          <w:lang w:eastAsia="lt-LT"/>
        </w:rPr>
        <w:t>apskaičiuoti</w:t>
      </w:r>
      <w:r>
        <w:rPr>
          <w:i/>
          <w:iCs/>
          <w:lang w:eastAsia="lt-LT"/>
        </w:rPr>
        <w:t xml:space="preserve"> </w:t>
      </w:r>
      <w:r>
        <w:rPr>
          <w:lang w:eastAsia="lt-LT"/>
        </w:rPr>
        <w:t>palūkanas</w:t>
      </w:r>
      <w:r>
        <w:rPr>
          <w:i/>
          <w:iCs/>
          <w:lang w:eastAsia="lt-LT"/>
        </w:rPr>
        <w:t xml:space="preserve"> </w:t>
      </w:r>
      <w:r>
        <w:rPr>
          <w:lang w:eastAsia="lt-LT"/>
        </w:rPr>
        <w:t>diskontuojant</w:t>
      </w:r>
      <w:r>
        <w:rPr>
          <w:i/>
          <w:iCs/>
          <w:lang w:eastAsia="lt-LT"/>
        </w:rPr>
        <w:t xml:space="preserve"> </w:t>
      </w:r>
      <w:r>
        <w:rPr>
          <w:lang w:eastAsia="lt-LT"/>
        </w:rPr>
        <w:t>visas</w:t>
      </w:r>
      <w:r>
        <w:rPr>
          <w:i/>
          <w:iCs/>
          <w:lang w:eastAsia="lt-LT"/>
        </w:rPr>
        <w:t xml:space="preserve"> </w:t>
      </w:r>
      <w:r>
        <w:rPr>
          <w:lang w:eastAsia="lt-LT"/>
        </w:rPr>
        <w:t>gautinas</w:t>
      </w:r>
      <w:r>
        <w:rPr>
          <w:i/>
          <w:iCs/>
          <w:lang w:eastAsia="lt-LT"/>
        </w:rPr>
        <w:t xml:space="preserve"> </w:t>
      </w:r>
      <w:r>
        <w:rPr>
          <w:lang w:eastAsia="lt-LT"/>
        </w:rPr>
        <w:t>sumas,</w:t>
      </w:r>
      <w:r>
        <w:rPr>
          <w:i/>
          <w:iCs/>
          <w:lang w:eastAsia="lt-LT"/>
        </w:rPr>
        <w:t xml:space="preserve"> </w:t>
      </w:r>
      <w:r>
        <w:rPr>
          <w:lang w:eastAsia="lt-LT"/>
        </w:rPr>
        <w:t>ir</w:t>
      </w:r>
      <w:r>
        <w:rPr>
          <w:i/>
          <w:iCs/>
          <w:lang w:eastAsia="lt-LT"/>
        </w:rPr>
        <w:t xml:space="preserve"> </w:t>
      </w:r>
      <w:r>
        <w:rPr>
          <w:lang w:eastAsia="lt-LT"/>
        </w:rPr>
        <w:t>finansinėje</w:t>
      </w:r>
      <w:r>
        <w:rPr>
          <w:i/>
          <w:iCs/>
          <w:lang w:eastAsia="lt-LT"/>
        </w:rPr>
        <w:t xml:space="preserve"> </w:t>
      </w:r>
      <w:r>
        <w:rPr>
          <w:lang w:eastAsia="lt-LT"/>
        </w:rPr>
        <w:t>apskaitoje</w:t>
      </w:r>
      <w:r>
        <w:rPr>
          <w:i/>
          <w:iCs/>
          <w:lang w:eastAsia="lt-LT"/>
        </w:rPr>
        <w:t xml:space="preserve"> </w:t>
      </w:r>
      <w:r>
        <w:rPr>
          <w:lang w:eastAsia="lt-LT"/>
        </w:rPr>
        <w:t>pripažinti</w:t>
      </w:r>
      <w:r>
        <w:rPr>
          <w:i/>
          <w:iCs/>
          <w:lang w:eastAsia="lt-LT"/>
        </w:rPr>
        <w:t xml:space="preserve"> </w:t>
      </w:r>
      <w:r>
        <w:rPr>
          <w:lang w:eastAsia="lt-LT"/>
        </w:rPr>
        <w:t>tiek</w:t>
      </w:r>
      <w:r>
        <w:rPr>
          <w:i/>
          <w:iCs/>
          <w:lang w:eastAsia="lt-LT"/>
        </w:rPr>
        <w:t xml:space="preserve"> </w:t>
      </w:r>
      <w:r>
        <w:rPr>
          <w:lang w:eastAsia="lt-LT"/>
        </w:rPr>
        <w:t>palūkanų</w:t>
      </w:r>
      <w:r>
        <w:rPr>
          <w:i/>
          <w:iCs/>
          <w:lang w:eastAsia="lt-LT"/>
        </w:rPr>
        <w:t xml:space="preserve"> </w:t>
      </w:r>
      <w:r>
        <w:rPr>
          <w:lang w:eastAsia="lt-LT"/>
        </w:rPr>
        <w:t>pajamas,</w:t>
      </w:r>
      <w:r>
        <w:rPr>
          <w:i/>
          <w:iCs/>
          <w:lang w:eastAsia="lt-LT"/>
        </w:rPr>
        <w:t xml:space="preserve"> </w:t>
      </w:r>
      <w:r>
        <w:rPr>
          <w:lang w:eastAsia="lt-LT"/>
        </w:rPr>
        <w:t>tiek</w:t>
      </w:r>
      <w:r>
        <w:rPr>
          <w:i/>
          <w:iCs/>
          <w:lang w:eastAsia="lt-LT"/>
        </w:rPr>
        <w:t xml:space="preserve"> </w:t>
      </w:r>
      <w:r>
        <w:rPr>
          <w:lang w:eastAsia="lt-LT"/>
        </w:rPr>
        <w:t>palūkanų</w:t>
      </w:r>
      <w:r>
        <w:rPr>
          <w:i/>
          <w:iCs/>
          <w:lang w:eastAsia="lt-LT"/>
        </w:rPr>
        <w:t xml:space="preserve"> </w:t>
      </w:r>
      <w:r>
        <w:rPr>
          <w:lang w:eastAsia="lt-LT"/>
        </w:rPr>
        <w:t>sąnaudas,</w:t>
      </w:r>
      <w:r>
        <w:rPr>
          <w:i/>
          <w:iCs/>
          <w:lang w:eastAsia="lt-LT"/>
        </w:rPr>
        <w:t xml:space="preserve"> </w:t>
      </w:r>
      <w:r>
        <w:rPr>
          <w:lang w:eastAsia="lt-LT"/>
        </w:rPr>
        <w:t>tai</w:t>
      </w:r>
      <w:r>
        <w:rPr>
          <w:i/>
          <w:iCs/>
          <w:lang w:eastAsia="lt-LT"/>
        </w:rPr>
        <w:t xml:space="preserve"> </w:t>
      </w:r>
      <w:r>
        <w:rPr>
          <w:lang w:eastAsia="lt-LT"/>
        </w:rPr>
        <w:t>apskaičiuodamas</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vienetas</w:t>
      </w:r>
      <w:r>
        <w:rPr>
          <w:i/>
          <w:iCs/>
          <w:lang w:eastAsia="lt-LT"/>
        </w:rPr>
        <w:t xml:space="preserve"> </w:t>
      </w:r>
      <w:r>
        <w:rPr>
          <w:lang w:eastAsia="lt-LT"/>
        </w:rPr>
        <w:t>palūkanų</w:t>
      </w:r>
      <w:r>
        <w:rPr>
          <w:i/>
          <w:iCs/>
          <w:lang w:eastAsia="lt-LT"/>
        </w:rPr>
        <w:t xml:space="preserve"> </w:t>
      </w:r>
      <w:r>
        <w:rPr>
          <w:lang w:eastAsia="lt-LT"/>
        </w:rPr>
        <w:t>pajamų</w:t>
      </w:r>
      <w:r>
        <w:rPr>
          <w:i/>
          <w:iCs/>
          <w:lang w:eastAsia="lt-LT"/>
        </w:rPr>
        <w:t xml:space="preserve"> </w:t>
      </w:r>
      <w:r>
        <w:rPr>
          <w:lang w:eastAsia="lt-LT"/>
        </w:rPr>
        <w:t>atskirai</w:t>
      </w:r>
      <w:r>
        <w:rPr>
          <w:i/>
          <w:iCs/>
          <w:lang w:eastAsia="lt-LT"/>
        </w:rPr>
        <w:t xml:space="preserve"> </w:t>
      </w:r>
      <w:r>
        <w:rPr>
          <w:lang w:eastAsia="lt-LT"/>
        </w:rPr>
        <w:t>apskaičiuoti</w:t>
      </w:r>
      <w:r>
        <w:rPr>
          <w:i/>
          <w:iCs/>
          <w:lang w:eastAsia="lt-LT"/>
        </w:rPr>
        <w:t xml:space="preserve"> </w:t>
      </w:r>
      <w:r>
        <w:rPr>
          <w:lang w:eastAsia="lt-LT"/>
        </w:rPr>
        <w:t>ir</w:t>
      </w:r>
      <w:r>
        <w:rPr>
          <w:i/>
          <w:iCs/>
          <w:lang w:eastAsia="lt-LT"/>
        </w:rPr>
        <w:t xml:space="preserve"> </w:t>
      </w:r>
      <w:r>
        <w:rPr>
          <w:lang w:eastAsia="lt-LT"/>
        </w:rPr>
        <w:t>šių</w:t>
      </w:r>
      <w:r>
        <w:rPr>
          <w:i/>
          <w:iCs/>
          <w:lang w:eastAsia="lt-LT"/>
        </w:rPr>
        <w:t xml:space="preserve"> </w:t>
      </w:r>
      <w:r>
        <w:rPr>
          <w:lang w:eastAsia="lt-LT"/>
        </w:rPr>
        <w:t>pajamų</w:t>
      </w:r>
      <w:r>
        <w:rPr>
          <w:i/>
          <w:iCs/>
          <w:lang w:eastAsia="lt-LT"/>
        </w:rPr>
        <w:t xml:space="preserve"> </w:t>
      </w:r>
      <w:r>
        <w:rPr>
          <w:lang w:eastAsia="lt-LT"/>
        </w:rPr>
        <w:t>bei</w:t>
      </w:r>
      <w:r>
        <w:rPr>
          <w:i/>
          <w:iCs/>
          <w:lang w:eastAsia="lt-LT"/>
        </w:rPr>
        <w:t xml:space="preserve"> </w:t>
      </w:r>
      <w:r>
        <w:rPr>
          <w:lang w:eastAsia="lt-LT"/>
        </w:rPr>
        <w:t>sąnaudų</w:t>
      </w:r>
      <w:r>
        <w:rPr>
          <w:i/>
          <w:iCs/>
          <w:lang w:eastAsia="lt-LT"/>
        </w:rPr>
        <w:t xml:space="preserve"> </w:t>
      </w:r>
      <w:r>
        <w:rPr>
          <w:lang w:eastAsia="lt-LT"/>
        </w:rPr>
        <w:t>pripažinti</w:t>
      </w:r>
      <w:r>
        <w:rPr>
          <w:i/>
          <w:iCs/>
          <w:lang w:eastAsia="lt-LT"/>
        </w:rPr>
        <w:t xml:space="preserve"> </w:t>
      </w:r>
      <w:r>
        <w:rPr>
          <w:lang w:eastAsia="lt-LT"/>
        </w:rPr>
        <w:t>neturi.</w:t>
      </w:r>
      <w:r>
        <w:rPr>
          <w:i/>
          <w:iCs/>
          <w:lang w:eastAsia="lt-LT"/>
        </w:rPr>
        <w:t xml:space="preserve"> </w:t>
      </w:r>
      <w:r>
        <w:rPr>
          <w:lang w:eastAsia="lt-LT"/>
        </w:rPr>
        <w:t>Dėl</w:t>
      </w:r>
      <w:r>
        <w:rPr>
          <w:i/>
          <w:iCs/>
          <w:lang w:eastAsia="lt-LT"/>
        </w:rPr>
        <w:t xml:space="preserve"> </w:t>
      </w:r>
      <w:r>
        <w:rPr>
          <w:lang w:eastAsia="lt-LT"/>
        </w:rPr>
        <w:t>palūkanų</w:t>
      </w:r>
      <w:r>
        <w:rPr>
          <w:i/>
          <w:iCs/>
          <w:lang w:eastAsia="lt-LT"/>
        </w:rPr>
        <w:t xml:space="preserve"> </w:t>
      </w:r>
      <w:r>
        <w:rPr>
          <w:lang w:eastAsia="lt-LT"/>
        </w:rPr>
        <w:t>skaičiavimo</w:t>
      </w:r>
      <w:r>
        <w:rPr>
          <w:i/>
          <w:iCs/>
          <w:lang w:eastAsia="lt-LT"/>
        </w:rPr>
        <w:t xml:space="preserve"> </w:t>
      </w:r>
      <w:r>
        <w:rPr>
          <w:lang w:eastAsia="lt-LT"/>
        </w:rPr>
        <w:t>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paskola</w:t>
      </w:r>
      <w:r>
        <w:rPr>
          <w:i/>
          <w:iCs/>
          <w:lang w:eastAsia="lt-LT"/>
        </w:rPr>
        <w:t xml:space="preserve"> </w:t>
      </w:r>
      <w:r>
        <w:rPr>
          <w:lang w:eastAsia="lt-LT"/>
        </w:rPr>
        <w:t>teikiama</w:t>
      </w:r>
      <w:r>
        <w:rPr>
          <w:i/>
          <w:iCs/>
          <w:lang w:eastAsia="lt-LT"/>
        </w:rPr>
        <w:t xml:space="preserve"> </w:t>
      </w:r>
      <w:r>
        <w:rPr>
          <w:lang w:eastAsia="lt-LT"/>
        </w:rPr>
        <w:t>asocijuotam</w:t>
      </w:r>
      <w:r>
        <w:rPr>
          <w:i/>
          <w:iCs/>
          <w:lang w:eastAsia="lt-LT"/>
        </w:rPr>
        <w:t xml:space="preserve"> </w:t>
      </w:r>
      <w:r>
        <w:rPr>
          <w:lang w:eastAsia="lt-LT"/>
        </w:rPr>
        <w:t>asmeniui</w:t>
      </w:r>
      <w:r>
        <w:rPr>
          <w:i/>
          <w:iCs/>
          <w:lang w:eastAsia="lt-LT"/>
        </w:rPr>
        <w:t xml:space="preserve"> </w:t>
      </w:r>
      <w:r>
        <w:rPr>
          <w:lang w:eastAsia="lt-LT"/>
        </w:rPr>
        <w:t>yra</w:t>
      </w:r>
      <w:r>
        <w:rPr>
          <w:i/>
          <w:iCs/>
          <w:lang w:eastAsia="lt-LT"/>
        </w:rPr>
        <w:t xml:space="preserve"> </w:t>
      </w:r>
      <w:r>
        <w:rPr>
          <w:lang w:eastAsia="lt-LT"/>
        </w:rPr>
        <w:t>paaiškinta</w:t>
      </w:r>
      <w:r>
        <w:rPr>
          <w:i/>
          <w:iCs/>
          <w:lang w:eastAsia="lt-LT"/>
        </w:rPr>
        <w:t xml:space="preserve"> </w:t>
      </w:r>
      <w:bookmarkStart w:id="115" w:name="n1_143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6" w:name="pn1_1439"/>
      <w:bookmarkEnd w:id="115"/>
      <w:bookmarkEnd w:id="116"/>
      <w:r>
        <w:rPr>
          <w:i/>
          <w:iCs/>
          <w:lang w:eastAsia="lt-LT"/>
        </w:rPr>
        <w:t xml:space="preserve"> </w:t>
      </w:r>
      <w:r>
        <w:rPr>
          <w:lang w:eastAsia="lt-LT"/>
        </w:rPr>
        <w:t>40</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komentaro</w:t>
      </w:r>
      <w:r>
        <w:rPr>
          <w:i/>
          <w:iCs/>
          <w:lang w:eastAsia="lt-LT"/>
        </w:rPr>
        <w:t xml:space="preserve"> </w:t>
      </w:r>
      <w:r>
        <w:rPr>
          <w:lang w:eastAsia="lt-LT"/>
        </w:rPr>
        <w:t>8</w:t>
      </w:r>
      <w:r>
        <w:rPr>
          <w:i/>
          <w:iCs/>
          <w:lang w:eastAsia="lt-LT"/>
        </w:rPr>
        <w:t xml:space="preserve"> </w:t>
      </w:r>
      <w:r>
        <w:rPr>
          <w:lang w:eastAsia="lt-LT"/>
        </w:rPr>
        <w:t>punkte.</w:t>
      </w:r>
      <w:r>
        <w:rPr>
          <w:i/>
          <w:iCs/>
          <w:lang w:eastAsia="lt-LT"/>
        </w:rPr>
        <w:t xml:space="preserve"> </w:t>
      </w:r>
      <w:r>
        <w:rPr>
          <w:lang w:eastAsia="lt-LT"/>
        </w:rPr>
        <w:t>(Žr.</w:t>
      </w:r>
      <w:r>
        <w:rPr>
          <w:i/>
          <w:iCs/>
          <w:lang w:eastAsia="lt-LT"/>
        </w:rPr>
        <w:t xml:space="preserve"> </w:t>
      </w:r>
      <w:bookmarkStart w:id="117" w:name="n1_1444"/>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18" w:name="pn1_1444"/>
      <w:bookmarkEnd w:id="117"/>
      <w:bookmarkEnd w:id="118"/>
      <w:r>
        <w:rPr>
          <w:i/>
          <w:iCs/>
          <w:lang w:eastAsia="lt-LT"/>
        </w:rPr>
        <w:t xml:space="preserve"> </w:t>
      </w:r>
      <w:r>
        <w:rPr>
          <w:lang w:eastAsia="lt-LT"/>
        </w:rPr>
        <w:t>40</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8</w:t>
      </w:r>
      <w:r>
        <w:rPr>
          <w:i/>
          <w:iCs/>
          <w:lang w:eastAsia="lt-LT"/>
        </w:rPr>
        <w:t xml:space="preserve"> </w:t>
      </w:r>
      <w:r>
        <w:rPr>
          <w:lang w:eastAsia="lt-LT"/>
        </w:rPr>
        <w:t>p.</w:t>
      </w:r>
      <w:r>
        <w:rPr>
          <w:i/>
          <w:iCs/>
          <w:lang w:eastAsia="lt-LT"/>
        </w:rPr>
        <w:t xml:space="preserve"> </w:t>
      </w:r>
      <w:r>
        <w:rPr>
          <w:lang w:eastAsia="lt-LT"/>
        </w:rPr>
        <w:t>komentarą).</w:t>
      </w:r>
    </w:p>
    <w:p w14:paraId="48C0451C" w14:textId="77777777" w:rsidR="00093845" w:rsidRDefault="000D779E">
      <w:pPr>
        <w:spacing w:before="100" w:beforeAutospacing="1" w:after="100" w:afterAutospacing="1"/>
        <w:jc w:val="both"/>
        <w:rPr>
          <w:lang w:eastAsia="lt-LT"/>
        </w:rPr>
      </w:pPr>
      <w:r>
        <w:rPr>
          <w:lang w:eastAsia="lt-LT"/>
        </w:rPr>
        <w:t xml:space="preserve">      16.</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paslaugas</w:t>
      </w:r>
      <w:r>
        <w:rPr>
          <w:i/>
          <w:iCs/>
          <w:lang w:eastAsia="lt-LT"/>
        </w:rPr>
        <w:t xml:space="preserve"> </w:t>
      </w:r>
      <w:r>
        <w:rPr>
          <w:lang w:eastAsia="lt-LT"/>
        </w:rPr>
        <w:t>laikomos</w:t>
      </w:r>
      <w:r>
        <w:rPr>
          <w:i/>
          <w:iCs/>
          <w:lang w:eastAsia="lt-LT"/>
        </w:rPr>
        <w:t xml:space="preserve"> </w:t>
      </w:r>
      <w:r>
        <w:rPr>
          <w:lang w:eastAsia="lt-LT"/>
        </w:rPr>
        <w:t>uždirbtomis,</w:t>
      </w:r>
      <w:r>
        <w:rPr>
          <w:i/>
          <w:iCs/>
          <w:lang w:eastAsia="lt-LT"/>
        </w:rPr>
        <w:t xml:space="preserve"> </w:t>
      </w:r>
      <w:r>
        <w:rPr>
          <w:lang w:eastAsia="lt-LT"/>
        </w:rPr>
        <w:t>kai</w:t>
      </w:r>
      <w:r>
        <w:rPr>
          <w:i/>
          <w:iCs/>
          <w:lang w:eastAsia="lt-LT"/>
        </w:rPr>
        <w:t xml:space="preserve"> </w:t>
      </w:r>
      <w:r>
        <w:rPr>
          <w:lang w:eastAsia="lt-LT"/>
        </w:rPr>
        <w:t>paslaugos</w:t>
      </w:r>
      <w:r>
        <w:rPr>
          <w:i/>
          <w:iCs/>
          <w:lang w:eastAsia="lt-LT"/>
        </w:rPr>
        <w:t xml:space="preserve"> </w:t>
      </w:r>
      <w:r>
        <w:rPr>
          <w:lang w:eastAsia="lt-LT"/>
        </w:rPr>
        <w:t>arba</w:t>
      </w:r>
      <w:r>
        <w:rPr>
          <w:i/>
          <w:iCs/>
          <w:lang w:eastAsia="lt-LT"/>
        </w:rPr>
        <w:t xml:space="preserve"> </w:t>
      </w:r>
      <w:r>
        <w:rPr>
          <w:lang w:eastAsia="lt-LT"/>
        </w:rPr>
        <w:t>darbai</w:t>
      </w:r>
      <w:r>
        <w:rPr>
          <w:i/>
          <w:iCs/>
          <w:lang w:eastAsia="lt-LT"/>
        </w:rPr>
        <w:t xml:space="preserve"> </w:t>
      </w:r>
      <w:r>
        <w:rPr>
          <w:lang w:eastAsia="lt-LT"/>
        </w:rPr>
        <w:t>yra</w:t>
      </w:r>
      <w:r>
        <w:rPr>
          <w:i/>
          <w:iCs/>
          <w:lang w:eastAsia="lt-LT"/>
        </w:rPr>
        <w:t xml:space="preserve"> </w:t>
      </w:r>
      <w:r>
        <w:rPr>
          <w:lang w:eastAsia="lt-LT"/>
        </w:rPr>
        <w:t>atlikti.</w:t>
      </w:r>
      <w:r>
        <w:rPr>
          <w:i/>
          <w:iCs/>
          <w:lang w:eastAsia="lt-LT"/>
        </w:rPr>
        <w:t xml:space="preserve"> </w:t>
      </w:r>
      <w:r>
        <w:rPr>
          <w:lang w:eastAsia="lt-LT"/>
        </w:rPr>
        <w:t>Paslaugų</w:t>
      </w:r>
      <w:r>
        <w:rPr>
          <w:i/>
          <w:iCs/>
          <w:lang w:eastAsia="lt-LT"/>
        </w:rPr>
        <w:t xml:space="preserve"> </w:t>
      </w:r>
      <w:r>
        <w:rPr>
          <w:lang w:eastAsia="lt-LT"/>
        </w:rPr>
        <w:t>ar</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faktai</w:t>
      </w:r>
      <w:r>
        <w:rPr>
          <w:i/>
          <w:iCs/>
          <w:lang w:eastAsia="lt-LT"/>
        </w:rPr>
        <w:t xml:space="preserve"> </w:t>
      </w:r>
      <w:r>
        <w:rPr>
          <w:lang w:eastAsia="lt-LT"/>
        </w:rPr>
        <w:t>įforminami</w:t>
      </w:r>
      <w:r>
        <w:rPr>
          <w:i/>
          <w:iCs/>
          <w:lang w:eastAsia="lt-LT"/>
        </w:rPr>
        <w:t xml:space="preserve"> </w:t>
      </w:r>
      <w:r>
        <w:rPr>
          <w:lang w:eastAsia="lt-LT"/>
        </w:rPr>
        <w:t>paslaugų</w:t>
      </w:r>
      <w:r>
        <w:rPr>
          <w:i/>
          <w:iCs/>
          <w:lang w:eastAsia="lt-LT"/>
        </w:rPr>
        <w:t xml:space="preserve"> </w:t>
      </w:r>
      <w:r>
        <w:rPr>
          <w:lang w:eastAsia="lt-LT"/>
        </w:rPr>
        <w:t>suteikimo</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sutartyse</w:t>
      </w:r>
      <w:r>
        <w:rPr>
          <w:i/>
          <w:iCs/>
          <w:lang w:eastAsia="lt-LT"/>
        </w:rPr>
        <w:t xml:space="preserve"> </w:t>
      </w:r>
      <w:r>
        <w:rPr>
          <w:lang w:eastAsia="lt-LT"/>
        </w:rPr>
        <w:t>nustatytais</w:t>
      </w:r>
      <w:r>
        <w:rPr>
          <w:i/>
          <w:iCs/>
          <w:lang w:eastAsia="lt-LT"/>
        </w:rPr>
        <w:t xml:space="preserve"> </w:t>
      </w:r>
      <w:r>
        <w:rPr>
          <w:lang w:eastAsia="lt-LT"/>
        </w:rPr>
        <w:t>dokumentais.</w:t>
      </w:r>
    </w:p>
    <w:p w14:paraId="13282C13" w14:textId="77777777" w:rsidR="00093845" w:rsidRDefault="000D779E">
      <w:pPr>
        <w:spacing w:before="100" w:beforeAutospacing="1" w:after="100" w:afterAutospacing="1"/>
        <w:jc w:val="both"/>
        <w:rPr>
          <w:lang w:eastAsia="lt-LT"/>
        </w:rPr>
      </w:pPr>
      <w:r>
        <w:rPr>
          <w:lang w:eastAsia="lt-LT"/>
        </w:rPr>
        <w:t xml:space="preserve">       Su</w:t>
      </w:r>
      <w:r>
        <w:rPr>
          <w:i/>
          <w:iCs/>
          <w:lang w:eastAsia="lt-LT"/>
        </w:rPr>
        <w:t xml:space="preserve"> </w:t>
      </w:r>
      <w:r>
        <w:rPr>
          <w:lang w:eastAsia="lt-LT"/>
        </w:rPr>
        <w:t>trumpalaikėmis</w:t>
      </w:r>
      <w:r>
        <w:rPr>
          <w:i/>
          <w:iCs/>
          <w:lang w:eastAsia="lt-LT"/>
        </w:rPr>
        <w:t xml:space="preserve"> </w:t>
      </w:r>
      <w:r>
        <w:rPr>
          <w:lang w:eastAsia="lt-LT"/>
        </w:rPr>
        <w:t>ir</w:t>
      </w:r>
      <w:r>
        <w:rPr>
          <w:i/>
          <w:iCs/>
          <w:lang w:eastAsia="lt-LT"/>
        </w:rPr>
        <w:t xml:space="preserve"> </w:t>
      </w:r>
      <w:r>
        <w:rPr>
          <w:lang w:eastAsia="lt-LT"/>
        </w:rPr>
        <w:t>ilgalaikėmis</w:t>
      </w:r>
      <w:r>
        <w:rPr>
          <w:i/>
          <w:iCs/>
          <w:lang w:eastAsia="lt-LT"/>
        </w:rPr>
        <w:t xml:space="preserve"> </w:t>
      </w:r>
      <w:r>
        <w:rPr>
          <w:lang w:eastAsia="lt-LT"/>
        </w:rPr>
        <w:t>statybos</w:t>
      </w:r>
      <w:r>
        <w:rPr>
          <w:i/>
          <w:iCs/>
          <w:lang w:eastAsia="lt-LT"/>
        </w:rPr>
        <w:t xml:space="preserve"> </w:t>
      </w:r>
      <w:r>
        <w:rPr>
          <w:lang w:eastAsia="lt-LT"/>
        </w:rPr>
        <w:t>sutartimis</w:t>
      </w:r>
      <w:r>
        <w:rPr>
          <w:i/>
          <w:iCs/>
          <w:lang w:eastAsia="lt-LT"/>
        </w:rPr>
        <w:t xml:space="preserve"> </w:t>
      </w:r>
      <w:r>
        <w:rPr>
          <w:lang w:eastAsia="lt-LT"/>
        </w:rPr>
        <w:t>susijusių</w:t>
      </w:r>
      <w:r>
        <w:rPr>
          <w:i/>
          <w:iCs/>
          <w:lang w:eastAsia="lt-LT"/>
        </w:rPr>
        <w:t xml:space="preserve"> </w:t>
      </w:r>
      <w:r>
        <w:rPr>
          <w:lang w:eastAsia="lt-LT"/>
        </w:rPr>
        <w:t>pajamų</w:t>
      </w:r>
      <w:r>
        <w:rPr>
          <w:i/>
          <w:iCs/>
          <w:lang w:eastAsia="lt-LT"/>
        </w:rPr>
        <w:t xml:space="preserve"> </w:t>
      </w:r>
      <w:r>
        <w:rPr>
          <w:lang w:eastAsia="lt-LT"/>
        </w:rPr>
        <w:t>ir</w:t>
      </w:r>
      <w:r>
        <w:rPr>
          <w:i/>
          <w:iCs/>
          <w:lang w:eastAsia="lt-LT"/>
        </w:rPr>
        <w:t xml:space="preserve"> </w:t>
      </w:r>
      <w:r>
        <w:rPr>
          <w:lang w:eastAsia="lt-LT"/>
        </w:rPr>
        <w:t>sąnaudų</w:t>
      </w:r>
      <w:r>
        <w:rPr>
          <w:i/>
          <w:iCs/>
          <w:lang w:eastAsia="lt-LT"/>
        </w:rPr>
        <w:t xml:space="preserve"> </w:t>
      </w:r>
      <w:r>
        <w:rPr>
          <w:lang w:eastAsia="lt-LT"/>
        </w:rPr>
        <w:t>pripažinimo,</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pateikimo</w:t>
      </w:r>
      <w:r>
        <w:rPr>
          <w:i/>
          <w:iCs/>
          <w:lang w:eastAsia="lt-LT"/>
        </w:rPr>
        <w:t xml:space="preserve"> </w:t>
      </w:r>
      <w:r>
        <w:rPr>
          <w:lang w:eastAsia="lt-LT"/>
        </w:rPr>
        <w:t>finansinėse</w:t>
      </w:r>
      <w:r>
        <w:rPr>
          <w:i/>
          <w:iCs/>
          <w:lang w:eastAsia="lt-LT"/>
        </w:rPr>
        <w:t xml:space="preserve"> </w:t>
      </w:r>
      <w:r>
        <w:rPr>
          <w:lang w:eastAsia="lt-LT"/>
        </w:rPr>
        <w:t>ataskaitose</w:t>
      </w:r>
      <w:r>
        <w:rPr>
          <w:i/>
          <w:iCs/>
          <w:lang w:eastAsia="lt-LT"/>
        </w:rPr>
        <w:t xml:space="preserve"> </w:t>
      </w:r>
      <w:r>
        <w:rPr>
          <w:lang w:eastAsia="lt-LT"/>
        </w:rPr>
        <w:t>tvarką</w:t>
      </w:r>
      <w:r>
        <w:rPr>
          <w:i/>
          <w:iCs/>
          <w:lang w:eastAsia="lt-LT"/>
        </w:rPr>
        <w:t xml:space="preserve"> </w:t>
      </w:r>
      <w:r>
        <w:rPr>
          <w:lang w:eastAsia="lt-LT"/>
        </w:rPr>
        <w:t>nustato</w:t>
      </w:r>
      <w:r>
        <w:rPr>
          <w:i/>
          <w:iCs/>
          <w:lang w:eastAsia="lt-LT"/>
        </w:rPr>
        <w:t xml:space="preserve"> </w:t>
      </w:r>
      <w:r>
        <w:rPr>
          <w:lang w:eastAsia="lt-LT"/>
        </w:rPr>
        <w:t>25</w:t>
      </w:r>
      <w:r>
        <w:rPr>
          <w:i/>
          <w:iCs/>
          <w:lang w:eastAsia="lt-LT"/>
        </w:rPr>
        <w:t xml:space="preserve"> </w:t>
      </w:r>
      <w:r>
        <w:rPr>
          <w:lang w:eastAsia="lt-LT"/>
        </w:rPr>
        <w:t>VAS</w:t>
      </w:r>
      <w:r>
        <w:rPr>
          <w:i/>
          <w:iCs/>
          <w:lang w:eastAsia="lt-LT"/>
        </w:rPr>
        <w:t xml:space="preserve"> „</w:t>
      </w:r>
      <w:r>
        <w:rPr>
          <w:lang w:eastAsia="lt-LT"/>
        </w:rPr>
        <w:t>Statybos</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ilgalaikės</w:t>
      </w:r>
      <w:r>
        <w:rPr>
          <w:i/>
          <w:iCs/>
          <w:lang w:eastAsia="lt-LT"/>
        </w:rPr>
        <w:t xml:space="preserve"> </w:t>
      </w:r>
      <w:r>
        <w:rPr>
          <w:lang w:eastAsia="lt-LT"/>
        </w:rPr>
        <w:t>sutartys</w:t>
      </w:r>
      <w:r>
        <w:rPr>
          <w:i/>
          <w:iCs/>
          <w:lang w:eastAsia="lt-LT"/>
        </w:rPr>
        <w:t>“</w:t>
      </w:r>
      <w:r>
        <w:rPr>
          <w:lang w:eastAsia="lt-LT"/>
        </w:rPr>
        <w:t>,</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taikomos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darbų,</w:t>
      </w:r>
      <w:r>
        <w:rPr>
          <w:i/>
          <w:iCs/>
          <w:lang w:eastAsia="lt-LT"/>
        </w:rPr>
        <w:t xml:space="preserve"> </w:t>
      </w:r>
      <w:r>
        <w:rPr>
          <w:lang w:eastAsia="lt-LT"/>
        </w:rPr>
        <w:t>atliekamų</w:t>
      </w:r>
      <w:r>
        <w:rPr>
          <w:i/>
          <w:iCs/>
          <w:lang w:eastAsia="lt-LT"/>
        </w:rPr>
        <w:t xml:space="preserve"> </w:t>
      </w:r>
      <w:r>
        <w:rPr>
          <w:lang w:eastAsia="lt-LT"/>
        </w:rPr>
        <w:t>pagal</w:t>
      </w:r>
      <w:r>
        <w:rPr>
          <w:i/>
          <w:iCs/>
          <w:lang w:eastAsia="lt-LT"/>
        </w:rPr>
        <w:t xml:space="preserve"> </w:t>
      </w:r>
      <w:r>
        <w:rPr>
          <w:lang w:eastAsia="lt-LT"/>
        </w:rPr>
        <w:t>ilgalaikes</w:t>
      </w:r>
      <w:r>
        <w:rPr>
          <w:i/>
          <w:iCs/>
          <w:lang w:eastAsia="lt-LT"/>
        </w:rPr>
        <w:t xml:space="preserve"> </w:t>
      </w:r>
      <w:r>
        <w:rPr>
          <w:lang w:eastAsia="lt-LT"/>
        </w:rPr>
        <w:t>sutartis,</w:t>
      </w:r>
      <w:r>
        <w:rPr>
          <w:i/>
          <w:iCs/>
          <w:lang w:eastAsia="lt-LT"/>
        </w:rPr>
        <w:t xml:space="preserve"> </w:t>
      </w:r>
      <w:r>
        <w:rPr>
          <w:lang w:eastAsia="lt-LT"/>
        </w:rPr>
        <w:t>apskaitai.</w:t>
      </w:r>
      <w:r>
        <w:rPr>
          <w:i/>
          <w:iCs/>
          <w:lang w:eastAsia="lt-LT"/>
        </w:rPr>
        <w:t xml:space="preserve"> </w:t>
      </w:r>
      <w:r>
        <w:rPr>
          <w:lang w:eastAsia="lt-LT"/>
        </w:rPr>
        <w:t>Šio</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taikomos</w:t>
      </w:r>
      <w:r>
        <w:rPr>
          <w:i/>
          <w:iCs/>
          <w:lang w:eastAsia="lt-LT"/>
        </w:rPr>
        <w:t xml:space="preserve"> </w:t>
      </w:r>
      <w:r>
        <w:rPr>
          <w:lang w:eastAsia="lt-LT"/>
        </w:rPr>
        <w:t>ir</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19" w:name="n1_144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0" w:name="pn1_1449"/>
      <w:bookmarkEnd w:id="119"/>
      <w:bookmarkEnd w:id="120"/>
      <w:r>
        <w:rPr>
          <w:i/>
          <w:iCs/>
          <w:lang w:eastAsia="lt-LT"/>
        </w:rPr>
        <w:t xml:space="preserve"> </w:t>
      </w:r>
      <w:r>
        <w:rPr>
          <w:lang w:eastAsia="lt-LT"/>
        </w:rPr>
        <w:t>nuostatoms.</w:t>
      </w:r>
      <w:r>
        <w:rPr>
          <w:i/>
          <w:iCs/>
          <w:lang w:eastAsia="lt-LT"/>
        </w:rPr>
        <w:t xml:space="preserve"> </w:t>
      </w:r>
    </w:p>
    <w:p w14:paraId="072F93C5" w14:textId="77777777" w:rsidR="00093845" w:rsidRDefault="000D779E">
      <w:pPr>
        <w:spacing w:before="100" w:beforeAutospacing="1" w:after="100" w:afterAutospacing="1"/>
        <w:jc w:val="both"/>
        <w:rPr>
          <w:lang w:eastAsia="lt-LT"/>
        </w:rPr>
      </w:pPr>
      <w:r>
        <w:rPr>
          <w:lang w:eastAsia="lt-LT"/>
        </w:rPr>
        <w:t xml:space="preserve">     Jei</w:t>
      </w:r>
      <w:r>
        <w:rPr>
          <w:i/>
          <w:iCs/>
          <w:lang w:eastAsia="lt-LT"/>
        </w:rPr>
        <w:t xml:space="preserve"> </w:t>
      </w:r>
      <w:r>
        <w:rPr>
          <w:lang w:eastAsia="lt-LT"/>
        </w:rPr>
        <w:t>baigiamasis</w:t>
      </w:r>
      <w:r>
        <w:rPr>
          <w:i/>
          <w:iCs/>
          <w:lang w:eastAsia="lt-LT"/>
        </w:rPr>
        <w:t xml:space="preserve"> </w:t>
      </w:r>
      <w:r>
        <w:rPr>
          <w:lang w:eastAsia="lt-LT"/>
        </w:rPr>
        <w:t>statybos</w:t>
      </w:r>
      <w:r>
        <w:rPr>
          <w:i/>
          <w:iCs/>
          <w:lang w:eastAsia="lt-LT"/>
        </w:rPr>
        <w:t xml:space="preserve"> </w:t>
      </w:r>
      <w:r>
        <w:rPr>
          <w:lang w:eastAsia="lt-LT"/>
        </w:rPr>
        <w:t>sutarties</w:t>
      </w:r>
      <w:r>
        <w:rPr>
          <w:i/>
          <w:iCs/>
          <w:lang w:eastAsia="lt-LT"/>
        </w:rPr>
        <w:t xml:space="preserve"> </w:t>
      </w:r>
      <w:r>
        <w:rPr>
          <w:lang w:eastAsia="lt-LT"/>
        </w:rPr>
        <w:t>rezultatas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patikimai</w:t>
      </w:r>
      <w:r>
        <w:rPr>
          <w:i/>
          <w:iCs/>
          <w:lang w:eastAsia="lt-LT"/>
        </w:rPr>
        <w:t xml:space="preserve"> </w:t>
      </w:r>
      <w:r>
        <w:rPr>
          <w:lang w:eastAsia="lt-LT"/>
        </w:rPr>
        <w:t>įvertintas,</w:t>
      </w:r>
      <w:r>
        <w:rPr>
          <w:i/>
          <w:iCs/>
          <w:lang w:eastAsia="lt-LT"/>
        </w:rPr>
        <w:t xml:space="preserve"> </w:t>
      </w:r>
      <w:r>
        <w:rPr>
          <w:lang w:eastAsia="lt-LT"/>
        </w:rPr>
        <w:t>tai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statybos</w:t>
      </w:r>
      <w:r>
        <w:rPr>
          <w:i/>
          <w:iCs/>
          <w:lang w:eastAsia="lt-LT"/>
        </w:rPr>
        <w:t xml:space="preserve"> </w:t>
      </w:r>
      <w:r>
        <w:rPr>
          <w:lang w:eastAsia="lt-LT"/>
        </w:rPr>
        <w:t>darbų</w:t>
      </w:r>
      <w:r>
        <w:rPr>
          <w:i/>
          <w:iCs/>
          <w:lang w:eastAsia="lt-LT"/>
        </w:rPr>
        <w:t xml:space="preserve"> </w:t>
      </w:r>
      <w:r>
        <w:rPr>
          <w:lang w:eastAsia="lt-LT"/>
        </w:rPr>
        <w:t>pajamos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pripažįstamos</w:t>
      </w:r>
      <w:r>
        <w:rPr>
          <w:i/>
          <w:iCs/>
          <w:lang w:eastAsia="lt-LT"/>
        </w:rPr>
        <w:t xml:space="preserve"> </w:t>
      </w:r>
      <w:r>
        <w:rPr>
          <w:lang w:eastAsia="lt-LT"/>
        </w:rPr>
        <w:t>uždirbtomis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sutarties</w:t>
      </w:r>
      <w:r>
        <w:rPr>
          <w:i/>
          <w:iCs/>
          <w:lang w:eastAsia="lt-LT"/>
        </w:rPr>
        <w:t xml:space="preserve"> </w:t>
      </w:r>
      <w:r>
        <w:rPr>
          <w:lang w:eastAsia="lt-LT"/>
        </w:rPr>
        <w:t>darbų</w:t>
      </w:r>
      <w:r>
        <w:rPr>
          <w:i/>
          <w:iCs/>
          <w:lang w:eastAsia="lt-LT"/>
        </w:rPr>
        <w:t xml:space="preserve"> </w:t>
      </w:r>
      <w:r>
        <w:rPr>
          <w:lang w:eastAsia="lt-LT"/>
        </w:rPr>
        <w:t>įvykdymo</w:t>
      </w:r>
      <w:r>
        <w:rPr>
          <w:i/>
          <w:iCs/>
          <w:lang w:eastAsia="lt-LT"/>
        </w:rPr>
        <w:t xml:space="preserve"> </w:t>
      </w:r>
      <w:r>
        <w:rPr>
          <w:lang w:eastAsia="lt-LT"/>
        </w:rPr>
        <w:t>lygį,</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pripažįstamos</w:t>
      </w:r>
      <w:r>
        <w:rPr>
          <w:i/>
          <w:iCs/>
          <w:lang w:eastAsia="lt-LT"/>
        </w:rPr>
        <w:t xml:space="preserve"> </w:t>
      </w:r>
      <w:r>
        <w:rPr>
          <w:lang w:eastAsia="lt-LT"/>
        </w:rPr>
        <w:t>tada,</w:t>
      </w:r>
      <w:r>
        <w:rPr>
          <w:i/>
          <w:iCs/>
          <w:lang w:eastAsia="lt-LT"/>
        </w:rPr>
        <w:t xml:space="preserve"> </w:t>
      </w:r>
      <w:r>
        <w:rPr>
          <w:lang w:eastAsia="lt-LT"/>
        </w:rPr>
        <w:t>kada</w:t>
      </w:r>
      <w:r>
        <w:rPr>
          <w:i/>
          <w:iCs/>
          <w:lang w:eastAsia="lt-LT"/>
        </w:rPr>
        <w:t xml:space="preserve"> </w:t>
      </w:r>
      <w:r>
        <w:rPr>
          <w:lang w:eastAsia="lt-LT"/>
        </w:rPr>
        <w:t>buvo</w:t>
      </w:r>
      <w:r>
        <w:rPr>
          <w:i/>
          <w:iCs/>
          <w:lang w:eastAsia="lt-LT"/>
        </w:rPr>
        <w:t xml:space="preserve"> </w:t>
      </w:r>
      <w:r>
        <w:rPr>
          <w:lang w:eastAsia="lt-LT"/>
        </w:rPr>
        <w:t>atliekami</w:t>
      </w:r>
      <w:r>
        <w:rPr>
          <w:i/>
          <w:iCs/>
          <w:lang w:eastAsia="lt-LT"/>
        </w:rPr>
        <w:t xml:space="preserve"> </w:t>
      </w:r>
      <w:r>
        <w:rPr>
          <w:lang w:eastAsia="lt-LT"/>
        </w:rPr>
        <w:t>darbai,</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tai,</w:t>
      </w:r>
      <w:r>
        <w:rPr>
          <w:i/>
          <w:iCs/>
          <w:lang w:eastAsia="lt-LT"/>
        </w:rPr>
        <w:t xml:space="preserve"> </w:t>
      </w:r>
      <w:r>
        <w:rPr>
          <w:lang w:eastAsia="lt-LT"/>
        </w:rPr>
        <w:t>kad</w:t>
      </w:r>
      <w:r>
        <w:rPr>
          <w:i/>
          <w:iCs/>
          <w:lang w:eastAsia="lt-LT"/>
        </w:rPr>
        <w:t xml:space="preserve"> </w:t>
      </w:r>
      <w:r>
        <w:rPr>
          <w:lang w:eastAsia="lt-LT"/>
        </w:rPr>
        <w:t>rangovas</w:t>
      </w:r>
      <w:r>
        <w:rPr>
          <w:i/>
          <w:iCs/>
          <w:lang w:eastAsia="lt-LT"/>
        </w:rPr>
        <w:t xml:space="preserve"> </w:t>
      </w:r>
      <w:r>
        <w:rPr>
          <w:lang w:eastAsia="lt-LT"/>
        </w:rPr>
        <w:t>ir</w:t>
      </w:r>
      <w:r>
        <w:rPr>
          <w:i/>
          <w:iCs/>
          <w:lang w:eastAsia="lt-LT"/>
        </w:rPr>
        <w:t xml:space="preserve"> </w:t>
      </w:r>
      <w:r>
        <w:rPr>
          <w:lang w:eastAsia="lt-LT"/>
        </w:rPr>
        <w:t>užsakovas</w:t>
      </w:r>
      <w:r>
        <w:rPr>
          <w:i/>
          <w:iCs/>
          <w:lang w:eastAsia="lt-LT"/>
        </w:rPr>
        <w:t xml:space="preserve"> </w:t>
      </w:r>
      <w:r>
        <w:rPr>
          <w:lang w:eastAsia="lt-LT"/>
        </w:rPr>
        <w:t>nepasirašė</w:t>
      </w:r>
      <w:r>
        <w:rPr>
          <w:i/>
          <w:iCs/>
          <w:lang w:eastAsia="lt-LT"/>
        </w:rPr>
        <w:t xml:space="preserve"> </w:t>
      </w:r>
      <w:r>
        <w:rPr>
          <w:lang w:eastAsia="lt-LT"/>
        </w:rPr>
        <w:t>darbų</w:t>
      </w:r>
      <w:r>
        <w:rPr>
          <w:i/>
          <w:iCs/>
          <w:lang w:eastAsia="lt-LT"/>
        </w:rPr>
        <w:t xml:space="preserve"> </w:t>
      </w:r>
      <w:r>
        <w:rPr>
          <w:lang w:eastAsia="lt-LT"/>
        </w:rPr>
        <w:t>atlikimo</w:t>
      </w:r>
      <w:r>
        <w:rPr>
          <w:i/>
          <w:iCs/>
          <w:lang w:eastAsia="lt-LT"/>
        </w:rPr>
        <w:t xml:space="preserve"> </w:t>
      </w:r>
      <w:r>
        <w:rPr>
          <w:lang w:eastAsia="lt-LT"/>
        </w:rPr>
        <w:t>–</w:t>
      </w:r>
      <w:r>
        <w:rPr>
          <w:i/>
          <w:iCs/>
          <w:lang w:eastAsia="lt-LT"/>
        </w:rPr>
        <w:t xml:space="preserve"> </w:t>
      </w:r>
      <w:r>
        <w:rPr>
          <w:lang w:eastAsia="lt-LT"/>
        </w:rPr>
        <w:t>priėmimo</w:t>
      </w:r>
      <w:r>
        <w:rPr>
          <w:i/>
          <w:iCs/>
          <w:lang w:eastAsia="lt-LT"/>
        </w:rPr>
        <w:t xml:space="preserve"> </w:t>
      </w:r>
      <w:r>
        <w:rPr>
          <w:lang w:eastAsia="lt-LT"/>
        </w:rPr>
        <w:t>akto</w:t>
      </w:r>
      <w:r>
        <w:rPr>
          <w:i/>
          <w:iCs/>
          <w:lang w:eastAsia="lt-LT"/>
        </w:rPr>
        <w:t xml:space="preserve"> </w:t>
      </w:r>
      <w:r>
        <w:rPr>
          <w:lang w:eastAsia="lt-LT"/>
        </w:rPr>
        <w:t>arba</w:t>
      </w:r>
      <w:r>
        <w:rPr>
          <w:i/>
          <w:iCs/>
          <w:lang w:eastAsia="lt-LT"/>
        </w:rPr>
        <w:t xml:space="preserve"> </w:t>
      </w:r>
      <w:r>
        <w:rPr>
          <w:lang w:eastAsia="lt-LT"/>
        </w:rPr>
        <w:t>neišrašė</w:t>
      </w:r>
      <w:r>
        <w:rPr>
          <w:i/>
          <w:iCs/>
          <w:lang w:eastAsia="lt-LT"/>
        </w:rPr>
        <w:t xml:space="preserve"> </w:t>
      </w:r>
      <w:r>
        <w:rPr>
          <w:lang w:eastAsia="lt-LT"/>
        </w:rPr>
        <w:t>sąskaitos</w:t>
      </w:r>
      <w:r>
        <w:rPr>
          <w:i/>
          <w:iCs/>
          <w:lang w:eastAsia="lt-LT"/>
        </w:rPr>
        <w:t xml:space="preserve"> </w:t>
      </w:r>
      <w:r>
        <w:rPr>
          <w:lang w:eastAsia="lt-LT"/>
        </w:rPr>
        <w:t>faktūros.</w:t>
      </w:r>
      <w:r>
        <w:rPr>
          <w:i/>
          <w:iCs/>
          <w:lang w:eastAsia="lt-LT"/>
        </w:rPr>
        <w:t xml:space="preserve"> </w:t>
      </w:r>
      <w:r>
        <w:rPr>
          <w:lang w:eastAsia="lt-LT"/>
        </w:rPr>
        <w:t>Analogiški</w:t>
      </w:r>
      <w:r>
        <w:rPr>
          <w:i/>
          <w:iCs/>
          <w:lang w:eastAsia="lt-LT"/>
        </w:rPr>
        <w:t xml:space="preserve"> </w:t>
      </w:r>
      <w:r>
        <w:rPr>
          <w:lang w:eastAsia="lt-LT"/>
        </w:rPr>
        <w:t>pajamų</w:t>
      </w:r>
      <w:r>
        <w:rPr>
          <w:i/>
          <w:iCs/>
          <w:lang w:eastAsia="lt-LT"/>
        </w:rPr>
        <w:t xml:space="preserve"> </w:t>
      </w:r>
      <w:r>
        <w:rPr>
          <w:lang w:eastAsia="lt-LT"/>
        </w:rPr>
        <w:t>pripažinimo</w:t>
      </w:r>
      <w:r>
        <w:rPr>
          <w:i/>
          <w:iCs/>
          <w:lang w:eastAsia="lt-LT"/>
        </w:rPr>
        <w:t xml:space="preserve"> </w:t>
      </w:r>
      <w:r>
        <w:rPr>
          <w:lang w:eastAsia="lt-LT"/>
        </w:rPr>
        <w:t>principai</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taikomi</w:t>
      </w:r>
      <w:r>
        <w:rPr>
          <w:i/>
          <w:iCs/>
          <w:lang w:eastAsia="lt-LT"/>
        </w:rPr>
        <w:t xml:space="preserve"> </w:t>
      </w:r>
      <w:r>
        <w:rPr>
          <w:lang w:eastAsia="lt-LT"/>
        </w:rPr>
        <w:t>ir</w:t>
      </w:r>
      <w:r>
        <w:rPr>
          <w:i/>
          <w:iCs/>
          <w:lang w:eastAsia="lt-LT"/>
        </w:rPr>
        <w:t xml:space="preserve"> </w:t>
      </w:r>
      <w:r>
        <w:rPr>
          <w:lang w:eastAsia="lt-LT"/>
        </w:rPr>
        <w:t>kitais</w:t>
      </w:r>
      <w:r>
        <w:rPr>
          <w:i/>
          <w:iCs/>
          <w:lang w:eastAsia="lt-LT"/>
        </w:rPr>
        <w:t xml:space="preserve"> </w:t>
      </w:r>
      <w:r>
        <w:rPr>
          <w:lang w:eastAsia="lt-LT"/>
        </w:rPr>
        <w:t>ilgalaikių</w:t>
      </w:r>
      <w:r>
        <w:rPr>
          <w:i/>
          <w:iCs/>
          <w:lang w:eastAsia="lt-LT"/>
        </w:rPr>
        <w:t xml:space="preserve"> </w:t>
      </w:r>
      <w:r>
        <w:rPr>
          <w:lang w:eastAsia="lt-LT"/>
        </w:rPr>
        <w:t>sutarčių</w:t>
      </w:r>
      <w:r>
        <w:rPr>
          <w:i/>
          <w:iCs/>
          <w:lang w:eastAsia="lt-LT"/>
        </w:rPr>
        <w:t xml:space="preserve"> </w:t>
      </w:r>
      <w:r>
        <w:rPr>
          <w:lang w:eastAsia="lt-LT"/>
        </w:rPr>
        <w:t>vykdymo</w:t>
      </w:r>
      <w:r>
        <w:rPr>
          <w:i/>
          <w:iCs/>
          <w:lang w:eastAsia="lt-LT"/>
        </w:rPr>
        <w:t xml:space="preserve"> </w:t>
      </w:r>
      <w:r>
        <w:rPr>
          <w:lang w:eastAsia="lt-LT"/>
        </w:rPr>
        <w:t>atvejais</w:t>
      </w:r>
      <w:r>
        <w:rPr>
          <w:i/>
          <w:iCs/>
          <w:lang w:eastAsia="lt-LT"/>
        </w:rPr>
        <w:t xml:space="preserve"> </w:t>
      </w:r>
      <w:r>
        <w:rPr>
          <w:lang w:eastAsia="lt-LT"/>
        </w:rPr>
        <w:t>(pvz.,</w:t>
      </w:r>
      <w:r>
        <w:rPr>
          <w:i/>
          <w:iCs/>
          <w:lang w:eastAsia="lt-LT"/>
        </w:rPr>
        <w:t xml:space="preserve"> </w:t>
      </w:r>
      <w:r>
        <w:rPr>
          <w:lang w:eastAsia="lt-LT"/>
        </w:rPr>
        <w:t>ilgalaikių</w:t>
      </w:r>
      <w:r>
        <w:rPr>
          <w:i/>
          <w:iCs/>
          <w:lang w:eastAsia="lt-LT"/>
        </w:rPr>
        <w:t xml:space="preserve"> </w:t>
      </w:r>
      <w:r>
        <w:rPr>
          <w:lang w:eastAsia="lt-LT"/>
        </w:rPr>
        <w:t>kompiuterinių</w:t>
      </w:r>
      <w:r>
        <w:rPr>
          <w:i/>
          <w:iCs/>
          <w:lang w:eastAsia="lt-LT"/>
        </w:rPr>
        <w:t xml:space="preserve"> </w:t>
      </w:r>
      <w:r>
        <w:rPr>
          <w:lang w:eastAsia="lt-LT"/>
        </w:rPr>
        <w:t>sistemų</w:t>
      </w:r>
      <w:r>
        <w:rPr>
          <w:i/>
          <w:iCs/>
          <w:lang w:eastAsia="lt-LT"/>
        </w:rPr>
        <w:t xml:space="preserve"> </w:t>
      </w:r>
      <w:r>
        <w:rPr>
          <w:lang w:eastAsia="lt-LT"/>
        </w:rPr>
        <w:t>kūrimo</w:t>
      </w:r>
      <w:r>
        <w:rPr>
          <w:i/>
          <w:iCs/>
          <w:lang w:eastAsia="lt-LT"/>
        </w:rPr>
        <w:t xml:space="preserve"> </w:t>
      </w:r>
      <w:r>
        <w:rPr>
          <w:lang w:eastAsia="lt-LT"/>
        </w:rPr>
        <w:t>ir</w:t>
      </w:r>
      <w:r>
        <w:rPr>
          <w:i/>
          <w:iCs/>
          <w:lang w:eastAsia="lt-LT"/>
        </w:rPr>
        <w:t xml:space="preserve"> </w:t>
      </w:r>
      <w:r>
        <w:rPr>
          <w:lang w:eastAsia="lt-LT"/>
        </w:rPr>
        <w:t>diegimo,</w:t>
      </w:r>
      <w:r>
        <w:rPr>
          <w:i/>
          <w:iCs/>
          <w:lang w:eastAsia="lt-LT"/>
        </w:rPr>
        <w:t xml:space="preserve"> </w:t>
      </w:r>
      <w:r>
        <w:rPr>
          <w:lang w:eastAsia="lt-LT"/>
        </w:rPr>
        <w:t>tyrinėjimo</w:t>
      </w:r>
      <w:r>
        <w:rPr>
          <w:i/>
          <w:iCs/>
          <w:lang w:eastAsia="lt-LT"/>
        </w:rPr>
        <w:t xml:space="preserve"> </w:t>
      </w:r>
      <w:r>
        <w:rPr>
          <w:lang w:eastAsia="lt-LT"/>
        </w:rPr>
        <w:t>darbų</w:t>
      </w:r>
      <w:r>
        <w:rPr>
          <w:i/>
          <w:iCs/>
          <w:lang w:eastAsia="lt-LT"/>
        </w:rPr>
        <w:t xml:space="preserve"> </w:t>
      </w:r>
      <w:r>
        <w:rPr>
          <w:lang w:eastAsia="lt-LT"/>
        </w:rPr>
        <w:t>ir</w:t>
      </w:r>
      <w:r>
        <w:rPr>
          <w:i/>
          <w:iCs/>
          <w:lang w:eastAsia="lt-LT"/>
        </w:rPr>
        <w:t xml:space="preserve"> </w:t>
      </w:r>
      <w:r>
        <w:rPr>
          <w:lang w:eastAsia="lt-LT"/>
        </w:rPr>
        <w:t>pan.)</w:t>
      </w:r>
    </w:p>
    <w:p w14:paraId="4744AF41" w14:textId="77777777" w:rsidR="00093845" w:rsidRDefault="000D779E">
      <w:pPr>
        <w:spacing w:before="100" w:beforeAutospacing="1" w:after="100" w:afterAutospacing="1"/>
        <w:jc w:val="both"/>
        <w:rPr>
          <w:lang w:eastAsia="lt-LT"/>
        </w:rPr>
      </w:pPr>
      <w:r>
        <w:rPr>
          <w:lang w:eastAsia="lt-LT"/>
        </w:rPr>
        <w:t xml:space="preserve">     17.</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17</w:t>
      </w:r>
      <w:r>
        <w:rPr>
          <w:i/>
          <w:iCs/>
          <w:lang w:eastAsia="lt-LT"/>
        </w:rPr>
        <w:t xml:space="preserve"> </w:t>
      </w:r>
      <w:r>
        <w:rPr>
          <w:lang w:eastAsia="lt-LT"/>
        </w:rPr>
        <w:t>VAS</w:t>
      </w:r>
      <w:r>
        <w:rPr>
          <w:i/>
          <w:iCs/>
          <w:lang w:eastAsia="lt-LT"/>
        </w:rPr>
        <w:t xml:space="preserve"> „</w:t>
      </w:r>
      <w:r>
        <w:rPr>
          <w:lang w:eastAsia="lt-LT"/>
        </w:rPr>
        <w:t>Biologinis</w:t>
      </w:r>
      <w:r>
        <w:rPr>
          <w:i/>
          <w:iCs/>
          <w:lang w:eastAsia="lt-LT"/>
        </w:rPr>
        <w:t xml:space="preserve"> </w:t>
      </w:r>
      <w:r>
        <w:rPr>
          <w:lang w:eastAsia="lt-LT"/>
        </w:rPr>
        <w:t>turtas</w:t>
      </w:r>
      <w:r>
        <w:rPr>
          <w:i/>
          <w:iCs/>
          <w:lang w:eastAsia="lt-LT"/>
        </w:rPr>
        <w:t xml:space="preserve">“ </w:t>
      </w:r>
      <w:r>
        <w:rPr>
          <w:lang w:eastAsia="lt-LT"/>
        </w:rPr>
        <w:t>nuostatomis,</w:t>
      </w:r>
      <w:r>
        <w:rPr>
          <w:i/>
          <w:iCs/>
          <w:lang w:eastAsia="lt-LT"/>
        </w:rPr>
        <w:t xml:space="preserve"> </w:t>
      </w:r>
      <w:r>
        <w:rPr>
          <w:lang w:eastAsia="lt-LT"/>
        </w:rPr>
        <w:t>ir</w:t>
      </w:r>
      <w:r>
        <w:rPr>
          <w:i/>
          <w:iCs/>
          <w:lang w:eastAsia="lt-LT"/>
        </w:rPr>
        <w:t xml:space="preserve"> </w:t>
      </w:r>
      <w:r>
        <w:rPr>
          <w:lang w:eastAsia="lt-LT"/>
        </w:rPr>
        <w:t>biologinį</w:t>
      </w:r>
      <w:r>
        <w:rPr>
          <w:i/>
          <w:iCs/>
          <w:lang w:eastAsia="lt-LT"/>
        </w:rPr>
        <w:t xml:space="preserve"> </w:t>
      </w:r>
      <w:r>
        <w:rPr>
          <w:lang w:eastAsia="lt-LT"/>
        </w:rPr>
        <w:t>turtą</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ir paskutinę ataskaitinio laikotarpio dieną bei</w:t>
      </w:r>
      <w:r>
        <w:rPr>
          <w:i/>
          <w:iCs/>
          <w:lang w:eastAsia="lt-LT"/>
        </w:rPr>
        <w:t xml:space="preserve"> </w:t>
      </w:r>
      <w:r>
        <w:rPr>
          <w:lang w:eastAsia="lt-LT"/>
        </w:rPr>
        <w:t>visus</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gautus</w:t>
      </w:r>
      <w:r>
        <w:rPr>
          <w:i/>
          <w:iCs/>
          <w:lang w:eastAsia="lt-LT"/>
        </w:rPr>
        <w:t xml:space="preserve"> </w:t>
      </w:r>
      <w:r>
        <w:rPr>
          <w:lang w:eastAsia="lt-LT"/>
        </w:rPr>
        <w:t>žemės</w:t>
      </w:r>
      <w:r>
        <w:rPr>
          <w:i/>
          <w:iCs/>
          <w:lang w:eastAsia="lt-LT"/>
        </w:rPr>
        <w:t xml:space="preserve"> </w:t>
      </w:r>
      <w:r>
        <w:rPr>
          <w:lang w:eastAsia="lt-LT"/>
        </w:rPr>
        <w:t>ūkio</w:t>
      </w:r>
      <w:r>
        <w:rPr>
          <w:i/>
          <w:iCs/>
          <w:lang w:eastAsia="lt-LT"/>
        </w:rPr>
        <w:t xml:space="preserve"> </w:t>
      </w:r>
      <w:r>
        <w:rPr>
          <w:lang w:eastAsia="lt-LT"/>
        </w:rPr>
        <w:t>produktus</w:t>
      </w:r>
      <w:r>
        <w:rPr>
          <w:i/>
          <w:iCs/>
          <w:lang w:eastAsia="lt-LT"/>
        </w:rPr>
        <w:t xml:space="preserve"> </w:t>
      </w:r>
      <w:r>
        <w:rPr>
          <w:lang w:eastAsia="lt-LT"/>
        </w:rPr>
        <w:t>jų</w:t>
      </w:r>
      <w:r>
        <w:rPr>
          <w:i/>
          <w:iCs/>
          <w:lang w:eastAsia="lt-LT"/>
        </w:rPr>
        <w:t xml:space="preserve"> </w:t>
      </w:r>
      <w:r>
        <w:rPr>
          <w:lang w:eastAsia="lt-LT"/>
        </w:rPr>
        <w:t>pirminio pripažinimo metu vertina tikrąja verte atėmus pardavimo išlaidas, tai, apskaičiuodami apmokestinamąjį pelną, uždirbtas pajamas jie turi pripažinti tada, kai žemės ūkio produktai parduodami, o biologinį turtą ir iš jo gautus žemės ūkio produktus įvertinti įsigijimo (pasigaminimo) savikaina. Apskaičiuotas ir finansinėse ataskaitose pateiktas pelnas (nuostolis) dėl biologinio turto ir iš jo gautų žemės ūkio produktų įvertinimo tikrąja verte atėmus pardavimo išlaidas, apskaičiuojant apmokestinamąjį pelną, nepripažįstamas: t. y. pelnas – į pajamas neįtraukiamas, o nuostolis – laikomas neleidžiamais atskaitymais.</w:t>
      </w:r>
    </w:p>
    <w:p w14:paraId="31041D6B" w14:textId="77777777" w:rsidR="00093845" w:rsidRDefault="000D779E">
      <w:pPr>
        <w:spacing w:before="100" w:beforeAutospacing="1" w:after="100" w:afterAutospacing="1"/>
        <w:jc w:val="both"/>
        <w:rPr>
          <w:lang w:eastAsia="lt-LT"/>
        </w:rPr>
      </w:pPr>
      <w:r>
        <w:rPr>
          <w:lang w:eastAsia="lt-LT"/>
        </w:rPr>
        <w:t xml:space="preserve">     18.</w:t>
      </w:r>
      <w:r>
        <w:rPr>
          <w:i/>
          <w:iCs/>
          <w:lang w:eastAsia="lt-LT"/>
        </w:rPr>
        <w:t xml:space="preserve"> </w:t>
      </w:r>
      <w:r>
        <w:rPr>
          <w:lang w:eastAsia="lt-LT"/>
        </w:rPr>
        <w:t>Pajamomis</w:t>
      </w:r>
      <w:r>
        <w:rPr>
          <w:i/>
          <w:iCs/>
          <w:lang w:eastAsia="lt-LT"/>
        </w:rPr>
        <w:t xml:space="preserve"> </w:t>
      </w:r>
      <w:r>
        <w:rPr>
          <w:lang w:eastAsia="lt-LT"/>
        </w:rPr>
        <w:t>laikomi</w:t>
      </w:r>
      <w:r>
        <w:rPr>
          <w:i/>
          <w:iCs/>
          <w:lang w:eastAsia="lt-LT"/>
        </w:rPr>
        <w:t xml:space="preserve"> </w:t>
      </w:r>
      <w:r>
        <w:rPr>
          <w:lang w:eastAsia="lt-LT"/>
        </w:rPr>
        <w:t>teigiami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(sąnaudomis</w:t>
      </w:r>
      <w:r>
        <w:rPr>
          <w:i/>
          <w:iCs/>
          <w:lang w:eastAsia="lt-LT"/>
        </w:rPr>
        <w:t xml:space="preserve"> </w:t>
      </w:r>
      <w:r>
        <w:rPr>
          <w:lang w:eastAsia="lt-LT"/>
        </w:rPr>
        <w:t>–</w:t>
      </w:r>
      <w:r>
        <w:rPr>
          <w:i/>
          <w:iCs/>
          <w:lang w:eastAsia="lt-LT"/>
        </w:rPr>
        <w:t xml:space="preserve"> </w:t>
      </w:r>
      <w:r>
        <w:rPr>
          <w:lang w:eastAsia="lt-LT"/>
        </w:rPr>
        <w:t>neigiami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susidarę</w:t>
      </w:r>
      <w:r>
        <w:rPr>
          <w:i/>
          <w:iCs/>
          <w:lang w:eastAsia="lt-LT"/>
        </w:rPr>
        <w:t xml:space="preserve"> </w:t>
      </w:r>
      <w:r>
        <w:rPr>
          <w:lang w:eastAsia="lt-LT"/>
        </w:rPr>
        <w:t>vienetui</w:t>
      </w:r>
      <w:r>
        <w:rPr>
          <w:i/>
          <w:iCs/>
          <w:lang w:eastAsia="lt-LT"/>
        </w:rPr>
        <w:t xml:space="preserve"> </w:t>
      </w:r>
      <w:r>
        <w:rPr>
          <w:lang w:eastAsia="lt-LT"/>
        </w:rPr>
        <w:t>vykdant</w:t>
      </w:r>
      <w:r>
        <w:rPr>
          <w:i/>
          <w:iCs/>
          <w:lang w:eastAsia="lt-LT"/>
        </w:rPr>
        <w:t xml:space="preserve"> </w:t>
      </w:r>
      <w:r>
        <w:rPr>
          <w:lang w:eastAsia="lt-LT"/>
        </w:rPr>
        <w:t>operacijas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perskaičiuojant</w:t>
      </w:r>
      <w:r>
        <w:rPr>
          <w:i/>
          <w:iCs/>
          <w:lang w:eastAsia="lt-LT"/>
        </w:rPr>
        <w:t xml:space="preserve"> </w:t>
      </w:r>
      <w:r>
        <w:rPr>
          <w:lang w:eastAsia="lt-LT"/>
        </w:rPr>
        <w:t>balanse</w:t>
      </w:r>
      <w:r>
        <w:rPr>
          <w:i/>
          <w:iCs/>
          <w:lang w:eastAsia="lt-LT"/>
        </w:rPr>
        <w:t xml:space="preserve"> </w:t>
      </w:r>
      <w:r>
        <w:rPr>
          <w:lang w:eastAsia="lt-LT"/>
        </w:rPr>
        <w:lastRenderedPageBreak/>
        <w:t>apskaitomus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straipsnius.</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551983">
        <w:rPr>
          <w:lang w:eastAsia="lt-LT"/>
        </w:rPr>
        <w:t>finans</w:t>
      </w:r>
      <w:r>
        <w:rPr>
          <w:lang w:eastAsia="lt-LT"/>
        </w:rPr>
        <w:t>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sandorių</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apskaitai</w:t>
      </w:r>
      <w:r>
        <w:rPr>
          <w:i/>
          <w:iCs/>
          <w:lang w:eastAsia="lt-LT"/>
        </w:rPr>
        <w:t xml:space="preserve"> </w:t>
      </w:r>
      <w:r>
        <w:rPr>
          <w:lang w:eastAsia="lt-LT"/>
        </w:rPr>
        <w:t>ir</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pokyčių</w:t>
      </w:r>
      <w:r>
        <w:rPr>
          <w:i/>
          <w:iCs/>
          <w:lang w:eastAsia="lt-LT"/>
        </w:rPr>
        <w:t xml:space="preserve"> </w:t>
      </w:r>
      <w:r>
        <w:rPr>
          <w:lang w:eastAsia="lt-LT"/>
        </w:rPr>
        <w:t>pateikimui</w:t>
      </w:r>
      <w:r>
        <w:rPr>
          <w:i/>
          <w:iCs/>
          <w:lang w:eastAsia="lt-LT"/>
        </w:rPr>
        <w:t xml:space="preserve"> </w:t>
      </w:r>
      <w:r>
        <w:rPr>
          <w:lang w:eastAsia="lt-LT"/>
        </w:rPr>
        <w:t>finansinėse</w:t>
      </w:r>
      <w:r>
        <w:rPr>
          <w:i/>
          <w:iCs/>
          <w:lang w:eastAsia="lt-LT"/>
        </w:rPr>
        <w:t xml:space="preserve"> </w:t>
      </w:r>
      <w:r>
        <w:rPr>
          <w:lang w:eastAsia="lt-LT"/>
        </w:rPr>
        <w:t>ataskaitose</w:t>
      </w:r>
      <w:r>
        <w:rPr>
          <w:i/>
          <w:iCs/>
          <w:lang w:eastAsia="lt-LT"/>
        </w:rPr>
        <w:t xml:space="preserve"> </w:t>
      </w:r>
      <w:r>
        <w:rPr>
          <w:lang w:eastAsia="lt-LT"/>
        </w:rPr>
        <w:t>taiko</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Užsienio</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21" w:name="n1_145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2" w:name="pn1_1450"/>
      <w:bookmarkEnd w:id="121"/>
      <w:bookmarkEnd w:id="122"/>
      <w:r>
        <w:rPr>
          <w:lang w:eastAsia="lt-LT"/>
        </w:rPr>
        <w:t>.</w:t>
      </w:r>
    </w:p>
    <w:p w14:paraId="05E94C52" w14:textId="77777777" w:rsidR="00093845" w:rsidRDefault="000D779E">
      <w:pPr>
        <w:spacing w:before="100" w:beforeAutospacing="1" w:after="100" w:afterAutospacing="1"/>
        <w:jc w:val="both"/>
        <w:rPr>
          <w:lang w:eastAsia="lt-LT"/>
        </w:rPr>
      </w:pPr>
      <w:r>
        <w:rPr>
          <w:lang w:eastAsia="lt-LT"/>
        </w:rPr>
        <w:t xml:space="preserve">       Kai</w:t>
      </w:r>
      <w:r>
        <w:rPr>
          <w:i/>
          <w:iCs/>
          <w:lang w:eastAsia="lt-LT"/>
        </w:rPr>
        <w:t xml:space="preserve"> </w:t>
      </w:r>
      <w:r>
        <w:rPr>
          <w:lang w:eastAsia="lt-LT"/>
        </w:rPr>
        <w:t>sandoris</w:t>
      </w:r>
      <w:r>
        <w:rPr>
          <w:i/>
          <w:iCs/>
          <w:lang w:eastAsia="lt-LT"/>
        </w:rPr>
        <w:t xml:space="preserve"> </w:t>
      </w:r>
      <w:r>
        <w:rPr>
          <w:lang w:eastAsia="lt-LT"/>
        </w:rPr>
        <w:t>sudaromas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įsigyto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įvertinama</w:t>
      </w:r>
      <w:r>
        <w:rPr>
          <w:i/>
          <w:iCs/>
          <w:lang w:eastAsia="lt-LT"/>
        </w:rPr>
        <w:t xml:space="preserve"> </w:t>
      </w:r>
      <w:r>
        <w:rPr>
          <w:lang w:eastAsia="lt-LT"/>
        </w:rPr>
        <w:t>eurais pagal</w:t>
      </w:r>
      <w:r>
        <w:rPr>
          <w:i/>
          <w:iCs/>
          <w:lang w:eastAsia="lt-LT"/>
        </w:rPr>
        <w:t xml:space="preserve"> </w:t>
      </w:r>
      <w:r>
        <w:rPr>
          <w:lang w:eastAsia="lt-LT"/>
        </w:rPr>
        <w:t>sandorio dienos (turto</w:t>
      </w:r>
      <w:r>
        <w:rPr>
          <w:i/>
          <w:iCs/>
          <w:lang w:eastAsia="lt-LT"/>
        </w:rPr>
        <w:t xml:space="preserve"> </w:t>
      </w:r>
      <w:r>
        <w:rPr>
          <w:lang w:eastAsia="lt-LT"/>
        </w:rPr>
        <w:t>įsigijimo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nuostatas</w:t>
      </w:r>
      <w:r>
        <w:rPr>
          <w:i/>
          <w:iCs/>
          <w:lang w:eastAsia="lt-LT"/>
        </w:rPr>
        <w:t xml:space="preserve"> </w:t>
      </w:r>
      <w:r>
        <w:rPr>
          <w:lang w:eastAsia="lt-LT"/>
        </w:rPr>
        <w:t>turtas,</w:t>
      </w:r>
      <w:r>
        <w:rPr>
          <w:i/>
          <w:iCs/>
          <w:lang w:eastAsia="lt-LT"/>
        </w:rPr>
        <w:t xml:space="preserve"> </w:t>
      </w:r>
      <w:r>
        <w:rPr>
          <w:lang w:eastAsia="lt-LT"/>
        </w:rPr>
        <w:t>kurio</w:t>
      </w:r>
      <w:r>
        <w:rPr>
          <w:i/>
          <w:iCs/>
          <w:lang w:eastAsia="lt-LT"/>
        </w:rPr>
        <w:t xml:space="preserve"> </w:t>
      </w:r>
      <w:r>
        <w:rPr>
          <w:lang w:eastAsia="lt-LT"/>
        </w:rPr>
        <w:t>tikroji</w:t>
      </w:r>
      <w:r>
        <w:rPr>
          <w:i/>
          <w:iCs/>
          <w:lang w:eastAsia="lt-LT"/>
        </w:rPr>
        <w:t xml:space="preserve"> </w:t>
      </w:r>
      <w:r>
        <w:rPr>
          <w:lang w:eastAsia="lt-LT"/>
        </w:rPr>
        <w:t>vertė</w:t>
      </w:r>
      <w:r>
        <w:rPr>
          <w:i/>
          <w:iCs/>
          <w:lang w:eastAsia="lt-LT"/>
        </w:rPr>
        <w:t xml:space="preserve"> </w:t>
      </w:r>
      <w:r>
        <w:rPr>
          <w:lang w:eastAsia="lt-LT"/>
        </w:rPr>
        <w:t>nustatoma</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balanse</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įvertinamas</w:t>
      </w:r>
      <w:r>
        <w:rPr>
          <w:i/>
          <w:iCs/>
          <w:lang w:eastAsia="lt-LT"/>
        </w:rPr>
        <w:t xml:space="preserve"> </w:t>
      </w:r>
      <w:r w:rsidR="00551983">
        <w:rPr>
          <w:lang w:eastAsia="lt-LT"/>
        </w:rPr>
        <w:t>eurais</w:t>
      </w:r>
      <w:r>
        <w:rPr>
          <w:lang w:eastAsia="lt-LT"/>
        </w:rPr>
        <w:t>,</w:t>
      </w:r>
      <w:r>
        <w:rPr>
          <w:i/>
          <w:iCs/>
          <w:lang w:eastAsia="lt-LT"/>
        </w:rPr>
        <w:t xml:space="preserve"> </w:t>
      </w:r>
      <w:r>
        <w:rPr>
          <w:lang w:eastAsia="lt-LT"/>
        </w:rPr>
        <w:t>taikant</w:t>
      </w:r>
      <w:r>
        <w:rPr>
          <w:i/>
          <w:iCs/>
          <w:lang w:eastAsia="lt-LT"/>
        </w:rPr>
        <w:t xml:space="preserve"> </w:t>
      </w:r>
      <w:r>
        <w:rPr>
          <w:lang w:eastAsia="lt-LT"/>
        </w:rPr>
        <w:t>tikrosios</w:t>
      </w:r>
      <w:r>
        <w:rPr>
          <w:i/>
          <w:iCs/>
          <w:lang w:eastAsia="lt-LT"/>
        </w:rPr>
        <w:t xml:space="preserve"> </w:t>
      </w:r>
      <w:r>
        <w:rPr>
          <w:lang w:eastAsia="lt-LT"/>
        </w:rPr>
        <w:t>vertės</w:t>
      </w:r>
      <w:r>
        <w:rPr>
          <w:i/>
          <w:iCs/>
          <w:lang w:eastAsia="lt-LT"/>
        </w:rPr>
        <w:t xml:space="preserve"> </w:t>
      </w:r>
      <w:r>
        <w:rPr>
          <w:lang w:eastAsia="lt-LT"/>
        </w:rPr>
        <w:t>nustatymo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tai</w:t>
      </w:r>
      <w:r>
        <w:rPr>
          <w:i/>
          <w:iCs/>
          <w:lang w:eastAsia="lt-LT"/>
        </w:rPr>
        <w:t xml:space="preserve"> </w:t>
      </w:r>
      <w:bookmarkStart w:id="123" w:name="n1_145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4" w:name="pn1_1451"/>
      <w:bookmarkEnd w:id="123"/>
      <w:bookmarkEnd w:id="124"/>
      <w:r>
        <w:rPr>
          <w:i/>
          <w:iCs/>
          <w:lang w:eastAsia="lt-LT"/>
        </w:rPr>
        <w:t xml:space="preserve"> </w:t>
      </w:r>
      <w:r>
        <w:rPr>
          <w:lang w:eastAsia="lt-LT"/>
        </w:rPr>
        <w:t>tikslams</w:t>
      </w:r>
      <w:r>
        <w:rPr>
          <w:i/>
          <w:iCs/>
          <w:lang w:eastAsia="lt-LT"/>
        </w:rPr>
        <w:t xml:space="preserve"> </w:t>
      </w:r>
      <w:r>
        <w:rPr>
          <w:lang w:eastAsia="lt-LT"/>
        </w:rPr>
        <w:t>tokio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nustatyta</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pagal</w:t>
      </w:r>
      <w:r>
        <w:rPr>
          <w:i/>
          <w:iCs/>
          <w:lang w:eastAsia="lt-LT"/>
        </w:rPr>
        <w:t xml:space="preserve"> </w:t>
      </w:r>
      <w:r>
        <w:rPr>
          <w:lang w:eastAsia="lt-LT"/>
        </w:rPr>
        <w:t>sandorio dieną (turto</w:t>
      </w:r>
      <w:r>
        <w:rPr>
          <w:i/>
          <w:iCs/>
          <w:lang w:eastAsia="lt-LT"/>
        </w:rPr>
        <w:t xml:space="preserve"> </w:t>
      </w:r>
      <w:r>
        <w:rPr>
          <w:lang w:eastAsia="lt-LT"/>
        </w:rPr>
        <w:t>įsigijimo</w:t>
      </w:r>
      <w:r>
        <w:rPr>
          <w:i/>
          <w:iCs/>
          <w:lang w:eastAsia="lt-LT"/>
        </w:rPr>
        <w:t xml:space="preserve"> </w:t>
      </w:r>
      <w:r>
        <w:rPr>
          <w:lang w:eastAsia="lt-LT"/>
        </w:rPr>
        <w:t>dieną)</w:t>
      </w:r>
      <w:r>
        <w:rPr>
          <w:i/>
          <w:iCs/>
          <w:lang w:eastAsia="lt-LT"/>
        </w:rPr>
        <w:t xml:space="preserve"> </w:t>
      </w:r>
      <w:r>
        <w:rPr>
          <w:lang w:eastAsia="lt-LT"/>
        </w:rPr>
        <w:t>galiojusį</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Todėl</w:t>
      </w:r>
      <w:r>
        <w:rPr>
          <w:i/>
          <w:iCs/>
          <w:lang w:eastAsia="lt-LT"/>
        </w:rPr>
        <w:t xml:space="preserve"> </w:t>
      </w:r>
      <w:r>
        <w:rPr>
          <w:lang w:eastAsia="lt-LT"/>
        </w:rPr>
        <w:t>apskaitoje</w:t>
      </w:r>
      <w:r>
        <w:rPr>
          <w:i/>
          <w:iCs/>
          <w:lang w:eastAsia="lt-LT"/>
        </w:rPr>
        <w:t xml:space="preserve"> </w:t>
      </w:r>
      <w:r>
        <w:rPr>
          <w:lang w:eastAsia="lt-LT"/>
        </w:rPr>
        <w:t>įregistruotos</w:t>
      </w:r>
      <w:r>
        <w:rPr>
          <w:i/>
          <w:iCs/>
          <w:lang w:eastAsia="lt-LT"/>
        </w:rPr>
        <w:t xml:space="preserve"> turto vertės pokyčių sumos </w:t>
      </w:r>
      <w:r>
        <w:rPr>
          <w:lang w:eastAsia="lt-LT"/>
        </w:rPr>
        <w:t>(pajamos</w:t>
      </w:r>
      <w:r>
        <w:rPr>
          <w:i/>
          <w:iCs/>
          <w:lang w:eastAsia="lt-LT"/>
        </w:rPr>
        <w:t xml:space="preserve"> </w:t>
      </w:r>
      <w:r>
        <w:rPr>
          <w:lang w:eastAsia="lt-LT"/>
        </w:rPr>
        <w:t>ar</w:t>
      </w:r>
      <w:r>
        <w:rPr>
          <w:i/>
          <w:iCs/>
          <w:lang w:eastAsia="lt-LT"/>
        </w:rPr>
        <w:t xml:space="preserve"> </w:t>
      </w:r>
      <w:r>
        <w:rPr>
          <w:lang w:eastAsia="lt-LT"/>
        </w:rPr>
        <w:t>sąnaudos,</w:t>
      </w:r>
      <w:r>
        <w:rPr>
          <w:i/>
          <w:iCs/>
          <w:lang w:eastAsia="lt-LT"/>
        </w:rPr>
        <w:t xml:space="preserve"> </w:t>
      </w:r>
      <w:r>
        <w:rPr>
          <w:lang w:eastAsia="lt-LT"/>
        </w:rPr>
        <w:t>susidariusios</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perkainojimo</w:t>
      </w:r>
      <w:r>
        <w:rPr>
          <w:i/>
          <w:iCs/>
          <w:lang w:eastAsia="lt-LT"/>
        </w:rPr>
        <w:t xml:space="preserve"> </w:t>
      </w:r>
      <w:r>
        <w:rPr>
          <w:lang w:eastAsia="lt-LT"/>
        </w:rPr>
        <w:t>(įvertinimo</w:t>
      </w:r>
      <w:r>
        <w:rPr>
          <w:i/>
          <w:iCs/>
          <w:lang w:eastAsia="lt-LT"/>
        </w:rPr>
        <w:t xml:space="preserve"> </w:t>
      </w:r>
      <w:r>
        <w:rPr>
          <w:lang w:eastAsia="lt-LT"/>
        </w:rPr>
        <w:t>tikrąja</w:t>
      </w:r>
      <w:r>
        <w:rPr>
          <w:i/>
          <w:iCs/>
          <w:lang w:eastAsia="lt-LT"/>
        </w:rPr>
        <w:t xml:space="preserve"> </w:t>
      </w:r>
      <w:r>
        <w:rPr>
          <w:lang w:eastAsia="lt-LT"/>
        </w:rPr>
        <w:t>verte)</w:t>
      </w:r>
      <w:r>
        <w:rPr>
          <w:i/>
          <w:iCs/>
          <w:lang w:eastAsia="lt-LT"/>
        </w:rPr>
        <w:t xml:space="preserve"> </w:t>
      </w:r>
      <w:r>
        <w:rPr>
          <w:lang w:eastAsia="lt-LT"/>
        </w:rPr>
        <w:t>ir</w:t>
      </w:r>
      <w:r>
        <w:rPr>
          <w:i/>
          <w:iCs/>
          <w:lang w:eastAsia="lt-LT"/>
        </w:rPr>
        <w:t xml:space="preserve"> </w:t>
      </w:r>
      <w:r>
        <w:rPr>
          <w:lang w:eastAsia="lt-LT"/>
        </w:rPr>
        <w:t>dėl</w:t>
      </w:r>
      <w:r>
        <w:rPr>
          <w:i/>
          <w:iCs/>
          <w:lang w:eastAsia="lt-LT"/>
        </w:rPr>
        <w:t xml:space="preserve"> </w:t>
      </w:r>
      <w:r>
        <w:rPr>
          <w:lang w:eastAsia="lt-LT"/>
        </w:rPr>
        <w:t>teigiamos</w:t>
      </w:r>
      <w:r>
        <w:rPr>
          <w:i/>
          <w:iCs/>
          <w:lang w:eastAsia="lt-LT"/>
        </w:rPr>
        <w:t xml:space="preserve"> </w:t>
      </w:r>
      <w:r>
        <w:rPr>
          <w:lang w:eastAsia="lt-LT"/>
        </w:rPr>
        <w:t>ar</w:t>
      </w:r>
      <w:r>
        <w:rPr>
          <w:i/>
          <w:iCs/>
          <w:lang w:eastAsia="lt-LT"/>
        </w:rPr>
        <w:t xml:space="preserve"> </w:t>
      </w:r>
      <w:r>
        <w:rPr>
          <w:lang w:eastAsia="lt-LT"/>
        </w:rPr>
        <w:t>neigiamos</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pasikeitimo</w:t>
      </w:r>
      <w:r>
        <w:rPr>
          <w:i/>
          <w:iCs/>
          <w:lang w:eastAsia="lt-LT"/>
        </w:rPr>
        <w:t xml:space="preserve"> </w:t>
      </w:r>
      <w:r>
        <w:rPr>
          <w:lang w:eastAsia="lt-LT"/>
        </w:rPr>
        <w:t>įtakos),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vadovaujantis</w:t>
      </w:r>
      <w:r>
        <w:rPr>
          <w:i/>
          <w:iCs/>
          <w:lang w:eastAsia="lt-LT"/>
        </w:rPr>
        <w:t xml:space="preserve"> </w:t>
      </w:r>
      <w:bookmarkStart w:id="125" w:name="n1_1452"/>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6" w:name="pn1_1452"/>
      <w:bookmarkEnd w:id="125"/>
      <w:bookmarkEnd w:id="126"/>
      <w:r>
        <w:rPr>
          <w:i/>
          <w:iCs/>
          <w:lang w:eastAsia="lt-LT"/>
        </w:rPr>
        <w:t xml:space="preserve"> </w:t>
      </w:r>
      <w:r>
        <w:rPr>
          <w:lang w:eastAsia="lt-LT"/>
        </w:rPr>
        <w:t>12</w:t>
      </w:r>
      <w:r>
        <w:rPr>
          <w:i/>
          <w:iCs/>
          <w:lang w:eastAsia="lt-LT"/>
        </w:rPr>
        <w:t xml:space="preserve"> </w:t>
      </w:r>
      <w:r>
        <w:rPr>
          <w:lang w:eastAsia="lt-LT"/>
        </w:rPr>
        <w:t>str.</w:t>
      </w:r>
      <w:r>
        <w:rPr>
          <w:i/>
          <w:iCs/>
          <w:lang w:eastAsia="lt-LT"/>
        </w:rPr>
        <w:t xml:space="preserve"> </w:t>
      </w:r>
      <w:r>
        <w:rPr>
          <w:lang w:eastAsia="lt-LT"/>
        </w:rPr>
        <w:t>7</w:t>
      </w:r>
      <w:r>
        <w:rPr>
          <w:i/>
          <w:iCs/>
          <w:lang w:eastAsia="lt-LT"/>
        </w:rPr>
        <w:t xml:space="preserve"> </w:t>
      </w:r>
      <w:r>
        <w:rPr>
          <w:lang w:eastAsia="lt-LT"/>
        </w:rPr>
        <w:t>punktu</w:t>
      </w:r>
      <w:r>
        <w:rPr>
          <w:i/>
          <w:iCs/>
          <w:lang w:eastAsia="lt-LT"/>
        </w:rPr>
        <w:t xml:space="preserve"> </w:t>
      </w:r>
      <w:r>
        <w:rPr>
          <w:lang w:eastAsia="lt-LT"/>
        </w:rPr>
        <w:t>ir</w:t>
      </w:r>
      <w:r>
        <w:rPr>
          <w:i/>
          <w:iCs/>
          <w:lang w:eastAsia="lt-LT"/>
        </w:rPr>
        <w:t xml:space="preserve"> </w:t>
      </w:r>
      <w:r>
        <w:rPr>
          <w:lang w:eastAsia="lt-LT"/>
        </w:rPr>
        <w:t>31</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w:t>
      </w:r>
      <w:r>
        <w:rPr>
          <w:i/>
          <w:iCs/>
          <w:lang w:eastAsia="lt-LT"/>
        </w:rPr>
        <w:t xml:space="preserve"> </w:t>
      </w:r>
      <w:r>
        <w:rPr>
          <w:lang w:eastAsia="lt-LT"/>
        </w:rPr>
        <w:t>15</w:t>
      </w:r>
      <w:r>
        <w:rPr>
          <w:i/>
          <w:iCs/>
          <w:lang w:eastAsia="lt-LT"/>
        </w:rPr>
        <w:t xml:space="preserve"> </w:t>
      </w:r>
      <w:r>
        <w:rPr>
          <w:lang w:eastAsia="lt-LT"/>
        </w:rPr>
        <w:t>punktu,</w:t>
      </w:r>
      <w:r>
        <w:rPr>
          <w:i/>
          <w:iCs/>
          <w:lang w:eastAsia="lt-LT"/>
        </w:rPr>
        <w:t xml:space="preserve"> </w:t>
      </w:r>
      <w:r>
        <w:rPr>
          <w:lang w:eastAsia="lt-LT"/>
        </w:rPr>
        <w:t>atitinkamai</w:t>
      </w:r>
      <w:r>
        <w:rPr>
          <w:i/>
          <w:iCs/>
          <w:lang w:eastAsia="lt-LT"/>
        </w:rPr>
        <w:t xml:space="preserve"> </w:t>
      </w:r>
      <w:r>
        <w:rPr>
          <w:lang w:eastAsia="lt-LT"/>
        </w:rPr>
        <w:t>laikomos</w:t>
      </w:r>
      <w:r>
        <w:rPr>
          <w:i/>
          <w:iCs/>
          <w:lang w:eastAsia="lt-LT"/>
        </w:rPr>
        <w:t xml:space="preserve"> </w:t>
      </w:r>
      <w:r>
        <w:rPr>
          <w:lang w:eastAsia="lt-LT"/>
        </w:rPr>
        <w:t>neapmokestinamosiomis</w:t>
      </w:r>
      <w:r>
        <w:rPr>
          <w:i/>
          <w:iCs/>
          <w:lang w:eastAsia="lt-LT"/>
        </w:rPr>
        <w:t xml:space="preserve"> </w:t>
      </w:r>
      <w:r>
        <w:rPr>
          <w:lang w:eastAsia="lt-LT"/>
        </w:rPr>
        <w:t>pajamomis</w:t>
      </w:r>
      <w:r>
        <w:rPr>
          <w:i/>
          <w:iCs/>
          <w:lang w:eastAsia="lt-LT"/>
        </w:rPr>
        <w:t xml:space="preserve"> </w:t>
      </w:r>
      <w:r>
        <w:rPr>
          <w:lang w:eastAsia="lt-LT"/>
        </w:rPr>
        <w:t>arba</w:t>
      </w:r>
      <w:r>
        <w:rPr>
          <w:i/>
          <w:iCs/>
          <w:lang w:eastAsia="lt-LT"/>
        </w:rPr>
        <w:t xml:space="preserve"> </w:t>
      </w:r>
      <w:r>
        <w:rPr>
          <w:lang w:eastAsia="lt-LT"/>
        </w:rPr>
        <w:t>neleidžiamais</w:t>
      </w:r>
      <w:r>
        <w:rPr>
          <w:i/>
          <w:iCs/>
          <w:lang w:eastAsia="lt-LT"/>
        </w:rPr>
        <w:t xml:space="preserve"> </w:t>
      </w:r>
      <w:r>
        <w:rPr>
          <w:lang w:eastAsia="lt-LT"/>
        </w:rPr>
        <w:t>atskaitymais.</w:t>
      </w:r>
    </w:p>
    <w:p w14:paraId="62218CFA" w14:textId="77777777" w:rsidR="00093845" w:rsidRDefault="000D779E">
      <w:pPr>
        <w:spacing w:before="100" w:beforeAutospacing="1" w:after="100" w:afterAutospacing="1"/>
        <w:jc w:val="both"/>
        <w:rPr>
          <w:lang w:eastAsia="lt-LT"/>
        </w:rPr>
      </w:pPr>
      <w:r>
        <w:rPr>
          <w:lang w:eastAsia="lt-LT"/>
        </w:rPr>
        <w:t xml:space="preserve">     22</w:t>
      </w:r>
      <w:r>
        <w:rPr>
          <w:i/>
          <w:iCs/>
          <w:lang w:eastAsia="lt-LT"/>
        </w:rPr>
        <w:t xml:space="preserve"> </w:t>
      </w:r>
      <w:r>
        <w:rPr>
          <w:lang w:eastAsia="lt-LT"/>
        </w:rPr>
        <w:t>VAS</w:t>
      </w:r>
      <w:r>
        <w:rPr>
          <w:i/>
          <w:iCs/>
          <w:lang w:eastAsia="lt-LT"/>
        </w:rPr>
        <w:t xml:space="preserve"> </w:t>
      </w:r>
      <w:r>
        <w:rPr>
          <w:lang w:eastAsia="lt-LT"/>
        </w:rPr>
        <w:t>nuostatos,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konsolidavimo</w:t>
      </w:r>
      <w:r>
        <w:rPr>
          <w:i/>
          <w:iCs/>
          <w:lang w:eastAsia="lt-LT"/>
        </w:rPr>
        <w:t xml:space="preserve"> </w:t>
      </w:r>
      <w:r>
        <w:rPr>
          <w:lang w:eastAsia="lt-LT"/>
        </w:rPr>
        <w:t>procedūromis,</w:t>
      </w:r>
      <w:r>
        <w:rPr>
          <w:i/>
          <w:iCs/>
          <w:lang w:eastAsia="lt-LT"/>
        </w:rPr>
        <w:t xml:space="preserve"> </w:t>
      </w:r>
      <w:r>
        <w:rPr>
          <w:lang w:eastAsia="lt-LT"/>
        </w:rPr>
        <w:t>prestižo,</w:t>
      </w:r>
      <w:r>
        <w:rPr>
          <w:i/>
          <w:iCs/>
          <w:lang w:eastAsia="lt-LT"/>
        </w:rPr>
        <w:t xml:space="preserve"> </w:t>
      </w:r>
      <w:r>
        <w:rPr>
          <w:lang w:eastAsia="lt-LT"/>
        </w:rPr>
        <w:t>atsiradusio</w:t>
      </w:r>
      <w:r>
        <w:rPr>
          <w:i/>
          <w:iCs/>
          <w:lang w:eastAsia="lt-LT"/>
        </w:rPr>
        <w:t xml:space="preserve"> </w:t>
      </w:r>
      <w:r>
        <w:rPr>
          <w:lang w:eastAsia="lt-LT"/>
        </w:rPr>
        <w:t>dėl</w:t>
      </w:r>
      <w:r>
        <w:rPr>
          <w:i/>
          <w:iCs/>
          <w:lang w:eastAsia="lt-LT"/>
        </w:rPr>
        <w:t xml:space="preserve"> </w:t>
      </w:r>
      <w:r>
        <w:rPr>
          <w:lang w:eastAsia="lt-LT"/>
        </w:rPr>
        <w:t>užsienio</w:t>
      </w:r>
      <w:r>
        <w:rPr>
          <w:i/>
          <w:iCs/>
          <w:lang w:eastAsia="lt-LT"/>
        </w:rPr>
        <w:t xml:space="preserve"> </w:t>
      </w:r>
      <w:r>
        <w:rPr>
          <w:lang w:eastAsia="lt-LT"/>
        </w:rPr>
        <w:t>įmonės</w:t>
      </w:r>
      <w:r>
        <w:rPr>
          <w:i/>
          <w:iCs/>
          <w:lang w:eastAsia="lt-LT"/>
        </w:rPr>
        <w:t xml:space="preserve"> </w:t>
      </w:r>
      <w:r>
        <w:rPr>
          <w:lang w:eastAsia="lt-LT"/>
        </w:rPr>
        <w:t>įsigijimo</w:t>
      </w:r>
      <w:r>
        <w:rPr>
          <w:i/>
          <w:iCs/>
          <w:lang w:eastAsia="lt-LT"/>
        </w:rPr>
        <w:t xml:space="preserve"> </w:t>
      </w:r>
      <w:r>
        <w:rPr>
          <w:lang w:eastAsia="lt-LT"/>
        </w:rPr>
        <w:t>(akcijų</w:t>
      </w:r>
      <w:r>
        <w:rPr>
          <w:i/>
          <w:iCs/>
          <w:lang w:eastAsia="lt-LT"/>
        </w:rPr>
        <w:t xml:space="preserve"> </w:t>
      </w:r>
      <w:r>
        <w:rPr>
          <w:lang w:eastAsia="lt-LT"/>
        </w:rPr>
        <w:t>pirkimo),</w:t>
      </w:r>
      <w:r>
        <w:rPr>
          <w:i/>
          <w:iCs/>
          <w:lang w:eastAsia="lt-LT"/>
        </w:rPr>
        <w:t xml:space="preserve"> </w:t>
      </w:r>
      <w:r>
        <w:rPr>
          <w:lang w:eastAsia="lt-LT"/>
        </w:rPr>
        <w:t>įvertinimu</w:t>
      </w:r>
      <w:r>
        <w:rPr>
          <w:i/>
          <w:iCs/>
          <w:lang w:eastAsia="lt-LT"/>
        </w:rPr>
        <w:t xml:space="preserve"> </w:t>
      </w:r>
      <w:r>
        <w:rPr>
          <w:lang w:eastAsia="lt-LT"/>
        </w:rPr>
        <w:t>ir</w:t>
      </w:r>
      <w:r>
        <w:rPr>
          <w:i/>
          <w:iCs/>
          <w:lang w:eastAsia="lt-LT"/>
        </w:rPr>
        <w:t xml:space="preserve"> </w:t>
      </w:r>
      <w:r>
        <w:rPr>
          <w:lang w:eastAsia="lt-LT"/>
        </w:rPr>
        <w:t>koregavimu,</w:t>
      </w:r>
      <w:r>
        <w:rPr>
          <w:i/>
          <w:iCs/>
          <w:lang w:eastAsia="lt-LT"/>
        </w:rPr>
        <w:t xml:space="preserve"> </w:t>
      </w:r>
      <w:r>
        <w:rPr>
          <w:lang w:eastAsia="lt-LT"/>
        </w:rPr>
        <w:t>apskaičiuojant</w:t>
      </w:r>
      <w:r>
        <w:rPr>
          <w:i/>
          <w:iCs/>
          <w:lang w:eastAsia="lt-LT"/>
        </w:rPr>
        <w:t xml:space="preserve"> </w:t>
      </w:r>
      <w:r>
        <w:rPr>
          <w:lang w:eastAsia="lt-LT"/>
        </w:rPr>
        <w:t>vieneto</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nepripažįstamos.</w:t>
      </w:r>
      <w:r>
        <w:rPr>
          <w:i/>
          <w:iCs/>
          <w:lang w:eastAsia="lt-LT"/>
        </w:rPr>
        <w:t xml:space="preserve"> </w:t>
      </w:r>
      <w:r>
        <w:rPr>
          <w:lang w:eastAsia="lt-LT"/>
        </w:rPr>
        <w:t>Perleidžiant</w:t>
      </w:r>
      <w:r>
        <w:rPr>
          <w:i/>
          <w:iCs/>
          <w:lang w:eastAsia="lt-LT"/>
        </w:rPr>
        <w:t xml:space="preserve"> </w:t>
      </w:r>
      <w:r>
        <w:rPr>
          <w:lang w:eastAsia="lt-LT"/>
        </w:rPr>
        <w:t>patronuojamųjų</w:t>
      </w:r>
      <w:r>
        <w:rPr>
          <w:i/>
          <w:iCs/>
          <w:lang w:eastAsia="lt-LT"/>
        </w:rPr>
        <w:t xml:space="preserve"> </w:t>
      </w:r>
      <w:r>
        <w:rPr>
          <w:lang w:eastAsia="lt-LT"/>
        </w:rPr>
        <w:t>užsienio</w:t>
      </w:r>
      <w:r>
        <w:rPr>
          <w:i/>
          <w:iCs/>
          <w:lang w:eastAsia="lt-LT"/>
        </w:rPr>
        <w:t xml:space="preserve"> </w:t>
      </w:r>
      <w:r>
        <w:rPr>
          <w:lang w:eastAsia="lt-LT"/>
        </w:rPr>
        <w:t>įmonių</w:t>
      </w:r>
      <w:r>
        <w:rPr>
          <w:i/>
          <w:iCs/>
          <w:lang w:eastAsia="lt-LT"/>
        </w:rPr>
        <w:t xml:space="preserve"> </w:t>
      </w:r>
      <w:r>
        <w:rPr>
          <w:lang w:eastAsia="lt-LT"/>
        </w:rPr>
        <w:t>akcijas,</w:t>
      </w:r>
      <w:r>
        <w:rPr>
          <w:i/>
          <w:iCs/>
          <w:lang w:eastAsia="lt-LT"/>
        </w:rPr>
        <w:t xml:space="preserve"> </w:t>
      </w:r>
      <w:r>
        <w:rPr>
          <w:lang w:eastAsia="lt-LT"/>
        </w:rPr>
        <w:t>šių</w:t>
      </w:r>
      <w:r>
        <w:rPr>
          <w:i/>
          <w:iCs/>
          <w:lang w:eastAsia="lt-LT"/>
        </w:rPr>
        <w:t xml:space="preserve"> </w:t>
      </w:r>
      <w:r>
        <w:rPr>
          <w:lang w:eastAsia="lt-LT"/>
        </w:rPr>
        <w:t>akcijų</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bookmarkStart w:id="127" w:name="n1_145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28" w:name="pn1_1457"/>
      <w:bookmarkEnd w:id="127"/>
      <w:bookmarkEnd w:id="128"/>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nuosavo</w:t>
      </w:r>
      <w:r>
        <w:rPr>
          <w:i/>
          <w:iCs/>
          <w:lang w:eastAsia="lt-LT"/>
        </w:rPr>
        <w:t xml:space="preserve"> </w:t>
      </w:r>
      <w:r>
        <w:rPr>
          <w:lang w:eastAsia="lt-LT"/>
        </w:rPr>
        <w:t>kapitalo</w:t>
      </w:r>
      <w:r>
        <w:rPr>
          <w:i/>
          <w:iCs/>
          <w:lang w:eastAsia="lt-LT"/>
        </w:rPr>
        <w:t xml:space="preserve"> </w:t>
      </w:r>
      <w:r>
        <w:rPr>
          <w:lang w:eastAsia="lt-LT"/>
        </w:rPr>
        <w:t>dalyje</w:t>
      </w:r>
      <w:r>
        <w:rPr>
          <w:i/>
          <w:iCs/>
          <w:lang w:eastAsia="lt-LT"/>
        </w:rPr>
        <w:t xml:space="preserve"> </w:t>
      </w:r>
      <w:r>
        <w:rPr>
          <w:lang w:eastAsia="lt-LT"/>
        </w:rPr>
        <w:t>sukauptas</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skirtumų</w:t>
      </w:r>
      <w:r>
        <w:rPr>
          <w:i/>
          <w:iCs/>
          <w:lang w:eastAsia="lt-LT"/>
        </w:rPr>
        <w:t xml:space="preserve"> </w:t>
      </w:r>
      <w:r>
        <w:rPr>
          <w:lang w:eastAsia="lt-LT"/>
        </w:rPr>
        <w:t>sumas,</w:t>
      </w:r>
      <w:r>
        <w:rPr>
          <w:i/>
          <w:iCs/>
          <w:lang w:eastAsia="lt-LT"/>
        </w:rPr>
        <w:t xml:space="preserve"> </w:t>
      </w:r>
      <w:r>
        <w:rPr>
          <w:lang w:eastAsia="lt-LT"/>
        </w:rPr>
        <w:t>susidariusias</w:t>
      </w:r>
      <w:r>
        <w:rPr>
          <w:i/>
          <w:iCs/>
          <w:lang w:eastAsia="lt-LT"/>
        </w:rPr>
        <w:t xml:space="preserve"> </w:t>
      </w:r>
      <w:r>
        <w:rPr>
          <w:lang w:eastAsia="lt-LT"/>
        </w:rPr>
        <w:t>dėl</w:t>
      </w:r>
      <w:r>
        <w:rPr>
          <w:i/>
          <w:iCs/>
          <w:lang w:eastAsia="lt-LT"/>
        </w:rPr>
        <w:t xml:space="preserve"> </w:t>
      </w:r>
      <w:r>
        <w:rPr>
          <w:lang w:eastAsia="lt-LT"/>
        </w:rPr>
        <w:t>dukterinės</w:t>
      </w:r>
      <w:r>
        <w:rPr>
          <w:i/>
          <w:iCs/>
          <w:lang w:eastAsia="lt-LT"/>
        </w:rPr>
        <w:t xml:space="preserve"> </w:t>
      </w:r>
      <w:r>
        <w:rPr>
          <w:lang w:eastAsia="lt-LT"/>
        </w:rPr>
        <w:t>užsienio</w:t>
      </w:r>
      <w:r>
        <w:rPr>
          <w:i/>
          <w:iCs/>
          <w:lang w:eastAsia="lt-LT"/>
        </w:rPr>
        <w:t xml:space="preserve"> </w:t>
      </w:r>
      <w:r>
        <w:rPr>
          <w:lang w:eastAsia="lt-LT"/>
        </w:rPr>
        <w:t>įmonės</w:t>
      </w:r>
      <w:r>
        <w:rPr>
          <w:i/>
          <w:iCs/>
          <w:lang w:eastAsia="lt-LT"/>
        </w:rPr>
        <w:t xml:space="preserve"> </w:t>
      </w:r>
      <w:r>
        <w:rPr>
          <w:lang w:eastAsia="lt-LT"/>
        </w:rPr>
        <w:t>finansinių</w:t>
      </w:r>
      <w:r>
        <w:rPr>
          <w:i/>
          <w:iCs/>
          <w:lang w:eastAsia="lt-LT"/>
        </w:rPr>
        <w:t xml:space="preserve"> </w:t>
      </w:r>
      <w:r>
        <w:rPr>
          <w:lang w:eastAsia="lt-LT"/>
        </w:rPr>
        <w:t>ataskaitų</w:t>
      </w:r>
      <w:r>
        <w:rPr>
          <w:i/>
          <w:iCs/>
          <w:lang w:eastAsia="lt-LT"/>
        </w:rPr>
        <w:t xml:space="preserve"> </w:t>
      </w:r>
      <w:r>
        <w:rPr>
          <w:lang w:eastAsia="lt-LT"/>
        </w:rPr>
        <w:t>rodiklių</w:t>
      </w:r>
      <w:r>
        <w:rPr>
          <w:i/>
          <w:iCs/>
          <w:lang w:eastAsia="lt-LT"/>
        </w:rPr>
        <w:t xml:space="preserve"> </w:t>
      </w:r>
      <w:r>
        <w:rPr>
          <w:lang w:eastAsia="lt-LT"/>
        </w:rPr>
        <w:t>perskaičiavimo.</w:t>
      </w:r>
    </w:p>
    <w:p w14:paraId="3C2A2C96" w14:textId="77777777" w:rsidR="00093845" w:rsidRDefault="000D779E">
      <w:pPr>
        <w:spacing w:before="100" w:beforeAutospacing="1" w:after="100" w:afterAutospacing="1"/>
        <w:jc w:val="both"/>
        <w:rPr>
          <w:lang w:eastAsia="lt-LT"/>
        </w:rPr>
      </w:pPr>
      <w:r>
        <w:rPr>
          <w:lang w:eastAsia="lt-LT"/>
        </w:rPr>
        <w:t xml:space="preserve">     19.</w:t>
      </w:r>
      <w:r>
        <w:rPr>
          <w:i/>
          <w:iCs/>
          <w:lang w:eastAsia="lt-LT"/>
        </w:rPr>
        <w:t xml:space="preserve"> </w:t>
      </w:r>
      <w:r>
        <w:rPr>
          <w:lang w:eastAsia="lt-LT"/>
        </w:rPr>
        <w:t>Pajamų</w:t>
      </w:r>
      <w:r>
        <w:rPr>
          <w:i/>
          <w:iCs/>
          <w:lang w:eastAsia="lt-LT"/>
        </w:rPr>
        <w:t xml:space="preserve"> </w:t>
      </w:r>
      <w:r>
        <w:rPr>
          <w:lang w:eastAsia="lt-LT"/>
        </w:rPr>
        <w:t>pripažinimas</w:t>
      </w:r>
      <w:r>
        <w:rPr>
          <w:i/>
          <w:iCs/>
          <w:lang w:eastAsia="lt-LT"/>
        </w:rPr>
        <w:t xml:space="preserve"> </w:t>
      </w:r>
      <w:r>
        <w:rPr>
          <w:lang w:eastAsia="lt-LT"/>
        </w:rPr>
        <w:t>priklauso</w:t>
      </w:r>
      <w:r>
        <w:rPr>
          <w:i/>
          <w:iCs/>
          <w:lang w:eastAsia="lt-LT"/>
        </w:rPr>
        <w:t xml:space="preserve"> </w:t>
      </w:r>
      <w:r>
        <w:rPr>
          <w:lang w:eastAsia="lt-LT"/>
        </w:rPr>
        <w:t>nuo</w:t>
      </w:r>
      <w:r>
        <w:rPr>
          <w:i/>
          <w:iCs/>
          <w:lang w:eastAsia="lt-LT"/>
        </w:rPr>
        <w:t xml:space="preserve"> </w:t>
      </w:r>
      <w:r>
        <w:rPr>
          <w:lang w:eastAsia="lt-LT"/>
        </w:rPr>
        <w:t>vieneto</w:t>
      </w:r>
      <w:r>
        <w:rPr>
          <w:i/>
          <w:iCs/>
          <w:lang w:eastAsia="lt-LT"/>
        </w:rPr>
        <w:t xml:space="preserve"> </w:t>
      </w:r>
      <w:r>
        <w:rPr>
          <w:lang w:eastAsia="lt-LT"/>
        </w:rPr>
        <w:t>vykdomos</w:t>
      </w:r>
      <w:r>
        <w:rPr>
          <w:i/>
          <w:iCs/>
          <w:lang w:eastAsia="lt-LT"/>
        </w:rPr>
        <w:t xml:space="preserve"> </w:t>
      </w:r>
      <w:r>
        <w:rPr>
          <w:lang w:eastAsia="lt-LT"/>
        </w:rPr>
        <w:t>veiklos</w:t>
      </w:r>
      <w:r>
        <w:rPr>
          <w:i/>
          <w:iCs/>
          <w:lang w:eastAsia="lt-LT"/>
        </w:rPr>
        <w:t xml:space="preserve"> </w:t>
      </w:r>
      <w:r>
        <w:rPr>
          <w:lang w:eastAsia="lt-LT"/>
        </w:rPr>
        <w:t>specifikos</w:t>
      </w:r>
      <w:r>
        <w:rPr>
          <w:i/>
          <w:iCs/>
          <w:lang w:eastAsia="lt-LT"/>
        </w:rPr>
        <w:t xml:space="preserve"> </w:t>
      </w:r>
      <w:r>
        <w:rPr>
          <w:lang w:eastAsia="lt-LT"/>
        </w:rPr>
        <w:t>ir</w:t>
      </w:r>
      <w:r>
        <w:rPr>
          <w:i/>
          <w:iCs/>
          <w:lang w:eastAsia="lt-LT"/>
        </w:rPr>
        <w:t xml:space="preserve"> </w:t>
      </w:r>
      <w:r>
        <w:rPr>
          <w:lang w:eastAsia="lt-LT"/>
        </w:rPr>
        <w:t>suteiktų</w:t>
      </w:r>
      <w:r>
        <w:rPr>
          <w:i/>
          <w:iCs/>
          <w:lang w:eastAsia="lt-LT"/>
        </w:rPr>
        <w:t xml:space="preserve"> </w:t>
      </w:r>
      <w:r>
        <w:rPr>
          <w:lang w:eastAsia="lt-LT"/>
        </w:rPr>
        <w:t>paslaugų</w:t>
      </w:r>
      <w:r>
        <w:rPr>
          <w:i/>
          <w:iCs/>
          <w:lang w:eastAsia="lt-LT"/>
        </w:rPr>
        <w:t xml:space="preserve"> </w:t>
      </w:r>
      <w:r>
        <w:rPr>
          <w:lang w:eastAsia="lt-LT"/>
        </w:rPr>
        <w:t>pobūdžio:</w:t>
      </w:r>
    </w:p>
    <w:p w14:paraId="38FD4132" w14:textId="77777777" w:rsidR="00093845" w:rsidRDefault="000D779E">
      <w:pPr>
        <w:spacing w:before="100" w:beforeAutospacing="1" w:after="100" w:afterAutospacing="1"/>
        <w:jc w:val="both"/>
        <w:rPr>
          <w:lang w:eastAsia="lt-LT"/>
        </w:rPr>
      </w:pPr>
      <w:r>
        <w:rPr>
          <w:lang w:eastAsia="lt-LT"/>
        </w:rPr>
        <w:t xml:space="preserve">    19.1.</w:t>
      </w:r>
      <w:r>
        <w:rPr>
          <w:i/>
          <w:iCs/>
          <w:lang w:eastAsia="lt-LT"/>
        </w:rPr>
        <w:t xml:space="preserve"> </w:t>
      </w:r>
      <w:r>
        <w:rPr>
          <w:lang w:eastAsia="lt-LT"/>
        </w:rPr>
        <w:t>Draudimo</w:t>
      </w:r>
      <w:r>
        <w:rPr>
          <w:i/>
          <w:iCs/>
          <w:lang w:eastAsia="lt-LT"/>
        </w:rPr>
        <w:t xml:space="preserve"> </w:t>
      </w:r>
      <w:r>
        <w:rPr>
          <w:lang w:eastAsia="lt-LT"/>
        </w:rPr>
        <w:t>įmonių</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už</w:t>
      </w:r>
      <w:r>
        <w:rPr>
          <w:i/>
          <w:iCs/>
          <w:lang w:eastAsia="lt-LT"/>
        </w:rPr>
        <w:t xml:space="preserve"> </w:t>
      </w:r>
      <w:r>
        <w:rPr>
          <w:lang w:eastAsia="lt-LT"/>
        </w:rPr>
        <w:t>draudimą</w:t>
      </w:r>
      <w:r>
        <w:rPr>
          <w:i/>
          <w:iCs/>
          <w:lang w:eastAsia="lt-LT"/>
        </w:rPr>
        <w:t xml:space="preserve"> </w:t>
      </w:r>
      <w:r>
        <w:rPr>
          <w:lang w:eastAsia="lt-LT"/>
        </w:rPr>
        <w:t>uždirbtos</w:t>
      </w:r>
      <w:r>
        <w:rPr>
          <w:i/>
          <w:iCs/>
          <w:lang w:eastAsia="lt-LT"/>
        </w:rPr>
        <w:t xml:space="preserve"> </w:t>
      </w:r>
      <w:r>
        <w:rPr>
          <w:lang w:eastAsia="lt-LT"/>
        </w:rPr>
        <w:t>įmokos</w:t>
      </w:r>
      <w:r>
        <w:rPr>
          <w:i/>
          <w:iCs/>
          <w:lang w:eastAsia="lt-LT"/>
        </w:rPr>
        <w:t xml:space="preserve"> </w:t>
      </w:r>
      <w:r>
        <w:rPr>
          <w:lang w:eastAsia="lt-LT"/>
        </w:rPr>
        <w:t>(premijos)</w:t>
      </w:r>
      <w:r>
        <w:rPr>
          <w:i/>
          <w:iCs/>
          <w:lang w:eastAsia="lt-LT"/>
        </w:rPr>
        <w:t xml:space="preserve"> </w:t>
      </w:r>
      <w:r>
        <w:rPr>
          <w:lang w:eastAsia="lt-LT"/>
        </w:rPr>
        <w:t>ir</w:t>
      </w:r>
      <w:r>
        <w:rPr>
          <w:i/>
          <w:iCs/>
          <w:lang w:eastAsia="lt-LT"/>
        </w:rPr>
        <w:t xml:space="preserve"> </w:t>
      </w:r>
      <w:r>
        <w:rPr>
          <w:lang w:eastAsia="lt-LT"/>
        </w:rPr>
        <w:t>prisiimto</w:t>
      </w:r>
      <w:r>
        <w:rPr>
          <w:i/>
          <w:iCs/>
          <w:lang w:eastAsia="lt-LT"/>
        </w:rPr>
        <w:t xml:space="preserve"> </w:t>
      </w:r>
      <w:r>
        <w:rPr>
          <w:lang w:eastAsia="lt-LT"/>
        </w:rPr>
        <w:t>perdraudimo</w:t>
      </w:r>
      <w:r>
        <w:rPr>
          <w:i/>
          <w:iCs/>
          <w:lang w:eastAsia="lt-LT"/>
        </w:rPr>
        <w:t xml:space="preserve"> </w:t>
      </w:r>
      <w:r>
        <w:rPr>
          <w:lang w:eastAsia="lt-LT"/>
        </w:rPr>
        <w:t>įmokos.</w:t>
      </w:r>
      <w:r>
        <w:rPr>
          <w:i/>
          <w:iCs/>
          <w:lang w:eastAsia="lt-LT"/>
        </w:rPr>
        <w:t xml:space="preserve"> </w:t>
      </w:r>
      <w:r>
        <w:rPr>
          <w:lang w:eastAsia="lt-LT"/>
        </w:rPr>
        <w:t>Kai</w:t>
      </w:r>
      <w:r>
        <w:rPr>
          <w:i/>
          <w:iCs/>
          <w:lang w:eastAsia="lt-LT"/>
        </w:rPr>
        <w:t xml:space="preserve"> </w:t>
      </w:r>
      <w:r>
        <w:rPr>
          <w:lang w:eastAsia="lt-LT"/>
        </w:rPr>
        <w:t>draudimo</w:t>
      </w:r>
      <w:r>
        <w:rPr>
          <w:i/>
          <w:iCs/>
          <w:lang w:eastAsia="lt-LT"/>
        </w:rPr>
        <w:t xml:space="preserve"> </w:t>
      </w:r>
      <w:r>
        <w:rPr>
          <w:lang w:eastAsia="lt-LT"/>
        </w:rPr>
        <w:t>sutartyje</w:t>
      </w:r>
      <w:r>
        <w:rPr>
          <w:i/>
          <w:iCs/>
          <w:lang w:eastAsia="lt-LT"/>
        </w:rPr>
        <w:t xml:space="preserve"> </w:t>
      </w:r>
      <w:r>
        <w:rPr>
          <w:lang w:eastAsia="lt-LT"/>
        </w:rPr>
        <w:t>numatyta</w:t>
      </w:r>
      <w:r>
        <w:rPr>
          <w:i/>
          <w:iCs/>
          <w:lang w:eastAsia="lt-LT"/>
        </w:rPr>
        <w:t xml:space="preserve"> </w:t>
      </w:r>
      <w:r>
        <w:rPr>
          <w:lang w:eastAsia="lt-LT"/>
        </w:rPr>
        <w:t>įmoka</w:t>
      </w:r>
      <w:r>
        <w:rPr>
          <w:i/>
          <w:iCs/>
          <w:lang w:eastAsia="lt-LT"/>
        </w:rPr>
        <w:t xml:space="preserve"> </w:t>
      </w:r>
      <w:r>
        <w:rPr>
          <w:lang w:eastAsia="lt-LT"/>
        </w:rPr>
        <w:t>pasirašyta</w:t>
      </w:r>
      <w:r>
        <w:rPr>
          <w:i/>
          <w:iCs/>
          <w:lang w:eastAsia="lt-LT"/>
        </w:rPr>
        <w:t xml:space="preserve"> </w:t>
      </w:r>
      <w:r>
        <w:rPr>
          <w:lang w:eastAsia="lt-LT"/>
        </w:rPr>
        <w:t>visam</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laikotarpiui,</w:t>
      </w:r>
      <w:r>
        <w:rPr>
          <w:i/>
          <w:iCs/>
          <w:lang w:eastAsia="lt-LT"/>
        </w:rPr>
        <w:t xml:space="preserve"> </w:t>
      </w:r>
      <w:r>
        <w:rPr>
          <w:lang w:eastAsia="lt-LT"/>
        </w:rPr>
        <w:t>trunkančiam</w:t>
      </w:r>
      <w:r>
        <w:rPr>
          <w:i/>
          <w:iCs/>
          <w:lang w:eastAsia="lt-LT"/>
        </w:rPr>
        <w:t xml:space="preserve"> </w:t>
      </w:r>
      <w:r>
        <w:rPr>
          <w:lang w:eastAsia="lt-LT"/>
        </w:rPr>
        <w:t>ilgiau</w:t>
      </w:r>
      <w:r>
        <w:rPr>
          <w:i/>
          <w:iCs/>
          <w:lang w:eastAsia="lt-LT"/>
        </w:rPr>
        <w:t xml:space="preserve"> </w:t>
      </w:r>
      <w:r>
        <w:rPr>
          <w:lang w:eastAsia="lt-LT"/>
        </w:rPr>
        <w:t>negu</w:t>
      </w:r>
      <w:r>
        <w:rPr>
          <w:i/>
          <w:iCs/>
          <w:lang w:eastAsia="lt-LT"/>
        </w:rPr>
        <w:t xml:space="preserve"> </w:t>
      </w:r>
      <w:r>
        <w:rPr>
          <w:lang w:eastAsia="lt-LT"/>
        </w:rPr>
        <w:t>vieną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tai</w:t>
      </w:r>
      <w:r>
        <w:rPr>
          <w:i/>
          <w:iCs/>
          <w:lang w:eastAsia="lt-LT"/>
        </w:rPr>
        <w:t xml:space="preserve"> </w:t>
      </w:r>
      <w:r>
        <w:rPr>
          <w:lang w:eastAsia="lt-LT"/>
        </w:rPr>
        <w:t>į</w:t>
      </w:r>
      <w:r>
        <w:rPr>
          <w:i/>
          <w:iCs/>
          <w:lang w:eastAsia="lt-LT"/>
        </w:rPr>
        <w:t xml:space="preserve"> </w:t>
      </w:r>
      <w:r>
        <w:rPr>
          <w:lang w:eastAsia="lt-LT"/>
        </w:rPr>
        <w:t>uždirbtas</w:t>
      </w:r>
      <w:r>
        <w:rPr>
          <w:i/>
          <w:iCs/>
          <w:lang w:eastAsia="lt-LT"/>
        </w:rPr>
        <w:t xml:space="preserve"> </w:t>
      </w:r>
      <w:r>
        <w:rPr>
          <w:lang w:eastAsia="lt-LT"/>
        </w:rPr>
        <w:t>pajamas</w:t>
      </w:r>
      <w:r>
        <w:rPr>
          <w:i/>
          <w:iCs/>
          <w:lang w:eastAsia="lt-LT"/>
        </w:rPr>
        <w:t xml:space="preserve"> </w:t>
      </w:r>
      <w:r>
        <w:rPr>
          <w:lang w:eastAsia="lt-LT"/>
        </w:rPr>
        <w:t>įtraukiama</w:t>
      </w:r>
      <w:r>
        <w:rPr>
          <w:i/>
          <w:iCs/>
          <w:lang w:eastAsia="lt-LT"/>
        </w:rPr>
        <w:t xml:space="preserve"> </w:t>
      </w:r>
      <w:r>
        <w:rPr>
          <w:lang w:eastAsia="lt-LT"/>
        </w:rPr>
        <w:t>tik</w:t>
      </w:r>
      <w:r>
        <w:rPr>
          <w:i/>
          <w:iCs/>
          <w:lang w:eastAsia="lt-LT"/>
        </w:rPr>
        <w:t xml:space="preserve"> </w:t>
      </w:r>
      <w:r>
        <w:rPr>
          <w:lang w:eastAsia="lt-LT"/>
        </w:rPr>
        <w:t>ta</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dalis,</w:t>
      </w:r>
      <w:r>
        <w:rPr>
          <w:i/>
          <w:iCs/>
          <w:lang w:eastAsia="lt-LT"/>
        </w:rPr>
        <w:t xml:space="preserve"> </w:t>
      </w:r>
      <w:r>
        <w:rPr>
          <w:lang w:eastAsia="lt-LT"/>
        </w:rPr>
        <w:t>kuri</w:t>
      </w:r>
      <w:r>
        <w:rPr>
          <w:i/>
          <w:iCs/>
          <w:lang w:eastAsia="lt-LT"/>
        </w:rPr>
        <w:t xml:space="preserve"> </w:t>
      </w:r>
      <w:r>
        <w:rPr>
          <w:lang w:eastAsia="lt-LT"/>
        </w:rPr>
        <w:t>priskiriama</w:t>
      </w:r>
      <w:r>
        <w:rPr>
          <w:i/>
          <w:iCs/>
          <w:lang w:eastAsia="lt-LT"/>
        </w:rPr>
        <w:t xml:space="preserve"> </w:t>
      </w:r>
      <w:r>
        <w:rPr>
          <w:lang w:eastAsia="lt-LT"/>
        </w:rPr>
        <w:t>tam</w:t>
      </w:r>
      <w:r>
        <w:rPr>
          <w:i/>
          <w:iCs/>
          <w:lang w:eastAsia="lt-LT"/>
        </w:rPr>
        <w:t xml:space="preserve"> </w:t>
      </w:r>
      <w:r>
        <w:rPr>
          <w:lang w:eastAsia="lt-LT"/>
        </w:rPr>
        <w:t>mokestiniam</w:t>
      </w:r>
      <w:r>
        <w:rPr>
          <w:i/>
          <w:iCs/>
          <w:lang w:eastAsia="lt-LT"/>
        </w:rPr>
        <w:t xml:space="preserve"> </w:t>
      </w:r>
      <w:r>
        <w:rPr>
          <w:lang w:eastAsia="lt-LT"/>
        </w:rPr>
        <w:t>laikotarpiui,</w:t>
      </w:r>
      <w:r>
        <w:rPr>
          <w:i/>
          <w:iCs/>
          <w:lang w:eastAsia="lt-LT"/>
        </w:rPr>
        <w:t xml:space="preserve"> </w:t>
      </w:r>
      <w:r>
        <w:rPr>
          <w:lang w:eastAsia="lt-LT"/>
        </w:rPr>
        <w:t>per</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suteiktos</w:t>
      </w:r>
      <w:r>
        <w:rPr>
          <w:i/>
          <w:iCs/>
          <w:lang w:eastAsia="lt-LT"/>
        </w:rPr>
        <w:t xml:space="preserve"> </w:t>
      </w:r>
      <w:r>
        <w:rPr>
          <w:lang w:eastAsia="lt-LT"/>
        </w:rPr>
        <w:t>draudimo</w:t>
      </w:r>
      <w:r>
        <w:rPr>
          <w:i/>
          <w:iCs/>
          <w:lang w:eastAsia="lt-LT"/>
        </w:rPr>
        <w:t xml:space="preserve"> </w:t>
      </w:r>
      <w:r>
        <w:rPr>
          <w:lang w:eastAsia="lt-LT"/>
        </w:rPr>
        <w:t>paslaugos</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mokestinio</w:t>
      </w:r>
      <w:r>
        <w:rPr>
          <w:i/>
          <w:iCs/>
          <w:lang w:eastAsia="lt-LT"/>
        </w:rPr>
        <w:t xml:space="preserve"> </w:t>
      </w:r>
      <w:r>
        <w:rPr>
          <w:lang w:eastAsia="lt-LT"/>
        </w:rPr>
        <w:t>laikotarpio</w:t>
      </w:r>
      <w:r>
        <w:rPr>
          <w:i/>
          <w:iCs/>
          <w:lang w:eastAsia="lt-LT"/>
        </w:rPr>
        <w:t xml:space="preserve"> </w:t>
      </w:r>
      <w:r>
        <w:rPr>
          <w:lang w:eastAsia="lt-LT"/>
        </w:rPr>
        <w:t>pajamoms</w:t>
      </w:r>
      <w:r>
        <w:rPr>
          <w:i/>
          <w:iCs/>
          <w:lang w:eastAsia="lt-LT"/>
        </w:rPr>
        <w:t xml:space="preserve"> </w:t>
      </w:r>
      <w:r>
        <w:rPr>
          <w:lang w:eastAsia="lt-LT"/>
        </w:rPr>
        <w:t>priskiriama</w:t>
      </w:r>
      <w:r>
        <w:rPr>
          <w:i/>
          <w:iCs/>
          <w:lang w:eastAsia="lt-LT"/>
        </w:rPr>
        <w:t xml:space="preserve"> </w:t>
      </w:r>
      <w:r>
        <w:rPr>
          <w:lang w:eastAsia="lt-LT"/>
        </w:rPr>
        <w:t>tik</w:t>
      </w:r>
      <w:r>
        <w:rPr>
          <w:i/>
          <w:iCs/>
          <w:lang w:eastAsia="lt-LT"/>
        </w:rPr>
        <w:t xml:space="preserve"> </w:t>
      </w:r>
      <w:r>
        <w:rPr>
          <w:lang w:eastAsia="lt-LT"/>
        </w:rPr>
        <w:t>uždirbtų</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dalis).</w:t>
      </w:r>
      <w:r>
        <w:rPr>
          <w:i/>
          <w:iCs/>
          <w:lang w:eastAsia="lt-LT"/>
        </w:rPr>
        <w:t xml:space="preserve"> </w:t>
      </w:r>
    </w:p>
    <w:p w14:paraId="66BAF8AC" w14:textId="77777777" w:rsidR="00093845" w:rsidRDefault="000D779E">
      <w:pPr>
        <w:spacing w:before="100" w:beforeAutospacing="1" w:after="100" w:afterAutospacing="1"/>
        <w:jc w:val="both"/>
        <w:rPr>
          <w:lang w:eastAsia="lt-LT"/>
        </w:rPr>
      </w:pPr>
      <w:r>
        <w:rPr>
          <w:lang w:eastAsia="lt-LT"/>
        </w:rPr>
        <w:t xml:space="preserve">     19.1.</w:t>
      </w:r>
      <w:r>
        <w:rPr>
          <w:vertAlign w:val="superscript"/>
          <w:lang w:eastAsia="lt-LT"/>
        </w:rPr>
        <w:t>1</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draudimo</w:t>
      </w:r>
      <w:r>
        <w:rPr>
          <w:i/>
          <w:iCs/>
          <w:lang w:eastAsia="lt-LT"/>
        </w:rPr>
        <w:t xml:space="preserve"> </w:t>
      </w:r>
      <w:r>
        <w:rPr>
          <w:lang w:eastAsia="lt-LT"/>
        </w:rPr>
        <w:t>paslaugas</w:t>
      </w:r>
      <w:r>
        <w:rPr>
          <w:i/>
          <w:iCs/>
          <w:lang w:eastAsia="lt-LT"/>
        </w:rPr>
        <w:t xml:space="preserve"> </w:t>
      </w:r>
      <w:r>
        <w:rPr>
          <w:lang w:eastAsia="lt-LT"/>
        </w:rPr>
        <w:t>pripažįstamos</w:t>
      </w:r>
      <w:r>
        <w:rPr>
          <w:i/>
          <w:iCs/>
          <w:lang w:eastAsia="lt-LT"/>
        </w:rPr>
        <w:t xml:space="preserve"> </w:t>
      </w:r>
      <w:r>
        <w:rPr>
          <w:lang w:eastAsia="lt-LT"/>
        </w:rPr>
        <w:t>ne</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suteikus</w:t>
      </w:r>
      <w:r>
        <w:rPr>
          <w:i/>
          <w:iCs/>
          <w:lang w:eastAsia="lt-LT"/>
        </w:rPr>
        <w:t xml:space="preserve"> </w:t>
      </w:r>
      <w:r>
        <w:rPr>
          <w:lang w:eastAsia="lt-LT"/>
        </w:rPr>
        <w:t>draudėjui</w:t>
      </w:r>
      <w:r>
        <w:rPr>
          <w:i/>
          <w:iCs/>
          <w:lang w:eastAsia="lt-LT"/>
        </w:rPr>
        <w:t xml:space="preserve"> </w:t>
      </w:r>
      <w:r>
        <w:rPr>
          <w:lang w:eastAsia="lt-LT"/>
        </w:rPr>
        <w:t>draudimo</w:t>
      </w:r>
      <w:r>
        <w:rPr>
          <w:i/>
          <w:iCs/>
          <w:lang w:eastAsia="lt-LT"/>
        </w:rPr>
        <w:t xml:space="preserve"> </w:t>
      </w:r>
      <w:r>
        <w:rPr>
          <w:lang w:eastAsia="lt-LT"/>
        </w:rPr>
        <w:t>paslaugą</w:t>
      </w:r>
      <w:r>
        <w:rPr>
          <w:i/>
          <w:iCs/>
          <w:lang w:eastAsia="lt-LT"/>
        </w:rPr>
        <w:t xml:space="preserve"> </w:t>
      </w:r>
      <w:r>
        <w:rPr>
          <w:lang w:eastAsia="lt-LT"/>
        </w:rPr>
        <w:t>(arba</w:t>
      </w:r>
      <w:r>
        <w:rPr>
          <w:i/>
          <w:iCs/>
          <w:lang w:eastAsia="lt-LT"/>
        </w:rPr>
        <w:t xml:space="preserve"> </w:t>
      </w:r>
      <w:r>
        <w:rPr>
          <w:lang w:eastAsia="lt-LT"/>
        </w:rPr>
        <w:t>jos</w:t>
      </w:r>
      <w:r>
        <w:rPr>
          <w:i/>
          <w:iCs/>
          <w:lang w:eastAsia="lt-LT"/>
        </w:rPr>
        <w:t xml:space="preserve"> </w:t>
      </w:r>
      <w:r>
        <w:rPr>
          <w:lang w:eastAsia="lt-LT"/>
        </w:rPr>
        <w:t>dalį),</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pinigų</w:t>
      </w:r>
      <w:r>
        <w:rPr>
          <w:i/>
          <w:iCs/>
          <w:lang w:eastAsia="lt-LT"/>
        </w:rPr>
        <w:t xml:space="preserve"> </w:t>
      </w:r>
      <w:r>
        <w:rPr>
          <w:lang w:eastAsia="lt-LT"/>
        </w:rPr>
        <w:t>gavimo</w:t>
      </w:r>
      <w:r>
        <w:rPr>
          <w:i/>
          <w:iCs/>
          <w:lang w:eastAsia="lt-LT"/>
        </w:rPr>
        <w:t xml:space="preserve"> </w:t>
      </w:r>
      <w:r>
        <w:rPr>
          <w:lang w:eastAsia="lt-LT"/>
        </w:rPr>
        <w:t>momentą.</w:t>
      </w:r>
      <w:r>
        <w:rPr>
          <w:i/>
          <w:iCs/>
          <w:lang w:eastAsia="lt-LT"/>
        </w:rPr>
        <w:t xml:space="preserve"> </w:t>
      </w:r>
    </w:p>
    <w:p w14:paraId="2DE2D2B3" w14:textId="77777777" w:rsidR="00093845" w:rsidRDefault="000D779E">
      <w:pPr>
        <w:spacing w:before="100" w:beforeAutospacing="1" w:after="100" w:afterAutospacing="1"/>
        <w:jc w:val="both"/>
        <w:rPr>
          <w:lang w:eastAsia="lt-LT"/>
        </w:rPr>
      </w:pPr>
      <w:r>
        <w:rPr>
          <w:lang w:eastAsia="lt-LT"/>
        </w:rPr>
        <w:t xml:space="preserve">      Draudimo</w:t>
      </w:r>
      <w:r>
        <w:rPr>
          <w:i/>
          <w:iCs/>
          <w:lang w:eastAsia="lt-LT"/>
        </w:rPr>
        <w:t xml:space="preserve"> </w:t>
      </w:r>
      <w:r>
        <w:rPr>
          <w:lang w:eastAsia="lt-LT"/>
        </w:rPr>
        <w:t>įmokos</w:t>
      </w:r>
      <w:r>
        <w:rPr>
          <w:i/>
          <w:iCs/>
          <w:lang w:eastAsia="lt-LT"/>
        </w:rPr>
        <w:t xml:space="preserve"> </w:t>
      </w:r>
      <w:r>
        <w:rPr>
          <w:lang w:eastAsia="lt-LT"/>
        </w:rPr>
        <w:t>pripažįstamos</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ar</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jei</w:t>
      </w:r>
      <w:r>
        <w:rPr>
          <w:i/>
          <w:iCs/>
          <w:lang w:eastAsia="lt-LT"/>
        </w:rPr>
        <w:t xml:space="preserve"> </w:t>
      </w:r>
      <w:r>
        <w:rPr>
          <w:lang w:eastAsia="lt-LT"/>
        </w:rPr>
        <w:t>jis</w:t>
      </w:r>
      <w:r>
        <w:rPr>
          <w:i/>
          <w:iCs/>
          <w:lang w:eastAsia="lt-LT"/>
        </w:rPr>
        <w:t xml:space="preserve"> </w:t>
      </w:r>
      <w:r>
        <w:rPr>
          <w:lang w:eastAsia="lt-LT"/>
        </w:rPr>
        <w:t>nesutampa</w:t>
      </w:r>
      <w:r>
        <w:rPr>
          <w:i/>
          <w:iCs/>
          <w:lang w:eastAsia="lt-LT"/>
        </w:rPr>
        <w:t xml:space="preserve"> </w:t>
      </w:r>
      <w:r>
        <w:rPr>
          <w:lang w:eastAsia="lt-LT"/>
        </w:rPr>
        <w:t>su</w:t>
      </w:r>
      <w:r>
        <w:rPr>
          <w:i/>
          <w:iCs/>
          <w:lang w:eastAsia="lt-LT"/>
        </w:rPr>
        <w:t xml:space="preserve"> </w:t>
      </w:r>
      <w:r>
        <w:rPr>
          <w:lang w:eastAsia="lt-LT"/>
        </w:rPr>
        <w:t>sutarties</w:t>
      </w:r>
      <w:r>
        <w:rPr>
          <w:i/>
          <w:iCs/>
          <w:lang w:eastAsia="lt-LT"/>
        </w:rPr>
        <w:t xml:space="preserve"> </w:t>
      </w:r>
      <w:r>
        <w:rPr>
          <w:lang w:eastAsia="lt-LT"/>
        </w:rPr>
        <w:t>galiojimo</w:t>
      </w:r>
      <w:r>
        <w:rPr>
          <w:i/>
          <w:iCs/>
          <w:lang w:eastAsia="lt-LT"/>
        </w:rPr>
        <w:t xml:space="preserve"> </w:t>
      </w:r>
      <w:r>
        <w:rPr>
          <w:lang w:eastAsia="lt-LT"/>
        </w:rPr>
        <w:t>laikotarpiu.</w:t>
      </w:r>
      <w:r>
        <w:rPr>
          <w:i/>
          <w:iCs/>
          <w:lang w:eastAsia="lt-LT"/>
        </w:rPr>
        <w:t xml:space="preserve"> </w:t>
      </w:r>
      <w:r>
        <w:rPr>
          <w:lang w:eastAsia="lt-LT"/>
        </w:rPr>
        <w:t>Draudėjui</w:t>
      </w:r>
      <w:r>
        <w:rPr>
          <w:i/>
          <w:iCs/>
          <w:lang w:eastAsia="lt-LT"/>
        </w:rPr>
        <w:t xml:space="preserve"> </w:t>
      </w:r>
      <w:r>
        <w:rPr>
          <w:lang w:eastAsia="lt-LT"/>
        </w:rPr>
        <w:t>nesumokėjus</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dalies</w:t>
      </w:r>
      <w:r>
        <w:rPr>
          <w:i/>
          <w:iCs/>
          <w:lang w:eastAsia="lt-LT"/>
        </w:rPr>
        <w:t xml:space="preserve"> </w:t>
      </w:r>
      <w:r>
        <w:rPr>
          <w:lang w:eastAsia="lt-LT"/>
        </w:rPr>
        <w:t>ir</w:t>
      </w:r>
      <w:r>
        <w:rPr>
          <w:i/>
          <w:iCs/>
          <w:lang w:eastAsia="lt-LT"/>
        </w:rPr>
        <w:t xml:space="preserve"> </w:t>
      </w:r>
      <w:r>
        <w:rPr>
          <w:lang w:eastAsia="lt-LT"/>
        </w:rPr>
        <w:t>sustabdžius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kaip</w:t>
      </w:r>
      <w:r>
        <w:rPr>
          <w:i/>
          <w:iCs/>
          <w:lang w:eastAsia="lt-LT"/>
        </w:rPr>
        <w:t xml:space="preserve"> </w:t>
      </w:r>
      <w:r>
        <w:rPr>
          <w:lang w:eastAsia="lt-LT"/>
        </w:rPr>
        <w:t>numatyta</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draudimo</w:t>
      </w:r>
      <w:r>
        <w:rPr>
          <w:i/>
          <w:iCs/>
          <w:lang w:eastAsia="lt-LT"/>
        </w:rPr>
        <w:t xml:space="preserve"> </w:t>
      </w:r>
      <w:r>
        <w:rPr>
          <w:lang w:eastAsia="lt-LT"/>
        </w:rPr>
        <w:t>įstatymo</w:t>
      </w:r>
      <w:r>
        <w:rPr>
          <w:i/>
          <w:iCs/>
          <w:lang w:eastAsia="lt-LT"/>
        </w:rPr>
        <w:t xml:space="preserve"> </w:t>
      </w:r>
      <w:r>
        <w:rPr>
          <w:lang w:eastAsia="lt-LT"/>
        </w:rPr>
        <w:t>96</w:t>
      </w:r>
      <w:r>
        <w:rPr>
          <w:i/>
          <w:iCs/>
          <w:lang w:eastAsia="lt-LT"/>
        </w:rPr>
        <w:t xml:space="preserve"> </w:t>
      </w:r>
      <w:r>
        <w:rPr>
          <w:lang w:eastAsia="lt-LT"/>
        </w:rPr>
        <w:t>straipsnyje,</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pripažįstamos</w:t>
      </w:r>
      <w:r>
        <w:rPr>
          <w:i/>
          <w:iCs/>
          <w:lang w:eastAsia="lt-LT"/>
        </w:rPr>
        <w:t xml:space="preserve"> </w:t>
      </w:r>
      <w:r>
        <w:rPr>
          <w:lang w:eastAsia="lt-LT"/>
        </w:rPr>
        <w:t>įmokos</w:t>
      </w:r>
      <w:r>
        <w:rPr>
          <w:i/>
          <w:iCs/>
          <w:lang w:eastAsia="lt-LT"/>
        </w:rPr>
        <w:t xml:space="preserve"> </w:t>
      </w:r>
      <w:r>
        <w:rPr>
          <w:lang w:eastAsia="lt-LT"/>
        </w:rPr>
        <w:t>už</w:t>
      </w:r>
      <w:r>
        <w:rPr>
          <w:i/>
          <w:iCs/>
          <w:lang w:eastAsia="lt-LT"/>
        </w:rPr>
        <w:t xml:space="preserve"> </w:t>
      </w:r>
      <w:r>
        <w:rPr>
          <w:lang w:eastAsia="lt-LT"/>
        </w:rPr>
        <w:t>laikotarpį</w:t>
      </w:r>
      <w:r>
        <w:rPr>
          <w:i/>
          <w:iCs/>
          <w:lang w:eastAsia="lt-LT"/>
        </w:rPr>
        <w:t xml:space="preserve"> </w:t>
      </w:r>
      <w:r>
        <w:rPr>
          <w:lang w:eastAsia="lt-LT"/>
        </w:rPr>
        <w:t>iki</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sustabdymo.</w:t>
      </w:r>
      <w:r>
        <w:rPr>
          <w:i/>
          <w:iCs/>
          <w:lang w:eastAsia="lt-LT"/>
        </w:rPr>
        <w:t xml:space="preserve"> </w:t>
      </w:r>
      <w:r>
        <w:rPr>
          <w:lang w:eastAsia="lt-LT"/>
        </w:rPr>
        <w:t>Draudėjui</w:t>
      </w:r>
      <w:r>
        <w:rPr>
          <w:i/>
          <w:iCs/>
          <w:lang w:eastAsia="lt-LT"/>
        </w:rPr>
        <w:t xml:space="preserve"> </w:t>
      </w:r>
      <w:r>
        <w:rPr>
          <w:lang w:eastAsia="lt-LT"/>
        </w:rPr>
        <w:t>sumokėjus</w:t>
      </w:r>
      <w:r>
        <w:rPr>
          <w:i/>
          <w:iCs/>
          <w:lang w:eastAsia="lt-LT"/>
        </w:rPr>
        <w:t xml:space="preserve"> </w:t>
      </w:r>
      <w:r>
        <w:rPr>
          <w:lang w:eastAsia="lt-LT"/>
        </w:rPr>
        <w:t>draudimo</w:t>
      </w:r>
      <w:r>
        <w:rPr>
          <w:i/>
          <w:iCs/>
          <w:lang w:eastAsia="lt-LT"/>
        </w:rPr>
        <w:t xml:space="preserve"> </w:t>
      </w:r>
      <w:r>
        <w:rPr>
          <w:lang w:eastAsia="lt-LT"/>
        </w:rPr>
        <w:t>įmoką</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dalį</w:t>
      </w:r>
      <w:r>
        <w:rPr>
          <w:i/>
          <w:iCs/>
          <w:lang w:eastAsia="lt-LT"/>
        </w:rPr>
        <w:t xml:space="preserve"> </w:t>
      </w:r>
      <w:r>
        <w:rPr>
          <w:lang w:eastAsia="lt-LT"/>
        </w:rPr>
        <w:t>ir</w:t>
      </w:r>
      <w:r>
        <w:rPr>
          <w:i/>
          <w:iCs/>
          <w:lang w:eastAsia="lt-LT"/>
        </w:rPr>
        <w:t xml:space="preserve"> </w:t>
      </w:r>
      <w:r>
        <w:rPr>
          <w:lang w:eastAsia="lt-LT"/>
        </w:rPr>
        <w:t>atnaujinus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likusi</w:t>
      </w:r>
      <w:r>
        <w:rPr>
          <w:i/>
          <w:iCs/>
          <w:lang w:eastAsia="lt-LT"/>
        </w:rPr>
        <w:t xml:space="preserve"> </w:t>
      </w:r>
      <w:r>
        <w:rPr>
          <w:lang w:eastAsia="lt-LT"/>
        </w:rPr>
        <w:t>įmoka</w:t>
      </w:r>
      <w:r>
        <w:rPr>
          <w:i/>
          <w:iCs/>
          <w:lang w:eastAsia="lt-LT"/>
        </w:rPr>
        <w:t xml:space="preserve"> </w:t>
      </w:r>
      <w:r>
        <w:rPr>
          <w:lang w:eastAsia="lt-LT"/>
        </w:rPr>
        <w:t>arba</w:t>
      </w:r>
      <w:r>
        <w:rPr>
          <w:i/>
          <w:iCs/>
          <w:lang w:eastAsia="lt-LT"/>
        </w:rPr>
        <w:t xml:space="preserve"> </w:t>
      </w:r>
      <w:r>
        <w:rPr>
          <w:lang w:eastAsia="lt-LT"/>
        </w:rPr>
        <w:t>perskaičiuota</w:t>
      </w:r>
      <w:r>
        <w:rPr>
          <w:i/>
          <w:iCs/>
          <w:lang w:eastAsia="lt-LT"/>
        </w:rPr>
        <w:t xml:space="preserve"> </w:t>
      </w:r>
      <w:r>
        <w:rPr>
          <w:lang w:eastAsia="lt-LT"/>
        </w:rPr>
        <w:t>įmokos</w:t>
      </w:r>
      <w:r>
        <w:rPr>
          <w:i/>
          <w:iCs/>
          <w:lang w:eastAsia="lt-LT"/>
        </w:rPr>
        <w:t xml:space="preserve"> </w:t>
      </w:r>
      <w:r>
        <w:rPr>
          <w:lang w:eastAsia="lt-LT"/>
        </w:rPr>
        <w:t>dalis,</w:t>
      </w:r>
      <w:r>
        <w:rPr>
          <w:i/>
          <w:iCs/>
          <w:lang w:eastAsia="lt-LT"/>
        </w:rPr>
        <w:t xml:space="preserve"> </w:t>
      </w:r>
      <w:r>
        <w:rPr>
          <w:lang w:eastAsia="lt-LT"/>
        </w:rPr>
        <w:t>jei</w:t>
      </w:r>
      <w:r>
        <w:rPr>
          <w:i/>
          <w:iCs/>
          <w:lang w:eastAsia="lt-LT"/>
        </w:rPr>
        <w:t xml:space="preserve"> </w:t>
      </w:r>
      <w:r>
        <w:rPr>
          <w:lang w:eastAsia="lt-LT"/>
        </w:rPr>
        <w:t>atnaujinus</w:t>
      </w:r>
      <w:r>
        <w:rPr>
          <w:i/>
          <w:iCs/>
          <w:lang w:eastAsia="lt-LT"/>
        </w:rPr>
        <w:t xml:space="preserve"> </w:t>
      </w:r>
      <w:r>
        <w:rPr>
          <w:lang w:eastAsia="lt-LT"/>
        </w:rPr>
        <w:t>draudimo</w:t>
      </w:r>
      <w:r>
        <w:rPr>
          <w:i/>
          <w:iCs/>
          <w:lang w:eastAsia="lt-LT"/>
        </w:rPr>
        <w:t xml:space="preserve"> </w:t>
      </w:r>
      <w:r>
        <w:rPr>
          <w:lang w:eastAsia="lt-LT"/>
        </w:rPr>
        <w:t>apsaugą</w:t>
      </w:r>
      <w:r>
        <w:rPr>
          <w:i/>
          <w:iCs/>
          <w:lang w:eastAsia="lt-LT"/>
        </w:rPr>
        <w:t xml:space="preserve"> </w:t>
      </w:r>
      <w:r>
        <w:rPr>
          <w:lang w:eastAsia="lt-LT"/>
        </w:rPr>
        <w:t>buvo</w:t>
      </w:r>
      <w:r>
        <w:rPr>
          <w:i/>
          <w:iCs/>
          <w:lang w:eastAsia="lt-LT"/>
        </w:rPr>
        <w:t xml:space="preserve"> </w:t>
      </w:r>
      <w:r>
        <w:rPr>
          <w:lang w:eastAsia="lt-LT"/>
        </w:rPr>
        <w:t>peržiūrėtos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sąlygos</w:t>
      </w:r>
      <w:r>
        <w:rPr>
          <w:i/>
          <w:iCs/>
          <w:lang w:eastAsia="lt-LT"/>
        </w:rPr>
        <w:t xml:space="preserve"> </w:t>
      </w:r>
      <w:r>
        <w:rPr>
          <w:lang w:eastAsia="lt-LT"/>
        </w:rPr>
        <w:t>ir</w:t>
      </w:r>
      <w:r>
        <w:rPr>
          <w:i/>
          <w:iCs/>
          <w:lang w:eastAsia="lt-LT"/>
        </w:rPr>
        <w:t xml:space="preserve"> </w:t>
      </w:r>
      <w:r>
        <w:rPr>
          <w:lang w:eastAsia="lt-LT"/>
        </w:rPr>
        <w:t>ji</w:t>
      </w:r>
      <w:r>
        <w:rPr>
          <w:i/>
          <w:iCs/>
          <w:lang w:eastAsia="lt-LT"/>
        </w:rPr>
        <w:t xml:space="preserve"> </w:t>
      </w:r>
      <w:r>
        <w:rPr>
          <w:lang w:eastAsia="lt-LT"/>
        </w:rPr>
        <w:t>buvo</w:t>
      </w:r>
      <w:r>
        <w:rPr>
          <w:i/>
          <w:iCs/>
          <w:lang w:eastAsia="lt-LT"/>
        </w:rPr>
        <w:t xml:space="preserve"> </w:t>
      </w:r>
      <w:r>
        <w:rPr>
          <w:lang w:eastAsia="lt-LT"/>
        </w:rPr>
        <w:t>sumažinta,</w:t>
      </w:r>
      <w:r>
        <w:rPr>
          <w:i/>
          <w:iCs/>
          <w:lang w:eastAsia="lt-LT"/>
        </w:rPr>
        <w:t xml:space="preserve"> </w:t>
      </w:r>
      <w:r>
        <w:rPr>
          <w:lang w:eastAsia="lt-LT"/>
        </w:rPr>
        <w:t>uždirbtomis</w:t>
      </w:r>
      <w:r>
        <w:rPr>
          <w:i/>
          <w:iCs/>
          <w:lang w:eastAsia="lt-LT"/>
        </w:rPr>
        <w:t xml:space="preserve"> </w:t>
      </w:r>
      <w:r>
        <w:rPr>
          <w:lang w:eastAsia="lt-LT"/>
        </w:rPr>
        <w:t>pajamomis</w:t>
      </w:r>
      <w:r>
        <w:rPr>
          <w:i/>
          <w:iCs/>
          <w:lang w:eastAsia="lt-LT"/>
        </w:rPr>
        <w:t xml:space="preserve"> </w:t>
      </w:r>
      <w:r>
        <w:rPr>
          <w:lang w:eastAsia="lt-LT"/>
        </w:rPr>
        <w:t>pripažįstama</w:t>
      </w:r>
      <w:r>
        <w:rPr>
          <w:i/>
          <w:iCs/>
          <w:lang w:eastAsia="lt-LT"/>
        </w:rPr>
        <w:t xml:space="preserve"> </w:t>
      </w:r>
      <w:r>
        <w:rPr>
          <w:lang w:eastAsia="lt-LT"/>
        </w:rPr>
        <w:t>per</w:t>
      </w:r>
      <w:r>
        <w:rPr>
          <w:i/>
          <w:iCs/>
          <w:lang w:eastAsia="lt-LT"/>
        </w:rPr>
        <w:t xml:space="preserve"> </w:t>
      </w:r>
      <w:r>
        <w:rPr>
          <w:lang w:eastAsia="lt-LT"/>
        </w:rPr>
        <w:t>likusį</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ne</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sąlygas</w:t>
      </w:r>
      <w:r>
        <w:rPr>
          <w:i/>
          <w:iCs/>
          <w:lang w:eastAsia="lt-LT"/>
        </w:rPr>
        <w:t xml:space="preserve"> </w:t>
      </w:r>
      <w:r>
        <w:rPr>
          <w:lang w:eastAsia="lt-LT"/>
        </w:rPr>
        <w:t>draudimo</w:t>
      </w:r>
      <w:r>
        <w:rPr>
          <w:i/>
          <w:iCs/>
          <w:lang w:eastAsia="lt-LT"/>
        </w:rPr>
        <w:t xml:space="preserve"> </w:t>
      </w:r>
      <w:r>
        <w:rPr>
          <w:lang w:eastAsia="lt-LT"/>
        </w:rPr>
        <w:t>apsauga</w:t>
      </w:r>
      <w:r>
        <w:rPr>
          <w:i/>
          <w:iCs/>
          <w:lang w:eastAsia="lt-LT"/>
        </w:rPr>
        <w:t xml:space="preserve"> </w:t>
      </w:r>
      <w:r>
        <w:rPr>
          <w:lang w:eastAsia="lt-LT"/>
        </w:rPr>
        <w:t>galioja</w:t>
      </w:r>
      <w:r>
        <w:rPr>
          <w:i/>
          <w:iCs/>
          <w:lang w:eastAsia="lt-LT"/>
        </w:rPr>
        <w:t xml:space="preserve"> </w:t>
      </w:r>
      <w:r>
        <w:rPr>
          <w:lang w:eastAsia="lt-LT"/>
        </w:rPr>
        <w:t>(nestabdoma)</w:t>
      </w:r>
      <w:r>
        <w:rPr>
          <w:i/>
          <w:iCs/>
          <w:lang w:eastAsia="lt-LT"/>
        </w:rPr>
        <w:t xml:space="preserve"> </w:t>
      </w:r>
      <w:r>
        <w:rPr>
          <w:lang w:eastAsia="lt-LT"/>
        </w:rPr>
        <w:t>draudėjui</w:t>
      </w:r>
      <w:r>
        <w:rPr>
          <w:i/>
          <w:iCs/>
          <w:lang w:eastAsia="lt-LT"/>
        </w:rPr>
        <w:t xml:space="preserve"> </w:t>
      </w:r>
      <w:r>
        <w:rPr>
          <w:lang w:eastAsia="lt-LT"/>
        </w:rPr>
        <w:t>nesumokėjus</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dalies,</w:t>
      </w:r>
      <w:r>
        <w:rPr>
          <w:i/>
          <w:iCs/>
          <w:lang w:eastAsia="lt-LT"/>
        </w:rPr>
        <w:t xml:space="preserve"> </w:t>
      </w:r>
      <w:r>
        <w:rPr>
          <w:lang w:eastAsia="lt-LT"/>
        </w:rPr>
        <w:t>tai</w:t>
      </w:r>
      <w:r>
        <w:rPr>
          <w:i/>
          <w:iCs/>
          <w:lang w:eastAsia="lt-LT"/>
        </w:rPr>
        <w:t xml:space="preserve"> </w:t>
      </w:r>
      <w:r>
        <w:rPr>
          <w:lang w:eastAsia="lt-LT"/>
        </w:rPr>
        <w:t>nesumokėta</w:t>
      </w:r>
      <w:r>
        <w:rPr>
          <w:i/>
          <w:iCs/>
          <w:lang w:eastAsia="lt-LT"/>
        </w:rPr>
        <w:t xml:space="preserve"> </w:t>
      </w:r>
      <w:r>
        <w:rPr>
          <w:lang w:eastAsia="lt-LT"/>
        </w:rPr>
        <w:t>įmoka,</w:t>
      </w:r>
      <w:r>
        <w:rPr>
          <w:i/>
          <w:iCs/>
          <w:lang w:eastAsia="lt-LT"/>
        </w:rPr>
        <w:t xml:space="preserve"> </w:t>
      </w:r>
      <w:r>
        <w:rPr>
          <w:lang w:eastAsia="lt-LT"/>
        </w:rPr>
        <w:t>tenkanti</w:t>
      </w:r>
      <w:r>
        <w:rPr>
          <w:i/>
          <w:iCs/>
          <w:lang w:eastAsia="lt-LT"/>
        </w:rPr>
        <w:t xml:space="preserve"> </w:t>
      </w:r>
      <w:r>
        <w:rPr>
          <w:lang w:eastAsia="lt-LT"/>
        </w:rPr>
        <w:t>galiojusiam</w:t>
      </w:r>
      <w:r>
        <w:rPr>
          <w:i/>
          <w:iCs/>
          <w:lang w:eastAsia="lt-LT"/>
        </w:rPr>
        <w:t xml:space="preserve"> </w:t>
      </w:r>
      <w:r>
        <w:rPr>
          <w:lang w:eastAsia="lt-LT"/>
        </w:rPr>
        <w:t>draudimo</w:t>
      </w:r>
      <w:r>
        <w:rPr>
          <w:i/>
          <w:iCs/>
          <w:lang w:eastAsia="lt-LT"/>
        </w:rPr>
        <w:t xml:space="preserve"> </w:t>
      </w:r>
      <w:r>
        <w:rPr>
          <w:lang w:eastAsia="lt-LT"/>
        </w:rPr>
        <w:t>apsaugos</w:t>
      </w:r>
      <w:r>
        <w:rPr>
          <w:i/>
          <w:iCs/>
          <w:lang w:eastAsia="lt-LT"/>
        </w:rPr>
        <w:t xml:space="preserve"> </w:t>
      </w:r>
      <w:r>
        <w:rPr>
          <w:lang w:eastAsia="lt-LT"/>
        </w:rPr>
        <w:t>laikotarpiui,</w:t>
      </w:r>
      <w:r>
        <w:rPr>
          <w:i/>
          <w:iCs/>
          <w:lang w:eastAsia="lt-LT"/>
        </w:rPr>
        <w:t xml:space="preserve"> </w:t>
      </w:r>
      <w:r>
        <w:rPr>
          <w:lang w:eastAsia="lt-LT"/>
        </w:rPr>
        <w:t>pripažįstama</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uždirbtomis</w:t>
      </w:r>
      <w:r>
        <w:rPr>
          <w:i/>
          <w:iCs/>
          <w:lang w:eastAsia="lt-LT"/>
        </w:rPr>
        <w:t xml:space="preserve"> </w:t>
      </w:r>
      <w:r>
        <w:rPr>
          <w:lang w:eastAsia="lt-LT"/>
        </w:rPr>
        <w:t>pajamomis.</w:t>
      </w:r>
    </w:p>
    <w:p w14:paraId="71B9EC4C" w14:textId="77777777" w:rsidR="00093845" w:rsidRDefault="000D779E">
      <w:pPr>
        <w:spacing w:before="100" w:beforeAutospacing="1" w:after="100" w:afterAutospacing="1"/>
        <w:jc w:val="both"/>
        <w:rPr>
          <w:lang w:eastAsia="lt-LT"/>
        </w:rPr>
      </w:pPr>
      <w:r>
        <w:rPr>
          <w:lang w:eastAsia="lt-LT"/>
        </w:rPr>
        <w:lastRenderedPageBreak/>
        <w:t xml:space="preserve">      Draudimo</w:t>
      </w:r>
      <w:r>
        <w:rPr>
          <w:i/>
          <w:iCs/>
          <w:lang w:eastAsia="lt-LT"/>
        </w:rPr>
        <w:t xml:space="preserve"> </w:t>
      </w:r>
      <w:r>
        <w:rPr>
          <w:lang w:eastAsia="lt-LT"/>
        </w:rPr>
        <w:t>įmonės</w:t>
      </w:r>
      <w:r>
        <w:rPr>
          <w:i/>
          <w:iCs/>
          <w:lang w:eastAsia="lt-LT"/>
        </w:rPr>
        <w:t xml:space="preserve"> </w:t>
      </w:r>
      <w:r>
        <w:rPr>
          <w:lang w:eastAsia="lt-LT"/>
        </w:rPr>
        <w:t>pajamomis</w:t>
      </w:r>
      <w:r>
        <w:rPr>
          <w:i/>
          <w:iCs/>
          <w:lang w:eastAsia="lt-LT"/>
        </w:rPr>
        <w:t xml:space="preserve"> </w:t>
      </w:r>
      <w:r>
        <w:rPr>
          <w:lang w:eastAsia="lt-LT"/>
        </w:rPr>
        <w:t>pagal</w:t>
      </w:r>
      <w:r>
        <w:rPr>
          <w:i/>
          <w:iCs/>
          <w:lang w:eastAsia="lt-LT"/>
        </w:rPr>
        <w:t xml:space="preserve"> </w:t>
      </w:r>
      <w:r>
        <w:rPr>
          <w:lang w:eastAsia="lt-LT"/>
        </w:rPr>
        <w:t>nutrūkusias</w:t>
      </w:r>
      <w:r>
        <w:rPr>
          <w:i/>
          <w:iCs/>
          <w:lang w:eastAsia="lt-LT"/>
        </w:rPr>
        <w:t xml:space="preserve"> </w:t>
      </w:r>
      <w:r>
        <w:rPr>
          <w:lang w:eastAsia="lt-LT"/>
        </w:rPr>
        <w:t>ar</w:t>
      </w:r>
      <w:r>
        <w:rPr>
          <w:i/>
          <w:iCs/>
          <w:lang w:eastAsia="lt-LT"/>
        </w:rPr>
        <w:t xml:space="preserve"> </w:t>
      </w:r>
      <w:r>
        <w:rPr>
          <w:lang w:eastAsia="lt-LT"/>
        </w:rPr>
        <w:t>pasibaigusias</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sutartis</w:t>
      </w:r>
      <w:r>
        <w:rPr>
          <w:i/>
          <w:iCs/>
          <w:lang w:eastAsia="lt-LT"/>
        </w:rPr>
        <w:t xml:space="preserve"> </w:t>
      </w:r>
      <w:r>
        <w:rPr>
          <w:lang w:eastAsia="lt-LT"/>
        </w:rPr>
        <w:t>pripažįstama</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įmoka</w:t>
      </w:r>
      <w:r>
        <w:rPr>
          <w:i/>
          <w:iCs/>
          <w:lang w:eastAsia="lt-LT"/>
        </w:rPr>
        <w:t xml:space="preserve"> </w:t>
      </w:r>
      <w:r>
        <w:rPr>
          <w:lang w:eastAsia="lt-LT"/>
        </w:rPr>
        <w:t>uždirbta</w:t>
      </w:r>
      <w:r>
        <w:rPr>
          <w:i/>
          <w:iCs/>
          <w:lang w:eastAsia="lt-LT"/>
        </w:rPr>
        <w:t xml:space="preserve"> </w:t>
      </w:r>
      <w:r>
        <w:rPr>
          <w:lang w:eastAsia="lt-LT"/>
        </w:rPr>
        <w:t>per</w:t>
      </w:r>
      <w:r>
        <w:rPr>
          <w:i/>
          <w:iCs/>
          <w:lang w:eastAsia="lt-LT"/>
        </w:rPr>
        <w:t xml:space="preserve"> </w:t>
      </w:r>
      <w:r>
        <w:rPr>
          <w:lang w:eastAsia="lt-LT"/>
        </w:rPr>
        <w:t>apsaugos</w:t>
      </w:r>
      <w:r>
        <w:rPr>
          <w:i/>
          <w:iCs/>
          <w:lang w:eastAsia="lt-LT"/>
        </w:rPr>
        <w:t xml:space="preserve"> </w:t>
      </w:r>
      <w:r>
        <w:rPr>
          <w:lang w:eastAsia="lt-LT"/>
        </w:rPr>
        <w:t>galiojimo</w:t>
      </w:r>
      <w:r>
        <w:rPr>
          <w:i/>
          <w:iCs/>
          <w:lang w:eastAsia="lt-LT"/>
        </w:rPr>
        <w:t xml:space="preserve"> </w:t>
      </w:r>
      <w:r>
        <w:rPr>
          <w:lang w:eastAsia="lt-LT"/>
        </w:rPr>
        <w:t>laikotarpį,</w:t>
      </w:r>
      <w:r>
        <w:rPr>
          <w:i/>
          <w:iCs/>
          <w:lang w:eastAsia="lt-LT"/>
        </w:rPr>
        <w:t xml:space="preserve"> </w:t>
      </w:r>
      <w:r>
        <w:rPr>
          <w:lang w:eastAsia="lt-LT"/>
        </w:rPr>
        <w:t>nepriklausomai</w:t>
      </w:r>
      <w:r>
        <w:rPr>
          <w:i/>
          <w:iCs/>
          <w:lang w:eastAsia="lt-LT"/>
        </w:rPr>
        <w:t xml:space="preserve"> </w:t>
      </w:r>
      <w:r>
        <w:rPr>
          <w:lang w:eastAsia="lt-LT"/>
        </w:rPr>
        <w:t>ar</w:t>
      </w:r>
      <w:r>
        <w:rPr>
          <w:i/>
          <w:iCs/>
          <w:lang w:eastAsia="lt-LT"/>
        </w:rPr>
        <w:t xml:space="preserve"> </w:t>
      </w:r>
      <w:r>
        <w:rPr>
          <w:lang w:eastAsia="lt-LT"/>
        </w:rPr>
        <w:t>draudimo</w:t>
      </w:r>
      <w:r>
        <w:rPr>
          <w:i/>
          <w:iCs/>
          <w:lang w:eastAsia="lt-LT"/>
        </w:rPr>
        <w:t xml:space="preserve"> </w:t>
      </w:r>
      <w:r>
        <w:rPr>
          <w:lang w:eastAsia="lt-LT"/>
        </w:rPr>
        <w:t>(perdraudimo)</w:t>
      </w:r>
      <w:r>
        <w:rPr>
          <w:i/>
          <w:iCs/>
          <w:lang w:eastAsia="lt-LT"/>
        </w:rPr>
        <w:t xml:space="preserve"> </w:t>
      </w:r>
      <w:r>
        <w:rPr>
          <w:lang w:eastAsia="lt-LT"/>
        </w:rPr>
        <w:t>įmoka</w:t>
      </w:r>
      <w:r>
        <w:rPr>
          <w:i/>
          <w:iCs/>
          <w:lang w:eastAsia="lt-LT"/>
        </w:rPr>
        <w:t xml:space="preserve"> </w:t>
      </w:r>
      <w:r>
        <w:rPr>
          <w:lang w:eastAsia="lt-LT"/>
        </w:rPr>
        <w:t>buvo</w:t>
      </w:r>
      <w:r>
        <w:rPr>
          <w:i/>
          <w:iCs/>
          <w:lang w:eastAsia="lt-LT"/>
        </w:rPr>
        <w:t xml:space="preserve"> </w:t>
      </w:r>
      <w:r>
        <w:rPr>
          <w:lang w:eastAsia="lt-LT"/>
        </w:rPr>
        <w:t>sumokėta</w:t>
      </w:r>
      <w:r>
        <w:rPr>
          <w:i/>
          <w:iCs/>
          <w:lang w:eastAsia="lt-LT"/>
        </w:rPr>
        <w:t xml:space="preserve"> </w:t>
      </w:r>
      <w:r>
        <w:rPr>
          <w:lang w:eastAsia="lt-LT"/>
        </w:rPr>
        <w:t>ar</w:t>
      </w:r>
      <w:r>
        <w:rPr>
          <w:i/>
          <w:iCs/>
          <w:lang w:eastAsia="lt-LT"/>
        </w:rPr>
        <w:t xml:space="preserve"> </w:t>
      </w:r>
      <w:r>
        <w:rPr>
          <w:lang w:eastAsia="lt-LT"/>
        </w:rPr>
        <w:t>ne.</w:t>
      </w:r>
      <w:r>
        <w:rPr>
          <w:i/>
          <w:iCs/>
          <w:lang w:eastAsia="lt-LT"/>
        </w:rPr>
        <w:t xml:space="preserve"> </w:t>
      </w:r>
    </w:p>
    <w:p w14:paraId="04AB268F" w14:textId="77777777" w:rsidR="00093845" w:rsidRDefault="000D779E">
      <w:pPr>
        <w:spacing w:before="100" w:beforeAutospacing="1" w:after="100" w:afterAutospacing="1"/>
        <w:jc w:val="both"/>
        <w:rPr>
          <w:lang w:eastAsia="lt-LT"/>
        </w:rPr>
      </w:pPr>
      <w:r>
        <w:rPr>
          <w:lang w:eastAsia="lt-LT"/>
        </w:rPr>
        <w:t xml:space="preserve">     Abejotinos</w:t>
      </w:r>
      <w:r>
        <w:rPr>
          <w:i/>
          <w:iCs/>
          <w:lang w:eastAsia="lt-LT"/>
        </w:rPr>
        <w:t xml:space="preserve"> </w:t>
      </w:r>
      <w:r>
        <w:rPr>
          <w:lang w:eastAsia="lt-LT"/>
        </w:rPr>
        <w:t>pasirašytos</w:t>
      </w:r>
      <w:r>
        <w:rPr>
          <w:i/>
          <w:iCs/>
          <w:lang w:eastAsia="lt-LT"/>
        </w:rPr>
        <w:t xml:space="preserve"> </w:t>
      </w:r>
      <w:r>
        <w:rPr>
          <w:lang w:eastAsia="lt-LT"/>
        </w:rPr>
        <w:t>įmokos,</w:t>
      </w:r>
      <w:r>
        <w:rPr>
          <w:i/>
          <w:iCs/>
          <w:lang w:eastAsia="lt-LT"/>
        </w:rPr>
        <w:t xml:space="preserve"> </w:t>
      </w:r>
      <w:r>
        <w:rPr>
          <w:lang w:eastAsia="lt-LT"/>
        </w:rPr>
        <w:t>apskaičiuotos</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pastoviai</w:t>
      </w:r>
      <w:r>
        <w:rPr>
          <w:i/>
          <w:iCs/>
          <w:lang w:eastAsia="lt-LT"/>
        </w:rPr>
        <w:t xml:space="preserve"> </w:t>
      </w:r>
      <w:r>
        <w:rPr>
          <w:lang w:eastAsia="lt-LT"/>
        </w:rPr>
        <w:t>taikomą</w:t>
      </w:r>
      <w:r>
        <w:rPr>
          <w:i/>
          <w:iCs/>
          <w:lang w:eastAsia="lt-LT"/>
        </w:rPr>
        <w:t xml:space="preserve"> </w:t>
      </w:r>
      <w:r>
        <w:rPr>
          <w:lang w:eastAsia="lt-LT"/>
        </w:rPr>
        <w:t>pasitvirtintą</w:t>
      </w:r>
      <w:r>
        <w:rPr>
          <w:i/>
          <w:iCs/>
          <w:lang w:eastAsia="lt-LT"/>
        </w:rPr>
        <w:t xml:space="preserve"> </w:t>
      </w:r>
      <w:r>
        <w:rPr>
          <w:lang w:eastAsia="lt-LT"/>
        </w:rPr>
        <w:t>abejotinų</w:t>
      </w:r>
      <w:r>
        <w:rPr>
          <w:i/>
          <w:iCs/>
          <w:lang w:eastAsia="lt-LT"/>
        </w:rPr>
        <w:t xml:space="preserve"> </w:t>
      </w:r>
      <w:r>
        <w:rPr>
          <w:lang w:eastAsia="lt-LT"/>
        </w:rPr>
        <w:t>pasirašytų</w:t>
      </w:r>
      <w:r>
        <w:rPr>
          <w:i/>
          <w:iCs/>
          <w:lang w:eastAsia="lt-LT"/>
        </w:rPr>
        <w:t xml:space="preserve"> </w:t>
      </w:r>
      <w:r>
        <w:rPr>
          <w:lang w:eastAsia="lt-LT"/>
        </w:rPr>
        <w:t>įmokų</w:t>
      </w:r>
      <w:r>
        <w:rPr>
          <w:i/>
          <w:iCs/>
          <w:lang w:eastAsia="lt-LT"/>
        </w:rPr>
        <w:t xml:space="preserve"> </w:t>
      </w:r>
      <w:r>
        <w:rPr>
          <w:lang w:eastAsia="lt-LT"/>
        </w:rPr>
        <w:t>vertinimo</w:t>
      </w:r>
      <w:r>
        <w:rPr>
          <w:i/>
          <w:iCs/>
          <w:lang w:eastAsia="lt-LT"/>
        </w:rPr>
        <w:t xml:space="preserve"> </w:t>
      </w:r>
      <w:r>
        <w:rPr>
          <w:lang w:eastAsia="lt-LT"/>
        </w:rPr>
        <w:t>metodiką,</w:t>
      </w:r>
      <w:r>
        <w:rPr>
          <w:i/>
          <w:iCs/>
          <w:lang w:eastAsia="lt-LT"/>
        </w:rPr>
        <w:t xml:space="preserve"> </w:t>
      </w:r>
      <w:r>
        <w:rPr>
          <w:lang w:eastAsia="lt-LT"/>
        </w:rPr>
        <w:t>priskirtinos</w:t>
      </w:r>
      <w:r>
        <w:rPr>
          <w:i/>
          <w:iCs/>
          <w:lang w:eastAsia="lt-LT"/>
        </w:rPr>
        <w:t xml:space="preserve"> </w:t>
      </w:r>
      <w:r>
        <w:rPr>
          <w:lang w:eastAsia="lt-LT"/>
        </w:rPr>
        <w:t>tam</w:t>
      </w:r>
      <w:r>
        <w:rPr>
          <w:i/>
          <w:iCs/>
          <w:lang w:eastAsia="lt-LT"/>
        </w:rPr>
        <w:t xml:space="preserve"> </w:t>
      </w:r>
      <w:r>
        <w:rPr>
          <w:lang w:eastAsia="lt-LT"/>
        </w:rPr>
        <w:t>mokestiniam</w:t>
      </w:r>
      <w:r>
        <w:rPr>
          <w:i/>
          <w:iCs/>
          <w:lang w:eastAsia="lt-LT"/>
        </w:rPr>
        <w:t xml:space="preserve"> </w:t>
      </w:r>
      <w:r>
        <w:rPr>
          <w:lang w:eastAsia="lt-LT"/>
        </w:rPr>
        <w:t>laikotarpiui,</w:t>
      </w:r>
      <w:r>
        <w:rPr>
          <w:i/>
          <w:iCs/>
          <w:lang w:eastAsia="lt-LT"/>
        </w:rPr>
        <w:t xml:space="preserve"> </w:t>
      </w:r>
      <w:r>
        <w:rPr>
          <w:lang w:eastAsia="lt-LT"/>
        </w:rPr>
        <w:t>per</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suteiktos</w:t>
      </w:r>
      <w:r>
        <w:rPr>
          <w:i/>
          <w:iCs/>
          <w:lang w:eastAsia="lt-LT"/>
        </w:rPr>
        <w:t xml:space="preserve"> </w:t>
      </w:r>
      <w:r>
        <w:rPr>
          <w:lang w:eastAsia="lt-LT"/>
        </w:rPr>
        <w:t>draudimo</w:t>
      </w:r>
      <w:r>
        <w:rPr>
          <w:i/>
          <w:iCs/>
          <w:lang w:eastAsia="lt-LT"/>
        </w:rPr>
        <w:t xml:space="preserve"> </w:t>
      </w:r>
      <w:r>
        <w:rPr>
          <w:lang w:eastAsia="lt-LT"/>
        </w:rPr>
        <w:t>paslaugos,</w:t>
      </w:r>
      <w:r>
        <w:rPr>
          <w:i/>
          <w:iCs/>
          <w:lang w:eastAsia="lt-LT"/>
        </w:rPr>
        <w:t xml:space="preserve"> </w:t>
      </w:r>
      <w:r>
        <w:rPr>
          <w:lang w:eastAsia="lt-LT"/>
        </w:rPr>
        <w:t>apskaičiuojant</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nemažina</w:t>
      </w:r>
      <w:r>
        <w:rPr>
          <w:i/>
          <w:iCs/>
          <w:lang w:eastAsia="lt-LT"/>
        </w:rPr>
        <w:t xml:space="preserve"> </w:t>
      </w:r>
      <w:r>
        <w:rPr>
          <w:lang w:eastAsia="lt-LT"/>
        </w:rPr>
        <w:t>draudimo</w:t>
      </w:r>
      <w:r>
        <w:rPr>
          <w:i/>
          <w:iCs/>
          <w:lang w:eastAsia="lt-LT"/>
        </w:rPr>
        <w:t xml:space="preserve"> </w:t>
      </w:r>
      <w:r>
        <w:rPr>
          <w:lang w:eastAsia="lt-LT"/>
        </w:rPr>
        <w:t>įmonės</w:t>
      </w:r>
      <w:r>
        <w:rPr>
          <w:i/>
          <w:iCs/>
          <w:lang w:eastAsia="lt-LT"/>
        </w:rPr>
        <w:t xml:space="preserve"> </w:t>
      </w:r>
      <w:r>
        <w:rPr>
          <w:lang w:eastAsia="lt-LT"/>
        </w:rPr>
        <w:t>uždirbtų</w:t>
      </w:r>
      <w:r>
        <w:rPr>
          <w:i/>
          <w:iCs/>
          <w:lang w:eastAsia="lt-LT"/>
        </w:rPr>
        <w:t xml:space="preserve"> </w:t>
      </w:r>
      <w:r>
        <w:rPr>
          <w:lang w:eastAsia="lt-LT"/>
        </w:rPr>
        <w:t>pajamų.</w:t>
      </w:r>
    </w:p>
    <w:p w14:paraId="34F2F4AC" w14:textId="77777777" w:rsidR="00093845" w:rsidRDefault="000D779E">
      <w:pPr>
        <w:spacing w:before="100" w:beforeAutospacing="1" w:after="100" w:afterAutospacing="1"/>
        <w:jc w:val="both"/>
        <w:rPr>
          <w:lang w:eastAsia="lt-LT"/>
        </w:rPr>
      </w:pPr>
      <w:r>
        <w:rPr>
          <w:lang w:eastAsia="lt-LT"/>
        </w:rPr>
        <w:t xml:space="preserve">     19.2.</w:t>
      </w:r>
      <w:r>
        <w:rPr>
          <w:i/>
          <w:iCs/>
          <w:lang w:eastAsia="lt-LT"/>
        </w:rPr>
        <w:t xml:space="preserve"> </w:t>
      </w:r>
      <w:r>
        <w:rPr>
          <w:lang w:eastAsia="lt-LT"/>
        </w:rPr>
        <w:t>Draudimo</w:t>
      </w:r>
      <w:r>
        <w:rPr>
          <w:i/>
          <w:iCs/>
          <w:lang w:eastAsia="lt-LT"/>
        </w:rPr>
        <w:t xml:space="preserve"> </w:t>
      </w:r>
      <w:r>
        <w:rPr>
          <w:lang w:eastAsia="lt-LT"/>
        </w:rPr>
        <w:t>tarpininkų</w:t>
      </w:r>
      <w:r>
        <w:rPr>
          <w:i/>
          <w:iCs/>
          <w:lang w:eastAsia="lt-LT"/>
        </w:rPr>
        <w:t xml:space="preserve"> </w:t>
      </w:r>
      <w:r>
        <w:rPr>
          <w:lang w:eastAsia="lt-LT"/>
        </w:rPr>
        <w:t>(brokerių),</w:t>
      </w:r>
      <w:r>
        <w:rPr>
          <w:i/>
          <w:iCs/>
          <w:lang w:eastAsia="lt-LT"/>
        </w:rPr>
        <w:t xml:space="preserve"> </w:t>
      </w:r>
      <w:r>
        <w:rPr>
          <w:lang w:eastAsia="lt-LT"/>
        </w:rPr>
        <w:t>vykdančių</w:t>
      </w:r>
      <w:r>
        <w:rPr>
          <w:i/>
          <w:iCs/>
          <w:lang w:eastAsia="lt-LT"/>
        </w:rPr>
        <w:t xml:space="preserve"> </w:t>
      </w:r>
      <w:r>
        <w:rPr>
          <w:lang w:eastAsia="lt-LT"/>
        </w:rPr>
        <w:t>tarpininkavimo</w:t>
      </w:r>
      <w:r>
        <w:rPr>
          <w:i/>
          <w:iCs/>
          <w:lang w:eastAsia="lt-LT"/>
        </w:rPr>
        <w:t xml:space="preserve"> </w:t>
      </w:r>
      <w:r>
        <w:rPr>
          <w:lang w:eastAsia="lt-LT"/>
        </w:rPr>
        <w:t>veiklą</w:t>
      </w:r>
      <w:r>
        <w:rPr>
          <w:i/>
          <w:iCs/>
          <w:lang w:eastAsia="lt-LT"/>
        </w:rPr>
        <w:t xml:space="preserve"> </w:t>
      </w:r>
      <w:r>
        <w:rPr>
          <w:lang w:eastAsia="lt-LT"/>
        </w:rPr>
        <w:t>tarp</w:t>
      </w:r>
      <w:r>
        <w:rPr>
          <w:i/>
          <w:iCs/>
          <w:lang w:eastAsia="lt-LT"/>
        </w:rPr>
        <w:t xml:space="preserve"> </w:t>
      </w:r>
      <w:r>
        <w:rPr>
          <w:lang w:eastAsia="lt-LT"/>
        </w:rPr>
        <w:t>draudiko</w:t>
      </w:r>
      <w:r>
        <w:rPr>
          <w:i/>
          <w:iCs/>
          <w:lang w:eastAsia="lt-LT"/>
        </w:rPr>
        <w:t xml:space="preserve"> </w:t>
      </w:r>
      <w:r>
        <w:rPr>
          <w:lang w:eastAsia="lt-LT"/>
        </w:rPr>
        <w:t>ir</w:t>
      </w:r>
      <w:r>
        <w:rPr>
          <w:i/>
          <w:iCs/>
          <w:lang w:eastAsia="lt-LT"/>
        </w:rPr>
        <w:t xml:space="preserve"> </w:t>
      </w:r>
      <w:r>
        <w:rPr>
          <w:lang w:eastAsia="lt-LT"/>
        </w:rPr>
        <w:t>draudėjo,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sutartyse</w:t>
      </w:r>
      <w:r>
        <w:rPr>
          <w:i/>
          <w:iCs/>
          <w:lang w:eastAsia="lt-LT"/>
        </w:rPr>
        <w:t xml:space="preserve"> </w:t>
      </w:r>
      <w:r>
        <w:rPr>
          <w:lang w:eastAsia="lt-LT"/>
        </w:rPr>
        <w:t>su</w:t>
      </w:r>
      <w:r>
        <w:rPr>
          <w:i/>
          <w:iCs/>
          <w:lang w:eastAsia="lt-LT"/>
        </w:rPr>
        <w:t xml:space="preserve"> </w:t>
      </w:r>
      <w:r>
        <w:rPr>
          <w:lang w:eastAsia="lt-LT"/>
        </w:rPr>
        <w:t>draudiku</w:t>
      </w:r>
      <w:r>
        <w:rPr>
          <w:i/>
          <w:iCs/>
          <w:lang w:eastAsia="lt-LT"/>
        </w:rPr>
        <w:t xml:space="preserve"> </w:t>
      </w:r>
      <w:r>
        <w:rPr>
          <w:lang w:eastAsia="lt-LT"/>
        </w:rPr>
        <w:t>nustatytas</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(procentas</w:t>
      </w:r>
      <w:r>
        <w:rPr>
          <w:i/>
          <w:iCs/>
          <w:lang w:eastAsia="lt-LT"/>
        </w:rPr>
        <w:t xml:space="preserve"> </w:t>
      </w:r>
      <w:r>
        <w:rPr>
          <w:lang w:eastAsia="lt-LT"/>
        </w:rPr>
        <w:t>nuo</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arba</w:t>
      </w:r>
      <w:r>
        <w:rPr>
          <w:i/>
          <w:iCs/>
          <w:lang w:eastAsia="lt-LT"/>
        </w:rPr>
        <w:t xml:space="preserve"> </w:t>
      </w:r>
      <w:r>
        <w:rPr>
          <w:lang w:eastAsia="lt-LT"/>
        </w:rPr>
        <w:t>fiksuota</w:t>
      </w:r>
      <w:r>
        <w:rPr>
          <w:i/>
          <w:iCs/>
          <w:lang w:eastAsia="lt-LT"/>
        </w:rPr>
        <w:t xml:space="preserve"> </w:t>
      </w:r>
      <w:r>
        <w:rPr>
          <w:lang w:eastAsia="lt-LT"/>
        </w:rPr>
        <w:t>atlyginimo</w:t>
      </w:r>
      <w:r>
        <w:rPr>
          <w:i/>
          <w:iCs/>
          <w:lang w:eastAsia="lt-LT"/>
        </w:rPr>
        <w:t xml:space="preserve"> </w:t>
      </w:r>
      <w:r>
        <w:rPr>
          <w:lang w:eastAsia="lt-LT"/>
        </w:rPr>
        <w:t>suma).</w:t>
      </w:r>
    </w:p>
    <w:p w14:paraId="67A13137" w14:textId="77777777" w:rsidR="00093845" w:rsidRDefault="000D779E">
      <w:pPr>
        <w:spacing w:before="100" w:beforeAutospacing="1" w:after="100" w:afterAutospacing="1"/>
        <w:jc w:val="both"/>
        <w:rPr>
          <w:lang w:eastAsia="lt-LT"/>
        </w:rPr>
      </w:pPr>
      <w:r>
        <w:rPr>
          <w:lang w:eastAsia="lt-LT"/>
        </w:rPr>
        <w:t xml:space="preserve">     19.3.</w:t>
      </w:r>
      <w:r>
        <w:rPr>
          <w:i/>
          <w:iCs/>
          <w:lang w:eastAsia="lt-LT"/>
        </w:rPr>
        <w:t xml:space="preserve"> </w:t>
      </w:r>
      <w:r>
        <w:rPr>
          <w:lang w:eastAsia="lt-LT"/>
        </w:rPr>
        <w:t>Jeigu</w:t>
      </w:r>
      <w:r>
        <w:rPr>
          <w:i/>
          <w:iCs/>
          <w:lang w:eastAsia="lt-LT"/>
        </w:rPr>
        <w:t xml:space="preserve"> </w:t>
      </w:r>
      <w:r>
        <w:rPr>
          <w:lang w:eastAsia="lt-LT"/>
        </w:rPr>
        <w:t>vienetas</w:t>
      </w:r>
      <w:r>
        <w:rPr>
          <w:i/>
          <w:iCs/>
          <w:lang w:eastAsia="lt-LT"/>
        </w:rPr>
        <w:t xml:space="preserve"> </w:t>
      </w:r>
      <w:r>
        <w:rPr>
          <w:lang w:eastAsia="lt-LT"/>
        </w:rPr>
        <w:t>veikia</w:t>
      </w:r>
      <w:r>
        <w:rPr>
          <w:i/>
          <w:iCs/>
          <w:lang w:eastAsia="lt-LT"/>
        </w:rPr>
        <w:t xml:space="preserve"> </w:t>
      </w:r>
      <w:r>
        <w:rPr>
          <w:lang w:eastAsia="lt-LT"/>
        </w:rPr>
        <w:t>kaip</w:t>
      </w:r>
      <w:r>
        <w:rPr>
          <w:i/>
          <w:iCs/>
          <w:lang w:eastAsia="lt-LT"/>
        </w:rPr>
        <w:t xml:space="preserve"> </w:t>
      </w:r>
      <w:r>
        <w:rPr>
          <w:lang w:eastAsia="lt-LT"/>
        </w:rPr>
        <w:t>komisionierius,</w:t>
      </w:r>
      <w:r>
        <w:rPr>
          <w:i/>
          <w:iCs/>
          <w:lang w:eastAsia="lt-LT"/>
        </w:rPr>
        <w:t xml:space="preserve"> </w:t>
      </w:r>
      <w:r>
        <w:rPr>
          <w:lang w:eastAsia="lt-LT"/>
        </w:rPr>
        <w:t>tai</w:t>
      </w:r>
      <w:r>
        <w:rPr>
          <w:i/>
          <w:iCs/>
          <w:lang w:eastAsia="lt-LT"/>
        </w:rPr>
        <w:t xml:space="preserve"> </w:t>
      </w:r>
      <w:r>
        <w:rPr>
          <w:lang w:eastAsia="lt-LT"/>
        </w:rPr>
        <w:t>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suteiktų</w:t>
      </w:r>
      <w:r>
        <w:rPr>
          <w:i/>
          <w:iCs/>
          <w:lang w:eastAsia="lt-LT"/>
        </w:rPr>
        <w:t xml:space="preserve"> </w:t>
      </w:r>
      <w:r>
        <w:rPr>
          <w:lang w:eastAsia="lt-LT"/>
        </w:rPr>
        <w:t>paslaugų</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nustatytas</w:t>
      </w:r>
      <w:r>
        <w:rPr>
          <w:i/>
          <w:iCs/>
          <w:lang w:eastAsia="lt-LT"/>
        </w:rPr>
        <w:t xml:space="preserve"> </w:t>
      </w:r>
      <w:r>
        <w:rPr>
          <w:lang w:eastAsia="lt-LT"/>
        </w:rPr>
        <w:t>sutartyse</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nurodytas</w:t>
      </w:r>
      <w:r>
        <w:rPr>
          <w:i/>
          <w:iCs/>
          <w:lang w:eastAsia="lt-LT"/>
        </w:rPr>
        <w:t xml:space="preserve"> </w:t>
      </w:r>
      <w:r>
        <w:rPr>
          <w:lang w:eastAsia="lt-LT"/>
        </w:rPr>
        <w:t>apskaitos</w:t>
      </w:r>
      <w:r>
        <w:rPr>
          <w:i/>
          <w:iCs/>
          <w:lang w:eastAsia="lt-LT"/>
        </w:rPr>
        <w:t xml:space="preserve"> </w:t>
      </w:r>
      <w:r>
        <w:rPr>
          <w:lang w:eastAsia="lt-LT"/>
        </w:rPr>
        <w:t>dokumente.</w:t>
      </w:r>
      <w:r>
        <w:rPr>
          <w:i/>
          <w:iCs/>
          <w:lang w:eastAsia="lt-LT"/>
        </w:rPr>
        <w:t xml:space="preserve"> </w:t>
      </w:r>
      <w:r>
        <w:rPr>
          <w:lang w:eastAsia="lt-LT"/>
        </w:rPr>
        <w:t>Civilinio</w:t>
      </w:r>
      <w:r>
        <w:rPr>
          <w:i/>
          <w:iCs/>
          <w:lang w:eastAsia="lt-LT"/>
        </w:rPr>
        <w:t xml:space="preserve"> </w:t>
      </w:r>
      <w:r>
        <w:rPr>
          <w:lang w:eastAsia="lt-LT"/>
        </w:rPr>
        <w:t>kodekso</w:t>
      </w:r>
      <w:r>
        <w:rPr>
          <w:i/>
          <w:iCs/>
          <w:lang w:eastAsia="lt-LT"/>
        </w:rPr>
        <w:t xml:space="preserve"> </w:t>
      </w:r>
      <w:r>
        <w:rPr>
          <w:lang w:eastAsia="lt-LT"/>
        </w:rPr>
        <w:t>6.780</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komiso</w:t>
      </w:r>
      <w:r>
        <w:rPr>
          <w:i/>
          <w:iCs/>
          <w:lang w:eastAsia="lt-LT"/>
        </w:rPr>
        <w:t xml:space="preserve"> </w:t>
      </w:r>
      <w:r>
        <w:rPr>
          <w:lang w:eastAsia="lt-LT"/>
        </w:rPr>
        <w:t>sutartimi</w:t>
      </w:r>
      <w:r>
        <w:rPr>
          <w:i/>
          <w:iCs/>
          <w:lang w:eastAsia="lt-LT"/>
        </w:rPr>
        <w:t xml:space="preserve"> </w:t>
      </w:r>
      <w:r>
        <w:rPr>
          <w:lang w:eastAsia="lt-LT"/>
        </w:rPr>
        <w:t>viena</w:t>
      </w:r>
      <w:r>
        <w:rPr>
          <w:i/>
          <w:iCs/>
          <w:lang w:eastAsia="lt-LT"/>
        </w:rPr>
        <w:t xml:space="preserve"> </w:t>
      </w:r>
      <w:r>
        <w:rPr>
          <w:lang w:eastAsia="lt-LT"/>
        </w:rPr>
        <w:t>šalis</w:t>
      </w:r>
      <w:r>
        <w:rPr>
          <w:i/>
          <w:iCs/>
          <w:lang w:eastAsia="lt-LT"/>
        </w:rPr>
        <w:t xml:space="preserve"> </w:t>
      </w:r>
      <w:r>
        <w:rPr>
          <w:lang w:eastAsia="lt-LT"/>
        </w:rPr>
        <w:t>(komisionierius)</w:t>
      </w:r>
      <w:r>
        <w:rPr>
          <w:i/>
          <w:iCs/>
          <w:lang w:eastAsia="lt-LT"/>
        </w:rPr>
        <w:t xml:space="preserve"> </w:t>
      </w:r>
      <w:r>
        <w:rPr>
          <w:lang w:eastAsia="lt-LT"/>
        </w:rPr>
        <w:t>įsipareigoja</w:t>
      </w:r>
      <w:r>
        <w:rPr>
          <w:i/>
          <w:iCs/>
          <w:lang w:eastAsia="lt-LT"/>
        </w:rPr>
        <w:t xml:space="preserve"> </w:t>
      </w:r>
      <w:r>
        <w:rPr>
          <w:lang w:eastAsia="lt-LT"/>
        </w:rPr>
        <w:t>kitos</w:t>
      </w:r>
      <w:r>
        <w:rPr>
          <w:i/>
          <w:iCs/>
          <w:lang w:eastAsia="lt-LT"/>
        </w:rPr>
        <w:t xml:space="preserve"> </w:t>
      </w:r>
      <w:r>
        <w:rPr>
          <w:lang w:eastAsia="lt-LT"/>
        </w:rPr>
        <w:t>šalies</w:t>
      </w:r>
      <w:r>
        <w:rPr>
          <w:i/>
          <w:iCs/>
          <w:lang w:eastAsia="lt-LT"/>
        </w:rPr>
        <w:t xml:space="preserve"> </w:t>
      </w:r>
      <w:r>
        <w:rPr>
          <w:lang w:eastAsia="lt-LT"/>
        </w:rPr>
        <w:t>(komitento)</w:t>
      </w:r>
      <w:r>
        <w:rPr>
          <w:i/>
          <w:iCs/>
          <w:lang w:eastAsia="lt-LT"/>
        </w:rPr>
        <w:t xml:space="preserve"> </w:t>
      </w:r>
      <w:r>
        <w:rPr>
          <w:lang w:eastAsia="lt-LT"/>
        </w:rPr>
        <w:t>pavedimu</w:t>
      </w:r>
      <w:r>
        <w:rPr>
          <w:i/>
          <w:iCs/>
          <w:lang w:eastAsia="lt-LT"/>
        </w:rPr>
        <w:t xml:space="preserve"> </w:t>
      </w:r>
      <w:r>
        <w:rPr>
          <w:lang w:eastAsia="lt-LT"/>
        </w:rPr>
        <w:t>už</w:t>
      </w:r>
      <w:r>
        <w:rPr>
          <w:i/>
          <w:iCs/>
          <w:lang w:eastAsia="lt-LT"/>
        </w:rPr>
        <w:t xml:space="preserve"> </w:t>
      </w:r>
      <w:r>
        <w:rPr>
          <w:lang w:eastAsia="lt-LT"/>
        </w:rPr>
        <w:t>atlyginimą</w:t>
      </w:r>
      <w:r>
        <w:rPr>
          <w:i/>
          <w:iCs/>
          <w:lang w:eastAsia="lt-LT"/>
        </w:rPr>
        <w:t xml:space="preserve"> </w:t>
      </w:r>
      <w:r>
        <w:rPr>
          <w:lang w:eastAsia="lt-LT"/>
        </w:rPr>
        <w:t>sudaryti</w:t>
      </w:r>
      <w:r>
        <w:rPr>
          <w:i/>
          <w:iCs/>
          <w:lang w:eastAsia="lt-LT"/>
        </w:rPr>
        <w:t xml:space="preserve"> </w:t>
      </w:r>
      <w:r>
        <w:rPr>
          <w:lang w:eastAsia="lt-LT"/>
        </w:rPr>
        <w:t>vieną</w:t>
      </w:r>
      <w:r>
        <w:rPr>
          <w:i/>
          <w:iCs/>
          <w:lang w:eastAsia="lt-LT"/>
        </w:rPr>
        <w:t xml:space="preserve"> </w:t>
      </w:r>
      <w:r>
        <w:rPr>
          <w:lang w:eastAsia="lt-LT"/>
        </w:rPr>
        <w:t>ar</w:t>
      </w:r>
      <w:r>
        <w:rPr>
          <w:i/>
          <w:iCs/>
          <w:lang w:eastAsia="lt-LT"/>
        </w:rPr>
        <w:t xml:space="preserve"> </w:t>
      </w:r>
      <w:r>
        <w:rPr>
          <w:lang w:eastAsia="lt-LT"/>
        </w:rPr>
        <w:t>kelis</w:t>
      </w:r>
      <w:r>
        <w:rPr>
          <w:i/>
          <w:iCs/>
          <w:lang w:eastAsia="lt-LT"/>
        </w:rPr>
        <w:t xml:space="preserve"> </w:t>
      </w:r>
      <w:r>
        <w:rPr>
          <w:lang w:eastAsia="lt-LT"/>
        </w:rPr>
        <w:t>sandorius</w:t>
      </w:r>
      <w:r>
        <w:rPr>
          <w:i/>
          <w:iCs/>
          <w:lang w:eastAsia="lt-LT"/>
        </w:rPr>
        <w:t xml:space="preserve"> </w:t>
      </w:r>
      <w:r>
        <w:rPr>
          <w:lang w:eastAsia="lt-LT"/>
        </w:rPr>
        <w:t>savo</w:t>
      </w:r>
      <w:r>
        <w:rPr>
          <w:i/>
          <w:iCs/>
          <w:lang w:eastAsia="lt-LT"/>
        </w:rPr>
        <w:t xml:space="preserve"> </w:t>
      </w:r>
      <w:r>
        <w:rPr>
          <w:lang w:eastAsia="lt-LT"/>
        </w:rPr>
        <w:t>vardu,</w:t>
      </w:r>
      <w:r>
        <w:rPr>
          <w:i/>
          <w:iCs/>
          <w:lang w:eastAsia="lt-LT"/>
        </w:rPr>
        <w:t xml:space="preserve"> </w:t>
      </w:r>
      <w:r>
        <w:rPr>
          <w:lang w:eastAsia="lt-LT"/>
        </w:rPr>
        <w:t>bet</w:t>
      </w:r>
      <w:r>
        <w:rPr>
          <w:i/>
          <w:iCs/>
          <w:lang w:eastAsia="lt-LT"/>
        </w:rPr>
        <w:t xml:space="preserve"> </w:t>
      </w:r>
      <w:r>
        <w:rPr>
          <w:lang w:eastAsia="lt-LT"/>
        </w:rPr>
        <w:t>komitento</w:t>
      </w:r>
      <w:r>
        <w:rPr>
          <w:i/>
          <w:iCs/>
          <w:lang w:eastAsia="lt-LT"/>
        </w:rPr>
        <w:t xml:space="preserve"> </w:t>
      </w:r>
      <w:r>
        <w:rPr>
          <w:lang w:eastAsia="lt-LT"/>
        </w:rPr>
        <w:t>lėšomis.</w:t>
      </w:r>
      <w:r>
        <w:rPr>
          <w:i/>
          <w:iCs/>
          <w:lang w:eastAsia="lt-LT"/>
        </w:rPr>
        <w:t xml:space="preserve"> </w:t>
      </w:r>
      <w:r>
        <w:rPr>
          <w:lang w:eastAsia="lt-LT"/>
        </w:rPr>
        <w:t>Kai</w:t>
      </w:r>
      <w:r>
        <w:rPr>
          <w:i/>
          <w:iCs/>
          <w:lang w:eastAsia="lt-LT"/>
        </w:rPr>
        <w:t xml:space="preserve"> </w:t>
      </w:r>
      <w:r>
        <w:rPr>
          <w:lang w:eastAsia="lt-LT"/>
        </w:rPr>
        <w:t>vienetas</w:t>
      </w:r>
      <w:r>
        <w:rPr>
          <w:i/>
          <w:iCs/>
          <w:lang w:eastAsia="lt-LT"/>
        </w:rPr>
        <w:t xml:space="preserve"> </w:t>
      </w:r>
      <w:r>
        <w:rPr>
          <w:lang w:eastAsia="lt-LT"/>
        </w:rPr>
        <w:t>pagal</w:t>
      </w:r>
      <w:r>
        <w:rPr>
          <w:i/>
          <w:iCs/>
          <w:lang w:eastAsia="lt-LT"/>
        </w:rPr>
        <w:t xml:space="preserve"> </w:t>
      </w:r>
      <w:r>
        <w:rPr>
          <w:lang w:eastAsia="lt-LT"/>
        </w:rPr>
        <w:t>komiso</w:t>
      </w:r>
      <w:r>
        <w:rPr>
          <w:i/>
          <w:iCs/>
          <w:lang w:eastAsia="lt-LT"/>
        </w:rPr>
        <w:t xml:space="preserve"> </w:t>
      </w:r>
      <w:r>
        <w:rPr>
          <w:lang w:eastAsia="lt-LT"/>
        </w:rPr>
        <w:t>sutartį</w:t>
      </w:r>
      <w:r>
        <w:rPr>
          <w:i/>
          <w:iCs/>
          <w:lang w:eastAsia="lt-LT"/>
        </w:rPr>
        <w:t xml:space="preserve"> </w:t>
      </w:r>
      <w:r>
        <w:rPr>
          <w:lang w:eastAsia="lt-LT"/>
        </w:rPr>
        <w:t>parduoda</w:t>
      </w:r>
      <w:r>
        <w:rPr>
          <w:i/>
          <w:iCs/>
          <w:lang w:eastAsia="lt-LT"/>
        </w:rPr>
        <w:t xml:space="preserve"> </w:t>
      </w:r>
      <w:r>
        <w:rPr>
          <w:lang w:eastAsia="lt-LT"/>
        </w:rPr>
        <w:t>ne</w:t>
      </w:r>
      <w:r>
        <w:rPr>
          <w:i/>
          <w:iCs/>
          <w:lang w:eastAsia="lt-LT"/>
        </w:rPr>
        <w:t xml:space="preserve"> </w:t>
      </w:r>
      <w:r>
        <w:rPr>
          <w:lang w:eastAsia="lt-LT"/>
        </w:rPr>
        <w:t>jai,</w:t>
      </w:r>
      <w:r>
        <w:rPr>
          <w:i/>
          <w:iCs/>
          <w:lang w:eastAsia="lt-LT"/>
        </w:rPr>
        <w:t xml:space="preserve"> </w:t>
      </w:r>
      <w:r>
        <w:rPr>
          <w:lang w:eastAsia="lt-LT"/>
        </w:rPr>
        <w:t>o</w:t>
      </w:r>
      <w:r>
        <w:rPr>
          <w:i/>
          <w:iCs/>
          <w:lang w:eastAsia="lt-LT"/>
        </w:rPr>
        <w:t xml:space="preserve"> </w:t>
      </w:r>
      <w:r>
        <w:rPr>
          <w:lang w:eastAsia="lt-LT"/>
        </w:rPr>
        <w:t>komitentui</w:t>
      </w:r>
      <w:r>
        <w:rPr>
          <w:i/>
          <w:iCs/>
          <w:lang w:eastAsia="lt-LT"/>
        </w:rPr>
        <w:t xml:space="preserve"> </w:t>
      </w:r>
      <w:r>
        <w:rPr>
          <w:lang w:eastAsia="lt-LT"/>
        </w:rPr>
        <w:t>priklausančias</w:t>
      </w:r>
      <w:r>
        <w:rPr>
          <w:i/>
          <w:iCs/>
          <w:lang w:eastAsia="lt-LT"/>
        </w:rPr>
        <w:t xml:space="preserve"> </w:t>
      </w:r>
      <w:r>
        <w:rPr>
          <w:lang w:eastAsia="lt-LT"/>
        </w:rPr>
        <w:t>prekes,</w:t>
      </w:r>
      <w:r>
        <w:rPr>
          <w:i/>
          <w:iCs/>
          <w:lang w:eastAsia="lt-LT"/>
        </w:rPr>
        <w:t xml:space="preserve"> </w:t>
      </w:r>
      <w:r>
        <w:rPr>
          <w:lang w:eastAsia="lt-LT"/>
        </w:rPr>
        <w:t>parduotų</w:t>
      </w:r>
      <w:r>
        <w:rPr>
          <w:i/>
          <w:iCs/>
          <w:lang w:eastAsia="lt-LT"/>
        </w:rPr>
        <w:t xml:space="preserve"> </w:t>
      </w:r>
      <w:r>
        <w:rPr>
          <w:lang w:eastAsia="lt-LT"/>
        </w:rPr>
        <w:t>prekių</w:t>
      </w:r>
      <w:r>
        <w:rPr>
          <w:i/>
          <w:iCs/>
          <w:lang w:eastAsia="lt-LT"/>
        </w:rPr>
        <w:t xml:space="preserve"> </w:t>
      </w:r>
      <w:r>
        <w:rPr>
          <w:lang w:eastAsia="lt-LT"/>
        </w:rPr>
        <w:t>pajamos</w:t>
      </w:r>
      <w:r>
        <w:rPr>
          <w:i/>
          <w:iCs/>
          <w:lang w:eastAsia="lt-LT"/>
        </w:rPr>
        <w:t xml:space="preserve"> </w:t>
      </w:r>
      <w:r>
        <w:rPr>
          <w:lang w:eastAsia="lt-LT"/>
        </w:rPr>
        <w:t>į</w:t>
      </w:r>
      <w:r>
        <w:rPr>
          <w:i/>
          <w:iCs/>
          <w:lang w:eastAsia="lt-LT"/>
        </w:rPr>
        <w:t xml:space="preserve"> </w:t>
      </w:r>
      <w:r>
        <w:rPr>
          <w:lang w:eastAsia="lt-LT"/>
        </w:rPr>
        <w:t>vieneto</w:t>
      </w:r>
      <w:r>
        <w:rPr>
          <w:i/>
          <w:iCs/>
          <w:lang w:eastAsia="lt-LT"/>
        </w:rPr>
        <w:t xml:space="preserve"> </w:t>
      </w:r>
      <w:r>
        <w:rPr>
          <w:lang w:eastAsia="lt-LT"/>
        </w:rPr>
        <w:t>pajamas</w:t>
      </w:r>
      <w:r>
        <w:rPr>
          <w:i/>
          <w:iCs/>
          <w:lang w:eastAsia="lt-LT"/>
        </w:rPr>
        <w:t xml:space="preserve"> </w:t>
      </w:r>
      <w:r>
        <w:rPr>
          <w:lang w:eastAsia="lt-LT"/>
        </w:rPr>
        <w:t>neįtraukiamos.</w:t>
      </w:r>
    </w:p>
    <w:p w14:paraId="2DE9F6CE" w14:textId="77777777" w:rsidR="00093845" w:rsidRDefault="000D779E">
      <w:pPr>
        <w:spacing w:before="100" w:beforeAutospacing="1" w:after="100" w:afterAutospacing="1"/>
        <w:jc w:val="both"/>
        <w:rPr>
          <w:lang w:eastAsia="lt-LT"/>
        </w:rPr>
      </w:pPr>
      <w:r>
        <w:rPr>
          <w:lang w:eastAsia="lt-LT"/>
        </w:rPr>
        <w:t xml:space="preserve">     19.4.</w:t>
      </w:r>
      <w:r>
        <w:rPr>
          <w:i/>
          <w:iCs/>
          <w:lang w:eastAsia="lt-LT"/>
        </w:rPr>
        <w:t xml:space="preserve"> </w:t>
      </w:r>
      <w:r>
        <w:rPr>
          <w:lang w:eastAsia="lt-LT"/>
        </w:rPr>
        <w:t>Jei</w:t>
      </w:r>
      <w:r>
        <w:rPr>
          <w:i/>
          <w:iCs/>
          <w:lang w:eastAsia="lt-LT"/>
        </w:rPr>
        <w:t xml:space="preserve"> </w:t>
      </w:r>
      <w:r>
        <w:rPr>
          <w:lang w:eastAsia="lt-LT"/>
        </w:rPr>
        <w:t>vienetas</w:t>
      </w:r>
      <w:r>
        <w:rPr>
          <w:i/>
          <w:iCs/>
          <w:lang w:eastAsia="lt-LT"/>
        </w:rPr>
        <w:t xml:space="preserve"> </w:t>
      </w:r>
      <w:r>
        <w:rPr>
          <w:lang w:eastAsia="lt-LT"/>
        </w:rPr>
        <w:t>užsiima</w:t>
      </w:r>
      <w:r>
        <w:rPr>
          <w:i/>
          <w:iCs/>
          <w:lang w:eastAsia="lt-LT"/>
        </w:rPr>
        <w:t xml:space="preserve"> </w:t>
      </w:r>
      <w:r>
        <w:rPr>
          <w:lang w:eastAsia="lt-LT"/>
        </w:rPr>
        <w:t>tarpininkavimo</w:t>
      </w:r>
      <w:r>
        <w:rPr>
          <w:i/>
          <w:iCs/>
          <w:lang w:eastAsia="lt-LT"/>
        </w:rPr>
        <w:t xml:space="preserve"> </w:t>
      </w:r>
      <w:r>
        <w:rPr>
          <w:lang w:eastAsia="lt-LT"/>
        </w:rPr>
        <w:t>veikla,</w:t>
      </w:r>
      <w:r>
        <w:rPr>
          <w:i/>
          <w:iCs/>
          <w:lang w:eastAsia="lt-LT"/>
        </w:rPr>
        <w:t xml:space="preserve"> </w:t>
      </w:r>
      <w:r>
        <w:rPr>
          <w:lang w:eastAsia="lt-LT"/>
        </w:rPr>
        <w:t>tai</w:t>
      </w:r>
      <w:r>
        <w:rPr>
          <w:i/>
          <w:iCs/>
          <w:lang w:eastAsia="lt-LT"/>
        </w:rPr>
        <w:t xml:space="preserve"> </w:t>
      </w:r>
      <w:r>
        <w:rPr>
          <w:lang w:eastAsia="lt-LT"/>
        </w:rPr>
        <w:t>jo</w:t>
      </w:r>
      <w:r>
        <w:rPr>
          <w:i/>
          <w:iCs/>
          <w:lang w:eastAsia="lt-LT"/>
        </w:rPr>
        <w:t xml:space="preserve"> </w:t>
      </w:r>
      <w:r>
        <w:rPr>
          <w:lang w:eastAsia="lt-LT"/>
        </w:rPr>
        <w:t>tokios</w:t>
      </w:r>
      <w:r>
        <w:rPr>
          <w:i/>
          <w:iCs/>
          <w:lang w:eastAsia="lt-LT"/>
        </w:rPr>
        <w:t xml:space="preserve"> </w:t>
      </w:r>
      <w:r>
        <w:rPr>
          <w:lang w:eastAsia="lt-LT"/>
        </w:rPr>
        <w:t>veiklos</w:t>
      </w:r>
      <w:r>
        <w:rPr>
          <w:i/>
          <w:iCs/>
          <w:lang w:eastAsia="lt-LT"/>
        </w:rPr>
        <w:t xml:space="preserve"> </w:t>
      </w:r>
      <w:r>
        <w:rPr>
          <w:lang w:eastAsia="lt-LT"/>
        </w:rPr>
        <w:t>pajamas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sudarys</w:t>
      </w:r>
      <w:r>
        <w:rPr>
          <w:i/>
          <w:iCs/>
          <w:lang w:eastAsia="lt-LT"/>
        </w:rPr>
        <w:t xml:space="preserve"> </w:t>
      </w:r>
      <w:r>
        <w:rPr>
          <w:lang w:eastAsia="lt-LT"/>
        </w:rPr>
        <w:t>sutartyje</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apskaitos</w:t>
      </w:r>
      <w:r>
        <w:rPr>
          <w:i/>
          <w:iCs/>
          <w:lang w:eastAsia="lt-LT"/>
        </w:rPr>
        <w:t xml:space="preserve"> </w:t>
      </w:r>
      <w:r>
        <w:rPr>
          <w:lang w:eastAsia="lt-LT"/>
        </w:rPr>
        <w:t>dokumente</w:t>
      </w:r>
      <w:r>
        <w:rPr>
          <w:i/>
          <w:iCs/>
          <w:lang w:eastAsia="lt-LT"/>
        </w:rPr>
        <w:t xml:space="preserve"> </w:t>
      </w:r>
      <w:r>
        <w:rPr>
          <w:lang w:eastAsia="lt-LT"/>
        </w:rPr>
        <w:t>nustatytas</w:t>
      </w:r>
      <w:r>
        <w:rPr>
          <w:i/>
          <w:iCs/>
          <w:lang w:eastAsia="lt-LT"/>
        </w:rPr>
        <w:t xml:space="preserve"> </w:t>
      </w:r>
      <w:r>
        <w:rPr>
          <w:lang w:eastAsia="lt-LT"/>
        </w:rPr>
        <w:t>konkretus</w:t>
      </w:r>
      <w:r>
        <w:rPr>
          <w:i/>
          <w:iCs/>
          <w:lang w:eastAsia="lt-LT"/>
        </w:rPr>
        <w:t xml:space="preserve"> </w:t>
      </w:r>
      <w:r>
        <w:rPr>
          <w:lang w:eastAsia="lt-LT"/>
        </w:rPr>
        <w:t>atlyginimo</w:t>
      </w:r>
      <w:r>
        <w:rPr>
          <w:i/>
          <w:iCs/>
          <w:lang w:eastAsia="lt-LT"/>
        </w:rPr>
        <w:t xml:space="preserve"> </w:t>
      </w:r>
      <w:r>
        <w:rPr>
          <w:lang w:eastAsia="lt-LT"/>
        </w:rPr>
        <w:t>dydis</w:t>
      </w:r>
      <w:r>
        <w:rPr>
          <w:i/>
          <w:iCs/>
          <w:lang w:eastAsia="lt-LT"/>
        </w:rPr>
        <w:t xml:space="preserve"> </w:t>
      </w:r>
      <w:r>
        <w:rPr>
          <w:lang w:eastAsia="lt-LT"/>
        </w:rPr>
        <w:t>(procentas</w:t>
      </w:r>
      <w:r>
        <w:rPr>
          <w:i/>
          <w:iCs/>
          <w:lang w:eastAsia="lt-LT"/>
        </w:rPr>
        <w:t xml:space="preserve"> </w:t>
      </w:r>
      <w:r>
        <w:rPr>
          <w:lang w:eastAsia="lt-LT"/>
        </w:rPr>
        <w:t>arba</w:t>
      </w:r>
      <w:r>
        <w:rPr>
          <w:i/>
          <w:iCs/>
          <w:lang w:eastAsia="lt-LT"/>
        </w:rPr>
        <w:t xml:space="preserve"> </w:t>
      </w:r>
      <w:r>
        <w:rPr>
          <w:lang w:eastAsia="lt-LT"/>
        </w:rPr>
        <w:t>fiksuota</w:t>
      </w:r>
      <w:r>
        <w:rPr>
          <w:i/>
          <w:iCs/>
          <w:lang w:eastAsia="lt-LT"/>
        </w:rPr>
        <w:t xml:space="preserve"> </w:t>
      </w:r>
      <w:r>
        <w:rPr>
          <w:lang w:eastAsia="lt-LT"/>
        </w:rPr>
        <w:t>atlyginimo</w:t>
      </w:r>
      <w:r>
        <w:rPr>
          <w:i/>
          <w:iCs/>
          <w:lang w:eastAsia="lt-LT"/>
        </w:rPr>
        <w:t xml:space="preserve"> </w:t>
      </w:r>
      <w:r>
        <w:rPr>
          <w:lang w:eastAsia="lt-LT"/>
        </w:rPr>
        <w:t>suma).</w:t>
      </w:r>
    </w:p>
    <w:p w14:paraId="03ADFEED" w14:textId="77777777" w:rsidR="00093845" w:rsidRDefault="000D779E">
      <w:pPr>
        <w:spacing w:before="100" w:beforeAutospacing="1" w:after="100" w:afterAutospacing="1"/>
        <w:jc w:val="both"/>
        <w:rPr>
          <w:lang w:eastAsia="lt-LT"/>
        </w:rPr>
      </w:pPr>
      <w:r>
        <w:rPr>
          <w:lang w:eastAsia="lt-LT"/>
        </w:rPr>
        <w:t xml:space="preserve">     19.5.</w:t>
      </w:r>
      <w:r>
        <w:rPr>
          <w:i/>
          <w:iCs/>
          <w:lang w:eastAsia="lt-LT"/>
        </w:rPr>
        <w:t xml:space="preserve"> </w:t>
      </w:r>
      <w:r>
        <w:rPr>
          <w:lang w:eastAsia="lt-LT"/>
        </w:rPr>
        <w:t>Pajamos</w:t>
      </w:r>
      <w:r>
        <w:rPr>
          <w:i/>
          <w:iCs/>
          <w:lang w:eastAsia="lt-LT"/>
        </w:rPr>
        <w:t xml:space="preserve"> </w:t>
      </w:r>
      <w:r>
        <w:rPr>
          <w:lang w:eastAsia="lt-LT"/>
        </w:rPr>
        <w:t>už</w:t>
      </w:r>
      <w:r>
        <w:rPr>
          <w:i/>
          <w:iCs/>
          <w:lang w:eastAsia="lt-LT"/>
        </w:rPr>
        <w:t xml:space="preserve"> </w:t>
      </w:r>
      <w:r>
        <w:rPr>
          <w:lang w:eastAsia="lt-LT"/>
        </w:rPr>
        <w:t>prekes,</w:t>
      </w:r>
      <w:r>
        <w:rPr>
          <w:i/>
          <w:iCs/>
          <w:lang w:eastAsia="lt-LT"/>
        </w:rPr>
        <w:t xml:space="preserve"> </w:t>
      </w:r>
      <w:r>
        <w:rPr>
          <w:lang w:eastAsia="lt-LT"/>
        </w:rPr>
        <w:t>parduotas</w:t>
      </w:r>
      <w:r>
        <w:rPr>
          <w:i/>
          <w:iCs/>
          <w:lang w:eastAsia="lt-LT"/>
        </w:rPr>
        <w:t xml:space="preserve"> </w:t>
      </w:r>
      <w:r>
        <w:rPr>
          <w:lang w:eastAsia="lt-LT"/>
        </w:rPr>
        <w:t>konsignacijos</w:t>
      </w:r>
      <w:r>
        <w:rPr>
          <w:i/>
          <w:iCs/>
          <w:lang w:eastAsia="lt-LT"/>
        </w:rPr>
        <w:t xml:space="preserve"> </w:t>
      </w:r>
      <w:r>
        <w:rPr>
          <w:lang w:eastAsia="lt-LT"/>
        </w:rPr>
        <w:t>sutarties</w:t>
      </w:r>
      <w:r>
        <w:rPr>
          <w:i/>
          <w:iCs/>
          <w:lang w:eastAsia="lt-LT"/>
        </w:rPr>
        <w:t xml:space="preserve"> </w:t>
      </w:r>
      <w:r>
        <w:rPr>
          <w:lang w:eastAsia="lt-LT"/>
        </w:rPr>
        <w:t>pagrindu,</w:t>
      </w:r>
      <w:r>
        <w:rPr>
          <w:i/>
          <w:iCs/>
          <w:lang w:eastAsia="lt-LT"/>
        </w:rPr>
        <w:t xml:space="preserve"> </w:t>
      </w:r>
      <w:r>
        <w:rPr>
          <w:lang w:eastAsia="lt-LT"/>
        </w:rPr>
        <w:t>pripažįstamos</w:t>
      </w:r>
      <w:r>
        <w:rPr>
          <w:i/>
          <w:iCs/>
          <w:lang w:eastAsia="lt-LT"/>
        </w:rPr>
        <w:t xml:space="preserve"> </w:t>
      </w:r>
      <w:r>
        <w:rPr>
          <w:lang w:eastAsia="lt-LT"/>
        </w:rPr>
        <w:t>tada,</w:t>
      </w:r>
      <w:r>
        <w:rPr>
          <w:i/>
          <w:iCs/>
          <w:lang w:eastAsia="lt-LT"/>
        </w:rPr>
        <w:t xml:space="preserve"> </w:t>
      </w:r>
      <w:r>
        <w:rPr>
          <w:lang w:eastAsia="lt-LT"/>
        </w:rPr>
        <w:t>kai</w:t>
      </w:r>
      <w:r>
        <w:rPr>
          <w:i/>
          <w:iCs/>
          <w:lang w:eastAsia="lt-LT"/>
        </w:rPr>
        <w:t xml:space="preserve"> </w:t>
      </w:r>
      <w:r>
        <w:rPr>
          <w:lang w:eastAsia="lt-LT"/>
        </w:rPr>
        <w:t>įgaliotas</w:t>
      </w:r>
      <w:r>
        <w:rPr>
          <w:i/>
          <w:iCs/>
          <w:lang w:eastAsia="lt-LT"/>
        </w:rPr>
        <w:t xml:space="preserve"> </w:t>
      </w:r>
      <w:r>
        <w:rPr>
          <w:lang w:eastAsia="lt-LT"/>
        </w:rPr>
        <w:t>atstovas</w:t>
      </w:r>
      <w:r>
        <w:rPr>
          <w:i/>
          <w:iCs/>
          <w:lang w:eastAsia="lt-LT"/>
        </w:rPr>
        <w:t xml:space="preserve"> </w:t>
      </w:r>
      <w:r>
        <w:rPr>
          <w:lang w:eastAsia="lt-LT"/>
        </w:rPr>
        <w:t>(tarpininkas)</w:t>
      </w:r>
      <w:r>
        <w:rPr>
          <w:i/>
          <w:iCs/>
          <w:lang w:eastAsia="lt-LT"/>
        </w:rPr>
        <w:t xml:space="preserve"> </w:t>
      </w:r>
      <w:r>
        <w:rPr>
          <w:lang w:eastAsia="lt-LT"/>
        </w:rPr>
        <w:t>prekes</w:t>
      </w:r>
      <w:r>
        <w:rPr>
          <w:i/>
          <w:iCs/>
          <w:lang w:eastAsia="lt-LT"/>
        </w:rPr>
        <w:t xml:space="preserve"> </w:t>
      </w:r>
      <w:r>
        <w:rPr>
          <w:lang w:eastAsia="lt-LT"/>
        </w:rPr>
        <w:t>perduoda</w:t>
      </w:r>
      <w:r>
        <w:rPr>
          <w:i/>
          <w:iCs/>
          <w:lang w:eastAsia="lt-LT"/>
        </w:rPr>
        <w:t xml:space="preserve"> </w:t>
      </w:r>
      <w:r>
        <w:rPr>
          <w:lang w:eastAsia="lt-LT"/>
        </w:rPr>
        <w:t>trečiajam</w:t>
      </w:r>
      <w:r>
        <w:rPr>
          <w:i/>
          <w:iCs/>
          <w:lang w:eastAsia="lt-LT"/>
        </w:rPr>
        <w:t xml:space="preserve"> </w:t>
      </w:r>
      <w:r>
        <w:rPr>
          <w:lang w:eastAsia="lt-LT"/>
        </w:rPr>
        <w:t>asmeniui.</w:t>
      </w:r>
      <w:r>
        <w:rPr>
          <w:i/>
          <w:iCs/>
          <w:lang w:eastAsia="lt-LT"/>
        </w:rPr>
        <w:t xml:space="preserve"> </w:t>
      </w:r>
    </w:p>
    <w:p w14:paraId="45198584" w14:textId="77777777" w:rsidR="00093845" w:rsidRDefault="000D779E">
      <w:pPr>
        <w:spacing w:before="100" w:beforeAutospacing="1" w:after="100" w:afterAutospacing="1"/>
        <w:jc w:val="both"/>
        <w:rPr>
          <w:lang w:eastAsia="lt-LT"/>
        </w:rPr>
      </w:pPr>
      <w:r>
        <w:rPr>
          <w:lang w:eastAsia="lt-LT"/>
        </w:rPr>
        <w:t xml:space="preserve">    19.6.</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viešosios</w:t>
      </w:r>
      <w:r>
        <w:rPr>
          <w:i/>
          <w:iCs/>
          <w:lang w:eastAsia="lt-LT"/>
        </w:rPr>
        <w:t xml:space="preserve"> </w:t>
      </w:r>
      <w:r>
        <w:rPr>
          <w:lang w:eastAsia="lt-LT"/>
        </w:rPr>
        <w:t>apyvartos</w:t>
      </w:r>
      <w:r>
        <w:rPr>
          <w:i/>
          <w:iCs/>
          <w:lang w:eastAsia="lt-LT"/>
        </w:rPr>
        <w:t xml:space="preserve"> </w:t>
      </w:r>
      <w:r>
        <w:rPr>
          <w:lang w:eastAsia="lt-LT"/>
        </w:rPr>
        <w:t>tarpininkų</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priskiriamas</w:t>
      </w:r>
      <w:r>
        <w:rPr>
          <w:i/>
          <w:iCs/>
          <w:lang w:eastAsia="lt-LT"/>
        </w:rPr>
        <w:t xml:space="preserve"> </w:t>
      </w:r>
      <w:r>
        <w:rPr>
          <w:lang w:eastAsia="lt-LT"/>
        </w:rPr>
        <w:t>komisinis</w:t>
      </w:r>
      <w:r>
        <w:rPr>
          <w:i/>
          <w:iCs/>
          <w:lang w:eastAsia="lt-LT"/>
        </w:rPr>
        <w:t xml:space="preserve"> </w:t>
      </w:r>
      <w:r>
        <w:rPr>
          <w:lang w:eastAsia="lt-LT"/>
        </w:rPr>
        <w:t>atlyginimas</w:t>
      </w:r>
      <w:r>
        <w:rPr>
          <w:i/>
          <w:iCs/>
          <w:lang w:eastAsia="lt-LT"/>
        </w:rPr>
        <w:t xml:space="preserve"> </w:t>
      </w:r>
      <w:r>
        <w:rPr>
          <w:lang w:eastAsia="lt-LT"/>
        </w:rPr>
        <w:t>už</w:t>
      </w:r>
      <w:r>
        <w:rPr>
          <w:i/>
          <w:iCs/>
          <w:lang w:eastAsia="lt-LT"/>
        </w:rPr>
        <w:t xml:space="preserve"> </w:t>
      </w:r>
      <w:r>
        <w:rPr>
          <w:lang w:eastAsia="lt-LT"/>
        </w:rPr>
        <w:t>tarpininkavimą</w:t>
      </w:r>
      <w:r>
        <w:rPr>
          <w:i/>
          <w:iCs/>
          <w:lang w:eastAsia="lt-LT"/>
        </w:rPr>
        <w:t xml:space="preserve"> </w:t>
      </w:r>
      <w:r>
        <w:rPr>
          <w:lang w:eastAsia="lt-LT"/>
        </w:rPr>
        <w:t>perkant</w:t>
      </w:r>
      <w:r>
        <w:rPr>
          <w:i/>
          <w:iCs/>
          <w:lang w:eastAsia="lt-LT"/>
        </w:rPr>
        <w:t xml:space="preserve"> </w:t>
      </w:r>
      <w:r>
        <w:rPr>
          <w:lang w:eastAsia="lt-LT"/>
        </w:rPr>
        <w:t>ir</w:t>
      </w:r>
      <w:r>
        <w:rPr>
          <w:i/>
          <w:iCs/>
          <w:lang w:eastAsia="lt-LT"/>
        </w:rPr>
        <w:t xml:space="preserve"> </w:t>
      </w:r>
      <w:r>
        <w:rPr>
          <w:lang w:eastAsia="lt-LT"/>
        </w:rPr>
        <w:t>parduodant</w:t>
      </w:r>
      <w:r>
        <w:rPr>
          <w:i/>
          <w:iCs/>
          <w:lang w:eastAsia="lt-LT"/>
        </w:rPr>
        <w:t xml:space="preserve"> </w:t>
      </w:r>
      <w:r>
        <w:rPr>
          <w:lang w:eastAsia="lt-LT"/>
        </w:rPr>
        <w:t>vertybinius</w:t>
      </w:r>
      <w:r>
        <w:rPr>
          <w:i/>
          <w:iCs/>
          <w:lang w:eastAsia="lt-LT"/>
        </w:rPr>
        <w:t xml:space="preserve"> </w:t>
      </w:r>
      <w:r>
        <w:rPr>
          <w:lang w:eastAsia="lt-LT"/>
        </w:rPr>
        <w:t>popierius.</w:t>
      </w:r>
    </w:p>
    <w:p w14:paraId="7F23F45D" w14:textId="77777777" w:rsidR="00093845" w:rsidRDefault="000D779E">
      <w:pPr>
        <w:spacing w:before="100" w:beforeAutospacing="1" w:after="100" w:afterAutospacing="1"/>
        <w:jc w:val="both"/>
        <w:rPr>
          <w:lang w:eastAsia="lt-LT"/>
        </w:rPr>
      </w:pPr>
      <w:r>
        <w:rPr>
          <w:lang w:eastAsia="lt-LT"/>
        </w:rPr>
        <w:t xml:space="preserve">     19.7.</w:t>
      </w:r>
      <w:r>
        <w:rPr>
          <w:i/>
          <w:iCs/>
          <w:lang w:eastAsia="lt-LT"/>
        </w:rPr>
        <w:t xml:space="preserve"> </w:t>
      </w:r>
      <w:r>
        <w:rPr>
          <w:lang w:eastAsia="lt-LT"/>
        </w:rPr>
        <w:t>Leidinių</w:t>
      </w:r>
      <w:r>
        <w:rPr>
          <w:i/>
          <w:iCs/>
          <w:lang w:eastAsia="lt-LT"/>
        </w:rPr>
        <w:t xml:space="preserve"> </w:t>
      </w:r>
      <w:r>
        <w:rPr>
          <w:lang w:eastAsia="lt-LT"/>
        </w:rPr>
        <w:t>prenumeratos</w:t>
      </w:r>
      <w:r>
        <w:rPr>
          <w:i/>
          <w:iCs/>
          <w:lang w:eastAsia="lt-LT"/>
        </w:rPr>
        <w:t xml:space="preserve"> </w:t>
      </w:r>
      <w:r>
        <w:rPr>
          <w:lang w:eastAsia="lt-LT"/>
        </w:rPr>
        <w:t>pajamos</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tolygiai</w:t>
      </w:r>
      <w:r>
        <w:rPr>
          <w:i/>
          <w:iCs/>
          <w:lang w:eastAsia="lt-LT"/>
        </w:rPr>
        <w:t xml:space="preserve"> </w:t>
      </w:r>
      <w:r>
        <w:rPr>
          <w:lang w:eastAsia="lt-LT"/>
        </w:rPr>
        <w:t>jas</w:t>
      </w:r>
      <w:r>
        <w:rPr>
          <w:i/>
          <w:iCs/>
          <w:lang w:eastAsia="lt-LT"/>
        </w:rPr>
        <w:t xml:space="preserve"> </w:t>
      </w:r>
      <w:r>
        <w:rPr>
          <w:lang w:eastAsia="lt-LT"/>
        </w:rPr>
        <w:t>paskirsčius</w:t>
      </w:r>
      <w:r>
        <w:rPr>
          <w:i/>
          <w:iCs/>
          <w:lang w:eastAsia="lt-LT"/>
        </w:rPr>
        <w:t xml:space="preserve"> </w:t>
      </w:r>
      <w:r>
        <w:rPr>
          <w:lang w:eastAsia="lt-LT"/>
        </w:rPr>
        <w:t>per</w:t>
      </w:r>
      <w:r>
        <w:rPr>
          <w:i/>
          <w:iCs/>
          <w:lang w:eastAsia="lt-LT"/>
        </w:rPr>
        <w:t xml:space="preserve"> </w:t>
      </w:r>
      <w:r>
        <w:rPr>
          <w:lang w:eastAsia="lt-LT"/>
        </w:rPr>
        <w:t>prenumeratos</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jos</w:t>
      </w:r>
      <w:r>
        <w:rPr>
          <w:i/>
          <w:iCs/>
          <w:lang w:eastAsia="lt-LT"/>
        </w:rPr>
        <w:t xml:space="preserve"> </w:t>
      </w:r>
      <w:r>
        <w:rPr>
          <w:lang w:eastAsia="lt-LT"/>
        </w:rPr>
        <w:t>pristatomos.</w:t>
      </w:r>
      <w:r>
        <w:rPr>
          <w:i/>
          <w:iCs/>
          <w:lang w:eastAsia="lt-LT"/>
        </w:rPr>
        <w:t xml:space="preserve"> </w:t>
      </w:r>
    </w:p>
    <w:p w14:paraId="216284B4" w14:textId="77777777" w:rsidR="00093845" w:rsidRDefault="000D779E">
      <w:pPr>
        <w:spacing w:before="100" w:beforeAutospacing="1" w:after="100" w:afterAutospacing="1"/>
        <w:jc w:val="both"/>
        <w:rPr>
          <w:lang w:eastAsia="lt-LT"/>
        </w:rPr>
      </w:pPr>
      <w:r>
        <w:rPr>
          <w:lang w:eastAsia="lt-LT"/>
        </w:rPr>
        <w:t xml:space="preserve">     19.8.</w:t>
      </w:r>
      <w:r>
        <w:rPr>
          <w:i/>
          <w:iCs/>
          <w:lang w:eastAsia="lt-LT"/>
        </w:rPr>
        <w:t xml:space="preserve"> </w:t>
      </w:r>
      <w:r>
        <w:rPr>
          <w:lang w:eastAsia="lt-LT"/>
        </w:rPr>
        <w:t>Pagal</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nuomininkas</w:t>
      </w:r>
      <w:r>
        <w:rPr>
          <w:i/>
          <w:iCs/>
          <w:lang w:eastAsia="lt-LT"/>
        </w:rPr>
        <w:t xml:space="preserve"> </w:t>
      </w:r>
      <w:r>
        <w:rPr>
          <w:lang w:eastAsia="lt-LT"/>
        </w:rPr>
        <w:t>už</w:t>
      </w:r>
      <w:r>
        <w:rPr>
          <w:i/>
          <w:iCs/>
          <w:lang w:eastAsia="lt-LT"/>
        </w:rPr>
        <w:t xml:space="preserve"> </w:t>
      </w:r>
      <w:r>
        <w:rPr>
          <w:lang w:eastAsia="lt-LT"/>
        </w:rPr>
        <w:t>teisę</w:t>
      </w:r>
      <w:r>
        <w:rPr>
          <w:i/>
          <w:iCs/>
          <w:lang w:eastAsia="lt-LT"/>
        </w:rPr>
        <w:t xml:space="preserve"> </w:t>
      </w:r>
      <w:r>
        <w:rPr>
          <w:lang w:eastAsia="lt-LT"/>
        </w:rPr>
        <w:t>naudotis</w:t>
      </w:r>
      <w:r>
        <w:rPr>
          <w:i/>
          <w:iCs/>
          <w:lang w:eastAsia="lt-LT"/>
        </w:rPr>
        <w:t xml:space="preserve"> </w:t>
      </w:r>
      <w:r>
        <w:rPr>
          <w:lang w:eastAsia="lt-LT"/>
        </w:rPr>
        <w:t>tam</w:t>
      </w:r>
      <w:r>
        <w:rPr>
          <w:i/>
          <w:iCs/>
          <w:lang w:eastAsia="lt-LT"/>
        </w:rPr>
        <w:t xml:space="preserve"> </w:t>
      </w:r>
      <w:r>
        <w:rPr>
          <w:lang w:eastAsia="lt-LT"/>
        </w:rPr>
        <w:t>tikru</w:t>
      </w:r>
      <w:r>
        <w:rPr>
          <w:i/>
          <w:iCs/>
          <w:lang w:eastAsia="lt-LT"/>
        </w:rPr>
        <w:t xml:space="preserve"> </w:t>
      </w:r>
      <w:r>
        <w:rPr>
          <w:lang w:eastAsia="lt-LT"/>
        </w:rPr>
        <w:t>turtu</w:t>
      </w:r>
      <w:r>
        <w:rPr>
          <w:i/>
          <w:iCs/>
          <w:lang w:eastAsia="lt-LT"/>
        </w:rPr>
        <w:t xml:space="preserve"> </w:t>
      </w:r>
      <w:r>
        <w:rPr>
          <w:lang w:eastAsia="lt-LT"/>
        </w:rPr>
        <w:t>nuomotojui</w:t>
      </w:r>
      <w:r>
        <w:rPr>
          <w:i/>
          <w:iCs/>
          <w:lang w:eastAsia="lt-LT"/>
        </w:rPr>
        <w:t xml:space="preserve"> </w:t>
      </w:r>
      <w:r>
        <w:rPr>
          <w:lang w:eastAsia="lt-LT"/>
        </w:rPr>
        <w:t>moka</w:t>
      </w:r>
      <w:r>
        <w:rPr>
          <w:i/>
          <w:iCs/>
          <w:lang w:eastAsia="lt-LT"/>
        </w:rPr>
        <w:t xml:space="preserve"> </w:t>
      </w:r>
      <w:r>
        <w:rPr>
          <w:lang w:eastAsia="lt-LT"/>
        </w:rPr>
        <w:t>iš</w:t>
      </w:r>
      <w:r>
        <w:rPr>
          <w:i/>
          <w:iCs/>
          <w:lang w:eastAsia="lt-LT"/>
        </w:rPr>
        <w:t xml:space="preserve"> </w:t>
      </w:r>
      <w:r>
        <w:rPr>
          <w:lang w:eastAsia="lt-LT"/>
        </w:rPr>
        <w:t>anksto</w:t>
      </w:r>
      <w:r>
        <w:rPr>
          <w:i/>
          <w:iCs/>
          <w:lang w:eastAsia="lt-LT"/>
        </w:rPr>
        <w:t xml:space="preserve"> </w:t>
      </w:r>
      <w:r>
        <w:rPr>
          <w:lang w:eastAsia="lt-LT"/>
        </w:rPr>
        <w:t>sutartas</w:t>
      </w:r>
      <w:r>
        <w:rPr>
          <w:i/>
          <w:iCs/>
          <w:lang w:eastAsia="lt-LT"/>
        </w:rPr>
        <w:t xml:space="preserve"> </w:t>
      </w:r>
      <w:r>
        <w:rPr>
          <w:lang w:eastAsia="lt-LT"/>
        </w:rPr>
        <w:t>(dažniausiai</w:t>
      </w:r>
      <w:r>
        <w:rPr>
          <w:i/>
          <w:iCs/>
          <w:lang w:eastAsia="lt-LT"/>
        </w:rPr>
        <w:t xml:space="preserve"> </w:t>
      </w:r>
      <w:r>
        <w:rPr>
          <w:lang w:eastAsia="lt-LT"/>
        </w:rPr>
        <w:t>periodines)</w:t>
      </w:r>
      <w:r>
        <w:rPr>
          <w:i/>
          <w:iCs/>
          <w:lang w:eastAsia="lt-LT"/>
        </w:rPr>
        <w:t xml:space="preserve"> </w:t>
      </w:r>
      <w:r>
        <w:rPr>
          <w:lang w:eastAsia="lt-LT"/>
        </w:rPr>
        <w:t>įmokas.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sutartyje,</w:t>
      </w:r>
      <w:r>
        <w:rPr>
          <w:i/>
          <w:iCs/>
          <w:lang w:eastAsia="lt-LT"/>
        </w:rPr>
        <w:t xml:space="preserve"> </w:t>
      </w:r>
      <w:r>
        <w:rPr>
          <w:lang w:eastAsia="lt-LT"/>
        </w:rPr>
        <w:t>kurioje</w:t>
      </w:r>
      <w:r>
        <w:rPr>
          <w:i/>
          <w:iCs/>
          <w:lang w:eastAsia="lt-LT"/>
        </w:rPr>
        <w:t xml:space="preserve"> </w:t>
      </w:r>
      <w:r>
        <w:rPr>
          <w:lang w:eastAsia="lt-LT"/>
        </w:rPr>
        <w:t>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įmokų</w:t>
      </w:r>
      <w:r>
        <w:rPr>
          <w:i/>
          <w:iCs/>
          <w:lang w:eastAsia="lt-LT"/>
        </w:rPr>
        <w:t xml:space="preserve"> </w:t>
      </w:r>
      <w:r>
        <w:rPr>
          <w:lang w:eastAsia="lt-LT"/>
        </w:rPr>
        <w:t>sumą</w:t>
      </w:r>
      <w:r>
        <w:rPr>
          <w:i/>
          <w:iCs/>
          <w:lang w:eastAsia="lt-LT"/>
        </w:rPr>
        <w:t xml:space="preserve"> </w:t>
      </w:r>
      <w:r>
        <w:rPr>
          <w:lang w:eastAsia="lt-LT"/>
        </w:rPr>
        <w:t>sudaro</w:t>
      </w:r>
      <w:r>
        <w:rPr>
          <w:i/>
          <w:iCs/>
          <w:lang w:eastAsia="lt-LT"/>
        </w:rPr>
        <w:t xml:space="preserve"> </w:t>
      </w:r>
      <w:r>
        <w:rPr>
          <w:lang w:eastAsia="lt-LT"/>
        </w:rPr>
        <w:t>išperkamo</w:t>
      </w:r>
      <w:r>
        <w:rPr>
          <w:i/>
          <w:iCs/>
          <w:lang w:eastAsia="lt-LT"/>
        </w:rPr>
        <w:t xml:space="preserve"> </w:t>
      </w:r>
      <w:r>
        <w:rPr>
          <w:lang w:eastAsia="lt-LT"/>
        </w:rPr>
        <w:t>turto</w:t>
      </w:r>
      <w:r>
        <w:rPr>
          <w:i/>
          <w:iCs/>
          <w:lang w:eastAsia="lt-LT"/>
        </w:rPr>
        <w:t xml:space="preserve"> </w:t>
      </w:r>
      <w:r>
        <w:rPr>
          <w:lang w:eastAsia="lt-LT"/>
        </w:rPr>
        <w:t>kainos</w:t>
      </w:r>
      <w:r>
        <w:rPr>
          <w:i/>
          <w:iCs/>
          <w:lang w:eastAsia="lt-LT"/>
        </w:rPr>
        <w:t xml:space="preserve"> </w:t>
      </w:r>
      <w:r>
        <w:rPr>
          <w:lang w:eastAsia="lt-LT"/>
        </w:rPr>
        <w:t>dalis</w:t>
      </w:r>
      <w:r>
        <w:rPr>
          <w:i/>
          <w:iCs/>
          <w:lang w:eastAsia="lt-LT"/>
        </w:rPr>
        <w:t xml:space="preserve"> </w:t>
      </w:r>
      <w:r>
        <w:rPr>
          <w:lang w:eastAsia="lt-LT"/>
        </w:rPr>
        <w:t>ir</w:t>
      </w:r>
      <w:r>
        <w:rPr>
          <w:i/>
          <w:iCs/>
          <w:lang w:eastAsia="lt-LT"/>
        </w:rPr>
        <w:t xml:space="preserve"> </w:t>
      </w:r>
      <w:r>
        <w:rPr>
          <w:lang w:eastAsia="lt-LT"/>
        </w:rPr>
        <w:t>palūkanos.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šios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veikos</w:t>
      </w:r>
      <w:r>
        <w:rPr>
          <w:i/>
          <w:iCs/>
          <w:lang w:eastAsia="lt-LT"/>
        </w:rPr>
        <w:t xml:space="preserve"> </w:t>
      </w:r>
      <w:r>
        <w:rPr>
          <w:lang w:eastAsia="lt-LT"/>
        </w:rPr>
        <w:t>ypatumus,</w:t>
      </w:r>
      <w:r>
        <w:rPr>
          <w:i/>
          <w:iCs/>
          <w:lang w:eastAsia="lt-LT"/>
        </w:rPr>
        <w:t xml:space="preserve"> </w:t>
      </w:r>
      <w:r>
        <w:rPr>
          <w:lang w:eastAsia="lt-LT"/>
        </w:rPr>
        <w:t>vienetų,</w:t>
      </w:r>
      <w:r>
        <w:rPr>
          <w:i/>
          <w:iCs/>
          <w:lang w:eastAsia="lt-LT"/>
        </w:rPr>
        <w:t xml:space="preserve"> </w:t>
      </w:r>
      <w:r>
        <w:rPr>
          <w:lang w:eastAsia="lt-LT"/>
        </w:rPr>
        <w:t>vykdančių</w:t>
      </w:r>
      <w:r>
        <w:rPr>
          <w:i/>
          <w:iCs/>
          <w:lang w:eastAsia="lt-LT"/>
        </w:rPr>
        <w:t xml:space="preserve"> </w:t>
      </w:r>
      <w:r>
        <w:rPr>
          <w:lang w:eastAsia="lt-LT"/>
        </w:rPr>
        <w:t>tokią</w:t>
      </w:r>
      <w:r>
        <w:rPr>
          <w:i/>
          <w:iCs/>
          <w:lang w:eastAsia="lt-LT"/>
        </w:rPr>
        <w:t xml:space="preserve"> </w:t>
      </w:r>
      <w:r>
        <w:rPr>
          <w:lang w:eastAsia="lt-LT"/>
        </w:rPr>
        <w:t>veiklą,</w:t>
      </w:r>
      <w:r>
        <w:rPr>
          <w:i/>
          <w:iCs/>
          <w:lang w:eastAsia="lt-LT"/>
        </w:rPr>
        <w:t xml:space="preserve"> </w:t>
      </w:r>
      <w:r>
        <w:rPr>
          <w:lang w:eastAsia="lt-LT"/>
        </w:rPr>
        <w:t>uždirbtoms</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palūkanos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sutartyje</w:t>
      </w:r>
      <w:r>
        <w:rPr>
          <w:i/>
          <w:iCs/>
          <w:lang w:eastAsia="lt-LT"/>
        </w:rPr>
        <w:t xml:space="preserve"> </w:t>
      </w:r>
      <w:r>
        <w:rPr>
          <w:lang w:eastAsia="lt-LT"/>
        </w:rPr>
        <w:t>numatytų</w:t>
      </w:r>
      <w:r>
        <w:rPr>
          <w:i/>
          <w:iCs/>
          <w:lang w:eastAsia="lt-LT"/>
        </w:rPr>
        <w:t xml:space="preserve"> </w:t>
      </w:r>
      <w:r>
        <w:rPr>
          <w:lang w:eastAsia="lt-LT"/>
        </w:rPr>
        <w:t>paslaugų</w:t>
      </w:r>
      <w:r>
        <w:rPr>
          <w:i/>
          <w:iCs/>
          <w:lang w:eastAsia="lt-LT"/>
        </w:rPr>
        <w:t xml:space="preserve"> </w:t>
      </w:r>
      <w:r>
        <w:rPr>
          <w:lang w:eastAsia="lt-LT"/>
        </w:rPr>
        <w:t>kaina.</w:t>
      </w:r>
      <w:r>
        <w:rPr>
          <w:i/>
          <w:iCs/>
          <w:lang w:eastAsia="lt-LT"/>
        </w:rPr>
        <w:t xml:space="preserve"> </w:t>
      </w:r>
      <w:r>
        <w:rPr>
          <w:lang w:eastAsia="lt-LT"/>
        </w:rPr>
        <w:t>Palūkanų pajamos pripažįstamos pagal kaupimo apskaitos principą laikant, kad palūkanos kaupiasi pagal sutartyje nurodytą palūkanų normą nuo mažėjančios bazės.</w:t>
      </w:r>
    </w:p>
    <w:p w14:paraId="5B89BD0A" w14:textId="77777777" w:rsidR="00093845" w:rsidRDefault="000D779E">
      <w:pPr>
        <w:spacing w:before="100" w:beforeAutospacing="1" w:after="100" w:afterAutospacing="1"/>
        <w:jc w:val="both"/>
        <w:rPr>
          <w:lang w:eastAsia="lt-LT"/>
        </w:rPr>
      </w:pPr>
      <w:r>
        <w:rPr>
          <w:lang w:eastAsia="lt-LT"/>
        </w:rPr>
        <w:t xml:space="preserve">      Vienetams,</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0A576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apskaitos</w:t>
      </w:r>
      <w:r>
        <w:rPr>
          <w:i/>
          <w:iCs/>
          <w:lang w:eastAsia="lt-LT"/>
        </w:rPr>
        <w:t xml:space="preserve"> </w:t>
      </w:r>
      <w:r>
        <w:rPr>
          <w:lang w:eastAsia="lt-LT"/>
        </w:rPr>
        <w:t>ypatumus</w:t>
      </w:r>
      <w:r>
        <w:rPr>
          <w:i/>
          <w:iCs/>
          <w:lang w:eastAsia="lt-LT"/>
        </w:rPr>
        <w:t xml:space="preserve"> </w:t>
      </w:r>
      <w:r>
        <w:rPr>
          <w:lang w:eastAsia="lt-LT"/>
        </w:rPr>
        <w:t>nustato</w:t>
      </w:r>
      <w:r>
        <w:rPr>
          <w:i/>
          <w:iCs/>
          <w:lang w:eastAsia="lt-LT"/>
        </w:rPr>
        <w:t xml:space="preserve"> </w:t>
      </w:r>
      <w:r>
        <w:rPr>
          <w:lang w:eastAsia="lt-LT"/>
        </w:rPr>
        <w:t>20</w:t>
      </w:r>
      <w:r>
        <w:rPr>
          <w:i/>
          <w:iCs/>
          <w:lang w:eastAsia="lt-LT"/>
        </w:rPr>
        <w:t xml:space="preserve"> </w:t>
      </w:r>
      <w:r>
        <w:rPr>
          <w:lang w:eastAsia="lt-LT"/>
        </w:rPr>
        <w:t>VAS</w:t>
      </w:r>
      <w:r>
        <w:rPr>
          <w:i/>
          <w:iCs/>
          <w:lang w:eastAsia="lt-LT"/>
        </w:rPr>
        <w:t xml:space="preserve"> „</w:t>
      </w:r>
      <w:r>
        <w:rPr>
          <w:lang w:eastAsia="lt-LT"/>
        </w:rPr>
        <w:t>Nuoma,</w:t>
      </w:r>
      <w:r>
        <w:rPr>
          <w:i/>
          <w:iCs/>
          <w:lang w:eastAsia="lt-LT"/>
        </w:rPr>
        <w:t xml:space="preserve"> </w:t>
      </w:r>
      <w:r>
        <w:rPr>
          <w:lang w:eastAsia="lt-LT"/>
        </w:rPr>
        <w:t>lizingas</w:t>
      </w:r>
      <w:r>
        <w:rPr>
          <w:i/>
          <w:iCs/>
          <w:lang w:eastAsia="lt-LT"/>
        </w:rPr>
        <w:t xml:space="preserve"> </w:t>
      </w:r>
      <w:r>
        <w:rPr>
          <w:lang w:eastAsia="lt-LT"/>
        </w:rPr>
        <w:t>(finansinė</w:t>
      </w:r>
      <w:r>
        <w:rPr>
          <w:i/>
          <w:iCs/>
          <w:lang w:eastAsia="lt-LT"/>
        </w:rPr>
        <w:t xml:space="preserve"> </w:t>
      </w:r>
      <w:r>
        <w:rPr>
          <w:lang w:eastAsia="lt-LT"/>
        </w:rPr>
        <w:t>nuoma)</w:t>
      </w:r>
      <w:r>
        <w:rPr>
          <w:i/>
          <w:iCs/>
          <w:lang w:eastAsia="lt-LT"/>
        </w:rPr>
        <w:t xml:space="preserve"> </w:t>
      </w:r>
      <w:r>
        <w:rPr>
          <w:lang w:eastAsia="lt-LT"/>
        </w:rPr>
        <w:t>ir</w:t>
      </w:r>
      <w:r>
        <w:rPr>
          <w:i/>
          <w:iCs/>
          <w:lang w:eastAsia="lt-LT"/>
        </w:rPr>
        <w:t xml:space="preserve"> </w:t>
      </w:r>
      <w:r>
        <w:rPr>
          <w:lang w:eastAsia="lt-LT"/>
        </w:rPr>
        <w:t>panauda</w:t>
      </w:r>
      <w:r>
        <w:rPr>
          <w:i/>
          <w:iCs/>
          <w:lang w:eastAsia="lt-LT"/>
        </w:rPr>
        <w:t>“</w:t>
      </w:r>
      <w:r>
        <w:rPr>
          <w:lang w:eastAsia="lt-LT"/>
        </w:rPr>
        <w:t>,</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129" w:name="n1_1482"/>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rFonts w:ascii="Times New Roman" w:hAnsi="Times New Roman" w:cs="Times New Roman"/>
          <w:lang w:eastAsia="lt-LT"/>
        </w:rPr>
        <w:t>PMĮ</w:t>
      </w:r>
      <w:r>
        <w:rPr>
          <w:lang w:eastAsia="lt-LT"/>
        </w:rPr>
        <w:fldChar w:fldCharType="end"/>
      </w:r>
      <w:bookmarkStart w:id="130" w:name="pn1_1482"/>
      <w:bookmarkEnd w:id="129"/>
      <w:bookmarkEnd w:id="130"/>
      <w:r>
        <w:rPr>
          <w:lang w:eastAsia="lt-LT"/>
        </w:rPr>
        <w:t>.</w:t>
      </w:r>
      <w:r>
        <w:rPr>
          <w:i/>
          <w:iCs/>
          <w:lang w:eastAsia="lt-LT"/>
        </w:rPr>
        <w:t xml:space="preserve"> </w:t>
      </w:r>
    </w:p>
    <w:p w14:paraId="4E2605B1" w14:textId="77777777" w:rsidR="00093845" w:rsidRDefault="000D779E">
      <w:pPr>
        <w:spacing w:before="100" w:beforeAutospacing="1" w:after="100" w:afterAutospacing="1"/>
        <w:jc w:val="both"/>
        <w:rPr>
          <w:lang w:eastAsia="lt-LT"/>
        </w:rPr>
      </w:pPr>
      <w:r>
        <w:rPr>
          <w:lang w:eastAsia="lt-LT"/>
        </w:rPr>
        <w:t xml:space="preserve">    Tais atvejais, kai nutraukiama lizingo sutartis, lizingo gavėjas apmokestinamosioms pajamoms priskiria sumą, kuri gaunama, kai likusi lizingo davėjui neapmokėta ilgalaikio materialiojo turto kainos dalies suma yra didesnė už grąžintino turto likutinę vertę. </w:t>
      </w:r>
    </w:p>
    <w:p w14:paraId="23B54812" w14:textId="77777777" w:rsidR="00093845" w:rsidRDefault="000D779E">
      <w:pPr>
        <w:spacing w:before="100" w:beforeAutospacing="1" w:after="100" w:afterAutospacing="1"/>
        <w:jc w:val="both"/>
        <w:rPr>
          <w:lang w:eastAsia="lt-LT"/>
        </w:rPr>
      </w:pPr>
      <w:r>
        <w:rPr>
          <w:lang w:eastAsia="lt-LT"/>
        </w:rPr>
        <w:lastRenderedPageBreak/>
        <w:t xml:space="preserve">     Jeigu nutraukus lizingo sutartį, lizingo gavėjas apskaičiuoja nuostolį, kaip likusios neapmokėtos turto kainos dalies ir perduoto turto apskaičiuotos likutinės vertės skirtumą, tai skirtumas nepriskiriamas leidžiamiems atskaitymams, nes tokios lizingo gavėjo patirtos lizingo sutarties nutraukimo išlaidos nėra susijusios su pajamų uždirbimu (turtas toliau nenaudojamas lizingo gavėjo veikloje).</w:t>
      </w:r>
    </w:p>
    <w:p w14:paraId="7C9A9C2C" w14:textId="77777777" w:rsidR="00093845" w:rsidRDefault="000D779E">
      <w:pPr>
        <w:spacing w:before="100" w:beforeAutospacing="1" w:after="100" w:afterAutospacing="1"/>
        <w:jc w:val="both"/>
        <w:rPr>
          <w:lang w:eastAsia="lt-LT"/>
        </w:rPr>
      </w:pPr>
      <w:r>
        <w:rPr>
          <w:lang w:eastAsia="lt-LT"/>
        </w:rPr>
        <w:t> </w:t>
      </w:r>
      <w:r>
        <w:rPr>
          <w:bCs/>
          <w:lang w:eastAsia="lt-LT"/>
        </w:rPr>
        <w:t xml:space="preserve">Pavyzdys </w:t>
      </w:r>
    </w:p>
    <w:p w14:paraId="526648AE" w14:textId="77777777" w:rsidR="00093845" w:rsidRDefault="000A5763">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Įmonė A 20X</w:t>
      </w:r>
      <w:r w:rsidR="000D779E">
        <w:rPr>
          <w:lang w:eastAsia="lt-LT"/>
        </w:rPr>
        <w:t>5 m. vasario mėn. pagal lizingo sutartį įsigijo turtą iš lizingo kompanijos B už 240 000 eurų. Lizingo sutartis sudaryta 24 mėnesių laikotarpiui i</w:t>
      </w:r>
      <w:r>
        <w:rPr>
          <w:lang w:eastAsia="lt-LT"/>
        </w:rPr>
        <w:t>r įmokos pradėtos mokėti nuo 20X</w:t>
      </w:r>
      <w:r w:rsidR="000D779E">
        <w:rPr>
          <w:lang w:eastAsia="lt-LT"/>
        </w:rPr>
        <w:t>5 m. kovo 1 d.</w:t>
      </w:r>
      <w:r>
        <w:rPr>
          <w:lang w:eastAsia="lt-LT"/>
        </w:rPr>
        <w:t xml:space="preserve"> Įmonė A turtą lizingavo iki 20X</w:t>
      </w:r>
      <w:r w:rsidR="000D779E">
        <w:rPr>
          <w:lang w:eastAsia="lt-LT"/>
        </w:rPr>
        <w:t xml:space="preserve">6 m. gegužės 31 d. Vėliau pagal trišalę sutartį įmonė A perleidžia savo teises ir pareigas, įgytas pagal lizingo sutartį su lizingo kompanija B trečiai šaliai – įmonei C, t. y. teisę naudotis lizinguojamu turtu bei pareigą toliau atsiskaityti su lizingo kompanija B. </w:t>
      </w:r>
    </w:p>
    <w:p w14:paraId="38FF2F6D"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Turto perdavimo momentu įmonės A apmokėta lizinguojamo turto vertė yra 150 000 eurų, o neapmokėtoji vertė sudaro 90 000 eurų. Turto perdavimo momentu įmonės A apskaitoje lizinguojamo turto likutinė vertė sudaro 127 500 eurų. </w:t>
      </w:r>
    </w:p>
    <w:p w14:paraId="30CB37DF"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Pirmasis lizingo gavėjas, t. y. įmonė A, apskaičiuoja nuostolį, kaip likusios neapmokėtos turto kainos dalies ir perduoto turto apskaičiuotos likutinės vertės skirtumą – 37 500 eurų (90 000 eurų – 127 500 eurų). Antrasis lizingo gavėjas – įmonė C sumoka šią 37 500 eurų sumą pirmajam lizingo gavėjui – įmonei A, kaip patirto nuostolio kompensaciją už perduotą turtą. </w:t>
      </w:r>
    </w:p>
    <w:p w14:paraId="7F2B4697"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Nutraukus lizingo sutartį, pirmojo lizingo gavėjo apskaičiuotas nuostolis, kaip likusios neapmokėtos turto kainos dalies ir perduoto turo apskaičiuotos likutinės vertės skirtumas (pavyzdyje – 37 500 eurų), leidžiamiems atskaitymams nepriskiriamas, nes šios lizingo gavėjo patirtos lizingo sutarties nutraukimo kompensuotinos išlaidos nėra susijusios su pajamų uždirbimu (turtas toliau nenaudojamas lizingo gavėjo veikloje), todėl jos, apskaičiuojant apmokestinamąjį pelną, priskiriamos neleidžiamiems atskaitymams. </w:t>
      </w:r>
    </w:p>
    <w:p w14:paraId="3A40143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Tokiu atveju, kai antrasis lizingo gavėjas kompensuoja pirmajam lizingo gavėjui tik patirtų išlaidų sumą (pavyzdyje – 37 500 eurų) ir pelnas negaunamas, - pelno mokesčio objekto nėra (rezultatas lygus nuliui). </w:t>
      </w:r>
    </w:p>
    <w:p w14:paraId="4754DB3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Pažymėtina, kad pirmasis lizingo gavėjas perleidžiamojo turto likutinės vertės (pavyzdyje – 127 500 eurų) leidžiamiems atskaitymams nepriskiria. </w:t>
      </w:r>
    </w:p>
    <w:p w14:paraId="1D69FD1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Pirmojo lizingo gavėjo iš įmonės C gauta kompensacija (pavyzdyje – 37 500 eurų) už lizingo įmonei sumokėtas įmokas, apskaičiuojant apmokestinamąjį pelną, pardavimo pajamomis nelaikoma.</w:t>
      </w:r>
    </w:p>
    <w:p w14:paraId="061FDCE3" w14:textId="77777777" w:rsidR="00093845" w:rsidRPr="000A5763" w:rsidRDefault="000D779E">
      <w:pPr>
        <w:spacing w:before="100" w:beforeAutospacing="1" w:after="100" w:afterAutospacing="1"/>
        <w:jc w:val="both"/>
        <w:rPr>
          <w:b/>
          <w:lang w:eastAsia="lt-LT"/>
        </w:rPr>
      </w:pPr>
      <w:r>
        <w:rPr>
          <w:lang w:eastAsia="lt-LT"/>
        </w:rPr>
        <w:t xml:space="preserve">    19.9. Vadovaujantis </w:t>
      </w:r>
      <w:bookmarkStart w:id="131" w:name="n1_148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2" w:name="pn1_1483"/>
      <w:bookmarkEnd w:id="131"/>
      <w:bookmarkEnd w:id="132"/>
      <w:r w:rsidRPr="000A5763">
        <w:rPr>
          <w:b/>
          <w:lang w:eastAsia="lt-LT"/>
        </w:rPr>
        <w:t xml:space="preserve"> </w:t>
      </w:r>
      <w:r>
        <w:rPr>
          <w:lang w:eastAsia="lt-LT"/>
        </w:rPr>
        <w:t xml:space="preserve">nuostatomis, vienetų apmokestinamosioms pajamoms iš ne nuosavybės vertybinių popierių (obligacijų) (sąvokos apibrėžimas </w:t>
      </w:r>
      <w:bookmarkStart w:id="133" w:name="n1_1484"/>
      <w:r w:rsidRPr="000A5763">
        <w:rPr>
          <w:b/>
          <w:lang w:eastAsia="lt-LT"/>
        </w:rPr>
        <w:fldChar w:fldCharType="begin"/>
      </w:r>
      <w:r w:rsidRPr="000A5763">
        <w:rPr>
          <w:b/>
          <w:lang w:eastAsia="lt-LT"/>
        </w:rPr>
        <w:instrText xml:space="preserve"> HYPERLINK "http://www.infolex.lt/ta/50460" \o "Lietuvos Respublikos vertybinių popierių įstatymas" \t "_blank" </w:instrText>
      </w:r>
      <w:r w:rsidRPr="000A5763">
        <w:rPr>
          <w:b/>
          <w:lang w:eastAsia="lt-LT"/>
        </w:rPr>
        <w:fldChar w:fldCharType="separate"/>
      </w:r>
      <w:r w:rsidRPr="000A5763">
        <w:rPr>
          <w:rStyle w:val="Hipersaitas"/>
          <w:rFonts w:ascii="Times New Roman" w:hAnsi="Times New Roman" w:cs="Times New Roman"/>
          <w:b w:val="0"/>
          <w:lang w:eastAsia="lt-LT"/>
        </w:rPr>
        <w:t>Vertybinių popierių įstatyme</w:t>
      </w:r>
      <w:r w:rsidRPr="000A5763">
        <w:rPr>
          <w:b/>
          <w:lang w:eastAsia="lt-LT"/>
        </w:rPr>
        <w:fldChar w:fldCharType="end"/>
      </w:r>
      <w:bookmarkStart w:id="134" w:name="pn1_1484"/>
      <w:bookmarkEnd w:id="133"/>
      <w:bookmarkEnd w:id="134"/>
      <w:r>
        <w:rPr>
          <w:lang w:eastAsia="lt-LT"/>
        </w:rPr>
        <w:t>) perleidimo yra priskiriamos uždirbamos palūkanos iš ne nuosavybės vertybinių popierių (obligacijų) bei uždirbamos pajamos iš ne nuosavybės vertybinių popierių (obligacijų) perleidimo. Vienetam</w:t>
      </w:r>
      <w:r w:rsidR="000A5763">
        <w:rPr>
          <w:lang w:eastAsia="lt-LT"/>
        </w:rPr>
        <w:t>s, kurie, tvarkydami finansinę</w:t>
      </w:r>
      <w:r>
        <w:rPr>
          <w:lang w:eastAsia="lt-LT"/>
        </w:rPr>
        <w:t xml:space="preserve"> apskaitą ir rengdami finansines ataskaitas, vadovaujasi VAS, ne nuosavybės vertybinių popierių (obligacijų) apskaitos ypatumus nustato 18 VAS „Finansinis turtas ir finansiniai įsipareigojimai“, kurio nuostatos, apskaičiuojant apmokestinamąjį pelną, taikomos tiek, kiek </w:t>
      </w:r>
      <w:r w:rsidRPr="000A5763">
        <w:rPr>
          <w:lang w:eastAsia="lt-LT"/>
        </w:rPr>
        <w:t>neprieštarauja</w:t>
      </w:r>
      <w:r w:rsidRPr="000A5763">
        <w:rPr>
          <w:b/>
          <w:lang w:eastAsia="lt-LT"/>
        </w:rPr>
        <w:t xml:space="preserve"> </w:t>
      </w:r>
      <w:bookmarkStart w:id="135" w:name="n1_1485"/>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6" w:name="pn1_1485"/>
      <w:bookmarkEnd w:id="135"/>
      <w:bookmarkEnd w:id="136"/>
      <w:r w:rsidRPr="000A5763">
        <w:rPr>
          <w:b/>
          <w:lang w:eastAsia="lt-LT"/>
        </w:rPr>
        <w:t xml:space="preserve">. </w:t>
      </w:r>
    </w:p>
    <w:p w14:paraId="0F69AF68" w14:textId="77777777" w:rsidR="00093845" w:rsidRDefault="000D779E">
      <w:pPr>
        <w:spacing w:before="100" w:beforeAutospacing="1" w:after="100" w:afterAutospacing="1"/>
        <w:jc w:val="both"/>
        <w:rPr>
          <w:lang w:eastAsia="lt-LT"/>
        </w:rPr>
      </w:pPr>
      <w:r>
        <w:rPr>
          <w:lang w:eastAsia="lt-LT"/>
        </w:rPr>
        <w:lastRenderedPageBreak/>
        <w:t xml:space="preserve">   19.10. Kelionių agentūrų pajamų pripažinimas priklauso nuo jų vykdomos veiklos specifikos ir suteiktų paslaugų pobūdžio. Tuo atveju, kai kelionių agentūra savo vardu parduoda viešbučių rezervavimo paslaugas ar kelionių bilietus, agentūros pajamoms priskiriama parduotų viešbučių rezervavimo paslaugų ar bilietų vertė. </w:t>
      </w:r>
    </w:p>
    <w:p w14:paraId="647AF26F" w14:textId="77777777" w:rsidR="00093845" w:rsidRDefault="000D779E">
      <w:pPr>
        <w:spacing w:before="100" w:beforeAutospacing="1" w:after="100" w:afterAutospacing="1"/>
        <w:jc w:val="both"/>
        <w:rPr>
          <w:lang w:eastAsia="lt-LT"/>
        </w:rPr>
      </w:pPr>
      <w:r>
        <w:rPr>
          <w:lang w:eastAsia="lt-LT"/>
        </w:rPr>
        <w:t xml:space="preserve">Kai agentūra kaip tarpininkas perparduoda kitų kelionių organizatorių organizuojamas keliones, jos pajamas sudarys sutartyje ir (arba) apskaitos dokumente nustatytas konkretus atlyginimo dydis už suteiktas tarpininkavimo paslaugas (procentas arba fiksuota atlyginimo suma), t.y. komisinis atlyginimas. </w:t>
      </w:r>
    </w:p>
    <w:p w14:paraId="5BB37B5E" w14:textId="77777777" w:rsidR="00093845" w:rsidRDefault="000D779E">
      <w:pPr>
        <w:spacing w:before="100" w:beforeAutospacing="1" w:after="100" w:afterAutospacing="1"/>
        <w:jc w:val="both"/>
        <w:rPr>
          <w:lang w:eastAsia="lt-LT"/>
        </w:rPr>
      </w:pPr>
      <w:r>
        <w:rPr>
          <w:lang w:eastAsia="lt-LT"/>
        </w:rPr>
        <w:t xml:space="preserve">    19.11 Pelno mokesčio apskaičiavimo požiūriu akcizas yra į valstybės biudžetą mokamas vartojimo mokestis, išreikštas procentais nuo prekės kainos arba absoliučia suma ir pridedamas prie parduodamos prekės kainos. Akcizus sumoka akcizais apmokestinamos prekės gamintojas (jei pagaminama toje šalyje) arba importuotojas. Tais atvejais, kai pridėti prie parduodamos prekės kainos akcizai sumokami, jie priskiriami įmonės leidžiamiems atskaitymams, o pajamomis, gautomis už parduotą produkciją, yra laikoma visa turto rinkos kaina, išskyrus PVM.</w:t>
      </w:r>
    </w:p>
    <w:p w14:paraId="0F90A655" w14:textId="77777777" w:rsidR="00093845" w:rsidRDefault="000D779E">
      <w:pPr>
        <w:spacing w:before="100" w:beforeAutospacing="1" w:after="100" w:afterAutospacing="1"/>
        <w:jc w:val="both"/>
        <w:rPr>
          <w:lang w:eastAsia="lt-LT"/>
        </w:rPr>
      </w:pPr>
      <w:r>
        <w:rPr>
          <w:lang w:eastAsia="lt-LT"/>
        </w:rPr>
        <w:t xml:space="preserve">    20.</w:t>
      </w:r>
      <w:r>
        <w:rPr>
          <w:i/>
          <w:iCs/>
          <w:lang w:eastAsia="lt-LT"/>
        </w:rPr>
        <w:t xml:space="preserve"> </w:t>
      </w:r>
      <w:r>
        <w:rPr>
          <w:lang w:eastAsia="lt-LT"/>
        </w:rPr>
        <w:t>Pajamoms</w:t>
      </w:r>
      <w:r>
        <w:rPr>
          <w:i/>
          <w:iCs/>
          <w:lang w:eastAsia="lt-LT"/>
        </w:rPr>
        <w:t xml:space="preserve"> </w:t>
      </w:r>
      <w:r>
        <w:rPr>
          <w:lang w:eastAsia="lt-LT"/>
        </w:rPr>
        <w:t>priskiriamos</w:t>
      </w:r>
      <w:r>
        <w:rPr>
          <w:i/>
          <w:iCs/>
          <w:lang w:eastAsia="lt-LT"/>
        </w:rPr>
        <w:t xml:space="preserve"> </w:t>
      </w:r>
      <w:r>
        <w:rPr>
          <w:lang w:eastAsia="lt-LT"/>
        </w:rPr>
        <w:t>palūkanos,</w:t>
      </w:r>
      <w:r>
        <w:rPr>
          <w:i/>
          <w:iCs/>
          <w:lang w:eastAsia="lt-LT"/>
        </w:rPr>
        <w:t xml:space="preserve"> </w:t>
      </w:r>
      <w:r>
        <w:rPr>
          <w:lang w:eastAsia="lt-LT"/>
        </w:rPr>
        <w:t>autoriniai</w:t>
      </w:r>
      <w:r>
        <w:rPr>
          <w:i/>
          <w:iCs/>
          <w:lang w:eastAsia="lt-LT"/>
        </w:rPr>
        <w:t xml:space="preserve"> </w:t>
      </w:r>
      <w:r>
        <w:rPr>
          <w:lang w:eastAsia="lt-LT"/>
        </w:rPr>
        <w:t>atlyginimai</w:t>
      </w:r>
      <w:r>
        <w:rPr>
          <w:i/>
          <w:iCs/>
          <w:lang w:eastAsia="lt-LT"/>
        </w:rPr>
        <w:t xml:space="preserve"> </w:t>
      </w:r>
      <w:r>
        <w:rPr>
          <w:lang w:eastAsia="lt-LT"/>
        </w:rPr>
        <w:t>(honorarai)</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pajamos,</w:t>
      </w:r>
      <w:r>
        <w:rPr>
          <w:i/>
          <w:iCs/>
          <w:lang w:eastAsia="lt-LT"/>
        </w:rPr>
        <w:t xml:space="preserve"> </w:t>
      </w:r>
      <w:r>
        <w:rPr>
          <w:lang w:eastAsia="lt-LT"/>
        </w:rPr>
        <w:t>kurios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nuolatinės</w:t>
      </w:r>
      <w:r>
        <w:rPr>
          <w:i/>
          <w:iCs/>
          <w:lang w:eastAsia="lt-LT"/>
        </w:rPr>
        <w:t xml:space="preserve"> </w:t>
      </w:r>
      <w:r>
        <w:rPr>
          <w:lang w:eastAsia="lt-LT"/>
        </w:rPr>
        <w:t>ar</w:t>
      </w:r>
      <w:r>
        <w:rPr>
          <w:i/>
          <w:iCs/>
          <w:lang w:eastAsia="lt-LT"/>
        </w:rPr>
        <w:t xml:space="preserve"> </w:t>
      </w:r>
      <w:r>
        <w:rPr>
          <w:lang w:eastAsia="lt-LT"/>
        </w:rPr>
        <w:t>vienkartinės,</w:t>
      </w:r>
      <w:r>
        <w:rPr>
          <w:i/>
          <w:iCs/>
          <w:lang w:eastAsia="lt-LT"/>
        </w:rPr>
        <w:t xml:space="preserve"> </w:t>
      </w:r>
      <w:r>
        <w:rPr>
          <w:lang w:eastAsia="lt-LT"/>
        </w:rPr>
        <w:t>atsižvelgiant</w:t>
      </w:r>
      <w:r>
        <w:rPr>
          <w:i/>
          <w:iCs/>
          <w:lang w:eastAsia="lt-LT"/>
        </w:rPr>
        <w:t xml:space="preserve"> </w:t>
      </w:r>
      <w:r>
        <w:rPr>
          <w:lang w:eastAsia="lt-LT"/>
        </w:rPr>
        <w:t>į</w:t>
      </w:r>
      <w:r>
        <w:rPr>
          <w:i/>
          <w:iCs/>
          <w:lang w:eastAsia="lt-LT"/>
        </w:rPr>
        <w:t xml:space="preserve"> </w:t>
      </w:r>
      <w:r>
        <w:rPr>
          <w:lang w:eastAsia="lt-LT"/>
        </w:rPr>
        <w:t>vieneto</w:t>
      </w:r>
      <w:r>
        <w:rPr>
          <w:i/>
          <w:iCs/>
          <w:lang w:eastAsia="lt-LT"/>
        </w:rPr>
        <w:t xml:space="preserve"> </w:t>
      </w:r>
      <w:r>
        <w:rPr>
          <w:lang w:eastAsia="lt-LT"/>
        </w:rPr>
        <w:t>vykdomą</w:t>
      </w:r>
      <w:r>
        <w:rPr>
          <w:i/>
          <w:iCs/>
          <w:lang w:eastAsia="lt-LT"/>
        </w:rPr>
        <w:t xml:space="preserve"> </w:t>
      </w:r>
      <w:r>
        <w:rPr>
          <w:lang w:eastAsia="lt-LT"/>
        </w:rPr>
        <w:t>pagrindinę</w:t>
      </w:r>
      <w:r>
        <w:rPr>
          <w:i/>
          <w:iCs/>
          <w:lang w:eastAsia="lt-LT"/>
        </w:rPr>
        <w:t xml:space="preserve"> </w:t>
      </w:r>
      <w:r>
        <w:rPr>
          <w:lang w:eastAsia="lt-LT"/>
        </w:rPr>
        <w:t>veiklą</w:t>
      </w:r>
      <w:r>
        <w:rPr>
          <w:i/>
          <w:iCs/>
          <w:lang w:eastAsia="lt-LT"/>
        </w:rPr>
        <w:t xml:space="preserve"> </w:t>
      </w:r>
      <w:r>
        <w:rPr>
          <w:lang w:eastAsia="lt-LT"/>
        </w:rPr>
        <w:t>ir</w:t>
      </w:r>
      <w:r>
        <w:rPr>
          <w:i/>
          <w:iCs/>
          <w:lang w:eastAsia="lt-LT"/>
        </w:rPr>
        <w:t xml:space="preserve"> </w:t>
      </w:r>
      <w:r>
        <w:rPr>
          <w:lang w:eastAsia="lt-LT"/>
        </w:rPr>
        <w:t>kitos</w:t>
      </w:r>
      <w:r>
        <w:rPr>
          <w:i/>
          <w:iCs/>
          <w:lang w:eastAsia="lt-LT"/>
        </w:rPr>
        <w:t xml:space="preserve"> </w:t>
      </w:r>
      <w:r>
        <w:rPr>
          <w:lang w:eastAsia="lt-LT"/>
        </w:rPr>
        <w:t>investicinės</w:t>
      </w:r>
      <w:r>
        <w:rPr>
          <w:i/>
          <w:iCs/>
          <w:lang w:eastAsia="lt-LT"/>
        </w:rPr>
        <w:t xml:space="preserve"> </w:t>
      </w:r>
      <w:r>
        <w:rPr>
          <w:lang w:eastAsia="lt-LT"/>
        </w:rPr>
        <w:t>bei</w:t>
      </w:r>
      <w:r>
        <w:rPr>
          <w:i/>
          <w:iCs/>
          <w:lang w:eastAsia="lt-LT"/>
        </w:rPr>
        <w:t xml:space="preserve"> </w:t>
      </w:r>
      <w:r>
        <w:rPr>
          <w:lang w:eastAsia="lt-LT"/>
        </w:rPr>
        <w:t>finansinės</w:t>
      </w:r>
      <w:r>
        <w:rPr>
          <w:i/>
          <w:iCs/>
          <w:lang w:eastAsia="lt-LT"/>
        </w:rPr>
        <w:t xml:space="preserve"> </w:t>
      </w:r>
      <w:r>
        <w:rPr>
          <w:lang w:eastAsia="lt-LT"/>
        </w:rPr>
        <w:t>veiklos</w:t>
      </w:r>
      <w:r>
        <w:rPr>
          <w:i/>
          <w:iCs/>
          <w:lang w:eastAsia="lt-LT"/>
        </w:rPr>
        <w:t xml:space="preserve"> </w:t>
      </w:r>
      <w:r>
        <w:rPr>
          <w:lang w:eastAsia="lt-LT"/>
        </w:rPr>
        <w:t>pajamos,</w:t>
      </w:r>
      <w:r>
        <w:rPr>
          <w:i/>
          <w:iCs/>
          <w:lang w:eastAsia="lt-LT"/>
        </w:rPr>
        <w:t xml:space="preserve"> </w:t>
      </w:r>
      <w:r>
        <w:rPr>
          <w:lang w:eastAsia="lt-LT"/>
        </w:rPr>
        <w:t>įskaitant</w:t>
      </w:r>
      <w:r>
        <w:rPr>
          <w:i/>
          <w:iCs/>
          <w:lang w:eastAsia="lt-LT"/>
        </w:rPr>
        <w:t xml:space="preserve"> </w:t>
      </w:r>
      <w:bookmarkStart w:id="137" w:name="n1_148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38" w:name="pn1_1486"/>
      <w:bookmarkEnd w:id="137"/>
      <w:bookmarkEnd w:id="138"/>
      <w:r>
        <w:rPr>
          <w:i/>
          <w:iCs/>
          <w:lang w:eastAsia="lt-LT"/>
        </w:rPr>
        <w:t xml:space="preserve"> </w:t>
      </w:r>
      <w:r>
        <w:rPr>
          <w:lang w:eastAsia="lt-LT"/>
        </w:rPr>
        <w:t>12</w:t>
      </w:r>
      <w:r>
        <w:rPr>
          <w:i/>
          <w:iCs/>
          <w:lang w:eastAsia="lt-LT"/>
        </w:rPr>
        <w:t xml:space="preserve"> </w:t>
      </w:r>
      <w:r>
        <w:rPr>
          <w:lang w:eastAsia="lt-LT"/>
        </w:rPr>
        <w:t>straipsnyje</w:t>
      </w:r>
      <w:r>
        <w:rPr>
          <w:i/>
          <w:iCs/>
          <w:lang w:eastAsia="lt-LT"/>
        </w:rPr>
        <w:t xml:space="preserve"> </w:t>
      </w:r>
      <w:r>
        <w:rPr>
          <w:lang w:eastAsia="lt-LT"/>
        </w:rPr>
        <w:t>nustatytas</w:t>
      </w:r>
      <w:r>
        <w:rPr>
          <w:i/>
          <w:iCs/>
          <w:lang w:eastAsia="lt-LT"/>
        </w:rPr>
        <w:t xml:space="preserve"> </w:t>
      </w:r>
      <w:r>
        <w:rPr>
          <w:lang w:eastAsia="lt-LT"/>
        </w:rPr>
        <w:t>neapmokestinamąsias</w:t>
      </w:r>
      <w:r>
        <w:rPr>
          <w:i/>
          <w:iCs/>
          <w:lang w:eastAsia="lt-LT"/>
        </w:rPr>
        <w:t xml:space="preserve"> </w:t>
      </w:r>
      <w:r>
        <w:rPr>
          <w:lang w:eastAsia="lt-LT"/>
        </w:rPr>
        <w:t>pajamas.</w:t>
      </w:r>
      <w:r>
        <w:rPr>
          <w:i/>
          <w:iCs/>
          <w:lang w:eastAsia="lt-LT"/>
        </w:rPr>
        <w:t xml:space="preserve"> </w:t>
      </w:r>
      <w:r>
        <w:rPr>
          <w:lang w:eastAsia="lt-LT"/>
        </w:rPr>
        <w:t>Vienetai,</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sidR="000A5763">
        <w:rPr>
          <w:lang w:eastAsia="lt-LT"/>
        </w:rPr>
        <w:t>finansinę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apskaičiuodami</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subsidijų</w:t>
      </w:r>
      <w:r>
        <w:rPr>
          <w:i/>
          <w:iCs/>
          <w:lang w:eastAsia="lt-LT"/>
        </w:rPr>
        <w:t xml:space="preserve"> </w:t>
      </w:r>
      <w:r>
        <w:rPr>
          <w:lang w:eastAsia="lt-LT"/>
        </w:rPr>
        <w:t>(dotacijų)</w:t>
      </w:r>
      <w:r>
        <w:rPr>
          <w:i/>
          <w:iCs/>
          <w:lang w:eastAsia="lt-LT"/>
        </w:rPr>
        <w:t xml:space="preserve"> </w:t>
      </w:r>
      <w:r>
        <w:rPr>
          <w:lang w:eastAsia="lt-LT"/>
        </w:rPr>
        <w:t>panaudotąją</w:t>
      </w:r>
      <w:r>
        <w:rPr>
          <w:i/>
          <w:iCs/>
          <w:lang w:eastAsia="lt-LT"/>
        </w:rPr>
        <w:t xml:space="preserve"> </w:t>
      </w:r>
      <w:r>
        <w:rPr>
          <w:lang w:eastAsia="lt-LT"/>
        </w:rPr>
        <w:t>dalį</w:t>
      </w:r>
      <w:r>
        <w:rPr>
          <w:i/>
          <w:iCs/>
          <w:lang w:eastAsia="lt-LT"/>
        </w:rPr>
        <w:t xml:space="preserve"> </w:t>
      </w:r>
      <w:r>
        <w:rPr>
          <w:lang w:eastAsia="lt-LT"/>
        </w:rPr>
        <w:t>pripažįsta</w:t>
      </w:r>
      <w:r>
        <w:rPr>
          <w:i/>
          <w:iCs/>
          <w:lang w:eastAsia="lt-LT"/>
        </w:rPr>
        <w:t xml:space="preserve"> </w:t>
      </w:r>
      <w:r>
        <w:rPr>
          <w:lang w:eastAsia="lt-LT"/>
        </w:rPr>
        <w:t>pajamomis</w:t>
      </w:r>
      <w:r>
        <w:rPr>
          <w:i/>
          <w:iCs/>
          <w:lang w:eastAsia="lt-LT"/>
        </w:rPr>
        <w:t xml:space="preserve"> </w:t>
      </w:r>
      <w:r>
        <w:rPr>
          <w:lang w:eastAsia="lt-LT"/>
        </w:rPr>
        <w:t>(pvz.,</w:t>
      </w:r>
      <w:r>
        <w:rPr>
          <w:i/>
          <w:iCs/>
          <w:lang w:eastAsia="lt-LT"/>
        </w:rPr>
        <w:t xml:space="preserve"> </w:t>
      </w:r>
      <w:r>
        <w:rPr>
          <w:lang w:eastAsia="lt-LT"/>
        </w:rPr>
        <w:t>dotaciją,</w:t>
      </w:r>
      <w:r>
        <w:rPr>
          <w:i/>
          <w:iCs/>
          <w:lang w:eastAsia="lt-LT"/>
        </w:rPr>
        <w:t xml:space="preserve"> </w:t>
      </w:r>
      <w:r>
        <w:rPr>
          <w:lang w:eastAsia="lt-LT"/>
        </w:rPr>
        <w:t>skirtą</w:t>
      </w:r>
      <w:r>
        <w:rPr>
          <w:i/>
          <w:iCs/>
          <w:lang w:eastAsia="lt-LT"/>
        </w:rPr>
        <w:t xml:space="preserve"> </w:t>
      </w:r>
      <w:r>
        <w:rPr>
          <w:lang w:eastAsia="lt-LT"/>
        </w:rPr>
        <w:t>negautoms</w:t>
      </w:r>
      <w:r>
        <w:rPr>
          <w:i/>
          <w:iCs/>
          <w:lang w:eastAsia="lt-LT"/>
        </w:rPr>
        <w:t xml:space="preserve"> </w:t>
      </w:r>
      <w:r>
        <w:rPr>
          <w:lang w:eastAsia="lt-LT"/>
        </w:rPr>
        <w:t>pajamoms</w:t>
      </w:r>
      <w:r>
        <w:rPr>
          <w:i/>
          <w:iCs/>
          <w:lang w:eastAsia="lt-LT"/>
        </w:rPr>
        <w:t xml:space="preserve"> </w:t>
      </w:r>
      <w:r>
        <w:rPr>
          <w:lang w:eastAsia="lt-LT"/>
        </w:rPr>
        <w:t>kompensuoti)</w:t>
      </w:r>
      <w:r>
        <w:rPr>
          <w:i/>
          <w:iCs/>
          <w:lang w:eastAsia="lt-LT"/>
        </w:rPr>
        <w:t xml:space="preserve"> </w:t>
      </w:r>
      <w:r>
        <w:rPr>
          <w:lang w:eastAsia="lt-LT"/>
        </w:rPr>
        <w:t>pagal</w:t>
      </w:r>
      <w:r>
        <w:rPr>
          <w:i/>
          <w:iCs/>
          <w:lang w:eastAsia="lt-LT"/>
        </w:rPr>
        <w:t xml:space="preserve"> </w:t>
      </w:r>
      <w:r>
        <w:rPr>
          <w:lang w:eastAsia="lt-LT"/>
        </w:rPr>
        <w:t>21</w:t>
      </w:r>
      <w:r>
        <w:rPr>
          <w:i/>
          <w:iCs/>
          <w:lang w:eastAsia="lt-LT"/>
        </w:rPr>
        <w:t xml:space="preserve"> </w:t>
      </w:r>
      <w:r>
        <w:rPr>
          <w:lang w:eastAsia="lt-LT"/>
        </w:rPr>
        <w:t>VAS</w:t>
      </w:r>
      <w:r>
        <w:rPr>
          <w:i/>
          <w:iCs/>
          <w:lang w:eastAsia="lt-LT"/>
        </w:rPr>
        <w:t xml:space="preserve"> „</w:t>
      </w:r>
      <w:r>
        <w:rPr>
          <w:lang w:eastAsia="lt-LT"/>
        </w:rPr>
        <w:t>Dotacijos</w:t>
      </w:r>
      <w:r>
        <w:rPr>
          <w:i/>
          <w:iCs/>
          <w:lang w:eastAsia="lt-LT"/>
        </w:rPr>
        <w:t xml:space="preserve"> </w:t>
      </w:r>
      <w:r>
        <w:rPr>
          <w:lang w:eastAsia="lt-LT"/>
        </w:rPr>
        <w:t>ir</w:t>
      </w:r>
      <w:r>
        <w:rPr>
          <w:i/>
          <w:iCs/>
          <w:lang w:eastAsia="lt-LT"/>
        </w:rPr>
        <w:t xml:space="preserve"> </w:t>
      </w:r>
      <w:r>
        <w:rPr>
          <w:lang w:eastAsia="lt-LT"/>
        </w:rPr>
        <w:t>subsidijos</w:t>
      </w:r>
      <w:r>
        <w:rPr>
          <w:i/>
          <w:iCs/>
          <w:lang w:eastAsia="lt-LT"/>
        </w:rPr>
        <w:t xml:space="preserve">“ </w:t>
      </w:r>
      <w:r>
        <w:rPr>
          <w:lang w:eastAsia="lt-LT"/>
        </w:rPr>
        <w:t xml:space="preserve">nuostatas.                   Apskaičiuojant apmokestinamąjį pelną, negautoms pajamoms kompensuoti skirta dotacija pripažįstama panaudota tokia dalimi, kiek per tam tikrą laikotarpį apskaičiuojama negautų pajamų. </w:t>
      </w:r>
    </w:p>
    <w:p w14:paraId="3B49D4E9" w14:textId="77777777" w:rsidR="00093845" w:rsidRDefault="000D779E">
      <w:pPr>
        <w:spacing w:before="100" w:beforeAutospacing="1" w:after="100" w:afterAutospacing="1"/>
        <w:jc w:val="both"/>
        <w:rPr>
          <w:lang w:eastAsia="lt-LT"/>
        </w:rPr>
      </w:pPr>
      <w:r>
        <w:rPr>
          <w:lang w:eastAsia="lt-LT"/>
        </w:rPr>
        <w:t xml:space="preserve"> Apskaičiuojant apmokestinamąjį pelną, dotacija patirtoms sąnaudoms kompensuoti nepriskiriama apmokestinamosioms pajamoms. Šiuo atveju mažinama sąnaudų, kurioms kompensuoti dotacija gauta, suma.</w:t>
      </w:r>
    </w:p>
    <w:p w14:paraId="1A79B3CE" w14:textId="77777777" w:rsidR="007E10F3" w:rsidRDefault="000D779E">
      <w:pPr>
        <w:spacing w:before="100" w:beforeAutospacing="1" w:after="100" w:afterAutospacing="1"/>
        <w:jc w:val="both"/>
        <w:rPr>
          <w:lang w:eastAsia="lt-LT"/>
        </w:rPr>
      </w:pPr>
      <w:r>
        <w:rPr>
          <w:lang w:eastAsia="lt-LT"/>
        </w:rPr>
        <w:t xml:space="preserve">     21.</w:t>
      </w:r>
      <w:r>
        <w:rPr>
          <w:i/>
          <w:iCs/>
          <w:lang w:eastAsia="lt-LT"/>
        </w:rPr>
        <w:t xml:space="preserve"> </w:t>
      </w:r>
      <w:r>
        <w:rPr>
          <w:lang w:eastAsia="lt-LT"/>
        </w:rPr>
        <w:t>Kai</w:t>
      </w:r>
      <w:r>
        <w:rPr>
          <w:i/>
          <w:iCs/>
          <w:lang w:eastAsia="lt-LT"/>
        </w:rPr>
        <w:t xml:space="preserve"> </w:t>
      </w:r>
      <w:r>
        <w:rPr>
          <w:lang w:eastAsia="lt-LT"/>
        </w:rPr>
        <w:t>kuriais</w:t>
      </w:r>
      <w:r>
        <w:rPr>
          <w:i/>
          <w:iCs/>
          <w:lang w:eastAsia="lt-LT"/>
        </w:rPr>
        <w:t xml:space="preserve"> </w:t>
      </w:r>
      <w:bookmarkStart w:id="139" w:name="n1_149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0" w:name="pn1_1491"/>
      <w:bookmarkEnd w:id="139"/>
      <w:bookmarkEnd w:id="140"/>
      <w:r>
        <w:rPr>
          <w:i/>
          <w:iCs/>
          <w:lang w:eastAsia="lt-LT"/>
        </w:rPr>
        <w:t xml:space="preserve"> </w:t>
      </w:r>
      <w:r>
        <w:rPr>
          <w:lang w:eastAsia="lt-LT"/>
        </w:rPr>
        <w:t>nustatytais</w:t>
      </w:r>
      <w:r>
        <w:rPr>
          <w:i/>
          <w:iCs/>
          <w:lang w:eastAsia="lt-LT"/>
        </w:rPr>
        <w:t xml:space="preserve"> </w:t>
      </w:r>
      <w:r>
        <w:rPr>
          <w:lang w:eastAsia="lt-LT"/>
        </w:rPr>
        <w:t>atvejais</w:t>
      </w:r>
      <w:r>
        <w:rPr>
          <w:i/>
          <w:iCs/>
          <w:lang w:eastAsia="lt-LT"/>
        </w:rPr>
        <w:t xml:space="preserve"> </w:t>
      </w:r>
      <w:r>
        <w:rPr>
          <w:lang w:eastAsia="lt-LT"/>
        </w:rPr>
        <w:t>įmonės</w:t>
      </w:r>
      <w:r>
        <w:rPr>
          <w:i/>
          <w:iCs/>
          <w:lang w:eastAsia="lt-LT"/>
        </w:rPr>
        <w:t xml:space="preserve"> </w:t>
      </w:r>
      <w:r>
        <w:rPr>
          <w:lang w:eastAsia="lt-LT"/>
        </w:rPr>
        <w:t>pajamos</w:t>
      </w:r>
      <w:r>
        <w:rPr>
          <w:i/>
          <w:iCs/>
          <w:lang w:eastAsia="lt-LT"/>
        </w:rPr>
        <w:t xml:space="preserve"> </w:t>
      </w:r>
      <w:r>
        <w:rPr>
          <w:lang w:eastAsia="lt-LT"/>
        </w:rPr>
        <w:t>nustatomos</w:t>
      </w:r>
      <w:r>
        <w:rPr>
          <w:i/>
          <w:iCs/>
          <w:lang w:eastAsia="lt-LT"/>
        </w:rPr>
        <w:t xml:space="preserve"> </w:t>
      </w:r>
      <w:r>
        <w:rPr>
          <w:lang w:eastAsia="lt-LT"/>
        </w:rPr>
        <w:t>(padidinamos)</w:t>
      </w:r>
      <w:r>
        <w:rPr>
          <w:i/>
          <w:iCs/>
          <w:lang w:eastAsia="lt-LT"/>
        </w:rPr>
        <w:t xml:space="preserve"> </w:t>
      </w:r>
      <w:r>
        <w:rPr>
          <w:lang w:eastAsia="lt-LT"/>
        </w:rPr>
        <w:t>pagal</w:t>
      </w:r>
      <w:r>
        <w:rPr>
          <w:i/>
          <w:iCs/>
          <w:lang w:eastAsia="lt-LT"/>
        </w:rPr>
        <w:t xml:space="preserve"> </w:t>
      </w:r>
      <w:r>
        <w:rPr>
          <w:lang w:eastAsia="lt-LT"/>
        </w:rPr>
        <w:t>specialias</w:t>
      </w:r>
      <w:r>
        <w:rPr>
          <w:i/>
          <w:iCs/>
          <w:lang w:eastAsia="lt-LT"/>
        </w:rPr>
        <w:t xml:space="preserve"> </w:t>
      </w:r>
      <w:bookmarkStart w:id="141" w:name="n1_1492"/>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2" w:name="pn1_1492"/>
      <w:bookmarkEnd w:id="141"/>
      <w:bookmarkEnd w:id="142"/>
      <w:r>
        <w:rPr>
          <w:i/>
          <w:iCs/>
          <w:lang w:eastAsia="lt-LT"/>
        </w:rPr>
        <w:t xml:space="preserve"> </w:t>
      </w:r>
      <w:r>
        <w:rPr>
          <w:lang w:eastAsia="lt-LT"/>
        </w:rPr>
        <w:t>(pvz.,</w:t>
      </w:r>
      <w:r>
        <w:rPr>
          <w:i/>
          <w:iCs/>
          <w:lang w:eastAsia="lt-LT"/>
        </w:rPr>
        <w:t xml:space="preserve"> </w:t>
      </w:r>
      <w:bookmarkStart w:id="143" w:name="n1_149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4" w:name="pn1_1493"/>
      <w:bookmarkEnd w:id="143"/>
      <w:bookmarkEnd w:id="144"/>
      <w:r w:rsidRPr="000A5763">
        <w:rPr>
          <w:b/>
          <w:i/>
          <w:iCs/>
          <w:lang w:eastAsia="lt-LT"/>
        </w:rPr>
        <w:t xml:space="preserve"> </w:t>
      </w:r>
      <w:bookmarkStart w:id="145" w:name="n1_1494"/>
      <w:r w:rsidRPr="000A5763">
        <w:rPr>
          <w:b/>
          <w:lang w:eastAsia="lt-LT"/>
        </w:rPr>
        <w:fldChar w:fldCharType="begin"/>
      </w:r>
      <w:r w:rsidRPr="000A5763">
        <w:rPr>
          <w:b/>
          <w:lang w:eastAsia="lt-LT"/>
        </w:rPr>
        <w:instrText xml:space="preserve"> HYPERLINK "JavaScript:OL('12868','38')" \o "Turto ar turtinio komplekso nuomos apmokestinimo atvejai (str. 38)" </w:instrText>
      </w:r>
      <w:r w:rsidRPr="000A5763">
        <w:rPr>
          <w:b/>
          <w:lang w:eastAsia="lt-LT"/>
        </w:rPr>
        <w:fldChar w:fldCharType="separate"/>
      </w:r>
      <w:r w:rsidRPr="000A5763">
        <w:rPr>
          <w:rStyle w:val="Hipersaitas"/>
          <w:rFonts w:ascii="Times New Roman" w:hAnsi="Times New Roman" w:cs="Times New Roman"/>
          <w:b w:val="0"/>
          <w:lang w:eastAsia="lt-LT"/>
        </w:rPr>
        <w:t>38</w:t>
      </w:r>
      <w:r w:rsidRPr="000A5763">
        <w:rPr>
          <w:b/>
          <w:lang w:eastAsia="lt-LT"/>
        </w:rPr>
        <w:fldChar w:fldCharType="end"/>
      </w:r>
      <w:bookmarkStart w:id="146" w:name="pn1_1494"/>
      <w:bookmarkEnd w:id="145"/>
      <w:bookmarkEnd w:id="146"/>
      <w:r>
        <w:rPr>
          <w:lang w:eastAsia="lt-LT"/>
        </w:rPr>
        <w:t>,</w:t>
      </w:r>
      <w:r>
        <w:rPr>
          <w:i/>
          <w:iCs/>
          <w:lang w:eastAsia="lt-LT"/>
        </w:rPr>
        <w:t xml:space="preserve"> </w:t>
      </w:r>
      <w:r>
        <w:rPr>
          <w:lang w:eastAsia="lt-LT"/>
        </w:rPr>
        <w:t>39,</w:t>
      </w:r>
      <w:r>
        <w:rPr>
          <w:i/>
          <w:iCs/>
          <w:lang w:eastAsia="lt-LT"/>
        </w:rPr>
        <w:t xml:space="preserve"> </w:t>
      </w:r>
      <w:r>
        <w:rPr>
          <w:lang w:eastAsia="lt-LT"/>
        </w:rPr>
        <w:t>40</w:t>
      </w:r>
      <w:r w:rsidR="000A5763">
        <w:rPr>
          <w:lang w:eastAsia="lt-LT"/>
        </w:rPr>
        <w:t>, 40-2</w:t>
      </w:r>
      <w:r>
        <w:rPr>
          <w:i/>
          <w:iCs/>
          <w:lang w:eastAsia="lt-LT"/>
        </w:rPr>
        <w:t xml:space="preserve"> </w:t>
      </w:r>
      <w:r>
        <w:rPr>
          <w:lang w:eastAsia="lt-LT"/>
        </w:rPr>
        <w:t>straipsniuose)</w:t>
      </w:r>
      <w:r>
        <w:rPr>
          <w:i/>
          <w:iCs/>
          <w:lang w:eastAsia="lt-LT"/>
        </w:rPr>
        <w:t xml:space="preserve"> </w:t>
      </w:r>
      <w:r>
        <w:rPr>
          <w:lang w:eastAsia="lt-LT"/>
        </w:rPr>
        <w:t>nustatytas</w:t>
      </w:r>
      <w:r>
        <w:rPr>
          <w:i/>
          <w:iCs/>
          <w:lang w:eastAsia="lt-LT"/>
        </w:rPr>
        <w:t xml:space="preserve"> </w:t>
      </w:r>
      <w:r>
        <w:rPr>
          <w:lang w:eastAsia="lt-LT"/>
        </w:rPr>
        <w:t>taisykles.</w:t>
      </w:r>
    </w:p>
    <w:p w14:paraId="49F3B26A" w14:textId="77777777" w:rsidR="00093845" w:rsidRDefault="000D779E">
      <w:pPr>
        <w:spacing w:before="100" w:beforeAutospacing="1" w:after="100" w:afterAutospacing="1"/>
        <w:jc w:val="both"/>
        <w:rPr>
          <w:lang w:eastAsia="lt-LT"/>
        </w:rPr>
      </w:pPr>
      <w:r>
        <w:rPr>
          <w:lang w:eastAsia="lt-LT"/>
        </w:rPr>
        <w:t xml:space="preserve">     22.</w:t>
      </w:r>
      <w:r>
        <w:rPr>
          <w:i/>
          <w:iCs/>
          <w:lang w:eastAsia="lt-LT"/>
        </w:rPr>
        <w:t xml:space="preserve"> </w:t>
      </w:r>
      <w:r>
        <w:rPr>
          <w:lang w:eastAsia="lt-LT"/>
        </w:rPr>
        <w:t>Jei</w:t>
      </w:r>
      <w:r>
        <w:rPr>
          <w:i/>
          <w:iCs/>
          <w:lang w:eastAsia="lt-LT"/>
        </w:rPr>
        <w:t xml:space="preserve"> </w:t>
      </w:r>
      <w:r>
        <w:rPr>
          <w:lang w:eastAsia="lt-LT"/>
        </w:rPr>
        <w:t>prekės</w:t>
      </w:r>
      <w:r>
        <w:rPr>
          <w:i/>
          <w:iCs/>
          <w:lang w:eastAsia="lt-LT"/>
        </w:rPr>
        <w:t xml:space="preserve"> </w:t>
      </w:r>
      <w:r>
        <w:rPr>
          <w:lang w:eastAsia="lt-LT"/>
        </w:rPr>
        <w:t>mainomos</w:t>
      </w:r>
      <w:r>
        <w:rPr>
          <w:i/>
          <w:iCs/>
          <w:lang w:eastAsia="lt-LT"/>
        </w:rPr>
        <w:t xml:space="preserve"> </w:t>
      </w:r>
      <w:r>
        <w:rPr>
          <w:lang w:eastAsia="lt-LT"/>
        </w:rPr>
        <w:t>į</w:t>
      </w:r>
      <w:r>
        <w:rPr>
          <w:i/>
          <w:iCs/>
          <w:lang w:eastAsia="lt-LT"/>
        </w:rPr>
        <w:t xml:space="preserve"> </w:t>
      </w:r>
      <w:r>
        <w:rPr>
          <w:lang w:eastAsia="lt-LT"/>
        </w:rPr>
        <w:t>kitą</w:t>
      </w:r>
      <w:r>
        <w:rPr>
          <w:i/>
          <w:iCs/>
          <w:lang w:eastAsia="lt-LT"/>
        </w:rPr>
        <w:t xml:space="preserve"> </w:t>
      </w:r>
      <w:r>
        <w:rPr>
          <w:lang w:eastAsia="lt-LT"/>
        </w:rPr>
        <w:t>produkciją</w:t>
      </w:r>
      <w:r>
        <w:rPr>
          <w:i/>
          <w:iCs/>
          <w:lang w:eastAsia="lt-LT"/>
        </w:rPr>
        <w:t xml:space="preserve"> </w:t>
      </w:r>
      <w:r>
        <w:rPr>
          <w:lang w:eastAsia="lt-LT"/>
        </w:rPr>
        <w:t>ar</w:t>
      </w:r>
      <w:r>
        <w:rPr>
          <w:i/>
          <w:iCs/>
          <w:lang w:eastAsia="lt-LT"/>
        </w:rPr>
        <w:t xml:space="preserve"> </w:t>
      </w:r>
      <w:r>
        <w:rPr>
          <w:lang w:eastAsia="lt-LT"/>
        </w:rPr>
        <w:t>paslaugas,</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mainų</w:t>
      </w:r>
      <w:r>
        <w:rPr>
          <w:i/>
          <w:iCs/>
          <w:lang w:eastAsia="lt-LT"/>
        </w:rPr>
        <w:t xml:space="preserve"> </w:t>
      </w:r>
      <w:r>
        <w:rPr>
          <w:lang w:eastAsia="lt-LT"/>
        </w:rPr>
        <w:t>sandorį</w:t>
      </w:r>
      <w:r>
        <w:rPr>
          <w:i/>
          <w:iCs/>
          <w:lang w:eastAsia="lt-LT"/>
        </w:rPr>
        <w:t xml:space="preserve"> </w:t>
      </w:r>
      <w:r>
        <w:rPr>
          <w:lang w:eastAsia="lt-LT"/>
        </w:rPr>
        <w:t>pardavimo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abu</w:t>
      </w:r>
      <w:r>
        <w:rPr>
          <w:i/>
          <w:iCs/>
          <w:lang w:eastAsia="lt-LT"/>
        </w:rPr>
        <w:t xml:space="preserve"> </w:t>
      </w:r>
      <w:r>
        <w:rPr>
          <w:lang w:eastAsia="lt-LT"/>
        </w:rPr>
        <w:t>vienetai</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perduodamos</w:t>
      </w:r>
      <w:r>
        <w:rPr>
          <w:i/>
          <w:iCs/>
          <w:lang w:eastAsia="lt-LT"/>
        </w:rPr>
        <w:t xml:space="preserve"> </w:t>
      </w:r>
      <w:r>
        <w:rPr>
          <w:lang w:eastAsia="lt-LT"/>
        </w:rPr>
        <w:t>mainomos</w:t>
      </w:r>
      <w:r>
        <w:rPr>
          <w:i/>
          <w:iCs/>
          <w:lang w:eastAsia="lt-LT"/>
        </w:rPr>
        <w:t xml:space="preserve"> </w:t>
      </w:r>
      <w:r>
        <w:rPr>
          <w:lang w:eastAsia="lt-LT"/>
        </w:rPr>
        <w:t>prekės.</w:t>
      </w:r>
      <w:r>
        <w:rPr>
          <w:i/>
          <w:iCs/>
          <w:lang w:eastAsia="lt-LT"/>
        </w:rPr>
        <w:t>“</w:t>
      </w:r>
    </w:p>
    <w:p w14:paraId="2510586A" w14:textId="77777777" w:rsidR="00093845" w:rsidRDefault="000D779E">
      <w:pPr>
        <w:spacing w:before="100" w:beforeAutospacing="1" w:after="100" w:afterAutospacing="1"/>
        <w:jc w:val="both"/>
        <w:rPr>
          <w:lang w:eastAsia="lt-LT"/>
        </w:rPr>
      </w:pPr>
      <w:r>
        <w:rPr>
          <w:lang w:eastAsia="lt-LT"/>
        </w:rPr>
        <w:t xml:space="preserve">     23.</w:t>
      </w:r>
      <w:r>
        <w:rPr>
          <w:i/>
          <w:iCs/>
          <w:lang w:eastAsia="lt-LT"/>
        </w:rPr>
        <w:t xml:space="preserve"> </w:t>
      </w:r>
      <w:r>
        <w:rPr>
          <w:lang w:eastAsia="lt-LT"/>
        </w:rPr>
        <w:t>18</w:t>
      </w:r>
      <w:r>
        <w:rPr>
          <w:i/>
          <w:iCs/>
          <w:lang w:eastAsia="lt-LT"/>
        </w:rPr>
        <w:t xml:space="preserve"> </w:t>
      </w:r>
      <w:r>
        <w:rPr>
          <w:lang w:eastAsia="lt-LT"/>
        </w:rPr>
        <w:t>VAS</w:t>
      </w:r>
      <w:r>
        <w:rPr>
          <w:i/>
          <w:iCs/>
          <w:lang w:eastAsia="lt-LT"/>
        </w:rPr>
        <w:t xml:space="preserve"> „</w:t>
      </w:r>
      <w:r>
        <w:rPr>
          <w:lang w:eastAsia="lt-LT"/>
        </w:rPr>
        <w:t>Finansinis</w:t>
      </w:r>
      <w:r>
        <w:rPr>
          <w:i/>
          <w:iCs/>
          <w:lang w:eastAsia="lt-LT"/>
        </w:rPr>
        <w:t xml:space="preserve"> </w:t>
      </w:r>
      <w:r>
        <w:rPr>
          <w:lang w:eastAsia="lt-LT"/>
        </w:rPr>
        <w:t>turtas</w:t>
      </w:r>
      <w:r>
        <w:rPr>
          <w:i/>
          <w:iCs/>
          <w:lang w:eastAsia="lt-LT"/>
        </w:rPr>
        <w:t xml:space="preserve"> </w:t>
      </w:r>
      <w:r>
        <w:rPr>
          <w:lang w:eastAsia="lt-LT"/>
        </w:rPr>
        <w:t>ir</w:t>
      </w:r>
      <w:r>
        <w:rPr>
          <w:i/>
          <w:iCs/>
          <w:lang w:eastAsia="lt-LT"/>
        </w:rPr>
        <w:t xml:space="preserve"> </w:t>
      </w:r>
      <w:r>
        <w:rPr>
          <w:lang w:eastAsia="lt-LT"/>
        </w:rPr>
        <w:t>finansiniai</w:t>
      </w:r>
      <w:r>
        <w:rPr>
          <w:i/>
          <w:iCs/>
          <w:lang w:eastAsia="lt-LT"/>
        </w:rPr>
        <w:t xml:space="preserve"> </w:t>
      </w:r>
      <w:r>
        <w:rPr>
          <w:lang w:eastAsia="lt-LT"/>
        </w:rPr>
        <w:t>įsipareigojimai</w:t>
      </w:r>
      <w:r>
        <w:rPr>
          <w:i/>
          <w:iCs/>
          <w:lang w:eastAsia="lt-LT"/>
        </w:rPr>
        <w:t xml:space="preserve">“ </w:t>
      </w:r>
      <w:r>
        <w:rPr>
          <w:lang w:eastAsia="lt-LT"/>
        </w:rPr>
        <w:t>atpirkimo</w:t>
      </w:r>
      <w:r>
        <w:rPr>
          <w:i/>
          <w:iCs/>
          <w:lang w:eastAsia="lt-LT"/>
        </w:rPr>
        <w:t xml:space="preserve"> </w:t>
      </w:r>
      <w:r>
        <w:rPr>
          <w:lang w:eastAsia="lt-LT"/>
        </w:rPr>
        <w:t>sandoris</w:t>
      </w:r>
      <w:r>
        <w:rPr>
          <w:i/>
          <w:iCs/>
          <w:lang w:eastAsia="lt-LT"/>
        </w:rPr>
        <w:t xml:space="preserve"> </w:t>
      </w:r>
      <w:r>
        <w:rPr>
          <w:lang w:eastAsia="lt-LT"/>
        </w:rPr>
        <w:t>apibrėžiamas</w:t>
      </w:r>
      <w:r>
        <w:rPr>
          <w:i/>
          <w:iCs/>
          <w:lang w:eastAsia="lt-LT"/>
        </w:rPr>
        <w:t xml:space="preserve"> </w:t>
      </w:r>
      <w:r>
        <w:rPr>
          <w:lang w:eastAsia="lt-LT"/>
        </w:rPr>
        <w:t>kaip</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kitai</w:t>
      </w:r>
      <w:r>
        <w:rPr>
          <w:i/>
          <w:iCs/>
          <w:lang w:eastAsia="lt-LT"/>
        </w:rPr>
        <w:t xml:space="preserve"> </w:t>
      </w:r>
      <w:r>
        <w:rPr>
          <w:lang w:eastAsia="lt-LT"/>
        </w:rPr>
        <w:t>šaliai</w:t>
      </w:r>
      <w:r>
        <w:rPr>
          <w:i/>
          <w:iCs/>
          <w:lang w:eastAsia="lt-LT"/>
        </w:rPr>
        <w:t xml:space="preserve"> </w:t>
      </w:r>
      <w:r>
        <w:rPr>
          <w:lang w:eastAsia="lt-LT"/>
        </w:rPr>
        <w:t>už</w:t>
      </w:r>
      <w:r>
        <w:rPr>
          <w:i/>
          <w:iCs/>
          <w:lang w:eastAsia="lt-LT"/>
        </w:rPr>
        <w:t xml:space="preserve"> </w:t>
      </w:r>
      <w:r>
        <w:rPr>
          <w:lang w:eastAsia="lt-LT"/>
        </w:rPr>
        <w:t>pinigus</w:t>
      </w:r>
      <w:r>
        <w:rPr>
          <w:i/>
          <w:iCs/>
          <w:lang w:eastAsia="lt-LT"/>
        </w:rPr>
        <w:t xml:space="preserve"> </w:t>
      </w:r>
      <w:r>
        <w:rPr>
          <w:lang w:eastAsia="lt-LT"/>
        </w:rPr>
        <w:t>ar</w:t>
      </w:r>
      <w:r>
        <w:rPr>
          <w:i/>
          <w:iCs/>
          <w:lang w:eastAsia="lt-LT"/>
        </w:rPr>
        <w:t xml:space="preserve"> </w:t>
      </w:r>
      <w:r>
        <w:rPr>
          <w:lang w:eastAsia="lt-LT"/>
        </w:rPr>
        <w:t>kitą</w:t>
      </w:r>
      <w:r>
        <w:rPr>
          <w:i/>
          <w:iCs/>
          <w:lang w:eastAsia="lt-LT"/>
        </w:rPr>
        <w:t xml:space="preserve"> </w:t>
      </w:r>
      <w:r>
        <w:rPr>
          <w:lang w:eastAsia="lt-LT"/>
        </w:rPr>
        <w:t>priimtiną</w:t>
      </w:r>
      <w:r>
        <w:rPr>
          <w:i/>
          <w:iCs/>
          <w:lang w:eastAsia="lt-LT"/>
        </w:rPr>
        <w:t xml:space="preserve"> </w:t>
      </w:r>
      <w:r>
        <w:rPr>
          <w:lang w:eastAsia="lt-LT"/>
        </w:rPr>
        <w:t>atlygį</w:t>
      </w:r>
      <w:r>
        <w:rPr>
          <w:i/>
          <w:iCs/>
          <w:lang w:eastAsia="lt-LT"/>
        </w:rPr>
        <w:t xml:space="preserve"> </w:t>
      </w:r>
      <w:r>
        <w:rPr>
          <w:lang w:eastAsia="lt-LT"/>
        </w:rPr>
        <w:t>sandoris,</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įsipareigojant</w:t>
      </w:r>
      <w:r>
        <w:rPr>
          <w:i/>
          <w:iCs/>
          <w:lang w:eastAsia="lt-LT"/>
        </w:rPr>
        <w:t xml:space="preserve"> </w:t>
      </w:r>
      <w:r>
        <w:rPr>
          <w:lang w:eastAsia="lt-LT"/>
        </w:rPr>
        <w:t>atpirkti</w:t>
      </w:r>
      <w:r>
        <w:rPr>
          <w:i/>
          <w:iCs/>
          <w:lang w:eastAsia="lt-LT"/>
        </w:rPr>
        <w:t xml:space="preserve"> </w:t>
      </w:r>
      <w:r>
        <w:rPr>
          <w:lang w:eastAsia="lt-LT"/>
        </w:rPr>
        <w:t>finansinį</w:t>
      </w:r>
      <w:r>
        <w:rPr>
          <w:i/>
          <w:iCs/>
          <w:lang w:eastAsia="lt-LT"/>
        </w:rPr>
        <w:t xml:space="preserve"> </w:t>
      </w:r>
      <w:r>
        <w:rPr>
          <w:lang w:eastAsia="lt-LT"/>
        </w:rPr>
        <w:t>turtą</w:t>
      </w:r>
      <w:r>
        <w:rPr>
          <w:i/>
          <w:iCs/>
          <w:lang w:eastAsia="lt-LT"/>
        </w:rPr>
        <w:t xml:space="preserve"> </w:t>
      </w:r>
      <w:r>
        <w:rPr>
          <w:lang w:eastAsia="lt-LT"/>
        </w:rPr>
        <w:t>per</w:t>
      </w:r>
      <w:r>
        <w:rPr>
          <w:i/>
          <w:iCs/>
          <w:lang w:eastAsia="lt-LT"/>
        </w:rPr>
        <w:t xml:space="preserve"> </w:t>
      </w:r>
      <w:r>
        <w:rPr>
          <w:lang w:eastAsia="lt-LT"/>
        </w:rPr>
        <w:t>nustatytą</w:t>
      </w:r>
      <w:r>
        <w:rPr>
          <w:i/>
          <w:iCs/>
          <w:lang w:eastAsia="lt-LT"/>
        </w:rPr>
        <w:t xml:space="preserve"> </w:t>
      </w:r>
      <w:r>
        <w:rPr>
          <w:lang w:eastAsia="lt-LT"/>
        </w:rPr>
        <w:t>laikotarpį</w:t>
      </w:r>
      <w:r>
        <w:rPr>
          <w:i/>
          <w:iCs/>
          <w:lang w:eastAsia="lt-LT"/>
        </w:rPr>
        <w:t xml:space="preserve"> </w:t>
      </w:r>
      <w:r>
        <w:rPr>
          <w:lang w:eastAsia="lt-LT"/>
        </w:rPr>
        <w:t>ir</w:t>
      </w:r>
      <w:r>
        <w:rPr>
          <w:i/>
          <w:iCs/>
          <w:lang w:eastAsia="lt-LT"/>
        </w:rPr>
        <w:t xml:space="preserve"> </w:t>
      </w:r>
      <w:r>
        <w:rPr>
          <w:lang w:eastAsia="lt-LT"/>
        </w:rPr>
        <w:t>nustatytomis</w:t>
      </w:r>
      <w:r>
        <w:rPr>
          <w:i/>
          <w:iCs/>
          <w:lang w:eastAsia="lt-LT"/>
        </w:rPr>
        <w:t xml:space="preserve"> </w:t>
      </w:r>
      <w:r>
        <w:rPr>
          <w:lang w:eastAsia="lt-LT"/>
        </w:rPr>
        <w:t>sąlygomis.</w:t>
      </w:r>
      <w:r>
        <w:rPr>
          <w:i/>
          <w:iCs/>
          <w:lang w:eastAsia="lt-LT"/>
        </w:rPr>
        <w:t xml:space="preserve"> </w:t>
      </w:r>
      <w:r>
        <w:rPr>
          <w:lang w:eastAsia="lt-LT"/>
        </w:rPr>
        <w:t>Šio</w:t>
      </w:r>
      <w:r>
        <w:rPr>
          <w:i/>
          <w:iCs/>
          <w:lang w:eastAsia="lt-LT"/>
        </w:rPr>
        <w:t xml:space="preserve"> </w:t>
      </w:r>
      <w:r>
        <w:rPr>
          <w:lang w:eastAsia="lt-LT"/>
        </w:rPr>
        <w:t>standarto</w:t>
      </w:r>
      <w:r>
        <w:rPr>
          <w:i/>
          <w:iCs/>
          <w:lang w:eastAsia="lt-LT"/>
        </w:rPr>
        <w:t xml:space="preserve"> </w:t>
      </w:r>
      <w:r>
        <w:rPr>
          <w:lang w:eastAsia="lt-LT"/>
        </w:rPr>
        <w:t>nuostata,</w:t>
      </w:r>
      <w:r>
        <w:rPr>
          <w:i/>
          <w:iCs/>
          <w:lang w:eastAsia="lt-LT"/>
        </w:rPr>
        <w:t xml:space="preserve"> </w:t>
      </w:r>
      <w:r>
        <w:rPr>
          <w:lang w:eastAsia="lt-LT"/>
        </w:rPr>
        <w:t>kad</w:t>
      </w:r>
      <w:r>
        <w:rPr>
          <w:i/>
          <w:iCs/>
          <w:lang w:eastAsia="lt-LT"/>
        </w:rPr>
        <w:t xml:space="preserve"> </w:t>
      </w:r>
      <w:r>
        <w:rPr>
          <w:lang w:eastAsia="lt-LT"/>
        </w:rPr>
        <w:t>jei</w:t>
      </w:r>
      <w:r>
        <w:rPr>
          <w:i/>
          <w:iCs/>
          <w:lang w:eastAsia="lt-LT"/>
        </w:rPr>
        <w:t xml:space="preserve"> </w:t>
      </w:r>
      <w:r>
        <w:rPr>
          <w:lang w:eastAsia="lt-LT"/>
        </w:rPr>
        <w:t>teisė</w:t>
      </w:r>
      <w:r>
        <w:rPr>
          <w:i/>
          <w:iCs/>
          <w:lang w:eastAsia="lt-LT"/>
        </w:rPr>
        <w:t xml:space="preserve"> </w:t>
      </w:r>
      <w:r>
        <w:rPr>
          <w:lang w:eastAsia="lt-LT"/>
        </w:rPr>
        <w:t>į</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nuosavybę</w:t>
      </w:r>
      <w:r>
        <w:rPr>
          <w:i/>
          <w:iCs/>
          <w:lang w:eastAsia="lt-LT"/>
        </w:rPr>
        <w:t xml:space="preserve"> </w:t>
      </w:r>
      <w:r>
        <w:rPr>
          <w:lang w:eastAsia="lt-LT"/>
        </w:rPr>
        <w:t>už</w:t>
      </w:r>
      <w:r>
        <w:rPr>
          <w:i/>
          <w:iCs/>
          <w:lang w:eastAsia="lt-LT"/>
        </w:rPr>
        <w:t xml:space="preserve"> </w:t>
      </w:r>
      <w:r>
        <w:rPr>
          <w:lang w:eastAsia="lt-LT"/>
        </w:rPr>
        <w:t>pinigus</w:t>
      </w:r>
      <w:r>
        <w:rPr>
          <w:i/>
          <w:iCs/>
          <w:lang w:eastAsia="lt-LT"/>
        </w:rPr>
        <w:t xml:space="preserve"> </w:t>
      </w:r>
      <w:r>
        <w:rPr>
          <w:lang w:eastAsia="lt-LT"/>
        </w:rPr>
        <w:t>ar</w:t>
      </w:r>
      <w:r>
        <w:rPr>
          <w:i/>
          <w:iCs/>
          <w:lang w:eastAsia="lt-LT"/>
        </w:rPr>
        <w:t xml:space="preserve"> </w:t>
      </w:r>
      <w:r>
        <w:rPr>
          <w:lang w:eastAsia="lt-LT"/>
        </w:rPr>
        <w:t>kitą</w:t>
      </w:r>
      <w:r>
        <w:rPr>
          <w:i/>
          <w:iCs/>
          <w:lang w:eastAsia="lt-LT"/>
        </w:rPr>
        <w:t xml:space="preserve"> </w:t>
      </w:r>
      <w:r>
        <w:rPr>
          <w:lang w:eastAsia="lt-LT"/>
        </w:rPr>
        <w:t>atlygį</w:t>
      </w:r>
      <w:r>
        <w:rPr>
          <w:i/>
          <w:iCs/>
          <w:lang w:eastAsia="lt-LT"/>
        </w:rPr>
        <w:t xml:space="preserve"> </w:t>
      </w:r>
      <w:r>
        <w:rPr>
          <w:lang w:eastAsia="lt-LT"/>
        </w:rPr>
        <w:t>perleidžiama</w:t>
      </w:r>
      <w:r>
        <w:rPr>
          <w:i/>
          <w:iCs/>
          <w:lang w:eastAsia="lt-LT"/>
        </w:rPr>
        <w:t xml:space="preserve"> </w:t>
      </w:r>
      <w:r>
        <w:rPr>
          <w:lang w:eastAsia="lt-LT"/>
        </w:rPr>
        <w:t>kitai</w:t>
      </w:r>
      <w:r>
        <w:rPr>
          <w:i/>
          <w:iCs/>
          <w:lang w:eastAsia="lt-LT"/>
        </w:rPr>
        <w:t xml:space="preserve"> </w:t>
      </w:r>
      <w:r>
        <w:rPr>
          <w:lang w:eastAsia="lt-LT"/>
        </w:rPr>
        <w:t>įmonei,</w:t>
      </w:r>
      <w:r>
        <w:rPr>
          <w:i/>
          <w:iCs/>
          <w:lang w:eastAsia="lt-LT"/>
        </w:rPr>
        <w:t xml:space="preserve"> </w:t>
      </w:r>
      <w:r>
        <w:rPr>
          <w:lang w:eastAsia="lt-LT"/>
        </w:rPr>
        <w:t>tačiau</w:t>
      </w:r>
      <w:r>
        <w:rPr>
          <w:i/>
          <w:iCs/>
          <w:lang w:eastAsia="lt-LT"/>
        </w:rPr>
        <w:t xml:space="preserve"> </w:t>
      </w:r>
      <w:r>
        <w:rPr>
          <w:lang w:eastAsia="lt-LT"/>
        </w:rPr>
        <w:t>įmonė</w:t>
      </w:r>
      <w:r>
        <w:rPr>
          <w:i/>
          <w:iCs/>
          <w:lang w:eastAsia="lt-LT"/>
        </w:rPr>
        <w:t xml:space="preserve"> </w:t>
      </w:r>
      <w:r>
        <w:rPr>
          <w:lang w:eastAsia="lt-LT"/>
        </w:rPr>
        <w:t>nepraranda</w:t>
      </w:r>
      <w:r>
        <w:rPr>
          <w:i/>
          <w:iCs/>
          <w:lang w:eastAsia="lt-LT"/>
        </w:rPr>
        <w:t xml:space="preserve"> </w:t>
      </w:r>
      <w:r>
        <w:rPr>
          <w:lang w:eastAsia="lt-LT"/>
        </w:rPr>
        <w:t>teisės</w:t>
      </w:r>
      <w:r>
        <w:rPr>
          <w:i/>
          <w:iCs/>
          <w:lang w:eastAsia="lt-LT"/>
        </w:rPr>
        <w:t xml:space="preserve"> </w:t>
      </w:r>
      <w:r>
        <w:rPr>
          <w:lang w:eastAsia="lt-LT"/>
        </w:rPr>
        <w:t>kontroliuoti</w:t>
      </w:r>
      <w:r>
        <w:rPr>
          <w:i/>
          <w:iCs/>
          <w:lang w:eastAsia="lt-LT"/>
        </w:rPr>
        <w:t xml:space="preserve"> </w:t>
      </w:r>
      <w:r>
        <w:rPr>
          <w:lang w:eastAsia="lt-LT"/>
        </w:rPr>
        <w:t>šį</w:t>
      </w:r>
      <w:r>
        <w:rPr>
          <w:i/>
          <w:iCs/>
          <w:lang w:eastAsia="lt-LT"/>
        </w:rPr>
        <w:t xml:space="preserve"> </w:t>
      </w:r>
      <w:r>
        <w:rPr>
          <w:lang w:eastAsia="lt-LT"/>
        </w:rPr>
        <w:t>turtą,</w:t>
      </w:r>
      <w:r>
        <w:rPr>
          <w:i/>
          <w:iCs/>
          <w:lang w:eastAsia="lt-LT"/>
        </w:rPr>
        <w:t xml:space="preserve"> </w:t>
      </w:r>
      <w:r>
        <w:rPr>
          <w:lang w:eastAsia="lt-LT"/>
        </w:rPr>
        <w:t>tai</w:t>
      </w:r>
      <w:r>
        <w:rPr>
          <w:i/>
          <w:iCs/>
          <w:lang w:eastAsia="lt-LT"/>
        </w:rPr>
        <w:t xml:space="preserve"> </w:t>
      </w:r>
      <w:r>
        <w:rPr>
          <w:lang w:eastAsia="lt-LT"/>
        </w:rPr>
        <w:t>nuosavybės</w:t>
      </w:r>
      <w:r>
        <w:rPr>
          <w:i/>
          <w:iCs/>
          <w:lang w:eastAsia="lt-LT"/>
        </w:rPr>
        <w:t xml:space="preserve"> </w:t>
      </w:r>
      <w:r>
        <w:rPr>
          <w:lang w:eastAsia="lt-LT"/>
        </w:rPr>
        <w:t>teisę</w:t>
      </w:r>
      <w:r>
        <w:rPr>
          <w:i/>
          <w:iCs/>
          <w:lang w:eastAsia="lt-LT"/>
        </w:rPr>
        <w:t xml:space="preserve"> </w:t>
      </w:r>
      <w:r>
        <w:rPr>
          <w:lang w:eastAsia="lt-LT"/>
        </w:rPr>
        <w:t>perleidžianti</w:t>
      </w:r>
      <w:r>
        <w:rPr>
          <w:i/>
          <w:iCs/>
          <w:lang w:eastAsia="lt-LT"/>
        </w:rPr>
        <w:t xml:space="preserve"> </w:t>
      </w:r>
      <w:r>
        <w:rPr>
          <w:lang w:eastAsia="lt-LT"/>
        </w:rPr>
        <w:t>įmonė</w:t>
      </w:r>
      <w:r>
        <w:rPr>
          <w:i/>
          <w:iCs/>
          <w:lang w:eastAsia="lt-LT"/>
        </w:rPr>
        <w:t xml:space="preserve"> </w:t>
      </w:r>
      <w:r>
        <w:rPr>
          <w:lang w:eastAsia="lt-LT"/>
        </w:rPr>
        <w:t>sandorį</w:t>
      </w:r>
      <w:r>
        <w:rPr>
          <w:i/>
          <w:iCs/>
          <w:lang w:eastAsia="lt-LT"/>
        </w:rPr>
        <w:t xml:space="preserve"> </w:t>
      </w:r>
      <w:r>
        <w:rPr>
          <w:lang w:eastAsia="lt-LT"/>
        </w:rPr>
        <w:t>registruoja</w:t>
      </w:r>
      <w:r>
        <w:rPr>
          <w:i/>
          <w:iCs/>
          <w:lang w:eastAsia="lt-LT"/>
        </w:rPr>
        <w:t xml:space="preserve"> </w:t>
      </w:r>
      <w:r>
        <w:rPr>
          <w:lang w:eastAsia="lt-LT"/>
        </w:rPr>
        <w:t>kaip</w:t>
      </w:r>
      <w:r>
        <w:rPr>
          <w:i/>
          <w:iCs/>
          <w:lang w:eastAsia="lt-LT"/>
        </w:rPr>
        <w:t xml:space="preserve"> </w:t>
      </w:r>
      <w:r>
        <w:rPr>
          <w:lang w:eastAsia="lt-LT"/>
        </w:rPr>
        <w:t>užstatu</w:t>
      </w:r>
      <w:r>
        <w:rPr>
          <w:i/>
          <w:iCs/>
          <w:lang w:eastAsia="lt-LT"/>
        </w:rPr>
        <w:t xml:space="preserve"> </w:t>
      </w:r>
      <w:r>
        <w:rPr>
          <w:lang w:eastAsia="lt-LT"/>
        </w:rPr>
        <w:t>garantuotą</w:t>
      </w:r>
      <w:r>
        <w:rPr>
          <w:i/>
          <w:iCs/>
          <w:lang w:eastAsia="lt-LT"/>
        </w:rPr>
        <w:t xml:space="preserve"> </w:t>
      </w:r>
      <w:r>
        <w:rPr>
          <w:lang w:eastAsia="lt-LT"/>
        </w:rPr>
        <w:t>skolinimąsi,</w:t>
      </w:r>
      <w:r>
        <w:rPr>
          <w:i/>
          <w:iCs/>
          <w:lang w:eastAsia="lt-LT"/>
        </w:rPr>
        <w:t xml:space="preserve"> </w:t>
      </w:r>
      <w:r>
        <w:rPr>
          <w:lang w:eastAsia="lt-LT"/>
        </w:rPr>
        <w:t>taikytina</w:t>
      </w:r>
      <w:r>
        <w:rPr>
          <w:i/>
          <w:iCs/>
          <w:lang w:eastAsia="lt-LT"/>
        </w:rPr>
        <w:t xml:space="preserve"> </w:t>
      </w:r>
      <w:r>
        <w:rPr>
          <w:lang w:eastAsia="lt-LT"/>
        </w:rPr>
        <w:t>atpirkimo</w:t>
      </w:r>
      <w:r>
        <w:rPr>
          <w:i/>
          <w:iCs/>
          <w:lang w:eastAsia="lt-LT"/>
        </w:rPr>
        <w:t xml:space="preserve"> </w:t>
      </w:r>
      <w:r>
        <w:rPr>
          <w:lang w:eastAsia="lt-LT"/>
        </w:rPr>
        <w:t>sandoriams</w:t>
      </w:r>
      <w:r>
        <w:rPr>
          <w:i/>
          <w:iCs/>
          <w:lang w:eastAsia="lt-LT"/>
        </w:rPr>
        <w:t xml:space="preserve"> </w:t>
      </w:r>
      <w:r>
        <w:rPr>
          <w:lang w:eastAsia="lt-LT"/>
        </w:rPr>
        <w:t>(nes</w:t>
      </w:r>
      <w:r>
        <w:rPr>
          <w:i/>
          <w:iCs/>
          <w:lang w:eastAsia="lt-LT"/>
        </w:rPr>
        <w:t xml:space="preserve"> </w:t>
      </w:r>
      <w:r>
        <w:rPr>
          <w:lang w:eastAsia="lt-LT"/>
        </w:rPr>
        <w:t>perleistą</w:t>
      </w:r>
      <w:r>
        <w:rPr>
          <w:i/>
          <w:iCs/>
          <w:lang w:eastAsia="lt-LT"/>
        </w:rPr>
        <w:t xml:space="preserve"> </w:t>
      </w:r>
      <w:r>
        <w:rPr>
          <w:lang w:eastAsia="lt-LT"/>
        </w:rPr>
        <w:t>teisę</w:t>
      </w:r>
      <w:r>
        <w:rPr>
          <w:i/>
          <w:iCs/>
          <w:lang w:eastAsia="lt-LT"/>
        </w:rPr>
        <w:t xml:space="preserve"> </w:t>
      </w:r>
      <w:r>
        <w:rPr>
          <w:lang w:eastAsia="lt-LT"/>
        </w:rPr>
        <w:t>į</w:t>
      </w:r>
      <w:r>
        <w:rPr>
          <w:i/>
          <w:iCs/>
          <w:lang w:eastAsia="lt-LT"/>
        </w:rPr>
        <w:t xml:space="preserve"> </w:t>
      </w:r>
      <w:r>
        <w:rPr>
          <w:lang w:eastAsia="lt-LT"/>
        </w:rPr>
        <w:t>nuosavybę</w:t>
      </w:r>
      <w:r>
        <w:rPr>
          <w:i/>
          <w:iCs/>
          <w:lang w:eastAsia="lt-LT"/>
        </w:rPr>
        <w:t xml:space="preserve"> </w:t>
      </w:r>
      <w:r>
        <w:rPr>
          <w:lang w:eastAsia="lt-LT"/>
        </w:rPr>
        <w:t>įmonė</w:t>
      </w:r>
      <w:r>
        <w:rPr>
          <w:i/>
          <w:iCs/>
          <w:lang w:eastAsia="lt-LT"/>
        </w:rPr>
        <w:t xml:space="preserve"> </w:t>
      </w:r>
      <w:r>
        <w:rPr>
          <w:lang w:eastAsia="lt-LT"/>
        </w:rPr>
        <w:t>po</w:t>
      </w:r>
      <w:r>
        <w:rPr>
          <w:i/>
          <w:iCs/>
          <w:lang w:eastAsia="lt-LT"/>
        </w:rPr>
        <w:t xml:space="preserve"> </w:t>
      </w:r>
      <w:r>
        <w:rPr>
          <w:lang w:eastAsia="lt-LT"/>
        </w:rPr>
        <w:t>tam</w:t>
      </w:r>
      <w:r>
        <w:rPr>
          <w:i/>
          <w:iCs/>
          <w:lang w:eastAsia="lt-LT"/>
        </w:rPr>
        <w:t xml:space="preserve"> </w:t>
      </w:r>
      <w:r>
        <w:rPr>
          <w:lang w:eastAsia="lt-LT"/>
        </w:rPr>
        <w:t>tikro</w:t>
      </w:r>
      <w:r>
        <w:rPr>
          <w:i/>
          <w:iCs/>
          <w:lang w:eastAsia="lt-LT"/>
        </w:rPr>
        <w:t xml:space="preserve"> </w:t>
      </w:r>
      <w:r>
        <w:rPr>
          <w:lang w:eastAsia="lt-LT"/>
        </w:rPr>
        <w:t>laiko</w:t>
      </w:r>
      <w:r>
        <w:rPr>
          <w:i/>
          <w:iCs/>
          <w:lang w:eastAsia="lt-LT"/>
        </w:rPr>
        <w:t xml:space="preserve"> </w:t>
      </w:r>
      <w:r>
        <w:rPr>
          <w:lang w:eastAsia="lt-LT"/>
        </w:rPr>
        <w:t>išpirks).</w:t>
      </w:r>
      <w:r>
        <w:rPr>
          <w:i/>
          <w:iCs/>
          <w:lang w:eastAsia="lt-LT"/>
        </w:rPr>
        <w:t xml:space="preserve"> </w:t>
      </w:r>
    </w:p>
    <w:p w14:paraId="7F1C8E0E" w14:textId="77777777" w:rsidR="00093845" w:rsidRDefault="000D779E">
      <w:pPr>
        <w:spacing w:before="100" w:beforeAutospacing="1" w:after="100" w:afterAutospacing="1"/>
        <w:jc w:val="both"/>
        <w:rPr>
          <w:lang w:eastAsia="lt-LT"/>
        </w:rPr>
      </w:pPr>
      <w:r>
        <w:rPr>
          <w:lang w:eastAsia="lt-LT"/>
        </w:rPr>
        <w:t xml:space="preserve">    Vertybinių</w:t>
      </w:r>
      <w:r>
        <w:rPr>
          <w:i/>
          <w:iCs/>
          <w:lang w:eastAsia="lt-LT"/>
        </w:rPr>
        <w:t xml:space="preserve"> </w:t>
      </w:r>
      <w:r>
        <w:rPr>
          <w:lang w:eastAsia="lt-LT"/>
        </w:rPr>
        <w:t>popierių</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sandoriai,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vertinami</w:t>
      </w:r>
      <w:r>
        <w:rPr>
          <w:i/>
          <w:iCs/>
          <w:lang w:eastAsia="lt-LT"/>
        </w:rPr>
        <w:t xml:space="preserve"> </w:t>
      </w:r>
      <w:r>
        <w:rPr>
          <w:lang w:eastAsia="lt-LT"/>
        </w:rPr>
        <w:t>kaip</w:t>
      </w:r>
      <w:r>
        <w:rPr>
          <w:i/>
          <w:iCs/>
          <w:lang w:eastAsia="lt-LT"/>
        </w:rPr>
        <w:t xml:space="preserve"> </w:t>
      </w:r>
      <w:r>
        <w:rPr>
          <w:lang w:eastAsia="lt-LT"/>
        </w:rPr>
        <w:t>lėšų</w:t>
      </w:r>
      <w:r>
        <w:rPr>
          <w:i/>
          <w:iCs/>
          <w:lang w:eastAsia="lt-LT"/>
        </w:rPr>
        <w:t xml:space="preserve"> </w:t>
      </w:r>
      <w:r>
        <w:rPr>
          <w:lang w:eastAsia="lt-LT"/>
        </w:rPr>
        <w:t>skolinimosi</w:t>
      </w:r>
      <w:r>
        <w:rPr>
          <w:i/>
          <w:iCs/>
          <w:lang w:eastAsia="lt-LT"/>
        </w:rPr>
        <w:t xml:space="preserve"> </w:t>
      </w:r>
      <w:r>
        <w:rPr>
          <w:lang w:eastAsia="lt-LT"/>
        </w:rPr>
        <w:t>(kreditavimo)</w:t>
      </w:r>
      <w:r>
        <w:rPr>
          <w:i/>
          <w:iCs/>
          <w:lang w:eastAsia="lt-LT"/>
        </w:rPr>
        <w:t xml:space="preserve"> </w:t>
      </w:r>
      <w:r>
        <w:rPr>
          <w:lang w:eastAsia="lt-LT"/>
        </w:rPr>
        <w:t>sandoriai,</w:t>
      </w:r>
      <w:r>
        <w:rPr>
          <w:i/>
          <w:iCs/>
          <w:lang w:eastAsia="lt-LT"/>
        </w:rPr>
        <w:t xml:space="preserve"> </w:t>
      </w:r>
      <w:r>
        <w:rPr>
          <w:lang w:eastAsia="lt-LT"/>
        </w:rPr>
        <w:t>pateikus</w:t>
      </w:r>
      <w:r>
        <w:rPr>
          <w:i/>
          <w:iCs/>
          <w:lang w:eastAsia="lt-LT"/>
        </w:rPr>
        <w:t xml:space="preserve"> </w:t>
      </w:r>
      <w:r>
        <w:rPr>
          <w:lang w:eastAsia="lt-LT"/>
        </w:rPr>
        <w:t>finansinį</w:t>
      </w:r>
      <w:r>
        <w:rPr>
          <w:i/>
          <w:iCs/>
          <w:lang w:eastAsia="lt-LT"/>
        </w:rPr>
        <w:t xml:space="preserve"> </w:t>
      </w:r>
      <w:r>
        <w:rPr>
          <w:lang w:eastAsia="lt-LT"/>
        </w:rPr>
        <w:t>užstatą.</w:t>
      </w:r>
      <w:r>
        <w:rPr>
          <w:i/>
          <w:iCs/>
          <w:lang w:eastAsia="lt-LT"/>
        </w:rPr>
        <w:t xml:space="preserve"> </w:t>
      </w:r>
      <w:r>
        <w:rPr>
          <w:lang w:eastAsia="lt-LT"/>
        </w:rPr>
        <w:t>Todėl</w:t>
      </w:r>
      <w:r>
        <w:rPr>
          <w:i/>
          <w:iCs/>
          <w:lang w:eastAsia="lt-LT"/>
        </w:rPr>
        <w:t xml:space="preserve"> </w:t>
      </w:r>
      <w:r>
        <w:rPr>
          <w:lang w:eastAsia="lt-LT"/>
        </w:rPr>
        <w:t>vienetui</w:t>
      </w:r>
      <w:r>
        <w:rPr>
          <w:i/>
          <w:iCs/>
          <w:lang w:eastAsia="lt-LT"/>
        </w:rPr>
        <w:t xml:space="preserve"> </w:t>
      </w:r>
      <w:r>
        <w:rPr>
          <w:lang w:eastAsia="lt-LT"/>
        </w:rPr>
        <w:t>perleidus</w:t>
      </w:r>
      <w:r>
        <w:rPr>
          <w:i/>
          <w:iCs/>
          <w:lang w:eastAsia="lt-LT"/>
        </w:rPr>
        <w:t xml:space="preserve"> </w:t>
      </w:r>
      <w:r>
        <w:rPr>
          <w:lang w:eastAsia="lt-LT"/>
        </w:rPr>
        <w:t>VP</w:t>
      </w:r>
      <w:r>
        <w:rPr>
          <w:i/>
          <w:iCs/>
          <w:lang w:eastAsia="lt-LT"/>
        </w:rPr>
        <w:t xml:space="preserve"> </w:t>
      </w:r>
      <w:r>
        <w:rPr>
          <w:lang w:eastAsia="lt-LT"/>
        </w:rPr>
        <w:t>pagal</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pirkėjui,</w:t>
      </w:r>
      <w:r>
        <w:rPr>
          <w:i/>
          <w:iCs/>
          <w:lang w:eastAsia="lt-LT"/>
        </w:rPr>
        <w:t xml:space="preserve"> </w:t>
      </w:r>
      <w:r>
        <w:rPr>
          <w:lang w:eastAsia="lt-LT"/>
        </w:rPr>
        <w:t>parduotas</w:t>
      </w:r>
      <w:r>
        <w:rPr>
          <w:i/>
          <w:iCs/>
          <w:lang w:eastAsia="lt-LT"/>
        </w:rPr>
        <w:t xml:space="preserve"> </w:t>
      </w:r>
      <w:r>
        <w:rPr>
          <w:lang w:eastAsia="lt-LT"/>
        </w:rPr>
        <w:t>turtas</w:t>
      </w:r>
      <w:r>
        <w:rPr>
          <w:i/>
          <w:iCs/>
          <w:lang w:eastAsia="lt-LT"/>
        </w:rPr>
        <w:t xml:space="preserve"> </w:t>
      </w:r>
      <w:r>
        <w:rPr>
          <w:lang w:eastAsia="lt-LT"/>
        </w:rPr>
        <w:t>lieka</w:t>
      </w:r>
      <w:r>
        <w:rPr>
          <w:i/>
          <w:iCs/>
          <w:lang w:eastAsia="lt-LT"/>
        </w:rPr>
        <w:t xml:space="preserve"> </w:t>
      </w:r>
      <w:r>
        <w:rPr>
          <w:lang w:eastAsia="lt-LT"/>
        </w:rPr>
        <w:t>pardavėjo</w:t>
      </w:r>
      <w:r>
        <w:rPr>
          <w:i/>
          <w:iCs/>
          <w:lang w:eastAsia="lt-LT"/>
        </w:rPr>
        <w:t xml:space="preserve"> </w:t>
      </w:r>
      <w:r>
        <w:rPr>
          <w:lang w:eastAsia="lt-LT"/>
        </w:rPr>
        <w:t>apskaitoje,</w:t>
      </w:r>
      <w:r>
        <w:rPr>
          <w:i/>
          <w:iCs/>
          <w:lang w:eastAsia="lt-LT"/>
        </w:rPr>
        <w:t xml:space="preserve"> </w:t>
      </w:r>
      <w:r>
        <w:rPr>
          <w:lang w:eastAsia="lt-LT"/>
        </w:rPr>
        <w:t>o</w:t>
      </w:r>
      <w:r>
        <w:rPr>
          <w:i/>
          <w:iCs/>
          <w:lang w:eastAsia="lt-LT"/>
        </w:rPr>
        <w:t xml:space="preserve"> </w:t>
      </w:r>
      <w:r>
        <w:rPr>
          <w:lang w:eastAsia="lt-LT"/>
        </w:rPr>
        <w:t>iš</w:t>
      </w:r>
      <w:r>
        <w:rPr>
          <w:i/>
          <w:iCs/>
          <w:lang w:eastAsia="lt-LT"/>
        </w:rPr>
        <w:t xml:space="preserve"> </w:t>
      </w:r>
      <w:r>
        <w:rPr>
          <w:lang w:eastAsia="lt-LT"/>
        </w:rPr>
        <w:t>pirkėjo</w:t>
      </w:r>
      <w:r>
        <w:rPr>
          <w:i/>
          <w:iCs/>
          <w:lang w:eastAsia="lt-LT"/>
        </w:rPr>
        <w:t xml:space="preserve"> </w:t>
      </w:r>
      <w:r>
        <w:rPr>
          <w:lang w:eastAsia="lt-LT"/>
        </w:rPr>
        <w:t>gauti</w:t>
      </w:r>
      <w:r>
        <w:rPr>
          <w:i/>
          <w:iCs/>
          <w:lang w:eastAsia="lt-LT"/>
        </w:rPr>
        <w:t xml:space="preserve"> </w:t>
      </w:r>
      <w:r>
        <w:rPr>
          <w:lang w:eastAsia="lt-LT"/>
        </w:rPr>
        <w:t>pinigai</w:t>
      </w:r>
      <w:r>
        <w:rPr>
          <w:i/>
          <w:iCs/>
          <w:lang w:eastAsia="lt-LT"/>
        </w:rPr>
        <w:t xml:space="preserve"> </w:t>
      </w:r>
      <w:r>
        <w:rPr>
          <w:lang w:eastAsia="lt-LT"/>
        </w:rPr>
        <w:t>pripažįstami</w:t>
      </w:r>
      <w:r>
        <w:rPr>
          <w:i/>
          <w:iCs/>
          <w:lang w:eastAsia="lt-LT"/>
        </w:rPr>
        <w:t xml:space="preserve"> </w:t>
      </w:r>
      <w:r>
        <w:rPr>
          <w:lang w:eastAsia="lt-LT"/>
        </w:rPr>
        <w:t>kaip</w:t>
      </w:r>
      <w:r>
        <w:rPr>
          <w:i/>
          <w:iCs/>
          <w:lang w:eastAsia="lt-LT"/>
        </w:rPr>
        <w:t xml:space="preserve"> </w:t>
      </w:r>
      <w:r>
        <w:rPr>
          <w:lang w:eastAsia="lt-LT"/>
        </w:rPr>
        <w:t>gauta</w:t>
      </w:r>
      <w:r>
        <w:rPr>
          <w:i/>
          <w:iCs/>
          <w:lang w:eastAsia="lt-LT"/>
        </w:rPr>
        <w:t xml:space="preserve"> </w:t>
      </w:r>
      <w:r>
        <w:rPr>
          <w:lang w:eastAsia="lt-LT"/>
        </w:rPr>
        <w:t>paskola.</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(ar</w:t>
      </w:r>
      <w:r>
        <w:rPr>
          <w:i/>
          <w:iCs/>
          <w:lang w:eastAsia="lt-LT"/>
        </w:rPr>
        <w:t xml:space="preserve"> </w:t>
      </w:r>
      <w:r>
        <w:rPr>
          <w:lang w:eastAsia="lt-LT"/>
        </w:rPr>
        <w:t>nuostoliai),</w:t>
      </w:r>
      <w:r>
        <w:rPr>
          <w:i/>
          <w:iCs/>
          <w:lang w:eastAsia="lt-LT"/>
        </w:rPr>
        <w:t xml:space="preserve"> </w:t>
      </w:r>
      <w:r>
        <w:rPr>
          <w:lang w:eastAsia="lt-LT"/>
        </w:rPr>
        <w:lastRenderedPageBreak/>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nenustatomos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objekto),</w:t>
      </w:r>
      <w:r>
        <w:rPr>
          <w:i/>
          <w:iCs/>
          <w:lang w:eastAsia="lt-LT"/>
        </w:rPr>
        <w:t xml:space="preserve"> </w:t>
      </w:r>
      <w:r>
        <w:rPr>
          <w:lang w:eastAsia="lt-LT"/>
        </w:rPr>
        <w:t>o</w:t>
      </w:r>
      <w:r>
        <w:rPr>
          <w:i/>
          <w:iCs/>
          <w:lang w:eastAsia="lt-LT"/>
        </w:rPr>
        <w:t xml:space="preserve"> </w:t>
      </w:r>
      <w:r>
        <w:rPr>
          <w:lang w:eastAsia="lt-LT"/>
        </w:rPr>
        <w:t>juos</w:t>
      </w:r>
      <w:r>
        <w:rPr>
          <w:i/>
          <w:iCs/>
          <w:lang w:eastAsia="lt-LT"/>
        </w:rPr>
        <w:t xml:space="preserve"> </w:t>
      </w:r>
      <w:r>
        <w:rPr>
          <w:lang w:eastAsia="lt-LT"/>
        </w:rPr>
        <w:t>atpirkus,</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vienetui</w:t>
      </w:r>
      <w:r>
        <w:rPr>
          <w:i/>
          <w:iCs/>
          <w:lang w:eastAsia="lt-LT"/>
        </w:rPr>
        <w:t xml:space="preserve"> </w:t>
      </w:r>
      <w:r>
        <w:rPr>
          <w:lang w:eastAsia="lt-LT"/>
        </w:rPr>
        <w:t>nesikeičia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lieka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iki</w:t>
      </w:r>
      <w:r>
        <w:rPr>
          <w:i/>
          <w:iCs/>
          <w:lang w:eastAsia="lt-LT"/>
        </w:rPr>
        <w:t xml:space="preserve"> </w:t>
      </w:r>
      <w:r>
        <w:rPr>
          <w:lang w:eastAsia="lt-LT"/>
        </w:rPr>
        <w:t>šių</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pirkėjui).</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ir</w:t>
      </w:r>
      <w:r>
        <w:rPr>
          <w:i/>
          <w:iCs/>
          <w:lang w:eastAsia="lt-LT"/>
        </w:rPr>
        <w:t xml:space="preserve"> </w:t>
      </w:r>
      <w:r>
        <w:rPr>
          <w:lang w:eastAsia="lt-LT"/>
        </w:rPr>
        <w:t>perleidimo</w:t>
      </w:r>
      <w:r>
        <w:rPr>
          <w:i/>
          <w:iCs/>
          <w:lang w:eastAsia="lt-LT"/>
        </w:rPr>
        <w:t xml:space="preserve"> </w:t>
      </w:r>
      <w:r>
        <w:rPr>
          <w:lang w:eastAsia="lt-LT"/>
        </w:rPr>
        <w:t>kainų</w:t>
      </w:r>
      <w:r>
        <w:rPr>
          <w:i/>
          <w:iCs/>
          <w:lang w:eastAsia="lt-LT"/>
        </w:rPr>
        <w:t xml:space="preserve"> </w:t>
      </w:r>
      <w:r>
        <w:rPr>
          <w:lang w:eastAsia="lt-LT"/>
        </w:rPr>
        <w:t>skirtumas</w:t>
      </w:r>
      <w:r>
        <w:rPr>
          <w:i/>
          <w:iCs/>
          <w:lang w:eastAsia="lt-LT"/>
        </w:rPr>
        <w:t xml:space="preserve"> </w:t>
      </w:r>
      <w:r>
        <w:rPr>
          <w:lang w:eastAsia="lt-LT"/>
        </w:rPr>
        <w:t>laikomas</w:t>
      </w:r>
      <w:r>
        <w:rPr>
          <w:i/>
          <w:iCs/>
          <w:lang w:eastAsia="lt-LT"/>
        </w:rPr>
        <w:t xml:space="preserve"> </w:t>
      </w:r>
      <w:r>
        <w:rPr>
          <w:lang w:eastAsia="lt-LT"/>
        </w:rPr>
        <w:t>atlyginimu</w:t>
      </w:r>
      <w:r>
        <w:rPr>
          <w:i/>
          <w:iCs/>
          <w:lang w:eastAsia="lt-LT"/>
        </w:rPr>
        <w:t xml:space="preserve"> </w:t>
      </w:r>
      <w:r>
        <w:rPr>
          <w:lang w:eastAsia="lt-LT"/>
        </w:rPr>
        <w:t>už</w:t>
      </w:r>
      <w:r>
        <w:rPr>
          <w:i/>
          <w:iCs/>
          <w:lang w:eastAsia="lt-LT"/>
        </w:rPr>
        <w:t xml:space="preserve"> </w:t>
      </w:r>
      <w:r>
        <w:rPr>
          <w:lang w:eastAsia="lt-LT"/>
        </w:rPr>
        <w:t>pinigų</w:t>
      </w:r>
      <w:r>
        <w:rPr>
          <w:i/>
          <w:iCs/>
          <w:lang w:eastAsia="lt-LT"/>
        </w:rPr>
        <w:t xml:space="preserve"> </w:t>
      </w:r>
      <w:r>
        <w:rPr>
          <w:lang w:eastAsia="lt-LT"/>
        </w:rPr>
        <w:t>skolinimąsi</w:t>
      </w:r>
      <w:r>
        <w:rPr>
          <w:i/>
          <w:iCs/>
          <w:lang w:eastAsia="lt-LT"/>
        </w:rPr>
        <w:t xml:space="preserve"> </w:t>
      </w:r>
      <w:r>
        <w:rPr>
          <w:lang w:eastAsia="lt-LT"/>
        </w:rPr>
        <w:t>(palūkanomis)</w:t>
      </w:r>
      <w:r>
        <w:rPr>
          <w:i/>
          <w:iCs/>
          <w:lang w:eastAsia="lt-LT"/>
        </w:rPr>
        <w:t xml:space="preserve"> </w:t>
      </w:r>
      <w:r>
        <w:rPr>
          <w:lang w:eastAsia="lt-LT"/>
        </w:rPr>
        <w:t>ir</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priskiriamas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47" w:name="n1_150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48" w:name="pn1_1506"/>
      <w:bookmarkEnd w:id="147"/>
      <w:bookmarkEnd w:id="148"/>
      <w:r w:rsidRPr="000A5763">
        <w:rPr>
          <w:b/>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0582AE18" w14:textId="77777777" w:rsidR="00093845" w:rsidRDefault="000D779E">
      <w:pPr>
        <w:spacing w:before="100" w:beforeAutospacing="1" w:after="100" w:afterAutospacing="1"/>
        <w:jc w:val="both"/>
        <w:rPr>
          <w:lang w:eastAsia="lt-LT"/>
        </w:rPr>
      </w:pPr>
      <w:r>
        <w:rPr>
          <w:lang w:eastAsia="lt-LT"/>
        </w:rPr>
        <w:t xml:space="preserve">     Kita</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šalis</w:t>
      </w:r>
      <w:r>
        <w:rPr>
          <w:i/>
          <w:iCs/>
          <w:lang w:eastAsia="lt-LT"/>
        </w:rPr>
        <w:t xml:space="preserve"> </w:t>
      </w:r>
      <w:r>
        <w:rPr>
          <w:lang w:eastAsia="lt-LT"/>
        </w:rPr>
        <w:t>–</w:t>
      </w:r>
      <w:r>
        <w:rPr>
          <w:i/>
          <w:iCs/>
          <w:lang w:eastAsia="lt-LT"/>
        </w:rPr>
        <w:t xml:space="preserve"> </w:t>
      </w:r>
      <w:r>
        <w:rPr>
          <w:lang w:eastAsia="lt-LT"/>
        </w:rPr>
        <w:t>pirkėjas,</w:t>
      </w:r>
      <w:r>
        <w:rPr>
          <w:i/>
          <w:iCs/>
          <w:lang w:eastAsia="lt-LT"/>
        </w:rPr>
        <w:t xml:space="preserve"> </w:t>
      </w:r>
      <w:r>
        <w:rPr>
          <w:lang w:eastAsia="lt-LT"/>
        </w:rPr>
        <w:t>kuriam</w:t>
      </w:r>
      <w:r>
        <w:rPr>
          <w:i/>
          <w:iCs/>
          <w:lang w:eastAsia="lt-LT"/>
        </w:rPr>
        <w:t xml:space="preserve"> </w:t>
      </w:r>
      <w:r>
        <w:rPr>
          <w:lang w:eastAsia="lt-LT"/>
        </w:rPr>
        <w:t>perleidžiami</w:t>
      </w:r>
      <w:r>
        <w:rPr>
          <w:i/>
          <w:iCs/>
          <w:lang w:eastAsia="lt-LT"/>
        </w:rPr>
        <w:t xml:space="preserve"> </w:t>
      </w:r>
      <w:r>
        <w:rPr>
          <w:lang w:eastAsia="lt-LT"/>
        </w:rPr>
        <w:t>VP,</w:t>
      </w:r>
      <w:r>
        <w:rPr>
          <w:i/>
          <w:iCs/>
          <w:lang w:eastAsia="lt-LT"/>
        </w:rPr>
        <w:t xml:space="preserve"> </w:t>
      </w:r>
      <w:r>
        <w:rPr>
          <w:lang w:eastAsia="lt-LT"/>
        </w:rPr>
        <w:t>už</w:t>
      </w:r>
      <w:r>
        <w:rPr>
          <w:i/>
          <w:iCs/>
          <w:lang w:eastAsia="lt-LT"/>
        </w:rPr>
        <w:t xml:space="preserve"> </w:t>
      </w:r>
      <w:r>
        <w:rPr>
          <w:lang w:eastAsia="lt-LT"/>
        </w:rPr>
        <w:t>perleistus</w:t>
      </w:r>
      <w:r>
        <w:rPr>
          <w:i/>
          <w:iCs/>
          <w:lang w:eastAsia="lt-LT"/>
        </w:rPr>
        <w:t xml:space="preserve"> </w:t>
      </w:r>
      <w:r>
        <w:rPr>
          <w:lang w:eastAsia="lt-LT"/>
        </w:rPr>
        <w:t>VP</w:t>
      </w:r>
      <w:r>
        <w:rPr>
          <w:i/>
          <w:iCs/>
          <w:lang w:eastAsia="lt-LT"/>
        </w:rPr>
        <w:t xml:space="preserve"> </w:t>
      </w:r>
      <w:r>
        <w:rPr>
          <w:lang w:eastAsia="lt-LT"/>
        </w:rPr>
        <w:t>pardavėjui</w:t>
      </w:r>
      <w:r>
        <w:rPr>
          <w:i/>
          <w:iCs/>
          <w:lang w:eastAsia="lt-LT"/>
        </w:rPr>
        <w:t xml:space="preserve"> </w:t>
      </w:r>
      <w:r>
        <w:rPr>
          <w:lang w:eastAsia="lt-LT"/>
        </w:rPr>
        <w:t>sumokėtos</w:t>
      </w:r>
      <w:r>
        <w:rPr>
          <w:i/>
          <w:iCs/>
          <w:lang w:eastAsia="lt-LT"/>
        </w:rPr>
        <w:t xml:space="preserve"> </w:t>
      </w:r>
      <w:r>
        <w:rPr>
          <w:lang w:eastAsia="lt-LT"/>
        </w:rPr>
        <w:t>ir</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gautos</w:t>
      </w:r>
      <w:r>
        <w:rPr>
          <w:i/>
          <w:iCs/>
          <w:lang w:eastAsia="lt-LT"/>
        </w:rPr>
        <w:t xml:space="preserve"> </w:t>
      </w:r>
      <w:r>
        <w:rPr>
          <w:lang w:eastAsia="lt-LT"/>
        </w:rPr>
        <w:t>VP</w:t>
      </w:r>
      <w:r>
        <w:rPr>
          <w:i/>
          <w:iCs/>
          <w:lang w:eastAsia="lt-LT"/>
        </w:rPr>
        <w:t xml:space="preserve"> </w:t>
      </w:r>
      <w:r>
        <w:rPr>
          <w:lang w:eastAsia="lt-LT"/>
        </w:rPr>
        <w:t>atpirkimo</w:t>
      </w:r>
      <w:r>
        <w:rPr>
          <w:i/>
          <w:iCs/>
          <w:lang w:eastAsia="lt-LT"/>
        </w:rPr>
        <w:t xml:space="preserve"> </w:t>
      </w:r>
      <w:r>
        <w:rPr>
          <w:lang w:eastAsia="lt-LT"/>
        </w:rPr>
        <w:t>kainos</w:t>
      </w:r>
      <w:r>
        <w:rPr>
          <w:i/>
          <w:iCs/>
          <w:lang w:eastAsia="lt-LT"/>
        </w:rPr>
        <w:t xml:space="preserve"> </w:t>
      </w:r>
      <w:r>
        <w:rPr>
          <w:lang w:eastAsia="lt-LT"/>
        </w:rPr>
        <w:t>skirtumą</w:t>
      </w:r>
      <w:r>
        <w:rPr>
          <w:i/>
          <w:iCs/>
          <w:lang w:eastAsia="lt-LT"/>
        </w:rPr>
        <w:t xml:space="preserve"> </w:t>
      </w:r>
      <w:r>
        <w:rPr>
          <w:lang w:eastAsia="lt-LT"/>
        </w:rPr>
        <w:t>pripažįsta</w:t>
      </w:r>
      <w:r>
        <w:rPr>
          <w:i/>
          <w:iCs/>
          <w:lang w:eastAsia="lt-LT"/>
        </w:rPr>
        <w:t xml:space="preserve"> </w:t>
      </w:r>
      <w:r>
        <w:rPr>
          <w:lang w:eastAsia="lt-LT"/>
        </w:rPr>
        <w:t>palūkanų</w:t>
      </w:r>
      <w:r>
        <w:rPr>
          <w:i/>
          <w:iCs/>
          <w:lang w:eastAsia="lt-LT"/>
        </w:rPr>
        <w:t xml:space="preserve"> </w:t>
      </w:r>
      <w:r>
        <w:rPr>
          <w:lang w:eastAsia="lt-LT"/>
        </w:rPr>
        <w:t>pajamomis</w:t>
      </w:r>
      <w:r>
        <w:rPr>
          <w:i/>
          <w:iCs/>
          <w:lang w:eastAsia="lt-LT"/>
        </w:rPr>
        <w:t xml:space="preserve"> </w:t>
      </w:r>
      <w:r>
        <w:rPr>
          <w:lang w:eastAsia="lt-LT"/>
        </w:rPr>
        <w:t>pagal</w:t>
      </w:r>
      <w:r>
        <w:rPr>
          <w:i/>
          <w:iCs/>
          <w:lang w:eastAsia="lt-LT"/>
        </w:rPr>
        <w:t xml:space="preserve"> </w:t>
      </w:r>
      <w:r>
        <w:rPr>
          <w:lang w:eastAsia="lt-LT"/>
        </w:rPr>
        <w:t>kaupimo</w:t>
      </w:r>
      <w:r>
        <w:rPr>
          <w:i/>
          <w:iCs/>
          <w:lang w:eastAsia="lt-LT"/>
        </w:rPr>
        <w:t xml:space="preserve"> </w:t>
      </w:r>
      <w:r>
        <w:rPr>
          <w:lang w:eastAsia="lt-LT"/>
        </w:rPr>
        <w:t>principą.</w:t>
      </w:r>
      <w:r>
        <w:rPr>
          <w:i/>
          <w:iCs/>
          <w:lang w:eastAsia="lt-LT"/>
        </w:rPr>
        <w:t xml:space="preserve"> </w:t>
      </w:r>
      <w:r>
        <w:rPr>
          <w:lang w:eastAsia="lt-LT"/>
        </w:rPr>
        <w:t>Jei</w:t>
      </w:r>
      <w:r>
        <w:rPr>
          <w:i/>
          <w:iCs/>
          <w:lang w:eastAsia="lt-LT"/>
        </w:rPr>
        <w:t xml:space="preserve"> </w:t>
      </w:r>
      <w:r>
        <w:rPr>
          <w:lang w:eastAsia="lt-LT"/>
        </w:rPr>
        <w:t>VP</w:t>
      </w:r>
      <w:r>
        <w:rPr>
          <w:i/>
          <w:iCs/>
          <w:lang w:eastAsia="lt-LT"/>
        </w:rPr>
        <w:t xml:space="preserve"> </w:t>
      </w:r>
      <w:r>
        <w:rPr>
          <w:lang w:eastAsia="lt-LT"/>
        </w:rPr>
        <w:t>pirkėjas</w:t>
      </w:r>
      <w:r>
        <w:rPr>
          <w:i/>
          <w:iCs/>
          <w:lang w:eastAsia="lt-LT"/>
        </w:rPr>
        <w:t xml:space="preserve"> </w:t>
      </w:r>
      <w:r>
        <w:rPr>
          <w:lang w:eastAsia="lt-LT"/>
        </w:rPr>
        <w:t>pats</w:t>
      </w:r>
      <w:r>
        <w:rPr>
          <w:i/>
          <w:iCs/>
          <w:lang w:eastAsia="lt-LT"/>
        </w:rPr>
        <w:t xml:space="preserve"> </w:t>
      </w:r>
      <w:r>
        <w:rPr>
          <w:lang w:eastAsia="lt-LT"/>
        </w:rPr>
        <w:t>sudaro</w:t>
      </w:r>
      <w:r>
        <w:rPr>
          <w:i/>
          <w:iCs/>
          <w:lang w:eastAsia="lt-LT"/>
        </w:rPr>
        <w:t xml:space="preserve"> </w:t>
      </w:r>
      <w:r>
        <w:rPr>
          <w:lang w:eastAsia="lt-LT"/>
        </w:rPr>
        <w:t>ir</w:t>
      </w:r>
      <w:r>
        <w:rPr>
          <w:i/>
          <w:iCs/>
          <w:lang w:eastAsia="lt-LT"/>
        </w:rPr>
        <w:t xml:space="preserve"> </w:t>
      </w:r>
      <w:r>
        <w:rPr>
          <w:lang w:eastAsia="lt-LT"/>
        </w:rPr>
        <w:t>įvykdo</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su</w:t>
      </w:r>
      <w:r>
        <w:rPr>
          <w:i/>
          <w:iCs/>
          <w:lang w:eastAsia="lt-LT"/>
        </w:rPr>
        <w:t xml:space="preserve"> </w:t>
      </w:r>
      <w:r>
        <w:rPr>
          <w:lang w:eastAsia="lt-LT"/>
        </w:rPr>
        <w:t>trečiuoju</w:t>
      </w:r>
      <w:r>
        <w:rPr>
          <w:i/>
          <w:iCs/>
          <w:lang w:eastAsia="lt-LT"/>
        </w:rPr>
        <w:t xml:space="preserve"> </w:t>
      </w:r>
      <w:r>
        <w:rPr>
          <w:lang w:eastAsia="lt-LT"/>
        </w:rPr>
        <w:t>asmeniu,</w:t>
      </w:r>
      <w:r>
        <w:rPr>
          <w:i/>
          <w:iCs/>
          <w:lang w:eastAsia="lt-LT"/>
        </w:rPr>
        <w:t xml:space="preserve"> </w:t>
      </w:r>
      <w:r>
        <w:rPr>
          <w:lang w:eastAsia="lt-LT"/>
        </w:rPr>
        <w:t>tam</w:t>
      </w:r>
      <w:r>
        <w:rPr>
          <w:i/>
          <w:iCs/>
          <w:lang w:eastAsia="lt-LT"/>
        </w:rPr>
        <w:t xml:space="preserve"> </w:t>
      </w:r>
      <w:r>
        <w:rPr>
          <w:lang w:eastAsia="lt-LT"/>
        </w:rPr>
        <w:t>sandoriui</w:t>
      </w:r>
      <w:r>
        <w:rPr>
          <w:i/>
          <w:iCs/>
          <w:lang w:eastAsia="lt-LT"/>
        </w:rPr>
        <w:t xml:space="preserve"> </w:t>
      </w:r>
      <w:r>
        <w:rPr>
          <w:lang w:eastAsia="lt-LT"/>
        </w:rPr>
        <w:t>taikomos</w:t>
      </w:r>
      <w:r>
        <w:rPr>
          <w:i/>
          <w:iCs/>
          <w:lang w:eastAsia="lt-LT"/>
        </w:rPr>
        <w:t xml:space="preserve"> </w:t>
      </w:r>
      <w:r>
        <w:rPr>
          <w:lang w:eastAsia="lt-LT"/>
        </w:rPr>
        <w:t>analogiškos</w:t>
      </w:r>
      <w:r>
        <w:rPr>
          <w:i/>
          <w:iCs/>
          <w:lang w:eastAsia="lt-LT"/>
        </w:rPr>
        <w:t xml:space="preserve"> </w:t>
      </w:r>
      <w:r>
        <w:rPr>
          <w:lang w:eastAsia="lt-LT"/>
        </w:rPr>
        <w:t>taisyklės.</w:t>
      </w:r>
      <w:r>
        <w:rPr>
          <w:i/>
          <w:iCs/>
          <w:lang w:eastAsia="lt-LT"/>
        </w:rPr>
        <w:t xml:space="preserve"> </w:t>
      </w:r>
      <w:r>
        <w:rPr>
          <w:lang w:eastAsia="lt-LT"/>
        </w:rPr>
        <w:t>Tačiau</w:t>
      </w:r>
      <w:r>
        <w:rPr>
          <w:i/>
          <w:iCs/>
          <w:lang w:eastAsia="lt-LT"/>
        </w:rPr>
        <w:t xml:space="preserve"> </w:t>
      </w:r>
      <w:r>
        <w:rPr>
          <w:lang w:eastAsia="lt-LT"/>
        </w:rPr>
        <w:t>jei</w:t>
      </w:r>
      <w:r>
        <w:rPr>
          <w:i/>
          <w:iCs/>
          <w:lang w:eastAsia="lt-LT"/>
        </w:rPr>
        <w:t xml:space="preserve"> </w:t>
      </w:r>
      <w:r>
        <w:rPr>
          <w:lang w:eastAsia="lt-LT"/>
        </w:rPr>
        <w:t>VP</w:t>
      </w:r>
      <w:r>
        <w:rPr>
          <w:i/>
          <w:iCs/>
          <w:lang w:eastAsia="lt-LT"/>
        </w:rPr>
        <w:t xml:space="preserve"> </w:t>
      </w:r>
      <w:r>
        <w:rPr>
          <w:lang w:eastAsia="lt-LT"/>
        </w:rPr>
        <w:t>pirkėjas</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laikotarpiu,</w:t>
      </w:r>
      <w:r>
        <w:rPr>
          <w:i/>
          <w:iCs/>
          <w:lang w:eastAsia="lt-LT"/>
        </w:rPr>
        <w:t xml:space="preserve"> </w:t>
      </w:r>
      <w:r>
        <w:rPr>
          <w:lang w:eastAsia="lt-LT"/>
        </w:rPr>
        <w:t>siekdamas</w:t>
      </w:r>
      <w:r>
        <w:rPr>
          <w:i/>
          <w:iCs/>
          <w:lang w:eastAsia="lt-LT"/>
        </w:rPr>
        <w:t xml:space="preserve"> </w:t>
      </w:r>
      <w:r>
        <w:rPr>
          <w:lang w:eastAsia="lt-LT"/>
        </w:rPr>
        <w:t>ekonominės</w:t>
      </w:r>
      <w:r>
        <w:rPr>
          <w:i/>
          <w:iCs/>
          <w:lang w:eastAsia="lt-LT"/>
        </w:rPr>
        <w:t xml:space="preserve"> </w:t>
      </w:r>
      <w:r>
        <w:rPr>
          <w:lang w:eastAsia="lt-LT"/>
        </w:rPr>
        <w:t>naudos,</w:t>
      </w:r>
      <w:r>
        <w:rPr>
          <w:i/>
          <w:iCs/>
          <w:lang w:eastAsia="lt-LT"/>
        </w:rPr>
        <w:t xml:space="preserve"> </w:t>
      </w:r>
      <w:r>
        <w:rPr>
          <w:lang w:eastAsia="lt-LT"/>
        </w:rPr>
        <w:t>pats</w:t>
      </w:r>
      <w:r>
        <w:rPr>
          <w:i/>
          <w:iCs/>
          <w:lang w:eastAsia="lt-LT"/>
        </w:rPr>
        <w:t xml:space="preserve"> </w:t>
      </w:r>
      <w:r>
        <w:rPr>
          <w:lang w:eastAsia="lt-LT"/>
        </w:rPr>
        <w:t>perleidžia</w:t>
      </w:r>
      <w:r>
        <w:rPr>
          <w:i/>
          <w:iCs/>
          <w:lang w:eastAsia="lt-LT"/>
        </w:rPr>
        <w:t xml:space="preserve"> </w:t>
      </w:r>
      <w:r>
        <w:rPr>
          <w:lang w:eastAsia="lt-LT"/>
        </w:rPr>
        <w:t>įsigytus</w:t>
      </w:r>
      <w:r>
        <w:rPr>
          <w:i/>
          <w:iCs/>
          <w:lang w:eastAsia="lt-LT"/>
        </w:rPr>
        <w:t xml:space="preserve"> </w:t>
      </w:r>
      <w:r>
        <w:rPr>
          <w:lang w:eastAsia="lt-LT"/>
        </w:rPr>
        <w:t>VP,</w:t>
      </w:r>
      <w:r>
        <w:rPr>
          <w:i/>
          <w:iCs/>
          <w:lang w:eastAsia="lt-LT"/>
        </w:rPr>
        <w:t xml:space="preserve"> </w:t>
      </w:r>
      <w:r>
        <w:rPr>
          <w:lang w:eastAsia="lt-LT"/>
        </w:rPr>
        <w:t>kuriuos</w:t>
      </w:r>
      <w:r>
        <w:rPr>
          <w:i/>
          <w:iCs/>
          <w:lang w:eastAsia="lt-LT"/>
        </w:rPr>
        <w:t xml:space="preserve"> </w:t>
      </w:r>
      <w:r>
        <w:rPr>
          <w:lang w:eastAsia="lt-LT"/>
        </w:rPr>
        <w:t>vėliau</w:t>
      </w:r>
      <w:r>
        <w:rPr>
          <w:i/>
          <w:iCs/>
          <w:lang w:eastAsia="lt-LT"/>
        </w:rPr>
        <w:t xml:space="preserve"> </w:t>
      </w:r>
      <w:r>
        <w:rPr>
          <w:lang w:eastAsia="lt-LT"/>
        </w:rPr>
        <w:t>turės</w:t>
      </w:r>
      <w:r>
        <w:rPr>
          <w:i/>
          <w:iCs/>
          <w:lang w:eastAsia="lt-LT"/>
        </w:rPr>
        <w:t xml:space="preserve"> </w:t>
      </w:r>
      <w:r>
        <w:rPr>
          <w:lang w:eastAsia="lt-LT"/>
        </w:rPr>
        <w:t>grąžinti</w:t>
      </w:r>
      <w:r>
        <w:rPr>
          <w:i/>
          <w:iCs/>
          <w:lang w:eastAsia="lt-LT"/>
        </w:rPr>
        <w:t xml:space="preserve"> </w:t>
      </w:r>
      <w:r>
        <w:rPr>
          <w:lang w:eastAsia="lt-LT"/>
        </w:rPr>
        <w:t>pardavėjui,</w:t>
      </w:r>
      <w:r>
        <w:rPr>
          <w:i/>
          <w:iCs/>
          <w:lang w:eastAsia="lt-LT"/>
        </w:rPr>
        <w:t xml:space="preserve"> </w:t>
      </w:r>
      <w:r>
        <w:rPr>
          <w:lang w:eastAsia="lt-LT"/>
        </w:rPr>
        <w:t>ne</w:t>
      </w:r>
      <w:r>
        <w:rPr>
          <w:i/>
          <w:iCs/>
          <w:lang w:eastAsia="lt-LT"/>
        </w:rPr>
        <w:t xml:space="preserve"> </w:t>
      </w:r>
      <w:r>
        <w:rPr>
          <w:lang w:eastAsia="lt-LT"/>
        </w:rPr>
        <w:t>pagal</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ir</w:t>
      </w:r>
      <w:r>
        <w:rPr>
          <w:i/>
          <w:iCs/>
          <w:lang w:eastAsia="lt-LT"/>
        </w:rPr>
        <w:t xml:space="preserve"> </w:t>
      </w:r>
      <w:r>
        <w:rPr>
          <w:lang w:eastAsia="lt-LT"/>
        </w:rPr>
        <w:t>grąžina</w:t>
      </w:r>
      <w:r>
        <w:rPr>
          <w:i/>
          <w:iCs/>
          <w:lang w:eastAsia="lt-LT"/>
        </w:rPr>
        <w:t xml:space="preserve"> </w:t>
      </w:r>
      <w:r>
        <w:rPr>
          <w:lang w:eastAsia="lt-LT"/>
        </w:rPr>
        <w:t>VP</w:t>
      </w:r>
      <w:r>
        <w:rPr>
          <w:i/>
          <w:iCs/>
          <w:lang w:eastAsia="lt-LT"/>
        </w:rPr>
        <w:t xml:space="preserve"> </w:t>
      </w:r>
      <w:r>
        <w:rPr>
          <w:lang w:eastAsia="lt-LT"/>
        </w:rPr>
        <w:t>išpirkęs</w:t>
      </w:r>
      <w:r>
        <w:rPr>
          <w:i/>
          <w:iCs/>
          <w:lang w:eastAsia="lt-LT"/>
        </w:rPr>
        <w:t xml:space="preserve"> </w:t>
      </w:r>
      <w:r>
        <w:rPr>
          <w:lang w:eastAsia="lt-LT"/>
        </w:rPr>
        <w:t>juos</w:t>
      </w:r>
      <w:r>
        <w:rPr>
          <w:i/>
          <w:iCs/>
          <w:lang w:eastAsia="lt-LT"/>
        </w:rPr>
        <w:t xml:space="preserve"> </w:t>
      </w:r>
      <w:r>
        <w:rPr>
          <w:lang w:eastAsia="lt-LT"/>
        </w:rPr>
        <w:t>aktyvioje</w:t>
      </w:r>
      <w:r>
        <w:rPr>
          <w:i/>
          <w:iCs/>
          <w:lang w:eastAsia="lt-LT"/>
        </w:rPr>
        <w:t xml:space="preserve"> </w:t>
      </w:r>
      <w:r>
        <w:rPr>
          <w:lang w:eastAsia="lt-LT"/>
        </w:rPr>
        <w:t>rinkoje,</w:t>
      </w:r>
      <w:r>
        <w:rPr>
          <w:i/>
          <w:iCs/>
          <w:lang w:eastAsia="lt-LT"/>
        </w:rPr>
        <w:t xml:space="preserve"> </w:t>
      </w:r>
      <w:r>
        <w:rPr>
          <w:lang w:eastAsia="lt-LT"/>
        </w:rPr>
        <w:t>tai</w:t>
      </w:r>
      <w:r>
        <w:rPr>
          <w:i/>
          <w:iCs/>
          <w:lang w:eastAsia="lt-LT"/>
        </w:rPr>
        <w:t xml:space="preserve"> </w:t>
      </w:r>
      <w:r>
        <w:rPr>
          <w:lang w:eastAsia="lt-LT"/>
        </w:rPr>
        <w:t>jis</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bookmarkStart w:id="149" w:name="n1_151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0" w:name="pn1_1511"/>
      <w:bookmarkEnd w:id="149"/>
      <w:bookmarkEnd w:id="150"/>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p>
    <w:p w14:paraId="015D7DB4" w14:textId="77777777" w:rsidR="00093845" w:rsidRDefault="000D779E">
      <w:pPr>
        <w:spacing w:before="100" w:beforeAutospacing="1" w:after="100" w:afterAutospacing="1"/>
        <w:jc w:val="both"/>
        <w:rPr>
          <w:lang w:eastAsia="lt-LT"/>
        </w:rPr>
      </w:pPr>
      <w:r>
        <w:rPr>
          <w:lang w:eastAsia="lt-LT"/>
        </w:rPr>
        <w:t xml:space="preserve">   Jeigu</w:t>
      </w:r>
      <w:r>
        <w:rPr>
          <w:i/>
          <w:iCs/>
          <w:lang w:eastAsia="lt-LT"/>
        </w:rPr>
        <w:t xml:space="preserve"> </w:t>
      </w:r>
      <w:r>
        <w:rPr>
          <w:lang w:eastAsia="lt-LT"/>
        </w:rPr>
        <w:t>sudarius</w:t>
      </w:r>
      <w:r>
        <w:rPr>
          <w:i/>
          <w:iCs/>
          <w:lang w:eastAsia="lt-LT"/>
        </w:rPr>
        <w:t xml:space="preserve"> </w:t>
      </w:r>
      <w:r>
        <w:rPr>
          <w:lang w:eastAsia="lt-LT"/>
        </w:rPr>
        <w:t>atpirkimo</w:t>
      </w:r>
      <w:r>
        <w:rPr>
          <w:i/>
          <w:iCs/>
          <w:lang w:eastAsia="lt-LT"/>
        </w:rPr>
        <w:t xml:space="preserve"> </w:t>
      </w:r>
      <w:r>
        <w:rPr>
          <w:lang w:eastAsia="lt-LT"/>
        </w:rPr>
        <w:t>sandorį,</w:t>
      </w:r>
      <w:r>
        <w:rPr>
          <w:i/>
          <w:iCs/>
          <w:lang w:eastAsia="lt-LT"/>
        </w:rPr>
        <w:t xml:space="preserve"> </w:t>
      </w:r>
      <w:r>
        <w:rPr>
          <w:lang w:eastAsia="lt-LT"/>
        </w:rPr>
        <w:t>pardavėjas,</w:t>
      </w:r>
      <w:r>
        <w:rPr>
          <w:i/>
          <w:iCs/>
          <w:lang w:eastAsia="lt-LT"/>
        </w:rPr>
        <w:t xml:space="preserve"> </w:t>
      </w:r>
      <w:r>
        <w:rPr>
          <w:lang w:eastAsia="lt-LT"/>
        </w:rPr>
        <w:t>vadovaudamasis</w:t>
      </w:r>
      <w:r>
        <w:rPr>
          <w:i/>
          <w:iCs/>
          <w:lang w:eastAsia="lt-LT"/>
        </w:rPr>
        <w:t xml:space="preserve"> </w:t>
      </w:r>
      <w:r>
        <w:rPr>
          <w:lang w:eastAsia="lt-LT"/>
        </w:rPr>
        <w:t>Lietuvos</w:t>
      </w:r>
      <w:r>
        <w:rPr>
          <w:i/>
          <w:iCs/>
          <w:lang w:eastAsia="lt-LT"/>
        </w:rPr>
        <w:t xml:space="preserve"> </w:t>
      </w:r>
      <w:r>
        <w:rPr>
          <w:lang w:eastAsia="lt-LT"/>
        </w:rPr>
        <w:t>Respublikos</w:t>
      </w:r>
      <w:r>
        <w:rPr>
          <w:i/>
          <w:iCs/>
          <w:lang w:eastAsia="lt-LT"/>
        </w:rPr>
        <w:t xml:space="preserve"> </w:t>
      </w:r>
      <w:r>
        <w:rPr>
          <w:lang w:eastAsia="lt-LT"/>
        </w:rPr>
        <w:t>finansinio</w:t>
      </w:r>
      <w:r>
        <w:rPr>
          <w:i/>
          <w:iCs/>
          <w:lang w:eastAsia="lt-LT"/>
        </w:rPr>
        <w:t xml:space="preserve"> </w:t>
      </w:r>
      <w:r>
        <w:rPr>
          <w:lang w:eastAsia="lt-LT"/>
        </w:rPr>
        <w:t>užtikrinimo</w:t>
      </w:r>
      <w:r>
        <w:rPr>
          <w:i/>
          <w:iCs/>
          <w:lang w:eastAsia="lt-LT"/>
        </w:rPr>
        <w:t xml:space="preserve"> </w:t>
      </w:r>
      <w:r>
        <w:rPr>
          <w:lang w:eastAsia="lt-LT"/>
        </w:rPr>
        <w:t>susitarimų</w:t>
      </w:r>
      <w:r>
        <w:rPr>
          <w:i/>
          <w:iCs/>
          <w:lang w:eastAsia="lt-LT"/>
        </w:rPr>
        <w:t xml:space="preserve"> </w:t>
      </w:r>
      <w:r>
        <w:rPr>
          <w:lang w:eastAsia="lt-LT"/>
        </w:rPr>
        <w:t>įstatymo</w:t>
      </w:r>
      <w:r>
        <w:rPr>
          <w:i/>
          <w:iCs/>
          <w:lang w:eastAsia="lt-LT"/>
        </w:rPr>
        <w:t xml:space="preserve"> </w:t>
      </w:r>
      <w:r>
        <w:rPr>
          <w:lang w:eastAsia="lt-LT"/>
        </w:rPr>
        <w:t>nuostatomis,</w:t>
      </w:r>
      <w:r>
        <w:rPr>
          <w:i/>
          <w:iCs/>
          <w:lang w:eastAsia="lt-LT"/>
        </w:rPr>
        <w:t xml:space="preserve"> </w:t>
      </w:r>
      <w:r>
        <w:rPr>
          <w:lang w:eastAsia="lt-LT"/>
        </w:rPr>
        <w:t>pakeičia</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metu</w:t>
      </w:r>
      <w:r>
        <w:rPr>
          <w:i/>
          <w:iCs/>
          <w:lang w:eastAsia="lt-LT"/>
        </w:rPr>
        <w:t xml:space="preserve"> </w:t>
      </w:r>
      <w:r>
        <w:rPr>
          <w:lang w:eastAsia="lt-LT"/>
        </w:rPr>
        <w:t>pirkėjui</w:t>
      </w:r>
      <w:r>
        <w:rPr>
          <w:i/>
          <w:iCs/>
          <w:lang w:eastAsia="lt-LT"/>
        </w:rPr>
        <w:t xml:space="preserve"> </w:t>
      </w:r>
      <w:r>
        <w:rPr>
          <w:lang w:eastAsia="lt-LT"/>
        </w:rPr>
        <w:t>perleistus</w:t>
      </w:r>
      <w:r>
        <w:rPr>
          <w:i/>
          <w:iCs/>
          <w:lang w:eastAsia="lt-LT"/>
        </w:rPr>
        <w:t xml:space="preserve"> </w:t>
      </w:r>
      <w:r>
        <w:rPr>
          <w:lang w:eastAsia="lt-LT"/>
        </w:rPr>
        <w:t>VP</w:t>
      </w:r>
      <w:r>
        <w:rPr>
          <w:i/>
          <w:iCs/>
          <w:lang w:eastAsia="lt-LT"/>
        </w:rPr>
        <w:t xml:space="preserve"> </w:t>
      </w:r>
      <w:r>
        <w:rPr>
          <w:lang w:eastAsia="lt-LT"/>
        </w:rPr>
        <w:t>į</w:t>
      </w:r>
      <w:r>
        <w:rPr>
          <w:i/>
          <w:iCs/>
          <w:lang w:eastAsia="lt-LT"/>
        </w:rPr>
        <w:t xml:space="preserve"> </w:t>
      </w:r>
      <w:r>
        <w:rPr>
          <w:lang w:eastAsia="lt-LT"/>
        </w:rPr>
        <w:t>lygiavertį</w:t>
      </w:r>
      <w:r>
        <w:rPr>
          <w:i/>
          <w:iCs/>
          <w:lang w:eastAsia="lt-LT"/>
        </w:rPr>
        <w:t xml:space="preserve"> </w:t>
      </w:r>
      <w:r>
        <w:rPr>
          <w:lang w:eastAsia="lt-LT"/>
        </w:rPr>
        <w:t>finansinį</w:t>
      </w:r>
      <w:r>
        <w:rPr>
          <w:i/>
          <w:iCs/>
          <w:lang w:eastAsia="lt-LT"/>
        </w:rPr>
        <w:t xml:space="preserve"> </w:t>
      </w:r>
      <w:r>
        <w:rPr>
          <w:lang w:eastAsia="lt-LT"/>
        </w:rPr>
        <w:t>užstatą</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to</w:t>
      </w:r>
      <w:r>
        <w:rPr>
          <w:i/>
          <w:iCs/>
          <w:lang w:eastAsia="lt-LT"/>
        </w:rPr>
        <w:t xml:space="preserve"> </w:t>
      </w:r>
      <w:r>
        <w:rPr>
          <w:lang w:eastAsia="lt-LT"/>
        </w:rPr>
        <w:t>paties</w:t>
      </w:r>
      <w:r>
        <w:rPr>
          <w:i/>
          <w:iCs/>
          <w:lang w:eastAsia="lt-LT"/>
        </w:rPr>
        <w:t xml:space="preserve"> </w:t>
      </w:r>
      <w:r>
        <w:rPr>
          <w:lang w:eastAsia="lt-LT"/>
        </w:rPr>
        <w:t>emitento</w:t>
      </w:r>
      <w:r>
        <w:rPr>
          <w:i/>
          <w:iCs/>
          <w:lang w:eastAsia="lt-LT"/>
        </w:rPr>
        <w:t xml:space="preserve"> </w:t>
      </w:r>
      <w:r>
        <w:rPr>
          <w:lang w:eastAsia="lt-LT"/>
        </w:rPr>
        <w:t>išleistas</w:t>
      </w:r>
      <w:r>
        <w:rPr>
          <w:i/>
          <w:iCs/>
          <w:lang w:eastAsia="lt-LT"/>
        </w:rPr>
        <w:t xml:space="preserve"> </w:t>
      </w:r>
      <w:r>
        <w:rPr>
          <w:lang w:eastAsia="lt-LT"/>
        </w:rPr>
        <w:t>tos</w:t>
      </w:r>
      <w:r>
        <w:rPr>
          <w:i/>
          <w:iCs/>
          <w:lang w:eastAsia="lt-LT"/>
        </w:rPr>
        <w:t xml:space="preserve"> </w:t>
      </w:r>
      <w:r>
        <w:rPr>
          <w:lang w:eastAsia="lt-LT"/>
        </w:rPr>
        <w:t>pačios</w:t>
      </w:r>
      <w:r>
        <w:rPr>
          <w:i/>
          <w:iCs/>
          <w:lang w:eastAsia="lt-LT"/>
        </w:rPr>
        <w:t xml:space="preserve"> </w:t>
      </w:r>
      <w:r>
        <w:rPr>
          <w:lang w:eastAsia="lt-LT"/>
        </w:rPr>
        <w:t>emisijos</w:t>
      </w:r>
      <w:r>
        <w:rPr>
          <w:i/>
          <w:iCs/>
          <w:lang w:eastAsia="lt-LT"/>
        </w:rPr>
        <w:t xml:space="preserve"> </w:t>
      </w:r>
      <w:r>
        <w:rPr>
          <w:lang w:eastAsia="lt-LT"/>
        </w:rPr>
        <w:t>arba</w:t>
      </w:r>
      <w:r>
        <w:rPr>
          <w:i/>
          <w:iCs/>
          <w:lang w:eastAsia="lt-LT"/>
        </w:rPr>
        <w:t xml:space="preserve"> </w:t>
      </w:r>
      <w:r>
        <w:rPr>
          <w:lang w:eastAsia="lt-LT"/>
        </w:rPr>
        <w:t>klasės,</w:t>
      </w:r>
      <w:r>
        <w:rPr>
          <w:i/>
          <w:iCs/>
          <w:lang w:eastAsia="lt-LT"/>
        </w:rPr>
        <w:t xml:space="preserve"> </w:t>
      </w:r>
      <w:r>
        <w:rPr>
          <w:lang w:eastAsia="lt-LT"/>
        </w:rPr>
        <w:t>tokios</w:t>
      </w:r>
      <w:r>
        <w:rPr>
          <w:i/>
          <w:iCs/>
          <w:lang w:eastAsia="lt-LT"/>
        </w:rPr>
        <w:t xml:space="preserve"> </w:t>
      </w:r>
      <w:r>
        <w:rPr>
          <w:lang w:eastAsia="lt-LT"/>
        </w:rPr>
        <w:t>pat</w:t>
      </w:r>
      <w:r>
        <w:rPr>
          <w:i/>
          <w:iCs/>
          <w:lang w:eastAsia="lt-LT"/>
        </w:rPr>
        <w:t xml:space="preserve"> </w:t>
      </w:r>
      <w:r>
        <w:rPr>
          <w:lang w:eastAsia="lt-LT"/>
        </w:rPr>
        <w:t>nominalios</w:t>
      </w:r>
      <w:r>
        <w:rPr>
          <w:i/>
          <w:iCs/>
          <w:lang w:eastAsia="lt-LT"/>
        </w:rPr>
        <w:t xml:space="preserve"> </w:t>
      </w:r>
      <w:r>
        <w:rPr>
          <w:lang w:eastAsia="lt-LT"/>
        </w:rPr>
        <w:t>vertės,</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valiuta</w:t>
      </w:r>
      <w:r>
        <w:rPr>
          <w:i/>
          <w:iCs/>
          <w:lang w:eastAsia="lt-LT"/>
        </w:rPr>
        <w:t xml:space="preserve"> </w:t>
      </w:r>
      <w:r>
        <w:rPr>
          <w:lang w:eastAsia="lt-LT"/>
        </w:rPr>
        <w:t>ir</w:t>
      </w:r>
      <w:r>
        <w:rPr>
          <w:i/>
          <w:iCs/>
          <w:lang w:eastAsia="lt-LT"/>
        </w:rPr>
        <w:t xml:space="preserve"> </w:t>
      </w:r>
      <w:r>
        <w:rPr>
          <w:lang w:eastAsia="lt-LT"/>
        </w:rPr>
        <w:t>tapataus</w:t>
      </w:r>
      <w:r>
        <w:rPr>
          <w:i/>
          <w:iCs/>
          <w:lang w:eastAsia="lt-LT"/>
        </w:rPr>
        <w:t xml:space="preserve"> </w:t>
      </w:r>
      <w:r>
        <w:rPr>
          <w:lang w:eastAsia="lt-LT"/>
        </w:rPr>
        <w:t>aprašymo</w:t>
      </w:r>
      <w:r>
        <w:rPr>
          <w:i/>
          <w:iCs/>
          <w:lang w:eastAsia="lt-LT"/>
        </w:rPr>
        <w:t xml:space="preserve"> </w:t>
      </w:r>
      <w:r>
        <w:rPr>
          <w:lang w:eastAsia="lt-LT"/>
        </w:rPr>
        <w:t>VP),</w:t>
      </w:r>
      <w:r>
        <w:rPr>
          <w:i/>
          <w:iCs/>
          <w:lang w:eastAsia="lt-LT"/>
        </w:rPr>
        <w:t xml:space="preserve"> </w:t>
      </w:r>
      <w:r>
        <w:rPr>
          <w:lang w:eastAsia="lt-LT"/>
        </w:rPr>
        <w:t>tai</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tikslais</w:t>
      </w:r>
      <w:r>
        <w:rPr>
          <w:i/>
          <w:iCs/>
          <w:lang w:eastAsia="lt-LT"/>
        </w:rPr>
        <w:t xml:space="preserve"> </w:t>
      </w:r>
      <w:r>
        <w:rPr>
          <w:lang w:eastAsia="lt-LT"/>
        </w:rPr>
        <w:t>yra</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VP</w:t>
      </w:r>
      <w:r>
        <w:rPr>
          <w:i/>
          <w:iCs/>
          <w:lang w:eastAsia="lt-LT"/>
        </w:rPr>
        <w:t xml:space="preserve"> </w:t>
      </w:r>
      <w:r>
        <w:rPr>
          <w:lang w:eastAsia="lt-LT"/>
        </w:rPr>
        <w:t>pakeitimas</w:t>
      </w:r>
      <w:r>
        <w:rPr>
          <w:i/>
          <w:iCs/>
          <w:lang w:eastAsia="lt-LT"/>
        </w:rPr>
        <w:t xml:space="preserve"> </w:t>
      </w:r>
      <w:r>
        <w:rPr>
          <w:lang w:eastAsia="lt-LT"/>
        </w:rPr>
        <w:t>nevyko,</w:t>
      </w:r>
      <w:r>
        <w:rPr>
          <w:i/>
          <w:iCs/>
          <w:lang w:eastAsia="lt-LT"/>
        </w:rPr>
        <w:t xml:space="preserve"> </w:t>
      </w:r>
      <w:r>
        <w:rPr>
          <w:lang w:eastAsia="lt-LT"/>
        </w:rPr>
        <w:t>todėl</w:t>
      </w:r>
      <w:r>
        <w:rPr>
          <w:i/>
          <w:iCs/>
          <w:lang w:eastAsia="lt-LT"/>
        </w:rPr>
        <w:t xml:space="preserve"> </w:t>
      </w:r>
      <w:r>
        <w:rPr>
          <w:lang w:eastAsia="lt-LT"/>
        </w:rPr>
        <w:t>vienetui</w:t>
      </w:r>
      <w:r>
        <w:rPr>
          <w:i/>
          <w:iCs/>
          <w:lang w:eastAsia="lt-LT"/>
        </w:rPr>
        <w:t xml:space="preserve"> </w:t>
      </w:r>
      <w:r>
        <w:rPr>
          <w:lang w:eastAsia="lt-LT"/>
        </w:rPr>
        <w:t>atpirkus</w:t>
      </w:r>
      <w:r>
        <w:rPr>
          <w:i/>
          <w:iCs/>
          <w:lang w:eastAsia="lt-LT"/>
        </w:rPr>
        <w:t xml:space="preserve"> </w:t>
      </w:r>
      <w:r>
        <w:rPr>
          <w:lang w:eastAsia="lt-LT"/>
        </w:rPr>
        <w:t>vertybinius</w:t>
      </w:r>
      <w:r>
        <w:rPr>
          <w:i/>
          <w:iCs/>
          <w:lang w:eastAsia="lt-LT"/>
        </w:rPr>
        <w:t xml:space="preserve"> </w:t>
      </w:r>
      <w:r>
        <w:rPr>
          <w:lang w:eastAsia="lt-LT"/>
        </w:rPr>
        <w:t>popierius</w:t>
      </w:r>
      <w:r>
        <w:rPr>
          <w:i/>
          <w:iCs/>
          <w:lang w:eastAsia="lt-LT"/>
        </w:rPr>
        <w:t xml:space="preserve"> </w:t>
      </w:r>
      <w:r>
        <w:rPr>
          <w:lang w:eastAsia="lt-LT"/>
        </w:rPr>
        <w:t>yra</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atperkami</w:t>
      </w:r>
      <w:r>
        <w:rPr>
          <w:i/>
          <w:iCs/>
          <w:lang w:eastAsia="lt-LT"/>
        </w:rPr>
        <w:t xml:space="preserve"> </w:t>
      </w:r>
      <w:r>
        <w:rPr>
          <w:lang w:eastAsia="lt-LT"/>
        </w:rPr>
        <w:t>pirminio</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sudarymo</w:t>
      </w:r>
      <w:r>
        <w:rPr>
          <w:i/>
          <w:iCs/>
          <w:lang w:eastAsia="lt-LT"/>
        </w:rPr>
        <w:t xml:space="preserve"> </w:t>
      </w:r>
      <w:r>
        <w:rPr>
          <w:lang w:eastAsia="lt-LT"/>
        </w:rPr>
        <w:t>metu</w:t>
      </w:r>
      <w:r>
        <w:rPr>
          <w:i/>
          <w:iCs/>
          <w:lang w:eastAsia="lt-LT"/>
        </w:rPr>
        <w:t xml:space="preserve"> </w:t>
      </w:r>
      <w:r>
        <w:rPr>
          <w:lang w:eastAsia="lt-LT"/>
        </w:rPr>
        <w:t>perleisti</w:t>
      </w:r>
      <w:r>
        <w:rPr>
          <w:i/>
          <w:iCs/>
          <w:lang w:eastAsia="lt-LT"/>
        </w:rPr>
        <w:t xml:space="preserve"> </w:t>
      </w:r>
      <w:r>
        <w:rPr>
          <w:lang w:eastAsia="lt-LT"/>
        </w:rPr>
        <w:t>vertybiniai</w:t>
      </w:r>
      <w:r>
        <w:rPr>
          <w:i/>
          <w:iCs/>
          <w:lang w:eastAsia="lt-LT"/>
        </w:rPr>
        <w:t xml:space="preserve"> </w:t>
      </w:r>
      <w:r>
        <w:rPr>
          <w:lang w:eastAsia="lt-LT"/>
        </w:rPr>
        <w:t>popieriai.</w:t>
      </w:r>
      <w:r>
        <w:rPr>
          <w:i/>
          <w:iCs/>
          <w:lang w:eastAsia="lt-LT"/>
        </w:rPr>
        <w:t>“</w:t>
      </w:r>
    </w:p>
    <w:p w14:paraId="7AAC1198" w14:textId="77777777" w:rsidR="00093845" w:rsidRDefault="000D779E">
      <w:pPr>
        <w:spacing w:before="100" w:beforeAutospacing="1" w:after="100" w:afterAutospacing="1"/>
        <w:jc w:val="both"/>
        <w:rPr>
          <w:lang w:eastAsia="lt-LT"/>
        </w:rPr>
      </w:pPr>
      <w:r>
        <w:rPr>
          <w:lang w:eastAsia="lt-LT"/>
        </w:rPr>
        <w:t xml:space="preserve">   Jei</w:t>
      </w:r>
      <w:r>
        <w:rPr>
          <w:i/>
          <w:iCs/>
          <w:lang w:eastAsia="lt-LT"/>
        </w:rPr>
        <w:t xml:space="preserve"> </w:t>
      </w:r>
      <w:r>
        <w:rPr>
          <w:lang w:eastAsia="lt-LT"/>
        </w:rPr>
        <w:t>vienetas</w:t>
      </w:r>
      <w:r>
        <w:rPr>
          <w:i/>
          <w:iCs/>
          <w:lang w:eastAsia="lt-LT"/>
        </w:rPr>
        <w:t xml:space="preserve"> </w:t>
      </w:r>
      <w:r>
        <w:rPr>
          <w:lang w:eastAsia="lt-LT"/>
        </w:rPr>
        <w:t>neįvykdytų</w:t>
      </w:r>
      <w:r>
        <w:rPr>
          <w:i/>
          <w:iCs/>
          <w:lang w:eastAsia="lt-LT"/>
        </w:rPr>
        <w:t xml:space="preserve"> </w:t>
      </w:r>
      <w:r>
        <w:rPr>
          <w:lang w:eastAsia="lt-LT"/>
        </w:rPr>
        <w:t>atpirkimo</w:t>
      </w:r>
      <w:r>
        <w:rPr>
          <w:i/>
          <w:iCs/>
          <w:lang w:eastAsia="lt-LT"/>
        </w:rPr>
        <w:t xml:space="preserve"> </w:t>
      </w:r>
      <w:r>
        <w:rPr>
          <w:lang w:eastAsia="lt-LT"/>
        </w:rPr>
        <w:t>sandorio</w:t>
      </w:r>
      <w:r>
        <w:rPr>
          <w:i/>
          <w:iCs/>
          <w:lang w:eastAsia="lt-LT"/>
        </w:rPr>
        <w:t xml:space="preserve"> </w:t>
      </w:r>
      <w:r>
        <w:rPr>
          <w:lang w:eastAsia="lt-LT"/>
        </w:rPr>
        <w:t>ir</w:t>
      </w:r>
      <w:r>
        <w:rPr>
          <w:i/>
          <w:iCs/>
          <w:lang w:eastAsia="lt-LT"/>
        </w:rPr>
        <w:t xml:space="preserve"> </w:t>
      </w:r>
      <w:r>
        <w:rPr>
          <w:lang w:eastAsia="lt-LT"/>
        </w:rPr>
        <w:t>neatpirktų</w:t>
      </w:r>
      <w:r>
        <w:rPr>
          <w:i/>
          <w:iCs/>
          <w:lang w:eastAsia="lt-LT"/>
        </w:rPr>
        <w:t xml:space="preserve"> </w:t>
      </w:r>
      <w:r>
        <w:rPr>
          <w:lang w:eastAsia="lt-LT"/>
        </w:rPr>
        <w:t>VP,</w:t>
      </w:r>
      <w:r>
        <w:rPr>
          <w:i/>
          <w:iCs/>
          <w:lang w:eastAsia="lt-LT"/>
        </w:rPr>
        <w:t xml:space="preserve"> </w:t>
      </w:r>
      <w:r>
        <w:rPr>
          <w:lang w:eastAsia="lt-LT"/>
        </w:rPr>
        <w:t>tai</w:t>
      </w:r>
      <w:r>
        <w:rPr>
          <w:i/>
          <w:iCs/>
          <w:lang w:eastAsia="lt-LT"/>
        </w:rPr>
        <w:t xml:space="preserve"> </w:t>
      </w:r>
      <w:r>
        <w:rPr>
          <w:lang w:eastAsia="lt-LT"/>
        </w:rPr>
        <w:t>toks</w:t>
      </w:r>
      <w:r>
        <w:rPr>
          <w:i/>
          <w:iCs/>
          <w:lang w:eastAsia="lt-LT"/>
        </w:rPr>
        <w:t xml:space="preserve"> </w:t>
      </w:r>
      <w:r>
        <w:rPr>
          <w:lang w:eastAsia="lt-LT"/>
        </w:rPr>
        <w:t>sandoris</w:t>
      </w:r>
      <w:r>
        <w:rPr>
          <w:i/>
          <w:iCs/>
          <w:lang w:eastAsia="lt-LT"/>
        </w:rPr>
        <w:t xml:space="preserve"> </w:t>
      </w:r>
      <w:r>
        <w:rPr>
          <w:lang w:eastAsia="lt-LT"/>
        </w:rPr>
        <w:t>būtų</w:t>
      </w:r>
      <w:r>
        <w:rPr>
          <w:i/>
          <w:iCs/>
          <w:lang w:eastAsia="lt-LT"/>
        </w:rPr>
        <w:t xml:space="preserve"> </w:t>
      </w:r>
      <w:r>
        <w:rPr>
          <w:lang w:eastAsia="lt-LT"/>
        </w:rPr>
        <w:t>laikomas</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sandoriu.</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vienetas</w:t>
      </w:r>
      <w:r>
        <w:rPr>
          <w:i/>
          <w:iCs/>
          <w:lang w:eastAsia="lt-LT"/>
        </w:rPr>
        <w:t xml:space="preserve"> </w:t>
      </w:r>
      <w:r>
        <w:rPr>
          <w:lang w:eastAsia="lt-LT"/>
        </w:rPr>
        <w:t>turi</w:t>
      </w:r>
      <w:r>
        <w:rPr>
          <w:i/>
          <w:iCs/>
          <w:lang w:eastAsia="lt-LT"/>
        </w:rPr>
        <w:t xml:space="preserve"> </w:t>
      </w:r>
      <w:r>
        <w:rPr>
          <w:lang w:eastAsia="lt-LT"/>
        </w:rPr>
        <w:t>pripažinti</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nuo</w:t>
      </w:r>
      <w:r>
        <w:rPr>
          <w:i/>
          <w:iCs/>
          <w:lang w:eastAsia="lt-LT"/>
        </w:rPr>
        <w:t xml:space="preserve"> </w:t>
      </w:r>
      <w:r>
        <w:rPr>
          <w:lang w:eastAsia="lt-LT"/>
        </w:rPr>
        <w:t>jų</w:t>
      </w:r>
      <w:r>
        <w:rPr>
          <w:i/>
          <w:iCs/>
          <w:lang w:eastAsia="lt-LT"/>
        </w:rPr>
        <w:t xml:space="preserve"> </w:t>
      </w:r>
      <w:r>
        <w:rPr>
          <w:lang w:eastAsia="lt-LT"/>
        </w:rPr>
        <w:t>perleidimo</w:t>
      </w:r>
      <w:r>
        <w:rPr>
          <w:i/>
          <w:iCs/>
          <w:lang w:eastAsia="lt-LT"/>
        </w:rPr>
        <w:t xml:space="preserve"> </w:t>
      </w:r>
      <w:r>
        <w:rPr>
          <w:lang w:eastAsia="lt-LT"/>
        </w:rPr>
        <w:t>pirkėjui</w:t>
      </w:r>
      <w:r>
        <w:rPr>
          <w:i/>
          <w:iCs/>
          <w:lang w:eastAsia="lt-LT"/>
        </w:rPr>
        <w:t xml:space="preserve"> </w:t>
      </w:r>
      <w:r>
        <w:rPr>
          <w:lang w:eastAsia="lt-LT"/>
        </w:rPr>
        <w:t>datos</w:t>
      </w:r>
      <w:r>
        <w:rPr>
          <w:i/>
          <w:iCs/>
          <w:lang w:eastAsia="lt-LT"/>
        </w:rPr>
        <w:t xml:space="preserve"> </w:t>
      </w:r>
      <w:bookmarkStart w:id="151" w:name="n1_1516"/>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2" w:name="pn1_1516"/>
      <w:bookmarkEnd w:id="151"/>
      <w:bookmarkEnd w:id="152"/>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tvarka.</w:t>
      </w:r>
    </w:p>
    <w:p w14:paraId="362BDEB2" w14:textId="77777777" w:rsidR="00093845" w:rsidRDefault="000D779E">
      <w:pPr>
        <w:spacing w:before="100" w:beforeAutospacing="1" w:after="100" w:afterAutospacing="1"/>
        <w:jc w:val="both"/>
        <w:rPr>
          <w:lang w:eastAsia="lt-LT"/>
        </w:rPr>
      </w:pPr>
      <w:r>
        <w:rPr>
          <w:lang w:eastAsia="lt-LT"/>
        </w:rPr>
        <w:t xml:space="preserve">    Tokie</w:t>
      </w:r>
      <w:r>
        <w:rPr>
          <w:i/>
          <w:iCs/>
          <w:lang w:eastAsia="lt-LT"/>
        </w:rPr>
        <w:t xml:space="preserve"> </w:t>
      </w:r>
      <w:r>
        <w:rPr>
          <w:lang w:eastAsia="lt-LT"/>
        </w:rPr>
        <w:t>sandoriai,</w:t>
      </w:r>
      <w:r>
        <w:rPr>
          <w:i/>
          <w:iCs/>
          <w:lang w:eastAsia="lt-LT"/>
        </w:rPr>
        <w:t xml:space="preserve"> </w:t>
      </w:r>
      <w:r>
        <w:rPr>
          <w:lang w:eastAsia="lt-LT"/>
        </w:rPr>
        <w:t>kuriuose</w:t>
      </w:r>
      <w:r>
        <w:rPr>
          <w:i/>
          <w:iCs/>
          <w:lang w:eastAsia="lt-LT"/>
        </w:rPr>
        <w:t xml:space="preserve"> </w:t>
      </w:r>
      <w:r>
        <w:rPr>
          <w:lang w:eastAsia="lt-LT"/>
        </w:rPr>
        <w:t>nenumatytas</w:t>
      </w:r>
      <w:r>
        <w:rPr>
          <w:i/>
          <w:iCs/>
          <w:lang w:eastAsia="lt-LT"/>
        </w:rPr>
        <w:t xml:space="preserve"> </w:t>
      </w:r>
      <w:r>
        <w:rPr>
          <w:lang w:eastAsia="lt-LT"/>
        </w:rPr>
        <w:t>pardavėjo</w:t>
      </w:r>
      <w:r>
        <w:rPr>
          <w:i/>
          <w:iCs/>
          <w:lang w:eastAsia="lt-LT"/>
        </w:rPr>
        <w:t xml:space="preserve"> </w:t>
      </w:r>
      <w:r>
        <w:rPr>
          <w:lang w:eastAsia="lt-LT"/>
        </w:rPr>
        <w:t>įsipareigojimas,</w:t>
      </w:r>
      <w:r>
        <w:rPr>
          <w:i/>
          <w:iCs/>
          <w:lang w:eastAsia="lt-LT"/>
        </w:rPr>
        <w:t xml:space="preserve"> </w:t>
      </w:r>
      <w:r>
        <w:rPr>
          <w:lang w:eastAsia="lt-LT"/>
        </w:rPr>
        <w:t>o</w:t>
      </w:r>
      <w:r>
        <w:rPr>
          <w:i/>
          <w:iCs/>
          <w:lang w:eastAsia="lt-LT"/>
        </w:rPr>
        <w:t xml:space="preserve"> </w:t>
      </w:r>
      <w:r>
        <w:rPr>
          <w:lang w:eastAsia="lt-LT"/>
        </w:rPr>
        <w:t>tik</w:t>
      </w:r>
      <w:r>
        <w:rPr>
          <w:i/>
          <w:iCs/>
          <w:lang w:eastAsia="lt-LT"/>
        </w:rPr>
        <w:t xml:space="preserve"> </w:t>
      </w:r>
      <w:r>
        <w:rPr>
          <w:lang w:eastAsia="lt-LT"/>
        </w:rPr>
        <w:t>teisė</w:t>
      </w:r>
      <w:r>
        <w:rPr>
          <w:i/>
          <w:iCs/>
          <w:lang w:eastAsia="lt-LT"/>
        </w:rPr>
        <w:t xml:space="preserve"> </w:t>
      </w:r>
      <w:r>
        <w:rPr>
          <w:lang w:eastAsia="lt-LT"/>
        </w:rPr>
        <w:t>atpirkti</w:t>
      </w:r>
      <w:r>
        <w:rPr>
          <w:i/>
          <w:iCs/>
          <w:lang w:eastAsia="lt-LT"/>
        </w:rPr>
        <w:t xml:space="preserve"> </w:t>
      </w:r>
      <w:r>
        <w:rPr>
          <w:lang w:eastAsia="lt-LT"/>
        </w:rPr>
        <w:t>VP</w:t>
      </w:r>
      <w:r>
        <w:rPr>
          <w:i/>
          <w:iCs/>
          <w:lang w:eastAsia="lt-LT"/>
        </w:rPr>
        <w:t xml:space="preserve"> </w:t>
      </w:r>
      <w:r>
        <w:rPr>
          <w:lang w:eastAsia="lt-LT"/>
        </w:rPr>
        <w:t>(arba</w:t>
      </w:r>
      <w:r>
        <w:rPr>
          <w:i/>
          <w:iCs/>
          <w:lang w:eastAsia="lt-LT"/>
        </w:rPr>
        <w:t xml:space="preserve"> </w:t>
      </w:r>
      <w:r>
        <w:rPr>
          <w:lang w:eastAsia="lt-LT"/>
        </w:rPr>
        <w:t>tik</w:t>
      </w:r>
      <w:r>
        <w:rPr>
          <w:i/>
          <w:iCs/>
          <w:lang w:eastAsia="lt-LT"/>
        </w:rPr>
        <w:t xml:space="preserve"> </w:t>
      </w:r>
      <w:r>
        <w:rPr>
          <w:lang w:eastAsia="lt-LT"/>
        </w:rPr>
        <w:t>pirkėjas</w:t>
      </w:r>
      <w:r>
        <w:rPr>
          <w:i/>
          <w:iCs/>
          <w:lang w:eastAsia="lt-LT"/>
        </w:rPr>
        <w:t xml:space="preserve"> </w:t>
      </w:r>
      <w:r>
        <w:rPr>
          <w:lang w:eastAsia="lt-LT"/>
        </w:rPr>
        <w:t>turi</w:t>
      </w:r>
      <w:r>
        <w:rPr>
          <w:i/>
          <w:iCs/>
          <w:lang w:eastAsia="lt-LT"/>
        </w:rPr>
        <w:t xml:space="preserve"> </w:t>
      </w:r>
      <w:r>
        <w:rPr>
          <w:lang w:eastAsia="lt-LT"/>
        </w:rPr>
        <w:t>teisę</w:t>
      </w:r>
      <w:r>
        <w:rPr>
          <w:i/>
          <w:iCs/>
          <w:lang w:eastAsia="lt-LT"/>
        </w:rPr>
        <w:t xml:space="preserve"> </w:t>
      </w:r>
      <w:r>
        <w:rPr>
          <w:lang w:eastAsia="lt-LT"/>
        </w:rPr>
        <w:t>grąžinti</w:t>
      </w:r>
      <w:r>
        <w:rPr>
          <w:i/>
          <w:iCs/>
          <w:lang w:eastAsia="lt-LT"/>
        </w:rPr>
        <w:t xml:space="preserve"> </w:t>
      </w:r>
      <w:r>
        <w:rPr>
          <w:lang w:eastAsia="lt-LT"/>
        </w:rPr>
        <w:t>VP</w:t>
      </w:r>
      <w:r>
        <w:rPr>
          <w:i/>
          <w:iCs/>
          <w:lang w:eastAsia="lt-LT"/>
        </w:rPr>
        <w:t xml:space="preserve"> </w:t>
      </w:r>
      <w:r>
        <w:rPr>
          <w:lang w:eastAsia="lt-LT"/>
        </w:rPr>
        <w:t>už</w:t>
      </w:r>
      <w:r>
        <w:rPr>
          <w:i/>
          <w:iCs/>
          <w:lang w:eastAsia="lt-LT"/>
        </w:rPr>
        <w:t xml:space="preserve"> </w:t>
      </w:r>
      <w:r>
        <w:rPr>
          <w:lang w:eastAsia="lt-LT"/>
        </w:rPr>
        <w:t>sutartyje</w:t>
      </w:r>
      <w:r>
        <w:rPr>
          <w:i/>
          <w:iCs/>
          <w:lang w:eastAsia="lt-LT"/>
        </w:rPr>
        <w:t xml:space="preserve"> </w:t>
      </w:r>
      <w:r>
        <w:rPr>
          <w:lang w:eastAsia="lt-LT"/>
        </w:rPr>
        <w:t>nustatytą</w:t>
      </w:r>
      <w:r>
        <w:rPr>
          <w:i/>
          <w:iCs/>
          <w:lang w:eastAsia="lt-LT"/>
        </w:rPr>
        <w:t xml:space="preserve"> </w:t>
      </w:r>
      <w:r>
        <w:rPr>
          <w:lang w:eastAsia="lt-LT"/>
        </w:rPr>
        <w:t>pirkimo</w:t>
      </w:r>
      <w:r>
        <w:rPr>
          <w:i/>
          <w:iCs/>
          <w:lang w:eastAsia="lt-LT"/>
        </w:rPr>
        <w:t xml:space="preserve"> </w:t>
      </w:r>
      <w:r>
        <w:rPr>
          <w:lang w:eastAsia="lt-LT"/>
        </w:rPr>
        <w:t>ar</w:t>
      </w:r>
      <w:r>
        <w:rPr>
          <w:i/>
          <w:iCs/>
          <w:lang w:eastAsia="lt-LT"/>
        </w:rPr>
        <w:t xml:space="preserve"> </w:t>
      </w:r>
      <w:r>
        <w:rPr>
          <w:lang w:eastAsia="lt-LT"/>
        </w:rPr>
        <w:t>kitokią</w:t>
      </w:r>
      <w:r>
        <w:rPr>
          <w:i/>
          <w:iCs/>
          <w:lang w:eastAsia="lt-LT"/>
        </w:rPr>
        <w:t xml:space="preserve"> </w:t>
      </w:r>
      <w:r>
        <w:rPr>
          <w:lang w:eastAsia="lt-LT"/>
        </w:rPr>
        <w:t>kainą),</w:t>
      </w:r>
      <w:r>
        <w:rPr>
          <w:i/>
          <w:iCs/>
          <w:lang w:eastAsia="lt-LT"/>
        </w:rPr>
        <w:t xml:space="preserve"> </w:t>
      </w:r>
      <w:r>
        <w:rPr>
          <w:lang w:eastAsia="lt-LT"/>
        </w:rPr>
        <w:t>apmokestinami</w:t>
      </w:r>
      <w:r>
        <w:rPr>
          <w:i/>
          <w:iCs/>
          <w:lang w:eastAsia="lt-LT"/>
        </w:rPr>
        <w:t xml:space="preserve"> </w:t>
      </w:r>
      <w:r>
        <w:rPr>
          <w:lang w:eastAsia="lt-LT"/>
        </w:rPr>
        <w:t>kaip</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pardavimo</w:t>
      </w:r>
      <w:r>
        <w:rPr>
          <w:i/>
          <w:iCs/>
          <w:lang w:eastAsia="lt-LT"/>
        </w:rPr>
        <w:t xml:space="preserve"> </w:t>
      </w:r>
      <w:r>
        <w:rPr>
          <w:lang w:eastAsia="lt-LT"/>
        </w:rPr>
        <w:t>sandoriai.</w:t>
      </w:r>
    </w:p>
    <w:p w14:paraId="4C0B1606" w14:textId="77777777" w:rsidR="00093845" w:rsidRDefault="000D779E">
      <w:pPr>
        <w:spacing w:before="100" w:beforeAutospacing="1" w:after="100" w:afterAutospacing="1"/>
        <w:jc w:val="both"/>
        <w:rPr>
          <w:lang w:eastAsia="lt-LT"/>
        </w:rPr>
      </w:pPr>
      <w:r>
        <w:rPr>
          <w:lang w:eastAsia="lt-LT"/>
        </w:rPr>
        <w:t xml:space="preserve">   23</w:t>
      </w:r>
      <w:r>
        <w:rPr>
          <w:vertAlign w:val="superscript"/>
          <w:lang w:eastAsia="lt-LT"/>
        </w:rPr>
        <w:t>1</w:t>
      </w:r>
      <w:r>
        <w:rPr>
          <w:lang w:eastAsia="lt-LT"/>
        </w:rPr>
        <w:t>.</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paskolos</w:t>
      </w:r>
      <w:r>
        <w:rPr>
          <w:i/>
          <w:iCs/>
          <w:lang w:eastAsia="lt-LT"/>
        </w:rPr>
        <w:t xml:space="preserve"> </w:t>
      </w:r>
      <w:r>
        <w:rPr>
          <w:lang w:eastAsia="lt-LT"/>
        </w:rPr>
        <w:t>sandoriai,</w:t>
      </w:r>
      <w:r>
        <w:rPr>
          <w:i/>
          <w:iCs/>
          <w:lang w:eastAsia="lt-LT"/>
        </w:rPr>
        <w:t xml:space="preserve"> </w:t>
      </w:r>
      <w:r>
        <w:rPr>
          <w:lang w:eastAsia="lt-LT"/>
        </w:rPr>
        <w:t>kai</w:t>
      </w:r>
      <w:r>
        <w:rPr>
          <w:i/>
          <w:iCs/>
          <w:lang w:eastAsia="lt-LT"/>
        </w:rPr>
        <w:t xml:space="preserve"> </w:t>
      </w:r>
      <w:r>
        <w:rPr>
          <w:lang w:eastAsia="lt-LT"/>
        </w:rPr>
        <w:t>viena</w:t>
      </w:r>
      <w:r>
        <w:rPr>
          <w:i/>
          <w:iCs/>
          <w:lang w:eastAsia="lt-LT"/>
        </w:rPr>
        <w:t xml:space="preserve"> </w:t>
      </w:r>
      <w:r>
        <w:rPr>
          <w:lang w:eastAsia="lt-LT"/>
        </w:rPr>
        <w:t>sandorio</w:t>
      </w:r>
      <w:r>
        <w:rPr>
          <w:i/>
          <w:iCs/>
          <w:lang w:eastAsia="lt-LT"/>
        </w:rPr>
        <w:t xml:space="preserve"> </w:t>
      </w:r>
      <w:r>
        <w:rPr>
          <w:lang w:eastAsia="lt-LT"/>
        </w:rPr>
        <w:t>šalis</w:t>
      </w:r>
      <w:r>
        <w:rPr>
          <w:i/>
          <w:iCs/>
          <w:lang w:eastAsia="lt-LT"/>
        </w:rPr>
        <w:t xml:space="preserve"> </w:t>
      </w:r>
      <w:r>
        <w:rPr>
          <w:lang w:eastAsia="lt-LT"/>
        </w:rPr>
        <w:t>(skolintojas)</w:t>
      </w:r>
      <w:r>
        <w:rPr>
          <w:i/>
          <w:iCs/>
          <w:lang w:eastAsia="lt-LT"/>
        </w:rPr>
        <w:t xml:space="preserve"> </w:t>
      </w:r>
      <w:r>
        <w:rPr>
          <w:lang w:eastAsia="lt-LT"/>
        </w:rPr>
        <w:t>ribotam</w:t>
      </w:r>
      <w:r>
        <w:rPr>
          <w:i/>
          <w:iCs/>
          <w:lang w:eastAsia="lt-LT"/>
        </w:rPr>
        <w:t xml:space="preserve"> </w:t>
      </w:r>
      <w:r>
        <w:rPr>
          <w:lang w:eastAsia="lt-LT"/>
        </w:rPr>
        <w:t>ar</w:t>
      </w:r>
      <w:r>
        <w:rPr>
          <w:i/>
          <w:iCs/>
          <w:lang w:eastAsia="lt-LT"/>
        </w:rPr>
        <w:t xml:space="preserve"> </w:t>
      </w:r>
      <w:r>
        <w:rPr>
          <w:lang w:eastAsia="lt-LT"/>
        </w:rPr>
        <w:t>neribotam</w:t>
      </w:r>
      <w:r>
        <w:rPr>
          <w:i/>
          <w:iCs/>
          <w:lang w:eastAsia="lt-LT"/>
        </w:rPr>
        <w:t xml:space="preserve"> </w:t>
      </w:r>
      <w:r>
        <w:rPr>
          <w:lang w:eastAsia="lt-LT"/>
        </w:rPr>
        <w:t>terminui</w:t>
      </w:r>
      <w:r>
        <w:rPr>
          <w:i/>
          <w:iCs/>
          <w:lang w:eastAsia="lt-LT"/>
        </w:rPr>
        <w:t xml:space="preserve"> </w:t>
      </w:r>
      <w:r>
        <w:rPr>
          <w:lang w:eastAsia="lt-LT"/>
        </w:rPr>
        <w:t>perduoda</w:t>
      </w:r>
      <w:r>
        <w:rPr>
          <w:i/>
          <w:iCs/>
          <w:lang w:eastAsia="lt-LT"/>
        </w:rPr>
        <w:t xml:space="preserve"> </w:t>
      </w:r>
      <w:r>
        <w:rPr>
          <w:lang w:eastAsia="lt-LT"/>
        </w:rPr>
        <w:t>kitai</w:t>
      </w:r>
      <w:r>
        <w:rPr>
          <w:i/>
          <w:iCs/>
          <w:lang w:eastAsia="lt-LT"/>
        </w:rPr>
        <w:t xml:space="preserve"> </w:t>
      </w:r>
      <w:r>
        <w:rPr>
          <w:lang w:eastAsia="lt-LT"/>
        </w:rPr>
        <w:t>sandorio</w:t>
      </w:r>
      <w:r>
        <w:rPr>
          <w:i/>
          <w:iCs/>
          <w:lang w:eastAsia="lt-LT"/>
        </w:rPr>
        <w:t xml:space="preserve"> </w:t>
      </w:r>
      <w:r>
        <w:rPr>
          <w:lang w:eastAsia="lt-LT"/>
        </w:rPr>
        <w:t>šaliai</w:t>
      </w:r>
      <w:r>
        <w:rPr>
          <w:i/>
          <w:iCs/>
          <w:lang w:eastAsia="lt-LT"/>
        </w:rPr>
        <w:t xml:space="preserve"> </w:t>
      </w:r>
      <w:r>
        <w:rPr>
          <w:lang w:eastAsia="lt-LT"/>
        </w:rPr>
        <w:t>(skolininkui)</w:t>
      </w:r>
      <w:r>
        <w:rPr>
          <w:i/>
          <w:iCs/>
          <w:lang w:eastAsia="lt-LT"/>
        </w:rPr>
        <w:t xml:space="preserve"> </w:t>
      </w:r>
      <w:r>
        <w:rPr>
          <w:lang w:eastAsia="lt-LT"/>
        </w:rPr>
        <w:t>VP,</w:t>
      </w:r>
      <w:r>
        <w:rPr>
          <w:i/>
          <w:iCs/>
          <w:lang w:eastAsia="lt-LT"/>
        </w:rPr>
        <w:t xml:space="preserve"> </w:t>
      </w:r>
      <w:r>
        <w:rPr>
          <w:lang w:eastAsia="lt-LT"/>
        </w:rPr>
        <w:t>o</w:t>
      </w:r>
      <w:r>
        <w:rPr>
          <w:i/>
          <w:iCs/>
          <w:lang w:eastAsia="lt-LT"/>
        </w:rPr>
        <w:t xml:space="preserve"> </w:t>
      </w:r>
      <w:r>
        <w:rPr>
          <w:lang w:eastAsia="lt-LT"/>
        </w:rPr>
        <w:t>VP</w:t>
      </w:r>
      <w:r>
        <w:rPr>
          <w:i/>
          <w:iCs/>
          <w:lang w:eastAsia="lt-LT"/>
        </w:rPr>
        <w:t xml:space="preserve"> </w:t>
      </w:r>
      <w:r>
        <w:rPr>
          <w:lang w:eastAsia="lt-LT"/>
        </w:rPr>
        <w:t>gavėjas</w:t>
      </w:r>
      <w:r>
        <w:rPr>
          <w:i/>
          <w:iCs/>
          <w:lang w:eastAsia="lt-LT"/>
        </w:rPr>
        <w:t xml:space="preserve"> </w:t>
      </w:r>
      <w:r>
        <w:rPr>
          <w:lang w:eastAsia="lt-LT"/>
        </w:rPr>
        <w:t>įsipareigoja</w:t>
      </w:r>
      <w:r>
        <w:rPr>
          <w:i/>
          <w:iCs/>
          <w:lang w:eastAsia="lt-LT"/>
        </w:rPr>
        <w:t xml:space="preserve"> </w:t>
      </w:r>
      <w:r>
        <w:rPr>
          <w:lang w:eastAsia="lt-LT"/>
        </w:rPr>
        <w:t>pagal</w:t>
      </w:r>
      <w:r>
        <w:rPr>
          <w:i/>
          <w:iCs/>
          <w:lang w:eastAsia="lt-LT"/>
        </w:rPr>
        <w:t xml:space="preserve"> </w:t>
      </w:r>
      <w:r>
        <w:rPr>
          <w:lang w:eastAsia="lt-LT"/>
        </w:rPr>
        <w:t>skolintojo</w:t>
      </w:r>
      <w:r>
        <w:rPr>
          <w:i/>
          <w:iCs/>
          <w:lang w:eastAsia="lt-LT"/>
        </w:rPr>
        <w:t xml:space="preserve"> </w:t>
      </w:r>
      <w:r>
        <w:rPr>
          <w:lang w:eastAsia="lt-LT"/>
        </w:rPr>
        <w:t>pareikalavimą</w:t>
      </w:r>
      <w:r>
        <w:rPr>
          <w:i/>
          <w:iCs/>
          <w:lang w:eastAsia="lt-LT"/>
        </w:rPr>
        <w:t xml:space="preserve"> </w:t>
      </w:r>
      <w:r>
        <w:rPr>
          <w:lang w:eastAsia="lt-LT"/>
        </w:rPr>
        <w:t>per</w:t>
      </w:r>
      <w:r>
        <w:rPr>
          <w:i/>
          <w:iCs/>
          <w:lang w:eastAsia="lt-LT"/>
        </w:rPr>
        <w:t xml:space="preserve"> </w:t>
      </w:r>
      <w:r>
        <w:rPr>
          <w:lang w:eastAsia="lt-LT"/>
        </w:rPr>
        <w:t>nustatytą</w:t>
      </w:r>
      <w:r>
        <w:rPr>
          <w:i/>
          <w:iCs/>
          <w:lang w:eastAsia="lt-LT"/>
        </w:rPr>
        <w:t xml:space="preserve"> </w:t>
      </w:r>
      <w:r>
        <w:rPr>
          <w:lang w:eastAsia="lt-LT"/>
        </w:rPr>
        <w:t>terminą</w:t>
      </w:r>
      <w:r>
        <w:rPr>
          <w:i/>
          <w:iCs/>
          <w:lang w:eastAsia="lt-LT"/>
        </w:rPr>
        <w:t xml:space="preserve"> </w:t>
      </w:r>
      <w:r>
        <w:rPr>
          <w:lang w:eastAsia="lt-LT"/>
        </w:rPr>
        <w:t>grąžinti</w:t>
      </w:r>
      <w:r>
        <w:rPr>
          <w:i/>
          <w:iCs/>
          <w:lang w:eastAsia="lt-LT"/>
        </w:rPr>
        <w:t xml:space="preserve"> </w:t>
      </w:r>
      <w:r>
        <w:rPr>
          <w:lang w:eastAsia="lt-LT"/>
        </w:rPr>
        <w:t>to</w:t>
      </w:r>
      <w:r>
        <w:rPr>
          <w:i/>
          <w:iCs/>
          <w:lang w:eastAsia="lt-LT"/>
        </w:rPr>
        <w:t xml:space="preserve"> </w:t>
      </w:r>
      <w:r>
        <w:rPr>
          <w:lang w:eastAsia="lt-LT"/>
        </w:rPr>
        <w:t>paties</w:t>
      </w:r>
      <w:r>
        <w:rPr>
          <w:i/>
          <w:iCs/>
          <w:lang w:eastAsia="lt-LT"/>
        </w:rPr>
        <w:t xml:space="preserve"> </w:t>
      </w:r>
      <w:r>
        <w:rPr>
          <w:lang w:eastAsia="lt-LT"/>
        </w:rPr>
        <w:t>emitento</w:t>
      </w:r>
      <w:r>
        <w:rPr>
          <w:i/>
          <w:iCs/>
          <w:lang w:eastAsia="lt-LT"/>
        </w:rPr>
        <w:t xml:space="preserve"> </w:t>
      </w:r>
      <w:r>
        <w:rPr>
          <w:lang w:eastAsia="lt-LT"/>
        </w:rPr>
        <w:t>tokį</w:t>
      </w:r>
      <w:r>
        <w:rPr>
          <w:i/>
          <w:iCs/>
          <w:lang w:eastAsia="lt-LT"/>
        </w:rPr>
        <w:t xml:space="preserve"> </w:t>
      </w:r>
      <w:r>
        <w:rPr>
          <w:lang w:eastAsia="lt-LT"/>
        </w:rPr>
        <w:t>pat</w:t>
      </w:r>
      <w:r>
        <w:rPr>
          <w:i/>
          <w:iCs/>
          <w:lang w:eastAsia="lt-LT"/>
        </w:rPr>
        <w:t xml:space="preserve"> </w:t>
      </w:r>
      <w:r>
        <w:rPr>
          <w:lang w:eastAsia="lt-LT"/>
        </w:rPr>
        <w:t>kiekį</w:t>
      </w:r>
      <w:r>
        <w:rPr>
          <w:i/>
          <w:iCs/>
          <w:lang w:eastAsia="lt-LT"/>
        </w:rPr>
        <w:t xml:space="preserve"> </w:t>
      </w:r>
      <w:r>
        <w:rPr>
          <w:lang w:eastAsia="lt-LT"/>
        </w:rPr>
        <w:t>tokios</w:t>
      </w:r>
      <w:r>
        <w:rPr>
          <w:i/>
          <w:iCs/>
          <w:lang w:eastAsia="lt-LT"/>
        </w:rPr>
        <w:t xml:space="preserve"> </w:t>
      </w:r>
      <w:r>
        <w:rPr>
          <w:lang w:eastAsia="lt-LT"/>
        </w:rPr>
        <w:t>pat</w:t>
      </w:r>
      <w:r>
        <w:rPr>
          <w:i/>
          <w:iCs/>
          <w:lang w:eastAsia="lt-LT"/>
        </w:rPr>
        <w:t xml:space="preserve"> </w:t>
      </w:r>
      <w:r>
        <w:rPr>
          <w:lang w:eastAsia="lt-LT"/>
        </w:rPr>
        <w:t>rūšies</w:t>
      </w:r>
      <w:r>
        <w:rPr>
          <w:i/>
          <w:iCs/>
          <w:lang w:eastAsia="lt-LT"/>
        </w:rPr>
        <w:t xml:space="preserve"> </w:t>
      </w:r>
      <w:r>
        <w:rPr>
          <w:lang w:eastAsia="lt-LT"/>
        </w:rPr>
        <w:t>VP</w:t>
      </w:r>
      <w:r>
        <w:rPr>
          <w:i/>
          <w:iCs/>
          <w:lang w:eastAsia="lt-LT"/>
        </w:rPr>
        <w:t xml:space="preserve"> </w:t>
      </w:r>
      <w:r>
        <w:rPr>
          <w:lang w:eastAsia="lt-LT"/>
        </w:rPr>
        <w:t>ir</w:t>
      </w:r>
      <w:r>
        <w:rPr>
          <w:i/>
          <w:iCs/>
          <w:lang w:eastAsia="lt-LT"/>
        </w:rPr>
        <w:t xml:space="preserve"> </w:t>
      </w:r>
      <w:r>
        <w:rPr>
          <w:lang w:eastAsia="lt-LT"/>
        </w:rPr>
        <w:t>mokėti</w:t>
      </w:r>
      <w:r>
        <w:rPr>
          <w:i/>
          <w:iCs/>
          <w:lang w:eastAsia="lt-LT"/>
        </w:rPr>
        <w:t xml:space="preserve"> </w:t>
      </w:r>
      <w:r>
        <w:rPr>
          <w:lang w:eastAsia="lt-LT"/>
        </w:rPr>
        <w:t>palūkanas</w:t>
      </w:r>
      <w:r>
        <w:rPr>
          <w:i/>
          <w:iCs/>
          <w:lang w:eastAsia="lt-LT"/>
        </w:rPr>
        <w:t xml:space="preserve"> </w:t>
      </w:r>
      <w:r>
        <w:rPr>
          <w:lang w:eastAsia="lt-LT"/>
        </w:rPr>
        <w:t>(jeigu</w:t>
      </w:r>
      <w:r>
        <w:rPr>
          <w:i/>
          <w:iCs/>
          <w:lang w:eastAsia="lt-LT"/>
        </w:rPr>
        <w:t xml:space="preserve"> </w:t>
      </w:r>
      <w:r>
        <w:rPr>
          <w:lang w:eastAsia="lt-LT"/>
        </w:rPr>
        <w:t>sutartis</w:t>
      </w:r>
      <w:r>
        <w:rPr>
          <w:i/>
          <w:iCs/>
          <w:lang w:eastAsia="lt-LT"/>
        </w:rPr>
        <w:t xml:space="preserve"> </w:t>
      </w:r>
      <w:r>
        <w:rPr>
          <w:lang w:eastAsia="lt-LT"/>
        </w:rPr>
        <w:t>nenustato</w:t>
      </w:r>
      <w:r>
        <w:rPr>
          <w:i/>
          <w:iCs/>
          <w:lang w:eastAsia="lt-LT"/>
        </w:rPr>
        <w:t xml:space="preserve"> </w:t>
      </w:r>
      <w:r>
        <w:rPr>
          <w:lang w:eastAsia="lt-LT"/>
        </w:rPr>
        <w:t>ko</w:t>
      </w:r>
      <w:r>
        <w:rPr>
          <w:i/>
          <w:iCs/>
          <w:lang w:eastAsia="lt-LT"/>
        </w:rPr>
        <w:t xml:space="preserve"> </w:t>
      </w:r>
      <w:r>
        <w:rPr>
          <w:lang w:eastAsia="lt-LT"/>
        </w:rPr>
        <w:t>kita),</w:t>
      </w:r>
      <w:r>
        <w:rPr>
          <w:i/>
          <w:iCs/>
          <w:lang w:eastAsia="lt-LT"/>
        </w:rPr>
        <w:t xml:space="preserve"> </w:t>
      </w:r>
      <w:r>
        <w:rPr>
          <w:lang w:eastAsia="lt-LT"/>
        </w:rPr>
        <w:t>mokestine</w:t>
      </w:r>
      <w:r>
        <w:rPr>
          <w:i/>
          <w:iCs/>
          <w:lang w:eastAsia="lt-LT"/>
        </w:rPr>
        <w:t xml:space="preserve"> </w:t>
      </w:r>
      <w:r>
        <w:rPr>
          <w:lang w:eastAsia="lt-LT"/>
        </w:rPr>
        <w:t>prasme</w:t>
      </w:r>
      <w:r>
        <w:rPr>
          <w:i/>
          <w:iCs/>
          <w:lang w:eastAsia="lt-LT"/>
        </w:rPr>
        <w:t xml:space="preserve"> </w:t>
      </w:r>
      <w:r>
        <w:rPr>
          <w:lang w:eastAsia="lt-LT"/>
        </w:rPr>
        <w:t>prilyginami</w:t>
      </w:r>
      <w:r>
        <w:rPr>
          <w:i/>
          <w:iCs/>
          <w:lang w:eastAsia="lt-LT"/>
        </w:rPr>
        <w:t xml:space="preserve"> </w:t>
      </w:r>
      <w:r>
        <w:rPr>
          <w:lang w:eastAsia="lt-LT"/>
        </w:rPr>
        <w:t>atpirkimo</w:t>
      </w:r>
      <w:r>
        <w:rPr>
          <w:i/>
          <w:iCs/>
          <w:lang w:eastAsia="lt-LT"/>
        </w:rPr>
        <w:t xml:space="preserve"> </w:t>
      </w:r>
      <w:r>
        <w:rPr>
          <w:lang w:eastAsia="lt-LT"/>
        </w:rPr>
        <w:t>sandoriams.</w:t>
      </w:r>
      <w:r>
        <w:rPr>
          <w:i/>
          <w:iCs/>
          <w:lang w:eastAsia="lt-LT"/>
        </w:rPr>
        <w:t xml:space="preserve"> </w:t>
      </w:r>
      <w:r>
        <w:rPr>
          <w:lang w:eastAsia="lt-LT"/>
        </w:rPr>
        <w:t>Išskyrus</w:t>
      </w:r>
      <w:r>
        <w:rPr>
          <w:i/>
          <w:iCs/>
          <w:lang w:eastAsia="lt-LT"/>
        </w:rPr>
        <w:t xml:space="preserve"> </w:t>
      </w:r>
      <w:r>
        <w:rPr>
          <w:lang w:eastAsia="lt-LT"/>
        </w:rPr>
        <w:t>tuos</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vertinant</w:t>
      </w:r>
      <w:r>
        <w:rPr>
          <w:i/>
          <w:iCs/>
          <w:lang w:eastAsia="lt-LT"/>
        </w:rPr>
        <w:t xml:space="preserve"> </w:t>
      </w:r>
      <w:r>
        <w:rPr>
          <w:lang w:eastAsia="lt-LT"/>
        </w:rPr>
        <w:t>vieneto</w:t>
      </w:r>
      <w:r>
        <w:rPr>
          <w:i/>
          <w:iCs/>
          <w:lang w:eastAsia="lt-LT"/>
        </w:rPr>
        <w:t xml:space="preserve"> </w:t>
      </w:r>
      <w:r>
        <w:rPr>
          <w:lang w:eastAsia="lt-LT"/>
        </w:rPr>
        <w:t>atliktų</w:t>
      </w:r>
      <w:r>
        <w:rPr>
          <w:i/>
          <w:iCs/>
          <w:lang w:eastAsia="lt-LT"/>
        </w:rPr>
        <w:t xml:space="preserve"> </w:t>
      </w:r>
      <w:r>
        <w:rPr>
          <w:lang w:eastAsia="lt-LT"/>
        </w:rPr>
        <w:t>veiksmų</w:t>
      </w:r>
      <w:r>
        <w:rPr>
          <w:i/>
          <w:iCs/>
          <w:lang w:eastAsia="lt-LT"/>
        </w:rPr>
        <w:t xml:space="preserve"> </w:t>
      </w:r>
      <w:r>
        <w:rPr>
          <w:lang w:eastAsia="lt-LT"/>
        </w:rPr>
        <w:t>visumą,</w:t>
      </w:r>
      <w:r>
        <w:rPr>
          <w:i/>
          <w:iCs/>
          <w:lang w:eastAsia="lt-LT"/>
        </w:rPr>
        <w:t xml:space="preserve"> </w:t>
      </w:r>
      <w:r>
        <w:rPr>
          <w:lang w:eastAsia="lt-LT"/>
        </w:rPr>
        <w:t>VP</w:t>
      </w:r>
      <w:r>
        <w:rPr>
          <w:i/>
          <w:iCs/>
          <w:lang w:eastAsia="lt-LT"/>
        </w:rPr>
        <w:t xml:space="preserve"> </w:t>
      </w:r>
      <w:r>
        <w:rPr>
          <w:lang w:eastAsia="lt-LT"/>
        </w:rPr>
        <w:t>paskolos</w:t>
      </w:r>
      <w:r>
        <w:rPr>
          <w:i/>
          <w:iCs/>
          <w:lang w:eastAsia="lt-LT"/>
        </w:rPr>
        <w:t xml:space="preserve"> </w:t>
      </w:r>
      <w:r>
        <w:rPr>
          <w:lang w:eastAsia="lt-LT"/>
        </w:rPr>
        <w:t>sandoriai</w:t>
      </w:r>
      <w:r>
        <w:rPr>
          <w:i/>
          <w:iCs/>
          <w:lang w:eastAsia="lt-LT"/>
        </w:rPr>
        <w:t xml:space="preserve"> </w:t>
      </w:r>
      <w:r>
        <w:rPr>
          <w:lang w:eastAsia="lt-LT"/>
        </w:rPr>
        <w:t>savo</w:t>
      </w:r>
      <w:r>
        <w:rPr>
          <w:i/>
          <w:iCs/>
          <w:lang w:eastAsia="lt-LT"/>
        </w:rPr>
        <w:t xml:space="preserve"> </w:t>
      </w:r>
      <w:r>
        <w:rPr>
          <w:lang w:eastAsia="lt-LT"/>
        </w:rPr>
        <w:t>esme</w:t>
      </w:r>
      <w:r>
        <w:rPr>
          <w:i/>
          <w:iCs/>
          <w:lang w:eastAsia="lt-LT"/>
        </w:rPr>
        <w:t xml:space="preserve"> </w:t>
      </w:r>
      <w:r>
        <w:rPr>
          <w:lang w:eastAsia="lt-LT"/>
        </w:rPr>
        <w:t>atitinka</w:t>
      </w:r>
      <w:r>
        <w:rPr>
          <w:i/>
          <w:iCs/>
          <w:lang w:eastAsia="lt-LT"/>
        </w:rPr>
        <w:t xml:space="preserve"> </w:t>
      </w:r>
      <w:r>
        <w:rPr>
          <w:lang w:eastAsia="lt-LT"/>
        </w:rPr>
        <w:t>VP</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sandorius.</w:t>
      </w:r>
    </w:p>
    <w:p w14:paraId="6058C955" w14:textId="77777777" w:rsidR="00093845" w:rsidRDefault="000D779E">
      <w:pPr>
        <w:spacing w:before="100" w:beforeAutospacing="1" w:after="100" w:afterAutospacing="1"/>
        <w:jc w:val="both"/>
        <w:rPr>
          <w:lang w:eastAsia="lt-LT"/>
        </w:rPr>
      </w:pPr>
      <w:r>
        <w:rPr>
          <w:lang w:eastAsia="lt-LT"/>
        </w:rPr>
        <w:t xml:space="preserve">    Vertybinių</w:t>
      </w:r>
      <w:r>
        <w:rPr>
          <w:i/>
          <w:iCs/>
          <w:lang w:eastAsia="lt-LT"/>
        </w:rPr>
        <w:t xml:space="preserve"> </w:t>
      </w:r>
      <w:r>
        <w:rPr>
          <w:lang w:eastAsia="lt-LT"/>
        </w:rPr>
        <w:t>popierių</w:t>
      </w:r>
      <w:r>
        <w:rPr>
          <w:i/>
          <w:iCs/>
          <w:lang w:eastAsia="lt-LT"/>
        </w:rPr>
        <w:t xml:space="preserve"> </w:t>
      </w:r>
      <w:r>
        <w:rPr>
          <w:lang w:eastAsia="lt-LT"/>
        </w:rPr>
        <w:t>paskolos</w:t>
      </w:r>
      <w:r>
        <w:rPr>
          <w:i/>
          <w:iCs/>
          <w:lang w:eastAsia="lt-LT"/>
        </w:rPr>
        <w:t xml:space="preserve"> </w:t>
      </w:r>
      <w:r>
        <w:rPr>
          <w:lang w:eastAsia="lt-LT"/>
        </w:rPr>
        <w:t>sandorių</w:t>
      </w:r>
      <w:r>
        <w:rPr>
          <w:i/>
          <w:iCs/>
          <w:lang w:eastAsia="lt-LT"/>
        </w:rPr>
        <w:t xml:space="preserve"> </w:t>
      </w:r>
      <w:r>
        <w:rPr>
          <w:lang w:eastAsia="lt-LT"/>
        </w:rPr>
        <w:t>atveju,</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pajamos</w:t>
      </w:r>
      <w:r>
        <w:rPr>
          <w:i/>
          <w:iCs/>
          <w:lang w:eastAsia="lt-LT"/>
        </w:rPr>
        <w:t xml:space="preserve"> </w:t>
      </w:r>
      <w:r>
        <w:rPr>
          <w:lang w:eastAsia="lt-LT"/>
        </w:rPr>
        <w:t>(ar</w:t>
      </w:r>
      <w:r>
        <w:rPr>
          <w:i/>
          <w:iCs/>
          <w:lang w:eastAsia="lt-LT"/>
        </w:rPr>
        <w:t xml:space="preserve"> </w:t>
      </w:r>
      <w:r>
        <w:rPr>
          <w:lang w:eastAsia="lt-LT"/>
        </w:rPr>
        <w:t>nuostoliai),</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nenustatomos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objekto),</w:t>
      </w:r>
      <w:r>
        <w:rPr>
          <w:i/>
          <w:iCs/>
          <w:lang w:eastAsia="lt-LT"/>
        </w:rPr>
        <w:t xml:space="preserve"> </w:t>
      </w:r>
      <w:r>
        <w:rPr>
          <w:lang w:eastAsia="lt-LT"/>
        </w:rPr>
        <w:t>o</w:t>
      </w:r>
      <w:r>
        <w:rPr>
          <w:i/>
          <w:iCs/>
          <w:lang w:eastAsia="lt-LT"/>
        </w:rPr>
        <w:t xml:space="preserve"> </w:t>
      </w:r>
      <w:r>
        <w:rPr>
          <w:lang w:eastAsia="lt-LT"/>
        </w:rPr>
        <w:t>grąžinus</w:t>
      </w:r>
      <w:r>
        <w:rPr>
          <w:i/>
          <w:iCs/>
          <w:lang w:eastAsia="lt-LT"/>
        </w:rPr>
        <w:t xml:space="preserve"> </w:t>
      </w:r>
      <w:r>
        <w:rPr>
          <w:lang w:eastAsia="lt-LT"/>
        </w:rPr>
        <w:t>VP,</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vienetui</w:t>
      </w:r>
      <w:r>
        <w:rPr>
          <w:i/>
          <w:iCs/>
          <w:lang w:eastAsia="lt-LT"/>
        </w:rPr>
        <w:t xml:space="preserve"> </w:t>
      </w:r>
      <w:r>
        <w:rPr>
          <w:lang w:eastAsia="lt-LT"/>
        </w:rPr>
        <w:t>nesikeičia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lieka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iki</w:t>
      </w:r>
      <w:r>
        <w:rPr>
          <w:i/>
          <w:iCs/>
          <w:lang w:eastAsia="lt-LT"/>
        </w:rPr>
        <w:t xml:space="preserve"> </w:t>
      </w:r>
      <w:r>
        <w:rPr>
          <w:lang w:eastAsia="lt-LT"/>
        </w:rPr>
        <w:t>šių</w:t>
      </w:r>
      <w:r>
        <w:rPr>
          <w:i/>
          <w:iCs/>
          <w:lang w:eastAsia="lt-LT"/>
        </w:rPr>
        <w:t xml:space="preserve"> </w:t>
      </w:r>
      <w:r>
        <w:rPr>
          <w:lang w:eastAsia="lt-LT"/>
        </w:rPr>
        <w:t>VP</w:t>
      </w:r>
      <w:r>
        <w:rPr>
          <w:i/>
          <w:iCs/>
          <w:lang w:eastAsia="lt-LT"/>
        </w:rPr>
        <w:t xml:space="preserve"> </w:t>
      </w:r>
      <w:r>
        <w:rPr>
          <w:lang w:eastAsia="lt-LT"/>
        </w:rPr>
        <w:t>perleidimo</w:t>
      </w:r>
      <w:r>
        <w:rPr>
          <w:i/>
          <w:iCs/>
          <w:lang w:eastAsia="lt-LT"/>
        </w:rPr>
        <w:t xml:space="preserve"> </w:t>
      </w:r>
      <w:r>
        <w:rPr>
          <w:lang w:eastAsia="lt-LT"/>
        </w:rPr>
        <w:t>skolininkui).</w:t>
      </w:r>
      <w:r>
        <w:rPr>
          <w:i/>
          <w:iCs/>
          <w:lang w:eastAsia="lt-LT"/>
        </w:rPr>
        <w:t xml:space="preserve"> </w:t>
      </w:r>
    </w:p>
    <w:p w14:paraId="4930A3F6" w14:textId="77777777" w:rsidR="00093845" w:rsidRDefault="000D779E">
      <w:pPr>
        <w:spacing w:before="100" w:beforeAutospacing="1" w:after="100" w:afterAutospacing="1"/>
        <w:jc w:val="both"/>
        <w:rPr>
          <w:lang w:eastAsia="lt-LT"/>
        </w:rPr>
      </w:pPr>
      <w:r>
        <w:rPr>
          <w:lang w:eastAsia="lt-LT"/>
        </w:rPr>
        <w:t xml:space="preserve">     Skolininkas,</w:t>
      </w:r>
      <w:r>
        <w:rPr>
          <w:i/>
          <w:iCs/>
          <w:lang w:eastAsia="lt-LT"/>
        </w:rPr>
        <w:t xml:space="preserve"> </w:t>
      </w:r>
      <w:r>
        <w:rPr>
          <w:lang w:eastAsia="lt-LT"/>
        </w:rPr>
        <w:t>už</w:t>
      </w:r>
      <w:r>
        <w:rPr>
          <w:i/>
          <w:iCs/>
          <w:lang w:eastAsia="lt-LT"/>
        </w:rPr>
        <w:t xml:space="preserve"> </w:t>
      </w:r>
      <w:r>
        <w:rPr>
          <w:lang w:eastAsia="lt-LT"/>
        </w:rPr>
        <w:t>pasiskolintus</w:t>
      </w:r>
      <w:r>
        <w:rPr>
          <w:i/>
          <w:iCs/>
          <w:lang w:eastAsia="lt-LT"/>
        </w:rPr>
        <w:t xml:space="preserve"> </w:t>
      </w:r>
      <w:r>
        <w:rPr>
          <w:lang w:eastAsia="lt-LT"/>
        </w:rPr>
        <w:t>VP</w:t>
      </w:r>
      <w:r>
        <w:rPr>
          <w:i/>
          <w:iCs/>
          <w:lang w:eastAsia="lt-LT"/>
        </w:rPr>
        <w:t xml:space="preserve"> </w:t>
      </w:r>
      <w:r>
        <w:rPr>
          <w:lang w:eastAsia="lt-LT"/>
        </w:rPr>
        <w:t>mokantis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(arba)</w:t>
      </w:r>
      <w:r>
        <w:rPr>
          <w:i/>
          <w:iCs/>
          <w:lang w:eastAsia="lt-LT"/>
        </w:rPr>
        <w:t xml:space="preserve"> </w:t>
      </w:r>
      <w:r>
        <w:rPr>
          <w:lang w:eastAsia="lt-LT"/>
        </w:rPr>
        <w:t>kitas</w:t>
      </w:r>
      <w:r>
        <w:rPr>
          <w:i/>
          <w:iCs/>
          <w:lang w:eastAsia="lt-LT"/>
        </w:rPr>
        <w:t xml:space="preserve"> </w:t>
      </w:r>
      <w:r>
        <w:rPr>
          <w:lang w:eastAsia="lt-LT"/>
        </w:rPr>
        <w:t>su</w:t>
      </w:r>
      <w:r>
        <w:rPr>
          <w:i/>
          <w:iCs/>
          <w:lang w:eastAsia="lt-LT"/>
        </w:rPr>
        <w:t xml:space="preserve"> </w:t>
      </w:r>
      <w:r>
        <w:rPr>
          <w:lang w:eastAsia="lt-LT"/>
        </w:rPr>
        <w:t>VP</w:t>
      </w:r>
      <w:r>
        <w:rPr>
          <w:i/>
          <w:iCs/>
          <w:lang w:eastAsia="lt-LT"/>
        </w:rPr>
        <w:t xml:space="preserve"> </w:t>
      </w:r>
      <w:r>
        <w:rPr>
          <w:lang w:eastAsia="lt-LT"/>
        </w:rPr>
        <w:t>susijusias</w:t>
      </w:r>
      <w:r>
        <w:rPr>
          <w:i/>
          <w:iCs/>
          <w:lang w:eastAsia="lt-LT"/>
        </w:rPr>
        <w:t xml:space="preserve"> </w:t>
      </w:r>
      <w:r>
        <w:rPr>
          <w:lang w:eastAsia="lt-LT"/>
        </w:rPr>
        <w:t>kompensacijų</w:t>
      </w:r>
      <w:r>
        <w:rPr>
          <w:i/>
          <w:iCs/>
          <w:lang w:eastAsia="lt-LT"/>
        </w:rPr>
        <w:t xml:space="preserve"> </w:t>
      </w:r>
      <w:r>
        <w:rPr>
          <w:lang w:eastAsia="lt-LT"/>
        </w:rPr>
        <w:t>sumas</w:t>
      </w:r>
      <w:r>
        <w:rPr>
          <w:i/>
          <w:iCs/>
          <w:lang w:eastAsia="lt-LT"/>
        </w:rPr>
        <w:t xml:space="preserve"> </w:t>
      </w:r>
      <w:r>
        <w:rPr>
          <w:lang w:eastAsia="lt-LT"/>
        </w:rPr>
        <w:t>(pvz.</w:t>
      </w:r>
      <w:r>
        <w:rPr>
          <w:i/>
          <w:iCs/>
          <w:lang w:eastAsia="lt-LT"/>
        </w:rPr>
        <w:t xml:space="preserve"> </w:t>
      </w:r>
      <w:r>
        <w:rPr>
          <w:lang w:eastAsia="lt-LT"/>
        </w:rPr>
        <w:t>dividendus),</w:t>
      </w:r>
      <w:r>
        <w:rPr>
          <w:i/>
          <w:iCs/>
          <w:lang w:eastAsia="lt-LT"/>
        </w:rPr>
        <w:t xml:space="preserve"> </w:t>
      </w:r>
      <w:r>
        <w:rPr>
          <w:lang w:eastAsia="lt-LT"/>
        </w:rPr>
        <w:t>minėtas</w:t>
      </w:r>
      <w:r>
        <w:rPr>
          <w:i/>
          <w:iCs/>
          <w:lang w:eastAsia="lt-LT"/>
        </w:rPr>
        <w:t xml:space="preserve"> </w:t>
      </w:r>
      <w:r>
        <w:rPr>
          <w:lang w:eastAsia="lt-LT"/>
        </w:rPr>
        <w:t>sumas</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53" w:name="n1_1521"/>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4" w:name="pn1_1521"/>
      <w:bookmarkEnd w:id="153"/>
      <w:bookmarkEnd w:id="154"/>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r>
        <w:rPr>
          <w:i/>
          <w:iCs/>
          <w:lang w:eastAsia="lt-LT"/>
        </w:rPr>
        <w:t xml:space="preserve"> </w:t>
      </w:r>
    </w:p>
    <w:p w14:paraId="6A0EE54A" w14:textId="77777777" w:rsidR="00093845" w:rsidRDefault="000D779E">
      <w:pPr>
        <w:spacing w:before="100" w:beforeAutospacing="1" w:after="100" w:afterAutospacing="1"/>
        <w:jc w:val="both"/>
        <w:rPr>
          <w:lang w:eastAsia="lt-LT"/>
        </w:rPr>
      </w:pPr>
      <w:r>
        <w:rPr>
          <w:lang w:eastAsia="lt-LT"/>
        </w:rPr>
        <w:t xml:space="preserve">    Skolintojas,</w:t>
      </w:r>
      <w:r>
        <w:rPr>
          <w:i/>
          <w:iCs/>
          <w:lang w:eastAsia="lt-LT"/>
        </w:rPr>
        <w:t xml:space="preserve"> </w:t>
      </w:r>
      <w:r>
        <w:rPr>
          <w:lang w:eastAsia="lt-LT"/>
        </w:rPr>
        <w:t>už</w:t>
      </w:r>
      <w:r>
        <w:rPr>
          <w:i/>
          <w:iCs/>
          <w:lang w:eastAsia="lt-LT"/>
        </w:rPr>
        <w:t xml:space="preserve"> </w:t>
      </w:r>
      <w:r>
        <w:rPr>
          <w:lang w:eastAsia="lt-LT"/>
        </w:rPr>
        <w:t>paskolintus</w:t>
      </w:r>
      <w:r>
        <w:rPr>
          <w:i/>
          <w:iCs/>
          <w:lang w:eastAsia="lt-LT"/>
        </w:rPr>
        <w:t xml:space="preserve"> </w:t>
      </w:r>
      <w:r>
        <w:rPr>
          <w:lang w:eastAsia="lt-LT"/>
        </w:rPr>
        <w:t>VP</w:t>
      </w:r>
      <w:r>
        <w:rPr>
          <w:i/>
          <w:iCs/>
          <w:lang w:eastAsia="lt-LT"/>
        </w:rPr>
        <w:t xml:space="preserve"> </w:t>
      </w:r>
      <w:r>
        <w:rPr>
          <w:lang w:eastAsia="lt-LT"/>
        </w:rPr>
        <w:t>gaunantis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su</w:t>
      </w:r>
      <w:r>
        <w:rPr>
          <w:i/>
          <w:iCs/>
          <w:lang w:eastAsia="lt-LT"/>
        </w:rPr>
        <w:t xml:space="preserve"> </w:t>
      </w:r>
      <w:r>
        <w:rPr>
          <w:lang w:eastAsia="lt-LT"/>
        </w:rPr>
        <w:t>VP</w:t>
      </w:r>
      <w:r>
        <w:rPr>
          <w:i/>
          <w:iCs/>
          <w:lang w:eastAsia="lt-LT"/>
        </w:rPr>
        <w:t xml:space="preserve"> </w:t>
      </w:r>
      <w:r>
        <w:rPr>
          <w:lang w:eastAsia="lt-LT"/>
        </w:rPr>
        <w:t>susijusias</w:t>
      </w:r>
      <w:r>
        <w:rPr>
          <w:i/>
          <w:iCs/>
          <w:lang w:eastAsia="lt-LT"/>
        </w:rPr>
        <w:t xml:space="preserve"> </w:t>
      </w:r>
      <w:r>
        <w:rPr>
          <w:lang w:eastAsia="lt-LT"/>
        </w:rPr>
        <w:t>kompensacijų</w:t>
      </w:r>
      <w:r>
        <w:rPr>
          <w:i/>
          <w:iCs/>
          <w:lang w:eastAsia="lt-LT"/>
        </w:rPr>
        <w:t xml:space="preserve"> </w:t>
      </w:r>
      <w:r>
        <w:rPr>
          <w:lang w:eastAsia="lt-LT"/>
        </w:rPr>
        <w:t>sumas</w:t>
      </w:r>
      <w:r>
        <w:rPr>
          <w:i/>
          <w:iCs/>
          <w:lang w:eastAsia="lt-LT"/>
        </w:rPr>
        <w:t xml:space="preserve"> </w:t>
      </w:r>
      <w:r>
        <w:rPr>
          <w:lang w:eastAsia="lt-LT"/>
        </w:rPr>
        <w:t>(pvz.</w:t>
      </w:r>
      <w:r>
        <w:rPr>
          <w:i/>
          <w:iCs/>
          <w:lang w:eastAsia="lt-LT"/>
        </w:rPr>
        <w:t xml:space="preserve"> </w:t>
      </w:r>
      <w:r>
        <w:rPr>
          <w:lang w:eastAsia="lt-LT"/>
        </w:rPr>
        <w:t>dividendus),</w:t>
      </w:r>
      <w:r>
        <w:rPr>
          <w:i/>
          <w:iCs/>
          <w:lang w:eastAsia="lt-LT"/>
        </w:rPr>
        <w:t xml:space="preserve"> </w:t>
      </w:r>
      <w:r>
        <w:rPr>
          <w:lang w:eastAsia="lt-LT"/>
        </w:rPr>
        <w:t>minėtas</w:t>
      </w:r>
      <w:r>
        <w:rPr>
          <w:i/>
          <w:iCs/>
          <w:lang w:eastAsia="lt-LT"/>
        </w:rPr>
        <w:t xml:space="preserve"> </w:t>
      </w:r>
      <w:r>
        <w:rPr>
          <w:lang w:eastAsia="lt-LT"/>
        </w:rPr>
        <w:t>sumas</w:t>
      </w:r>
      <w:r>
        <w:rPr>
          <w:i/>
          <w:iCs/>
          <w:lang w:eastAsia="lt-LT"/>
        </w:rPr>
        <w:t xml:space="preserve"> </w:t>
      </w:r>
      <w:r>
        <w:rPr>
          <w:lang w:eastAsia="lt-LT"/>
        </w:rPr>
        <w:t>priskiria</w:t>
      </w:r>
      <w:r>
        <w:rPr>
          <w:i/>
          <w:iCs/>
          <w:lang w:eastAsia="lt-LT"/>
        </w:rPr>
        <w:t xml:space="preserve"> </w:t>
      </w:r>
      <w:r>
        <w:rPr>
          <w:lang w:eastAsia="lt-LT"/>
        </w:rPr>
        <w:t>apmokestinamosioms</w:t>
      </w:r>
      <w:r>
        <w:rPr>
          <w:i/>
          <w:iCs/>
          <w:lang w:eastAsia="lt-LT"/>
        </w:rPr>
        <w:t xml:space="preserve"> </w:t>
      </w:r>
      <w:r>
        <w:rPr>
          <w:lang w:eastAsia="lt-LT"/>
        </w:rPr>
        <w:t>pajamoms.</w:t>
      </w:r>
      <w:r>
        <w:rPr>
          <w:i/>
          <w:iCs/>
          <w:lang w:eastAsia="lt-LT"/>
        </w:rPr>
        <w:t xml:space="preserve"> </w:t>
      </w:r>
    </w:p>
    <w:p w14:paraId="587F2850" w14:textId="77777777" w:rsidR="00093845" w:rsidRDefault="000D779E">
      <w:pPr>
        <w:spacing w:before="100" w:beforeAutospacing="1" w:after="100" w:afterAutospacing="1"/>
        <w:jc w:val="both"/>
        <w:rPr>
          <w:lang w:eastAsia="lt-LT"/>
        </w:rPr>
      </w:pPr>
      <w:r>
        <w:rPr>
          <w:lang w:eastAsia="lt-LT"/>
        </w:rPr>
        <w:t xml:space="preserve">    </w:t>
      </w:r>
      <w:r>
        <w:rPr>
          <w:bCs/>
          <w:lang w:eastAsia="lt-LT"/>
        </w:rPr>
        <w:t>Pavyzdys</w:t>
      </w:r>
    </w:p>
    <w:p w14:paraId="213A7C8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b/>
          <w:bCs/>
          <w:lang w:eastAsia="lt-LT"/>
        </w:rPr>
        <w:lastRenderedPageBreak/>
        <w:t> </w:t>
      </w:r>
      <w:r>
        <w:rPr>
          <w:lang w:eastAsia="lt-LT"/>
        </w:rPr>
        <w:t>Pagal</w:t>
      </w:r>
      <w:r>
        <w:rPr>
          <w:i/>
          <w:iCs/>
          <w:lang w:eastAsia="lt-LT"/>
        </w:rPr>
        <w:t xml:space="preserve"> </w:t>
      </w:r>
      <w:r>
        <w:rPr>
          <w:lang w:eastAsia="lt-LT"/>
        </w:rPr>
        <w:t>sutartį</w:t>
      </w:r>
      <w:r>
        <w:rPr>
          <w:i/>
          <w:iCs/>
          <w:lang w:eastAsia="lt-LT"/>
        </w:rPr>
        <w:t xml:space="preserve"> </w:t>
      </w:r>
      <w:r>
        <w:rPr>
          <w:lang w:eastAsia="lt-LT"/>
        </w:rPr>
        <w:t>UAB</w:t>
      </w:r>
      <w:r>
        <w:rPr>
          <w:i/>
          <w:iCs/>
          <w:lang w:eastAsia="lt-LT"/>
        </w:rPr>
        <w:t xml:space="preserve"> „</w:t>
      </w:r>
      <w:r>
        <w:rPr>
          <w:lang w:eastAsia="lt-LT"/>
        </w:rPr>
        <w:t>X</w:t>
      </w:r>
      <w:r>
        <w:rPr>
          <w:i/>
          <w:iCs/>
          <w:lang w:eastAsia="lt-LT"/>
        </w:rPr>
        <w:t xml:space="preserve">“ </w:t>
      </w:r>
      <w:r>
        <w:rPr>
          <w:lang w:eastAsia="lt-LT"/>
        </w:rPr>
        <w:t>vienam</w:t>
      </w:r>
      <w:r>
        <w:rPr>
          <w:i/>
          <w:iCs/>
          <w:lang w:eastAsia="lt-LT"/>
        </w:rPr>
        <w:t xml:space="preserve"> </w:t>
      </w:r>
      <w:r>
        <w:rPr>
          <w:lang w:eastAsia="lt-LT"/>
        </w:rPr>
        <w:t>mėnesiui</w:t>
      </w:r>
      <w:r>
        <w:rPr>
          <w:i/>
          <w:iCs/>
          <w:lang w:eastAsia="lt-LT"/>
        </w:rPr>
        <w:t xml:space="preserve"> </w:t>
      </w:r>
      <w:r>
        <w:rPr>
          <w:lang w:eastAsia="lt-LT"/>
        </w:rPr>
        <w:t>be</w:t>
      </w:r>
      <w:r>
        <w:rPr>
          <w:i/>
          <w:iCs/>
          <w:lang w:eastAsia="lt-LT"/>
        </w:rPr>
        <w:t xml:space="preserve"> </w:t>
      </w:r>
      <w:r>
        <w:rPr>
          <w:lang w:eastAsia="lt-LT"/>
        </w:rPr>
        <w:t>atlygio,</w:t>
      </w:r>
      <w:r>
        <w:rPr>
          <w:i/>
          <w:iCs/>
          <w:lang w:eastAsia="lt-LT"/>
        </w:rPr>
        <w:t xml:space="preserve"> </w:t>
      </w:r>
      <w:r>
        <w:rPr>
          <w:lang w:eastAsia="lt-LT"/>
        </w:rPr>
        <w:t>tikslu</w:t>
      </w:r>
      <w:r>
        <w:rPr>
          <w:i/>
          <w:iCs/>
          <w:lang w:eastAsia="lt-LT"/>
        </w:rPr>
        <w:t xml:space="preserve"> </w:t>
      </w:r>
      <w:r>
        <w:rPr>
          <w:lang w:eastAsia="lt-LT"/>
        </w:rPr>
        <w:t>stabilizuoti</w:t>
      </w:r>
      <w:r>
        <w:rPr>
          <w:i/>
          <w:iCs/>
          <w:lang w:eastAsia="lt-LT"/>
        </w:rPr>
        <w:t xml:space="preserve"> </w:t>
      </w:r>
      <w:r>
        <w:rPr>
          <w:lang w:eastAsia="lt-LT"/>
        </w:rPr>
        <w:t>turimų</w:t>
      </w:r>
      <w:r>
        <w:rPr>
          <w:i/>
          <w:iCs/>
          <w:lang w:eastAsia="lt-LT"/>
        </w:rPr>
        <w:t xml:space="preserve"> </w:t>
      </w:r>
      <w:r>
        <w:rPr>
          <w:lang w:eastAsia="lt-LT"/>
        </w:rPr>
        <w:t>akcijų</w:t>
      </w:r>
      <w:r>
        <w:rPr>
          <w:i/>
          <w:iCs/>
          <w:lang w:eastAsia="lt-LT"/>
        </w:rPr>
        <w:t xml:space="preserve"> </w:t>
      </w:r>
      <w:r>
        <w:rPr>
          <w:lang w:eastAsia="lt-LT"/>
        </w:rPr>
        <w:t>kainą</w:t>
      </w:r>
      <w:r>
        <w:rPr>
          <w:i/>
          <w:iCs/>
          <w:lang w:eastAsia="lt-LT"/>
        </w:rPr>
        <w:t xml:space="preserve"> </w:t>
      </w:r>
      <w:r>
        <w:rPr>
          <w:lang w:eastAsia="lt-LT"/>
        </w:rPr>
        <w:t>rinkoje,</w:t>
      </w:r>
      <w:r>
        <w:rPr>
          <w:i/>
          <w:iCs/>
          <w:lang w:eastAsia="lt-LT"/>
        </w:rPr>
        <w:t xml:space="preserve"> </w:t>
      </w:r>
      <w:r>
        <w:rPr>
          <w:lang w:eastAsia="lt-LT"/>
        </w:rPr>
        <w:t>perleidžia</w:t>
      </w:r>
      <w:r>
        <w:rPr>
          <w:i/>
          <w:iCs/>
          <w:lang w:eastAsia="lt-LT"/>
        </w:rPr>
        <w:t xml:space="preserve"> </w:t>
      </w:r>
      <w:r>
        <w:rPr>
          <w:lang w:eastAsia="lt-LT"/>
        </w:rPr>
        <w:t>(paskolina)</w:t>
      </w:r>
      <w:r>
        <w:rPr>
          <w:i/>
          <w:iCs/>
          <w:lang w:eastAsia="lt-LT"/>
        </w:rPr>
        <w:t xml:space="preserve"> </w:t>
      </w:r>
      <w:r>
        <w:rPr>
          <w:lang w:eastAsia="lt-LT"/>
        </w:rPr>
        <w:t>investiciniam</w:t>
      </w:r>
      <w:r>
        <w:rPr>
          <w:i/>
          <w:iCs/>
          <w:lang w:eastAsia="lt-LT"/>
        </w:rPr>
        <w:t xml:space="preserve"> </w:t>
      </w:r>
      <w:r>
        <w:rPr>
          <w:lang w:eastAsia="lt-LT"/>
        </w:rPr>
        <w:t>bankui</w:t>
      </w:r>
      <w:r>
        <w:rPr>
          <w:i/>
          <w:iCs/>
          <w:lang w:eastAsia="lt-LT"/>
        </w:rPr>
        <w:t xml:space="preserve"> „</w:t>
      </w:r>
      <w:r>
        <w:rPr>
          <w:lang w:eastAsia="lt-LT"/>
        </w:rPr>
        <w:t>B</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akcijų.</w:t>
      </w:r>
      <w:r>
        <w:rPr>
          <w:i/>
          <w:iCs/>
          <w:lang w:eastAsia="lt-LT"/>
        </w:rPr>
        <w:t xml:space="preserve"> </w:t>
      </w:r>
      <w:r>
        <w:rPr>
          <w:lang w:eastAsia="lt-LT"/>
        </w:rPr>
        <w:t>Bankas</w:t>
      </w:r>
      <w:r>
        <w:rPr>
          <w:i/>
          <w:iCs/>
          <w:lang w:eastAsia="lt-LT"/>
        </w:rPr>
        <w:t xml:space="preserve"> „</w:t>
      </w:r>
      <w:r>
        <w:rPr>
          <w:lang w:eastAsia="lt-LT"/>
        </w:rPr>
        <w:t>B</w:t>
      </w:r>
      <w:r>
        <w:rPr>
          <w:i/>
          <w:iCs/>
          <w:lang w:eastAsia="lt-LT"/>
        </w:rPr>
        <w:t xml:space="preserve">“ </w:t>
      </w:r>
      <w:r>
        <w:rPr>
          <w:lang w:eastAsia="lt-LT"/>
        </w:rPr>
        <w:t>įsipareigoja</w:t>
      </w:r>
      <w:r>
        <w:rPr>
          <w:i/>
          <w:iCs/>
          <w:lang w:eastAsia="lt-LT"/>
        </w:rPr>
        <w:t xml:space="preserve"> </w:t>
      </w:r>
      <w:r>
        <w:rPr>
          <w:lang w:eastAsia="lt-LT"/>
        </w:rPr>
        <w:t>po</w:t>
      </w:r>
      <w:r>
        <w:rPr>
          <w:i/>
          <w:iCs/>
          <w:lang w:eastAsia="lt-LT"/>
        </w:rPr>
        <w:t xml:space="preserve"> </w:t>
      </w:r>
      <w:r>
        <w:rPr>
          <w:lang w:eastAsia="lt-LT"/>
        </w:rPr>
        <w:t>tam</w:t>
      </w:r>
      <w:r>
        <w:rPr>
          <w:i/>
          <w:iCs/>
          <w:lang w:eastAsia="lt-LT"/>
        </w:rPr>
        <w:t xml:space="preserve"> </w:t>
      </w:r>
      <w:r>
        <w:rPr>
          <w:lang w:eastAsia="lt-LT"/>
        </w:rPr>
        <w:t>tikro</w:t>
      </w:r>
      <w:r>
        <w:rPr>
          <w:i/>
          <w:iCs/>
          <w:lang w:eastAsia="lt-LT"/>
        </w:rPr>
        <w:t xml:space="preserve"> </w:t>
      </w:r>
      <w:r>
        <w:rPr>
          <w:lang w:eastAsia="lt-LT"/>
        </w:rPr>
        <w:t>laikotarpio</w:t>
      </w:r>
      <w:r>
        <w:rPr>
          <w:i/>
          <w:iCs/>
          <w:lang w:eastAsia="lt-LT"/>
        </w:rPr>
        <w:t xml:space="preserve"> </w:t>
      </w:r>
      <w:r>
        <w:rPr>
          <w:lang w:eastAsia="lt-LT"/>
        </w:rPr>
        <w:t>grąžinti</w:t>
      </w:r>
      <w:r>
        <w:rPr>
          <w:i/>
          <w:iCs/>
          <w:lang w:eastAsia="lt-LT"/>
        </w:rPr>
        <w:t xml:space="preserve"> </w:t>
      </w:r>
      <w:r>
        <w:rPr>
          <w:lang w:eastAsia="lt-LT"/>
        </w:rPr>
        <w:t>pasiskolintas</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akcijas.</w:t>
      </w:r>
      <w:r>
        <w:rPr>
          <w:i/>
          <w:iCs/>
          <w:lang w:eastAsia="lt-LT"/>
        </w:rPr>
        <w:t xml:space="preserve"> </w:t>
      </w:r>
      <w:r>
        <w:rPr>
          <w:lang w:eastAsia="lt-LT"/>
        </w:rPr>
        <w:t>Pagal</w:t>
      </w:r>
      <w:r>
        <w:rPr>
          <w:i/>
          <w:iCs/>
          <w:lang w:eastAsia="lt-LT"/>
        </w:rPr>
        <w:t xml:space="preserve"> </w:t>
      </w:r>
      <w:r>
        <w:rPr>
          <w:lang w:eastAsia="lt-LT"/>
        </w:rPr>
        <w:t>sutartį</w:t>
      </w:r>
      <w:r>
        <w:rPr>
          <w:i/>
          <w:iCs/>
          <w:lang w:eastAsia="lt-LT"/>
        </w:rPr>
        <w:t xml:space="preserve"> </w:t>
      </w:r>
      <w:r>
        <w:rPr>
          <w:lang w:eastAsia="lt-LT"/>
        </w:rPr>
        <w:t>nei</w:t>
      </w:r>
      <w:r>
        <w:rPr>
          <w:i/>
          <w:iCs/>
          <w:lang w:eastAsia="lt-LT"/>
        </w:rPr>
        <w:t xml:space="preserve"> </w:t>
      </w:r>
      <w:r>
        <w:rPr>
          <w:lang w:eastAsia="lt-LT"/>
        </w:rPr>
        <w:t>UAB</w:t>
      </w:r>
      <w:r>
        <w:rPr>
          <w:i/>
          <w:iCs/>
          <w:lang w:eastAsia="lt-LT"/>
        </w:rPr>
        <w:t xml:space="preserve"> „</w:t>
      </w:r>
      <w:r>
        <w:rPr>
          <w:lang w:eastAsia="lt-LT"/>
        </w:rPr>
        <w:t>X</w:t>
      </w:r>
      <w:r>
        <w:rPr>
          <w:i/>
          <w:iCs/>
          <w:lang w:eastAsia="lt-LT"/>
        </w:rPr>
        <w:t>“</w:t>
      </w:r>
      <w:r>
        <w:rPr>
          <w:lang w:eastAsia="lt-LT"/>
        </w:rPr>
        <w:t>,</w:t>
      </w:r>
      <w:r>
        <w:rPr>
          <w:i/>
          <w:iCs/>
          <w:lang w:eastAsia="lt-LT"/>
        </w:rPr>
        <w:t xml:space="preserve"> </w:t>
      </w:r>
      <w:r>
        <w:rPr>
          <w:lang w:eastAsia="lt-LT"/>
        </w:rPr>
        <w:t>nei</w:t>
      </w:r>
      <w:r>
        <w:rPr>
          <w:i/>
          <w:iCs/>
          <w:lang w:eastAsia="lt-LT"/>
        </w:rPr>
        <w:t xml:space="preserve"> </w:t>
      </w:r>
      <w:r>
        <w:rPr>
          <w:lang w:eastAsia="lt-LT"/>
        </w:rPr>
        <w:t>bankas</w:t>
      </w:r>
      <w:r>
        <w:rPr>
          <w:i/>
          <w:iCs/>
          <w:lang w:eastAsia="lt-LT"/>
        </w:rPr>
        <w:t xml:space="preserve"> „</w:t>
      </w:r>
      <w:r>
        <w:rPr>
          <w:lang w:eastAsia="lt-LT"/>
        </w:rPr>
        <w:t>B</w:t>
      </w:r>
      <w:r>
        <w:rPr>
          <w:i/>
          <w:iCs/>
          <w:lang w:eastAsia="lt-LT"/>
        </w:rPr>
        <w:t xml:space="preserve">“ </w:t>
      </w:r>
      <w:r>
        <w:rPr>
          <w:lang w:eastAsia="lt-LT"/>
        </w:rPr>
        <w:t>vienas</w:t>
      </w:r>
      <w:r>
        <w:rPr>
          <w:i/>
          <w:iCs/>
          <w:lang w:eastAsia="lt-LT"/>
        </w:rPr>
        <w:t xml:space="preserve"> </w:t>
      </w:r>
      <w:r>
        <w:rPr>
          <w:lang w:eastAsia="lt-LT"/>
        </w:rPr>
        <w:t>kitam</w:t>
      </w:r>
      <w:r>
        <w:rPr>
          <w:i/>
          <w:iCs/>
          <w:lang w:eastAsia="lt-LT"/>
        </w:rPr>
        <w:t xml:space="preserve"> </w:t>
      </w:r>
      <w:r>
        <w:rPr>
          <w:lang w:eastAsia="lt-LT"/>
        </w:rPr>
        <w:t>palūkanų</w:t>
      </w:r>
      <w:r>
        <w:rPr>
          <w:i/>
          <w:iCs/>
          <w:lang w:eastAsia="lt-LT"/>
        </w:rPr>
        <w:t xml:space="preserve"> </w:t>
      </w:r>
      <w:r>
        <w:rPr>
          <w:lang w:eastAsia="lt-LT"/>
        </w:rPr>
        <w:t>nemoka.</w:t>
      </w:r>
      <w:r>
        <w:rPr>
          <w:i/>
          <w:iCs/>
          <w:lang w:eastAsia="lt-LT"/>
        </w:rPr>
        <w:t xml:space="preserve"> </w:t>
      </w:r>
    </w:p>
    <w:p w14:paraId="5BC70281"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Šio</w:t>
      </w:r>
      <w:r>
        <w:rPr>
          <w:i/>
          <w:iCs/>
          <w:lang w:eastAsia="lt-LT"/>
        </w:rPr>
        <w:t xml:space="preserve"> </w:t>
      </w:r>
      <w:r>
        <w:rPr>
          <w:lang w:eastAsia="lt-LT"/>
        </w:rPr>
        <w:t>akcijų</w:t>
      </w:r>
      <w:r>
        <w:rPr>
          <w:i/>
          <w:iCs/>
          <w:lang w:eastAsia="lt-LT"/>
        </w:rPr>
        <w:t xml:space="preserve"> </w:t>
      </w:r>
      <w:r>
        <w:rPr>
          <w:lang w:eastAsia="lt-LT"/>
        </w:rPr>
        <w:t>paskolos</w:t>
      </w:r>
      <w:r>
        <w:rPr>
          <w:i/>
          <w:iCs/>
          <w:lang w:eastAsia="lt-LT"/>
        </w:rPr>
        <w:t xml:space="preserve"> </w:t>
      </w:r>
      <w:r>
        <w:rPr>
          <w:lang w:eastAsia="lt-LT"/>
        </w:rPr>
        <w:t>sandorio</w:t>
      </w:r>
      <w:r>
        <w:rPr>
          <w:i/>
          <w:iCs/>
          <w:lang w:eastAsia="lt-LT"/>
        </w:rPr>
        <w:t xml:space="preserve"> </w:t>
      </w:r>
      <w:r>
        <w:rPr>
          <w:lang w:eastAsia="lt-LT"/>
        </w:rPr>
        <w:t>rezultate</w:t>
      </w:r>
      <w:r>
        <w:rPr>
          <w:i/>
          <w:iCs/>
          <w:lang w:eastAsia="lt-LT"/>
        </w:rPr>
        <w:t xml:space="preserve"> </w:t>
      </w:r>
      <w:r>
        <w:rPr>
          <w:lang w:eastAsia="lt-LT"/>
        </w:rPr>
        <w:t>UAB</w:t>
      </w:r>
      <w:r>
        <w:rPr>
          <w:i/>
          <w:iCs/>
          <w:lang w:eastAsia="lt-LT"/>
        </w:rPr>
        <w:t xml:space="preserve"> „</w:t>
      </w:r>
      <w:r>
        <w:rPr>
          <w:lang w:eastAsia="lt-LT"/>
        </w:rPr>
        <w:t>X</w:t>
      </w:r>
      <w:r>
        <w:rPr>
          <w:i/>
          <w:iCs/>
          <w:lang w:eastAsia="lt-LT"/>
        </w:rPr>
        <w:t>“</w:t>
      </w:r>
      <w:r>
        <w:rPr>
          <w:lang w:eastAsia="lt-LT"/>
        </w:rPr>
        <w:t>,</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nei</w:t>
      </w:r>
      <w:r>
        <w:rPr>
          <w:i/>
          <w:iCs/>
          <w:lang w:eastAsia="lt-LT"/>
        </w:rPr>
        <w:t xml:space="preserve"> </w:t>
      </w:r>
      <w:r>
        <w:rPr>
          <w:lang w:eastAsia="lt-LT"/>
        </w:rPr>
        <w:t>pajamų</w:t>
      </w:r>
      <w:r>
        <w:rPr>
          <w:i/>
          <w:iCs/>
          <w:lang w:eastAsia="lt-LT"/>
        </w:rPr>
        <w:t xml:space="preserve"> </w:t>
      </w:r>
      <w:r>
        <w:rPr>
          <w:lang w:eastAsia="lt-LT"/>
        </w:rPr>
        <w:t>(nei</w:t>
      </w:r>
      <w:r>
        <w:rPr>
          <w:i/>
          <w:iCs/>
          <w:lang w:eastAsia="lt-LT"/>
        </w:rPr>
        <w:t xml:space="preserve"> </w:t>
      </w:r>
      <w:r>
        <w:rPr>
          <w:lang w:eastAsia="lt-LT"/>
        </w:rPr>
        <w:t>nuostolių)</w:t>
      </w:r>
      <w:r>
        <w:rPr>
          <w:i/>
          <w:iCs/>
          <w:lang w:eastAsia="lt-LT"/>
        </w:rPr>
        <w:t xml:space="preserve"> </w:t>
      </w:r>
      <w:r>
        <w:rPr>
          <w:lang w:eastAsia="lt-LT"/>
        </w:rPr>
        <w:t>neatsiranda,</w:t>
      </w:r>
      <w:r>
        <w:rPr>
          <w:i/>
          <w:iCs/>
          <w:lang w:eastAsia="lt-LT"/>
        </w:rPr>
        <w:t xml:space="preserve"> </w:t>
      </w:r>
      <w:r>
        <w:rPr>
          <w:lang w:eastAsia="lt-LT"/>
        </w:rPr>
        <w:t>o</w:t>
      </w:r>
      <w:r>
        <w:rPr>
          <w:i/>
          <w:iCs/>
          <w:lang w:eastAsia="lt-LT"/>
        </w:rPr>
        <w:t xml:space="preserve"> </w:t>
      </w:r>
      <w:r>
        <w:rPr>
          <w:lang w:eastAsia="lt-LT"/>
        </w:rPr>
        <w:t>grąžintų</w:t>
      </w:r>
      <w:r>
        <w:rPr>
          <w:i/>
          <w:iCs/>
          <w:lang w:eastAsia="lt-LT"/>
        </w:rPr>
        <w:t xml:space="preserve"> </w:t>
      </w:r>
      <w:r>
        <w:rPr>
          <w:lang w:eastAsia="lt-LT"/>
        </w:rPr>
        <w:t>bendrovės</w:t>
      </w:r>
      <w:r>
        <w:rPr>
          <w:i/>
          <w:iCs/>
          <w:lang w:eastAsia="lt-LT"/>
        </w:rPr>
        <w:t xml:space="preserve"> „</w:t>
      </w:r>
      <w:r>
        <w:rPr>
          <w:lang w:eastAsia="lt-LT"/>
        </w:rPr>
        <w:t>Y</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nesikeičia.</w:t>
      </w:r>
    </w:p>
    <w:p w14:paraId="7CB7FE0E" w14:textId="77777777" w:rsidR="00093845" w:rsidRDefault="000D779E">
      <w:pPr>
        <w:spacing w:before="100" w:beforeAutospacing="1" w:after="100" w:afterAutospacing="1"/>
        <w:jc w:val="both"/>
        <w:rPr>
          <w:lang w:eastAsia="lt-LT"/>
        </w:rPr>
      </w:pPr>
      <w:r>
        <w:rPr>
          <w:lang w:eastAsia="lt-LT"/>
        </w:rPr>
        <w:t>   24.</w:t>
      </w:r>
      <w:r>
        <w:rPr>
          <w:i/>
          <w:iCs/>
          <w:lang w:eastAsia="lt-LT"/>
        </w:rPr>
        <w:t xml:space="preserve"> </w:t>
      </w:r>
      <w:r>
        <w:rPr>
          <w:lang w:eastAsia="lt-LT"/>
        </w:rPr>
        <w:t>Nustatant</w:t>
      </w:r>
      <w:r>
        <w:rPr>
          <w:i/>
          <w:iCs/>
          <w:lang w:eastAsia="lt-LT"/>
        </w:rPr>
        <w:t xml:space="preserve"> </w:t>
      </w:r>
      <w:r>
        <w:rPr>
          <w:lang w:eastAsia="lt-LT"/>
        </w:rPr>
        <w:t>mokesčio</w:t>
      </w:r>
      <w:r>
        <w:rPr>
          <w:i/>
          <w:iCs/>
          <w:lang w:eastAsia="lt-LT"/>
        </w:rPr>
        <w:t xml:space="preserve"> </w:t>
      </w:r>
      <w:r>
        <w:rPr>
          <w:lang w:eastAsia="lt-LT"/>
        </w:rPr>
        <w:t>bazę</w:t>
      </w:r>
      <w:r>
        <w:rPr>
          <w:i/>
          <w:iCs/>
          <w:lang w:eastAsia="lt-LT"/>
        </w:rPr>
        <w:t xml:space="preserve"> </w:t>
      </w:r>
      <w:r>
        <w:rPr>
          <w:lang w:eastAsia="lt-LT"/>
        </w:rPr>
        <w:t>pajamomis</w:t>
      </w:r>
      <w:r>
        <w:rPr>
          <w:i/>
          <w:iCs/>
          <w:lang w:eastAsia="lt-LT"/>
        </w:rPr>
        <w:t xml:space="preserve"> </w:t>
      </w:r>
      <w:r>
        <w:rPr>
          <w:lang w:eastAsia="lt-LT"/>
        </w:rPr>
        <w:t>nelaikomos</w:t>
      </w:r>
      <w:r>
        <w:rPr>
          <w:i/>
          <w:iCs/>
          <w:lang w:eastAsia="lt-LT"/>
        </w:rPr>
        <w:t xml:space="preserve"> </w:t>
      </w:r>
      <w:r>
        <w:rPr>
          <w:lang w:eastAsia="lt-LT"/>
        </w:rPr>
        <w:t>(į</w:t>
      </w:r>
      <w:r>
        <w:rPr>
          <w:i/>
          <w:iCs/>
          <w:lang w:eastAsia="lt-LT"/>
        </w:rPr>
        <w:t xml:space="preserve"> </w:t>
      </w:r>
      <w:r>
        <w:rPr>
          <w:lang w:eastAsia="lt-LT"/>
        </w:rPr>
        <w:t>pajamas</w:t>
      </w:r>
      <w:r>
        <w:rPr>
          <w:i/>
          <w:iCs/>
          <w:lang w:eastAsia="lt-LT"/>
        </w:rPr>
        <w:t xml:space="preserve"> </w:t>
      </w:r>
      <w:r>
        <w:rPr>
          <w:lang w:eastAsia="lt-LT"/>
        </w:rPr>
        <w:t>neįtraukiamos):</w:t>
      </w:r>
    </w:p>
    <w:p w14:paraId="399A4E35" w14:textId="77777777" w:rsidR="00093845" w:rsidRDefault="000D779E">
      <w:pPr>
        <w:spacing w:before="100" w:beforeAutospacing="1" w:after="100" w:afterAutospacing="1"/>
        <w:jc w:val="both"/>
        <w:rPr>
          <w:lang w:eastAsia="lt-LT"/>
        </w:rPr>
      </w:pPr>
      <w:r>
        <w:rPr>
          <w:lang w:eastAsia="lt-LT"/>
        </w:rPr>
        <w:t xml:space="preserve">   24.1.</w:t>
      </w:r>
      <w:r>
        <w:rPr>
          <w:i/>
          <w:iCs/>
          <w:lang w:eastAsia="lt-LT"/>
        </w:rPr>
        <w:t xml:space="preserve"> </w:t>
      </w:r>
      <w:r>
        <w:rPr>
          <w:lang w:eastAsia="lt-LT"/>
        </w:rPr>
        <w:t>pardavimo</w:t>
      </w:r>
      <w:r>
        <w:rPr>
          <w:i/>
          <w:iCs/>
          <w:lang w:eastAsia="lt-LT"/>
        </w:rPr>
        <w:t xml:space="preserve"> </w:t>
      </w:r>
      <w:r>
        <w:rPr>
          <w:lang w:eastAsia="lt-LT"/>
        </w:rPr>
        <w:t>PVM;</w:t>
      </w:r>
    </w:p>
    <w:p w14:paraId="6FB7091D" w14:textId="77777777" w:rsidR="00093845" w:rsidRDefault="000D779E">
      <w:pPr>
        <w:spacing w:before="100" w:beforeAutospacing="1" w:after="100" w:afterAutospacing="1"/>
        <w:jc w:val="both"/>
        <w:rPr>
          <w:lang w:eastAsia="lt-LT"/>
        </w:rPr>
      </w:pPr>
      <w:r>
        <w:rPr>
          <w:lang w:eastAsia="lt-LT"/>
        </w:rPr>
        <w:t xml:space="preserve">   24.2.</w:t>
      </w:r>
      <w:r>
        <w:rPr>
          <w:i/>
          <w:iCs/>
          <w:lang w:eastAsia="lt-LT"/>
        </w:rPr>
        <w:t xml:space="preserve"> </w:t>
      </w:r>
      <w:r>
        <w:rPr>
          <w:lang w:eastAsia="lt-LT"/>
        </w:rPr>
        <w:t>apskaitoje</w:t>
      </w:r>
      <w:r>
        <w:rPr>
          <w:i/>
          <w:iCs/>
          <w:lang w:eastAsia="lt-LT"/>
        </w:rPr>
        <w:t xml:space="preserve"> </w:t>
      </w:r>
      <w:r>
        <w:rPr>
          <w:lang w:eastAsia="lt-LT"/>
        </w:rPr>
        <w:t>registruojamos</w:t>
      </w:r>
      <w:r>
        <w:rPr>
          <w:i/>
          <w:iCs/>
          <w:lang w:eastAsia="lt-LT"/>
        </w:rPr>
        <w:t xml:space="preserve"> </w:t>
      </w:r>
      <w:r>
        <w:rPr>
          <w:lang w:eastAsia="lt-LT"/>
        </w:rPr>
        <w:t>pajamų</w:t>
      </w:r>
      <w:r>
        <w:rPr>
          <w:i/>
          <w:iCs/>
          <w:lang w:eastAsia="lt-LT"/>
        </w:rPr>
        <w:t xml:space="preserve"> </w:t>
      </w:r>
      <w:r>
        <w:rPr>
          <w:lang w:eastAsia="lt-LT"/>
        </w:rPr>
        <w:t>sumos</w:t>
      </w:r>
      <w:r>
        <w:rPr>
          <w:i/>
          <w:iCs/>
          <w:lang w:eastAsia="lt-LT"/>
        </w:rPr>
        <w:t xml:space="preserve"> </w:t>
      </w:r>
      <w:r>
        <w:rPr>
          <w:lang w:eastAsia="lt-LT"/>
        </w:rPr>
        <w:t>tais</w:t>
      </w:r>
      <w:r>
        <w:rPr>
          <w:i/>
          <w:iCs/>
          <w:lang w:eastAsia="lt-LT"/>
        </w:rPr>
        <w:t xml:space="preserve"> </w:t>
      </w:r>
      <w:r>
        <w:rPr>
          <w:lang w:eastAsia="lt-LT"/>
        </w:rPr>
        <w:t>atvejais,</w:t>
      </w:r>
      <w:r>
        <w:rPr>
          <w:i/>
          <w:iCs/>
          <w:lang w:eastAsia="lt-LT"/>
        </w:rPr>
        <w:t xml:space="preserve"> </w:t>
      </w:r>
      <w:r>
        <w:rPr>
          <w:lang w:eastAsia="lt-LT"/>
        </w:rPr>
        <w:t>kai</w:t>
      </w:r>
      <w:r>
        <w:rPr>
          <w:i/>
          <w:iCs/>
          <w:lang w:eastAsia="lt-LT"/>
        </w:rPr>
        <w:t xml:space="preserve"> </w:t>
      </w:r>
      <w:r>
        <w:rPr>
          <w:lang w:eastAsia="lt-LT"/>
        </w:rPr>
        <w:t>nurašomos</w:t>
      </w:r>
      <w:r>
        <w:rPr>
          <w:i/>
          <w:iCs/>
          <w:lang w:eastAsia="lt-LT"/>
        </w:rPr>
        <w:t xml:space="preserve"> </w:t>
      </w:r>
      <w:r>
        <w:rPr>
          <w:lang w:eastAsia="lt-LT"/>
        </w:rPr>
        <w:t>per</w:t>
      </w:r>
      <w:r>
        <w:rPr>
          <w:i/>
          <w:iCs/>
          <w:lang w:eastAsia="lt-LT"/>
        </w:rPr>
        <w:t xml:space="preserve"> </w:t>
      </w:r>
      <w:r>
        <w:rPr>
          <w:lang w:eastAsia="lt-LT"/>
        </w:rPr>
        <w:t>didelės</w:t>
      </w:r>
      <w:r>
        <w:rPr>
          <w:i/>
          <w:iCs/>
          <w:lang w:eastAsia="lt-LT"/>
        </w:rPr>
        <w:t xml:space="preserve"> </w:t>
      </w:r>
      <w:r>
        <w:rPr>
          <w:lang w:eastAsia="lt-LT"/>
        </w:rPr>
        <w:t>įvairių</w:t>
      </w:r>
      <w:r>
        <w:rPr>
          <w:i/>
          <w:iCs/>
          <w:lang w:eastAsia="lt-LT"/>
        </w:rPr>
        <w:t xml:space="preserve"> </w:t>
      </w:r>
      <w:r>
        <w:rPr>
          <w:lang w:eastAsia="lt-LT"/>
        </w:rPr>
        <w:t>apskaitoje</w:t>
      </w:r>
      <w:r>
        <w:rPr>
          <w:i/>
          <w:iCs/>
          <w:lang w:eastAsia="lt-LT"/>
        </w:rPr>
        <w:t xml:space="preserve"> </w:t>
      </w:r>
      <w:r>
        <w:rPr>
          <w:lang w:eastAsia="lt-LT"/>
        </w:rPr>
        <w:t>formuojamų</w:t>
      </w:r>
      <w:r>
        <w:rPr>
          <w:i/>
          <w:iCs/>
          <w:lang w:eastAsia="lt-LT"/>
        </w:rPr>
        <w:t xml:space="preserve"> </w:t>
      </w:r>
      <w:r w:rsidR="000A5763">
        <w:rPr>
          <w:lang w:eastAsia="lt-LT"/>
        </w:rPr>
        <w:t>atidėjinių</w:t>
      </w:r>
      <w:r>
        <w:rPr>
          <w:i/>
          <w:iCs/>
          <w:lang w:eastAsia="lt-LT"/>
        </w:rPr>
        <w:t xml:space="preserve"> </w:t>
      </w:r>
      <w:r>
        <w:rPr>
          <w:lang w:eastAsia="lt-LT"/>
        </w:rPr>
        <w:t>sąnaudoms</w:t>
      </w:r>
      <w:r>
        <w:rPr>
          <w:i/>
          <w:iCs/>
          <w:lang w:eastAsia="lt-LT"/>
        </w:rPr>
        <w:t xml:space="preserve"> </w:t>
      </w:r>
      <w:r>
        <w:rPr>
          <w:lang w:eastAsia="lt-LT"/>
        </w:rPr>
        <w:t>sumos,</w:t>
      </w:r>
      <w:r>
        <w:rPr>
          <w:i/>
          <w:iCs/>
          <w:lang w:eastAsia="lt-LT"/>
        </w:rPr>
        <w:t xml:space="preserve"> </w:t>
      </w:r>
      <w:r>
        <w:rPr>
          <w:lang w:eastAsia="lt-LT"/>
        </w:rPr>
        <w:t>jei</w:t>
      </w:r>
      <w:r>
        <w:rPr>
          <w:i/>
          <w:iCs/>
          <w:lang w:eastAsia="lt-LT"/>
        </w:rPr>
        <w:t xml:space="preserve"> </w:t>
      </w:r>
      <w:r>
        <w:rPr>
          <w:lang w:eastAsia="lt-LT"/>
        </w:rPr>
        <w:t>tie</w:t>
      </w:r>
      <w:r>
        <w:rPr>
          <w:i/>
          <w:iCs/>
          <w:lang w:eastAsia="lt-LT"/>
        </w:rPr>
        <w:t xml:space="preserve"> </w:t>
      </w:r>
      <w:r w:rsidR="000A5763">
        <w:rPr>
          <w:lang w:eastAsia="lt-LT"/>
        </w:rPr>
        <w:t>atidėjiniai</w:t>
      </w:r>
      <w:r>
        <w:rPr>
          <w:i/>
          <w:iCs/>
          <w:lang w:eastAsia="lt-LT"/>
        </w:rPr>
        <w:t xml:space="preserve"> </w:t>
      </w:r>
      <w:r>
        <w:rPr>
          <w:lang w:eastAsia="lt-LT"/>
        </w:rPr>
        <w:t>pagal</w:t>
      </w:r>
      <w:r>
        <w:rPr>
          <w:i/>
          <w:iCs/>
          <w:lang w:eastAsia="lt-LT"/>
        </w:rPr>
        <w:t xml:space="preserve"> </w:t>
      </w:r>
      <w:bookmarkStart w:id="155" w:name="n1_1537"/>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6" w:name="pn1_1537"/>
      <w:bookmarkEnd w:id="155"/>
      <w:bookmarkEnd w:id="156"/>
      <w:r>
        <w:rPr>
          <w:i/>
          <w:iCs/>
          <w:lang w:eastAsia="lt-LT"/>
        </w:rPr>
        <w:t xml:space="preserve"> </w:t>
      </w:r>
      <w:r>
        <w:rPr>
          <w:lang w:eastAsia="lt-LT"/>
        </w:rPr>
        <w:t>nuostatas</w:t>
      </w:r>
      <w:r>
        <w:rPr>
          <w:i/>
          <w:iCs/>
          <w:lang w:eastAsia="lt-LT"/>
        </w:rPr>
        <w:t xml:space="preserve"> </w:t>
      </w:r>
      <w:r>
        <w:rPr>
          <w:lang w:eastAsia="lt-LT"/>
        </w:rPr>
        <w:t>nepriskiriami</w:t>
      </w:r>
      <w:r>
        <w:rPr>
          <w:i/>
          <w:iCs/>
          <w:lang w:eastAsia="lt-LT"/>
        </w:rPr>
        <w:t xml:space="preserve"> </w:t>
      </w:r>
      <w:r>
        <w:rPr>
          <w:lang w:eastAsia="lt-LT"/>
        </w:rPr>
        <w:t>leidžiamiems</w:t>
      </w:r>
      <w:r>
        <w:rPr>
          <w:i/>
          <w:iCs/>
          <w:lang w:eastAsia="lt-LT"/>
        </w:rPr>
        <w:t xml:space="preserve"> </w:t>
      </w:r>
      <w:r>
        <w:rPr>
          <w:lang w:eastAsia="lt-LT"/>
        </w:rPr>
        <w:t>atskaitymams;</w:t>
      </w:r>
    </w:p>
    <w:p w14:paraId="5BE590C6" w14:textId="77777777" w:rsidR="00093845" w:rsidRDefault="000D779E">
      <w:pPr>
        <w:spacing w:before="100" w:beforeAutospacing="1" w:after="100" w:afterAutospacing="1"/>
        <w:jc w:val="both"/>
        <w:rPr>
          <w:lang w:eastAsia="lt-LT"/>
        </w:rPr>
      </w:pPr>
      <w:r>
        <w:rPr>
          <w:lang w:eastAsia="lt-LT"/>
        </w:rPr>
        <w:t xml:space="preserve">   24.3.</w:t>
      </w:r>
      <w:r>
        <w:rPr>
          <w:i/>
          <w:iCs/>
          <w:lang w:eastAsia="lt-LT"/>
        </w:rPr>
        <w:t xml:space="preserve"> </w:t>
      </w:r>
      <w:bookmarkStart w:id="157" w:name="n1_1538"/>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58" w:name="pn1_1538"/>
      <w:bookmarkEnd w:id="157"/>
      <w:bookmarkEnd w:id="158"/>
      <w:r>
        <w:rPr>
          <w:i/>
          <w:iCs/>
          <w:lang w:eastAsia="lt-LT"/>
        </w:rPr>
        <w:t xml:space="preserve"> </w:t>
      </w:r>
      <w:r>
        <w:rPr>
          <w:lang w:eastAsia="lt-LT"/>
        </w:rPr>
        <w:t>33</w:t>
      </w:r>
      <w:r>
        <w:rPr>
          <w:i/>
          <w:iCs/>
          <w:lang w:eastAsia="lt-LT"/>
        </w:rPr>
        <w:t xml:space="preserve"> </w:t>
      </w:r>
      <w:r>
        <w:rPr>
          <w:lang w:eastAsia="lt-LT"/>
        </w:rPr>
        <w:t>str.</w:t>
      </w:r>
      <w:r>
        <w:rPr>
          <w:i/>
          <w:iCs/>
          <w:lang w:eastAsia="lt-LT"/>
        </w:rPr>
        <w:t xml:space="preserve"> </w:t>
      </w:r>
      <w:r>
        <w:rPr>
          <w:lang w:eastAsia="lt-LT"/>
        </w:rPr>
        <w:t>3</w:t>
      </w:r>
      <w:r>
        <w:rPr>
          <w:i/>
          <w:iCs/>
          <w:lang w:eastAsia="lt-LT"/>
        </w:rPr>
        <w:t xml:space="preserve"> </w:t>
      </w:r>
      <w:r>
        <w:rPr>
          <w:lang w:eastAsia="lt-LT"/>
        </w:rPr>
        <w:t>ir</w:t>
      </w:r>
      <w:r>
        <w:rPr>
          <w:i/>
          <w:iCs/>
          <w:lang w:eastAsia="lt-LT"/>
        </w:rPr>
        <w:t xml:space="preserve"> </w:t>
      </w:r>
      <w:r>
        <w:rPr>
          <w:lang w:eastAsia="lt-LT"/>
        </w:rPr>
        <w:t>4</w:t>
      </w:r>
      <w:r>
        <w:rPr>
          <w:i/>
          <w:iCs/>
          <w:lang w:eastAsia="lt-LT"/>
        </w:rPr>
        <w:t xml:space="preserve"> </w:t>
      </w:r>
      <w:r>
        <w:rPr>
          <w:lang w:eastAsia="lt-LT"/>
        </w:rPr>
        <w:t>dalyse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sumažinus</w:t>
      </w:r>
      <w:r>
        <w:rPr>
          <w:i/>
          <w:iCs/>
          <w:lang w:eastAsia="lt-LT"/>
        </w:rPr>
        <w:t xml:space="preserve"> </w:t>
      </w:r>
      <w:r>
        <w:rPr>
          <w:lang w:eastAsia="lt-LT"/>
        </w:rPr>
        <w:t>pelno</w:t>
      </w:r>
      <w:r>
        <w:rPr>
          <w:i/>
          <w:iCs/>
          <w:lang w:eastAsia="lt-LT"/>
        </w:rPr>
        <w:t xml:space="preserve"> </w:t>
      </w:r>
      <w:r>
        <w:rPr>
          <w:lang w:eastAsia="lt-LT"/>
        </w:rPr>
        <w:t>mokestį</w:t>
      </w:r>
      <w:r>
        <w:rPr>
          <w:i/>
          <w:iCs/>
          <w:lang w:eastAsia="lt-LT"/>
        </w:rPr>
        <w:t xml:space="preserve"> </w:t>
      </w:r>
      <w:r>
        <w:rPr>
          <w:lang w:eastAsia="lt-LT"/>
        </w:rPr>
        <w:t>iš</w:t>
      </w:r>
      <w:r>
        <w:rPr>
          <w:i/>
          <w:iCs/>
          <w:lang w:eastAsia="lt-LT"/>
        </w:rPr>
        <w:t xml:space="preserve"> </w:t>
      </w:r>
      <w:r>
        <w:rPr>
          <w:lang w:eastAsia="lt-LT"/>
        </w:rPr>
        <w:t>išmokėtų</w:t>
      </w:r>
      <w:r>
        <w:rPr>
          <w:i/>
          <w:iCs/>
          <w:lang w:eastAsia="lt-LT"/>
        </w:rPr>
        <w:t xml:space="preserve"> </w:t>
      </w:r>
      <w:r>
        <w:rPr>
          <w:lang w:eastAsia="lt-LT"/>
        </w:rPr>
        <w:t>dividendų</w:t>
      </w:r>
      <w:r>
        <w:rPr>
          <w:i/>
          <w:iCs/>
          <w:lang w:eastAsia="lt-LT"/>
        </w:rPr>
        <w:t xml:space="preserve"> </w:t>
      </w:r>
      <w:r>
        <w:rPr>
          <w:lang w:eastAsia="lt-LT"/>
        </w:rPr>
        <w:t>išskaičiuoto</w:t>
      </w:r>
      <w:r>
        <w:rPr>
          <w:i/>
          <w:iCs/>
          <w:lang w:eastAsia="lt-LT"/>
        </w:rPr>
        <w:t xml:space="preserve"> </w:t>
      </w:r>
      <w:r>
        <w:rPr>
          <w:lang w:eastAsia="lt-LT"/>
        </w:rPr>
        <w:t>ir</w:t>
      </w:r>
      <w:r>
        <w:rPr>
          <w:i/>
          <w:iCs/>
          <w:lang w:eastAsia="lt-LT"/>
        </w:rPr>
        <w:t xml:space="preserve"> </w:t>
      </w:r>
      <w:r>
        <w:rPr>
          <w:lang w:eastAsia="lt-LT"/>
        </w:rPr>
        <w:t>į</w:t>
      </w:r>
      <w:r>
        <w:rPr>
          <w:i/>
          <w:iCs/>
          <w:lang w:eastAsia="lt-LT"/>
        </w:rPr>
        <w:t xml:space="preserve"> </w:t>
      </w:r>
      <w:r>
        <w:rPr>
          <w:lang w:eastAsia="lt-LT"/>
        </w:rPr>
        <w:t>biudžetą</w:t>
      </w:r>
      <w:r>
        <w:rPr>
          <w:i/>
          <w:iCs/>
          <w:lang w:eastAsia="lt-LT"/>
        </w:rPr>
        <w:t xml:space="preserve"> </w:t>
      </w:r>
      <w:r>
        <w:rPr>
          <w:lang w:eastAsia="lt-LT"/>
        </w:rPr>
        <w:t>sumokėto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ir</w:t>
      </w:r>
      <w:r>
        <w:rPr>
          <w:i/>
          <w:iCs/>
          <w:lang w:eastAsia="lt-LT"/>
        </w:rPr>
        <w:t xml:space="preserve"> </w:t>
      </w:r>
      <w:r>
        <w:rPr>
          <w:lang w:eastAsia="lt-LT"/>
        </w:rPr>
        <w:t>kitais</w:t>
      </w:r>
      <w:r>
        <w:rPr>
          <w:i/>
          <w:iCs/>
          <w:lang w:eastAsia="lt-LT"/>
        </w:rPr>
        <w:t xml:space="preserve"> </w:t>
      </w:r>
      <w:r>
        <w:rPr>
          <w:lang w:eastAsia="lt-LT"/>
        </w:rPr>
        <w:t>mokestiniais</w:t>
      </w:r>
      <w:r>
        <w:rPr>
          <w:i/>
          <w:iCs/>
          <w:lang w:eastAsia="lt-LT"/>
        </w:rPr>
        <w:t xml:space="preserve"> </w:t>
      </w:r>
      <w:r>
        <w:rPr>
          <w:lang w:eastAsia="lt-LT"/>
        </w:rPr>
        <w:t>metais</w:t>
      </w:r>
      <w:r>
        <w:rPr>
          <w:i/>
          <w:iCs/>
          <w:lang w:eastAsia="lt-LT"/>
        </w:rPr>
        <w:t xml:space="preserve"> </w:t>
      </w:r>
      <w:r>
        <w:rPr>
          <w:lang w:eastAsia="lt-LT"/>
        </w:rPr>
        <w:t>apskaitoje</w:t>
      </w:r>
      <w:r>
        <w:rPr>
          <w:i/>
          <w:iCs/>
          <w:lang w:eastAsia="lt-LT"/>
        </w:rPr>
        <w:t xml:space="preserve"> </w:t>
      </w:r>
      <w:r>
        <w:rPr>
          <w:lang w:eastAsia="lt-LT"/>
        </w:rPr>
        <w:t>įregistravus</w:t>
      </w:r>
      <w:r>
        <w:rPr>
          <w:i/>
          <w:iCs/>
          <w:lang w:eastAsia="lt-LT"/>
        </w:rPr>
        <w:t xml:space="preserve"> </w:t>
      </w:r>
      <w:r>
        <w:rPr>
          <w:lang w:eastAsia="lt-LT"/>
        </w:rPr>
        <w:t>sumažinto</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dydžio</w:t>
      </w:r>
      <w:r>
        <w:rPr>
          <w:i/>
          <w:iCs/>
          <w:lang w:eastAsia="lt-LT"/>
        </w:rPr>
        <w:t xml:space="preserve"> </w:t>
      </w:r>
      <w:r>
        <w:rPr>
          <w:lang w:eastAsia="lt-LT"/>
        </w:rPr>
        <w:t>pajamas,</w:t>
      </w:r>
      <w:r>
        <w:rPr>
          <w:i/>
          <w:iCs/>
          <w:lang w:eastAsia="lt-LT"/>
        </w:rPr>
        <w:t xml:space="preserve"> </w:t>
      </w:r>
      <w:r>
        <w:rPr>
          <w:lang w:eastAsia="lt-LT"/>
        </w:rPr>
        <w:t>šios</w:t>
      </w:r>
      <w:r>
        <w:rPr>
          <w:i/>
          <w:iCs/>
          <w:lang w:eastAsia="lt-LT"/>
        </w:rPr>
        <w:t xml:space="preserve"> </w:t>
      </w:r>
      <w:r>
        <w:rPr>
          <w:lang w:eastAsia="lt-LT"/>
        </w:rPr>
        <w:t>pajamos</w:t>
      </w:r>
      <w:r>
        <w:rPr>
          <w:i/>
          <w:iCs/>
          <w:lang w:eastAsia="lt-LT"/>
        </w:rPr>
        <w:t xml:space="preserve"> </w:t>
      </w:r>
      <w:r>
        <w:rPr>
          <w:lang w:eastAsia="lt-LT"/>
        </w:rPr>
        <w:t>į</w:t>
      </w:r>
      <w:r>
        <w:rPr>
          <w:i/>
          <w:iCs/>
          <w:lang w:eastAsia="lt-LT"/>
        </w:rPr>
        <w:t xml:space="preserve"> </w:t>
      </w:r>
      <w:r>
        <w:rPr>
          <w:lang w:eastAsia="lt-LT"/>
        </w:rPr>
        <w:t>mokesčio</w:t>
      </w:r>
      <w:r>
        <w:rPr>
          <w:i/>
          <w:iCs/>
          <w:lang w:eastAsia="lt-LT"/>
        </w:rPr>
        <w:t xml:space="preserve"> </w:t>
      </w:r>
      <w:r>
        <w:rPr>
          <w:lang w:eastAsia="lt-LT"/>
        </w:rPr>
        <w:t>bazę</w:t>
      </w:r>
      <w:r>
        <w:rPr>
          <w:i/>
          <w:iCs/>
          <w:lang w:eastAsia="lt-LT"/>
        </w:rPr>
        <w:t xml:space="preserve"> </w:t>
      </w:r>
      <w:r>
        <w:rPr>
          <w:lang w:eastAsia="lt-LT"/>
        </w:rPr>
        <w:t>neįtraukiamos;</w:t>
      </w:r>
      <w:r>
        <w:rPr>
          <w:i/>
          <w:iCs/>
          <w:lang w:eastAsia="lt-LT"/>
        </w:rPr>
        <w:t xml:space="preserve"> </w:t>
      </w:r>
    </w:p>
    <w:p w14:paraId="10EFE3DC" w14:textId="77777777" w:rsidR="00093845" w:rsidRDefault="000D779E">
      <w:pPr>
        <w:spacing w:before="100" w:beforeAutospacing="1" w:after="100" w:afterAutospacing="1"/>
        <w:jc w:val="both"/>
        <w:rPr>
          <w:lang w:eastAsia="lt-LT"/>
        </w:rPr>
      </w:pPr>
      <w:r>
        <w:rPr>
          <w:lang w:eastAsia="lt-LT"/>
        </w:rPr>
        <w:t xml:space="preserve">   24.4. kai įmonė, neįsiregistravusi PVM mokėtoja, už patiektas prekes ir suteiktas paslaugas turi į biudžetą sumokėti pardavimo PVM, tai į biudžetą mokėtina pardavimo PVM suma mažinamos įmonės pajamos tą mokestinį laikotarpį, kurį atsiranda prievolė sumokėti pardavimo PVM sumą.</w:t>
      </w:r>
    </w:p>
    <w:p w14:paraId="5E051FEC" w14:textId="77777777" w:rsidR="00093845" w:rsidRDefault="000D779E">
      <w:pPr>
        <w:spacing w:before="100" w:beforeAutospacing="1" w:after="100" w:afterAutospacing="1"/>
        <w:jc w:val="both"/>
        <w:rPr>
          <w:lang w:eastAsia="lt-LT"/>
        </w:rPr>
      </w:pPr>
      <w:r>
        <w:rPr>
          <w:lang w:eastAsia="lt-LT"/>
        </w:rPr>
        <w:t xml:space="preserve">   25.</w:t>
      </w:r>
      <w:r>
        <w:rPr>
          <w:i/>
          <w:iCs/>
          <w:lang w:eastAsia="lt-LT"/>
        </w:rPr>
        <w:t xml:space="preserve"> </w:t>
      </w:r>
      <w:r>
        <w:rPr>
          <w:lang w:eastAsia="lt-LT"/>
        </w:rPr>
        <w:t>Pagal</w:t>
      </w:r>
      <w:r>
        <w:rPr>
          <w:i/>
          <w:iCs/>
          <w:lang w:eastAsia="lt-LT"/>
        </w:rPr>
        <w:t xml:space="preserve"> </w:t>
      </w:r>
      <w:bookmarkStart w:id="159" w:name="n1_1543"/>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60" w:name="pn1_1543"/>
      <w:bookmarkEnd w:id="159"/>
      <w:bookmarkEnd w:id="160"/>
      <w:r>
        <w:rPr>
          <w:i/>
          <w:iCs/>
          <w:lang w:eastAsia="lt-LT"/>
        </w:rPr>
        <w:t xml:space="preserve"> </w:t>
      </w:r>
      <w:r>
        <w:rPr>
          <w:lang w:eastAsia="lt-LT"/>
        </w:rPr>
        <w:t>nuostatas</w:t>
      </w:r>
      <w:r>
        <w:rPr>
          <w:i/>
          <w:iCs/>
          <w:lang w:eastAsia="lt-LT"/>
        </w:rPr>
        <w:t xml:space="preserve"> </w:t>
      </w:r>
      <w:r>
        <w:rPr>
          <w:lang w:eastAsia="lt-LT"/>
        </w:rPr>
        <w:t>kiekviena</w:t>
      </w:r>
      <w:r>
        <w:rPr>
          <w:i/>
          <w:iCs/>
          <w:lang w:eastAsia="lt-LT"/>
        </w:rPr>
        <w:t xml:space="preserve"> </w:t>
      </w:r>
      <w:r>
        <w:rPr>
          <w:lang w:eastAsia="lt-LT"/>
        </w:rPr>
        <w:t>įmonė</w:t>
      </w:r>
      <w:r>
        <w:rPr>
          <w:i/>
          <w:iCs/>
          <w:lang w:eastAsia="lt-LT"/>
        </w:rPr>
        <w:t xml:space="preserve"> </w:t>
      </w:r>
      <w:r>
        <w:rPr>
          <w:lang w:eastAsia="lt-LT"/>
        </w:rPr>
        <w:t>yra</w:t>
      </w:r>
      <w:r>
        <w:rPr>
          <w:i/>
          <w:iCs/>
          <w:lang w:eastAsia="lt-LT"/>
        </w:rPr>
        <w:t xml:space="preserve"> </w:t>
      </w:r>
      <w:r>
        <w:rPr>
          <w:lang w:eastAsia="lt-LT"/>
        </w:rPr>
        <w:t>atskiras</w:t>
      </w:r>
      <w:r>
        <w:rPr>
          <w:i/>
          <w:iCs/>
          <w:lang w:eastAsia="lt-LT"/>
        </w:rPr>
        <w:t xml:space="preserve"> </w:t>
      </w:r>
      <w:r>
        <w:rPr>
          <w:lang w:eastAsia="lt-LT"/>
        </w:rPr>
        <w:t>apmokestinamasis</w:t>
      </w:r>
      <w:r>
        <w:rPr>
          <w:i/>
          <w:iCs/>
          <w:lang w:eastAsia="lt-LT"/>
        </w:rPr>
        <w:t xml:space="preserve"> </w:t>
      </w:r>
      <w:r>
        <w:rPr>
          <w:lang w:eastAsia="lt-LT"/>
        </w:rPr>
        <w:t>vienetas.</w:t>
      </w:r>
      <w:r>
        <w:rPr>
          <w:i/>
          <w:iCs/>
          <w:lang w:eastAsia="lt-LT"/>
        </w:rPr>
        <w:t xml:space="preserve"> </w:t>
      </w:r>
      <w:r>
        <w:rPr>
          <w:lang w:eastAsia="lt-LT"/>
        </w:rPr>
        <w:t>Todėl,</w:t>
      </w:r>
      <w:r>
        <w:rPr>
          <w:i/>
          <w:iCs/>
          <w:lang w:eastAsia="lt-LT"/>
        </w:rPr>
        <w:t xml:space="preserve"> </w:t>
      </w:r>
      <w:r>
        <w:rPr>
          <w:lang w:eastAsia="lt-LT"/>
        </w:rPr>
        <w:t>kai</w:t>
      </w:r>
      <w:r>
        <w:rPr>
          <w:i/>
          <w:iCs/>
          <w:lang w:eastAsia="lt-LT"/>
        </w:rPr>
        <w:t xml:space="preserve"> </w:t>
      </w:r>
      <w:r>
        <w:rPr>
          <w:lang w:eastAsia="lt-LT"/>
        </w:rPr>
        <w:t>vienetai</w:t>
      </w:r>
      <w:r>
        <w:rPr>
          <w:i/>
          <w:iCs/>
          <w:lang w:eastAsia="lt-LT"/>
        </w:rPr>
        <w:t xml:space="preserve"> </w:t>
      </w:r>
      <w:r>
        <w:rPr>
          <w:lang w:eastAsia="lt-LT"/>
        </w:rPr>
        <w:t>investicijų</w:t>
      </w:r>
      <w:r>
        <w:rPr>
          <w:i/>
          <w:iCs/>
          <w:lang w:eastAsia="lt-LT"/>
        </w:rPr>
        <w:t xml:space="preserve"> </w:t>
      </w:r>
      <w:r>
        <w:rPr>
          <w:lang w:eastAsia="lt-LT"/>
        </w:rPr>
        <w:t>į</w:t>
      </w:r>
      <w:r>
        <w:rPr>
          <w:i/>
          <w:iCs/>
          <w:lang w:eastAsia="lt-LT"/>
        </w:rPr>
        <w:t xml:space="preserve"> </w:t>
      </w:r>
      <w:r>
        <w:rPr>
          <w:lang w:eastAsia="lt-LT"/>
        </w:rPr>
        <w:t>asocijuotas</w:t>
      </w:r>
      <w:r>
        <w:rPr>
          <w:i/>
          <w:iCs/>
          <w:lang w:eastAsia="lt-LT"/>
        </w:rPr>
        <w:t xml:space="preserve"> </w:t>
      </w:r>
      <w:r>
        <w:rPr>
          <w:lang w:eastAsia="lt-LT"/>
        </w:rPr>
        <w:t>įmones</w:t>
      </w:r>
      <w:r>
        <w:rPr>
          <w:i/>
          <w:iCs/>
          <w:lang w:eastAsia="lt-LT"/>
        </w:rPr>
        <w:t xml:space="preserve"> </w:t>
      </w:r>
      <w:r>
        <w:rPr>
          <w:lang w:eastAsia="lt-LT"/>
        </w:rPr>
        <w:t>apskaitai</w:t>
      </w:r>
      <w:r>
        <w:rPr>
          <w:i/>
          <w:iCs/>
          <w:lang w:eastAsia="lt-LT"/>
        </w:rPr>
        <w:t xml:space="preserve"> </w:t>
      </w:r>
      <w:r>
        <w:rPr>
          <w:lang w:eastAsia="lt-LT"/>
        </w:rPr>
        <w:t>taiko</w:t>
      </w:r>
      <w:r>
        <w:rPr>
          <w:i/>
          <w:iCs/>
          <w:lang w:eastAsia="lt-LT"/>
        </w:rPr>
        <w:t xml:space="preserve"> </w:t>
      </w:r>
      <w:r>
        <w:rPr>
          <w:lang w:eastAsia="lt-LT"/>
        </w:rPr>
        <w:t>15</w:t>
      </w:r>
      <w:r>
        <w:rPr>
          <w:i/>
          <w:iCs/>
          <w:lang w:eastAsia="lt-LT"/>
        </w:rPr>
        <w:t xml:space="preserve"> </w:t>
      </w:r>
      <w:r>
        <w:rPr>
          <w:lang w:eastAsia="lt-LT"/>
        </w:rPr>
        <w:t>VAS</w:t>
      </w:r>
      <w:r>
        <w:rPr>
          <w:i/>
          <w:iCs/>
          <w:lang w:eastAsia="lt-LT"/>
        </w:rPr>
        <w:t xml:space="preserve"> „</w:t>
      </w:r>
      <w:r>
        <w:rPr>
          <w:lang w:eastAsia="lt-LT"/>
        </w:rPr>
        <w:t>Investicijos</w:t>
      </w:r>
      <w:r>
        <w:rPr>
          <w:i/>
          <w:iCs/>
          <w:lang w:eastAsia="lt-LT"/>
        </w:rPr>
        <w:t xml:space="preserve"> </w:t>
      </w:r>
      <w:r>
        <w:rPr>
          <w:lang w:eastAsia="lt-LT"/>
        </w:rPr>
        <w:t>į</w:t>
      </w:r>
      <w:r>
        <w:rPr>
          <w:i/>
          <w:iCs/>
          <w:lang w:eastAsia="lt-LT"/>
        </w:rPr>
        <w:t xml:space="preserve"> </w:t>
      </w:r>
      <w:r>
        <w:rPr>
          <w:lang w:eastAsia="lt-LT"/>
        </w:rPr>
        <w:t>asocijuotąsias</w:t>
      </w:r>
      <w:r>
        <w:rPr>
          <w:i/>
          <w:iCs/>
          <w:lang w:eastAsia="lt-LT"/>
        </w:rPr>
        <w:t xml:space="preserve"> </w:t>
      </w:r>
      <w:r>
        <w:rPr>
          <w:lang w:eastAsia="lt-LT"/>
        </w:rPr>
        <w:t>įmones</w:t>
      </w:r>
      <w:r>
        <w:rPr>
          <w:i/>
          <w:iCs/>
          <w:lang w:eastAsia="lt-LT"/>
        </w:rPr>
        <w:t xml:space="preserve">“ </w:t>
      </w:r>
      <w:r>
        <w:rPr>
          <w:lang w:eastAsia="lt-LT"/>
        </w:rPr>
        <w:t>nuostatas</w:t>
      </w:r>
      <w:r>
        <w:rPr>
          <w:i/>
          <w:iCs/>
          <w:lang w:eastAsia="lt-LT"/>
        </w:rPr>
        <w:t xml:space="preserve"> </w:t>
      </w:r>
      <w:r>
        <w:rPr>
          <w:lang w:eastAsia="lt-LT"/>
        </w:rPr>
        <w:t>ir</w:t>
      </w:r>
      <w:r>
        <w:rPr>
          <w:i/>
          <w:iCs/>
          <w:lang w:eastAsia="lt-LT"/>
        </w:rPr>
        <w:t xml:space="preserve"> </w:t>
      </w:r>
      <w:r>
        <w:rPr>
          <w:lang w:eastAsia="lt-LT"/>
        </w:rPr>
        <w:t>sudarydami</w:t>
      </w:r>
      <w:r>
        <w:rPr>
          <w:i/>
          <w:iCs/>
          <w:lang w:eastAsia="lt-LT"/>
        </w:rPr>
        <w:t xml:space="preserve"> </w:t>
      </w:r>
      <w:r>
        <w:rPr>
          <w:lang w:eastAsia="lt-LT"/>
        </w:rPr>
        <w:t>finansines</w:t>
      </w:r>
      <w:r>
        <w:rPr>
          <w:i/>
          <w:iCs/>
          <w:lang w:eastAsia="lt-LT"/>
        </w:rPr>
        <w:t xml:space="preserve"> </w:t>
      </w:r>
      <w:r>
        <w:rPr>
          <w:lang w:eastAsia="lt-LT"/>
        </w:rPr>
        <w:t>ataskaitas</w:t>
      </w:r>
      <w:r>
        <w:rPr>
          <w:i/>
          <w:iCs/>
          <w:lang w:eastAsia="lt-LT"/>
        </w:rPr>
        <w:t xml:space="preserve"> </w:t>
      </w:r>
      <w:r>
        <w:rPr>
          <w:lang w:eastAsia="lt-LT"/>
        </w:rPr>
        <w:t>į</w:t>
      </w:r>
      <w:r>
        <w:rPr>
          <w:i/>
          <w:iCs/>
          <w:lang w:eastAsia="lt-LT"/>
        </w:rPr>
        <w:t xml:space="preserve"> </w:t>
      </w:r>
      <w:r>
        <w:rPr>
          <w:lang w:eastAsia="lt-LT"/>
        </w:rPr>
        <w:t>jas</w:t>
      </w:r>
      <w:r>
        <w:rPr>
          <w:i/>
          <w:iCs/>
          <w:lang w:eastAsia="lt-LT"/>
        </w:rPr>
        <w:t xml:space="preserve"> </w:t>
      </w:r>
      <w:r>
        <w:rPr>
          <w:lang w:eastAsia="lt-LT"/>
        </w:rPr>
        <w:t>įtraukia</w:t>
      </w:r>
      <w:r>
        <w:rPr>
          <w:i/>
          <w:iCs/>
          <w:lang w:eastAsia="lt-LT"/>
        </w:rPr>
        <w:t xml:space="preserve"> </w:t>
      </w:r>
      <w:r>
        <w:rPr>
          <w:lang w:eastAsia="lt-LT"/>
        </w:rPr>
        <w:t>dalį</w:t>
      </w:r>
      <w:r>
        <w:rPr>
          <w:i/>
          <w:iCs/>
          <w:lang w:eastAsia="lt-LT"/>
        </w:rPr>
        <w:t xml:space="preserve"> </w:t>
      </w:r>
      <w:r>
        <w:rPr>
          <w:lang w:eastAsia="lt-LT"/>
        </w:rPr>
        <w:t>asocijuotos</w:t>
      </w:r>
      <w:r>
        <w:rPr>
          <w:i/>
          <w:iCs/>
          <w:lang w:eastAsia="lt-LT"/>
        </w:rPr>
        <w:t xml:space="preserve"> </w:t>
      </w:r>
      <w:r>
        <w:rPr>
          <w:lang w:eastAsia="lt-LT"/>
        </w:rPr>
        <w:t>įmonės</w:t>
      </w:r>
      <w:r>
        <w:rPr>
          <w:i/>
          <w:iCs/>
          <w:lang w:eastAsia="lt-LT"/>
        </w:rPr>
        <w:t xml:space="preserve"> </w:t>
      </w:r>
      <w:r>
        <w:rPr>
          <w:lang w:eastAsia="lt-LT"/>
        </w:rPr>
        <w:t>veiklos</w:t>
      </w:r>
      <w:r>
        <w:rPr>
          <w:i/>
          <w:iCs/>
          <w:lang w:eastAsia="lt-LT"/>
        </w:rPr>
        <w:t xml:space="preserve"> </w:t>
      </w:r>
      <w:r>
        <w:rPr>
          <w:lang w:eastAsia="lt-LT"/>
        </w:rPr>
        <w:t>rezultatų</w:t>
      </w:r>
      <w:r>
        <w:rPr>
          <w:i/>
          <w:iCs/>
          <w:lang w:eastAsia="lt-LT"/>
        </w:rPr>
        <w:t xml:space="preserve"> </w:t>
      </w:r>
      <w:r>
        <w:rPr>
          <w:lang w:eastAsia="lt-LT"/>
        </w:rPr>
        <w:t>–</w:t>
      </w:r>
      <w:r>
        <w:rPr>
          <w:i/>
          <w:iCs/>
          <w:lang w:eastAsia="lt-LT"/>
        </w:rPr>
        <w:t xml:space="preserve"> </w:t>
      </w:r>
      <w:r>
        <w:rPr>
          <w:lang w:eastAsia="lt-LT"/>
        </w:rPr>
        <w:t>pelno</w:t>
      </w:r>
      <w:r>
        <w:rPr>
          <w:i/>
          <w:iCs/>
          <w:lang w:eastAsia="lt-LT"/>
        </w:rPr>
        <w:t xml:space="preserve"> </w:t>
      </w:r>
      <w:r>
        <w:rPr>
          <w:lang w:eastAsia="lt-LT"/>
        </w:rPr>
        <w:t>ar</w:t>
      </w:r>
      <w:r>
        <w:rPr>
          <w:i/>
          <w:iCs/>
          <w:lang w:eastAsia="lt-LT"/>
        </w:rPr>
        <w:t xml:space="preserve"> </w:t>
      </w:r>
      <w:r>
        <w:rPr>
          <w:lang w:eastAsia="lt-LT"/>
        </w:rPr>
        <w:t>nuostolio,</w:t>
      </w:r>
      <w:r>
        <w:rPr>
          <w:i/>
          <w:iCs/>
          <w:lang w:eastAsia="lt-LT"/>
        </w:rPr>
        <w:t xml:space="preserve"> </w:t>
      </w:r>
      <w:r>
        <w:rPr>
          <w:lang w:eastAsia="lt-LT"/>
        </w:rPr>
        <w:t>kartu</w:t>
      </w:r>
      <w:r>
        <w:rPr>
          <w:i/>
          <w:iCs/>
          <w:lang w:eastAsia="lt-LT"/>
        </w:rPr>
        <w:t xml:space="preserve"> </w:t>
      </w:r>
      <w:r>
        <w:rPr>
          <w:lang w:eastAsia="lt-LT"/>
        </w:rPr>
        <w:t>didindami</w:t>
      </w:r>
      <w:r>
        <w:rPr>
          <w:i/>
          <w:iCs/>
          <w:lang w:eastAsia="lt-LT"/>
        </w:rPr>
        <w:t xml:space="preserve"> </w:t>
      </w:r>
      <w:r>
        <w:rPr>
          <w:lang w:eastAsia="lt-LT"/>
        </w:rPr>
        <w:t>arba</w:t>
      </w:r>
      <w:r>
        <w:rPr>
          <w:i/>
          <w:iCs/>
          <w:lang w:eastAsia="lt-LT"/>
        </w:rPr>
        <w:t xml:space="preserve"> </w:t>
      </w:r>
      <w:r>
        <w:rPr>
          <w:lang w:eastAsia="lt-LT"/>
        </w:rPr>
        <w:t>mažindami</w:t>
      </w:r>
      <w:r>
        <w:rPr>
          <w:i/>
          <w:iCs/>
          <w:lang w:eastAsia="lt-LT"/>
        </w:rPr>
        <w:t xml:space="preserve"> </w:t>
      </w:r>
      <w:r>
        <w:rPr>
          <w:lang w:eastAsia="lt-LT"/>
        </w:rPr>
        <w:t>investicijos</w:t>
      </w:r>
      <w:r>
        <w:rPr>
          <w:i/>
          <w:iCs/>
          <w:lang w:eastAsia="lt-LT"/>
        </w:rPr>
        <w:t xml:space="preserve"> </w:t>
      </w:r>
      <w:r>
        <w:rPr>
          <w:lang w:eastAsia="lt-LT"/>
        </w:rPr>
        <w:t>į</w:t>
      </w:r>
      <w:r>
        <w:rPr>
          <w:i/>
          <w:iCs/>
          <w:lang w:eastAsia="lt-LT"/>
        </w:rPr>
        <w:t xml:space="preserve"> </w:t>
      </w:r>
      <w:r>
        <w:rPr>
          <w:lang w:eastAsia="lt-LT"/>
        </w:rPr>
        <w:t>asocijuotą</w:t>
      </w:r>
      <w:r>
        <w:rPr>
          <w:i/>
          <w:iCs/>
          <w:lang w:eastAsia="lt-LT"/>
        </w:rPr>
        <w:t xml:space="preserve"> </w:t>
      </w:r>
      <w:r>
        <w:rPr>
          <w:lang w:eastAsia="lt-LT"/>
        </w:rPr>
        <w:t>įmonę</w:t>
      </w:r>
      <w:r>
        <w:rPr>
          <w:i/>
          <w:iCs/>
          <w:lang w:eastAsia="lt-LT"/>
        </w:rPr>
        <w:t xml:space="preserve"> </w:t>
      </w:r>
      <w:r>
        <w:rPr>
          <w:lang w:eastAsia="lt-LT"/>
        </w:rPr>
        <w:t>vertę,</w:t>
      </w:r>
      <w:r>
        <w:rPr>
          <w:i/>
          <w:iCs/>
          <w:lang w:eastAsia="lt-LT"/>
        </w:rPr>
        <w:t xml:space="preserve"> </w:t>
      </w:r>
      <w:r>
        <w:rPr>
          <w:lang w:eastAsia="lt-LT"/>
        </w:rPr>
        <w:t>tai</w:t>
      </w:r>
      <w:r>
        <w:rPr>
          <w:i/>
          <w:iCs/>
          <w:lang w:eastAsia="lt-LT"/>
        </w:rPr>
        <w:t xml:space="preserve"> </w:t>
      </w:r>
      <w:r>
        <w:rPr>
          <w:lang w:eastAsia="lt-LT"/>
        </w:rPr>
        <w:t>toks</w:t>
      </w:r>
      <w:r>
        <w:rPr>
          <w:i/>
          <w:iCs/>
          <w:lang w:eastAsia="lt-LT"/>
        </w:rPr>
        <w:t xml:space="preserve"> </w:t>
      </w:r>
      <w:r>
        <w:rPr>
          <w:lang w:eastAsia="lt-LT"/>
        </w:rPr>
        <w:t>pelnas</w:t>
      </w:r>
      <w:r>
        <w:rPr>
          <w:i/>
          <w:iCs/>
          <w:lang w:eastAsia="lt-LT"/>
        </w:rPr>
        <w:t xml:space="preserve"> </w:t>
      </w:r>
      <w:r>
        <w:rPr>
          <w:lang w:eastAsia="lt-LT"/>
        </w:rPr>
        <w:t>ar</w:t>
      </w:r>
      <w:r>
        <w:rPr>
          <w:i/>
          <w:iCs/>
          <w:lang w:eastAsia="lt-LT"/>
        </w:rPr>
        <w:t xml:space="preserve"> </w:t>
      </w:r>
      <w:r>
        <w:rPr>
          <w:lang w:eastAsia="lt-LT"/>
        </w:rPr>
        <w:t>nuostolis</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pelnas</w:t>
      </w:r>
      <w:r>
        <w:rPr>
          <w:i/>
          <w:iCs/>
          <w:lang w:eastAsia="lt-LT"/>
        </w:rPr>
        <w:t xml:space="preserve"> </w:t>
      </w:r>
      <w:r>
        <w:rPr>
          <w:lang w:eastAsia="lt-LT"/>
        </w:rPr>
        <w:t>neįtraukiamas</w:t>
      </w:r>
      <w:r>
        <w:rPr>
          <w:i/>
          <w:iCs/>
          <w:lang w:eastAsia="lt-LT"/>
        </w:rPr>
        <w:t xml:space="preserve"> </w:t>
      </w:r>
      <w:r>
        <w:rPr>
          <w:lang w:eastAsia="lt-LT"/>
        </w:rPr>
        <w:t>į</w:t>
      </w:r>
      <w:r>
        <w:rPr>
          <w:i/>
          <w:iCs/>
          <w:lang w:eastAsia="lt-LT"/>
        </w:rPr>
        <w:t xml:space="preserve"> </w:t>
      </w:r>
      <w:r>
        <w:rPr>
          <w:lang w:eastAsia="lt-LT"/>
        </w:rPr>
        <w:t>pajamas,</w:t>
      </w:r>
      <w:r>
        <w:rPr>
          <w:i/>
          <w:iCs/>
          <w:lang w:eastAsia="lt-LT"/>
        </w:rPr>
        <w:t xml:space="preserve"> </w:t>
      </w:r>
      <w:r>
        <w:rPr>
          <w:lang w:eastAsia="lt-LT"/>
        </w:rPr>
        <w:t>o</w:t>
      </w:r>
      <w:r>
        <w:rPr>
          <w:i/>
          <w:iCs/>
          <w:lang w:eastAsia="lt-LT"/>
        </w:rPr>
        <w:t xml:space="preserve"> </w:t>
      </w:r>
      <w:r>
        <w:rPr>
          <w:lang w:eastAsia="lt-LT"/>
        </w:rPr>
        <w:t>nuostolis</w:t>
      </w:r>
      <w:r>
        <w:rPr>
          <w:i/>
          <w:iCs/>
          <w:lang w:eastAsia="lt-LT"/>
        </w:rPr>
        <w:t xml:space="preserve"> </w:t>
      </w:r>
      <w:r>
        <w:rPr>
          <w:lang w:eastAsia="lt-LT"/>
        </w:rPr>
        <w:t>nepriskiriamas</w:t>
      </w:r>
      <w:r>
        <w:rPr>
          <w:i/>
          <w:iCs/>
          <w:lang w:eastAsia="lt-LT"/>
        </w:rPr>
        <w:t xml:space="preserve"> </w:t>
      </w:r>
      <w:r>
        <w:rPr>
          <w:lang w:eastAsia="lt-LT"/>
        </w:rPr>
        <w:t>leidžiamiems</w:t>
      </w:r>
      <w:r>
        <w:rPr>
          <w:i/>
          <w:iCs/>
          <w:lang w:eastAsia="lt-LT"/>
        </w:rPr>
        <w:t xml:space="preserve"> </w:t>
      </w:r>
      <w:r>
        <w:rPr>
          <w:lang w:eastAsia="lt-LT"/>
        </w:rPr>
        <w:t>atskaitymams).</w:t>
      </w:r>
    </w:p>
    <w:p w14:paraId="05A69900" w14:textId="77777777" w:rsidR="00093845" w:rsidRDefault="000D779E">
      <w:pPr>
        <w:spacing w:before="100" w:beforeAutospacing="1" w:after="100" w:afterAutospacing="1"/>
        <w:jc w:val="both"/>
        <w:rPr>
          <w:lang w:eastAsia="lt-LT"/>
        </w:rPr>
      </w:pPr>
      <w:bookmarkStart w:id="161" w:name="n1_1544"/>
      <w:r>
        <w:t xml:space="preserve">    </w:t>
      </w:r>
      <w:hyperlink r:id="rId55" w:tgtFrame="_blank" w:tooltip="Lietuvos Respublikos pelno mokesčio įstatymas" w:history="1">
        <w:r w:rsidRPr="000A5763">
          <w:rPr>
            <w:rStyle w:val="Hipersaitas"/>
            <w:rFonts w:ascii="Times New Roman" w:hAnsi="Times New Roman" w:cs="Times New Roman"/>
            <w:b w:val="0"/>
            <w:lang w:eastAsia="lt-LT"/>
          </w:rPr>
          <w:t>PMĮ</w:t>
        </w:r>
      </w:hyperlink>
      <w:bookmarkStart w:id="162" w:name="pn1_1544"/>
      <w:bookmarkEnd w:id="161"/>
      <w:bookmarkEnd w:id="162"/>
      <w:r>
        <w:rPr>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dalyje</w:t>
      </w:r>
      <w:r>
        <w:rPr>
          <w:i/>
          <w:iCs/>
          <w:lang w:eastAsia="lt-LT"/>
        </w:rPr>
        <w:t xml:space="preserve"> </w:t>
      </w:r>
      <w:r>
        <w:rPr>
          <w:lang w:eastAsia="lt-LT"/>
        </w:rPr>
        <w:t>nustatyta,</w:t>
      </w:r>
      <w:r>
        <w:rPr>
          <w:i/>
          <w:iCs/>
          <w:lang w:eastAsia="lt-LT"/>
        </w:rPr>
        <w:t xml:space="preserve"> </w:t>
      </w:r>
      <w:r>
        <w:rPr>
          <w:lang w:eastAsia="lt-LT"/>
        </w:rPr>
        <w:t>kad</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yra</w:t>
      </w:r>
      <w:r>
        <w:rPr>
          <w:i/>
          <w:iCs/>
          <w:lang w:eastAsia="lt-LT"/>
        </w:rPr>
        <w:t xml:space="preserve"> </w:t>
      </w:r>
      <w:r>
        <w:rPr>
          <w:lang w:eastAsia="lt-LT"/>
        </w:rPr>
        <w:t>uždirbtos</w:t>
      </w:r>
      <w:r>
        <w:rPr>
          <w:i/>
          <w:iCs/>
          <w:lang w:eastAsia="lt-LT"/>
        </w:rPr>
        <w:t xml:space="preserve"> </w:t>
      </w:r>
      <w:r>
        <w:rPr>
          <w:lang w:eastAsia="lt-LT"/>
        </w:rPr>
        <w:t>pajamos,</w:t>
      </w:r>
      <w:r>
        <w:rPr>
          <w:i/>
          <w:iCs/>
          <w:lang w:eastAsia="lt-LT"/>
        </w:rPr>
        <w:t xml:space="preserve"> </w:t>
      </w:r>
      <w:r>
        <w:rPr>
          <w:lang w:eastAsia="lt-LT"/>
        </w:rPr>
        <w:t>kurias</w:t>
      </w:r>
      <w:r>
        <w:rPr>
          <w:i/>
          <w:iCs/>
          <w:lang w:eastAsia="lt-LT"/>
        </w:rPr>
        <w:t xml:space="preserve"> </w:t>
      </w:r>
      <w:r>
        <w:rPr>
          <w:lang w:eastAsia="lt-LT"/>
        </w:rPr>
        <w:t>sudaro</w:t>
      </w:r>
      <w:r>
        <w:rPr>
          <w:i/>
          <w:iCs/>
          <w:lang w:eastAsia="lt-LT"/>
        </w:rPr>
        <w:t xml:space="preserve"> </w:t>
      </w:r>
      <w:r>
        <w:rPr>
          <w:lang w:eastAsia="lt-LT"/>
        </w:rPr>
        <w:t>turto</w:t>
      </w:r>
      <w:r>
        <w:rPr>
          <w:i/>
          <w:iCs/>
          <w:lang w:eastAsia="lt-LT"/>
        </w:rPr>
        <w:t xml:space="preserve"> </w:t>
      </w:r>
      <w:r>
        <w:rPr>
          <w:lang w:eastAsia="lt-LT"/>
        </w:rPr>
        <w:t>pardavimo</w:t>
      </w:r>
      <w:r>
        <w:rPr>
          <w:i/>
          <w:iCs/>
          <w:lang w:eastAsia="lt-LT"/>
        </w:rPr>
        <w:t xml:space="preserve"> </w:t>
      </w:r>
      <w:r>
        <w:rPr>
          <w:lang w:eastAsia="lt-LT"/>
        </w:rPr>
        <w:t>ar</w:t>
      </w:r>
      <w:r>
        <w:rPr>
          <w:i/>
          <w:iCs/>
          <w:lang w:eastAsia="lt-LT"/>
        </w:rPr>
        <w:t xml:space="preserve"> </w:t>
      </w:r>
      <w:r>
        <w:rPr>
          <w:lang w:eastAsia="lt-LT"/>
        </w:rPr>
        <w:t>kitokio</w:t>
      </w:r>
      <w:r>
        <w:rPr>
          <w:i/>
          <w:iCs/>
          <w:lang w:eastAsia="lt-LT"/>
        </w:rPr>
        <w:t xml:space="preserve"> </w:t>
      </w:r>
      <w:r>
        <w:rPr>
          <w:lang w:eastAsia="lt-LT"/>
        </w:rPr>
        <w:t>perleidimo</w:t>
      </w:r>
      <w:r>
        <w:rPr>
          <w:i/>
          <w:iCs/>
          <w:lang w:eastAsia="lt-LT"/>
        </w:rPr>
        <w:t xml:space="preserve"> </w:t>
      </w:r>
      <w:r>
        <w:rPr>
          <w:lang w:eastAsia="lt-LT"/>
        </w:rPr>
        <w:t>nuosavybėn</w:t>
      </w:r>
      <w:r>
        <w:rPr>
          <w:i/>
          <w:iCs/>
          <w:lang w:eastAsia="lt-LT"/>
        </w:rPr>
        <w:t xml:space="preserve"> </w:t>
      </w:r>
      <w:r>
        <w:rPr>
          <w:lang w:eastAsia="lt-LT"/>
        </w:rPr>
        <w:t>ir</w:t>
      </w:r>
      <w:r>
        <w:rPr>
          <w:i/>
          <w:iCs/>
          <w:lang w:eastAsia="lt-LT"/>
        </w:rPr>
        <w:t xml:space="preserve"> </w:t>
      </w:r>
      <w:r>
        <w:rPr>
          <w:lang w:eastAsia="lt-LT"/>
        </w:rPr>
        <w:t>įsigijimo</w:t>
      </w:r>
      <w:r>
        <w:rPr>
          <w:i/>
          <w:iCs/>
          <w:lang w:eastAsia="lt-LT"/>
        </w:rPr>
        <w:t xml:space="preserve"> </w:t>
      </w:r>
      <w:r>
        <w:rPr>
          <w:lang w:eastAsia="lt-LT"/>
        </w:rPr>
        <w:t>kainų</w:t>
      </w:r>
      <w:r>
        <w:rPr>
          <w:i/>
          <w:iCs/>
          <w:lang w:eastAsia="lt-LT"/>
        </w:rPr>
        <w:t xml:space="preserve"> </w:t>
      </w:r>
      <w:r>
        <w:rPr>
          <w:lang w:eastAsia="lt-LT"/>
        </w:rPr>
        <w:t>skirtumas.</w:t>
      </w:r>
      <w:r>
        <w:rPr>
          <w:i/>
          <w:iCs/>
          <w:lang w:eastAsia="lt-LT"/>
        </w:rPr>
        <w:t xml:space="preserve"> </w:t>
      </w:r>
      <w:r w:rsidRPr="000A5763">
        <w:rPr>
          <w:lang w:eastAsia="lt-LT"/>
        </w:rPr>
        <w:t>Pagal</w:t>
      </w:r>
      <w:r w:rsidRPr="000A5763">
        <w:rPr>
          <w:b/>
          <w:i/>
          <w:iCs/>
          <w:lang w:eastAsia="lt-LT"/>
        </w:rPr>
        <w:t xml:space="preserve"> </w:t>
      </w:r>
      <w:bookmarkStart w:id="163" w:name="n1_1549"/>
      <w:r w:rsidRPr="000A5763">
        <w:rPr>
          <w:b/>
          <w:lang w:eastAsia="lt-LT"/>
        </w:rPr>
        <w:fldChar w:fldCharType="begin"/>
      </w:r>
      <w:r w:rsidRPr="000A5763">
        <w:rPr>
          <w:b/>
          <w:lang w:eastAsia="lt-LT"/>
        </w:rPr>
        <w:instrText xml:space="preserve"> HYPERLINK "http://www.infolex.lt/ta/12868" \o "Lietuvos Respublikos pelno mokesčio įstatymas" \t "_blank" </w:instrText>
      </w:r>
      <w:r w:rsidRPr="000A5763">
        <w:rPr>
          <w:b/>
          <w:lang w:eastAsia="lt-LT"/>
        </w:rPr>
        <w:fldChar w:fldCharType="separate"/>
      </w:r>
      <w:r w:rsidRPr="000A5763">
        <w:rPr>
          <w:rStyle w:val="Hipersaitas"/>
          <w:rFonts w:ascii="Times New Roman" w:hAnsi="Times New Roman" w:cs="Times New Roman"/>
          <w:b w:val="0"/>
          <w:lang w:eastAsia="lt-LT"/>
        </w:rPr>
        <w:t>PMĮ</w:t>
      </w:r>
      <w:r w:rsidRPr="000A5763">
        <w:rPr>
          <w:b/>
          <w:lang w:eastAsia="lt-LT"/>
        </w:rPr>
        <w:fldChar w:fldCharType="end"/>
      </w:r>
      <w:bookmarkStart w:id="164" w:name="pn1_1549"/>
      <w:bookmarkEnd w:id="163"/>
      <w:bookmarkEnd w:id="164"/>
      <w:r>
        <w:rPr>
          <w:i/>
          <w:iCs/>
          <w:lang w:eastAsia="lt-LT"/>
        </w:rPr>
        <w:t xml:space="preserve"> </w:t>
      </w:r>
      <w:r>
        <w:rPr>
          <w:lang w:eastAsia="lt-LT"/>
        </w:rPr>
        <w:t>14</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tai</w:t>
      </w:r>
      <w:r>
        <w:rPr>
          <w:i/>
          <w:iCs/>
          <w:lang w:eastAsia="lt-LT"/>
        </w:rPr>
        <w:t xml:space="preserve"> </w:t>
      </w:r>
      <w:r>
        <w:rPr>
          <w:lang w:eastAsia="lt-LT"/>
        </w:rPr>
        <w:t>–</w:t>
      </w:r>
      <w:r>
        <w:rPr>
          <w:i/>
          <w:iCs/>
          <w:lang w:eastAsia="lt-LT"/>
        </w:rPr>
        <w:t xml:space="preserve"> </w:t>
      </w:r>
      <w:r>
        <w:rPr>
          <w:lang w:eastAsia="lt-LT"/>
        </w:rPr>
        <w:t>išlaidos,</w:t>
      </w:r>
      <w:r>
        <w:rPr>
          <w:i/>
          <w:iCs/>
          <w:lang w:eastAsia="lt-LT"/>
        </w:rPr>
        <w:t xml:space="preserve"> </w:t>
      </w:r>
      <w:r>
        <w:rPr>
          <w:lang w:eastAsia="lt-LT"/>
        </w:rPr>
        <w:t>patirtos</w:t>
      </w:r>
      <w:r>
        <w:rPr>
          <w:i/>
          <w:iCs/>
          <w:lang w:eastAsia="lt-LT"/>
        </w:rPr>
        <w:t xml:space="preserve"> </w:t>
      </w:r>
      <w:r>
        <w:rPr>
          <w:lang w:eastAsia="lt-LT"/>
        </w:rPr>
        <w:t>įsigyjant</w:t>
      </w:r>
      <w:r>
        <w:rPr>
          <w:i/>
          <w:iCs/>
          <w:lang w:eastAsia="lt-LT"/>
        </w:rPr>
        <w:t xml:space="preserve"> </w:t>
      </w:r>
      <w:r>
        <w:rPr>
          <w:lang w:eastAsia="lt-LT"/>
        </w:rPr>
        <w:t>turtą,</w:t>
      </w:r>
      <w:r>
        <w:rPr>
          <w:i/>
          <w:iCs/>
          <w:lang w:eastAsia="lt-LT"/>
        </w:rPr>
        <w:t xml:space="preserve"> </w:t>
      </w:r>
      <w:r>
        <w:rPr>
          <w:lang w:eastAsia="lt-LT"/>
        </w:rPr>
        <w:t>įskaitant</w:t>
      </w:r>
      <w:r>
        <w:rPr>
          <w:i/>
          <w:iCs/>
          <w:lang w:eastAsia="lt-LT"/>
        </w:rPr>
        <w:t xml:space="preserve"> </w:t>
      </w:r>
      <w:r>
        <w:rPr>
          <w:lang w:eastAsia="lt-LT"/>
        </w:rPr>
        <w:t>sumokėtus</w:t>
      </w:r>
      <w:r>
        <w:rPr>
          <w:i/>
          <w:iCs/>
          <w:lang w:eastAsia="lt-LT"/>
        </w:rPr>
        <w:t xml:space="preserve"> </w:t>
      </w:r>
      <w:r>
        <w:rPr>
          <w:lang w:eastAsia="lt-LT"/>
        </w:rPr>
        <w:t>komisinius</w:t>
      </w:r>
      <w:r>
        <w:rPr>
          <w:i/>
          <w:iCs/>
          <w:lang w:eastAsia="lt-LT"/>
        </w:rPr>
        <w:t xml:space="preserve"> </w:t>
      </w:r>
      <w:r>
        <w:rPr>
          <w:lang w:eastAsia="lt-LT"/>
        </w:rPr>
        <w:t>atlyginimus</w:t>
      </w:r>
      <w:r>
        <w:rPr>
          <w:i/>
          <w:iCs/>
          <w:lang w:eastAsia="lt-LT"/>
        </w:rPr>
        <w:t xml:space="preserve"> </w:t>
      </w:r>
      <w:r>
        <w:rPr>
          <w:lang w:eastAsia="lt-LT"/>
        </w:rPr>
        <w:t>bei</w:t>
      </w:r>
      <w:r>
        <w:rPr>
          <w:i/>
          <w:iCs/>
          <w:lang w:eastAsia="lt-LT"/>
        </w:rPr>
        <w:t xml:space="preserve"> </w:t>
      </w:r>
      <w:r>
        <w:rPr>
          <w:lang w:eastAsia="lt-LT"/>
        </w:rPr>
        <w:t>mokesčius</w:t>
      </w:r>
      <w:r>
        <w:rPr>
          <w:i/>
          <w:iCs/>
          <w:lang w:eastAsia="lt-LT"/>
        </w:rPr>
        <w:t xml:space="preserve"> </w:t>
      </w:r>
      <w:r>
        <w:rPr>
          <w:lang w:eastAsia="lt-LT"/>
        </w:rPr>
        <w:t>(rinkliavas),</w:t>
      </w:r>
      <w:r>
        <w:rPr>
          <w:i/>
          <w:iCs/>
          <w:lang w:eastAsia="lt-LT"/>
        </w:rPr>
        <w:t xml:space="preserve"> </w:t>
      </w:r>
      <w:r>
        <w:rPr>
          <w:lang w:eastAsia="lt-LT"/>
        </w:rPr>
        <w:t>išskyrus</w:t>
      </w:r>
      <w:r>
        <w:rPr>
          <w:i/>
          <w:iCs/>
          <w:lang w:eastAsia="lt-LT"/>
        </w:rPr>
        <w:t xml:space="preserve"> </w:t>
      </w:r>
      <w:r>
        <w:rPr>
          <w:lang w:eastAsia="lt-LT"/>
        </w:rPr>
        <w:t>Pridėtinės</w:t>
      </w:r>
      <w:r>
        <w:rPr>
          <w:i/>
          <w:iCs/>
          <w:lang w:eastAsia="lt-LT"/>
        </w:rPr>
        <w:t xml:space="preserve"> </w:t>
      </w:r>
      <w:r>
        <w:rPr>
          <w:lang w:eastAsia="lt-LT"/>
        </w:rPr>
        <w:t>vertės</w:t>
      </w:r>
      <w:r>
        <w:rPr>
          <w:i/>
          <w:iCs/>
          <w:lang w:eastAsia="lt-LT"/>
        </w:rPr>
        <w:t xml:space="preserve"> </w:t>
      </w:r>
      <w:r>
        <w:rPr>
          <w:lang w:eastAsia="lt-LT"/>
        </w:rPr>
        <w:t>mokestį,</w:t>
      </w:r>
      <w:r>
        <w:rPr>
          <w:i/>
          <w:iCs/>
          <w:lang w:eastAsia="lt-LT"/>
        </w:rPr>
        <w:t xml:space="preserve"> </w:t>
      </w:r>
      <w:r>
        <w:rPr>
          <w:lang w:eastAsia="lt-LT"/>
        </w:rPr>
        <w:t>susijusius</w:t>
      </w:r>
      <w:r>
        <w:rPr>
          <w:i/>
          <w:iCs/>
          <w:lang w:eastAsia="lt-LT"/>
        </w:rPr>
        <w:t xml:space="preserve"> </w:t>
      </w:r>
      <w:r>
        <w:rPr>
          <w:lang w:eastAsia="lt-LT"/>
        </w:rPr>
        <w:t>su</w:t>
      </w:r>
      <w:r>
        <w:rPr>
          <w:i/>
          <w:iCs/>
          <w:lang w:eastAsia="lt-LT"/>
        </w:rPr>
        <w:t xml:space="preserve"> </w:t>
      </w:r>
      <w:r>
        <w:rPr>
          <w:lang w:eastAsia="lt-LT"/>
        </w:rPr>
        <w:t>šio</w:t>
      </w:r>
      <w:r>
        <w:rPr>
          <w:i/>
          <w:iCs/>
          <w:lang w:eastAsia="lt-LT"/>
        </w:rPr>
        <w:t xml:space="preserve"> </w:t>
      </w:r>
      <w:r>
        <w:rPr>
          <w:lang w:eastAsia="lt-LT"/>
        </w:rPr>
        <w:t>turto</w:t>
      </w:r>
      <w:r>
        <w:rPr>
          <w:i/>
          <w:iCs/>
          <w:lang w:eastAsia="lt-LT"/>
        </w:rPr>
        <w:t xml:space="preserve"> </w:t>
      </w:r>
      <w:r>
        <w:rPr>
          <w:lang w:eastAsia="lt-LT"/>
        </w:rPr>
        <w:t>įsigijimu.</w:t>
      </w:r>
      <w:r>
        <w:rPr>
          <w:i/>
          <w:iCs/>
          <w:lang w:eastAsia="lt-LT"/>
        </w:rPr>
        <w:t xml:space="preserve"> </w:t>
      </w:r>
      <w:r>
        <w:rPr>
          <w:lang w:eastAsia="lt-LT"/>
        </w:rPr>
        <w:t>Perleidus</w:t>
      </w:r>
      <w:r>
        <w:rPr>
          <w:i/>
          <w:iCs/>
          <w:lang w:eastAsia="lt-LT"/>
        </w:rPr>
        <w:t xml:space="preserve"> </w:t>
      </w:r>
      <w:r>
        <w:rPr>
          <w:lang w:eastAsia="lt-LT"/>
        </w:rPr>
        <w:t>investicijas</w:t>
      </w:r>
      <w:r>
        <w:rPr>
          <w:i/>
          <w:iCs/>
          <w:lang w:eastAsia="lt-LT"/>
        </w:rPr>
        <w:t xml:space="preserve"> </w:t>
      </w:r>
      <w:r>
        <w:rPr>
          <w:lang w:eastAsia="lt-LT"/>
        </w:rPr>
        <w:t>(akcijas),</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apskaičiuojamos</w:t>
      </w:r>
      <w:r>
        <w:rPr>
          <w:i/>
          <w:iCs/>
          <w:lang w:eastAsia="lt-LT"/>
        </w:rPr>
        <w:t xml:space="preserve"> </w:t>
      </w:r>
      <w:r>
        <w:rPr>
          <w:lang w:eastAsia="lt-LT"/>
        </w:rPr>
        <w:t>iš</w:t>
      </w:r>
      <w:r>
        <w:rPr>
          <w:i/>
          <w:iCs/>
          <w:lang w:eastAsia="lt-LT"/>
        </w:rPr>
        <w:t xml:space="preserve"> </w:t>
      </w:r>
      <w:r>
        <w:rPr>
          <w:lang w:eastAsia="lt-LT"/>
        </w:rPr>
        <w:t>investicijų</w:t>
      </w:r>
      <w:r>
        <w:rPr>
          <w:i/>
          <w:iCs/>
          <w:lang w:eastAsia="lt-LT"/>
        </w:rPr>
        <w:t xml:space="preserve"> </w:t>
      </w:r>
      <w:r>
        <w:rPr>
          <w:lang w:eastAsia="lt-LT"/>
        </w:rPr>
        <w:t>(akcijų)</w:t>
      </w:r>
      <w:r>
        <w:rPr>
          <w:i/>
          <w:iCs/>
          <w:lang w:eastAsia="lt-LT"/>
        </w:rPr>
        <w:t xml:space="preserve"> </w:t>
      </w:r>
      <w:r>
        <w:rPr>
          <w:lang w:eastAsia="lt-LT"/>
        </w:rPr>
        <w:t>pardavimo</w:t>
      </w:r>
      <w:r>
        <w:rPr>
          <w:i/>
          <w:iCs/>
          <w:lang w:eastAsia="lt-LT"/>
        </w:rPr>
        <w:t xml:space="preserve"> </w:t>
      </w:r>
      <w:r>
        <w:rPr>
          <w:lang w:eastAsia="lt-LT"/>
        </w:rPr>
        <w:t>kainos</w:t>
      </w:r>
      <w:r>
        <w:rPr>
          <w:i/>
          <w:iCs/>
          <w:lang w:eastAsia="lt-LT"/>
        </w:rPr>
        <w:t xml:space="preserve"> </w:t>
      </w:r>
      <w:r>
        <w:rPr>
          <w:lang w:eastAsia="lt-LT"/>
        </w:rPr>
        <w:t>atėmus</w:t>
      </w:r>
      <w:r>
        <w:rPr>
          <w:i/>
          <w:iCs/>
          <w:lang w:eastAsia="lt-LT"/>
        </w:rPr>
        <w:t xml:space="preserve"> </w:t>
      </w:r>
      <w:r>
        <w:rPr>
          <w:lang w:eastAsia="lt-LT"/>
        </w:rPr>
        <w:t>faktišką</w:t>
      </w:r>
      <w:r>
        <w:rPr>
          <w:i/>
          <w:iCs/>
          <w:lang w:eastAsia="lt-LT"/>
        </w:rPr>
        <w:t xml:space="preserve"> </w:t>
      </w:r>
      <w:r>
        <w:rPr>
          <w:lang w:eastAsia="lt-LT"/>
        </w:rPr>
        <w:t>jų</w:t>
      </w:r>
      <w:r>
        <w:rPr>
          <w:i/>
          <w:iCs/>
          <w:lang w:eastAsia="lt-LT"/>
        </w:rPr>
        <w:t xml:space="preserve"> </w:t>
      </w:r>
      <w:r>
        <w:rPr>
          <w:lang w:eastAsia="lt-LT"/>
        </w:rPr>
        <w:t>įsigijimo</w:t>
      </w:r>
      <w:r>
        <w:rPr>
          <w:i/>
          <w:iCs/>
          <w:lang w:eastAsia="lt-LT"/>
        </w:rPr>
        <w:t xml:space="preserve"> </w:t>
      </w:r>
      <w:r>
        <w:rPr>
          <w:lang w:eastAsia="lt-LT"/>
        </w:rPr>
        <w:t>kainą,</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padidėjusią</w:t>
      </w:r>
      <w:r>
        <w:rPr>
          <w:i/>
          <w:iCs/>
          <w:lang w:eastAsia="lt-LT"/>
        </w:rPr>
        <w:t xml:space="preserve"> </w:t>
      </w:r>
      <w:r>
        <w:rPr>
          <w:lang w:eastAsia="lt-LT"/>
        </w:rPr>
        <w:t>(sumažėjusią)</w:t>
      </w:r>
      <w:r>
        <w:rPr>
          <w:i/>
          <w:iCs/>
          <w:lang w:eastAsia="lt-LT"/>
        </w:rPr>
        <w:t xml:space="preserve"> </w:t>
      </w:r>
      <w:r>
        <w:rPr>
          <w:lang w:eastAsia="lt-LT"/>
        </w:rPr>
        <w:t>investicijų</w:t>
      </w:r>
      <w:r>
        <w:rPr>
          <w:i/>
          <w:iCs/>
          <w:lang w:eastAsia="lt-LT"/>
        </w:rPr>
        <w:t xml:space="preserve"> </w:t>
      </w:r>
      <w:r>
        <w:rPr>
          <w:lang w:eastAsia="lt-LT"/>
        </w:rPr>
        <w:t>į</w:t>
      </w:r>
      <w:r>
        <w:rPr>
          <w:i/>
          <w:iCs/>
          <w:lang w:eastAsia="lt-LT"/>
        </w:rPr>
        <w:t xml:space="preserve"> </w:t>
      </w:r>
      <w:r>
        <w:rPr>
          <w:lang w:eastAsia="lt-LT"/>
        </w:rPr>
        <w:t>asocijuotas</w:t>
      </w:r>
      <w:r>
        <w:rPr>
          <w:i/>
          <w:iCs/>
          <w:lang w:eastAsia="lt-LT"/>
        </w:rPr>
        <w:t xml:space="preserve"> </w:t>
      </w:r>
      <w:r>
        <w:rPr>
          <w:lang w:eastAsia="lt-LT"/>
        </w:rPr>
        <w:t>įmones</w:t>
      </w:r>
      <w:r>
        <w:rPr>
          <w:i/>
          <w:iCs/>
          <w:lang w:eastAsia="lt-LT"/>
        </w:rPr>
        <w:t xml:space="preserve"> </w:t>
      </w:r>
      <w:r>
        <w:rPr>
          <w:lang w:eastAsia="lt-LT"/>
        </w:rPr>
        <w:t>vertę</w:t>
      </w:r>
      <w:r>
        <w:rPr>
          <w:i/>
          <w:iCs/>
          <w:lang w:eastAsia="lt-LT"/>
        </w:rPr>
        <w:t xml:space="preserve"> </w:t>
      </w:r>
      <w:r>
        <w:rPr>
          <w:lang w:eastAsia="lt-LT"/>
        </w:rPr>
        <w:t>dėl</w:t>
      </w:r>
      <w:r>
        <w:rPr>
          <w:i/>
          <w:iCs/>
          <w:lang w:eastAsia="lt-LT"/>
        </w:rPr>
        <w:t xml:space="preserve"> </w:t>
      </w:r>
      <w:r>
        <w:rPr>
          <w:lang w:eastAsia="lt-LT"/>
        </w:rPr>
        <w:t>15</w:t>
      </w:r>
      <w:r>
        <w:rPr>
          <w:i/>
          <w:iCs/>
          <w:lang w:eastAsia="lt-LT"/>
        </w:rPr>
        <w:t xml:space="preserve"> </w:t>
      </w:r>
      <w:r>
        <w:rPr>
          <w:lang w:eastAsia="lt-LT"/>
        </w:rPr>
        <w:t>VAS</w:t>
      </w:r>
      <w:r>
        <w:rPr>
          <w:i/>
          <w:iCs/>
          <w:lang w:eastAsia="lt-LT"/>
        </w:rPr>
        <w:t xml:space="preserve"> </w:t>
      </w:r>
      <w:r>
        <w:rPr>
          <w:lang w:eastAsia="lt-LT"/>
        </w:rPr>
        <w:t>nuostatų</w:t>
      </w:r>
      <w:r>
        <w:rPr>
          <w:i/>
          <w:iCs/>
          <w:lang w:eastAsia="lt-LT"/>
        </w:rPr>
        <w:t xml:space="preserve"> </w:t>
      </w:r>
      <w:r>
        <w:rPr>
          <w:lang w:eastAsia="lt-LT"/>
        </w:rPr>
        <w:t>taikymo.</w:t>
      </w:r>
    </w:p>
    <w:p w14:paraId="63483691" w14:textId="77777777" w:rsidR="00093845" w:rsidRDefault="000D779E">
      <w:pPr>
        <w:spacing w:before="100" w:beforeAutospacing="1" w:after="100" w:afterAutospacing="1"/>
        <w:jc w:val="both"/>
        <w:rPr>
          <w:lang w:eastAsia="lt-LT"/>
        </w:rPr>
      </w:pPr>
      <w:r>
        <w:rPr>
          <w:lang w:eastAsia="lt-LT"/>
        </w:rPr>
        <w:t xml:space="preserve">     26.</w:t>
      </w:r>
      <w:r>
        <w:rPr>
          <w:i/>
          <w:iCs/>
          <w:lang w:eastAsia="lt-LT"/>
        </w:rPr>
        <w:t xml:space="preserve"> </w:t>
      </w:r>
      <w:r>
        <w:rPr>
          <w:lang w:eastAsia="lt-LT"/>
        </w:rPr>
        <w:t>Pagal</w:t>
      </w:r>
      <w:r>
        <w:rPr>
          <w:i/>
          <w:iCs/>
          <w:lang w:eastAsia="lt-LT"/>
        </w:rPr>
        <w:t xml:space="preserve"> </w:t>
      </w:r>
      <w:r>
        <w:rPr>
          <w:lang w:eastAsia="lt-LT"/>
        </w:rPr>
        <w:t>apskaitoje</w:t>
      </w:r>
      <w:r>
        <w:rPr>
          <w:i/>
          <w:iCs/>
          <w:lang w:eastAsia="lt-LT"/>
        </w:rPr>
        <w:t xml:space="preserve"> </w:t>
      </w:r>
      <w:r>
        <w:rPr>
          <w:lang w:eastAsia="lt-LT"/>
        </w:rPr>
        <w:t>taikomo</w:t>
      </w:r>
      <w:r>
        <w:rPr>
          <w:i/>
          <w:iCs/>
          <w:lang w:eastAsia="lt-LT"/>
        </w:rPr>
        <w:t xml:space="preserve"> </w:t>
      </w:r>
      <w:r>
        <w:rPr>
          <w:lang w:eastAsia="lt-LT"/>
        </w:rPr>
        <w:t>20</w:t>
      </w:r>
      <w:r>
        <w:rPr>
          <w:i/>
          <w:iCs/>
          <w:lang w:eastAsia="lt-LT"/>
        </w:rPr>
        <w:t xml:space="preserve"> </w:t>
      </w:r>
      <w:r>
        <w:rPr>
          <w:lang w:eastAsia="lt-LT"/>
        </w:rPr>
        <w:t>VAS</w:t>
      </w:r>
      <w:r>
        <w:rPr>
          <w:i/>
          <w:iCs/>
          <w:lang w:eastAsia="lt-LT"/>
        </w:rPr>
        <w:t xml:space="preserve"> „</w:t>
      </w:r>
      <w:r>
        <w:rPr>
          <w:lang w:eastAsia="lt-LT"/>
        </w:rPr>
        <w:t>Nuoma,</w:t>
      </w:r>
      <w:r>
        <w:rPr>
          <w:i/>
          <w:iCs/>
          <w:lang w:eastAsia="lt-LT"/>
        </w:rPr>
        <w:t xml:space="preserve"> </w:t>
      </w:r>
      <w:r>
        <w:rPr>
          <w:lang w:eastAsia="lt-LT"/>
        </w:rPr>
        <w:t>lizingas</w:t>
      </w:r>
      <w:r>
        <w:rPr>
          <w:i/>
          <w:iCs/>
          <w:lang w:eastAsia="lt-LT"/>
        </w:rPr>
        <w:t xml:space="preserve"> </w:t>
      </w:r>
      <w:r>
        <w:rPr>
          <w:lang w:eastAsia="lt-LT"/>
        </w:rPr>
        <w:t>(finansinė</w:t>
      </w:r>
      <w:r>
        <w:rPr>
          <w:i/>
          <w:iCs/>
          <w:lang w:eastAsia="lt-LT"/>
        </w:rPr>
        <w:t xml:space="preserve"> </w:t>
      </w:r>
      <w:r>
        <w:rPr>
          <w:lang w:eastAsia="lt-LT"/>
        </w:rPr>
        <w:t>nuoma)</w:t>
      </w:r>
      <w:r>
        <w:rPr>
          <w:i/>
          <w:iCs/>
          <w:lang w:eastAsia="lt-LT"/>
        </w:rPr>
        <w:t xml:space="preserve"> </w:t>
      </w:r>
      <w:r>
        <w:rPr>
          <w:lang w:eastAsia="lt-LT"/>
        </w:rPr>
        <w:t>ir</w:t>
      </w:r>
      <w:r>
        <w:rPr>
          <w:i/>
          <w:iCs/>
          <w:lang w:eastAsia="lt-LT"/>
        </w:rPr>
        <w:t xml:space="preserve"> </w:t>
      </w:r>
      <w:r>
        <w:rPr>
          <w:lang w:eastAsia="lt-LT"/>
        </w:rPr>
        <w:t>panauda</w:t>
      </w:r>
      <w:r>
        <w:rPr>
          <w:i/>
          <w:iCs/>
          <w:lang w:eastAsia="lt-LT"/>
        </w:rPr>
        <w:t xml:space="preserve">“ </w:t>
      </w:r>
      <w:r>
        <w:rPr>
          <w:lang w:eastAsia="lt-LT"/>
        </w:rPr>
        <w:t>nuostatas</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sandorio</w:t>
      </w:r>
      <w:r>
        <w:rPr>
          <w:i/>
          <w:iCs/>
          <w:lang w:eastAsia="lt-LT"/>
        </w:rPr>
        <w:t xml:space="preserve"> </w:t>
      </w:r>
      <w:r>
        <w:rPr>
          <w:lang w:eastAsia="lt-LT"/>
        </w:rPr>
        <w:t>ekonominė</w:t>
      </w:r>
      <w:r>
        <w:rPr>
          <w:i/>
          <w:iCs/>
          <w:lang w:eastAsia="lt-LT"/>
        </w:rPr>
        <w:t xml:space="preserve"> </w:t>
      </w:r>
      <w:r>
        <w:rPr>
          <w:lang w:eastAsia="lt-LT"/>
        </w:rPr>
        <w:t>prasmė</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prilyginama</w:t>
      </w:r>
      <w:r>
        <w:rPr>
          <w:i/>
          <w:iCs/>
          <w:lang w:eastAsia="lt-LT"/>
        </w:rPr>
        <w:t xml:space="preserve"> </w:t>
      </w:r>
      <w:r>
        <w:rPr>
          <w:lang w:eastAsia="lt-LT"/>
        </w:rPr>
        <w:t>finansavimui</w:t>
      </w:r>
      <w:r>
        <w:rPr>
          <w:i/>
          <w:iCs/>
          <w:lang w:eastAsia="lt-LT"/>
        </w:rPr>
        <w:t xml:space="preserve"> </w:t>
      </w:r>
      <w:r>
        <w:rPr>
          <w:lang w:eastAsia="lt-LT"/>
        </w:rPr>
        <w:t>už</w:t>
      </w:r>
      <w:r>
        <w:rPr>
          <w:i/>
          <w:iCs/>
          <w:lang w:eastAsia="lt-LT"/>
        </w:rPr>
        <w:t xml:space="preserve"> </w:t>
      </w:r>
      <w:r>
        <w:rPr>
          <w:lang w:eastAsia="lt-LT"/>
        </w:rPr>
        <w:t>užstatą</w:t>
      </w:r>
      <w:r>
        <w:rPr>
          <w:i/>
          <w:iCs/>
          <w:lang w:eastAsia="lt-LT"/>
        </w:rPr>
        <w:t xml:space="preserve"> </w:t>
      </w:r>
      <w:r>
        <w:rPr>
          <w:lang w:eastAsia="lt-LT"/>
        </w:rPr>
        <w:t>(lizingo</w:t>
      </w:r>
      <w:r>
        <w:rPr>
          <w:i/>
          <w:iCs/>
          <w:lang w:eastAsia="lt-LT"/>
        </w:rPr>
        <w:t xml:space="preserve"> </w:t>
      </w:r>
      <w:r>
        <w:rPr>
          <w:lang w:eastAsia="lt-LT"/>
        </w:rPr>
        <w:t>davėjas</w:t>
      </w:r>
      <w:r>
        <w:rPr>
          <w:i/>
          <w:iCs/>
          <w:lang w:eastAsia="lt-LT"/>
        </w:rPr>
        <w:t xml:space="preserve"> </w:t>
      </w:r>
      <w:r>
        <w:rPr>
          <w:lang w:eastAsia="lt-LT"/>
        </w:rPr>
        <w:t>skolina</w:t>
      </w:r>
      <w:r>
        <w:rPr>
          <w:i/>
          <w:iCs/>
          <w:lang w:eastAsia="lt-LT"/>
        </w:rPr>
        <w:t xml:space="preserve"> </w:t>
      </w:r>
      <w:r>
        <w:rPr>
          <w:lang w:eastAsia="lt-LT"/>
        </w:rPr>
        <w:t>lizingo</w:t>
      </w:r>
      <w:r>
        <w:rPr>
          <w:i/>
          <w:iCs/>
          <w:lang w:eastAsia="lt-LT"/>
        </w:rPr>
        <w:t xml:space="preserve"> </w:t>
      </w:r>
      <w:r>
        <w:rPr>
          <w:lang w:eastAsia="lt-LT"/>
        </w:rPr>
        <w:t>gavėjui</w:t>
      </w:r>
      <w:r>
        <w:rPr>
          <w:i/>
          <w:iCs/>
          <w:lang w:eastAsia="lt-LT"/>
        </w:rPr>
        <w:t xml:space="preserve"> </w:t>
      </w:r>
      <w:r>
        <w:rPr>
          <w:lang w:eastAsia="lt-LT"/>
        </w:rPr>
        <w:t>pinigų,</w:t>
      </w:r>
      <w:r>
        <w:rPr>
          <w:i/>
          <w:iCs/>
          <w:lang w:eastAsia="lt-LT"/>
        </w:rPr>
        <w:t xml:space="preserve"> </w:t>
      </w:r>
      <w:r>
        <w:rPr>
          <w:lang w:eastAsia="lt-LT"/>
        </w:rPr>
        <w:t>kaip</w:t>
      </w:r>
      <w:r>
        <w:rPr>
          <w:i/>
          <w:iCs/>
          <w:lang w:eastAsia="lt-LT"/>
        </w:rPr>
        <w:t xml:space="preserve"> </w:t>
      </w:r>
      <w:r>
        <w:rPr>
          <w:lang w:eastAsia="lt-LT"/>
        </w:rPr>
        <w:t>užstatą</w:t>
      </w:r>
      <w:r>
        <w:rPr>
          <w:i/>
          <w:iCs/>
          <w:lang w:eastAsia="lt-LT"/>
        </w:rPr>
        <w:t xml:space="preserve"> </w:t>
      </w:r>
      <w:r>
        <w:rPr>
          <w:lang w:eastAsia="lt-LT"/>
        </w:rPr>
        <w:t>naudodamas</w:t>
      </w:r>
      <w:r>
        <w:rPr>
          <w:i/>
          <w:iCs/>
          <w:lang w:eastAsia="lt-LT"/>
        </w:rPr>
        <w:t xml:space="preserve"> </w:t>
      </w:r>
      <w:r>
        <w:rPr>
          <w:lang w:eastAsia="lt-LT"/>
        </w:rPr>
        <w:t>iš</w:t>
      </w:r>
      <w:r>
        <w:rPr>
          <w:i/>
          <w:iCs/>
          <w:lang w:eastAsia="lt-LT"/>
        </w:rPr>
        <w:t xml:space="preserve"> </w:t>
      </w:r>
      <w:r>
        <w:rPr>
          <w:lang w:eastAsia="lt-LT"/>
        </w:rPr>
        <w:t>jo</w:t>
      </w:r>
      <w:r>
        <w:rPr>
          <w:i/>
          <w:iCs/>
          <w:lang w:eastAsia="lt-LT"/>
        </w:rPr>
        <w:t xml:space="preserve"> </w:t>
      </w:r>
      <w:r>
        <w:rPr>
          <w:lang w:eastAsia="lt-LT"/>
        </w:rPr>
        <w:t>nusipirktą</w:t>
      </w:r>
      <w:r>
        <w:rPr>
          <w:i/>
          <w:iCs/>
          <w:lang w:eastAsia="lt-LT"/>
        </w:rPr>
        <w:t xml:space="preserve"> </w:t>
      </w:r>
      <w:r>
        <w:rPr>
          <w:lang w:eastAsia="lt-LT"/>
        </w:rPr>
        <w:t>ir</w:t>
      </w:r>
      <w:r>
        <w:rPr>
          <w:i/>
          <w:iCs/>
          <w:lang w:eastAsia="lt-LT"/>
        </w:rPr>
        <w:t xml:space="preserve"> </w:t>
      </w:r>
      <w:r>
        <w:rPr>
          <w:lang w:eastAsia="lt-LT"/>
        </w:rPr>
        <w:t>jam</w:t>
      </w:r>
      <w:r>
        <w:rPr>
          <w:i/>
          <w:iCs/>
          <w:lang w:eastAsia="lt-LT"/>
        </w:rPr>
        <w:t xml:space="preserve"> </w:t>
      </w:r>
      <w:r>
        <w:rPr>
          <w:lang w:eastAsia="lt-LT"/>
        </w:rPr>
        <w:t>pagal</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perduotą</w:t>
      </w:r>
      <w:r>
        <w:rPr>
          <w:i/>
          <w:iCs/>
          <w:lang w:eastAsia="lt-LT"/>
        </w:rPr>
        <w:t xml:space="preserve"> </w:t>
      </w:r>
      <w:r>
        <w:rPr>
          <w:lang w:eastAsia="lt-LT"/>
        </w:rPr>
        <w:t>tą</w:t>
      </w:r>
      <w:r>
        <w:rPr>
          <w:i/>
          <w:iCs/>
          <w:lang w:eastAsia="lt-LT"/>
        </w:rPr>
        <w:t xml:space="preserve"> </w:t>
      </w:r>
      <w:r>
        <w:rPr>
          <w:lang w:eastAsia="lt-LT"/>
        </w:rPr>
        <w:t>patį</w:t>
      </w:r>
      <w:r>
        <w:rPr>
          <w:i/>
          <w:iCs/>
          <w:lang w:eastAsia="lt-LT"/>
        </w:rPr>
        <w:t xml:space="preserve"> </w:t>
      </w:r>
      <w:r>
        <w:rPr>
          <w:lang w:eastAsia="lt-LT"/>
        </w:rPr>
        <w:t>turtą).</w:t>
      </w:r>
      <w:r>
        <w:rPr>
          <w:i/>
          <w:iCs/>
          <w:lang w:eastAsia="lt-LT"/>
        </w:rPr>
        <w:t xml:space="preserve"> </w:t>
      </w:r>
    </w:p>
    <w:p w14:paraId="646240E6" w14:textId="77777777" w:rsidR="00093845" w:rsidRDefault="000D779E">
      <w:pPr>
        <w:spacing w:before="100" w:beforeAutospacing="1" w:after="100" w:afterAutospacing="1"/>
        <w:jc w:val="both"/>
        <w:rPr>
          <w:lang w:eastAsia="lt-LT"/>
        </w:rPr>
      </w:pPr>
      <w:r>
        <w:rPr>
          <w:lang w:eastAsia="lt-LT"/>
        </w:rPr>
        <w:t xml:space="preserve">     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sandoris</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laikomas</w:t>
      </w:r>
      <w:r>
        <w:rPr>
          <w:i/>
          <w:iCs/>
          <w:lang w:eastAsia="lt-LT"/>
        </w:rPr>
        <w:t xml:space="preserve"> </w:t>
      </w:r>
      <w:r>
        <w:rPr>
          <w:lang w:eastAsia="lt-LT"/>
        </w:rPr>
        <w:t>finansavimo</w:t>
      </w:r>
      <w:r>
        <w:rPr>
          <w:i/>
          <w:iCs/>
          <w:lang w:eastAsia="lt-LT"/>
        </w:rPr>
        <w:t xml:space="preserve"> </w:t>
      </w:r>
      <w:r>
        <w:rPr>
          <w:lang w:eastAsia="lt-LT"/>
        </w:rPr>
        <w:t>už</w:t>
      </w:r>
      <w:r>
        <w:rPr>
          <w:i/>
          <w:iCs/>
          <w:lang w:eastAsia="lt-LT"/>
        </w:rPr>
        <w:t xml:space="preserve"> </w:t>
      </w:r>
      <w:r>
        <w:rPr>
          <w:lang w:eastAsia="lt-LT"/>
        </w:rPr>
        <w:t>užstatą</w:t>
      </w:r>
      <w:r>
        <w:rPr>
          <w:i/>
          <w:iCs/>
          <w:lang w:eastAsia="lt-LT"/>
        </w:rPr>
        <w:t xml:space="preserve"> </w:t>
      </w:r>
      <w:r>
        <w:rPr>
          <w:lang w:eastAsia="lt-LT"/>
        </w:rPr>
        <w:t>sandoriu,</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p>
    <w:p w14:paraId="2860AACC" w14:textId="77777777" w:rsidR="00093845" w:rsidRDefault="000D779E">
      <w:pPr>
        <w:spacing w:before="100" w:beforeAutospacing="1" w:after="100" w:afterAutospacing="1"/>
        <w:jc w:val="both"/>
        <w:rPr>
          <w:lang w:eastAsia="lt-LT"/>
        </w:rPr>
      </w:pPr>
      <w:r>
        <w:rPr>
          <w:lang w:eastAsia="lt-LT"/>
        </w:rPr>
        <w:t>– numatytas</w:t>
      </w:r>
      <w:r>
        <w:rPr>
          <w:i/>
          <w:iCs/>
          <w:lang w:eastAsia="lt-LT"/>
        </w:rPr>
        <w:t xml:space="preserve"> </w:t>
      </w:r>
      <w:r>
        <w:rPr>
          <w:lang w:eastAsia="lt-LT"/>
        </w:rPr>
        <w:t>nuosavybės</w:t>
      </w:r>
      <w:r>
        <w:rPr>
          <w:i/>
          <w:iCs/>
          <w:lang w:eastAsia="lt-LT"/>
        </w:rPr>
        <w:t xml:space="preserve"> </w:t>
      </w:r>
      <w:r>
        <w:rPr>
          <w:lang w:eastAsia="lt-LT"/>
        </w:rPr>
        <w:t>teisės</w:t>
      </w:r>
      <w:r>
        <w:rPr>
          <w:i/>
          <w:iCs/>
          <w:lang w:eastAsia="lt-LT"/>
        </w:rPr>
        <w:t xml:space="preserve"> </w:t>
      </w:r>
      <w:r>
        <w:rPr>
          <w:lang w:eastAsia="lt-LT"/>
        </w:rPr>
        <w:t>perėjimas</w:t>
      </w:r>
      <w:r>
        <w:rPr>
          <w:i/>
          <w:iCs/>
          <w:lang w:eastAsia="lt-LT"/>
        </w:rPr>
        <w:t xml:space="preserve"> </w:t>
      </w:r>
      <w:r>
        <w:rPr>
          <w:lang w:eastAsia="lt-LT"/>
        </w:rPr>
        <w:t>ir</w:t>
      </w:r>
      <w:r>
        <w:rPr>
          <w:i/>
          <w:iCs/>
          <w:lang w:eastAsia="lt-LT"/>
        </w:rPr>
        <w:t xml:space="preserve"> </w:t>
      </w:r>
    </w:p>
    <w:p w14:paraId="1F851586" w14:textId="77777777" w:rsidR="00093845" w:rsidRDefault="000D779E">
      <w:pPr>
        <w:spacing w:before="100" w:beforeAutospacing="1" w:after="100" w:afterAutospacing="1"/>
        <w:jc w:val="both"/>
        <w:rPr>
          <w:lang w:eastAsia="lt-LT"/>
        </w:rPr>
      </w:pPr>
      <w:r>
        <w:rPr>
          <w:lang w:eastAsia="lt-LT"/>
        </w:rPr>
        <w:lastRenderedPageBreak/>
        <w:t>– turtas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atperkamas</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kaina,</w:t>
      </w:r>
      <w:r>
        <w:rPr>
          <w:i/>
          <w:iCs/>
          <w:lang w:eastAsia="lt-LT"/>
        </w:rPr>
        <w:t xml:space="preserve"> </w:t>
      </w:r>
      <w:r>
        <w:rPr>
          <w:lang w:eastAsia="lt-LT"/>
        </w:rPr>
        <w:t>kuria</w:t>
      </w:r>
      <w:r>
        <w:rPr>
          <w:i/>
          <w:iCs/>
          <w:lang w:eastAsia="lt-LT"/>
        </w:rPr>
        <w:t xml:space="preserve"> </w:t>
      </w:r>
      <w:r>
        <w:rPr>
          <w:lang w:eastAsia="lt-LT"/>
        </w:rPr>
        <w:t>jis</w:t>
      </w:r>
      <w:r>
        <w:rPr>
          <w:i/>
          <w:iCs/>
          <w:lang w:eastAsia="lt-LT"/>
        </w:rPr>
        <w:t xml:space="preserve"> </w:t>
      </w:r>
      <w:r>
        <w:rPr>
          <w:lang w:eastAsia="lt-LT"/>
        </w:rPr>
        <w:t>prieš</w:t>
      </w:r>
      <w:r>
        <w:rPr>
          <w:i/>
          <w:iCs/>
          <w:lang w:eastAsia="lt-LT"/>
        </w:rPr>
        <w:t xml:space="preserve"> </w:t>
      </w:r>
      <w:r>
        <w:rPr>
          <w:lang w:eastAsia="lt-LT"/>
        </w:rPr>
        <w:t>tai</w:t>
      </w:r>
      <w:r>
        <w:rPr>
          <w:i/>
          <w:iCs/>
          <w:lang w:eastAsia="lt-LT"/>
        </w:rPr>
        <w:t xml:space="preserve"> </w:t>
      </w:r>
      <w:r>
        <w:rPr>
          <w:lang w:eastAsia="lt-LT"/>
        </w:rPr>
        <w:t>buvo</w:t>
      </w:r>
      <w:r>
        <w:rPr>
          <w:i/>
          <w:iCs/>
          <w:lang w:eastAsia="lt-LT"/>
        </w:rPr>
        <w:t xml:space="preserve"> </w:t>
      </w:r>
      <w:r>
        <w:rPr>
          <w:lang w:eastAsia="lt-LT"/>
        </w:rPr>
        <w:t>parduotas</w:t>
      </w:r>
      <w:r>
        <w:rPr>
          <w:i/>
          <w:iCs/>
          <w:lang w:eastAsia="lt-LT"/>
        </w:rPr>
        <w:t xml:space="preserve"> </w:t>
      </w:r>
      <w:r>
        <w:rPr>
          <w:lang w:eastAsia="lt-LT"/>
        </w:rPr>
        <w:t>tam</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ir</w:t>
      </w:r>
      <w:r>
        <w:rPr>
          <w:i/>
          <w:iCs/>
          <w:lang w:eastAsia="lt-LT"/>
        </w:rPr>
        <w:t xml:space="preserve"> </w:t>
      </w:r>
    </w:p>
    <w:p w14:paraId="4F977F1C" w14:textId="77777777" w:rsidR="00093845" w:rsidRDefault="000D779E">
      <w:pPr>
        <w:spacing w:before="100" w:beforeAutospacing="1" w:after="100" w:afterAutospacing="1"/>
        <w:jc w:val="both"/>
        <w:rPr>
          <w:lang w:eastAsia="lt-LT"/>
        </w:rPr>
      </w:pPr>
      <w:r>
        <w:rPr>
          <w:lang w:eastAsia="lt-LT"/>
        </w:rPr>
        <w:t>– sandoris</w:t>
      </w:r>
      <w:r>
        <w:rPr>
          <w:i/>
          <w:iCs/>
          <w:lang w:eastAsia="lt-LT"/>
        </w:rPr>
        <w:t xml:space="preserve"> </w:t>
      </w:r>
      <w:r>
        <w:rPr>
          <w:lang w:eastAsia="lt-LT"/>
        </w:rPr>
        <w:t>visiškai</w:t>
      </w:r>
      <w:r>
        <w:rPr>
          <w:i/>
          <w:iCs/>
          <w:lang w:eastAsia="lt-LT"/>
        </w:rPr>
        <w:t xml:space="preserve"> </w:t>
      </w:r>
      <w:r>
        <w:rPr>
          <w:lang w:eastAsia="lt-LT"/>
        </w:rPr>
        <w:t>įvykdomas.</w:t>
      </w:r>
    </w:p>
    <w:p w14:paraId="01F42F51" w14:textId="77777777" w:rsidR="00093845" w:rsidRDefault="000D779E">
      <w:pPr>
        <w:spacing w:before="100" w:beforeAutospacing="1" w:after="100" w:afterAutospacing="1"/>
        <w:jc w:val="both"/>
        <w:rPr>
          <w:lang w:eastAsia="lt-LT"/>
        </w:rPr>
      </w:pP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sandoris,</w:t>
      </w:r>
      <w:r>
        <w:rPr>
          <w:i/>
          <w:iCs/>
          <w:lang w:eastAsia="lt-LT"/>
        </w:rPr>
        <w:t xml:space="preserve"> </w:t>
      </w:r>
      <w:r>
        <w:rPr>
          <w:lang w:eastAsia="lt-LT"/>
        </w:rPr>
        <w:t>jei</w:t>
      </w:r>
      <w:r>
        <w:rPr>
          <w:i/>
          <w:iCs/>
          <w:lang w:eastAsia="lt-LT"/>
        </w:rPr>
        <w:t xml:space="preserve"> </w:t>
      </w:r>
      <w:r>
        <w:rPr>
          <w:lang w:eastAsia="lt-LT"/>
        </w:rPr>
        <w:t>įvykdomos</w:t>
      </w:r>
      <w:r>
        <w:rPr>
          <w:i/>
          <w:iCs/>
          <w:lang w:eastAsia="lt-LT"/>
        </w:rPr>
        <w:t xml:space="preserve"> </w:t>
      </w:r>
      <w:r>
        <w:rPr>
          <w:lang w:eastAsia="lt-LT"/>
        </w:rPr>
        <w:t>visos</w:t>
      </w:r>
      <w:r>
        <w:rPr>
          <w:i/>
          <w:iCs/>
          <w:lang w:eastAsia="lt-LT"/>
        </w:rPr>
        <w:t xml:space="preserve"> </w:t>
      </w:r>
      <w:r>
        <w:rPr>
          <w:lang w:eastAsia="lt-LT"/>
        </w:rPr>
        <w:t>aukščiau</w:t>
      </w:r>
      <w:r>
        <w:rPr>
          <w:i/>
          <w:iCs/>
          <w:lang w:eastAsia="lt-LT"/>
        </w:rPr>
        <w:t xml:space="preserve"> </w:t>
      </w:r>
      <w:r>
        <w:rPr>
          <w:lang w:eastAsia="lt-LT"/>
        </w:rPr>
        <w:t>minėtos</w:t>
      </w:r>
      <w:r>
        <w:rPr>
          <w:i/>
          <w:iCs/>
          <w:lang w:eastAsia="lt-LT"/>
        </w:rPr>
        <w:t xml:space="preserve"> </w:t>
      </w:r>
      <w:r>
        <w:rPr>
          <w:lang w:eastAsia="lt-LT"/>
        </w:rPr>
        <w:t>sąlygos,</w:t>
      </w:r>
      <w:r>
        <w:rPr>
          <w:i/>
          <w:iCs/>
          <w:lang w:eastAsia="lt-LT"/>
        </w:rPr>
        <w:t xml:space="preserve"> </w:t>
      </w:r>
      <w:r>
        <w:rPr>
          <w:lang w:eastAsia="lt-LT"/>
        </w:rPr>
        <w:t>apmokestinamas</w:t>
      </w:r>
      <w:r>
        <w:rPr>
          <w:i/>
          <w:iCs/>
          <w:lang w:eastAsia="lt-LT"/>
        </w:rPr>
        <w:t xml:space="preserve"> </w:t>
      </w:r>
      <w:r>
        <w:rPr>
          <w:lang w:eastAsia="lt-LT"/>
        </w:rPr>
        <w:t>tokia</w:t>
      </w:r>
      <w:r>
        <w:rPr>
          <w:i/>
          <w:iCs/>
          <w:lang w:eastAsia="lt-LT"/>
        </w:rPr>
        <w:t xml:space="preserve"> </w:t>
      </w:r>
      <w:r>
        <w:rPr>
          <w:lang w:eastAsia="lt-LT"/>
        </w:rPr>
        <w:t>tvarka:</w:t>
      </w:r>
    </w:p>
    <w:p w14:paraId="0FC7D73F" w14:textId="77777777" w:rsidR="00093845" w:rsidRDefault="000D779E">
      <w:pPr>
        <w:spacing w:before="100" w:beforeAutospacing="1" w:after="100" w:afterAutospacing="1"/>
        <w:jc w:val="both"/>
        <w:rPr>
          <w:lang w:eastAsia="lt-LT"/>
        </w:rPr>
      </w:pPr>
      <w:r>
        <w:rPr>
          <w:lang w:eastAsia="lt-LT"/>
        </w:rPr>
        <w:t>–</w:t>
      </w:r>
      <w:r>
        <w:rPr>
          <w:i/>
          <w:iCs/>
          <w:lang w:eastAsia="lt-LT"/>
        </w:rPr>
        <w:t xml:space="preserve"> </w:t>
      </w:r>
      <w:r>
        <w:rPr>
          <w:lang w:eastAsia="lt-LT"/>
        </w:rPr>
        <w:t>vienetui</w:t>
      </w:r>
      <w:r>
        <w:rPr>
          <w:i/>
          <w:iCs/>
          <w:lang w:eastAsia="lt-LT"/>
        </w:rPr>
        <w:t xml:space="preserve"> </w:t>
      </w:r>
      <w:r>
        <w:rPr>
          <w:lang w:eastAsia="lt-LT"/>
        </w:rPr>
        <w:t>perleidus</w:t>
      </w:r>
      <w:r>
        <w:rPr>
          <w:i/>
          <w:iCs/>
          <w:lang w:eastAsia="lt-LT"/>
        </w:rPr>
        <w:t xml:space="preserve"> </w:t>
      </w:r>
      <w:r>
        <w:rPr>
          <w:lang w:eastAsia="lt-LT"/>
        </w:rPr>
        <w:t>ilgalaikį</w:t>
      </w:r>
      <w:r>
        <w:rPr>
          <w:i/>
          <w:iCs/>
          <w:lang w:eastAsia="lt-LT"/>
        </w:rPr>
        <w:t xml:space="preserve"> </w:t>
      </w:r>
      <w:r>
        <w:rPr>
          <w:lang w:eastAsia="lt-LT"/>
        </w:rPr>
        <w:t>turtą</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atsiradusios</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pajamos</w:t>
      </w:r>
      <w:r>
        <w:rPr>
          <w:i/>
          <w:iCs/>
          <w:lang w:eastAsia="lt-LT"/>
        </w:rPr>
        <w:t xml:space="preserve"> </w:t>
      </w:r>
      <w:r>
        <w:rPr>
          <w:lang w:eastAsia="lt-LT"/>
        </w:rPr>
        <w:t>arba</w:t>
      </w:r>
      <w:r>
        <w:rPr>
          <w:i/>
          <w:iCs/>
          <w:lang w:eastAsia="lt-LT"/>
        </w:rPr>
        <w:t xml:space="preserve"> </w:t>
      </w:r>
      <w:r>
        <w:rPr>
          <w:lang w:eastAsia="lt-LT"/>
        </w:rPr>
        <w:t>nuostoliai</w:t>
      </w:r>
      <w:r>
        <w:rPr>
          <w:i/>
          <w:iCs/>
          <w:lang w:eastAsia="lt-LT"/>
        </w:rPr>
        <w:t xml:space="preserve"> </w:t>
      </w:r>
      <w:r>
        <w:rPr>
          <w:lang w:eastAsia="lt-LT"/>
        </w:rPr>
        <w:t>(turto</w:t>
      </w:r>
      <w:r>
        <w:rPr>
          <w:i/>
          <w:iCs/>
          <w:lang w:eastAsia="lt-LT"/>
        </w:rPr>
        <w:t xml:space="preserve"> </w:t>
      </w:r>
      <w:r>
        <w:rPr>
          <w:lang w:eastAsia="lt-LT"/>
        </w:rPr>
        <w:t>pardavimo</w:t>
      </w:r>
      <w:r>
        <w:rPr>
          <w:i/>
          <w:iCs/>
          <w:lang w:eastAsia="lt-LT"/>
        </w:rPr>
        <w:t xml:space="preserve"> </w:t>
      </w:r>
      <w:r>
        <w:rPr>
          <w:lang w:eastAsia="lt-LT"/>
        </w:rPr>
        <w:t>ir</w:t>
      </w:r>
      <w:r>
        <w:rPr>
          <w:i/>
          <w:iCs/>
          <w:lang w:eastAsia="lt-LT"/>
        </w:rPr>
        <w:t xml:space="preserve"> </w:t>
      </w:r>
      <w:r>
        <w:rPr>
          <w:lang w:eastAsia="lt-LT"/>
        </w:rPr>
        <w:t>jo</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nenudėvėtos</w:t>
      </w:r>
      <w:r>
        <w:rPr>
          <w:i/>
          <w:iCs/>
          <w:lang w:eastAsia="lt-LT"/>
        </w:rPr>
        <w:t xml:space="preserve"> </w:t>
      </w:r>
      <w:r>
        <w:rPr>
          <w:lang w:eastAsia="lt-LT"/>
        </w:rPr>
        <w:t>(ar</w:t>
      </w:r>
      <w:r>
        <w:rPr>
          <w:i/>
          <w:iCs/>
          <w:lang w:eastAsia="lt-LT"/>
        </w:rPr>
        <w:t xml:space="preserve"> </w:t>
      </w:r>
      <w:r>
        <w:rPr>
          <w:lang w:eastAsia="lt-LT"/>
        </w:rPr>
        <w:t>neamortizuotos)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skirtumas),</w:t>
      </w:r>
      <w:r>
        <w:rPr>
          <w:i/>
          <w:iCs/>
          <w:lang w:eastAsia="lt-LT"/>
        </w:rPr>
        <w:t xml:space="preserve"> </w:t>
      </w:r>
      <w:r>
        <w:rPr>
          <w:lang w:eastAsia="lt-LT"/>
        </w:rPr>
        <w:t>nelaikomos</w:t>
      </w:r>
      <w:r>
        <w:rPr>
          <w:i/>
          <w:iCs/>
          <w:lang w:eastAsia="lt-LT"/>
        </w:rPr>
        <w:t xml:space="preserve"> </w:t>
      </w:r>
      <w:r>
        <w:rPr>
          <w:lang w:eastAsia="lt-LT"/>
        </w:rPr>
        <w:t>to</w:t>
      </w:r>
      <w:r>
        <w:rPr>
          <w:i/>
          <w:iCs/>
          <w:lang w:eastAsia="lt-LT"/>
        </w:rPr>
        <w:t xml:space="preserve"> </w:t>
      </w:r>
      <w:r>
        <w:rPr>
          <w:lang w:eastAsia="lt-LT"/>
        </w:rPr>
        <w:t>vieneto</w:t>
      </w:r>
      <w:r>
        <w:rPr>
          <w:i/>
          <w:iCs/>
          <w:lang w:eastAsia="lt-LT"/>
        </w:rPr>
        <w:t xml:space="preserve"> </w:t>
      </w:r>
      <w:r>
        <w:rPr>
          <w:lang w:eastAsia="lt-LT"/>
        </w:rPr>
        <w:t>pajamomis</w:t>
      </w:r>
      <w:r>
        <w:rPr>
          <w:i/>
          <w:iCs/>
          <w:lang w:eastAsia="lt-LT"/>
        </w:rPr>
        <w:t xml:space="preserve"> </w:t>
      </w:r>
      <w:r>
        <w:rPr>
          <w:lang w:eastAsia="lt-LT"/>
        </w:rPr>
        <w:t>ar</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(apskaitoje</w:t>
      </w:r>
      <w:r>
        <w:rPr>
          <w:i/>
          <w:iCs/>
          <w:lang w:eastAsia="lt-LT"/>
        </w:rPr>
        <w:t xml:space="preserve"> </w:t>
      </w:r>
      <w:r>
        <w:rPr>
          <w:lang w:eastAsia="lt-LT"/>
        </w:rPr>
        <w:t>apskaičiuotas</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pelnas</w:t>
      </w:r>
      <w:r>
        <w:rPr>
          <w:i/>
          <w:iCs/>
          <w:lang w:eastAsia="lt-LT"/>
        </w:rPr>
        <w:t xml:space="preserve"> </w:t>
      </w:r>
      <w:r>
        <w:rPr>
          <w:lang w:eastAsia="lt-LT"/>
        </w:rPr>
        <w:t>(nuostoliai)</w:t>
      </w:r>
      <w:r>
        <w:rPr>
          <w:i/>
          <w:iCs/>
          <w:lang w:eastAsia="lt-LT"/>
        </w:rPr>
        <w:t xml:space="preserve"> </w:t>
      </w:r>
      <w:r>
        <w:rPr>
          <w:lang w:eastAsia="lt-LT"/>
        </w:rPr>
        <w:t>nėra</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p>
    <w:p w14:paraId="009954CC" w14:textId="77777777" w:rsidR="00093845" w:rsidRDefault="000D779E">
      <w:pPr>
        <w:spacing w:before="100" w:beforeAutospacing="1" w:after="100" w:afterAutospacing="1"/>
        <w:jc w:val="both"/>
        <w:rPr>
          <w:lang w:eastAsia="lt-LT"/>
        </w:rPr>
      </w:pPr>
      <w:r>
        <w:rPr>
          <w:lang w:eastAsia="lt-LT"/>
        </w:rPr>
        <w:t>–</w:t>
      </w:r>
      <w:r>
        <w:rPr>
          <w:i/>
          <w:iCs/>
          <w:lang w:eastAsia="lt-LT"/>
        </w:rPr>
        <w:t xml:space="preserve"> </w:t>
      </w:r>
      <w:r>
        <w:rPr>
          <w:lang w:eastAsia="lt-LT"/>
        </w:rPr>
        <w:t>vienetui</w:t>
      </w:r>
      <w:r>
        <w:rPr>
          <w:i/>
          <w:iCs/>
          <w:lang w:eastAsia="lt-LT"/>
        </w:rPr>
        <w:t xml:space="preserve"> </w:t>
      </w:r>
      <w:r>
        <w:rPr>
          <w:lang w:eastAsia="lt-LT"/>
        </w:rPr>
        <w:t>tą</w:t>
      </w:r>
      <w:r>
        <w:rPr>
          <w:i/>
          <w:iCs/>
          <w:lang w:eastAsia="lt-LT"/>
        </w:rPr>
        <w:t xml:space="preserve"> </w:t>
      </w:r>
      <w:r>
        <w:rPr>
          <w:lang w:eastAsia="lt-LT"/>
        </w:rPr>
        <w:t>patį</w:t>
      </w:r>
      <w:r>
        <w:rPr>
          <w:i/>
          <w:iCs/>
          <w:lang w:eastAsia="lt-LT"/>
        </w:rPr>
        <w:t xml:space="preserve"> </w:t>
      </w:r>
      <w:r>
        <w:rPr>
          <w:lang w:eastAsia="lt-LT"/>
        </w:rPr>
        <w:t>ilgalaikį</w:t>
      </w:r>
      <w:r>
        <w:rPr>
          <w:i/>
          <w:iCs/>
          <w:lang w:eastAsia="lt-LT"/>
        </w:rPr>
        <w:t xml:space="preserve"> </w:t>
      </w:r>
      <w:r>
        <w:rPr>
          <w:lang w:eastAsia="lt-LT"/>
        </w:rPr>
        <w:t>turtą</w:t>
      </w:r>
      <w:r>
        <w:rPr>
          <w:i/>
          <w:iCs/>
          <w:lang w:eastAsia="lt-LT"/>
        </w:rPr>
        <w:t xml:space="preserve"> </w:t>
      </w:r>
      <w:r>
        <w:rPr>
          <w:lang w:eastAsia="lt-LT"/>
        </w:rPr>
        <w:t>gavus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pagal</w:t>
      </w:r>
      <w:r>
        <w:rPr>
          <w:i/>
          <w:iCs/>
          <w:lang w:eastAsia="lt-LT"/>
        </w:rPr>
        <w:t xml:space="preserve"> </w:t>
      </w:r>
      <w:r>
        <w:rPr>
          <w:lang w:eastAsia="lt-LT"/>
        </w:rPr>
        <w:t>atgalinės</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nusidėvėjimo</w:t>
      </w:r>
      <w:r>
        <w:rPr>
          <w:i/>
          <w:iCs/>
          <w:lang w:eastAsia="lt-LT"/>
        </w:rPr>
        <w:t xml:space="preserve"> </w:t>
      </w:r>
      <w:r>
        <w:rPr>
          <w:lang w:eastAsia="lt-LT"/>
        </w:rPr>
        <w:t>(ar</w:t>
      </w:r>
      <w:r>
        <w:rPr>
          <w:i/>
          <w:iCs/>
          <w:lang w:eastAsia="lt-LT"/>
        </w:rPr>
        <w:t xml:space="preserve"> </w:t>
      </w:r>
      <w:r>
        <w:rPr>
          <w:lang w:eastAsia="lt-LT"/>
        </w:rPr>
        <w:t>amortizacijos)</w:t>
      </w:r>
      <w:r>
        <w:rPr>
          <w:i/>
          <w:iCs/>
          <w:lang w:eastAsia="lt-LT"/>
        </w:rPr>
        <w:t xml:space="preserve"> </w:t>
      </w:r>
      <w:r>
        <w:rPr>
          <w:lang w:eastAsia="lt-LT"/>
        </w:rPr>
        <w:t>skaičiavimas</w:t>
      </w:r>
      <w:r>
        <w:rPr>
          <w:i/>
          <w:iCs/>
          <w:lang w:eastAsia="lt-LT"/>
        </w:rPr>
        <w:t xml:space="preserve"> </w:t>
      </w:r>
      <w:r>
        <w:rPr>
          <w:lang w:eastAsia="lt-LT"/>
        </w:rPr>
        <w:t>tęsiamas</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(ar</w:t>
      </w:r>
      <w:r>
        <w:rPr>
          <w:i/>
          <w:iCs/>
          <w:lang w:eastAsia="lt-LT"/>
        </w:rPr>
        <w:t xml:space="preserve"> </w:t>
      </w:r>
      <w:r>
        <w:rPr>
          <w:lang w:eastAsia="lt-LT"/>
        </w:rPr>
        <w:t>neamortizuotos)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 (padidintos sutarties sudarymo mokesčio suma),</w:t>
      </w:r>
      <w:r>
        <w:rPr>
          <w:i/>
          <w:iCs/>
          <w:lang w:eastAsia="lt-LT"/>
        </w:rPr>
        <w:t xml:space="preserve"> </w:t>
      </w:r>
      <w:r>
        <w:rPr>
          <w:lang w:eastAsia="lt-LT"/>
        </w:rPr>
        <w:t>įskaitant</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naujoji</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mažesnė</w:t>
      </w:r>
      <w:r>
        <w:rPr>
          <w:i/>
          <w:iCs/>
          <w:lang w:eastAsia="lt-LT"/>
        </w:rPr>
        <w:t xml:space="preserve"> </w:t>
      </w:r>
      <w:r>
        <w:rPr>
          <w:lang w:eastAsia="lt-LT"/>
        </w:rPr>
        <w:t>už</w:t>
      </w:r>
      <w:r>
        <w:rPr>
          <w:i/>
          <w:iCs/>
          <w:lang w:eastAsia="lt-LT"/>
        </w:rPr>
        <w:t xml:space="preserve"> </w:t>
      </w:r>
      <w:r>
        <w:rPr>
          <w:lang w:eastAsia="lt-LT"/>
        </w:rPr>
        <w:t>iki</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šio</w:t>
      </w:r>
      <w:r>
        <w:rPr>
          <w:i/>
          <w:iCs/>
          <w:lang w:eastAsia="lt-LT"/>
        </w:rPr>
        <w:t xml:space="preserve"> </w:t>
      </w:r>
      <w:r>
        <w:rPr>
          <w:lang w:eastAsia="lt-LT"/>
        </w:rPr>
        <w:t>turto</w:t>
      </w:r>
      <w:r>
        <w:rPr>
          <w:i/>
          <w:iCs/>
          <w:lang w:eastAsia="lt-LT"/>
        </w:rPr>
        <w:t xml:space="preserve"> </w:t>
      </w:r>
      <w:r>
        <w:rPr>
          <w:lang w:eastAsia="lt-LT"/>
        </w:rPr>
        <w:t>nenudėvėtąją</w:t>
      </w:r>
      <w:r>
        <w:rPr>
          <w:i/>
          <w:iCs/>
          <w:lang w:eastAsia="lt-LT"/>
        </w:rPr>
        <w:t xml:space="preserve"> </w:t>
      </w:r>
      <w:r>
        <w:rPr>
          <w:lang w:eastAsia="lt-LT"/>
        </w:rPr>
        <w:t>įsigijimo</w:t>
      </w:r>
      <w:r>
        <w:rPr>
          <w:i/>
          <w:iCs/>
          <w:lang w:eastAsia="lt-LT"/>
        </w:rPr>
        <w:t xml:space="preserve"> </w:t>
      </w:r>
      <w:r>
        <w:rPr>
          <w:lang w:eastAsia="lt-LT"/>
        </w:rPr>
        <w:t>kainą.</w:t>
      </w:r>
    </w:p>
    <w:p w14:paraId="1556D67A" w14:textId="77777777" w:rsidR="00093845" w:rsidRDefault="000D779E">
      <w:pPr>
        <w:spacing w:before="100" w:beforeAutospacing="1" w:after="100" w:afterAutospacing="1"/>
        <w:jc w:val="both"/>
        <w:rPr>
          <w:lang w:eastAsia="lt-LT"/>
        </w:rPr>
      </w:pPr>
      <w:r>
        <w:rPr>
          <w:lang w:eastAsia="lt-LT"/>
        </w:rPr>
        <w:t> </w:t>
      </w:r>
      <w:r>
        <w:rPr>
          <w:bCs/>
          <w:lang w:eastAsia="lt-LT"/>
        </w:rPr>
        <w:t>Pavyzdžiai</w:t>
      </w:r>
    </w:p>
    <w:p w14:paraId="3F6EBAE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1.</w:t>
      </w:r>
      <w:r>
        <w:rPr>
          <w:i/>
          <w:iCs/>
          <w:lang w:eastAsia="lt-LT"/>
        </w:rPr>
        <w:t xml:space="preserve"> </w:t>
      </w:r>
      <w:r w:rsidR="00396F19">
        <w:rPr>
          <w:lang w:eastAsia="lt-LT"/>
        </w:rPr>
        <w:t>20X</w:t>
      </w:r>
      <w:r>
        <w:rPr>
          <w:lang w:eastAsia="lt-LT"/>
        </w:rPr>
        <w:t>5</w:t>
      </w:r>
      <w:r>
        <w:rPr>
          <w:i/>
          <w:iCs/>
          <w:lang w:eastAsia="lt-LT"/>
        </w:rPr>
        <w:t xml:space="preserve"> </w:t>
      </w:r>
      <w:r>
        <w:rPr>
          <w:lang w:eastAsia="lt-LT"/>
        </w:rPr>
        <w:t>m.</w:t>
      </w:r>
      <w:r>
        <w:rPr>
          <w:i/>
          <w:iCs/>
          <w:lang w:eastAsia="lt-LT"/>
        </w:rPr>
        <w:t xml:space="preserve"> </w:t>
      </w:r>
      <w:r>
        <w:rPr>
          <w:lang w:eastAsia="lt-LT"/>
        </w:rPr>
        <w:t>sausio</w:t>
      </w:r>
      <w:r>
        <w:rPr>
          <w:i/>
          <w:iCs/>
          <w:lang w:eastAsia="lt-LT"/>
        </w:rPr>
        <w:t xml:space="preserve"> </w:t>
      </w:r>
      <w:r>
        <w:rPr>
          <w:lang w:eastAsia="lt-LT"/>
        </w:rPr>
        <w:t>mėn.</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gavusi</w:t>
      </w:r>
      <w:r>
        <w:rPr>
          <w:i/>
          <w:iCs/>
          <w:lang w:eastAsia="lt-LT"/>
        </w:rPr>
        <w:t xml:space="preserve"> </w:t>
      </w:r>
      <w:r>
        <w:rPr>
          <w:lang w:eastAsia="lt-LT"/>
        </w:rPr>
        <w:t>banko</w:t>
      </w:r>
      <w:r>
        <w:rPr>
          <w:i/>
          <w:iCs/>
          <w:lang w:eastAsia="lt-LT"/>
        </w:rPr>
        <w:t xml:space="preserve"> </w:t>
      </w:r>
      <w:r>
        <w:rPr>
          <w:lang w:eastAsia="lt-LT"/>
        </w:rPr>
        <w:t>paskolą,</w:t>
      </w:r>
      <w:r>
        <w:rPr>
          <w:i/>
          <w:iCs/>
          <w:lang w:eastAsia="lt-LT"/>
        </w:rPr>
        <w:t xml:space="preserve"> </w:t>
      </w:r>
      <w:r>
        <w:rPr>
          <w:lang w:eastAsia="lt-LT"/>
        </w:rPr>
        <w:t>pasistatė</w:t>
      </w:r>
      <w:r>
        <w:rPr>
          <w:i/>
          <w:iCs/>
          <w:lang w:eastAsia="lt-LT"/>
        </w:rPr>
        <w:t xml:space="preserve"> </w:t>
      </w:r>
      <w:r>
        <w:rPr>
          <w:lang w:eastAsia="lt-LT"/>
        </w:rPr>
        <w:t>gamybinį</w:t>
      </w:r>
      <w:r>
        <w:rPr>
          <w:i/>
          <w:iCs/>
          <w:lang w:eastAsia="lt-LT"/>
        </w:rPr>
        <w:t xml:space="preserve"> </w:t>
      </w:r>
      <w:r>
        <w:rPr>
          <w:lang w:eastAsia="lt-LT"/>
        </w:rPr>
        <w:t>pastatą,</w:t>
      </w:r>
      <w:r>
        <w:rPr>
          <w:i/>
          <w:iCs/>
          <w:lang w:eastAsia="lt-LT"/>
        </w:rPr>
        <w:t xml:space="preserve"> </w:t>
      </w:r>
      <w:r>
        <w:rPr>
          <w:lang w:eastAsia="lt-LT"/>
        </w:rPr>
        <w:t>kurio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1</w:t>
      </w:r>
      <w:r>
        <w:rPr>
          <w:i/>
          <w:iCs/>
          <w:lang w:eastAsia="lt-LT"/>
        </w:rPr>
        <w:t xml:space="preserve"> </w:t>
      </w:r>
      <w:r>
        <w:rPr>
          <w:lang w:eastAsia="lt-LT"/>
        </w:rPr>
        <w:t>000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Nustatyta</w:t>
      </w:r>
      <w:r>
        <w:rPr>
          <w:i/>
          <w:iCs/>
          <w:lang w:eastAsia="lt-LT"/>
        </w:rPr>
        <w:t xml:space="preserve"> </w:t>
      </w:r>
      <w:r>
        <w:rPr>
          <w:lang w:eastAsia="lt-LT"/>
        </w:rPr>
        <w:t>pastato</w:t>
      </w:r>
      <w:r>
        <w:rPr>
          <w:i/>
          <w:iCs/>
          <w:lang w:eastAsia="lt-LT"/>
        </w:rPr>
        <w:t xml:space="preserve"> </w:t>
      </w:r>
      <w:r>
        <w:rPr>
          <w:lang w:eastAsia="lt-LT"/>
        </w:rPr>
        <w:t>likvidacinė</w:t>
      </w:r>
      <w:r>
        <w:rPr>
          <w:i/>
          <w:iCs/>
          <w:lang w:eastAsia="lt-LT"/>
        </w:rPr>
        <w:t xml:space="preserve"> </w:t>
      </w:r>
      <w:r>
        <w:rPr>
          <w:lang w:eastAsia="lt-LT"/>
        </w:rPr>
        <w:t>vertė</w:t>
      </w:r>
      <w:r>
        <w:rPr>
          <w:i/>
          <w:iCs/>
          <w:lang w:eastAsia="lt-LT"/>
        </w:rPr>
        <w:t xml:space="preserve"> </w:t>
      </w:r>
      <w:r>
        <w:rPr>
          <w:lang w:eastAsia="lt-LT"/>
        </w:rPr>
        <w:t>–</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nusidėvėjimo</w:t>
      </w:r>
      <w:r>
        <w:rPr>
          <w:i/>
          <w:iCs/>
          <w:lang w:eastAsia="lt-LT"/>
        </w:rPr>
        <w:t xml:space="preserve"> </w:t>
      </w:r>
      <w:r>
        <w:rPr>
          <w:lang w:eastAsia="lt-LT"/>
        </w:rPr>
        <w:t>normatyvas</w:t>
      </w:r>
      <w:r>
        <w:rPr>
          <w:i/>
          <w:iCs/>
          <w:lang w:eastAsia="lt-LT"/>
        </w:rPr>
        <w:t xml:space="preserve"> </w:t>
      </w:r>
      <w:r>
        <w:rPr>
          <w:lang w:eastAsia="lt-LT"/>
        </w:rPr>
        <w:t>–</w:t>
      </w:r>
      <w:r>
        <w:rPr>
          <w:i/>
          <w:iCs/>
          <w:lang w:eastAsia="lt-LT"/>
        </w:rPr>
        <w:t xml:space="preserve"> </w:t>
      </w:r>
      <w:r>
        <w:rPr>
          <w:lang w:eastAsia="lt-LT"/>
        </w:rPr>
        <w:t>8</w:t>
      </w:r>
      <w:r>
        <w:rPr>
          <w:i/>
          <w:iCs/>
          <w:lang w:eastAsia="lt-LT"/>
        </w:rPr>
        <w:t xml:space="preserve"> </w:t>
      </w:r>
      <w:r>
        <w:rPr>
          <w:lang w:eastAsia="lt-LT"/>
        </w:rPr>
        <w:t>metai.</w:t>
      </w:r>
      <w:r>
        <w:rPr>
          <w:i/>
          <w:iCs/>
          <w:lang w:eastAsia="lt-LT"/>
        </w:rPr>
        <w:t xml:space="preserve"> </w:t>
      </w:r>
      <w:r>
        <w:rPr>
          <w:lang w:eastAsia="lt-LT"/>
        </w:rPr>
        <w:t>Nusidėvėjimas</w:t>
      </w:r>
      <w:r>
        <w:rPr>
          <w:i/>
          <w:iCs/>
          <w:lang w:eastAsia="lt-LT"/>
        </w:rPr>
        <w:t xml:space="preserve"> </w:t>
      </w:r>
      <w:r>
        <w:rPr>
          <w:lang w:eastAsia="lt-LT"/>
        </w:rPr>
        <w:t>skaičiuojamas</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Po</w:t>
      </w:r>
      <w:r>
        <w:rPr>
          <w:i/>
          <w:iCs/>
          <w:lang w:eastAsia="lt-LT"/>
        </w:rPr>
        <w:t xml:space="preserve"> </w:t>
      </w:r>
      <w:r>
        <w:rPr>
          <w:lang w:eastAsia="lt-LT"/>
        </w:rPr>
        <w:t>vienerių</w:t>
      </w:r>
      <w:r>
        <w:rPr>
          <w:i/>
          <w:iCs/>
          <w:lang w:eastAsia="lt-LT"/>
        </w:rPr>
        <w:t xml:space="preserve"> </w:t>
      </w:r>
      <w:r>
        <w:rPr>
          <w:lang w:eastAsia="lt-LT"/>
        </w:rPr>
        <w:t>metų</w:t>
      </w:r>
      <w:r>
        <w:rPr>
          <w:i/>
          <w:iCs/>
          <w:lang w:eastAsia="lt-LT"/>
        </w:rPr>
        <w:t xml:space="preserve"> </w:t>
      </w:r>
      <w:r>
        <w:rPr>
          <w:lang w:eastAsia="lt-LT"/>
        </w:rPr>
        <w:t>nuo</w:t>
      </w:r>
      <w:r>
        <w:rPr>
          <w:i/>
          <w:iCs/>
          <w:lang w:eastAsia="lt-LT"/>
        </w:rPr>
        <w:t xml:space="preserve"> </w:t>
      </w:r>
      <w:r>
        <w:rPr>
          <w:lang w:eastAsia="lt-LT"/>
        </w:rPr>
        <w:t>pastato</w:t>
      </w:r>
      <w:r>
        <w:rPr>
          <w:i/>
          <w:iCs/>
          <w:lang w:eastAsia="lt-LT"/>
        </w:rPr>
        <w:t xml:space="preserve"> </w:t>
      </w:r>
      <w:r>
        <w:rPr>
          <w:lang w:eastAsia="lt-LT"/>
        </w:rPr>
        <w:t>eksploatacijos</w:t>
      </w:r>
      <w:r>
        <w:rPr>
          <w:i/>
          <w:iCs/>
          <w:lang w:eastAsia="lt-LT"/>
        </w:rPr>
        <w:t xml:space="preserve"> </w:t>
      </w:r>
      <w:r>
        <w:rPr>
          <w:lang w:eastAsia="lt-LT"/>
        </w:rPr>
        <w:t>pradžios</w:t>
      </w:r>
      <w:r>
        <w:rPr>
          <w:i/>
          <w:iCs/>
          <w:lang w:eastAsia="lt-LT"/>
        </w:rPr>
        <w:t xml:space="preserve"> </w:t>
      </w:r>
      <w:r>
        <w:rPr>
          <w:lang w:eastAsia="lt-LT"/>
        </w:rPr>
        <w:t>paaiškėjo,</w:t>
      </w:r>
      <w:r>
        <w:rPr>
          <w:i/>
          <w:iCs/>
          <w:lang w:eastAsia="lt-LT"/>
        </w:rPr>
        <w:t xml:space="preserve"> </w:t>
      </w:r>
      <w:r>
        <w:rPr>
          <w:lang w:eastAsia="lt-LT"/>
        </w:rPr>
        <w:t>kad</w:t>
      </w:r>
      <w:r>
        <w:rPr>
          <w:i/>
          <w:iCs/>
          <w:lang w:eastAsia="lt-LT"/>
        </w:rPr>
        <w:t xml:space="preserve"> </w:t>
      </w:r>
      <w:r>
        <w:rPr>
          <w:lang w:eastAsia="lt-LT"/>
        </w:rPr>
        <w:t>dėl</w:t>
      </w:r>
      <w:r>
        <w:rPr>
          <w:i/>
          <w:iCs/>
          <w:lang w:eastAsia="lt-LT"/>
        </w:rPr>
        <w:t xml:space="preserve"> </w:t>
      </w:r>
      <w:r>
        <w:rPr>
          <w:lang w:eastAsia="lt-LT"/>
        </w:rPr>
        <w:t>apyvartinių</w:t>
      </w:r>
      <w:r>
        <w:rPr>
          <w:i/>
          <w:iCs/>
          <w:lang w:eastAsia="lt-LT"/>
        </w:rPr>
        <w:t xml:space="preserve"> </w:t>
      </w:r>
      <w:r>
        <w:rPr>
          <w:lang w:eastAsia="lt-LT"/>
        </w:rPr>
        <w:t>lėšų</w:t>
      </w:r>
      <w:r>
        <w:rPr>
          <w:i/>
          <w:iCs/>
          <w:lang w:eastAsia="lt-LT"/>
        </w:rPr>
        <w:t xml:space="preserve"> </w:t>
      </w:r>
      <w:r>
        <w:rPr>
          <w:lang w:eastAsia="lt-LT"/>
        </w:rPr>
        <w:t>stygiaus</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negalės</w:t>
      </w:r>
      <w:r>
        <w:rPr>
          <w:i/>
          <w:iCs/>
          <w:lang w:eastAsia="lt-LT"/>
        </w:rPr>
        <w:t xml:space="preserve"> </w:t>
      </w:r>
      <w:r>
        <w:rPr>
          <w:lang w:eastAsia="lt-LT"/>
        </w:rPr>
        <w:t>laiku</w:t>
      </w:r>
      <w:r>
        <w:rPr>
          <w:i/>
          <w:iCs/>
          <w:lang w:eastAsia="lt-LT"/>
        </w:rPr>
        <w:t xml:space="preserve"> </w:t>
      </w:r>
      <w:r>
        <w:rPr>
          <w:lang w:eastAsia="lt-LT"/>
        </w:rPr>
        <w:t>grąžinti</w:t>
      </w:r>
      <w:r>
        <w:rPr>
          <w:i/>
          <w:iCs/>
          <w:lang w:eastAsia="lt-LT"/>
        </w:rPr>
        <w:t xml:space="preserve"> </w:t>
      </w:r>
      <w:r>
        <w:rPr>
          <w:lang w:eastAsia="lt-LT"/>
        </w:rPr>
        <w:t>paskolos.</w:t>
      </w:r>
      <w:r>
        <w:rPr>
          <w:i/>
          <w:iCs/>
          <w:lang w:eastAsia="lt-LT"/>
        </w:rPr>
        <w:t xml:space="preserve"> </w:t>
      </w:r>
      <w:r w:rsidR="00396F19">
        <w:rPr>
          <w:lang w:eastAsia="lt-LT"/>
        </w:rPr>
        <w:t>20X</w:t>
      </w:r>
      <w:r>
        <w:rPr>
          <w:lang w:eastAsia="lt-LT"/>
        </w:rPr>
        <w:t>6</w:t>
      </w:r>
      <w:r>
        <w:rPr>
          <w:i/>
          <w:iCs/>
          <w:lang w:eastAsia="lt-LT"/>
        </w:rPr>
        <w:t xml:space="preserve"> </w:t>
      </w:r>
      <w:r>
        <w:rPr>
          <w:lang w:eastAsia="lt-LT"/>
        </w:rPr>
        <w:t>m.</w:t>
      </w:r>
      <w:r>
        <w:rPr>
          <w:i/>
          <w:iCs/>
          <w:lang w:eastAsia="lt-LT"/>
        </w:rPr>
        <w:t xml:space="preserve"> </w:t>
      </w:r>
      <w:r>
        <w:rPr>
          <w:lang w:eastAsia="lt-LT"/>
        </w:rPr>
        <w:t>sausio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nusprendė</w:t>
      </w:r>
      <w:r>
        <w:rPr>
          <w:i/>
          <w:iCs/>
          <w:lang w:eastAsia="lt-LT"/>
        </w:rPr>
        <w:t xml:space="preserve"> </w:t>
      </w:r>
      <w:r>
        <w:rPr>
          <w:lang w:eastAsia="lt-LT"/>
        </w:rPr>
        <w:t>pastatą</w:t>
      </w:r>
      <w:r>
        <w:rPr>
          <w:i/>
          <w:iCs/>
          <w:lang w:eastAsia="lt-LT"/>
        </w:rPr>
        <w:t xml:space="preserve"> </w:t>
      </w:r>
      <w:r>
        <w:rPr>
          <w:lang w:eastAsia="lt-LT"/>
        </w:rPr>
        <w:t>parduoti</w:t>
      </w:r>
      <w:r>
        <w:rPr>
          <w:i/>
          <w:iCs/>
          <w:lang w:eastAsia="lt-LT"/>
        </w:rPr>
        <w:t xml:space="preserve"> </w:t>
      </w:r>
      <w:r>
        <w:rPr>
          <w:lang w:eastAsia="lt-LT"/>
        </w:rPr>
        <w:t>ir</w:t>
      </w:r>
      <w:r>
        <w:rPr>
          <w:i/>
          <w:iCs/>
          <w:lang w:eastAsia="lt-LT"/>
        </w:rPr>
        <w:t xml:space="preserve"> </w:t>
      </w:r>
      <w:r>
        <w:rPr>
          <w:lang w:eastAsia="lt-LT"/>
        </w:rPr>
        <w:t>įsigyti</w:t>
      </w:r>
      <w:r>
        <w:rPr>
          <w:i/>
          <w:iCs/>
          <w:lang w:eastAsia="lt-LT"/>
        </w:rPr>
        <w:t xml:space="preserve"> </w:t>
      </w:r>
      <w:r>
        <w:rPr>
          <w:lang w:eastAsia="lt-LT"/>
        </w:rPr>
        <w:t>jį</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p>
    <w:p w14:paraId="1605C259"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Pastatas</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parduodamas</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w:t>
      </w:r>
      <w:r>
        <w:rPr>
          <w:i/>
          <w:iCs/>
          <w:lang w:eastAsia="lt-LT"/>
        </w:rPr>
        <w:t xml:space="preserve"> </w:t>
      </w:r>
      <w:r>
        <w:rPr>
          <w:lang w:eastAsia="lt-LT"/>
        </w:rPr>
        <w:t>už</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ir</w:t>
      </w:r>
      <w:r>
        <w:rPr>
          <w:i/>
          <w:iCs/>
          <w:lang w:eastAsia="lt-LT"/>
        </w:rPr>
        <w:t xml:space="preserve"> </w:t>
      </w:r>
      <w:r>
        <w:rPr>
          <w:lang w:eastAsia="lt-LT"/>
        </w:rPr>
        <w:t>už</w:t>
      </w:r>
      <w:r>
        <w:rPr>
          <w:i/>
          <w:iCs/>
          <w:lang w:eastAsia="lt-LT"/>
        </w:rPr>
        <w:t xml:space="preserve"> </w:t>
      </w:r>
      <w:r>
        <w:rPr>
          <w:lang w:eastAsia="lt-LT"/>
        </w:rPr>
        <w:t>tą</w:t>
      </w:r>
      <w:r>
        <w:rPr>
          <w:i/>
          <w:iCs/>
          <w:lang w:eastAsia="lt-LT"/>
        </w:rPr>
        <w:t xml:space="preserve"> </w:t>
      </w:r>
      <w:r>
        <w:rPr>
          <w:lang w:eastAsia="lt-LT"/>
        </w:rPr>
        <w:t>pačią</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kainą</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atperkamas.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mokestis</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Tarkime,</w:t>
      </w:r>
      <w:r>
        <w:rPr>
          <w:i/>
          <w:iCs/>
          <w:lang w:eastAsia="lt-LT"/>
        </w:rPr>
        <w:t xml:space="preserve"> </w:t>
      </w:r>
      <w:r>
        <w:rPr>
          <w:lang w:eastAsia="lt-LT"/>
        </w:rPr>
        <w:t>kad</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iki</w:t>
      </w:r>
      <w:r>
        <w:rPr>
          <w:i/>
          <w:iCs/>
          <w:lang w:eastAsia="lt-LT"/>
        </w:rPr>
        <w:t xml:space="preserve"> </w:t>
      </w:r>
      <w:r>
        <w:rPr>
          <w:lang w:eastAsia="lt-LT"/>
        </w:rPr>
        <w:t>pastato</w:t>
      </w:r>
      <w:r>
        <w:rPr>
          <w:i/>
          <w:iCs/>
          <w:lang w:eastAsia="lt-LT"/>
        </w:rPr>
        <w:t xml:space="preserve"> </w:t>
      </w:r>
      <w:r>
        <w:rPr>
          <w:lang w:eastAsia="lt-LT"/>
        </w:rPr>
        <w:t>pardavimo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priskyrė</w:t>
      </w:r>
      <w:r>
        <w:rPr>
          <w:i/>
          <w:iCs/>
          <w:lang w:eastAsia="lt-LT"/>
        </w:rPr>
        <w:t xml:space="preserve"> </w:t>
      </w:r>
      <w:r>
        <w:rPr>
          <w:lang w:eastAsia="lt-LT"/>
        </w:rPr>
        <w:t>112</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nusidėvėjimo</w:t>
      </w:r>
      <w:r>
        <w:rPr>
          <w:i/>
          <w:iCs/>
          <w:lang w:eastAsia="lt-LT"/>
        </w:rPr>
        <w:t xml:space="preserve"> </w:t>
      </w:r>
      <w:r>
        <w:rPr>
          <w:lang w:eastAsia="lt-LT"/>
        </w:rPr>
        <w:t>sumą.</w:t>
      </w:r>
      <w:r>
        <w:rPr>
          <w:i/>
          <w:iCs/>
          <w:lang w:eastAsia="lt-LT"/>
        </w:rPr>
        <w:t xml:space="preserve"> </w:t>
      </w:r>
      <w:r>
        <w:rPr>
          <w:lang w:eastAsia="lt-LT"/>
        </w:rPr>
        <w:t>Šio</w:t>
      </w:r>
      <w:r>
        <w:rPr>
          <w:i/>
          <w:iCs/>
          <w:lang w:eastAsia="lt-LT"/>
        </w:rPr>
        <w:t xml:space="preserve"> </w:t>
      </w:r>
      <w:r>
        <w:rPr>
          <w:lang w:eastAsia="lt-LT"/>
        </w:rPr>
        <w:t>pastato</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nenudėvėta</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dalis</w:t>
      </w:r>
      <w:r>
        <w:rPr>
          <w:i/>
          <w:iCs/>
          <w:lang w:eastAsia="lt-LT"/>
        </w:rPr>
        <w:t xml:space="preserve"> </w:t>
      </w:r>
      <w:r>
        <w:rPr>
          <w:lang w:eastAsia="lt-LT"/>
        </w:rPr>
        <w:t>sudarė</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(1</w:t>
      </w:r>
      <w:r>
        <w:rPr>
          <w:i/>
          <w:iCs/>
          <w:lang w:eastAsia="lt-LT"/>
        </w:rPr>
        <w:t xml:space="preserve"> </w:t>
      </w:r>
      <w:r>
        <w:rPr>
          <w:lang w:eastAsia="lt-LT"/>
        </w:rPr>
        <w:t>000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112</w:t>
      </w:r>
      <w:r>
        <w:rPr>
          <w:i/>
          <w:iCs/>
          <w:lang w:eastAsia="lt-LT"/>
        </w:rPr>
        <w:t xml:space="preserve"> </w:t>
      </w:r>
      <w:r>
        <w:rPr>
          <w:lang w:eastAsia="lt-LT"/>
        </w:rPr>
        <w:t>500</w:t>
      </w:r>
      <w:r>
        <w:rPr>
          <w:i/>
          <w:iCs/>
          <w:lang w:eastAsia="lt-LT"/>
        </w:rPr>
        <w:t xml:space="preserve"> </w:t>
      </w:r>
      <w:r>
        <w:rPr>
          <w:lang w:eastAsia="lt-LT"/>
        </w:rPr>
        <w:t>eurų).</w:t>
      </w:r>
    </w:p>
    <w:p w14:paraId="75FD7A97"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Pardavus</w:t>
      </w:r>
      <w:r>
        <w:rPr>
          <w:i/>
          <w:iCs/>
          <w:lang w:eastAsia="lt-LT"/>
        </w:rPr>
        <w:t xml:space="preserve"> </w:t>
      </w:r>
      <w:r>
        <w:rPr>
          <w:lang w:eastAsia="lt-LT"/>
        </w:rPr>
        <w:t>pastatą</w:t>
      </w:r>
      <w:r>
        <w:rPr>
          <w:i/>
          <w:iCs/>
          <w:lang w:eastAsia="lt-LT"/>
        </w:rPr>
        <w:t xml:space="preserve"> </w:t>
      </w:r>
      <w:r>
        <w:rPr>
          <w:lang w:eastAsia="lt-LT"/>
        </w:rPr>
        <w:t>ir</w:t>
      </w:r>
      <w:r>
        <w:rPr>
          <w:i/>
          <w:iCs/>
          <w:lang w:eastAsia="lt-LT"/>
        </w:rPr>
        <w:t xml:space="preserve"> </w:t>
      </w:r>
      <w:r>
        <w:rPr>
          <w:lang w:eastAsia="lt-LT"/>
        </w:rPr>
        <w:t>gavus</w:t>
      </w:r>
      <w:r>
        <w:rPr>
          <w:i/>
          <w:iCs/>
          <w:lang w:eastAsia="lt-LT"/>
        </w:rPr>
        <w:t xml:space="preserve"> </w:t>
      </w:r>
      <w:r>
        <w:rPr>
          <w:lang w:eastAsia="lt-LT"/>
        </w:rPr>
        <w:t>pinigus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312</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(1</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pajamų</w:t>
      </w:r>
      <w:r>
        <w:rPr>
          <w:i/>
          <w:iCs/>
          <w:lang w:eastAsia="lt-LT"/>
        </w:rPr>
        <w:t xml:space="preserve"> </w:t>
      </w:r>
      <w:r>
        <w:rPr>
          <w:lang w:eastAsia="lt-LT"/>
        </w:rPr>
        <w:t>suma,</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įmonės</w:t>
      </w:r>
      <w:r>
        <w:rPr>
          <w:i/>
          <w:iCs/>
          <w:lang w:eastAsia="lt-LT"/>
        </w:rPr>
        <w:t xml:space="preserve"> </w:t>
      </w:r>
      <w:r>
        <w:rPr>
          <w:lang w:eastAsia="lt-LT"/>
        </w:rPr>
        <w:t>A</w:t>
      </w:r>
      <w:r>
        <w:rPr>
          <w:i/>
          <w:iCs/>
          <w:lang w:eastAsia="lt-LT"/>
        </w:rPr>
        <w:t xml:space="preserve"> </w:t>
      </w:r>
      <w:r>
        <w:rPr>
          <w:lang w:eastAsia="lt-LT"/>
        </w:rPr>
        <w:t>pajamoms</w:t>
      </w:r>
      <w:r>
        <w:rPr>
          <w:i/>
          <w:iCs/>
          <w:lang w:eastAsia="lt-LT"/>
        </w:rPr>
        <w:t xml:space="preserve"> </w:t>
      </w:r>
      <w:r>
        <w:rPr>
          <w:lang w:eastAsia="lt-LT"/>
        </w:rPr>
        <w:t>nepriskiriama.</w:t>
      </w:r>
    </w:p>
    <w:p w14:paraId="1854DDC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Įmonė</w:t>
      </w:r>
      <w:r>
        <w:rPr>
          <w:i/>
          <w:iCs/>
          <w:lang w:eastAsia="lt-LT"/>
        </w:rPr>
        <w:t xml:space="preserve"> </w:t>
      </w:r>
      <w:r>
        <w:rPr>
          <w:lang w:eastAsia="lt-LT"/>
        </w:rPr>
        <w:t>A</w:t>
      </w:r>
      <w:r>
        <w:rPr>
          <w:i/>
          <w:iCs/>
          <w:lang w:eastAsia="lt-LT"/>
        </w:rPr>
        <w:t xml:space="preserve"> </w:t>
      </w:r>
      <w:r>
        <w:rPr>
          <w:lang w:eastAsia="lt-LT"/>
        </w:rPr>
        <w:t>turės</w:t>
      </w:r>
      <w:r>
        <w:rPr>
          <w:i/>
          <w:iCs/>
          <w:lang w:eastAsia="lt-LT"/>
        </w:rPr>
        <w:t xml:space="preserve"> </w:t>
      </w:r>
      <w:r>
        <w:rPr>
          <w:lang w:eastAsia="lt-LT"/>
        </w:rPr>
        <w:t>tęsti</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gauto</w:t>
      </w:r>
      <w:r>
        <w:rPr>
          <w:i/>
          <w:iCs/>
          <w:lang w:eastAsia="lt-LT"/>
        </w:rPr>
        <w:t xml:space="preserve"> </w:t>
      </w:r>
      <w:r>
        <w:rPr>
          <w:lang w:eastAsia="lt-LT"/>
        </w:rPr>
        <w:t>pastato</w:t>
      </w:r>
      <w:r>
        <w:rPr>
          <w:i/>
          <w:iCs/>
          <w:lang w:eastAsia="lt-LT"/>
        </w:rPr>
        <w:t xml:space="preserve"> </w:t>
      </w:r>
      <w:r>
        <w:rPr>
          <w:lang w:eastAsia="lt-LT"/>
        </w:rPr>
        <w:t>nusidėvėjimo</w:t>
      </w:r>
      <w:r>
        <w:rPr>
          <w:i/>
          <w:iCs/>
          <w:lang w:eastAsia="lt-LT"/>
        </w:rPr>
        <w:t xml:space="preserve"> </w:t>
      </w:r>
      <w:r>
        <w:rPr>
          <w:lang w:eastAsia="lt-LT"/>
        </w:rPr>
        <w:t>skaičiavimą</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padidintos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nuo</w:t>
      </w:r>
      <w:r>
        <w:rPr>
          <w:i/>
          <w:iCs/>
          <w:lang w:eastAsia="lt-LT"/>
        </w:rPr>
        <w:t xml:space="preserve"> </w:t>
      </w:r>
      <w:r>
        <w:rPr>
          <w:lang w:eastAsia="lt-LT"/>
        </w:rPr>
        <w:t>899</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šią</w:t>
      </w:r>
      <w:r>
        <w:rPr>
          <w:i/>
          <w:iCs/>
          <w:lang w:eastAsia="lt-LT"/>
        </w:rPr>
        <w:t xml:space="preserve"> </w:t>
      </w:r>
      <w:r>
        <w:rPr>
          <w:lang w:eastAsia="lt-LT"/>
        </w:rPr>
        <w:t>kainą</w:t>
      </w:r>
      <w:r>
        <w:rPr>
          <w:i/>
          <w:iCs/>
          <w:lang w:eastAsia="lt-LT"/>
        </w:rPr>
        <w:t xml:space="preserve"> </w:t>
      </w:r>
      <w:r>
        <w:rPr>
          <w:lang w:eastAsia="lt-LT"/>
        </w:rPr>
        <w:t>galės</w:t>
      </w:r>
      <w:r>
        <w:rPr>
          <w:i/>
          <w:iCs/>
          <w:lang w:eastAsia="lt-LT"/>
        </w:rPr>
        <w:t xml:space="preserve"> </w:t>
      </w:r>
      <w:r>
        <w:rPr>
          <w:lang w:eastAsia="lt-LT"/>
        </w:rPr>
        <w:t>priskirti</w:t>
      </w:r>
      <w:r>
        <w:rPr>
          <w:i/>
          <w:iCs/>
          <w:lang w:eastAsia="lt-LT"/>
        </w:rPr>
        <w:t xml:space="preserve"> </w:t>
      </w:r>
      <w:r>
        <w:rPr>
          <w:lang w:eastAsia="lt-LT"/>
        </w:rPr>
        <w:t>per</w:t>
      </w:r>
      <w:r>
        <w:rPr>
          <w:i/>
          <w:iCs/>
          <w:lang w:eastAsia="lt-LT"/>
        </w:rPr>
        <w:t xml:space="preserve"> </w:t>
      </w:r>
      <w:r>
        <w:rPr>
          <w:lang w:eastAsia="lt-LT"/>
        </w:rPr>
        <w:t>laikotarpį,</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už</w:t>
      </w:r>
      <w:r>
        <w:rPr>
          <w:i/>
          <w:iCs/>
          <w:lang w:eastAsia="lt-LT"/>
        </w:rPr>
        <w:t xml:space="preserve"> </w:t>
      </w:r>
      <w:bookmarkStart w:id="165" w:name="n1_1554"/>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66" w:name="pn1_1554"/>
      <w:bookmarkEnd w:id="165"/>
      <w:bookmarkEnd w:id="166"/>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grupei,</w:t>
      </w:r>
      <w:r>
        <w:rPr>
          <w:i/>
          <w:iCs/>
          <w:lang w:eastAsia="lt-LT"/>
        </w:rPr>
        <w:t xml:space="preserve"> </w:t>
      </w:r>
      <w:r>
        <w:rPr>
          <w:lang w:eastAsia="lt-LT"/>
        </w:rPr>
        <w:t>kuriai</w:t>
      </w:r>
      <w:r>
        <w:rPr>
          <w:i/>
          <w:iCs/>
          <w:lang w:eastAsia="lt-LT"/>
        </w:rPr>
        <w:t xml:space="preserve"> </w:t>
      </w:r>
      <w:r>
        <w:rPr>
          <w:lang w:eastAsia="lt-LT"/>
        </w:rPr>
        <w:t>priskiriamas</w:t>
      </w:r>
      <w:r>
        <w:rPr>
          <w:i/>
          <w:iCs/>
          <w:lang w:eastAsia="lt-LT"/>
        </w:rPr>
        <w:t xml:space="preserve"> </w:t>
      </w:r>
      <w:r>
        <w:rPr>
          <w:lang w:eastAsia="lt-LT"/>
        </w:rPr>
        <w:t>pastatas,</w:t>
      </w:r>
      <w:r>
        <w:rPr>
          <w:i/>
          <w:iCs/>
          <w:lang w:eastAsia="lt-LT"/>
        </w:rPr>
        <w:t xml:space="preserve"> </w:t>
      </w:r>
      <w:r>
        <w:rPr>
          <w:lang w:eastAsia="lt-LT"/>
        </w:rPr>
        <w:t>nustatytą</w:t>
      </w:r>
      <w:r>
        <w:rPr>
          <w:i/>
          <w:iCs/>
          <w:lang w:eastAsia="lt-LT"/>
        </w:rPr>
        <w:t xml:space="preserve"> </w:t>
      </w:r>
      <w:r>
        <w:rPr>
          <w:lang w:eastAsia="lt-LT"/>
        </w:rPr>
        <w:t>maksimalų</w:t>
      </w:r>
      <w:r>
        <w:rPr>
          <w:i/>
          <w:iCs/>
          <w:lang w:eastAsia="lt-LT"/>
        </w:rPr>
        <w:t xml:space="preserve"> </w:t>
      </w:r>
      <w:r>
        <w:rPr>
          <w:lang w:eastAsia="lt-LT"/>
        </w:rPr>
        <w:t>laikotarpį,</w:t>
      </w:r>
      <w:r>
        <w:rPr>
          <w:i/>
          <w:iCs/>
          <w:lang w:eastAsia="lt-LT"/>
        </w:rPr>
        <w:t xml:space="preserve"> </w:t>
      </w:r>
      <w:r>
        <w:rPr>
          <w:lang w:eastAsia="lt-LT"/>
        </w:rPr>
        <w:t>įskaitant</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skaičiuojamas</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nusidėvėjimas</w:t>
      </w:r>
      <w:r>
        <w:rPr>
          <w:i/>
          <w:iCs/>
          <w:lang w:eastAsia="lt-LT"/>
        </w:rPr>
        <w:t xml:space="preserve"> </w:t>
      </w:r>
      <w:r>
        <w:rPr>
          <w:lang w:eastAsia="lt-LT"/>
        </w:rPr>
        <w:t>(ar</w:t>
      </w:r>
      <w:r>
        <w:rPr>
          <w:i/>
          <w:iCs/>
          <w:lang w:eastAsia="lt-LT"/>
        </w:rPr>
        <w:t xml:space="preserve"> </w:t>
      </w:r>
      <w:r>
        <w:rPr>
          <w:lang w:eastAsia="lt-LT"/>
        </w:rPr>
        <w:t>amortizacija)</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p>
    <w:p w14:paraId="0ACCFCE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mokamos</w:t>
      </w:r>
      <w:r>
        <w:rPr>
          <w:i/>
          <w:iCs/>
          <w:lang w:eastAsia="lt-LT"/>
        </w:rPr>
        <w:t xml:space="preserve"> </w:t>
      </w:r>
      <w:r>
        <w:rPr>
          <w:lang w:eastAsia="lt-LT"/>
        </w:rPr>
        <w:t>palūkanos</w:t>
      </w:r>
      <w:r>
        <w:rPr>
          <w:b/>
          <w:bCs/>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67" w:name="n1_1555"/>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68" w:name="pn1_1555"/>
      <w:bookmarkEnd w:id="167"/>
      <w:bookmarkEnd w:id="168"/>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750FDD92"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lastRenderedPageBreak/>
        <w:t>2.</w:t>
      </w:r>
      <w:r>
        <w:rPr>
          <w:i/>
          <w:iCs/>
          <w:lang w:eastAsia="lt-LT"/>
        </w:rPr>
        <w:t xml:space="preserve"> </w:t>
      </w:r>
      <w:r>
        <w:rPr>
          <w:lang w:eastAsia="lt-LT"/>
        </w:rPr>
        <w:t>Sąlygos</w:t>
      </w:r>
      <w:r>
        <w:rPr>
          <w:i/>
          <w:iCs/>
          <w:lang w:eastAsia="lt-LT"/>
        </w:rPr>
        <w:t xml:space="preserve"> </w:t>
      </w:r>
      <w:r>
        <w:rPr>
          <w:lang w:eastAsia="lt-LT"/>
        </w:rPr>
        <w:t>analogiškos</w:t>
      </w:r>
      <w:r>
        <w:rPr>
          <w:i/>
          <w:iCs/>
          <w:lang w:eastAsia="lt-LT"/>
        </w:rPr>
        <w:t xml:space="preserve"> </w:t>
      </w:r>
      <w:r>
        <w:rPr>
          <w:lang w:eastAsia="lt-LT"/>
        </w:rPr>
        <w:t>kaip</w:t>
      </w:r>
      <w:r>
        <w:rPr>
          <w:i/>
          <w:iCs/>
          <w:lang w:eastAsia="lt-LT"/>
        </w:rPr>
        <w:t xml:space="preserve"> </w:t>
      </w:r>
      <w:r>
        <w:rPr>
          <w:lang w:eastAsia="lt-LT"/>
        </w:rPr>
        <w:t>ir</w:t>
      </w:r>
      <w:r>
        <w:rPr>
          <w:i/>
          <w:iCs/>
          <w:lang w:eastAsia="lt-LT"/>
        </w:rPr>
        <w:t xml:space="preserve"> </w:t>
      </w:r>
      <w:r>
        <w:rPr>
          <w:lang w:eastAsia="lt-LT"/>
        </w:rPr>
        <w:t>1</w:t>
      </w:r>
      <w:r>
        <w:rPr>
          <w:i/>
          <w:iCs/>
          <w:lang w:eastAsia="lt-LT"/>
        </w:rPr>
        <w:t xml:space="preserve"> </w:t>
      </w:r>
      <w:r>
        <w:rPr>
          <w:lang w:eastAsia="lt-LT"/>
        </w:rPr>
        <w:t>pavyzdyje,</w:t>
      </w:r>
      <w:r>
        <w:rPr>
          <w:i/>
          <w:iCs/>
          <w:lang w:eastAsia="lt-LT"/>
        </w:rPr>
        <w:t xml:space="preserve"> </w:t>
      </w:r>
      <w:r>
        <w:rPr>
          <w:lang w:eastAsia="lt-LT"/>
        </w:rPr>
        <w:t>tik</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pastatas</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parduodamas</w:t>
      </w:r>
      <w:r>
        <w:rPr>
          <w:i/>
          <w:iCs/>
          <w:lang w:eastAsia="lt-LT"/>
        </w:rPr>
        <w:t xml:space="preserve"> </w:t>
      </w:r>
      <w:r>
        <w:rPr>
          <w:lang w:eastAsia="lt-LT"/>
        </w:rPr>
        <w:t>už</w:t>
      </w:r>
      <w:r>
        <w:rPr>
          <w:i/>
          <w:iCs/>
          <w:lang w:eastAsia="lt-LT"/>
        </w:rPr>
        <w:t xml:space="preserve"> </w:t>
      </w:r>
      <w:r>
        <w:rPr>
          <w:lang w:eastAsia="lt-LT"/>
        </w:rPr>
        <w:t>800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rinkos</w:t>
      </w:r>
      <w:r>
        <w:rPr>
          <w:i/>
          <w:iCs/>
          <w:lang w:eastAsia="lt-LT"/>
        </w:rPr>
        <w:t xml:space="preserve"> </w:t>
      </w:r>
      <w:r>
        <w:rPr>
          <w:lang w:eastAsia="lt-LT"/>
        </w:rPr>
        <w:t>kainą.</w:t>
      </w:r>
    </w:p>
    <w:p w14:paraId="7CB42332"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Pardavus</w:t>
      </w:r>
      <w:r>
        <w:rPr>
          <w:i/>
          <w:iCs/>
          <w:lang w:eastAsia="lt-LT"/>
        </w:rPr>
        <w:t xml:space="preserve"> </w:t>
      </w:r>
      <w:r>
        <w:rPr>
          <w:lang w:eastAsia="lt-LT"/>
        </w:rPr>
        <w:t>pastatą</w:t>
      </w:r>
      <w:r>
        <w:rPr>
          <w:i/>
          <w:iCs/>
          <w:lang w:eastAsia="lt-LT"/>
        </w:rPr>
        <w:t xml:space="preserve"> </w:t>
      </w:r>
      <w:r>
        <w:rPr>
          <w:lang w:eastAsia="lt-LT"/>
        </w:rPr>
        <w:t>ir</w:t>
      </w:r>
      <w:r>
        <w:rPr>
          <w:i/>
          <w:iCs/>
          <w:lang w:eastAsia="lt-LT"/>
        </w:rPr>
        <w:t xml:space="preserve"> </w:t>
      </w:r>
      <w:r>
        <w:rPr>
          <w:lang w:eastAsia="lt-LT"/>
        </w:rPr>
        <w:t>gavus</w:t>
      </w:r>
      <w:r>
        <w:rPr>
          <w:i/>
          <w:iCs/>
          <w:lang w:eastAsia="lt-LT"/>
        </w:rPr>
        <w:t xml:space="preserve"> </w:t>
      </w:r>
      <w:r>
        <w:rPr>
          <w:lang w:eastAsia="lt-LT"/>
        </w:rPr>
        <w:t>pinigus</w:t>
      </w:r>
      <w:r>
        <w:rPr>
          <w:i/>
          <w:iCs/>
          <w:lang w:eastAsia="lt-LT"/>
        </w:rPr>
        <w:t xml:space="preserve"> </w:t>
      </w:r>
      <w:r>
        <w:rPr>
          <w:lang w:eastAsia="lt-LT"/>
        </w:rPr>
        <w:t>iš</w:t>
      </w:r>
      <w:r>
        <w:rPr>
          <w:i/>
          <w:iCs/>
          <w:lang w:eastAsia="lt-LT"/>
        </w:rPr>
        <w:t xml:space="preserve"> </w:t>
      </w:r>
      <w:r>
        <w:rPr>
          <w:lang w:eastAsia="lt-LT"/>
        </w:rPr>
        <w:t>lizingo</w:t>
      </w:r>
      <w:r>
        <w:rPr>
          <w:i/>
          <w:iCs/>
          <w:lang w:eastAsia="lt-LT"/>
        </w:rPr>
        <w:t xml:space="preserve"> </w:t>
      </w:r>
      <w:r>
        <w:rPr>
          <w:lang w:eastAsia="lt-LT"/>
        </w:rPr>
        <w:t>davėjo,</w:t>
      </w:r>
      <w:r>
        <w:rPr>
          <w:i/>
          <w:iCs/>
          <w:lang w:eastAsia="lt-LT"/>
        </w:rPr>
        <w:t xml:space="preserve"> </w:t>
      </w:r>
      <w:r>
        <w:rPr>
          <w:lang w:eastAsia="lt-LT"/>
        </w:rPr>
        <w:t>(-)</w:t>
      </w:r>
      <w:r>
        <w:rPr>
          <w:i/>
          <w:iCs/>
          <w:lang w:eastAsia="lt-LT"/>
        </w:rPr>
        <w:t xml:space="preserve"> </w:t>
      </w:r>
      <w:r>
        <w:rPr>
          <w:lang w:eastAsia="lt-LT"/>
        </w:rPr>
        <w:t>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(800</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sumažėjimo</w:t>
      </w:r>
      <w:r>
        <w:rPr>
          <w:i/>
          <w:iCs/>
          <w:lang w:eastAsia="lt-LT"/>
        </w:rPr>
        <w:t xml:space="preserve"> </w:t>
      </w:r>
      <w:r>
        <w:rPr>
          <w:lang w:eastAsia="lt-LT"/>
        </w:rPr>
        <w:t>nuostolis,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įmonės</w:t>
      </w:r>
      <w:r>
        <w:rPr>
          <w:i/>
          <w:iCs/>
          <w:lang w:eastAsia="lt-LT"/>
        </w:rPr>
        <w:t xml:space="preserve"> </w:t>
      </w:r>
      <w:r>
        <w:rPr>
          <w:lang w:eastAsia="lt-LT"/>
        </w:rPr>
        <w:t>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nepriskiriamas.</w:t>
      </w:r>
    </w:p>
    <w:p w14:paraId="25B72A6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Įmonė</w:t>
      </w:r>
      <w:r>
        <w:rPr>
          <w:i/>
          <w:iCs/>
          <w:lang w:eastAsia="lt-LT"/>
        </w:rPr>
        <w:t xml:space="preserve"> </w:t>
      </w:r>
      <w:r>
        <w:rPr>
          <w:lang w:eastAsia="lt-LT"/>
        </w:rPr>
        <w:t>A</w:t>
      </w:r>
      <w:r>
        <w:rPr>
          <w:i/>
          <w:iCs/>
          <w:lang w:eastAsia="lt-LT"/>
        </w:rPr>
        <w:t xml:space="preserve"> </w:t>
      </w:r>
      <w:r>
        <w:rPr>
          <w:lang w:eastAsia="lt-LT"/>
        </w:rPr>
        <w:t>turės</w:t>
      </w:r>
      <w:r>
        <w:rPr>
          <w:i/>
          <w:iCs/>
          <w:lang w:eastAsia="lt-LT"/>
        </w:rPr>
        <w:t xml:space="preserve"> </w:t>
      </w:r>
      <w:r>
        <w:rPr>
          <w:lang w:eastAsia="lt-LT"/>
        </w:rPr>
        <w:t>tęsti</w:t>
      </w:r>
      <w:r>
        <w:rPr>
          <w:i/>
          <w:iCs/>
          <w:lang w:eastAsia="lt-LT"/>
        </w:rPr>
        <w:t xml:space="preserve"> </w:t>
      </w:r>
      <w:r>
        <w:rPr>
          <w:lang w:eastAsia="lt-LT"/>
        </w:rPr>
        <w:t>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gauto</w:t>
      </w:r>
      <w:r>
        <w:rPr>
          <w:i/>
          <w:iCs/>
          <w:lang w:eastAsia="lt-LT"/>
        </w:rPr>
        <w:t xml:space="preserve"> </w:t>
      </w:r>
      <w:r>
        <w:rPr>
          <w:lang w:eastAsia="lt-LT"/>
        </w:rPr>
        <w:t>pastato</w:t>
      </w:r>
      <w:r>
        <w:rPr>
          <w:i/>
          <w:iCs/>
          <w:lang w:eastAsia="lt-LT"/>
        </w:rPr>
        <w:t xml:space="preserve"> </w:t>
      </w:r>
      <w:r>
        <w:rPr>
          <w:lang w:eastAsia="lt-LT"/>
        </w:rPr>
        <w:t>nusidėvėjimo</w:t>
      </w:r>
      <w:r>
        <w:rPr>
          <w:i/>
          <w:iCs/>
          <w:lang w:eastAsia="lt-LT"/>
        </w:rPr>
        <w:t xml:space="preserve"> </w:t>
      </w:r>
      <w:r>
        <w:rPr>
          <w:lang w:eastAsia="lt-LT"/>
        </w:rPr>
        <w:t>skaičiavimą</w:t>
      </w:r>
      <w:r>
        <w:rPr>
          <w:i/>
          <w:iCs/>
          <w:lang w:eastAsia="lt-LT"/>
        </w:rPr>
        <w:t xml:space="preserve"> </w:t>
      </w:r>
      <w:r>
        <w:rPr>
          <w:lang w:eastAsia="lt-LT"/>
        </w:rPr>
        <w:t>tuo</w:t>
      </w:r>
      <w:r>
        <w:rPr>
          <w:i/>
          <w:iCs/>
          <w:lang w:eastAsia="lt-LT"/>
        </w:rPr>
        <w:t xml:space="preserve"> </w:t>
      </w:r>
      <w:r>
        <w:rPr>
          <w:lang w:eastAsia="lt-LT"/>
        </w:rPr>
        <w:t>pačiu</w:t>
      </w:r>
      <w:r>
        <w:rPr>
          <w:i/>
          <w:iCs/>
          <w:lang w:eastAsia="lt-LT"/>
        </w:rPr>
        <w:t xml:space="preserve"> </w:t>
      </w:r>
      <w:r>
        <w:rPr>
          <w:lang w:eastAsia="lt-LT"/>
        </w:rPr>
        <w:t>tiesiniu</w:t>
      </w:r>
      <w:r>
        <w:rPr>
          <w:i/>
          <w:iCs/>
          <w:lang w:eastAsia="lt-LT"/>
        </w:rPr>
        <w:t xml:space="preserve"> </w:t>
      </w:r>
      <w:r>
        <w:rPr>
          <w:lang w:eastAsia="lt-LT"/>
        </w:rPr>
        <w:t>metodu</w:t>
      </w:r>
      <w:r>
        <w:rPr>
          <w:i/>
          <w:iCs/>
          <w:lang w:eastAsia="lt-LT"/>
        </w:rPr>
        <w:t xml:space="preserve"> </w:t>
      </w:r>
      <w:r>
        <w:rPr>
          <w:lang w:eastAsia="lt-LT"/>
        </w:rPr>
        <w:t>nuo</w:t>
      </w:r>
      <w:r>
        <w:rPr>
          <w:i/>
          <w:iCs/>
          <w:lang w:eastAsia="lt-LT"/>
        </w:rPr>
        <w:t xml:space="preserve"> </w:t>
      </w:r>
      <w:r>
        <w:rPr>
          <w:lang w:eastAsia="lt-LT"/>
        </w:rPr>
        <w:t>nenudėvėtos</w:t>
      </w:r>
      <w:r>
        <w:rPr>
          <w:i/>
          <w:iCs/>
          <w:lang w:eastAsia="lt-LT"/>
        </w:rPr>
        <w:t xml:space="preserve"> </w:t>
      </w:r>
      <w:r>
        <w:rPr>
          <w:lang w:eastAsia="lt-LT"/>
        </w:rPr>
        <w:t>iki</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įsigijimo</w:t>
      </w:r>
      <w:r>
        <w:rPr>
          <w:i/>
          <w:iCs/>
          <w:lang w:eastAsia="lt-LT"/>
        </w:rPr>
        <w:t xml:space="preserve"> </w:t>
      </w:r>
      <w:r>
        <w:rPr>
          <w:lang w:eastAsia="lt-LT"/>
        </w:rPr>
        <w:t>kainos,</w:t>
      </w:r>
      <w:r>
        <w:rPr>
          <w:i/>
          <w:iCs/>
          <w:lang w:eastAsia="lt-LT"/>
        </w:rPr>
        <w:t xml:space="preserve"> </w:t>
      </w:r>
      <w:r>
        <w:rPr>
          <w:lang w:eastAsia="lt-LT"/>
        </w:rPr>
        <w:t>padidintos</w:t>
      </w:r>
      <w:r>
        <w:rPr>
          <w:i/>
          <w:iCs/>
          <w:lang w:eastAsia="lt-LT"/>
        </w:rPr>
        <w:t xml:space="preserve"> </w:t>
      </w:r>
      <w:r>
        <w:rPr>
          <w:lang w:eastAsia="lt-LT"/>
        </w:rPr>
        <w:t>sutarties</w:t>
      </w:r>
      <w:r>
        <w:rPr>
          <w:i/>
          <w:iCs/>
          <w:lang w:eastAsia="lt-LT"/>
        </w:rPr>
        <w:t xml:space="preserve"> </w:t>
      </w:r>
      <w:r>
        <w:rPr>
          <w:lang w:eastAsia="lt-LT"/>
        </w:rPr>
        <w:t>sudarymo</w:t>
      </w:r>
      <w:r>
        <w:rPr>
          <w:i/>
          <w:iCs/>
          <w:lang w:eastAsia="lt-LT"/>
        </w:rPr>
        <w:t xml:space="preserve"> </w:t>
      </w:r>
      <w:r>
        <w:rPr>
          <w:lang w:eastAsia="lt-LT"/>
        </w:rPr>
        <w:t>mokesčio</w:t>
      </w:r>
      <w:r>
        <w:rPr>
          <w:i/>
          <w:iCs/>
          <w:lang w:eastAsia="lt-LT"/>
        </w:rPr>
        <w:t xml:space="preserve"> </w:t>
      </w:r>
      <w:r>
        <w:rPr>
          <w:lang w:eastAsia="lt-LT"/>
        </w:rPr>
        <w:t>suma,</w:t>
      </w:r>
      <w:r>
        <w:rPr>
          <w:i/>
          <w:iCs/>
          <w:lang w:eastAsia="lt-LT"/>
        </w:rPr>
        <w:t xml:space="preserve"> </w:t>
      </w:r>
      <w:r>
        <w:rPr>
          <w:lang w:eastAsia="lt-LT"/>
        </w:rPr>
        <w:t>t.</w:t>
      </w:r>
      <w:r>
        <w:rPr>
          <w:i/>
          <w:iCs/>
          <w:lang w:eastAsia="lt-LT"/>
        </w:rPr>
        <w:t xml:space="preserve"> </w:t>
      </w:r>
      <w:r>
        <w:rPr>
          <w:lang w:eastAsia="lt-LT"/>
        </w:rPr>
        <w:t>y.</w:t>
      </w:r>
      <w:r>
        <w:rPr>
          <w:i/>
          <w:iCs/>
          <w:lang w:eastAsia="lt-LT"/>
        </w:rPr>
        <w:t xml:space="preserve"> </w:t>
      </w:r>
      <w:r>
        <w:rPr>
          <w:lang w:eastAsia="lt-LT"/>
        </w:rPr>
        <w:t>nuo</w:t>
      </w:r>
      <w:r>
        <w:rPr>
          <w:i/>
          <w:iCs/>
          <w:lang w:eastAsia="lt-LT"/>
        </w:rPr>
        <w:t xml:space="preserve"> </w:t>
      </w:r>
      <w:r>
        <w:rPr>
          <w:lang w:eastAsia="lt-LT"/>
        </w:rPr>
        <w:t>899</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(887</w:t>
      </w:r>
      <w:r>
        <w:rPr>
          <w:i/>
          <w:iCs/>
          <w:lang w:eastAsia="lt-LT"/>
        </w:rPr>
        <w:t xml:space="preserve"> </w:t>
      </w:r>
      <w:r>
        <w:rPr>
          <w:lang w:eastAsia="lt-LT"/>
        </w:rPr>
        <w:t>500</w:t>
      </w:r>
      <w:r>
        <w:rPr>
          <w:i/>
          <w:iCs/>
          <w:lang w:eastAsia="lt-LT"/>
        </w:rPr>
        <w:t xml:space="preserve"> </w:t>
      </w:r>
      <w:r>
        <w:rPr>
          <w:lang w:eastAsia="lt-LT"/>
        </w:rPr>
        <w:t>eurų</w:t>
      </w:r>
      <w:r>
        <w:rPr>
          <w:i/>
          <w:iCs/>
          <w:lang w:eastAsia="lt-LT"/>
        </w:rPr>
        <w:t xml:space="preserve"> </w:t>
      </w:r>
      <w:r>
        <w:rPr>
          <w:lang w:eastAsia="lt-LT"/>
        </w:rPr>
        <w:t>+</w:t>
      </w:r>
      <w:r>
        <w:rPr>
          <w:i/>
          <w:iCs/>
          <w:lang w:eastAsia="lt-LT"/>
        </w:rPr>
        <w:t xml:space="preserve"> </w:t>
      </w:r>
      <w:r>
        <w:rPr>
          <w:lang w:eastAsia="lt-LT"/>
        </w:rPr>
        <w:t>12</w:t>
      </w:r>
      <w:r>
        <w:rPr>
          <w:i/>
          <w:iCs/>
          <w:lang w:eastAsia="lt-LT"/>
        </w:rPr>
        <w:t xml:space="preserve"> </w:t>
      </w:r>
      <w:r>
        <w:rPr>
          <w:lang w:eastAsia="lt-LT"/>
        </w:rPr>
        <w:t>000</w:t>
      </w:r>
      <w:r>
        <w:rPr>
          <w:i/>
          <w:iCs/>
          <w:lang w:eastAsia="lt-LT"/>
        </w:rPr>
        <w:t xml:space="preserve"> </w:t>
      </w:r>
      <w:r>
        <w:rPr>
          <w:lang w:eastAsia="lt-LT"/>
        </w:rPr>
        <w:t>eurų).</w:t>
      </w:r>
      <w:r>
        <w:rPr>
          <w:i/>
          <w:iCs/>
          <w:lang w:eastAsia="lt-LT"/>
        </w:rPr>
        <w:t xml:space="preserve"> </w:t>
      </w:r>
      <w:r>
        <w:rPr>
          <w:lang w:eastAsia="lt-LT"/>
        </w:rPr>
        <w:t>Įmonė</w:t>
      </w:r>
      <w:r>
        <w:rPr>
          <w:i/>
          <w:iCs/>
          <w:lang w:eastAsia="lt-LT"/>
        </w:rPr>
        <w:t xml:space="preserve"> </w:t>
      </w:r>
      <w:r>
        <w:rPr>
          <w:lang w:eastAsia="lt-LT"/>
        </w:rPr>
        <w:t>A</w:t>
      </w:r>
      <w:r>
        <w:rPr>
          <w:i/>
          <w:iCs/>
          <w:lang w:eastAsia="lt-LT"/>
        </w:rPr>
        <w:t xml:space="preserve"> </w:t>
      </w:r>
      <w:r>
        <w:rPr>
          <w:lang w:eastAsia="lt-LT"/>
        </w:rPr>
        <w:t>į</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leidžiamus</w:t>
      </w:r>
      <w:r>
        <w:rPr>
          <w:i/>
          <w:iCs/>
          <w:lang w:eastAsia="lt-LT"/>
        </w:rPr>
        <w:t xml:space="preserve"> </w:t>
      </w:r>
      <w:r>
        <w:rPr>
          <w:lang w:eastAsia="lt-LT"/>
        </w:rPr>
        <w:t>atskaitymus</w:t>
      </w:r>
      <w:r>
        <w:rPr>
          <w:i/>
          <w:iCs/>
          <w:lang w:eastAsia="lt-LT"/>
        </w:rPr>
        <w:t xml:space="preserve"> </w:t>
      </w:r>
      <w:r>
        <w:rPr>
          <w:lang w:eastAsia="lt-LT"/>
        </w:rPr>
        <w:t>šią</w:t>
      </w:r>
      <w:r>
        <w:rPr>
          <w:i/>
          <w:iCs/>
          <w:lang w:eastAsia="lt-LT"/>
        </w:rPr>
        <w:t xml:space="preserve"> </w:t>
      </w:r>
      <w:r>
        <w:rPr>
          <w:lang w:eastAsia="lt-LT"/>
        </w:rPr>
        <w:t>kainą</w:t>
      </w:r>
      <w:r>
        <w:rPr>
          <w:i/>
          <w:iCs/>
          <w:lang w:eastAsia="lt-LT"/>
        </w:rPr>
        <w:t xml:space="preserve"> </w:t>
      </w:r>
      <w:r>
        <w:rPr>
          <w:lang w:eastAsia="lt-LT"/>
        </w:rPr>
        <w:t>galės</w:t>
      </w:r>
      <w:r>
        <w:rPr>
          <w:i/>
          <w:iCs/>
          <w:lang w:eastAsia="lt-LT"/>
        </w:rPr>
        <w:t xml:space="preserve"> </w:t>
      </w:r>
      <w:r>
        <w:rPr>
          <w:lang w:eastAsia="lt-LT"/>
        </w:rPr>
        <w:t>įskaityti</w:t>
      </w:r>
      <w:r>
        <w:rPr>
          <w:i/>
          <w:iCs/>
          <w:lang w:eastAsia="lt-LT"/>
        </w:rPr>
        <w:t xml:space="preserve"> </w:t>
      </w:r>
      <w:r>
        <w:rPr>
          <w:lang w:eastAsia="lt-LT"/>
        </w:rPr>
        <w:t>per</w:t>
      </w:r>
      <w:r>
        <w:rPr>
          <w:i/>
          <w:iCs/>
          <w:lang w:eastAsia="lt-LT"/>
        </w:rPr>
        <w:t xml:space="preserve"> </w:t>
      </w:r>
      <w:r>
        <w:rPr>
          <w:lang w:eastAsia="lt-LT"/>
        </w:rPr>
        <w:t>laikotarpį,</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už</w:t>
      </w:r>
      <w:r>
        <w:rPr>
          <w:i/>
          <w:iCs/>
          <w:lang w:eastAsia="lt-LT"/>
        </w:rPr>
        <w:t xml:space="preserve"> </w:t>
      </w:r>
      <w:bookmarkStart w:id="169" w:name="n1_1560"/>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0" w:name="pn1_1560"/>
      <w:bookmarkEnd w:id="169"/>
      <w:bookmarkEnd w:id="170"/>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grupei,</w:t>
      </w:r>
      <w:r>
        <w:rPr>
          <w:i/>
          <w:iCs/>
          <w:lang w:eastAsia="lt-LT"/>
        </w:rPr>
        <w:t xml:space="preserve"> </w:t>
      </w:r>
      <w:r>
        <w:rPr>
          <w:lang w:eastAsia="lt-LT"/>
        </w:rPr>
        <w:t>kuriai</w:t>
      </w:r>
      <w:r>
        <w:rPr>
          <w:i/>
          <w:iCs/>
          <w:lang w:eastAsia="lt-LT"/>
        </w:rPr>
        <w:t xml:space="preserve"> </w:t>
      </w:r>
      <w:r>
        <w:rPr>
          <w:lang w:eastAsia="lt-LT"/>
        </w:rPr>
        <w:t>priskiriamas</w:t>
      </w:r>
      <w:r>
        <w:rPr>
          <w:i/>
          <w:iCs/>
          <w:lang w:eastAsia="lt-LT"/>
        </w:rPr>
        <w:t xml:space="preserve"> </w:t>
      </w:r>
      <w:r>
        <w:rPr>
          <w:lang w:eastAsia="lt-LT"/>
        </w:rPr>
        <w:t>pastatas,</w:t>
      </w:r>
      <w:r>
        <w:rPr>
          <w:i/>
          <w:iCs/>
          <w:lang w:eastAsia="lt-LT"/>
        </w:rPr>
        <w:t xml:space="preserve"> </w:t>
      </w:r>
      <w:r>
        <w:rPr>
          <w:lang w:eastAsia="lt-LT"/>
        </w:rPr>
        <w:t>nustatytą</w:t>
      </w:r>
      <w:r>
        <w:rPr>
          <w:i/>
          <w:iCs/>
          <w:lang w:eastAsia="lt-LT"/>
        </w:rPr>
        <w:t xml:space="preserve"> </w:t>
      </w:r>
      <w:r>
        <w:rPr>
          <w:lang w:eastAsia="lt-LT"/>
        </w:rPr>
        <w:t>maksimalų</w:t>
      </w:r>
      <w:r>
        <w:rPr>
          <w:i/>
          <w:iCs/>
          <w:lang w:eastAsia="lt-LT"/>
        </w:rPr>
        <w:t xml:space="preserve"> </w:t>
      </w:r>
      <w:r>
        <w:rPr>
          <w:lang w:eastAsia="lt-LT"/>
        </w:rPr>
        <w:t>laikotarpį,</w:t>
      </w:r>
      <w:r>
        <w:rPr>
          <w:i/>
          <w:iCs/>
          <w:lang w:eastAsia="lt-LT"/>
        </w:rPr>
        <w:t xml:space="preserve"> </w:t>
      </w:r>
      <w:r>
        <w:rPr>
          <w:lang w:eastAsia="lt-LT"/>
        </w:rPr>
        <w:t>įskaitant</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buvo</w:t>
      </w:r>
      <w:r>
        <w:rPr>
          <w:i/>
          <w:iCs/>
          <w:lang w:eastAsia="lt-LT"/>
        </w:rPr>
        <w:t xml:space="preserve"> </w:t>
      </w:r>
      <w:r>
        <w:rPr>
          <w:lang w:eastAsia="lt-LT"/>
        </w:rPr>
        <w:t>skaičiuojamas</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nusidėvėjimas</w:t>
      </w:r>
      <w:r>
        <w:rPr>
          <w:i/>
          <w:iCs/>
          <w:lang w:eastAsia="lt-LT"/>
        </w:rPr>
        <w:t xml:space="preserve"> </w:t>
      </w:r>
      <w:r>
        <w:rPr>
          <w:lang w:eastAsia="lt-LT"/>
        </w:rPr>
        <w:t>iki</w:t>
      </w:r>
      <w:r>
        <w:rPr>
          <w:i/>
          <w:iCs/>
          <w:lang w:eastAsia="lt-LT"/>
        </w:rPr>
        <w:t xml:space="preserve"> </w:t>
      </w:r>
      <w:r>
        <w:rPr>
          <w:lang w:eastAsia="lt-LT"/>
        </w:rPr>
        <w:t>jo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p>
    <w:p w14:paraId="7EE37BC6" w14:textId="77777777" w:rsidR="00093845" w:rsidRDefault="000D779E">
      <w:pPr>
        <w:spacing w:before="100" w:beforeAutospacing="1" w:after="100" w:afterAutospacing="1"/>
        <w:jc w:val="both"/>
        <w:rPr>
          <w:lang w:eastAsia="lt-LT"/>
        </w:rPr>
      </w:pPr>
      <w:r>
        <w:rPr>
          <w:lang w:eastAsia="lt-LT"/>
        </w:rPr>
        <w:t xml:space="preserve">    Pagal</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sutartį</w:t>
      </w:r>
      <w:r>
        <w:rPr>
          <w:i/>
          <w:iCs/>
          <w:lang w:eastAsia="lt-LT"/>
        </w:rPr>
        <w:t xml:space="preserve"> </w:t>
      </w:r>
      <w:r>
        <w:rPr>
          <w:lang w:eastAsia="lt-LT"/>
        </w:rPr>
        <w:t>mokamos</w:t>
      </w:r>
      <w:r>
        <w:rPr>
          <w:i/>
          <w:iCs/>
          <w:lang w:eastAsia="lt-LT"/>
        </w:rPr>
        <w:t xml:space="preserve"> </w:t>
      </w:r>
      <w:r>
        <w:rPr>
          <w:lang w:eastAsia="lt-LT"/>
        </w:rPr>
        <w:t>palūkanos</w:t>
      </w:r>
      <w:r>
        <w:rPr>
          <w:b/>
          <w:bCs/>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pagal</w:t>
      </w:r>
      <w:r>
        <w:rPr>
          <w:i/>
          <w:iCs/>
          <w:lang w:eastAsia="lt-LT"/>
        </w:rPr>
        <w:t xml:space="preserve"> </w:t>
      </w:r>
      <w:bookmarkStart w:id="171" w:name="n1_156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2" w:name="pn1_1561"/>
      <w:bookmarkEnd w:id="171"/>
      <w:bookmarkEnd w:id="172"/>
      <w:r>
        <w:rPr>
          <w:i/>
          <w:iCs/>
          <w:lang w:eastAsia="lt-LT"/>
        </w:rPr>
        <w:t xml:space="preserve"> </w:t>
      </w:r>
      <w:r>
        <w:rPr>
          <w:lang w:eastAsia="lt-LT"/>
        </w:rPr>
        <w:t>17</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dalį,</w:t>
      </w:r>
      <w:r>
        <w:rPr>
          <w:i/>
          <w:iCs/>
          <w:lang w:eastAsia="lt-LT"/>
        </w:rPr>
        <w:t xml:space="preserve"> </w:t>
      </w:r>
      <w:r>
        <w:rPr>
          <w:lang w:eastAsia="lt-LT"/>
        </w:rPr>
        <w:t>laikantis</w:t>
      </w:r>
      <w:r>
        <w:rPr>
          <w:i/>
          <w:iCs/>
          <w:lang w:eastAsia="lt-LT"/>
        </w:rPr>
        <w:t xml:space="preserve"> </w:t>
      </w:r>
      <w:r>
        <w:rPr>
          <w:lang w:eastAsia="lt-LT"/>
        </w:rPr>
        <w:t>kaupimo</w:t>
      </w:r>
      <w:r>
        <w:rPr>
          <w:i/>
          <w:iCs/>
          <w:lang w:eastAsia="lt-LT"/>
        </w:rPr>
        <w:t xml:space="preserve"> </w:t>
      </w:r>
      <w:r>
        <w:rPr>
          <w:lang w:eastAsia="lt-LT"/>
        </w:rPr>
        <w:t>principo.</w:t>
      </w:r>
    </w:p>
    <w:p w14:paraId="78105582" w14:textId="77777777" w:rsidR="00093845" w:rsidRDefault="000D779E">
      <w:pPr>
        <w:spacing w:before="100" w:beforeAutospacing="1" w:after="100" w:afterAutospacing="1"/>
        <w:jc w:val="both"/>
        <w:rPr>
          <w:lang w:eastAsia="lt-LT"/>
        </w:rPr>
      </w:pPr>
      <w:r>
        <w:rPr>
          <w:lang w:eastAsia="lt-LT"/>
        </w:rPr>
        <w:t>   Jei</w:t>
      </w:r>
      <w:r>
        <w:rPr>
          <w:i/>
          <w:iCs/>
          <w:lang w:eastAsia="lt-LT"/>
        </w:rPr>
        <w:t xml:space="preserve"> </w:t>
      </w:r>
      <w:r>
        <w:rPr>
          <w:lang w:eastAsia="lt-LT"/>
        </w:rPr>
        <w:t>atgalinio</w:t>
      </w:r>
      <w:r>
        <w:rPr>
          <w:i/>
          <w:iCs/>
          <w:lang w:eastAsia="lt-LT"/>
        </w:rPr>
        <w:t xml:space="preserve"> </w:t>
      </w:r>
      <w:r>
        <w:rPr>
          <w:lang w:eastAsia="lt-LT"/>
        </w:rPr>
        <w:t>lizingo</w:t>
      </w:r>
      <w:r>
        <w:rPr>
          <w:i/>
          <w:iCs/>
          <w:lang w:eastAsia="lt-LT"/>
        </w:rPr>
        <w:t xml:space="preserve"> </w:t>
      </w:r>
      <w:r>
        <w:rPr>
          <w:lang w:eastAsia="lt-LT"/>
        </w:rPr>
        <w:t>(finansinės</w:t>
      </w:r>
      <w:r>
        <w:rPr>
          <w:i/>
          <w:iCs/>
          <w:lang w:eastAsia="lt-LT"/>
        </w:rPr>
        <w:t xml:space="preserve"> </w:t>
      </w:r>
      <w:r>
        <w:rPr>
          <w:lang w:eastAsia="lt-LT"/>
        </w:rPr>
        <w:t>nuomos)</w:t>
      </w:r>
      <w:r>
        <w:rPr>
          <w:i/>
          <w:iCs/>
          <w:lang w:eastAsia="lt-LT"/>
        </w:rPr>
        <w:t xml:space="preserve"> </w:t>
      </w:r>
      <w:r>
        <w:rPr>
          <w:lang w:eastAsia="lt-LT"/>
        </w:rPr>
        <w:t>sutartis</w:t>
      </w:r>
      <w:r>
        <w:rPr>
          <w:i/>
          <w:iCs/>
          <w:lang w:eastAsia="lt-LT"/>
        </w:rPr>
        <w:t xml:space="preserve"> </w:t>
      </w:r>
      <w:r>
        <w:rPr>
          <w:lang w:eastAsia="lt-LT"/>
        </w:rPr>
        <w:t>nutraukiama</w:t>
      </w:r>
      <w:r>
        <w:rPr>
          <w:i/>
          <w:iCs/>
          <w:lang w:eastAsia="lt-LT"/>
        </w:rPr>
        <w:t xml:space="preserve"> </w:t>
      </w:r>
      <w:r>
        <w:rPr>
          <w:lang w:eastAsia="lt-LT"/>
        </w:rPr>
        <w:t>(įskaitant</w:t>
      </w:r>
      <w:r>
        <w:rPr>
          <w:i/>
          <w:iCs/>
          <w:lang w:eastAsia="lt-LT"/>
        </w:rPr>
        <w:t xml:space="preserve"> </w:t>
      </w:r>
      <w:r>
        <w:rPr>
          <w:lang w:eastAsia="lt-LT"/>
        </w:rPr>
        <w:t>atvejus,</w:t>
      </w:r>
      <w:r>
        <w:rPr>
          <w:i/>
          <w:iCs/>
          <w:lang w:eastAsia="lt-LT"/>
        </w:rPr>
        <w:t xml:space="preserve"> </w:t>
      </w:r>
      <w:r>
        <w:rPr>
          <w:lang w:eastAsia="lt-LT"/>
        </w:rPr>
        <w:t>kai</w:t>
      </w:r>
      <w:r>
        <w:rPr>
          <w:i/>
          <w:iCs/>
          <w:lang w:eastAsia="lt-LT"/>
        </w:rPr>
        <w:t xml:space="preserve"> </w:t>
      </w:r>
      <w:r>
        <w:rPr>
          <w:lang w:eastAsia="lt-LT"/>
        </w:rPr>
        <w:t>iš</w:t>
      </w:r>
      <w:r>
        <w:rPr>
          <w:i/>
          <w:iCs/>
          <w:lang w:eastAsia="lt-LT"/>
        </w:rPr>
        <w:t xml:space="preserve"> </w:t>
      </w:r>
      <w:r>
        <w:rPr>
          <w:lang w:eastAsia="lt-LT"/>
        </w:rPr>
        <w:t>šios</w:t>
      </w:r>
      <w:r>
        <w:rPr>
          <w:i/>
          <w:iCs/>
          <w:lang w:eastAsia="lt-LT"/>
        </w:rPr>
        <w:t xml:space="preserve"> </w:t>
      </w:r>
      <w:r>
        <w:rPr>
          <w:lang w:eastAsia="lt-LT"/>
        </w:rPr>
        <w:t>sutarties</w:t>
      </w:r>
      <w:r>
        <w:rPr>
          <w:i/>
          <w:iCs/>
          <w:lang w:eastAsia="lt-LT"/>
        </w:rPr>
        <w:t xml:space="preserve"> </w:t>
      </w:r>
      <w:r>
        <w:rPr>
          <w:lang w:eastAsia="lt-LT"/>
        </w:rPr>
        <w:t>kylančios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prievolės</w:t>
      </w:r>
      <w:r>
        <w:rPr>
          <w:i/>
          <w:iCs/>
          <w:lang w:eastAsia="lt-LT"/>
        </w:rPr>
        <w:t xml:space="preserve"> </w:t>
      </w:r>
      <w:r>
        <w:rPr>
          <w:lang w:eastAsia="lt-LT"/>
        </w:rPr>
        <w:t>perleidžiamos</w:t>
      </w:r>
      <w:r>
        <w:rPr>
          <w:i/>
          <w:iCs/>
          <w:lang w:eastAsia="lt-LT"/>
        </w:rPr>
        <w:t xml:space="preserve"> </w:t>
      </w:r>
      <w:r>
        <w:rPr>
          <w:lang w:eastAsia="lt-LT"/>
        </w:rPr>
        <w:t>trečiajai</w:t>
      </w:r>
      <w:r>
        <w:rPr>
          <w:i/>
          <w:iCs/>
          <w:lang w:eastAsia="lt-LT"/>
        </w:rPr>
        <w:t xml:space="preserve"> </w:t>
      </w:r>
      <w:r>
        <w:rPr>
          <w:lang w:eastAsia="lt-LT"/>
        </w:rPr>
        <w:t>šaliai),</w:t>
      </w:r>
      <w:r>
        <w:rPr>
          <w:i/>
          <w:iCs/>
          <w:lang w:eastAsia="lt-LT"/>
        </w:rPr>
        <w:t xml:space="preserve"> </w:t>
      </w:r>
      <w:r>
        <w:rPr>
          <w:lang w:eastAsia="lt-LT"/>
        </w:rPr>
        <w:t>tai</w:t>
      </w:r>
      <w:r>
        <w:rPr>
          <w:i/>
          <w:iCs/>
          <w:lang w:eastAsia="lt-LT"/>
        </w:rPr>
        <w:t xml:space="preserve"> </w:t>
      </w:r>
      <w:r>
        <w:rPr>
          <w:lang w:eastAsia="lt-LT"/>
        </w:rPr>
        <w:t>tokia</w:t>
      </w:r>
      <w:r>
        <w:rPr>
          <w:i/>
          <w:iCs/>
          <w:lang w:eastAsia="lt-LT"/>
        </w:rPr>
        <w:t xml:space="preserve"> </w:t>
      </w:r>
      <w:r>
        <w:rPr>
          <w:lang w:eastAsia="lt-LT"/>
        </w:rPr>
        <w:t>sutartis</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tikslams</w:t>
      </w:r>
      <w:r>
        <w:rPr>
          <w:i/>
          <w:iCs/>
          <w:lang w:eastAsia="lt-LT"/>
        </w:rPr>
        <w:t xml:space="preserve"> </w:t>
      </w:r>
      <w:r>
        <w:rPr>
          <w:lang w:eastAsia="lt-LT"/>
        </w:rPr>
        <w:t>laikoma</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sutartimi.</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vienetas</w:t>
      </w:r>
      <w:r>
        <w:rPr>
          <w:i/>
          <w:iCs/>
          <w:lang w:eastAsia="lt-LT"/>
        </w:rPr>
        <w:t xml:space="preserve"> </w:t>
      </w:r>
      <w:r>
        <w:rPr>
          <w:lang w:eastAsia="lt-LT"/>
        </w:rPr>
        <w:t>turės</w:t>
      </w:r>
      <w:r>
        <w:rPr>
          <w:i/>
          <w:iCs/>
          <w:lang w:eastAsia="lt-LT"/>
        </w:rPr>
        <w:t xml:space="preserve"> </w:t>
      </w:r>
      <w:r>
        <w:rPr>
          <w:lang w:eastAsia="lt-LT"/>
        </w:rPr>
        <w:t>pripažinti</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pajamas</w:t>
      </w:r>
      <w:r>
        <w:rPr>
          <w:i/>
          <w:iCs/>
          <w:lang w:eastAsia="lt-LT"/>
        </w:rPr>
        <w:t xml:space="preserve"> </w:t>
      </w:r>
      <w:r>
        <w:rPr>
          <w:lang w:eastAsia="lt-LT"/>
        </w:rPr>
        <w:t>(turto</w:t>
      </w:r>
      <w:r>
        <w:rPr>
          <w:i/>
          <w:iCs/>
          <w:lang w:eastAsia="lt-LT"/>
        </w:rPr>
        <w:t xml:space="preserve"> </w:t>
      </w:r>
      <w:r>
        <w:rPr>
          <w:lang w:eastAsia="lt-LT"/>
        </w:rPr>
        <w:t>vertės</w:t>
      </w:r>
      <w:r>
        <w:rPr>
          <w:i/>
          <w:iCs/>
          <w:lang w:eastAsia="lt-LT"/>
        </w:rPr>
        <w:t xml:space="preserve"> </w:t>
      </w:r>
      <w:r>
        <w:rPr>
          <w:lang w:eastAsia="lt-LT"/>
        </w:rPr>
        <w:t>padidėjimo</w:t>
      </w:r>
      <w:r>
        <w:rPr>
          <w:i/>
          <w:iCs/>
          <w:lang w:eastAsia="lt-LT"/>
        </w:rPr>
        <w:t xml:space="preserve"> </w:t>
      </w:r>
      <w:r>
        <w:rPr>
          <w:lang w:eastAsia="lt-LT"/>
        </w:rPr>
        <w:t>pajamas)</w:t>
      </w:r>
      <w:r>
        <w:rPr>
          <w:i/>
          <w:iCs/>
          <w:lang w:eastAsia="lt-LT"/>
        </w:rPr>
        <w:t xml:space="preserve"> </w:t>
      </w:r>
      <w:r>
        <w:rPr>
          <w:lang w:eastAsia="lt-LT"/>
        </w:rPr>
        <w:t>pagal</w:t>
      </w:r>
      <w:r>
        <w:rPr>
          <w:i/>
          <w:iCs/>
          <w:lang w:eastAsia="lt-LT"/>
        </w:rPr>
        <w:t xml:space="preserve"> </w:t>
      </w:r>
      <w:r>
        <w:rPr>
          <w:lang w:eastAsia="lt-LT"/>
        </w:rPr>
        <w:t>rinkos</w:t>
      </w:r>
      <w:r>
        <w:rPr>
          <w:i/>
          <w:iCs/>
          <w:lang w:eastAsia="lt-LT"/>
        </w:rPr>
        <w:t xml:space="preserve"> </w:t>
      </w:r>
      <w:r>
        <w:rPr>
          <w:lang w:eastAsia="lt-LT"/>
        </w:rPr>
        <w:t>kainą</w:t>
      </w:r>
      <w:r>
        <w:rPr>
          <w:i/>
          <w:iCs/>
          <w:lang w:eastAsia="lt-LT"/>
        </w:rPr>
        <w:t xml:space="preserve"> </w:t>
      </w:r>
      <w:r>
        <w:rPr>
          <w:lang w:eastAsia="lt-LT"/>
        </w:rPr>
        <w:t>nuo</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perleidimo</w:t>
      </w:r>
      <w:r>
        <w:rPr>
          <w:i/>
          <w:iCs/>
          <w:lang w:eastAsia="lt-LT"/>
        </w:rPr>
        <w:t xml:space="preserve"> </w:t>
      </w:r>
      <w:r>
        <w:rPr>
          <w:lang w:eastAsia="lt-LT"/>
        </w:rPr>
        <w:t>lizingo</w:t>
      </w:r>
      <w:r>
        <w:rPr>
          <w:i/>
          <w:iCs/>
          <w:lang w:eastAsia="lt-LT"/>
        </w:rPr>
        <w:t xml:space="preserve"> </w:t>
      </w:r>
      <w:r>
        <w:rPr>
          <w:lang w:eastAsia="lt-LT"/>
        </w:rPr>
        <w:t>davėjui</w:t>
      </w:r>
      <w:r>
        <w:rPr>
          <w:i/>
          <w:iCs/>
          <w:lang w:eastAsia="lt-LT"/>
        </w:rPr>
        <w:t xml:space="preserve"> </w:t>
      </w:r>
      <w:r>
        <w:rPr>
          <w:lang w:eastAsia="lt-LT"/>
        </w:rPr>
        <w:t>(pirkėjui)</w:t>
      </w:r>
      <w:r>
        <w:rPr>
          <w:i/>
          <w:iCs/>
          <w:lang w:eastAsia="lt-LT"/>
        </w:rPr>
        <w:t xml:space="preserve"> </w:t>
      </w:r>
      <w:r>
        <w:rPr>
          <w:lang w:eastAsia="lt-LT"/>
        </w:rPr>
        <w:t>datos</w:t>
      </w:r>
      <w:r>
        <w:rPr>
          <w:i/>
          <w:iCs/>
          <w:lang w:eastAsia="lt-LT"/>
        </w:rPr>
        <w:t xml:space="preserve"> </w:t>
      </w:r>
      <w:bookmarkStart w:id="173" w:name="n1_156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4" w:name="pn1_1566"/>
      <w:bookmarkEnd w:id="173"/>
      <w:bookmarkEnd w:id="174"/>
      <w:r w:rsidRPr="00396F19">
        <w:rPr>
          <w:b/>
          <w:i/>
          <w:iCs/>
          <w:lang w:eastAsia="lt-LT"/>
        </w:rPr>
        <w:t xml:space="preserve"> </w:t>
      </w:r>
      <w:r>
        <w:rPr>
          <w:lang w:eastAsia="lt-LT"/>
        </w:rPr>
        <w:t>16</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ir</w:t>
      </w:r>
      <w:r>
        <w:rPr>
          <w:i/>
          <w:iCs/>
          <w:lang w:eastAsia="lt-LT"/>
        </w:rPr>
        <w:t xml:space="preserve"> </w:t>
      </w:r>
      <w:r>
        <w:rPr>
          <w:lang w:eastAsia="lt-LT"/>
        </w:rPr>
        <w:t>2</w:t>
      </w:r>
      <w:r>
        <w:rPr>
          <w:i/>
          <w:iCs/>
          <w:lang w:eastAsia="lt-LT"/>
        </w:rPr>
        <w:t xml:space="preserve"> </w:t>
      </w:r>
      <w:r>
        <w:rPr>
          <w:lang w:eastAsia="lt-LT"/>
        </w:rPr>
        <w:t>dalyse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jis</w:t>
      </w:r>
      <w:r>
        <w:rPr>
          <w:i/>
          <w:iCs/>
          <w:lang w:eastAsia="lt-LT"/>
        </w:rPr>
        <w:t xml:space="preserve"> </w:t>
      </w:r>
      <w:r>
        <w:rPr>
          <w:lang w:eastAsia="lt-LT"/>
        </w:rPr>
        <w:t>turės</w:t>
      </w:r>
      <w:r>
        <w:rPr>
          <w:i/>
          <w:iCs/>
          <w:lang w:eastAsia="lt-LT"/>
        </w:rPr>
        <w:t xml:space="preserve"> </w:t>
      </w:r>
      <w:r>
        <w:rPr>
          <w:lang w:eastAsia="lt-LT"/>
        </w:rPr>
        <w:t>perskaičiuoti</w:t>
      </w:r>
      <w:r>
        <w:rPr>
          <w:i/>
          <w:iCs/>
          <w:lang w:eastAsia="lt-LT"/>
        </w:rPr>
        <w:t xml:space="preserve"> </w:t>
      </w:r>
      <w:r>
        <w:rPr>
          <w:lang w:eastAsia="lt-LT"/>
        </w:rPr>
        <w:t>iki</w:t>
      </w:r>
      <w:r>
        <w:rPr>
          <w:i/>
          <w:iCs/>
          <w:lang w:eastAsia="lt-LT"/>
        </w:rPr>
        <w:t xml:space="preserve"> </w:t>
      </w:r>
      <w:r>
        <w:rPr>
          <w:lang w:eastAsia="lt-LT"/>
        </w:rPr>
        <w:t>sutarties</w:t>
      </w:r>
      <w:r>
        <w:rPr>
          <w:i/>
          <w:iCs/>
          <w:lang w:eastAsia="lt-LT"/>
        </w:rPr>
        <w:t xml:space="preserve"> </w:t>
      </w:r>
      <w:r>
        <w:rPr>
          <w:lang w:eastAsia="lt-LT"/>
        </w:rPr>
        <w:t>nutraukimo</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priskirtinas</w:t>
      </w:r>
      <w:r>
        <w:rPr>
          <w:i/>
          <w:iCs/>
          <w:lang w:eastAsia="lt-LT"/>
        </w:rPr>
        <w:t xml:space="preserve"> </w:t>
      </w:r>
      <w:r>
        <w:rPr>
          <w:lang w:eastAsia="lt-LT"/>
        </w:rPr>
        <w:t>ilgalaikio</w:t>
      </w:r>
      <w:r>
        <w:rPr>
          <w:i/>
          <w:iCs/>
          <w:lang w:eastAsia="lt-LT"/>
        </w:rPr>
        <w:t xml:space="preserve"> </w:t>
      </w:r>
      <w:r>
        <w:rPr>
          <w:lang w:eastAsia="lt-LT"/>
        </w:rPr>
        <w:t>turto</w:t>
      </w:r>
      <w:r>
        <w:rPr>
          <w:i/>
          <w:iCs/>
          <w:lang w:eastAsia="lt-LT"/>
        </w:rPr>
        <w:t xml:space="preserve"> </w:t>
      </w:r>
      <w:r>
        <w:rPr>
          <w:lang w:eastAsia="lt-LT"/>
        </w:rPr>
        <w:t>nusidėvėjimo</w:t>
      </w:r>
      <w:r>
        <w:rPr>
          <w:i/>
          <w:iCs/>
          <w:lang w:eastAsia="lt-LT"/>
        </w:rPr>
        <w:t xml:space="preserve"> </w:t>
      </w:r>
      <w:r>
        <w:rPr>
          <w:lang w:eastAsia="lt-LT"/>
        </w:rPr>
        <w:t>(ar</w:t>
      </w:r>
      <w:r>
        <w:rPr>
          <w:i/>
          <w:iCs/>
          <w:lang w:eastAsia="lt-LT"/>
        </w:rPr>
        <w:t xml:space="preserve"> </w:t>
      </w:r>
      <w:r>
        <w:rPr>
          <w:lang w:eastAsia="lt-LT"/>
        </w:rPr>
        <w:t>amortizacijos)</w:t>
      </w:r>
      <w:r>
        <w:rPr>
          <w:i/>
          <w:iCs/>
          <w:lang w:eastAsia="lt-LT"/>
        </w:rPr>
        <w:t xml:space="preserve"> </w:t>
      </w:r>
      <w:r>
        <w:rPr>
          <w:lang w:eastAsia="lt-LT"/>
        </w:rPr>
        <w:t>sąnaudas,</w:t>
      </w:r>
      <w:r>
        <w:rPr>
          <w:i/>
          <w:iCs/>
          <w:lang w:eastAsia="lt-LT"/>
        </w:rPr>
        <w:t xml:space="preserve"> </w:t>
      </w:r>
      <w:r>
        <w:rPr>
          <w:lang w:eastAsia="lt-LT"/>
        </w:rPr>
        <w:t>laikantis</w:t>
      </w:r>
      <w:r>
        <w:rPr>
          <w:i/>
          <w:iCs/>
          <w:lang w:eastAsia="lt-LT"/>
        </w:rPr>
        <w:t xml:space="preserve"> </w:t>
      </w:r>
      <w:bookmarkStart w:id="175" w:name="n1_157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6" w:name="pn1_1571"/>
      <w:bookmarkEnd w:id="175"/>
      <w:bookmarkEnd w:id="176"/>
      <w:r w:rsidRPr="00396F19">
        <w:rPr>
          <w:b/>
          <w:i/>
          <w:iCs/>
          <w:lang w:eastAsia="lt-LT"/>
        </w:rPr>
        <w:t xml:space="preserve"> </w:t>
      </w:r>
      <w:r>
        <w:rPr>
          <w:lang w:eastAsia="lt-LT"/>
        </w:rPr>
        <w:t>19</w:t>
      </w:r>
      <w:r>
        <w:rPr>
          <w:i/>
          <w:iCs/>
          <w:lang w:eastAsia="lt-LT"/>
        </w:rPr>
        <w:t xml:space="preserve"> </w:t>
      </w:r>
      <w:r>
        <w:rPr>
          <w:lang w:eastAsia="lt-LT"/>
        </w:rPr>
        <w:t>str.</w:t>
      </w:r>
      <w:r>
        <w:rPr>
          <w:i/>
          <w:iCs/>
          <w:lang w:eastAsia="lt-LT"/>
        </w:rPr>
        <w:t xml:space="preserve"> </w:t>
      </w:r>
      <w:r>
        <w:rPr>
          <w:lang w:eastAsia="lt-LT"/>
        </w:rPr>
        <w:t>4</w:t>
      </w:r>
      <w:r>
        <w:rPr>
          <w:i/>
          <w:iCs/>
          <w:lang w:eastAsia="lt-LT"/>
        </w:rPr>
        <w:t xml:space="preserve"> </w:t>
      </w:r>
      <w:r>
        <w:rPr>
          <w:lang w:eastAsia="lt-LT"/>
        </w:rPr>
        <w:t>dalies</w:t>
      </w:r>
      <w:r>
        <w:rPr>
          <w:i/>
          <w:iCs/>
          <w:lang w:eastAsia="lt-LT"/>
        </w:rPr>
        <w:t xml:space="preserve"> </w:t>
      </w:r>
      <w:r>
        <w:rPr>
          <w:lang w:eastAsia="lt-LT"/>
        </w:rPr>
        <w:t>reikalavimų</w:t>
      </w:r>
      <w:r>
        <w:rPr>
          <w:i/>
          <w:iCs/>
          <w:lang w:eastAsia="lt-LT"/>
        </w:rPr>
        <w:t xml:space="preserve"> </w:t>
      </w:r>
      <w:r>
        <w:rPr>
          <w:lang w:eastAsia="lt-LT"/>
        </w:rPr>
        <w:t>(žr.</w:t>
      </w:r>
      <w:r>
        <w:rPr>
          <w:i/>
          <w:iCs/>
          <w:lang w:eastAsia="lt-LT"/>
        </w:rPr>
        <w:t xml:space="preserve"> </w:t>
      </w:r>
      <w:bookmarkStart w:id="177" w:name="n1_157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78" w:name="pn1_1576"/>
      <w:bookmarkEnd w:id="177"/>
      <w:bookmarkEnd w:id="178"/>
      <w:r>
        <w:rPr>
          <w:i/>
          <w:iCs/>
          <w:lang w:eastAsia="lt-LT"/>
        </w:rPr>
        <w:t xml:space="preserve"> </w:t>
      </w:r>
      <w:r>
        <w:rPr>
          <w:lang w:eastAsia="lt-LT"/>
        </w:rPr>
        <w:t>19</w:t>
      </w:r>
      <w:r>
        <w:rPr>
          <w:i/>
          <w:iCs/>
          <w:lang w:eastAsia="lt-LT"/>
        </w:rPr>
        <w:t xml:space="preserve"> </w:t>
      </w:r>
      <w:r>
        <w:rPr>
          <w:lang w:eastAsia="lt-LT"/>
        </w:rPr>
        <w:t>str.</w:t>
      </w:r>
      <w:r>
        <w:rPr>
          <w:i/>
          <w:iCs/>
          <w:lang w:eastAsia="lt-LT"/>
        </w:rPr>
        <w:t xml:space="preserve"> </w:t>
      </w:r>
      <w:r>
        <w:rPr>
          <w:lang w:eastAsia="lt-LT"/>
        </w:rPr>
        <w:t>4</w:t>
      </w:r>
      <w:r>
        <w:rPr>
          <w:i/>
          <w:iCs/>
          <w:lang w:eastAsia="lt-LT"/>
        </w:rPr>
        <w:t xml:space="preserve"> </w:t>
      </w:r>
      <w:r>
        <w:rPr>
          <w:lang w:eastAsia="lt-LT"/>
        </w:rPr>
        <w:t>dalies</w:t>
      </w:r>
      <w:r>
        <w:rPr>
          <w:i/>
          <w:iCs/>
          <w:lang w:eastAsia="lt-LT"/>
        </w:rPr>
        <w:t xml:space="preserve"> </w:t>
      </w:r>
      <w:r>
        <w:rPr>
          <w:lang w:eastAsia="lt-LT"/>
        </w:rPr>
        <w:t>komentarą).</w:t>
      </w:r>
      <w:r>
        <w:rPr>
          <w:i/>
          <w:iCs/>
          <w:lang w:eastAsia="lt-LT"/>
        </w:rPr>
        <w:t>“</w:t>
      </w:r>
    </w:p>
    <w:p w14:paraId="25AD62BA" w14:textId="77777777" w:rsidR="00093845" w:rsidRDefault="00396F19">
      <w:pPr>
        <w:spacing w:before="100" w:beforeAutospacing="1" w:after="100" w:afterAutospacing="1"/>
        <w:jc w:val="both"/>
        <w:rPr>
          <w:lang w:eastAsia="lt-LT"/>
        </w:rPr>
      </w:pPr>
      <w:r>
        <w:rPr>
          <w:lang w:eastAsia="lt-LT"/>
        </w:rPr>
        <w:t xml:space="preserve">     27. Pagal </w:t>
      </w:r>
      <w:r w:rsidR="000D779E">
        <w:rPr>
          <w:lang w:eastAsia="lt-LT"/>
        </w:rPr>
        <w:t xml:space="preserve">Lietuvos Respublikos </w:t>
      </w:r>
      <w:bookmarkStart w:id="179" w:name="n1_1581"/>
      <w:r w:rsidR="000D779E" w:rsidRPr="00396F19">
        <w:rPr>
          <w:b/>
          <w:lang w:eastAsia="lt-LT"/>
        </w:rPr>
        <w:fldChar w:fldCharType="begin"/>
      </w:r>
      <w:r w:rsidR="000D779E" w:rsidRPr="00396F19">
        <w:rPr>
          <w:b/>
          <w:lang w:eastAsia="lt-LT"/>
        </w:rPr>
        <w:instrText xml:space="preserve"> HYPERLINK "http://www.infolex.lt/ta/55775" \o "Lietuvos Respublikos pakuočių ir pakuočių atliekų tvarkymo įstatymas" \t "_blank"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pakuočių ir pakuočių atliekų tvarkymo įstatymo</w:t>
      </w:r>
      <w:r w:rsidR="000D779E" w:rsidRPr="00396F19">
        <w:rPr>
          <w:b/>
          <w:lang w:eastAsia="lt-LT"/>
        </w:rPr>
        <w:fldChar w:fldCharType="end"/>
      </w:r>
      <w:bookmarkStart w:id="180" w:name="pn1_1581"/>
      <w:bookmarkEnd w:id="179"/>
      <w:bookmarkEnd w:id="180"/>
      <w:r w:rsidR="000D779E" w:rsidRPr="00396F19">
        <w:rPr>
          <w:b/>
          <w:lang w:eastAsia="lt-LT"/>
        </w:rPr>
        <w:t xml:space="preserve"> </w:t>
      </w:r>
      <w:r w:rsidR="000D779E">
        <w:rPr>
          <w:lang w:eastAsia="lt-LT"/>
        </w:rPr>
        <w:t xml:space="preserve">(toliau – </w:t>
      </w:r>
      <w:bookmarkStart w:id="181" w:name="n1_1582"/>
      <w:r w:rsidR="000D779E" w:rsidRPr="00396F19">
        <w:rPr>
          <w:b/>
          <w:lang w:eastAsia="lt-LT"/>
        </w:rPr>
        <w:fldChar w:fldCharType="begin"/>
      </w:r>
      <w:r w:rsidR="000D779E" w:rsidRPr="00396F19">
        <w:rPr>
          <w:b/>
          <w:lang w:eastAsia="lt-LT"/>
        </w:rPr>
        <w:instrText xml:space="preserve"> HYPERLINK "http://www.infolex.lt/ta/55775" \o "Lietuvos Respublikos pakuočių ir pakuočių atliekų tvarkymo įstatymas" \t "_blank"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PPATĮ</w:t>
      </w:r>
      <w:r w:rsidR="000D779E" w:rsidRPr="00396F19">
        <w:rPr>
          <w:b/>
          <w:lang w:eastAsia="lt-LT"/>
        </w:rPr>
        <w:fldChar w:fldCharType="end"/>
      </w:r>
      <w:bookmarkStart w:id="182" w:name="pn1_1582"/>
      <w:bookmarkEnd w:id="181"/>
      <w:bookmarkEnd w:id="182"/>
      <w:r w:rsidR="000D779E">
        <w:rPr>
          <w:lang w:eastAsia="lt-LT"/>
        </w:rPr>
        <w:t xml:space="preserve">) </w:t>
      </w:r>
      <w:bookmarkStart w:id="183" w:name="n1_1583"/>
      <w:r w:rsidR="000D779E" w:rsidRPr="00396F19">
        <w:rPr>
          <w:b/>
          <w:lang w:eastAsia="lt-LT"/>
        </w:rPr>
        <w:fldChar w:fldCharType="begin"/>
      </w:r>
      <w:r w:rsidR="000D779E" w:rsidRPr="00396F19">
        <w:rPr>
          <w:b/>
          <w:lang w:eastAsia="lt-LT"/>
        </w:rPr>
        <w:instrText xml:space="preserve"> HYPERLINK "JavaScript:OL('55775','11')" \o "Užstatai už pakuotes (str. 11)" </w:instrText>
      </w:r>
      <w:r w:rsidR="000D779E" w:rsidRPr="00396F19">
        <w:rPr>
          <w:b/>
          <w:lang w:eastAsia="lt-LT"/>
        </w:rPr>
        <w:fldChar w:fldCharType="separate"/>
      </w:r>
      <w:r w:rsidR="000D779E" w:rsidRPr="00396F19">
        <w:rPr>
          <w:rStyle w:val="Hipersaitas"/>
          <w:rFonts w:ascii="Times New Roman" w:hAnsi="Times New Roman" w:cs="Times New Roman"/>
          <w:b w:val="0"/>
          <w:lang w:eastAsia="lt-LT"/>
        </w:rPr>
        <w:t>11</w:t>
      </w:r>
      <w:r w:rsidR="000D779E" w:rsidRPr="00396F19">
        <w:rPr>
          <w:b/>
          <w:lang w:eastAsia="lt-LT"/>
        </w:rPr>
        <w:fldChar w:fldCharType="end"/>
      </w:r>
      <w:bookmarkStart w:id="184" w:name="pn1_1583"/>
      <w:bookmarkEnd w:id="183"/>
      <w:bookmarkEnd w:id="184"/>
      <w:r>
        <w:rPr>
          <w:lang w:eastAsia="lt-LT"/>
        </w:rPr>
        <w:t xml:space="preserve"> straipsnio nuostatas</w:t>
      </w:r>
      <w:r w:rsidR="000D779E">
        <w:rPr>
          <w:lang w:eastAsia="lt-LT"/>
        </w:rPr>
        <w:t xml:space="preserve">, </w:t>
      </w:r>
      <w:r>
        <w:rPr>
          <w:lang w:eastAsia="lt-LT"/>
        </w:rPr>
        <w:t>t</w:t>
      </w:r>
      <w:r w:rsidR="000D779E">
        <w:rPr>
          <w:lang w:eastAsia="lt-LT"/>
        </w:rPr>
        <w:t xml:space="preserve">aikant vienkartinės pakuotės užstato sistemą, tiek gamintojo, tiek prekybinės įmonės, pardavusios prekę, supakuotą į vienkartinę pakuotę, apmokestinamosiomis pajamomis laikoma tos prekės kaina be užstato už vienkartinę pakuotę. </w:t>
      </w:r>
    </w:p>
    <w:p w14:paraId="07B12ED9" w14:textId="77777777" w:rsidR="00093845" w:rsidRDefault="000D779E">
      <w:pPr>
        <w:spacing w:before="100" w:beforeAutospacing="1" w:after="100" w:afterAutospacing="1"/>
        <w:jc w:val="both"/>
        <w:rPr>
          <w:lang w:eastAsia="lt-LT"/>
        </w:rPr>
      </w:pPr>
      <w:r>
        <w:rPr>
          <w:lang w:eastAsia="lt-LT"/>
        </w:rPr>
        <w:t xml:space="preserve">     Vienetai, parduodami gaminius vienkartinėse pakuotėse, kurioms taikoma užstato sistema, apskaitos dokumentuose atskirai nurodo gaminio kainą ir pakuotės užstato dydį. Todėl prekių gamintojai (tiekėjai) parduodami prekes pirkėjui (prekybos įmonei) PVM sąskaitoje faktūroje atskirai nuo produkto kainos, į kurią įeina ir vienkartinės pakuotės vertė, nurodo užstato vertę. Atitinkamai prekybos įmonių prekių pirkėjams (gyventojams) išduotame kasos aparato kvite bei pagal išduotą kvitą išrašytoje PVM sąskaitoje faktūroje paimtas užstatas už vienkartinę pakuotę, į kurią įpakuotos parduodamos prekės, taip pat nurodomas atskirai nuo parduotų prekių kainos. </w:t>
      </w:r>
    </w:p>
    <w:p w14:paraId="335EF3EE" w14:textId="77777777" w:rsidR="00093845" w:rsidRDefault="000D779E">
      <w:pPr>
        <w:spacing w:before="100" w:beforeAutospacing="1" w:after="100" w:afterAutospacing="1"/>
        <w:jc w:val="both"/>
        <w:rPr>
          <w:lang w:eastAsia="lt-LT"/>
        </w:rPr>
      </w:pPr>
      <w:r>
        <w:rPr>
          <w:lang w:eastAsia="lt-LT"/>
        </w:rPr>
        <w:t xml:space="preserve">     Užstatas yra tik garantija, kad vienkartinė pakuotė bus grąžinta, todėl tiek gamintojo ir/ar importuotojo, tiek prekybos įmonės paimta/grąžinta užstato suma nėra pelno mokesčio objektas. Šios nuostatos taikomos nepriklausomai nuo to, ar prekybos įmonei, paėmusiai iš gyventojo užstatą už vienkartinę pakuotę, gyventojas vėliau grąžina šią pakuotę, ar ne, t. y., ar ši prekybos įmonė superka gyventojų užstatinę pakuotę, ar ne. </w:t>
      </w:r>
    </w:p>
    <w:p w14:paraId="5CC0B4AC" w14:textId="77777777" w:rsidR="00093845" w:rsidRDefault="000D779E">
      <w:pPr>
        <w:spacing w:before="100" w:beforeAutospacing="1" w:after="100" w:afterAutospacing="1"/>
        <w:jc w:val="both"/>
        <w:rPr>
          <w:lang w:eastAsia="lt-LT"/>
        </w:rPr>
      </w:pPr>
      <w:r>
        <w:rPr>
          <w:lang w:eastAsia="lt-LT"/>
        </w:rPr>
        <w:t xml:space="preserve">     Pagal </w:t>
      </w:r>
      <w:bookmarkStart w:id="185" w:name="n1_1584"/>
      <w:r w:rsidRPr="00396F19">
        <w:rPr>
          <w:b/>
          <w:lang w:eastAsia="lt-LT"/>
        </w:rPr>
        <w:fldChar w:fldCharType="begin"/>
      </w:r>
      <w:r w:rsidRPr="00396F19">
        <w:rPr>
          <w:b/>
          <w:lang w:eastAsia="lt-LT"/>
        </w:rPr>
        <w:instrText xml:space="preserve"> HYPERLINK "http://www.infolex.lt/ta/55775" \o "Lietuvos Respublikos pakuočių ir pakuočių atliekų tvarkymo įstatymas" \t "_blank" </w:instrText>
      </w:r>
      <w:r w:rsidRPr="00396F19">
        <w:rPr>
          <w:b/>
          <w:lang w:eastAsia="lt-LT"/>
        </w:rPr>
        <w:fldChar w:fldCharType="separate"/>
      </w:r>
      <w:r w:rsidRPr="00396F19">
        <w:rPr>
          <w:rStyle w:val="Hipersaitas"/>
          <w:rFonts w:ascii="Times New Roman" w:hAnsi="Times New Roman" w:cs="Times New Roman"/>
          <w:b w:val="0"/>
          <w:lang w:eastAsia="lt-LT"/>
        </w:rPr>
        <w:t>PPATĮ</w:t>
      </w:r>
      <w:r w:rsidRPr="00396F19">
        <w:rPr>
          <w:b/>
          <w:lang w:eastAsia="lt-LT"/>
        </w:rPr>
        <w:fldChar w:fldCharType="end"/>
      </w:r>
      <w:bookmarkStart w:id="186" w:name="pn1_1584"/>
      <w:bookmarkEnd w:id="185"/>
      <w:bookmarkEnd w:id="186"/>
      <w:r>
        <w:rPr>
          <w:lang w:eastAsia="lt-LT"/>
        </w:rPr>
        <w:t xml:space="preserve"> nuostatas, užstato už vienkartines pakuotes sistemos Administratorius yra pelno nesiekiantis viešasis juridinis asmuo, įsteigtas vadovaujantis Lietuvos Respublikos </w:t>
      </w:r>
      <w:bookmarkStart w:id="187" w:name="n1_1585"/>
      <w:r>
        <w:rPr>
          <w:lang w:eastAsia="lt-LT"/>
        </w:rPr>
        <w:fldChar w:fldCharType="begin"/>
      </w:r>
      <w:r>
        <w:rPr>
          <w:lang w:eastAsia="lt-LT"/>
        </w:rPr>
        <w:instrText xml:space="preserve"> HYPERLINK "http://www.infolex.lt/ta/103597" \o "Lietuvos Respublikos asociacijų įstatymas" \t "_blank" </w:instrText>
      </w:r>
      <w:r>
        <w:rPr>
          <w:lang w:eastAsia="lt-LT"/>
        </w:rPr>
        <w:fldChar w:fldCharType="separate"/>
      </w:r>
      <w:r w:rsidRPr="00396F19">
        <w:rPr>
          <w:rStyle w:val="Hipersaitas"/>
          <w:rFonts w:ascii="Times New Roman" w:hAnsi="Times New Roman" w:cs="Times New Roman"/>
          <w:b w:val="0"/>
          <w:lang w:eastAsia="lt-LT"/>
        </w:rPr>
        <w:t>asociacijų</w:t>
      </w:r>
      <w:r>
        <w:rPr>
          <w:rStyle w:val="Hipersaitas"/>
          <w:rFonts w:ascii="Times New Roman" w:hAnsi="Times New Roman" w:cs="Times New Roman"/>
          <w:lang w:eastAsia="lt-LT"/>
        </w:rPr>
        <w:t xml:space="preserve"> </w:t>
      </w:r>
      <w:r w:rsidRPr="00396F19">
        <w:rPr>
          <w:rStyle w:val="Hipersaitas"/>
          <w:rFonts w:ascii="Times New Roman" w:hAnsi="Times New Roman" w:cs="Times New Roman"/>
          <w:b w:val="0"/>
          <w:lang w:eastAsia="lt-LT"/>
        </w:rPr>
        <w:t>įstatymo</w:t>
      </w:r>
      <w:r>
        <w:rPr>
          <w:lang w:eastAsia="lt-LT"/>
        </w:rPr>
        <w:fldChar w:fldCharType="end"/>
      </w:r>
      <w:bookmarkStart w:id="188" w:name="pn1_1585"/>
      <w:bookmarkEnd w:id="187"/>
      <w:bookmarkEnd w:id="188"/>
      <w:r>
        <w:rPr>
          <w:lang w:eastAsia="lt-LT"/>
        </w:rPr>
        <w:t xml:space="preserve"> ar Lietuvos Respublikos </w:t>
      </w:r>
      <w:bookmarkStart w:id="189" w:name="n1_1586"/>
      <w:r w:rsidRPr="00396F19">
        <w:rPr>
          <w:b/>
          <w:lang w:eastAsia="lt-LT"/>
        </w:rPr>
        <w:fldChar w:fldCharType="begin"/>
      </w:r>
      <w:r w:rsidRPr="00396F19">
        <w:rPr>
          <w:b/>
          <w:lang w:eastAsia="lt-LT"/>
        </w:rPr>
        <w:instrText xml:space="preserve"> HYPERLINK "http://www.infolex.lt/ta/14904" \o "Lietuvos Respublikos viešųjų įstaigų įstatymas" \t "_blank" </w:instrText>
      </w:r>
      <w:r w:rsidRPr="00396F19">
        <w:rPr>
          <w:b/>
          <w:lang w:eastAsia="lt-LT"/>
        </w:rPr>
        <w:fldChar w:fldCharType="separate"/>
      </w:r>
      <w:r w:rsidRPr="00396F19">
        <w:rPr>
          <w:rStyle w:val="Hipersaitas"/>
          <w:rFonts w:ascii="Times New Roman" w:hAnsi="Times New Roman" w:cs="Times New Roman"/>
          <w:b w:val="0"/>
          <w:lang w:eastAsia="lt-LT"/>
        </w:rPr>
        <w:t>viešųjų įstaigų įstatymo</w:t>
      </w:r>
      <w:r w:rsidRPr="00396F19">
        <w:rPr>
          <w:b/>
          <w:lang w:eastAsia="lt-LT"/>
        </w:rPr>
        <w:fldChar w:fldCharType="end"/>
      </w:r>
      <w:bookmarkStart w:id="190" w:name="pn1_1586"/>
      <w:bookmarkEnd w:id="189"/>
      <w:bookmarkEnd w:id="190"/>
      <w:r>
        <w:rPr>
          <w:lang w:eastAsia="lt-LT"/>
        </w:rPr>
        <w:t xml:space="preserve"> nustatyta tvarka. Taikant vienkartinės pakuotės užstato sistemą, Administratoriaus pajamomis yra laikoma gautos pajamos už gamintojui ir/ar </w:t>
      </w:r>
      <w:r>
        <w:rPr>
          <w:lang w:eastAsia="lt-LT"/>
        </w:rPr>
        <w:lastRenderedPageBreak/>
        <w:t>importuotojui teikiamas užstato administravimo paslaugas, taip pat už vienkartinės pakuotės atliekas, kurias Administratorius tiekia atliekų perdirbėjams.</w:t>
      </w:r>
    </w:p>
    <w:p w14:paraId="67E001B3" w14:textId="77777777" w:rsidR="00093845" w:rsidRDefault="000D779E">
      <w:pPr>
        <w:spacing w:before="100" w:beforeAutospacing="1" w:after="100" w:afterAutospacing="1"/>
        <w:jc w:val="both"/>
        <w:rPr>
          <w:lang w:eastAsia="lt-LT"/>
        </w:rPr>
      </w:pPr>
      <w:r>
        <w:rPr>
          <w:lang w:eastAsia="lt-LT"/>
        </w:rPr>
        <w:t xml:space="preserve">    28. Vadovaujantis </w:t>
      </w:r>
      <w:bookmarkStart w:id="191" w:name="n1_1587"/>
      <w:r w:rsidRPr="00396F19">
        <w:rPr>
          <w:b/>
          <w:lang w:eastAsia="lt-LT"/>
        </w:rPr>
        <w:fldChar w:fldCharType="begin"/>
      </w:r>
      <w:r w:rsidRPr="00396F19">
        <w:rPr>
          <w:b/>
          <w:lang w:eastAsia="lt-LT"/>
        </w:rPr>
        <w:instrText xml:space="preserve"> HYPERLINK "http://www.infolex.lt/ta/52483" \o "Lietuvos Respublikos investicijų įstatymas" \t "_blank" </w:instrText>
      </w:r>
      <w:r w:rsidRPr="00396F19">
        <w:rPr>
          <w:b/>
          <w:lang w:eastAsia="lt-LT"/>
        </w:rPr>
        <w:fldChar w:fldCharType="separate"/>
      </w:r>
      <w:r w:rsidRPr="00396F19">
        <w:rPr>
          <w:rStyle w:val="Hipersaitas"/>
          <w:rFonts w:ascii="Times New Roman" w:hAnsi="Times New Roman" w:cs="Times New Roman"/>
          <w:b w:val="0"/>
          <w:lang w:eastAsia="lt-LT"/>
        </w:rPr>
        <w:t>Investicijų įstatymo</w:t>
      </w:r>
      <w:r w:rsidRPr="00396F19">
        <w:rPr>
          <w:b/>
          <w:lang w:eastAsia="lt-LT"/>
        </w:rPr>
        <w:fldChar w:fldCharType="end"/>
      </w:r>
      <w:bookmarkStart w:id="192" w:name="pn1_1587"/>
      <w:bookmarkEnd w:id="191"/>
      <w:bookmarkEnd w:id="192"/>
      <w:r>
        <w:rPr>
          <w:lang w:eastAsia="lt-LT"/>
        </w:rPr>
        <w:t xml:space="preserve"> nuostatomis, viešojo ir privataus sektorių partnerystė (toliau – VPSP) – tai valstybės arba savivaldybės institucijos ir privataus subjekto įstatymuose nustatyti bendradarbiavimo būdai, kuriais valstybės arba savivaldybės institucija perduoda jos funkcijoms priskirtą veiklą privačiam subjektui, kuris investuoja į šią veiklą ir jai vykdyti reikalingą turtą, už tai gaudamas nustatytą atlyginimą. </w:t>
      </w:r>
    </w:p>
    <w:p w14:paraId="17AE1A5A" w14:textId="77777777" w:rsidR="00093845" w:rsidRDefault="000D779E">
      <w:pPr>
        <w:spacing w:before="100" w:beforeAutospacing="1" w:after="100" w:afterAutospacing="1"/>
        <w:jc w:val="both"/>
        <w:rPr>
          <w:lang w:eastAsia="lt-LT"/>
        </w:rPr>
      </w:pPr>
      <w:r>
        <w:rPr>
          <w:lang w:eastAsia="lt-LT"/>
        </w:rPr>
        <w:t xml:space="preserve">    Nuo sudarytos VPSP sutarties priklauso privataus subjekto pajamų pripažinimas. Dažniausiai pasitaikantys VPSP sutarties atvejai: </w:t>
      </w:r>
    </w:p>
    <w:p w14:paraId="0D35BEDF" w14:textId="77777777" w:rsidR="00093845" w:rsidRDefault="000D779E">
      <w:pPr>
        <w:spacing w:before="100" w:beforeAutospacing="1" w:after="100" w:afterAutospacing="1"/>
        <w:jc w:val="both"/>
        <w:rPr>
          <w:lang w:eastAsia="lt-LT"/>
        </w:rPr>
      </w:pPr>
      <w:r>
        <w:rPr>
          <w:lang w:eastAsia="lt-LT"/>
        </w:rPr>
        <w:t xml:space="preserve">– kai sukurtą turtą privatus asmuo naudoja nuosavybės teise. </w:t>
      </w:r>
    </w:p>
    <w:p w14:paraId="61E8321F" w14:textId="77777777" w:rsidR="00093845" w:rsidRDefault="000D779E">
      <w:pPr>
        <w:spacing w:before="100" w:beforeAutospacing="1" w:after="100" w:afterAutospacing="1"/>
        <w:jc w:val="both"/>
        <w:rPr>
          <w:lang w:eastAsia="lt-LT"/>
        </w:rPr>
      </w:pPr>
      <w:r>
        <w:rPr>
          <w:lang w:eastAsia="lt-LT"/>
        </w:rPr>
        <w:t xml:space="preserve">    Jeigu pagal VPSP sutarties sąlygas privatus asmuo sukuria naują ilgalaikį turtą, kuris per minėtos sutarties laikotarpį nuosavybės teise priklausys privačiam asmeniui ir bus naudojamas privataus asmens ekonominėje veikloje, tai visa to turto įsigijimo (pagaminimo) kaina (neatsižvelgiant į tai, kad statybos darbai kainavo daugiau nei buvo planavęs privatus asmuo) į sąnaudas perkeliama ir iš pajamų atskaitoma dalimis, skaičiuojant nusidėvėjimą. Pats vienetas nusistato (pasirenka) ilgalaikio materialaus turto nusidėvėjimo laikotarpį, ne trumpesnį negu nustatyti </w:t>
      </w:r>
      <w:bookmarkStart w:id="193" w:name="n1_1589"/>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94" w:name="pn1_1589"/>
      <w:bookmarkEnd w:id="193"/>
      <w:bookmarkEnd w:id="194"/>
      <w:r>
        <w:rPr>
          <w:lang w:eastAsia="lt-LT"/>
        </w:rPr>
        <w:t xml:space="preserve"> 1 priedėlyje ilgalaikio turto nusidėvėjimo normatyvai (metais) ir likvidacinę vertę. </w:t>
      </w:r>
    </w:p>
    <w:p w14:paraId="23D7C98C" w14:textId="77777777" w:rsidR="00093845" w:rsidRDefault="000D779E">
      <w:pPr>
        <w:spacing w:before="100" w:beforeAutospacing="1" w:after="100" w:afterAutospacing="1"/>
        <w:jc w:val="both"/>
        <w:rPr>
          <w:lang w:eastAsia="lt-LT"/>
        </w:rPr>
      </w:pPr>
      <w:r>
        <w:rPr>
          <w:lang w:eastAsia="lt-LT"/>
        </w:rPr>
        <w:t xml:space="preserve">    Šiuo atveju, sukūrus turtą, jis nuosavybės teise priklausys privačiam subjektui (Nekilnojamojo turto registre užregistruos privatus subjektas), ir bus naudojamas privataus subjekto ekonominėje veikloje, o valdžios subjektui bus perleistas sutarties įgyvendinimo pabaigoje balansine verte (be atlyginimo). Atsižvelgiant į tai, visos privataus subjekto sutarties vykdymo laikotarpiu iš valdžios subjekto gautos pajamos už turto pastatymą ir pajamos už kitas paslaugas, apskaičiuojant apmokestinamąjį pelną, priskiriamos pelno mokesčio bazei, o su tokių pajamų uždirbimu susijusios faktiškai patirtos sąnaudos (taip pat ir apskaičiuotas to turto nusidėvėjimas) - leidžiamiems atskaitymams. </w:t>
      </w:r>
    </w:p>
    <w:p w14:paraId="285BC41F" w14:textId="77777777" w:rsidR="00093845" w:rsidRDefault="000D779E">
      <w:pPr>
        <w:spacing w:before="100" w:beforeAutospacing="1" w:after="100" w:afterAutospacing="1"/>
        <w:jc w:val="both"/>
        <w:rPr>
          <w:lang w:eastAsia="lt-LT"/>
        </w:rPr>
      </w:pPr>
      <w:r>
        <w:rPr>
          <w:lang w:eastAsia="lt-LT"/>
        </w:rPr>
        <w:t xml:space="preserve">– kai privatus asmuo sukurto turto nuosavybės teisę perleidžia viešajam asmeniui. </w:t>
      </w:r>
    </w:p>
    <w:p w14:paraId="637F9EF1" w14:textId="77777777" w:rsidR="00093845" w:rsidRDefault="000D779E">
      <w:pPr>
        <w:spacing w:before="100" w:beforeAutospacing="1" w:after="100" w:afterAutospacing="1"/>
        <w:jc w:val="both"/>
        <w:rPr>
          <w:lang w:eastAsia="lt-LT"/>
        </w:rPr>
      </w:pPr>
      <w:r>
        <w:rPr>
          <w:lang w:eastAsia="lt-LT"/>
        </w:rPr>
        <w:t xml:space="preserve">     Jeigu privačiam subjektui sukūrus naują turtą, jį nuosavybės teise Nekilnojamojo turto registre užregistruos valdžios subjektas, t. y. nuosavybės teisė iš karto perduodama valdžios subjektui, toks objekto perdavimas laikomas turto pardavimu už jo tikrąją rinkos kainą </w:t>
      </w:r>
      <w:r w:rsidRPr="00396F19">
        <w:rPr>
          <w:b/>
          <w:lang w:eastAsia="lt-LT"/>
        </w:rPr>
        <w:t>(</w:t>
      </w:r>
      <w:bookmarkStart w:id="195" w:name="n1_1590"/>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196" w:name="pn1_1590"/>
      <w:bookmarkEnd w:id="195"/>
      <w:bookmarkEnd w:id="196"/>
      <w:r w:rsidRPr="00396F19">
        <w:rPr>
          <w:b/>
          <w:lang w:eastAsia="lt-LT"/>
        </w:rPr>
        <w:t xml:space="preserve"> </w:t>
      </w:r>
      <w:bookmarkStart w:id="197" w:name="n1_1591"/>
      <w:r w:rsidRPr="00396F19">
        <w:rPr>
          <w:b/>
          <w:lang w:eastAsia="lt-LT"/>
        </w:rPr>
        <w:fldChar w:fldCharType="begin"/>
      </w:r>
      <w:r w:rsidRPr="00396F19">
        <w:rPr>
          <w:b/>
          <w:lang w:eastAsia="lt-LT"/>
        </w:rPr>
        <w:instrText xml:space="preserve"> HYPERLINK "JavaScript:OL('12868','40')" \o "Sandorių arba ūkinių operacijų vertės koregavimas ir pajamų ar išmokų apibūdinimas iš naujo (str. 40)" </w:instrText>
      </w:r>
      <w:r w:rsidRPr="00396F19">
        <w:rPr>
          <w:b/>
          <w:lang w:eastAsia="lt-LT"/>
        </w:rPr>
        <w:fldChar w:fldCharType="separate"/>
      </w:r>
      <w:r w:rsidRPr="00396F19">
        <w:rPr>
          <w:rStyle w:val="Hipersaitas"/>
          <w:rFonts w:ascii="Times New Roman" w:hAnsi="Times New Roman" w:cs="Times New Roman"/>
          <w:b w:val="0"/>
          <w:lang w:eastAsia="lt-LT"/>
        </w:rPr>
        <w:t>40</w:t>
      </w:r>
      <w:r w:rsidRPr="00396F19">
        <w:rPr>
          <w:b/>
          <w:lang w:eastAsia="lt-LT"/>
        </w:rPr>
        <w:fldChar w:fldCharType="end"/>
      </w:r>
      <w:bookmarkStart w:id="198" w:name="pn1_1591"/>
      <w:bookmarkEnd w:id="197"/>
      <w:bookmarkEnd w:id="198"/>
      <w:r>
        <w:rPr>
          <w:lang w:eastAsia="lt-LT"/>
        </w:rPr>
        <w:t xml:space="preserve"> str. 1 d.), neatsižvelgiant, kada už šį turtą bus atlyginama: iš karto perdavus turtą ar dalimis per visą sutarties galiojimo laikotarpį, o to turto įsigijimo (pasigaminimo) kaina – leidžiamais atskaitymais. Tokiu atveju laikoma, kad dalis iš valdžios subjekto per sutarties vykdymo laikotarpį gaunamų pajamų priskiriama privataus subjekto pajamoms už teikiamas objekto aptarnavimo, priežiūros ir kt. paslaugas, o kita dalis – apmokėjimui pagal turto pirkimo – pardavimo sutartį.</w:t>
      </w:r>
    </w:p>
    <w:p w14:paraId="320180E8" w14:textId="77777777" w:rsidR="00093845" w:rsidRDefault="000D779E">
      <w:pPr>
        <w:spacing w:before="100" w:beforeAutospacing="1" w:after="100" w:afterAutospacing="1"/>
        <w:jc w:val="both"/>
        <w:rPr>
          <w:lang w:eastAsia="lt-LT"/>
        </w:rPr>
      </w:pPr>
      <w:r>
        <w:rPr>
          <w:lang w:eastAsia="lt-LT"/>
        </w:rPr>
        <w:t xml:space="preserve">     </w:t>
      </w:r>
      <w:r w:rsidR="00396F19">
        <w:rPr>
          <w:lang w:eastAsia="lt-LT"/>
        </w:rPr>
        <w:t xml:space="preserve">      </w:t>
      </w:r>
      <w:r>
        <w:rPr>
          <w:lang w:eastAsia="lt-LT"/>
        </w:rPr>
        <w:t xml:space="preserve"> 29.</w:t>
      </w:r>
      <w:r>
        <w:rPr>
          <w:i/>
          <w:iCs/>
          <w:lang w:eastAsia="lt-LT"/>
        </w:rPr>
        <w:t xml:space="preserve"> </w:t>
      </w:r>
      <w:r>
        <w:rPr>
          <w:lang w:eastAsia="lt-LT"/>
        </w:rPr>
        <w:t>Pajamų</w:t>
      </w:r>
      <w:r>
        <w:rPr>
          <w:i/>
          <w:iCs/>
          <w:lang w:eastAsia="lt-LT"/>
        </w:rPr>
        <w:t xml:space="preserve"> </w:t>
      </w:r>
      <w:r>
        <w:rPr>
          <w:lang w:eastAsia="lt-LT"/>
        </w:rPr>
        <w:t>pripažinimas</w:t>
      </w:r>
      <w:r>
        <w:rPr>
          <w:i/>
          <w:iCs/>
          <w:lang w:eastAsia="lt-LT"/>
        </w:rPr>
        <w:t xml:space="preserve"> </w:t>
      </w:r>
      <w:r>
        <w:rPr>
          <w:lang w:eastAsia="lt-LT"/>
        </w:rPr>
        <w:t>pagal</w:t>
      </w:r>
      <w:r>
        <w:rPr>
          <w:i/>
          <w:iCs/>
          <w:lang w:eastAsia="lt-LT"/>
        </w:rPr>
        <w:t xml:space="preserve"> </w:t>
      </w:r>
      <w:r>
        <w:rPr>
          <w:lang w:eastAsia="lt-LT"/>
        </w:rPr>
        <w:t>pinigų</w:t>
      </w:r>
      <w:r>
        <w:rPr>
          <w:i/>
          <w:iCs/>
          <w:lang w:eastAsia="lt-LT"/>
        </w:rPr>
        <w:t xml:space="preserve"> </w:t>
      </w:r>
      <w:r>
        <w:rPr>
          <w:lang w:eastAsia="lt-LT"/>
        </w:rPr>
        <w:t>apskaitos</w:t>
      </w:r>
      <w:r>
        <w:rPr>
          <w:i/>
          <w:iCs/>
          <w:lang w:eastAsia="lt-LT"/>
        </w:rPr>
        <w:t xml:space="preserve"> </w:t>
      </w:r>
      <w:r>
        <w:rPr>
          <w:lang w:eastAsia="lt-LT"/>
        </w:rPr>
        <w:t>principą</w:t>
      </w:r>
      <w:r>
        <w:rPr>
          <w:i/>
          <w:iCs/>
          <w:lang w:eastAsia="lt-LT"/>
        </w:rPr>
        <w:t xml:space="preserve"> </w:t>
      </w:r>
      <w:r>
        <w:rPr>
          <w:lang w:eastAsia="lt-LT"/>
        </w:rPr>
        <w:t>ir</w:t>
      </w:r>
      <w:r>
        <w:rPr>
          <w:i/>
          <w:iCs/>
          <w:lang w:eastAsia="lt-LT"/>
        </w:rPr>
        <w:t xml:space="preserve"> </w:t>
      </w:r>
      <w:r>
        <w:rPr>
          <w:lang w:eastAsia="lt-LT"/>
        </w:rPr>
        <w:t>šio</w:t>
      </w:r>
      <w:r>
        <w:rPr>
          <w:i/>
          <w:iCs/>
          <w:lang w:eastAsia="lt-LT"/>
        </w:rPr>
        <w:t xml:space="preserve"> </w:t>
      </w:r>
      <w:r>
        <w:rPr>
          <w:lang w:eastAsia="lt-LT"/>
        </w:rPr>
        <w:t>principo</w:t>
      </w:r>
      <w:r>
        <w:rPr>
          <w:i/>
          <w:iCs/>
          <w:lang w:eastAsia="lt-LT"/>
        </w:rPr>
        <w:t xml:space="preserve"> </w:t>
      </w:r>
      <w:r>
        <w:rPr>
          <w:lang w:eastAsia="lt-LT"/>
        </w:rPr>
        <w:t>taikymo</w:t>
      </w:r>
      <w:r>
        <w:rPr>
          <w:i/>
          <w:iCs/>
          <w:lang w:eastAsia="lt-LT"/>
        </w:rPr>
        <w:t xml:space="preserve"> </w:t>
      </w:r>
      <w:r>
        <w:rPr>
          <w:lang w:eastAsia="lt-LT"/>
        </w:rPr>
        <w:t>tvarka</w:t>
      </w:r>
      <w:r>
        <w:rPr>
          <w:i/>
          <w:iCs/>
          <w:lang w:eastAsia="lt-LT"/>
        </w:rPr>
        <w:t xml:space="preserve"> </w:t>
      </w:r>
      <w:r>
        <w:rPr>
          <w:lang w:eastAsia="lt-LT"/>
        </w:rPr>
        <w:t>nustatyta</w:t>
      </w:r>
      <w:r>
        <w:rPr>
          <w:i/>
          <w:iCs/>
          <w:lang w:eastAsia="lt-LT"/>
        </w:rPr>
        <w:t xml:space="preserve"> </w:t>
      </w:r>
      <w:bookmarkStart w:id="199" w:name="n1_1592"/>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0" w:name="pn1_1592"/>
      <w:bookmarkEnd w:id="199"/>
      <w:bookmarkEnd w:id="200"/>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straipsniuose</w:t>
      </w:r>
      <w:r>
        <w:rPr>
          <w:i/>
          <w:iCs/>
          <w:lang w:eastAsia="lt-LT"/>
        </w:rPr>
        <w:t xml:space="preserve"> </w:t>
      </w:r>
      <w:r>
        <w:rPr>
          <w:lang w:eastAsia="lt-LT"/>
        </w:rPr>
        <w:t>(žr.</w:t>
      </w:r>
      <w:r>
        <w:rPr>
          <w:i/>
          <w:iCs/>
          <w:lang w:eastAsia="lt-LT"/>
        </w:rPr>
        <w:t xml:space="preserve"> </w:t>
      </w:r>
      <w:bookmarkStart w:id="201" w:name="n1_1604"/>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2" w:name="pn1_1604"/>
      <w:bookmarkEnd w:id="201"/>
      <w:bookmarkEnd w:id="202"/>
      <w:r>
        <w:rPr>
          <w:i/>
          <w:iCs/>
          <w:lang w:eastAsia="lt-LT"/>
        </w:rPr>
        <w:t xml:space="preserve"> </w:t>
      </w:r>
      <w:r>
        <w:rPr>
          <w:lang w:eastAsia="lt-LT"/>
        </w:rPr>
        <w:t>8</w:t>
      </w:r>
      <w:r>
        <w:rPr>
          <w:i/>
          <w:iCs/>
          <w:lang w:eastAsia="lt-LT"/>
        </w:rPr>
        <w:t xml:space="preserve"> </w:t>
      </w:r>
      <w:r>
        <w:rPr>
          <w:lang w:eastAsia="lt-LT"/>
        </w:rPr>
        <w:t>ir</w:t>
      </w:r>
      <w:r>
        <w:rPr>
          <w:i/>
          <w:iCs/>
          <w:lang w:eastAsia="lt-LT"/>
        </w:rPr>
        <w:t xml:space="preserve"> </w:t>
      </w:r>
      <w:r>
        <w:rPr>
          <w:lang w:eastAsia="lt-LT"/>
        </w:rPr>
        <w:t>9</w:t>
      </w:r>
      <w:r>
        <w:rPr>
          <w:i/>
          <w:iCs/>
          <w:lang w:eastAsia="lt-LT"/>
        </w:rPr>
        <w:t xml:space="preserve"> </w:t>
      </w:r>
      <w:r>
        <w:rPr>
          <w:lang w:eastAsia="lt-LT"/>
        </w:rPr>
        <w:t>straipsnių</w:t>
      </w:r>
      <w:r>
        <w:rPr>
          <w:i/>
          <w:iCs/>
          <w:lang w:eastAsia="lt-LT"/>
        </w:rPr>
        <w:t xml:space="preserve"> </w:t>
      </w:r>
      <w:r>
        <w:rPr>
          <w:lang w:eastAsia="lt-LT"/>
        </w:rPr>
        <w:t>komentarus).</w:t>
      </w:r>
      <w:r>
        <w:rPr>
          <w:i/>
          <w:iCs/>
          <w:lang w:eastAsia="lt-LT"/>
        </w:rPr>
        <w:t xml:space="preserve"> </w:t>
      </w:r>
    </w:p>
    <w:p w14:paraId="7EBB19B2" w14:textId="77777777" w:rsidR="00093845" w:rsidRDefault="000D779E">
      <w:pPr>
        <w:spacing w:before="100" w:beforeAutospacing="1" w:after="100" w:afterAutospacing="1"/>
        <w:jc w:val="both"/>
        <w:rPr>
          <w:lang w:val="lt-LT"/>
        </w:rPr>
      </w:pPr>
      <w:r>
        <w:rPr>
          <w:lang w:eastAsia="lt-LT"/>
        </w:rPr>
        <w:t xml:space="preserve">     Neigiamo</w:t>
      </w:r>
      <w:r>
        <w:rPr>
          <w:i/>
          <w:iCs/>
          <w:lang w:eastAsia="lt-LT"/>
        </w:rPr>
        <w:t xml:space="preserve"> </w:t>
      </w:r>
      <w:r>
        <w:rPr>
          <w:lang w:eastAsia="lt-LT"/>
        </w:rPr>
        <w:t>prestižo</w:t>
      </w:r>
      <w:r>
        <w:rPr>
          <w:i/>
          <w:iCs/>
          <w:lang w:eastAsia="lt-LT"/>
        </w:rPr>
        <w:t xml:space="preserve"> </w:t>
      </w:r>
      <w:r>
        <w:rPr>
          <w:lang w:eastAsia="lt-LT"/>
        </w:rPr>
        <w:t>priskyrimo</w:t>
      </w:r>
      <w:r>
        <w:rPr>
          <w:i/>
          <w:iCs/>
          <w:lang w:eastAsia="lt-LT"/>
        </w:rPr>
        <w:t xml:space="preserve"> </w:t>
      </w:r>
      <w:r>
        <w:rPr>
          <w:lang w:eastAsia="lt-LT"/>
        </w:rPr>
        <w:t>pajamoms</w:t>
      </w:r>
      <w:r>
        <w:rPr>
          <w:i/>
          <w:iCs/>
          <w:lang w:eastAsia="lt-LT"/>
        </w:rPr>
        <w:t xml:space="preserve"> </w:t>
      </w:r>
      <w:r>
        <w:rPr>
          <w:lang w:eastAsia="lt-LT"/>
        </w:rPr>
        <w:t>tvarka</w:t>
      </w:r>
      <w:r>
        <w:rPr>
          <w:i/>
          <w:iCs/>
          <w:lang w:eastAsia="lt-LT"/>
        </w:rPr>
        <w:t xml:space="preserve"> </w:t>
      </w:r>
      <w:r>
        <w:rPr>
          <w:lang w:eastAsia="lt-LT"/>
        </w:rPr>
        <w:t>nustatyta</w:t>
      </w:r>
      <w:r>
        <w:rPr>
          <w:i/>
          <w:iCs/>
          <w:lang w:eastAsia="lt-LT"/>
        </w:rPr>
        <w:t xml:space="preserve"> </w:t>
      </w:r>
      <w:bookmarkStart w:id="203" w:name="n1_1616"/>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4" w:name="pn1_1616"/>
      <w:bookmarkEnd w:id="203"/>
      <w:bookmarkEnd w:id="204"/>
      <w:r w:rsidRPr="00396F19">
        <w:rPr>
          <w:b/>
          <w:i/>
          <w:iCs/>
          <w:lang w:eastAsia="lt-LT"/>
        </w:rPr>
        <w:t xml:space="preserve"> </w:t>
      </w:r>
      <w:r>
        <w:rPr>
          <w:lang w:eastAsia="lt-LT"/>
        </w:rPr>
        <w:t>7</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ir</w:t>
      </w:r>
      <w:r>
        <w:rPr>
          <w:i/>
          <w:iCs/>
          <w:lang w:eastAsia="lt-LT"/>
        </w:rPr>
        <w:t xml:space="preserve"> </w:t>
      </w:r>
      <w:r>
        <w:rPr>
          <w:lang w:eastAsia="lt-LT"/>
        </w:rPr>
        <w:t>3</w:t>
      </w:r>
      <w:r>
        <w:rPr>
          <w:i/>
          <w:iCs/>
          <w:lang w:eastAsia="lt-LT"/>
        </w:rPr>
        <w:t xml:space="preserve"> </w:t>
      </w:r>
      <w:r>
        <w:rPr>
          <w:lang w:eastAsia="lt-LT"/>
        </w:rPr>
        <w:t>dalyse</w:t>
      </w:r>
      <w:r>
        <w:rPr>
          <w:i/>
          <w:iCs/>
          <w:lang w:eastAsia="lt-LT"/>
        </w:rPr>
        <w:t xml:space="preserve"> </w:t>
      </w:r>
      <w:r>
        <w:rPr>
          <w:lang w:eastAsia="lt-LT"/>
        </w:rPr>
        <w:t>(žr.</w:t>
      </w:r>
      <w:r>
        <w:rPr>
          <w:i/>
          <w:iCs/>
          <w:lang w:eastAsia="lt-LT"/>
        </w:rPr>
        <w:t xml:space="preserve"> </w:t>
      </w:r>
      <w:bookmarkStart w:id="205" w:name="n1_1621"/>
      <w:r w:rsidRPr="00396F19">
        <w:rPr>
          <w:b/>
          <w:lang w:eastAsia="lt-LT"/>
        </w:rPr>
        <w:fldChar w:fldCharType="begin"/>
      </w:r>
      <w:r w:rsidRPr="00396F19">
        <w:rPr>
          <w:b/>
          <w:lang w:eastAsia="lt-LT"/>
        </w:rPr>
        <w:instrText xml:space="preserve"> HYPERLINK "http://www.infolex.lt/ta/12868" \o "Lietuvos Respublikos pelno mokesčio įstatymas" \t "_blank" </w:instrText>
      </w:r>
      <w:r w:rsidRPr="00396F19">
        <w:rPr>
          <w:b/>
          <w:lang w:eastAsia="lt-LT"/>
        </w:rPr>
        <w:fldChar w:fldCharType="separate"/>
      </w:r>
      <w:r w:rsidRPr="00396F19">
        <w:rPr>
          <w:rStyle w:val="Hipersaitas"/>
          <w:rFonts w:ascii="Times New Roman" w:hAnsi="Times New Roman" w:cs="Times New Roman"/>
          <w:b w:val="0"/>
          <w:lang w:eastAsia="lt-LT"/>
        </w:rPr>
        <w:t>PMĮ</w:t>
      </w:r>
      <w:r w:rsidRPr="00396F19">
        <w:rPr>
          <w:b/>
          <w:lang w:eastAsia="lt-LT"/>
        </w:rPr>
        <w:fldChar w:fldCharType="end"/>
      </w:r>
      <w:bookmarkStart w:id="206" w:name="pn1_1621"/>
      <w:bookmarkEnd w:id="205"/>
      <w:bookmarkEnd w:id="206"/>
      <w:r>
        <w:rPr>
          <w:i/>
          <w:iCs/>
          <w:lang w:eastAsia="lt-LT"/>
        </w:rPr>
        <w:t xml:space="preserve"> </w:t>
      </w:r>
      <w:r>
        <w:rPr>
          <w:lang w:eastAsia="lt-LT"/>
        </w:rPr>
        <w:t>7</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ir</w:t>
      </w:r>
      <w:r>
        <w:rPr>
          <w:i/>
          <w:iCs/>
          <w:lang w:eastAsia="lt-LT"/>
        </w:rPr>
        <w:t xml:space="preserve"> </w:t>
      </w:r>
      <w:r>
        <w:rPr>
          <w:lang w:eastAsia="lt-LT"/>
        </w:rPr>
        <w:t>3</w:t>
      </w:r>
      <w:r>
        <w:rPr>
          <w:i/>
          <w:iCs/>
          <w:lang w:eastAsia="lt-LT"/>
        </w:rPr>
        <w:t xml:space="preserve"> </w:t>
      </w:r>
      <w:r>
        <w:rPr>
          <w:lang w:eastAsia="lt-LT"/>
        </w:rPr>
        <w:t>dalių</w:t>
      </w:r>
      <w:r>
        <w:rPr>
          <w:i/>
          <w:iCs/>
          <w:lang w:eastAsia="lt-LT"/>
        </w:rPr>
        <w:t xml:space="preserve"> </w:t>
      </w:r>
      <w:r>
        <w:rPr>
          <w:lang w:eastAsia="lt-LT"/>
        </w:rPr>
        <w:t>komentarus).</w:t>
      </w:r>
    </w:p>
    <w:p w14:paraId="6AD5C490"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 Transporto prastovų pajamų priskyrimas apmokestinamosioms pajamoms.</w:t>
      </w:r>
    </w:p>
    <w:p w14:paraId="25E2AEBE"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30.1. Vežėjo automobilių keliais prastovos.</w:t>
      </w:r>
    </w:p>
    <w:p w14:paraId="04566E31"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lastRenderedPageBreak/>
        <w:t>Vienetai, teikiantys transporto ir ekspedijavimo paslaugas, neretai dėl savo ar klientų kaltės ne visada sklandžiai gali įvykdyti savo įsipareigojimus, t.y. dėl įvairių priežasčių pavėluoja pristatyti krovinį, kitaip tariant, šiems darbams atlikti yra sugaištama daugiau laiko, patiriama daugiau sąnaudų, nei numatyta tarpusavio sutartyse.</w:t>
      </w:r>
    </w:p>
    <w:p w14:paraId="02CE0600"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Tokiu atveju sutartyse už pavėluotai suteiktas paslaugas (transporto priemonės prastovas) paprastai yra numatoma atsakomybė, kurią gali prisiimti tiek paslaugų teikėjas, tiek paslaugų pirkėjas.</w:t>
      </w:r>
    </w:p>
    <w:p w14:paraId="34C8EA51"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Krovinio vežimo paslaugos teikėjas už pavėluotai suteiktas savo paslaugas gali sumažinti savo suteiktos paslaugos vertę priklausomai nuo pavėluotų dienų skaičiaus, t.y. galutiniame rezultate krovinio vežimo paslaugos teikėjo gautinas atlygis už suteiktą paslaugą sumažėja sutartyje numatyta pinigų suma, kuri pelno mokesčio tikslais yra prilyginama nuolaidai nuo sutartyje numatyto atlygio už suteiktą paslaugą.</w:t>
      </w:r>
    </w:p>
    <w:p w14:paraId="1AD207BD"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Paslaugos teikėjas už ne laiku suteiktas paslaugas (pavėluotai pristatytą krovinį) dėl užsakovo kaltės iš pirkėjo gali gauti tam tikrą pinigų sumą, numatytą sutartyje, savo patirtoms sąnaudoms padengti. Kadangi vežimo paslaugos yra laikomos suteiktomis, nors ir pavėluotai, tai sutartyje numatyta papildoma pinigų suma patirtoms sąnaudoms padengti yra laikoma apmokestinamosiomis vežėjo pajamomis.</w:t>
      </w:r>
    </w:p>
    <w:p w14:paraId="067F8DC5"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30.2. Laivų prastovos.</w:t>
      </w:r>
    </w:p>
    <w:p w14:paraId="666E6334" w14:textId="77777777" w:rsidR="00093845" w:rsidRDefault="000D779E">
      <w:pPr>
        <w:pStyle w:val="prastasiniatinklio"/>
        <w:spacing w:before="0" w:beforeAutospacing="0" w:after="0" w:afterAutospacing="0"/>
        <w:ind w:firstLine="709"/>
        <w:jc w:val="both"/>
        <w:rPr>
          <w:color w:val="000000"/>
        </w:rPr>
      </w:pPr>
      <w:r>
        <w:rPr>
          <w:color w:val="000000"/>
          <w:shd w:val="clear" w:color="auto" w:fill="FFFFFF"/>
        </w:rPr>
        <w:t xml:space="preserve">Laivo frachtavimo sutartyje (čarteryje) nustatytas užmokestis už laivo prastovą, kurį sumoka frachtuotojas laivo valdytojui, vadinamas </w:t>
      </w:r>
      <w:r>
        <w:rPr>
          <w:bCs/>
          <w:color w:val="000000"/>
          <w:shd w:val="clear" w:color="auto" w:fill="FFFFFF"/>
        </w:rPr>
        <w:t>laivo prastovos mokesčiu (demeredžu).  D</w:t>
      </w:r>
      <w:r>
        <w:t>emeredžas yra numatomas kaip papildomas mokestis už laivo stovėjimą uoste. Tai kaštai už papildomą laiko skirtumą, kuris susidaro tarp sutarto frachtavimo laiko sutartyje ir realaus laiko pakraunant / iškraunant krovinį. Už šį papildomą laiką konkrečioje frachtavimo sutartyje nustatytas įkainis, skaičiuojamas dienai arba parai, nėra laikomas bauda ar delspinigiais. Laivo valdytojo frachtuotojui apskaičiuota priemoka už frachto paslaugą</w:t>
      </w:r>
      <w:r>
        <w:rPr>
          <w:color w:val="000000"/>
        </w:rPr>
        <w:t xml:space="preserve"> (demeredžas) yra laikoma apmokestinamosiomis pajamomis.</w:t>
      </w:r>
    </w:p>
    <w:p w14:paraId="33E0BB47" w14:textId="77777777" w:rsidR="00093845" w:rsidRDefault="000D779E">
      <w:pPr>
        <w:pStyle w:val="prastasiniatinklio"/>
        <w:spacing w:before="0" w:beforeAutospacing="0" w:after="0" w:afterAutospacing="0"/>
        <w:ind w:firstLine="709"/>
        <w:jc w:val="both"/>
      </w:pPr>
      <w:r>
        <w:rPr>
          <w:color w:val="000000"/>
          <w:shd w:val="clear" w:color="auto" w:fill="FFFFFF"/>
        </w:rPr>
        <w:t>Laivo frachtavimo sutartyje (čarteryje) nustatyta premija, kurią laivo valdytojas sumoka frachtuotojui arba krovinių gavėjui už pirmalaikį laivo pakrovimą arba iškrovimą vadinamas d</w:t>
      </w:r>
      <w:r>
        <w:rPr>
          <w:bCs/>
          <w:color w:val="000000"/>
          <w:shd w:val="clear" w:color="auto" w:fill="FFFFFF"/>
        </w:rPr>
        <w:t>ispaču.</w:t>
      </w:r>
      <w:r>
        <w:rPr>
          <w:b/>
          <w:bCs/>
          <w:color w:val="000000"/>
          <w:shd w:val="clear" w:color="auto" w:fill="FFFFFF"/>
        </w:rPr>
        <w:t xml:space="preserve"> </w:t>
      </w:r>
      <w:r>
        <w:t xml:space="preserve">Dispačas laikomas įprastinės ekonominės veiklos rezultatu. Mokesčių tikslais laivo valdytojo suteikta </w:t>
      </w:r>
      <w:r>
        <w:rPr>
          <w:color w:val="000000"/>
        </w:rPr>
        <w:t>nuolaida nuo frachto paslaugos vertės (dispačo) mažina įsigyjamos paslaugos kainą, todėl apmokestinamosiomis pajamomis yra pripažįstama suma atskaičius laivo valdytojo suteiktą nuolaidą.</w:t>
      </w:r>
    </w:p>
    <w:p w14:paraId="4F7D5029"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30.3. Geležinkelių transporto prastovos.</w:t>
      </w:r>
    </w:p>
    <w:p w14:paraId="157905AC" w14:textId="77777777" w:rsidR="00093845" w:rsidRDefault="000D779E">
      <w:pPr>
        <w:pStyle w:val="normal-p"/>
        <w:shd w:val="clear" w:color="auto" w:fill="FFFFFF"/>
        <w:spacing w:before="0" w:beforeAutospacing="0" w:after="0" w:afterAutospacing="0" w:line="300" w:lineRule="atLeast"/>
        <w:ind w:firstLine="709"/>
        <w:jc w:val="both"/>
        <w:rPr>
          <w:color w:val="000000"/>
        </w:rPr>
      </w:pPr>
      <w:r>
        <w:rPr>
          <w:rStyle w:val="normal-h"/>
          <w:color w:val="000000"/>
        </w:rPr>
        <w:t>Krovinio vežimo geležinkeliu paslaugos teikėjas už pavėluotai suteiktas savo paslaugas gali sumažinti suteiktos paslaugos vertę priklausomai nuo pavėluotų dienų skaičiaus, t.y. galutiniame rezultate krovinio vežimo paslaugos teikėjo gautinas atlygis už suteiktą paslaugą sumažėja sutartyje numatyta pinigų suma, kuri pelno mokesčio tikslais yra prilyginama nuolaidai nuo sutartyje numatyto atlygio už suteiktą paslaugą.</w:t>
      </w:r>
    </w:p>
    <w:p w14:paraId="5EDB439E" w14:textId="77777777" w:rsidR="00093845" w:rsidRDefault="000D779E">
      <w:pPr>
        <w:pStyle w:val="prastasiniatinklio"/>
        <w:spacing w:before="0" w:beforeAutospacing="0" w:after="0" w:afterAutospacing="0"/>
        <w:ind w:firstLine="709"/>
        <w:jc w:val="both"/>
      </w:pPr>
      <w:r>
        <w:t>Vagonų ir konteinerių naudojimas / buvimas geležinkelio keliuose – yra laikomas papildomomis, susijusiomis su krovinių vežimo geležinkelio transportu, paslaugomis. Šios paslaugos savo esme yra įprastinė geležinkelio įmonės paslaugų teikimo veikla ir nėra laikomos nei baudomis, nei netesybomis už sutartinių prievolių nevykdymą. Už vagonų ir konteinerių naudojimą / buvimą geležinkelio keliuose geležinkelio įmonės (vežėjo) gautos sumos yra priskiriamos jos apmokestinamosioms pajamoms.</w:t>
      </w:r>
    </w:p>
    <w:p w14:paraId="1CBDDDB7"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31. Pajamų pripažinimas dėl išvestinių finansinių priemonių perleidimo, realizavimo ir perkainojimo priklauso nuo to, ar </w:t>
      </w:r>
      <w:r w:rsidRPr="00D85FFE">
        <w:rPr>
          <w:bCs/>
        </w:rPr>
        <w:t xml:space="preserve">išvestinė finansinė priemonė įsigyta rizikai drausti, ar skirta prekybai. </w:t>
      </w:r>
    </w:p>
    <w:p w14:paraId="3AEF7CBD"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strike/>
          <w:color w:val="000000"/>
        </w:rPr>
      </w:pPr>
      <w:r w:rsidRPr="00D85FFE">
        <w:rPr>
          <w:rStyle w:val="normal-h"/>
          <w:color w:val="000000"/>
        </w:rPr>
        <w:t xml:space="preserve">Išvestinių finansinių priemonių perleidimas suprantamas kaip nuosavybės teisės į išvestinę finansinę priemonę perdavimas (pardavimas ar kt.) kitam asmeniui. </w:t>
      </w:r>
    </w:p>
    <w:p w14:paraId="10912E89"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31.1 Išvestinės finansinės priemonės, naudojamos prekybos tikslais.</w:t>
      </w:r>
    </w:p>
    <w:p w14:paraId="2CB30960"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Perleidus išvestines finansines priemones, įsigytas prekybos tikslais, arba įvykdžius iš išvestinių finansinių priemonių kylančias teises ir įsipareigojimus, turto vertės padidėjimo pajamos </w:t>
      </w:r>
      <w:r w:rsidRPr="00D85FFE">
        <w:rPr>
          <w:rStyle w:val="normal-h"/>
          <w:color w:val="000000"/>
        </w:rPr>
        <w:lastRenderedPageBreak/>
        <w:t xml:space="preserve">apskaičiuojamos PMĮ 16 str. nustatyta tvarka, neatsižvelgiant į perkainojimo rezultatus (žr. PMĮ 12 str. 7 punkto ir 31 str. 15 punkto komentarą). </w:t>
      </w:r>
    </w:p>
    <w:p w14:paraId="6B7B65EA"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Prekybos tikslais naudojamų išvestinių finansinių priemonių perkainojimo (įvertinimo pagal tikrąją vertę), atliekamo teisės aktų nustatyta tvarka, pajamos priskiriamos neapmokestinamosioms pajamoms (žr. PMĮ 12 str. 7 punkto komentarą).</w:t>
      </w:r>
    </w:p>
    <w:p w14:paraId="7801AB21"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31.2. Išvestinės finansinės priemonės, naudojamos rizikai drausti.</w:t>
      </w:r>
    </w:p>
    <w:p w14:paraId="730F0B32"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Išvestinių finansinių priemonių, naudojamų rizikai drausti, perkainojimo (įvertinimo pagal tikrąją vertę), atliekamo teisės aktų nustatyta tvarka, pajamos priskiriamos apmokestinamosioms pajamoms. </w:t>
      </w:r>
    </w:p>
    <w:p w14:paraId="232D60E5"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Apsidraudimo išvestinių finansinių priemonių perkainojimo pajamos priskiriamos apmokestinamosioms pajamoms (sąnaudos leidžiamiems atskaitymams) nepriklausomai nuo jų priskyrimo / nepriskyrimo pajamoms (sąnaudoms) finansinėje apskaitoje (t. y. apskaitymo perkainojimo rezervo sąskaitoje ar pelno (nuostolių) ataskaitoje) bei nuo to, kad </w:t>
      </w:r>
      <w:r w:rsidRPr="00D85FFE">
        <w:rPr>
          <w:rStyle w:val="normal-h"/>
        </w:rPr>
        <w:t xml:space="preserve">atskirais laikotarpiais jos netenkina kurio nors iš apsidraudimo priemonėms numatytų kriterijų. </w:t>
      </w:r>
    </w:p>
    <w:p w14:paraId="1EEB020B" w14:textId="77777777" w:rsidR="004A7ADF"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Pasibaigus (perleidus, įvykdžius, nutraukus ar kt.) išvestinei finansinei priemonei, skirtai rizikai drausti, turto vertės padidėjimo pajamos apskaičiuojamos PMĮ 16 str. nustatyta tvarka, atsižvelgiant į jų perkainojimo rezultatus, kurie buvo pripažinti apmokestinamosiomis pajamomis ar leidžiamais atskaitymais (t. y. perkainojimo rezultatas (pajamos / sąnaudos) buvo pripažintas įprastinės veiklos apmokestinamosiomis pajamomis ar leidžiamais atskaitymais). </w:t>
      </w:r>
    </w:p>
    <w:p w14:paraId="38BA1319" w14:textId="77777777" w:rsidR="00FF0DCF" w:rsidRPr="00FF0DCF" w:rsidRDefault="00FF0DCF" w:rsidP="00FF0DCF">
      <w:pPr>
        <w:spacing w:after="0"/>
        <w:ind w:firstLine="709"/>
        <w:jc w:val="both"/>
        <w:rPr>
          <w:lang w:val="lt-LT"/>
        </w:rPr>
      </w:pPr>
      <w:r w:rsidRPr="00FF0DCF">
        <w:rPr>
          <w:iCs/>
          <w:color w:val="000000"/>
          <w:lang w:val="lt-LT"/>
        </w:rPr>
        <w:t xml:space="preserve">32. </w:t>
      </w:r>
      <w:bookmarkStart w:id="207" w:name="_Hlk190069385"/>
      <w:r w:rsidRPr="00FF0DCF">
        <w:rPr>
          <w:iCs/>
          <w:color w:val="000000"/>
          <w:lang w:val="lt-LT"/>
        </w:rPr>
        <w:t xml:space="preserve">Nuo </w:t>
      </w:r>
      <w:r w:rsidRPr="00FF0DCF">
        <w:rPr>
          <w:lang w:val="lt-LT"/>
        </w:rPr>
        <w:t>2025 m. gegužės 1 d. pagal Lietuvos Respublikos atsiskaitymų grynaisiais pinigais sumų apvalinimo įstatym</w:t>
      </w:r>
      <w:bookmarkEnd w:id="207"/>
      <w:r w:rsidRPr="00FF0DCF">
        <w:rPr>
          <w:lang w:val="lt-LT"/>
        </w:rPr>
        <w:t>o nuostatas vieneto apskaitoje užregistruota pirkėjų atsiskaitymų grynaisiais pinigais apvalinimo suma pripažįstama pajamų padidėjimu arba sumažėjimu dėl apvalinimo.</w:t>
      </w:r>
    </w:p>
    <w:p w14:paraId="557B7B46" w14:textId="77777777" w:rsidR="00FF0DCF" w:rsidRPr="00FF0DCF" w:rsidRDefault="00FF0DCF" w:rsidP="00FF0DCF">
      <w:pPr>
        <w:spacing w:after="0"/>
        <w:ind w:firstLine="709"/>
        <w:jc w:val="both"/>
        <w:rPr>
          <w:lang w:val="lt-LT"/>
        </w:rPr>
      </w:pPr>
      <w:r w:rsidRPr="00FF0DCF">
        <w:rPr>
          <w:lang w:val="lt-LT"/>
        </w:rPr>
        <w:t>Jei pirkėjas grąžina prekę (atsisako paslaugų) ir jam išmokama grynaisiais pinigais suma apvalinama nustatyta tvarka, tai vieneto apskaitoje užregistruota apvalinimo suma rodoma kaip pajamų padidėjimas arba sumažėjimas dėl apvalinimo.</w:t>
      </w:r>
    </w:p>
    <w:p w14:paraId="7D351A6C" w14:textId="77777777" w:rsidR="00FF0DCF" w:rsidRPr="00A84E8A" w:rsidRDefault="00B07436" w:rsidP="00A84E8A">
      <w:pPr>
        <w:jc w:val="both"/>
        <w:rPr>
          <w:rStyle w:val="normal-h"/>
          <w:rFonts w:ascii="Trebuchet MS" w:hAnsi="Trebuchet MS"/>
          <w:sz w:val="20"/>
          <w:szCs w:val="22"/>
          <w:lang w:val="lt-LT"/>
        </w:rPr>
      </w:pPr>
      <w:r>
        <w:rPr>
          <w:iCs/>
          <w:lang w:eastAsia="lt-LT"/>
        </w:rPr>
        <w:t xml:space="preserve">           (PMĮ 7 straipsnio 1 d. 32 p. komentaras parengtas pagal VMI prie FM 2025-02-28 raštą Nr. (18.32-31-1 Mr) R-870)</w:t>
      </w:r>
    </w:p>
    <w:p w14:paraId="794393F2" w14:textId="77777777" w:rsidR="00093845" w:rsidRDefault="000D779E" w:rsidP="00EE350F">
      <w:pPr>
        <w:pStyle w:val="Pagrindiniotekstotrauka2"/>
        <w:tabs>
          <w:tab w:val="left" w:pos="8280"/>
        </w:tabs>
        <w:spacing w:after="0" w:line="240" w:lineRule="auto"/>
        <w:ind w:right="23"/>
      </w:pPr>
      <w:r>
        <w:t>2. Neigiama prestižo vertė priskiriama pajamoms jos įsigijimo momentu, jei šiame straipsnyje nenustatyta kitaip.</w:t>
      </w:r>
    </w:p>
    <w:p w14:paraId="308FAEB7" w14:textId="77777777" w:rsidR="00093845" w:rsidRPr="00F62677" w:rsidRDefault="000D779E" w:rsidP="00EE350F">
      <w:pPr>
        <w:spacing w:after="0"/>
        <w:jc w:val="both"/>
        <w:rPr>
          <w:i/>
          <w:iCs/>
          <w:color w:val="000000"/>
          <w:lang w:val="lt-LT" w:eastAsia="lt-LT"/>
        </w:rPr>
      </w:pPr>
      <w:r w:rsidRPr="00F62677">
        <w:rPr>
          <w:i/>
          <w:iCs/>
          <w:color w:val="000000"/>
          <w:lang w:val="lt-LT" w:eastAsia="lt-LT"/>
        </w:rPr>
        <w:t>(KEISTA: 2007 05 03 įstatymu Nr. X-1110 (nuo 2007 05 19)</w:t>
      </w:r>
      <w:r w:rsidR="006236D8" w:rsidRPr="00F62677">
        <w:rPr>
          <w:i/>
          <w:iCs/>
          <w:color w:val="000000"/>
          <w:lang w:val="lt-LT" w:eastAsia="lt-LT"/>
        </w:rPr>
        <w:t>,</w:t>
      </w:r>
      <w:r w:rsidR="004077E8" w:rsidRPr="00F62677">
        <w:rPr>
          <w:i/>
          <w:lang w:val="lt-LT"/>
        </w:rPr>
        <w:t xml:space="preserve"> </w:t>
      </w:r>
      <w:r w:rsidR="004077E8" w:rsidRPr="00F62677">
        <w:rPr>
          <w:i/>
          <w:iCs/>
          <w:color w:val="000000"/>
          <w:lang w:val="lt-LT" w:eastAsia="lt-LT"/>
        </w:rPr>
        <w:t>taikoma apskaičiuojant 2007 metais prasidėjusio mokestinio laikotarpio ir vėlesnių mokestinių laikotarpių apmokestinamąjį pelną</w:t>
      </w:r>
      <w:r w:rsidRPr="00F62677">
        <w:rPr>
          <w:i/>
          <w:iCs/>
          <w:color w:val="000000"/>
          <w:lang w:val="lt-LT" w:eastAsia="lt-LT"/>
        </w:rPr>
        <w:t>)</w:t>
      </w:r>
    </w:p>
    <w:p w14:paraId="132E6971" w14:textId="77777777" w:rsidR="00093845" w:rsidRDefault="000D779E">
      <w:pPr>
        <w:pStyle w:val="Antrat1"/>
        <w:ind w:right="22" w:firstLine="720"/>
        <w:jc w:val="both"/>
        <w:rPr>
          <w:lang w:val="lt-LT"/>
        </w:rPr>
      </w:pPr>
      <w:r>
        <w:rPr>
          <w:lang w:val="lt-LT"/>
        </w:rPr>
        <w:t>Komentaras</w:t>
      </w:r>
    </w:p>
    <w:p w14:paraId="768FC80C" w14:textId="77777777" w:rsidR="00093845" w:rsidRPr="0065344A" w:rsidRDefault="000D779E">
      <w:pPr>
        <w:tabs>
          <w:tab w:val="left" w:pos="8280"/>
        </w:tabs>
        <w:ind w:right="22" w:firstLine="720"/>
        <w:jc w:val="both"/>
        <w:rPr>
          <w:bCs/>
          <w:lang w:val="lt-LT"/>
        </w:rPr>
      </w:pPr>
      <w:r>
        <w:rPr>
          <w:bCs/>
          <w:lang w:val="lt-LT"/>
        </w:rPr>
        <w:t>1.</w:t>
      </w:r>
      <w:r w:rsidRPr="0065344A">
        <w:rPr>
          <w:lang w:val="lt-LT"/>
        </w:rPr>
        <w:t xml:space="preserve">Šioje dalyje nustatyta neigiamos prestižo vertės priskyrimo pajamoms tvarka, kai </w:t>
      </w:r>
      <w:r w:rsidRPr="0065344A">
        <w:rPr>
          <w:bCs/>
          <w:lang w:val="lt-LT"/>
        </w:rPr>
        <w:t xml:space="preserve">įsigyjamas kito vieneto veiklos objektas kaip kompleksas ar jo dalis kaip teisių ir prievolių visuma, organizaciniu požiūriu sudaranti autonomišką ekonominį vienetą, vykdantį veiklą ir galintį atlikti savo funkcijas savo nuožiūra (t.y., kai įsigyjamas kito vieneto visas verslas ar jo dalis, neįsigyjant to vieneto akcijų). </w:t>
      </w:r>
    </w:p>
    <w:p w14:paraId="04FA76D0" w14:textId="77777777" w:rsidR="00093845" w:rsidRDefault="000D779E">
      <w:pPr>
        <w:tabs>
          <w:tab w:val="left" w:pos="8280"/>
        </w:tabs>
        <w:ind w:right="22" w:firstLine="720"/>
        <w:jc w:val="both"/>
      </w:pPr>
      <w:r>
        <w:rPr>
          <w:bCs/>
        </w:rPr>
        <w:t>Neigiamos prestižo vertės sąvoka apibrėžta PMĮ 2 str. 19 dalyje (</w:t>
      </w:r>
      <w:r>
        <w:t>žr. PMĮ 2 str. 19 dalies komentarą).</w:t>
      </w:r>
    </w:p>
    <w:p w14:paraId="17ACC62F" w14:textId="77777777" w:rsidR="00093845" w:rsidRDefault="000D779E">
      <w:pPr>
        <w:tabs>
          <w:tab w:val="left" w:pos="8280"/>
        </w:tabs>
        <w:ind w:right="22" w:firstLine="720"/>
        <w:jc w:val="both"/>
      </w:pPr>
      <w:r>
        <w:rPr>
          <w:bCs/>
        </w:rPr>
        <w:t xml:space="preserve">2. Jei įsigyjant veiklą kaip kompleksą ar veiklos dalį, pagal PMĮ 2 str. 19 dalį dėl to susidaro neigiama prestižo vertė, tai </w:t>
      </w:r>
      <w:r>
        <w:t>apskaičiuojant apmokestinamąjį pelną, apskaičiuota neigiama prestižo vertė pripažįstama įsigyjančiojo vieneto pajamomis tą mokestinį laikotarpį, kurį neigiama prestižo vertė susidaro.</w:t>
      </w:r>
    </w:p>
    <w:p w14:paraId="5A3BAA87" w14:textId="77777777" w:rsidR="00093845" w:rsidRDefault="00F62677">
      <w:pPr>
        <w:pStyle w:val="Pagrindiniotekstotrauka3"/>
        <w:tabs>
          <w:tab w:val="left" w:pos="720"/>
          <w:tab w:val="left" w:pos="1077"/>
          <w:tab w:val="left" w:pos="1418"/>
        </w:tabs>
        <w:ind w:firstLine="0"/>
        <w:rPr>
          <w:rFonts w:ascii="Times New Roman" w:hAnsi="Times New Roman"/>
        </w:rPr>
      </w:pPr>
      <w:r>
        <w:rPr>
          <w:rFonts w:ascii="Times New Roman" w:hAnsi="Times New Roman"/>
        </w:rPr>
        <w:t xml:space="preserve">             </w:t>
      </w:r>
      <w:r w:rsidR="000D779E">
        <w:rPr>
          <w:rFonts w:ascii="Times New Roman" w:hAnsi="Times New Roman"/>
        </w:rPr>
        <w:t>(P</w:t>
      </w:r>
      <w:r w:rsidR="00C466EB">
        <w:rPr>
          <w:rFonts w:ascii="Times New Roman" w:hAnsi="Times New Roman"/>
        </w:rPr>
        <w:t>akeista p</w:t>
      </w:r>
      <w:r w:rsidR="000D779E">
        <w:rPr>
          <w:rFonts w:ascii="Times New Roman" w:hAnsi="Times New Roman"/>
        </w:rPr>
        <w:t>agal VMI prie FM 2018-07-18 raštą Nr. (</w:t>
      </w:r>
      <w:r w:rsidR="000D779E">
        <w:rPr>
          <w:rFonts w:ascii="Times New Roman" w:hAnsi="Times New Roman"/>
          <w:color w:val="000000"/>
        </w:rPr>
        <w:t>32.42-31-1E) RM-26011)</w:t>
      </w:r>
    </w:p>
    <w:p w14:paraId="3E09D263" w14:textId="77777777" w:rsidR="00093845" w:rsidRDefault="000D779E" w:rsidP="00E33C88">
      <w:pPr>
        <w:tabs>
          <w:tab w:val="left" w:pos="8280"/>
        </w:tabs>
        <w:spacing w:after="0"/>
        <w:ind w:right="23" w:firstLine="720"/>
        <w:jc w:val="both"/>
        <w:rPr>
          <w:b/>
          <w:bCs/>
          <w:lang w:val="lt-LT"/>
        </w:rPr>
      </w:pPr>
      <w:r>
        <w:rPr>
          <w:b/>
          <w:bCs/>
          <w:lang w:val="lt-LT"/>
        </w:rPr>
        <w:t>3. Kai siekiant valdyti kito vieneto grynąjį turtą ir veiklą įsigyjamos jo akcijos, įsigijimo momentu nustatyta neigiama prestižo vertė pajamoms priskiriama vėlesnio šių vienetų reorganizavimo ar perleidimo, jei tai bus atliekama, momentu.</w:t>
      </w:r>
    </w:p>
    <w:p w14:paraId="19D8F589" w14:textId="77777777" w:rsidR="00093845" w:rsidRPr="00F62677" w:rsidRDefault="000D779E" w:rsidP="00E33C88">
      <w:pPr>
        <w:spacing w:after="0"/>
        <w:jc w:val="both"/>
        <w:rPr>
          <w:i/>
          <w:iCs/>
          <w:color w:val="000000"/>
          <w:lang w:val="lt-LT" w:eastAsia="lt-LT"/>
        </w:rPr>
      </w:pPr>
      <w:r w:rsidRPr="00F62677">
        <w:rPr>
          <w:i/>
          <w:iCs/>
          <w:color w:val="000000"/>
          <w:lang w:val="lt-LT" w:eastAsia="lt-LT"/>
        </w:rPr>
        <w:lastRenderedPageBreak/>
        <w:t>(KEISTA: 2007 05 03 įstatymu Nr. X-1110 (nuo 2007 05 19)</w:t>
      </w:r>
      <w:r w:rsidR="00BF30F0" w:rsidRPr="00F62677">
        <w:rPr>
          <w:i/>
          <w:iCs/>
          <w:color w:val="000000"/>
          <w:lang w:val="lt-LT" w:eastAsia="lt-LT"/>
        </w:rPr>
        <w:t>,</w:t>
      </w:r>
      <w:r w:rsidR="00530E1B" w:rsidRPr="00F62677">
        <w:rPr>
          <w:i/>
          <w:lang w:val="lt-LT"/>
        </w:rPr>
        <w:t xml:space="preserve"> </w:t>
      </w:r>
      <w:r w:rsidR="00530E1B" w:rsidRPr="00F62677">
        <w:rPr>
          <w:i/>
          <w:iCs/>
          <w:color w:val="000000"/>
          <w:lang w:val="lt-LT" w:eastAsia="lt-LT"/>
        </w:rPr>
        <w:t>taikoma apskaičiuojant 2006 metais prasidėjusio mokestinio laikotarpio ir vėlesnių mokestinių laikotarpių apmokestinamąjį pelną</w:t>
      </w:r>
      <w:r w:rsidRPr="00F62677">
        <w:rPr>
          <w:i/>
          <w:iCs/>
          <w:color w:val="000000"/>
          <w:lang w:val="lt-LT" w:eastAsia="lt-LT"/>
        </w:rPr>
        <w:t>)</w:t>
      </w:r>
    </w:p>
    <w:p w14:paraId="33504CE1" w14:textId="77777777" w:rsidR="00093845" w:rsidRDefault="000D779E">
      <w:pPr>
        <w:pStyle w:val="Antrat1"/>
        <w:ind w:right="22" w:firstLine="720"/>
        <w:jc w:val="both"/>
        <w:rPr>
          <w:lang w:val="lt-LT"/>
        </w:rPr>
      </w:pPr>
      <w:r>
        <w:rPr>
          <w:lang w:val="lt-LT"/>
        </w:rPr>
        <w:t>Komentaras</w:t>
      </w:r>
    </w:p>
    <w:p w14:paraId="2AA231DA" w14:textId="77777777" w:rsidR="00093845" w:rsidRPr="0065344A" w:rsidRDefault="000D779E">
      <w:pPr>
        <w:tabs>
          <w:tab w:val="left" w:pos="8280"/>
        </w:tabs>
        <w:ind w:right="22" w:firstLine="720"/>
        <w:jc w:val="both"/>
        <w:rPr>
          <w:lang w:val="lt-LT"/>
        </w:rPr>
      </w:pPr>
      <w:r w:rsidRPr="0065344A">
        <w:rPr>
          <w:lang w:val="lt-LT"/>
        </w:rPr>
        <w:t xml:space="preserve">1. Šioje dalyje nustatyta neigiamos prestižo vertės priskyrimo pajamoms tvarka, kai, siekiant valdyti kito vieneto grynąjį turtą ir veiklą, įsigyjamos to vieneto akcijos. </w:t>
      </w:r>
    </w:p>
    <w:p w14:paraId="2B5F3111" w14:textId="77777777" w:rsidR="00093845" w:rsidRDefault="000D779E">
      <w:pPr>
        <w:tabs>
          <w:tab w:val="left" w:pos="8280"/>
        </w:tabs>
        <w:ind w:right="22" w:firstLine="720"/>
        <w:jc w:val="both"/>
      </w:pPr>
      <w:r>
        <w:t xml:space="preserve">Neigiamos prestižo vertės sąvoka </w:t>
      </w:r>
      <w:r>
        <w:rPr>
          <w:bCs/>
        </w:rPr>
        <w:t>apibrėžta PMĮ 2 str. 19 dalyje (</w:t>
      </w:r>
      <w:r>
        <w:t>žr. 2 str. 1</w:t>
      </w:r>
      <w:r>
        <w:rPr>
          <w:bCs/>
        </w:rPr>
        <w:t>9</w:t>
      </w:r>
      <w:r>
        <w:t xml:space="preserve"> dalies komentarą).</w:t>
      </w:r>
    </w:p>
    <w:p w14:paraId="7DEA2DD7" w14:textId="77777777" w:rsidR="00093845" w:rsidRDefault="000D779E">
      <w:pPr>
        <w:tabs>
          <w:tab w:val="left" w:pos="8280"/>
        </w:tabs>
        <w:ind w:right="22" w:firstLine="720"/>
        <w:jc w:val="both"/>
      </w:pPr>
      <w:r>
        <w:t>2. Kai kitą vienetą siekiantis valdyti vienetas įsigyja jo akcijas ir, pagal PMĮ 2 str. 1</w:t>
      </w:r>
      <w:r>
        <w:rPr>
          <w:bCs/>
        </w:rPr>
        <w:t>9</w:t>
      </w:r>
      <w:r>
        <w:t xml:space="preserve"> dalį, dėl tokio įsigijimo susidaro neigiama prestižo vertė, tai akcijų įsigijimo (perėjimo nuosavybėn) datą nustatyta neigiama prestižo vertė, apskaičiuojant apmokestinamąjį pelną, pripažįstama įsigyjančiojo vieneto pajamomis šių vienetų reorganizavimo ar perleidimo, atliekamo PMĮ 41 straipsnyje numatytais atvejais (žr. PMĮ 41 straipsnio komentarą), momentu.</w:t>
      </w:r>
    </w:p>
    <w:p w14:paraId="1BED9B0D" w14:textId="77777777" w:rsidR="00093845" w:rsidRDefault="000D779E">
      <w:pPr>
        <w:pStyle w:val="Pagrindiniotekstotrauka2"/>
        <w:tabs>
          <w:tab w:val="left" w:pos="8280"/>
        </w:tabs>
        <w:rPr>
          <w:b w:val="0"/>
          <w:bCs w:val="0"/>
        </w:rPr>
      </w:pPr>
      <w:r>
        <w:rPr>
          <w:b w:val="0"/>
        </w:rPr>
        <w:t xml:space="preserve">3. Akcijų įsigijimo momentu susidariusi neigiamo prestižo suma nelaikoma įsigyjančio vieneto pajamomis tol, kol reorganizavimas ar perleidimas faktiškai neatliekamas. </w:t>
      </w:r>
    </w:p>
    <w:p w14:paraId="056204A3" w14:textId="77777777" w:rsidR="00093845" w:rsidRDefault="000D779E">
      <w:pPr>
        <w:pStyle w:val="Pagrindiniotekstotrauka2"/>
        <w:tabs>
          <w:tab w:val="left" w:pos="8280"/>
        </w:tabs>
        <w:rPr>
          <w:b w:val="0"/>
          <w:bCs w:val="0"/>
        </w:rPr>
      </w:pPr>
      <w:r>
        <w:rPr>
          <w:b w:val="0"/>
        </w:rPr>
        <w:t>4. Neigiama prestižo vertė pajamomis pripažįstama</w:t>
      </w:r>
      <w:r>
        <w:rPr>
          <w:b w:val="0"/>
          <w:strike/>
        </w:rPr>
        <w:t>s</w:t>
      </w:r>
      <w:r>
        <w:rPr>
          <w:b w:val="0"/>
        </w:rPr>
        <w:t xml:space="preserve"> tik tais PMĮ 41 str. 2 dalyje numatytais reorganizavimo ar perleidimo atvejais, kai įsigyjantysis vienetas prisijungia visą įsigyto vieneto grynąjį turtą, t.y., kai reorganizavimas atliekamas prijungimo būdu PMĮ 41 str. 2 d. 1 ir 3 punktuose numatytais atvejais, arba kai prie įsigyjančiojo vieneto prijungiama įsigyto vieneto, reorganizuoto PMĮ 41 str. 2 d. 4 punkte aprašytu išdalijimo būdu, grynojo turto dalis. </w:t>
      </w:r>
    </w:p>
    <w:p w14:paraId="1C589C90" w14:textId="77777777" w:rsidR="00093845" w:rsidRPr="0065344A" w:rsidRDefault="000D779E">
      <w:pPr>
        <w:tabs>
          <w:tab w:val="left" w:pos="8280"/>
        </w:tabs>
        <w:ind w:right="23" w:firstLine="720"/>
        <w:jc w:val="both"/>
        <w:rPr>
          <w:lang w:val="lt-LT"/>
        </w:rPr>
      </w:pPr>
      <w:r w:rsidRPr="0065344A">
        <w:rPr>
          <w:lang w:val="lt-LT"/>
        </w:rPr>
        <w:t xml:space="preserve">Atliekant reorganizavimą PMĮ 41 str. 2 d. 4 punkte aprašytu išdalijimo būdu, prie įsigyjančiojo vieneto prijungiama įsigyjamojo vieneto grynojo turto dalis paprastai nebūna mažesnė už įsigyjančiojo vieneto turimų akcijų dalį įsigyjamojo vieneto įstatiniame kapitale ir reorganizavimo momentu pajamomis pripažįstama visa įsigyjančiojo vieneto, pagal PMĮ 2 str. 19 dalį nustatyta neigiama prestižo vertė. </w:t>
      </w:r>
    </w:p>
    <w:p w14:paraId="0E7AEE66" w14:textId="77777777" w:rsidR="00093845" w:rsidRDefault="000D779E">
      <w:pPr>
        <w:tabs>
          <w:tab w:val="left" w:pos="8280"/>
        </w:tabs>
        <w:ind w:right="22" w:firstLine="720"/>
        <w:jc w:val="both"/>
      </w:pPr>
      <w:r>
        <w:t>Taip pat tais atvejais, kai vienetui įsigyjant 100 proc. (arba mažiau) kito vieneto akcijų pagal PMĮ 2 str. 1</w:t>
      </w:r>
      <w:r>
        <w:rPr>
          <w:bCs/>
        </w:rPr>
        <w:t>9</w:t>
      </w:r>
      <w:r>
        <w:t xml:space="preserve"> dalį susidaro neigiama prestižo vertė, o vėliau reorganizuojant šiuos vienetus prie įsigyjamojo vieneto prijungiamas įsigyjantysis vienetas (prie dukterinio vieneto prijungiamas patronuojantis vienetas), tai patronuojančio vieneto akcijų įsigijimo momentu apskaičiuota neigiama prestižo vertė pripažįstama</w:t>
      </w:r>
      <w:r>
        <w:rPr>
          <w:strike/>
        </w:rPr>
        <w:t>s</w:t>
      </w:r>
      <w:r>
        <w:t xml:space="preserve"> po tokio reorganizavimo veiksiančio dukterinio vieneto pajamomis. </w:t>
      </w:r>
    </w:p>
    <w:p w14:paraId="1D18675E" w14:textId="77777777" w:rsidR="00093845" w:rsidRDefault="000D779E">
      <w:pPr>
        <w:tabs>
          <w:tab w:val="left" w:pos="8280"/>
        </w:tabs>
        <w:ind w:right="22" w:firstLine="720"/>
        <w:jc w:val="both"/>
      </w:pPr>
      <w:r>
        <w:t>5. Šios dalies nuostatos taikomos tik tokiai neigiamai prestižo vertei, kuri nustatoma akcijų įsigijimo momentu ir pripažįstama pelno mokesčio apskaičiavimo tikslais (žr. PMĮ 2 str. 1</w:t>
      </w:r>
      <w:r>
        <w:rPr>
          <w:bCs/>
        </w:rPr>
        <w:t>9</w:t>
      </w:r>
      <w:r>
        <w:t xml:space="preserve"> dalies komentarą). Vėlesnio vienetų reorganizavimo momentu neigiama prestižo vertė nesusidaro, t.y. akcijų įsigijimo kainos ir už jas iš įsigyjamojo vieneto perimto grynojo turto vertės neigiamas matematinis skirtumas nelaikomas neigiama prestižo verte, ir šis skirtumas į įsigyjančiojo vieneto pajamas neįtraukiamas (nėra pelno mokesčio objektas).</w:t>
      </w:r>
    </w:p>
    <w:p w14:paraId="4C425059" w14:textId="77777777" w:rsidR="00093845" w:rsidRDefault="000D779E">
      <w:pPr>
        <w:pStyle w:val="Pagrindiniotekstotrauka3"/>
        <w:tabs>
          <w:tab w:val="left" w:pos="720"/>
          <w:tab w:val="left" w:pos="1077"/>
          <w:tab w:val="left" w:pos="1418"/>
        </w:tabs>
        <w:ind w:firstLine="0"/>
        <w:rPr>
          <w:rFonts w:ascii="Times New Roman" w:hAnsi="Times New Roman"/>
        </w:rPr>
      </w:pPr>
      <w:r>
        <w:rPr>
          <w:rFonts w:ascii="Times New Roman" w:hAnsi="Times New Roman"/>
        </w:rPr>
        <w:t>(P</w:t>
      </w:r>
      <w:r w:rsidR="00FA0078">
        <w:rPr>
          <w:rFonts w:ascii="Times New Roman" w:hAnsi="Times New Roman"/>
        </w:rPr>
        <w:t>akeista p</w:t>
      </w:r>
      <w:r>
        <w:rPr>
          <w:rFonts w:ascii="Times New Roman" w:hAnsi="Times New Roman"/>
        </w:rPr>
        <w:t>agal VMI prie FM 2018-07-18 raštą Nr. (</w:t>
      </w:r>
      <w:r>
        <w:rPr>
          <w:rFonts w:ascii="Times New Roman" w:hAnsi="Times New Roman"/>
          <w:color w:val="000000"/>
        </w:rPr>
        <w:t>32.42-31-1E) RM-26011)</w:t>
      </w:r>
    </w:p>
    <w:p w14:paraId="27113FF3" w14:textId="77777777" w:rsidR="00093845" w:rsidRDefault="00093845">
      <w:pPr>
        <w:tabs>
          <w:tab w:val="left" w:pos="720"/>
          <w:tab w:val="left" w:pos="1077"/>
          <w:tab w:val="left" w:pos="1418"/>
        </w:tabs>
        <w:ind w:right="-5"/>
        <w:jc w:val="both"/>
        <w:rPr>
          <w:b/>
          <w:lang w:val="lt-LT"/>
        </w:rPr>
      </w:pPr>
    </w:p>
    <w:p w14:paraId="5BCF0A0B" w14:textId="77777777" w:rsidR="00093845" w:rsidRDefault="000D779E">
      <w:pPr>
        <w:pStyle w:val="Antrat1"/>
        <w:jc w:val="both"/>
        <w:rPr>
          <w:bCs w:val="0"/>
          <w:lang w:val="lt-LT"/>
        </w:rPr>
      </w:pPr>
      <w:bookmarkStart w:id="208" w:name="_8_straipsnis._Pajamų"/>
      <w:bookmarkEnd w:id="208"/>
      <w:r>
        <w:rPr>
          <w:bCs w:val="0"/>
          <w:lang w:val="lt-LT"/>
        </w:rPr>
        <w:t xml:space="preserve">8 STRAIPSNIS. Pajamų ir sąnaudų pripažinimas pagal pinigų apskaitos principą </w:t>
      </w:r>
    </w:p>
    <w:p w14:paraId="30C12DC0" w14:textId="77777777" w:rsidR="00093845" w:rsidRDefault="000D779E">
      <w:pPr>
        <w:pStyle w:val="Pagrindiniotekstotrauka2"/>
        <w:tabs>
          <w:tab w:val="left" w:pos="720"/>
          <w:tab w:val="left" w:pos="1077"/>
          <w:tab w:val="left" w:pos="1418"/>
        </w:tabs>
        <w:spacing w:line="240" w:lineRule="auto"/>
        <w:ind w:right="-5"/>
        <w:rPr>
          <w:bCs w:val="0"/>
        </w:rPr>
      </w:pPr>
      <w:r>
        <w:rPr>
          <w:bCs w:val="0"/>
        </w:rPr>
        <w:t>1.</w:t>
      </w:r>
      <w:r>
        <w:rPr>
          <w:bCs w:val="0"/>
        </w:rPr>
        <w:tab/>
        <w:t xml:space="preserve">Taikant pinigų apskaitos principą, Lietuvos vieneto pajamos pripažįstamos faktišku pajamų gavimo momentu. Taip pat pripažįstamos šio Įstatymo 37 straipsnyje nustatytos pajamos. </w:t>
      </w:r>
    </w:p>
    <w:p w14:paraId="7E04EBD9"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lastRenderedPageBreak/>
        <w:t>Komentaras</w:t>
      </w:r>
    </w:p>
    <w:p w14:paraId="1DD8E084"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1.</w:t>
      </w:r>
      <w:r>
        <w:rPr>
          <w:rFonts w:ascii="Times New Roman" w:hAnsi="Times New Roman"/>
          <w:lang w:val="lt-LT"/>
        </w:rPr>
        <w:tab/>
        <w:t xml:space="preserve">Kai Lietuvos vienetas pasirenka taikyti pinigų apskaitos principą, tai pajamas jis turi pripažinti pagal faktišką pajamų gavimo momentą. Faktišku pajamų gavimo momentu laikomas sumokėjimo pinigais, atsiskaitymo natūra (mainais į kitas prekes, paslaugas ar kt.), įsipareigojimų perdavimo arba kitokio atsiskaitymo už patiektas prekes, atliktus darbus, suteiktas paslaugas ar pan. momentas. </w:t>
      </w:r>
    </w:p>
    <w:p w14:paraId="2429E506"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Pavyzdžiai</w:t>
      </w:r>
    </w:p>
    <w:p w14:paraId="7643CC13"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sidRPr="0065344A">
        <w:rPr>
          <w:sz w:val="24"/>
          <w:szCs w:val="24"/>
          <w:lang w:val="lt-LT"/>
        </w:rPr>
        <w:t>1.</w:t>
      </w:r>
      <w:r w:rsidRPr="0065344A">
        <w:rPr>
          <w:sz w:val="24"/>
          <w:szCs w:val="24"/>
          <w:lang w:val="lt-LT"/>
        </w:rPr>
        <w:tab/>
      </w:r>
      <w:r>
        <w:rPr>
          <w:sz w:val="24"/>
          <w:szCs w:val="24"/>
          <w:lang w:val="lt-LT"/>
        </w:rPr>
        <w:t>Dviejų vienetų apskaitoje įregistruoti tokie ūkiniai faktai:</w:t>
      </w:r>
    </w:p>
    <w:p w14:paraId="21F8FE40"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 įmonė (taikanti pinigų apskaitos principą) akcinei bendrovei pardavė prekes ir išrašė 7 000 eurų sąskaitą;</w:t>
      </w:r>
    </w:p>
    <w:p w14:paraId="683E8EC7"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akcinė bendrovė individualiai įmonei patiekė prekes ir išrašė 7 000 eurų sąskaitą.</w:t>
      </w:r>
    </w:p>
    <w:p w14:paraId="42F8449B"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Pagal dvišalį susitarimą abu vienetai užskaitė vienas kito įsiskolinimus. Šis užskaitymo momentas laikomas individualios įmonės pajamų 7 000 eurų už patiektas prekes gavimo momentu.</w:t>
      </w:r>
    </w:p>
    <w:p w14:paraId="496CBFC1" w14:textId="77777777" w:rsidR="00093845" w:rsidRDefault="00093845"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p>
    <w:p w14:paraId="6C0539F5"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2.</w:t>
      </w:r>
      <w:r>
        <w:rPr>
          <w:sz w:val="24"/>
          <w:szCs w:val="24"/>
          <w:lang w:val="lt-LT"/>
        </w:rPr>
        <w:tab/>
        <w:t>Dviejų vienetų apskaitoje įregistruoti tokie ūkiniai faktai:</w:t>
      </w:r>
    </w:p>
    <w:p w14:paraId="1F8D6CF5"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individualios įmonės A (taikančios pinigų apskaitos principą) apskaitoje įregistruota  8 000 eurų skola įmonei B;</w:t>
      </w:r>
    </w:p>
    <w:p w14:paraId="0F99BDB6"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w:t>
      </w:r>
      <w:r>
        <w:rPr>
          <w:sz w:val="24"/>
          <w:szCs w:val="24"/>
          <w:lang w:val="lt-LT"/>
        </w:rPr>
        <w:tab/>
        <w:t>individuali įmonė A įmonei B patiekė prekių 5 000 eurų.</w:t>
      </w:r>
    </w:p>
    <w:p w14:paraId="180FA644"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Pagal dvišalį susitarimą, įmonės A ir B atliko tarpusavio skolų užskaitymą, po kurio individuali įmonė A įmonei B liko skolinga 3 000 eurų.</w:t>
      </w:r>
    </w:p>
    <w:p w14:paraId="2B6A4C8E"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Individualios įmonės A apskaitoje įregistruotas tarpusavio skolų užskaitymas yra laikomas pajamų 5 000 eurų už patiektas prekes gavimo momentu.</w:t>
      </w:r>
    </w:p>
    <w:p w14:paraId="2807B2DD"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3.</w:t>
      </w:r>
      <w:r>
        <w:rPr>
          <w:sz w:val="24"/>
          <w:szCs w:val="24"/>
          <w:lang w:val="lt-LT"/>
        </w:rPr>
        <w:tab/>
        <w:t>Individuali įmonė (taikanti pinigų apskaitos principą) akcinei bendrovei patiekė prekių už 3 000 eurų. Ši individuali įmonė buvo skolinga 5 000 eurų statybinei organizacijai, atlikusiai statybos darbus. Pagal trišalį (individualios įmonės, akcinės bendrovės ir statybinės organizacijos) susitarimą akcinė bendrovė už prekes atsiskaitė ne pinigais, o perėmė individualios įmonės skolos trečiajam asmeniui – statybinei organizacijai dalį 3 000 eurų.</w:t>
      </w:r>
    </w:p>
    <w:p w14:paraId="4A658281" w14:textId="77777777" w:rsidR="00093845" w:rsidRDefault="000D779E" w:rsidP="00E33C88">
      <w:pPr>
        <w:pStyle w:val="Antrats"/>
        <w:pBdr>
          <w:top w:val="single" w:sz="4" w:space="1" w:color="auto"/>
          <w:left w:val="single" w:sz="4" w:space="1" w:color="auto"/>
          <w:bottom w:val="single" w:sz="4" w:space="1" w:color="auto"/>
          <w:right w:val="single" w:sz="4" w:space="1" w:color="auto"/>
        </w:pBdr>
        <w:tabs>
          <w:tab w:val="left" w:pos="720"/>
          <w:tab w:val="left" w:pos="1077"/>
          <w:tab w:val="left" w:pos="1418"/>
        </w:tabs>
        <w:spacing w:after="0"/>
        <w:ind w:right="-6" w:firstLine="720"/>
        <w:jc w:val="both"/>
        <w:rPr>
          <w:sz w:val="24"/>
          <w:szCs w:val="24"/>
          <w:lang w:val="lt-LT"/>
        </w:rPr>
      </w:pPr>
      <w:r>
        <w:rPr>
          <w:sz w:val="24"/>
          <w:szCs w:val="24"/>
          <w:lang w:val="lt-LT"/>
        </w:rPr>
        <w:t>Šio atsiskaitymo – skolos perleidimo akcinei bendrovei įregistravimas individualios įmonės buhalterinėje apskaitoje laikomas pajamų gavimo momentu. Statybinei organizacijai individuali įmonė liko skolinga 2 000 eurų.</w:t>
      </w:r>
    </w:p>
    <w:p w14:paraId="334C6DE0" w14:textId="77777777" w:rsidR="00093845" w:rsidRDefault="00093845">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p>
    <w:p w14:paraId="161FEA24" w14:textId="77777777" w:rsidR="00093845" w:rsidRPr="0065344A" w:rsidRDefault="00F62677">
      <w:pPr>
        <w:jc w:val="both"/>
        <w:rPr>
          <w:lang w:val="lt-LT"/>
        </w:rPr>
      </w:pPr>
      <w:r>
        <w:rPr>
          <w:bCs/>
          <w:lang w:val="lt-LT"/>
        </w:rPr>
        <w:t xml:space="preserve">             </w:t>
      </w:r>
      <w:r w:rsidR="000D779E">
        <w:rPr>
          <w:bCs/>
          <w:lang w:val="lt-LT"/>
        </w:rPr>
        <w:t xml:space="preserve">(Pakeista pagal VMI prie FM raštą </w:t>
      </w:r>
      <w:r w:rsidR="000D779E">
        <w:rPr>
          <w:color w:val="000000"/>
          <w:lang w:val="lt-LT"/>
        </w:rPr>
        <w:t xml:space="preserve">2016-06-10 Nr. </w:t>
      </w:r>
      <w:r w:rsidR="000D779E" w:rsidRPr="0065344A">
        <w:rPr>
          <w:rFonts w:ascii="Trebuchet MS" w:hAnsi="Trebuchet MS"/>
          <w:sz w:val="22"/>
          <w:szCs w:val="22"/>
          <w:lang w:val="lt-LT"/>
        </w:rPr>
        <w:t>(</w:t>
      </w:r>
      <w:r w:rsidR="000D779E" w:rsidRPr="0065344A">
        <w:rPr>
          <w:lang w:val="lt-LT"/>
        </w:rPr>
        <w:t>18.32-31-1E) RM-16940)</w:t>
      </w:r>
    </w:p>
    <w:p w14:paraId="616630A8"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2.</w:t>
      </w:r>
      <w:r>
        <w:rPr>
          <w:rFonts w:ascii="Times New Roman" w:hAnsi="Times New Roman"/>
          <w:lang w:val="lt-LT"/>
        </w:rPr>
        <w:tab/>
        <w:t>Jeigu Lietuvos vienetas yra pridėtinės vertės mokesčio mokėtojas, tai jo pajamos apskaitomos be pridėtinės vertės mokesčio.</w:t>
      </w:r>
    </w:p>
    <w:p w14:paraId="2865851C"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3.</w:t>
      </w:r>
      <w:r>
        <w:rPr>
          <w:rFonts w:ascii="Times New Roman" w:hAnsi="Times New Roman"/>
          <w:lang w:val="lt-LT"/>
        </w:rPr>
        <w:tab/>
        <w:t>Jeigu už patiektas prekes ar suteiktas paslaugas sumokama ne visa išrašytoje sąskaitoje nurodyta suma, o tik tos sumos dalis, tai ši sumos dalis pajamoms priskiriama iš karto, nelaukiant kol bus sumokėta visa suma. Likusi sąskaitoje nurodytos sumos dalis pajamoms bus priskirta, kai skolininkas ją sumokės.</w:t>
      </w:r>
    </w:p>
    <w:p w14:paraId="59B0421C"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4.</w:t>
      </w:r>
      <w:r>
        <w:rPr>
          <w:rFonts w:ascii="Times New Roman" w:hAnsi="Times New Roman"/>
          <w:lang w:val="lt-LT"/>
        </w:rPr>
        <w:tab/>
        <w:t>Kai Lietuvos vienetas gauna išankstinį apmokėjimą (avansą) už numatomas patiekti prekes, suteikti paslaugas, tai gauta suma nepripažįstama vieneto pajamomis, o buhalterinėje apskaitoje parodomas vieneto įsipareigojimas (skola) pirkėjui. Ši iš anksto gauta suma pajamomis bus pripažinta tą momentą, kai vienetas pirkėjui patieks prekes ar suteiks paslaugas. Jeigu bus patiekta tik dalis prekių arba suteikta tik dalis paslaugų, tai vieneto pajamomis pripažįstama ne visa iš anksto gauta suma, o tik jos atitinkama dalis.</w:t>
      </w:r>
    </w:p>
    <w:p w14:paraId="59E51C30"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lastRenderedPageBreak/>
        <w:t>5.</w:t>
      </w:r>
      <w:r>
        <w:rPr>
          <w:rFonts w:ascii="Times New Roman" w:hAnsi="Times New Roman"/>
          <w:lang w:val="lt-LT"/>
        </w:rPr>
        <w:tab/>
        <w:t>Taikant pinigų principą pripažįstamos ir užsienio vienetų pajamos, nurodytos PMĮ 4 str. 4 dalyje, t.y. tos pajamos, kurios gaunamos ne per nuolatines buveines ir kurios apmokestinamos prie pajamų šaltinio. Vadinasi, Lietuvos vienetas, nuolatinė buveinė arba nuolatinis Lietuvos gyventojas pelno mokestį nuo užsienio vienetui išmokamų pajamų (sumų) turi išskaičiuoti tų pajamų (sumų) išmokėjimo užsienio vienetui momentu.</w:t>
      </w:r>
    </w:p>
    <w:p w14:paraId="45774C7B" w14:textId="77777777" w:rsidR="00093845" w:rsidRDefault="000D779E">
      <w:pPr>
        <w:pStyle w:val="Pagrindinistekstas"/>
        <w:tabs>
          <w:tab w:val="left" w:pos="720"/>
          <w:tab w:val="left" w:pos="1077"/>
          <w:tab w:val="left" w:pos="1418"/>
        </w:tabs>
        <w:ind w:right="-5" w:firstLine="720"/>
        <w:rPr>
          <w:rFonts w:ascii="Times New Roman" w:hAnsi="Times New Roman"/>
          <w:lang w:val="lt-LT"/>
        </w:rPr>
      </w:pPr>
      <w:r>
        <w:rPr>
          <w:rFonts w:ascii="Times New Roman" w:hAnsi="Times New Roman"/>
          <w:lang w:val="lt-LT"/>
        </w:rPr>
        <w:t>Jeigu užsienio vienetas Lietuvoje veikia per nuolatinę buveinę, tai apskaičiuojant užsienio vieneto Lietuvoje vykdomos veiklos apmokestinamąjį pelną, pinigų apskaitos principas netaikomas.</w:t>
      </w:r>
    </w:p>
    <w:p w14:paraId="0CBDEBDE"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Taikant pinigų apskaitos principą, Lietuvos vieneto sąnaudos pripažįstamos tokia pat tvarka, kaip jos pripažįstamos taikant kaupimo apskaitos principą, tačiau pripažįstamos tik tos vieneto sąnaudos, kurios susijusios su pajamomis, faktiškai gautomis per mokestinį laikotarpį. </w:t>
      </w:r>
    </w:p>
    <w:p w14:paraId="6D0E6DAD" w14:textId="77777777" w:rsidR="00093845" w:rsidRDefault="000D779E">
      <w:pPr>
        <w:pStyle w:val="Pagrindinistekstas"/>
        <w:tabs>
          <w:tab w:val="left" w:pos="720"/>
          <w:tab w:val="left" w:pos="1077"/>
          <w:tab w:val="left" w:pos="1418"/>
        </w:tabs>
        <w:ind w:right="-5" w:firstLine="720"/>
        <w:rPr>
          <w:rFonts w:ascii="Times New Roman" w:hAnsi="Times New Roman"/>
          <w:b/>
          <w:lang w:val="lt-LT"/>
        </w:rPr>
      </w:pPr>
      <w:r>
        <w:rPr>
          <w:rFonts w:ascii="Times New Roman" w:hAnsi="Times New Roman"/>
          <w:b/>
          <w:lang w:val="lt-LT"/>
        </w:rPr>
        <w:t>Komentaras</w:t>
      </w:r>
    </w:p>
    <w:p w14:paraId="5D92715E" w14:textId="77777777" w:rsidR="00093845" w:rsidRDefault="000D779E">
      <w:pPr>
        <w:tabs>
          <w:tab w:val="left" w:pos="720"/>
          <w:tab w:val="left" w:pos="1077"/>
          <w:tab w:val="left" w:pos="1418"/>
        </w:tabs>
        <w:ind w:right="-5" w:firstLine="720"/>
        <w:jc w:val="both"/>
        <w:rPr>
          <w:lang w:val="lt-LT"/>
        </w:rPr>
      </w:pPr>
      <w:r>
        <w:rPr>
          <w:lang w:val="lt-LT"/>
        </w:rPr>
        <w:t xml:space="preserve">Pajamas pripažįstant pagal pinigų apskaitos principą, sąnaudos pripažįstamos taikant kaupimo ir palyginimo principus. Kaupimo principas reiškia, kad sąnaudos apskaitomos neatsižvelgiant į tai, ar jos apmokėtos, ar ne, bet atsižvelgiant į jų atsiradimo laikotarpį. Palyginimo principas reiškia, kad per mokestinį laikotarpį uždirbtos pajamos lyginamos su uždirbant tas pajamas patirtomis sąnaudomis. </w:t>
      </w:r>
    </w:p>
    <w:p w14:paraId="5614162A" w14:textId="77777777" w:rsidR="00093845" w:rsidRDefault="000D779E">
      <w:pPr>
        <w:tabs>
          <w:tab w:val="left" w:pos="720"/>
          <w:tab w:val="left" w:pos="1077"/>
          <w:tab w:val="left" w:pos="1418"/>
        </w:tabs>
        <w:ind w:right="-5" w:firstLine="720"/>
        <w:jc w:val="both"/>
        <w:rPr>
          <w:lang w:val="lt-LT"/>
        </w:rPr>
      </w:pPr>
      <w:r>
        <w:rPr>
          <w:lang w:val="lt-LT"/>
        </w:rPr>
        <w:t xml:space="preserve">Vadinasi, taikant pinigų apskaitos principą, Lietuvos vieneto leidžiamais atskaitymais pripažįstamos tik tos sąnaudos, kurios susijusios su per mokestinį laikotarpį faktiškai gautomis pajamomis, t.y. su tomis pajamomis, kurios per mokestinį laikotarpį buvo pripažintos pajamomis taikant pinigų apskaitos principą, neatsižvelgiant į tai, ar tos sąnaudos apmokėtos. Tačiau pagal PMĮ 31 str. 1 d. 8 punktą į sąnaudų apmokėjimą atsižvelgiama tuo atveju, kai tos sąnaudos susijusios su tikslinėse teritorijose įregistruotais ar kitaip organizuotais vienetais. Tokiu atveju daugiau kaip prieš 18 mėnesių į leidžiamus atskaitymus įtrauktos, bet vis dar neapmokėtos sąnaudos priskiriamos neleidžiamiems atskaitymams. </w:t>
      </w:r>
    </w:p>
    <w:p w14:paraId="5BA31C21" w14:textId="77777777" w:rsidR="00093845" w:rsidRDefault="00093845">
      <w:pPr>
        <w:tabs>
          <w:tab w:val="left" w:pos="720"/>
          <w:tab w:val="left" w:pos="1077"/>
          <w:tab w:val="left" w:pos="1418"/>
        </w:tabs>
        <w:ind w:right="-5" w:firstLine="720"/>
        <w:jc w:val="both"/>
        <w:rPr>
          <w:lang w:val="lt-LT"/>
        </w:rPr>
      </w:pPr>
    </w:p>
    <w:p w14:paraId="1B7AF3C9" w14:textId="77777777" w:rsidR="00093845" w:rsidRPr="0065344A" w:rsidRDefault="000D779E">
      <w:pPr>
        <w:jc w:val="both"/>
        <w:rPr>
          <w:b/>
          <w:iCs/>
          <w:color w:val="000000"/>
          <w:lang w:val="lt-LT"/>
        </w:rPr>
      </w:pPr>
      <w:bookmarkStart w:id="209" w:name="_9_straipsnis._Pinigų"/>
      <w:bookmarkEnd w:id="209"/>
      <w:r w:rsidRPr="0065344A">
        <w:rPr>
          <w:b/>
          <w:iCs/>
          <w:color w:val="000000"/>
          <w:lang w:val="lt-LT"/>
        </w:rPr>
        <w:t xml:space="preserve">9 STRAIPSNIS. Pinigų apskaitos principo taikymas    </w:t>
      </w:r>
    </w:p>
    <w:p w14:paraId="56E718AC" w14:textId="77777777" w:rsidR="00093845" w:rsidRPr="0065344A" w:rsidRDefault="000D779E" w:rsidP="00CB7D9F">
      <w:pPr>
        <w:spacing w:after="0"/>
        <w:ind w:firstLine="720"/>
        <w:jc w:val="both"/>
        <w:rPr>
          <w:b/>
          <w:iCs/>
          <w:color w:val="000000"/>
          <w:lang w:val="lt-LT"/>
        </w:rPr>
      </w:pPr>
      <w:r w:rsidRPr="0065344A">
        <w:rPr>
          <w:b/>
          <w:iCs/>
          <w:color w:val="000000"/>
          <w:lang w:val="lt-LT"/>
        </w:rPr>
        <w:t xml:space="preserve">1. Pinigų apskaitos principą gali taikyti tik tie Lietuvos vienetai, kurie iki šio Įstatymo įsigaliojimo pajamas pripažindavo pagal pinigų apskaitos principą ir kurių pajamos per paskutinius 3 mokestinius laikotarpius nė per vieną jų neviršijo </w:t>
      </w:r>
      <w:r w:rsidRPr="0065344A">
        <w:rPr>
          <w:b/>
          <w:lang w:val="lt-LT" w:eastAsia="lt-LT"/>
        </w:rPr>
        <w:t>30 000 eurų</w:t>
      </w:r>
      <w:r w:rsidRPr="0065344A">
        <w:rPr>
          <w:b/>
          <w:iCs/>
          <w:color w:val="000000"/>
          <w:lang w:val="lt-LT"/>
        </w:rPr>
        <w:t xml:space="preserve">, taip pat naujai įregistruoti Lietuvos vienetai, kurių pirmojo mokestinio laikotarpio planuojamos pajamos neviršys </w:t>
      </w:r>
      <w:r w:rsidRPr="0065344A">
        <w:rPr>
          <w:b/>
          <w:lang w:val="lt-LT" w:eastAsia="lt-LT"/>
        </w:rPr>
        <w:t>30 000 eurų</w:t>
      </w:r>
      <w:r w:rsidRPr="0065344A">
        <w:rPr>
          <w:b/>
          <w:iCs/>
          <w:color w:val="000000"/>
          <w:lang w:val="lt-LT"/>
        </w:rPr>
        <w:t xml:space="preserve"> per mokestinį laikotarpį.</w:t>
      </w:r>
    </w:p>
    <w:p w14:paraId="7AAA503A" w14:textId="77777777" w:rsidR="00093845" w:rsidRPr="00F62677" w:rsidRDefault="000D779E" w:rsidP="00CB7D9F">
      <w:pPr>
        <w:spacing w:after="0"/>
        <w:rPr>
          <w:i/>
          <w:lang w:val="lt-LT"/>
        </w:rPr>
      </w:pPr>
      <w:r w:rsidRPr="00F62677">
        <w:rPr>
          <w:bCs/>
          <w:i/>
          <w:lang w:val="lt-LT"/>
        </w:rPr>
        <w:t>(</w:t>
      </w:r>
      <w:r w:rsidRPr="00F62677">
        <w:rPr>
          <w:i/>
          <w:lang w:val="lt-LT"/>
        </w:rPr>
        <w:t>KEISTA: 2014 09 23 įstatymu Nr. XII-1131 (nuo 2015 01 01)</w:t>
      </w:r>
      <w:r w:rsidR="00BF30F0" w:rsidRPr="00F62677">
        <w:rPr>
          <w:i/>
          <w:lang w:val="lt-LT"/>
        </w:rPr>
        <w:t>,</w:t>
      </w:r>
      <w:r w:rsidR="00B43A40" w:rsidRPr="00F62677">
        <w:rPr>
          <w:i/>
          <w:lang w:val="lt-LT"/>
        </w:rPr>
        <w:t xml:space="preserve"> nuostatos taikomos apskaičiuojant 2015 metų ir vėlesnių metų mokestinių laikotarpių pelno mokestį</w:t>
      </w:r>
      <w:r w:rsidRPr="00F62677">
        <w:rPr>
          <w:i/>
          <w:lang w:val="lt-LT"/>
        </w:rPr>
        <w:t>)</w:t>
      </w:r>
    </w:p>
    <w:p w14:paraId="72D4C7CA" w14:textId="77777777" w:rsidR="00093845" w:rsidRPr="0065344A" w:rsidRDefault="000D779E">
      <w:pPr>
        <w:ind w:firstLine="720"/>
        <w:jc w:val="both"/>
        <w:rPr>
          <w:b/>
          <w:iCs/>
          <w:color w:val="000000"/>
          <w:lang w:val="lt-LT"/>
        </w:rPr>
      </w:pPr>
      <w:r w:rsidRPr="0065344A">
        <w:rPr>
          <w:b/>
          <w:iCs/>
          <w:color w:val="000000"/>
          <w:lang w:val="lt-LT"/>
        </w:rPr>
        <w:t>Komentaras</w:t>
      </w:r>
    </w:p>
    <w:p w14:paraId="680180FF" w14:textId="77777777" w:rsidR="00093845" w:rsidRDefault="000D779E">
      <w:pPr>
        <w:tabs>
          <w:tab w:val="left" w:pos="720"/>
          <w:tab w:val="left" w:pos="1077"/>
          <w:tab w:val="left" w:pos="1418"/>
        </w:tabs>
        <w:ind w:right="-5" w:firstLine="720"/>
        <w:jc w:val="both"/>
      </w:pPr>
      <w:r w:rsidRPr="0065344A">
        <w:rPr>
          <w:lang w:val="lt-LT"/>
        </w:rPr>
        <w:t>1.</w:t>
      </w:r>
      <w:r w:rsidRPr="0065344A">
        <w:rPr>
          <w:lang w:val="lt-LT"/>
        </w:rPr>
        <w:tab/>
        <w:t xml:space="preserve">Apskaičiuodami apmokestinamąjį pelną, pinigų apskaitos principą gali taikyti tik Lietuvos vienetai, t.y. Lietuvos ribotos ir neribotos civilinės atsakomybės juridiniai asmenys. </w:t>
      </w:r>
      <w:r>
        <w:t>Užsienio vienetai, vykdantys veiklą per nuolatines buveines, pinigų apskaitos principo taikyti negali. Užsienio vienetai pinigų apskaitos principą taiko tik tuo atveju, kai pajamas Lietuvoje uždirba ne per nuolatines buveines, t.y. kai uždirba pajamas, kurios pagal PMĮ 4 str. 4 dalį priskiriamos apmokestinamosioms prie pajamų šaltinio.</w:t>
      </w:r>
    </w:p>
    <w:p w14:paraId="1CBEB724" w14:textId="77777777" w:rsidR="00093845" w:rsidRDefault="000D779E">
      <w:pPr>
        <w:tabs>
          <w:tab w:val="left" w:pos="720"/>
          <w:tab w:val="left" w:pos="1077"/>
          <w:tab w:val="left" w:pos="1418"/>
        </w:tabs>
        <w:ind w:right="-5" w:firstLine="720"/>
        <w:jc w:val="both"/>
      </w:pPr>
      <w:r>
        <w:t>2.</w:t>
      </w:r>
      <w:r>
        <w:tab/>
        <w:t>Pinigų apskaitos principą gali taikyti naujai registruoti Lietuvos vienetai, jeigu numato, kad jų pajamos per mokestinį laikotarpį nebus didesnės kaip.</w:t>
      </w:r>
      <w:r>
        <w:rPr>
          <w:lang w:eastAsia="lt-LT"/>
        </w:rPr>
        <w:t xml:space="preserve"> 30 000 eurų.</w:t>
      </w:r>
      <w:r>
        <w:t xml:space="preserve">  Vadinasi, pinigų apskaitos principą gali taikyti ne tik neribotos civilinės atsakomybės juridiniai asmenys, bet ir naujai registruoti ribotos civilinės atsakomybės juridiniai asmenys. </w:t>
      </w:r>
    </w:p>
    <w:p w14:paraId="5B84A742" w14:textId="77777777" w:rsidR="00093845" w:rsidRDefault="000D779E">
      <w:pPr>
        <w:tabs>
          <w:tab w:val="left" w:pos="720"/>
          <w:tab w:val="left" w:pos="1077"/>
          <w:tab w:val="left" w:pos="1418"/>
        </w:tabs>
        <w:ind w:right="-5" w:firstLine="720"/>
        <w:jc w:val="both"/>
      </w:pPr>
      <w:r>
        <w:lastRenderedPageBreak/>
        <w:t xml:space="preserve">Skaičiuojant </w:t>
      </w:r>
      <w:r>
        <w:rPr>
          <w:lang w:eastAsia="lt-LT"/>
        </w:rPr>
        <w:t>30 000 eurų</w:t>
      </w:r>
      <w:r>
        <w:rPr>
          <w:iCs/>
          <w:color w:val="000000"/>
        </w:rPr>
        <w:t xml:space="preserve"> </w:t>
      </w:r>
      <w:r>
        <w:t>pajamų sumą atsižvelgiama į visas pajamas, įskaitant ir tas, kurios pagal PMĮ 12 straipsnį priskiriamos prie neapmokestinamųjų pajamų.</w:t>
      </w:r>
    </w:p>
    <w:p w14:paraId="0B117E40" w14:textId="77777777" w:rsidR="00093845" w:rsidRDefault="000D779E" w:rsidP="00CB7D9F">
      <w:pPr>
        <w:tabs>
          <w:tab w:val="left" w:pos="720"/>
          <w:tab w:val="left" w:pos="1077"/>
          <w:tab w:val="left" w:pos="1418"/>
        </w:tabs>
        <w:spacing w:after="0"/>
        <w:ind w:right="-5" w:firstLine="720"/>
        <w:jc w:val="both"/>
        <w:rPr>
          <w:b/>
        </w:rPr>
      </w:pPr>
      <w:r>
        <w:rPr>
          <w:b/>
        </w:rPr>
        <w:t>2.</w:t>
      </w:r>
      <w:r>
        <w:rPr>
          <w:b/>
        </w:rPr>
        <w:tab/>
        <w:t>Lietuvos vienetai, taikantys pinigų apskaitos principą, privalo pereiti prie kaupimo apskaitos principo mokestiniu laikotarpiu, einančiu po to mokestinio laikotarpio, kurį pajamos viršijo</w:t>
      </w:r>
      <w:r>
        <w:rPr>
          <w:b/>
          <w:lang w:eastAsia="lt-LT"/>
        </w:rPr>
        <w:t xml:space="preserve"> 30 000 eurų.</w:t>
      </w:r>
      <w:r>
        <w:rPr>
          <w:b/>
        </w:rPr>
        <w:t xml:space="preserve"> </w:t>
      </w:r>
    </w:p>
    <w:p w14:paraId="3925069C" w14:textId="77777777" w:rsidR="00093845" w:rsidRPr="00F62677" w:rsidRDefault="000D779E" w:rsidP="00CB7D9F">
      <w:pPr>
        <w:spacing w:after="0"/>
        <w:rPr>
          <w:i/>
          <w:lang w:val="lt-LT"/>
        </w:rPr>
      </w:pPr>
      <w:r w:rsidRPr="00F62677">
        <w:rPr>
          <w:bCs/>
          <w:i/>
        </w:rPr>
        <w:t>(</w:t>
      </w:r>
      <w:r w:rsidRPr="00F62677">
        <w:rPr>
          <w:i/>
        </w:rPr>
        <w:t>KEISTA:</w:t>
      </w:r>
      <w:r w:rsidRPr="00F62677">
        <w:rPr>
          <w:i/>
          <w:lang w:val="lt-LT"/>
        </w:rPr>
        <w:t xml:space="preserve"> </w:t>
      </w:r>
      <w:r w:rsidRPr="00F62677">
        <w:rPr>
          <w:i/>
        </w:rPr>
        <w:t>2014 09 23 įstatymu Nr. XII-1131 (nuo 2015 01 01)</w:t>
      </w:r>
      <w:r w:rsidR="00655350" w:rsidRPr="00F62677">
        <w:rPr>
          <w:i/>
        </w:rPr>
        <w:t>,</w:t>
      </w:r>
      <w:r w:rsidR="00F52DA6" w:rsidRPr="00F62677">
        <w:rPr>
          <w:i/>
        </w:rPr>
        <w:t xml:space="preserve"> nuostatos taikomos apskaičiuojant 2015 metų ir vėlesnių metų mokestinių laikotarpių pelno mokestį</w:t>
      </w:r>
      <w:r w:rsidRPr="00F62677">
        <w:rPr>
          <w:i/>
          <w:lang w:val="lt-LT"/>
        </w:rPr>
        <w:t>)</w:t>
      </w:r>
    </w:p>
    <w:p w14:paraId="5C7B72B3" w14:textId="77777777" w:rsidR="00093845" w:rsidRPr="0065344A" w:rsidRDefault="000D779E">
      <w:pPr>
        <w:tabs>
          <w:tab w:val="left" w:pos="720"/>
          <w:tab w:val="left" w:pos="1077"/>
          <w:tab w:val="left" w:pos="1418"/>
        </w:tabs>
        <w:ind w:right="-5" w:firstLine="720"/>
        <w:jc w:val="both"/>
        <w:rPr>
          <w:b/>
          <w:lang w:val="lt-LT"/>
        </w:rPr>
      </w:pPr>
      <w:r w:rsidRPr="0065344A">
        <w:rPr>
          <w:b/>
          <w:lang w:val="lt-LT"/>
        </w:rPr>
        <w:t>Komentaras</w:t>
      </w:r>
    </w:p>
    <w:p w14:paraId="06EC29AD" w14:textId="77777777" w:rsidR="00093845" w:rsidRPr="0065344A" w:rsidRDefault="000D779E">
      <w:pPr>
        <w:ind w:firstLine="720"/>
        <w:jc w:val="both"/>
        <w:rPr>
          <w:lang w:val="lt-LT"/>
        </w:rPr>
      </w:pPr>
      <w:r w:rsidRPr="0065344A">
        <w:rPr>
          <w:bCs/>
          <w:lang w:val="lt-LT"/>
        </w:rPr>
        <w:t xml:space="preserve">1. Lietuvos vienetai, kurie pagal PMĮ 9 str. 1 dalį galėjo taikyti pinigų apskaitos principą, privalo pereiti prie pajamų pripažinimo pagal kaupimo apskaitos principą, jeigu to mokestinio laikotarpio pajamos tampa didesnės kaip </w:t>
      </w:r>
      <w:r w:rsidRPr="0065344A">
        <w:rPr>
          <w:lang w:val="lt-LT" w:eastAsia="lt-LT"/>
        </w:rPr>
        <w:t>30 000 eurų</w:t>
      </w:r>
      <w:r w:rsidRPr="0065344A">
        <w:rPr>
          <w:bCs/>
          <w:lang w:val="lt-LT"/>
        </w:rPr>
        <w:t>. Tokiu atveju prie pajamų pripažinimo pagal kaupimo apskaitos principą pereinama nuo kito mokestinio laikotarpio pradžios.</w:t>
      </w:r>
      <w:r w:rsidRPr="0065344A">
        <w:rPr>
          <w:lang w:val="lt-LT"/>
        </w:rPr>
        <w:t xml:space="preserve"> Skaičiuojant, ar pajamos nėra didesnės už 30 000 eurų sumą, atsižvelgiama į visas pajamas, t.y. ir į tas, kurios, vadovaujantis </w:t>
      </w:r>
      <w:hyperlink r:id="rId56" w:history="1">
        <w:r w:rsidRPr="0065344A">
          <w:rPr>
            <w:lang w:val="lt-LT"/>
          </w:rPr>
          <w:t>PMĮ</w:t>
        </w:r>
      </w:hyperlink>
      <w:r w:rsidRPr="0065344A">
        <w:rPr>
          <w:lang w:val="lt-LT"/>
        </w:rPr>
        <w:t xml:space="preserve"> 12 straipsniu, priskiriamos neapmokestinamosioms pajamoms. Tuo atveju, jeigu vienetas vykdo veiklą per nuolatinę buveinę kitoje užsienio valstybėje, tai nustatant, ar vieneto mokestinio laikotarpio pajamos yra ne didesnės negu </w:t>
      </w:r>
      <w:r w:rsidRPr="0065344A">
        <w:rPr>
          <w:lang w:val="lt-LT" w:eastAsia="lt-LT"/>
        </w:rPr>
        <w:t>30 000 eurų</w:t>
      </w:r>
      <w:r w:rsidRPr="0065344A">
        <w:rPr>
          <w:lang w:val="lt-LT"/>
        </w:rPr>
        <w:t xml:space="preserve">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2D0793DC" w14:textId="77777777" w:rsidR="00093845" w:rsidRPr="0065344A" w:rsidRDefault="000D779E">
      <w:pPr>
        <w:ind w:firstLine="720"/>
        <w:jc w:val="both"/>
        <w:rPr>
          <w:lang w:val="lt-LT"/>
        </w:rPr>
      </w:pPr>
      <w:r w:rsidRPr="0065344A">
        <w:rPr>
          <w:lang w:val="lt-LT"/>
        </w:rPr>
        <w:t>Jeigu užsienio vienetas vykdo veiklą per nuolatinę buveinę Lietuvoje, tai turi būti skaičiuojamos visos užsienio vieneto pajamos, įskaitant nuolatinės buveinės pajamas uždirbtas Lietuvoje.</w:t>
      </w:r>
    </w:p>
    <w:p w14:paraId="16C039BD" w14:textId="77777777" w:rsidR="00093845" w:rsidRPr="0065344A" w:rsidRDefault="000D779E">
      <w:pPr>
        <w:ind w:firstLine="720"/>
        <w:jc w:val="both"/>
        <w:rPr>
          <w:lang w:val="lt-LT"/>
        </w:rPr>
      </w:pPr>
      <w:r w:rsidRPr="0065344A">
        <w:rPr>
          <w:lang w:val="lt-LT"/>
        </w:rPr>
        <w:t>Pažymėtina, kad į pajamų ribos skaičiavimą neįtraukiami iš Lietuvos ir užsienio vienetų gauti dividendai.</w:t>
      </w:r>
    </w:p>
    <w:p w14:paraId="6773C0D4" w14:textId="77777777" w:rsidR="00093845" w:rsidRDefault="000D779E">
      <w:pPr>
        <w:tabs>
          <w:tab w:val="left" w:pos="720"/>
          <w:tab w:val="left" w:pos="1077"/>
          <w:tab w:val="left" w:pos="1418"/>
        </w:tabs>
        <w:ind w:right="-5" w:firstLine="720"/>
        <w:jc w:val="both"/>
        <w:rPr>
          <w:b/>
        </w:rPr>
      </w:pPr>
      <w:r>
        <w:rPr>
          <w:b/>
        </w:rPr>
        <w:t>3.</w:t>
      </w:r>
      <w:r>
        <w:rPr>
          <w:b/>
        </w:rPr>
        <w:tab/>
        <w:t xml:space="preserve">Šio straipsnio nuostatos netaikomos bankrutuojančiojo statusą turintiems (įgijusiems) Lietuvos vienetams. </w:t>
      </w:r>
    </w:p>
    <w:p w14:paraId="5EB9758E" w14:textId="77777777" w:rsidR="00093845" w:rsidRDefault="000D779E">
      <w:pPr>
        <w:ind w:firstLine="720"/>
        <w:jc w:val="both"/>
        <w:rPr>
          <w:b/>
          <w:bCs/>
        </w:rPr>
      </w:pPr>
      <w:r>
        <w:rPr>
          <w:b/>
          <w:bCs/>
        </w:rPr>
        <w:t xml:space="preserve">Komentaras </w:t>
      </w:r>
    </w:p>
    <w:p w14:paraId="0BDFC20C" w14:textId="77777777" w:rsidR="00093845" w:rsidRDefault="000D779E">
      <w:pPr>
        <w:tabs>
          <w:tab w:val="left" w:pos="720"/>
          <w:tab w:val="left" w:pos="1077"/>
          <w:tab w:val="left" w:pos="1418"/>
        </w:tabs>
        <w:ind w:right="-5" w:firstLine="720"/>
        <w:jc w:val="both"/>
      </w:pPr>
      <w:r>
        <w:t>1.</w:t>
      </w:r>
      <w:r>
        <w:tab/>
        <w:t xml:space="preserve">Pagal </w:t>
      </w:r>
      <w:hyperlink r:id="rId57" w:history="1">
        <w:r w:rsidRPr="007E10F3">
          <w:t>Įmonių bankroto įstatymą</w:t>
        </w:r>
      </w:hyperlink>
      <w:r>
        <w:t xml:space="preserve"> bankrutuojanti įmonė – tai įmonė, kuriai iškelta bankroto byla arba kurios bankroto procesas vyksta ne teismo tvarka.</w:t>
      </w:r>
    </w:p>
    <w:p w14:paraId="22240AB2" w14:textId="77777777" w:rsidR="00093845" w:rsidRDefault="000D779E">
      <w:pPr>
        <w:tabs>
          <w:tab w:val="left" w:pos="720"/>
          <w:tab w:val="left" w:pos="1077"/>
          <w:tab w:val="left" w:pos="1418"/>
        </w:tabs>
        <w:ind w:right="-5" w:firstLine="720"/>
        <w:jc w:val="both"/>
      </w:pPr>
      <w:r>
        <w:t>2.</w:t>
      </w:r>
      <w:r>
        <w:tab/>
        <w:t>Lietuvos vienetai, kurie pagal PMĮ 9 str. 2 dalies nuostatas privalėtų pereiti prie pajamų pripažinimo pagal kaupimo apskaitos principą, gali ir toliau taikyti pinigų apskaitos principą, jeigu jie turi (įgijo) bankrutuojančiojo statusą.</w:t>
      </w:r>
    </w:p>
    <w:p w14:paraId="5BBB1B50" w14:textId="77777777" w:rsidR="00093845" w:rsidRDefault="00F62677">
      <w:pPr>
        <w:jc w:val="both"/>
        <w:rPr>
          <w:color w:val="000000"/>
          <w:lang w:val="lt-LT"/>
        </w:rPr>
      </w:pPr>
      <w:r>
        <w:rPr>
          <w:bCs/>
          <w:lang w:val="lt-LT"/>
        </w:rPr>
        <w:t xml:space="preserve">           </w:t>
      </w:r>
      <w:r w:rsidR="000D779E">
        <w:rPr>
          <w:bCs/>
          <w:lang w:val="lt-LT"/>
        </w:rPr>
        <w:t xml:space="preserve">(Pakeista pagal VMI prie FM raštą </w:t>
      </w:r>
      <w:r w:rsidR="000D779E">
        <w:rPr>
          <w:color w:val="000000"/>
          <w:lang w:val="lt-LT"/>
        </w:rPr>
        <w:t>2015-04-27 Nr. (18.10-31-1)-RM-8364)</w:t>
      </w:r>
    </w:p>
    <w:p w14:paraId="3413C54C" w14:textId="77777777" w:rsidR="00093845" w:rsidRDefault="00093845">
      <w:pPr>
        <w:jc w:val="both"/>
        <w:rPr>
          <w:color w:val="000000"/>
          <w:lang w:val="lt-LT"/>
        </w:rPr>
      </w:pPr>
    </w:p>
    <w:p w14:paraId="7584CA66" w14:textId="77777777" w:rsidR="00093845" w:rsidRDefault="000D779E">
      <w:pPr>
        <w:pStyle w:val="Antrat1"/>
        <w:jc w:val="both"/>
        <w:rPr>
          <w:bCs w:val="0"/>
          <w:lang w:val="lt-LT"/>
        </w:rPr>
      </w:pPr>
      <w:bookmarkStart w:id="210" w:name="_10_straipsnis._Apskaitos"/>
      <w:bookmarkEnd w:id="210"/>
      <w:r>
        <w:rPr>
          <w:bCs w:val="0"/>
          <w:lang w:val="lt-LT"/>
        </w:rPr>
        <w:t xml:space="preserve">10 STRAIPSNIS. Apskaitos principo pasirinkimas ir keitimas </w:t>
      </w:r>
    </w:p>
    <w:p w14:paraId="0255AA70" w14:textId="77777777" w:rsidR="00093845" w:rsidRDefault="000D779E">
      <w:pPr>
        <w:pStyle w:val="Pagrindiniotekstotrauka2"/>
        <w:tabs>
          <w:tab w:val="left" w:pos="720"/>
          <w:tab w:val="left" w:pos="1077"/>
          <w:tab w:val="left" w:pos="1418"/>
        </w:tabs>
        <w:spacing w:line="240" w:lineRule="auto"/>
        <w:ind w:right="-5"/>
        <w:rPr>
          <w:bCs w:val="0"/>
        </w:rPr>
      </w:pPr>
      <w:r>
        <w:rPr>
          <w:bCs w:val="0"/>
        </w:rPr>
        <w:t>1.</w:t>
      </w:r>
      <w:r>
        <w:rPr>
          <w:bCs w:val="0"/>
        </w:rPr>
        <w:tab/>
        <w:t xml:space="preserve">Lietuvos vienetas, nors ir atitinkantis 9 straipsnio 1 dalyje nustatytą kriterijų, nuo bet kurių mokestinių metų pradžios gali pereiti nuo pinigų apskaitos principo prie kaupimo apskaitos principo. Apie tokį perėjimą Lietuvos vienetas praneša vietos mokesčio administratoriui. </w:t>
      </w:r>
    </w:p>
    <w:p w14:paraId="2B783613" w14:textId="77777777" w:rsidR="00093845" w:rsidRDefault="000D779E">
      <w:pPr>
        <w:pStyle w:val="Pagrindiniotekstotrauka2"/>
        <w:tabs>
          <w:tab w:val="left" w:pos="720"/>
          <w:tab w:val="left" w:pos="1077"/>
          <w:tab w:val="left" w:pos="1418"/>
        </w:tabs>
        <w:spacing w:line="240" w:lineRule="auto"/>
        <w:ind w:right="-5"/>
        <w:rPr>
          <w:bCs w:val="0"/>
        </w:rPr>
      </w:pPr>
      <w:r>
        <w:rPr>
          <w:bCs w:val="0"/>
        </w:rPr>
        <w:t>Komentaras</w:t>
      </w:r>
    </w:p>
    <w:p w14:paraId="3DBF30E6" w14:textId="77777777" w:rsidR="00093845" w:rsidRDefault="000D779E">
      <w:pPr>
        <w:pStyle w:val="Pagrindiniotekstotrauka2"/>
        <w:tabs>
          <w:tab w:val="left" w:pos="720"/>
          <w:tab w:val="left" w:pos="1077"/>
          <w:tab w:val="left" w:pos="1418"/>
        </w:tabs>
        <w:spacing w:line="240" w:lineRule="auto"/>
        <w:ind w:right="-5"/>
        <w:rPr>
          <w:b w:val="0"/>
          <w:bCs w:val="0"/>
        </w:rPr>
      </w:pPr>
      <w:r>
        <w:rPr>
          <w:b w:val="0"/>
          <w:bCs w:val="0"/>
        </w:rPr>
        <w:t xml:space="preserve">Lietuvos vienetas, kuris pagal PMĮ 9 straipsnio nuostatas turi teisę pajamas pripažinti pagal pinigų gavimo momentą, gali pats nuspręsti pereiti prie pajamų pripažinimo pagal kaupimo apskaitos </w:t>
      </w:r>
      <w:r>
        <w:rPr>
          <w:b w:val="0"/>
          <w:bCs w:val="0"/>
        </w:rPr>
        <w:lastRenderedPageBreak/>
        <w:t>principą. Pereiti prie kaupimo apskaitos principo galima tik nuo mokestinių metų pradžios. Vietos mokesčių administratoriui apie tokį sprendimą pranešama pažymint atitinkamą laukelį metinėje pelno mokesčio deklaracijoje, kuri pateikiama pasibaigus mokestiniam laikotarpiui, nuo kurio pradžios vienetas perėjo prie pajamų pripažinimo taikant kaupimo apskaitos principą.</w:t>
      </w:r>
    </w:p>
    <w:p w14:paraId="6AC3C8A9" w14:textId="77777777" w:rsidR="00093845" w:rsidRDefault="000D779E">
      <w:pPr>
        <w:pStyle w:val="tajtip"/>
        <w:jc w:val="both"/>
      </w:pPr>
      <w:r>
        <w:rPr>
          <w:b/>
          <w:bCs/>
        </w:rPr>
        <w:t xml:space="preserve">           2.</w:t>
      </w:r>
      <w:r>
        <w:rPr>
          <w:b/>
          <w:bCs/>
          <w:i/>
          <w:iCs/>
        </w:rPr>
        <w:t xml:space="preserve"> </w:t>
      </w:r>
      <w:r>
        <w:rPr>
          <w:b/>
          <w:bCs/>
        </w:rPr>
        <w:t>Tais</w:t>
      </w:r>
      <w:r>
        <w:rPr>
          <w:b/>
          <w:bCs/>
          <w:i/>
          <w:iCs/>
        </w:rPr>
        <w:t xml:space="preserve"> </w:t>
      </w:r>
      <w:r>
        <w:rPr>
          <w:b/>
          <w:bCs/>
        </w:rPr>
        <w:t>atvejais,</w:t>
      </w:r>
      <w:r>
        <w:rPr>
          <w:b/>
          <w:bCs/>
          <w:i/>
          <w:iCs/>
        </w:rPr>
        <w:t xml:space="preserve"> </w:t>
      </w:r>
      <w:r>
        <w:rPr>
          <w:b/>
          <w:bCs/>
        </w:rPr>
        <w:t>kai</w:t>
      </w:r>
      <w:r>
        <w:rPr>
          <w:b/>
          <w:bCs/>
          <w:i/>
          <w:iCs/>
        </w:rPr>
        <w:t xml:space="preserve"> </w:t>
      </w:r>
      <w:r>
        <w:rPr>
          <w:b/>
          <w:bCs/>
        </w:rPr>
        <w:t>Lietuvos</w:t>
      </w:r>
      <w:r>
        <w:rPr>
          <w:b/>
          <w:bCs/>
          <w:i/>
          <w:iCs/>
        </w:rPr>
        <w:t xml:space="preserve"> </w:t>
      </w:r>
      <w:r>
        <w:rPr>
          <w:b/>
          <w:bCs/>
        </w:rPr>
        <w:t>vienetas</w:t>
      </w:r>
      <w:r>
        <w:rPr>
          <w:b/>
          <w:bCs/>
          <w:i/>
          <w:iCs/>
        </w:rPr>
        <w:t xml:space="preserve"> </w:t>
      </w:r>
      <w:r>
        <w:rPr>
          <w:b/>
          <w:bCs/>
        </w:rPr>
        <w:t>vietoj</w:t>
      </w:r>
      <w:r>
        <w:rPr>
          <w:b/>
          <w:bCs/>
          <w:i/>
          <w:iCs/>
        </w:rPr>
        <w:t xml:space="preserve"> </w:t>
      </w:r>
      <w:r>
        <w:rPr>
          <w:b/>
          <w:bCs/>
        </w:rPr>
        <w:t>taikyto</w:t>
      </w:r>
      <w:r>
        <w:rPr>
          <w:b/>
          <w:bCs/>
          <w:i/>
          <w:iCs/>
        </w:rPr>
        <w:t xml:space="preserve"> </w:t>
      </w:r>
      <w:r>
        <w:rPr>
          <w:b/>
          <w:bCs/>
        </w:rPr>
        <w:t>pinigų</w:t>
      </w:r>
      <w:r>
        <w:rPr>
          <w:b/>
          <w:bCs/>
          <w:i/>
          <w:iCs/>
        </w:rPr>
        <w:t xml:space="preserve"> </w:t>
      </w:r>
      <w:r>
        <w:rPr>
          <w:b/>
          <w:bCs/>
        </w:rPr>
        <w:t>apskaitos</w:t>
      </w:r>
      <w:r>
        <w:rPr>
          <w:b/>
          <w:bCs/>
          <w:i/>
          <w:iCs/>
        </w:rPr>
        <w:t xml:space="preserve"> </w:t>
      </w:r>
      <w:r>
        <w:rPr>
          <w:b/>
          <w:bCs/>
        </w:rPr>
        <w:t>principo</w:t>
      </w:r>
      <w:r>
        <w:rPr>
          <w:b/>
          <w:bCs/>
          <w:i/>
          <w:iCs/>
        </w:rPr>
        <w:t xml:space="preserve"> </w:t>
      </w:r>
      <w:r>
        <w:rPr>
          <w:b/>
          <w:bCs/>
        </w:rPr>
        <w:t>pradeda</w:t>
      </w:r>
      <w:r>
        <w:rPr>
          <w:b/>
          <w:bCs/>
          <w:i/>
          <w:iCs/>
        </w:rPr>
        <w:t xml:space="preserve"> </w:t>
      </w:r>
      <w:r>
        <w:rPr>
          <w:b/>
          <w:bCs/>
        </w:rPr>
        <w:t>taikyti</w:t>
      </w:r>
      <w:r>
        <w:rPr>
          <w:b/>
          <w:bCs/>
          <w:i/>
          <w:iCs/>
        </w:rPr>
        <w:t xml:space="preserve"> </w:t>
      </w:r>
      <w:r>
        <w:rPr>
          <w:b/>
          <w:bCs/>
        </w:rPr>
        <w:t>kaupimo</w:t>
      </w:r>
      <w:r>
        <w:rPr>
          <w:b/>
          <w:bCs/>
          <w:i/>
          <w:iCs/>
        </w:rPr>
        <w:t xml:space="preserve"> </w:t>
      </w:r>
      <w:r>
        <w:rPr>
          <w:b/>
          <w:bCs/>
        </w:rPr>
        <w:t>apskaitos</w:t>
      </w:r>
      <w:r>
        <w:rPr>
          <w:b/>
          <w:bCs/>
          <w:i/>
          <w:iCs/>
        </w:rPr>
        <w:t xml:space="preserve"> </w:t>
      </w:r>
      <w:r>
        <w:rPr>
          <w:b/>
          <w:bCs/>
        </w:rPr>
        <w:t>principą,</w:t>
      </w:r>
      <w:r>
        <w:rPr>
          <w:b/>
          <w:bCs/>
          <w:i/>
          <w:iCs/>
        </w:rPr>
        <w:t xml:space="preserve"> </w:t>
      </w:r>
      <w:r>
        <w:rPr>
          <w:b/>
          <w:bCs/>
        </w:rPr>
        <w:t>į</w:t>
      </w:r>
      <w:r>
        <w:rPr>
          <w:b/>
          <w:bCs/>
          <w:i/>
          <w:iCs/>
        </w:rPr>
        <w:t xml:space="preserve"> </w:t>
      </w:r>
      <w:r>
        <w:rPr>
          <w:b/>
          <w:bCs/>
        </w:rPr>
        <w:t>šio</w:t>
      </w:r>
      <w:r>
        <w:rPr>
          <w:b/>
          <w:bCs/>
          <w:i/>
          <w:iCs/>
        </w:rPr>
        <w:t xml:space="preserve"> </w:t>
      </w:r>
      <w:r>
        <w:rPr>
          <w:b/>
          <w:bCs/>
        </w:rPr>
        <w:t>apskaitos</w:t>
      </w:r>
      <w:r>
        <w:rPr>
          <w:b/>
          <w:bCs/>
          <w:i/>
          <w:iCs/>
        </w:rPr>
        <w:t xml:space="preserve"> </w:t>
      </w:r>
      <w:r>
        <w:rPr>
          <w:b/>
          <w:bCs/>
        </w:rPr>
        <w:t>principo</w:t>
      </w:r>
      <w:r>
        <w:rPr>
          <w:b/>
          <w:bCs/>
          <w:i/>
          <w:iCs/>
        </w:rPr>
        <w:t xml:space="preserve"> </w:t>
      </w:r>
      <w:r>
        <w:rPr>
          <w:b/>
          <w:bCs/>
        </w:rPr>
        <w:t>taikymo</w:t>
      </w:r>
      <w:r>
        <w:rPr>
          <w:b/>
          <w:bCs/>
          <w:i/>
          <w:iCs/>
        </w:rPr>
        <w:t xml:space="preserve"> </w:t>
      </w:r>
      <w:r>
        <w:rPr>
          <w:b/>
          <w:bCs/>
        </w:rPr>
        <w:t>mokestinius</w:t>
      </w:r>
      <w:r>
        <w:rPr>
          <w:b/>
          <w:bCs/>
          <w:i/>
          <w:iCs/>
        </w:rPr>
        <w:t xml:space="preserve"> </w:t>
      </w:r>
      <w:r>
        <w:rPr>
          <w:b/>
          <w:bCs/>
        </w:rPr>
        <w:t>metus</w:t>
      </w:r>
      <w:r>
        <w:rPr>
          <w:b/>
          <w:bCs/>
          <w:i/>
          <w:iCs/>
        </w:rPr>
        <w:t xml:space="preserve"> </w:t>
      </w:r>
      <w:r>
        <w:rPr>
          <w:b/>
          <w:bCs/>
        </w:rPr>
        <w:t>pereinančios</w:t>
      </w:r>
      <w:r>
        <w:rPr>
          <w:b/>
          <w:bCs/>
          <w:i/>
          <w:iCs/>
        </w:rPr>
        <w:t xml:space="preserve"> </w:t>
      </w:r>
      <w:r>
        <w:rPr>
          <w:b/>
          <w:bCs/>
        </w:rPr>
        <w:t>pirkėjų</w:t>
      </w:r>
      <w:r>
        <w:rPr>
          <w:b/>
          <w:bCs/>
          <w:i/>
          <w:iCs/>
        </w:rPr>
        <w:t xml:space="preserve"> </w:t>
      </w:r>
      <w:r>
        <w:rPr>
          <w:b/>
          <w:bCs/>
        </w:rPr>
        <w:t>skolos</w:t>
      </w:r>
      <w:r>
        <w:rPr>
          <w:b/>
          <w:bCs/>
          <w:i/>
          <w:iCs/>
        </w:rPr>
        <w:t xml:space="preserve"> </w:t>
      </w:r>
      <w:r>
        <w:rPr>
          <w:b/>
          <w:bCs/>
        </w:rPr>
        <w:t>į</w:t>
      </w:r>
      <w:r>
        <w:rPr>
          <w:b/>
          <w:bCs/>
          <w:i/>
          <w:iCs/>
        </w:rPr>
        <w:t xml:space="preserve"> </w:t>
      </w:r>
      <w:r>
        <w:rPr>
          <w:b/>
          <w:bCs/>
        </w:rPr>
        <w:t>Lietuvos</w:t>
      </w:r>
      <w:r>
        <w:rPr>
          <w:b/>
          <w:bCs/>
          <w:i/>
          <w:iCs/>
        </w:rPr>
        <w:t xml:space="preserve"> </w:t>
      </w:r>
      <w:r>
        <w:rPr>
          <w:b/>
          <w:bCs/>
        </w:rPr>
        <w:t>vieneto</w:t>
      </w:r>
      <w:r>
        <w:rPr>
          <w:b/>
          <w:bCs/>
          <w:i/>
          <w:iCs/>
        </w:rPr>
        <w:t xml:space="preserve"> </w:t>
      </w:r>
      <w:r>
        <w:rPr>
          <w:b/>
          <w:bCs/>
        </w:rPr>
        <w:t>pajamas</w:t>
      </w:r>
      <w:r>
        <w:rPr>
          <w:b/>
          <w:bCs/>
          <w:i/>
          <w:iCs/>
        </w:rPr>
        <w:t xml:space="preserve"> </w:t>
      </w:r>
      <w:r>
        <w:rPr>
          <w:b/>
          <w:bCs/>
        </w:rPr>
        <w:t>įtraukiamos</w:t>
      </w:r>
      <w:r>
        <w:rPr>
          <w:b/>
          <w:bCs/>
          <w:i/>
          <w:iCs/>
        </w:rPr>
        <w:t xml:space="preserve"> </w:t>
      </w:r>
      <w:r>
        <w:rPr>
          <w:b/>
          <w:bCs/>
        </w:rPr>
        <w:t>po</w:t>
      </w:r>
      <w:r>
        <w:rPr>
          <w:b/>
          <w:bCs/>
          <w:i/>
          <w:iCs/>
        </w:rPr>
        <w:t xml:space="preserve"> </w:t>
      </w:r>
      <w:r>
        <w:rPr>
          <w:b/>
          <w:bCs/>
        </w:rPr>
        <w:t>šių</w:t>
      </w:r>
      <w:r>
        <w:rPr>
          <w:b/>
          <w:bCs/>
          <w:i/>
          <w:iCs/>
        </w:rPr>
        <w:t xml:space="preserve"> </w:t>
      </w:r>
      <w:r>
        <w:rPr>
          <w:b/>
          <w:bCs/>
        </w:rPr>
        <w:t>skolų</w:t>
      </w:r>
      <w:r>
        <w:rPr>
          <w:b/>
          <w:bCs/>
          <w:i/>
          <w:iCs/>
        </w:rPr>
        <w:t xml:space="preserve"> </w:t>
      </w:r>
      <w:r>
        <w:rPr>
          <w:b/>
          <w:bCs/>
        </w:rPr>
        <w:t>apmokėjimo,</w:t>
      </w:r>
      <w:r>
        <w:rPr>
          <w:b/>
          <w:bCs/>
          <w:i/>
          <w:iCs/>
        </w:rPr>
        <w:t xml:space="preserve"> </w:t>
      </w:r>
      <w:r>
        <w:rPr>
          <w:b/>
          <w:bCs/>
        </w:rPr>
        <w:t>tačiau</w:t>
      </w:r>
      <w:r>
        <w:rPr>
          <w:b/>
          <w:bCs/>
          <w:i/>
          <w:iCs/>
        </w:rPr>
        <w:t xml:space="preserve"> </w:t>
      </w:r>
      <w:r>
        <w:rPr>
          <w:b/>
          <w:bCs/>
        </w:rPr>
        <w:t>ne</w:t>
      </w:r>
      <w:r>
        <w:rPr>
          <w:b/>
          <w:bCs/>
          <w:i/>
          <w:iCs/>
        </w:rPr>
        <w:t xml:space="preserve"> </w:t>
      </w:r>
      <w:r>
        <w:rPr>
          <w:b/>
          <w:bCs/>
        </w:rPr>
        <w:t>vėliau</w:t>
      </w:r>
      <w:r>
        <w:rPr>
          <w:b/>
          <w:bCs/>
          <w:i/>
          <w:iCs/>
        </w:rPr>
        <w:t xml:space="preserve"> </w:t>
      </w:r>
      <w:r>
        <w:rPr>
          <w:b/>
          <w:bCs/>
        </w:rPr>
        <w:t>kaip</w:t>
      </w:r>
      <w:r>
        <w:rPr>
          <w:b/>
          <w:bCs/>
          <w:i/>
          <w:iCs/>
        </w:rPr>
        <w:t xml:space="preserve"> </w:t>
      </w:r>
      <w:r>
        <w:rPr>
          <w:b/>
          <w:bCs/>
        </w:rPr>
        <w:t>per</w:t>
      </w:r>
      <w:r>
        <w:rPr>
          <w:b/>
          <w:bCs/>
          <w:i/>
          <w:iCs/>
        </w:rPr>
        <w:t xml:space="preserve"> </w:t>
      </w:r>
      <w:r>
        <w:rPr>
          <w:b/>
          <w:bCs/>
        </w:rPr>
        <w:t>3</w:t>
      </w:r>
      <w:r>
        <w:rPr>
          <w:b/>
          <w:bCs/>
          <w:i/>
          <w:iCs/>
        </w:rPr>
        <w:t xml:space="preserve"> </w:t>
      </w:r>
      <w:r>
        <w:rPr>
          <w:b/>
          <w:bCs/>
        </w:rPr>
        <w:t>metus</w:t>
      </w:r>
      <w:r>
        <w:rPr>
          <w:b/>
          <w:bCs/>
          <w:i/>
          <w:iCs/>
        </w:rPr>
        <w:t xml:space="preserve"> </w:t>
      </w:r>
      <w:r>
        <w:rPr>
          <w:b/>
          <w:bCs/>
        </w:rPr>
        <w:t>nuo</w:t>
      </w:r>
      <w:r>
        <w:rPr>
          <w:b/>
          <w:bCs/>
          <w:i/>
          <w:iCs/>
        </w:rPr>
        <w:t xml:space="preserve"> </w:t>
      </w:r>
      <w:r>
        <w:rPr>
          <w:b/>
          <w:bCs/>
        </w:rPr>
        <w:t>to</w:t>
      </w:r>
      <w:r>
        <w:rPr>
          <w:b/>
          <w:bCs/>
          <w:i/>
          <w:iCs/>
        </w:rPr>
        <w:t xml:space="preserve"> </w:t>
      </w:r>
      <w:r>
        <w:rPr>
          <w:b/>
          <w:bCs/>
        </w:rPr>
        <w:t>mokestinio</w:t>
      </w:r>
      <w:r>
        <w:rPr>
          <w:b/>
          <w:bCs/>
          <w:i/>
          <w:iCs/>
        </w:rPr>
        <w:t xml:space="preserve"> </w:t>
      </w:r>
      <w:r>
        <w:rPr>
          <w:b/>
          <w:bCs/>
        </w:rPr>
        <w:t>laikotarpio</w:t>
      </w:r>
      <w:r>
        <w:rPr>
          <w:b/>
          <w:bCs/>
          <w:i/>
          <w:iCs/>
        </w:rPr>
        <w:t xml:space="preserve"> </w:t>
      </w:r>
      <w:r>
        <w:rPr>
          <w:b/>
          <w:bCs/>
        </w:rPr>
        <w:t>pradžios,</w:t>
      </w:r>
      <w:r>
        <w:rPr>
          <w:b/>
          <w:bCs/>
          <w:i/>
          <w:iCs/>
        </w:rPr>
        <w:t xml:space="preserve"> </w:t>
      </w:r>
      <w:r>
        <w:rPr>
          <w:b/>
          <w:bCs/>
        </w:rPr>
        <w:t>kurį</w:t>
      </w:r>
      <w:r>
        <w:rPr>
          <w:b/>
          <w:bCs/>
          <w:i/>
          <w:iCs/>
        </w:rPr>
        <w:t xml:space="preserve"> </w:t>
      </w:r>
      <w:r>
        <w:rPr>
          <w:b/>
          <w:bCs/>
        </w:rPr>
        <w:t>buvo</w:t>
      </w:r>
      <w:r>
        <w:rPr>
          <w:b/>
          <w:bCs/>
          <w:i/>
          <w:iCs/>
        </w:rPr>
        <w:t xml:space="preserve"> </w:t>
      </w:r>
      <w:r>
        <w:rPr>
          <w:b/>
          <w:bCs/>
        </w:rPr>
        <w:t>pereita</w:t>
      </w:r>
      <w:r>
        <w:rPr>
          <w:b/>
          <w:bCs/>
          <w:i/>
          <w:iCs/>
        </w:rPr>
        <w:t xml:space="preserve"> </w:t>
      </w:r>
      <w:r>
        <w:rPr>
          <w:b/>
          <w:bCs/>
        </w:rPr>
        <w:t>prie</w:t>
      </w:r>
      <w:r>
        <w:rPr>
          <w:b/>
          <w:bCs/>
          <w:i/>
          <w:iCs/>
        </w:rPr>
        <w:t xml:space="preserve"> </w:t>
      </w:r>
      <w:r>
        <w:rPr>
          <w:b/>
          <w:bCs/>
        </w:rPr>
        <w:t>kaupimo</w:t>
      </w:r>
      <w:r>
        <w:rPr>
          <w:b/>
          <w:bCs/>
          <w:i/>
          <w:iCs/>
        </w:rPr>
        <w:t xml:space="preserve"> </w:t>
      </w:r>
      <w:r>
        <w:rPr>
          <w:b/>
          <w:bCs/>
        </w:rPr>
        <w:t>apskaitos</w:t>
      </w:r>
      <w:r>
        <w:rPr>
          <w:b/>
          <w:bCs/>
          <w:i/>
          <w:iCs/>
        </w:rPr>
        <w:t xml:space="preserve"> </w:t>
      </w:r>
      <w:r>
        <w:rPr>
          <w:b/>
          <w:bCs/>
        </w:rPr>
        <w:t>principo.</w:t>
      </w:r>
      <w:r>
        <w:rPr>
          <w:b/>
          <w:bCs/>
          <w:i/>
          <w:iCs/>
        </w:rPr>
        <w:t xml:space="preserve"> </w:t>
      </w:r>
      <w:r>
        <w:t> </w:t>
      </w:r>
    </w:p>
    <w:p w14:paraId="73F5E4D1" w14:textId="77777777" w:rsidR="00093845" w:rsidRDefault="000D779E">
      <w:pPr>
        <w:pStyle w:val="tajtip"/>
        <w:jc w:val="both"/>
      </w:pPr>
      <w:r>
        <w:rPr>
          <w:b/>
          <w:bCs/>
        </w:rPr>
        <w:t xml:space="preserve">           Komentaras</w:t>
      </w:r>
    </w:p>
    <w:p w14:paraId="3B581592" w14:textId="77777777" w:rsidR="00093845" w:rsidRDefault="000D779E">
      <w:pPr>
        <w:pStyle w:val="tajtip"/>
        <w:jc w:val="both"/>
      </w:pPr>
      <w:r>
        <w:t xml:space="preserve">          Kai</w:t>
      </w:r>
      <w:r>
        <w:rPr>
          <w:i/>
          <w:iCs/>
        </w:rPr>
        <w:t xml:space="preserve"> </w:t>
      </w:r>
      <w:r>
        <w:t>Lietuvos</w:t>
      </w:r>
      <w:r>
        <w:rPr>
          <w:i/>
          <w:iCs/>
        </w:rPr>
        <w:t xml:space="preserve"> </w:t>
      </w:r>
      <w:r>
        <w:t>vienetas</w:t>
      </w:r>
      <w:r>
        <w:rPr>
          <w:i/>
          <w:iCs/>
        </w:rPr>
        <w:t xml:space="preserve"> </w:t>
      </w:r>
      <w:r>
        <w:t>nuo</w:t>
      </w:r>
      <w:r>
        <w:rPr>
          <w:i/>
          <w:iCs/>
        </w:rPr>
        <w:t xml:space="preserve"> </w:t>
      </w:r>
      <w:r>
        <w:t>pajamų</w:t>
      </w:r>
      <w:r>
        <w:rPr>
          <w:i/>
          <w:iCs/>
        </w:rPr>
        <w:t xml:space="preserve"> </w:t>
      </w:r>
      <w:r>
        <w:t>pripažinimo</w:t>
      </w:r>
      <w:r>
        <w:rPr>
          <w:i/>
          <w:iCs/>
        </w:rPr>
        <w:t xml:space="preserve"> </w:t>
      </w:r>
      <w:r>
        <w:t>pagal</w:t>
      </w:r>
      <w:r>
        <w:rPr>
          <w:i/>
          <w:iCs/>
        </w:rPr>
        <w:t xml:space="preserve"> </w:t>
      </w:r>
      <w:r>
        <w:t>pinigų</w:t>
      </w:r>
      <w:r>
        <w:rPr>
          <w:i/>
          <w:iCs/>
        </w:rPr>
        <w:t xml:space="preserve"> </w:t>
      </w:r>
      <w:r>
        <w:t>apskaitos</w:t>
      </w:r>
      <w:r>
        <w:rPr>
          <w:i/>
          <w:iCs/>
        </w:rPr>
        <w:t xml:space="preserve"> </w:t>
      </w:r>
      <w:r>
        <w:t>principą</w:t>
      </w:r>
      <w:r>
        <w:rPr>
          <w:i/>
          <w:iCs/>
        </w:rPr>
        <w:t xml:space="preserve"> </w:t>
      </w:r>
      <w:r>
        <w:t>pereina</w:t>
      </w:r>
      <w:r>
        <w:rPr>
          <w:i/>
          <w:iCs/>
        </w:rPr>
        <w:t xml:space="preserve"> </w:t>
      </w:r>
      <w:r>
        <w:t>prie</w:t>
      </w:r>
      <w:r>
        <w:rPr>
          <w:i/>
          <w:iCs/>
        </w:rPr>
        <w:t xml:space="preserve"> </w:t>
      </w:r>
      <w:r>
        <w:t>pajamų</w:t>
      </w:r>
      <w:r>
        <w:rPr>
          <w:i/>
          <w:iCs/>
        </w:rPr>
        <w:t xml:space="preserve"> </w:t>
      </w:r>
      <w:r>
        <w:t>pripažinimo</w:t>
      </w:r>
      <w:r>
        <w:rPr>
          <w:i/>
          <w:iCs/>
        </w:rPr>
        <w:t xml:space="preserve"> </w:t>
      </w:r>
      <w:r>
        <w:t>pagal</w:t>
      </w:r>
      <w:r>
        <w:rPr>
          <w:i/>
          <w:iCs/>
        </w:rPr>
        <w:t xml:space="preserve"> </w:t>
      </w:r>
      <w:r>
        <w:t>kaupimo</w:t>
      </w:r>
      <w:r>
        <w:rPr>
          <w:i/>
          <w:iCs/>
        </w:rPr>
        <w:t xml:space="preserve"> </w:t>
      </w:r>
      <w:r>
        <w:t>apskaitos</w:t>
      </w:r>
      <w:r>
        <w:rPr>
          <w:i/>
          <w:iCs/>
        </w:rPr>
        <w:t xml:space="preserve"> </w:t>
      </w:r>
      <w:r>
        <w:t>principą,</w:t>
      </w:r>
      <w:r>
        <w:rPr>
          <w:i/>
          <w:iCs/>
        </w:rPr>
        <w:t xml:space="preserve"> </w:t>
      </w:r>
      <w:r>
        <w:t>tai</w:t>
      </w:r>
      <w:r>
        <w:rPr>
          <w:i/>
          <w:iCs/>
        </w:rPr>
        <w:t xml:space="preserve"> </w:t>
      </w:r>
      <w:r>
        <w:t>nesumokėtos</w:t>
      </w:r>
      <w:r>
        <w:rPr>
          <w:i/>
          <w:iCs/>
        </w:rPr>
        <w:t xml:space="preserve"> </w:t>
      </w:r>
      <w:r>
        <w:t>pirkėjų</w:t>
      </w:r>
      <w:r>
        <w:rPr>
          <w:i/>
          <w:iCs/>
        </w:rPr>
        <w:t xml:space="preserve"> </w:t>
      </w:r>
      <w:r>
        <w:t>skolos</w:t>
      </w:r>
      <w:r>
        <w:rPr>
          <w:i/>
          <w:iCs/>
        </w:rPr>
        <w:t xml:space="preserve"> </w:t>
      </w:r>
      <w:r>
        <w:t>į</w:t>
      </w:r>
      <w:r>
        <w:rPr>
          <w:i/>
          <w:iCs/>
        </w:rPr>
        <w:t xml:space="preserve"> </w:t>
      </w:r>
      <w:r>
        <w:t>pajamas</w:t>
      </w:r>
      <w:r>
        <w:rPr>
          <w:i/>
          <w:iCs/>
        </w:rPr>
        <w:t xml:space="preserve"> </w:t>
      </w:r>
      <w:r>
        <w:t>įtraukiamos</w:t>
      </w:r>
      <w:r>
        <w:rPr>
          <w:i/>
          <w:iCs/>
        </w:rPr>
        <w:t xml:space="preserve"> </w:t>
      </w:r>
      <w:r>
        <w:t>tuo</w:t>
      </w:r>
      <w:r>
        <w:rPr>
          <w:i/>
          <w:iCs/>
        </w:rPr>
        <w:t xml:space="preserve"> </w:t>
      </w:r>
      <w:r>
        <w:t>metu,</w:t>
      </w:r>
      <w:r>
        <w:rPr>
          <w:i/>
          <w:iCs/>
        </w:rPr>
        <w:t xml:space="preserve"> </w:t>
      </w:r>
      <w:r>
        <w:t>kai</w:t>
      </w:r>
      <w:r>
        <w:rPr>
          <w:i/>
          <w:iCs/>
        </w:rPr>
        <w:t xml:space="preserve"> </w:t>
      </w:r>
      <w:r>
        <w:t>jos</w:t>
      </w:r>
      <w:r>
        <w:rPr>
          <w:i/>
          <w:iCs/>
        </w:rPr>
        <w:t xml:space="preserve"> </w:t>
      </w:r>
      <w:r>
        <w:t>sumokamos.</w:t>
      </w:r>
      <w:r>
        <w:rPr>
          <w:i/>
          <w:iCs/>
        </w:rPr>
        <w:t xml:space="preserve"> </w:t>
      </w:r>
      <w:r>
        <w:t>Jei</w:t>
      </w:r>
      <w:r>
        <w:rPr>
          <w:i/>
          <w:iCs/>
        </w:rPr>
        <w:t xml:space="preserve"> </w:t>
      </w:r>
      <w:r>
        <w:t>pirkėjai</w:t>
      </w:r>
      <w:r>
        <w:rPr>
          <w:i/>
          <w:iCs/>
        </w:rPr>
        <w:t xml:space="preserve"> </w:t>
      </w:r>
      <w:r>
        <w:t>per</w:t>
      </w:r>
      <w:r>
        <w:rPr>
          <w:i/>
          <w:iCs/>
        </w:rPr>
        <w:t xml:space="preserve"> </w:t>
      </w:r>
      <w:r>
        <w:t>3</w:t>
      </w:r>
      <w:r>
        <w:rPr>
          <w:i/>
          <w:iCs/>
        </w:rPr>
        <w:t xml:space="preserve"> </w:t>
      </w:r>
      <w:r>
        <w:t>metus</w:t>
      </w:r>
      <w:r>
        <w:rPr>
          <w:i/>
          <w:iCs/>
        </w:rPr>
        <w:t xml:space="preserve"> </w:t>
      </w:r>
      <w:r>
        <w:t>nuo</w:t>
      </w:r>
      <w:r>
        <w:rPr>
          <w:i/>
          <w:iCs/>
        </w:rPr>
        <w:t xml:space="preserve"> </w:t>
      </w:r>
      <w:r>
        <w:t>to</w:t>
      </w:r>
      <w:r>
        <w:rPr>
          <w:i/>
          <w:iCs/>
        </w:rPr>
        <w:t xml:space="preserve"> </w:t>
      </w:r>
      <w:r>
        <w:t>mokestinio</w:t>
      </w:r>
      <w:r>
        <w:rPr>
          <w:i/>
          <w:iCs/>
        </w:rPr>
        <w:t xml:space="preserve"> </w:t>
      </w:r>
      <w:r>
        <w:t>laikotarpio,</w:t>
      </w:r>
      <w:r>
        <w:rPr>
          <w:i/>
          <w:iCs/>
        </w:rPr>
        <w:t xml:space="preserve"> </w:t>
      </w:r>
      <w:r>
        <w:t>kurį</w:t>
      </w:r>
      <w:r>
        <w:rPr>
          <w:i/>
          <w:iCs/>
        </w:rPr>
        <w:t xml:space="preserve"> </w:t>
      </w:r>
      <w:r>
        <w:t>perėjo</w:t>
      </w:r>
      <w:r>
        <w:rPr>
          <w:i/>
          <w:iCs/>
        </w:rPr>
        <w:t xml:space="preserve"> </w:t>
      </w:r>
      <w:r>
        <w:t>prie</w:t>
      </w:r>
      <w:r>
        <w:rPr>
          <w:i/>
          <w:iCs/>
        </w:rPr>
        <w:t xml:space="preserve"> </w:t>
      </w:r>
      <w:r>
        <w:t>kaupimo</w:t>
      </w:r>
      <w:r>
        <w:rPr>
          <w:i/>
          <w:iCs/>
        </w:rPr>
        <w:t xml:space="preserve"> </w:t>
      </w:r>
      <w:r>
        <w:t>apskaitos</w:t>
      </w:r>
      <w:r>
        <w:rPr>
          <w:i/>
          <w:iCs/>
        </w:rPr>
        <w:t xml:space="preserve"> </w:t>
      </w:r>
      <w:r>
        <w:t>principo,</w:t>
      </w:r>
      <w:r>
        <w:rPr>
          <w:i/>
          <w:iCs/>
        </w:rPr>
        <w:t xml:space="preserve"> </w:t>
      </w:r>
      <w:r>
        <w:t>pradžios</w:t>
      </w:r>
      <w:r>
        <w:rPr>
          <w:i/>
          <w:iCs/>
        </w:rPr>
        <w:t xml:space="preserve"> </w:t>
      </w:r>
      <w:r>
        <w:t>neatsiskaito,</w:t>
      </w:r>
      <w:r>
        <w:rPr>
          <w:i/>
          <w:iCs/>
        </w:rPr>
        <w:t xml:space="preserve"> </w:t>
      </w:r>
      <w:r>
        <w:t>tai</w:t>
      </w:r>
      <w:r>
        <w:rPr>
          <w:i/>
          <w:iCs/>
        </w:rPr>
        <w:t xml:space="preserve"> </w:t>
      </w:r>
      <w:r>
        <w:t>šios</w:t>
      </w:r>
      <w:r>
        <w:rPr>
          <w:b/>
          <w:bCs/>
          <w:i/>
          <w:iCs/>
        </w:rPr>
        <w:t xml:space="preserve"> </w:t>
      </w:r>
      <w:r>
        <w:t>nesumokėtos</w:t>
      </w:r>
      <w:r>
        <w:rPr>
          <w:i/>
          <w:iCs/>
        </w:rPr>
        <w:t xml:space="preserve"> </w:t>
      </w:r>
      <w:r>
        <w:t>skolos</w:t>
      </w:r>
      <w:r>
        <w:rPr>
          <w:i/>
          <w:iCs/>
        </w:rPr>
        <w:t xml:space="preserve"> </w:t>
      </w:r>
      <w:r>
        <w:t>į</w:t>
      </w:r>
      <w:r>
        <w:rPr>
          <w:i/>
          <w:iCs/>
        </w:rPr>
        <w:t xml:space="preserve"> </w:t>
      </w:r>
      <w:r>
        <w:t>Lietuvos</w:t>
      </w:r>
      <w:r>
        <w:rPr>
          <w:i/>
          <w:iCs/>
        </w:rPr>
        <w:t xml:space="preserve"> </w:t>
      </w:r>
      <w:r>
        <w:t>vieneto</w:t>
      </w:r>
      <w:r>
        <w:rPr>
          <w:i/>
          <w:iCs/>
        </w:rPr>
        <w:t xml:space="preserve"> </w:t>
      </w:r>
      <w:r>
        <w:t>pajamas</w:t>
      </w:r>
      <w:r>
        <w:rPr>
          <w:i/>
          <w:iCs/>
        </w:rPr>
        <w:t xml:space="preserve"> </w:t>
      </w:r>
      <w:r>
        <w:t>įtraukiamos</w:t>
      </w:r>
      <w:r>
        <w:rPr>
          <w:i/>
          <w:iCs/>
        </w:rPr>
        <w:t xml:space="preserve"> </w:t>
      </w:r>
      <w:r>
        <w:t>tais</w:t>
      </w:r>
      <w:r>
        <w:rPr>
          <w:i/>
          <w:iCs/>
        </w:rPr>
        <w:t xml:space="preserve"> </w:t>
      </w:r>
      <w:r>
        <w:t>trečiaisiais</w:t>
      </w:r>
      <w:r>
        <w:rPr>
          <w:i/>
          <w:iCs/>
        </w:rPr>
        <w:t xml:space="preserve"> </w:t>
      </w:r>
      <w:r>
        <w:t>metais.</w:t>
      </w:r>
    </w:p>
    <w:p w14:paraId="3D404E64" w14:textId="77777777" w:rsidR="00093845" w:rsidRDefault="000D779E">
      <w:pPr>
        <w:pStyle w:val="tajtip"/>
        <w:jc w:val="both"/>
      </w:pPr>
      <w:r>
        <w:rPr>
          <w:bCs/>
        </w:rPr>
        <w:t xml:space="preserve">           Pavyzdys</w:t>
      </w:r>
    </w:p>
    <w:p w14:paraId="670C2FB0"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 J.</w:t>
      </w:r>
      <w:r>
        <w:rPr>
          <w:i/>
          <w:iCs/>
        </w:rPr>
        <w:t xml:space="preserve"> </w:t>
      </w:r>
      <w:r>
        <w:t>Jonaičio</w:t>
      </w:r>
      <w:r>
        <w:rPr>
          <w:i/>
          <w:iCs/>
        </w:rPr>
        <w:t xml:space="preserve"> </w:t>
      </w:r>
      <w:r>
        <w:t>individuali</w:t>
      </w:r>
      <w:r>
        <w:rPr>
          <w:i/>
          <w:iCs/>
        </w:rPr>
        <w:t xml:space="preserve"> </w:t>
      </w:r>
      <w:r>
        <w:t>įmonė</w:t>
      </w:r>
      <w:r>
        <w:rPr>
          <w:i/>
          <w:iCs/>
        </w:rPr>
        <w:t xml:space="preserve"> </w:t>
      </w:r>
      <w:r>
        <w:t>pajamas</w:t>
      </w:r>
      <w:r>
        <w:rPr>
          <w:i/>
          <w:iCs/>
        </w:rPr>
        <w:t xml:space="preserve"> </w:t>
      </w:r>
      <w:r>
        <w:t>pripažindavo</w:t>
      </w:r>
      <w:r>
        <w:rPr>
          <w:i/>
          <w:iCs/>
        </w:rPr>
        <w:t xml:space="preserve"> </w:t>
      </w:r>
      <w:r>
        <w:t>pagal</w:t>
      </w:r>
      <w:r>
        <w:rPr>
          <w:i/>
          <w:iCs/>
        </w:rPr>
        <w:t xml:space="preserve"> </w:t>
      </w:r>
      <w:r>
        <w:t>pinigų</w:t>
      </w:r>
      <w:r>
        <w:rPr>
          <w:i/>
          <w:iCs/>
        </w:rPr>
        <w:t xml:space="preserve"> </w:t>
      </w:r>
      <w:r>
        <w:t>apskaitos</w:t>
      </w:r>
      <w:r>
        <w:rPr>
          <w:i/>
          <w:iCs/>
        </w:rPr>
        <w:t xml:space="preserve"> </w:t>
      </w:r>
      <w:r>
        <w:t>principą,</w:t>
      </w:r>
      <w:r>
        <w:rPr>
          <w:i/>
          <w:iCs/>
        </w:rPr>
        <w:t xml:space="preserve"> </w:t>
      </w:r>
      <w:r>
        <w:t>tačiau</w:t>
      </w:r>
      <w:r>
        <w:rPr>
          <w:i/>
          <w:iCs/>
        </w:rPr>
        <w:t xml:space="preserve"> </w:t>
      </w:r>
      <w:r>
        <w:t>2016</w:t>
      </w:r>
      <w:r>
        <w:rPr>
          <w:i/>
          <w:iCs/>
        </w:rPr>
        <w:t xml:space="preserve"> </w:t>
      </w:r>
      <w:r>
        <w:t>mokestinių</w:t>
      </w:r>
      <w:r>
        <w:rPr>
          <w:i/>
          <w:iCs/>
        </w:rPr>
        <w:t xml:space="preserve"> </w:t>
      </w:r>
      <w:r>
        <w:t>metų</w:t>
      </w:r>
      <w:r>
        <w:rPr>
          <w:i/>
          <w:iCs/>
        </w:rPr>
        <w:t xml:space="preserve"> </w:t>
      </w:r>
      <w:r>
        <w:t>pajamos</w:t>
      </w:r>
      <w:r>
        <w:rPr>
          <w:i/>
          <w:iCs/>
        </w:rPr>
        <w:t xml:space="preserve"> </w:t>
      </w:r>
      <w:r>
        <w:t>pasiekė 40 000 eurų,</w:t>
      </w:r>
      <w:r>
        <w:rPr>
          <w:i/>
          <w:iCs/>
        </w:rPr>
        <w:t xml:space="preserve"> </w:t>
      </w:r>
      <w:r>
        <w:t>t.</w:t>
      </w:r>
      <w:r>
        <w:rPr>
          <w:i/>
          <w:iCs/>
        </w:rPr>
        <w:t xml:space="preserve"> </w:t>
      </w:r>
      <w:r>
        <w:t>y.</w:t>
      </w:r>
      <w:r>
        <w:rPr>
          <w:i/>
          <w:iCs/>
        </w:rPr>
        <w:t xml:space="preserve"> </w:t>
      </w:r>
      <w:r>
        <w:t>įmonė</w:t>
      </w:r>
      <w:r>
        <w:rPr>
          <w:i/>
          <w:iCs/>
        </w:rPr>
        <w:t xml:space="preserve"> </w:t>
      </w:r>
      <w:r>
        <w:t>nebeatitiko</w:t>
      </w:r>
      <w:r>
        <w:rPr>
          <w:i/>
          <w:iCs/>
        </w:rPr>
        <w:t xml:space="preserve"> </w:t>
      </w:r>
      <w:r>
        <w:t>pinigų</w:t>
      </w:r>
      <w:r>
        <w:rPr>
          <w:i/>
          <w:iCs/>
        </w:rPr>
        <w:t xml:space="preserve"> </w:t>
      </w:r>
      <w:r>
        <w:t>apskaitos</w:t>
      </w:r>
      <w:r>
        <w:rPr>
          <w:i/>
          <w:iCs/>
        </w:rPr>
        <w:t xml:space="preserve"> </w:t>
      </w:r>
      <w:r>
        <w:t>principui</w:t>
      </w:r>
      <w:r>
        <w:rPr>
          <w:i/>
          <w:iCs/>
        </w:rPr>
        <w:t xml:space="preserve"> </w:t>
      </w:r>
      <w:r>
        <w:t>taikyti</w:t>
      </w:r>
      <w:r>
        <w:rPr>
          <w:i/>
          <w:iCs/>
        </w:rPr>
        <w:t xml:space="preserve"> </w:t>
      </w:r>
      <w:r>
        <w:t>nustatyto 30 000 eurų</w:t>
      </w:r>
      <w:r>
        <w:rPr>
          <w:i/>
          <w:iCs/>
        </w:rPr>
        <w:t xml:space="preserve"> </w:t>
      </w:r>
      <w:r>
        <w:t>kriterijaus.</w:t>
      </w:r>
      <w:r>
        <w:rPr>
          <w:i/>
          <w:iCs/>
        </w:rPr>
        <w:t xml:space="preserve"> </w:t>
      </w:r>
      <w:r>
        <w:t>Vadinasi,</w:t>
      </w:r>
      <w:r>
        <w:rPr>
          <w:i/>
          <w:iCs/>
        </w:rPr>
        <w:t xml:space="preserve"> </w:t>
      </w:r>
      <w:r>
        <w:t>nuo</w:t>
      </w:r>
      <w:r>
        <w:rPr>
          <w:i/>
          <w:iCs/>
        </w:rPr>
        <w:t xml:space="preserve"> </w:t>
      </w:r>
      <w:r>
        <w:t>2017 m.,</w:t>
      </w:r>
      <w:r>
        <w:rPr>
          <w:i/>
          <w:iCs/>
        </w:rPr>
        <w:t xml:space="preserve"> </w:t>
      </w:r>
      <w:r>
        <w:t>vadovaudamasi</w:t>
      </w:r>
      <w:r>
        <w:rPr>
          <w:i/>
          <w:iCs/>
        </w:rPr>
        <w:t xml:space="preserve"> </w:t>
      </w:r>
      <w:bookmarkStart w:id="211" w:name="n1_1746"/>
      <w:r>
        <w:t>PMĮ</w:t>
      </w:r>
      <w:bookmarkStart w:id="212" w:name="pn1_1746"/>
      <w:bookmarkEnd w:id="211"/>
      <w:bookmarkEnd w:id="212"/>
      <w:r>
        <w:rPr>
          <w:i/>
          <w:iCs/>
        </w:rPr>
        <w:t xml:space="preserve"> </w:t>
      </w:r>
      <w:r>
        <w:t>9</w:t>
      </w:r>
      <w:r>
        <w:rPr>
          <w:i/>
          <w:iCs/>
        </w:rPr>
        <w:t xml:space="preserve"> </w:t>
      </w:r>
      <w:r>
        <w:t>str.</w:t>
      </w:r>
      <w:r>
        <w:rPr>
          <w:i/>
          <w:iCs/>
        </w:rPr>
        <w:t xml:space="preserve"> </w:t>
      </w:r>
      <w:r>
        <w:t>2</w:t>
      </w:r>
      <w:r>
        <w:rPr>
          <w:i/>
          <w:iCs/>
        </w:rPr>
        <w:t xml:space="preserve"> </w:t>
      </w:r>
      <w:r>
        <w:t>dalimi,</w:t>
      </w:r>
      <w:r>
        <w:rPr>
          <w:i/>
          <w:iCs/>
        </w:rPr>
        <w:t xml:space="preserve"> </w:t>
      </w:r>
      <w:r>
        <w:t>ši</w:t>
      </w:r>
      <w:r>
        <w:rPr>
          <w:i/>
          <w:iCs/>
        </w:rPr>
        <w:t xml:space="preserve"> </w:t>
      </w:r>
      <w:r>
        <w:t>įmonė</w:t>
      </w:r>
      <w:r>
        <w:rPr>
          <w:i/>
          <w:iCs/>
        </w:rPr>
        <w:t xml:space="preserve"> </w:t>
      </w:r>
      <w:r>
        <w:t>turi</w:t>
      </w:r>
      <w:r>
        <w:rPr>
          <w:i/>
          <w:iCs/>
        </w:rPr>
        <w:t xml:space="preserve"> </w:t>
      </w:r>
      <w:r>
        <w:t>pereiti</w:t>
      </w:r>
      <w:r>
        <w:rPr>
          <w:i/>
          <w:iCs/>
        </w:rPr>
        <w:t xml:space="preserve"> </w:t>
      </w:r>
      <w:r>
        <w:t>prie</w:t>
      </w:r>
      <w:r>
        <w:rPr>
          <w:i/>
          <w:iCs/>
        </w:rPr>
        <w:t xml:space="preserve"> </w:t>
      </w:r>
      <w:r>
        <w:t>pajamų</w:t>
      </w:r>
      <w:r>
        <w:rPr>
          <w:i/>
          <w:iCs/>
        </w:rPr>
        <w:t xml:space="preserve"> </w:t>
      </w:r>
      <w:r>
        <w:t>pripažinimo</w:t>
      </w:r>
      <w:r>
        <w:rPr>
          <w:i/>
          <w:iCs/>
        </w:rPr>
        <w:t xml:space="preserve"> </w:t>
      </w:r>
      <w:r>
        <w:t>pagal</w:t>
      </w:r>
      <w:r>
        <w:rPr>
          <w:i/>
          <w:iCs/>
        </w:rPr>
        <w:t xml:space="preserve"> </w:t>
      </w:r>
      <w:r>
        <w:t>kaupimo</w:t>
      </w:r>
      <w:r>
        <w:rPr>
          <w:i/>
          <w:iCs/>
        </w:rPr>
        <w:t xml:space="preserve"> </w:t>
      </w:r>
      <w:r>
        <w:t>apskaitos</w:t>
      </w:r>
      <w:r>
        <w:rPr>
          <w:i/>
          <w:iCs/>
        </w:rPr>
        <w:t xml:space="preserve"> </w:t>
      </w:r>
      <w:r>
        <w:t>principą.</w:t>
      </w:r>
      <w:r>
        <w:rPr>
          <w:i/>
          <w:iCs/>
        </w:rPr>
        <w:t xml:space="preserve"> </w:t>
      </w:r>
      <w:r>
        <w:t>J.</w:t>
      </w:r>
      <w:r>
        <w:rPr>
          <w:i/>
          <w:iCs/>
        </w:rPr>
        <w:t xml:space="preserve"> </w:t>
      </w:r>
      <w:r>
        <w:t>Jonaičio</w:t>
      </w:r>
      <w:r>
        <w:rPr>
          <w:i/>
          <w:iCs/>
        </w:rPr>
        <w:t xml:space="preserve"> </w:t>
      </w:r>
      <w:r>
        <w:t>individualios</w:t>
      </w:r>
      <w:r>
        <w:rPr>
          <w:i/>
          <w:iCs/>
        </w:rPr>
        <w:t xml:space="preserve"> </w:t>
      </w:r>
      <w:r>
        <w:t>įmonės</w:t>
      </w:r>
      <w:r>
        <w:rPr>
          <w:i/>
          <w:iCs/>
        </w:rPr>
        <w:t xml:space="preserve"> </w:t>
      </w:r>
      <w:r>
        <w:t>apskaitoje</w:t>
      </w:r>
      <w:r>
        <w:rPr>
          <w:i/>
          <w:iCs/>
        </w:rPr>
        <w:t xml:space="preserve"> </w:t>
      </w:r>
      <w:r>
        <w:t>2017 m.</w:t>
      </w:r>
      <w:r>
        <w:rPr>
          <w:i/>
          <w:iCs/>
        </w:rPr>
        <w:t xml:space="preserve"> </w:t>
      </w:r>
      <w:r>
        <w:t>yra</w:t>
      </w:r>
      <w:r>
        <w:rPr>
          <w:i/>
          <w:iCs/>
        </w:rPr>
        <w:t xml:space="preserve"> </w:t>
      </w:r>
      <w:r>
        <w:t>tokios</w:t>
      </w:r>
      <w:r>
        <w:rPr>
          <w:i/>
          <w:iCs/>
        </w:rPr>
        <w:t xml:space="preserve"> </w:t>
      </w:r>
      <w:r>
        <w:t>pirkėjų</w:t>
      </w:r>
      <w:r>
        <w:rPr>
          <w:i/>
          <w:iCs/>
        </w:rPr>
        <w:t xml:space="preserve"> </w:t>
      </w:r>
      <w:r>
        <w:t>skolos:</w:t>
      </w:r>
    </w:p>
    <w:p w14:paraId="598E5937"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1)</w:t>
      </w:r>
      <w:r>
        <w:rPr>
          <w:i/>
          <w:iCs/>
        </w:rPr>
        <w:t xml:space="preserve"> </w:t>
      </w:r>
      <w:r>
        <w:t>įmonė</w:t>
      </w:r>
      <w:r>
        <w:rPr>
          <w:i/>
          <w:iCs/>
        </w:rPr>
        <w:t xml:space="preserve"> </w:t>
      </w:r>
      <w:r>
        <w:t>A</w:t>
      </w:r>
      <w:r>
        <w:rPr>
          <w:i/>
          <w:iCs/>
        </w:rPr>
        <w:t xml:space="preserve"> </w:t>
      </w:r>
      <w:r>
        <w:t>skolinga 2 000 eurų,</w:t>
      </w:r>
    </w:p>
    <w:p w14:paraId="45016A7F"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2)</w:t>
      </w:r>
      <w:r>
        <w:rPr>
          <w:i/>
          <w:iCs/>
        </w:rPr>
        <w:t xml:space="preserve"> </w:t>
      </w:r>
      <w:r>
        <w:t>įmonė</w:t>
      </w:r>
      <w:r>
        <w:rPr>
          <w:i/>
          <w:iCs/>
        </w:rPr>
        <w:t xml:space="preserve"> </w:t>
      </w:r>
      <w:r>
        <w:t>B</w:t>
      </w:r>
      <w:r>
        <w:rPr>
          <w:i/>
          <w:iCs/>
        </w:rPr>
        <w:t xml:space="preserve"> </w:t>
      </w:r>
      <w:r>
        <w:t>skolinga 3 500 eurų.</w:t>
      </w:r>
    </w:p>
    <w:p w14:paraId="625F69F8" w14:textId="77777777" w:rsidR="0009384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Įmonė</w:t>
      </w:r>
      <w:r>
        <w:rPr>
          <w:i/>
          <w:iCs/>
        </w:rPr>
        <w:t xml:space="preserve"> </w:t>
      </w:r>
      <w:r>
        <w:t>A</w:t>
      </w:r>
      <w:r>
        <w:rPr>
          <w:i/>
          <w:iCs/>
        </w:rPr>
        <w:t xml:space="preserve"> </w:t>
      </w:r>
      <w:r>
        <w:t>atsiskaitė</w:t>
      </w:r>
      <w:r>
        <w:rPr>
          <w:i/>
          <w:iCs/>
        </w:rPr>
        <w:t xml:space="preserve"> </w:t>
      </w:r>
      <w:r>
        <w:t>2017 m.,</w:t>
      </w:r>
      <w:r>
        <w:rPr>
          <w:i/>
          <w:iCs/>
        </w:rPr>
        <w:t xml:space="preserve"> </w:t>
      </w:r>
      <w:r>
        <w:t>todėl</w:t>
      </w:r>
      <w:r>
        <w:rPr>
          <w:i/>
          <w:iCs/>
        </w:rPr>
        <w:t xml:space="preserve"> </w:t>
      </w:r>
      <w:r>
        <w:rPr>
          <w:iCs/>
        </w:rPr>
        <w:t xml:space="preserve">2 000 eurų </w:t>
      </w:r>
      <w:r>
        <w:t>pajamų</w:t>
      </w:r>
      <w:r>
        <w:rPr>
          <w:i/>
          <w:iCs/>
        </w:rPr>
        <w:t xml:space="preserve"> </w:t>
      </w:r>
      <w:r>
        <w:t>J.</w:t>
      </w:r>
      <w:r>
        <w:rPr>
          <w:i/>
          <w:iCs/>
        </w:rPr>
        <w:t xml:space="preserve"> </w:t>
      </w:r>
      <w:r>
        <w:t>Jonaičio</w:t>
      </w:r>
      <w:r>
        <w:rPr>
          <w:i/>
          <w:iCs/>
        </w:rPr>
        <w:t xml:space="preserve"> </w:t>
      </w:r>
      <w:r>
        <w:t>individuali</w:t>
      </w:r>
      <w:r>
        <w:rPr>
          <w:i/>
          <w:iCs/>
        </w:rPr>
        <w:t xml:space="preserve"> </w:t>
      </w:r>
      <w:r>
        <w:t>įmonė</w:t>
      </w:r>
      <w:r>
        <w:rPr>
          <w:i/>
          <w:iCs/>
        </w:rPr>
        <w:t xml:space="preserve"> </w:t>
      </w:r>
      <w:r>
        <w:t>apskaitė</w:t>
      </w:r>
      <w:r>
        <w:rPr>
          <w:i/>
          <w:iCs/>
        </w:rPr>
        <w:t xml:space="preserve"> </w:t>
      </w:r>
      <w:r>
        <w:t>pagal</w:t>
      </w:r>
      <w:r>
        <w:rPr>
          <w:i/>
          <w:iCs/>
        </w:rPr>
        <w:t xml:space="preserve"> </w:t>
      </w:r>
      <w:r>
        <w:t>šią</w:t>
      </w:r>
      <w:r>
        <w:rPr>
          <w:i/>
          <w:iCs/>
        </w:rPr>
        <w:t xml:space="preserve"> </w:t>
      </w:r>
      <w:r>
        <w:t>atsiskaitymo</w:t>
      </w:r>
      <w:r>
        <w:rPr>
          <w:i/>
          <w:iCs/>
        </w:rPr>
        <w:t xml:space="preserve"> </w:t>
      </w:r>
      <w:r>
        <w:t>datą.</w:t>
      </w:r>
      <w:r>
        <w:rPr>
          <w:i/>
          <w:iCs/>
        </w:rPr>
        <w:t xml:space="preserve"> </w:t>
      </w:r>
      <w:r>
        <w:t>Įmonė</w:t>
      </w:r>
      <w:r>
        <w:rPr>
          <w:i/>
          <w:iCs/>
        </w:rPr>
        <w:t xml:space="preserve"> </w:t>
      </w:r>
      <w:r>
        <w:t>B</w:t>
      </w:r>
      <w:r>
        <w:rPr>
          <w:i/>
          <w:iCs/>
        </w:rPr>
        <w:t xml:space="preserve"> </w:t>
      </w:r>
      <w:r>
        <w:t>2017 m. sumokėjo</w:t>
      </w:r>
      <w:r>
        <w:rPr>
          <w:i/>
          <w:iCs/>
        </w:rPr>
        <w:t xml:space="preserve"> </w:t>
      </w:r>
      <w:r>
        <w:t>dalį</w:t>
      </w:r>
      <w:r>
        <w:rPr>
          <w:i/>
          <w:iCs/>
        </w:rPr>
        <w:t xml:space="preserve"> </w:t>
      </w:r>
      <w:r>
        <w:t>skolos</w:t>
      </w:r>
      <w:r>
        <w:rPr>
          <w:i/>
          <w:iCs/>
        </w:rPr>
        <w:t xml:space="preserve"> </w:t>
      </w:r>
      <w:r>
        <w:t>–</w:t>
      </w:r>
      <w:r>
        <w:rPr>
          <w:i/>
          <w:iCs/>
        </w:rPr>
        <w:t xml:space="preserve"> </w:t>
      </w:r>
      <w:r>
        <w:rPr>
          <w:iCs/>
        </w:rPr>
        <w:t>1 900 eurų</w:t>
      </w:r>
      <w:r>
        <w:t>.</w:t>
      </w:r>
      <w:r>
        <w:rPr>
          <w:i/>
          <w:iCs/>
        </w:rPr>
        <w:t xml:space="preserve"> </w:t>
      </w:r>
      <w:r>
        <w:t>Vadinasi,</w:t>
      </w:r>
      <w:r>
        <w:rPr>
          <w:i/>
          <w:iCs/>
        </w:rPr>
        <w:t xml:space="preserve"> </w:t>
      </w:r>
      <w:r>
        <w:t>apskaičiuodama</w:t>
      </w:r>
      <w:r>
        <w:rPr>
          <w:i/>
          <w:iCs/>
        </w:rPr>
        <w:t xml:space="preserve"> </w:t>
      </w:r>
      <w:r>
        <w:t>2017</w:t>
      </w:r>
      <w:r>
        <w:rPr>
          <w:i/>
          <w:iCs/>
        </w:rPr>
        <w:t xml:space="preserve"> </w:t>
      </w:r>
      <w:r>
        <w:t>mokestinių</w:t>
      </w:r>
      <w:r>
        <w:rPr>
          <w:i/>
          <w:iCs/>
        </w:rPr>
        <w:t xml:space="preserve"> </w:t>
      </w:r>
      <w:r>
        <w:t>metų</w:t>
      </w:r>
      <w:r>
        <w:rPr>
          <w:i/>
          <w:iCs/>
        </w:rPr>
        <w:t xml:space="preserve"> </w:t>
      </w:r>
      <w:r>
        <w:t>apmokestinamąjį</w:t>
      </w:r>
      <w:r>
        <w:rPr>
          <w:i/>
          <w:iCs/>
        </w:rPr>
        <w:t xml:space="preserve"> </w:t>
      </w:r>
      <w:r>
        <w:t>pelną,</w:t>
      </w:r>
      <w:r>
        <w:rPr>
          <w:i/>
          <w:iCs/>
        </w:rPr>
        <w:t xml:space="preserve"> </w:t>
      </w:r>
      <w:r>
        <w:t>J. Jonaičio</w:t>
      </w:r>
      <w:r>
        <w:rPr>
          <w:i/>
          <w:iCs/>
        </w:rPr>
        <w:t xml:space="preserve"> </w:t>
      </w:r>
      <w:r>
        <w:t>individuali</w:t>
      </w:r>
      <w:r>
        <w:rPr>
          <w:i/>
          <w:iCs/>
        </w:rPr>
        <w:t xml:space="preserve"> </w:t>
      </w:r>
      <w:r>
        <w:t>įmonė</w:t>
      </w:r>
      <w:r>
        <w:rPr>
          <w:i/>
          <w:iCs/>
        </w:rPr>
        <w:t xml:space="preserve"> </w:t>
      </w:r>
      <w:r>
        <w:t>į</w:t>
      </w:r>
      <w:r>
        <w:rPr>
          <w:i/>
          <w:iCs/>
        </w:rPr>
        <w:t xml:space="preserve"> </w:t>
      </w:r>
      <w:r>
        <w:t>pajamas</w:t>
      </w:r>
      <w:r>
        <w:rPr>
          <w:i/>
          <w:iCs/>
        </w:rPr>
        <w:t xml:space="preserve"> </w:t>
      </w:r>
      <w:r>
        <w:t>įtraukė 3 900 eurų.</w:t>
      </w:r>
      <w:r>
        <w:rPr>
          <w:i/>
          <w:iCs/>
        </w:rPr>
        <w:t xml:space="preserve"> </w:t>
      </w:r>
    </w:p>
    <w:p w14:paraId="01713526" w14:textId="77777777" w:rsidR="00093845" w:rsidRPr="007D6D15" w:rsidRDefault="000D779E">
      <w:pPr>
        <w:pStyle w:val="tajtip"/>
        <w:pBdr>
          <w:top w:val="single" w:sz="4" w:space="1" w:color="auto"/>
          <w:left w:val="single" w:sz="4" w:space="4" w:color="auto"/>
          <w:bottom w:val="single" w:sz="4" w:space="1" w:color="auto"/>
          <w:right w:val="single" w:sz="4" w:space="4" w:color="auto"/>
        </w:pBdr>
        <w:spacing w:before="0" w:beforeAutospacing="0" w:after="0" w:afterAutospacing="0"/>
        <w:jc w:val="both"/>
      </w:pPr>
      <w:r>
        <w:t>J.</w:t>
      </w:r>
      <w:r>
        <w:rPr>
          <w:i/>
          <w:iCs/>
        </w:rPr>
        <w:t xml:space="preserve"> </w:t>
      </w:r>
      <w:r>
        <w:t>Jonaičio</w:t>
      </w:r>
      <w:r>
        <w:rPr>
          <w:i/>
          <w:iCs/>
        </w:rPr>
        <w:t xml:space="preserve"> </w:t>
      </w:r>
      <w:r>
        <w:t>individuali</w:t>
      </w:r>
      <w:r>
        <w:rPr>
          <w:i/>
          <w:iCs/>
        </w:rPr>
        <w:t xml:space="preserve"> </w:t>
      </w:r>
      <w:r>
        <w:t>įmonė</w:t>
      </w:r>
      <w:r>
        <w:rPr>
          <w:i/>
          <w:iCs/>
        </w:rPr>
        <w:t xml:space="preserve"> </w:t>
      </w:r>
      <w:r>
        <w:t>2019 m. dar</w:t>
      </w:r>
      <w:r>
        <w:rPr>
          <w:i/>
          <w:iCs/>
        </w:rPr>
        <w:t xml:space="preserve"> </w:t>
      </w:r>
      <w:r>
        <w:t>nebuvo</w:t>
      </w:r>
      <w:r>
        <w:rPr>
          <w:i/>
          <w:iCs/>
        </w:rPr>
        <w:t xml:space="preserve"> </w:t>
      </w:r>
      <w:r>
        <w:t>gavusi</w:t>
      </w:r>
      <w:r>
        <w:rPr>
          <w:i/>
          <w:iCs/>
        </w:rPr>
        <w:t xml:space="preserve"> </w:t>
      </w:r>
      <w:r>
        <w:t>iš</w:t>
      </w:r>
      <w:r>
        <w:rPr>
          <w:i/>
          <w:iCs/>
        </w:rPr>
        <w:t xml:space="preserve"> </w:t>
      </w:r>
      <w:r>
        <w:t>įmonės</w:t>
      </w:r>
      <w:r>
        <w:rPr>
          <w:i/>
          <w:iCs/>
        </w:rPr>
        <w:t xml:space="preserve"> </w:t>
      </w:r>
      <w:r>
        <w:t>B</w:t>
      </w:r>
      <w:r>
        <w:rPr>
          <w:i/>
          <w:iCs/>
        </w:rPr>
        <w:t xml:space="preserve"> </w:t>
      </w:r>
      <w:r>
        <w:t>likusios</w:t>
      </w:r>
      <w:r>
        <w:rPr>
          <w:i/>
          <w:iCs/>
        </w:rPr>
        <w:t xml:space="preserve"> </w:t>
      </w:r>
      <w:r>
        <w:t>skolos</w:t>
      </w:r>
      <w:r>
        <w:rPr>
          <w:i/>
          <w:iCs/>
        </w:rPr>
        <w:t xml:space="preserve"> </w:t>
      </w:r>
      <w:r>
        <w:t>dalies</w:t>
      </w:r>
      <w:r>
        <w:rPr>
          <w:i/>
          <w:iCs/>
        </w:rPr>
        <w:t xml:space="preserve"> </w:t>
      </w:r>
      <w:r>
        <w:t>– 1 600 eurų.</w:t>
      </w:r>
      <w:r>
        <w:rPr>
          <w:i/>
          <w:iCs/>
        </w:rPr>
        <w:t xml:space="preserve"> </w:t>
      </w:r>
      <w:r>
        <w:t>Neatsižvelgiant</w:t>
      </w:r>
      <w:r>
        <w:rPr>
          <w:i/>
          <w:iCs/>
        </w:rPr>
        <w:t xml:space="preserve"> </w:t>
      </w:r>
      <w:r>
        <w:t>į</w:t>
      </w:r>
      <w:r>
        <w:rPr>
          <w:i/>
          <w:iCs/>
        </w:rPr>
        <w:t xml:space="preserve"> </w:t>
      </w:r>
      <w:r>
        <w:t>tai,</w:t>
      </w:r>
      <w:r>
        <w:rPr>
          <w:i/>
          <w:iCs/>
        </w:rPr>
        <w:t xml:space="preserve"> </w:t>
      </w:r>
      <w:r>
        <w:t>kad</w:t>
      </w:r>
      <w:r>
        <w:rPr>
          <w:i/>
          <w:iCs/>
        </w:rPr>
        <w:t xml:space="preserve"> </w:t>
      </w:r>
      <w:r>
        <w:t>įmonė</w:t>
      </w:r>
      <w:r>
        <w:rPr>
          <w:i/>
          <w:iCs/>
        </w:rPr>
        <w:t xml:space="preserve"> </w:t>
      </w:r>
      <w:r>
        <w:t>B</w:t>
      </w:r>
      <w:r>
        <w:rPr>
          <w:i/>
          <w:iCs/>
        </w:rPr>
        <w:t xml:space="preserve"> </w:t>
      </w:r>
      <w:r>
        <w:t>dar</w:t>
      </w:r>
      <w:r>
        <w:rPr>
          <w:i/>
          <w:iCs/>
        </w:rPr>
        <w:t xml:space="preserve"> </w:t>
      </w:r>
      <w:r>
        <w:t>nesumokėjo</w:t>
      </w:r>
      <w:r>
        <w:rPr>
          <w:i/>
          <w:iCs/>
        </w:rPr>
        <w:t xml:space="preserve"> </w:t>
      </w:r>
      <w:r>
        <w:t>skolos,</w:t>
      </w:r>
      <w:r>
        <w:rPr>
          <w:i/>
          <w:iCs/>
        </w:rPr>
        <w:t xml:space="preserve"> </w:t>
      </w:r>
      <w:r>
        <w:t>J.</w:t>
      </w:r>
      <w:r>
        <w:rPr>
          <w:i/>
          <w:iCs/>
        </w:rPr>
        <w:t xml:space="preserve"> </w:t>
      </w:r>
      <w:r>
        <w:t>Jonaičio</w:t>
      </w:r>
      <w:r>
        <w:rPr>
          <w:i/>
          <w:iCs/>
        </w:rPr>
        <w:t xml:space="preserve"> </w:t>
      </w:r>
      <w:r>
        <w:t>individuali</w:t>
      </w:r>
      <w:r>
        <w:rPr>
          <w:i/>
          <w:iCs/>
        </w:rPr>
        <w:t xml:space="preserve"> </w:t>
      </w:r>
      <w:r>
        <w:t>įmonė,</w:t>
      </w:r>
      <w:r>
        <w:rPr>
          <w:i/>
          <w:iCs/>
        </w:rPr>
        <w:t xml:space="preserve"> </w:t>
      </w:r>
      <w:r>
        <w:t>apskaičiuodama</w:t>
      </w:r>
      <w:r>
        <w:rPr>
          <w:i/>
          <w:iCs/>
        </w:rPr>
        <w:t xml:space="preserve"> </w:t>
      </w:r>
      <w:r>
        <w:t>2019</w:t>
      </w:r>
      <w:r>
        <w:rPr>
          <w:i/>
          <w:iCs/>
        </w:rPr>
        <w:t xml:space="preserve"> </w:t>
      </w:r>
      <w:r>
        <w:t>mokestinių</w:t>
      </w:r>
      <w:r>
        <w:rPr>
          <w:i/>
          <w:iCs/>
        </w:rPr>
        <w:t xml:space="preserve"> </w:t>
      </w:r>
      <w:r>
        <w:t>metų</w:t>
      </w:r>
      <w:r>
        <w:rPr>
          <w:i/>
          <w:iCs/>
        </w:rPr>
        <w:t xml:space="preserve"> </w:t>
      </w:r>
      <w:r>
        <w:t>apmokestinamąjį</w:t>
      </w:r>
      <w:r>
        <w:rPr>
          <w:i/>
          <w:iCs/>
        </w:rPr>
        <w:t xml:space="preserve"> </w:t>
      </w:r>
      <w:r>
        <w:t>pelną,</w:t>
      </w:r>
      <w:r>
        <w:rPr>
          <w:i/>
          <w:iCs/>
        </w:rPr>
        <w:t xml:space="preserve"> </w:t>
      </w:r>
      <w:r>
        <w:t>šią</w:t>
      </w:r>
      <w:r>
        <w:rPr>
          <w:i/>
          <w:iCs/>
        </w:rPr>
        <w:t xml:space="preserve"> </w:t>
      </w:r>
      <w:r>
        <w:t>likusią</w:t>
      </w:r>
      <w:r>
        <w:rPr>
          <w:i/>
          <w:iCs/>
        </w:rPr>
        <w:t xml:space="preserve"> </w:t>
      </w:r>
      <w:r>
        <w:t>skolos</w:t>
      </w:r>
      <w:r>
        <w:rPr>
          <w:i/>
          <w:iCs/>
        </w:rPr>
        <w:t xml:space="preserve"> </w:t>
      </w:r>
      <w:r>
        <w:t>dalį</w:t>
      </w:r>
      <w:r>
        <w:rPr>
          <w:i/>
          <w:iCs/>
        </w:rPr>
        <w:t xml:space="preserve"> </w:t>
      </w:r>
      <w:r>
        <w:t>(1 600 eurų)</w:t>
      </w:r>
      <w:r>
        <w:rPr>
          <w:i/>
          <w:iCs/>
        </w:rPr>
        <w:t xml:space="preserve"> </w:t>
      </w:r>
      <w:r>
        <w:t>turi</w:t>
      </w:r>
      <w:r>
        <w:rPr>
          <w:i/>
          <w:iCs/>
        </w:rPr>
        <w:t xml:space="preserve"> </w:t>
      </w:r>
      <w:r>
        <w:t>įtraukti</w:t>
      </w:r>
      <w:r>
        <w:rPr>
          <w:i/>
          <w:iCs/>
        </w:rPr>
        <w:t xml:space="preserve"> </w:t>
      </w:r>
      <w:r>
        <w:t>į</w:t>
      </w:r>
      <w:r>
        <w:rPr>
          <w:i/>
          <w:iCs/>
        </w:rPr>
        <w:t xml:space="preserve"> </w:t>
      </w:r>
      <w:r>
        <w:t>pajamas.</w:t>
      </w:r>
    </w:p>
    <w:p w14:paraId="6F10B56A" w14:textId="77777777" w:rsidR="00093845" w:rsidRPr="0065344A" w:rsidRDefault="00F62677">
      <w:pPr>
        <w:jc w:val="both"/>
        <w:rPr>
          <w:lang w:val="lt-LT"/>
        </w:rPr>
      </w:pPr>
      <w:r>
        <w:rPr>
          <w:bCs/>
          <w:lang w:val="lt-LT"/>
        </w:rPr>
        <w:t xml:space="preserve">            </w:t>
      </w:r>
      <w:r w:rsidR="000D779E" w:rsidRPr="007D6D15">
        <w:rPr>
          <w:bCs/>
          <w:lang w:val="lt-LT"/>
        </w:rPr>
        <w:t xml:space="preserve">(Pakeista pagal VMI prie FM raštą </w:t>
      </w:r>
      <w:r w:rsidR="000D779E" w:rsidRPr="007D6D15">
        <w:rPr>
          <w:color w:val="000000"/>
          <w:lang w:val="lt-LT"/>
        </w:rPr>
        <w:t xml:space="preserve">2016-06-16 Nr. </w:t>
      </w:r>
      <w:r w:rsidR="000D779E" w:rsidRPr="0065344A">
        <w:rPr>
          <w:lang w:val="lt-LT"/>
        </w:rPr>
        <w:t>(18.32-31-1E) RM-17635)</w:t>
      </w:r>
    </w:p>
    <w:p w14:paraId="6F0C8FB4" w14:textId="77777777" w:rsidR="00093845" w:rsidRDefault="00093845">
      <w:pPr>
        <w:pStyle w:val="tajtip"/>
        <w:spacing w:before="0" w:beforeAutospacing="0" w:after="0" w:afterAutospacing="0"/>
        <w:jc w:val="both"/>
      </w:pPr>
    </w:p>
    <w:p w14:paraId="4FF1DCDB" w14:textId="77777777" w:rsidR="00093845" w:rsidRDefault="000D779E">
      <w:pPr>
        <w:pStyle w:val="Pagrindiniotekstotrauka2"/>
        <w:tabs>
          <w:tab w:val="left" w:pos="720"/>
          <w:tab w:val="left" w:pos="1077"/>
          <w:tab w:val="left" w:pos="1418"/>
        </w:tabs>
        <w:spacing w:line="240" w:lineRule="auto"/>
        <w:ind w:right="-5"/>
        <w:rPr>
          <w:bCs w:val="0"/>
        </w:rPr>
      </w:pPr>
      <w:r>
        <w:rPr>
          <w:bCs w:val="0"/>
        </w:rPr>
        <w:t>3.</w:t>
      </w:r>
      <w:r>
        <w:rPr>
          <w:bCs w:val="0"/>
        </w:rPr>
        <w:tab/>
        <w:t xml:space="preserve">Lietuvos vienetas, kuris iki šio Įstatymo įsigaliojimo taikė kaupimo apskaitos principą, ir Lietuvos vienetas, kuriam pagal šio Įstatymo nuostatas nustatyta prievolė pereiti nuo pinigų apskaitos principo prie kaupimo apskaitos principo, negali kaupimo apskaitos principo keisti į pinigų apskaitos principą iki Lietuvos vieneto likvidavimo arba pabaigos. </w:t>
      </w:r>
    </w:p>
    <w:p w14:paraId="0CB2B021" w14:textId="77777777" w:rsidR="00093845" w:rsidRDefault="000D779E">
      <w:pPr>
        <w:ind w:firstLine="720"/>
        <w:jc w:val="both"/>
        <w:rPr>
          <w:b/>
          <w:bCs/>
          <w:lang w:val="lt-LT"/>
        </w:rPr>
      </w:pPr>
      <w:r>
        <w:rPr>
          <w:b/>
          <w:bCs/>
          <w:lang w:val="lt-LT"/>
        </w:rPr>
        <w:t>Komentaras</w:t>
      </w:r>
    </w:p>
    <w:p w14:paraId="3E1B8B0D" w14:textId="77777777" w:rsidR="00093845" w:rsidRDefault="000D779E">
      <w:pPr>
        <w:ind w:firstLine="720"/>
        <w:jc w:val="both"/>
        <w:rPr>
          <w:lang w:val="lt-LT"/>
        </w:rPr>
      </w:pPr>
      <w:r>
        <w:rPr>
          <w:lang w:val="lt-LT"/>
        </w:rPr>
        <w:t>PMĮ 9 str. 1 dalies komentare jau buvo paaiškinta, kad Lietuvos vienetai, kurie iki PMĮ įsigaliojimo pajamas pripažindavo pagal kaupimo apskaitos principą, įsigaliojus PMĮ, negali taikyti pinigų apskaitos principo. Jie ir toliau iki vieneto likvidavimo ar pabaigos pajamas turės pripažinti pagal kaupimo apskaitos principą.</w:t>
      </w:r>
    </w:p>
    <w:p w14:paraId="41B239E1" w14:textId="77777777" w:rsidR="00093845" w:rsidRDefault="000D779E">
      <w:pPr>
        <w:jc w:val="both"/>
        <w:rPr>
          <w:lang w:val="lt-LT"/>
        </w:rPr>
      </w:pPr>
      <w:r>
        <w:rPr>
          <w:lang w:val="lt-LT"/>
        </w:rPr>
        <w:lastRenderedPageBreak/>
        <w:t>Tuo atveju, jei Lietuvos vienetas, vadovaudamasis PMĮ nuostatomis, pereis prie kaupimo apskaitos principo, tai jis pagal šį principą pajamas turės pripažinti iki likvidavimo ar vieneto pabaigos.</w:t>
      </w:r>
    </w:p>
    <w:p w14:paraId="6D634381" w14:textId="77777777" w:rsidR="00093845" w:rsidRDefault="00093845">
      <w:pPr>
        <w:tabs>
          <w:tab w:val="left" w:pos="720"/>
          <w:tab w:val="left" w:pos="1077"/>
          <w:tab w:val="left" w:pos="1418"/>
        </w:tabs>
        <w:jc w:val="both"/>
        <w:rPr>
          <w:b/>
          <w:bCs/>
          <w:lang w:val="lt-LT"/>
        </w:rPr>
      </w:pPr>
    </w:p>
    <w:p w14:paraId="142192BE" w14:textId="77777777" w:rsidR="00093845" w:rsidRDefault="000D779E">
      <w:pPr>
        <w:tabs>
          <w:tab w:val="left" w:pos="720"/>
          <w:tab w:val="left" w:pos="1077"/>
          <w:tab w:val="left" w:pos="1418"/>
        </w:tabs>
        <w:jc w:val="both"/>
        <w:rPr>
          <w:b/>
          <w:bCs/>
          <w:lang w:val="lt-LT"/>
        </w:rPr>
      </w:pP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t>III SKYRIUS</w:t>
      </w:r>
    </w:p>
    <w:p w14:paraId="670745A2" w14:textId="77777777" w:rsidR="00093845" w:rsidRDefault="000D779E">
      <w:pPr>
        <w:tabs>
          <w:tab w:val="left" w:pos="720"/>
          <w:tab w:val="left" w:pos="1077"/>
          <w:tab w:val="left" w:pos="1418"/>
        </w:tabs>
        <w:jc w:val="both"/>
        <w:rPr>
          <w:b/>
          <w:bCs/>
          <w:lang w:val="lt-LT"/>
        </w:rPr>
      </w:pPr>
      <w:r>
        <w:rPr>
          <w:b/>
          <w:bCs/>
          <w:lang w:val="lt-LT"/>
        </w:rPr>
        <w:tab/>
      </w:r>
      <w:r>
        <w:rPr>
          <w:b/>
          <w:bCs/>
          <w:lang w:val="lt-LT"/>
        </w:rPr>
        <w:tab/>
      </w:r>
      <w:r>
        <w:rPr>
          <w:b/>
          <w:bCs/>
          <w:lang w:val="lt-LT"/>
        </w:rPr>
        <w:tab/>
        <w:t>APMOKESTINAMOJO PELNO APSKAIČIAVIMO TVARKA</w:t>
      </w:r>
    </w:p>
    <w:p w14:paraId="1D07440D" w14:textId="77777777" w:rsidR="00093845" w:rsidRDefault="000D779E">
      <w:pPr>
        <w:pStyle w:val="Antrat1"/>
        <w:jc w:val="both"/>
        <w:rPr>
          <w:lang w:val="lt-LT"/>
        </w:rPr>
      </w:pPr>
      <w:bookmarkStart w:id="213" w:name="_11_straipsnis._Apmokestinamasis"/>
      <w:bookmarkEnd w:id="213"/>
      <w:r>
        <w:rPr>
          <w:lang w:val="lt-LT"/>
        </w:rPr>
        <w:t>11 STRAIPSNIS. Apmokestinamasis pelnas</w:t>
      </w:r>
    </w:p>
    <w:p w14:paraId="3ACA654A"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1.</w:t>
      </w:r>
      <w:r>
        <w:rPr>
          <w:b/>
          <w:bCs/>
          <w:lang w:val="lt-LT"/>
        </w:rPr>
        <w:tab/>
        <w:t>Apskaičiuojant Lietuvos vieneto apmokestinamąjį pelną, jeigu šis straipsnis nenustato ko kita, iš pajamų:</w:t>
      </w:r>
    </w:p>
    <w:p w14:paraId="019C9510"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1)</w:t>
      </w:r>
      <w:r>
        <w:rPr>
          <w:b/>
          <w:bCs/>
          <w:lang w:val="lt-LT"/>
        </w:rPr>
        <w:tab/>
        <w:t>atimamos neapmokestinamosios pajamos;</w:t>
      </w:r>
    </w:p>
    <w:p w14:paraId="6F0F3DBB"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2)</w:t>
      </w:r>
      <w:r>
        <w:rPr>
          <w:b/>
          <w:bCs/>
          <w:lang w:val="lt-LT"/>
        </w:rPr>
        <w:tab/>
        <w:t>atskaitomi leidžiami atskaitymai;</w:t>
      </w:r>
    </w:p>
    <w:p w14:paraId="36C0349C" w14:textId="77777777" w:rsidR="00093845" w:rsidRDefault="000D779E" w:rsidP="007D1EDD">
      <w:pPr>
        <w:tabs>
          <w:tab w:val="left" w:pos="720"/>
          <w:tab w:val="left" w:pos="1077"/>
          <w:tab w:val="left" w:pos="1418"/>
        </w:tabs>
        <w:spacing w:after="0"/>
        <w:ind w:firstLine="720"/>
        <w:jc w:val="both"/>
        <w:rPr>
          <w:b/>
          <w:bCs/>
          <w:lang w:val="lt-LT"/>
        </w:rPr>
      </w:pPr>
      <w:r>
        <w:rPr>
          <w:b/>
          <w:bCs/>
          <w:lang w:val="lt-LT"/>
        </w:rPr>
        <w:t>3)</w:t>
      </w:r>
      <w:r>
        <w:rPr>
          <w:b/>
          <w:bCs/>
          <w:lang w:val="lt-LT"/>
        </w:rPr>
        <w:tab/>
        <w:t>atskaitomi ribojamų dydžių leidžiami atskaitymai.</w:t>
      </w:r>
    </w:p>
    <w:p w14:paraId="06AF057D" w14:textId="77777777" w:rsidR="00093845" w:rsidRDefault="000D779E">
      <w:pPr>
        <w:tabs>
          <w:tab w:val="left" w:pos="720"/>
          <w:tab w:val="left" w:pos="1077"/>
          <w:tab w:val="left" w:pos="1418"/>
        </w:tabs>
        <w:ind w:firstLine="720"/>
        <w:jc w:val="both"/>
        <w:rPr>
          <w:b/>
          <w:bCs/>
          <w:lang w:val="lt-LT"/>
        </w:rPr>
      </w:pPr>
      <w:r>
        <w:rPr>
          <w:b/>
          <w:bCs/>
          <w:lang w:val="lt-LT"/>
        </w:rPr>
        <w:t xml:space="preserve">Komentaras </w:t>
      </w:r>
    </w:p>
    <w:p w14:paraId="03724476" w14:textId="77777777" w:rsidR="00093845" w:rsidRDefault="000D779E">
      <w:pPr>
        <w:tabs>
          <w:tab w:val="left" w:pos="720"/>
          <w:tab w:val="left" w:pos="1077"/>
          <w:tab w:val="left" w:pos="1418"/>
        </w:tabs>
        <w:ind w:firstLine="720"/>
        <w:jc w:val="both"/>
        <w:rPr>
          <w:lang w:val="lt-LT"/>
        </w:rPr>
      </w:pPr>
      <w:r>
        <w:rPr>
          <w:lang w:val="lt-LT"/>
        </w:rPr>
        <w:t>1.</w:t>
      </w:r>
      <w:r>
        <w:rPr>
          <w:lang w:val="lt-LT"/>
        </w:rPr>
        <w:tab/>
        <w:t>Šio straipsnio 1 dalis nustato Lietuvos vieneto apmokestinamojo pelno apskaičiavimo tvarką. Lietuvos vieneto apmokestinamasis pelnas apskaičiuojamas pagal tokią formulę:</w:t>
      </w:r>
    </w:p>
    <w:p w14:paraId="51B9113F" w14:textId="77777777" w:rsidR="00093845" w:rsidRDefault="00093845">
      <w:pPr>
        <w:tabs>
          <w:tab w:val="left" w:pos="720"/>
          <w:tab w:val="left" w:pos="1077"/>
          <w:tab w:val="left" w:pos="1418"/>
        </w:tabs>
        <w:ind w:firstLine="720"/>
        <w:jc w:val="both"/>
        <w:rPr>
          <w:lang w:val="lt-LT"/>
        </w:rPr>
      </w:pPr>
    </w:p>
    <w:p w14:paraId="43D7886F" w14:textId="77777777" w:rsidR="00093845" w:rsidRDefault="000D779E">
      <w:pPr>
        <w:tabs>
          <w:tab w:val="left" w:pos="720"/>
          <w:tab w:val="left" w:pos="1077"/>
          <w:tab w:val="left" w:pos="1418"/>
        </w:tabs>
        <w:ind w:firstLine="720"/>
        <w:jc w:val="both"/>
        <w:rPr>
          <w:lang w:val="lt-LT"/>
        </w:rPr>
      </w:pPr>
      <w:r>
        <w:rPr>
          <w:lang w:val="lt-LT"/>
        </w:rPr>
        <w:t>Pajamos – Neapmokestinamosios pajamos - Leidžiami atskaitymai - Ribojamų dydžių leidžiami atskaitymai = Apmokestinamasis pelnas</w:t>
      </w:r>
    </w:p>
    <w:p w14:paraId="3E99EF67"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Lietuvos vieneto pajamas sudaro visos pajamos uždirbtos ir/ar gautos iš Lietuvos ir užsienio šaltinių. Kai kuriais atvejais pajamos pripažįstamos pagal specialias pajamų pripažinimo taisykles (pvz., išnuomojant turtą pagal PMĮ 38 straipsnį arba koreguojant sandorius pagal PMĮ 40 straipsnį). Taip pat į Lietuvos vieneto pajamas įskaitomos kontroliuojamojo užsienio vieneto pozityvios pajamos (žr. PMĮ 39 straipsnio komentarą). </w:t>
      </w:r>
    </w:p>
    <w:p w14:paraId="32821D88"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Neapmokestinamosios pajamos yra tokios pajamos, kurias Lietuvos vienetas uždirba ir/ar gauna, tačiau į pelno mokesčio bazę jos nėra įskaitomos. Neapmokestinamosios pajamos išvardintos PMĮ 12 straipsnyje (žr. PMĮ 12 straipsnio komentarą). Taip pat </w:t>
      </w:r>
      <w:r>
        <w:rPr>
          <w:u w:val="single"/>
          <w:lang w:val="lt-LT"/>
        </w:rPr>
        <w:t>PMĮ 58 str. 13, 14 ir 15 dalyse</w:t>
      </w:r>
      <w:r>
        <w:rPr>
          <w:lang w:val="lt-LT"/>
        </w:rPr>
        <w:t xml:space="preserve"> yra nurodytos pajamų rūšys, kurios neapmokestinamosioms pajamoms priskiriamos ribotą laikotarpį (pvz., palūkanos už Lietuvos Respublikos juridinių asmenų obligacijas, išleistas iki 2002 m. sausio 1 d., palūkanos už Lietuvos Respublikos Vyriausybės, savivaldybių ir tarptautinių finansinių organizacijų, kurių narė yra Lietuvos Respublika ir kurių steigimo sutartys yra ratifikuotos pagal Lietuvos Respublikos tarptautinių sutarčių įstatymą, vertybinius popierius, jei sutartys dėl jų platinimo sudarytos iki 2003 m. sausio 1 d., ir kt.).</w:t>
      </w:r>
    </w:p>
    <w:p w14:paraId="44B3BF73" w14:textId="77777777" w:rsidR="00093845" w:rsidRDefault="000D779E">
      <w:pPr>
        <w:tabs>
          <w:tab w:val="left" w:pos="720"/>
          <w:tab w:val="left" w:pos="1077"/>
          <w:tab w:val="left" w:pos="1418"/>
        </w:tabs>
        <w:ind w:firstLine="720"/>
        <w:jc w:val="both"/>
        <w:rPr>
          <w:lang w:val="lt-LT"/>
        </w:rPr>
      </w:pPr>
      <w:r>
        <w:rPr>
          <w:lang w:val="lt-LT"/>
        </w:rPr>
        <w:t>4.</w:t>
      </w:r>
      <w:r>
        <w:rPr>
          <w:lang w:val="lt-LT"/>
        </w:rPr>
        <w:tab/>
        <w:t>Leidžiami atskaitymai yra visos faktiškai patirtos Lietuvos vieneto įprastinės veiklos sąnaudos, būtinos pajamoms uždirbti ar ekonominei naudai gauti. Vadinasi, apskaičiuojant Lietuvos vieneto pelno mokesčio bazę, visos to vieneto veikloje patirtos sąnaudos, jeigu jos susijusios su pajamų uždirbimu iš tos veiklos, yra leidžiami atskaitymai (jeigu PMĮ nenustato ko kita). Plačiau apie leidžiamus atskaitymus yra paaiškinta PMĮ 17 straipsnio komentare.</w:t>
      </w:r>
    </w:p>
    <w:p w14:paraId="3EC47ED6" w14:textId="77777777" w:rsidR="00093845" w:rsidRDefault="000D779E">
      <w:pPr>
        <w:tabs>
          <w:tab w:val="left" w:pos="720"/>
          <w:tab w:val="left" w:pos="1077"/>
          <w:tab w:val="left" w:pos="1418"/>
        </w:tabs>
        <w:ind w:firstLine="720"/>
        <w:jc w:val="both"/>
        <w:rPr>
          <w:lang w:val="lt-LT"/>
        </w:rPr>
      </w:pPr>
      <w:r>
        <w:rPr>
          <w:lang w:val="lt-LT"/>
        </w:rPr>
        <w:t>5.</w:t>
      </w:r>
      <w:r>
        <w:rPr>
          <w:lang w:val="lt-LT"/>
        </w:rPr>
        <w:tab/>
        <w:t xml:space="preserve">Kai kurie leidžiami atskaitymai, apskaičiuojant Lietuvos vieneto pelno mokesčio bazę, yra ribojamų dydžių. Pelno mokesčio tikslais ribojamų dydžių atskaitymams priskiriamos tokios sąnaudos: </w:t>
      </w:r>
    </w:p>
    <w:p w14:paraId="1342AC57" w14:textId="77777777" w:rsidR="00093845" w:rsidRDefault="000D779E" w:rsidP="00CB7D9F">
      <w:pPr>
        <w:tabs>
          <w:tab w:val="left" w:pos="720"/>
          <w:tab w:val="left" w:pos="1077"/>
          <w:tab w:val="left" w:pos="1418"/>
        </w:tabs>
        <w:spacing w:after="0"/>
        <w:ind w:firstLine="720"/>
        <w:jc w:val="both"/>
        <w:rPr>
          <w:lang w:val="lt-LT"/>
        </w:rPr>
      </w:pPr>
      <w:r>
        <w:rPr>
          <w:lang w:val="lt-LT"/>
        </w:rPr>
        <w:t>1)</w:t>
      </w:r>
      <w:r>
        <w:rPr>
          <w:lang w:val="lt-LT"/>
        </w:rPr>
        <w:tab/>
        <w:t>ilgalaikio turto nusidėvėjimo arba amortizacijos sąnaudos;</w:t>
      </w:r>
    </w:p>
    <w:p w14:paraId="7FDA3BDA" w14:textId="77777777" w:rsidR="00093845" w:rsidRDefault="000D779E" w:rsidP="00CB7D9F">
      <w:pPr>
        <w:tabs>
          <w:tab w:val="left" w:pos="720"/>
          <w:tab w:val="left" w:pos="1077"/>
          <w:tab w:val="left" w:pos="1418"/>
        </w:tabs>
        <w:spacing w:after="0"/>
        <w:ind w:firstLine="720"/>
        <w:jc w:val="both"/>
        <w:rPr>
          <w:lang w:val="lt-LT"/>
        </w:rPr>
      </w:pPr>
      <w:r>
        <w:rPr>
          <w:lang w:val="lt-LT"/>
        </w:rPr>
        <w:t>2)</w:t>
      </w:r>
      <w:r>
        <w:rPr>
          <w:lang w:val="lt-LT"/>
        </w:rPr>
        <w:tab/>
        <w:t>ilgalaikio materialiojo turto eksploatavimo, remonto ir rekonstravimo sąnaudos;</w:t>
      </w:r>
    </w:p>
    <w:p w14:paraId="72370783" w14:textId="77777777" w:rsidR="00093845" w:rsidRDefault="000D779E" w:rsidP="00CB7D9F">
      <w:pPr>
        <w:tabs>
          <w:tab w:val="left" w:pos="720"/>
          <w:tab w:val="left" w:pos="1077"/>
          <w:tab w:val="left" w:pos="1418"/>
        </w:tabs>
        <w:spacing w:after="0"/>
        <w:ind w:firstLine="720"/>
        <w:jc w:val="both"/>
        <w:rPr>
          <w:lang w:val="lt-LT"/>
        </w:rPr>
      </w:pPr>
      <w:r>
        <w:rPr>
          <w:lang w:val="lt-LT"/>
        </w:rPr>
        <w:t>3)</w:t>
      </w:r>
      <w:r>
        <w:rPr>
          <w:lang w:val="lt-LT"/>
        </w:rPr>
        <w:tab/>
        <w:t>komandiruočių sąnaudos;</w:t>
      </w:r>
    </w:p>
    <w:p w14:paraId="44282D64" w14:textId="77777777" w:rsidR="00093845" w:rsidRDefault="000D779E" w:rsidP="00CB7D9F">
      <w:pPr>
        <w:tabs>
          <w:tab w:val="left" w:pos="720"/>
          <w:tab w:val="left" w:pos="1077"/>
          <w:tab w:val="left" w:pos="1418"/>
        </w:tabs>
        <w:spacing w:after="0"/>
        <w:ind w:firstLine="720"/>
        <w:jc w:val="both"/>
        <w:rPr>
          <w:lang w:val="lt-LT"/>
        </w:rPr>
      </w:pPr>
      <w:r>
        <w:rPr>
          <w:lang w:val="lt-LT"/>
        </w:rPr>
        <w:lastRenderedPageBreak/>
        <w:t>4)</w:t>
      </w:r>
      <w:r>
        <w:rPr>
          <w:lang w:val="lt-LT"/>
        </w:rPr>
        <w:tab/>
        <w:t>reklamos ir reprezentacijos sąnaudos;</w:t>
      </w:r>
    </w:p>
    <w:p w14:paraId="54623875" w14:textId="77777777" w:rsidR="00093845" w:rsidRDefault="000D779E" w:rsidP="00CB7D9F">
      <w:pPr>
        <w:tabs>
          <w:tab w:val="left" w:pos="720"/>
          <w:tab w:val="left" w:pos="1077"/>
          <w:tab w:val="left" w:pos="1418"/>
        </w:tabs>
        <w:spacing w:after="0"/>
        <w:ind w:firstLine="720"/>
        <w:jc w:val="both"/>
        <w:rPr>
          <w:lang w:val="lt-LT"/>
        </w:rPr>
      </w:pPr>
      <w:r>
        <w:rPr>
          <w:lang w:val="lt-LT"/>
        </w:rPr>
        <w:t>5)</w:t>
      </w:r>
      <w:r>
        <w:rPr>
          <w:lang w:val="lt-LT"/>
        </w:rPr>
        <w:tab/>
        <w:t>natūraliosios netekties nuostoliai;</w:t>
      </w:r>
    </w:p>
    <w:p w14:paraId="571CC641" w14:textId="77777777" w:rsidR="00093845" w:rsidRDefault="000D779E" w:rsidP="00CB7D9F">
      <w:pPr>
        <w:tabs>
          <w:tab w:val="left" w:pos="720"/>
          <w:tab w:val="left" w:pos="1077"/>
          <w:tab w:val="left" w:pos="1418"/>
        </w:tabs>
        <w:spacing w:after="0"/>
        <w:ind w:firstLine="720"/>
        <w:jc w:val="both"/>
        <w:rPr>
          <w:lang w:val="lt-LT"/>
        </w:rPr>
      </w:pPr>
      <w:r>
        <w:rPr>
          <w:lang w:val="lt-LT"/>
        </w:rPr>
        <w:t>6)</w:t>
      </w:r>
      <w:r>
        <w:rPr>
          <w:lang w:val="lt-LT"/>
        </w:rPr>
        <w:tab/>
        <w:t>mokesčiai;</w:t>
      </w:r>
    </w:p>
    <w:p w14:paraId="05EE9F15" w14:textId="77777777" w:rsidR="00093845" w:rsidRDefault="000D779E" w:rsidP="00CB7D9F">
      <w:pPr>
        <w:tabs>
          <w:tab w:val="left" w:pos="720"/>
          <w:tab w:val="left" w:pos="1077"/>
          <w:tab w:val="left" w:pos="1418"/>
        </w:tabs>
        <w:spacing w:after="0"/>
        <w:ind w:firstLine="720"/>
        <w:jc w:val="both"/>
        <w:rPr>
          <w:lang w:val="lt-LT"/>
        </w:rPr>
      </w:pPr>
      <w:r>
        <w:rPr>
          <w:lang w:val="lt-LT"/>
        </w:rPr>
        <w:t>7)</w:t>
      </w:r>
      <w:r>
        <w:rPr>
          <w:lang w:val="lt-LT"/>
        </w:rPr>
        <w:tab/>
        <w:t>beviltiškos skolos;</w:t>
      </w:r>
    </w:p>
    <w:p w14:paraId="2E599896" w14:textId="77777777" w:rsidR="00093845" w:rsidRDefault="000D779E" w:rsidP="00CB7D9F">
      <w:pPr>
        <w:tabs>
          <w:tab w:val="left" w:pos="720"/>
          <w:tab w:val="left" w:pos="1077"/>
          <w:tab w:val="left" w:pos="1418"/>
        </w:tabs>
        <w:spacing w:after="0"/>
        <w:ind w:firstLine="720"/>
        <w:jc w:val="both"/>
        <w:rPr>
          <w:lang w:val="lt-LT"/>
        </w:rPr>
      </w:pPr>
      <w:r>
        <w:rPr>
          <w:lang w:val="lt-LT"/>
        </w:rPr>
        <w:t>8)</w:t>
      </w:r>
      <w:r>
        <w:rPr>
          <w:lang w:val="lt-LT"/>
        </w:rPr>
        <w:tab/>
        <w:t>įmokos darbuotojų naudai;</w:t>
      </w:r>
    </w:p>
    <w:p w14:paraId="3E3F6F8F" w14:textId="77777777" w:rsidR="00093845" w:rsidRDefault="000D779E" w:rsidP="00CB7D9F">
      <w:pPr>
        <w:tabs>
          <w:tab w:val="left" w:pos="720"/>
          <w:tab w:val="left" w:pos="1077"/>
          <w:tab w:val="left" w:pos="1418"/>
        </w:tabs>
        <w:spacing w:after="0"/>
        <w:ind w:firstLine="720"/>
        <w:jc w:val="both"/>
        <w:rPr>
          <w:lang w:val="lt-LT"/>
        </w:rPr>
      </w:pPr>
      <w:r>
        <w:rPr>
          <w:lang w:val="lt-LT"/>
        </w:rPr>
        <w:t>9)</w:t>
      </w:r>
      <w:r>
        <w:rPr>
          <w:lang w:val="lt-LT"/>
        </w:rPr>
        <w:tab/>
        <w:t>specialieji kredito įstaigų ir draudimo įmonių atidėjimai;</w:t>
      </w:r>
    </w:p>
    <w:p w14:paraId="22A79C37" w14:textId="77777777" w:rsidR="00093845" w:rsidRDefault="000D779E" w:rsidP="00CB7D9F">
      <w:pPr>
        <w:tabs>
          <w:tab w:val="left" w:pos="720"/>
          <w:tab w:val="left" w:pos="1077"/>
          <w:tab w:val="left" w:pos="1418"/>
        </w:tabs>
        <w:spacing w:after="0"/>
        <w:ind w:firstLine="720"/>
        <w:jc w:val="both"/>
        <w:rPr>
          <w:lang w:val="lt-LT"/>
        </w:rPr>
      </w:pPr>
      <w:r>
        <w:rPr>
          <w:lang w:val="lt-LT"/>
        </w:rPr>
        <w:t>10)</w:t>
      </w:r>
      <w:r>
        <w:rPr>
          <w:lang w:val="lt-LT"/>
        </w:rPr>
        <w:tab/>
        <w:t>parama;</w:t>
      </w:r>
    </w:p>
    <w:p w14:paraId="1320A69A" w14:textId="77777777" w:rsidR="00093845" w:rsidRDefault="000D779E" w:rsidP="00CB7D9F">
      <w:pPr>
        <w:tabs>
          <w:tab w:val="left" w:pos="720"/>
          <w:tab w:val="left" w:pos="1077"/>
          <w:tab w:val="left" w:pos="1418"/>
        </w:tabs>
        <w:spacing w:after="0"/>
        <w:ind w:firstLine="720"/>
        <w:jc w:val="both"/>
        <w:rPr>
          <w:lang w:val="lt-LT"/>
        </w:rPr>
      </w:pPr>
      <w:r>
        <w:rPr>
          <w:lang w:val="lt-LT"/>
        </w:rPr>
        <w:t>11)</w:t>
      </w:r>
      <w:r>
        <w:rPr>
          <w:lang w:val="lt-LT"/>
        </w:rPr>
        <w:tab/>
        <w:t>narių mokesčiai, įnašai ir įmokos;</w:t>
      </w:r>
    </w:p>
    <w:p w14:paraId="66A41365" w14:textId="77777777" w:rsidR="00093845" w:rsidRDefault="000D779E" w:rsidP="00CB7D9F">
      <w:pPr>
        <w:tabs>
          <w:tab w:val="left" w:pos="720"/>
          <w:tab w:val="left" w:pos="1077"/>
          <w:tab w:val="left" w:pos="1418"/>
        </w:tabs>
        <w:spacing w:after="0"/>
        <w:ind w:firstLine="720"/>
        <w:jc w:val="both"/>
        <w:rPr>
          <w:lang w:val="lt-LT"/>
        </w:rPr>
      </w:pPr>
      <w:r>
        <w:rPr>
          <w:lang w:val="lt-LT"/>
        </w:rPr>
        <w:t>12)</w:t>
      </w:r>
      <w:r>
        <w:rPr>
          <w:lang w:val="lt-LT"/>
        </w:rPr>
        <w:tab/>
        <w:t>mokestinio laikotarpio nuostoliai.</w:t>
      </w:r>
    </w:p>
    <w:p w14:paraId="3F890566" w14:textId="77777777" w:rsidR="00093845" w:rsidRDefault="000D779E" w:rsidP="00CB7D9F">
      <w:pPr>
        <w:tabs>
          <w:tab w:val="left" w:pos="720"/>
          <w:tab w:val="left" w:pos="1077"/>
          <w:tab w:val="left" w:pos="1418"/>
        </w:tabs>
        <w:spacing w:after="0"/>
        <w:ind w:firstLine="720"/>
        <w:jc w:val="both"/>
        <w:rPr>
          <w:lang w:val="lt-LT"/>
        </w:rPr>
      </w:pPr>
      <w:r>
        <w:rPr>
          <w:lang w:val="lt-LT"/>
        </w:rPr>
        <w:t xml:space="preserve">Ribojamų dydžių leidžiamų atskaitymų tvarka yra paaiškinta PMĮ 18-30 straipsnių komentare. </w:t>
      </w:r>
    </w:p>
    <w:p w14:paraId="06A0EFA0" w14:textId="77777777" w:rsidR="00093845" w:rsidRDefault="00093845">
      <w:pPr>
        <w:tabs>
          <w:tab w:val="left" w:pos="720"/>
          <w:tab w:val="left" w:pos="1077"/>
          <w:tab w:val="left" w:pos="1418"/>
        </w:tabs>
        <w:ind w:firstLine="720"/>
        <w:jc w:val="both"/>
        <w:rPr>
          <w:lang w:val="lt-LT"/>
        </w:rPr>
      </w:pPr>
    </w:p>
    <w:p w14:paraId="6715913C" w14:textId="77777777" w:rsidR="00093845" w:rsidRDefault="000D779E">
      <w:pPr>
        <w:tabs>
          <w:tab w:val="left" w:pos="720"/>
          <w:tab w:val="left" w:pos="1077"/>
          <w:tab w:val="left" w:pos="1418"/>
        </w:tabs>
        <w:ind w:firstLine="720"/>
        <w:jc w:val="both"/>
        <w:rPr>
          <w:b/>
          <w:bCs/>
          <w:lang w:val="lt-LT"/>
        </w:rPr>
      </w:pPr>
      <w:r>
        <w:rPr>
          <w:b/>
          <w:bCs/>
          <w:lang w:val="lt-LT"/>
        </w:rPr>
        <w:t>2.</w:t>
      </w:r>
      <w:r>
        <w:rPr>
          <w:b/>
          <w:bCs/>
          <w:lang w:val="lt-LT"/>
        </w:rPr>
        <w:tab/>
        <w:t>Nuolatinių buveinių apmokestinamasis pelnas apskaičiuojamas iš uždirbtų pajamų atimant neapmokestinamąsias pajamas, ribojamų dydžių leidžiamus atskaitymus bei tokius atskaitymus, kurie susiję su užsienio vieneto pajamų uždirbimu per nuolatines buveines. Atskaitymų, susijusių su pajamų uždirbimu per nuolatines buveines, tvarką nustato Lietuvos Respublikos Vyriausybė ar jos įgaliota institucija.</w:t>
      </w:r>
    </w:p>
    <w:p w14:paraId="417188E8" w14:textId="77777777" w:rsidR="00093845" w:rsidRDefault="000D779E">
      <w:pPr>
        <w:ind w:firstLine="720"/>
        <w:jc w:val="both"/>
        <w:rPr>
          <w:b/>
          <w:bCs/>
          <w:lang w:val="lt-LT"/>
        </w:rPr>
      </w:pPr>
      <w:r>
        <w:rPr>
          <w:b/>
          <w:bCs/>
          <w:lang w:val="lt-LT"/>
        </w:rPr>
        <w:t>Komentaras</w:t>
      </w:r>
    </w:p>
    <w:p w14:paraId="3B9E0B84" w14:textId="77777777" w:rsidR="00093845" w:rsidRDefault="000D779E">
      <w:pPr>
        <w:tabs>
          <w:tab w:val="left" w:pos="720"/>
          <w:tab w:val="left" w:pos="1077"/>
          <w:tab w:val="left" w:pos="1418"/>
        </w:tabs>
        <w:ind w:firstLine="720"/>
        <w:jc w:val="both"/>
        <w:rPr>
          <w:lang w:val="lt-LT"/>
        </w:rPr>
      </w:pPr>
      <w:r>
        <w:rPr>
          <w:lang w:val="lt-LT"/>
        </w:rPr>
        <w:t>1.</w:t>
      </w:r>
      <w:r>
        <w:rPr>
          <w:lang w:val="lt-LT"/>
        </w:rPr>
        <w:tab/>
        <w:t>Kai užsienio vienetas uždirba pajamų per Lietuvos Respublikos teritorijoje esančią savo nuolatinę buveinę (PMĮ 2 str. 12 dalis), tokios nuolatinės buveinės mokesčio bazė nustatoma remiantis PMĮ 4 str. 3 d. 1 punktu, o jos mokestiniai laikotarpiai nustatomi remiantis PMĮ 6 str. 5 dalimi. Nuolatinei buveinei priskiriamos užsienio vieneto pajamos, kurias jis uždirbo iš tos nuolatinės buveinės veiklos, tačiau, jeigu neįmanoma tiksliai nustatyti, kokia užsienio vieneto uždirbtų pajamų dalis tenka nuolatinei buveinei, priskiriant turi būti vadovaujamasi protingumo principu.</w:t>
      </w:r>
    </w:p>
    <w:p w14:paraId="392C9B9F" w14:textId="77777777" w:rsidR="00093845" w:rsidRDefault="000D779E">
      <w:pPr>
        <w:tabs>
          <w:tab w:val="left" w:pos="720"/>
          <w:tab w:val="left" w:pos="1077"/>
          <w:tab w:val="left" w:pos="1418"/>
        </w:tabs>
        <w:ind w:firstLine="720"/>
        <w:jc w:val="both"/>
        <w:rPr>
          <w:lang w:val="lt-LT"/>
        </w:rPr>
      </w:pPr>
      <w:r>
        <w:rPr>
          <w:lang w:val="lt-LT"/>
        </w:rPr>
        <w:t>2.</w:t>
      </w:r>
      <w:r>
        <w:rPr>
          <w:lang w:val="lt-LT"/>
        </w:rPr>
        <w:tab/>
        <w:t>Apskaičiuojant nuolatinės buveinės mokestinio laikotarpio apmokestinamąjį pelną, iš jos per tą mokestinį laikotarpį uždirbtų pajamų atimama:</w:t>
      </w:r>
    </w:p>
    <w:p w14:paraId="7F5B0656" w14:textId="77777777" w:rsidR="00093845" w:rsidRDefault="000D779E" w:rsidP="00EC4E29">
      <w:pPr>
        <w:numPr>
          <w:ilvl w:val="0"/>
          <w:numId w:val="25"/>
        </w:numPr>
        <w:tabs>
          <w:tab w:val="left" w:pos="720"/>
          <w:tab w:val="left" w:pos="1440"/>
        </w:tabs>
        <w:ind w:left="0" w:firstLine="720"/>
        <w:jc w:val="both"/>
        <w:rPr>
          <w:lang w:val="lt-LT"/>
        </w:rPr>
      </w:pPr>
      <w:r>
        <w:rPr>
          <w:lang w:val="lt-LT"/>
        </w:rPr>
        <w:t>neapmokestinamosios pajamos (PMĮ 12 straipsnis),</w:t>
      </w:r>
    </w:p>
    <w:p w14:paraId="620F20CE" w14:textId="77777777" w:rsidR="00093845" w:rsidRDefault="000D779E" w:rsidP="00EC4E29">
      <w:pPr>
        <w:numPr>
          <w:ilvl w:val="0"/>
          <w:numId w:val="25"/>
        </w:numPr>
        <w:tabs>
          <w:tab w:val="left" w:pos="720"/>
          <w:tab w:val="left" w:pos="1440"/>
        </w:tabs>
        <w:ind w:left="0" w:firstLine="720"/>
        <w:jc w:val="both"/>
        <w:rPr>
          <w:lang w:val="lt-LT"/>
        </w:rPr>
      </w:pPr>
      <w:r>
        <w:rPr>
          <w:lang w:val="lt-LT"/>
        </w:rPr>
        <w:t>ribojamų dydžių leidžiami atskaitymai (PMĮ 17 str. 2 dalis) ir</w:t>
      </w:r>
    </w:p>
    <w:p w14:paraId="796A5992" w14:textId="77777777" w:rsidR="00093845" w:rsidRDefault="000D779E" w:rsidP="00EC4E29">
      <w:pPr>
        <w:numPr>
          <w:ilvl w:val="0"/>
          <w:numId w:val="25"/>
        </w:numPr>
        <w:tabs>
          <w:tab w:val="left" w:pos="720"/>
          <w:tab w:val="left" w:pos="1440"/>
        </w:tabs>
        <w:ind w:left="0" w:firstLine="720"/>
        <w:jc w:val="both"/>
        <w:rPr>
          <w:lang w:val="lt-LT"/>
        </w:rPr>
      </w:pPr>
      <w:r>
        <w:rPr>
          <w:lang w:val="lt-LT"/>
        </w:rPr>
        <w:t>atskaitymai, susiję su užsienio vieneto pajamų uždirbimu per nuolatinę buveinę.</w:t>
      </w:r>
    </w:p>
    <w:p w14:paraId="7FFB34F7" w14:textId="77777777" w:rsidR="00093845" w:rsidRDefault="000D779E">
      <w:pPr>
        <w:tabs>
          <w:tab w:val="left" w:pos="720"/>
          <w:tab w:val="left" w:pos="1077"/>
          <w:tab w:val="left" w:pos="1418"/>
        </w:tabs>
        <w:ind w:firstLine="720"/>
        <w:jc w:val="both"/>
        <w:rPr>
          <w:lang w:val="lt-LT"/>
        </w:rPr>
      </w:pPr>
      <w:r>
        <w:rPr>
          <w:lang w:val="lt-LT"/>
        </w:rPr>
        <w:t xml:space="preserve">Lietuvos Respublikos Vyriausybė 2002 m. kovo 5 d. </w:t>
      </w:r>
      <w:r w:rsidR="00FF062E" w:rsidRPr="009C0219">
        <w:rPr>
          <w:rStyle w:val="Hipersaitas"/>
          <w:rFonts w:ascii="Times New Roman" w:hAnsi="Times New Roman" w:cs="Times New Roman"/>
          <w:b w:val="0"/>
          <w:bCs w:val="0"/>
          <w:kern w:val="0"/>
          <w:lang w:val="lt-LT"/>
        </w:rPr>
        <w:t>nutarimu Nr. 321</w:t>
      </w:r>
      <w:r>
        <w:rPr>
          <w:lang w:val="lt-LT"/>
        </w:rPr>
        <w:t xml:space="preserve"> „Dėl Atskaitymų, susijusių su pajamų uždirbimu per nuolatines buveines, nustatymo tvarkos ir Nuolatinės buveinės pirmo ir paskutinio mokestinių laikotarpių nustatymo tvarkos patvirtinimo patvirtino Atskaitymų, susijusių su pajamų uždirbimu per nuolatines buveines, nustatymo tvarką.</w:t>
      </w:r>
    </w:p>
    <w:p w14:paraId="632BDC8B"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Remiantis šios tvarkos 3 dalimi, leidžiami atskaitymai, susiję su užsienio vieneto pajamų uždirbimu per nuolatinę buveinę, yra šie:</w:t>
      </w:r>
    </w:p>
    <w:p w14:paraId="24B8A13B" w14:textId="77777777" w:rsidR="00093845" w:rsidRDefault="000D779E">
      <w:pPr>
        <w:tabs>
          <w:tab w:val="left" w:pos="720"/>
          <w:tab w:val="left" w:pos="1077"/>
          <w:tab w:val="left" w:pos="1418"/>
        </w:tabs>
        <w:ind w:firstLine="720"/>
        <w:jc w:val="both"/>
        <w:rPr>
          <w:lang w:val="lt-LT"/>
        </w:rPr>
      </w:pPr>
      <w:r>
        <w:rPr>
          <w:lang w:val="lt-LT"/>
        </w:rPr>
        <w:t>-</w:t>
      </w:r>
      <w:r>
        <w:rPr>
          <w:lang w:val="lt-LT"/>
        </w:rPr>
        <w:tab/>
      </w:r>
      <w:r>
        <w:rPr>
          <w:b/>
          <w:bCs/>
          <w:lang w:val="lt-LT"/>
        </w:rPr>
        <w:t>pačios nuolatinės buveinės</w:t>
      </w:r>
      <w:r>
        <w:rPr>
          <w:lang w:val="lt-LT"/>
        </w:rPr>
        <w:t xml:space="preserve"> faktiškai patirtos įprastinės sąnaudos, būtinos tos buveinės pajamoms uždirbti ar jos ekonominei naudai gauti (PMĮ 17 str. 1 dalis);</w:t>
      </w:r>
    </w:p>
    <w:p w14:paraId="5A0E1B04" w14:textId="77777777" w:rsidR="00093845" w:rsidRDefault="000D779E">
      <w:pPr>
        <w:tabs>
          <w:tab w:val="left" w:pos="720"/>
          <w:tab w:val="left" w:pos="1077"/>
          <w:tab w:val="left" w:pos="1418"/>
        </w:tabs>
        <w:ind w:firstLine="720"/>
        <w:jc w:val="both"/>
        <w:rPr>
          <w:lang w:val="lt-LT"/>
        </w:rPr>
      </w:pPr>
      <w:r>
        <w:rPr>
          <w:lang w:val="lt-LT"/>
        </w:rPr>
        <w:t>-</w:t>
      </w:r>
      <w:r>
        <w:rPr>
          <w:lang w:val="lt-LT"/>
        </w:rPr>
        <w:tab/>
      </w:r>
      <w:r>
        <w:rPr>
          <w:b/>
          <w:bCs/>
          <w:lang w:val="lt-LT"/>
        </w:rPr>
        <w:t>užsienio vieneto ne per tą nuolatinę buveinę</w:t>
      </w:r>
      <w:r>
        <w:rPr>
          <w:lang w:val="lt-LT"/>
        </w:rPr>
        <w:t xml:space="preserve"> faktiškai patirtos sąnaudos, kurios yra tiesiogiai susijusios su jo veikla per tą nuolatinę buveinę, arba tokių sąnaudų dalis, apskaičiuojama proporcingai pagal visų užsienio vieneto pajamų ir tos nuolatinės buveinės pajamų santykį.</w:t>
      </w:r>
    </w:p>
    <w:p w14:paraId="6A2F4656"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Apskaičiuojant nuolatinės buveinės apmokestinamąjį pelną, užsienio vieneto ne per tą buveinę faktiškai patirtos sąnaudos gali būti atimamos tik tuo atveju, jeigu jos yra tiesiogiai susijusios su jo veikla per tą nuolatinę buveinę, t.y. šios sąnaudos būtinos tos nuolatinės buveinės pajamoms uždirbti ar ekonominei naudai gauti. </w:t>
      </w:r>
    </w:p>
    <w:p w14:paraId="32AA41EF" w14:textId="77777777" w:rsidR="00093845" w:rsidRDefault="000D779E">
      <w:pPr>
        <w:tabs>
          <w:tab w:val="left" w:pos="720"/>
          <w:tab w:val="left" w:pos="1077"/>
          <w:tab w:val="left" w:pos="1418"/>
        </w:tabs>
        <w:ind w:firstLine="720"/>
        <w:jc w:val="both"/>
        <w:rPr>
          <w:lang w:val="lt-LT"/>
        </w:rPr>
      </w:pPr>
      <w:r>
        <w:rPr>
          <w:lang w:val="lt-LT"/>
        </w:rPr>
        <w:lastRenderedPageBreak/>
        <w:t xml:space="preserve">Jeigu neįmanoma tiksliai nustatyti, kiek užsienio vieneto ne per nuolatinę buveinę faktiškai patirtų tiesiogiai su ta nuolatine buveine susijusių sąnaudų gali būti priskiriama tai nuolatinei buveinei, tai taikoma </w:t>
      </w:r>
      <w:r>
        <w:rPr>
          <w:u w:val="single"/>
          <w:lang w:val="lt-LT"/>
        </w:rPr>
        <w:t>bendroji taisyklė</w:t>
      </w:r>
      <w:r>
        <w:rPr>
          <w:lang w:val="lt-LT"/>
        </w:rPr>
        <w:t xml:space="preserve">, t.y. jai priskiriamų tokių sąnaudų dalis apskaičiuojama proporcingai pagal per tą mokestinį laikotarpį užsienio vieneto visų uždirbtų pajamų ir per tą patį mokestinį laikotarpį nuolatinės buveinės, kurios apmokestinamasis pelnas skaičiuojamas, uždirbtų pajamų santykį. </w:t>
      </w:r>
    </w:p>
    <w:p w14:paraId="48B04EDB" w14:textId="77777777" w:rsidR="00093845" w:rsidRDefault="000D779E">
      <w:pPr>
        <w:tabs>
          <w:tab w:val="left" w:pos="720"/>
          <w:tab w:val="left" w:pos="1077"/>
          <w:tab w:val="left" w:pos="1418"/>
        </w:tabs>
        <w:ind w:firstLine="720"/>
        <w:jc w:val="both"/>
        <w:rPr>
          <w:lang w:val="lt-LT"/>
        </w:rPr>
      </w:pPr>
      <w:r>
        <w:rPr>
          <w:lang w:val="lt-LT"/>
        </w:rPr>
        <w:t>Jeigu užsienio vienetas ne per nuolatinę buveinę faktiškai patyrė tiesiogiai su jo veikla per nuolatinę buveinę susijusių sąnaudų, kurios, remiantis PMĮ 17 str. 2 dalimi, priskiriamos ribojamų dydžių leidžiamiems atskaitymams, tai, skaičiuojant tokios nuolatinės buveinės apmokestinamąjį pelną, tokios sąnaudos atimamos, atsižvelgiant į PMĮ nustatytus apribojimus, pvz., komandiruočių, reprezentacinės ir kt. sąnaudos.</w:t>
      </w:r>
    </w:p>
    <w:p w14:paraId="2ECE0A04" w14:textId="77777777" w:rsidR="00093845" w:rsidRDefault="000D779E">
      <w:pPr>
        <w:tabs>
          <w:tab w:val="left" w:pos="720"/>
          <w:tab w:val="left" w:pos="1077"/>
          <w:tab w:val="left" w:pos="1418"/>
        </w:tabs>
        <w:ind w:firstLine="720"/>
        <w:jc w:val="both"/>
        <w:rPr>
          <w:lang w:val="lt-LT"/>
        </w:rPr>
      </w:pPr>
      <w:r>
        <w:rPr>
          <w:lang w:val="lt-LT"/>
        </w:rPr>
        <w:t>5.</w:t>
      </w:r>
      <w:r>
        <w:rPr>
          <w:lang w:val="lt-LT"/>
        </w:rPr>
        <w:tab/>
        <w:t>Užsienio vieneto ne per nuolatinę buveinę faktiškai patirtoms sąnaudoms, be kitų sąnaudų, priskiriama:</w:t>
      </w:r>
    </w:p>
    <w:p w14:paraId="316308DB" w14:textId="77777777" w:rsidR="00093845" w:rsidRDefault="000D779E">
      <w:pPr>
        <w:tabs>
          <w:tab w:val="left" w:pos="720"/>
          <w:tab w:val="left" w:pos="1077"/>
          <w:tab w:val="left" w:pos="1418"/>
        </w:tabs>
        <w:ind w:firstLine="720"/>
        <w:jc w:val="both"/>
        <w:rPr>
          <w:iCs/>
          <w:lang w:val="lt-LT"/>
        </w:rPr>
      </w:pPr>
      <w:r>
        <w:rPr>
          <w:lang w:val="lt-LT"/>
        </w:rPr>
        <w:t>-</w:t>
      </w:r>
      <w:r>
        <w:rPr>
          <w:lang w:val="lt-LT"/>
        </w:rPr>
        <w:tab/>
        <w:t>palūkanos, kurias užsienio vienetas moka už jo veiklai per nuolatinę buveinę naudojamą paskolą. Užsienio vieneto veiklai per nuolatinę buveinę naudojama paskola laikoma tokia paskola, kurios sutartis su kreditoriumi buvo sudaryta ne per nuolatinę buveinę, bet pati paskola arba jos dalis naudojama pajamoms per tą nuolatinę buveinę uždirbti.</w:t>
      </w:r>
      <w:r>
        <w:rPr>
          <w:i/>
          <w:lang w:val="lt-LT"/>
        </w:rPr>
        <w:t xml:space="preserve"> </w:t>
      </w:r>
      <w:r>
        <w:rPr>
          <w:iCs/>
          <w:lang w:val="lt-LT"/>
        </w:rPr>
        <w:t xml:space="preserve">Jeigu veiklai per nuolatinę buveinę naudojama ne visa užsienio vieneto paimta paskola, o tik tokios paskolos dalis, tai palūkanų, laikomų leidžiamais atskaitymais, dalis apskaičiuojama proporcingai paskolos daliai, naudojamai užsienio vieneto veiklai per tą nuolatinę buveinę; </w:t>
      </w:r>
    </w:p>
    <w:p w14:paraId="3F578563" w14:textId="77777777" w:rsidR="00093845" w:rsidRDefault="000D779E" w:rsidP="00EC4E29">
      <w:pPr>
        <w:numPr>
          <w:ilvl w:val="0"/>
          <w:numId w:val="25"/>
        </w:numPr>
        <w:tabs>
          <w:tab w:val="left" w:pos="720"/>
          <w:tab w:val="left" w:pos="1440"/>
        </w:tabs>
        <w:ind w:left="0" w:firstLine="720"/>
        <w:jc w:val="both"/>
        <w:rPr>
          <w:lang w:val="lt-LT"/>
        </w:rPr>
      </w:pPr>
      <w:r>
        <w:rPr>
          <w:lang w:val="lt-LT"/>
        </w:rPr>
        <w:t>autorinis atlyginimas (įskaitant atlyginimą už suteiktas gretutines teises), kurį užsienio vienetas moka už jo veikloje per nuolatinę buveinę naudojamas teises. Jeigu teisėmis, už kurias užsienio vienetas moka autorinį atlyginimą, jis naudojasi ne tik vykdydamas veiklą per tą nuolatinę buveinę arba vykdydamas tokią veiklą jis naudojosi ne visomis suteiktomis teisėmis, tai priskiriama tik atitinkamai pagal bendrąją taisyklę apskaičiuota autorinio atlyginimo dalis;</w:t>
      </w:r>
    </w:p>
    <w:p w14:paraId="1BA4F9EA"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atlyginimas už teisę naudotis pramoninės nuosavybės objektu, franšize, kurį užsienio vienetas moka už jo veikloje per nuolatinę buveinę naudojamą teisę. Jeigu teise, už kurią užsienio vienetas moka tokį atlyginimą, jis naudojasi ne tik vykdydamas veiklą per tą nuolatinę buveinę, tai priskiriama tik atitinkamai pagal bendrąją taisyklę apskaičiuota atlyginimo dalis;</w:t>
      </w:r>
    </w:p>
    <w:p w14:paraId="23143C68"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atlyginimas už suteiktą informaciją apie gamybinę, prekybinę ar mokslinę patirtį, kurį užsienio vienetas moka už jo veikloje per nuolatinę buveinę naudojamą informaciją. Jeigu informacija, už kurią užsienio vienetas moka atlyginimą, jis naudojasi ne tik vykdydamas veiklą per tą nuolatinę buveinę, tai priskiriama tik atitinkamai pagal bendrąją taisyklę apskaičiuota atlyginimo dalis;</w:t>
      </w:r>
    </w:p>
    <w:p w14:paraId="5A5E36AC"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kompensacija už autorinių arba gretutinių teisių pažeidimą, kurią užsienio vienetas moka už jo veikloje per nuolatinę buveinę naudotas ir pažeistas teises. Jeigu teisės, už kurių pažeidimą užsienio vienetas moka kompensaciją, buvo pažeistos ne tik vykdant veiklą per tą nuolatinę buveinę, tai priskiriama tik atitinkamai pagal bendrąją taisyklę apskaičiuota kompensacijos dalis;</w:t>
      </w:r>
    </w:p>
    <w:p w14:paraId="6B645CF7" w14:textId="77777777" w:rsidR="00093845" w:rsidRDefault="000D779E" w:rsidP="00EC4E29">
      <w:pPr>
        <w:numPr>
          <w:ilvl w:val="0"/>
          <w:numId w:val="25"/>
        </w:numPr>
        <w:tabs>
          <w:tab w:val="left" w:pos="720"/>
          <w:tab w:val="left" w:pos="1440"/>
        </w:tabs>
        <w:ind w:left="0" w:firstLine="720"/>
        <w:jc w:val="both"/>
        <w:rPr>
          <w:lang w:val="lt-LT"/>
        </w:rPr>
      </w:pPr>
      <w:r>
        <w:rPr>
          <w:lang w:val="lt-LT"/>
        </w:rPr>
        <w:t xml:space="preserve">intelektinės nuosavybės, kurią įsigijo (ar sukūrė) užsienio vienetas, įsigijimo (sukūrimo) sąnaudų dalis, jeigu ši intelektinė nuosavybė naudojama jo veiklai per tą nuolatinę buveinę. Tokia sąnaudų dalis gali būti priskiriama veiklai per nuolatinę buveinę tik tą mokestinį laikotarpį, kurį ji buvo įsigyta (sukurta), ir tik tuo atveju, jeigu ji naudojama nuolatinės buveinės pajamoms uždirbti. Nuolatinei buveinei priskiriamų sąnaudų dalis, neatsižvelgiant į tai, ar tokia intelektinė nuosavybė naudojama tik tos nuolatinės buveinės tikslams ar ir kitų užsienio vieneto padalinių tikslams, apskaičiuojama proporcingai pagal per tą mokestinį laikotarpį, kurį ji buvo įsigyta (sukurta), užsienio vieneto visų uždirbtų pajamų ir per tą patį mokestinį laikotarpį nuolatinės buveinės, kurios </w:t>
      </w:r>
      <w:r>
        <w:rPr>
          <w:lang w:val="lt-LT"/>
        </w:rPr>
        <w:lastRenderedPageBreak/>
        <w:t>apmokestinamasis pelnas skaičiuojamas, uždirbtų pajamų santykį. Intelektinė nuosavybė – tai autorių teisės, gretutinės teisės bei teisės į pramoninę nuosavybę.</w:t>
      </w:r>
    </w:p>
    <w:p w14:paraId="044F72EF" w14:textId="77777777" w:rsidR="00093845" w:rsidRDefault="000D779E">
      <w:pPr>
        <w:tabs>
          <w:tab w:val="left" w:pos="720"/>
          <w:tab w:val="left" w:pos="1077"/>
          <w:tab w:val="left" w:pos="1418"/>
        </w:tabs>
        <w:ind w:firstLine="720"/>
        <w:jc w:val="both"/>
        <w:rPr>
          <w:lang w:val="lt-LT"/>
        </w:rPr>
      </w:pPr>
      <w:r>
        <w:rPr>
          <w:lang w:val="lt-LT"/>
        </w:rPr>
        <w:t xml:space="preserve">Užsienio vieneto ne per nuolatinę buveinę faktiškai patirtoms sąnaudoms gali būti priskiriamos ir užsienio vieneto patirtos bendrosios administravimo sąnaudos. Tokios sąnaudos turi būti </w:t>
      </w:r>
      <w:r>
        <w:rPr>
          <w:b/>
          <w:bCs/>
          <w:lang w:val="lt-LT"/>
        </w:rPr>
        <w:t>tiesiogiai</w:t>
      </w:r>
      <w:r>
        <w:rPr>
          <w:lang w:val="lt-LT"/>
        </w:rPr>
        <w:t xml:space="preserve"> susijusios su nuolatine buveine, todėl prie jų negali būti priskiriamos tokios sąnaudos, kaip užsienio vieneto centrinės būstinės pastato eksploatavimo, jo remonto ar pan. išlaidos.</w:t>
      </w:r>
    </w:p>
    <w:p w14:paraId="76F8F065" w14:textId="77777777" w:rsidR="00093845" w:rsidRDefault="000D779E">
      <w:pPr>
        <w:pStyle w:val="Pagrindiniotekstotrauka"/>
        <w:tabs>
          <w:tab w:val="left" w:pos="720"/>
          <w:tab w:val="left" w:pos="1077"/>
          <w:tab w:val="left" w:pos="1418"/>
        </w:tabs>
        <w:ind w:right="23"/>
        <w:rPr>
          <w:rFonts w:ascii="Times New Roman" w:hAnsi="Times New Roman"/>
          <w:color w:val="000000"/>
          <w:lang w:val="lt-LT"/>
        </w:rPr>
      </w:pPr>
      <w:r>
        <w:rPr>
          <w:rFonts w:ascii="Times New Roman" w:hAnsi="Times New Roman"/>
          <w:color w:val="000000"/>
          <w:lang w:val="lt-LT"/>
        </w:rPr>
        <w:t>Pavyzdžiai</w:t>
      </w:r>
    </w:p>
    <w:p w14:paraId="472B4E06"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1.</w:t>
      </w:r>
      <w:r>
        <w:rPr>
          <w:rFonts w:ascii="Times New Roman" w:hAnsi="Times New Roman"/>
          <w:lang w:val="lt-LT"/>
        </w:rPr>
        <w:tab/>
        <w:t>Į Lietuvos Respublikos teritorijoje esančią nuolatinę buveinę vieneriems metams dirbti atvyksta užsienio vieneto darbuotojai. Darbo sutartys sudarytos su užsienio vienetu. Atliekamas darbas yra tiesiogiai susijęs su užsienio vieneto veikla per tą nuolatinę buveinę ir būtinas pajamoms per tą nuolatinę buveinę uždirbti, todėl šiems darbuotojams mokamas darbo užmokestis priskiriamas leidžiamiems atskaitymams, neatsižvelgiant į tai, kas tą darbo užmokestį išmoka – nuolatinė buveinė ar pats užsienio vienetas. Darbuotojų darbo apmokėjimo sąnaudos turi būti pagrįstos dokumentais (pvz., darbo laiko apskaitos dokumentais), įrodančiais, kad šie darbuotojai tikrai dirbo nuolatinėje buveinėje, bei darbo sutarčių ir darbo užmokesčio išmokėjimą patvirtinančių dokumentų kopijomis, patvirtintomis užsienio vieneto atsakingo asmens parašu. Tais atvejais, kai tokiems darbuotojams darbo užmokestį moka pats užsienio vienetas (t.y. jis mokamas ne per užsienio vieneto nuolatinę buveinę), tokias jo išlaidas priskiriant nuolatinės buveinės sąnaudoms, taip pat turi būti pateikiama:</w:t>
      </w:r>
    </w:p>
    <w:p w14:paraId="635D156B"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išrašyti dokumentai apie kiekvieną mėnesį išmokėtą darbo užmokestį; tokiu atveju šios priskiriamos sąnaudos nurodomos litais pagal oficialų lito ir euro kursą arba pagal Lietuvos banko paskutinei atitinkamo mėnesio dienai nustatytą oficialų lito ir užsienio valiutos santykį;</w:t>
      </w:r>
    </w:p>
    <w:p w14:paraId="050B9087"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išrašytas dokumentas apie per visą mokestinį laikotarpį išmokėtą darbo užmokestį; tokiu atveju šios priskiriamos sąnaudos nurodomos litais pagal oficialų lito ir euro kursą arba pagal Lietuvos banko paskutinei to mokestinio laikotarpio dienai nustatytą oficialų lito ir užsienio valiutos santykį.</w:t>
      </w:r>
    </w:p>
    <w:p w14:paraId="27B438AD"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Be to, primename, kad nuo tokių darbo užmokesčio sumų turi būti mokamas pajamų mokestis, atsižvelgiant į Lietuvos Respublikos fizinių asmenų pajamų mokesčio laikinojo įstatymo, galiojančio iki 2002 m. gruodžio 31 d., arba į Lietuvos Respublikos gyventojų pajamų mokesčio įstatymo, galiojančio nuo 2003 m. sausio 1 d., nuostatas. Tačiau, priskiriant išmokėtą darbo užmokestį leidžiamiems atskaitymams, į tai, ar pajamų mokestis buvo sumokėtas, ar nebuvo, neatsižvelgiama.</w:t>
      </w:r>
    </w:p>
    <w:p w14:paraId="47EF101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2.</w:t>
      </w:r>
      <w:r>
        <w:rPr>
          <w:rFonts w:ascii="Times New Roman" w:hAnsi="Times New Roman"/>
          <w:lang w:val="lt-LT"/>
        </w:rPr>
        <w:tab/>
        <w:t>Veiklai per nuolatinę buveinę naudojamas užsienio vieneto turtas. Turtas apdraustas užsienio valstybės draudimo įmonėje, draudimo įmokas moka pats užsienio vienetas. Tokias užsienio vieneto patirtas draudimo išlaidas leidžiama atskaityti skaičiuojant nuolatinės buveinės apmokestinamąjį pelną, tačiau tik to laikotarpio, kai užsienio vieneto turtas, dėl kurio buvo patirtos draudimo išlaidos, buvo naudojamas pajamoms per nuolatinę buveinę uždirbti ar ekonominei naudai gauti. Atskaitomos išlaidos turi būti pagrindžiamos dokumentais arba jų kopijomis, patvirtintomis užsienio vieneto atsakingo asmens parašu. Tais atvejais, kai draudimo įmokas moka pats užsienio vienetas (t.y. jos mokamos ne per užsienio vieneto nuolatinę buveinę), tokias jo išlaidas priskiriant nuolatinės buveinės sąnaudoms, taip pat turi būti pateikiama:</w:t>
      </w:r>
    </w:p>
    <w:p w14:paraId="394890D4"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w:t>
      </w:r>
      <w:r>
        <w:rPr>
          <w:rFonts w:ascii="Times New Roman" w:hAnsi="Times New Roman"/>
          <w:lang w:val="lt-LT"/>
        </w:rPr>
        <w:tab/>
        <w:t>arba užsienio vieneto išrašyti dokumentai apie kiekvieną mėnesį sumokėtas draudimo įmokas; tokiu atveju šios priskiriamos sąnaudos nurodomos litais pagal oficialų lito ir euro kursą arba pagal Lietuvos banko paskutinei atitinkamo mėnesio dienai nustatytą oficialų lito ir užsienio valiutos santykį;</w:t>
      </w:r>
    </w:p>
    <w:p w14:paraId="2FE8EC62"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t>arba užsienio vieneto išrašytas dokumentas apie per visą mokestinį laikotarpį sumokėtų draudimo įmokų sumą; tokiu atveju šios priskiriamos sąnaudos nurodomos litais pagal oficialų lito ir euro kursą arba pagal Lietuvos banko paskutinei to mokestinio laikotarpio dienai nustatytą oficialų lito ir užsienio valiutos santykį.</w:t>
      </w:r>
    </w:p>
    <w:p w14:paraId="15C13D80"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3.</w:t>
      </w:r>
      <w:r>
        <w:rPr>
          <w:rFonts w:ascii="Times New Roman" w:hAnsi="Times New Roman"/>
          <w:lang w:val="lt-LT"/>
        </w:rPr>
        <w:tab/>
        <w:t>Nuolatinė buveinė pajamoms uždirbti naudoja užsienio vieneto įsigytą ilgalaikį turtą. Tokio užsienio vieneto įsigyto ilgalaikio turto nusidėvėjimas gali būti atskaitomas, apskaičiuojant nuolatinės buveinės apmokestinamąjį pelną, tačiau tik to laikotarpio, kurį toks turtas naudojamas pajamoms per nuolatinę buveinę uždirbti, ir atsižvelgiant į PMĮ 18–20 straipsnių nuostatas.</w:t>
      </w:r>
    </w:p>
    <w:p w14:paraId="31611F6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Pagal PMĮ 14 straipsnio 1 dalį „turto įsigijimo kaina – išlaidos, patirtos įsigyjant turtą, įskaitant sumokėtus komisinius atlyginimus bei mokesčius (rinkliavas), išskyrus Pridėtinės vertės mokestį, susijusius su šio turto įsigijimu“. Ši nuostata taikoma ir tuo atveju, kai nuolatinės buveinės naudojamą turtą įsigyja pats užsienio vienetas, tačiau visos tokios išlaidos turi būti pagrindžiamos dokumentais arba jų kopijomis, patvirtintomis užsienio vieneto atsakingo asmens parašu. Jeigu nuolatinei buveinei užsienio vienetas perduoda ilgalaikį turtą, kurio nusidėvėjimas jau buvo skaičiuotas, tai iš turto įsigijimo kainos turi būti atimama to turto jau sukaupto nusidėvėjimo suma. Ilgalaikio turto įsigijimo kaina, atskaičius sukauptą nusidėvėjimą, nuo kurios nuolatinė buveinė pati skaičiuoja nusidėvėjimą (balansinė vertė), turi būti nurodoma litais pagal oficialų lito ir euro kursą arba Lietuvos banko to turto perdavimo nuolatinei buveinei dienai nustatytą oficialų lito ir užsienio valiutos santykį.</w:t>
      </w:r>
    </w:p>
    <w:p w14:paraId="75FFA72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nuolatinė buveinė perima užsienio vieneto jau naudotą ilgalaikį turtą, ji turi nusistatyti jo nusidėvėjimo (amortizacijos) laikotarpį, ne trumpesnį, negu PMĮ 1 priedėlyje nustatyti nusidėvėjimo (amortizacijos) normatyvai (metais), tačiau toks nusistatytas laikotarpis mažinamas atitinkamu mėnesių skaičiumi, kuriuo tas ilgalaikis turtas buvo naudojamas užsienio vienete iki jį perduodant tai nuolatinei buveinei.</w:t>
      </w:r>
    </w:p>
    <w:p w14:paraId="6BBDA950"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4.</w:t>
      </w:r>
      <w:r>
        <w:rPr>
          <w:rFonts w:ascii="Times New Roman" w:hAnsi="Times New Roman"/>
          <w:lang w:val="lt-LT"/>
        </w:rPr>
        <w:tab/>
        <w:t xml:space="preserve">Užsienio vieneto pagrindinės buveinės darbuotojai siunčiami dviem savaitėm į komandiruotę į Lietuvos Respublikos teritorijoje esančią nuolatinę buveinę. Jeigu tokių darbuotojų darbas yra reikalingas pajamoms per nuolatinę buveinę uždirbti ar ekonominei naudai gauti, tai užsienio vieneto ne per nuolatinę buveinę faktiškai patirtos tokių komandiruočių sąnaudos atimamos skaičiuojant nuolatinės buveinės apmokestinamąjį pelną, tačiau tokie atskaitymai, remiantis PMĮ 17 str. 2 d. 3 punktu ir 21 straipsniu, yra ribojamo dydžio. </w:t>
      </w:r>
    </w:p>
    <w:p w14:paraId="661549FC" w14:textId="77777777" w:rsidR="00093845" w:rsidRDefault="000D779E">
      <w:pPr>
        <w:pBdr>
          <w:left w:val="single" w:sz="4" w:space="4" w:color="auto"/>
          <w:right w:val="single" w:sz="4" w:space="4" w:color="auto"/>
        </w:pBdr>
        <w:tabs>
          <w:tab w:val="left" w:pos="720"/>
          <w:tab w:val="left" w:pos="1077"/>
          <w:tab w:val="left" w:pos="1418"/>
        </w:tabs>
        <w:ind w:right="21" w:firstLine="720"/>
        <w:jc w:val="both"/>
        <w:rPr>
          <w:lang w:val="lt-LT"/>
        </w:rPr>
      </w:pPr>
      <w:r>
        <w:rPr>
          <w:lang w:val="lt-LT"/>
        </w:rPr>
        <w:t xml:space="preserve">Su tokios komandiruotės tikslais susijusios kelionės išlaidos ir gyvenamojo ploto nuomos išlaidos atlyginamos pagal faktines išlaidas. Leidžiamos atskaityti dienpinigių normos nustatomos, remiantis užsienio vieneto valstybės nustatytais vidaus teisės aktais. Komandiruočių išlaidos turi būti pagrįstos komandiruočių įsakymais bei komandiruočių išlaidas patvirtinančiais dokumentais arba šių dokumentų kopijomis, patvirtintomis užsienio vieneto atsakingo asmens parašu. </w:t>
      </w:r>
    </w:p>
    <w:p w14:paraId="59C4465A"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5.</w:t>
      </w:r>
      <w:r>
        <w:rPr>
          <w:rFonts w:ascii="Times New Roman" w:hAnsi="Times New Roman"/>
          <w:lang w:val="lt-LT"/>
        </w:rPr>
        <w:tab/>
        <w:t>Užsienio vienetas su Lietuvos vienetu sudarė sutartį uosto sutvarkymo darbams atlikti. Darbai vykdomi per užsienio vieneto nuolatinę buveinę Lietuvos Respublikos teritorijoje. Tačiau daliai sutartyje numatytų darbų (uosto gilinimo darbams) atlikimui užsienio vienetas (generalinis rangovas) sudarė antrą sutartį su kitu užsienio vienetu (subrangovu). Už šiuos darbus generalinis rangovas su subrangovu atsiskaito pats, t.y. ne per nuolatinę buveinę.</w:t>
      </w:r>
    </w:p>
    <w:p w14:paraId="59CBC38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Išlaidas, kurias patyrė užsienio vienetas, atsiskaitydamas su subrangovu, galima atimti skaičiuojant nuolatinės buveinės apmokestinamąjį pelną, tačiau tik tuo atveju, jeigu pajamos, uždirbtos subrangovui atliekant darbus, priskiriamos nuolatinės buveinės pajamoms. Atskaitomos išlaidos turi būti pagrindžiamos dokumentais, patvirtinančiais darbų atlikimą (užsienio vieneto su subrangovu sudaryta sutartimi, darbų atlikimo aktu, pateiktomis sąskaitomis ir pan.) arba jų kopijomis, patvirtintomis užsienio vieneto atsakingo asmens parašu.</w:t>
      </w:r>
    </w:p>
    <w:p w14:paraId="791A2F1F" w14:textId="77777777" w:rsidR="00093845" w:rsidRDefault="00093845">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p>
    <w:p w14:paraId="7C8EA0DC"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6.</w:t>
      </w:r>
      <w:r>
        <w:rPr>
          <w:rFonts w:ascii="Times New Roman" w:hAnsi="Times New Roman"/>
          <w:lang w:val="lt-LT"/>
        </w:rPr>
        <w:tab/>
        <w:t xml:space="preserve">Į Lietuvos Respublikos teritorijoje esančią nuolatinę buveinę vieneriems metams dirbti atvyksta užsienio vieneto darbuotojai. Jų darbas yra tiesiogiai susijęs su ta nuolatine buveine ir būtinas jos pajamoms uždirbti. Darbo sutartys sudarytos su užsienio vienetu, kuris tiems darbuotojams moka ne tik darbo užmokestį, bet ir pensinio draudimo įmokas toje pat užsienio valstybėje esančiai draudimo įmonei. </w:t>
      </w:r>
    </w:p>
    <w:p w14:paraId="06BE07A5"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Tokios užsienio vieneto faktiškai patirtos įmokų darbuotojų naudai sąnaudos atimamos skaičiuojant nuolatinės buveinės apmokestinamąjį pelną, bet tik to laikotarpio, kurį tie darbuotojai dirbo nuolatinėje buveinėje. Tačiau tokie atskaitymai, remiantis PMĮ 17 str. 2 d. 8 punktu, yra ribojamo dydžio. PMĮ 21 straipsnyje nustatyta, kad tokių atskaitomų pensinio draudimo įmokų suma turi neviršyti 25 proc. per mokestinį laikotarpį kiekvienam darbuotojui apskaičiuotų su darbo santykiais susijusių pajamų, ir draudimo įmonė neturi būti įregistruota ar kitaip organizuota tikslinėje teritorijoje. Tikslinės teritorijos sąvoka apibrėžta PMĮ 2 str. 23 dalyje.</w:t>
      </w:r>
    </w:p>
    <w:p w14:paraId="4337F1D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Atskaitomos išlaidos turi būti pagrindžiamos sutartimi, pagal kurią mokamos draudimo įmokos, bei dokumentais, patvirtinančiais, kad tokios įmokos buvo mokamos, arba jų kopijomis, patvirtintomis užsienio vieneto atsakingo asmens parašu.</w:t>
      </w:r>
    </w:p>
    <w:p w14:paraId="5444FDEC"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7.</w:t>
      </w:r>
      <w:r>
        <w:rPr>
          <w:rFonts w:ascii="Times New Roman" w:hAnsi="Times New Roman"/>
          <w:lang w:val="lt-LT"/>
        </w:rPr>
        <w:tab/>
        <w:t>Užsienio vieneto per nuolatinę buveinę vykdomiems darbams atlikti reikalingi specialistai. Kadangi užsienio vienetas pats tokių specialistų neturi, jis su kitu užsienio vienetu sudaro sutartį (</w:t>
      </w:r>
      <w:r>
        <w:rPr>
          <w:rFonts w:ascii="Times New Roman" w:hAnsi="Times New Roman"/>
          <w:i/>
          <w:iCs/>
          <w:lang w:val="lt-LT"/>
        </w:rPr>
        <w:t>secondment agreement</w:t>
      </w:r>
      <w:r>
        <w:rPr>
          <w:rFonts w:ascii="Times New Roman" w:hAnsi="Times New Roman"/>
          <w:lang w:val="lt-LT"/>
        </w:rPr>
        <w:t xml:space="preserve">, </w:t>
      </w:r>
      <w:r>
        <w:rPr>
          <w:rFonts w:ascii="Times New Roman" w:hAnsi="Times New Roman"/>
          <w:i/>
          <w:iCs/>
          <w:lang w:val="lt-LT"/>
        </w:rPr>
        <w:t xml:space="preserve">loan staff agreement </w:t>
      </w:r>
      <w:r>
        <w:rPr>
          <w:rFonts w:ascii="Times New Roman" w:hAnsi="Times New Roman"/>
          <w:lang w:val="lt-LT"/>
        </w:rPr>
        <w:t>arba pan</w:t>
      </w:r>
      <w:r>
        <w:rPr>
          <w:rFonts w:ascii="Times New Roman" w:hAnsi="Times New Roman"/>
          <w:i/>
          <w:iCs/>
          <w:lang w:val="lt-LT"/>
        </w:rPr>
        <w:t>.</w:t>
      </w:r>
      <w:r>
        <w:rPr>
          <w:rFonts w:ascii="Times New Roman" w:hAnsi="Times New Roman"/>
          <w:lang w:val="lt-LT"/>
        </w:rPr>
        <w:t xml:space="preserve">), pagal kurią to kito užsienio vieneto specialistai vyksta dirbti į Lietuvos Respublikos teritorijoje esančią nuolatinę buveinę. Užsienio vieneto faktiškai patirtos sąnaudos, susijusios su tokių specialistų darbo apmokėjimu, atvykimu į nuolatinę buveinę, išvykimu atgal bei pan., skaičiuojant nuolatinės buveinės apmokestinamąjį pelną, priskiriamos leidžiamiems atskaitymams, jeigu tokių specialistų atliekamas darbas yra tiesiogiai susijęs su nuolatine buveine ir būtinas jos pajamoms uždirbti ir jeigu sudarytoje sutartyje buvo numatyta, kad tokias išlaidas padengs užsienio vienetas, į kurio nuolatinę buveinę dirbti vyksta pasamdytieji specialistai. Atskaitomos išlaidos turi būti pagrindžiamos dokumentais arba jų kopijomis, patvirtintomis užsienio vieneto atsakingo asmens parašu. </w:t>
      </w:r>
    </w:p>
    <w:p w14:paraId="75CE3181"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8.</w:t>
      </w:r>
      <w:r>
        <w:rPr>
          <w:rFonts w:ascii="Times New Roman" w:hAnsi="Times New Roman"/>
          <w:lang w:val="lt-LT"/>
        </w:rPr>
        <w:tab/>
        <w:t>Užsienio vienetas per Lietuvos Respublikoje esančią nuolatinę buveinę vykdo prekybinę veiklą – Lietuvoje ir užsienio valstybėse parduoda prekes, kurias tas užsienio vienetas pats perka ir iš Lietuvos vienetų, ir iš kitų užsienio vienetų. Jeigu visų šių prekių pardavimo pajamos priskiriamos tos nuolatinės buveinės uždirbtoms pajamoms, tai skaičiuojant nuolatinės buveinės apmokestinamąjį pelną leidžiamiems atskaitymams gali būti priskiriama šių prekių įsigijimo savikaina, apskaičiuota litais pagal oficialų lito ir euro kursą arba Lietuvos banko tų prekių nuosavybės įsigijimo dienai nustatytą oficialų lito ir užsienio valiutos santykį. Prekių įsigijimas iš Lietuvos vienetų turi būti pagrįstas juridinę galią turinčiais dokumentais (arba jų kopijomis, patvirtintomis užsienio vieneto atsakingo asmens), išrašytais užsienio vienetui, o prekių įsigijimas iš užsienio vienetų turi būti pagrįstas tų užsienio vienetų surašytais dokumentais (arba jų kopijomis, patvirtintomis užsienio vieneto atsakingo asmens). Jeigu prekės buvo įvežtos į Lietuvos muitų teritoriją, jų įsigijimas turi būti papildomai pagrįstas importo deklaracijomis.</w:t>
      </w:r>
    </w:p>
    <w:p w14:paraId="024E1BDA" w14:textId="77777777" w:rsidR="00093845" w:rsidRDefault="000D779E">
      <w:pPr>
        <w:tabs>
          <w:tab w:val="left" w:pos="720"/>
          <w:tab w:val="left" w:pos="1077"/>
          <w:tab w:val="left" w:pos="1418"/>
        </w:tabs>
        <w:ind w:firstLine="720"/>
        <w:jc w:val="both"/>
        <w:rPr>
          <w:lang w:val="lt-LT"/>
        </w:rPr>
      </w:pPr>
      <w:r>
        <w:rPr>
          <w:lang w:val="lt-LT"/>
        </w:rPr>
        <w:t>6.</w:t>
      </w:r>
      <w:r>
        <w:rPr>
          <w:lang w:val="lt-LT"/>
        </w:rPr>
        <w:tab/>
        <w:t xml:space="preserve">Skaičiuojant nuolatinės buveinės mokestinio laikotarpio apmokestinamąjį pelną, užsienio vieneto ne per nuolatinę buveinę faktiškai patirtos sąnaudos atimamos tik turint tokius sąnaudas pagrindžiančius dokumentus: </w:t>
      </w:r>
    </w:p>
    <w:p w14:paraId="098F2296" w14:textId="77777777" w:rsidR="00093845" w:rsidRDefault="000D779E">
      <w:pPr>
        <w:tabs>
          <w:tab w:val="left" w:pos="720"/>
          <w:tab w:val="left" w:pos="1077"/>
          <w:tab w:val="left" w:pos="1418"/>
        </w:tabs>
        <w:ind w:firstLine="720"/>
        <w:jc w:val="both"/>
        <w:rPr>
          <w:lang w:val="lt-LT"/>
        </w:rPr>
      </w:pPr>
      <w:r>
        <w:rPr>
          <w:lang w:val="lt-LT"/>
        </w:rPr>
        <w:t>-</w:t>
      </w:r>
      <w:r>
        <w:rPr>
          <w:lang w:val="lt-LT"/>
        </w:rPr>
        <w:tab/>
        <w:t>užsienio vieneto metinės finansinės atskaitomybės (arba panašios atskaitomybės, kaip tai numatyta pagal tos užsienio valstybės įstatymus), patvirtintos vieneto vadovo ir finansininko arba jų įgaliotų asmenų, kopija,</w:t>
      </w:r>
    </w:p>
    <w:p w14:paraId="532E844C" w14:textId="77777777" w:rsidR="00093845" w:rsidRDefault="000D779E" w:rsidP="00EC4E29">
      <w:pPr>
        <w:numPr>
          <w:ilvl w:val="0"/>
          <w:numId w:val="25"/>
        </w:numPr>
        <w:tabs>
          <w:tab w:val="left" w:pos="720"/>
          <w:tab w:val="left" w:pos="1440"/>
        </w:tabs>
        <w:ind w:left="0" w:firstLine="720"/>
        <w:jc w:val="both"/>
        <w:rPr>
          <w:lang w:val="lt-LT"/>
        </w:rPr>
      </w:pPr>
      <w:r>
        <w:rPr>
          <w:lang w:val="lt-LT"/>
        </w:rPr>
        <w:lastRenderedPageBreak/>
        <w:t>skirstomųjų sąnaudų detalizuotas sąrašas,</w:t>
      </w:r>
    </w:p>
    <w:p w14:paraId="3A964419" w14:textId="77777777" w:rsidR="00093845" w:rsidRDefault="000D779E" w:rsidP="00EC4E29">
      <w:pPr>
        <w:numPr>
          <w:ilvl w:val="0"/>
          <w:numId w:val="25"/>
        </w:numPr>
        <w:tabs>
          <w:tab w:val="left" w:pos="720"/>
          <w:tab w:val="left" w:pos="1440"/>
        </w:tabs>
        <w:ind w:left="0" w:firstLine="720"/>
        <w:jc w:val="both"/>
        <w:rPr>
          <w:lang w:val="lt-LT"/>
        </w:rPr>
      </w:pPr>
      <w:r>
        <w:rPr>
          <w:lang w:val="lt-LT"/>
        </w:rPr>
        <w:t>sąnaudų paskirstymo apskaičiavimas.</w:t>
      </w:r>
    </w:p>
    <w:p w14:paraId="31BF3E3C" w14:textId="77777777" w:rsidR="00093845" w:rsidRDefault="000D779E">
      <w:pPr>
        <w:tabs>
          <w:tab w:val="left" w:pos="720"/>
          <w:tab w:val="left" w:pos="1077"/>
          <w:tab w:val="left" w:pos="1418"/>
        </w:tabs>
        <w:ind w:firstLine="720"/>
        <w:jc w:val="both"/>
        <w:rPr>
          <w:lang w:val="lt-LT"/>
        </w:rPr>
      </w:pPr>
      <w:r>
        <w:rPr>
          <w:lang w:val="lt-LT"/>
        </w:rPr>
        <w:t>Mokesčių administratoriui paprašius, turi būti pateikiamas ir šių dokumentų vertimas į lietuvių kalbą bei jų originalai.</w:t>
      </w:r>
    </w:p>
    <w:p w14:paraId="10C364C2" w14:textId="77777777" w:rsidR="00093845" w:rsidRDefault="000D779E">
      <w:pPr>
        <w:tabs>
          <w:tab w:val="left" w:pos="720"/>
          <w:tab w:val="left" w:pos="1077"/>
          <w:tab w:val="left" w:pos="1418"/>
        </w:tabs>
        <w:ind w:firstLine="720"/>
        <w:jc w:val="both"/>
        <w:rPr>
          <w:lang w:val="lt-LT"/>
        </w:rPr>
      </w:pPr>
      <w:r>
        <w:rPr>
          <w:lang w:val="lt-LT"/>
        </w:rPr>
        <w:t>Apskaičiuotos ir, skaičiuojant nuolatinės buveinės apmokestinamąjį pelną, atimamos užsienio vieneto ne per nuolatinę buveinę faktiškai patirtos tiesiogiai su ta nuolatine buveine susijusios sąnaudos turi būti nurodomos litais pagal oficialų lito ir euro kursą arba pagal Lietuvos banko paskutinei mokestinio laikotarpio dienai nustatytą oficialų lito ir užsienio valiutos santykį arba, jeigu užsienio vienetas kiekvieną mėnesį išrašo dokumentus apie jo paties faktiškai patirtas tiesiogiai su ta nuolatine buveine susijusias sąnaudas, tai tokios sąnaudos gali būti nurodomos litais pagal Lietuvos banko paskutinei atitinkamo mėnesio dienai nustatytą oficialų lito ir užsienio valiutos santykį.</w:t>
      </w:r>
    </w:p>
    <w:p w14:paraId="32FD1B9A" w14:textId="77777777" w:rsidR="00093845" w:rsidRDefault="000D779E">
      <w:pPr>
        <w:tabs>
          <w:tab w:val="left" w:pos="720"/>
          <w:tab w:val="left" w:pos="1077"/>
          <w:tab w:val="left" w:pos="1418"/>
        </w:tabs>
        <w:ind w:firstLine="720"/>
        <w:jc w:val="both"/>
        <w:rPr>
          <w:lang w:val="lt-LT"/>
        </w:rPr>
      </w:pPr>
      <w:r>
        <w:rPr>
          <w:lang w:val="lt-LT"/>
        </w:rPr>
        <w:t>7.</w:t>
      </w:r>
      <w:r>
        <w:rPr>
          <w:lang w:val="lt-LT"/>
        </w:rPr>
        <w:tab/>
        <w:t>Apskaičiuojant nuolatinės buveinės pelną, to užsienio vieneto ne per tą nuolatinę buveinę faktiškai patirtas sąnaudas, tiesiogiai susijusias su ta nuolatine buveine, arba jų dalį, nustatomą proporcingai pagal užsienio vieneto visų pajamų ir tos nuolatinės buveinės pajamų santykį, iš jos uždirbtų pajamų galima atimti tik tada, jeigu:</w:t>
      </w:r>
    </w:p>
    <w:p w14:paraId="3318B478"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apskaičiuojant užsienio vieneto apmokestinamąjį pelną tos sąnaudos atskaitomos tik vieną kartą ir </w:t>
      </w:r>
    </w:p>
    <w:p w14:paraId="55D02B0C" w14:textId="77777777" w:rsidR="00093845" w:rsidRDefault="000D779E">
      <w:pPr>
        <w:tabs>
          <w:tab w:val="left" w:pos="720"/>
          <w:tab w:val="left" w:pos="1077"/>
          <w:tab w:val="left" w:pos="1418"/>
        </w:tabs>
        <w:ind w:firstLine="720"/>
        <w:jc w:val="both"/>
        <w:rPr>
          <w:lang w:val="lt-LT"/>
        </w:rPr>
      </w:pPr>
      <w:r>
        <w:rPr>
          <w:lang w:val="lt-LT"/>
        </w:rPr>
        <w:t>-</w:t>
      </w:r>
      <w:r>
        <w:rPr>
          <w:lang w:val="lt-LT"/>
        </w:rPr>
        <w:tab/>
        <w:t>tas užsienio vienetas nėra įregistruotas ar kitaip organizuotas tikslinėje teritorijoje. Tikslinės teritorijos sąvoka aprašyta PMĮ 2 str. 33 dalies komentare.</w:t>
      </w:r>
    </w:p>
    <w:p w14:paraId="2E1041D4" w14:textId="77777777" w:rsidR="00093845" w:rsidRDefault="000D779E">
      <w:pPr>
        <w:tabs>
          <w:tab w:val="left" w:pos="720"/>
          <w:tab w:val="left" w:pos="1077"/>
          <w:tab w:val="left" w:pos="1418"/>
        </w:tabs>
        <w:ind w:firstLine="720"/>
        <w:jc w:val="both"/>
        <w:rPr>
          <w:lang w:val="lt-LT"/>
        </w:rPr>
      </w:pPr>
      <w:r>
        <w:rPr>
          <w:lang w:val="lt-LT"/>
        </w:rPr>
        <w:t>8.</w:t>
      </w:r>
      <w:r>
        <w:rPr>
          <w:lang w:val="lt-LT"/>
        </w:rPr>
        <w:tab/>
        <w:t>Skaičiuojant nuolatinės buveinės pelną, iš jos uždirbtų pajamų negali būti atimamos sąnaudos, kurios yra:</w:t>
      </w:r>
    </w:p>
    <w:p w14:paraId="40BA2D05" w14:textId="77777777" w:rsidR="00093845" w:rsidRDefault="000D779E" w:rsidP="00EC4E29">
      <w:pPr>
        <w:numPr>
          <w:ilvl w:val="0"/>
          <w:numId w:val="25"/>
        </w:numPr>
        <w:tabs>
          <w:tab w:val="left" w:pos="720"/>
          <w:tab w:val="left" w:pos="1440"/>
        </w:tabs>
        <w:ind w:left="0" w:firstLine="720"/>
        <w:jc w:val="both"/>
        <w:rPr>
          <w:lang w:val="lt-LT"/>
        </w:rPr>
      </w:pPr>
      <w:r>
        <w:rPr>
          <w:lang w:val="lt-LT"/>
        </w:rPr>
        <w:t>PMĮ 31 straipsnyje nustatyti neleidžiami atskaitymai;</w:t>
      </w:r>
    </w:p>
    <w:p w14:paraId="415DEBD6"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 xml:space="preserve">užsienio vieneto faktiškai patirtos sąnaudos, susijusios su jo nuolatinės buveinės valdymu (sprendimų dėl užsienio vieneto veiklos priėmimu). Tai sąnaudos, susijusios su sprendimų dėl bendros viso užsienio vieneto veiklos, o ne konkrečios veiklos per nuolatinę buveinę, priėmimu, pvz., atlyginimai, mokami direktorių valdybos nariams; </w:t>
      </w:r>
    </w:p>
    <w:p w14:paraId="4B2D5479"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palūkanos, kurias nuolatinė buveinė moka savo užsienio vienetui. Šios nuostatos tikslams sąvoka “palūkanos” vartojama sąlyginai, kadangi užsienio vienetas ir jo nuolatinė buveinė yra tas pats juridinis asmuo, o dėl vieno juridinio asmens negali atsirasti jokio skolinio įsipareigojimo. Todėl pagal šias nuostatas “palūkanomis” ir neleidžiamais atskaitymais laikomi užsienio vieneto, vykdančio veiklą per nuolatinę buveinę, pinigų pervedimai į pagrindinę buveinę, tikslu sumažinti Lietuvoje apmokestinamą pelną.</w:t>
      </w:r>
    </w:p>
    <w:p w14:paraId="250E76BB" w14:textId="77777777" w:rsidR="00093845" w:rsidRDefault="000D779E">
      <w:pPr>
        <w:tabs>
          <w:tab w:val="left" w:pos="720"/>
          <w:tab w:val="left" w:pos="1077"/>
          <w:tab w:val="left" w:pos="1418"/>
        </w:tabs>
        <w:ind w:firstLine="720"/>
        <w:jc w:val="both"/>
        <w:rPr>
          <w:i/>
          <w:iCs/>
          <w:lang w:val="lt-LT"/>
        </w:rPr>
      </w:pPr>
      <w:r>
        <w:rPr>
          <w:lang w:val="lt-LT"/>
        </w:rPr>
        <w:t xml:space="preserve">Ši nuostata netaikoma, jeigu užsienio vienetas, vykdantis veiklą per nuolatinę buveinę Lietuvos Respublikoje, yra kredito įstaiga </w:t>
      </w:r>
      <w:r>
        <w:rPr>
          <w:bCs/>
          <w:lang w:val="lt-LT"/>
        </w:rPr>
        <w:t>ir</w:t>
      </w:r>
      <w:r>
        <w:rPr>
          <w:lang w:val="lt-LT"/>
        </w:rPr>
        <w:t xml:space="preserve"> palūkanos mokamos už to užsienio vieneto (kredito įstaigos) kapitalo naudojimą nuolatinės buveinės pajamoms uždirbti ar ekonominei naudai gauti, ir tokios palūkanos yra apmokestintos prie pajamų šaltinio. Pagal pastarąsias nuostatas neleidžiamais atskaitymais būtų laikomi mokėjimai (“palūkanos”) už veiklai per nuolatinę buveinę priskirtas užsienio valstybės kredito įstaigos lėšas, kurios yra tos užsienio valstybės kredito įstaigos nuosavos lėšos, t.y. kurios nėra skolinis įsipareigojimas, už kurį mokamos palūkanos. Minimalų veiklai per nuolatinę buveinę priskiriamų lėšų reikalavimą nustato kredito įstaigų veiklą reglamentuojantys teisės aktai, tačiau užsienio valstybės kredito įstaiga, atsižvelgdama į veiklai per nuolatinę buveinę Lietuvos Respublikoje priskiriamas funkcijas ir kitus kredito įstaigų veiklą įtakojančius rodiklius, gali priskirti jai didesnę nuosavų lėšų dalį, už kurią palūkanos negali būti mokamos ir todėl nepripažįstamos leidžiamais atskaitymais apskaičiuojant veiklos per nuolatinę buveinę apmokestinamąjį pelną. </w:t>
      </w:r>
    </w:p>
    <w:p w14:paraId="36EDB66E" w14:textId="77777777" w:rsidR="00093845" w:rsidRDefault="000D779E">
      <w:pPr>
        <w:tabs>
          <w:tab w:val="left" w:pos="720"/>
          <w:tab w:val="left" w:pos="1077"/>
          <w:tab w:val="left" w:pos="1418"/>
        </w:tabs>
        <w:ind w:firstLine="720"/>
        <w:jc w:val="both"/>
        <w:rPr>
          <w:lang w:val="lt-LT"/>
        </w:rPr>
      </w:pPr>
      <w:r>
        <w:rPr>
          <w:lang w:val="lt-LT"/>
        </w:rPr>
        <w:lastRenderedPageBreak/>
        <w:t>Palūkanos, mokamos užsienio kredito įstaigai už jos lėšų, viršijančių veiklai per nuolatinę buveinę priskirtiną nuosavų lėšų dalį, laikomos leidžiamais atskaitymais apskaičiuojant tos užsienio kredito įstaigos veiklos per nuolatinę buveinę apmokestinamąjį pelną tik tuo atveju, jei jos apmokestinamos prie pajamų šaltinio PMĮ nustatyta tvarka. Jei PMĮ nenustato (pvz., PMĮ 58 str. 13 dalis) tokių palūkanų apmokestinimo prie pajamų šaltinio, jos taip pat laikomos leidžiamais atskaitymais.</w:t>
      </w:r>
    </w:p>
    <w:p w14:paraId="587C7346" w14:textId="77777777" w:rsidR="00093845" w:rsidRDefault="000D779E">
      <w:pPr>
        <w:pStyle w:val="Pagrindiniotekstotrauka"/>
        <w:tabs>
          <w:tab w:val="left" w:pos="720"/>
          <w:tab w:val="left" w:pos="1077"/>
          <w:tab w:val="left" w:pos="1418"/>
        </w:tabs>
        <w:ind w:right="23"/>
        <w:rPr>
          <w:rFonts w:ascii="Times New Roman" w:hAnsi="Times New Roman"/>
          <w:lang w:val="lt-LT"/>
        </w:rPr>
      </w:pPr>
      <w:r>
        <w:rPr>
          <w:rFonts w:ascii="Times New Roman" w:hAnsi="Times New Roman"/>
          <w:lang w:val="lt-LT"/>
        </w:rPr>
        <w:t>Pavyzdžiai</w:t>
      </w:r>
    </w:p>
    <w:p w14:paraId="395F320D"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1.</w:t>
      </w:r>
      <w:r>
        <w:rPr>
          <w:rFonts w:ascii="Times New Roman" w:hAnsi="Times New Roman"/>
          <w:lang w:val="lt-LT"/>
        </w:rPr>
        <w:tab/>
        <w:t>Užsienio vienetas (kuris nėra kredito įstaiga) Lietuvos Respublikos teritorijoje esančiai savo nuolatinei buveinei "suteikė paskolą” (pvz., į Lietuvos Respublikoje veiklos per nuolatinę buveinę tikslais atidarytą sąskaitą pervedė pinigus), už kurią buvo įsigyti įrengimai, naudojami vykdant veiklą per nuolatinę buveinę. Apskaičiuojant užsienio vieneto veiklos per nuolatinę buveinę apmokestinamąjį pelną, remiantis Lietuvos Respublikos Vyriausybės 2002 m. kovo 5 d. nutarimo Nr. 321 6.3 punktu, tokia “suteikta paskola” nepripažįstama skoliniu įsipareigojimu ir bet kokios išmokos („palūkanos“) užsienio vienetui už taip gautas lėšas nėra laikomos leidžiamais atskaitymais.</w:t>
      </w:r>
    </w:p>
    <w:p w14:paraId="140FEC99"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23"/>
        <w:rPr>
          <w:rFonts w:ascii="Times New Roman" w:hAnsi="Times New Roman"/>
          <w:lang w:val="lt-LT"/>
        </w:rPr>
      </w:pPr>
      <w:r>
        <w:rPr>
          <w:rFonts w:ascii="Times New Roman" w:hAnsi="Times New Roman"/>
          <w:lang w:val="lt-LT"/>
        </w:rPr>
        <w:t>2.</w:t>
      </w:r>
      <w:r>
        <w:rPr>
          <w:rFonts w:ascii="Times New Roman" w:hAnsi="Times New Roman"/>
          <w:lang w:val="lt-LT"/>
        </w:rPr>
        <w:tab/>
        <w:t xml:space="preserve">Nuolatinė buveinė (Lietuvoje registruotas užsienio banko filialas) moka savo užsienio vienetui (užsienio valstybėje esančiam bankui) palūkanas. </w:t>
      </w:r>
    </w:p>
    <w:p w14:paraId="41F4752F"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šios palūkanos mokamos už paskolą, kurią užsienio bankas yra paėmęs iš kito vieneto nuolatinės buveinės tikslams, tai, remiantis Lietuvos Respublikos Vyriausybės 2002 m. kovo 5 d. nutarimo Nr. 321 3.2.1 punktu, tokios palūkanos laikomos leidžiamais atskaitymais.</w:t>
      </w:r>
    </w:p>
    <w:p w14:paraId="5A40707A"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21"/>
        <w:rPr>
          <w:rFonts w:ascii="Times New Roman" w:hAnsi="Times New Roman"/>
          <w:lang w:val="lt-LT"/>
        </w:rPr>
      </w:pPr>
      <w:r>
        <w:rPr>
          <w:rFonts w:ascii="Times New Roman" w:hAnsi="Times New Roman"/>
          <w:lang w:val="lt-LT"/>
        </w:rPr>
        <w:t>Jeigu šios palūkanos mokamos už naudojimąsi užsienio banko kapitalu, remiantis Lietuvos Respublikos Vyriausybės 2002 m. kovo 5 d. nutarimo Nr. 321 6.3 punktu, tokios palūkanos laikomos leidžiamais atskaitymais tik tuo atveju, jeigu jos mokamos ne už veiklai per nuolatinę buveinę, t.y. Lietuvoje registruotam užsienio banko filialui, priskirto užsienio banko nuosavo (laisvojo) kapitalo dalį ir atitinka PMĮ 37 straipsnyje nustatytus reikalavimus.</w:t>
      </w:r>
    </w:p>
    <w:p w14:paraId="7527E171"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autorinis atlyginimas (įskaitant atlyginimą už suteiktas gretutines teises), kurį nuolatinė buveinė moka savo užsienio vienetui, jeigu jis pats yra tokio atlyginimo galutinis gavėjas, t.y., jeigu tam užsienio vienetui priklauso autorių ar gretutinės teisės;</w:t>
      </w:r>
    </w:p>
    <w:p w14:paraId="1600A630"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atlyginimas už suteiktą teisę naudotis pramoninės nuosavybės objektu, frančize, kurį nuolatinė buveinė moka savo užsienio vienetui, jeigu jis pats yra tokio atlyginimo galutinis gavėjas, t.y., jeigu tas užsienio vienetas yra pramoninės nuosavybės objekto ar frančizės savininkas;</w:t>
      </w:r>
    </w:p>
    <w:p w14:paraId="31F435E9" w14:textId="77777777" w:rsidR="00093845" w:rsidRDefault="000D779E" w:rsidP="00EC4E29">
      <w:pPr>
        <w:numPr>
          <w:ilvl w:val="0"/>
          <w:numId w:val="25"/>
        </w:numPr>
        <w:tabs>
          <w:tab w:val="left" w:pos="720"/>
          <w:tab w:val="left" w:pos="1440"/>
        </w:tabs>
        <w:ind w:left="0" w:firstLine="720"/>
        <w:jc w:val="both"/>
        <w:rPr>
          <w:i/>
          <w:iCs/>
          <w:lang w:val="lt-LT"/>
        </w:rPr>
      </w:pPr>
      <w:r>
        <w:rPr>
          <w:lang w:val="lt-LT"/>
        </w:rPr>
        <w:t>atlyginimas už suteiktą informaciją apie gamybinę, prekybinę ar mokslinę patirtį, kurį nuolatinė buveinė moka savo užsienio vienetui, jeigu jis pats yra tokio atlyginimo galutinis gavėjas, t.y., jeigu tokią informaciją savo nuolatinei buveinei suteikė pats užsienio vienetas;</w:t>
      </w:r>
    </w:p>
    <w:p w14:paraId="00C50783" w14:textId="77777777" w:rsidR="00093845" w:rsidRDefault="000D779E" w:rsidP="00EC4E29">
      <w:pPr>
        <w:numPr>
          <w:ilvl w:val="0"/>
          <w:numId w:val="25"/>
        </w:numPr>
        <w:tabs>
          <w:tab w:val="left" w:pos="720"/>
          <w:tab w:val="left" w:pos="1440"/>
        </w:tabs>
        <w:ind w:left="0" w:firstLine="720"/>
        <w:jc w:val="both"/>
        <w:rPr>
          <w:lang w:val="lt-LT"/>
        </w:rPr>
      </w:pPr>
      <w:r>
        <w:rPr>
          <w:lang w:val="lt-LT"/>
        </w:rPr>
        <w:t>kompensacija už autorinių ar gretutinių teisių pažeidimą, kurią nuolatinė buveinė moka savo užsienio vienetui, jeigu jis pats yra tokios kompensacijos galutinis gavėjas, t.y., jeigu nuolatinė buveinė moka kompensaciją už pažeistas jos užsienio vienetui priklausančias autorių ar gretutines teises.</w:t>
      </w:r>
    </w:p>
    <w:p w14:paraId="21BDD43B" w14:textId="77777777" w:rsidR="00093845" w:rsidRDefault="000D779E">
      <w:pPr>
        <w:tabs>
          <w:tab w:val="left" w:pos="720"/>
          <w:tab w:val="left" w:pos="1077"/>
          <w:tab w:val="left" w:pos="1418"/>
        </w:tabs>
        <w:ind w:firstLine="720"/>
        <w:jc w:val="both"/>
        <w:rPr>
          <w:lang w:val="lt-LT"/>
        </w:rPr>
      </w:pPr>
      <w:r>
        <w:rPr>
          <w:lang w:val="lt-LT"/>
        </w:rPr>
        <w:t>9.</w:t>
      </w:r>
      <w:r>
        <w:rPr>
          <w:lang w:val="lt-LT"/>
        </w:rPr>
        <w:tab/>
        <w:t>Jeigu:</w:t>
      </w:r>
    </w:p>
    <w:p w14:paraId="0A839249"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užsienio vieneto veikla Lietuvos Respublikoje sukuria keletą nuolatinių buveinių </w:t>
      </w:r>
      <w:r>
        <w:rPr>
          <w:b/>
          <w:bCs/>
          <w:lang w:val="lt-LT"/>
        </w:rPr>
        <w:t>ir</w:t>
      </w:r>
    </w:p>
    <w:p w14:paraId="748FB7FF"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tų užsienio vieneto nuolatinių buveinių veikla yra aiškiai skirtinga, </w:t>
      </w:r>
      <w:r>
        <w:rPr>
          <w:b/>
          <w:bCs/>
          <w:lang w:val="lt-LT"/>
        </w:rPr>
        <w:t>ir</w:t>
      </w:r>
    </w:p>
    <w:p w14:paraId="4892A00B" w14:textId="77777777" w:rsidR="00093845" w:rsidRDefault="000D779E">
      <w:pPr>
        <w:tabs>
          <w:tab w:val="left" w:pos="720"/>
          <w:tab w:val="left" w:pos="1077"/>
          <w:tab w:val="left" w:pos="1418"/>
        </w:tabs>
        <w:ind w:firstLine="720"/>
        <w:jc w:val="both"/>
        <w:rPr>
          <w:lang w:val="lt-LT"/>
        </w:rPr>
      </w:pPr>
      <w:r>
        <w:rPr>
          <w:lang w:val="lt-LT"/>
        </w:rPr>
        <w:t>-</w:t>
      </w:r>
      <w:r>
        <w:rPr>
          <w:lang w:val="lt-LT"/>
        </w:rPr>
        <w:tab/>
        <w:t>tos užsienio vieneto nuolatinės buveinės valdomos atskirai,</w:t>
      </w:r>
    </w:p>
    <w:p w14:paraId="3C12A588" w14:textId="77777777" w:rsidR="00093845" w:rsidRDefault="000D779E">
      <w:pPr>
        <w:pStyle w:val="Pagrindinistekstas2"/>
        <w:tabs>
          <w:tab w:val="left" w:pos="720"/>
          <w:tab w:val="left" w:pos="1077"/>
          <w:tab w:val="left" w:pos="1418"/>
        </w:tabs>
        <w:ind w:firstLine="720"/>
        <w:jc w:val="both"/>
        <w:rPr>
          <w:b w:val="0"/>
          <w:bCs w:val="0"/>
          <w:sz w:val="24"/>
        </w:rPr>
      </w:pPr>
      <w:r>
        <w:rPr>
          <w:b w:val="0"/>
          <w:bCs w:val="0"/>
          <w:sz w:val="24"/>
        </w:rPr>
        <w:lastRenderedPageBreak/>
        <w:t>tada užsienio vienetas privalo registruotis mokesčių mokėtoju, vykdančiu veiklą per keletą nuolatinių buveinių, ir jų pelną apskaičiuoti bei apmokestinti atskirai. Tokiu atveju vienos nuolatinės buveinės neapmokestinamosios pajamos (PMĮ 12 straipsnis), ribojamų dydžių leidžiami atskaitymai (PMĮ 17 str. 2 dalis) ir tai nuolatinei buveinei priskiriamos užsienio vieneto ne per tą nuolatinę buveinę faktiškai patirtos sąnaudos negali būti atskaitomos iš kitų Lietuvos Respublikos teritorijoje esančių nuolatinių buveinių uždirbtų pajamų.</w:t>
      </w:r>
    </w:p>
    <w:p w14:paraId="32651C96" w14:textId="77777777" w:rsidR="00093845" w:rsidRDefault="000D779E">
      <w:pPr>
        <w:tabs>
          <w:tab w:val="left" w:pos="720"/>
          <w:tab w:val="left" w:pos="1077"/>
          <w:tab w:val="left" w:pos="1418"/>
        </w:tabs>
        <w:ind w:firstLine="720"/>
        <w:jc w:val="both"/>
        <w:rPr>
          <w:lang w:val="lt-LT"/>
        </w:rPr>
      </w:pPr>
      <w:r>
        <w:rPr>
          <w:lang w:val="lt-LT"/>
        </w:rPr>
        <w:t>Jeigu:</w:t>
      </w:r>
    </w:p>
    <w:p w14:paraId="6C067996"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užsienio vieneto veikla Lietuvos Respublikoje sukuria keletą nuolatinių buveinių, </w:t>
      </w:r>
      <w:r>
        <w:rPr>
          <w:b/>
          <w:bCs/>
          <w:lang w:val="lt-LT"/>
        </w:rPr>
        <w:t>tačiau</w:t>
      </w:r>
    </w:p>
    <w:p w14:paraId="4F735A31" w14:textId="77777777" w:rsidR="00093845" w:rsidRDefault="000D779E">
      <w:pPr>
        <w:tabs>
          <w:tab w:val="left" w:pos="720"/>
          <w:tab w:val="left" w:pos="1077"/>
          <w:tab w:val="left" w:pos="1418"/>
        </w:tabs>
        <w:ind w:firstLine="720"/>
        <w:jc w:val="both"/>
        <w:rPr>
          <w:lang w:val="lt-LT"/>
        </w:rPr>
      </w:pPr>
      <w:r>
        <w:rPr>
          <w:lang w:val="lt-LT"/>
        </w:rPr>
        <w:t>-</w:t>
      </w:r>
      <w:r>
        <w:rPr>
          <w:lang w:val="lt-LT"/>
        </w:rPr>
        <w:tab/>
        <w:t xml:space="preserve">tų užsienio vieneto nuolatinių buveinių veikla nėra skirtinga, </w:t>
      </w:r>
      <w:r>
        <w:rPr>
          <w:b/>
          <w:bCs/>
          <w:lang w:val="lt-LT"/>
        </w:rPr>
        <w:t>ir/arba</w:t>
      </w:r>
    </w:p>
    <w:p w14:paraId="1757D675" w14:textId="77777777" w:rsidR="00093845" w:rsidRDefault="000D779E">
      <w:pPr>
        <w:tabs>
          <w:tab w:val="left" w:pos="720"/>
          <w:tab w:val="left" w:pos="1077"/>
          <w:tab w:val="left" w:pos="1418"/>
        </w:tabs>
        <w:ind w:firstLine="720"/>
        <w:jc w:val="both"/>
        <w:rPr>
          <w:lang w:val="lt-LT"/>
        </w:rPr>
      </w:pPr>
      <w:r>
        <w:rPr>
          <w:lang w:val="lt-LT"/>
        </w:rPr>
        <w:t>-</w:t>
      </w:r>
      <w:r>
        <w:rPr>
          <w:lang w:val="lt-LT"/>
        </w:rPr>
        <w:tab/>
        <w:t>tos užsienio vieneto nuolatinės buveinės nėra valdomos atskirai,</w:t>
      </w:r>
    </w:p>
    <w:p w14:paraId="1FCAF303" w14:textId="77777777" w:rsidR="00093845" w:rsidRDefault="000D779E">
      <w:pPr>
        <w:pStyle w:val="Pagrindinistekstas2"/>
        <w:tabs>
          <w:tab w:val="left" w:pos="720"/>
          <w:tab w:val="left" w:pos="1077"/>
          <w:tab w:val="left" w:pos="1418"/>
        </w:tabs>
        <w:ind w:firstLine="720"/>
        <w:jc w:val="both"/>
        <w:rPr>
          <w:b w:val="0"/>
          <w:bCs w:val="0"/>
          <w:sz w:val="24"/>
        </w:rPr>
      </w:pPr>
      <w:r>
        <w:rPr>
          <w:b w:val="0"/>
          <w:bCs w:val="0"/>
          <w:sz w:val="24"/>
        </w:rPr>
        <w:t>tada užsienio vienetas gali (bet ne privalo) registruotis mokesčių mokėtoju, vykdančiu veiklą tik per vieną nuolatinę buveinę, kuri vykdo kelias veiklas arba kuri vykdo veiklą keliose Lietuvos Respublikos teritorijos vietose. Tuo atveju, jeigu užsienio vienetas registruojasi vykdančiu veiklą per tokią vieną nuolatinę buveinę, tai jos apmokestinamasis pelnas (o kartu ir neapmokestinamosios pajamos (PMĮ 12 straipsnis), ribojamų dydžių atskaitymai (PMĮ 17 str. 2 dalis) ir jai priskirtinos užsienio vieneto ne per tą nuolatinę buveinę faktiškai patirtos sąnaudos) skaičiuojamas nuo pajamų, uždirbtų vykdant visą jos veiklą (ar veiklas).</w:t>
      </w:r>
    </w:p>
    <w:p w14:paraId="47D98FE2" w14:textId="77777777" w:rsidR="00093845" w:rsidRDefault="000D779E">
      <w:pPr>
        <w:pStyle w:val="Pagrindiniotekstotrauka"/>
        <w:tabs>
          <w:tab w:val="left" w:pos="720"/>
          <w:tab w:val="left" w:pos="1077"/>
          <w:tab w:val="left" w:pos="1418"/>
        </w:tabs>
        <w:rPr>
          <w:rFonts w:ascii="Times New Roman" w:hAnsi="Times New Roman"/>
          <w:b/>
          <w:bCs/>
          <w:lang w:val="lt-LT"/>
        </w:rPr>
      </w:pPr>
      <w:r>
        <w:rPr>
          <w:rFonts w:ascii="Times New Roman" w:hAnsi="Times New Roman"/>
          <w:b/>
          <w:bCs/>
          <w:lang w:val="lt-LT"/>
        </w:rPr>
        <w:t>3.</w:t>
      </w:r>
      <w:r>
        <w:rPr>
          <w:rFonts w:ascii="Times New Roman" w:hAnsi="Times New Roman"/>
          <w:b/>
          <w:bCs/>
          <w:lang w:val="lt-LT"/>
        </w:rPr>
        <w:tab/>
        <w:t>Užsienio vieneto apmokestinamąjį pelną, neuždirbtą per nuolatines buveines, sudaro visos gautos pajamos, kurių šaltinis yra Lietuvos Respublikoje, ir šio Įstatymo 37 straipsnyje nustatyta prievolė jas apmokestinti prie šaltinio be jokių atskaitymų.</w:t>
      </w:r>
    </w:p>
    <w:p w14:paraId="0071AA1F" w14:textId="77777777" w:rsidR="00093845" w:rsidRDefault="000D779E">
      <w:pPr>
        <w:ind w:firstLine="720"/>
        <w:jc w:val="both"/>
        <w:rPr>
          <w:b/>
          <w:bCs/>
          <w:lang w:val="lt-LT"/>
        </w:rPr>
      </w:pPr>
      <w:r>
        <w:rPr>
          <w:b/>
          <w:bCs/>
          <w:lang w:val="lt-LT"/>
        </w:rPr>
        <w:t>Komentaras</w:t>
      </w:r>
    </w:p>
    <w:p w14:paraId="239812A6" w14:textId="77777777" w:rsidR="00093845" w:rsidRDefault="000D779E">
      <w:pPr>
        <w:tabs>
          <w:tab w:val="left" w:pos="720"/>
          <w:tab w:val="left" w:pos="1077"/>
          <w:tab w:val="left" w:pos="1418"/>
        </w:tabs>
        <w:ind w:firstLine="720"/>
        <w:jc w:val="both"/>
        <w:rPr>
          <w:lang w:val="lt-LT"/>
        </w:rPr>
      </w:pPr>
      <w:r>
        <w:rPr>
          <w:lang w:val="lt-LT"/>
        </w:rPr>
        <w:t>Kai užsienio vienetas uždirba pajamų ne per Lietuvos Respublikos teritorijoje esančias savo nuolatines buveines, tai jo apmokestinamąjį pelną sudaro visos pajamos be jokių atskaitymų, kurių šaltinis yra Lietuvos Respublikoje ir kurios išvardytos PMĮ 4 str. 4 dalyje.</w:t>
      </w:r>
    </w:p>
    <w:p w14:paraId="1C10244E" w14:textId="77777777" w:rsidR="00093845" w:rsidRDefault="000D779E">
      <w:pPr>
        <w:tabs>
          <w:tab w:val="left" w:pos="720"/>
          <w:tab w:val="left" w:pos="1077"/>
          <w:tab w:val="left" w:pos="1418"/>
        </w:tabs>
        <w:ind w:firstLine="720"/>
        <w:jc w:val="both"/>
        <w:rPr>
          <w:lang w:val="lt-LT"/>
        </w:rPr>
      </w:pPr>
      <w:r>
        <w:rPr>
          <w:lang w:val="lt-LT"/>
        </w:rPr>
        <w:t>Tokių pajamų apmokestinimą reglamentuoja PMĮ 37 straipsnis.</w:t>
      </w:r>
    </w:p>
    <w:p w14:paraId="324D7394" w14:textId="77777777" w:rsidR="006A2F4C" w:rsidRPr="00873053" w:rsidRDefault="006A2F4C" w:rsidP="006A2F4C">
      <w:pPr>
        <w:spacing w:after="20"/>
        <w:ind w:firstLine="720"/>
        <w:jc w:val="both"/>
        <w:rPr>
          <w:rFonts w:eastAsia="Calibri"/>
          <w:b/>
          <w:lang w:val="lt-LT"/>
        </w:rPr>
      </w:pPr>
      <w:r w:rsidRPr="00873053">
        <w:rPr>
          <w:rFonts w:eastAsia="Calibri"/>
          <w:b/>
          <w:lang w:val="lt-LT"/>
        </w:rPr>
        <w:t>4. Išlaidos, kurių pagrindu pripažįstamos sąnaudos, gali būti grindžiamos tik dokumentais, kurie privalo turėti finansinę apskaitą reglamentuojančių teisės aktų nustatytą privalomą finansinės apskaitos dokumentų informaciją. Be šios informacijos, išlaidų, kurių pagrindu pripažįstamos sąnaudos, pagrindimo dokumentuose privalo būti nurodyta ir kita Lietuvos Respublikos Vyriausybės ar jos įgaliotos institucijos nustatyta informacija.</w:t>
      </w:r>
    </w:p>
    <w:p w14:paraId="6057CF8A" w14:textId="77777777" w:rsidR="006A2F4C" w:rsidRPr="00873053" w:rsidRDefault="006A2F4C" w:rsidP="006A2F4C">
      <w:pPr>
        <w:jc w:val="both"/>
        <w:rPr>
          <w:rFonts w:eastAsia="Calibri"/>
          <w:b/>
          <w:i/>
          <w:lang w:val="lt-LT"/>
        </w:rPr>
      </w:pPr>
      <w:r w:rsidRPr="00873053">
        <w:rPr>
          <w:rFonts w:eastAsia="Calibri"/>
          <w:lang w:val="lt-LT"/>
        </w:rPr>
        <w:t>(</w:t>
      </w:r>
      <w:r w:rsidRPr="00873053">
        <w:rPr>
          <w:rFonts w:eastAsia="Calibri"/>
          <w:b/>
          <w:i/>
          <w:lang w:val="lt-LT"/>
        </w:rPr>
        <w:t>Pagal</w:t>
      </w:r>
      <w:r w:rsidRPr="00873053">
        <w:rPr>
          <w:rFonts w:eastAsia="Calibri"/>
          <w:i/>
          <w:lang w:val="lt-LT"/>
        </w:rPr>
        <w:t xml:space="preserve"> </w:t>
      </w:r>
      <w:r w:rsidRPr="00873053">
        <w:rPr>
          <w:rFonts w:eastAsia="Calibri"/>
          <w:b/>
          <w:i/>
          <w:lang w:val="lt-LT"/>
        </w:rPr>
        <w:t>2021 m. lapkričio 23 d. įstatymo Nr. XIV-686 redakciją; taikoma nuo 2022 m. gegužės 1 d.)</w:t>
      </w:r>
    </w:p>
    <w:p w14:paraId="23C1D05E" w14:textId="77777777" w:rsidR="00C11008" w:rsidRPr="00F62677" w:rsidRDefault="00C11008" w:rsidP="006221FF">
      <w:pPr>
        <w:spacing w:after="0"/>
        <w:jc w:val="both"/>
        <w:rPr>
          <w:bCs/>
          <w:i/>
          <w:lang w:val="lt-LT"/>
        </w:rPr>
      </w:pPr>
    </w:p>
    <w:p w14:paraId="5D635F3E"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4849B719" w14:textId="77777777" w:rsidR="006A2F4C" w:rsidRDefault="000D779E" w:rsidP="006A2F4C">
      <w:pPr>
        <w:spacing w:after="20"/>
        <w:ind w:firstLine="720"/>
        <w:jc w:val="both"/>
        <w:rPr>
          <w:lang w:val="lt-LT" w:eastAsia="lt-LT"/>
        </w:rPr>
      </w:pPr>
      <w:r w:rsidRPr="0065344A">
        <w:rPr>
          <w:lang w:val="lt-LT"/>
        </w:rPr>
        <w:t xml:space="preserve">1. </w:t>
      </w:r>
      <w:r w:rsidR="006A2F4C" w:rsidRPr="006A2F4C">
        <w:rPr>
          <w:lang w:val="lt-LT" w:eastAsia="lt-LT"/>
        </w:rPr>
        <w:t xml:space="preserve">Išlaidos, kurių pagrindu pripažįstamos sąnaudos, turi būti grindžiamos tik dokumentais, kurie privalo turėti finansinę apskaitą reglamentuojančių teisės aktų nustatytą privalomą </w:t>
      </w:r>
      <w:r w:rsidR="006A2F4C" w:rsidRPr="006A2F4C">
        <w:rPr>
          <w:rFonts w:eastAsia="Calibri"/>
          <w:lang w:val="lt-LT"/>
        </w:rPr>
        <w:t xml:space="preserve">finansinės apskaitos dokumentų </w:t>
      </w:r>
      <w:r w:rsidR="006A2F4C" w:rsidRPr="006A2F4C">
        <w:rPr>
          <w:lang w:val="lt-LT" w:eastAsia="lt-LT"/>
        </w:rPr>
        <w:t>informaciją. Pagal Lietuvos Respublikos finansinės apskaitos įstatymą (toliau ― FAĮ) apskaitos dokumentais privaloma fiksuoti įvykusias ūkines operacijas.</w:t>
      </w:r>
    </w:p>
    <w:p w14:paraId="4F02114C" w14:textId="77777777" w:rsidR="006A2F4C" w:rsidRDefault="006A2F4C" w:rsidP="006A2F4C">
      <w:pPr>
        <w:widowControl w:val="0"/>
        <w:ind w:firstLine="851"/>
        <w:jc w:val="both"/>
        <w:rPr>
          <w:rFonts w:eastAsia="Calibri"/>
          <w:lang w:val="lt-LT"/>
        </w:rPr>
      </w:pPr>
      <w:r w:rsidRPr="006A2F4C">
        <w:rPr>
          <w:lang w:val="lt-LT" w:eastAsia="lt-LT"/>
        </w:rPr>
        <w:t xml:space="preserve">Pagal FAĮ 6 straipsnio 1 dalį apskaitos dokumentai parengiami </w:t>
      </w:r>
      <w:r w:rsidRPr="006A2F4C">
        <w:rPr>
          <w:rFonts w:eastAsia="Calibri"/>
          <w:lang w:val="lt-LT"/>
        </w:rPr>
        <w:t>ūkinės operacijos metu arba jai įvykus ar pasibaigus ir pateikiami (išsiunčiami) gavėjui nedelsiant, ne vėliau kaip iki kito mėnesio 10 dienos po įvykusios ar pasibaigusios ūkinės operacijos dienos.</w:t>
      </w:r>
    </w:p>
    <w:p w14:paraId="1D5E7AEF" w14:textId="77777777" w:rsidR="006A2F4C" w:rsidRPr="006A2F4C" w:rsidRDefault="006A2F4C" w:rsidP="006A2F4C">
      <w:pPr>
        <w:spacing w:after="20"/>
        <w:ind w:firstLine="720"/>
        <w:jc w:val="both"/>
        <w:rPr>
          <w:lang w:val="lt-LT" w:eastAsia="lt-LT"/>
        </w:rPr>
      </w:pPr>
      <w:r w:rsidRPr="006A2F4C">
        <w:rPr>
          <w:lang w:val="lt-LT" w:eastAsia="lt-LT"/>
        </w:rPr>
        <w:t xml:space="preserve">Privaloma </w:t>
      </w:r>
      <w:r w:rsidRPr="006A2F4C">
        <w:rPr>
          <w:rFonts w:eastAsia="Calibri"/>
          <w:lang w:val="lt-LT"/>
        </w:rPr>
        <w:t xml:space="preserve">apskaitos dokumentų </w:t>
      </w:r>
      <w:r w:rsidRPr="006A2F4C">
        <w:rPr>
          <w:lang w:val="lt-LT" w:eastAsia="lt-LT"/>
        </w:rPr>
        <w:t>informacija pagal FAĮ 7 straipsnio 1 dalį yra ši:</w:t>
      </w:r>
    </w:p>
    <w:p w14:paraId="4C9EF2FF" w14:textId="77777777" w:rsidR="006A2F4C" w:rsidRPr="006A2F4C" w:rsidRDefault="006A2F4C" w:rsidP="006A2F4C">
      <w:pPr>
        <w:spacing w:after="20"/>
        <w:ind w:firstLine="720"/>
        <w:jc w:val="both"/>
        <w:rPr>
          <w:lang w:val="lt-LT" w:eastAsia="lt-LT"/>
        </w:rPr>
      </w:pPr>
      <w:r w:rsidRPr="006A2F4C">
        <w:rPr>
          <w:lang w:val="lt-LT" w:eastAsia="lt-LT"/>
        </w:rPr>
        <w:t>1) subjekto, atlikusio ūkinę operaciją, pavadinimas (vardas, pavardė), juridinio asmens kodas;</w:t>
      </w:r>
    </w:p>
    <w:p w14:paraId="08DD081E" w14:textId="77777777" w:rsidR="006A2F4C" w:rsidRPr="006A2F4C" w:rsidRDefault="006A2F4C" w:rsidP="006A2F4C">
      <w:pPr>
        <w:spacing w:after="20"/>
        <w:ind w:firstLine="720"/>
        <w:jc w:val="both"/>
        <w:rPr>
          <w:lang w:val="lt-LT" w:eastAsia="lt-LT"/>
        </w:rPr>
      </w:pPr>
      <w:r w:rsidRPr="006A2F4C">
        <w:rPr>
          <w:lang w:val="lt-LT" w:eastAsia="lt-LT"/>
        </w:rPr>
        <w:lastRenderedPageBreak/>
        <w:t>2) apskaitos dokumento parengimo data;</w:t>
      </w:r>
    </w:p>
    <w:p w14:paraId="228D1475" w14:textId="77777777" w:rsidR="006A2F4C" w:rsidRPr="006A2F4C" w:rsidRDefault="006A2F4C" w:rsidP="006A2F4C">
      <w:pPr>
        <w:spacing w:after="20"/>
        <w:ind w:firstLine="720"/>
        <w:jc w:val="both"/>
        <w:rPr>
          <w:lang w:val="lt-LT" w:eastAsia="lt-LT"/>
        </w:rPr>
      </w:pPr>
      <w:r w:rsidRPr="006A2F4C">
        <w:rPr>
          <w:lang w:val="lt-LT" w:eastAsia="lt-LT"/>
        </w:rPr>
        <w:t>3) ūkinės operacijos turinys;</w:t>
      </w:r>
    </w:p>
    <w:p w14:paraId="195690C4" w14:textId="77777777" w:rsidR="006A2F4C" w:rsidRPr="006A2F4C" w:rsidRDefault="006A2F4C" w:rsidP="006A2F4C">
      <w:pPr>
        <w:spacing w:after="20"/>
        <w:ind w:firstLine="720"/>
        <w:jc w:val="both"/>
        <w:rPr>
          <w:lang w:val="lt-LT" w:eastAsia="lt-LT"/>
        </w:rPr>
      </w:pPr>
      <w:r w:rsidRPr="006A2F4C">
        <w:rPr>
          <w:lang w:val="lt-LT" w:eastAsia="lt-LT"/>
        </w:rPr>
        <w:t>4) ūkinės operacijos laikotarpis arba data, jeigu apskaitos dokumento parengimo data nesutampa su ūkinės operacijos laikotarpiu arba data;</w:t>
      </w:r>
    </w:p>
    <w:p w14:paraId="28FC74E3" w14:textId="77777777" w:rsidR="00F73EDC" w:rsidRPr="00F73EDC" w:rsidRDefault="006A2F4C" w:rsidP="00F73EDC">
      <w:pPr>
        <w:spacing w:after="20"/>
        <w:ind w:firstLine="720"/>
        <w:jc w:val="both"/>
        <w:rPr>
          <w:lang w:val="lt-LT" w:eastAsia="lt-LT"/>
        </w:rPr>
      </w:pPr>
      <w:r w:rsidRPr="006A2F4C">
        <w:rPr>
          <w:lang w:val="lt-LT" w:eastAsia="lt-LT"/>
        </w:rPr>
        <w:t>5) ūkinės operacijos rezultatas pinigine ir (arba) kiekybine išraiška. Kai ūkinės operacijos rezultatas nurodomas kiekybine išraiška, t</w:t>
      </w:r>
      <w:r w:rsidR="00F73EDC">
        <w:rPr>
          <w:lang w:val="lt-LT" w:eastAsia="lt-LT"/>
        </w:rPr>
        <w:t>uri būti nurodyti mato vienetai</w:t>
      </w:r>
      <w:r w:rsidR="00F73EDC" w:rsidRPr="00F73EDC">
        <w:rPr>
          <w:lang w:val="lt-LT" w:eastAsia="lt-LT"/>
        </w:rPr>
        <w:t>. Taikant Lietuvos Respublikos </w:t>
      </w:r>
      <w:bookmarkStart w:id="214" w:name="n55e42440124c479bb09444bce1684315"/>
      <w:r w:rsidR="00F73EDC" w:rsidRPr="00F73EDC">
        <w:rPr>
          <w:lang w:val="lt-LT" w:eastAsia="lt-LT"/>
        </w:rPr>
        <w:fldChar w:fldCharType="begin"/>
      </w:r>
      <w:r w:rsidR="00F73EDC" w:rsidRPr="00F73EDC">
        <w:rPr>
          <w:lang w:val="lt-LT" w:eastAsia="lt-LT"/>
        </w:rPr>
        <w:instrText xml:space="preserve"> HYPERLINK "https://www.infolex.lt/ta/936203" \o "Lietuvos Respublikos atsiskaitymų grynaisiais pinigais sumų apvalinimo įstatymas" \t "_blank" </w:instrText>
      </w:r>
      <w:r w:rsidR="00F73EDC" w:rsidRPr="00F73EDC">
        <w:rPr>
          <w:lang w:val="lt-LT" w:eastAsia="lt-LT"/>
        </w:rPr>
        <w:fldChar w:fldCharType="separate"/>
      </w:r>
      <w:r w:rsidR="00F73EDC" w:rsidRPr="00F73EDC">
        <w:rPr>
          <w:lang w:val="lt-LT" w:eastAsia="lt-LT"/>
        </w:rPr>
        <w:t>atsiskaitymų grynaisiais pinigais sumų apvalinimo įstatymą</w:t>
      </w:r>
      <w:r w:rsidR="00F73EDC" w:rsidRPr="00F73EDC">
        <w:rPr>
          <w:lang w:val="lt-LT" w:eastAsia="lt-LT"/>
        </w:rPr>
        <w:fldChar w:fldCharType="end"/>
      </w:r>
      <w:bookmarkEnd w:id="214"/>
      <w:r w:rsidR="00F73EDC" w:rsidRPr="00F73EDC">
        <w:rPr>
          <w:lang w:val="lt-LT" w:eastAsia="lt-LT"/>
        </w:rPr>
        <w:t xml:space="preserve">, nuo </w:t>
      </w:r>
      <w:r w:rsidR="00F73EDC" w:rsidRPr="00F73EDC">
        <w:rPr>
          <w:color w:val="000000"/>
          <w:shd w:val="clear" w:color="auto" w:fill="FFFFFF"/>
          <w:lang w:val="lt-LT"/>
        </w:rPr>
        <w:t>2025 m. gegužės 1 d. apskaitos dokumentuose,</w:t>
      </w:r>
      <w:r w:rsidR="00F73EDC" w:rsidRPr="00F73EDC">
        <w:rPr>
          <w:rFonts w:ascii="Arial" w:hAnsi="Arial" w:cs="Arial"/>
          <w:color w:val="000000"/>
          <w:sz w:val="22"/>
          <w:szCs w:val="22"/>
          <w:shd w:val="clear" w:color="auto" w:fill="FFFFFF"/>
          <w:lang w:val="lt-LT"/>
        </w:rPr>
        <w:t xml:space="preserve"> </w:t>
      </w:r>
      <w:r w:rsidR="00F73EDC" w:rsidRPr="00F73EDC">
        <w:rPr>
          <w:color w:val="000000"/>
          <w:shd w:val="clear" w:color="auto" w:fill="FFFFFF"/>
          <w:lang w:val="lt-LT"/>
        </w:rPr>
        <w:t>išskyrus pridėtinės vertės mokesčio sąskaitas faktūras</w:t>
      </w:r>
      <w:r w:rsidR="00F73EDC" w:rsidRPr="00F73EDC">
        <w:rPr>
          <w:rFonts w:ascii="Arial" w:hAnsi="Arial" w:cs="Arial"/>
          <w:color w:val="000000"/>
          <w:sz w:val="22"/>
          <w:szCs w:val="22"/>
          <w:shd w:val="clear" w:color="auto" w:fill="FFFFFF"/>
          <w:lang w:val="lt-LT"/>
        </w:rPr>
        <w:t>,</w:t>
      </w:r>
      <w:r w:rsidR="00F73EDC" w:rsidRPr="00F73EDC">
        <w:rPr>
          <w:color w:val="000000"/>
          <w:shd w:val="clear" w:color="auto" w:fill="FFFFFF"/>
          <w:lang w:val="lt-LT"/>
        </w:rPr>
        <w:t xml:space="preserve"> </w:t>
      </w:r>
      <w:r w:rsidR="00F73EDC" w:rsidRPr="00F73EDC">
        <w:rPr>
          <w:lang w:val="lt-LT" w:eastAsia="lt-LT"/>
        </w:rPr>
        <w:t>turi būti nurodyta  apvalinimo suma, lygi bendros mokėtinos sumos už vienu metu grąžinamas (grąžinamą) prekes (prekę), įsigyjamas ar parduodamas prekes (paslaugas) ir bendros mokėtinos sumos, pritaikius apvalinimą, skirtumui, ir bendra mokėtina suma, pritaikius apvalinimą;</w:t>
      </w:r>
    </w:p>
    <w:p w14:paraId="781CFF74" w14:textId="77777777" w:rsidR="006A2F4C" w:rsidRPr="006A2F4C" w:rsidRDefault="006A2F4C" w:rsidP="006A2F4C">
      <w:pPr>
        <w:spacing w:after="20"/>
        <w:ind w:firstLine="720"/>
        <w:jc w:val="both"/>
        <w:rPr>
          <w:lang w:val="lt-LT" w:eastAsia="lt-LT"/>
        </w:rPr>
      </w:pPr>
    </w:p>
    <w:p w14:paraId="0B8100ED" w14:textId="77777777" w:rsidR="006A2F4C" w:rsidRDefault="006A2F4C" w:rsidP="006A2F4C">
      <w:pPr>
        <w:spacing w:after="20"/>
        <w:ind w:firstLine="720"/>
        <w:jc w:val="both"/>
        <w:rPr>
          <w:lang w:val="lt-LT" w:eastAsia="lt-LT"/>
        </w:rPr>
      </w:pPr>
      <w:r w:rsidRPr="006A2F4C">
        <w:rPr>
          <w:lang w:val="lt-LT" w:eastAsia="lt-LT"/>
        </w:rPr>
        <w:t>6) apskaitos dokumento pavadinimas ir apskaitos dokumento gavėjo pavadinimas (vardas, pavardė), juridinio asmens kodas, išskyrus atvejus, kai pagal mokesčių įstatymus ar jų pagrindu priimtus teisės aktus ši informacija nėra privaloma;</w:t>
      </w:r>
    </w:p>
    <w:p w14:paraId="6F0D3A45" w14:textId="77777777" w:rsidR="006A2F4C" w:rsidRDefault="006A2F4C" w:rsidP="006A2F4C">
      <w:pPr>
        <w:spacing w:after="20"/>
        <w:ind w:firstLine="720"/>
        <w:jc w:val="both"/>
        <w:rPr>
          <w:lang w:val="lt-LT" w:eastAsia="lt-LT"/>
        </w:rPr>
      </w:pPr>
      <w:r w:rsidRPr="006A2F4C">
        <w:rPr>
          <w:rFonts w:eastAsia="Calibri"/>
          <w:lang w:val="lt-LT"/>
        </w:rPr>
        <w:t xml:space="preserve">Be šios privalomos informacijos </w:t>
      </w:r>
      <w:r w:rsidRPr="006A2F4C">
        <w:rPr>
          <w:lang w:val="lt-LT" w:eastAsia="lt-LT"/>
        </w:rPr>
        <w:t xml:space="preserve">mokesčių įstatymuose ar jų pagrindu priimtuose teisės aktuose gali būti nustatyta ir kita dokumentams, kurių pagrindu išlaidos pripažįstamos sąnaudomis, privaloma informacija. </w:t>
      </w:r>
    </w:p>
    <w:p w14:paraId="69814F6B" w14:textId="77777777" w:rsidR="004C550E" w:rsidRPr="006A2F4C" w:rsidRDefault="004C550E" w:rsidP="006A2F4C">
      <w:pPr>
        <w:spacing w:after="20"/>
        <w:ind w:firstLine="720"/>
        <w:jc w:val="both"/>
        <w:rPr>
          <w:lang w:val="lt-LT" w:eastAsia="lt-LT"/>
        </w:rPr>
      </w:pPr>
      <w:r>
        <w:rPr>
          <w:iCs/>
          <w:lang w:eastAsia="lt-LT"/>
        </w:rPr>
        <w:t>(PMĮ 11 str. 4 d. 1 p. trečios pastraipos komentaras papildytas pagal VMI prie FM 2025-02-28 raštą Nr. (18.32-31-1 Mr) R-870)</w:t>
      </w:r>
    </w:p>
    <w:p w14:paraId="20D09A82" w14:textId="77777777" w:rsidR="00093845" w:rsidRDefault="000D779E">
      <w:pPr>
        <w:tabs>
          <w:tab w:val="left" w:pos="720"/>
          <w:tab w:val="left" w:pos="1077"/>
          <w:tab w:val="left" w:pos="1418"/>
        </w:tabs>
        <w:ind w:firstLine="720"/>
        <w:jc w:val="both"/>
      </w:pPr>
      <w:r>
        <w:t xml:space="preserve">2. Mokesčiams apskaičiuoti naudojami apskaitos dokumentai (PVM sąskaitos faktūros, sąskaitos faktūros, kasos aparato kvitai, </w:t>
      </w:r>
      <w:r w:rsidR="006A2F4C">
        <w:t xml:space="preserve">keleivinio transporto bilietai, </w:t>
      </w:r>
      <w:r>
        <w:t xml:space="preserve">už suteiktas taksi paslaugas vežėjų išduoti pinigų priėmimo kvitai) ir jų </w:t>
      </w:r>
      <w:r>
        <w:rPr>
          <w:color w:val="000000"/>
        </w:rPr>
        <w:t>papildom</w:t>
      </w:r>
      <w:r w:rsidR="006A2F4C">
        <w:rPr>
          <w:color w:val="000000"/>
        </w:rPr>
        <w:t xml:space="preserve">a informacija </w:t>
      </w:r>
      <w:r w:rsidR="006A2F4C">
        <w:t xml:space="preserve">yra nustatyta </w:t>
      </w:r>
      <w:r>
        <w:t xml:space="preserve">Lietuvos Respublikos Vyriausybės 2002 m. gegužės 29 d. </w:t>
      </w:r>
      <w:hyperlink r:id="rId58" w:history="1">
        <w:r w:rsidRPr="005E291D">
          <w:t>nutarimu Nr. 780</w:t>
        </w:r>
      </w:hyperlink>
      <w:r>
        <w:t xml:space="preserve"> ,,Dėl mokesčiams apskaičiuoti naudojamų apskaitos dokumentų išrašymo ir pripažinimo taisyklių patvirtinimo“.</w:t>
      </w:r>
    </w:p>
    <w:p w14:paraId="7DC43082" w14:textId="77777777" w:rsidR="00424C4A" w:rsidRPr="00873053" w:rsidRDefault="000D779E" w:rsidP="00424C4A">
      <w:pPr>
        <w:spacing w:after="20"/>
        <w:ind w:firstLine="720"/>
        <w:jc w:val="both"/>
        <w:rPr>
          <w:lang w:val="lt-LT" w:eastAsia="lt-LT"/>
        </w:rPr>
      </w:pPr>
      <w:r>
        <w:t xml:space="preserve">3. </w:t>
      </w:r>
      <w:r w:rsidR="00424C4A" w:rsidRPr="00873053">
        <w:rPr>
          <w:lang w:val="lt-LT" w:eastAsia="lt-LT"/>
        </w:rPr>
        <w:t>Išlaidos gali būti pripažintos sąnaudomis pagal PVM sąskaitas faktūras, kuriose yra nurodyti Lietuvos Respublikos pridėtinės vertės mokesčio įstatymo (toliau – PVM įstatymas) 80 straipsnyje nustatyti privalomi rekvizitai (žr. Lietuvos Respublikos pridėtinės vertės mokesčio įstatymo 80 straipsnį). Be šių rekvizitų, PVM sąskaitoje faktūroje turi būti nurodyti prekių tiekėjo ar paslaugų teikėjo bei prekių arba paslaugų pirkėjo (kliento) kodai, išskyrus atvejus, kai viena PVM sąskaita faktūra įforminamos kelių PVM mokėtojų ar keliems asmenims bendrai tiekiamos prekės ar teikiamos paslaugos.</w:t>
      </w:r>
    </w:p>
    <w:p w14:paraId="6A85EFC6" w14:textId="77777777" w:rsidR="00424C4A" w:rsidRPr="001A58BF" w:rsidRDefault="00424C4A" w:rsidP="00424C4A">
      <w:pPr>
        <w:spacing w:after="20"/>
        <w:ind w:firstLine="720"/>
        <w:jc w:val="both"/>
        <w:rPr>
          <w:lang w:val="lt-LT" w:eastAsia="lt-LT"/>
        </w:rPr>
      </w:pPr>
      <w:r w:rsidRPr="001A58BF">
        <w:rPr>
          <w:lang w:val="lt-LT" w:eastAsia="lt-LT"/>
        </w:rPr>
        <w:t>Vadovaujantis PVM įstatymo 79 straipsnio 13 dalies nuostatomis, kai patiektų prekių ir (arba) suteiktų paslaugų vertė (įskaitant PVM) neviršija 100 eurų, gali būti išrašoma supaprastina PVM sąskaita faktūra, kurioje turi būti nurodyti PVM įstatymo 80 straipsnio 9 dalyje nustatyti rekvizitai.</w:t>
      </w:r>
    </w:p>
    <w:p w14:paraId="2F4C6535" w14:textId="77777777" w:rsidR="00424C4A" w:rsidRPr="00873053" w:rsidRDefault="00424C4A" w:rsidP="00424C4A">
      <w:pPr>
        <w:spacing w:after="20"/>
        <w:ind w:firstLine="720"/>
        <w:jc w:val="both"/>
        <w:rPr>
          <w:lang w:val="lt-LT" w:eastAsia="lt-LT"/>
        </w:rPr>
      </w:pPr>
      <w:r w:rsidRPr="001A58BF">
        <w:rPr>
          <w:lang w:val="lt-LT" w:eastAsia="lt-LT"/>
        </w:rPr>
        <w:t>Išlaidos gali būti pripažintos sąnaudomis pagal supaprastintą PVM sąskaitą faktūrą tuo atveju, jeigu, be PVM įstatymo 80 straipsnio 9 dalyje nustatytų rekvizitų, pirkėjo pageidavimu yra nurodytas prekių arba paslaugų pirkėjo pavadinimas, taip pat prekių</w:t>
      </w:r>
      <w:r w:rsidRPr="00873053">
        <w:rPr>
          <w:lang w:val="lt-LT" w:eastAsia="lt-LT"/>
        </w:rPr>
        <w:t xml:space="preserve"> tiekėjo ar paslaugų teikėjo ir prekių arba paslaugų pirkėjo kodai, išskyrus tuos atvejus, kai viena PVM sąskaita faktūra įforminamos kelių PVM mokėtojų ar keliems asmenims bendrai tiekiamos prekės ar teikiamos paslaugos.</w:t>
      </w:r>
    </w:p>
    <w:p w14:paraId="20D379C6" w14:textId="77777777" w:rsidR="00424C4A" w:rsidRPr="00873053" w:rsidRDefault="00424C4A" w:rsidP="00424C4A">
      <w:pPr>
        <w:spacing w:after="20"/>
        <w:ind w:firstLine="720"/>
        <w:jc w:val="both"/>
        <w:rPr>
          <w:lang w:val="lt-LT" w:eastAsia="lt-LT"/>
        </w:rPr>
      </w:pPr>
      <w:r w:rsidRPr="00873053">
        <w:rPr>
          <w:lang w:val="lt-LT" w:eastAsia="lt-LT"/>
        </w:rPr>
        <w:t>Atkreipiame dėmesį į tai, kad PVM sąskaitos faktūros gali būti ir elektroninės. Elektronine PVM sąskaita faktūra laikoma PVM sąskaita faktūra, kuri išrašyta laikantis PVM įstatymo 79 straipsnio 11 dalies nuostatų.</w:t>
      </w:r>
    </w:p>
    <w:p w14:paraId="6BF35A66" w14:textId="77777777" w:rsidR="00424C4A" w:rsidRDefault="00424C4A" w:rsidP="00424C4A">
      <w:pPr>
        <w:spacing w:after="20"/>
        <w:ind w:firstLine="720"/>
        <w:jc w:val="both"/>
        <w:rPr>
          <w:lang w:val="lt-LT" w:eastAsia="lt-LT"/>
        </w:rPr>
      </w:pPr>
      <w:r w:rsidRPr="00873053">
        <w:rPr>
          <w:lang w:val="lt-LT" w:eastAsia="lt-LT"/>
        </w:rPr>
        <w:t>Išlaidos gali būti pripažintos sąnaudomis pagal pardavėjo išrašytą ir pirkėjui elektroniniu paštu Word, PDF ar kitu formatu perduotą PVM sąskaitą faktūrą (supaprastintą PVM sąskaitą faktūrą), jeigu tokioje pirkėjo PVM sąskaitoje faktūroje (supaprastintoje PVM sąskaitoje faktūroje) yra nurodyti anksčiau minėti PVM sąskaitai faktūrai (supaprastintai PVM sąskaitai faktūrai) privalomi rekvizitai.</w:t>
      </w:r>
    </w:p>
    <w:p w14:paraId="71DFE11B" w14:textId="77777777" w:rsidR="000B3798" w:rsidRPr="00873053" w:rsidRDefault="000B3798" w:rsidP="00424C4A">
      <w:pPr>
        <w:spacing w:after="20"/>
        <w:ind w:firstLine="720"/>
        <w:jc w:val="both"/>
        <w:rPr>
          <w:lang w:val="lt-LT" w:eastAsia="lt-LT"/>
        </w:rPr>
      </w:pPr>
    </w:p>
    <w:p w14:paraId="34CBB1EF" w14:textId="77777777" w:rsidR="000B3798" w:rsidRPr="001A58BF" w:rsidRDefault="000D779E" w:rsidP="000B3798">
      <w:pPr>
        <w:spacing w:after="20"/>
        <w:ind w:firstLine="720"/>
        <w:jc w:val="both"/>
        <w:rPr>
          <w:lang w:val="lt-LT" w:eastAsia="lt-LT"/>
        </w:rPr>
      </w:pPr>
      <w:r w:rsidRPr="0065344A">
        <w:rPr>
          <w:lang w:val="lt-LT"/>
        </w:rPr>
        <w:lastRenderedPageBreak/>
        <w:t xml:space="preserve">4. </w:t>
      </w:r>
      <w:r w:rsidR="000B3798" w:rsidRPr="001A58BF">
        <w:rPr>
          <w:lang w:val="lt-LT" w:eastAsia="lt-LT"/>
        </w:rPr>
        <w:t>Išlaidos gali būti pripažintos sąnaudomis pagal sąskaitą faktūrą, jeigu joje be FAĮ 7 straipsnio 1 dalyje nustatytos privalomos apskaitos dokumento informacijos yra nurodyta papildoma informacija pagal Mokesčiams apskaičiuoti naudojamų apskaitos dokumentų išrašymo ir pripažinimo taisykles, patvirtintas 2002 m. gegužės 29 d. Lietuvos Respublikos Vyriausybės nutarimu Nr. 780 (toliau - Taisyklės):</w:t>
      </w:r>
    </w:p>
    <w:p w14:paraId="0575F1AC" w14:textId="77777777" w:rsidR="000B3798" w:rsidRPr="001A58BF" w:rsidRDefault="000B3798" w:rsidP="000B3798">
      <w:pPr>
        <w:spacing w:after="20"/>
        <w:ind w:firstLine="720"/>
        <w:jc w:val="both"/>
        <w:rPr>
          <w:lang w:val="lt-LT" w:eastAsia="lt-LT"/>
        </w:rPr>
      </w:pPr>
      <w:r w:rsidRPr="001A58BF">
        <w:rPr>
          <w:lang w:val="lt-LT" w:eastAsia="lt-LT"/>
        </w:rPr>
        <w:t xml:space="preserve">- serija ir numeris; </w:t>
      </w:r>
    </w:p>
    <w:p w14:paraId="18C510C7" w14:textId="77777777" w:rsidR="000B3798" w:rsidRPr="001A58BF" w:rsidRDefault="000B3798" w:rsidP="000B3798">
      <w:pPr>
        <w:spacing w:after="20"/>
        <w:ind w:firstLine="720"/>
        <w:jc w:val="both"/>
        <w:rPr>
          <w:lang w:val="lt-LT" w:eastAsia="lt-LT"/>
        </w:rPr>
      </w:pPr>
      <w:r w:rsidRPr="001A58BF">
        <w:rPr>
          <w:lang w:val="lt-LT" w:eastAsia="lt-LT"/>
        </w:rPr>
        <w:t>- prekių tiekėjo arba paslaugų teikėjo, kuris yra fizinis asmuo,- asmens pasirinkimu arba asmens kodas, arba individualios veiklos vykdymo pažymos numeris, arba verslo liudijimo numeris.</w:t>
      </w:r>
    </w:p>
    <w:p w14:paraId="5B216C19" w14:textId="77777777" w:rsidR="000B3798" w:rsidRPr="001A58BF" w:rsidRDefault="000B3798" w:rsidP="000B3798">
      <w:pPr>
        <w:spacing w:after="20"/>
        <w:ind w:firstLine="720"/>
        <w:jc w:val="both"/>
        <w:rPr>
          <w:lang w:val="lt-LT" w:eastAsia="lt-LT"/>
        </w:rPr>
      </w:pPr>
      <w:r w:rsidRPr="001A58BF">
        <w:rPr>
          <w:lang w:val="lt-LT" w:eastAsia="lt-LT"/>
        </w:rPr>
        <w:t>- pirkėjo pavadinimas, kodas;</w:t>
      </w:r>
    </w:p>
    <w:p w14:paraId="2C3CD1B3" w14:textId="77777777" w:rsidR="000B3798" w:rsidRPr="001A58BF" w:rsidRDefault="000B3798" w:rsidP="000B3798">
      <w:pPr>
        <w:spacing w:after="20"/>
        <w:ind w:firstLine="720"/>
        <w:jc w:val="both"/>
        <w:rPr>
          <w:lang w:val="lt-LT" w:eastAsia="lt-LT"/>
        </w:rPr>
      </w:pPr>
      <w:r w:rsidRPr="001A58BF">
        <w:rPr>
          <w:lang w:val="lt-LT" w:eastAsia="lt-LT"/>
        </w:rPr>
        <w:t xml:space="preserve">- prekės (paslaugos) pavadinimas; </w:t>
      </w:r>
    </w:p>
    <w:p w14:paraId="344598F8" w14:textId="77777777" w:rsidR="000B3798" w:rsidRPr="001A58BF" w:rsidRDefault="000B3798" w:rsidP="000B3798">
      <w:pPr>
        <w:spacing w:after="20"/>
        <w:ind w:firstLine="720"/>
        <w:jc w:val="both"/>
        <w:rPr>
          <w:lang w:val="lt-LT" w:eastAsia="lt-LT"/>
        </w:rPr>
      </w:pPr>
      <w:r w:rsidRPr="001A58BF">
        <w:rPr>
          <w:lang w:val="lt-LT" w:eastAsia="lt-LT"/>
        </w:rPr>
        <w:t>- prekės (paslaugos) kaina.</w:t>
      </w:r>
    </w:p>
    <w:p w14:paraId="6D0A2CDF" w14:textId="77777777" w:rsidR="000B3798" w:rsidRPr="001A58BF" w:rsidRDefault="000B3798" w:rsidP="000B3798">
      <w:pPr>
        <w:spacing w:after="20"/>
        <w:ind w:firstLine="720"/>
        <w:jc w:val="both"/>
        <w:rPr>
          <w:lang w:val="lt-LT" w:eastAsia="lt-LT"/>
        </w:rPr>
      </w:pPr>
      <w:r w:rsidRPr="001A58BF">
        <w:rPr>
          <w:lang w:val="lt-LT" w:eastAsia="lt-LT"/>
        </w:rPr>
        <w:t>Atkreiptinas dėmesys, kad sąskaita faktūra gali būti elektroninė. Elektroninės sąskaitos faktūros išrašymui ir kilmės autentiškumo, turinio vientisumo ir įskaitomumo užtikrinimui mutatis mutandis taikomos PVM įstatymo 79 straipsnio 11 dalies nuostatos.</w:t>
      </w:r>
    </w:p>
    <w:p w14:paraId="3A684B7E" w14:textId="77777777" w:rsidR="000B3798" w:rsidRDefault="000B3798" w:rsidP="000B3798">
      <w:pPr>
        <w:spacing w:after="20"/>
        <w:ind w:firstLine="720"/>
        <w:jc w:val="both"/>
        <w:rPr>
          <w:strike/>
          <w:lang w:val="lt-LT" w:eastAsia="lt-LT"/>
        </w:rPr>
      </w:pPr>
      <w:r w:rsidRPr="001A58BF">
        <w:rPr>
          <w:lang w:val="lt-LT" w:eastAsia="lt-LT"/>
        </w:rPr>
        <w:t>Todėl išlaidos gali būti pripažintos sąnaudomis pagal pardavėjo išrašytą ir pirkėjui elektroniniu paštu Word, PDF ar kitu formatu perduotą sąskaitą faktūrą, jeigu tokioje pirkėjo sąskaitoje faktūroje yra nurodyta anksčiau minėta sąskaitai faktūrai privaloma informacija.</w:t>
      </w:r>
      <w:r w:rsidRPr="001A58BF">
        <w:rPr>
          <w:strike/>
          <w:lang w:val="lt-LT" w:eastAsia="lt-LT"/>
        </w:rPr>
        <w:t xml:space="preserve">   </w:t>
      </w:r>
    </w:p>
    <w:p w14:paraId="4E24EA94" w14:textId="77777777" w:rsidR="000B3798" w:rsidRPr="00DB5C56" w:rsidRDefault="000B3798" w:rsidP="000B3798">
      <w:pPr>
        <w:spacing w:after="20"/>
        <w:ind w:firstLine="720"/>
        <w:jc w:val="both"/>
        <w:rPr>
          <w:lang w:val="lt-LT" w:eastAsia="lt-LT"/>
        </w:rPr>
      </w:pPr>
      <w:r w:rsidRPr="00DB5C56">
        <w:rPr>
          <w:lang w:val="lt-LT" w:eastAsia="lt-LT"/>
        </w:rPr>
        <w:t>5. Išlaidos gali būti pripažintos sąnaudomis pagal kasos aparatų kvitus, jeigu prekės ar paslaugos, kurių įsigijimą patvirtina kasos aparato kvitas, vertės (kartu su PVM) riba iki 100 eurų. Išlaidoms, kurių įsigijimą patvirtina kasos aparato kvitas, vertės apribojimai yra taikomi tik Lietuvoje išduotiems kasos aparato kvitams. Išlaidoms, kurių įsigijimą patvirtina užsienyje išduotas kasos aparato kvitas, ― vertės apribojimai, vadovaujantis PMĮ 11 straipsnio 6 dalies nuostatomis, netaikomi.</w:t>
      </w:r>
    </w:p>
    <w:p w14:paraId="79480661" w14:textId="77777777" w:rsidR="000B3798" w:rsidRPr="00DB5C56" w:rsidRDefault="000B3798" w:rsidP="000B3798">
      <w:pPr>
        <w:spacing w:after="20"/>
        <w:ind w:firstLine="720"/>
        <w:jc w:val="both"/>
        <w:rPr>
          <w:lang w:val="lt-LT" w:eastAsia="lt-LT"/>
        </w:rPr>
      </w:pPr>
      <w:r w:rsidRPr="001A58BF">
        <w:rPr>
          <w:lang w:val="lt-LT" w:eastAsia="lt-LT"/>
        </w:rPr>
        <w:t>5.1. Degalų (variklių benzino, dyzelinių degalų, suskystintų dujų) pirkimo išlaidos pripažįstamos sąnaudomis pagal kasos</w:t>
      </w:r>
      <w:r w:rsidRPr="00DB5C56">
        <w:rPr>
          <w:lang w:val="lt-LT" w:eastAsia="lt-LT"/>
        </w:rPr>
        <w:t xml:space="preserve"> aparatų kvitus tik tuo atveju, jeigu kasos aparato kvite nurodyta prekių (paslaugų) vertė (įskaitant PVM) neviršija 150 eurų ir jame yra visi teisės aktų nustatyti kasos aparato kvitui privalomi rekvizitai, taip pat rekvizitas (rekvizitai), pagal kurį (kuriuos) galima identifikuoti prekių (paslaugų) pirkėją. Tais atvejais, kai mažmeninėje degalų (variklių benzino, dyzelinių degalų, suskystintų dujų) prekyboje kartu su degalais įsigyjamos ir kitos prekės ar paslaugos (įskaitant atvejus, kai degalai nėra įsigyjami, pavyzdžiui, atliekamas tik automobilio cheminis valymas)</w:t>
      </w:r>
      <w:r>
        <w:rPr>
          <w:lang w:val="lt-LT" w:eastAsia="lt-LT"/>
        </w:rPr>
        <w:t>,</w:t>
      </w:r>
      <w:r w:rsidRPr="00DB5C56">
        <w:rPr>
          <w:lang w:val="lt-LT" w:eastAsia="lt-LT"/>
        </w:rPr>
        <w:t xml:space="preserve"> išlaidos sąnaudomis gali būti pripažįstamos pagal kasos aparatų kvitus, pagal Lietuvos Respublikos pridėtinės vertės mokesčio įstatymo 80 str. 7 dalies nuostatas laikomus PVM sąskaita faktūra, t. y. kvitus, kuriuose nurodyta prekių (paslaugų) vertė (įskaitant PVM) neviršija 150 eurų ir kuriuose yra visi teisės aktų nustatyti kasos aparato kvitui privalomi rekvizitai, taip pat rekvizitas (rekvizitai), pagal kurį (kuriuos) galima identifikuoti prekių (paslaugų) pirkėją.</w:t>
      </w:r>
    </w:p>
    <w:p w14:paraId="5B29B68A" w14:textId="77777777" w:rsidR="000B3798" w:rsidRPr="00DB5C56" w:rsidRDefault="000B3798" w:rsidP="000B3798">
      <w:pPr>
        <w:spacing w:after="20"/>
        <w:ind w:firstLine="720"/>
        <w:jc w:val="both"/>
        <w:rPr>
          <w:lang w:val="lt-LT" w:eastAsia="lt-LT"/>
        </w:rPr>
      </w:pPr>
      <w:r w:rsidRPr="00DB5C56">
        <w:rPr>
          <w:lang w:val="lt-LT" w:eastAsia="lt-LT"/>
        </w:rPr>
        <w:t xml:space="preserve">Degalų įsigijimo išlaidoms, kurių įsigijimą patvirtina kasos aparato kvitas, vertės apribojimas ir reikalavimai dėl kasos aparato kvite nurodomų rekvizitų, t. y. teisės aktų nustatytų kasos aparato kvitui privalomų rekvizitų bei rekvizito (rekvizitų), pagal kurį (kuriuos) galima identifikuoti prekių (paslaugų) pirkėją, yra taikomi tik Lietuvoje išduotiems kasos aparato kvitams. Minėti reikalavimai dėl kasos aparato kvite nurodomų rekvizitų bei prekių (paslaugų) vertės apribojimas, t. y. 150 eurų, pripažįstant degalų pirkimo išlaidas pagal užsienyje išduotus kasos aparato kvitus, vadovaujantis PMĮ 11 straipsnio 6 dalies nuostatomis, netaikomas. </w:t>
      </w:r>
    </w:p>
    <w:p w14:paraId="6A4CBD59" w14:textId="77777777" w:rsidR="000B3798" w:rsidRPr="00DB5C56" w:rsidRDefault="000B3798" w:rsidP="000B3798">
      <w:pPr>
        <w:spacing w:after="20"/>
        <w:ind w:firstLine="720"/>
        <w:jc w:val="both"/>
        <w:rPr>
          <w:lang w:val="lt-LT" w:eastAsia="lt-LT"/>
        </w:rPr>
      </w:pPr>
      <w:r w:rsidRPr="00DB5C56">
        <w:rPr>
          <w:lang w:val="lt-LT" w:eastAsia="lt-LT"/>
        </w:rPr>
        <w:t>Tuo atveju, jeigu yra sumokamas transporto priemonių savininkų ar valdytojų naudotojo mokestis, t. y. įsigyjamos kelių vinjetės, tai išlaidoms, kurių įsigijimą patvirtina kasos aparato kvitas, vertės apribojimai netaikomi.</w:t>
      </w:r>
    </w:p>
    <w:p w14:paraId="1D08EAC8" w14:textId="77777777" w:rsidR="000B3798" w:rsidRPr="00DB5C56" w:rsidRDefault="000B3798" w:rsidP="000B3798">
      <w:pPr>
        <w:spacing w:after="20"/>
        <w:ind w:firstLine="720"/>
        <w:jc w:val="both"/>
        <w:rPr>
          <w:lang w:val="lt-LT" w:eastAsia="lt-LT"/>
        </w:rPr>
      </w:pPr>
      <w:r w:rsidRPr="00DB5C56">
        <w:rPr>
          <w:lang w:val="lt-LT" w:eastAsia="lt-LT"/>
        </w:rPr>
        <w:t xml:space="preserve">Rekvizitu, pagal kurį galima būtų identifikuoti prekių (paslaugų) pirkėją, gali būti: pirkėjo pavadinimas, identifikacinis kodas, PVM mokėtojo kodas, pirkėją identifikuojančios kortelės, pavyzdžiui kredito įstaigų išduotos atsiskaitymo kortelės, degalinės išduotos nuolaidų kortelės ir kt., numeris ir pan. Prekių (paslaugų) pirkėją identifikuojantis rekvizitas privalo būti įrašomas tik techninėmis priemonėmis. Atkreiptinas dėmesys, kad fizinio asmens vardu, dirbančiu įmonėje, </w:t>
      </w:r>
      <w:r w:rsidRPr="00DB5C56">
        <w:rPr>
          <w:lang w:val="lt-LT" w:eastAsia="lt-LT"/>
        </w:rPr>
        <w:lastRenderedPageBreak/>
        <w:t>degalinės išduotos kortelės numeris nelaikomas tą įmonę, kurioje šis fizinis asmuo dirba, identifikuojančiu rekvizitu.</w:t>
      </w:r>
    </w:p>
    <w:p w14:paraId="7A23C043" w14:textId="77777777" w:rsidR="000B3798" w:rsidRPr="00DB5C56" w:rsidRDefault="000B3798" w:rsidP="000B3798">
      <w:pPr>
        <w:spacing w:after="20"/>
        <w:ind w:firstLine="720"/>
        <w:jc w:val="both"/>
        <w:rPr>
          <w:lang w:val="lt-LT" w:eastAsia="lt-LT"/>
        </w:rPr>
      </w:pPr>
      <w:r w:rsidRPr="00DB5C56">
        <w:rPr>
          <w:lang w:val="lt-LT" w:eastAsia="lt-LT"/>
        </w:rPr>
        <w:t>Tais atvejais, kai atsiskaitant už degalus naudojamos specialios degalų pardavėjo išduotos kortelės, atsiskaitymas kuriomis gali būti identifikuotas kasos aparato kvite (kai prekių (paslaugų) kaina yra 150 eurų ir daugiau, nes degalų įsigijimo išlaidos pagal ka</w:t>
      </w:r>
      <w:r>
        <w:rPr>
          <w:lang w:val="lt-LT" w:eastAsia="lt-LT"/>
        </w:rPr>
        <w:t>sos aparato kvitą, atitinkamai i</w:t>
      </w:r>
      <w:r w:rsidRPr="00DB5C56">
        <w:rPr>
          <w:lang w:val="lt-LT" w:eastAsia="lt-LT"/>
        </w:rPr>
        <w:t>ki 150 eurų sumos yra laikoma PVM sąskaita faktūra), degalų įsigijimo išlaidos sąnaudomis pripažįstamos tik pagal sąskaitas faktūras ar PVM sąskaitas faktūras. Šiuo atveju prie sąskaitos faktūros ar PVM sąskaitos faktūros kasos aparato kvito turėti neprivaloma.</w:t>
      </w:r>
    </w:p>
    <w:p w14:paraId="4893C0BA" w14:textId="77777777" w:rsidR="000B3798" w:rsidRPr="00DB5C56" w:rsidRDefault="000B3798" w:rsidP="000B3798">
      <w:pPr>
        <w:spacing w:after="20"/>
        <w:ind w:firstLine="720"/>
        <w:jc w:val="both"/>
        <w:rPr>
          <w:lang w:val="lt-LT" w:eastAsia="lt-LT"/>
        </w:rPr>
      </w:pPr>
      <w:r w:rsidRPr="00DB5C56">
        <w:rPr>
          <w:lang w:val="lt-LT" w:eastAsia="lt-LT"/>
        </w:rPr>
        <w:t>5.2. Kasos aparatų naudojimo tvarka ir reikalavimai išduotiems kasos aparatų kvitams yra nustatyti Lietuvos Respublikos Vyriausybės 2002 m. rugpjūčio 13 d. nutarime Nr. 1283 ,,Dėl kasos aparatų diegimo ir naudojimo tvarkos patvirtinimo“.</w:t>
      </w:r>
    </w:p>
    <w:p w14:paraId="6755791C" w14:textId="77777777" w:rsidR="000B3798" w:rsidRPr="00DB5C56" w:rsidRDefault="000B3798" w:rsidP="000B3798">
      <w:pPr>
        <w:spacing w:after="20"/>
        <w:ind w:firstLine="720"/>
        <w:jc w:val="both"/>
        <w:rPr>
          <w:lang w:val="lt-LT" w:eastAsia="lt-LT"/>
        </w:rPr>
      </w:pPr>
      <w:r w:rsidRPr="00DB5C56">
        <w:rPr>
          <w:lang w:val="lt-LT" w:eastAsia="lt-LT"/>
        </w:rPr>
        <w:t>5.3. Jeigu prekių tiekimas ir (arba) paslaugų teikimas įforminamas kasos aparato kvitu, tačiau pirkėjui pareikalavus pardavėjas turi išrašyti jam sąskaitą faktūrą arba PVM sąskaitą faktūrą. Tokioje sąskaitoje faktūroje arba PVM sąskaitoje faktūroje, be kitų privalomų rekvizitų, turi būti įrašomas unikalus kasos aparato numeris, kasos kvito eilės numeris ir kvito išdavimo data.</w:t>
      </w:r>
    </w:p>
    <w:p w14:paraId="55140355" w14:textId="77777777" w:rsidR="000B3798" w:rsidRPr="00DB5C56" w:rsidRDefault="000B3798" w:rsidP="000B3798">
      <w:pPr>
        <w:spacing w:after="20"/>
        <w:ind w:firstLine="720"/>
        <w:jc w:val="both"/>
        <w:rPr>
          <w:lang w:val="lt-LT" w:eastAsia="lt-LT"/>
        </w:rPr>
      </w:pPr>
      <w:r w:rsidRPr="00DB5C56">
        <w:rPr>
          <w:lang w:val="lt-LT" w:eastAsia="lt-LT"/>
        </w:rPr>
        <w:t>Jeigu prekės ar paslaugos pardavėjas pirkėjui (klientui) išdavė kasos aparato kvitą ir nustatyta tvarka išrašė sąskaitą faktūrą ar PVM sąskaitą faktūrą, tai išlaidos sąnaudomis pripažįstamos pagal jas, tačiau pirkėjas (klientas) prie sąskaitos faktūros ar PVM sąskaitos faktūros privalo turėti ir kasos aparato kvitą. Tuo atveju, kai prekės ar paslaugos vertė (kartu su PVM) viršija nustatytą ribą, t. y. 100 eurų arba 150 eurų, o pardavėjas, išrašydamas sąskaitą faktūrą ar PVM sąskaitą faktūrą, išdavė ir kasos aparato kvitą, tai sąnaudoms pripažinti pirkėjas (klientas) prie sąskaitos faktūros ar PVM sąskaitos faktūros privalo turėti ir kasos aparato kvitą, tačiau tokiu atveju, vertės apribojimai netaikomi.</w:t>
      </w:r>
    </w:p>
    <w:p w14:paraId="7BD0BDC0" w14:textId="77777777" w:rsidR="000B3798" w:rsidRPr="00DB5C56" w:rsidRDefault="000B3798" w:rsidP="000B3798">
      <w:pPr>
        <w:spacing w:after="20"/>
        <w:ind w:firstLine="720"/>
        <w:jc w:val="both"/>
        <w:rPr>
          <w:lang w:val="lt-LT" w:eastAsia="lt-LT"/>
        </w:rPr>
      </w:pPr>
      <w:r w:rsidRPr="00DB5C56">
        <w:rPr>
          <w:lang w:val="lt-LT" w:eastAsia="lt-LT"/>
        </w:rPr>
        <w:t>5.4. Pagal PVM įstatymo 80 straipsnio 7 dalį mažmeninėje degalų (variklių benzino, dyzelinių degalų, suskystintųjų dujų) prekyboje, parduodant prekes (paslaugas), kasos aparato kvitas yra laikomas PVM sąskaita faktūra, jeigu:</w:t>
      </w:r>
    </w:p>
    <w:p w14:paraId="120C61D8" w14:textId="77777777" w:rsidR="000B3798" w:rsidRPr="00DB5C56" w:rsidRDefault="000B3798" w:rsidP="000B3798">
      <w:pPr>
        <w:spacing w:after="20"/>
        <w:ind w:firstLine="720"/>
        <w:jc w:val="both"/>
        <w:rPr>
          <w:lang w:val="lt-LT" w:eastAsia="lt-LT"/>
        </w:rPr>
      </w:pPr>
      <w:r w:rsidRPr="00DB5C56">
        <w:rPr>
          <w:lang w:val="lt-LT" w:eastAsia="lt-LT"/>
        </w:rPr>
        <w:t xml:space="preserve">- prekių (paslaugų) kaina (įskaitant PVM), nurodyta viename kvite, </w:t>
      </w:r>
      <w:r w:rsidRPr="00FD0135">
        <w:rPr>
          <w:lang w:val="lt-LT" w:eastAsia="lt-LT"/>
        </w:rPr>
        <w:t>neviršija 150</w:t>
      </w:r>
      <w:r w:rsidRPr="00DB5C56">
        <w:rPr>
          <w:lang w:val="lt-LT" w:eastAsia="lt-LT"/>
        </w:rPr>
        <w:t xml:space="preserve"> eurų ir</w:t>
      </w:r>
    </w:p>
    <w:p w14:paraId="00124EF3" w14:textId="77777777" w:rsidR="000B3798" w:rsidRPr="00DB5C56" w:rsidRDefault="000B3798" w:rsidP="000B3798">
      <w:pPr>
        <w:spacing w:after="20"/>
        <w:ind w:firstLine="720"/>
        <w:jc w:val="both"/>
        <w:rPr>
          <w:lang w:val="lt-LT" w:eastAsia="lt-LT"/>
        </w:rPr>
      </w:pPr>
      <w:r w:rsidRPr="00DB5C56">
        <w:rPr>
          <w:lang w:val="lt-LT" w:eastAsia="lt-LT"/>
        </w:rPr>
        <w:t>- kasos aparato kvite yra nurodyti Lietuvos Respublikos Vyriausybės 2002-08-13 nutarimu Nr. 1283 patvirtintoje Kasos aparatų diegimo ir naudojimo tvarkoje nustatyti kvitui privalomi rekvizitai ir</w:t>
      </w:r>
    </w:p>
    <w:p w14:paraId="596B6B96" w14:textId="77777777" w:rsidR="000B3798" w:rsidRPr="00DB5C56" w:rsidRDefault="000B3798" w:rsidP="000B3798">
      <w:pPr>
        <w:spacing w:after="20"/>
        <w:ind w:firstLine="720"/>
        <w:jc w:val="both"/>
        <w:rPr>
          <w:lang w:val="lt-LT" w:eastAsia="lt-LT"/>
        </w:rPr>
      </w:pPr>
      <w:r w:rsidRPr="00DB5C56">
        <w:rPr>
          <w:lang w:val="lt-LT" w:eastAsia="lt-LT"/>
        </w:rPr>
        <w:t>- rekvizitas, pagal kurį galima identifikuoti prekių (paslaugų) pirkėją.</w:t>
      </w:r>
    </w:p>
    <w:p w14:paraId="090B32E3" w14:textId="77777777" w:rsidR="000B3798" w:rsidRPr="00DB5C56" w:rsidRDefault="000B3798" w:rsidP="000B3798">
      <w:pPr>
        <w:spacing w:after="20"/>
        <w:ind w:firstLine="720"/>
        <w:jc w:val="both"/>
        <w:rPr>
          <w:lang w:val="lt-LT" w:eastAsia="lt-LT"/>
        </w:rPr>
      </w:pPr>
      <w:r w:rsidRPr="00DB5C56">
        <w:rPr>
          <w:lang w:val="lt-LT" w:eastAsia="lt-LT"/>
        </w:rPr>
        <w:t>6. Tais atvejais, kai, parduodant keleivinio transporto bilietus, neprivaloma išduoti kasos aparato kvito, keleivinio transporto išlaidos gali būti pripažintos sąnaudomis pagal teisės aktų reikalavimus atitinkančius keleivinio transporto bilietus. Keleivinio transporto biliete neturi būti nurodomas pirkėjo (kliento) pavadinimas, įmonės kodas (asmens kodas). Reikalavimus, kaip turi būti išrašyti keleivinio transporto bilietai, nustato Lietuvos Respublikos susisiekimo ministerija. Reikalavimai keleivinio kelių transporto bilietams yra nustatyti Keleivių ir bagažo vežimo kelių transportu taisyklėse, patvirtintose Lietuvos Respublikos susisiekimo ministerijos 2011 m. balandžio 13 d. įsakymu Nr. 3-223 taip pat kituose teisės aktuose.</w:t>
      </w:r>
    </w:p>
    <w:p w14:paraId="0DABE3F8" w14:textId="77777777" w:rsidR="000B3798" w:rsidRPr="00DB5C56" w:rsidRDefault="000B3798" w:rsidP="000B3798">
      <w:pPr>
        <w:spacing w:after="20"/>
        <w:ind w:firstLine="720"/>
        <w:jc w:val="both"/>
        <w:rPr>
          <w:lang w:val="lt-LT" w:eastAsia="lt-LT"/>
        </w:rPr>
      </w:pPr>
      <w:r w:rsidRPr="00DB5C56">
        <w:rPr>
          <w:lang w:val="lt-LT" w:eastAsia="lt-LT"/>
        </w:rPr>
        <w:t>7</w:t>
      </w:r>
      <w:r w:rsidRPr="00FD0135">
        <w:rPr>
          <w:lang w:val="lt-LT" w:eastAsia="lt-LT"/>
        </w:rPr>
        <w:t>. Išlaidos</w:t>
      </w:r>
      <w:r w:rsidRPr="00DB5C56">
        <w:rPr>
          <w:lang w:val="lt-LT" w:eastAsia="lt-LT"/>
        </w:rPr>
        <w:t xml:space="preserve"> gali būti pripažintos sąnaudomis pagal pinigų priėmimo kvitus, kuriuos už suteiktas taksi paslaugas išduoda vežėjai. Tais atvejais, kai vežėjas už suteikiamas taksi paslaugas pirkėjui (klientui) išdavė pinigų priėmimo kvitą ir nustatyta tvarka išrašė sąskaitą faktūrą ar PVM sąskaitą faktūrą, išlaidos sąnaudomis pripažįstamos pagal jas, tačiau pirkėjas (klientas) prie PVM sąskaitos faktūros ar sąskaitos faktūros privalo turėti ir pinigų priėmimo kvitą.</w:t>
      </w:r>
    </w:p>
    <w:p w14:paraId="165548BC" w14:textId="77777777" w:rsidR="000B3798" w:rsidRPr="00FD0135" w:rsidRDefault="000B3798" w:rsidP="000B3798">
      <w:pPr>
        <w:spacing w:after="20"/>
        <w:ind w:firstLine="720"/>
        <w:jc w:val="both"/>
        <w:rPr>
          <w:lang w:val="lt-LT" w:eastAsia="lt-LT"/>
        </w:rPr>
      </w:pPr>
      <w:r w:rsidRPr="00FD0135">
        <w:rPr>
          <w:lang w:val="lt-LT" w:eastAsia="lt-LT"/>
        </w:rPr>
        <w:t>Atkreiptinas dėmesys į tai, kad taksi paslaugų teikimo ir atsiskaitymo tvarka yra reglamentuota Keleivių vežimo už atlygį lengvaisiais automobiliais pagal užsakymą ir lengvaisiais automobiliais taksi taisyklėse, patvirtintose Lietuvos Respublikos susisiekimo ministro 2012 m. sausio 27 d. įsakymu Nr. 3-80.</w:t>
      </w:r>
    </w:p>
    <w:p w14:paraId="60D40B25" w14:textId="77777777" w:rsidR="000B3798" w:rsidRPr="00DB5C56" w:rsidRDefault="000B3798" w:rsidP="000B3798">
      <w:pPr>
        <w:spacing w:after="20"/>
        <w:ind w:firstLine="720"/>
        <w:jc w:val="both"/>
        <w:rPr>
          <w:lang w:val="lt-LT" w:eastAsia="lt-LT"/>
        </w:rPr>
      </w:pPr>
      <w:r w:rsidRPr="00DB5C56">
        <w:rPr>
          <w:lang w:val="lt-LT" w:eastAsia="lt-LT"/>
        </w:rPr>
        <w:t>Kai už suteiktas taksi paslaugas atsiskaitoma banko pavedimu, išlaidos už šias paslaugas gali būti pripažįstamos sąnaudomis pagal PVM sąskaitą faktūrą, kuri išrašoma už per mėnesį suteiktas taksi paslaugas. Šiuo atveju pirkėjas (klientas) neprivalo turėti pinigų priėmimo kvitų.</w:t>
      </w:r>
    </w:p>
    <w:p w14:paraId="41BC62C8" w14:textId="77777777" w:rsidR="000B3798" w:rsidRPr="00DB5C56" w:rsidRDefault="000B3798" w:rsidP="000B3798">
      <w:pPr>
        <w:spacing w:after="20"/>
        <w:ind w:firstLine="720"/>
        <w:jc w:val="both"/>
        <w:rPr>
          <w:lang w:val="lt-LT" w:eastAsia="lt-LT"/>
        </w:rPr>
      </w:pPr>
      <w:r w:rsidRPr="00DB5C56">
        <w:rPr>
          <w:lang w:val="lt-LT" w:eastAsia="lt-LT"/>
        </w:rPr>
        <w:lastRenderedPageBreak/>
        <w:t xml:space="preserve">8. Ilgalaikio materialiojo turto, kuris nuosavybės teise priklauso ūkinių bendrijų nariams, individualių įmonių savininkams ir jų šeimų nariams ir kuris yra naudojamas šių vienetų veikloje, eksploatavimo ir remonto išlaidos gali būti pripažintos sąnaudomis finansų ministro nustatyta tvarka, patvirtinta Lietuvos Respublikos finansų ministro 2002 m. vasario 11 d. įsakymu Nr. 39 ,,Dėl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tiek pagal vieneto vardu, tiek pagal individualios įmonės savininko, ūkinės bendrijos nario ar šeimos nario vardu išrašytas sąskaitas faktūras ar PVM sąskaitas faktūras, jeigu, be kitų anksčiau minėtų PVM sąskaitų faktūrų ar sąskaitų faktūrų rekvizitų, jose yra nurodytas fizinio asmens vardas, pavardė, PVM mokėtojo kodas, o jeigu fizinis asmuo neturi PVM mokėtojo kodo – asmens kodas arba individualios veiklos vykdymo pažymos numeris) (žr. Lietuvos Respublikos Vyriausybės 2002 m. gegužės 29 d. nutarimo Nr. 780  2.7. punktą). </w:t>
      </w:r>
    </w:p>
    <w:p w14:paraId="73267269" w14:textId="77777777" w:rsidR="000B3798" w:rsidRPr="00DB5C56" w:rsidRDefault="000B3798" w:rsidP="000B3798">
      <w:pPr>
        <w:spacing w:after="20"/>
        <w:ind w:firstLine="720"/>
        <w:jc w:val="both"/>
        <w:rPr>
          <w:lang w:val="lt-LT" w:eastAsia="lt-LT"/>
        </w:rPr>
      </w:pPr>
      <w:r w:rsidRPr="00DB5C56">
        <w:rPr>
          <w:lang w:val="lt-LT" w:eastAsia="lt-LT"/>
        </w:rPr>
        <w:t xml:space="preserve">Ūkinių bendrijų nariams, individualių įmonių savininkams ir jų šeimų nariams priklausančio ilgalaikio materialiojo turto, naudojamo šių vienetų veikloje, eksploatacinės išlaidos, t.y. nuolatinės ir ilgalaikės paslaugos, teikiamos pagal gyvenamųjų patalpų nuomos, energijos (šalto ir karšto vandens, elektros ir šilumos energijos, dujų) pirkimo – pardavimo sutartis, taip pat už telekomunikacijų ir komunikacinių paslaugų suteikimą, vieneto sąnaudomis gali būti pripažįstamos pagal šias paslaugas teikiančių vienetų išrašomus fiziniams asmenims (individualių įmonių savininkams, ūkinių bendrijų nariams arba jų šeimos nariams) apskaitos dokumentus, kuriuose turi būti </w:t>
      </w:r>
      <w:r w:rsidRPr="00FD0135">
        <w:rPr>
          <w:lang w:val="lt-LT" w:eastAsia="lt-LT"/>
        </w:rPr>
        <w:t>nurodyti FAĮ 7 straipsnio 1 dalyje nustatyti</w:t>
      </w:r>
      <w:r w:rsidRPr="00DB5C56">
        <w:rPr>
          <w:lang w:val="lt-LT" w:eastAsia="lt-LT"/>
        </w:rPr>
        <w:t xml:space="preserve"> rekvizitai: </w:t>
      </w:r>
    </w:p>
    <w:p w14:paraId="25002B98" w14:textId="77777777" w:rsidR="000B3798" w:rsidRPr="00DB5C56" w:rsidRDefault="000B3798" w:rsidP="000B3798">
      <w:pPr>
        <w:spacing w:after="20"/>
        <w:ind w:firstLine="720"/>
        <w:jc w:val="both"/>
        <w:rPr>
          <w:lang w:val="lt-LT" w:eastAsia="lt-LT"/>
        </w:rPr>
      </w:pPr>
      <w:r w:rsidRPr="00DB5C56">
        <w:rPr>
          <w:lang w:val="lt-LT" w:eastAsia="lt-LT"/>
        </w:rPr>
        <w:t>- apskaitos dokumento pavadinimas;</w:t>
      </w:r>
    </w:p>
    <w:p w14:paraId="12952D07" w14:textId="77777777" w:rsidR="000B3798" w:rsidRPr="00DB5C56" w:rsidRDefault="000B3798" w:rsidP="000B3798">
      <w:pPr>
        <w:spacing w:after="20"/>
        <w:ind w:firstLine="720"/>
        <w:jc w:val="both"/>
        <w:rPr>
          <w:lang w:val="lt-LT" w:eastAsia="lt-LT"/>
        </w:rPr>
      </w:pPr>
      <w:r w:rsidRPr="00DB5C56">
        <w:rPr>
          <w:lang w:val="lt-LT" w:eastAsia="lt-LT"/>
        </w:rPr>
        <w:t xml:space="preserve">- ūkio subjekto, suteikusio paslaugas, pavadinimas, kodas; </w:t>
      </w:r>
    </w:p>
    <w:p w14:paraId="7FED31F7" w14:textId="77777777" w:rsidR="000B3798" w:rsidRPr="00DB5C56" w:rsidRDefault="000B3798" w:rsidP="000B3798">
      <w:pPr>
        <w:spacing w:after="20"/>
        <w:ind w:firstLine="720"/>
        <w:jc w:val="both"/>
        <w:rPr>
          <w:lang w:val="lt-LT" w:eastAsia="lt-LT"/>
        </w:rPr>
      </w:pPr>
      <w:r w:rsidRPr="00DB5C56">
        <w:rPr>
          <w:lang w:val="lt-LT" w:eastAsia="lt-LT"/>
        </w:rPr>
        <w:t xml:space="preserve">- apskaitos dokumento data; </w:t>
      </w:r>
    </w:p>
    <w:p w14:paraId="49A2DB6C" w14:textId="77777777" w:rsidR="000B3798" w:rsidRPr="00DB5C56" w:rsidRDefault="000B3798" w:rsidP="000B3798">
      <w:pPr>
        <w:spacing w:after="20"/>
        <w:ind w:firstLine="720"/>
        <w:jc w:val="both"/>
        <w:rPr>
          <w:lang w:val="lt-LT" w:eastAsia="lt-LT"/>
        </w:rPr>
      </w:pPr>
      <w:r w:rsidRPr="00DB5C56">
        <w:rPr>
          <w:lang w:val="lt-LT" w:eastAsia="lt-LT"/>
        </w:rPr>
        <w:t>- paslaugų gavėjo pavadinimas (nurodomas paslaugų gavėją identifikuojantis rekvizitas, pvz., paslaugų gavėjo vardas ir pavardė, atsiskaitymo knygelės numeris ir kt.). Šiuo atveju paslaugų gavėjo asmens kodo nurodyti neprivaloma;</w:t>
      </w:r>
    </w:p>
    <w:p w14:paraId="07C8A078" w14:textId="77777777" w:rsidR="000B3798" w:rsidRPr="00DB5C56" w:rsidRDefault="000B3798" w:rsidP="000B3798">
      <w:pPr>
        <w:spacing w:after="20"/>
        <w:ind w:firstLine="720"/>
        <w:jc w:val="both"/>
        <w:rPr>
          <w:lang w:val="lt-LT" w:eastAsia="lt-LT"/>
        </w:rPr>
      </w:pPr>
      <w:r w:rsidRPr="00DB5C56">
        <w:rPr>
          <w:lang w:val="lt-LT" w:eastAsia="lt-LT"/>
        </w:rPr>
        <w:t>- paslaugų pavadinimai;</w:t>
      </w:r>
    </w:p>
    <w:p w14:paraId="36C0D417" w14:textId="77777777" w:rsidR="005F7768" w:rsidRPr="005F7768" w:rsidRDefault="000B3798" w:rsidP="005F7768">
      <w:pPr>
        <w:spacing w:after="20"/>
        <w:ind w:firstLine="720"/>
        <w:jc w:val="both"/>
        <w:rPr>
          <w:lang w:val="lt-LT" w:eastAsia="lt-LT"/>
        </w:rPr>
      </w:pPr>
      <w:r w:rsidRPr="00DB5C56">
        <w:rPr>
          <w:lang w:val="lt-LT" w:eastAsia="lt-LT"/>
        </w:rPr>
        <w:t>- suteiktų paslaugų vertė pinigais ir (arba) jų kiekis atitinkamais matavimo vienetais.</w:t>
      </w:r>
      <w:r w:rsidR="005F7768">
        <w:rPr>
          <w:lang w:val="lt-LT" w:eastAsia="lt-LT"/>
        </w:rPr>
        <w:t xml:space="preserve"> </w:t>
      </w:r>
      <w:r w:rsidR="005F7768" w:rsidRPr="005F7768">
        <w:rPr>
          <w:lang w:val="lt-LT" w:eastAsia="lt-LT"/>
        </w:rPr>
        <w:t>Taikant Lietuvos Respublikos </w:t>
      </w:r>
      <w:hyperlink r:id="rId59" w:tgtFrame="_blank" w:tooltip="Lietuvos Respublikos atsiskaitymų grynaisiais pinigais sumų apvalinimo įstatymas" w:history="1">
        <w:r w:rsidR="005F7768" w:rsidRPr="005F7768">
          <w:rPr>
            <w:lang w:val="lt-LT" w:eastAsia="lt-LT"/>
          </w:rPr>
          <w:t>atsiskaitymų grynaisiais pinigais sumų apvalinimo įstatymą</w:t>
        </w:r>
      </w:hyperlink>
      <w:r w:rsidR="005F7768" w:rsidRPr="005F7768">
        <w:rPr>
          <w:lang w:val="lt-LT" w:eastAsia="lt-LT"/>
        </w:rPr>
        <w:t xml:space="preserve">, nuo </w:t>
      </w:r>
      <w:r w:rsidR="005F7768" w:rsidRPr="005F7768">
        <w:rPr>
          <w:color w:val="000000"/>
          <w:shd w:val="clear" w:color="auto" w:fill="FFFFFF"/>
          <w:lang w:val="lt-LT"/>
        </w:rPr>
        <w:t>2025 m. gegužės 1 d. apskaitos dokumentuose,</w:t>
      </w:r>
      <w:r w:rsidR="005F7768" w:rsidRPr="005F7768">
        <w:rPr>
          <w:rFonts w:ascii="Arial" w:hAnsi="Arial" w:cs="Arial"/>
          <w:color w:val="000000"/>
          <w:sz w:val="22"/>
          <w:szCs w:val="22"/>
          <w:shd w:val="clear" w:color="auto" w:fill="FFFFFF"/>
          <w:lang w:val="lt-LT"/>
        </w:rPr>
        <w:t xml:space="preserve"> </w:t>
      </w:r>
      <w:r w:rsidR="005F7768" w:rsidRPr="005F7768">
        <w:rPr>
          <w:color w:val="000000"/>
          <w:shd w:val="clear" w:color="auto" w:fill="FFFFFF"/>
          <w:lang w:val="lt-LT"/>
        </w:rPr>
        <w:t>išskyrus pridėtinės vertės mokesčio sąskaitas faktūras</w:t>
      </w:r>
      <w:r w:rsidR="005F7768" w:rsidRPr="005F7768">
        <w:rPr>
          <w:rFonts w:ascii="Arial" w:hAnsi="Arial" w:cs="Arial"/>
          <w:color w:val="000000"/>
          <w:sz w:val="22"/>
          <w:szCs w:val="22"/>
          <w:shd w:val="clear" w:color="auto" w:fill="FFFFFF"/>
          <w:lang w:val="lt-LT"/>
        </w:rPr>
        <w:t>,</w:t>
      </w:r>
      <w:r w:rsidR="005F7768" w:rsidRPr="005F7768">
        <w:rPr>
          <w:color w:val="000000"/>
          <w:shd w:val="clear" w:color="auto" w:fill="FFFFFF"/>
          <w:lang w:val="lt-LT"/>
        </w:rPr>
        <w:t xml:space="preserve"> </w:t>
      </w:r>
      <w:r w:rsidR="005F7768" w:rsidRPr="005F7768">
        <w:rPr>
          <w:lang w:val="lt-LT" w:eastAsia="lt-LT"/>
        </w:rPr>
        <w:t>turi būti nurodyta  apvalinimo suma, lygi bendros mokėtinos sumos už vienu metu grąžinamas (grąžinamą) prekes (prekę), įsigyjamas ar parduodamas prekes (paslaugas) ir bendros mokėtinos sumos, pritaikius apvalinimą, skirtumui, ir bendra mokėtina suma, pritaikius apvalinimą.</w:t>
      </w:r>
    </w:p>
    <w:p w14:paraId="1E954E8C" w14:textId="77777777" w:rsidR="000B3798" w:rsidRPr="00DB5C56" w:rsidRDefault="00D765DA" w:rsidP="000B3798">
      <w:pPr>
        <w:spacing w:after="20"/>
        <w:ind w:firstLine="720"/>
        <w:jc w:val="both"/>
        <w:rPr>
          <w:lang w:val="lt-LT" w:eastAsia="lt-LT"/>
        </w:rPr>
      </w:pPr>
      <w:r>
        <w:rPr>
          <w:iCs/>
          <w:lang w:eastAsia="lt-LT"/>
        </w:rPr>
        <w:t>(PMĮ 11 straipsnio 4 d. 8 p. antros pastraipos komentaras papildytas pagal VMI prie FM 2025-02-28 raštą Nr. (18.32-31-1 Mr) R-870)</w:t>
      </w:r>
    </w:p>
    <w:p w14:paraId="60F322AE" w14:textId="77777777" w:rsidR="000B3798" w:rsidRPr="00DB5C56" w:rsidRDefault="000B3798" w:rsidP="000B3798">
      <w:pPr>
        <w:spacing w:after="20"/>
        <w:ind w:firstLine="720"/>
        <w:jc w:val="both"/>
        <w:rPr>
          <w:lang w:val="lt-LT" w:eastAsia="lt-LT"/>
        </w:rPr>
      </w:pPr>
      <w:r w:rsidRPr="00DB5C56">
        <w:rPr>
          <w:lang w:val="lt-LT" w:eastAsia="lt-LT"/>
        </w:rPr>
        <w:t xml:space="preserve">9. Lietuvos Respublikos finansų ministro 2003 m. vasario 17 d. įsakymu Nr.1K-040 patvirtintose Gyventojų, besiverčiančių individualia veikla (išskyrus gyventojus, įsigijusius verslo liudijimus), buhalterinės apskaitos taisyklėse nustatyta, kokius apskaitos dokumentus turi naudoti gyventojai, besiverčiantys individualia veikla (išskyrus gyventojus, įsigijusius verslo liudijimus). </w:t>
      </w:r>
    </w:p>
    <w:p w14:paraId="6A865489" w14:textId="77777777" w:rsidR="000B3798" w:rsidRPr="00DB5C56" w:rsidRDefault="000B3798" w:rsidP="000B3798">
      <w:pPr>
        <w:spacing w:after="20"/>
        <w:ind w:firstLine="720"/>
        <w:jc w:val="both"/>
        <w:rPr>
          <w:lang w:val="lt-LT" w:eastAsia="lt-LT"/>
        </w:rPr>
      </w:pPr>
      <w:r w:rsidRPr="00DB5C56">
        <w:rPr>
          <w:lang w:val="lt-LT" w:eastAsia="lt-LT"/>
        </w:rPr>
        <w:t>Jeigu prekės tiekiamos ir (arba) paslaugos teikiamos gyventojo, PVM mokėtojo, kuris vykdo individualią veiklą ir kuris neprivalo naudoti kasos aparato, tai sąnaudos yra pripažįstamos tik pagal tokio gyventojo išrašytą PVM sąskaitą faktūrą, o jeigu gyventojo, ne PVM mokėtojo, ― pagal tokio gyve</w:t>
      </w:r>
      <w:r>
        <w:rPr>
          <w:lang w:val="lt-LT" w:eastAsia="lt-LT"/>
        </w:rPr>
        <w:t>ntojo išrašytą sąskaitą faktūrą</w:t>
      </w:r>
      <w:r w:rsidRPr="00DB5C56">
        <w:rPr>
          <w:lang w:val="lt-LT" w:eastAsia="lt-LT"/>
        </w:rPr>
        <w:t xml:space="preserve">.  </w:t>
      </w:r>
    </w:p>
    <w:p w14:paraId="3E65F81E" w14:textId="77777777" w:rsidR="000B3798" w:rsidRPr="00DB5C56" w:rsidRDefault="000B3798" w:rsidP="000B3798">
      <w:pPr>
        <w:spacing w:after="20"/>
        <w:ind w:firstLine="720"/>
        <w:jc w:val="both"/>
        <w:rPr>
          <w:lang w:val="lt-LT" w:eastAsia="lt-LT"/>
        </w:rPr>
      </w:pPr>
      <w:r w:rsidRPr="00DB5C56">
        <w:rPr>
          <w:lang w:val="lt-LT" w:eastAsia="lt-LT"/>
        </w:rPr>
        <w:t>Jeigu prekės tiekiamos ir (arba) paslaugos teikiamos gyventojo, PVM mokėtojo, kuris vykdo individualią veiklą ir kuris privalo naudoti kasos aparatą, tai sąnaudos yra pripažįstamos pagal kasos aparato kvitą bei pagal pirkėjo pageidavimu išrašytą PVM sąskaitą faktūrą, o jeigu gyventojo, ne PVM mokėtojo, ― pagal kasos aparato kvitą bei pagal pirkėjo pageidavimu išrašytą sąskaitą faktūrą.</w:t>
      </w:r>
    </w:p>
    <w:p w14:paraId="68EC6366" w14:textId="77777777" w:rsidR="000B3798" w:rsidRPr="00DB5C56" w:rsidRDefault="000B3798" w:rsidP="000B3798">
      <w:pPr>
        <w:spacing w:after="20"/>
        <w:ind w:firstLine="720"/>
        <w:jc w:val="both"/>
        <w:rPr>
          <w:lang w:val="lt-LT" w:eastAsia="lt-LT"/>
        </w:rPr>
      </w:pPr>
      <w:r w:rsidRPr="00DB5C56">
        <w:rPr>
          <w:lang w:val="lt-LT" w:eastAsia="lt-LT"/>
        </w:rPr>
        <w:lastRenderedPageBreak/>
        <w:t>Jeigu savos gamybos prekės tiekiamos ir (arba) paslaugos teikiamos gyventojo, kuris vykdo individualią veiklą, įsigijęs verslo liudijimą, tai sąnaudos yra pripažįstamos pagal tokio gyventojo išduotą prekių (paslaugų) pirkimo</w:t>
      </w:r>
      <w:r>
        <w:rPr>
          <w:lang w:val="lt-LT" w:eastAsia="lt-LT"/>
        </w:rPr>
        <w:t xml:space="preserve"> </w:t>
      </w:r>
      <w:r w:rsidRPr="00DB5C56">
        <w:rPr>
          <w:lang w:val="lt-LT" w:eastAsia="lt-LT"/>
        </w:rPr>
        <w:t>―</w:t>
      </w:r>
      <w:r>
        <w:rPr>
          <w:lang w:val="lt-LT" w:eastAsia="lt-LT"/>
        </w:rPr>
        <w:t xml:space="preserve"> </w:t>
      </w:r>
      <w:r w:rsidRPr="00DB5C56">
        <w:rPr>
          <w:lang w:val="lt-LT" w:eastAsia="lt-LT"/>
        </w:rPr>
        <w:t>pardavimo kvitą. Jeigu už suteiktas paslaugas ar perduotas savos gamybos prekes atsiskaitoma vėliau, tai prekių perdavimo bei paslaugų suteikimo momentu išrašoma sąskaita faktūra (nurodant, kad atsiskaityta bus vėliau), o vėliau, atsiskaičius grynaisiais, išrašomas Prekių (paslaugų) pirkimo</w:t>
      </w:r>
      <w:r>
        <w:rPr>
          <w:lang w:val="lt-LT" w:eastAsia="lt-LT"/>
        </w:rPr>
        <w:t xml:space="preserve"> </w:t>
      </w:r>
      <w:r w:rsidRPr="00DB5C56">
        <w:rPr>
          <w:lang w:val="lt-LT" w:eastAsia="lt-LT"/>
        </w:rPr>
        <w:t>―</w:t>
      </w:r>
      <w:r>
        <w:rPr>
          <w:lang w:val="lt-LT" w:eastAsia="lt-LT"/>
        </w:rPr>
        <w:t xml:space="preserve"> </w:t>
      </w:r>
      <w:r w:rsidRPr="00DB5C56">
        <w:rPr>
          <w:lang w:val="lt-LT" w:eastAsia="lt-LT"/>
        </w:rPr>
        <w:t xml:space="preserve">pardavimo kvitas. </w:t>
      </w:r>
    </w:p>
    <w:p w14:paraId="4FAE2B5A" w14:textId="77777777" w:rsidR="000B3798" w:rsidRPr="00FD0135" w:rsidRDefault="000B3798" w:rsidP="000B3798">
      <w:pPr>
        <w:spacing w:after="20"/>
        <w:ind w:firstLine="720"/>
        <w:jc w:val="both"/>
        <w:rPr>
          <w:lang w:val="lt-LT" w:eastAsia="lt-LT"/>
        </w:rPr>
      </w:pPr>
      <w:r w:rsidRPr="00DB5C56">
        <w:rPr>
          <w:lang w:val="lt-LT" w:eastAsia="lt-LT"/>
        </w:rPr>
        <w:t>10. Jeigu vienetas perka prekes (paslaugas) iš gyventojų, kurie vykdo individualią veiklą ir veikia partnerystės pagrindais, neįsteigę juridinio asmens, tai vieneto sąnaudos yra pripažįstamos tik pagal gyventojų išrašytą sąskaitą faktūrą</w:t>
      </w:r>
      <w:r w:rsidRPr="00FD0135">
        <w:rPr>
          <w:lang w:val="lt-LT" w:eastAsia="lt-LT"/>
        </w:rPr>
        <w:t xml:space="preserve">, kurioje turi būti nurodyti visų partnerystės pagrindais veikiančių gyventojų vardai, pavardės, </w:t>
      </w:r>
      <w:r w:rsidRPr="00FD0135">
        <w:rPr>
          <w:rFonts w:eastAsia="Calibri"/>
          <w:color w:val="000000"/>
          <w:lang w:val="lt-LT"/>
        </w:rPr>
        <w:t>gyventojų pasirinkimu – asmens kodai arba individualios veiklos vykdymo pažymų numeriai arba vieno iš partnerystės pagrindais veikiančių gyventojų vardas, pavardė su žodžiais „ir partneriai“ bei šio gyventojo pasirinkimu – asmens kodas arba individualios veiklos vykdymo pažymos numeris.</w:t>
      </w:r>
      <w:r w:rsidRPr="00FD0135">
        <w:rPr>
          <w:lang w:val="lt-LT" w:eastAsia="lt-LT"/>
        </w:rPr>
        <w:t xml:space="preserve"> </w:t>
      </w:r>
    </w:p>
    <w:p w14:paraId="67C1F9BA" w14:textId="77777777" w:rsidR="000B3798" w:rsidRPr="00DB5C56" w:rsidRDefault="000B3798" w:rsidP="000B3798">
      <w:pPr>
        <w:spacing w:after="20"/>
        <w:ind w:firstLine="720"/>
        <w:jc w:val="both"/>
        <w:rPr>
          <w:lang w:val="lt-LT" w:eastAsia="lt-LT"/>
        </w:rPr>
      </w:pPr>
      <w:r w:rsidRPr="00DB5C56">
        <w:rPr>
          <w:lang w:val="lt-LT" w:eastAsia="lt-LT"/>
        </w:rPr>
        <w:t xml:space="preserve">11. Jeigu paslaugas suteikia notaras, advokatas ar antstolis, PVM mokėtojas, tai sąnaudos yra pripažįstamos tik pagal atitinkamai notaro, advokato ar antstolio išrašytą PVM sąskaitą faktūrą. Jeigu paslaugas suteikia notaras ar antstolis, ne PVM mokėtojas, tai sąnaudos yra pripažįstamos tik pagal atitinkamai notaro ar antstolio išrašytą sąskaitą faktūrą, o jeigu paslaugas suteikia advokatas, ne PVM mokėtojas, – pagal sąskaitą už teisines paslaugas. </w:t>
      </w:r>
    </w:p>
    <w:p w14:paraId="17965334" w14:textId="77777777" w:rsidR="000B3798" w:rsidRPr="00DB5C56" w:rsidRDefault="000B3798" w:rsidP="000B3798">
      <w:pPr>
        <w:spacing w:after="20"/>
        <w:ind w:firstLine="720"/>
        <w:jc w:val="both"/>
        <w:rPr>
          <w:lang w:val="lt-LT" w:eastAsia="lt-LT"/>
        </w:rPr>
      </w:pPr>
      <w:r w:rsidRPr="00DB5C56">
        <w:rPr>
          <w:lang w:val="lt-LT" w:eastAsia="lt-LT"/>
        </w:rPr>
        <w:t xml:space="preserve">Jeigu paslaugas suteikia advokatai, ne PVM mokėtojai, veikiantys partnerystės pagrindais, neįsteigę juridinio asmens, tai vieneto sąnaudos yra pripažįstamos pagal advokatų išrašytą sąskaitą už teisines paslaugas, kurioje pagal Lietuvos Respublikos finansų ministro 2003 m. vasario 17 d. įsakymu Nr.1K-040 patvirtintas Gyventojų, besiverčiančių individualia veikla (išskyrus gyventojus, įsigijusius verslo liudijimus) buhalterinės apskaitos taisykles turi būti nurodyti:      </w:t>
      </w:r>
    </w:p>
    <w:p w14:paraId="7D02A450" w14:textId="77777777" w:rsidR="000B3798" w:rsidRPr="00DB5C56" w:rsidRDefault="000B3798" w:rsidP="000B3798">
      <w:pPr>
        <w:spacing w:after="20"/>
        <w:ind w:firstLine="720"/>
        <w:jc w:val="both"/>
        <w:rPr>
          <w:lang w:val="lt-LT" w:eastAsia="lt-LT"/>
        </w:rPr>
      </w:pPr>
      <w:r w:rsidRPr="00DB5C56">
        <w:rPr>
          <w:lang w:val="lt-LT" w:eastAsia="lt-LT"/>
        </w:rPr>
        <w:t>1) visų partnerystės pagrindais veikiančių advokatų vardai (pirmosios vardų raidės) ir pavardės arba tik pavardės, asmens kodai, taip pat, kad jie yra advokatai, arba</w:t>
      </w:r>
    </w:p>
    <w:p w14:paraId="69669AA1" w14:textId="77777777" w:rsidR="000B3798" w:rsidRPr="00DB5C56" w:rsidRDefault="000B3798" w:rsidP="000B3798">
      <w:pPr>
        <w:spacing w:after="20"/>
        <w:ind w:firstLine="720"/>
        <w:jc w:val="both"/>
        <w:rPr>
          <w:lang w:val="lt-LT" w:eastAsia="lt-LT"/>
        </w:rPr>
      </w:pPr>
      <w:r w:rsidRPr="00DB5C56">
        <w:rPr>
          <w:lang w:val="lt-LT" w:eastAsia="lt-LT"/>
        </w:rPr>
        <w:t>2) vieno iš partnerystės pagrindais veikiančių advokatų advokato (atstovo) vardas (pirmoji vardo raidė) ir pavardė arba tik pavardė su žodžiais ,,ir partneriai“ bei partnerystės pagrindais veikiančių advokatų advokato (atstovo) asmens kodas.</w:t>
      </w:r>
    </w:p>
    <w:p w14:paraId="2046FF36" w14:textId="77777777" w:rsidR="000B3798" w:rsidRPr="00DB5C56" w:rsidRDefault="000B3798" w:rsidP="000B3798">
      <w:pPr>
        <w:spacing w:after="20"/>
        <w:ind w:firstLine="720"/>
        <w:jc w:val="both"/>
        <w:rPr>
          <w:lang w:val="lt-LT" w:eastAsia="lt-LT"/>
        </w:rPr>
      </w:pPr>
      <w:r w:rsidRPr="00DB5C56">
        <w:rPr>
          <w:lang w:val="lt-LT" w:eastAsia="lt-LT"/>
        </w:rPr>
        <w:t>Jeigu paslaugas suteikia partnerystės pagrindais veikiantys advokatai, PVM mokėtojai, neįsteigę juridinio asmens, tai vieneto sąnaudos yra pripažįstamos pagal advokatų išrašytą vieną PVM sąskaitą faktūrą, kurioje pagal Lietuvos Respublikos finansų ministro 2004 m. birželio 2 d. įsakymą Nr. 1K-207 „Dėl prekių tiekimo ar paslaugų teikimo įforminimo viena PVM sąskaita faktūra taisyklių patvirtinimo“ turi būti nurodyti:</w:t>
      </w:r>
    </w:p>
    <w:p w14:paraId="5EB98399" w14:textId="77777777" w:rsidR="000B3798" w:rsidRPr="00DB5C56" w:rsidRDefault="000B3798" w:rsidP="000B3798">
      <w:pPr>
        <w:spacing w:after="20"/>
        <w:ind w:firstLine="720"/>
        <w:jc w:val="both"/>
        <w:rPr>
          <w:lang w:val="lt-LT" w:eastAsia="lt-LT"/>
        </w:rPr>
      </w:pPr>
      <w:r w:rsidRPr="00DB5C56">
        <w:rPr>
          <w:lang w:val="lt-LT" w:eastAsia="lt-LT"/>
        </w:rPr>
        <w:t xml:space="preserve">1) visų partnerystės pagrindais veikiančių advokatų vardai (vardo pirma raidė), pavardės arba tik pavardės, taip pat, kad  jie yra advokatai ir jų PVM mokėtojų kodai, arba </w:t>
      </w:r>
    </w:p>
    <w:p w14:paraId="0DFA5B47" w14:textId="77777777" w:rsidR="000B3798" w:rsidRPr="00DB5C56" w:rsidRDefault="000B3798" w:rsidP="000B3798">
      <w:pPr>
        <w:spacing w:after="20"/>
        <w:ind w:firstLine="720"/>
        <w:jc w:val="both"/>
        <w:rPr>
          <w:lang w:val="lt-LT" w:eastAsia="lt-LT"/>
        </w:rPr>
      </w:pPr>
      <w:r w:rsidRPr="00DB5C56">
        <w:rPr>
          <w:lang w:val="lt-LT" w:eastAsia="lt-LT"/>
        </w:rPr>
        <w:t>2) bent vieno iš  partnerystės pagrindais veikiančių advokatų advokato vardas (vardo  pirma raidė) ir pavardė arba tik pavardė su žodžiais  "ir partneriai".</w:t>
      </w:r>
    </w:p>
    <w:p w14:paraId="588C6C56" w14:textId="77777777" w:rsidR="000B3798" w:rsidRPr="00DB5C56" w:rsidRDefault="000B3798" w:rsidP="000B3798">
      <w:pPr>
        <w:spacing w:after="20"/>
        <w:ind w:firstLine="720"/>
        <w:jc w:val="both"/>
        <w:rPr>
          <w:lang w:val="lt-LT" w:eastAsia="lt-LT"/>
        </w:rPr>
      </w:pPr>
      <w:r w:rsidRPr="00DB5C56">
        <w:rPr>
          <w:lang w:val="lt-LT" w:eastAsia="lt-LT"/>
        </w:rPr>
        <w:t xml:space="preserve">12. Jeigu draudimo įmonės, PVM mokėtojos, suteikusios draudimo paslaugas juridiniams ar fiziniams asmenims, vykdantiems ekonominę veiklą, išduotame draudimo liudijime (polise) yra visi PVM įstatymo 80 straipsnyje nustatyti privalomi PVM sąskaitai faktūrai rekvizitai, tai toks draudimo liudijimas (polisas) pripažįstamas PVM sąskaita faktūra, pagal kurią išlaidos gali būti pripažįstamos sąnaudomis. </w:t>
      </w:r>
    </w:p>
    <w:p w14:paraId="1E250C44" w14:textId="77777777" w:rsidR="000B3798" w:rsidRPr="00FD0135" w:rsidRDefault="000B3798" w:rsidP="000B3798">
      <w:pPr>
        <w:spacing w:after="20"/>
        <w:ind w:firstLine="720"/>
        <w:jc w:val="both"/>
        <w:rPr>
          <w:lang w:val="lt-LT" w:eastAsia="lt-LT"/>
        </w:rPr>
      </w:pPr>
      <w:r w:rsidRPr="00DB5C56">
        <w:rPr>
          <w:lang w:val="lt-LT" w:eastAsia="lt-LT"/>
        </w:rPr>
        <w:t xml:space="preserve">Jeigu draudimo įmonės, ne PVM mokėtojos, suteikusios draudimo paslaugas </w:t>
      </w:r>
      <w:r w:rsidRPr="00FD0135">
        <w:rPr>
          <w:lang w:val="lt-LT" w:eastAsia="lt-LT"/>
        </w:rPr>
        <w:t xml:space="preserve">juridiniams ar fiziniams asmenims, vykdantiems ekonominę veiklą, išduotame draudimo liudijime (polise) yra FAĮ 7 straipsnio 1 dalyje nustatyta privaloma apskaitos dokumento informacija ir papildoma informacija, pagal Taisyklių nuostatas, tai toks draudimo liudijimas (polisas) pripažįstamas sąskaita faktūra, pagal kurią išlaidos gali būti pripažįstamos sąnaudomis. </w:t>
      </w:r>
    </w:p>
    <w:p w14:paraId="0E544B32" w14:textId="77777777" w:rsidR="000B3798" w:rsidRPr="00DB5C56" w:rsidRDefault="000B3798" w:rsidP="000B3798">
      <w:pPr>
        <w:spacing w:after="20"/>
        <w:ind w:firstLine="720"/>
        <w:jc w:val="both"/>
        <w:rPr>
          <w:lang w:val="lt-LT" w:eastAsia="lt-LT"/>
        </w:rPr>
      </w:pPr>
      <w:r w:rsidRPr="00DB5C56">
        <w:rPr>
          <w:lang w:val="lt-LT" w:eastAsia="lt-LT"/>
        </w:rPr>
        <w:t xml:space="preserve">13. Kreditiniai ir debetiniai dokumentai, kuriais tikslinami prekių tiekimo ir (arba) paslaugų teikimo pasikeitimai (pasikeitus tiekiamų prekių ir (arba) teikiamų paslaugų kainai ir (arba) kiekiui, </w:t>
      </w:r>
      <w:r w:rsidRPr="00DB5C56">
        <w:rPr>
          <w:lang w:val="lt-LT" w:eastAsia="lt-LT"/>
        </w:rPr>
        <w:lastRenderedPageBreak/>
        <w:t xml:space="preserve">suteikus įvairias nuolaidas arba prekes (ar jų dalį) grąžinus ir pan.), įforminti PVM sąskaitomis faktūromis, išrašomi PVM įstatymo 83 straipsnyje nustatyta tvarka. </w:t>
      </w:r>
    </w:p>
    <w:p w14:paraId="52D5835F" w14:textId="77777777" w:rsidR="000B3798" w:rsidRPr="00DB5C56" w:rsidRDefault="000B3798" w:rsidP="000B3798">
      <w:pPr>
        <w:spacing w:after="20"/>
        <w:ind w:firstLine="720"/>
        <w:jc w:val="both"/>
        <w:rPr>
          <w:lang w:val="lt-LT" w:eastAsia="lt-LT"/>
        </w:rPr>
      </w:pPr>
      <w:r w:rsidRPr="00DB5C56">
        <w:rPr>
          <w:lang w:val="lt-LT" w:eastAsia="lt-LT"/>
        </w:rPr>
        <w:t>Jeigu prekių tiekimas (paslaugų teikimas) buvo teisės aktų nustatyta tvarka įformintas ne PVM sąskaita faktūra, o kitu apskaitos dokumentu, tai vadovaujantis Taisyklių nuostatomis, aplinkybių pasikeitimas turi būti įforminamas atitinkamu kreditiniu apskaitos dokumentu, kuriame nurodomi anksčiau išrašyto apskaitos dokumento, kurio duomenys tikslinami, pavadinimas, išrašymo data, serija, numeris, jeigu įmanoma tiksliai nurodyti, kurio apskaitos dokumento duomenys tikslinami, arba kiti duomenys (jeigu neįmanoma tiksliai nustatyti, pagal kurį (kuriuos) apskaitos dokumentą (dokumentus) prekės (paslaugos) buvo įsigytos) apie tikslinamus apskaitos dokumentus (laikotarpis, kuriuo buvo patiektos prekės ar suteiktos paslaugos, ir kita) ir priežastis, dėl kurių išrašomas kreditinis dokumentas.</w:t>
      </w:r>
    </w:p>
    <w:p w14:paraId="641DB4EB" w14:textId="77777777" w:rsidR="000B3798" w:rsidRPr="00DB5C56" w:rsidRDefault="000B3798" w:rsidP="000B3798">
      <w:pPr>
        <w:spacing w:after="20"/>
        <w:ind w:firstLine="720"/>
        <w:jc w:val="both"/>
        <w:rPr>
          <w:lang w:val="lt-LT" w:eastAsia="lt-LT"/>
        </w:rPr>
      </w:pPr>
      <w:r w:rsidRPr="00DB5C56">
        <w:rPr>
          <w:lang w:val="lt-LT" w:eastAsia="lt-LT"/>
        </w:rPr>
        <w:t>14. Pagal Valstybinės mokesčių inspekcijos prie Lietuvos Respublikos finansų ministerijos viršininko 2004 m. balandžio 21 d. įsakymą Nr. VA-57 ,,Dėl Pridėtinės vertės mokesčio įstatymo 79 straipsnio įgyvendinimo“ bankai ir kitos kredito įstaigos, teikiančios PVM įstatymo 28 straipsnyje nurodytas PVM neapmokestinamas paslaugas, turi teisę išrašyti vieną bendrą per kalendorinius metus suteiktų paslaugų PVM sąskaitą faktūrą.</w:t>
      </w:r>
    </w:p>
    <w:p w14:paraId="62B27A4E" w14:textId="77777777" w:rsidR="000B3798" w:rsidRPr="00DB5C56" w:rsidRDefault="000B3798" w:rsidP="000B3798">
      <w:pPr>
        <w:spacing w:after="20"/>
        <w:ind w:firstLine="720"/>
        <w:jc w:val="both"/>
        <w:rPr>
          <w:lang w:val="lt-LT" w:eastAsia="lt-LT"/>
        </w:rPr>
      </w:pPr>
      <w:r w:rsidRPr="00DB5C56">
        <w:rPr>
          <w:lang w:val="lt-LT" w:eastAsia="lt-LT"/>
        </w:rPr>
        <w:t>Pagal Taisyklių nuostatas, kai teikiamos PVM įstatymo 28 straipsnyje nurodytos PVM neapmokestinamos finansinės paslaugos, tai sąnaudos gali būti pripažįstamos pagal PVM sąskaitą faktūrą, kurioje nurodyti privalomi rekvizitai, nustatyti Lietuvos Respublikos pridėtinės vertės mokesčio įstatymo 80 straipsnyje, išskyrus šio įstatymo 80 straipsnio 1 dalies 2, 4, 8, 9 ir 11―13 punktuose nurodytus rekvizitus.</w:t>
      </w:r>
    </w:p>
    <w:p w14:paraId="740AE17E" w14:textId="77777777" w:rsidR="000B3798" w:rsidRPr="00DB5C56" w:rsidRDefault="000B3798" w:rsidP="000B3798">
      <w:pPr>
        <w:spacing w:after="20"/>
        <w:ind w:firstLine="720"/>
        <w:jc w:val="both"/>
        <w:rPr>
          <w:lang w:val="lt-LT" w:eastAsia="lt-LT"/>
        </w:rPr>
      </w:pPr>
      <w:r w:rsidRPr="00DB5C56">
        <w:rPr>
          <w:lang w:val="lt-LT" w:eastAsia="lt-LT"/>
        </w:rPr>
        <w:t xml:space="preserve">15. Vieneto sumokėtos valstybės arba vietinės rinkliavos vieneto sąnaudomis gali būti pripažįstamos pagal rinkliavų sumokėjimą patvirtinančius apskaitos dokumentus (mokėjimo pavedimus arba kvitus). </w:t>
      </w:r>
    </w:p>
    <w:p w14:paraId="607992D6" w14:textId="77777777" w:rsidR="000B3798" w:rsidRPr="00DB5C56" w:rsidRDefault="000B3798" w:rsidP="000B3798">
      <w:pPr>
        <w:spacing w:after="20"/>
        <w:ind w:firstLine="720"/>
        <w:jc w:val="both"/>
        <w:rPr>
          <w:lang w:val="lt-LT" w:eastAsia="lt-LT"/>
        </w:rPr>
      </w:pPr>
      <w:r w:rsidRPr="00DB5C56">
        <w:rPr>
          <w:lang w:val="lt-LT" w:eastAsia="lt-LT"/>
        </w:rPr>
        <w:t>Vietinės rinkliavos už šiukšlių išvežimą vieneto sąnaudomis pripažįstamos pagal laisvos formos dokumentą, t. y. pranešimą, bei rinkliavų sumokėjimą patvirtinančius apskaitos dokumentus (mokėjimo pavedimus arba kvitus).</w:t>
      </w:r>
    </w:p>
    <w:p w14:paraId="33030385" w14:textId="77777777" w:rsidR="000B3798" w:rsidRPr="00DB5C56" w:rsidRDefault="000B3798" w:rsidP="000B3798">
      <w:pPr>
        <w:spacing w:after="20"/>
        <w:ind w:firstLine="720"/>
        <w:jc w:val="both"/>
        <w:rPr>
          <w:lang w:val="lt-LT" w:eastAsia="lt-LT"/>
        </w:rPr>
      </w:pPr>
      <w:r w:rsidRPr="00DB5C56">
        <w:rPr>
          <w:lang w:val="lt-LT" w:eastAsia="lt-LT"/>
        </w:rPr>
        <w:t>Vietinė rinkliava už naudojimąsi mokamomis vietomis automobiliams statyti gali būti sumokama grynaisiais pinigais (monetomis) arba kortelėmis į bilietų automatą arba trumpąja mobiliojo ryšio žinute. Bilietų automatas išduoda bilietą, kuris patvirtina vietinės rinkliavos sumokėjimą ir suteikia teisę automobilio valdytojui (vairuotojui) palikti automobilį stovėti mokamoje stovėjimo vietoje biliete nurodytą laiką. Šios vieneto sumokėtos vietinės rinkliavos sąnaudomis gali būti pripažįstamos tiek pagal bilietų automato išduotus bilietus, tiek pagal vieneto mėnesio pabaigoje iš mobiliojo ryšio operatoriaus gautą sąskaitą, jeigu sąskaitos turinys yra aiškus (pvz., jeigu yra nurodyta „Už stovėjimą“).</w:t>
      </w:r>
    </w:p>
    <w:p w14:paraId="15AACEC0" w14:textId="77777777" w:rsidR="000B3798" w:rsidRPr="00FD0135" w:rsidRDefault="000B3798" w:rsidP="000B3798">
      <w:pPr>
        <w:spacing w:after="20"/>
        <w:ind w:firstLine="720"/>
        <w:jc w:val="both"/>
        <w:rPr>
          <w:strike/>
          <w:lang w:val="lt-LT" w:eastAsia="lt-LT"/>
        </w:rPr>
      </w:pPr>
      <w:r w:rsidRPr="00DB5C56">
        <w:rPr>
          <w:lang w:val="lt-LT" w:eastAsia="lt-LT"/>
        </w:rPr>
        <w:t xml:space="preserve">16. Jeigu vienetas perka prekes (paslaugas) iš gyventojų, kurie nevykdo individualios veiklos, tai vieneto sąnaudos yra </w:t>
      </w:r>
      <w:r w:rsidRPr="00FD0135">
        <w:rPr>
          <w:lang w:val="lt-LT" w:eastAsia="lt-LT"/>
        </w:rPr>
        <w:t>pripažįstamos pagal apskaitos dokumentus, kurie patvirtina, kad buvo sumokėta už prekes (paslaugas), ir pirkimo</w:t>
      </w:r>
      <w:r>
        <w:rPr>
          <w:lang w:val="lt-LT" w:eastAsia="lt-LT"/>
        </w:rPr>
        <w:t xml:space="preserve"> </w:t>
      </w:r>
      <w:r w:rsidRPr="00FD0135">
        <w:rPr>
          <w:lang w:val="lt-LT" w:eastAsia="lt-LT"/>
        </w:rPr>
        <w:t>―</w:t>
      </w:r>
      <w:r>
        <w:rPr>
          <w:lang w:val="lt-LT" w:eastAsia="lt-LT"/>
        </w:rPr>
        <w:t xml:space="preserve"> </w:t>
      </w:r>
      <w:r w:rsidRPr="00FD0135">
        <w:rPr>
          <w:lang w:val="lt-LT" w:eastAsia="lt-LT"/>
        </w:rPr>
        <w:t>pardavimo sutartį (jeigu ji išrašoma), arba pagal laisvos formos dokumentą, kuriame, turi būti nurodyta FAĮ 7 straipsnio 1 dalyje nustatyta privaloma apskaitos dokumento informacija.</w:t>
      </w:r>
    </w:p>
    <w:p w14:paraId="54CA4F86" w14:textId="77777777" w:rsidR="000B3798" w:rsidRPr="00FD0135" w:rsidRDefault="000B3798" w:rsidP="000B3798">
      <w:pPr>
        <w:spacing w:after="20"/>
        <w:ind w:firstLine="720"/>
        <w:jc w:val="both"/>
        <w:rPr>
          <w:lang w:val="lt-LT" w:eastAsia="lt-LT"/>
        </w:rPr>
      </w:pPr>
      <w:r w:rsidRPr="00DB5C56">
        <w:rPr>
          <w:lang w:val="lt-LT" w:eastAsia="lt-LT"/>
        </w:rPr>
        <w:t xml:space="preserve">17. </w:t>
      </w:r>
      <w:r w:rsidRPr="00FD0135">
        <w:rPr>
          <w:lang w:val="lt-LT" w:eastAsia="lt-LT"/>
        </w:rPr>
        <w:t xml:space="preserve">Elektroninės vinjetės pirkėjas gali priskirti leidžiamiems atskaitymams </w:t>
      </w:r>
      <w:r w:rsidRPr="00FD0135">
        <w:rPr>
          <w:color w:val="000000"/>
          <w:lang w:val="lt-LT"/>
        </w:rPr>
        <w:t>kelių</w:t>
      </w:r>
      <w:r w:rsidRPr="00FD0135">
        <w:rPr>
          <w:rFonts w:ascii="Arial" w:hAnsi="Arial" w:cs="Arial"/>
          <w:color w:val="000000"/>
          <w:sz w:val="22"/>
          <w:szCs w:val="22"/>
        </w:rPr>
        <w:t xml:space="preserve"> </w:t>
      </w:r>
      <w:r w:rsidRPr="00FD0135">
        <w:rPr>
          <w:lang w:val="lt-LT" w:eastAsia="lt-LT"/>
        </w:rPr>
        <w:t>naudotojo mokestį, jeigu jis turi šiuos mokesčio sumokėjimą patvirtinančius dokumentus:</w:t>
      </w:r>
    </w:p>
    <w:p w14:paraId="7059B539" w14:textId="77777777" w:rsidR="000B3798" w:rsidRPr="00FD0135" w:rsidRDefault="000B3798" w:rsidP="000B3798">
      <w:pPr>
        <w:spacing w:after="20"/>
        <w:ind w:firstLine="720"/>
        <w:jc w:val="both"/>
        <w:rPr>
          <w:lang w:val="lt-LT" w:eastAsia="lt-LT"/>
        </w:rPr>
      </w:pPr>
      <w:r w:rsidRPr="00FD0135">
        <w:rPr>
          <w:lang w:val="lt-LT" w:eastAsia="lt-LT"/>
        </w:rPr>
        <w:t>atsiskaitant grynaisiais pinigais:</w:t>
      </w:r>
    </w:p>
    <w:p w14:paraId="3C8A3AFA" w14:textId="77777777" w:rsidR="000B3798" w:rsidRPr="00FD0135" w:rsidRDefault="000B3798" w:rsidP="000B3798">
      <w:pPr>
        <w:spacing w:after="20"/>
        <w:ind w:firstLine="720"/>
        <w:jc w:val="both"/>
        <w:rPr>
          <w:lang w:val="lt-LT" w:eastAsia="lt-LT"/>
        </w:rPr>
      </w:pPr>
      <w:r w:rsidRPr="00FD0135">
        <w:rPr>
          <w:lang w:val="lt-LT" w:eastAsia="lt-LT"/>
        </w:rPr>
        <w:t xml:space="preserve">- kasos aparato kvitą, kuriame nurodyti pardavėjo duomenys, pirkėjo kodas, pavadinimas ir kiti Lietuvos Respublikos teisės aktų nustatyti rekvizitai; </w:t>
      </w:r>
    </w:p>
    <w:p w14:paraId="1E05589F" w14:textId="77777777" w:rsidR="000B3798" w:rsidRPr="00FD0135" w:rsidRDefault="000B3798" w:rsidP="000B3798">
      <w:pPr>
        <w:spacing w:after="20"/>
        <w:ind w:firstLine="720"/>
        <w:jc w:val="both"/>
        <w:rPr>
          <w:lang w:val="lt-LT" w:eastAsia="lt-LT"/>
        </w:rPr>
      </w:pPr>
      <w:r w:rsidRPr="00FD0135">
        <w:rPr>
          <w:lang w:val="lt-LT" w:eastAsia="lt-LT"/>
        </w:rPr>
        <w:t xml:space="preserve">- kasos aparato kvitą ir laisvos formos dokumentą, kuriame nurodyta FAĮ 7 straipsnio 1 dalyje nustatyta privaloma apskaitos dokumento informacija, jeigu pardavėjas neturi galimybės kasos aparato kvite nurodyti pirkėjo duomenų ir pirkėjas įsigyja tik elektronines vinjetes; </w:t>
      </w:r>
    </w:p>
    <w:p w14:paraId="4E259065" w14:textId="77777777" w:rsidR="000B3798" w:rsidRPr="00FD0135" w:rsidRDefault="000B3798" w:rsidP="000B3798">
      <w:pPr>
        <w:spacing w:after="20"/>
        <w:ind w:firstLine="720"/>
        <w:jc w:val="both"/>
        <w:rPr>
          <w:lang w:val="lt-LT" w:eastAsia="lt-LT"/>
        </w:rPr>
      </w:pPr>
      <w:r w:rsidRPr="00FD0135">
        <w:rPr>
          <w:lang w:val="lt-LT" w:eastAsia="lt-LT"/>
        </w:rPr>
        <w:lastRenderedPageBreak/>
        <w:t>- kasos aparato kvitą ir PVM sąskaitą faktūrą, kurioje kaip papildoma informacija turi būti nurodyti elektroninių vinječių įsigijimai, jeigu pardavėjas neturi galimybės kasos aparato kvite nurodyti pirkėjo duomenų ir pirkėjas įsigyja degalus (ar kitas PVM apmokestinamas prekes ar paslaugas) bei elektronines  vinjetes;</w:t>
      </w:r>
    </w:p>
    <w:p w14:paraId="12215B38" w14:textId="77777777" w:rsidR="000B3798" w:rsidRPr="00FD0135" w:rsidRDefault="000B3798" w:rsidP="000B3798">
      <w:pPr>
        <w:spacing w:after="20"/>
        <w:ind w:firstLine="720"/>
        <w:jc w:val="both"/>
        <w:rPr>
          <w:lang w:val="lt-LT" w:eastAsia="lt-LT"/>
        </w:rPr>
      </w:pPr>
      <w:r w:rsidRPr="00FD0135">
        <w:rPr>
          <w:lang w:val="lt-LT" w:eastAsia="lt-LT"/>
        </w:rPr>
        <w:t>atsiskaitant kortelėmis:</w:t>
      </w:r>
    </w:p>
    <w:p w14:paraId="24B535BB" w14:textId="77777777" w:rsidR="000B3798" w:rsidRPr="00FD0135" w:rsidRDefault="000B3798" w:rsidP="000B3798">
      <w:pPr>
        <w:spacing w:after="20"/>
        <w:ind w:firstLine="720"/>
        <w:jc w:val="both"/>
        <w:rPr>
          <w:lang w:val="lt-LT" w:eastAsia="lt-LT"/>
        </w:rPr>
      </w:pPr>
      <w:r w:rsidRPr="00FD0135">
        <w:rPr>
          <w:lang w:val="lt-LT" w:eastAsia="lt-LT"/>
        </w:rPr>
        <w:t>- kasos aparato kvitą, jeigu pirkėjas atsiskaito banko kortele arba įmonės (degalinių tinklo) kortele (kai gali būti identifikuojamas pirkėjas, žr. PVM įstatymo 80 straipsnio 7 dalį);</w:t>
      </w:r>
    </w:p>
    <w:p w14:paraId="56DB1E39" w14:textId="77777777" w:rsidR="000B3798" w:rsidRPr="00FD0135" w:rsidRDefault="000B3798" w:rsidP="000B3798">
      <w:pPr>
        <w:spacing w:after="20"/>
        <w:ind w:firstLine="720"/>
        <w:jc w:val="both"/>
        <w:rPr>
          <w:lang w:val="lt-LT" w:eastAsia="lt-LT"/>
        </w:rPr>
      </w:pPr>
      <w:r w:rsidRPr="00FD0135">
        <w:rPr>
          <w:lang w:val="lt-LT" w:eastAsia="lt-LT"/>
        </w:rPr>
        <w:t>- PVM sąskaitą faktūrą, jeigu pirkėjas atsiskaito įmonės (degalinių tinklo) kortele ir įmonei išrašoma PVM sąskaita faktūra už visus mėnesio pirkimus. Šioje PVM sąskaitoje faktūroje kaip papildoma informacija turi būti nurodyti elektroninių vinječių įsigijimai;</w:t>
      </w:r>
    </w:p>
    <w:p w14:paraId="2F236200" w14:textId="77777777" w:rsidR="000B3798" w:rsidRPr="00FD0135" w:rsidRDefault="000B3798" w:rsidP="000B3798">
      <w:pPr>
        <w:spacing w:after="20"/>
        <w:ind w:firstLine="720"/>
        <w:jc w:val="both"/>
        <w:rPr>
          <w:lang w:val="lt-LT" w:eastAsia="lt-LT"/>
        </w:rPr>
      </w:pPr>
      <w:r w:rsidRPr="00FD0135">
        <w:rPr>
          <w:lang w:val="lt-LT" w:eastAsia="lt-LT"/>
        </w:rPr>
        <w:t>atsiskaitant banko pavedimu:</w:t>
      </w:r>
    </w:p>
    <w:p w14:paraId="7B73660D" w14:textId="77777777" w:rsidR="000B3798" w:rsidRPr="00FD0135" w:rsidRDefault="000B3798" w:rsidP="000B3798">
      <w:pPr>
        <w:spacing w:after="20"/>
        <w:ind w:firstLine="720"/>
        <w:jc w:val="both"/>
        <w:rPr>
          <w:lang w:val="lt-LT" w:eastAsia="lt-LT"/>
        </w:rPr>
      </w:pPr>
      <w:r w:rsidRPr="00FD0135">
        <w:rPr>
          <w:lang w:val="lt-LT" w:eastAsia="lt-LT"/>
        </w:rPr>
        <w:t>- kasos aparato kvitą, kuriame nurodyta, kad buvo atsiskaityta banko pavedimu, ir mokėjimą patvirtinantį banko dokumentą, jeigu pirkėjas elektronines vinjetes įsigyja mažmeninės prekybos vietoje ir atsiskaito banko pavedimu;</w:t>
      </w:r>
    </w:p>
    <w:p w14:paraId="151EE894" w14:textId="77777777" w:rsidR="000B3798" w:rsidRDefault="000B3798" w:rsidP="000B3798">
      <w:pPr>
        <w:spacing w:after="20"/>
        <w:ind w:firstLine="720"/>
        <w:jc w:val="both"/>
        <w:rPr>
          <w:lang w:val="lt-LT" w:eastAsia="lt-LT"/>
        </w:rPr>
      </w:pPr>
      <w:r w:rsidRPr="00FD0135">
        <w:rPr>
          <w:lang w:val="lt-LT" w:eastAsia="lt-LT"/>
        </w:rPr>
        <w:t>- mokėjimą patvirtinantį banko dokumentą ir vinjetės pirkimą patvirtinantį laisvos formos dokumentą, kuriame nurodyti visi FAĮ 7 straipsnio 1 dalyje nustatyta privaloma apskaitos dokumento informacija, jeigu pirkėjas atsiskaito banko pavedimu ne</w:t>
      </w:r>
      <w:r w:rsidRPr="00DB5C56">
        <w:rPr>
          <w:lang w:val="lt-LT" w:eastAsia="lt-LT"/>
        </w:rPr>
        <w:t xml:space="preserve"> mažmeninės prekybos vietoje.  </w:t>
      </w:r>
    </w:p>
    <w:p w14:paraId="5DCD1FF3" w14:textId="77777777" w:rsidR="000B3798" w:rsidRDefault="000B3798" w:rsidP="000B3798">
      <w:pPr>
        <w:spacing w:after="20"/>
        <w:ind w:firstLine="720"/>
        <w:jc w:val="both"/>
        <w:rPr>
          <w:strike/>
          <w:lang w:val="lt-LT" w:eastAsia="lt-LT"/>
        </w:rPr>
      </w:pPr>
    </w:p>
    <w:p w14:paraId="214F913C" w14:textId="77777777" w:rsidR="000B3798" w:rsidRDefault="000B3798" w:rsidP="000B3798">
      <w:pPr>
        <w:tabs>
          <w:tab w:val="left" w:pos="720"/>
          <w:tab w:val="left" w:pos="1077"/>
          <w:tab w:val="left" w:pos="1418"/>
        </w:tabs>
        <w:jc w:val="both"/>
        <w:rPr>
          <w:iCs/>
          <w:lang w:val="lt-LT"/>
        </w:rPr>
      </w:pPr>
      <w:r>
        <w:rPr>
          <w:iCs/>
          <w:lang w:val="lt-LT"/>
        </w:rPr>
        <w:t>(Pakeista pagal VMI prie FM 2023-06-08 raštą Nr. R-2291)</w:t>
      </w:r>
    </w:p>
    <w:p w14:paraId="04836A1E" w14:textId="77777777" w:rsidR="000B3798" w:rsidRDefault="000B3798" w:rsidP="000B3798">
      <w:pPr>
        <w:spacing w:after="20"/>
        <w:ind w:firstLine="720"/>
        <w:jc w:val="both"/>
        <w:rPr>
          <w:strike/>
          <w:lang w:val="lt-LT" w:eastAsia="lt-LT"/>
        </w:rPr>
      </w:pPr>
    </w:p>
    <w:p w14:paraId="408AA0AB" w14:textId="77777777" w:rsidR="00093845" w:rsidRPr="00F649B7" w:rsidRDefault="000D779E" w:rsidP="005E291D">
      <w:pPr>
        <w:tabs>
          <w:tab w:val="left" w:pos="720"/>
          <w:tab w:val="left" w:pos="1077"/>
          <w:tab w:val="left" w:pos="1418"/>
        </w:tabs>
        <w:jc w:val="both"/>
        <w:rPr>
          <w:b/>
          <w:i/>
          <w:color w:val="000000"/>
          <w:lang w:eastAsia="lt-LT"/>
        </w:rPr>
      </w:pPr>
      <w:r>
        <w:rPr>
          <w:lang w:val="lt-LT"/>
        </w:rPr>
        <w:tab/>
      </w:r>
      <w:r w:rsidRPr="005E291D">
        <w:rPr>
          <w:b/>
          <w:bCs/>
          <w:color w:val="000000"/>
          <w:lang w:eastAsia="lt-LT"/>
        </w:rPr>
        <w:t xml:space="preserve">5. </w:t>
      </w:r>
      <w:r w:rsidRPr="005E291D">
        <w:rPr>
          <w:b/>
          <w:bCs/>
          <w:iCs/>
          <w:color w:val="000000"/>
          <w:lang w:eastAsia="lt-LT"/>
        </w:rPr>
        <w:t>NETEKO GALIOS</w:t>
      </w:r>
      <w:r w:rsidR="00086AA7">
        <w:rPr>
          <w:b/>
          <w:bCs/>
          <w:iCs/>
          <w:color w:val="000000"/>
          <w:lang w:eastAsia="lt-LT"/>
        </w:rPr>
        <w:t>:</w:t>
      </w:r>
      <w:r w:rsidRPr="005E291D">
        <w:rPr>
          <w:iCs/>
          <w:color w:val="000000"/>
          <w:lang w:eastAsia="lt-LT"/>
        </w:rPr>
        <w:t xml:space="preserve"> </w:t>
      </w:r>
      <w:r w:rsidRPr="00F649B7">
        <w:rPr>
          <w:b/>
          <w:iCs/>
          <w:color w:val="000000"/>
          <w:lang w:eastAsia="lt-LT"/>
        </w:rPr>
        <w:t>2005 06 21 įstatymu Nr. X-259 (nuo 2005 06 30)</w:t>
      </w:r>
    </w:p>
    <w:p w14:paraId="21429A90" w14:textId="77777777" w:rsidR="00093845" w:rsidRDefault="000D779E">
      <w:pPr>
        <w:tabs>
          <w:tab w:val="left" w:pos="720"/>
          <w:tab w:val="left" w:pos="1077"/>
          <w:tab w:val="left" w:pos="1418"/>
        </w:tabs>
        <w:ind w:firstLine="720"/>
        <w:jc w:val="both"/>
        <w:rPr>
          <w:b/>
          <w:bCs/>
          <w:lang w:val="lt-LT"/>
        </w:rPr>
      </w:pPr>
      <w:r>
        <w:rPr>
          <w:b/>
          <w:bCs/>
          <w:lang w:val="lt-LT"/>
        </w:rPr>
        <w:t>6. Šio straipsnio 4 dalies reikalavimai netaikomi užsienio vienetų ar fizinių asmenų surašytiems dokumentams. Sąnaudos pagal užsienio vienetų arba fizinių asmenų surašytus dokumentus pripažįstamos, jei iš šių dokumentų galima nustatyti ūkinės operacijos turinį.</w:t>
      </w:r>
    </w:p>
    <w:p w14:paraId="13304302" w14:textId="77777777" w:rsidR="00093845" w:rsidRPr="00582607" w:rsidRDefault="000D779E" w:rsidP="005E291D">
      <w:pPr>
        <w:pStyle w:val="Pagrindiniotekstotrauka3"/>
        <w:ind w:firstLine="0"/>
        <w:rPr>
          <w:bCs/>
          <w:i/>
        </w:rPr>
      </w:pPr>
      <w:r w:rsidRPr="00582607">
        <w:rPr>
          <w:bCs/>
          <w:i/>
        </w:rPr>
        <w:t>(KEISTA</w:t>
      </w:r>
      <w:r w:rsidR="002B03F4" w:rsidRPr="00582607">
        <w:rPr>
          <w:bCs/>
          <w:i/>
        </w:rPr>
        <w:t>:</w:t>
      </w:r>
      <w:r w:rsidRPr="00582607">
        <w:rPr>
          <w:bCs/>
          <w:i/>
        </w:rPr>
        <w:t xml:space="preserve"> </w:t>
      </w:r>
      <w:r w:rsidRPr="00582607">
        <w:rPr>
          <w:i/>
          <w:color w:val="000000"/>
          <w:lang w:eastAsia="lt-LT"/>
        </w:rPr>
        <w:t>2005 06 21 įstatymu Nr. X-259 (nuo 2005 06 30)</w:t>
      </w:r>
      <w:r w:rsidRPr="00582607">
        <w:rPr>
          <w:bCs/>
          <w:i/>
        </w:rPr>
        <w:t>)</w:t>
      </w:r>
    </w:p>
    <w:p w14:paraId="3D875C26" w14:textId="77777777" w:rsidR="00093845" w:rsidRDefault="000D779E">
      <w:pPr>
        <w:ind w:firstLine="720"/>
        <w:jc w:val="both"/>
        <w:rPr>
          <w:b/>
          <w:bCs/>
          <w:lang w:val="lt-LT"/>
        </w:rPr>
      </w:pPr>
      <w:r>
        <w:rPr>
          <w:b/>
          <w:bCs/>
          <w:lang w:val="lt-LT"/>
        </w:rPr>
        <w:t>Komentaras</w:t>
      </w:r>
    </w:p>
    <w:p w14:paraId="0CE6EF08" w14:textId="77777777" w:rsidR="00093845" w:rsidRDefault="000D779E">
      <w:pPr>
        <w:tabs>
          <w:tab w:val="left" w:pos="720"/>
          <w:tab w:val="left" w:pos="1077"/>
          <w:tab w:val="left" w:pos="1418"/>
        </w:tabs>
        <w:ind w:firstLine="720"/>
        <w:jc w:val="both"/>
        <w:rPr>
          <w:lang w:val="lt-LT"/>
        </w:rPr>
      </w:pPr>
      <w:r>
        <w:rPr>
          <w:lang w:val="lt-LT"/>
        </w:rPr>
        <w:t>Užsienio vienetų ar fizinių asmenų ūkinės operacijos gali būti įformintos nesilaikant šio straipsnio 4 dalyje apskaitos dokumentams nustatytų reikalavimų. Jeigu išlaidos pagrindžiamos užsienio vienetų arba fizinių asmenų surašytais dokumentais, pagal kurių duomenis galima nustatyti ūkinės operacijos turinį ir prekių tiekėją ar paslaugų teikėją, tai taip pagrįstos išlaidos pripažįstamos sąnaudomis.</w:t>
      </w:r>
    </w:p>
    <w:p w14:paraId="126CB57D" w14:textId="77777777" w:rsidR="00093845" w:rsidRDefault="000D779E">
      <w:pPr>
        <w:tabs>
          <w:tab w:val="left" w:pos="720"/>
          <w:tab w:val="left" w:pos="1077"/>
          <w:tab w:val="left" w:pos="1418"/>
        </w:tabs>
        <w:jc w:val="both"/>
        <w:rPr>
          <w:iCs/>
          <w:lang w:val="lt-LT"/>
        </w:rPr>
      </w:pPr>
      <w:r>
        <w:rPr>
          <w:lang w:val="lt-LT"/>
        </w:rPr>
        <w:tab/>
      </w:r>
      <w:r>
        <w:rPr>
          <w:iCs/>
          <w:lang w:val="lt-LT"/>
        </w:rPr>
        <w:t>(</w:t>
      </w:r>
      <w:r w:rsidR="00655350">
        <w:rPr>
          <w:iCs/>
          <w:lang w:val="lt-LT"/>
        </w:rPr>
        <w:t>P</w:t>
      </w:r>
      <w:r>
        <w:rPr>
          <w:iCs/>
          <w:lang w:val="lt-LT"/>
        </w:rPr>
        <w:t>akeista pagal VMI prie FM 2005-09-27 raštą Nr. (18.11-31-1)-R-8694)</w:t>
      </w:r>
    </w:p>
    <w:p w14:paraId="6F7B3CFF" w14:textId="77777777" w:rsidR="00093845" w:rsidRPr="0065344A" w:rsidRDefault="000D779E">
      <w:pPr>
        <w:ind w:firstLine="567"/>
        <w:jc w:val="both"/>
        <w:rPr>
          <w:b/>
          <w:lang w:val="lt-LT"/>
        </w:rPr>
      </w:pPr>
      <w:bookmarkStart w:id="215" w:name="_12_straipsnis._Neapmokestinamosios"/>
      <w:bookmarkEnd w:id="215"/>
      <w:r w:rsidRPr="0065344A">
        <w:rPr>
          <w:b/>
          <w:lang w:val="lt-LT"/>
        </w:rPr>
        <w:t>7. Šio straipsnio nuostatos netaikomos laivybos vieneto pajamoms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sidRPr="0065344A">
        <w:rPr>
          <w:b/>
          <w:vertAlign w:val="superscript"/>
          <w:lang w:val="lt-LT"/>
        </w:rPr>
        <w:t>1</w:t>
      </w:r>
      <w:r w:rsidRPr="0065344A">
        <w:rPr>
          <w:b/>
          <w:lang w:val="lt-LT"/>
        </w:rPr>
        <w:t xml:space="preserve"> straipsnio nuostatas taikomas fiksuotas pelno mokestis. </w:t>
      </w:r>
    </w:p>
    <w:p w14:paraId="65DFF281" w14:textId="77777777" w:rsidR="00093845" w:rsidRPr="00582607" w:rsidRDefault="000D779E" w:rsidP="005E291D">
      <w:pPr>
        <w:pStyle w:val="tajtip"/>
        <w:spacing w:before="0" w:beforeAutospacing="0" w:after="0" w:afterAutospacing="0"/>
        <w:jc w:val="both"/>
        <w:rPr>
          <w:i/>
          <w:iCs/>
        </w:rPr>
      </w:pPr>
      <w:r w:rsidRPr="00582607">
        <w:rPr>
          <w:i/>
          <w:iCs/>
        </w:rPr>
        <w:t>(KEISTA: 2017 06 01 įstatymu Nr. XIII-405 (nuo 2017 06 10), taikoma apskaičiuojant 2017 metais prasidėjusio mokestinio laikotarpio ir vėlesnių mokestinių laikotarpių apmokestinamąjį pelną)</w:t>
      </w:r>
    </w:p>
    <w:p w14:paraId="5B67200B" w14:textId="77777777" w:rsidR="00093845" w:rsidRPr="00582607" w:rsidRDefault="00093845">
      <w:pPr>
        <w:pStyle w:val="tajtip"/>
        <w:spacing w:before="0" w:beforeAutospacing="0" w:after="0" w:afterAutospacing="0"/>
        <w:ind w:firstLine="567"/>
        <w:jc w:val="both"/>
        <w:rPr>
          <w:b/>
          <w:i/>
        </w:rPr>
      </w:pPr>
    </w:p>
    <w:p w14:paraId="1E453664" w14:textId="77777777" w:rsidR="00093845" w:rsidRDefault="000D779E">
      <w:pPr>
        <w:pStyle w:val="Antrat1"/>
        <w:tabs>
          <w:tab w:val="left" w:pos="8280"/>
        </w:tabs>
        <w:ind w:firstLine="567"/>
        <w:jc w:val="both"/>
        <w:rPr>
          <w:rFonts w:ascii="Times New Roman" w:hAnsi="Times New Roman"/>
          <w:lang w:val="lt-LT"/>
        </w:rPr>
      </w:pPr>
      <w:r>
        <w:rPr>
          <w:rFonts w:ascii="Times New Roman" w:hAnsi="Times New Roman"/>
          <w:lang w:val="lt-LT"/>
        </w:rPr>
        <w:t>Komentaras</w:t>
      </w:r>
    </w:p>
    <w:p w14:paraId="60445F7C" w14:textId="77777777" w:rsidR="00093845" w:rsidRPr="0065344A" w:rsidRDefault="000D779E">
      <w:pPr>
        <w:tabs>
          <w:tab w:val="left" w:pos="8280"/>
        </w:tabs>
        <w:ind w:firstLine="567"/>
        <w:jc w:val="both"/>
        <w:rPr>
          <w:lang w:val="lt-LT"/>
        </w:rPr>
      </w:pPr>
      <w:r w:rsidRPr="0065344A">
        <w:rPr>
          <w:lang w:val="lt-LT"/>
        </w:rPr>
        <w:t>Jei laivybos vieneto pasirinkimu pajamos iš PMĮ 2 straipsnio 35 ir 34 dalyse nurodytos tarptautinio vežimo jūrų laivais</w:t>
      </w:r>
      <w:r w:rsidRPr="0065344A">
        <w:rPr>
          <w:b/>
          <w:lang w:val="lt-LT"/>
        </w:rPr>
        <w:t xml:space="preserve"> </w:t>
      </w:r>
      <w:r w:rsidRPr="0065344A">
        <w:rPr>
          <w:lang w:val="lt-LT"/>
        </w:rPr>
        <w:t xml:space="preserve">arba tarptautinio vežimo jūrų laivais ir su tuo tiesiogiai susijusios veiklos (toliau – tarptautinio vežimo jūrų laivais veikla) apmokestinamos, taikant fiksuotą pelno </w:t>
      </w:r>
      <w:r w:rsidRPr="0065344A">
        <w:rPr>
          <w:lang w:val="lt-LT"/>
        </w:rPr>
        <w:lastRenderedPageBreak/>
        <w:t>mokestį, tai tokios pajamos nepriskiriamos pajamoms, o joms tenkančios išlaidos – ribojamo dydžio leidžiamiems atskaitymams ir leidžiamiems atskaitymams, apskaičiuojant apmokestinamąjį pelną pagal šio straipsnio nuostatas.</w:t>
      </w:r>
    </w:p>
    <w:p w14:paraId="3A100AFD" w14:textId="77777777" w:rsidR="00093845" w:rsidRPr="0065344A" w:rsidRDefault="000D779E">
      <w:pPr>
        <w:tabs>
          <w:tab w:val="left" w:pos="8280"/>
        </w:tabs>
        <w:ind w:firstLine="567"/>
        <w:jc w:val="both"/>
        <w:rPr>
          <w:lang w:val="lt-LT"/>
        </w:rPr>
      </w:pPr>
      <w:r w:rsidRPr="0065344A">
        <w:rPr>
          <w:lang w:val="lt-LT"/>
        </w:rPr>
        <w:t>Tuo atveju, kai laivybos vienetas pasirinko pajamoms iš tarptautinio vežimo jūrų laivais arba tarptautinio vežimo jūrų laivais ir su juo tiesiogiai susijusios veiklos taikyti fiksuotą pelno mokestį, tačiau uždirba pajamų iš veiklos, kuri nepriskiriama tarptautinio vežimo jūrų laivais arba tarptautinio vežimo jūrų laivais ir su juo tiesiogiai susijusios  veiklai (toliau – įprastinė veikla), tai tokios pajamos priskiriamos PMĮ 4 straipsnio 1 dalies mokesčio bazei, nuo kurios PMĮ 11 straipsnyje nustatyta tvarka apskaičiuojamas apmokestinamasis pelnas. Apskaičiuojant apmokestinamąjį pelną, leidžiamiems atskaitymams priskiriamos tik šias pajamas uždirbant patirtos išlaidos.</w:t>
      </w:r>
    </w:p>
    <w:p w14:paraId="148257D1" w14:textId="77777777" w:rsidR="00093845" w:rsidRDefault="000D779E">
      <w:pPr>
        <w:pStyle w:val="Default"/>
        <w:ind w:firstLine="567"/>
        <w:jc w:val="both"/>
        <w:rPr>
          <w:iCs/>
        </w:rPr>
      </w:pPr>
      <w:r>
        <w:t xml:space="preserve">Siekiant teisingai apskaičiuoti įprastinės veiklos mokesčio bazę ir apmokestinamąjį pelną, laivybos vienetas apskaitą turi tvarkyti taip, kad galima būtų nustatyti iš tarptautinio vežimo jūrų laivais arba tarptautinio vežimo jūrų laivais ir su juo tiesiogiai susijusios veiklos, apmokestinamos taikant fiksuotą pelno mokestį, ir įprastinės veiklos, apmokestinamos pagal bendrąsias apmokestinimo pelno mokesčiu taisykles, per mokestinį laikotarpį uždirbtas pajamas, patirtas sąnaudas ir apskaičiuotą pelną (nuostolį), taip pat su atitinkama veikla susijusį ilgalaikį, trumpalaikį ir finansinį turtą bei įsipareigojimus (pavyzdžiui, skolas tiekėjams už prekes ir paslaugas, kredito įstaigoms – už suteiktas paskolas, </w:t>
      </w:r>
      <w:r>
        <w:rPr>
          <w:iCs/>
        </w:rPr>
        <w:t>mokėtinas</w:t>
      </w:r>
      <w:r>
        <w:t xml:space="preserve"> s</w:t>
      </w:r>
      <w:r>
        <w:rPr>
          <w:iCs/>
        </w:rPr>
        <w:t>u darbo santykiais susijusias sumas, mokėtinas mokesčių sumas ir kt.).</w:t>
      </w:r>
    </w:p>
    <w:p w14:paraId="676FA079" w14:textId="77777777" w:rsidR="00093845" w:rsidRPr="0065344A" w:rsidRDefault="000D779E">
      <w:pPr>
        <w:tabs>
          <w:tab w:val="left" w:pos="8280"/>
        </w:tabs>
        <w:ind w:firstLine="567"/>
        <w:jc w:val="both"/>
        <w:rPr>
          <w:lang w:val="lt-LT"/>
        </w:rPr>
      </w:pPr>
      <w:r w:rsidRPr="0065344A">
        <w:rPr>
          <w:lang w:val="lt-LT"/>
        </w:rPr>
        <w:t xml:space="preserve">Dėl tarptautinio vežimo jūrų laivais arba tarptautinio vežimo jūrų laivais ir su juo tiesiogiai susijusioje  veikloje vykdomų šios veiklos sandorių ir atsiskaitymų gali susidaryti papildomos pajamos ir sąnaudos. Tokių sandorių ar atsiskaitymų vykdymo metu susidariusioms pajamoms taip pat taikytina apmokestinimo fiksuotu pelno mokesčiu tvarka, o dėl to patirtos sąnaudos pagal PMĮ 31 str. 1 dalies 18 punkto nuostatas, priskirtinos neleidžiamiems atskaitymams. </w:t>
      </w:r>
    </w:p>
    <w:p w14:paraId="406C40F6" w14:textId="77777777" w:rsidR="00093845" w:rsidRPr="0065344A" w:rsidRDefault="000D779E">
      <w:pPr>
        <w:tabs>
          <w:tab w:val="left" w:pos="8280"/>
        </w:tabs>
        <w:ind w:firstLine="567"/>
        <w:jc w:val="both"/>
        <w:rPr>
          <w:lang w:val="lt-LT"/>
        </w:rPr>
      </w:pPr>
      <w:r w:rsidRPr="0065344A">
        <w:rPr>
          <w:lang w:val="lt-LT"/>
        </w:rPr>
        <w:t xml:space="preserve">Šioms pajamoms priskiriami teigiami </w:t>
      </w:r>
      <w:r w:rsidRPr="0065344A">
        <w:rPr>
          <w:rFonts w:eastAsia="MS Mincho"/>
          <w:color w:val="000000"/>
          <w:lang w:val="lt-LT" w:eastAsia="ja-JP"/>
        </w:rPr>
        <w:t xml:space="preserve">valiutų kurso pasikeitimo skirtumai, susidarantys užsienio vienetui atsiskaitant už jam suteiktas tarptautinio vežimo jūrų laivais </w:t>
      </w:r>
      <w:r w:rsidRPr="0065344A">
        <w:rPr>
          <w:lang w:val="lt-LT"/>
        </w:rPr>
        <w:t xml:space="preserve">arba tarptautinio vežimo jūrų laivais ir su juo tiesiogiai susijusias </w:t>
      </w:r>
      <w:r w:rsidRPr="0065344A">
        <w:rPr>
          <w:rFonts w:eastAsia="MS Mincho"/>
          <w:color w:val="000000"/>
          <w:lang w:val="lt-LT" w:eastAsia="ja-JP"/>
        </w:rPr>
        <w:t xml:space="preserve"> paslaugas užsienio valiuta, atsiskaitant su tiekėjais (pavyzdžiui, iš užsienio tiekėjų perkant laivui reikalingus įrengimus, laivo variklius, įvairias prekes laivuose esančioms kavinėms ir t. t. užsienio valiuta) bei perskaičiuojant valiutinius straipsnius. </w:t>
      </w:r>
      <w:r w:rsidRPr="0065344A">
        <w:rPr>
          <w:lang w:val="lt-LT"/>
        </w:rPr>
        <w:t xml:space="preserve">Už banke laikomas lėšas gautos palūkanų pajamos priskiriamos pajamoms, apmokestinamoms taikant fiksuotą pelno mokestį, jeigu šios lėšos naudojamos </w:t>
      </w:r>
      <w:r w:rsidRPr="0065344A">
        <w:rPr>
          <w:bCs/>
          <w:lang w:val="lt-LT"/>
        </w:rPr>
        <w:t xml:space="preserve">tarptautinio vežimui jūrų laivais </w:t>
      </w:r>
      <w:r w:rsidRPr="0065344A">
        <w:rPr>
          <w:lang w:val="lt-LT"/>
        </w:rPr>
        <w:t xml:space="preserve">arba tarptautinio vežimo jūrų laivais ir su juo tiesiogiai susijusiai </w:t>
      </w:r>
      <w:r w:rsidRPr="0065344A">
        <w:rPr>
          <w:bCs/>
          <w:lang w:val="lt-LT"/>
        </w:rPr>
        <w:t xml:space="preserve"> veiklai. </w:t>
      </w:r>
    </w:p>
    <w:p w14:paraId="1404F2A3" w14:textId="77777777" w:rsidR="00093845" w:rsidRPr="0065344A" w:rsidRDefault="000D779E">
      <w:pPr>
        <w:tabs>
          <w:tab w:val="left" w:pos="8280"/>
        </w:tabs>
        <w:ind w:firstLine="567"/>
        <w:jc w:val="both"/>
        <w:rPr>
          <w:lang w:val="lt-LT"/>
        </w:rPr>
      </w:pPr>
      <w:r w:rsidRPr="0065344A">
        <w:rPr>
          <w:rFonts w:eastAsia="MS Mincho"/>
          <w:color w:val="000000"/>
          <w:lang w:val="lt-LT" w:eastAsia="ja-JP"/>
        </w:rPr>
        <w:t xml:space="preserve">Tais atvejais, kai </w:t>
      </w:r>
      <w:r w:rsidRPr="0065344A">
        <w:rPr>
          <w:lang w:val="lt-LT"/>
        </w:rPr>
        <w:t xml:space="preserve">laivybos vienetas, suėjus senaties terminui, nurašo kreditorinį įsiskolinimą (jo dalį) už prekes ar paslaugas, kurios buvo įsigytos ir naudojamos tarptautinio vežimo jūrų laivais arba tarptautinio vežimo jūrų laivais ir su juo tiesiogiai susijusioje  veikloje, tai pajamos dėl kreditorinio įsiskolinimo nurašymo taip pat priskiriamos pajamoms, apmokestinamoms taikant fiksuotą pelno mokestį. Jeigu kreditorius atleidžia laivybos vienetą nuo paskolos (jos dalies), gautos ilgalaikiam turtui, naudojamam tarptautinio vežimo jūrų laivais arba tarptautinio vežimo jūrų laivais ir su juo tiesiogiai susijusioje veikloje, įsigyti, tai finansinės pajamos dėl paskolos (jos dalies) nurašymo priskiriamos pajamoms, apmokestinamoms taikant fiksuotą pelno mokestį, jeigu paskola buvo paimta ilgalaikiam turtui, naudojamam fiksuotu pelno mokesčiui apmokestinamoje veikloje ir lėšos, susidariusios dėl kreditorinio įsiskolinimo (jo dalies) sumažinimo, bus naudojamos tarptautinio vežimo jūros laivais arba tarptautinio vežimo jūrų laivais ir su juo tiesiogiai susijusioje veikloje  (t. y. nebus naudojamos vieneto veikloje, apmokestinamoje pagal bendrąsias apmokestinimo pelno mokesčiu taisykles). </w:t>
      </w:r>
    </w:p>
    <w:p w14:paraId="1CDD25D1" w14:textId="77777777" w:rsidR="00093845" w:rsidRPr="0065344A" w:rsidRDefault="000D779E">
      <w:pPr>
        <w:ind w:firstLine="567"/>
        <w:jc w:val="both"/>
        <w:rPr>
          <w:b/>
          <w:bCs/>
          <w:lang w:val="lt-LT"/>
        </w:rPr>
      </w:pPr>
      <w:r w:rsidRPr="0065344A">
        <w:rPr>
          <w:b/>
          <w:bCs/>
          <w:lang w:val="lt-LT"/>
        </w:rPr>
        <w:t xml:space="preserve">Pavyzdys </w:t>
      </w:r>
    </w:p>
    <w:p w14:paraId="6B008B28" w14:textId="77777777" w:rsidR="00093845" w:rsidRDefault="000D779E">
      <w:pPr>
        <w:pBdr>
          <w:top w:val="single" w:sz="4" w:space="1" w:color="auto"/>
          <w:left w:val="single" w:sz="4" w:space="4" w:color="auto"/>
          <w:bottom w:val="single" w:sz="4" w:space="1" w:color="auto"/>
          <w:right w:val="single" w:sz="4" w:space="4" w:color="auto"/>
        </w:pBdr>
        <w:ind w:firstLine="567"/>
        <w:jc w:val="both"/>
        <w:rPr>
          <w:bCs/>
        </w:rPr>
      </w:pPr>
      <w:r w:rsidRPr="0065344A">
        <w:rPr>
          <w:bCs/>
          <w:lang w:val="lt-LT"/>
        </w:rPr>
        <w:lastRenderedPageBreak/>
        <w:t xml:space="preserve">Laivybos vienetas paėmė iš banko paskolą laivams, naudojamiems tarptautinio vežimo jūrų laivais </w:t>
      </w:r>
      <w:r w:rsidRPr="0065344A">
        <w:rPr>
          <w:lang w:val="lt-LT"/>
        </w:rPr>
        <w:t xml:space="preserve">arba tarptautinio vežimo jūrų laivais ir su juo tiesiogiai susijusioje </w:t>
      </w:r>
      <w:r w:rsidRPr="0065344A">
        <w:rPr>
          <w:bCs/>
          <w:lang w:val="lt-LT"/>
        </w:rPr>
        <w:t xml:space="preserve">veikloje, įsigyti. Praėjus keleriems metams, bankas dėl savo veiklos restruktūrizavimo dalį paskolos laivybos vienetui nurašė, o reikalavimo teisę į likusią paskolos dalį perleido kitam bankui, kuris laivybos vieneto skolą sutiko refinansuoti. </w:t>
      </w:r>
      <w:r>
        <w:rPr>
          <w:bCs/>
        </w:rPr>
        <w:t xml:space="preserve">Nurašius paskolos dalį, laivybos vienetas sumažino kreditorinį įsiskolinimą ir pripažino pajamas. Atsižvelgiant į tai, kad laivybos vienetas paskolą paėmė </w:t>
      </w:r>
      <w:r>
        <w:t xml:space="preserve">tarptautinio vežimo jūrų laivais arba tarptautinio vežimo jūrų laivais ir su juo tiesiogiai susijusiai </w:t>
      </w:r>
      <w:r>
        <w:rPr>
          <w:bCs/>
        </w:rPr>
        <w:t xml:space="preserve"> veiklai, t. y. laivų įsigijimui finansuoti, ir lėšas, susidariusias dėl kreditorinio įsiskolinimo sumažinimo, panaudos naujiems laivams, kuriais bus vykdoma tarptautinio vežimo jūrų laivais </w:t>
      </w:r>
      <w:r>
        <w:t xml:space="preserve">arba tarptautinio vežimo jūrų laivais ir su juo tiesiogiai susijusi </w:t>
      </w:r>
      <w:r>
        <w:rPr>
          <w:bCs/>
        </w:rPr>
        <w:t xml:space="preserve">veikla, įsigyti, </w:t>
      </w:r>
      <w:r>
        <w:t xml:space="preserve">tai pajamos dėl paskolos (jos dalies) nurašymo gali būti priskiriamos pajamoms, apmokestinamoms taikant fiksuotą pelno mokestį. </w:t>
      </w:r>
    </w:p>
    <w:p w14:paraId="0EE75B45" w14:textId="77777777" w:rsidR="00093845" w:rsidRDefault="000D779E">
      <w:pPr>
        <w:tabs>
          <w:tab w:val="left" w:pos="8280"/>
        </w:tabs>
        <w:ind w:firstLine="567"/>
        <w:jc w:val="both"/>
        <w:rPr>
          <w:bCs/>
        </w:rPr>
      </w:pPr>
      <w:r>
        <w:t>Kai sąnaudos yra susijusios tiek su laivybos vieneto fiksuotu pelno mokesčiu apmokestinama veikla, tiek ir su įprastine PMĮ 4 straipsnio mokestinei bazei priskiriama veikla, sąnaudų dalis, tenkanti PMĮ 4 straipsnio mokestinei bazei priskiriamoms pajamoms, nustatoma pagal laivybos vieneto apskaitos politikoje nusistatytą tvarką.</w:t>
      </w:r>
    </w:p>
    <w:p w14:paraId="5CA52288" w14:textId="77777777" w:rsidR="00093845" w:rsidRDefault="000D779E">
      <w:pPr>
        <w:tabs>
          <w:tab w:val="left" w:pos="8280"/>
        </w:tabs>
        <w:ind w:firstLine="567"/>
        <w:jc w:val="both"/>
        <w:rPr>
          <w:b/>
        </w:rPr>
      </w:pPr>
      <w:r>
        <w:rPr>
          <w:b/>
        </w:rPr>
        <w:t xml:space="preserve">Pavyzdys </w:t>
      </w:r>
    </w:p>
    <w:p w14:paraId="462AABA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567"/>
        <w:jc w:val="both"/>
        <w:rPr>
          <w:rFonts w:eastAsia="MS Mincho"/>
          <w:color w:val="000000"/>
          <w:lang w:eastAsia="ja-JP"/>
        </w:rPr>
      </w:pPr>
      <w:r>
        <w:t xml:space="preserve">Laivybos vieneto apskaitos politikoje nustatyta, kad sąnaudos, kurios susijusios tiek su laivybos vieneto fiksuotu pelno mokesčiu apmokestinama veikla, tiek ir su PMĮ 4 straipsnio mokestinei bazei priskiriama veikla, paskirstomos proporcingai </w:t>
      </w:r>
      <w:r>
        <w:rPr>
          <w:rFonts w:eastAsia="MS Mincho"/>
          <w:color w:val="000000"/>
          <w:lang w:eastAsia="ja-JP"/>
        </w:rPr>
        <w:t>šiose veiklose uždirbtoms ir/ar gautoms pajamoms. Vienetas mokestiniu laikotarpiu patirtas banko paslaugų, kranto darbuotojų darbo užmokesčio ir su juo susijusių mokesčių, patalpų nuomos, ryšių, konsultacinių paslaugų, komandiruočių, informacinių technologijų paslaugų sąnaudas, kurios yra susijusios tiek su fiksuoto pelno mokesčio, tiek su įprasto pelno mokesčio baze, paskirstė proporcingai (pagal to paties mokestinio laikotarpio pajamų procentą) šiose veiklose uždirbtoms ir/ar gautoms pajamoms. Apskaičiuojant apmokestinamąjį pelną, iš įprastinės veiklos pajamų, gali būti atskaityta minėtų sąnaudų dalis, proporcingai tenkanti įprastinės veiklos pajamoms.</w:t>
      </w:r>
    </w:p>
    <w:p w14:paraId="6E07DCE3" w14:textId="77777777" w:rsidR="00093845" w:rsidRDefault="00E079AB">
      <w:pPr>
        <w:rPr>
          <w:sz w:val="22"/>
          <w:szCs w:val="22"/>
          <w:lang w:val="lt-LT"/>
        </w:rPr>
      </w:pPr>
      <w:r>
        <w:rPr>
          <w:bCs/>
        </w:rPr>
        <w:t xml:space="preserve">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3EB1EBA6" w14:textId="77777777" w:rsidR="00075240" w:rsidRDefault="00075240" w:rsidP="00075240">
      <w:pPr>
        <w:spacing w:before="100" w:beforeAutospacing="1" w:after="100" w:afterAutospacing="1"/>
        <w:jc w:val="both"/>
        <w:rPr>
          <w:b/>
          <w:color w:val="000000"/>
          <w:lang w:eastAsia="lt-LT"/>
        </w:rPr>
      </w:pPr>
      <w:r w:rsidRPr="00BD55F3">
        <w:rPr>
          <w:b/>
          <w:color w:val="000000"/>
          <w:lang w:eastAsia="lt-LT"/>
        </w:rPr>
        <w:t>8. Apskaičiuojant pelno mokestį, neatsižvelgiama į darinį ar kelis darinius, kurių nustatymo pagrindinis tikslas arba vienas iš pagrindinių tikslų – gauti mokestinės naudos, ir todėl jie laikomi apsimestiniais, atsižvelgus į visus susijusius faktus ir aplinkybes. Darinys gali apimti daugiau negu vieną etapą ar dalį. Darinys arba keli dariniai laikomi apsimestiniais</w:t>
      </w:r>
      <w:r w:rsidRPr="00BD55F3">
        <w:rPr>
          <w:color w:val="000000"/>
          <w:lang w:eastAsia="lt-LT"/>
        </w:rPr>
        <w:t xml:space="preserve">, </w:t>
      </w:r>
      <w:r w:rsidRPr="00BD55F3">
        <w:rPr>
          <w:b/>
          <w:color w:val="000000"/>
          <w:lang w:eastAsia="lt-LT"/>
        </w:rPr>
        <w:t>jeigu jie</w:t>
      </w:r>
      <w:r w:rsidRPr="00BD55F3">
        <w:rPr>
          <w:color w:val="000000"/>
          <w:lang w:eastAsia="lt-LT"/>
        </w:rPr>
        <w:t xml:space="preserve"> </w:t>
      </w:r>
      <w:r w:rsidRPr="00BD55F3">
        <w:rPr>
          <w:b/>
          <w:color w:val="000000"/>
          <w:lang w:eastAsia="lt-LT"/>
        </w:rPr>
        <w:t>nebuvo nustatyti dėl svarių komercinių priežasčių, atspindinčių ekonominę realybę.</w:t>
      </w:r>
    </w:p>
    <w:p w14:paraId="4AAA0A75" w14:textId="77777777" w:rsidR="00075240" w:rsidRPr="00582607" w:rsidRDefault="00075240" w:rsidP="00075240">
      <w:pPr>
        <w:spacing w:before="100" w:beforeAutospacing="1" w:after="100" w:afterAutospacing="1"/>
        <w:rPr>
          <w:i/>
          <w:color w:val="000000"/>
          <w:lang w:eastAsia="lt-LT"/>
        </w:rPr>
      </w:pPr>
      <w:r w:rsidRPr="00582607">
        <w:rPr>
          <w:i/>
          <w:iCs/>
          <w:color w:val="000000"/>
          <w:lang w:eastAsia="lt-LT"/>
        </w:rPr>
        <w:t>(KEISTA: 2018 12 06 įstatymu Nr. XIII-1697 (nuo 2019 01 01) (TAR, 2018, Nr. 2018-20938))</w:t>
      </w:r>
    </w:p>
    <w:p w14:paraId="78600B75" w14:textId="77777777" w:rsidR="00075240" w:rsidRPr="009710DF" w:rsidRDefault="00075240" w:rsidP="00075240">
      <w:pPr>
        <w:pStyle w:val="tajtip"/>
        <w:shd w:val="clear" w:color="auto" w:fill="FFFFFF"/>
        <w:spacing w:before="0" w:beforeAutospacing="0" w:after="0" w:afterAutospacing="0"/>
        <w:ind w:firstLine="720"/>
        <w:jc w:val="both"/>
        <w:rPr>
          <w:b/>
        </w:rPr>
      </w:pPr>
      <w:r w:rsidRPr="009710DF">
        <w:rPr>
          <w:b/>
        </w:rPr>
        <w:t>Komentaras</w:t>
      </w:r>
    </w:p>
    <w:p w14:paraId="17A4895C" w14:textId="77777777" w:rsidR="00075240" w:rsidRDefault="00075240" w:rsidP="00075240">
      <w:pPr>
        <w:tabs>
          <w:tab w:val="left" w:pos="567"/>
        </w:tabs>
        <w:ind w:firstLine="567"/>
        <w:jc w:val="both"/>
        <w:rPr>
          <w:rFonts w:ascii="Trebuchet MS" w:hAnsi="Trebuchet MS"/>
          <w:noProof/>
          <w:szCs w:val="22"/>
        </w:rPr>
      </w:pPr>
    </w:p>
    <w:p w14:paraId="1E3639A8" w14:textId="77777777" w:rsidR="00075240" w:rsidRDefault="00075240" w:rsidP="00075240">
      <w:pPr>
        <w:tabs>
          <w:tab w:val="left" w:pos="567"/>
        </w:tabs>
        <w:ind w:firstLine="567"/>
        <w:jc w:val="both"/>
        <w:rPr>
          <w:noProof/>
        </w:rPr>
      </w:pPr>
      <w:r>
        <w:rPr>
          <w:noProof/>
        </w:rPr>
        <w:t>1. Šio straipsnio</w:t>
      </w:r>
      <w:r w:rsidRPr="002122B7">
        <w:rPr>
          <w:noProof/>
        </w:rPr>
        <w:t xml:space="preserve"> 8 dalies nuostatos</w:t>
      </w:r>
      <w:r>
        <w:rPr>
          <w:noProof/>
        </w:rPr>
        <w:t>e įtvirtinama</w:t>
      </w:r>
      <w:r w:rsidRPr="002122B7">
        <w:rPr>
          <w:noProof/>
        </w:rPr>
        <w:t xml:space="preserve"> bendroji kovos su mokesčių piktnaudžiavimu taisyklė</w:t>
      </w:r>
      <w:r>
        <w:rPr>
          <w:noProof/>
        </w:rPr>
        <w:t xml:space="preserve">, </w:t>
      </w:r>
      <w:r w:rsidRPr="002122B7">
        <w:rPr>
          <w:noProof/>
        </w:rPr>
        <w:t>į nacionalinę teisę perkeliant ir įgyvendinant 2016 m. liepos 12 d. Tarybos direktyvos (ES) 2016/1164, kuria nustatomos kovos su mokesčių vengimo praktika, tiesiogiai veikiančia vidaus rinkos veikimą, taisyklės</w:t>
      </w:r>
      <w:r>
        <w:rPr>
          <w:noProof/>
        </w:rPr>
        <w:t xml:space="preserve">, </w:t>
      </w:r>
      <w:r w:rsidRPr="002122B7">
        <w:rPr>
          <w:noProof/>
        </w:rPr>
        <w:t>nuostatą, kuria siekiama užtikrinti, kad pelno mokesčio lengvatomis ir kitomis apmokestinimo išimtimis nebūtų pasinaudota tais atvejais, kai yra siekiama mokestinės naudos.</w:t>
      </w:r>
    </w:p>
    <w:p w14:paraId="214EB474" w14:textId="77777777" w:rsidR="00075240" w:rsidRDefault="00075240" w:rsidP="00075240">
      <w:pPr>
        <w:tabs>
          <w:tab w:val="left" w:pos="567"/>
        </w:tabs>
        <w:ind w:firstLine="567"/>
        <w:jc w:val="both"/>
        <w:rPr>
          <w:color w:val="000000"/>
          <w:shd w:val="clear" w:color="auto" w:fill="FFFFFF"/>
        </w:rPr>
      </w:pPr>
      <w:r>
        <w:rPr>
          <w:noProof/>
        </w:rPr>
        <w:t>2.</w:t>
      </w:r>
      <w:r w:rsidRPr="002122B7">
        <w:rPr>
          <w:noProof/>
        </w:rPr>
        <w:t xml:space="preserve"> Bendroji kovos su mokes</w:t>
      </w:r>
      <w:r w:rsidRPr="002122B7">
        <w:rPr>
          <w:rFonts w:hint="cs"/>
          <w:noProof/>
        </w:rPr>
        <w:t>č</w:t>
      </w:r>
      <w:r w:rsidRPr="002122B7">
        <w:rPr>
          <w:noProof/>
        </w:rPr>
        <w:t>i</w:t>
      </w:r>
      <w:r w:rsidRPr="002122B7">
        <w:rPr>
          <w:rFonts w:hint="cs"/>
          <w:noProof/>
        </w:rPr>
        <w:t>ų</w:t>
      </w:r>
      <w:r w:rsidRPr="002122B7">
        <w:rPr>
          <w:noProof/>
        </w:rPr>
        <w:t xml:space="preserve"> piktnaudžiavimu </w:t>
      </w:r>
      <w:r>
        <w:rPr>
          <w:noProof/>
        </w:rPr>
        <w:t>t</w:t>
      </w:r>
      <w:r w:rsidRPr="002122B7">
        <w:rPr>
          <w:noProof/>
        </w:rPr>
        <w:t>aisyklė užtikrina, kad a</w:t>
      </w:r>
      <w:r w:rsidRPr="002122B7">
        <w:rPr>
          <w:color w:val="000000"/>
          <w:shd w:val="clear" w:color="auto" w:fill="FFFFFF"/>
        </w:rPr>
        <w:t>pskaičiuojant pelno mokestį, neatsižvelgiama į</w:t>
      </w:r>
      <w:r>
        <w:rPr>
          <w:color w:val="000000"/>
          <w:shd w:val="clear" w:color="auto" w:fill="FFFFFF"/>
        </w:rPr>
        <w:t xml:space="preserve"> darinį ar kelis darinius (apimančius ne tik veiklos struktūros elementus, bet ir atskirus</w:t>
      </w:r>
      <w:r w:rsidRPr="002122B7">
        <w:rPr>
          <w:color w:val="000000"/>
          <w:shd w:val="clear" w:color="auto" w:fill="FFFFFF"/>
        </w:rPr>
        <w:t xml:space="preserve"> sandorius, ūkines operacijas</w:t>
      </w:r>
      <w:r>
        <w:rPr>
          <w:color w:val="000000"/>
          <w:shd w:val="clear" w:color="auto" w:fill="FFFFFF"/>
        </w:rPr>
        <w:t>, susitarimus</w:t>
      </w:r>
      <w:r w:rsidRPr="002122B7">
        <w:rPr>
          <w:color w:val="000000"/>
          <w:shd w:val="clear" w:color="auto" w:fill="FFFFFF"/>
        </w:rPr>
        <w:t xml:space="preserve"> ar pan.), kurių nustatymo pagrindinis tikslas arba </w:t>
      </w:r>
      <w:r w:rsidRPr="002122B7">
        <w:rPr>
          <w:color w:val="000000"/>
          <w:shd w:val="clear" w:color="auto" w:fill="FFFFFF"/>
        </w:rPr>
        <w:lastRenderedPageBreak/>
        <w:t>vienas iš pagrindinių tikslų – gauti mokestinės naudos, ir todėl jie laikomi apsimestiniais, atsižvelgus į visus susijusius faktus ir aplinkybes.</w:t>
      </w:r>
      <w:r>
        <w:rPr>
          <w:color w:val="000000"/>
          <w:shd w:val="clear" w:color="auto" w:fill="FFFFFF"/>
        </w:rPr>
        <w:t xml:space="preserve"> </w:t>
      </w:r>
      <w:r w:rsidRPr="002122B7">
        <w:rPr>
          <w:color w:val="000000"/>
          <w:shd w:val="clear" w:color="auto" w:fill="FFFFFF"/>
        </w:rPr>
        <w:t>Darinys gali apimti daugiau negu vieną etapą ar dalį. Darinys arba keli dariniai laikomi apsimestiniais, jeigu jie nebuvo nustatyti dėl svarių komercinių priežasčių, atspindinčių ekonominę realybę</w:t>
      </w:r>
      <w:r>
        <w:rPr>
          <w:color w:val="000000"/>
          <w:shd w:val="clear" w:color="auto" w:fill="FFFFFF"/>
        </w:rPr>
        <w:t xml:space="preserve"> (plačiau apie darinį ir jo požymius žr. PMĮ 32 str. 6 d. komentare).</w:t>
      </w:r>
    </w:p>
    <w:p w14:paraId="636D987C" w14:textId="77777777" w:rsidR="00075240" w:rsidRDefault="00075240" w:rsidP="00075240">
      <w:pPr>
        <w:tabs>
          <w:tab w:val="left" w:pos="567"/>
        </w:tabs>
        <w:ind w:firstLine="567"/>
        <w:jc w:val="both"/>
        <w:rPr>
          <w:color w:val="000000"/>
          <w:shd w:val="clear" w:color="auto" w:fill="FFFFFF"/>
        </w:rPr>
      </w:pPr>
      <w:r>
        <w:rPr>
          <w:color w:val="000000"/>
          <w:shd w:val="clear" w:color="auto" w:fill="FFFFFF"/>
        </w:rPr>
        <w:t>Pavyzdžiai</w:t>
      </w:r>
    </w:p>
    <w:p w14:paraId="7E7FBEC9" w14:textId="77777777" w:rsidR="00075240" w:rsidRDefault="00075240" w:rsidP="00075240">
      <w:pPr>
        <w:tabs>
          <w:tab w:val="left" w:pos="567"/>
        </w:tabs>
        <w:ind w:firstLine="567"/>
        <w:jc w:val="both"/>
        <w:rPr>
          <w:color w:val="000000"/>
          <w:shd w:val="clear" w:color="auto" w:fill="FFFFFF"/>
        </w:rPr>
      </w:pPr>
    </w:p>
    <w:p w14:paraId="05C71AE3"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r w:rsidRPr="005313CA">
        <w:rPr>
          <w:color w:val="000000"/>
          <w:shd w:val="clear" w:color="auto" w:fill="FFFFFF"/>
        </w:rPr>
        <w:t xml:space="preserve">1. Lietuvos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X 100 proc. akcij</w:t>
      </w:r>
      <w:r w:rsidRPr="005313CA">
        <w:rPr>
          <w:rFonts w:hint="cs"/>
          <w:color w:val="000000"/>
          <w:shd w:val="clear" w:color="auto" w:fill="FFFFFF"/>
        </w:rPr>
        <w:t>ų</w:t>
      </w:r>
      <w:r w:rsidRPr="005313CA">
        <w:rPr>
          <w:color w:val="000000"/>
          <w:shd w:val="clear" w:color="auto" w:fill="FFFFFF"/>
        </w:rPr>
        <w:t xml:space="preserve"> nuo 2015 m. valdo Estijos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Y, kuriai taip pat priklauso 80 proc. 2016 m. Vokietijoje registruotos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Z akcij</w:t>
      </w:r>
      <w:r w:rsidRPr="005313CA">
        <w:rPr>
          <w:rFonts w:hint="cs"/>
          <w:color w:val="000000"/>
          <w:shd w:val="clear" w:color="auto" w:fill="FFFFFF"/>
        </w:rPr>
        <w:t>ų</w:t>
      </w:r>
      <w:r w:rsidRPr="005313CA">
        <w:rPr>
          <w:color w:val="000000"/>
          <w:shd w:val="clear" w:color="auto" w:fill="FFFFFF"/>
        </w:rPr>
        <w:t xml:space="preserve">.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Z 2017-2018 m. patyr</w:t>
      </w:r>
      <w:r w:rsidRPr="005313CA">
        <w:rPr>
          <w:rFonts w:hint="cs"/>
          <w:color w:val="000000"/>
          <w:shd w:val="clear" w:color="auto" w:fill="FFFFFF"/>
        </w:rPr>
        <w:t>ė</w:t>
      </w:r>
      <w:r w:rsidRPr="005313CA">
        <w:rPr>
          <w:color w:val="000000"/>
          <w:shd w:val="clear" w:color="auto" w:fill="FFFFFF"/>
        </w:rPr>
        <w:t xml:space="preserve"> mokestin</w:t>
      </w:r>
      <w:r w:rsidRPr="005313CA">
        <w:rPr>
          <w:rFonts w:hint="cs"/>
          <w:color w:val="000000"/>
          <w:shd w:val="clear" w:color="auto" w:fill="FFFFFF"/>
        </w:rPr>
        <w:t>į</w:t>
      </w:r>
      <w:r w:rsidRPr="005313CA">
        <w:rPr>
          <w:color w:val="000000"/>
          <w:shd w:val="clear" w:color="auto" w:fill="FFFFFF"/>
        </w:rPr>
        <w:t xml:space="preserve"> nuostol</w:t>
      </w:r>
      <w:r w:rsidRPr="005313CA">
        <w:rPr>
          <w:rFonts w:hint="cs"/>
          <w:color w:val="000000"/>
          <w:shd w:val="clear" w:color="auto" w:fill="FFFFFF"/>
        </w:rPr>
        <w:t>į</w:t>
      </w:r>
      <w:r w:rsidRPr="005313CA">
        <w:rPr>
          <w:color w:val="000000"/>
          <w:shd w:val="clear" w:color="auto" w:fill="FFFFFF"/>
        </w:rPr>
        <w:t>, tod</w:t>
      </w:r>
      <w:r w:rsidRPr="005313CA">
        <w:rPr>
          <w:rFonts w:hint="cs"/>
          <w:color w:val="000000"/>
          <w:shd w:val="clear" w:color="auto" w:fill="FFFFFF"/>
        </w:rPr>
        <w:t>ė</w:t>
      </w:r>
      <w:r w:rsidRPr="005313CA">
        <w:rPr>
          <w:color w:val="000000"/>
          <w:shd w:val="clear" w:color="auto" w:fill="FFFFFF"/>
        </w:rPr>
        <w:t>l 2019 m. nuspr</w:t>
      </w:r>
      <w:r w:rsidRPr="005313CA">
        <w:rPr>
          <w:rFonts w:hint="cs"/>
          <w:color w:val="000000"/>
          <w:shd w:val="clear" w:color="auto" w:fill="FFFFFF"/>
        </w:rPr>
        <w:t>ę</w:t>
      </w:r>
      <w:r w:rsidRPr="005313CA">
        <w:rPr>
          <w:color w:val="000000"/>
          <w:shd w:val="clear" w:color="auto" w:fill="FFFFFF"/>
        </w:rPr>
        <w:t>sta j</w:t>
      </w:r>
      <w:r w:rsidRPr="005313CA">
        <w:rPr>
          <w:rFonts w:hint="cs"/>
          <w:color w:val="000000"/>
          <w:shd w:val="clear" w:color="auto" w:fill="FFFFFF"/>
        </w:rPr>
        <w:t>ą</w:t>
      </w:r>
      <w:r w:rsidRPr="005313CA">
        <w:rPr>
          <w:color w:val="000000"/>
          <w:shd w:val="clear" w:color="auto" w:fill="FFFFFF"/>
        </w:rPr>
        <w:t xml:space="preserve"> likviduoti.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prieš likvidavimo proced</w:t>
      </w:r>
      <w:r w:rsidRPr="005313CA">
        <w:rPr>
          <w:rFonts w:hint="cs"/>
          <w:color w:val="000000"/>
          <w:shd w:val="clear" w:color="auto" w:fill="FFFFFF"/>
        </w:rPr>
        <w:t>ū</w:t>
      </w:r>
      <w:r w:rsidRPr="005313CA">
        <w:rPr>
          <w:color w:val="000000"/>
          <w:shd w:val="clear" w:color="auto" w:fill="FFFFFF"/>
        </w:rPr>
        <w:t>r</w:t>
      </w:r>
      <w:r w:rsidRPr="005313CA">
        <w:rPr>
          <w:rFonts w:hint="cs"/>
          <w:color w:val="000000"/>
          <w:shd w:val="clear" w:color="auto" w:fill="FFFFFF"/>
        </w:rPr>
        <w:t>ą</w:t>
      </w:r>
      <w:r w:rsidRPr="005313CA">
        <w:rPr>
          <w:color w:val="000000"/>
          <w:shd w:val="clear" w:color="auto" w:fill="FFFFFF"/>
        </w:rPr>
        <w:t xml:space="preserve"> susidarius</w:t>
      </w:r>
      <w:r w:rsidRPr="005313CA">
        <w:rPr>
          <w:rFonts w:hint="cs"/>
          <w:color w:val="000000"/>
          <w:shd w:val="clear" w:color="auto" w:fill="FFFFFF"/>
        </w:rPr>
        <w:t>į</w:t>
      </w:r>
      <w:r w:rsidRPr="005313CA">
        <w:rPr>
          <w:color w:val="000000"/>
          <w:shd w:val="clear" w:color="auto" w:fill="FFFFFF"/>
        </w:rPr>
        <w:t xml:space="preserve"> veiklos nuostol</w:t>
      </w:r>
      <w:r w:rsidRPr="005313CA">
        <w:rPr>
          <w:rFonts w:hint="cs"/>
          <w:color w:val="000000"/>
          <w:shd w:val="clear" w:color="auto" w:fill="FFFFFF"/>
        </w:rPr>
        <w:t>į</w:t>
      </w:r>
      <w:r w:rsidRPr="005313CA">
        <w:rPr>
          <w:color w:val="000000"/>
          <w:shd w:val="clear" w:color="auto" w:fill="FFFFFF"/>
        </w:rPr>
        <w:t xml:space="preserve"> perdav</w:t>
      </w:r>
      <w:r w:rsidRPr="005313CA">
        <w:rPr>
          <w:rFonts w:hint="cs"/>
          <w:color w:val="000000"/>
          <w:shd w:val="clear" w:color="auto" w:fill="FFFFFF"/>
        </w:rPr>
        <w:t>ė</w:t>
      </w:r>
      <w:r w:rsidRPr="005313CA">
        <w:rPr>
          <w:color w:val="000000"/>
          <w:shd w:val="clear" w:color="auto" w:fill="FFFFFF"/>
        </w:rPr>
        <w:t xml:space="preserve"> kitam, pelningai veikian</w:t>
      </w:r>
      <w:r w:rsidRPr="005313CA">
        <w:rPr>
          <w:rFonts w:hint="cs"/>
          <w:color w:val="000000"/>
          <w:shd w:val="clear" w:color="auto" w:fill="FFFFFF"/>
        </w:rPr>
        <w:t>č</w:t>
      </w:r>
      <w:r w:rsidRPr="005313CA">
        <w:rPr>
          <w:color w:val="000000"/>
          <w:shd w:val="clear" w:color="auto" w:fill="FFFFFF"/>
        </w:rPr>
        <w:t>iam vienet</w:t>
      </w:r>
      <w:r w:rsidRPr="005313CA">
        <w:rPr>
          <w:rFonts w:hint="cs"/>
          <w:color w:val="000000"/>
          <w:shd w:val="clear" w:color="auto" w:fill="FFFFFF"/>
        </w:rPr>
        <w:t>ų</w:t>
      </w:r>
      <w:r w:rsidRPr="005313CA">
        <w:rPr>
          <w:color w:val="000000"/>
          <w:shd w:val="clear" w:color="auto" w:fill="FFFFFF"/>
        </w:rPr>
        <w:t xml:space="preserve"> grup</w:t>
      </w:r>
      <w:r w:rsidRPr="005313CA">
        <w:rPr>
          <w:rFonts w:hint="cs"/>
          <w:color w:val="000000"/>
          <w:shd w:val="clear" w:color="auto" w:fill="FFFFFF"/>
        </w:rPr>
        <w:t>ė</w:t>
      </w:r>
      <w:r w:rsidRPr="005313CA">
        <w:rPr>
          <w:color w:val="000000"/>
          <w:shd w:val="clear" w:color="auto" w:fill="FFFFFF"/>
        </w:rPr>
        <w:t xml:space="preserve">s vienetui - Lietuvos </w:t>
      </w:r>
      <w:r w:rsidRPr="005313CA">
        <w:rPr>
          <w:rFonts w:hint="cs"/>
          <w:color w:val="000000"/>
          <w:shd w:val="clear" w:color="auto" w:fill="FFFFFF"/>
        </w:rPr>
        <w:t>į</w:t>
      </w:r>
      <w:r w:rsidRPr="005313CA">
        <w:rPr>
          <w:color w:val="000000"/>
          <w:shd w:val="clear" w:color="auto" w:fill="FFFFFF"/>
        </w:rPr>
        <w:t>monei X, kaip nustatyta PM</w:t>
      </w:r>
      <w:r w:rsidRPr="005313CA">
        <w:rPr>
          <w:rFonts w:hint="cs"/>
          <w:color w:val="000000"/>
          <w:shd w:val="clear" w:color="auto" w:fill="FFFFFF"/>
        </w:rPr>
        <w:t>Į</w:t>
      </w:r>
      <w:r w:rsidRPr="005313CA">
        <w:rPr>
          <w:color w:val="000000"/>
          <w:shd w:val="clear" w:color="auto" w:fill="FFFFFF"/>
        </w:rPr>
        <w:t xml:space="preserve"> 56(1) str. nuostatose. </w:t>
      </w:r>
      <w:r w:rsidRPr="005313CA">
        <w:rPr>
          <w:rFonts w:hint="cs"/>
          <w:color w:val="000000"/>
          <w:shd w:val="clear" w:color="auto" w:fill="FFFFFF"/>
        </w:rPr>
        <w:t>Į</w:t>
      </w:r>
      <w:r w:rsidRPr="005313CA">
        <w:rPr>
          <w:color w:val="000000"/>
          <w:shd w:val="clear" w:color="auto" w:fill="FFFFFF"/>
        </w:rPr>
        <w:t xml:space="preserve">vertinus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je Z susidariusi</w:t>
      </w:r>
      <w:r w:rsidRPr="005313CA">
        <w:rPr>
          <w:rFonts w:hint="cs"/>
          <w:color w:val="000000"/>
          <w:shd w:val="clear" w:color="auto" w:fill="FFFFFF"/>
        </w:rPr>
        <w:t>ų</w:t>
      </w:r>
      <w:r w:rsidRPr="005313CA">
        <w:rPr>
          <w:color w:val="000000"/>
          <w:shd w:val="clear" w:color="auto" w:fill="FFFFFF"/>
        </w:rPr>
        <w:t xml:space="preserve"> nuostoli</w:t>
      </w:r>
      <w:r w:rsidRPr="005313CA">
        <w:rPr>
          <w:rFonts w:hint="cs"/>
          <w:color w:val="000000"/>
          <w:shd w:val="clear" w:color="auto" w:fill="FFFFFF"/>
        </w:rPr>
        <w:t>ų</w:t>
      </w:r>
      <w:r w:rsidRPr="005313CA">
        <w:rPr>
          <w:color w:val="000000"/>
          <w:shd w:val="clear" w:color="auto" w:fill="FFFFFF"/>
        </w:rPr>
        <w:t xml:space="preserve"> aplinkybes, nustatyta, kad nuostoliai susidar</w:t>
      </w:r>
      <w:r w:rsidRPr="005313CA">
        <w:rPr>
          <w:rFonts w:hint="cs"/>
          <w:color w:val="000000"/>
          <w:shd w:val="clear" w:color="auto" w:fill="FFFFFF"/>
        </w:rPr>
        <w:t>ė</w:t>
      </w:r>
      <w:r w:rsidRPr="005313CA">
        <w:rPr>
          <w:color w:val="000000"/>
          <w:shd w:val="clear" w:color="auto" w:fill="FFFFFF"/>
        </w:rPr>
        <w:t xml:space="preserve"> d</w:t>
      </w:r>
      <w:r w:rsidRPr="005313CA">
        <w:rPr>
          <w:rFonts w:hint="cs"/>
          <w:color w:val="000000"/>
          <w:shd w:val="clear" w:color="auto" w:fill="FFFFFF"/>
        </w:rPr>
        <w:t>ė</w:t>
      </w:r>
      <w:r w:rsidRPr="005313CA">
        <w:rPr>
          <w:color w:val="000000"/>
          <w:shd w:val="clear" w:color="auto" w:fill="FFFFFF"/>
        </w:rPr>
        <w:t>l pasikartojan</w:t>
      </w:r>
      <w:r w:rsidRPr="005313CA">
        <w:rPr>
          <w:rFonts w:hint="cs"/>
          <w:color w:val="000000"/>
          <w:shd w:val="clear" w:color="auto" w:fill="FFFFFF"/>
        </w:rPr>
        <w:t>č</w:t>
      </w:r>
      <w:r w:rsidRPr="005313CA">
        <w:rPr>
          <w:color w:val="000000"/>
          <w:shd w:val="clear" w:color="auto" w:fill="FFFFFF"/>
        </w:rPr>
        <w:t>io preki</w:t>
      </w:r>
      <w:r w:rsidRPr="005313CA">
        <w:rPr>
          <w:rFonts w:hint="cs"/>
          <w:color w:val="000000"/>
          <w:shd w:val="clear" w:color="auto" w:fill="FFFFFF"/>
        </w:rPr>
        <w:t>ų</w:t>
      </w:r>
      <w:r w:rsidRPr="005313CA">
        <w:rPr>
          <w:color w:val="000000"/>
          <w:shd w:val="clear" w:color="auto" w:fill="FFFFFF"/>
        </w:rPr>
        <w:t xml:space="preserve"> pardavimo Gibraltaro </w:t>
      </w:r>
      <w:r w:rsidRPr="005313CA">
        <w:rPr>
          <w:rFonts w:hint="cs"/>
          <w:color w:val="000000"/>
          <w:shd w:val="clear" w:color="auto" w:fill="FFFFFF"/>
        </w:rPr>
        <w:t>į</w:t>
      </w:r>
      <w:r w:rsidRPr="005313CA">
        <w:rPr>
          <w:color w:val="000000"/>
          <w:shd w:val="clear" w:color="auto" w:fill="FFFFFF"/>
        </w:rPr>
        <w:t xml:space="preserve">monei T, už kurias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T neatsiskait</w:t>
      </w:r>
      <w:r w:rsidRPr="005313CA">
        <w:rPr>
          <w:rFonts w:hint="cs"/>
          <w:color w:val="000000"/>
          <w:shd w:val="clear" w:color="auto" w:fill="FFFFFF"/>
        </w:rPr>
        <w:t>ė</w:t>
      </w:r>
      <w:r w:rsidRPr="005313CA">
        <w:rPr>
          <w:color w:val="000000"/>
          <w:shd w:val="clear" w:color="auto" w:fill="FFFFFF"/>
        </w:rPr>
        <w:t xml:space="preserve">. 2019 m. pradžioje Gibraltaro </w:t>
      </w:r>
      <w:r w:rsidRPr="005313CA">
        <w:rPr>
          <w:rFonts w:hint="cs"/>
          <w:color w:val="000000"/>
          <w:shd w:val="clear" w:color="auto" w:fill="FFFFFF"/>
        </w:rPr>
        <w:t>į</w:t>
      </w:r>
      <w:r w:rsidRPr="005313CA">
        <w:rPr>
          <w:color w:val="000000"/>
          <w:shd w:val="clear" w:color="auto" w:fill="FFFFFF"/>
        </w:rPr>
        <w:t xml:space="preserve">monei T iškelta bankroto byla ir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likviduota. Nustatyta, kad vienas iš Gibraltaro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T akcinink</w:t>
      </w:r>
      <w:r w:rsidRPr="005313CA">
        <w:rPr>
          <w:rFonts w:hint="cs"/>
          <w:color w:val="000000"/>
          <w:shd w:val="clear" w:color="auto" w:fill="FFFFFF"/>
        </w:rPr>
        <w:t>ų</w:t>
      </w:r>
      <w:r w:rsidRPr="005313CA">
        <w:rPr>
          <w:color w:val="000000"/>
          <w:shd w:val="clear" w:color="auto" w:fill="FFFFFF"/>
        </w:rPr>
        <w:t xml:space="preserve"> – fizini</w:t>
      </w:r>
      <w:r w:rsidRPr="005313CA">
        <w:rPr>
          <w:rFonts w:hint="cs"/>
          <w:color w:val="000000"/>
          <w:shd w:val="clear" w:color="auto" w:fill="FFFFFF"/>
        </w:rPr>
        <w:t>ų</w:t>
      </w:r>
      <w:r w:rsidRPr="005313CA">
        <w:rPr>
          <w:color w:val="000000"/>
          <w:shd w:val="clear" w:color="auto" w:fill="FFFFFF"/>
        </w:rPr>
        <w:t xml:space="preserve"> asmen</w:t>
      </w:r>
      <w:r w:rsidRPr="005313CA">
        <w:rPr>
          <w:rFonts w:hint="cs"/>
          <w:color w:val="000000"/>
          <w:shd w:val="clear" w:color="auto" w:fill="FFFFFF"/>
        </w:rPr>
        <w:t>ų</w:t>
      </w:r>
      <w:r w:rsidRPr="005313CA">
        <w:rPr>
          <w:color w:val="000000"/>
          <w:shd w:val="clear" w:color="auto" w:fill="FFFFFF"/>
        </w:rPr>
        <w:t xml:space="preserve">, taip pat yra ir dalies Estijos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Y akcij</w:t>
      </w:r>
      <w:r w:rsidRPr="005313CA">
        <w:rPr>
          <w:rFonts w:hint="cs"/>
          <w:color w:val="000000"/>
          <w:shd w:val="clear" w:color="auto" w:fill="FFFFFF"/>
        </w:rPr>
        <w:t>ų</w:t>
      </w:r>
      <w:r w:rsidRPr="005313CA">
        <w:rPr>
          <w:color w:val="000000"/>
          <w:shd w:val="clear" w:color="auto" w:fill="FFFFFF"/>
        </w:rPr>
        <w:t xml:space="preserve"> savininkas. Taip pat </w:t>
      </w:r>
      <w:r w:rsidRPr="005313CA">
        <w:rPr>
          <w:rFonts w:hint="cs"/>
          <w:color w:val="000000"/>
          <w:shd w:val="clear" w:color="auto" w:fill="FFFFFF"/>
        </w:rPr>
        <w:t>į</w:t>
      </w:r>
      <w:r w:rsidRPr="005313CA">
        <w:rPr>
          <w:color w:val="000000"/>
          <w:shd w:val="clear" w:color="auto" w:fill="FFFFFF"/>
        </w:rPr>
        <w:t>vertinta, kad min</w:t>
      </w:r>
      <w:r w:rsidRPr="005313CA">
        <w:rPr>
          <w:rFonts w:hint="cs"/>
          <w:color w:val="000000"/>
          <w:shd w:val="clear" w:color="auto" w:fill="FFFFFF"/>
        </w:rPr>
        <w:t>ė</w:t>
      </w:r>
      <w:r w:rsidRPr="005313CA">
        <w:rPr>
          <w:color w:val="000000"/>
          <w:shd w:val="clear" w:color="auto" w:fill="FFFFFF"/>
        </w:rPr>
        <w:t>ti preki</w:t>
      </w:r>
      <w:r w:rsidRPr="005313CA">
        <w:rPr>
          <w:rFonts w:hint="cs"/>
          <w:color w:val="000000"/>
          <w:shd w:val="clear" w:color="auto" w:fill="FFFFFF"/>
        </w:rPr>
        <w:t>ų</w:t>
      </w:r>
      <w:r w:rsidRPr="005313CA">
        <w:rPr>
          <w:color w:val="000000"/>
          <w:shd w:val="clear" w:color="auto" w:fill="FFFFFF"/>
        </w:rPr>
        <w:t xml:space="preserve"> pardavimo sandoriai (kada prieš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likvidavim</w:t>
      </w:r>
      <w:r w:rsidRPr="005313CA">
        <w:rPr>
          <w:rFonts w:hint="cs"/>
          <w:color w:val="000000"/>
          <w:shd w:val="clear" w:color="auto" w:fill="FFFFFF"/>
        </w:rPr>
        <w:t>ą</w:t>
      </w:r>
      <w:r w:rsidRPr="005313CA">
        <w:rPr>
          <w:color w:val="000000"/>
          <w:shd w:val="clear" w:color="auto" w:fill="FFFFFF"/>
        </w:rPr>
        <w:t xml:space="preserve"> sistemiškai parduodamos prek</w:t>
      </w:r>
      <w:r w:rsidRPr="005313CA">
        <w:rPr>
          <w:rFonts w:hint="cs"/>
          <w:color w:val="000000"/>
          <w:shd w:val="clear" w:color="auto" w:fill="FFFFFF"/>
        </w:rPr>
        <w:t>ė</w:t>
      </w:r>
      <w:r w:rsidRPr="005313CA">
        <w:rPr>
          <w:color w:val="000000"/>
          <w:shd w:val="clear" w:color="auto" w:fill="FFFFFF"/>
        </w:rPr>
        <w:t>s be atsiskaitymo) nebuvo nustatyti d</w:t>
      </w:r>
      <w:r w:rsidRPr="005313CA">
        <w:rPr>
          <w:rFonts w:hint="cs"/>
          <w:color w:val="000000"/>
          <w:shd w:val="clear" w:color="auto" w:fill="FFFFFF"/>
        </w:rPr>
        <w:t>ė</w:t>
      </w:r>
      <w:r w:rsidRPr="005313CA">
        <w:rPr>
          <w:color w:val="000000"/>
          <w:shd w:val="clear" w:color="auto" w:fill="FFFFFF"/>
        </w:rPr>
        <w:t>l svari</w:t>
      </w:r>
      <w:r w:rsidRPr="005313CA">
        <w:rPr>
          <w:rFonts w:hint="cs"/>
          <w:color w:val="000000"/>
          <w:shd w:val="clear" w:color="auto" w:fill="FFFFFF"/>
        </w:rPr>
        <w:t>ų</w:t>
      </w:r>
      <w:r w:rsidRPr="005313CA">
        <w:rPr>
          <w:color w:val="000000"/>
          <w:shd w:val="clear" w:color="auto" w:fill="FFFFFF"/>
        </w:rPr>
        <w:t xml:space="preserve"> komercini</w:t>
      </w:r>
      <w:r w:rsidRPr="005313CA">
        <w:rPr>
          <w:rFonts w:hint="cs"/>
          <w:color w:val="000000"/>
          <w:shd w:val="clear" w:color="auto" w:fill="FFFFFF"/>
        </w:rPr>
        <w:t>ų</w:t>
      </w:r>
      <w:r w:rsidRPr="005313CA">
        <w:rPr>
          <w:color w:val="000000"/>
          <w:shd w:val="clear" w:color="auto" w:fill="FFFFFF"/>
        </w:rPr>
        <w:t xml:space="preserve"> priežas</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atspindin</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xml:space="preserve"> ekonomin</w:t>
      </w:r>
      <w:r w:rsidRPr="005313CA">
        <w:rPr>
          <w:rFonts w:hint="cs"/>
          <w:color w:val="000000"/>
          <w:shd w:val="clear" w:color="auto" w:fill="FFFFFF"/>
        </w:rPr>
        <w:t>ę</w:t>
      </w:r>
      <w:r w:rsidRPr="005313CA">
        <w:rPr>
          <w:color w:val="000000"/>
          <w:shd w:val="clear" w:color="auto" w:fill="FFFFFF"/>
        </w:rPr>
        <w:t xml:space="preserve"> realyb</w:t>
      </w:r>
      <w:r w:rsidRPr="005313CA">
        <w:rPr>
          <w:rFonts w:hint="cs"/>
          <w:color w:val="000000"/>
          <w:shd w:val="clear" w:color="auto" w:fill="FFFFFF"/>
        </w:rPr>
        <w:t>ę</w:t>
      </w:r>
      <w:r w:rsidRPr="005313CA">
        <w:rPr>
          <w:color w:val="000000"/>
          <w:shd w:val="clear" w:color="auto" w:fill="FFFFFF"/>
        </w:rPr>
        <w:t>, ir j</w:t>
      </w:r>
      <w:r w:rsidRPr="005313CA">
        <w:rPr>
          <w:rFonts w:hint="cs"/>
          <w:color w:val="000000"/>
          <w:shd w:val="clear" w:color="auto" w:fill="FFFFFF"/>
        </w:rPr>
        <w:t>ų</w:t>
      </w:r>
      <w:r w:rsidRPr="005313CA">
        <w:rPr>
          <w:color w:val="000000"/>
          <w:shd w:val="clear" w:color="auto" w:fill="FFFFFF"/>
        </w:rPr>
        <w:t xml:space="preserve"> pagrindinis tikslas ar vienas iš pagrindini</w:t>
      </w:r>
      <w:r w:rsidRPr="005313CA">
        <w:rPr>
          <w:rFonts w:hint="cs"/>
          <w:color w:val="000000"/>
          <w:shd w:val="clear" w:color="auto" w:fill="FFFFFF"/>
        </w:rPr>
        <w:t>ų</w:t>
      </w:r>
      <w:r w:rsidRPr="005313CA">
        <w:rPr>
          <w:color w:val="000000"/>
          <w:shd w:val="clear" w:color="auto" w:fill="FFFFFF"/>
        </w:rPr>
        <w:t xml:space="preserve"> tiksl</w:t>
      </w:r>
      <w:r w:rsidRPr="005313CA">
        <w:rPr>
          <w:rFonts w:hint="cs"/>
          <w:color w:val="000000"/>
          <w:shd w:val="clear" w:color="auto" w:fill="FFFFFF"/>
        </w:rPr>
        <w:t>ų</w:t>
      </w:r>
      <w:r w:rsidRPr="005313CA">
        <w:rPr>
          <w:color w:val="000000"/>
          <w:shd w:val="clear" w:color="auto" w:fill="FFFFFF"/>
        </w:rPr>
        <w:t xml:space="preserve"> – gauti mokestin</w:t>
      </w:r>
      <w:r w:rsidRPr="005313CA">
        <w:rPr>
          <w:rFonts w:hint="cs"/>
          <w:color w:val="000000"/>
          <w:shd w:val="clear" w:color="auto" w:fill="FFFFFF"/>
        </w:rPr>
        <w:t>ę</w:t>
      </w:r>
      <w:r w:rsidRPr="005313CA">
        <w:rPr>
          <w:color w:val="000000"/>
          <w:shd w:val="clear" w:color="auto" w:fill="FFFFFF"/>
        </w:rPr>
        <w:t xml:space="preserve"> naud</w:t>
      </w:r>
      <w:r w:rsidRPr="005313CA">
        <w:rPr>
          <w:rFonts w:hint="cs"/>
          <w:color w:val="000000"/>
          <w:shd w:val="clear" w:color="auto" w:fill="FFFFFF"/>
        </w:rPr>
        <w:t>ą</w:t>
      </w:r>
      <w:r w:rsidRPr="005313CA">
        <w:rPr>
          <w:color w:val="000000"/>
          <w:shd w:val="clear" w:color="auto" w:fill="FFFFFF"/>
        </w:rPr>
        <w:t>, t.y. prieš vieneto likvidavim</w:t>
      </w:r>
      <w:r w:rsidRPr="005313CA">
        <w:rPr>
          <w:rFonts w:hint="cs"/>
          <w:color w:val="000000"/>
          <w:shd w:val="clear" w:color="auto" w:fill="FFFFFF"/>
        </w:rPr>
        <w:t>ą</w:t>
      </w:r>
      <w:r w:rsidRPr="005313CA">
        <w:rPr>
          <w:color w:val="000000"/>
          <w:shd w:val="clear" w:color="auto" w:fill="FFFFFF"/>
        </w:rPr>
        <w:t xml:space="preserve"> perkelti dirbtinai suformuotus nuostolius kitam vienet</w:t>
      </w:r>
      <w:r w:rsidRPr="005313CA">
        <w:rPr>
          <w:rFonts w:hint="cs"/>
          <w:color w:val="000000"/>
          <w:shd w:val="clear" w:color="auto" w:fill="FFFFFF"/>
        </w:rPr>
        <w:t>ų</w:t>
      </w:r>
      <w:r w:rsidRPr="005313CA">
        <w:rPr>
          <w:color w:val="000000"/>
          <w:shd w:val="clear" w:color="auto" w:fill="FFFFFF"/>
        </w:rPr>
        <w:t xml:space="preserve"> grup</w:t>
      </w:r>
      <w:r w:rsidRPr="005313CA">
        <w:rPr>
          <w:rFonts w:hint="cs"/>
          <w:color w:val="000000"/>
          <w:shd w:val="clear" w:color="auto" w:fill="FFFFFF"/>
        </w:rPr>
        <w:t>ė</w:t>
      </w:r>
      <w:r w:rsidRPr="005313CA">
        <w:rPr>
          <w:color w:val="000000"/>
          <w:shd w:val="clear" w:color="auto" w:fill="FFFFFF"/>
        </w:rPr>
        <w:t xml:space="preserve">s vienetui - Lietuvos </w:t>
      </w:r>
      <w:r w:rsidRPr="005313CA">
        <w:rPr>
          <w:rFonts w:hint="cs"/>
          <w:color w:val="000000"/>
          <w:shd w:val="clear" w:color="auto" w:fill="FFFFFF"/>
        </w:rPr>
        <w:t>į</w:t>
      </w:r>
      <w:r w:rsidRPr="005313CA">
        <w:rPr>
          <w:color w:val="000000"/>
          <w:shd w:val="clear" w:color="auto" w:fill="FFFFFF"/>
        </w:rPr>
        <w:t>monei X, taip sumažinant mok</w:t>
      </w:r>
      <w:r w:rsidRPr="005313CA">
        <w:rPr>
          <w:rFonts w:hint="cs"/>
          <w:color w:val="000000"/>
          <w:shd w:val="clear" w:color="auto" w:fill="FFFFFF"/>
        </w:rPr>
        <w:t>ė</w:t>
      </w:r>
      <w:r w:rsidRPr="005313CA">
        <w:rPr>
          <w:color w:val="000000"/>
          <w:shd w:val="clear" w:color="auto" w:fill="FFFFFF"/>
        </w:rPr>
        <w:t>tinus mokes</w:t>
      </w:r>
      <w:r w:rsidRPr="005313CA">
        <w:rPr>
          <w:rFonts w:hint="cs"/>
          <w:color w:val="000000"/>
          <w:shd w:val="clear" w:color="auto" w:fill="FFFFFF"/>
        </w:rPr>
        <w:t>č</w:t>
      </w:r>
      <w:r w:rsidRPr="005313CA">
        <w:rPr>
          <w:color w:val="000000"/>
          <w:shd w:val="clear" w:color="auto" w:fill="FFFFFF"/>
        </w:rPr>
        <w:t xml:space="preserve">ius Lietuvoje. Atsižvelgus </w:t>
      </w:r>
      <w:r w:rsidRPr="005313CA">
        <w:rPr>
          <w:rFonts w:hint="cs"/>
          <w:color w:val="000000"/>
          <w:shd w:val="clear" w:color="auto" w:fill="FFFFFF"/>
        </w:rPr>
        <w:t>į</w:t>
      </w:r>
      <w:r w:rsidRPr="005313CA">
        <w:rPr>
          <w:color w:val="000000"/>
          <w:shd w:val="clear" w:color="auto" w:fill="FFFFFF"/>
        </w:rPr>
        <w:t xml:space="preserve"> min</w:t>
      </w:r>
      <w:r w:rsidRPr="005313CA">
        <w:rPr>
          <w:rFonts w:hint="cs"/>
          <w:color w:val="000000"/>
          <w:shd w:val="clear" w:color="auto" w:fill="FFFFFF"/>
        </w:rPr>
        <w:t>ė</w:t>
      </w:r>
      <w:r w:rsidRPr="005313CA">
        <w:rPr>
          <w:color w:val="000000"/>
          <w:shd w:val="clear" w:color="auto" w:fill="FFFFFF"/>
        </w:rPr>
        <w:t>tas aplinkybes, remiantis PM</w:t>
      </w:r>
      <w:r w:rsidRPr="005313CA">
        <w:rPr>
          <w:rFonts w:hint="cs"/>
          <w:color w:val="000000"/>
          <w:shd w:val="clear" w:color="auto" w:fill="FFFFFF"/>
        </w:rPr>
        <w:t>Į</w:t>
      </w:r>
      <w:r w:rsidRPr="005313CA">
        <w:rPr>
          <w:color w:val="000000"/>
          <w:shd w:val="clear" w:color="auto" w:fill="FFFFFF"/>
        </w:rPr>
        <w:t xml:space="preserve"> 11 str. 8 dalies nuostatomis – bendr</w:t>
      </w:r>
      <w:r w:rsidRPr="005313CA">
        <w:rPr>
          <w:rFonts w:hint="cs"/>
          <w:color w:val="000000"/>
          <w:shd w:val="clear" w:color="auto" w:fill="FFFFFF"/>
        </w:rPr>
        <w:t>ą</w:t>
      </w:r>
      <w:r w:rsidRPr="005313CA">
        <w:rPr>
          <w:color w:val="000000"/>
          <w:shd w:val="clear" w:color="auto" w:fill="FFFFFF"/>
        </w:rPr>
        <w:t>ja kovos su mokes</w:t>
      </w:r>
      <w:r w:rsidRPr="005313CA">
        <w:rPr>
          <w:rFonts w:hint="cs"/>
          <w:color w:val="000000"/>
          <w:shd w:val="clear" w:color="auto" w:fill="FFFFFF"/>
        </w:rPr>
        <w:t>č</w:t>
      </w:r>
      <w:r w:rsidRPr="005313CA">
        <w:rPr>
          <w:color w:val="000000"/>
          <w:shd w:val="clear" w:color="auto" w:fill="FFFFFF"/>
        </w:rPr>
        <w:t>i</w:t>
      </w:r>
      <w:r w:rsidRPr="005313CA">
        <w:rPr>
          <w:rFonts w:hint="cs"/>
          <w:color w:val="000000"/>
          <w:shd w:val="clear" w:color="auto" w:fill="FFFFFF"/>
        </w:rPr>
        <w:t>ų</w:t>
      </w:r>
      <w:r w:rsidRPr="005313CA">
        <w:rPr>
          <w:color w:val="000000"/>
          <w:shd w:val="clear" w:color="auto" w:fill="FFFFFF"/>
        </w:rPr>
        <w:t xml:space="preserve"> piktnaudžiavimo taisykle, PM</w:t>
      </w:r>
      <w:r w:rsidRPr="005313CA">
        <w:rPr>
          <w:rFonts w:hint="cs"/>
          <w:color w:val="000000"/>
          <w:shd w:val="clear" w:color="auto" w:fill="FFFFFF"/>
        </w:rPr>
        <w:t>Į</w:t>
      </w:r>
      <w:r w:rsidRPr="005313CA">
        <w:rPr>
          <w:color w:val="000000"/>
          <w:shd w:val="clear" w:color="auto" w:fill="FFFFFF"/>
        </w:rPr>
        <w:t xml:space="preserve"> 56(1) str. nuostatos netaikomos, t.y. Lietuvos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 xml:space="preserve"> X negali perimti Vokietijos </w:t>
      </w:r>
      <w:r w:rsidRPr="005313CA">
        <w:rPr>
          <w:rFonts w:hint="cs"/>
          <w:color w:val="000000"/>
          <w:shd w:val="clear" w:color="auto" w:fill="FFFFFF"/>
        </w:rPr>
        <w:t>į</w:t>
      </w:r>
      <w:r w:rsidRPr="005313CA">
        <w:rPr>
          <w:color w:val="000000"/>
          <w:shd w:val="clear" w:color="auto" w:fill="FFFFFF"/>
        </w:rPr>
        <w:t>mon</w:t>
      </w:r>
      <w:r w:rsidRPr="005313CA">
        <w:rPr>
          <w:rFonts w:hint="cs"/>
          <w:color w:val="000000"/>
          <w:shd w:val="clear" w:color="auto" w:fill="FFFFFF"/>
        </w:rPr>
        <w:t>ė</w:t>
      </w:r>
      <w:r w:rsidRPr="005313CA">
        <w:rPr>
          <w:color w:val="000000"/>
          <w:shd w:val="clear" w:color="auto" w:fill="FFFFFF"/>
        </w:rPr>
        <w:t>s Z nuostoli</w:t>
      </w:r>
      <w:r w:rsidRPr="005313CA">
        <w:rPr>
          <w:rFonts w:hint="cs"/>
          <w:color w:val="000000"/>
          <w:shd w:val="clear" w:color="auto" w:fill="FFFFFF"/>
        </w:rPr>
        <w:t>ų</w:t>
      </w:r>
      <w:r w:rsidRPr="005313CA">
        <w:rPr>
          <w:color w:val="000000"/>
          <w:shd w:val="clear" w:color="auto" w:fill="FFFFFF"/>
        </w:rPr>
        <w:t>.</w:t>
      </w:r>
    </w:p>
    <w:p w14:paraId="425F1F4D"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p>
    <w:p w14:paraId="5640A696" w14:textId="77777777" w:rsidR="00075240" w:rsidRPr="005313CA"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r w:rsidRPr="005313CA">
        <w:rPr>
          <w:color w:val="000000"/>
          <w:shd w:val="clear" w:color="auto" w:fill="FFFFFF"/>
        </w:rPr>
        <w:t>2. Lietuvos įmonė „A“, ilgiau kaip 2 metus valdanti 100 proc. 2 dukterinių Lietuvos įmonių akcijų, įsigytų už 2 000 000 eurų, parduoda šių įmonių akcijas už rinkos kainą – 5 000 000 eurų - kitai Lietuvos įmonei „B“. Pagal PMĮ 12 str. 15 punkto nuostatas akcijų perleidimo pajamos, gautos įmonės „A“, neapmokestinamos. Patikrinimo metu nustatoma, kad Lietuvos įmonė „B“ po akcijų pirkimo sandorio perpirktas įmones likviduoja. Pagal PMĮ 45 str. 2 dalies nuostatas l</w:t>
      </w:r>
      <w:r w:rsidRPr="005313CA">
        <w:rPr>
          <w:bCs/>
          <w:color w:val="000000"/>
          <w:shd w:val="clear" w:color="auto" w:fill="FFFFFF"/>
        </w:rPr>
        <w:t xml:space="preserve">ikviduojamo vieneto dalyviai pripažįsta turto vertės padidėjimo pajamas (turto vertės nuostolius) likviduojamo vieneto turto ar jo dalies gavimo momentu. Tokias pajamas (nuostolius) sudaro vieneto dalyvių nuosavybės teisių (dalių, pajų, akcijų) įsigijimo kainos ir iš likviduojamo vieneto gauto turto rinkos kainos skirtumas. </w:t>
      </w:r>
      <w:r w:rsidRPr="005313CA">
        <w:rPr>
          <w:color w:val="000000"/>
          <w:shd w:val="clear" w:color="auto" w:fill="FFFFFF"/>
        </w:rPr>
        <w:t>„B“ įmonei apmokestinamųjų turto vertės padidėjimo pajamų nesusidaro, kadangi likviduojamų Lietuvos įmonių akcijų įsigijimo kaina (t. y. 5 000 000 eurų) lygi gauto turto rinkos kainai. Patikrinimo metu nustatoma, kad Lietuvos įmonėje „B“ iki likvidavimo nebuvo darbuotojų, reali aktyvi veikla niekada nebuvo vykdoma, jos akcininkai – fiziniai asmenys tiesiogiai ar per sutuoktinius valdantys ir įmonę  „A“. Atsižvelgus į tai, kad įmonės „A“ valdomos Lietuvos įmonių akcijos buvo parduotos apsimestiniam dariniui – įmonei „B“, siekiant mokestinės naudos, kada 2 įmonių likvidavimo procese įterpiamas dirbtinas darinys – įmonė „B“, taip įmonei „A“ išvengiant turto (akcijų) vertės padidėjimo apmokestinimo, remiantis PMĮ 11 str. 8 dalies nuostatomis – bendrąja kovos su mokesčių piktnaudžiavimo taisykle, PMĮ 12 str. 15 punkto nuostatos (kada išlaikius ne trumpiau kaip 2 metus be pertraukų daugiau kaip 10 proc. balsus suteikiančių vieneto akcijų, jų perleidimo pajamos neapmokestinamos) netaikomos, todėl įmonės „A“ gautos akcijų perleidimo pajamos  - 3 000 000 eurų,  apmokestinamos.</w:t>
      </w:r>
    </w:p>
    <w:p w14:paraId="0943ABA0" w14:textId="77777777" w:rsidR="00075240" w:rsidRDefault="00075240" w:rsidP="00075240">
      <w:pPr>
        <w:pBdr>
          <w:top w:val="single" w:sz="4" w:space="1" w:color="auto"/>
          <w:left w:val="single" w:sz="4" w:space="4" w:color="auto"/>
          <w:bottom w:val="single" w:sz="4" w:space="1" w:color="auto"/>
          <w:right w:val="single" w:sz="4" w:space="4" w:color="auto"/>
        </w:pBdr>
        <w:ind w:firstLine="567"/>
        <w:jc w:val="both"/>
        <w:rPr>
          <w:color w:val="000000"/>
          <w:shd w:val="clear" w:color="auto" w:fill="FFFFFF"/>
        </w:rPr>
      </w:pPr>
    </w:p>
    <w:p w14:paraId="041BD885" w14:textId="77777777" w:rsidR="00075240" w:rsidRPr="004E1B4E" w:rsidRDefault="00075240" w:rsidP="00075240">
      <w:pPr>
        <w:ind w:firstLine="567"/>
        <w:jc w:val="both"/>
        <w:rPr>
          <w:color w:val="000000"/>
          <w:shd w:val="clear" w:color="auto" w:fill="FFFFFF"/>
        </w:rPr>
      </w:pPr>
      <w:r>
        <w:rPr>
          <w:color w:val="000000"/>
          <w:shd w:val="clear" w:color="auto" w:fill="FFFFFF"/>
        </w:rPr>
        <w:lastRenderedPageBreak/>
        <w:t xml:space="preserve">3. </w:t>
      </w:r>
      <w:r w:rsidRPr="002E57C8">
        <w:rPr>
          <w:color w:val="000000"/>
          <w:shd w:val="clear" w:color="auto" w:fill="FFFFFF"/>
        </w:rPr>
        <w:t>Mokes</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xml:space="preserve"> administratoriui </w:t>
      </w:r>
      <w:r w:rsidRPr="002E57C8">
        <w:rPr>
          <w:rFonts w:hint="cs"/>
          <w:color w:val="000000"/>
          <w:shd w:val="clear" w:color="auto" w:fill="FFFFFF"/>
        </w:rPr>
        <w:t>į</w:t>
      </w:r>
      <w:r w:rsidRPr="002E57C8">
        <w:rPr>
          <w:color w:val="000000"/>
          <w:shd w:val="clear" w:color="auto" w:fill="FFFFFF"/>
        </w:rPr>
        <w:t>vertinus konkre</w:t>
      </w:r>
      <w:r w:rsidRPr="002E57C8">
        <w:rPr>
          <w:rFonts w:hint="cs"/>
          <w:color w:val="000000"/>
          <w:shd w:val="clear" w:color="auto" w:fill="FFFFFF"/>
        </w:rPr>
        <w:t>č</w:t>
      </w:r>
      <w:r w:rsidRPr="002E57C8">
        <w:rPr>
          <w:color w:val="000000"/>
          <w:shd w:val="clear" w:color="auto" w:fill="FFFFFF"/>
        </w:rPr>
        <w:t>ios situacijos visus faktus ir aplinkybes bei nusta</w:t>
      </w:r>
      <w:r w:rsidRPr="002E57C8">
        <w:rPr>
          <w:rFonts w:hint="cs"/>
          <w:color w:val="000000"/>
          <w:shd w:val="clear" w:color="auto" w:fill="FFFFFF"/>
        </w:rPr>
        <w:t>č</w:t>
      </w:r>
      <w:r w:rsidRPr="002E57C8">
        <w:rPr>
          <w:color w:val="000000"/>
          <w:shd w:val="clear" w:color="auto" w:fill="FFFFFF"/>
        </w:rPr>
        <w:t>ius, jog darinys (keli dariniai) verslo strukt</w:t>
      </w:r>
      <w:r w:rsidRPr="002E57C8">
        <w:rPr>
          <w:rFonts w:hint="cs"/>
          <w:color w:val="000000"/>
          <w:shd w:val="clear" w:color="auto" w:fill="FFFFFF"/>
        </w:rPr>
        <w:t>ū</w:t>
      </w:r>
      <w:r w:rsidRPr="002E57C8">
        <w:rPr>
          <w:color w:val="000000"/>
          <w:shd w:val="clear" w:color="auto" w:fill="FFFFFF"/>
        </w:rPr>
        <w:t>roje naudojamas ne d</w:t>
      </w:r>
      <w:r w:rsidRPr="002E57C8">
        <w:rPr>
          <w:rFonts w:hint="cs"/>
          <w:color w:val="000000"/>
          <w:shd w:val="clear" w:color="auto" w:fill="FFFFFF"/>
        </w:rPr>
        <w:t>ė</w:t>
      </w:r>
      <w:r w:rsidRPr="002E57C8">
        <w:rPr>
          <w:color w:val="000000"/>
          <w:shd w:val="clear" w:color="auto" w:fill="FFFFFF"/>
        </w:rPr>
        <w:t>l svari</w:t>
      </w:r>
      <w:r w:rsidRPr="002E57C8">
        <w:rPr>
          <w:rFonts w:hint="cs"/>
          <w:color w:val="000000"/>
          <w:shd w:val="clear" w:color="auto" w:fill="FFFFFF"/>
        </w:rPr>
        <w:t>ų</w:t>
      </w:r>
      <w:r w:rsidRPr="002E57C8">
        <w:rPr>
          <w:color w:val="000000"/>
          <w:shd w:val="clear" w:color="auto" w:fill="FFFFFF"/>
        </w:rPr>
        <w:t xml:space="preserve"> komercini</w:t>
      </w:r>
      <w:r w:rsidRPr="002E57C8">
        <w:rPr>
          <w:rFonts w:hint="cs"/>
          <w:color w:val="000000"/>
          <w:shd w:val="clear" w:color="auto" w:fill="FFFFFF"/>
        </w:rPr>
        <w:t>ų</w:t>
      </w:r>
      <w:r w:rsidRPr="002E57C8">
        <w:rPr>
          <w:color w:val="000000"/>
          <w:shd w:val="clear" w:color="auto" w:fill="FFFFFF"/>
        </w:rPr>
        <w:t xml:space="preserve"> priežas</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atspindin</w:t>
      </w:r>
      <w:r w:rsidRPr="002E57C8">
        <w:rPr>
          <w:rFonts w:hint="cs"/>
          <w:color w:val="000000"/>
          <w:shd w:val="clear" w:color="auto" w:fill="FFFFFF"/>
        </w:rPr>
        <w:t>č</w:t>
      </w:r>
      <w:r w:rsidRPr="002E57C8">
        <w:rPr>
          <w:color w:val="000000"/>
          <w:shd w:val="clear" w:color="auto" w:fill="FFFFFF"/>
        </w:rPr>
        <w:t>i</w:t>
      </w:r>
      <w:r w:rsidRPr="002E57C8">
        <w:rPr>
          <w:rFonts w:hint="cs"/>
          <w:color w:val="000000"/>
          <w:shd w:val="clear" w:color="auto" w:fill="FFFFFF"/>
        </w:rPr>
        <w:t>ų</w:t>
      </w:r>
      <w:r w:rsidRPr="002E57C8">
        <w:rPr>
          <w:color w:val="000000"/>
          <w:shd w:val="clear" w:color="auto" w:fill="FFFFFF"/>
        </w:rPr>
        <w:t xml:space="preserve"> ekonomin</w:t>
      </w:r>
      <w:r w:rsidRPr="002E57C8">
        <w:rPr>
          <w:rFonts w:hint="cs"/>
          <w:color w:val="000000"/>
          <w:shd w:val="clear" w:color="auto" w:fill="FFFFFF"/>
        </w:rPr>
        <w:t>ę</w:t>
      </w:r>
      <w:r w:rsidRPr="002E57C8">
        <w:rPr>
          <w:color w:val="000000"/>
          <w:shd w:val="clear" w:color="auto" w:fill="FFFFFF"/>
        </w:rPr>
        <w:t xml:space="preserve"> realyb</w:t>
      </w:r>
      <w:r w:rsidRPr="002E57C8">
        <w:rPr>
          <w:rFonts w:hint="cs"/>
          <w:color w:val="000000"/>
          <w:shd w:val="clear" w:color="auto" w:fill="FFFFFF"/>
        </w:rPr>
        <w:t>ę</w:t>
      </w:r>
      <w:r w:rsidRPr="002E57C8">
        <w:rPr>
          <w:color w:val="000000"/>
          <w:shd w:val="clear" w:color="auto" w:fill="FFFFFF"/>
        </w:rPr>
        <w:t>, bet tikslu pasinaudoti PM</w:t>
      </w:r>
      <w:r w:rsidRPr="002E57C8">
        <w:rPr>
          <w:rFonts w:hint="cs"/>
          <w:color w:val="000000"/>
          <w:shd w:val="clear" w:color="auto" w:fill="FFFFFF"/>
        </w:rPr>
        <w:t>Į</w:t>
      </w:r>
      <w:r w:rsidRPr="002E57C8">
        <w:rPr>
          <w:color w:val="000000"/>
          <w:shd w:val="clear" w:color="auto" w:fill="FFFFFF"/>
        </w:rPr>
        <w:t xml:space="preserve"> </w:t>
      </w:r>
      <w:r w:rsidRPr="002E57C8">
        <w:rPr>
          <w:rFonts w:hint="cs"/>
          <w:color w:val="000000"/>
          <w:shd w:val="clear" w:color="auto" w:fill="FFFFFF"/>
        </w:rPr>
        <w:t>į</w:t>
      </w:r>
      <w:r w:rsidRPr="002E57C8">
        <w:rPr>
          <w:color w:val="000000"/>
          <w:shd w:val="clear" w:color="auto" w:fill="FFFFFF"/>
        </w:rPr>
        <w:t xml:space="preserve">tvirtintomis </w:t>
      </w:r>
      <w:r>
        <w:rPr>
          <w:color w:val="000000"/>
          <w:shd w:val="clear" w:color="auto" w:fill="FFFFFF"/>
        </w:rPr>
        <w:t xml:space="preserve">mokesčio </w:t>
      </w:r>
      <w:r w:rsidRPr="002E57C8">
        <w:rPr>
          <w:color w:val="000000"/>
          <w:shd w:val="clear" w:color="auto" w:fill="FFFFFF"/>
        </w:rPr>
        <w:t xml:space="preserve">lengvatomis </w:t>
      </w:r>
      <w:r>
        <w:rPr>
          <w:color w:val="000000"/>
          <w:shd w:val="clear" w:color="auto" w:fill="FFFFFF"/>
        </w:rPr>
        <w:t xml:space="preserve">(neapmokestinimo </w:t>
      </w:r>
      <w:r w:rsidRPr="002E57C8">
        <w:rPr>
          <w:color w:val="000000"/>
          <w:shd w:val="clear" w:color="auto" w:fill="FFFFFF"/>
        </w:rPr>
        <w:t>išimtimis</w:t>
      </w:r>
      <w:r>
        <w:rPr>
          <w:color w:val="000000"/>
          <w:shd w:val="clear" w:color="auto" w:fill="FFFFFF"/>
        </w:rPr>
        <w:t>) ar išvengti mokesčio</w:t>
      </w:r>
      <w:r w:rsidRPr="002E57C8">
        <w:rPr>
          <w:color w:val="000000"/>
          <w:shd w:val="clear" w:color="auto" w:fill="FFFFFF"/>
        </w:rPr>
        <w:t xml:space="preserve">, </w:t>
      </w:r>
      <w:r>
        <w:rPr>
          <w:color w:val="000000"/>
          <w:shd w:val="clear" w:color="auto" w:fill="FFFFFF"/>
        </w:rPr>
        <w:t>t.y.</w:t>
      </w:r>
      <w:r w:rsidRPr="002E57C8">
        <w:rPr>
          <w:color w:val="000000"/>
          <w:shd w:val="clear" w:color="auto" w:fill="FFFFFF"/>
        </w:rPr>
        <w:t xml:space="preserve"> siekiant gauti mokestin</w:t>
      </w:r>
      <w:r w:rsidRPr="002E57C8">
        <w:rPr>
          <w:rFonts w:hint="cs"/>
          <w:color w:val="000000"/>
          <w:shd w:val="clear" w:color="auto" w:fill="FFFFFF"/>
        </w:rPr>
        <w:t>ė</w:t>
      </w:r>
      <w:r w:rsidRPr="002E57C8">
        <w:rPr>
          <w:color w:val="000000"/>
          <w:shd w:val="clear" w:color="auto" w:fill="FFFFFF"/>
        </w:rPr>
        <w:t xml:space="preserve">s </w:t>
      </w:r>
      <w:r w:rsidRPr="004E1B4E">
        <w:rPr>
          <w:color w:val="000000"/>
          <w:shd w:val="clear" w:color="auto" w:fill="FFFFFF"/>
        </w:rPr>
        <w:t>naudos, kuri yra pagrindinis tikslas arba vienas iš pagrindini</w:t>
      </w:r>
      <w:r w:rsidRPr="004E1B4E">
        <w:rPr>
          <w:rFonts w:hint="cs"/>
          <w:color w:val="000000"/>
          <w:shd w:val="clear" w:color="auto" w:fill="FFFFFF"/>
        </w:rPr>
        <w:t>ų</w:t>
      </w:r>
      <w:r w:rsidRPr="004E1B4E">
        <w:rPr>
          <w:color w:val="000000"/>
          <w:shd w:val="clear" w:color="auto" w:fill="FFFFFF"/>
        </w:rPr>
        <w:t xml:space="preserve"> tiksl</w:t>
      </w:r>
      <w:r w:rsidRPr="004E1B4E">
        <w:rPr>
          <w:rFonts w:hint="cs"/>
          <w:color w:val="000000"/>
          <w:shd w:val="clear" w:color="auto" w:fill="FFFFFF"/>
        </w:rPr>
        <w:t>ų</w:t>
      </w:r>
      <w:r w:rsidRPr="004E1B4E">
        <w:rPr>
          <w:color w:val="000000"/>
          <w:shd w:val="clear" w:color="auto" w:fill="FFFFFF"/>
        </w:rPr>
        <w:t xml:space="preserve">, į tokį darinį (darinius), nustatant prievolę sumokėti mokestį ir mokesčio sumą, bus neatsižvelgiama. </w:t>
      </w:r>
    </w:p>
    <w:p w14:paraId="3B4E0D0E" w14:textId="77777777" w:rsidR="00075240" w:rsidRPr="004E1B4E" w:rsidRDefault="00075240" w:rsidP="00075240">
      <w:pPr>
        <w:ind w:firstLine="567"/>
        <w:jc w:val="both"/>
        <w:rPr>
          <w:shd w:val="clear" w:color="auto" w:fill="FFFFFF"/>
        </w:rPr>
      </w:pPr>
      <w:r w:rsidRPr="004E1B4E">
        <w:rPr>
          <w:shd w:val="clear" w:color="auto" w:fill="FFFFFF"/>
        </w:rPr>
        <w:t>Vien faktinis darinio (darini</w:t>
      </w:r>
      <w:r w:rsidRPr="004E1B4E">
        <w:rPr>
          <w:rFonts w:hint="cs"/>
          <w:shd w:val="clear" w:color="auto" w:fill="FFFFFF"/>
        </w:rPr>
        <w:t>ų</w:t>
      </w:r>
      <w:r w:rsidRPr="004E1B4E">
        <w:rPr>
          <w:shd w:val="clear" w:color="auto" w:fill="FFFFFF"/>
        </w:rPr>
        <w:t>) komercini</w:t>
      </w:r>
      <w:r w:rsidRPr="004E1B4E">
        <w:rPr>
          <w:rFonts w:hint="cs"/>
          <w:shd w:val="clear" w:color="auto" w:fill="FFFFFF"/>
        </w:rPr>
        <w:t>ų</w:t>
      </w:r>
      <w:r w:rsidRPr="004E1B4E">
        <w:rPr>
          <w:shd w:val="clear" w:color="auto" w:fill="FFFFFF"/>
        </w:rPr>
        <w:t xml:space="preserve"> priežas</w:t>
      </w:r>
      <w:r w:rsidRPr="004E1B4E">
        <w:rPr>
          <w:rFonts w:hint="cs"/>
          <w:shd w:val="clear" w:color="auto" w:fill="FFFFFF"/>
        </w:rPr>
        <w:t>č</w:t>
      </w:r>
      <w:r w:rsidRPr="004E1B4E">
        <w:rPr>
          <w:shd w:val="clear" w:color="auto" w:fill="FFFFFF"/>
        </w:rPr>
        <w:t>i</w:t>
      </w:r>
      <w:r w:rsidRPr="004E1B4E">
        <w:rPr>
          <w:rFonts w:hint="cs"/>
          <w:shd w:val="clear" w:color="auto" w:fill="FFFFFF"/>
        </w:rPr>
        <w:t>ų</w:t>
      </w:r>
      <w:r w:rsidRPr="004E1B4E">
        <w:rPr>
          <w:shd w:val="clear" w:color="auto" w:fill="FFFFFF"/>
        </w:rPr>
        <w:t xml:space="preserve"> b</w:t>
      </w:r>
      <w:r w:rsidRPr="004E1B4E">
        <w:rPr>
          <w:rFonts w:hint="cs"/>
          <w:shd w:val="clear" w:color="auto" w:fill="FFFFFF"/>
        </w:rPr>
        <w:t>u</w:t>
      </w:r>
      <w:r w:rsidRPr="004E1B4E">
        <w:rPr>
          <w:shd w:val="clear" w:color="auto" w:fill="FFFFFF"/>
        </w:rPr>
        <w:t>vimas, nėra pakankamas pagrindas be</w:t>
      </w:r>
      <w:r w:rsidRPr="004E1B4E">
        <w:rPr>
          <w:noProof/>
        </w:rPr>
        <w:t>ndrosios kovos su mokes</w:t>
      </w:r>
      <w:r w:rsidRPr="004E1B4E">
        <w:rPr>
          <w:rFonts w:hint="cs"/>
          <w:noProof/>
        </w:rPr>
        <w:t>č</w:t>
      </w:r>
      <w:r w:rsidRPr="004E1B4E">
        <w:rPr>
          <w:noProof/>
        </w:rPr>
        <w:t>i</w:t>
      </w:r>
      <w:r w:rsidRPr="004E1B4E">
        <w:rPr>
          <w:rFonts w:hint="cs"/>
          <w:noProof/>
        </w:rPr>
        <w:t>ų</w:t>
      </w:r>
      <w:r w:rsidRPr="004E1B4E">
        <w:rPr>
          <w:noProof/>
        </w:rPr>
        <w:t xml:space="preserve"> piktnaudžiavimu taisyklės netaikymui.</w:t>
      </w:r>
      <w:r w:rsidRPr="004E1B4E">
        <w:rPr>
          <w:shd w:val="clear" w:color="auto" w:fill="FFFFFF"/>
        </w:rPr>
        <w:t xml:space="preserve"> Jei tokios komercinės priežastys neatspindi ekonominės realybės - nėra ekonomiškai pagrįstos ir proporcingos gaunamai mokestinei naudai, tai apskaičiuojant pelno mokest</w:t>
      </w:r>
      <w:r w:rsidRPr="004E1B4E">
        <w:rPr>
          <w:rFonts w:hint="cs"/>
          <w:shd w:val="clear" w:color="auto" w:fill="FFFFFF"/>
        </w:rPr>
        <w:t>į</w:t>
      </w:r>
      <w:r w:rsidRPr="004E1B4E">
        <w:rPr>
          <w:shd w:val="clear" w:color="auto" w:fill="FFFFFF"/>
        </w:rPr>
        <w:t>, į darinį (darinius) bus neatsižvelgiama.</w:t>
      </w:r>
    </w:p>
    <w:p w14:paraId="3C57A867" w14:textId="77777777" w:rsidR="00075240" w:rsidRDefault="00075240" w:rsidP="00075240">
      <w:pPr>
        <w:ind w:firstLine="567"/>
        <w:jc w:val="both"/>
        <w:rPr>
          <w:color w:val="000000"/>
          <w:shd w:val="clear" w:color="auto" w:fill="FFFFFF"/>
        </w:rPr>
      </w:pPr>
      <w:r w:rsidRPr="004E1B4E">
        <w:rPr>
          <w:color w:val="000000"/>
          <w:shd w:val="clear" w:color="auto" w:fill="FFFFFF"/>
        </w:rPr>
        <w:t>4. D</w:t>
      </w:r>
      <w:r w:rsidRPr="004E1B4E">
        <w:rPr>
          <w:rFonts w:hint="cs"/>
          <w:color w:val="000000"/>
          <w:shd w:val="clear" w:color="auto" w:fill="FFFFFF"/>
        </w:rPr>
        <w:t>ė</w:t>
      </w:r>
      <w:r w:rsidRPr="004E1B4E">
        <w:rPr>
          <w:color w:val="000000"/>
          <w:shd w:val="clear" w:color="auto" w:fill="FFFFFF"/>
        </w:rPr>
        <w:t>l darinio (darini</w:t>
      </w:r>
      <w:r w:rsidRPr="004E1B4E">
        <w:rPr>
          <w:rFonts w:hint="cs"/>
          <w:color w:val="000000"/>
          <w:shd w:val="clear" w:color="auto" w:fill="FFFFFF"/>
        </w:rPr>
        <w:t>ų</w:t>
      </w:r>
      <w:r w:rsidRPr="004E1B4E">
        <w:rPr>
          <w:color w:val="000000"/>
          <w:shd w:val="clear" w:color="auto" w:fill="FFFFFF"/>
        </w:rPr>
        <w:t>) apsimestinumo požymi</w:t>
      </w:r>
      <w:r w:rsidRPr="004E1B4E">
        <w:rPr>
          <w:rFonts w:hint="cs"/>
          <w:color w:val="000000"/>
          <w:shd w:val="clear" w:color="auto" w:fill="FFFFFF"/>
        </w:rPr>
        <w:t>ų</w:t>
      </w:r>
      <w:r w:rsidRPr="004E1B4E">
        <w:rPr>
          <w:color w:val="000000"/>
          <w:shd w:val="clear" w:color="auto" w:fill="FFFFFF"/>
        </w:rPr>
        <w:t xml:space="preserve"> buvimo objektyvi</w:t>
      </w:r>
      <w:r w:rsidRPr="004E1B4E">
        <w:rPr>
          <w:rFonts w:hint="cs"/>
          <w:color w:val="000000"/>
          <w:shd w:val="clear" w:color="auto" w:fill="FFFFFF"/>
        </w:rPr>
        <w:t>ų</w:t>
      </w:r>
      <w:r w:rsidRPr="004E1B4E">
        <w:rPr>
          <w:color w:val="000000"/>
          <w:shd w:val="clear" w:color="auto" w:fill="FFFFFF"/>
        </w:rPr>
        <w:t xml:space="preserve"> pagrind</w:t>
      </w:r>
      <w:r w:rsidRPr="004E1B4E">
        <w:rPr>
          <w:rFonts w:hint="cs"/>
          <w:color w:val="000000"/>
          <w:shd w:val="clear" w:color="auto" w:fill="FFFFFF"/>
        </w:rPr>
        <w:t>ų</w:t>
      </w:r>
      <w:r w:rsidRPr="004E1B4E">
        <w:rPr>
          <w:color w:val="000000"/>
          <w:shd w:val="clear" w:color="auto" w:fill="FFFFFF"/>
        </w:rPr>
        <w:t xml:space="preserve"> mokes</w:t>
      </w:r>
      <w:r w:rsidRPr="004E1B4E">
        <w:rPr>
          <w:rFonts w:hint="cs"/>
          <w:color w:val="000000"/>
          <w:shd w:val="clear" w:color="auto" w:fill="FFFFFF"/>
        </w:rPr>
        <w:t>č</w:t>
      </w:r>
      <w:r w:rsidRPr="004E1B4E">
        <w:rPr>
          <w:color w:val="000000"/>
          <w:shd w:val="clear" w:color="auto" w:fill="FFFFFF"/>
        </w:rPr>
        <w:t>i</w:t>
      </w:r>
      <w:r w:rsidRPr="004E1B4E">
        <w:rPr>
          <w:rFonts w:hint="cs"/>
          <w:color w:val="000000"/>
          <w:shd w:val="clear" w:color="auto" w:fill="FFFFFF"/>
        </w:rPr>
        <w:t>ų</w:t>
      </w:r>
      <w:r w:rsidRPr="004E1B4E">
        <w:rPr>
          <w:color w:val="000000"/>
          <w:shd w:val="clear" w:color="auto" w:fill="FFFFFF"/>
        </w:rPr>
        <w:t xml:space="preserve"> administratorius sprendžia kiekvienu konkrečiu atveju, tik atlikus individualizuotą visų susijusių</w:t>
      </w:r>
      <w:r w:rsidRPr="005B62EB">
        <w:rPr>
          <w:color w:val="000000"/>
          <w:shd w:val="clear" w:color="auto" w:fill="FFFFFF"/>
        </w:rPr>
        <w:t xml:space="preserve"> faktų ir aplinkybių analiz</w:t>
      </w:r>
      <w:r w:rsidRPr="00B51F1B">
        <w:rPr>
          <w:color w:val="000000"/>
          <w:shd w:val="clear" w:color="auto" w:fill="FFFFFF"/>
        </w:rPr>
        <w:t>ę</w:t>
      </w:r>
      <w:r w:rsidRPr="005B62EB">
        <w:rPr>
          <w:color w:val="000000"/>
          <w:shd w:val="clear" w:color="auto" w:fill="FFFFFF"/>
        </w:rPr>
        <w:t>.</w:t>
      </w:r>
    </w:p>
    <w:p w14:paraId="09E45ADA" w14:textId="77777777" w:rsidR="00075240" w:rsidRPr="00F83FF2" w:rsidRDefault="00075240" w:rsidP="00075240">
      <w:pPr>
        <w:ind w:firstLine="567"/>
        <w:jc w:val="both"/>
        <w:rPr>
          <w:color w:val="000000"/>
          <w:shd w:val="clear" w:color="auto" w:fill="FFFFFF"/>
        </w:rPr>
      </w:pPr>
      <w:r w:rsidRPr="00F83FF2">
        <w:rPr>
          <w:color w:val="000000"/>
          <w:shd w:val="clear" w:color="auto" w:fill="FFFFFF" w:themeFill="background1"/>
        </w:rPr>
        <w:t>5. Objektyvių</w:t>
      </w:r>
      <w:r w:rsidRPr="00FC53AC">
        <w:rPr>
          <w:color w:val="000000"/>
          <w:shd w:val="clear" w:color="auto" w:fill="FFFFFF"/>
        </w:rPr>
        <w:t xml:space="preserve"> įrodymų pagrindu mokesčių administratoriui nustačius piktnaudžiavim</w:t>
      </w:r>
      <w:r>
        <w:rPr>
          <w:color w:val="000000"/>
          <w:shd w:val="clear" w:color="auto" w:fill="FFFFFF"/>
        </w:rPr>
        <w:t>o</w:t>
      </w:r>
      <w:r w:rsidRPr="00FC53AC">
        <w:rPr>
          <w:color w:val="000000"/>
          <w:shd w:val="clear" w:color="auto" w:fill="FFFFFF"/>
        </w:rPr>
        <w:t xml:space="preserve"> teise</w:t>
      </w:r>
      <w:r>
        <w:rPr>
          <w:color w:val="000000"/>
          <w:shd w:val="clear" w:color="auto" w:fill="FFFFFF"/>
        </w:rPr>
        <w:t xml:space="preserve"> mokesčių tikslais</w:t>
      </w:r>
      <w:r w:rsidRPr="00FC53AC">
        <w:rPr>
          <w:color w:val="000000"/>
          <w:shd w:val="clear" w:color="auto" w:fill="FFFFFF"/>
        </w:rPr>
        <w:t xml:space="preserve"> buvimą</w:t>
      </w:r>
      <w:r>
        <w:rPr>
          <w:color w:val="000000"/>
          <w:shd w:val="clear" w:color="auto" w:fill="FFFFFF"/>
        </w:rPr>
        <w:t xml:space="preserve"> per darinį (darinius)</w:t>
      </w:r>
      <w:r w:rsidRPr="00FC53AC">
        <w:rPr>
          <w:color w:val="000000"/>
          <w:shd w:val="clear" w:color="auto" w:fill="FFFFFF"/>
        </w:rPr>
        <w:t xml:space="preserve"> (pvz.</w:t>
      </w:r>
      <w:r>
        <w:rPr>
          <w:color w:val="000000"/>
          <w:shd w:val="clear" w:color="auto" w:fill="FFFFFF"/>
        </w:rPr>
        <w:t>,</w:t>
      </w:r>
      <w:r w:rsidRPr="00FC53AC">
        <w:rPr>
          <w:color w:val="000000"/>
          <w:shd w:val="clear" w:color="auto" w:fill="FFFFFF"/>
        </w:rPr>
        <w:t xml:space="preserve"> ekonominio </w:t>
      </w:r>
      <w:r>
        <w:rPr>
          <w:color w:val="000000"/>
          <w:shd w:val="clear" w:color="auto" w:fill="FFFFFF"/>
        </w:rPr>
        <w:t>pagrįstumo</w:t>
      </w:r>
      <w:r w:rsidRPr="00FC53AC">
        <w:rPr>
          <w:color w:val="000000"/>
          <w:shd w:val="clear" w:color="auto" w:fill="FFFFFF"/>
        </w:rPr>
        <w:t xml:space="preserve"> neturinčių bendrovių tarpininkių</w:t>
      </w:r>
      <w:r>
        <w:rPr>
          <w:color w:val="000000"/>
          <w:shd w:val="clear" w:color="auto" w:fill="FFFFFF"/>
        </w:rPr>
        <w:t xml:space="preserve"> buvimą</w:t>
      </w:r>
      <w:r w:rsidRPr="00FC53AC">
        <w:rPr>
          <w:color w:val="000000"/>
          <w:shd w:val="clear" w:color="auto" w:fill="FFFFFF"/>
        </w:rPr>
        <w:t xml:space="preserve">, </w:t>
      </w:r>
      <w:r>
        <w:rPr>
          <w:color w:val="000000"/>
          <w:shd w:val="clear" w:color="auto" w:fill="FFFFFF"/>
        </w:rPr>
        <w:t>formalų</w:t>
      </w:r>
      <w:r w:rsidRPr="00FC53AC">
        <w:rPr>
          <w:color w:val="000000"/>
          <w:shd w:val="clear" w:color="auto" w:fill="FFFFFF"/>
        </w:rPr>
        <w:t xml:space="preserve"> bendrovių grupės struktūros, finansinio darinio, paskolų pobū</w:t>
      </w:r>
      <w:r>
        <w:rPr>
          <w:color w:val="000000"/>
          <w:shd w:val="clear" w:color="auto" w:fill="FFFFFF"/>
        </w:rPr>
        <w:t>dį</w:t>
      </w:r>
      <w:r w:rsidRPr="00FC53AC">
        <w:rPr>
          <w:color w:val="000000"/>
          <w:shd w:val="clear" w:color="auto" w:fill="FFFFFF"/>
        </w:rPr>
        <w:t xml:space="preserve"> ir pan.)</w:t>
      </w:r>
      <w:r>
        <w:rPr>
          <w:color w:val="000000"/>
          <w:shd w:val="clear" w:color="auto" w:fill="FFFFFF"/>
        </w:rPr>
        <w:t xml:space="preserve">, mokestinių lengvatų netaikymo ar mokesčio perskaičiavimo tikslais jis </w:t>
      </w:r>
      <w:r w:rsidRPr="00FC53AC">
        <w:rPr>
          <w:color w:val="000000"/>
          <w:shd w:val="clear" w:color="auto" w:fill="FFFFFF"/>
        </w:rPr>
        <w:t xml:space="preserve">neturi pareigos nustatyti, kas yra </w:t>
      </w:r>
      <w:r w:rsidRPr="0069758C">
        <w:rPr>
          <w:color w:val="000000" w:themeColor="text1"/>
          <w:shd w:val="clear" w:color="auto" w:fill="FFFFFF"/>
        </w:rPr>
        <w:t>galutinis / tikrasis naudos gavėjas, tačiau</w:t>
      </w:r>
      <w:r w:rsidRPr="0069758C">
        <w:rPr>
          <w:color w:val="000000" w:themeColor="text1"/>
        </w:rPr>
        <w:t xml:space="preserve"> </w:t>
      </w:r>
      <w:r w:rsidRPr="0069758C">
        <w:rPr>
          <w:color w:val="000000" w:themeColor="text1"/>
          <w:shd w:val="clear" w:color="auto" w:fill="FFFFFF"/>
        </w:rPr>
        <w:t xml:space="preserve">gali pareikalauti, kad naudą gavęs vienetas įrodytų, jog jis yra tikrasis savininkas, kaip tai išaiškino Europos Teisingumo Teismas 2019 m. vasario 26 d. sujungtose bylose </w:t>
      </w:r>
      <w:hyperlink r:id="rId60" w:tgtFrame="_blank" w:history="1">
        <w:r w:rsidRPr="0069758C">
          <w:rPr>
            <w:rStyle w:val="Hipersaitas"/>
            <w:color w:val="000000" w:themeColor="text1"/>
          </w:rPr>
          <w:t>C-115/16</w:t>
        </w:r>
      </w:hyperlink>
      <w:r w:rsidRPr="0069758C">
        <w:rPr>
          <w:color w:val="000000" w:themeColor="text1"/>
        </w:rPr>
        <w:t xml:space="preserve">, C-118/16, C-119/16 ir C-299/16 N Luxembourg 1 ir kt. prieš Skatteministeriet.  </w:t>
      </w:r>
    </w:p>
    <w:p w14:paraId="187E1219" w14:textId="77777777" w:rsidR="00075240" w:rsidRDefault="00075240" w:rsidP="00075240">
      <w:pPr>
        <w:ind w:firstLine="567"/>
        <w:jc w:val="both"/>
        <w:rPr>
          <w:color w:val="000000"/>
          <w:shd w:val="clear" w:color="auto" w:fill="FFFFFF"/>
        </w:rPr>
      </w:pPr>
      <w:r w:rsidRPr="0069758C">
        <w:rPr>
          <w:color w:val="000000" w:themeColor="text1"/>
          <w:shd w:val="clear" w:color="auto" w:fill="FFFFFF"/>
        </w:rPr>
        <w:t>6. Vienetai, planuodami savo veikl</w:t>
      </w:r>
      <w:r w:rsidRPr="0069758C">
        <w:rPr>
          <w:rFonts w:hint="cs"/>
          <w:color w:val="000000" w:themeColor="text1"/>
          <w:shd w:val="clear" w:color="auto" w:fill="FFFFFF"/>
        </w:rPr>
        <w:t>ą</w:t>
      </w:r>
      <w:r w:rsidRPr="0069758C">
        <w:rPr>
          <w:color w:val="000000" w:themeColor="text1"/>
          <w:shd w:val="clear" w:color="auto" w:fill="FFFFFF"/>
        </w:rPr>
        <w:t xml:space="preserve"> - verslo pl</w:t>
      </w:r>
      <w:r w:rsidRPr="0069758C">
        <w:rPr>
          <w:rFonts w:hint="cs"/>
          <w:color w:val="000000" w:themeColor="text1"/>
          <w:shd w:val="clear" w:color="auto" w:fill="FFFFFF"/>
        </w:rPr>
        <w:t>ė</w:t>
      </w:r>
      <w:r w:rsidRPr="0069758C">
        <w:rPr>
          <w:color w:val="000000" w:themeColor="text1"/>
          <w:shd w:val="clear" w:color="auto" w:fill="FFFFFF"/>
        </w:rPr>
        <w:t>tr</w:t>
      </w:r>
      <w:r w:rsidRPr="0069758C">
        <w:rPr>
          <w:rFonts w:hint="cs"/>
          <w:color w:val="000000" w:themeColor="text1"/>
          <w:shd w:val="clear" w:color="auto" w:fill="FFFFFF"/>
        </w:rPr>
        <w:t>ą</w:t>
      </w:r>
      <w:r w:rsidRPr="0069758C">
        <w:rPr>
          <w:color w:val="000000" w:themeColor="text1"/>
          <w:shd w:val="clear" w:color="auto" w:fill="FFFFFF"/>
        </w:rPr>
        <w:t>, skaidym</w:t>
      </w:r>
      <w:r w:rsidRPr="0069758C">
        <w:rPr>
          <w:rFonts w:hint="cs"/>
          <w:color w:val="000000" w:themeColor="text1"/>
          <w:shd w:val="clear" w:color="auto" w:fill="FFFFFF"/>
        </w:rPr>
        <w:t>ą</w:t>
      </w:r>
      <w:r w:rsidRPr="0069758C">
        <w:rPr>
          <w:color w:val="000000" w:themeColor="text1"/>
          <w:shd w:val="clear" w:color="auto" w:fill="FFFFFF"/>
        </w:rPr>
        <w:t>, pertvarkym</w:t>
      </w:r>
      <w:r w:rsidRPr="0069758C">
        <w:rPr>
          <w:rFonts w:hint="cs"/>
          <w:color w:val="000000" w:themeColor="text1"/>
          <w:shd w:val="clear" w:color="auto" w:fill="FFFFFF"/>
        </w:rPr>
        <w:t>ą</w:t>
      </w:r>
      <w:r w:rsidRPr="0069758C">
        <w:rPr>
          <w:color w:val="000000" w:themeColor="text1"/>
          <w:shd w:val="clear" w:color="auto" w:fill="FFFFFF"/>
        </w:rPr>
        <w:t xml:space="preserve"> ir kt., turi teis</w:t>
      </w:r>
      <w:r w:rsidRPr="0069758C">
        <w:rPr>
          <w:rFonts w:hint="cs"/>
          <w:color w:val="000000" w:themeColor="text1"/>
          <w:shd w:val="clear" w:color="auto" w:fill="FFFFFF"/>
        </w:rPr>
        <w:t>ę</w:t>
      </w:r>
      <w:r w:rsidRPr="0069758C">
        <w:rPr>
          <w:color w:val="000000" w:themeColor="text1"/>
          <w:shd w:val="clear" w:color="auto" w:fill="FFFFFF"/>
        </w:rPr>
        <w:t xml:space="preserve"> planuoti ir rinktis tokias organizacines strukt</w:t>
      </w:r>
      <w:r w:rsidRPr="0069758C">
        <w:rPr>
          <w:rFonts w:hint="cs"/>
          <w:color w:val="000000" w:themeColor="text1"/>
          <w:shd w:val="clear" w:color="auto" w:fill="FFFFFF"/>
        </w:rPr>
        <w:t>ū</w:t>
      </w:r>
      <w:r w:rsidRPr="0069758C">
        <w:rPr>
          <w:color w:val="000000" w:themeColor="text1"/>
          <w:shd w:val="clear" w:color="auto" w:fill="FFFFFF"/>
        </w:rPr>
        <w:t>ras ar sandori</w:t>
      </w:r>
      <w:r w:rsidRPr="0069758C">
        <w:rPr>
          <w:rFonts w:hint="cs"/>
          <w:color w:val="000000" w:themeColor="text1"/>
          <w:shd w:val="clear" w:color="auto" w:fill="FFFFFF"/>
        </w:rPr>
        <w:t>ų</w:t>
      </w:r>
      <w:r w:rsidRPr="0069758C">
        <w:rPr>
          <w:color w:val="000000" w:themeColor="text1"/>
          <w:shd w:val="clear" w:color="auto" w:fill="FFFFFF"/>
        </w:rPr>
        <w:t xml:space="preserve"> formas, kurios užtikrint</w:t>
      </w:r>
      <w:r w:rsidRPr="0069758C">
        <w:rPr>
          <w:rFonts w:hint="cs"/>
          <w:color w:val="000000" w:themeColor="text1"/>
          <w:shd w:val="clear" w:color="auto" w:fill="FFFFFF"/>
        </w:rPr>
        <w:t>ų</w:t>
      </w:r>
      <w:r w:rsidRPr="0069758C">
        <w:rPr>
          <w:color w:val="000000" w:themeColor="text1"/>
          <w:shd w:val="clear" w:color="auto" w:fill="FFFFFF"/>
        </w:rPr>
        <w:t xml:space="preserve"> optimali</w:t>
      </w:r>
      <w:r w:rsidRPr="0069758C">
        <w:rPr>
          <w:rFonts w:hint="cs"/>
          <w:color w:val="000000" w:themeColor="text1"/>
          <w:shd w:val="clear" w:color="auto" w:fill="FFFFFF"/>
        </w:rPr>
        <w:t>ą</w:t>
      </w:r>
      <w:r w:rsidRPr="0069758C">
        <w:rPr>
          <w:color w:val="000000" w:themeColor="text1"/>
          <w:shd w:val="clear" w:color="auto" w:fill="FFFFFF"/>
        </w:rPr>
        <w:t xml:space="preserve"> apmokestinimo sum</w:t>
      </w:r>
      <w:r w:rsidRPr="0069758C">
        <w:rPr>
          <w:rFonts w:hint="cs"/>
          <w:color w:val="000000" w:themeColor="text1"/>
          <w:shd w:val="clear" w:color="auto" w:fill="FFFFFF"/>
        </w:rPr>
        <w:t>ą</w:t>
      </w:r>
      <w:r w:rsidRPr="0069758C">
        <w:rPr>
          <w:color w:val="000000" w:themeColor="text1"/>
          <w:shd w:val="clear" w:color="auto" w:fill="FFFFFF"/>
        </w:rPr>
        <w:t xml:space="preserve"> lemiant</w:t>
      </w:r>
      <w:r w:rsidRPr="0069758C">
        <w:rPr>
          <w:rFonts w:hint="cs"/>
          <w:color w:val="000000" w:themeColor="text1"/>
          <w:shd w:val="clear" w:color="auto" w:fill="FFFFFF"/>
        </w:rPr>
        <w:t>į</w:t>
      </w:r>
      <w:r w:rsidRPr="0069758C">
        <w:rPr>
          <w:color w:val="000000" w:themeColor="text1"/>
          <w:shd w:val="clear" w:color="auto" w:fill="FFFFFF"/>
        </w:rPr>
        <w:t xml:space="preserve"> variant</w:t>
      </w:r>
      <w:r w:rsidRPr="0069758C">
        <w:rPr>
          <w:rFonts w:hint="cs"/>
          <w:color w:val="000000" w:themeColor="text1"/>
          <w:shd w:val="clear" w:color="auto" w:fill="FFFFFF"/>
        </w:rPr>
        <w:t>ą</w:t>
      </w:r>
      <w:r w:rsidRPr="0069758C">
        <w:rPr>
          <w:color w:val="000000" w:themeColor="text1"/>
          <w:shd w:val="clear" w:color="auto" w:fill="FFFFFF"/>
        </w:rPr>
        <w:t>, ta</w:t>
      </w:r>
      <w:r w:rsidRPr="0069758C">
        <w:rPr>
          <w:rFonts w:hint="cs"/>
          <w:color w:val="000000" w:themeColor="text1"/>
          <w:shd w:val="clear" w:color="auto" w:fill="FFFFFF"/>
        </w:rPr>
        <w:t>č</w:t>
      </w:r>
      <w:r w:rsidRPr="0069758C">
        <w:rPr>
          <w:color w:val="000000" w:themeColor="text1"/>
          <w:shd w:val="clear" w:color="auto" w:fill="FFFFFF"/>
        </w:rPr>
        <w:t xml:space="preserve">iau taip pat atsakingai </w:t>
      </w:r>
      <w:r w:rsidRPr="0069758C">
        <w:rPr>
          <w:rFonts w:hint="cs"/>
          <w:color w:val="000000" w:themeColor="text1"/>
          <w:shd w:val="clear" w:color="auto" w:fill="FFFFFF"/>
        </w:rPr>
        <w:t>į</w:t>
      </w:r>
      <w:r w:rsidRPr="0069758C">
        <w:rPr>
          <w:color w:val="000000" w:themeColor="text1"/>
          <w:shd w:val="clear" w:color="auto" w:fill="FFFFFF"/>
        </w:rPr>
        <w:t>vertinti, ar atitinkamos veiklos strukt</w:t>
      </w:r>
      <w:r w:rsidRPr="0069758C">
        <w:rPr>
          <w:rFonts w:hint="cs"/>
          <w:color w:val="000000" w:themeColor="text1"/>
          <w:shd w:val="clear" w:color="auto" w:fill="FFFFFF"/>
        </w:rPr>
        <w:t>ū</w:t>
      </w:r>
      <w:r w:rsidRPr="0069758C">
        <w:rPr>
          <w:color w:val="000000" w:themeColor="text1"/>
          <w:shd w:val="clear" w:color="auto" w:fill="FFFFFF"/>
        </w:rPr>
        <w:t>ros ar sandorio pasirinkimas yra pagr</w:t>
      </w:r>
      <w:r w:rsidRPr="0069758C">
        <w:rPr>
          <w:rFonts w:hint="cs"/>
          <w:color w:val="000000" w:themeColor="text1"/>
          <w:shd w:val="clear" w:color="auto" w:fill="FFFFFF"/>
        </w:rPr>
        <w:t>į</w:t>
      </w:r>
      <w:r w:rsidRPr="0069758C">
        <w:rPr>
          <w:color w:val="000000" w:themeColor="text1"/>
          <w:shd w:val="clear" w:color="auto" w:fill="FFFFFF"/>
        </w:rPr>
        <w:t>stas svariomis priežastimis, atitinkan</w:t>
      </w:r>
      <w:r w:rsidRPr="0069758C">
        <w:rPr>
          <w:rFonts w:hint="cs"/>
          <w:color w:val="000000" w:themeColor="text1"/>
          <w:shd w:val="clear" w:color="auto" w:fill="FFFFFF"/>
        </w:rPr>
        <w:t>č</w:t>
      </w:r>
      <w:r w:rsidRPr="0069758C">
        <w:rPr>
          <w:color w:val="000000" w:themeColor="text1"/>
          <w:shd w:val="clear" w:color="auto" w:fill="FFFFFF"/>
        </w:rPr>
        <w:t>iomis ekonomin</w:t>
      </w:r>
      <w:r w:rsidRPr="0069758C">
        <w:rPr>
          <w:rFonts w:hint="cs"/>
          <w:color w:val="000000" w:themeColor="text1"/>
          <w:shd w:val="clear" w:color="auto" w:fill="FFFFFF"/>
        </w:rPr>
        <w:t>ę</w:t>
      </w:r>
      <w:r w:rsidRPr="0069758C">
        <w:rPr>
          <w:color w:val="000000" w:themeColor="text1"/>
          <w:shd w:val="clear" w:color="auto" w:fill="FFFFFF"/>
        </w:rPr>
        <w:t xml:space="preserve"> realyb</w:t>
      </w:r>
      <w:r w:rsidRPr="0069758C">
        <w:rPr>
          <w:rFonts w:hint="cs"/>
          <w:color w:val="000000" w:themeColor="text1"/>
          <w:shd w:val="clear" w:color="auto" w:fill="FFFFFF"/>
        </w:rPr>
        <w:t>ę</w:t>
      </w:r>
      <w:r w:rsidRPr="0069758C">
        <w:rPr>
          <w:color w:val="000000" w:themeColor="text1"/>
          <w:shd w:val="clear" w:color="auto" w:fill="FFFFFF"/>
        </w:rPr>
        <w:t>, ir n</w:t>
      </w:r>
      <w:r w:rsidRPr="0069758C">
        <w:rPr>
          <w:rFonts w:hint="cs"/>
          <w:color w:val="000000" w:themeColor="text1"/>
          <w:shd w:val="clear" w:color="auto" w:fill="FFFFFF"/>
        </w:rPr>
        <w:t>ė</w:t>
      </w:r>
      <w:r w:rsidRPr="0069758C">
        <w:rPr>
          <w:color w:val="000000" w:themeColor="text1"/>
          <w:shd w:val="clear" w:color="auto" w:fill="FFFFFF"/>
        </w:rPr>
        <w:t xml:space="preserve">ra paremtas dirbtino </w:t>
      </w:r>
      <w:r w:rsidRPr="00301D1D">
        <w:rPr>
          <w:color w:val="000000"/>
          <w:shd w:val="clear" w:color="auto" w:fill="FFFFFF"/>
        </w:rPr>
        <w:t>darinio ar darini</w:t>
      </w:r>
      <w:r w:rsidRPr="00301D1D">
        <w:rPr>
          <w:rFonts w:hint="cs"/>
          <w:color w:val="000000"/>
          <w:shd w:val="clear" w:color="auto" w:fill="FFFFFF"/>
        </w:rPr>
        <w:t>ų</w:t>
      </w:r>
      <w:r w:rsidRPr="00301D1D">
        <w:rPr>
          <w:color w:val="000000"/>
          <w:shd w:val="clear" w:color="auto" w:fill="FFFFFF"/>
        </w:rPr>
        <w:t xml:space="preserve"> k</w:t>
      </w:r>
      <w:r w:rsidRPr="00301D1D">
        <w:rPr>
          <w:rFonts w:hint="cs"/>
          <w:color w:val="000000"/>
          <w:shd w:val="clear" w:color="auto" w:fill="FFFFFF"/>
        </w:rPr>
        <w:t>ū</w:t>
      </w:r>
      <w:r w:rsidRPr="00301D1D">
        <w:rPr>
          <w:color w:val="000000"/>
          <w:shd w:val="clear" w:color="auto" w:fill="FFFFFF"/>
        </w:rPr>
        <w:t>rimu, siekiant mokestin</w:t>
      </w:r>
      <w:r w:rsidRPr="00301D1D">
        <w:rPr>
          <w:rFonts w:hint="cs"/>
          <w:color w:val="000000"/>
          <w:shd w:val="clear" w:color="auto" w:fill="FFFFFF"/>
        </w:rPr>
        <w:t>ė</w:t>
      </w:r>
      <w:r w:rsidRPr="00301D1D">
        <w:rPr>
          <w:color w:val="000000"/>
          <w:shd w:val="clear" w:color="auto" w:fill="FFFFFF"/>
        </w:rPr>
        <w:t xml:space="preserve">s naudos. </w:t>
      </w:r>
    </w:p>
    <w:p w14:paraId="378905B3" w14:textId="77777777" w:rsidR="00075240" w:rsidRPr="00301D1D" w:rsidRDefault="00075240" w:rsidP="00075240">
      <w:pPr>
        <w:ind w:firstLine="567"/>
        <w:jc w:val="both"/>
        <w:rPr>
          <w:color w:val="000000"/>
          <w:shd w:val="clear" w:color="auto" w:fill="FFFFFF"/>
        </w:rPr>
      </w:pPr>
      <w:r>
        <w:rPr>
          <w:color w:val="000000"/>
          <w:shd w:val="clear" w:color="auto" w:fill="FFFFFF"/>
        </w:rPr>
        <w:t>7</w:t>
      </w:r>
      <w:r w:rsidRPr="00301D1D">
        <w:rPr>
          <w:color w:val="000000"/>
          <w:shd w:val="clear" w:color="auto" w:fill="FFFFFF"/>
        </w:rPr>
        <w:t>. Mokestin</w:t>
      </w:r>
      <w:r w:rsidRPr="00301D1D">
        <w:rPr>
          <w:rFonts w:hint="cs"/>
          <w:color w:val="000000"/>
          <w:shd w:val="clear" w:color="auto" w:fill="FFFFFF"/>
        </w:rPr>
        <w:t>ė</w:t>
      </w:r>
      <w:r w:rsidRPr="00301D1D">
        <w:rPr>
          <w:color w:val="000000"/>
          <w:shd w:val="clear" w:color="auto" w:fill="FFFFFF"/>
        </w:rPr>
        <w:t xml:space="preserve">s naudos požymiai </w:t>
      </w:r>
      <w:r w:rsidRPr="00301D1D">
        <w:rPr>
          <w:rFonts w:hint="cs"/>
          <w:color w:val="000000"/>
          <w:shd w:val="clear" w:color="auto" w:fill="FFFFFF"/>
        </w:rPr>
        <w:t>į</w:t>
      </w:r>
      <w:r w:rsidRPr="00301D1D">
        <w:rPr>
          <w:color w:val="000000"/>
          <w:shd w:val="clear" w:color="auto" w:fill="FFFFFF"/>
        </w:rPr>
        <w:t>tvirtinti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administravimo </w:t>
      </w:r>
      <w:r w:rsidRPr="00301D1D">
        <w:rPr>
          <w:rFonts w:hint="cs"/>
          <w:color w:val="000000"/>
          <w:shd w:val="clear" w:color="auto" w:fill="FFFFFF"/>
        </w:rPr>
        <w:t>į</w:t>
      </w:r>
      <w:r w:rsidRPr="00301D1D">
        <w:rPr>
          <w:color w:val="000000"/>
          <w:shd w:val="clear" w:color="auto" w:fill="FFFFFF"/>
        </w:rPr>
        <w:t>statymo 69 str. nuostatose.</w:t>
      </w:r>
    </w:p>
    <w:p w14:paraId="1EAC7BD8" w14:textId="77777777" w:rsidR="00075240" w:rsidRPr="00301D1D" w:rsidRDefault="00075240" w:rsidP="00075240">
      <w:pPr>
        <w:ind w:firstLine="567"/>
        <w:jc w:val="both"/>
        <w:rPr>
          <w:color w:val="000000"/>
          <w:shd w:val="clear" w:color="auto" w:fill="FFFFFF"/>
        </w:rPr>
      </w:pPr>
      <w:r>
        <w:rPr>
          <w:color w:val="000000"/>
          <w:shd w:val="clear" w:color="auto" w:fill="FFFFFF"/>
        </w:rPr>
        <w:t>8</w:t>
      </w:r>
      <w:r w:rsidRPr="00301D1D">
        <w:rPr>
          <w:color w:val="000000"/>
          <w:shd w:val="clear" w:color="auto" w:fill="FFFFFF"/>
        </w:rPr>
        <w:t xml:space="preserve">. </w:t>
      </w:r>
      <w:r>
        <w:rPr>
          <w:color w:val="000000"/>
          <w:shd w:val="clear" w:color="auto" w:fill="FFFFFF"/>
        </w:rPr>
        <w:t>Š</w:t>
      </w:r>
      <w:r w:rsidRPr="00301D1D">
        <w:rPr>
          <w:color w:val="000000"/>
          <w:shd w:val="clear" w:color="auto" w:fill="FFFFFF"/>
        </w:rPr>
        <w:t xml:space="preserve">ioje straipsnio dalyje </w:t>
      </w:r>
      <w:r w:rsidRPr="00301D1D">
        <w:rPr>
          <w:rFonts w:hint="cs"/>
          <w:color w:val="000000"/>
          <w:shd w:val="clear" w:color="auto" w:fill="FFFFFF"/>
        </w:rPr>
        <w:t>į</w:t>
      </w:r>
      <w:r w:rsidRPr="00301D1D">
        <w:rPr>
          <w:color w:val="000000"/>
          <w:shd w:val="clear" w:color="auto" w:fill="FFFFFF"/>
        </w:rPr>
        <w:t>tvirtinta bendroji kovos su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piktnaudžiavimu taisykl</w:t>
      </w:r>
      <w:r w:rsidRPr="00301D1D">
        <w:rPr>
          <w:rFonts w:hint="cs"/>
          <w:color w:val="000000"/>
          <w:shd w:val="clear" w:color="auto" w:fill="FFFFFF"/>
        </w:rPr>
        <w:t>ė</w:t>
      </w:r>
      <w:r w:rsidRPr="00301D1D">
        <w:rPr>
          <w:color w:val="000000"/>
          <w:shd w:val="clear" w:color="auto" w:fill="FFFFFF"/>
        </w:rPr>
        <w:t xml:space="preserve"> taikoma kartu su kitomis PM</w:t>
      </w:r>
      <w:r w:rsidRPr="00301D1D">
        <w:rPr>
          <w:rFonts w:hint="cs"/>
          <w:color w:val="000000"/>
          <w:shd w:val="clear" w:color="auto" w:fill="FFFFFF"/>
        </w:rPr>
        <w:t>Į</w:t>
      </w:r>
      <w:r w:rsidRPr="00301D1D">
        <w:rPr>
          <w:color w:val="000000"/>
          <w:shd w:val="clear" w:color="auto" w:fill="FFFFFF"/>
        </w:rPr>
        <w:t xml:space="preserve"> </w:t>
      </w:r>
      <w:r w:rsidRPr="00301D1D">
        <w:rPr>
          <w:rFonts w:hint="cs"/>
          <w:color w:val="000000"/>
          <w:shd w:val="clear" w:color="auto" w:fill="FFFFFF"/>
        </w:rPr>
        <w:t>į</w:t>
      </w:r>
      <w:r w:rsidRPr="00301D1D">
        <w:rPr>
          <w:color w:val="000000"/>
          <w:shd w:val="clear" w:color="auto" w:fill="FFFFFF"/>
        </w:rPr>
        <w:t>tvirtintomis prieš mokes</w:t>
      </w:r>
      <w:r w:rsidRPr="00301D1D">
        <w:rPr>
          <w:rFonts w:hint="cs"/>
          <w:color w:val="000000"/>
          <w:shd w:val="clear" w:color="auto" w:fill="FFFFFF"/>
        </w:rPr>
        <w:t>č</w:t>
      </w:r>
      <w:r w:rsidRPr="00301D1D">
        <w:rPr>
          <w:color w:val="000000"/>
          <w:shd w:val="clear" w:color="auto" w:fill="FFFFFF"/>
        </w:rPr>
        <w:t>i</w:t>
      </w:r>
      <w:r w:rsidRPr="00301D1D">
        <w:rPr>
          <w:rFonts w:hint="cs"/>
          <w:color w:val="000000"/>
          <w:shd w:val="clear" w:color="auto" w:fill="FFFFFF"/>
        </w:rPr>
        <w:t>ų</w:t>
      </w:r>
      <w:r w:rsidRPr="00301D1D">
        <w:rPr>
          <w:color w:val="000000"/>
          <w:shd w:val="clear" w:color="auto" w:fill="FFFFFF"/>
        </w:rPr>
        <w:t xml:space="preserve"> vengim</w:t>
      </w:r>
      <w:r w:rsidRPr="00301D1D">
        <w:rPr>
          <w:rFonts w:hint="cs"/>
          <w:color w:val="000000"/>
          <w:shd w:val="clear" w:color="auto" w:fill="FFFFFF"/>
        </w:rPr>
        <w:t>ą</w:t>
      </w:r>
      <w:r w:rsidRPr="00301D1D">
        <w:rPr>
          <w:color w:val="000000"/>
          <w:shd w:val="clear" w:color="auto" w:fill="FFFFFF"/>
        </w:rPr>
        <w:t xml:space="preserve"> nukreiptomis priemon</w:t>
      </w:r>
      <w:r w:rsidRPr="00301D1D">
        <w:rPr>
          <w:rFonts w:hint="cs"/>
          <w:color w:val="000000"/>
          <w:shd w:val="clear" w:color="auto" w:fill="FFFFFF"/>
        </w:rPr>
        <w:t>ė</w:t>
      </w:r>
      <w:r w:rsidRPr="00301D1D">
        <w:rPr>
          <w:color w:val="000000"/>
          <w:shd w:val="clear" w:color="auto" w:fill="FFFFFF"/>
        </w:rPr>
        <w:t>mis, tokiomis kaip pal</w:t>
      </w:r>
      <w:r w:rsidRPr="00301D1D">
        <w:rPr>
          <w:rFonts w:hint="cs"/>
          <w:color w:val="000000"/>
          <w:shd w:val="clear" w:color="auto" w:fill="FFFFFF"/>
        </w:rPr>
        <w:t>ū</w:t>
      </w:r>
      <w:r w:rsidRPr="00301D1D">
        <w:rPr>
          <w:color w:val="000000"/>
          <w:shd w:val="clear" w:color="auto" w:fill="FFFFFF"/>
        </w:rPr>
        <w:t>kan</w:t>
      </w:r>
      <w:r w:rsidRPr="00301D1D">
        <w:rPr>
          <w:rFonts w:hint="cs"/>
          <w:color w:val="000000"/>
          <w:shd w:val="clear" w:color="auto" w:fill="FFFFFF"/>
        </w:rPr>
        <w:t>ų</w:t>
      </w:r>
      <w:r w:rsidRPr="00301D1D">
        <w:rPr>
          <w:color w:val="000000"/>
          <w:shd w:val="clear" w:color="auto" w:fill="FFFFFF"/>
        </w:rPr>
        <w:t xml:space="preserve"> ribojimo atskaitymo taisykl</w:t>
      </w:r>
      <w:r w:rsidRPr="00301D1D">
        <w:rPr>
          <w:rFonts w:hint="cs"/>
          <w:color w:val="000000"/>
          <w:shd w:val="clear" w:color="auto" w:fill="FFFFFF"/>
        </w:rPr>
        <w:t>ė</w:t>
      </w:r>
      <w:r w:rsidRPr="00301D1D">
        <w:rPr>
          <w:color w:val="000000"/>
          <w:shd w:val="clear" w:color="auto" w:fill="FFFFFF"/>
        </w:rPr>
        <w:t>mis (žr. PM</w:t>
      </w:r>
      <w:r w:rsidRPr="00301D1D">
        <w:rPr>
          <w:rFonts w:hint="cs"/>
          <w:color w:val="000000"/>
          <w:shd w:val="clear" w:color="auto" w:fill="FFFFFF"/>
        </w:rPr>
        <w:t>Į</w:t>
      </w:r>
      <w:r w:rsidRPr="00301D1D">
        <w:rPr>
          <w:color w:val="000000"/>
          <w:shd w:val="clear" w:color="auto" w:fill="FFFFFF"/>
        </w:rPr>
        <w:t xml:space="preserve"> 30</w:t>
      </w:r>
      <w:r w:rsidRPr="00B51F1B">
        <w:rPr>
          <w:color w:val="000000"/>
          <w:shd w:val="clear" w:color="auto" w:fill="FFFFFF"/>
          <w:vertAlign w:val="superscript"/>
        </w:rPr>
        <w:t>1</w:t>
      </w:r>
      <w:r w:rsidRPr="00301D1D">
        <w:rPr>
          <w:color w:val="000000"/>
          <w:shd w:val="clear" w:color="auto" w:fill="FFFFFF"/>
        </w:rPr>
        <w:t xml:space="preserve"> str., 40 str. 3 d. komentarus), dividend</w:t>
      </w:r>
      <w:r w:rsidRPr="00301D1D">
        <w:rPr>
          <w:rFonts w:hint="cs"/>
          <w:color w:val="000000"/>
          <w:shd w:val="clear" w:color="auto" w:fill="FFFFFF"/>
        </w:rPr>
        <w:t>ų</w:t>
      </w:r>
      <w:r w:rsidRPr="00301D1D">
        <w:rPr>
          <w:color w:val="000000"/>
          <w:shd w:val="clear" w:color="auto" w:fill="FFFFFF"/>
        </w:rPr>
        <w:t xml:space="preserve"> neapmokestinimo netaikymo taisykle (žr. PM</w:t>
      </w:r>
      <w:r w:rsidRPr="00301D1D">
        <w:rPr>
          <w:rFonts w:hint="cs"/>
          <w:color w:val="000000"/>
          <w:shd w:val="clear" w:color="auto" w:fill="FFFFFF"/>
        </w:rPr>
        <w:t>Į</w:t>
      </w:r>
      <w:r w:rsidRPr="00301D1D">
        <w:rPr>
          <w:color w:val="000000"/>
          <w:shd w:val="clear" w:color="auto" w:fill="FFFFFF"/>
        </w:rPr>
        <w:t xml:space="preserve"> 32 str. 6 d. komentar</w:t>
      </w:r>
      <w:r w:rsidRPr="00301D1D">
        <w:rPr>
          <w:rFonts w:hint="cs"/>
          <w:color w:val="000000"/>
          <w:shd w:val="clear" w:color="auto" w:fill="FFFFFF"/>
        </w:rPr>
        <w:t>ą</w:t>
      </w:r>
      <w:r w:rsidRPr="00301D1D">
        <w:rPr>
          <w:color w:val="000000"/>
          <w:shd w:val="clear" w:color="auto" w:fill="FFFFFF"/>
        </w:rPr>
        <w:t>) ir pan., apskai</w:t>
      </w:r>
      <w:r w:rsidRPr="00301D1D">
        <w:rPr>
          <w:rFonts w:hint="cs"/>
          <w:color w:val="000000"/>
          <w:shd w:val="clear" w:color="auto" w:fill="FFFFFF"/>
        </w:rPr>
        <w:t>č</w:t>
      </w:r>
      <w:r w:rsidRPr="00301D1D">
        <w:rPr>
          <w:color w:val="000000"/>
          <w:shd w:val="clear" w:color="auto" w:fill="FFFFFF"/>
        </w:rPr>
        <w:t>iuojant 2019 met</w:t>
      </w:r>
      <w:r w:rsidRPr="00301D1D">
        <w:rPr>
          <w:rFonts w:hint="cs"/>
          <w:color w:val="000000"/>
          <w:shd w:val="clear" w:color="auto" w:fill="FFFFFF"/>
        </w:rPr>
        <w:t>ų</w:t>
      </w:r>
      <w:r w:rsidRPr="00301D1D">
        <w:rPr>
          <w:color w:val="000000"/>
          <w:shd w:val="clear" w:color="auto" w:fill="FFFFFF"/>
        </w:rPr>
        <w:t xml:space="preserve"> ir v</w:t>
      </w:r>
      <w:r w:rsidRPr="00301D1D">
        <w:rPr>
          <w:rFonts w:hint="cs"/>
          <w:color w:val="000000"/>
          <w:shd w:val="clear" w:color="auto" w:fill="FFFFFF"/>
        </w:rPr>
        <w:t>ė</w:t>
      </w:r>
      <w:r w:rsidRPr="00301D1D">
        <w:rPr>
          <w:color w:val="000000"/>
          <w:shd w:val="clear" w:color="auto" w:fill="FFFFFF"/>
        </w:rPr>
        <w:t>lesni</w:t>
      </w:r>
      <w:r w:rsidRPr="00301D1D">
        <w:rPr>
          <w:rFonts w:hint="cs"/>
          <w:color w:val="000000"/>
          <w:shd w:val="clear" w:color="auto" w:fill="FFFFFF"/>
        </w:rPr>
        <w:t>ų</w:t>
      </w:r>
      <w:r w:rsidRPr="00301D1D">
        <w:rPr>
          <w:color w:val="000000"/>
          <w:shd w:val="clear" w:color="auto" w:fill="FFFFFF"/>
        </w:rPr>
        <w:t xml:space="preserve"> mokestini</w:t>
      </w:r>
      <w:r w:rsidRPr="00301D1D">
        <w:rPr>
          <w:rFonts w:hint="cs"/>
          <w:color w:val="000000"/>
          <w:shd w:val="clear" w:color="auto" w:fill="FFFFFF"/>
        </w:rPr>
        <w:t>ų</w:t>
      </w:r>
      <w:r w:rsidRPr="00301D1D">
        <w:rPr>
          <w:color w:val="000000"/>
          <w:shd w:val="clear" w:color="auto" w:fill="FFFFFF"/>
        </w:rPr>
        <w:t xml:space="preserve"> laikotarpi</w:t>
      </w:r>
      <w:r w:rsidRPr="00301D1D">
        <w:rPr>
          <w:rFonts w:hint="cs"/>
          <w:color w:val="000000"/>
          <w:shd w:val="clear" w:color="auto" w:fill="FFFFFF"/>
        </w:rPr>
        <w:t>ų</w:t>
      </w:r>
      <w:r w:rsidRPr="00301D1D">
        <w:rPr>
          <w:color w:val="000000"/>
          <w:shd w:val="clear" w:color="auto" w:fill="FFFFFF"/>
        </w:rPr>
        <w:t xml:space="preserve"> pelno mokest</w:t>
      </w:r>
      <w:r w:rsidRPr="00301D1D">
        <w:rPr>
          <w:rFonts w:hint="cs"/>
          <w:color w:val="000000"/>
          <w:shd w:val="clear" w:color="auto" w:fill="FFFFFF"/>
        </w:rPr>
        <w:t>į</w:t>
      </w:r>
      <w:r w:rsidRPr="00301D1D">
        <w:rPr>
          <w:color w:val="000000"/>
          <w:shd w:val="clear" w:color="auto" w:fill="FFFFFF"/>
        </w:rPr>
        <w:t>.</w:t>
      </w:r>
    </w:p>
    <w:p w14:paraId="5A17E2D0" w14:textId="77777777" w:rsidR="00075240" w:rsidRDefault="00075240" w:rsidP="00075240">
      <w:pPr>
        <w:rPr>
          <w:sz w:val="22"/>
          <w:szCs w:val="22"/>
          <w:lang w:val="lt-LT"/>
        </w:rPr>
      </w:pPr>
      <w:r>
        <w:rPr>
          <w:bCs/>
        </w:rPr>
        <w:t xml:space="preserve">          </w:t>
      </w:r>
      <w:r w:rsidR="002803A0">
        <w:rPr>
          <w:bCs/>
        </w:rPr>
        <w:t>(</w:t>
      </w:r>
      <w:r>
        <w:rPr>
          <w:bCs/>
        </w:rPr>
        <w:t xml:space="preserve">Pakeista pagal 2020-03-27 VMI prie FM raštą Nr. </w:t>
      </w:r>
      <w:r>
        <w:t>(18.</w:t>
      </w:r>
      <w:r w:rsidR="002803A0">
        <w:t>3</w:t>
      </w:r>
      <w:r>
        <w:t xml:space="preserve">2-31-1E) </w:t>
      </w:r>
      <w:r>
        <w:rPr>
          <w:bCs/>
        </w:rPr>
        <w:t>-</w:t>
      </w:r>
      <w:r>
        <w:t xml:space="preserve"> RM-</w:t>
      </w:r>
      <w:r w:rsidR="002803A0">
        <w:t>10140</w:t>
      </w:r>
      <w:r>
        <w:rPr>
          <w:bCs/>
        </w:rPr>
        <w:t>)</w:t>
      </w:r>
    </w:p>
    <w:p w14:paraId="61651B21" w14:textId="77777777" w:rsidR="00093845" w:rsidRDefault="000D779E">
      <w:pPr>
        <w:pStyle w:val="Antrat1"/>
        <w:jc w:val="both"/>
        <w:rPr>
          <w:bCs w:val="0"/>
          <w:color w:val="000000"/>
          <w:lang w:val="lt-LT"/>
        </w:rPr>
      </w:pPr>
      <w:bookmarkStart w:id="216" w:name="_12_STRAIPSNIS._Neapmokestinamosios_1"/>
      <w:bookmarkEnd w:id="216"/>
      <w:r>
        <w:rPr>
          <w:bCs w:val="0"/>
          <w:color w:val="000000"/>
          <w:lang w:val="lt-LT"/>
        </w:rPr>
        <w:t>12 STRAIPSNIS. Neapmokestinamosios pajamos</w:t>
      </w:r>
    </w:p>
    <w:p w14:paraId="7ECEAB75" w14:textId="77777777" w:rsidR="00093845" w:rsidRDefault="000D779E">
      <w:pPr>
        <w:tabs>
          <w:tab w:val="left" w:pos="720"/>
          <w:tab w:val="left" w:pos="1077"/>
          <w:tab w:val="left" w:pos="1418"/>
        </w:tabs>
        <w:ind w:firstLine="720"/>
        <w:jc w:val="both"/>
        <w:rPr>
          <w:color w:val="000000"/>
          <w:szCs w:val="20"/>
          <w:lang w:val="lt-LT"/>
        </w:rPr>
      </w:pPr>
      <w:r>
        <w:rPr>
          <w:b/>
          <w:color w:val="000000"/>
          <w:lang w:val="lt-LT"/>
        </w:rPr>
        <w:t>Mokesčiu neapmokestinamos šios Lietuvos vieneto bei užsienio vieneto per nuolatines buveines uždirbtos ir (arba) gautos pajamos:</w:t>
      </w:r>
    </w:p>
    <w:p w14:paraId="5994ABFA" w14:textId="77777777" w:rsidR="00093845" w:rsidRDefault="000D779E">
      <w:pPr>
        <w:ind w:firstLine="720"/>
        <w:jc w:val="both"/>
        <w:rPr>
          <w:b/>
          <w:bCs/>
          <w:lang w:val="lt-LT"/>
        </w:rPr>
      </w:pPr>
      <w:r>
        <w:rPr>
          <w:b/>
          <w:bCs/>
          <w:lang w:val="lt-LT"/>
        </w:rPr>
        <w:t>Komentaras</w:t>
      </w:r>
    </w:p>
    <w:p w14:paraId="3796750E" w14:textId="77777777" w:rsidR="00093845" w:rsidRDefault="000D779E">
      <w:pPr>
        <w:tabs>
          <w:tab w:val="left" w:pos="720"/>
          <w:tab w:val="left" w:pos="1077"/>
          <w:tab w:val="left" w:pos="1418"/>
        </w:tabs>
        <w:ind w:firstLine="720"/>
        <w:jc w:val="both"/>
        <w:rPr>
          <w:szCs w:val="20"/>
          <w:lang w:val="lt-LT"/>
        </w:rPr>
      </w:pPr>
      <w:r>
        <w:rPr>
          <w:lang w:val="lt-LT"/>
        </w:rPr>
        <w:t xml:space="preserve">Šiame straipsnyje išvardytos pelno mokesčiu neapmokestinamos Lietuvos vienetų ir užsienio vienetų per nuolatines buveines uždirbtos ir (arba) gautos pajamos. Be šiame straipsnyje išvardytų neapmokestinamųjų pajamų, apskaičiuojant apmokestinamąjį pelną, neapmokestinamosioms pajamoms taip pat priskiriamos PMĮ 58 str. 7 ir 15 dalyse nustatytą laikotarpį neapmokestinamos pajamos. Apskaičiuojant apmokestinamąjį pelną, neapmokestinamosios pajamos atimamos iš visų vieneto uždirbtų pajamų. </w:t>
      </w:r>
    </w:p>
    <w:p w14:paraId="22156EC2" w14:textId="77777777" w:rsidR="00093845" w:rsidRPr="00F649B7" w:rsidRDefault="000D779E">
      <w:pPr>
        <w:ind w:firstLine="720"/>
        <w:jc w:val="both"/>
        <w:rPr>
          <w:b/>
          <w:iCs/>
          <w:color w:val="000000"/>
          <w:lang w:eastAsia="lt-LT"/>
        </w:rPr>
      </w:pPr>
      <w:r>
        <w:rPr>
          <w:b/>
          <w:bCs/>
          <w:lang w:val="lt-LT"/>
        </w:rPr>
        <w:lastRenderedPageBreak/>
        <w:t>1</w:t>
      </w:r>
      <w:r w:rsidR="008F557A">
        <w:rPr>
          <w:b/>
          <w:bCs/>
          <w:lang w:val="lt-LT"/>
        </w:rPr>
        <w:t>)</w:t>
      </w:r>
      <w:r>
        <w:rPr>
          <w:b/>
          <w:bCs/>
          <w:lang w:val="lt-LT"/>
        </w:rPr>
        <w:t xml:space="preserve"> </w:t>
      </w:r>
      <w:r w:rsidRPr="005E291D">
        <w:rPr>
          <w:b/>
          <w:bCs/>
          <w:iCs/>
          <w:color w:val="000000"/>
          <w:lang w:eastAsia="lt-LT"/>
        </w:rPr>
        <w:t>NETEKO GALIOS</w:t>
      </w:r>
      <w:r w:rsidRPr="00F649B7">
        <w:rPr>
          <w:b/>
          <w:iCs/>
          <w:color w:val="000000"/>
          <w:lang w:eastAsia="lt-LT"/>
        </w:rPr>
        <w:t>: 2005 12 20 įstatymu Nr. X-456 (nuo 2006 01 01)</w:t>
      </w:r>
    </w:p>
    <w:p w14:paraId="2B46C5B2" w14:textId="77777777" w:rsidR="00093845" w:rsidRDefault="000D779E">
      <w:pPr>
        <w:ind w:firstLine="720"/>
        <w:jc w:val="both"/>
        <w:rPr>
          <w:b/>
          <w:lang w:val="fr-FR"/>
        </w:rPr>
      </w:pPr>
      <w:r>
        <w:rPr>
          <w:b/>
          <w:lang w:val="fr-FR"/>
        </w:rPr>
        <w:t>2) gautos draudimo išmokos, neviršijančios prarasto turto arba patirtų nuostolių ar žalos vertės; darbuotojų naudai mokamų sugrąžintų draudimo įmokų dalis, viršijanti iš pajamų atskaitytas draudimo įmokas, taip pat draudimo išmokos dalis, viršijanti iš pajamų atskaitytas darbuotojų naudai mokamas draudimo įmokas;</w:t>
      </w:r>
    </w:p>
    <w:p w14:paraId="551B0080" w14:textId="77777777" w:rsidR="00093845" w:rsidRPr="00582607" w:rsidRDefault="000D779E" w:rsidP="005E291D">
      <w:pPr>
        <w:jc w:val="both"/>
        <w:rPr>
          <w:i/>
          <w:color w:val="000000"/>
          <w:szCs w:val="20"/>
          <w:lang w:val="lt-LT"/>
        </w:rPr>
      </w:pPr>
      <w:r w:rsidRPr="00582607">
        <w:rPr>
          <w:i/>
          <w:iCs/>
          <w:lang w:val="fr-FR"/>
        </w:rPr>
        <w:t>(KEISTA:</w:t>
      </w:r>
      <w:r w:rsidR="00FE5B2C" w:rsidRPr="00582607">
        <w:rPr>
          <w:i/>
          <w:iCs/>
          <w:lang w:val="fr-FR"/>
        </w:rPr>
        <w:t xml:space="preserve"> </w:t>
      </w:r>
      <w:r w:rsidRPr="00582607">
        <w:rPr>
          <w:i/>
          <w:iCs/>
          <w:lang w:val="fr-FR"/>
        </w:rPr>
        <w:t>2009 12 09 įstatymu Nr. XI-539 (nuo 2009 12 28)</w:t>
      </w:r>
      <w:r w:rsidR="00655350" w:rsidRPr="00582607">
        <w:rPr>
          <w:i/>
          <w:iCs/>
          <w:lang w:val="fr-FR"/>
        </w:rPr>
        <w:t>,</w:t>
      </w:r>
      <w:r w:rsidR="000A0BCD" w:rsidRPr="00582607">
        <w:rPr>
          <w:i/>
          <w:lang w:val="fr-FR"/>
        </w:rPr>
        <w:t xml:space="preserve"> </w:t>
      </w:r>
      <w:r w:rsidR="000A0BCD" w:rsidRPr="00582607">
        <w:rPr>
          <w:i/>
          <w:iCs/>
          <w:lang w:val="fr-FR"/>
        </w:rPr>
        <w:t>nuostatos taikomos apskaičiuojant 2010 metų ir vėlesnių metų mokestinių laikotarpių pelno mokestį</w:t>
      </w:r>
      <w:r w:rsidRPr="00582607">
        <w:rPr>
          <w:i/>
          <w:iCs/>
          <w:lang w:val="fr-FR" w:eastAsia="lt-LT"/>
        </w:rPr>
        <w:t>)</w:t>
      </w:r>
    </w:p>
    <w:p w14:paraId="07EF093E"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784241B9"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Šiame punkte nustatoma gautų draudimo išmokų priskyrimo neapmokestinamosioms pajamoms tvarka, kai draudimo objektas yra vieneto - draudėjo turtiniai interesai. Pagal Lietuvos Respublikos </w:t>
      </w:r>
      <w:hyperlink r:id="rId61" w:history="1">
        <w:r>
          <w:rPr>
            <w:rStyle w:val="Hipersaitas"/>
            <w:b w:val="0"/>
            <w:color w:val="000000"/>
            <w:u w:val="single"/>
            <w:lang w:val="lt-LT"/>
          </w:rPr>
          <w:t>draudimo įstatymo</w:t>
        </w:r>
      </w:hyperlink>
      <w:r>
        <w:rPr>
          <w:lang w:val="lt-LT"/>
        </w:rPr>
        <w:t xml:space="preserve"> (toliau - DĮ) 2 straipsnį draudimo objektu gali būti turtiniai interesai, susiję su asmens gyvybe, sveikata, turtu ar civiline atsakomybe. </w:t>
      </w:r>
    </w:p>
    <w:p w14:paraId="20E04ADF" w14:textId="77777777" w:rsidR="00093845" w:rsidRDefault="000D779E">
      <w:pPr>
        <w:pStyle w:val="Pagrindiniotekstotrauka"/>
        <w:tabs>
          <w:tab w:val="left" w:pos="720"/>
          <w:tab w:val="left" w:pos="1077"/>
          <w:tab w:val="left" w:pos="1418"/>
        </w:tabs>
        <w:rPr>
          <w:strike/>
          <w:lang w:val="lt-LT"/>
        </w:rPr>
      </w:pPr>
      <w:r>
        <w:rPr>
          <w:lang w:val="lt-LT"/>
        </w:rPr>
        <w:t xml:space="preserve">Draudimo šakos yra gyvybės ir ne gyvybės draudimas. Kokios draudimo grupės priskiriamos kiekvienai šių šakų nustatyta DĮ 7 straipsnyje. </w:t>
      </w:r>
    </w:p>
    <w:p w14:paraId="57A51FCE" w14:textId="77777777" w:rsidR="00093845" w:rsidRDefault="000D779E">
      <w:pPr>
        <w:pStyle w:val="Pagrindiniotekstotrauka"/>
        <w:tabs>
          <w:tab w:val="left" w:pos="720"/>
          <w:tab w:val="left" w:pos="1077"/>
          <w:tab w:val="left" w:pos="1418"/>
        </w:tabs>
        <w:rPr>
          <w:lang w:val="lt-LT"/>
        </w:rPr>
      </w:pPr>
      <w:r>
        <w:rPr>
          <w:lang w:val="lt-LT"/>
        </w:rPr>
        <w:t xml:space="preserve">2. Pagal šio punkto nuostatas draudimo išmoka neapmokestinama, jei ji yra ne didesnė už prarasto turto, patirtų nuostolių ar žalos vertę. </w:t>
      </w:r>
    </w:p>
    <w:p w14:paraId="74C21705" w14:textId="77777777" w:rsidR="00093845" w:rsidRDefault="000D779E">
      <w:pPr>
        <w:pStyle w:val="Pagrindiniotekstotrauka"/>
        <w:tabs>
          <w:tab w:val="left" w:pos="720"/>
          <w:tab w:val="left" w:pos="1077"/>
          <w:tab w:val="left" w:pos="1418"/>
        </w:tabs>
        <w:rPr>
          <w:lang w:val="lt-LT"/>
        </w:rPr>
      </w:pPr>
      <w:r>
        <w:rPr>
          <w:lang w:val="lt-LT"/>
        </w:rPr>
        <w:t xml:space="preserve">Remiantis DĮ 2 straipsniu, draudimo išmoka apibrėžiama kaip pinigų suma, kurią įvykus draudiminiam įvykiui draudikas privalo išmokėti draudėjui ar kitam asmeniui, turinčiam teisę į draudimo išmoką, arba kita draudimo sutartyje nustatyta išmokos mokėjimo forma. O draudimo suma apibrėžiama kaip draudimo sutartyje  nurodyta pinigų suma arba pinigų suma, kuri apskaičiuojama draudimo sutartyje nustatyta tvarka, kuri, išskyrus draudimo sutartyje nustatytus atvejus, yra lygi maksimaliai draudimo išmokai, galimai išmokėti pagal draudimo sutartį. Civilinio kodekso 6.997 straipsnis nustato apribojimą, kad ne gyvybės draudimo atveju, išskyrus įstatymų nustatytas išimtis, draudimo suma negali viršyti tikrosios draudžiamo turto ar turtinės rizikos vertės (draudimo vertės). Kadangi didžiausia draudimo išmoka yra lygi draudimo sumai, o pastaroji bendruoju atveju negali viršyti draudžiamojo turto tikrosios turto vertės, vadinasi, draudimo veiklą reglamentuojantys teisės aktai nustato, jog draudimo išmoka neturėtų viršyti prarasto turto, patirtų nuostolių ar žalos tikrosios vertės. </w:t>
      </w:r>
    </w:p>
    <w:p w14:paraId="54FA1E51" w14:textId="77777777" w:rsidR="00093845" w:rsidRDefault="000D779E">
      <w:pPr>
        <w:tabs>
          <w:tab w:val="left" w:pos="720"/>
          <w:tab w:val="left" w:pos="1077"/>
          <w:tab w:val="left" w:pos="1418"/>
        </w:tabs>
        <w:ind w:firstLine="720"/>
        <w:jc w:val="both"/>
        <w:rPr>
          <w:szCs w:val="20"/>
          <w:lang w:val="lt-LT"/>
        </w:rPr>
      </w:pPr>
      <w:r>
        <w:rPr>
          <w:lang w:val="lt-LT"/>
        </w:rPr>
        <w:t>Nustatant neapmokestinamų draudimo išmokų dydį, t.y. apskaičiuojant vieneto prarasto turto, patirtų nuostolių ar žalos tikrąjį dydį, būtina analizuoti ne tik vienetų finansinėse ataskaitose fiksuojamus nuostolius, bet ir draudimo sutarčių nuostatas.</w:t>
      </w:r>
    </w:p>
    <w:p w14:paraId="1A69DAE0" w14:textId="77777777" w:rsidR="00093845" w:rsidRDefault="000D779E">
      <w:pPr>
        <w:tabs>
          <w:tab w:val="left" w:pos="720"/>
          <w:tab w:val="left" w:pos="1077"/>
          <w:tab w:val="left" w:pos="1418"/>
        </w:tabs>
        <w:ind w:firstLine="720"/>
        <w:jc w:val="both"/>
        <w:rPr>
          <w:color w:val="000000"/>
          <w:szCs w:val="20"/>
          <w:lang w:val="lt-LT"/>
        </w:rPr>
      </w:pPr>
      <w:r>
        <w:rPr>
          <w:lang w:val="lt-LT"/>
        </w:rPr>
        <w:t xml:space="preserve">3. Turto draudimo atvejais pirmiausia draudimo įmonės kompensuoja nuostolius pagal pateiktus dokumentus (sąskaitas ar sutartis), pagrindžiančius patirtas turto atstatymo išlaidas. Tokiu atveju, patirta tikroji žala lygi vienetų finansinėje apskaitoje fiksuojamiems nuostoliams, todėl, kai draudimo įmonės išmokama draudimo išmoka ne didesnė, negu pateiktuose dokumentuose (sąskaitose ar sutartyse) nurodyta suma, visa draudimo išmoka neapmokestinama. </w:t>
      </w:r>
      <w:r>
        <w:rPr>
          <w:color w:val="000000"/>
          <w:lang w:val="lt-LT"/>
        </w:rPr>
        <w:t xml:space="preserve">Jeigu draudimo įmonės nesilaiko draudimo sutartyse nustatytos tvarkos ir draudimo išmokos viršija sumas, nurodytas turto atstatymo išlaidas pagrindžiančiuose dokumentuose (sąskaitose ar sutartyse), tai viršijanti dalis priskiriama apmokestinamoms pajamoms. </w:t>
      </w:r>
    </w:p>
    <w:p w14:paraId="69FE87DB" w14:textId="77777777" w:rsidR="00093845" w:rsidRDefault="000D779E">
      <w:pPr>
        <w:pStyle w:val="Style1"/>
        <w:tabs>
          <w:tab w:val="left" w:pos="720"/>
          <w:tab w:val="left" w:pos="1077"/>
          <w:tab w:val="left" w:pos="1418"/>
        </w:tabs>
        <w:rPr>
          <w:rFonts w:ascii="Times New Roman" w:hAnsi="Times New Roman"/>
        </w:rPr>
      </w:pPr>
      <w:r>
        <w:rPr>
          <w:rFonts w:ascii="Times New Roman" w:hAnsi="Times New Roman"/>
        </w:rPr>
        <w:t xml:space="preserve">1 pavyzdys </w:t>
      </w:r>
    </w:p>
    <w:p w14:paraId="64AEDD8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X 2018 m. vasario mėnesį įsigijo 30 000 eurų</w:t>
      </w:r>
      <w:r>
        <w:rPr>
          <w:b/>
          <w:color w:val="000000"/>
          <w:lang w:val="lt-LT"/>
        </w:rPr>
        <w:t xml:space="preserve"> </w:t>
      </w:r>
      <w:r>
        <w:rPr>
          <w:color w:val="000000"/>
          <w:lang w:val="lt-LT"/>
        </w:rPr>
        <w:t xml:space="preserve">kainavusį lengvąjį automobilį ir, apdraudusi nuo nelaimingų atsitikimų (avarijų), tą patį mėnesį jį pradėjo naudoti. 2018 m. liepos mėnesį šis automobilis avarijoje buvo apgadintas. UAB X po įvykio automobilį suremontavo ir už tai </w:t>
      </w:r>
      <w:r>
        <w:rPr>
          <w:color w:val="000000"/>
          <w:lang w:val="lt-LT"/>
        </w:rPr>
        <w:lastRenderedPageBreak/>
        <w:t xml:space="preserve">autoremonto įmonei pagal PVM sąskaitą faktūrą apmokėjo 5 000 eurų, kuriuos draudimo įmonė kompensavo bendrovei. </w:t>
      </w:r>
    </w:p>
    <w:p w14:paraId="2374B53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lang w:val="lt-LT"/>
        </w:rPr>
      </w:pPr>
      <w:r>
        <w:rPr>
          <w:color w:val="000000"/>
          <w:lang w:val="lt-LT"/>
        </w:rPr>
        <w:t>Šiuo atveju UAB X neapmokestinamosioms pajamoms gali priskirti 5 000 eurų sumą. Jeigu draudimo įmonė būtų kompensavusi didesnę sumą negu 5 000 eurų, tai ši suma, viršijanti draudimo išmokos dalį, būtų priskiriama apmokestinamosioms pajamoms.</w:t>
      </w:r>
    </w:p>
    <w:p w14:paraId="4F58FBE3"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Tuo atveju, jei draudimo įmonė dėl avarijos patirtus nuostolius UAB X kompensuotų ne pagal PVM sąskaitą faktūrą, bet pagal žalos įvertinimą, tai žalos atlyginimo suma būtų priskiriama UAB X neapmokestinamosioms pajamoms, neatsižvelgiant į šios bendrovės faktiškai patirtas automobilio remonto išlaidas.</w:t>
      </w:r>
    </w:p>
    <w:p w14:paraId="23C40570" w14:textId="77777777" w:rsidR="00093845" w:rsidRDefault="000D779E">
      <w:pPr>
        <w:tabs>
          <w:tab w:val="left" w:pos="720"/>
          <w:tab w:val="left" w:pos="1077"/>
          <w:tab w:val="left" w:pos="1418"/>
        </w:tabs>
        <w:ind w:firstLine="720"/>
        <w:jc w:val="both"/>
        <w:rPr>
          <w:color w:val="000000"/>
          <w:szCs w:val="20"/>
          <w:lang w:val="lt-LT"/>
        </w:rPr>
      </w:pPr>
      <w:r>
        <w:rPr>
          <w:lang w:val="lt-LT"/>
        </w:rPr>
        <w:t xml:space="preserve">Kai turto atstatymo darbai trunka ilgą laikotarpį arba turtui padaryta esminė žala ir jis nėra atstatinėjamas, draudimo įmonės išmokamos draudimo išmokos apskaičiuojamos pagal draudimo sutartyje nustatytą tvarką, kuri reglamentuoja ir patirtos žalos dydį. Kadangi turtas gali būti apdraustas ne tik jo balansine verte, bet ir jo atstatomąja verte ar kitokia verte, kuri apskaičiuojama draudimo sutartyje numatyta tvarka, tai tokiais atvejais vienetų finansinėse ataskaitose fiksuojami nuostoliai gali neatitikti tikrosios žalos vertės. Kadangi PMĮ 12 str. 2 punkto nuostatos leidžia </w:t>
      </w:r>
      <w:r>
        <w:rPr>
          <w:color w:val="000000"/>
          <w:lang w:val="lt-LT"/>
        </w:rPr>
        <w:t>draudimo išmokų dalį, neviršijančią prarasto turto arba patirtų nuostolių ar žalos vertės, priskirti neapmokestinamosioms pajamoms, tai tokiais atvejais žalos dydis apskaičiuojamas draudimo sutartyje nustatyta tvarka, atsižvelgiant į draudimo sumą. Vadinasi, kai turto draudimo išmokos išmokamos ne pagal pateiktus turto atstatymo dokumentus, o pagal žalos įvertinimą, nustatytą vadovaujantis draudimo sutarties nuostatomis, tai neapmokestinama draudimo išmokos dalis, neviršijanti žalos, apskaičiuotos draudimo sutartyje nustatyta tvarka.</w:t>
      </w:r>
    </w:p>
    <w:p w14:paraId="32116897"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2 pavyzdys </w:t>
      </w:r>
    </w:p>
    <w:p w14:paraId="60E6269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Y 2018 m. kovo 1 d. apdraudė savo pastatą ir sutartyje nurodė, jog pastatas draudžiamas jo atstatomąja verte, kuri lygi 2 mln. eurų, o pastato likutinė vertė sudarė 1,5 mln. eurų. 2018 m. liepos mėnesį vėtros metu pastatas buvo apgriautas. Kadangi pastato atstatymo darbus UAB Y planavo atlikti po dviejų metų, draudimo įmonė pagal sudarytos sutarties nuostatas išmokėjo draudimo išmoką ne pagal pateiktus turto atstatymo dokumentus, o pagal suderintą žalos apskaičiavimą. Pagal sutartyje aptartą žalos nustatymo tvarką buvo apskaičiuota 1 mln. eurų</w:t>
      </w:r>
      <w:r>
        <w:rPr>
          <w:b/>
          <w:color w:val="000000"/>
          <w:lang w:val="lt-LT"/>
        </w:rPr>
        <w:t xml:space="preserve"> </w:t>
      </w:r>
      <w:r>
        <w:rPr>
          <w:color w:val="000000"/>
          <w:lang w:val="lt-LT"/>
        </w:rPr>
        <w:t xml:space="preserve">žala, kurią kompensavo draudimo įmonė. </w:t>
      </w:r>
    </w:p>
    <w:p w14:paraId="786388D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Pagal UAB Y apskaičiavimą dėl draudiminio įvykio finansinėse ataskaitose fiksuoti nuostoliai sudarė 800 000 eurų. Kadangi turtas buvo apdraustas didesne verte, negu jo likutinė vertė, draudimo išmoka viršijo patirtus finansinėse ataskaitose fiksuotus nuostolius, tačiau tokia išmoka </w:t>
      </w:r>
      <w:r>
        <w:rPr>
          <w:bCs/>
          <w:color w:val="000000"/>
          <w:lang w:val="lt-LT"/>
        </w:rPr>
        <w:t>neapmokestinama</w:t>
      </w:r>
      <w:r>
        <w:rPr>
          <w:color w:val="000000"/>
          <w:lang w:val="lt-LT"/>
        </w:rPr>
        <w:t>, nes ji neviršija žalos, apskaičiuotos sutartyje nurodyta tvarka, atsižvelgiant į turto draudimo sumą. Jeigu draudimo įmonė būtų kompensavusi daugiau negu 1 mln. eurų, tai šią sumą viršijanti suma būtų priskiriama apmokestinamosioms pajamoms.</w:t>
      </w:r>
    </w:p>
    <w:p w14:paraId="1D8537A3"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3 pavyzdys</w:t>
      </w:r>
    </w:p>
    <w:p w14:paraId="1AB41D3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UAB X 2016 m. kovo 1 d. įsigijo 135 000 eurų kainavusį naują krovininį automobilį ir, apdraudusi jį nuo nelaimingų atsitikimų (avarijų), tą patį mėnesį pradėjo jį naudoti. 2018 m. rugsėjo mėnesį dėl įvykusios avarijos automobilis visai sudaužytas ir neremontuotinas. Pagal sutarties sąlygas draudimo įmonė UAB X išmokėjo 105 000 eurų žalos atlyginimą dėl automobilio praradimo įvykus draudiminiam įvykiui (avarijai).</w:t>
      </w:r>
    </w:p>
    <w:p w14:paraId="0AD0A46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 xml:space="preserve">Tarkim, kad automobilio likutinė vertė, apskaičiuota iš automobilio įsigijimo kainos atėmus leidžiamiems atskaitymams priskirtas nusidėvėjimo sumas, sudarė 102 500 eurų. UAB X dėl draudiminio įvykio finansinėse ataskaitose užfiksavo 102 500 eurų nuostolį (nurašė automobilio likutinę vertę). Nors draudimo išmoka viršijo finansinėse ataskaitose fiksuotus nuostolius, tačiau tokia </w:t>
      </w:r>
      <w:r>
        <w:rPr>
          <w:lang w:val="lt-LT"/>
        </w:rPr>
        <w:lastRenderedPageBreak/>
        <w:t xml:space="preserve">išmoka neapmokestinama, nes ji neviršija žalos, apskaičiuotos draudimo sutartyje nustatyta tvarka. Tačiau atsižvelgiant į tai, kad draudimo įmonė UAB X kompensavo dėl automobilio praradimo patirtus nuostolius, todėl automobilio nurašymo nuostoliai, apskaičiuojant apmokestinamąjį pelną, priskiriami neleidžiamiems atskaitymams. </w:t>
      </w:r>
    </w:p>
    <w:p w14:paraId="013F3DAA"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4.</w:t>
      </w:r>
      <w:r>
        <w:rPr>
          <w:color w:val="000000"/>
          <w:lang w:val="lt-LT"/>
        </w:rPr>
        <w:tab/>
        <w:t xml:space="preserve">Kadangi dėl draudiminio įvykio susidarę nuostoliai dengiami draudimo išmokomis, todėl, apskaičiuojant apmokestinamąjį pelną, vieneto dėl draudiminio įvykio patirtos išlaidos (netektys), leidžiamiems atskaitymams nepriskiriamos. Todėl vieneto turto atstatymo ar gelbėjimo išlaidos, kai pagal jas patvirtinančius dokumentus (sąskaitas ar sutartis) išmokamos draudimo išmokos ir nėra keičiama (dėl draudiminio įvykio sumažinama) turto vertė, priskiriamos neleidžiamiems atskaitymams. Tokiems neleidžiamiems atskaitymams priskiriamos ir turto vertės sumažinimo (nurašymo) po draudiminių įvykių sumos, kai įmonė priima sprendimą finansinėse ataskaitose tokias netektis įvertinti. Jeigu po tokių sprendimų ilgalaikis turtas atstatomas (remontuojamas, kai remontas pailgina turto naudingo tarnavimo laiką ar pagerina jo naudingąsias savybes, arba rekonstruojamas) ar įsigyjamas naujas turtas iš įvairių lėšų, įskaitant ir draudimo išmokos lėšas, tai tokiais atvejais dėl remonto (rekonstravimo) nuo padidėjusios ilgalaikio turto vertės ar nuo įsigyto naujo ilgalaikio turto vertės skaičiuojamos nusidėvėjimo sumos arba naujų įsigytų ir parduotų prekių įsigijimo kaina priskiriama leidžiamiems atskaitymams taikant bendras PMĮ nuostatas, neatsižvelgiant į tai, iš kokių lėšų tokios išlaidos buvo padarytos. </w:t>
      </w:r>
    </w:p>
    <w:p w14:paraId="722D521C"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Tačiau tuo atveju, kai dėl draudiminio įvykio finansinėje apskaitoje nesumažinama ilgalaikio turto vertė ir po draudiminio įvykio turtas remontuojamas arba atstatomas ir padidinama to turto įsigijimo kaina remonto (kai remontas pailgina turto naudingo tarnavimo laiką ar pagerina jo naudingąsias savybes ) arba rekonstravimo verte, tai nusidėvėjimas gali būti skaičiuojamas ne nuo visos dėl remonto (rekonstravimo) padidėjusios to turto vertės, bet tik nuo padidėjusios to turto vertės ir draudimo įmonės kompensuotų nuostolių sumos skirtumo.</w:t>
      </w:r>
    </w:p>
    <w:p w14:paraId="4FB3F495" w14:textId="77777777" w:rsidR="00093845" w:rsidRDefault="000D779E">
      <w:pPr>
        <w:tabs>
          <w:tab w:val="left" w:pos="720"/>
          <w:tab w:val="left" w:pos="1077"/>
          <w:tab w:val="left" w:pos="1418"/>
        </w:tabs>
        <w:ind w:firstLine="720"/>
        <w:jc w:val="both"/>
        <w:rPr>
          <w:color w:val="000000"/>
          <w:lang w:val="lt-LT"/>
        </w:rPr>
      </w:pPr>
      <w:r>
        <w:rPr>
          <w:color w:val="000000"/>
          <w:lang w:val="lt-LT"/>
        </w:rPr>
        <w:t>1 pavyzdys</w:t>
      </w:r>
    </w:p>
    <w:p w14:paraId="45BAD99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Situacijos:</w:t>
      </w:r>
    </w:p>
    <w:p w14:paraId="2C3B1B93"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a)</w:t>
      </w:r>
      <w:r>
        <w:rPr>
          <w:color w:val="000000"/>
          <w:lang w:val="lt-LT"/>
        </w:rPr>
        <w:tab/>
        <w:t xml:space="preserve">Bendrovė draudimo įmonėje 2018 metais apdraudė pastatą. Įvykus draudiminiam įvykiui, dalis pastato nukentėjo ir draudimo įmonė bendrovei išmokėjo 50 000 eurų nuostolio atlyginimą. Pastato įsigijimo kaina yra 110 000 eurų, jo likutinė vertė - 80 000 </w:t>
      </w:r>
      <w:r>
        <w:rPr>
          <w:lang w:val="lt-LT"/>
        </w:rPr>
        <w:t>eurų</w:t>
      </w:r>
      <w:r>
        <w:rPr>
          <w:color w:val="000000"/>
          <w:lang w:val="lt-LT"/>
        </w:rPr>
        <w:t xml:space="preserve">. Bendrovė už 60 000 </w:t>
      </w:r>
      <w:r>
        <w:rPr>
          <w:lang w:val="lt-LT"/>
        </w:rPr>
        <w:t>eurų</w:t>
      </w:r>
      <w:r>
        <w:rPr>
          <w:color w:val="000000"/>
          <w:lang w:val="lt-LT"/>
        </w:rPr>
        <w:t xml:space="preserve"> atliko to pastato remontą (remontas pagerino pastato naudingąsias savybes) ir šia suma padidino pastato įsigijimo kainą. Vadinasi, bendrovė leidžiamiems atskaitymams gali priskirti tik tą nuo pastato padidintos dėl remonto vertės apskaičiuotą nusidėvėjimo sumą, kuri apskaičiuojama nuo atlikto remonto ir draudimo įmonės kompensuotų nuostolių sumos skirtumo, t.y. nuo 10 000 </w:t>
      </w:r>
      <w:r>
        <w:rPr>
          <w:lang w:val="lt-LT"/>
        </w:rPr>
        <w:t>eurų</w:t>
      </w:r>
      <w:r>
        <w:rPr>
          <w:strike/>
          <w:color w:val="000000"/>
          <w:lang w:val="lt-LT"/>
        </w:rPr>
        <w:t xml:space="preserve"> </w:t>
      </w:r>
      <w:r>
        <w:rPr>
          <w:color w:val="000000"/>
          <w:lang w:val="lt-LT"/>
        </w:rPr>
        <w:t xml:space="preserve">(60000 </w:t>
      </w:r>
      <w:r>
        <w:rPr>
          <w:lang w:val="lt-LT"/>
        </w:rPr>
        <w:t>eurų</w:t>
      </w:r>
      <w:r>
        <w:rPr>
          <w:color w:val="000000"/>
          <w:lang w:val="lt-LT"/>
        </w:rPr>
        <w:t xml:space="preserve"> –50000</w:t>
      </w:r>
      <w:r>
        <w:rPr>
          <w:b/>
          <w:lang w:val="lt-LT"/>
        </w:rPr>
        <w:t xml:space="preserve"> </w:t>
      </w:r>
      <w:r>
        <w:rPr>
          <w:lang w:val="lt-LT"/>
        </w:rPr>
        <w:t>eurų</w:t>
      </w:r>
      <w:r>
        <w:rPr>
          <w:color w:val="000000"/>
          <w:lang w:val="lt-LT"/>
        </w:rPr>
        <w:t>).</w:t>
      </w:r>
    </w:p>
    <w:p w14:paraId="729DB17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b)</w:t>
      </w:r>
      <w:r>
        <w:rPr>
          <w:color w:val="000000"/>
          <w:lang w:val="lt-LT"/>
        </w:rPr>
        <w:tab/>
        <w:t xml:space="preserve">Tarkime, bendrovė finansinėje apskaitoje dėl minėto draudiminio įvykio nusprendė pastato vertę sumažinti 50 000 </w:t>
      </w:r>
      <w:r>
        <w:rPr>
          <w:lang w:val="lt-LT"/>
        </w:rPr>
        <w:t xml:space="preserve">eurų </w:t>
      </w:r>
      <w:r>
        <w:rPr>
          <w:color w:val="000000"/>
          <w:lang w:val="lt-LT"/>
        </w:rPr>
        <w:t xml:space="preserve">suma, lygia gautos draudimo išmokos sumai. Tokiu atveju pastato vertės sumažinimo suma priskiriama neleidžiamiems atskaitymams, nes pastato vertės sumažinimo nuostoliai dengiami draudimo išmoka. Pastato vertė po tokio turto įvertinimo yra 30 000 </w:t>
      </w:r>
      <w:r>
        <w:rPr>
          <w:lang w:val="lt-LT"/>
        </w:rPr>
        <w:t>eurų</w:t>
      </w:r>
      <w:r>
        <w:rPr>
          <w:color w:val="000000"/>
          <w:lang w:val="lt-LT"/>
        </w:rPr>
        <w:t xml:space="preserve"> (80 000 </w:t>
      </w:r>
      <w:r>
        <w:rPr>
          <w:lang w:val="lt-LT"/>
        </w:rPr>
        <w:t>eurų</w:t>
      </w:r>
      <w:r>
        <w:rPr>
          <w:color w:val="000000"/>
          <w:lang w:val="lt-LT"/>
        </w:rPr>
        <w:t xml:space="preserve"> – 50 000</w:t>
      </w:r>
      <w:r>
        <w:rPr>
          <w:b/>
          <w:lang w:val="lt-LT"/>
        </w:rPr>
        <w:t xml:space="preserve"> </w:t>
      </w:r>
      <w:r>
        <w:rPr>
          <w:lang w:val="lt-LT"/>
        </w:rPr>
        <w:t>eurų</w:t>
      </w:r>
      <w:r>
        <w:rPr>
          <w:color w:val="000000"/>
          <w:lang w:val="lt-LT"/>
        </w:rPr>
        <w:t xml:space="preserve">). Bendrovė atlikto remonto, kuris kainavo 60 000 </w:t>
      </w:r>
      <w:r>
        <w:rPr>
          <w:lang w:val="lt-LT"/>
        </w:rPr>
        <w:t>eurų</w:t>
      </w:r>
      <w:r>
        <w:rPr>
          <w:color w:val="000000"/>
          <w:lang w:val="lt-LT"/>
        </w:rPr>
        <w:t>, verte, padidinusi pastato (30 000</w:t>
      </w:r>
      <w:r>
        <w:rPr>
          <w:b/>
          <w:lang w:val="lt-LT"/>
        </w:rPr>
        <w:t xml:space="preserve"> </w:t>
      </w:r>
      <w:r>
        <w:rPr>
          <w:lang w:val="lt-LT"/>
        </w:rPr>
        <w:t>eurų</w:t>
      </w:r>
      <w:r>
        <w:rPr>
          <w:color w:val="000000"/>
          <w:lang w:val="lt-LT"/>
        </w:rPr>
        <w:t xml:space="preserve">) vertę, gali priskirti leidžiamiems atskaitymams nusidėvėjimo sumas, apskaičiuotas nuo dėl remonto padidintos 90 000 </w:t>
      </w:r>
      <w:r>
        <w:rPr>
          <w:lang w:val="lt-LT"/>
        </w:rPr>
        <w:t>eurų</w:t>
      </w:r>
      <w:r>
        <w:rPr>
          <w:color w:val="000000"/>
          <w:lang w:val="lt-LT"/>
        </w:rPr>
        <w:t xml:space="preserve"> (30 000 </w:t>
      </w:r>
      <w:r>
        <w:rPr>
          <w:lang w:val="lt-LT"/>
        </w:rPr>
        <w:t>eurų</w:t>
      </w:r>
      <w:r>
        <w:rPr>
          <w:color w:val="000000"/>
          <w:lang w:val="lt-LT"/>
        </w:rPr>
        <w:t xml:space="preserve"> + 60 000 </w:t>
      </w:r>
      <w:r>
        <w:rPr>
          <w:lang w:val="lt-LT"/>
        </w:rPr>
        <w:t>eurų</w:t>
      </w:r>
      <w:r>
        <w:rPr>
          <w:color w:val="000000"/>
          <w:lang w:val="lt-LT"/>
        </w:rPr>
        <w:t xml:space="preserve">) naujos pastato vertės. Jeigu pastato likutinė vertė būtų sumažinta mažesne negu gauta draudimo išmoka suma, pvz., būtų sumažinta 40 000 </w:t>
      </w:r>
      <w:r>
        <w:rPr>
          <w:lang w:val="lt-LT"/>
        </w:rPr>
        <w:t>eurų</w:t>
      </w:r>
      <w:r>
        <w:rPr>
          <w:color w:val="000000"/>
          <w:lang w:val="lt-LT"/>
        </w:rPr>
        <w:t xml:space="preserve"> suma, tai, bendrovė, dėl remonto padidinusi pastato vertę 60 000 </w:t>
      </w:r>
      <w:r>
        <w:rPr>
          <w:lang w:val="lt-LT"/>
        </w:rPr>
        <w:t>eurų</w:t>
      </w:r>
      <w:r>
        <w:rPr>
          <w:color w:val="000000"/>
          <w:lang w:val="lt-LT"/>
        </w:rPr>
        <w:t>, gali priskirti leidžiamiems atskaitymams nusidėvėjimo sumas, apskaičiuotas tik nuo 90 000</w:t>
      </w:r>
      <w:r>
        <w:rPr>
          <w:b/>
          <w:lang w:val="lt-LT"/>
        </w:rPr>
        <w:t xml:space="preserve"> </w:t>
      </w:r>
      <w:r>
        <w:rPr>
          <w:lang w:val="lt-LT"/>
        </w:rPr>
        <w:t xml:space="preserve">eurų </w:t>
      </w:r>
      <w:r>
        <w:rPr>
          <w:color w:val="000000"/>
          <w:lang w:val="lt-LT"/>
        </w:rPr>
        <w:t xml:space="preserve">pastato vertės, nes 10 000 </w:t>
      </w:r>
      <w:r>
        <w:rPr>
          <w:lang w:val="lt-LT"/>
        </w:rPr>
        <w:t xml:space="preserve">eurų </w:t>
      </w:r>
      <w:r>
        <w:rPr>
          <w:color w:val="000000"/>
          <w:lang w:val="lt-LT"/>
        </w:rPr>
        <w:t xml:space="preserve">(50 000 </w:t>
      </w:r>
      <w:r>
        <w:rPr>
          <w:lang w:val="lt-LT"/>
        </w:rPr>
        <w:t>eurų</w:t>
      </w:r>
      <w:r>
        <w:rPr>
          <w:color w:val="000000"/>
          <w:lang w:val="lt-LT"/>
        </w:rPr>
        <w:t xml:space="preserve"> – 40 000 </w:t>
      </w:r>
      <w:r>
        <w:rPr>
          <w:lang w:val="lt-LT"/>
        </w:rPr>
        <w:t>eurų</w:t>
      </w:r>
      <w:r>
        <w:rPr>
          <w:color w:val="000000"/>
          <w:lang w:val="lt-LT"/>
        </w:rPr>
        <w:t xml:space="preserve">) suma ji nesumažino pastato vertės ir tokiu būdu bendrovė dalies draudimo įmonės kompensuotų nuostolių sumos nepriskyrė neleidžiamiems atskaitymams. Jeigu pastatas būtų </w:t>
      </w:r>
      <w:r>
        <w:rPr>
          <w:color w:val="000000"/>
          <w:lang w:val="lt-LT"/>
        </w:rPr>
        <w:lastRenderedPageBreak/>
        <w:t xml:space="preserve">parduotas, tai leidžiamiems atskaitymams bendrovė galėtų priskirti 90 000 </w:t>
      </w:r>
      <w:r>
        <w:rPr>
          <w:lang w:val="lt-LT"/>
        </w:rPr>
        <w:t>eurų</w:t>
      </w:r>
      <w:r>
        <w:rPr>
          <w:strike/>
          <w:color w:val="000000"/>
          <w:lang w:val="lt-LT"/>
        </w:rPr>
        <w:t xml:space="preserve"> </w:t>
      </w:r>
      <w:r>
        <w:rPr>
          <w:color w:val="000000"/>
          <w:lang w:val="lt-LT"/>
        </w:rPr>
        <w:t>pastato įsigijimo kainą, atėmusi nuo šios sumos apskaičiuotą ribojamo dydžio leidžiamiems atskaitymams priskirtą nusidėvėjimo sumą.</w:t>
      </w:r>
    </w:p>
    <w:p w14:paraId="26AD0A21"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Analogiškos nuostatos taikomos ir tuo atveju, kai draudimo objektas yra trumpalaikis turtas.</w:t>
      </w:r>
    </w:p>
    <w:p w14:paraId="576A51F4"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2 pavyzdys</w:t>
      </w:r>
    </w:p>
    <w:p w14:paraId="24D6DFCC"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Bendrovės, užsiimančios sporto prekių didmenine ir mažmenine prekyba, sandėlyje liūties metu buvo užlietos ir apgadintos pagal 2018 metais sudarytą draudimo sutartį apdraustos prekės. Draudimo įmonė šį faktą pripažino draudiminiu įvykiu. Draudimo įmonės turto ekspertai nustatė, kad prekės yra apgadintos nevienodai: nuo 0,01 proc. iki 99,99 proc. prarasta prekių vertės ir bendra prekių vertė sumažėjo 65 proc. Draudimo įmonė bendrovei išmokėjo 65 proc. dydžio apgadintų prekių vertės (be PVM) draudimo išmoką. Kadangi draudimo išmoka neviršijo draudimo sutartyje nustatyta tvarka apskaičiuoto žalos atlyginimo dydžio, tai gauta draudimo išmoka priskiriama neapmokestinamosioms pajamoms. </w:t>
      </w:r>
    </w:p>
    <w:p w14:paraId="62546D00"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Prekės dėl prarastos prekinės išvaizdos buvo parduotos tokiomis kainomis: pigiau už įsigijimo kainą, įsigijimo kaina arba su prekybiniu antkainiu.</w:t>
      </w:r>
    </w:p>
    <w:p w14:paraId="5BE6754F" w14:textId="77777777" w:rsidR="00093845" w:rsidRDefault="000D779E">
      <w:pPr>
        <w:pBdr>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Kadangi draudimo įmonė bendrovei kompensavo patirtus nuostolius (65 proc. apgadintų prekių vertės), todėl bendrovė, pardavusi minėtas prekes, apskaičiuodama apmokestinamąjį pelną, leidžiamiems atskaitymams priskirtiną bendrą prekių įsigijimo kainą turi sumažinti iš draudimo įmonės gauta draudimo išmokos nuostoliams kompensuoti suma (bendrovės faktiškai patirtos parduotų prekių sąnaudos yra mažesnės, nes dalį nuostolių dėl prekių vertės sumažėjimo kompensavo draudimo įmonė).</w:t>
      </w:r>
    </w:p>
    <w:p w14:paraId="332F4F83"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Jei bendrovė po draudiminio įvykio būtų priėmusi sprendimą sumažinti turimų prekių vertę (nuvertinti) gautos draudimo išmokos nuostoliams kompensuoti suma, tai prekių vertės sumažinimo suma būtų priskiriama neleidžiamiems atskaitymams. Pardavusi minėtas prekes, bendrovė leidžiamiems atskaitymams turi priskirti tų prekių perkainotą (sumažintą) kainą.</w:t>
      </w:r>
    </w:p>
    <w:p w14:paraId="390A1913"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5.</w:t>
      </w:r>
      <w:r>
        <w:rPr>
          <w:color w:val="000000"/>
          <w:lang w:val="lt-LT"/>
        </w:rPr>
        <w:tab/>
        <w:t xml:space="preserve">Kredito draudimas apima tokias draudimo rūšis, pagal kurias draudimo įmonė įsipareigoja iš dalies ar visiškai kompensuoti kredito ar paskolos davėjo nuostolius, atsiradusius dėl bet kokios rūšies kredito ar paskolos negrąžinimo dėl kredito ar paskolos gavėjo nemokumo ar kitų priežasčių. Pagal šias draudimo rūšis draudimo objektas siejamas su kredito, paskolos negrąžinimu. Prie kredito draudimo rūšių objekto taip pat priskiriamas prievolės atsiskaityti už prekes ar paslaugas neįvykdymas. Sudarant tokias draudimo sutartis vieneto patiriamų nuostolių vertė įvykus draudiminiam įvykiui bendru atveju sutampa su įmonės finansinėse ataskaitose apskaitomais nuostoliais. Todėl tokio draudimo atveju draudimo išmoka neapmokestinama, kai ji neviršija draudimo sutartyje nustatyta tvarka apskaičiuotos žalos, kuri turėtų sutapti su vieneto finansinėje apskaitoje fiksuojamais nuostoliais. </w:t>
      </w:r>
    </w:p>
    <w:p w14:paraId="5370C87D"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Pavyzdys </w:t>
      </w:r>
    </w:p>
    <w:p w14:paraId="28C85467" w14:textId="77777777" w:rsidR="00093845" w:rsidRDefault="000D779E">
      <w:pPr>
        <w:pBdr>
          <w:top w:val="single" w:sz="4" w:space="0"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UAB X 2018 m. balandžio mėnesį pardavė savo produkciją už 500 000 eurų ir apsidraudė savo riziką, susijusią su pirkėjo neatsiskaitymu, sudarydama kredito draudimo sutartį. Draudimo sutartyje nurodoma draudimo suma yra lygi gautinai už produkciją sumai – 500 000 eurų. 2018 m. gruodžio mėnesį paaiškėjo, jog produkcijos pirkėjas bankrutavo ir todėl draudimo įmonė išmokėjo draudimo išmoką, lygią 500 000 eurų. Šiuo atveju UAB X finansinėse ataskaitose fiksuoti nuostoliai sutapo su nuostoliais, apskaičiuotais draudimo sutartyje nurodyta tvarka, ir buvo lygūs 500 000 eurų, todėl visa draudimo išmoka gali būti laikoma neapmokestinamosiomis pajamomis. </w:t>
      </w:r>
    </w:p>
    <w:p w14:paraId="285AC9F6"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lastRenderedPageBreak/>
        <w:t>Jeigu draudimo įmonė būtų išmokėjusi draudimo išmoką didesnę negu 500 000 eurų, tai viršijanti dalis būtų laikoma UAB X apmokestinamosiomis pajamomis.</w:t>
      </w:r>
    </w:p>
    <w:p w14:paraId="3E02B457" w14:textId="77777777" w:rsidR="00093845" w:rsidRDefault="000D779E">
      <w:pPr>
        <w:tabs>
          <w:tab w:val="left" w:pos="720"/>
          <w:tab w:val="left" w:pos="1077"/>
          <w:tab w:val="left" w:pos="1418"/>
        </w:tabs>
        <w:ind w:firstLine="720"/>
        <w:jc w:val="both"/>
        <w:rPr>
          <w:color w:val="000000"/>
          <w:lang w:val="lt-LT"/>
        </w:rPr>
      </w:pPr>
      <w:r>
        <w:rPr>
          <w:color w:val="000000"/>
          <w:lang w:val="lt-LT"/>
        </w:rPr>
        <w:t>6.</w:t>
      </w:r>
      <w:r>
        <w:rPr>
          <w:color w:val="000000"/>
          <w:lang w:val="lt-LT"/>
        </w:rPr>
        <w:tab/>
        <w:t xml:space="preserve">Civilinės atsakomybės draudimui yra būdinga tai, jog paprastai draudimo išmoka išmokama tiesiogiai trečiam asmeniui – nukentėjusiam. Šiuo atveju teisės aktai nenustato privalomo žalą padariusio asmens informavimo apie patirtos žalos dydį ir draudimo įmonės tiesiogiai atsiskaito su nukentėjusiu. Todėl tokias draudimo išmokas vienetai – draudėjai nepriskiria pajamoms, t.y. neįtraukia į mokesčio bazę, apskaičiuodami apmokestinamąjį pelną. </w:t>
      </w:r>
    </w:p>
    <w:p w14:paraId="08CD3C82"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Kai pagal sudarytas civilinės atsakomybės draudimo sutartis draudimo išmokos išmokamos vienetams – draudėjams, tai draudimo išmokos dalis, neviršijanti draudimo sutartyje nustatytos žalos, gali būti priskiriama neapmokestinamosioms pajamoms. </w:t>
      </w:r>
    </w:p>
    <w:p w14:paraId="449704F8"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 xml:space="preserve">Pavyzdys </w:t>
      </w:r>
    </w:p>
    <w:p w14:paraId="70A66B58"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UAB X 2018 m. balandžio mėnesį įsigytą automobilį apdraudė transporto priemonių savininkų ir valdytojų civilinės atsakomybės privalomuoju draudimu. Įvykus draudiminiam įvykiui (avarijai), nukentėjo trečiajam asmeniui - UAB Y priklausantis lengvasis automobilis. Kaip ir numatyta Transporto priemonių savininkų ir valdytojų civilinės atsakomybės privalomojo draudimo įstatyme draudimo įmonė arba transporto priemonių savininkų ir valdytojų civilinės atsakomybės draudimo biuras draudimo išmoką</w:t>
      </w:r>
      <w:r>
        <w:rPr>
          <w:color w:val="0000FF"/>
          <w:lang w:val="lt-LT"/>
        </w:rPr>
        <w:t xml:space="preserve"> </w:t>
      </w:r>
      <w:r>
        <w:rPr>
          <w:color w:val="000000"/>
          <w:lang w:val="lt-LT"/>
        </w:rPr>
        <w:t>tiesiogiai pervedė trečiajam asmeniui.</w:t>
      </w:r>
    </w:p>
    <w:p w14:paraId="3B70F339"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Tuo atveju, kai pagal civilinės atsakomybės draudimo sutartis draudimo išmokos mokamos tiesiogiai nukentėjusiam asmeniui, ir draudėjas jokių išlaidų nepatiria, tai, apskaičiuojant draudėjo apmokestinamąjį pelną, tokios draudimo išmokos į jo pajamas neįtraukiamos. Be to, jeigu nukentėjęs asmuo yra vienetas, mokantis pelno mokestį, tai jo tiesiogiai iš draudimo įmonės gaunamos lėšos laikomos žalos atlyginimu, kuris neapmokestinamas (plačiau apie tai - PMĮ 12 str. 12 punkto komentare).</w:t>
      </w:r>
    </w:p>
    <w:p w14:paraId="772FAD0B" w14:textId="77777777" w:rsidR="00093845" w:rsidRDefault="000D779E">
      <w:pPr>
        <w:tabs>
          <w:tab w:val="left" w:pos="720"/>
          <w:tab w:val="left" w:pos="1077"/>
          <w:tab w:val="left" w:pos="1418"/>
        </w:tabs>
        <w:ind w:firstLine="720"/>
        <w:jc w:val="both"/>
        <w:rPr>
          <w:szCs w:val="20"/>
          <w:lang w:val="lt-LT"/>
        </w:rPr>
      </w:pPr>
      <w:r>
        <w:rPr>
          <w:lang w:val="lt-LT"/>
        </w:rPr>
        <w:t>7.</w:t>
      </w:r>
      <w:r>
        <w:rPr>
          <w:lang w:val="lt-LT"/>
        </w:rPr>
        <w:tab/>
        <w:t xml:space="preserve">Kai </w:t>
      </w:r>
      <w:r>
        <w:rPr>
          <w:color w:val="000000"/>
          <w:lang w:val="lt-LT"/>
        </w:rPr>
        <w:t xml:space="preserve">kurioms draudimo rūšims yra būdinga tai, jog atsitikus draudiminiam įvykiui, vienetų apskaitoje nefiksuojami jokie nuostoliai, tačiau vienetai juos patiria. Tokioms </w:t>
      </w:r>
      <w:r>
        <w:rPr>
          <w:strike/>
          <w:color w:val="000000"/>
          <w:lang w:val="lt-LT"/>
        </w:rPr>
        <w:t xml:space="preserve"> </w:t>
      </w:r>
      <w:r>
        <w:rPr>
          <w:color w:val="000000"/>
          <w:lang w:val="lt-LT"/>
        </w:rPr>
        <w:t xml:space="preserve"> draudimo rūšims galima priskirti finansinių nuostolių draudimą. Finansinių nuostolių draudimo atveju draudimo įmonė įsipareigoja iš dalies ar visiškai kompensuoti draudėjo finansinius nuostolius, susijusius su pajamų praradimu dėl blogo oro, pajamų nepakankamumu, pelno (naudos) netekimu, nenumatytomis prekybos išlaidomis, rinkos vertės sumažėjimu, ar kitus finansinius nuostolius. Šiais ir analogiškais kitais atvejais, kai vienetas gauna draudimo išmoką, kuri neviršija žalos ar nuostolių, apskaičiuotų draudimo sutarties nustatyta tvarka, tokios draudimo išmokos laikomos neapmokestinamomis.</w:t>
      </w:r>
    </w:p>
    <w:p w14:paraId="7B0E68F1" w14:textId="77777777" w:rsidR="00093845" w:rsidRDefault="000D779E">
      <w:pPr>
        <w:tabs>
          <w:tab w:val="left" w:pos="720"/>
          <w:tab w:val="left" w:pos="1077"/>
          <w:tab w:val="left" w:pos="1418"/>
        </w:tabs>
        <w:ind w:firstLine="720"/>
        <w:jc w:val="both"/>
        <w:rPr>
          <w:szCs w:val="20"/>
          <w:lang w:val="lt-LT"/>
        </w:rPr>
      </w:pPr>
      <w:r>
        <w:rPr>
          <w:lang w:val="lt-LT"/>
        </w:rPr>
        <w:t xml:space="preserve">1 pavyzdys </w:t>
      </w:r>
    </w:p>
    <w:p w14:paraId="72DCDFC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color w:val="000000"/>
          <w:szCs w:val="20"/>
          <w:lang w:val="lt-LT"/>
        </w:rPr>
      </w:pPr>
      <w:r>
        <w:rPr>
          <w:color w:val="000000"/>
          <w:lang w:val="lt-LT"/>
        </w:rPr>
        <w:t xml:space="preserve">UAB X sudarė finansinių nuostolių draudimo sutartį, kurioje buvo numatyta, kad draudimo įmonė kompensuos nuostolius, susijusius su derliaus dėl sausros praradimu. Įvykus draudiminiam įvykiui buvo apskaičiuota žala, taikant draudimo sutartyje nustatytą metodiką. Draudimo išmokos suma buvo lygi žalos dydžiui ir sudarė 70000 eurų. Pagal pateiktą pavyzdį UAB X neapmokestinamosioms pajamoms gali priskirti 70000 eurų sumą, nes draudimo išmoka neviršijo sutartyje aptartu būdu apskaičiuotos žalos vertės. </w:t>
      </w:r>
    </w:p>
    <w:p w14:paraId="1E80F935" w14:textId="77777777" w:rsidR="00093845" w:rsidRDefault="000D779E">
      <w:pPr>
        <w:tabs>
          <w:tab w:val="left" w:pos="720"/>
          <w:tab w:val="left" w:pos="1077"/>
          <w:tab w:val="left" w:pos="1418"/>
        </w:tabs>
        <w:ind w:firstLine="720"/>
        <w:jc w:val="both"/>
        <w:rPr>
          <w:szCs w:val="20"/>
          <w:lang w:val="lt-LT"/>
        </w:rPr>
      </w:pPr>
      <w:r>
        <w:rPr>
          <w:color w:val="000000"/>
          <w:lang w:val="lt-LT"/>
        </w:rPr>
        <w:t xml:space="preserve">Analogišku draudimu galima laikyti </w:t>
      </w:r>
      <w:r>
        <w:rPr>
          <w:b/>
          <w:color w:val="000000"/>
          <w:lang w:val="lt-LT"/>
        </w:rPr>
        <w:t>sudarytas vieneto naudai sutartis</w:t>
      </w:r>
      <w:r>
        <w:rPr>
          <w:color w:val="000000"/>
          <w:lang w:val="lt-LT"/>
        </w:rPr>
        <w:t xml:space="preserve"> vieneto darbuotojų nuo nelaimingų atsitikimų draudimo, gyvybės draudimo sutartis vieneto naudai. Dėl šių draudimo grupių specifikos patirti vieneto nuostoliai tokiais atvejais nėra siejami su vieneto finansinėse ataskaitose apskaitomais nuostoliais ar žala, todėl vieneto gaunamą draudimo išmoką, kuri apskaičiuojama draudimo sutartyje nustatyta tvarka, galima priskirti neapmokestinamosioms pajamoms.</w:t>
      </w:r>
    </w:p>
    <w:p w14:paraId="54E5371A" w14:textId="77777777" w:rsidR="00093845" w:rsidRDefault="000D779E">
      <w:pPr>
        <w:pStyle w:val="Style1"/>
        <w:tabs>
          <w:tab w:val="left" w:pos="720"/>
          <w:tab w:val="left" w:pos="1077"/>
          <w:tab w:val="left" w:pos="1418"/>
        </w:tabs>
        <w:rPr>
          <w:rFonts w:ascii="Times New Roman" w:hAnsi="Times New Roman"/>
        </w:rPr>
      </w:pPr>
      <w:r>
        <w:rPr>
          <w:rFonts w:ascii="Times New Roman" w:hAnsi="Times New Roman"/>
        </w:rPr>
        <w:lastRenderedPageBreak/>
        <w:t>2 pavyzdys</w:t>
      </w:r>
    </w:p>
    <w:p w14:paraId="787FB9E8"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 xml:space="preserve">Situacijos: </w:t>
      </w:r>
    </w:p>
    <w:p w14:paraId="570BF4D6"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a)</w:t>
      </w:r>
      <w:r>
        <w:rPr>
          <w:lang w:val="lt-LT"/>
        </w:rPr>
        <w:tab/>
        <w:t>2015 metų vasario mėnesį vienetas savo darbuotoją apdraudė gyvybės draudimu ir save paskyrė naudos gavėju. Draudimo sutartyje numatyta, kad draudimo sutarties terminas yra 15 metų, kad mėnesinė draudimo įmoka yra 100 eurų ir kad draudimo suma darbuotojo mirties atveju yra pagal draudimo sutartį mokant įmokas sukauptas fondas, o jei apdraustojo mirtis bus nelaimingo atsitikimo pasekmė, tai draudimo išmoka bus dviguba sukaupto fondo vertė.</w:t>
      </w:r>
    </w:p>
    <w:p w14:paraId="00BCA3D1"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firstLine="720"/>
        <w:jc w:val="both"/>
        <w:rPr>
          <w:szCs w:val="20"/>
          <w:lang w:val="lt-LT"/>
        </w:rPr>
      </w:pPr>
      <w:r>
        <w:rPr>
          <w:lang w:val="lt-LT"/>
        </w:rPr>
        <w:t>2018 metų gegužę apdraustasis mirė dėl ūmios ligos. Draudimo įmonė pagal draudimo sutartį apskaičiavo ir išmokėjo bendrovei 3000 eurų sumą, kuri lygi fondui, sukauptam mokant draudimo įmokas. Visą gautą sumą vienetas gali pripažinti savo neapmokestinamosiomis pajamomis.</w:t>
      </w:r>
    </w:p>
    <w:p w14:paraId="5FE535E2" w14:textId="77777777" w:rsidR="00093845" w:rsidRDefault="000D779E">
      <w:pPr>
        <w:pBdr>
          <w:left w:val="single" w:sz="4" w:space="4" w:color="auto"/>
          <w:right w:val="single" w:sz="4" w:space="4" w:color="auto"/>
        </w:pBdr>
        <w:tabs>
          <w:tab w:val="left" w:pos="720"/>
          <w:tab w:val="left" w:pos="1077"/>
          <w:tab w:val="left" w:pos="1418"/>
        </w:tabs>
        <w:ind w:firstLine="720"/>
        <w:jc w:val="both"/>
        <w:rPr>
          <w:szCs w:val="20"/>
          <w:lang w:val="lt-LT"/>
        </w:rPr>
      </w:pPr>
      <w:r>
        <w:rPr>
          <w:lang w:val="lt-LT"/>
        </w:rPr>
        <w:t>b)</w:t>
      </w:r>
      <w:r>
        <w:rPr>
          <w:lang w:val="lt-LT"/>
        </w:rPr>
        <w:tab/>
        <w:t>Vienetas 5 savo darbuotojus apdraudė draudimu nuo nelaimingų atsitikimų ir naudos gavėju paskyrė save. Draudimo sutartyse numatyta, kad draudimo suma kiekvieno darbuotojo mirties atveju yra 100000 eurų, o draudimo suma traumų ar pakenkimo sveikatai atveju yra 50000 eurų</w:t>
      </w:r>
      <w:r>
        <w:rPr>
          <w:strike/>
          <w:lang w:val="lt-LT"/>
        </w:rPr>
        <w:t xml:space="preserve"> </w:t>
      </w:r>
      <w:r>
        <w:rPr>
          <w:lang w:val="lt-LT"/>
        </w:rPr>
        <w:t>(bendra kiekvieno darbuotojo draudimo suma yra 150000 eurų). Išmokos traumų ar pakenkimų sveikatai atvejais bus skaičiuojamos pagal draudimo sutartyje numatytą metodiką kaip tam tikras procentas (atsižvelgiant į traumos ar pakenkimo sveikatai sunkumą) nuo 50000</w:t>
      </w:r>
      <w:r>
        <w:rPr>
          <w:b/>
          <w:lang w:val="lt-LT"/>
        </w:rPr>
        <w:t xml:space="preserve"> </w:t>
      </w:r>
      <w:r>
        <w:rPr>
          <w:lang w:val="lt-LT"/>
        </w:rPr>
        <w:t xml:space="preserve">eurų draudimo sumos. </w:t>
      </w:r>
    </w:p>
    <w:p w14:paraId="7750F857" w14:textId="77777777" w:rsidR="00093845" w:rsidRDefault="000D779E">
      <w:pPr>
        <w:pBdr>
          <w:left w:val="single" w:sz="4" w:space="4" w:color="auto"/>
          <w:right w:val="single" w:sz="4" w:space="4" w:color="auto"/>
        </w:pBdr>
        <w:tabs>
          <w:tab w:val="left" w:pos="720"/>
          <w:tab w:val="left" w:pos="1077"/>
          <w:tab w:val="left" w:pos="1418"/>
        </w:tabs>
        <w:ind w:firstLine="720"/>
        <w:jc w:val="both"/>
        <w:rPr>
          <w:szCs w:val="20"/>
          <w:lang w:val="lt-LT"/>
        </w:rPr>
      </w:pPr>
      <w:r>
        <w:rPr>
          <w:lang w:val="lt-LT"/>
        </w:rPr>
        <w:t>Draudimo sutarties galiojimo metu vienas iš apdraustųjų susilaužė ranką. Draudimo įmonė apskaičiavo 5000 eurų dydžio draudimo išmoką ir išmokėjo ją vienetui, nes draudimo sutartyje buvo numatyta, kad žala rankos lūžimo atveju bus prilyginama 10-čiai procentų nuo 50000 eurų draudimo sumos, numatytos traumų ir pakenkimo sveikatai atvejais. Gautą draudimo išmoką vienetas turi pripažinti savo neapmokestinamosiomis pajamomis.</w:t>
      </w:r>
    </w:p>
    <w:p w14:paraId="785413B8" w14:textId="77777777" w:rsidR="00093845" w:rsidRDefault="000D779E">
      <w:pPr>
        <w:pStyle w:val="Pagrindinistekstas2"/>
        <w:pBdr>
          <w:left w:val="single" w:sz="4" w:space="4" w:color="auto"/>
          <w:bottom w:val="single" w:sz="4" w:space="1" w:color="auto"/>
          <w:right w:val="single" w:sz="4" w:space="4" w:color="auto"/>
        </w:pBdr>
        <w:tabs>
          <w:tab w:val="left" w:pos="720"/>
          <w:tab w:val="left" w:pos="1077"/>
          <w:tab w:val="left" w:pos="1418"/>
        </w:tabs>
        <w:ind w:firstLine="720"/>
        <w:jc w:val="both"/>
        <w:rPr>
          <w:b w:val="0"/>
          <w:bCs w:val="0"/>
          <w:sz w:val="24"/>
        </w:rPr>
      </w:pPr>
      <w:r>
        <w:rPr>
          <w:b w:val="0"/>
          <w:bCs w:val="0"/>
          <w:sz w:val="24"/>
        </w:rPr>
        <w:t xml:space="preserve">Draudimo sutarties galiojimo metu tas pats apdraustasis žuvo įvykus nelaimingam atsitikimui. Draudimo įmonė vienetui išmokėjo 100000 </w:t>
      </w:r>
      <w:r>
        <w:rPr>
          <w:b w:val="0"/>
        </w:rPr>
        <w:t xml:space="preserve">eurų </w:t>
      </w:r>
      <w:r>
        <w:rPr>
          <w:b w:val="0"/>
          <w:bCs w:val="0"/>
          <w:sz w:val="24"/>
        </w:rPr>
        <w:t>draudimo išmoką, kurią vienetas gali pripažinti savo neapmokestinamosiomis pajamomis.</w:t>
      </w:r>
    </w:p>
    <w:p w14:paraId="4C856C42" w14:textId="77777777" w:rsidR="00093845" w:rsidRDefault="000D779E">
      <w:pPr>
        <w:tabs>
          <w:tab w:val="left" w:pos="720"/>
          <w:tab w:val="left" w:pos="1077"/>
          <w:tab w:val="left" w:pos="1418"/>
        </w:tabs>
        <w:ind w:firstLine="720"/>
        <w:jc w:val="both"/>
        <w:rPr>
          <w:bCs/>
          <w:color w:val="000000"/>
          <w:lang w:val="lt-LT"/>
        </w:rPr>
      </w:pPr>
      <w:r>
        <w:rPr>
          <w:bCs/>
          <w:color w:val="000000"/>
          <w:lang w:val="lt-LT"/>
        </w:rPr>
        <w:t xml:space="preserve">8. Kadangi  draudimo sutartys dėl nelaimingų atsitikimų ir gyvybės draudimo sutartys, kurios sudaromos </w:t>
      </w:r>
      <w:r>
        <w:rPr>
          <w:bCs/>
          <w:color w:val="000000"/>
          <w:u w:val="single"/>
          <w:lang w:val="lt-LT"/>
        </w:rPr>
        <w:t>vieneto naudai</w:t>
      </w:r>
      <w:r>
        <w:rPr>
          <w:bCs/>
          <w:color w:val="000000"/>
          <w:lang w:val="lt-LT"/>
        </w:rPr>
        <w:t xml:space="preserve">, gali būti prilyginamos finansinių nuostolių draudimo sutartims, tai, kaip jau minėta, dėl draudiminio įvykio </w:t>
      </w:r>
      <w:r>
        <w:rPr>
          <w:color w:val="000000"/>
          <w:lang w:val="lt-LT"/>
        </w:rPr>
        <w:t>vieneto gaunamos draudimo išmokos, kurios apskaičiuojamos draudimo sutartyje nustatyta tvarka, priskiriamos neapmokestinamosioms pajamoms. P</w:t>
      </w:r>
      <w:r>
        <w:rPr>
          <w:bCs/>
          <w:color w:val="000000"/>
          <w:lang w:val="lt-LT"/>
        </w:rPr>
        <w:t xml:space="preserve">agal tokias draudimo sutartis draudimo įmonei mokamos draudimo įmokos priskiriamos </w:t>
      </w:r>
      <w:r>
        <w:rPr>
          <w:color w:val="000000"/>
          <w:lang w:val="lt-LT"/>
        </w:rPr>
        <w:t>leidžiamiems</w:t>
      </w:r>
      <w:r>
        <w:rPr>
          <w:b/>
          <w:color w:val="000000"/>
          <w:lang w:val="lt-LT"/>
        </w:rPr>
        <w:t xml:space="preserve"> </w:t>
      </w:r>
      <w:r>
        <w:rPr>
          <w:bCs/>
          <w:color w:val="000000"/>
          <w:lang w:val="lt-LT"/>
        </w:rPr>
        <w:t xml:space="preserve">atskaitymams. </w:t>
      </w:r>
    </w:p>
    <w:p w14:paraId="359707E7" w14:textId="77777777" w:rsidR="00093845" w:rsidRPr="00054EFE" w:rsidRDefault="000D779E">
      <w:pPr>
        <w:tabs>
          <w:tab w:val="left" w:pos="720"/>
          <w:tab w:val="left" w:pos="1077"/>
          <w:tab w:val="left" w:pos="1418"/>
        </w:tabs>
        <w:ind w:firstLine="720"/>
        <w:jc w:val="both"/>
        <w:rPr>
          <w:color w:val="000000"/>
          <w:lang w:val="lt-LT"/>
        </w:rPr>
      </w:pPr>
      <w:r>
        <w:rPr>
          <w:color w:val="000000"/>
          <w:lang w:val="lt-LT"/>
        </w:rPr>
        <w:t xml:space="preserve">9. Jei vienetas moka draudimo įmokas pagal sutartis, sudarytas </w:t>
      </w:r>
      <w:r>
        <w:rPr>
          <w:color w:val="000000"/>
          <w:u w:val="single"/>
          <w:lang w:val="lt-LT"/>
        </w:rPr>
        <w:t>darbuotojo naudai</w:t>
      </w:r>
      <w:r>
        <w:rPr>
          <w:color w:val="000000"/>
          <w:lang w:val="lt-LT"/>
        </w:rPr>
        <w:t xml:space="preserve">, tai apskaičiuojant apmokestinamąjį pelną, iš pajamų gali būti atskaitomos tik tokios draudimo įmokos, kurios </w:t>
      </w:r>
      <w:r w:rsidRPr="00054EFE">
        <w:rPr>
          <w:color w:val="000000"/>
          <w:lang w:val="lt-LT"/>
        </w:rPr>
        <w:t xml:space="preserve">priskiriamos gyventojų pajamų mokesčio objektui kaip darbuotojų gauta nauda pagal Lietuvos Respublikos gyventojų pajamų mokesčio nuostatas. </w:t>
      </w:r>
    </w:p>
    <w:p w14:paraId="7E170048" w14:textId="77777777" w:rsidR="00093845" w:rsidRDefault="000D779E">
      <w:pPr>
        <w:tabs>
          <w:tab w:val="left" w:pos="720"/>
          <w:tab w:val="left" w:pos="1077"/>
        </w:tabs>
        <w:ind w:firstLine="720"/>
        <w:jc w:val="both"/>
        <w:rPr>
          <w:lang w:val="lt-LT"/>
        </w:rPr>
      </w:pPr>
      <w:r>
        <w:rPr>
          <w:lang w:val="lt-LT"/>
        </w:rPr>
        <w:t>10.</w:t>
      </w:r>
      <w:r>
        <w:rPr>
          <w:lang w:val="lt-LT"/>
        </w:rPr>
        <w:tab/>
        <w:t xml:space="preserve">Pagal šio punkto nuostatas neapmokestinamosioms pajamoms priskiriamos gautos draudimo išmokos, neviršijančios prarasto turto arba patirtų nuostolių ar žalos vertės, kai jos susijusios su draudiminiu įvykiu. Todėl, tuo atveju, kai vienetas gauna draudimo išmoką ne dėl draudiminio įvykio, bet pasibaigus jo naudai sudarytai gyvybės draudimo sutarčiai, tai visą gautą (gautiną) draudimo išmokos sumą vienetas turi priskirti apmokestinamosioms pajamoms. </w:t>
      </w:r>
    </w:p>
    <w:p w14:paraId="5372C26A" w14:textId="77777777" w:rsidR="00093845" w:rsidRDefault="000D779E">
      <w:pPr>
        <w:tabs>
          <w:tab w:val="left" w:pos="720"/>
          <w:tab w:val="left" w:pos="1077"/>
          <w:tab w:val="left" w:pos="1418"/>
        </w:tabs>
        <w:ind w:firstLine="720"/>
        <w:jc w:val="both"/>
        <w:rPr>
          <w:color w:val="000000"/>
          <w:lang w:val="lt-LT"/>
        </w:rPr>
      </w:pPr>
      <w:r>
        <w:rPr>
          <w:lang w:val="lt-LT"/>
        </w:rPr>
        <w:t>Jeigu vieneto naudai sudarytoje gyvybės draudimo sutartyje numatyta, kad draudimo sutarties nutraukimo ar nutrūkimo (pvz., dėl įmokų nemokėjimo) atveju visos sumokėtos gyvybės draudimo įmokos ar jų dalis grąžinamos draudėjui - vienetui, tai sutarčiai pasibaigus, visa sugrąžintų gyvybės draudimo įmokų suma, bet ne mažesnė kaip anksčiau leidžiamiems atskaitymams priskirtų įmokų suma, priskiriama apmokestinamosioms pajamoms.</w:t>
      </w:r>
    </w:p>
    <w:p w14:paraId="74994AE0"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lastRenderedPageBreak/>
        <w:t xml:space="preserve">11. Pagal šio punkto nuostatas neapmokestinamosioms pajamoms priskiriama sugrąžintų draudimo įmokų dalis, viršijanti leidžiamiems atskaitymams priskirtas draudimo įmokas, taip pat draudimo išmokos dalis, viršijanti iš pajamų atskaitytas draudimo įmokas. Ši nuostata taikoma tik tada, kai sugrąžinamos draudimo įmokos ar gaunamos draudimo išmokos pagal vieneto – draudėjo sudarytas gyvybės draudimo sutartis jo darbuotojų naudai, ir kai draudimo sutarties terminas ne trumpesnis kaip 10 metų. </w:t>
      </w:r>
    </w:p>
    <w:p w14:paraId="37DA6292" w14:textId="77777777" w:rsidR="00093845" w:rsidRDefault="000D779E">
      <w:pPr>
        <w:pStyle w:val="Pagrindiniotekstotrauka"/>
        <w:tabs>
          <w:tab w:val="left" w:pos="720"/>
          <w:tab w:val="left" w:pos="1077"/>
          <w:tab w:val="left" w:pos="1418"/>
        </w:tabs>
        <w:rPr>
          <w:color w:val="000000"/>
          <w:lang w:val="lt-LT"/>
        </w:rPr>
      </w:pPr>
      <w:r>
        <w:rPr>
          <w:lang w:val="lt-LT"/>
        </w:rPr>
        <w:tab/>
        <w:t xml:space="preserve">Darbuotojų naudai mokamos gyvybės draudimo įmokos, apskaičiuojant apmokestinamąjį pelną, laikomos leidžiamais atskaitymais. </w:t>
      </w:r>
      <w:r>
        <w:rPr>
          <w:color w:val="000000"/>
          <w:lang w:val="lt-LT"/>
        </w:rPr>
        <w:t>Jeigu</w:t>
      </w:r>
      <w:r>
        <w:rPr>
          <w:color w:val="FF0000"/>
          <w:lang w:val="lt-LT"/>
        </w:rPr>
        <w:t xml:space="preserve"> </w:t>
      </w:r>
      <w:r>
        <w:rPr>
          <w:color w:val="000000"/>
          <w:lang w:val="lt-LT"/>
        </w:rPr>
        <w:t>draudimo sutartyje numatyta, kad draudimo sutarties nutraukimo ar nutrūkimo (</w:t>
      </w:r>
      <w:r>
        <w:rPr>
          <w:lang w:val="lt-LT"/>
        </w:rPr>
        <w:t>pvz.,</w:t>
      </w:r>
      <w:r>
        <w:rPr>
          <w:color w:val="000000"/>
          <w:lang w:val="lt-LT"/>
        </w:rPr>
        <w:t xml:space="preserve"> dėl įmokų nemokėjimo) atveju visos sumokėtos draudimo įmokos ar jų dalis grąžinamos draudėjui - vienetui, </w:t>
      </w:r>
      <w:r>
        <w:rPr>
          <w:lang w:val="lt-LT"/>
        </w:rPr>
        <w:t xml:space="preserve">tai sutarčiai pasibaigus, gyvybės draudimo įmokos, kurios buvo priskirtos leidžiamiems atskaitymams, priskiriamos </w:t>
      </w:r>
      <w:r>
        <w:rPr>
          <w:b/>
          <w:bCs/>
          <w:lang w:val="lt-LT"/>
        </w:rPr>
        <w:t>apmokestinamosioms pajamoms</w:t>
      </w:r>
      <w:r>
        <w:rPr>
          <w:lang w:val="lt-LT"/>
        </w:rPr>
        <w:t>, o sugrąžintų</w:t>
      </w:r>
      <w:r>
        <w:rPr>
          <w:color w:val="000000"/>
          <w:lang w:val="lt-LT"/>
        </w:rPr>
        <w:t xml:space="preserve"> draudimo įmokų sumos, viršijančios leidžiamiems atskaitymams priskirtas draudimo įmokų sumas, – </w:t>
      </w:r>
      <w:r>
        <w:rPr>
          <w:lang w:val="lt-LT"/>
        </w:rPr>
        <w:t>priskiriamos</w:t>
      </w:r>
      <w:r>
        <w:rPr>
          <w:color w:val="000000"/>
          <w:lang w:val="lt-LT"/>
        </w:rPr>
        <w:t xml:space="preserve"> </w:t>
      </w:r>
      <w:r>
        <w:rPr>
          <w:b/>
          <w:bCs/>
          <w:color w:val="000000"/>
          <w:lang w:val="lt-LT"/>
        </w:rPr>
        <w:t>neapmokestinamosioms pajamoms</w:t>
      </w:r>
      <w:r>
        <w:rPr>
          <w:color w:val="000000"/>
          <w:lang w:val="lt-LT"/>
        </w:rPr>
        <w:t>.</w:t>
      </w:r>
    </w:p>
    <w:p w14:paraId="500443CB" w14:textId="77777777" w:rsidR="00093845" w:rsidRDefault="000D779E">
      <w:pPr>
        <w:tabs>
          <w:tab w:val="left" w:pos="720"/>
          <w:tab w:val="left" w:pos="1077"/>
          <w:tab w:val="left" w:pos="1418"/>
        </w:tabs>
        <w:jc w:val="both"/>
        <w:rPr>
          <w:szCs w:val="20"/>
          <w:lang w:val="lt-LT"/>
        </w:rPr>
      </w:pPr>
      <w:r>
        <w:rPr>
          <w:lang w:val="lt-LT"/>
        </w:rPr>
        <w:tab/>
        <w:t>Pavyzdys</w:t>
      </w:r>
    </w:p>
    <w:p w14:paraId="4EA9AAE5" w14:textId="77777777" w:rsidR="00093845" w:rsidRDefault="000D779E">
      <w:pPr>
        <w:pStyle w:val="Pagrindiniotekstotrauka"/>
        <w:keepNext/>
        <w:pBdr>
          <w:top w:val="single" w:sz="4" w:space="0" w:color="auto"/>
          <w:left w:val="single" w:sz="4" w:space="4" w:color="auto"/>
          <w:right w:val="single" w:sz="4" w:space="4" w:color="auto"/>
        </w:pBdr>
        <w:tabs>
          <w:tab w:val="left" w:pos="720"/>
          <w:tab w:val="left" w:pos="1077"/>
          <w:tab w:val="left" w:pos="1418"/>
        </w:tabs>
        <w:rPr>
          <w:lang w:val="lt-LT"/>
        </w:rPr>
      </w:pPr>
      <w:r>
        <w:rPr>
          <w:lang w:val="lt-LT"/>
        </w:rPr>
        <w:tab/>
        <w:t xml:space="preserve">Situacijos: </w:t>
      </w:r>
    </w:p>
    <w:p w14:paraId="5E0DFF76"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rPr>
          <w:lang w:val="lt-LT"/>
        </w:rPr>
      </w:pPr>
      <w:r>
        <w:rPr>
          <w:lang w:val="lt-LT"/>
        </w:rPr>
        <w:tab/>
        <w:t>a)</w:t>
      </w:r>
      <w:r>
        <w:rPr>
          <w:lang w:val="lt-LT"/>
        </w:rPr>
        <w:tab/>
        <w:t>Vienetas darbuotojo naudai 12 metų mokėjo gyvybės draudimo įmokas ir iš viso leidžiamiems atskaitymams buvo priskirta 28800 eurų. Vėliau vienetas nusprendė nutraukti draudimo sutartį. Pagal draudimo sutarties sąlygas draudimo įmonė apskaičiavo ir išmokėjo vienetui 30000 eurų. Kadangi, mokėdamas draudimo įmokas, vienetas leidžiamiems atskaitymams priskyrė 28800</w:t>
      </w:r>
      <w:r>
        <w:rPr>
          <w:b/>
          <w:lang w:val="lt-LT"/>
        </w:rPr>
        <w:t xml:space="preserve"> </w:t>
      </w:r>
      <w:r>
        <w:rPr>
          <w:lang w:val="lt-LT"/>
        </w:rPr>
        <w:t>eurų, tai šią gautą sumą jis turi priskirti apmokestinamosioms pajamoms, o 1200 eurų – neapmokestinamosioms pajamoms.</w:t>
      </w:r>
    </w:p>
    <w:p w14:paraId="5A0E3DC3"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rPr>
          <w:lang w:val="lt-LT"/>
        </w:rPr>
      </w:pPr>
      <w:r>
        <w:rPr>
          <w:lang w:val="lt-LT"/>
        </w:rPr>
        <w:tab/>
        <w:t>b)</w:t>
      </w:r>
      <w:r>
        <w:rPr>
          <w:lang w:val="lt-LT"/>
        </w:rPr>
        <w:tab/>
        <w:t>Vienetas darbuotojo naudai 8 metus mokėjo gyvybės draudimo įmokas ir iš viso sumokėjo 9600</w:t>
      </w:r>
      <w:r>
        <w:rPr>
          <w:b/>
          <w:lang w:val="lt-LT"/>
        </w:rPr>
        <w:t xml:space="preserve"> </w:t>
      </w:r>
      <w:r>
        <w:rPr>
          <w:lang w:val="lt-LT"/>
        </w:rPr>
        <w:t>eurų, o pablogėjus finansinei būklei nustojo mokėti įmokas ir sutartis pasibaigė dėl įmokų nemokėjimo. Pagal draudimo sutarties sąlygas draudimo įmonė apskaičiavo ir išmokėjo vienetui 8000</w:t>
      </w:r>
      <w:r>
        <w:rPr>
          <w:b/>
          <w:lang w:val="lt-LT"/>
        </w:rPr>
        <w:t xml:space="preserve"> </w:t>
      </w:r>
      <w:r>
        <w:rPr>
          <w:lang w:val="lt-LT"/>
        </w:rPr>
        <w:t xml:space="preserve">eurų (šią sumą sudarė vieneto sumokėtos draudimo įmokos, išskaičiavus draudimo sutarties sudarymo ir vykdymo išlaidas). Šiuo atveju gyvybės draudimo sutarčiai pasibaigus dėl įmokų nemokėjimo, draudimo įmonės sugrąžintą 8000 eurų sumą vienetas turi priskirti apmokestinamosioms pajamoms. </w:t>
      </w:r>
    </w:p>
    <w:p w14:paraId="6F645141" w14:textId="77777777" w:rsidR="00093845" w:rsidRDefault="000D779E">
      <w:pPr>
        <w:pStyle w:val="Pagrindiniotekstotrauka"/>
        <w:rPr>
          <w:lang w:val="lt-LT"/>
        </w:rPr>
      </w:pPr>
      <w:r>
        <w:rPr>
          <w:lang w:val="lt-LT"/>
        </w:rPr>
        <w:t>12. Tuo atveju, kai vienetas, savo darbuotojų naudai mokėjo gyvybės draudimo įmokas ir šių įmokų dalies nepriskyrė leidžiamiems atskaitymams, tai gavęs draudimo išmoką ar grąžintas draudimo įmokas, apmokestinamosioms pajamoms jis galės priskirti sumą, ne didesnę už leidžiamiems atskaitymams priskirtinų draudimo įmokų sumą.</w:t>
      </w:r>
    </w:p>
    <w:p w14:paraId="768E2EA2" w14:textId="77777777" w:rsidR="00093845" w:rsidRDefault="000D779E">
      <w:pPr>
        <w:tabs>
          <w:tab w:val="left" w:pos="720"/>
          <w:tab w:val="left" w:pos="1077"/>
          <w:tab w:val="left" w:pos="1418"/>
        </w:tabs>
        <w:jc w:val="both"/>
        <w:rPr>
          <w:szCs w:val="20"/>
          <w:lang w:val="lt-LT"/>
        </w:rPr>
      </w:pPr>
      <w:r>
        <w:rPr>
          <w:lang w:val="lt-LT"/>
        </w:rPr>
        <w:tab/>
        <w:t>Pavyzdys</w:t>
      </w:r>
    </w:p>
    <w:p w14:paraId="479FFF27" w14:textId="77777777" w:rsidR="00093845" w:rsidRDefault="000D779E">
      <w:pPr>
        <w:pBdr>
          <w:top w:val="single" w:sz="4" w:space="1" w:color="auto"/>
          <w:left w:val="single" w:sz="4" w:space="4" w:color="auto"/>
          <w:bottom w:val="single" w:sz="4" w:space="1" w:color="auto"/>
          <w:right w:val="single" w:sz="4" w:space="4" w:color="auto"/>
        </w:pBdr>
        <w:tabs>
          <w:tab w:val="left" w:pos="240"/>
          <w:tab w:val="left" w:pos="720"/>
          <w:tab w:val="left" w:pos="1077"/>
          <w:tab w:val="left" w:pos="1418"/>
        </w:tabs>
        <w:ind w:left="240" w:firstLine="480"/>
        <w:jc w:val="both"/>
        <w:rPr>
          <w:szCs w:val="20"/>
          <w:lang w:val="lt-LT"/>
        </w:rPr>
      </w:pPr>
      <w:r>
        <w:rPr>
          <w:lang w:val="lt-LT"/>
        </w:rPr>
        <w:t>Vienetas 3 metus mokėjo gyvybės draudimo įmokas ir iš viso sumokėjo 7200 eurų, o leidžiamiems atskaitymams priskyrė tik 5000</w:t>
      </w:r>
      <w:r>
        <w:rPr>
          <w:b/>
          <w:lang w:val="lt-LT"/>
        </w:rPr>
        <w:t xml:space="preserve"> </w:t>
      </w:r>
      <w:r>
        <w:rPr>
          <w:lang w:val="lt-LT"/>
        </w:rPr>
        <w:t>eurų. Vėliau bendrovė nusprendė nutraukti draudimo sutartį. Pagal draudimo sutarties sąlygas draudimo įmonė apskaičiavo ir vienetui išmokėjo 6000 eurų. Kadangi vienetas, mokėdamas draudimo įmokas, leidžiamiems atskaitymams priskyrė tik 5000</w:t>
      </w:r>
      <w:r>
        <w:rPr>
          <w:b/>
          <w:lang w:val="lt-LT"/>
        </w:rPr>
        <w:t xml:space="preserve"> </w:t>
      </w:r>
      <w:r>
        <w:rPr>
          <w:lang w:val="lt-LT"/>
        </w:rPr>
        <w:t>eurų, tai gautą 5000</w:t>
      </w:r>
      <w:r>
        <w:rPr>
          <w:b/>
          <w:lang w:val="lt-LT"/>
        </w:rPr>
        <w:t xml:space="preserve"> </w:t>
      </w:r>
      <w:r>
        <w:rPr>
          <w:lang w:val="lt-LT"/>
        </w:rPr>
        <w:t>eurų draudimo išmokos dalį, jis turi priskirti apmokestinamosioms pajamoms, o likusią  1000 eurų išmokos dalį - neapmokestinamosioms pajamoms.</w:t>
      </w:r>
    </w:p>
    <w:p w14:paraId="600C5036" w14:textId="77777777" w:rsidR="00093845" w:rsidRDefault="000D779E">
      <w:pPr>
        <w:pStyle w:val="Pagrindiniotekstotrauka"/>
        <w:rPr>
          <w:lang w:val="lt-LT"/>
        </w:rPr>
      </w:pPr>
      <w:r>
        <w:rPr>
          <w:lang w:val="lt-LT"/>
        </w:rPr>
        <w:t xml:space="preserve">13. Tam tikrais atvejais pagal gyvybės draudimo sutartis, pagal kurias mokėtinos įmokos buvo priskiriamos leidžiamiems atskaitymams, vienetas gali gauti draudimo išmokas (pvz., jei vienetas yra paskirtas naudos gavėju apdraustojo mirties atveju). Jei vienetas apdraustojo mirties atveju gauna draudimo išmoką, tai pagal tokias gyvybės draudimo sutartis gautų draudimo išmokų suma, kuri lygi draudimo įmonei sumokėtų ir leidžiamiems atskaitymams priskirtinų gyvybės draudimo įmokų sumai, </w:t>
      </w:r>
      <w:r>
        <w:rPr>
          <w:lang w:val="lt-LT"/>
        </w:rPr>
        <w:lastRenderedPageBreak/>
        <w:t>priskiriama apmokestinamosioms pajamoms. Gautos draudimo išmokos, kurios viršija draudimo įmonei sumokėtų ir leidžiamiems atskaitymams priskirtų gyvybės draudimo įmokų sumą, priskiriama neapmokestinamosioms pajamoms.</w:t>
      </w:r>
    </w:p>
    <w:p w14:paraId="536E07AD" w14:textId="77777777" w:rsidR="00093845" w:rsidRDefault="000D779E">
      <w:pPr>
        <w:pStyle w:val="Pagrindiniotekstotrauka"/>
        <w:tabs>
          <w:tab w:val="left" w:pos="720"/>
          <w:tab w:val="left" w:pos="1077"/>
          <w:tab w:val="left" w:pos="1418"/>
        </w:tabs>
        <w:rPr>
          <w:lang w:val="lt-LT"/>
        </w:rPr>
      </w:pPr>
      <w:r>
        <w:rPr>
          <w:lang w:val="lt-LT"/>
        </w:rPr>
        <w:t xml:space="preserve">Pagal draudimo sutarties sąlygas numatytos priemokos prie draudimo sutartyje nustatytos draudimo sumos ar draudimo išmokos padidinimo sumos laikomos draudimo išmokos dalimi. </w:t>
      </w:r>
    </w:p>
    <w:p w14:paraId="3F294C71" w14:textId="77777777" w:rsidR="00093845" w:rsidRDefault="000D779E">
      <w:pPr>
        <w:ind w:firstLine="720"/>
        <w:jc w:val="both"/>
        <w:rPr>
          <w:lang w:val="lt-LT"/>
        </w:rPr>
      </w:pPr>
      <w:r>
        <w:rPr>
          <w:lang w:val="lt-LT"/>
        </w:rPr>
        <w:t>Pavyzdys</w:t>
      </w:r>
    </w:p>
    <w:p w14:paraId="2E6667AA"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left="240" w:firstLine="360"/>
        <w:jc w:val="both"/>
        <w:rPr>
          <w:szCs w:val="20"/>
          <w:lang w:val="lt-LT"/>
        </w:rPr>
      </w:pPr>
      <w:r>
        <w:rPr>
          <w:lang w:val="lt-LT"/>
        </w:rPr>
        <w:t xml:space="preserve">2008 metų vasario mėnesį vienetas darbuotojo naudai sudarė gyvybės draudimo sutartį                 40 000 eurų sumai, o naudos gavėju apdraustojo mirties atveju darbuotojas paskyrė vienetą. Draudimo sutartyje numatyta, kad draudimo sutarties terminas yra 15 metų, mėnesinė draudimo įmoka yra 200 eurų: </w:t>
      </w:r>
    </w:p>
    <w:p w14:paraId="29A3ABB7" w14:textId="77777777" w:rsidR="00093845" w:rsidRDefault="000D779E">
      <w:pPr>
        <w:pBdr>
          <w:left w:val="single" w:sz="4" w:space="4" w:color="auto"/>
          <w:right w:val="single" w:sz="4" w:space="4" w:color="auto"/>
        </w:pBdr>
        <w:tabs>
          <w:tab w:val="left" w:pos="720"/>
          <w:tab w:val="left" w:pos="1077"/>
          <w:tab w:val="left" w:pos="1418"/>
        </w:tabs>
        <w:ind w:left="240" w:firstLine="360"/>
        <w:jc w:val="both"/>
        <w:rPr>
          <w:szCs w:val="20"/>
          <w:lang w:val="lt-LT"/>
        </w:rPr>
      </w:pPr>
      <w:r>
        <w:rPr>
          <w:lang w:val="lt-LT"/>
        </w:rPr>
        <w:t>a)</w:t>
      </w:r>
      <w:r>
        <w:rPr>
          <w:lang w:val="lt-LT"/>
        </w:rPr>
        <w:tab/>
        <w:t>Vienetas 10 metų mokėjo įmokas ir iš viso sumokėjo 24 000</w:t>
      </w:r>
      <w:r>
        <w:rPr>
          <w:b/>
          <w:lang w:val="lt-LT"/>
        </w:rPr>
        <w:t xml:space="preserve"> </w:t>
      </w:r>
      <w:r>
        <w:rPr>
          <w:lang w:val="lt-LT"/>
        </w:rPr>
        <w:t>eurų. Visos sumokėtos įmokos buvo priskirtos leidžiamiems atskaitymams. Po 10 metų apdraustasis mirė. Pagal draudimo sutarties sąlygas draudimo įmonė išmokėjo vienetui 40 000 eurų. Kadangi, mokėdamas draudimo įmokas, vienetas priskyrė jas leidžiamiems atskaitymams, tai gautą 24 000 eurų draudimo išmokos dalį jis turi priskirti apmokestinamosioms pajamoms, o likusią 16 000</w:t>
      </w:r>
      <w:r>
        <w:rPr>
          <w:b/>
          <w:lang w:val="lt-LT"/>
        </w:rPr>
        <w:t xml:space="preserve"> </w:t>
      </w:r>
      <w:r>
        <w:rPr>
          <w:lang w:val="lt-LT"/>
        </w:rPr>
        <w:t>eurų (40 000 – 24 000) išmokos dalį - neapmokestinamosioms pajamoms.</w:t>
      </w:r>
    </w:p>
    <w:p w14:paraId="06FF65D9" w14:textId="77777777" w:rsidR="00093845" w:rsidRDefault="000D779E">
      <w:pPr>
        <w:pBdr>
          <w:left w:val="single" w:sz="4" w:space="4" w:color="auto"/>
          <w:right w:val="single" w:sz="4" w:space="4" w:color="auto"/>
        </w:pBdr>
        <w:tabs>
          <w:tab w:val="left" w:pos="720"/>
          <w:tab w:val="left" w:pos="1077"/>
          <w:tab w:val="left" w:pos="1418"/>
        </w:tabs>
        <w:ind w:left="240" w:firstLine="480"/>
        <w:jc w:val="both"/>
        <w:rPr>
          <w:szCs w:val="20"/>
          <w:lang w:val="lt-LT"/>
        </w:rPr>
      </w:pPr>
      <w:r>
        <w:rPr>
          <w:lang w:val="lt-LT"/>
        </w:rPr>
        <w:t>b)</w:t>
      </w:r>
      <w:r>
        <w:rPr>
          <w:lang w:val="lt-LT"/>
        </w:rPr>
        <w:tab/>
        <w:t>Vienetas 8 metus mokėjo įmokas ir iš viso sumokėjo 19 200 eurų. Vienetas leidžiamiems atskaitymams priskyrė 18 000</w:t>
      </w:r>
      <w:r>
        <w:rPr>
          <w:b/>
          <w:lang w:val="lt-LT"/>
        </w:rPr>
        <w:t xml:space="preserve"> </w:t>
      </w:r>
      <w:r>
        <w:rPr>
          <w:lang w:val="lt-LT"/>
        </w:rPr>
        <w:t>eurų. Po 8 metų apdraustasis mirė. Pagal draudimo sutarties sąlygas draudimo įmonė išmokėjo vienetui 40 000 eurų. Kadangi, mokėdamas draudimo įmokas, vienetas leidžiamiems atskaitymams priskyrė 18 000 eurų, tai 18 000</w:t>
      </w:r>
      <w:r>
        <w:rPr>
          <w:b/>
          <w:lang w:val="lt-LT"/>
        </w:rPr>
        <w:t xml:space="preserve"> </w:t>
      </w:r>
      <w:r>
        <w:rPr>
          <w:lang w:val="lt-LT"/>
        </w:rPr>
        <w:t>eurų draudimo išmokos dalį, jis turi priskirti apmokestinamosioms pajamoms, o likusią 22 000 eurų (40 000 – 18 000) draudimo išmokos dalį - neapmokestinamosioms pajamoms.</w:t>
      </w:r>
    </w:p>
    <w:p w14:paraId="0EF2EB8F" w14:textId="77777777" w:rsidR="00093845" w:rsidRDefault="000D779E">
      <w:pPr>
        <w:pBdr>
          <w:left w:val="single" w:sz="4" w:space="4" w:color="auto"/>
          <w:right w:val="single" w:sz="4" w:space="4" w:color="auto"/>
        </w:pBdr>
        <w:tabs>
          <w:tab w:val="left" w:pos="720"/>
          <w:tab w:val="left" w:pos="1077"/>
          <w:tab w:val="left" w:pos="1418"/>
        </w:tabs>
        <w:ind w:left="240" w:firstLine="480"/>
        <w:jc w:val="both"/>
        <w:rPr>
          <w:szCs w:val="20"/>
          <w:lang w:val="lt-LT"/>
        </w:rPr>
      </w:pPr>
      <w:r>
        <w:rPr>
          <w:lang w:val="lt-LT"/>
        </w:rPr>
        <w:t>c)</w:t>
      </w:r>
      <w:r>
        <w:rPr>
          <w:lang w:val="lt-LT"/>
        </w:rPr>
        <w:tab/>
        <w:t>Vienetas visus 15 metų mokėtų</w:t>
      </w:r>
      <w:r>
        <w:rPr>
          <w:b/>
          <w:lang w:val="lt-LT"/>
        </w:rPr>
        <w:t xml:space="preserve"> </w:t>
      </w:r>
      <w:r>
        <w:rPr>
          <w:lang w:val="lt-LT"/>
        </w:rPr>
        <w:t>įmokas, iš viso sumokėtų ir leidžiamiems atskaitymams priskirtų pavyzdžiui</w:t>
      </w:r>
      <w:r>
        <w:rPr>
          <w:b/>
          <w:lang w:val="lt-LT"/>
        </w:rPr>
        <w:t>,</w:t>
      </w:r>
      <w:r>
        <w:rPr>
          <w:lang w:val="lt-LT"/>
        </w:rPr>
        <w:t xml:space="preserve"> 18 000</w:t>
      </w:r>
      <w:r>
        <w:rPr>
          <w:b/>
          <w:lang w:val="lt-LT"/>
        </w:rPr>
        <w:t xml:space="preserve"> </w:t>
      </w:r>
      <w:r>
        <w:rPr>
          <w:lang w:val="lt-LT"/>
        </w:rPr>
        <w:t>eurų, tai darbuotojui mirus, draudimo įmonė išmokėtų vienetui 43 000 eurų draudimo išmoką, kuri  būtų sudaryta iš 40 000 eurų draudimo sumos ir 3 000</w:t>
      </w:r>
      <w:r>
        <w:rPr>
          <w:b/>
          <w:lang w:val="lt-LT"/>
        </w:rPr>
        <w:t xml:space="preserve"> </w:t>
      </w:r>
      <w:r>
        <w:rPr>
          <w:lang w:val="lt-LT"/>
        </w:rPr>
        <w:t xml:space="preserve">eurų draudimo išmokos padidinimo sumos - investuojant draudimo įmokas sukauptų investicinių pajamų. </w:t>
      </w:r>
    </w:p>
    <w:p w14:paraId="1843897E" w14:textId="77777777" w:rsidR="00093845" w:rsidRDefault="000D779E">
      <w:pPr>
        <w:pStyle w:val="Pagrindinistekstas2"/>
        <w:pBdr>
          <w:left w:val="single" w:sz="4" w:space="4" w:color="auto"/>
          <w:bottom w:val="single" w:sz="4" w:space="0" w:color="auto"/>
          <w:right w:val="single" w:sz="4" w:space="4" w:color="auto"/>
        </w:pBdr>
        <w:tabs>
          <w:tab w:val="left" w:pos="720"/>
          <w:tab w:val="left" w:pos="1077"/>
          <w:tab w:val="left" w:pos="1418"/>
        </w:tabs>
        <w:ind w:left="240" w:firstLine="600"/>
        <w:jc w:val="both"/>
        <w:rPr>
          <w:b w:val="0"/>
          <w:bCs w:val="0"/>
          <w:sz w:val="24"/>
        </w:rPr>
      </w:pPr>
      <w:r>
        <w:rPr>
          <w:b w:val="0"/>
          <w:bCs w:val="0"/>
          <w:sz w:val="24"/>
        </w:rPr>
        <w:t>Kadangi vienetas, mokėdamas draudimo įmokas, leidžiamiems atskaitymams priskirtų</w:t>
      </w:r>
      <w:r>
        <w:rPr>
          <w:bCs w:val="0"/>
          <w:sz w:val="24"/>
        </w:rPr>
        <w:t xml:space="preserve"> </w:t>
      </w:r>
      <w:r>
        <w:rPr>
          <w:b w:val="0"/>
          <w:bCs w:val="0"/>
          <w:sz w:val="24"/>
        </w:rPr>
        <w:t xml:space="preserve">18 000 </w:t>
      </w:r>
      <w:r>
        <w:rPr>
          <w:b w:val="0"/>
        </w:rPr>
        <w:t>eurų</w:t>
      </w:r>
      <w:r>
        <w:rPr>
          <w:b w:val="0"/>
          <w:bCs w:val="0"/>
          <w:sz w:val="24"/>
        </w:rPr>
        <w:t xml:space="preserve">, tai 22 000 </w:t>
      </w:r>
      <w:r>
        <w:rPr>
          <w:b w:val="0"/>
        </w:rPr>
        <w:t>eurų</w:t>
      </w:r>
      <w:r>
        <w:rPr>
          <w:b w:val="0"/>
          <w:bCs w:val="0"/>
          <w:sz w:val="24"/>
        </w:rPr>
        <w:t xml:space="preserve"> (40 000 – 18 000) draudimo išmokos dalį, viršijančią iš pajamų atskaitytas draudimo įmokas, vienetas turėtų priskirti neapmokestinamosioms pajamoms, o dalį gautos sumos, lygios</w:t>
      </w:r>
      <w:r>
        <w:rPr>
          <w:bCs w:val="0"/>
          <w:sz w:val="24"/>
        </w:rPr>
        <w:t xml:space="preserve"> </w:t>
      </w:r>
      <w:r>
        <w:rPr>
          <w:b w:val="0"/>
          <w:bCs w:val="0"/>
          <w:sz w:val="24"/>
        </w:rPr>
        <w:t>leidžiamiems atskaitymams priskirtų</w:t>
      </w:r>
      <w:r>
        <w:rPr>
          <w:b w:val="0"/>
          <w:bCs w:val="0"/>
          <w:color w:val="FF0000"/>
          <w:sz w:val="24"/>
        </w:rPr>
        <w:t xml:space="preserve"> </w:t>
      </w:r>
      <w:r>
        <w:rPr>
          <w:b w:val="0"/>
          <w:bCs w:val="0"/>
          <w:sz w:val="24"/>
        </w:rPr>
        <w:t>draudimo įmokų sumai (18 000</w:t>
      </w:r>
      <w:r>
        <w:rPr>
          <w:b w:val="0"/>
        </w:rPr>
        <w:t xml:space="preserve"> eurų</w:t>
      </w:r>
      <w:r>
        <w:rPr>
          <w:b w:val="0"/>
          <w:bCs w:val="0"/>
          <w:sz w:val="24"/>
        </w:rPr>
        <w:t>), apmokestinamosioms pajamoms. Be to, neapmokestinamosioms pajamoms jis galėtų priskirti 3 000</w:t>
      </w:r>
      <w:r>
        <w:rPr>
          <w:b w:val="0"/>
        </w:rPr>
        <w:t xml:space="preserve"> eurų</w:t>
      </w:r>
      <w:r>
        <w:rPr>
          <w:b w:val="0"/>
          <w:bCs w:val="0"/>
          <w:sz w:val="24"/>
        </w:rPr>
        <w:t xml:space="preserve"> investicinių pajamų, gautų investuojant draudimo įmokas (šios investicinės pajamos laikomos draudimo išmokos dalimi).</w:t>
      </w:r>
    </w:p>
    <w:p w14:paraId="71FE779E" w14:textId="77777777" w:rsidR="00093845" w:rsidRDefault="000D779E">
      <w:pPr>
        <w:spacing w:before="100" w:beforeAutospacing="1" w:after="100" w:afterAutospacing="1"/>
        <w:jc w:val="both"/>
        <w:rPr>
          <w:color w:val="000000"/>
          <w:lang w:val="lt-LT"/>
        </w:rPr>
      </w:pPr>
      <w:r>
        <w:rPr>
          <w:color w:val="000000"/>
          <w:lang w:val="lt-LT"/>
        </w:rPr>
        <w:t xml:space="preserve">           (Pagal VMI prie FM 2018-09-14 raštą Nr. (18.32-31-1E) RM-32321)</w:t>
      </w:r>
    </w:p>
    <w:p w14:paraId="4A3FE83A"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3)</w:t>
      </w:r>
      <w:r>
        <w:rPr>
          <w:b/>
          <w:color w:val="000000"/>
          <w:lang w:val="lt-LT"/>
        </w:rPr>
        <w:tab/>
        <w:t>bankrutavusio vieneto pajamos, gautos už parduotą turtą;</w:t>
      </w:r>
    </w:p>
    <w:p w14:paraId="10BCCE6B"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36478E14"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 xml:space="preserve">Įmonių bankroto procesą reglamentuoja Lietuvos Respublikos </w:t>
      </w:r>
      <w:r w:rsidR="00D0500F" w:rsidRPr="005E291D">
        <w:rPr>
          <w:rStyle w:val="Hipersaitas"/>
          <w:rFonts w:ascii="Times New Roman" w:hAnsi="Times New Roman"/>
          <w:b w:val="0"/>
          <w:bCs w:val="0"/>
          <w:kern w:val="0"/>
          <w:lang w:val="lt-LT"/>
        </w:rPr>
        <w:t>įmonių bankroto įstatymas</w:t>
      </w:r>
      <w:r w:rsidRPr="005E291D">
        <w:rPr>
          <w:rFonts w:ascii="Times New Roman" w:hAnsi="Times New Roman"/>
          <w:lang w:val="lt-LT"/>
        </w:rPr>
        <w:t xml:space="preserve">. </w:t>
      </w:r>
      <w:r>
        <w:rPr>
          <w:rFonts w:ascii="Times New Roman" w:hAnsi="Times New Roman"/>
          <w:lang w:val="lt-LT"/>
        </w:rPr>
        <w:t xml:space="preserve">Pagal šio įstatymo nuostatas bankrutavusi įmonė – tai teismo (o kai bankroto procesas vyksta ne teismo tvarka, - kreditorių susirinkimo) pripažinta bankrutavusia ir dėl to likviduojama įmonė. Bankrutavusių įmonių turtas parduodamas šiame įstatyme nustatyta tvarka. </w:t>
      </w:r>
    </w:p>
    <w:p w14:paraId="7222595F" w14:textId="77777777" w:rsidR="00093845" w:rsidRDefault="000D779E">
      <w:pPr>
        <w:tabs>
          <w:tab w:val="left" w:pos="720"/>
          <w:tab w:val="left" w:pos="1077"/>
          <w:tab w:val="left" w:pos="1418"/>
        </w:tabs>
        <w:ind w:firstLine="720"/>
        <w:jc w:val="both"/>
        <w:rPr>
          <w:szCs w:val="20"/>
          <w:lang w:val="lt-LT"/>
        </w:rPr>
      </w:pPr>
      <w:r>
        <w:rPr>
          <w:lang w:val="lt-LT"/>
        </w:rPr>
        <w:t xml:space="preserve">Jeigu bankrutuojantis vienetas teismo sprendimu (neteisminio proceso atveju – kreditorių susirinkimo nutarimu) pripažįstamas bankrutavusiu, tai jo pajamos (po vieneto paskelbimo </w:t>
      </w:r>
      <w:r>
        <w:rPr>
          <w:lang w:val="lt-LT"/>
        </w:rPr>
        <w:lastRenderedPageBreak/>
        <w:t xml:space="preserve">bankrutavusiu), gautos už parduotą turtą, priskiriamos neapmokestinamosioms pajamoms. Bankrutuojantiems vienetams šio punkto nuostata netaikoma. </w:t>
      </w:r>
    </w:p>
    <w:p w14:paraId="2ACB95FD"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4)</w:t>
      </w:r>
      <w:r>
        <w:rPr>
          <w:b/>
          <w:color w:val="000000"/>
          <w:lang w:val="lt-LT"/>
        </w:rPr>
        <w:tab/>
        <w:t>draudimo įmonės organizacinio fondo likutis Lietuvos Respublikos draudimo įstatymo nustatyta tvarka;</w:t>
      </w:r>
    </w:p>
    <w:p w14:paraId="5F45C3C7"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1274A454" w14:textId="77777777" w:rsidR="00093845" w:rsidRDefault="000D779E">
      <w:pPr>
        <w:tabs>
          <w:tab w:val="left" w:pos="720"/>
          <w:tab w:val="left" w:pos="1077"/>
          <w:tab w:val="left" w:pos="1418"/>
        </w:tabs>
        <w:jc w:val="both"/>
        <w:rPr>
          <w:color w:val="000000"/>
          <w:szCs w:val="20"/>
          <w:lang w:val="lt-LT"/>
        </w:rPr>
      </w:pPr>
      <w:r>
        <w:rPr>
          <w:color w:val="000000"/>
          <w:lang w:val="lt-LT"/>
        </w:rPr>
        <w:tab/>
        <w:t xml:space="preserve">Pagal Lietuvos Respublikos </w:t>
      </w:r>
      <w:r w:rsidR="00D0500F" w:rsidRPr="005E291D">
        <w:rPr>
          <w:rStyle w:val="Hipersaitas"/>
          <w:rFonts w:ascii="Times New Roman" w:hAnsi="Times New Roman" w:cs="Times New Roman"/>
          <w:b w:val="0"/>
          <w:bCs w:val="0"/>
          <w:kern w:val="0"/>
          <w:lang w:val="lt-LT"/>
        </w:rPr>
        <w:t>draudimo įstatymo</w:t>
      </w:r>
      <w:r w:rsidRPr="005E291D">
        <w:rPr>
          <w:lang w:val="lt-LT"/>
        </w:rPr>
        <w:t xml:space="preserve">  </w:t>
      </w:r>
      <w:r>
        <w:rPr>
          <w:color w:val="000000"/>
          <w:lang w:val="lt-LT"/>
        </w:rPr>
        <w:t xml:space="preserve">30 straipsnio nuostatas draudimo įmonės </w:t>
      </w:r>
      <w:r>
        <w:rPr>
          <w:lang w:val="lt-LT"/>
        </w:rPr>
        <w:t>steigėjai, į draudimo įmonę reorganizuojamas juridinis asmuo (asmenys) ar keičiantis veiklą į draudimo įmonės veiklą juridinis asmuo privalo sudaryti organizacinį pinigų fondą, skirtą į draudimo įmonės steigimo, reorganizavimo</w:t>
      </w:r>
      <w:hyperlink r:id="rId62" w:anchor="659z" w:history="1">
        <w:r>
          <w:rPr>
            <w:lang w:val="lt-LT"/>
          </w:rPr>
          <w:t xml:space="preserve"> į draudimo </w:t>
        </w:r>
      </w:hyperlink>
      <w:r>
        <w:rPr>
          <w:lang w:val="lt-LT"/>
        </w:rPr>
        <w:t>įmonę ar veiklos rūšies keitimo išlaidoms padengti. Draudimo įmonei įsiregistravus, nepanaudotas o</w:t>
      </w:r>
      <w:r>
        <w:rPr>
          <w:color w:val="000000"/>
          <w:lang w:val="lt-LT"/>
        </w:rPr>
        <w:t>rganizacinio fondo likutis priskiriamas draudimo įmonės neapmokestinamosioms pajamoms.</w:t>
      </w:r>
    </w:p>
    <w:p w14:paraId="1FD0E7BC" w14:textId="77777777" w:rsidR="00093845" w:rsidRDefault="000D779E">
      <w:pPr>
        <w:pStyle w:val="Pagrindiniotekstotrauka2"/>
        <w:tabs>
          <w:tab w:val="left" w:pos="720"/>
          <w:tab w:val="left" w:pos="1077"/>
          <w:tab w:val="left" w:pos="1418"/>
        </w:tabs>
        <w:spacing w:line="240" w:lineRule="auto"/>
        <w:ind w:firstLine="0"/>
        <w:rPr>
          <w:b w:val="0"/>
          <w:bCs w:val="0"/>
          <w:color w:val="000000"/>
          <w:szCs w:val="22"/>
        </w:rPr>
      </w:pPr>
      <w:r>
        <w:rPr>
          <w:b w:val="0"/>
          <w:bCs w:val="0"/>
          <w:color w:val="000000"/>
          <w:szCs w:val="22"/>
        </w:rPr>
        <w:t xml:space="preserve">       </w:t>
      </w:r>
      <w:r w:rsidR="00E079AB">
        <w:rPr>
          <w:b w:val="0"/>
          <w:bCs w:val="0"/>
          <w:color w:val="000000"/>
          <w:szCs w:val="22"/>
        </w:rPr>
        <w:t xml:space="preserve">     (P</w:t>
      </w:r>
      <w:r>
        <w:rPr>
          <w:b w:val="0"/>
          <w:bCs w:val="0"/>
          <w:color w:val="000000"/>
          <w:szCs w:val="22"/>
        </w:rPr>
        <w:t xml:space="preserve">agal VMI prie FM 2006-01-09 raštą Nr. </w:t>
      </w:r>
      <w:r>
        <w:rPr>
          <w:b w:val="0"/>
          <w:bCs w:val="0"/>
        </w:rPr>
        <w:t>(18.10-31-1)-R-207)</w:t>
      </w:r>
    </w:p>
    <w:p w14:paraId="2C56DA22" w14:textId="77777777" w:rsidR="00C0571A" w:rsidRDefault="00C0571A" w:rsidP="00C0571A">
      <w:pPr>
        <w:tabs>
          <w:tab w:val="left" w:pos="9638"/>
        </w:tabs>
        <w:jc w:val="both"/>
        <w:rPr>
          <w:b/>
          <w:color w:val="000000" w:themeColor="text1"/>
          <w:lang w:val="lt-LT" w:eastAsia="lt-LT"/>
        </w:rPr>
      </w:pPr>
      <w:r>
        <w:rPr>
          <w:b/>
          <w:lang w:val="lt-LT"/>
        </w:rPr>
        <w:t xml:space="preserve">              </w:t>
      </w:r>
      <w:r w:rsidR="000D779E" w:rsidRPr="0065344A">
        <w:rPr>
          <w:b/>
          <w:lang w:val="lt-LT"/>
        </w:rPr>
        <w:t xml:space="preserve">5) </w:t>
      </w:r>
      <w:r w:rsidRPr="00085CAE">
        <w:rPr>
          <w:b/>
          <w:color w:val="000000" w:themeColor="text1"/>
          <w:lang w:val="lt-LT" w:eastAsia="lt-LT"/>
        </w:rPr>
        <w:t>kolektyvinio investavimo subjektų, 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w:t>
      </w:r>
    </w:p>
    <w:p w14:paraId="1AFB2518" w14:textId="77777777" w:rsidR="00093845" w:rsidRPr="00C0571A" w:rsidRDefault="00C0571A" w:rsidP="00C0571A">
      <w:pPr>
        <w:tabs>
          <w:tab w:val="left" w:pos="9638"/>
        </w:tabs>
        <w:jc w:val="both"/>
        <w:rPr>
          <w:b/>
          <w:color w:val="000000" w:themeColor="text1"/>
          <w:lang w:val="lt-LT" w:eastAsia="lt-LT"/>
        </w:rPr>
      </w:pPr>
      <w:r>
        <w:rPr>
          <w:iCs/>
          <w:lang w:eastAsia="lt-LT"/>
        </w:rPr>
        <w:t xml:space="preserve">            </w:t>
      </w:r>
      <w:r w:rsidRPr="00085CAE">
        <w:rPr>
          <w:iCs/>
          <w:lang w:eastAsia="lt-LT"/>
        </w:rPr>
        <w:t>(2017 m. gruodžio 7 d. įstatymo Nr. XIII-842 redakcija; taikoma apskaičiuojant 2018 metais prasidėjusio ir vėlesnių mokestinių laikotarpių apmokestinamąjį pelną).</w:t>
      </w:r>
    </w:p>
    <w:p w14:paraId="2FCABBEC" w14:textId="77777777" w:rsidR="00093845" w:rsidRDefault="000D779E">
      <w:pPr>
        <w:tabs>
          <w:tab w:val="left" w:pos="720"/>
          <w:tab w:val="left" w:pos="1077"/>
          <w:tab w:val="left" w:pos="1418"/>
        </w:tabs>
        <w:ind w:firstLine="720"/>
        <w:jc w:val="both"/>
        <w:rPr>
          <w:b/>
          <w:color w:val="000000"/>
          <w:lang w:val="lt-LT"/>
        </w:rPr>
      </w:pPr>
      <w:bookmarkStart w:id="217" w:name="pn1_270"/>
      <w:bookmarkEnd w:id="217"/>
      <w:r>
        <w:rPr>
          <w:b/>
          <w:color w:val="000000"/>
          <w:lang w:val="lt-LT"/>
        </w:rPr>
        <w:t>Komentaras</w:t>
      </w:r>
    </w:p>
    <w:p w14:paraId="0F981B0A" w14:textId="77777777" w:rsidR="00C0571A" w:rsidRPr="00085CAE" w:rsidRDefault="00C0571A" w:rsidP="00C0571A">
      <w:pPr>
        <w:tabs>
          <w:tab w:val="left" w:pos="993"/>
        </w:tabs>
        <w:jc w:val="both"/>
        <w:rPr>
          <w:iCs/>
          <w:lang w:val="lt-LT" w:eastAsia="lt-LT"/>
        </w:rPr>
      </w:pPr>
      <w:r w:rsidRPr="00085CAE">
        <w:rPr>
          <w:bCs/>
          <w:iCs/>
          <w:lang w:val="lt-LT" w:eastAsia="lt-LT"/>
        </w:rPr>
        <w:t xml:space="preserve">1.   Pagal komentuojamojo punkto nuostatas, </w:t>
      </w:r>
      <w:r w:rsidRPr="00085CAE">
        <w:rPr>
          <w:iCs/>
          <w:lang w:val="lt-LT" w:eastAsia="lt-LT"/>
        </w:rPr>
        <w:t>neapmokestinamosioms pajamoms priskiriamos PMĮ 2 straipsnio 15</w:t>
      </w:r>
      <w:r w:rsidRPr="00085CAE">
        <w:rPr>
          <w:iCs/>
          <w:vertAlign w:val="superscript"/>
          <w:lang w:val="lt-LT" w:eastAsia="lt-LT"/>
        </w:rPr>
        <w:t>1</w:t>
      </w:r>
      <w:r w:rsidRPr="00085CAE">
        <w:rPr>
          <w:iCs/>
          <w:lang w:val="lt-LT" w:eastAsia="lt-LT"/>
        </w:rPr>
        <w:t xml:space="preserve"> dalyje (žr. nurodytų PMĮ dalių  komentarus) nustatytus reikalavimus atitinkančių KIS ir PM</w:t>
      </w:r>
      <w:r>
        <w:rPr>
          <w:iCs/>
          <w:lang w:val="lt-LT" w:eastAsia="lt-LT"/>
        </w:rPr>
        <w:t>Į</w:t>
      </w:r>
      <w:r w:rsidRPr="00085CAE">
        <w:rPr>
          <w:iCs/>
          <w:lang w:val="lt-LT" w:eastAsia="lt-LT"/>
        </w:rPr>
        <w:t xml:space="preserve"> 2 straipsnio 30</w:t>
      </w:r>
      <w:r w:rsidRPr="00085CAE">
        <w:rPr>
          <w:iCs/>
          <w:vertAlign w:val="superscript"/>
          <w:lang w:val="lt-LT" w:eastAsia="lt-LT"/>
        </w:rPr>
        <w:t>1</w:t>
      </w:r>
      <w:r w:rsidRPr="00085CAE">
        <w:rPr>
          <w:iCs/>
          <w:lang w:val="lt-LT" w:eastAsia="lt-LT"/>
        </w:rPr>
        <w:t xml:space="preserve"> dalyje (žr. nurodytų PMĮ dalių  komentarus) nustatytus reikalavimus atitinkančių RPKS visos gaunamos pajamos, įskaitant dividendus ir kitą paskirstytąjį pelną. Tačiau, jei KIS </w:t>
      </w:r>
      <w:r>
        <w:rPr>
          <w:iCs/>
          <w:lang w:val="lt-LT" w:eastAsia="lt-LT"/>
        </w:rPr>
        <w:t>ir</w:t>
      </w:r>
      <w:r w:rsidRPr="005B1B35">
        <w:t xml:space="preserve"> </w:t>
      </w:r>
      <w:r w:rsidRPr="005B1B35">
        <w:rPr>
          <w:iCs/>
          <w:lang w:val="lt-LT" w:eastAsia="lt-LT"/>
        </w:rPr>
        <w:t>RPKS</w:t>
      </w:r>
      <w:r>
        <w:rPr>
          <w:iCs/>
          <w:lang w:val="lt-LT" w:eastAsia="lt-LT"/>
        </w:rPr>
        <w:t xml:space="preserve"> </w:t>
      </w:r>
      <w:r w:rsidRPr="00085CAE">
        <w:rPr>
          <w:iCs/>
          <w:lang w:val="lt-LT" w:eastAsia="lt-LT"/>
        </w:rPr>
        <w:t>pajamos buvo gautos iš investicijų į tikslines teritorijas, tokių teritorijų gyventojų ar tose teritorijose registruotų užsienio vienetų, tai lengvata nėra taikoma ir visos tokios pajamos yra apmokestinamos.</w:t>
      </w:r>
    </w:p>
    <w:p w14:paraId="5951FAFD" w14:textId="77777777" w:rsidR="00C0571A" w:rsidRPr="00085CAE" w:rsidRDefault="00C0571A" w:rsidP="00C0571A">
      <w:pPr>
        <w:tabs>
          <w:tab w:val="left" w:pos="9638"/>
        </w:tabs>
        <w:jc w:val="both"/>
        <w:outlineLvl w:val="0"/>
        <w:rPr>
          <w:bCs/>
          <w:iCs/>
          <w:lang w:val="lt-LT" w:eastAsia="lt-LT"/>
        </w:rPr>
      </w:pPr>
      <w:r>
        <w:rPr>
          <w:bCs/>
          <w:iCs/>
          <w:lang w:val="lt-LT" w:eastAsia="lt-LT"/>
        </w:rPr>
        <w:t xml:space="preserve"> </w:t>
      </w:r>
      <w:r w:rsidRPr="00085CAE">
        <w:rPr>
          <w:bCs/>
          <w:iCs/>
          <w:lang w:val="lt-LT" w:eastAsia="lt-LT"/>
        </w:rPr>
        <w:t xml:space="preserve">Pavyzdys  </w:t>
      </w:r>
    </w:p>
    <w:tbl>
      <w:tblPr>
        <w:tblStyle w:val="Lentelstinklelis"/>
        <w:tblW w:w="0" w:type="auto"/>
        <w:tblLook w:val="04A0" w:firstRow="1" w:lastRow="0" w:firstColumn="1" w:lastColumn="0" w:noHBand="0" w:noVBand="1"/>
      </w:tblPr>
      <w:tblGrid>
        <w:gridCol w:w="9628"/>
      </w:tblGrid>
      <w:tr w:rsidR="00C0571A" w:rsidRPr="0087335D" w14:paraId="3589953F" w14:textId="77777777" w:rsidTr="001E0C26">
        <w:trPr>
          <w:trHeight w:val="832"/>
        </w:trPr>
        <w:tc>
          <w:tcPr>
            <w:tcW w:w="9628" w:type="dxa"/>
          </w:tcPr>
          <w:p w14:paraId="3916AA21" w14:textId="77777777" w:rsidR="00C0571A" w:rsidRPr="00085CAE" w:rsidRDefault="00C0571A" w:rsidP="001E0C26">
            <w:pPr>
              <w:tabs>
                <w:tab w:val="left" w:pos="9638"/>
              </w:tabs>
              <w:jc w:val="both"/>
              <w:rPr>
                <w:bCs/>
                <w:iCs/>
                <w:lang w:val="lt-LT" w:eastAsia="lt-LT"/>
              </w:rPr>
            </w:pPr>
            <w:r w:rsidRPr="00085CAE">
              <w:rPr>
                <w:bCs/>
                <w:iCs/>
                <w:lang w:val="lt-LT" w:eastAsia="lt-LT"/>
              </w:rPr>
              <w:t xml:space="preserve">Jei Lietuvos KIS iš Liuksemburge įsteigto fondo (pranc. </w:t>
            </w:r>
            <w:r w:rsidRPr="00085CAE">
              <w:rPr>
                <w:bCs/>
                <w:i/>
                <w:iCs/>
                <w:lang w:val="lt-LT" w:eastAsia="lt-LT"/>
              </w:rPr>
              <w:t>société commandite spéciale)</w:t>
            </w:r>
            <w:r w:rsidRPr="00085CAE">
              <w:rPr>
                <w:bCs/>
                <w:iCs/>
                <w:lang w:val="lt-LT" w:eastAsia="lt-LT"/>
              </w:rPr>
              <w:t xml:space="preserve"> – toliau – Fondas)), kuris yra apmokestinamasis asmuo Liuksemburge ir yra reguliuojamas (prižiūrimas) kompetentingų institucijų, gavo pajamų iš akcijų Fonde turėjimo, Fondui perleidus jo valdomų bendrovių akcijas, arba jeigu Lietuvos KIS, būdamas Fondo nariu, nusprendė pasitraukti iš Fondo ir pats perleido visas savo turėtas teises į Fondo dalį naujam investuotojui arba Fondui, abiem nurodytais atvejais tokios turto vertės padidėjimo pajamos pelno mokesčio tikslais būtų priskiriamos neapmokestinamosioms pajamoms. Lietuvos KIS, apskaičiuodamas turto vertės padidėjimo pajamas, uždirbtas Fondui perleidus, pvz., jo valdomų bendrovių akcijas, iš jam tenkančių tokių akcijų perleidimo pajamų PMĮ 16 straipsnyje nustatyta tvarka galėtų atimti dokumentais</w:t>
            </w:r>
            <w:r>
              <w:rPr>
                <w:bCs/>
                <w:iCs/>
                <w:lang w:val="lt-LT" w:eastAsia="lt-LT"/>
              </w:rPr>
              <w:t>,</w:t>
            </w:r>
            <w:r>
              <w:t xml:space="preserve"> </w:t>
            </w:r>
            <w:r w:rsidRPr="0027609B">
              <w:rPr>
                <w:lang w:val="lt-LT"/>
              </w:rPr>
              <w:t>kurie turi finansinę apskaitą reglamentuojančių teisės aktų nustatytą privalomą finansinės apskaitos dokumentų informaciją</w:t>
            </w:r>
            <w:r>
              <w:rPr>
                <w:bCs/>
                <w:iCs/>
                <w:lang w:val="lt-LT" w:eastAsia="lt-LT"/>
              </w:rPr>
              <w:t>,</w:t>
            </w:r>
            <w:r w:rsidRPr="00085CAE">
              <w:rPr>
                <w:bCs/>
                <w:iCs/>
                <w:lang w:val="lt-LT" w:eastAsia="lt-LT"/>
              </w:rPr>
              <w:t xml:space="preserve"> pagrįstą Lietuvos vieneto daliai tenkančių perleidžiamų akcijų įsigijimo kainą. </w:t>
            </w:r>
          </w:p>
        </w:tc>
      </w:tr>
    </w:tbl>
    <w:p w14:paraId="7A2F62E2" w14:textId="77777777" w:rsidR="00C0571A" w:rsidRPr="00085CAE" w:rsidRDefault="00C0571A" w:rsidP="00C0571A">
      <w:pPr>
        <w:pStyle w:val="Sraopastraipa"/>
        <w:jc w:val="both"/>
        <w:rPr>
          <w:color w:val="000000"/>
        </w:rPr>
      </w:pPr>
    </w:p>
    <w:p w14:paraId="06F15F82" w14:textId="77777777" w:rsidR="00DA5109" w:rsidRPr="00DA5109" w:rsidRDefault="00C0571A" w:rsidP="00927E61">
      <w:pPr>
        <w:pStyle w:val="Sraopastraipa"/>
        <w:numPr>
          <w:ilvl w:val="0"/>
          <w:numId w:val="72"/>
        </w:numPr>
        <w:tabs>
          <w:tab w:val="left" w:pos="993"/>
        </w:tabs>
        <w:spacing w:after="0" w:line="240" w:lineRule="auto"/>
        <w:ind w:left="0" w:firstLine="709"/>
        <w:jc w:val="both"/>
        <w:rPr>
          <w:rFonts w:ascii="Trebuchet MS" w:eastAsia="MS Mincho" w:hAnsi="Trebuchet MS"/>
          <w:noProof/>
          <w:lang w:eastAsia="ja-JP"/>
        </w:rPr>
      </w:pPr>
      <w:r w:rsidRPr="00085CAE">
        <w:rPr>
          <w:color w:val="000000"/>
        </w:rPr>
        <w:t xml:space="preserve">KIS ir RPKS neapmokestinamosioms pajamoms, neatsižvelgiant į KIS ir RPKS rūšį, priskiriamos visos gaunamos pajamos, išskyrus iš investicijų į tikslines teritorijas gautas pajamas. KIS ir RPKS pajamoms gali būti priskiriamos bendrovių akcijų, </w:t>
      </w:r>
      <w:r w:rsidRPr="00085CAE">
        <w:rPr>
          <w:color w:val="000000" w:themeColor="text1"/>
        </w:rPr>
        <w:t xml:space="preserve">kitų KIS investicinių </w:t>
      </w:r>
      <w:r w:rsidRPr="00085CAE">
        <w:rPr>
          <w:color w:val="000000"/>
        </w:rPr>
        <w:t xml:space="preserve">vienetų ir akcijų, depozitoriumo išduotų akcijų pakvitavimų perleidimo pajamos, palūkanos už indėlius, obligacijas, </w:t>
      </w:r>
      <w:r w:rsidRPr="00085CAE">
        <w:rPr>
          <w:color w:val="000000"/>
        </w:rPr>
        <w:lastRenderedPageBreak/>
        <w:t>pajamos iš investicijų į pinigų rinkos priemones (iždo vekselius, indėlio sertifikatus ir kt.) bei į išvestines finansines priemones,</w:t>
      </w:r>
      <w:r w:rsidRPr="00085CAE">
        <w:rPr>
          <w:rFonts w:eastAsiaTheme="minorHAnsi"/>
          <w:color w:val="000000"/>
          <w:lang w:eastAsia="en-GB"/>
        </w:rPr>
        <w:t xml:space="preserve"> </w:t>
      </w:r>
      <w:r w:rsidRPr="00085CAE">
        <w:rPr>
          <w:color w:val="000000"/>
        </w:rPr>
        <w:t>įskaitant paskirstytąjį pelną ir gautus dividendus</w:t>
      </w:r>
      <w:r w:rsidRPr="00085CAE">
        <w:t xml:space="preserve"> ir kt., o nekilnojamojo turto investuotojams - taip pat ir pajamos iš investicijų į nekilnojamąjį turtą.</w:t>
      </w:r>
    </w:p>
    <w:p w14:paraId="74E9A4D0" w14:textId="77777777" w:rsidR="00DA5109" w:rsidRDefault="00DA5109" w:rsidP="00DA5109">
      <w:pPr>
        <w:spacing w:after="0"/>
        <w:rPr>
          <w:iCs/>
          <w:lang w:eastAsia="lt-LT"/>
        </w:rPr>
      </w:pPr>
    </w:p>
    <w:p w14:paraId="4264AE4F" w14:textId="77777777" w:rsidR="00093845" w:rsidRDefault="00DA5109" w:rsidP="00DA5109">
      <w:pPr>
        <w:spacing w:after="0"/>
        <w:rPr>
          <w:iCs/>
          <w:lang w:eastAsia="lt-LT"/>
        </w:rPr>
      </w:pPr>
      <w:r w:rsidRPr="00DA5109">
        <w:rPr>
          <w:iCs/>
          <w:lang w:eastAsia="lt-LT"/>
        </w:rPr>
        <w:t>(PMĮ 12  straipsnio 5 punkto komentaras parengtas pagal VMI prie FM 2024-05-06 raštą Nr. (18.32-31-1 Mr)-R-1685)</w:t>
      </w:r>
    </w:p>
    <w:p w14:paraId="2B7FD229" w14:textId="77777777" w:rsidR="00163B7C" w:rsidRDefault="00163B7C" w:rsidP="00DA5109">
      <w:pPr>
        <w:spacing w:after="0"/>
        <w:rPr>
          <w:iCs/>
          <w:lang w:eastAsia="lt-LT"/>
        </w:rPr>
      </w:pPr>
    </w:p>
    <w:p w14:paraId="61AE30FB" w14:textId="77777777" w:rsidR="00163B7C" w:rsidRPr="00163B7C" w:rsidRDefault="0093402D" w:rsidP="00163B7C">
      <w:pPr>
        <w:spacing w:line="254" w:lineRule="auto"/>
        <w:ind w:firstLine="567"/>
        <w:jc w:val="both"/>
        <w:rPr>
          <w:b/>
        </w:rPr>
      </w:pPr>
      <w:r>
        <w:rPr>
          <w:b/>
        </w:rPr>
        <w:t xml:space="preserve">  </w:t>
      </w:r>
      <w:r w:rsidR="00163B7C" w:rsidRPr="005C1F1C">
        <w:rPr>
          <w:b/>
        </w:rPr>
        <w:t>6) NETEKO GALIOS:</w:t>
      </w:r>
      <w:r w:rsidR="00163B7C">
        <w:rPr>
          <w:b/>
        </w:rPr>
        <w:t xml:space="preserve"> </w:t>
      </w:r>
      <w:r w:rsidR="00163B7C" w:rsidRPr="005C1F1C">
        <w:rPr>
          <w:b/>
        </w:rPr>
        <w:t>2024 06 20 įstatymu Nr. XIV-2774 (nuo 2025 01 01)</w:t>
      </w:r>
    </w:p>
    <w:p w14:paraId="7299EEF6" w14:textId="77777777" w:rsidR="00DA5109" w:rsidRPr="00DA5109" w:rsidRDefault="00DA5109" w:rsidP="00DA5109">
      <w:pPr>
        <w:spacing w:after="0"/>
        <w:rPr>
          <w:rFonts w:ascii="Trebuchet MS" w:hAnsi="Trebuchet MS"/>
          <w:sz w:val="20"/>
          <w:szCs w:val="22"/>
          <w:lang w:val="lt-LT"/>
        </w:rPr>
      </w:pPr>
    </w:p>
    <w:p w14:paraId="16715525" w14:textId="77777777" w:rsidR="004A7ADF" w:rsidRPr="008E4DF8" w:rsidRDefault="004A7ADF" w:rsidP="004A7ADF">
      <w:pPr>
        <w:pStyle w:val="Pagrindiniotekstotrauka3"/>
        <w:spacing w:after="0"/>
        <w:rPr>
          <w:b/>
          <w:bCs/>
        </w:rPr>
      </w:pPr>
      <w:r w:rsidRPr="008E4DF8">
        <w:rPr>
          <w:b/>
          <w:bCs/>
        </w:rPr>
        <w:t>7) pajamos dėl turto ir įsipareigojimų, išskyrus išvestinių finansinių priemonių, įsigytų rizikai drausti, perkainojimo, atlikto teisės aktų nustatyta tvarka;</w:t>
      </w:r>
    </w:p>
    <w:p w14:paraId="14DC36FF" w14:textId="77777777" w:rsidR="004A7ADF" w:rsidRPr="008E4DF8" w:rsidRDefault="004A7ADF" w:rsidP="004A7ADF">
      <w:pPr>
        <w:ind w:firstLine="720"/>
        <w:jc w:val="both"/>
        <w:rPr>
          <w:b/>
          <w:bCs/>
          <w:lang w:val="lt-LT"/>
        </w:rPr>
      </w:pPr>
    </w:p>
    <w:p w14:paraId="5F36A436" w14:textId="77777777" w:rsidR="004A7ADF" w:rsidRDefault="004A7ADF" w:rsidP="004A7ADF">
      <w:pPr>
        <w:ind w:firstLine="720"/>
        <w:jc w:val="both"/>
        <w:rPr>
          <w:b/>
          <w:bCs/>
          <w:lang w:val="lt-LT"/>
        </w:rPr>
      </w:pPr>
      <w:r w:rsidRPr="008E4DF8">
        <w:rPr>
          <w:b/>
          <w:bCs/>
          <w:lang w:val="lt-LT"/>
        </w:rPr>
        <w:t>Komentaras</w:t>
      </w:r>
    </w:p>
    <w:p w14:paraId="4E4681B6" w14:textId="77777777" w:rsidR="004A7ADF" w:rsidRPr="008E4DF8" w:rsidRDefault="004A7ADF" w:rsidP="004A7ADF">
      <w:pPr>
        <w:tabs>
          <w:tab w:val="left" w:pos="720"/>
          <w:tab w:val="left" w:pos="1077"/>
          <w:tab w:val="left" w:pos="1418"/>
        </w:tabs>
        <w:jc w:val="both"/>
        <w:rPr>
          <w:color w:val="000000"/>
          <w:lang w:val="lt-LT"/>
        </w:rPr>
      </w:pPr>
      <w:r w:rsidRPr="008E4DF8">
        <w:rPr>
          <w:lang w:val="lt-LT"/>
        </w:rPr>
        <w:tab/>
        <w:t xml:space="preserve">1. </w:t>
      </w:r>
      <w:r w:rsidRPr="008E4DF8">
        <w:rPr>
          <w:color w:val="000000"/>
          <w:lang w:val="lt-LT"/>
        </w:rPr>
        <w:t xml:space="preserve">Teisės aktų nustatyta tvarka vienetai turi teisę perkainoti turtą ir įsipareigojimus. Jei toks turto ir įsipareigojimų perkainojimas yra atliktas turto perkainojimą reguliuojančių teisės aktų nustatyta tvarka, tai turto ir įsipareigojimų vertės padidėjimas priskiriamas neapmokestinamosioms pajamoms, o sumažėjimas – neleidžiamiems atskaitymams. </w:t>
      </w:r>
    </w:p>
    <w:p w14:paraId="01EAF1A5" w14:textId="77777777" w:rsidR="004A7ADF" w:rsidRPr="008E4DF8" w:rsidRDefault="004A7ADF" w:rsidP="004A7ADF">
      <w:pPr>
        <w:tabs>
          <w:tab w:val="left" w:pos="720"/>
          <w:tab w:val="left" w:pos="1077"/>
          <w:tab w:val="left" w:pos="1418"/>
        </w:tabs>
        <w:jc w:val="both"/>
        <w:rPr>
          <w:color w:val="000000"/>
          <w:lang w:val="lt-LT"/>
        </w:rPr>
      </w:pPr>
      <w:r w:rsidRPr="008E4DF8">
        <w:rPr>
          <w:color w:val="000000"/>
          <w:lang w:val="lt-LT"/>
        </w:rPr>
        <w:tab/>
        <w:t xml:space="preserve">Šio punkto nuostatos netaikomos pajamoms, susidariusioms perskaičiuojant balanse apskaitomus užsienio valiuta denominuotus straipsnius (žr. </w:t>
      </w:r>
      <w:r w:rsidRPr="008E4DF8">
        <w:rPr>
          <w:color w:val="000000"/>
          <w:u w:val="single"/>
          <w:lang w:val="lt-LT"/>
        </w:rPr>
        <w:t>PMĮ 7 straipsnio</w:t>
      </w:r>
      <w:r w:rsidRPr="008E4DF8">
        <w:rPr>
          <w:color w:val="000000"/>
          <w:lang w:val="lt-LT"/>
        </w:rPr>
        <w:t xml:space="preserve"> komentarą). </w:t>
      </w:r>
    </w:p>
    <w:p w14:paraId="2D450835" w14:textId="77777777" w:rsidR="004A7ADF" w:rsidRPr="00D85FFE" w:rsidRDefault="004A7ADF" w:rsidP="004A7ADF">
      <w:pPr>
        <w:tabs>
          <w:tab w:val="left" w:pos="720"/>
          <w:tab w:val="left" w:pos="1077"/>
          <w:tab w:val="left" w:pos="1418"/>
        </w:tabs>
        <w:jc w:val="both"/>
        <w:rPr>
          <w:color w:val="000000"/>
          <w:lang w:val="lt-LT"/>
        </w:rPr>
      </w:pPr>
      <w:r w:rsidRPr="008E4DF8">
        <w:rPr>
          <w:color w:val="000000"/>
          <w:lang w:val="lt-LT"/>
        </w:rPr>
        <w:tab/>
        <w:t>2</w:t>
      </w:r>
      <w:r w:rsidRPr="008E4DF8">
        <w:rPr>
          <w:lang w:val="lt-LT"/>
        </w:rPr>
        <w:t xml:space="preserve">. Lietuvos Respublikos </w:t>
      </w:r>
      <w:r w:rsidRPr="00D85FFE">
        <w:rPr>
          <w:rStyle w:val="Hipersaitas"/>
          <w:lang w:val="lt-LT"/>
        </w:rPr>
        <w:t>turto ir verslo vertinimo pagrindų įstatyme</w:t>
      </w:r>
      <w:r w:rsidRPr="008E4DF8">
        <w:rPr>
          <w:color w:val="000000"/>
          <w:lang w:val="lt-LT"/>
        </w:rPr>
        <w:t xml:space="preserve"> nustatyti turto ir verslo vertinimo principai, vertės nustatymo metodai bei jų taikymas konkrečioms turtinių santykių sritims, turto ir verslo vertinimo būdai, turto ir verslo vertintojų veikos pagrindai, teisės, pareigos bei atsakomybė. Lietuvos </w:t>
      </w:r>
      <w:r w:rsidRPr="00D85FFE">
        <w:rPr>
          <w:color w:val="000000"/>
          <w:lang w:val="lt-LT"/>
        </w:rPr>
        <w:t xml:space="preserve">Respublikos finansų ministro 2012 m. balandžio 27 d. įsakymu Nr. 1K-159 „Dėl turto ir verslo vertinimo metodikos patvirtinimo“ patvirtinta Turto ir verslo vertinimo metodika. </w:t>
      </w:r>
    </w:p>
    <w:p w14:paraId="4C5894C0"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3. Prekybos tikslais naudojamų išvestinių finansinių priemonių perkainojimo (įvertinimo pagal tikrąją vertę), atliekamo teisės aktų nustatyta tvarka, pajamos priskiriamos neapmokestinamosioms pajamoms. </w:t>
      </w:r>
    </w:p>
    <w:p w14:paraId="7D4F5CC4" w14:textId="77777777" w:rsidR="004A7ADF" w:rsidRPr="00D85FFE"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D85FFE">
        <w:rPr>
          <w:rStyle w:val="normal-h"/>
          <w:color w:val="000000"/>
        </w:rPr>
        <w:t xml:space="preserve">Išvestinių finansinių priemonių, naudojamų rizikai drausti, perkainojimo (įvertinimo pagal tikrąją vertę), atliekamo teisės aktų nustatyta tvarka, pajamos priskiriamos apmokestinamosioms pajamoms (žr. PMĮ 7 str. 1 dalies komentarą). </w:t>
      </w:r>
    </w:p>
    <w:p w14:paraId="68A6D54B" w14:textId="77777777" w:rsidR="004A7ADF" w:rsidRDefault="004A7ADF" w:rsidP="004A7ADF">
      <w:pPr>
        <w:pStyle w:val="normal-p"/>
        <w:shd w:val="clear" w:color="auto" w:fill="FFFFFF"/>
        <w:spacing w:before="0" w:beforeAutospacing="0" w:after="0" w:afterAutospacing="0" w:line="300" w:lineRule="atLeast"/>
        <w:ind w:firstLine="851"/>
        <w:jc w:val="both"/>
        <w:rPr>
          <w:rStyle w:val="normal-h"/>
          <w:color w:val="000000"/>
        </w:rPr>
      </w:pPr>
      <w:r w:rsidRPr="008E4DF8">
        <w:rPr>
          <w:rStyle w:val="normal-h"/>
          <w:color w:val="000000"/>
        </w:rPr>
        <w:t>4. Pagal PMĮ 19 str. 3 dalį ilgalaikio turto perkainojimo rezultatų nusidėvėjimas arba amortizacija neskaičiuojami.</w:t>
      </w:r>
    </w:p>
    <w:p w14:paraId="63519575" w14:textId="77777777" w:rsidR="004A7ADF" w:rsidRDefault="004A7ADF" w:rsidP="004A7ADF">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4BDF82F8" w14:textId="77777777" w:rsidR="00093845" w:rsidRDefault="000D779E">
      <w:pPr>
        <w:tabs>
          <w:tab w:val="left" w:pos="720"/>
          <w:tab w:val="left" w:pos="1077"/>
          <w:tab w:val="left" w:pos="1418"/>
        </w:tabs>
        <w:ind w:firstLine="720"/>
        <w:jc w:val="both"/>
        <w:rPr>
          <w:b/>
          <w:color w:val="000000"/>
          <w:lang w:val="lt-LT"/>
        </w:rPr>
      </w:pPr>
      <w:r>
        <w:rPr>
          <w:b/>
          <w:color w:val="000000"/>
          <w:lang w:val="lt-LT"/>
        </w:rPr>
        <w:t>8)</w:t>
      </w:r>
      <w:r>
        <w:rPr>
          <w:b/>
          <w:color w:val="000000"/>
          <w:lang w:val="lt-LT"/>
        </w:rPr>
        <w:tab/>
        <w:t>netesybos, išskyrus netesybas, gautas iš užsienio vienetų, įregistruotų ar kitaip organizuotų tikslinėse teritorijose, ar tų teritorijų gyventojų;</w:t>
      </w:r>
    </w:p>
    <w:p w14:paraId="58B03949" w14:textId="77777777" w:rsidR="00093845" w:rsidRDefault="000D779E">
      <w:pPr>
        <w:tabs>
          <w:tab w:val="left" w:pos="720"/>
          <w:tab w:val="left" w:pos="1077"/>
          <w:tab w:val="left" w:pos="1418"/>
        </w:tabs>
        <w:ind w:firstLine="720"/>
        <w:jc w:val="both"/>
        <w:outlineLvl w:val="0"/>
        <w:rPr>
          <w:b/>
          <w:color w:val="000000"/>
          <w:lang w:val="lt-LT"/>
        </w:rPr>
      </w:pPr>
      <w:r>
        <w:rPr>
          <w:b/>
          <w:color w:val="000000"/>
          <w:lang w:val="lt-LT"/>
        </w:rPr>
        <w:t>Komentaras</w:t>
      </w:r>
    </w:p>
    <w:p w14:paraId="7B929383" w14:textId="77777777" w:rsidR="00093845" w:rsidRDefault="000D779E">
      <w:pPr>
        <w:tabs>
          <w:tab w:val="left" w:pos="720"/>
          <w:tab w:val="left" w:pos="1077"/>
          <w:tab w:val="left" w:pos="1418"/>
        </w:tabs>
        <w:ind w:firstLine="720"/>
        <w:jc w:val="both"/>
        <w:rPr>
          <w:color w:val="000000"/>
          <w:lang w:val="lt-LT"/>
        </w:rPr>
      </w:pPr>
      <w:r>
        <w:rPr>
          <w:color w:val="000000"/>
          <w:lang w:val="lt-LT"/>
        </w:rPr>
        <w:t xml:space="preserve">Netesybos – tai įstatymų, sutarties ar teismo sprendimu nustatyta pinigų suma (bauda, delspinigiai), kurią skolininkas privalo sumokėti kreditoriui, jeigu neįvykdo arba netinkamai įvykdo prievolę. Netesybos yra viena iš prievolių įvykdymo užtikrinimo būdų. Netesybos gali būti nustatomos konkrečia pinigų suma arba užtikrinamosios prievolės sumos procentu. Susitarimas dėl netesybų nustatymo turi būti rašytinis. </w:t>
      </w:r>
    </w:p>
    <w:p w14:paraId="4131FB4E" w14:textId="77777777" w:rsidR="00093845" w:rsidRDefault="000D779E">
      <w:pPr>
        <w:tabs>
          <w:tab w:val="left" w:pos="720"/>
          <w:tab w:val="left" w:pos="1077"/>
          <w:tab w:val="left" w:pos="1418"/>
        </w:tabs>
        <w:ind w:firstLine="720"/>
        <w:jc w:val="both"/>
        <w:rPr>
          <w:color w:val="000000"/>
          <w:lang w:val="lt-LT"/>
        </w:rPr>
      </w:pPr>
      <w:r>
        <w:rPr>
          <w:color w:val="000000"/>
          <w:lang w:val="lt-LT"/>
        </w:rPr>
        <w:t xml:space="preserve">Gautos netesybos (baudos, delspinigiai) priskiriamos vieneto neapmokestinamosioms pajamoms, išskyrus tuos atvejus, kai netesybos gaunamos iš užsienio vienetų, įregistruotų ar kitaip </w:t>
      </w:r>
      <w:r>
        <w:rPr>
          <w:color w:val="000000"/>
          <w:lang w:val="lt-LT"/>
        </w:rPr>
        <w:lastRenderedPageBreak/>
        <w:t>organizuotų tikslinėse teritorijose. Tikslinių teritorijų sąrašas patvirtintas finansų ministro 2001 m. gruodžio 22 d</w:t>
      </w:r>
      <w:r w:rsidRPr="00477AF7">
        <w:rPr>
          <w:lang w:val="lt-LT"/>
        </w:rPr>
        <w:t xml:space="preserve">. </w:t>
      </w:r>
      <w:r w:rsidR="00620E9F" w:rsidRPr="00477AF7">
        <w:rPr>
          <w:rStyle w:val="Hipersaitas"/>
          <w:rFonts w:ascii="Times New Roman" w:hAnsi="Times New Roman" w:cs="Times New Roman"/>
          <w:b w:val="0"/>
          <w:bCs w:val="0"/>
          <w:kern w:val="0"/>
          <w:lang w:val="lt-LT"/>
        </w:rPr>
        <w:t>įsakymu Nr. 344</w:t>
      </w:r>
      <w:r w:rsidRPr="00477AF7">
        <w:rPr>
          <w:lang w:val="lt-LT"/>
        </w:rPr>
        <w:t xml:space="preserve"> </w:t>
      </w:r>
      <w:r>
        <w:rPr>
          <w:color w:val="000000"/>
          <w:lang w:val="lt-LT"/>
        </w:rPr>
        <w:t xml:space="preserve">,,Dėl tikslinių teritorijų sąrašo patvirtinimo“. </w:t>
      </w:r>
    </w:p>
    <w:p w14:paraId="3582BCC6" w14:textId="77777777" w:rsidR="00093845" w:rsidRDefault="000D779E">
      <w:pPr>
        <w:ind w:firstLine="720"/>
        <w:jc w:val="both"/>
        <w:rPr>
          <w:lang w:val="lt-LT"/>
        </w:rPr>
      </w:pPr>
      <w:r>
        <w:rPr>
          <w:lang w:val="lt-LT"/>
        </w:rPr>
        <w:t xml:space="preserve">Netesybomis negali būti laikoma pinigų suma, kurią skolininkas sumoka kreditoriui už ankščiau laiko tinkamai įvykdytą sutartyje nurodytą prievolę. </w:t>
      </w:r>
    </w:p>
    <w:p w14:paraId="7390BECF" w14:textId="77777777" w:rsidR="00093845" w:rsidRDefault="000D779E">
      <w:pPr>
        <w:ind w:firstLine="720"/>
        <w:jc w:val="both"/>
        <w:rPr>
          <w:lang w:val="lt-LT"/>
        </w:rPr>
      </w:pPr>
      <w:r>
        <w:rPr>
          <w:lang w:val="lt-LT"/>
        </w:rPr>
        <w:t>Todėl tuo atveju, kai klientui išduota paskola bankui grąžinama anksčiau laiko ir už ją pagal sutartyje numatytas sąlygas reikia sumokėti tam tikrą mokestį (kuris nėra tiksliai įvertintas, o paskolos sutartyje yra numatyti tik tam tikri jo ribų intervalai ir šis mokestis tik minimaliai kompensuoja banko negautas pajamas), tai toks mokestis nelaikomas netesybomis (nes prievolė (paskolos grąžinimas) yra įvykdyta), o bankui mokama suma savo esme yra laikoma atlygiu už minėtos sutarties nutraukimą.</w:t>
      </w:r>
    </w:p>
    <w:p w14:paraId="12F504F6" w14:textId="77777777" w:rsidR="00093845" w:rsidRDefault="000D779E">
      <w:pPr>
        <w:ind w:firstLine="720"/>
        <w:jc w:val="both"/>
        <w:outlineLvl w:val="0"/>
        <w:rPr>
          <w:lang w:val="lt-LT"/>
        </w:rPr>
      </w:pPr>
      <w:r>
        <w:rPr>
          <w:lang w:val="lt-LT"/>
        </w:rPr>
        <w:t>Pavyzdys</w:t>
      </w:r>
    </w:p>
    <w:tbl>
      <w:tblPr>
        <w:tblW w:w="97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32"/>
      </w:tblGrid>
      <w:tr w:rsidR="00093845" w14:paraId="1AD9D905" w14:textId="77777777">
        <w:tc>
          <w:tcPr>
            <w:tcW w:w="9732" w:type="dxa"/>
          </w:tcPr>
          <w:p w14:paraId="5CCC0B49" w14:textId="77777777" w:rsidR="00093845" w:rsidRDefault="000D779E">
            <w:pPr>
              <w:ind w:firstLine="720"/>
              <w:jc w:val="both"/>
              <w:rPr>
                <w:lang w:val="lt-LT"/>
              </w:rPr>
            </w:pPr>
            <w:r>
              <w:rPr>
                <w:lang w:val="lt-LT"/>
              </w:rPr>
              <w:t>Bankas X fiziniam asmeniui suteikė paskolą 5 metų laikotarpiui. Paskolos sutartyje už paskolos grąžinimą prieš laiką numatytas nustatyto dydžio mokestis (0,5 proc. nuo grąžinamos sumos, bet ne mažiau kaip 300 litų). Praėjus 3 metams nuo paskolos sutarties pasirašymo, fizinis asmuo sugrąžino bankui visą likusią paskolos sumą, 25 000 litų. Bankas X fiziniam asmeniui papildomai apskaičiavo sumokėti 300 litų, kuriais minimaliai kompensuos savo negautas pajamas. Toks mokestis (300 litų) nelaikomas netesybomis, nes iš banko gautas kreditas sugrąžintas. Todėl 300 litų turi būti priskirta banko apmokestinamosioms pajamoms.</w:t>
            </w:r>
          </w:p>
        </w:tc>
      </w:tr>
    </w:tbl>
    <w:p w14:paraId="32676511" w14:textId="77777777" w:rsidR="00093845" w:rsidRDefault="000D779E">
      <w:pPr>
        <w:tabs>
          <w:tab w:val="left" w:pos="720"/>
          <w:tab w:val="left" w:pos="1077"/>
          <w:tab w:val="left" w:pos="1418"/>
        </w:tabs>
        <w:jc w:val="both"/>
        <w:rPr>
          <w:bCs/>
          <w:color w:val="000000"/>
          <w:szCs w:val="20"/>
          <w:lang w:val="lt-LT"/>
        </w:rPr>
      </w:pPr>
      <w:r>
        <w:rPr>
          <w:bCs/>
          <w:color w:val="000000"/>
          <w:szCs w:val="20"/>
          <w:lang w:val="lt-LT"/>
        </w:rPr>
        <w:t xml:space="preserve">        </w:t>
      </w:r>
    </w:p>
    <w:p w14:paraId="439D0542" w14:textId="77777777" w:rsidR="00093845" w:rsidRDefault="000D779E">
      <w:pPr>
        <w:tabs>
          <w:tab w:val="left" w:pos="720"/>
          <w:tab w:val="left" w:pos="1077"/>
          <w:tab w:val="left" w:pos="1418"/>
        </w:tabs>
        <w:jc w:val="both"/>
        <w:rPr>
          <w:bCs/>
          <w:lang w:val="lt-LT"/>
        </w:rPr>
      </w:pPr>
      <w:r>
        <w:rPr>
          <w:bCs/>
          <w:color w:val="000000"/>
          <w:szCs w:val="20"/>
          <w:lang w:val="lt-LT"/>
        </w:rPr>
        <w:t xml:space="preserve"> </w:t>
      </w:r>
      <w:r w:rsidR="00582607">
        <w:rPr>
          <w:bCs/>
          <w:color w:val="000000"/>
          <w:szCs w:val="20"/>
          <w:lang w:val="lt-LT"/>
        </w:rPr>
        <w:t xml:space="preserve">        </w:t>
      </w:r>
      <w:r>
        <w:rPr>
          <w:bCs/>
          <w:color w:val="000000"/>
          <w:szCs w:val="20"/>
          <w:lang w:val="lt-LT"/>
        </w:rPr>
        <w:t xml:space="preserve">(Papildyta pagal VMI prie FM 2012-01-06 raštą Nr. </w:t>
      </w:r>
      <w:r>
        <w:rPr>
          <w:bCs/>
          <w:lang w:val="lt-LT"/>
        </w:rPr>
        <w:t>(32.42-31-1)-RM-5994)</w:t>
      </w:r>
    </w:p>
    <w:p w14:paraId="79DF84C6" w14:textId="77777777" w:rsidR="00093845" w:rsidRDefault="000D779E">
      <w:pPr>
        <w:tabs>
          <w:tab w:val="left" w:pos="720"/>
          <w:tab w:val="left" w:pos="1077"/>
          <w:tab w:val="left" w:pos="1418"/>
        </w:tabs>
        <w:jc w:val="both"/>
        <w:rPr>
          <w:rStyle w:val="normal-h"/>
          <w:color w:val="000000"/>
        </w:rPr>
      </w:pPr>
      <w:r>
        <w:t xml:space="preserve">         Netesybomis nelaikomos transporto prastovų pajamos</w:t>
      </w:r>
      <w:r>
        <w:rPr>
          <w:rStyle w:val="normal-h"/>
          <w:color w:val="000000"/>
        </w:rPr>
        <w:t xml:space="preserve"> (žr. PMĮ 7 str. 1 d. komentaro 30 punktą).</w:t>
      </w:r>
    </w:p>
    <w:p w14:paraId="0EF58AEE" w14:textId="77777777" w:rsidR="00093845" w:rsidRPr="00E079AB" w:rsidRDefault="00582607">
      <w:pPr>
        <w:pStyle w:val="normal-p"/>
        <w:shd w:val="clear" w:color="auto" w:fill="FFFFFF"/>
        <w:spacing w:before="0" w:beforeAutospacing="0" w:after="0" w:afterAutospacing="0" w:line="300" w:lineRule="atLeast"/>
        <w:jc w:val="both"/>
      </w:pPr>
      <w:r>
        <w:rPr>
          <w:bCs/>
          <w:color w:val="000000"/>
          <w:szCs w:val="20"/>
        </w:rPr>
        <w:t xml:space="preserve">         </w:t>
      </w:r>
      <w:r w:rsidRPr="00E079AB">
        <w:rPr>
          <w:bCs/>
          <w:color w:val="000000"/>
        </w:rPr>
        <w:t>(</w:t>
      </w:r>
      <w:r w:rsidR="000D779E" w:rsidRPr="00E079AB">
        <w:rPr>
          <w:bCs/>
          <w:color w:val="000000"/>
        </w:rPr>
        <w:t xml:space="preserve">Pagal VMI prie FM 2016-10-20 raštą Nr. </w:t>
      </w:r>
      <w:r w:rsidR="000D779E" w:rsidRPr="00E079AB">
        <w:t>(18.10-31-1E) RM-28892)</w:t>
      </w:r>
    </w:p>
    <w:p w14:paraId="7CDF8E9F" w14:textId="77777777" w:rsidR="00093845" w:rsidRDefault="00093845">
      <w:pPr>
        <w:pStyle w:val="normal-p"/>
        <w:shd w:val="clear" w:color="auto" w:fill="FFFFFF"/>
        <w:spacing w:before="0" w:beforeAutospacing="0" w:after="0" w:afterAutospacing="0" w:line="300" w:lineRule="atLeast"/>
        <w:jc w:val="both"/>
        <w:rPr>
          <w:sz w:val="22"/>
          <w:szCs w:val="22"/>
        </w:rPr>
      </w:pPr>
    </w:p>
    <w:p w14:paraId="276F5283" w14:textId="77777777" w:rsidR="00093845" w:rsidRDefault="000D779E">
      <w:pPr>
        <w:tabs>
          <w:tab w:val="left" w:pos="720"/>
          <w:tab w:val="left" w:pos="1077"/>
          <w:tab w:val="left" w:pos="1418"/>
        </w:tabs>
        <w:ind w:firstLine="720"/>
        <w:jc w:val="both"/>
        <w:rPr>
          <w:b/>
          <w:color w:val="000000"/>
          <w:szCs w:val="20"/>
          <w:lang w:val="lt-LT"/>
        </w:rPr>
      </w:pPr>
      <w:r>
        <w:rPr>
          <w:b/>
          <w:color w:val="000000"/>
          <w:szCs w:val="20"/>
          <w:lang w:val="lt-LT"/>
        </w:rPr>
        <w:t>9) iš neribotos civilinės atsakomybės juridinių asmenų pelno mokesčio mokėtojų, kurių pajamos apmokestinamos pelno mokesčiu pagal šį Įstatymą arba analogišku mokesčiu pagal užsienio valstybių atitinkamus teisės aktus, gautas pelnas ar jo dalis, išskyrus šio Įstatymo 39 straipsnyje nustatytus atvejus; iš neribotos civilinės atsakomybės juridinių asmenų pelno mokesčio mokėtojų ne tikslinėse teritorijose įregistruotų rizikos ir privataus kapitalo subjektų gautas pelnas ar jo dalis, išskyrus šio Įstatymo 39 straipsnyje nustatytus atvejus;</w:t>
      </w:r>
    </w:p>
    <w:p w14:paraId="74BD4307" w14:textId="77777777" w:rsidR="00093845" w:rsidRPr="00582607" w:rsidRDefault="000D779E" w:rsidP="00477AF7">
      <w:pPr>
        <w:jc w:val="both"/>
        <w:rPr>
          <w:i/>
          <w:color w:val="000000"/>
          <w:szCs w:val="20"/>
          <w:lang w:val="lt-LT"/>
        </w:rPr>
      </w:pPr>
      <w:r w:rsidRPr="00582607">
        <w:rPr>
          <w:i/>
          <w:color w:val="000000"/>
          <w:szCs w:val="20"/>
          <w:lang w:val="lt-LT"/>
        </w:rPr>
        <w:t>(</w:t>
      </w:r>
      <w:r w:rsidRPr="00582607">
        <w:rPr>
          <w:i/>
          <w:iCs/>
          <w:lang w:val="lt-LT"/>
        </w:rPr>
        <w:t>KEISTA: 2017 12 07 įstatymu Nr. XIII-842 (nuo 2017 12 23),</w:t>
      </w:r>
      <w:r w:rsidRPr="00582607">
        <w:rPr>
          <w:i/>
          <w:color w:val="000000"/>
          <w:szCs w:val="20"/>
          <w:lang w:val="lt-LT"/>
        </w:rPr>
        <w:t xml:space="preserve"> punkto nuostatos galioja apskaičiuojant 2018 metų ir vėlesnių metų mokestinių laikotarpių pelno mokestį)</w:t>
      </w:r>
    </w:p>
    <w:p w14:paraId="1BC162C6" w14:textId="77777777" w:rsidR="00093845" w:rsidRDefault="000D779E">
      <w:pPr>
        <w:tabs>
          <w:tab w:val="left" w:pos="720"/>
          <w:tab w:val="left" w:pos="1077"/>
          <w:tab w:val="left" w:pos="1418"/>
        </w:tabs>
        <w:ind w:firstLine="720"/>
        <w:jc w:val="both"/>
        <w:rPr>
          <w:b/>
          <w:strike/>
          <w:color w:val="000000"/>
          <w:szCs w:val="20"/>
          <w:lang w:val="lt-LT"/>
        </w:rPr>
      </w:pPr>
      <w:r>
        <w:rPr>
          <w:b/>
          <w:color w:val="000000"/>
          <w:lang w:val="lt-LT"/>
        </w:rPr>
        <w:t>Komentaras</w:t>
      </w:r>
    </w:p>
    <w:p w14:paraId="04B830CE" w14:textId="77777777" w:rsidR="00CB2B38" w:rsidRPr="008821C9" w:rsidRDefault="00CB2B38" w:rsidP="00CB2B38">
      <w:pPr>
        <w:pStyle w:val="tajtip"/>
        <w:numPr>
          <w:ilvl w:val="0"/>
          <w:numId w:val="100"/>
        </w:numPr>
        <w:spacing w:before="0" w:beforeAutospacing="0" w:after="0" w:afterAutospacing="0" w:line="240" w:lineRule="auto"/>
        <w:ind w:left="0" w:firstLine="709"/>
        <w:jc w:val="both"/>
      </w:pPr>
      <w:r w:rsidRPr="000C6933">
        <w:t>Šio</w:t>
      </w:r>
      <w:r w:rsidRPr="00DA2929">
        <w:rPr>
          <w:i/>
          <w:iCs/>
        </w:rPr>
        <w:t xml:space="preserve"> </w:t>
      </w:r>
      <w:r w:rsidRPr="000C6933">
        <w:t>punkto</w:t>
      </w:r>
      <w:r w:rsidRPr="00DA2929">
        <w:rPr>
          <w:i/>
          <w:iCs/>
        </w:rPr>
        <w:t xml:space="preserve"> </w:t>
      </w:r>
      <w:r w:rsidRPr="000C6933">
        <w:t>nuostatos</w:t>
      </w:r>
      <w:r w:rsidRPr="00DA2929">
        <w:rPr>
          <w:i/>
          <w:iCs/>
        </w:rPr>
        <w:t xml:space="preserve"> </w:t>
      </w:r>
      <w:r w:rsidRPr="000C6933">
        <w:t>taikomos</w:t>
      </w:r>
      <w:r w:rsidRPr="00DA2929">
        <w:rPr>
          <w:i/>
          <w:iCs/>
        </w:rPr>
        <w:t xml:space="preserve"> </w:t>
      </w:r>
      <w:r w:rsidRPr="000C6933">
        <w:t>tuo</w:t>
      </w:r>
      <w:r w:rsidRPr="00DA2929">
        <w:rPr>
          <w:i/>
          <w:iCs/>
        </w:rPr>
        <w:t xml:space="preserve"> </w:t>
      </w:r>
      <w:r w:rsidRPr="000C6933">
        <w:t>atveju</w:t>
      </w:r>
      <w:r w:rsidRPr="00DA2929">
        <w:t>,</w:t>
      </w:r>
      <w:r w:rsidRPr="00DA2929">
        <w:rPr>
          <w:i/>
          <w:iCs/>
        </w:rPr>
        <w:t xml:space="preserve"> </w:t>
      </w:r>
      <w:r w:rsidRPr="00DA2929">
        <w:t>jei</w:t>
      </w:r>
      <w:r>
        <w:t xml:space="preserve"> </w:t>
      </w:r>
      <w:r w:rsidRPr="00DA2929">
        <w:rPr>
          <w:b/>
        </w:rPr>
        <w:t xml:space="preserve"> </w:t>
      </w:r>
      <w:bookmarkStart w:id="218" w:name="_Hlk214531970"/>
      <w:r w:rsidRPr="000C6933">
        <w:t>Lietuvos</w:t>
      </w:r>
      <w:r w:rsidRPr="00DA2929">
        <w:rPr>
          <w:i/>
          <w:iCs/>
        </w:rPr>
        <w:t xml:space="preserve"> </w:t>
      </w:r>
      <w:r w:rsidRPr="000C6933">
        <w:t>neribotos</w:t>
      </w:r>
      <w:r w:rsidRPr="00DA2929">
        <w:rPr>
          <w:i/>
          <w:iCs/>
        </w:rPr>
        <w:t xml:space="preserve"> </w:t>
      </w:r>
      <w:r w:rsidRPr="000C6933">
        <w:t>civilinės</w:t>
      </w:r>
      <w:r w:rsidRPr="00DA2929">
        <w:rPr>
          <w:i/>
          <w:iCs/>
        </w:rPr>
        <w:t xml:space="preserve"> </w:t>
      </w:r>
      <w:r w:rsidRPr="000C6933">
        <w:t>atsakomybės</w:t>
      </w:r>
      <w:r w:rsidRPr="00DA2929">
        <w:rPr>
          <w:i/>
          <w:iCs/>
        </w:rPr>
        <w:t xml:space="preserve"> </w:t>
      </w:r>
      <w:r w:rsidRPr="000C6933">
        <w:t>juridiniai</w:t>
      </w:r>
      <w:r w:rsidRPr="00DA2929">
        <w:rPr>
          <w:i/>
          <w:iCs/>
        </w:rPr>
        <w:t xml:space="preserve"> </w:t>
      </w:r>
      <w:r w:rsidRPr="000C6933">
        <w:t>asmenys</w:t>
      </w:r>
      <w:bookmarkEnd w:id="218"/>
      <w:r w:rsidRPr="00DA2929">
        <w:t>,</w:t>
      </w:r>
      <w:r w:rsidRPr="00DA2929">
        <w:rPr>
          <w:i/>
          <w:iCs/>
        </w:rPr>
        <w:t xml:space="preserve"> </w:t>
      </w:r>
      <w:r w:rsidRPr="00DA2929">
        <w:t>iš</w:t>
      </w:r>
      <w:r w:rsidRPr="00DA2929">
        <w:rPr>
          <w:i/>
          <w:iCs/>
        </w:rPr>
        <w:t xml:space="preserve"> </w:t>
      </w:r>
      <w:r w:rsidRPr="00DA2929">
        <w:t>kurių</w:t>
      </w:r>
      <w:r w:rsidRPr="00DA2929">
        <w:rPr>
          <w:i/>
          <w:iCs/>
        </w:rPr>
        <w:t xml:space="preserve"> </w:t>
      </w:r>
      <w:r w:rsidRPr="00DA2929">
        <w:t>Lietuvos</w:t>
      </w:r>
      <w:r w:rsidRPr="00DA2929">
        <w:rPr>
          <w:i/>
          <w:iCs/>
        </w:rPr>
        <w:t xml:space="preserve"> </w:t>
      </w:r>
      <w:r w:rsidRPr="00DA2929">
        <w:t>vienetas</w:t>
      </w:r>
      <w:r w:rsidRPr="00DA2929">
        <w:rPr>
          <w:i/>
          <w:iCs/>
        </w:rPr>
        <w:t xml:space="preserve"> </w:t>
      </w:r>
      <w:r w:rsidRPr="00DA2929">
        <w:t>gauna</w:t>
      </w:r>
      <w:r>
        <w:t xml:space="preserve"> </w:t>
      </w:r>
      <w:r w:rsidRPr="00DA2929">
        <w:t>pelną</w:t>
      </w:r>
      <w:r w:rsidRPr="00DA2929">
        <w:rPr>
          <w:i/>
          <w:iCs/>
        </w:rPr>
        <w:t xml:space="preserve"> </w:t>
      </w:r>
      <w:r w:rsidRPr="000C6933">
        <w:t>(ar</w:t>
      </w:r>
      <w:r w:rsidRPr="00DA2929">
        <w:rPr>
          <w:i/>
          <w:iCs/>
        </w:rPr>
        <w:t xml:space="preserve"> </w:t>
      </w:r>
      <w:r w:rsidRPr="000C6933">
        <w:t>jo</w:t>
      </w:r>
      <w:r w:rsidRPr="00DA2929">
        <w:rPr>
          <w:i/>
          <w:iCs/>
        </w:rPr>
        <w:t xml:space="preserve"> </w:t>
      </w:r>
      <w:r w:rsidRPr="000C6933">
        <w:t>dalį)</w:t>
      </w:r>
      <w:r>
        <w:t xml:space="preserve"> </w:t>
      </w:r>
      <w:r w:rsidRPr="00DA2929">
        <w:t xml:space="preserve">yra </w:t>
      </w:r>
      <w:r w:rsidRPr="000C6933">
        <w:t>pelno</w:t>
      </w:r>
      <w:r w:rsidRPr="00DA2929">
        <w:rPr>
          <w:i/>
          <w:iCs/>
        </w:rPr>
        <w:t xml:space="preserve"> </w:t>
      </w:r>
      <w:r w:rsidRPr="000C6933">
        <w:t>mokesčio</w:t>
      </w:r>
      <w:r w:rsidRPr="00DA2929">
        <w:rPr>
          <w:i/>
          <w:iCs/>
        </w:rPr>
        <w:t xml:space="preserve"> </w:t>
      </w:r>
      <w:r w:rsidRPr="000C6933">
        <w:t>mokėtojai</w:t>
      </w:r>
      <w:r w:rsidRPr="00DA2929">
        <w:rPr>
          <w:i/>
          <w:iCs/>
        </w:rPr>
        <w:t xml:space="preserve"> </w:t>
      </w:r>
      <w:r w:rsidRPr="000C6933">
        <w:t>pagal</w:t>
      </w:r>
      <w:r w:rsidRPr="00DA2929">
        <w:rPr>
          <w:i/>
          <w:iCs/>
        </w:rPr>
        <w:t xml:space="preserve"> </w:t>
      </w:r>
      <w:bookmarkStart w:id="219" w:name="n1_2310"/>
      <w:r w:rsidRPr="00CB2B38">
        <w:rPr>
          <w:b/>
        </w:rPr>
        <w:fldChar w:fldCharType="begin"/>
      </w:r>
      <w:r w:rsidRPr="00CB2B38">
        <w:rPr>
          <w:b/>
        </w:rPr>
        <w:instrText xml:space="preserve"> HYPERLINK "http://www.infolex.lt/ta/12868" \o "Lietuvos Respublikos pelno mokesčio įstatymas" \t "_blank" </w:instrText>
      </w:r>
      <w:r w:rsidRPr="00CB2B38">
        <w:rPr>
          <w:b/>
        </w:rPr>
        <w:fldChar w:fldCharType="separate"/>
      </w:r>
      <w:r w:rsidRPr="00CB2B38">
        <w:rPr>
          <w:rStyle w:val="Hipersaitas"/>
          <w:b w:val="0"/>
        </w:rPr>
        <w:t>PMĮ</w:t>
      </w:r>
      <w:r w:rsidRPr="00CB2B38">
        <w:rPr>
          <w:b/>
        </w:rPr>
        <w:fldChar w:fldCharType="end"/>
      </w:r>
      <w:bookmarkStart w:id="220" w:name="pn1_2310"/>
      <w:bookmarkEnd w:id="219"/>
      <w:bookmarkEnd w:id="220"/>
      <w:r w:rsidRPr="00DA2929">
        <w:rPr>
          <w:i/>
          <w:iCs/>
        </w:rPr>
        <w:t xml:space="preserve"> </w:t>
      </w:r>
      <w:r w:rsidRPr="000C6933">
        <w:t>ir</w:t>
      </w:r>
      <w:r w:rsidRPr="00DA2929">
        <w:rPr>
          <w:i/>
          <w:iCs/>
        </w:rPr>
        <w:t xml:space="preserve"> </w:t>
      </w:r>
      <w:r w:rsidRPr="000C6933">
        <w:t>jų</w:t>
      </w:r>
      <w:r w:rsidRPr="00DA2929">
        <w:rPr>
          <w:i/>
          <w:iCs/>
        </w:rPr>
        <w:t xml:space="preserve"> </w:t>
      </w:r>
      <w:r w:rsidRPr="008821C9">
        <w:t xml:space="preserve">pajamos turi būti  apmokestinamos pelno mokesčiu pagal PMĮ. </w:t>
      </w:r>
    </w:p>
    <w:p w14:paraId="2934FD5E" w14:textId="77777777" w:rsidR="00CB2B38" w:rsidRPr="000C6933" w:rsidRDefault="00CB2B38" w:rsidP="00CB2B38">
      <w:pPr>
        <w:tabs>
          <w:tab w:val="left" w:pos="720"/>
          <w:tab w:val="left" w:pos="1077"/>
          <w:tab w:val="left" w:pos="1418"/>
        </w:tabs>
        <w:spacing w:after="0"/>
        <w:ind w:firstLine="709"/>
        <w:jc w:val="both"/>
        <w:rPr>
          <w:color w:val="000000"/>
        </w:rPr>
      </w:pPr>
      <w:r w:rsidRPr="008821C9">
        <w:rPr>
          <w:bCs/>
          <w:color w:val="000000"/>
        </w:rPr>
        <w:t xml:space="preserve">2. </w:t>
      </w:r>
      <w:r w:rsidRPr="008821C9">
        <w:rPr>
          <w:iCs/>
        </w:rPr>
        <w:t>Šiame punkte Lietuvos neribotos civilinės atsakomybės juridinių asmenų apmokestinamomis pelno mokesčiu pajamomis</w:t>
      </w:r>
      <w:r w:rsidRPr="008821C9">
        <w:rPr>
          <w:i/>
          <w:iCs/>
        </w:rPr>
        <w:t xml:space="preserve"> </w:t>
      </w:r>
      <w:r w:rsidRPr="008821C9">
        <w:t>yra laikomos pajamos, kurios, apskaičiuojant</w:t>
      </w:r>
      <w:r w:rsidRPr="000C6933">
        <w:t xml:space="preserve"> pelno mokestį</w:t>
      </w:r>
      <w:r>
        <w:t>,</w:t>
      </w:r>
      <w:r w:rsidRPr="000C6933">
        <w:t xml:space="preserve">  nėra įtraukiamos į neapmokestinamąsias pajamas pagal PMĮ 12 straipsnio nuostatas. </w:t>
      </w:r>
    </w:p>
    <w:p w14:paraId="70E8D144" w14:textId="77777777" w:rsidR="00CB2B38" w:rsidRPr="008821C9" w:rsidRDefault="00CB2B38" w:rsidP="00CB2B38">
      <w:pPr>
        <w:pStyle w:val="tajtip"/>
        <w:spacing w:before="0" w:beforeAutospacing="0" w:after="0" w:afterAutospacing="0"/>
        <w:ind w:firstLine="709"/>
        <w:jc w:val="both"/>
      </w:pPr>
      <w:r w:rsidRPr="000C6933">
        <w:t>Jeigu Lietuvos</w:t>
      </w:r>
      <w:r w:rsidRPr="000C6933">
        <w:rPr>
          <w:i/>
          <w:iCs/>
        </w:rPr>
        <w:t xml:space="preserve"> </w:t>
      </w:r>
      <w:r w:rsidRPr="000C6933">
        <w:t>neribotos</w:t>
      </w:r>
      <w:r w:rsidRPr="000C6933">
        <w:rPr>
          <w:i/>
          <w:iCs/>
        </w:rPr>
        <w:t xml:space="preserve"> </w:t>
      </w:r>
      <w:r w:rsidRPr="000C6933">
        <w:t>civilinės</w:t>
      </w:r>
      <w:r w:rsidRPr="000C6933">
        <w:rPr>
          <w:i/>
          <w:iCs/>
        </w:rPr>
        <w:t xml:space="preserve"> </w:t>
      </w:r>
      <w:r w:rsidRPr="000C6933">
        <w:t>atsakomybės</w:t>
      </w:r>
      <w:r w:rsidRPr="000C6933">
        <w:rPr>
          <w:i/>
          <w:iCs/>
        </w:rPr>
        <w:t xml:space="preserve"> </w:t>
      </w:r>
      <w:r w:rsidRPr="000C6933">
        <w:t>juridiniai</w:t>
      </w:r>
      <w:r w:rsidRPr="000C6933">
        <w:rPr>
          <w:i/>
          <w:iCs/>
        </w:rPr>
        <w:t xml:space="preserve"> </w:t>
      </w:r>
      <w:r w:rsidRPr="000C6933">
        <w:t>asmenys, apskaičiuojant mokestinio laikotarpio apmokestinamąjį pelną, dalį pajamų įtraukia į neapmokestinamąsias pajamas pagal PMĮ 12 straipsnio nuostatas, tai, išmokant dalyviams pelną</w:t>
      </w:r>
      <w:r>
        <w:t xml:space="preserve"> (ar jo dalį)</w:t>
      </w:r>
      <w:r w:rsidRPr="000C6933">
        <w:t>, toks pelnas</w:t>
      </w:r>
      <w:r>
        <w:t xml:space="preserve"> (ar jo dalis)</w:t>
      </w:r>
      <w:r w:rsidRPr="000C6933">
        <w:t xml:space="preserve">, </w:t>
      </w:r>
      <w:bookmarkStart w:id="221" w:name="_Hlk221183910"/>
      <w:r w:rsidRPr="000C6933">
        <w:t xml:space="preserve">proporcingai tenkantis tų </w:t>
      </w:r>
      <w:r w:rsidRPr="000C6933">
        <w:rPr>
          <w:color w:val="000000"/>
        </w:rPr>
        <w:t>neribotos civilinės atsakomybės juridinių asmenų</w:t>
      </w:r>
      <w:r w:rsidRPr="000C6933">
        <w:t xml:space="preserve">  neapmokestinamosioms pajamoms</w:t>
      </w:r>
      <w:bookmarkEnd w:id="221"/>
      <w:r w:rsidRPr="000C6933">
        <w:t>, negali būti priskirtas dalyvių neapmokestinamosioms pajamoms, taikant šio punkto nuostatas.</w:t>
      </w:r>
      <w:r>
        <w:t xml:space="preserve"> </w:t>
      </w:r>
      <w:r w:rsidRPr="008821C9">
        <w:t>Šiuo atveju toks Lietuvos</w:t>
      </w:r>
      <w:r w:rsidRPr="008821C9">
        <w:rPr>
          <w:iCs/>
        </w:rPr>
        <w:t xml:space="preserve"> vieneto</w:t>
      </w:r>
      <w:r w:rsidRPr="008821C9">
        <w:t xml:space="preserve"> (dalyvio) gautas pelnas, t. y. pelnas, proporcingai tenkantis tų neribotos </w:t>
      </w:r>
      <w:r w:rsidRPr="008821C9">
        <w:lastRenderedPageBreak/>
        <w:t>civilinės atsakomybės juridinių asmenų  neapmokestinamosioms pajamoms, priskiriamas dalyvio PMĮ nustatyta tvarka apmokestinamosioms pajamoms, įtraukiamoms į pelno mokesčio apskaičiavimo bazę.</w:t>
      </w:r>
    </w:p>
    <w:p w14:paraId="2EB120E7" w14:textId="77777777" w:rsidR="00CB2B38" w:rsidRPr="008821C9" w:rsidRDefault="00CB2B38" w:rsidP="00CB2B38">
      <w:pPr>
        <w:pStyle w:val="tajtip"/>
        <w:spacing w:before="0" w:beforeAutospacing="0" w:after="0" w:afterAutospacing="0"/>
        <w:ind w:firstLine="709"/>
        <w:jc w:val="both"/>
      </w:pPr>
      <w:r w:rsidRPr="008821C9">
        <w:t xml:space="preserve">3.  </w:t>
      </w:r>
      <w:bookmarkStart w:id="222" w:name="_Hlk214526602"/>
      <w:r w:rsidRPr="008821C9">
        <w:t xml:space="preserve">Lietuvos neribotos civilinės atsakomybės juridinio asmens </w:t>
      </w:r>
      <w:bookmarkEnd w:id="222"/>
      <w:r w:rsidRPr="008821C9">
        <w:t xml:space="preserve">gauti ir savo </w:t>
      </w:r>
      <w:bookmarkStart w:id="223" w:name="_Hlk221183974"/>
      <w:r w:rsidRPr="008821C9">
        <w:t>dalyviam</w:t>
      </w:r>
      <w:bookmarkEnd w:id="223"/>
      <w:r w:rsidRPr="008821C9">
        <w:t xml:space="preserve">s  perskirstyti dividendai, laikomi dividendais ir </w:t>
      </w:r>
      <w:bookmarkStart w:id="224" w:name="_Hlk214526966"/>
      <w:r w:rsidRPr="008821C9">
        <w:t>Lietuvos neribotos civilinės atsakomybės juridinio asmens</w:t>
      </w:r>
      <w:bookmarkEnd w:id="224"/>
      <w:r w:rsidRPr="008821C9">
        <w:t xml:space="preserve"> dalyvio – juridinio asmens lygmenyje. Pelno mokesčio apskaičiavimo tikslais, dalyvio iš Lietuvos neribotos civilinės atsakomybės juridinio asmens gauti ir perskirstyti dividendai į dalyvio pajamas neįtraukiami. Išmokėdamas tokius dividendus dalyviams, Lietuvos neribotos civilinės atsakomybės juridinis asmuo turi užtikrinti jo paties gautų  ir perskirstytų dividendų lėšų kilmės atsekamumą.</w:t>
      </w:r>
    </w:p>
    <w:p w14:paraId="5C4819DB" w14:textId="77777777" w:rsidR="00CB2B38" w:rsidRPr="008821C9" w:rsidRDefault="00CB2B38" w:rsidP="00CB2B38">
      <w:pPr>
        <w:pStyle w:val="tajtip"/>
        <w:spacing w:before="0" w:beforeAutospacing="0" w:after="0" w:afterAutospacing="0"/>
        <w:ind w:firstLine="709"/>
        <w:jc w:val="both"/>
      </w:pPr>
      <w:r w:rsidRPr="008821C9">
        <w:t xml:space="preserve"> Lietuvos neribotos civilinės atsakomybės juridinis asmuo, kuris gauna ir paskirsto dividendus,  išmokėdamas tokius paties gautus dividendus savo dalyviams – juridiniams asmenims, išmokamiems dividendams taiko PMĮ VII skyriuje „Dividendų ir  kito paskirstytojo pelno apmokestinimo tvarka“ nuostatas.</w:t>
      </w:r>
    </w:p>
    <w:p w14:paraId="5514BB87" w14:textId="77777777" w:rsidR="00CB2B38" w:rsidRDefault="00CB2B38" w:rsidP="00CB2B38">
      <w:pPr>
        <w:pStyle w:val="tajtip"/>
        <w:spacing w:before="0" w:beforeAutospacing="0" w:after="0" w:afterAutospacing="0"/>
        <w:jc w:val="both"/>
      </w:pPr>
    </w:p>
    <w:p w14:paraId="176B0323" w14:textId="77777777" w:rsidR="00CB2B38" w:rsidRPr="000C6933" w:rsidRDefault="00CB2B38" w:rsidP="00CB2B38">
      <w:pPr>
        <w:pStyle w:val="tajtip"/>
        <w:spacing w:before="0" w:beforeAutospacing="0" w:after="0" w:afterAutospacing="0"/>
        <w:jc w:val="both"/>
      </w:pPr>
      <w:r w:rsidRPr="000C6933">
        <w:t xml:space="preserve">          Pavyzdžiai</w:t>
      </w:r>
    </w:p>
    <w:p w14:paraId="7F640810" w14:textId="77777777" w:rsidR="00CB2B38" w:rsidRPr="000C6933" w:rsidRDefault="00CB2B38" w:rsidP="00CB2B38">
      <w:pPr>
        <w:pStyle w:val="tajtip"/>
        <w:spacing w:before="0" w:beforeAutospacing="0" w:after="0" w:afterAutospacing="0"/>
        <w:jc w:val="both"/>
        <w:rPr>
          <w:iCs/>
        </w:rPr>
      </w:pPr>
      <w:r w:rsidRPr="000C6933">
        <w:t xml:space="preserve"> </w:t>
      </w:r>
    </w:p>
    <w:p w14:paraId="3B96506A"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8821C9">
        <w:t>1.</w:t>
      </w:r>
      <w:r>
        <w:t xml:space="preserve"> </w:t>
      </w:r>
      <w:r w:rsidRPr="000C6933">
        <w:t xml:space="preserve">Neribotos civilinės atsakomybės juridinio asmens, pavyzdžiui – komanditinės ūkinės bendrijos (toliau – Bendrija), kuri neuždirbo neapmokestinamųjų pajamų pagal PMĮ 12 straipsnio nuostatas, </w:t>
      </w:r>
      <w:r w:rsidRPr="008821C9">
        <w:t>2024</w:t>
      </w:r>
      <w:r w:rsidRPr="000C6933">
        <w:t>-ųjų mokestinių metų apmokestinamasis pelnas sudarė 80 000 eurų, tačiau bendrija prisitaikė PMĮ 46</w:t>
      </w:r>
      <w:r w:rsidRPr="000C6933">
        <w:rPr>
          <w:vertAlign w:val="superscript"/>
        </w:rPr>
        <w:t>1</w:t>
      </w:r>
      <w:r w:rsidRPr="000C6933">
        <w:t xml:space="preserve"> punkte nustatytą lengvatą ir apmokestinamąjį pelną sumažino 100 proc.  Bendrijos pagal finansinių ataskaitų rinkinį už </w:t>
      </w:r>
      <w:r w:rsidRPr="008821C9">
        <w:t>2024</w:t>
      </w:r>
      <w:r>
        <w:t xml:space="preserve"> </w:t>
      </w:r>
      <w:r w:rsidRPr="000C6933">
        <w:t xml:space="preserve">metus iš veiklos gautas pelnas sudarė 26 000 eurų, kuris buvo paskirstytas bendrijos veiklos sutartyje nustatyta tvarka bendrijos dalyviams – juridiniams asmenims.        </w:t>
      </w:r>
    </w:p>
    <w:p w14:paraId="1097BD11"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Kadangi  Bendrijos </w:t>
      </w:r>
      <w:r w:rsidRPr="008821C9">
        <w:t>2024</w:t>
      </w:r>
      <w:r w:rsidRPr="000C6933">
        <w:t>-ųjų mokestinių metų pajamas sudarė tik  apmokestinamosios pajamos (neuždirbo neapmokestinamųjų pajamų pagal PMĮ 12 straipsnio nuostatas), neatsižvelgiant į tai, kad pelno dalis, pritaikius PMĮ 46</w:t>
      </w:r>
      <w:r w:rsidRPr="000C6933">
        <w:rPr>
          <w:vertAlign w:val="superscript"/>
        </w:rPr>
        <w:t>1</w:t>
      </w:r>
      <w:r w:rsidRPr="000C6933">
        <w:t xml:space="preserve"> punkte nustatytą lengvatą, pelno mokesčiu buvo neapmokestinta, visas Bendrijos </w:t>
      </w:r>
      <w:r w:rsidRPr="008821C9">
        <w:t>2025</w:t>
      </w:r>
      <w:r w:rsidRPr="000C6933">
        <w:t xml:space="preserve"> metais savo</w:t>
      </w:r>
      <w:r>
        <w:t xml:space="preserve"> </w:t>
      </w:r>
      <w:r w:rsidRPr="008821C9">
        <w:t>dalyviams</w:t>
      </w:r>
      <w:r w:rsidRPr="000C6933">
        <w:t xml:space="preserve"> – juridiniams asmenims, išmokamas iš Bendrijos veiklos gautas pelnas, viso 26 000 eurų, gali būti priskirtas Bendrijos </w:t>
      </w:r>
      <w:r w:rsidRPr="008821C9">
        <w:t>dalyvių</w:t>
      </w:r>
      <w:r w:rsidRPr="000C6933">
        <w:t xml:space="preserve"> neapmokestinamosioms pajamoms, taikant šio punkto nuostatas.</w:t>
      </w:r>
    </w:p>
    <w:p w14:paraId="283CDE63"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2. Neribotos civilinės atsakomybės juridinis asmuo, pavyzdžiui – </w:t>
      </w:r>
      <w:r w:rsidRPr="00916B5C">
        <w:t>tikroji</w:t>
      </w:r>
      <w:r w:rsidRPr="000C6933">
        <w:t xml:space="preserve"> ūkinė bendrija (toliau – Bendrija), </w:t>
      </w:r>
      <w:r w:rsidRPr="008821C9">
        <w:t>2024</w:t>
      </w:r>
      <w:r>
        <w:t xml:space="preserve"> </w:t>
      </w:r>
      <w:r w:rsidRPr="000C6933">
        <w:t>metais uždirbo 200 000 eurų pajamų, iš kurių 160 000 eurų sudarė įtraukiamos į pelno mokesčio bazę apmokestinamosios pajamos ir 40 000 eurų pajamos, kurios priskiriamos neapmokestinamosioms pajamoms pagal PMĮ 12 straipsnio 15 punktą, bei gavo 35 000 eurų dividendų (pagal PMĮ nuostatas, dividendai nelaikomi pajamomis).</w:t>
      </w:r>
    </w:p>
    <w:p w14:paraId="422C520F"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567"/>
        <w:jc w:val="both"/>
      </w:pPr>
      <w:r w:rsidRPr="000C6933">
        <w:t xml:space="preserve"> Bendrijos pagal finansinių ataskaitų rinkinį už </w:t>
      </w:r>
      <w:r w:rsidRPr="008821C9">
        <w:t>2024</w:t>
      </w:r>
      <w:r w:rsidRPr="000C6933">
        <w:t xml:space="preserve"> metus gautas </w:t>
      </w:r>
      <w:bookmarkStart w:id="225" w:name="_Hlk214529375"/>
      <w:r w:rsidRPr="008821C9">
        <w:t>veiklos rezultatas po apmokestinimo</w:t>
      </w:r>
      <w:r>
        <w:t xml:space="preserve"> </w:t>
      </w:r>
      <w:r w:rsidRPr="000C6933">
        <w:t>sudarė 46 000 eurų ir gauti dividendai</w:t>
      </w:r>
      <w:r>
        <w:rPr>
          <w:b/>
        </w:rPr>
        <w:t>,</w:t>
      </w:r>
      <w:r w:rsidRPr="000C6933">
        <w:t>– 35 000 eurų</w:t>
      </w:r>
      <w:bookmarkEnd w:id="225"/>
      <w:r w:rsidRPr="008821C9">
        <w:t>. Bendra už 2024 metus paskirstomo pelno ir dividendų Bendrijos dalyviams suma sudaro 81 000 eurų,</w:t>
      </w:r>
      <w:r w:rsidRPr="000C6933">
        <w:t xml:space="preserve"> kuri</w:t>
      </w:r>
      <w:r w:rsidRPr="00E43DD5">
        <w:rPr>
          <w:strike/>
        </w:rPr>
        <w:t>s</w:t>
      </w:r>
      <w:r w:rsidRPr="000C6933">
        <w:t xml:space="preserve"> buvo paskirstyta</w:t>
      </w:r>
      <w:r w:rsidRPr="00E43DD5">
        <w:rPr>
          <w:strike/>
        </w:rPr>
        <w:t>s</w:t>
      </w:r>
      <w:r w:rsidRPr="000C6933">
        <w:t xml:space="preserve"> Bendrijos veiklos sutartyje nustatyta tvarka Bendrijos dalyviams – juridiniams asmenims.</w:t>
      </w:r>
    </w:p>
    <w:p w14:paraId="3954D7FA" w14:textId="77777777" w:rsidR="00CB2B38"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r w:rsidRPr="000C6933">
        <w:t xml:space="preserve">Kadangi </w:t>
      </w:r>
      <w:bookmarkStart w:id="226" w:name="_Hlk214530849"/>
      <w:r w:rsidRPr="000C6933">
        <w:t xml:space="preserve">Bendrijos </w:t>
      </w:r>
      <w:r w:rsidRPr="008821C9">
        <w:t>2024</w:t>
      </w:r>
      <w:r w:rsidRPr="000C6933">
        <w:t>-ųjų mokestinių metų 20 proc. ((40 000 * 100 proc.) / 200 000 eurų) uždirbtų pajamų sudarė neapmokestinamosios pajamos, t. y. ši pajamų dalis pelno mokesčiu yra neapmokestinama</w:t>
      </w:r>
      <w:bookmarkEnd w:id="226"/>
      <w:r w:rsidRPr="000C6933">
        <w:t xml:space="preserve">, todėl Bendrijos </w:t>
      </w:r>
      <w:r w:rsidRPr="008821C9">
        <w:t>2025</w:t>
      </w:r>
      <w:r w:rsidRPr="000C6933">
        <w:t xml:space="preserve"> metais savo </w:t>
      </w:r>
      <w:r w:rsidRPr="008821C9">
        <w:t>dalyviams</w:t>
      </w:r>
      <w:r>
        <w:rPr>
          <w:b/>
        </w:rPr>
        <w:t xml:space="preserve"> </w:t>
      </w:r>
      <w:r w:rsidRPr="000C6933">
        <w:t xml:space="preserve">– </w:t>
      </w:r>
      <w:bookmarkStart w:id="227" w:name="_Hlk214530948"/>
      <w:r w:rsidRPr="000C6933">
        <w:t xml:space="preserve">juridiniams asmenims - išmokamas </w:t>
      </w:r>
      <w:r w:rsidRPr="00DB2C2D">
        <w:t>už 2024 metus</w:t>
      </w:r>
      <w:r>
        <w:t xml:space="preserve"> </w:t>
      </w:r>
      <w:r w:rsidRPr="000C6933">
        <w:t>iš Bendrijos</w:t>
      </w:r>
      <w:r>
        <w:t xml:space="preserve"> </w:t>
      </w:r>
      <w:r w:rsidRPr="008821C9">
        <w:t xml:space="preserve">vykdomos </w:t>
      </w:r>
      <w:r w:rsidRPr="000C6933">
        <w:t xml:space="preserve"> veiklos </w:t>
      </w:r>
      <w:r w:rsidRPr="00F65787">
        <w:t>gautas</w:t>
      </w:r>
      <w:r w:rsidRPr="000C6933">
        <w:t xml:space="preserve"> </w:t>
      </w:r>
      <w:r w:rsidRPr="00F65787">
        <w:t>pelnas</w:t>
      </w:r>
      <w:r w:rsidRPr="000C6933">
        <w:t xml:space="preserve">, proporcingai </w:t>
      </w:r>
      <w:r w:rsidRPr="00F65787">
        <w:t>tenkantis</w:t>
      </w:r>
      <w:r w:rsidRPr="006B0F20">
        <w:t xml:space="preserve"> </w:t>
      </w:r>
      <w:r w:rsidRPr="000C6933">
        <w:t xml:space="preserve">Bendrijos neapmokestinamosioms pajamoms – viso 9 200 eurų (46 000 eurų * 20 proc.), negali būti priskirtas Bendrijos </w:t>
      </w:r>
      <w:r w:rsidRPr="008821C9">
        <w:t>dalyvių</w:t>
      </w:r>
      <w:r>
        <w:rPr>
          <w:b/>
        </w:rPr>
        <w:t xml:space="preserve"> </w:t>
      </w:r>
      <w:r w:rsidRPr="000C6933">
        <w:t>neapmokestinamosioms pajamoms, taikant šio punkto nuostatas.</w:t>
      </w:r>
    </w:p>
    <w:bookmarkEnd w:id="227"/>
    <w:p w14:paraId="06EE5316" w14:textId="77777777" w:rsidR="00CB2B38" w:rsidRPr="008821C9"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r w:rsidRPr="008821C9">
        <w:t xml:space="preserve">Taigi, tarkime, kad šiuo atveju, </w:t>
      </w:r>
      <w:bookmarkStart w:id="228" w:name="_Hlk214529681"/>
      <w:r w:rsidRPr="008821C9">
        <w:t>Bendrijos dalyviai yra 2 Lietuvos juridiniai asm</w:t>
      </w:r>
      <w:bookmarkEnd w:id="228"/>
      <w:r w:rsidRPr="008821C9">
        <w:t xml:space="preserve">enys, kurie 2025 metais gauna iš Bendrijos 81 000 eurų: veiklos pelnas sudarė 46 000 eurų (kurių 9200 eurų tenka Bendrijos </w:t>
      </w:r>
      <w:bookmarkStart w:id="229" w:name="_Hlk214529620"/>
      <w:r w:rsidRPr="008821C9">
        <w:t xml:space="preserve">uždirbtoms neapmokestinamosioms pelno mokesčiu pajamoms </w:t>
      </w:r>
      <w:bookmarkEnd w:id="229"/>
      <w:r w:rsidRPr="008821C9">
        <w:t xml:space="preserve">bei 36 800 eurų tenka Bendrijos uždirbtoms apmokestinamosioms pelno mokesčiu pajamoms)  ir gauti dividendai,  – 35 000 </w:t>
      </w:r>
      <w:r w:rsidRPr="008821C9">
        <w:lastRenderedPageBreak/>
        <w:t xml:space="preserve">eurų, išmokų. Bendrijos </w:t>
      </w:r>
      <w:r>
        <w:t>dalyvių</w:t>
      </w:r>
      <w:r w:rsidRPr="008821C9">
        <w:t xml:space="preserve"> Sprendimu kiekvienas Lietuvos juridinis asmuo gauna po 40 500 eurų. </w:t>
      </w:r>
      <w:bookmarkStart w:id="230" w:name="_Hlk214531107"/>
      <w:r w:rsidRPr="008821C9">
        <w:t xml:space="preserve">Šiuo atveju, Bendrijos dalyviai - Lietuvos juridiniai asmenys, gavę tokias išmokas 2025 metais </w:t>
      </w:r>
      <w:bookmarkStart w:id="231" w:name="_Hlk214529775"/>
      <w:r w:rsidRPr="008821C9">
        <w:t xml:space="preserve">pelno mokesčio neapmokestinamosioms pajamoms </w:t>
      </w:r>
      <w:bookmarkEnd w:id="231"/>
      <w:r w:rsidRPr="008821C9">
        <w:t xml:space="preserve">priskirs po 18 400 eurų (36 800 eurų /2) eurų (PMĮ 12 str. 9 p.), pelno mokesčio apmokestinamosioms pajamoms priskirs po 4 600 eurų (9 200 eurų/2) (bendrosios PMĮ nuostatos) </w:t>
      </w:r>
      <w:bookmarkEnd w:id="230"/>
      <w:r w:rsidRPr="008821C9">
        <w:t>ir po 17 500 eurų (35 000/2) eurų priskirs gautiems dividendams, kurie pelno mokesčio apskaičiavimo tikslais neįtraukiami į dalyvių pajamas (taikomos PMĮ VII skyriaus nuostatos).</w:t>
      </w:r>
    </w:p>
    <w:p w14:paraId="7FF62E7B" w14:textId="77777777" w:rsidR="00CB2B38"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p>
    <w:p w14:paraId="22622D6E" w14:textId="77777777" w:rsidR="00CB2B38" w:rsidRPr="000C6933" w:rsidRDefault="00CB2B38" w:rsidP="00CB2B38">
      <w:pPr>
        <w:pStyle w:val="tajtip"/>
        <w:pBdr>
          <w:top w:val="single" w:sz="4" w:space="1" w:color="auto"/>
          <w:left w:val="single" w:sz="4" w:space="0" w:color="auto"/>
          <w:bottom w:val="single" w:sz="4" w:space="1" w:color="auto"/>
          <w:right w:val="single" w:sz="4" w:space="4" w:color="auto"/>
        </w:pBdr>
        <w:spacing w:before="0" w:beforeAutospacing="0" w:after="0" w:afterAutospacing="0"/>
        <w:ind w:firstLine="709"/>
        <w:jc w:val="both"/>
      </w:pPr>
    </w:p>
    <w:p w14:paraId="2B759B78" w14:textId="77777777" w:rsidR="00CB2B38" w:rsidRPr="000C6933" w:rsidRDefault="00CB2B38" w:rsidP="00CB2B38">
      <w:pPr>
        <w:pStyle w:val="tajtip"/>
        <w:spacing w:before="0" w:beforeAutospacing="0" w:after="0" w:afterAutospacing="0"/>
        <w:ind w:firstLine="709"/>
        <w:jc w:val="both"/>
      </w:pPr>
    </w:p>
    <w:p w14:paraId="59DA2182" w14:textId="77777777" w:rsidR="00CB2B38" w:rsidRPr="000C6933" w:rsidRDefault="00CB2B38" w:rsidP="00CB2B38">
      <w:pPr>
        <w:tabs>
          <w:tab w:val="left" w:pos="720"/>
          <w:tab w:val="left" w:pos="1077"/>
          <w:tab w:val="left" w:pos="1418"/>
        </w:tabs>
        <w:ind w:firstLine="709"/>
        <w:jc w:val="both"/>
      </w:pPr>
      <w:r w:rsidRPr="008821C9">
        <w:rPr>
          <w:color w:val="000000"/>
        </w:rPr>
        <w:t>4.</w:t>
      </w:r>
      <w:r w:rsidRPr="000C6933">
        <w:rPr>
          <w:color w:val="000000"/>
        </w:rPr>
        <w:t xml:space="preserve"> Jei Lietuvos vienetas yra užsienio neribotos civilinės atsakomybės juridinio asmens dalyvis, tai jis iš to asmens gautą pelną (ar jo dalį) gali priskirti neapmokestinamosioms pajamoms, jei to užsienio vieneto pajamos yra apmokestinamos pelno mokesčiu ar jam tapačiu mokesčiu toje užsienio valstybėje ir Lietuvos vienetas turi užsienio valstybės, kurios rezidentas yra tas neribotos civilinės atsakomybės juridinis asmuo, mokesčių administratoriaus pažymą, kurioje nurodyta, kad tas asmuo yra pelno mokesčio (arba tapataus mokesčio) mokėtojas pagal rezidavimo šalies vidaus įstatymą, kiek tas asmuo gavo pajamų ir kiek nuo jų sumokėjo pelno (ar tapataus) mokesčio.</w:t>
      </w:r>
      <w:r w:rsidRPr="000C6933">
        <w:t xml:space="preserve"> </w:t>
      </w:r>
    </w:p>
    <w:p w14:paraId="20446D0B" w14:textId="77777777" w:rsidR="00CB2B38" w:rsidRPr="000C6933" w:rsidRDefault="00CB2B38" w:rsidP="00CB2B38">
      <w:pPr>
        <w:tabs>
          <w:tab w:val="left" w:pos="720"/>
          <w:tab w:val="left" w:pos="1077"/>
          <w:tab w:val="left" w:pos="1418"/>
        </w:tabs>
        <w:ind w:firstLine="709"/>
        <w:jc w:val="both"/>
      </w:pPr>
      <w:r w:rsidRPr="008821C9">
        <w:t>5</w:t>
      </w:r>
      <w:r w:rsidRPr="004E2FBF">
        <w:t>.</w:t>
      </w:r>
      <w:r w:rsidRPr="000C6933">
        <w:rPr>
          <w:color w:val="000000"/>
        </w:rPr>
        <w:t xml:space="preserve"> Šio punkto nuostatos dėl iš užsienio neribotos civilinės atsakomybės juridinių asmenų gauto </w:t>
      </w:r>
      <w:r w:rsidRPr="000C6933">
        <w:rPr>
          <w:bCs/>
          <w:color w:val="000000"/>
        </w:rPr>
        <w:t>pelno ar jo dalies neapmokestinimo netaikomos PMĮ 39 straipsnyje nustatytais atvejais.</w:t>
      </w:r>
    </w:p>
    <w:p w14:paraId="7C17F949" w14:textId="3EEBEDF2" w:rsidR="00CB2B38" w:rsidRDefault="00CB2B38" w:rsidP="00CB2B38">
      <w:pPr>
        <w:tabs>
          <w:tab w:val="left" w:pos="720"/>
          <w:tab w:val="left" w:pos="1077"/>
          <w:tab w:val="left" w:pos="1418"/>
        </w:tabs>
        <w:ind w:firstLine="709"/>
        <w:jc w:val="both"/>
        <w:rPr>
          <w:color w:val="000000"/>
        </w:rPr>
      </w:pPr>
      <w:r w:rsidRPr="008821C9">
        <w:rPr>
          <w:color w:val="000000"/>
        </w:rPr>
        <w:t>6</w:t>
      </w:r>
      <w:r w:rsidRPr="00AB01D3">
        <w:rPr>
          <w:color w:val="000000"/>
        </w:rPr>
        <w:t xml:space="preserve">. Neapmokestinamosioms pajamoms taip pat priskiriamas iš neribotos civilinės atsakomybės juridinių asmenų (tiek Lietuvos, tiek užsienio) pelno mokesčio mokėtojų ne tikslinėse teritorijose įregistruotų rizikos ir privataus kapitalo subjektų gautas pelnas ar jo dalis, neatsižvelgiant į tai, ar tų subjektų pajamos yra apmokestinamos pelno mokesčiu. </w:t>
      </w:r>
    </w:p>
    <w:p w14:paraId="62149E13" w14:textId="77777777" w:rsidR="00CB2B38" w:rsidRDefault="00CB2B38" w:rsidP="00CB2B38">
      <w:r>
        <w:rPr>
          <w:lang w:val="lt-LT"/>
        </w:rPr>
        <w:t xml:space="preserve">(Pakeista pagal </w:t>
      </w:r>
      <w:r w:rsidRPr="0051529C">
        <w:t xml:space="preserve">VMI prie FM </w:t>
      </w:r>
      <w:r w:rsidRPr="00057D24">
        <w:t xml:space="preserve">2026-03-18 </w:t>
      </w:r>
      <w:r>
        <w:t xml:space="preserve">raštą </w:t>
      </w:r>
      <w:r w:rsidRPr="00057D24">
        <w:t>Nr. (18.10-31-1 Mr) R-700</w:t>
      </w:r>
      <w:r>
        <w:t>)</w:t>
      </w:r>
    </w:p>
    <w:p w14:paraId="7C143134" w14:textId="77777777" w:rsidR="00CB2B38" w:rsidRPr="00AB01D3" w:rsidRDefault="00CB2B38" w:rsidP="00CB2B38">
      <w:pPr>
        <w:tabs>
          <w:tab w:val="left" w:pos="720"/>
          <w:tab w:val="left" w:pos="1077"/>
          <w:tab w:val="left" w:pos="1418"/>
        </w:tabs>
        <w:ind w:firstLine="709"/>
        <w:jc w:val="both"/>
        <w:rPr>
          <w:color w:val="000000"/>
        </w:rPr>
      </w:pPr>
    </w:p>
    <w:p w14:paraId="765B1295" w14:textId="77777777" w:rsidR="00093845" w:rsidRDefault="000D779E">
      <w:pPr>
        <w:pStyle w:val="tajtip"/>
        <w:rPr>
          <w:i/>
          <w:iCs/>
        </w:rPr>
      </w:pPr>
      <w:r>
        <w:rPr>
          <w:rFonts w:ascii="Arial" w:hAnsi="Arial" w:cs="Arial"/>
          <w:b/>
          <w:sz w:val="22"/>
          <w:szCs w:val="22"/>
        </w:rPr>
        <w:t xml:space="preserve">           </w:t>
      </w:r>
      <w:r w:rsidR="00E079AB">
        <w:rPr>
          <w:rFonts w:ascii="Arial" w:hAnsi="Arial" w:cs="Arial"/>
          <w:b/>
          <w:sz w:val="22"/>
          <w:szCs w:val="22"/>
        </w:rPr>
        <w:t xml:space="preserve"> </w:t>
      </w:r>
      <w:r w:rsidRPr="00086AA7">
        <w:rPr>
          <w:b/>
        </w:rPr>
        <w:t>10</w:t>
      </w:r>
      <w:r w:rsidR="00B727EE">
        <w:rPr>
          <w:b/>
        </w:rPr>
        <w:t>)</w:t>
      </w:r>
      <w:r>
        <w:rPr>
          <w:b/>
        </w:rPr>
        <w:t xml:space="preserve"> </w:t>
      </w:r>
      <w:r w:rsidRPr="00477AF7">
        <w:rPr>
          <w:b/>
        </w:rPr>
        <w:t xml:space="preserve">NETEKO </w:t>
      </w:r>
      <w:r w:rsidRPr="00860C7F">
        <w:rPr>
          <w:b/>
        </w:rPr>
        <w:t>GALIOS:</w:t>
      </w:r>
      <w:r w:rsidR="00086AA7" w:rsidRPr="00860C7F">
        <w:rPr>
          <w:b/>
        </w:rPr>
        <w:t xml:space="preserve"> </w:t>
      </w:r>
      <w:r w:rsidRPr="00860C7F">
        <w:rPr>
          <w:b/>
        </w:rPr>
        <w:t>2017</w:t>
      </w:r>
      <w:r w:rsidRPr="00396366">
        <w:rPr>
          <w:b/>
        </w:rPr>
        <w:t xml:space="preserve"> 12 07 įstatymu Nr. XIII-842 (nuo 2017 12 23)</w:t>
      </w:r>
    </w:p>
    <w:p w14:paraId="1EE4CB87" w14:textId="77777777" w:rsidR="008A5071" w:rsidRDefault="000D779E" w:rsidP="008A5071">
      <w:pPr>
        <w:spacing w:before="100" w:beforeAutospacing="1" w:after="100" w:afterAutospacing="1"/>
        <w:ind w:firstLine="720"/>
        <w:jc w:val="both"/>
        <w:rPr>
          <w:b/>
          <w:lang w:val="lt-LT"/>
        </w:rPr>
      </w:pPr>
      <w:r>
        <w:rPr>
          <w:iCs/>
          <w:lang w:val="nb-NO"/>
        </w:rPr>
        <w:t xml:space="preserve"> </w:t>
      </w:r>
      <w:r w:rsidR="008A5071" w:rsidRPr="00EC18FD">
        <w:rPr>
          <w:b/>
          <w:lang w:val="lt-LT"/>
        </w:rPr>
        <w:t>11) praėjusių mokestinių laikotarpių klaidų ir netikslumų taisymai pagal finansinės apskaitos tvarkymą reglamentuojančius teisės aktus;</w:t>
      </w:r>
      <w:r w:rsidR="008A5071">
        <w:rPr>
          <w:b/>
          <w:lang w:val="lt-LT"/>
        </w:rPr>
        <w:t xml:space="preserve"> </w:t>
      </w:r>
    </w:p>
    <w:p w14:paraId="4A60B503" w14:textId="77777777" w:rsidR="008A5071" w:rsidRPr="008A5071" w:rsidRDefault="008A5071" w:rsidP="008A5071">
      <w:pPr>
        <w:spacing w:before="100" w:beforeAutospacing="1" w:after="100" w:afterAutospacing="1"/>
        <w:jc w:val="both"/>
        <w:rPr>
          <w:bCs/>
          <w:i/>
          <w:szCs w:val="20"/>
          <w:lang w:val="lt-LT"/>
        </w:rPr>
      </w:pPr>
      <w:r w:rsidRPr="008A5071">
        <w:rPr>
          <w:bCs/>
          <w:i/>
          <w:szCs w:val="20"/>
          <w:lang w:val="lt-LT"/>
        </w:rPr>
        <w:t>(pagal 2021 m. lapkričio 23 d. įstatymo Nr. XIV-686 redakciją; taikoma nuo 2022 m. gegužės 1 d. )</w:t>
      </w:r>
    </w:p>
    <w:p w14:paraId="7B0D0C0D" w14:textId="77777777" w:rsidR="00093845" w:rsidRDefault="000D779E">
      <w:pPr>
        <w:tabs>
          <w:tab w:val="left" w:pos="720"/>
          <w:tab w:val="left" w:pos="1077"/>
          <w:tab w:val="left" w:pos="1418"/>
        </w:tabs>
        <w:ind w:firstLine="720"/>
        <w:jc w:val="both"/>
        <w:rPr>
          <w:b/>
          <w:color w:val="000000"/>
          <w:lang w:val="lt-LT"/>
        </w:rPr>
      </w:pPr>
      <w:r>
        <w:rPr>
          <w:b/>
          <w:color w:val="000000"/>
          <w:lang w:val="lt-LT"/>
        </w:rPr>
        <w:t>Komentaras</w:t>
      </w:r>
    </w:p>
    <w:p w14:paraId="3E94585E" w14:textId="77777777" w:rsidR="008A5071" w:rsidRPr="00EC18FD" w:rsidRDefault="008A5071" w:rsidP="008A5071">
      <w:pPr>
        <w:pStyle w:val="Pagrindiniotekstotrauka2"/>
        <w:tabs>
          <w:tab w:val="left" w:pos="720"/>
          <w:tab w:val="left" w:pos="1077"/>
          <w:tab w:val="left" w:pos="1418"/>
        </w:tabs>
        <w:spacing w:line="240" w:lineRule="auto"/>
        <w:ind w:right="26"/>
        <w:rPr>
          <w:b w:val="0"/>
          <w:bCs w:val="0"/>
        </w:rPr>
      </w:pPr>
      <w:r w:rsidRPr="008A5071">
        <w:rPr>
          <w:b w:val="0"/>
        </w:rPr>
        <w:t>Praėjusių mokestinių laikotarpių klaidų ir netikslumų taisymai atliekami pagal finansinės apskaitos tvarkymą reglamentuojančius teisės aktus.</w:t>
      </w:r>
      <w:r>
        <w:t xml:space="preserve"> </w:t>
      </w:r>
      <w:r w:rsidRPr="00EC18FD">
        <w:rPr>
          <w:b w:val="0"/>
          <w:bCs w:val="0"/>
        </w:rPr>
        <w:t>Jeigu dėl įsivėlusios klaidos buvo padidintos vieneto praėjusio mokestinio laikotarpio pajamos ir vienetas, taisydamas klaidą, kitų metų</w:t>
      </w:r>
      <w:r>
        <w:rPr>
          <w:b w:val="0"/>
          <w:bCs w:val="0"/>
        </w:rPr>
        <w:t xml:space="preserve"> </w:t>
      </w:r>
      <w:r w:rsidRPr="008A5071">
        <w:rPr>
          <w:b w:val="0"/>
          <w:bCs w:val="0"/>
        </w:rPr>
        <w:t>finansinėse ataskaitose įregistravo praėjusio laikotarpio pajamas, tai tokios pajamos, pelno mokesčiu</w:t>
      </w:r>
      <w:r w:rsidRPr="00EC18FD">
        <w:rPr>
          <w:b w:val="0"/>
          <w:bCs w:val="0"/>
        </w:rPr>
        <w:t xml:space="preserve"> neapmokestinamos (apskaičiuojant kitų metų apmokestinamąjį pelną, iš pajamų atimamos). Tačiau, jei dėl praėjusio mokestinio laikotarpio klaidų ir netikslumų vieneto pelno mokesčio deklaracijoje buvo pateikti netikslūs duomenys ir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 </w:t>
      </w:r>
    </w:p>
    <w:p w14:paraId="5C0EDB8C" w14:textId="77777777" w:rsidR="008A5071" w:rsidRPr="00EC18FD" w:rsidRDefault="008A5071" w:rsidP="008A5071">
      <w:pPr>
        <w:tabs>
          <w:tab w:val="left" w:pos="720"/>
          <w:tab w:val="left" w:pos="1077"/>
          <w:tab w:val="left" w:pos="1418"/>
        </w:tabs>
        <w:ind w:right="26" w:firstLine="720"/>
        <w:jc w:val="both"/>
        <w:rPr>
          <w:lang w:val="lt-LT"/>
        </w:rPr>
      </w:pPr>
      <w:r w:rsidRPr="008A5071">
        <w:rPr>
          <w:lang w:val="lt-LT"/>
        </w:rPr>
        <w:t>Vienetai, kurie, tvarkydami finansinę apskaitą ir rengdami</w:t>
      </w:r>
      <w:r w:rsidRPr="008A5071">
        <w:rPr>
          <w:color w:val="000000"/>
          <w:lang w:val="lt-LT"/>
        </w:rPr>
        <w:t xml:space="preserve"> metinių finansinių ataskaitų rinkinius</w:t>
      </w:r>
      <w:r w:rsidRPr="008A5071">
        <w:rPr>
          <w:lang w:val="lt-LT"/>
        </w:rPr>
        <w:t xml:space="preserve">, privalo vadovautis arba vadovaujasi VAS, po metinių finansinių ataskaitų rinkinio </w:t>
      </w:r>
      <w:r w:rsidRPr="008A5071">
        <w:rPr>
          <w:lang w:val="lt-LT"/>
        </w:rPr>
        <w:lastRenderedPageBreak/>
        <w:t>patvirtinimo paaiškėjusias klaidas taiso 7 VAS ,,Apskaitos politikos, apskaitinių įvertinimų keitimas</w:t>
      </w:r>
      <w:r w:rsidRPr="00EC18FD">
        <w:rPr>
          <w:lang w:val="lt-LT"/>
        </w:rPr>
        <w:t xml:space="preserve"> ir klaidų taisymas“ nustatyta tvarka. Pagal šiame standarte nustatytą tvarka, praėjusių ataskaitinių laikotarpių klaidos gali būti taisomos dviem būdais:</w:t>
      </w:r>
    </w:p>
    <w:p w14:paraId="41097C0D" w14:textId="77777777" w:rsidR="008A5071" w:rsidRPr="00EC18FD" w:rsidRDefault="008A5071" w:rsidP="008A5071">
      <w:pPr>
        <w:pStyle w:val="Pagrindiniotekstotrauka"/>
        <w:tabs>
          <w:tab w:val="left" w:pos="720"/>
          <w:tab w:val="left" w:pos="1077"/>
          <w:tab w:val="left" w:pos="1418"/>
        </w:tabs>
        <w:ind w:firstLine="840"/>
        <w:rPr>
          <w:lang w:val="lt-LT"/>
        </w:rPr>
      </w:pPr>
      <w:r w:rsidRPr="00EC18FD">
        <w:rPr>
          <w:lang w:val="lt-LT"/>
        </w:rPr>
        <w:t>- perspektyviniu būdu, kai pakeitimai ir patikslinimai atliekami nuo sprendimo juos taikyti priėmimo dienos ir būsimais ataskaitiniais laikotarpiais;</w:t>
      </w:r>
    </w:p>
    <w:p w14:paraId="23E8D1AC" w14:textId="77777777" w:rsidR="008A5071" w:rsidRPr="00EC18FD" w:rsidRDefault="008A5071" w:rsidP="008A5071">
      <w:pPr>
        <w:pStyle w:val="Pagrindiniotekstotrauka"/>
        <w:tabs>
          <w:tab w:val="left" w:pos="720"/>
          <w:tab w:val="left" w:pos="1077"/>
          <w:tab w:val="left" w:pos="1418"/>
        </w:tabs>
        <w:ind w:firstLine="840"/>
        <w:rPr>
          <w:i/>
          <w:iCs/>
          <w:szCs w:val="20"/>
          <w:lang w:val="lt-LT"/>
        </w:rPr>
      </w:pPr>
      <w:r w:rsidRPr="00EC18FD">
        <w:rPr>
          <w:szCs w:val="20"/>
          <w:lang w:val="lt-LT"/>
        </w:rPr>
        <w:t>- retrospektyviniu būdu, kai pakeitimai ir patikslinimai atliekami ne tik nuo sprendimo juos taikyti priėmimo dienos ir būsimais ataskaitiniais laikotarpiais, bet ir ankstesniais laikotarpiais.</w:t>
      </w:r>
      <w:r w:rsidRPr="00EC18FD">
        <w:rPr>
          <w:i/>
          <w:iCs/>
          <w:szCs w:val="20"/>
          <w:lang w:val="lt-LT"/>
        </w:rPr>
        <w:t xml:space="preserve"> </w:t>
      </w:r>
    </w:p>
    <w:p w14:paraId="35C069E2" w14:textId="77777777" w:rsidR="008A5071" w:rsidRPr="008A5071" w:rsidRDefault="008A5071" w:rsidP="008A5071">
      <w:pPr>
        <w:tabs>
          <w:tab w:val="left" w:pos="720"/>
          <w:tab w:val="left" w:pos="1077"/>
          <w:tab w:val="left" w:pos="1418"/>
        </w:tabs>
        <w:ind w:firstLine="720"/>
        <w:jc w:val="both"/>
        <w:rPr>
          <w:b/>
          <w:color w:val="000000"/>
          <w:lang w:val="lt-LT"/>
        </w:rPr>
      </w:pPr>
      <w:r w:rsidRPr="00EC18FD">
        <w:rPr>
          <w:lang w:val="lt-LT"/>
        </w:rPr>
        <w:t xml:space="preserve">Tačiau neatsižvelgiant į tai, kokiu būdu – perspektyviniu (kai klaidos taisomos kitų metų finansinėje atskaitomybėje ar retrospektyviniu (kai koreguojamas nepaskirstytojo pelno (nuostolių) likutis, buvęs ataskaitinio laikotarpio pradžioje) vienetas taisė klaidas, </w:t>
      </w:r>
      <w:r w:rsidRPr="00EC18FD">
        <w:rPr>
          <w:color w:val="000000"/>
          <w:lang w:val="lt-LT"/>
        </w:rPr>
        <w:t>jei dėl praėjusio mokestinio laikotarpio klaidų ir netikslumų vieneto pelno mokesčio deklaracijoje buvo pateikti netikslūs duomenys ir/ar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w:t>
      </w:r>
      <w:r>
        <w:rPr>
          <w:color w:val="000000"/>
          <w:lang w:val="lt-LT"/>
        </w:rPr>
        <w:t>adidėjo apmokestinamasis pelnas</w:t>
      </w:r>
      <w:r w:rsidRPr="00EC18FD">
        <w:rPr>
          <w:color w:val="000000"/>
          <w:lang w:val="lt-LT"/>
        </w:rPr>
        <w:t>“.</w:t>
      </w:r>
    </w:p>
    <w:p w14:paraId="31AAD7FF" w14:textId="77777777" w:rsidR="008A5071" w:rsidRDefault="008A5071">
      <w:pPr>
        <w:tabs>
          <w:tab w:val="left" w:pos="720"/>
          <w:tab w:val="left" w:pos="1077"/>
          <w:tab w:val="left" w:pos="1418"/>
        </w:tabs>
        <w:ind w:firstLine="720"/>
        <w:jc w:val="both"/>
        <w:rPr>
          <w:i/>
          <w:color w:val="000000" w:themeColor="text1"/>
        </w:rPr>
      </w:pPr>
      <w:r w:rsidRPr="009F1C95">
        <w:rPr>
          <w:i/>
          <w:color w:val="000000" w:themeColor="text1"/>
        </w:rPr>
        <w:t xml:space="preserve"> (</w:t>
      </w:r>
      <w:r>
        <w:rPr>
          <w:i/>
          <w:color w:val="000000" w:themeColor="text1"/>
        </w:rPr>
        <w:t xml:space="preserve">Pakeista  pagal </w:t>
      </w:r>
      <w:r w:rsidRPr="009F1C95">
        <w:rPr>
          <w:i/>
          <w:color w:val="000000" w:themeColor="text1"/>
        </w:rPr>
        <w:t xml:space="preserve">VMI prie FM 2022-04-07 </w:t>
      </w:r>
      <w:r w:rsidRPr="008A5071">
        <w:rPr>
          <w:rStyle w:val="Hipersaitas"/>
          <w:b w:val="0"/>
          <w:i/>
          <w:color w:val="000000" w:themeColor="text1"/>
        </w:rPr>
        <w:t>raštą</w:t>
      </w:r>
      <w:r w:rsidRPr="008A5071">
        <w:rPr>
          <w:b/>
          <w:i/>
          <w:color w:val="000000" w:themeColor="text1"/>
        </w:rPr>
        <w:t xml:space="preserve"> </w:t>
      </w:r>
      <w:r w:rsidRPr="009F1C95">
        <w:rPr>
          <w:i/>
          <w:color w:val="000000" w:themeColor="text1"/>
        </w:rPr>
        <w:t>Nr. (18.10-31-1)-RM-12183)</w:t>
      </w:r>
    </w:p>
    <w:p w14:paraId="022D23C3"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12)</w:t>
      </w:r>
      <w:r>
        <w:rPr>
          <w:b/>
          <w:color w:val="000000"/>
          <w:lang w:val="lt-LT"/>
        </w:rPr>
        <w:tab/>
        <w:t>vieneto gautas žalos atlyginimas, išskyrus šio straipsnio 2 punkte nustatytais atvejais.</w:t>
      </w:r>
    </w:p>
    <w:p w14:paraId="18C1A651" w14:textId="77777777" w:rsidR="00093845" w:rsidRDefault="000D779E">
      <w:pPr>
        <w:tabs>
          <w:tab w:val="left" w:pos="720"/>
          <w:tab w:val="left" w:pos="1077"/>
          <w:tab w:val="left" w:pos="1418"/>
        </w:tabs>
        <w:ind w:firstLine="720"/>
        <w:jc w:val="both"/>
        <w:rPr>
          <w:b/>
          <w:color w:val="000000"/>
          <w:szCs w:val="20"/>
          <w:lang w:val="lt-LT"/>
        </w:rPr>
      </w:pPr>
      <w:r>
        <w:rPr>
          <w:b/>
          <w:color w:val="000000"/>
          <w:lang w:val="lt-LT"/>
        </w:rPr>
        <w:t>Komentaras</w:t>
      </w:r>
    </w:p>
    <w:p w14:paraId="581626ED" w14:textId="77777777" w:rsidR="00093845" w:rsidRDefault="000D779E">
      <w:pPr>
        <w:tabs>
          <w:tab w:val="left" w:pos="720"/>
          <w:tab w:val="left" w:pos="1077"/>
          <w:tab w:val="left" w:pos="1418"/>
        </w:tabs>
        <w:ind w:firstLine="720"/>
        <w:jc w:val="both"/>
        <w:rPr>
          <w:color w:val="000000"/>
          <w:szCs w:val="20"/>
          <w:lang w:val="lt-LT"/>
        </w:rPr>
      </w:pPr>
      <w:r>
        <w:rPr>
          <w:color w:val="000000"/>
          <w:lang w:val="lt-LT"/>
        </w:rPr>
        <w:t>Pagal šio punkto nuostatas vieneto gautas žalos atlyginimas (išskyrus tuos atvejus, kai žala atlyginama draudimo išmokomis pagal šio straipsnio 2 punkto nuostatas) priskiriamas neapmokestinamosioms pajamoms. Žala yra dėl vieneto turto netekimo ar pakenkimo jam (sugadinimo) patirtos išlaidos (tiesioginiai nuostoliai), taip pat negautos pajamos, kurias vienetas būtų gavęs, jei nebūtų atlikti neteisėti veiksmai. Draudimo išmokos, jeigu jas gauna ne draudimo įmokas mokantis asmuo, o kitas asmuo, kurio naudai apdraudžiami turtiniai interesai, laikomos gautu žalos atlyginimu. Vieneto faktiškai patirti tiesioginiai nuostoliai, kurie kompensuojami žalos atlyginimo suma, leidžiamiems atskaitymams nepriskiriami.</w:t>
      </w:r>
    </w:p>
    <w:p w14:paraId="64E03719" w14:textId="77777777" w:rsidR="00093845" w:rsidRDefault="000D779E">
      <w:pPr>
        <w:tabs>
          <w:tab w:val="left" w:pos="720"/>
          <w:tab w:val="left" w:pos="1077"/>
          <w:tab w:val="left" w:pos="1418"/>
        </w:tabs>
        <w:ind w:firstLine="720"/>
        <w:jc w:val="both"/>
        <w:rPr>
          <w:lang w:val="lt-LT"/>
        </w:rPr>
      </w:pPr>
      <w:r>
        <w:rPr>
          <w:lang w:val="lt-LT"/>
        </w:rPr>
        <w:t>Pagal CK 6.210 straipsnio nuostatas terminą įvykdyti piniginę prievolę praleidęs skolininkas</w:t>
      </w:r>
      <w:r>
        <w:rPr>
          <w:i/>
          <w:lang w:val="lt-LT"/>
        </w:rPr>
        <w:t xml:space="preserve"> </w:t>
      </w:r>
      <w:r>
        <w:rPr>
          <w:lang w:val="lt-LT"/>
        </w:rPr>
        <w:t xml:space="preserve">privalo mokėti 5 proc. dydžio (kai abi šalys yra verslo subjektai – 6 proc. dydžio) metines palūkanas už sumą, kurią sumokėti praleistas terminas, jei įstatymas ar sutartis nenustato kitokio palūkanų dydžio. Pagal šį straipsnį palūkanos yra civilinės atsakomybės forma. Palūkanos šiuo atveju atlieka kompensacinę funkciją. Praleidus piniginės prievolės įvykdymo terminą, kreditorius visada patiria nuostolių negautų pajamų pavidalu. Kompensacinės palūkanos yra skirtos negautoms pajamoms padengti. Pagal CK 6.261 straipsnį ,,Praleidęs piniginės prievolės įvykdymo terminą skolininkas privalo mokėti </w:t>
      </w:r>
      <w:r>
        <w:rPr>
          <w:i/>
          <w:lang w:val="lt-LT"/>
        </w:rPr>
        <w:t>už termino praleidimą</w:t>
      </w:r>
      <w:r>
        <w:rPr>
          <w:lang w:val="lt-LT"/>
        </w:rPr>
        <w:t xml:space="preserve"> sutarčių ar įstatymų nustatytas palūkanas, kurios yra laikomos minimaliais nuostoliais. Be to, kreditorius, įrodęs kitus nuostolius, turi teisę į jų atlyginimą“. Todėl, jei vienetas pareiškė reikalavimą kreditoriui dėl žalos (nuostolių) atlyginimo, tai minėtos palūkanos bus laikomos žalos (nuostolių) atlyginimo dalimi ir priskiriamos neapmokestinamosioms pajamoms. </w:t>
      </w:r>
    </w:p>
    <w:p w14:paraId="08AEB498" w14:textId="77777777" w:rsidR="00093845" w:rsidRDefault="00093845">
      <w:pPr>
        <w:tabs>
          <w:tab w:val="left" w:pos="720"/>
          <w:tab w:val="left" w:pos="1077"/>
          <w:tab w:val="left" w:pos="1418"/>
        </w:tabs>
        <w:ind w:firstLine="720"/>
        <w:jc w:val="both"/>
        <w:rPr>
          <w:szCs w:val="20"/>
          <w:lang w:val="lt-LT"/>
        </w:rPr>
      </w:pPr>
    </w:p>
    <w:p w14:paraId="3152DE05" w14:textId="77777777" w:rsidR="00093845" w:rsidRPr="00480C1E" w:rsidRDefault="00E079AB" w:rsidP="00477AF7">
      <w:pPr>
        <w:tabs>
          <w:tab w:val="left" w:pos="720"/>
          <w:tab w:val="left" w:pos="1077"/>
        </w:tabs>
        <w:spacing w:line="240" w:lineRule="auto"/>
        <w:rPr>
          <w:b/>
        </w:rPr>
      </w:pPr>
      <w:r>
        <w:rPr>
          <w:b/>
          <w:bCs/>
          <w:lang w:val="lt-LT"/>
        </w:rPr>
        <w:t xml:space="preserve">              </w:t>
      </w:r>
      <w:r w:rsidR="000D779E" w:rsidRPr="00477AF7">
        <w:rPr>
          <w:b/>
          <w:bCs/>
          <w:lang w:val="lt-LT"/>
        </w:rPr>
        <w:t>13</w:t>
      </w:r>
      <w:r w:rsidR="00CD3DFA">
        <w:rPr>
          <w:b/>
          <w:bCs/>
          <w:lang w:val="lt-LT"/>
        </w:rPr>
        <w:t xml:space="preserve">) </w:t>
      </w:r>
      <w:r w:rsidR="000D779E" w:rsidRPr="00477AF7">
        <w:rPr>
          <w:b/>
          <w:bCs/>
          <w:color w:val="000000"/>
          <w:lang w:eastAsia="lt-LT"/>
        </w:rPr>
        <w:t>NETEKO GALIOS</w:t>
      </w:r>
      <w:r w:rsidR="000D779E" w:rsidRPr="00480C1E">
        <w:rPr>
          <w:b/>
          <w:color w:val="000000"/>
          <w:lang w:eastAsia="lt-LT"/>
        </w:rPr>
        <w:t>: 2005 06 21 įstatymu Nr. X-259 (nuo 2005 06 30)</w:t>
      </w:r>
    </w:p>
    <w:p w14:paraId="531C4580" w14:textId="77777777" w:rsidR="00093845" w:rsidRDefault="000D779E" w:rsidP="00EC4E29">
      <w:pPr>
        <w:pStyle w:val="Pagrindiniotekstotrauka"/>
        <w:numPr>
          <w:ilvl w:val="0"/>
          <w:numId w:val="61"/>
        </w:numPr>
        <w:rPr>
          <w:b/>
          <w:bCs/>
          <w:lang w:val="lt-LT"/>
        </w:rPr>
      </w:pPr>
      <w:r>
        <w:rPr>
          <w:b/>
          <w:bCs/>
          <w:lang w:val="lt-LT"/>
        </w:rPr>
        <w:t>kompensacijos, gautos pagal Europos Sąjun</w:t>
      </w:r>
      <w:r w:rsidR="00E079AB">
        <w:rPr>
          <w:b/>
          <w:bCs/>
          <w:lang w:val="lt-LT"/>
        </w:rPr>
        <w:t xml:space="preserve">gos finansinės paramos Lietuvos </w:t>
      </w:r>
      <w:r>
        <w:rPr>
          <w:b/>
          <w:bCs/>
          <w:lang w:val="lt-LT"/>
        </w:rPr>
        <w:t xml:space="preserve">Respublikos programas už žvejybos laivų atidavimą į metalo laužą. </w:t>
      </w:r>
    </w:p>
    <w:p w14:paraId="7EA3179D" w14:textId="77777777" w:rsidR="00093845" w:rsidRPr="00582607" w:rsidRDefault="000D779E" w:rsidP="00477AF7">
      <w:pPr>
        <w:pStyle w:val="Pagrindiniotekstotrauka"/>
        <w:numPr>
          <w:ilvl w:val="255"/>
          <w:numId w:val="0"/>
        </w:numPr>
        <w:rPr>
          <w:rFonts w:ascii="Times New Roman" w:hAnsi="Times New Roman" w:cs="Times New Roman"/>
          <w:bCs/>
          <w:i/>
          <w:lang w:val="lt-LT"/>
        </w:rPr>
      </w:pPr>
      <w:r w:rsidRPr="00582607">
        <w:rPr>
          <w:rFonts w:ascii="Times New Roman" w:hAnsi="Times New Roman" w:cs="Times New Roman"/>
          <w:bCs/>
          <w:i/>
          <w:lang w:val="lt-LT"/>
        </w:rPr>
        <w:lastRenderedPageBreak/>
        <w:t>(</w:t>
      </w:r>
      <w:r w:rsidRPr="00582607">
        <w:rPr>
          <w:i/>
          <w:iCs/>
          <w:color w:val="000000"/>
          <w:lang w:val="lt-LT" w:eastAsia="lt-LT"/>
        </w:rPr>
        <w:t>KEISTA: 2005 06 30 įstatymu Nr. X-297 (nuo 2005 07 14)</w:t>
      </w:r>
      <w:r w:rsidR="00655350" w:rsidRPr="00582607">
        <w:rPr>
          <w:i/>
          <w:iCs/>
          <w:color w:val="000000"/>
          <w:lang w:val="lt-LT" w:eastAsia="lt-LT"/>
        </w:rPr>
        <w:t>,</w:t>
      </w:r>
      <w:r w:rsidR="008C08B5" w:rsidRPr="00582607">
        <w:rPr>
          <w:i/>
          <w:lang w:val="lt-LT"/>
        </w:rPr>
        <w:t xml:space="preserve"> </w:t>
      </w:r>
      <w:r w:rsidR="008C08B5" w:rsidRPr="00582607">
        <w:rPr>
          <w:i/>
          <w:iCs/>
          <w:color w:val="000000"/>
          <w:lang w:val="lt-LT" w:eastAsia="lt-LT"/>
        </w:rPr>
        <w:t>nuostatos taikomos apskaičiuojant 2005 metais prasidėjusio ir vėlesnių mokestinių laikotarpių apmokestinamąjį pelną</w:t>
      </w:r>
      <w:r w:rsidRPr="00582607">
        <w:rPr>
          <w:rFonts w:ascii="Times New Roman" w:hAnsi="Times New Roman" w:cs="Times New Roman"/>
          <w:bCs/>
          <w:i/>
          <w:lang w:val="lt-LT"/>
        </w:rPr>
        <w:t>)</w:t>
      </w:r>
    </w:p>
    <w:p w14:paraId="51CDD340" w14:textId="77777777" w:rsidR="00093845" w:rsidRDefault="000D779E">
      <w:pPr>
        <w:pStyle w:val="Antrat3"/>
        <w:tabs>
          <w:tab w:val="left" w:pos="720"/>
          <w:tab w:val="left" w:pos="1077"/>
          <w:tab w:val="left" w:pos="1418"/>
        </w:tabs>
        <w:rPr>
          <w:bCs w:val="0"/>
        </w:rPr>
      </w:pPr>
      <w:r>
        <w:rPr>
          <w:bCs w:val="0"/>
        </w:rPr>
        <w:t>Komentaras</w:t>
      </w:r>
    </w:p>
    <w:p w14:paraId="602E29C5" w14:textId="77777777" w:rsidR="00093845" w:rsidRDefault="000D779E">
      <w:pPr>
        <w:pStyle w:val="Pagrindiniotekstotrauka3"/>
      </w:pPr>
      <w:r>
        <w:t xml:space="preserve">Lietuvos Respublikos Vyriausybės 2004 m. rugpjūčio 2 d. </w:t>
      </w:r>
      <w:r w:rsidR="00620E9F" w:rsidRPr="00477AF7">
        <w:rPr>
          <w:rStyle w:val="Hipersaitas"/>
          <w:rFonts w:cs="Times New Roman"/>
          <w:b w:val="0"/>
          <w:bCs w:val="0"/>
          <w:kern w:val="0"/>
          <w:lang w:val="lt-LT"/>
        </w:rPr>
        <w:t>nutarimu Nr. 935</w:t>
      </w:r>
      <w:r w:rsidRPr="00477AF7">
        <w:t xml:space="preserve"> </w:t>
      </w:r>
      <w:r>
        <w:t>yra patvirtintas Lietuvos 2004–2006 metų bendrasis programavimo dokumentas (toliau - BPD), kuriame yra nustatyti prioritetai ir Europos Sąjungos struktūrinių fondų remiamos priemonės. Vienas iš numatytų prioritetų yra Kaimo plėtros ir žuvininkystės prioritetas, turintis dešimt Europos Sąjungos  struktūrinių fondų remiamų priemonių.</w:t>
      </w:r>
    </w:p>
    <w:p w14:paraId="66055D81" w14:textId="77777777" w:rsidR="00093845" w:rsidRDefault="000D779E">
      <w:pPr>
        <w:pStyle w:val="Pagrindiniotekstotrauka3"/>
      </w:pPr>
      <w:r>
        <w:t xml:space="preserve">Konkretūs dydžiai ir reikalavimai pareiškėjams, siekiantiems gauti paramą iš ES  struktūrinių fondų pagal Lietuvos 2004-2006  metų bendrojo programavimo dokumento Kaimo plėtros ir žuvininkystės  prioriteto priemonės „Veikla, susijusi su žvejybos laivynu“ veiklos sritį „Žvejybos laivų atidavimas į metalo laužą“ yra nustatyti 2004 m. liepos 20 d. Lietuvos Respublikos žemės ūkio ministro </w:t>
      </w:r>
      <w:r w:rsidR="00620E9F" w:rsidRPr="00477AF7">
        <w:rPr>
          <w:rStyle w:val="Hipersaitas"/>
          <w:rFonts w:cs="Times New Roman"/>
          <w:b w:val="0"/>
          <w:bCs w:val="0"/>
          <w:kern w:val="0"/>
          <w:lang w:val="lt-LT"/>
        </w:rPr>
        <w:t>įsakymu Nr. 3D-449</w:t>
      </w:r>
      <w:r>
        <w:t xml:space="preserve"> „Dėl gairių pareiškėjams, teikiantiems projektus paramai gauti pagal Lietuvos 2004-2006 metų bendrojo programavimo dokumento (BPD) Kaimo plėtros ir žuvininkystės prioriteto žuvininkystės priemones patvirtinimo“. </w:t>
      </w:r>
    </w:p>
    <w:p w14:paraId="76E11020" w14:textId="77777777" w:rsidR="00093845" w:rsidRDefault="000D779E">
      <w:pPr>
        <w:pStyle w:val="Pagrindiniotekstotrauka3"/>
      </w:pPr>
      <w:r>
        <w:t>Vienetų gautos kompensacijos pagal Lietuvos 2004-2006 metų bendrojo programavimo dokumento Kaimo plėtros ir žuvininkystės  prioriteto priemonės "Veikla, susijusi su žvejybos laivynu“ veiklos sritį „Žvejybos laivų atidavimas į metalo laužą“ yra priskiriamos neapmokestinamosioms pajamoms.</w:t>
      </w:r>
    </w:p>
    <w:p w14:paraId="33349BE7" w14:textId="77777777" w:rsidR="00093845" w:rsidRDefault="000D779E">
      <w:pPr>
        <w:pStyle w:val="Pagrindiniotekstotrauka3"/>
      </w:pPr>
      <w:r>
        <w:t xml:space="preserve">Pavyzdys </w:t>
      </w:r>
    </w:p>
    <w:p w14:paraId="044DC590"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Vienetas X,  įgyvendinantis projektą „Žvejybos laivo LBB – 1036 atidavimas į metalo laužą”, su Nacionaline mokėjimo agentūra prie Žemės ūkio ministerijos yra sudaręs sutartį, kurioje yra nustatyta tvarka ir sąlygos šio projekto vykdymui. Šioje sutartyje yra numatyta vienetui X išmokėti 1600 600 Lt vienkartinę kompensaciją už laivo LBB – 1036 atidavimą į metalo laužą, iš jos: </w:t>
      </w:r>
    </w:p>
    <w:p w14:paraId="36A0D438"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Europos Sąjungos struktūrinio fondo – Žuvininkystės orientavimo finansinio instrumento lėšos – 1200450 Lt, t.y. 75 proc. kompensacijos sumos;</w:t>
      </w:r>
    </w:p>
    <w:p w14:paraId="52FA36F1"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 Lietuvos valstybės biudžeto lėšos – 400150 Lt, t.y. 25 proc. kompensacijos sumos.  </w:t>
      </w:r>
    </w:p>
    <w:p w14:paraId="641AAA25"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 xml:space="preserve">Vienkartinė kompensacija už laivo LBB – 1036 atidavimą į metalo laužą vienetui X yra išmokėta 2005 m. birželio 30 d. </w:t>
      </w:r>
    </w:p>
    <w:p w14:paraId="6DFE2B2D" w14:textId="77777777" w:rsidR="00093845" w:rsidRDefault="000D779E">
      <w:pPr>
        <w:pStyle w:val="Pagrindiniotekstotrauka3"/>
        <w:pBdr>
          <w:top w:val="single" w:sz="4" w:space="1" w:color="auto"/>
          <w:left w:val="single" w:sz="4" w:space="4" w:color="auto"/>
          <w:bottom w:val="single" w:sz="4" w:space="1" w:color="auto"/>
          <w:right w:val="single" w:sz="4" w:space="4" w:color="auto"/>
        </w:pBdr>
      </w:pPr>
      <w:r>
        <w:t>Šiuo atveju, vieneto X gauta 1600 600 Lt vienkartinė kompensacija už laivo LBB – 1036 atidavimą į metalo laužą, apskaičiuojant 2005 metų apmokestinamąjį pelną, yra priskiriama neapmokestinamosioms pajamoms.</w:t>
      </w:r>
    </w:p>
    <w:p w14:paraId="4ACB401A" w14:textId="77777777" w:rsidR="00093845" w:rsidRDefault="000D779E">
      <w:pPr>
        <w:pStyle w:val="Pagrindiniotekstotrauka3"/>
      </w:pPr>
      <w:r>
        <w:t>Šio punkto nuostata taikoma apskaičiuojant 2005 metais prasidėjusio ir vėlesnių mokestinių laikotarpių apmokestinamąjį pelną.</w:t>
      </w:r>
    </w:p>
    <w:p w14:paraId="72670EDE" w14:textId="77777777" w:rsidR="00D64187" w:rsidRPr="00A50D72" w:rsidRDefault="00D64187" w:rsidP="00D64187">
      <w:pPr>
        <w:spacing w:before="100" w:beforeAutospacing="1" w:after="100" w:afterAutospacing="1" w:line="240" w:lineRule="auto"/>
        <w:ind w:firstLine="720"/>
        <w:jc w:val="both"/>
        <w:rPr>
          <w:b/>
          <w:lang w:val="lt-LT" w:eastAsia="lt-LT"/>
        </w:rPr>
      </w:pPr>
      <w:r w:rsidRPr="00A50D72">
        <w:rPr>
          <w:b/>
          <w:color w:val="000000"/>
          <w:lang w:val="lt-LT" w:eastAsia="lt-LT"/>
        </w:rPr>
        <w:t xml:space="preserve">15) turto vertės padidėjimo pajamos už vieneto, kuris įregistruotas ar kitaip organizuotas Europos ekonominės erdvės valstybėje arba valstybėje, su kuria sudaryta ir taikoma dvigubo apmokestinimo išvengimo sutartis, ir kuris yra pelno mokesčio arba jam tapataus mokesčio mokėtojas, akcijų perleidimą kitam vienetui arba fiziniam asmeniui, jei akcijas perleidžiantis vienetas ne trumpiau kaip 2 metus be pertraukų turėjo daugiau kaip 10 procentų balsus suteikiančių šio vieneto akcijų arba jei akcijos buvo perleistos šio Įstatymo 41 straipsnio 2 dalyje nurodytais reorganizavimo ar perleidimo atvejais, ne trumpiau kaip 3 metus be pertraukų turėjo daugiau kaip 10 procentų balsus suteikiančių šio vieneto akcijų. Ši lengvata netaikoma tuo atveju, kai turtas perkeliamas, taip pat tuo atveju, kai akcijas perleidžiantis vienetas jas </w:t>
      </w:r>
      <w:r w:rsidRPr="00A50D72">
        <w:rPr>
          <w:b/>
          <w:color w:val="000000"/>
          <w:lang w:val="lt-LT" w:eastAsia="lt-LT"/>
        </w:rPr>
        <w:lastRenderedPageBreak/>
        <w:t xml:space="preserve">perleidžia šias akcijas išleidusiam vienetui. Į šiame punkte nustatytus terminus dėl akcijų turėjimo neatsižvelgiama tais atvejais, kai akcijos perleidžiamos dėl teisės aktų reikalavimų. Šiame punkte vartojama sąvoka „akcija“ apima ir turimas teises į </w:t>
      </w:r>
      <w:r w:rsidRPr="00A50D72">
        <w:rPr>
          <w:b/>
          <w:lang w:val="lt-LT" w:eastAsia="lt-LT"/>
        </w:rPr>
        <w:t>rizikos ir privataus kapitalo subjektų</w:t>
      </w:r>
      <w:r w:rsidRPr="00A50D72">
        <w:rPr>
          <w:b/>
          <w:color w:val="000000"/>
          <w:lang w:val="lt-LT" w:eastAsia="lt-LT"/>
        </w:rPr>
        <w:t xml:space="preserve"> paskirstytinojo pelno dalį;</w:t>
      </w:r>
      <w:r w:rsidRPr="00A50D72">
        <w:rPr>
          <w:b/>
          <w:lang w:val="lt-LT" w:eastAsia="lt-LT"/>
        </w:rPr>
        <w:t xml:space="preserve"> </w:t>
      </w:r>
    </w:p>
    <w:p w14:paraId="76B24A4A" w14:textId="77777777" w:rsidR="00D64187" w:rsidRPr="00582607" w:rsidRDefault="00833873" w:rsidP="00D64187">
      <w:pPr>
        <w:spacing w:before="100" w:beforeAutospacing="1" w:after="100" w:afterAutospacing="1" w:line="240" w:lineRule="auto"/>
        <w:jc w:val="both"/>
        <w:rPr>
          <w:i/>
        </w:rPr>
      </w:pPr>
      <w:r w:rsidRPr="00582607">
        <w:rPr>
          <w:i/>
          <w:iCs/>
        </w:rPr>
        <w:t xml:space="preserve"> </w:t>
      </w:r>
      <w:r>
        <w:rPr>
          <w:i/>
          <w:iCs/>
        </w:rPr>
        <w:t>(Papildyta</w:t>
      </w:r>
      <w:r w:rsidR="00D64187" w:rsidRPr="00582607">
        <w:rPr>
          <w:i/>
          <w:iCs/>
        </w:rPr>
        <w:t xml:space="preserve"> 2019-12-17, </w:t>
      </w:r>
      <w:r w:rsidR="00D64187" w:rsidRPr="00582607">
        <w:rPr>
          <w:i/>
          <w:lang w:val="lt-LT"/>
        </w:rPr>
        <w:t xml:space="preserve">įstatymu </w:t>
      </w:r>
      <w:r w:rsidR="00D64187" w:rsidRPr="00582607">
        <w:rPr>
          <w:i/>
          <w:iCs/>
        </w:rPr>
        <w:t xml:space="preserve">Nr. </w:t>
      </w:r>
      <w:hyperlink r:id="rId63" w:tgtFrame="_parent" w:history="1">
        <w:r w:rsidR="00D64187" w:rsidRPr="00582607">
          <w:rPr>
            <w:rStyle w:val="Hipersaitas"/>
            <w:rFonts w:ascii="Times New Roman" w:hAnsi="Times New Roman" w:cs="Times New Roman"/>
            <w:b w:val="0"/>
            <w:i/>
            <w:iCs/>
          </w:rPr>
          <w:t>XIII-2694</w:t>
        </w:r>
      </w:hyperlink>
      <w:r w:rsidR="00D64187" w:rsidRPr="00582607">
        <w:rPr>
          <w:i/>
          <w:iCs/>
        </w:rPr>
        <w:t xml:space="preserve"> </w:t>
      </w:r>
      <w:r w:rsidR="00D64187" w:rsidRPr="00582607">
        <w:rPr>
          <w:i/>
          <w:lang w:val="lt-LT"/>
        </w:rPr>
        <w:t>(nuo 2020 01 01))</w:t>
      </w:r>
    </w:p>
    <w:p w14:paraId="30D8EB99" w14:textId="77777777" w:rsidR="00093845" w:rsidRDefault="00B36C60">
      <w:pPr>
        <w:pStyle w:val="prastasiniatinklio"/>
        <w:spacing w:before="0" w:beforeAutospacing="0" w:after="0" w:afterAutospacing="0"/>
        <w:ind w:firstLine="720"/>
        <w:jc w:val="both"/>
        <w:rPr>
          <w:b/>
        </w:rPr>
      </w:pPr>
      <w:r>
        <w:rPr>
          <w:b/>
        </w:rPr>
        <w:t>Komentaras</w:t>
      </w:r>
    </w:p>
    <w:p w14:paraId="0CD32A05" w14:textId="77777777" w:rsidR="00B36C60" w:rsidRPr="00477AF7" w:rsidRDefault="00B36C60">
      <w:pPr>
        <w:pStyle w:val="prastasiniatinklio"/>
        <w:spacing w:before="0" w:beforeAutospacing="0" w:after="0" w:afterAutospacing="0"/>
        <w:ind w:firstLine="720"/>
        <w:jc w:val="both"/>
        <w:rPr>
          <w:b/>
        </w:rPr>
      </w:pPr>
    </w:p>
    <w:p w14:paraId="1BFFC8B3" w14:textId="77777777" w:rsidR="00093845" w:rsidRDefault="000D779E">
      <w:pPr>
        <w:pStyle w:val="prastasiniatinklio"/>
        <w:spacing w:before="0" w:beforeAutospacing="0" w:after="0" w:afterAutospacing="0"/>
        <w:ind w:firstLine="720"/>
        <w:jc w:val="both"/>
      </w:pPr>
      <w:r>
        <w:t xml:space="preserve">1. Šio punkto nuostata taikoma apmokestinant turto vertės padidėjimo pajamas, kurias gauna: </w:t>
      </w:r>
    </w:p>
    <w:p w14:paraId="3EC34E6C" w14:textId="77777777" w:rsidR="00093845" w:rsidRDefault="000D779E">
      <w:pPr>
        <w:pStyle w:val="prastasiniatinklio"/>
        <w:spacing w:before="0" w:beforeAutospacing="0" w:after="0" w:afterAutospacing="0"/>
        <w:jc w:val="both"/>
      </w:pPr>
      <w:r>
        <w:tab/>
        <w:t xml:space="preserve">- Lietuvos vienetas arba </w:t>
      </w:r>
    </w:p>
    <w:p w14:paraId="65A46571" w14:textId="77777777" w:rsidR="00093845" w:rsidRDefault="000D779E">
      <w:pPr>
        <w:pStyle w:val="prastasiniatinklio"/>
        <w:spacing w:before="0" w:beforeAutospacing="0" w:after="0" w:afterAutospacing="0"/>
        <w:jc w:val="both"/>
      </w:pPr>
      <w:r>
        <w:tab/>
        <w:t xml:space="preserve">- užsienio vienetas, veikiantis per nuolatinę buveinę Lietuvoje, jeigu akcijos, kurias perleidus gaunamos turto vertės padidėjimo pajamos, yra susijusios su tokia nuolatine buveine (toliau – vienetas). </w:t>
      </w:r>
    </w:p>
    <w:p w14:paraId="6ED48294" w14:textId="77777777" w:rsidR="00093845" w:rsidRDefault="000D779E">
      <w:pPr>
        <w:pStyle w:val="prastasiniatinklio"/>
        <w:spacing w:before="0" w:beforeAutospacing="0" w:after="0" w:afterAutospacing="0"/>
        <w:ind w:firstLine="720"/>
        <w:jc w:val="both"/>
      </w:pPr>
      <w:r>
        <w:t xml:space="preserve">2. Vieneto neapmokestinamosioms pajamoms priskiriamos turto vertės padidėjimo pajamos už jo turimų kito vieneto akcijų perleidimą, kai tenkinamos šios sąlygos: </w:t>
      </w:r>
    </w:p>
    <w:p w14:paraId="69A2627F" w14:textId="77777777" w:rsidR="00093845" w:rsidRDefault="000D779E">
      <w:pPr>
        <w:pStyle w:val="prastasiniatinklio"/>
        <w:spacing w:before="0" w:beforeAutospacing="0" w:after="0" w:afterAutospacing="0"/>
        <w:jc w:val="both"/>
        <w:rPr>
          <w:b/>
        </w:rPr>
      </w:pPr>
      <w:r>
        <w:tab/>
        <w:t>- perleidžiamos Lietuvos vieneto, kuris yra pelno mokesčio mokėtojas, akcijos,</w:t>
      </w:r>
      <w:r>
        <w:rPr>
          <w:rStyle w:val="Grietas"/>
        </w:rPr>
        <w:t xml:space="preserve"> arba </w:t>
      </w:r>
      <w:r>
        <w:t xml:space="preserve">užsienio vieneto, kuris yra pelno mokesčio ar jam tapataus mokesčio mokėtojas, įregistruotas ar kitaip organizuotas Europos ekonominės erdvės valstybėje arba valstybėje, su kuria sudaryta ir taikoma dvigubo apmokestinimo išvengimo sutartis (toliau – užsienio vienetas), akcijos, </w:t>
      </w:r>
      <w:r>
        <w:rPr>
          <w:rStyle w:val="Grietas"/>
        </w:rPr>
        <w:t xml:space="preserve">ir </w:t>
      </w:r>
    </w:p>
    <w:p w14:paraId="15A9905C" w14:textId="77777777" w:rsidR="00093845" w:rsidRDefault="000D779E">
      <w:pPr>
        <w:pStyle w:val="prastasiniatinklio"/>
        <w:spacing w:before="0" w:beforeAutospacing="0" w:after="0" w:afterAutospacing="0"/>
        <w:jc w:val="both"/>
      </w:pPr>
      <w:r>
        <w:tab/>
        <w:t xml:space="preserve">- akcijas perleidžiantis vienetas tame vienete, kurio akcijas jis perleidžia, turėjo daugiau kaip 10 proc. (pagal iki 2017 metų galiojančią redakciją – 25 proc.) balsus suteikiančių akcijų ne trumpiau kaip 2 metus be pertraukų </w:t>
      </w:r>
      <w:r>
        <w:rPr>
          <w:b/>
        </w:rPr>
        <w:t>arba</w:t>
      </w:r>
      <w:r>
        <w:t xml:space="preserve"> </w:t>
      </w:r>
    </w:p>
    <w:p w14:paraId="2513D451" w14:textId="77777777" w:rsidR="00093845" w:rsidRDefault="000D779E">
      <w:pPr>
        <w:pStyle w:val="prastasiniatinklio"/>
        <w:spacing w:before="0" w:beforeAutospacing="0" w:after="0" w:afterAutospacing="0"/>
        <w:ind w:firstLine="720"/>
        <w:jc w:val="both"/>
      </w:pPr>
      <w:r>
        <w:t>- akcijas perleidžiantis vienetas tame vienete, kurio akcijas jis perleidžia, turėjo daugiau kaip 10 proc. (pagal iki 2017 metų galiojančią redakciją – 25 proc.) balsus suteikiančių akcijų ne trumpiau kaip 3 metus be pertraukų, jei akcijos buvo perleistos PMĮ 41 str. 2 dalyje nurodytais reorganizavimo ar perleidimo atvejais.</w:t>
      </w:r>
    </w:p>
    <w:p w14:paraId="04C4F86D" w14:textId="77777777" w:rsidR="00093845" w:rsidRDefault="000D779E">
      <w:pPr>
        <w:pStyle w:val="prastasiniatinklio"/>
        <w:spacing w:before="0" w:beforeAutospacing="0" w:after="0" w:afterAutospacing="0"/>
        <w:ind w:firstLine="720"/>
        <w:jc w:val="both"/>
        <w:rPr>
          <w:rFonts w:eastAsia="MS PGothic"/>
          <w:color w:val="000000" w:themeColor="text1"/>
          <w:kern w:val="24"/>
        </w:rPr>
      </w:pPr>
      <w:r>
        <w:t xml:space="preserve">Šiame punkte vartojama sąvoka „akcija“ apima ir turimas teises į rizikos ir privataus kapitalo subjektų paskirstytinojo pelno dalį. Todėl </w:t>
      </w:r>
      <w:r>
        <w:rPr>
          <w:rFonts w:eastAsia="MS PGothic"/>
          <w:color w:val="000000" w:themeColor="text1"/>
          <w:kern w:val="24"/>
        </w:rPr>
        <w:t>nuo 2018 metų PMĮ 12 str. 15 punkto lengvata akcijų perleidimui taikoma ne tik perleidžiant akcijas, bet ir turimas teises į rizikos ir privataus kapitalo subjektų paskirstytinojo pelno dalį.</w:t>
      </w:r>
    </w:p>
    <w:p w14:paraId="137B2EA3" w14:textId="77777777" w:rsidR="00093845" w:rsidRDefault="00093845">
      <w:pPr>
        <w:pStyle w:val="prastasiniatinklio"/>
        <w:spacing w:before="0" w:beforeAutospacing="0" w:after="0" w:afterAutospacing="0"/>
        <w:ind w:firstLine="720"/>
        <w:jc w:val="both"/>
        <w:rPr>
          <w:rFonts w:eastAsia="MS PGothic"/>
          <w:kern w:val="24"/>
        </w:rPr>
      </w:pPr>
    </w:p>
    <w:p w14:paraId="77B8F02A" w14:textId="77777777" w:rsidR="00093845" w:rsidRDefault="000D779E">
      <w:pPr>
        <w:pStyle w:val="prastasiniatinklio"/>
        <w:spacing w:before="0" w:beforeAutospacing="0" w:after="0" w:afterAutospacing="0"/>
        <w:ind w:firstLine="720"/>
        <w:jc w:val="both"/>
        <w:rPr>
          <w:rFonts w:eastAsia="MS PGothic"/>
          <w:kern w:val="24"/>
        </w:rPr>
      </w:pPr>
      <w:r>
        <w:rPr>
          <w:rFonts w:eastAsia="MS PGothic"/>
          <w:kern w:val="24"/>
        </w:rPr>
        <w:t>Pavyzdys</w:t>
      </w:r>
    </w:p>
    <w:p w14:paraId="0CE26A01" w14:textId="77777777" w:rsidR="00093845" w:rsidRDefault="00093845">
      <w:pPr>
        <w:pStyle w:val="prastasiniatinklio"/>
        <w:spacing w:before="0" w:beforeAutospacing="0" w:after="0" w:afterAutospacing="0"/>
        <w:ind w:firstLine="720"/>
        <w:jc w:val="both"/>
        <w:rPr>
          <w:rFonts w:eastAsia="MS PGothic"/>
          <w:kern w:val="24"/>
        </w:rPr>
      </w:pPr>
    </w:p>
    <w:p w14:paraId="65096DD2"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UAB X 2018 metų sausio 10 d. sudarė sutartį su rizikos ir privataus kapitalo fondu ir įsigijo 15 000 investicinio fondo vienetų, kurie sudaro  12 proc. fondo numatyto kapitalo. Atsižvelgiant į tai, kad įsigyti investicinio fondo vienetai yra prilyginami akcijoms, jų perleidimo momentu, jei yra išpildomi reikalavimai numatyti PMĮ 12 str. 15 punkte, vieneto perleidimo pajamos priskiriamos pelno mokesčiu neapmokestinamosioms pajamoms.</w:t>
      </w:r>
    </w:p>
    <w:p w14:paraId="35C6F9BD" w14:textId="77777777" w:rsidR="00093845" w:rsidRDefault="00093845">
      <w:pPr>
        <w:pStyle w:val="prastasiniatinklio"/>
        <w:spacing w:before="0" w:beforeAutospacing="0" w:after="0" w:afterAutospacing="0"/>
        <w:ind w:firstLine="720"/>
        <w:jc w:val="both"/>
      </w:pPr>
    </w:p>
    <w:p w14:paraId="2D67A971" w14:textId="77777777" w:rsidR="00093845" w:rsidRDefault="000D779E">
      <w:pPr>
        <w:pStyle w:val="prastasiniatinklio"/>
        <w:spacing w:before="0" w:beforeAutospacing="0" w:after="0" w:afterAutospacing="0"/>
        <w:ind w:firstLine="720"/>
        <w:jc w:val="both"/>
      </w:pPr>
      <w:r>
        <w:t xml:space="preserve">Ši lengvata netaikoma tuo atveju, kai akcijas perleidžiantis vienetas jas perleidžia šias akcijas išleidusiam vienetui. </w:t>
      </w:r>
    </w:p>
    <w:p w14:paraId="7CDC2F76" w14:textId="77777777" w:rsidR="00093845" w:rsidRDefault="000D779E">
      <w:pPr>
        <w:pStyle w:val="prastasiniatinklio"/>
        <w:spacing w:before="0" w:beforeAutospacing="0" w:after="0" w:afterAutospacing="0"/>
        <w:ind w:firstLine="720"/>
        <w:jc w:val="both"/>
      </w:pPr>
      <w:r>
        <w:t xml:space="preserve">Apskaičiuojant apmokestinamąjį pelną, į šiame punkte nustatytus akcijų išlaikymo terminus neatsižvelgiama tais atvejais, kai akcijos perleidžiamos dėl teisės aktų reikalavimų. </w:t>
      </w:r>
    </w:p>
    <w:p w14:paraId="2615B2C9" w14:textId="77777777" w:rsidR="00093845" w:rsidRDefault="000D779E">
      <w:pPr>
        <w:pStyle w:val="prastasiniatinklio"/>
        <w:spacing w:before="0" w:beforeAutospacing="0" w:after="0" w:afterAutospacing="0"/>
        <w:ind w:firstLine="720"/>
        <w:jc w:val="both"/>
      </w:pPr>
      <w:r>
        <w:t xml:space="preserve">3. Lengvata taikoma už perleidimą akcijų vieneto, kuris įregistruotas ar kitaip organizuotas Europos ekonominės erdvės valstybėje arba valstybėje, su kuria sudaryta ir taikoma dvigubo apmokestinimo išvengimo sutartis, ir kuris yra pelno mokesčio arba jam tapataus mokesčio mokėtojas. Pagal Europos ekonominės erdvės susitarimą Europos ekonominei erdvei priklauso Europos Sąjungos (toliau – ES) valstybės – narės bei Islandija, Lichtenšteinas ir Norvegija. Lietuvoje taikomos 54 dvigubo apmokestinimo išvengimo sutartys (su Airija, Armėnija, Austrija, Azerbaidžanu, Baltarusija, </w:t>
      </w:r>
      <w:r>
        <w:lastRenderedPageBreak/>
        <w:t>Belgija, Bulgarija, Čekija, Danija, Estija, Graikija, Gruzija, Indija, Islandija, Italija, Ispanija, Izraeliu, Jungtinėmis Amerikos Valstijomis, Didžiosios Britanijos ir Šiaurės Airijos Jungtine Karalyste, Jungtiniais Arabų Emiratais, Kanada, Kazachstanu, Kinija, Kirgizija, Korėja (Korėjos Respublika), Kipru, Kroatija, Kuveitu, Latvija, Lenkija, Liuksemburgu, Makedonija, Malta, Meksika, Moldova, Nyderlandais, Norvegija, Prancūzija, Portugalija, Rumunija, Rusija, Serbija, Singapūru, Slovakija, Slovėnija, Suomija, Švedija, Šveicarija, Turkija, Turkmėnistanu, Ukraina, Uzbekistanu, Vengrija, Vokietija).</w:t>
      </w:r>
    </w:p>
    <w:p w14:paraId="297898AC" w14:textId="77777777" w:rsidR="00093845" w:rsidRDefault="000D779E">
      <w:pPr>
        <w:pStyle w:val="prastasiniatinklio"/>
        <w:spacing w:before="0" w:beforeAutospacing="0" w:after="0" w:afterAutospacing="0"/>
        <w:ind w:firstLine="720"/>
        <w:jc w:val="both"/>
      </w:pPr>
      <w:r>
        <w:t xml:space="preserve">4. Taikant šio punkto nuostatas laikoma, kad vienetas ne trumpiau kaip 2 metus (jei akcijos buvo perleistos PMĮ 41 str. 2 dalyje nustatytais reorganizavimo ar perleidimo atvejais - 3 metus) be pertraukų turėjo daugiau kaip 10 (pagal iki 2017 metų galiojančią redakciją – 25 proc.) </w:t>
      </w:r>
      <w:r>
        <w:rPr>
          <w:strike/>
        </w:rPr>
        <w:t xml:space="preserve"> </w:t>
      </w:r>
      <w:r>
        <w:t xml:space="preserve"> procentų balsus suteikiančių kito vieneto akcijų</w:t>
      </w:r>
      <w:r>
        <w:rPr>
          <w:rStyle w:val="Grietas"/>
        </w:rPr>
        <w:t xml:space="preserve">, jei jis tame </w:t>
      </w:r>
      <w:r>
        <w:t>kitame vienete</w:t>
      </w:r>
      <w:r>
        <w:rPr>
          <w:rStyle w:val="Grietas"/>
        </w:rPr>
        <w:t> </w:t>
      </w:r>
      <w:r>
        <w:t>nuosavybės teise turėjo (tiesiogiai valdė) 10 (pagal iki 2017 metų galiojančią redakciją – 25 proc.) proc. plius 1 akcijos ar daugiau balsus suteikiančių akcijų</w:t>
      </w:r>
      <w:r>
        <w:rPr>
          <w:rStyle w:val="Grietas"/>
        </w:rPr>
        <w:t> </w:t>
      </w:r>
      <w:r>
        <w:t>paketą ne trumpiau kaip 24 mėnesius (jei akcijos buvo perleistos PMĮ 41 str. 2 dalyje nustatytais reorganizavimo ar perleidimo atvejais - 36 mėnesius) bet kurią minėto laikotarpio dieną, nepaisant to, ar per minėtą laikotarpį jis įsigijo (perleido) to paties vieneto akcijų bei nepaisant to kito vieneto akcinio kapitalo pokyčių (naujų akcijų emisijų ar kapitalo mažinimų).</w:t>
      </w:r>
    </w:p>
    <w:p w14:paraId="1285B52F" w14:textId="77777777" w:rsidR="00093845" w:rsidRDefault="000D779E">
      <w:pPr>
        <w:pStyle w:val="prastasiniatinklio"/>
        <w:spacing w:before="0" w:beforeAutospacing="0" w:after="0" w:afterAutospacing="0"/>
        <w:ind w:firstLine="720"/>
        <w:jc w:val="both"/>
      </w:pPr>
      <w:r>
        <w:t>Jei akcijos (ar jų dalis) buvo perleistos pagal atpirkimo sandorį, tai atpirkimo sandorio galiojimo laikotarpis įskaitomas į nepertraukiamą 2 metų laikotarpį (jei akcijos buvo perleistos PMĮ 41 str. 2 d. nustatytais reorganizavimo ar perleidimo atvejais – 3 metų laikotarpį), jei šis sandoris nelaikomas vertybinių popierių pirkimo – pardavimo sandoriu (žr. PMĮ 7 str. 1 d. komentarą).</w:t>
      </w:r>
    </w:p>
    <w:p w14:paraId="2E84967B" w14:textId="77777777" w:rsidR="00093845" w:rsidRDefault="000D779E">
      <w:pPr>
        <w:pStyle w:val="prastasiniatinklio"/>
        <w:spacing w:before="0" w:beforeAutospacing="0" w:after="0" w:afterAutospacing="0"/>
        <w:ind w:firstLine="720"/>
        <w:jc w:val="both"/>
        <w:rPr>
          <w:rStyle w:val="Grietas"/>
        </w:rPr>
      </w:pPr>
      <w:r>
        <w:t xml:space="preserve">5. Turto vertės padidėjimo pajamų už perleistas akcijas neapmokestinimo lengvata taikoma tik tuo atveju, kai akcijos perleidžiamos kitam vienetui ar fiziniam asmeniui, ir netaikoma, kai </w:t>
      </w:r>
      <w:r>
        <w:rPr>
          <w:rStyle w:val="Grietas"/>
        </w:rPr>
        <w:t xml:space="preserve">vienetas akcijas perleidžia pačiam tas akcijas išleidusiam vienetui (pvz., akcinei bendrovei įsigyjančiai savo akcijas, investicinei kintamojo kapitalo bendrovei jos dalyvio reikalavimu akcijas išperkant) arba akcijų anuliavimo atveju. </w:t>
      </w:r>
    </w:p>
    <w:p w14:paraId="2F8DAE52" w14:textId="77777777" w:rsidR="00833873" w:rsidRDefault="00833873" w:rsidP="00833873">
      <w:pPr>
        <w:tabs>
          <w:tab w:val="left" w:pos="9638"/>
        </w:tabs>
        <w:jc w:val="both"/>
      </w:pPr>
      <w:r>
        <w:t xml:space="preserve">           </w:t>
      </w:r>
      <w:r w:rsidRPr="002B3D21">
        <w:t>5</w:t>
      </w:r>
      <w:r w:rsidRPr="002B3D21">
        <w:rPr>
          <w:vertAlign w:val="superscript"/>
        </w:rPr>
        <w:t>1</w:t>
      </w:r>
      <w:r w:rsidRPr="002B3D21">
        <w:t xml:space="preserve">. Turto vertės padidėjimo pajamų už perleistas akcijas PMĮ 12 str. 15 punkte įtvirtinta neapmokestinimo lengvata netaikoma turto (akcijų) perkėlimo atvejais. </w:t>
      </w:r>
    </w:p>
    <w:p w14:paraId="69655E1F" w14:textId="77777777" w:rsidR="00833873" w:rsidRPr="002B3D21" w:rsidRDefault="00833873" w:rsidP="00833873">
      <w:pPr>
        <w:ind w:firstLine="567"/>
        <w:jc w:val="both"/>
      </w:pPr>
      <w:r w:rsidRPr="002B3D21">
        <w:t>Pavyzdys</w:t>
      </w:r>
    </w:p>
    <w:p w14:paraId="70D8BF66"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pPr>
      <w:r w:rsidRPr="002B3D21">
        <w:t xml:space="preserve">Lietuvos įmonė „X“, ilgiau kaip 2 metus valdanti 100 proc. penkių dukterinių Lietuvos įmonių ir vienos Kipro įmonės „Z“ akcijų, prijungiama prie dukterinės Kipro įmonės „Z“.  Prijungimo metu visų penkių Lietuvos dukterinių įmonių akcijų valdymas perkeltas tiesioginiam Kipro įmonei „Z“ valdymui. </w:t>
      </w:r>
    </w:p>
    <w:p w14:paraId="46339AB9"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rPr>
          <w:bCs/>
        </w:rPr>
      </w:pPr>
      <w:r w:rsidRPr="002B3D21">
        <w:rPr>
          <w:bCs/>
        </w:rPr>
        <w:t xml:space="preserve">Šiuo atveju Lietuvos įmonių akcijų perleidimo pajamos bus apmokestintos kaip turto perkėlimo atvejis, netaikant PMĮ 12 str. 15 punkte įtvirtintos neapmokestinimo išimties, nes Kipro įmonė nebetęsia akcijų valdymo veiklos per nuolatinę buveinę Lietuvoje, t. y. nebus tenkinama PMĮ 41 str. 3 d. įtvirtinta mokestinio neutralumo sąlyga. </w:t>
      </w:r>
    </w:p>
    <w:p w14:paraId="44C38FFC" w14:textId="77777777" w:rsidR="00833873" w:rsidRPr="002B3D21" w:rsidRDefault="00833873" w:rsidP="00833873">
      <w:pPr>
        <w:pBdr>
          <w:top w:val="single" w:sz="4" w:space="1" w:color="auto"/>
          <w:left w:val="single" w:sz="4" w:space="4" w:color="auto"/>
          <w:bottom w:val="single" w:sz="4" w:space="1" w:color="auto"/>
          <w:right w:val="single" w:sz="4" w:space="4" w:color="auto"/>
        </w:pBdr>
        <w:ind w:firstLine="567"/>
        <w:jc w:val="both"/>
        <w:rPr>
          <w:b/>
        </w:rPr>
      </w:pPr>
    </w:p>
    <w:p w14:paraId="1D779C27" w14:textId="77777777" w:rsidR="00B754F1" w:rsidRDefault="00B754F1" w:rsidP="00B754F1">
      <w:pPr>
        <w:spacing w:before="100" w:beforeAutospacing="1" w:after="100" w:afterAutospacing="1"/>
        <w:jc w:val="both"/>
      </w:pPr>
      <w:r>
        <w:t>(Papildyta pagal VMI prie FM 2020-11-11 raštą Nr. (18.10-31-1E) RM-57235</w:t>
      </w:r>
      <w:r w:rsidR="003F6371">
        <w:t>)</w:t>
      </w:r>
    </w:p>
    <w:p w14:paraId="10AE4356" w14:textId="77777777" w:rsidR="00093845" w:rsidRDefault="000D779E">
      <w:pPr>
        <w:pStyle w:val="prastasiniatinklio"/>
        <w:spacing w:before="0" w:beforeAutospacing="0" w:after="0" w:afterAutospacing="0"/>
        <w:ind w:firstLine="720"/>
        <w:jc w:val="both"/>
      </w:pPr>
      <w:r>
        <w:t xml:space="preserve">6. Jeigu vienetų dalyviai (vienetai) mainais gauna kito vieneto akcijų PMĮ 41 str. 2 d. 1-3 punktuose nustatytais vienetų reorganizavimo atvejais, o po reorganizavimo to kito vieneto akcijas perleidžia fiziniams ar juridiniams asmenims, tai turto vertės padidėjimo pajamos už perleistas akcijas neapmokestinamos, jeigu akcijas perleidžiantis vienetas tame vienete, kurio akcijas jis perleido, ne trumpiau kaip 2 metus be pertraukų turėjo daugiau kaip 10 (pagal iki 2017 metų galiojančią redakciją – 25 proc.) proc. balsus suteikiančių akcijų. PMĮ 41 str. 2 d. 1-3 punktuose nustatytais vieneto reorganizavimo atvejais reikalavimas akcijas išlaikyti 3 metus netaikomas. </w:t>
      </w:r>
    </w:p>
    <w:p w14:paraId="0859F271" w14:textId="77777777" w:rsidR="00093845" w:rsidRDefault="000D779E">
      <w:pPr>
        <w:ind w:firstLine="720"/>
        <w:jc w:val="both"/>
        <w:rPr>
          <w:lang w:val="lt-LT"/>
        </w:rPr>
      </w:pPr>
      <w:r>
        <w:rPr>
          <w:lang w:val="lt-LT"/>
        </w:rPr>
        <w:lastRenderedPageBreak/>
        <w:t xml:space="preserve">Jeigu vienetų dalyviai (vienetai) vietoj turėtų akcijų mainais gauna kito vieneto akcijų PMĮ 41 str. 2 dalies 4, 5 ir 7 punktuose nustatytais reorganizavimo ar perleidimo atvejais ir jų neišlaiko 3 metus (kaip tai nustatyta PMĮ 42 str. 10 dalyje), tai toks sandoris laikomas apmokestinamuoju sandoriu, t.y. išmainytų akcijų pardavimu už tikrąją rinkos kainą mainais gautų akcijų įsigijimo nuosavybėn dieną. Turto vertės padidėjimo pajamos už taip perleistas akcijas priskiriamos vieneto dalyvio neapmokestinamosioms pajamoms, jei jis tame vienete, kurio akcijas jis perleido mainais už kito vieneto akcijas, ne trumpiau kaip 3 metus be pertraukų turėjo daugiau kaip 10 (pagal iki 2017 metų galiojančią redakciją – 25 proc.) proc. balsus suteikiančių akcijų. </w:t>
      </w:r>
    </w:p>
    <w:p w14:paraId="7DB6955D" w14:textId="77777777" w:rsidR="00093845" w:rsidRDefault="000D779E">
      <w:pPr>
        <w:pStyle w:val="prastasiniatinklio"/>
        <w:ind w:firstLine="720"/>
        <w:jc w:val="both"/>
      </w:pPr>
      <w:r>
        <w:t xml:space="preserve">1 pavyzdys </w:t>
      </w:r>
    </w:p>
    <w:p w14:paraId="608D197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19 d. akcinė bendrovė ,,A“ (toliau – bendrovė „A“), kurios mokestinis laikotarpis sutampa su kalendoriniais metais) įsigijo 60 proc. balsų teisę suteikiančių kitos (listinguojamos) akcinės bendrovės ,,B“ (toliau – bendrovė „B“) akcijų. Bendrovė „A“ prekiavo per vertybinių popierių biržą ir laikas nuo laiko pirkdavo (parduodavo) bendrovės „B“ akcijas, bet jos turimas bendrovės ,,B“ akcijų paketas visa laiką buvo didesnis kaip 10 proc. </w:t>
      </w:r>
    </w:p>
    <w:p w14:paraId="20165CF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2020 m. balandžio 27 d. bendrovė ,,A“ pardavė visas bendrovės ,,B“ akcijas. Kadangi bendrovė ,,A“ bendrovėje ,,B“ daugiau kaip 10 proc. balsų teisę suteikiančių akcijų turėjo ne trumpiau kaip 2 metus be pertraukų, visa turto vertės padidėjimo pajamų suma už minėtų akcijų perleidimą priskiriama neapmokestinamosioms pajamoms. </w:t>
      </w:r>
    </w:p>
    <w:p w14:paraId="14F96A2B"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Akcijų prekybos per vertybinių popierių biržą laikotarpiu (iki visų akcijų pardavimo) turto vertės padidėjimo pajamos už bendrovės „B“ akcijas, parduotas iki 2020 m. sausio 18 d., turi būti priskiriamos bendrovės „A“ apmokestinamosioms pajamoms. </w:t>
      </w:r>
    </w:p>
    <w:p w14:paraId="3F6A9F7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Nuo 2020 m. sausio 19 d. (t. y. nuo tos datos, kurią tenkinamos PMĮ 12 str. 15 punkte nustatytos sąlygos - bendrovė ,,A“ ne trumpiau kaip 2 metus (nuo 2018-01-19) be pertraukų bendrovėje ,,B“ turėjo daugiau kaip 10 proc. balsų teisę suteikiančių akcijų), turto vertės padidėjimo pajamos už bendrovės „B“ akcijas, parduotas per vertybinių popierių biržą, priskiriamos neapmokestinamosioms pajamoms. </w:t>
      </w:r>
    </w:p>
    <w:p w14:paraId="787408F1" w14:textId="77777777" w:rsidR="00093845" w:rsidRDefault="000D779E">
      <w:pPr>
        <w:pStyle w:val="prastasiniatinklio"/>
        <w:ind w:firstLine="720"/>
        <w:jc w:val="both"/>
      </w:pPr>
      <w:r>
        <w:t xml:space="preserve">2 pavyzdys </w:t>
      </w:r>
    </w:p>
    <w:p w14:paraId="168803A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9 d. buvo įsteigta UAB ,,X“ su 10 000 eurų akciniu kapitalu, kurios akcininkai, UAB „Y“ ir UAB „Z“ įsigijo po 50 proc. balsų teisę suteikiančių akcijų. </w:t>
      </w:r>
    </w:p>
    <w:p w14:paraId="7B01127A"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2020 m . birželio 30 d. akcininkų susirinkimo sprendimu buvo padidintas UAB „X“ kapitalas 100 000 eurų. Iš to skaičiaus, 50 000 eurų buvo padidinta papildomais piniginiais ir turtiniais įnašais, o 50 000 eurų – iš nepaskirstytojo pelno. </w:t>
      </w:r>
    </w:p>
    <w:p w14:paraId="732ED95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2021 m. balandžio 7 d. UAB ,,Y“ pardavė visas turėtas UAB „X“ akcijas. Kadangi UAB ,,Y“ turėjo daugiau kaip 10  proc. balsų teisę suteikiančių UAB „X“ akcijų ne trumpiau kaip 2 metus be pertraukų, visa turto vertės padidėjimo pajamų suma už minėtų akcijų perleidimą priskiriama neapmokestinamosioms pajamoms. </w:t>
      </w:r>
    </w:p>
    <w:p w14:paraId="6754C4BB" w14:textId="77777777" w:rsidR="00093845" w:rsidRDefault="000D779E">
      <w:pPr>
        <w:pStyle w:val="prastasiniatinklio"/>
        <w:ind w:firstLine="720"/>
        <w:jc w:val="both"/>
      </w:pPr>
      <w:r>
        <w:t xml:space="preserve">3 pavyzdys </w:t>
      </w:r>
    </w:p>
    <w:p w14:paraId="3A0C29F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2018 m. sausio 19 d. akcinė bendrovė „A“ (toliau – bendrovė „A“) įsigijo 11 proc. balsus suteikiančių akcijų ir 1 proc. balsų nesuteikiančių akcinės bendrovės „B“ (toliau – bendrovė „B“) akcijų. </w:t>
      </w:r>
    </w:p>
    <w:p w14:paraId="7FB23E51"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2019 m. gruodžio 19 d. bendrovė „A“ įsigijo dar 10 proc. balsus suteikiančių bendrovės „B“ akcijų. </w:t>
      </w:r>
    </w:p>
    <w:p w14:paraId="740DB0F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lastRenderedPageBreak/>
        <w:t xml:space="preserve">2020 m. balandžio 27 d. bendrovė „A“ pardavė visas bendrovės „B“ akcijas. Kadangi bendrovė „A“ turėjo daugiau kaip 10 proc. balsus suteikiančių bendrovės „B“ akcijų ne trumpiau kaip 2 metus be pertraukų, visa turto vertės padidėjimo pajamų suma už minėtų akcijų perleidimą priskiriama neapmokestinamosioms pajamoms. </w:t>
      </w:r>
    </w:p>
    <w:p w14:paraId="4C4B0A90" w14:textId="77777777" w:rsidR="00093845" w:rsidRDefault="00093845">
      <w:pPr>
        <w:pStyle w:val="prastasiniatinklio"/>
        <w:spacing w:before="0" w:beforeAutospacing="0" w:after="0" w:afterAutospacing="0"/>
        <w:ind w:firstLine="720"/>
        <w:jc w:val="both"/>
        <w:rPr>
          <w:b/>
        </w:rPr>
      </w:pPr>
    </w:p>
    <w:p w14:paraId="75E10283" w14:textId="77777777" w:rsidR="00093845" w:rsidRDefault="000D779E">
      <w:pPr>
        <w:pStyle w:val="prastasiniatinklio"/>
        <w:spacing w:before="0" w:beforeAutospacing="0" w:after="0" w:afterAutospacing="0"/>
        <w:ind w:firstLine="720"/>
        <w:jc w:val="both"/>
      </w:pPr>
      <w:r>
        <w:t xml:space="preserve">4-6 pavyzdžiai </w:t>
      </w:r>
    </w:p>
    <w:p w14:paraId="542A5160" w14:textId="77777777" w:rsidR="00093845" w:rsidRDefault="00093845">
      <w:pPr>
        <w:pStyle w:val="prastasiniatinklio"/>
        <w:spacing w:before="0" w:beforeAutospacing="0" w:after="0" w:afterAutospacing="0"/>
        <w:ind w:firstLine="720"/>
        <w:jc w:val="both"/>
      </w:pPr>
    </w:p>
    <w:p w14:paraId="7680BE64"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4. Uždaroji akcinė bendrovė „X“ (toliau – bendrovė „X“) 2018 metais įsigijo 75 proc. balsus suteikiančių akcinės bendrovės „Y“ (toliau – bendrovė „Y“) akcijų. 2022 metais dėl akcijų mainų pagal PMĮ 41 str. 2 d. 7 punktą, bendrovė „X“ už bendrovės „Y“ akcijas mainais gavo UAB „Z“ išleistų naujos emisijos akcijų. Praėjus metams, bendrovė „X“ UAB „Z“ akcijas pardavė kitam vienetui. Kadangi bendrovė „X“ mainais gautų UAB „Z“ akcijų neišlaikė 3 metų, kaip tai nustatyta PMĮ 42 str. 10 dalyje, tai pelno mokesčio apskaičiavimo tikslais tokie akcijų mainai laikomi išmainytų akcijų (t.y. bendrovės „Y“ akcijų) pardavimu už tikrąją rinkos kainą mainais gautų akcijų (t.y. UAB „Z“ akcijų) įsigijimo nuosavybėn dieną. Tačiau atsižvelgiant į tai, kad bendrovė „X“ iki akcijų mainų, bendrovėje „Y“ ne trumpiau kaip 3 metus be pertraukų (nuo 2018 metų) turėjo daugiau kaip 10 proc. balsus suteikiančių akcijų, todėl taikoma PMĮ 12 str. 15 punkte nustatyta lengvata (turto vertės padidėjimo pajamos už perleistas bendrovės „Y“ akcijas (mainais į UAB „Z“ akcijas) priskiriamos bendrovės „X“ 2022 mokestinių metų neapmokestinamosioms pajamoms). </w:t>
      </w:r>
    </w:p>
    <w:p w14:paraId="4414FF75"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Bendrovė „X“ bendrovės „Y“ akcijas įsigijo už 50 000 eurų. Šių akcijų rinkos kaina mainų į UAB „Z“ akcijas momentu buvo 120 000 eurų. Taikant PMĮ 12 str. 15 punkte nustatytą lengvatą, 70 000 eurų turto vertės padidėjimo pajamos už 2022 metais keitimo būdu perleistas bendrovės „Y“ akcijas neapmokestinamos.</w:t>
      </w:r>
    </w:p>
    <w:p w14:paraId="74991287"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2023 metais bendrovė „X“ mainais gautas UAB „Z“ akcijas pardavė už 123 000 eurų. Bendrovė apmokestinamosioms pajamoms turi priskirti 3 000 eurų  (iš 123 000 eurų UAB „Z“ akcijų pardavimo kainos atėmusi jų įsigijimo kainą – 120 000 eurų (t. y. šių akcijų tikrąją rinkos kainą, nustatytą jų įsigijimo datą, neatsižvelgiant į tai, kad 70 000 eurų turto vertės padidėjimo pajamų dėl akcijų kainų skirtumo 2022 metais nebuvo priskiriamos apmokestinamosioms pajamoms dėl PMĮ 12 str. 15 punkte nustatytos lengvatos).</w:t>
      </w:r>
    </w:p>
    <w:p w14:paraId="2F68BBE1"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Jeigu bendrovė „X“ ne trumpiau kaip 2 metus be pertraukų turėtų daugiau kaip 10 proc. UAB „Z“ balsų teisę suteikiančių akcijų iki jų pardavimo, tai turto vertės padidėjimo pajamos už parduotas šias akcijas būtų priskiriamos neapmokestinamosioms pajamoms. </w:t>
      </w:r>
    </w:p>
    <w:p w14:paraId="5FFC83DF"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5. Bendrovė „X“, vadovaudamasi PMĮ 41 str. 2 d. 5 punktu, 2018 m. balandžio 15 d. perleido veiklos dalį bendrovei „Y“. Bendrovės „X“ akcininkė – UAB „Z“ už perleistą bendrovės „X“ veiklos dalį mainais gavo bendrovės „Y“ akcijų.  2019 metų lapkritį UAB „Z“ turimas bendrovės „Y“ akcijas pardavė kitam vienetui. Tokiu atveju akcijų mainai pagal PMĮ 41 str. 2 d. 5 punktą pelno mokesčio apskaičiavimo tikslais laikomi išmainytų bendrovės „X“ akcijų pardavimu už jų tikrąją rinkos kainą mainais gautų bendrovės „Y“ akcijų įsigijimo nuosavybėn dieną (t.y. 2018 m. balandžio 15 d.), nes UAB „Z“ mainais gautų bendrovės „Y“ akcijų neišlaikė 3 metų, kaip tai nustatyta PMĮ 42 str. 10 dalyje. Kadangi UAB „Z“ iki minėtų akcijų mainų bendrovėje „X“ turėjo 18 proc. balsavimo teisę suteikiančių akcijų trumpiau kaip 3 metus be pertraukų (nuo 2016  m. kovo mėn.), todėl šiuo atveju netaikomos PMĮ 12 str. 15 punkto nuostatos dėl turto vertės padidėjimo pajamų už taip perleistas akcijas neapmokestinimo. UAB „Z“ turto vertės padidėjimo pajamas už perleistas bendrovės „Y“ akcijas (UAB „X“ akcijų įsigijimo kainos ir mainais gautų bendrovės „Y“ akcijų rinkos kainos skirtumą) turės pripažinti 2018 metų apmokestinamosiomis pajamomis, atitinkamai perskaičiuoti apmokestinamąjį pelną ir patikslinti pelno mokesčio deklaraciją. </w:t>
      </w:r>
    </w:p>
    <w:p w14:paraId="755BF9BF"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6. 2018 m. sausio mėn. bendrovė „X“ įsigijo 30 proc. balsų teisę suteikiančių bendrovės „Y“ akcijų. 2020 m. balandžio mėn. prie bendrovės „Y“ PMĮ 41 str. 2 d. 1 punkte numatytu reorganizavimo būdu buvo prijungta UAB ,,Z“, kurioje bendrovė „X“ nuosavybės teise taip pat turėjo 5 proc. balsų </w:t>
      </w:r>
      <w:r>
        <w:lastRenderedPageBreak/>
        <w:t>teisę suteikiančių akcijų. UAB „Z“ visas turtas, teisės ir pareigos buvo perduotas bendrovei „Y“, o bendrovė „X“ už turėtas UAB „Z“ akcijas mainais gavo bendrovės „Y“ akcijų ir po prijungimo tapo 32 proc. balsų teisę suteikiančių bendrovės „Y“ akcijų paketo savininke. Bendrovė „X“ 2020 m. spalio mėn. visas bendrovės „Y“ akcijas pardavė kitam vienetui.</w:t>
      </w:r>
    </w:p>
    <w:p w14:paraId="6488F844" w14:textId="77777777" w:rsidR="00093845" w:rsidRDefault="000D779E">
      <w:pPr>
        <w:pStyle w:val="prastasiniatinklio"/>
        <w:pBdr>
          <w:top w:val="single" w:sz="4" w:space="1" w:color="auto"/>
          <w:left w:val="single" w:sz="4" w:space="4" w:color="auto"/>
          <w:bottom w:val="single" w:sz="4" w:space="1" w:color="auto"/>
          <w:right w:val="single" w:sz="4" w:space="0" w:color="auto"/>
        </w:pBdr>
        <w:spacing w:before="0" w:beforeAutospacing="0" w:after="0" w:afterAutospacing="0"/>
        <w:ind w:firstLine="720"/>
        <w:jc w:val="both"/>
      </w:pPr>
      <w:r>
        <w:t xml:space="preserve">Kadangi bendrovė „X“ kitame vienete – bendrovėje „Y“ ne trumpiau kaip 2 metus be pertraukų (nuo 2018 m. sausio mėn.) nuosavybės teise turėjo (tiesiogiai valdė) daugiau kaip 10 proc. balsų teisę suteikiančių akcijų, tai akcijų pardavimo pajamos apmokestinamos taikant PMĮ 12 str. 15 punkto nuostatą, t.y. turto vertės padidėjimo pajamos už perleistas bendrovės „Y“ akcijas priskiriamos neapmokestinamosioms pajamoms, neatsižvelgiant į tai, kad dalis perleistų akcijų buvo įsigytos UAB „Z“ reorganizavimo metu (2020 m. balandžio mėn.). </w:t>
      </w:r>
    </w:p>
    <w:p w14:paraId="75A9277C" w14:textId="77777777" w:rsidR="00093845" w:rsidRDefault="000D779E">
      <w:pPr>
        <w:pStyle w:val="prastasiniatinklio"/>
        <w:spacing w:before="0" w:beforeAutospacing="0" w:after="0" w:afterAutospacing="0"/>
        <w:ind w:firstLine="720"/>
        <w:jc w:val="both"/>
      </w:pPr>
      <w:r>
        <w:t xml:space="preserve">7. Kai akcijos perleidžiamos dėl teisės aktų reikalavimų, tai turto vertės padidėjimo pajamos už taip perleistas akcijas priskiriamos neapmokestinamosioms pajamoms, neatsižvelgiant į tai, kad jos nebuvo išlaikytos 2 metus (arba 3 metus PMĮ 41 str. 2 dalyje nustatytais reorganizavimo ir perleidimo atvejais) be pertraukų, jeigu tenkinamos kitos šiame punkte nustatytos sąlygos. </w:t>
      </w:r>
    </w:p>
    <w:p w14:paraId="755CB7A1" w14:textId="77777777" w:rsidR="00093845" w:rsidRDefault="00093845">
      <w:pPr>
        <w:pStyle w:val="prastasiniatinklio"/>
        <w:spacing w:before="0" w:beforeAutospacing="0" w:after="0" w:afterAutospacing="0"/>
        <w:ind w:firstLine="720"/>
        <w:jc w:val="both"/>
        <w:rPr>
          <w:b/>
        </w:rPr>
      </w:pPr>
    </w:p>
    <w:p w14:paraId="00FD97CC" w14:textId="77777777" w:rsidR="00093845" w:rsidRDefault="000D779E">
      <w:pPr>
        <w:pStyle w:val="prastasiniatinklio"/>
        <w:spacing w:before="0" w:beforeAutospacing="0" w:after="0" w:afterAutospacing="0"/>
        <w:ind w:firstLine="720"/>
        <w:jc w:val="both"/>
      </w:pPr>
      <w:r>
        <w:t>Pavyzdys</w:t>
      </w:r>
    </w:p>
    <w:p w14:paraId="1BB52DC6" w14:textId="77777777" w:rsidR="00093845" w:rsidRDefault="00093845">
      <w:pPr>
        <w:pStyle w:val="prastasiniatinklio"/>
        <w:spacing w:before="0" w:beforeAutospacing="0" w:after="0" w:afterAutospacing="0"/>
        <w:ind w:firstLine="720"/>
        <w:jc w:val="both"/>
      </w:pPr>
    </w:p>
    <w:p w14:paraId="10A9D56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AB X (100 proc. jos akcijų priklauso valstybei) 2018 m. vasario mėn. įsteigė dukterinę bendrovę Y tam tikroms funkcijoms atlikti. LR Vyriausybės 2019 m. priimtu nutarimu AB X turi būti restruktūrizuota, o jos dukterinės bendrovės Y akcijos parduotos kitai bendrovei iki 2019 m. spalio mėn. 1 d. AB X neturi apmokestinti turto vertės padidėjimo pajamų iš dukterinės bendrovės akcijų pardavimo, neatsižvelgiant į tai, kad jos nebuvo išlaikytos PMĮ 12 str. 15 punkte nustatytą 2 metų laikotarpį, nes akcijos buvo parduotos dėl teisės aktų reikalavimų. </w:t>
      </w:r>
    </w:p>
    <w:p w14:paraId="5E6CB8E7" w14:textId="77777777" w:rsidR="00093845" w:rsidRDefault="00093845">
      <w:pPr>
        <w:pStyle w:val="prastasiniatinklio"/>
        <w:spacing w:before="0" w:beforeAutospacing="0" w:after="0" w:afterAutospacing="0"/>
        <w:ind w:firstLine="720"/>
        <w:jc w:val="both"/>
      </w:pPr>
    </w:p>
    <w:p w14:paraId="0BFE6E5E" w14:textId="77777777" w:rsidR="00093845" w:rsidRDefault="000D779E">
      <w:pPr>
        <w:ind w:firstLine="720"/>
        <w:jc w:val="both"/>
        <w:rPr>
          <w:lang w:val="lt-LT"/>
        </w:rPr>
      </w:pPr>
      <w:r>
        <w:rPr>
          <w:lang w:val="lt-LT"/>
        </w:rPr>
        <w:t xml:space="preserve">8. Šio punkto nuostatos taikomos perleidžiant vienetų, pelno mokesčio mokėtojų, akcijas. Lengvata taikoma ir tuo atveju, jeigu vienetas, kurio akcijos perleidžiamos, pelno mokesčio (ar jam tapataus mokesčio) nemoka dėl PMĮ ar atitinkamuose užsienio valstybių teisės aktuose nustatytų jam taikomų mokesčio lengvatų arba, kai jis patiria mokestinius nuostolius. </w:t>
      </w:r>
    </w:p>
    <w:p w14:paraId="3ADCD248" w14:textId="77777777" w:rsidR="00093845" w:rsidRDefault="000D779E">
      <w:pPr>
        <w:ind w:firstLine="720"/>
        <w:jc w:val="both"/>
        <w:rPr>
          <w:lang w:val="lt-LT"/>
        </w:rPr>
      </w:pPr>
      <w:r>
        <w:rPr>
          <w:lang w:val="lt-LT"/>
        </w:rPr>
        <w:t xml:space="preserve">Pavyzdys </w:t>
      </w:r>
    </w:p>
    <w:p w14:paraId="447BEE98"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UAB „X“ 2017 m. sausio mėn. įsigijo 12 proc. investicinės kintamojo kapitalo bendrovės (toliau - IKKB) balsus suteikiančių akcijų. 2020 m. kovo mėn. UAB „X“ šias akcijas pardavė.</w:t>
      </w:r>
    </w:p>
    <w:p w14:paraId="617D2046"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IKKB nemoka pelno mokesčio nuo apmokestinamojo pelno dėl jai taikomos PMĮ 12 str. 5 punkte nustatytos lengvatos, tačiau pagal PMĮ ji yra pelno mokesčio mokėtoja. UAB „X“ ne trumpiau kaip 2 metus (nuo 2017 m. sausio mėn.) be pertraukų turėjo daugiau kaip 10 proc. balsus suteikiančių IKKB akcijų.</w:t>
      </w:r>
    </w:p>
    <w:p w14:paraId="184BFC3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Pagal iki 2018 metų galiojančią redakciją, PMĮ 12 str. 15 punkte  viena iš nustatytų lengvatos taikymo sąlygų buvo turėti daugiau kaip 25 procentus balsus suteikiančių vieneto akcijų, kuris buvo pakeistas ir apskaičiuojant 2018 metų ir vėlesnių metų mokestinių laikotarpių pelno mokestį  taikomas sumažintas akcijų turėjimo reikalavimas – turėti daugiau kaip 10 procentų akcijų. </w:t>
      </w:r>
    </w:p>
    <w:p w14:paraId="36179B34"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Kadangi visos PMĮ 12 str. 15 punkte nustatytos lengvatos taikymo sąlygos yra išpildytos, tai UAB „X“, apskaičiuodama 2020 mokestinių metų apmokestinamąjį pelną, turto vertės padidėjimo pajamų sumą už perleistas IKKB akcijas gali priskirti neapmokestinamosioms pajamoms.  </w:t>
      </w:r>
    </w:p>
    <w:p w14:paraId="42A9EFD5" w14:textId="77777777" w:rsidR="00093845" w:rsidRDefault="00093845">
      <w:pPr>
        <w:ind w:firstLine="720"/>
        <w:jc w:val="both"/>
        <w:rPr>
          <w:b/>
          <w:lang w:val="lt-LT"/>
        </w:rPr>
      </w:pPr>
    </w:p>
    <w:p w14:paraId="0C62A555" w14:textId="77777777" w:rsidR="00093845" w:rsidRDefault="000D779E">
      <w:pPr>
        <w:ind w:firstLine="720"/>
        <w:jc w:val="both"/>
        <w:rPr>
          <w:lang w:val="lt-LT"/>
        </w:rPr>
      </w:pPr>
      <w:r>
        <w:rPr>
          <w:lang w:val="lt-LT"/>
        </w:rPr>
        <w:t xml:space="preserve">9. Turto vertės padidėjimo pajamos už šiame punkte nustatytų Lietuvos ar užsienio vienetų akcijų perleidimą (kai įvykdomos visos šio punkto sąlygos) priskiriamos neapmokestinamosioms pajamoms ne tik tais atvejais, kai akcijos parduodamos kitam juridiniam ar fiziniam asmeniui, bet ir </w:t>
      </w:r>
      <w:r>
        <w:rPr>
          <w:lang w:val="lt-LT"/>
        </w:rPr>
        <w:lastRenderedPageBreak/>
        <w:t xml:space="preserve">kai akcijos mainomos į kitus vertybinius popierius, taikant PMĮ 14 str. 5 dalies nuostatas (žr. PMĮ 14 str. 5 dalies komentarą). </w:t>
      </w:r>
    </w:p>
    <w:p w14:paraId="3F6D7762" w14:textId="77777777" w:rsidR="00093845" w:rsidRDefault="000D779E">
      <w:pPr>
        <w:ind w:firstLine="720"/>
        <w:jc w:val="both"/>
        <w:rPr>
          <w:lang w:val="lt-LT"/>
        </w:rPr>
      </w:pPr>
      <w:r>
        <w:rPr>
          <w:lang w:val="lt-LT"/>
        </w:rPr>
        <w:t xml:space="preserve">10. Šio punkto nuostatos netaikomos likviduojamo vieneto dalyvio turto vertės padidėjimo pajamoms, pripažįstamoms pagal PMĮ 45 str. 2 dalį, taip pat vieneto dalyvio turto vertės padidėjimo pajamoms, susidariusioms dėl akcijų anuliavimo mažinant to vieneto įstatinį kapitalą (žr. PMĮ 45 str. 2 dalies komentarą). </w:t>
      </w:r>
    </w:p>
    <w:p w14:paraId="6589CBB5" w14:textId="77777777" w:rsidR="00093845" w:rsidRDefault="000D779E">
      <w:pPr>
        <w:pStyle w:val="prastasiniatinklio"/>
        <w:spacing w:before="0" w:beforeAutospacing="0" w:after="0" w:afterAutospacing="0"/>
        <w:ind w:firstLine="720"/>
        <w:jc w:val="both"/>
      </w:pPr>
      <w:r>
        <w:t xml:space="preserve">11. Akcijų įsigijimo data yra laikoma akcijų perėjimo vieneto nuosavybėn data. </w:t>
      </w:r>
    </w:p>
    <w:p w14:paraId="7258C82D" w14:textId="77777777" w:rsidR="00093845" w:rsidRDefault="000D779E">
      <w:pPr>
        <w:pStyle w:val="prastasiniatinklio"/>
        <w:spacing w:before="0" w:beforeAutospacing="0" w:after="0" w:afterAutospacing="0"/>
        <w:ind w:firstLine="720"/>
        <w:jc w:val="both"/>
      </w:pPr>
      <w:r>
        <w:t xml:space="preserve">12. Neapmokestinamosios turto vertės padidėjimo pajamos už akcijų perleidimą apskaičiuojamos PMĮ 16 str. 1 dalyje nustatyta tvarka (žr. PMĮ 16 str. 1 dalies komentarą). </w:t>
      </w:r>
    </w:p>
    <w:p w14:paraId="530455FD" w14:textId="77777777" w:rsidR="00093845" w:rsidRDefault="000D779E">
      <w:pPr>
        <w:pStyle w:val="prastasiniatinklio"/>
        <w:ind w:firstLine="720"/>
        <w:jc w:val="both"/>
      </w:pPr>
      <w:r>
        <w:t xml:space="preserve">1 pavyzdys </w:t>
      </w:r>
    </w:p>
    <w:p w14:paraId="6863BDA0"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2018 m. sausio 19 d. akcinė bendrovė ,,A“ (toliau – bendrovė „A“) įsigijo  5 proc. balsų teisę suteikiančių kitos akcinės bendrovės ,,B“ (toliau – bendrovė „B“) akcijų. 2020 m . kovo 23 d. prie bendrovės ,,A“ PMĮ 41 str. 2 d. 1 punkte numatytu būdu buvo prijungta akcinė bendrovė ,,C“ (toliau – bendrovė „C“). Visas bendrovės ,,C“ turtas, teisės ir pareigos, įskaitant 2017 metais įsigytas bendrovės ,,B“ akcijas, sudarančias 10 proc. balsų teisę suteikiančių šios bendrovės akcijų, prijungimo metu buvo perduotas bendrovei ,,A“. Šiuo atveju laikoma, kad bendrovė ,,A“ daugiau kaip 10 proc. bendrovės ,,B“ akcijų turi nuo tos datos, kurią ji tapo iš bendrovės ,,C“ perimtų bendrovės ,,B“ akcijų, suteikiančių 10 proc. balsų, savininke (2020-03-23) . </w:t>
      </w:r>
    </w:p>
    <w:p w14:paraId="556E807C" w14:textId="77777777" w:rsidR="00093845" w:rsidRDefault="000D779E">
      <w:pPr>
        <w:pStyle w:val="prastasiniatinklio"/>
        <w:ind w:firstLine="720"/>
        <w:jc w:val="both"/>
      </w:pPr>
      <w:r>
        <w:t xml:space="preserve">2 pavyzdys </w:t>
      </w:r>
    </w:p>
    <w:p w14:paraId="0B43FB54"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pasirašė sutartį, pagal kurią įsigijo 10 500 vnt. uždarosios akcinės bendrovės ,,B“ (toliau - bendrovė ,,B“) akcijų, kurių kiekvienos kaina – 80 eurų. Šios akcijos sudarė 70 proc. bendrovės ,,B“ balsų teisę suteikiančių akcijų. Sutartyje buvo numatyta, kad bendrovė ,,A“ už įsigytas bendrovės ,,B“ akcijas sumokės 840 000 eurų per du mėnesius nuo sutarties pasirašymo datos, tačiau akcijų nuosavybės teisė jai pereis sutarties pasirašymo datą ir nuo tos datos ji įgis teisę dalyvauti bendrovės ,,B“ akcininkų susirinkime ir balsuoti. 2018 m. balandžio 27 d. bendrovė ,,A“ pardavė 6750 vnt. (45 proc.) akcinės bendrovės ,,B“ akcijų už 675 000 eurų . Kadangi bendrovė ,,A“ bendrovėje ,,B“ daugiau kaip 10 proc. balsų teisę suteikiančių akcijų turėjo ne trumpiau kaip 2 metus be pertraukų, todėl 135 000 eurų (675 000 eurų </w:t>
      </w:r>
      <w:r>
        <w:rPr>
          <w:strike/>
        </w:rPr>
        <w:t>Lt</w:t>
      </w:r>
      <w:r>
        <w:t xml:space="preserve"> – 6750 vnt. x 80 eurų) turto vertės padidėjimo pajamų suma už akcijų perleidimą priskiriama neapmokestinamosioms pajamoms. </w:t>
      </w:r>
    </w:p>
    <w:p w14:paraId="4A0D76AB" w14:textId="77777777" w:rsidR="00D25069" w:rsidRDefault="000D779E">
      <w:pPr>
        <w:pStyle w:val="prastasiniatinklio"/>
        <w:spacing w:before="0" w:beforeAutospacing="0" w:after="0" w:afterAutospacing="0"/>
        <w:ind w:firstLine="720"/>
        <w:jc w:val="both"/>
      </w:pPr>
      <w:r>
        <w:t xml:space="preserve">13. </w:t>
      </w:r>
      <w:r w:rsidR="00D25069" w:rsidRPr="00522AE5">
        <w:t xml:space="preserve">Jei </w:t>
      </w:r>
      <w:r w:rsidR="00D25069" w:rsidRPr="00AA301B">
        <w:t>komentuojamame</w:t>
      </w:r>
      <w:r w:rsidR="00D25069" w:rsidRPr="00AA301B">
        <w:rPr>
          <w:iCs/>
        </w:rPr>
        <w:t xml:space="preserve"> punkt</w:t>
      </w:r>
      <w:r w:rsidR="00D25069" w:rsidRPr="00AA301B">
        <w:t xml:space="preserve">e nustatyta tvarka (nustatytomis sąlygomis) perleidus akcijas apskaičiuojami nuostoliai, tai, apskaičiuojant apmokestinamąjį pelną, šie nuostoliai </w:t>
      </w:r>
      <w:r w:rsidR="00D25069" w:rsidRPr="00AA301B">
        <w:rPr>
          <w:shd w:val="clear" w:color="auto" w:fill="FFFFFF"/>
        </w:rPr>
        <w:t xml:space="preserve">neatskaitomi </w:t>
      </w:r>
      <w:r w:rsidR="00D25069" w:rsidRPr="00AA301B">
        <w:t>(žr</w:t>
      </w:r>
      <w:r w:rsidR="00D25069" w:rsidRPr="00DA5C51">
        <w:t>. P</w:t>
      </w:r>
      <w:r w:rsidR="00D25069">
        <w:t>MĮ 30 str. 2 dalies komentarą).</w:t>
      </w:r>
    </w:p>
    <w:p w14:paraId="018E5DF5" w14:textId="77777777" w:rsidR="00022EC1" w:rsidRDefault="00022EC1" w:rsidP="00022EC1">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4DB73FB1" w14:textId="77777777" w:rsidR="00093845" w:rsidRDefault="00D25069">
      <w:pPr>
        <w:pStyle w:val="prastasiniatinklio"/>
        <w:spacing w:before="0" w:beforeAutospacing="0" w:after="0" w:afterAutospacing="0"/>
        <w:ind w:firstLine="720"/>
        <w:jc w:val="both"/>
      </w:pPr>
      <w:r>
        <w:t xml:space="preserve"> 14</w:t>
      </w:r>
      <w:r w:rsidR="000D779E">
        <w:t xml:space="preserve">. Jei vienetui mokestiniu laikotarpiu perleidus dalį turimų kito vieneto akcijų, likusi akcijų dalis sudarys 10 proc. ar mažiau balsų teisę suteikiančių akcijų tame vienete, kurio akcijos perleidžiamos, tai likusiai akcijų daliai šio punkto nuostatos netaikomos. Tačiau jei papildomai įsigijus vieneto, kurio akcijos buvo perleistos, akcijų, jos vėl sudarys daugiau kaip 10 proc. tokio vieneto balsų teisę suteikiančių akcijų, tai perleidus šias akcijas (ar jų dalį) šio punkto nuostatos bus taikomos, jei akcijos bus išlaikytos ne trumpiau kaip 2 metus (jei akcijos buvo perleistos PMĮ 41 str. 2 dalyje nustatytais reorganizavimo ir perleidimo atvejais – 3 metus), skaičiuojant nuo tos datos, kai visos įsigytos akcijos sudarys daugiau kaip 10 proc. to vieneto balsų teisę suteikiančių akcijų. </w:t>
      </w:r>
    </w:p>
    <w:p w14:paraId="0A135248" w14:textId="77777777" w:rsidR="00093845" w:rsidRDefault="00093845">
      <w:pPr>
        <w:pStyle w:val="prastasiniatinklio"/>
        <w:spacing w:before="0" w:beforeAutospacing="0" w:after="0" w:afterAutospacing="0"/>
        <w:ind w:firstLine="720"/>
        <w:jc w:val="both"/>
      </w:pPr>
    </w:p>
    <w:p w14:paraId="22483F18" w14:textId="77777777" w:rsidR="00093845" w:rsidRDefault="000D779E">
      <w:pPr>
        <w:pStyle w:val="prastasiniatinklio"/>
        <w:spacing w:before="0" w:beforeAutospacing="0" w:after="0" w:afterAutospacing="0"/>
        <w:ind w:firstLine="720"/>
        <w:jc w:val="both"/>
      </w:pPr>
      <w:r>
        <w:lastRenderedPageBreak/>
        <w:t xml:space="preserve">Pavyzdys </w:t>
      </w:r>
    </w:p>
    <w:p w14:paraId="48A93244" w14:textId="77777777" w:rsidR="00093845" w:rsidRDefault="00093845">
      <w:pPr>
        <w:pStyle w:val="prastasiniatinklio"/>
        <w:spacing w:before="0" w:beforeAutospacing="0" w:after="0" w:afterAutospacing="0"/>
        <w:ind w:firstLine="720"/>
        <w:jc w:val="both"/>
      </w:pPr>
    </w:p>
    <w:p w14:paraId="1DFA3D89"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2017 m. kovo 23 d. akcinė bendrovė ,,A“ (toliau - bendrovė ,,A“) nuosavybės teise už 800 000 eurų įsigijo 10 000 vnt. uždarosios akcinės bendrovės ,,B“ (toliau - bendrovė ,,B“) akcijų, kurios sudarė 50 proc. šios bendrovės balsų teisę suteikiančių akcijų.</w:t>
      </w:r>
    </w:p>
    <w:p w14:paraId="24177AA7"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2019 m. balandžio 27 d. bendrovė ,,A“ pardavė 9 000 vnt. (45 proc.) bendrovės ,,B“ akcijų už 820 000  eurų. Kadangi bendrovė ,,A“ bendrovėje ,,B“ daugiau kaip 10 proc. balsų teisę turinčių akcijų turėjo ne trumpiau kaip 2 metus, todėl 100 000 eurų (820 000 eurų – 9 000 vnt. x 80 eurų) turto vertės padidėjimo pajamų suma už akcijų perleidimą priskiriama neapmokestinamosioms pajamoms. Pardavus 45 proc. akcijų, bendrovės ,,A“ dalis bendrovėje ,,B“ sumažėjo iki  5 proc. balsų teisę suteikiančių akcijų. Jei bendrovė ,,A“ 2019 metais ar vėliau parduotų visas likusias (ar dalį) bendrovės ,,B“ akcijas, tai turto vertės padidėjimo pajamos už akcijų perleidimą būtų priskiriamos apmokestinamosioms pajamoms (PMĮ 12 str. 15 punktas netaikomas, nes nuo 2019 m. balandžio 27 d. bendrovė ,,A“ turėtų 5 proc. (ne daugiau kaip 10 procentų) bendrovės ,,B“ balsų teisę suteikiančių akcijų). </w:t>
      </w:r>
    </w:p>
    <w:p w14:paraId="33C90FE4" w14:textId="77777777" w:rsidR="00093845" w:rsidRDefault="00093845">
      <w:pPr>
        <w:ind w:firstLine="720"/>
        <w:jc w:val="both"/>
        <w:rPr>
          <w:lang w:val="lt-LT"/>
        </w:rPr>
      </w:pPr>
    </w:p>
    <w:p w14:paraId="437372A6" w14:textId="77777777" w:rsidR="00093845" w:rsidRDefault="00D25069">
      <w:pPr>
        <w:ind w:firstLine="720"/>
        <w:jc w:val="both"/>
        <w:rPr>
          <w:lang w:val="lt-LT"/>
        </w:rPr>
      </w:pPr>
      <w:r>
        <w:rPr>
          <w:lang w:val="lt-LT"/>
        </w:rPr>
        <w:t>15</w:t>
      </w:r>
      <w:r w:rsidR="000D779E">
        <w:rPr>
          <w:lang w:val="lt-LT"/>
        </w:rPr>
        <w:t>. Jei vienetas priima sprendimą ir faktiškai parduoda turėtą daugiau kaip 10 proc. balsus suteikiančių kito vieneto akcijų paketą (ar jo dalį) pagal kelis tiesioginius ar netiesioginius sandorius, kurie įvykdomi ne tuo pačiu metu, tai laikotarpiu nuo pirmojo iki paskutiniojo sandorio realizavimo dar neparduotos akcijos gali sudaryti 10 proc. ar mažiau balsus suteikiančių akcijų tame kitame vienete. Tokiu atveju PMĮ 12 str. 15 punkto nuostatos gali būti taikomos, jei vienetas - akcijų pardavėjas, gali pateikti įrodymus, kad sandoriai ir/ar pavedimai dėl akcijų pardavimo buvo sudaryti visam numatytam parduoti akcijų paketui ir tas akcijų paketas buvo parduotas per objektyviai įmanomą protingą laikotarpį.</w:t>
      </w:r>
    </w:p>
    <w:p w14:paraId="3F021575" w14:textId="77777777" w:rsidR="00093845" w:rsidRDefault="000D779E">
      <w:pPr>
        <w:ind w:firstLine="720"/>
        <w:jc w:val="both"/>
        <w:rPr>
          <w:lang w:val="lt-LT"/>
        </w:rPr>
      </w:pPr>
      <w:r>
        <w:rPr>
          <w:lang w:val="lt-LT"/>
        </w:rPr>
        <w:t xml:space="preserve">1 pavyzdys </w:t>
      </w:r>
    </w:p>
    <w:p w14:paraId="4DFE0A76"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nuosavybės teise įsigijo 10 000 vnt. listinguojamos akcinės bendrovės ,,B“ (toliau - bendrovė ,,B“) akcijų, kurios sudarė 50 proc. šios bendrovės balsų teisę suteikiančių akcijų. 2019 m. vasario 27 d. bendrovė ,,A“ visas bendrovės ,,B“ akcijas pardavė per vertybinių popierių biržą tiesioginiais sandoriais. Pagal pirmą sandorį buvo parduota 8 400 vnt. (42 proc.) bendrovės ,,B“ akcijų, o pagal kitą - 1 600 vnt. (8 proc.) akcijų. Kadangi bendrovė ,,A“ bendrovėje ,,B“ daugiau kaip 10 proc. balsų teisę turinčių akcijų turėjo ne trumpiau kaip 2 metus, todėl visa turto vertės padidėjimo pajamų suma už akcijų perleidimą priskiriama neapmokestinamosioms pajamoms. </w:t>
      </w:r>
    </w:p>
    <w:p w14:paraId="25E42C5B" w14:textId="77777777" w:rsidR="00093845" w:rsidRDefault="000D779E">
      <w:pPr>
        <w:pStyle w:val="prastasiniatinklio"/>
        <w:ind w:firstLine="720"/>
        <w:jc w:val="both"/>
      </w:pPr>
      <w:r>
        <w:t xml:space="preserve">2 pavyzdys </w:t>
      </w:r>
    </w:p>
    <w:p w14:paraId="3D867095"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2016  m. kovo 23 d. akcinė bendrovė ,,A“ (toliau - bendrovė ,,A“) nuosavybės teise už 800 000 eurų įsigijo 10 000 vnt. listinguojamos akcinės bendrovės ,,B“ (toliau - bendrovė ,,B“) akcijų, kurios sudarė 50 proc. šios bendrovės balsų teisę suteikiančių akcijų. 2018 m . balandžio 27 d. bendrovė ,,A“ tiesioginiu sandoriu per vertybinių popierių biržą strateginiam investuotojui pardavė 4 500 vnt. (22,5 proc.) bendrovės ,,B“ akcijų už 540 000 eurų. Kadangi bendrovė ,,A“ bendrovėje ,,B“ daugiau kaip 10 proc. balsų teisę turinčių akcijų turėjo ne trumpiau kaip 2 metus, todėl 180 000 eurų (540 000 eurų  – 4 500 vnt. x 80 eurų) turto vertės padidėjimo pajamų suma už šių akcijų perleidimą priskiriama neapmokestinamosioms pajamoms. Likusią 27,5 proc. balsų teisę suteikiančių akcijų dalį bendrovė ,,A“ pavedė pardavinėti finansų makleriui per vertybinių popierių biržos nepertraukiamos prekybos sistemą. 2018 m. gegužės 15 d. užbaigus prekybą bendrovės ,,B“ akcijomis, bendrovė ,,A“ apskaičiavo 20 000 eurų turto vertės padidėjimo pajamų. Šios pajamos taip pat priskiriamos </w:t>
      </w:r>
      <w:r>
        <w:lastRenderedPageBreak/>
        <w:t xml:space="preserve">neapmokestinamosioms pajamoms, nes tenkinamos PMĮ 12 str. 15 punkte nustatytos sąlygos (bendrovė ,,A“ ne trumpiau kaip 2 metus be pertraukų (nuo 2016-03-23) bendrovėje ,,B“ turėjo daugiau kaip 10 proc. balsų teisę suteikiančių akcijų). </w:t>
      </w:r>
    </w:p>
    <w:p w14:paraId="6999CF94" w14:textId="77777777" w:rsidR="00093845" w:rsidRDefault="000D779E">
      <w:pPr>
        <w:pStyle w:val="prastasiniatinklio"/>
        <w:ind w:firstLine="720"/>
        <w:jc w:val="both"/>
      </w:pPr>
      <w:r>
        <w:t xml:space="preserve">3 pavyzdys </w:t>
      </w:r>
    </w:p>
    <w:p w14:paraId="4CBD5D99" w14:textId="77777777" w:rsidR="00093845" w:rsidRDefault="000D779E">
      <w:pPr>
        <w:pStyle w:val="prastasiniatinklio"/>
        <w:pBdr>
          <w:top w:val="single" w:sz="4" w:space="1" w:color="auto"/>
          <w:left w:val="single" w:sz="4" w:space="4" w:color="auto"/>
          <w:bottom w:val="single" w:sz="4" w:space="1" w:color="auto"/>
          <w:right w:val="single" w:sz="4" w:space="4" w:color="auto"/>
        </w:pBdr>
        <w:ind w:firstLine="720"/>
        <w:jc w:val="both"/>
      </w:pPr>
      <w:r>
        <w:t xml:space="preserve">2015 m. sausio 9 d. buvo įsteigta UAB ,,X“ su 100 000 eurų akciniu kapitalu, kurios akcininkai, UAB „Y“ ir UAB „Z“ įsigijo po 40 proc. balsų teisę suteikiančių akcijų, o likusius 20 proc. akcijų įsigijo UAB „W“. 2018 m. birželio 30 d. akcininkai pasirašė ketinimų protokolą, pagal kurį UAB „W“ pasitraukia iš UAB „X“ ir parduoda po 10 proc. akcijų abiems likusiems akcininkams. Sutartis dėl akcijų pardavimo su UAB „Y“ buvo sudaryta, ir akcijų nuosavybė jai perėjo 2018 m. liepos 15 d. Su UAB „Z“ analogiška sutartis buvo derinta ilgiau, ir pasirašyta, o akcijų nuosavybė šiai bendrovei perėjo 2018 m. liepos 31 d. Kadangi UAB ,,W“ turėjo daugiau kaip 10 proc. balsų teisę suteikiančių UAB „X“ akcijų ne trumpiau kaip 2 metus be pertraukų, visa turto vertės padidėjimo pajamų suma iš minėto akcijų perleidimo priskiriama neapmokestinamosioms pajamoms. </w:t>
      </w:r>
    </w:p>
    <w:p w14:paraId="17BC8197" w14:textId="77777777" w:rsidR="0048252F" w:rsidRPr="004625EA" w:rsidRDefault="0048252F" w:rsidP="0048252F">
      <w:pPr>
        <w:jc w:val="both"/>
      </w:pPr>
      <w:r>
        <w:t xml:space="preserve">       </w:t>
      </w:r>
      <w:r w:rsidR="00D25069">
        <w:t>16</w:t>
      </w:r>
      <w:r w:rsidRPr="004625EA">
        <w:t xml:space="preserve">. Vienetas, taikantis šio punkto nuostatas, turi turėti dokumentus, įrodančius, kad jo gautos turto vertės padidėjimo pajamos gali būti priskiriamos neapmokestinamosioms pajamoms. Jei vienetas perleidžia kito Lietuvos vieneto akcijas, tai jis turi turėti dokumentus, iš kurių galima būtų nustatyti, kokiu laikotarpiu ir kiek procentų balsų teisę suteikiančių akcijų iki jų perleidimo jis turėjo tame kitame Lietuvos vienete. Jei perleidžiamos užsienio vienetų akcijos, tai vienetas turi turėti dokumentus, iš kurių galima būtų nustatyti, kad akcijų įsigijimo sandoris sudarytas su užsienio vienetu, kurio teisinė forma atitinka akcinę, uždarąją akcinę bendrovę, ir dokumentus, įrodančius, kad tas užsienio vienetas yra pelno mokesčio (ar jam tapataus) mokėtojas, taip pat dokumentus, iš kurių galima nustatyti, kokiu laikotarpiu ir kiek procentų balsų teisę suteikiančių akcijų iki jų perleidimo jis turėjo tame užsienio vienete. Dokumentais įrodančiais užsienio vieneto teisinę formą gali būti užsienio valstybių įmonių, komercinio ar kitokio atitinkamo registro išrašas. Tokio dokumento galima neturėti, jei akcijos įsigyjamos (ar apmokamos steigiant naują vienetą) iš ES valstybėje narėje įsteigto ar kitaip organizuoto vieneto, kurio teisinė forma atitinka Tarybos direktyvoje 2009/101/EB ir vėlesniuose jos papildymuose pateiktame akcinių bendrovių formų sąraše. </w:t>
      </w:r>
    </w:p>
    <w:p w14:paraId="35C42A84" w14:textId="77777777" w:rsidR="0048252F" w:rsidRPr="004625EA" w:rsidRDefault="0048252F" w:rsidP="0048252F">
      <w:pPr>
        <w:jc w:val="both"/>
      </w:pPr>
      <w:r w:rsidRPr="004625EA">
        <w:t xml:space="preserve">Dokumentais, iš kurių galima nustatyti, kokią balsų teisę suteikiančių akcijų dalį ir kiek laiko Lietuvos vienetas turėjo nuosavybės teise užsienio vienete, taip pat gali būti užsienio valstybių įmonių, komercinio ar kitokio atitinkamo registro atitinkamas išrašas, o jei registre tokie duomenys nekaupiami, tai to užsienio vieneto arbo jo akcijų tvarkytojo surašytas atitinkamas dokumentas, pasirašytas užsienio vieneto vadovo ar kito įgalioto asmens. </w:t>
      </w:r>
    </w:p>
    <w:p w14:paraId="419FC752" w14:textId="77777777" w:rsidR="0048252F" w:rsidRPr="004625EA" w:rsidRDefault="0048252F" w:rsidP="0048252F">
      <w:pPr>
        <w:jc w:val="both"/>
      </w:pPr>
      <w:r w:rsidRPr="004625EA">
        <w:t>Vienetas taip pat turi turėti užsienio valstybės mokesčių administratoriaus patvirtintą dokumentą, kad užsienio vienetas, kurio akcijos buvo perleistos, yra pelno mokesčio (ar jam tapataus mokesčio) mokėtojas. Šiame dokumente turi būti nurodomas užsienio vieneto pilnas pavadinimas, kodas ir patvirtinimas, kad tas užsienio vienetas yra mokesčių mokėtojas.</w:t>
      </w:r>
    </w:p>
    <w:p w14:paraId="29AE6590" w14:textId="77777777" w:rsidR="00093845" w:rsidRDefault="000D779E">
      <w:pPr>
        <w:spacing w:before="100" w:beforeAutospacing="1" w:after="100" w:afterAutospacing="1"/>
        <w:ind w:firstLine="720"/>
        <w:jc w:val="both"/>
        <w:rPr>
          <w:lang w:val="lt-LT"/>
        </w:rPr>
      </w:pPr>
      <w:r>
        <w:rPr>
          <w:iCs/>
          <w:lang w:val="nb-NO"/>
        </w:rPr>
        <w:t xml:space="preserve"> (Pagal </w:t>
      </w:r>
      <w:r>
        <w:rPr>
          <w:color w:val="000000"/>
          <w:lang w:val="lt-LT"/>
        </w:rPr>
        <w:t>VMI prie FM 20</w:t>
      </w:r>
      <w:r w:rsidR="0048252F">
        <w:rPr>
          <w:color w:val="000000"/>
          <w:lang w:val="lt-LT"/>
        </w:rPr>
        <w:t>20</w:t>
      </w:r>
      <w:r>
        <w:rPr>
          <w:color w:val="000000"/>
          <w:lang w:val="lt-LT"/>
        </w:rPr>
        <w:t>-0</w:t>
      </w:r>
      <w:r w:rsidR="0048252F">
        <w:rPr>
          <w:color w:val="000000"/>
          <w:lang w:val="lt-LT"/>
        </w:rPr>
        <w:t>8</w:t>
      </w:r>
      <w:r>
        <w:rPr>
          <w:color w:val="000000"/>
          <w:lang w:val="lt-LT"/>
        </w:rPr>
        <w:t>-</w:t>
      </w:r>
      <w:r w:rsidR="0048252F">
        <w:rPr>
          <w:color w:val="000000"/>
          <w:lang w:val="lt-LT"/>
        </w:rPr>
        <w:t>27</w:t>
      </w:r>
      <w:r>
        <w:rPr>
          <w:color w:val="000000"/>
          <w:lang w:val="lt-LT"/>
        </w:rPr>
        <w:t xml:space="preserve"> raštą Nr. </w:t>
      </w:r>
      <w:r>
        <w:rPr>
          <w:lang w:val="lt-LT"/>
        </w:rPr>
        <w:t>(18.10-31-1E)-RM-</w:t>
      </w:r>
      <w:r w:rsidR="0048252F">
        <w:rPr>
          <w:lang w:val="lt-LT"/>
        </w:rPr>
        <w:t>48162)</w:t>
      </w:r>
    </w:p>
    <w:p w14:paraId="227B17D0" w14:textId="77777777" w:rsidR="006461EB" w:rsidRDefault="000D779E" w:rsidP="006461EB">
      <w:pPr>
        <w:tabs>
          <w:tab w:val="left" w:pos="720"/>
          <w:tab w:val="left" w:pos="1080"/>
        </w:tabs>
        <w:jc w:val="both"/>
        <w:rPr>
          <w:b/>
          <w:bCs/>
        </w:rPr>
      </w:pPr>
      <w:r>
        <w:rPr>
          <w:b/>
          <w:lang w:val="lt-LT"/>
        </w:rPr>
        <w:t xml:space="preserve">           </w:t>
      </w:r>
      <w:r w:rsidR="006461EB" w:rsidRPr="005C1F1C">
        <w:rPr>
          <w:b/>
          <w:bCs/>
        </w:rPr>
        <w:t xml:space="preserve">16) draudimo įmonių gyvybės draudimo </w:t>
      </w:r>
      <w:r w:rsidR="006461EB" w:rsidRPr="001861C0">
        <w:rPr>
          <w:b/>
          <w:bCs/>
        </w:rPr>
        <w:t>įmokų dalis, investuojama draudėjo ir (arba) naudos gavėjo naudai,</w:t>
      </w:r>
      <w:r w:rsidR="006461EB" w:rsidRPr="003B0D8E">
        <w:rPr>
          <w:b/>
          <w:bCs/>
          <w:i/>
        </w:rPr>
        <w:t xml:space="preserve"> </w:t>
      </w:r>
      <w:r w:rsidR="006461EB" w:rsidRPr="005C1F1C">
        <w:rPr>
          <w:b/>
          <w:bCs/>
        </w:rPr>
        <w:t xml:space="preserve">jei draudimo sutarties terminas ne trumpesnis kaip 10 metų </w:t>
      </w:r>
      <w:bookmarkStart w:id="232" w:name="_Hlk184631803"/>
      <w:r w:rsidR="006461EB" w:rsidRPr="005C1F1C">
        <w:rPr>
          <w:b/>
          <w:bCs/>
        </w:rPr>
        <w:t xml:space="preserve">arba jei draudimo išmoka išmokama </w:t>
      </w:r>
      <w:r w:rsidR="006461EB" w:rsidRPr="001861C0">
        <w:rPr>
          <w:b/>
          <w:bCs/>
        </w:rPr>
        <w:t>draudėjui ir (arba) naudos gavėjui</w:t>
      </w:r>
      <w:r w:rsidR="006461EB" w:rsidRPr="005C1F1C">
        <w:rPr>
          <w:b/>
          <w:bCs/>
        </w:rPr>
        <w:t xml:space="preserve"> sulaukus pensinio amžiaus pagal Profesinių pensijų kaupimo įstatymo nuostatas</w:t>
      </w:r>
      <w:bookmarkEnd w:id="232"/>
      <w:r w:rsidR="006461EB" w:rsidRPr="005C1F1C">
        <w:rPr>
          <w:b/>
          <w:bCs/>
        </w:rPr>
        <w:t xml:space="preserve">, draudimo įmonių gyvybės draudimo investicinės pajamos, išskyrus dividendus ir kitą paskirstytąjį pelną, bei draudimo įmonių </w:t>
      </w:r>
      <w:r w:rsidR="006461EB" w:rsidRPr="005C1F1C">
        <w:rPr>
          <w:b/>
          <w:bCs/>
        </w:rPr>
        <w:lastRenderedPageBreak/>
        <w:t>draudimo investicinės pajamos pagal profesinių pensijų gyvybės draudimo sutartis, sudarytas pagal Profesinių pensijų kaupimo įstatymo nuostatas;</w:t>
      </w:r>
    </w:p>
    <w:p w14:paraId="674D3983" w14:textId="77777777" w:rsidR="006461EB" w:rsidRPr="00FC2856" w:rsidRDefault="006461EB" w:rsidP="006461EB">
      <w:pPr>
        <w:tabs>
          <w:tab w:val="left" w:pos="720"/>
          <w:tab w:val="left" w:pos="1080"/>
        </w:tabs>
        <w:jc w:val="both"/>
        <w:rPr>
          <w:b/>
          <w:bCs/>
          <w:i/>
        </w:rPr>
      </w:pPr>
      <w:r w:rsidRPr="00FC2856">
        <w:rPr>
          <w:b/>
          <w:bCs/>
          <w:i/>
        </w:rPr>
        <w:t>(</w:t>
      </w:r>
      <w:r w:rsidRPr="003B0D8E">
        <w:rPr>
          <w:i/>
          <w:iCs/>
        </w:rPr>
        <w:t>KEISTA</w:t>
      </w:r>
      <w:r>
        <w:rPr>
          <w:i/>
          <w:iCs/>
        </w:rPr>
        <w:t xml:space="preserve">: </w:t>
      </w:r>
      <w:r w:rsidRPr="001861C0">
        <w:rPr>
          <w:bCs/>
          <w:i/>
        </w:rPr>
        <w:t>2024 06 20 įstatymu Nr. XIV-2774 (nuo 2025 01 01), taikoma apskaičiuojant 2025 ir vėlesnių metų mokestinių laikotarpių pelno mokestį)</w:t>
      </w:r>
    </w:p>
    <w:p w14:paraId="18A44436" w14:textId="77777777" w:rsidR="006461EB" w:rsidRDefault="006461EB" w:rsidP="006461EB">
      <w:pPr>
        <w:pStyle w:val="Pagrindiniotekstotrauka2"/>
      </w:pPr>
      <w:r>
        <w:t>Komentaras</w:t>
      </w:r>
    </w:p>
    <w:p w14:paraId="70D99B7D" w14:textId="77777777" w:rsidR="006461EB" w:rsidRPr="001861C0" w:rsidRDefault="006461EB" w:rsidP="006461EB">
      <w:pPr>
        <w:pStyle w:val="Pagrindiniotekstotrauka2"/>
        <w:rPr>
          <w:b w:val="0"/>
        </w:rPr>
      </w:pPr>
      <w:r w:rsidRPr="001861C0">
        <w:rPr>
          <w:b w:val="0"/>
        </w:rPr>
        <w:t xml:space="preserve">1. Draudimo įmonės, vykdančios draudimo veiklą, privalo vadovautis </w:t>
      </w:r>
      <w:hyperlink r:id="rId64" w:anchor="X0696de4690c84c37babf669b9044486c" w:history="1">
        <w:r w:rsidRPr="001861C0">
          <w:rPr>
            <w:rStyle w:val="Hipersaitas"/>
          </w:rPr>
          <w:t>Lietuvos Respublikos draudimo įstatymo</w:t>
        </w:r>
      </w:hyperlink>
      <w:r w:rsidRPr="001861C0">
        <w:rPr>
          <w:b w:val="0"/>
        </w:rPr>
        <w:t xml:space="preserve"> nuostatomis (toliau - DĮ).</w:t>
      </w:r>
    </w:p>
    <w:p w14:paraId="672EFC60" w14:textId="77777777" w:rsidR="006461EB" w:rsidRPr="001861C0" w:rsidRDefault="006461EB" w:rsidP="006461EB">
      <w:pPr>
        <w:pStyle w:val="tajtip"/>
        <w:ind w:firstLine="720"/>
        <w:jc w:val="both"/>
      </w:pPr>
      <w:r w:rsidRPr="001861C0">
        <w:t>2. Gyvybės draudimo įmonių neapmokestinamosioms pajamoms priskiriamos:</w:t>
      </w:r>
    </w:p>
    <w:p w14:paraId="1094D35B" w14:textId="77777777" w:rsidR="006461EB" w:rsidRPr="001861C0" w:rsidRDefault="006461EB" w:rsidP="006461EB">
      <w:pPr>
        <w:pStyle w:val="tajtip"/>
        <w:ind w:firstLine="720"/>
        <w:jc w:val="both"/>
      </w:pPr>
      <w:r w:rsidRPr="001861C0">
        <w:t>2.1. Gyvybės draudimo įmokų dalis, investuojama draudėjo ir (arba) naudos gavėjo naudai, jei gyvybės draudimo sutarties terminas ne trumpesnis kaip 10 metų arba jei gyvybės draudimo išmoka išmokama draudėjui ir (arba) naudos gavėjui, sulaukus pensinio amžiaus pagal Lietuvos Respublikos profesinių pensijų kaupimo įstatymą (toliau – Profesinių pensijų kaupimo įstatymas)</w:t>
      </w:r>
      <w:r w:rsidRPr="001861C0">
        <w:rPr>
          <w:bCs/>
        </w:rPr>
        <w:t xml:space="preserve">, </w:t>
      </w:r>
      <w:r w:rsidRPr="001861C0">
        <w:t>neatsižvelgiant į tai, kad tokia sutartis sudaryta trumpesniam nei 10 metų draudimo laikotarpiui. Profesinių pensijų kaupimo įstatymo 32 str. 1 dalyje nustatytas minimalus pensinis amžius, kurio sulaukus įgyjama teisė į pensijų išmoką.</w:t>
      </w:r>
    </w:p>
    <w:p w14:paraId="387D13CA" w14:textId="77777777" w:rsidR="006461EB" w:rsidRPr="001861C0" w:rsidRDefault="006461EB" w:rsidP="006461EB">
      <w:pPr>
        <w:pStyle w:val="tajtip"/>
        <w:ind w:firstLine="720"/>
        <w:jc w:val="both"/>
      </w:pPr>
      <w:r w:rsidRPr="001861C0">
        <w:t xml:space="preserve">2.2. gyvybės draudimo investicinės pajamos, išskyrus dividendus ir kitą paskirstytąjį pelną. </w:t>
      </w:r>
    </w:p>
    <w:p w14:paraId="316CFC08" w14:textId="77777777" w:rsidR="006461EB" w:rsidRPr="001861C0" w:rsidRDefault="006461EB" w:rsidP="006461EB">
      <w:pPr>
        <w:pStyle w:val="Pagrindiniotekstotrauka"/>
        <w:rPr>
          <w:lang w:val="lt-LT"/>
        </w:rPr>
      </w:pPr>
      <w:r w:rsidRPr="001861C0">
        <w:rPr>
          <w:color w:val="000000"/>
          <w:lang w:val="lt-LT"/>
        </w:rPr>
        <w:t xml:space="preserve">Investicinėms </w:t>
      </w:r>
      <w:r w:rsidRPr="001861C0">
        <w:rPr>
          <w:lang w:val="lt-LT"/>
        </w:rPr>
        <w:t>pajamoms priskiriamos gyvybės draudimo įmonės gautos pajamos iš investicijų atitinkančių DĮ ir kituose jos veiklą reglamentuojančiuose teisės aktuose nustatytus reikalavimus.</w:t>
      </w:r>
    </w:p>
    <w:p w14:paraId="3D0D9BF8" w14:textId="77777777" w:rsidR="006461EB" w:rsidRPr="001861C0" w:rsidRDefault="006461EB" w:rsidP="006461EB">
      <w:pPr>
        <w:pStyle w:val="Pagrindiniotekstotrauka"/>
        <w:rPr>
          <w:color w:val="000000"/>
          <w:lang w:val="lt-LT"/>
        </w:rPr>
      </w:pPr>
      <w:r w:rsidRPr="001861C0">
        <w:rPr>
          <w:color w:val="000000"/>
          <w:lang w:val="lt-LT"/>
        </w:rPr>
        <w:t xml:space="preserve">Apskaičiuojant apmokestinamąjį pelną, gyvybės draudimo įmonės reikmėms įsigyto nekilnojamojo turto perleidimo, nuomos ar kitos su jo naudojimu susijusios pajamos neapmokestinamosioms pajamoms nepriskiriamos. </w:t>
      </w:r>
    </w:p>
    <w:p w14:paraId="4E25437F" w14:textId="77777777" w:rsidR="006461EB" w:rsidRPr="001861C0" w:rsidRDefault="006461EB" w:rsidP="006461EB">
      <w:pPr>
        <w:pStyle w:val="Pagrindiniotekstotrauka"/>
        <w:rPr>
          <w:color w:val="000000"/>
          <w:lang w:val="lt-LT"/>
        </w:rPr>
      </w:pPr>
      <w:r w:rsidRPr="001861C0">
        <w:rPr>
          <w:color w:val="000000"/>
          <w:lang w:val="lt-LT"/>
        </w:rPr>
        <w:t xml:space="preserve">Gyvybės draudimo įmonių gauti </w:t>
      </w:r>
      <w:r w:rsidRPr="001861C0">
        <w:rPr>
          <w:bCs/>
          <w:color w:val="000000"/>
          <w:lang w:val="lt-LT"/>
        </w:rPr>
        <w:t>dividendai ir kitos paskirstytojo pelno sumos</w:t>
      </w:r>
      <w:r w:rsidRPr="001861C0">
        <w:rPr>
          <w:color w:val="000000"/>
          <w:lang w:val="lt-LT"/>
        </w:rPr>
        <w:t xml:space="preserve"> neapmokestinamosioms pajamoms nepriskiriamos (išskyrus gyvybės draudimo įmonių, vykdančių profesinių pensijų kaupimo veiklą, dividendus, gautus investavus iš profesinių pensijų turto investavimo) ir apmokestinamos PMĮ VII skyriuje nustatyta tvarka. </w:t>
      </w:r>
    </w:p>
    <w:p w14:paraId="069B4724" w14:textId="77777777" w:rsidR="006461EB" w:rsidRPr="001861C0" w:rsidRDefault="006461EB" w:rsidP="006461EB">
      <w:pPr>
        <w:pStyle w:val="Pagrindiniotekstotrauka"/>
        <w:rPr>
          <w:rStyle w:val="Hipersaitas"/>
          <w:rFonts w:ascii="Times New Roman" w:hAnsi="Times New Roman" w:cs="Times New Roman"/>
          <w:bCs w:val="0"/>
        </w:rPr>
      </w:pPr>
      <w:r w:rsidRPr="001861C0">
        <w:rPr>
          <w:color w:val="000000"/>
          <w:lang w:val="lt-LT"/>
        </w:rPr>
        <w:t xml:space="preserve">2.3. Gyvybės </w:t>
      </w:r>
      <w:r w:rsidRPr="001861C0">
        <w:rPr>
          <w:rFonts w:ascii="Times New Roman" w:hAnsi="Times New Roman" w:cs="Times New Roman"/>
          <w:lang w:val="lt-LT"/>
        </w:rPr>
        <w:t>draudimo įmonių investicinės draudimo pajamos pagal profesinių pensijų gyvybės draudimo sutartis, sudarytas pagal Profesinių pensijų kaupimo įstatymo nuostatas.</w:t>
      </w:r>
    </w:p>
    <w:p w14:paraId="0E04E80E" w14:textId="77777777" w:rsidR="006461EB" w:rsidRPr="001861C0" w:rsidRDefault="006461EB" w:rsidP="006461EB">
      <w:pPr>
        <w:pStyle w:val="Pagrindiniotekstotrauka"/>
        <w:rPr>
          <w:color w:val="000000"/>
          <w:lang w:val="lt-LT"/>
        </w:rPr>
      </w:pPr>
      <w:r w:rsidRPr="001861C0">
        <w:rPr>
          <w:color w:val="000000"/>
          <w:lang w:val="lt-LT"/>
        </w:rPr>
        <w:t>Pagal PMĮ 12 str. 16 punktą gyvybės draudimo įmonių neapmokestinamosioms investicinėms pajamoms pagal profesinių pensijų gyvybės draudimo sutartis taip pat priskiriami gauti dividendai ir kitos paskirstytojo pelno sumos. Todėl vienetas, išmokėdamas gyvybės draudimo įmonei, vykdančiai profesinių pensijų kaupimo veiklą, dividendus už akcijas, į kurias investuotas profesinių pensijų turtas, pelno mokesčio išskaičiuoti neturi.</w:t>
      </w:r>
    </w:p>
    <w:p w14:paraId="6D47087F" w14:textId="77777777" w:rsidR="006461EB" w:rsidRPr="001861C0" w:rsidRDefault="006461EB" w:rsidP="006461EB">
      <w:pPr>
        <w:pStyle w:val="tajtip"/>
        <w:ind w:firstLine="720"/>
        <w:jc w:val="both"/>
      </w:pPr>
      <w:r w:rsidRPr="001861C0">
        <w:t xml:space="preserve">3. Gyvybės draudimo įmonių gautų gyvybės draudimo įmokų dalis, neinvestuojama </w:t>
      </w:r>
      <w:r w:rsidRPr="001861C0">
        <w:rPr>
          <w:bCs/>
        </w:rPr>
        <w:t>draudėjo ir (arba) naudos gavėjo naudai,</w:t>
      </w:r>
      <w:r w:rsidRPr="001861C0">
        <w:t xml:space="preserve"> laikytina draudimo įmonių atlygiu už suteiktas gyvybės draudimo, lėšų administravimo, investavimo ir kt. paslaugas ir priskiriama apmokestinamosioms pajamoms, o su šių pajamų uždirbimu susijusios sąnaudos – leidžiamiems atskaitymams. </w:t>
      </w:r>
    </w:p>
    <w:p w14:paraId="591DDECE"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xml:space="preserve">3.1. </w:t>
      </w:r>
      <w:bookmarkStart w:id="233" w:name="_Hlk184631298"/>
      <w:r w:rsidRPr="001861C0">
        <w:rPr>
          <w:b w:val="0"/>
        </w:rPr>
        <w:t xml:space="preserve">Pakeitus gyvybės draudimo sutartį, iš 10 metų ir/ar ilgesnio į trumpesnį nei 10 metų terminą, tą mokestinį laikotarpį, kurį draudimo sutarties terminas buvo pakeistas, </w:t>
      </w:r>
      <w:r w:rsidRPr="001861C0">
        <w:rPr>
          <w:b w:val="0"/>
        </w:rPr>
        <w:lastRenderedPageBreak/>
        <w:t>apmokestinamosioms pajamoms priskiriamos (padidinama pelno mokesčio bazė) visos gyvybės draudimo įmokos (ar jų dalis), kurios buvo priskirtos neapmokestinamosioms pajamoms</w:t>
      </w:r>
      <w:bookmarkEnd w:id="233"/>
      <w:r w:rsidRPr="001861C0">
        <w:rPr>
          <w:b w:val="0"/>
        </w:rPr>
        <w:t xml:space="preserve">: </w:t>
      </w:r>
    </w:p>
    <w:p w14:paraId="69F9699D"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xml:space="preserve">- nuo 2025 metų neapmokestinamosiomis pajamomis pripažinta gyvybės draudimo įmokų dalis, investuota draudėjo ir (arba) naudos gavėjo naudai (ar jų dalis) </w:t>
      </w:r>
    </w:p>
    <w:p w14:paraId="205591A4"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rPr>
        <w:t>- iki 2025 metų laikotarpio neapmokestinamosiomis pajamomis pripažinta visa gyvybės draudimo įmokų suma .</w:t>
      </w:r>
    </w:p>
    <w:p w14:paraId="0DC0FFBF" w14:textId="77777777" w:rsidR="006461EB" w:rsidRPr="001861C0" w:rsidRDefault="006461EB" w:rsidP="006461EB">
      <w:pPr>
        <w:pStyle w:val="Pagrindiniotekstotrauka2"/>
        <w:spacing w:before="100" w:beforeAutospacing="1" w:after="100" w:afterAutospacing="1" w:line="240" w:lineRule="auto"/>
        <w:rPr>
          <w:b w:val="0"/>
          <w:bCs w:val="0"/>
        </w:rPr>
      </w:pPr>
      <w:r w:rsidRPr="001861C0">
        <w:rPr>
          <w:b w:val="0"/>
          <w:bCs w:val="0"/>
        </w:rPr>
        <w:t>3.2. Pakeitus gyvybės draudimo sutartį, iš trumpesnio nei 10 metų į 10 metų ir/ar ilgesnį terminą, tą mokestinį laikotarpį, kurį gyvybės draudimo sutarties terminas buvo pakeistas, neapmokestinamosioms pajamoms priskiriamos</w:t>
      </w:r>
      <w:r w:rsidRPr="001861C0">
        <w:rPr>
          <w:b w:val="0"/>
        </w:rPr>
        <w:t>(sumažinama pelno mokesčio bazė)</w:t>
      </w:r>
      <w:r w:rsidRPr="001861C0">
        <w:rPr>
          <w:b w:val="0"/>
          <w:bCs w:val="0"/>
        </w:rPr>
        <w:t xml:space="preserve"> visos įmokos (ar jų dalis), kurios buvo priskirtos apmokestinamosioms pajamoms:</w:t>
      </w:r>
    </w:p>
    <w:p w14:paraId="401FFA95" w14:textId="77777777" w:rsidR="006461EB" w:rsidRPr="001861C0" w:rsidRDefault="006461EB" w:rsidP="006461EB">
      <w:pPr>
        <w:pStyle w:val="Pagrindiniotekstotrauka2"/>
        <w:spacing w:before="100" w:beforeAutospacing="1" w:after="100" w:afterAutospacing="1" w:line="240" w:lineRule="auto"/>
        <w:rPr>
          <w:b w:val="0"/>
          <w:bCs w:val="0"/>
        </w:rPr>
      </w:pPr>
      <w:r w:rsidRPr="001861C0">
        <w:rPr>
          <w:b w:val="0"/>
          <w:bCs w:val="0"/>
        </w:rPr>
        <w:t xml:space="preserve">- nuo 2025 metų apmokestinamosiomis pajamomis pripažinta gyvybės draudimo </w:t>
      </w:r>
      <w:r w:rsidRPr="001861C0">
        <w:rPr>
          <w:b w:val="0"/>
        </w:rPr>
        <w:t>įmokų dalis, investuota draudėjo ir (arba) naudos gavėjo naudai</w:t>
      </w:r>
      <w:r w:rsidRPr="001861C0">
        <w:rPr>
          <w:b w:val="0"/>
          <w:bCs w:val="0"/>
        </w:rPr>
        <w:t>;</w:t>
      </w:r>
    </w:p>
    <w:p w14:paraId="25DD08D0" w14:textId="77777777" w:rsidR="006461EB" w:rsidRPr="001861C0" w:rsidRDefault="006461EB" w:rsidP="006461EB">
      <w:pPr>
        <w:pStyle w:val="Pagrindiniotekstotrauka2"/>
        <w:spacing w:before="100" w:beforeAutospacing="1" w:after="100" w:afterAutospacing="1" w:line="240" w:lineRule="auto"/>
        <w:rPr>
          <w:b w:val="0"/>
        </w:rPr>
      </w:pPr>
      <w:r w:rsidRPr="001861C0">
        <w:rPr>
          <w:b w:val="0"/>
          <w:bCs w:val="0"/>
        </w:rPr>
        <w:t xml:space="preserve">- iki 2025 metų priskirtos </w:t>
      </w:r>
      <w:r w:rsidRPr="001861C0">
        <w:rPr>
          <w:b w:val="0"/>
        </w:rPr>
        <w:t xml:space="preserve">apmokestinamosioms pajamoms gyvybės draudimo įmokos. </w:t>
      </w:r>
    </w:p>
    <w:p w14:paraId="2BA7CF82" w14:textId="77777777" w:rsidR="00093845" w:rsidRPr="006461EB" w:rsidRDefault="006461EB" w:rsidP="006461EB">
      <w:pPr>
        <w:jc w:val="both"/>
        <w:rPr>
          <w:rFonts w:ascii="Trebuchet MS" w:hAnsi="Trebuchet MS"/>
          <w:sz w:val="20"/>
          <w:szCs w:val="22"/>
          <w:lang w:val="lt-LT"/>
        </w:rPr>
      </w:pPr>
      <w:r>
        <w:rPr>
          <w:iCs/>
          <w:lang w:eastAsia="lt-LT"/>
        </w:rPr>
        <w:t>(PMĮ 12 straipsnio 16 p. komentaras parengtas pagal VMI prie FM 2025-01-20 raštą Nr. (18.32-31-1 Mr)-R-240)</w:t>
      </w:r>
    </w:p>
    <w:p w14:paraId="5FD06DB0" w14:textId="77777777" w:rsidR="00E63DE3" w:rsidRPr="00E03F80" w:rsidRDefault="00E63DE3" w:rsidP="00E63DE3">
      <w:pPr>
        <w:ind w:firstLine="900"/>
        <w:jc w:val="both"/>
        <w:rPr>
          <w:b/>
          <w:lang w:val="lt-LT"/>
        </w:rPr>
      </w:pPr>
      <w:bookmarkStart w:id="234" w:name="estr33"/>
      <w:bookmarkStart w:id="235" w:name="34str"/>
      <w:bookmarkEnd w:id="234"/>
      <w:bookmarkEnd w:id="235"/>
      <w:r w:rsidRPr="00E03F80">
        <w:rPr>
          <w:b/>
          <w:lang w:val="lt-LT"/>
        </w:rPr>
        <w:t>17) Lietuvos Respublikos įstatymuose arba kituose teisės aktuose nustatyto dydžio tiesioginės ir kitos kompensacinės išmokos pajamų lygiui palaikyti, kurias gauna žemės ūkio veiklą vykdantys vienetai.</w:t>
      </w:r>
    </w:p>
    <w:p w14:paraId="5A0CF35E" w14:textId="77777777" w:rsidR="00E63DE3" w:rsidRPr="00582607" w:rsidRDefault="00E63DE3" w:rsidP="00E63DE3">
      <w:pPr>
        <w:jc w:val="both"/>
        <w:rPr>
          <w:i/>
          <w:lang w:val="lt-LT"/>
        </w:rPr>
      </w:pPr>
      <w:r w:rsidRPr="00582607">
        <w:rPr>
          <w:i/>
          <w:lang w:val="lt-LT"/>
        </w:rPr>
        <w:t>(KEISTA: 2009 02 19 įstatymu Nr. XI-174 (nuo 2009 03 05), taikoma apskaičiuojant 2009 metų ir vėlesnių metų mokestinių laikotarpių pelno mokestį)</w:t>
      </w:r>
    </w:p>
    <w:p w14:paraId="3DE155B5" w14:textId="77777777" w:rsidR="00E63DE3" w:rsidRPr="00E03F80" w:rsidRDefault="00E63DE3" w:rsidP="00E63DE3">
      <w:pPr>
        <w:ind w:firstLine="900"/>
        <w:rPr>
          <w:b/>
          <w:lang w:val="lt-LT"/>
        </w:rPr>
      </w:pPr>
      <w:r w:rsidRPr="00E03F80">
        <w:rPr>
          <w:b/>
          <w:lang w:val="lt-LT"/>
        </w:rPr>
        <w:t>Komentaras</w:t>
      </w:r>
    </w:p>
    <w:p w14:paraId="08A1E490" w14:textId="77777777" w:rsidR="00E63DE3" w:rsidRPr="00E03F80" w:rsidRDefault="00E63DE3" w:rsidP="00E63DE3">
      <w:pPr>
        <w:ind w:firstLine="900"/>
        <w:jc w:val="both"/>
        <w:rPr>
          <w:lang w:val="lt-LT"/>
        </w:rPr>
      </w:pPr>
      <w:r w:rsidRPr="00E03F80">
        <w:rPr>
          <w:lang w:val="lt-LT"/>
        </w:rPr>
        <w:t>1. Vienetų, vykdančių žemės ūkio veiklą, kaip ji suprantama pagal Lietuvos Respublikos žemės ūkio, maisto ūkio ir kaimo plėtros įstatymą (toliau – Įstatymas), gautos Lietuvos Respublikos įstatymuose arba kituose teisės aktuose nustatyto dydžio tiesioginės ir kitos kompensacinės išmokos pajamų lygiui palaikyti yra priskiriamos neapmokestinamosioms pajamoms.</w:t>
      </w:r>
    </w:p>
    <w:p w14:paraId="45CA19B1" w14:textId="77777777" w:rsidR="00E63DE3" w:rsidRPr="00E03F80" w:rsidRDefault="00E63DE3" w:rsidP="00E63DE3">
      <w:pPr>
        <w:ind w:firstLine="900"/>
        <w:jc w:val="both"/>
        <w:rPr>
          <w:lang w:val="lt-LT"/>
        </w:rPr>
      </w:pPr>
      <w:r w:rsidRPr="00E03F80">
        <w:rPr>
          <w:lang w:val="lt-LT"/>
        </w:rPr>
        <w:t>Pagal Įstatymą kompensacinė išmoka suprantama kaip teisės aktų nustatyta tvarka teikiama finansinė parama dėl nepalankių ūkininkavimo sąlygų, ekologinio ūkininkavimo įsipareigojimų, aplinkosaugos ar teisės aktų nustatytų kitų apribojimų vykdymo negautoms pajamoms ar turėtoms papildomoms išlaidoms kompensuoti.</w:t>
      </w:r>
    </w:p>
    <w:p w14:paraId="754869AC" w14:textId="77777777" w:rsidR="00E63DE3" w:rsidRPr="00E03F80" w:rsidRDefault="00E63DE3" w:rsidP="00E63DE3">
      <w:pPr>
        <w:ind w:firstLine="900"/>
        <w:jc w:val="both"/>
        <w:rPr>
          <w:lang w:val="lt-LT"/>
        </w:rPr>
      </w:pPr>
      <w:r w:rsidRPr="00E03F80">
        <w:rPr>
          <w:lang w:val="lt-LT"/>
        </w:rPr>
        <w:t>Tiesioginė išmoka – vieneto pajamų lygiui palaikyti teikiama finansinė parama.</w:t>
      </w:r>
    </w:p>
    <w:p w14:paraId="760AEB89" w14:textId="77777777" w:rsidR="00E63DE3" w:rsidRPr="00E03F80" w:rsidRDefault="00E63DE3" w:rsidP="00E63DE3">
      <w:pPr>
        <w:ind w:firstLine="900"/>
        <w:jc w:val="both"/>
        <w:rPr>
          <w:lang w:val="lt-LT"/>
        </w:rPr>
      </w:pPr>
      <w:r w:rsidRPr="00E03F80">
        <w:rPr>
          <w:lang w:val="lt-LT"/>
        </w:rPr>
        <w:t>Žemės ūkio veiklą vykdančių vienetų gauta parama negautoms pajamos kompensuoti, t. y. už pajamų praradimą (netekimą), neatsižvelgiant į tai, kad veikla yra sustabdyta ar nutraukta, yra prilyginama kompensacinėms išmokoms pajamų lygiui palaikyti.</w:t>
      </w:r>
    </w:p>
    <w:p w14:paraId="1BFAD0F2" w14:textId="77777777" w:rsidR="00E63DE3" w:rsidRPr="00E03F80" w:rsidRDefault="00E63DE3" w:rsidP="00E63DE3">
      <w:pPr>
        <w:ind w:firstLine="900"/>
        <w:jc w:val="both"/>
        <w:rPr>
          <w:lang w:val="lt-LT"/>
        </w:rPr>
      </w:pPr>
      <w:r w:rsidRPr="00E03F80">
        <w:rPr>
          <w:lang w:val="lt-LT"/>
        </w:rPr>
        <w:t>2. Žemės ūkio veikla užsiimantys vienetai, gavę tiesiogines ar kompensacines išmokas, turėtų įvertinti gautų išmokų pobūdį, t. y. kokiu tikslu jos gautos:</w:t>
      </w:r>
    </w:p>
    <w:p w14:paraId="002E963B" w14:textId="77777777" w:rsidR="00E63DE3" w:rsidRPr="00E03F80" w:rsidRDefault="00E63DE3" w:rsidP="00E63DE3">
      <w:pPr>
        <w:ind w:firstLine="900"/>
        <w:jc w:val="both"/>
        <w:rPr>
          <w:lang w:val="lt-LT"/>
        </w:rPr>
      </w:pPr>
      <w:r w:rsidRPr="00E03F80">
        <w:rPr>
          <w:lang w:val="lt-LT"/>
        </w:rPr>
        <w:t xml:space="preserve"> - tuo atveju, kai šios išmokos gaunamos palaikyti žemės ūkio veiklos pajamų lygiui ar kompensuoti pajamų netekimą, tai šios išmokos yra priskiriamos neapmokestinamoms pajamoms.</w:t>
      </w:r>
    </w:p>
    <w:p w14:paraId="1645FF65" w14:textId="77777777" w:rsidR="00E63DE3" w:rsidRPr="00E03F80" w:rsidRDefault="00E63DE3" w:rsidP="00E63DE3">
      <w:pPr>
        <w:ind w:firstLine="900"/>
        <w:jc w:val="both"/>
        <w:rPr>
          <w:lang w:val="lt-LT"/>
        </w:rPr>
      </w:pPr>
      <w:r w:rsidRPr="00E03F80">
        <w:rPr>
          <w:lang w:val="lt-LT"/>
        </w:rPr>
        <w:lastRenderedPageBreak/>
        <w:t>- tuo atveju, kai žemės ūkio veikla užsiimantys vienetai gauna išmokas patirtoms išlaidoms (padarytoms investicijoms) kompensuoti, tokios išmokos laikomos dotacijoms ir joms taikomos bendros dotacijų apskaitos nuostatas.</w:t>
      </w:r>
    </w:p>
    <w:p w14:paraId="166394BF" w14:textId="77777777" w:rsidR="00E63DE3" w:rsidRPr="00E03F80" w:rsidRDefault="00E63DE3" w:rsidP="00E63DE3">
      <w:pPr>
        <w:ind w:firstLine="900"/>
        <w:jc w:val="both"/>
        <w:rPr>
          <w:lang w:val="lt-LT"/>
        </w:rPr>
      </w:pPr>
      <w:r w:rsidRPr="00E03F80">
        <w:rPr>
          <w:lang w:val="lt-LT"/>
        </w:rPr>
        <w:t>Pavyzdžiai</w:t>
      </w:r>
    </w:p>
    <w:p w14:paraId="054E1713"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1. Vienetui yra numatyta </w:t>
      </w:r>
      <w:r>
        <w:rPr>
          <w:lang w:val="lt-LT"/>
        </w:rPr>
        <w:t xml:space="preserve"> 2018</w:t>
      </w:r>
      <w:r w:rsidRPr="00E03F80">
        <w:rPr>
          <w:lang w:val="lt-LT"/>
        </w:rPr>
        <w:t xml:space="preserve"> metais išmokėti </w:t>
      </w:r>
      <w:r>
        <w:rPr>
          <w:lang w:val="lt-LT"/>
        </w:rPr>
        <w:t xml:space="preserve">300 000 Eur </w:t>
      </w:r>
      <w:r w:rsidRPr="00E03F80">
        <w:rPr>
          <w:lang w:val="lt-LT"/>
        </w:rPr>
        <w:t>tiesiogines išmokas už žemės ūkio naudmenų ir pasėlių plotus.</w:t>
      </w:r>
    </w:p>
    <w:p w14:paraId="1FD7D59B"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Šiuo atveju, vieneto gauta išmoka pajamų lygiui palaikyti, apskaičiuojant </w:t>
      </w:r>
      <w:r>
        <w:rPr>
          <w:lang w:val="lt-LT"/>
        </w:rPr>
        <w:t xml:space="preserve"> 2018</w:t>
      </w:r>
      <w:r w:rsidRPr="00E03F80">
        <w:rPr>
          <w:lang w:val="lt-LT"/>
        </w:rPr>
        <w:t xml:space="preserve"> metų apmokestinamąjį pelną, bus priskiriama neapmokestinamosioms pajamoms.</w:t>
      </w:r>
    </w:p>
    <w:p w14:paraId="362A4C98"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2. Vienetui </w:t>
      </w:r>
      <w:r>
        <w:rPr>
          <w:lang w:val="lt-LT"/>
        </w:rPr>
        <w:t>2018</w:t>
      </w:r>
      <w:r w:rsidRPr="00E03F80">
        <w:rPr>
          <w:lang w:val="lt-LT"/>
        </w:rPr>
        <w:t xml:space="preserve"> metais išmokėjo  200 000 </w:t>
      </w:r>
      <w:r>
        <w:rPr>
          <w:lang w:val="lt-LT"/>
        </w:rPr>
        <w:t xml:space="preserve">Eur </w:t>
      </w:r>
      <w:r w:rsidRPr="00E03F80">
        <w:rPr>
          <w:lang w:val="lt-LT"/>
        </w:rPr>
        <w:t xml:space="preserve">tiesiogines išmokas už </w:t>
      </w:r>
      <w:r>
        <w:rPr>
          <w:lang w:val="lt-LT"/>
        </w:rPr>
        <w:t xml:space="preserve">baltąjį </w:t>
      </w:r>
      <w:r w:rsidRPr="00E03F80">
        <w:rPr>
          <w:lang w:val="lt-LT"/>
        </w:rPr>
        <w:t xml:space="preserve">cukrų  ir </w:t>
      </w:r>
      <w:r>
        <w:rPr>
          <w:lang w:val="lt-LT"/>
        </w:rPr>
        <w:t xml:space="preserve">mėsinius galvijus </w:t>
      </w:r>
      <w:r w:rsidRPr="00E03F80">
        <w:rPr>
          <w:lang w:val="lt-LT"/>
        </w:rPr>
        <w:t>800 000</w:t>
      </w:r>
      <w:r>
        <w:rPr>
          <w:lang w:val="lt-LT"/>
        </w:rPr>
        <w:t xml:space="preserve"> Eur</w:t>
      </w:r>
      <w:r w:rsidRPr="00E03F80">
        <w:rPr>
          <w:lang w:val="lt-LT"/>
        </w:rPr>
        <w:t>.</w:t>
      </w:r>
    </w:p>
    <w:p w14:paraId="0FC9327F"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Šiuo atveju, vieneto gautos išmokos pajamų lygiui palaikyti, apskaičiuojant </w:t>
      </w:r>
      <w:r>
        <w:rPr>
          <w:lang w:val="lt-LT"/>
        </w:rPr>
        <w:t>2018</w:t>
      </w:r>
      <w:r w:rsidRPr="00E03F80">
        <w:rPr>
          <w:lang w:val="lt-LT"/>
        </w:rPr>
        <w:t xml:space="preserve"> metų apmokestinamąjį pelną, yra priskiriamos neapmokestinamosioms pajamoms.</w:t>
      </w:r>
    </w:p>
    <w:p w14:paraId="34A2EC5B"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3. Vienetui yra numatyta </w:t>
      </w:r>
      <w:r>
        <w:rPr>
          <w:lang w:val="lt-LT"/>
        </w:rPr>
        <w:t>2018</w:t>
      </w:r>
      <w:r w:rsidRPr="00E03F80">
        <w:rPr>
          <w:lang w:val="lt-LT"/>
        </w:rPr>
        <w:t xml:space="preserve"> metais išmokėti </w:t>
      </w:r>
      <w:r>
        <w:rPr>
          <w:lang w:val="lt-LT"/>
        </w:rPr>
        <w:t xml:space="preserve">300 000 Eur </w:t>
      </w:r>
      <w:r w:rsidRPr="00E03F80">
        <w:rPr>
          <w:lang w:val="lt-LT"/>
        </w:rPr>
        <w:t>prarastųjų pajamų kompensavimo išmokas pagal priemonę ,,Pirmas žemės ūkio paskirties žemės apželdinimas mišku“ bei –</w:t>
      </w:r>
      <w:r>
        <w:rPr>
          <w:lang w:val="lt-LT"/>
        </w:rPr>
        <w:t xml:space="preserve"> 200 000 Eur </w:t>
      </w:r>
      <w:r w:rsidRPr="00E03F80">
        <w:rPr>
          <w:lang w:val="lt-LT"/>
        </w:rPr>
        <w:t>kompensacines išmokas už saugomose teritorijose, kurias įsteigė valstybės institucijos, nustatytus veiklos apribojimus.</w:t>
      </w:r>
    </w:p>
    <w:p w14:paraId="69523E11"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Šiuo atveju, vieneto pajamų netekimui gautos išmokos (</w:t>
      </w:r>
      <w:r>
        <w:rPr>
          <w:lang w:val="lt-LT"/>
        </w:rPr>
        <w:t>500 000 Eur</w:t>
      </w:r>
      <w:r w:rsidRPr="00E03F80">
        <w:rPr>
          <w:lang w:val="lt-LT"/>
        </w:rPr>
        <w:t xml:space="preserve">), apskaičiuojant </w:t>
      </w:r>
      <w:r>
        <w:rPr>
          <w:lang w:val="lt-LT"/>
        </w:rPr>
        <w:t>2018</w:t>
      </w:r>
      <w:r w:rsidRPr="00E03F80">
        <w:rPr>
          <w:lang w:val="lt-LT"/>
        </w:rPr>
        <w:t xml:space="preserve"> metų apmokestinamąjį pelną, yra priskiriamos neapmokestinamosioms pajamoms. </w:t>
      </w:r>
    </w:p>
    <w:p w14:paraId="1323F84E"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p>
    <w:p w14:paraId="65F991EA"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4. Vienetui yra numatyta </w:t>
      </w:r>
      <w:r>
        <w:rPr>
          <w:lang w:val="lt-LT"/>
        </w:rPr>
        <w:t>2018</w:t>
      </w:r>
      <w:r w:rsidRPr="00E03F80">
        <w:rPr>
          <w:lang w:val="lt-LT"/>
        </w:rPr>
        <w:t xml:space="preserve"> metais mokėti tokias kompensacijas:</w:t>
      </w:r>
    </w:p>
    <w:p w14:paraId="325FA616"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- 50 000 </w:t>
      </w:r>
      <w:r>
        <w:rPr>
          <w:lang w:val="lt-LT"/>
        </w:rPr>
        <w:t>Eur</w:t>
      </w:r>
      <w:r w:rsidRPr="00E03F80">
        <w:rPr>
          <w:lang w:val="lt-LT"/>
        </w:rPr>
        <w:t xml:space="preserve"> su bedarbių įdarbinimu susijusioms išlaidoms kompensuoti;</w:t>
      </w:r>
    </w:p>
    <w:p w14:paraId="1A7358EF"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45 000 </w:t>
      </w:r>
      <w:r>
        <w:rPr>
          <w:lang w:val="lt-LT"/>
        </w:rPr>
        <w:t>Eur</w:t>
      </w:r>
      <w:r w:rsidRPr="00E03F80">
        <w:rPr>
          <w:lang w:val="lt-LT"/>
        </w:rPr>
        <w:t xml:space="preserve"> draudimo įmokoms kompensuoti;</w:t>
      </w:r>
    </w:p>
    <w:p w14:paraId="5627927A"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 xml:space="preserve">- 100 000 </w:t>
      </w:r>
      <w:r>
        <w:rPr>
          <w:lang w:val="lt-LT"/>
        </w:rPr>
        <w:t>Eur</w:t>
      </w:r>
      <w:r w:rsidRPr="00E03F80">
        <w:rPr>
          <w:lang w:val="lt-LT"/>
        </w:rPr>
        <w:t xml:space="preserve"> pagal priemonę ,,Žemės ūkio valdų modernizavimas“ ilgalaikio materialiojo turto įsigijimo išlaidoms kompensuoti.</w:t>
      </w:r>
    </w:p>
    <w:p w14:paraId="472B415D"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Visos išvardintos išmokos kompensuoja vieneto patirtas išlaidas.</w:t>
      </w:r>
    </w:p>
    <w:p w14:paraId="61776DF7" w14:textId="77777777" w:rsidR="00E63DE3" w:rsidRPr="00E03F80" w:rsidRDefault="00E63DE3" w:rsidP="00E63DE3">
      <w:pPr>
        <w:pBdr>
          <w:top w:val="single" w:sz="4" w:space="1" w:color="auto"/>
          <w:left w:val="single" w:sz="4" w:space="4" w:color="auto"/>
          <w:bottom w:val="single" w:sz="4" w:space="1" w:color="auto"/>
          <w:right w:val="single" w:sz="4" w:space="4" w:color="auto"/>
        </w:pBdr>
        <w:ind w:firstLine="900"/>
        <w:jc w:val="both"/>
        <w:rPr>
          <w:lang w:val="lt-LT"/>
        </w:rPr>
      </w:pPr>
      <w:r w:rsidRPr="00E03F80">
        <w:rPr>
          <w:lang w:val="lt-LT"/>
        </w:rPr>
        <w:t>Vieneto gautos išmokos patirtoms išlaidoms kompensuoti priskiriamos dotacijoms, kuriomis mažinamos sąnaudos. Šiuo atveju patirtoms išlaidoms kompensuoti gautos išmokos, apskaičiuojant apmokestinamąjį pelną, neapmokestinamosioms pajamoms nepriskiriamos.</w:t>
      </w:r>
    </w:p>
    <w:p w14:paraId="3DC28D20" w14:textId="77777777" w:rsidR="00E63DE3" w:rsidRDefault="00E63DE3" w:rsidP="00E63DE3">
      <w:pPr>
        <w:ind w:firstLine="720"/>
        <w:jc w:val="both"/>
        <w:rPr>
          <w:bCs/>
          <w:lang w:val="lt-LT"/>
        </w:rPr>
      </w:pPr>
      <w:r>
        <w:rPr>
          <w:bCs/>
          <w:lang w:val="lt-LT"/>
        </w:rPr>
        <w:t>(Pakeista pagal 2019-08-06 VMI prie FM raštą Nr. (18.-10-31-1E)-RM-23984).</w:t>
      </w:r>
    </w:p>
    <w:p w14:paraId="6BACC9C8" w14:textId="77777777" w:rsidR="00F4041F" w:rsidRPr="00085CAE" w:rsidRDefault="000D779E" w:rsidP="00F4041F">
      <w:pPr>
        <w:tabs>
          <w:tab w:val="left" w:pos="9638"/>
        </w:tabs>
        <w:jc w:val="both"/>
        <w:rPr>
          <w:b/>
          <w:lang w:val="lt-LT" w:eastAsia="lt-LT"/>
        </w:rPr>
      </w:pPr>
      <w:r>
        <w:rPr>
          <w:b/>
        </w:rPr>
        <w:t xml:space="preserve">           18) </w:t>
      </w:r>
      <w:r w:rsidR="00F4041F" w:rsidRPr="00085CAE">
        <w:rPr>
          <w:b/>
          <w:lang w:val="lt-LT" w:eastAsia="lt-LT"/>
        </w:rPr>
        <w:t>pajamos, įskaitant turto vertės padidėjimo pajamas, dividendus ir kitą paskirstytąjį pelną, gautos iš KIS, kurie nėra įregistruoti ar kitaip organizuoti tikslinėse teritorijose, investicinių vienetų, akcijų ar įnašų turėjimo. Šio punkto nuostatos dėl turto vertės padidėjimo pajamų neapmokestinimo taikomos tik tuo atveju, jei tokios pajamos gaunamos ne iš užsienio vienetų, įregistruotų ar kitaip organizuotų tikslinėse teritorijose, ar iš tų teritorijų gyventojų.</w:t>
      </w:r>
    </w:p>
    <w:p w14:paraId="5EC5F098" w14:textId="77777777" w:rsidR="00E63DE3" w:rsidRPr="00F4041F" w:rsidRDefault="00F4041F" w:rsidP="00F4041F">
      <w:pPr>
        <w:tabs>
          <w:tab w:val="left" w:pos="9638"/>
        </w:tabs>
        <w:jc w:val="both"/>
        <w:rPr>
          <w:lang w:val="lt-LT" w:eastAsia="lt-LT"/>
        </w:rPr>
      </w:pPr>
      <w:r w:rsidRPr="00085CAE">
        <w:rPr>
          <w:lang w:val="lt-LT"/>
        </w:rPr>
        <w:t xml:space="preserve">        (2017 m. gruodžio 7 d. įstatymo Nr. </w:t>
      </w:r>
      <w:r w:rsidRPr="00085CAE">
        <w:rPr>
          <w:iCs/>
          <w:lang w:val="lt-LT" w:eastAsia="lt-LT"/>
        </w:rPr>
        <w:t xml:space="preserve">XIII-842 </w:t>
      </w:r>
      <w:r w:rsidRPr="00085CAE">
        <w:rPr>
          <w:lang w:val="lt-LT"/>
        </w:rPr>
        <w:t>redakcija</w:t>
      </w:r>
      <w:r w:rsidRPr="00085CAE">
        <w:rPr>
          <w:lang w:val="lt-LT" w:eastAsia="lt-LT"/>
        </w:rPr>
        <w:t>; taikoma apskaičiuojant 2018 metų ir vėlesnių metų mokestinių laikotarpių pelno mokestį).</w:t>
      </w:r>
    </w:p>
    <w:p w14:paraId="6AABE9A2" w14:textId="77777777" w:rsidR="00E079AB" w:rsidRDefault="00582607" w:rsidP="00E079AB">
      <w:pPr>
        <w:jc w:val="both"/>
        <w:rPr>
          <w:b/>
          <w:lang w:val="lt-LT"/>
        </w:rPr>
      </w:pPr>
      <w:r w:rsidRPr="00582607">
        <w:rPr>
          <w:b/>
          <w:lang w:val="lt-LT"/>
        </w:rPr>
        <w:t xml:space="preserve">        </w:t>
      </w:r>
      <w:r w:rsidR="00E079AB">
        <w:rPr>
          <w:b/>
          <w:lang w:val="lt-LT"/>
        </w:rPr>
        <w:t>Komentaras</w:t>
      </w:r>
    </w:p>
    <w:p w14:paraId="602ED3B3" w14:textId="77777777" w:rsidR="00F4041F" w:rsidRPr="00085CAE" w:rsidRDefault="00E079AB" w:rsidP="00927E61">
      <w:pPr>
        <w:pStyle w:val="Sraopastraipa"/>
        <w:numPr>
          <w:ilvl w:val="0"/>
          <w:numId w:val="73"/>
        </w:numPr>
        <w:tabs>
          <w:tab w:val="left" w:pos="709"/>
        </w:tabs>
        <w:spacing w:after="0" w:line="240" w:lineRule="auto"/>
        <w:ind w:left="0" w:firstLine="709"/>
        <w:jc w:val="both"/>
        <w:rPr>
          <w:bCs/>
          <w:lang w:eastAsia="lt-LT"/>
        </w:rPr>
      </w:pPr>
      <w:r w:rsidRPr="00E079AB">
        <w:t xml:space="preserve">        </w:t>
      </w:r>
      <w:r w:rsidR="00F4041F" w:rsidRPr="00085CAE">
        <w:rPr>
          <w:bCs/>
          <w:lang w:eastAsia="lt-LT"/>
        </w:rPr>
        <w:t xml:space="preserve">Pagal komentuojamąją dalį, apskaičiuojant mokestinių laikotarpių pelno mokestį, neapmokestinamosioms pajamoms priskiriamos vienetų pajamos, gautos iš KIS, </w:t>
      </w:r>
      <w:r w:rsidR="00F4041F" w:rsidRPr="00085CAE">
        <w:t xml:space="preserve">kurie nėra įregistruoti </w:t>
      </w:r>
      <w:r w:rsidR="00F4041F" w:rsidRPr="00085CAE">
        <w:lastRenderedPageBreak/>
        <w:t>ar kitaip organizuoti tikslinėse teritorijose, investicinių vienetų, akcijų ar įnašų turėjimo,</w:t>
      </w:r>
      <w:r w:rsidR="00F4041F" w:rsidRPr="00085CAE">
        <w:rPr>
          <w:bCs/>
          <w:lang w:eastAsia="lt-LT"/>
        </w:rPr>
        <w:t xml:space="preserve"> įskaitant pačių KIS investicinių vienetų, akcijų (pajų, dalių ar kt. vienetų) ar įnašų perleidimą</w:t>
      </w:r>
      <w:r w:rsidR="00F4041F">
        <w:rPr>
          <w:bCs/>
          <w:lang w:eastAsia="lt-LT"/>
        </w:rPr>
        <w:t xml:space="preserve"> kitiems asmenims</w:t>
      </w:r>
      <w:r w:rsidR="00F4041F" w:rsidRPr="00085CAE">
        <w:rPr>
          <w:bCs/>
          <w:lang w:eastAsia="lt-LT"/>
        </w:rPr>
        <w:t>.</w:t>
      </w:r>
    </w:p>
    <w:p w14:paraId="7F7C70C9" w14:textId="77777777" w:rsidR="00F4041F" w:rsidRPr="00085CAE" w:rsidRDefault="00F4041F" w:rsidP="00F4041F">
      <w:pPr>
        <w:pStyle w:val="Sraopastraipa"/>
        <w:ind w:left="0"/>
        <w:jc w:val="both"/>
      </w:pPr>
      <w:r w:rsidRPr="00085CAE">
        <w:t xml:space="preserve">      </w:t>
      </w:r>
      <w:r>
        <w:t xml:space="preserve">      </w:t>
      </w:r>
      <w:r w:rsidRPr="00085CAE">
        <w:t>Vienetų gaunamos pajamos apima turto vertės padidėjimo pajamas už investicinių vienetų, akcijų ar įnašų perleidimą,  dividendus,  kitas pajamas iš paskirstytojo pelno.</w:t>
      </w:r>
      <w:r>
        <w:t xml:space="preserve"> </w:t>
      </w:r>
    </w:p>
    <w:p w14:paraId="63FFCB66" w14:textId="77777777" w:rsidR="00F4041F" w:rsidRPr="00085CAE" w:rsidRDefault="00F4041F" w:rsidP="00F4041F">
      <w:pPr>
        <w:jc w:val="both"/>
        <w:rPr>
          <w:bCs/>
          <w:lang w:val="lt-LT" w:eastAsia="lt-LT"/>
        </w:rPr>
      </w:pPr>
    </w:p>
    <w:p w14:paraId="672AF5F9" w14:textId="77777777" w:rsidR="00F4041F" w:rsidRPr="00085CAE" w:rsidRDefault="00F4041F" w:rsidP="00F4041F">
      <w:pPr>
        <w:rPr>
          <w:lang w:val="lt-LT"/>
        </w:rPr>
      </w:pPr>
      <w:r w:rsidRPr="00085CAE">
        <w:rPr>
          <w:lang w:val="lt-LT"/>
        </w:rPr>
        <w:t>Pavyzdžiai</w:t>
      </w:r>
    </w:p>
    <w:p w14:paraId="762B3D33" w14:textId="77777777" w:rsidR="00F4041F" w:rsidRPr="00085CAE" w:rsidRDefault="00F4041F" w:rsidP="00F4041F">
      <w:pPr>
        <w:rPr>
          <w:lang w:val="lt-LT"/>
        </w:rPr>
      </w:pPr>
    </w:p>
    <w:p w14:paraId="73D7D55F"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lang w:val="lt-LT"/>
        </w:rPr>
      </w:pPr>
      <w:r w:rsidRPr="00085CAE">
        <w:rPr>
          <w:lang w:val="lt-LT"/>
        </w:rPr>
        <w:t>1. Lietuvoje registruotas investicinis fondas yra KIS (toliau - Fondas), veikiantis pagal IISKISĮ, neturintis juridinio asmens statuso, kurio valdymas perduotas valdymo įmonei. Fondo veiklą</w:t>
      </w:r>
      <w:r w:rsidRPr="00085CAE">
        <w:rPr>
          <w:b/>
          <w:lang w:val="lt-LT"/>
        </w:rPr>
        <w:t xml:space="preserve"> </w:t>
      </w:r>
      <w:r w:rsidRPr="00085CAE">
        <w:rPr>
          <w:lang w:val="lt-LT"/>
        </w:rPr>
        <w:t>reglamentuojančiuose teisės aktuose bei Fondo taisyklėse numatyta, kad dalį investicinių pajamų fondas periodiškai išmoka savo investuotojams (dalyviams), kaip numato KISĮ bei IISKISĮ. Fondo investuotojai – Lietuvos Respublikoje įregistruoti juridiniai asmenys. Fondas atitinka visus PMĮ 2 straipsnio 15</w:t>
      </w:r>
      <w:r w:rsidRPr="00085CAE">
        <w:rPr>
          <w:vertAlign w:val="superscript"/>
          <w:lang w:val="lt-LT"/>
        </w:rPr>
        <w:t xml:space="preserve">1 </w:t>
      </w:r>
      <w:r w:rsidRPr="00085CAE">
        <w:rPr>
          <w:lang w:val="lt-LT"/>
        </w:rPr>
        <w:t>dalyje nustatytus reikalavimus. PMĮ tikslais tokios išmokos laikomos paskirstytin</w:t>
      </w:r>
      <w:r>
        <w:rPr>
          <w:lang w:val="lt-LT"/>
        </w:rPr>
        <w:t>uoju</w:t>
      </w:r>
      <w:r w:rsidRPr="00085CAE">
        <w:rPr>
          <w:lang w:val="lt-LT"/>
        </w:rPr>
        <w:t xml:space="preserve"> peln</w:t>
      </w:r>
      <w:r>
        <w:rPr>
          <w:lang w:val="lt-LT"/>
        </w:rPr>
        <w:t>u. I</w:t>
      </w:r>
      <w:r w:rsidRPr="00085CAE">
        <w:rPr>
          <w:lang w:val="lt-LT"/>
        </w:rPr>
        <w:t>šmokos iš pelno, kaip neapmokestinami dividendai, turi būti deklaruojamos Metinės pelno mokesčio deklaracijos priedo formoje PLN204E. Kadangi Fondo valdymas perduotas valdymo įmonei, PMĮ nustatytą Fondo uždirbto pelno ir (arba) gautų, išmokamų pajamų apmokestinimo tvarką Fondo vardu taiko valdymo įmonė.</w:t>
      </w:r>
    </w:p>
    <w:p w14:paraId="3A21837D"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lang w:val="lt-LT"/>
        </w:rPr>
      </w:pPr>
      <w:r w:rsidRPr="00085CAE">
        <w:rPr>
          <w:lang w:val="lt-LT"/>
        </w:rPr>
        <w:t>Li</w:t>
      </w:r>
      <w:r>
        <w:rPr>
          <w:lang w:val="lt-LT"/>
        </w:rPr>
        <w:t>etuvos Respublikoje įregistruotų</w:t>
      </w:r>
      <w:r w:rsidRPr="00085CAE">
        <w:rPr>
          <w:lang w:val="lt-LT"/>
        </w:rPr>
        <w:t xml:space="preserve"> vienet</w:t>
      </w:r>
      <w:r>
        <w:rPr>
          <w:lang w:val="lt-LT"/>
        </w:rPr>
        <w:t>ų (Fondo investuotojų) gautos pajamos iš paskirstytojo pelno</w:t>
      </w:r>
      <w:r w:rsidRPr="00085CAE">
        <w:rPr>
          <w:lang w:val="lt-LT"/>
        </w:rPr>
        <w:t xml:space="preserve"> vadovaujantis PMĮ 12 straipsnio 18 punktu</w:t>
      </w:r>
      <w:r w:rsidRPr="00FC7C1E">
        <w:rPr>
          <w:lang w:val="lt-LT"/>
        </w:rPr>
        <w:t xml:space="preserve"> </w:t>
      </w:r>
      <w:r w:rsidRPr="00085CAE">
        <w:rPr>
          <w:lang w:val="lt-LT"/>
        </w:rPr>
        <w:t xml:space="preserve">pelno mokesčiu neapmokestinamos. </w:t>
      </w:r>
      <w:r>
        <w:rPr>
          <w:lang w:val="lt-LT"/>
        </w:rPr>
        <w:t xml:space="preserve">Fondo investuotojai </w:t>
      </w:r>
      <w:r w:rsidRPr="00085CAE">
        <w:rPr>
          <w:lang w:val="lt-LT"/>
        </w:rPr>
        <w:t xml:space="preserve">įsigiję minėto Fondo investicinių vienetų, apskaičiuojant mokestinių metų apmokestinamąjį pelną, gautas iš Fondo sumas parodo kaip pelno mokesčiu neapmokestinamas pajamas PLN204Z priede. </w:t>
      </w:r>
    </w:p>
    <w:p w14:paraId="32BE347E" w14:textId="77777777" w:rsidR="00F4041F" w:rsidRPr="00085CAE" w:rsidRDefault="00F4041F" w:rsidP="00F4041F">
      <w:pPr>
        <w:pBdr>
          <w:top w:val="single" w:sz="4" w:space="1" w:color="auto"/>
          <w:left w:val="single" w:sz="4" w:space="4" w:color="auto"/>
          <w:bottom w:val="single" w:sz="4" w:space="1" w:color="auto"/>
          <w:right w:val="single" w:sz="4" w:space="4" w:color="auto"/>
        </w:pBdr>
        <w:tabs>
          <w:tab w:val="left" w:pos="851"/>
        </w:tabs>
        <w:jc w:val="both"/>
        <w:rPr>
          <w:bCs/>
          <w:highlight w:val="yellow"/>
          <w:lang w:val="lt-LT" w:eastAsia="lt-LT"/>
        </w:rPr>
      </w:pPr>
      <w:r w:rsidRPr="00085CAE">
        <w:rPr>
          <w:lang w:val="lt-LT"/>
        </w:rPr>
        <w:t>2. Lietuvos vienetas 2024 m. kovo 6 d. įsigijo per Swedbank biržą prekiaujamų ETF (exchange-traded funds / biržoje prekiaujami fondai) fondų vienetų už 200 000 Eur. 2024 m. gegužės 30 d. Lietuvos vienetas pardavė biržoje minėtų ETF fondų vienetus už 230 000 Eur. Apskaičiuojant apmokestinamąjį pelną už 2024 metus, Lietuvos vienetas pelno mokesčio deklaracijos PLN204 priede PLN204Z  deklaruos 08 kodu „Pajamos iš kolektyvinio investavimo subjektų investicinių vienetų, akcijų ar įnašų turėjimo (PMĮ 12 str. 18 p.)“ 30 000 Eur</w:t>
      </w:r>
      <w:r>
        <w:rPr>
          <w:lang w:val="lt-LT"/>
        </w:rPr>
        <w:t xml:space="preserve"> (230 000 Eur – 200 000 Eur)</w:t>
      </w:r>
      <w:r w:rsidRPr="00085CAE">
        <w:rPr>
          <w:lang w:val="lt-LT"/>
        </w:rPr>
        <w:t>.</w:t>
      </w:r>
    </w:p>
    <w:p w14:paraId="45F096B2" w14:textId="77777777" w:rsidR="00F4041F" w:rsidRPr="00085CAE" w:rsidRDefault="00F4041F" w:rsidP="00F4041F">
      <w:pPr>
        <w:tabs>
          <w:tab w:val="left" w:pos="851"/>
        </w:tabs>
        <w:jc w:val="both"/>
        <w:rPr>
          <w:bCs/>
          <w:highlight w:val="lightGray"/>
          <w:lang w:val="lt-LT" w:eastAsia="lt-LT"/>
        </w:rPr>
      </w:pPr>
    </w:p>
    <w:p w14:paraId="39D20B19" w14:textId="77777777" w:rsidR="00F4041F" w:rsidRPr="00085CAE" w:rsidRDefault="00F4041F" w:rsidP="00927E61">
      <w:pPr>
        <w:pStyle w:val="Sraopastraipa"/>
        <w:numPr>
          <w:ilvl w:val="0"/>
          <w:numId w:val="73"/>
        </w:numPr>
        <w:tabs>
          <w:tab w:val="left" w:pos="851"/>
          <w:tab w:val="left" w:pos="1134"/>
        </w:tabs>
        <w:spacing w:after="0" w:line="240" w:lineRule="auto"/>
        <w:ind w:left="0" w:firstLine="851"/>
        <w:jc w:val="both"/>
        <w:rPr>
          <w:bCs/>
          <w:lang w:eastAsia="lt-LT"/>
        </w:rPr>
      </w:pPr>
      <w:r w:rsidRPr="00085CAE">
        <w:rPr>
          <w:bCs/>
          <w:lang w:eastAsia="lt-LT"/>
        </w:rPr>
        <w:t xml:space="preserve">Pagal komentuojamą dalį, vienetui perleidus turimus KIS investicinius vienetus, akcijas ar įnašus, vieneto neapmokestinamosioms pajamos, vadovaujantis PMĮ 16 str. 1 dalies nuostatomis, priskiriamos  turto vertės padidėjimo pajamos, kurias sudaro turto pardavimo ar kitokio perleidimo nuosavybėn ir įsigijimo kainų skirtumas. Turto įsigijimo išlaidos turi būti pagrindžiamos šio Įstatymo 11 straipsnyje nustatytais dokumentais ir (arba) galiojančiais sandoriais. </w:t>
      </w:r>
    </w:p>
    <w:p w14:paraId="4A008F27" w14:textId="77777777" w:rsidR="00F4041F" w:rsidRPr="00F4041F" w:rsidRDefault="00F4041F" w:rsidP="00F4041F">
      <w:pPr>
        <w:pStyle w:val="Sraopastraipa"/>
        <w:tabs>
          <w:tab w:val="left" w:pos="851"/>
        </w:tabs>
        <w:ind w:left="0" w:firstLine="851"/>
        <w:jc w:val="both"/>
      </w:pPr>
      <w:r w:rsidRPr="00085CAE">
        <w:t>3. Šio punkto nuostatos dėl turto vertės padidėjimo pajamų neapmokestinimo taikomos tik tuo atveju, jei tokios pajamos gaunamos ne iš užsienio vienetų, įregistruotų ar kitaip organizuotų tikslinėse teritorijose, ar iš tų teritorijų gyventojų.</w:t>
      </w:r>
    </w:p>
    <w:p w14:paraId="1280B98A" w14:textId="77777777" w:rsidR="00F4041F" w:rsidRPr="00085CAE" w:rsidRDefault="00F4041F" w:rsidP="00F4041F">
      <w:pPr>
        <w:tabs>
          <w:tab w:val="left" w:pos="851"/>
        </w:tabs>
        <w:jc w:val="both"/>
        <w:rPr>
          <w:bCs/>
          <w:lang w:val="lt-LT" w:eastAsia="lt-LT"/>
        </w:rPr>
      </w:pPr>
      <w:r w:rsidRPr="00085CAE">
        <w:rPr>
          <w:bCs/>
          <w:lang w:val="lt-LT" w:eastAsia="lt-LT"/>
        </w:rPr>
        <w:t>Pavyzdys</w:t>
      </w:r>
    </w:p>
    <w:p w14:paraId="6F5AABF6" w14:textId="77777777" w:rsidR="00F4041F" w:rsidRPr="00085CAE" w:rsidRDefault="00F4041F" w:rsidP="00F4041F">
      <w:pPr>
        <w:tabs>
          <w:tab w:val="left" w:pos="851"/>
        </w:tabs>
        <w:jc w:val="both"/>
        <w:rPr>
          <w:bCs/>
          <w:highlight w:val="lightGray"/>
          <w:lang w:val="lt-LT" w:eastAsia="lt-LT"/>
        </w:rPr>
      </w:pPr>
      <w:r w:rsidRPr="00085CAE">
        <w:rPr>
          <w:bCs/>
          <w:noProof/>
          <w:highlight w:val="lightGray"/>
          <w:lang w:val="lt-LT" w:eastAsia="lt-LT"/>
        </w:rPr>
        <mc:AlternateContent>
          <mc:Choice Requires="wps">
            <w:drawing>
              <wp:anchor distT="0" distB="0" distL="114300" distR="114300" simplePos="0" relativeHeight="251832320" behindDoc="0" locked="0" layoutInCell="1" allowOverlap="1" wp14:anchorId="4A1C00BC" wp14:editId="2F54FAC0">
                <wp:simplePos x="0" y="0"/>
                <wp:positionH relativeFrom="margin">
                  <wp:align>left</wp:align>
                </wp:positionH>
                <wp:positionV relativeFrom="paragraph">
                  <wp:posOffset>89829</wp:posOffset>
                </wp:positionV>
                <wp:extent cx="6058535" cy="905070"/>
                <wp:effectExtent l="0" t="0" r="18415" b="28575"/>
                <wp:wrapNone/>
                <wp:docPr id="322" name="Stačiakampis 322"/>
                <wp:cNvGraphicFramePr/>
                <a:graphic xmlns:a="http://schemas.openxmlformats.org/drawingml/2006/main">
                  <a:graphicData uri="http://schemas.microsoft.com/office/word/2010/wordprocessingShape">
                    <wps:wsp>
                      <wps:cNvSpPr/>
                      <wps:spPr>
                        <a:xfrm>
                          <a:off x="0" y="0"/>
                          <a:ext cx="6058535" cy="905070"/>
                        </a:xfrm>
                        <a:prstGeom prst="rect">
                          <a:avLst/>
                        </a:prstGeom>
                      </wps:spPr>
                      <wps:style>
                        <a:lnRef idx="2">
                          <a:schemeClr val="dk1"/>
                        </a:lnRef>
                        <a:fillRef idx="1">
                          <a:schemeClr val="lt1"/>
                        </a:fillRef>
                        <a:effectRef idx="0">
                          <a:schemeClr val="dk1"/>
                        </a:effectRef>
                        <a:fontRef idx="minor">
                          <a:schemeClr val="dk1"/>
                        </a:fontRef>
                      </wps:style>
                      <wps:txbx>
                        <w:txbxContent>
                          <w:p w14:paraId="0222C5F8" w14:textId="77777777" w:rsidR="007B24A1" w:rsidRPr="003D645A" w:rsidRDefault="007B24A1" w:rsidP="00F4041F">
                            <w:pPr>
                              <w:jc w:val="both"/>
                              <w:rPr>
                                <w:color w:val="000000" w:themeColor="text1"/>
                                <w:lang w:val="lt-LT"/>
                              </w:rPr>
                            </w:pPr>
                            <w:r w:rsidRPr="00155935">
                              <w:rPr>
                                <w:color w:val="000000" w:themeColor="text1"/>
                                <w:lang w:val="lt-LT"/>
                              </w:rPr>
                              <w:t xml:space="preserve">Lietuvos vienetui – </w:t>
                            </w:r>
                            <w:r>
                              <w:rPr>
                                <w:color w:val="000000" w:themeColor="text1"/>
                                <w:lang w:val="lt-LT"/>
                              </w:rPr>
                              <w:t xml:space="preserve">Lietuvoje registruoto </w:t>
                            </w:r>
                            <w:r w:rsidRPr="00155935">
                              <w:rPr>
                                <w:color w:val="000000" w:themeColor="text1"/>
                                <w:lang w:val="lt-LT"/>
                              </w:rPr>
                              <w:t>KIS dalyviui</w:t>
                            </w:r>
                            <w:r>
                              <w:rPr>
                                <w:color w:val="000000" w:themeColor="text1"/>
                                <w:lang w:val="lt-LT"/>
                              </w:rPr>
                              <w:t>,</w:t>
                            </w:r>
                            <w:r w:rsidRPr="00155935">
                              <w:rPr>
                                <w:color w:val="000000" w:themeColor="text1"/>
                                <w:lang w:val="lt-LT"/>
                              </w:rPr>
                              <w:t xml:space="preserve"> 2018 m. perleidus </w:t>
                            </w:r>
                            <w:r>
                              <w:rPr>
                                <w:color w:val="000000" w:themeColor="text1"/>
                                <w:lang w:val="lt-LT"/>
                              </w:rPr>
                              <w:t xml:space="preserve">jo </w:t>
                            </w:r>
                            <w:r w:rsidRPr="00155935">
                              <w:rPr>
                                <w:color w:val="000000" w:themeColor="text1"/>
                                <w:lang w:val="lt-LT"/>
                              </w:rPr>
                              <w:t xml:space="preserve">turėtus KIS investicinius vienetus Madeiros (įtraukta į tikslinių teritorijų sąrašą) gyventojui, Lietuvos vieneto gautos pajamos, </w:t>
                            </w:r>
                            <w:r w:rsidRPr="003D645A">
                              <w:rPr>
                                <w:bCs/>
                                <w:color w:val="000000" w:themeColor="text1"/>
                                <w:lang w:val="lt-LT"/>
                              </w:rPr>
                              <w:t>apskaičiuojant pelno mokestį, priskiriamos apmokestinamosioms pajamoms.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00BC" id="Stačiakampis 322" o:spid="_x0000_s1082" style="position:absolute;left:0;text-align:left;margin-left:0;margin-top:7.05pt;width:477.05pt;height:71.25pt;z-index:251832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CWdQIAACUFAAAOAAAAZHJzL2Uyb0RvYy54bWysVM1u2zAMvg/YOwi6r3bSpj9BnSJo0WFA&#10;0RZLh54VWWqESqImKbGzd9hb7cFGyT8tumKHYReZNPmRIvlR5xet0WQnfFBgKzo5KCkRlkOt7FNF&#10;vz1cfzqlJERma6bBioruRaAXi48fzhs3F1PYgK6FJxjEhnnjKrqJ0c2LIvCNMCwcgBMWjRK8YRFV&#10;/1TUnjUY3ehiWpbHRQO+dh64CAH/XnVGusjxpRQ83kkZRCS6oni3mE+fz3U6i8U5mz955jaK99dg&#10;/3ALw5TFpGOoKxYZ2Xr1RyijuIcAMh5wMAVIqbjINWA1k/JNNasNcyLXgs0JbmxT+H9h+e3u3hNV&#10;V/RwOqXEMoNDWkX266diz8w4FUgyYJsaF+bovXL3vtcCiqnmVnqTvlgNaXNr92NrRRsJx5/H5ex0&#10;djijhKPtrJyVJ7n3xQva+RA/CzAkCRX1OLrcUba7CREzouvggkq6TZc/S3GvRbqCtl+FxHIw4zSj&#10;M5HEpfZkx5AC9fMk1YKxsmeCSKX1CJq8B9JxAPW+CSYyuUZg+R7wJdvonTOCjSPQKAv+72DZ+Q9V&#10;d7WmsmO7brvZnQwTWkO9x4F66JgeHL9W2M8bFuI980htXAJc13iHh9TQVBR6iZIN+B/v/U/+yDi0&#10;UtLgqlQ0fN8yLyjRXyxy8WxydJR2KytHs5MpKv61Zf3aYrfmEnAUE3wYHM9i8o96EKUH84hbvUxZ&#10;0cQsx9wV5dEPymXsVhjfBS6Wy+yG++RYvLErx1Pw1OjEl4f2kXnXkyoiHW9hWCs2f8OtzjchLSy3&#10;EaTKxEut7vrajwB3MXOofzfSsr/Ws9fL67b4DQAA//8DAFBLAwQUAAYACAAAACEAvhLW+twAAAAH&#10;AQAADwAAAGRycy9kb3ducmV2LnhtbEyPQU/DMAyF70j8h8hI3Fg6xCpWmk6oEkKCE2UcuHmNaSsa&#10;p2qyruXX453gZr9nPX8v382uVxONofNsYL1KQBHX3nbcGNi/P93cgwoR2WLvmQwsFGBXXF7kmFl/&#10;4jeaqtgoCeGQoYE2xiHTOtQtOQwrPxCL9+VHh1HWsdF2xJOEu17fJkmqHXYsH1ocqGyp/q6OzsDr&#10;ouO0/0i3P1PZLbb6LJ9fqDTm+mp+fAAVaY5/x3DGF3QohOngj2yD6g1IkSjq3RqUuNvNeTiIsElT&#10;0EWu//MXvwAAAP//AwBQSwECLQAUAAYACAAAACEAtoM4kv4AAADhAQAAEwAAAAAAAAAAAAAAAAAA&#10;AAAAW0NvbnRlbnRfVHlwZXNdLnhtbFBLAQItABQABgAIAAAAIQA4/SH/1gAAAJQBAAALAAAAAAAA&#10;AAAAAAAAAC8BAABfcmVscy8ucmVsc1BLAQItABQABgAIAAAAIQBOl7CWdQIAACUFAAAOAAAAAAAA&#10;AAAAAAAAAC4CAABkcnMvZTJvRG9jLnhtbFBLAQItABQABgAIAAAAIQC+Etb63AAAAAcBAAAPAAAA&#10;AAAAAAAAAAAAAM8EAABkcnMvZG93bnJldi54bWxQSwUGAAAAAAQABADzAAAA2AUAAAAA&#10;" fillcolor="white [3201]" strokecolor="black [3200]" strokeweight="2pt">
                <v:textbox>
                  <w:txbxContent>
                    <w:p w14:paraId="0222C5F8" w14:textId="77777777" w:rsidR="007B24A1" w:rsidRPr="003D645A" w:rsidRDefault="007B24A1" w:rsidP="00F4041F">
                      <w:pPr>
                        <w:jc w:val="both"/>
                        <w:rPr>
                          <w:color w:val="000000" w:themeColor="text1"/>
                          <w:lang w:val="lt-LT"/>
                        </w:rPr>
                      </w:pPr>
                      <w:r w:rsidRPr="00155935">
                        <w:rPr>
                          <w:color w:val="000000" w:themeColor="text1"/>
                          <w:lang w:val="lt-LT"/>
                        </w:rPr>
                        <w:t xml:space="preserve">Lietuvos vienetui – </w:t>
                      </w:r>
                      <w:r>
                        <w:rPr>
                          <w:color w:val="000000" w:themeColor="text1"/>
                          <w:lang w:val="lt-LT"/>
                        </w:rPr>
                        <w:t xml:space="preserve">Lietuvoje registruoto </w:t>
                      </w:r>
                      <w:r w:rsidRPr="00155935">
                        <w:rPr>
                          <w:color w:val="000000" w:themeColor="text1"/>
                          <w:lang w:val="lt-LT"/>
                        </w:rPr>
                        <w:t>KIS dalyviui</w:t>
                      </w:r>
                      <w:r>
                        <w:rPr>
                          <w:color w:val="000000" w:themeColor="text1"/>
                          <w:lang w:val="lt-LT"/>
                        </w:rPr>
                        <w:t>,</w:t>
                      </w:r>
                      <w:r w:rsidRPr="00155935">
                        <w:rPr>
                          <w:color w:val="000000" w:themeColor="text1"/>
                          <w:lang w:val="lt-LT"/>
                        </w:rPr>
                        <w:t xml:space="preserve"> 2018 m. perleidus </w:t>
                      </w:r>
                      <w:r>
                        <w:rPr>
                          <w:color w:val="000000" w:themeColor="text1"/>
                          <w:lang w:val="lt-LT"/>
                        </w:rPr>
                        <w:t xml:space="preserve">jo </w:t>
                      </w:r>
                      <w:r w:rsidRPr="00155935">
                        <w:rPr>
                          <w:color w:val="000000" w:themeColor="text1"/>
                          <w:lang w:val="lt-LT"/>
                        </w:rPr>
                        <w:t xml:space="preserve">turėtus KIS investicinius vienetus Madeiros (įtraukta į tikslinių teritorijų sąrašą) gyventojui, Lietuvos vieneto gautos pajamos, </w:t>
                      </w:r>
                      <w:r w:rsidRPr="003D645A">
                        <w:rPr>
                          <w:bCs/>
                          <w:color w:val="000000" w:themeColor="text1"/>
                          <w:lang w:val="lt-LT"/>
                        </w:rPr>
                        <w:t>apskaičiuojant pelno mokestį, priskiriamos apmokestinamosioms pajamoms.</w:t>
                      </w:r>
                    </w:p>
                  </w:txbxContent>
                </v:textbox>
                <w10:wrap anchorx="margin"/>
              </v:rect>
            </w:pict>
          </mc:Fallback>
        </mc:AlternateContent>
      </w:r>
    </w:p>
    <w:p w14:paraId="0483EB7D" w14:textId="77777777" w:rsidR="00F4041F" w:rsidRPr="00085CAE" w:rsidRDefault="00F4041F" w:rsidP="00F4041F">
      <w:pPr>
        <w:tabs>
          <w:tab w:val="left" w:pos="851"/>
        </w:tabs>
        <w:jc w:val="both"/>
        <w:rPr>
          <w:bCs/>
          <w:highlight w:val="lightGray"/>
          <w:lang w:val="lt-LT" w:eastAsia="lt-LT"/>
        </w:rPr>
      </w:pPr>
    </w:p>
    <w:p w14:paraId="53EDDC45" w14:textId="77777777" w:rsidR="00F4041F" w:rsidRPr="00085CAE" w:rsidRDefault="00F4041F" w:rsidP="00F4041F">
      <w:pPr>
        <w:tabs>
          <w:tab w:val="left" w:pos="851"/>
        </w:tabs>
        <w:jc w:val="both"/>
        <w:rPr>
          <w:bCs/>
          <w:highlight w:val="lightGray"/>
          <w:lang w:val="lt-LT" w:eastAsia="lt-LT"/>
        </w:rPr>
      </w:pPr>
    </w:p>
    <w:p w14:paraId="6728364E" w14:textId="77777777" w:rsidR="00F4041F" w:rsidRPr="00085CAE" w:rsidRDefault="00F4041F" w:rsidP="00F4041F">
      <w:pPr>
        <w:tabs>
          <w:tab w:val="left" w:pos="540"/>
        </w:tabs>
        <w:jc w:val="both"/>
        <w:rPr>
          <w:bCs/>
          <w:highlight w:val="lightGray"/>
          <w:lang w:val="lt-LT" w:eastAsia="lt-LT"/>
        </w:rPr>
      </w:pPr>
    </w:p>
    <w:p w14:paraId="0CB8361D" w14:textId="77777777" w:rsidR="00F4041F" w:rsidRPr="00085CAE" w:rsidRDefault="00F4041F" w:rsidP="00F4041F">
      <w:pPr>
        <w:tabs>
          <w:tab w:val="left" w:pos="720"/>
        </w:tabs>
        <w:ind w:firstLine="709"/>
        <w:jc w:val="both"/>
        <w:rPr>
          <w:lang w:val="lt-LT" w:eastAsia="lt-LT"/>
        </w:rPr>
      </w:pPr>
      <w:r>
        <w:rPr>
          <w:bCs/>
          <w:lang w:val="lt-LT" w:eastAsia="lt-LT"/>
        </w:rPr>
        <w:lastRenderedPageBreak/>
        <w:t xml:space="preserve"> </w:t>
      </w:r>
      <w:r w:rsidRPr="00085CAE">
        <w:rPr>
          <w:bCs/>
          <w:lang w:val="lt-LT" w:eastAsia="lt-LT"/>
        </w:rPr>
        <w:t xml:space="preserve">4. </w:t>
      </w:r>
      <w:r w:rsidRPr="00085CAE">
        <w:rPr>
          <w:lang w:val="lt-LT" w:eastAsia="lt-LT"/>
        </w:rPr>
        <w:t xml:space="preserve">Lietuvos vienetas visais atvejais, </w:t>
      </w:r>
      <w:r>
        <w:rPr>
          <w:lang w:val="lt-LT" w:eastAsia="lt-LT"/>
        </w:rPr>
        <w:t>įskaitant ir sandorius</w:t>
      </w:r>
      <w:r w:rsidRPr="00085CAE">
        <w:rPr>
          <w:lang w:val="lt-LT" w:eastAsia="lt-LT"/>
        </w:rPr>
        <w:t xml:space="preserve"> vykdom</w:t>
      </w:r>
      <w:r>
        <w:rPr>
          <w:lang w:val="lt-LT" w:eastAsia="lt-LT"/>
        </w:rPr>
        <w:t>us</w:t>
      </w:r>
      <w:r w:rsidRPr="00085CAE">
        <w:rPr>
          <w:lang w:val="lt-LT" w:eastAsia="lt-LT"/>
        </w:rPr>
        <w:t xml:space="preserve"> per biržą, turi pagrįsti pajamų šaltinį, kai  gauna pajamų iš KIS investicinių vienetų, akcijų ar įnašų turėjimo</w:t>
      </w:r>
      <w:r>
        <w:rPr>
          <w:lang w:val="lt-LT" w:eastAsia="lt-LT"/>
        </w:rPr>
        <w:t xml:space="preserve"> ar jų perleidimo</w:t>
      </w:r>
      <w:r w:rsidRPr="00085CAE">
        <w:rPr>
          <w:lang w:val="lt-LT"/>
        </w:rPr>
        <w:t xml:space="preserve"> </w:t>
      </w:r>
      <w:r w:rsidRPr="00085CAE">
        <w:rPr>
          <w:lang w:val="lt-LT" w:eastAsia="lt-LT"/>
        </w:rPr>
        <w:t xml:space="preserve">KISĮ, IISKISĮ, AKISVĮ nustatyta tvarka.  Pajamų šaltinį pagrindžiančiais įrodymais pripažįstami </w:t>
      </w:r>
      <w:r>
        <w:rPr>
          <w:lang w:val="lt-LT" w:eastAsia="lt-LT"/>
        </w:rPr>
        <w:t xml:space="preserve">tokį </w:t>
      </w:r>
      <w:r w:rsidRPr="00085CAE">
        <w:rPr>
          <w:lang w:val="lt-LT" w:eastAsia="lt-LT"/>
        </w:rPr>
        <w:t>sandorį patvirtinantys dokumentai kuriuose nurodyti duomenys, leidžiantys identifikuoti pajamas išmokėjusį asmenį.</w:t>
      </w:r>
    </w:p>
    <w:p w14:paraId="1200BFF8" w14:textId="77777777" w:rsidR="00093845" w:rsidRDefault="00F4041F" w:rsidP="00F4041F">
      <w:pPr>
        <w:tabs>
          <w:tab w:val="left" w:pos="540"/>
        </w:tabs>
        <w:ind w:firstLine="709"/>
        <w:jc w:val="both"/>
        <w:rPr>
          <w:bCs/>
          <w:lang w:val="lt-LT" w:eastAsia="lt-LT"/>
        </w:rPr>
      </w:pPr>
      <w:r w:rsidRPr="00085CAE">
        <w:rPr>
          <w:bCs/>
          <w:lang w:val="lt-LT" w:eastAsia="lt-LT"/>
        </w:rPr>
        <w:t>Kai Lietuvos vienetas gauna pajamų iš KIS investicinių vienetų (akcijų</w:t>
      </w:r>
      <w:r w:rsidRPr="00FB3147">
        <w:rPr>
          <w:b/>
          <w:lang w:val="lt-LT" w:eastAsia="lt-LT"/>
        </w:rPr>
        <w:t xml:space="preserve"> </w:t>
      </w:r>
      <w:r w:rsidRPr="00676565">
        <w:rPr>
          <w:lang w:val="lt-LT" w:eastAsia="lt-LT"/>
        </w:rPr>
        <w:t>ar įnašų</w:t>
      </w:r>
      <w:r w:rsidRPr="00085CAE">
        <w:rPr>
          <w:bCs/>
          <w:lang w:val="lt-LT" w:eastAsia="lt-LT"/>
        </w:rPr>
        <w:t xml:space="preserve">) </w:t>
      </w:r>
      <w:r>
        <w:rPr>
          <w:bCs/>
          <w:lang w:val="lt-LT" w:eastAsia="lt-LT"/>
        </w:rPr>
        <w:t xml:space="preserve">turėjimo ar </w:t>
      </w:r>
      <w:r w:rsidRPr="00085CAE">
        <w:rPr>
          <w:bCs/>
          <w:lang w:val="lt-LT" w:eastAsia="lt-LT"/>
        </w:rPr>
        <w:t xml:space="preserve">perleidimo KISĮ, IISKISĮ, AKISVĮ nustatyta tvarka, tačiau negali objektyviai pagrįsti pajamų šaltinių, atitinkamais šių pajamų gavimą patvirtinančiais dokumentais, tokiam vienetui </w:t>
      </w:r>
      <w:r>
        <w:rPr>
          <w:bCs/>
          <w:lang w:val="lt-LT" w:eastAsia="lt-LT"/>
        </w:rPr>
        <w:t xml:space="preserve">PMĮ </w:t>
      </w:r>
      <w:r w:rsidRPr="00085CAE">
        <w:rPr>
          <w:bCs/>
          <w:lang w:val="lt-LT" w:eastAsia="lt-LT"/>
        </w:rPr>
        <w:t xml:space="preserve">12 straipsnio 18 </w:t>
      </w:r>
      <w:r>
        <w:rPr>
          <w:bCs/>
          <w:lang w:val="lt-LT" w:eastAsia="lt-LT"/>
        </w:rPr>
        <w:t>punkto nuostatos netaikomos.</w:t>
      </w:r>
    </w:p>
    <w:p w14:paraId="41D140DF" w14:textId="77777777" w:rsidR="00945E5C" w:rsidRPr="00F4041F" w:rsidRDefault="009C03FC" w:rsidP="00582607">
      <w:pPr>
        <w:jc w:val="both"/>
        <w:rPr>
          <w:rFonts w:ascii="Trebuchet MS" w:hAnsi="Trebuchet MS"/>
          <w:sz w:val="20"/>
          <w:szCs w:val="22"/>
          <w:lang w:val="lt-LT"/>
        </w:rPr>
      </w:pPr>
      <w:r>
        <w:rPr>
          <w:iCs/>
          <w:lang w:eastAsia="lt-LT"/>
        </w:rPr>
        <w:t xml:space="preserve">(PMĮ 12 </w:t>
      </w:r>
      <w:r w:rsidR="00F4041F">
        <w:rPr>
          <w:iCs/>
          <w:lang w:eastAsia="lt-LT"/>
        </w:rPr>
        <w:t>straipsnio 18 punkto komentaras parengtas pagal VMI prie FM 2024-05-06 raštą Nr. (18.32-31-1 Mr)-R-1685)</w:t>
      </w:r>
    </w:p>
    <w:p w14:paraId="7C2A054D" w14:textId="77777777" w:rsidR="00EE2CEE" w:rsidRPr="001469C2" w:rsidRDefault="00EE2CEE" w:rsidP="00EE2CEE">
      <w:pPr>
        <w:pStyle w:val="Sraopastraipa"/>
        <w:ind w:left="0" w:firstLine="720"/>
        <w:jc w:val="both"/>
        <w:rPr>
          <w:b/>
        </w:rPr>
      </w:pPr>
      <w:r w:rsidRPr="001469C2">
        <w:rPr>
          <w:b/>
        </w:rPr>
        <w:t>19) atlyginimas už visuomenės poreikiams paimtą žemę ir (ar) kitą turtą</w:t>
      </w:r>
      <w:r>
        <w:rPr>
          <w:b/>
        </w:rPr>
        <w:t xml:space="preserve">, </w:t>
      </w:r>
      <w:bookmarkStart w:id="236" w:name="_Hlk228944311"/>
      <w:r w:rsidRPr="005953BD">
        <w:rPr>
          <w:b/>
        </w:rPr>
        <w:t>įskaitant visas Lietuvos Respublikos įstatymuose numatytas atlygintinas sumas, susijusias su šio turto paėmimu visuomenės poreikiams</w:t>
      </w:r>
      <w:bookmarkEnd w:id="236"/>
      <w:r w:rsidRPr="005953BD">
        <w:rPr>
          <w:b/>
        </w:rPr>
        <w:t>;</w:t>
      </w:r>
    </w:p>
    <w:p w14:paraId="731A5FD1" w14:textId="77777777" w:rsidR="00EE2CEE" w:rsidRPr="001469C2" w:rsidRDefault="00EE2CEE" w:rsidP="00EE2CEE">
      <w:pPr>
        <w:pStyle w:val="Sraopastraipa"/>
        <w:ind w:left="0" w:firstLine="720"/>
        <w:jc w:val="both"/>
        <w:rPr>
          <w:b/>
        </w:rPr>
      </w:pPr>
    </w:p>
    <w:p w14:paraId="55DAD713" w14:textId="77777777" w:rsidR="00EE2CEE" w:rsidRPr="005953BD" w:rsidRDefault="00EE2CEE" w:rsidP="00EE2CEE">
      <w:pPr>
        <w:pStyle w:val="Sraopastraipa"/>
        <w:ind w:left="0" w:firstLine="720"/>
        <w:jc w:val="both"/>
        <w:rPr>
          <w:i/>
        </w:rPr>
      </w:pPr>
      <w:r w:rsidRPr="005953BD">
        <w:rPr>
          <w:i/>
        </w:rPr>
        <w:t xml:space="preserve">(KEISTA: </w:t>
      </w:r>
      <w:bookmarkStart w:id="237" w:name="_Hlk228858896"/>
      <w:r w:rsidRPr="005953BD">
        <w:rPr>
          <w:i/>
        </w:rPr>
        <w:t xml:space="preserve">2026-04-23 įstatymu Nr. </w:t>
      </w:r>
      <w:bookmarkStart w:id="238" w:name="_Hlk228858907"/>
      <w:bookmarkEnd w:id="237"/>
      <w:r w:rsidRPr="005953BD">
        <w:rPr>
          <w:i/>
        </w:rPr>
        <w:t xml:space="preserve">XV-839 (nuo </w:t>
      </w:r>
      <w:bookmarkStart w:id="239" w:name="_Hlk228858963"/>
      <w:bookmarkEnd w:id="238"/>
      <w:r w:rsidRPr="005953BD">
        <w:rPr>
          <w:i/>
        </w:rPr>
        <w:t xml:space="preserve">2026-05-01), nuostatos taikomos </w:t>
      </w:r>
      <w:bookmarkStart w:id="240" w:name="_Hlk228858985"/>
      <w:bookmarkEnd w:id="239"/>
      <w:r w:rsidRPr="005953BD">
        <w:rPr>
          <w:i/>
        </w:rPr>
        <w:t>pajamoms, gautoms 2026 m. gegužės 1 d. ar vėliau.</w:t>
      </w:r>
      <w:bookmarkEnd w:id="240"/>
      <w:r w:rsidRPr="005953BD">
        <w:rPr>
          <w:i/>
        </w:rPr>
        <w:t>)</w:t>
      </w:r>
    </w:p>
    <w:p w14:paraId="4779E15F" w14:textId="77777777" w:rsidR="00EE2CEE" w:rsidRPr="001469C2" w:rsidRDefault="00EE2CEE" w:rsidP="00EE2CEE">
      <w:pPr>
        <w:pStyle w:val="Sraopastraipa"/>
        <w:ind w:left="1080"/>
        <w:jc w:val="both"/>
        <w:rPr>
          <w:b/>
        </w:rPr>
      </w:pPr>
    </w:p>
    <w:p w14:paraId="29C7E1D0" w14:textId="77777777" w:rsidR="00EE2CEE" w:rsidRPr="001469C2" w:rsidRDefault="00EE2CEE" w:rsidP="00EE2CEE">
      <w:pPr>
        <w:pStyle w:val="Sraopastraipa"/>
        <w:ind w:left="1080"/>
        <w:jc w:val="both"/>
        <w:rPr>
          <w:b/>
        </w:rPr>
      </w:pPr>
      <w:r w:rsidRPr="001469C2">
        <w:rPr>
          <w:b/>
        </w:rPr>
        <w:t>Komentaras</w:t>
      </w:r>
    </w:p>
    <w:p w14:paraId="742EBC68" w14:textId="77777777" w:rsidR="00EE2CEE" w:rsidRPr="001469C2" w:rsidRDefault="00EE2CEE" w:rsidP="00EE2CEE">
      <w:pPr>
        <w:pStyle w:val="Sraopastraipa"/>
        <w:ind w:left="1080"/>
        <w:jc w:val="both"/>
      </w:pPr>
    </w:p>
    <w:p w14:paraId="3FFEC570" w14:textId="77777777" w:rsidR="00EE2CEE" w:rsidRPr="005A74B7" w:rsidRDefault="00EE2CEE" w:rsidP="00EE2CEE">
      <w:pPr>
        <w:pStyle w:val="Sraopastraipa"/>
        <w:tabs>
          <w:tab w:val="left" w:pos="810"/>
        </w:tabs>
        <w:ind w:left="0"/>
        <w:jc w:val="both"/>
      </w:pPr>
      <w:r>
        <w:rPr>
          <w:b/>
        </w:rPr>
        <w:tab/>
      </w:r>
      <w:r w:rsidRPr="005A74B7">
        <w:t>1. Pagal šio punkto nuostatas gautas atlyginimas už visuomenės poreikiams paimtą žemę ir (ar) kitą turtą</w:t>
      </w:r>
      <w:r w:rsidRPr="005953BD">
        <w:t>,</w:t>
      </w:r>
      <w:r w:rsidRPr="005953BD">
        <w:rPr>
          <w:b/>
        </w:rPr>
        <w:t xml:space="preserve"> </w:t>
      </w:r>
      <w:r w:rsidRPr="005953BD">
        <w:t>o nuo 2026-05-01 įskaitant visas Lietuvos Respublikos įstatymuose numatytas atlygintinas sumas, susijusias su šio turto paėmimu visuomenės poreikiams,</w:t>
      </w:r>
      <w:r>
        <w:t xml:space="preserve"> </w:t>
      </w:r>
      <w:r w:rsidRPr="005A74B7">
        <w:t>priskiriamas neapmokestinamosioms pajamoms.</w:t>
      </w:r>
    </w:p>
    <w:p w14:paraId="2BE923A5" w14:textId="77777777" w:rsidR="00EE2CEE" w:rsidRPr="005A74B7" w:rsidRDefault="00EE2CEE" w:rsidP="00EE2CEE">
      <w:pPr>
        <w:pStyle w:val="Sraopastraipa"/>
        <w:ind w:left="0" w:firstLine="851"/>
        <w:jc w:val="both"/>
      </w:pPr>
      <w:r w:rsidRPr="005A74B7">
        <w:t xml:space="preserve">Lengvatos tikslas – užtikrinti Lietuvos Respublikos Konstitucijos 23 straipsnio 3 dalies nuostatoje įtvirtintą asmens konstitucinę teisę į teisingą atlyginimą už visuomenės poreikiams paimamą turtą, t. y. kad savininkas gautų kompensaciją už prarastą turtą rinkos kaina ir faktiškai gaunamos kompensacijos už prarastą turtą dydis nebūtų sumažintas per mokestines prievoles. </w:t>
      </w:r>
      <w:r w:rsidRPr="005A74B7">
        <w:tab/>
        <w:t xml:space="preserve"> </w:t>
      </w:r>
    </w:p>
    <w:p w14:paraId="2A092F22" w14:textId="77777777" w:rsidR="00EE2CEE" w:rsidRPr="005A74B7" w:rsidRDefault="00EE2CEE" w:rsidP="00EE2CEE">
      <w:pPr>
        <w:pStyle w:val="Sraopastraipa"/>
        <w:tabs>
          <w:tab w:val="left" w:pos="810"/>
        </w:tabs>
        <w:ind w:left="0"/>
        <w:jc w:val="both"/>
      </w:pPr>
      <w:r w:rsidRPr="005A74B7">
        <w:tab/>
        <w:t xml:space="preserve">2. </w:t>
      </w:r>
      <w:bookmarkStart w:id="241" w:name="_Hlk228944421"/>
      <w:r w:rsidRPr="005A74B7">
        <w:t xml:space="preserve">Žemė ir (ar) kitas turtas laikomi paimti visuomenės poreikiams, kai toks turtas paimamas ir atlyginimas už jo paėmimą mokamas (apskaičiuojamas) Lietuvos Respublikos įstatymuose ir kituose teisės aktuose nustatyta tvarka ir sąlygomis. </w:t>
      </w:r>
      <w:bookmarkEnd w:id="241"/>
    </w:p>
    <w:p w14:paraId="3D61FC0D" w14:textId="77777777" w:rsidR="00EE2CEE" w:rsidRPr="005A74B7" w:rsidRDefault="00EE2CEE" w:rsidP="00EE2CEE">
      <w:pPr>
        <w:ind w:firstLine="851"/>
        <w:jc w:val="both"/>
        <w:rPr>
          <w:lang w:val="lt-LT"/>
        </w:rPr>
      </w:pPr>
      <w:bookmarkStart w:id="242" w:name="_Hlk228945005"/>
      <w:r w:rsidRPr="005A74B7">
        <w:rPr>
          <w:lang w:val="lt-LT"/>
        </w:rPr>
        <w:t>Žemės paėmimą visuomenės poreikiams reglamentuoja Lietuvos Respublikos žemės įstatymas, Lietuvos Respublikos žemės paėmimo visuomenės poreikiams įgyvendinant ypatingos valstybinės svarbos projektus įstatymas ir šiuos įstatymus įgyvendinantys teisės aktai</w:t>
      </w:r>
      <w:r>
        <w:rPr>
          <w:lang w:val="lt-LT"/>
        </w:rPr>
        <w:t xml:space="preserve"> </w:t>
      </w:r>
      <w:bookmarkStart w:id="243" w:name="_Hlk230606780"/>
      <w:r>
        <w:rPr>
          <w:lang w:val="lt-LT"/>
        </w:rPr>
        <w:t xml:space="preserve">bei </w:t>
      </w:r>
      <w:r w:rsidRPr="0096336F">
        <w:rPr>
          <w:lang w:val="lt-LT"/>
        </w:rPr>
        <w:t>kiti teisės aktai</w:t>
      </w:r>
      <w:r>
        <w:rPr>
          <w:lang w:val="lt-LT"/>
        </w:rPr>
        <w:t xml:space="preserve">, kurie priimti </w:t>
      </w:r>
      <w:r w:rsidRPr="0096336F">
        <w:rPr>
          <w:lang w:val="lt-LT"/>
        </w:rPr>
        <w:t>įgyvendinant</w:t>
      </w:r>
      <w:r>
        <w:rPr>
          <w:lang w:val="lt-LT"/>
        </w:rPr>
        <w:t xml:space="preserve"> ž</w:t>
      </w:r>
      <w:r w:rsidRPr="0096336F">
        <w:rPr>
          <w:lang w:val="lt-LT"/>
        </w:rPr>
        <w:t>emės paėmimą visuomenės poreikiams</w:t>
      </w:r>
      <w:r w:rsidRPr="005A74B7">
        <w:rPr>
          <w:lang w:val="lt-LT"/>
        </w:rPr>
        <w:t>.</w:t>
      </w:r>
      <w:bookmarkEnd w:id="243"/>
      <w:r w:rsidRPr="005A74B7">
        <w:rPr>
          <w:lang w:val="lt-LT"/>
        </w:rPr>
        <w:t xml:space="preserve"> </w:t>
      </w:r>
    </w:p>
    <w:bookmarkEnd w:id="242"/>
    <w:p w14:paraId="730F4A3F" w14:textId="24347CFF" w:rsidR="00EE2CEE" w:rsidRDefault="00EE2CEE" w:rsidP="00EE2CEE">
      <w:pPr>
        <w:ind w:firstLine="851"/>
        <w:jc w:val="both"/>
        <w:rPr>
          <w:lang w:val="lt-LT"/>
        </w:rPr>
      </w:pPr>
      <w:r w:rsidRPr="005A74B7">
        <w:rPr>
          <w:lang w:val="lt-LT"/>
        </w:rPr>
        <w:t xml:space="preserve">Gautam atlygiui priskiriama suma, kuri apskaičiuojama ir išmokama </w:t>
      </w:r>
      <w:bookmarkStart w:id="244" w:name="_Hlk228945503"/>
      <w:r w:rsidRPr="005A74B7">
        <w:rPr>
          <w:lang w:val="lt-LT"/>
        </w:rPr>
        <w:t>paminėtų teisės aktų nustatyta tvarka už žemės ar (ar) kito turto</w:t>
      </w:r>
      <w:bookmarkEnd w:id="244"/>
      <w:r w:rsidRPr="005A74B7">
        <w:rPr>
          <w:lang w:val="lt-LT"/>
        </w:rPr>
        <w:t xml:space="preserve"> paėmimą visuomenės poreikiams (pvz., išmoka už žemę pagal rinkos vertę, toje žemėje esančių sodinių, želdinių, medynų tūrio, negauto derliaus, įdėtų lėšų žemės ūkio produkcijai ir miškui auginti vertė, visi kiti savininko ir (ar) kito naudotojo nuostoliai, patirti dėl žemės sklypo ir jame statomų ar jau pastatytų statinių, įrenginių, dėl žemės sklype esančių sodinių ir želdinių paėmimo visuomenės poreikiams, taip pat iškėlimo iš visuomenės poreikiams paimamo turto išlaidos; gautam atlygiui taip pat priskiriamas atlyginimas už nuostolius, patirtus, atliekant statybinius tyrimus</w:t>
      </w:r>
      <w:r w:rsidRPr="005953BD">
        <w:rPr>
          <w:lang w:val="lt-LT"/>
        </w:rPr>
        <w:t>), taip pat išmokos, skirtos neturtinio pobūdžio praradimams atlyginti dėl turto paėmimo visuomenės poreikiams (laikas kito turto paieškai bei įsigijimui, persikėlimo ir įsikūrimo rūpesčiai, adaptacija, veiklos tęstinumo ir kt.).</w:t>
      </w:r>
    </w:p>
    <w:p w14:paraId="401579C8" w14:textId="2059C005" w:rsidR="00EE2CEE" w:rsidRDefault="00EE2CEE" w:rsidP="00EE2CEE">
      <w:r>
        <w:t xml:space="preserve">(Pakeista pagal VMI prie FM </w:t>
      </w:r>
      <w:r w:rsidRPr="00DA0489">
        <w:t xml:space="preserve">2026-05-26 </w:t>
      </w:r>
      <w:r>
        <w:t xml:space="preserve">raštą </w:t>
      </w:r>
      <w:r w:rsidRPr="00DA0489">
        <w:t>Nr. (18.10-31-1 Mr) R-1506</w:t>
      </w:r>
      <w:r>
        <w:t>)</w:t>
      </w:r>
    </w:p>
    <w:p w14:paraId="200FCC72" w14:textId="5AD54B38" w:rsidR="00EE2CEE" w:rsidRPr="005953BD" w:rsidRDefault="00EE2CEE" w:rsidP="00EE2CEE">
      <w:pPr>
        <w:pStyle w:val="Sraopastraipa"/>
        <w:ind w:left="142"/>
        <w:jc w:val="both"/>
        <w:rPr>
          <w:b/>
        </w:rPr>
      </w:pPr>
      <w:r w:rsidRPr="005953BD">
        <w:rPr>
          <w:b/>
        </w:rPr>
        <w:lastRenderedPageBreak/>
        <w:t xml:space="preserve">20) </w:t>
      </w:r>
      <w:bookmarkStart w:id="245" w:name="_Hlk229393113"/>
      <w:r w:rsidRPr="005953BD">
        <w:rPr>
          <w:b/>
        </w:rPr>
        <w:t xml:space="preserve">atlyginimas </w:t>
      </w:r>
      <w:bookmarkStart w:id="246" w:name="_Hlk229392923"/>
      <w:r w:rsidRPr="005953BD">
        <w:rPr>
          <w:b/>
        </w:rPr>
        <w:t>už valstybei parduodamą žemę ir (ar) kitą turtą</w:t>
      </w:r>
      <w:bookmarkEnd w:id="246"/>
      <w:r w:rsidRPr="005953BD">
        <w:rPr>
          <w:b/>
        </w:rPr>
        <w:t xml:space="preserve">, </w:t>
      </w:r>
      <w:bookmarkStart w:id="247" w:name="_Hlk228944470"/>
      <w:r w:rsidRPr="005953BD">
        <w:rPr>
          <w:b/>
        </w:rPr>
        <w:t xml:space="preserve">įskaitant Lietuvos Respublikos įstatymuose numatytas visas atlygintinas sumas, susijusias su šio turto pardavimu valstybės nuosavybėn, kai toks turto pardavimas </w:t>
      </w:r>
      <w:bookmarkStart w:id="248" w:name="_Hlk228859785"/>
      <w:r w:rsidRPr="005953BD">
        <w:rPr>
          <w:b/>
        </w:rPr>
        <w:t>vykdomas įgyvendinant ypatingos valstybinės svarbos krašto apsaugos srities projektus</w:t>
      </w:r>
      <w:bookmarkEnd w:id="245"/>
      <w:bookmarkEnd w:id="247"/>
      <w:bookmarkEnd w:id="248"/>
      <w:r w:rsidRPr="005953BD">
        <w:rPr>
          <w:b/>
        </w:rPr>
        <w:t>.</w:t>
      </w:r>
    </w:p>
    <w:p w14:paraId="19230590" w14:textId="77777777" w:rsidR="00EE2CEE" w:rsidRPr="005953BD" w:rsidRDefault="00EE2CEE" w:rsidP="00EE2CEE">
      <w:pPr>
        <w:ind w:firstLine="709"/>
        <w:jc w:val="both"/>
        <w:rPr>
          <w:i/>
          <w:lang w:val="lt-LT"/>
        </w:rPr>
      </w:pPr>
      <w:r w:rsidRPr="005953BD">
        <w:rPr>
          <w:i/>
          <w:lang w:val="lt-LT"/>
        </w:rPr>
        <w:t>(KEISTA:</w:t>
      </w:r>
      <w:r w:rsidRPr="005953BD">
        <w:rPr>
          <w:i/>
        </w:rPr>
        <w:t xml:space="preserve"> </w:t>
      </w:r>
      <w:r w:rsidRPr="005953BD">
        <w:rPr>
          <w:i/>
          <w:lang w:val="lt-LT"/>
        </w:rPr>
        <w:t>2026-04-23 įstatymu Nr.</w:t>
      </w:r>
      <w:r w:rsidRPr="005953BD">
        <w:rPr>
          <w:i/>
        </w:rPr>
        <w:t xml:space="preserve"> </w:t>
      </w:r>
      <w:r w:rsidRPr="005953BD">
        <w:rPr>
          <w:i/>
          <w:lang w:val="lt-LT"/>
        </w:rPr>
        <w:t>XV-839 (nuo 2026-05-01), nuostatos taikomos</w:t>
      </w:r>
      <w:r w:rsidRPr="005953BD">
        <w:rPr>
          <w:i/>
        </w:rPr>
        <w:t xml:space="preserve"> </w:t>
      </w:r>
      <w:r w:rsidRPr="005953BD">
        <w:rPr>
          <w:i/>
          <w:lang w:val="lt-LT"/>
        </w:rPr>
        <w:t>pajamoms, gautoms 2026 m. gegužės 1 d. ar vėliau.</w:t>
      </w:r>
      <w:r>
        <w:rPr>
          <w:i/>
          <w:lang w:val="lt-LT"/>
        </w:rPr>
        <w:t>)</w:t>
      </w:r>
    </w:p>
    <w:p w14:paraId="6F99181C" w14:textId="77777777" w:rsidR="00EE2CEE" w:rsidRDefault="00EE2CEE" w:rsidP="00EE2CEE">
      <w:pPr>
        <w:pStyle w:val="Sraopastraipa"/>
        <w:ind w:left="142"/>
        <w:jc w:val="both"/>
        <w:rPr>
          <w:b/>
        </w:rPr>
      </w:pPr>
    </w:p>
    <w:p w14:paraId="0C926C8A" w14:textId="5B291F77" w:rsidR="00EE2CEE" w:rsidRDefault="00EE2CEE" w:rsidP="00EE2CEE">
      <w:pPr>
        <w:pStyle w:val="Sraopastraipa"/>
        <w:ind w:left="142"/>
        <w:jc w:val="both"/>
        <w:rPr>
          <w:b/>
        </w:rPr>
      </w:pPr>
      <w:r w:rsidRPr="005953BD">
        <w:rPr>
          <w:b/>
        </w:rPr>
        <w:t>Komentaras</w:t>
      </w:r>
    </w:p>
    <w:p w14:paraId="53A8F969" w14:textId="77777777" w:rsidR="00EE2CEE" w:rsidRPr="005953BD" w:rsidRDefault="00EE2CEE" w:rsidP="00EE2CEE">
      <w:pPr>
        <w:pStyle w:val="Sraopastraipa"/>
        <w:ind w:left="142"/>
        <w:jc w:val="both"/>
        <w:rPr>
          <w:b/>
        </w:rPr>
      </w:pPr>
    </w:p>
    <w:p w14:paraId="685A9597" w14:textId="77777777" w:rsidR="00EE2CEE" w:rsidRPr="005953BD" w:rsidRDefault="00EE2CEE" w:rsidP="00EE2CEE">
      <w:pPr>
        <w:pStyle w:val="Sraopastraipa"/>
        <w:numPr>
          <w:ilvl w:val="0"/>
          <w:numId w:val="101"/>
        </w:numPr>
        <w:spacing w:after="0" w:line="240" w:lineRule="auto"/>
        <w:ind w:left="0" w:firstLine="709"/>
        <w:jc w:val="both"/>
      </w:pPr>
      <w:r w:rsidRPr="005953BD">
        <w:t>Pagal šio punkto nuostatas neapmokestinamosioms pajamoms priskiriamas atlyginimas už valstybei parduodamą žemę ir (ar) kitą turtą, įskaitant Lietuvos Respublikos įstatymuose numatytas visas atlygintinas sumas, susijusias su šio turto pardavimu valstybės nuosavybėn, kai toks turto pardavimas vykdomas įgyvendinant ypatingos valstybinės svarbos krašto apsaugos srities projektus.</w:t>
      </w:r>
    </w:p>
    <w:p w14:paraId="7629A92E" w14:textId="77777777" w:rsidR="00EE2CEE" w:rsidRPr="005953BD" w:rsidRDefault="00EE2CEE" w:rsidP="00EE2CEE">
      <w:pPr>
        <w:ind w:firstLine="709"/>
        <w:jc w:val="both"/>
        <w:rPr>
          <w:lang w:val="lt-LT"/>
        </w:rPr>
      </w:pPr>
      <w:r w:rsidRPr="005953BD">
        <w:rPr>
          <w:lang w:val="lt-LT"/>
        </w:rPr>
        <w:t>Lengvatos tikslas – užtikrinti Konstitucijos 23 straipsnio 3 dalies nuostatą, jog atlyginimas už valstybei parduodamą žemę ir (ar) kitą turtą turi būti teisingas, t. y.  kad savininkams nustatant tokį atlyginimą turi būti įvertinamos visos reikšmingos su turto pardavimu susijusios aplinkybės – jomis turi būti paremtas individualus įstatymų nustatyta tvarka (pirmiausia atsižvelgus į visuomenės poreikiams paimamam turtui lygiaverčio turto vertę) priimamas sprendimas dėl atlyginimo už valstybei parduodamą žemę ir (ar) kitą turtą.</w:t>
      </w:r>
    </w:p>
    <w:p w14:paraId="374C360F" w14:textId="77777777" w:rsidR="00EE2CEE" w:rsidRPr="005953BD" w:rsidRDefault="00EE2CEE" w:rsidP="00EE2CEE">
      <w:pPr>
        <w:pStyle w:val="Sraopastraipa"/>
        <w:numPr>
          <w:ilvl w:val="0"/>
          <w:numId w:val="101"/>
        </w:numPr>
        <w:spacing w:after="0" w:line="240" w:lineRule="auto"/>
        <w:ind w:left="0" w:firstLine="709"/>
        <w:jc w:val="both"/>
      </w:pPr>
      <w:r w:rsidRPr="005953BD">
        <w:t>Valstybei parduodama žemė ir (ar) kitas turtas, įskaitant Lietuvos Respublikos įstatymuose numatytas visas atlygintinas sumas, susijusias su šio turto pardavimu valstybės nuosavybėn, kai toks turto pardavimas vykdomas įgyvendinant ypatingos valstybinės svarbos krašto apsaugos srities projektus laikomas parduotu, kai parduodamo turto atlygis apskaičiuojamas Lietuvos Respublikos įstatymuose ir kituose teisės aktuose nustatyta tvarka ir sąlygomis.</w:t>
      </w:r>
    </w:p>
    <w:p w14:paraId="01C2AA1B" w14:textId="35EC823C" w:rsidR="00EE2CEE" w:rsidRDefault="00EE2CEE" w:rsidP="00EE2CEE">
      <w:pPr>
        <w:pStyle w:val="Sraopastraipa"/>
        <w:ind w:left="0" w:firstLine="709"/>
        <w:jc w:val="both"/>
      </w:pPr>
      <w:r>
        <w:t>U</w:t>
      </w:r>
      <w:r w:rsidRPr="005953BD">
        <w:t>ž valstybei parduodamą žemę ir (ar) kitą turtą</w:t>
      </w:r>
      <w:r w:rsidRPr="0096336F">
        <w:t xml:space="preserve"> </w:t>
      </w:r>
      <w:r>
        <w:t>a</w:t>
      </w:r>
      <w:r w:rsidRPr="005953BD">
        <w:t xml:space="preserve">tlyginimą, įskaitant Lietuvos Respublikos įstatymuose numatytas visas atlygintinas sumas, susijusias su šio turto pardavimu valstybės nuosavybėn, kai toks turto pardavimas vykdomas </w:t>
      </w:r>
      <w:bookmarkStart w:id="249" w:name="_Hlk229736490"/>
      <w:r w:rsidRPr="005953BD">
        <w:t>įgyvendinant ypatingos valstybinės svarbos krašto apsaugos srities projektus</w:t>
      </w:r>
      <w:bookmarkEnd w:id="249"/>
      <w:r w:rsidRPr="005953BD">
        <w:t xml:space="preserve"> reglamentuoja</w:t>
      </w:r>
      <w:r>
        <w:t>:</w:t>
      </w:r>
      <w:r w:rsidRPr="005953BD">
        <w:t xml:space="preserve"> Lietuvos Respublikos žemės įstatymas; Kapčiamiesčio karinio poligono ir Kapčiamiesčio karinio mokymo teritorijos įkūrimą reglamentuoja Lietuvos Respublikos Lietuvos kariuomenės </w:t>
      </w:r>
      <w:bookmarkStart w:id="250" w:name="_Hlk228945172"/>
      <w:r w:rsidRPr="005953BD">
        <w:t>Kapčiamiesčio karinio poligono ir Kapčiamiesčio karinio mokymo teritorijos</w:t>
      </w:r>
      <w:bookmarkEnd w:id="250"/>
      <w:r w:rsidRPr="005953BD">
        <w:t xml:space="preserve"> įstatymas ir šį įstatymą įgyvendinantys teisės aktai; </w:t>
      </w:r>
      <w:bookmarkStart w:id="251" w:name="_Hlk230606612"/>
      <w:r w:rsidRPr="005953BD">
        <w:t>kiti teisės aktai priimti įgyvendinant</w:t>
      </w:r>
      <w:bookmarkEnd w:id="251"/>
      <w:r w:rsidRPr="005953BD">
        <w:t xml:space="preserve"> ypatingos valstybinės svarbos krašto apsaugos srities projektus.</w:t>
      </w:r>
    </w:p>
    <w:p w14:paraId="1F31DCD5" w14:textId="54898351" w:rsidR="00EE2CEE" w:rsidRDefault="00EE2CEE" w:rsidP="00EE2CEE">
      <w:r>
        <w:t>(</w:t>
      </w:r>
      <w:r>
        <w:t>Papildyta</w:t>
      </w:r>
      <w:r>
        <w:t xml:space="preserve"> pagal VMI prie FM </w:t>
      </w:r>
      <w:r w:rsidRPr="00DA0489">
        <w:t xml:space="preserve">2026-05-26 </w:t>
      </w:r>
      <w:r>
        <w:t xml:space="preserve">raštą </w:t>
      </w:r>
      <w:r w:rsidRPr="00DA0489">
        <w:t>Nr. (18.10-31-1 Mr) R-1506</w:t>
      </w:r>
      <w:r>
        <w:t>)</w:t>
      </w:r>
    </w:p>
    <w:p w14:paraId="4D4D07D2" w14:textId="77777777" w:rsidR="00EE2CEE" w:rsidRDefault="00EE2CEE" w:rsidP="00EE2CEE">
      <w:pPr>
        <w:pStyle w:val="Sraopastraipa"/>
        <w:ind w:left="0" w:firstLine="709"/>
        <w:jc w:val="both"/>
      </w:pPr>
    </w:p>
    <w:p w14:paraId="57E83CDC" w14:textId="00C4C640" w:rsidR="00945E5C" w:rsidRPr="005A74B7" w:rsidRDefault="00945E5C" w:rsidP="006C2DE4">
      <w:pPr>
        <w:jc w:val="both"/>
        <w:rPr>
          <w:lang w:val="lt-LT"/>
        </w:rPr>
      </w:pPr>
      <w:bookmarkStart w:id="252" w:name="_GoBack"/>
      <w:bookmarkEnd w:id="252"/>
    </w:p>
    <w:p w14:paraId="037396DF" w14:textId="77777777" w:rsidR="00093845" w:rsidRDefault="000D779E">
      <w:pPr>
        <w:ind w:left="3600" w:firstLine="720"/>
        <w:rPr>
          <w:b/>
          <w:lang w:val="lt-LT"/>
        </w:rPr>
      </w:pPr>
      <w:r>
        <w:rPr>
          <w:b/>
          <w:lang w:val="lt-LT"/>
        </w:rPr>
        <w:t>IV SKYRIUS</w:t>
      </w:r>
    </w:p>
    <w:p w14:paraId="046F9F6A" w14:textId="77777777" w:rsidR="00093845" w:rsidRDefault="000D779E">
      <w:pPr>
        <w:ind w:left="4320"/>
        <w:jc w:val="both"/>
        <w:rPr>
          <w:b/>
          <w:lang w:val="lt-LT"/>
        </w:rPr>
      </w:pPr>
      <w:r>
        <w:rPr>
          <w:b/>
          <w:lang w:val="lt-LT"/>
        </w:rPr>
        <w:t>TURTAS</w:t>
      </w:r>
    </w:p>
    <w:p w14:paraId="4943540A" w14:textId="77777777" w:rsidR="00093845" w:rsidRDefault="00E63DE3" w:rsidP="00E63DE3">
      <w:pPr>
        <w:pStyle w:val="Antrat1"/>
        <w:jc w:val="left"/>
        <w:rPr>
          <w:bCs w:val="0"/>
          <w:szCs w:val="20"/>
          <w:lang w:val="lt-LT"/>
        </w:rPr>
      </w:pPr>
      <w:bookmarkStart w:id="253" w:name="_13_straipsnis._Vieneto"/>
      <w:bookmarkEnd w:id="253"/>
      <w:r>
        <w:rPr>
          <w:bCs w:val="0"/>
          <w:lang w:val="lt-LT"/>
        </w:rPr>
        <w:t xml:space="preserve">       </w:t>
      </w:r>
      <w:r w:rsidR="000D779E">
        <w:rPr>
          <w:bCs w:val="0"/>
          <w:lang w:val="lt-LT"/>
        </w:rPr>
        <w:t xml:space="preserve">13 STRAIPSNIS. Vieneto turtas </w:t>
      </w:r>
    </w:p>
    <w:p w14:paraId="36FBD5C1" w14:textId="77777777" w:rsidR="00093845" w:rsidRDefault="000D779E">
      <w:pPr>
        <w:ind w:right="339" w:firstLine="720"/>
        <w:jc w:val="both"/>
        <w:rPr>
          <w:b/>
          <w:bCs/>
          <w:lang w:val="lt-LT"/>
        </w:rPr>
      </w:pPr>
      <w:r>
        <w:rPr>
          <w:b/>
          <w:bCs/>
          <w:lang w:val="lt-LT"/>
        </w:rPr>
        <w:t>1. Vieneto turtas – vieneto įsigytos materialios, nematerialios ir finansinės vertybės. Jos priklauso vienetui nuosavybės teise arba yra gautos pagal lizingo (finansinės nuomos) sutartį, kurioje numatytas nuosavybės teisės perėjimas, arba pagal pirkimo–pardavimo ar nuomos sutartį, kurioje numatytas nuosavybės teisės perėjimas vienetui apmokėjus visą turto vertę, arba šio Įstatymo 14 straipsnio 6 dalyje numatytu būdu, o vienetų, kuriems valstybės bei savivaldybių turtas perduotas patikėjimo teise, atveju – patikėjimo teise.</w:t>
      </w:r>
    </w:p>
    <w:p w14:paraId="764429F2" w14:textId="77777777" w:rsidR="00093845" w:rsidRPr="00582607" w:rsidRDefault="000D779E" w:rsidP="00477AF7">
      <w:pPr>
        <w:ind w:right="339"/>
        <w:jc w:val="both"/>
        <w:rPr>
          <w:bCs/>
          <w:i/>
          <w:lang w:val="lt-LT"/>
        </w:rPr>
      </w:pPr>
      <w:r w:rsidRPr="00582607">
        <w:rPr>
          <w:bCs/>
          <w:i/>
          <w:lang w:val="lt-LT"/>
        </w:rPr>
        <w:lastRenderedPageBreak/>
        <w:t>(KEISTA:  2</w:t>
      </w:r>
      <w:r w:rsidRPr="00582607">
        <w:rPr>
          <w:i/>
          <w:color w:val="000000"/>
          <w:lang w:eastAsia="lt-LT"/>
        </w:rPr>
        <w:t>006 10 19 įstatymu Nr. X-866 (nuo 2006 10 31)</w:t>
      </w:r>
      <w:r w:rsidRPr="00582607">
        <w:rPr>
          <w:bCs/>
          <w:i/>
          <w:lang w:val="lt-LT"/>
        </w:rPr>
        <w:t xml:space="preserve">) </w:t>
      </w:r>
    </w:p>
    <w:p w14:paraId="300A2B24" w14:textId="77777777" w:rsidR="00093845" w:rsidRDefault="000D779E">
      <w:pPr>
        <w:tabs>
          <w:tab w:val="left" w:pos="720"/>
          <w:tab w:val="left" w:pos="1077"/>
          <w:tab w:val="left" w:pos="1418"/>
        </w:tabs>
        <w:ind w:right="339" w:firstLine="720"/>
        <w:jc w:val="both"/>
        <w:rPr>
          <w:b/>
          <w:bCs/>
          <w:lang w:val="lt-LT"/>
        </w:rPr>
      </w:pPr>
      <w:r>
        <w:rPr>
          <w:b/>
          <w:bCs/>
          <w:lang w:val="lt-LT"/>
        </w:rPr>
        <w:t>Komentaras</w:t>
      </w:r>
    </w:p>
    <w:p w14:paraId="1125D23B" w14:textId="77777777" w:rsidR="00093845" w:rsidRDefault="000D779E" w:rsidP="00261160">
      <w:pPr>
        <w:pStyle w:val="Pagrindiniotekstotrauka"/>
        <w:tabs>
          <w:tab w:val="left" w:pos="720"/>
          <w:tab w:val="left" w:pos="1077"/>
          <w:tab w:val="left" w:pos="1418"/>
        </w:tabs>
        <w:spacing w:after="0"/>
        <w:ind w:right="339" w:firstLine="709"/>
        <w:rPr>
          <w:lang w:val="lt-LT"/>
        </w:rPr>
      </w:pPr>
      <w:r>
        <w:rPr>
          <w:lang w:val="lt-LT"/>
        </w:rPr>
        <w:t>1.</w:t>
      </w:r>
      <w:r>
        <w:rPr>
          <w:lang w:val="lt-LT"/>
        </w:rPr>
        <w:tab/>
        <w:t xml:space="preserve"> Apskaičiuojant apmokestinamąjį pelną, vieneto turtu laikomos įsigytos materialios, nematerialios ir finansinės vertybės, jeigu jos:</w:t>
      </w:r>
    </w:p>
    <w:p w14:paraId="72FEE637" w14:textId="77777777" w:rsidR="00093845" w:rsidRDefault="000D779E" w:rsidP="00EC4E29">
      <w:pPr>
        <w:pStyle w:val="Pagrindiniotekstotrauka"/>
        <w:numPr>
          <w:ilvl w:val="0"/>
          <w:numId w:val="26"/>
        </w:numPr>
        <w:tabs>
          <w:tab w:val="left" w:pos="720"/>
          <w:tab w:val="left" w:pos="1418"/>
        </w:tabs>
        <w:spacing w:after="0"/>
        <w:ind w:left="0" w:right="339" w:firstLine="709"/>
      </w:pPr>
      <w:r>
        <w:t>priklauso vienetui nuosavybės teise,</w:t>
      </w:r>
    </w:p>
    <w:p w14:paraId="37D2C271" w14:textId="77777777" w:rsidR="00093845" w:rsidRDefault="000D779E" w:rsidP="00EC4E29">
      <w:pPr>
        <w:pStyle w:val="Pagrindiniotekstotrauka"/>
        <w:numPr>
          <w:ilvl w:val="0"/>
          <w:numId w:val="26"/>
        </w:numPr>
        <w:tabs>
          <w:tab w:val="left" w:pos="720"/>
          <w:tab w:val="left" w:pos="1418"/>
        </w:tabs>
        <w:spacing w:after="0"/>
        <w:ind w:left="0" w:right="339" w:firstLine="709"/>
      </w:pPr>
      <w:r>
        <w:t>yra gautos pagal lizingo (finansinės nuomos) sutartį, kurioje numatytas nuosavybės teisės perėjimas,</w:t>
      </w:r>
    </w:p>
    <w:p w14:paraId="2B7A49A3" w14:textId="77777777" w:rsidR="00093845" w:rsidRDefault="000D779E" w:rsidP="00EC4E29">
      <w:pPr>
        <w:pStyle w:val="Pagrindiniotekstotrauka"/>
        <w:numPr>
          <w:ilvl w:val="0"/>
          <w:numId w:val="26"/>
        </w:numPr>
        <w:tabs>
          <w:tab w:val="left" w:pos="720"/>
          <w:tab w:val="left" w:pos="1418"/>
        </w:tabs>
        <w:spacing w:after="0"/>
        <w:ind w:left="0" w:right="339" w:firstLine="709"/>
      </w:pPr>
      <w:r>
        <w:t>yra gautos pagal pirkimo–pardavimo sutartį, kurioje numatytas nuosavybės teisės perėjimas vienetui apmokėjus visą turto vertę,</w:t>
      </w:r>
    </w:p>
    <w:p w14:paraId="0D67AADD" w14:textId="77777777" w:rsidR="00093845" w:rsidRDefault="000D779E" w:rsidP="00EC4E29">
      <w:pPr>
        <w:pStyle w:val="Pagrindiniotekstotrauka"/>
        <w:numPr>
          <w:ilvl w:val="0"/>
          <w:numId w:val="26"/>
        </w:numPr>
        <w:tabs>
          <w:tab w:val="left" w:pos="720"/>
          <w:tab w:val="left" w:pos="1418"/>
        </w:tabs>
        <w:spacing w:after="0"/>
        <w:ind w:left="0" w:right="339" w:firstLine="709"/>
      </w:pPr>
      <w:r>
        <w:t>yra gautos pagal nuomos sutartį, kurioje numatytas nuosavybės teisės perėjimas vienetui apmokėjus visą turto vertę,</w:t>
      </w:r>
    </w:p>
    <w:p w14:paraId="5D12A00C" w14:textId="77777777" w:rsidR="00093845" w:rsidRDefault="000D779E" w:rsidP="00EC4E29">
      <w:pPr>
        <w:pStyle w:val="Pagrindiniotekstotrauka"/>
        <w:numPr>
          <w:ilvl w:val="0"/>
          <w:numId w:val="26"/>
        </w:numPr>
        <w:tabs>
          <w:tab w:val="left" w:pos="720"/>
          <w:tab w:val="left" w:pos="1418"/>
        </w:tabs>
        <w:spacing w:after="0"/>
        <w:ind w:left="0" w:right="339" w:firstLine="709"/>
        <w:rPr>
          <w:b/>
          <w:bCs/>
        </w:rPr>
      </w:pPr>
      <w:r>
        <w:t>yra gautos patikėjimo teise iš valstybės bei savivaldybių,</w:t>
      </w:r>
    </w:p>
    <w:p w14:paraId="2E92DC4E" w14:textId="77777777" w:rsidR="00093845" w:rsidRDefault="000D779E" w:rsidP="00EC4E29">
      <w:pPr>
        <w:pStyle w:val="Pagrindiniotekstotrauka"/>
        <w:numPr>
          <w:ilvl w:val="0"/>
          <w:numId w:val="26"/>
        </w:numPr>
        <w:tabs>
          <w:tab w:val="left" w:pos="720"/>
          <w:tab w:val="left" w:pos="1418"/>
        </w:tabs>
        <w:spacing w:after="0"/>
        <w:ind w:left="0" w:right="339" w:firstLine="709"/>
        <w:rPr>
          <w:bCs/>
        </w:rPr>
      </w:pPr>
      <w:r>
        <w:rPr>
          <w:bCs/>
        </w:rPr>
        <w:t xml:space="preserve">yra įgytos 14 str. 6 dalyje numatytu būdu (žr. PMĮ 14 str. 6 dalies komentarą).“ </w:t>
      </w:r>
    </w:p>
    <w:p w14:paraId="531A5E0C" w14:textId="77777777" w:rsidR="00093845" w:rsidRDefault="000D779E" w:rsidP="00261160">
      <w:pPr>
        <w:spacing w:after="0"/>
        <w:jc w:val="both"/>
        <w:rPr>
          <w:color w:val="000000"/>
          <w:lang w:val="fr-FR"/>
        </w:rPr>
      </w:pPr>
      <w:r>
        <w:rPr>
          <w:lang w:val="fr-FR"/>
        </w:rPr>
        <w:t xml:space="preserve">           (Pakeista pagal VMI prie FM raštą </w:t>
      </w:r>
      <w:r>
        <w:rPr>
          <w:color w:val="000000"/>
          <w:lang w:val="fr-FR"/>
        </w:rPr>
        <w:t>2007-05-08 Nr. (18.10-31-1)-R-4953)</w:t>
      </w:r>
    </w:p>
    <w:p w14:paraId="3596D7AA" w14:textId="77777777" w:rsidR="00093845" w:rsidRDefault="00093845">
      <w:pPr>
        <w:jc w:val="both"/>
        <w:rPr>
          <w:color w:val="000000"/>
          <w:lang w:val="fr-FR"/>
        </w:rPr>
      </w:pPr>
    </w:p>
    <w:p w14:paraId="76DC5E69" w14:textId="77777777" w:rsidR="00093845" w:rsidRDefault="000D779E">
      <w:pPr>
        <w:pStyle w:val="Pagrindiniotekstotrauka"/>
        <w:tabs>
          <w:tab w:val="left" w:pos="720"/>
          <w:tab w:val="left" w:pos="1077"/>
          <w:tab w:val="left" w:pos="1418"/>
          <w:tab w:val="left" w:pos="9600"/>
        </w:tabs>
        <w:ind w:right="-82"/>
        <w:rPr>
          <w:lang w:val="lt-LT"/>
        </w:rPr>
      </w:pPr>
      <w:r>
        <w:rPr>
          <w:lang w:val="lt-LT"/>
        </w:rPr>
        <w:t xml:space="preserve">2. Turtas gali būti įvairus. Jeigu turtas turi materialiąją substanciją, yra pagamintas iš tam tikros medžiagos ir yra apčiuopiamas, tai jis laikomas materialiuoju turtu. Tai žemė, pastatai, įrengimai, transporto priemonės, įrankiai, ir kitas materialios formos turtas. </w:t>
      </w:r>
    </w:p>
    <w:p w14:paraId="7F1ED12F" w14:textId="77777777" w:rsidR="00093845" w:rsidRDefault="000D779E">
      <w:pPr>
        <w:ind w:firstLine="720"/>
        <w:jc w:val="both"/>
        <w:rPr>
          <w:lang w:val="lt-LT"/>
        </w:rPr>
      </w:pPr>
      <w:r>
        <w:rPr>
          <w:lang w:val="lt-LT"/>
        </w:rPr>
        <w:t xml:space="preserve">Nematerialiajam turtui priskiriamas turtas neturintis materialios substancijos. Tai gali būti patentai, licencijos, vieneto įsigytas prestižas. Nematerialiuoju turtu taip pat gali būti laikomos </w:t>
      </w:r>
      <w:r>
        <w:rPr>
          <w:b/>
          <w:bCs/>
          <w:lang w:val="lt-LT"/>
        </w:rPr>
        <w:t xml:space="preserve">iki 2006 metais prasidėjusio mokestinio laikotarpio pradžios </w:t>
      </w:r>
      <w:r>
        <w:rPr>
          <w:lang w:val="lt-LT"/>
        </w:rPr>
        <w:t>sukauptos išlaidos, kurios priskiriamos formavimo savikainai (žr. šio straipsnio 3 dalies komentaro 4 punktą).</w:t>
      </w:r>
    </w:p>
    <w:p w14:paraId="5C4BFFC5" w14:textId="77777777" w:rsidR="00093845" w:rsidRDefault="000D779E">
      <w:pPr>
        <w:pStyle w:val="Pagrindiniotekstotrauka"/>
        <w:tabs>
          <w:tab w:val="left" w:pos="720"/>
          <w:tab w:val="left" w:pos="1077"/>
          <w:tab w:val="left" w:pos="1418"/>
        </w:tabs>
        <w:ind w:right="-5"/>
        <w:rPr>
          <w:lang w:val="lt-LT"/>
        </w:rPr>
      </w:pPr>
      <w:r>
        <w:rPr>
          <w:lang w:val="lt-LT"/>
        </w:rPr>
        <w:t>Finansinis turtas atspindi vieneto teises ir privilegijas trečiųjų šalių atžvilgiu, kurios atsiranda įsigijus tų įmonių vertybinių popierių (pvz., akcijų, obligacijų ar vekselių).</w:t>
      </w:r>
    </w:p>
    <w:p w14:paraId="6AA0009B" w14:textId="77777777" w:rsidR="00093845" w:rsidRDefault="000D779E">
      <w:pPr>
        <w:pStyle w:val="Pagrindiniotekstotrauka"/>
        <w:tabs>
          <w:tab w:val="left" w:pos="720"/>
          <w:tab w:val="left" w:pos="1077"/>
          <w:tab w:val="left" w:pos="1418"/>
        </w:tabs>
        <w:ind w:right="-5"/>
        <w:rPr>
          <w:lang w:val="lt-LT"/>
        </w:rPr>
      </w:pPr>
      <w:r>
        <w:rPr>
          <w:lang w:val="lt-LT"/>
        </w:rPr>
        <w:t>(2-as p. pakeistas pagal VMI prie FM 2006-10-05 raštą Nr. (18.10-31-1)-R-8593)</w:t>
      </w:r>
    </w:p>
    <w:p w14:paraId="1744248F"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Vieneto turtas skirstomas į ilgalaikį ir trumpalaikį. Vieneto ilgalaikis ir trumpalaikis turtas yra materialusis ir nematerialusis. </w:t>
      </w:r>
    </w:p>
    <w:p w14:paraId="2C3B4B28"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Komentaras</w:t>
      </w:r>
    </w:p>
    <w:p w14:paraId="79BF02C3" w14:textId="77777777" w:rsidR="00093845" w:rsidRDefault="000D779E">
      <w:pPr>
        <w:pStyle w:val="Pagrindiniotekstotrauka"/>
        <w:tabs>
          <w:tab w:val="left" w:pos="720"/>
          <w:tab w:val="left" w:pos="1077"/>
          <w:tab w:val="left" w:pos="1418"/>
        </w:tabs>
        <w:ind w:right="-5"/>
        <w:rPr>
          <w:rFonts w:ascii="Times New Roman" w:hAnsi="Times New Roman"/>
          <w:lang w:val="lt-LT"/>
        </w:rPr>
      </w:pPr>
      <w:r>
        <w:rPr>
          <w:rFonts w:ascii="Times New Roman" w:hAnsi="Times New Roman"/>
          <w:lang w:val="lt-LT"/>
        </w:rPr>
        <w:t xml:space="preserve">Atsižvelgiant į turto naudojimo vieneto pajamoms uždirbti laikotarpį bei vieneto veiklos ciklą, vieneto turtas skirstomas į trumpalaikį ir ilgalaikį. Per vienerius metus visiškai sunaudojamas turtas laikomas trumpalaikiu neatsižvelgiant į šio turto kainą. Faktiškai vienete trumpalaikis turtas gali būti naudojamas ilgiau nei vienerius metus, bet esmė ta, kad jei toks turtas pradedamas naudoti pajamoms uždirbti, tai jis laikomas sunaudotu iš karto, o ne palaipsniui, kaip ilgalaikis turtas. Savaime suprantama, kad menkavertis turtas gali būti naudojamas ir ilgiau nei vienerius metus, tačiau jis vis tiek bus priskiriamas trumpalaikiam turtui, nes neatitiks šio PMĮ straipsnio 3 dalyje pateiktos ilgalaikio turto sąvokos. Vieną ar kitą turto objektą priskiriant ilgalaikiam ar trumpalaikiam turtui atsižvelgiama į to turto pobūdį, jo naudojimo vienete laiką bei įsigijimo kainą. </w:t>
      </w:r>
    </w:p>
    <w:p w14:paraId="2FD9ECC0" w14:textId="77777777" w:rsidR="004D7804" w:rsidRDefault="000D779E" w:rsidP="004D7804">
      <w:pPr>
        <w:pStyle w:val="Pagrindiniotekstotrauka"/>
        <w:tabs>
          <w:tab w:val="left" w:pos="720"/>
          <w:tab w:val="left" w:pos="1077"/>
          <w:tab w:val="left" w:pos="1418"/>
        </w:tabs>
        <w:ind w:right="-5"/>
        <w:rPr>
          <w:rFonts w:ascii="Times New Roman" w:hAnsi="Times New Roman"/>
          <w:lang w:val="lt-LT"/>
        </w:rPr>
      </w:pPr>
      <w:r>
        <w:rPr>
          <w:rFonts w:ascii="Times New Roman" w:hAnsi="Times New Roman"/>
          <w:lang w:val="lt-LT"/>
        </w:rPr>
        <w:t>Ilgiau nei vienerius metus naudojamas turtas, kurio įsigijimo kaina į ribojamų dydžių leidžiamus atskaitymus perkeliama dalimis, jį nudėvint arba amortizuojant, vadinamas ilgalaikiu turtu. Ilgalaikis turtas gali būti labai skirtingas. Tai gali būti pastatai, mašinos, įrengimai, licencijos, patentai ir kitas PMĮ 1 priedėlyje nustatytas turtas.</w:t>
      </w:r>
    </w:p>
    <w:p w14:paraId="565C499B" w14:textId="77777777" w:rsidR="00093845" w:rsidRDefault="004D7804" w:rsidP="004D7804">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 xml:space="preserve">3. </w:t>
      </w:r>
      <w:r w:rsidR="000D779E">
        <w:rPr>
          <w:rFonts w:ascii="Times New Roman" w:hAnsi="Times New Roman" w:cs="Times New Roman"/>
          <w:b/>
          <w:lang w:val="lt-LT"/>
        </w:rPr>
        <w:t xml:space="preserve">Ilgalaikis turtas – tai turtas, kuris naudojamas vieneto pajamoms uždirbti (ekonominei naudai gauti) ar šio Įstatymo 26 straipsnio 2 dalyje nurodytai naudai teikti ilgiau kaip vienerius metus ir kurio įsigijimo kaina ne mažesnė už vieneto pagal šio Įstatymo 1 priedėlyje išvardytas </w:t>
      </w:r>
      <w:r w:rsidR="000D779E">
        <w:rPr>
          <w:rFonts w:ascii="Times New Roman" w:hAnsi="Times New Roman" w:cs="Times New Roman"/>
          <w:b/>
          <w:lang w:val="lt-LT"/>
        </w:rPr>
        <w:lastRenderedPageBreak/>
        <w:t>ilgalaikio turto grupes nustatytą kainą. Šio turto įsigijimo kaina į vieneto sąnaudas įskaitoma dalimis per turto nusidėvėjimo arba amortizacijos laikotarpį. Vieneto tiesiogiai sumokėtos sumos Europos ekonominės erdvės valstybių ir užsienio valstybių, kurios nepriklauso Europos ekonominei erdvei, tačiau su kuriomis Lietuvos Respublika yra sudariusi dvigubo apmokestinimo išvengimo sutartis, mokykloms už fizinių asmenų, kurie nėra susiję su šiuo vienetu darbo santykiais, mokymą, kurį baigę jie įgyja aukštąjį išsilavinimą ir (arba) kvalifikaciją, jeigu šis išsilavinimas ir (arba) kvalifikacija būtina vieneto pajamoms uždirbti, šiems fiziniams asmenims pradėjus dirbti vienete gali būti priskiriamos ilgalaikiam nematerialiajam turtui.</w:t>
      </w:r>
    </w:p>
    <w:p w14:paraId="2D80A091" w14:textId="77777777" w:rsidR="00093845" w:rsidRDefault="000D779E" w:rsidP="00085B20">
      <w:pPr>
        <w:pStyle w:val="HTMLiankstoformatuotas"/>
        <w:tabs>
          <w:tab w:val="clear" w:pos="8244"/>
          <w:tab w:val="clear" w:pos="9160"/>
          <w:tab w:val="left" w:pos="9540"/>
        </w:tabs>
        <w:spacing w:after="0"/>
        <w:jc w:val="both"/>
        <w:rPr>
          <w:rFonts w:ascii="Times New Roman" w:hAnsi="Times New Roman" w:cs="Times New Roman"/>
          <w:i/>
          <w:iCs/>
          <w:sz w:val="24"/>
          <w:szCs w:val="24"/>
          <w:lang w:val="lt-LT"/>
        </w:rPr>
      </w:pPr>
      <w:r w:rsidRPr="00582607">
        <w:rPr>
          <w:rFonts w:ascii="Times New Roman" w:hAnsi="Times New Roman" w:cs="Times New Roman"/>
          <w:i/>
          <w:iCs/>
          <w:sz w:val="24"/>
          <w:szCs w:val="24"/>
          <w:lang w:val="lt-LT"/>
        </w:rPr>
        <w:t xml:space="preserve">(KEISTA: </w:t>
      </w:r>
      <w:r w:rsidRPr="00582607">
        <w:rPr>
          <w:rFonts w:ascii="Times New Roman" w:hAnsi="Times New Roman" w:cs="Times New Roman"/>
          <w:i/>
          <w:iCs/>
          <w:sz w:val="24"/>
          <w:szCs w:val="24"/>
        </w:rPr>
        <w:t>2015 03 26 įstatymu Nr. XII-1583 (nuo 2015 04 14)</w:t>
      </w:r>
      <w:r w:rsidRPr="00582607">
        <w:rPr>
          <w:rFonts w:ascii="Times New Roman" w:hAnsi="Times New Roman" w:cs="Times New Roman"/>
          <w:i/>
          <w:iCs/>
          <w:sz w:val="24"/>
          <w:szCs w:val="24"/>
          <w:lang w:val="lt-LT"/>
        </w:rPr>
        <w:t>)</w:t>
      </w:r>
    </w:p>
    <w:p w14:paraId="3A9CABAD" w14:textId="77777777" w:rsidR="00E079AB" w:rsidRPr="00582607" w:rsidRDefault="00E079AB" w:rsidP="00085B20">
      <w:pPr>
        <w:pStyle w:val="HTMLiankstoformatuotas"/>
        <w:tabs>
          <w:tab w:val="clear" w:pos="8244"/>
          <w:tab w:val="clear" w:pos="9160"/>
          <w:tab w:val="left" w:pos="9540"/>
        </w:tabs>
        <w:spacing w:after="0"/>
        <w:jc w:val="both"/>
        <w:rPr>
          <w:rFonts w:ascii="Times New Roman" w:hAnsi="Times New Roman" w:cs="Times New Roman"/>
          <w:i/>
          <w:iCs/>
          <w:sz w:val="24"/>
          <w:szCs w:val="24"/>
          <w:lang w:val="lt-LT"/>
        </w:rPr>
      </w:pPr>
    </w:p>
    <w:p w14:paraId="2772CCE3" w14:textId="77777777" w:rsidR="00093845" w:rsidRDefault="000D779E">
      <w:pPr>
        <w:pStyle w:val="HTMLiankstoformatuotas"/>
        <w:tabs>
          <w:tab w:val="clear" w:pos="8244"/>
          <w:tab w:val="clear" w:pos="9160"/>
          <w:tab w:val="left" w:pos="9540"/>
        </w:tabs>
        <w:jc w:val="both"/>
        <w:rPr>
          <w:rFonts w:ascii="Times New Roman" w:hAnsi="Times New Roman" w:cs="Times New Roman"/>
          <w:b/>
          <w:sz w:val="24"/>
          <w:szCs w:val="24"/>
          <w:lang w:val="lt-LT"/>
        </w:rPr>
      </w:pPr>
      <w:r>
        <w:rPr>
          <w:rFonts w:ascii="Times New Roman" w:hAnsi="Times New Roman" w:cs="Times New Roman"/>
          <w:i/>
          <w:sz w:val="24"/>
          <w:szCs w:val="24"/>
          <w:lang w:val="lt-LT"/>
        </w:rPr>
        <w:tab/>
        <w:t xml:space="preserve"> </w:t>
      </w:r>
      <w:r>
        <w:rPr>
          <w:rFonts w:ascii="Times New Roman" w:hAnsi="Times New Roman" w:cs="Times New Roman"/>
          <w:b/>
          <w:sz w:val="24"/>
          <w:szCs w:val="24"/>
          <w:lang w:val="lt-LT"/>
        </w:rPr>
        <w:t>Komentaras</w:t>
      </w:r>
    </w:p>
    <w:p w14:paraId="7A2AED6A"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1. Turtas priskiriamas ilgalaikiam atsižvelgiant ne tik į jo kainą, bet ir pobūdį bei naudojimo laiką. Todėl šiame PMĮ 13 straipsnio punkte ir nustatyta, kad ilgalaikiam turtui priskiriamas toks turtas, kuris atitinka du kriterijus: </w:t>
      </w:r>
    </w:p>
    <w:p w14:paraId="5BE2EA40"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turtas ilgiau kaip vienerius metus turi būti naudojamas vieneto pajamoms uždirbti (ekonominei naudai gauti)</w:t>
      </w:r>
      <w:r>
        <w:rPr>
          <w:lang w:val="lt-LT"/>
        </w:rPr>
        <w:t xml:space="preserve"> </w:t>
      </w:r>
      <w:r>
        <w:rPr>
          <w:rFonts w:ascii="Times New Roman" w:hAnsi="Times New Roman" w:cs="Times New Roman"/>
          <w:sz w:val="24"/>
          <w:szCs w:val="24"/>
          <w:lang w:val="lt-LT"/>
        </w:rPr>
        <w:t>ar PMĮ 26 str. 2 dalyje nurodytai naudai teikti, ir</w:t>
      </w:r>
    </w:p>
    <w:p w14:paraId="2B418513" w14:textId="77777777" w:rsidR="00093845" w:rsidRDefault="000D779E">
      <w:pPr>
        <w:pStyle w:val="HTMLiankstoformatuotas"/>
        <w:tabs>
          <w:tab w:val="clear" w:pos="8244"/>
          <w:tab w:val="clear" w:pos="9160"/>
          <w:tab w:val="left" w:pos="9540"/>
        </w:tabs>
        <w:jc w:val="both"/>
        <w:rPr>
          <w:rFonts w:ascii="Times New Roman" w:hAnsi="Times New Roman" w:cs="Times New Roman"/>
          <w:i/>
          <w:sz w:val="24"/>
          <w:szCs w:val="24"/>
          <w:lang w:val="lt-LT"/>
        </w:rPr>
      </w:pPr>
      <w:r>
        <w:rPr>
          <w:rFonts w:ascii="Times New Roman" w:hAnsi="Times New Roman" w:cs="Times New Roman"/>
          <w:sz w:val="24"/>
          <w:szCs w:val="24"/>
          <w:lang w:val="lt-LT"/>
        </w:rPr>
        <w:tab/>
        <w:t>- turto įsigijimo kaina turi būti ne mažesnė už vieneto kiekvienai turto grupei nusistatytą minimalią įsigijimo kainą.</w:t>
      </w:r>
      <w:r>
        <w:rPr>
          <w:rFonts w:ascii="Times New Roman" w:hAnsi="Times New Roman" w:cs="Times New Roman"/>
          <w:i/>
          <w:sz w:val="24"/>
          <w:szCs w:val="24"/>
          <w:lang w:val="lt-LT"/>
        </w:rPr>
        <w:t xml:space="preserve"> </w:t>
      </w:r>
    </w:p>
    <w:p w14:paraId="0B9AEBFE"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2. PMĮ 1 priedėlyje yra pateiktos ilgalaikio turto grupės. Vienetai kiekvienai turto grupei nusistato minimalią kainą. </w:t>
      </w:r>
    </w:p>
    <w:p w14:paraId="515C2AB1" w14:textId="77777777" w:rsidR="00093845" w:rsidRDefault="000D779E">
      <w:pPr>
        <w:pStyle w:val="HTMLiankstoformatuotas"/>
        <w:tabs>
          <w:tab w:val="clear" w:pos="8244"/>
          <w:tab w:val="clear" w:pos="9160"/>
          <w:tab w:val="left" w:pos="9540"/>
        </w:tabs>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Tačiau vienetams nedraudžiama nusistatyti visoms ilgalaikio turto grupėms vieną kainą, atsižvelgiant į tą ilgalaikio turto grupę, kuriai priskiriamų turto vienetų įsigijimo kaina yra mažiausia. </w:t>
      </w:r>
    </w:p>
    <w:p w14:paraId="57DEA3B6"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3. Naudojamo ilgalaikio turto įsigijimo kaina ribojamų dydžių leidžiamiems atskaitymams priskiriama dalimis per turto nusidėvėjimo ar amortizacijos laikotarpį. Nusidėvėjimo ar amortizacijos sumos, apskaičiuojant apmokestinamąjį pelną, ribojamų dydžių leidžiamiems atskaitymams priskiriamos tik tuo atveju, jei jos apskaičiuotos pagal PMĮ 18 ir 19 straipsniuose nustatytą tvarką.</w:t>
      </w:r>
    </w:p>
    <w:p w14:paraId="133B6E0A"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lang w:val="lt-LT"/>
        </w:rPr>
        <w:tab/>
      </w:r>
      <w:r>
        <w:rPr>
          <w:rFonts w:ascii="Times New Roman" w:hAnsi="Times New Roman" w:cs="Times New Roman"/>
          <w:sz w:val="24"/>
          <w:szCs w:val="24"/>
          <w:lang w:val="lt-LT"/>
        </w:rPr>
        <w:t>4. Apskaičiuojant apmokestinamąjį pelną, ilgalaikiam turtui pirkti, lizingo (finansinės nuomos) būdu įsigyti arba jam gaminti (statyti) skirtų skolintų sumų palūkanos (žr. PMĮ 17 str. 1 d. komentaro 6.24.2 punktą), obligacijų išleidimo bei reorganizavimo išlaidos iš pajamų atskaitomos kaip leidžiami atskaitymai tą mokestinį laikotarpį, kurį jos faktiškai patiriamos.</w:t>
      </w:r>
    </w:p>
    <w:p w14:paraId="69F91ED7"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Tokios vieneto išlaidos, kurios </w:t>
      </w:r>
      <w:r>
        <w:rPr>
          <w:rFonts w:ascii="Times New Roman" w:hAnsi="Times New Roman" w:cs="Times New Roman"/>
          <w:sz w:val="24"/>
          <w:szCs w:val="24"/>
          <w:u w:val="single"/>
          <w:lang w:val="lt-LT"/>
        </w:rPr>
        <w:t>tiesiogiai</w:t>
      </w:r>
      <w:r>
        <w:rPr>
          <w:rFonts w:ascii="Times New Roman" w:hAnsi="Times New Roman" w:cs="Times New Roman"/>
          <w:sz w:val="24"/>
          <w:szCs w:val="24"/>
          <w:lang w:val="lt-LT"/>
        </w:rPr>
        <w:t xml:space="preserve"> susijusios su vieneto steigimu ir akcijų išleidimu, patirtos steigiant ar reorganizuojant vienetą, </w:t>
      </w:r>
      <w:r>
        <w:rPr>
          <w:rFonts w:ascii="Times New Roman" w:hAnsi="Times New Roman" w:cs="Times New Roman"/>
          <w:strike/>
          <w:sz w:val="24"/>
          <w:szCs w:val="24"/>
          <w:lang w:val="lt-LT"/>
        </w:rPr>
        <w:t>ar</w:t>
      </w:r>
      <w:r>
        <w:rPr>
          <w:rFonts w:ascii="Times New Roman" w:hAnsi="Times New Roman" w:cs="Times New Roman"/>
          <w:sz w:val="24"/>
          <w:szCs w:val="24"/>
          <w:lang w:val="lt-LT"/>
        </w:rPr>
        <w:t xml:space="preserve"> išplatinant naują akcijų emisiją, kaip pvz., įstatų parengimo ir įregistravimo, akcijų įregistravimo, konsultantų, maklerių paslaugos, akcininkų pažymėjimų spausdinimo, notaro ir pan., laikomos neleidžiamais atskaitymais kaip neįprastinės vieneto vykdomai veiklai sąnaudos (pagal PMĮ 31 str. 1 d. 13 punktą), nes šios išlaidos susijusios su vieneto dalyviais, o ne tiesiogiai su vieneto veikla.</w:t>
      </w:r>
    </w:p>
    <w:p w14:paraId="15211A90" w14:textId="77777777" w:rsidR="00093845" w:rsidRDefault="000D779E">
      <w:pPr>
        <w:pStyle w:val="HTMLiankstoformatuotas"/>
        <w:tabs>
          <w:tab w:val="clear" w:pos="8244"/>
          <w:tab w:val="clear" w:pos="9160"/>
          <w:tab w:val="left" w:pos="9540"/>
        </w:tabs>
        <w:jc w:val="both"/>
        <w:rPr>
          <w:rFonts w:ascii="Times New Roman" w:hAnsi="Times New Roman" w:cs="Times New Roman"/>
          <w:sz w:val="24"/>
          <w:szCs w:val="24"/>
          <w:lang w:val="lt-LT"/>
        </w:rPr>
      </w:pPr>
      <w:r>
        <w:rPr>
          <w:rFonts w:ascii="Times New Roman" w:hAnsi="Times New Roman" w:cs="Times New Roman"/>
          <w:sz w:val="24"/>
          <w:szCs w:val="24"/>
          <w:lang w:val="lt-LT"/>
        </w:rPr>
        <w:tab/>
        <w:t>Tos vieneto reorganizavimo ir veiklos pradžios išlaidos, kurios nėra tiesiogiai susijusios su vieneto akcijų išleidimu, kaip pvz., išlaidos teisinėms, konsultavimo</w:t>
      </w:r>
      <w:r>
        <w:rPr>
          <w:rFonts w:ascii="Times New Roman" w:hAnsi="Times New Roman" w:cs="Times New Roman"/>
          <w:bCs/>
          <w:sz w:val="24"/>
          <w:szCs w:val="24"/>
          <w:lang w:val="lt-LT"/>
        </w:rPr>
        <w:t xml:space="preserve"> paslaugoms apmokėti, vieneto spaudų registravimo rinkliavos, blankų gamybos išlaidos, išlaidos naujam verslui ar veiklai pradėti (</w:t>
      </w:r>
      <w:r>
        <w:rPr>
          <w:rFonts w:ascii="Times New Roman" w:hAnsi="Times New Roman" w:cs="Times New Roman"/>
          <w:sz w:val="24"/>
          <w:szCs w:val="24"/>
          <w:lang w:val="lt-LT"/>
        </w:rPr>
        <w:t>administracijos atlyginimų išlaidos ir kitos vieneto veiklos pradžios išlaidos,</w:t>
      </w:r>
      <w:r>
        <w:rPr>
          <w:rFonts w:ascii="Times New Roman" w:hAnsi="Times New Roman" w:cs="Times New Roman"/>
          <w:bCs/>
          <w:sz w:val="24"/>
          <w:szCs w:val="24"/>
          <w:lang w:val="lt-LT"/>
        </w:rPr>
        <w:t xml:space="preserve"> nesusijusios su būsimaisiais mokestiniais laikotarpiais), priskiriamos</w:t>
      </w:r>
      <w:r>
        <w:rPr>
          <w:rFonts w:ascii="Times New Roman" w:hAnsi="Times New Roman" w:cs="Times New Roman"/>
          <w:sz w:val="24"/>
          <w:szCs w:val="24"/>
          <w:lang w:val="lt-LT"/>
        </w:rPr>
        <w:t xml:space="preserve"> leidžiamiems atskaitymams tą mokestinį laikotarpį, kurį jos faktiškai patiriamos.</w:t>
      </w:r>
    </w:p>
    <w:p w14:paraId="3204D4D7" w14:textId="77777777" w:rsidR="00093845" w:rsidRPr="0065344A" w:rsidRDefault="000D779E">
      <w:pPr>
        <w:ind w:right="-82" w:firstLine="993"/>
        <w:jc w:val="both"/>
        <w:rPr>
          <w:lang w:val="lt-LT"/>
        </w:rPr>
      </w:pPr>
      <w:r w:rsidRPr="0065344A">
        <w:rPr>
          <w:lang w:val="lt-LT"/>
        </w:rPr>
        <w:lastRenderedPageBreak/>
        <w:t>5. Nuo 2008 metais prasidėjusio mokestinio laikotarpio vieneto už fizinių asmenų, kurie nedirba vienete, mokymą, sumokėtos sumos šiems asmenims pradėjus dirbti vienete, priskiriamos ilgalaikiam nematerialiajam turtui, kai:</w:t>
      </w:r>
    </w:p>
    <w:p w14:paraId="7E65FD5D" w14:textId="77777777" w:rsidR="00093845" w:rsidRPr="0065344A" w:rsidRDefault="000D779E">
      <w:pPr>
        <w:ind w:right="-82" w:firstLine="720"/>
        <w:jc w:val="both"/>
        <w:rPr>
          <w:lang w:val="lt-LT"/>
        </w:rPr>
      </w:pPr>
      <w:r w:rsidRPr="0065344A">
        <w:rPr>
          <w:lang w:val="lt-LT"/>
        </w:rPr>
        <w:t>1) sumos už fizinių asmenų mokymą mokamos tiesiogiai Europos ekonominės erdvės valstybių ir užsienio valstybių, kurios nepriklauso Europos ekonominei erdvei, tačiau su kuriomis Lietuvos Respublika yra sudariusi dvigubo apmokestinimo išvengimo sutartis, mokykloms ir</w:t>
      </w:r>
    </w:p>
    <w:p w14:paraId="29B5E102" w14:textId="77777777" w:rsidR="00093845" w:rsidRPr="0065344A" w:rsidRDefault="000D779E">
      <w:pPr>
        <w:ind w:right="-82" w:firstLine="720"/>
        <w:jc w:val="both"/>
        <w:rPr>
          <w:lang w:val="lt-LT"/>
        </w:rPr>
      </w:pPr>
      <w:r w:rsidRPr="0065344A">
        <w:rPr>
          <w:lang w:val="lt-LT"/>
        </w:rPr>
        <w:t>2) fiziniai asmenys, pabaigę mokymo programas šios dalies komentaro 1 papunktyje nurodytose mokyklose, įgyja aukštąjį išsilavinimą ir (arba) kvalifikaciją, jeigu šis išsilavinimas ir (arba) kvalifikacija būtina vieneto pajamoms uždirbti.</w:t>
      </w:r>
    </w:p>
    <w:p w14:paraId="4185C5E5" w14:textId="77777777" w:rsidR="00093845" w:rsidRDefault="000D779E">
      <w:pPr>
        <w:ind w:right="-82" w:firstLine="720"/>
        <w:jc w:val="both"/>
      </w:pPr>
      <w:r>
        <w:t>6. Pagal Lietuvos Respublikos švietimo įstatymą mokykla laikomas juridinis asmuo, kurio pagrindinė veikla yra formalusis arba (ir) neformalusis švietimas.</w:t>
      </w:r>
    </w:p>
    <w:p w14:paraId="4405B690" w14:textId="77777777" w:rsidR="00093845" w:rsidRDefault="000D779E">
      <w:pPr>
        <w:ind w:right="-82" w:firstLine="720"/>
        <w:jc w:val="both"/>
      </w:pPr>
      <w:r>
        <w:t xml:space="preserve"> Aukštasis išsilavinimas įgyjamas baigus koleginių studijų programas, universitetinių studijų programas ar doktorantūrą, pagal kurias suteikiama aukštojo mokslo kvalifikacija. </w:t>
      </w:r>
    </w:p>
    <w:p w14:paraId="2A397A05" w14:textId="77777777" w:rsidR="00093845" w:rsidRDefault="000D779E">
      <w:pPr>
        <w:ind w:right="-82" w:firstLine="720"/>
        <w:jc w:val="both"/>
      </w:pPr>
      <w:r>
        <w:t>Už išlyginamąsias studijas aukštosioms mokykloms sumokėtos sumos gali būti priskiriamos vieneto ilgalaikiam nematerialiajam turtui, jeigu aukštosios mokyklos studijų nuostatuose šios studijos yra prilygintos studijoms, kurias baigus įgyjamas aukštasis išsilavinimas ir (ar) suteikiama kvalifikacija.</w:t>
      </w:r>
    </w:p>
    <w:p w14:paraId="7A0AE522" w14:textId="77777777" w:rsidR="00093845" w:rsidRDefault="000D779E">
      <w:pPr>
        <w:ind w:right="-82" w:firstLine="720"/>
        <w:jc w:val="both"/>
      </w:pPr>
      <w:r>
        <w:t>7. Šio punkto nuostatos taikomos ir tuo atveju, kai vienetas moka už fizinių asmenų formalųjį ir neformalųjį profesinį mokymą, kurį baigus įgyjama kvalifikacija.  „Profesinio mokymo“ sąvoką apibrėžia Lietuvos Respublikos </w:t>
      </w:r>
      <w:bookmarkStart w:id="254" w:name="n1_4608"/>
      <w:r>
        <w:t>profesinio mokymo įstatymo</w:t>
      </w:r>
      <w:bookmarkStart w:id="255" w:name="pn1_4610"/>
      <w:bookmarkStart w:id="256" w:name="pn1_4609"/>
      <w:bookmarkStart w:id="257" w:name="pn1_4608"/>
      <w:bookmarkEnd w:id="254"/>
      <w:bookmarkEnd w:id="255"/>
      <w:bookmarkEnd w:id="256"/>
      <w:bookmarkEnd w:id="257"/>
      <w:r>
        <w:t xml:space="preserve"> 2 straipsnio 10 dalis.</w:t>
      </w:r>
    </w:p>
    <w:p w14:paraId="0F0548F5" w14:textId="77777777" w:rsidR="00093845" w:rsidRDefault="000D779E">
      <w:pPr>
        <w:pStyle w:val="tajtip"/>
        <w:shd w:val="clear" w:color="auto" w:fill="FFFFFF"/>
        <w:spacing w:before="0" w:beforeAutospacing="0" w:after="0" w:afterAutospacing="0" w:line="286" w:lineRule="atLeast"/>
        <w:ind w:firstLine="720"/>
        <w:jc w:val="both"/>
        <w:rPr>
          <w:bCs/>
          <w:color w:val="000000"/>
        </w:rPr>
      </w:pPr>
      <w:r>
        <w:rPr>
          <w:bCs/>
          <w:color w:val="000000"/>
        </w:rPr>
        <w:t>Pavyzdžiai</w:t>
      </w:r>
    </w:p>
    <w:p w14:paraId="58CC9F5E" w14:textId="77777777" w:rsidR="00093845" w:rsidRDefault="00093845">
      <w:pPr>
        <w:pStyle w:val="tajtip"/>
        <w:shd w:val="clear" w:color="auto" w:fill="FFFFFF"/>
        <w:spacing w:before="0" w:beforeAutospacing="0" w:after="0" w:afterAutospacing="0" w:line="286" w:lineRule="atLeast"/>
        <w:ind w:firstLine="720"/>
        <w:jc w:val="both"/>
        <w:rPr>
          <w:rFonts w:ascii="Arial" w:hAnsi="Arial" w:cs="Arial"/>
          <w:bCs/>
          <w:color w:val="000000"/>
          <w:sz w:val="20"/>
          <w:szCs w:val="20"/>
        </w:rPr>
      </w:pPr>
    </w:p>
    <w:p w14:paraId="3D0AB41D" w14:textId="77777777" w:rsidR="00093845" w:rsidRDefault="000D779E">
      <w:pPr>
        <w:pStyle w:val="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86" w:lineRule="atLeast"/>
        <w:ind w:firstLine="720"/>
        <w:jc w:val="both"/>
        <w:rPr>
          <w:color w:val="000000"/>
        </w:rPr>
      </w:pPr>
      <w:r>
        <w:rPr>
          <w:color w:val="000000"/>
        </w:rPr>
        <w:t>1. Įmonė „X“ sumokėjo už fizinio asmens 6 mėnesių trukmės vadovavimo kursus 1 000 Eur. Baigęs šiuos kursus, fizinis asmuo gavo valstybės nepripažintą pažymėjimą, liudijantį apie tai, kad asmuo išklausė vadovavimo kursus. Šiuo atveju, net ir minėtam fiziniam asmeniui pradėjus dirbti įmonėje „X“, ji negalės priskirti sumokėtų sumų ribojamų dydžių leidžiamiems atskaitymams, nes fizinis asmuo neįgijo kvalifikacijos.</w:t>
      </w:r>
    </w:p>
    <w:p w14:paraId="5EAC83A4" w14:textId="77777777" w:rsidR="00093845" w:rsidRDefault="000D779E">
      <w:pPr>
        <w:pStyle w:val="tip"/>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86" w:lineRule="atLeast"/>
        <w:ind w:firstLine="720"/>
        <w:jc w:val="both"/>
        <w:rPr>
          <w:color w:val="000000"/>
        </w:rPr>
      </w:pPr>
      <w:r>
        <w:rPr>
          <w:color w:val="000000"/>
        </w:rPr>
        <w:t>2. Įmonė „X“ sumokėjo už fizinio asmens neformalųjį profesinį mokymą, kurį baigus jis įgijo kompetencijas reikalingas apskaitininko kvalifikacijai įgyti. Vyriausybės nustatyta tvarka akredituota vertinimo institucija įvertino fizinio asmens įgytas kompetencijas ir išdavė kompetencijų įvertinimą patvirtinančius dokumentus. Šios u</w:t>
      </w:r>
      <w:r>
        <w:rPr>
          <w:rStyle w:val="apple-converted-space"/>
          <w:color w:val="000000"/>
        </w:rPr>
        <w:t xml:space="preserve">ž </w:t>
      </w:r>
      <w:r>
        <w:rPr>
          <w:color w:val="000000"/>
        </w:rPr>
        <w:t xml:space="preserve">neformalųjį profesinį mokymą </w:t>
      </w:r>
      <w:r>
        <w:t xml:space="preserve">sumokėtos sumos gali būti priskiriamos vieneto ilgalaikiam nematerialiajam turtui, o minėtam fiziniam asmeniui pradėjus dirbti įmonėje, amortizuojamos ir priskiriamos ribojamų dydžių leidžiamiems atskaitymams. </w:t>
      </w:r>
    </w:p>
    <w:p w14:paraId="1B4312E2" w14:textId="77777777" w:rsidR="00093845" w:rsidRPr="0065344A" w:rsidRDefault="00093845">
      <w:pPr>
        <w:ind w:right="-82" w:firstLine="720"/>
        <w:jc w:val="both"/>
        <w:rPr>
          <w:lang w:val="lt-LT"/>
        </w:rPr>
      </w:pPr>
    </w:p>
    <w:p w14:paraId="77381594" w14:textId="77777777" w:rsidR="00093845" w:rsidRDefault="000D779E">
      <w:pPr>
        <w:ind w:right="-82" w:firstLine="720"/>
        <w:jc w:val="both"/>
      </w:pPr>
      <w:r w:rsidRPr="0065344A">
        <w:rPr>
          <w:lang w:val="lt-LT"/>
        </w:rPr>
        <w:t xml:space="preserve">8. Vieneto patirtos dėl fizinių asmenų, kurie nėra susiję su šiuo vienetu darbo santykiais, mokymosi išlaidos, kaupiamos iki tol, kol šie asmenys pradeda dirbti vienete, o sukauptos jos gali būti priskiriamos ilgalaikiam nematerialiajam turtui. </w:t>
      </w:r>
      <w:r>
        <w:t xml:space="preserve">Šis turtas priskiriamas </w:t>
      </w:r>
      <w:r>
        <w:rPr>
          <w:iCs/>
        </w:rPr>
        <w:t xml:space="preserve">PMĮ 1 priedėlio </w:t>
      </w:r>
      <w:r>
        <w:t>,,Kitas nematerialusis turtas</w:t>
      </w:r>
      <w:r>
        <w:rPr>
          <w:iCs/>
        </w:rPr>
        <w:t xml:space="preserve">“ turto grupei, kuriam pagal PMĮ 1 priedėlį </w:t>
      </w:r>
      <w:r>
        <w:t xml:space="preserve">nustatytas 4 metų amortizacijos normatyvas. Todėl sukauptų </w:t>
      </w:r>
      <w:r>
        <w:rPr>
          <w:iCs/>
        </w:rPr>
        <w:t>minėtų išlaidų</w:t>
      </w:r>
      <w:r>
        <w:t>, priskirtų nematerialiam ilgalaikiam turtui, įsigijimo kaina į sąnaudas dalimis gali būti įskaitoma per ne trumpesnį nei 4 metų amortizacijos laikotarpį. Minėto nematerialiojo turto įsigijimo kaina į sąnaudas gali būti įskaitoma tik tuo atveju, jeigu įgytas išsilavinimas ir (arba) kvalifikacija būtina vieneto pajamoms uždirbti.</w:t>
      </w:r>
    </w:p>
    <w:p w14:paraId="3DA0D8C9" w14:textId="77777777" w:rsidR="00093845" w:rsidRDefault="000D779E">
      <w:pPr>
        <w:pStyle w:val="Style1"/>
        <w:tabs>
          <w:tab w:val="left" w:pos="720"/>
          <w:tab w:val="left" w:pos="1077"/>
          <w:tab w:val="left" w:pos="1418"/>
        </w:tabs>
        <w:ind w:right="43" w:firstLine="709"/>
        <w:rPr>
          <w:rFonts w:ascii="Times New Roman" w:hAnsi="Times New Roman"/>
          <w:szCs w:val="24"/>
        </w:rPr>
      </w:pPr>
      <w:r>
        <w:rPr>
          <w:rFonts w:ascii="Times New Roman" w:hAnsi="Times New Roman"/>
        </w:rPr>
        <w:t xml:space="preserve">Vieneto </w:t>
      </w:r>
      <w:r>
        <w:rPr>
          <w:rFonts w:ascii="Times New Roman" w:hAnsi="Times New Roman"/>
          <w:szCs w:val="24"/>
        </w:rPr>
        <w:t xml:space="preserve">patirtos išlaidos, skirtos fizinio asmens mokymui apmokėti, po to, kai asmuo įsidarbino tame vienete dar nebaigęs mokslų, gali būti atskaitomos iš vieneto pajamų </w:t>
      </w:r>
      <w:r>
        <w:rPr>
          <w:rFonts w:ascii="Times New Roman" w:hAnsi="Times New Roman"/>
        </w:rPr>
        <w:t>PMĮ 26 str. 1 dalyje nustatyta tvarka.</w:t>
      </w:r>
    </w:p>
    <w:p w14:paraId="5EA960F9" w14:textId="77777777" w:rsidR="00093845" w:rsidRDefault="000D779E">
      <w:pPr>
        <w:pStyle w:val="Pagrindiniotekstotrauka"/>
        <w:tabs>
          <w:tab w:val="left" w:pos="720"/>
          <w:tab w:val="left" w:pos="1077"/>
          <w:tab w:val="left" w:pos="1418"/>
        </w:tabs>
      </w:pPr>
      <w:r>
        <w:lastRenderedPageBreak/>
        <w:t>Pavyzdžiai</w:t>
      </w:r>
    </w:p>
    <w:tbl>
      <w:tblPr>
        <w:tblStyle w:val="Lentelstinklelis"/>
        <w:tblW w:w="9732" w:type="dxa"/>
        <w:tblLayout w:type="fixed"/>
        <w:tblLook w:val="04A0" w:firstRow="1" w:lastRow="0" w:firstColumn="1" w:lastColumn="0" w:noHBand="0" w:noVBand="1"/>
      </w:tblPr>
      <w:tblGrid>
        <w:gridCol w:w="9732"/>
      </w:tblGrid>
      <w:tr w:rsidR="00093845" w14:paraId="536155A6" w14:textId="77777777">
        <w:tc>
          <w:tcPr>
            <w:tcW w:w="9732" w:type="dxa"/>
          </w:tcPr>
          <w:p w14:paraId="22FA1503" w14:textId="77777777" w:rsidR="00093845" w:rsidRDefault="000D779E">
            <w:pPr>
              <w:pStyle w:val="Pagrindiniotekstotrauka"/>
              <w:tabs>
                <w:tab w:val="left" w:pos="720"/>
              </w:tabs>
            </w:pPr>
            <w:r>
              <w:t xml:space="preserve">1. Statybos įmonė „X“ planuoja ateityje plėstis, todėl susitarė su Vardeniu Pavardeniu, studijuojančiu universitete statybos inžineriją 3 semestre, apmokėti jo studijas su sąlyga, kad Vardenis Pavardenis, baigęs studijas ir gavęs bakalauro diplomą, dirbs statybos įmonėje „X“. </w:t>
            </w:r>
          </w:p>
          <w:p w14:paraId="6F04E4C9" w14:textId="77777777" w:rsidR="00093845" w:rsidRDefault="000D779E">
            <w:pPr>
              <w:pStyle w:val="Porat"/>
              <w:ind w:firstLine="709"/>
              <w:rPr>
                <w:lang w:val="lt-LT"/>
              </w:rPr>
            </w:pPr>
            <w:r>
              <w:rPr>
                <w:lang w:val="lt-LT"/>
              </w:rPr>
              <w:t xml:space="preserve">Už trečio semestro studijas Vardenis Pavardenis susimokėjo pats, o patirtas 1500 Lt išlaidas vienetas jam kompensavo. Kadangi vienetas mokymo įstaigai mokėjo netiesiogiai, todėl Vardeniui Pavardeniui kompensuota suma įmonės ilgalaikiam materialiajam turtui nepriskiriama. </w:t>
            </w:r>
          </w:p>
          <w:p w14:paraId="29C9E4EA" w14:textId="77777777" w:rsidR="00093845" w:rsidRDefault="000D779E">
            <w:pPr>
              <w:pStyle w:val="Porat"/>
              <w:ind w:firstLine="709"/>
              <w:rPr>
                <w:lang w:val="lt-LT"/>
              </w:rPr>
            </w:pPr>
            <w:r>
              <w:rPr>
                <w:lang w:val="lt-LT"/>
              </w:rPr>
              <w:t>Nuo 2012 m. kovo mėn. statybos įmonė ,,X“ tiesiogiai aukštajai mokyklai mokėjo sumas už Vardenio Pavardenio atitinkamo semestro studijas (po 1 500 Lt už semestrą) ir sumokėtas sumas kaupė iki tol, kol Vardenis Pavardenis (baigęs studijas) įsidarbino statybos įmonėje „X“, t.y. iki 2014 m. rugpjūčio mėnesio. Sukauptą tiesiogiai universitetui sumokėtą išlaidų sumą, t.y. 7 500 Lt (2172 Eur) (1 500 Lt x 5 semestrai), 2014 m. rugpjūčio mėn. statybos įmonė „X“ priskyrė ilgalaikiam nematerialiajam turtui ir nuo 2014 m. rugsėjo mėn. pradėjo jį amortizuoti. Statybos įmonė „X“ ,,Kitas nematerialusis turtas</w:t>
            </w:r>
            <w:r>
              <w:rPr>
                <w:iCs/>
                <w:lang w:val="lt-LT"/>
              </w:rPr>
              <w:t xml:space="preserve">“ turto grupei yra nustačiusi </w:t>
            </w:r>
            <w:r>
              <w:rPr>
                <w:lang w:val="lt-LT"/>
              </w:rPr>
              <w:t>4 metų amortizacijos normatyvą, todėl minėto nematerialiojo ilgalaikio turto įsigijimo kaina (sukauptų išlaidų, patirtų apmokant Vardenio Pavardenio studijų išlaidas, suma) į sąnaudas dalimis bus įskaitoma per 4 metų (48 mėn.) amortizacijos laikotarpį. Vadinasi, statybos įmonė „X“, apskaičiuodama apmokestinamąjį pelną, sąnaudoms galėtų priskirti:</w:t>
            </w:r>
          </w:p>
          <w:p w14:paraId="415F9C15" w14:textId="77777777" w:rsidR="00093845" w:rsidRDefault="000D779E">
            <w:pPr>
              <w:pStyle w:val="Pagrindiniotekstotrauka"/>
              <w:tabs>
                <w:tab w:val="left" w:pos="720"/>
                <w:tab w:val="left" w:pos="1077"/>
                <w:tab w:val="left" w:pos="1418"/>
              </w:tabs>
            </w:pPr>
            <w:r w:rsidRPr="0065344A">
              <w:rPr>
                <w:lang w:val="lt-LT"/>
              </w:rPr>
              <w:t xml:space="preserve"> </w:t>
            </w:r>
            <w:r>
              <w:t>2014 metais – 181 (Eur) 625 Lt (7 500 Lt : 48 mėn. x 4 mėn.),</w:t>
            </w:r>
          </w:p>
          <w:p w14:paraId="0BF39884" w14:textId="77777777" w:rsidR="00093845" w:rsidRDefault="000D779E">
            <w:pPr>
              <w:pStyle w:val="Pagrindiniotekstotrauka"/>
              <w:tabs>
                <w:tab w:val="left" w:pos="720"/>
                <w:tab w:val="left" w:pos="1077"/>
                <w:tab w:val="left" w:pos="1418"/>
              </w:tabs>
            </w:pPr>
            <w:r>
              <w:t xml:space="preserve"> 2015-2017 metais po 543 Eur (2172 Eur : 48 mėn. x 12 mėn.), </w:t>
            </w:r>
          </w:p>
          <w:p w14:paraId="1B2EACFD" w14:textId="77777777" w:rsidR="00093845" w:rsidRDefault="000D779E">
            <w:pPr>
              <w:pStyle w:val="Pagrindiniotekstotrauka"/>
              <w:tabs>
                <w:tab w:val="left" w:pos="720"/>
                <w:tab w:val="left" w:pos="1077"/>
                <w:tab w:val="left" w:pos="1418"/>
              </w:tabs>
            </w:pPr>
            <w:r>
              <w:t xml:space="preserve"> 2018 metais – 362 (Eur) (2172 Eur : 48 mėn. x 8 mėn.) šio turto amortizacijos sumą, tačiau tik tuo atveju, jei Vardenis Pavardenis dirbs toje įmonėje ir eis su įgytu išsilavinimu susijusias pareigas.</w:t>
            </w:r>
          </w:p>
          <w:p w14:paraId="68AF1FC1" w14:textId="77777777" w:rsidR="00093845" w:rsidRDefault="000D779E">
            <w:pPr>
              <w:pStyle w:val="Pagrindiniotekstotrauka"/>
              <w:tabs>
                <w:tab w:val="left" w:pos="720"/>
                <w:tab w:val="left" w:pos="1077"/>
                <w:tab w:val="left" w:pos="1418"/>
              </w:tabs>
              <w:ind w:firstLine="709"/>
            </w:pPr>
            <w:r>
              <w:t>Tačiau Vardenis Pavardenis 2015 m. balandžio mėnesį nutraukė su statybos įmone ,,X“ darbo sutartį ir išėjo iš darbo. Todėl įmonė sąnaudoms galės priskirti tik 2014 m. rugsėjo – 2015 m. balandžio mėnesiais apskaičiuotą ilgalaikio nematerialiojo turto (sukauptų išlaidų, patirtų apmokant Vardenio Pavardenio studijų išlaidas) amortizacijos sąnaudų sumą, t. y. 362 Eur (181 Eur + 181 Eur). Kitos ilgalaikio nematerialiojo turto įsigijimo kainos dalies, t. y. 1810 Eur (2172 Eur – 362 Eur) statybos įmonė ,,X“ ribojamų dydžių leidžiamiems atskaitymams priskirti negalės.</w:t>
            </w:r>
          </w:p>
          <w:p w14:paraId="216211A5" w14:textId="77777777" w:rsidR="00093845" w:rsidRDefault="000D779E">
            <w:pPr>
              <w:pStyle w:val="Pagrindiniotekstotrauka"/>
              <w:tabs>
                <w:tab w:val="left" w:pos="720"/>
                <w:tab w:val="left" w:pos="1077"/>
                <w:tab w:val="left" w:pos="1418"/>
              </w:tabs>
              <w:ind w:firstLine="709"/>
            </w:pPr>
            <w:r>
              <w:t>2. Įmonei „Y“ reikalingas juristas, todėl įmonės vadovas susitarė su Vardeniu Pavardeniu, studijuojančiu teisę 2 semestre, apmokėti jo studijas su sąlyga, kad Vardenis Pavardenis dirbs įmonėje „Y“.</w:t>
            </w:r>
          </w:p>
          <w:p w14:paraId="4A4BBB4F" w14:textId="77777777" w:rsidR="00093845" w:rsidRDefault="000D779E">
            <w:pPr>
              <w:pStyle w:val="Pagrindiniotekstotrauka"/>
              <w:tabs>
                <w:tab w:val="left" w:pos="720"/>
                <w:tab w:val="left" w:pos="1077"/>
                <w:tab w:val="left" w:pos="1418"/>
              </w:tabs>
            </w:pPr>
            <w:r>
              <w:t xml:space="preserve">Nuo 2013 m. rugsėjo mėn. įmonė ,,Y“ tiesiogiai aukštajai mokyklai mokėjo sumas už Vardenio Pavardenio atitinkamo semestro studijas (po 2 000 Lt (579 Eur) už semestrą) ir tas sumokėtas sumas kaupė iki tol, kol Vardenis Pavardenis įsidarbino įmonėje „Y“ juristu, t.y. iki 2015 m. birželio mėnesio (Vardenis Pavardenis įsidarbino įmonėje „Y“ juristu baigęs 6 semestrą, t.y. nebaigęs studijų). Sukauptą minėtų išlaidų sumą, t.y. 2316 Eur (579 Eur x 4 semestrai), 2015 m. </w:t>
            </w:r>
            <w:r>
              <w:lastRenderedPageBreak/>
              <w:t>birželio mėn. įmonė „Y“ priskyrė ilgalaikiam nematerialiajam turtui ir nuo 2015 m. liepos mėn. pradėjo jį amortizuoti.</w:t>
            </w:r>
          </w:p>
          <w:p w14:paraId="565DB3C5" w14:textId="77777777" w:rsidR="00093845" w:rsidRDefault="000D779E">
            <w:pPr>
              <w:pStyle w:val="Pagrindiniotekstotrauka"/>
              <w:tabs>
                <w:tab w:val="left" w:pos="720"/>
                <w:tab w:val="left" w:pos="1077"/>
                <w:tab w:val="left" w:pos="1418"/>
              </w:tabs>
            </w:pPr>
            <w:r>
              <w:t>Įmonė „X“ ,,Kitas nematerialusis turtas</w:t>
            </w:r>
            <w:r>
              <w:rPr>
                <w:iCs/>
              </w:rPr>
              <w:t xml:space="preserve">“ turto grupei yra nustačiusi </w:t>
            </w:r>
            <w:r>
              <w:t>4 metų amortizacijos normatyvą, todėl minėto nematerialiojo ilgalaikio turto įsigijimo kaina (sukauptų išlaidų, patirtų apmokant Vardenio Pavardenio studijų išlaidas, suma) į sąnaudas dalimis bus įskaitoma per 4 metų (48 mėn.) amortizacijos laikotarpį. Vadinasi, įmonė „Y“, apskaičiuodama apmokestinamąjį pelną, sąnaudoms galėtų priskirti:</w:t>
            </w:r>
          </w:p>
          <w:p w14:paraId="63C65FE3" w14:textId="77777777" w:rsidR="00093845" w:rsidRDefault="000D779E">
            <w:pPr>
              <w:pStyle w:val="Pagrindiniotekstotrauka"/>
              <w:tabs>
                <w:tab w:val="left" w:pos="720"/>
                <w:tab w:val="left" w:pos="1077"/>
                <w:tab w:val="left" w:pos="1418"/>
              </w:tabs>
            </w:pPr>
            <w:r>
              <w:t>2015 metais – 290 Eur (2316 Eur : 48 mėn. x 6 mėn.),</w:t>
            </w:r>
          </w:p>
          <w:p w14:paraId="4C5960B4" w14:textId="77777777" w:rsidR="00093845" w:rsidRDefault="000D779E">
            <w:pPr>
              <w:pStyle w:val="Pagrindiniotekstotrauka"/>
              <w:tabs>
                <w:tab w:val="left" w:pos="720"/>
                <w:tab w:val="left" w:pos="1077"/>
                <w:tab w:val="left" w:pos="1418"/>
              </w:tabs>
            </w:pPr>
            <w:r>
              <w:t xml:space="preserve">2016-2018 metais po 579 Eur (2316 Eur : 48 mėn. x 12 mėn.), </w:t>
            </w:r>
          </w:p>
          <w:p w14:paraId="1BDFC00B" w14:textId="77777777" w:rsidR="00093845" w:rsidRDefault="000D779E">
            <w:pPr>
              <w:pStyle w:val="Pagrindiniotekstotrauka"/>
              <w:tabs>
                <w:tab w:val="left" w:pos="720"/>
                <w:tab w:val="left" w:pos="1077"/>
                <w:tab w:val="left" w:pos="1418"/>
              </w:tabs>
            </w:pPr>
            <w:r>
              <w:t>2019 metais – 290 Eur (2316 Eur : 48 mėn. x 6 mėn.) šio turto amortizacijos sumą, tačiau tik tuo atveju, jei Vardenis Pavardenis dirbs toje įmonėje ir eis su įgytu išsilavinimu susijusias pareigas.</w:t>
            </w:r>
          </w:p>
          <w:p w14:paraId="71D739FD" w14:textId="77777777" w:rsidR="00093845" w:rsidRDefault="000D779E">
            <w:pPr>
              <w:pStyle w:val="Pagrindiniotekstotrauka"/>
              <w:tabs>
                <w:tab w:val="left" w:pos="720"/>
                <w:tab w:val="left" w:pos="1077"/>
                <w:tab w:val="left" w:pos="1418"/>
              </w:tabs>
            </w:pPr>
            <w:r>
              <w:t>Už Vardenio Pavardenio 7 ir 8 semestro studijas sumokėtas sumas įmonė gali atskaityti iš pajamų PMĮ 26 str. 1 dalyje nustatyta tvarka.</w:t>
            </w:r>
          </w:p>
          <w:p w14:paraId="68D89080" w14:textId="77777777" w:rsidR="00093845" w:rsidRDefault="000D779E">
            <w:pPr>
              <w:pStyle w:val="Pagrindiniotekstotrauka"/>
              <w:tabs>
                <w:tab w:val="left" w:pos="720"/>
                <w:tab w:val="left" w:pos="1077"/>
                <w:tab w:val="left" w:pos="1418"/>
              </w:tabs>
            </w:pPr>
            <w:r>
              <w:t>3. Baldų gamybos įmonė „Z“ planuoja ateityje plėstis, todėl susitarė su Vardeniu Pavardeniu, besimokančiu nevalstybinėje profesinėje mokykloje, turinčioje Lietuvos Respublikos švietimo ir mokslo ministerijos išduotą licenciją vykdyti pirminio profesinio mokymo programas, baldžiaus specialybės (mokymai trunka 3 metus), apmokėti jo studijas su sąlyga, kad Vardenis Pavardenis, įgijęs baldžiaus profesinę kvalifikaciją dirbs įmonėje „Z“.</w:t>
            </w:r>
          </w:p>
          <w:p w14:paraId="572C666D" w14:textId="77777777" w:rsidR="00093845" w:rsidRDefault="000D779E">
            <w:pPr>
              <w:pStyle w:val="Pagrindiniotekstotrauka"/>
              <w:tabs>
                <w:tab w:val="left" w:pos="720"/>
                <w:tab w:val="left" w:pos="1077"/>
                <w:tab w:val="left" w:pos="1418"/>
              </w:tabs>
            </w:pPr>
            <w:r>
              <w:t>Nuo 2012 m. rugsėjo mėn. įmonė ,,Z“ tiesiogiai profesinei mokyklai mokėjo sumas už Vardenio Pavardenio mokslą (po 2 072 Lt (600 Eur) per metus) ir tas sumokėtas sumas kaupė iki tol, kol Vardenis Pavardenis įsidarbino įmonėje „Z“ baldžiumi, t.y. iki 2015 m. birželio mėnesio. Sukauptą minėtų išlaidų sumą, t.y. 1800 Eur (600 Eur x 3 metai), 2015 m. birželio mėn. įmonė „Z“ priskyrė ilgalaikiam nematerialiajam turtui ir nuo 2015 m. liepos mėn. pradėjo jį amortizuoti.</w:t>
            </w:r>
          </w:p>
          <w:p w14:paraId="5D623AF6" w14:textId="77777777" w:rsidR="00093845" w:rsidRDefault="000D779E">
            <w:pPr>
              <w:pStyle w:val="Pagrindiniotekstotrauka"/>
              <w:tabs>
                <w:tab w:val="left" w:pos="720"/>
              </w:tabs>
            </w:pPr>
            <w:r>
              <w:t>Baldų gamybos įmonė „Z“, apskaičiuodama apmokestinamąjį pelną, sąnaudoms galėtų priskirti:</w:t>
            </w:r>
          </w:p>
          <w:p w14:paraId="1C7CE7A1" w14:textId="77777777" w:rsidR="00093845" w:rsidRDefault="000D779E">
            <w:pPr>
              <w:pStyle w:val="Pagrindiniotekstotrauka"/>
              <w:tabs>
                <w:tab w:val="left" w:pos="720"/>
                <w:tab w:val="left" w:pos="1077"/>
                <w:tab w:val="left" w:pos="1418"/>
              </w:tabs>
            </w:pPr>
            <w:r>
              <w:t xml:space="preserve"> 2015 metais – 225 (Eur) (1800 Eur : 48 mėn. x 6 mėn.),</w:t>
            </w:r>
          </w:p>
          <w:p w14:paraId="7ECED36A" w14:textId="77777777" w:rsidR="00093845" w:rsidRDefault="000D779E">
            <w:pPr>
              <w:pStyle w:val="Pagrindiniotekstotrauka"/>
              <w:tabs>
                <w:tab w:val="left" w:pos="720"/>
                <w:tab w:val="left" w:pos="1077"/>
                <w:tab w:val="left" w:pos="1418"/>
              </w:tabs>
            </w:pPr>
            <w:r>
              <w:t xml:space="preserve"> 2016-2018 metais po 450 Eur (1800 Eur : 48 mėn. x 12 mėn.), </w:t>
            </w:r>
          </w:p>
          <w:p w14:paraId="5F919818" w14:textId="77777777" w:rsidR="00093845" w:rsidRDefault="000D779E">
            <w:pPr>
              <w:pStyle w:val="Pagrindiniotekstotrauka"/>
              <w:tabs>
                <w:tab w:val="left" w:pos="720"/>
                <w:tab w:val="left" w:pos="1077"/>
                <w:tab w:val="left" w:pos="1418"/>
              </w:tabs>
            </w:pPr>
            <w:r>
              <w:t xml:space="preserve"> 2019 metais –225 (Eur) (1800 Eur : 48 mėn. x 6 mėn.) šio turto amortizacijos sumą, tačiau tik tuo atveju, jei Vardenis Pavardenis dirbs toje įmonėje baldžiumi.</w:t>
            </w:r>
          </w:p>
          <w:p w14:paraId="6F84C408" w14:textId="77777777" w:rsidR="00093845" w:rsidRDefault="000D779E">
            <w:pPr>
              <w:ind w:firstLine="709"/>
              <w:jc w:val="both"/>
            </w:pPr>
            <w:r>
              <w:rPr>
                <w:sz w:val="22"/>
                <w:szCs w:val="22"/>
              </w:rPr>
              <w:t>(pavyzdyje litai į eurus perskaičiuojami taikant nustatytą kursą</w:t>
            </w:r>
            <w:r>
              <w:rPr>
                <w:sz w:val="18"/>
                <w:szCs w:val="18"/>
              </w:rPr>
              <w:t xml:space="preserve"> – </w:t>
            </w:r>
            <w:r>
              <w:rPr>
                <w:bCs/>
              </w:rPr>
              <w:t>1 euras lygu 3,45280 lito</w:t>
            </w:r>
            <w:r>
              <w:rPr>
                <w:sz w:val="18"/>
                <w:szCs w:val="18"/>
              </w:rPr>
              <w:t>)</w:t>
            </w:r>
          </w:p>
        </w:tc>
      </w:tr>
    </w:tbl>
    <w:p w14:paraId="581FAD20" w14:textId="77777777" w:rsidR="00093845" w:rsidRDefault="00093845">
      <w:pPr>
        <w:pStyle w:val="Pagrindiniotekstotrauka"/>
        <w:tabs>
          <w:tab w:val="left" w:pos="720"/>
          <w:tab w:val="left" w:pos="1077"/>
          <w:tab w:val="left" w:pos="1418"/>
        </w:tabs>
      </w:pPr>
    </w:p>
    <w:p w14:paraId="52418D13" w14:textId="77777777" w:rsidR="00093845" w:rsidRDefault="000D779E">
      <w:pPr>
        <w:pStyle w:val="Pagrindiniotekstotrauka"/>
        <w:tabs>
          <w:tab w:val="left" w:pos="720"/>
          <w:tab w:val="left" w:pos="1077"/>
          <w:tab w:val="left" w:pos="1418"/>
        </w:tabs>
      </w:pPr>
      <w:r>
        <w:t>9. Jeigu vieneto sukauptų išlaidų, skirtų fizinių asmenų, nesusijusių su vienetu darbo santykiais, mokymui apmokėti, suma yra mažesnė nei ,,Kitas nematerialusis turtas</w:t>
      </w:r>
      <w:r>
        <w:rPr>
          <w:iCs/>
        </w:rPr>
        <w:t>“ turto grupei</w:t>
      </w:r>
      <w:r>
        <w:t xml:space="preserve"> vieneto nustatyta minimali kaina ir dėl to šių išlaidų suma neatitinka ilgalaikiam turtui nustatytų kriterijų, tai vienetas, norėdamas šias išlaidas, apskaičiuojant apmokestinamąjį pelną, priskirti leidžiamiems atskaitymams, turi atitinkamai sumažinti minėtai turto grupei nustatytą minimalią kainą ir tas išlaidas priskirti ilgalaikiam nematerialiajam turtui. Kitu atveju tokios už asmens, nesusijusio su vienetu darbo santykiais, aukštojo išsilavinimo ir (arba) kvalifikacijos įgijimą sumokėtos sumos, priskiriamos neleidžiamiems atskaitymams.</w:t>
      </w:r>
      <w:r>
        <w:tab/>
      </w:r>
    </w:p>
    <w:p w14:paraId="37CDF3AF" w14:textId="77777777" w:rsidR="00093845" w:rsidRDefault="000D779E">
      <w:pPr>
        <w:pStyle w:val="Pagrindiniotekstotrauka"/>
        <w:tabs>
          <w:tab w:val="left" w:pos="720"/>
          <w:tab w:val="left" w:pos="1077"/>
          <w:tab w:val="left" w:pos="1418"/>
        </w:tabs>
        <w:ind w:right="-5"/>
        <w:rPr>
          <w:lang w:val="lt-LT"/>
        </w:rPr>
      </w:pPr>
      <w:r>
        <w:rPr>
          <w:lang w:val="lt-LT"/>
        </w:rPr>
        <w:t>(Pagal VMI prie FM 2015-08-18 raštą Nr. (32.42-31-1)-RM-18100)</w:t>
      </w:r>
    </w:p>
    <w:p w14:paraId="730A5BFC" w14:textId="77777777" w:rsidR="00093845" w:rsidRPr="00477AF7" w:rsidRDefault="000D779E" w:rsidP="00477AF7">
      <w:pPr>
        <w:spacing w:after="0"/>
        <w:jc w:val="both"/>
        <w:rPr>
          <w:b/>
          <w:lang w:val="lt-LT"/>
        </w:rPr>
      </w:pPr>
      <w:r>
        <w:rPr>
          <w:b/>
          <w:lang w:val="lt-LT" w:eastAsia="lt-LT"/>
        </w:rPr>
        <w:lastRenderedPageBreak/>
        <w:t xml:space="preserve">         4.  Trumpalaikis turtas</w:t>
      </w:r>
      <w:r w:rsidRPr="00477AF7">
        <w:rPr>
          <w:b/>
          <w:lang w:val="lt-LT" w:eastAsia="lt-LT"/>
        </w:rPr>
        <w:t xml:space="preserve"> – tai turtas, kuris gali būti naudojamas vieneto pajamoms uždirbti (ekonominei naudai gauti) ar šio Įstatymo 26 straipsnio 2 dalyje nurodytai naudai teikti trumpiau kaip vienerius metus, o jo įsigijimo kaina į vienetui leidžiamas atskaityti sąnaudas įskaitoma tą mokestinį laikotarpį, kurį šis turtas pradėtas naudoti.</w:t>
      </w:r>
    </w:p>
    <w:p w14:paraId="6F77C376" w14:textId="77777777" w:rsidR="00093845" w:rsidRPr="00582607" w:rsidRDefault="000D779E" w:rsidP="00477AF7">
      <w:pPr>
        <w:spacing w:after="0"/>
        <w:jc w:val="both"/>
        <w:rPr>
          <w:i/>
          <w:iCs/>
          <w:lang w:val="lt-LT"/>
        </w:rPr>
      </w:pPr>
      <w:r w:rsidRPr="00582607">
        <w:rPr>
          <w:i/>
          <w:lang w:val="lt-LT"/>
        </w:rPr>
        <w:t>(</w:t>
      </w:r>
      <w:r w:rsidRPr="00582607">
        <w:rPr>
          <w:i/>
        </w:rPr>
        <w:t>KEISTA:</w:t>
      </w:r>
      <w:r w:rsidRPr="00582607">
        <w:rPr>
          <w:i/>
          <w:lang w:val="lt-LT"/>
        </w:rPr>
        <w:t xml:space="preserve"> </w:t>
      </w:r>
      <w:r w:rsidRPr="00582607">
        <w:rPr>
          <w:i/>
        </w:rPr>
        <w:t>2009 12 09 įstatymu Nr. XI-539 (nuo 2009 12 28)</w:t>
      </w:r>
      <w:r w:rsidRPr="00582607">
        <w:rPr>
          <w:i/>
          <w:iCs/>
          <w:lang w:val="lt-LT"/>
        </w:rPr>
        <w:t xml:space="preserve">) </w:t>
      </w:r>
    </w:p>
    <w:p w14:paraId="60927BE1" w14:textId="77777777" w:rsidR="00093845" w:rsidRDefault="00093845" w:rsidP="00477AF7">
      <w:pPr>
        <w:spacing w:after="0"/>
        <w:ind w:firstLine="720"/>
        <w:jc w:val="both"/>
        <w:rPr>
          <w:iCs/>
          <w:lang w:val="lt-LT"/>
        </w:rPr>
      </w:pPr>
    </w:p>
    <w:p w14:paraId="6EA743DF" w14:textId="77777777" w:rsidR="00093845" w:rsidRDefault="000D779E" w:rsidP="00477AF7">
      <w:pPr>
        <w:spacing w:after="0"/>
        <w:ind w:firstLine="720"/>
        <w:jc w:val="both"/>
        <w:rPr>
          <w:b/>
          <w:bCs/>
          <w:iCs/>
          <w:lang w:val="lt-LT"/>
        </w:rPr>
      </w:pPr>
      <w:r w:rsidRPr="00477AF7">
        <w:rPr>
          <w:b/>
          <w:bCs/>
          <w:iCs/>
          <w:lang w:val="lt-LT"/>
        </w:rPr>
        <w:t>Komentaras</w:t>
      </w:r>
    </w:p>
    <w:p w14:paraId="21E3B9C0" w14:textId="77777777" w:rsidR="00093845" w:rsidRDefault="00093845" w:rsidP="00477AF7">
      <w:pPr>
        <w:spacing w:after="0"/>
        <w:ind w:firstLine="720"/>
        <w:jc w:val="both"/>
        <w:rPr>
          <w:b/>
          <w:bCs/>
          <w:iCs/>
          <w:lang w:val="lt-LT"/>
        </w:rPr>
      </w:pPr>
    </w:p>
    <w:p w14:paraId="3859B86B" w14:textId="77777777" w:rsidR="00900C84" w:rsidRDefault="00900C84" w:rsidP="00900C84">
      <w:pPr>
        <w:ind w:firstLine="720"/>
        <w:jc w:val="both"/>
      </w:pPr>
      <w:r>
        <w:t>Vieną ar kitą turto objektą priskiriant ilgalaikiam ar trumpalaikiam turtui atsižvelgiama į to turto pobūdį, jo naudojimo vienete laiką bei įsigijimo kainą (žr. šio PMĮ straipsnio 3 dalies komentarą). Todėl turtas, kurio vertė mažesnė už nusistatytąją pagal PMĮ 13 str. 3 dalį, nors ir naudojamas ilgiau kaip vienerius metus, pelno mokesčio apskaičiavimo atžvilgiu taip pat laikomas trumpalaikiu.</w:t>
      </w:r>
    </w:p>
    <w:p w14:paraId="6504A727" w14:textId="77777777" w:rsidR="00093845" w:rsidRDefault="00093845">
      <w:pPr>
        <w:pStyle w:val="Pagrindiniotekstotrauka"/>
        <w:tabs>
          <w:tab w:val="left" w:pos="720"/>
          <w:tab w:val="left" w:pos="1077"/>
          <w:tab w:val="left" w:pos="1418"/>
        </w:tabs>
        <w:ind w:right="-5"/>
        <w:rPr>
          <w:rFonts w:ascii="Times New Roman" w:hAnsi="Times New Roman"/>
          <w:lang w:val="lt-LT"/>
        </w:rPr>
      </w:pPr>
    </w:p>
    <w:p w14:paraId="7E8D6B8A" w14:textId="77777777" w:rsidR="00093845" w:rsidRDefault="000D779E">
      <w:pPr>
        <w:pStyle w:val="Antrat1"/>
        <w:jc w:val="both"/>
        <w:rPr>
          <w:bCs w:val="0"/>
          <w:szCs w:val="20"/>
          <w:lang w:val="lt-LT"/>
        </w:rPr>
      </w:pPr>
      <w:bookmarkStart w:id="258" w:name="_14_straipsnis._Turto"/>
      <w:bookmarkEnd w:id="258"/>
      <w:r>
        <w:rPr>
          <w:bCs w:val="0"/>
          <w:lang w:val="lt-LT"/>
        </w:rPr>
        <w:t xml:space="preserve">14 STRAIPSNIS. Turto įsigijimo kaina </w:t>
      </w:r>
    </w:p>
    <w:p w14:paraId="12638E50" w14:textId="77777777" w:rsidR="00157E1D" w:rsidRDefault="00157E1D" w:rsidP="00157E1D">
      <w:pPr>
        <w:pStyle w:val="Pagrindiniotekstotrauka"/>
        <w:tabs>
          <w:tab w:val="left" w:pos="720"/>
          <w:tab w:val="left" w:pos="1077"/>
          <w:tab w:val="left" w:pos="1418"/>
        </w:tabs>
        <w:ind w:firstLine="567"/>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įsigijimo kaina - išlaidos, patirtos įsigyjant turtą, įskaitant sumokėtus komisinius atlyginimus bei mokesčius (rinkliavas), išskyrus Pridėtinės vertės mokestį, susijusius su šio turto įsigijimu. </w:t>
      </w:r>
    </w:p>
    <w:p w14:paraId="10574C3C" w14:textId="77777777" w:rsidR="00157E1D" w:rsidRDefault="00157E1D" w:rsidP="00157E1D">
      <w:pPr>
        <w:pStyle w:val="Pagrindiniotekstotrauka"/>
        <w:tabs>
          <w:tab w:val="left" w:pos="720"/>
          <w:tab w:val="left" w:pos="1077"/>
          <w:tab w:val="left" w:pos="1418"/>
        </w:tabs>
        <w:ind w:firstLine="567"/>
        <w:rPr>
          <w:rFonts w:ascii="Times New Roman" w:hAnsi="Times New Roman"/>
          <w:b/>
          <w:lang w:val="lt-LT"/>
        </w:rPr>
      </w:pPr>
      <w:r>
        <w:rPr>
          <w:rFonts w:ascii="Times New Roman" w:hAnsi="Times New Roman"/>
          <w:b/>
          <w:lang w:val="lt-LT"/>
        </w:rPr>
        <w:t>Komentaras</w:t>
      </w:r>
    </w:p>
    <w:p w14:paraId="001463FB" w14:textId="77777777" w:rsidR="00157E1D" w:rsidRDefault="00157E1D" w:rsidP="00157E1D">
      <w:pPr>
        <w:tabs>
          <w:tab w:val="left" w:pos="720"/>
          <w:tab w:val="left" w:pos="1077"/>
          <w:tab w:val="left" w:pos="1418"/>
        </w:tabs>
        <w:ind w:firstLine="567"/>
        <w:jc w:val="both"/>
        <w:rPr>
          <w:szCs w:val="20"/>
          <w:lang w:val="lt-LT"/>
        </w:rPr>
      </w:pPr>
      <w:r>
        <w:rPr>
          <w:lang w:val="lt-LT"/>
        </w:rPr>
        <w:t>1.</w:t>
      </w:r>
      <w:r>
        <w:rPr>
          <w:lang w:val="lt-LT"/>
        </w:rPr>
        <w:tab/>
        <w:t>Turto įsigijimo kaina yra išlaidos, patirtos įsigyjant turtą, įskaitant sumokėtus (taip pat mokėtinus)</w:t>
      </w:r>
      <w:r>
        <w:rPr>
          <w:color w:val="00FF00"/>
          <w:lang w:val="lt-LT"/>
        </w:rPr>
        <w:t xml:space="preserve"> </w:t>
      </w:r>
      <w:r>
        <w:rPr>
          <w:lang w:val="lt-LT"/>
        </w:rPr>
        <w:t xml:space="preserve">komisinius atlyginimus ir mokesčius (rinkliavas), susijusius su šio turto įsigijimu. </w:t>
      </w:r>
    </w:p>
    <w:p w14:paraId="294C40EB"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lang w:val="lt-LT"/>
        </w:rPr>
        <w:t>Pridėtinės vertės mokestis į turto įsigijimo kainą neįskaitomas, neatsižvelgiant į tai, ar vienetas yra PVM mokėtojas, ar ne. Šis mokestis į ribojamų dydžių leidžiamus atskaitymus įtraukiamas vadovaujantis PMĮ 24 straipsnio 2 dalimi.</w:t>
      </w:r>
    </w:p>
    <w:p w14:paraId="6D633BB4"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lang w:val="lt-LT"/>
        </w:rPr>
      </w:pPr>
      <w:r>
        <w:rPr>
          <w:rFonts w:ascii="Times New Roman" w:hAnsi="Times New Roman"/>
          <w:lang w:val="lt-LT"/>
        </w:rPr>
        <w:t>2.</w:t>
      </w:r>
      <w:r>
        <w:rPr>
          <w:rFonts w:ascii="Times New Roman" w:hAnsi="Times New Roman"/>
          <w:lang w:val="lt-LT"/>
        </w:rPr>
        <w:tab/>
        <w:t xml:space="preserve">Turto įsigijimo kaina jį perkant iš kitų asmenų turi būti nustatoma prie jo pirkimo kainos pridedant visus su pirkimu susijusius mokesčius (muitų, registravimo ir kt.), transportavimo, sumontavimo, patikrinimo, instaliavimo bei kitas tiesiogines išlaidas, susijusias su turto įsigijimu. Nereikšmingos (arba jeigu jos yra keletą mokestinių laikotarpių pastovios) trumpalaikio turto transportavimo ir jų paruošimo naudoti sumos gali būti neįskaičiuojamos į jo įsigijimo kainą, bet nurašomos kaip veiklos sąnaudos, t. y. priskiriamos leidžiamiems atskaitymams tą mokestinį laikotarpį, kurį jos patiriamos. </w:t>
      </w:r>
    </w:p>
    <w:p w14:paraId="12F6690C" w14:textId="77777777" w:rsidR="00157E1D" w:rsidRDefault="00157E1D" w:rsidP="00157E1D">
      <w:pPr>
        <w:pStyle w:val="Pagrindiniotekstotrauka"/>
        <w:tabs>
          <w:tab w:val="left" w:pos="720"/>
          <w:tab w:val="left" w:pos="1077"/>
          <w:tab w:val="left" w:pos="1418"/>
          <w:tab w:val="left" w:pos="9356"/>
        </w:tabs>
        <w:ind w:firstLine="567"/>
        <w:rPr>
          <w:lang w:val="lt-LT"/>
        </w:rPr>
      </w:pPr>
      <w:r>
        <w:rPr>
          <w:lang w:val="lt-LT"/>
        </w:rPr>
        <w:t>3.</w:t>
      </w:r>
      <w:r>
        <w:rPr>
          <w:lang w:val="lt-LT"/>
        </w:rPr>
        <w:tab/>
        <w:t xml:space="preserve">Jei turtas gaminamas, tai jo įsigijimo kaina turi būti nustatoma prie pagrindinių žaliavų, medžiagų, komplektuojančiųjų gaminių, sunaudotų gaminant šį turtą, įsigijimo kainos pridedant tiesiogines darbo ir netiesiogines (pridėtines) gamybos išlaidas, </w:t>
      </w:r>
      <w:r w:rsidRPr="00B01B92">
        <w:rPr>
          <w:lang w:val="lt-LT"/>
        </w:rPr>
        <w:t>patirtas</w:t>
      </w:r>
      <w:r w:rsidRPr="007C2248">
        <w:rPr>
          <w:b/>
          <w:lang w:val="lt-LT"/>
        </w:rPr>
        <w:t xml:space="preserve"> </w:t>
      </w:r>
      <w:r>
        <w:rPr>
          <w:lang w:val="lt-LT"/>
        </w:rPr>
        <w:t xml:space="preserve">gaminant šį turtą. Į tokio turto įsigijimo kainą neįtraukiamos ataskaitinio laikotarpio veiklos sąnaudos (pardavimų, bendrosios ir administracinės). </w:t>
      </w:r>
    </w:p>
    <w:p w14:paraId="1228A031" w14:textId="77777777" w:rsidR="00157E1D" w:rsidRDefault="00157E1D" w:rsidP="00157E1D">
      <w:pPr>
        <w:pStyle w:val="HTMLiankstoformatuotas"/>
        <w:ind w:firstLine="567"/>
        <w:jc w:val="both"/>
        <w:rPr>
          <w:rFonts w:ascii="Times New Roman" w:hAnsi="Times New Roman" w:cs="Times New Roman"/>
          <w:sz w:val="24"/>
          <w:lang w:val="lt-LT"/>
        </w:rPr>
      </w:pPr>
      <w:r>
        <w:rPr>
          <w:rFonts w:ascii="Times New Roman" w:hAnsi="Times New Roman" w:cs="Times New Roman"/>
          <w:sz w:val="24"/>
          <w:lang w:val="lt-LT"/>
        </w:rPr>
        <w:t>Tais atvejais, kai vienetas nusprendžia nugriauti įsigytą ilgalaikį materialų turtą (pvz. pastatą) ir jo vietoje statyti naują savo veiklai vykdyti reikalingą ilgalaikį turtą (pastatą), tai nugriauto turto (pastato) nenudėvėtoji vertė (įsigijimo kainos ir sukaupto nusidėvėjimo skirtumas) yra įtraukiama į statomo objekto savikainą.</w:t>
      </w:r>
    </w:p>
    <w:p w14:paraId="3B963F6F" w14:textId="77777777" w:rsidR="00157E1D" w:rsidRDefault="00157E1D" w:rsidP="00157E1D">
      <w:pPr>
        <w:pStyle w:val="HTMLiankstoformatuotas"/>
        <w:ind w:firstLine="567"/>
        <w:jc w:val="both"/>
        <w:rPr>
          <w:rFonts w:ascii="Times New Roman" w:hAnsi="Times New Roman" w:cs="Times New Roman"/>
          <w:sz w:val="24"/>
          <w:lang w:val="lt-LT"/>
        </w:rPr>
      </w:pPr>
      <w:r>
        <w:rPr>
          <w:rFonts w:ascii="Times New Roman" w:hAnsi="Times New Roman" w:cs="Times New Roman"/>
          <w:sz w:val="24"/>
          <w:lang w:val="lt-LT"/>
        </w:rPr>
        <w:t>Tačiau, jeigu vienetas įsigytą turtą nugriauna, tačiau jo vietoje nestato naujo savo veiklai vykdyti reikalingo ilgalaikio turto (pastato), tai nugriauto turto (pastato) nenudėvėtoji vertė (įsigijimo kainos ir sukaupto nusidėvėjimo skirtumas) leidžiamiems atskaitymams nepriskiriama, nes turtas nenaudojamas pajamoms uždirbti.</w:t>
      </w:r>
    </w:p>
    <w:p w14:paraId="0E0C51AE" w14:textId="77777777" w:rsidR="00157E1D" w:rsidRDefault="00157E1D" w:rsidP="00157E1D">
      <w:pPr>
        <w:pStyle w:val="HTMLiankstoformatuotas"/>
        <w:tabs>
          <w:tab w:val="clear" w:pos="916"/>
          <w:tab w:val="left" w:pos="851"/>
          <w:tab w:val="left" w:pos="1134"/>
        </w:tabs>
        <w:ind w:firstLine="567"/>
        <w:jc w:val="both"/>
        <w:rPr>
          <w:rFonts w:ascii="Times New Roman" w:hAnsi="Times New Roman" w:cs="Times New Roman"/>
          <w:sz w:val="24"/>
          <w:lang w:val="lt-LT"/>
        </w:rPr>
      </w:pPr>
      <w:r>
        <w:rPr>
          <w:rFonts w:ascii="Times New Roman" w:hAnsi="Times New Roman" w:cs="Times New Roman"/>
          <w:sz w:val="24"/>
          <w:lang w:val="lt-LT"/>
        </w:rPr>
        <w:lastRenderedPageBreak/>
        <w:t xml:space="preserve">   </w:t>
      </w:r>
      <w:r>
        <w:rPr>
          <w:rFonts w:ascii="Times New Roman" w:hAnsi="Times New Roman"/>
          <w:sz w:val="24"/>
          <w:lang w:val="lt-LT"/>
        </w:rPr>
        <w:t>4.    Pagal lizingo (finansinės nuomos) sutartį valdomo ilgalaikio materialiojo turto įsigijimo kaina turi būti nustatoma prie lizingo (finansinės nuomos) sutartyje nurodytos turto vertės dengimo sumos (neįskaitant palūkanų) pridedant visus su pirkimu susijusius mokesčius (muitų, registravimo ir kt.), transportavimo, sumontavimo, patikrinimo, instaliavimo bei kitas tiesiogines išlaidas, susijusias su šio turto naudojimo parengimu.</w:t>
      </w:r>
      <w:r>
        <w:rPr>
          <w:lang w:val="lt-LT"/>
        </w:rPr>
        <w:t xml:space="preserve"> </w:t>
      </w:r>
    </w:p>
    <w:p w14:paraId="09A63736" w14:textId="77777777" w:rsidR="00157E1D" w:rsidRDefault="00157E1D" w:rsidP="00157E1D">
      <w:pPr>
        <w:pStyle w:val="Pagrindiniotekstotrauka"/>
        <w:tabs>
          <w:tab w:val="left" w:pos="720"/>
          <w:tab w:val="left" w:pos="1077"/>
          <w:tab w:val="left" w:pos="1418"/>
          <w:tab w:val="left" w:pos="9356"/>
        </w:tabs>
        <w:ind w:firstLine="567"/>
        <w:rPr>
          <w:lang w:val="lt-LT"/>
        </w:rPr>
      </w:pPr>
      <w:r w:rsidRPr="00B01B92">
        <w:rPr>
          <w:lang w:val="lt-LT"/>
        </w:rPr>
        <w:t>V</w:t>
      </w:r>
      <w:r>
        <w:rPr>
          <w:lang w:val="lt-LT"/>
        </w:rPr>
        <w:t xml:space="preserve">ienetai, kurie tvarkydami </w:t>
      </w:r>
      <w:r w:rsidRPr="00B01B92">
        <w:rPr>
          <w:lang w:val="lt-LT"/>
        </w:rPr>
        <w:t>finansinę</w:t>
      </w:r>
      <w:r>
        <w:rPr>
          <w:b/>
          <w:lang w:val="lt-LT"/>
        </w:rPr>
        <w:t xml:space="preserve"> </w:t>
      </w:r>
      <w:r>
        <w:rPr>
          <w:lang w:val="lt-LT"/>
        </w:rPr>
        <w:t xml:space="preserve">apskaitą ir rengdami finansinę atskaitomybę, privalo vadovautis ar vadovaujasi VAS nuostatomis, įsigydami ilgalaikį turtą pagal lizingo (finansinės nuomos) sutartį, kurioje nenumatytos palūkanos, to turto įsigijimo kainą gali apskaičiuoti diskontuojant pagal vidutinę rinkos palūkanų normą minimalių lizingo įmokų sumą. Tokiu atveju, apskaičiuojant apmokestinamąjį pelną, nuo šios apskaičiuotos turto įsigijimo kainos </w:t>
      </w:r>
      <w:r>
        <w:rPr>
          <w:iCs/>
          <w:lang w:val="lt-LT"/>
        </w:rPr>
        <w:t>skaičiuojamas</w:t>
      </w:r>
      <w:r>
        <w:rPr>
          <w:lang w:val="lt-LT"/>
        </w:rPr>
        <w:t xml:space="preserve"> </w:t>
      </w:r>
      <w:r>
        <w:rPr>
          <w:iCs/>
          <w:lang w:val="lt-LT"/>
        </w:rPr>
        <w:t xml:space="preserve">turto nusidėvėjimas arba amortizacija. </w:t>
      </w:r>
      <w:r>
        <w:rPr>
          <w:lang w:val="lt-LT"/>
        </w:rPr>
        <w:t>Skirtumas (palūkanų tikroji rinkos kaina) pripažįstamas palūkanų sąnaudomis, priskiriamomis leidžiamiems atskaitymams, visą sutartyje nustatytą lizingo laikotarpį</w:t>
      </w:r>
      <w:r>
        <w:rPr>
          <w:iCs/>
          <w:lang w:val="lt-LT"/>
        </w:rPr>
        <w:t>.</w:t>
      </w:r>
    </w:p>
    <w:p w14:paraId="48A0D288" w14:textId="77777777" w:rsidR="00157E1D" w:rsidRPr="00862856" w:rsidRDefault="00157E1D" w:rsidP="00157E1D">
      <w:pPr>
        <w:pStyle w:val="HTMLiankstoformatuotas"/>
        <w:ind w:firstLine="567"/>
        <w:jc w:val="both"/>
        <w:rPr>
          <w:rFonts w:ascii="Times New Roman" w:hAnsi="Times New Roman"/>
          <w:sz w:val="24"/>
          <w:szCs w:val="24"/>
          <w:lang w:val="lt-LT"/>
        </w:rPr>
      </w:pPr>
      <w:r w:rsidRPr="00862856">
        <w:rPr>
          <w:rFonts w:ascii="Times New Roman" w:hAnsi="Times New Roman"/>
          <w:sz w:val="24"/>
          <w:szCs w:val="24"/>
          <w:lang w:val="lt-LT"/>
        </w:rPr>
        <w:t>5.</w:t>
      </w:r>
      <w:r w:rsidRPr="00862856">
        <w:rPr>
          <w:rFonts w:ascii="Times New Roman" w:hAnsi="Times New Roman"/>
          <w:sz w:val="24"/>
          <w:szCs w:val="24"/>
          <w:lang w:val="lt-LT"/>
        </w:rPr>
        <w:tab/>
        <w:t>Jeigu vienetas turtą savo nuosavybėn gauna nemokamai ir nepatiria išlaidų (įskaitant mokesčių), susijusių su šio turto įsigijimu, tai pelno mokesčio apskaičiavimo atžvilgiu, vieneto nemokamai gauto turto įsigijimo kaina bus lygi nuliui ir tokio turto nusidėvėjimas arba amortizacija nebus skaičiuojama, jeigu PMĮ nenustatyta kitaip (pvz., reorganizavimo atveju).</w:t>
      </w:r>
    </w:p>
    <w:p w14:paraId="5CB982EC" w14:textId="77777777" w:rsidR="00157E1D" w:rsidRPr="00B01B92" w:rsidRDefault="00157E1D" w:rsidP="00157E1D">
      <w:pPr>
        <w:tabs>
          <w:tab w:val="left" w:pos="720"/>
          <w:tab w:val="left" w:pos="1077"/>
          <w:tab w:val="left" w:pos="1418"/>
        </w:tabs>
        <w:ind w:firstLine="567"/>
        <w:jc w:val="both"/>
        <w:rPr>
          <w:lang w:val="lt-LT"/>
        </w:rPr>
      </w:pPr>
      <w:r>
        <w:rPr>
          <w:lang w:val="lt-LT"/>
        </w:rPr>
        <w:t>6.</w:t>
      </w:r>
      <w:r>
        <w:rPr>
          <w:lang w:val="lt-LT"/>
        </w:rPr>
        <w:tab/>
      </w:r>
      <w:r w:rsidRPr="00292B8A">
        <w:rPr>
          <w:lang w:val="lt-LT" w:eastAsia="lt-LT"/>
        </w:rPr>
        <w:t xml:space="preserve">Apskaičiuojant apmokestinamąjį pelną, dotacija patirtoms sąnaudoms kompensuoti nepriskiriama apmokestinamosioms pajamoms. Šiuo atveju mažinama sąnaudų, kurioms kompensuoti dotacija gauta, suma. </w:t>
      </w:r>
      <w:r w:rsidRPr="00B01B92">
        <w:rPr>
          <w:lang w:val="lt-LT" w:eastAsia="lt-LT"/>
        </w:rPr>
        <w:t>Todėl v</w:t>
      </w:r>
      <w:r w:rsidRPr="00B01B92">
        <w:rPr>
          <w:lang w:val="lt-LT"/>
        </w:rPr>
        <w:t>ienetas, įsigijęs turtą iš nacionalinio biudžeto, Valstybinio socialinio draudimo fondo biudžeto, Privalomojo sveikatos draudimo fondo biudžeto, kitų valstybės pinigų fondų, savivaldybių fondų, Europos Sąjungos ir kitos finansinės paramos lėšų, apskaičiuodamas apmokestinamąjį pelną, už iš aukščiau minėtų finansinės paramos lėšų įsigyto ilgalaikio turto (ar jo dalies) nusidėvėjimo nepriskiria ribojamų dydžių leidžiamiems atskaitymams, o panaudotos dotacijos suma mažina</w:t>
      </w:r>
      <w:r w:rsidRPr="00B01B92">
        <w:t xml:space="preserve"> </w:t>
      </w:r>
      <w:r w:rsidRPr="00B01B92">
        <w:rPr>
          <w:lang w:val="lt-LT"/>
        </w:rPr>
        <w:t xml:space="preserve">nusidėvėjimo (amortizacijos) sąnaudas. </w:t>
      </w:r>
    </w:p>
    <w:p w14:paraId="53E07791" w14:textId="77777777" w:rsidR="00157E1D" w:rsidRDefault="00157E1D" w:rsidP="00157E1D">
      <w:pPr>
        <w:tabs>
          <w:tab w:val="left" w:pos="720"/>
          <w:tab w:val="left" w:pos="1077"/>
          <w:tab w:val="left" w:pos="1418"/>
        </w:tabs>
        <w:ind w:firstLine="567"/>
        <w:jc w:val="both"/>
        <w:rPr>
          <w:lang w:val="lt-LT"/>
        </w:rPr>
      </w:pPr>
      <w:r w:rsidRPr="00B01B92">
        <w:rPr>
          <w:lang w:val="lt-LT"/>
        </w:rPr>
        <w:t xml:space="preserve">Apskaičiuojant apmokestinamąjį pelną, jeigu vienetas panaudota dotacijos suma nemažina apskaičiuotų sąnaudų sumų, tai, tokiu atveju, pelno mokesčio tikslais, vienetas gautą kapitalo subsidiją turi priskirti apmokestinamosioms pajamoms. Dotaciją priskyrus apmokestinamosioms pajamoms, iš dotacijos lėšų įsigyto ilgalaikio turto įsigijimo kaina apskaičiuojant apmokestinamąjį pelną priskiriama leidžiamiems atskaitymams. </w:t>
      </w:r>
    </w:p>
    <w:p w14:paraId="6557DBBA" w14:textId="77777777" w:rsidR="00157E1D" w:rsidRPr="00B01B92" w:rsidRDefault="00157E1D" w:rsidP="00157E1D">
      <w:pPr>
        <w:pStyle w:val="Pagrindinistekstas"/>
        <w:tabs>
          <w:tab w:val="left" w:pos="720"/>
          <w:tab w:val="left" w:pos="1077"/>
          <w:tab w:val="left" w:pos="1418"/>
        </w:tabs>
        <w:ind w:firstLine="567"/>
        <w:rPr>
          <w:rFonts w:ascii="Times New Roman" w:hAnsi="Times New Roman"/>
          <w:lang w:val="lt-LT"/>
        </w:rPr>
      </w:pPr>
      <w:r>
        <w:rPr>
          <w:rFonts w:ascii="Times New Roman" w:hAnsi="Times New Roman"/>
          <w:lang w:val="lt-LT"/>
        </w:rPr>
        <w:t>7.</w:t>
      </w:r>
      <w:r>
        <w:rPr>
          <w:rFonts w:ascii="Times New Roman" w:hAnsi="Times New Roman"/>
          <w:lang w:val="lt-LT"/>
        </w:rPr>
        <w:tab/>
        <w:t>Jeigu vienetas gauna kapitalo subsidiją ilgalaikio turto forma, tai šio ilgalaikio turto įsigijimo kaina laikoma subsidijos teikimo (gavimo) faktą įforminančioje atitinkamoje sutartyje ar kitame kapitalo subsidijos (ilgalaikio turto) perdavimo faktą patvirtinančiame laisvos formos dokumente nurodyta to turto vertė</w:t>
      </w:r>
      <w:r w:rsidRPr="001E5A0C">
        <w:rPr>
          <w:rFonts w:ascii="Times New Roman" w:hAnsi="Times New Roman"/>
          <w:b/>
          <w:lang w:val="lt-LT"/>
        </w:rPr>
        <w:t xml:space="preserve">. </w:t>
      </w:r>
      <w:r w:rsidRPr="00B01B92">
        <w:rPr>
          <w:rFonts w:ascii="Times New Roman" w:hAnsi="Times New Roman"/>
          <w:lang w:val="lt-LT"/>
        </w:rPr>
        <w:t>Ilgalaikio turto, gauto kaip kapitalo subsidija, įsigijimo kaina nepriskiriama leidžiamiems ar ribojamų dydžių leidžiamiems atskaitymams, nes, pelno mokesčio apskaičiavimo atžvilgiu, vienetas išlaidų nepatyrė.</w:t>
      </w:r>
    </w:p>
    <w:p w14:paraId="7695578B" w14:textId="77777777" w:rsidR="00157E1D" w:rsidRDefault="00157E1D" w:rsidP="00157E1D">
      <w:pPr>
        <w:pStyle w:val="HTMLiankstoformatuotas"/>
        <w:tabs>
          <w:tab w:val="clear" w:pos="916"/>
          <w:tab w:val="left" w:pos="709"/>
        </w:tabs>
        <w:ind w:firstLine="567"/>
        <w:jc w:val="both"/>
        <w:rPr>
          <w:rFonts w:ascii="Times New Roman" w:hAnsi="Times New Roman" w:cs="Times New Roman"/>
          <w:sz w:val="24"/>
          <w:lang w:val="lt-LT"/>
        </w:rPr>
      </w:pPr>
      <w:r>
        <w:rPr>
          <w:rFonts w:ascii="Times New Roman" w:hAnsi="Times New Roman"/>
          <w:sz w:val="24"/>
          <w:szCs w:val="24"/>
          <w:lang w:val="fr-FR"/>
        </w:rPr>
        <w:tab/>
      </w:r>
      <w:r>
        <w:rPr>
          <w:rFonts w:ascii="Times New Roman" w:hAnsi="Times New Roman" w:cs="Times New Roman"/>
          <w:sz w:val="24"/>
          <w:lang w:val="lt-LT"/>
        </w:rPr>
        <w:t xml:space="preserve">8. Vienetai, kurie tvarkydami </w:t>
      </w:r>
      <w:r w:rsidRPr="00B01B92">
        <w:rPr>
          <w:rFonts w:ascii="Times New Roman" w:hAnsi="Times New Roman" w:cs="Times New Roman"/>
          <w:sz w:val="24"/>
          <w:lang w:val="lt-LT"/>
        </w:rPr>
        <w:t>finansinę</w:t>
      </w:r>
      <w:r>
        <w:rPr>
          <w:rFonts w:ascii="Times New Roman" w:hAnsi="Times New Roman" w:cs="Times New Roman"/>
          <w:sz w:val="24"/>
          <w:lang w:val="lt-LT"/>
        </w:rPr>
        <w:t xml:space="preserve"> apskaitą ir rengdami finansinę atskaitomybę, privalo vadovautis ar vadovaujasi VAS nuostatomis, įsigydami ilgalaikį turtą brangiau nei jo tikroji rinkos kaina išsimokėtinai per ilgesnį kaip 12 mėnesių laikotarpį pagal sutartį, kurioje palūkanos nenurodytos arba jų dydis reikšmingai skiriasi nuo palūkanų tikrosios rinkos kainos, įsigijimo kainą gali apskaičiuoti diskontuojant </w:t>
      </w:r>
      <w:r>
        <w:rPr>
          <w:rFonts w:ascii="Times New Roman" w:hAnsi="Times New Roman" w:cs="Times New Roman"/>
          <w:sz w:val="24"/>
          <w:szCs w:val="24"/>
          <w:lang w:val="lt-LT"/>
        </w:rPr>
        <w:t xml:space="preserve">pagal palūkanų tikrąją rinkos kainą </w:t>
      </w:r>
      <w:r>
        <w:rPr>
          <w:rFonts w:ascii="Times New Roman" w:hAnsi="Times New Roman" w:cs="Times New Roman"/>
          <w:sz w:val="24"/>
          <w:lang w:val="lt-LT"/>
        </w:rPr>
        <w:t xml:space="preserve">mokėtiną sumą. </w:t>
      </w:r>
      <w:r>
        <w:rPr>
          <w:rFonts w:ascii="Times New Roman" w:hAnsi="Times New Roman" w:cs="Times New Roman"/>
          <w:sz w:val="24"/>
          <w:szCs w:val="24"/>
          <w:lang w:val="lt-LT"/>
        </w:rPr>
        <w:t xml:space="preserve">Tokiu atveju nuo šios apskaičiuotos turto įsigijimo kainos </w:t>
      </w:r>
      <w:r>
        <w:rPr>
          <w:rFonts w:ascii="Times New Roman" w:hAnsi="Times New Roman" w:cs="Times New Roman"/>
          <w:iCs/>
          <w:sz w:val="24"/>
          <w:lang w:val="lt-LT"/>
        </w:rPr>
        <w:t>skaičiuojamas</w:t>
      </w:r>
      <w:r>
        <w:rPr>
          <w:rFonts w:ascii="Times New Roman" w:hAnsi="Times New Roman" w:cs="Times New Roman"/>
          <w:sz w:val="24"/>
          <w:lang w:val="lt-LT"/>
        </w:rPr>
        <w:t xml:space="preserve"> </w:t>
      </w:r>
      <w:r>
        <w:rPr>
          <w:rFonts w:ascii="Times New Roman" w:hAnsi="Times New Roman" w:cs="Times New Roman"/>
          <w:iCs/>
          <w:sz w:val="24"/>
          <w:lang w:val="lt-LT"/>
        </w:rPr>
        <w:t xml:space="preserve">turto nusidėvėjimas arba amortizacija. </w:t>
      </w:r>
      <w:r>
        <w:rPr>
          <w:rFonts w:ascii="Times New Roman" w:hAnsi="Times New Roman" w:cs="Times New Roman"/>
          <w:sz w:val="24"/>
          <w:lang w:val="lt-LT"/>
        </w:rPr>
        <w:t>Skirtumas pripažįstamas palūkanų sąnaudomis, priskiriamomis leidžiamiems atskaitymams, visą sutartyje nustatytą išsimokėjimo laikotarpį</w:t>
      </w:r>
      <w:r>
        <w:rPr>
          <w:rFonts w:ascii="Times New Roman" w:hAnsi="Times New Roman" w:cs="Times New Roman"/>
          <w:iCs/>
          <w:sz w:val="24"/>
          <w:lang w:val="lt-LT"/>
        </w:rPr>
        <w:t>.</w:t>
      </w:r>
    </w:p>
    <w:p w14:paraId="5A4C5BB1" w14:textId="77777777" w:rsidR="00157E1D" w:rsidRPr="0065344A" w:rsidRDefault="00157E1D" w:rsidP="00157E1D">
      <w:pPr>
        <w:shd w:val="clear" w:color="auto" w:fill="FFFFFF"/>
        <w:spacing w:line="286" w:lineRule="atLeast"/>
        <w:ind w:firstLine="567"/>
        <w:jc w:val="both"/>
        <w:rPr>
          <w:color w:val="000000"/>
          <w:lang w:val="lt-LT" w:eastAsia="lt-LT"/>
        </w:rPr>
      </w:pPr>
      <w:r w:rsidRPr="00B357C8">
        <w:rPr>
          <w:color w:val="000000"/>
          <w:lang w:val="lt-LT"/>
        </w:rPr>
        <w:t xml:space="preserve">9. </w:t>
      </w:r>
      <w:r w:rsidRPr="000C60F7">
        <w:rPr>
          <w:color w:val="000000"/>
          <w:lang w:val="lt-LT"/>
        </w:rPr>
        <w:t xml:space="preserve">Vienetai, siekdami </w:t>
      </w:r>
      <w:r w:rsidRPr="000C60F7">
        <w:rPr>
          <w:color w:val="000000"/>
          <w:lang w:val="lt-LT" w:eastAsia="lt-LT"/>
        </w:rPr>
        <w:t>panaikinti balanse įrašytus nuostolius,</w:t>
      </w:r>
      <w:r w:rsidRPr="000C60F7">
        <w:rPr>
          <w:lang w:val="lt-LT"/>
        </w:rPr>
        <w:t xml:space="preserve"> </w:t>
      </w:r>
      <w:r w:rsidRPr="00B01B92">
        <w:rPr>
          <w:lang w:val="lt-LT"/>
        </w:rPr>
        <w:t>įstatymuose</w:t>
      </w:r>
      <w:r>
        <w:rPr>
          <w:b/>
          <w:lang w:val="lt-LT"/>
        </w:rPr>
        <w:t xml:space="preserve"> </w:t>
      </w:r>
      <w:r w:rsidRPr="000C60F7">
        <w:rPr>
          <w:lang w:val="lt-LT"/>
        </w:rPr>
        <w:t>nustatyta tvarka</w:t>
      </w:r>
      <w:r w:rsidRPr="000C60F7">
        <w:rPr>
          <w:color w:val="000000"/>
          <w:lang w:val="lt-LT"/>
        </w:rPr>
        <w:t xml:space="preserve">, </w:t>
      </w:r>
      <w:r w:rsidRPr="000C60F7">
        <w:rPr>
          <w:lang w:val="lt-LT"/>
        </w:rPr>
        <w:t xml:space="preserve">gali mažinti įstatinį kapitalą </w:t>
      </w:r>
      <w:r w:rsidRPr="000C60F7">
        <w:rPr>
          <w:color w:val="000000"/>
          <w:lang w:val="lt-LT" w:eastAsia="lt-LT"/>
        </w:rPr>
        <w:t>šiais būdais:</w:t>
      </w:r>
    </w:p>
    <w:p w14:paraId="3E667A3B"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lastRenderedPageBreak/>
        <w:t>1) sumažinant akcijų nominalias vertes;</w:t>
      </w:r>
    </w:p>
    <w:p w14:paraId="7C6BF69B" w14:textId="77777777" w:rsidR="00157E1D" w:rsidRDefault="00157E1D" w:rsidP="00157E1D">
      <w:pPr>
        <w:pStyle w:val="HTMLiankstoformatuotas"/>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Jeigu yra mažinamas vieneto įstatinis kapitalas sumažinant akcijų nominalias </w:t>
      </w:r>
      <w:r w:rsidRPr="007D4D98">
        <w:rPr>
          <w:rFonts w:ascii="Times New Roman" w:hAnsi="Times New Roman" w:cs="Times New Roman"/>
          <w:sz w:val="24"/>
          <w:szCs w:val="24"/>
          <w:lang w:val="lt-LT"/>
        </w:rPr>
        <w:t>vertes</w:t>
      </w:r>
      <w:r w:rsidRPr="007D4D98">
        <w:rPr>
          <w:rFonts w:ascii="Times New Roman" w:hAnsi="Times New Roman" w:cs="Times New Roman"/>
          <w:b/>
          <w:sz w:val="24"/>
          <w:szCs w:val="24"/>
          <w:lang w:val="lt-LT"/>
        </w:rPr>
        <w:t xml:space="preserve"> </w:t>
      </w:r>
      <w:r w:rsidRPr="00B01B92">
        <w:rPr>
          <w:rFonts w:ascii="Times New Roman" w:hAnsi="Times New Roman" w:cs="Times New Roman"/>
          <w:sz w:val="24"/>
          <w:szCs w:val="24"/>
          <w:lang w:val="lt-LT"/>
        </w:rPr>
        <w:t>Akcinių bendrovių įstatyme nustatyta tvarka</w:t>
      </w:r>
      <w:r w:rsidRPr="007D4D98">
        <w:rPr>
          <w:rFonts w:ascii="Times New Roman" w:hAnsi="Times New Roman" w:cs="Times New Roman"/>
          <w:sz w:val="24"/>
          <w:szCs w:val="24"/>
          <w:lang w:val="lt-LT"/>
        </w:rPr>
        <w:t>, tai yra laikoma, kad akcijų įsigijimo kaina šio vie</w:t>
      </w:r>
      <w:r>
        <w:rPr>
          <w:rFonts w:ascii="Times New Roman" w:hAnsi="Times New Roman" w:cs="Times New Roman"/>
          <w:sz w:val="24"/>
          <w:szCs w:val="24"/>
          <w:lang w:val="lt-LT"/>
        </w:rPr>
        <w:t>neto dalyviams nesikeičia (t. y. lieka ta pati, kokia buvo iki šių akcijų nominalios vertės sumažinimo).</w:t>
      </w:r>
    </w:p>
    <w:p w14:paraId="54E09BF5"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Pavyzdys</w:t>
      </w:r>
    </w:p>
    <w:p w14:paraId="47CBE563"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 xml:space="preserve">UAB „X“ įstatinis pasirašytasis kapitalas – 100 000 Eur. Bendrovė yra išleidusi 1000 akcijų, kurių vienos nominalioji vertė – 100 Eur. UAB „X“ sukaupti nuostoliai – 35000 Eur. Bendrovės akcininkas nusprendė sumažinti įstatinį pasirašytąjį kapitalą ir padengti bendrovės nuostolius, sumažinant kiekvienos akcijos nominaliąją vertę nuo 100 Eur iki 65 Eur. </w:t>
      </w:r>
    </w:p>
    <w:p w14:paraId="742BE991"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Akcininkui, kuris įsigydamas UAB „X“ akcijas už jas sumokėjo 105 000 Eur, jų įsigijimo kaina dėl minėtos įstatinio kapitalo sumažinimo procedūros nesikeičia, t. y. lieka ta pati, kokia buvo iki šių akcijų nominalios vertės sumažinimo – 105 000 Eur.</w:t>
      </w:r>
    </w:p>
    <w:p w14:paraId="53AC6160"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2) anuliuojant akcijas.</w:t>
      </w:r>
    </w:p>
    <w:p w14:paraId="172089E7" w14:textId="77777777" w:rsidR="00157E1D" w:rsidRPr="0065344A" w:rsidRDefault="00157E1D" w:rsidP="00157E1D">
      <w:pPr>
        <w:tabs>
          <w:tab w:val="left" w:pos="9214"/>
        </w:tabs>
        <w:ind w:firstLine="567"/>
        <w:jc w:val="both"/>
        <w:rPr>
          <w:lang w:val="lt-LT"/>
        </w:rPr>
      </w:pPr>
      <w:r w:rsidRPr="0065344A">
        <w:rPr>
          <w:lang w:val="lt-LT"/>
        </w:rPr>
        <w:t>Jeigu vieneto į</w:t>
      </w:r>
      <w:r w:rsidRPr="0065344A">
        <w:rPr>
          <w:color w:val="000000"/>
          <w:lang w:val="lt-LT"/>
        </w:rPr>
        <w:t xml:space="preserve">statinis kapitalas yra mažinamas anuliuojant akcijas, </w:t>
      </w:r>
      <w:r w:rsidRPr="0065344A">
        <w:rPr>
          <w:lang w:val="lt-LT"/>
        </w:rPr>
        <w:t xml:space="preserve">vieneto dalyviai pripažįsta vertybinių popierių perleidimo nuostolius PMĮ 30 straipsnyje nustatyta tvarka. </w:t>
      </w:r>
    </w:p>
    <w:p w14:paraId="56571738"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Pavyzdys</w:t>
      </w:r>
    </w:p>
    <w:p w14:paraId="662290F0"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r>
        <w:rPr>
          <w:rFonts w:ascii="Times New Roman" w:hAnsi="Times New Roman"/>
        </w:rPr>
        <w:t>UAB „X“ įstatinis pasirašytasis kapitalas – 100 000 Eur. Bendrovė yra išleidusi 1000 akcijų, kurių vienos nominalioji vertė – 100 Eur. UAB „X“ sukaupti nuostoliai – 20 000 Eur. Bendrovės akcininkas nusprendė padengti bendrovės nuostolius sumažindamas įstatinį pasirašytąjį kapitalą anuliuojant 200 akcijų.</w:t>
      </w:r>
    </w:p>
    <w:p w14:paraId="571F3FF9"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lang w:eastAsia="lt-LT"/>
        </w:rPr>
      </w:pPr>
      <w:r>
        <w:rPr>
          <w:rFonts w:ascii="Times New Roman" w:hAnsi="Times New Roman"/>
        </w:rPr>
        <w:t xml:space="preserve">Akcininkas, kuris įsigydamas UAB „X“ akcijas už jas sumokėjo po 105 Eur, </w:t>
      </w:r>
      <w:r>
        <w:rPr>
          <w:rFonts w:ascii="Times New Roman" w:hAnsi="Times New Roman"/>
          <w:lang w:eastAsia="lt-LT"/>
        </w:rPr>
        <w:t>dėl 200 akcijų anuliavimo turi pripažinti 21000 Eur (200 x 105 Eur) nuostolį dėl vertybinių popierių perleidimo. Likusių po anuliavimo akcijų (800 vnt.) įsigijimo kaina nesikeičia.</w:t>
      </w:r>
    </w:p>
    <w:p w14:paraId="64E605CD" w14:textId="77777777" w:rsidR="00157E1D" w:rsidRDefault="00157E1D" w:rsidP="00157E1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rPr>
      </w:pPr>
    </w:p>
    <w:p w14:paraId="67797B36"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rStyle w:val="Grietas"/>
        </w:rPr>
        <w:t>Akcijų anuliavimo atveju</w:t>
      </w:r>
      <w:r w:rsidRPr="007C2248">
        <w:t xml:space="preserve"> yra netaikoma turto vertės padidėjimo pajamų už perleistas akcijas neapmokestinimo lengvata nustatyta PMĮ 12 straipsnio 15 punkte (žr. PMĮ 12 str. 15 punkto </w:t>
      </w:r>
      <w:r w:rsidRPr="00B01B92">
        <w:rPr>
          <w:color w:val="000000"/>
          <w:lang w:val="lt-LT" w:eastAsia="lt-LT"/>
        </w:rPr>
        <w:t>komentarą).</w:t>
      </w:r>
    </w:p>
    <w:p w14:paraId="3A78BC7B"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10. Vienetai, įstatymuose nustatyta tvarka, gali mažinti įstatinį kapitalą ir išmokėti laisvas lėšas:</w:t>
      </w:r>
    </w:p>
    <w:p w14:paraId="44E389CF"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color w:val="000000"/>
          <w:lang w:val="lt-LT" w:eastAsia="lt-LT"/>
        </w:rPr>
        <w:t>10.1. Kai anuliuojamos vieneto, kurio pelnas yra apmokestinamas pelno mokesčiu arba jam tapačiu mokesčiu, akcijos, vieneto dalyvių gautos lėšos (ar jų dalis), tenkančios įstatinio kapitalo, sudaryto iš vieneto dalyvių įnašų, sumažinimo daliai, laikomos vertybinių popierių pardavimo juos išleidusiam vienetui pajamomis, t. y. netaikoma turto vertės padidėjimo pajamų už perleistas akcijas neapmokestinimo lengvata, nustatyta PMĮ 12 straipsnio 15 punkte (žr. PMĮ 12 str. 15 punkto komentarą), o jei apskaičiuojamas nuostolis, tai vertybinių popierių nuostolis keliamas į kitus metus PMĮ 30 straipsnio nustatyta tvarka (žr. PMĮ 30 str. komentarą);</w:t>
      </w:r>
    </w:p>
    <w:p w14:paraId="682A9CD8" w14:textId="77777777" w:rsidR="00157E1D" w:rsidRPr="00B01B92" w:rsidRDefault="00157E1D" w:rsidP="00157E1D">
      <w:pPr>
        <w:shd w:val="clear" w:color="auto" w:fill="FFFFFF"/>
        <w:spacing w:line="286" w:lineRule="atLeast"/>
        <w:ind w:firstLine="567"/>
        <w:jc w:val="both"/>
        <w:rPr>
          <w:lang w:val="lt-LT"/>
        </w:rPr>
      </w:pPr>
      <w:r w:rsidRPr="00B01B92">
        <w:rPr>
          <w:color w:val="000000"/>
          <w:lang w:val="lt-LT" w:eastAsia="lt-LT"/>
        </w:rPr>
        <w:t>10.2. Kai mažinama vieneto, kurio pelnas yra apmokestinamas pelno mokesčiu arba jam tapačiu mokesčiu, akcijų nominali vertė, vieneto dalyvių gautos lėšos (ar jų dalis), tenkančios įstatinio kapitalo, sudaryto iš vieneto dalyvių įnašų, sumažinimo daliai, laikomos dalyvio įnašo susigrąžinimu, todėl gauta lėšų</w:t>
      </w:r>
      <w:r w:rsidRPr="00B01B92">
        <w:rPr>
          <w:lang w:val="lt-LT"/>
        </w:rPr>
        <w:t xml:space="preserve"> suma iki 0 eurų/vnt. mažinama akcijų įsigijimo kaina. </w:t>
      </w:r>
    </w:p>
    <w:p w14:paraId="45CFF1B8" w14:textId="77777777" w:rsidR="00157E1D" w:rsidRPr="00B01B92" w:rsidRDefault="00157E1D" w:rsidP="00157E1D">
      <w:pPr>
        <w:shd w:val="clear" w:color="auto" w:fill="FFFFFF"/>
        <w:spacing w:line="286" w:lineRule="atLeast"/>
        <w:ind w:firstLine="567"/>
        <w:jc w:val="both"/>
        <w:rPr>
          <w:color w:val="000000"/>
          <w:lang w:val="lt-LT" w:eastAsia="lt-LT"/>
        </w:rPr>
      </w:pPr>
      <w:r w:rsidRPr="00B01B92">
        <w:rPr>
          <w:lang w:val="lt-LT"/>
        </w:rPr>
        <w:t xml:space="preserve">Jeigu gautų lėšų suma yra didesnė nei turimų akcijų įsigijimo kaina, tai visa viršijanti suma laikoma vertybinių popierių pardavimo pajamomis juos išleidusiam vienetui, t. y. netaikoma turto </w:t>
      </w:r>
      <w:r w:rsidRPr="00B01B92">
        <w:rPr>
          <w:lang w:val="lt-LT"/>
        </w:rPr>
        <w:lastRenderedPageBreak/>
        <w:t>vertės padidėjimo pajamų už perleistas akcijas neapmokestinimo lengvata, nustatyta PMĮ 12 straipsnio 15 punkte (žr. PMĮ 12 str. 15 punkto komentarą)</w:t>
      </w:r>
      <w:r w:rsidRPr="00B01B92">
        <w:rPr>
          <w:color w:val="000000"/>
          <w:lang w:val="lt-LT" w:eastAsia="lt-LT"/>
        </w:rPr>
        <w:t>;</w:t>
      </w:r>
    </w:p>
    <w:p w14:paraId="55790539" w14:textId="77777777" w:rsidR="00157E1D" w:rsidRPr="00B01B92" w:rsidRDefault="00157E1D" w:rsidP="00157E1D">
      <w:pPr>
        <w:shd w:val="clear" w:color="auto" w:fill="FFFFFF"/>
        <w:spacing w:line="286" w:lineRule="atLeast"/>
        <w:ind w:firstLine="567"/>
        <w:jc w:val="both"/>
        <w:rPr>
          <w:lang w:val="lt-LT"/>
        </w:rPr>
      </w:pPr>
      <w:r w:rsidRPr="00B01B92">
        <w:rPr>
          <w:color w:val="000000"/>
          <w:lang w:val="lt-LT" w:eastAsia="lt-LT"/>
        </w:rPr>
        <w:t>10.3. Kai mažinama vieneto, kurio pelnas yra apmokestinamas pelno mokesčiu arba jam tapačiu mokesčiu, akcijų nominali vertė, vieneto dalyvių gautų lėšų (ar jų dalies), tenkančios įstatinio kapitalo, sudaryto ne</w:t>
      </w:r>
      <w:r w:rsidRPr="004228F4">
        <w:rPr>
          <w:b/>
          <w:lang w:val="lt-LT"/>
        </w:rPr>
        <w:t xml:space="preserve"> </w:t>
      </w:r>
      <w:r w:rsidRPr="00B01B92">
        <w:rPr>
          <w:lang w:val="lt-LT"/>
        </w:rPr>
        <w:t>iš dalyvių įnašų, sumažinimo daliai, suma, pelno mokesčio apskaičiavimo tikslais, akcijų įsigijimo kainos nemažina. Šiuo atveju, mažinant akcijų nominalią vertę, vieneto dalyviams išmokamos lėšos ar jų dalis, prilyginamos dividendams (žr. PMĮ 32 str. 5 dalies komentarą).</w:t>
      </w:r>
    </w:p>
    <w:p w14:paraId="1ECA2C55" w14:textId="77777777" w:rsidR="00157E1D" w:rsidRPr="00B01B92" w:rsidRDefault="00157E1D" w:rsidP="00157E1D">
      <w:pPr>
        <w:pStyle w:val="Pagrindiniotekstotrauka"/>
        <w:tabs>
          <w:tab w:val="left" w:pos="720"/>
          <w:tab w:val="left" w:pos="1077"/>
          <w:tab w:val="left" w:pos="1418"/>
          <w:tab w:val="left" w:pos="9356"/>
        </w:tabs>
        <w:ind w:firstLine="0"/>
        <w:rPr>
          <w:rFonts w:ascii="Times New Roman" w:hAnsi="Times New Roman"/>
          <w:lang w:val="lt-LT"/>
        </w:rPr>
      </w:pPr>
      <w:r w:rsidRPr="00B01B92">
        <w:rPr>
          <w:rFonts w:ascii="Times New Roman" w:hAnsi="Times New Roman"/>
          <w:lang w:val="lt-LT"/>
        </w:rPr>
        <w:t xml:space="preserve">Pavyzdys </w:t>
      </w:r>
    </w:p>
    <w:p w14:paraId="4D137D70"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0"/>
        <w:rPr>
          <w:rFonts w:ascii="Times New Roman" w:hAnsi="Times New Roman"/>
          <w:lang w:val="lt-LT"/>
        </w:rPr>
      </w:pPr>
      <w:r w:rsidRPr="00B01B92">
        <w:rPr>
          <w:rFonts w:ascii="Times New Roman" w:hAnsi="Times New Roman"/>
          <w:lang w:val="lt-LT"/>
        </w:rPr>
        <w:tab/>
        <w:t xml:space="preserve">UAB „X“ tiesiogiai valdo 100 proc. dukterinės bendrovės Estijoje akcijų ilgiau nei 2 metus. Dukterinės bendrovės įstatinis kapitalas ankstesniaisiais metais buvo didintas (didinant akcijų nominalią vertę) dukterinės bendrovės lėšomis iš pelno. </w:t>
      </w:r>
    </w:p>
    <w:p w14:paraId="7FC0133E"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rPr>
          <w:rFonts w:ascii="Times New Roman" w:hAnsi="Times New Roman"/>
          <w:lang w:val="lt-LT"/>
        </w:rPr>
      </w:pPr>
      <w:r w:rsidRPr="00B01B92">
        <w:rPr>
          <w:rFonts w:ascii="Times New Roman" w:hAnsi="Times New Roman"/>
          <w:lang w:val="lt-LT"/>
        </w:rPr>
        <w:t>UAB „X“ nusprendė sumažinti Estijos dukterinės bendrovės įstatinį kapitalą mažinant nominalią akcijų vertę, išmokant UAB „X“ laisvas bendrovės lėšas. Kadangi dukterinės bendrovės įstatinis kapitalas buvo didinamas ne iš vieneto dalyvių įnašų, mažinant įstatinį kapitalą UAB „X“ išmokamos lėšos Estijoje pripažįstamos dividendų išmokėjimu ir, atitinkamai, apmokestinamos pelno mokesčiu Estijoje.</w:t>
      </w:r>
    </w:p>
    <w:p w14:paraId="06AF1E66" w14:textId="77777777" w:rsidR="00157E1D" w:rsidRPr="00B01B92"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rPr>
          <w:rFonts w:ascii="Times New Roman" w:hAnsi="Times New Roman"/>
          <w:lang w:val="lt-LT"/>
        </w:rPr>
      </w:pPr>
      <w:r w:rsidRPr="00B01B92">
        <w:rPr>
          <w:rFonts w:ascii="Times New Roman" w:hAnsi="Times New Roman"/>
          <w:lang w:val="lt-LT"/>
        </w:rPr>
        <w:t>Atsižvelgiant į tai, kad UAB „X“ išmokamos lėšos Estijoje pripažįstamos dividendais, pelno mokesčio apskaičiavimo tikslais Lietuvoje UAB „X“ išmokamos piniginės lėšos taip pat bus prilyginamos dividendams ir, atitinkamai, neapmokestinamos taikant PMĮ 35 straipsnio 2 dalyje nustatytą išimtį.</w:t>
      </w:r>
    </w:p>
    <w:p w14:paraId="072DDFB0"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Už prekes ir paslaugas įsigyto turto įsigijimo kaina - atitinkama suma, įtraukta į vieneto pajamas, gautas už šias prekes ir paslaugas, ir išlaidos, patirtos įsigyjant turtą, įskaitant sumokėtus komisinius atlyginimus bei mokesčius (rinkliavas), susijusius su šio turto įsigijimu. </w:t>
      </w:r>
    </w:p>
    <w:p w14:paraId="05EB11FF"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261E19D0" w14:textId="77777777" w:rsidR="00157E1D" w:rsidRDefault="00157E1D" w:rsidP="00157E1D">
      <w:pPr>
        <w:tabs>
          <w:tab w:val="left" w:pos="720"/>
          <w:tab w:val="left" w:pos="1077"/>
          <w:tab w:val="left" w:pos="1418"/>
        </w:tabs>
        <w:ind w:firstLine="567"/>
        <w:jc w:val="both"/>
        <w:rPr>
          <w:szCs w:val="20"/>
          <w:lang w:val="lt-LT"/>
        </w:rPr>
      </w:pPr>
      <w:r>
        <w:rPr>
          <w:lang w:val="lt-LT"/>
        </w:rPr>
        <w:t>Jeigu vienetas už įsigytą ilgalaikį turtą atsiskaito ne pinigais, o prekėmis ir (arba) paslaugomis, tai šio ilgalaikio turto įsigijimo kaina yra į pajamas įtraukta šių prekių ir (arba) paslaugų vertę atitinkanti suma. Be to, į šio ilgalaikio turto įsigijimo kainą įskaitomos ir išlaidos, patirtos įsigyjant turtą, įskaitant sumokėtus (taip pat mokėtinus)</w:t>
      </w:r>
      <w:r>
        <w:rPr>
          <w:color w:val="00FF00"/>
          <w:lang w:val="lt-LT"/>
        </w:rPr>
        <w:t xml:space="preserve"> </w:t>
      </w:r>
      <w:r>
        <w:rPr>
          <w:lang w:val="lt-LT"/>
        </w:rPr>
        <w:t xml:space="preserve">komisinius atlyginimus bei mokesčius (rinkliavas), susijusius su šio turto įsigijimu. </w:t>
      </w:r>
    </w:p>
    <w:p w14:paraId="6BD1008D" w14:textId="77777777" w:rsidR="00157E1D" w:rsidRDefault="00157E1D" w:rsidP="00157E1D">
      <w:pPr>
        <w:pStyle w:val="Pagrindinistekstas"/>
        <w:tabs>
          <w:tab w:val="left" w:pos="720"/>
          <w:tab w:val="left" w:pos="1077"/>
          <w:tab w:val="left" w:pos="1418"/>
        </w:tabs>
        <w:ind w:firstLine="567"/>
        <w:rPr>
          <w:rFonts w:ascii="Times New Roman" w:hAnsi="Times New Roman"/>
          <w:lang w:val="lt-LT"/>
        </w:rPr>
      </w:pPr>
      <w:r>
        <w:rPr>
          <w:rFonts w:ascii="Times New Roman" w:hAnsi="Times New Roman"/>
          <w:lang w:val="lt-LT"/>
        </w:rPr>
        <w:t>Pavyzdys</w:t>
      </w:r>
    </w:p>
    <w:p w14:paraId="4C0EFFB5" w14:textId="77777777" w:rsidR="00157E1D" w:rsidRDefault="00157E1D" w:rsidP="00157E1D">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418"/>
        </w:tabs>
        <w:ind w:firstLine="567"/>
        <w:rPr>
          <w:rFonts w:ascii="Times New Roman" w:hAnsi="Times New Roman"/>
          <w:lang w:val="lt-LT"/>
        </w:rPr>
      </w:pPr>
      <w:r>
        <w:rPr>
          <w:rFonts w:ascii="Times New Roman" w:hAnsi="Times New Roman"/>
          <w:lang w:val="lt-LT"/>
        </w:rPr>
        <w:t xml:space="preserve">UAB X su UAB Y sudarė sutartį, pagal kurią UAB X parduos UAB Y savo pagamintos produkcijos už 100 000 </w:t>
      </w:r>
      <w:r w:rsidRPr="00B01B92">
        <w:rPr>
          <w:rFonts w:ascii="Times New Roman" w:hAnsi="Times New Roman"/>
          <w:lang w:val="lt-LT"/>
        </w:rPr>
        <w:t>Eur</w:t>
      </w:r>
      <w:r>
        <w:rPr>
          <w:rFonts w:ascii="Times New Roman" w:hAnsi="Times New Roman"/>
          <w:lang w:val="lt-LT"/>
        </w:rPr>
        <w:t xml:space="preserve">, o UAB Y už šią produkciją atsiskaitys ne pinigais, bet perduos UAB X nuosavybėn krovininį automobilį. Įsigydama šią transporto priemonę, UAB X sumokėjo 40 </w:t>
      </w:r>
      <w:r w:rsidRPr="00B01B92">
        <w:rPr>
          <w:rFonts w:ascii="Times New Roman" w:hAnsi="Times New Roman"/>
          <w:lang w:val="lt-LT"/>
        </w:rPr>
        <w:t>Eur</w:t>
      </w:r>
      <w:r>
        <w:rPr>
          <w:rFonts w:ascii="Times New Roman" w:hAnsi="Times New Roman"/>
          <w:b/>
          <w:lang w:val="lt-LT"/>
        </w:rPr>
        <w:t xml:space="preserve"> </w:t>
      </w:r>
      <w:r>
        <w:rPr>
          <w:rFonts w:ascii="Times New Roman" w:hAnsi="Times New Roman"/>
          <w:lang w:val="lt-LT"/>
        </w:rPr>
        <w:t xml:space="preserve">už jos registravimo pažymėjimą ir 40 </w:t>
      </w:r>
      <w:r w:rsidRPr="00B01B92">
        <w:rPr>
          <w:rFonts w:ascii="Times New Roman" w:hAnsi="Times New Roman"/>
          <w:lang w:val="lt-LT"/>
        </w:rPr>
        <w:t>Eur</w:t>
      </w:r>
      <w:r>
        <w:rPr>
          <w:rFonts w:ascii="Times New Roman" w:hAnsi="Times New Roman"/>
          <w:b/>
          <w:lang w:val="lt-LT"/>
        </w:rPr>
        <w:t xml:space="preserve"> </w:t>
      </w:r>
      <w:r>
        <w:rPr>
          <w:rFonts w:ascii="Times New Roman" w:hAnsi="Times New Roman"/>
          <w:lang w:val="lt-LT"/>
        </w:rPr>
        <w:t>už valstybinius numerius.</w:t>
      </w:r>
    </w:p>
    <w:p w14:paraId="76749E8A" w14:textId="77777777" w:rsidR="00157E1D" w:rsidRDefault="00157E1D" w:rsidP="00157E1D">
      <w:pPr>
        <w:pBdr>
          <w:top w:val="single" w:sz="4" w:space="1" w:color="auto"/>
          <w:left w:val="single" w:sz="4" w:space="4" w:color="auto"/>
          <w:bottom w:val="single" w:sz="4" w:space="1" w:color="auto"/>
          <w:right w:val="single" w:sz="4" w:space="4" w:color="auto"/>
        </w:pBdr>
        <w:tabs>
          <w:tab w:val="left" w:pos="720"/>
          <w:tab w:val="left" w:pos="1077"/>
          <w:tab w:val="left" w:pos="1418"/>
        </w:tabs>
        <w:ind w:firstLine="567"/>
        <w:jc w:val="both"/>
        <w:rPr>
          <w:b/>
          <w:szCs w:val="20"/>
          <w:lang w:val="lt-LT"/>
        </w:rPr>
      </w:pPr>
      <w:r>
        <w:rPr>
          <w:lang w:val="lt-LT"/>
        </w:rPr>
        <w:t xml:space="preserve">Vadinasi, UAB X įsigyto krovininio automobilio įsigijimo kaina yra 100 080 </w:t>
      </w:r>
      <w:r w:rsidRPr="00B01B92">
        <w:rPr>
          <w:lang w:val="lt-LT"/>
        </w:rPr>
        <w:t>Eur</w:t>
      </w:r>
      <w:r>
        <w:rPr>
          <w:lang w:val="lt-LT"/>
        </w:rPr>
        <w:t xml:space="preserve"> (100 000 + 40 +40 = 100 080 </w:t>
      </w:r>
      <w:r w:rsidRPr="00B01B92">
        <w:rPr>
          <w:lang w:val="lt-LT"/>
        </w:rPr>
        <w:t>Eur</w:t>
      </w:r>
      <w:r>
        <w:rPr>
          <w:lang w:val="lt-LT"/>
        </w:rPr>
        <w:t>).</w:t>
      </w:r>
    </w:p>
    <w:p w14:paraId="72F30186"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Jei turtas mainomas į kitą turtą, naujai įsigyto turto įsigijimo kaina yra išmainyto turto įsigijimo kaina. Jei išmainyto turto įsigijimo kainos negalima nustatyti, tai naujai įsigyto turto įsigijimo kaina yra šio turto tikroji rinkos kaina. </w:t>
      </w:r>
    </w:p>
    <w:p w14:paraId="6F8E795F"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47D32FEA" w14:textId="77777777" w:rsidR="00157E1D" w:rsidRDefault="00157E1D" w:rsidP="00157E1D">
      <w:pPr>
        <w:pStyle w:val="Pagrindiniotekstotrauka"/>
        <w:tabs>
          <w:tab w:val="left" w:pos="720"/>
          <w:tab w:val="left" w:pos="1077"/>
          <w:tab w:val="left" w:pos="1418"/>
        </w:tabs>
        <w:ind w:firstLine="567"/>
        <w:rPr>
          <w:rFonts w:ascii="Times New Roman" w:hAnsi="Times New Roman"/>
          <w:lang w:val="lt-LT"/>
        </w:rPr>
      </w:pPr>
      <w:r>
        <w:rPr>
          <w:rFonts w:ascii="Times New Roman" w:hAnsi="Times New Roman"/>
          <w:lang w:val="lt-LT"/>
        </w:rPr>
        <w:t>1.</w:t>
      </w:r>
      <w:r>
        <w:rPr>
          <w:rFonts w:ascii="Times New Roman" w:hAnsi="Times New Roman"/>
          <w:lang w:val="lt-LT"/>
        </w:rPr>
        <w:tab/>
        <w:t xml:space="preserve">Jeigu vienetas savo ilgalaikį turtą (toliau šios dalies komentare – A turtas) maino į kito ūkio subjekto ilgalaikį turtą (toliau šios dalies komentare – B turtas), tai šio vieneto naujai įsigyto B turto </w:t>
      </w:r>
      <w:r>
        <w:rPr>
          <w:rFonts w:ascii="Times New Roman" w:hAnsi="Times New Roman"/>
          <w:lang w:val="lt-LT"/>
        </w:rPr>
        <w:lastRenderedPageBreak/>
        <w:t>įsigijimo kaina yra A turto įsigijimo kaina. Šiuo atveju atsižvelgiama ir į PMĮ 16 straipsnio 2 dalies nuostatą, t. y. jeigu vienetas iki mainų momento pelno mokesčio apskaičiavimo tikslais skaičiavo A turto nusidėvėjimą (amortizaciją), tai išmainyto B turto įsigijimo kaina bus A turto įsigijimo kainos nenudėvėta dalis.</w:t>
      </w:r>
    </w:p>
    <w:p w14:paraId="0BE20E56" w14:textId="77777777" w:rsidR="00157E1D" w:rsidRDefault="00157E1D" w:rsidP="00157E1D">
      <w:pPr>
        <w:pStyle w:val="Pagrindiniotekstotrauka"/>
        <w:tabs>
          <w:tab w:val="left" w:pos="720"/>
          <w:tab w:val="left" w:pos="1077"/>
          <w:tab w:val="left" w:pos="1418"/>
        </w:tabs>
        <w:ind w:firstLine="567"/>
        <w:rPr>
          <w:rFonts w:ascii="Times New Roman" w:hAnsi="Times New Roman"/>
          <w:lang w:val="lt-LT"/>
        </w:rPr>
      </w:pPr>
      <w:r>
        <w:rPr>
          <w:rFonts w:ascii="Times New Roman" w:hAnsi="Times New Roman"/>
          <w:lang w:val="lt-LT"/>
        </w:rPr>
        <w:t>Pavyzdys</w:t>
      </w:r>
    </w:p>
    <w:p w14:paraId="7A4CA30D"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567"/>
        <w:rPr>
          <w:rFonts w:ascii="Times New Roman" w:hAnsi="Times New Roman"/>
          <w:b/>
          <w:lang w:val="lt-LT"/>
        </w:rPr>
      </w:pPr>
      <w:r>
        <w:rPr>
          <w:rFonts w:ascii="Times New Roman" w:hAnsi="Times New Roman"/>
          <w:lang w:val="lt-LT"/>
        </w:rPr>
        <w:t xml:space="preserve">UAB X  </w:t>
      </w:r>
      <w:r w:rsidRPr="00B01B92">
        <w:rPr>
          <w:rFonts w:ascii="Times New Roman" w:hAnsi="Times New Roman"/>
          <w:lang w:val="lt-LT"/>
        </w:rPr>
        <w:t>2020</w:t>
      </w:r>
      <w:r>
        <w:rPr>
          <w:rFonts w:ascii="Times New Roman" w:hAnsi="Times New Roman"/>
          <w:lang w:val="lt-LT"/>
        </w:rPr>
        <w:t xml:space="preserve"> m. sausio mėnesį įsigijo kompiuterį už 4000 </w:t>
      </w:r>
      <w:r w:rsidRPr="00B01B92">
        <w:rPr>
          <w:rFonts w:ascii="Times New Roman" w:hAnsi="Times New Roman"/>
          <w:lang w:val="lt-LT"/>
        </w:rPr>
        <w:t>Eur</w:t>
      </w:r>
      <w:r>
        <w:rPr>
          <w:rFonts w:ascii="Times New Roman" w:hAnsi="Times New Roman"/>
          <w:lang w:val="lt-LT"/>
        </w:rPr>
        <w:t xml:space="preserve">. Šį kompiuterį naudojo visus tuos metus ir, taikydama dvigubo balanso metodą bei PMĮ 18 str. 7 dalyje nustatytą nusidėvėjimo skaičiavimo pradžios būdą, ribojamų dydžių leidžiamiems atskaitymams priskyrė 2000 </w:t>
      </w:r>
      <w:r w:rsidRPr="00B01B92">
        <w:rPr>
          <w:rFonts w:ascii="Times New Roman" w:hAnsi="Times New Roman"/>
          <w:lang w:val="lt-LT"/>
        </w:rPr>
        <w:t>Eur</w:t>
      </w:r>
      <w:r>
        <w:rPr>
          <w:rFonts w:ascii="Times New Roman" w:hAnsi="Times New Roman"/>
          <w:lang w:val="lt-LT"/>
        </w:rPr>
        <w:t xml:space="preserve"> nusidėvėjimo sąnaudų. </w:t>
      </w:r>
      <w:r w:rsidRPr="00B01B92">
        <w:rPr>
          <w:rFonts w:ascii="Times New Roman" w:hAnsi="Times New Roman"/>
          <w:lang w:val="lt-LT"/>
        </w:rPr>
        <w:t xml:space="preserve">2021 </w:t>
      </w:r>
      <w:r>
        <w:rPr>
          <w:rFonts w:ascii="Times New Roman" w:hAnsi="Times New Roman"/>
          <w:lang w:val="lt-LT"/>
        </w:rPr>
        <w:t xml:space="preserve">m. sausio mėnesį UAB X su UAB Y sudarė sutartį, pagal kurią UAB X perduos kompiuterį UAB Y, o UAB Y už šį turtą atsiskaitys biuro baldų komplektu. Mainų momentu kompiuterio įsigijimo kainos nenudėvėta dalis yra 2000 </w:t>
      </w:r>
      <w:r w:rsidRPr="00B01B92">
        <w:rPr>
          <w:rFonts w:ascii="Times New Roman" w:hAnsi="Times New Roman"/>
          <w:lang w:val="lt-LT"/>
        </w:rPr>
        <w:t>Eur</w:t>
      </w:r>
      <w:r>
        <w:rPr>
          <w:rFonts w:ascii="Times New Roman" w:hAnsi="Times New Roman"/>
          <w:lang w:val="lt-LT"/>
        </w:rPr>
        <w:t xml:space="preserve"> (4000 - 2000). Vadinasi, UAB X įsigyto baldų komplekto įsigijimo kaina yra 2000 </w:t>
      </w:r>
      <w:r w:rsidRPr="00B01B92">
        <w:rPr>
          <w:rFonts w:ascii="Times New Roman" w:hAnsi="Times New Roman"/>
          <w:lang w:val="lt-LT"/>
        </w:rPr>
        <w:t>Eur</w:t>
      </w:r>
      <w:r>
        <w:rPr>
          <w:rFonts w:ascii="Times New Roman" w:hAnsi="Times New Roman"/>
          <w:lang w:val="lt-LT"/>
        </w:rPr>
        <w:t>.</w:t>
      </w:r>
    </w:p>
    <w:p w14:paraId="69181132" w14:textId="77777777" w:rsidR="00157E1D" w:rsidRDefault="00157E1D" w:rsidP="00157E1D">
      <w:pPr>
        <w:pStyle w:val="Pagrindiniotekstotrauka3"/>
        <w:tabs>
          <w:tab w:val="left" w:pos="360"/>
          <w:tab w:val="left" w:pos="1077"/>
          <w:tab w:val="left" w:pos="1418"/>
        </w:tabs>
        <w:ind w:firstLine="567"/>
        <w:rPr>
          <w:rFonts w:ascii="Times New Roman" w:hAnsi="Times New Roman"/>
        </w:rPr>
      </w:pPr>
      <w:r>
        <w:rPr>
          <w:rFonts w:ascii="Times New Roman" w:hAnsi="Times New Roman"/>
        </w:rPr>
        <w:t xml:space="preserve">2. Jei išmainyto A turto įsigijimo kainos negalima nustatyti, tai naujo B turto įsigijimo kaina yra tikroji šio turto rinkos kaina. Tikrosios rinkos kainos sąvoka apibrėžta PMĮ 2 straipsnio </w:t>
      </w:r>
      <w:r w:rsidRPr="001E5A0C">
        <w:rPr>
          <w:rFonts w:ascii="Times New Roman" w:hAnsi="Times New Roman"/>
          <w:strike/>
        </w:rPr>
        <w:t>22</w:t>
      </w:r>
      <w:r>
        <w:rPr>
          <w:rFonts w:ascii="Times New Roman" w:hAnsi="Times New Roman"/>
        </w:rPr>
        <w:t xml:space="preserve"> </w:t>
      </w:r>
      <w:r w:rsidRPr="001E5A0C">
        <w:rPr>
          <w:rFonts w:ascii="Times New Roman" w:hAnsi="Times New Roman"/>
          <w:b/>
        </w:rPr>
        <w:t>37</w:t>
      </w:r>
      <w:r>
        <w:rPr>
          <w:rFonts w:ascii="Times New Roman" w:hAnsi="Times New Roman"/>
        </w:rPr>
        <w:t xml:space="preserve"> dalyje. </w:t>
      </w:r>
    </w:p>
    <w:p w14:paraId="5B58A585" w14:textId="77777777" w:rsidR="00157E1D" w:rsidRPr="00B01B92" w:rsidRDefault="00157E1D" w:rsidP="00157E1D">
      <w:pPr>
        <w:pStyle w:val="Pagrindiniotekstotrauka3"/>
        <w:tabs>
          <w:tab w:val="left" w:pos="360"/>
          <w:tab w:val="left" w:pos="1077"/>
          <w:tab w:val="left" w:pos="1418"/>
        </w:tabs>
        <w:ind w:firstLine="567"/>
        <w:rPr>
          <w:rFonts w:ascii="Times New Roman" w:hAnsi="Times New Roman"/>
        </w:rPr>
      </w:pPr>
      <w:r w:rsidRPr="00B01B92">
        <w:rPr>
          <w:rFonts w:ascii="Times New Roman" w:hAnsi="Times New Roman"/>
        </w:rPr>
        <w:t xml:space="preserve">3. Šios dalies nuostatos taikomos esant lygiaverčių materialaus turto mainų atveju, t. y.  vyksta lygiaverčiai mainai, kurių kaina atitinka tikrąją rinkos kainą. </w:t>
      </w:r>
    </w:p>
    <w:p w14:paraId="72D2D0E8" w14:textId="77777777" w:rsidR="00157E1D" w:rsidRPr="00B01B92" w:rsidRDefault="00157E1D" w:rsidP="00157E1D">
      <w:pPr>
        <w:pStyle w:val="Pagrindiniotekstotrauka3"/>
        <w:tabs>
          <w:tab w:val="left" w:pos="360"/>
          <w:tab w:val="left" w:pos="1077"/>
          <w:tab w:val="left" w:pos="1418"/>
        </w:tabs>
        <w:ind w:firstLine="567"/>
        <w:rPr>
          <w:rFonts w:ascii="Times New Roman" w:hAnsi="Times New Roman"/>
        </w:rPr>
      </w:pPr>
      <w:r w:rsidRPr="00B01B92">
        <w:rPr>
          <w:rFonts w:ascii="Times New Roman" w:hAnsi="Times New Roman"/>
        </w:rPr>
        <w:t>4. Šios dalies nuostatos netaikomos akcijų mainų atvejams. Specifinės turto rūšies - akcijų (vertybinių popierių) mainų taisykles reglamentuoja PMĮ 14 str. 5 dalies nuostatos (specialioji taisyklė).</w:t>
      </w:r>
    </w:p>
    <w:p w14:paraId="1CA53C36"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4.</w:t>
      </w:r>
      <w:r>
        <w:rPr>
          <w:rFonts w:ascii="Times New Roman" w:hAnsi="Times New Roman"/>
          <w:b/>
          <w:lang w:val="lt-LT"/>
        </w:rPr>
        <w:tab/>
        <w:t xml:space="preserve">Jei vieneto akcijas (dalis, pajus) jo dalyvis (dalininkas, pajininkas) apmoka turtu, to turto įsigijimo kaina vienetui yra ta pati, už kurią šį turtą įsigijo dalyvis (dalininkas, pajininkas). Ši vieneto turto įsigijimo kaina gali būti didinama akcininko (dalininko, pajininko) turto vertės padidėjimo pajamų, uždirbtų iš tokio šio turto perleidimo ir įtrauktų į akcininko (dalininko, pajininko) pajamas, kurios buvo apmokestintos, suma. </w:t>
      </w:r>
    </w:p>
    <w:p w14:paraId="0A0394B3"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lt-LT"/>
        </w:rPr>
      </w:pPr>
      <w:r>
        <w:rPr>
          <w:rFonts w:ascii="Times New Roman" w:hAnsi="Times New Roman"/>
          <w:b/>
          <w:lang w:val="lt-LT"/>
        </w:rPr>
        <w:t>Komentaras</w:t>
      </w:r>
    </w:p>
    <w:p w14:paraId="466C4987" w14:textId="77777777" w:rsidR="00157E1D" w:rsidRDefault="00157E1D" w:rsidP="00157E1D">
      <w:pPr>
        <w:pStyle w:val="Pagrindiniotekstotrauka3"/>
        <w:tabs>
          <w:tab w:val="left" w:pos="720"/>
          <w:tab w:val="left" w:pos="1077"/>
          <w:tab w:val="left" w:pos="1418"/>
        </w:tabs>
        <w:ind w:firstLine="567"/>
        <w:rPr>
          <w:rFonts w:ascii="Times New Roman" w:hAnsi="Times New Roman"/>
        </w:rPr>
      </w:pPr>
      <w:r>
        <w:rPr>
          <w:rFonts w:ascii="Times New Roman" w:hAnsi="Times New Roman"/>
        </w:rPr>
        <w:t>1.</w:t>
      </w:r>
      <w:r>
        <w:rPr>
          <w:rFonts w:ascii="Times New Roman" w:hAnsi="Times New Roman"/>
        </w:rPr>
        <w:tab/>
        <w:t xml:space="preserve">Jei vieneto (toliau šios dalies komentare – X vienetas) akcijas (dalis, pajus) jos akcininkas (dalininkas, pajininkas) apmoka turtu, tai to turto įsigijimo kaina X vienetui yra ta pati, už kurią šį turtą įsigijo minėtas akcininkas (dalininkas, pajininkas). Jeigu X vieneto akcininkas (dalininkas, pajininkas) yra kitas vienetas (toliau šios dalies komentare – Y vienetas), kuris iki akcijų apmokėjimo turtu pelno mokesčio apskaičiavimo tikslais skaičiavo to turto nusidėvėjimą (amortizaciją), tai šiuo atveju turi būti atsižvelgiama ir į PMĮ 16 straipsnio 2 dalies nuostatą, t. y. X vienetui minėto turto įsigijimo kaina bus to turto kainos, už kurią šį turtą buvo įsigijęs Y vienetas, ir to turto nusidėvėjimo sumos, apskaičiuotos Y vienete, skirtumas. </w:t>
      </w:r>
    </w:p>
    <w:p w14:paraId="434DAA37" w14:textId="77777777" w:rsidR="00157E1D" w:rsidRPr="00B01B92" w:rsidRDefault="00157E1D" w:rsidP="00157E1D">
      <w:pPr>
        <w:ind w:firstLine="567"/>
        <w:jc w:val="both"/>
        <w:rPr>
          <w:lang w:val="lt-LT"/>
        </w:rPr>
      </w:pPr>
      <w:r w:rsidRPr="00B01B92">
        <w:rPr>
          <w:lang w:val="lt-LT"/>
        </w:rPr>
        <w:t>Pavyzdžiai</w:t>
      </w:r>
    </w:p>
    <w:p w14:paraId="1587E895" w14:textId="77777777" w:rsidR="005A602A" w:rsidRDefault="005A602A" w:rsidP="005A602A">
      <w:pPr>
        <w:pStyle w:val="Pagrindiniotekstotrauka"/>
        <w:numPr>
          <w:ilvl w:val="0"/>
          <w:numId w:val="68"/>
        </w:numPr>
        <w:pBdr>
          <w:top w:val="single" w:sz="4" w:space="1" w:color="auto"/>
          <w:left w:val="single" w:sz="4" w:space="4" w:color="auto"/>
          <w:bottom w:val="single" w:sz="4" w:space="0" w:color="auto"/>
          <w:right w:val="single" w:sz="4" w:space="4" w:color="auto"/>
        </w:pBdr>
        <w:tabs>
          <w:tab w:val="left" w:pos="567"/>
          <w:tab w:val="left" w:pos="1080"/>
          <w:tab w:val="left" w:pos="1418"/>
        </w:tabs>
        <w:ind w:left="0" w:firstLine="567"/>
        <w:rPr>
          <w:rFonts w:ascii="Times New Roman" w:hAnsi="Times New Roman"/>
          <w:lang w:val="lt-LT"/>
        </w:rPr>
      </w:pPr>
      <w:r>
        <w:rPr>
          <w:rFonts w:ascii="Times New Roman" w:hAnsi="Times New Roman"/>
          <w:lang w:val="lt-LT"/>
        </w:rPr>
        <w:t xml:space="preserve">UAB X </w:t>
      </w:r>
      <w:r w:rsidRPr="00B01B92">
        <w:rPr>
          <w:rFonts w:ascii="Times New Roman" w:hAnsi="Times New Roman"/>
          <w:lang w:val="lt-LT"/>
        </w:rPr>
        <w:t>2019</w:t>
      </w:r>
      <w:r>
        <w:rPr>
          <w:rFonts w:ascii="Times New Roman" w:hAnsi="Times New Roman"/>
          <w:lang w:val="lt-LT"/>
        </w:rPr>
        <w:t xml:space="preserve"> m. sausio mėnesį įsigijo pastatą ir pradėjo jį naudoti savo veikloje. Šio pastato įsigijimo kaina – 800 000 </w:t>
      </w:r>
      <w:r w:rsidRPr="00B01B92">
        <w:rPr>
          <w:rFonts w:ascii="Times New Roman" w:hAnsi="Times New Roman"/>
          <w:lang w:val="lt-LT"/>
        </w:rPr>
        <w:t>Eur</w:t>
      </w:r>
      <w:r>
        <w:rPr>
          <w:rFonts w:ascii="Times New Roman" w:hAnsi="Times New Roman"/>
          <w:lang w:val="lt-LT"/>
        </w:rPr>
        <w:t xml:space="preserve">. Tarkim, kad vienetas jį naudojo iki </w:t>
      </w:r>
      <w:r w:rsidRPr="00B01B92">
        <w:rPr>
          <w:rFonts w:ascii="Times New Roman" w:hAnsi="Times New Roman"/>
          <w:lang w:val="lt-LT"/>
        </w:rPr>
        <w:t>2020</w:t>
      </w:r>
      <w:r>
        <w:rPr>
          <w:rFonts w:ascii="Times New Roman" w:hAnsi="Times New Roman"/>
          <w:lang w:val="lt-LT"/>
        </w:rPr>
        <w:t xml:space="preserve"> m. gruodžio 31 d. ir per dvejus metus priskaičiavo 80 000 </w:t>
      </w:r>
      <w:r w:rsidRPr="00B01B92">
        <w:rPr>
          <w:rFonts w:ascii="Times New Roman" w:hAnsi="Times New Roman"/>
          <w:lang w:val="lt-LT"/>
        </w:rPr>
        <w:t>Eur</w:t>
      </w:r>
      <w:r>
        <w:rPr>
          <w:rFonts w:ascii="Times New Roman" w:hAnsi="Times New Roman"/>
          <w:lang w:val="lt-LT"/>
        </w:rPr>
        <w:t xml:space="preserve"> (kasmet po 40 000 </w:t>
      </w:r>
      <w:r w:rsidRPr="00B01B92">
        <w:rPr>
          <w:rFonts w:ascii="Times New Roman" w:hAnsi="Times New Roman"/>
          <w:lang w:val="lt-LT"/>
        </w:rPr>
        <w:t>Eur</w:t>
      </w:r>
      <w:r>
        <w:rPr>
          <w:rFonts w:ascii="Times New Roman" w:hAnsi="Times New Roman"/>
          <w:lang w:val="lt-LT"/>
        </w:rPr>
        <w:t>) nusidėvėjimo sumą, kurią priskyrė leidžiamiems atskaitymams.</w:t>
      </w:r>
    </w:p>
    <w:p w14:paraId="19F2657D" w14:textId="77777777" w:rsidR="005A602A" w:rsidRDefault="005A602A" w:rsidP="005A602A">
      <w:pPr>
        <w:pStyle w:val="Pagrindiniotekstotrauka"/>
        <w:pBdr>
          <w:top w:val="single" w:sz="4" w:space="1" w:color="auto"/>
          <w:left w:val="single" w:sz="4" w:space="4" w:color="auto"/>
          <w:bottom w:val="single" w:sz="4" w:space="0" w:color="auto"/>
          <w:right w:val="single" w:sz="4" w:space="4" w:color="auto"/>
        </w:pBdr>
        <w:tabs>
          <w:tab w:val="left" w:pos="567"/>
          <w:tab w:val="left" w:pos="1077"/>
          <w:tab w:val="left" w:pos="1418"/>
        </w:tabs>
        <w:ind w:firstLine="567"/>
        <w:rPr>
          <w:rFonts w:ascii="Times New Roman" w:hAnsi="Times New Roman"/>
          <w:lang w:val="fr-FR"/>
        </w:rPr>
      </w:pPr>
      <w:r>
        <w:rPr>
          <w:rFonts w:ascii="Times New Roman" w:hAnsi="Times New Roman"/>
          <w:lang w:val="fr-FR"/>
        </w:rPr>
        <w:t xml:space="preserve">UAB X yra UAB Y akcininkė. UAB Y </w:t>
      </w:r>
      <w:r w:rsidRPr="00B01B92">
        <w:rPr>
          <w:rFonts w:ascii="Times New Roman" w:hAnsi="Times New Roman"/>
          <w:lang w:val="fr-FR"/>
        </w:rPr>
        <w:t>2021</w:t>
      </w:r>
      <w:r>
        <w:rPr>
          <w:rFonts w:ascii="Times New Roman" w:hAnsi="Times New Roman"/>
          <w:lang w:val="fr-FR"/>
        </w:rPr>
        <w:t xml:space="preserve"> m. vasario mėnesį išleido naują akcijų emisiją. UAB X už UAB Y akcijas sumokėjo turtu (pastatu). UAB Y šio pastato įsigijimo vertė yra kainos, už kurią šį turtą buvo įsigijusi UAB X, ir pastato nusidėvėjimo sumos skirtumas, t.y. 720 000 </w:t>
      </w:r>
      <w:r w:rsidRPr="00B01B92">
        <w:rPr>
          <w:rFonts w:ascii="Times New Roman" w:hAnsi="Times New Roman"/>
          <w:lang w:val="fr-FR"/>
        </w:rPr>
        <w:t>Eur</w:t>
      </w:r>
      <w:r>
        <w:rPr>
          <w:rFonts w:ascii="Times New Roman" w:hAnsi="Times New Roman"/>
          <w:lang w:val="fr-FR"/>
        </w:rPr>
        <w:t xml:space="preserve"> (800 000 - 80 000), neatsižvelgiant į akcijų emisiją.</w:t>
      </w:r>
    </w:p>
    <w:p w14:paraId="032C1939" w14:textId="77777777" w:rsidR="005A602A" w:rsidRPr="00B01B92" w:rsidRDefault="005A602A" w:rsidP="005A602A">
      <w:pPr>
        <w:pStyle w:val="Pagrindiniotekstotrauka"/>
        <w:pBdr>
          <w:top w:val="single" w:sz="4" w:space="1" w:color="auto"/>
          <w:left w:val="single" w:sz="4" w:space="4" w:color="auto"/>
          <w:bottom w:val="single" w:sz="4" w:space="0" w:color="auto"/>
          <w:right w:val="single" w:sz="4" w:space="4" w:color="auto"/>
        </w:pBdr>
        <w:tabs>
          <w:tab w:val="left" w:pos="567"/>
          <w:tab w:val="left" w:pos="1077"/>
          <w:tab w:val="left" w:pos="1418"/>
        </w:tabs>
        <w:ind w:firstLine="567"/>
        <w:rPr>
          <w:rFonts w:ascii="Times New Roman" w:hAnsi="Times New Roman"/>
          <w:lang w:val="fr-FR"/>
        </w:rPr>
      </w:pPr>
      <w:r w:rsidRPr="00B01B92">
        <w:rPr>
          <w:rFonts w:ascii="Times New Roman" w:hAnsi="Times New Roman"/>
          <w:lang w:val="fr-FR"/>
        </w:rPr>
        <w:lastRenderedPageBreak/>
        <w:t>2. UAB X  akcininkė yra savivaldybė, kuri nemoka pelno mokesčio. Savivaldybė priėmė sprendimą padidinti UAB X įstatinį kapitalą 300 000 Eur ir perdavė pastatą, kurio faktinė  įsigijimo vertė 100 000 Eur, o pagal nustatytą nepriklausomų turto vertintojų rinkos vertę – 300 000 Eur. Nors UAB X pagal priėmimo – perdavimo aktą perimtą iš akcininko turtą apskaito rinkos verte, kurią nustatė nepriklausomi turto vertintojai, vadovaujantis PMĮ 14 straipsnio 1 dalies nuostatomis, nelaikytina, kad rinkos vertę atitinkanti suma yra savivaldybės patirtos turto įsigijimo išlaidos, nes būtina turėti dokumentus apie realiai ir faktiškai patirtas savivaldybės perduodamo kaip turtinis įnašas turto įsigijimo išlaidas.  Todėl iš akcininko, t. y. savivaldybės, kuri nemoka pelno mokesčio, turtinių įnašų forma gauto turto nusidėvėjimas pelno mokesčio apskaičiavimo tikslais skaičiuojamas tik nuo tokio turto nurodytos likutinės vertės, t.y. iš įsigijimo kainos, kurią akcininkas (savivaldybė) realiai patyrė įsigydama šį turtą, atėmus nusidėvėjimą.</w:t>
      </w:r>
    </w:p>
    <w:p w14:paraId="4DD044A5"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Pr>
          <w:rFonts w:ascii="Times New Roman" w:hAnsi="Times New Roman"/>
          <w:lang w:val="fr-FR"/>
        </w:rPr>
        <w:t>2.</w:t>
      </w:r>
      <w:r>
        <w:rPr>
          <w:rFonts w:ascii="Times New Roman" w:hAnsi="Times New Roman"/>
          <w:lang w:val="fr-FR"/>
        </w:rPr>
        <w:tab/>
        <w:t>Vieneto turto įsigijimo kaina gali būti didinama akcininko (dalininko, pajininko) turto vertės padidėjimo pajamų, uždirbtų iš tokio šio turto perleidimo ir įtrauktų į akcininko (dalininko, pajininko) pajamas, kurios buvo apmokestintos, suma.</w:t>
      </w:r>
    </w:p>
    <w:p w14:paraId="49E65CD6" w14:textId="77777777" w:rsidR="00157E1D" w:rsidRDefault="00157E1D" w:rsidP="00157E1D">
      <w:pPr>
        <w:ind w:firstLine="567"/>
        <w:jc w:val="both"/>
        <w:rPr>
          <w:lang w:val="fr-FR"/>
        </w:rPr>
      </w:pPr>
      <w:r>
        <w:rPr>
          <w:lang w:val="fr-FR"/>
        </w:rPr>
        <w:t xml:space="preserve">Pavyzdys </w:t>
      </w:r>
    </w:p>
    <w:p w14:paraId="258467FE"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UAB X </w:t>
      </w:r>
      <w:r w:rsidRPr="00B01B92">
        <w:rPr>
          <w:rFonts w:ascii="Times New Roman" w:hAnsi="Times New Roman"/>
          <w:lang w:val="fr-FR"/>
        </w:rPr>
        <w:t>2019</w:t>
      </w:r>
      <w:r>
        <w:rPr>
          <w:rFonts w:ascii="Times New Roman" w:hAnsi="Times New Roman"/>
          <w:lang w:val="fr-FR"/>
        </w:rPr>
        <w:t xml:space="preserve"> m. sausio mėnesį įsigijo pastatą ir pradėjo jį naudoti savo veikloje. Šio pastato įsigijimo kaina – 800 000 </w:t>
      </w:r>
      <w:r w:rsidRPr="00B01B92">
        <w:rPr>
          <w:rFonts w:ascii="Times New Roman" w:hAnsi="Times New Roman"/>
          <w:lang w:val="fr-FR"/>
        </w:rPr>
        <w:t>Eur</w:t>
      </w:r>
      <w:r>
        <w:rPr>
          <w:rFonts w:ascii="Times New Roman" w:hAnsi="Times New Roman"/>
          <w:lang w:val="fr-FR"/>
        </w:rPr>
        <w:t xml:space="preserve">. Tarkim, kad vienetas jį naudojo iki </w:t>
      </w:r>
      <w:r w:rsidRPr="00B01B92">
        <w:rPr>
          <w:rFonts w:ascii="Times New Roman" w:hAnsi="Times New Roman"/>
          <w:lang w:val="fr-FR"/>
        </w:rPr>
        <w:t>2020</w:t>
      </w:r>
      <w:r>
        <w:rPr>
          <w:rFonts w:ascii="Times New Roman" w:hAnsi="Times New Roman"/>
          <w:lang w:val="fr-FR"/>
        </w:rPr>
        <w:t xml:space="preserve"> m. gruodžio 31 d. ir per dvejus metus priskaičiavo 80 000 </w:t>
      </w:r>
      <w:r w:rsidRPr="00B01B92">
        <w:rPr>
          <w:rFonts w:ascii="Times New Roman" w:hAnsi="Times New Roman"/>
          <w:lang w:val="fr-FR"/>
        </w:rPr>
        <w:t>Eur</w:t>
      </w:r>
      <w:r>
        <w:rPr>
          <w:rFonts w:ascii="Times New Roman" w:hAnsi="Times New Roman"/>
          <w:lang w:val="fr-FR"/>
        </w:rPr>
        <w:t xml:space="preserve"> (kasmet po 40 000 </w:t>
      </w:r>
      <w:r w:rsidRPr="00B01B92">
        <w:rPr>
          <w:rFonts w:ascii="Times New Roman" w:hAnsi="Times New Roman"/>
          <w:lang w:val="fr-FR"/>
        </w:rPr>
        <w:t>Eur</w:t>
      </w:r>
      <w:r>
        <w:rPr>
          <w:rFonts w:ascii="Times New Roman" w:hAnsi="Times New Roman"/>
          <w:lang w:val="fr-FR"/>
        </w:rPr>
        <w:t xml:space="preserve">) nusidėvėjimo sumą, kurią priskyrė ribojamų dydžių leidžiamiems atskaitymams. </w:t>
      </w:r>
      <w:r w:rsidRPr="00B01B92">
        <w:rPr>
          <w:rFonts w:ascii="Times New Roman" w:hAnsi="Times New Roman"/>
          <w:lang w:val="fr-FR"/>
        </w:rPr>
        <w:t>Tarkime, kad</w:t>
      </w:r>
      <w:r>
        <w:rPr>
          <w:rFonts w:ascii="Times New Roman" w:hAnsi="Times New Roman"/>
          <w:lang w:val="fr-FR"/>
        </w:rPr>
        <w:t xml:space="preserve"> </w:t>
      </w:r>
      <w:r w:rsidRPr="00B01B92">
        <w:rPr>
          <w:rFonts w:ascii="Times New Roman" w:hAnsi="Times New Roman"/>
          <w:lang w:val="fr-FR"/>
        </w:rPr>
        <w:t>2021</w:t>
      </w:r>
      <w:r>
        <w:rPr>
          <w:rFonts w:ascii="Times New Roman" w:hAnsi="Times New Roman"/>
          <w:lang w:val="fr-FR"/>
        </w:rPr>
        <w:t xml:space="preserve"> m. sausio mėnesį vienetas pastatą perkainoja, nes šio turto rinkos kaina viršija jo įsigijimo kainą. Perkainoto turto vertė – 1 000 000 </w:t>
      </w:r>
      <w:r w:rsidRPr="00B01B92">
        <w:rPr>
          <w:rFonts w:ascii="Times New Roman" w:hAnsi="Times New Roman"/>
          <w:lang w:val="fr-FR"/>
        </w:rPr>
        <w:t>Eur</w:t>
      </w:r>
      <w:r>
        <w:rPr>
          <w:rFonts w:ascii="Times New Roman" w:hAnsi="Times New Roman"/>
          <w:lang w:val="fr-FR"/>
        </w:rPr>
        <w:t xml:space="preserve">. UAB X yra UAB Y akcininkė. UAB Y </w:t>
      </w:r>
      <w:r w:rsidRPr="00B01B92">
        <w:rPr>
          <w:rFonts w:ascii="Times New Roman" w:hAnsi="Times New Roman"/>
          <w:lang w:val="fr-FR"/>
        </w:rPr>
        <w:t>2020</w:t>
      </w:r>
      <w:r w:rsidRPr="00BD3D76">
        <w:rPr>
          <w:rFonts w:ascii="Times New Roman" w:hAnsi="Times New Roman"/>
          <w:b/>
          <w:lang w:val="fr-FR"/>
        </w:rPr>
        <w:t xml:space="preserve"> </w:t>
      </w:r>
      <w:r>
        <w:rPr>
          <w:rFonts w:ascii="Times New Roman" w:hAnsi="Times New Roman"/>
          <w:lang w:val="fr-FR"/>
        </w:rPr>
        <w:t xml:space="preserve">m. vasario mėnesį išleido naują akcijų emisiją. UAB X už UAB Y akcijas sumokėjo turtu (pastatu). UAB Y šio pastato įsigijimo vertė gali būti 1 000 000 </w:t>
      </w:r>
      <w:r w:rsidRPr="00B01B92">
        <w:rPr>
          <w:rFonts w:ascii="Times New Roman" w:hAnsi="Times New Roman"/>
          <w:lang w:val="fr-FR"/>
        </w:rPr>
        <w:t>Eur</w:t>
      </w:r>
      <w:r>
        <w:rPr>
          <w:rFonts w:ascii="Times New Roman" w:hAnsi="Times New Roman"/>
          <w:lang w:val="fr-FR"/>
        </w:rPr>
        <w:t xml:space="preserve"> tik tuo atveju, jeigu UAB X turto perleidimo UAB Y momentu pagal PMĮ apskaičiuotą turto vertės padidėjimo sumą priskirs to mokestinio laikotarpio, kurį turtas buvo perduotas UAB Y, apmokestinamosioms pajamoms. Turto vertės padidėjimo suma apskaičiuojama taip:</w:t>
      </w:r>
    </w:p>
    <w:p w14:paraId="6396447A"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1 000 000 – (800 000 - 80 000) = 280 000 </w:t>
      </w:r>
      <w:r w:rsidRPr="00B01B92">
        <w:rPr>
          <w:rFonts w:ascii="Times New Roman" w:hAnsi="Times New Roman"/>
          <w:lang w:val="fr-FR"/>
        </w:rPr>
        <w:t>Eur</w:t>
      </w:r>
      <w:r>
        <w:rPr>
          <w:rFonts w:ascii="Times New Roman" w:hAnsi="Times New Roman"/>
          <w:lang w:val="fr-FR"/>
        </w:rPr>
        <w:t>.</w:t>
      </w:r>
    </w:p>
    <w:p w14:paraId="16CDE7EC" w14:textId="77777777" w:rsidR="00157E1D" w:rsidRDefault="00157E1D" w:rsidP="00157E1D">
      <w:pPr>
        <w:pStyle w:val="Pagrindiniotekstotrauka"/>
        <w:pBdr>
          <w:top w:val="single" w:sz="4" w:space="1" w:color="auto"/>
          <w:left w:val="single" w:sz="4" w:space="4" w:color="auto"/>
          <w:bottom w:val="single" w:sz="4" w:space="0" w:color="auto"/>
          <w:right w:val="single" w:sz="4" w:space="4" w:color="auto"/>
        </w:pBdr>
        <w:tabs>
          <w:tab w:val="left" w:pos="720"/>
          <w:tab w:val="left" w:pos="1077"/>
          <w:tab w:val="left" w:pos="1418"/>
        </w:tabs>
        <w:ind w:firstLine="567"/>
        <w:rPr>
          <w:rFonts w:ascii="Times New Roman" w:hAnsi="Times New Roman"/>
          <w:lang w:val="fr-FR"/>
        </w:rPr>
      </w:pPr>
      <w:r>
        <w:rPr>
          <w:rFonts w:ascii="Times New Roman" w:hAnsi="Times New Roman"/>
          <w:lang w:val="fr-FR"/>
        </w:rPr>
        <w:t xml:space="preserve">Jeigu UAB X šią sumą priskirs apmokestinamosioms pajamoms, UAB Y pastato nusidėvėjimą galės skaičiuoti nuo 1 000 000 </w:t>
      </w:r>
      <w:r w:rsidRPr="00B01B92">
        <w:rPr>
          <w:rFonts w:ascii="Times New Roman" w:hAnsi="Times New Roman"/>
          <w:lang w:val="fr-FR"/>
        </w:rPr>
        <w:t>Eur</w:t>
      </w:r>
      <w:r>
        <w:rPr>
          <w:rFonts w:ascii="Times New Roman" w:hAnsi="Times New Roman"/>
          <w:lang w:val="fr-FR"/>
        </w:rPr>
        <w:t xml:space="preserve"> sumos, kuri bus laikoma šio turto įsigijimo kaina.</w:t>
      </w:r>
    </w:p>
    <w:p w14:paraId="7446F5EA"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57523F">
        <w:rPr>
          <w:rFonts w:ascii="Times New Roman" w:hAnsi="Times New Roman"/>
          <w:lang w:val="fr-FR"/>
        </w:rPr>
        <w:t>3.</w:t>
      </w:r>
      <w:r w:rsidRPr="0057523F">
        <w:rPr>
          <w:rFonts w:ascii="Times New Roman" w:hAnsi="Times New Roman"/>
          <w:lang w:val="fr-FR"/>
        </w:rPr>
        <w:tab/>
      </w:r>
      <w:r w:rsidRPr="00CC7D5A">
        <w:rPr>
          <w:rFonts w:ascii="Times New Roman" w:hAnsi="Times New Roman"/>
          <w:lang w:val="fr-FR"/>
        </w:rPr>
        <w:t xml:space="preserve">Komentuojamojoje straipsnio dalyje nustatyta taisyklė taikoma dalyviui akcijas apmokėjus materialiuoju turtu. Ši taisyklė apsprendžia turto įsigijimo kainą vienetui, kurio išleistas akcijas turtu apmoka jo dalyvis, t. y. šioje straipsnio dalyje įtvirtinta nuostata, vertinant turto įsigijimo kainą pelno mokesčio tikslais, taikoma vieneto, kuris turtinį įnašą gavo, o ne vieneto, kuris turtiniu įnašu apmokėjo vieneto akcijas, lygmeniu. </w:t>
      </w:r>
    </w:p>
    <w:p w14:paraId="61550027"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CC7D5A">
        <w:rPr>
          <w:rFonts w:ascii="Times New Roman" w:hAnsi="Times New Roman"/>
          <w:lang w:val="fr-FR"/>
        </w:rPr>
        <w:t xml:space="preserve">4. Lietuvos vienetui apmokėjus turtu ne Lietuvos vieneto išleistas akcijas, išskyrus PMĮ 41 str. nustytus reorganizavimo ir perleidimo atvejus, taikomos PMĮ 16 str. nuostatos. </w:t>
      </w:r>
    </w:p>
    <w:p w14:paraId="14F3B29C" w14:textId="77777777" w:rsidR="00157E1D" w:rsidRPr="00CC7D5A" w:rsidRDefault="00157E1D" w:rsidP="00157E1D">
      <w:pPr>
        <w:pStyle w:val="Pagrindiniotekstotrauka"/>
        <w:tabs>
          <w:tab w:val="left" w:pos="720"/>
          <w:tab w:val="left" w:pos="1077"/>
          <w:tab w:val="left" w:pos="1418"/>
          <w:tab w:val="left" w:pos="9356"/>
        </w:tabs>
        <w:ind w:firstLine="567"/>
        <w:rPr>
          <w:rFonts w:ascii="Times New Roman" w:hAnsi="Times New Roman"/>
          <w:lang w:val="fr-FR"/>
        </w:rPr>
      </w:pPr>
      <w:r w:rsidRPr="00CC7D5A">
        <w:rPr>
          <w:rFonts w:ascii="Times New Roman" w:hAnsi="Times New Roman"/>
          <w:lang w:val="fr-FR"/>
        </w:rPr>
        <w:t>5. Ši dalis netaikoma, jeigu turto perkėlimo operacija atitinka PMĮ 40</w:t>
      </w:r>
      <w:r w:rsidRPr="00CC7D5A">
        <w:rPr>
          <w:rFonts w:ascii="Times New Roman" w:hAnsi="Times New Roman"/>
          <w:vertAlign w:val="superscript"/>
          <w:lang w:val="fr-FR"/>
        </w:rPr>
        <w:t>2</w:t>
      </w:r>
      <w:r w:rsidRPr="00CC7D5A">
        <w:rPr>
          <w:rFonts w:ascii="Times New Roman" w:hAnsi="Times New Roman"/>
          <w:lang w:val="fr-FR"/>
        </w:rPr>
        <w:t xml:space="preserve"> straipsnio 1 dalies 3 arba 4 punktuose nurodytą turto perkėlimo apmokestinimo atvejį.</w:t>
      </w:r>
    </w:p>
    <w:p w14:paraId="6417C75D" w14:textId="77777777" w:rsidR="00157E1D" w:rsidRDefault="00157E1D" w:rsidP="00157E1D">
      <w:pPr>
        <w:pStyle w:val="Pagrindiniotekstotrauka"/>
        <w:tabs>
          <w:tab w:val="left" w:pos="720"/>
          <w:tab w:val="left" w:pos="1077"/>
          <w:tab w:val="left" w:pos="1418"/>
          <w:tab w:val="left" w:pos="9356"/>
        </w:tabs>
        <w:ind w:firstLine="567"/>
        <w:rPr>
          <w:rFonts w:ascii="Times New Roman" w:hAnsi="Times New Roman"/>
          <w:b/>
          <w:lang w:val="fr-FR"/>
        </w:rPr>
      </w:pPr>
      <w:r>
        <w:rPr>
          <w:rFonts w:ascii="Times New Roman" w:hAnsi="Times New Roman"/>
          <w:b/>
          <w:lang w:val="fr-FR"/>
        </w:rPr>
        <w:t xml:space="preserve">5. Tais atvejais, kai vertybiniai popieriai mainomi į kitą turtą, šio turto įsigijimo kaina yra šių vertybinių popierių tikroji rinkos kaina turto įsigijimo momentu. </w:t>
      </w:r>
    </w:p>
    <w:p w14:paraId="7F481991" w14:textId="77777777" w:rsidR="00157E1D" w:rsidRPr="00CC7D5A" w:rsidRDefault="00157E1D" w:rsidP="00157E1D">
      <w:pPr>
        <w:tabs>
          <w:tab w:val="left" w:pos="709"/>
        </w:tabs>
        <w:ind w:firstLine="567"/>
        <w:jc w:val="both"/>
        <w:rPr>
          <w:b/>
          <w:bCs/>
          <w:lang w:val="lt-LT"/>
        </w:rPr>
      </w:pPr>
      <w:r w:rsidRPr="00CC7D5A">
        <w:rPr>
          <w:b/>
          <w:bCs/>
          <w:lang w:val="lt-LT"/>
        </w:rPr>
        <w:t>Komentaras</w:t>
      </w:r>
    </w:p>
    <w:p w14:paraId="0C09C744" w14:textId="77777777" w:rsidR="00157E1D" w:rsidRDefault="00157E1D" w:rsidP="00EC4E29">
      <w:pPr>
        <w:pStyle w:val="Pagrindiniotekstotrauka3"/>
        <w:numPr>
          <w:ilvl w:val="0"/>
          <w:numId w:val="69"/>
        </w:numPr>
        <w:tabs>
          <w:tab w:val="left" w:pos="709"/>
          <w:tab w:val="left" w:pos="851"/>
        </w:tabs>
        <w:ind w:left="0" w:firstLine="567"/>
        <w:rPr>
          <w:rFonts w:ascii="Times New Roman" w:hAnsi="Times New Roman"/>
        </w:rPr>
      </w:pPr>
      <w:r w:rsidRPr="00CC7D5A">
        <w:rPr>
          <w:rFonts w:ascii="Times New Roman" w:hAnsi="Times New Roman"/>
        </w:rPr>
        <w:t>Komentuojamoje dalyje nustatyta specialioji akcijų mainų atveju taikoma apmokestinimo taisyklė.</w:t>
      </w:r>
      <w:r>
        <w:rPr>
          <w:rFonts w:ascii="Times New Roman" w:hAnsi="Times New Roman"/>
        </w:rPr>
        <w:t xml:space="preserve"> Kai vienetas vertybinius popierius maino į kitą turtą (įskaitant kitus vertybinius popierius), </w:t>
      </w:r>
      <w:r>
        <w:rPr>
          <w:rFonts w:ascii="Times New Roman" w:hAnsi="Times New Roman"/>
        </w:rPr>
        <w:lastRenderedPageBreak/>
        <w:t xml:space="preserve">tai šio turto įsigijimo kaina yra vertybinių popierių, į kuriuos jis buvo išmainytas, tikroji rinkos kaina turto įsigijimo momentu. </w:t>
      </w:r>
    </w:p>
    <w:p w14:paraId="6E2E2B48" w14:textId="77777777" w:rsidR="00157E1D" w:rsidRDefault="00157E1D" w:rsidP="00157E1D">
      <w:pPr>
        <w:tabs>
          <w:tab w:val="left" w:pos="709"/>
        </w:tabs>
        <w:ind w:firstLine="567"/>
        <w:jc w:val="both"/>
        <w:rPr>
          <w:lang w:val="lt-LT"/>
        </w:rPr>
      </w:pPr>
      <w:r>
        <w:rPr>
          <w:lang w:val="lt-LT"/>
        </w:rPr>
        <w:t xml:space="preserve">Pavyzdys </w:t>
      </w:r>
    </w:p>
    <w:p w14:paraId="7C3F501B" w14:textId="77777777" w:rsidR="00157E1D" w:rsidRDefault="00157E1D" w:rsidP="00157E1D">
      <w:pPr>
        <w:pBdr>
          <w:top w:val="single" w:sz="4" w:space="1" w:color="auto"/>
          <w:left w:val="single" w:sz="4" w:space="4" w:color="auto"/>
          <w:bottom w:val="single" w:sz="4" w:space="1" w:color="auto"/>
          <w:right w:val="single" w:sz="4" w:space="4" w:color="auto"/>
        </w:pBdr>
        <w:tabs>
          <w:tab w:val="left" w:pos="709"/>
          <w:tab w:val="left" w:pos="1134"/>
        </w:tabs>
        <w:ind w:firstLine="567"/>
        <w:jc w:val="both"/>
        <w:rPr>
          <w:b/>
          <w:szCs w:val="20"/>
          <w:lang w:val="lt-LT"/>
        </w:rPr>
      </w:pPr>
      <w:r>
        <w:rPr>
          <w:lang w:val="lt-LT"/>
        </w:rPr>
        <w:t xml:space="preserve">UAB ,,Rytas“ yra įsigijusi pastatą, kurį nuomoja UAB ,,Vyturėlis”. UAB ,,Vyturėlis” turi UAB ,,Saulutė” akcijų, kurių norėtų įsigyti UAB ,,Rytas”. Todėl UAB ,,Vyturėlis” pasiūlo UAB ,,Rytas” minėtą pastatą mainyti į 10 000 UAB ,,Saulutė” akcijų. Tarkim, kad mainų momentu UAB ,,Saulutė” vienos akcijos rinkos kaina – 100 </w:t>
      </w:r>
      <w:r w:rsidRPr="00FA6D96">
        <w:rPr>
          <w:lang w:val="lt-LT"/>
        </w:rPr>
        <w:t>Eur</w:t>
      </w:r>
      <w:r>
        <w:rPr>
          <w:lang w:val="lt-LT"/>
        </w:rPr>
        <w:t xml:space="preserve">. Vadinasi, šiuo atveju UAB ,,Vyturėlis” pastato įsigijimo kaina – 1 000 000 </w:t>
      </w:r>
      <w:r w:rsidRPr="00FA6D96">
        <w:rPr>
          <w:lang w:val="lt-LT"/>
        </w:rPr>
        <w:t>Eur</w:t>
      </w:r>
      <w:r>
        <w:rPr>
          <w:lang w:val="lt-LT"/>
        </w:rPr>
        <w:t>.</w:t>
      </w:r>
    </w:p>
    <w:p w14:paraId="23F10BD4" w14:textId="77777777" w:rsidR="00157E1D" w:rsidRPr="00FA6D96" w:rsidRDefault="00157E1D" w:rsidP="00157E1D">
      <w:pPr>
        <w:pStyle w:val="Pagrindiniotekstotrauka3"/>
        <w:tabs>
          <w:tab w:val="left" w:pos="709"/>
        </w:tabs>
        <w:ind w:firstLine="567"/>
        <w:rPr>
          <w:rFonts w:ascii="Times New Roman" w:hAnsi="Times New Roman"/>
        </w:rPr>
      </w:pPr>
      <w:r w:rsidRPr="00FA6D96">
        <w:rPr>
          <w:iCs/>
        </w:rPr>
        <w:t xml:space="preserve">2. </w:t>
      </w:r>
      <w:r>
        <w:rPr>
          <w:iCs/>
        </w:rPr>
        <w:t xml:space="preserve"> </w:t>
      </w:r>
      <w:r w:rsidRPr="00FA6D96">
        <w:rPr>
          <w:iCs/>
        </w:rPr>
        <w:t xml:space="preserve">Kai Lietuvos vienetas turimas akcijas </w:t>
      </w:r>
      <w:r w:rsidRPr="00FA6D96">
        <w:rPr>
          <w:rFonts w:ascii="Times New Roman" w:hAnsi="Times New Roman"/>
          <w:lang w:val="fr-FR"/>
        </w:rPr>
        <w:t>(dali</w:t>
      </w:r>
      <w:r w:rsidRPr="00FA6D96">
        <w:rPr>
          <w:lang w:val="fr-FR"/>
        </w:rPr>
        <w:t>s</w:t>
      </w:r>
      <w:r w:rsidRPr="00FA6D96">
        <w:rPr>
          <w:rFonts w:ascii="Times New Roman" w:hAnsi="Times New Roman"/>
          <w:lang w:val="fr-FR"/>
        </w:rPr>
        <w:t>, paj</w:t>
      </w:r>
      <w:r w:rsidRPr="00FA6D96">
        <w:rPr>
          <w:lang w:val="fr-FR"/>
        </w:rPr>
        <w:t>us</w:t>
      </w:r>
      <w:r w:rsidRPr="00FA6D96">
        <w:rPr>
          <w:rFonts w:ascii="Times New Roman" w:hAnsi="Times New Roman"/>
          <w:lang w:val="fr-FR"/>
        </w:rPr>
        <w:t xml:space="preserve">) </w:t>
      </w:r>
      <w:r w:rsidRPr="00FA6D96">
        <w:rPr>
          <w:iCs/>
        </w:rPr>
        <w:t xml:space="preserve">maino į kitų vienetų akcijas </w:t>
      </w:r>
      <w:r w:rsidRPr="00FA6D96">
        <w:rPr>
          <w:rFonts w:ascii="Times New Roman" w:hAnsi="Times New Roman"/>
          <w:lang w:val="fr-FR"/>
        </w:rPr>
        <w:t>(dali</w:t>
      </w:r>
      <w:r w:rsidRPr="00FA6D96">
        <w:rPr>
          <w:lang w:val="fr-FR"/>
        </w:rPr>
        <w:t>s</w:t>
      </w:r>
      <w:r w:rsidRPr="00FA6D96">
        <w:rPr>
          <w:rFonts w:ascii="Times New Roman" w:hAnsi="Times New Roman"/>
          <w:lang w:val="fr-FR"/>
        </w:rPr>
        <w:t>, paj</w:t>
      </w:r>
      <w:r w:rsidRPr="00FA6D96">
        <w:rPr>
          <w:lang w:val="fr-FR"/>
        </w:rPr>
        <w:t>us</w:t>
      </w:r>
      <w:r w:rsidRPr="00FA6D96">
        <w:rPr>
          <w:rFonts w:ascii="Times New Roman" w:hAnsi="Times New Roman"/>
          <w:lang w:val="fr-FR"/>
        </w:rPr>
        <w:t>)</w:t>
      </w:r>
      <w:r w:rsidRPr="00FA6D96">
        <w:rPr>
          <w:iCs/>
        </w:rPr>
        <w:t xml:space="preserve">, </w:t>
      </w:r>
      <w:r w:rsidRPr="00FA6D96">
        <w:rPr>
          <w:rFonts w:ascii="Times New Roman" w:hAnsi="Times New Roman"/>
          <w:lang w:val="fr-FR"/>
        </w:rPr>
        <w:t xml:space="preserve">tai tokie mainai laikomi išmainytų akcijų (dalių, pajų) pardavimu už išmainytų akcijų (dalių, pajų) tikrąją </w:t>
      </w:r>
      <w:r w:rsidRPr="00FA6D96">
        <w:rPr>
          <w:rFonts w:ascii="Times New Roman" w:hAnsi="Times New Roman"/>
        </w:rPr>
        <w:t>rinkos kainą tų mainais gautų akcijų (dalių, pajų) įsigijimo nuosavybėn dieną. Parduotų akcijų (dalių, pajų) turto vertės padidėjimo pajamos apskaičiuojamos PMĮ 16 str. 1 dalyje nustatyta tvarka (žr. PMĮ 16 str.). Toks akcijų (dalių, pajų) mainų apmokestinimo atvejis netaikomas, jeigu vykdomas reorganizavimas ar perleidimas pagal PMĮ 41 straipsnį.</w:t>
      </w:r>
    </w:p>
    <w:p w14:paraId="715F8CC5" w14:textId="77777777" w:rsidR="00157E1D" w:rsidRPr="00FA6D96" w:rsidRDefault="00157E1D" w:rsidP="00157E1D">
      <w:pPr>
        <w:pStyle w:val="Pagrindiniotekstotrauka3"/>
        <w:tabs>
          <w:tab w:val="left" w:pos="709"/>
        </w:tabs>
        <w:ind w:firstLine="567"/>
        <w:rPr>
          <w:rFonts w:ascii="Times New Roman" w:hAnsi="Times New Roman"/>
        </w:rPr>
      </w:pPr>
      <w:r w:rsidRPr="00FA6D96">
        <w:rPr>
          <w:rFonts w:ascii="Times New Roman" w:hAnsi="Times New Roman"/>
        </w:rPr>
        <w:t>3. Jei vienetas ar jo dalyviai 41 str. 2 dalies 4, 5, 6 ir 7 punktuose nustatytais reorganizavimo ar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16 str. ir 42 str. 10 dalies komentarus).</w:t>
      </w:r>
    </w:p>
    <w:p w14:paraId="79A849B7" w14:textId="77777777" w:rsidR="00157E1D" w:rsidRPr="00FA6D96" w:rsidRDefault="00157E1D" w:rsidP="00157E1D">
      <w:pPr>
        <w:pStyle w:val="Pagrindiniotekstotrauka3"/>
        <w:tabs>
          <w:tab w:val="left" w:pos="709"/>
        </w:tabs>
        <w:ind w:firstLine="567"/>
        <w:rPr>
          <w:lang w:val="fr-FR"/>
        </w:rPr>
      </w:pPr>
      <w:r w:rsidRPr="00FA6D96">
        <w:rPr>
          <w:rFonts w:ascii="Times New Roman" w:hAnsi="Times New Roman"/>
        </w:rPr>
        <w:t>4. Ši dalis netaikoma, jeigu turto perkėlimo operacija atitinka PMĮ 40</w:t>
      </w:r>
      <w:r w:rsidRPr="00FA6D96">
        <w:rPr>
          <w:rFonts w:ascii="Times New Roman" w:hAnsi="Times New Roman"/>
          <w:vertAlign w:val="superscript"/>
        </w:rPr>
        <w:t>2</w:t>
      </w:r>
      <w:r w:rsidRPr="00FA6D96">
        <w:rPr>
          <w:rFonts w:ascii="Times New Roman" w:hAnsi="Times New Roman"/>
        </w:rPr>
        <w:t xml:space="preserve"> straipsnio 1 dalies 3 arba 4 punktuose nurodytą turto perkėlimo apmokestinimo</w:t>
      </w:r>
      <w:r w:rsidRPr="00FA6D96">
        <w:rPr>
          <w:lang w:val="fr-FR"/>
        </w:rPr>
        <w:t xml:space="preserve"> atvejį.</w:t>
      </w:r>
    </w:p>
    <w:p w14:paraId="4820DDE7" w14:textId="77777777" w:rsidR="00157E1D" w:rsidRDefault="00157E1D" w:rsidP="00157E1D">
      <w:pPr>
        <w:ind w:firstLine="567"/>
        <w:jc w:val="both"/>
        <w:rPr>
          <w:lang w:val="lt-LT"/>
        </w:rPr>
      </w:pPr>
      <w:r>
        <w:rPr>
          <w:b/>
          <w:bCs/>
          <w:lang w:val="lt-LT"/>
        </w:rPr>
        <w:t>6. Kai gyventojas baigia vykdyti individualią veiklą ir nerealizuotas prekes perduoda savo ar sutuoktinio įsteigtam naujam vienetui, šių prekių įsigijimo kaina vienetui yra šių prekių įsigijimo kaina, nurodyta gyventojo, vykdžiusio individualią veiklą, prekių įsigijimo dokumentuose, išskyrus atvejus, kai šiuo turtu apmokamos to vieneto akcijos (dalys, pajai).</w:t>
      </w:r>
    </w:p>
    <w:p w14:paraId="2FEDBA77" w14:textId="77777777" w:rsidR="00157E1D" w:rsidRDefault="00157E1D" w:rsidP="00157E1D">
      <w:pPr>
        <w:ind w:firstLine="567"/>
        <w:jc w:val="both"/>
        <w:rPr>
          <w:bCs/>
          <w:lang w:val="lt-LT"/>
        </w:rPr>
      </w:pPr>
      <w:r>
        <w:rPr>
          <w:bCs/>
          <w:lang w:val="lt-LT"/>
        </w:rPr>
        <w:t>(</w:t>
      </w:r>
      <w:r w:rsidRPr="009C0219">
        <w:rPr>
          <w:color w:val="000000"/>
          <w:lang w:eastAsia="lt-LT"/>
        </w:rPr>
        <w:t xml:space="preserve">KEISTA: 2006 10 19 </w:t>
      </w:r>
      <w:r w:rsidRPr="00CC2E9E">
        <w:rPr>
          <w:color w:val="000000"/>
          <w:lang w:val="lt-LT" w:eastAsia="lt-LT"/>
        </w:rPr>
        <w:t>įstatymu Nr.</w:t>
      </w:r>
      <w:r w:rsidRPr="009C0219">
        <w:rPr>
          <w:color w:val="000000"/>
          <w:lang w:eastAsia="lt-LT"/>
        </w:rPr>
        <w:t xml:space="preserve"> X-866 (nuo 2006 10 31)</w:t>
      </w:r>
      <w:r>
        <w:rPr>
          <w:bCs/>
          <w:lang w:val="lt-LT"/>
        </w:rPr>
        <w:t xml:space="preserve">) </w:t>
      </w:r>
    </w:p>
    <w:p w14:paraId="4E172F03" w14:textId="77777777" w:rsidR="00157E1D" w:rsidRDefault="00157E1D" w:rsidP="00157E1D">
      <w:pPr>
        <w:ind w:firstLine="567"/>
        <w:jc w:val="both"/>
        <w:rPr>
          <w:b/>
          <w:bCs/>
          <w:lang w:val="lt-LT"/>
        </w:rPr>
      </w:pPr>
      <w:r>
        <w:rPr>
          <w:b/>
          <w:bCs/>
          <w:lang w:val="lt-LT"/>
        </w:rPr>
        <w:t>Komentaras</w:t>
      </w:r>
    </w:p>
    <w:p w14:paraId="6A736060" w14:textId="77777777" w:rsidR="00157E1D" w:rsidRDefault="00157E1D" w:rsidP="00157E1D">
      <w:pPr>
        <w:ind w:firstLine="567"/>
        <w:jc w:val="both"/>
        <w:rPr>
          <w:lang w:val="lt-LT"/>
        </w:rPr>
      </w:pPr>
      <w:r>
        <w:rPr>
          <w:lang w:val="lt-LT"/>
        </w:rPr>
        <w:t>1. Pagal šios dalies nuostatas vieneto iš gyventojo, baigusio vykdyti individualią veiklą, gautų tokioje gyventojo veikloje nerealizuotų prekių įsigijimo kaina yra jų įsigijimo kaina, nurodyta gyventojo, vykdžiusio individualią veiklą, prekių įsigijimo dokumentuose.</w:t>
      </w:r>
    </w:p>
    <w:p w14:paraId="67453E5B" w14:textId="77777777" w:rsidR="00157E1D" w:rsidRDefault="00157E1D" w:rsidP="00157E1D">
      <w:pPr>
        <w:ind w:firstLine="567"/>
        <w:jc w:val="both"/>
        <w:rPr>
          <w:lang w:val="lt-LT"/>
        </w:rPr>
      </w:pPr>
      <w:r>
        <w:rPr>
          <w:lang w:val="lt-LT"/>
        </w:rPr>
        <w:t xml:space="preserve">2. Šios dalies nuostatos taikomos tik tuo atveju, jei gyventojas nutraukia individualią veiklą, įskaitant tą, kuria verčiamasi turint verslo liudijimą, ir šioje veikloje nerealizuotas prekes perduoda bendrovei (individualiai įmonei, uždarajai akcinei bendrovei ar kt.), kurią įsteigia jis pats ar jo sutuoktinis. </w:t>
      </w:r>
    </w:p>
    <w:p w14:paraId="66761015" w14:textId="77777777" w:rsidR="00157E1D" w:rsidRDefault="00157E1D" w:rsidP="00157E1D">
      <w:pPr>
        <w:ind w:firstLine="567"/>
        <w:jc w:val="both"/>
        <w:rPr>
          <w:lang w:val="lt-LT"/>
        </w:rPr>
      </w:pPr>
      <w:r>
        <w:rPr>
          <w:lang w:val="lt-LT"/>
        </w:rPr>
        <w:t xml:space="preserve">Šios dalies nuostatos netaikomos, jei individualioje veikloje nerealizuotos prekės perduodamos jau esančiam gyventojo ar jo sutuoktinio įsteigtam vienetui.  </w:t>
      </w:r>
    </w:p>
    <w:p w14:paraId="5A53EC77" w14:textId="77777777" w:rsidR="00157E1D" w:rsidRDefault="00157E1D" w:rsidP="00157E1D">
      <w:pPr>
        <w:ind w:firstLine="567"/>
        <w:jc w:val="both"/>
        <w:rPr>
          <w:lang w:val="lt-LT"/>
        </w:rPr>
      </w:pPr>
      <w:r>
        <w:rPr>
          <w:lang w:val="lt-LT"/>
        </w:rPr>
        <w:t xml:space="preserve">3. Šioje dalyje prekėmis taip pat laikomos gyventojo individualioje gamybos veikloje nepanaudotos medžiagos ir žaliavos. </w:t>
      </w:r>
    </w:p>
    <w:p w14:paraId="60A36E37" w14:textId="77777777" w:rsidR="00157E1D" w:rsidRDefault="00157E1D" w:rsidP="00157E1D">
      <w:pPr>
        <w:ind w:firstLine="567"/>
        <w:jc w:val="both"/>
        <w:rPr>
          <w:lang w:val="lt-LT"/>
        </w:rPr>
      </w:pPr>
      <w:r>
        <w:rPr>
          <w:lang w:val="lt-LT"/>
        </w:rPr>
        <w:t xml:space="preserve">4. Gyventojui baigus individualią veiklą, šioje veikloje nerealizuotų prekių perdavimas savo ar sutuoktinio įsteigtam naujam vienetui įforminamas laisvos formos dokumentu (pvz., prekių perdavimo – priėmimo aktu), turinčiu nustatytus privalomus apskaitos dokumentų rekvizitus (žr. PMĮ 11 str. 4 </w:t>
      </w:r>
      <w:r>
        <w:rPr>
          <w:lang w:val="lt-LT"/>
        </w:rPr>
        <w:lastRenderedPageBreak/>
        <w:t xml:space="preserve">dalies </w:t>
      </w:r>
      <w:r w:rsidRPr="00FA6D96">
        <w:rPr>
          <w:lang w:val="lt-LT"/>
        </w:rPr>
        <w:t>komentarą</w:t>
      </w:r>
      <w:r>
        <w:rPr>
          <w:lang w:val="lt-LT"/>
        </w:rPr>
        <w:t>). Prie šio dokumento turi būti pridedamos individualioje veikloje nerealizuotų prekių įsigijimo dokumentų kopijos.</w:t>
      </w:r>
    </w:p>
    <w:p w14:paraId="78C81DC7" w14:textId="77777777" w:rsidR="00157E1D" w:rsidRDefault="00157E1D" w:rsidP="00157E1D">
      <w:pPr>
        <w:ind w:firstLine="567"/>
        <w:jc w:val="both"/>
        <w:rPr>
          <w:lang w:val="lt-LT"/>
        </w:rPr>
      </w:pPr>
      <w:r>
        <w:rPr>
          <w:lang w:val="lt-LT"/>
        </w:rPr>
        <w:t xml:space="preserve">5. Vieneto šioje dalyje numatytu būdu įgytos prekės pagal PMĮ 13 str. 1 dalį yra laikomos jo turtu. Todėl vienetui šį turtą pardavus ar panaudojus savo veikloje, jo įsigijimo kaina, apskaičiuojant apmokestinamąjį pelną, priskiriama leidžiamiems atskaitymams pagal PMĮ 17 str. 1 dalies nuostatas (žr. PMĮ 17 str. 1 dalies komentarą). </w:t>
      </w:r>
    </w:p>
    <w:p w14:paraId="302B476A" w14:textId="77777777" w:rsidR="00157E1D" w:rsidRDefault="00157E1D" w:rsidP="00157E1D">
      <w:pPr>
        <w:ind w:firstLine="567"/>
        <w:jc w:val="both"/>
        <w:rPr>
          <w:lang w:val="lt-LT"/>
        </w:rPr>
      </w:pPr>
      <w:r>
        <w:rPr>
          <w:lang w:val="lt-LT"/>
        </w:rPr>
        <w:t>Pavyzdys</w:t>
      </w:r>
    </w:p>
    <w:p w14:paraId="075F8B8C"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ind w:firstLine="567"/>
        <w:rPr>
          <w:lang w:val="lt-LT"/>
        </w:rPr>
      </w:pPr>
      <w:r>
        <w:rPr>
          <w:lang w:val="lt-LT"/>
        </w:rPr>
        <w:t xml:space="preserve">Gyventojas užsiėmė individualia veikla - tekstilės gaminių prekyba. </w:t>
      </w:r>
      <w:r w:rsidRPr="00FA6D96">
        <w:rPr>
          <w:lang w:val="lt-LT"/>
        </w:rPr>
        <w:t xml:space="preserve">2020 </w:t>
      </w:r>
      <w:r>
        <w:rPr>
          <w:lang w:val="lt-LT"/>
        </w:rPr>
        <w:t xml:space="preserve">metais jis nutarė individualią veiklą nutraukti ir pateikė mokesčių administratoriui prašymą išregistruoti jį iš Mokesčių mokėtojų registro. </w:t>
      </w:r>
      <w:r w:rsidRPr="00FA6D96">
        <w:rPr>
          <w:lang w:val="lt-LT"/>
        </w:rPr>
        <w:t>2020</w:t>
      </w:r>
      <w:r>
        <w:rPr>
          <w:lang w:val="lt-LT"/>
        </w:rPr>
        <w:t xml:space="preserve"> metų lapkričio mėn. gyventojas įsteigė individualią įmonę, kurioje ketino vykdyti prekybos veiklą.</w:t>
      </w:r>
    </w:p>
    <w:p w14:paraId="77792BC2" w14:textId="77777777" w:rsidR="00157E1D" w:rsidRDefault="00157E1D" w:rsidP="00157E1D">
      <w:pPr>
        <w:pStyle w:val="Pagrindiniotekstotrauka"/>
        <w:pBdr>
          <w:top w:val="single" w:sz="4" w:space="1" w:color="auto"/>
          <w:left w:val="single" w:sz="4" w:space="4" w:color="auto"/>
          <w:bottom w:val="single" w:sz="4" w:space="1" w:color="auto"/>
          <w:right w:val="single" w:sz="4" w:space="4" w:color="auto"/>
        </w:pBdr>
        <w:ind w:firstLine="567"/>
        <w:rPr>
          <w:lang w:val="lt-LT"/>
        </w:rPr>
      </w:pPr>
      <w:r>
        <w:rPr>
          <w:lang w:val="lt-LT"/>
        </w:rPr>
        <w:t xml:space="preserve">Individualioje veikloje nerealizuotus 200 vienetų vienarūšių tekstilės gaminių, kurių įsigijimo kaina 20 000 </w:t>
      </w:r>
      <w:r w:rsidRPr="00FA6D96">
        <w:rPr>
          <w:lang w:val="lt-LT"/>
        </w:rPr>
        <w:t>Eur</w:t>
      </w:r>
      <w:r>
        <w:rPr>
          <w:lang w:val="lt-LT"/>
        </w:rPr>
        <w:t xml:space="preserve"> (kiekvieno gaminio kaina pagal individualios veiklos prekių įsigijimo dokumentus - 100 </w:t>
      </w:r>
      <w:r w:rsidRPr="00FA6D96">
        <w:rPr>
          <w:lang w:val="lt-LT"/>
        </w:rPr>
        <w:t>Eur</w:t>
      </w:r>
      <w:r>
        <w:rPr>
          <w:lang w:val="lt-LT"/>
        </w:rPr>
        <w:t>), jis perdavė savo įsteigtai individualiai įmonei, šią ūkinę operaciją įformindamas prekių perdavimo – priėmimo aktu.</w:t>
      </w:r>
    </w:p>
    <w:p w14:paraId="7E90B0A0" w14:textId="77777777" w:rsidR="00157E1D" w:rsidRDefault="00157E1D" w:rsidP="00157E1D">
      <w:pPr>
        <w:pBdr>
          <w:top w:val="single" w:sz="4" w:space="1" w:color="auto"/>
          <w:left w:val="single" w:sz="4" w:space="4" w:color="auto"/>
          <w:bottom w:val="single" w:sz="4" w:space="1" w:color="auto"/>
          <w:right w:val="single" w:sz="4" w:space="4" w:color="auto"/>
        </w:pBdr>
        <w:ind w:firstLine="567"/>
        <w:jc w:val="both"/>
        <w:rPr>
          <w:lang w:val="lt-LT"/>
        </w:rPr>
      </w:pPr>
      <w:r>
        <w:rPr>
          <w:lang w:val="lt-LT"/>
        </w:rPr>
        <w:t xml:space="preserve">Individualiai įmonei perduotos jos savininko individualioje veikloje nerealizuotos prekės, remiantis PMĮ 13 str. 1 dalimi, yra laikomos šios įmonės turtu. Pagal PMĮ 14 str. 6 dalį, šių prekių įsigijimo kaina yra 20 000 </w:t>
      </w:r>
      <w:r w:rsidRPr="00FA6D96">
        <w:rPr>
          <w:lang w:val="lt-LT"/>
        </w:rPr>
        <w:t>Eur</w:t>
      </w:r>
      <w:r>
        <w:rPr>
          <w:lang w:val="lt-LT"/>
        </w:rPr>
        <w:t xml:space="preserve"> (ta pati, kokia buvo nurodyta individualios veiklos prekių įsigijimo dokumentuose). </w:t>
      </w:r>
    </w:p>
    <w:p w14:paraId="0FD4F3C6" w14:textId="77777777" w:rsidR="00157E1D" w:rsidRDefault="00157E1D" w:rsidP="00157E1D">
      <w:pPr>
        <w:pBdr>
          <w:top w:val="single" w:sz="4" w:space="1" w:color="auto"/>
          <w:left w:val="single" w:sz="4" w:space="4" w:color="auto"/>
          <w:bottom w:val="single" w:sz="4" w:space="1" w:color="auto"/>
          <w:right w:val="single" w:sz="4" w:space="4" w:color="auto"/>
        </w:pBdr>
        <w:ind w:firstLine="567"/>
        <w:jc w:val="both"/>
        <w:rPr>
          <w:lang w:val="lt-LT"/>
        </w:rPr>
      </w:pPr>
      <w:r w:rsidRPr="00FA6D96">
        <w:rPr>
          <w:lang w:val="lt-LT"/>
        </w:rPr>
        <w:t>2021</w:t>
      </w:r>
      <w:r w:rsidRPr="0058155A">
        <w:rPr>
          <w:b/>
          <w:lang w:val="lt-LT"/>
        </w:rPr>
        <w:t xml:space="preserve"> </w:t>
      </w:r>
      <w:r>
        <w:rPr>
          <w:lang w:val="lt-LT"/>
        </w:rPr>
        <w:t xml:space="preserve">mokestiniais metais individuali įmonė pardavė 150 vienetų minėtų tekstilės gaminių už 22 000 </w:t>
      </w:r>
      <w:r w:rsidRPr="00FA6D96">
        <w:rPr>
          <w:lang w:val="lt-LT"/>
        </w:rPr>
        <w:t>Eur</w:t>
      </w:r>
      <w:r>
        <w:rPr>
          <w:lang w:val="lt-LT"/>
        </w:rPr>
        <w:t xml:space="preserve">. Apskaičiuodama šio mokestinio laikotarpio apmokestinamąjį pelną, įmonė iš uždirbtų pardavimo pajamų gali atimti parduotų tekstilės gaminių 15000 </w:t>
      </w:r>
      <w:r w:rsidRPr="00FA6D96">
        <w:rPr>
          <w:lang w:val="lt-LT"/>
        </w:rPr>
        <w:t>Eur</w:t>
      </w:r>
      <w:r>
        <w:rPr>
          <w:lang w:val="lt-LT"/>
        </w:rPr>
        <w:t xml:space="preserve"> (150 vnt. x 100 </w:t>
      </w:r>
      <w:r w:rsidRPr="00FA6D96">
        <w:rPr>
          <w:lang w:val="lt-LT"/>
        </w:rPr>
        <w:t>Eur</w:t>
      </w:r>
      <w:r>
        <w:rPr>
          <w:lang w:val="lt-LT"/>
        </w:rPr>
        <w:t xml:space="preserve">) įsigijimo kainą. </w:t>
      </w:r>
    </w:p>
    <w:p w14:paraId="779899F7" w14:textId="77777777" w:rsidR="00157E1D" w:rsidRDefault="00157E1D" w:rsidP="00157E1D">
      <w:pPr>
        <w:ind w:firstLine="567"/>
        <w:jc w:val="both"/>
        <w:rPr>
          <w:lang w:val="lt-LT"/>
        </w:rPr>
      </w:pPr>
      <w:r>
        <w:rPr>
          <w:lang w:val="lt-LT"/>
        </w:rPr>
        <w:t>6. Šios dalies nuostatos netaikomos, kai gyventojo individualioje veikloje nerealizuotomis  prekėmis apmokamos to gyventojo ar jo sutuoktinio įsteigto vieneto akcijos (dalys, pajai). Tokiu atveju taikomos PMĮ 14 str. 4 dalies nuostatos (žr. PMĮ 14 str. 4 dalies komentarą).</w:t>
      </w:r>
    </w:p>
    <w:p w14:paraId="34578AEC" w14:textId="77777777" w:rsidR="00157E1D" w:rsidRDefault="00157E1D" w:rsidP="00157E1D">
      <w:pPr>
        <w:ind w:firstLine="567"/>
        <w:jc w:val="both"/>
        <w:rPr>
          <w:b/>
          <w:lang w:val="lt-LT" w:eastAsia="lt-LT"/>
        </w:rPr>
      </w:pPr>
      <w:r w:rsidRPr="00666DCA">
        <w:rPr>
          <w:b/>
          <w:lang w:val="lt-LT" w:eastAsia="lt-LT"/>
        </w:rPr>
        <w:t>7. Tuo atveju, jeigu turtas perkeliamas į Lietuvos Respubliką ir šis turto perkėlimas apmokestinamas užsienio valstybėje įgyvendinant Direktyvos (ES) 2016/1164</w:t>
      </w:r>
      <w:r w:rsidRPr="00666DCA">
        <w:rPr>
          <w:b/>
          <w:color w:val="000000"/>
          <w:lang w:val="lt-LT" w:eastAsia="lt-LT"/>
        </w:rPr>
        <w:t xml:space="preserve"> 5 straipsnio nuostatas, šio </w:t>
      </w:r>
      <w:r w:rsidRPr="00666DCA">
        <w:rPr>
          <w:b/>
          <w:lang w:val="lt-LT" w:eastAsia="lt-LT"/>
        </w:rPr>
        <w:t xml:space="preserve">turto įsigijimo kaina yra tikroji jo rinkos kaina, pripažinta turto perkėlimo į Lietuvos Respubliką momentu. </w:t>
      </w:r>
    </w:p>
    <w:p w14:paraId="1D7952AF" w14:textId="77777777" w:rsidR="00157E1D" w:rsidRPr="00CF0DA9" w:rsidRDefault="00157E1D" w:rsidP="00157E1D">
      <w:pPr>
        <w:ind w:firstLine="567"/>
        <w:jc w:val="both"/>
        <w:rPr>
          <w:i/>
          <w:lang w:val="lt-LT"/>
        </w:rPr>
      </w:pPr>
      <w:r w:rsidRPr="00F425B3">
        <w:rPr>
          <w:i/>
          <w:iCs/>
        </w:rPr>
        <w:t>(</w:t>
      </w:r>
      <w:r w:rsidRPr="00CF0DA9">
        <w:rPr>
          <w:i/>
          <w:iCs/>
          <w:lang w:val="lt-LT"/>
        </w:rPr>
        <w:t xml:space="preserve">Papildyta 2019-12-17, </w:t>
      </w:r>
      <w:r w:rsidRPr="00CF0DA9">
        <w:rPr>
          <w:i/>
          <w:lang w:val="lt-LT"/>
        </w:rPr>
        <w:t xml:space="preserve">įstatymu </w:t>
      </w:r>
      <w:r w:rsidRPr="00CF0DA9">
        <w:rPr>
          <w:i/>
          <w:iCs/>
          <w:lang w:val="lt-LT"/>
        </w:rPr>
        <w:t xml:space="preserve">Nr. </w:t>
      </w:r>
      <w:hyperlink r:id="rId65" w:tgtFrame="_parent" w:history="1">
        <w:r w:rsidRPr="00CF0DA9">
          <w:rPr>
            <w:rStyle w:val="Hipersaitas"/>
            <w:i/>
            <w:iCs/>
            <w:lang w:val="lt-LT"/>
          </w:rPr>
          <w:t>XIII-2694</w:t>
        </w:r>
      </w:hyperlink>
      <w:r w:rsidRPr="00CF0DA9">
        <w:rPr>
          <w:i/>
          <w:iCs/>
          <w:lang w:val="lt-LT"/>
        </w:rPr>
        <w:t xml:space="preserve"> </w:t>
      </w:r>
      <w:r w:rsidRPr="00CF0DA9">
        <w:rPr>
          <w:i/>
          <w:lang w:val="lt-LT"/>
        </w:rPr>
        <w:t>(nuo 2020 01 01))</w:t>
      </w:r>
    </w:p>
    <w:p w14:paraId="5265B9F9" w14:textId="77777777" w:rsidR="00157E1D" w:rsidRDefault="00157E1D" w:rsidP="00157E1D">
      <w:pPr>
        <w:ind w:firstLine="567"/>
        <w:contextualSpacing/>
        <w:jc w:val="both"/>
        <w:rPr>
          <w:b/>
          <w:color w:val="000000"/>
          <w:lang w:val="lt-LT"/>
        </w:rPr>
      </w:pPr>
    </w:p>
    <w:p w14:paraId="239C5A5A" w14:textId="77777777" w:rsidR="00157E1D" w:rsidRPr="00CF0DA9" w:rsidRDefault="00157E1D" w:rsidP="00157E1D">
      <w:pPr>
        <w:ind w:firstLine="567"/>
        <w:contextualSpacing/>
        <w:jc w:val="both"/>
        <w:rPr>
          <w:b/>
          <w:color w:val="000000"/>
          <w:lang w:val="lt-LT"/>
        </w:rPr>
      </w:pPr>
      <w:r w:rsidRPr="00CF0DA9">
        <w:rPr>
          <w:b/>
          <w:color w:val="000000"/>
          <w:lang w:val="lt-LT"/>
        </w:rPr>
        <w:t>Komentaras</w:t>
      </w:r>
    </w:p>
    <w:p w14:paraId="404300D1" w14:textId="77777777" w:rsidR="00157E1D" w:rsidRDefault="00157E1D" w:rsidP="00157E1D">
      <w:pPr>
        <w:ind w:firstLine="567"/>
        <w:jc w:val="both"/>
        <w:rPr>
          <w:bCs/>
          <w:iCs/>
          <w:color w:val="000000"/>
          <w:shd w:val="clear" w:color="auto" w:fill="FFFFFF"/>
          <w:lang w:val="lt-LT" w:eastAsia="lt-LT"/>
        </w:rPr>
      </w:pPr>
      <w:r w:rsidRPr="00FA6D96">
        <w:rPr>
          <w:bCs/>
          <w:iCs/>
          <w:color w:val="000000"/>
          <w:shd w:val="clear" w:color="auto" w:fill="FFFFFF"/>
          <w:lang w:val="lt-LT" w:eastAsia="lt-LT"/>
        </w:rPr>
        <w:t>1.</w:t>
      </w:r>
      <w:r>
        <w:rPr>
          <w:bCs/>
          <w:iCs/>
          <w:color w:val="000000"/>
          <w:shd w:val="clear" w:color="auto" w:fill="FFFFFF"/>
          <w:lang w:val="lt-LT" w:eastAsia="lt-LT"/>
        </w:rPr>
        <w:t xml:space="preserve"> </w:t>
      </w:r>
      <w:r w:rsidRPr="00CF0DA9">
        <w:rPr>
          <w:bCs/>
          <w:iCs/>
          <w:color w:val="000000"/>
          <w:shd w:val="clear" w:color="auto" w:fill="FFFFFF"/>
          <w:lang w:val="lt-LT" w:eastAsia="lt-LT"/>
        </w:rPr>
        <w:t>Šioje dalyje nustatyta, kad tuo atveju, kai turtas (ilgalaikis, trumpalaikis ar finansinis) iš užsienio valstybės perkeliamas į Lietuvos Respubliką, turto įsigijimo kaina yra tikroji jo rinkos kaina, pripažinta turto perkėlimo į Lietuvos Respubliką momentu ir taikoma tais atvejais, kai turtas perkeliamas į Lietuvos Respubliką, ir šis turto perkėlimas apmokestinamas užsienio valstybėje įgyvendinant Direktyvos (ES) 2016/1164 5 straipsnio nuostatas. Mokesčių mokėtojas, kuriam perkeliamas užsienio valstybėje apmokestintas turtas, turi turėti tai pagrindžiančius dokumentus - užsienio mokesčio administratoriui pateiktų dokumentų kopij</w:t>
      </w:r>
      <w:r>
        <w:rPr>
          <w:bCs/>
          <w:iCs/>
          <w:color w:val="000000"/>
          <w:shd w:val="clear" w:color="auto" w:fill="FFFFFF"/>
          <w:lang w:val="lt-LT" w:eastAsia="lt-LT"/>
        </w:rPr>
        <w:t>a</w:t>
      </w:r>
      <w:r w:rsidRPr="00CF0DA9">
        <w:rPr>
          <w:bCs/>
          <w:iCs/>
          <w:color w:val="000000"/>
          <w:shd w:val="clear" w:color="auto" w:fill="FFFFFF"/>
          <w:lang w:val="lt-LT" w:eastAsia="lt-LT"/>
        </w:rPr>
        <w:t>s (deklaracijos, pažymos ir kt.).</w:t>
      </w:r>
    </w:p>
    <w:p w14:paraId="65832EC3" w14:textId="77777777" w:rsidR="00157E1D" w:rsidRDefault="00157E1D" w:rsidP="00157E1D">
      <w:pPr>
        <w:ind w:firstLine="567"/>
        <w:jc w:val="both"/>
        <w:rPr>
          <w:bCs/>
          <w:iCs/>
          <w:color w:val="000000"/>
          <w:shd w:val="clear" w:color="auto" w:fill="FFFFFF"/>
          <w:lang w:val="lt-LT" w:eastAsia="lt-LT"/>
        </w:rPr>
      </w:pPr>
      <w:r w:rsidRPr="00FA6D96">
        <w:rPr>
          <w:bCs/>
          <w:iCs/>
          <w:color w:val="000000"/>
          <w:shd w:val="clear" w:color="auto" w:fill="FFFFFF"/>
          <w:lang w:val="lt-LT" w:eastAsia="lt-LT"/>
        </w:rPr>
        <w:t>2. Jeigu į užsienio valstybę perkeltas ir apmokestintas (taikant PMĮ 40</w:t>
      </w:r>
      <w:r w:rsidRPr="00FA6D96">
        <w:rPr>
          <w:bCs/>
          <w:iCs/>
          <w:color w:val="000000"/>
          <w:shd w:val="clear" w:color="auto" w:fill="FFFFFF"/>
          <w:vertAlign w:val="superscript"/>
          <w:lang w:val="lt-LT" w:eastAsia="lt-LT"/>
        </w:rPr>
        <w:t>2</w:t>
      </w:r>
      <w:r w:rsidRPr="00FA6D96">
        <w:rPr>
          <w:bCs/>
          <w:iCs/>
          <w:color w:val="000000"/>
          <w:shd w:val="clear" w:color="auto" w:fill="FFFFFF"/>
          <w:lang w:val="lt-LT" w:eastAsia="lt-LT"/>
        </w:rPr>
        <w:t xml:space="preserve"> str. nuostatas) turtas susigrąžinamas atgal į Lietuvą ir turto savininkas nesikeičia, tai susigrąžinus turtą (pradėjus jį naudoti veikloje Lietuvos Respublikoje), vienetas turėtų tęsti to turto nusidėvėjimo (amortizacijos) </w:t>
      </w:r>
      <w:r w:rsidRPr="00FA6D96">
        <w:rPr>
          <w:bCs/>
          <w:iCs/>
          <w:color w:val="000000"/>
          <w:shd w:val="clear" w:color="auto" w:fill="FFFFFF"/>
          <w:lang w:val="lt-LT" w:eastAsia="lt-LT"/>
        </w:rPr>
        <w:lastRenderedPageBreak/>
        <w:t>apskaičiavimą tuo pačiu metodu, kuris buvo taikomas prieš turto perkėlimą. Šiuo atveju, perkelto turto įsigijimo kaina</w:t>
      </w:r>
      <w:r w:rsidRPr="00FA6D96">
        <w:t xml:space="preserve"> (</w:t>
      </w:r>
      <w:r w:rsidRPr="00FA6D96">
        <w:rPr>
          <w:bCs/>
          <w:iCs/>
          <w:color w:val="000000"/>
          <w:shd w:val="clear" w:color="auto" w:fill="FFFFFF"/>
          <w:lang w:val="lt-LT" w:eastAsia="lt-LT"/>
        </w:rPr>
        <w:t>tikroji jo rinkos kaina, pripažinta turto perkėlimo į Lietuvos Respubliką momentu) į vieneto sąnaudas įskaitoma per likusį turto naudingo tarnavimo laikotarpį. Ilgalaikio turto įsigijimo kainos nenudėvėtą (neamortizuotą) dalį iš pajamų vienetas gali atskaityti dalimis per ne trumpesnį nei PMĮ 1 priedėlyje atitinkamai ilgalaikio turto grupei nustatytą nusidėvėjimo (amortizacijos) laikotarpį, atsižvelgiant į tą(-uos) mokestinį(-ius) laikotarpį(-ius), per kurį(-iuos) tas turtas jau buvo naudotas.</w:t>
      </w:r>
    </w:p>
    <w:p w14:paraId="74A5CAB3" w14:textId="77777777" w:rsidR="00157E1D" w:rsidRPr="005A602A" w:rsidRDefault="00157E1D" w:rsidP="00157E1D">
      <w:pPr>
        <w:jc w:val="both"/>
      </w:pPr>
      <w:r w:rsidRPr="005A602A">
        <w:t>( Pakeista pagal VMI prie FM 2023-10-19 raštą  Nr. (18.10-31-1 Mr.) RM-36444</w:t>
      </w:r>
    </w:p>
    <w:p w14:paraId="175E2965" w14:textId="77777777" w:rsidR="00157E1D" w:rsidRPr="005A602A" w:rsidRDefault="00157E1D" w:rsidP="00157E1D">
      <w:pPr>
        <w:jc w:val="both"/>
      </w:pPr>
    </w:p>
    <w:p w14:paraId="1266BE9E" w14:textId="77777777" w:rsidR="00093845" w:rsidRDefault="000D779E">
      <w:pPr>
        <w:pStyle w:val="Antrat1"/>
        <w:jc w:val="both"/>
        <w:rPr>
          <w:bCs w:val="0"/>
          <w:szCs w:val="20"/>
          <w:lang w:val="lt-LT"/>
        </w:rPr>
      </w:pPr>
      <w:bookmarkStart w:id="259" w:name="_15_straipsnis._Turto"/>
      <w:bookmarkEnd w:id="259"/>
      <w:r>
        <w:rPr>
          <w:bCs w:val="0"/>
          <w:lang w:val="lt-LT"/>
        </w:rPr>
        <w:t xml:space="preserve">15 STRAIPSNIS. Turto pardavimo kaina </w:t>
      </w:r>
    </w:p>
    <w:p w14:paraId="0AAB6C59"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pardavimo arba kitokio perleidimo nuosavybėn kaina - visos pajamos, uždirbtos pardavus arba kitaip perleidus nuosavybėn turtą, atėmus sumokėtus mokesčius (rinkliavas), išskyrus Pridėtinės vertės mokestį, susijusius su šio turto pardavimu arba kitokiu perleidimu nuosavybėn. </w:t>
      </w:r>
    </w:p>
    <w:p w14:paraId="6D68479B"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Komentaras</w:t>
      </w:r>
    </w:p>
    <w:p w14:paraId="548FE4C4"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lang w:val="lt-LT"/>
        </w:rPr>
        <w:t xml:space="preserve">Turto </w:t>
      </w:r>
      <w:r>
        <w:rPr>
          <w:rFonts w:ascii="Times New Roman" w:hAnsi="Times New Roman"/>
          <w:bCs/>
          <w:lang w:val="lt-LT"/>
        </w:rPr>
        <w:t xml:space="preserve">pardavimo arba kitokio perleidimo </w:t>
      </w:r>
      <w:r>
        <w:rPr>
          <w:rFonts w:ascii="Times New Roman" w:hAnsi="Times New Roman"/>
          <w:lang w:val="lt-LT"/>
        </w:rPr>
        <w:t xml:space="preserve">kitų asmenų </w:t>
      </w:r>
      <w:r>
        <w:rPr>
          <w:rFonts w:ascii="Times New Roman" w:hAnsi="Times New Roman"/>
          <w:bCs/>
          <w:lang w:val="lt-LT"/>
        </w:rPr>
        <w:t xml:space="preserve">nuosavybėn </w:t>
      </w:r>
      <w:r>
        <w:rPr>
          <w:rFonts w:ascii="Times New Roman" w:hAnsi="Times New Roman"/>
          <w:lang w:val="lt-LT"/>
        </w:rPr>
        <w:t>kaina nustatoma iš visų pajamų,</w:t>
      </w:r>
      <w:r>
        <w:rPr>
          <w:rFonts w:ascii="Times New Roman" w:hAnsi="Times New Roman"/>
          <w:bCs/>
          <w:lang w:val="lt-LT"/>
        </w:rPr>
        <w:t xml:space="preserve"> uždirbtų pardavus arba kitaip perleidus </w:t>
      </w:r>
      <w:r>
        <w:rPr>
          <w:rFonts w:ascii="Times New Roman" w:hAnsi="Times New Roman"/>
          <w:lang w:val="lt-LT"/>
        </w:rPr>
        <w:t xml:space="preserve">kitų asmenų </w:t>
      </w:r>
      <w:r>
        <w:rPr>
          <w:rFonts w:ascii="Times New Roman" w:hAnsi="Times New Roman"/>
          <w:bCs/>
          <w:lang w:val="lt-LT"/>
        </w:rPr>
        <w:t>nuosavybėn turtą</w:t>
      </w:r>
      <w:r>
        <w:rPr>
          <w:rFonts w:ascii="Times New Roman" w:hAnsi="Times New Roman"/>
          <w:lang w:val="lt-LT"/>
        </w:rPr>
        <w:t>, atėmus su pardavimu susijusių sumokėtų mokesčių sumas.</w:t>
      </w:r>
    </w:p>
    <w:p w14:paraId="2F481CEE" w14:textId="77777777" w:rsidR="00093845" w:rsidRDefault="000D779E">
      <w:pPr>
        <w:pStyle w:val="Pagrindiniotekstotrauka"/>
        <w:tabs>
          <w:tab w:val="left" w:pos="720"/>
          <w:tab w:val="left" w:pos="1077"/>
          <w:tab w:val="left" w:pos="1418"/>
          <w:tab w:val="left" w:pos="9356"/>
        </w:tabs>
        <w:ind w:right="-5"/>
        <w:rPr>
          <w:rFonts w:ascii="Times New Roman" w:hAnsi="Times New Roman"/>
          <w:lang w:val="lt-LT"/>
        </w:rPr>
      </w:pPr>
      <w:r>
        <w:rPr>
          <w:rFonts w:ascii="Times New Roman" w:hAnsi="Times New Roman"/>
          <w:lang w:val="lt-LT"/>
        </w:rPr>
        <w:t>Pridėtinės vertės mokestis, nustatant turto pardavimo kainą, iš visų pajamų,</w:t>
      </w:r>
      <w:r>
        <w:rPr>
          <w:rFonts w:ascii="Times New Roman" w:hAnsi="Times New Roman"/>
          <w:bCs/>
          <w:lang w:val="lt-LT"/>
        </w:rPr>
        <w:t xml:space="preserve"> uždirbtų pardavus arba kitaip perleidus nuosavybėn turtą</w:t>
      </w:r>
      <w:r>
        <w:rPr>
          <w:rFonts w:ascii="Times New Roman" w:hAnsi="Times New Roman"/>
          <w:lang w:val="lt-LT"/>
        </w:rPr>
        <w:t xml:space="preserve">, neatimamas. </w:t>
      </w:r>
    </w:p>
    <w:p w14:paraId="7C8A953F" w14:textId="77777777" w:rsidR="00093845" w:rsidRDefault="00093845">
      <w:pPr>
        <w:pStyle w:val="Pagrindiniotekstotrauka"/>
        <w:tabs>
          <w:tab w:val="left" w:pos="720"/>
          <w:tab w:val="left" w:pos="1077"/>
          <w:tab w:val="left" w:pos="1418"/>
          <w:tab w:val="left" w:pos="9356"/>
        </w:tabs>
        <w:ind w:right="-5"/>
        <w:rPr>
          <w:rFonts w:ascii="Times New Roman" w:hAnsi="Times New Roman"/>
          <w:b/>
          <w:lang w:val="lt-LT"/>
        </w:rPr>
      </w:pPr>
    </w:p>
    <w:p w14:paraId="6B8C9A54" w14:textId="77777777" w:rsidR="00502AF8" w:rsidRDefault="000D779E" w:rsidP="004A5C6E">
      <w:pPr>
        <w:tabs>
          <w:tab w:val="left" w:pos="720"/>
          <w:tab w:val="left" w:pos="1077"/>
          <w:tab w:val="left" w:pos="1418"/>
          <w:tab w:val="left" w:pos="9356"/>
        </w:tabs>
        <w:ind w:right="-5"/>
        <w:rPr>
          <w:b/>
          <w:lang w:val="lt-LT"/>
        </w:rPr>
      </w:pPr>
      <w:r>
        <w:rPr>
          <w:b/>
          <w:lang w:val="lt-LT"/>
        </w:rPr>
        <w:t xml:space="preserve">2. </w:t>
      </w:r>
      <w:r w:rsidRPr="00477AF7">
        <w:rPr>
          <w:b/>
          <w:bCs/>
          <w:iCs/>
          <w:color w:val="000000"/>
          <w:lang w:eastAsia="lt-LT"/>
        </w:rPr>
        <w:t>NETEKO GALIOS</w:t>
      </w:r>
      <w:r w:rsidR="00FF3B5B" w:rsidRPr="00480C1E">
        <w:rPr>
          <w:b/>
          <w:bCs/>
          <w:iCs/>
          <w:color w:val="000000"/>
          <w:lang w:eastAsia="lt-LT"/>
        </w:rPr>
        <w:t>:</w:t>
      </w:r>
      <w:r w:rsidRPr="00480C1E">
        <w:rPr>
          <w:b/>
          <w:iCs/>
          <w:color w:val="000000"/>
          <w:lang w:eastAsia="lt-LT"/>
        </w:rPr>
        <w:t xml:space="preserve"> 2004 01 22 įstatymu Nr. IX-1972 (nuo 2004 02 14)</w:t>
      </w:r>
      <w:r>
        <w:rPr>
          <w:b/>
          <w:lang w:val="lt-LT"/>
        </w:rPr>
        <w:tab/>
      </w:r>
    </w:p>
    <w:p w14:paraId="0C097FE1" w14:textId="77777777" w:rsidR="00474522" w:rsidRDefault="000D779E" w:rsidP="004A5C6E">
      <w:pPr>
        <w:tabs>
          <w:tab w:val="left" w:pos="720"/>
          <w:tab w:val="left" w:pos="1077"/>
          <w:tab w:val="left" w:pos="1418"/>
          <w:tab w:val="left" w:pos="9356"/>
        </w:tabs>
        <w:ind w:right="-5"/>
        <w:rPr>
          <w:b/>
          <w:lang w:val="lt-LT"/>
        </w:rPr>
      </w:pPr>
      <w:r>
        <w:rPr>
          <w:b/>
          <w:lang w:val="lt-LT"/>
        </w:rPr>
        <w:tab/>
      </w:r>
    </w:p>
    <w:p w14:paraId="637B9BD9" w14:textId="77777777" w:rsidR="00093845" w:rsidRDefault="00474522" w:rsidP="004A5C6E">
      <w:pPr>
        <w:tabs>
          <w:tab w:val="left" w:pos="720"/>
          <w:tab w:val="left" w:pos="1077"/>
          <w:tab w:val="left" w:pos="1418"/>
          <w:tab w:val="left" w:pos="9356"/>
        </w:tabs>
        <w:ind w:right="-5"/>
        <w:rPr>
          <w:b/>
          <w:lang w:val="lt-LT"/>
        </w:rPr>
      </w:pPr>
      <w:r>
        <w:rPr>
          <w:b/>
          <w:lang w:val="lt-LT"/>
        </w:rPr>
        <w:t xml:space="preserve">3. </w:t>
      </w:r>
      <w:r w:rsidR="000D779E">
        <w:rPr>
          <w:b/>
          <w:lang w:val="lt-LT"/>
        </w:rPr>
        <w:t xml:space="preserve">Jei turtas dėl kokių nors priežasčių yra prarastas, o jis buvo apdraustas, šio turto pardavimo kaina yra žalos dėl prarasto turto atlyginimo suma. </w:t>
      </w:r>
    </w:p>
    <w:p w14:paraId="1816CE1E" w14:textId="77777777" w:rsidR="00093845" w:rsidRDefault="000D779E">
      <w:pPr>
        <w:jc w:val="both"/>
        <w:rPr>
          <w:b/>
          <w:bCs/>
          <w:lang w:val="lt-LT"/>
        </w:rPr>
      </w:pPr>
      <w:r>
        <w:rPr>
          <w:lang w:val="lt-LT"/>
        </w:rPr>
        <w:tab/>
      </w:r>
      <w:r>
        <w:rPr>
          <w:b/>
          <w:bCs/>
          <w:lang w:val="lt-LT"/>
        </w:rPr>
        <w:t>Komentaras</w:t>
      </w:r>
    </w:p>
    <w:p w14:paraId="3DEE1929" w14:textId="77777777" w:rsidR="00093845" w:rsidRDefault="000D779E">
      <w:pPr>
        <w:tabs>
          <w:tab w:val="left" w:pos="720"/>
          <w:tab w:val="left" w:pos="1077"/>
          <w:tab w:val="left" w:pos="1418"/>
          <w:tab w:val="left" w:pos="9639"/>
        </w:tabs>
        <w:ind w:right="-5"/>
        <w:jc w:val="both"/>
        <w:rPr>
          <w:szCs w:val="20"/>
          <w:lang w:val="lt-LT"/>
        </w:rPr>
      </w:pPr>
      <w:r>
        <w:rPr>
          <w:szCs w:val="20"/>
          <w:lang w:val="lt-LT"/>
        </w:rPr>
        <w:tab/>
        <w:t>Jei vienetas apdraužia savo turtą ir draudiminio įvykio metu jį prarandą, šio prarasto turto pardavimo kaina yra žalos, susidariusios dėl to turto praradimo, atlyginimo suma. Ši nuostata taikoma sandori</w:t>
      </w:r>
      <w:r w:rsidR="00502AF8">
        <w:rPr>
          <w:szCs w:val="20"/>
          <w:lang w:val="lt-LT"/>
        </w:rPr>
        <w:t xml:space="preserve">ų vertės koregavimo ir </w:t>
      </w:r>
      <w:r>
        <w:rPr>
          <w:szCs w:val="20"/>
          <w:lang w:val="lt-LT"/>
        </w:rPr>
        <w:t xml:space="preserve">netiesioginio </w:t>
      </w:r>
      <w:r>
        <w:rPr>
          <w:lang w:val="lt-LT"/>
        </w:rPr>
        <w:t>apmokestinamojo pelno apskaičiavimo atvejais.</w:t>
      </w:r>
    </w:p>
    <w:p w14:paraId="7247FF93" w14:textId="77777777" w:rsidR="00093845" w:rsidRDefault="00093845">
      <w:pPr>
        <w:tabs>
          <w:tab w:val="left" w:pos="720"/>
          <w:tab w:val="left" w:pos="1077"/>
          <w:tab w:val="left" w:pos="1418"/>
          <w:tab w:val="left" w:pos="9356"/>
        </w:tabs>
        <w:ind w:right="-5"/>
        <w:jc w:val="both"/>
        <w:rPr>
          <w:szCs w:val="20"/>
          <w:lang w:val="lt-LT"/>
        </w:rPr>
      </w:pPr>
    </w:p>
    <w:p w14:paraId="4F24A7C2" w14:textId="77777777" w:rsidR="00093845" w:rsidRDefault="000D779E">
      <w:pPr>
        <w:pStyle w:val="Antrat1"/>
        <w:jc w:val="both"/>
        <w:rPr>
          <w:bCs w:val="0"/>
          <w:szCs w:val="20"/>
          <w:lang w:val="lt-LT"/>
        </w:rPr>
      </w:pPr>
      <w:bookmarkStart w:id="260" w:name="_16_straipsnis._Turto"/>
      <w:bookmarkEnd w:id="260"/>
      <w:r>
        <w:rPr>
          <w:bCs w:val="0"/>
          <w:lang w:val="lt-LT"/>
        </w:rPr>
        <w:t xml:space="preserve">16 STRAIPSNIS. Turto vertės padidėjimo pajamos </w:t>
      </w:r>
    </w:p>
    <w:p w14:paraId="4C4492F8"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Turto vertės padidėjimo pajamos yra uždirbtos pajamos, kurias sudaro turto pardavimo ar kitokio perleidimo nuosavybėn ir įsigijimo kainų skirtumas. Turto įsigijimo išlaidos turi būti pagrindžiamos šio Įstatymo 11 straipsnyje nustatytais dokumentais ir (arba) galiojančiais sandoriais. </w:t>
      </w:r>
    </w:p>
    <w:p w14:paraId="7DC71798" w14:textId="77777777" w:rsidR="00093845" w:rsidRDefault="000D779E">
      <w:pPr>
        <w:pStyle w:val="Pagrindiniotekstotrauka"/>
        <w:tabs>
          <w:tab w:val="left" w:pos="720"/>
          <w:tab w:val="left" w:pos="1077"/>
          <w:tab w:val="left" w:pos="1418"/>
          <w:tab w:val="left" w:pos="9356"/>
        </w:tabs>
        <w:ind w:right="-5"/>
        <w:rPr>
          <w:rFonts w:ascii="Times New Roman" w:hAnsi="Times New Roman"/>
          <w:b/>
          <w:lang w:val="lt-LT"/>
        </w:rPr>
      </w:pPr>
      <w:r>
        <w:rPr>
          <w:rFonts w:ascii="Times New Roman" w:hAnsi="Times New Roman"/>
          <w:b/>
          <w:lang w:val="lt-LT"/>
        </w:rPr>
        <w:t>Komentaras</w:t>
      </w:r>
    </w:p>
    <w:p w14:paraId="59E12AD0" w14:textId="77777777" w:rsidR="00093845" w:rsidRDefault="000D779E">
      <w:pPr>
        <w:pStyle w:val="Pagrindiniotekstotrauka"/>
        <w:tabs>
          <w:tab w:val="left" w:pos="720"/>
          <w:tab w:val="left" w:pos="1077"/>
          <w:tab w:val="left" w:pos="1418"/>
          <w:tab w:val="left" w:pos="9356"/>
        </w:tabs>
        <w:ind w:right="-5"/>
        <w:rPr>
          <w:rFonts w:ascii="Times New Roman" w:hAnsi="Times New Roman"/>
          <w:lang w:val="lt-LT"/>
        </w:rPr>
      </w:pPr>
      <w:r>
        <w:rPr>
          <w:rFonts w:ascii="Times New Roman" w:hAnsi="Times New Roman"/>
          <w:lang w:val="lt-LT"/>
        </w:rPr>
        <w:t>Jeigu vienetas perleidžia turtą kitų asmenų nuosavybėn, tai turto vertės padidėjimo pajamomis laikomas to turto perleidimo kainos (žr. PMĮ 13 str. komentarą) ir įsigijimo kainos (žr. PMĮ 14 str. komentarą) skirtumas. Ši nuostata netaikoma prekių pardavimo atveju.</w:t>
      </w:r>
    </w:p>
    <w:p w14:paraId="2E344C80" w14:textId="77777777" w:rsidR="00093845" w:rsidRDefault="000D779E">
      <w:pPr>
        <w:pStyle w:val="Pagrindiniotekstotrauka"/>
        <w:tabs>
          <w:tab w:val="left" w:pos="720"/>
          <w:tab w:val="left" w:pos="1077"/>
          <w:tab w:val="left" w:pos="1418"/>
        </w:tabs>
        <w:ind w:right="-5" w:firstLine="0"/>
        <w:rPr>
          <w:rFonts w:ascii="Times New Roman" w:hAnsi="Times New Roman"/>
          <w:bCs/>
          <w:lang w:val="lt-LT"/>
        </w:rPr>
      </w:pPr>
      <w:r>
        <w:rPr>
          <w:rFonts w:ascii="Times New Roman" w:hAnsi="Times New Roman"/>
          <w:lang w:val="lt-LT"/>
        </w:rPr>
        <w:lastRenderedPageBreak/>
        <w:tab/>
      </w:r>
      <w:r>
        <w:rPr>
          <w:rFonts w:ascii="Times New Roman" w:hAnsi="Times New Roman"/>
          <w:bCs/>
          <w:lang w:val="lt-LT"/>
        </w:rPr>
        <w:t>Turto įsigijimo išlaidos turi būti pagrindžiamos PMĮ 11 straipsnyje (žr. PMĮ 11 straipsnio komentarą) nustatytais dokumentais ir (arba) galiojančiais sandoriais.</w:t>
      </w:r>
    </w:p>
    <w:p w14:paraId="2767834C" w14:textId="77777777" w:rsidR="00093845" w:rsidRPr="00CE253C" w:rsidRDefault="000D779E">
      <w:pPr>
        <w:pStyle w:val="Pagrindiniotekstotrauka"/>
        <w:tabs>
          <w:tab w:val="left" w:pos="720"/>
          <w:tab w:val="left" w:pos="1077"/>
          <w:tab w:val="left" w:pos="1418"/>
          <w:tab w:val="left" w:pos="9356"/>
        </w:tabs>
        <w:ind w:right="-5"/>
        <w:rPr>
          <w:rFonts w:ascii="Times New Roman" w:hAnsi="Times New Roman" w:cs="Times New Roman"/>
          <w:b/>
          <w:lang w:val="lt-LT"/>
        </w:rPr>
      </w:pPr>
      <w:r w:rsidRPr="00CE253C">
        <w:rPr>
          <w:rFonts w:ascii="Times New Roman" w:hAnsi="Times New Roman" w:cs="Times New Roman"/>
          <w:b/>
          <w:lang w:val="lt-LT"/>
        </w:rPr>
        <w:t>2.</w:t>
      </w:r>
      <w:r w:rsidRPr="00CE253C">
        <w:rPr>
          <w:rFonts w:ascii="Times New Roman" w:hAnsi="Times New Roman" w:cs="Times New Roman"/>
          <w:b/>
          <w:lang w:val="lt-LT"/>
        </w:rPr>
        <w:tab/>
        <w:t xml:space="preserve">Jei perleidžiamas vieneto turtas, kuriam buvo skaičiuojamas nusidėvėjimas arba amortizacija pelno mokesčiui apskaičiuoti, apskaičiuojant turto vertės padidėjimo pajamas įsigijimo kaina tam turtui mažinama nusidėvėjimo ar amortizacijos suma, įtraukta į ribojamų dydžių leidžiamus atskaitymus. </w:t>
      </w:r>
    </w:p>
    <w:p w14:paraId="4924C84F"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
          <w:lang w:val="lt-LT"/>
        </w:rPr>
      </w:pPr>
      <w:r w:rsidRPr="00E079AB">
        <w:rPr>
          <w:rFonts w:ascii="Times New Roman" w:hAnsi="Times New Roman" w:cs="Times New Roman"/>
          <w:b/>
          <w:lang w:val="lt-LT"/>
        </w:rPr>
        <w:t>Komentaras</w:t>
      </w:r>
    </w:p>
    <w:p w14:paraId="23256667"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Cs/>
          <w:lang w:val="lt-LT"/>
        </w:rPr>
      </w:pPr>
      <w:r w:rsidRPr="00E079AB">
        <w:rPr>
          <w:rFonts w:ascii="Times New Roman" w:hAnsi="Times New Roman" w:cs="Times New Roman"/>
          <w:bCs/>
          <w:lang w:val="lt-LT"/>
        </w:rPr>
        <w:t>Jei vienetas kitų asmenų nuosavybėn perleidžia turtą, kuriam pelno mokesčio apskaičiavimo tikslais šis vienetas skaičiavo nusidėvėjimą arba amortizaciją, tai minėtas vienetas, apskaičiuodamas turto vertės padidėjimo pajamas, to turto įsigijimo kainą sumažina nusidėvėjimo ar amortizacijos suma, įtraukta į ribojamų dydžių leidžiamus atskaitymus.</w:t>
      </w:r>
    </w:p>
    <w:p w14:paraId="6CD63FE1" w14:textId="77777777" w:rsidR="00093845" w:rsidRPr="00E079AB" w:rsidRDefault="000D779E">
      <w:pPr>
        <w:pStyle w:val="Pagrindiniotekstotrauka"/>
        <w:tabs>
          <w:tab w:val="left" w:pos="720"/>
          <w:tab w:val="left" w:pos="1077"/>
          <w:tab w:val="left" w:pos="1418"/>
          <w:tab w:val="left" w:pos="9356"/>
        </w:tabs>
        <w:ind w:right="-5"/>
        <w:rPr>
          <w:rFonts w:ascii="Times New Roman" w:hAnsi="Times New Roman" w:cs="Times New Roman"/>
          <w:bCs/>
          <w:lang w:val="lt-LT"/>
        </w:rPr>
      </w:pPr>
      <w:r w:rsidRPr="00E079AB">
        <w:rPr>
          <w:rFonts w:ascii="Times New Roman" w:hAnsi="Times New Roman" w:cs="Times New Roman"/>
          <w:bCs/>
          <w:lang w:val="lt-LT"/>
        </w:rPr>
        <w:t>Tuo atveju, jei vienetas turtą, kuriam skaičiavo nusidėvėjimą ir jį priskyrė ribojamų dydžių leidžiamiems atskaitymams, parduoda kaip metalo laužą, tai apmokestinamosiomis pajamomis pripažįstama turto pardavimo kaina, o leidžiamais atskaitymais – turto likutinė vertė.</w:t>
      </w:r>
    </w:p>
    <w:p w14:paraId="725D78FF" w14:textId="77777777" w:rsidR="00093845" w:rsidRPr="00480C1E" w:rsidRDefault="000D779E">
      <w:pPr>
        <w:ind w:firstLine="720"/>
        <w:jc w:val="both"/>
        <w:rPr>
          <w:b/>
          <w:color w:val="000000"/>
          <w:lang w:eastAsia="lt-LT"/>
        </w:rPr>
      </w:pPr>
      <w:r w:rsidRPr="00477AF7">
        <w:rPr>
          <w:b/>
          <w:bCs/>
          <w:color w:val="000000"/>
          <w:lang w:eastAsia="lt-LT"/>
        </w:rPr>
        <w:t>3. NETEKO GALIOS</w:t>
      </w:r>
      <w:r w:rsidR="00590912" w:rsidRPr="00480C1E">
        <w:rPr>
          <w:b/>
          <w:bCs/>
          <w:color w:val="000000"/>
          <w:lang w:eastAsia="lt-LT"/>
        </w:rPr>
        <w:t>:</w:t>
      </w:r>
      <w:r w:rsidRPr="00480C1E">
        <w:rPr>
          <w:b/>
          <w:bCs/>
          <w:color w:val="000000"/>
          <w:lang w:eastAsia="lt-LT"/>
        </w:rPr>
        <w:t xml:space="preserve"> </w:t>
      </w:r>
      <w:r w:rsidRPr="00480C1E">
        <w:rPr>
          <w:b/>
          <w:color w:val="000000"/>
          <w:lang w:eastAsia="lt-LT"/>
        </w:rPr>
        <w:t>2004 01 22 įstatymu Nr. IX-1972 (nuo 2004 02 14)</w:t>
      </w:r>
    </w:p>
    <w:p w14:paraId="06F7BBF6" w14:textId="77777777" w:rsidR="00093845" w:rsidRDefault="000D779E">
      <w:pPr>
        <w:ind w:firstLine="720"/>
        <w:jc w:val="both"/>
        <w:rPr>
          <w:i/>
          <w:color w:val="000000"/>
          <w:lang w:eastAsia="lt-LT"/>
        </w:rPr>
      </w:pPr>
      <w:r w:rsidRPr="00477AF7">
        <w:rPr>
          <w:b/>
          <w:bCs/>
          <w:color w:val="000000"/>
          <w:lang w:eastAsia="lt-LT"/>
        </w:rPr>
        <w:t>4. NETEKO GALIOS</w:t>
      </w:r>
      <w:r w:rsidR="00590912" w:rsidRPr="00480C1E">
        <w:rPr>
          <w:b/>
          <w:bCs/>
          <w:color w:val="000000"/>
          <w:lang w:eastAsia="lt-LT"/>
        </w:rPr>
        <w:t>:</w:t>
      </w:r>
      <w:r w:rsidRPr="00480C1E">
        <w:rPr>
          <w:b/>
          <w:bCs/>
          <w:color w:val="000000"/>
          <w:lang w:eastAsia="lt-LT"/>
        </w:rPr>
        <w:t xml:space="preserve"> </w:t>
      </w:r>
      <w:r w:rsidRPr="00480C1E">
        <w:rPr>
          <w:b/>
          <w:color w:val="000000"/>
          <w:lang w:eastAsia="lt-LT"/>
        </w:rPr>
        <w:t>2004 01 22 įstatymu Nr. IX-1972 (nuo 2004 02 14)</w:t>
      </w:r>
    </w:p>
    <w:p w14:paraId="68F28071"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Jei vienetas perleidžia obligaciją, tai šio perleidimo rezultatas obligaciją perleidusiame vienete - turto vertės padidėjimo pajamos mažinamos diskonto suma, kuri jau buvo įtraukta į obligaciją perleidusio vieneto pajamas. </w:t>
      </w:r>
    </w:p>
    <w:p w14:paraId="3A36521B" w14:textId="77777777" w:rsidR="00093845" w:rsidRDefault="000D779E">
      <w:pPr>
        <w:pStyle w:val="Pagrindiniotekstotrauka"/>
        <w:tabs>
          <w:tab w:val="left" w:pos="720"/>
          <w:tab w:val="left" w:pos="1077"/>
          <w:tab w:val="left" w:pos="1418"/>
        </w:tabs>
        <w:ind w:right="-5"/>
        <w:rPr>
          <w:rFonts w:ascii="Times New Roman" w:hAnsi="Times New Roman"/>
          <w:b/>
          <w:lang w:val="lt-LT"/>
        </w:rPr>
      </w:pPr>
      <w:r>
        <w:rPr>
          <w:rFonts w:ascii="Times New Roman" w:hAnsi="Times New Roman"/>
          <w:b/>
          <w:lang w:val="lt-LT"/>
        </w:rPr>
        <w:t>Komentaras</w:t>
      </w:r>
    </w:p>
    <w:p w14:paraId="50F8B498" w14:textId="77777777" w:rsidR="00093845" w:rsidRDefault="000D779E">
      <w:pPr>
        <w:pStyle w:val="Pagrindiniotekstotrauka"/>
        <w:tabs>
          <w:tab w:val="left" w:pos="720"/>
          <w:tab w:val="left" w:pos="1077"/>
          <w:tab w:val="left" w:pos="1418"/>
          <w:tab w:val="left" w:pos="9356"/>
        </w:tabs>
        <w:ind w:right="-5"/>
        <w:rPr>
          <w:rFonts w:ascii="Times New Roman" w:hAnsi="Times New Roman"/>
          <w:bCs/>
          <w:lang w:val="lt-LT"/>
        </w:rPr>
      </w:pPr>
      <w:r>
        <w:rPr>
          <w:rFonts w:ascii="Times New Roman" w:hAnsi="Times New Roman"/>
          <w:bCs/>
          <w:lang w:val="lt-LT"/>
        </w:rPr>
        <w:t xml:space="preserve">Jeigu vienetas kitų asmenų nuosavybėn perleidžia obligaciją, tai iš turto padidėjimo pajamų, apskaičiuotų šiame PMĮ straipsnyje nustatyta tvarka, atėmęs diskonto sumą, kuri jau buvo įtraukta į obligaciją perleidusio vieneto pajamas, vienetas gaus obligacijos perleidimo rezultatą. </w:t>
      </w:r>
    </w:p>
    <w:p w14:paraId="7034FC70" w14:textId="77777777" w:rsidR="00093845" w:rsidRDefault="000D779E" w:rsidP="00DE764D">
      <w:pPr>
        <w:spacing w:after="0"/>
        <w:ind w:firstLine="720"/>
        <w:jc w:val="both"/>
        <w:rPr>
          <w:b/>
          <w:bCs/>
          <w:lang w:val="lt-LT"/>
        </w:rPr>
      </w:pPr>
      <w:r>
        <w:rPr>
          <w:b/>
          <w:bCs/>
          <w:lang w:val="lt-LT"/>
        </w:rPr>
        <w:t>6. Tam tikrais atvejais vienetus reorganizuojant, likviduojant, pertvarkant ar Lietuvos vienetui (pagal 2001 m. spalio 8 d. Tarybos reglamentą (EB) Nr. 2157/2001 dėl Europos bendrovės (SE) statuto ir 2001 m. spalio 8 d. Tarybos direktyvą 2001/86/EB, papildančią Europos bendrovės statutą dėl darbuotojų dalyvavimo priimant sprendimus, įsteigtai Europos bendrovei, kurios buveinė yra Lietuvos Respublikoje (toliau – Europos bendrovė), ar pagal 2003 m. liepos 22 d. Tarybos reglamentą (EB) Nr. 1435/2003 dėl Europos kooperatinės bendrovės (SCE) statuto ir 2003 m. liepos 22 d. Tarybos direktyvą 2003/72/EB, papildančią Europos kooperatinės bendrovės statutą dėl darbuotojų dalyvavimo, įsteigtai Europos kooperatinei bendrovei, kurios buveinė yra Lietuvos Respublikoje (toliau – Europos kooperatinė bendrovė), perkeliant registruotą buveinę į kitą Europos Sąjungos valstybę narę, turto vertės padidėjimo pajamų pripažinimo ir apmokestinimo tvarka yra nustatyta šio Įstatymo IX skyriuje.</w:t>
      </w:r>
    </w:p>
    <w:p w14:paraId="3BC550FE" w14:textId="77777777" w:rsidR="00093845" w:rsidRPr="00F425B3" w:rsidRDefault="000D779E" w:rsidP="00DE764D">
      <w:pPr>
        <w:spacing w:after="0"/>
        <w:jc w:val="both"/>
        <w:rPr>
          <w:bCs/>
          <w:i/>
          <w:lang w:val="lt-LT"/>
        </w:rPr>
      </w:pPr>
      <w:r w:rsidRPr="00F425B3">
        <w:rPr>
          <w:bCs/>
          <w:i/>
          <w:lang w:val="lt-LT"/>
        </w:rPr>
        <w:t>(</w:t>
      </w:r>
      <w:r w:rsidRPr="00F425B3">
        <w:rPr>
          <w:i/>
          <w:color w:val="000000"/>
          <w:lang w:val="lt-LT" w:eastAsia="lt-LT"/>
        </w:rPr>
        <w:t>KEISTA: 2005 12 20 įstatymu Nr. X-456 (nuo 2006 01 01)</w:t>
      </w:r>
      <w:r w:rsidR="00655350" w:rsidRPr="00F425B3">
        <w:rPr>
          <w:i/>
          <w:color w:val="000000"/>
          <w:lang w:val="lt-LT" w:eastAsia="lt-LT"/>
        </w:rPr>
        <w:t>,</w:t>
      </w:r>
      <w:r w:rsidR="00AC562D" w:rsidRPr="00F425B3">
        <w:rPr>
          <w:i/>
          <w:lang w:val="lt-LT"/>
        </w:rPr>
        <w:t xml:space="preserve"> </w:t>
      </w:r>
      <w:r w:rsidR="00AC562D" w:rsidRPr="00F425B3">
        <w:rPr>
          <w:i/>
          <w:color w:val="000000"/>
          <w:lang w:val="lt-LT" w:eastAsia="lt-LT"/>
        </w:rPr>
        <w:t>taikoma nuo 2006 metais prasidėjusio ir vėlesniais mokestiniais laikotarpiais</w:t>
      </w:r>
      <w:r w:rsidRPr="00F425B3">
        <w:rPr>
          <w:bCs/>
          <w:i/>
          <w:lang w:val="lt-LT"/>
        </w:rPr>
        <w:t>)</w:t>
      </w:r>
    </w:p>
    <w:p w14:paraId="1BC1074D" w14:textId="77777777" w:rsidR="00093845" w:rsidRDefault="000D779E">
      <w:pPr>
        <w:tabs>
          <w:tab w:val="left" w:pos="720"/>
          <w:tab w:val="left" w:pos="1077"/>
          <w:tab w:val="left" w:pos="1418"/>
        </w:tabs>
        <w:ind w:right="-5" w:firstLine="709"/>
        <w:jc w:val="both"/>
        <w:rPr>
          <w:b/>
          <w:lang w:val="lt-LT"/>
        </w:rPr>
      </w:pPr>
      <w:r>
        <w:rPr>
          <w:b/>
          <w:lang w:val="lt-LT"/>
        </w:rPr>
        <w:t>Komentaras</w:t>
      </w:r>
    </w:p>
    <w:p w14:paraId="5741E572" w14:textId="77777777" w:rsidR="00093845" w:rsidRDefault="000D779E">
      <w:pPr>
        <w:tabs>
          <w:tab w:val="left" w:pos="720"/>
          <w:tab w:val="left" w:pos="1077"/>
          <w:tab w:val="left" w:pos="1418"/>
        </w:tabs>
        <w:ind w:right="-5" w:firstLine="709"/>
        <w:jc w:val="both"/>
        <w:rPr>
          <w:bCs/>
          <w:szCs w:val="20"/>
          <w:lang w:val="lt-LT"/>
        </w:rPr>
      </w:pPr>
      <w:r>
        <w:rPr>
          <w:bCs/>
          <w:lang w:val="lt-LT"/>
        </w:rPr>
        <w:t>Žr. PMĮ IX skyriaus komentarą.</w:t>
      </w:r>
    </w:p>
    <w:p w14:paraId="160C2367" w14:textId="77777777" w:rsidR="00093845" w:rsidRDefault="000D779E">
      <w:pPr>
        <w:tabs>
          <w:tab w:val="left" w:pos="720"/>
          <w:tab w:val="left" w:pos="1077"/>
          <w:tab w:val="left" w:pos="1418"/>
        </w:tabs>
        <w:ind w:right="-5" w:firstLine="709"/>
        <w:jc w:val="both"/>
        <w:rPr>
          <w:szCs w:val="20"/>
          <w:lang w:val="lt-LT"/>
        </w:rPr>
      </w:pPr>
      <w:r>
        <w:rPr>
          <w:b/>
          <w:lang w:val="lt-LT"/>
        </w:rPr>
        <w:t>7.</w:t>
      </w:r>
      <w:r>
        <w:rPr>
          <w:b/>
          <w:lang w:val="lt-LT"/>
        </w:rPr>
        <w:tab/>
        <w:t>Kitais atvejais Lietuvos Respublikos Vyriausybė arba jos įgaliota institucija nustato turto įsigijimo kainos, pardavimo kainos arba turto vertės padidėjimo pajamų apskaičiavimo tvarką.</w:t>
      </w:r>
      <w:r>
        <w:rPr>
          <w:lang w:val="lt-LT"/>
        </w:rPr>
        <w:t xml:space="preserve"> </w:t>
      </w:r>
    </w:p>
    <w:p w14:paraId="6AB6E9DA" w14:textId="77777777" w:rsidR="00093845" w:rsidRDefault="000D779E">
      <w:pPr>
        <w:tabs>
          <w:tab w:val="left" w:pos="720"/>
          <w:tab w:val="left" w:pos="1077"/>
          <w:tab w:val="left" w:pos="1418"/>
        </w:tabs>
        <w:ind w:right="-5"/>
        <w:jc w:val="both"/>
        <w:rPr>
          <w:b/>
          <w:szCs w:val="20"/>
          <w:lang w:val="lt-LT"/>
        </w:rPr>
      </w:pPr>
      <w:r>
        <w:rPr>
          <w:lang w:val="lt-LT"/>
        </w:rPr>
        <w:tab/>
      </w:r>
      <w:r>
        <w:rPr>
          <w:b/>
          <w:lang w:val="lt-LT"/>
        </w:rPr>
        <w:t>Komentaras</w:t>
      </w:r>
    </w:p>
    <w:p w14:paraId="06363C52" w14:textId="77777777" w:rsidR="00093845" w:rsidRDefault="000D779E">
      <w:pPr>
        <w:tabs>
          <w:tab w:val="left" w:pos="720"/>
          <w:tab w:val="left" w:pos="1077"/>
          <w:tab w:val="left" w:pos="1418"/>
        </w:tabs>
        <w:ind w:right="-5"/>
        <w:jc w:val="both"/>
        <w:rPr>
          <w:bCs/>
          <w:szCs w:val="20"/>
          <w:lang w:val="lt-LT"/>
        </w:rPr>
      </w:pPr>
      <w:r>
        <w:rPr>
          <w:lang w:val="lt-LT"/>
        </w:rPr>
        <w:lastRenderedPageBreak/>
        <w:tab/>
      </w:r>
      <w:r>
        <w:rPr>
          <w:bCs/>
          <w:lang w:val="lt-LT"/>
        </w:rPr>
        <w:t>Lietuvos Respublikos Vyriausybė arba jos įgaliota institucija nustatys turto įsigijimo kainos, pardavimo kainos arba turto vertės padidėjimo pajamų apskaičiavimo tvarką kitais, t.y. PMĮ 13, 14 ir 15 straipsniuose nenurodytais, atvejais.</w:t>
      </w:r>
    </w:p>
    <w:p w14:paraId="69B4CD62" w14:textId="77777777" w:rsidR="00093845" w:rsidRDefault="00093845">
      <w:pPr>
        <w:pStyle w:val="Pagrindinistekstas3"/>
        <w:ind w:right="43"/>
        <w:jc w:val="center"/>
        <w:rPr>
          <w:rFonts w:ascii="Times New Roman" w:hAnsi="Times New Roman"/>
          <w:b/>
          <w:bCs/>
        </w:rPr>
      </w:pPr>
    </w:p>
    <w:p w14:paraId="58382043" w14:textId="77777777" w:rsidR="00093845" w:rsidRDefault="000D779E">
      <w:pPr>
        <w:pStyle w:val="Pagrindinistekstas3"/>
        <w:ind w:left="3600" w:right="43" w:hanging="3600"/>
        <w:jc w:val="center"/>
        <w:rPr>
          <w:rFonts w:ascii="Times New Roman" w:hAnsi="Times New Roman"/>
          <w:b/>
          <w:bCs/>
        </w:rPr>
      </w:pPr>
      <w:r>
        <w:rPr>
          <w:rFonts w:ascii="Times New Roman" w:hAnsi="Times New Roman"/>
          <w:b/>
          <w:bCs/>
        </w:rPr>
        <w:t>V SKYRIUS</w:t>
      </w:r>
    </w:p>
    <w:p w14:paraId="7C3A873F" w14:textId="77777777" w:rsidR="00093845" w:rsidRDefault="000D779E">
      <w:pPr>
        <w:pStyle w:val="Pagrindinistekstas3"/>
        <w:ind w:right="43"/>
        <w:jc w:val="center"/>
        <w:rPr>
          <w:rFonts w:ascii="Times New Roman" w:hAnsi="Times New Roman"/>
          <w:b/>
          <w:bCs/>
        </w:rPr>
      </w:pPr>
      <w:r>
        <w:rPr>
          <w:rFonts w:ascii="Times New Roman" w:hAnsi="Times New Roman"/>
          <w:b/>
          <w:bCs/>
        </w:rPr>
        <w:t>LEIDŽIAMI ATSKAITYMAI IR RIBOJAMŲ DYDŽIŲ LEIDŽIAMI ATSKAITYMAI</w:t>
      </w:r>
    </w:p>
    <w:p w14:paraId="6C638514" w14:textId="77777777" w:rsidR="00093845" w:rsidRPr="00F064C6" w:rsidRDefault="000D779E" w:rsidP="00F064C6">
      <w:pPr>
        <w:pStyle w:val="Antrat1"/>
        <w:jc w:val="both"/>
        <w:rPr>
          <w:lang w:val="lt-LT"/>
        </w:rPr>
      </w:pPr>
      <w:bookmarkStart w:id="261" w:name="_17_straipsnis._Leidžiamų"/>
      <w:bookmarkEnd w:id="261"/>
      <w:r>
        <w:rPr>
          <w:lang w:val="lt-LT"/>
        </w:rPr>
        <w:t xml:space="preserve">17 STRAIPSNIS. Leidžiamų atskaitymų pripažinimo tvarka </w:t>
      </w:r>
    </w:p>
    <w:p w14:paraId="40F54095" w14:textId="77777777" w:rsidR="00093845" w:rsidRDefault="000D779E" w:rsidP="00DE764D">
      <w:pPr>
        <w:spacing w:after="0"/>
        <w:ind w:firstLine="993"/>
        <w:jc w:val="both"/>
        <w:rPr>
          <w:lang w:eastAsia="lt-LT"/>
        </w:rPr>
      </w:pPr>
      <w:r>
        <w:rPr>
          <w:b/>
          <w:bCs/>
          <w:lang w:eastAsia="lt-LT"/>
        </w:rPr>
        <w:t xml:space="preserve">1. Leidžiami atskaitymai yra visos faktiškai patirtos įprastinės tokiai veiklai vieneto sąnaudos, būtinos vieneto pajamoms uždirbti ar vieneto ekonominei naudai gauti, jeigu šis Įstatymas nenustato ko kita. Leidžiamiems atskaitymams taip pat priskiriamos visos išlaidos darbuotojų naudai, jeigu ši darbuotojų gauta nauda pagal Lietuvos Respublikos </w:t>
      </w:r>
      <w:bookmarkStart w:id="262" w:name="n1_2894"/>
      <w:r>
        <w:rPr>
          <w:b/>
          <w:bCs/>
          <w:lang w:eastAsia="lt-LT"/>
        </w:rPr>
        <w:fldChar w:fldCharType="begin"/>
      </w:r>
      <w:r>
        <w:rPr>
          <w:b/>
          <w:bCs/>
          <w:lang w:eastAsia="lt-LT"/>
        </w:rPr>
        <w:instrText xml:space="preserve"> HYPERLINK "http://www.infolex.lt/ta/114178" \o "Lietuvos Respublikos gyventojų pajamų mokesčio įstatymas" \t "_blank" </w:instrText>
      </w:r>
      <w:r>
        <w:rPr>
          <w:b/>
          <w:bCs/>
          <w:lang w:eastAsia="lt-LT"/>
        </w:rPr>
        <w:fldChar w:fldCharType="separate"/>
      </w:r>
      <w:r>
        <w:rPr>
          <w:b/>
          <w:bCs/>
          <w:lang w:eastAsia="lt-LT"/>
        </w:rPr>
        <w:t>gyventojų pajamų mokesčio įstatymo</w:t>
      </w:r>
      <w:r>
        <w:rPr>
          <w:b/>
          <w:bCs/>
          <w:lang w:eastAsia="lt-LT"/>
        </w:rPr>
        <w:fldChar w:fldCharType="end"/>
      </w:r>
      <w:bookmarkStart w:id="263" w:name="pn1_2894"/>
      <w:bookmarkEnd w:id="262"/>
      <w:bookmarkEnd w:id="263"/>
      <w:r>
        <w:rPr>
          <w:b/>
          <w:bCs/>
          <w:lang w:eastAsia="lt-LT"/>
        </w:rPr>
        <w:t xml:space="preserve"> nuostatas yra gyventojų pajamų mokesčio objektas. Leidžiamiems atskaitymams priskiriami Lietuvos Respublikos Vyriausybės nustatyti Ignalinos atominės elektrinės papildomi atskaitymai. Vieneto (individualios įmonės, tikrosios ūkinės bendrijos, komanditinės ūkinės bendrijos, mažosios bendrijos) leidžiamiems atskaitymams taip pat priskiriama suma, nuo kurios pagal Lietuvos Respublikos valstybinio socialinio </w:t>
      </w:r>
      <w:bookmarkStart w:id="264" w:name="n1_2895"/>
      <w:r>
        <w:rPr>
          <w:b/>
          <w:bCs/>
          <w:lang w:eastAsia="lt-LT"/>
        </w:rPr>
        <w:fldChar w:fldCharType="begin"/>
      </w:r>
      <w:r>
        <w:rPr>
          <w:b/>
          <w:bCs/>
          <w:lang w:eastAsia="lt-LT"/>
        </w:rPr>
        <w:instrText xml:space="preserve"> HYPERLINK "http://www.infolex.lt/ta/54250" \o "Lietuvos Respublikos valstybinio socialinio draudimo įstatymas" \t "_blank" </w:instrText>
      </w:r>
      <w:r>
        <w:rPr>
          <w:b/>
          <w:bCs/>
          <w:lang w:eastAsia="lt-LT"/>
        </w:rPr>
        <w:fldChar w:fldCharType="separate"/>
      </w:r>
      <w:r>
        <w:rPr>
          <w:b/>
          <w:bCs/>
          <w:lang w:eastAsia="lt-LT"/>
        </w:rPr>
        <w:t>draudimo įstatymo</w:t>
      </w:r>
      <w:r>
        <w:rPr>
          <w:b/>
          <w:bCs/>
          <w:lang w:eastAsia="lt-LT"/>
        </w:rPr>
        <w:fldChar w:fldCharType="end"/>
      </w:r>
      <w:bookmarkStart w:id="265" w:name="pn1_2895"/>
      <w:bookmarkEnd w:id="264"/>
      <w:bookmarkEnd w:id="265"/>
      <w:r>
        <w:rPr>
          <w:b/>
          <w:bCs/>
          <w:lang w:eastAsia="lt-LT"/>
        </w:rPr>
        <w:t xml:space="preserve"> nuostatas skaičiuojamos ir mokamos vieneto dalyvio (individualios įmonės savininko, tikrosios ūkinės bendrijos tikrojo nario, komanditinės ūkinės bendrijos tikrojo nario, mažosios bendrijos nario) valstybinio socialinio draudimo įmokos.</w:t>
      </w:r>
    </w:p>
    <w:p w14:paraId="1BBB78C3" w14:textId="77777777" w:rsidR="00093845" w:rsidRDefault="000D779E" w:rsidP="00DE764D">
      <w:pPr>
        <w:spacing w:after="0"/>
        <w:jc w:val="both"/>
        <w:rPr>
          <w:i/>
          <w:iCs/>
          <w:lang w:val="lt-LT"/>
        </w:rPr>
      </w:pPr>
      <w:r w:rsidRPr="00F425B3">
        <w:rPr>
          <w:i/>
          <w:iCs/>
          <w:lang w:val="lt-LT"/>
        </w:rPr>
        <w:t xml:space="preserve">(KEISTA: </w:t>
      </w:r>
      <w:r w:rsidRPr="00F425B3">
        <w:rPr>
          <w:i/>
          <w:iCs/>
        </w:rPr>
        <w:t>2012 06 29 įstatymu Nr. XI-2165 (nuo 2012 09 01)</w:t>
      </w:r>
      <w:r w:rsidRPr="00F425B3">
        <w:rPr>
          <w:i/>
          <w:iCs/>
          <w:lang w:val="lt-LT"/>
        </w:rPr>
        <w:t>)</w:t>
      </w:r>
    </w:p>
    <w:p w14:paraId="02148226" w14:textId="77777777" w:rsidR="008A55B2" w:rsidRPr="00F425B3" w:rsidRDefault="008A55B2" w:rsidP="00DE764D">
      <w:pPr>
        <w:spacing w:after="0"/>
        <w:jc w:val="both"/>
        <w:rPr>
          <w:i/>
          <w:lang w:val="lt-LT"/>
        </w:rPr>
      </w:pPr>
    </w:p>
    <w:p w14:paraId="67D18CD9" w14:textId="77777777" w:rsidR="00093845" w:rsidRDefault="000D779E">
      <w:pPr>
        <w:ind w:firstLine="993"/>
        <w:jc w:val="both"/>
        <w:rPr>
          <w:lang w:eastAsia="lt-LT"/>
        </w:rPr>
      </w:pPr>
      <w:bookmarkStart w:id="266" w:name="pn1_2897"/>
      <w:bookmarkEnd w:id="266"/>
      <w:r>
        <w:rPr>
          <w:lang w:eastAsia="lt-LT"/>
        </w:rPr>
        <w:t> </w:t>
      </w:r>
      <w:r>
        <w:rPr>
          <w:lang w:eastAsia="lt-LT"/>
        </w:rPr>
        <w:tab/>
      </w:r>
      <w:r>
        <w:rPr>
          <w:b/>
          <w:bCs/>
          <w:lang w:eastAsia="lt-LT"/>
        </w:rPr>
        <w:t>Komentaras</w:t>
      </w:r>
    </w:p>
    <w:p w14:paraId="6D153EA4" w14:textId="77777777" w:rsidR="00093845" w:rsidRDefault="000D779E">
      <w:pPr>
        <w:ind w:firstLine="993"/>
        <w:jc w:val="both"/>
        <w:rPr>
          <w:lang w:eastAsia="lt-LT"/>
        </w:rPr>
      </w:pPr>
      <w:r w:rsidRPr="00527313">
        <w:rPr>
          <w:lang w:eastAsia="lt-LT"/>
        </w:rPr>
        <w:t>1</w:t>
      </w:r>
      <w:r>
        <w:rPr>
          <w:lang w:eastAsia="lt-LT"/>
        </w:rPr>
        <w:t>. Remiantis šio straipsnio pirmosios dalies nuostatomis, leidžiamais atskaitymais laikomos visos faktiškai patirtos įprastinės tokiai veiklai vieneto sąnaudos, būtinos vieneto pajamoms uždirbti ar vieneto ekonominei naudai gauti. Leidžiamiems atskaitymams taip pat priskiriamos visos išlaidos darbuotojų naudai, jei ši darbuotojų gauta nauda yra gyventojų pajamų mokesčio objektas. Be to, individualios įmonės, tikrosios ūkinės bendrijos, komanditinės ūkinės bei mažosio</w:t>
      </w:r>
      <w:r>
        <w:rPr>
          <w:b/>
          <w:lang w:eastAsia="lt-LT"/>
        </w:rPr>
        <w:t>s</w:t>
      </w:r>
      <w:r>
        <w:rPr>
          <w:lang w:eastAsia="lt-LT"/>
        </w:rPr>
        <w:t xml:space="preserve"> bendrijos leidžiamiems atskaitymams taip pat priskiria sumas, nuo kurių pagal Lietuvos Respublikos valstybinio socialinio </w:t>
      </w:r>
      <w:bookmarkStart w:id="267" w:name="n1_2898"/>
      <w:r>
        <w:rPr>
          <w:lang w:eastAsia="lt-LT"/>
        </w:rPr>
        <w:fldChar w:fldCharType="begin"/>
      </w:r>
      <w:r>
        <w:rPr>
          <w:lang w:eastAsia="lt-LT"/>
        </w:rPr>
        <w:instrText xml:space="preserve"> HYPERLINK "http://www.infolex.lt/ta/54250" \o "Lietuvos Respublikos valstybinio socialinio draudimo įstatymas" \t "_blank" </w:instrText>
      </w:r>
      <w:r>
        <w:rPr>
          <w:lang w:eastAsia="lt-LT"/>
        </w:rPr>
        <w:fldChar w:fldCharType="separate"/>
      </w:r>
      <w:r>
        <w:rPr>
          <w:lang w:eastAsia="lt-LT"/>
        </w:rPr>
        <w:t>draudimo įstatymo</w:t>
      </w:r>
      <w:r>
        <w:rPr>
          <w:lang w:eastAsia="lt-LT"/>
        </w:rPr>
        <w:fldChar w:fldCharType="end"/>
      </w:r>
      <w:bookmarkStart w:id="268" w:name="pn1_2898"/>
      <w:bookmarkEnd w:id="267"/>
      <w:bookmarkEnd w:id="268"/>
      <w:r>
        <w:rPr>
          <w:lang w:eastAsia="lt-LT"/>
        </w:rPr>
        <w:t xml:space="preserve"> nuostatas skaičiuojamos ir mokamos vieneto dalyvio (individualios įmonės savininko, mažosios bendrijos nario, tikrosios ūkinės bendrijos tikrojo nario, komanditinės ūkinės bendrijos tikrojo nario) valstybinio socialinio draudimo įmokos.</w:t>
      </w:r>
    </w:p>
    <w:p w14:paraId="63111A4E" w14:textId="77777777" w:rsidR="00093845" w:rsidRDefault="000D779E">
      <w:pPr>
        <w:ind w:firstLine="993"/>
        <w:jc w:val="both"/>
        <w:rPr>
          <w:lang w:eastAsia="lt-LT"/>
        </w:rPr>
      </w:pPr>
      <w:r>
        <w:rPr>
          <w:lang w:eastAsia="lt-LT"/>
        </w:rPr>
        <w:t>Sąnaudos turi būti pagrindžiamos galiojančiais sandoriais, todėl vienetas, sudarydamas sandorį, turi būti įsitikinęs, kad šio sandorio antroji šalis nėra fiktyvus ūkio subjektas ir kad jis turi teisę vykdyti sandoriu sukurtas pareigas (vykdyti atitinkamą veiklą).</w:t>
      </w:r>
    </w:p>
    <w:p w14:paraId="222AFE93" w14:textId="77777777" w:rsidR="00093845" w:rsidRPr="0065344A" w:rsidRDefault="00F425B3">
      <w:pPr>
        <w:ind w:firstLine="720"/>
        <w:jc w:val="both"/>
        <w:rPr>
          <w:lang w:val="lt-LT"/>
        </w:rPr>
      </w:pPr>
      <w:r>
        <w:rPr>
          <w:iCs/>
          <w:lang w:val="lt-LT"/>
        </w:rPr>
        <w:t xml:space="preserve">    </w:t>
      </w:r>
      <w:r w:rsidR="000D779E">
        <w:rPr>
          <w:iCs/>
          <w:lang w:val="lt-LT"/>
        </w:rPr>
        <w:t>(Pakeistas 17 str. 1 dalies 1 punktas VMI prie FM 2016-05-16 raštu Nr. (18.32-31-1E)RM-14067)</w:t>
      </w:r>
    </w:p>
    <w:p w14:paraId="667517E1" w14:textId="77777777" w:rsidR="00093845" w:rsidRPr="0065344A" w:rsidRDefault="000D779E">
      <w:pPr>
        <w:ind w:firstLine="993"/>
        <w:jc w:val="both"/>
        <w:rPr>
          <w:lang w:val="lt-LT" w:eastAsia="lt-LT"/>
        </w:rPr>
      </w:pPr>
      <w:r w:rsidRPr="0065344A">
        <w:rPr>
          <w:lang w:val="lt-LT" w:eastAsia="lt-LT"/>
        </w:rPr>
        <w:t xml:space="preserve">2. Išlaidos pripažįstamos sąnaudomis pagal pajamų ir sąnaudų kaupimo apskaitos principą (toliau – kaupimo apskaitos principas), kitus buhalterinės apskaitos tvarkymą reglamentuojančiuose dokumentuose nustatytus principus. </w:t>
      </w:r>
    </w:p>
    <w:p w14:paraId="352201B5" w14:textId="77777777" w:rsidR="00093845" w:rsidRPr="0065344A" w:rsidRDefault="000D779E">
      <w:pPr>
        <w:ind w:firstLine="993"/>
        <w:jc w:val="both"/>
        <w:rPr>
          <w:lang w:val="lt-LT" w:eastAsia="lt-LT"/>
        </w:rPr>
      </w:pPr>
      <w:r w:rsidRPr="0065344A">
        <w:rPr>
          <w:lang w:val="lt-LT" w:eastAsia="lt-LT"/>
        </w:rPr>
        <w:t>Kaupimo principas numato, kad sąnaudos apskaitoje pripažįstamos ir registruojamos, kai jos patiriamos, neatsižvelgiant į laiką, kada buvo gauti ar sumokėti pinigai. Apskaičiuojant apmokestinamąjį pelną, sąnaudomis pripažįstama tik ta ataskaitinio ir ankstesnių laikotarpių išlaidų dalis, kuri tenka per ataskaitinį laikotarpį uždirbtoms pajamoms.</w:t>
      </w:r>
    </w:p>
    <w:p w14:paraId="74A856F7" w14:textId="77777777" w:rsidR="00093845" w:rsidRPr="0065344A" w:rsidRDefault="000D779E">
      <w:pPr>
        <w:ind w:firstLine="993"/>
        <w:jc w:val="both"/>
        <w:rPr>
          <w:lang w:val="lt-LT" w:eastAsia="lt-LT"/>
        </w:rPr>
      </w:pPr>
      <w:r w:rsidRPr="0065344A">
        <w:rPr>
          <w:lang w:val="lt-LT" w:eastAsia="lt-LT"/>
        </w:rPr>
        <w:lastRenderedPageBreak/>
        <w:t>Vienetai, pajamas pripažįstantys pagal pinigų apskaitos principą, sąnaudas pripažįsta pagal kaupimo apskaitos principą, tačiau, apskaičiuojant apmokestinamąjį pelną, pripažįstamos tik tos sąnaudos, kurios susijusios su pajamomis, faktiškai gautomis per mokestinį laikotarpį (su mokestinio laikotarpio įplaukomis).</w:t>
      </w:r>
    </w:p>
    <w:p w14:paraId="791D363E" w14:textId="77777777" w:rsidR="00093845" w:rsidRPr="0065344A" w:rsidRDefault="000D779E">
      <w:pPr>
        <w:ind w:firstLine="993"/>
        <w:jc w:val="both"/>
        <w:rPr>
          <w:lang w:val="lt-LT" w:eastAsia="lt-LT"/>
        </w:rPr>
      </w:pPr>
      <w:r w:rsidRPr="0065344A">
        <w:rPr>
          <w:lang w:val="lt-LT" w:eastAsia="lt-LT"/>
        </w:rPr>
        <w:t>3. Vieneto patirtos išlaidos yra laikomos įprastinėmis sąnaudomis, jeigu jos atitinka vykdomos veiklos pobūdį ir, jeigu jos yra įprastos vienetų, vykdančių atitinkamą veiklą Lietuvoje ar užsienyje, veiklai.</w:t>
      </w:r>
    </w:p>
    <w:p w14:paraId="70B6D3BE" w14:textId="77777777" w:rsidR="00093845" w:rsidRDefault="000D779E">
      <w:pPr>
        <w:ind w:firstLine="993"/>
        <w:jc w:val="both"/>
        <w:rPr>
          <w:lang w:eastAsia="lt-LT"/>
        </w:rPr>
      </w:pPr>
      <w:r w:rsidRPr="0065344A">
        <w:rPr>
          <w:lang w:val="lt-LT" w:eastAsia="lt-LT"/>
        </w:rPr>
        <w:t xml:space="preserve">4. Sąnaudoms, kurių dydį nulemia pagamintos produkcijos (įvykdytų užsakymų) kiekis, priskiriamos ne visos išlaidos, patirtos tai produkcijai pagaminti (užsakymui įvykdyti), o tik parduotai produkcijai tenkanti tų išlaidų dalis. </w:t>
      </w:r>
      <w:r>
        <w:rPr>
          <w:lang w:eastAsia="lt-LT"/>
        </w:rPr>
        <w:t xml:space="preserve">Ne visas sąnaudas galima padalinti tarp parduotos ir neparduotos produkcijos (nebaigtos gamybos). Vieneto tipinės veiklos sąnaudos, kurių dydį nulemia ne parduotų gaminių kiekis, o laikotarpio trukmė bei kiti veiksniai ir kurių neįmanoma susieti su pajamų uždirbimu, laikomos tenkančiomis uždirbtoms pajamoms. Prie tokių sąnaudų, apskaičiuojant apmokestinamąjį pelną, priskiriamos pardavimo, bendrosios ir administracinės sąnaudos (jeigu jos neįtraukiamos į ilgalaikio turto pasigaminimo kainą). </w:t>
      </w:r>
    </w:p>
    <w:p w14:paraId="30E61D88" w14:textId="77777777" w:rsidR="008D5675" w:rsidRPr="008D5675" w:rsidRDefault="000D779E" w:rsidP="008D5675">
      <w:pPr>
        <w:ind w:firstLine="993"/>
        <w:jc w:val="both"/>
        <w:rPr>
          <w:lang w:val="lt-LT" w:eastAsia="lt-LT"/>
        </w:rPr>
      </w:pPr>
      <w:r>
        <w:rPr>
          <w:lang w:eastAsia="lt-LT"/>
        </w:rPr>
        <w:t xml:space="preserve">5. </w:t>
      </w:r>
      <w:bookmarkStart w:id="269" w:name="_Hlk85523057"/>
      <w:r w:rsidR="008D5675" w:rsidRPr="008D5675">
        <w:rPr>
          <w:lang w:val="lt-LT" w:eastAsia="lt-LT"/>
        </w:rPr>
        <w:t xml:space="preserve">Vienetas, tvarkydamas </w:t>
      </w:r>
      <w:r w:rsidR="008D5675" w:rsidRPr="008D5675">
        <w:rPr>
          <w:bCs/>
          <w:lang w:val="lt-LT" w:eastAsia="lt-LT"/>
        </w:rPr>
        <w:t xml:space="preserve">finansinę </w:t>
      </w:r>
      <w:bookmarkEnd w:id="269"/>
      <w:r w:rsidR="008D5675" w:rsidRPr="008D5675">
        <w:rPr>
          <w:lang w:val="lt-LT" w:eastAsia="lt-LT"/>
        </w:rPr>
        <w:t xml:space="preserve">apskaitą, spręsdamas išlaidų priskyrimo tiesioginėms ir netiesioginėms išlaidoms klausimus, nustatydamas netiesioginių išlaidų paskirstymo gaminamai produkcijai (vykdomam užsakymui) kriterijus, taip pat priskirdamas sąnaudas, tenkančias parduotai produkcijai (užsakymui), turi vadovautis </w:t>
      </w:r>
      <w:r w:rsidR="008D5675" w:rsidRPr="008D5675">
        <w:rPr>
          <w:bCs/>
          <w:lang w:val="lt-LT" w:eastAsia="lt-LT"/>
        </w:rPr>
        <w:t xml:space="preserve">finansinę </w:t>
      </w:r>
      <w:r w:rsidR="008D5675" w:rsidRPr="008D5675">
        <w:rPr>
          <w:lang w:val="lt-LT" w:eastAsia="lt-LT"/>
        </w:rPr>
        <w:t xml:space="preserve">apskaitą reglamentuojančiais teisės aktais (žr. </w:t>
      </w:r>
      <w:hyperlink r:id="rId66" w:tgtFrame="_blank" w:tooltip="Lietuvos Respublikos pelno mokesčio įstatymas" w:history="1">
        <w:r w:rsidR="008D5675" w:rsidRPr="008D5675">
          <w:rPr>
            <w:rStyle w:val="Hipersaitas"/>
            <w:b w:val="0"/>
            <w:lang w:val="lt-LT" w:eastAsia="lt-LT"/>
          </w:rPr>
          <w:t>PMĮ</w:t>
        </w:r>
      </w:hyperlink>
      <w:r w:rsidR="008D5675" w:rsidRPr="008D5675">
        <w:rPr>
          <w:b/>
          <w:lang w:val="lt-LT" w:eastAsia="lt-LT"/>
        </w:rPr>
        <w:t xml:space="preserve"> </w:t>
      </w:r>
      <w:hyperlink r:id="rId67" w:tooltip="Buhalterinės apskaitos tvarkymo reikalavimai (str. 57)" w:history="1">
        <w:r w:rsidR="008D5675" w:rsidRPr="008D5675">
          <w:rPr>
            <w:rStyle w:val="Hipersaitas"/>
            <w:b w:val="0"/>
            <w:lang w:val="lt-LT" w:eastAsia="lt-LT"/>
          </w:rPr>
          <w:t>57</w:t>
        </w:r>
      </w:hyperlink>
      <w:r w:rsidR="008D5675" w:rsidRPr="008D5675">
        <w:rPr>
          <w:lang w:val="lt-LT" w:eastAsia="lt-LT"/>
        </w:rPr>
        <w:t xml:space="preserve"> str. 2 dalies komentarą).</w:t>
      </w:r>
    </w:p>
    <w:p w14:paraId="0707A77A" w14:textId="77777777" w:rsidR="008D5675" w:rsidRDefault="008D5675" w:rsidP="008D5675">
      <w:pPr>
        <w:ind w:firstLine="993"/>
        <w:jc w:val="both"/>
        <w:rPr>
          <w:lang w:val="lt-LT" w:eastAsia="lt-LT"/>
        </w:rPr>
      </w:pPr>
      <w:r w:rsidRPr="008D5675">
        <w:rPr>
          <w:lang w:val="lt-LT" w:eastAsia="lt-LT"/>
        </w:rPr>
        <w:t xml:space="preserve">Apskaičiuojant apmokestinamąjį pelną, taikomos tik tos </w:t>
      </w:r>
      <w:r w:rsidRPr="008D5675">
        <w:rPr>
          <w:bCs/>
          <w:lang w:val="lt-LT" w:eastAsia="lt-LT"/>
        </w:rPr>
        <w:t xml:space="preserve">finansinę </w:t>
      </w:r>
      <w:r w:rsidRPr="008D5675">
        <w:rPr>
          <w:lang w:val="lt-LT" w:eastAsia="lt-LT"/>
        </w:rPr>
        <w:t xml:space="preserve">apskaitą reglamentuojančių teisės aktų nuostatos, kurios neprieštarauja </w:t>
      </w:r>
      <w:hyperlink r:id="rId68" w:tgtFrame="_blank" w:tooltip="Lietuvos Respublikos pelno mokesčio įstatymas" w:history="1">
        <w:r w:rsidRPr="008D5675">
          <w:rPr>
            <w:rStyle w:val="Hipersaitas"/>
            <w:b w:val="0"/>
            <w:lang w:val="lt-LT" w:eastAsia="lt-LT"/>
          </w:rPr>
          <w:t>PMĮ</w:t>
        </w:r>
      </w:hyperlink>
      <w:r w:rsidRPr="008D5675">
        <w:rPr>
          <w:lang w:val="lt-LT" w:eastAsia="lt-LT"/>
        </w:rPr>
        <w:t xml:space="preserve"> nuostatoms. Tvarkant vieneto </w:t>
      </w:r>
      <w:r w:rsidRPr="008D5675">
        <w:rPr>
          <w:bCs/>
          <w:lang w:val="lt-LT" w:eastAsia="lt-LT"/>
        </w:rPr>
        <w:t xml:space="preserve">finansinę </w:t>
      </w:r>
      <w:r w:rsidRPr="008D5675">
        <w:rPr>
          <w:lang w:val="lt-LT" w:eastAsia="lt-LT"/>
        </w:rPr>
        <w:t xml:space="preserve">apskaitą pagal nustatytus apskaitos reikalavimus, ne visos </w:t>
      </w:r>
      <w:r w:rsidRPr="008D5675">
        <w:rPr>
          <w:bCs/>
          <w:lang w:val="lt-LT" w:eastAsia="lt-LT"/>
        </w:rPr>
        <w:t xml:space="preserve">finansinėje </w:t>
      </w:r>
      <w:r w:rsidRPr="008D5675">
        <w:rPr>
          <w:lang w:val="lt-LT" w:eastAsia="lt-LT"/>
        </w:rPr>
        <w:t xml:space="preserve">apskaitoje įregistruotos sąnaudos, skaičiuojant apmokestinamąjį pelną, gali būti priskiriamos leidžiamiems atskaitymams. Leidžiamų atskaitymų ir ribojamų dydžių leidžiamų atskaitymų iš pajamų tvarka nustatyta </w:t>
      </w:r>
      <w:hyperlink r:id="rId69" w:tgtFrame="_blank" w:tooltip="Lietuvos Respublikos pelno mokesčio įstatymas" w:history="1">
        <w:r w:rsidRPr="008D5675">
          <w:rPr>
            <w:rStyle w:val="Hipersaitas"/>
            <w:b w:val="0"/>
            <w:lang w:val="lt-LT" w:eastAsia="lt-LT"/>
          </w:rPr>
          <w:t>PMĮ</w:t>
        </w:r>
      </w:hyperlink>
      <w:r w:rsidRPr="008D5675">
        <w:rPr>
          <w:b/>
          <w:lang w:val="lt-LT" w:eastAsia="lt-LT"/>
        </w:rPr>
        <w:t xml:space="preserve"> </w:t>
      </w:r>
      <w:hyperlink r:id="rId70" w:tooltip="Leidžiamų atskaitymų pripažinimo tvarka (str. 17)" w:history="1">
        <w:r w:rsidRPr="008D5675">
          <w:rPr>
            <w:rStyle w:val="Hipersaitas"/>
            <w:b w:val="0"/>
            <w:lang w:val="lt-LT" w:eastAsia="lt-LT"/>
          </w:rPr>
          <w:t>17</w:t>
        </w:r>
      </w:hyperlink>
      <w:r w:rsidRPr="008D5675">
        <w:rPr>
          <w:b/>
          <w:lang w:val="lt-LT" w:eastAsia="lt-LT"/>
        </w:rPr>
        <w:t>-</w:t>
      </w:r>
      <w:hyperlink r:id="rId71" w:tooltip="Mokestinio laikotarpio nuostolių perkėlimas (str. 30)" w:history="1">
        <w:r w:rsidRPr="008D5675">
          <w:rPr>
            <w:rStyle w:val="Hipersaitas"/>
            <w:b w:val="0"/>
            <w:lang w:val="lt-LT" w:eastAsia="lt-LT"/>
          </w:rPr>
          <w:t>30</w:t>
        </w:r>
      </w:hyperlink>
      <w:r w:rsidRPr="008D5675">
        <w:rPr>
          <w:lang w:val="lt-LT" w:eastAsia="lt-LT"/>
        </w:rPr>
        <w:t xml:space="preserve"> straipsniuose (žr. </w:t>
      </w:r>
      <w:hyperlink r:id="rId72" w:tgtFrame="_blank" w:tooltip="Lietuvos Respublikos pelno mokesčio įstatymas" w:history="1">
        <w:r w:rsidRPr="008D5675">
          <w:rPr>
            <w:rStyle w:val="Hipersaitas"/>
            <w:b w:val="0"/>
            <w:lang w:val="lt-LT" w:eastAsia="lt-LT"/>
          </w:rPr>
          <w:t>PMĮ</w:t>
        </w:r>
      </w:hyperlink>
      <w:r w:rsidRPr="008D5675">
        <w:rPr>
          <w:b/>
          <w:lang w:val="lt-LT" w:eastAsia="lt-LT"/>
        </w:rPr>
        <w:t xml:space="preserve"> </w:t>
      </w:r>
      <w:hyperlink r:id="rId73" w:tooltip="Leidžiamų atskaitymų pripažinimo tvarka (str. 17)" w:history="1">
        <w:r w:rsidRPr="008D5675">
          <w:rPr>
            <w:rStyle w:val="Hipersaitas"/>
            <w:b w:val="0"/>
            <w:lang w:val="lt-LT" w:eastAsia="lt-LT"/>
          </w:rPr>
          <w:t>17</w:t>
        </w:r>
      </w:hyperlink>
      <w:r w:rsidRPr="008D5675">
        <w:rPr>
          <w:b/>
          <w:lang w:val="lt-LT" w:eastAsia="lt-LT"/>
        </w:rPr>
        <w:t>-</w:t>
      </w:r>
      <w:hyperlink r:id="rId74" w:tooltip="Mokestinio laikotarpio nuostolių perkėlimas (str. 30)" w:history="1">
        <w:r w:rsidRPr="008D5675">
          <w:rPr>
            <w:rStyle w:val="Hipersaitas"/>
            <w:b w:val="0"/>
            <w:lang w:val="lt-LT" w:eastAsia="lt-LT"/>
          </w:rPr>
          <w:t>30</w:t>
        </w:r>
      </w:hyperlink>
      <w:r w:rsidRPr="008D5675">
        <w:rPr>
          <w:lang w:val="lt-LT" w:eastAsia="lt-LT"/>
        </w:rPr>
        <w:t xml:space="preserve"> straipsnių komentarus).</w:t>
      </w:r>
    </w:p>
    <w:p w14:paraId="4BB0A838" w14:textId="77777777" w:rsidR="00054EFE" w:rsidRPr="00CC6B7E" w:rsidRDefault="00054EFE" w:rsidP="00CC6B7E">
      <w:r w:rsidRPr="00A53581">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054EFE">
        <w:rPr>
          <w:b/>
          <w:i/>
          <w:color w:val="000000" w:themeColor="text1"/>
        </w:rPr>
        <w:t xml:space="preserve"> </w:t>
      </w:r>
      <w:r w:rsidRPr="00054EFE">
        <w:rPr>
          <w:i/>
          <w:color w:val="000000" w:themeColor="text1"/>
        </w:rPr>
        <w:t>Nr</w:t>
      </w:r>
      <w:r w:rsidRPr="009F1C95">
        <w:rPr>
          <w:i/>
          <w:color w:val="000000" w:themeColor="text1"/>
        </w:rPr>
        <w:t>. (18.10-31-1)-RM-12183)</w:t>
      </w:r>
    </w:p>
    <w:p w14:paraId="53324F53" w14:textId="77777777" w:rsidR="00093845" w:rsidRDefault="000D779E">
      <w:pPr>
        <w:ind w:firstLine="993"/>
        <w:jc w:val="both"/>
        <w:rPr>
          <w:lang w:eastAsia="lt-LT"/>
        </w:rPr>
      </w:pPr>
      <w:r>
        <w:rPr>
          <w:b/>
          <w:bCs/>
          <w:lang w:eastAsia="lt-LT"/>
        </w:rPr>
        <w:t>6.</w:t>
      </w:r>
      <w:r>
        <w:rPr>
          <w:b/>
          <w:bCs/>
          <w:i/>
          <w:iCs/>
          <w:lang w:eastAsia="lt-LT"/>
        </w:rPr>
        <w:t xml:space="preserve"> </w:t>
      </w:r>
      <w:r>
        <w:rPr>
          <w:b/>
          <w:bCs/>
          <w:lang w:eastAsia="lt-LT"/>
        </w:rPr>
        <w:t>Kai</w:t>
      </w:r>
      <w:r>
        <w:rPr>
          <w:b/>
          <w:bCs/>
          <w:i/>
          <w:iCs/>
          <w:lang w:eastAsia="lt-LT"/>
        </w:rPr>
        <w:t xml:space="preserve"> </w:t>
      </w:r>
      <w:r>
        <w:rPr>
          <w:b/>
          <w:bCs/>
          <w:lang w:eastAsia="lt-LT"/>
        </w:rPr>
        <w:t>kurių</w:t>
      </w:r>
      <w:r>
        <w:rPr>
          <w:b/>
          <w:bCs/>
          <w:i/>
          <w:iCs/>
          <w:lang w:eastAsia="lt-LT"/>
        </w:rPr>
        <w:t xml:space="preserve"> </w:t>
      </w:r>
      <w:r>
        <w:rPr>
          <w:b/>
          <w:bCs/>
          <w:lang w:eastAsia="lt-LT"/>
        </w:rPr>
        <w:t>išlaidų</w:t>
      </w:r>
      <w:r>
        <w:rPr>
          <w:b/>
          <w:bCs/>
          <w:i/>
          <w:iCs/>
          <w:lang w:eastAsia="lt-LT"/>
        </w:rPr>
        <w:t xml:space="preserve"> </w:t>
      </w:r>
      <w:r>
        <w:rPr>
          <w:b/>
          <w:bCs/>
          <w:lang w:eastAsia="lt-LT"/>
        </w:rPr>
        <w:t>rūšių</w:t>
      </w:r>
      <w:r>
        <w:rPr>
          <w:b/>
          <w:bCs/>
          <w:i/>
          <w:iCs/>
          <w:lang w:eastAsia="lt-LT"/>
        </w:rPr>
        <w:t xml:space="preserve"> </w:t>
      </w:r>
      <w:r>
        <w:rPr>
          <w:b/>
          <w:bCs/>
          <w:lang w:eastAsia="lt-LT"/>
        </w:rPr>
        <w:t>pripažinimo</w:t>
      </w:r>
      <w:r>
        <w:rPr>
          <w:b/>
          <w:bCs/>
          <w:i/>
          <w:iCs/>
          <w:lang w:eastAsia="lt-LT"/>
        </w:rPr>
        <w:t xml:space="preserve"> </w:t>
      </w:r>
      <w:r>
        <w:rPr>
          <w:b/>
          <w:bCs/>
          <w:lang w:eastAsia="lt-LT"/>
        </w:rPr>
        <w:t>leidžiamais</w:t>
      </w:r>
      <w:r>
        <w:rPr>
          <w:b/>
          <w:bCs/>
          <w:i/>
          <w:iCs/>
          <w:lang w:eastAsia="lt-LT"/>
        </w:rPr>
        <w:t xml:space="preserve"> </w:t>
      </w:r>
      <w:r>
        <w:rPr>
          <w:b/>
          <w:bCs/>
          <w:lang w:eastAsia="lt-LT"/>
        </w:rPr>
        <w:t>atskaitymais</w:t>
      </w:r>
      <w:r>
        <w:rPr>
          <w:b/>
          <w:bCs/>
          <w:i/>
          <w:iCs/>
          <w:lang w:eastAsia="lt-LT"/>
        </w:rPr>
        <w:t xml:space="preserve"> </w:t>
      </w:r>
      <w:r>
        <w:rPr>
          <w:b/>
          <w:bCs/>
          <w:lang w:eastAsia="lt-LT"/>
        </w:rPr>
        <w:t>paaiškinimai.</w:t>
      </w:r>
    </w:p>
    <w:p w14:paraId="4C19FAF8" w14:textId="77777777" w:rsidR="00093845" w:rsidRDefault="000D779E">
      <w:pPr>
        <w:ind w:firstLine="993"/>
        <w:jc w:val="both"/>
        <w:rPr>
          <w:lang w:eastAsia="lt-LT"/>
        </w:rPr>
      </w:pPr>
      <w:r>
        <w:rPr>
          <w:b/>
          <w:bCs/>
          <w:lang w:eastAsia="lt-LT"/>
        </w:rPr>
        <w:t>6.1.</w:t>
      </w:r>
      <w:r>
        <w:rPr>
          <w:i/>
          <w:iCs/>
          <w:lang w:eastAsia="lt-LT"/>
        </w:rPr>
        <w:t xml:space="preserve"> </w:t>
      </w:r>
      <w:r>
        <w:rPr>
          <w:b/>
          <w:bCs/>
          <w:lang w:eastAsia="lt-LT"/>
        </w:rPr>
        <w:t>Dėl</w:t>
      </w:r>
      <w:r>
        <w:rPr>
          <w:b/>
          <w:bCs/>
          <w:i/>
          <w:iCs/>
          <w:lang w:eastAsia="lt-LT"/>
        </w:rPr>
        <w:t xml:space="preserve"> </w:t>
      </w:r>
      <w:r>
        <w:rPr>
          <w:b/>
          <w:bCs/>
          <w:lang w:eastAsia="lt-LT"/>
        </w:rPr>
        <w:t>žaliavų</w:t>
      </w:r>
      <w:r>
        <w:rPr>
          <w:b/>
          <w:bCs/>
          <w:i/>
          <w:iCs/>
          <w:lang w:eastAsia="lt-LT"/>
        </w:rPr>
        <w:t xml:space="preserve"> </w:t>
      </w:r>
      <w:r>
        <w:rPr>
          <w:b/>
          <w:bCs/>
          <w:lang w:eastAsia="lt-LT"/>
        </w:rPr>
        <w:t>ir</w:t>
      </w:r>
      <w:r>
        <w:rPr>
          <w:b/>
          <w:bCs/>
          <w:i/>
          <w:iCs/>
          <w:lang w:eastAsia="lt-LT"/>
        </w:rPr>
        <w:t xml:space="preserve"> </w:t>
      </w:r>
      <w:r>
        <w:rPr>
          <w:b/>
          <w:bCs/>
          <w:lang w:eastAsia="lt-LT"/>
        </w:rPr>
        <w:t>medžiagų.</w:t>
      </w:r>
      <w:r>
        <w:rPr>
          <w:i/>
          <w:iCs/>
          <w:lang w:eastAsia="lt-LT"/>
        </w:rPr>
        <w:t xml:space="preserve"> </w:t>
      </w:r>
    </w:p>
    <w:p w14:paraId="1BBDD171" w14:textId="77777777" w:rsidR="00093845" w:rsidRDefault="000D779E">
      <w:pPr>
        <w:ind w:firstLine="993"/>
        <w:jc w:val="both"/>
        <w:rPr>
          <w:lang w:eastAsia="lt-LT"/>
        </w:rPr>
      </w:pPr>
      <w:r>
        <w:rPr>
          <w:lang w:eastAsia="lt-LT"/>
        </w:rPr>
        <w:t>Leidžiamiems atskaitymams priskiriama žaliavų (medžiagų), įeinančių į pagamintų ir realizuotų gaminių sudėtį, sudarančių jų pagrindą arba kaip komponentai būtinų gaminant produkciją (atliekant darbus, suteikiant paslaugas), medžiagų, sunaudojamų produkcijos (darbų, paslaugų) gamyboje normaliam technologiniam procesui vykti, įsigijimo kaina, realizuotos produkcijos įpakavimo medžiagų įsigijimo kaina, kitoms gamybinėms bei ūkinėms reikmėms (bandymams, kontrolei, išlaikymui) sunaudotų medžiagų įsigijimo kaina, instrumentų, įrenginių, prietaisų, laboratorinio ir kito inventoriaus, kai šis turtas priskirtas trumpalaikiam turtui, įsigijimo kaina, komplektavimo gaminių ir pusgaminių, kurie montuojami ar papildomai apdorojami įmonėje, įsigijimo kaina, kuro ir visų rūšių energijos, naudojamos technologiniams tikslams, visų rūšių energijos gamybai, įskaitant energijos perdavimą, energijos, sunaudotos patalpoms šildyti, įsigijimo kaina, statybinių medžiagų, konstrukcijų ir detalių, montuojamų statomuose objektuose, atliekant statybos darbų paslaugas, įsigijimo kaina, sėklų, sodinamųjų medžiagų, pašarų, trąšų, gaminant žemės ūkio produkciją, įsigijimo kaina ir pan.</w:t>
      </w:r>
    </w:p>
    <w:p w14:paraId="5C188B41" w14:textId="77777777" w:rsidR="00093845" w:rsidRDefault="000D779E">
      <w:pPr>
        <w:ind w:firstLine="993"/>
        <w:jc w:val="both"/>
        <w:rPr>
          <w:lang w:eastAsia="lt-LT"/>
        </w:rPr>
      </w:pPr>
      <w:r>
        <w:rPr>
          <w:b/>
          <w:bCs/>
          <w:lang w:eastAsia="lt-LT"/>
        </w:rPr>
        <w:t>6.2.</w:t>
      </w:r>
      <w:r>
        <w:rPr>
          <w:i/>
          <w:iCs/>
          <w:lang w:eastAsia="lt-LT"/>
        </w:rPr>
        <w:t xml:space="preserve"> </w:t>
      </w:r>
      <w:r>
        <w:rPr>
          <w:b/>
          <w:bCs/>
          <w:lang w:eastAsia="lt-LT"/>
        </w:rPr>
        <w:t>Dėl</w:t>
      </w:r>
      <w:r>
        <w:rPr>
          <w:b/>
          <w:bCs/>
          <w:i/>
          <w:iCs/>
          <w:lang w:eastAsia="lt-LT"/>
        </w:rPr>
        <w:t xml:space="preserve"> </w:t>
      </w:r>
      <w:r>
        <w:rPr>
          <w:b/>
          <w:bCs/>
          <w:lang w:eastAsia="lt-LT"/>
        </w:rPr>
        <w:t>gamybos</w:t>
      </w:r>
      <w:r>
        <w:rPr>
          <w:b/>
          <w:bCs/>
          <w:i/>
          <w:iCs/>
          <w:lang w:eastAsia="lt-LT"/>
        </w:rPr>
        <w:t xml:space="preserve"> </w:t>
      </w:r>
      <w:r>
        <w:rPr>
          <w:b/>
          <w:bCs/>
          <w:lang w:eastAsia="lt-LT"/>
        </w:rPr>
        <w:t>atliekų.</w:t>
      </w:r>
    </w:p>
    <w:p w14:paraId="34A32716" w14:textId="77777777" w:rsidR="00093845" w:rsidRDefault="000D779E">
      <w:pPr>
        <w:ind w:firstLine="993"/>
        <w:jc w:val="both"/>
        <w:rPr>
          <w:lang w:eastAsia="lt-LT"/>
        </w:rPr>
      </w:pPr>
      <w:r>
        <w:rPr>
          <w:lang w:eastAsia="lt-LT"/>
        </w:rPr>
        <w:lastRenderedPageBreak/>
        <w:t>6.2.1. Sąnaudomis, priskiriamomis prie leidžiamų atskaitymų, laikomos faktiškos gamybinės atliekos pagal įmonės nusistatytus normatyvus, atsižvelgiant į gamybos technologinio proceso (darbų atlikimo, paslaugų teikimo) specifiką, t.y. jos įtraukiamos į gamyboje sunaudotų žaliavų (medžiagų) savikainą.</w:t>
      </w:r>
    </w:p>
    <w:p w14:paraId="721F5519" w14:textId="77777777" w:rsidR="00093845" w:rsidRDefault="000D779E">
      <w:pPr>
        <w:ind w:firstLine="993"/>
        <w:jc w:val="both"/>
        <w:rPr>
          <w:lang w:eastAsia="lt-LT"/>
        </w:rPr>
      </w:pPr>
      <w:r>
        <w:rPr>
          <w:lang w:eastAsia="lt-LT"/>
        </w:rPr>
        <w:t>Gamybinėmis atliekomis laikomos medžiagų (žaliavų), pusgaminių, ir kitų materialinių išteklių, susidarančių produkcijos gamybos (darbų atlikimo, paslaugų teikimo) procese, likučiai, visiškai arba iš dalies praradę pirmines vartojimo savybes (chemines ar fizines). Nustatant gamybinių atliekų normas, privaloma laikytis atitinkamą veiklos sritį reguliuojančios institucijos (ministerijos ar žinybos) nustatytos normų apskaičiavimo tvarkos bei kitų teisės aktų nuostatų (kai ministerijos ar kitos institucijos tokių tvarkų nuostatas ar kitus medžiagų suvartojimą reglamentuojančius teisės aktus yra patvirtinusios).</w:t>
      </w:r>
    </w:p>
    <w:p w14:paraId="3710A5AE" w14:textId="77777777" w:rsidR="00093845" w:rsidRDefault="000D779E">
      <w:pPr>
        <w:ind w:firstLine="993"/>
        <w:jc w:val="both"/>
        <w:rPr>
          <w:lang w:eastAsia="lt-LT"/>
        </w:rPr>
      </w:pPr>
      <w:r>
        <w:rPr>
          <w:lang w:eastAsia="lt-LT"/>
        </w:rPr>
        <w:t>Grąžinamosios gamybinės atliekos, t.y. tokios gamybinės atliekos, kurios gali būti panaudojamos gamyboje arba parduodamos, turi būti įvertintos, sumažinus materialinių vertybių sąnaudas. Tokios atliekos įkainojamos pagal įmonės nusistatytą metodiką. Medžiagų likučiai, kurie pagal nustatytą technologiją perduodami į kitus gamybinius padalinius (cechus), kaip pilnavertės medžiagos (žaliavos) kitų rūšių gaminiams gaminti (darbams atlikti, paslaugoms teikti) taip pat įkainojami pagal įmonės nusistatytą metodiką. Gamybinėms atliekoms nepriskiriama šalutinė produkcija, kuri gaunama technologinio proceso metu.</w:t>
      </w:r>
    </w:p>
    <w:p w14:paraId="14B0D8F5" w14:textId="77777777" w:rsidR="00093845" w:rsidRPr="0065344A" w:rsidRDefault="000D779E">
      <w:pPr>
        <w:ind w:firstLine="720"/>
        <w:jc w:val="both"/>
        <w:rPr>
          <w:lang w:val="lt-LT"/>
        </w:rPr>
      </w:pPr>
      <w:r>
        <w:rPr>
          <w:iCs/>
          <w:lang w:val="lt-LT"/>
        </w:rPr>
        <w:t>(</w:t>
      </w:r>
      <w:r w:rsidR="00F425B3">
        <w:rPr>
          <w:iCs/>
          <w:lang w:val="lt-LT"/>
        </w:rPr>
        <w:t xml:space="preserve">Pakeistas 17 str. 1 dalies 6.2.1 </w:t>
      </w:r>
      <w:r>
        <w:rPr>
          <w:iCs/>
          <w:lang w:val="lt-LT"/>
        </w:rPr>
        <w:t>punkto trečios pastraipos VMI prie FM 2016-05-16 raštu Nr. (18.32-31-1E)</w:t>
      </w:r>
      <w:r w:rsidR="00F425B3">
        <w:rPr>
          <w:iCs/>
          <w:lang w:val="lt-LT"/>
        </w:rPr>
        <w:t xml:space="preserve"> </w:t>
      </w:r>
      <w:r>
        <w:rPr>
          <w:iCs/>
          <w:lang w:val="lt-LT"/>
        </w:rPr>
        <w:t>RM-14067)</w:t>
      </w:r>
    </w:p>
    <w:p w14:paraId="5F7FF330" w14:textId="77777777" w:rsidR="00093845" w:rsidRPr="0065344A" w:rsidRDefault="000D779E">
      <w:pPr>
        <w:ind w:firstLine="993"/>
        <w:jc w:val="both"/>
        <w:rPr>
          <w:lang w:val="lt-LT" w:eastAsia="lt-LT"/>
        </w:rPr>
      </w:pPr>
      <w:r w:rsidRPr="0065344A">
        <w:rPr>
          <w:lang w:val="lt-LT" w:eastAsia="lt-LT"/>
        </w:rPr>
        <w:t>6.2.2. Dėl ligų, traumų ar apsigimimų kritusių penimų auginimui ar reprodukcijai laikomų gyvūnų vertė gali būti priskiriama leidžiamiems atskaitymams, kaip gyvūnų auginimo, reprodukcijos ar kitų žemės ūkio produkcijos gamybos procesų sąnaudos, būtinos vieneto pajamoms uždirbti. Tokių sąnaudų pripažinimui prie apskaitos dokumentų, kuriais yra pagrįsti šie gyvūnų kritimai, turi būti veterinarijos gydytojų pasirašyti aktai ir nurodyti susirgimai, kurie galėjo būti gyvūno mirties priežastimi.</w:t>
      </w:r>
    </w:p>
    <w:p w14:paraId="4AA15D84" w14:textId="77777777" w:rsidR="00093845" w:rsidRPr="0065344A" w:rsidRDefault="000D779E">
      <w:pPr>
        <w:ind w:firstLine="993"/>
        <w:jc w:val="both"/>
        <w:rPr>
          <w:lang w:val="lt-LT" w:eastAsia="lt-LT"/>
        </w:rPr>
      </w:pPr>
      <w:r w:rsidRPr="0065344A">
        <w:rPr>
          <w:lang w:val="lt-LT" w:eastAsia="lt-LT"/>
        </w:rPr>
        <w:t>Vienetų, besiverčiančių gyvulininkyste, dėl virusinių ligų arba užkrečiamų ligų patirti kritusių gyvūnų nuostoliai priskiriami leidžiamiems atskaitymams tuo atveju, jeigu vienetas turi dokumentus, patvirtinančius virusinės ar užkrečiamos ligos protrūkio faktą.</w:t>
      </w:r>
    </w:p>
    <w:p w14:paraId="2B8D6C11" w14:textId="77777777" w:rsidR="00093845" w:rsidRPr="0065344A" w:rsidRDefault="000D779E">
      <w:pPr>
        <w:ind w:firstLine="993"/>
        <w:jc w:val="both"/>
        <w:rPr>
          <w:lang w:val="lt-LT" w:eastAsia="lt-LT"/>
        </w:rPr>
      </w:pPr>
      <w:r w:rsidRPr="0065344A">
        <w:rPr>
          <w:lang w:val="lt-LT" w:eastAsia="lt-LT"/>
        </w:rPr>
        <w:t xml:space="preserve">Gyvulinės kilmės žemės ūkio produkcijos, kuri yra netinkama realizavimui dėl gyvūnų ligos ar taikomo gydymo arba kurios realizavimas yra apribotas teisės aktais, savikaina priskiriama leidžiamiems atskaitymams tuo atveju, jeigu yra patvirtinantys veterinarijos gydytojo pasirašyti aktai ir nurodyti susirgimai, kurie galėjo įtakoti pagamintos produkcijos kokybę, arba kiti gyvūnų augintojams pagal Lietuvos Respublikos teisės aktus privalomi pildyti dokumentai, kuriuose fiksuojamas pagamintos produkcijos nuokrypio nuo nustatytos kokybės faktas. </w:t>
      </w:r>
    </w:p>
    <w:p w14:paraId="6B779D38" w14:textId="77777777" w:rsidR="00093845" w:rsidRPr="0065344A" w:rsidRDefault="000D779E">
      <w:pPr>
        <w:ind w:firstLine="993"/>
        <w:jc w:val="both"/>
        <w:rPr>
          <w:lang w:val="lt-LT" w:eastAsia="lt-LT"/>
        </w:rPr>
      </w:pPr>
      <w:r w:rsidRPr="0065344A">
        <w:rPr>
          <w:lang w:val="lt-LT" w:eastAsia="lt-LT"/>
        </w:rPr>
        <w:t xml:space="preserve">Tačiau, jeigu gyvūnai yra apdrausti, ir įvykus draudiminiam įvykiui yra gauta draudiminė išmoka, kuri pagal </w:t>
      </w:r>
      <w:bookmarkStart w:id="270" w:name="n1_2932"/>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71" w:name="pn1_2932"/>
      <w:bookmarkEnd w:id="270"/>
      <w:bookmarkEnd w:id="271"/>
      <w:r w:rsidRPr="0065344A">
        <w:rPr>
          <w:lang w:val="lt-LT" w:eastAsia="lt-LT"/>
        </w:rPr>
        <w:t xml:space="preserve"> </w:t>
      </w:r>
      <w:bookmarkStart w:id="272" w:name="n1_2933"/>
      <w:r>
        <w:rPr>
          <w:lang w:eastAsia="lt-LT"/>
        </w:rPr>
        <w:fldChar w:fldCharType="begin"/>
      </w:r>
      <w:r w:rsidRPr="0065344A">
        <w:rPr>
          <w:lang w:val="lt-LT" w:eastAsia="lt-LT"/>
        </w:rPr>
        <w:instrText xml:space="preserve"> HYPERLINK "JavaScript:OL('12868','12')" \o "Neapmokestinamosios pajamos (str. 12)" </w:instrText>
      </w:r>
      <w:r>
        <w:rPr>
          <w:lang w:eastAsia="lt-LT"/>
        </w:rPr>
        <w:fldChar w:fldCharType="separate"/>
      </w:r>
      <w:r w:rsidRPr="0065344A">
        <w:rPr>
          <w:lang w:val="lt-LT" w:eastAsia="lt-LT"/>
        </w:rPr>
        <w:t>12</w:t>
      </w:r>
      <w:r>
        <w:rPr>
          <w:lang w:eastAsia="lt-LT"/>
        </w:rPr>
        <w:fldChar w:fldCharType="end"/>
      </w:r>
      <w:bookmarkStart w:id="273" w:name="pn1_2933"/>
      <w:bookmarkEnd w:id="272"/>
      <w:bookmarkEnd w:id="273"/>
      <w:r w:rsidRPr="0065344A">
        <w:rPr>
          <w:lang w:val="lt-LT" w:eastAsia="lt-LT"/>
        </w:rPr>
        <w:t xml:space="preserve"> str. 2 dalį yra laikoma neapmokestinamosiomis pajamomis, tai leidžiamiems atskaitymams bus pripažįstama tik draudiminę išmoką viršijanti kritusių gyvūnų vertė (auginimo išlaidos).</w:t>
      </w:r>
    </w:p>
    <w:p w14:paraId="66D74D66" w14:textId="77777777" w:rsidR="00093845" w:rsidRPr="0065344A" w:rsidRDefault="000D779E">
      <w:pPr>
        <w:ind w:firstLine="993"/>
        <w:jc w:val="both"/>
        <w:rPr>
          <w:lang w:val="lt-LT" w:eastAsia="lt-LT"/>
        </w:rPr>
      </w:pPr>
      <w:r w:rsidRPr="0065344A">
        <w:rPr>
          <w:lang w:val="lt-LT" w:eastAsia="lt-LT"/>
        </w:rPr>
        <w:t xml:space="preserve">Vienetų, kurie verčiasi augalininkyste, patirti nuostoliai dėl žuvusių pasėlių dėl gamtos jėgos (sausros, liūtys, vėjas, kruša, šalnos ir kt.) priskiriami leidžiamiems atskaitymams, jeigu yra vieneto sudarytos komisijos žalos dydžiui įvertinti ir nustatyti, protokolai arba kiti dokumentai, patvirtinantys gamtos jėgos sukeltų stichijų faktą. Tačiau, jeigu pasėliai yra apdrausti, ir įvykus draudiminiam įvykiui yra gauta draudiminė išmoka, kuri pagal </w:t>
      </w:r>
      <w:bookmarkStart w:id="274" w:name="n1_2934"/>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75" w:name="pn1_2934"/>
      <w:bookmarkEnd w:id="274"/>
      <w:bookmarkEnd w:id="275"/>
      <w:r w:rsidRPr="0065344A">
        <w:rPr>
          <w:lang w:val="lt-LT" w:eastAsia="lt-LT"/>
        </w:rPr>
        <w:t xml:space="preserve"> </w:t>
      </w:r>
      <w:bookmarkStart w:id="276" w:name="n1_2935"/>
      <w:r>
        <w:rPr>
          <w:lang w:eastAsia="lt-LT"/>
        </w:rPr>
        <w:fldChar w:fldCharType="begin"/>
      </w:r>
      <w:r w:rsidRPr="0065344A">
        <w:rPr>
          <w:lang w:val="lt-LT" w:eastAsia="lt-LT"/>
        </w:rPr>
        <w:instrText xml:space="preserve"> HYPERLINK "JavaScript:OL('12868','12')" \o "Neapmokestinamosios pajamos (str. 12)" </w:instrText>
      </w:r>
      <w:r>
        <w:rPr>
          <w:lang w:eastAsia="lt-LT"/>
        </w:rPr>
        <w:fldChar w:fldCharType="separate"/>
      </w:r>
      <w:r w:rsidRPr="0065344A">
        <w:rPr>
          <w:lang w:val="lt-LT" w:eastAsia="lt-LT"/>
        </w:rPr>
        <w:t>12</w:t>
      </w:r>
      <w:r>
        <w:rPr>
          <w:lang w:eastAsia="lt-LT"/>
        </w:rPr>
        <w:fldChar w:fldCharType="end"/>
      </w:r>
      <w:bookmarkStart w:id="277" w:name="pn1_2935"/>
      <w:bookmarkEnd w:id="276"/>
      <w:bookmarkEnd w:id="277"/>
      <w:r w:rsidRPr="0065344A">
        <w:rPr>
          <w:lang w:val="lt-LT" w:eastAsia="lt-LT"/>
        </w:rPr>
        <w:t xml:space="preserve"> str. 2 dalį yra laikoma neapmokestinamosiomis </w:t>
      </w:r>
      <w:r w:rsidRPr="0065344A">
        <w:rPr>
          <w:lang w:val="lt-LT" w:eastAsia="lt-LT"/>
        </w:rPr>
        <w:lastRenderedPageBreak/>
        <w:t>pajamomis, tai leidžiamiems atskaitymams bus pripažįstama tik draudiminę išmoką viršijanti žuvusių pasėlių vertė (auginimo išlaidos).</w:t>
      </w:r>
    </w:p>
    <w:p w14:paraId="6CC13D29" w14:textId="77777777" w:rsidR="00093845" w:rsidRDefault="000D779E">
      <w:pPr>
        <w:ind w:firstLine="993"/>
        <w:jc w:val="both"/>
        <w:rPr>
          <w:lang w:eastAsia="lt-LT"/>
        </w:rPr>
      </w:pPr>
      <w:r>
        <w:rPr>
          <w:b/>
          <w:bCs/>
          <w:lang w:eastAsia="lt-LT"/>
        </w:rPr>
        <w:t>6.3.</w:t>
      </w:r>
      <w:r>
        <w:rPr>
          <w:b/>
          <w:bCs/>
          <w:i/>
          <w:iCs/>
          <w:lang w:eastAsia="lt-LT"/>
        </w:rPr>
        <w:t xml:space="preserve"> </w:t>
      </w:r>
      <w:r>
        <w:rPr>
          <w:b/>
          <w:bCs/>
          <w:lang w:eastAsia="lt-LT"/>
        </w:rPr>
        <w:t>Dėl</w:t>
      </w:r>
      <w:r>
        <w:rPr>
          <w:b/>
          <w:bCs/>
          <w:i/>
          <w:iCs/>
          <w:lang w:eastAsia="lt-LT"/>
        </w:rPr>
        <w:t xml:space="preserve"> </w:t>
      </w:r>
      <w:r>
        <w:rPr>
          <w:b/>
          <w:bCs/>
          <w:lang w:eastAsia="lt-LT"/>
        </w:rPr>
        <w:t>sunaudotos</w:t>
      </w:r>
      <w:r>
        <w:rPr>
          <w:b/>
          <w:bCs/>
          <w:i/>
          <w:iCs/>
          <w:lang w:eastAsia="lt-LT"/>
        </w:rPr>
        <w:t xml:space="preserve"> </w:t>
      </w:r>
      <w:r>
        <w:rPr>
          <w:b/>
          <w:bCs/>
          <w:lang w:eastAsia="lt-LT"/>
        </w:rPr>
        <w:t>produkcijos.</w:t>
      </w:r>
    </w:p>
    <w:p w14:paraId="4C543871"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laikoma</w:t>
      </w:r>
      <w:r>
        <w:rPr>
          <w:i/>
          <w:iCs/>
          <w:lang w:eastAsia="lt-LT"/>
        </w:rPr>
        <w:t xml:space="preserve"> </w:t>
      </w:r>
      <w:r>
        <w:rPr>
          <w:lang w:eastAsia="lt-LT"/>
        </w:rPr>
        <w:t>produkcija,</w:t>
      </w:r>
      <w:r>
        <w:rPr>
          <w:i/>
          <w:iCs/>
          <w:lang w:eastAsia="lt-LT"/>
        </w:rPr>
        <w:t xml:space="preserve"> </w:t>
      </w:r>
      <w:r>
        <w:rPr>
          <w:lang w:eastAsia="lt-LT"/>
        </w:rPr>
        <w:t>sunaudota</w:t>
      </w:r>
      <w:r>
        <w:rPr>
          <w:i/>
          <w:iCs/>
          <w:lang w:eastAsia="lt-LT"/>
        </w:rPr>
        <w:t xml:space="preserve"> </w:t>
      </w:r>
      <w:r>
        <w:rPr>
          <w:lang w:eastAsia="lt-LT"/>
        </w:rPr>
        <w:t>laboratoriniams</w:t>
      </w:r>
      <w:r>
        <w:rPr>
          <w:i/>
          <w:iCs/>
          <w:lang w:eastAsia="lt-LT"/>
        </w:rPr>
        <w:t xml:space="preserve"> </w:t>
      </w:r>
      <w:r>
        <w:rPr>
          <w:lang w:eastAsia="lt-LT"/>
        </w:rPr>
        <w:t>bandymams.</w:t>
      </w:r>
      <w:r>
        <w:rPr>
          <w:i/>
          <w:iCs/>
          <w:lang w:eastAsia="lt-LT"/>
        </w:rPr>
        <w:t xml:space="preserve"> </w:t>
      </w:r>
    </w:p>
    <w:p w14:paraId="56062C47" w14:textId="77777777" w:rsidR="00093845" w:rsidRDefault="000D779E">
      <w:pPr>
        <w:ind w:firstLine="993"/>
        <w:jc w:val="both"/>
        <w:rPr>
          <w:lang w:eastAsia="lt-LT"/>
        </w:rPr>
      </w:pPr>
      <w:r>
        <w:rPr>
          <w:b/>
          <w:bCs/>
          <w:lang w:eastAsia="lt-LT"/>
        </w:rPr>
        <w:t>6.4.</w:t>
      </w:r>
      <w:r>
        <w:rPr>
          <w:b/>
          <w:bCs/>
          <w:i/>
          <w:iCs/>
          <w:lang w:eastAsia="lt-LT"/>
        </w:rPr>
        <w:t xml:space="preserve"> </w:t>
      </w:r>
      <w:r>
        <w:rPr>
          <w:b/>
          <w:bCs/>
          <w:lang w:eastAsia="lt-LT"/>
        </w:rPr>
        <w:t>Dėl</w:t>
      </w:r>
      <w:r>
        <w:rPr>
          <w:b/>
          <w:bCs/>
          <w:i/>
          <w:iCs/>
          <w:lang w:eastAsia="lt-LT"/>
        </w:rPr>
        <w:t xml:space="preserve"> </w:t>
      </w:r>
      <w:r>
        <w:rPr>
          <w:b/>
          <w:bCs/>
          <w:lang w:eastAsia="lt-LT"/>
        </w:rPr>
        <w:t>parduotų</w:t>
      </w:r>
      <w:r>
        <w:rPr>
          <w:b/>
          <w:bCs/>
          <w:i/>
          <w:iCs/>
          <w:lang w:eastAsia="lt-LT"/>
        </w:rPr>
        <w:t xml:space="preserve"> </w:t>
      </w:r>
      <w:r>
        <w:rPr>
          <w:b/>
          <w:bCs/>
          <w:lang w:eastAsia="lt-LT"/>
        </w:rPr>
        <w:t>prekių</w:t>
      </w:r>
      <w:r>
        <w:rPr>
          <w:b/>
          <w:bCs/>
          <w:i/>
          <w:iCs/>
          <w:lang w:eastAsia="lt-LT"/>
        </w:rPr>
        <w:t xml:space="preserve"> </w:t>
      </w:r>
      <w:r>
        <w:rPr>
          <w:b/>
          <w:bCs/>
          <w:lang w:eastAsia="lt-LT"/>
        </w:rPr>
        <w:t>įsigijimo</w:t>
      </w:r>
      <w:r>
        <w:rPr>
          <w:b/>
          <w:bCs/>
          <w:i/>
          <w:iCs/>
          <w:lang w:eastAsia="lt-LT"/>
        </w:rPr>
        <w:t xml:space="preserve"> </w:t>
      </w:r>
      <w:r>
        <w:rPr>
          <w:b/>
          <w:bCs/>
          <w:lang w:eastAsia="lt-LT"/>
        </w:rPr>
        <w:t>kainos.</w:t>
      </w:r>
    </w:p>
    <w:p w14:paraId="45DD88D8" w14:textId="77777777" w:rsidR="00961DD5" w:rsidRDefault="00961DD5">
      <w:pPr>
        <w:ind w:firstLine="993"/>
        <w:jc w:val="both"/>
        <w:rPr>
          <w:lang w:val="lt-LT"/>
        </w:rPr>
      </w:pPr>
      <w:r w:rsidRPr="00F67EB1">
        <w:rPr>
          <w:lang w:val="lt-LT" w:eastAsia="lt-LT"/>
        </w:rPr>
        <w:t xml:space="preserve">Sąnaudomis, priskiriamoms leidžiamiems atskaitymams, laikoma parduotų prekių įsigijimo kaina. Atsargų sąnaudos, kurios, apskaičiuojant apmokestinamąjį pelną, priskiriamos leidžiamiems atskaitymams, apskaičiuojamos pagal </w:t>
      </w:r>
      <w:r w:rsidRPr="00961DD5">
        <w:rPr>
          <w:lang w:val="lt-LT"/>
        </w:rPr>
        <w:t>taikomą atsargų įkainojimo būdą, kuris pasirinktas vadovaujantis finansinę apskaitą reglamentuojančiais teisės aktais, ir kuriuo vadovaujantis sudaromas metinių finansinių ataskaitų rinkinys.</w:t>
      </w:r>
    </w:p>
    <w:p w14:paraId="5ED79345" w14:textId="77777777" w:rsidR="00961DD5" w:rsidRPr="00A1535E" w:rsidRDefault="00961DD5" w:rsidP="00961DD5">
      <w:pPr>
        <w:pStyle w:val="Antrat4"/>
        <w:tabs>
          <w:tab w:val="left" w:pos="7075"/>
        </w:tabs>
        <w:ind w:left="0"/>
        <w:rPr>
          <w:b w:val="0"/>
          <w:i/>
        </w:rPr>
      </w:pPr>
      <w:r w:rsidRPr="009F1C95">
        <w:rPr>
          <w:b w:val="0"/>
          <w:i/>
          <w:color w:val="000000" w:themeColor="text1"/>
        </w:rPr>
        <w:t>(</w:t>
      </w:r>
      <w:r>
        <w:rPr>
          <w:b w:val="0"/>
          <w:i/>
          <w:color w:val="000000" w:themeColor="text1"/>
        </w:rPr>
        <w:t>Pakeistas p</w:t>
      </w:r>
      <w:r w:rsidRPr="009F1C95">
        <w:rPr>
          <w:b w:val="0"/>
          <w:i/>
          <w:color w:val="000000" w:themeColor="text1"/>
        </w:rPr>
        <w:t xml:space="preserve">agal VMI prie FM 2022-04-07 </w:t>
      </w:r>
      <w:r w:rsidRPr="009F1C95">
        <w:rPr>
          <w:rStyle w:val="Hipersaitas"/>
          <w:i/>
          <w:color w:val="000000" w:themeColor="text1"/>
        </w:rPr>
        <w:t>raštą</w:t>
      </w:r>
      <w:r w:rsidRPr="009F1C95">
        <w:rPr>
          <w:b w:val="0"/>
          <w:i/>
          <w:color w:val="000000" w:themeColor="text1"/>
        </w:rPr>
        <w:t xml:space="preserve"> Nr. (18.10-31-1)-RM-12183)</w:t>
      </w:r>
      <w:r>
        <w:tab/>
      </w:r>
    </w:p>
    <w:p w14:paraId="0F399EE1" w14:textId="77777777" w:rsidR="00093845" w:rsidRDefault="000D779E">
      <w:pPr>
        <w:ind w:firstLine="993"/>
        <w:jc w:val="both"/>
        <w:rPr>
          <w:lang w:eastAsia="lt-LT"/>
        </w:rPr>
      </w:pPr>
      <w:r>
        <w:rPr>
          <w:b/>
          <w:bCs/>
          <w:lang w:eastAsia="lt-LT"/>
        </w:rPr>
        <w:t>6.5.</w:t>
      </w:r>
      <w:r>
        <w:rPr>
          <w:b/>
          <w:bCs/>
          <w:i/>
          <w:iCs/>
          <w:lang w:eastAsia="lt-LT"/>
        </w:rPr>
        <w:t xml:space="preserve"> </w:t>
      </w:r>
      <w:r>
        <w:rPr>
          <w:b/>
          <w:bCs/>
          <w:lang w:eastAsia="lt-LT"/>
        </w:rPr>
        <w:t>Dėl</w:t>
      </w:r>
      <w:r>
        <w:rPr>
          <w:b/>
          <w:bCs/>
          <w:i/>
          <w:iCs/>
          <w:lang w:eastAsia="lt-LT"/>
        </w:rPr>
        <w:t xml:space="preserve"> </w:t>
      </w:r>
      <w:r>
        <w:rPr>
          <w:b/>
          <w:bCs/>
          <w:lang w:eastAsia="lt-LT"/>
        </w:rPr>
        <w:t>žemės</w:t>
      </w:r>
      <w:r>
        <w:rPr>
          <w:b/>
          <w:bCs/>
          <w:i/>
          <w:iCs/>
          <w:lang w:eastAsia="lt-LT"/>
        </w:rPr>
        <w:t xml:space="preserve"> </w:t>
      </w:r>
      <w:r>
        <w:rPr>
          <w:b/>
          <w:bCs/>
          <w:lang w:eastAsia="lt-LT"/>
        </w:rPr>
        <w:t>rekultivavimo</w:t>
      </w:r>
      <w:r>
        <w:rPr>
          <w:b/>
          <w:bCs/>
          <w:i/>
          <w:iCs/>
          <w:lang w:eastAsia="lt-LT"/>
        </w:rPr>
        <w:t xml:space="preserve"> </w:t>
      </w:r>
      <w:r>
        <w:rPr>
          <w:b/>
          <w:bCs/>
          <w:lang w:eastAsia="lt-LT"/>
        </w:rPr>
        <w:t>darbų</w:t>
      </w:r>
      <w:r>
        <w:rPr>
          <w:b/>
          <w:bCs/>
          <w:i/>
          <w:iCs/>
          <w:lang w:eastAsia="lt-LT"/>
        </w:rPr>
        <w:t xml:space="preserve"> </w:t>
      </w:r>
      <w:r>
        <w:rPr>
          <w:b/>
          <w:bCs/>
          <w:lang w:eastAsia="lt-LT"/>
        </w:rPr>
        <w:t>išlaidų.</w:t>
      </w:r>
    </w:p>
    <w:p w14:paraId="3090C4ED"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žemės</w:t>
      </w:r>
      <w:r>
        <w:rPr>
          <w:i/>
          <w:iCs/>
          <w:lang w:eastAsia="lt-LT"/>
        </w:rPr>
        <w:t xml:space="preserve"> </w:t>
      </w:r>
      <w:r>
        <w:rPr>
          <w:lang w:eastAsia="lt-LT"/>
        </w:rPr>
        <w:t>rekultivavimo</w:t>
      </w:r>
      <w:r>
        <w:rPr>
          <w:i/>
          <w:iCs/>
          <w:lang w:eastAsia="lt-LT"/>
        </w:rPr>
        <w:t xml:space="preserve"> </w:t>
      </w:r>
      <w:r>
        <w:rPr>
          <w:lang w:eastAsia="lt-LT"/>
        </w:rPr>
        <w:t>darbų</w:t>
      </w:r>
      <w:r>
        <w:rPr>
          <w:i/>
          <w:iCs/>
          <w:lang w:eastAsia="lt-LT"/>
        </w:rPr>
        <w:t xml:space="preserve"> </w:t>
      </w:r>
      <w:r>
        <w:rPr>
          <w:lang w:eastAsia="lt-LT"/>
        </w:rPr>
        <w:t>išlaidos</w:t>
      </w:r>
      <w:r>
        <w:rPr>
          <w:i/>
          <w:iCs/>
          <w:lang w:eastAsia="lt-LT"/>
        </w:rPr>
        <w:t xml:space="preserve"> </w:t>
      </w:r>
      <w:r>
        <w:rPr>
          <w:lang w:eastAsia="lt-LT"/>
        </w:rPr>
        <w:t>(jeigu</w:t>
      </w:r>
      <w:r>
        <w:rPr>
          <w:i/>
          <w:iCs/>
          <w:lang w:eastAsia="lt-LT"/>
        </w:rPr>
        <w:t xml:space="preserve"> </w:t>
      </w:r>
      <w:r>
        <w:rPr>
          <w:lang w:eastAsia="lt-LT"/>
        </w:rPr>
        <w:t>gamtos</w:t>
      </w:r>
      <w:r>
        <w:rPr>
          <w:i/>
          <w:iCs/>
          <w:lang w:eastAsia="lt-LT"/>
        </w:rPr>
        <w:t xml:space="preserve"> </w:t>
      </w:r>
      <w:r>
        <w:rPr>
          <w:lang w:eastAsia="lt-LT"/>
        </w:rPr>
        <w:t>išteklių</w:t>
      </w:r>
      <w:r>
        <w:rPr>
          <w:i/>
          <w:iCs/>
          <w:lang w:eastAsia="lt-LT"/>
        </w:rPr>
        <w:t xml:space="preserve"> </w:t>
      </w:r>
      <w:r>
        <w:rPr>
          <w:lang w:eastAsia="lt-LT"/>
        </w:rPr>
        <w:t>panaudojimą</w:t>
      </w:r>
      <w:r>
        <w:rPr>
          <w:i/>
          <w:iCs/>
          <w:lang w:eastAsia="lt-LT"/>
        </w:rPr>
        <w:t xml:space="preserve"> </w:t>
      </w:r>
      <w:r>
        <w:rPr>
          <w:lang w:eastAsia="lt-LT"/>
        </w:rPr>
        <w:t>reglamentuojančiuose</w:t>
      </w:r>
      <w:r>
        <w:rPr>
          <w:i/>
          <w:iCs/>
          <w:lang w:eastAsia="lt-LT"/>
        </w:rPr>
        <w:t xml:space="preserve"> </w:t>
      </w:r>
      <w:r>
        <w:rPr>
          <w:lang w:eastAsia="lt-LT"/>
        </w:rPr>
        <w:t>teisės</w:t>
      </w:r>
      <w:r>
        <w:rPr>
          <w:i/>
          <w:iCs/>
          <w:lang w:eastAsia="lt-LT"/>
        </w:rPr>
        <w:t xml:space="preserve"> </w:t>
      </w:r>
      <w:r>
        <w:rPr>
          <w:lang w:eastAsia="lt-LT"/>
        </w:rPr>
        <w:t>aktuose</w:t>
      </w:r>
      <w:r>
        <w:rPr>
          <w:i/>
          <w:iCs/>
          <w:lang w:eastAsia="lt-LT"/>
        </w:rPr>
        <w:t xml:space="preserve"> </w:t>
      </w:r>
      <w:r>
        <w:rPr>
          <w:lang w:eastAsia="lt-LT"/>
        </w:rPr>
        <w:t>nenumatyta</w:t>
      </w:r>
      <w:r>
        <w:rPr>
          <w:i/>
          <w:iCs/>
          <w:lang w:eastAsia="lt-LT"/>
        </w:rPr>
        <w:t xml:space="preserve"> </w:t>
      </w:r>
      <w:r>
        <w:rPr>
          <w:lang w:eastAsia="lt-LT"/>
        </w:rPr>
        <w:t>kitaip).</w:t>
      </w:r>
    </w:p>
    <w:p w14:paraId="3CDF91DD" w14:textId="77777777" w:rsidR="00093845" w:rsidRDefault="000D779E">
      <w:pPr>
        <w:ind w:firstLine="993"/>
        <w:jc w:val="both"/>
        <w:rPr>
          <w:lang w:eastAsia="lt-LT"/>
        </w:rPr>
      </w:pPr>
      <w:r>
        <w:rPr>
          <w:b/>
          <w:bCs/>
          <w:lang w:eastAsia="lt-LT"/>
        </w:rPr>
        <w:t>6.6.</w:t>
      </w:r>
      <w:r>
        <w:rPr>
          <w:b/>
          <w:bCs/>
          <w:i/>
          <w:iCs/>
          <w:lang w:eastAsia="lt-LT"/>
        </w:rPr>
        <w:t xml:space="preserve"> </w:t>
      </w:r>
      <w:r>
        <w:rPr>
          <w:b/>
          <w:bCs/>
          <w:lang w:eastAsia="lt-LT"/>
        </w:rPr>
        <w:t>Dėl</w:t>
      </w:r>
      <w:r>
        <w:rPr>
          <w:b/>
          <w:bCs/>
          <w:i/>
          <w:iCs/>
          <w:lang w:eastAsia="lt-LT"/>
        </w:rPr>
        <w:t xml:space="preserve"> </w:t>
      </w:r>
      <w:r>
        <w:rPr>
          <w:b/>
          <w:bCs/>
          <w:lang w:eastAsia="lt-LT"/>
        </w:rPr>
        <w:t>materialinių</w:t>
      </w:r>
      <w:r>
        <w:rPr>
          <w:b/>
          <w:bCs/>
          <w:i/>
          <w:iCs/>
          <w:lang w:eastAsia="lt-LT"/>
        </w:rPr>
        <w:t xml:space="preserve"> </w:t>
      </w:r>
      <w:r>
        <w:rPr>
          <w:b/>
          <w:bCs/>
          <w:lang w:eastAsia="lt-LT"/>
        </w:rPr>
        <w:t>vertybių</w:t>
      </w:r>
      <w:r>
        <w:rPr>
          <w:b/>
          <w:bCs/>
          <w:i/>
          <w:iCs/>
          <w:lang w:eastAsia="lt-LT"/>
        </w:rPr>
        <w:t xml:space="preserve"> </w:t>
      </w:r>
      <w:r>
        <w:rPr>
          <w:b/>
          <w:bCs/>
          <w:lang w:eastAsia="lt-LT"/>
        </w:rPr>
        <w:t>sandėliavimo</w:t>
      </w:r>
      <w:r>
        <w:rPr>
          <w:b/>
          <w:bCs/>
          <w:i/>
          <w:iCs/>
          <w:lang w:eastAsia="lt-LT"/>
        </w:rPr>
        <w:t xml:space="preserve"> </w:t>
      </w:r>
      <w:r>
        <w:rPr>
          <w:b/>
          <w:bCs/>
          <w:lang w:eastAsia="lt-LT"/>
        </w:rPr>
        <w:t>(saugojimo)</w:t>
      </w:r>
      <w:r>
        <w:rPr>
          <w:b/>
          <w:bCs/>
          <w:i/>
          <w:iCs/>
          <w:lang w:eastAsia="lt-LT"/>
        </w:rPr>
        <w:t xml:space="preserve"> </w:t>
      </w:r>
      <w:r>
        <w:rPr>
          <w:b/>
          <w:bCs/>
          <w:lang w:eastAsia="lt-LT"/>
        </w:rPr>
        <w:t>išlaidų.</w:t>
      </w:r>
    </w:p>
    <w:p w14:paraId="67EB95FD"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materialinių</w:t>
      </w:r>
      <w:r>
        <w:rPr>
          <w:i/>
          <w:iCs/>
          <w:lang w:eastAsia="lt-LT"/>
        </w:rPr>
        <w:t xml:space="preserve"> </w:t>
      </w:r>
      <w:r>
        <w:rPr>
          <w:lang w:eastAsia="lt-LT"/>
        </w:rPr>
        <w:t>vertybių</w:t>
      </w:r>
      <w:r>
        <w:rPr>
          <w:i/>
          <w:iCs/>
          <w:lang w:eastAsia="lt-LT"/>
        </w:rPr>
        <w:t xml:space="preserve"> </w:t>
      </w:r>
      <w:r>
        <w:rPr>
          <w:lang w:eastAsia="lt-LT"/>
        </w:rPr>
        <w:t>sandėliavimo</w:t>
      </w:r>
      <w:r>
        <w:rPr>
          <w:i/>
          <w:iCs/>
          <w:lang w:eastAsia="lt-LT"/>
        </w:rPr>
        <w:t xml:space="preserve"> </w:t>
      </w:r>
      <w:r>
        <w:rPr>
          <w:lang w:eastAsia="lt-LT"/>
        </w:rPr>
        <w:t>(saugojimo)</w:t>
      </w:r>
      <w:r>
        <w:rPr>
          <w:i/>
          <w:iCs/>
          <w:lang w:eastAsia="lt-LT"/>
        </w:rPr>
        <w:t xml:space="preserve"> </w:t>
      </w:r>
      <w:r>
        <w:rPr>
          <w:lang w:eastAsia="lt-LT"/>
        </w:rPr>
        <w:t>išlaidos.</w:t>
      </w:r>
    </w:p>
    <w:p w14:paraId="53E5E86B" w14:textId="77777777" w:rsidR="00527313" w:rsidRPr="005E7ED8" w:rsidRDefault="00B80B27" w:rsidP="00527313">
      <w:pPr>
        <w:ind w:firstLine="709"/>
        <w:contextualSpacing/>
        <w:jc w:val="both"/>
        <w:rPr>
          <w:b/>
          <w:bCs/>
        </w:rPr>
      </w:pPr>
      <w:r>
        <w:rPr>
          <w:b/>
          <w:bCs/>
        </w:rPr>
        <w:t xml:space="preserve"> </w:t>
      </w:r>
      <w:r w:rsidR="00527313">
        <w:rPr>
          <w:b/>
          <w:bCs/>
        </w:rPr>
        <w:t xml:space="preserve">   </w:t>
      </w:r>
      <w:r w:rsidR="00527313" w:rsidRPr="005E7ED8">
        <w:rPr>
          <w:b/>
          <w:bCs/>
        </w:rPr>
        <w:t>6.7. Dėl degalus (kurą) ir elektrą naudojančių priemonių eksploatavimo išlaidų.</w:t>
      </w:r>
    </w:p>
    <w:p w14:paraId="36124516" w14:textId="77777777" w:rsidR="00527313" w:rsidRPr="00E50E1B" w:rsidRDefault="00527313" w:rsidP="00527313">
      <w:pPr>
        <w:ind w:firstLine="709"/>
        <w:contextualSpacing/>
        <w:jc w:val="both"/>
      </w:pPr>
      <w:r w:rsidRPr="00E50E1B">
        <w:t>Apskaičiuojant apmokestinamąjį pelną, sunaudotų degalų (kuro) ir elektros įsigijimo kaina, taip pat kitos degalus (kurą) ir elektrą naudojančios priemonės eksploatavimo išlaidos (pvz. naudojant įmonės veikloje automobilį – perduotų naudoti tepalų, padangų, plovimo medžiagų, filtrų, įvairių smulkių detalių įsigijimo kaina ir kt.) priskiriamos prie leidžiamų atskaitymų.</w:t>
      </w:r>
    </w:p>
    <w:p w14:paraId="75F12C43" w14:textId="77777777" w:rsidR="00527313" w:rsidRPr="00E50E1B" w:rsidRDefault="001258DD" w:rsidP="00527313">
      <w:pPr>
        <w:ind w:firstLine="709"/>
        <w:contextualSpacing/>
        <w:jc w:val="both"/>
      </w:pPr>
      <w:r w:rsidRPr="00E50E1B">
        <w:t>Įmonių finansinėj</w:t>
      </w:r>
      <w:r w:rsidR="00527313" w:rsidRPr="00E50E1B">
        <w:t>e apskaitoje fiksuojamos ūkinės operacijos, tarp jų ir susijusios su degalus (kurą) ir elektrą  naudojančių priemonių panaudojimu, turi būti pagrįstos dokumentais, iš kurių būtų galima spręsti, kad degalai (kuras) ir elektra sunaudoti vieneto pajamoms uždirbti ar ekonominei naudai gauti.</w:t>
      </w:r>
    </w:p>
    <w:p w14:paraId="403C0D49" w14:textId="77777777" w:rsidR="00527313" w:rsidRPr="00E50E1B" w:rsidRDefault="00527313" w:rsidP="00527313">
      <w:pPr>
        <w:ind w:firstLine="709"/>
        <w:contextualSpacing/>
        <w:jc w:val="both"/>
      </w:pPr>
      <w:r w:rsidRPr="00E50E1B">
        <w:t>Degalų (kuro) ir elektros sunaudojimo normas įmonė patvirtina atsižvelgdama į degalus (kurą) ir elektrą naudojančios priemonės gamintojo nurodytus techninius duomenis. Įmonė, atsižvelgdama į veiklos pobūdį ir darbo sąlygas, gali ir pati nusistatyti kitą metodiką (pvz. automobiliui atlikti bandomuosius važiavimus), kuri leistų patikimai įvertinti ir nustatyti faktiškai sunaudojamą degalų (kuro) ir elektros kiekį, įmonės veikloje naudojamai priemonei. Visais atvejais kuro sunaudojimo normos turi būti techniškai pagrįstos.</w:t>
      </w:r>
    </w:p>
    <w:p w14:paraId="5AD6889A" w14:textId="77777777" w:rsidR="00527313" w:rsidRPr="00E50E1B" w:rsidRDefault="00527313" w:rsidP="00527313">
      <w:pPr>
        <w:ind w:firstLine="709"/>
        <w:contextualSpacing/>
        <w:jc w:val="both"/>
      </w:pPr>
      <w:r w:rsidRPr="00E50E1B">
        <w:t>Leidžiamiems atskaitymams galima priskirti tik faktiškai sunaudotą (siejamą su įmonės pajamų uždirbimu) degalus (kurą) ir elektrą naudojančiai priemonei tenkantį degalų (kuro) ir elektros kiekį, neviršijant nustatyto norminio kiekio.</w:t>
      </w:r>
    </w:p>
    <w:p w14:paraId="7343690A" w14:textId="77777777" w:rsidR="00527313" w:rsidRPr="00E50E1B" w:rsidRDefault="00527313" w:rsidP="00527313">
      <w:pPr>
        <w:ind w:firstLine="709"/>
        <w:contextualSpacing/>
        <w:jc w:val="both"/>
      </w:pPr>
      <w:r w:rsidRPr="00E50E1B">
        <w:t xml:space="preserve">Atsižvelgdama į veiklos pobūdį ir kitas darbo sąlygas, įmonė pati nusistato, kokiais dokumentais, patvirtintais atsakingų asmenų parašais, turi būti įforminamas degalų (kuro) ir elektros bei kitų su degalus (kurą) ir elektrą naudojančių priemonių eksploatavimu susijusių medžiagų sunaudojimas, pvz., gali būti naudojami degalų (kuro) ir elektros nurašymo aktai, degalų (kuro) ir elektros sunaudojimo ataskaitos ir pan. Tokiu būdu degalų (kuro) ir elektros ir kitos su autotransporto priemonių naudojimu susijusios sąnaudos leidžiamais atskaitymais gali būti pripažintos ir be </w:t>
      </w:r>
      <w:r w:rsidRPr="00E50E1B">
        <w:lastRenderedPageBreak/>
        <w:t>automobilio kelionės lapų (t. y. dokumentų, kuriuose detaliai nurodyti maršrutai, kuriais automobilis važiavo).</w:t>
      </w:r>
    </w:p>
    <w:p w14:paraId="7C219074" w14:textId="77777777" w:rsidR="00527313" w:rsidRPr="00E50E1B" w:rsidRDefault="00527313" w:rsidP="00527313">
      <w:pPr>
        <w:ind w:firstLine="709"/>
        <w:contextualSpacing/>
        <w:jc w:val="both"/>
      </w:pPr>
      <w:r w:rsidRPr="00E50E1B">
        <w:t>Prie leidžiamų atskaitymų priskiriamos išlaidos, susijusios su specializuotų organizacijų atliekamais patarnavimais (mokėjimai už automobilių technines apžiūras, plovimą ir kt.). Šios išlaidos leidžiamais atskaitymais pripažįstamos remiantis atitinkamai įformintais tų patarnavimų atlikimo dokumentais.</w:t>
      </w:r>
    </w:p>
    <w:p w14:paraId="2EAF9AAB" w14:textId="77777777" w:rsidR="00527313" w:rsidRPr="00CE6CC5" w:rsidRDefault="001258DD" w:rsidP="001258DD">
      <w:pPr>
        <w:jc w:val="both"/>
        <w:rPr>
          <w:iCs/>
          <w:lang w:val="lt-LT"/>
        </w:rPr>
      </w:pPr>
      <w:r w:rsidRPr="001258DD">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054EFE">
        <w:rPr>
          <w:b/>
          <w:i/>
          <w:color w:val="000000" w:themeColor="text1"/>
        </w:rPr>
        <w:t xml:space="preserve"> </w:t>
      </w:r>
      <w:r w:rsidRPr="009F1C95">
        <w:rPr>
          <w:i/>
          <w:color w:val="000000" w:themeColor="text1"/>
        </w:rPr>
        <w:t>Nr. (18.10-31-1)-RM-12183)</w:t>
      </w:r>
    </w:p>
    <w:p w14:paraId="21CD5496" w14:textId="77777777" w:rsidR="00093845" w:rsidRPr="0065344A" w:rsidRDefault="000D779E">
      <w:pPr>
        <w:ind w:firstLine="993"/>
        <w:jc w:val="both"/>
        <w:rPr>
          <w:lang w:val="lt-LT" w:eastAsia="lt-LT"/>
        </w:rPr>
      </w:pPr>
      <w:r w:rsidRPr="0065344A">
        <w:rPr>
          <w:b/>
          <w:bCs/>
          <w:lang w:val="lt-LT" w:eastAsia="lt-LT"/>
        </w:rPr>
        <w:t>6.8.</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raštinės</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biuro</w:t>
      </w:r>
      <w:r w:rsidRPr="0065344A">
        <w:rPr>
          <w:b/>
          <w:bCs/>
          <w:i/>
          <w:iCs/>
          <w:lang w:val="lt-LT" w:eastAsia="lt-LT"/>
        </w:rPr>
        <w:t xml:space="preserve"> </w:t>
      </w:r>
      <w:r w:rsidRPr="0065344A">
        <w:rPr>
          <w:b/>
          <w:bCs/>
          <w:lang w:val="lt-LT" w:eastAsia="lt-LT"/>
        </w:rPr>
        <w:t>reikmenų</w:t>
      </w:r>
      <w:r w:rsidRPr="0065344A">
        <w:rPr>
          <w:b/>
          <w:bCs/>
          <w:i/>
          <w:iCs/>
          <w:lang w:val="lt-LT" w:eastAsia="lt-LT"/>
        </w:rPr>
        <w:t xml:space="preserve"> </w:t>
      </w:r>
      <w:r w:rsidRPr="0065344A">
        <w:rPr>
          <w:b/>
          <w:bCs/>
          <w:lang w:val="lt-LT" w:eastAsia="lt-LT"/>
        </w:rPr>
        <w:t>įsigijimo</w:t>
      </w:r>
      <w:r w:rsidRPr="0065344A">
        <w:rPr>
          <w:b/>
          <w:bCs/>
          <w:i/>
          <w:iCs/>
          <w:lang w:val="lt-LT" w:eastAsia="lt-LT"/>
        </w:rPr>
        <w:t xml:space="preserve"> </w:t>
      </w:r>
      <w:r w:rsidRPr="0065344A">
        <w:rPr>
          <w:b/>
          <w:bCs/>
          <w:lang w:val="lt-LT" w:eastAsia="lt-LT"/>
        </w:rPr>
        <w:t>išlaidų.</w:t>
      </w:r>
    </w:p>
    <w:p w14:paraId="5D32B663" w14:textId="77777777" w:rsidR="00093845" w:rsidRPr="0065344A" w:rsidRDefault="000D779E">
      <w:pPr>
        <w:ind w:firstLine="993"/>
        <w:jc w:val="both"/>
        <w:rPr>
          <w:lang w:val="lt-LT" w:eastAsia="lt-LT"/>
        </w:rPr>
      </w:pP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kanceliarinės,</w:t>
      </w:r>
      <w:r w:rsidRPr="0065344A">
        <w:rPr>
          <w:i/>
          <w:iCs/>
          <w:lang w:val="lt-LT" w:eastAsia="lt-LT"/>
        </w:rPr>
        <w:t xml:space="preserve"> </w:t>
      </w:r>
      <w:r w:rsidRPr="0065344A">
        <w:rPr>
          <w:lang w:val="lt-LT" w:eastAsia="lt-LT"/>
        </w:rPr>
        <w:t>blankų</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pašto,</w:t>
      </w:r>
      <w:r w:rsidRPr="0065344A">
        <w:rPr>
          <w:i/>
          <w:iCs/>
          <w:lang w:val="lt-LT" w:eastAsia="lt-LT"/>
        </w:rPr>
        <w:t xml:space="preserve"> </w:t>
      </w:r>
      <w:r w:rsidRPr="0065344A">
        <w:rPr>
          <w:lang w:val="lt-LT" w:eastAsia="lt-LT"/>
        </w:rPr>
        <w:t>telefono</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mobilųjį),</w:t>
      </w:r>
      <w:r w:rsidRPr="0065344A">
        <w:rPr>
          <w:i/>
          <w:iCs/>
          <w:lang w:val="lt-LT" w:eastAsia="lt-LT"/>
        </w:rPr>
        <w:t xml:space="preserve"> </w:t>
      </w:r>
      <w:r w:rsidRPr="0065344A">
        <w:rPr>
          <w:lang w:val="lt-LT" w:eastAsia="lt-LT"/>
        </w:rPr>
        <w:t>telegrafo,</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ryšių,</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faksimilinį,</w:t>
      </w:r>
      <w:r w:rsidRPr="0065344A">
        <w:rPr>
          <w:i/>
          <w:iCs/>
          <w:lang w:val="lt-LT" w:eastAsia="lt-LT"/>
        </w:rPr>
        <w:t xml:space="preserve"> </w:t>
      </w:r>
      <w:r w:rsidRPr="0065344A">
        <w:rPr>
          <w:lang w:val="lt-LT" w:eastAsia="lt-LT"/>
        </w:rPr>
        <w:t>elektroninį</w:t>
      </w:r>
      <w:r w:rsidRPr="0065344A">
        <w:rPr>
          <w:i/>
          <w:iCs/>
          <w:lang w:val="lt-LT" w:eastAsia="lt-LT"/>
        </w:rPr>
        <w:t xml:space="preserve"> </w:t>
      </w:r>
      <w:r w:rsidRPr="0065344A">
        <w:rPr>
          <w:lang w:val="lt-LT" w:eastAsia="lt-LT"/>
        </w:rPr>
        <w:t>paštą,</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informacines</w:t>
      </w:r>
      <w:r w:rsidRPr="0065344A">
        <w:rPr>
          <w:i/>
          <w:iCs/>
          <w:lang w:val="lt-LT" w:eastAsia="lt-LT"/>
        </w:rPr>
        <w:t xml:space="preserve"> </w:t>
      </w:r>
      <w:r w:rsidRPr="0065344A">
        <w:rPr>
          <w:lang w:val="lt-LT" w:eastAsia="lt-LT"/>
        </w:rPr>
        <w:t>sistemas</w:t>
      </w:r>
      <w:r w:rsidRPr="0065344A">
        <w:rPr>
          <w:i/>
          <w:iCs/>
          <w:lang w:val="lt-LT" w:eastAsia="lt-LT"/>
        </w:rPr>
        <w:t xml:space="preserve"> </w:t>
      </w:r>
      <w:r w:rsidRPr="0065344A">
        <w:rPr>
          <w:lang w:val="lt-LT" w:eastAsia="lt-LT"/>
        </w:rPr>
        <w:t>(internetą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informacijos</w:t>
      </w:r>
      <w:r w:rsidRPr="0065344A">
        <w:rPr>
          <w:i/>
          <w:iCs/>
          <w:lang w:val="lt-LT" w:eastAsia="lt-LT"/>
        </w:rPr>
        <w:t xml:space="preserve"> </w:t>
      </w:r>
      <w:r w:rsidRPr="0065344A">
        <w:rPr>
          <w:lang w:val="lt-LT" w:eastAsia="lt-LT"/>
        </w:rPr>
        <w:t>apdorojimo</w:t>
      </w:r>
      <w:r w:rsidRPr="0065344A">
        <w:rPr>
          <w:i/>
          <w:iCs/>
          <w:lang w:val="lt-LT" w:eastAsia="lt-LT"/>
        </w:rPr>
        <w:t xml:space="preserve"> </w:t>
      </w:r>
      <w:r w:rsidRPr="0065344A">
        <w:rPr>
          <w:lang w:val="lt-LT" w:eastAsia="lt-LT"/>
        </w:rPr>
        <w:t>(skaičiavimo)</w:t>
      </w:r>
      <w:r w:rsidRPr="0065344A">
        <w:rPr>
          <w:i/>
          <w:iCs/>
          <w:lang w:val="lt-LT" w:eastAsia="lt-LT"/>
        </w:rPr>
        <w:t xml:space="preserve"> </w:t>
      </w:r>
      <w:r w:rsidRPr="0065344A">
        <w:rPr>
          <w:lang w:val="lt-LT" w:eastAsia="lt-LT"/>
        </w:rPr>
        <w:t>centrų,</w:t>
      </w:r>
      <w:r w:rsidRPr="0065344A">
        <w:rPr>
          <w:i/>
          <w:iCs/>
          <w:lang w:val="lt-LT" w:eastAsia="lt-LT"/>
        </w:rPr>
        <w:t xml:space="preserve"> </w:t>
      </w:r>
      <w:r w:rsidRPr="0065344A">
        <w:rPr>
          <w:lang w:val="lt-LT" w:eastAsia="lt-LT"/>
        </w:rPr>
        <w:t>kompiuterių</w:t>
      </w:r>
      <w:r w:rsidRPr="0065344A">
        <w:rPr>
          <w:i/>
          <w:iCs/>
          <w:lang w:val="lt-LT" w:eastAsia="lt-LT"/>
        </w:rPr>
        <w:t xml:space="preserve"> </w:t>
      </w:r>
      <w:r w:rsidRPr="0065344A">
        <w:rPr>
          <w:lang w:val="lt-LT" w:eastAsia="lt-LT"/>
        </w:rPr>
        <w:t>techninio</w:t>
      </w:r>
      <w:r w:rsidRPr="0065344A">
        <w:rPr>
          <w:i/>
          <w:iCs/>
          <w:lang w:val="lt-LT" w:eastAsia="lt-LT"/>
        </w:rPr>
        <w:t xml:space="preserve"> </w:t>
      </w:r>
      <w:r w:rsidRPr="0065344A">
        <w:rPr>
          <w:lang w:val="lt-LT" w:eastAsia="lt-LT"/>
        </w:rPr>
        <w:t>aptarnavimo</w:t>
      </w:r>
      <w:r w:rsidRPr="0065344A">
        <w:rPr>
          <w:i/>
          <w:iCs/>
          <w:lang w:val="lt-LT" w:eastAsia="lt-LT"/>
        </w:rPr>
        <w:t xml:space="preserve"> </w:t>
      </w:r>
      <w:r w:rsidRPr="0065344A">
        <w:rPr>
          <w:lang w:val="lt-LT" w:eastAsia="lt-LT"/>
        </w:rPr>
        <w:t>paslaugos.</w:t>
      </w:r>
    </w:p>
    <w:p w14:paraId="7D8BE122" w14:textId="77777777" w:rsidR="00093845" w:rsidRPr="0065344A" w:rsidRDefault="000D779E">
      <w:pPr>
        <w:ind w:firstLine="993"/>
        <w:jc w:val="both"/>
        <w:rPr>
          <w:lang w:val="lt-LT" w:eastAsia="lt-LT"/>
        </w:rPr>
      </w:pPr>
      <w:r w:rsidRPr="0065344A">
        <w:rPr>
          <w:b/>
          <w:bCs/>
          <w:lang w:val="lt-LT" w:eastAsia="lt-LT"/>
        </w:rPr>
        <w:t>6.9.</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patalpų</w:t>
      </w:r>
      <w:r w:rsidRPr="0065344A">
        <w:rPr>
          <w:b/>
          <w:bCs/>
          <w:i/>
          <w:iCs/>
          <w:lang w:val="lt-LT" w:eastAsia="lt-LT"/>
        </w:rPr>
        <w:t xml:space="preserve"> </w:t>
      </w:r>
      <w:r w:rsidRPr="0065344A">
        <w:rPr>
          <w:b/>
          <w:bCs/>
          <w:lang w:val="lt-LT" w:eastAsia="lt-LT"/>
        </w:rPr>
        <w:t>nuomos</w:t>
      </w:r>
      <w:r w:rsidRPr="0065344A">
        <w:rPr>
          <w:b/>
          <w:bCs/>
          <w:i/>
          <w:iCs/>
          <w:lang w:val="lt-LT" w:eastAsia="lt-LT"/>
        </w:rPr>
        <w:t xml:space="preserve"> </w:t>
      </w:r>
      <w:r w:rsidRPr="0065344A">
        <w:rPr>
          <w:b/>
          <w:bCs/>
          <w:lang w:val="lt-LT" w:eastAsia="lt-LT"/>
        </w:rPr>
        <w:t>išlaidų.</w:t>
      </w:r>
    </w:p>
    <w:p w14:paraId="7A48C823" w14:textId="77777777" w:rsidR="00093845" w:rsidRPr="0065344A" w:rsidRDefault="000D779E">
      <w:pPr>
        <w:tabs>
          <w:tab w:val="left" w:pos="-1440"/>
        </w:tabs>
        <w:ind w:firstLine="993"/>
        <w:jc w:val="both"/>
        <w:rPr>
          <w:rFonts w:eastAsia="MS Mincho"/>
          <w:bCs/>
          <w:highlight w:val="lightGray"/>
          <w:lang w:val="lt-LT"/>
        </w:rPr>
      </w:pPr>
      <w:r w:rsidRPr="0065344A">
        <w:rPr>
          <w:rFonts w:eastAsia="MS Mincho"/>
          <w:bCs/>
          <w:lang w:val="lt-LT"/>
        </w:rPr>
        <w:t>Sąnaudomis, priskiriamomis prie leidžiamų atskaitymų, laikomos patalpų nuomos išlaidos, mokesčiai už komunalines paslaugas (už šaltą vandenį, kanalizaciją, dujas, elektrą, šiluminę energiją, šiukšlių (sniego) išvežimą ir pan.), už naudojimąsi liftu, lauko durų signalizacijos priežiūros, dūmtraukių valymo, eksploatuojamo objekto šildymo sistemų parengimo žiemai bandymų, patalpų vidaus inžinierinės įrangos avarijų likvidavimo išlaidos, šildymo ir karšto vandens tiekimo sistemų reguliavimo, pastatų šildymo sistemų bandymo ir parengimo žiemai išlaidos, išlaidos, užtikrinančios statinių ir įrengimų saugų naudojimą, statinių priešgaisrinę apsaugą, ūkio subjektui priklausančios teritorijos priežiūros išlaidos (valymas, želdynų priežiūra ir pan.), patalpų ir kitų materialinių vertybių apsaugos bei priešgaisrinės apsaugos išlaidos.</w:t>
      </w:r>
    </w:p>
    <w:p w14:paraId="5532F168" w14:textId="77777777" w:rsidR="00093845" w:rsidRPr="0065344A" w:rsidRDefault="000D779E">
      <w:pPr>
        <w:tabs>
          <w:tab w:val="left" w:pos="-1440"/>
        </w:tabs>
        <w:ind w:firstLine="993"/>
        <w:jc w:val="both"/>
        <w:rPr>
          <w:rFonts w:eastAsia="MS Mincho"/>
          <w:bCs/>
          <w:lang w:val="lt-LT"/>
        </w:rPr>
      </w:pPr>
      <w:r w:rsidRPr="0065344A">
        <w:rPr>
          <w:lang w:val="lt-LT"/>
        </w:rPr>
        <w:t>Kai įmonė veiklai nuomojasi turtą (patalpas) iš gyventojo, u</w:t>
      </w:r>
      <w:r w:rsidRPr="0065344A">
        <w:rPr>
          <w:rFonts w:eastAsia="MS Mincho"/>
          <w:bCs/>
          <w:lang w:val="lt-LT"/>
        </w:rPr>
        <w:t>ž gyventoją sumokėtos komunalinių paslaugų sąskaitose nurodytos „kaupiamosios lėšos“ (kaupiamosios lėšos – tai butų ir kitų patalpų savininkų privalomos kaupti lėšos, kurios bus skiriamos namui atnaujinti pagal privalomuosius pastatų naudojimo ir priežiūros reikalavimus) laikomos gyventojo turto nuomos pajamomis, todėl jeigu įmonė kompensuoja jas gyventojui, t. y. patalpų nuomotojui, „kaupiamosios lėšos“ gali būti priskiriamos leidžiamiems atskaitymams tik tokiu atveju, jeigu tokios išlaidos priskiriamos šio asmens suteiktos nuomos paslaugos kainai, t. y. sudarytoje nuomos paslaugų teikimo sutartyje turi būti numatyta, kad „kaupiamosios lėšos“ sudaro nuomos kainos dalį.</w:t>
      </w:r>
    </w:p>
    <w:p w14:paraId="1E640504" w14:textId="77777777" w:rsidR="00093845" w:rsidRPr="0065344A" w:rsidRDefault="00F425B3">
      <w:pPr>
        <w:ind w:firstLine="720"/>
        <w:jc w:val="both"/>
        <w:rPr>
          <w:lang w:val="lt-LT"/>
        </w:rPr>
      </w:pPr>
      <w:r>
        <w:rPr>
          <w:iCs/>
          <w:lang w:val="lt-LT"/>
        </w:rPr>
        <w:t xml:space="preserve">    </w:t>
      </w:r>
      <w:r w:rsidR="000D779E">
        <w:rPr>
          <w:iCs/>
          <w:lang w:val="lt-LT"/>
        </w:rPr>
        <w:t>(Pakeistas 17 str. 1 dalies 6.9 punktas VMI prie FM 2016-05-16 raštu Nr. (18.32-31-1E)</w:t>
      </w:r>
      <w:r>
        <w:rPr>
          <w:iCs/>
          <w:lang w:val="lt-LT"/>
        </w:rPr>
        <w:t xml:space="preserve"> </w:t>
      </w:r>
      <w:r w:rsidR="000D779E">
        <w:rPr>
          <w:iCs/>
          <w:lang w:val="lt-LT"/>
        </w:rPr>
        <w:t>RM-14067)</w:t>
      </w:r>
    </w:p>
    <w:p w14:paraId="7E2122F2" w14:textId="77777777" w:rsidR="00093845" w:rsidRPr="0065344A" w:rsidRDefault="000D779E">
      <w:pPr>
        <w:ind w:firstLine="993"/>
        <w:jc w:val="both"/>
        <w:rPr>
          <w:lang w:val="lt-LT" w:eastAsia="lt-LT"/>
        </w:rPr>
      </w:pPr>
      <w:r w:rsidRPr="0065344A">
        <w:rPr>
          <w:b/>
          <w:bCs/>
          <w:lang w:val="lt-LT" w:eastAsia="lt-LT"/>
        </w:rPr>
        <w:t>6.10.</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bankų</w:t>
      </w:r>
      <w:r w:rsidRPr="0065344A">
        <w:rPr>
          <w:b/>
          <w:bCs/>
          <w:i/>
          <w:iCs/>
          <w:lang w:val="lt-LT" w:eastAsia="lt-LT"/>
        </w:rPr>
        <w:t xml:space="preserve"> </w:t>
      </w:r>
      <w:r w:rsidRPr="0065344A">
        <w:rPr>
          <w:b/>
          <w:bCs/>
          <w:lang w:val="lt-LT" w:eastAsia="lt-LT"/>
        </w:rPr>
        <w:t>paslaugų.</w:t>
      </w:r>
    </w:p>
    <w:p w14:paraId="58469C77" w14:textId="77777777" w:rsidR="00093845" w:rsidRPr="0065344A" w:rsidRDefault="000D779E">
      <w:pPr>
        <w:ind w:firstLine="993"/>
        <w:jc w:val="both"/>
        <w:rPr>
          <w:lang w:val="lt-LT" w:eastAsia="lt-LT"/>
        </w:rPr>
      </w:pP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bankų</w:t>
      </w:r>
      <w:r w:rsidRPr="0065344A">
        <w:rPr>
          <w:i/>
          <w:iCs/>
          <w:lang w:val="lt-LT" w:eastAsia="lt-LT"/>
        </w:rPr>
        <w:t xml:space="preserve"> </w:t>
      </w:r>
      <w:r w:rsidRPr="0065344A">
        <w:rPr>
          <w:lang w:val="lt-LT" w:eastAsia="lt-LT"/>
        </w:rPr>
        <w:t>paslaugos,</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bankams</w:t>
      </w:r>
      <w:r w:rsidRPr="0065344A">
        <w:rPr>
          <w:i/>
          <w:iCs/>
          <w:lang w:val="lt-LT" w:eastAsia="lt-LT"/>
        </w:rPr>
        <w:t xml:space="preserve"> </w:t>
      </w:r>
      <w:r w:rsidRPr="0065344A">
        <w:rPr>
          <w:lang w:val="lt-LT" w:eastAsia="lt-LT"/>
        </w:rPr>
        <w:t>sumokėtą</w:t>
      </w:r>
      <w:r w:rsidRPr="0065344A">
        <w:rPr>
          <w:i/>
          <w:iCs/>
          <w:lang w:val="lt-LT" w:eastAsia="lt-LT"/>
        </w:rPr>
        <w:t xml:space="preserve"> </w:t>
      </w:r>
      <w:r w:rsidRPr="0065344A">
        <w:rPr>
          <w:lang w:val="lt-LT" w:eastAsia="lt-LT"/>
        </w:rPr>
        <w:t>mokestį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mokėjimo</w:t>
      </w:r>
      <w:r w:rsidRPr="0065344A">
        <w:rPr>
          <w:i/>
          <w:iCs/>
          <w:lang w:val="lt-LT" w:eastAsia="lt-LT"/>
        </w:rPr>
        <w:t xml:space="preserve"> </w:t>
      </w:r>
      <w:r w:rsidRPr="0065344A">
        <w:rPr>
          <w:lang w:val="lt-LT" w:eastAsia="lt-LT"/>
        </w:rPr>
        <w:t>korteles,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organizuotas</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grynaisiais</w:t>
      </w:r>
      <w:r w:rsidRPr="0065344A">
        <w:rPr>
          <w:i/>
          <w:iCs/>
          <w:lang w:val="lt-LT" w:eastAsia="lt-LT"/>
        </w:rPr>
        <w:t xml:space="preserve"> </w:t>
      </w:r>
      <w:r w:rsidRPr="0065344A">
        <w:rPr>
          <w:lang w:val="lt-LT" w:eastAsia="lt-LT"/>
        </w:rPr>
        <w:t>pinigais,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banko</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pirkėjams</w:t>
      </w:r>
      <w:r w:rsidRPr="0065344A">
        <w:rPr>
          <w:i/>
          <w:iCs/>
          <w:lang w:val="lt-LT" w:eastAsia="lt-LT"/>
        </w:rPr>
        <w:t xml:space="preserve"> </w:t>
      </w:r>
      <w:r w:rsidRPr="0065344A">
        <w:rPr>
          <w:lang w:val="lt-LT" w:eastAsia="lt-LT"/>
        </w:rPr>
        <w:t>atsiskaitant</w:t>
      </w:r>
      <w:r w:rsidRPr="0065344A">
        <w:rPr>
          <w:i/>
          <w:iCs/>
          <w:lang w:val="lt-LT" w:eastAsia="lt-LT"/>
        </w:rPr>
        <w:t xml:space="preserve"> </w:t>
      </w:r>
      <w:r w:rsidRPr="0065344A">
        <w:rPr>
          <w:lang w:val="lt-LT" w:eastAsia="lt-LT"/>
        </w:rPr>
        <w:t>mokėjimo</w:t>
      </w:r>
      <w:r w:rsidRPr="0065344A">
        <w:rPr>
          <w:i/>
          <w:iCs/>
          <w:lang w:val="lt-LT" w:eastAsia="lt-LT"/>
        </w:rPr>
        <w:t xml:space="preserve"> </w:t>
      </w:r>
      <w:r w:rsidRPr="0065344A">
        <w:rPr>
          <w:lang w:val="lt-LT" w:eastAsia="lt-LT"/>
        </w:rPr>
        <w:t>kortelėmis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p>
    <w:p w14:paraId="27ED797E" w14:textId="77777777" w:rsidR="00093845" w:rsidRPr="0065344A" w:rsidRDefault="000D779E">
      <w:pPr>
        <w:ind w:firstLine="993"/>
        <w:jc w:val="both"/>
        <w:rPr>
          <w:lang w:val="lt-LT" w:eastAsia="lt-LT"/>
        </w:rPr>
      </w:pPr>
      <w:r w:rsidRPr="0065344A">
        <w:rPr>
          <w:b/>
          <w:bCs/>
          <w:lang w:val="lt-LT" w:eastAsia="lt-LT"/>
        </w:rPr>
        <w:t>6.11.</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skolinių</w:t>
      </w:r>
      <w:r w:rsidRPr="0065344A">
        <w:rPr>
          <w:b/>
          <w:bCs/>
          <w:i/>
          <w:iCs/>
          <w:lang w:val="lt-LT" w:eastAsia="lt-LT"/>
        </w:rPr>
        <w:t xml:space="preserve"> </w:t>
      </w:r>
      <w:r w:rsidRPr="0065344A">
        <w:rPr>
          <w:b/>
          <w:bCs/>
          <w:lang w:val="lt-LT" w:eastAsia="lt-LT"/>
        </w:rPr>
        <w:t>įsipareigojimų</w:t>
      </w:r>
      <w:r w:rsidRPr="0065344A">
        <w:rPr>
          <w:b/>
          <w:bCs/>
          <w:i/>
          <w:iCs/>
          <w:lang w:val="lt-LT" w:eastAsia="lt-LT"/>
        </w:rPr>
        <w:t xml:space="preserve"> </w:t>
      </w:r>
      <w:r w:rsidRPr="0065344A">
        <w:rPr>
          <w:b/>
          <w:bCs/>
          <w:lang w:val="lt-LT" w:eastAsia="lt-LT"/>
        </w:rPr>
        <w:t>perleidimo</w:t>
      </w:r>
      <w:r w:rsidRPr="0065344A">
        <w:rPr>
          <w:b/>
          <w:bCs/>
          <w:i/>
          <w:iCs/>
          <w:lang w:val="lt-LT" w:eastAsia="lt-LT"/>
        </w:rPr>
        <w:t xml:space="preserve"> </w:t>
      </w:r>
      <w:r w:rsidRPr="0065344A">
        <w:rPr>
          <w:b/>
          <w:bCs/>
          <w:lang w:val="lt-LT" w:eastAsia="lt-LT"/>
        </w:rPr>
        <w:t>(faktoringo)</w:t>
      </w:r>
      <w:r w:rsidRPr="0065344A">
        <w:rPr>
          <w:b/>
          <w:bCs/>
          <w:i/>
          <w:iCs/>
          <w:lang w:val="lt-LT" w:eastAsia="lt-LT"/>
        </w:rPr>
        <w:t xml:space="preserve"> </w:t>
      </w:r>
      <w:r w:rsidRPr="0065344A">
        <w:rPr>
          <w:b/>
          <w:bCs/>
          <w:lang w:val="lt-LT" w:eastAsia="lt-LT"/>
        </w:rPr>
        <w:t>sutarčių.</w:t>
      </w:r>
    </w:p>
    <w:p w14:paraId="5C5A9EB4" w14:textId="77777777" w:rsidR="00093845" w:rsidRPr="0065344A" w:rsidRDefault="000D779E">
      <w:pPr>
        <w:ind w:firstLine="993"/>
        <w:jc w:val="both"/>
        <w:rPr>
          <w:lang w:val="lt-LT" w:eastAsia="lt-LT"/>
        </w:rPr>
      </w:pPr>
      <w:r w:rsidRPr="0065344A">
        <w:rPr>
          <w:lang w:val="lt-LT" w:eastAsia="lt-LT"/>
        </w:rPr>
        <w:t>Civilinio</w:t>
      </w:r>
      <w:r w:rsidRPr="0065344A">
        <w:rPr>
          <w:i/>
          <w:iCs/>
          <w:lang w:val="lt-LT" w:eastAsia="lt-LT"/>
        </w:rPr>
        <w:t xml:space="preserve"> </w:t>
      </w:r>
      <w:r w:rsidRPr="0065344A">
        <w:rPr>
          <w:lang w:val="lt-LT" w:eastAsia="lt-LT"/>
        </w:rPr>
        <w:t>kodekso</w:t>
      </w:r>
      <w:r w:rsidRPr="0065344A">
        <w:rPr>
          <w:i/>
          <w:iCs/>
          <w:lang w:val="lt-LT" w:eastAsia="lt-LT"/>
        </w:rPr>
        <w:t xml:space="preserve"> </w:t>
      </w:r>
      <w:r w:rsidRPr="0065344A">
        <w:rPr>
          <w:lang w:val="lt-LT" w:eastAsia="lt-LT"/>
        </w:rPr>
        <w:t>6.903</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sutartimi</w:t>
      </w:r>
      <w:r w:rsidRPr="0065344A">
        <w:rPr>
          <w:i/>
          <w:iCs/>
          <w:lang w:val="lt-LT" w:eastAsia="lt-LT"/>
        </w:rPr>
        <w:t xml:space="preserve"> </w:t>
      </w:r>
      <w:r w:rsidRPr="0065344A">
        <w:rPr>
          <w:lang w:val="lt-LT" w:eastAsia="lt-LT"/>
        </w:rPr>
        <w:t>viena</w:t>
      </w:r>
      <w:r w:rsidRPr="0065344A">
        <w:rPr>
          <w:i/>
          <w:iCs/>
          <w:lang w:val="lt-LT" w:eastAsia="lt-LT"/>
        </w:rPr>
        <w:t xml:space="preserve"> </w:t>
      </w:r>
      <w:r w:rsidRPr="0065344A">
        <w:rPr>
          <w:lang w:val="lt-LT" w:eastAsia="lt-LT"/>
        </w:rPr>
        <w:t>šalis</w:t>
      </w:r>
      <w:r w:rsidRPr="0065344A">
        <w:rPr>
          <w:i/>
          <w:iCs/>
          <w:lang w:val="lt-LT" w:eastAsia="lt-LT"/>
        </w:rPr>
        <w:t xml:space="preserve"> </w:t>
      </w:r>
      <w:r w:rsidRPr="0065344A">
        <w:rPr>
          <w:lang w:val="lt-LT" w:eastAsia="lt-LT"/>
        </w:rPr>
        <w:t>(finansuotojas)</w:t>
      </w:r>
      <w:r w:rsidRPr="0065344A">
        <w:rPr>
          <w:i/>
          <w:iCs/>
          <w:lang w:val="lt-LT" w:eastAsia="lt-LT"/>
        </w:rPr>
        <w:t xml:space="preserve"> </w:t>
      </w:r>
      <w:r w:rsidRPr="0065344A">
        <w:rPr>
          <w:lang w:val="lt-LT" w:eastAsia="lt-LT"/>
        </w:rPr>
        <w:t>perduoda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įsipareigoja</w:t>
      </w:r>
      <w:r w:rsidRPr="0065344A">
        <w:rPr>
          <w:i/>
          <w:iCs/>
          <w:lang w:val="lt-LT" w:eastAsia="lt-LT"/>
        </w:rPr>
        <w:t xml:space="preserve"> </w:t>
      </w:r>
      <w:r w:rsidRPr="0065344A">
        <w:rPr>
          <w:lang w:val="lt-LT" w:eastAsia="lt-LT"/>
        </w:rPr>
        <w:t>perduoti</w:t>
      </w:r>
      <w:r w:rsidRPr="0065344A">
        <w:rPr>
          <w:i/>
          <w:iCs/>
          <w:lang w:val="lt-LT" w:eastAsia="lt-LT"/>
        </w:rPr>
        <w:t xml:space="preserve"> </w:t>
      </w:r>
      <w:r w:rsidRPr="0065344A">
        <w:rPr>
          <w:lang w:val="lt-LT" w:eastAsia="lt-LT"/>
        </w:rPr>
        <w:t>kitai</w:t>
      </w:r>
      <w:r w:rsidRPr="0065344A">
        <w:rPr>
          <w:i/>
          <w:iCs/>
          <w:lang w:val="lt-LT" w:eastAsia="lt-LT"/>
        </w:rPr>
        <w:t xml:space="preserve"> </w:t>
      </w:r>
      <w:r w:rsidRPr="0065344A">
        <w:rPr>
          <w:lang w:val="lt-LT" w:eastAsia="lt-LT"/>
        </w:rPr>
        <w:t>šaliai</w:t>
      </w:r>
      <w:r w:rsidRPr="0065344A">
        <w:rPr>
          <w:i/>
          <w:iCs/>
          <w:lang w:val="lt-LT" w:eastAsia="lt-LT"/>
        </w:rPr>
        <w:t xml:space="preserve"> </w:t>
      </w:r>
      <w:r w:rsidRPr="0065344A">
        <w:rPr>
          <w:lang w:val="lt-LT" w:eastAsia="lt-LT"/>
        </w:rPr>
        <w:t>(klientui)</w:t>
      </w:r>
      <w:r w:rsidRPr="0065344A">
        <w:rPr>
          <w:i/>
          <w:iCs/>
          <w:lang w:val="lt-LT" w:eastAsia="lt-LT"/>
        </w:rPr>
        <w:t xml:space="preserve"> </w:t>
      </w:r>
      <w:r w:rsidRPr="0065344A">
        <w:rPr>
          <w:lang w:val="lt-LT" w:eastAsia="lt-LT"/>
        </w:rPr>
        <w:t>pinigus</w:t>
      </w:r>
      <w:r w:rsidRPr="0065344A">
        <w:rPr>
          <w:i/>
          <w:iCs/>
          <w:lang w:val="lt-LT" w:eastAsia="lt-LT"/>
        </w:rPr>
        <w:t xml:space="preserve"> </w:t>
      </w:r>
      <w:r w:rsidRPr="0065344A">
        <w:rPr>
          <w:lang w:val="lt-LT" w:eastAsia="lt-LT"/>
        </w:rPr>
        <w:t>mainais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kliento</w:t>
      </w:r>
      <w:r w:rsidRPr="0065344A">
        <w:rPr>
          <w:i/>
          <w:iCs/>
          <w:lang w:val="lt-LT" w:eastAsia="lt-LT"/>
        </w:rPr>
        <w:t xml:space="preserve"> </w:t>
      </w:r>
      <w:r w:rsidRPr="0065344A">
        <w:rPr>
          <w:lang w:val="lt-LT" w:eastAsia="lt-LT"/>
        </w:rPr>
        <w:t>(kreditoriaus)</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susijusį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pardavimu,</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atlikimu</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teikimu,</w:t>
      </w:r>
      <w:r w:rsidRPr="0065344A">
        <w:rPr>
          <w:i/>
          <w:iCs/>
          <w:lang w:val="lt-LT" w:eastAsia="lt-LT"/>
        </w:rPr>
        <w:t xml:space="preserve"> </w:t>
      </w:r>
      <w:r w:rsidRPr="0065344A">
        <w:rPr>
          <w:lang w:val="lt-LT" w:eastAsia="lt-LT"/>
        </w:rPr>
        <w:t>trečiajam</w:t>
      </w:r>
      <w:r w:rsidRPr="0065344A">
        <w:rPr>
          <w:i/>
          <w:iCs/>
          <w:lang w:val="lt-LT" w:eastAsia="lt-LT"/>
        </w:rPr>
        <w:t xml:space="preserve"> </w:t>
      </w:r>
      <w:r w:rsidRPr="0065344A">
        <w:rPr>
          <w:lang w:val="lt-LT" w:eastAsia="lt-LT"/>
        </w:rPr>
        <w:t>asmeniui</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klientas</w:t>
      </w:r>
      <w:r w:rsidRPr="0065344A">
        <w:rPr>
          <w:i/>
          <w:iCs/>
          <w:lang w:val="lt-LT" w:eastAsia="lt-LT"/>
        </w:rPr>
        <w:t xml:space="preserve"> </w:t>
      </w:r>
      <w:r w:rsidRPr="0065344A">
        <w:rPr>
          <w:lang w:val="lt-LT" w:eastAsia="lt-LT"/>
        </w:rPr>
        <w:t>perleidžia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įsipareigoja</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(finansavimas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sąlyga</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mokėti</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atlyginimą.</w:t>
      </w:r>
      <w:r w:rsidRPr="0065344A">
        <w:rPr>
          <w:i/>
          <w:iCs/>
          <w:lang w:val="lt-LT" w:eastAsia="lt-LT"/>
        </w:rPr>
        <w:t xml:space="preserve"> </w:t>
      </w:r>
      <w:r w:rsidRPr="0065344A">
        <w:rPr>
          <w:lang w:val="lt-LT" w:eastAsia="lt-LT"/>
        </w:rPr>
        <w:t>Piniginį</w:t>
      </w:r>
      <w:r w:rsidRPr="0065344A">
        <w:rPr>
          <w:i/>
          <w:iCs/>
          <w:lang w:val="lt-LT" w:eastAsia="lt-LT"/>
        </w:rPr>
        <w:t xml:space="preserve"> </w:t>
      </w:r>
      <w:r w:rsidRPr="0065344A">
        <w:rPr>
          <w:lang w:val="lt-LT" w:eastAsia="lt-LT"/>
        </w:rPr>
        <w:t>reikalavimą</w:t>
      </w:r>
      <w:r w:rsidRPr="0065344A">
        <w:rPr>
          <w:i/>
          <w:iCs/>
          <w:lang w:val="lt-LT" w:eastAsia="lt-LT"/>
        </w:rPr>
        <w:t xml:space="preserve"> </w:t>
      </w:r>
      <w:r w:rsidRPr="0065344A">
        <w:rPr>
          <w:lang w:val="lt-LT" w:eastAsia="lt-LT"/>
        </w:rPr>
        <w:t>skolininkui</w:t>
      </w:r>
      <w:r w:rsidRPr="0065344A">
        <w:rPr>
          <w:i/>
          <w:iCs/>
          <w:lang w:val="lt-LT" w:eastAsia="lt-LT"/>
        </w:rPr>
        <w:t xml:space="preserve"> </w:t>
      </w:r>
      <w:r w:rsidRPr="0065344A">
        <w:rPr>
          <w:lang w:val="lt-LT" w:eastAsia="lt-LT"/>
        </w:rPr>
        <w:t>klientas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perleisti</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siekdamas</w:t>
      </w:r>
      <w:r w:rsidRPr="0065344A">
        <w:rPr>
          <w:i/>
          <w:iCs/>
          <w:lang w:val="lt-LT" w:eastAsia="lt-LT"/>
        </w:rPr>
        <w:t xml:space="preserve"> </w:t>
      </w:r>
      <w:r w:rsidRPr="0065344A">
        <w:rPr>
          <w:lang w:val="lt-LT" w:eastAsia="lt-LT"/>
        </w:rPr>
        <w:t>užtikrinti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prievolių</w:t>
      </w:r>
      <w:r w:rsidRPr="0065344A">
        <w:rPr>
          <w:i/>
          <w:iCs/>
          <w:lang w:val="lt-LT" w:eastAsia="lt-LT"/>
        </w:rPr>
        <w:t xml:space="preserve"> </w:t>
      </w:r>
      <w:r w:rsidRPr="0065344A">
        <w:rPr>
          <w:lang w:val="lt-LT" w:eastAsia="lt-LT"/>
        </w:rPr>
        <w:t>finansuotojui</w:t>
      </w:r>
      <w:r w:rsidRPr="0065344A">
        <w:rPr>
          <w:i/>
          <w:iCs/>
          <w:lang w:val="lt-LT" w:eastAsia="lt-LT"/>
        </w:rPr>
        <w:t xml:space="preserve"> </w:t>
      </w:r>
      <w:r w:rsidRPr="0065344A">
        <w:rPr>
          <w:lang w:val="lt-LT" w:eastAsia="lt-LT"/>
        </w:rPr>
        <w:t>įvykdymą</w:t>
      </w:r>
      <w:r w:rsidRPr="0065344A">
        <w:rPr>
          <w:i/>
          <w:iCs/>
          <w:lang w:val="lt-LT" w:eastAsia="lt-LT"/>
        </w:rPr>
        <w:t>“</w:t>
      </w:r>
      <w:r w:rsidRPr="0065344A">
        <w:rPr>
          <w:lang w:val="lt-LT" w:eastAsia="lt-LT"/>
        </w:rPr>
        <w:t>.</w:t>
      </w:r>
    </w:p>
    <w:p w14:paraId="1B87479E" w14:textId="77777777" w:rsidR="00093845" w:rsidRPr="0065344A" w:rsidRDefault="000D779E">
      <w:pPr>
        <w:ind w:firstLine="993"/>
        <w:jc w:val="both"/>
        <w:rPr>
          <w:lang w:val="lt-LT" w:eastAsia="lt-LT"/>
        </w:rPr>
      </w:pPr>
      <w:r w:rsidRPr="0065344A">
        <w:rPr>
          <w:lang w:val="lt-LT" w:eastAsia="lt-LT"/>
        </w:rPr>
        <w:lastRenderedPageBreak/>
        <w:t>Pagal</w:t>
      </w:r>
      <w:r w:rsidRPr="0065344A">
        <w:rPr>
          <w:i/>
          <w:iCs/>
          <w:lang w:val="lt-LT" w:eastAsia="lt-LT"/>
        </w:rPr>
        <w:t xml:space="preserve"> </w:t>
      </w:r>
      <w:r w:rsidRPr="0065344A">
        <w:rPr>
          <w:lang w:val="lt-LT" w:eastAsia="lt-LT"/>
        </w:rPr>
        <w:t>Civilinio</w:t>
      </w:r>
      <w:r w:rsidRPr="0065344A">
        <w:rPr>
          <w:i/>
          <w:iCs/>
          <w:lang w:val="lt-LT" w:eastAsia="lt-LT"/>
        </w:rPr>
        <w:t xml:space="preserve"> </w:t>
      </w:r>
      <w:r w:rsidRPr="0065344A">
        <w:rPr>
          <w:lang w:val="lt-LT" w:eastAsia="lt-LT"/>
        </w:rPr>
        <w:t>kodekso</w:t>
      </w:r>
      <w:r w:rsidRPr="0065344A">
        <w:rPr>
          <w:i/>
          <w:iCs/>
          <w:lang w:val="lt-LT" w:eastAsia="lt-LT"/>
        </w:rPr>
        <w:t xml:space="preserve"> </w:t>
      </w:r>
      <w:r w:rsidRPr="0065344A">
        <w:rPr>
          <w:lang w:val="lt-LT" w:eastAsia="lt-LT"/>
        </w:rPr>
        <w:t>6.904</w:t>
      </w:r>
      <w:r w:rsidRPr="0065344A">
        <w:rPr>
          <w:i/>
          <w:iCs/>
          <w:lang w:val="lt-LT" w:eastAsia="lt-LT"/>
        </w:rPr>
        <w:t xml:space="preserve"> </w:t>
      </w:r>
      <w:r w:rsidRPr="0065344A">
        <w:rPr>
          <w:lang w:val="lt-LT" w:eastAsia="lt-LT"/>
        </w:rPr>
        <w:t>straipsnio</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finansuotoju</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bankas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siekiantis</w:t>
      </w:r>
      <w:r w:rsidRPr="0065344A">
        <w:rPr>
          <w:i/>
          <w:iCs/>
          <w:lang w:val="lt-LT" w:eastAsia="lt-LT"/>
        </w:rPr>
        <w:t xml:space="preserve"> </w:t>
      </w:r>
      <w:r w:rsidRPr="0065344A">
        <w:rPr>
          <w:lang w:val="lt-LT" w:eastAsia="lt-LT"/>
        </w:rPr>
        <w:t>juridinis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įstatymų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turintis</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vykdyti</w:t>
      </w:r>
      <w:r w:rsidRPr="0065344A">
        <w:rPr>
          <w:i/>
          <w:iCs/>
          <w:lang w:val="lt-LT" w:eastAsia="lt-LT"/>
        </w:rPr>
        <w:t xml:space="preserve"> </w:t>
      </w:r>
      <w:r w:rsidRPr="0065344A">
        <w:rPr>
          <w:lang w:val="lt-LT" w:eastAsia="lt-LT"/>
        </w:rPr>
        <w:t>faktoringo</w:t>
      </w:r>
      <w:r w:rsidRPr="0065344A">
        <w:rPr>
          <w:i/>
          <w:iCs/>
          <w:lang w:val="lt-LT" w:eastAsia="lt-LT"/>
        </w:rPr>
        <w:t xml:space="preserve"> </w:t>
      </w:r>
      <w:r w:rsidRPr="0065344A">
        <w:rPr>
          <w:lang w:val="lt-LT" w:eastAsia="lt-LT"/>
        </w:rPr>
        <w:t>veiklą</w:t>
      </w:r>
      <w:r w:rsidRPr="0065344A">
        <w:rPr>
          <w:i/>
          <w:iCs/>
          <w:lang w:val="lt-LT" w:eastAsia="lt-LT"/>
        </w:rPr>
        <w:t>“</w:t>
      </w:r>
      <w:r w:rsidRPr="0065344A">
        <w:rPr>
          <w:lang w:val="lt-LT" w:eastAsia="lt-LT"/>
        </w:rPr>
        <w:t>.</w:t>
      </w:r>
      <w:r w:rsidRPr="0065344A">
        <w:rPr>
          <w:i/>
          <w:iCs/>
          <w:lang w:val="lt-LT" w:eastAsia="lt-LT"/>
        </w:rPr>
        <w:t xml:space="preserve"> </w:t>
      </w:r>
    </w:p>
    <w:p w14:paraId="2FD34547" w14:textId="77777777" w:rsidR="00093845" w:rsidRDefault="000D779E">
      <w:pPr>
        <w:ind w:firstLine="993"/>
        <w:jc w:val="both"/>
        <w:rPr>
          <w:lang w:eastAsia="lt-LT"/>
        </w:rPr>
      </w:pPr>
      <w:r>
        <w:rPr>
          <w:lang w:eastAsia="lt-LT"/>
        </w:rPr>
        <w:t>Kadangi</w:t>
      </w:r>
      <w:r>
        <w:rPr>
          <w:i/>
          <w:iCs/>
          <w:lang w:eastAsia="lt-LT"/>
        </w:rPr>
        <w:t xml:space="preserve"> </w:t>
      </w:r>
      <w:r>
        <w:rPr>
          <w:lang w:eastAsia="lt-LT"/>
        </w:rPr>
        <w:t>faktoringas</w:t>
      </w:r>
      <w:r>
        <w:rPr>
          <w:i/>
          <w:iCs/>
          <w:lang w:eastAsia="lt-LT"/>
        </w:rPr>
        <w:t xml:space="preserve"> </w:t>
      </w:r>
      <w:r>
        <w:rPr>
          <w:lang w:eastAsia="lt-LT"/>
        </w:rPr>
        <w:t>yra</w:t>
      </w:r>
      <w:r>
        <w:rPr>
          <w:i/>
          <w:iCs/>
          <w:lang w:eastAsia="lt-LT"/>
        </w:rPr>
        <w:t xml:space="preserve"> </w:t>
      </w:r>
      <w:r>
        <w:rPr>
          <w:lang w:eastAsia="lt-LT"/>
        </w:rPr>
        <w:t>paslauga,</w:t>
      </w:r>
      <w:r>
        <w:rPr>
          <w:i/>
          <w:iCs/>
          <w:lang w:eastAsia="lt-LT"/>
        </w:rPr>
        <w:t xml:space="preserve"> </w:t>
      </w:r>
      <w:r>
        <w:rPr>
          <w:lang w:eastAsia="lt-LT"/>
        </w:rPr>
        <w:t>tai</w:t>
      </w:r>
      <w:r>
        <w:rPr>
          <w:i/>
          <w:iCs/>
          <w:lang w:eastAsia="lt-LT"/>
        </w:rPr>
        <w:t xml:space="preserve"> </w:t>
      </w:r>
      <w:r>
        <w:rPr>
          <w:lang w:eastAsia="lt-LT"/>
        </w:rPr>
        <w:t>už</w:t>
      </w:r>
      <w:r>
        <w:rPr>
          <w:i/>
          <w:iCs/>
          <w:lang w:eastAsia="lt-LT"/>
        </w:rPr>
        <w:t xml:space="preserve"> </w:t>
      </w:r>
      <w:r>
        <w:rPr>
          <w:lang w:eastAsia="lt-LT"/>
        </w:rPr>
        <w:t>ją</w:t>
      </w:r>
      <w:r>
        <w:rPr>
          <w:i/>
          <w:iCs/>
          <w:lang w:eastAsia="lt-LT"/>
        </w:rPr>
        <w:t xml:space="preserve"> </w:t>
      </w:r>
      <w:r>
        <w:rPr>
          <w:lang w:eastAsia="lt-LT"/>
        </w:rPr>
        <w:t>finansuotojas</w:t>
      </w:r>
      <w:r>
        <w:rPr>
          <w:i/>
          <w:iCs/>
          <w:lang w:eastAsia="lt-LT"/>
        </w:rPr>
        <w:t xml:space="preserve"> </w:t>
      </w:r>
      <w:r>
        <w:rPr>
          <w:lang w:eastAsia="lt-LT"/>
        </w:rPr>
        <w:t>turi</w:t>
      </w:r>
      <w:r>
        <w:rPr>
          <w:i/>
          <w:iCs/>
          <w:lang w:eastAsia="lt-LT"/>
        </w:rPr>
        <w:t xml:space="preserve"> </w:t>
      </w:r>
      <w:r>
        <w:rPr>
          <w:lang w:eastAsia="lt-LT"/>
        </w:rPr>
        <w:t>gauti</w:t>
      </w:r>
      <w:r>
        <w:rPr>
          <w:i/>
          <w:iCs/>
          <w:lang w:eastAsia="lt-LT"/>
        </w:rPr>
        <w:t xml:space="preserve"> </w:t>
      </w:r>
      <w:r>
        <w:rPr>
          <w:lang w:eastAsia="lt-LT"/>
        </w:rPr>
        <w:t>pajamų.</w:t>
      </w:r>
      <w:r>
        <w:rPr>
          <w:i/>
          <w:iCs/>
          <w:lang w:eastAsia="lt-LT"/>
        </w:rPr>
        <w:t xml:space="preserve"> </w:t>
      </w:r>
      <w:r>
        <w:rPr>
          <w:lang w:eastAsia="lt-LT"/>
        </w:rPr>
        <w:t>Sudarant</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sutartis,</w:t>
      </w:r>
      <w:r>
        <w:rPr>
          <w:i/>
          <w:iCs/>
          <w:lang w:eastAsia="lt-LT"/>
        </w:rPr>
        <w:t xml:space="preserve"> </w:t>
      </w:r>
      <w:r>
        <w:rPr>
          <w:lang w:eastAsia="lt-LT"/>
        </w:rPr>
        <w:t>paprastai</w:t>
      </w:r>
      <w:r>
        <w:rPr>
          <w:i/>
          <w:iCs/>
          <w:lang w:eastAsia="lt-LT"/>
        </w:rPr>
        <w:t xml:space="preserve"> </w:t>
      </w:r>
      <w:r>
        <w:rPr>
          <w:lang w:eastAsia="lt-LT"/>
        </w:rPr>
        <w:t>numatomi</w:t>
      </w:r>
      <w:r>
        <w:rPr>
          <w:i/>
          <w:iCs/>
          <w:lang w:eastAsia="lt-LT"/>
        </w:rPr>
        <w:t xml:space="preserve"> </w:t>
      </w:r>
      <w:r>
        <w:rPr>
          <w:lang w:eastAsia="lt-LT"/>
        </w:rPr>
        <w:t>tokie</w:t>
      </w:r>
      <w:r>
        <w:rPr>
          <w:i/>
          <w:iCs/>
          <w:lang w:eastAsia="lt-LT"/>
        </w:rPr>
        <w:t xml:space="preserve"> </w:t>
      </w:r>
      <w:r>
        <w:rPr>
          <w:lang w:eastAsia="lt-LT"/>
        </w:rPr>
        <w:t>mokesčiai,</w:t>
      </w:r>
      <w:r>
        <w:rPr>
          <w:i/>
          <w:iCs/>
          <w:lang w:eastAsia="lt-LT"/>
        </w:rPr>
        <w:t xml:space="preserve"> </w:t>
      </w:r>
      <w:r>
        <w:rPr>
          <w:lang w:eastAsia="lt-LT"/>
        </w:rPr>
        <w:t>kaip</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palūkanos,</w:t>
      </w:r>
      <w:r>
        <w:rPr>
          <w:i/>
          <w:iCs/>
          <w:lang w:eastAsia="lt-LT"/>
        </w:rPr>
        <w:t xml:space="preserve"> </w:t>
      </w:r>
      <w:r>
        <w:rPr>
          <w:lang w:eastAsia="lt-LT"/>
        </w:rPr>
        <w:t>komisinis</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mokestis,</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mokestis.</w:t>
      </w:r>
    </w:p>
    <w:p w14:paraId="57157634" w14:textId="77777777" w:rsidR="00093845" w:rsidRDefault="000D779E">
      <w:pPr>
        <w:ind w:firstLine="993"/>
        <w:jc w:val="both"/>
        <w:rPr>
          <w:lang w:eastAsia="lt-LT"/>
        </w:rPr>
      </w:pPr>
      <w:r>
        <w:rPr>
          <w:lang w:eastAsia="lt-LT"/>
        </w:rPr>
        <w:t>Finansuotojui</w:t>
      </w:r>
      <w:r>
        <w:rPr>
          <w:i/>
          <w:iCs/>
          <w:lang w:eastAsia="lt-LT"/>
        </w:rPr>
        <w:t xml:space="preserve"> </w:t>
      </w:r>
      <w:r>
        <w:rPr>
          <w:lang w:eastAsia="lt-LT"/>
        </w:rPr>
        <w:t>pagal</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įmonės</w:t>
      </w:r>
      <w:r>
        <w:rPr>
          <w:i/>
          <w:iCs/>
          <w:lang w:eastAsia="lt-LT"/>
        </w:rPr>
        <w:t xml:space="preserve"> </w:t>
      </w:r>
      <w:r>
        <w:rPr>
          <w:lang w:eastAsia="lt-LT"/>
        </w:rPr>
        <w:t>sumokėtas</w:t>
      </w:r>
      <w:r>
        <w:rPr>
          <w:i/>
          <w:iCs/>
          <w:lang w:eastAsia="lt-LT"/>
        </w:rPr>
        <w:t xml:space="preserve"> </w:t>
      </w:r>
      <w:r>
        <w:rPr>
          <w:lang w:eastAsia="lt-LT"/>
        </w:rPr>
        <w:t>komisinis</w:t>
      </w:r>
      <w:r>
        <w:rPr>
          <w:i/>
          <w:iCs/>
          <w:lang w:eastAsia="lt-LT"/>
        </w:rPr>
        <w:t xml:space="preserve"> </w:t>
      </w:r>
      <w:r>
        <w:rPr>
          <w:lang w:eastAsia="lt-LT"/>
        </w:rPr>
        <w:t>mokestis,</w:t>
      </w:r>
      <w:r>
        <w:rPr>
          <w:i/>
          <w:iCs/>
          <w:lang w:eastAsia="lt-LT"/>
        </w:rPr>
        <w:t xml:space="preserve"> </w:t>
      </w:r>
      <w:r>
        <w:rPr>
          <w:lang w:eastAsia="lt-LT"/>
        </w:rPr>
        <w:t>sutarties</w:t>
      </w:r>
      <w:r>
        <w:rPr>
          <w:i/>
          <w:iCs/>
          <w:lang w:eastAsia="lt-LT"/>
        </w:rPr>
        <w:t xml:space="preserve"> </w:t>
      </w:r>
      <w:r>
        <w:rPr>
          <w:lang w:eastAsia="lt-LT"/>
        </w:rPr>
        <w:t>mokestis</w:t>
      </w:r>
      <w:r>
        <w:rPr>
          <w:i/>
          <w:iCs/>
          <w:lang w:eastAsia="lt-LT"/>
        </w:rPr>
        <w:t xml:space="preserve"> </w:t>
      </w:r>
      <w:r>
        <w:rPr>
          <w:lang w:eastAsia="lt-LT"/>
        </w:rPr>
        <w:t>bei</w:t>
      </w:r>
      <w:r>
        <w:rPr>
          <w:i/>
          <w:iCs/>
          <w:lang w:eastAsia="lt-LT"/>
        </w:rPr>
        <w:t xml:space="preserve"> </w:t>
      </w:r>
      <w:r>
        <w:rPr>
          <w:lang w:eastAsia="lt-LT"/>
        </w:rPr>
        <w:t>mokamos</w:t>
      </w:r>
      <w:r>
        <w:rPr>
          <w:i/>
          <w:iCs/>
          <w:lang w:eastAsia="lt-LT"/>
        </w:rPr>
        <w:t xml:space="preserve"> </w:t>
      </w:r>
      <w:r>
        <w:rPr>
          <w:lang w:eastAsia="lt-LT"/>
        </w:rPr>
        <w:t>palūkanos</w:t>
      </w:r>
      <w:r>
        <w:rPr>
          <w:i/>
          <w:iCs/>
          <w:lang w:eastAsia="lt-LT"/>
        </w:rPr>
        <w:t xml:space="preserve"> </w:t>
      </w:r>
      <w:r>
        <w:rPr>
          <w:lang w:eastAsia="lt-LT"/>
        </w:rPr>
        <w:t>už</w:t>
      </w:r>
      <w:r>
        <w:rPr>
          <w:i/>
          <w:iCs/>
          <w:lang w:eastAsia="lt-LT"/>
        </w:rPr>
        <w:t xml:space="preserve"> </w:t>
      </w:r>
      <w:r>
        <w:rPr>
          <w:lang w:eastAsia="lt-LT"/>
        </w:rPr>
        <w:t>finansavimą,</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priskiriamos</w:t>
      </w:r>
      <w:r>
        <w:rPr>
          <w:i/>
          <w:iCs/>
          <w:lang w:eastAsia="lt-LT"/>
        </w:rPr>
        <w:t xml:space="preserve"> </w:t>
      </w:r>
      <w:r>
        <w:rPr>
          <w:lang w:eastAsia="lt-LT"/>
        </w:rPr>
        <w:t>įmonės</w:t>
      </w:r>
      <w:r>
        <w:rPr>
          <w:i/>
          <w:iCs/>
          <w:lang w:eastAsia="lt-LT"/>
        </w:rPr>
        <w:t xml:space="preserve"> </w:t>
      </w:r>
      <w:r>
        <w:rPr>
          <w:lang w:eastAsia="lt-LT"/>
        </w:rPr>
        <w:t>pardavėjos</w:t>
      </w:r>
      <w:r>
        <w:rPr>
          <w:i/>
          <w:iCs/>
          <w:lang w:eastAsia="lt-LT"/>
        </w:rPr>
        <w:t xml:space="preserve"> </w:t>
      </w:r>
      <w:r>
        <w:rPr>
          <w:lang w:eastAsia="lt-LT"/>
        </w:rPr>
        <w:t>(kliento)</w:t>
      </w:r>
      <w:r>
        <w:rPr>
          <w:i/>
          <w:iCs/>
          <w:lang w:eastAsia="lt-LT"/>
        </w:rPr>
        <w:t xml:space="preserve"> </w:t>
      </w:r>
      <w:r>
        <w:rPr>
          <w:lang w:eastAsia="lt-LT"/>
        </w:rPr>
        <w:t>leidžiamiems</w:t>
      </w:r>
      <w:r>
        <w:rPr>
          <w:i/>
          <w:iCs/>
          <w:lang w:eastAsia="lt-LT"/>
        </w:rPr>
        <w:t xml:space="preserve"> </w:t>
      </w:r>
      <w:r>
        <w:rPr>
          <w:lang w:eastAsia="lt-LT"/>
        </w:rPr>
        <w:t>atskaitymams.</w:t>
      </w:r>
    </w:p>
    <w:p w14:paraId="6D6498AE" w14:textId="77777777" w:rsidR="00093845" w:rsidRDefault="000D779E">
      <w:pPr>
        <w:ind w:firstLine="993"/>
        <w:jc w:val="both"/>
        <w:rPr>
          <w:lang w:eastAsia="lt-LT"/>
        </w:rPr>
      </w:pPr>
      <w:r>
        <w:rPr>
          <w:lang w:eastAsia="lt-LT"/>
        </w:rPr>
        <w:t>Pagal</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finansuotojas</w:t>
      </w:r>
      <w:r>
        <w:rPr>
          <w:i/>
          <w:iCs/>
          <w:lang w:eastAsia="lt-LT"/>
        </w:rPr>
        <w:t xml:space="preserve"> </w:t>
      </w:r>
      <w:r>
        <w:rPr>
          <w:lang w:eastAsia="lt-LT"/>
        </w:rPr>
        <w:t>įmonei</w:t>
      </w:r>
      <w:r>
        <w:rPr>
          <w:i/>
          <w:iCs/>
          <w:lang w:eastAsia="lt-LT"/>
        </w:rPr>
        <w:t xml:space="preserve"> </w:t>
      </w:r>
      <w:r>
        <w:rPr>
          <w:lang w:eastAsia="lt-LT"/>
        </w:rPr>
        <w:t>už</w:t>
      </w:r>
      <w:r>
        <w:rPr>
          <w:i/>
          <w:iCs/>
          <w:lang w:eastAsia="lt-LT"/>
        </w:rPr>
        <w:t xml:space="preserve"> </w:t>
      </w:r>
      <w:r>
        <w:rPr>
          <w:lang w:eastAsia="lt-LT"/>
        </w:rPr>
        <w:t>perleistą</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skolininkui</w:t>
      </w:r>
      <w:r>
        <w:rPr>
          <w:i/>
          <w:iCs/>
          <w:lang w:eastAsia="lt-LT"/>
        </w:rPr>
        <w:t xml:space="preserve"> </w:t>
      </w:r>
      <w:r>
        <w:rPr>
          <w:lang w:eastAsia="lt-LT"/>
        </w:rPr>
        <w:t>dažniausiai</w:t>
      </w:r>
      <w:r>
        <w:rPr>
          <w:i/>
          <w:iCs/>
          <w:lang w:eastAsia="lt-LT"/>
        </w:rPr>
        <w:t xml:space="preserve"> </w:t>
      </w:r>
      <w:r>
        <w:rPr>
          <w:lang w:eastAsia="lt-LT"/>
        </w:rPr>
        <w:t>avansu</w:t>
      </w:r>
      <w:r>
        <w:rPr>
          <w:i/>
          <w:iCs/>
          <w:lang w:eastAsia="lt-LT"/>
        </w:rPr>
        <w:t xml:space="preserve"> </w:t>
      </w:r>
      <w:r>
        <w:rPr>
          <w:lang w:eastAsia="lt-LT"/>
        </w:rPr>
        <w:t>perveda</w:t>
      </w:r>
      <w:r>
        <w:rPr>
          <w:i/>
          <w:iCs/>
          <w:lang w:eastAsia="lt-LT"/>
        </w:rPr>
        <w:t xml:space="preserve"> </w:t>
      </w:r>
      <w:r>
        <w:rPr>
          <w:lang w:eastAsia="lt-LT"/>
        </w:rPr>
        <w:t>70</w:t>
      </w:r>
      <w:r>
        <w:rPr>
          <w:i/>
          <w:iCs/>
          <w:lang w:eastAsia="lt-LT"/>
        </w:rPr>
        <w:t xml:space="preserve"> </w:t>
      </w:r>
      <w:r>
        <w:rPr>
          <w:lang w:eastAsia="lt-LT"/>
        </w:rPr>
        <w:t>–</w:t>
      </w:r>
      <w:r>
        <w:rPr>
          <w:i/>
          <w:iCs/>
          <w:lang w:eastAsia="lt-LT"/>
        </w:rPr>
        <w:t xml:space="preserve"> </w:t>
      </w:r>
      <w:r>
        <w:rPr>
          <w:lang w:eastAsia="lt-LT"/>
        </w:rPr>
        <w:t>90</w:t>
      </w:r>
      <w:r>
        <w:rPr>
          <w:i/>
          <w:iCs/>
          <w:lang w:eastAsia="lt-LT"/>
        </w:rPr>
        <w:t xml:space="preserve"> </w:t>
      </w:r>
      <w:r>
        <w:rPr>
          <w:lang w:eastAsia="lt-LT"/>
        </w:rPr>
        <w:t>proc.</w:t>
      </w:r>
      <w:r>
        <w:rPr>
          <w:i/>
          <w:iCs/>
          <w:lang w:eastAsia="lt-LT"/>
        </w:rPr>
        <w:t xml:space="preserve"> </w:t>
      </w:r>
      <w:r>
        <w:rPr>
          <w:lang w:eastAsia="lt-LT"/>
        </w:rPr>
        <w:t>skolos</w:t>
      </w:r>
      <w:r>
        <w:rPr>
          <w:i/>
          <w:iCs/>
          <w:lang w:eastAsia="lt-LT"/>
        </w:rPr>
        <w:t xml:space="preserve"> </w:t>
      </w:r>
      <w:r>
        <w:rPr>
          <w:lang w:eastAsia="lt-LT"/>
        </w:rPr>
        <w:t>sumos</w:t>
      </w:r>
      <w:r>
        <w:rPr>
          <w:i/>
          <w:iCs/>
          <w:lang w:eastAsia="lt-LT"/>
        </w:rPr>
        <w:t xml:space="preserve"> </w:t>
      </w:r>
      <w:r>
        <w:rPr>
          <w:lang w:eastAsia="lt-LT"/>
        </w:rPr>
        <w:t>pagal</w:t>
      </w:r>
      <w:r>
        <w:rPr>
          <w:i/>
          <w:iCs/>
          <w:lang w:eastAsia="lt-LT"/>
        </w:rPr>
        <w:t xml:space="preserve"> </w:t>
      </w:r>
      <w:r>
        <w:rPr>
          <w:lang w:eastAsia="lt-LT"/>
        </w:rPr>
        <w:t>pirkėjui</w:t>
      </w:r>
      <w:r>
        <w:rPr>
          <w:i/>
          <w:iCs/>
          <w:lang w:eastAsia="lt-LT"/>
        </w:rPr>
        <w:t xml:space="preserve"> </w:t>
      </w:r>
      <w:r>
        <w:rPr>
          <w:lang w:eastAsia="lt-LT"/>
        </w:rPr>
        <w:t>išrašytą</w:t>
      </w:r>
      <w:r>
        <w:rPr>
          <w:i/>
          <w:iCs/>
          <w:lang w:eastAsia="lt-LT"/>
        </w:rPr>
        <w:t xml:space="preserve"> </w:t>
      </w:r>
      <w:r>
        <w:rPr>
          <w:lang w:eastAsia="lt-LT"/>
        </w:rPr>
        <w:t>sąskaitą</w:t>
      </w:r>
      <w:r>
        <w:rPr>
          <w:i/>
          <w:iCs/>
          <w:lang w:eastAsia="lt-LT"/>
        </w:rPr>
        <w:t xml:space="preserve"> </w:t>
      </w:r>
      <w:r>
        <w:rPr>
          <w:lang w:eastAsia="lt-LT"/>
        </w:rPr>
        <w:t>faktūrą.</w:t>
      </w:r>
      <w:r>
        <w:rPr>
          <w:i/>
          <w:iCs/>
          <w:lang w:eastAsia="lt-LT"/>
        </w:rPr>
        <w:t xml:space="preserve"> </w:t>
      </w:r>
      <w:r>
        <w:rPr>
          <w:lang w:eastAsia="lt-LT"/>
        </w:rPr>
        <w:t>Likusią</w:t>
      </w:r>
      <w:r>
        <w:rPr>
          <w:i/>
          <w:iCs/>
          <w:lang w:eastAsia="lt-LT"/>
        </w:rPr>
        <w:t xml:space="preserve"> </w:t>
      </w:r>
      <w:r>
        <w:rPr>
          <w:lang w:eastAsia="lt-LT"/>
        </w:rPr>
        <w:t>sumą,</w:t>
      </w:r>
      <w:r>
        <w:rPr>
          <w:i/>
          <w:iCs/>
          <w:lang w:eastAsia="lt-LT"/>
        </w:rPr>
        <w:t xml:space="preserve"> </w:t>
      </w:r>
      <w:r>
        <w:rPr>
          <w:lang w:eastAsia="lt-LT"/>
        </w:rPr>
        <w:t>atskaitęs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kitus</w:t>
      </w:r>
      <w:r>
        <w:rPr>
          <w:i/>
          <w:iCs/>
          <w:lang w:eastAsia="lt-LT"/>
        </w:rPr>
        <w:t xml:space="preserve"> </w:t>
      </w:r>
      <w:r>
        <w:rPr>
          <w:lang w:eastAsia="lt-LT"/>
        </w:rPr>
        <w:t>sutartyje</w:t>
      </w:r>
      <w:r>
        <w:rPr>
          <w:i/>
          <w:iCs/>
          <w:lang w:eastAsia="lt-LT"/>
        </w:rPr>
        <w:t xml:space="preserve"> </w:t>
      </w:r>
      <w:r>
        <w:rPr>
          <w:lang w:eastAsia="lt-LT"/>
        </w:rPr>
        <w:t>numatytus</w:t>
      </w:r>
      <w:r>
        <w:rPr>
          <w:i/>
          <w:iCs/>
          <w:lang w:eastAsia="lt-LT"/>
        </w:rPr>
        <w:t xml:space="preserve"> </w:t>
      </w:r>
      <w:r>
        <w:rPr>
          <w:lang w:eastAsia="lt-LT"/>
        </w:rPr>
        <w:t>mokesčius,</w:t>
      </w:r>
      <w:r>
        <w:rPr>
          <w:i/>
          <w:iCs/>
          <w:lang w:eastAsia="lt-LT"/>
        </w:rPr>
        <w:t xml:space="preserve"> </w:t>
      </w:r>
      <w:r>
        <w:rPr>
          <w:lang w:eastAsia="lt-LT"/>
        </w:rPr>
        <w:t>finansuotojas</w:t>
      </w:r>
      <w:r>
        <w:rPr>
          <w:i/>
          <w:iCs/>
          <w:lang w:eastAsia="lt-LT"/>
        </w:rPr>
        <w:t xml:space="preserve"> </w:t>
      </w:r>
      <w:r>
        <w:rPr>
          <w:lang w:eastAsia="lt-LT"/>
        </w:rPr>
        <w:t>sumoka,</w:t>
      </w:r>
      <w:r>
        <w:rPr>
          <w:i/>
          <w:iCs/>
          <w:lang w:eastAsia="lt-LT"/>
        </w:rPr>
        <w:t xml:space="preserve"> </w:t>
      </w:r>
      <w:r>
        <w:rPr>
          <w:lang w:eastAsia="lt-LT"/>
        </w:rPr>
        <w:t>kai</w:t>
      </w:r>
      <w:r>
        <w:rPr>
          <w:i/>
          <w:iCs/>
          <w:lang w:eastAsia="lt-LT"/>
        </w:rPr>
        <w:t xml:space="preserve"> </w:t>
      </w:r>
      <w:r>
        <w:rPr>
          <w:lang w:eastAsia="lt-LT"/>
        </w:rPr>
        <w:t>pirkėjas</w:t>
      </w:r>
      <w:r>
        <w:rPr>
          <w:i/>
          <w:iCs/>
          <w:lang w:eastAsia="lt-LT"/>
        </w:rPr>
        <w:t xml:space="preserve"> </w:t>
      </w:r>
      <w:r>
        <w:rPr>
          <w:lang w:eastAsia="lt-LT"/>
        </w:rPr>
        <w:t>atsiskaito</w:t>
      </w:r>
      <w:r>
        <w:rPr>
          <w:i/>
          <w:iCs/>
          <w:lang w:eastAsia="lt-LT"/>
        </w:rPr>
        <w:t xml:space="preserve"> </w:t>
      </w:r>
      <w:r>
        <w:rPr>
          <w:lang w:eastAsia="lt-LT"/>
        </w:rPr>
        <w:t>su</w:t>
      </w:r>
      <w:r>
        <w:rPr>
          <w:i/>
          <w:iCs/>
          <w:lang w:eastAsia="lt-LT"/>
        </w:rPr>
        <w:t xml:space="preserve"> </w:t>
      </w:r>
      <w:r>
        <w:rPr>
          <w:lang w:eastAsia="lt-LT"/>
        </w:rPr>
        <w:t>finansuotoju.</w:t>
      </w:r>
    </w:p>
    <w:p w14:paraId="47424BB6" w14:textId="77777777" w:rsidR="00093845" w:rsidRDefault="000D779E">
      <w:pPr>
        <w:ind w:firstLine="993"/>
        <w:jc w:val="both"/>
        <w:rPr>
          <w:lang w:eastAsia="lt-LT"/>
        </w:rPr>
      </w:pPr>
      <w:r>
        <w:rPr>
          <w:lang w:eastAsia="lt-LT"/>
        </w:rPr>
        <w:t> </w:t>
      </w:r>
      <w:r>
        <w:rPr>
          <w:b/>
          <w:bCs/>
          <w:lang w:eastAsia="lt-LT"/>
        </w:rPr>
        <w:t>Pavyzdys</w:t>
      </w:r>
    </w:p>
    <w:p w14:paraId="555F72BC"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  Pardavėjas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Klientas)</w:t>
      </w:r>
      <w:r>
        <w:rPr>
          <w:i/>
          <w:iCs/>
          <w:lang w:eastAsia="lt-LT"/>
        </w:rPr>
        <w:t xml:space="preserve"> </w:t>
      </w:r>
      <w:r>
        <w:rPr>
          <w:lang w:eastAsia="lt-LT"/>
        </w:rPr>
        <w:t>pardavė</w:t>
      </w:r>
      <w:r>
        <w:rPr>
          <w:i/>
          <w:iCs/>
          <w:lang w:eastAsia="lt-LT"/>
        </w:rPr>
        <w:t xml:space="preserve"> </w:t>
      </w:r>
      <w:r>
        <w:rPr>
          <w:lang w:eastAsia="lt-LT"/>
        </w:rPr>
        <w:t>prekes</w:t>
      </w:r>
      <w:r>
        <w:rPr>
          <w:i/>
          <w:iCs/>
          <w:lang w:eastAsia="lt-LT"/>
        </w:rPr>
        <w:t xml:space="preserve"> </w:t>
      </w:r>
      <w:r>
        <w:rPr>
          <w:lang w:eastAsia="lt-LT"/>
        </w:rPr>
        <w:t>pirkėjui,</w:t>
      </w:r>
      <w:r>
        <w:rPr>
          <w:i/>
          <w:iCs/>
          <w:lang w:eastAsia="lt-LT"/>
        </w:rPr>
        <w:t xml:space="preserve"> </w:t>
      </w:r>
      <w:r>
        <w:rPr>
          <w:lang w:eastAsia="lt-LT"/>
        </w:rPr>
        <w:t>tačiau</w:t>
      </w:r>
      <w:r>
        <w:rPr>
          <w:i/>
          <w:iCs/>
          <w:lang w:eastAsia="lt-LT"/>
        </w:rPr>
        <w:t xml:space="preserve"> </w:t>
      </w:r>
      <w:r>
        <w:rPr>
          <w:lang w:eastAsia="lt-LT"/>
        </w:rPr>
        <w:t>pirkėjas</w:t>
      </w:r>
      <w:r>
        <w:rPr>
          <w:i/>
          <w:iCs/>
          <w:lang w:eastAsia="lt-LT"/>
        </w:rPr>
        <w:t xml:space="preserve"> </w:t>
      </w:r>
      <w:r>
        <w:rPr>
          <w:lang w:eastAsia="lt-LT"/>
        </w:rPr>
        <w:t>jam</w:t>
      </w:r>
      <w:r>
        <w:rPr>
          <w:i/>
          <w:iCs/>
          <w:lang w:eastAsia="lt-LT"/>
        </w:rPr>
        <w:t xml:space="preserve"> </w:t>
      </w:r>
      <w:r>
        <w:rPr>
          <w:lang w:eastAsia="lt-LT"/>
        </w:rPr>
        <w:t>nemoka</w:t>
      </w:r>
      <w:r>
        <w:rPr>
          <w:i/>
          <w:iCs/>
          <w:lang w:eastAsia="lt-LT"/>
        </w:rPr>
        <w:t xml:space="preserve"> </w:t>
      </w:r>
      <w:r>
        <w:rPr>
          <w:lang w:eastAsia="lt-LT"/>
        </w:rPr>
        <w:t>už</w:t>
      </w:r>
      <w:r>
        <w:rPr>
          <w:i/>
          <w:iCs/>
          <w:lang w:eastAsia="lt-LT"/>
        </w:rPr>
        <w:t xml:space="preserve"> </w:t>
      </w:r>
      <w:r>
        <w:rPr>
          <w:lang w:eastAsia="lt-LT"/>
        </w:rPr>
        <w:t>gautas</w:t>
      </w:r>
      <w:r>
        <w:rPr>
          <w:i/>
          <w:iCs/>
          <w:lang w:eastAsia="lt-LT"/>
        </w:rPr>
        <w:t xml:space="preserve"> </w:t>
      </w:r>
      <w:r>
        <w:rPr>
          <w:lang w:eastAsia="lt-LT"/>
        </w:rPr>
        <w:t>prekes.</w:t>
      </w:r>
      <w:r>
        <w:rPr>
          <w:i/>
          <w:iCs/>
          <w:lang w:eastAsia="lt-LT"/>
        </w:rPr>
        <w:t xml:space="preserve"> </w:t>
      </w:r>
      <w:r>
        <w:rPr>
          <w:lang w:eastAsia="lt-LT"/>
        </w:rPr>
        <w:t>Klientas,</w:t>
      </w:r>
      <w:r>
        <w:rPr>
          <w:i/>
          <w:iCs/>
          <w:lang w:eastAsia="lt-LT"/>
        </w:rPr>
        <w:t xml:space="preserve"> </w:t>
      </w:r>
      <w:r>
        <w:rPr>
          <w:lang w:eastAsia="lt-LT"/>
        </w:rPr>
        <w:t>norėdamas</w:t>
      </w:r>
      <w:r>
        <w:rPr>
          <w:i/>
          <w:iCs/>
          <w:lang w:eastAsia="lt-LT"/>
        </w:rPr>
        <w:t xml:space="preserve"> </w:t>
      </w:r>
      <w:r>
        <w:rPr>
          <w:lang w:eastAsia="lt-LT"/>
        </w:rPr>
        <w:t>užsitikrinti</w:t>
      </w:r>
      <w:r>
        <w:rPr>
          <w:i/>
          <w:iCs/>
          <w:lang w:eastAsia="lt-LT"/>
        </w:rPr>
        <w:t xml:space="preserve"> </w:t>
      </w:r>
      <w:r>
        <w:rPr>
          <w:lang w:eastAsia="lt-LT"/>
        </w:rPr>
        <w:t>pakankamą</w:t>
      </w:r>
      <w:r>
        <w:rPr>
          <w:i/>
          <w:iCs/>
          <w:lang w:eastAsia="lt-LT"/>
        </w:rPr>
        <w:t xml:space="preserve"> </w:t>
      </w:r>
      <w:r>
        <w:rPr>
          <w:lang w:eastAsia="lt-LT"/>
        </w:rPr>
        <w:t>apyvartinių</w:t>
      </w:r>
      <w:r>
        <w:rPr>
          <w:i/>
          <w:iCs/>
          <w:lang w:eastAsia="lt-LT"/>
        </w:rPr>
        <w:t xml:space="preserve"> </w:t>
      </w:r>
      <w:r>
        <w:rPr>
          <w:lang w:eastAsia="lt-LT"/>
        </w:rPr>
        <w:t>lėšų</w:t>
      </w:r>
      <w:r>
        <w:rPr>
          <w:i/>
          <w:iCs/>
          <w:lang w:eastAsia="lt-LT"/>
        </w:rPr>
        <w:t xml:space="preserve"> </w:t>
      </w:r>
      <w:r>
        <w:rPr>
          <w:lang w:eastAsia="lt-LT"/>
        </w:rPr>
        <w:t>kiekį</w:t>
      </w:r>
      <w:r>
        <w:rPr>
          <w:i/>
          <w:iCs/>
          <w:lang w:eastAsia="lt-LT"/>
        </w:rPr>
        <w:t xml:space="preserve"> </w:t>
      </w:r>
      <w:r>
        <w:rPr>
          <w:lang w:eastAsia="lt-LT"/>
        </w:rPr>
        <w:t>bei</w:t>
      </w:r>
      <w:r>
        <w:rPr>
          <w:i/>
          <w:iCs/>
          <w:lang w:eastAsia="lt-LT"/>
        </w:rPr>
        <w:t xml:space="preserve"> </w:t>
      </w:r>
      <w:r>
        <w:rPr>
          <w:lang w:eastAsia="lt-LT"/>
        </w:rPr>
        <w:t>didesnę</w:t>
      </w:r>
      <w:r>
        <w:rPr>
          <w:i/>
          <w:iCs/>
          <w:lang w:eastAsia="lt-LT"/>
        </w:rPr>
        <w:t xml:space="preserve"> </w:t>
      </w:r>
      <w:r>
        <w:rPr>
          <w:lang w:eastAsia="lt-LT"/>
        </w:rPr>
        <w:t>tikimybę</w:t>
      </w:r>
      <w:r>
        <w:rPr>
          <w:i/>
          <w:iCs/>
          <w:lang w:eastAsia="lt-LT"/>
        </w:rPr>
        <w:t xml:space="preserve"> </w:t>
      </w:r>
      <w:r>
        <w:rPr>
          <w:lang w:eastAsia="lt-LT"/>
        </w:rPr>
        <w:t>atgauti</w:t>
      </w:r>
      <w:r>
        <w:rPr>
          <w:i/>
          <w:iCs/>
          <w:lang w:eastAsia="lt-LT"/>
        </w:rPr>
        <w:t xml:space="preserve"> </w:t>
      </w:r>
      <w:r>
        <w:rPr>
          <w:lang w:eastAsia="lt-LT"/>
        </w:rPr>
        <w:t>skolą</w:t>
      </w:r>
      <w:r>
        <w:rPr>
          <w:i/>
          <w:iCs/>
          <w:lang w:eastAsia="lt-LT"/>
        </w:rPr>
        <w:t xml:space="preserve"> </w:t>
      </w:r>
      <w:r>
        <w:rPr>
          <w:lang w:eastAsia="lt-LT"/>
        </w:rPr>
        <w:t>iš</w:t>
      </w:r>
      <w:r>
        <w:rPr>
          <w:i/>
          <w:iCs/>
          <w:lang w:eastAsia="lt-LT"/>
        </w:rPr>
        <w:t xml:space="preserve"> </w:t>
      </w:r>
      <w:r>
        <w:rPr>
          <w:lang w:eastAsia="lt-LT"/>
        </w:rPr>
        <w:t>pirkėjo,</w:t>
      </w:r>
      <w:r>
        <w:rPr>
          <w:i/>
          <w:iCs/>
          <w:lang w:eastAsia="lt-LT"/>
        </w:rPr>
        <w:t xml:space="preserve"> </w:t>
      </w:r>
      <w:r>
        <w:rPr>
          <w:lang w:eastAsia="lt-LT"/>
        </w:rPr>
        <w:t>su</w:t>
      </w:r>
      <w:r>
        <w:rPr>
          <w:i/>
          <w:iCs/>
          <w:lang w:eastAsia="lt-LT"/>
        </w:rPr>
        <w:t xml:space="preserve"> </w:t>
      </w:r>
      <w:r>
        <w:rPr>
          <w:lang w:eastAsia="lt-LT"/>
        </w:rPr>
        <w:t>banku</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Finansuotojas)</w:t>
      </w:r>
      <w:r>
        <w:rPr>
          <w:i/>
          <w:iCs/>
          <w:lang w:eastAsia="lt-LT"/>
        </w:rPr>
        <w:t xml:space="preserve"> </w:t>
      </w:r>
      <w:r>
        <w:rPr>
          <w:lang w:eastAsia="lt-LT"/>
        </w:rPr>
        <w:t>sudaro</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Finansuotojas</w:t>
      </w:r>
      <w:r>
        <w:rPr>
          <w:i/>
          <w:iCs/>
          <w:lang w:eastAsia="lt-LT"/>
        </w:rPr>
        <w:t xml:space="preserve"> </w:t>
      </w:r>
      <w:r>
        <w:rPr>
          <w:lang w:eastAsia="lt-LT"/>
        </w:rPr>
        <w:t>suteikia</w:t>
      </w:r>
      <w:r>
        <w:rPr>
          <w:i/>
          <w:iCs/>
          <w:lang w:eastAsia="lt-LT"/>
        </w:rPr>
        <w:t xml:space="preserve"> </w:t>
      </w:r>
      <w:r>
        <w:rPr>
          <w:lang w:eastAsia="lt-LT"/>
        </w:rPr>
        <w:t>Klientui</w:t>
      </w:r>
      <w:r>
        <w:rPr>
          <w:i/>
          <w:iCs/>
          <w:lang w:eastAsia="lt-LT"/>
        </w:rPr>
        <w:t xml:space="preserve"> </w:t>
      </w:r>
      <w:r>
        <w:rPr>
          <w:lang w:eastAsia="lt-LT"/>
        </w:rPr>
        <w:t>100</w:t>
      </w:r>
      <w:r>
        <w:rPr>
          <w:i/>
          <w:iCs/>
          <w:lang w:eastAsia="lt-LT"/>
        </w:rPr>
        <w:t xml:space="preserve"> </w:t>
      </w:r>
      <w:r>
        <w:rPr>
          <w:lang w:eastAsia="lt-LT"/>
        </w:rPr>
        <w:t>000 eurų</w:t>
      </w:r>
      <w:r>
        <w:rPr>
          <w:i/>
          <w:iCs/>
          <w:lang w:eastAsia="lt-LT"/>
        </w:rPr>
        <w:t xml:space="preserve"> </w:t>
      </w:r>
      <w:r>
        <w:rPr>
          <w:lang w:eastAsia="lt-LT"/>
        </w:rPr>
        <w:t>faktoringo</w:t>
      </w:r>
      <w:r>
        <w:rPr>
          <w:i/>
          <w:iCs/>
          <w:lang w:eastAsia="lt-LT"/>
        </w:rPr>
        <w:t xml:space="preserve"> </w:t>
      </w:r>
      <w:r>
        <w:rPr>
          <w:lang w:eastAsia="lt-LT"/>
        </w:rPr>
        <w:t>limitą.</w:t>
      </w:r>
    </w:p>
    <w:p w14:paraId="49C18C89"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Pagal</w:t>
      </w:r>
      <w:r>
        <w:rPr>
          <w:i/>
          <w:iCs/>
          <w:lang w:eastAsia="lt-LT"/>
        </w:rPr>
        <w:t xml:space="preserve"> </w:t>
      </w:r>
      <w:r>
        <w:rPr>
          <w:lang w:eastAsia="lt-LT"/>
        </w:rPr>
        <w:t>Kliento</w:t>
      </w:r>
      <w:r>
        <w:rPr>
          <w:i/>
          <w:iCs/>
          <w:lang w:eastAsia="lt-LT"/>
        </w:rPr>
        <w:t xml:space="preserve"> </w:t>
      </w:r>
      <w:r>
        <w:rPr>
          <w:lang w:eastAsia="lt-LT"/>
        </w:rPr>
        <w:t>ir</w:t>
      </w:r>
      <w:r>
        <w:rPr>
          <w:i/>
          <w:iCs/>
          <w:lang w:eastAsia="lt-LT"/>
        </w:rPr>
        <w:t xml:space="preserve"> </w:t>
      </w:r>
      <w:r>
        <w:rPr>
          <w:lang w:eastAsia="lt-LT"/>
        </w:rPr>
        <w:t>Finansuotojo</w:t>
      </w:r>
      <w:r>
        <w:rPr>
          <w:i/>
          <w:iCs/>
          <w:lang w:eastAsia="lt-LT"/>
        </w:rPr>
        <w:t xml:space="preserve"> </w:t>
      </w:r>
      <w:r>
        <w:rPr>
          <w:lang w:eastAsia="lt-LT"/>
        </w:rPr>
        <w:t>sudarytą</w:t>
      </w:r>
      <w:r>
        <w:rPr>
          <w:i/>
          <w:iCs/>
          <w:lang w:eastAsia="lt-LT"/>
        </w:rPr>
        <w:t xml:space="preserve"> </w:t>
      </w:r>
      <w:r>
        <w:rPr>
          <w:lang w:eastAsia="lt-LT"/>
        </w:rPr>
        <w:t>skolinių</w:t>
      </w:r>
      <w:r>
        <w:rPr>
          <w:i/>
          <w:iCs/>
          <w:lang w:eastAsia="lt-LT"/>
        </w:rPr>
        <w:t xml:space="preserve"> </w:t>
      </w:r>
      <w:r>
        <w:rPr>
          <w:lang w:eastAsia="lt-LT"/>
        </w:rPr>
        <w:t>įsipareigojimų</w:t>
      </w:r>
      <w:r>
        <w:rPr>
          <w:i/>
          <w:iCs/>
          <w:lang w:eastAsia="lt-LT"/>
        </w:rPr>
        <w:t xml:space="preserve"> </w:t>
      </w:r>
      <w:r>
        <w:rPr>
          <w:lang w:eastAsia="lt-LT"/>
        </w:rPr>
        <w:t>perleidimo</w:t>
      </w:r>
      <w:r>
        <w:rPr>
          <w:i/>
          <w:iCs/>
          <w:lang w:eastAsia="lt-LT"/>
        </w:rPr>
        <w:t xml:space="preserve"> </w:t>
      </w:r>
      <w:r>
        <w:rPr>
          <w:lang w:eastAsia="lt-LT"/>
        </w:rPr>
        <w:t>(faktoringo)</w:t>
      </w:r>
      <w:r>
        <w:rPr>
          <w:i/>
          <w:iCs/>
          <w:lang w:eastAsia="lt-LT"/>
        </w:rPr>
        <w:t xml:space="preserve"> </w:t>
      </w:r>
      <w:r>
        <w:rPr>
          <w:lang w:eastAsia="lt-LT"/>
        </w:rPr>
        <w:t>sutartį</w:t>
      </w:r>
      <w:r>
        <w:rPr>
          <w:i/>
          <w:iCs/>
          <w:lang w:eastAsia="lt-LT"/>
        </w:rPr>
        <w:t xml:space="preserve"> </w:t>
      </w:r>
      <w:r>
        <w:rPr>
          <w:lang w:eastAsia="lt-LT"/>
        </w:rPr>
        <w:t>Klientas</w:t>
      </w:r>
      <w:r>
        <w:rPr>
          <w:i/>
          <w:iCs/>
          <w:lang w:eastAsia="lt-LT"/>
        </w:rPr>
        <w:t xml:space="preserve"> </w:t>
      </w:r>
      <w:r>
        <w:rPr>
          <w:lang w:eastAsia="lt-LT"/>
        </w:rPr>
        <w:t>įsipareigoja</w:t>
      </w:r>
      <w:r>
        <w:rPr>
          <w:i/>
          <w:iCs/>
          <w:lang w:eastAsia="lt-LT"/>
        </w:rPr>
        <w:t xml:space="preserve"> </w:t>
      </w:r>
      <w:r>
        <w:rPr>
          <w:lang w:eastAsia="lt-LT"/>
        </w:rPr>
        <w:t>perleisti</w:t>
      </w:r>
      <w:r>
        <w:rPr>
          <w:i/>
          <w:iCs/>
          <w:lang w:eastAsia="lt-LT"/>
        </w:rPr>
        <w:t xml:space="preserve"> </w:t>
      </w:r>
      <w:r>
        <w:rPr>
          <w:lang w:eastAsia="lt-LT"/>
        </w:rPr>
        <w:t>Finansuotojui</w:t>
      </w:r>
      <w:r>
        <w:rPr>
          <w:i/>
          <w:iCs/>
          <w:lang w:eastAsia="lt-LT"/>
        </w:rPr>
        <w:t xml:space="preserve"> </w:t>
      </w:r>
      <w:r>
        <w:rPr>
          <w:lang w:eastAsia="lt-LT"/>
        </w:rPr>
        <w:t>Kliento</w:t>
      </w:r>
      <w:r>
        <w:rPr>
          <w:i/>
          <w:iCs/>
          <w:lang w:eastAsia="lt-LT"/>
        </w:rPr>
        <w:t xml:space="preserve"> </w:t>
      </w:r>
      <w:r>
        <w:rPr>
          <w:lang w:eastAsia="lt-LT"/>
        </w:rPr>
        <w:t>skolininko</w:t>
      </w:r>
      <w:r>
        <w:rPr>
          <w:i/>
          <w:iCs/>
          <w:lang w:eastAsia="lt-LT"/>
        </w:rPr>
        <w:t xml:space="preserve"> </w:t>
      </w:r>
      <w:r>
        <w:rPr>
          <w:lang w:eastAsia="lt-LT"/>
        </w:rPr>
        <w:t>(prekių</w:t>
      </w:r>
      <w:r>
        <w:rPr>
          <w:i/>
          <w:iCs/>
          <w:lang w:eastAsia="lt-LT"/>
        </w:rPr>
        <w:t xml:space="preserve"> </w:t>
      </w:r>
      <w:r>
        <w:rPr>
          <w:lang w:eastAsia="lt-LT"/>
        </w:rPr>
        <w:t>pirkėjo)</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Finansuotojas</w:t>
      </w:r>
      <w:r>
        <w:rPr>
          <w:i/>
          <w:iCs/>
          <w:lang w:eastAsia="lt-LT"/>
        </w:rPr>
        <w:t xml:space="preserve"> </w:t>
      </w:r>
      <w:r>
        <w:rPr>
          <w:lang w:eastAsia="lt-LT"/>
        </w:rPr>
        <w:t>įsipareigoja</w:t>
      </w:r>
      <w:r>
        <w:rPr>
          <w:i/>
          <w:iCs/>
          <w:lang w:eastAsia="lt-LT"/>
        </w:rPr>
        <w:t xml:space="preserve"> </w:t>
      </w:r>
      <w:r>
        <w:rPr>
          <w:lang w:eastAsia="lt-LT"/>
        </w:rPr>
        <w:t>perimti</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pagal</w:t>
      </w:r>
      <w:r>
        <w:rPr>
          <w:i/>
          <w:iCs/>
          <w:lang w:eastAsia="lt-LT"/>
        </w:rPr>
        <w:t xml:space="preserve"> </w:t>
      </w:r>
      <w:r>
        <w:rPr>
          <w:lang w:eastAsia="lt-LT"/>
        </w:rPr>
        <w:t>Kliento</w:t>
      </w:r>
      <w:r>
        <w:rPr>
          <w:i/>
          <w:iCs/>
          <w:lang w:eastAsia="lt-LT"/>
        </w:rPr>
        <w:t xml:space="preserve"> </w:t>
      </w:r>
      <w:r>
        <w:rPr>
          <w:lang w:eastAsia="lt-LT"/>
        </w:rPr>
        <w:t>skolininkui</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išrašytas</w:t>
      </w:r>
      <w:r>
        <w:rPr>
          <w:i/>
          <w:iCs/>
          <w:lang w:eastAsia="lt-LT"/>
        </w:rPr>
        <w:t xml:space="preserve"> </w:t>
      </w:r>
      <w:r>
        <w:rPr>
          <w:lang w:eastAsia="lt-LT"/>
        </w:rPr>
        <w:t>sąskaitas</w:t>
      </w:r>
      <w:r>
        <w:rPr>
          <w:i/>
          <w:iCs/>
          <w:lang w:eastAsia="lt-LT"/>
        </w:rPr>
        <w:t xml:space="preserve"> </w:t>
      </w:r>
      <w:r>
        <w:rPr>
          <w:lang w:eastAsia="lt-LT"/>
        </w:rPr>
        <w:t>faktūras</w:t>
      </w:r>
      <w:r>
        <w:rPr>
          <w:i/>
          <w:iCs/>
          <w:lang w:eastAsia="lt-LT"/>
        </w:rPr>
        <w:t xml:space="preserve"> </w:t>
      </w:r>
      <w:r>
        <w:rPr>
          <w:lang w:eastAsia="lt-LT"/>
        </w:rPr>
        <w:t>ir</w:t>
      </w:r>
      <w:r>
        <w:rPr>
          <w:i/>
          <w:iCs/>
          <w:lang w:eastAsia="lt-LT"/>
        </w:rPr>
        <w:t xml:space="preserve"> </w:t>
      </w:r>
      <w:r>
        <w:rPr>
          <w:lang w:eastAsia="lt-LT"/>
        </w:rPr>
        <w:t>pervesti</w:t>
      </w:r>
      <w:r>
        <w:rPr>
          <w:i/>
          <w:iCs/>
          <w:lang w:eastAsia="lt-LT"/>
        </w:rPr>
        <w:t xml:space="preserve"> </w:t>
      </w:r>
      <w:r>
        <w:rPr>
          <w:lang w:eastAsia="lt-LT"/>
        </w:rPr>
        <w:t>Klientui</w:t>
      </w:r>
      <w:r>
        <w:rPr>
          <w:i/>
          <w:iCs/>
          <w:lang w:eastAsia="lt-LT"/>
        </w:rPr>
        <w:t xml:space="preserve"> </w:t>
      </w:r>
      <w:r>
        <w:rPr>
          <w:lang w:eastAsia="lt-LT"/>
        </w:rPr>
        <w:t>avansu</w:t>
      </w:r>
      <w:r>
        <w:rPr>
          <w:i/>
          <w:iCs/>
          <w:lang w:eastAsia="lt-LT"/>
        </w:rPr>
        <w:t xml:space="preserve"> </w:t>
      </w:r>
      <w:r>
        <w:rPr>
          <w:lang w:eastAsia="lt-LT"/>
        </w:rPr>
        <w:t>85</w:t>
      </w:r>
      <w:r>
        <w:rPr>
          <w:i/>
          <w:iCs/>
          <w:lang w:eastAsia="lt-LT"/>
        </w:rPr>
        <w:t xml:space="preserve"> </w:t>
      </w:r>
      <w:r>
        <w:rPr>
          <w:lang w:eastAsia="lt-LT"/>
        </w:rPr>
        <w:t>proc.</w:t>
      </w:r>
      <w:r>
        <w:rPr>
          <w:i/>
          <w:iCs/>
          <w:lang w:eastAsia="lt-LT"/>
        </w:rPr>
        <w:t xml:space="preserve"> </w:t>
      </w:r>
      <w:r>
        <w:rPr>
          <w:lang w:eastAsia="lt-LT"/>
        </w:rPr>
        <w:t>sąskaitose</w:t>
      </w:r>
      <w:r>
        <w:rPr>
          <w:i/>
          <w:iCs/>
          <w:lang w:eastAsia="lt-LT"/>
        </w:rPr>
        <w:t xml:space="preserve"> </w:t>
      </w:r>
      <w:r>
        <w:rPr>
          <w:lang w:eastAsia="lt-LT"/>
        </w:rPr>
        <w:t>faktūrose</w:t>
      </w:r>
      <w:r>
        <w:rPr>
          <w:i/>
          <w:iCs/>
          <w:lang w:eastAsia="lt-LT"/>
        </w:rPr>
        <w:t xml:space="preserve"> </w:t>
      </w:r>
      <w:r>
        <w:rPr>
          <w:lang w:eastAsia="lt-LT"/>
        </w:rPr>
        <w:t>nurodytos</w:t>
      </w:r>
      <w:r>
        <w:rPr>
          <w:i/>
          <w:iCs/>
          <w:lang w:eastAsia="lt-LT"/>
        </w:rPr>
        <w:t xml:space="preserve"> </w:t>
      </w:r>
      <w:r>
        <w:rPr>
          <w:lang w:eastAsia="lt-LT"/>
        </w:rPr>
        <w:t>sumos.</w:t>
      </w:r>
    </w:p>
    <w:p w14:paraId="21392F60"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Klientas</w:t>
      </w:r>
      <w:r>
        <w:rPr>
          <w:i/>
          <w:iCs/>
          <w:lang w:eastAsia="lt-LT"/>
        </w:rPr>
        <w:t xml:space="preserve"> </w:t>
      </w:r>
      <w:r>
        <w:rPr>
          <w:lang w:eastAsia="lt-LT"/>
        </w:rPr>
        <w:t>įsipareigoja</w:t>
      </w:r>
      <w:r>
        <w:rPr>
          <w:i/>
          <w:iCs/>
          <w:lang w:eastAsia="lt-LT"/>
        </w:rPr>
        <w:t xml:space="preserve"> </w:t>
      </w:r>
      <w:r>
        <w:rPr>
          <w:lang w:eastAsia="lt-LT"/>
        </w:rPr>
        <w:t>Finansuotojui</w:t>
      </w:r>
      <w:r>
        <w:rPr>
          <w:i/>
          <w:iCs/>
          <w:lang w:eastAsia="lt-LT"/>
        </w:rPr>
        <w:t xml:space="preserve"> </w:t>
      </w:r>
      <w:r>
        <w:rPr>
          <w:lang w:eastAsia="lt-LT"/>
        </w:rPr>
        <w:t>mokėti</w:t>
      </w:r>
      <w:r>
        <w:rPr>
          <w:i/>
          <w:iCs/>
          <w:lang w:eastAsia="lt-LT"/>
        </w:rPr>
        <w:t xml:space="preserve"> </w:t>
      </w:r>
      <w:r>
        <w:rPr>
          <w:lang w:eastAsia="lt-LT"/>
        </w:rPr>
        <w:t>tokius</w:t>
      </w:r>
      <w:r>
        <w:rPr>
          <w:i/>
          <w:iCs/>
          <w:lang w:eastAsia="lt-LT"/>
        </w:rPr>
        <w:t xml:space="preserve"> </w:t>
      </w:r>
      <w:r>
        <w:rPr>
          <w:lang w:eastAsia="lt-LT"/>
        </w:rPr>
        <w:t>mokesčius:</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palūkanas</w:t>
      </w:r>
      <w:r>
        <w:rPr>
          <w:i/>
          <w:iCs/>
          <w:lang w:eastAsia="lt-LT"/>
        </w:rPr>
        <w:t xml:space="preserve"> </w:t>
      </w:r>
      <w:r>
        <w:rPr>
          <w:lang w:eastAsia="lt-LT"/>
        </w:rPr>
        <w:t>–</w:t>
      </w:r>
      <w:r>
        <w:rPr>
          <w:i/>
          <w:iCs/>
          <w:lang w:eastAsia="lt-LT"/>
        </w:rPr>
        <w:t xml:space="preserve"> </w:t>
      </w:r>
      <w:r>
        <w:rPr>
          <w:lang w:eastAsia="lt-LT"/>
        </w:rPr>
        <w:t>7</w:t>
      </w:r>
      <w:r>
        <w:rPr>
          <w:i/>
          <w:iCs/>
          <w:lang w:eastAsia="lt-LT"/>
        </w:rPr>
        <w:t xml:space="preserve"> </w:t>
      </w:r>
      <w:r>
        <w:rPr>
          <w:lang w:eastAsia="lt-LT"/>
        </w:rPr>
        <w:t>proc.</w:t>
      </w:r>
      <w:r>
        <w:rPr>
          <w:i/>
          <w:iCs/>
          <w:lang w:eastAsia="lt-LT"/>
        </w:rPr>
        <w:t xml:space="preserve"> </w:t>
      </w:r>
      <w:r>
        <w:rPr>
          <w:lang w:eastAsia="lt-LT"/>
        </w:rPr>
        <w:t>nuo</w:t>
      </w:r>
      <w:r>
        <w:rPr>
          <w:i/>
          <w:iCs/>
          <w:lang w:eastAsia="lt-LT"/>
        </w:rPr>
        <w:t xml:space="preserve"> </w:t>
      </w:r>
      <w:r>
        <w:rPr>
          <w:lang w:eastAsia="lt-LT"/>
        </w:rPr>
        <w:t>banko</w:t>
      </w:r>
      <w:r>
        <w:rPr>
          <w:i/>
          <w:iCs/>
          <w:lang w:eastAsia="lt-LT"/>
        </w:rPr>
        <w:t xml:space="preserve"> </w:t>
      </w:r>
      <w:r>
        <w:rPr>
          <w:lang w:eastAsia="lt-LT"/>
        </w:rPr>
        <w:t>finansuojamos</w:t>
      </w:r>
      <w:r>
        <w:rPr>
          <w:i/>
          <w:iCs/>
          <w:lang w:eastAsia="lt-LT"/>
        </w:rPr>
        <w:t xml:space="preserve"> </w:t>
      </w:r>
      <w:r>
        <w:rPr>
          <w:lang w:eastAsia="lt-LT"/>
        </w:rPr>
        <w:t>sumos,</w:t>
      </w:r>
      <w:r>
        <w:rPr>
          <w:i/>
          <w:iCs/>
          <w:lang w:eastAsia="lt-LT"/>
        </w:rPr>
        <w:t xml:space="preserve"> </w:t>
      </w:r>
      <w:r>
        <w:rPr>
          <w:lang w:eastAsia="lt-LT"/>
        </w:rPr>
        <w:t>komisinį</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mokestį</w:t>
      </w:r>
      <w:r>
        <w:rPr>
          <w:i/>
          <w:iCs/>
          <w:lang w:eastAsia="lt-LT"/>
        </w:rPr>
        <w:t xml:space="preserve"> </w:t>
      </w:r>
      <w:r>
        <w:rPr>
          <w:lang w:eastAsia="lt-LT"/>
        </w:rPr>
        <w:t>–</w:t>
      </w:r>
      <w:r>
        <w:rPr>
          <w:i/>
          <w:iCs/>
          <w:lang w:eastAsia="lt-LT"/>
        </w:rPr>
        <w:t xml:space="preserve"> </w:t>
      </w:r>
      <w:r>
        <w:rPr>
          <w:lang w:eastAsia="lt-LT"/>
        </w:rPr>
        <w:t>2</w:t>
      </w:r>
      <w:r>
        <w:rPr>
          <w:i/>
          <w:iCs/>
          <w:lang w:eastAsia="lt-LT"/>
        </w:rPr>
        <w:t xml:space="preserve"> </w:t>
      </w:r>
      <w:r>
        <w:rPr>
          <w:lang w:eastAsia="lt-LT"/>
        </w:rPr>
        <w:t>proc.</w:t>
      </w:r>
      <w:r>
        <w:rPr>
          <w:i/>
          <w:iCs/>
          <w:lang w:eastAsia="lt-LT"/>
        </w:rPr>
        <w:t xml:space="preserve"> </w:t>
      </w:r>
      <w:r>
        <w:rPr>
          <w:lang w:eastAsia="lt-LT"/>
        </w:rPr>
        <w:t>nuo</w:t>
      </w:r>
      <w:r>
        <w:rPr>
          <w:i/>
          <w:iCs/>
          <w:lang w:eastAsia="lt-LT"/>
        </w:rPr>
        <w:t xml:space="preserve"> </w:t>
      </w:r>
      <w:r>
        <w:rPr>
          <w:lang w:eastAsia="lt-LT"/>
        </w:rPr>
        <w:t>perimto</w:t>
      </w:r>
      <w:r>
        <w:rPr>
          <w:i/>
          <w:iCs/>
          <w:lang w:eastAsia="lt-LT"/>
        </w:rPr>
        <w:t xml:space="preserve"> </w:t>
      </w:r>
      <w:r>
        <w:rPr>
          <w:lang w:eastAsia="lt-LT"/>
        </w:rPr>
        <w:t>piniginio</w:t>
      </w:r>
      <w:r>
        <w:rPr>
          <w:i/>
          <w:iCs/>
          <w:lang w:eastAsia="lt-LT"/>
        </w:rPr>
        <w:t xml:space="preserve"> </w:t>
      </w:r>
      <w:r>
        <w:rPr>
          <w:lang w:eastAsia="lt-LT"/>
        </w:rPr>
        <w:t>reikalavimo</w:t>
      </w:r>
      <w:r>
        <w:rPr>
          <w:i/>
          <w:iCs/>
          <w:lang w:eastAsia="lt-LT"/>
        </w:rPr>
        <w:t xml:space="preserve"> </w:t>
      </w:r>
      <w:r>
        <w:rPr>
          <w:lang w:eastAsia="lt-LT"/>
        </w:rPr>
        <w:t>sumos,</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mokestį</w:t>
      </w:r>
      <w:r>
        <w:rPr>
          <w:i/>
          <w:iCs/>
          <w:lang w:eastAsia="lt-LT"/>
        </w:rPr>
        <w:t xml:space="preserve"> </w:t>
      </w:r>
      <w:r>
        <w:rPr>
          <w:lang w:eastAsia="lt-LT"/>
        </w:rPr>
        <w:t>–</w:t>
      </w:r>
      <w:r>
        <w:rPr>
          <w:i/>
          <w:iCs/>
          <w:lang w:eastAsia="lt-LT"/>
        </w:rPr>
        <w:t xml:space="preserve"> </w:t>
      </w:r>
      <w:r>
        <w:rPr>
          <w:lang w:eastAsia="lt-LT"/>
        </w:rPr>
        <w:t>0,65</w:t>
      </w:r>
      <w:r>
        <w:rPr>
          <w:i/>
          <w:iCs/>
          <w:lang w:eastAsia="lt-LT"/>
        </w:rPr>
        <w:t xml:space="preserve"> </w:t>
      </w:r>
      <w:r>
        <w:rPr>
          <w:lang w:eastAsia="lt-LT"/>
        </w:rPr>
        <w:t>proc.</w:t>
      </w:r>
      <w:r>
        <w:rPr>
          <w:i/>
          <w:iCs/>
          <w:lang w:eastAsia="lt-LT"/>
        </w:rPr>
        <w:t xml:space="preserve"> </w:t>
      </w:r>
      <w:r>
        <w:rPr>
          <w:lang w:eastAsia="lt-LT"/>
        </w:rPr>
        <w:t>faktoringo</w:t>
      </w:r>
      <w:r>
        <w:rPr>
          <w:i/>
          <w:iCs/>
          <w:lang w:eastAsia="lt-LT"/>
        </w:rPr>
        <w:t xml:space="preserve"> </w:t>
      </w:r>
      <w:r>
        <w:rPr>
          <w:lang w:eastAsia="lt-LT"/>
        </w:rPr>
        <w:t>limito.</w:t>
      </w:r>
    </w:p>
    <w:p w14:paraId="29DB33EB"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Vykdydamas</w:t>
      </w:r>
      <w:r>
        <w:rPr>
          <w:i/>
          <w:iCs/>
          <w:lang w:eastAsia="lt-LT"/>
        </w:rPr>
        <w:t xml:space="preserve"> </w:t>
      </w:r>
      <w:r>
        <w:rPr>
          <w:lang w:eastAsia="lt-LT"/>
        </w:rPr>
        <w:t>sutartį,</w:t>
      </w:r>
      <w:r>
        <w:rPr>
          <w:i/>
          <w:iCs/>
          <w:lang w:eastAsia="lt-LT"/>
        </w:rPr>
        <w:t xml:space="preserve"> </w:t>
      </w:r>
      <w:r>
        <w:rPr>
          <w:lang w:eastAsia="lt-LT"/>
        </w:rPr>
        <w:t>Finansuotojas</w:t>
      </w:r>
      <w:r>
        <w:rPr>
          <w:i/>
          <w:iCs/>
          <w:lang w:eastAsia="lt-LT"/>
        </w:rPr>
        <w:t xml:space="preserve"> </w:t>
      </w:r>
      <w:r>
        <w:rPr>
          <w:lang w:eastAsia="lt-LT"/>
        </w:rPr>
        <w:t>perėmė</w:t>
      </w:r>
      <w:r>
        <w:rPr>
          <w:i/>
          <w:iCs/>
          <w:lang w:eastAsia="lt-LT"/>
        </w:rPr>
        <w:t xml:space="preserve"> </w:t>
      </w:r>
      <w:r>
        <w:rPr>
          <w:lang w:eastAsia="lt-LT"/>
        </w:rPr>
        <w:t>iš</w:t>
      </w:r>
      <w:r>
        <w:rPr>
          <w:i/>
          <w:iCs/>
          <w:lang w:eastAsia="lt-LT"/>
        </w:rPr>
        <w:t xml:space="preserve"> </w:t>
      </w:r>
      <w:r>
        <w:rPr>
          <w:lang w:eastAsia="lt-LT"/>
        </w:rPr>
        <w:t>Kliento</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iCs/>
          <w:lang w:eastAsia="lt-LT"/>
        </w:rPr>
        <w:t>eurų</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skolininkui</w:t>
      </w:r>
      <w:r>
        <w:rPr>
          <w:i/>
          <w:iCs/>
          <w:lang w:eastAsia="lt-LT"/>
        </w:rPr>
        <w:t xml:space="preserve"> </w:t>
      </w:r>
      <w:r>
        <w:rPr>
          <w:lang w:eastAsia="lt-LT"/>
        </w:rPr>
        <w:t>(prekių</w:t>
      </w:r>
      <w:r>
        <w:rPr>
          <w:i/>
          <w:iCs/>
          <w:lang w:eastAsia="lt-LT"/>
        </w:rPr>
        <w:t xml:space="preserve"> </w:t>
      </w:r>
      <w:r>
        <w:rPr>
          <w:lang w:eastAsia="lt-LT"/>
        </w:rPr>
        <w:t>pirkėjui).</w:t>
      </w:r>
      <w:r>
        <w:rPr>
          <w:i/>
          <w:iCs/>
          <w:lang w:eastAsia="lt-LT"/>
        </w:rPr>
        <w:t xml:space="preserve"> </w:t>
      </w:r>
      <w:r>
        <w:rPr>
          <w:lang w:eastAsia="lt-LT"/>
        </w:rPr>
        <w:t>Finansuotojas</w:t>
      </w:r>
      <w:r>
        <w:rPr>
          <w:i/>
          <w:iCs/>
          <w:lang w:eastAsia="lt-LT"/>
        </w:rPr>
        <w:t xml:space="preserve"> </w:t>
      </w:r>
      <w:r>
        <w:rPr>
          <w:lang w:eastAsia="lt-LT"/>
        </w:rPr>
        <w:t>Klientui</w:t>
      </w:r>
      <w:r>
        <w:rPr>
          <w:i/>
          <w:iCs/>
          <w:lang w:eastAsia="lt-LT"/>
        </w:rPr>
        <w:t xml:space="preserve"> </w:t>
      </w:r>
      <w:r>
        <w:rPr>
          <w:lang w:eastAsia="lt-LT"/>
        </w:rPr>
        <w:t>avansu</w:t>
      </w:r>
      <w:r>
        <w:rPr>
          <w:i/>
          <w:iCs/>
          <w:lang w:eastAsia="lt-LT"/>
        </w:rPr>
        <w:t xml:space="preserve"> </w:t>
      </w:r>
      <w:r>
        <w:rPr>
          <w:lang w:eastAsia="lt-LT"/>
        </w:rPr>
        <w:t>pervedė</w:t>
      </w:r>
      <w:r>
        <w:rPr>
          <w:i/>
          <w:iCs/>
          <w:lang w:eastAsia="lt-LT"/>
        </w:rPr>
        <w:t xml:space="preserve"> </w:t>
      </w:r>
      <w:r>
        <w:rPr>
          <w:lang w:eastAsia="lt-LT"/>
        </w:rPr>
        <w:t>85</w:t>
      </w:r>
      <w:r>
        <w:rPr>
          <w:i/>
          <w:iCs/>
          <w:lang w:eastAsia="lt-LT"/>
        </w:rPr>
        <w:t xml:space="preserve"> </w:t>
      </w:r>
      <w:r>
        <w:rPr>
          <w:lang w:eastAsia="lt-LT"/>
        </w:rPr>
        <w:t>proc.</w:t>
      </w:r>
      <w:r>
        <w:rPr>
          <w:i/>
          <w:iCs/>
          <w:lang w:eastAsia="lt-LT"/>
        </w:rPr>
        <w:t xml:space="preserve"> </w:t>
      </w:r>
      <w:r>
        <w:rPr>
          <w:lang w:eastAsia="lt-LT"/>
        </w:rPr>
        <w:t>šio</w:t>
      </w:r>
      <w:r>
        <w:rPr>
          <w:i/>
          <w:iCs/>
          <w:lang w:eastAsia="lt-LT"/>
        </w:rPr>
        <w:t xml:space="preserve"> </w:t>
      </w:r>
      <w:r>
        <w:rPr>
          <w:lang w:eastAsia="lt-LT"/>
        </w:rPr>
        <w:t>piniginio</w:t>
      </w:r>
      <w:r>
        <w:rPr>
          <w:i/>
          <w:iCs/>
          <w:lang w:eastAsia="lt-LT"/>
        </w:rPr>
        <w:t xml:space="preserve"> </w:t>
      </w:r>
      <w:r>
        <w:rPr>
          <w:lang w:eastAsia="lt-LT"/>
        </w:rPr>
        <w:t>reikalavimo</w:t>
      </w:r>
      <w:r>
        <w:rPr>
          <w:i/>
          <w:iCs/>
          <w:lang w:eastAsia="lt-LT"/>
        </w:rPr>
        <w:t xml:space="preserve"> </w:t>
      </w:r>
      <w:r>
        <w:rPr>
          <w:lang w:eastAsia="lt-LT"/>
        </w:rPr>
        <w:t>sumos</w:t>
      </w:r>
      <w:r>
        <w:rPr>
          <w:i/>
          <w:iCs/>
          <w:lang w:eastAsia="lt-LT"/>
        </w:rPr>
        <w:t xml:space="preserve"> </w:t>
      </w:r>
      <w:r>
        <w:rPr>
          <w:lang w:eastAsia="lt-LT"/>
        </w:rPr>
        <w:t>(85</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Klientas</w:t>
      </w:r>
      <w:r>
        <w:rPr>
          <w:i/>
          <w:iCs/>
          <w:lang w:eastAsia="lt-LT"/>
        </w:rPr>
        <w:t xml:space="preserve"> </w:t>
      </w:r>
      <w:r>
        <w:rPr>
          <w:lang w:eastAsia="lt-LT"/>
        </w:rPr>
        <w:t>už</w:t>
      </w:r>
      <w:r>
        <w:rPr>
          <w:i/>
          <w:iCs/>
          <w:lang w:eastAsia="lt-LT"/>
        </w:rPr>
        <w:t xml:space="preserve"> </w:t>
      </w:r>
      <w:r>
        <w:rPr>
          <w:lang w:eastAsia="lt-LT"/>
        </w:rPr>
        <w:t>faktoringo</w:t>
      </w:r>
      <w:r>
        <w:rPr>
          <w:i/>
          <w:iCs/>
          <w:lang w:eastAsia="lt-LT"/>
        </w:rPr>
        <w:t xml:space="preserve"> </w:t>
      </w:r>
      <w:r>
        <w:rPr>
          <w:lang w:eastAsia="lt-LT"/>
        </w:rPr>
        <w:t>paslaugą</w:t>
      </w:r>
      <w:r>
        <w:rPr>
          <w:i/>
          <w:iCs/>
          <w:lang w:eastAsia="lt-LT"/>
        </w:rPr>
        <w:t xml:space="preserve"> </w:t>
      </w:r>
      <w:r>
        <w:rPr>
          <w:lang w:eastAsia="lt-LT"/>
        </w:rPr>
        <w:t>Finansuotojui</w:t>
      </w:r>
      <w:r>
        <w:rPr>
          <w:i/>
          <w:iCs/>
          <w:lang w:eastAsia="lt-LT"/>
        </w:rPr>
        <w:t xml:space="preserve"> </w:t>
      </w:r>
      <w:r>
        <w:rPr>
          <w:lang w:eastAsia="lt-LT"/>
        </w:rPr>
        <w:t>sumokės</w:t>
      </w:r>
      <w:r>
        <w:rPr>
          <w:i/>
          <w:iCs/>
          <w:lang w:eastAsia="lt-LT"/>
        </w:rPr>
        <w:t xml:space="preserve"> </w:t>
      </w:r>
      <w:r>
        <w:rPr>
          <w:lang w:eastAsia="lt-LT"/>
        </w:rPr>
        <w:t>5</w:t>
      </w:r>
      <w:r>
        <w:rPr>
          <w:i/>
          <w:iCs/>
          <w:lang w:eastAsia="lt-LT"/>
        </w:rPr>
        <w:t xml:space="preserve"> </w:t>
      </w:r>
      <w:r>
        <w:rPr>
          <w:lang w:eastAsia="lt-LT"/>
        </w:rPr>
        <w:t>950</w:t>
      </w:r>
      <w:r>
        <w:rPr>
          <w:i/>
          <w:iCs/>
          <w:lang w:eastAsia="lt-LT"/>
        </w:rPr>
        <w:t xml:space="preserve"> </w:t>
      </w:r>
      <w:r>
        <w:rPr>
          <w:iCs/>
          <w:lang w:eastAsia="lt-LT"/>
        </w:rPr>
        <w:t xml:space="preserve">eurų </w:t>
      </w:r>
      <w:r>
        <w:rPr>
          <w:lang w:eastAsia="lt-LT"/>
        </w:rPr>
        <w:t>(85</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7:</w:t>
      </w:r>
      <w:r>
        <w:rPr>
          <w:i/>
          <w:iCs/>
          <w:lang w:eastAsia="lt-LT"/>
        </w:rPr>
        <w:t xml:space="preserve"> </w:t>
      </w:r>
      <w:r>
        <w:rPr>
          <w:lang w:eastAsia="lt-LT"/>
        </w:rPr>
        <w:t>100)</w:t>
      </w:r>
      <w:r>
        <w:rPr>
          <w:i/>
          <w:iCs/>
          <w:lang w:eastAsia="lt-LT"/>
        </w:rPr>
        <w:t xml:space="preserve"> </w:t>
      </w:r>
      <w:r>
        <w:rPr>
          <w:lang w:eastAsia="lt-LT"/>
        </w:rPr>
        <w:t>faktoringo</w:t>
      </w:r>
      <w:r>
        <w:rPr>
          <w:i/>
          <w:iCs/>
          <w:lang w:eastAsia="lt-LT"/>
        </w:rPr>
        <w:t xml:space="preserve"> </w:t>
      </w:r>
      <w:r>
        <w:rPr>
          <w:lang w:eastAsia="lt-LT"/>
        </w:rPr>
        <w:t>(finansavimo)</w:t>
      </w:r>
      <w:r>
        <w:rPr>
          <w:i/>
          <w:iCs/>
          <w:lang w:eastAsia="lt-LT"/>
        </w:rPr>
        <w:t xml:space="preserve"> </w:t>
      </w:r>
      <w:r>
        <w:rPr>
          <w:lang w:eastAsia="lt-LT"/>
        </w:rPr>
        <w:t>palūkanų,</w:t>
      </w:r>
      <w:r>
        <w:rPr>
          <w:i/>
          <w:iCs/>
          <w:lang w:eastAsia="lt-LT"/>
        </w:rPr>
        <w:t xml:space="preserve"> </w:t>
      </w:r>
      <w:r>
        <w:rPr>
          <w:lang w:eastAsia="lt-LT"/>
        </w:rPr>
        <w:t>2</w:t>
      </w:r>
      <w:r>
        <w:rPr>
          <w:i/>
          <w:iCs/>
          <w:lang w:eastAsia="lt-LT"/>
        </w:rPr>
        <w:t xml:space="preserve"> </w:t>
      </w:r>
      <w:r>
        <w:rPr>
          <w:lang w:eastAsia="lt-LT"/>
        </w:rPr>
        <w:t>000</w:t>
      </w:r>
      <w:r>
        <w:rPr>
          <w:i/>
          <w:iCs/>
          <w:lang w:eastAsia="lt-LT"/>
        </w:rPr>
        <w:t xml:space="preserve"> </w:t>
      </w:r>
      <w:r>
        <w:rPr>
          <w:iCs/>
          <w:lang w:eastAsia="lt-LT"/>
        </w:rPr>
        <w:t xml:space="preserve">eurų </w:t>
      </w:r>
      <w:r>
        <w:rPr>
          <w:lang w:eastAsia="lt-LT"/>
        </w:rPr>
        <w:t>(100</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2:</w:t>
      </w:r>
      <w:r>
        <w:rPr>
          <w:i/>
          <w:iCs/>
          <w:lang w:eastAsia="lt-LT"/>
        </w:rPr>
        <w:t xml:space="preserve"> </w:t>
      </w:r>
      <w:r>
        <w:rPr>
          <w:lang w:eastAsia="lt-LT"/>
        </w:rPr>
        <w:t>100)</w:t>
      </w:r>
      <w:r>
        <w:rPr>
          <w:i/>
          <w:iCs/>
          <w:lang w:eastAsia="lt-LT"/>
        </w:rPr>
        <w:t xml:space="preserve"> </w:t>
      </w:r>
      <w:r>
        <w:rPr>
          <w:lang w:eastAsia="lt-LT"/>
        </w:rPr>
        <w:t>komisinio</w:t>
      </w:r>
      <w:r>
        <w:rPr>
          <w:i/>
          <w:iCs/>
          <w:lang w:eastAsia="lt-LT"/>
        </w:rPr>
        <w:t xml:space="preserve"> </w:t>
      </w:r>
      <w:r>
        <w:rPr>
          <w:lang w:eastAsia="lt-LT"/>
        </w:rPr>
        <w:t>(sąskaitos</w:t>
      </w:r>
      <w:r>
        <w:rPr>
          <w:i/>
          <w:iCs/>
          <w:lang w:eastAsia="lt-LT"/>
        </w:rPr>
        <w:t xml:space="preserve"> </w:t>
      </w:r>
      <w:r>
        <w:rPr>
          <w:lang w:eastAsia="lt-LT"/>
        </w:rPr>
        <w:t>priėmimo)</w:t>
      </w:r>
      <w:r>
        <w:rPr>
          <w:i/>
          <w:iCs/>
          <w:lang w:eastAsia="lt-LT"/>
        </w:rPr>
        <w:t xml:space="preserve"> </w:t>
      </w:r>
      <w:r>
        <w:rPr>
          <w:lang w:eastAsia="lt-LT"/>
        </w:rPr>
        <w:t>mokesčio,</w:t>
      </w:r>
      <w:r>
        <w:rPr>
          <w:i/>
          <w:iCs/>
          <w:lang w:eastAsia="lt-LT"/>
        </w:rPr>
        <w:t xml:space="preserve"> </w:t>
      </w:r>
      <w:r>
        <w:rPr>
          <w:lang w:eastAsia="lt-LT"/>
        </w:rPr>
        <w:t>650</w:t>
      </w:r>
      <w:r>
        <w:rPr>
          <w:i/>
          <w:iCs/>
          <w:lang w:eastAsia="lt-LT"/>
        </w:rPr>
        <w:t xml:space="preserve"> </w:t>
      </w:r>
      <w:r>
        <w:rPr>
          <w:iCs/>
          <w:lang w:eastAsia="lt-LT"/>
        </w:rPr>
        <w:t>eurų</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x</w:t>
      </w:r>
      <w:r>
        <w:rPr>
          <w:i/>
          <w:iCs/>
          <w:lang w:eastAsia="lt-LT"/>
        </w:rPr>
        <w:t xml:space="preserve"> </w:t>
      </w:r>
      <w:r>
        <w:rPr>
          <w:lang w:eastAsia="lt-LT"/>
        </w:rPr>
        <w:t>0,65:</w:t>
      </w:r>
      <w:r>
        <w:rPr>
          <w:i/>
          <w:iCs/>
          <w:lang w:eastAsia="lt-LT"/>
        </w:rPr>
        <w:t xml:space="preserve"> </w:t>
      </w:r>
      <w:r>
        <w:rPr>
          <w:lang w:eastAsia="lt-LT"/>
        </w:rPr>
        <w:t>100)</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mokesčio,</w:t>
      </w:r>
      <w:r>
        <w:rPr>
          <w:i/>
          <w:iCs/>
          <w:lang w:eastAsia="lt-LT"/>
        </w:rPr>
        <w:t xml:space="preserve"> </w:t>
      </w:r>
      <w:r>
        <w:rPr>
          <w:lang w:eastAsia="lt-LT"/>
        </w:rPr>
        <w:t>iš</w:t>
      </w:r>
      <w:r>
        <w:rPr>
          <w:i/>
          <w:iCs/>
          <w:lang w:eastAsia="lt-LT"/>
        </w:rPr>
        <w:t xml:space="preserve"> </w:t>
      </w:r>
      <w:r>
        <w:rPr>
          <w:lang w:eastAsia="lt-LT"/>
        </w:rPr>
        <w:t>viso</w:t>
      </w:r>
      <w:r>
        <w:rPr>
          <w:i/>
          <w:iCs/>
          <w:lang w:eastAsia="lt-LT"/>
        </w:rPr>
        <w:t xml:space="preserve"> </w:t>
      </w:r>
      <w:r>
        <w:rPr>
          <w:lang w:eastAsia="lt-LT"/>
        </w:rPr>
        <w:t>8</w:t>
      </w:r>
      <w:r>
        <w:rPr>
          <w:i/>
          <w:iCs/>
          <w:lang w:eastAsia="lt-LT"/>
        </w:rPr>
        <w:t xml:space="preserve"> </w:t>
      </w:r>
      <w:r>
        <w:rPr>
          <w:lang w:eastAsia="lt-LT"/>
        </w:rPr>
        <w:t>600</w:t>
      </w:r>
      <w:r>
        <w:rPr>
          <w:i/>
          <w:iCs/>
          <w:lang w:eastAsia="lt-LT"/>
        </w:rPr>
        <w:t xml:space="preserve"> </w:t>
      </w:r>
      <w:r>
        <w:rPr>
          <w:iCs/>
          <w:lang w:eastAsia="lt-LT"/>
        </w:rPr>
        <w:t>eurų</w:t>
      </w:r>
      <w:r>
        <w:rPr>
          <w:lang w:eastAsia="lt-LT"/>
        </w:rPr>
        <w:t>.</w:t>
      </w:r>
      <w:r>
        <w:rPr>
          <w:i/>
          <w:iCs/>
          <w:lang w:eastAsia="lt-LT"/>
        </w:rPr>
        <w:t xml:space="preserve"> </w:t>
      </w:r>
      <w:r>
        <w:rPr>
          <w:lang w:eastAsia="lt-LT"/>
        </w:rPr>
        <w:t>Šios</w:t>
      </w:r>
      <w:r>
        <w:rPr>
          <w:i/>
          <w:iCs/>
          <w:lang w:eastAsia="lt-LT"/>
        </w:rPr>
        <w:t xml:space="preserve"> </w:t>
      </w:r>
      <w:r>
        <w:rPr>
          <w:lang w:eastAsia="lt-LT"/>
        </w:rPr>
        <w:t>už</w:t>
      </w:r>
      <w:r>
        <w:rPr>
          <w:i/>
          <w:iCs/>
          <w:lang w:eastAsia="lt-LT"/>
        </w:rPr>
        <w:t xml:space="preserve"> </w:t>
      </w:r>
      <w:r>
        <w:rPr>
          <w:lang w:eastAsia="lt-LT"/>
        </w:rPr>
        <w:t>Finansuotojo</w:t>
      </w:r>
      <w:r>
        <w:rPr>
          <w:i/>
          <w:iCs/>
          <w:lang w:eastAsia="lt-LT"/>
        </w:rPr>
        <w:t xml:space="preserve"> </w:t>
      </w:r>
      <w:r>
        <w:rPr>
          <w:lang w:eastAsia="lt-LT"/>
        </w:rPr>
        <w:t>suteiktas</w:t>
      </w:r>
      <w:r>
        <w:rPr>
          <w:i/>
          <w:iCs/>
          <w:lang w:eastAsia="lt-LT"/>
        </w:rPr>
        <w:t xml:space="preserve"> </w:t>
      </w:r>
      <w:r>
        <w:rPr>
          <w:lang w:eastAsia="lt-LT"/>
        </w:rPr>
        <w:t>paslaugas</w:t>
      </w:r>
      <w:r>
        <w:rPr>
          <w:i/>
          <w:iCs/>
          <w:lang w:eastAsia="lt-LT"/>
        </w:rPr>
        <w:t xml:space="preserve"> </w:t>
      </w:r>
      <w:r>
        <w:rPr>
          <w:lang w:eastAsia="lt-LT"/>
        </w:rPr>
        <w:t>sumokėtos</w:t>
      </w:r>
      <w:r>
        <w:rPr>
          <w:i/>
          <w:iCs/>
          <w:lang w:eastAsia="lt-LT"/>
        </w:rPr>
        <w:t xml:space="preserve"> </w:t>
      </w:r>
      <w:r>
        <w:rPr>
          <w:lang w:eastAsia="lt-LT"/>
        </w:rPr>
        <w:t>sumos,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priskiriamos</w:t>
      </w:r>
      <w:r>
        <w:rPr>
          <w:i/>
          <w:iCs/>
          <w:lang w:eastAsia="lt-LT"/>
        </w:rPr>
        <w:t xml:space="preserve"> </w:t>
      </w:r>
      <w:r>
        <w:rPr>
          <w:lang w:eastAsia="lt-LT"/>
        </w:rPr>
        <w:t>Kliento</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Finansuotojo</w:t>
      </w:r>
      <w:r>
        <w:rPr>
          <w:i/>
          <w:iCs/>
          <w:lang w:eastAsia="lt-LT"/>
        </w:rPr>
        <w:t xml:space="preserve"> </w:t>
      </w:r>
      <w:r>
        <w:rPr>
          <w:lang w:eastAsia="lt-LT"/>
        </w:rPr>
        <w:t>gautos</w:t>
      </w:r>
      <w:r>
        <w:rPr>
          <w:i/>
          <w:iCs/>
          <w:lang w:eastAsia="lt-LT"/>
        </w:rPr>
        <w:t xml:space="preserve"> </w:t>
      </w:r>
      <w:r>
        <w:rPr>
          <w:lang w:eastAsia="lt-LT"/>
        </w:rPr>
        <w:t>faktoringo</w:t>
      </w:r>
      <w:r>
        <w:rPr>
          <w:i/>
          <w:iCs/>
          <w:lang w:eastAsia="lt-LT"/>
        </w:rPr>
        <w:t xml:space="preserve"> </w:t>
      </w:r>
      <w:r>
        <w:rPr>
          <w:lang w:eastAsia="lt-LT"/>
        </w:rPr>
        <w:t>palūkanos</w:t>
      </w:r>
      <w:r>
        <w:rPr>
          <w:i/>
          <w:iCs/>
          <w:lang w:eastAsia="lt-LT"/>
        </w:rPr>
        <w:t xml:space="preserve"> </w:t>
      </w:r>
      <w:r>
        <w:rPr>
          <w:lang w:eastAsia="lt-LT"/>
        </w:rPr>
        <w:t>(5</w:t>
      </w:r>
      <w:r>
        <w:rPr>
          <w:i/>
          <w:iCs/>
          <w:lang w:eastAsia="lt-LT"/>
        </w:rPr>
        <w:t xml:space="preserve"> </w:t>
      </w:r>
      <w:r>
        <w:rPr>
          <w:lang w:eastAsia="lt-LT"/>
        </w:rPr>
        <w:t>950</w:t>
      </w:r>
      <w:r>
        <w:rPr>
          <w:i/>
          <w:iCs/>
          <w:lang w:eastAsia="lt-LT"/>
        </w:rPr>
        <w:t xml:space="preserve"> </w:t>
      </w:r>
      <w:r>
        <w:rPr>
          <w:iCs/>
          <w:lang w:eastAsia="lt-LT"/>
        </w:rPr>
        <w:t>eurų)</w:t>
      </w:r>
      <w:r>
        <w:rPr>
          <w:lang w:eastAsia="lt-LT"/>
        </w:rPr>
        <w:t>,</w:t>
      </w:r>
      <w:r>
        <w:rPr>
          <w:i/>
          <w:iCs/>
          <w:lang w:eastAsia="lt-LT"/>
        </w:rPr>
        <w:t xml:space="preserve"> </w:t>
      </w:r>
      <w:r>
        <w:rPr>
          <w:lang w:eastAsia="lt-LT"/>
        </w:rPr>
        <w:t>komisinis</w:t>
      </w:r>
      <w:r>
        <w:rPr>
          <w:i/>
          <w:iCs/>
          <w:lang w:eastAsia="lt-LT"/>
        </w:rPr>
        <w:t xml:space="preserve"> </w:t>
      </w:r>
      <w:r>
        <w:rPr>
          <w:lang w:eastAsia="lt-LT"/>
        </w:rPr>
        <w:t>mokestis</w:t>
      </w:r>
      <w:r>
        <w:rPr>
          <w:i/>
          <w:iCs/>
          <w:lang w:eastAsia="lt-LT"/>
        </w:rPr>
        <w:t xml:space="preserve"> </w:t>
      </w:r>
      <w:r>
        <w:rPr>
          <w:lang w:eastAsia="lt-LT"/>
        </w:rPr>
        <w:t>(2</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ir</w:t>
      </w:r>
      <w:r>
        <w:rPr>
          <w:i/>
          <w:iCs/>
          <w:lang w:eastAsia="lt-LT"/>
        </w:rPr>
        <w:t xml:space="preserve"> </w:t>
      </w:r>
      <w:r>
        <w:rPr>
          <w:lang w:eastAsia="lt-LT"/>
        </w:rPr>
        <w:t>sutarties</w:t>
      </w:r>
      <w:r>
        <w:rPr>
          <w:i/>
          <w:iCs/>
          <w:lang w:eastAsia="lt-LT"/>
        </w:rPr>
        <w:t xml:space="preserve"> </w:t>
      </w:r>
      <w:r>
        <w:rPr>
          <w:lang w:eastAsia="lt-LT"/>
        </w:rPr>
        <w:t>(administravimo)</w:t>
      </w:r>
      <w:r>
        <w:rPr>
          <w:i/>
          <w:iCs/>
          <w:lang w:eastAsia="lt-LT"/>
        </w:rPr>
        <w:t xml:space="preserve"> </w:t>
      </w:r>
      <w:r>
        <w:rPr>
          <w:lang w:eastAsia="lt-LT"/>
        </w:rPr>
        <w:t>mokestis</w:t>
      </w:r>
      <w:r>
        <w:rPr>
          <w:i/>
          <w:iCs/>
          <w:lang w:eastAsia="lt-LT"/>
        </w:rPr>
        <w:t xml:space="preserve"> </w:t>
      </w:r>
      <w:r>
        <w:rPr>
          <w:lang w:eastAsia="lt-LT"/>
        </w:rPr>
        <w:t>(650</w:t>
      </w:r>
      <w:r>
        <w:rPr>
          <w:i/>
          <w:iCs/>
          <w:lang w:eastAsia="lt-LT"/>
        </w:rPr>
        <w:t xml:space="preserve"> </w:t>
      </w:r>
      <w:r>
        <w:rPr>
          <w:iCs/>
          <w:lang w:eastAsia="lt-LT"/>
        </w:rPr>
        <w:t>eurų</w:t>
      </w:r>
      <w:r>
        <w:rPr>
          <w:lang w:eastAsia="lt-LT"/>
        </w:rPr>
        <w:t>)</w:t>
      </w:r>
      <w:r>
        <w:rPr>
          <w:i/>
          <w:iCs/>
          <w:lang w:eastAsia="lt-LT"/>
        </w:rPr>
        <w:t xml:space="preserve"> </w:t>
      </w:r>
      <w:r>
        <w:rPr>
          <w:lang w:eastAsia="lt-LT"/>
        </w:rPr>
        <w:t>priskiriamos</w:t>
      </w:r>
      <w:r>
        <w:rPr>
          <w:i/>
          <w:iCs/>
          <w:lang w:eastAsia="lt-LT"/>
        </w:rPr>
        <w:t xml:space="preserve"> </w:t>
      </w:r>
      <w:r>
        <w:rPr>
          <w:lang w:eastAsia="lt-LT"/>
        </w:rPr>
        <w:t>Finansuotojo</w:t>
      </w:r>
      <w:r>
        <w:rPr>
          <w:i/>
          <w:iCs/>
          <w:lang w:eastAsia="lt-LT"/>
        </w:rPr>
        <w:t xml:space="preserve"> </w:t>
      </w:r>
      <w:r>
        <w:rPr>
          <w:lang w:eastAsia="lt-LT"/>
        </w:rPr>
        <w:t>apmokestinamoms</w:t>
      </w:r>
      <w:r>
        <w:rPr>
          <w:i/>
          <w:iCs/>
          <w:lang w:eastAsia="lt-LT"/>
        </w:rPr>
        <w:t xml:space="preserve"> </w:t>
      </w:r>
      <w:r>
        <w:rPr>
          <w:lang w:eastAsia="lt-LT"/>
        </w:rPr>
        <w:t>pajamoms.</w:t>
      </w:r>
    </w:p>
    <w:p w14:paraId="59638122"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Finansuotojas</w:t>
      </w:r>
      <w:r>
        <w:rPr>
          <w:i/>
          <w:iCs/>
          <w:lang w:eastAsia="lt-LT"/>
        </w:rPr>
        <w:t xml:space="preserve"> </w:t>
      </w:r>
      <w:r>
        <w:rPr>
          <w:lang w:eastAsia="lt-LT"/>
        </w:rPr>
        <w:t>iš</w:t>
      </w:r>
      <w:r>
        <w:rPr>
          <w:i/>
          <w:iCs/>
          <w:lang w:eastAsia="lt-LT"/>
        </w:rPr>
        <w:t xml:space="preserve"> </w:t>
      </w:r>
      <w:r>
        <w:rPr>
          <w:lang w:eastAsia="lt-LT"/>
        </w:rPr>
        <w:t>skolininko</w:t>
      </w:r>
      <w:r>
        <w:rPr>
          <w:i/>
          <w:iCs/>
          <w:lang w:eastAsia="lt-LT"/>
        </w:rPr>
        <w:t xml:space="preserve"> </w:t>
      </w:r>
      <w:r>
        <w:rPr>
          <w:lang w:eastAsia="lt-LT"/>
        </w:rPr>
        <w:t>(prekių</w:t>
      </w:r>
      <w:r>
        <w:rPr>
          <w:i/>
          <w:iCs/>
          <w:lang w:eastAsia="lt-LT"/>
        </w:rPr>
        <w:t xml:space="preserve"> </w:t>
      </w:r>
      <w:r>
        <w:rPr>
          <w:lang w:eastAsia="lt-LT"/>
        </w:rPr>
        <w:t>pirkėjo)</w:t>
      </w:r>
      <w:r>
        <w:rPr>
          <w:i/>
          <w:iCs/>
          <w:lang w:eastAsia="lt-LT"/>
        </w:rPr>
        <w:t xml:space="preserve"> </w:t>
      </w:r>
      <w:r>
        <w:rPr>
          <w:lang w:eastAsia="lt-LT"/>
        </w:rPr>
        <w:t>gavęs</w:t>
      </w:r>
      <w:r>
        <w:rPr>
          <w:i/>
          <w:iCs/>
          <w:lang w:eastAsia="lt-LT"/>
        </w:rPr>
        <w:t xml:space="preserve"> </w:t>
      </w:r>
      <w:r>
        <w:rPr>
          <w:lang w:eastAsia="lt-LT"/>
        </w:rPr>
        <w:t>skolos</w:t>
      </w:r>
      <w:r>
        <w:rPr>
          <w:i/>
          <w:iCs/>
          <w:lang w:eastAsia="lt-LT"/>
        </w:rPr>
        <w:t xml:space="preserve"> </w:t>
      </w:r>
      <w:r>
        <w:rPr>
          <w:lang w:eastAsia="lt-LT"/>
        </w:rPr>
        <w:t>sumą</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iCs/>
          <w:lang w:eastAsia="lt-LT"/>
        </w:rPr>
        <w:t>eurų)</w:t>
      </w:r>
      <w:r>
        <w:rPr>
          <w:lang w:eastAsia="lt-LT"/>
        </w:rPr>
        <w:t>,</w:t>
      </w:r>
      <w:r>
        <w:rPr>
          <w:i/>
          <w:iCs/>
          <w:lang w:eastAsia="lt-LT"/>
        </w:rPr>
        <w:t xml:space="preserve"> </w:t>
      </w:r>
      <w:r>
        <w:rPr>
          <w:lang w:eastAsia="lt-LT"/>
        </w:rPr>
        <w:t>likusią</w:t>
      </w:r>
      <w:r>
        <w:rPr>
          <w:i/>
          <w:iCs/>
          <w:lang w:eastAsia="lt-LT"/>
        </w:rPr>
        <w:t xml:space="preserve"> </w:t>
      </w:r>
      <w:r>
        <w:rPr>
          <w:lang w:eastAsia="lt-LT"/>
        </w:rPr>
        <w:t>skolos</w:t>
      </w:r>
      <w:r>
        <w:rPr>
          <w:i/>
          <w:iCs/>
          <w:lang w:eastAsia="lt-LT"/>
        </w:rPr>
        <w:t xml:space="preserve"> </w:t>
      </w:r>
      <w:r>
        <w:rPr>
          <w:lang w:eastAsia="lt-LT"/>
        </w:rPr>
        <w:t>sumą</w:t>
      </w:r>
      <w:r>
        <w:rPr>
          <w:i/>
          <w:iCs/>
          <w:lang w:eastAsia="lt-LT"/>
        </w:rPr>
        <w:t xml:space="preserve"> </w:t>
      </w:r>
      <w:r>
        <w:rPr>
          <w:lang w:eastAsia="lt-LT"/>
        </w:rPr>
        <w:t>6</w:t>
      </w:r>
      <w:r>
        <w:rPr>
          <w:i/>
          <w:iCs/>
          <w:lang w:eastAsia="lt-LT"/>
        </w:rPr>
        <w:t xml:space="preserve"> </w:t>
      </w:r>
      <w:r>
        <w:rPr>
          <w:lang w:eastAsia="lt-LT"/>
        </w:rPr>
        <w:t>400</w:t>
      </w:r>
      <w:r>
        <w:rPr>
          <w:i/>
          <w:iCs/>
          <w:lang w:eastAsia="lt-LT"/>
        </w:rPr>
        <w:t xml:space="preserve"> </w:t>
      </w:r>
      <w:r>
        <w:rPr>
          <w:iCs/>
          <w:lang w:eastAsia="lt-LT"/>
        </w:rPr>
        <w:t>eurų</w:t>
      </w:r>
      <w:r>
        <w:rPr>
          <w:i/>
          <w:iCs/>
          <w:lang w:eastAsia="lt-LT"/>
        </w:rPr>
        <w:t xml:space="preserve"> </w:t>
      </w:r>
      <w:r>
        <w:rPr>
          <w:lang w:eastAsia="lt-LT"/>
        </w:rPr>
        <w:t>(100</w:t>
      </w:r>
      <w:r>
        <w:rPr>
          <w:i/>
          <w:iCs/>
          <w:lang w:eastAsia="lt-LT"/>
        </w:rPr>
        <w:t xml:space="preserve"> </w:t>
      </w:r>
      <w:r>
        <w:rPr>
          <w:lang w:eastAsia="lt-LT"/>
        </w:rPr>
        <w:t>000</w:t>
      </w:r>
      <w:r>
        <w:rPr>
          <w:i/>
          <w:iCs/>
          <w:lang w:eastAsia="lt-LT"/>
        </w:rPr>
        <w:t xml:space="preserve"> </w:t>
      </w:r>
      <w:r>
        <w:rPr>
          <w:lang w:eastAsia="lt-LT"/>
        </w:rPr>
        <w:t>–</w:t>
      </w:r>
      <w:r>
        <w:rPr>
          <w:i/>
          <w:iCs/>
          <w:lang w:eastAsia="lt-LT"/>
        </w:rPr>
        <w:t xml:space="preserve"> </w:t>
      </w:r>
      <w:r>
        <w:rPr>
          <w:lang w:eastAsia="lt-LT"/>
        </w:rPr>
        <w:t>85</w:t>
      </w:r>
      <w:r>
        <w:rPr>
          <w:i/>
          <w:iCs/>
          <w:lang w:eastAsia="lt-LT"/>
        </w:rPr>
        <w:t xml:space="preserve"> </w:t>
      </w:r>
      <w:r>
        <w:rPr>
          <w:lang w:eastAsia="lt-LT"/>
        </w:rPr>
        <w:t>000</w:t>
      </w:r>
      <w:r>
        <w:rPr>
          <w:i/>
          <w:iCs/>
          <w:lang w:eastAsia="lt-LT"/>
        </w:rPr>
        <w:t xml:space="preserve"> </w:t>
      </w:r>
      <w:r>
        <w:rPr>
          <w:lang w:eastAsia="lt-LT"/>
        </w:rPr>
        <w:t>–</w:t>
      </w:r>
      <w:r>
        <w:rPr>
          <w:i/>
          <w:iCs/>
          <w:lang w:eastAsia="lt-LT"/>
        </w:rPr>
        <w:t xml:space="preserve"> </w:t>
      </w:r>
      <w:r>
        <w:rPr>
          <w:lang w:eastAsia="lt-LT"/>
        </w:rPr>
        <w:t>8</w:t>
      </w:r>
      <w:r>
        <w:rPr>
          <w:i/>
          <w:iCs/>
          <w:lang w:eastAsia="lt-LT"/>
        </w:rPr>
        <w:t xml:space="preserve"> </w:t>
      </w:r>
      <w:r>
        <w:rPr>
          <w:lang w:eastAsia="lt-LT"/>
        </w:rPr>
        <w:t>600)</w:t>
      </w:r>
      <w:r>
        <w:rPr>
          <w:i/>
          <w:iCs/>
          <w:lang w:eastAsia="lt-LT"/>
        </w:rPr>
        <w:t xml:space="preserve"> </w:t>
      </w:r>
      <w:r>
        <w:rPr>
          <w:lang w:eastAsia="lt-LT"/>
        </w:rPr>
        <w:t>pagal</w:t>
      </w:r>
      <w:r>
        <w:rPr>
          <w:i/>
          <w:iCs/>
          <w:lang w:eastAsia="lt-LT"/>
        </w:rPr>
        <w:t xml:space="preserve"> </w:t>
      </w:r>
      <w:r>
        <w:rPr>
          <w:lang w:eastAsia="lt-LT"/>
        </w:rPr>
        <w:t>perimtą</w:t>
      </w:r>
      <w:r>
        <w:rPr>
          <w:i/>
          <w:iCs/>
          <w:lang w:eastAsia="lt-LT"/>
        </w:rPr>
        <w:t xml:space="preserve"> </w:t>
      </w:r>
      <w:r>
        <w:rPr>
          <w:lang w:eastAsia="lt-LT"/>
        </w:rPr>
        <w:t>iš</w:t>
      </w:r>
      <w:r>
        <w:rPr>
          <w:i/>
          <w:iCs/>
          <w:lang w:eastAsia="lt-LT"/>
        </w:rPr>
        <w:t xml:space="preserve"> </w:t>
      </w:r>
      <w:r>
        <w:rPr>
          <w:lang w:eastAsia="lt-LT"/>
        </w:rPr>
        <w:t>Kliento</w:t>
      </w:r>
      <w:r>
        <w:rPr>
          <w:i/>
          <w:iCs/>
          <w:lang w:eastAsia="lt-LT"/>
        </w:rPr>
        <w:t xml:space="preserve"> </w:t>
      </w:r>
      <w:r>
        <w:rPr>
          <w:lang w:eastAsia="lt-LT"/>
        </w:rPr>
        <w:t>piniginį</w:t>
      </w:r>
      <w:r>
        <w:rPr>
          <w:i/>
          <w:iCs/>
          <w:lang w:eastAsia="lt-LT"/>
        </w:rPr>
        <w:t xml:space="preserve"> </w:t>
      </w:r>
      <w:r>
        <w:rPr>
          <w:lang w:eastAsia="lt-LT"/>
        </w:rPr>
        <w:t>reikalavimą,</w:t>
      </w:r>
      <w:r>
        <w:rPr>
          <w:i/>
          <w:iCs/>
          <w:lang w:eastAsia="lt-LT"/>
        </w:rPr>
        <w:t xml:space="preserve"> </w:t>
      </w:r>
      <w:r>
        <w:rPr>
          <w:lang w:eastAsia="lt-LT"/>
        </w:rPr>
        <w:t>atskaitęs</w:t>
      </w:r>
      <w:r>
        <w:rPr>
          <w:i/>
          <w:iCs/>
          <w:lang w:eastAsia="lt-LT"/>
        </w:rPr>
        <w:t xml:space="preserve"> </w:t>
      </w:r>
      <w:r>
        <w:rPr>
          <w:lang w:eastAsia="lt-LT"/>
        </w:rPr>
        <w:t>palūkanas</w:t>
      </w:r>
      <w:r>
        <w:rPr>
          <w:i/>
          <w:iCs/>
          <w:lang w:eastAsia="lt-LT"/>
        </w:rPr>
        <w:t xml:space="preserve"> </w:t>
      </w:r>
      <w:r>
        <w:rPr>
          <w:lang w:eastAsia="lt-LT"/>
        </w:rPr>
        <w:t>ir</w:t>
      </w:r>
      <w:r>
        <w:rPr>
          <w:i/>
          <w:iCs/>
          <w:lang w:eastAsia="lt-LT"/>
        </w:rPr>
        <w:t xml:space="preserve"> </w:t>
      </w:r>
      <w:r>
        <w:rPr>
          <w:lang w:eastAsia="lt-LT"/>
        </w:rPr>
        <w:t>kitus</w:t>
      </w:r>
      <w:r>
        <w:rPr>
          <w:i/>
          <w:iCs/>
          <w:lang w:eastAsia="lt-LT"/>
        </w:rPr>
        <w:t xml:space="preserve"> </w:t>
      </w:r>
      <w:r>
        <w:rPr>
          <w:lang w:eastAsia="lt-LT"/>
        </w:rPr>
        <w:t>Kliento</w:t>
      </w:r>
      <w:r>
        <w:rPr>
          <w:i/>
          <w:iCs/>
          <w:lang w:eastAsia="lt-LT"/>
        </w:rPr>
        <w:t xml:space="preserve"> </w:t>
      </w:r>
      <w:r>
        <w:rPr>
          <w:lang w:eastAsia="lt-LT"/>
        </w:rPr>
        <w:t>sumokėtus</w:t>
      </w:r>
      <w:r>
        <w:rPr>
          <w:i/>
          <w:iCs/>
          <w:lang w:eastAsia="lt-LT"/>
        </w:rPr>
        <w:t xml:space="preserve"> </w:t>
      </w:r>
      <w:r>
        <w:rPr>
          <w:lang w:eastAsia="lt-LT"/>
        </w:rPr>
        <w:t>mokesčius,</w:t>
      </w:r>
      <w:r>
        <w:rPr>
          <w:i/>
          <w:iCs/>
          <w:lang w:eastAsia="lt-LT"/>
        </w:rPr>
        <w:t xml:space="preserve"> </w:t>
      </w:r>
      <w:r>
        <w:rPr>
          <w:lang w:eastAsia="lt-LT"/>
        </w:rPr>
        <w:t>sumoka</w:t>
      </w:r>
      <w:r>
        <w:rPr>
          <w:i/>
          <w:iCs/>
          <w:lang w:eastAsia="lt-LT"/>
        </w:rPr>
        <w:t xml:space="preserve"> </w:t>
      </w:r>
      <w:r>
        <w:rPr>
          <w:lang w:eastAsia="lt-LT"/>
        </w:rPr>
        <w:t>Klientui. </w:t>
      </w:r>
    </w:p>
    <w:p w14:paraId="595DC91F" w14:textId="77777777" w:rsidR="00093845" w:rsidRPr="0065344A" w:rsidRDefault="00F425B3">
      <w:pPr>
        <w:ind w:firstLine="720"/>
        <w:jc w:val="both"/>
        <w:rPr>
          <w:lang w:val="lt-LT"/>
        </w:rPr>
      </w:pPr>
      <w:r>
        <w:rPr>
          <w:iCs/>
          <w:lang w:val="lt-LT"/>
        </w:rPr>
        <w:t xml:space="preserve">    </w:t>
      </w:r>
      <w:r w:rsidR="000D779E">
        <w:rPr>
          <w:iCs/>
          <w:lang w:val="lt-LT"/>
        </w:rPr>
        <w:t>(Pakeistas 17 str. 1 dalies 6.11 punkto pateiktas pavyzdys VMI prie FM 2016-05-16 raštu Nr. (18.32-31-1E)RM-14067)</w:t>
      </w:r>
    </w:p>
    <w:p w14:paraId="7DF986F2" w14:textId="77777777" w:rsidR="00093845" w:rsidRPr="0065344A" w:rsidRDefault="000D779E">
      <w:pPr>
        <w:ind w:firstLine="993"/>
        <w:jc w:val="both"/>
        <w:rPr>
          <w:lang w:val="lt-LT" w:eastAsia="lt-LT"/>
        </w:rPr>
      </w:pPr>
      <w:r w:rsidRPr="0065344A">
        <w:rPr>
          <w:b/>
          <w:bCs/>
          <w:lang w:val="lt-LT" w:eastAsia="lt-LT"/>
        </w:rPr>
        <w:t>6.12.</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rinkos</w:t>
      </w:r>
      <w:r w:rsidRPr="0065344A">
        <w:rPr>
          <w:b/>
          <w:bCs/>
          <w:i/>
          <w:iCs/>
          <w:lang w:val="lt-LT" w:eastAsia="lt-LT"/>
        </w:rPr>
        <w:t xml:space="preserve"> </w:t>
      </w:r>
      <w:r w:rsidRPr="0065344A">
        <w:rPr>
          <w:b/>
          <w:bCs/>
          <w:lang w:val="lt-LT" w:eastAsia="lt-LT"/>
        </w:rPr>
        <w:t>paieškos</w:t>
      </w:r>
      <w:r w:rsidRPr="0065344A">
        <w:rPr>
          <w:b/>
          <w:bCs/>
          <w:i/>
          <w:iCs/>
          <w:lang w:val="lt-LT" w:eastAsia="lt-LT"/>
        </w:rPr>
        <w:t xml:space="preserve"> </w:t>
      </w:r>
      <w:r w:rsidRPr="0065344A">
        <w:rPr>
          <w:b/>
          <w:bCs/>
          <w:lang w:val="lt-LT" w:eastAsia="lt-LT"/>
        </w:rPr>
        <w:t>išlaidų.</w:t>
      </w:r>
    </w:p>
    <w:p w14:paraId="68BAE633" w14:textId="77777777" w:rsidR="00093845" w:rsidRPr="0065344A" w:rsidRDefault="000D779E">
      <w:pPr>
        <w:ind w:firstLine="993"/>
        <w:jc w:val="both"/>
        <w:rPr>
          <w:lang w:val="lt-LT" w:eastAsia="lt-LT"/>
        </w:rPr>
      </w:pPr>
      <w:r w:rsidRPr="0065344A">
        <w:rPr>
          <w:lang w:val="lt-LT" w:eastAsia="lt-LT"/>
        </w:rPr>
        <w:lastRenderedPageBreak/>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konjunktūros</w:t>
      </w:r>
      <w:r w:rsidRPr="0065344A">
        <w:rPr>
          <w:i/>
          <w:iCs/>
          <w:lang w:val="lt-LT" w:eastAsia="lt-LT"/>
        </w:rPr>
        <w:t xml:space="preserve"> </w:t>
      </w:r>
      <w:r w:rsidRPr="0065344A">
        <w:rPr>
          <w:lang w:val="lt-LT" w:eastAsia="lt-LT"/>
        </w:rPr>
        <w:t>tyrimu,</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realizavimo</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paieškos</w:t>
      </w:r>
      <w:r w:rsidRPr="0065344A">
        <w:rPr>
          <w:i/>
          <w:iCs/>
          <w:lang w:val="lt-LT" w:eastAsia="lt-LT"/>
        </w:rPr>
        <w:t xml:space="preserve"> </w:t>
      </w:r>
      <w:r w:rsidRPr="0065344A">
        <w:rPr>
          <w:lang w:val="lt-LT" w:eastAsia="lt-LT"/>
        </w:rPr>
        <w:t>(mokestis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dalyvavimą</w:t>
      </w:r>
      <w:r w:rsidRPr="0065344A">
        <w:rPr>
          <w:i/>
          <w:iCs/>
          <w:lang w:val="lt-LT" w:eastAsia="lt-LT"/>
        </w:rPr>
        <w:t xml:space="preserve"> </w:t>
      </w:r>
      <w:r w:rsidRPr="0065344A">
        <w:rPr>
          <w:lang w:val="lt-LT" w:eastAsia="lt-LT"/>
        </w:rPr>
        <w:t>konkursuose)</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projektų</w:t>
      </w:r>
      <w:r w:rsidRPr="0065344A">
        <w:rPr>
          <w:i/>
          <w:iCs/>
          <w:lang w:val="lt-LT" w:eastAsia="lt-LT"/>
        </w:rPr>
        <w:t xml:space="preserve"> </w:t>
      </w:r>
      <w:r w:rsidRPr="0065344A">
        <w:rPr>
          <w:lang w:val="lt-LT" w:eastAsia="lt-LT"/>
        </w:rPr>
        <w:t>parengimo</w:t>
      </w:r>
      <w:r w:rsidRPr="0065344A">
        <w:rPr>
          <w:i/>
          <w:iCs/>
          <w:lang w:val="lt-LT" w:eastAsia="lt-LT"/>
        </w:rPr>
        <w:t xml:space="preserve"> </w:t>
      </w:r>
      <w:r w:rsidRPr="0065344A">
        <w:rPr>
          <w:lang w:val="lt-LT" w:eastAsia="lt-LT"/>
        </w:rPr>
        <w:t>konkursui</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(įskaitant</w:t>
      </w:r>
      <w:r w:rsidRPr="0065344A">
        <w:rPr>
          <w:i/>
          <w:iCs/>
          <w:lang w:val="lt-LT" w:eastAsia="lt-LT"/>
        </w:rPr>
        <w:t xml:space="preserve"> </w:t>
      </w:r>
      <w:r w:rsidRPr="0065344A">
        <w:rPr>
          <w:lang w:val="lt-LT" w:eastAsia="lt-LT"/>
        </w:rPr>
        <w:t>nelaimėtuosius).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priskiriamas</w:t>
      </w:r>
      <w:r w:rsidRPr="0065344A">
        <w:rPr>
          <w:i/>
          <w:iCs/>
          <w:lang w:val="lt-LT" w:eastAsia="lt-LT"/>
        </w:rPr>
        <w:t xml:space="preserve"> </w:t>
      </w:r>
      <w:r w:rsidRPr="0065344A">
        <w:rPr>
          <w:lang w:val="lt-LT" w:eastAsia="lt-LT"/>
        </w:rPr>
        <w:t>potencialiems</w:t>
      </w:r>
      <w:r w:rsidRPr="0065344A">
        <w:rPr>
          <w:i/>
          <w:iCs/>
          <w:lang w:val="lt-LT" w:eastAsia="lt-LT"/>
        </w:rPr>
        <w:t xml:space="preserve"> </w:t>
      </w:r>
      <w:r w:rsidRPr="0065344A">
        <w:rPr>
          <w:lang w:val="lt-LT" w:eastAsia="lt-LT"/>
        </w:rPr>
        <w:t>klientams</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perduodamas</w:t>
      </w:r>
      <w:r w:rsidRPr="0065344A">
        <w:rPr>
          <w:i/>
          <w:iCs/>
          <w:lang w:val="lt-LT" w:eastAsia="lt-LT"/>
        </w:rPr>
        <w:t xml:space="preserve"> </w:t>
      </w:r>
      <w:r w:rsidRPr="0065344A">
        <w:rPr>
          <w:lang w:val="lt-LT" w:eastAsia="lt-LT"/>
        </w:rPr>
        <w:t>nedidelis</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kiekis</w:t>
      </w:r>
      <w:r w:rsidRPr="0065344A">
        <w:rPr>
          <w:i/>
          <w:iCs/>
          <w:lang w:val="lt-LT" w:eastAsia="lt-LT"/>
        </w:rPr>
        <w:t xml:space="preserve"> </w:t>
      </w:r>
      <w:r w:rsidRPr="0065344A">
        <w:rPr>
          <w:lang w:val="lt-LT" w:eastAsia="lt-LT"/>
        </w:rPr>
        <w:t>bandymams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naujų</w:t>
      </w:r>
      <w:r w:rsidRPr="0065344A">
        <w:rPr>
          <w:i/>
          <w:iCs/>
          <w:lang w:val="lt-LT" w:eastAsia="lt-LT"/>
        </w:rPr>
        <w:t xml:space="preserve"> </w:t>
      </w:r>
      <w:r w:rsidRPr="0065344A">
        <w:rPr>
          <w:lang w:val="lt-LT" w:eastAsia="lt-LT"/>
        </w:rPr>
        <w:t>gaminių</w:t>
      </w:r>
      <w:r w:rsidRPr="0065344A">
        <w:rPr>
          <w:i/>
          <w:iCs/>
          <w:lang w:val="lt-LT" w:eastAsia="lt-LT"/>
        </w:rPr>
        <w:t xml:space="preserve"> </w:t>
      </w:r>
      <w:r w:rsidRPr="0065344A">
        <w:rPr>
          <w:lang w:val="lt-LT" w:eastAsia="lt-LT"/>
        </w:rPr>
        <w:t>gamybai,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vartotojai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produkcijos</w:t>
      </w:r>
      <w:r w:rsidRPr="0065344A">
        <w:rPr>
          <w:i/>
          <w:iCs/>
          <w:lang w:val="lt-LT" w:eastAsia="lt-LT"/>
        </w:rPr>
        <w:t xml:space="preserve"> </w:t>
      </w:r>
      <w:r w:rsidRPr="0065344A">
        <w:rPr>
          <w:lang w:val="lt-LT" w:eastAsia="lt-LT"/>
        </w:rPr>
        <w:t>pirkėjai</w:t>
      </w:r>
      <w:r w:rsidRPr="0065344A">
        <w:rPr>
          <w:i/>
          <w:iCs/>
          <w:lang w:val="lt-LT" w:eastAsia="lt-LT"/>
        </w:rPr>
        <w:t xml:space="preserve"> </w:t>
      </w:r>
      <w:r w:rsidRPr="0065344A">
        <w:rPr>
          <w:lang w:val="lt-LT" w:eastAsia="lt-LT"/>
        </w:rPr>
        <w:t>galėtų</w:t>
      </w:r>
      <w:r w:rsidRPr="0065344A">
        <w:rPr>
          <w:i/>
          <w:iCs/>
          <w:lang w:val="lt-LT" w:eastAsia="lt-LT"/>
        </w:rPr>
        <w:t xml:space="preserve"> </w:t>
      </w:r>
      <w:r w:rsidRPr="0065344A">
        <w:rPr>
          <w:lang w:val="lt-LT" w:eastAsia="lt-LT"/>
        </w:rPr>
        <w:t>susipažinti</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naujų</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pranašumais.</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paieškos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pagrįstumą</w:t>
      </w:r>
      <w:r w:rsidRPr="0065344A">
        <w:rPr>
          <w:i/>
          <w:iCs/>
          <w:lang w:val="lt-LT" w:eastAsia="lt-LT"/>
        </w:rPr>
        <w:t xml:space="preserve"> </w:t>
      </w:r>
      <w:r w:rsidRPr="0065344A">
        <w:rPr>
          <w:lang w:val="lt-LT" w:eastAsia="lt-LT"/>
        </w:rPr>
        <w:t>patvirtinantys</w:t>
      </w:r>
      <w:r w:rsidRPr="0065344A">
        <w:rPr>
          <w:i/>
          <w:iCs/>
          <w:lang w:val="lt-LT" w:eastAsia="lt-LT"/>
        </w:rPr>
        <w:t xml:space="preserve"> </w:t>
      </w:r>
      <w:r w:rsidRPr="0065344A">
        <w:rPr>
          <w:lang w:val="lt-LT" w:eastAsia="lt-LT"/>
        </w:rPr>
        <w:t>dokumentai.</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perduodant</w:t>
      </w:r>
      <w:r w:rsidRPr="0065344A">
        <w:rPr>
          <w:i/>
          <w:iCs/>
          <w:lang w:val="lt-LT" w:eastAsia="lt-LT"/>
        </w:rPr>
        <w:t xml:space="preserve"> </w:t>
      </w:r>
      <w:r w:rsidRPr="0065344A">
        <w:rPr>
          <w:lang w:val="lt-LT" w:eastAsia="lt-LT"/>
        </w:rPr>
        <w:t>prekes,</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dokumentais</w:t>
      </w:r>
      <w:r w:rsidRPr="0065344A">
        <w:rPr>
          <w:i/>
          <w:iCs/>
          <w:lang w:val="lt-LT" w:eastAsia="lt-LT"/>
        </w:rPr>
        <w:t xml:space="preserve"> </w:t>
      </w:r>
      <w:r w:rsidRPr="0065344A">
        <w:rPr>
          <w:lang w:val="lt-LT" w:eastAsia="lt-LT"/>
        </w:rPr>
        <w:t>turėtų</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gavėjo</w:t>
      </w:r>
      <w:r w:rsidRPr="0065344A">
        <w:rPr>
          <w:i/>
          <w:iCs/>
          <w:lang w:val="lt-LT" w:eastAsia="lt-LT"/>
        </w:rPr>
        <w:t xml:space="preserve"> </w:t>
      </w:r>
      <w:r w:rsidRPr="0065344A">
        <w:rPr>
          <w:lang w:val="lt-LT" w:eastAsia="lt-LT"/>
        </w:rPr>
        <w:t>įsipareigojimas</w:t>
      </w:r>
      <w:r w:rsidRPr="0065344A">
        <w:rPr>
          <w:i/>
          <w:iCs/>
          <w:lang w:val="lt-LT" w:eastAsia="lt-LT"/>
        </w:rPr>
        <w:t xml:space="preserve"> </w:t>
      </w:r>
      <w:r w:rsidRPr="0065344A">
        <w:rPr>
          <w:lang w:val="lt-LT" w:eastAsia="lt-LT"/>
        </w:rPr>
        <w:t>surinkti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pateikti</w:t>
      </w:r>
      <w:r w:rsidRPr="0065344A">
        <w:rPr>
          <w:i/>
          <w:iCs/>
          <w:lang w:val="lt-LT" w:eastAsia="lt-LT"/>
        </w:rPr>
        <w:t xml:space="preserve"> </w:t>
      </w:r>
      <w:r w:rsidRPr="0065344A">
        <w:rPr>
          <w:lang w:val="lt-LT" w:eastAsia="lt-LT"/>
        </w:rPr>
        <w:t>informaciją</w:t>
      </w:r>
      <w:r w:rsidRPr="0065344A">
        <w:rPr>
          <w:i/>
          <w:iCs/>
          <w:lang w:val="lt-LT" w:eastAsia="lt-LT"/>
        </w:rPr>
        <w:t xml:space="preserve"> </w:t>
      </w:r>
      <w:r w:rsidRPr="0065344A">
        <w:rPr>
          <w:lang w:val="lt-LT" w:eastAsia="lt-LT"/>
        </w:rPr>
        <w:t>apie</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kokybę</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paklausą</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informacijos</w:t>
      </w:r>
      <w:r w:rsidRPr="0065344A">
        <w:rPr>
          <w:i/>
          <w:iCs/>
          <w:lang w:val="lt-LT" w:eastAsia="lt-LT"/>
        </w:rPr>
        <w:t xml:space="preserve"> </w:t>
      </w:r>
      <w:r w:rsidRPr="0065344A">
        <w:rPr>
          <w:lang w:val="lt-LT" w:eastAsia="lt-LT"/>
        </w:rPr>
        <w:t>pateikimas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išvados</w:t>
      </w:r>
      <w:r w:rsidRPr="0065344A">
        <w:rPr>
          <w:i/>
          <w:iCs/>
          <w:lang w:val="lt-LT" w:eastAsia="lt-LT"/>
        </w:rPr>
        <w:t xml:space="preserve"> </w:t>
      </w:r>
      <w:r w:rsidRPr="0065344A">
        <w:rPr>
          <w:lang w:val="lt-LT" w:eastAsia="lt-LT"/>
        </w:rPr>
        <w:t>apie</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prekių</w:t>
      </w:r>
      <w:r w:rsidRPr="0065344A">
        <w:rPr>
          <w:i/>
          <w:iCs/>
          <w:lang w:val="lt-LT" w:eastAsia="lt-LT"/>
        </w:rPr>
        <w:t xml:space="preserve"> </w:t>
      </w:r>
      <w:r w:rsidRPr="0065344A">
        <w:rPr>
          <w:lang w:val="lt-LT" w:eastAsia="lt-LT"/>
        </w:rPr>
        <w:t>pagamintos</w:t>
      </w:r>
      <w:r w:rsidRPr="0065344A">
        <w:rPr>
          <w:i/>
          <w:iCs/>
          <w:lang w:val="lt-LT" w:eastAsia="lt-LT"/>
        </w:rPr>
        <w:t xml:space="preserve"> </w:t>
      </w:r>
      <w:r w:rsidRPr="0065344A">
        <w:rPr>
          <w:lang w:val="lt-LT" w:eastAsia="lt-LT"/>
        </w:rPr>
        <w:t>produkcijos</w:t>
      </w:r>
      <w:r w:rsidRPr="0065344A">
        <w:rPr>
          <w:i/>
          <w:iCs/>
          <w:lang w:val="lt-LT" w:eastAsia="lt-LT"/>
        </w:rPr>
        <w:t xml:space="preserve"> </w:t>
      </w:r>
      <w:r w:rsidRPr="0065344A">
        <w:rPr>
          <w:lang w:val="lt-LT" w:eastAsia="lt-LT"/>
        </w:rPr>
        <w:t>kokybę,</w:t>
      </w:r>
      <w:r w:rsidRPr="0065344A">
        <w:rPr>
          <w:i/>
          <w:iCs/>
          <w:lang w:val="lt-LT" w:eastAsia="lt-LT"/>
        </w:rPr>
        <w:t xml:space="preserve"> </w:t>
      </w:r>
      <w:r w:rsidRPr="0065344A">
        <w:rPr>
          <w:lang w:val="lt-LT" w:eastAsia="lt-LT"/>
        </w:rPr>
        <w:t>pirkėjų</w:t>
      </w:r>
      <w:r w:rsidRPr="0065344A">
        <w:rPr>
          <w:i/>
          <w:iCs/>
          <w:lang w:val="lt-LT" w:eastAsia="lt-LT"/>
        </w:rPr>
        <w:t xml:space="preserve"> </w:t>
      </w:r>
      <w:r w:rsidRPr="0065344A">
        <w:rPr>
          <w:lang w:val="lt-LT" w:eastAsia="lt-LT"/>
        </w:rPr>
        <w:t>apklausos</w:t>
      </w:r>
      <w:r w:rsidRPr="0065344A">
        <w:rPr>
          <w:i/>
          <w:iCs/>
          <w:lang w:val="lt-LT" w:eastAsia="lt-LT"/>
        </w:rPr>
        <w:t xml:space="preserve"> </w:t>
      </w:r>
      <w:r w:rsidRPr="0065344A">
        <w:rPr>
          <w:lang w:val="lt-LT" w:eastAsia="lt-LT"/>
        </w:rPr>
        <w:t>rezultatai,</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sutartys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p>
    <w:p w14:paraId="651E2F22" w14:textId="77777777" w:rsidR="00093845" w:rsidRDefault="000D779E">
      <w:pPr>
        <w:ind w:firstLine="993"/>
        <w:jc w:val="both"/>
        <w:rPr>
          <w:lang w:eastAsia="lt-LT"/>
        </w:rPr>
      </w:pPr>
      <w:r>
        <w:rPr>
          <w:b/>
          <w:bCs/>
          <w:lang w:eastAsia="lt-LT"/>
        </w:rPr>
        <w:t>6.13.</w:t>
      </w:r>
      <w:r>
        <w:rPr>
          <w:b/>
          <w:bCs/>
          <w:i/>
          <w:iCs/>
          <w:lang w:eastAsia="lt-LT"/>
        </w:rPr>
        <w:t xml:space="preserve"> </w:t>
      </w:r>
      <w:r>
        <w:rPr>
          <w:b/>
          <w:bCs/>
          <w:lang w:eastAsia="lt-LT"/>
        </w:rPr>
        <w:t>Dėl</w:t>
      </w:r>
      <w:r>
        <w:rPr>
          <w:b/>
          <w:bCs/>
          <w:i/>
          <w:iCs/>
          <w:lang w:eastAsia="lt-LT"/>
        </w:rPr>
        <w:t xml:space="preserve"> </w:t>
      </w:r>
      <w:r>
        <w:rPr>
          <w:b/>
          <w:bCs/>
          <w:lang w:eastAsia="lt-LT"/>
        </w:rPr>
        <w:t>konsultacinių,</w:t>
      </w:r>
      <w:r>
        <w:rPr>
          <w:b/>
          <w:bCs/>
          <w:i/>
          <w:iCs/>
          <w:lang w:eastAsia="lt-LT"/>
        </w:rPr>
        <w:t xml:space="preserve"> </w:t>
      </w:r>
      <w:r>
        <w:rPr>
          <w:b/>
          <w:bCs/>
          <w:lang w:eastAsia="lt-LT"/>
        </w:rPr>
        <w:t>juridinių,</w:t>
      </w:r>
      <w:r>
        <w:rPr>
          <w:b/>
          <w:bCs/>
          <w:i/>
          <w:iCs/>
          <w:lang w:eastAsia="lt-LT"/>
        </w:rPr>
        <w:t xml:space="preserve"> </w:t>
      </w:r>
      <w:r>
        <w:rPr>
          <w:b/>
          <w:bCs/>
          <w:lang w:eastAsia="lt-LT"/>
        </w:rPr>
        <w:t>informacinių</w:t>
      </w:r>
      <w:r>
        <w:rPr>
          <w:b/>
          <w:bCs/>
          <w:i/>
          <w:iCs/>
          <w:lang w:eastAsia="lt-LT"/>
        </w:rPr>
        <w:t xml:space="preserve"> </w:t>
      </w:r>
      <w:r>
        <w:rPr>
          <w:b/>
          <w:bCs/>
          <w:lang w:eastAsia="lt-LT"/>
        </w:rPr>
        <w:t>ir</w:t>
      </w:r>
      <w:r>
        <w:rPr>
          <w:b/>
          <w:bCs/>
          <w:i/>
          <w:iCs/>
          <w:lang w:eastAsia="lt-LT"/>
        </w:rPr>
        <w:t xml:space="preserve"> </w:t>
      </w:r>
      <w:r>
        <w:rPr>
          <w:b/>
          <w:bCs/>
          <w:lang w:eastAsia="lt-LT"/>
        </w:rPr>
        <w:t>pan.</w:t>
      </w:r>
      <w:r>
        <w:rPr>
          <w:b/>
          <w:bCs/>
          <w:i/>
          <w:iCs/>
          <w:lang w:eastAsia="lt-LT"/>
        </w:rPr>
        <w:t xml:space="preserve"> </w:t>
      </w:r>
      <w:r>
        <w:rPr>
          <w:b/>
          <w:bCs/>
          <w:lang w:eastAsia="lt-LT"/>
        </w:rPr>
        <w:t>išlaidų.</w:t>
      </w:r>
    </w:p>
    <w:p w14:paraId="520307D0"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konsultacinės,</w:t>
      </w:r>
      <w:r>
        <w:rPr>
          <w:i/>
          <w:iCs/>
          <w:lang w:eastAsia="lt-LT"/>
        </w:rPr>
        <w:t xml:space="preserve"> </w:t>
      </w:r>
      <w:r>
        <w:rPr>
          <w:lang w:eastAsia="lt-LT"/>
        </w:rPr>
        <w:t>juridinės,</w:t>
      </w:r>
      <w:r>
        <w:rPr>
          <w:i/>
          <w:iCs/>
          <w:lang w:eastAsia="lt-LT"/>
        </w:rPr>
        <w:t xml:space="preserve"> </w:t>
      </w:r>
      <w:r>
        <w:rPr>
          <w:lang w:eastAsia="lt-LT"/>
        </w:rPr>
        <w:t>informacinės</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audito,</w:t>
      </w:r>
      <w:r>
        <w:rPr>
          <w:i/>
          <w:iCs/>
          <w:lang w:eastAsia="lt-LT"/>
        </w:rPr>
        <w:t xml:space="preserve"> </w:t>
      </w:r>
      <w:r>
        <w:rPr>
          <w:lang w:eastAsia="lt-LT"/>
        </w:rPr>
        <w:t>vertinimo,</w:t>
      </w:r>
      <w:r>
        <w:rPr>
          <w:i/>
          <w:iCs/>
          <w:lang w:eastAsia="lt-LT"/>
        </w:rPr>
        <w:t xml:space="preserve"> </w:t>
      </w:r>
      <w:r>
        <w:rPr>
          <w:lang w:eastAsia="lt-LT"/>
        </w:rPr>
        <w:t>sertifikavimo</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paslaugas;</w:t>
      </w:r>
      <w:r>
        <w:rPr>
          <w:i/>
          <w:iCs/>
          <w:lang w:eastAsia="lt-LT"/>
        </w:rPr>
        <w:t xml:space="preserve"> </w:t>
      </w:r>
      <w:r>
        <w:rPr>
          <w:lang w:eastAsia="lt-LT"/>
        </w:rPr>
        <w:t>mokesčiai</w:t>
      </w:r>
      <w:r>
        <w:rPr>
          <w:i/>
          <w:iCs/>
          <w:lang w:eastAsia="lt-LT"/>
        </w:rPr>
        <w:t xml:space="preserve"> </w:t>
      </w:r>
      <w:r>
        <w:rPr>
          <w:lang w:eastAsia="lt-LT"/>
        </w:rPr>
        <w:t>notarui</w:t>
      </w:r>
      <w:r>
        <w:rPr>
          <w:i/>
          <w:iCs/>
          <w:lang w:eastAsia="lt-LT"/>
        </w:rPr>
        <w:t xml:space="preserve"> </w:t>
      </w:r>
      <w:r>
        <w:rPr>
          <w:lang w:eastAsia="lt-LT"/>
        </w:rPr>
        <w:t>už</w:t>
      </w:r>
      <w:r>
        <w:rPr>
          <w:i/>
          <w:iCs/>
          <w:lang w:eastAsia="lt-LT"/>
        </w:rPr>
        <w:t xml:space="preserve"> </w:t>
      </w:r>
      <w:r>
        <w:rPr>
          <w:lang w:eastAsia="lt-LT"/>
        </w:rPr>
        <w:t>dokumentų</w:t>
      </w:r>
      <w:r>
        <w:rPr>
          <w:i/>
          <w:iCs/>
          <w:lang w:eastAsia="lt-LT"/>
        </w:rPr>
        <w:t xml:space="preserve"> </w:t>
      </w:r>
      <w:r>
        <w:rPr>
          <w:lang w:eastAsia="lt-LT"/>
        </w:rPr>
        <w:t>įforminimą;</w:t>
      </w:r>
      <w:r>
        <w:rPr>
          <w:i/>
          <w:iCs/>
          <w:lang w:eastAsia="lt-LT"/>
        </w:rPr>
        <w:t xml:space="preserve"> </w:t>
      </w:r>
      <w:r>
        <w:rPr>
          <w:lang w:eastAsia="lt-LT"/>
        </w:rPr>
        <w:t>išlaidos,</w:t>
      </w:r>
      <w:r>
        <w:rPr>
          <w:i/>
          <w:iCs/>
          <w:lang w:eastAsia="lt-LT"/>
        </w:rPr>
        <w:t xml:space="preserve"> </w:t>
      </w:r>
      <w:r>
        <w:rPr>
          <w:lang w:eastAsia="lt-LT"/>
        </w:rPr>
        <w:t>susijusios</w:t>
      </w:r>
      <w:r>
        <w:rPr>
          <w:i/>
          <w:iCs/>
          <w:lang w:eastAsia="lt-LT"/>
        </w:rPr>
        <w:t xml:space="preserve"> </w:t>
      </w:r>
      <w:r>
        <w:rPr>
          <w:lang w:eastAsia="lt-LT"/>
        </w:rPr>
        <w:t>su</w:t>
      </w:r>
      <w:r>
        <w:rPr>
          <w:i/>
          <w:iCs/>
          <w:lang w:eastAsia="lt-LT"/>
        </w:rPr>
        <w:t xml:space="preserve"> </w:t>
      </w:r>
      <w:r>
        <w:rPr>
          <w:lang w:eastAsia="lt-LT"/>
        </w:rPr>
        <w:t>bylų</w:t>
      </w:r>
      <w:r>
        <w:rPr>
          <w:i/>
          <w:iCs/>
          <w:lang w:eastAsia="lt-LT"/>
        </w:rPr>
        <w:t xml:space="preserve"> </w:t>
      </w:r>
      <w:r>
        <w:rPr>
          <w:lang w:eastAsia="lt-LT"/>
        </w:rPr>
        <w:t>nagrinėjimu</w:t>
      </w:r>
      <w:r>
        <w:rPr>
          <w:i/>
          <w:iCs/>
          <w:lang w:eastAsia="lt-LT"/>
        </w:rPr>
        <w:t xml:space="preserve"> </w:t>
      </w:r>
      <w:r>
        <w:rPr>
          <w:lang w:eastAsia="lt-LT"/>
        </w:rPr>
        <w:t>teismuose,</w:t>
      </w:r>
      <w:r>
        <w:rPr>
          <w:i/>
          <w:iCs/>
          <w:lang w:eastAsia="lt-LT"/>
        </w:rPr>
        <w:t xml:space="preserve"> </w:t>
      </w:r>
      <w:r>
        <w:rPr>
          <w:lang w:eastAsia="lt-LT"/>
        </w:rPr>
        <w:t>arbitraže</w:t>
      </w:r>
      <w:r>
        <w:rPr>
          <w:i/>
          <w:iCs/>
          <w:lang w:eastAsia="lt-LT"/>
        </w:rPr>
        <w:t xml:space="preserve"> </w:t>
      </w:r>
      <w:r>
        <w:rPr>
          <w:lang w:eastAsia="lt-LT"/>
        </w:rPr>
        <w:t>ir</w:t>
      </w:r>
      <w:r>
        <w:rPr>
          <w:i/>
          <w:iCs/>
          <w:lang w:eastAsia="lt-LT"/>
        </w:rPr>
        <w:t xml:space="preserve"> </w:t>
      </w:r>
      <w:r>
        <w:rPr>
          <w:lang w:eastAsia="lt-LT"/>
        </w:rPr>
        <w:t>ikiteisminiuose</w:t>
      </w:r>
      <w:r>
        <w:rPr>
          <w:i/>
          <w:iCs/>
          <w:lang w:eastAsia="lt-LT"/>
        </w:rPr>
        <w:t xml:space="preserve"> </w:t>
      </w:r>
      <w:r>
        <w:rPr>
          <w:lang w:eastAsia="lt-LT"/>
        </w:rPr>
        <w:t>ginčuose,</w:t>
      </w:r>
      <w:r>
        <w:rPr>
          <w:i/>
          <w:iCs/>
          <w:lang w:eastAsia="lt-LT"/>
        </w:rPr>
        <w:t xml:space="preserve"> </w:t>
      </w:r>
      <w:r>
        <w:rPr>
          <w:lang w:eastAsia="lt-LT"/>
        </w:rPr>
        <w:t>finansinės</w:t>
      </w:r>
      <w:r>
        <w:rPr>
          <w:i/>
          <w:iCs/>
          <w:lang w:eastAsia="lt-LT"/>
        </w:rPr>
        <w:t xml:space="preserve"> </w:t>
      </w:r>
      <w:r>
        <w:rPr>
          <w:lang w:eastAsia="lt-LT"/>
        </w:rPr>
        <w:t>atskaitomybės</w:t>
      </w:r>
      <w:r>
        <w:rPr>
          <w:i/>
          <w:iCs/>
          <w:lang w:eastAsia="lt-LT"/>
        </w:rPr>
        <w:t xml:space="preserve"> </w:t>
      </w:r>
      <w:r>
        <w:rPr>
          <w:lang w:eastAsia="lt-LT"/>
        </w:rPr>
        <w:t>skelbimo</w:t>
      </w:r>
      <w:r>
        <w:rPr>
          <w:i/>
          <w:iCs/>
          <w:lang w:eastAsia="lt-LT"/>
        </w:rPr>
        <w:t xml:space="preserve"> </w:t>
      </w:r>
      <w:r>
        <w:rPr>
          <w:lang w:eastAsia="lt-LT"/>
        </w:rPr>
        <w:t>išlaidos,</w:t>
      </w:r>
      <w:r>
        <w:rPr>
          <w:i/>
          <w:iCs/>
          <w:lang w:eastAsia="lt-LT"/>
        </w:rPr>
        <w:t xml:space="preserve"> </w:t>
      </w:r>
      <w:r>
        <w:rPr>
          <w:lang w:eastAsia="lt-LT"/>
        </w:rPr>
        <w:t>spaudos</w:t>
      </w:r>
      <w:r>
        <w:rPr>
          <w:i/>
          <w:iCs/>
          <w:lang w:eastAsia="lt-LT"/>
        </w:rPr>
        <w:t xml:space="preserve"> </w:t>
      </w:r>
      <w:r>
        <w:rPr>
          <w:lang w:eastAsia="lt-LT"/>
        </w:rPr>
        <w:t>leidinių,</w:t>
      </w:r>
      <w:r>
        <w:rPr>
          <w:i/>
          <w:iCs/>
          <w:lang w:eastAsia="lt-LT"/>
        </w:rPr>
        <w:t xml:space="preserve"> </w:t>
      </w:r>
      <w:r>
        <w:rPr>
          <w:lang w:eastAsia="lt-LT"/>
        </w:rPr>
        <w:t>techninės,</w:t>
      </w:r>
      <w:r>
        <w:rPr>
          <w:i/>
          <w:iCs/>
          <w:lang w:eastAsia="lt-LT"/>
        </w:rPr>
        <w:t xml:space="preserve"> </w:t>
      </w:r>
      <w:r>
        <w:rPr>
          <w:lang w:eastAsia="lt-LT"/>
        </w:rPr>
        <w:t>metodinės</w:t>
      </w:r>
      <w:r>
        <w:rPr>
          <w:i/>
          <w:iCs/>
          <w:lang w:eastAsia="lt-LT"/>
        </w:rPr>
        <w:t xml:space="preserve"> </w:t>
      </w:r>
      <w:r>
        <w:rPr>
          <w:lang w:eastAsia="lt-LT"/>
        </w:rPr>
        <w:t>ir</w:t>
      </w:r>
      <w:r>
        <w:rPr>
          <w:i/>
          <w:iCs/>
          <w:lang w:eastAsia="lt-LT"/>
        </w:rPr>
        <w:t xml:space="preserve"> </w:t>
      </w:r>
      <w:r>
        <w:rPr>
          <w:lang w:eastAsia="lt-LT"/>
        </w:rPr>
        <w:t>kitų</w:t>
      </w:r>
      <w:r>
        <w:rPr>
          <w:i/>
          <w:iCs/>
          <w:lang w:eastAsia="lt-LT"/>
        </w:rPr>
        <w:t xml:space="preserve"> </w:t>
      </w:r>
      <w:r>
        <w:rPr>
          <w:lang w:eastAsia="lt-LT"/>
        </w:rPr>
        <w:t>informacinio</w:t>
      </w:r>
      <w:r>
        <w:rPr>
          <w:i/>
          <w:iCs/>
          <w:lang w:eastAsia="lt-LT"/>
        </w:rPr>
        <w:t xml:space="preserve"> </w:t>
      </w:r>
      <w:r>
        <w:rPr>
          <w:lang w:eastAsia="lt-LT"/>
        </w:rPr>
        <w:t>pobūdžio</w:t>
      </w:r>
      <w:r>
        <w:rPr>
          <w:i/>
          <w:iCs/>
          <w:lang w:eastAsia="lt-LT"/>
        </w:rPr>
        <w:t xml:space="preserve"> </w:t>
      </w:r>
      <w:r>
        <w:rPr>
          <w:lang w:eastAsia="lt-LT"/>
        </w:rPr>
        <w:t>įmonės</w:t>
      </w:r>
      <w:r>
        <w:rPr>
          <w:i/>
          <w:iCs/>
          <w:lang w:eastAsia="lt-LT"/>
        </w:rPr>
        <w:t xml:space="preserve"> </w:t>
      </w:r>
      <w:r>
        <w:rPr>
          <w:lang w:eastAsia="lt-LT"/>
        </w:rPr>
        <w:t>veiklai</w:t>
      </w:r>
      <w:r>
        <w:rPr>
          <w:i/>
          <w:iCs/>
          <w:lang w:eastAsia="lt-LT"/>
        </w:rPr>
        <w:t xml:space="preserve"> </w:t>
      </w:r>
      <w:r>
        <w:rPr>
          <w:lang w:eastAsia="lt-LT"/>
        </w:rPr>
        <w:t>vykdyti</w:t>
      </w:r>
      <w:r>
        <w:rPr>
          <w:i/>
          <w:iCs/>
          <w:lang w:eastAsia="lt-LT"/>
        </w:rPr>
        <w:t xml:space="preserve"> </w:t>
      </w:r>
      <w:r>
        <w:rPr>
          <w:lang w:eastAsia="lt-LT"/>
        </w:rPr>
        <w:t>reikalingų</w:t>
      </w:r>
      <w:r>
        <w:rPr>
          <w:i/>
          <w:iCs/>
          <w:lang w:eastAsia="lt-LT"/>
        </w:rPr>
        <w:t xml:space="preserve"> </w:t>
      </w:r>
      <w:r>
        <w:rPr>
          <w:lang w:eastAsia="lt-LT"/>
        </w:rPr>
        <w:t>leidinių</w:t>
      </w:r>
      <w:r>
        <w:rPr>
          <w:i/>
          <w:iCs/>
          <w:lang w:eastAsia="lt-LT"/>
        </w:rPr>
        <w:t xml:space="preserve"> </w:t>
      </w:r>
      <w:r>
        <w:rPr>
          <w:lang w:eastAsia="lt-LT"/>
        </w:rPr>
        <w:t>įsigijimo</w:t>
      </w:r>
      <w:r>
        <w:rPr>
          <w:i/>
          <w:iCs/>
          <w:lang w:eastAsia="lt-LT"/>
        </w:rPr>
        <w:t xml:space="preserve"> </w:t>
      </w:r>
      <w:r>
        <w:rPr>
          <w:lang w:eastAsia="lt-LT"/>
        </w:rPr>
        <w:t>bei</w:t>
      </w:r>
      <w:r>
        <w:rPr>
          <w:i/>
          <w:iCs/>
          <w:lang w:eastAsia="lt-LT"/>
        </w:rPr>
        <w:t xml:space="preserve"> </w:t>
      </w:r>
      <w:r>
        <w:rPr>
          <w:lang w:eastAsia="lt-LT"/>
        </w:rPr>
        <w:t>prenumeravimo,</w:t>
      </w:r>
      <w:r>
        <w:rPr>
          <w:i/>
          <w:iCs/>
          <w:lang w:eastAsia="lt-LT"/>
        </w:rPr>
        <w:t xml:space="preserve"> </w:t>
      </w:r>
      <w:r>
        <w:rPr>
          <w:lang w:eastAsia="lt-LT"/>
        </w:rPr>
        <w:t>muitinės</w:t>
      </w:r>
      <w:r>
        <w:rPr>
          <w:i/>
          <w:iCs/>
          <w:lang w:eastAsia="lt-LT"/>
        </w:rPr>
        <w:t xml:space="preserve"> </w:t>
      </w:r>
      <w:r>
        <w:rPr>
          <w:lang w:eastAsia="lt-LT"/>
        </w:rPr>
        <w:t>dokumentų</w:t>
      </w:r>
      <w:r>
        <w:rPr>
          <w:i/>
          <w:iCs/>
          <w:lang w:eastAsia="lt-LT"/>
        </w:rPr>
        <w:t xml:space="preserve"> </w:t>
      </w:r>
      <w:r>
        <w:rPr>
          <w:lang w:eastAsia="lt-LT"/>
        </w:rPr>
        <w:t>rengimo</w:t>
      </w:r>
      <w:r>
        <w:rPr>
          <w:i/>
          <w:iCs/>
          <w:lang w:eastAsia="lt-LT"/>
        </w:rPr>
        <w:t xml:space="preserve"> </w:t>
      </w:r>
      <w:r>
        <w:rPr>
          <w:lang w:eastAsia="lt-LT"/>
        </w:rPr>
        <w:t>išlaidos.</w:t>
      </w:r>
    </w:p>
    <w:p w14:paraId="594F95F2" w14:textId="77777777" w:rsidR="00093845" w:rsidRDefault="000D779E" w:rsidP="00DE764D">
      <w:pPr>
        <w:spacing w:after="0"/>
        <w:ind w:firstLine="992"/>
        <w:jc w:val="both"/>
        <w:rPr>
          <w:lang w:eastAsia="lt-LT"/>
        </w:rPr>
      </w:pPr>
      <w:r>
        <w:rPr>
          <w:lang w:eastAsia="lt-LT"/>
        </w:rPr>
        <w:t>Atlikto</w:t>
      </w:r>
      <w:r>
        <w:rPr>
          <w:i/>
          <w:iCs/>
          <w:lang w:eastAsia="lt-LT"/>
        </w:rPr>
        <w:t xml:space="preserve"> </w:t>
      </w:r>
      <w:r>
        <w:rPr>
          <w:lang w:eastAsia="lt-LT"/>
        </w:rPr>
        <w:t>finansinės</w:t>
      </w:r>
      <w:r>
        <w:rPr>
          <w:i/>
          <w:iCs/>
          <w:lang w:eastAsia="lt-LT"/>
        </w:rPr>
        <w:t xml:space="preserve"> </w:t>
      </w:r>
      <w:r>
        <w:rPr>
          <w:lang w:eastAsia="lt-LT"/>
        </w:rPr>
        <w:t>veiklos</w:t>
      </w:r>
      <w:r>
        <w:rPr>
          <w:i/>
          <w:iCs/>
          <w:lang w:eastAsia="lt-LT"/>
        </w:rPr>
        <w:t xml:space="preserve"> </w:t>
      </w:r>
      <w:r>
        <w:rPr>
          <w:lang w:eastAsia="lt-LT"/>
        </w:rPr>
        <w:t>audito</w:t>
      </w:r>
      <w:r>
        <w:rPr>
          <w:i/>
          <w:iCs/>
          <w:lang w:eastAsia="lt-LT"/>
        </w:rPr>
        <w:t xml:space="preserve"> </w:t>
      </w:r>
      <w:r>
        <w:rPr>
          <w:lang w:eastAsia="lt-LT"/>
        </w:rPr>
        <w:t>sąnaudas</w:t>
      </w:r>
      <w:r>
        <w:rPr>
          <w:i/>
          <w:iCs/>
          <w:lang w:eastAsia="lt-LT"/>
        </w:rPr>
        <w:t xml:space="preserve"> </w:t>
      </w:r>
      <w:r>
        <w:rPr>
          <w:lang w:eastAsia="lt-LT"/>
        </w:rPr>
        <w:t>įmonė</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priskirti</w:t>
      </w:r>
      <w:r>
        <w:rPr>
          <w:i/>
          <w:iCs/>
          <w:lang w:eastAsia="lt-LT"/>
        </w:rPr>
        <w:t xml:space="preserve"> </w:t>
      </w:r>
      <w:r>
        <w:rPr>
          <w:lang w:eastAsia="lt-LT"/>
        </w:rPr>
        <w:t>ir</w:t>
      </w:r>
      <w:r>
        <w:rPr>
          <w:i/>
          <w:iCs/>
          <w:lang w:eastAsia="lt-LT"/>
        </w:rPr>
        <w:t xml:space="preserve"> </w:t>
      </w:r>
      <w:r>
        <w:rPr>
          <w:lang w:eastAsia="lt-LT"/>
        </w:rPr>
        <w:t>iš</w:t>
      </w:r>
      <w:r>
        <w:rPr>
          <w:i/>
          <w:iCs/>
          <w:lang w:eastAsia="lt-LT"/>
        </w:rPr>
        <w:t xml:space="preserve"> </w:t>
      </w:r>
      <w:r>
        <w:rPr>
          <w:lang w:eastAsia="lt-LT"/>
        </w:rPr>
        <w:t>pajamų</w:t>
      </w:r>
      <w:r>
        <w:rPr>
          <w:i/>
          <w:iCs/>
          <w:lang w:eastAsia="lt-LT"/>
        </w:rPr>
        <w:t xml:space="preserve"> </w:t>
      </w:r>
      <w:r>
        <w:rPr>
          <w:lang w:eastAsia="lt-LT"/>
        </w:rPr>
        <w:t>atskaityti</w:t>
      </w:r>
      <w:r>
        <w:rPr>
          <w:i/>
          <w:iCs/>
          <w:lang w:eastAsia="lt-LT"/>
        </w:rPr>
        <w:t xml:space="preserve"> </w:t>
      </w:r>
      <w:r>
        <w:rPr>
          <w:lang w:eastAsia="lt-LT"/>
        </w:rPr>
        <w:t>gali:</w:t>
      </w:r>
    </w:p>
    <w:p w14:paraId="5D384785" w14:textId="77777777" w:rsidR="00093845" w:rsidRDefault="000D779E" w:rsidP="00DE764D">
      <w:pPr>
        <w:spacing w:after="0"/>
        <w:ind w:firstLine="992"/>
        <w:jc w:val="both"/>
        <w:rPr>
          <w:lang w:eastAsia="lt-LT"/>
        </w:rPr>
      </w:pPr>
      <w:r>
        <w:rPr>
          <w:lang w:eastAsia="lt-LT"/>
        </w:rPr>
        <w:t>–</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audito</w:t>
      </w:r>
      <w:r>
        <w:rPr>
          <w:i/>
          <w:iCs/>
          <w:lang w:eastAsia="lt-LT"/>
        </w:rPr>
        <w:t xml:space="preserve"> </w:t>
      </w:r>
      <w:r>
        <w:rPr>
          <w:lang w:eastAsia="lt-LT"/>
        </w:rPr>
        <w:t>paslaugos</w:t>
      </w:r>
      <w:r>
        <w:rPr>
          <w:i/>
          <w:iCs/>
          <w:lang w:eastAsia="lt-LT"/>
        </w:rPr>
        <w:t xml:space="preserve"> </w:t>
      </w:r>
      <w:r>
        <w:rPr>
          <w:lang w:eastAsia="lt-LT"/>
        </w:rPr>
        <w:t>buvo</w:t>
      </w:r>
      <w:r>
        <w:rPr>
          <w:i/>
          <w:iCs/>
          <w:lang w:eastAsia="lt-LT"/>
        </w:rPr>
        <w:t xml:space="preserve"> </w:t>
      </w:r>
      <w:r>
        <w:rPr>
          <w:lang w:eastAsia="lt-LT"/>
        </w:rPr>
        <w:t>atliktos,</w:t>
      </w:r>
    </w:p>
    <w:p w14:paraId="531C94A7" w14:textId="77777777" w:rsidR="00093845" w:rsidRDefault="000D779E" w:rsidP="00DE764D">
      <w:pPr>
        <w:spacing w:after="0"/>
        <w:ind w:firstLine="992"/>
        <w:jc w:val="both"/>
        <w:rPr>
          <w:lang w:eastAsia="lt-LT"/>
        </w:rPr>
      </w:pPr>
      <w:r>
        <w:rPr>
          <w:lang w:eastAsia="lt-LT"/>
        </w:rPr>
        <w:t>arba</w:t>
      </w:r>
    </w:p>
    <w:p w14:paraId="0A7FB49F" w14:textId="77777777" w:rsidR="00093845" w:rsidRDefault="000D779E" w:rsidP="00DE764D">
      <w:pPr>
        <w:spacing w:after="0"/>
        <w:ind w:firstLine="992"/>
        <w:jc w:val="both"/>
        <w:rPr>
          <w:lang w:eastAsia="lt-LT"/>
        </w:rPr>
      </w:pPr>
      <w:r>
        <w:rPr>
          <w:lang w:eastAsia="lt-LT"/>
        </w:rPr>
        <w:t>–</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už</w:t>
      </w:r>
      <w:r>
        <w:rPr>
          <w:i/>
          <w:iCs/>
          <w:lang w:eastAsia="lt-LT"/>
        </w:rPr>
        <w:t xml:space="preserve"> </w:t>
      </w:r>
      <w:r>
        <w:rPr>
          <w:lang w:eastAsia="lt-LT"/>
        </w:rPr>
        <w:t>kurį</w:t>
      </w:r>
      <w:r>
        <w:rPr>
          <w:i/>
          <w:iCs/>
          <w:lang w:eastAsia="lt-LT"/>
        </w:rPr>
        <w:t xml:space="preserve"> </w:t>
      </w:r>
      <w:r>
        <w:rPr>
          <w:lang w:eastAsia="lt-LT"/>
        </w:rPr>
        <w:t>auditas</w:t>
      </w:r>
      <w:r>
        <w:rPr>
          <w:i/>
          <w:iCs/>
          <w:lang w:eastAsia="lt-LT"/>
        </w:rPr>
        <w:t xml:space="preserve"> </w:t>
      </w:r>
      <w:r>
        <w:rPr>
          <w:lang w:eastAsia="lt-LT"/>
        </w:rPr>
        <w:t>buvo</w:t>
      </w:r>
      <w:r>
        <w:rPr>
          <w:i/>
          <w:iCs/>
          <w:lang w:eastAsia="lt-LT"/>
        </w:rPr>
        <w:t xml:space="preserve"> </w:t>
      </w:r>
      <w:r>
        <w:rPr>
          <w:lang w:eastAsia="lt-LT"/>
        </w:rPr>
        <w:t>atliktas.</w:t>
      </w:r>
    </w:p>
    <w:p w14:paraId="6040E517" w14:textId="77777777" w:rsidR="008A55B2" w:rsidRDefault="008A55B2" w:rsidP="00DE764D">
      <w:pPr>
        <w:spacing w:after="0"/>
        <w:ind w:firstLine="992"/>
        <w:jc w:val="both"/>
        <w:rPr>
          <w:lang w:eastAsia="lt-LT"/>
        </w:rPr>
      </w:pPr>
    </w:p>
    <w:p w14:paraId="34A19F70" w14:textId="77777777" w:rsidR="00093845" w:rsidRDefault="000D779E">
      <w:pPr>
        <w:ind w:firstLine="993"/>
        <w:jc w:val="both"/>
        <w:rPr>
          <w:lang w:eastAsia="lt-LT"/>
        </w:rPr>
      </w:pPr>
      <w:r>
        <w:rPr>
          <w:b/>
          <w:bCs/>
          <w:lang w:eastAsia="lt-LT"/>
        </w:rPr>
        <w:t>6.14.</w:t>
      </w:r>
      <w:r>
        <w:rPr>
          <w:b/>
          <w:bCs/>
          <w:i/>
          <w:iCs/>
          <w:lang w:eastAsia="lt-LT"/>
        </w:rPr>
        <w:t xml:space="preserve"> </w:t>
      </w:r>
      <w:r>
        <w:rPr>
          <w:b/>
          <w:bCs/>
          <w:lang w:eastAsia="lt-LT"/>
        </w:rPr>
        <w:t>Dėl</w:t>
      </w:r>
      <w:r>
        <w:rPr>
          <w:b/>
          <w:bCs/>
          <w:iCs/>
          <w:lang w:eastAsia="lt-LT"/>
        </w:rPr>
        <w:t xml:space="preserve"> darbuotojų</w:t>
      </w:r>
      <w:r>
        <w:rPr>
          <w:b/>
          <w:bCs/>
          <w:i/>
          <w:iCs/>
          <w:lang w:eastAsia="lt-LT"/>
        </w:rPr>
        <w:t xml:space="preserve"> </w:t>
      </w:r>
      <w:r>
        <w:rPr>
          <w:b/>
          <w:bCs/>
          <w:lang w:eastAsia="lt-LT"/>
        </w:rPr>
        <w:t>rengimo</w:t>
      </w:r>
      <w:r>
        <w:rPr>
          <w:b/>
          <w:bCs/>
          <w:i/>
          <w:iCs/>
          <w:lang w:eastAsia="lt-LT"/>
        </w:rPr>
        <w:t xml:space="preserve"> </w:t>
      </w:r>
      <w:r>
        <w:rPr>
          <w:b/>
          <w:bCs/>
          <w:lang w:eastAsia="lt-LT"/>
        </w:rPr>
        <w:t>ir</w:t>
      </w:r>
      <w:r>
        <w:rPr>
          <w:b/>
          <w:bCs/>
          <w:i/>
          <w:iCs/>
          <w:lang w:eastAsia="lt-LT"/>
        </w:rPr>
        <w:t xml:space="preserve"> </w:t>
      </w:r>
      <w:r>
        <w:rPr>
          <w:b/>
          <w:bCs/>
          <w:lang w:eastAsia="lt-LT"/>
        </w:rPr>
        <w:t>kvalifikacijos</w:t>
      </w:r>
      <w:r>
        <w:rPr>
          <w:b/>
          <w:bCs/>
          <w:i/>
          <w:iCs/>
          <w:lang w:eastAsia="lt-LT"/>
        </w:rPr>
        <w:t xml:space="preserve"> </w:t>
      </w:r>
      <w:r>
        <w:rPr>
          <w:b/>
          <w:bCs/>
          <w:lang w:eastAsia="lt-LT"/>
        </w:rPr>
        <w:t>kėlimo</w:t>
      </w:r>
      <w:r>
        <w:rPr>
          <w:b/>
          <w:bCs/>
          <w:i/>
          <w:iCs/>
          <w:lang w:eastAsia="lt-LT"/>
        </w:rPr>
        <w:t xml:space="preserve"> </w:t>
      </w:r>
      <w:r>
        <w:rPr>
          <w:b/>
          <w:bCs/>
          <w:lang w:eastAsia="lt-LT"/>
        </w:rPr>
        <w:t>išlaidų.</w:t>
      </w:r>
    </w:p>
    <w:p w14:paraId="376E5DBC"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iCs/>
          <w:lang w:eastAsia="lt-LT"/>
        </w:rPr>
        <w:t>darbuotojų</w:t>
      </w:r>
      <w:r>
        <w:rPr>
          <w:i/>
          <w:iCs/>
          <w:lang w:eastAsia="lt-LT"/>
        </w:rPr>
        <w:t xml:space="preserve"> </w:t>
      </w:r>
      <w:r>
        <w:rPr>
          <w:lang w:eastAsia="lt-LT"/>
        </w:rPr>
        <w:t>rengimo</w:t>
      </w:r>
      <w:r>
        <w:rPr>
          <w:i/>
          <w:iCs/>
          <w:lang w:eastAsia="lt-LT"/>
        </w:rPr>
        <w:t xml:space="preserve"> </w:t>
      </w:r>
      <w:r>
        <w:rPr>
          <w:lang w:eastAsia="lt-LT"/>
        </w:rPr>
        <w:t>ir</w:t>
      </w:r>
      <w:r>
        <w:rPr>
          <w:i/>
          <w:iCs/>
          <w:lang w:eastAsia="lt-LT"/>
        </w:rPr>
        <w:t xml:space="preserve"> </w:t>
      </w:r>
      <w:r>
        <w:rPr>
          <w:lang w:eastAsia="lt-LT"/>
        </w:rPr>
        <w:t>perkvalifikavimo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personalo</w:t>
      </w:r>
      <w:r>
        <w:rPr>
          <w:i/>
          <w:iCs/>
          <w:lang w:eastAsia="lt-LT"/>
        </w:rPr>
        <w:t xml:space="preserve"> </w:t>
      </w:r>
      <w:r>
        <w:rPr>
          <w:lang w:eastAsia="lt-LT"/>
        </w:rPr>
        <w:t>apmokymą</w:t>
      </w:r>
      <w:r>
        <w:rPr>
          <w:i/>
          <w:iCs/>
          <w:lang w:eastAsia="lt-LT"/>
        </w:rPr>
        <w:t xml:space="preserve"> </w:t>
      </w:r>
      <w:r>
        <w:rPr>
          <w:lang w:eastAsia="lt-LT"/>
        </w:rPr>
        <w:t>dirbti</w:t>
      </w:r>
      <w:r>
        <w:rPr>
          <w:i/>
          <w:iCs/>
          <w:lang w:eastAsia="lt-LT"/>
        </w:rPr>
        <w:t xml:space="preserve"> </w:t>
      </w:r>
      <w:r>
        <w:rPr>
          <w:lang w:eastAsia="lt-LT"/>
        </w:rPr>
        <w:t>įrengimais,</w:t>
      </w:r>
      <w:r>
        <w:rPr>
          <w:i/>
          <w:iCs/>
          <w:lang w:eastAsia="lt-LT"/>
        </w:rPr>
        <w:t xml:space="preserve"> </w:t>
      </w:r>
      <w:r>
        <w:rPr>
          <w:lang w:eastAsia="lt-LT"/>
        </w:rPr>
        <w:t>įvaldyti</w:t>
      </w:r>
      <w:r>
        <w:rPr>
          <w:i/>
          <w:iCs/>
          <w:lang w:eastAsia="lt-LT"/>
        </w:rPr>
        <w:t xml:space="preserve"> </w:t>
      </w:r>
      <w:r>
        <w:rPr>
          <w:lang w:eastAsia="lt-LT"/>
        </w:rPr>
        <w:t>(diegti)</w:t>
      </w:r>
      <w:r>
        <w:rPr>
          <w:i/>
          <w:iCs/>
          <w:lang w:eastAsia="lt-LT"/>
        </w:rPr>
        <w:t xml:space="preserve"> </w:t>
      </w:r>
      <w:r>
        <w:rPr>
          <w:lang w:eastAsia="lt-LT"/>
        </w:rPr>
        <w:t>naujas</w:t>
      </w:r>
      <w:r>
        <w:rPr>
          <w:i/>
          <w:iCs/>
          <w:lang w:eastAsia="lt-LT"/>
        </w:rPr>
        <w:t xml:space="preserve"> </w:t>
      </w:r>
      <w:r>
        <w:rPr>
          <w:lang w:eastAsia="lt-LT"/>
        </w:rPr>
        <w:t>technologijas,</w:t>
      </w:r>
      <w:r>
        <w:rPr>
          <w:i/>
          <w:iCs/>
          <w:lang w:eastAsia="lt-LT"/>
        </w:rPr>
        <w:t xml:space="preserve"> </w:t>
      </w:r>
      <w:r>
        <w:rPr>
          <w:lang w:eastAsia="lt-LT"/>
        </w:rPr>
        <w:t>darbuotojų</w:t>
      </w:r>
      <w:r>
        <w:rPr>
          <w:i/>
          <w:iCs/>
          <w:lang w:eastAsia="lt-LT"/>
        </w:rPr>
        <w:t xml:space="preserve"> </w:t>
      </w:r>
      <w:r>
        <w:rPr>
          <w:lang w:eastAsia="lt-LT"/>
        </w:rPr>
        <w:t>kvalifikacijos</w:t>
      </w:r>
      <w:r>
        <w:rPr>
          <w:i/>
          <w:iCs/>
          <w:lang w:eastAsia="lt-LT"/>
        </w:rPr>
        <w:t xml:space="preserve"> </w:t>
      </w:r>
      <w:r>
        <w:rPr>
          <w:lang w:eastAsia="lt-LT"/>
        </w:rPr>
        <w:t>kėlimo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užsienio</w:t>
      </w:r>
      <w:r>
        <w:rPr>
          <w:i/>
          <w:iCs/>
          <w:lang w:eastAsia="lt-LT"/>
        </w:rPr>
        <w:t xml:space="preserve"> </w:t>
      </w:r>
      <w:r>
        <w:rPr>
          <w:lang w:eastAsia="lt-LT"/>
        </w:rPr>
        <w:t>kalbų</w:t>
      </w:r>
      <w:r>
        <w:rPr>
          <w:i/>
          <w:iCs/>
          <w:lang w:eastAsia="lt-LT"/>
        </w:rPr>
        <w:t xml:space="preserve"> </w:t>
      </w:r>
      <w:r>
        <w:rPr>
          <w:lang w:eastAsia="lt-LT"/>
        </w:rPr>
        <w:t>kursus),</w:t>
      </w:r>
      <w:r>
        <w:rPr>
          <w:i/>
          <w:iCs/>
          <w:lang w:eastAsia="lt-LT"/>
        </w:rPr>
        <w:t xml:space="preserve"> </w:t>
      </w:r>
      <w:r>
        <w:rPr>
          <w:lang w:eastAsia="lt-LT"/>
        </w:rPr>
        <w:t>kai</w:t>
      </w:r>
      <w:r>
        <w:rPr>
          <w:i/>
          <w:iCs/>
          <w:lang w:eastAsia="lt-LT"/>
        </w:rPr>
        <w:t xml:space="preserve"> </w:t>
      </w:r>
      <w:r>
        <w:rPr>
          <w:lang w:eastAsia="lt-LT"/>
        </w:rPr>
        <w:t>tai</w:t>
      </w:r>
      <w:r>
        <w:rPr>
          <w:i/>
          <w:iCs/>
          <w:lang w:eastAsia="lt-LT"/>
        </w:rPr>
        <w:t xml:space="preserve"> </w:t>
      </w:r>
      <w:r>
        <w:rPr>
          <w:lang w:eastAsia="lt-LT"/>
        </w:rPr>
        <w:t>susiję</w:t>
      </w:r>
      <w:r>
        <w:rPr>
          <w:i/>
          <w:iCs/>
          <w:lang w:eastAsia="lt-LT"/>
        </w:rPr>
        <w:t xml:space="preserve"> </w:t>
      </w:r>
      <w:r>
        <w:rPr>
          <w:lang w:eastAsia="lt-LT"/>
        </w:rPr>
        <w:t>su</w:t>
      </w:r>
      <w:r>
        <w:rPr>
          <w:i/>
          <w:iCs/>
          <w:lang w:eastAsia="lt-LT"/>
        </w:rPr>
        <w:t xml:space="preserve"> </w:t>
      </w:r>
      <w:r>
        <w:rPr>
          <w:lang w:eastAsia="lt-LT"/>
        </w:rPr>
        <w:t>jų</w:t>
      </w:r>
      <w:r>
        <w:rPr>
          <w:i/>
          <w:iCs/>
          <w:lang w:eastAsia="lt-LT"/>
        </w:rPr>
        <w:t xml:space="preserve"> </w:t>
      </w:r>
      <w:r>
        <w:rPr>
          <w:lang w:eastAsia="lt-LT"/>
        </w:rPr>
        <w:t>einamomis</w:t>
      </w:r>
      <w:r>
        <w:rPr>
          <w:i/>
          <w:iCs/>
          <w:lang w:eastAsia="lt-LT"/>
        </w:rPr>
        <w:t xml:space="preserve"> </w:t>
      </w:r>
      <w:r>
        <w:rPr>
          <w:lang w:eastAsia="lt-LT"/>
        </w:rPr>
        <w:t>pareigomis.</w:t>
      </w:r>
    </w:p>
    <w:p w14:paraId="200ECB2B" w14:textId="77777777" w:rsidR="00093845" w:rsidRDefault="000D779E">
      <w:pPr>
        <w:ind w:firstLine="993"/>
        <w:jc w:val="both"/>
        <w:rPr>
          <w:lang w:eastAsia="lt-LT"/>
        </w:rPr>
      </w:pPr>
      <w:r>
        <w:rPr>
          <w:lang w:eastAsia="lt-LT"/>
        </w:rPr>
        <w:t>Kvalifikacijos</w:t>
      </w:r>
      <w:r>
        <w:rPr>
          <w:i/>
          <w:iCs/>
          <w:lang w:eastAsia="lt-LT"/>
        </w:rPr>
        <w:t xml:space="preserve"> </w:t>
      </w:r>
      <w:r>
        <w:rPr>
          <w:lang w:eastAsia="lt-LT"/>
        </w:rPr>
        <w:t>kėlimas</w:t>
      </w:r>
      <w:r>
        <w:rPr>
          <w:i/>
          <w:iCs/>
          <w:lang w:eastAsia="lt-LT"/>
        </w:rPr>
        <w:t xml:space="preserve"> </w:t>
      </w:r>
      <w:r>
        <w:rPr>
          <w:lang w:eastAsia="lt-LT"/>
        </w:rPr>
        <w:t>suprantamas</w:t>
      </w:r>
      <w:r>
        <w:rPr>
          <w:i/>
          <w:iCs/>
          <w:lang w:eastAsia="lt-LT"/>
        </w:rPr>
        <w:t xml:space="preserve"> </w:t>
      </w:r>
      <w:r>
        <w:rPr>
          <w:lang w:eastAsia="lt-LT"/>
        </w:rPr>
        <w:t>kaip</w:t>
      </w:r>
      <w:r>
        <w:rPr>
          <w:i/>
          <w:iCs/>
          <w:lang w:eastAsia="lt-LT"/>
        </w:rPr>
        <w:t xml:space="preserve"> </w:t>
      </w:r>
      <w:r>
        <w:rPr>
          <w:lang w:eastAsia="lt-LT"/>
        </w:rPr>
        <w:t>apmokymas</w:t>
      </w:r>
      <w:r>
        <w:rPr>
          <w:i/>
          <w:iCs/>
          <w:lang w:eastAsia="lt-LT"/>
        </w:rPr>
        <w:t xml:space="preserve"> </w:t>
      </w:r>
      <w:r>
        <w:rPr>
          <w:lang w:eastAsia="lt-LT"/>
        </w:rPr>
        <w:t>trumpalaikiuose</w:t>
      </w:r>
      <w:r>
        <w:rPr>
          <w:i/>
          <w:iCs/>
          <w:lang w:eastAsia="lt-LT"/>
        </w:rPr>
        <w:t xml:space="preserve"> </w:t>
      </w:r>
      <w:r>
        <w:rPr>
          <w:lang w:eastAsia="lt-LT"/>
        </w:rPr>
        <w:t>kursuose,</w:t>
      </w:r>
      <w:r>
        <w:rPr>
          <w:i/>
          <w:iCs/>
          <w:lang w:eastAsia="lt-LT"/>
        </w:rPr>
        <w:t xml:space="preserve"> </w:t>
      </w:r>
      <w:r>
        <w:rPr>
          <w:lang w:eastAsia="lt-LT"/>
        </w:rPr>
        <w:t>kuriuose</w:t>
      </w:r>
      <w:r>
        <w:rPr>
          <w:i/>
          <w:iCs/>
          <w:lang w:eastAsia="lt-LT"/>
        </w:rPr>
        <w:t xml:space="preserve"> </w:t>
      </w:r>
      <w:r>
        <w:rPr>
          <w:lang w:eastAsia="lt-LT"/>
        </w:rPr>
        <w:t>darbuotojai</w:t>
      </w:r>
      <w:r>
        <w:rPr>
          <w:i/>
          <w:iCs/>
          <w:lang w:eastAsia="lt-LT"/>
        </w:rPr>
        <w:t xml:space="preserve"> </w:t>
      </w:r>
      <w:r>
        <w:rPr>
          <w:lang w:eastAsia="lt-LT"/>
        </w:rPr>
        <w:t>tik</w:t>
      </w:r>
      <w:r>
        <w:rPr>
          <w:i/>
          <w:iCs/>
          <w:lang w:eastAsia="lt-LT"/>
        </w:rPr>
        <w:t xml:space="preserve"> </w:t>
      </w:r>
      <w:r>
        <w:rPr>
          <w:lang w:eastAsia="lt-LT"/>
        </w:rPr>
        <w:t>tobulina</w:t>
      </w:r>
      <w:r>
        <w:rPr>
          <w:i/>
          <w:iCs/>
          <w:lang w:eastAsia="lt-LT"/>
        </w:rPr>
        <w:t xml:space="preserve"> </w:t>
      </w:r>
      <w:r>
        <w:rPr>
          <w:lang w:eastAsia="lt-LT"/>
        </w:rPr>
        <w:t>savo</w:t>
      </w:r>
      <w:r>
        <w:rPr>
          <w:i/>
          <w:iCs/>
          <w:lang w:eastAsia="lt-LT"/>
        </w:rPr>
        <w:t xml:space="preserve"> </w:t>
      </w:r>
      <w:r>
        <w:rPr>
          <w:lang w:eastAsia="lt-LT"/>
        </w:rPr>
        <w:t>kvalifikaciją,</w:t>
      </w:r>
      <w:r>
        <w:rPr>
          <w:i/>
          <w:iCs/>
          <w:lang w:eastAsia="lt-LT"/>
        </w:rPr>
        <w:t xml:space="preserve"> </w:t>
      </w:r>
      <w:r>
        <w:rPr>
          <w:lang w:eastAsia="lt-LT"/>
        </w:rPr>
        <w:t>įgytą</w:t>
      </w:r>
      <w:r>
        <w:rPr>
          <w:i/>
          <w:iCs/>
          <w:lang w:eastAsia="lt-LT"/>
        </w:rPr>
        <w:t xml:space="preserve"> </w:t>
      </w:r>
      <w:r>
        <w:rPr>
          <w:lang w:eastAsia="lt-LT"/>
        </w:rPr>
        <w:t>anksčiau.</w:t>
      </w:r>
      <w:r>
        <w:rPr>
          <w:i/>
          <w:iCs/>
          <w:lang w:eastAsia="lt-LT"/>
        </w:rPr>
        <w:t xml:space="preserve"> </w:t>
      </w:r>
    </w:p>
    <w:p w14:paraId="7294EA3D" w14:textId="77777777" w:rsidR="00093845" w:rsidRDefault="000D779E">
      <w:pPr>
        <w:ind w:firstLine="993"/>
        <w:jc w:val="both"/>
        <w:rPr>
          <w:iCs/>
          <w:lang w:eastAsia="lt-LT"/>
        </w:rPr>
      </w:pPr>
      <w:r>
        <w:rPr>
          <w:lang w:eastAsia="lt-LT"/>
        </w:rPr>
        <w:t>Kvalifikacijos</w:t>
      </w:r>
      <w:r>
        <w:rPr>
          <w:i/>
          <w:iCs/>
          <w:lang w:eastAsia="lt-LT"/>
        </w:rPr>
        <w:t xml:space="preserve"> </w:t>
      </w:r>
      <w:r>
        <w:rPr>
          <w:lang w:eastAsia="lt-LT"/>
        </w:rPr>
        <w:t>kėlimo</w:t>
      </w:r>
      <w:r>
        <w:rPr>
          <w:i/>
          <w:iCs/>
          <w:lang w:eastAsia="lt-LT"/>
        </w:rPr>
        <w:t xml:space="preserve"> </w:t>
      </w:r>
      <w:r>
        <w:rPr>
          <w:lang w:eastAsia="lt-LT"/>
        </w:rPr>
        <w:t>sąnaudoms</w:t>
      </w:r>
      <w:r>
        <w:rPr>
          <w:i/>
          <w:iCs/>
          <w:lang w:eastAsia="lt-LT"/>
        </w:rPr>
        <w:t xml:space="preserve"> </w:t>
      </w:r>
      <w:r>
        <w:rPr>
          <w:lang w:eastAsia="lt-LT"/>
        </w:rPr>
        <w:t>nepriskiriamos</w:t>
      </w:r>
      <w:r>
        <w:rPr>
          <w:i/>
          <w:iCs/>
          <w:lang w:eastAsia="lt-LT"/>
        </w:rPr>
        <w:t xml:space="preserve"> </w:t>
      </w:r>
      <w:r>
        <w:rPr>
          <w:lang w:eastAsia="lt-LT"/>
        </w:rPr>
        <w:t>darbuotojų</w:t>
      </w:r>
      <w:r>
        <w:rPr>
          <w:i/>
          <w:iCs/>
          <w:lang w:eastAsia="lt-LT"/>
        </w:rPr>
        <w:t xml:space="preserve"> </w:t>
      </w:r>
      <w:r>
        <w:rPr>
          <w:lang w:eastAsia="lt-LT"/>
        </w:rPr>
        <w:t>mokymosi</w:t>
      </w:r>
      <w:r>
        <w:rPr>
          <w:i/>
          <w:iCs/>
          <w:lang w:eastAsia="lt-LT"/>
        </w:rPr>
        <w:t xml:space="preserve"> </w:t>
      </w:r>
      <w:r>
        <w:rPr>
          <w:lang w:eastAsia="lt-LT"/>
        </w:rPr>
        <w:t>mokyklose,</w:t>
      </w:r>
      <w:r>
        <w:rPr>
          <w:i/>
          <w:iCs/>
          <w:lang w:eastAsia="lt-LT"/>
        </w:rPr>
        <w:t xml:space="preserve"> </w:t>
      </w:r>
      <w:r>
        <w:rPr>
          <w:iCs/>
          <w:lang w:eastAsia="lt-LT"/>
        </w:rPr>
        <w:t>kurias baigę jie įgyja aukštąjį išsilavinimą ir (arba) kvalifikaciją, kuri</w:t>
      </w:r>
      <w:r>
        <w:rPr>
          <w:lang w:eastAsia="lt-LT"/>
        </w:rPr>
        <w:t xml:space="preserve"> suteikia</w:t>
      </w:r>
      <w:r>
        <w:rPr>
          <w:iCs/>
          <w:lang w:eastAsia="lt-LT"/>
        </w:rPr>
        <w:t xml:space="preserve"> </w:t>
      </w:r>
      <w:r>
        <w:rPr>
          <w:lang w:eastAsia="lt-LT"/>
        </w:rPr>
        <w:t>tam</w:t>
      </w:r>
      <w:r>
        <w:rPr>
          <w:iCs/>
          <w:lang w:eastAsia="lt-LT"/>
        </w:rPr>
        <w:t xml:space="preserve"> </w:t>
      </w:r>
      <w:r>
        <w:rPr>
          <w:lang w:eastAsia="lt-LT"/>
        </w:rPr>
        <w:t>tikrą</w:t>
      </w:r>
      <w:r>
        <w:rPr>
          <w:iCs/>
          <w:lang w:eastAsia="lt-LT"/>
        </w:rPr>
        <w:t xml:space="preserve"> </w:t>
      </w:r>
      <w:r>
        <w:rPr>
          <w:lang w:eastAsia="lt-LT"/>
        </w:rPr>
        <w:t>išsimokslinimo</w:t>
      </w:r>
      <w:r>
        <w:rPr>
          <w:iCs/>
          <w:lang w:eastAsia="lt-LT"/>
        </w:rPr>
        <w:t xml:space="preserve"> </w:t>
      </w:r>
      <w:r>
        <w:rPr>
          <w:lang w:eastAsia="lt-LT"/>
        </w:rPr>
        <w:t>lygį,</w:t>
      </w:r>
      <w:r>
        <w:rPr>
          <w:iCs/>
          <w:lang w:eastAsia="lt-LT"/>
        </w:rPr>
        <w:t xml:space="preserve"> </w:t>
      </w:r>
      <w:r>
        <w:rPr>
          <w:lang w:eastAsia="lt-LT"/>
        </w:rPr>
        <w:t>išlaidos.</w:t>
      </w:r>
      <w:r>
        <w:rPr>
          <w:iCs/>
          <w:lang w:eastAsia="lt-LT"/>
        </w:rPr>
        <w:t xml:space="preserve"> </w:t>
      </w:r>
    </w:p>
    <w:p w14:paraId="55EB1A26" w14:textId="77777777" w:rsidR="00093845" w:rsidRDefault="000D779E">
      <w:pPr>
        <w:ind w:firstLine="993"/>
        <w:jc w:val="both"/>
        <w:rPr>
          <w:lang w:eastAsia="lt-LT"/>
        </w:rPr>
      </w:pPr>
      <w:r>
        <w:rPr>
          <w:lang w:eastAsia="lt-LT"/>
        </w:rPr>
        <w:t>Jeigu</w:t>
      </w:r>
      <w:r>
        <w:rPr>
          <w:i/>
          <w:iCs/>
          <w:lang w:eastAsia="lt-LT"/>
        </w:rPr>
        <w:t xml:space="preserve"> </w:t>
      </w:r>
      <w:r>
        <w:rPr>
          <w:lang w:eastAsia="lt-LT"/>
        </w:rPr>
        <w:t>individualios</w:t>
      </w:r>
      <w:r>
        <w:rPr>
          <w:i/>
          <w:iCs/>
          <w:lang w:eastAsia="lt-LT"/>
        </w:rPr>
        <w:t xml:space="preserve"> </w:t>
      </w:r>
      <w:r>
        <w:rPr>
          <w:lang w:eastAsia="lt-LT"/>
        </w:rPr>
        <w:t>įmonės</w:t>
      </w:r>
      <w:r>
        <w:rPr>
          <w:i/>
          <w:iCs/>
          <w:lang w:eastAsia="lt-LT"/>
        </w:rPr>
        <w:t xml:space="preserve"> </w:t>
      </w:r>
      <w:r>
        <w:rPr>
          <w:lang w:eastAsia="lt-LT"/>
        </w:rPr>
        <w:t>savininkas arba mažosios bendrijos narys</w:t>
      </w:r>
      <w:r>
        <w:rPr>
          <w:i/>
          <w:iCs/>
          <w:lang w:eastAsia="lt-LT"/>
        </w:rPr>
        <w:t xml:space="preserve"> </w:t>
      </w:r>
      <w:r>
        <w:rPr>
          <w:lang w:eastAsia="lt-LT"/>
        </w:rPr>
        <w:t>pats</w:t>
      </w:r>
      <w:r>
        <w:rPr>
          <w:i/>
          <w:iCs/>
          <w:lang w:eastAsia="lt-LT"/>
        </w:rPr>
        <w:t xml:space="preserve"> </w:t>
      </w:r>
      <w:r>
        <w:rPr>
          <w:lang w:eastAsia="lt-LT"/>
        </w:rPr>
        <w:t>tiesiogiai</w:t>
      </w:r>
      <w:r>
        <w:rPr>
          <w:i/>
          <w:iCs/>
          <w:lang w:eastAsia="lt-LT"/>
        </w:rPr>
        <w:t xml:space="preserve"> </w:t>
      </w:r>
      <w:r>
        <w:rPr>
          <w:lang w:eastAsia="lt-LT"/>
        </w:rPr>
        <w:t>dalyvauja</w:t>
      </w:r>
      <w:r>
        <w:rPr>
          <w:i/>
          <w:iCs/>
          <w:lang w:eastAsia="lt-LT"/>
        </w:rPr>
        <w:t xml:space="preserve"> </w:t>
      </w:r>
      <w:r>
        <w:rPr>
          <w:lang w:eastAsia="lt-LT"/>
        </w:rPr>
        <w:t>gamybiniame</w:t>
      </w:r>
      <w:r>
        <w:rPr>
          <w:i/>
          <w:iCs/>
          <w:lang w:eastAsia="lt-LT"/>
        </w:rPr>
        <w:t xml:space="preserve"> </w:t>
      </w:r>
      <w:r>
        <w:rPr>
          <w:lang w:eastAsia="lt-LT"/>
        </w:rPr>
        <w:t>procese</w:t>
      </w:r>
      <w:r>
        <w:rPr>
          <w:i/>
          <w:iCs/>
          <w:lang w:eastAsia="lt-LT"/>
        </w:rPr>
        <w:t xml:space="preserve"> </w:t>
      </w:r>
      <w:r>
        <w:rPr>
          <w:lang w:eastAsia="lt-LT"/>
        </w:rPr>
        <w:t>arba</w:t>
      </w:r>
      <w:r>
        <w:rPr>
          <w:i/>
          <w:iCs/>
          <w:lang w:eastAsia="lt-LT"/>
        </w:rPr>
        <w:t xml:space="preserve"> </w:t>
      </w:r>
      <w:r>
        <w:rPr>
          <w:lang w:eastAsia="lt-LT"/>
        </w:rPr>
        <w:t>vadovavimas</w:t>
      </w:r>
      <w:r>
        <w:rPr>
          <w:i/>
          <w:iCs/>
          <w:lang w:eastAsia="lt-LT"/>
        </w:rPr>
        <w:t xml:space="preserve"> </w:t>
      </w:r>
      <w:r>
        <w:rPr>
          <w:lang w:eastAsia="lt-LT"/>
        </w:rPr>
        <w:t>reikalauja</w:t>
      </w:r>
      <w:r>
        <w:rPr>
          <w:i/>
          <w:iCs/>
          <w:lang w:eastAsia="lt-LT"/>
        </w:rPr>
        <w:t xml:space="preserve"> </w:t>
      </w:r>
      <w:r>
        <w:rPr>
          <w:lang w:eastAsia="lt-LT"/>
        </w:rPr>
        <w:t>specifinių</w:t>
      </w:r>
      <w:r>
        <w:rPr>
          <w:i/>
          <w:iCs/>
          <w:lang w:eastAsia="lt-LT"/>
        </w:rPr>
        <w:t xml:space="preserve"> </w:t>
      </w:r>
      <w:r>
        <w:rPr>
          <w:lang w:eastAsia="lt-LT"/>
        </w:rPr>
        <w:t>žinių</w:t>
      </w:r>
      <w:r>
        <w:rPr>
          <w:i/>
          <w:iCs/>
          <w:lang w:eastAsia="lt-LT"/>
        </w:rPr>
        <w:t xml:space="preserve"> </w:t>
      </w:r>
      <w:r>
        <w:rPr>
          <w:lang w:eastAsia="lt-LT"/>
        </w:rPr>
        <w:t>ir</w:t>
      </w:r>
      <w:r>
        <w:rPr>
          <w:i/>
          <w:iCs/>
          <w:lang w:eastAsia="lt-LT"/>
        </w:rPr>
        <w:t xml:space="preserve"> </w:t>
      </w:r>
      <w:r>
        <w:rPr>
          <w:lang w:eastAsia="lt-LT"/>
        </w:rPr>
        <w:t>jas</w:t>
      </w:r>
      <w:r>
        <w:rPr>
          <w:i/>
          <w:iCs/>
          <w:lang w:eastAsia="lt-LT"/>
        </w:rPr>
        <w:t xml:space="preserve"> </w:t>
      </w:r>
      <w:r>
        <w:rPr>
          <w:lang w:eastAsia="lt-LT"/>
        </w:rPr>
        <w:t>būtina</w:t>
      </w:r>
      <w:r>
        <w:rPr>
          <w:i/>
          <w:iCs/>
          <w:lang w:eastAsia="lt-LT"/>
        </w:rPr>
        <w:t xml:space="preserve"> </w:t>
      </w:r>
      <w:r>
        <w:rPr>
          <w:lang w:eastAsia="lt-LT"/>
        </w:rPr>
        <w:t>pastoviai</w:t>
      </w:r>
      <w:r>
        <w:rPr>
          <w:i/>
          <w:iCs/>
          <w:lang w:eastAsia="lt-LT"/>
        </w:rPr>
        <w:t xml:space="preserve"> </w:t>
      </w:r>
      <w:r>
        <w:rPr>
          <w:lang w:eastAsia="lt-LT"/>
        </w:rPr>
        <w:t>atnaujinti,</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iCs/>
          <w:lang w:eastAsia="lt-LT"/>
        </w:rPr>
        <w:t>individualios įmonės</w:t>
      </w:r>
      <w:r>
        <w:rPr>
          <w:i/>
          <w:iCs/>
          <w:lang w:eastAsia="lt-LT"/>
        </w:rPr>
        <w:t xml:space="preserve"> </w:t>
      </w:r>
      <w:r>
        <w:rPr>
          <w:lang w:eastAsia="lt-LT"/>
        </w:rPr>
        <w:t>savininko ar</w:t>
      </w:r>
      <w:r>
        <w:rPr>
          <w:b/>
          <w:highlight w:val="lightGray"/>
          <w:lang w:eastAsia="lt-LT"/>
        </w:rPr>
        <w:t xml:space="preserve"> </w:t>
      </w:r>
      <w:r>
        <w:rPr>
          <w:lang w:eastAsia="lt-LT"/>
        </w:rPr>
        <w:t>mažosios bendrijos nario</w:t>
      </w:r>
      <w:r>
        <w:rPr>
          <w:i/>
          <w:iCs/>
          <w:lang w:eastAsia="lt-LT"/>
        </w:rPr>
        <w:t xml:space="preserve"> </w:t>
      </w:r>
      <w:r>
        <w:rPr>
          <w:lang w:eastAsia="lt-LT"/>
        </w:rPr>
        <w:t>kvalifikacijos</w:t>
      </w:r>
      <w:r>
        <w:rPr>
          <w:i/>
          <w:iCs/>
          <w:lang w:eastAsia="lt-LT"/>
        </w:rPr>
        <w:t xml:space="preserve"> </w:t>
      </w:r>
      <w:r>
        <w:rPr>
          <w:lang w:eastAsia="lt-LT"/>
        </w:rPr>
        <w:t>kėlimo,</w:t>
      </w:r>
      <w:r>
        <w:rPr>
          <w:i/>
          <w:iCs/>
          <w:lang w:eastAsia="lt-LT"/>
        </w:rPr>
        <w:t xml:space="preserve"> </w:t>
      </w:r>
      <w:r>
        <w:rPr>
          <w:lang w:eastAsia="lt-LT"/>
        </w:rPr>
        <w:t>apmokymo</w:t>
      </w:r>
      <w:r>
        <w:rPr>
          <w:i/>
          <w:iCs/>
          <w:lang w:eastAsia="lt-LT"/>
        </w:rPr>
        <w:t xml:space="preserve"> </w:t>
      </w:r>
      <w:r>
        <w:rPr>
          <w:lang w:eastAsia="lt-LT"/>
        </w:rPr>
        <w:t>dirbti</w:t>
      </w:r>
      <w:r>
        <w:rPr>
          <w:i/>
          <w:iCs/>
          <w:lang w:eastAsia="lt-LT"/>
        </w:rPr>
        <w:t xml:space="preserve"> </w:t>
      </w:r>
      <w:r>
        <w:rPr>
          <w:lang w:eastAsia="lt-LT"/>
        </w:rPr>
        <w:t>įrengimais</w:t>
      </w:r>
      <w:r>
        <w:rPr>
          <w:i/>
          <w:iCs/>
          <w:lang w:eastAsia="lt-LT"/>
        </w:rPr>
        <w:t xml:space="preserve"> </w:t>
      </w:r>
      <w:r>
        <w:rPr>
          <w:lang w:eastAsia="lt-LT"/>
        </w:rPr>
        <w:t>ir</w:t>
      </w:r>
      <w:r>
        <w:rPr>
          <w:i/>
          <w:iCs/>
          <w:lang w:eastAsia="lt-LT"/>
        </w:rPr>
        <w:t xml:space="preserve"> </w:t>
      </w:r>
      <w:r>
        <w:rPr>
          <w:lang w:eastAsia="lt-LT"/>
        </w:rPr>
        <w:t>panašios</w:t>
      </w:r>
      <w:r>
        <w:rPr>
          <w:i/>
          <w:iCs/>
          <w:lang w:eastAsia="lt-LT"/>
        </w:rPr>
        <w:t xml:space="preserve"> </w:t>
      </w:r>
      <w:r>
        <w:rPr>
          <w:lang w:eastAsia="lt-LT"/>
        </w:rPr>
        <w:t>išlaidos.</w:t>
      </w:r>
      <w:r>
        <w:rPr>
          <w:i/>
          <w:iCs/>
          <w:lang w:eastAsia="lt-LT"/>
        </w:rPr>
        <w:t xml:space="preserve"> </w:t>
      </w:r>
      <w:r>
        <w:rPr>
          <w:lang w:eastAsia="lt-LT"/>
        </w:rPr>
        <w:t>Jeigu</w:t>
      </w:r>
      <w:r>
        <w:rPr>
          <w:i/>
          <w:iCs/>
          <w:lang w:eastAsia="lt-LT"/>
        </w:rPr>
        <w:t xml:space="preserve"> </w:t>
      </w:r>
      <w:r>
        <w:rPr>
          <w:lang w:eastAsia="lt-LT"/>
        </w:rPr>
        <w:t>individuali</w:t>
      </w:r>
      <w:r>
        <w:rPr>
          <w:i/>
          <w:iCs/>
          <w:lang w:eastAsia="lt-LT"/>
        </w:rPr>
        <w:t xml:space="preserve"> </w:t>
      </w:r>
      <w:r>
        <w:rPr>
          <w:lang w:eastAsia="lt-LT"/>
        </w:rPr>
        <w:t>įmonė</w:t>
      </w:r>
      <w:r>
        <w:rPr>
          <w:i/>
          <w:iCs/>
          <w:lang w:eastAsia="lt-LT"/>
        </w:rPr>
        <w:t xml:space="preserve"> </w:t>
      </w:r>
      <w:r>
        <w:rPr>
          <w:iCs/>
          <w:lang w:eastAsia="lt-LT"/>
        </w:rPr>
        <w:t>arba mažoji bendrija</w:t>
      </w:r>
      <w:r>
        <w:rPr>
          <w:i/>
          <w:iCs/>
          <w:lang w:eastAsia="lt-LT"/>
        </w:rPr>
        <w:t xml:space="preserve"> </w:t>
      </w:r>
      <w:r>
        <w:rPr>
          <w:lang w:eastAsia="lt-LT"/>
        </w:rPr>
        <w:t>keičia</w:t>
      </w:r>
      <w:r>
        <w:rPr>
          <w:i/>
          <w:iCs/>
          <w:lang w:eastAsia="lt-LT"/>
        </w:rPr>
        <w:t xml:space="preserve"> </w:t>
      </w:r>
      <w:r>
        <w:rPr>
          <w:lang w:eastAsia="lt-LT"/>
        </w:rPr>
        <w:t>veiklos</w:t>
      </w:r>
      <w:r>
        <w:rPr>
          <w:i/>
          <w:iCs/>
          <w:lang w:eastAsia="lt-LT"/>
        </w:rPr>
        <w:t xml:space="preserve"> </w:t>
      </w:r>
      <w:r>
        <w:rPr>
          <w:lang w:eastAsia="lt-LT"/>
        </w:rPr>
        <w:t>profilį,</w:t>
      </w:r>
      <w:r>
        <w:rPr>
          <w:i/>
          <w:iCs/>
          <w:lang w:eastAsia="lt-LT"/>
        </w:rPr>
        <w:t xml:space="preserve"> </w:t>
      </w:r>
      <w:r>
        <w:rPr>
          <w:lang w:eastAsia="lt-LT"/>
        </w:rPr>
        <w:t>sąnaudoms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iCs/>
          <w:lang w:eastAsia="lt-LT"/>
        </w:rPr>
        <w:t>individualios įmonės savininko ar mažosios bendrijos nario</w:t>
      </w:r>
      <w:r>
        <w:rPr>
          <w:i/>
          <w:iCs/>
          <w:lang w:eastAsia="lt-LT"/>
        </w:rPr>
        <w:t xml:space="preserve"> </w:t>
      </w:r>
      <w:r>
        <w:rPr>
          <w:lang w:eastAsia="lt-LT"/>
        </w:rPr>
        <w:t>perkvalifikavimo</w:t>
      </w:r>
      <w:r>
        <w:rPr>
          <w:i/>
          <w:iCs/>
          <w:lang w:eastAsia="lt-LT"/>
        </w:rPr>
        <w:t xml:space="preserve"> </w:t>
      </w:r>
      <w:r>
        <w:rPr>
          <w:lang w:eastAsia="lt-LT"/>
        </w:rPr>
        <w:t>išlaidos.</w:t>
      </w:r>
      <w:r>
        <w:rPr>
          <w:i/>
          <w:iCs/>
          <w:lang w:eastAsia="lt-LT"/>
        </w:rPr>
        <w:t xml:space="preserve"> </w:t>
      </w:r>
      <w:r>
        <w:rPr>
          <w:lang w:eastAsia="lt-LT"/>
        </w:rPr>
        <w:t>Sąnaudoms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priskirtos</w:t>
      </w:r>
      <w:r>
        <w:rPr>
          <w:i/>
          <w:iCs/>
          <w:lang w:eastAsia="lt-LT"/>
        </w:rPr>
        <w:t xml:space="preserve"> </w:t>
      </w:r>
      <w:r>
        <w:rPr>
          <w:lang w:eastAsia="lt-LT"/>
        </w:rPr>
        <w:t>su</w:t>
      </w:r>
      <w:r>
        <w:rPr>
          <w:i/>
          <w:iCs/>
          <w:lang w:eastAsia="lt-LT"/>
        </w:rPr>
        <w:t xml:space="preserve"> </w:t>
      </w:r>
      <w:r>
        <w:rPr>
          <w:iCs/>
          <w:lang w:eastAsia="lt-LT"/>
        </w:rPr>
        <w:t>individualios įmonės savininko ar mažosios bendrijos nario</w:t>
      </w:r>
      <w:r>
        <w:rPr>
          <w:i/>
          <w:iCs/>
          <w:lang w:eastAsia="lt-LT"/>
        </w:rPr>
        <w:t xml:space="preserve"> </w:t>
      </w:r>
      <w:r>
        <w:rPr>
          <w:lang w:eastAsia="lt-LT"/>
        </w:rPr>
        <w:t>trumpalaikių</w:t>
      </w:r>
      <w:r>
        <w:rPr>
          <w:i/>
          <w:iCs/>
          <w:lang w:eastAsia="lt-LT"/>
        </w:rPr>
        <w:t xml:space="preserve"> </w:t>
      </w:r>
      <w:r>
        <w:rPr>
          <w:lang w:eastAsia="lt-LT"/>
        </w:rPr>
        <w:t>kursų</w:t>
      </w:r>
      <w:r>
        <w:rPr>
          <w:i/>
          <w:iCs/>
          <w:lang w:eastAsia="lt-LT"/>
        </w:rPr>
        <w:t xml:space="preserve"> </w:t>
      </w:r>
      <w:r>
        <w:rPr>
          <w:lang w:eastAsia="lt-LT"/>
        </w:rPr>
        <w:t>(pvz.,</w:t>
      </w:r>
      <w:r>
        <w:rPr>
          <w:i/>
          <w:iCs/>
          <w:lang w:eastAsia="lt-LT"/>
        </w:rPr>
        <w:t xml:space="preserve"> </w:t>
      </w:r>
      <w:r>
        <w:rPr>
          <w:lang w:eastAsia="lt-LT"/>
        </w:rPr>
        <w:t>užsienio</w:t>
      </w:r>
      <w:r>
        <w:rPr>
          <w:i/>
          <w:iCs/>
          <w:lang w:eastAsia="lt-LT"/>
        </w:rPr>
        <w:t xml:space="preserve"> </w:t>
      </w:r>
      <w:r>
        <w:rPr>
          <w:lang w:eastAsia="lt-LT"/>
        </w:rPr>
        <w:t>kalbų,</w:t>
      </w:r>
      <w:r>
        <w:rPr>
          <w:i/>
          <w:iCs/>
          <w:lang w:eastAsia="lt-LT"/>
        </w:rPr>
        <w:t xml:space="preserve"> </w:t>
      </w:r>
      <w:r>
        <w:rPr>
          <w:lang w:eastAsia="lt-LT"/>
        </w:rPr>
        <w:t>buhalterinės</w:t>
      </w:r>
      <w:r>
        <w:rPr>
          <w:i/>
          <w:iCs/>
          <w:lang w:eastAsia="lt-LT"/>
        </w:rPr>
        <w:t xml:space="preserve"> </w:t>
      </w:r>
      <w:r>
        <w:rPr>
          <w:lang w:eastAsia="lt-LT"/>
        </w:rPr>
        <w:t>apskaitos)</w:t>
      </w:r>
      <w:r>
        <w:rPr>
          <w:i/>
          <w:iCs/>
          <w:lang w:eastAsia="lt-LT"/>
        </w:rPr>
        <w:t xml:space="preserve"> </w:t>
      </w:r>
      <w:r>
        <w:rPr>
          <w:lang w:eastAsia="lt-LT"/>
        </w:rPr>
        <w:t>lankymu</w:t>
      </w:r>
      <w:r>
        <w:rPr>
          <w:i/>
          <w:iCs/>
          <w:lang w:eastAsia="lt-LT"/>
        </w:rPr>
        <w:t xml:space="preserve"> </w:t>
      </w:r>
      <w:r>
        <w:rPr>
          <w:lang w:eastAsia="lt-LT"/>
        </w:rPr>
        <w:t>susijusios</w:t>
      </w:r>
      <w:r>
        <w:rPr>
          <w:i/>
          <w:iCs/>
          <w:lang w:eastAsia="lt-LT"/>
        </w:rPr>
        <w:t xml:space="preserve"> </w:t>
      </w:r>
      <w:r>
        <w:rPr>
          <w:lang w:eastAsia="lt-LT"/>
        </w:rPr>
        <w:t>išlaidos,</w:t>
      </w:r>
      <w:r>
        <w:rPr>
          <w:i/>
          <w:iCs/>
          <w:lang w:eastAsia="lt-LT"/>
        </w:rPr>
        <w:t xml:space="preserve"> </w:t>
      </w:r>
      <w:r>
        <w:rPr>
          <w:lang w:eastAsia="lt-LT"/>
        </w:rPr>
        <w:t>kai</w:t>
      </w:r>
      <w:r>
        <w:rPr>
          <w:i/>
          <w:iCs/>
          <w:lang w:eastAsia="lt-LT"/>
        </w:rPr>
        <w:t xml:space="preserve"> </w:t>
      </w:r>
      <w:r>
        <w:rPr>
          <w:lang w:eastAsia="lt-LT"/>
        </w:rPr>
        <w:t>tai</w:t>
      </w:r>
      <w:r>
        <w:rPr>
          <w:i/>
          <w:iCs/>
          <w:lang w:eastAsia="lt-LT"/>
        </w:rPr>
        <w:t xml:space="preserve"> </w:t>
      </w:r>
      <w:r>
        <w:rPr>
          <w:lang w:eastAsia="lt-LT"/>
        </w:rPr>
        <w:t>susiję</w:t>
      </w:r>
      <w:r>
        <w:rPr>
          <w:i/>
          <w:iCs/>
          <w:lang w:eastAsia="lt-LT"/>
        </w:rPr>
        <w:t xml:space="preserve"> </w:t>
      </w:r>
      <w:r>
        <w:rPr>
          <w:lang w:eastAsia="lt-LT"/>
        </w:rPr>
        <w:t>su</w:t>
      </w:r>
      <w:r>
        <w:rPr>
          <w:i/>
          <w:iCs/>
          <w:lang w:eastAsia="lt-LT"/>
        </w:rPr>
        <w:t xml:space="preserve"> </w:t>
      </w:r>
      <w:r>
        <w:rPr>
          <w:lang w:eastAsia="lt-LT"/>
        </w:rPr>
        <w:t>individualios</w:t>
      </w:r>
      <w:r>
        <w:rPr>
          <w:i/>
          <w:iCs/>
          <w:lang w:eastAsia="lt-LT"/>
        </w:rPr>
        <w:t xml:space="preserve"> </w:t>
      </w:r>
      <w:r>
        <w:rPr>
          <w:lang w:eastAsia="lt-LT"/>
        </w:rPr>
        <w:t>įmonės</w:t>
      </w:r>
      <w:r>
        <w:rPr>
          <w:i/>
          <w:iCs/>
          <w:lang w:eastAsia="lt-LT"/>
        </w:rPr>
        <w:t xml:space="preserve"> </w:t>
      </w:r>
      <w:r>
        <w:rPr>
          <w:iCs/>
          <w:lang w:eastAsia="lt-LT"/>
        </w:rPr>
        <w:t>ar mažosios bendrijos</w:t>
      </w:r>
      <w:r>
        <w:rPr>
          <w:i/>
          <w:iCs/>
          <w:lang w:eastAsia="lt-LT"/>
        </w:rPr>
        <w:t xml:space="preserve"> </w:t>
      </w:r>
      <w:r>
        <w:rPr>
          <w:lang w:eastAsia="lt-LT"/>
        </w:rPr>
        <w:t>veikla.</w:t>
      </w:r>
    </w:p>
    <w:p w14:paraId="3757048A" w14:textId="77777777" w:rsidR="00093845" w:rsidRPr="0065344A" w:rsidRDefault="00F425B3">
      <w:pPr>
        <w:ind w:firstLine="720"/>
        <w:jc w:val="both"/>
        <w:rPr>
          <w:lang w:val="lt-LT"/>
        </w:rPr>
      </w:pPr>
      <w:r>
        <w:rPr>
          <w:iCs/>
          <w:lang w:val="lt-LT"/>
        </w:rPr>
        <w:t xml:space="preserve">  </w:t>
      </w:r>
      <w:r w:rsidR="000D779E">
        <w:rPr>
          <w:iCs/>
          <w:lang w:val="lt-LT"/>
        </w:rPr>
        <w:t>(Pakeistas 17 str. 1 dalies 6.14 punktas VMI prie FM 2016-05-16 raštu Nr. (18.32-31-1E)</w:t>
      </w:r>
      <w:r>
        <w:rPr>
          <w:iCs/>
          <w:lang w:val="lt-LT"/>
        </w:rPr>
        <w:t xml:space="preserve"> </w:t>
      </w:r>
      <w:r w:rsidR="000D779E">
        <w:rPr>
          <w:iCs/>
          <w:lang w:val="lt-LT"/>
        </w:rPr>
        <w:t>RM-14067)</w:t>
      </w:r>
    </w:p>
    <w:p w14:paraId="2055E8B8" w14:textId="77777777" w:rsidR="00093845" w:rsidRPr="0065344A" w:rsidRDefault="000D779E">
      <w:pPr>
        <w:ind w:firstLine="993"/>
        <w:jc w:val="both"/>
        <w:rPr>
          <w:lang w:val="lt-LT" w:eastAsia="lt-LT"/>
        </w:rPr>
      </w:pPr>
      <w:r w:rsidRPr="0065344A">
        <w:rPr>
          <w:b/>
          <w:bCs/>
          <w:lang w:val="lt-LT" w:eastAsia="lt-LT"/>
        </w:rPr>
        <w:t>6.15.</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darbo</w:t>
      </w:r>
      <w:r w:rsidRPr="0065344A">
        <w:rPr>
          <w:b/>
          <w:bCs/>
          <w:i/>
          <w:iCs/>
          <w:lang w:val="lt-LT" w:eastAsia="lt-LT"/>
        </w:rPr>
        <w:t xml:space="preserve"> </w:t>
      </w:r>
      <w:r w:rsidRPr="0065344A">
        <w:rPr>
          <w:b/>
          <w:bCs/>
          <w:lang w:val="lt-LT" w:eastAsia="lt-LT"/>
        </w:rPr>
        <w:t>saugos</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darbuotojų</w:t>
      </w:r>
      <w:r w:rsidRPr="0065344A">
        <w:rPr>
          <w:b/>
          <w:bCs/>
          <w:i/>
          <w:iCs/>
          <w:lang w:val="lt-LT" w:eastAsia="lt-LT"/>
        </w:rPr>
        <w:t xml:space="preserve"> </w:t>
      </w:r>
      <w:r w:rsidRPr="0065344A">
        <w:rPr>
          <w:b/>
          <w:bCs/>
          <w:lang w:val="lt-LT" w:eastAsia="lt-LT"/>
        </w:rPr>
        <w:t>sveikatos</w:t>
      </w:r>
      <w:r w:rsidRPr="0065344A">
        <w:rPr>
          <w:b/>
          <w:bCs/>
          <w:i/>
          <w:iCs/>
          <w:lang w:val="lt-LT" w:eastAsia="lt-LT"/>
        </w:rPr>
        <w:t xml:space="preserve"> </w:t>
      </w:r>
      <w:r w:rsidRPr="0065344A">
        <w:rPr>
          <w:b/>
          <w:bCs/>
          <w:lang w:val="lt-LT" w:eastAsia="lt-LT"/>
        </w:rPr>
        <w:t>apsaugos</w:t>
      </w:r>
      <w:r w:rsidRPr="0065344A">
        <w:rPr>
          <w:b/>
          <w:bCs/>
          <w:i/>
          <w:iCs/>
          <w:lang w:val="lt-LT" w:eastAsia="lt-LT"/>
        </w:rPr>
        <w:t xml:space="preserve"> </w:t>
      </w:r>
      <w:r w:rsidRPr="0065344A">
        <w:rPr>
          <w:b/>
          <w:bCs/>
          <w:lang w:val="lt-LT" w:eastAsia="lt-LT"/>
        </w:rPr>
        <w:t>išlaidų</w:t>
      </w:r>
    </w:p>
    <w:p w14:paraId="1ACD925E" w14:textId="77777777" w:rsidR="00093845" w:rsidRPr="0065344A" w:rsidRDefault="000D779E">
      <w:pPr>
        <w:ind w:firstLine="720"/>
        <w:jc w:val="both"/>
        <w:rPr>
          <w:lang w:val="lt-LT" w:eastAsia="lt-LT"/>
        </w:rPr>
      </w:pPr>
      <w:r w:rsidRPr="0065344A">
        <w:rPr>
          <w:lang w:val="lt-LT" w:eastAsia="lt-LT"/>
        </w:rPr>
        <w:lastRenderedPageBreak/>
        <w:t>6.15.1.</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įgyvendinant</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reglamentuojančiuose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kodekso</w:t>
      </w:r>
      <w:bookmarkStart w:id="278" w:name="pn1_2948"/>
      <w:bookmarkEnd w:id="278"/>
      <w:r w:rsidRPr="0065344A">
        <w:rPr>
          <w:lang w:val="lt-LT" w:eastAsia="lt-LT"/>
        </w:rPr>
        <w:t xml:space="preserve"> XVIII skyrius,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įstatyme</w:t>
      </w:r>
      <w:bookmarkStart w:id="279" w:name="pn1_2953"/>
      <w:bookmarkEnd w:id="279"/>
      <w:r w:rsidRPr="0065344A">
        <w:rPr>
          <w:lang w:val="lt-LT" w:eastAsia="lt-LT"/>
        </w:rPr>
        <w:t xml:space="preserve"> ir</w:t>
      </w:r>
      <w:r w:rsidRPr="0065344A">
        <w:rPr>
          <w:i/>
          <w:iCs/>
          <w:lang w:val="lt-LT" w:eastAsia="lt-LT"/>
        </w:rPr>
        <w:t xml:space="preserve"> </w:t>
      </w:r>
      <w:r w:rsidRPr="0065344A">
        <w:rPr>
          <w:lang w:val="lt-LT" w:eastAsia="lt-LT"/>
        </w:rPr>
        <w:t>kituose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numatytas</w:t>
      </w:r>
      <w:r w:rsidRPr="0065344A">
        <w:rPr>
          <w:i/>
          <w:iCs/>
          <w:lang w:val="lt-LT" w:eastAsia="lt-LT"/>
        </w:rPr>
        <w:t xml:space="preserve"> </w:t>
      </w:r>
      <w:r w:rsidRPr="0065344A">
        <w:rPr>
          <w:lang w:val="lt-LT" w:eastAsia="lt-LT"/>
        </w:rPr>
        <w:t>privalomas</w:t>
      </w:r>
      <w:r w:rsidRPr="0065344A">
        <w:rPr>
          <w:i/>
          <w:iCs/>
          <w:lang w:val="lt-LT" w:eastAsia="lt-LT"/>
        </w:rPr>
        <w:t xml:space="preserve"> </w:t>
      </w:r>
      <w:r w:rsidRPr="0065344A">
        <w:rPr>
          <w:lang w:val="lt-LT" w:eastAsia="lt-LT"/>
        </w:rPr>
        <w:t>kolektyvines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asmenines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priemones.</w:t>
      </w:r>
      <w:r w:rsidRPr="0065344A">
        <w:rPr>
          <w:i/>
          <w:iCs/>
          <w:lang w:val="lt-LT" w:eastAsia="lt-LT"/>
        </w:rPr>
        <w:t xml:space="preserve"> </w:t>
      </w:r>
      <w:r w:rsidRPr="0065344A">
        <w:rPr>
          <w:lang w:val="lt-LT" w:eastAsia="lt-LT"/>
        </w:rPr>
        <w:t>Tokioms</w:t>
      </w:r>
      <w:r w:rsidRPr="0065344A">
        <w:rPr>
          <w:i/>
          <w:iCs/>
          <w:lang w:val="lt-LT" w:eastAsia="lt-LT"/>
        </w:rPr>
        <w:t xml:space="preserve"> </w:t>
      </w:r>
      <w:r w:rsidRPr="0065344A">
        <w:rPr>
          <w:lang w:val="lt-LT" w:eastAsia="lt-LT"/>
        </w:rPr>
        <w:t>priemonėms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nelaimingų</w:t>
      </w:r>
      <w:r w:rsidRPr="0065344A">
        <w:rPr>
          <w:i/>
          <w:iCs/>
          <w:lang w:val="lt-LT" w:eastAsia="lt-LT"/>
        </w:rPr>
        <w:t xml:space="preserve"> </w:t>
      </w:r>
      <w:r w:rsidRPr="0065344A">
        <w:rPr>
          <w:lang w:val="lt-LT" w:eastAsia="lt-LT"/>
        </w:rPr>
        <w:t>atsitikimų</w:t>
      </w:r>
      <w:r w:rsidRPr="0065344A">
        <w:rPr>
          <w:i/>
          <w:iCs/>
          <w:lang w:val="lt-LT" w:eastAsia="lt-LT"/>
        </w:rPr>
        <w:t xml:space="preserve"> </w:t>
      </w:r>
      <w:r w:rsidRPr="0065344A">
        <w:rPr>
          <w:lang w:val="lt-LT" w:eastAsia="lt-LT"/>
        </w:rPr>
        <w:t>prevencijos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(specialių</w:t>
      </w:r>
      <w:r w:rsidRPr="0065344A">
        <w:rPr>
          <w:i/>
          <w:iCs/>
          <w:lang w:val="lt-LT" w:eastAsia="lt-LT"/>
        </w:rPr>
        <w:t xml:space="preserve"> </w:t>
      </w:r>
      <w:r w:rsidRPr="0065344A">
        <w:rPr>
          <w:lang w:val="lt-LT" w:eastAsia="lt-LT"/>
        </w:rPr>
        <w:t>rūbų,</w:t>
      </w:r>
      <w:r w:rsidRPr="0065344A">
        <w:rPr>
          <w:i/>
          <w:iCs/>
          <w:lang w:val="lt-LT" w:eastAsia="lt-LT"/>
        </w:rPr>
        <w:t xml:space="preserve"> </w:t>
      </w:r>
      <w:r w:rsidRPr="0065344A">
        <w:rPr>
          <w:lang w:val="lt-LT" w:eastAsia="lt-LT"/>
        </w:rPr>
        <w:t>akinių,</w:t>
      </w:r>
      <w:r w:rsidRPr="0065344A">
        <w:rPr>
          <w:i/>
          <w:iCs/>
          <w:lang w:val="lt-LT" w:eastAsia="lt-LT"/>
        </w:rPr>
        <w:t xml:space="preserve"> </w:t>
      </w:r>
      <w:r w:rsidRPr="0065344A">
        <w:rPr>
          <w:lang w:val="lt-LT" w:eastAsia="lt-LT"/>
        </w:rPr>
        <w:t>pirštinių,</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kolektyvinėse</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numatytų</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įsigijimas,</w:t>
      </w:r>
      <w:r w:rsidRPr="0065344A">
        <w:rPr>
          <w:i/>
          <w:iCs/>
          <w:lang w:val="lt-LT" w:eastAsia="lt-LT"/>
        </w:rPr>
        <w:t xml:space="preserve"> </w:t>
      </w:r>
      <w:r w:rsidRPr="0065344A">
        <w:rPr>
          <w:lang w:val="lt-LT" w:eastAsia="lt-LT"/>
        </w:rPr>
        <w:t>saugių</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vietų</w:t>
      </w:r>
      <w:r w:rsidRPr="0065344A">
        <w:rPr>
          <w:i/>
          <w:iCs/>
          <w:lang w:val="lt-LT" w:eastAsia="lt-LT"/>
        </w:rPr>
        <w:t xml:space="preserve"> </w:t>
      </w:r>
      <w:r w:rsidRPr="0065344A">
        <w:rPr>
          <w:lang w:val="lt-LT" w:eastAsia="lt-LT"/>
        </w:rPr>
        <w:t>sukūrimas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profesinių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prevencijos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(medicininiai</w:t>
      </w:r>
      <w:r w:rsidRPr="0065344A">
        <w:rPr>
          <w:i/>
          <w:iCs/>
          <w:lang w:val="lt-LT" w:eastAsia="lt-LT"/>
        </w:rPr>
        <w:t xml:space="preserve"> </w:t>
      </w:r>
      <w:r w:rsidRPr="0065344A">
        <w:rPr>
          <w:lang w:val="lt-LT" w:eastAsia="lt-LT"/>
        </w:rPr>
        <w:t>patikrinimai,</w:t>
      </w:r>
      <w:r w:rsidRPr="0065344A">
        <w:rPr>
          <w:i/>
          <w:iCs/>
          <w:lang w:val="lt-LT" w:eastAsia="lt-LT"/>
        </w:rPr>
        <w:t xml:space="preserve"> </w:t>
      </w:r>
      <w:r w:rsidRPr="0065344A">
        <w:rPr>
          <w:lang w:val="lt-LT" w:eastAsia="lt-LT"/>
        </w:rPr>
        <w:t>skiepai,</w:t>
      </w:r>
      <w:r w:rsidRPr="0065344A">
        <w:rPr>
          <w:i/>
          <w:iCs/>
          <w:lang w:val="lt-LT" w:eastAsia="lt-LT"/>
        </w:rPr>
        <w:t xml:space="preserve"> </w:t>
      </w:r>
      <w:r w:rsidRPr="0065344A">
        <w:rPr>
          <w:lang w:val="lt-LT" w:eastAsia="lt-LT"/>
        </w:rPr>
        <w:t>ventiliacijos</w:t>
      </w:r>
      <w:r w:rsidRPr="0065344A">
        <w:rPr>
          <w:i/>
          <w:iCs/>
          <w:lang w:val="lt-LT" w:eastAsia="lt-LT"/>
        </w:rPr>
        <w:t xml:space="preserve"> </w:t>
      </w:r>
      <w:r w:rsidRPr="0065344A">
        <w:rPr>
          <w:lang w:val="lt-LT" w:eastAsia="lt-LT"/>
        </w:rPr>
        <w:t>įrenginiai,</w:t>
      </w:r>
      <w:r w:rsidRPr="0065344A">
        <w:rPr>
          <w:i/>
          <w:iCs/>
          <w:lang w:val="lt-LT" w:eastAsia="lt-LT"/>
        </w:rPr>
        <w:t xml:space="preserve"> </w:t>
      </w:r>
      <w:r w:rsidRPr="0065344A">
        <w:rPr>
          <w:lang w:val="lt-LT" w:eastAsia="lt-LT"/>
        </w:rPr>
        <w:t>kinozeterapijos</w:t>
      </w:r>
      <w:r w:rsidRPr="0065344A">
        <w:rPr>
          <w:i/>
          <w:iCs/>
          <w:lang w:val="lt-LT" w:eastAsia="lt-LT"/>
        </w:rPr>
        <w:t xml:space="preserve"> </w:t>
      </w:r>
      <w:r w:rsidRPr="0065344A">
        <w:rPr>
          <w:lang w:val="lt-LT" w:eastAsia="lt-LT"/>
        </w:rPr>
        <w:t>seansai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vaistinėlių įsigijimo išlaidos</w:t>
      </w:r>
      <w:r w:rsidRPr="0065344A">
        <w:rPr>
          <w:b/>
          <w:lang w:val="lt-LT" w:eastAsia="lt-LT"/>
        </w:rPr>
        <w:t>,</w:t>
      </w:r>
      <w:r w:rsidRPr="0065344A">
        <w:rPr>
          <w:iCs/>
          <w:lang w:val="lt-LT" w:eastAsia="lt-LT"/>
        </w:rPr>
        <w:t xml:space="preserve"> pirmosios pagalbos suteikimo darbuotojams</w:t>
      </w:r>
      <w:r w:rsidRPr="0065344A">
        <w:rPr>
          <w:lang w:val="lt-LT" w:eastAsia="lt-LT"/>
        </w:rPr>
        <w:t xml:space="preserve"> pirmąją</w:t>
      </w:r>
      <w:r w:rsidRPr="0065344A">
        <w:rPr>
          <w:i/>
          <w:iCs/>
          <w:lang w:val="lt-LT" w:eastAsia="lt-LT"/>
        </w:rPr>
        <w:t xml:space="preserve"> </w:t>
      </w:r>
      <w:r w:rsidRPr="0065344A">
        <w:rPr>
          <w:lang w:val="lt-LT" w:eastAsia="lt-LT"/>
        </w:rPr>
        <w:t>pagalbą</w:t>
      </w:r>
      <w:r w:rsidRPr="0065344A">
        <w:rPr>
          <w:i/>
          <w:iCs/>
          <w:lang w:val="lt-LT" w:eastAsia="lt-LT"/>
        </w:rPr>
        <w:t xml:space="preserve"> </w:t>
      </w:r>
      <w:r w:rsidRPr="0065344A">
        <w:rPr>
          <w:lang w:val="lt-LT" w:eastAsia="lt-LT"/>
        </w:rPr>
        <w:t>teikiančių</w:t>
      </w:r>
      <w:r w:rsidRPr="0065344A">
        <w:rPr>
          <w:i/>
          <w:iCs/>
          <w:lang w:val="lt-LT" w:eastAsia="lt-LT"/>
        </w:rPr>
        <w:t xml:space="preserve"> </w:t>
      </w:r>
      <w:r w:rsidRPr="0065344A">
        <w:rPr>
          <w:lang w:val="lt-LT" w:eastAsia="lt-LT"/>
        </w:rPr>
        <w:t>punktų,</w:t>
      </w:r>
      <w:r w:rsidRPr="0065344A">
        <w:rPr>
          <w:i/>
          <w:iCs/>
          <w:lang w:val="lt-LT" w:eastAsia="lt-LT"/>
        </w:rPr>
        <w:t xml:space="preserve"> </w:t>
      </w:r>
      <w:r w:rsidRPr="0065344A">
        <w:rPr>
          <w:lang w:val="lt-LT" w:eastAsia="lt-LT"/>
        </w:rPr>
        <w:t>organizavimas.</w:t>
      </w:r>
      <w:r w:rsidRPr="0065344A">
        <w:rPr>
          <w:i/>
          <w:iCs/>
          <w:lang w:val="lt-LT" w:eastAsia="lt-LT"/>
        </w:rPr>
        <w:t xml:space="preserve"> </w:t>
      </w:r>
    </w:p>
    <w:p w14:paraId="5B74EA7A"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Pavyzdžiai</w:t>
      </w:r>
      <w:r w:rsidRPr="0065344A">
        <w:rPr>
          <w:lang w:val="lt-LT" w:eastAsia="lt-LT"/>
        </w:rPr>
        <w:t> </w:t>
      </w:r>
    </w:p>
    <w:p w14:paraId="2F542B5B"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Pagal</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radiacinės</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įstatymą</w:t>
      </w:r>
      <w:bookmarkStart w:id="280" w:name="pn1_2954"/>
      <w:bookmarkEnd w:id="280"/>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1999</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gegužės</w:t>
      </w:r>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544</w:t>
      </w:r>
      <w:r w:rsidRPr="0065344A">
        <w:rPr>
          <w:i/>
          <w:iCs/>
          <w:lang w:val="lt-LT" w:eastAsia="lt-LT"/>
        </w:rPr>
        <w:t xml:space="preserve"> </w:t>
      </w:r>
      <w:r w:rsidRPr="0065344A">
        <w:rPr>
          <w:lang w:val="lt-LT" w:eastAsia="lt-LT"/>
        </w:rPr>
        <w:t>patvirtintą</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sričių,</w:t>
      </w:r>
      <w:r w:rsidRPr="0065344A">
        <w:rPr>
          <w:i/>
          <w:iCs/>
          <w:lang w:val="lt-LT" w:eastAsia="lt-LT"/>
        </w:rPr>
        <w:t xml:space="preserve"> </w:t>
      </w:r>
      <w:r w:rsidRPr="0065344A">
        <w:rPr>
          <w:lang w:val="lt-LT" w:eastAsia="lt-LT"/>
        </w:rPr>
        <w:t>kuriose</w:t>
      </w:r>
      <w:r w:rsidRPr="0065344A">
        <w:rPr>
          <w:i/>
          <w:iCs/>
          <w:lang w:val="lt-LT" w:eastAsia="lt-LT"/>
        </w:rPr>
        <w:t xml:space="preserve"> </w:t>
      </w:r>
      <w:r w:rsidRPr="0065344A">
        <w:rPr>
          <w:lang w:val="lt-LT" w:eastAsia="lt-LT"/>
        </w:rPr>
        <w:t>leidžiama</w:t>
      </w:r>
      <w:r w:rsidRPr="0065344A">
        <w:rPr>
          <w:i/>
          <w:iCs/>
          <w:lang w:val="lt-LT" w:eastAsia="lt-LT"/>
        </w:rPr>
        <w:t xml:space="preserve"> </w:t>
      </w:r>
      <w:r w:rsidRPr="0065344A">
        <w:rPr>
          <w:lang w:val="lt-LT" w:eastAsia="lt-LT"/>
        </w:rPr>
        <w:t>dirbti</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anksto</w:t>
      </w:r>
      <w:r w:rsidRPr="0065344A">
        <w:rPr>
          <w:i/>
          <w:iCs/>
          <w:lang w:val="lt-LT" w:eastAsia="lt-LT"/>
        </w:rPr>
        <w:t xml:space="preserve"> </w:t>
      </w:r>
      <w:r w:rsidRPr="0065344A">
        <w:rPr>
          <w:lang w:val="lt-LT" w:eastAsia="lt-LT"/>
        </w:rPr>
        <w:t>pasitikrinusiems</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vėliau</w:t>
      </w:r>
      <w:r w:rsidRPr="0065344A">
        <w:rPr>
          <w:i/>
          <w:iCs/>
          <w:lang w:val="lt-LT" w:eastAsia="lt-LT"/>
        </w:rPr>
        <w:t xml:space="preserve"> </w:t>
      </w:r>
      <w:r w:rsidRPr="0065344A">
        <w:rPr>
          <w:lang w:val="lt-LT" w:eastAsia="lt-LT"/>
        </w:rPr>
        <w:t>besitikrinantiems</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užkrečiamų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sąrašo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šių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tikrinimo</w:t>
      </w:r>
      <w:r w:rsidRPr="0065344A">
        <w:rPr>
          <w:i/>
          <w:iCs/>
          <w:lang w:val="lt-LT" w:eastAsia="lt-LT"/>
        </w:rPr>
        <w:t xml:space="preserve"> </w:t>
      </w:r>
      <w:r w:rsidRPr="0065344A">
        <w:rPr>
          <w:lang w:val="lt-LT" w:eastAsia="lt-LT"/>
        </w:rPr>
        <w:t>tvarką</w:t>
      </w:r>
      <w:bookmarkStart w:id="281" w:name="pn1_2956"/>
      <w:bookmarkStart w:id="282" w:name="pn1_2955"/>
      <w:bookmarkEnd w:id="281"/>
      <w:bookmarkEnd w:id="282"/>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lėšų</w:t>
      </w:r>
      <w:r w:rsidRPr="0065344A">
        <w:rPr>
          <w:i/>
          <w:iCs/>
          <w:lang w:val="lt-LT" w:eastAsia="lt-LT"/>
        </w:rPr>
        <w:t xml:space="preserve"> </w:t>
      </w:r>
      <w:r w:rsidRPr="0065344A">
        <w:rPr>
          <w:lang w:val="lt-LT" w:eastAsia="lt-LT"/>
        </w:rPr>
        <w:t>apmokamos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periodišką</w:t>
      </w:r>
      <w:r w:rsidRPr="0065344A">
        <w:rPr>
          <w:i/>
          <w:iCs/>
          <w:lang w:val="lt-LT" w:eastAsia="lt-LT"/>
        </w:rPr>
        <w:t xml:space="preserve"> </w:t>
      </w:r>
      <w:r w:rsidRPr="0065344A">
        <w:rPr>
          <w:lang w:val="lt-LT" w:eastAsia="lt-LT"/>
        </w:rPr>
        <w:t>medicininę</w:t>
      </w:r>
      <w:r w:rsidRPr="0065344A">
        <w:rPr>
          <w:i/>
          <w:iCs/>
          <w:lang w:val="lt-LT" w:eastAsia="lt-LT"/>
        </w:rPr>
        <w:t xml:space="preserve"> </w:t>
      </w:r>
      <w:r w:rsidRPr="0065344A">
        <w:rPr>
          <w:lang w:val="lt-LT" w:eastAsia="lt-LT"/>
        </w:rPr>
        <w:t>apžiūrą</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p>
    <w:p w14:paraId="4B0FFE27"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Minėtame</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saugos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įstatyme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pareiga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užtikrinti</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saugą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sveikatą</w:t>
      </w:r>
      <w:r w:rsidRPr="0065344A">
        <w:rPr>
          <w:i/>
          <w:iCs/>
          <w:lang w:val="lt-LT" w:eastAsia="lt-LT"/>
        </w:rPr>
        <w:t xml:space="preserve"> </w:t>
      </w:r>
      <w:r w:rsidRPr="0065344A">
        <w:rPr>
          <w:lang w:val="lt-LT" w:eastAsia="lt-LT"/>
        </w:rPr>
        <w:t>visais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w:t>
      </w:r>
      <w:r w:rsidRPr="0065344A">
        <w:rPr>
          <w:i/>
          <w:iCs/>
          <w:lang w:val="lt-LT" w:eastAsia="lt-LT"/>
        </w:rPr>
        <w:t xml:space="preserve"> </w:t>
      </w:r>
      <w:r w:rsidRPr="0065344A">
        <w:rPr>
          <w:lang w:val="lt-LT" w:eastAsia="lt-LT"/>
        </w:rPr>
        <w:t>susijusiais</w:t>
      </w:r>
      <w:r w:rsidRPr="0065344A">
        <w:rPr>
          <w:i/>
          <w:iCs/>
          <w:lang w:val="lt-LT" w:eastAsia="lt-LT"/>
        </w:rPr>
        <w:t xml:space="preserve"> </w:t>
      </w:r>
      <w:r w:rsidRPr="0065344A">
        <w:rPr>
          <w:lang w:val="lt-LT" w:eastAsia="lt-LT"/>
        </w:rPr>
        <w:t>aspektais.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šią</w:t>
      </w:r>
      <w:r w:rsidRPr="0065344A">
        <w:rPr>
          <w:i/>
          <w:iCs/>
          <w:lang w:val="lt-LT" w:eastAsia="lt-LT"/>
        </w:rPr>
        <w:t xml:space="preserve"> </w:t>
      </w:r>
      <w:r w:rsidRPr="0065344A">
        <w:rPr>
          <w:lang w:val="lt-LT" w:eastAsia="lt-LT"/>
        </w:rPr>
        <w:t>pareigą</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tiesiogines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funkcijas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tikimybė</w:t>
      </w:r>
      <w:r w:rsidRPr="0065344A">
        <w:rPr>
          <w:i/>
          <w:iCs/>
          <w:lang w:val="lt-LT" w:eastAsia="lt-LT"/>
        </w:rPr>
        <w:t xml:space="preserve"> </w:t>
      </w:r>
      <w:r w:rsidRPr="0065344A">
        <w:rPr>
          <w:lang w:val="lt-LT" w:eastAsia="lt-LT"/>
        </w:rPr>
        <w:t>užsikrėsti</w:t>
      </w:r>
      <w:r w:rsidRPr="0065344A">
        <w:rPr>
          <w:i/>
          <w:iCs/>
          <w:lang w:val="lt-LT" w:eastAsia="lt-LT"/>
        </w:rPr>
        <w:t xml:space="preserve"> </w:t>
      </w:r>
      <w:r w:rsidRPr="0065344A">
        <w:rPr>
          <w:lang w:val="lt-LT" w:eastAsia="lt-LT"/>
        </w:rPr>
        <w:t>infekcinėmis</w:t>
      </w:r>
      <w:r w:rsidRPr="0065344A">
        <w:rPr>
          <w:i/>
          <w:iCs/>
          <w:lang w:val="lt-LT" w:eastAsia="lt-LT"/>
        </w:rPr>
        <w:t xml:space="preserve"> </w:t>
      </w:r>
      <w:r w:rsidRPr="0065344A">
        <w:rPr>
          <w:lang w:val="lt-LT" w:eastAsia="lt-LT"/>
        </w:rPr>
        <w:t>ligomis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jie</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pripažintos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profesijų</w:t>
      </w:r>
      <w:r w:rsidRPr="0065344A">
        <w:rPr>
          <w:i/>
          <w:iCs/>
          <w:lang w:val="lt-LT" w:eastAsia="lt-LT"/>
        </w:rPr>
        <w:t xml:space="preserve"> </w:t>
      </w:r>
      <w:r w:rsidRPr="0065344A">
        <w:rPr>
          <w:lang w:val="lt-LT" w:eastAsia="lt-LT"/>
        </w:rPr>
        <w:t>sąrašas</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Sąrašas)</w:t>
      </w:r>
      <w:r w:rsidRPr="0065344A">
        <w:rPr>
          <w:i/>
          <w:iCs/>
          <w:lang w:val="lt-LT" w:eastAsia="lt-LT"/>
        </w:rPr>
        <w:t xml:space="preserve"> </w:t>
      </w:r>
      <w:r w:rsidRPr="0065344A">
        <w:rPr>
          <w:lang w:val="lt-LT" w:eastAsia="lt-LT"/>
        </w:rPr>
        <w:t>patvirtintas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ministro</w:t>
      </w:r>
      <w:r w:rsidRPr="0065344A">
        <w:rPr>
          <w:i/>
          <w:iCs/>
          <w:lang w:val="lt-LT" w:eastAsia="lt-LT"/>
        </w:rPr>
        <w:t xml:space="preserve"> </w:t>
      </w:r>
      <w:r w:rsidRPr="0065344A">
        <w:rPr>
          <w:lang w:val="lt-LT" w:eastAsia="lt-LT"/>
        </w:rPr>
        <w:t>2004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spalio</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įsakymu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V-716),</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skiepijimo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skiepijami</w:t>
      </w:r>
      <w:r w:rsidRPr="0065344A">
        <w:rPr>
          <w:i/>
          <w:iCs/>
          <w:lang w:val="lt-LT" w:eastAsia="lt-LT"/>
        </w:rPr>
        <w:t xml:space="preserve"> </w:t>
      </w:r>
      <w:r w:rsidRPr="0065344A">
        <w:rPr>
          <w:lang w:val="lt-LT" w:eastAsia="lt-LT"/>
        </w:rPr>
        <w:t>darbuotojai,</w:t>
      </w:r>
      <w:r w:rsidRPr="0065344A">
        <w:rPr>
          <w:i/>
          <w:iCs/>
          <w:lang w:val="lt-LT" w:eastAsia="lt-LT"/>
        </w:rPr>
        <w:t xml:space="preserve"> </w:t>
      </w:r>
      <w:r w:rsidRPr="0065344A">
        <w:rPr>
          <w:lang w:val="lt-LT" w:eastAsia="lt-LT"/>
        </w:rPr>
        <w:t>kurių</w:t>
      </w:r>
      <w:r w:rsidRPr="0065344A">
        <w:rPr>
          <w:i/>
          <w:iCs/>
          <w:lang w:val="lt-LT" w:eastAsia="lt-LT"/>
        </w:rPr>
        <w:t xml:space="preserve"> </w:t>
      </w:r>
      <w:r w:rsidRPr="0065344A">
        <w:rPr>
          <w:lang w:val="lt-LT" w:eastAsia="lt-LT"/>
        </w:rPr>
        <w:t>profesijos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pareigybės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įtrauktos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Sąrašą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įgalioto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sudarytą</w:t>
      </w:r>
      <w:r w:rsidRPr="0065344A">
        <w:rPr>
          <w:i/>
          <w:iCs/>
          <w:lang w:val="lt-LT" w:eastAsia="lt-LT"/>
        </w:rPr>
        <w:t xml:space="preserve"> </w:t>
      </w:r>
      <w:r w:rsidRPr="0065344A">
        <w:rPr>
          <w:lang w:val="lt-LT" w:eastAsia="lt-LT"/>
        </w:rPr>
        <w:t>sąrašą.</w:t>
      </w:r>
    </w:p>
    <w:p w14:paraId="3F95EB92" w14:textId="77777777" w:rsidR="00093845" w:rsidRPr="0065344A" w:rsidRDefault="00F425B3">
      <w:pPr>
        <w:ind w:firstLine="720"/>
        <w:jc w:val="both"/>
        <w:rPr>
          <w:lang w:val="lt-LT"/>
        </w:rPr>
      </w:pPr>
      <w:r>
        <w:rPr>
          <w:iCs/>
          <w:lang w:val="lt-LT"/>
        </w:rPr>
        <w:t xml:space="preserve">    </w:t>
      </w:r>
      <w:r w:rsidR="000D779E">
        <w:rPr>
          <w:iCs/>
          <w:lang w:val="lt-LT"/>
        </w:rPr>
        <w:t>(Pakeistas 17 str. 1 dalies 6.15 punkto 1 papunktis VMI prie FM 2016-05-16 raštu Nr. (18.32-31-1E)</w:t>
      </w:r>
      <w:r>
        <w:rPr>
          <w:iCs/>
          <w:lang w:val="lt-LT"/>
        </w:rPr>
        <w:t xml:space="preserve"> </w:t>
      </w:r>
      <w:r w:rsidR="000D779E">
        <w:rPr>
          <w:iCs/>
          <w:lang w:val="lt-LT"/>
        </w:rPr>
        <w:t>RM-14067)</w:t>
      </w:r>
    </w:p>
    <w:p w14:paraId="757B0BDD" w14:textId="77777777" w:rsidR="00093845" w:rsidRPr="0065344A" w:rsidRDefault="000D779E">
      <w:pPr>
        <w:ind w:firstLine="993"/>
        <w:jc w:val="both"/>
        <w:rPr>
          <w:lang w:val="lt-LT" w:eastAsia="lt-LT"/>
        </w:rPr>
      </w:pPr>
      <w:r w:rsidRPr="0065344A">
        <w:rPr>
          <w:lang w:val="lt-LT" w:eastAsia="lt-LT"/>
        </w:rPr>
        <w:t> 6.15.2.</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įgyvendinamos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reabilitacijos</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aktus</w:t>
      </w:r>
      <w:r w:rsidRPr="0065344A">
        <w:rPr>
          <w:i/>
          <w:iCs/>
          <w:lang w:val="lt-LT" w:eastAsia="lt-LT"/>
        </w:rPr>
        <w:t xml:space="preserve"> </w:t>
      </w:r>
      <w:r w:rsidRPr="0065344A">
        <w:rPr>
          <w:lang w:val="lt-LT" w:eastAsia="lt-LT"/>
        </w:rPr>
        <w:t>nėra</w:t>
      </w:r>
      <w:r w:rsidRPr="0065344A">
        <w:rPr>
          <w:i/>
          <w:iCs/>
          <w:lang w:val="lt-LT" w:eastAsia="lt-LT"/>
        </w:rPr>
        <w:t xml:space="preserve"> </w:t>
      </w:r>
      <w:r w:rsidRPr="0065344A">
        <w:rPr>
          <w:lang w:val="lt-LT" w:eastAsia="lt-LT"/>
        </w:rPr>
        <w:t>privalomos,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taikant</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nustatyti</w:t>
      </w:r>
      <w:r w:rsidRPr="0065344A">
        <w:rPr>
          <w:i/>
          <w:iCs/>
          <w:lang w:val="lt-LT" w:eastAsia="lt-LT"/>
        </w:rPr>
        <w:t xml:space="preserve"> </w:t>
      </w:r>
      <w:r w:rsidRPr="0065344A">
        <w:rPr>
          <w:lang w:val="lt-LT" w:eastAsia="lt-LT"/>
        </w:rPr>
        <w:t>konkretaus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gautą</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metais</w:t>
      </w:r>
      <w:r w:rsidRPr="0065344A">
        <w:rPr>
          <w:i/>
          <w:iCs/>
          <w:lang w:val="lt-LT" w:eastAsia="lt-LT"/>
        </w:rPr>
        <w:t xml:space="preserve"> </w:t>
      </w:r>
      <w:r w:rsidRPr="0065344A">
        <w:rPr>
          <w:lang w:val="lt-LT" w:eastAsia="lt-LT"/>
        </w:rPr>
        <w:t>prasidėjusio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p>
    <w:p w14:paraId="0C831699" w14:textId="77777777" w:rsidR="00093845" w:rsidRDefault="000D779E">
      <w:pPr>
        <w:ind w:firstLine="993"/>
        <w:jc w:val="both"/>
        <w:rPr>
          <w:lang w:eastAsia="lt-LT"/>
        </w:rPr>
      </w:pPr>
      <w:r w:rsidRPr="0065344A">
        <w:rPr>
          <w:lang w:val="lt-LT" w:eastAsia="lt-LT"/>
        </w:rPr>
        <w:t>6.15.3.</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įgyvendinant</w:t>
      </w:r>
      <w:r w:rsidRPr="0065344A">
        <w:rPr>
          <w:i/>
          <w:iCs/>
          <w:lang w:val="lt-LT" w:eastAsia="lt-LT"/>
        </w:rPr>
        <w:t xml:space="preserve"> </w:t>
      </w:r>
      <w:r w:rsidRPr="0065344A">
        <w:rPr>
          <w:lang w:val="lt-LT" w:eastAsia="lt-LT"/>
        </w:rPr>
        <w:t>papildomas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aktus</w:t>
      </w:r>
      <w:r w:rsidRPr="0065344A">
        <w:rPr>
          <w:i/>
          <w:iCs/>
          <w:lang w:val="lt-LT" w:eastAsia="lt-LT"/>
        </w:rPr>
        <w:t xml:space="preserve"> </w:t>
      </w:r>
      <w:r w:rsidRPr="0065344A">
        <w:rPr>
          <w:lang w:val="lt-LT" w:eastAsia="lt-LT"/>
        </w:rPr>
        <w:t>neprivalomas)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reabilitacijos</w:t>
      </w:r>
      <w:r w:rsidRPr="0065344A">
        <w:rPr>
          <w:i/>
          <w:iCs/>
          <w:lang w:val="lt-LT" w:eastAsia="lt-LT"/>
        </w:rPr>
        <w:t xml:space="preserve"> </w:t>
      </w:r>
      <w:r w:rsidRPr="0065344A">
        <w:rPr>
          <w:lang w:val="lt-LT" w:eastAsia="lt-LT"/>
        </w:rPr>
        <w:t>priemones,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neįmanoma</w:t>
      </w:r>
      <w:r w:rsidRPr="0065344A">
        <w:rPr>
          <w:i/>
          <w:iCs/>
          <w:lang w:val="lt-LT" w:eastAsia="lt-LT"/>
        </w:rPr>
        <w:t xml:space="preserve"> </w:t>
      </w:r>
      <w:r w:rsidRPr="0065344A">
        <w:rPr>
          <w:lang w:val="lt-LT" w:eastAsia="lt-LT"/>
        </w:rPr>
        <w:t>nustatyti</w:t>
      </w:r>
      <w:r w:rsidRPr="0065344A">
        <w:rPr>
          <w:i/>
          <w:iCs/>
          <w:lang w:val="lt-LT" w:eastAsia="lt-LT"/>
        </w:rPr>
        <w:t xml:space="preserve"> </w:t>
      </w:r>
      <w:r w:rsidRPr="0065344A">
        <w:rPr>
          <w:lang w:val="lt-LT" w:eastAsia="lt-LT"/>
        </w:rPr>
        <w:t>konkretaus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tokių</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taikymas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numatytas</w:t>
      </w:r>
      <w:r w:rsidRPr="0065344A">
        <w:rPr>
          <w:i/>
          <w:iCs/>
          <w:lang w:val="lt-LT" w:eastAsia="lt-LT"/>
        </w:rPr>
        <w:t xml:space="preserve"> </w:t>
      </w:r>
      <w:r w:rsidRPr="0065344A">
        <w:rPr>
          <w:lang w:val="lt-LT" w:eastAsia="lt-LT"/>
        </w:rPr>
        <w:t>kolektyvinėje</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metais</w:t>
      </w:r>
      <w:r w:rsidRPr="0065344A">
        <w:rPr>
          <w:i/>
          <w:iCs/>
          <w:lang w:val="lt-LT" w:eastAsia="lt-LT"/>
        </w:rPr>
        <w:t xml:space="preserve"> </w:t>
      </w:r>
      <w:r w:rsidRPr="0065344A">
        <w:rPr>
          <w:lang w:val="lt-LT" w:eastAsia="lt-LT"/>
        </w:rPr>
        <w:t>prasidėjusio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vadovaujantis</w:t>
      </w:r>
      <w:r w:rsidRPr="0065344A">
        <w:rPr>
          <w:i/>
          <w:iCs/>
          <w:lang w:val="lt-LT" w:eastAsia="lt-LT"/>
        </w:rPr>
        <w:t xml:space="preserve"> </w:t>
      </w:r>
      <w:bookmarkStart w:id="283" w:name="n1_2957"/>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84" w:name="pn1_2957"/>
      <w:bookmarkEnd w:id="283"/>
      <w:bookmarkEnd w:id="284"/>
      <w:r w:rsidRPr="0065344A">
        <w:rPr>
          <w:i/>
          <w:iCs/>
          <w:lang w:val="lt-LT" w:eastAsia="lt-LT"/>
        </w:rPr>
        <w:t xml:space="preserve"> </w:t>
      </w:r>
      <w:r w:rsidRPr="0065344A">
        <w:rPr>
          <w:lang w:val="lt-LT" w:eastAsia="lt-LT"/>
        </w:rPr>
        <w:t>26</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dalies</w:t>
      </w:r>
      <w:r w:rsidRPr="0065344A">
        <w:rPr>
          <w:i/>
          <w:iCs/>
          <w:lang w:val="lt-LT" w:eastAsia="lt-LT"/>
        </w:rPr>
        <w:t xml:space="preserve"> </w:t>
      </w:r>
      <w:r w:rsidRPr="0065344A">
        <w:rPr>
          <w:lang w:val="lt-LT" w:eastAsia="lt-LT"/>
        </w:rPr>
        <w:t>nuostatomis</w:t>
      </w:r>
      <w:r w:rsidRPr="0065344A">
        <w:rPr>
          <w:i/>
          <w:iCs/>
          <w:lang w:val="lt-LT" w:eastAsia="lt-LT"/>
        </w:rPr>
        <w:t xml:space="preserve"> </w:t>
      </w:r>
      <w:r w:rsidRPr="0065344A">
        <w:rPr>
          <w:lang w:val="lt-LT" w:eastAsia="lt-LT"/>
        </w:rPr>
        <w:t>(žr.</w:t>
      </w:r>
      <w:r w:rsidRPr="0065344A">
        <w:rPr>
          <w:i/>
          <w:iCs/>
          <w:lang w:val="lt-LT" w:eastAsia="lt-LT"/>
        </w:rPr>
        <w:t xml:space="preserve"> </w:t>
      </w:r>
      <w:bookmarkStart w:id="285" w:name="n1_2962"/>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86" w:name="pn1_2962"/>
      <w:bookmarkEnd w:id="285"/>
      <w:bookmarkEnd w:id="286"/>
      <w:r>
        <w:rPr>
          <w:i/>
          <w:iCs/>
          <w:lang w:eastAsia="lt-LT"/>
        </w:rPr>
        <w:t xml:space="preserve"> </w:t>
      </w:r>
      <w:r>
        <w:rPr>
          <w:lang w:eastAsia="lt-LT"/>
        </w:rPr>
        <w:t>26</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komentarą).</w:t>
      </w:r>
    </w:p>
    <w:p w14:paraId="1C06A20F" w14:textId="77777777" w:rsidR="00093845" w:rsidRDefault="000D779E">
      <w:pPr>
        <w:ind w:firstLine="993"/>
        <w:jc w:val="both"/>
        <w:rPr>
          <w:lang w:eastAsia="lt-LT"/>
        </w:rPr>
      </w:pPr>
      <w:r>
        <w:rPr>
          <w:b/>
          <w:bCs/>
          <w:lang w:eastAsia="lt-LT"/>
        </w:rPr>
        <w:t>6.16.</w:t>
      </w:r>
      <w:r>
        <w:rPr>
          <w:b/>
          <w:bCs/>
          <w:i/>
          <w:iCs/>
          <w:lang w:eastAsia="lt-LT"/>
        </w:rPr>
        <w:t xml:space="preserve"> </w:t>
      </w:r>
      <w:r>
        <w:rPr>
          <w:b/>
          <w:bCs/>
          <w:lang w:eastAsia="lt-LT"/>
        </w:rPr>
        <w:t>Dėl</w:t>
      </w:r>
      <w:r>
        <w:rPr>
          <w:b/>
          <w:bCs/>
          <w:i/>
          <w:iCs/>
          <w:lang w:eastAsia="lt-LT"/>
        </w:rPr>
        <w:t xml:space="preserve"> </w:t>
      </w:r>
      <w:r>
        <w:rPr>
          <w:b/>
          <w:bCs/>
          <w:lang w:eastAsia="lt-LT"/>
        </w:rPr>
        <w:t>sanitarijos</w:t>
      </w:r>
      <w:r>
        <w:rPr>
          <w:b/>
          <w:bCs/>
          <w:i/>
          <w:iCs/>
          <w:lang w:eastAsia="lt-LT"/>
        </w:rPr>
        <w:t xml:space="preserve"> </w:t>
      </w:r>
      <w:r>
        <w:rPr>
          <w:b/>
          <w:bCs/>
          <w:lang w:eastAsia="lt-LT"/>
        </w:rPr>
        <w:t>ir</w:t>
      </w:r>
      <w:r>
        <w:rPr>
          <w:b/>
          <w:bCs/>
          <w:i/>
          <w:iCs/>
          <w:lang w:eastAsia="lt-LT"/>
        </w:rPr>
        <w:t xml:space="preserve"> </w:t>
      </w:r>
      <w:r>
        <w:rPr>
          <w:b/>
          <w:bCs/>
          <w:lang w:eastAsia="lt-LT"/>
        </w:rPr>
        <w:t>higienos</w:t>
      </w:r>
      <w:r>
        <w:rPr>
          <w:b/>
          <w:bCs/>
          <w:i/>
          <w:iCs/>
          <w:lang w:eastAsia="lt-LT"/>
        </w:rPr>
        <w:t xml:space="preserve"> </w:t>
      </w:r>
      <w:r>
        <w:rPr>
          <w:b/>
          <w:bCs/>
          <w:lang w:eastAsia="lt-LT"/>
        </w:rPr>
        <w:t>išlaidų.</w:t>
      </w:r>
    </w:p>
    <w:p w14:paraId="4583CEF3"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sanitarijos</w:t>
      </w:r>
      <w:r>
        <w:rPr>
          <w:i/>
          <w:iCs/>
          <w:lang w:eastAsia="lt-LT"/>
        </w:rPr>
        <w:t xml:space="preserve"> </w:t>
      </w:r>
      <w:r>
        <w:rPr>
          <w:lang w:eastAsia="lt-LT"/>
        </w:rPr>
        <w:t>ir</w:t>
      </w:r>
      <w:r>
        <w:rPr>
          <w:i/>
          <w:iCs/>
          <w:lang w:eastAsia="lt-LT"/>
        </w:rPr>
        <w:t xml:space="preserve"> </w:t>
      </w:r>
      <w:r>
        <w:rPr>
          <w:lang w:eastAsia="lt-LT"/>
        </w:rPr>
        <w:t>higienos</w:t>
      </w:r>
      <w:r>
        <w:rPr>
          <w:i/>
          <w:iCs/>
          <w:lang w:eastAsia="lt-LT"/>
        </w:rPr>
        <w:t xml:space="preserve"> </w:t>
      </w:r>
      <w:r>
        <w:rPr>
          <w:lang w:eastAsia="lt-LT"/>
        </w:rPr>
        <w:t>išlaidos.</w:t>
      </w:r>
    </w:p>
    <w:p w14:paraId="6CA70E46" w14:textId="77777777" w:rsidR="00093845" w:rsidRDefault="000D779E">
      <w:pPr>
        <w:ind w:firstLine="993"/>
        <w:jc w:val="both"/>
        <w:rPr>
          <w:lang w:eastAsia="lt-LT"/>
        </w:rPr>
      </w:pPr>
      <w:r>
        <w:rPr>
          <w:b/>
          <w:bCs/>
          <w:lang w:eastAsia="lt-LT"/>
        </w:rPr>
        <w:t>6.17.</w:t>
      </w:r>
      <w:r>
        <w:rPr>
          <w:b/>
          <w:bCs/>
          <w:i/>
          <w:iCs/>
          <w:lang w:eastAsia="lt-LT"/>
        </w:rPr>
        <w:t xml:space="preserve"> </w:t>
      </w:r>
      <w:r>
        <w:rPr>
          <w:b/>
          <w:bCs/>
          <w:lang w:eastAsia="lt-LT"/>
        </w:rPr>
        <w:t>Dėl</w:t>
      </w:r>
      <w:r>
        <w:rPr>
          <w:b/>
          <w:bCs/>
          <w:i/>
          <w:iCs/>
          <w:lang w:eastAsia="lt-LT"/>
        </w:rPr>
        <w:t xml:space="preserve"> </w:t>
      </w:r>
      <w:r>
        <w:rPr>
          <w:b/>
          <w:bCs/>
          <w:lang w:eastAsia="lt-LT"/>
        </w:rPr>
        <w:t>geriamojo</w:t>
      </w:r>
      <w:r>
        <w:rPr>
          <w:b/>
          <w:bCs/>
          <w:i/>
          <w:iCs/>
          <w:lang w:eastAsia="lt-LT"/>
        </w:rPr>
        <w:t xml:space="preserve"> </w:t>
      </w:r>
      <w:r>
        <w:rPr>
          <w:b/>
          <w:bCs/>
          <w:lang w:eastAsia="lt-LT"/>
        </w:rPr>
        <w:t>vandens</w:t>
      </w:r>
      <w:r>
        <w:rPr>
          <w:b/>
          <w:bCs/>
          <w:i/>
          <w:iCs/>
          <w:lang w:eastAsia="lt-LT"/>
        </w:rPr>
        <w:t xml:space="preserve"> </w:t>
      </w:r>
      <w:r>
        <w:rPr>
          <w:b/>
          <w:bCs/>
          <w:lang w:eastAsia="lt-LT"/>
        </w:rPr>
        <w:t>įsigijimo</w:t>
      </w:r>
      <w:r>
        <w:rPr>
          <w:b/>
          <w:bCs/>
          <w:i/>
          <w:iCs/>
          <w:lang w:eastAsia="lt-LT"/>
        </w:rPr>
        <w:t xml:space="preserve"> </w:t>
      </w:r>
      <w:r>
        <w:rPr>
          <w:b/>
          <w:bCs/>
          <w:lang w:eastAsia="lt-LT"/>
        </w:rPr>
        <w:t>išlaidų.</w:t>
      </w:r>
    </w:p>
    <w:p w14:paraId="5FDB9701"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priskiriamomis</w:t>
      </w:r>
      <w:r>
        <w:rPr>
          <w:i/>
          <w:iCs/>
          <w:lang w:eastAsia="lt-LT"/>
        </w:rPr>
        <w:t xml:space="preserve"> </w:t>
      </w:r>
      <w:r>
        <w:rPr>
          <w:lang w:eastAsia="lt-LT"/>
        </w:rPr>
        <w:t>prie</w:t>
      </w:r>
      <w:r>
        <w:rPr>
          <w:i/>
          <w:iCs/>
          <w:lang w:eastAsia="lt-LT"/>
        </w:rPr>
        <w:t xml:space="preserve"> </w:t>
      </w:r>
      <w:r>
        <w:rPr>
          <w:lang w:eastAsia="lt-LT"/>
        </w:rPr>
        <w:t>leidžiamų</w:t>
      </w:r>
      <w:r>
        <w:rPr>
          <w:i/>
          <w:iCs/>
          <w:lang w:eastAsia="lt-LT"/>
        </w:rPr>
        <w:t xml:space="preserve"> </w:t>
      </w:r>
      <w:r>
        <w:rPr>
          <w:lang w:eastAsia="lt-LT"/>
        </w:rPr>
        <w:t>atskaitymų,</w:t>
      </w:r>
      <w:r>
        <w:rPr>
          <w:i/>
          <w:iCs/>
          <w:lang w:eastAsia="lt-LT"/>
        </w:rPr>
        <w:t xml:space="preserve"> </w:t>
      </w:r>
      <w:r>
        <w:rPr>
          <w:lang w:eastAsia="lt-LT"/>
        </w:rPr>
        <w:t>laikomos</w:t>
      </w:r>
      <w:r>
        <w:rPr>
          <w:i/>
          <w:iCs/>
          <w:lang w:eastAsia="lt-LT"/>
        </w:rPr>
        <w:t xml:space="preserve"> </w:t>
      </w:r>
      <w:r>
        <w:rPr>
          <w:lang w:eastAsia="lt-LT"/>
        </w:rPr>
        <w:t>įmonės</w:t>
      </w:r>
      <w:r>
        <w:rPr>
          <w:i/>
          <w:iCs/>
          <w:lang w:eastAsia="lt-LT"/>
        </w:rPr>
        <w:t xml:space="preserve"> </w:t>
      </w:r>
      <w:r>
        <w:rPr>
          <w:lang w:eastAsia="lt-LT"/>
        </w:rPr>
        <w:t>darbuotojams</w:t>
      </w:r>
      <w:r>
        <w:rPr>
          <w:i/>
          <w:iCs/>
          <w:lang w:eastAsia="lt-LT"/>
        </w:rPr>
        <w:t xml:space="preserve"> </w:t>
      </w:r>
      <w:r>
        <w:rPr>
          <w:lang w:eastAsia="lt-LT"/>
        </w:rPr>
        <w:t>bendro</w:t>
      </w:r>
      <w:r>
        <w:rPr>
          <w:i/>
          <w:iCs/>
          <w:lang w:eastAsia="lt-LT"/>
        </w:rPr>
        <w:t xml:space="preserve"> </w:t>
      </w:r>
      <w:r>
        <w:rPr>
          <w:lang w:eastAsia="lt-LT"/>
        </w:rPr>
        <w:t>naudojimo</w:t>
      </w:r>
      <w:r>
        <w:rPr>
          <w:i/>
          <w:iCs/>
          <w:lang w:eastAsia="lt-LT"/>
        </w:rPr>
        <w:t xml:space="preserve"> </w:t>
      </w:r>
      <w:r>
        <w:rPr>
          <w:lang w:eastAsia="lt-LT"/>
        </w:rPr>
        <w:t>talpose</w:t>
      </w:r>
      <w:r>
        <w:rPr>
          <w:i/>
          <w:iCs/>
          <w:lang w:eastAsia="lt-LT"/>
        </w:rPr>
        <w:t xml:space="preserve"> </w:t>
      </w:r>
      <w:r>
        <w:rPr>
          <w:lang w:eastAsia="lt-LT"/>
        </w:rPr>
        <w:t>perkamo</w:t>
      </w:r>
      <w:r>
        <w:rPr>
          <w:i/>
          <w:iCs/>
          <w:lang w:eastAsia="lt-LT"/>
        </w:rPr>
        <w:t xml:space="preserve"> </w:t>
      </w:r>
      <w:r>
        <w:rPr>
          <w:lang w:eastAsia="lt-LT"/>
        </w:rPr>
        <w:t>geriamojo</w:t>
      </w:r>
      <w:r>
        <w:rPr>
          <w:i/>
          <w:iCs/>
          <w:lang w:eastAsia="lt-LT"/>
        </w:rPr>
        <w:t xml:space="preserve"> </w:t>
      </w:r>
      <w:r>
        <w:rPr>
          <w:lang w:eastAsia="lt-LT"/>
        </w:rPr>
        <w:t>vandens</w:t>
      </w:r>
      <w:r>
        <w:rPr>
          <w:i/>
          <w:iCs/>
          <w:lang w:eastAsia="lt-LT"/>
        </w:rPr>
        <w:t xml:space="preserve"> </w:t>
      </w:r>
      <w:r>
        <w:rPr>
          <w:lang w:eastAsia="lt-LT"/>
        </w:rPr>
        <w:t>įsigijimo</w:t>
      </w:r>
      <w:r>
        <w:rPr>
          <w:i/>
          <w:iCs/>
          <w:lang w:eastAsia="lt-LT"/>
        </w:rPr>
        <w:t xml:space="preserve"> </w:t>
      </w:r>
      <w:r>
        <w:rPr>
          <w:lang w:eastAsia="lt-LT"/>
        </w:rPr>
        <w:t>išlaidos</w:t>
      </w:r>
      <w:r>
        <w:rPr>
          <w:i/>
          <w:iCs/>
          <w:lang w:eastAsia="lt-LT"/>
        </w:rPr>
        <w:t xml:space="preserve"> </w:t>
      </w:r>
      <w:r>
        <w:rPr>
          <w:lang w:eastAsia="lt-LT"/>
        </w:rPr>
        <w:t>(įskaitant</w:t>
      </w:r>
      <w:r>
        <w:rPr>
          <w:i/>
          <w:iCs/>
          <w:lang w:eastAsia="lt-LT"/>
        </w:rPr>
        <w:t xml:space="preserve"> </w:t>
      </w:r>
      <w:r>
        <w:rPr>
          <w:lang w:eastAsia="lt-LT"/>
        </w:rPr>
        <w:t>aparatų,</w:t>
      </w:r>
      <w:r>
        <w:rPr>
          <w:i/>
          <w:iCs/>
          <w:lang w:eastAsia="lt-LT"/>
        </w:rPr>
        <w:t xml:space="preserve"> </w:t>
      </w:r>
      <w:r>
        <w:rPr>
          <w:lang w:eastAsia="lt-LT"/>
        </w:rPr>
        <w:t>naudojamų</w:t>
      </w:r>
      <w:r>
        <w:rPr>
          <w:i/>
          <w:iCs/>
          <w:lang w:eastAsia="lt-LT"/>
        </w:rPr>
        <w:t xml:space="preserve"> </w:t>
      </w:r>
      <w:r>
        <w:rPr>
          <w:lang w:eastAsia="lt-LT"/>
        </w:rPr>
        <w:t>vandeniui</w:t>
      </w:r>
      <w:r>
        <w:rPr>
          <w:i/>
          <w:iCs/>
          <w:lang w:eastAsia="lt-LT"/>
        </w:rPr>
        <w:t xml:space="preserve"> </w:t>
      </w:r>
      <w:r>
        <w:rPr>
          <w:lang w:eastAsia="lt-LT"/>
        </w:rPr>
        <w:t>virinti</w:t>
      </w:r>
      <w:r>
        <w:rPr>
          <w:i/>
          <w:iCs/>
          <w:lang w:eastAsia="lt-LT"/>
        </w:rPr>
        <w:t xml:space="preserve"> </w:t>
      </w:r>
      <w:r>
        <w:rPr>
          <w:lang w:eastAsia="lt-LT"/>
        </w:rPr>
        <w:t>ir</w:t>
      </w:r>
      <w:r>
        <w:rPr>
          <w:i/>
          <w:iCs/>
          <w:lang w:eastAsia="lt-LT"/>
        </w:rPr>
        <w:t xml:space="preserve"> </w:t>
      </w:r>
      <w:r>
        <w:rPr>
          <w:lang w:eastAsia="lt-LT"/>
        </w:rPr>
        <w:t>atšaldyti,</w:t>
      </w:r>
      <w:r>
        <w:rPr>
          <w:i/>
          <w:iCs/>
          <w:lang w:eastAsia="lt-LT"/>
        </w:rPr>
        <w:t xml:space="preserve"> </w:t>
      </w:r>
      <w:r>
        <w:rPr>
          <w:lang w:eastAsia="lt-LT"/>
        </w:rPr>
        <w:t>nuomos</w:t>
      </w:r>
      <w:r>
        <w:rPr>
          <w:i/>
          <w:iCs/>
          <w:lang w:eastAsia="lt-LT"/>
        </w:rPr>
        <w:t xml:space="preserve"> </w:t>
      </w:r>
      <w:r>
        <w:rPr>
          <w:lang w:eastAsia="lt-LT"/>
        </w:rPr>
        <w:t>išlaidas).</w:t>
      </w:r>
    </w:p>
    <w:p w14:paraId="063CD9B5" w14:textId="77777777" w:rsidR="00093845" w:rsidRDefault="000D779E">
      <w:pPr>
        <w:ind w:firstLine="993"/>
        <w:jc w:val="both"/>
        <w:rPr>
          <w:color w:val="000000"/>
        </w:rPr>
      </w:pPr>
      <w:r>
        <w:rPr>
          <w:color w:val="000000"/>
        </w:rPr>
        <w:lastRenderedPageBreak/>
        <w:t>Jeigu įmonė įsigyja geriamą vandenį (įskaitant ir mineralinį), skirtą naudoti savo darbuotojams darbo metu, tai šio bendram darbuotojų naudojimui skirto vandens įsigijimo kaina priskiriama leidžiamiems atskaitymams, neatsižvelgiant į tai, į kokias talpas šis vanduo buvo išpilstytas.</w:t>
      </w:r>
    </w:p>
    <w:p w14:paraId="6778AE26" w14:textId="77777777" w:rsidR="00093845" w:rsidRPr="0065344A" w:rsidRDefault="00F425B3">
      <w:pPr>
        <w:ind w:firstLine="720"/>
        <w:jc w:val="both"/>
        <w:rPr>
          <w:lang w:val="lt-LT"/>
        </w:rPr>
      </w:pPr>
      <w:r>
        <w:rPr>
          <w:iCs/>
          <w:lang w:val="lt-LT"/>
        </w:rPr>
        <w:t xml:space="preserve">     </w:t>
      </w:r>
      <w:r w:rsidR="000D779E">
        <w:rPr>
          <w:iCs/>
          <w:lang w:val="lt-LT"/>
        </w:rPr>
        <w:t>(Pakeistas 17 str. 1 dalies 6.17 punktas VMI prie FM 2016-05-16 raštu Nr. (18.32-31-1E)</w:t>
      </w:r>
      <w:r>
        <w:rPr>
          <w:iCs/>
          <w:lang w:val="lt-LT"/>
        </w:rPr>
        <w:t xml:space="preserve"> </w:t>
      </w:r>
      <w:r w:rsidR="000D779E">
        <w:rPr>
          <w:iCs/>
          <w:lang w:val="lt-LT"/>
        </w:rPr>
        <w:t>RM-14067)</w:t>
      </w:r>
    </w:p>
    <w:p w14:paraId="1BBDC6E4" w14:textId="77777777" w:rsidR="00093845" w:rsidRPr="0065344A" w:rsidRDefault="000D779E">
      <w:pPr>
        <w:ind w:firstLine="993"/>
        <w:jc w:val="both"/>
        <w:rPr>
          <w:lang w:val="lt-LT" w:eastAsia="lt-LT"/>
        </w:rPr>
      </w:pPr>
      <w:r w:rsidRPr="0065344A">
        <w:rPr>
          <w:b/>
          <w:bCs/>
          <w:lang w:val="lt-LT" w:eastAsia="lt-LT"/>
        </w:rPr>
        <w:t>6.18. Dėl inventorizacijos metu nustatyto prekių pertekliaus arba trūkumo</w:t>
      </w:r>
    </w:p>
    <w:p w14:paraId="5A83DF8F" w14:textId="77777777" w:rsidR="00093845" w:rsidRPr="0065344A" w:rsidRDefault="000D779E">
      <w:pPr>
        <w:ind w:firstLine="993"/>
        <w:jc w:val="both"/>
        <w:rPr>
          <w:lang w:val="lt-LT" w:eastAsia="lt-LT"/>
        </w:rPr>
      </w:pPr>
      <w:r w:rsidRPr="0065344A">
        <w:rPr>
          <w:lang w:val="lt-LT" w:eastAsia="lt-LT"/>
        </w:rPr>
        <w:t xml:space="preserve">Atliekant atsargų, dažniausiai perparduoti skirtų prekių inventorizaciją, kartais nustatomas vienų prekių perteklius, o kitų – trūkumas. </w:t>
      </w:r>
    </w:p>
    <w:p w14:paraId="10245CC6" w14:textId="77777777" w:rsidR="00093845" w:rsidRPr="0065344A" w:rsidRDefault="000D779E">
      <w:pPr>
        <w:ind w:firstLine="993"/>
        <w:jc w:val="both"/>
        <w:rPr>
          <w:lang w:val="lt-LT" w:eastAsia="lt-LT"/>
        </w:rPr>
      </w:pPr>
      <w:r w:rsidRPr="0065344A">
        <w:rPr>
          <w:lang w:val="lt-LT" w:eastAsia="lt-LT"/>
        </w:rPr>
        <w:t xml:space="preserve">Prekės pagal jų vartojamąsias savybes gali būti grupuojamos į vienarūšes ir nevienarūšes. Vienarūšėmis laikomos tokios prekės, kurios turi analogišką vartojimo paskirtį, išvaizdą, sudėtį, kokybę ir kurių kaina tapati arba skiriasi nežymiai. </w:t>
      </w:r>
    </w:p>
    <w:p w14:paraId="5E07DA04"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1 pavyzdys</w:t>
      </w:r>
    </w:p>
    <w:p w14:paraId="6E43AD3B"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Įmonė prekiauja statybinėmis medžiagomis. Dviejų plytelių rūšių išvaizda, paskirtis analogiška, tačiau vienos rūšies plytelių įsigijimo kaina tris kartus didesnė nei kitos. Priežastys, kodėl įsigijimo kaina skiriasi, gali būti įvairios, pavyzdžiui, skirtingi gamintojai, netapati sudėtis, kokybė ir t. t. Šios dvi plytelių rūšys negali būti laikomos vienarūšėmis prekėmis. </w:t>
      </w:r>
    </w:p>
    <w:p w14:paraId="3559B236"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Prekių priskyrimas vienarūšėms ar nevienarūšėms pagrįstinas įmonės numatytose atitinkamose vidinėse tvarkose. Vienarūšės prekės gali būti perrūšiuojamos. Jeigu inventorizacijos metu įmonės nustatomas vienų vienarūšių prekių perteklius, o kitų trūkumas ir perrūšiavus prekes gaunamas kiekio trūkumas, tuomet jis laikytinas neleidžiamais atskaitymais </w:t>
      </w:r>
      <w:bookmarkStart w:id="287" w:name="n1_2967"/>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288" w:name="pn1_2967"/>
      <w:bookmarkEnd w:id="287"/>
      <w:bookmarkEnd w:id="288"/>
      <w:r w:rsidRPr="0065344A">
        <w:rPr>
          <w:lang w:val="lt-LT" w:eastAsia="lt-LT"/>
        </w:rPr>
        <w:t xml:space="preserve"> </w:t>
      </w:r>
      <w:bookmarkStart w:id="289" w:name="n1_2968"/>
      <w:r>
        <w:rPr>
          <w:lang w:eastAsia="lt-LT"/>
        </w:rPr>
        <w:fldChar w:fldCharType="begin"/>
      </w:r>
      <w:r w:rsidRPr="0065344A">
        <w:rPr>
          <w:lang w:val="lt-LT" w:eastAsia="lt-LT"/>
        </w:rPr>
        <w:instrText xml:space="preserve"> HYPERLINK "JavaScript:OL('12868','17')" \o "Leidžiamų atskaitymų pripažinimo tvarka (str. 17)" </w:instrText>
      </w:r>
      <w:r>
        <w:rPr>
          <w:lang w:eastAsia="lt-LT"/>
        </w:rPr>
        <w:fldChar w:fldCharType="separate"/>
      </w:r>
      <w:r w:rsidRPr="0065344A">
        <w:rPr>
          <w:lang w:val="lt-LT" w:eastAsia="lt-LT"/>
        </w:rPr>
        <w:t>17</w:t>
      </w:r>
      <w:r>
        <w:rPr>
          <w:lang w:eastAsia="lt-LT"/>
        </w:rPr>
        <w:fldChar w:fldCharType="end"/>
      </w:r>
      <w:bookmarkStart w:id="290" w:name="pn1_2968"/>
      <w:bookmarkEnd w:id="289"/>
      <w:bookmarkEnd w:id="290"/>
      <w:r w:rsidRPr="0065344A">
        <w:rPr>
          <w:lang w:val="lt-LT" w:eastAsia="lt-LT"/>
        </w:rPr>
        <w:t xml:space="preserve"> str. 1 dalies prasme. Inventorizacijos metu įmonės nustatomas po vienarūšių prekių perrūšiavimo vertės trūkumas laikytinas leidžiamais atskaitymais, o vertės perteklius priskirtinas apmokestinamosioms pajamoms.</w:t>
      </w:r>
      <w:r w:rsidRPr="0065344A">
        <w:rPr>
          <w:u w:val="single"/>
          <w:lang w:val="lt-LT" w:eastAsia="lt-LT"/>
        </w:rPr>
        <w:t xml:space="preserve"> </w:t>
      </w:r>
    </w:p>
    <w:p w14:paraId="4D168C2C"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2 pavyzdys</w:t>
      </w:r>
    </w:p>
    <w:p w14:paraId="750C438E"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xml:space="preserve"> Įmonė prekiauja juoda ir mėlyna spalva rašančiais rašikliais, kurie pagal įmonės atitinkamas vidaus tvarkas priskiriami vienarūšėms prekėms. Inventorizacijos metu nustatytas mėlyna spalva rašančių 10 rašiklių perteklius, juoda spalva rašančių 30 rašiklių trūkumas. Visų rašiklių kainos tapačios. Juos perrūšiavus, gautas kiekio trūkumas – 20 rašiklių įsigijimo kainų suma laikytina neleidžiamais atskaitymais. </w:t>
      </w:r>
    </w:p>
    <w:p w14:paraId="72889B0A"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3 pavyzdys</w:t>
      </w:r>
    </w:p>
    <w:p w14:paraId="7DB0C398" w14:textId="77777777" w:rsidR="00093845" w:rsidRPr="0065344A" w:rsidRDefault="000D779E" w:rsidP="00477AF7">
      <w:pPr>
        <w:pBdr>
          <w:top w:val="single" w:sz="4" w:space="0" w:color="auto"/>
          <w:left w:val="single" w:sz="4" w:space="0" w:color="auto"/>
          <w:bottom w:val="single" w:sz="4" w:space="0" w:color="auto"/>
          <w:right w:val="single" w:sz="4" w:space="0" w:color="auto"/>
        </w:pBdr>
        <w:ind w:firstLine="993"/>
        <w:jc w:val="both"/>
        <w:rPr>
          <w:lang w:val="lt-LT" w:eastAsia="lt-LT"/>
        </w:rPr>
      </w:pPr>
      <w:r w:rsidRPr="0065344A">
        <w:rPr>
          <w:lang w:val="lt-LT" w:eastAsia="lt-LT"/>
        </w:rPr>
        <w:t> Įmonė prekiauja obuoliais, kurie pagal įmonės atitinkamas vidaus tvarkas priskiriami vienarūšėms prekėms. Vienos rūšies obuolių kilogramo įsigijimo kaina 3 eurai, kitos 4 eurai. Inventorizacijos metu nustatytas pigesnės rūšies obuolių 2 kilogramų perteklius (6 eurai) ir brangesnės rūšies obuolių 2 kilogramų trūkumas (8 eurai). Perrūšiavus prekes, gautas ne kiekio, tačiau vertės (2</w:t>
      </w:r>
      <w:r w:rsidRPr="0065344A">
        <w:rPr>
          <w:b/>
          <w:highlight w:val="lightGray"/>
          <w:lang w:val="lt-LT" w:eastAsia="lt-LT"/>
        </w:rPr>
        <w:t xml:space="preserve"> </w:t>
      </w:r>
      <w:r w:rsidRPr="0065344A">
        <w:rPr>
          <w:lang w:val="lt-LT" w:eastAsia="lt-LT"/>
        </w:rPr>
        <w:t xml:space="preserve">eurų) trūkumas laikytinas leidžiamais atskaitymais. Tačiau jeigu inventorizacijos metu būtų nustatytas pigesnės rūšies obuolių 2 kilogramų trūkumas (6 eurai) ir brangesnės rūšies obuolių 2 kilogramų perteklius (8 eurai), tokiu atveju perrūšiavus prekes gautas ne kiekio, tačiau vertės (2 eurų) perteklius turėtų būti priskirtas apmokestinamosioms pajamoms. </w:t>
      </w:r>
    </w:p>
    <w:p w14:paraId="014C8CE4" w14:textId="77777777" w:rsidR="00093845" w:rsidRPr="0065344A" w:rsidRDefault="000D779E">
      <w:pPr>
        <w:ind w:firstLine="993"/>
        <w:jc w:val="both"/>
        <w:rPr>
          <w:lang w:val="lt-LT" w:eastAsia="lt-LT"/>
        </w:rPr>
      </w:pPr>
      <w:r w:rsidRPr="0065344A">
        <w:rPr>
          <w:lang w:val="lt-LT" w:eastAsia="lt-LT"/>
        </w:rPr>
        <w:t>Nustačius po perrūšiavimo vienarūšių prekių kiekio perteklių, jis traukiamas į apmokestinamąsias pajamas – t. y. padidinamas apmokestinamasis pelnas inventorizacijos metu nustatyto prekių pertekliaus suma. Pardavus šias vienarūšes prekes, buvusio pertekliaus suma (vienarūšių prekių įsigijimo kainų suma) priskiriama leidžiamiems atskaitymams.</w:t>
      </w:r>
    </w:p>
    <w:p w14:paraId="70C5C53E" w14:textId="77777777" w:rsidR="00093845" w:rsidRPr="0065344A" w:rsidRDefault="000D779E">
      <w:pPr>
        <w:ind w:firstLine="993"/>
        <w:jc w:val="both"/>
        <w:rPr>
          <w:lang w:val="lt-LT" w:eastAsia="lt-LT"/>
        </w:rPr>
      </w:pPr>
      <w:r w:rsidRPr="0065344A">
        <w:rPr>
          <w:lang w:val="lt-LT" w:eastAsia="lt-LT"/>
        </w:rPr>
        <w:lastRenderedPageBreak/>
        <w:t xml:space="preserve">Prekių trūkumo arba pertekliaus suma – tai trūkstamų arba perteklinių prekių įsigijimo kainų suma. Tokių prekių įsigijimo kaina (savikaina) nustatoma taikant tuos pačius </w:t>
      </w:r>
      <w:r w:rsidR="00BA66A3">
        <w:rPr>
          <w:lang w:val="lt-LT" w:eastAsia="lt-LT"/>
        </w:rPr>
        <w:t xml:space="preserve">įkainojimo </w:t>
      </w:r>
      <w:r w:rsidRPr="0065344A">
        <w:rPr>
          <w:lang w:val="lt-LT" w:eastAsia="lt-LT"/>
        </w:rPr>
        <w:t xml:space="preserve">būdus, kurie taikomi finansinėje apskaitoje. </w:t>
      </w:r>
    </w:p>
    <w:p w14:paraId="6E2CC120" w14:textId="77777777" w:rsidR="00093845" w:rsidRPr="0065344A" w:rsidRDefault="000D779E">
      <w:pPr>
        <w:ind w:firstLine="993"/>
        <w:jc w:val="both"/>
        <w:rPr>
          <w:lang w:val="lt-LT" w:eastAsia="lt-LT"/>
        </w:rPr>
      </w:pPr>
      <w:r w:rsidRPr="0065344A">
        <w:rPr>
          <w:lang w:val="lt-LT" w:eastAsia="lt-LT"/>
        </w:rPr>
        <w:t> </w:t>
      </w:r>
      <w:r w:rsidRPr="0065344A">
        <w:rPr>
          <w:b/>
          <w:bCs/>
          <w:lang w:val="lt-LT" w:eastAsia="lt-LT"/>
        </w:rPr>
        <w:t>4 pavyzdys</w:t>
      </w:r>
    </w:p>
    <w:p w14:paraId="45F9D9B1" w14:textId="77777777" w:rsidR="00093845" w:rsidRDefault="000D779E" w:rsidP="00477AF7">
      <w:pPr>
        <w:pBdr>
          <w:top w:val="single" w:sz="4" w:space="1" w:color="auto"/>
          <w:left w:val="single" w:sz="4" w:space="4" w:color="auto"/>
          <w:bottom w:val="single" w:sz="4" w:space="1" w:color="auto"/>
          <w:right w:val="single" w:sz="4" w:space="4" w:color="auto"/>
        </w:pBdr>
        <w:ind w:firstLine="993"/>
        <w:jc w:val="both"/>
        <w:rPr>
          <w:lang w:eastAsia="lt-LT"/>
        </w:rPr>
      </w:pPr>
      <w:r w:rsidRPr="0065344A">
        <w:rPr>
          <w:lang w:val="lt-LT" w:eastAsia="lt-LT"/>
        </w:rPr>
        <w:t> Avalynės parduotuvėje inventorizacijos metu, perrūšiavus vienarūšėms prekėms priskiriamus batus, nustatomas 4 batų porų perteklius. Įmonė šias prekes (batus) finansinėje apskaitoje įka</w:t>
      </w:r>
      <w:r w:rsidR="00AA7998">
        <w:rPr>
          <w:lang w:val="lt-LT" w:eastAsia="lt-LT"/>
        </w:rPr>
        <w:t xml:space="preserve">inoja svertinio vidurkio metodu. </w:t>
      </w:r>
      <w:r w:rsidRPr="0065344A">
        <w:rPr>
          <w:lang w:val="lt-LT" w:eastAsia="lt-LT"/>
        </w:rPr>
        <w:t xml:space="preserve">Tokiu atveju perteklius – šių prekių įsigijimo kainų (savikainų), nustatomų taikant svertinio vidurkio metodą, suma priskiriama apmokestinamosioms pajamoms. </w:t>
      </w:r>
      <w:r>
        <w:rPr>
          <w:lang w:eastAsia="lt-LT"/>
        </w:rPr>
        <w:t xml:space="preserve">Kuomet šie batai bus parduoti, tuomet minėta pertekliaus suma bus priskiriama leidžiamiems atskaitymams. </w:t>
      </w:r>
    </w:p>
    <w:p w14:paraId="1D2138E3" w14:textId="77777777" w:rsidR="00093845" w:rsidRDefault="000D779E">
      <w:pPr>
        <w:ind w:firstLine="993"/>
        <w:jc w:val="both"/>
        <w:rPr>
          <w:lang w:eastAsia="lt-LT"/>
        </w:rPr>
      </w:pPr>
      <w:r>
        <w:rPr>
          <w:lang w:eastAsia="lt-LT"/>
        </w:rPr>
        <w:t xml:space="preserve"> Jeigu inventorizacijos metu nustatomas nevienarūšių prekių trūkumas, tuomet jis priskiriamas neleidžiamiems atskaitymams </w:t>
      </w:r>
      <w:bookmarkStart w:id="291" w:name="n1_2969"/>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92" w:name="pn1_2969"/>
      <w:bookmarkEnd w:id="291"/>
      <w:bookmarkEnd w:id="292"/>
      <w:r>
        <w:rPr>
          <w:lang w:eastAsia="lt-LT"/>
        </w:rPr>
        <w:t xml:space="preserve"> </w:t>
      </w:r>
      <w:bookmarkStart w:id="293" w:name="n1_2970"/>
      <w:r>
        <w:rPr>
          <w:lang w:eastAsia="lt-LT"/>
        </w:rPr>
        <w:fldChar w:fldCharType="begin"/>
      </w:r>
      <w:r>
        <w:rPr>
          <w:lang w:eastAsia="lt-LT"/>
        </w:rPr>
        <w:instrText xml:space="preserve"> HYPERLINK "JavaScript:OL('12868','17')" \o "Leidžiamų atskaitymų pripažinimo tvarka (str. 17)" </w:instrText>
      </w:r>
      <w:r>
        <w:rPr>
          <w:lang w:eastAsia="lt-LT"/>
        </w:rPr>
        <w:fldChar w:fldCharType="separate"/>
      </w:r>
      <w:r>
        <w:rPr>
          <w:lang w:eastAsia="lt-LT"/>
        </w:rPr>
        <w:t>17</w:t>
      </w:r>
      <w:r>
        <w:rPr>
          <w:lang w:eastAsia="lt-LT"/>
        </w:rPr>
        <w:fldChar w:fldCharType="end"/>
      </w:r>
      <w:bookmarkStart w:id="294" w:name="pn1_2970"/>
      <w:bookmarkEnd w:id="293"/>
      <w:bookmarkEnd w:id="294"/>
      <w:r>
        <w:rPr>
          <w:lang w:eastAsia="lt-LT"/>
        </w:rPr>
        <w:t xml:space="preserve"> str. 1 dalies prasme. Jeigu inventorizacijos metu nustatomas nevienarūšių prekių perteklius, jis traukiamas į apmokestinamąsias pajamas. Tokiais atvejais trūkstamų arba perteklinių nevienarūšių prekių įsigijimo kaina (savikaina) nustatoma taikant tuos pačius įkainojimo būdus, kurie taikomi finansinėje apskaitoje.</w:t>
      </w:r>
    </w:p>
    <w:p w14:paraId="1E903149" w14:textId="77777777" w:rsidR="00093845" w:rsidRDefault="000D779E">
      <w:pPr>
        <w:ind w:firstLine="993"/>
        <w:jc w:val="both"/>
        <w:rPr>
          <w:lang w:eastAsia="lt-LT"/>
        </w:rPr>
      </w:pPr>
      <w:r>
        <w:rPr>
          <w:lang w:eastAsia="lt-LT"/>
        </w:rPr>
        <w:t>Pardavus nevienarūšes prekes, buvusio pertekliaus suma (šių prekių įsigijimo kainų (savikainų) suma) priskiriama leidžiamiems atskaitymams.</w:t>
      </w:r>
    </w:p>
    <w:p w14:paraId="1CBF88AD" w14:textId="77777777" w:rsidR="00093845" w:rsidRDefault="000D779E">
      <w:pPr>
        <w:ind w:firstLine="993"/>
        <w:jc w:val="both"/>
        <w:rPr>
          <w:lang w:eastAsia="lt-LT"/>
        </w:rPr>
      </w:pPr>
      <w:r>
        <w:rPr>
          <w:lang w:eastAsia="lt-LT"/>
        </w:rPr>
        <w:t xml:space="preserve">Be to, jeigu vienarūšių prekių kiekio trūkumas arba nevienarūšių prekių trūkumas atsirado dėl natūralios netekties, taikytinos </w:t>
      </w:r>
      <w:bookmarkStart w:id="295" w:name="n1_2971"/>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296" w:name="pn1_2971"/>
      <w:bookmarkEnd w:id="295"/>
      <w:bookmarkEnd w:id="296"/>
      <w:r>
        <w:rPr>
          <w:lang w:eastAsia="lt-LT"/>
        </w:rPr>
        <w:t xml:space="preserve"> </w:t>
      </w:r>
      <w:bookmarkStart w:id="297" w:name="n1_2972"/>
      <w:r>
        <w:rPr>
          <w:lang w:eastAsia="lt-LT"/>
        </w:rPr>
        <w:fldChar w:fldCharType="begin"/>
      </w:r>
      <w:r>
        <w:rPr>
          <w:lang w:eastAsia="lt-LT"/>
        </w:rPr>
        <w:instrText xml:space="preserve"> HYPERLINK "JavaScript:OL('12868','23')" \o "Natūralios netekties nuostoliai (str. 23)" </w:instrText>
      </w:r>
      <w:r>
        <w:rPr>
          <w:lang w:eastAsia="lt-LT"/>
        </w:rPr>
        <w:fldChar w:fldCharType="separate"/>
      </w:r>
      <w:r>
        <w:rPr>
          <w:lang w:eastAsia="lt-LT"/>
        </w:rPr>
        <w:t>23</w:t>
      </w:r>
      <w:r>
        <w:rPr>
          <w:lang w:eastAsia="lt-LT"/>
        </w:rPr>
        <w:fldChar w:fldCharType="end"/>
      </w:r>
      <w:bookmarkStart w:id="298" w:name="pn1_2972"/>
      <w:bookmarkEnd w:id="297"/>
      <w:bookmarkEnd w:id="298"/>
      <w:r>
        <w:rPr>
          <w:lang w:eastAsia="lt-LT"/>
        </w:rPr>
        <w:t xml:space="preserve"> str. nuostatos (žiūrėti į </w:t>
      </w:r>
      <w:bookmarkStart w:id="299" w:name="n1_2973"/>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0" w:name="pn1_2973"/>
      <w:bookmarkEnd w:id="299"/>
      <w:bookmarkEnd w:id="300"/>
      <w:r>
        <w:rPr>
          <w:lang w:eastAsia="lt-LT"/>
        </w:rPr>
        <w:t xml:space="preserve"> </w:t>
      </w:r>
      <w:bookmarkStart w:id="301" w:name="n1_2974"/>
      <w:r>
        <w:rPr>
          <w:lang w:eastAsia="lt-LT"/>
        </w:rPr>
        <w:fldChar w:fldCharType="begin"/>
      </w:r>
      <w:r>
        <w:rPr>
          <w:lang w:eastAsia="lt-LT"/>
        </w:rPr>
        <w:instrText xml:space="preserve"> HYPERLINK "JavaScript:OL('12868','23')" \o "Natūralios netekties nuostoliai (str. 23)" </w:instrText>
      </w:r>
      <w:r>
        <w:rPr>
          <w:lang w:eastAsia="lt-LT"/>
        </w:rPr>
        <w:fldChar w:fldCharType="separate"/>
      </w:r>
      <w:r>
        <w:rPr>
          <w:lang w:eastAsia="lt-LT"/>
        </w:rPr>
        <w:t>23</w:t>
      </w:r>
      <w:r>
        <w:rPr>
          <w:lang w:eastAsia="lt-LT"/>
        </w:rPr>
        <w:fldChar w:fldCharType="end"/>
      </w:r>
      <w:bookmarkStart w:id="302" w:name="pn1_2974"/>
      <w:bookmarkEnd w:id="301"/>
      <w:bookmarkEnd w:id="302"/>
      <w:r>
        <w:rPr>
          <w:lang w:eastAsia="lt-LT"/>
        </w:rPr>
        <w:t xml:space="preserve"> str. 1 ir 2 dalių komentarą).</w:t>
      </w:r>
    </w:p>
    <w:p w14:paraId="7AEB0F70" w14:textId="77777777" w:rsidR="00BB2BD9" w:rsidRPr="00D4411E" w:rsidRDefault="00BB2BD9">
      <w:pPr>
        <w:ind w:firstLine="993"/>
        <w:jc w:val="both"/>
        <w:rPr>
          <w:i/>
          <w:lang w:eastAsia="lt-LT"/>
        </w:rPr>
      </w:pPr>
      <w:r w:rsidRPr="005573D8">
        <w:rPr>
          <w:color w:val="000000"/>
          <w:szCs w:val="22"/>
        </w:rPr>
        <w:t xml:space="preserve">  </w:t>
      </w:r>
      <w:r w:rsidRPr="00D4411E">
        <w:rPr>
          <w:i/>
        </w:rPr>
        <w:t>(</w:t>
      </w:r>
      <w:r w:rsidR="00D4411E" w:rsidRPr="00D4411E">
        <w:rPr>
          <w:i/>
        </w:rPr>
        <w:t>Pakeista p</w:t>
      </w:r>
      <w:r w:rsidRPr="00D4411E">
        <w:rPr>
          <w:i/>
        </w:rPr>
        <w:t xml:space="preserve">agal VMI prie FM 2022-11-09 raštą </w:t>
      </w:r>
      <w:r w:rsidRPr="00D4411E">
        <w:rPr>
          <w:i/>
          <w:color w:val="000000"/>
        </w:rPr>
        <w:t>Nr. (18.10-31-1Mr) R-4543)</w:t>
      </w:r>
    </w:p>
    <w:p w14:paraId="26BC3D8A" w14:textId="77777777" w:rsidR="00093845" w:rsidRDefault="000D779E">
      <w:pPr>
        <w:ind w:firstLine="993"/>
        <w:jc w:val="both"/>
        <w:rPr>
          <w:lang w:eastAsia="lt-LT"/>
        </w:rPr>
      </w:pPr>
      <w:r>
        <w:rPr>
          <w:lang w:eastAsia="lt-LT"/>
        </w:rPr>
        <w:t> </w:t>
      </w:r>
      <w:r>
        <w:rPr>
          <w:b/>
          <w:bCs/>
          <w:lang w:eastAsia="lt-LT"/>
        </w:rPr>
        <w:t>6.19.</w:t>
      </w:r>
      <w:r>
        <w:rPr>
          <w:b/>
          <w:bCs/>
          <w:i/>
          <w:iCs/>
          <w:lang w:eastAsia="lt-LT"/>
        </w:rPr>
        <w:t xml:space="preserve"> </w:t>
      </w:r>
      <w:r>
        <w:rPr>
          <w:b/>
          <w:bCs/>
          <w:lang w:eastAsia="lt-LT"/>
        </w:rPr>
        <w:t>Dėl</w:t>
      </w:r>
      <w:r>
        <w:rPr>
          <w:b/>
          <w:bCs/>
          <w:i/>
          <w:iCs/>
          <w:lang w:eastAsia="lt-LT"/>
        </w:rPr>
        <w:t xml:space="preserve"> </w:t>
      </w:r>
      <w:r>
        <w:rPr>
          <w:b/>
          <w:bCs/>
          <w:lang w:eastAsia="lt-LT"/>
        </w:rPr>
        <w:t>užsienio</w:t>
      </w:r>
      <w:r>
        <w:rPr>
          <w:b/>
          <w:bCs/>
          <w:i/>
          <w:iCs/>
          <w:lang w:eastAsia="lt-LT"/>
        </w:rPr>
        <w:t xml:space="preserve"> </w:t>
      </w:r>
      <w:r>
        <w:rPr>
          <w:b/>
          <w:bCs/>
          <w:lang w:eastAsia="lt-LT"/>
        </w:rPr>
        <w:t>valiutos</w:t>
      </w:r>
      <w:r>
        <w:rPr>
          <w:b/>
          <w:bCs/>
          <w:i/>
          <w:iCs/>
          <w:lang w:eastAsia="lt-LT"/>
        </w:rPr>
        <w:t xml:space="preserve"> </w:t>
      </w:r>
      <w:r>
        <w:rPr>
          <w:b/>
          <w:bCs/>
          <w:lang w:eastAsia="lt-LT"/>
        </w:rPr>
        <w:t>kurso</w:t>
      </w:r>
      <w:r>
        <w:rPr>
          <w:b/>
          <w:bCs/>
          <w:i/>
          <w:iCs/>
          <w:lang w:eastAsia="lt-LT"/>
        </w:rPr>
        <w:t xml:space="preserve"> </w:t>
      </w:r>
      <w:r>
        <w:rPr>
          <w:b/>
          <w:bCs/>
          <w:lang w:eastAsia="lt-LT"/>
        </w:rPr>
        <w:t>kitimo.</w:t>
      </w:r>
    </w:p>
    <w:p w14:paraId="1E91A8BB" w14:textId="77777777" w:rsidR="00093845" w:rsidRDefault="000D779E">
      <w:pPr>
        <w:ind w:firstLine="993"/>
        <w:jc w:val="both"/>
        <w:rPr>
          <w:lang w:eastAsia="lt-LT"/>
        </w:rPr>
      </w:pPr>
      <w:r>
        <w:rPr>
          <w:lang w:eastAsia="lt-LT"/>
        </w:rPr>
        <w:t>Vadovaujantis Lietuvos Respublikos buhalterinės apskaitos įstatymu, nuo 2015 metų sausio 1 d. ūkiniai įvykiai ir ūkinės operacijos, kurių buvimas ir atlikimas ar rezultatų įforminimas Lietuvos Respublikos teisės aktų nustatyta tvarka susijęs su užsienio valiuta, apskaitoje perskaičiuojami į eurus pagal Europos centrinio banko paskelbtą orientacinį euro ir užsienio valiutos santykį, o tais atvejais, kai orientacinio euro ir užsienio valiutos santykio Europos centrinis bankas neskelbia, – pagal Lietuvos banko skelbiamą orientacinį euro ir užsienio valiutos santykį, jeigu kiti teisės aktai nenustato kitaip. Europos centrinio banko ir Lietuvos banko paskelbti orientaciniai euro ir užsienio valiutų santykiai apskaitoje taikomi nuo kitos darbo dienos Lietuvos Respublikoje po jų paskelbimo.</w:t>
      </w:r>
    </w:p>
    <w:p w14:paraId="5502E05B" w14:textId="77777777" w:rsidR="00093845" w:rsidRDefault="000D779E">
      <w:pPr>
        <w:ind w:firstLine="993"/>
        <w:jc w:val="both"/>
        <w:rPr>
          <w:lang w:eastAsia="lt-LT"/>
        </w:rPr>
      </w:pPr>
      <w:r>
        <w:rPr>
          <w:lang w:eastAsia="lt-LT"/>
        </w:rPr>
        <w:t>Sąnaudomis</w:t>
      </w:r>
      <w:r>
        <w:rPr>
          <w:i/>
          <w:iCs/>
          <w:lang w:eastAsia="lt-LT"/>
        </w:rPr>
        <w:t xml:space="preserve"> </w:t>
      </w:r>
      <w:r>
        <w:rPr>
          <w:lang w:eastAsia="lt-LT"/>
        </w:rPr>
        <w:t>laikomi</w:t>
      </w:r>
      <w:r>
        <w:rPr>
          <w:i/>
          <w:iCs/>
          <w:lang w:eastAsia="lt-LT"/>
        </w:rPr>
        <w:t xml:space="preserve"> </w:t>
      </w:r>
      <w:r>
        <w:rPr>
          <w:lang w:eastAsia="lt-LT"/>
        </w:rPr>
        <w:t>neigiami</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pasikeitimai,</w:t>
      </w:r>
      <w:r>
        <w:rPr>
          <w:i/>
          <w:iCs/>
          <w:lang w:eastAsia="lt-LT"/>
        </w:rPr>
        <w:t xml:space="preserve"> </w:t>
      </w:r>
      <w:r>
        <w:rPr>
          <w:lang w:eastAsia="lt-LT"/>
        </w:rPr>
        <w:t>susidarę</w:t>
      </w:r>
      <w:r>
        <w:rPr>
          <w:i/>
          <w:iCs/>
          <w:lang w:eastAsia="lt-LT"/>
        </w:rPr>
        <w:t xml:space="preserve"> </w:t>
      </w:r>
      <w:r>
        <w:rPr>
          <w:lang w:eastAsia="lt-LT"/>
        </w:rPr>
        <w:t>vienetui</w:t>
      </w:r>
      <w:r>
        <w:rPr>
          <w:i/>
          <w:iCs/>
          <w:lang w:eastAsia="lt-LT"/>
        </w:rPr>
        <w:t xml:space="preserve"> </w:t>
      </w:r>
      <w:r>
        <w:rPr>
          <w:lang w:eastAsia="lt-LT"/>
        </w:rPr>
        <w:t>vykdant</w:t>
      </w:r>
      <w:r>
        <w:rPr>
          <w:i/>
          <w:iCs/>
          <w:lang w:eastAsia="lt-LT"/>
        </w:rPr>
        <w:t xml:space="preserve"> </w:t>
      </w:r>
      <w:r>
        <w:rPr>
          <w:lang w:eastAsia="lt-LT"/>
        </w:rPr>
        <w:t>operacijas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perskaičiuojant</w:t>
      </w:r>
      <w:r>
        <w:rPr>
          <w:i/>
          <w:iCs/>
          <w:lang w:eastAsia="lt-LT"/>
        </w:rPr>
        <w:t xml:space="preserve"> </w:t>
      </w:r>
      <w:r>
        <w:rPr>
          <w:lang w:eastAsia="lt-LT"/>
        </w:rPr>
        <w:t>balanse</w:t>
      </w:r>
      <w:r>
        <w:rPr>
          <w:i/>
          <w:iCs/>
          <w:lang w:eastAsia="lt-LT"/>
        </w:rPr>
        <w:t xml:space="preserve"> </w:t>
      </w:r>
      <w:r>
        <w:rPr>
          <w:lang w:eastAsia="lt-LT"/>
        </w:rPr>
        <w:t>apskaitomus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straipsnius.</w:t>
      </w:r>
      <w:r>
        <w:rPr>
          <w:i/>
          <w:iCs/>
          <w:lang w:eastAsia="lt-LT"/>
        </w:rPr>
        <w:t xml:space="preserve"> </w:t>
      </w:r>
      <w:r>
        <w:rPr>
          <w:lang w:eastAsia="lt-LT"/>
        </w:rPr>
        <w:t>Vienetams,</w:t>
      </w:r>
      <w:r>
        <w:rPr>
          <w:i/>
          <w:iCs/>
          <w:lang w:eastAsia="lt-LT"/>
        </w:rPr>
        <w:t xml:space="preserve"> </w:t>
      </w:r>
      <w:r>
        <w:rPr>
          <w:lang w:eastAsia="lt-LT"/>
        </w:rPr>
        <w:t>kurie</w:t>
      </w:r>
      <w:r>
        <w:rPr>
          <w:i/>
          <w:iCs/>
          <w:lang w:eastAsia="lt-LT"/>
        </w:rPr>
        <w:t xml:space="preserve"> </w:t>
      </w:r>
      <w:r>
        <w:rPr>
          <w:lang w:eastAsia="lt-LT"/>
        </w:rPr>
        <w:t>tvarkydami</w:t>
      </w:r>
      <w:r>
        <w:rPr>
          <w:i/>
          <w:iCs/>
          <w:lang w:eastAsia="lt-LT"/>
        </w:rPr>
        <w:t xml:space="preserve"> </w:t>
      </w:r>
      <w:r>
        <w:rPr>
          <w:lang w:eastAsia="lt-LT"/>
        </w:rPr>
        <w:t>buhalterinę</w:t>
      </w:r>
      <w:r>
        <w:rPr>
          <w:i/>
          <w:iCs/>
          <w:lang w:eastAsia="lt-LT"/>
        </w:rPr>
        <w:t xml:space="preserve"> </w:t>
      </w:r>
      <w:r>
        <w:rPr>
          <w:lang w:eastAsia="lt-LT"/>
        </w:rPr>
        <w:t>apskaitą</w:t>
      </w:r>
      <w:r>
        <w:rPr>
          <w:i/>
          <w:iCs/>
          <w:lang w:eastAsia="lt-LT"/>
        </w:rPr>
        <w:t xml:space="preserve"> </w:t>
      </w:r>
      <w:r>
        <w:rPr>
          <w:lang w:eastAsia="lt-LT"/>
        </w:rPr>
        <w:t>ir</w:t>
      </w:r>
      <w:r>
        <w:rPr>
          <w:i/>
          <w:iCs/>
          <w:lang w:eastAsia="lt-LT"/>
        </w:rPr>
        <w:t xml:space="preserve"> </w:t>
      </w:r>
      <w:r>
        <w:rPr>
          <w:lang w:eastAsia="lt-LT"/>
        </w:rPr>
        <w:t>rengdami</w:t>
      </w:r>
      <w:r>
        <w:rPr>
          <w:i/>
          <w:iCs/>
          <w:lang w:eastAsia="lt-LT"/>
        </w:rPr>
        <w:t xml:space="preserve"> </w:t>
      </w:r>
      <w:r>
        <w:rPr>
          <w:lang w:eastAsia="lt-LT"/>
        </w:rPr>
        <w:t>finansinę</w:t>
      </w:r>
      <w:r>
        <w:rPr>
          <w:i/>
          <w:iCs/>
          <w:lang w:eastAsia="lt-LT"/>
        </w:rPr>
        <w:t xml:space="preserve"> </w:t>
      </w:r>
      <w:r>
        <w:rPr>
          <w:lang w:eastAsia="lt-LT"/>
        </w:rPr>
        <w:t>atskaitomybę,</w:t>
      </w:r>
      <w:r>
        <w:rPr>
          <w:i/>
          <w:iCs/>
          <w:lang w:eastAsia="lt-LT"/>
        </w:rPr>
        <w:t xml:space="preserve"> </w:t>
      </w:r>
      <w:r>
        <w:rPr>
          <w:lang w:eastAsia="lt-LT"/>
        </w:rPr>
        <w:t>privalo</w:t>
      </w:r>
      <w:r>
        <w:rPr>
          <w:i/>
          <w:iCs/>
          <w:lang w:eastAsia="lt-LT"/>
        </w:rPr>
        <w:t xml:space="preserve"> </w:t>
      </w:r>
      <w:r>
        <w:rPr>
          <w:lang w:eastAsia="lt-LT"/>
        </w:rPr>
        <w:t>vadovautis</w:t>
      </w:r>
      <w:r>
        <w:rPr>
          <w:i/>
          <w:iCs/>
          <w:lang w:eastAsia="lt-LT"/>
        </w:rPr>
        <w:t xml:space="preserve"> </w:t>
      </w:r>
      <w:r>
        <w:rPr>
          <w:lang w:eastAsia="lt-LT"/>
        </w:rPr>
        <w:t>ar</w:t>
      </w:r>
      <w:r>
        <w:rPr>
          <w:i/>
          <w:iCs/>
          <w:lang w:eastAsia="lt-LT"/>
        </w:rPr>
        <w:t xml:space="preserve"> </w:t>
      </w:r>
      <w:r>
        <w:rPr>
          <w:lang w:eastAsia="lt-LT"/>
        </w:rPr>
        <w:t>vadovaujasi</w:t>
      </w:r>
      <w:r>
        <w:rPr>
          <w:i/>
          <w:iCs/>
          <w:lang w:eastAsia="lt-LT"/>
        </w:rPr>
        <w:t xml:space="preserve"> </w:t>
      </w:r>
      <w:r>
        <w:rPr>
          <w:lang w:eastAsia="lt-LT"/>
        </w:rPr>
        <w:t>VAS</w:t>
      </w:r>
      <w:r>
        <w:rPr>
          <w:i/>
          <w:iCs/>
          <w:lang w:eastAsia="lt-LT"/>
        </w:rPr>
        <w:t xml:space="preserve"> </w:t>
      </w:r>
      <w:r>
        <w:rPr>
          <w:lang w:eastAsia="lt-LT"/>
        </w:rPr>
        <w:t>nuostatomis,</w:t>
      </w:r>
      <w:r>
        <w:rPr>
          <w:i/>
          <w:iCs/>
          <w:lang w:eastAsia="lt-LT"/>
        </w:rPr>
        <w:t xml:space="preserve"> </w:t>
      </w:r>
      <w:r>
        <w:rPr>
          <w:lang w:eastAsia="lt-LT"/>
        </w:rPr>
        <w:t>sandorių</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apskaitos</w:t>
      </w:r>
      <w:r>
        <w:rPr>
          <w:i/>
          <w:iCs/>
          <w:lang w:eastAsia="lt-LT"/>
        </w:rPr>
        <w:t xml:space="preserve"> </w:t>
      </w:r>
      <w:r>
        <w:rPr>
          <w:lang w:eastAsia="lt-LT"/>
        </w:rPr>
        <w:t>ir</w:t>
      </w:r>
      <w:r>
        <w:rPr>
          <w:i/>
          <w:iCs/>
          <w:lang w:eastAsia="lt-LT"/>
        </w:rPr>
        <w:t xml:space="preserve"> </w:t>
      </w:r>
      <w:r>
        <w:rPr>
          <w:lang w:eastAsia="lt-LT"/>
        </w:rPr>
        <w:t>valiutų</w:t>
      </w:r>
      <w:r>
        <w:rPr>
          <w:i/>
          <w:iCs/>
          <w:lang w:eastAsia="lt-LT"/>
        </w:rPr>
        <w:t xml:space="preserve"> </w:t>
      </w:r>
      <w:r>
        <w:rPr>
          <w:lang w:eastAsia="lt-LT"/>
        </w:rPr>
        <w:t>kursų</w:t>
      </w:r>
      <w:r>
        <w:rPr>
          <w:i/>
          <w:iCs/>
          <w:lang w:eastAsia="lt-LT"/>
        </w:rPr>
        <w:t xml:space="preserve"> </w:t>
      </w:r>
      <w:r>
        <w:rPr>
          <w:lang w:eastAsia="lt-LT"/>
        </w:rPr>
        <w:t>pokyčių</w:t>
      </w:r>
      <w:r>
        <w:rPr>
          <w:i/>
          <w:iCs/>
          <w:lang w:eastAsia="lt-LT"/>
        </w:rPr>
        <w:t xml:space="preserve"> </w:t>
      </w:r>
      <w:r>
        <w:rPr>
          <w:lang w:eastAsia="lt-LT"/>
        </w:rPr>
        <w:t>pateikimo</w:t>
      </w:r>
      <w:r>
        <w:rPr>
          <w:i/>
          <w:iCs/>
          <w:lang w:eastAsia="lt-LT"/>
        </w:rPr>
        <w:t xml:space="preserve"> </w:t>
      </w:r>
      <w:r>
        <w:rPr>
          <w:lang w:eastAsia="lt-LT"/>
        </w:rPr>
        <w:t>finansinėje</w:t>
      </w:r>
      <w:r>
        <w:rPr>
          <w:i/>
          <w:iCs/>
          <w:lang w:eastAsia="lt-LT"/>
        </w:rPr>
        <w:t xml:space="preserve"> </w:t>
      </w:r>
      <w:r>
        <w:rPr>
          <w:lang w:eastAsia="lt-LT"/>
        </w:rPr>
        <w:t>atskaitomybėje</w:t>
      </w:r>
      <w:r>
        <w:rPr>
          <w:i/>
          <w:iCs/>
          <w:lang w:eastAsia="lt-LT"/>
        </w:rPr>
        <w:t xml:space="preserve"> </w:t>
      </w:r>
      <w:r>
        <w:rPr>
          <w:lang w:eastAsia="lt-LT"/>
        </w:rPr>
        <w:t>tvarką</w:t>
      </w:r>
      <w:r>
        <w:rPr>
          <w:i/>
          <w:iCs/>
          <w:lang w:eastAsia="lt-LT"/>
        </w:rPr>
        <w:t xml:space="preserve"> </w:t>
      </w:r>
      <w:r>
        <w:rPr>
          <w:lang w:eastAsia="lt-LT"/>
        </w:rPr>
        <w:t>nustato</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Užsienio</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pasikeitimas</w:t>
      </w:r>
      <w:r>
        <w:rPr>
          <w:i/>
          <w:iCs/>
          <w:lang w:eastAsia="lt-LT"/>
        </w:rPr>
        <w:t xml:space="preserve">“ </w:t>
      </w:r>
      <w:r>
        <w:rPr>
          <w:lang w:eastAsia="lt-LT"/>
        </w:rPr>
        <w:t>(toliau</w:t>
      </w:r>
      <w:r>
        <w:rPr>
          <w:i/>
          <w:iCs/>
          <w:lang w:eastAsia="lt-LT"/>
        </w:rPr>
        <w:t xml:space="preserve"> </w:t>
      </w:r>
      <w:r>
        <w:rPr>
          <w:lang w:eastAsia="lt-LT"/>
        </w:rPr>
        <w:t>–</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kurio</w:t>
      </w:r>
      <w:r>
        <w:rPr>
          <w:i/>
          <w:iCs/>
          <w:lang w:eastAsia="lt-LT"/>
        </w:rPr>
        <w:t xml:space="preserve"> </w:t>
      </w:r>
      <w:r>
        <w:rPr>
          <w:lang w:eastAsia="lt-LT"/>
        </w:rPr>
        <w:t>nuostatos,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taikomos</w:t>
      </w:r>
      <w:r>
        <w:rPr>
          <w:i/>
          <w:iCs/>
          <w:lang w:eastAsia="lt-LT"/>
        </w:rPr>
        <w:t xml:space="preserve"> </w:t>
      </w:r>
      <w:r>
        <w:rPr>
          <w:lang w:eastAsia="lt-LT"/>
        </w:rPr>
        <w:t>tiek,</w:t>
      </w:r>
      <w:r>
        <w:rPr>
          <w:i/>
          <w:iCs/>
          <w:lang w:eastAsia="lt-LT"/>
        </w:rPr>
        <w:t xml:space="preserve"> </w:t>
      </w:r>
      <w:r>
        <w:rPr>
          <w:lang w:eastAsia="lt-LT"/>
        </w:rPr>
        <w:t>kiek</w:t>
      </w:r>
      <w:r>
        <w:rPr>
          <w:i/>
          <w:iCs/>
          <w:lang w:eastAsia="lt-LT"/>
        </w:rPr>
        <w:t xml:space="preserve"> </w:t>
      </w:r>
      <w:r>
        <w:rPr>
          <w:lang w:eastAsia="lt-LT"/>
        </w:rPr>
        <w:t>neprieštarauja</w:t>
      </w:r>
      <w:r>
        <w:rPr>
          <w:i/>
          <w:iCs/>
          <w:lang w:eastAsia="lt-LT"/>
        </w:rPr>
        <w:t xml:space="preserve"> </w:t>
      </w:r>
      <w:bookmarkStart w:id="303" w:name="n1_2975"/>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4" w:name="pn1_2975"/>
      <w:bookmarkEnd w:id="303"/>
      <w:bookmarkEnd w:id="304"/>
      <w:r>
        <w:rPr>
          <w:lang w:eastAsia="lt-LT"/>
        </w:rPr>
        <w:t>.</w:t>
      </w:r>
    </w:p>
    <w:p w14:paraId="6A65D567" w14:textId="77777777" w:rsidR="00093845" w:rsidRDefault="000D779E">
      <w:pPr>
        <w:ind w:firstLine="993"/>
        <w:jc w:val="both"/>
        <w:rPr>
          <w:lang w:eastAsia="lt-LT"/>
        </w:rPr>
      </w:pPr>
      <w:r>
        <w:rPr>
          <w:lang w:eastAsia="lt-LT"/>
        </w:rPr>
        <w:t>Kai</w:t>
      </w:r>
      <w:r>
        <w:rPr>
          <w:i/>
          <w:iCs/>
          <w:lang w:eastAsia="lt-LT"/>
        </w:rPr>
        <w:t xml:space="preserve"> </w:t>
      </w:r>
      <w:r>
        <w:rPr>
          <w:lang w:eastAsia="lt-LT"/>
        </w:rPr>
        <w:t>sandoris</w:t>
      </w:r>
      <w:r>
        <w:rPr>
          <w:i/>
          <w:iCs/>
          <w:lang w:eastAsia="lt-LT"/>
        </w:rPr>
        <w:t xml:space="preserve"> </w:t>
      </w:r>
      <w:r>
        <w:rPr>
          <w:lang w:eastAsia="lt-LT"/>
        </w:rPr>
        <w:t>sudaromas</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tai</w:t>
      </w:r>
      <w:r>
        <w:rPr>
          <w:i/>
          <w:iCs/>
          <w:lang w:eastAsia="lt-LT"/>
        </w:rPr>
        <w:t xml:space="preserve"> </w:t>
      </w:r>
      <w:r>
        <w:rPr>
          <w:lang w:eastAsia="lt-LT"/>
        </w:rPr>
        <w:t>pagal</w:t>
      </w:r>
      <w:r>
        <w:rPr>
          <w:i/>
          <w:iCs/>
          <w:lang w:eastAsia="lt-LT"/>
        </w:rPr>
        <w:t xml:space="preserve"> </w:t>
      </w:r>
      <w:r>
        <w:rPr>
          <w:lang w:eastAsia="lt-LT"/>
        </w:rPr>
        <w:t>tokį</w:t>
      </w:r>
      <w:r>
        <w:rPr>
          <w:i/>
          <w:iCs/>
          <w:lang w:eastAsia="lt-LT"/>
        </w:rPr>
        <w:t xml:space="preserve"> </w:t>
      </w:r>
      <w:r>
        <w:rPr>
          <w:lang w:eastAsia="lt-LT"/>
        </w:rPr>
        <w:t>sandorį</w:t>
      </w:r>
      <w:r>
        <w:rPr>
          <w:i/>
          <w:iCs/>
          <w:lang w:eastAsia="lt-LT"/>
        </w:rPr>
        <w:t xml:space="preserve"> </w:t>
      </w:r>
      <w:r>
        <w:rPr>
          <w:lang w:eastAsia="lt-LT"/>
        </w:rPr>
        <w:t>įsigyto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įvertinama</w:t>
      </w:r>
      <w:r>
        <w:rPr>
          <w:i/>
          <w:iCs/>
          <w:lang w:eastAsia="lt-LT"/>
        </w:rPr>
        <w:t xml:space="preserve"> </w:t>
      </w:r>
      <w:r>
        <w:rPr>
          <w:iCs/>
          <w:lang w:eastAsia="lt-LT"/>
        </w:rPr>
        <w:t>eurais</w:t>
      </w:r>
      <w:r>
        <w:rPr>
          <w:i/>
          <w:iCs/>
          <w:lang w:eastAsia="lt-LT"/>
        </w:rPr>
        <w:t xml:space="preserve"> </w:t>
      </w:r>
      <w:r>
        <w:rPr>
          <w:lang w:eastAsia="lt-LT"/>
        </w:rPr>
        <w:t>pagal</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dienos (sandorio 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Jei</w:t>
      </w:r>
      <w:r>
        <w:rPr>
          <w:i/>
          <w:iCs/>
          <w:lang w:eastAsia="lt-LT"/>
        </w:rPr>
        <w:t xml:space="preserve"> </w:t>
      </w:r>
      <w:r>
        <w:rPr>
          <w:lang w:eastAsia="lt-LT"/>
        </w:rPr>
        <w:t>pagal</w:t>
      </w:r>
      <w:r>
        <w:rPr>
          <w:i/>
          <w:iCs/>
          <w:lang w:eastAsia="lt-LT"/>
        </w:rPr>
        <w:t xml:space="preserve"> </w:t>
      </w:r>
      <w:r>
        <w:rPr>
          <w:lang w:eastAsia="lt-LT"/>
        </w:rPr>
        <w:t>22</w:t>
      </w:r>
      <w:r>
        <w:rPr>
          <w:i/>
          <w:iCs/>
          <w:lang w:eastAsia="lt-LT"/>
        </w:rPr>
        <w:t xml:space="preserve"> </w:t>
      </w:r>
      <w:r>
        <w:rPr>
          <w:lang w:eastAsia="lt-LT"/>
        </w:rPr>
        <w:t>VAS</w:t>
      </w:r>
      <w:r>
        <w:rPr>
          <w:i/>
          <w:iCs/>
          <w:lang w:eastAsia="lt-LT"/>
        </w:rPr>
        <w:t xml:space="preserve"> </w:t>
      </w:r>
      <w:r>
        <w:rPr>
          <w:lang w:eastAsia="lt-LT"/>
        </w:rPr>
        <w:t>nuostatas</w:t>
      </w:r>
      <w:r>
        <w:rPr>
          <w:i/>
          <w:iCs/>
          <w:lang w:eastAsia="lt-LT"/>
        </w:rPr>
        <w:t xml:space="preserve"> </w:t>
      </w:r>
      <w:r>
        <w:rPr>
          <w:lang w:eastAsia="lt-LT"/>
        </w:rPr>
        <w:t>turtas,</w:t>
      </w:r>
      <w:r>
        <w:rPr>
          <w:i/>
          <w:iCs/>
          <w:lang w:eastAsia="lt-LT"/>
        </w:rPr>
        <w:t xml:space="preserve"> </w:t>
      </w:r>
      <w:r>
        <w:rPr>
          <w:lang w:eastAsia="lt-LT"/>
        </w:rPr>
        <w:t>kurio</w:t>
      </w:r>
      <w:r>
        <w:rPr>
          <w:i/>
          <w:iCs/>
          <w:lang w:eastAsia="lt-LT"/>
        </w:rPr>
        <w:t xml:space="preserve"> </w:t>
      </w:r>
      <w:r>
        <w:rPr>
          <w:lang w:eastAsia="lt-LT"/>
        </w:rPr>
        <w:t>tikroji</w:t>
      </w:r>
      <w:r>
        <w:rPr>
          <w:i/>
          <w:iCs/>
          <w:lang w:eastAsia="lt-LT"/>
        </w:rPr>
        <w:t xml:space="preserve"> </w:t>
      </w:r>
      <w:r>
        <w:rPr>
          <w:lang w:eastAsia="lt-LT"/>
        </w:rPr>
        <w:t>vertė</w:t>
      </w:r>
      <w:r>
        <w:rPr>
          <w:i/>
          <w:iCs/>
          <w:lang w:eastAsia="lt-LT"/>
        </w:rPr>
        <w:t xml:space="preserve"> </w:t>
      </w:r>
      <w:r>
        <w:rPr>
          <w:lang w:eastAsia="lt-LT"/>
        </w:rPr>
        <w:t>nustatoma</w:t>
      </w:r>
      <w:r>
        <w:rPr>
          <w:i/>
          <w:iCs/>
          <w:lang w:eastAsia="lt-LT"/>
        </w:rPr>
        <w:t xml:space="preserve"> </w:t>
      </w:r>
      <w:r>
        <w:rPr>
          <w:lang w:eastAsia="lt-LT"/>
        </w:rPr>
        <w:t>užsienio</w:t>
      </w:r>
      <w:r>
        <w:rPr>
          <w:i/>
          <w:iCs/>
          <w:lang w:eastAsia="lt-LT"/>
        </w:rPr>
        <w:t xml:space="preserve"> </w:t>
      </w:r>
      <w:r>
        <w:rPr>
          <w:lang w:eastAsia="lt-LT"/>
        </w:rPr>
        <w:t>valiuta,</w:t>
      </w:r>
      <w:r>
        <w:rPr>
          <w:i/>
          <w:iCs/>
          <w:lang w:eastAsia="lt-LT"/>
        </w:rPr>
        <w:t xml:space="preserve"> </w:t>
      </w:r>
      <w:r>
        <w:rPr>
          <w:lang w:eastAsia="lt-LT"/>
        </w:rPr>
        <w:t>balanse</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įvertinamas</w:t>
      </w:r>
      <w:r>
        <w:rPr>
          <w:i/>
          <w:iCs/>
          <w:lang w:eastAsia="lt-LT"/>
        </w:rPr>
        <w:t xml:space="preserve"> </w:t>
      </w:r>
      <w:r>
        <w:rPr>
          <w:iCs/>
          <w:lang w:eastAsia="lt-LT"/>
        </w:rPr>
        <w:t xml:space="preserve">eurais </w:t>
      </w:r>
      <w:r>
        <w:rPr>
          <w:strike/>
          <w:lang w:eastAsia="lt-LT"/>
        </w:rPr>
        <w:t>litais</w:t>
      </w:r>
      <w:r>
        <w:rPr>
          <w:lang w:eastAsia="lt-LT"/>
        </w:rPr>
        <w:t>,</w:t>
      </w:r>
      <w:r>
        <w:rPr>
          <w:i/>
          <w:iCs/>
          <w:lang w:eastAsia="lt-LT"/>
        </w:rPr>
        <w:t xml:space="preserve"> </w:t>
      </w:r>
      <w:r>
        <w:rPr>
          <w:lang w:eastAsia="lt-LT"/>
        </w:rPr>
        <w:t>taikant</w:t>
      </w:r>
      <w:r>
        <w:rPr>
          <w:i/>
          <w:iCs/>
          <w:lang w:eastAsia="lt-LT"/>
        </w:rPr>
        <w:t xml:space="preserve"> </w:t>
      </w:r>
      <w:r>
        <w:rPr>
          <w:lang w:eastAsia="lt-LT"/>
        </w:rPr>
        <w:t>tikrosios</w:t>
      </w:r>
      <w:r>
        <w:rPr>
          <w:i/>
          <w:iCs/>
          <w:lang w:eastAsia="lt-LT"/>
        </w:rPr>
        <w:t xml:space="preserve"> </w:t>
      </w:r>
      <w:r>
        <w:rPr>
          <w:lang w:eastAsia="lt-LT"/>
        </w:rPr>
        <w:t>vertės</w:t>
      </w:r>
      <w:r>
        <w:rPr>
          <w:i/>
          <w:iCs/>
          <w:lang w:eastAsia="lt-LT"/>
        </w:rPr>
        <w:t xml:space="preserve"> </w:t>
      </w:r>
      <w:r>
        <w:rPr>
          <w:lang w:eastAsia="lt-LT"/>
        </w:rPr>
        <w:t>nustatymo</w:t>
      </w:r>
      <w:r>
        <w:rPr>
          <w:i/>
          <w:iCs/>
          <w:lang w:eastAsia="lt-LT"/>
        </w:rPr>
        <w:t xml:space="preserve"> </w:t>
      </w:r>
      <w:r>
        <w:rPr>
          <w:lang w:eastAsia="lt-LT"/>
        </w:rPr>
        <w:t>dienos</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tai</w:t>
      </w:r>
      <w:r>
        <w:rPr>
          <w:i/>
          <w:iCs/>
          <w:lang w:eastAsia="lt-LT"/>
        </w:rPr>
        <w:t xml:space="preserve"> </w:t>
      </w:r>
      <w:bookmarkStart w:id="305" w:name="n1_2976"/>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6" w:name="pn1_2976"/>
      <w:bookmarkEnd w:id="305"/>
      <w:bookmarkEnd w:id="306"/>
      <w:r>
        <w:rPr>
          <w:i/>
          <w:iCs/>
          <w:lang w:eastAsia="lt-LT"/>
        </w:rPr>
        <w:t xml:space="preserve"> </w:t>
      </w:r>
      <w:r>
        <w:rPr>
          <w:lang w:eastAsia="lt-LT"/>
        </w:rPr>
        <w:t>tikslams</w:t>
      </w:r>
      <w:r>
        <w:rPr>
          <w:i/>
          <w:iCs/>
          <w:lang w:eastAsia="lt-LT"/>
        </w:rPr>
        <w:t xml:space="preserve"> </w:t>
      </w:r>
      <w:r>
        <w:rPr>
          <w:lang w:eastAsia="lt-LT"/>
        </w:rPr>
        <w:t>tokio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kaina</w:t>
      </w:r>
      <w:r>
        <w:rPr>
          <w:i/>
          <w:iCs/>
          <w:lang w:eastAsia="lt-LT"/>
        </w:rPr>
        <w:t xml:space="preserve"> </w:t>
      </w:r>
      <w:r>
        <w:rPr>
          <w:lang w:eastAsia="lt-LT"/>
        </w:rPr>
        <w:t>yra</w:t>
      </w:r>
      <w:r>
        <w:rPr>
          <w:i/>
          <w:iCs/>
          <w:lang w:eastAsia="lt-LT"/>
        </w:rPr>
        <w:t xml:space="preserve"> </w:t>
      </w:r>
      <w:r>
        <w:rPr>
          <w:lang w:eastAsia="lt-LT"/>
        </w:rPr>
        <w:t>ta</w:t>
      </w:r>
      <w:r>
        <w:rPr>
          <w:i/>
          <w:iCs/>
          <w:lang w:eastAsia="lt-LT"/>
        </w:rPr>
        <w:t xml:space="preserve"> </w:t>
      </w:r>
      <w:r>
        <w:rPr>
          <w:lang w:eastAsia="lt-LT"/>
        </w:rPr>
        <w:t>pati,</w:t>
      </w:r>
      <w:r>
        <w:rPr>
          <w:i/>
          <w:iCs/>
          <w:lang w:eastAsia="lt-LT"/>
        </w:rPr>
        <w:t xml:space="preserve"> </w:t>
      </w:r>
      <w:r>
        <w:rPr>
          <w:lang w:eastAsia="lt-LT"/>
        </w:rPr>
        <w:t>kokia</w:t>
      </w:r>
      <w:r>
        <w:rPr>
          <w:i/>
          <w:iCs/>
          <w:lang w:eastAsia="lt-LT"/>
        </w:rPr>
        <w:t xml:space="preserve"> </w:t>
      </w:r>
      <w:r>
        <w:rPr>
          <w:lang w:eastAsia="lt-LT"/>
        </w:rPr>
        <w:t>buvo</w:t>
      </w:r>
      <w:r>
        <w:rPr>
          <w:i/>
          <w:iCs/>
          <w:lang w:eastAsia="lt-LT"/>
        </w:rPr>
        <w:t xml:space="preserve"> </w:t>
      </w:r>
      <w:r>
        <w:rPr>
          <w:lang w:eastAsia="lt-LT"/>
        </w:rPr>
        <w:t>nustatyta</w:t>
      </w:r>
      <w:r>
        <w:rPr>
          <w:i/>
          <w:iCs/>
          <w:lang w:eastAsia="lt-LT"/>
        </w:rPr>
        <w:t xml:space="preserve"> </w:t>
      </w:r>
      <w:r>
        <w:rPr>
          <w:lang w:eastAsia="lt-LT"/>
        </w:rPr>
        <w:t>pirminio</w:t>
      </w:r>
      <w:r>
        <w:rPr>
          <w:i/>
          <w:iCs/>
          <w:lang w:eastAsia="lt-LT"/>
        </w:rPr>
        <w:t xml:space="preserve"> </w:t>
      </w:r>
      <w:r>
        <w:rPr>
          <w:lang w:eastAsia="lt-LT"/>
        </w:rPr>
        <w:t>pripažinimo</w:t>
      </w:r>
      <w:r>
        <w:rPr>
          <w:i/>
          <w:iCs/>
          <w:lang w:eastAsia="lt-LT"/>
        </w:rPr>
        <w:t xml:space="preserve"> </w:t>
      </w:r>
      <w:r>
        <w:rPr>
          <w:lang w:eastAsia="lt-LT"/>
        </w:rPr>
        <w:t>metu</w:t>
      </w:r>
      <w:r>
        <w:rPr>
          <w:i/>
          <w:iCs/>
          <w:lang w:eastAsia="lt-LT"/>
        </w:rPr>
        <w:t xml:space="preserve"> </w:t>
      </w:r>
      <w:r>
        <w:rPr>
          <w:lang w:eastAsia="lt-LT"/>
        </w:rPr>
        <w:t>pagal</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dieną</w:t>
      </w:r>
      <w:r>
        <w:rPr>
          <w:i/>
          <w:iCs/>
          <w:lang w:eastAsia="lt-LT"/>
        </w:rPr>
        <w:t xml:space="preserve"> </w:t>
      </w:r>
      <w:r>
        <w:rPr>
          <w:lang w:eastAsia="lt-LT"/>
        </w:rPr>
        <w:t>galiojusį</w:t>
      </w:r>
      <w:r>
        <w:rPr>
          <w:i/>
          <w:iCs/>
          <w:lang w:eastAsia="lt-LT"/>
        </w:rPr>
        <w:t xml:space="preserve"> </w:t>
      </w:r>
      <w:r>
        <w:rPr>
          <w:lang w:eastAsia="lt-LT"/>
        </w:rPr>
        <w:t>valiutos</w:t>
      </w:r>
      <w:r>
        <w:rPr>
          <w:i/>
          <w:iCs/>
          <w:lang w:eastAsia="lt-LT"/>
        </w:rPr>
        <w:t xml:space="preserve"> </w:t>
      </w:r>
      <w:r>
        <w:rPr>
          <w:lang w:eastAsia="lt-LT"/>
        </w:rPr>
        <w:t>kursą.</w:t>
      </w:r>
      <w:r>
        <w:rPr>
          <w:i/>
          <w:iCs/>
          <w:lang w:eastAsia="lt-LT"/>
        </w:rPr>
        <w:t xml:space="preserve"> </w:t>
      </w:r>
      <w:r>
        <w:rPr>
          <w:lang w:eastAsia="lt-LT"/>
        </w:rPr>
        <w:t>Todėl</w:t>
      </w:r>
      <w:r>
        <w:rPr>
          <w:i/>
          <w:iCs/>
          <w:lang w:eastAsia="lt-LT"/>
        </w:rPr>
        <w:t xml:space="preserve"> </w:t>
      </w:r>
      <w:r>
        <w:rPr>
          <w:lang w:eastAsia="lt-LT"/>
        </w:rPr>
        <w:t>apskaitoje</w:t>
      </w:r>
      <w:r>
        <w:rPr>
          <w:i/>
          <w:iCs/>
          <w:lang w:eastAsia="lt-LT"/>
        </w:rPr>
        <w:t xml:space="preserve"> </w:t>
      </w:r>
      <w:r>
        <w:rPr>
          <w:lang w:eastAsia="lt-LT"/>
        </w:rPr>
        <w:t>įregistruotos</w:t>
      </w:r>
      <w:r>
        <w:rPr>
          <w:i/>
          <w:iCs/>
          <w:lang w:eastAsia="lt-LT"/>
        </w:rPr>
        <w:t xml:space="preserve"> turto vertės pokyčių sumos </w:t>
      </w:r>
      <w:r>
        <w:rPr>
          <w:lang w:eastAsia="lt-LT"/>
        </w:rPr>
        <w:t>(pajamos</w:t>
      </w:r>
      <w:r>
        <w:rPr>
          <w:i/>
          <w:iCs/>
          <w:lang w:eastAsia="lt-LT"/>
        </w:rPr>
        <w:t xml:space="preserve"> </w:t>
      </w:r>
      <w:r>
        <w:rPr>
          <w:lang w:eastAsia="lt-LT"/>
        </w:rPr>
        <w:t>ar</w:t>
      </w:r>
      <w:r>
        <w:rPr>
          <w:i/>
          <w:iCs/>
          <w:lang w:eastAsia="lt-LT"/>
        </w:rPr>
        <w:t xml:space="preserve"> </w:t>
      </w:r>
      <w:r>
        <w:rPr>
          <w:lang w:eastAsia="lt-LT"/>
        </w:rPr>
        <w:t>sąnaudos,</w:t>
      </w:r>
      <w:r>
        <w:rPr>
          <w:i/>
          <w:iCs/>
          <w:lang w:eastAsia="lt-LT"/>
        </w:rPr>
        <w:t xml:space="preserve"> </w:t>
      </w:r>
      <w:r>
        <w:rPr>
          <w:lang w:eastAsia="lt-LT"/>
        </w:rPr>
        <w:t>susidariusios</w:t>
      </w:r>
      <w:r>
        <w:rPr>
          <w:i/>
          <w:iCs/>
          <w:lang w:eastAsia="lt-LT"/>
        </w:rPr>
        <w:t xml:space="preserve"> </w:t>
      </w:r>
      <w:r>
        <w:rPr>
          <w:lang w:eastAsia="lt-LT"/>
        </w:rPr>
        <w:t>dėl</w:t>
      </w:r>
      <w:r>
        <w:rPr>
          <w:i/>
          <w:iCs/>
          <w:lang w:eastAsia="lt-LT"/>
        </w:rPr>
        <w:t xml:space="preserve"> </w:t>
      </w:r>
      <w:r>
        <w:rPr>
          <w:lang w:eastAsia="lt-LT"/>
        </w:rPr>
        <w:t>turto</w:t>
      </w:r>
      <w:r>
        <w:rPr>
          <w:i/>
          <w:iCs/>
          <w:lang w:eastAsia="lt-LT"/>
        </w:rPr>
        <w:t xml:space="preserve"> </w:t>
      </w:r>
      <w:r>
        <w:rPr>
          <w:lang w:eastAsia="lt-LT"/>
        </w:rPr>
        <w:t>perkainojimo</w:t>
      </w:r>
      <w:r>
        <w:rPr>
          <w:i/>
          <w:iCs/>
          <w:lang w:eastAsia="lt-LT"/>
        </w:rPr>
        <w:t xml:space="preserve"> </w:t>
      </w:r>
      <w:r>
        <w:rPr>
          <w:lang w:eastAsia="lt-LT"/>
        </w:rPr>
        <w:t>(įvertinimo</w:t>
      </w:r>
      <w:r>
        <w:rPr>
          <w:i/>
          <w:iCs/>
          <w:lang w:eastAsia="lt-LT"/>
        </w:rPr>
        <w:t xml:space="preserve"> </w:t>
      </w:r>
      <w:r>
        <w:rPr>
          <w:lang w:eastAsia="lt-LT"/>
        </w:rPr>
        <w:t>tikrąja</w:t>
      </w:r>
      <w:r>
        <w:rPr>
          <w:i/>
          <w:iCs/>
          <w:lang w:eastAsia="lt-LT"/>
        </w:rPr>
        <w:t xml:space="preserve"> </w:t>
      </w:r>
      <w:r>
        <w:rPr>
          <w:lang w:eastAsia="lt-LT"/>
        </w:rPr>
        <w:t>verte)</w:t>
      </w:r>
      <w:r>
        <w:rPr>
          <w:i/>
          <w:iCs/>
          <w:lang w:eastAsia="lt-LT"/>
        </w:rPr>
        <w:t xml:space="preserve"> </w:t>
      </w:r>
      <w:r>
        <w:rPr>
          <w:lang w:eastAsia="lt-LT"/>
        </w:rPr>
        <w:t>ir</w:t>
      </w:r>
      <w:r>
        <w:rPr>
          <w:i/>
          <w:iCs/>
          <w:lang w:eastAsia="lt-LT"/>
        </w:rPr>
        <w:t xml:space="preserve"> </w:t>
      </w:r>
      <w:r>
        <w:rPr>
          <w:lang w:eastAsia="lt-LT"/>
        </w:rPr>
        <w:t>dėl</w:t>
      </w:r>
      <w:r>
        <w:rPr>
          <w:i/>
          <w:iCs/>
          <w:lang w:eastAsia="lt-LT"/>
        </w:rPr>
        <w:t xml:space="preserve"> </w:t>
      </w:r>
      <w:r>
        <w:rPr>
          <w:lang w:eastAsia="lt-LT"/>
        </w:rPr>
        <w:t>teigiamos</w:t>
      </w:r>
      <w:r>
        <w:rPr>
          <w:i/>
          <w:iCs/>
          <w:lang w:eastAsia="lt-LT"/>
        </w:rPr>
        <w:t xml:space="preserve"> </w:t>
      </w:r>
      <w:r>
        <w:rPr>
          <w:lang w:eastAsia="lt-LT"/>
        </w:rPr>
        <w:t>ar</w:t>
      </w:r>
      <w:r>
        <w:rPr>
          <w:i/>
          <w:iCs/>
          <w:lang w:eastAsia="lt-LT"/>
        </w:rPr>
        <w:t xml:space="preserve"> </w:t>
      </w:r>
      <w:r>
        <w:rPr>
          <w:lang w:eastAsia="lt-LT"/>
        </w:rPr>
        <w:t>neigiamos</w:t>
      </w:r>
      <w:r>
        <w:rPr>
          <w:i/>
          <w:iCs/>
          <w:lang w:eastAsia="lt-LT"/>
        </w:rPr>
        <w:t xml:space="preserve"> </w:t>
      </w:r>
      <w:r>
        <w:rPr>
          <w:lang w:eastAsia="lt-LT"/>
        </w:rPr>
        <w:t>valiutos</w:t>
      </w:r>
      <w:r>
        <w:rPr>
          <w:i/>
          <w:iCs/>
          <w:lang w:eastAsia="lt-LT"/>
        </w:rPr>
        <w:t xml:space="preserve"> </w:t>
      </w:r>
      <w:r>
        <w:rPr>
          <w:lang w:eastAsia="lt-LT"/>
        </w:rPr>
        <w:t>kurso</w:t>
      </w:r>
      <w:r>
        <w:rPr>
          <w:i/>
          <w:iCs/>
          <w:lang w:eastAsia="lt-LT"/>
        </w:rPr>
        <w:t xml:space="preserve"> </w:t>
      </w:r>
      <w:r>
        <w:rPr>
          <w:lang w:eastAsia="lt-LT"/>
        </w:rPr>
        <w:t>pasikeitimo</w:t>
      </w:r>
      <w:r>
        <w:rPr>
          <w:i/>
          <w:iCs/>
          <w:lang w:eastAsia="lt-LT"/>
        </w:rPr>
        <w:t xml:space="preserve"> </w:t>
      </w:r>
      <w:r>
        <w:rPr>
          <w:lang w:eastAsia="lt-LT"/>
        </w:rPr>
        <w:t>įtakos),</w:t>
      </w:r>
      <w:r>
        <w:rPr>
          <w:i/>
          <w:iCs/>
          <w:lang w:eastAsia="lt-LT"/>
        </w:rPr>
        <w:t xml:space="preserve"> </w:t>
      </w:r>
      <w:r>
        <w:rPr>
          <w:lang w:eastAsia="lt-LT"/>
        </w:rPr>
        <w:t>apskaičiuojant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vadovaujantis</w:t>
      </w:r>
      <w:r>
        <w:rPr>
          <w:i/>
          <w:iCs/>
          <w:lang w:eastAsia="lt-LT"/>
        </w:rPr>
        <w:t xml:space="preserve"> </w:t>
      </w:r>
      <w:bookmarkStart w:id="307" w:name="n1_2977"/>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lang w:eastAsia="lt-LT"/>
        </w:rPr>
        <w:t>PMĮ</w:t>
      </w:r>
      <w:r>
        <w:rPr>
          <w:lang w:eastAsia="lt-LT"/>
        </w:rPr>
        <w:fldChar w:fldCharType="end"/>
      </w:r>
      <w:bookmarkStart w:id="308" w:name="pn1_2977"/>
      <w:bookmarkEnd w:id="307"/>
      <w:bookmarkEnd w:id="308"/>
      <w:r>
        <w:rPr>
          <w:i/>
          <w:iCs/>
          <w:lang w:eastAsia="lt-LT"/>
        </w:rPr>
        <w:t xml:space="preserve"> </w:t>
      </w:r>
      <w:r>
        <w:rPr>
          <w:lang w:eastAsia="lt-LT"/>
        </w:rPr>
        <w:t>12</w:t>
      </w:r>
      <w:r>
        <w:rPr>
          <w:i/>
          <w:iCs/>
          <w:lang w:eastAsia="lt-LT"/>
        </w:rPr>
        <w:t xml:space="preserve"> </w:t>
      </w:r>
      <w:r>
        <w:rPr>
          <w:lang w:eastAsia="lt-LT"/>
        </w:rPr>
        <w:t>str.</w:t>
      </w:r>
      <w:r>
        <w:rPr>
          <w:i/>
          <w:iCs/>
          <w:lang w:eastAsia="lt-LT"/>
        </w:rPr>
        <w:t xml:space="preserve"> </w:t>
      </w:r>
      <w:r>
        <w:rPr>
          <w:lang w:eastAsia="lt-LT"/>
        </w:rPr>
        <w:t>7</w:t>
      </w:r>
      <w:r>
        <w:rPr>
          <w:i/>
          <w:iCs/>
          <w:lang w:eastAsia="lt-LT"/>
        </w:rPr>
        <w:t xml:space="preserve"> </w:t>
      </w:r>
      <w:r>
        <w:rPr>
          <w:lang w:eastAsia="lt-LT"/>
        </w:rPr>
        <w:t>punktu</w:t>
      </w:r>
      <w:r>
        <w:rPr>
          <w:i/>
          <w:iCs/>
          <w:lang w:eastAsia="lt-LT"/>
        </w:rPr>
        <w:t xml:space="preserve"> </w:t>
      </w:r>
      <w:r>
        <w:rPr>
          <w:lang w:eastAsia="lt-LT"/>
        </w:rPr>
        <w:lastRenderedPageBreak/>
        <w:t>ir</w:t>
      </w:r>
      <w:r>
        <w:rPr>
          <w:i/>
          <w:iCs/>
          <w:lang w:eastAsia="lt-LT"/>
        </w:rPr>
        <w:t xml:space="preserve"> </w:t>
      </w:r>
      <w:r>
        <w:rPr>
          <w:lang w:eastAsia="lt-LT"/>
        </w:rPr>
        <w:t>31</w:t>
      </w:r>
      <w:r>
        <w:rPr>
          <w:i/>
          <w:iCs/>
          <w:lang w:eastAsia="lt-LT"/>
        </w:rPr>
        <w:t xml:space="preserve"> </w:t>
      </w:r>
      <w:r>
        <w:rPr>
          <w:lang w:eastAsia="lt-LT"/>
        </w:rPr>
        <w:t>str.</w:t>
      </w:r>
      <w:r>
        <w:rPr>
          <w:i/>
          <w:iCs/>
          <w:lang w:eastAsia="lt-LT"/>
        </w:rPr>
        <w:t xml:space="preserve"> </w:t>
      </w:r>
      <w:r>
        <w:rPr>
          <w:lang w:eastAsia="lt-LT"/>
        </w:rPr>
        <w:t>1</w:t>
      </w:r>
      <w:r>
        <w:rPr>
          <w:i/>
          <w:iCs/>
          <w:lang w:eastAsia="lt-LT"/>
        </w:rPr>
        <w:t xml:space="preserve"> </w:t>
      </w:r>
      <w:r>
        <w:rPr>
          <w:lang w:eastAsia="lt-LT"/>
        </w:rPr>
        <w:t>d.</w:t>
      </w:r>
      <w:r>
        <w:rPr>
          <w:i/>
          <w:iCs/>
          <w:lang w:eastAsia="lt-LT"/>
        </w:rPr>
        <w:t xml:space="preserve"> </w:t>
      </w:r>
      <w:r>
        <w:rPr>
          <w:lang w:eastAsia="lt-LT"/>
        </w:rPr>
        <w:t>15</w:t>
      </w:r>
      <w:r>
        <w:rPr>
          <w:i/>
          <w:iCs/>
          <w:lang w:eastAsia="lt-LT"/>
        </w:rPr>
        <w:t xml:space="preserve"> </w:t>
      </w:r>
      <w:r>
        <w:rPr>
          <w:lang w:eastAsia="lt-LT"/>
        </w:rPr>
        <w:t>punktu,</w:t>
      </w:r>
      <w:r>
        <w:rPr>
          <w:i/>
          <w:iCs/>
          <w:lang w:eastAsia="lt-LT"/>
        </w:rPr>
        <w:t xml:space="preserve"> </w:t>
      </w:r>
      <w:r>
        <w:rPr>
          <w:lang w:eastAsia="lt-LT"/>
        </w:rPr>
        <w:t>atitinkamai</w:t>
      </w:r>
      <w:r>
        <w:rPr>
          <w:i/>
          <w:iCs/>
          <w:lang w:eastAsia="lt-LT"/>
        </w:rPr>
        <w:t xml:space="preserve"> </w:t>
      </w:r>
      <w:r>
        <w:rPr>
          <w:lang w:eastAsia="lt-LT"/>
        </w:rPr>
        <w:t>laikomos</w:t>
      </w:r>
      <w:r>
        <w:rPr>
          <w:i/>
          <w:iCs/>
          <w:lang w:eastAsia="lt-LT"/>
        </w:rPr>
        <w:t xml:space="preserve"> </w:t>
      </w:r>
      <w:r>
        <w:rPr>
          <w:lang w:eastAsia="lt-LT"/>
        </w:rPr>
        <w:t>neapmokestinamosiomis</w:t>
      </w:r>
      <w:r>
        <w:rPr>
          <w:i/>
          <w:iCs/>
          <w:lang w:eastAsia="lt-LT"/>
        </w:rPr>
        <w:t xml:space="preserve"> </w:t>
      </w:r>
      <w:r>
        <w:rPr>
          <w:lang w:eastAsia="lt-LT"/>
        </w:rPr>
        <w:t>pajamomis</w:t>
      </w:r>
      <w:r>
        <w:rPr>
          <w:i/>
          <w:iCs/>
          <w:lang w:eastAsia="lt-LT"/>
        </w:rPr>
        <w:t xml:space="preserve"> </w:t>
      </w:r>
      <w:r>
        <w:rPr>
          <w:lang w:eastAsia="lt-LT"/>
        </w:rPr>
        <w:t>arba</w:t>
      </w:r>
      <w:r>
        <w:rPr>
          <w:i/>
          <w:iCs/>
          <w:lang w:eastAsia="lt-LT"/>
        </w:rPr>
        <w:t xml:space="preserve"> </w:t>
      </w:r>
      <w:r>
        <w:rPr>
          <w:lang w:eastAsia="lt-LT"/>
        </w:rPr>
        <w:t>neleidžiamais</w:t>
      </w:r>
      <w:r>
        <w:rPr>
          <w:i/>
          <w:iCs/>
          <w:lang w:eastAsia="lt-LT"/>
        </w:rPr>
        <w:t xml:space="preserve"> </w:t>
      </w:r>
      <w:r>
        <w:rPr>
          <w:lang w:eastAsia="lt-LT"/>
        </w:rPr>
        <w:t>atskaitymais.</w:t>
      </w:r>
    </w:p>
    <w:p w14:paraId="5FB8C228" w14:textId="77777777" w:rsidR="00093845" w:rsidRPr="0065344A" w:rsidRDefault="00F425B3">
      <w:pPr>
        <w:ind w:firstLine="720"/>
        <w:jc w:val="both"/>
        <w:rPr>
          <w:lang w:val="lt-LT"/>
        </w:rPr>
      </w:pPr>
      <w:r>
        <w:rPr>
          <w:iCs/>
          <w:lang w:val="lt-LT"/>
        </w:rPr>
        <w:t xml:space="preserve">    </w:t>
      </w:r>
      <w:r w:rsidR="000D779E">
        <w:rPr>
          <w:iCs/>
          <w:lang w:val="lt-LT"/>
        </w:rPr>
        <w:t>(Pakeistas 17 str. 1 dalies 6.19 punktas VMI prie FM 2016-05-16 raštu Nr. (18.32-31-1E)</w:t>
      </w:r>
      <w:r>
        <w:rPr>
          <w:iCs/>
          <w:lang w:val="lt-LT"/>
        </w:rPr>
        <w:t xml:space="preserve"> </w:t>
      </w:r>
      <w:r w:rsidR="000D779E">
        <w:rPr>
          <w:iCs/>
          <w:lang w:val="lt-LT"/>
        </w:rPr>
        <w:t>RM-14067)</w:t>
      </w:r>
    </w:p>
    <w:p w14:paraId="4DFD6E65" w14:textId="77777777" w:rsidR="00093845" w:rsidRPr="0065344A" w:rsidRDefault="000D779E">
      <w:pPr>
        <w:ind w:firstLine="993"/>
        <w:jc w:val="both"/>
        <w:rPr>
          <w:lang w:val="lt-LT" w:eastAsia="lt-LT"/>
        </w:rPr>
      </w:pPr>
      <w:r w:rsidRPr="0065344A">
        <w:rPr>
          <w:b/>
          <w:bCs/>
          <w:lang w:val="lt-LT" w:eastAsia="lt-LT"/>
        </w:rPr>
        <w:t>6.20.</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biuro</w:t>
      </w:r>
      <w:r w:rsidRPr="0065344A">
        <w:rPr>
          <w:b/>
          <w:bCs/>
          <w:i/>
          <w:iCs/>
          <w:lang w:val="lt-LT" w:eastAsia="lt-LT"/>
        </w:rPr>
        <w:t xml:space="preserve"> </w:t>
      </w:r>
      <w:r w:rsidRPr="0065344A">
        <w:rPr>
          <w:b/>
          <w:bCs/>
          <w:lang w:val="lt-LT" w:eastAsia="lt-LT"/>
        </w:rPr>
        <w:t>interjero</w:t>
      </w:r>
      <w:r w:rsidRPr="0065344A">
        <w:rPr>
          <w:b/>
          <w:bCs/>
          <w:i/>
          <w:iCs/>
          <w:lang w:val="lt-LT" w:eastAsia="lt-LT"/>
        </w:rPr>
        <w:t xml:space="preserve"> </w:t>
      </w:r>
      <w:r w:rsidRPr="0065344A">
        <w:rPr>
          <w:b/>
          <w:bCs/>
          <w:lang w:val="lt-LT" w:eastAsia="lt-LT"/>
        </w:rPr>
        <w:t>puošimo</w:t>
      </w:r>
      <w:r w:rsidRPr="0065344A">
        <w:rPr>
          <w:b/>
          <w:bCs/>
          <w:i/>
          <w:iCs/>
          <w:lang w:val="lt-LT" w:eastAsia="lt-LT"/>
        </w:rPr>
        <w:t xml:space="preserve"> </w:t>
      </w:r>
      <w:r w:rsidRPr="0065344A">
        <w:rPr>
          <w:b/>
          <w:bCs/>
          <w:lang w:val="lt-LT" w:eastAsia="lt-LT"/>
        </w:rPr>
        <w:t>išlaidų.</w:t>
      </w:r>
    </w:p>
    <w:p w14:paraId="0E80E7D2" w14:textId="77777777" w:rsidR="00093845" w:rsidRPr="0065344A" w:rsidRDefault="000D779E">
      <w:pPr>
        <w:ind w:firstLine="993"/>
        <w:jc w:val="both"/>
        <w:rPr>
          <w:lang w:val="lt-LT" w:eastAsia="lt-LT"/>
        </w:rPr>
      </w:pP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atskaityti</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r w:rsidRPr="0065344A">
        <w:rPr>
          <w:i/>
          <w:iCs/>
          <w:lang w:val="lt-LT" w:eastAsia="lt-LT"/>
        </w:rPr>
        <w:t xml:space="preserve"> </w:t>
      </w:r>
      <w:r w:rsidRPr="0065344A">
        <w:rPr>
          <w:lang w:val="lt-LT" w:eastAsia="lt-LT"/>
        </w:rPr>
        <w:t>patirtas</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būtinas</w:t>
      </w:r>
      <w:r w:rsidRPr="0065344A">
        <w:rPr>
          <w:i/>
          <w:iCs/>
          <w:lang w:val="lt-LT" w:eastAsia="lt-LT"/>
        </w:rPr>
        <w:t xml:space="preserve"> </w:t>
      </w:r>
      <w:r w:rsidRPr="0065344A">
        <w:rPr>
          <w:lang w:val="lt-LT" w:eastAsia="lt-LT"/>
        </w:rPr>
        <w:t>ekonominei</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biuro</w:t>
      </w:r>
      <w:r w:rsidRPr="0065344A">
        <w:rPr>
          <w:i/>
          <w:iCs/>
          <w:lang w:val="lt-LT" w:eastAsia="lt-LT"/>
        </w:rPr>
        <w:t xml:space="preserve"> </w:t>
      </w:r>
      <w:r w:rsidRPr="0065344A">
        <w:rPr>
          <w:lang w:val="lt-LT" w:eastAsia="lt-LT"/>
        </w:rPr>
        <w:t>interjero</w:t>
      </w:r>
      <w:r w:rsidRPr="0065344A">
        <w:rPr>
          <w:i/>
          <w:iCs/>
          <w:lang w:val="lt-LT" w:eastAsia="lt-LT"/>
        </w:rPr>
        <w:t xml:space="preserve"> </w:t>
      </w:r>
      <w:r w:rsidRPr="0065344A">
        <w:rPr>
          <w:lang w:val="lt-LT" w:eastAsia="lt-LT"/>
        </w:rPr>
        <w:t>puošimo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puokščių,</w:t>
      </w:r>
      <w:r w:rsidRPr="0065344A">
        <w:rPr>
          <w:i/>
          <w:iCs/>
          <w:lang w:val="lt-LT" w:eastAsia="lt-LT"/>
        </w:rPr>
        <w:t xml:space="preserve"> </w:t>
      </w:r>
      <w:r w:rsidRPr="0065344A">
        <w:rPr>
          <w:lang w:val="lt-LT" w:eastAsia="lt-LT"/>
        </w:rPr>
        <w:t>dekoratyvinių</w:t>
      </w:r>
      <w:r w:rsidRPr="0065344A">
        <w:rPr>
          <w:i/>
          <w:iCs/>
          <w:lang w:val="lt-LT" w:eastAsia="lt-LT"/>
        </w:rPr>
        <w:t xml:space="preserve"> </w:t>
      </w:r>
      <w:r w:rsidRPr="0065344A">
        <w:rPr>
          <w:lang w:val="lt-LT" w:eastAsia="lt-LT"/>
        </w:rPr>
        <w:t>elementų,</w:t>
      </w:r>
      <w:r w:rsidRPr="0065344A">
        <w:rPr>
          <w:i/>
          <w:iCs/>
          <w:lang w:val="lt-LT" w:eastAsia="lt-LT"/>
        </w:rPr>
        <w:t xml:space="preserve"> </w:t>
      </w:r>
      <w:r w:rsidRPr="0065344A">
        <w:rPr>
          <w:lang w:val="lt-LT" w:eastAsia="lt-LT"/>
        </w:rPr>
        <w:t>gyvų</w:t>
      </w:r>
      <w:r w:rsidRPr="0065344A">
        <w:rPr>
          <w:i/>
          <w:iCs/>
          <w:lang w:val="lt-LT" w:eastAsia="lt-LT"/>
        </w:rPr>
        <w:t xml:space="preserve"> </w:t>
      </w:r>
      <w:r w:rsidRPr="0065344A">
        <w:rPr>
          <w:lang w:val="lt-LT" w:eastAsia="lt-LT"/>
        </w:rPr>
        <w:t>gėlių, šventinių dekoracijų</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įmonei</w:t>
      </w:r>
      <w:r w:rsidRPr="0065344A">
        <w:rPr>
          <w:i/>
          <w:iCs/>
          <w:lang w:val="lt-LT" w:eastAsia="lt-LT"/>
        </w:rPr>
        <w:t xml:space="preserve"> </w:t>
      </w:r>
      <w:r w:rsidRPr="0065344A">
        <w:rPr>
          <w:lang w:val="lt-LT" w:eastAsia="lt-LT"/>
        </w:rPr>
        <w:t>teikia</w:t>
      </w:r>
      <w:r w:rsidRPr="0065344A">
        <w:rPr>
          <w:i/>
          <w:iCs/>
          <w:lang w:val="lt-LT" w:eastAsia="lt-LT"/>
        </w:rPr>
        <w:t xml:space="preserve"> </w:t>
      </w:r>
      <w:r w:rsidRPr="0065344A">
        <w:rPr>
          <w:lang w:val="lt-LT" w:eastAsia="lt-LT"/>
        </w:rPr>
        <w:t>ekonominę</w:t>
      </w:r>
      <w:r w:rsidRPr="0065344A">
        <w:rPr>
          <w:i/>
          <w:iCs/>
          <w:lang w:val="lt-LT" w:eastAsia="lt-LT"/>
        </w:rPr>
        <w:t xml:space="preserve"> </w:t>
      </w:r>
      <w:r w:rsidRPr="0065344A">
        <w:rPr>
          <w:lang w:val="lt-LT" w:eastAsia="lt-LT"/>
        </w:rPr>
        <w:t>naudą.</w:t>
      </w:r>
    </w:p>
    <w:p w14:paraId="024A0F93" w14:textId="77777777" w:rsidR="00093845" w:rsidRPr="0065344A" w:rsidRDefault="00F425B3">
      <w:pPr>
        <w:ind w:firstLine="720"/>
        <w:jc w:val="both"/>
        <w:rPr>
          <w:lang w:val="lt-LT"/>
        </w:rPr>
      </w:pPr>
      <w:r>
        <w:rPr>
          <w:iCs/>
          <w:lang w:val="lt-LT"/>
        </w:rPr>
        <w:t xml:space="preserve">    </w:t>
      </w:r>
      <w:r w:rsidR="000D779E">
        <w:rPr>
          <w:iCs/>
          <w:lang w:val="lt-LT"/>
        </w:rPr>
        <w:t>(Pakeistas 17 str. 1 dalies 6.20 punktas VMI prie FM 2016-05-16 raštu Nr. (18.32-31-1E)</w:t>
      </w:r>
      <w:r>
        <w:rPr>
          <w:iCs/>
          <w:lang w:val="lt-LT"/>
        </w:rPr>
        <w:t xml:space="preserve"> </w:t>
      </w:r>
      <w:r w:rsidR="000D779E">
        <w:rPr>
          <w:iCs/>
          <w:lang w:val="lt-LT"/>
        </w:rPr>
        <w:t>RM-14067)</w:t>
      </w:r>
    </w:p>
    <w:p w14:paraId="6E443B4A" w14:textId="77777777" w:rsidR="00093845" w:rsidRPr="0065344A" w:rsidRDefault="000D779E">
      <w:pPr>
        <w:ind w:firstLine="993"/>
        <w:jc w:val="both"/>
        <w:rPr>
          <w:lang w:val="lt-LT" w:eastAsia="lt-LT"/>
        </w:rPr>
      </w:pPr>
      <w:r w:rsidRPr="0065344A">
        <w:rPr>
          <w:b/>
          <w:bCs/>
          <w:lang w:val="lt-LT" w:eastAsia="lt-LT"/>
        </w:rPr>
        <w:t>6.21.</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darbo</w:t>
      </w:r>
      <w:r w:rsidRPr="0065344A">
        <w:rPr>
          <w:b/>
          <w:bCs/>
          <w:i/>
          <w:iCs/>
          <w:lang w:val="lt-LT" w:eastAsia="lt-LT"/>
        </w:rPr>
        <w:t xml:space="preserve"> </w:t>
      </w:r>
      <w:r w:rsidRPr="0065344A">
        <w:rPr>
          <w:b/>
          <w:bCs/>
          <w:lang w:val="lt-LT" w:eastAsia="lt-LT"/>
        </w:rPr>
        <w:t>apmokėjimo</w:t>
      </w:r>
      <w:r w:rsidRPr="0065344A">
        <w:rPr>
          <w:b/>
          <w:bCs/>
          <w:i/>
          <w:iCs/>
          <w:lang w:val="lt-LT" w:eastAsia="lt-LT"/>
        </w:rPr>
        <w:t xml:space="preserve"> </w:t>
      </w:r>
      <w:r w:rsidRPr="0065344A">
        <w:rPr>
          <w:b/>
          <w:bCs/>
          <w:lang w:val="lt-LT" w:eastAsia="lt-LT"/>
        </w:rPr>
        <w:t>ir</w:t>
      </w:r>
      <w:r w:rsidRPr="0065344A">
        <w:rPr>
          <w:b/>
          <w:bCs/>
          <w:i/>
          <w:iCs/>
          <w:lang w:val="lt-LT" w:eastAsia="lt-LT"/>
        </w:rPr>
        <w:t xml:space="preserve"> </w:t>
      </w:r>
      <w:r w:rsidRPr="0065344A">
        <w:rPr>
          <w:b/>
          <w:bCs/>
          <w:lang w:val="lt-LT" w:eastAsia="lt-LT"/>
        </w:rPr>
        <w:t>kitų</w:t>
      </w:r>
      <w:r w:rsidRPr="0065344A">
        <w:rPr>
          <w:b/>
          <w:bCs/>
          <w:i/>
          <w:iCs/>
          <w:lang w:val="lt-LT" w:eastAsia="lt-LT"/>
        </w:rPr>
        <w:t xml:space="preserve"> </w:t>
      </w:r>
      <w:r w:rsidRPr="0065344A">
        <w:rPr>
          <w:b/>
          <w:bCs/>
          <w:lang w:val="lt-LT" w:eastAsia="lt-LT"/>
        </w:rPr>
        <w:t>su</w:t>
      </w:r>
      <w:r w:rsidRPr="0065344A">
        <w:rPr>
          <w:b/>
          <w:bCs/>
          <w:i/>
          <w:iCs/>
          <w:lang w:val="lt-LT" w:eastAsia="lt-LT"/>
        </w:rPr>
        <w:t xml:space="preserve"> </w:t>
      </w:r>
      <w:r w:rsidRPr="0065344A">
        <w:rPr>
          <w:b/>
          <w:bCs/>
          <w:lang w:val="lt-LT" w:eastAsia="lt-LT"/>
        </w:rPr>
        <w:t>darbu</w:t>
      </w:r>
      <w:r w:rsidRPr="0065344A">
        <w:rPr>
          <w:b/>
          <w:bCs/>
          <w:i/>
          <w:iCs/>
          <w:lang w:val="lt-LT" w:eastAsia="lt-LT"/>
        </w:rPr>
        <w:t xml:space="preserve"> </w:t>
      </w:r>
      <w:r w:rsidRPr="0065344A">
        <w:rPr>
          <w:b/>
          <w:bCs/>
          <w:lang w:val="lt-LT" w:eastAsia="lt-LT"/>
        </w:rPr>
        <w:t>susijusių</w:t>
      </w:r>
      <w:r w:rsidRPr="0065344A">
        <w:rPr>
          <w:b/>
          <w:bCs/>
          <w:i/>
          <w:iCs/>
          <w:lang w:val="lt-LT" w:eastAsia="lt-LT"/>
        </w:rPr>
        <w:t xml:space="preserve"> </w:t>
      </w:r>
      <w:r w:rsidRPr="0065344A">
        <w:rPr>
          <w:b/>
          <w:bCs/>
          <w:lang w:val="lt-LT" w:eastAsia="lt-LT"/>
        </w:rPr>
        <w:t>sąnaudų.</w:t>
      </w:r>
    </w:p>
    <w:p w14:paraId="4AA36B43" w14:textId="77777777" w:rsidR="00093845" w:rsidRPr="0065344A" w:rsidRDefault="000D779E">
      <w:pPr>
        <w:ind w:firstLine="993"/>
        <w:jc w:val="both"/>
        <w:rPr>
          <w:i/>
          <w:iCs/>
          <w:lang w:val="lt-LT" w:eastAsia="lt-LT"/>
        </w:rPr>
      </w:pPr>
      <w:r w:rsidRPr="0065344A">
        <w:rPr>
          <w:lang w:val="lt-LT" w:eastAsia="lt-LT"/>
        </w:rPr>
        <w:t>6.21.1.</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laikomas</w:t>
      </w:r>
      <w:r w:rsidRPr="0065344A">
        <w:rPr>
          <w:i/>
          <w:iCs/>
          <w:lang w:val="lt-LT" w:eastAsia="lt-LT"/>
        </w:rPr>
        <w:t xml:space="preserve"> </w:t>
      </w:r>
      <w:r w:rsidRPr="0065344A">
        <w:rPr>
          <w:lang w:val="lt-LT" w:eastAsia="lt-LT"/>
        </w:rPr>
        <w:t>užmokestis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atliktą</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dirbtą</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apskaičiuotas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įmonėje</w:t>
      </w:r>
      <w:r w:rsidRPr="0065344A">
        <w:rPr>
          <w:i/>
          <w:iCs/>
          <w:lang w:val="lt-LT" w:eastAsia="lt-LT"/>
        </w:rPr>
        <w:t xml:space="preserve"> </w:t>
      </w:r>
      <w:r w:rsidRPr="0065344A">
        <w:rPr>
          <w:lang w:val="lt-LT" w:eastAsia="lt-LT"/>
        </w:rPr>
        <w:t>taikomas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formas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sistemas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vienetinius</w:t>
      </w:r>
      <w:r w:rsidRPr="0065344A">
        <w:rPr>
          <w:i/>
          <w:iCs/>
          <w:lang w:val="lt-LT" w:eastAsia="lt-LT"/>
        </w:rPr>
        <w:t xml:space="preserve"> </w:t>
      </w:r>
      <w:r w:rsidRPr="0065344A">
        <w:rPr>
          <w:lang w:val="lt-LT" w:eastAsia="lt-LT"/>
        </w:rPr>
        <w:t>įkainius,</w:t>
      </w:r>
      <w:r w:rsidRPr="0065344A">
        <w:rPr>
          <w:i/>
          <w:iCs/>
          <w:lang w:val="lt-LT" w:eastAsia="lt-LT"/>
        </w:rPr>
        <w:t xml:space="preserve"> </w:t>
      </w:r>
      <w:r w:rsidRPr="0065344A">
        <w:rPr>
          <w:lang w:val="lt-LT" w:eastAsia="lt-LT"/>
        </w:rPr>
        <w:t>valandinius</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tarifinius</w:t>
      </w:r>
      <w:r w:rsidRPr="0065344A">
        <w:rPr>
          <w:i/>
          <w:iCs/>
          <w:lang w:val="lt-LT" w:eastAsia="lt-LT"/>
        </w:rPr>
        <w:t xml:space="preserve"> </w:t>
      </w:r>
      <w:r w:rsidRPr="0065344A">
        <w:rPr>
          <w:lang w:val="lt-LT" w:eastAsia="lt-LT"/>
        </w:rPr>
        <w:t>atlygius,</w:t>
      </w:r>
      <w:r w:rsidRPr="0065344A">
        <w:rPr>
          <w:i/>
          <w:iCs/>
          <w:lang w:val="lt-LT" w:eastAsia="lt-LT"/>
        </w:rPr>
        <w:t xml:space="preserve"> </w:t>
      </w:r>
      <w:r w:rsidRPr="0065344A">
        <w:rPr>
          <w:lang w:val="lt-LT" w:eastAsia="lt-LT"/>
        </w:rPr>
        <w:t>mėnesines</w:t>
      </w:r>
      <w:r w:rsidRPr="0065344A">
        <w:rPr>
          <w:i/>
          <w:iCs/>
          <w:lang w:val="lt-LT" w:eastAsia="lt-LT"/>
        </w:rPr>
        <w:t xml:space="preserve"> </w:t>
      </w:r>
      <w:r w:rsidRPr="0065344A">
        <w:rPr>
          <w:lang w:val="lt-LT" w:eastAsia="lt-LT"/>
        </w:rPr>
        <w:t>algas;</w:t>
      </w:r>
      <w:r w:rsidRPr="0065344A">
        <w:rPr>
          <w:i/>
          <w:iCs/>
          <w:lang w:val="lt-LT" w:eastAsia="lt-LT"/>
        </w:rPr>
        <w:t xml:space="preserve"> </w:t>
      </w:r>
      <w:r w:rsidRPr="0065344A">
        <w:rPr>
          <w:lang w:val="lt-LT" w:eastAsia="lt-LT"/>
        </w:rPr>
        <w:t>padidintas</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kenksmingomis,</w:t>
      </w:r>
      <w:r w:rsidRPr="0065344A">
        <w:rPr>
          <w:i/>
          <w:iCs/>
          <w:lang w:val="lt-LT" w:eastAsia="lt-LT"/>
        </w:rPr>
        <w:t xml:space="preserve"> </w:t>
      </w:r>
      <w:r w:rsidRPr="0065344A">
        <w:rPr>
          <w:lang w:val="lt-LT" w:eastAsia="lt-LT"/>
        </w:rPr>
        <w:t>labai</w:t>
      </w:r>
      <w:r w:rsidRPr="0065344A">
        <w:rPr>
          <w:i/>
          <w:iCs/>
          <w:lang w:val="lt-LT" w:eastAsia="lt-LT"/>
        </w:rPr>
        <w:t xml:space="preserve"> </w:t>
      </w:r>
      <w:r w:rsidRPr="0065344A">
        <w:rPr>
          <w:lang w:val="lt-LT" w:eastAsia="lt-LT"/>
        </w:rPr>
        <w:t>kenksmingomis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pavojingomis</w:t>
      </w:r>
      <w:r w:rsidRPr="0065344A">
        <w:rPr>
          <w:i/>
          <w:iCs/>
          <w:lang w:val="lt-LT" w:eastAsia="lt-LT"/>
        </w:rPr>
        <w:t xml:space="preserve"> </w:t>
      </w:r>
      <w:r w:rsidRPr="0065344A">
        <w:rPr>
          <w:lang w:val="lt-LT" w:eastAsia="lt-LT"/>
        </w:rPr>
        <w:t>sąlygomis,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poilsio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švenčių</w:t>
      </w:r>
      <w:r w:rsidRPr="0065344A">
        <w:rPr>
          <w:i/>
          <w:iCs/>
          <w:lang w:val="lt-LT" w:eastAsia="lt-LT"/>
        </w:rPr>
        <w:t xml:space="preserve"> </w:t>
      </w:r>
      <w:r w:rsidRPr="0065344A">
        <w:rPr>
          <w:lang w:val="lt-LT" w:eastAsia="lt-LT"/>
        </w:rPr>
        <w:t>dienomis,</w:t>
      </w:r>
      <w:r w:rsidRPr="0065344A">
        <w:rPr>
          <w:i/>
          <w:iCs/>
          <w:lang w:val="lt-LT" w:eastAsia="lt-LT"/>
        </w:rPr>
        <w:t xml:space="preserve"> </w:t>
      </w:r>
      <w:r w:rsidRPr="0065344A">
        <w:rPr>
          <w:lang w:val="lt-LT" w:eastAsia="lt-LT"/>
        </w:rPr>
        <w:t>darbą</w:t>
      </w:r>
      <w:r w:rsidRPr="0065344A">
        <w:rPr>
          <w:i/>
          <w:iCs/>
          <w:lang w:val="lt-LT" w:eastAsia="lt-LT"/>
        </w:rPr>
        <w:t xml:space="preserve"> </w:t>
      </w:r>
      <w:r w:rsidRPr="0065344A">
        <w:rPr>
          <w:lang w:val="lt-LT" w:eastAsia="lt-LT"/>
        </w:rPr>
        <w:t>nakties</w:t>
      </w:r>
      <w:r w:rsidRPr="0065344A">
        <w:rPr>
          <w:i/>
          <w:iCs/>
          <w:lang w:val="lt-LT" w:eastAsia="lt-LT"/>
        </w:rPr>
        <w:t xml:space="preserve"> </w:t>
      </w:r>
      <w:r w:rsidRPr="0065344A">
        <w:rPr>
          <w:lang w:val="lt-LT" w:eastAsia="lt-LT"/>
        </w:rPr>
        <w:t>metu,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kolektyvinėje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numatytais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priedai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priemokos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valandinių</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tarifinių</w:t>
      </w:r>
      <w:r w:rsidRPr="0065344A">
        <w:rPr>
          <w:i/>
          <w:iCs/>
          <w:lang w:val="lt-LT" w:eastAsia="lt-LT"/>
        </w:rPr>
        <w:t xml:space="preserve"> </w:t>
      </w:r>
      <w:r w:rsidRPr="0065344A">
        <w:rPr>
          <w:lang w:val="lt-LT" w:eastAsia="lt-LT"/>
        </w:rPr>
        <w:t>atlygių,</w:t>
      </w:r>
      <w:r w:rsidRPr="0065344A">
        <w:rPr>
          <w:i/>
          <w:iCs/>
          <w:lang w:val="lt-LT" w:eastAsia="lt-LT"/>
        </w:rPr>
        <w:t xml:space="preserve"> </w:t>
      </w:r>
      <w:r w:rsidRPr="0065344A">
        <w:rPr>
          <w:lang w:val="lt-LT" w:eastAsia="lt-LT"/>
        </w:rPr>
        <w:t>vienetinių</w:t>
      </w:r>
      <w:r w:rsidRPr="0065344A">
        <w:rPr>
          <w:i/>
          <w:iCs/>
          <w:lang w:val="lt-LT" w:eastAsia="lt-LT"/>
        </w:rPr>
        <w:t xml:space="preserve"> </w:t>
      </w:r>
      <w:r w:rsidRPr="0065344A">
        <w:rPr>
          <w:lang w:val="lt-LT" w:eastAsia="lt-LT"/>
        </w:rPr>
        <w:t>įkainių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mėnesinių</w:t>
      </w:r>
      <w:r w:rsidRPr="0065344A">
        <w:rPr>
          <w:i/>
          <w:iCs/>
          <w:lang w:val="lt-LT" w:eastAsia="lt-LT"/>
        </w:rPr>
        <w:t xml:space="preserve"> </w:t>
      </w:r>
      <w:r w:rsidRPr="0065344A">
        <w:rPr>
          <w:lang w:val="lt-LT" w:eastAsia="lt-LT"/>
        </w:rPr>
        <w:t>algų,</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tiesiogiai</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w:t>
      </w:r>
      <w:r w:rsidRPr="0065344A">
        <w:rPr>
          <w:i/>
          <w:iCs/>
          <w:lang w:val="lt-LT" w:eastAsia="lt-LT"/>
        </w:rPr>
        <w:t xml:space="preserve"> </w:t>
      </w:r>
      <w:r w:rsidRPr="0065344A">
        <w:rPr>
          <w:lang w:val="lt-LT" w:eastAsia="lt-LT"/>
        </w:rPr>
        <w:t>numatytos</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aktuose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kolektyvinėse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sutartyse;</w:t>
      </w:r>
      <w:r w:rsidRPr="0065344A">
        <w:rPr>
          <w:i/>
          <w:iCs/>
          <w:lang w:val="lt-LT" w:eastAsia="lt-LT"/>
        </w:rPr>
        <w:t xml:space="preserve"> </w:t>
      </w:r>
      <w:r w:rsidRPr="0065344A">
        <w:rPr>
          <w:lang w:val="lt-LT" w:eastAsia="lt-LT"/>
        </w:rPr>
        <w:t>laikraščių,</w:t>
      </w:r>
      <w:r w:rsidRPr="0065344A">
        <w:rPr>
          <w:i/>
          <w:iCs/>
          <w:lang w:val="lt-LT" w:eastAsia="lt-LT"/>
        </w:rPr>
        <w:t xml:space="preserve"> </w:t>
      </w:r>
      <w:r w:rsidRPr="0065344A">
        <w:rPr>
          <w:lang w:val="lt-LT" w:eastAsia="lt-LT"/>
        </w:rPr>
        <w:t>žurnalų,</w:t>
      </w:r>
      <w:r w:rsidRPr="0065344A">
        <w:rPr>
          <w:i/>
          <w:iCs/>
          <w:lang w:val="lt-LT" w:eastAsia="lt-LT"/>
        </w:rPr>
        <w:t xml:space="preserve"> </w:t>
      </w:r>
      <w:r w:rsidRPr="0065344A">
        <w:rPr>
          <w:lang w:val="lt-LT" w:eastAsia="lt-LT"/>
        </w:rPr>
        <w:t>telegramų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spaudos</w:t>
      </w:r>
      <w:r w:rsidRPr="0065344A">
        <w:rPr>
          <w:i/>
          <w:iCs/>
          <w:lang w:val="lt-LT" w:eastAsia="lt-LT"/>
        </w:rPr>
        <w:t xml:space="preserve"> </w:t>
      </w:r>
      <w:r w:rsidRPr="0065344A">
        <w:rPr>
          <w:lang w:val="lt-LT" w:eastAsia="lt-LT"/>
        </w:rPr>
        <w:t>agentūrų,</w:t>
      </w:r>
      <w:r w:rsidRPr="0065344A">
        <w:rPr>
          <w:i/>
          <w:iCs/>
          <w:lang w:val="lt-LT" w:eastAsia="lt-LT"/>
        </w:rPr>
        <w:t xml:space="preserve"> </w:t>
      </w:r>
      <w:r w:rsidRPr="0065344A">
        <w:rPr>
          <w:lang w:val="lt-LT" w:eastAsia="lt-LT"/>
        </w:rPr>
        <w:t>leidyklų,</w:t>
      </w:r>
      <w:r w:rsidRPr="0065344A">
        <w:rPr>
          <w:i/>
          <w:iCs/>
          <w:lang w:val="lt-LT" w:eastAsia="lt-LT"/>
        </w:rPr>
        <w:t xml:space="preserve"> </w:t>
      </w:r>
      <w:r w:rsidRPr="0065344A">
        <w:rPr>
          <w:lang w:val="lt-LT" w:eastAsia="lt-LT"/>
        </w:rPr>
        <w:t>televizijos,</w:t>
      </w:r>
      <w:r w:rsidRPr="0065344A">
        <w:rPr>
          <w:i/>
          <w:iCs/>
          <w:lang w:val="lt-LT" w:eastAsia="lt-LT"/>
        </w:rPr>
        <w:t xml:space="preserve"> </w:t>
      </w:r>
      <w:r w:rsidRPr="0065344A">
        <w:rPr>
          <w:lang w:val="lt-LT" w:eastAsia="lt-LT"/>
        </w:rPr>
        <w:t>radijo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įmonių</w:t>
      </w:r>
      <w:r w:rsidRPr="0065344A">
        <w:rPr>
          <w:i/>
          <w:iCs/>
          <w:lang w:val="lt-LT" w:eastAsia="lt-LT"/>
        </w:rPr>
        <w:t xml:space="preserve"> </w:t>
      </w:r>
      <w:r w:rsidRPr="0065344A">
        <w:rPr>
          <w:lang w:val="lt-LT" w:eastAsia="lt-LT"/>
        </w:rPr>
        <w:t>etatiniams</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mokamas</w:t>
      </w:r>
      <w:r w:rsidRPr="0065344A">
        <w:rPr>
          <w:i/>
          <w:iCs/>
          <w:lang w:val="lt-LT" w:eastAsia="lt-LT"/>
        </w:rPr>
        <w:t xml:space="preserve"> </w:t>
      </w:r>
      <w:r w:rsidRPr="0065344A">
        <w:rPr>
          <w:lang w:val="lt-LT" w:eastAsia="lt-LT"/>
        </w:rPr>
        <w:t>literatūrinis</w:t>
      </w:r>
      <w:r w:rsidRPr="0065344A">
        <w:rPr>
          <w:i/>
          <w:iCs/>
          <w:lang w:val="lt-LT" w:eastAsia="lt-LT"/>
        </w:rPr>
        <w:t xml:space="preserve"> </w:t>
      </w:r>
      <w:r w:rsidRPr="0065344A">
        <w:rPr>
          <w:lang w:val="lt-LT" w:eastAsia="lt-LT"/>
        </w:rPr>
        <w:t>(kūrybinis)</w:t>
      </w:r>
      <w:r w:rsidRPr="0065344A">
        <w:rPr>
          <w:i/>
          <w:iCs/>
          <w:lang w:val="lt-LT" w:eastAsia="lt-LT"/>
        </w:rPr>
        <w:t xml:space="preserve"> </w:t>
      </w:r>
      <w:r w:rsidRPr="0065344A">
        <w:rPr>
          <w:lang w:val="lt-LT" w:eastAsia="lt-LT"/>
        </w:rPr>
        <w:t>autorinis</w:t>
      </w:r>
      <w:r w:rsidRPr="0065344A">
        <w:rPr>
          <w:i/>
          <w:iCs/>
          <w:lang w:val="lt-LT" w:eastAsia="lt-LT"/>
        </w:rPr>
        <w:t xml:space="preserve"> </w:t>
      </w:r>
      <w:r w:rsidRPr="0065344A">
        <w:rPr>
          <w:lang w:val="lt-LT" w:eastAsia="lt-LT"/>
        </w:rPr>
        <w:t>atlyginimas;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atitinkamo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rezultatus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vienkartinės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sistemą,</w:t>
      </w:r>
      <w:r w:rsidRPr="0065344A">
        <w:rPr>
          <w:i/>
          <w:iCs/>
          <w:lang w:val="lt-LT" w:eastAsia="lt-LT"/>
        </w:rPr>
        <w:t xml:space="preserve"> </w:t>
      </w:r>
      <w:r w:rsidRPr="0065344A">
        <w:rPr>
          <w:lang w:val="lt-LT" w:eastAsia="lt-LT"/>
        </w:rPr>
        <w:t>priemokų</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priverstines</w:t>
      </w:r>
      <w:r w:rsidRPr="0065344A">
        <w:rPr>
          <w:i/>
          <w:iCs/>
          <w:lang w:val="lt-LT" w:eastAsia="lt-LT"/>
        </w:rPr>
        <w:t xml:space="preserve"> </w:t>
      </w:r>
      <w:r w:rsidRPr="0065344A">
        <w:rPr>
          <w:lang w:val="lt-LT" w:eastAsia="lt-LT"/>
        </w:rPr>
        <w:t>prastovas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kasmetinių</w:t>
      </w:r>
      <w:r w:rsidRPr="0065344A">
        <w:rPr>
          <w:i/>
          <w:iCs/>
          <w:lang w:val="lt-LT" w:eastAsia="lt-LT"/>
        </w:rPr>
        <w:t xml:space="preserve"> </w:t>
      </w:r>
      <w:r w:rsidRPr="0065344A">
        <w:rPr>
          <w:lang w:val="lt-LT" w:eastAsia="lt-LT"/>
        </w:rPr>
        <w:t>atostogų</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kompensacijų</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nepanaudotas</w:t>
      </w:r>
      <w:r w:rsidRPr="0065344A">
        <w:rPr>
          <w:i/>
          <w:iCs/>
          <w:lang w:val="lt-LT" w:eastAsia="lt-LT"/>
        </w:rPr>
        <w:t xml:space="preserve"> </w:t>
      </w:r>
      <w:r w:rsidRPr="0065344A">
        <w:rPr>
          <w:lang w:val="lt-LT" w:eastAsia="lt-LT"/>
        </w:rPr>
        <w:t>atostogas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išeitinių</w:t>
      </w:r>
      <w:r w:rsidRPr="0065344A">
        <w:rPr>
          <w:i/>
          <w:iCs/>
          <w:lang w:val="lt-LT" w:eastAsia="lt-LT"/>
        </w:rPr>
        <w:t xml:space="preserve"> </w:t>
      </w:r>
      <w:r w:rsidRPr="0065344A">
        <w:rPr>
          <w:lang w:val="lt-LT" w:eastAsia="lt-LT"/>
        </w:rPr>
        <w:t>išmokų</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pasibaigus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santykiams,</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komandiruotėje</w:t>
      </w:r>
      <w:r w:rsidRPr="0065344A">
        <w:rPr>
          <w:i/>
          <w:iCs/>
          <w:lang w:val="lt-LT" w:eastAsia="lt-LT"/>
        </w:rPr>
        <w:t xml:space="preserve"> </w:t>
      </w:r>
      <w:r w:rsidRPr="0065344A">
        <w:rPr>
          <w:lang w:val="lt-LT" w:eastAsia="lt-LT"/>
        </w:rPr>
        <w:t>būtą</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vykdant</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įstatymuose</w:t>
      </w:r>
      <w:r w:rsidRPr="0065344A">
        <w:rPr>
          <w:i/>
          <w:iCs/>
          <w:lang w:val="lt-LT" w:eastAsia="lt-LT"/>
        </w:rPr>
        <w:t xml:space="preserve"> </w:t>
      </w:r>
      <w:r w:rsidRPr="0065344A">
        <w:rPr>
          <w:lang w:val="lt-LT" w:eastAsia="lt-LT"/>
        </w:rPr>
        <w:t>nustatytas</w:t>
      </w:r>
      <w:r w:rsidRPr="0065344A">
        <w:rPr>
          <w:i/>
          <w:iCs/>
          <w:lang w:val="lt-LT" w:eastAsia="lt-LT"/>
        </w:rPr>
        <w:t xml:space="preserve"> </w:t>
      </w:r>
      <w:r w:rsidRPr="0065344A">
        <w:rPr>
          <w:lang w:val="lt-LT" w:eastAsia="lt-LT"/>
        </w:rPr>
        <w:t>pareigas,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numatytos</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kodekso XV skyriuje</w:t>
      </w:r>
      <w:bookmarkStart w:id="309" w:name="pn1_2982"/>
      <w:bookmarkEnd w:id="309"/>
      <w:r w:rsidRPr="0065344A">
        <w:rPr>
          <w:lang w:val="lt-LT" w:eastAsia="lt-LT"/>
        </w:rPr>
        <w:t>,</w:t>
      </w:r>
      <w:r w:rsidRPr="0065344A">
        <w:rPr>
          <w:i/>
          <w:iCs/>
          <w:lang w:val="lt-LT" w:eastAsia="lt-LT"/>
        </w:rPr>
        <w:t xml:space="preserve"> </w:t>
      </w:r>
      <w:r w:rsidRPr="0065344A">
        <w:rPr>
          <w:lang w:val="lt-LT" w:eastAsia="lt-LT"/>
        </w:rPr>
        <w:t>kituose</w:t>
      </w:r>
      <w:r w:rsidRPr="0065344A">
        <w:rPr>
          <w:i/>
          <w:iCs/>
          <w:lang w:val="lt-LT" w:eastAsia="lt-LT"/>
        </w:rPr>
        <w:t xml:space="preserve"> </w:t>
      </w:r>
      <w:r w:rsidRPr="0065344A">
        <w:rPr>
          <w:lang w:val="lt-LT" w:eastAsia="lt-LT"/>
        </w:rPr>
        <w:t>įstatymuose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nutarimuose.</w:t>
      </w:r>
      <w:r w:rsidRPr="0065344A">
        <w:rPr>
          <w:i/>
          <w:iCs/>
          <w:lang w:val="lt-LT" w:eastAsia="lt-LT"/>
        </w:rPr>
        <w:t xml:space="preserve"> </w:t>
      </w:r>
    </w:p>
    <w:p w14:paraId="7A56D0F6" w14:textId="77777777" w:rsidR="00093845" w:rsidRPr="0065344A" w:rsidRDefault="000D779E">
      <w:pPr>
        <w:ind w:firstLine="993"/>
        <w:jc w:val="both"/>
        <w:rPr>
          <w:lang w:val="lt-LT" w:eastAsia="lt-LT"/>
        </w:rPr>
      </w:pPr>
      <w:r w:rsidRPr="0065344A">
        <w:rPr>
          <w:lang w:val="lt-LT" w:eastAsia="lt-LT"/>
        </w:rPr>
        <w:t>Jeigu</w:t>
      </w:r>
      <w:r w:rsidRPr="0065344A">
        <w:rPr>
          <w:i/>
          <w:iCs/>
          <w:lang w:val="lt-LT" w:eastAsia="lt-LT"/>
        </w:rPr>
        <w:t xml:space="preserve"> </w:t>
      </w:r>
      <w:r w:rsidRPr="0065344A">
        <w:rPr>
          <w:lang w:val="lt-LT" w:eastAsia="lt-LT"/>
        </w:rPr>
        <w:t>pasibaigus</w:t>
      </w:r>
      <w:r w:rsidRPr="0065344A">
        <w:rPr>
          <w:i/>
          <w:iCs/>
          <w:lang w:val="lt-LT" w:eastAsia="lt-LT"/>
        </w:rPr>
        <w:t xml:space="preserve"> </w:t>
      </w:r>
      <w:r w:rsidRPr="0065344A">
        <w:rPr>
          <w:lang w:val="lt-LT" w:eastAsia="lt-LT"/>
        </w:rPr>
        <w:t>mokestiniam</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metines</w:t>
      </w:r>
      <w:r w:rsidRPr="0065344A">
        <w:rPr>
          <w:i/>
          <w:iCs/>
          <w:lang w:val="lt-LT" w:eastAsia="lt-LT"/>
        </w:rPr>
        <w:t xml:space="preserve"> </w:t>
      </w:r>
      <w:r w:rsidRPr="0065344A">
        <w:rPr>
          <w:lang w:val="lt-LT" w:eastAsia="lt-LT"/>
        </w:rPr>
        <w:t>premijas</w:t>
      </w:r>
      <w:r w:rsidRPr="0065344A">
        <w:rPr>
          <w:i/>
          <w:iCs/>
          <w:lang w:val="lt-LT" w:eastAsia="lt-LT"/>
        </w:rPr>
        <w:t xml:space="preserve"> </w:t>
      </w:r>
      <w:r w:rsidRPr="0065344A">
        <w:rPr>
          <w:lang w:val="lt-LT" w:eastAsia="lt-LT"/>
        </w:rPr>
        <w:t>išmoka</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apmokėjimo</w:t>
      </w:r>
      <w:r w:rsidRPr="0065344A">
        <w:rPr>
          <w:i/>
          <w:iCs/>
          <w:lang w:val="lt-LT" w:eastAsia="lt-LT"/>
        </w:rPr>
        <w:t xml:space="preserve"> </w:t>
      </w:r>
      <w:r w:rsidRPr="0065344A">
        <w:rPr>
          <w:lang w:val="lt-LT" w:eastAsia="lt-LT"/>
        </w:rPr>
        <w:t>lėšų</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priedą</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atlyginimo)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minėtos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apskaitomos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praėjusio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išlaidose</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dydis</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įtrauktas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praėjusio</w:t>
      </w:r>
      <w:r w:rsidRPr="0065344A">
        <w:rPr>
          <w:i/>
          <w:iCs/>
          <w:lang w:val="lt-LT" w:eastAsia="lt-LT"/>
        </w:rPr>
        <w:t xml:space="preserve"> </w:t>
      </w:r>
      <w:r w:rsidRPr="0065344A">
        <w:rPr>
          <w:lang w:val="lt-LT" w:eastAsia="lt-LT"/>
        </w:rPr>
        <w:t>mokestinio</w:t>
      </w:r>
      <w:r w:rsidRPr="0065344A">
        <w:rPr>
          <w:i/>
          <w:iCs/>
          <w:lang w:val="lt-LT" w:eastAsia="lt-LT"/>
        </w:rPr>
        <w:t xml:space="preserve"> </w:t>
      </w:r>
      <w:r w:rsidRPr="0065344A">
        <w:rPr>
          <w:lang w:val="lt-LT" w:eastAsia="lt-LT"/>
        </w:rPr>
        <w:t>laikotarpio</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(nuostolių)</w:t>
      </w:r>
      <w:r w:rsidRPr="0065344A">
        <w:rPr>
          <w:i/>
          <w:iCs/>
          <w:lang w:val="lt-LT" w:eastAsia="lt-LT"/>
        </w:rPr>
        <w:t xml:space="preserve"> </w:t>
      </w:r>
      <w:r w:rsidRPr="0065344A">
        <w:rPr>
          <w:lang w:val="lt-LT" w:eastAsia="lt-LT"/>
        </w:rPr>
        <w:t>ataskaitą,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10" w:name="n1_2983"/>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1" w:name="pn1_2983"/>
      <w:bookmarkEnd w:id="310"/>
      <w:bookmarkEnd w:id="311"/>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sąnaudų</w:t>
      </w:r>
      <w:r w:rsidRPr="0065344A">
        <w:rPr>
          <w:i/>
          <w:iCs/>
          <w:lang w:val="lt-LT" w:eastAsia="lt-LT"/>
        </w:rPr>
        <w:t xml:space="preserve"> </w:t>
      </w:r>
      <w:r w:rsidRPr="0065344A">
        <w:rPr>
          <w:lang w:val="lt-LT" w:eastAsia="lt-LT"/>
        </w:rPr>
        <w:t>kaupimo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išmokėtos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išmokamos.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praėjusį</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išmokėtų</w:t>
      </w:r>
      <w:r w:rsidRPr="0065344A">
        <w:rPr>
          <w:i/>
          <w:iCs/>
          <w:lang w:val="lt-LT" w:eastAsia="lt-LT"/>
        </w:rPr>
        <w:t xml:space="preserve"> </w:t>
      </w:r>
      <w:r w:rsidRPr="0065344A">
        <w:rPr>
          <w:lang w:val="lt-LT" w:eastAsia="lt-LT"/>
        </w:rPr>
        <w:t>metinių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apskaičiuotos</w:t>
      </w:r>
      <w:r w:rsidRPr="0065344A">
        <w:rPr>
          <w:i/>
          <w:iCs/>
          <w:lang w:val="lt-LT" w:eastAsia="lt-LT"/>
        </w:rPr>
        <w:t xml:space="preserve"> </w:t>
      </w:r>
      <w:r w:rsidRPr="0065344A">
        <w:rPr>
          <w:lang w:val="lt-LT" w:eastAsia="lt-LT"/>
        </w:rPr>
        <w:t>socialinio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12" w:name="n1_2988"/>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3" w:name="pn1_2988"/>
      <w:bookmarkEnd w:id="312"/>
      <w:bookmarkEnd w:id="313"/>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sąnaudų</w:t>
      </w:r>
      <w:r w:rsidRPr="0065344A">
        <w:rPr>
          <w:i/>
          <w:iCs/>
          <w:lang w:val="lt-LT" w:eastAsia="lt-LT"/>
        </w:rPr>
        <w:t xml:space="preserve"> </w:t>
      </w:r>
      <w:r w:rsidRPr="0065344A">
        <w:rPr>
          <w:lang w:val="lt-LT" w:eastAsia="lt-LT"/>
        </w:rPr>
        <w:t>kaupimo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apskaičiuotos.</w:t>
      </w:r>
    </w:p>
    <w:p w14:paraId="6F9B7596" w14:textId="77777777" w:rsidR="00093845" w:rsidRPr="0065344A" w:rsidRDefault="000D779E">
      <w:pPr>
        <w:tabs>
          <w:tab w:val="left" w:pos="720"/>
        </w:tabs>
        <w:ind w:firstLine="993"/>
        <w:jc w:val="both"/>
        <w:rPr>
          <w:lang w:val="lt-LT" w:eastAsia="lt-LT"/>
        </w:rPr>
      </w:pPr>
      <w:r w:rsidRPr="0065344A">
        <w:rPr>
          <w:lang w:val="lt-LT" w:eastAsia="lt-LT"/>
        </w:rPr>
        <w:t>6.21.2.</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iCs/>
          <w:lang w:val="lt-LT" w:eastAsia="lt-LT"/>
        </w:rPr>
        <w:t>t</w:t>
      </w:r>
      <w:r w:rsidRPr="0065344A">
        <w:rPr>
          <w:lang w:val="lt-LT" w:eastAsia="lt-LT"/>
        </w:rPr>
        <w:t>iksliai</w:t>
      </w:r>
      <w:r w:rsidRPr="0065344A">
        <w:rPr>
          <w:i/>
          <w:iCs/>
          <w:lang w:val="lt-LT" w:eastAsia="lt-LT"/>
        </w:rPr>
        <w:t xml:space="preserve"> </w:t>
      </w:r>
      <w:r w:rsidRPr="0065344A">
        <w:rPr>
          <w:lang w:val="lt-LT" w:eastAsia="lt-LT"/>
        </w:rPr>
        <w:t>apskaičiuoja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uždirbtą</w:t>
      </w:r>
      <w:r w:rsidRPr="0065344A">
        <w:rPr>
          <w:i/>
          <w:iCs/>
          <w:lang w:val="lt-LT" w:eastAsia="lt-LT"/>
        </w:rPr>
        <w:t xml:space="preserve"> </w:t>
      </w:r>
      <w:r w:rsidRPr="0065344A">
        <w:rPr>
          <w:lang w:val="lt-LT" w:eastAsia="lt-LT"/>
        </w:rPr>
        <w:t>atostogų</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užmokesčio</w:t>
      </w:r>
      <w:r w:rsidRPr="0065344A">
        <w:rPr>
          <w:i/>
          <w:iCs/>
          <w:lang w:val="lt-LT" w:eastAsia="lt-LT"/>
        </w:rPr>
        <w:t xml:space="preserve"> </w:t>
      </w:r>
      <w:r w:rsidRPr="0065344A">
        <w:rPr>
          <w:lang w:val="lt-LT" w:eastAsia="lt-LT"/>
        </w:rPr>
        <w:t>sumą,</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bus</w:t>
      </w:r>
      <w:r w:rsidRPr="0065344A">
        <w:rPr>
          <w:i/>
          <w:iCs/>
          <w:lang w:val="lt-LT" w:eastAsia="lt-LT"/>
        </w:rPr>
        <w:t xml:space="preserve"> </w:t>
      </w:r>
      <w:r w:rsidRPr="0065344A">
        <w:rPr>
          <w:lang w:val="lt-LT" w:eastAsia="lt-LT"/>
        </w:rPr>
        <w:t>išmokėta,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bus</w:t>
      </w:r>
      <w:r w:rsidRPr="0065344A">
        <w:rPr>
          <w:i/>
          <w:iCs/>
          <w:lang w:val="lt-LT" w:eastAsia="lt-LT"/>
        </w:rPr>
        <w:t xml:space="preserve"> </w:t>
      </w:r>
      <w:r w:rsidRPr="0065344A">
        <w:rPr>
          <w:lang w:val="lt-LT" w:eastAsia="lt-LT"/>
        </w:rPr>
        <w:t>suteiktos</w:t>
      </w:r>
      <w:r w:rsidRPr="0065344A">
        <w:rPr>
          <w:i/>
          <w:iCs/>
          <w:lang w:val="lt-LT" w:eastAsia="lt-LT"/>
        </w:rPr>
        <w:t xml:space="preserve"> </w:t>
      </w:r>
      <w:r w:rsidRPr="0065344A">
        <w:rPr>
          <w:lang w:val="lt-LT" w:eastAsia="lt-LT"/>
        </w:rPr>
        <w:t>atostogos,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šie</w:t>
      </w:r>
      <w:r w:rsidRPr="0065344A">
        <w:rPr>
          <w:i/>
          <w:iCs/>
          <w:lang w:val="lt-LT" w:eastAsia="lt-LT"/>
        </w:rPr>
        <w:t xml:space="preserve"> </w:t>
      </w:r>
      <w:r w:rsidRPr="0065344A">
        <w:rPr>
          <w:lang w:val="lt-LT" w:eastAsia="lt-LT"/>
        </w:rPr>
        <w:t>susidarę</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įsipareigojimai</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uždirbtas</w:t>
      </w:r>
      <w:r w:rsidRPr="0065344A">
        <w:rPr>
          <w:i/>
          <w:iCs/>
          <w:lang w:val="lt-LT" w:eastAsia="lt-LT"/>
        </w:rPr>
        <w:t xml:space="preserve"> </w:t>
      </w:r>
      <w:r w:rsidRPr="0065344A">
        <w:rPr>
          <w:lang w:val="lt-LT" w:eastAsia="lt-LT"/>
        </w:rPr>
        <w:t>atostogas)</w:t>
      </w:r>
      <w:r w:rsidRPr="0065344A">
        <w:rPr>
          <w:i/>
          <w:iCs/>
          <w:lang w:val="lt-LT" w:eastAsia="lt-LT"/>
        </w:rPr>
        <w:t xml:space="preserve"> </w:t>
      </w:r>
      <w:r w:rsidRPr="0065344A">
        <w:rPr>
          <w:lang w:val="lt-LT" w:eastAsia="lt-LT"/>
        </w:rPr>
        <w:t>priskiriami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 laikotarpį</w:t>
      </w:r>
      <w:r w:rsidRPr="0065344A">
        <w:rPr>
          <w:b/>
          <w:lang w:val="lt-LT" w:eastAsia="lt-LT"/>
        </w:rPr>
        <w:t>,</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šie</w:t>
      </w:r>
      <w:r w:rsidRPr="0065344A">
        <w:rPr>
          <w:i/>
          <w:iCs/>
          <w:lang w:val="lt-LT" w:eastAsia="lt-LT"/>
        </w:rPr>
        <w:t xml:space="preserve"> </w:t>
      </w:r>
      <w:r w:rsidRPr="0065344A">
        <w:rPr>
          <w:lang w:val="lt-LT" w:eastAsia="lt-LT"/>
        </w:rPr>
        <w:t>įsipareigojimai</w:t>
      </w:r>
      <w:r w:rsidRPr="0065344A">
        <w:rPr>
          <w:i/>
          <w:iCs/>
          <w:lang w:val="lt-LT" w:eastAsia="lt-LT"/>
        </w:rPr>
        <w:t xml:space="preserve"> </w:t>
      </w:r>
      <w:r w:rsidRPr="0065344A">
        <w:rPr>
          <w:lang w:val="lt-LT" w:eastAsia="lt-LT"/>
        </w:rPr>
        <w:t>faktiškai</w:t>
      </w:r>
      <w:r w:rsidRPr="0065344A">
        <w:rPr>
          <w:i/>
          <w:iCs/>
          <w:lang w:val="lt-LT" w:eastAsia="lt-LT"/>
        </w:rPr>
        <w:t xml:space="preserve"> </w:t>
      </w:r>
      <w:r w:rsidRPr="0065344A">
        <w:rPr>
          <w:lang w:val="lt-LT" w:eastAsia="lt-LT"/>
        </w:rPr>
        <w:t xml:space="preserve">susidaro. </w:t>
      </w:r>
    </w:p>
    <w:p w14:paraId="39FADE06" w14:textId="77777777" w:rsidR="00093845" w:rsidRPr="0065344A" w:rsidRDefault="000D779E">
      <w:pPr>
        <w:tabs>
          <w:tab w:val="left" w:pos="720"/>
        </w:tabs>
        <w:jc w:val="both"/>
        <w:rPr>
          <w:lang w:val="lt-LT"/>
        </w:rPr>
      </w:pPr>
      <w:r w:rsidRPr="0065344A">
        <w:rPr>
          <w:lang w:val="lt-LT"/>
        </w:rPr>
        <w:tab/>
        <w:t xml:space="preserve">Valstybinio socialinio draudimo įmokų ir įmokų į Garantinį fondą sąnaudos leidžiamiems atskaitymams priskiriamos tuomet, kai jos faktiškai apskaičiuojamos.  </w:t>
      </w:r>
    </w:p>
    <w:p w14:paraId="6824609F" w14:textId="77777777" w:rsidR="00093845" w:rsidRPr="0065344A" w:rsidRDefault="000D779E">
      <w:pPr>
        <w:ind w:firstLine="993"/>
        <w:jc w:val="both"/>
        <w:rPr>
          <w:lang w:val="lt-LT" w:eastAsia="lt-LT"/>
        </w:rPr>
      </w:pPr>
      <w:r w:rsidRPr="0065344A">
        <w:rPr>
          <w:lang w:val="lt-LT" w:eastAsia="lt-LT"/>
        </w:rPr>
        <w:lastRenderedPageBreak/>
        <w:t>Kiti</w:t>
      </w:r>
      <w:r w:rsidRPr="0065344A">
        <w:rPr>
          <w:i/>
          <w:iCs/>
          <w:lang w:val="lt-LT" w:eastAsia="lt-LT"/>
        </w:rPr>
        <w:t xml:space="preserve"> </w:t>
      </w:r>
      <w:r w:rsidRPr="0065344A">
        <w:rPr>
          <w:lang w:val="lt-LT" w:eastAsia="lt-LT"/>
        </w:rPr>
        <w:t>suformuoti</w:t>
      </w:r>
      <w:r w:rsidRPr="0065344A">
        <w:rPr>
          <w:i/>
          <w:iCs/>
          <w:lang w:val="lt-LT" w:eastAsia="lt-LT"/>
        </w:rPr>
        <w:t xml:space="preserve"> </w:t>
      </w:r>
      <w:r w:rsidRPr="0065344A">
        <w:rPr>
          <w:lang w:val="lt-LT" w:eastAsia="lt-LT"/>
        </w:rPr>
        <w:t>atidėjimai</w:t>
      </w:r>
      <w:r w:rsidRPr="0065344A">
        <w:rPr>
          <w:i/>
          <w:iCs/>
          <w:lang w:val="lt-LT" w:eastAsia="lt-LT"/>
        </w:rPr>
        <w:t xml:space="preserve"> </w:t>
      </w:r>
      <w:r w:rsidRPr="0065344A">
        <w:rPr>
          <w:lang w:val="lt-LT" w:eastAsia="lt-LT"/>
        </w:rPr>
        <w:t>(neįskaitant</w:t>
      </w:r>
      <w:r w:rsidRPr="0065344A">
        <w:rPr>
          <w:i/>
          <w:iCs/>
          <w:lang w:val="lt-LT" w:eastAsia="lt-LT"/>
        </w:rPr>
        <w:t xml:space="preserve"> </w:t>
      </w:r>
      <w:r w:rsidRPr="0065344A">
        <w:rPr>
          <w:lang w:val="lt-LT" w:eastAsia="lt-LT"/>
        </w:rPr>
        <w:t>specialiųjų</w:t>
      </w:r>
      <w:r w:rsidRPr="0065344A">
        <w:rPr>
          <w:i/>
          <w:iCs/>
          <w:lang w:val="lt-LT" w:eastAsia="lt-LT"/>
        </w:rPr>
        <w:t xml:space="preserve"> </w:t>
      </w:r>
      <w:r w:rsidRPr="0065344A">
        <w:rPr>
          <w:lang w:val="lt-LT" w:eastAsia="lt-LT"/>
        </w:rPr>
        <w:t>kredito</w:t>
      </w:r>
      <w:r w:rsidRPr="0065344A">
        <w:rPr>
          <w:i/>
          <w:iCs/>
          <w:lang w:val="lt-LT" w:eastAsia="lt-LT"/>
        </w:rPr>
        <w:t xml:space="preserve"> </w:t>
      </w:r>
      <w:r w:rsidRPr="0065344A">
        <w:rPr>
          <w:lang w:val="lt-LT" w:eastAsia="lt-LT"/>
        </w:rPr>
        <w:t>įstaigų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įmonių</w:t>
      </w:r>
      <w:r w:rsidRPr="0065344A">
        <w:rPr>
          <w:i/>
          <w:iCs/>
          <w:lang w:val="lt-LT" w:eastAsia="lt-LT"/>
        </w:rPr>
        <w:t xml:space="preserve"> </w:t>
      </w:r>
      <w:r w:rsidRPr="0065344A">
        <w:rPr>
          <w:lang w:val="lt-LT" w:eastAsia="lt-LT"/>
        </w:rPr>
        <w:t>atidėjimų,</w:t>
      </w:r>
      <w:r w:rsidRPr="0065344A">
        <w:rPr>
          <w:i/>
          <w:iCs/>
          <w:lang w:val="lt-LT" w:eastAsia="lt-LT"/>
        </w:rPr>
        <w:t xml:space="preserve"> </w:t>
      </w:r>
      <w:r w:rsidRPr="0065344A">
        <w:rPr>
          <w:lang w:val="lt-LT" w:eastAsia="lt-LT"/>
        </w:rPr>
        <w:t>numatytų</w:t>
      </w:r>
      <w:r w:rsidRPr="0065344A">
        <w:rPr>
          <w:i/>
          <w:iCs/>
          <w:lang w:val="lt-LT" w:eastAsia="lt-LT"/>
        </w:rPr>
        <w:t xml:space="preserve"> </w:t>
      </w:r>
      <w:bookmarkStart w:id="314" w:name="n1_2993"/>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15" w:name="pn1_2993"/>
      <w:bookmarkEnd w:id="314"/>
      <w:bookmarkEnd w:id="315"/>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priskiriami</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tuomet,</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šios</w:t>
      </w:r>
      <w:r w:rsidRPr="0065344A">
        <w:rPr>
          <w:i/>
          <w:iCs/>
          <w:lang w:val="lt-LT" w:eastAsia="lt-LT"/>
        </w:rPr>
        <w:t xml:space="preserve"> </w:t>
      </w:r>
      <w:r w:rsidRPr="0065344A">
        <w:rPr>
          <w:lang w:val="lt-LT" w:eastAsia="lt-LT"/>
        </w:rPr>
        <w:t>atidėjimų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faktiškai</w:t>
      </w:r>
      <w:r w:rsidRPr="0065344A">
        <w:rPr>
          <w:i/>
          <w:iCs/>
          <w:lang w:val="lt-LT" w:eastAsia="lt-LT"/>
        </w:rPr>
        <w:t xml:space="preserve"> </w:t>
      </w:r>
      <w:r w:rsidRPr="0065344A">
        <w:rPr>
          <w:lang w:val="lt-LT" w:eastAsia="lt-LT"/>
        </w:rPr>
        <w:t>patiriamos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atliekamas</w:t>
      </w:r>
      <w:r w:rsidRPr="0065344A">
        <w:rPr>
          <w:i/>
          <w:iCs/>
          <w:lang w:val="lt-LT" w:eastAsia="lt-LT"/>
        </w:rPr>
        <w:t xml:space="preserve"> </w:t>
      </w:r>
      <w:r w:rsidRPr="0065344A">
        <w:rPr>
          <w:lang w:val="lt-LT" w:eastAsia="lt-LT"/>
        </w:rPr>
        <w:t>garantinis</w:t>
      </w:r>
      <w:r w:rsidRPr="0065344A">
        <w:rPr>
          <w:i/>
          <w:iCs/>
          <w:lang w:val="lt-LT" w:eastAsia="lt-LT"/>
        </w:rPr>
        <w:t xml:space="preserve"> </w:t>
      </w:r>
      <w:r w:rsidRPr="0065344A">
        <w:rPr>
          <w:lang w:val="lt-LT" w:eastAsia="lt-LT"/>
        </w:rPr>
        <w:t>remontas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kt.).</w:t>
      </w:r>
    </w:p>
    <w:p w14:paraId="569BA8CC" w14:textId="77777777" w:rsidR="00093845" w:rsidRPr="0065344A" w:rsidRDefault="00F425B3">
      <w:pPr>
        <w:ind w:firstLine="720"/>
        <w:jc w:val="both"/>
        <w:rPr>
          <w:lang w:val="lt-LT"/>
        </w:rPr>
      </w:pPr>
      <w:r>
        <w:rPr>
          <w:iCs/>
          <w:lang w:val="lt-LT"/>
        </w:rPr>
        <w:t xml:space="preserve">   </w:t>
      </w:r>
      <w:r w:rsidR="000D779E">
        <w:rPr>
          <w:iCs/>
          <w:lang w:val="lt-LT"/>
        </w:rPr>
        <w:t>(Pakeistas 17 str. 1 dalies 6.21 punktas VMI prie FM 2016-05-16 raštu Nr. (18.32-31-1E)</w:t>
      </w:r>
      <w:r>
        <w:rPr>
          <w:iCs/>
          <w:lang w:val="lt-LT"/>
        </w:rPr>
        <w:t xml:space="preserve"> </w:t>
      </w:r>
      <w:r w:rsidR="000D779E">
        <w:rPr>
          <w:iCs/>
          <w:lang w:val="lt-LT"/>
        </w:rPr>
        <w:t>RM-14067)</w:t>
      </w:r>
    </w:p>
    <w:p w14:paraId="2CA78FAC" w14:textId="77777777" w:rsidR="00093845" w:rsidRPr="0065344A" w:rsidRDefault="000D779E">
      <w:pPr>
        <w:ind w:firstLine="993"/>
        <w:jc w:val="both"/>
        <w:rPr>
          <w:b/>
          <w:lang w:val="lt-LT" w:eastAsia="lt-LT"/>
        </w:rPr>
      </w:pPr>
      <w:r w:rsidRPr="0065344A">
        <w:rPr>
          <w:b/>
          <w:lang w:val="lt-LT" w:eastAsia="lt-LT"/>
        </w:rPr>
        <w:t>6.22.</w:t>
      </w:r>
      <w:r w:rsidRPr="0065344A">
        <w:rPr>
          <w:b/>
          <w:i/>
          <w:iCs/>
          <w:lang w:val="lt-LT" w:eastAsia="lt-LT"/>
        </w:rPr>
        <w:t xml:space="preserve"> </w:t>
      </w:r>
      <w:r w:rsidRPr="0065344A">
        <w:rPr>
          <w:b/>
          <w:lang w:val="lt-LT" w:eastAsia="lt-LT"/>
        </w:rPr>
        <w:t>Dėl</w:t>
      </w:r>
      <w:r w:rsidRPr="0065344A">
        <w:rPr>
          <w:b/>
          <w:i/>
          <w:iCs/>
          <w:lang w:val="lt-LT" w:eastAsia="lt-LT"/>
        </w:rPr>
        <w:t xml:space="preserve"> </w:t>
      </w:r>
      <w:r w:rsidRPr="0065344A">
        <w:rPr>
          <w:b/>
          <w:lang w:val="lt-LT" w:eastAsia="lt-LT"/>
        </w:rPr>
        <w:t>tantjemų</w:t>
      </w:r>
    </w:p>
    <w:p w14:paraId="333F931A" w14:textId="77777777" w:rsidR="00093845" w:rsidRPr="0065344A" w:rsidRDefault="000D779E">
      <w:pPr>
        <w:ind w:firstLine="993"/>
        <w:jc w:val="both"/>
        <w:rPr>
          <w:lang w:val="lt-LT" w:eastAsia="lt-LT"/>
        </w:rPr>
      </w:pPr>
      <w:r w:rsidRPr="0065344A">
        <w:rPr>
          <w:lang w:val="lt-LT" w:eastAsia="lt-LT"/>
        </w:rPr>
        <w:t>Nuo</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metinės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nelaikomos</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paskirstymu,</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priskirtos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ekonominės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gavimu</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tokia</w:t>
      </w:r>
      <w:r w:rsidRPr="0065344A">
        <w:rPr>
          <w:i/>
          <w:iCs/>
          <w:lang w:val="lt-LT" w:eastAsia="lt-LT"/>
        </w:rPr>
        <w:t xml:space="preserve"> </w:t>
      </w:r>
      <w:r w:rsidRPr="0065344A">
        <w:rPr>
          <w:lang w:val="lt-LT" w:eastAsia="lt-LT"/>
        </w:rPr>
        <w:t>pačia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sąnaudoms</w:t>
      </w:r>
      <w:r w:rsidRPr="0065344A">
        <w:rPr>
          <w:i/>
          <w:iCs/>
          <w:lang w:val="lt-LT" w:eastAsia="lt-LT"/>
        </w:rPr>
        <w:t xml:space="preserve"> </w:t>
      </w:r>
      <w:r w:rsidRPr="0065344A">
        <w:rPr>
          <w:lang w:val="lt-LT" w:eastAsia="lt-LT"/>
        </w:rPr>
        <w:t>apskaitoje.</w:t>
      </w:r>
      <w:r w:rsidRPr="0065344A">
        <w:rPr>
          <w:i/>
          <w:iCs/>
          <w:lang w:val="lt-LT" w:eastAsia="lt-LT"/>
        </w:rPr>
        <w:t xml:space="preserve"> </w:t>
      </w:r>
      <w:r w:rsidRPr="0065344A">
        <w:rPr>
          <w:lang w:val="lt-LT" w:eastAsia="lt-LT"/>
        </w:rPr>
        <w:t>Paprastai</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tą</w:t>
      </w:r>
      <w:r w:rsidRPr="0065344A">
        <w:rPr>
          <w:i/>
          <w:iCs/>
          <w:lang w:val="lt-LT" w:eastAsia="lt-LT"/>
        </w:rPr>
        <w:t xml:space="preserve"> </w:t>
      </w:r>
      <w:r w:rsidRPr="0065344A">
        <w:rPr>
          <w:lang w:val="lt-LT" w:eastAsia="lt-LT"/>
        </w:rPr>
        <w:t>mokestinį</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priskaičiuojamos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išmokamos</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akcininkų</w:t>
      </w:r>
      <w:r w:rsidRPr="0065344A">
        <w:rPr>
          <w:i/>
          <w:iCs/>
          <w:lang w:val="lt-LT" w:eastAsia="lt-LT"/>
        </w:rPr>
        <w:t xml:space="preserve"> </w:t>
      </w:r>
      <w:r w:rsidRPr="0065344A">
        <w:rPr>
          <w:lang w:val="lt-LT" w:eastAsia="lt-LT"/>
        </w:rPr>
        <w:t>susirinkimas,</w:t>
      </w:r>
      <w:r w:rsidRPr="0065344A">
        <w:rPr>
          <w:i/>
          <w:iCs/>
          <w:lang w:val="lt-LT" w:eastAsia="lt-LT"/>
        </w:rPr>
        <w:t xml:space="preserve"> </w:t>
      </w:r>
      <w:r w:rsidRPr="0065344A">
        <w:rPr>
          <w:lang w:val="lt-LT" w:eastAsia="lt-LT"/>
        </w:rPr>
        <w:t>patvirtinęs</w:t>
      </w:r>
      <w:r w:rsidRPr="0065344A">
        <w:rPr>
          <w:i/>
          <w:iCs/>
          <w:lang w:val="lt-LT" w:eastAsia="lt-LT"/>
        </w:rPr>
        <w:t xml:space="preserve"> </w:t>
      </w:r>
      <w:r w:rsidRPr="0065344A">
        <w:rPr>
          <w:lang w:val="lt-LT" w:eastAsia="lt-LT"/>
        </w:rPr>
        <w:t>metinių</w:t>
      </w:r>
      <w:r w:rsidRPr="0065344A">
        <w:rPr>
          <w:i/>
          <w:iCs/>
          <w:lang w:val="lt-LT" w:eastAsia="lt-LT"/>
        </w:rPr>
        <w:t xml:space="preserve"> </w:t>
      </w:r>
      <w:r w:rsidRPr="0065344A">
        <w:rPr>
          <w:lang w:val="lt-LT" w:eastAsia="lt-LT"/>
        </w:rPr>
        <w:t>finansinių</w:t>
      </w:r>
      <w:r w:rsidRPr="0065344A">
        <w:rPr>
          <w:i/>
          <w:iCs/>
          <w:lang w:val="lt-LT" w:eastAsia="lt-LT"/>
        </w:rPr>
        <w:t xml:space="preserve"> </w:t>
      </w:r>
      <w:r w:rsidRPr="0065344A">
        <w:rPr>
          <w:lang w:val="lt-LT" w:eastAsia="lt-LT"/>
        </w:rPr>
        <w:t>ataskaitų</w:t>
      </w:r>
      <w:r w:rsidRPr="0065344A">
        <w:rPr>
          <w:i/>
          <w:iCs/>
          <w:lang w:val="lt-LT" w:eastAsia="lt-LT"/>
        </w:rPr>
        <w:t xml:space="preserve"> </w:t>
      </w:r>
      <w:r w:rsidRPr="0065344A">
        <w:rPr>
          <w:lang w:val="lt-LT" w:eastAsia="lt-LT"/>
        </w:rPr>
        <w:t>rinkinį,</w:t>
      </w:r>
      <w:r w:rsidRPr="0065344A">
        <w:rPr>
          <w:i/>
          <w:iCs/>
          <w:lang w:val="lt-LT" w:eastAsia="lt-LT"/>
        </w:rPr>
        <w:t xml:space="preserve"> </w:t>
      </w:r>
      <w:r w:rsidRPr="0065344A">
        <w:rPr>
          <w:lang w:val="lt-LT" w:eastAsia="lt-LT"/>
        </w:rPr>
        <w:t>priima</w:t>
      </w:r>
      <w:r w:rsidRPr="0065344A">
        <w:rPr>
          <w:i/>
          <w:iCs/>
          <w:lang w:val="lt-LT" w:eastAsia="lt-LT"/>
        </w:rPr>
        <w:t xml:space="preserve"> </w:t>
      </w:r>
      <w:r w:rsidRPr="0065344A">
        <w:rPr>
          <w:lang w:val="lt-LT" w:eastAsia="lt-LT"/>
        </w:rPr>
        <w:t>sprendimą</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išmokėti).</w:t>
      </w:r>
      <w:r w:rsidRPr="0065344A">
        <w:rPr>
          <w:i/>
          <w:iCs/>
          <w:lang w:val="lt-LT" w:eastAsia="lt-LT"/>
        </w:rPr>
        <w:t xml:space="preserve"> </w:t>
      </w:r>
    </w:p>
    <w:p w14:paraId="28FB0937" w14:textId="77777777" w:rsidR="00093845" w:rsidRPr="0065344A" w:rsidRDefault="000D779E">
      <w:pPr>
        <w:ind w:firstLine="993"/>
        <w:jc w:val="both"/>
        <w:rPr>
          <w:lang w:val="lt-LT" w:eastAsia="lt-LT"/>
        </w:rPr>
      </w:pPr>
      <w:r w:rsidRPr="0065344A">
        <w:rPr>
          <w:lang w:val="lt-LT" w:eastAsia="lt-LT"/>
        </w:rPr>
        <w:t>Remiantis</w:t>
      </w:r>
      <w:r w:rsidRPr="0065344A">
        <w:rPr>
          <w:i/>
          <w:iCs/>
          <w:lang w:val="lt-LT" w:eastAsia="lt-LT"/>
        </w:rPr>
        <w:t xml:space="preserve"> </w:t>
      </w:r>
      <w:r w:rsidRPr="0065344A">
        <w:rPr>
          <w:lang w:val="lt-LT" w:eastAsia="lt-LT"/>
        </w:rPr>
        <w:t>Akcinių</w:t>
      </w:r>
      <w:r w:rsidRPr="0065344A">
        <w:rPr>
          <w:i/>
          <w:iCs/>
          <w:lang w:val="lt-LT" w:eastAsia="lt-LT"/>
        </w:rPr>
        <w:t xml:space="preserve"> </w:t>
      </w:r>
      <w:r w:rsidRPr="0065344A">
        <w:rPr>
          <w:lang w:val="lt-LT" w:eastAsia="lt-LT"/>
        </w:rPr>
        <w:t>bendrovių</w:t>
      </w:r>
      <w:r w:rsidRPr="0065344A">
        <w:rPr>
          <w:i/>
          <w:iCs/>
          <w:lang w:val="lt-LT" w:eastAsia="lt-LT"/>
        </w:rPr>
        <w:t xml:space="preserve"> </w:t>
      </w:r>
      <w:r w:rsidRPr="0065344A">
        <w:rPr>
          <w:lang w:val="lt-LT" w:eastAsia="lt-LT"/>
        </w:rPr>
        <w:t>įstatymo</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bookmarkStart w:id="316" w:name="n1_2999"/>
      <w:r>
        <w:rPr>
          <w:lang w:eastAsia="lt-LT"/>
        </w:rPr>
        <w:fldChar w:fldCharType="begin"/>
      </w:r>
      <w:r w:rsidRPr="0065344A">
        <w:rPr>
          <w:lang w:val="lt-LT" w:eastAsia="lt-LT"/>
        </w:rPr>
        <w:instrText xml:space="preserve"> HYPERLINK "http://www.infolex.lt/ta/54758" \o "Lietuvos Respublikos akcinių bendrovių įstatymas" \t "_blank" </w:instrText>
      </w:r>
      <w:r>
        <w:rPr>
          <w:lang w:eastAsia="lt-LT"/>
        </w:rPr>
        <w:fldChar w:fldCharType="separate"/>
      </w:r>
      <w:r w:rsidRPr="0065344A">
        <w:rPr>
          <w:lang w:val="lt-LT" w:eastAsia="lt-LT"/>
        </w:rPr>
        <w:t>ABĮ</w:t>
      </w:r>
      <w:r>
        <w:rPr>
          <w:lang w:eastAsia="lt-LT"/>
        </w:rPr>
        <w:fldChar w:fldCharType="end"/>
      </w:r>
      <w:bookmarkStart w:id="317" w:name="pn1_2999"/>
      <w:bookmarkEnd w:id="316"/>
      <w:bookmarkEnd w:id="317"/>
      <w:r w:rsidRPr="0065344A">
        <w:rPr>
          <w:lang w:val="lt-LT" w:eastAsia="lt-LT"/>
        </w:rPr>
        <w:t>)</w:t>
      </w:r>
      <w:r w:rsidRPr="0065344A">
        <w:rPr>
          <w:i/>
          <w:iCs/>
          <w:lang w:val="lt-LT" w:eastAsia="lt-LT"/>
        </w:rPr>
        <w:t xml:space="preserve"> </w:t>
      </w:r>
      <w:r w:rsidRPr="0065344A">
        <w:rPr>
          <w:lang w:val="lt-LT" w:eastAsia="lt-LT"/>
        </w:rPr>
        <w:t>atitinkamai</w:t>
      </w:r>
      <w:r w:rsidRPr="0065344A">
        <w:rPr>
          <w:i/>
          <w:iCs/>
          <w:lang w:val="lt-LT" w:eastAsia="lt-LT"/>
        </w:rPr>
        <w:t xml:space="preserve"> </w:t>
      </w:r>
      <w:r w:rsidRPr="0065344A">
        <w:rPr>
          <w:lang w:val="lt-LT" w:eastAsia="lt-LT"/>
        </w:rPr>
        <w:t>31</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33</w:t>
      </w:r>
      <w:r w:rsidRPr="0065344A">
        <w:rPr>
          <w:i/>
          <w:iCs/>
          <w:lang w:val="lt-LT" w:eastAsia="lt-LT"/>
        </w:rPr>
        <w:t xml:space="preserve"> </w:t>
      </w:r>
      <w:r w:rsidRPr="0065344A">
        <w:rPr>
          <w:lang w:val="lt-LT" w:eastAsia="lt-LT"/>
        </w:rPr>
        <w:t>straipsnio</w:t>
      </w:r>
      <w:r w:rsidRPr="0065344A">
        <w:rPr>
          <w:i/>
          <w:iCs/>
          <w:lang w:val="lt-LT" w:eastAsia="lt-LT"/>
        </w:rPr>
        <w:t xml:space="preserve"> </w:t>
      </w:r>
      <w:r w:rsidRPr="0065344A">
        <w:rPr>
          <w:lang w:val="lt-LT" w:eastAsia="lt-LT"/>
        </w:rPr>
        <w:t>nuostatomis,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metinės</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paskirstytojo</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mokamos</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taryboje</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valdyboje.</w:t>
      </w:r>
      <w:r w:rsidRPr="0065344A">
        <w:rPr>
          <w:i/>
          <w:iCs/>
          <w:lang w:val="lt-LT" w:eastAsia="lt-LT"/>
        </w:rPr>
        <w:t xml:space="preserve"> </w:t>
      </w:r>
      <w:r w:rsidRPr="0065344A">
        <w:rPr>
          <w:lang w:val="lt-LT" w:eastAsia="lt-LT"/>
        </w:rPr>
        <w:t>Nustačius</w:t>
      </w:r>
      <w:r w:rsidRPr="0065344A">
        <w:rPr>
          <w:i/>
          <w:iCs/>
          <w:lang w:val="lt-LT" w:eastAsia="lt-LT"/>
        </w:rPr>
        <w:t xml:space="preserve"> </w:t>
      </w:r>
      <w:r w:rsidRPr="0065344A">
        <w:rPr>
          <w:lang w:val="lt-LT" w:eastAsia="lt-LT"/>
        </w:rPr>
        <w:t>konkrečius</w:t>
      </w:r>
      <w:r w:rsidRPr="0065344A">
        <w:rPr>
          <w:i/>
          <w:iCs/>
          <w:lang w:val="lt-LT" w:eastAsia="lt-LT"/>
        </w:rPr>
        <w:t xml:space="preserve"> </w:t>
      </w:r>
      <w:r w:rsidRPr="0065344A">
        <w:rPr>
          <w:lang w:val="lt-LT" w:eastAsia="lt-LT"/>
        </w:rPr>
        <w:t>atvejus,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siekiant</w:t>
      </w:r>
      <w:r w:rsidRPr="0065344A">
        <w:rPr>
          <w:i/>
          <w:iCs/>
          <w:lang w:val="lt-LT" w:eastAsia="lt-LT"/>
        </w:rPr>
        <w:t xml:space="preserve"> </w:t>
      </w:r>
      <w:r w:rsidRPr="0065344A">
        <w:rPr>
          <w:lang w:val="lt-LT" w:eastAsia="lt-LT"/>
        </w:rPr>
        <w:t>išvengti</w:t>
      </w:r>
      <w:r w:rsidRPr="0065344A">
        <w:rPr>
          <w:i/>
          <w:iCs/>
          <w:lang w:val="lt-LT" w:eastAsia="lt-LT"/>
        </w:rPr>
        <w:t xml:space="preserve"> </w:t>
      </w:r>
      <w:r w:rsidRPr="0065344A">
        <w:rPr>
          <w:lang w:val="lt-LT" w:eastAsia="lt-LT"/>
        </w:rPr>
        <w:t>mokesčių,</w:t>
      </w:r>
      <w:r w:rsidRPr="0065344A">
        <w:rPr>
          <w:i/>
          <w:iCs/>
          <w:lang w:val="lt-LT" w:eastAsia="lt-LT"/>
        </w:rPr>
        <w:t xml:space="preserve"> </w:t>
      </w:r>
      <w:r w:rsidRPr="0065344A">
        <w:rPr>
          <w:lang w:val="lt-LT" w:eastAsia="lt-LT"/>
        </w:rPr>
        <w:t>stebėtojų</w:t>
      </w:r>
      <w:r w:rsidRPr="0065344A">
        <w:rPr>
          <w:i/>
          <w:iCs/>
          <w:lang w:val="lt-LT" w:eastAsia="lt-LT"/>
        </w:rPr>
        <w:t xml:space="preserve"> </w:t>
      </w:r>
      <w:r w:rsidRPr="0065344A">
        <w:rPr>
          <w:lang w:val="lt-LT" w:eastAsia="lt-LT"/>
        </w:rPr>
        <w:t>tarybos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valdybos</w:t>
      </w:r>
      <w:r w:rsidRPr="0065344A">
        <w:rPr>
          <w:i/>
          <w:iCs/>
          <w:lang w:val="lt-LT" w:eastAsia="lt-LT"/>
        </w:rPr>
        <w:t xml:space="preserve"> </w:t>
      </w:r>
      <w:r w:rsidRPr="0065344A">
        <w:rPr>
          <w:lang w:val="lt-LT" w:eastAsia="lt-LT"/>
        </w:rPr>
        <w:t>nariams</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pačiu</w:t>
      </w:r>
      <w:r w:rsidRPr="0065344A">
        <w:rPr>
          <w:i/>
          <w:iCs/>
          <w:lang w:val="lt-LT" w:eastAsia="lt-LT"/>
        </w:rPr>
        <w:t xml:space="preserve"> </w:t>
      </w:r>
      <w:r w:rsidRPr="0065344A">
        <w:rPr>
          <w:lang w:val="lt-LT" w:eastAsia="lt-LT"/>
        </w:rPr>
        <w:t>esantiems</w:t>
      </w:r>
      <w:r w:rsidRPr="0065344A">
        <w:rPr>
          <w:i/>
          <w:iCs/>
          <w:lang w:val="lt-LT" w:eastAsia="lt-LT"/>
        </w:rPr>
        <w:t xml:space="preserve"> </w:t>
      </w:r>
      <w:r w:rsidRPr="0065344A">
        <w:rPr>
          <w:lang w:val="lt-LT" w:eastAsia="lt-LT"/>
        </w:rPr>
        <w:t>tantjemas</w:t>
      </w:r>
      <w:r w:rsidRPr="0065344A">
        <w:rPr>
          <w:i/>
          <w:iCs/>
          <w:lang w:val="lt-LT" w:eastAsia="lt-LT"/>
        </w:rPr>
        <w:t xml:space="preserve"> </w:t>
      </w:r>
      <w:r w:rsidRPr="0065344A">
        <w:rPr>
          <w:lang w:val="lt-LT" w:eastAsia="lt-LT"/>
        </w:rPr>
        <w:t>išmokančio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akcininkams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darbuotojams)</w:t>
      </w:r>
      <w:r w:rsidRPr="0065344A">
        <w:rPr>
          <w:i/>
          <w:iCs/>
          <w:lang w:val="lt-LT" w:eastAsia="lt-LT"/>
        </w:rPr>
        <w:t xml:space="preserve"> </w:t>
      </w:r>
      <w:r w:rsidRPr="0065344A">
        <w:rPr>
          <w:lang w:val="lt-LT" w:eastAsia="lt-LT"/>
        </w:rPr>
        <w:t>vietoje</w:t>
      </w:r>
      <w:r w:rsidRPr="0065344A">
        <w:rPr>
          <w:i/>
          <w:iCs/>
          <w:lang w:val="lt-LT" w:eastAsia="lt-LT"/>
        </w:rPr>
        <w:t xml:space="preserve"> </w:t>
      </w:r>
      <w:r w:rsidRPr="0065344A">
        <w:rPr>
          <w:lang w:val="lt-LT" w:eastAsia="lt-LT"/>
        </w:rPr>
        <w:t>dividendų</w:t>
      </w:r>
      <w:r w:rsidRPr="0065344A">
        <w:rPr>
          <w:i/>
          <w:iCs/>
          <w:lang w:val="lt-LT" w:eastAsia="lt-LT"/>
        </w:rPr>
        <w:t xml:space="preserve"> </w:t>
      </w:r>
      <w:r w:rsidRPr="0065344A">
        <w:rPr>
          <w:lang w:val="lt-LT" w:eastAsia="lt-LT"/>
        </w:rPr>
        <w:t>ir/arba</w:t>
      </w:r>
      <w:r w:rsidRPr="0065344A">
        <w:rPr>
          <w:i/>
          <w:iCs/>
          <w:lang w:val="lt-LT" w:eastAsia="lt-LT"/>
        </w:rPr>
        <w:t xml:space="preserve"> </w:t>
      </w:r>
      <w:r w:rsidRPr="0065344A">
        <w:rPr>
          <w:lang w:val="lt-LT" w:eastAsia="lt-LT"/>
        </w:rPr>
        <w:t>atlyginimo</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mokamos</w:t>
      </w:r>
      <w:r w:rsidRPr="0065344A">
        <w:rPr>
          <w:i/>
          <w:iCs/>
          <w:lang w:val="lt-LT" w:eastAsia="lt-LT"/>
        </w:rPr>
        <w:t xml:space="preserve"> </w:t>
      </w:r>
      <w:r w:rsidRPr="0065344A">
        <w:rPr>
          <w:lang w:val="lt-LT" w:eastAsia="lt-LT"/>
        </w:rPr>
        <w:t>tantjemos,</w:t>
      </w:r>
      <w:r w:rsidRPr="0065344A">
        <w:rPr>
          <w:i/>
          <w:iCs/>
          <w:lang w:val="lt-LT" w:eastAsia="lt-LT"/>
        </w:rPr>
        <w:t xml:space="preserve"> </w:t>
      </w:r>
      <w:r w:rsidRPr="0065344A">
        <w:rPr>
          <w:lang w:val="lt-LT" w:eastAsia="lt-LT"/>
        </w:rPr>
        <w:t>vadovaujantis</w:t>
      </w:r>
      <w:r w:rsidRPr="0065344A">
        <w:rPr>
          <w:i/>
          <w:iCs/>
          <w:lang w:val="lt-LT" w:eastAsia="lt-LT"/>
        </w:rPr>
        <w:t xml:space="preserve"> </w:t>
      </w:r>
      <w:r w:rsidRPr="0065344A">
        <w:rPr>
          <w:lang w:val="lt-LT" w:eastAsia="lt-LT"/>
        </w:rPr>
        <w:t>Mokesčių</w:t>
      </w:r>
      <w:r w:rsidRPr="0065344A">
        <w:rPr>
          <w:i/>
          <w:iCs/>
          <w:lang w:val="lt-LT" w:eastAsia="lt-LT"/>
        </w:rPr>
        <w:t xml:space="preserve"> </w:t>
      </w:r>
      <w:r w:rsidRPr="0065344A">
        <w:rPr>
          <w:lang w:val="lt-LT" w:eastAsia="lt-LT"/>
        </w:rPr>
        <w:t>administravimo</w:t>
      </w:r>
      <w:r w:rsidRPr="0065344A">
        <w:rPr>
          <w:i/>
          <w:iCs/>
          <w:lang w:val="lt-LT" w:eastAsia="lt-LT"/>
        </w:rPr>
        <w:t xml:space="preserve"> </w:t>
      </w:r>
      <w:r w:rsidRPr="0065344A">
        <w:rPr>
          <w:lang w:val="lt-LT" w:eastAsia="lt-LT"/>
        </w:rPr>
        <w:t>įstatymu</w:t>
      </w:r>
      <w:r w:rsidRPr="0065344A">
        <w:rPr>
          <w:i/>
          <w:iCs/>
          <w:lang w:val="lt-LT" w:eastAsia="lt-LT"/>
        </w:rPr>
        <w:t xml:space="preserve"> </w:t>
      </w:r>
      <w:r w:rsidRPr="0065344A">
        <w:rPr>
          <w:lang w:val="lt-LT" w:eastAsia="lt-LT"/>
        </w:rPr>
        <w:t>nustatytu</w:t>
      </w:r>
      <w:r w:rsidRPr="0065344A">
        <w:rPr>
          <w:i/>
          <w:iCs/>
          <w:lang w:val="lt-LT" w:eastAsia="lt-LT"/>
        </w:rPr>
        <w:t xml:space="preserve"> </w:t>
      </w:r>
      <w:r w:rsidRPr="0065344A">
        <w:rPr>
          <w:lang w:val="lt-LT" w:eastAsia="lt-LT"/>
        </w:rPr>
        <w:t>turinio</w:t>
      </w:r>
      <w:r w:rsidRPr="0065344A">
        <w:rPr>
          <w:i/>
          <w:iCs/>
          <w:lang w:val="lt-LT" w:eastAsia="lt-LT"/>
        </w:rPr>
        <w:t xml:space="preserve"> </w:t>
      </w:r>
      <w:r w:rsidRPr="0065344A">
        <w:rPr>
          <w:lang w:val="lt-LT" w:eastAsia="lt-LT"/>
        </w:rPr>
        <w:t>viršenybės</w:t>
      </w:r>
      <w:r w:rsidRPr="0065344A">
        <w:rPr>
          <w:i/>
          <w:iCs/>
          <w:lang w:val="lt-LT" w:eastAsia="lt-LT"/>
        </w:rPr>
        <w:t xml:space="preserve"> </w:t>
      </w:r>
      <w:r w:rsidRPr="0065344A">
        <w:rPr>
          <w:lang w:val="lt-LT" w:eastAsia="lt-LT"/>
        </w:rPr>
        <w:t>prieš</w:t>
      </w:r>
      <w:r w:rsidRPr="0065344A">
        <w:rPr>
          <w:i/>
          <w:iCs/>
          <w:lang w:val="lt-LT" w:eastAsia="lt-LT"/>
        </w:rPr>
        <w:t xml:space="preserve"> </w:t>
      </w:r>
      <w:r w:rsidRPr="0065344A">
        <w:rPr>
          <w:lang w:val="lt-LT" w:eastAsia="lt-LT"/>
        </w:rPr>
        <w:t>formą</w:t>
      </w:r>
      <w:r w:rsidRPr="0065344A">
        <w:rPr>
          <w:i/>
          <w:iCs/>
          <w:lang w:val="lt-LT" w:eastAsia="lt-LT"/>
        </w:rPr>
        <w:t xml:space="preserve"> </w:t>
      </w:r>
      <w:r w:rsidRPr="0065344A">
        <w:rPr>
          <w:lang w:val="lt-LT" w:eastAsia="lt-LT"/>
        </w:rPr>
        <w:t>principu,</w:t>
      </w:r>
      <w:r w:rsidRPr="0065344A">
        <w:rPr>
          <w:i/>
          <w:iCs/>
          <w:lang w:val="lt-LT" w:eastAsia="lt-LT"/>
        </w:rPr>
        <w:t xml:space="preserve"> </w:t>
      </w:r>
      <w:r w:rsidRPr="0065344A">
        <w:rPr>
          <w:lang w:val="lt-LT" w:eastAsia="lt-LT"/>
        </w:rPr>
        <w:t>išmokėtos</w:t>
      </w:r>
      <w:r w:rsidRPr="0065344A">
        <w:rPr>
          <w:i/>
          <w:iCs/>
          <w:lang w:val="lt-LT" w:eastAsia="lt-LT"/>
        </w:rPr>
        <w:t xml:space="preserve"> </w:t>
      </w:r>
      <w:r w:rsidRPr="0065344A">
        <w:rPr>
          <w:lang w:val="lt-LT" w:eastAsia="lt-LT"/>
        </w:rPr>
        <w:t>tantjemų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pripažintos</w:t>
      </w:r>
      <w:r w:rsidRPr="0065344A">
        <w:rPr>
          <w:i/>
          <w:iCs/>
          <w:lang w:val="lt-LT" w:eastAsia="lt-LT"/>
        </w:rPr>
        <w:t xml:space="preserve"> </w:t>
      </w:r>
      <w:r w:rsidRPr="0065344A">
        <w:rPr>
          <w:lang w:val="lt-LT" w:eastAsia="lt-LT"/>
        </w:rPr>
        <w:t>atlyginimu</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ir/arba</w:t>
      </w:r>
      <w:r w:rsidRPr="0065344A">
        <w:rPr>
          <w:i/>
          <w:iCs/>
          <w:lang w:val="lt-LT" w:eastAsia="lt-LT"/>
        </w:rPr>
        <w:t xml:space="preserve"> </w:t>
      </w:r>
      <w:r w:rsidRPr="0065344A">
        <w:rPr>
          <w:lang w:val="lt-LT" w:eastAsia="lt-LT"/>
        </w:rPr>
        <w:t>dividendais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apmokestintos</w:t>
      </w:r>
      <w:r w:rsidRPr="0065344A">
        <w:rPr>
          <w:i/>
          <w:iCs/>
          <w:lang w:val="lt-LT" w:eastAsia="lt-LT"/>
        </w:rPr>
        <w:t xml:space="preserve"> </w:t>
      </w:r>
      <w:r w:rsidRPr="0065344A">
        <w:rPr>
          <w:lang w:val="lt-LT" w:eastAsia="lt-LT"/>
        </w:rPr>
        <w:t>įstatymų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p>
    <w:p w14:paraId="419D425F" w14:textId="77777777" w:rsidR="00093845" w:rsidRPr="0065344A" w:rsidRDefault="000D779E">
      <w:pPr>
        <w:ind w:firstLine="993"/>
        <w:jc w:val="both"/>
        <w:rPr>
          <w:lang w:val="lt-LT" w:eastAsia="lt-LT"/>
        </w:rPr>
      </w:pPr>
      <w:r w:rsidRPr="0065344A">
        <w:rPr>
          <w:b/>
          <w:bCs/>
          <w:lang w:val="lt-LT" w:eastAsia="lt-LT"/>
        </w:rPr>
        <w:t>6.23.</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draudimo</w:t>
      </w:r>
      <w:r w:rsidRPr="0065344A">
        <w:rPr>
          <w:b/>
          <w:bCs/>
          <w:i/>
          <w:iCs/>
          <w:lang w:val="lt-LT" w:eastAsia="lt-LT"/>
        </w:rPr>
        <w:t xml:space="preserve"> </w:t>
      </w:r>
      <w:r w:rsidRPr="0065344A">
        <w:rPr>
          <w:b/>
          <w:bCs/>
          <w:lang w:val="lt-LT" w:eastAsia="lt-LT"/>
        </w:rPr>
        <w:t>įmokų.</w:t>
      </w:r>
    </w:p>
    <w:p w14:paraId="4908039D" w14:textId="77777777" w:rsidR="00093845" w:rsidRPr="0065344A" w:rsidRDefault="000D779E">
      <w:pPr>
        <w:ind w:firstLine="993"/>
        <w:jc w:val="both"/>
        <w:rPr>
          <w:lang w:val="lt-LT" w:eastAsia="lt-LT"/>
        </w:rPr>
      </w:pPr>
      <w:r w:rsidRPr="0065344A">
        <w:rPr>
          <w:lang w:val="lt-LT" w:eastAsia="lt-LT"/>
        </w:rPr>
        <w:t>6.23.1.</w:t>
      </w:r>
      <w:r w:rsidRPr="0065344A">
        <w:rPr>
          <w:i/>
          <w:iCs/>
          <w:lang w:val="lt-LT" w:eastAsia="lt-LT"/>
        </w:rPr>
        <w:t xml:space="preserve"> </w:t>
      </w:r>
      <w:r w:rsidRPr="0065344A">
        <w:rPr>
          <w:lang w:val="lt-LT" w:eastAsia="lt-LT"/>
        </w:rPr>
        <w:t>Sąnaudomis,</w:t>
      </w:r>
      <w:r w:rsidRPr="0065344A">
        <w:rPr>
          <w:i/>
          <w:iCs/>
          <w:lang w:val="lt-LT" w:eastAsia="lt-LT"/>
        </w:rPr>
        <w:t xml:space="preserve"> </w:t>
      </w:r>
      <w:r w:rsidRPr="0065344A">
        <w:rPr>
          <w:lang w:val="lt-LT" w:eastAsia="lt-LT"/>
        </w:rPr>
        <w:t>priskiriamomis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p>
    <w:p w14:paraId="537F745A"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turtiniai</w:t>
      </w:r>
      <w:r w:rsidRPr="0065344A">
        <w:rPr>
          <w:i/>
          <w:iCs/>
          <w:lang w:val="lt-LT" w:eastAsia="lt-LT"/>
        </w:rPr>
        <w:t xml:space="preserve"> </w:t>
      </w:r>
      <w:r w:rsidRPr="0065344A">
        <w:rPr>
          <w:lang w:val="lt-LT" w:eastAsia="lt-LT"/>
        </w:rPr>
        <w:t>interesai,</w:t>
      </w:r>
      <w:r w:rsidRPr="0065344A">
        <w:rPr>
          <w:i/>
          <w:iCs/>
          <w:lang w:val="lt-LT" w:eastAsia="lt-LT"/>
        </w:rPr>
        <w:t xml:space="preserve"> </w:t>
      </w:r>
      <w:r w:rsidRPr="0065344A">
        <w:rPr>
          <w:lang w:val="lt-LT" w:eastAsia="lt-LT"/>
        </w:rPr>
        <w:t>susiję</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valdymu,</w:t>
      </w:r>
      <w:r w:rsidRPr="0065344A">
        <w:rPr>
          <w:i/>
          <w:iCs/>
          <w:lang w:val="lt-LT" w:eastAsia="lt-LT"/>
        </w:rPr>
        <w:t xml:space="preserve"> </w:t>
      </w:r>
      <w:r w:rsidRPr="0065344A">
        <w:rPr>
          <w:lang w:val="lt-LT" w:eastAsia="lt-LT"/>
        </w:rPr>
        <w:t>naudojimu,</w:t>
      </w:r>
      <w:r w:rsidRPr="0065344A">
        <w:rPr>
          <w:i/>
          <w:iCs/>
          <w:lang w:val="lt-LT" w:eastAsia="lt-LT"/>
        </w:rPr>
        <w:t xml:space="preserve"> </w:t>
      </w:r>
      <w:r w:rsidRPr="0065344A">
        <w:rPr>
          <w:lang w:val="lt-LT" w:eastAsia="lt-LT"/>
        </w:rPr>
        <w:t>disponavimu,</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padaryta</w:t>
      </w:r>
      <w:r w:rsidRPr="0065344A">
        <w:rPr>
          <w:i/>
          <w:iCs/>
          <w:lang w:val="lt-LT" w:eastAsia="lt-LT"/>
        </w:rPr>
        <w:t xml:space="preserve"> </w:t>
      </w:r>
      <w:r w:rsidRPr="0065344A">
        <w:rPr>
          <w:lang w:val="lt-LT" w:eastAsia="lt-LT"/>
        </w:rPr>
        <w:t>žala</w:t>
      </w:r>
      <w:r w:rsidRPr="0065344A">
        <w:rPr>
          <w:i/>
          <w:iCs/>
          <w:lang w:val="lt-LT" w:eastAsia="lt-LT"/>
        </w:rPr>
        <w:t xml:space="preserve"> </w:t>
      </w:r>
      <w:r w:rsidRPr="0065344A">
        <w:rPr>
          <w:lang w:val="lt-LT" w:eastAsia="lt-LT"/>
        </w:rPr>
        <w:t>fizinio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tam</w:t>
      </w:r>
      <w:r w:rsidRPr="0065344A">
        <w:rPr>
          <w:i/>
          <w:iCs/>
          <w:lang w:val="lt-LT" w:eastAsia="lt-LT"/>
        </w:rPr>
        <w:t xml:space="preserve"> </w:t>
      </w:r>
      <w:r w:rsidRPr="0065344A">
        <w:rPr>
          <w:lang w:val="lt-LT" w:eastAsia="lt-LT"/>
        </w:rPr>
        <w:t>fiziniam</w:t>
      </w:r>
      <w:r w:rsidRPr="0065344A">
        <w:rPr>
          <w:i/>
          <w:iCs/>
          <w:lang w:val="lt-LT" w:eastAsia="lt-LT"/>
        </w:rPr>
        <w:t xml:space="preserve"> </w:t>
      </w:r>
      <w:r w:rsidRPr="0065344A">
        <w:rPr>
          <w:lang w:val="lt-LT" w:eastAsia="lt-LT"/>
        </w:rPr>
        <w:t>asmeniui)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juridinio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turtui.</w:t>
      </w:r>
    </w:p>
    <w:p w14:paraId="5B9F8420" w14:textId="77777777" w:rsidR="00093845" w:rsidRPr="0065344A" w:rsidRDefault="000D779E">
      <w:pPr>
        <w:ind w:firstLine="993"/>
        <w:jc w:val="both"/>
        <w:rPr>
          <w:lang w:val="lt-LT" w:eastAsia="lt-LT"/>
        </w:rPr>
      </w:pPr>
      <w:r w:rsidRPr="0065344A">
        <w:rPr>
          <w:lang w:val="lt-LT" w:eastAsia="lt-LT"/>
        </w:rPr>
        <w:t>Kai</w:t>
      </w:r>
      <w:r w:rsidRPr="0065344A">
        <w:rPr>
          <w:i/>
          <w:iCs/>
          <w:lang w:val="lt-LT" w:eastAsia="lt-LT"/>
        </w:rPr>
        <w:t xml:space="preserve"> </w:t>
      </w:r>
      <w:r w:rsidRPr="0065344A">
        <w:rPr>
          <w:lang w:val="lt-LT" w:eastAsia="lt-LT"/>
        </w:rPr>
        <w:t>draudžiamas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numatoma,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įvykus</w:t>
      </w:r>
      <w:r w:rsidRPr="0065344A">
        <w:rPr>
          <w:i/>
          <w:iCs/>
          <w:lang w:val="lt-LT" w:eastAsia="lt-LT"/>
        </w:rPr>
        <w:t xml:space="preserve"> </w:t>
      </w:r>
      <w:r w:rsidRPr="0065344A">
        <w:rPr>
          <w:lang w:val="lt-LT" w:eastAsia="lt-LT"/>
        </w:rPr>
        <w:t>draudiminiam</w:t>
      </w:r>
      <w:r w:rsidRPr="0065344A">
        <w:rPr>
          <w:i/>
          <w:iCs/>
          <w:lang w:val="lt-LT" w:eastAsia="lt-LT"/>
        </w:rPr>
        <w:t xml:space="preserve"> </w:t>
      </w:r>
      <w:r w:rsidRPr="0065344A">
        <w:rPr>
          <w:lang w:val="lt-LT" w:eastAsia="lt-LT"/>
        </w:rPr>
        <w:t>įvykiui,</w:t>
      </w:r>
      <w:r w:rsidRPr="0065344A">
        <w:rPr>
          <w:i/>
          <w:iCs/>
          <w:lang w:val="lt-LT" w:eastAsia="lt-LT"/>
        </w:rPr>
        <w:t xml:space="preserve"> </w:t>
      </w:r>
      <w:r w:rsidRPr="0065344A">
        <w:rPr>
          <w:lang w:val="lt-LT" w:eastAsia="lt-LT"/>
        </w:rPr>
        <w:t>gaus</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draudėja,</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atimamos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p>
    <w:p w14:paraId="119C9AE4"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kiti</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nurodyti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gavėjai</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nuomotojo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tretieji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kurių</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draudėja</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nenurodo,</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rūšies</w:t>
      </w:r>
      <w:r w:rsidRPr="0065344A">
        <w:rPr>
          <w:i/>
          <w:iCs/>
          <w:lang w:val="lt-LT" w:eastAsia="lt-LT"/>
        </w:rPr>
        <w:t xml:space="preserve"> </w:t>
      </w:r>
      <w:r w:rsidRPr="0065344A">
        <w:rPr>
          <w:lang w:val="lt-LT" w:eastAsia="lt-LT"/>
        </w:rPr>
        <w:t>taisyklėse</w:t>
      </w:r>
      <w:r w:rsidRPr="0065344A">
        <w:rPr>
          <w:i/>
          <w:iCs/>
          <w:lang w:val="lt-LT" w:eastAsia="lt-LT"/>
        </w:rPr>
        <w:t xml:space="preserve"> </w:t>
      </w:r>
      <w:r w:rsidRPr="0065344A">
        <w:rPr>
          <w:lang w:val="lt-LT" w:eastAsia="lt-LT"/>
        </w:rPr>
        <w:t>nurodytomis</w:t>
      </w:r>
      <w:r w:rsidRPr="0065344A">
        <w:rPr>
          <w:i/>
          <w:iCs/>
          <w:lang w:val="lt-LT" w:eastAsia="lt-LT"/>
        </w:rPr>
        <w:t xml:space="preserve"> </w:t>
      </w:r>
      <w:r w:rsidRPr="0065344A">
        <w:rPr>
          <w:lang w:val="lt-LT" w:eastAsia="lt-LT"/>
        </w:rPr>
        <w:t>sąlygomis</w:t>
      </w:r>
      <w:r w:rsidRPr="0065344A">
        <w:rPr>
          <w:i/>
          <w:iCs/>
          <w:lang w:val="lt-LT" w:eastAsia="lt-LT"/>
        </w:rPr>
        <w:t xml:space="preserve"> </w:t>
      </w:r>
      <w:r w:rsidRPr="0065344A">
        <w:rPr>
          <w:lang w:val="lt-LT" w:eastAsia="lt-LT"/>
        </w:rPr>
        <w:t>įgyja</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draudėjo</w:t>
      </w:r>
      <w:r w:rsidRPr="0065344A">
        <w:rPr>
          <w:i/>
          <w:iCs/>
          <w:lang w:val="lt-LT" w:eastAsia="lt-LT"/>
        </w:rPr>
        <w:t xml:space="preserve"> </w:t>
      </w:r>
      <w:r w:rsidRPr="0065344A">
        <w:rPr>
          <w:lang w:val="lt-LT" w:eastAsia="lt-LT"/>
        </w:rPr>
        <w:t>nukenčia</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sudaromos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sutartys).</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p>
    <w:p w14:paraId="3FEED972" w14:textId="77777777" w:rsidR="00093845" w:rsidRPr="0065344A" w:rsidRDefault="000D779E">
      <w:pPr>
        <w:ind w:firstLine="993"/>
        <w:jc w:val="both"/>
        <w:rPr>
          <w:lang w:val="lt-LT" w:eastAsia="lt-LT"/>
        </w:rPr>
      </w:pPr>
      <w:r w:rsidRPr="0065344A">
        <w:rPr>
          <w:lang w:val="lt-LT" w:eastAsia="lt-LT"/>
        </w:rPr>
        <w:t>6.23.2.</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savininkas,</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(panaudos</w:t>
      </w:r>
      <w:r w:rsidRPr="0065344A">
        <w:rPr>
          <w:i/>
          <w:iCs/>
          <w:lang w:val="lt-LT" w:eastAsia="lt-LT"/>
        </w:rPr>
        <w:t xml:space="preserve"> </w:t>
      </w:r>
      <w:r w:rsidRPr="0065344A">
        <w:rPr>
          <w:lang w:val="lt-LT" w:eastAsia="lt-LT"/>
        </w:rPr>
        <w:t>gavėjas),</w:t>
      </w:r>
      <w:r w:rsidRPr="0065344A">
        <w:rPr>
          <w:i/>
          <w:iCs/>
          <w:lang w:val="lt-LT" w:eastAsia="lt-LT"/>
        </w:rPr>
        <w:t xml:space="preserve"> </w:t>
      </w:r>
      <w:r w:rsidRPr="0065344A">
        <w:rPr>
          <w:lang w:val="lt-LT" w:eastAsia="lt-LT"/>
        </w:rPr>
        <w:t>išsinuomoto</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panaudos</w:t>
      </w:r>
      <w:r w:rsidRPr="0065344A">
        <w:rPr>
          <w:i/>
          <w:iCs/>
          <w:lang w:val="lt-LT" w:eastAsia="lt-LT"/>
        </w:rPr>
        <w:t xml:space="preserve"> </w:t>
      </w:r>
      <w:r w:rsidRPr="0065344A">
        <w:rPr>
          <w:lang w:val="lt-LT" w:eastAsia="lt-LT"/>
        </w:rPr>
        <w:t>sutarčių</w:t>
      </w:r>
      <w:r w:rsidRPr="0065344A">
        <w:rPr>
          <w:i/>
          <w:iCs/>
          <w:lang w:val="lt-LT" w:eastAsia="lt-LT"/>
        </w:rPr>
        <w:t xml:space="preserve"> </w:t>
      </w:r>
      <w:r w:rsidRPr="0065344A">
        <w:rPr>
          <w:lang w:val="lt-LT" w:eastAsia="lt-LT"/>
        </w:rPr>
        <w:t>pagrindu</w:t>
      </w:r>
      <w:r w:rsidRPr="0065344A">
        <w:rPr>
          <w:i/>
          <w:iCs/>
          <w:lang w:val="lt-LT" w:eastAsia="lt-LT"/>
        </w:rPr>
        <w:t xml:space="preserve"> </w:t>
      </w:r>
      <w:r w:rsidRPr="0065344A">
        <w:rPr>
          <w:lang w:val="lt-LT" w:eastAsia="lt-LT"/>
        </w:rPr>
        <w:t>naudojamo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atimamos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neatsižvelgiant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išmokos</w:t>
      </w:r>
      <w:r w:rsidRPr="0065344A">
        <w:rPr>
          <w:i/>
          <w:iCs/>
          <w:lang w:val="lt-LT" w:eastAsia="lt-LT"/>
        </w:rPr>
        <w:t xml:space="preserve"> </w:t>
      </w:r>
      <w:r w:rsidRPr="0065344A">
        <w:rPr>
          <w:lang w:val="lt-LT" w:eastAsia="lt-LT"/>
        </w:rPr>
        <w:t>gavėjas,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tas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naudojamas</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r w:rsidRPr="0065344A">
        <w:rPr>
          <w:i/>
          <w:iCs/>
          <w:lang w:val="lt-LT" w:eastAsia="lt-LT"/>
        </w:rPr>
        <w:t xml:space="preserve"> </w:t>
      </w:r>
    </w:p>
    <w:p w14:paraId="4918C23B" w14:textId="77777777" w:rsidR="00093845" w:rsidRPr="0065344A" w:rsidRDefault="000D779E">
      <w:pPr>
        <w:ind w:firstLine="993"/>
        <w:jc w:val="both"/>
        <w:rPr>
          <w:lang w:val="lt-LT" w:eastAsia="lt-LT"/>
        </w:rPr>
      </w:pPr>
      <w:r w:rsidRPr="0065344A">
        <w:rPr>
          <w:lang w:val="lt-LT" w:eastAsia="lt-LT"/>
        </w:rPr>
        <w:t>Kai</w:t>
      </w:r>
      <w:r w:rsidRPr="0065344A">
        <w:rPr>
          <w:i/>
          <w:iCs/>
          <w:lang w:val="lt-LT" w:eastAsia="lt-LT"/>
        </w:rPr>
        <w:t xml:space="preserve"> </w:t>
      </w:r>
      <w:r w:rsidRPr="0065344A">
        <w:rPr>
          <w:lang w:val="lt-LT" w:eastAsia="lt-LT"/>
        </w:rPr>
        <w:t>kreditorius</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nustatytam</w:t>
      </w:r>
      <w:r w:rsidRPr="0065344A">
        <w:rPr>
          <w:i/>
          <w:iCs/>
          <w:lang w:val="lt-LT" w:eastAsia="lt-LT"/>
        </w:rPr>
        <w:t xml:space="preserve"> </w:t>
      </w:r>
      <w:r w:rsidRPr="0065344A">
        <w:rPr>
          <w:lang w:val="lt-LT" w:eastAsia="lt-LT"/>
        </w:rPr>
        <w:t>paskolos</w:t>
      </w:r>
      <w:r w:rsidRPr="0065344A">
        <w:rPr>
          <w:i/>
          <w:iCs/>
          <w:lang w:val="lt-LT" w:eastAsia="lt-LT"/>
        </w:rPr>
        <w:t xml:space="preserve"> </w:t>
      </w:r>
      <w:r w:rsidRPr="0065344A">
        <w:rPr>
          <w:lang w:val="lt-LT" w:eastAsia="lt-LT"/>
        </w:rPr>
        <w:t>suteikimo</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suteiktą</w:t>
      </w:r>
      <w:r w:rsidRPr="0065344A">
        <w:rPr>
          <w:i/>
          <w:iCs/>
          <w:lang w:val="lt-LT" w:eastAsia="lt-LT"/>
        </w:rPr>
        <w:t xml:space="preserve"> </w:t>
      </w:r>
      <w:r w:rsidRPr="0065344A">
        <w:rPr>
          <w:lang w:val="lt-LT" w:eastAsia="lt-LT"/>
        </w:rPr>
        <w:t>paskolą</w:t>
      </w:r>
      <w:r w:rsidRPr="0065344A">
        <w:rPr>
          <w:i/>
          <w:iCs/>
          <w:lang w:val="lt-LT" w:eastAsia="lt-LT"/>
        </w:rPr>
        <w:t xml:space="preserve"> </w:t>
      </w:r>
      <w:r w:rsidRPr="0065344A">
        <w:rPr>
          <w:lang w:val="lt-LT" w:eastAsia="lt-LT"/>
        </w:rPr>
        <w:t>įkeistą</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(premijų)</w:t>
      </w:r>
      <w:r w:rsidRPr="0065344A">
        <w:rPr>
          <w:i/>
          <w:iCs/>
          <w:lang w:val="lt-LT" w:eastAsia="lt-LT"/>
        </w:rPr>
        <w:t xml:space="preserve"> </w:t>
      </w:r>
      <w:r w:rsidRPr="0065344A">
        <w:rPr>
          <w:lang w:val="lt-LT" w:eastAsia="lt-LT"/>
        </w:rPr>
        <w:t>sumas</w:t>
      </w:r>
      <w:r w:rsidRPr="0065344A">
        <w:rPr>
          <w:i/>
          <w:iCs/>
          <w:lang w:val="lt-LT" w:eastAsia="lt-LT"/>
        </w:rPr>
        <w:t xml:space="preserve"> </w:t>
      </w:r>
      <w:r w:rsidRPr="0065344A">
        <w:rPr>
          <w:lang w:val="lt-LT" w:eastAsia="lt-LT"/>
        </w:rPr>
        <w:t>toks</w:t>
      </w:r>
      <w:r w:rsidRPr="0065344A">
        <w:rPr>
          <w:i/>
          <w:iCs/>
          <w:lang w:val="lt-LT" w:eastAsia="lt-LT"/>
        </w:rPr>
        <w:t xml:space="preserve"> </w:t>
      </w:r>
      <w:r w:rsidRPr="0065344A">
        <w:rPr>
          <w:lang w:val="lt-LT" w:eastAsia="lt-LT"/>
        </w:rPr>
        <w:t>kreditorius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paskolos</w:t>
      </w:r>
      <w:r w:rsidRPr="0065344A">
        <w:rPr>
          <w:i/>
          <w:iCs/>
          <w:lang w:val="lt-LT" w:eastAsia="lt-LT"/>
        </w:rPr>
        <w:t xml:space="preserve"> </w:t>
      </w:r>
      <w:r w:rsidRPr="0065344A">
        <w:rPr>
          <w:lang w:val="lt-LT" w:eastAsia="lt-LT"/>
        </w:rPr>
        <w:t>suteikimas</w:t>
      </w:r>
      <w:r w:rsidRPr="0065344A">
        <w:rPr>
          <w:i/>
          <w:iCs/>
          <w:lang w:val="lt-LT" w:eastAsia="lt-LT"/>
        </w:rPr>
        <w:t xml:space="preserve"> </w:t>
      </w:r>
      <w:r w:rsidRPr="0065344A">
        <w:rPr>
          <w:lang w:val="lt-LT" w:eastAsia="lt-LT"/>
        </w:rPr>
        <w:t>susijęs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p>
    <w:p w14:paraId="55E026C7" w14:textId="77777777" w:rsidR="00093845" w:rsidRPr="0065344A" w:rsidRDefault="000D779E">
      <w:pPr>
        <w:ind w:firstLine="993"/>
        <w:jc w:val="both"/>
        <w:rPr>
          <w:lang w:val="lt-LT" w:eastAsia="lt-LT"/>
        </w:rPr>
      </w:pPr>
      <w:r w:rsidRPr="0065344A">
        <w:rPr>
          <w:lang w:val="lt-LT" w:eastAsia="lt-LT"/>
        </w:rPr>
        <w:lastRenderedPageBreak/>
        <w:t>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turimas</w:t>
      </w:r>
      <w:r w:rsidRPr="0065344A">
        <w:rPr>
          <w:i/>
          <w:iCs/>
          <w:lang w:val="lt-LT" w:eastAsia="lt-LT"/>
        </w:rPr>
        <w:t xml:space="preserve"> </w:t>
      </w:r>
      <w:r w:rsidRPr="0065344A">
        <w:rPr>
          <w:lang w:val="lt-LT" w:eastAsia="lt-LT"/>
        </w:rPr>
        <w:t>ilgalaikis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nuosavas</w:t>
      </w:r>
      <w:r w:rsidRPr="0065344A">
        <w:rPr>
          <w:i/>
          <w:iCs/>
          <w:lang w:val="lt-LT" w:eastAsia="lt-LT"/>
        </w:rPr>
        <w:t xml:space="preserve"> </w:t>
      </w:r>
      <w:r w:rsidRPr="0065344A">
        <w:rPr>
          <w:lang w:val="lt-LT" w:eastAsia="lt-LT"/>
        </w:rPr>
        <w:t>turtas,</w:t>
      </w:r>
      <w:r w:rsidRPr="0065344A">
        <w:rPr>
          <w:i/>
          <w:iCs/>
          <w:lang w:val="lt-LT" w:eastAsia="lt-LT"/>
        </w:rPr>
        <w:t xml:space="preserve"> </w:t>
      </w:r>
      <w:r w:rsidRPr="0065344A">
        <w:rPr>
          <w:lang w:val="lt-LT" w:eastAsia="lt-LT"/>
        </w:rPr>
        <w:t>apskaitomas</w:t>
      </w:r>
      <w:r w:rsidRPr="0065344A">
        <w:rPr>
          <w:i/>
          <w:iCs/>
          <w:lang w:val="lt-LT" w:eastAsia="lt-LT"/>
        </w:rPr>
        <w:t xml:space="preserve"> </w:t>
      </w:r>
      <w:r w:rsidRPr="0065344A">
        <w:rPr>
          <w:lang w:val="lt-LT" w:eastAsia="lt-LT"/>
        </w:rPr>
        <w:t>nuomininko</w:t>
      </w:r>
      <w:r w:rsidRPr="0065344A">
        <w:rPr>
          <w:i/>
          <w:iCs/>
          <w:lang w:val="lt-LT" w:eastAsia="lt-LT"/>
        </w:rPr>
        <w:t xml:space="preserve"> </w:t>
      </w:r>
      <w:r w:rsidRPr="0065344A">
        <w:rPr>
          <w:lang w:val="lt-LT" w:eastAsia="lt-LT"/>
        </w:rPr>
        <w:t>balanse,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nuomininkui</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minėtas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perduodama</w:t>
      </w:r>
      <w:r w:rsidRPr="0065344A">
        <w:rPr>
          <w:i/>
          <w:iCs/>
          <w:lang w:val="lt-LT" w:eastAsia="lt-LT"/>
        </w:rPr>
        <w:t xml:space="preserve"> </w:t>
      </w:r>
      <w:r w:rsidRPr="0065344A">
        <w:rPr>
          <w:lang w:val="lt-LT" w:eastAsia="lt-LT"/>
        </w:rPr>
        <w:t>didžioji</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rizikos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padidėjimas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pelnas,</w:t>
      </w:r>
      <w:r w:rsidRPr="0065344A">
        <w:rPr>
          <w:i/>
          <w:iCs/>
          <w:lang w:val="lt-LT" w:eastAsia="lt-LT"/>
        </w:rPr>
        <w:t xml:space="preserve"> </w:t>
      </w:r>
      <w:r w:rsidRPr="0065344A">
        <w:rPr>
          <w:lang w:val="lt-LT" w:eastAsia="lt-LT"/>
        </w:rPr>
        <w:t>kurį</w:t>
      </w:r>
      <w:r w:rsidRPr="0065344A">
        <w:rPr>
          <w:i/>
          <w:iCs/>
          <w:lang w:val="lt-LT" w:eastAsia="lt-LT"/>
        </w:rPr>
        <w:t xml:space="preserve"> </w:t>
      </w:r>
      <w:r w:rsidRPr="0065344A">
        <w:rPr>
          <w:lang w:val="lt-LT" w:eastAsia="lt-LT"/>
        </w:rPr>
        <w:t>tikimasi</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naudojant</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tada,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nuomininkas</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nuomotojo</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juridinio</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naudai.</w:t>
      </w:r>
    </w:p>
    <w:p w14:paraId="133C75DD" w14:textId="77777777" w:rsidR="00093845" w:rsidRPr="0065344A" w:rsidRDefault="000D779E">
      <w:pPr>
        <w:ind w:firstLine="993"/>
        <w:jc w:val="both"/>
        <w:rPr>
          <w:lang w:val="lt-LT" w:eastAsia="lt-LT"/>
        </w:rPr>
      </w:pP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savininkas</w:t>
      </w:r>
      <w:r w:rsidRPr="0065344A">
        <w:rPr>
          <w:i/>
          <w:iCs/>
          <w:lang w:val="lt-LT" w:eastAsia="lt-LT"/>
        </w:rPr>
        <w:t xml:space="preserve"> </w:t>
      </w:r>
      <w:r w:rsidRPr="0065344A">
        <w:rPr>
          <w:lang w:val="lt-LT" w:eastAsia="lt-LT"/>
        </w:rPr>
        <w:t>įkeičiamą</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apdrausti</w:t>
      </w:r>
      <w:r w:rsidRPr="0065344A">
        <w:rPr>
          <w:i/>
          <w:iCs/>
          <w:lang w:val="lt-LT" w:eastAsia="lt-LT"/>
        </w:rPr>
        <w:t xml:space="preserve"> </w:t>
      </w:r>
      <w:r w:rsidRPr="0065344A">
        <w:rPr>
          <w:lang w:val="lt-LT" w:eastAsia="lt-LT"/>
        </w:rPr>
        <w:t>kreditoriaus</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įkeitimo</w:t>
      </w:r>
      <w:r w:rsidRPr="0065344A">
        <w:rPr>
          <w:i/>
          <w:iCs/>
          <w:lang w:val="lt-LT" w:eastAsia="lt-LT"/>
        </w:rPr>
        <w:t xml:space="preserve"> </w:t>
      </w:r>
      <w:r w:rsidRPr="0065344A">
        <w:rPr>
          <w:lang w:val="lt-LT" w:eastAsia="lt-LT"/>
        </w:rPr>
        <w:t>operacija</w:t>
      </w:r>
      <w:r w:rsidRPr="0065344A">
        <w:rPr>
          <w:i/>
          <w:iCs/>
          <w:lang w:val="lt-LT" w:eastAsia="lt-LT"/>
        </w:rPr>
        <w:t xml:space="preserve"> </w:t>
      </w:r>
      <w:r w:rsidRPr="0065344A">
        <w:rPr>
          <w:lang w:val="lt-LT" w:eastAsia="lt-LT"/>
        </w:rPr>
        <w:t>susijusi</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p>
    <w:p w14:paraId="11826366" w14:textId="77777777" w:rsidR="00093845" w:rsidRPr="0065344A" w:rsidRDefault="000D779E">
      <w:pPr>
        <w:ind w:firstLine="993"/>
        <w:jc w:val="both"/>
        <w:rPr>
          <w:lang w:val="lt-LT" w:eastAsia="lt-LT"/>
        </w:rPr>
      </w:pPr>
      <w:r w:rsidRPr="0065344A">
        <w:rPr>
          <w:lang w:val="lt-LT" w:eastAsia="lt-LT"/>
        </w:rPr>
        <w:t>6.23.3.</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draudžia</w:t>
      </w:r>
      <w:r w:rsidRPr="0065344A">
        <w:rPr>
          <w:i/>
          <w:iCs/>
          <w:lang w:val="lt-LT" w:eastAsia="lt-LT"/>
        </w:rPr>
        <w:t xml:space="preserve"> </w:t>
      </w:r>
      <w:r w:rsidRPr="0065344A">
        <w:rPr>
          <w:lang w:val="lt-LT" w:eastAsia="lt-LT"/>
        </w:rPr>
        <w:t>bendrąją</w:t>
      </w:r>
      <w:r w:rsidRPr="0065344A">
        <w:rPr>
          <w:i/>
          <w:iCs/>
          <w:lang w:val="lt-LT" w:eastAsia="lt-LT"/>
        </w:rPr>
        <w:t xml:space="preserve"> </w:t>
      </w:r>
      <w:r w:rsidRPr="0065344A">
        <w:rPr>
          <w:lang w:val="lt-LT" w:eastAsia="lt-LT"/>
        </w:rPr>
        <w:t>civilinę</w:t>
      </w:r>
      <w:r w:rsidRPr="0065344A">
        <w:rPr>
          <w:i/>
          <w:iCs/>
          <w:lang w:val="lt-LT" w:eastAsia="lt-LT"/>
        </w:rPr>
        <w:t xml:space="preserve"> </w:t>
      </w:r>
      <w:r w:rsidRPr="0065344A">
        <w:rPr>
          <w:lang w:val="lt-LT" w:eastAsia="lt-LT"/>
        </w:rPr>
        <w:t>atsakomybę dėl nuostolių (žalos),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padaryti</w:t>
      </w:r>
      <w:r w:rsidRPr="0065344A">
        <w:rPr>
          <w:i/>
          <w:iCs/>
          <w:lang w:val="lt-LT" w:eastAsia="lt-LT"/>
        </w:rPr>
        <w:t xml:space="preserve"> </w:t>
      </w:r>
      <w:r w:rsidRPr="0065344A">
        <w:rPr>
          <w:lang w:val="lt-LT" w:eastAsia="lt-LT"/>
        </w:rPr>
        <w:t>tretiesiems</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apsidraudžia</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(apdraudžia</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atsakomybę</w:t>
      </w:r>
      <w:r w:rsidRPr="0065344A">
        <w:rPr>
          <w:i/>
          <w:iCs/>
          <w:lang w:val="lt-LT" w:eastAsia="lt-LT"/>
        </w:rPr>
        <w:t xml:space="preserve"> </w:t>
      </w:r>
      <w:r w:rsidRPr="0065344A">
        <w:rPr>
          <w:lang w:val="lt-LT" w:eastAsia="lt-LT"/>
        </w:rPr>
        <w:t>trečiųjų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atžvilgiu),</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trečiųjų</w:t>
      </w:r>
      <w:r w:rsidRPr="0065344A">
        <w:rPr>
          <w:i/>
          <w:iCs/>
          <w:lang w:val="lt-LT" w:eastAsia="lt-LT"/>
        </w:rPr>
        <w:t xml:space="preserve"> </w:t>
      </w:r>
      <w:r w:rsidRPr="0065344A">
        <w:rPr>
          <w:lang w:val="lt-LT" w:eastAsia="lt-LT"/>
        </w:rPr>
        <w:t>asmenų</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nors</w:t>
      </w:r>
      <w:r w:rsidRPr="0065344A">
        <w:rPr>
          <w:i/>
          <w:iCs/>
          <w:lang w:val="lt-LT" w:eastAsia="lt-LT"/>
        </w:rPr>
        <w:t xml:space="preserve"> </w:t>
      </w:r>
      <w:r w:rsidRPr="0065344A">
        <w:rPr>
          <w:lang w:val="lt-LT" w:eastAsia="lt-LT"/>
        </w:rPr>
        <w:t>įvykus</w:t>
      </w:r>
      <w:r w:rsidRPr="0065344A">
        <w:rPr>
          <w:i/>
          <w:iCs/>
          <w:lang w:val="lt-LT" w:eastAsia="lt-LT"/>
        </w:rPr>
        <w:t xml:space="preserve"> </w:t>
      </w:r>
      <w:r w:rsidRPr="0065344A">
        <w:rPr>
          <w:lang w:val="lt-LT" w:eastAsia="lt-LT"/>
        </w:rPr>
        <w:t>draudiminiam</w:t>
      </w:r>
      <w:r w:rsidRPr="0065344A">
        <w:rPr>
          <w:i/>
          <w:iCs/>
          <w:lang w:val="lt-LT" w:eastAsia="lt-LT"/>
        </w:rPr>
        <w:t xml:space="preserve"> </w:t>
      </w:r>
      <w:r w:rsidRPr="0065344A">
        <w:rPr>
          <w:lang w:val="lt-LT" w:eastAsia="lt-LT"/>
        </w:rPr>
        <w:t>įvykiui</w:t>
      </w:r>
      <w:r w:rsidRPr="0065344A">
        <w:rPr>
          <w:i/>
          <w:iCs/>
          <w:lang w:val="lt-LT" w:eastAsia="lt-LT"/>
        </w:rPr>
        <w:t xml:space="preserve"> </w:t>
      </w:r>
      <w:r w:rsidRPr="0065344A">
        <w:rPr>
          <w:lang w:val="lt-LT" w:eastAsia="lt-LT"/>
        </w:rPr>
        <w:t>nuostoliai</w:t>
      </w:r>
      <w:r w:rsidRPr="0065344A">
        <w:rPr>
          <w:i/>
          <w:iCs/>
          <w:lang w:val="lt-LT" w:eastAsia="lt-LT"/>
        </w:rPr>
        <w:t xml:space="preserve"> </w:t>
      </w:r>
      <w:r w:rsidRPr="0065344A">
        <w:rPr>
          <w:lang w:val="lt-LT" w:eastAsia="lt-LT"/>
        </w:rPr>
        <w:t>kompensuojami</w:t>
      </w:r>
      <w:r w:rsidRPr="0065344A">
        <w:rPr>
          <w:i/>
          <w:iCs/>
          <w:lang w:val="lt-LT" w:eastAsia="lt-LT"/>
        </w:rPr>
        <w:t xml:space="preserve"> </w:t>
      </w:r>
      <w:r w:rsidRPr="0065344A">
        <w:rPr>
          <w:lang w:val="lt-LT" w:eastAsia="lt-LT"/>
        </w:rPr>
        <w:t>tretiesiems</w:t>
      </w:r>
      <w:r w:rsidRPr="0065344A">
        <w:rPr>
          <w:i/>
          <w:iCs/>
          <w:lang w:val="lt-LT" w:eastAsia="lt-LT"/>
        </w:rPr>
        <w:t xml:space="preserve"> </w:t>
      </w:r>
      <w:r w:rsidRPr="0065344A">
        <w:rPr>
          <w:lang w:val="lt-LT" w:eastAsia="lt-LT"/>
        </w:rPr>
        <w:t>asmenims.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522BF7CD" w14:textId="77777777" w:rsidR="00093845" w:rsidRDefault="000D779E">
      <w:pPr>
        <w:ind w:firstLine="993"/>
        <w:jc w:val="both"/>
        <w:rPr>
          <w:i/>
          <w:iCs/>
          <w:lang w:eastAsia="lt-LT"/>
        </w:rPr>
      </w:pP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draudimas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nustatomas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įstatymais,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u w:val="single"/>
          <w:lang w:val="lt-LT" w:eastAsia="lt-LT"/>
        </w:rPr>
        <w:t>Civilinės</w:t>
      </w:r>
      <w:r w:rsidRPr="0065344A">
        <w:rPr>
          <w:i/>
          <w:iCs/>
          <w:u w:val="single"/>
          <w:lang w:val="lt-LT" w:eastAsia="lt-LT"/>
        </w:rPr>
        <w:t xml:space="preserve"> </w:t>
      </w:r>
      <w:r w:rsidRPr="0065344A">
        <w:rPr>
          <w:u w:val="single"/>
          <w:lang w:val="lt-LT" w:eastAsia="lt-LT"/>
        </w:rPr>
        <w:t>aviacijos</w:t>
      </w:r>
      <w:r w:rsidRPr="0065344A">
        <w:rPr>
          <w:i/>
          <w:iCs/>
          <w:u w:val="single"/>
          <w:lang w:val="lt-LT" w:eastAsia="lt-LT"/>
        </w:rPr>
        <w:t xml:space="preserve"> </w:t>
      </w:r>
      <w:r w:rsidRPr="0065344A">
        <w:rPr>
          <w:u w:val="single"/>
          <w:lang w:val="lt-LT" w:eastAsia="lt-LT"/>
        </w:rPr>
        <w:t>įstatymo</w:t>
      </w:r>
      <w:bookmarkStart w:id="318" w:name="pn1_3011"/>
      <w:bookmarkEnd w:id="318"/>
      <w:r w:rsidRPr="0065344A">
        <w:rPr>
          <w:i/>
          <w:iCs/>
          <w:lang w:val="lt-LT" w:eastAsia="lt-LT"/>
        </w:rPr>
        <w:t xml:space="preserve"> </w:t>
      </w:r>
      <w:r w:rsidRPr="0065344A">
        <w:rPr>
          <w:lang w:val="lt-LT" w:eastAsia="lt-LT"/>
        </w:rPr>
        <w:t>73</w:t>
      </w:r>
      <w:r w:rsidRPr="0065344A">
        <w:rPr>
          <w:i/>
          <w:iCs/>
          <w:lang w:val="lt-LT" w:eastAsia="lt-LT"/>
        </w:rPr>
        <w:t xml:space="preserve"> </w:t>
      </w:r>
      <w:r w:rsidRPr="0065344A">
        <w:rPr>
          <w:lang w:val="lt-LT" w:eastAsia="lt-LT"/>
        </w:rPr>
        <w:t>straipsnyje</w:t>
      </w:r>
      <w:r w:rsidRPr="0065344A">
        <w:rPr>
          <w:i/>
          <w:iCs/>
          <w:lang w:val="lt-LT" w:eastAsia="lt-LT"/>
        </w:rPr>
        <w:t xml:space="preserve"> </w:t>
      </w:r>
      <w:r w:rsidRPr="0065344A">
        <w:rPr>
          <w:lang w:val="lt-LT" w:eastAsia="lt-LT"/>
        </w:rPr>
        <w:t>numatyta,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orlaivio</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naudotojo</w:t>
      </w:r>
      <w:r w:rsidRPr="0065344A">
        <w:rPr>
          <w:i/>
          <w:iCs/>
          <w:lang w:val="lt-LT" w:eastAsia="lt-LT"/>
        </w:rPr>
        <w:t xml:space="preserve"> </w:t>
      </w:r>
      <w:r w:rsidRPr="0065344A">
        <w:rPr>
          <w:lang w:val="lt-LT" w:eastAsia="lt-LT"/>
        </w:rPr>
        <w:t>civilinė</w:t>
      </w:r>
      <w:r w:rsidRPr="0065344A">
        <w:rPr>
          <w:i/>
          <w:iCs/>
          <w:lang w:val="lt-LT" w:eastAsia="lt-LT"/>
        </w:rPr>
        <w:t xml:space="preserve"> </w:t>
      </w:r>
      <w:r w:rsidRPr="0065344A">
        <w:rPr>
          <w:lang w:val="lt-LT" w:eastAsia="lt-LT"/>
        </w:rPr>
        <w:t>atsakomybė,</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keleiviai,</w:t>
      </w:r>
      <w:r w:rsidRPr="0065344A">
        <w:rPr>
          <w:i/>
          <w:iCs/>
          <w:lang w:val="lt-LT" w:eastAsia="lt-LT"/>
        </w:rPr>
        <w:t xml:space="preserve"> </w:t>
      </w:r>
      <w:r w:rsidRPr="0065344A">
        <w:rPr>
          <w:lang w:val="lt-LT" w:eastAsia="lt-LT"/>
        </w:rPr>
        <w:t>bagažas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kroviniai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apdrausti.</w:t>
      </w:r>
      <w:r w:rsidRPr="0065344A">
        <w:rPr>
          <w:i/>
          <w:iCs/>
          <w:lang w:val="lt-LT" w:eastAsia="lt-LT"/>
        </w:rPr>
        <w:t xml:space="preserve"> </w:t>
      </w:r>
      <w:r>
        <w:rPr>
          <w:lang w:eastAsia="lt-LT"/>
        </w:rPr>
        <w:t>Minimalių</w:t>
      </w:r>
      <w:r>
        <w:rPr>
          <w:i/>
          <w:iCs/>
          <w:lang w:eastAsia="lt-LT"/>
        </w:rPr>
        <w:t xml:space="preserve"> </w:t>
      </w:r>
      <w:r>
        <w:rPr>
          <w:lang w:eastAsia="lt-LT"/>
        </w:rPr>
        <w:t>draudimo</w:t>
      </w:r>
      <w:r>
        <w:rPr>
          <w:i/>
          <w:iCs/>
          <w:lang w:eastAsia="lt-LT"/>
        </w:rPr>
        <w:t xml:space="preserve"> </w:t>
      </w:r>
      <w:r>
        <w:rPr>
          <w:lang w:eastAsia="lt-LT"/>
        </w:rPr>
        <w:t>sumų</w:t>
      </w:r>
      <w:r>
        <w:rPr>
          <w:i/>
          <w:iCs/>
          <w:lang w:eastAsia="lt-LT"/>
        </w:rPr>
        <w:t xml:space="preserve"> </w:t>
      </w:r>
      <w:r>
        <w:rPr>
          <w:lang w:eastAsia="lt-LT"/>
        </w:rPr>
        <w:t>dydžius</w:t>
      </w:r>
      <w:r>
        <w:rPr>
          <w:i/>
          <w:iCs/>
          <w:lang w:eastAsia="lt-LT"/>
        </w:rPr>
        <w:t xml:space="preserve"> </w:t>
      </w:r>
      <w:r>
        <w:rPr>
          <w:lang w:eastAsia="lt-LT"/>
        </w:rPr>
        <w:t>nustato</w:t>
      </w:r>
      <w:r>
        <w:rPr>
          <w:i/>
          <w:iCs/>
          <w:lang w:eastAsia="lt-LT"/>
        </w:rPr>
        <w:t xml:space="preserve"> </w:t>
      </w:r>
      <w:r>
        <w:rPr>
          <w:lang w:eastAsia="lt-LT"/>
        </w:rPr>
        <w:t>Vyriausybė</w:t>
      </w:r>
      <w:r>
        <w:rPr>
          <w:i/>
          <w:iCs/>
          <w:lang w:eastAsia="lt-LT"/>
        </w:rPr>
        <w:t xml:space="preserve"> </w:t>
      </w:r>
      <w:r>
        <w:rPr>
          <w:lang w:eastAsia="lt-LT"/>
        </w:rPr>
        <w:t>ar</w:t>
      </w:r>
      <w:r>
        <w:rPr>
          <w:i/>
          <w:iCs/>
          <w:lang w:eastAsia="lt-LT"/>
        </w:rPr>
        <w:t xml:space="preserve"> </w:t>
      </w:r>
      <w:r>
        <w:rPr>
          <w:lang w:eastAsia="lt-LT"/>
        </w:rPr>
        <w:t>jos</w:t>
      </w:r>
      <w:r>
        <w:rPr>
          <w:i/>
          <w:iCs/>
          <w:lang w:eastAsia="lt-LT"/>
        </w:rPr>
        <w:t xml:space="preserve"> </w:t>
      </w:r>
      <w:r>
        <w:rPr>
          <w:lang w:eastAsia="lt-LT"/>
        </w:rPr>
        <w:t>įgaliota</w:t>
      </w:r>
      <w:r>
        <w:rPr>
          <w:i/>
          <w:iCs/>
          <w:lang w:eastAsia="lt-LT"/>
        </w:rPr>
        <w:t xml:space="preserve"> </w:t>
      </w:r>
      <w:r>
        <w:rPr>
          <w:lang w:eastAsia="lt-LT"/>
        </w:rPr>
        <w:t>institucija.</w:t>
      </w:r>
      <w:r>
        <w:rPr>
          <w:i/>
          <w:iCs/>
          <w:lang w:eastAsia="lt-LT"/>
        </w:rPr>
        <w:t xml:space="preserve"> </w:t>
      </w:r>
    </w:p>
    <w:p w14:paraId="7BCE52B4" w14:textId="77777777" w:rsidR="00093845" w:rsidRDefault="000D779E">
      <w:pPr>
        <w:ind w:firstLine="993"/>
        <w:jc w:val="both"/>
        <w:rPr>
          <w:iCs/>
          <w:lang w:eastAsia="lt-LT"/>
        </w:rPr>
      </w:pPr>
      <w:r>
        <w:rPr>
          <w:iCs/>
          <w:lang w:eastAsia="lt-LT"/>
        </w:rPr>
        <w:t>Įmonės leidžiamiems atskaitymams nepriskiriamas įmonės vadovų, stebėtojų narių civilinės atsakomybės draudimas prieš trečiuosius asmenis nuo trečių šalių pretenzijų dėl klaidingų vadovavimo sprendimų ar netinkamo vadovavimo pareigų vykdymo.</w:t>
      </w:r>
    </w:p>
    <w:p w14:paraId="3547BE6D" w14:textId="77777777" w:rsidR="00093845" w:rsidRPr="0065344A" w:rsidRDefault="00F425B3">
      <w:pPr>
        <w:ind w:firstLine="720"/>
        <w:jc w:val="both"/>
        <w:rPr>
          <w:lang w:val="lt-LT"/>
        </w:rPr>
      </w:pPr>
      <w:r>
        <w:rPr>
          <w:iCs/>
          <w:lang w:val="lt-LT"/>
        </w:rPr>
        <w:t xml:space="preserve">    </w:t>
      </w:r>
      <w:r w:rsidR="000D779E">
        <w:rPr>
          <w:iCs/>
          <w:lang w:val="lt-LT"/>
        </w:rPr>
        <w:t>(Pakeistas 17 str. 1 dalies 6.23 punkto 3 papunktis VMI prie FM 2016-05-16 raštu Nr. (18.32-31-1E)</w:t>
      </w:r>
      <w:r>
        <w:rPr>
          <w:iCs/>
          <w:lang w:val="lt-LT"/>
        </w:rPr>
        <w:t xml:space="preserve"> </w:t>
      </w:r>
      <w:r w:rsidR="000D779E">
        <w:rPr>
          <w:iCs/>
          <w:lang w:val="lt-LT"/>
        </w:rPr>
        <w:t>RM-14067)</w:t>
      </w:r>
    </w:p>
    <w:p w14:paraId="1C6118F7" w14:textId="77777777" w:rsidR="00093845" w:rsidRPr="0065344A" w:rsidRDefault="000D779E">
      <w:pPr>
        <w:ind w:firstLine="993"/>
        <w:jc w:val="both"/>
        <w:rPr>
          <w:lang w:val="lt-LT" w:eastAsia="lt-LT"/>
        </w:rPr>
      </w:pPr>
      <w:r w:rsidRPr="0065344A">
        <w:rPr>
          <w:lang w:val="lt-LT" w:eastAsia="lt-LT"/>
        </w:rPr>
        <w:t>6.23.4.</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priemonių</w:t>
      </w:r>
      <w:r w:rsidRPr="0065344A">
        <w:rPr>
          <w:i/>
          <w:iCs/>
          <w:lang w:val="lt-LT" w:eastAsia="lt-LT"/>
        </w:rPr>
        <w:t xml:space="preserve"> </w:t>
      </w:r>
      <w:r w:rsidRPr="0065344A">
        <w:rPr>
          <w:lang w:val="lt-LT" w:eastAsia="lt-LT"/>
        </w:rPr>
        <w:t>savininkų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valdytojų</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priemonę</w:t>
      </w:r>
      <w:r w:rsidRPr="0065344A">
        <w:rPr>
          <w:i/>
          <w:iCs/>
          <w:lang w:val="lt-LT" w:eastAsia="lt-LT"/>
        </w:rPr>
        <w:t xml:space="preserve"> </w:t>
      </w:r>
      <w:r w:rsidRPr="0065344A">
        <w:rPr>
          <w:lang w:val="lt-LT" w:eastAsia="lt-LT"/>
        </w:rPr>
        <w:t>naudoja</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pajamoms</w:t>
      </w:r>
      <w:r w:rsidRPr="0065344A">
        <w:rPr>
          <w:i/>
          <w:iCs/>
          <w:lang w:val="lt-LT" w:eastAsia="lt-LT"/>
        </w:rPr>
        <w:t xml:space="preserve"> </w:t>
      </w:r>
      <w:r w:rsidRPr="0065344A">
        <w:rPr>
          <w:lang w:val="lt-LT" w:eastAsia="lt-LT"/>
        </w:rPr>
        <w:t>uždirbti.</w:t>
      </w:r>
    </w:p>
    <w:p w14:paraId="54078C81" w14:textId="77777777" w:rsidR="00093845" w:rsidRDefault="000D779E">
      <w:pPr>
        <w:ind w:firstLine="993"/>
        <w:jc w:val="both"/>
        <w:rPr>
          <w:lang w:eastAsia="lt-LT"/>
        </w:rPr>
      </w:pPr>
      <w:r w:rsidRPr="0065344A">
        <w:rPr>
          <w:lang w:val="lt-LT" w:eastAsia="lt-LT"/>
        </w:rPr>
        <w:t>Pagal</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naudojamos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pripažįstamos</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neatsižvelgiant</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liudijimo</w:t>
      </w:r>
      <w:r w:rsidRPr="0065344A">
        <w:rPr>
          <w:i/>
          <w:iCs/>
          <w:lang w:val="lt-LT" w:eastAsia="lt-LT"/>
        </w:rPr>
        <w:t xml:space="preserve"> </w:t>
      </w:r>
      <w:r w:rsidRPr="0065344A">
        <w:rPr>
          <w:lang w:val="lt-LT" w:eastAsia="lt-LT"/>
        </w:rPr>
        <w:t>(poliso)</w:t>
      </w:r>
      <w:r w:rsidRPr="0065344A">
        <w:rPr>
          <w:i/>
          <w:iCs/>
          <w:lang w:val="lt-LT" w:eastAsia="lt-LT"/>
        </w:rPr>
        <w:t xml:space="preserve"> </w:t>
      </w:r>
      <w:r w:rsidRPr="0065344A">
        <w:rPr>
          <w:lang w:val="lt-LT" w:eastAsia="lt-LT"/>
        </w:rPr>
        <w:t>eilutėje</w:t>
      </w:r>
      <w:r w:rsidRPr="0065344A">
        <w:rPr>
          <w:i/>
          <w:iCs/>
          <w:lang w:val="lt-LT" w:eastAsia="lt-LT"/>
        </w:rPr>
        <w:t xml:space="preserve"> „</w:t>
      </w:r>
      <w:r w:rsidRPr="0065344A">
        <w:rPr>
          <w:lang w:val="lt-LT" w:eastAsia="lt-LT"/>
        </w:rPr>
        <w:t>Draudėjas</w:t>
      </w:r>
      <w:r w:rsidRPr="0065344A">
        <w:rPr>
          <w:i/>
          <w:iCs/>
          <w:lang w:val="lt-LT" w:eastAsia="lt-LT"/>
        </w:rPr>
        <w:t xml:space="preserve">“ </w:t>
      </w:r>
      <w:r w:rsidRPr="0065344A">
        <w:rPr>
          <w:lang w:val="lt-LT" w:eastAsia="lt-LT"/>
        </w:rPr>
        <w:t>įrašytas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savininko,</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nuomininko,</w:t>
      </w:r>
      <w:r w:rsidRPr="0065344A">
        <w:rPr>
          <w:i/>
          <w:iCs/>
          <w:lang w:val="lt-LT" w:eastAsia="lt-LT"/>
        </w:rPr>
        <w:t xml:space="preserve"> </w:t>
      </w:r>
      <w:r w:rsidRPr="0065344A">
        <w:rPr>
          <w:lang w:val="lt-LT" w:eastAsia="lt-LT"/>
        </w:rPr>
        <w:t>apdraudusio</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priemonę,</w:t>
      </w:r>
      <w:r w:rsidRPr="0065344A">
        <w:rPr>
          <w:i/>
          <w:iCs/>
          <w:lang w:val="lt-LT" w:eastAsia="lt-LT"/>
        </w:rPr>
        <w:t xml:space="preserve"> </w:t>
      </w:r>
      <w:r w:rsidRPr="0065344A">
        <w:rPr>
          <w:lang w:val="lt-LT" w:eastAsia="lt-LT"/>
        </w:rPr>
        <w:t>duomenys.</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terminas</w:t>
      </w:r>
      <w:r w:rsidRPr="0065344A">
        <w:rPr>
          <w:i/>
          <w:iCs/>
          <w:lang w:val="lt-LT" w:eastAsia="lt-LT"/>
        </w:rPr>
        <w:t xml:space="preserve"> </w:t>
      </w:r>
      <w:r w:rsidRPr="0065344A">
        <w:rPr>
          <w:lang w:val="lt-LT" w:eastAsia="lt-LT"/>
        </w:rPr>
        <w:t>trumpesnis</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liudijimo</w:t>
      </w:r>
      <w:r w:rsidRPr="0065344A">
        <w:rPr>
          <w:i/>
          <w:iCs/>
          <w:lang w:val="lt-LT" w:eastAsia="lt-LT"/>
        </w:rPr>
        <w:t xml:space="preserve"> </w:t>
      </w:r>
      <w:r w:rsidRPr="0065344A">
        <w:rPr>
          <w:lang w:val="lt-LT" w:eastAsia="lt-LT"/>
        </w:rPr>
        <w:t>(poliso)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nustatytą</w:t>
      </w:r>
      <w:r w:rsidRPr="0065344A">
        <w:rPr>
          <w:i/>
          <w:iCs/>
          <w:lang w:val="lt-LT" w:eastAsia="lt-LT"/>
        </w:rPr>
        <w:t xml:space="preserve"> </w:t>
      </w:r>
      <w:r w:rsidRPr="0065344A">
        <w:rPr>
          <w:lang w:val="lt-LT" w:eastAsia="lt-LT"/>
        </w:rPr>
        <w:t>tos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laikotarpį</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nepasibaigus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civilinės</w:t>
      </w:r>
      <w:r w:rsidRPr="0065344A">
        <w:rPr>
          <w:i/>
          <w:iCs/>
          <w:lang w:val="lt-LT" w:eastAsia="lt-LT"/>
        </w:rPr>
        <w:t xml:space="preserve"> </w:t>
      </w:r>
      <w:r w:rsidRPr="0065344A">
        <w:rPr>
          <w:lang w:val="lt-LT" w:eastAsia="lt-LT"/>
        </w:rPr>
        <w:t>atsakomybės</w:t>
      </w:r>
      <w:r w:rsidRPr="0065344A">
        <w:rPr>
          <w:i/>
          <w:iCs/>
          <w:lang w:val="lt-LT" w:eastAsia="lt-LT"/>
        </w:rPr>
        <w:t xml:space="preserve"> </w:t>
      </w:r>
      <w:r w:rsidRPr="0065344A">
        <w:rPr>
          <w:lang w:val="lt-LT" w:eastAsia="lt-LT"/>
        </w:rPr>
        <w:t>privalomojo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laikotarpiui,</w:t>
      </w:r>
      <w:r w:rsidRPr="0065344A">
        <w:rPr>
          <w:i/>
          <w:iCs/>
          <w:lang w:val="lt-LT" w:eastAsia="lt-LT"/>
        </w:rPr>
        <w:t xml:space="preserve"> </w:t>
      </w:r>
      <w:r w:rsidRPr="0065344A">
        <w:rPr>
          <w:lang w:val="lt-LT" w:eastAsia="lt-LT"/>
        </w:rPr>
        <w:t>lizingo</w:t>
      </w:r>
      <w:r w:rsidRPr="0065344A">
        <w:rPr>
          <w:i/>
          <w:iCs/>
          <w:lang w:val="lt-LT" w:eastAsia="lt-LT"/>
        </w:rPr>
        <w:t xml:space="preserve"> </w:t>
      </w:r>
      <w:r w:rsidRPr="0065344A">
        <w:rPr>
          <w:lang w:val="lt-LT" w:eastAsia="lt-LT"/>
        </w:rPr>
        <w:t>(finansinės</w:t>
      </w:r>
      <w:r w:rsidRPr="0065344A">
        <w:rPr>
          <w:i/>
          <w:iCs/>
          <w:lang w:val="lt-LT" w:eastAsia="lt-LT"/>
        </w:rPr>
        <w:t xml:space="preserve"> </w:t>
      </w:r>
      <w:r w:rsidRPr="0065344A">
        <w:rPr>
          <w:lang w:val="lt-LT" w:eastAsia="lt-LT"/>
        </w:rPr>
        <w:t>nuomos)</w:t>
      </w:r>
      <w:r w:rsidRPr="0065344A">
        <w:rPr>
          <w:i/>
          <w:iCs/>
          <w:lang w:val="lt-LT" w:eastAsia="lt-LT"/>
        </w:rPr>
        <w:t xml:space="preserve"> </w:t>
      </w:r>
      <w:r w:rsidRPr="0065344A">
        <w:rPr>
          <w:lang w:val="lt-LT" w:eastAsia="lt-LT"/>
        </w:rPr>
        <w:t>sutartis</w:t>
      </w:r>
      <w:r w:rsidRPr="0065344A">
        <w:rPr>
          <w:i/>
          <w:iCs/>
          <w:lang w:val="lt-LT" w:eastAsia="lt-LT"/>
        </w:rPr>
        <w:t xml:space="preserve"> </w:t>
      </w:r>
      <w:r w:rsidRPr="0065344A">
        <w:rPr>
          <w:lang w:val="lt-LT" w:eastAsia="lt-LT"/>
        </w:rPr>
        <w:t>nutraukiama,</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(premijos)</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proporcingai</w:t>
      </w:r>
      <w:r w:rsidRPr="0065344A">
        <w:rPr>
          <w:i/>
          <w:iCs/>
          <w:lang w:val="lt-LT" w:eastAsia="lt-LT"/>
        </w:rPr>
        <w:t xml:space="preserve"> </w:t>
      </w:r>
      <w:r w:rsidRPr="0065344A">
        <w:rPr>
          <w:lang w:val="lt-LT" w:eastAsia="lt-LT"/>
        </w:rPr>
        <w:t>tenkanti</w:t>
      </w:r>
      <w:r w:rsidRPr="0065344A">
        <w:rPr>
          <w:i/>
          <w:iCs/>
          <w:lang w:val="lt-LT" w:eastAsia="lt-LT"/>
        </w:rPr>
        <w:t xml:space="preserve"> </w:t>
      </w:r>
      <w:r w:rsidRPr="0065344A">
        <w:rPr>
          <w:lang w:val="lt-LT" w:eastAsia="lt-LT"/>
        </w:rPr>
        <w:t>nuomotos</w:t>
      </w:r>
      <w:r w:rsidRPr="0065344A">
        <w:rPr>
          <w:i/>
          <w:iCs/>
          <w:lang w:val="lt-LT" w:eastAsia="lt-LT"/>
        </w:rPr>
        <w:t xml:space="preserve"> </w:t>
      </w:r>
      <w:r w:rsidRPr="0065344A">
        <w:rPr>
          <w:lang w:val="lt-LT" w:eastAsia="lt-LT"/>
        </w:rPr>
        <w:t>transporto</w:t>
      </w:r>
      <w:r w:rsidRPr="0065344A">
        <w:rPr>
          <w:i/>
          <w:iCs/>
          <w:lang w:val="lt-LT" w:eastAsia="lt-LT"/>
        </w:rPr>
        <w:t xml:space="preserve"> </w:t>
      </w:r>
      <w:r w:rsidRPr="0065344A">
        <w:rPr>
          <w:lang w:val="lt-LT" w:eastAsia="lt-LT"/>
        </w:rPr>
        <w:t>priemonės</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laikotarpiui.</w:t>
      </w:r>
      <w:r w:rsidRPr="0065344A">
        <w:rPr>
          <w:i/>
          <w:iCs/>
          <w:lang w:val="lt-LT" w:eastAsia="lt-LT"/>
        </w:rPr>
        <w:t xml:space="preserve"> </w:t>
      </w:r>
      <w:r>
        <w:rPr>
          <w:lang w:eastAsia="lt-LT"/>
        </w:rPr>
        <w:t>Šioms</w:t>
      </w:r>
      <w:r>
        <w:rPr>
          <w:i/>
          <w:iCs/>
          <w:lang w:eastAsia="lt-LT"/>
        </w:rPr>
        <w:t xml:space="preserve"> </w:t>
      </w:r>
      <w:r>
        <w:rPr>
          <w:lang w:eastAsia="lt-LT"/>
        </w:rPr>
        <w:t>draudimo</w:t>
      </w:r>
      <w:r>
        <w:rPr>
          <w:i/>
          <w:iCs/>
          <w:lang w:eastAsia="lt-LT"/>
        </w:rPr>
        <w:t xml:space="preserve"> </w:t>
      </w:r>
      <w:r>
        <w:rPr>
          <w:lang w:eastAsia="lt-LT"/>
        </w:rPr>
        <w:t>sąnaudoms</w:t>
      </w:r>
      <w:r>
        <w:rPr>
          <w:i/>
          <w:iCs/>
          <w:lang w:eastAsia="lt-LT"/>
        </w:rPr>
        <w:t xml:space="preserve"> </w:t>
      </w:r>
      <w:r>
        <w:rPr>
          <w:lang w:eastAsia="lt-LT"/>
        </w:rPr>
        <w:t>pagrįsti</w:t>
      </w:r>
      <w:r>
        <w:rPr>
          <w:i/>
          <w:iCs/>
          <w:lang w:eastAsia="lt-LT"/>
        </w:rPr>
        <w:t xml:space="preserve"> </w:t>
      </w:r>
      <w:r>
        <w:rPr>
          <w:lang w:eastAsia="lt-LT"/>
        </w:rPr>
        <w:t>nuomininkas</w:t>
      </w:r>
      <w:r>
        <w:rPr>
          <w:i/>
          <w:iCs/>
          <w:lang w:eastAsia="lt-LT"/>
        </w:rPr>
        <w:t xml:space="preserve"> </w:t>
      </w:r>
      <w:r>
        <w:rPr>
          <w:lang w:eastAsia="lt-LT"/>
        </w:rPr>
        <w:t>turi</w:t>
      </w:r>
      <w:r>
        <w:rPr>
          <w:i/>
          <w:iCs/>
          <w:lang w:eastAsia="lt-LT"/>
        </w:rPr>
        <w:t xml:space="preserve"> </w:t>
      </w:r>
      <w:r>
        <w:rPr>
          <w:lang w:eastAsia="lt-LT"/>
        </w:rPr>
        <w:t>turėti</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(poliso)</w:t>
      </w:r>
      <w:r>
        <w:rPr>
          <w:i/>
          <w:iCs/>
          <w:lang w:eastAsia="lt-LT"/>
        </w:rPr>
        <w:t xml:space="preserve"> </w:t>
      </w:r>
      <w:r>
        <w:rPr>
          <w:lang w:eastAsia="lt-LT"/>
        </w:rPr>
        <w:t>kopiją.</w:t>
      </w:r>
    </w:p>
    <w:p w14:paraId="40A6035C" w14:textId="77777777" w:rsidR="00093845" w:rsidRDefault="000D779E">
      <w:pPr>
        <w:ind w:firstLine="993"/>
        <w:jc w:val="both"/>
        <w:rPr>
          <w:lang w:eastAsia="lt-LT"/>
        </w:rPr>
      </w:pPr>
      <w:r>
        <w:rPr>
          <w:lang w:eastAsia="lt-LT"/>
        </w:rPr>
        <w:t>6.23.5.</w:t>
      </w:r>
      <w:r>
        <w:rPr>
          <w:i/>
          <w:iCs/>
          <w:lang w:eastAsia="lt-LT"/>
        </w:rPr>
        <w:t xml:space="preserve"> </w:t>
      </w:r>
      <w:r>
        <w:rPr>
          <w:lang w:eastAsia="lt-LT"/>
        </w:rPr>
        <w:t>Kartais</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draudžia</w:t>
      </w:r>
      <w:r>
        <w:rPr>
          <w:i/>
          <w:iCs/>
          <w:lang w:eastAsia="lt-LT"/>
        </w:rPr>
        <w:t xml:space="preserve"> </w:t>
      </w:r>
      <w:r>
        <w:rPr>
          <w:lang w:eastAsia="lt-LT"/>
        </w:rPr>
        <w:t>savo</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turtą,</w:t>
      </w:r>
      <w:r>
        <w:rPr>
          <w:i/>
          <w:iCs/>
          <w:lang w:eastAsia="lt-LT"/>
        </w:rPr>
        <w:t xml:space="preserve"> </w:t>
      </w:r>
      <w:r>
        <w:rPr>
          <w:lang w:eastAsia="lt-LT"/>
        </w:rPr>
        <w:t>draudimo</w:t>
      </w:r>
      <w:r>
        <w:rPr>
          <w:i/>
          <w:iCs/>
          <w:lang w:eastAsia="lt-LT"/>
        </w:rPr>
        <w:t xml:space="preserve"> </w:t>
      </w:r>
      <w:r>
        <w:rPr>
          <w:lang w:eastAsia="lt-LT"/>
        </w:rPr>
        <w:t>įmonei</w:t>
      </w:r>
      <w:r>
        <w:rPr>
          <w:i/>
          <w:iCs/>
          <w:lang w:eastAsia="lt-LT"/>
        </w:rPr>
        <w:t xml:space="preserve"> </w:t>
      </w:r>
      <w:r>
        <w:rPr>
          <w:lang w:eastAsia="lt-LT"/>
        </w:rPr>
        <w:t>apmokėdamos</w:t>
      </w:r>
      <w:r>
        <w:rPr>
          <w:i/>
          <w:iCs/>
          <w:lang w:eastAsia="lt-LT"/>
        </w:rPr>
        <w:t xml:space="preserve"> </w:t>
      </w:r>
      <w:r>
        <w:rPr>
          <w:lang w:eastAsia="lt-LT"/>
        </w:rPr>
        <w:t>visą</w:t>
      </w:r>
      <w:r>
        <w:rPr>
          <w:i/>
          <w:iCs/>
          <w:lang w:eastAsia="lt-LT"/>
        </w:rPr>
        <w:t xml:space="preserve"> </w:t>
      </w:r>
      <w:r>
        <w:rPr>
          <w:lang w:eastAsia="lt-LT"/>
        </w:rPr>
        <w:t>draudimo</w:t>
      </w:r>
      <w:r>
        <w:rPr>
          <w:i/>
          <w:iCs/>
          <w:lang w:eastAsia="lt-LT"/>
        </w:rPr>
        <w:t xml:space="preserve"> </w:t>
      </w:r>
      <w:r>
        <w:rPr>
          <w:lang w:eastAsia="lt-LT"/>
        </w:rPr>
        <w:t>sumą.</w:t>
      </w:r>
      <w:r>
        <w:rPr>
          <w:i/>
          <w:iCs/>
          <w:lang w:eastAsia="lt-LT"/>
        </w:rPr>
        <w:t xml:space="preserve"> </w:t>
      </w:r>
      <w:r>
        <w:rPr>
          <w:lang w:eastAsia="lt-LT"/>
        </w:rPr>
        <w:t>Draudimo</w:t>
      </w:r>
      <w:r>
        <w:rPr>
          <w:i/>
          <w:iCs/>
          <w:lang w:eastAsia="lt-LT"/>
        </w:rPr>
        <w:t xml:space="preserve"> </w:t>
      </w:r>
      <w:r>
        <w:rPr>
          <w:lang w:eastAsia="lt-LT"/>
        </w:rPr>
        <w:t>liudijime</w:t>
      </w:r>
      <w:r>
        <w:rPr>
          <w:i/>
          <w:iCs/>
          <w:lang w:eastAsia="lt-LT"/>
        </w:rPr>
        <w:t xml:space="preserve"> </w:t>
      </w:r>
      <w:r>
        <w:rPr>
          <w:lang w:eastAsia="lt-LT"/>
        </w:rPr>
        <w:t>nurodoma,</w:t>
      </w:r>
      <w:r>
        <w:rPr>
          <w:i/>
          <w:iCs/>
          <w:lang w:eastAsia="lt-LT"/>
        </w:rPr>
        <w:t xml:space="preserve"> </w:t>
      </w:r>
      <w:r>
        <w:rPr>
          <w:lang w:eastAsia="lt-LT"/>
        </w:rPr>
        <w:t>kad</w:t>
      </w:r>
      <w:r>
        <w:rPr>
          <w:i/>
          <w:iCs/>
          <w:lang w:eastAsia="lt-LT"/>
        </w:rPr>
        <w:t xml:space="preserve"> </w:t>
      </w:r>
      <w:r>
        <w:rPr>
          <w:lang w:eastAsia="lt-LT"/>
        </w:rPr>
        <w:t>pagrindinis</w:t>
      </w:r>
      <w:r>
        <w:rPr>
          <w:i/>
          <w:iCs/>
          <w:lang w:eastAsia="lt-LT"/>
        </w:rPr>
        <w:t xml:space="preserve"> </w:t>
      </w:r>
      <w:r>
        <w:rPr>
          <w:lang w:eastAsia="lt-LT"/>
        </w:rPr>
        <w:t>draudėjas</w:t>
      </w:r>
      <w:r>
        <w:rPr>
          <w:i/>
          <w:iCs/>
          <w:lang w:eastAsia="lt-LT"/>
        </w:rPr>
        <w:t xml:space="preserve"> </w:t>
      </w:r>
      <w:r>
        <w:rPr>
          <w:lang w:eastAsia="lt-LT"/>
        </w:rPr>
        <w:t>yra</w:t>
      </w:r>
      <w:r>
        <w:rPr>
          <w:i/>
          <w:iCs/>
          <w:lang w:eastAsia="lt-LT"/>
        </w:rPr>
        <w:t xml:space="preserve"> </w:t>
      </w:r>
      <w:r>
        <w:rPr>
          <w:lang w:eastAsia="lt-LT"/>
        </w:rPr>
        <w:t>patronuojanti</w:t>
      </w:r>
      <w:r>
        <w:rPr>
          <w:i/>
          <w:iCs/>
          <w:lang w:eastAsia="lt-LT"/>
        </w:rPr>
        <w:t xml:space="preserve"> </w:t>
      </w:r>
      <w:r>
        <w:rPr>
          <w:lang w:eastAsia="lt-LT"/>
        </w:rPr>
        <w:t>įmonė,</w:t>
      </w:r>
      <w:r>
        <w:rPr>
          <w:i/>
          <w:iCs/>
          <w:lang w:eastAsia="lt-LT"/>
        </w:rPr>
        <w:t xml:space="preserve"> </w:t>
      </w:r>
      <w:r>
        <w:rPr>
          <w:lang w:eastAsia="lt-LT"/>
        </w:rPr>
        <w:t>o</w:t>
      </w:r>
      <w:r>
        <w:rPr>
          <w:i/>
          <w:iCs/>
          <w:lang w:eastAsia="lt-LT"/>
        </w:rPr>
        <w:t xml:space="preserve"> </w:t>
      </w:r>
      <w:r>
        <w:rPr>
          <w:lang w:eastAsia="lt-LT"/>
        </w:rPr>
        <w:t>papildomi</w:t>
      </w:r>
      <w:r>
        <w:rPr>
          <w:i/>
          <w:iCs/>
          <w:lang w:eastAsia="lt-LT"/>
        </w:rPr>
        <w:t xml:space="preserve"> </w:t>
      </w:r>
      <w:r>
        <w:rPr>
          <w:lang w:eastAsia="lt-LT"/>
        </w:rPr>
        <w:t>draudėjai</w:t>
      </w:r>
      <w:r>
        <w:rPr>
          <w:i/>
          <w:iCs/>
          <w:lang w:eastAsia="lt-LT"/>
        </w:rPr>
        <w:t xml:space="preserve"> </w:t>
      </w:r>
      <w:r>
        <w:rPr>
          <w:lang w:eastAsia="lt-LT"/>
        </w:rPr>
        <w:t>–</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Patronuojanti</w:t>
      </w:r>
      <w:r>
        <w:rPr>
          <w:i/>
          <w:iCs/>
          <w:lang w:eastAsia="lt-LT"/>
        </w:rPr>
        <w:t xml:space="preserve"> </w:t>
      </w:r>
      <w:r>
        <w:rPr>
          <w:lang w:eastAsia="lt-LT"/>
        </w:rPr>
        <w:t>įmonė</w:t>
      </w:r>
      <w:r>
        <w:rPr>
          <w:i/>
          <w:iCs/>
          <w:lang w:eastAsia="lt-LT"/>
        </w:rPr>
        <w:t xml:space="preserve"> </w:t>
      </w:r>
      <w:r>
        <w:rPr>
          <w:lang w:eastAsia="lt-LT"/>
        </w:rPr>
        <w:t>ir</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pasirašo</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įgalioja</w:t>
      </w:r>
      <w:r>
        <w:rPr>
          <w:i/>
          <w:iCs/>
          <w:lang w:eastAsia="lt-LT"/>
        </w:rPr>
        <w:t xml:space="preserve"> </w:t>
      </w:r>
      <w:r>
        <w:rPr>
          <w:lang w:eastAsia="lt-LT"/>
        </w:rPr>
        <w:t>patronuojančią</w:t>
      </w:r>
      <w:r>
        <w:rPr>
          <w:i/>
          <w:iCs/>
          <w:lang w:eastAsia="lt-LT"/>
        </w:rPr>
        <w:t xml:space="preserve"> </w:t>
      </w:r>
      <w:r>
        <w:rPr>
          <w:lang w:eastAsia="lt-LT"/>
        </w:rPr>
        <w:t>įmonę</w:t>
      </w:r>
      <w:r>
        <w:rPr>
          <w:i/>
          <w:iCs/>
          <w:lang w:eastAsia="lt-LT"/>
        </w:rPr>
        <w:t xml:space="preserve"> </w:t>
      </w:r>
      <w:r>
        <w:rPr>
          <w:lang w:eastAsia="lt-LT"/>
        </w:rPr>
        <w:t>pasirašyti</w:t>
      </w:r>
      <w:r>
        <w:rPr>
          <w:i/>
          <w:iCs/>
          <w:lang w:eastAsia="lt-LT"/>
        </w:rPr>
        <w:t xml:space="preserve"> </w:t>
      </w:r>
      <w:r>
        <w:rPr>
          <w:lang w:eastAsia="lt-LT"/>
        </w:rPr>
        <w:t>draudimo</w:t>
      </w:r>
      <w:r>
        <w:rPr>
          <w:i/>
          <w:iCs/>
          <w:lang w:eastAsia="lt-LT"/>
        </w:rPr>
        <w:t xml:space="preserve"> </w:t>
      </w:r>
      <w:r>
        <w:rPr>
          <w:lang w:eastAsia="lt-LT"/>
        </w:rPr>
        <w:t>liudijimą</w:t>
      </w:r>
      <w:r>
        <w:rPr>
          <w:i/>
          <w:iCs/>
          <w:lang w:eastAsia="lt-LT"/>
        </w:rPr>
        <w:t xml:space="preserve"> </w:t>
      </w:r>
      <w:r>
        <w:rPr>
          <w:lang w:eastAsia="lt-LT"/>
        </w:rPr>
        <w:t>ir</w:t>
      </w:r>
      <w:r>
        <w:rPr>
          <w:i/>
          <w:iCs/>
          <w:lang w:eastAsia="lt-LT"/>
        </w:rPr>
        <w:t xml:space="preserve"> </w:t>
      </w:r>
      <w:r>
        <w:rPr>
          <w:lang w:eastAsia="lt-LT"/>
        </w:rPr>
        <w:t>įsipareigoja</w:t>
      </w:r>
      <w:r>
        <w:rPr>
          <w:i/>
          <w:iCs/>
          <w:lang w:eastAsia="lt-LT"/>
        </w:rPr>
        <w:t xml:space="preserve"> </w:t>
      </w:r>
      <w:r>
        <w:rPr>
          <w:lang w:eastAsia="lt-LT"/>
        </w:rPr>
        <w:t>kompensuoti</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už</w:t>
      </w:r>
      <w:r>
        <w:rPr>
          <w:i/>
          <w:iCs/>
          <w:lang w:eastAsia="lt-LT"/>
        </w:rPr>
        <w:t xml:space="preserve"> </w:t>
      </w:r>
      <w:r>
        <w:rPr>
          <w:lang w:eastAsia="lt-LT"/>
        </w:rPr>
        <w:t>jas</w:t>
      </w:r>
      <w:r>
        <w:rPr>
          <w:i/>
          <w:iCs/>
          <w:lang w:eastAsia="lt-LT"/>
        </w:rPr>
        <w:t xml:space="preserve"> </w:t>
      </w:r>
      <w:r>
        <w:rPr>
          <w:lang w:eastAsia="lt-LT"/>
        </w:rPr>
        <w:t>sumokėtą</w:t>
      </w:r>
      <w:r>
        <w:rPr>
          <w:i/>
          <w:iCs/>
          <w:lang w:eastAsia="lt-LT"/>
        </w:rPr>
        <w:t xml:space="preserve"> </w:t>
      </w:r>
      <w:r>
        <w:rPr>
          <w:lang w:eastAsia="lt-LT"/>
        </w:rPr>
        <w:t>draudimo</w:t>
      </w:r>
      <w:r>
        <w:rPr>
          <w:i/>
          <w:iCs/>
          <w:lang w:eastAsia="lt-LT"/>
        </w:rPr>
        <w:t xml:space="preserve"> </w:t>
      </w:r>
      <w:r>
        <w:rPr>
          <w:lang w:eastAsia="lt-LT"/>
        </w:rPr>
        <w:t>įmoką.</w:t>
      </w:r>
      <w:r>
        <w:rPr>
          <w:i/>
          <w:iCs/>
          <w:lang w:eastAsia="lt-LT"/>
        </w:rPr>
        <w:t xml:space="preserve"> </w:t>
      </w:r>
      <w:r>
        <w:rPr>
          <w:lang w:eastAsia="lt-LT"/>
        </w:rPr>
        <w:t>Draudimo</w:t>
      </w:r>
      <w:r>
        <w:rPr>
          <w:i/>
          <w:iCs/>
          <w:lang w:eastAsia="lt-LT"/>
        </w:rPr>
        <w:t xml:space="preserve"> </w:t>
      </w:r>
      <w:r>
        <w:rPr>
          <w:lang w:eastAsia="lt-LT"/>
        </w:rPr>
        <w:t>polise</w:t>
      </w:r>
      <w:r>
        <w:rPr>
          <w:i/>
          <w:iCs/>
          <w:lang w:eastAsia="lt-LT"/>
        </w:rPr>
        <w:t xml:space="preserve"> </w:t>
      </w:r>
      <w:r>
        <w:rPr>
          <w:lang w:eastAsia="lt-LT"/>
        </w:rPr>
        <w:t>atskirai</w:t>
      </w:r>
      <w:r>
        <w:rPr>
          <w:i/>
          <w:iCs/>
          <w:lang w:eastAsia="lt-LT"/>
        </w:rPr>
        <w:t xml:space="preserve"> </w:t>
      </w:r>
      <w:r>
        <w:rPr>
          <w:lang w:eastAsia="lt-LT"/>
        </w:rPr>
        <w:t>nurodoma</w:t>
      </w:r>
      <w:r>
        <w:rPr>
          <w:i/>
          <w:iCs/>
          <w:lang w:eastAsia="lt-LT"/>
        </w:rPr>
        <w:t xml:space="preserve"> </w:t>
      </w:r>
      <w:r>
        <w:rPr>
          <w:lang w:eastAsia="lt-LT"/>
        </w:rPr>
        <w:t>dukterinėms</w:t>
      </w:r>
      <w:r>
        <w:rPr>
          <w:i/>
          <w:iCs/>
          <w:lang w:eastAsia="lt-LT"/>
        </w:rPr>
        <w:t xml:space="preserve"> </w:t>
      </w:r>
      <w:r>
        <w:rPr>
          <w:lang w:eastAsia="lt-LT"/>
        </w:rPr>
        <w:t>įmonėms</w:t>
      </w:r>
      <w:r>
        <w:rPr>
          <w:i/>
          <w:iCs/>
          <w:lang w:eastAsia="lt-LT"/>
        </w:rPr>
        <w:t xml:space="preserve"> </w:t>
      </w:r>
      <w:r>
        <w:rPr>
          <w:lang w:eastAsia="lt-LT"/>
        </w:rPr>
        <w:t>priklausančio</w:t>
      </w:r>
      <w:r>
        <w:rPr>
          <w:i/>
          <w:iCs/>
          <w:lang w:eastAsia="lt-LT"/>
        </w:rPr>
        <w:t xml:space="preserve"> </w:t>
      </w:r>
      <w:r>
        <w:rPr>
          <w:lang w:eastAsia="lt-LT"/>
        </w:rPr>
        <w:t>turto</w:t>
      </w:r>
      <w:r>
        <w:rPr>
          <w:i/>
          <w:iCs/>
          <w:lang w:eastAsia="lt-LT"/>
        </w:rPr>
        <w:t xml:space="preserve"> </w:t>
      </w:r>
      <w:r>
        <w:rPr>
          <w:lang w:eastAsia="lt-LT"/>
        </w:rPr>
        <w:t>kaina</w:t>
      </w:r>
      <w:r>
        <w:rPr>
          <w:i/>
          <w:iCs/>
          <w:lang w:eastAsia="lt-LT"/>
        </w:rPr>
        <w:t xml:space="preserve"> </w:t>
      </w:r>
      <w:r>
        <w:rPr>
          <w:lang w:eastAsia="lt-LT"/>
        </w:rPr>
        <w:t>ir</w:t>
      </w:r>
      <w:r>
        <w:rPr>
          <w:i/>
          <w:iCs/>
          <w:lang w:eastAsia="lt-LT"/>
        </w:rPr>
        <w:t xml:space="preserve"> </w:t>
      </w:r>
      <w:r>
        <w:rPr>
          <w:lang w:eastAsia="lt-LT"/>
        </w:rPr>
        <w:t>priklausančios</w:t>
      </w:r>
      <w:r>
        <w:rPr>
          <w:i/>
          <w:iCs/>
          <w:lang w:eastAsia="lt-LT"/>
        </w:rPr>
        <w:t xml:space="preserve"> </w:t>
      </w:r>
      <w:r>
        <w:rPr>
          <w:lang w:eastAsia="lt-LT"/>
        </w:rPr>
        <w:t>sumokėti</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dalis.</w:t>
      </w:r>
      <w:r>
        <w:rPr>
          <w:i/>
          <w:iCs/>
          <w:lang w:eastAsia="lt-LT"/>
        </w:rPr>
        <w:t xml:space="preserve"> </w:t>
      </w:r>
      <w:r>
        <w:rPr>
          <w:lang w:eastAsia="lt-LT"/>
        </w:rPr>
        <w:t>Kadangi</w:t>
      </w:r>
      <w:r>
        <w:rPr>
          <w:i/>
          <w:iCs/>
          <w:lang w:eastAsia="lt-LT"/>
        </w:rPr>
        <w:t xml:space="preserve"> </w:t>
      </w:r>
      <w:r>
        <w:rPr>
          <w:lang w:eastAsia="lt-LT"/>
        </w:rPr>
        <w:t>naudos</w:t>
      </w:r>
      <w:r>
        <w:rPr>
          <w:i/>
          <w:iCs/>
          <w:lang w:eastAsia="lt-LT"/>
        </w:rPr>
        <w:t xml:space="preserve"> </w:t>
      </w:r>
      <w:r>
        <w:rPr>
          <w:lang w:eastAsia="lt-LT"/>
        </w:rPr>
        <w:t>gavėjai</w:t>
      </w:r>
      <w:r>
        <w:rPr>
          <w:i/>
          <w:iCs/>
          <w:lang w:eastAsia="lt-LT"/>
        </w:rPr>
        <w:t xml:space="preserve"> </w:t>
      </w:r>
      <w:r>
        <w:rPr>
          <w:lang w:eastAsia="lt-LT"/>
        </w:rPr>
        <w:t>yra</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(jos</w:t>
      </w:r>
      <w:r>
        <w:rPr>
          <w:i/>
          <w:iCs/>
          <w:lang w:eastAsia="lt-LT"/>
        </w:rPr>
        <w:t xml:space="preserve"> </w:t>
      </w:r>
      <w:r>
        <w:rPr>
          <w:lang w:eastAsia="lt-LT"/>
        </w:rPr>
        <w:t>gauna</w:t>
      </w:r>
      <w:r>
        <w:rPr>
          <w:i/>
          <w:iCs/>
          <w:lang w:eastAsia="lt-LT"/>
        </w:rPr>
        <w:t xml:space="preserve"> </w:t>
      </w:r>
      <w:r>
        <w:rPr>
          <w:lang w:eastAsia="lt-LT"/>
        </w:rPr>
        <w:t>draudimo</w:t>
      </w:r>
      <w:r>
        <w:rPr>
          <w:i/>
          <w:iCs/>
          <w:lang w:eastAsia="lt-LT"/>
        </w:rPr>
        <w:t xml:space="preserve"> </w:t>
      </w:r>
      <w:r>
        <w:rPr>
          <w:lang w:eastAsia="lt-LT"/>
        </w:rPr>
        <w:t>išmokas,</w:t>
      </w:r>
      <w:r>
        <w:rPr>
          <w:i/>
          <w:iCs/>
          <w:lang w:eastAsia="lt-LT"/>
        </w:rPr>
        <w:t xml:space="preserve"> </w:t>
      </w:r>
      <w:r>
        <w:rPr>
          <w:lang w:eastAsia="lt-LT"/>
        </w:rPr>
        <w:t>įvykus</w:t>
      </w:r>
      <w:r>
        <w:rPr>
          <w:i/>
          <w:iCs/>
          <w:lang w:eastAsia="lt-LT"/>
        </w:rPr>
        <w:t xml:space="preserve"> </w:t>
      </w:r>
      <w:r>
        <w:rPr>
          <w:lang w:eastAsia="lt-LT"/>
        </w:rPr>
        <w:t>draudiminiam</w:t>
      </w:r>
      <w:r>
        <w:rPr>
          <w:i/>
          <w:iCs/>
          <w:lang w:eastAsia="lt-LT"/>
        </w:rPr>
        <w:t xml:space="preserve"> </w:t>
      </w:r>
      <w:r>
        <w:rPr>
          <w:lang w:eastAsia="lt-LT"/>
        </w:rPr>
        <w:t>įvykiui),</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už</w:t>
      </w:r>
      <w:r>
        <w:rPr>
          <w:i/>
          <w:iCs/>
          <w:lang w:eastAsia="lt-LT"/>
        </w:rPr>
        <w:t xml:space="preserve"> </w:t>
      </w:r>
      <w:r>
        <w:rPr>
          <w:lang w:eastAsia="lt-LT"/>
        </w:rPr>
        <w:t>dukterines</w:t>
      </w:r>
      <w:r>
        <w:rPr>
          <w:i/>
          <w:iCs/>
          <w:lang w:eastAsia="lt-LT"/>
        </w:rPr>
        <w:t xml:space="preserve"> </w:t>
      </w:r>
      <w:r>
        <w:rPr>
          <w:lang w:eastAsia="lt-LT"/>
        </w:rPr>
        <w:t>įmones</w:t>
      </w:r>
      <w:r>
        <w:rPr>
          <w:i/>
          <w:iCs/>
          <w:lang w:eastAsia="lt-LT"/>
        </w:rPr>
        <w:t xml:space="preserve"> </w:t>
      </w:r>
      <w:r>
        <w:rPr>
          <w:lang w:eastAsia="lt-LT"/>
        </w:rPr>
        <w:t>sumokėtos</w:t>
      </w:r>
      <w:r>
        <w:rPr>
          <w:i/>
          <w:iCs/>
          <w:lang w:eastAsia="lt-LT"/>
        </w:rPr>
        <w:t xml:space="preserve"> </w:t>
      </w:r>
      <w:r>
        <w:rPr>
          <w:lang w:eastAsia="lt-LT"/>
        </w:rPr>
        <w:t>draudimo</w:t>
      </w:r>
      <w:r>
        <w:rPr>
          <w:i/>
          <w:iCs/>
          <w:lang w:eastAsia="lt-LT"/>
        </w:rPr>
        <w:t xml:space="preserve"> </w:t>
      </w:r>
      <w:r>
        <w:rPr>
          <w:lang w:eastAsia="lt-LT"/>
        </w:rPr>
        <w:t>sumos</w:t>
      </w:r>
      <w:r>
        <w:rPr>
          <w:i/>
          <w:iCs/>
          <w:lang w:eastAsia="lt-LT"/>
        </w:rPr>
        <w:t xml:space="preserve"> </w:t>
      </w:r>
      <w:r>
        <w:rPr>
          <w:lang w:eastAsia="lt-LT"/>
        </w:rPr>
        <w:t>nepriskiriamos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o</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grąžintos</w:t>
      </w:r>
      <w:r>
        <w:rPr>
          <w:i/>
          <w:iCs/>
          <w:lang w:eastAsia="lt-LT"/>
        </w:rPr>
        <w:t xml:space="preserve"> </w:t>
      </w:r>
      <w:r>
        <w:rPr>
          <w:lang w:eastAsia="lt-LT"/>
        </w:rPr>
        <w:t>sumos</w:t>
      </w:r>
      <w:r>
        <w:rPr>
          <w:i/>
          <w:iCs/>
          <w:lang w:eastAsia="lt-LT"/>
        </w:rPr>
        <w:t xml:space="preserve"> </w:t>
      </w:r>
      <w:r>
        <w:rPr>
          <w:lang w:eastAsia="lt-LT"/>
        </w:rPr>
        <w:lastRenderedPageBreak/>
        <w:t>nepriskiriamos</w:t>
      </w:r>
      <w:r>
        <w:rPr>
          <w:i/>
          <w:iCs/>
          <w:lang w:eastAsia="lt-LT"/>
        </w:rPr>
        <w:t xml:space="preserve"> </w:t>
      </w:r>
      <w:r>
        <w:rPr>
          <w:lang w:eastAsia="lt-LT"/>
        </w:rPr>
        <w:t>pajamoms.</w:t>
      </w:r>
      <w:r>
        <w:rPr>
          <w:i/>
          <w:iCs/>
          <w:lang w:eastAsia="lt-LT"/>
        </w:rPr>
        <w:t xml:space="preserve"> </w:t>
      </w:r>
      <w:r>
        <w:rPr>
          <w:lang w:eastAsia="lt-LT"/>
        </w:rPr>
        <w:t>Tokiais</w:t>
      </w:r>
      <w:r>
        <w:rPr>
          <w:i/>
          <w:iCs/>
          <w:lang w:eastAsia="lt-LT"/>
        </w:rPr>
        <w:t xml:space="preserve"> </w:t>
      </w:r>
      <w:r>
        <w:rPr>
          <w:lang w:eastAsia="lt-LT"/>
        </w:rPr>
        <w:t>atvejais</w:t>
      </w:r>
      <w:r>
        <w:rPr>
          <w:i/>
          <w:iCs/>
          <w:lang w:eastAsia="lt-LT"/>
        </w:rPr>
        <w:t xml:space="preserve"> </w:t>
      </w:r>
      <w:r>
        <w:rPr>
          <w:lang w:eastAsia="lt-LT"/>
        </w:rPr>
        <w:t>laikoma,</w:t>
      </w:r>
      <w:r>
        <w:rPr>
          <w:i/>
          <w:iCs/>
          <w:lang w:eastAsia="lt-LT"/>
        </w:rPr>
        <w:t xml:space="preserve"> </w:t>
      </w:r>
      <w:r>
        <w:rPr>
          <w:lang w:eastAsia="lt-LT"/>
        </w:rPr>
        <w:t>kad</w:t>
      </w:r>
      <w:r>
        <w:rPr>
          <w:i/>
          <w:iCs/>
          <w:lang w:eastAsia="lt-LT"/>
        </w:rPr>
        <w:t xml:space="preserve"> </w:t>
      </w:r>
      <w:r>
        <w:rPr>
          <w:lang w:eastAsia="lt-LT"/>
        </w:rPr>
        <w:t>gautos</w:t>
      </w:r>
      <w:r>
        <w:rPr>
          <w:i/>
          <w:iCs/>
          <w:lang w:eastAsia="lt-LT"/>
        </w:rPr>
        <w:t xml:space="preserve"> </w:t>
      </w:r>
      <w:r>
        <w:rPr>
          <w:lang w:eastAsia="lt-LT"/>
        </w:rPr>
        <w:t>lėšos</w:t>
      </w:r>
      <w:r>
        <w:rPr>
          <w:i/>
          <w:iCs/>
          <w:lang w:eastAsia="lt-LT"/>
        </w:rPr>
        <w:t xml:space="preserve"> </w:t>
      </w:r>
      <w:r>
        <w:rPr>
          <w:lang w:eastAsia="lt-LT"/>
        </w:rPr>
        <w:t>tik</w:t>
      </w:r>
      <w:r>
        <w:rPr>
          <w:i/>
          <w:iCs/>
          <w:lang w:eastAsia="lt-LT"/>
        </w:rPr>
        <w:t xml:space="preserve"> </w:t>
      </w:r>
      <w:r>
        <w:rPr>
          <w:lang w:eastAsia="lt-LT"/>
        </w:rPr>
        <w:t>kompensuoja</w:t>
      </w:r>
      <w:r>
        <w:rPr>
          <w:i/>
          <w:iCs/>
          <w:lang w:eastAsia="lt-LT"/>
        </w:rPr>
        <w:t xml:space="preserve"> </w:t>
      </w:r>
      <w:r>
        <w:rPr>
          <w:lang w:eastAsia="lt-LT"/>
        </w:rPr>
        <w:t>patronuojančios</w:t>
      </w:r>
      <w:r>
        <w:rPr>
          <w:i/>
          <w:iCs/>
          <w:lang w:eastAsia="lt-LT"/>
        </w:rPr>
        <w:t xml:space="preserve"> </w:t>
      </w:r>
      <w:r>
        <w:rPr>
          <w:lang w:eastAsia="lt-LT"/>
        </w:rPr>
        <w:t>įmonės</w:t>
      </w:r>
      <w:r>
        <w:rPr>
          <w:i/>
          <w:iCs/>
          <w:lang w:eastAsia="lt-LT"/>
        </w:rPr>
        <w:t xml:space="preserve"> </w:t>
      </w:r>
      <w:r>
        <w:rPr>
          <w:lang w:eastAsia="lt-LT"/>
        </w:rPr>
        <w:t>išlaidas.</w:t>
      </w:r>
      <w:r>
        <w:rPr>
          <w:i/>
          <w:iCs/>
          <w:lang w:eastAsia="lt-LT"/>
        </w:rPr>
        <w:t xml:space="preserve"> </w:t>
      </w:r>
    </w:p>
    <w:p w14:paraId="3BDBB9BD" w14:textId="77777777" w:rsidR="00093845" w:rsidRDefault="000D779E">
      <w:pPr>
        <w:ind w:firstLine="993"/>
        <w:jc w:val="both"/>
        <w:rPr>
          <w:lang w:eastAsia="lt-LT"/>
        </w:rPr>
      </w:pPr>
      <w:r>
        <w:rPr>
          <w:lang w:eastAsia="lt-LT"/>
        </w:rPr>
        <w:t>Dukterinių</w:t>
      </w:r>
      <w:r>
        <w:rPr>
          <w:i/>
          <w:iCs/>
          <w:lang w:eastAsia="lt-LT"/>
        </w:rPr>
        <w:t xml:space="preserve"> </w:t>
      </w:r>
      <w:r>
        <w:rPr>
          <w:lang w:eastAsia="lt-LT"/>
        </w:rPr>
        <w:t>įmonių</w:t>
      </w:r>
      <w:r>
        <w:rPr>
          <w:i/>
          <w:iCs/>
          <w:lang w:eastAsia="lt-LT"/>
        </w:rPr>
        <w:t xml:space="preserve"> </w:t>
      </w:r>
      <w:r>
        <w:rPr>
          <w:lang w:eastAsia="lt-LT"/>
        </w:rPr>
        <w:t>patronuojančiai</w:t>
      </w:r>
      <w:r>
        <w:rPr>
          <w:i/>
          <w:iCs/>
          <w:lang w:eastAsia="lt-LT"/>
        </w:rPr>
        <w:t xml:space="preserve"> </w:t>
      </w:r>
      <w:r>
        <w:rPr>
          <w:lang w:eastAsia="lt-LT"/>
        </w:rPr>
        <w:t>įmonei</w:t>
      </w:r>
      <w:r>
        <w:rPr>
          <w:i/>
          <w:iCs/>
          <w:lang w:eastAsia="lt-LT"/>
        </w:rPr>
        <w:t xml:space="preserve"> </w:t>
      </w:r>
      <w:r>
        <w:rPr>
          <w:lang w:eastAsia="lt-LT"/>
        </w:rPr>
        <w:t>sumokėtos</w:t>
      </w:r>
      <w:r>
        <w:rPr>
          <w:i/>
          <w:iCs/>
          <w:lang w:eastAsia="lt-LT"/>
        </w:rPr>
        <w:t xml:space="preserve"> </w:t>
      </w:r>
      <w:r>
        <w:rPr>
          <w:lang w:eastAsia="lt-LT"/>
        </w:rPr>
        <w:t>patirtų</w:t>
      </w:r>
      <w:r>
        <w:rPr>
          <w:i/>
          <w:iCs/>
          <w:lang w:eastAsia="lt-LT"/>
        </w:rPr>
        <w:t xml:space="preserve"> </w:t>
      </w:r>
      <w:r>
        <w:rPr>
          <w:lang w:eastAsia="lt-LT"/>
        </w:rPr>
        <w:t>išlaidų</w:t>
      </w:r>
      <w:r>
        <w:rPr>
          <w:i/>
          <w:iCs/>
          <w:lang w:eastAsia="lt-LT"/>
        </w:rPr>
        <w:t xml:space="preserve"> </w:t>
      </w:r>
      <w:r>
        <w:rPr>
          <w:lang w:eastAsia="lt-LT"/>
        </w:rPr>
        <w:t>kompensavimo</w:t>
      </w:r>
      <w:r>
        <w:rPr>
          <w:i/>
          <w:iCs/>
          <w:lang w:eastAsia="lt-LT"/>
        </w:rPr>
        <w:t xml:space="preserve"> </w:t>
      </w:r>
      <w:r>
        <w:rPr>
          <w:lang w:eastAsia="lt-LT"/>
        </w:rPr>
        <w:t>sumos,</w:t>
      </w:r>
      <w:r>
        <w:rPr>
          <w:i/>
          <w:iCs/>
          <w:lang w:eastAsia="lt-LT"/>
        </w:rPr>
        <w:t xml:space="preserve"> </w:t>
      </w:r>
      <w:r>
        <w:rPr>
          <w:lang w:eastAsia="lt-LT"/>
        </w:rPr>
        <w:t>nustatant</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pripažįstamos</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pagal</w:t>
      </w:r>
      <w:r>
        <w:rPr>
          <w:i/>
          <w:iCs/>
          <w:lang w:eastAsia="lt-LT"/>
        </w:rPr>
        <w:t xml:space="preserve"> </w:t>
      </w:r>
      <w:r>
        <w:rPr>
          <w:lang w:eastAsia="lt-LT"/>
        </w:rPr>
        <w:t>jų</w:t>
      </w:r>
      <w:r>
        <w:rPr>
          <w:i/>
          <w:iCs/>
          <w:lang w:eastAsia="lt-LT"/>
        </w:rPr>
        <w:t xml:space="preserve"> </w:t>
      </w:r>
      <w:r>
        <w:rPr>
          <w:lang w:eastAsia="lt-LT"/>
        </w:rPr>
        <w:t>sumokėjimą</w:t>
      </w:r>
      <w:r>
        <w:rPr>
          <w:i/>
          <w:iCs/>
          <w:lang w:eastAsia="lt-LT"/>
        </w:rPr>
        <w:t xml:space="preserve"> </w:t>
      </w:r>
      <w:r>
        <w:rPr>
          <w:lang w:eastAsia="lt-LT"/>
        </w:rPr>
        <w:t>patvirtinančius</w:t>
      </w:r>
      <w:r>
        <w:rPr>
          <w:i/>
          <w:iCs/>
          <w:lang w:eastAsia="lt-LT"/>
        </w:rPr>
        <w:t xml:space="preserve"> </w:t>
      </w:r>
      <w:r>
        <w:rPr>
          <w:lang w:eastAsia="lt-LT"/>
        </w:rPr>
        <w:t>dokumentus,</w:t>
      </w:r>
      <w:r>
        <w:rPr>
          <w:i/>
          <w:iCs/>
          <w:lang w:eastAsia="lt-LT"/>
        </w:rPr>
        <w:t xml:space="preserve"> </w:t>
      </w:r>
      <w:r>
        <w:rPr>
          <w:lang w:eastAsia="lt-LT"/>
        </w:rPr>
        <w:t>kuriuose</w:t>
      </w:r>
      <w:r>
        <w:rPr>
          <w:i/>
          <w:iCs/>
          <w:lang w:eastAsia="lt-LT"/>
        </w:rPr>
        <w:t xml:space="preserve"> </w:t>
      </w:r>
      <w:r>
        <w:rPr>
          <w:lang w:eastAsia="lt-LT"/>
        </w:rPr>
        <w:t>nurodomas</w:t>
      </w:r>
      <w:r>
        <w:rPr>
          <w:i/>
          <w:iCs/>
          <w:lang w:eastAsia="lt-LT"/>
        </w:rPr>
        <w:t xml:space="preserve"> </w:t>
      </w:r>
      <w:r>
        <w:rPr>
          <w:lang w:eastAsia="lt-LT"/>
        </w:rPr>
        <w:t>draudimo</w:t>
      </w:r>
      <w:r>
        <w:rPr>
          <w:i/>
          <w:iCs/>
          <w:lang w:eastAsia="lt-LT"/>
        </w:rPr>
        <w:t xml:space="preserve"> </w:t>
      </w:r>
      <w:r>
        <w:rPr>
          <w:lang w:eastAsia="lt-LT"/>
        </w:rPr>
        <w:t>poliso</w:t>
      </w:r>
      <w:r>
        <w:rPr>
          <w:i/>
          <w:iCs/>
          <w:lang w:eastAsia="lt-LT"/>
        </w:rPr>
        <w:t xml:space="preserve"> </w:t>
      </w:r>
      <w:r>
        <w:rPr>
          <w:lang w:eastAsia="lt-LT"/>
        </w:rPr>
        <w:t>ir</w:t>
      </w:r>
      <w:r>
        <w:rPr>
          <w:i/>
          <w:iCs/>
          <w:lang w:eastAsia="lt-LT"/>
        </w:rPr>
        <w:t xml:space="preserve"> </w:t>
      </w:r>
      <w:r>
        <w:rPr>
          <w:lang w:eastAsia="lt-LT"/>
        </w:rPr>
        <w:t>sutarties</w:t>
      </w:r>
      <w:r>
        <w:rPr>
          <w:i/>
          <w:iCs/>
          <w:lang w:eastAsia="lt-LT"/>
        </w:rPr>
        <w:t xml:space="preserve"> </w:t>
      </w:r>
      <w:r>
        <w:rPr>
          <w:lang w:eastAsia="lt-LT"/>
        </w:rPr>
        <w:t>tarp</w:t>
      </w:r>
      <w:r>
        <w:rPr>
          <w:i/>
          <w:iCs/>
          <w:lang w:eastAsia="lt-LT"/>
        </w:rPr>
        <w:t xml:space="preserve"> </w:t>
      </w:r>
      <w:r>
        <w:rPr>
          <w:lang w:eastAsia="lt-LT"/>
        </w:rPr>
        <w:t>patronuojančios</w:t>
      </w:r>
      <w:r>
        <w:rPr>
          <w:i/>
          <w:iCs/>
          <w:lang w:eastAsia="lt-LT"/>
        </w:rPr>
        <w:t xml:space="preserve"> </w:t>
      </w:r>
      <w:r>
        <w:rPr>
          <w:lang w:eastAsia="lt-LT"/>
        </w:rPr>
        <w:t>ir</w:t>
      </w:r>
      <w:r>
        <w:rPr>
          <w:i/>
          <w:iCs/>
          <w:lang w:eastAsia="lt-LT"/>
        </w:rPr>
        <w:t xml:space="preserve"> </w:t>
      </w:r>
      <w:r>
        <w:rPr>
          <w:lang w:eastAsia="lt-LT"/>
        </w:rPr>
        <w:t>dukterinių</w:t>
      </w:r>
      <w:r>
        <w:rPr>
          <w:i/>
          <w:iCs/>
          <w:lang w:eastAsia="lt-LT"/>
        </w:rPr>
        <w:t xml:space="preserve"> </w:t>
      </w:r>
      <w:r>
        <w:rPr>
          <w:lang w:eastAsia="lt-LT"/>
        </w:rPr>
        <w:t>įmonių</w:t>
      </w:r>
      <w:r>
        <w:rPr>
          <w:i/>
          <w:iCs/>
          <w:lang w:eastAsia="lt-LT"/>
        </w:rPr>
        <w:t xml:space="preserve"> </w:t>
      </w:r>
      <w:r>
        <w:rPr>
          <w:lang w:eastAsia="lt-LT"/>
        </w:rPr>
        <w:t>numeriai</w:t>
      </w:r>
      <w:r>
        <w:rPr>
          <w:i/>
          <w:iCs/>
          <w:lang w:eastAsia="lt-LT"/>
        </w:rPr>
        <w:t xml:space="preserve"> </w:t>
      </w:r>
      <w:r>
        <w:rPr>
          <w:lang w:eastAsia="lt-LT"/>
        </w:rPr>
        <w:t>bei</w:t>
      </w:r>
      <w:r>
        <w:rPr>
          <w:i/>
          <w:iCs/>
          <w:lang w:eastAsia="lt-LT"/>
        </w:rPr>
        <w:t xml:space="preserve"> </w:t>
      </w:r>
      <w:r>
        <w:rPr>
          <w:lang w:eastAsia="lt-LT"/>
        </w:rPr>
        <w:t>datos.</w:t>
      </w:r>
      <w:r>
        <w:rPr>
          <w:i/>
          <w:iCs/>
          <w:lang w:eastAsia="lt-LT"/>
        </w:rPr>
        <w:t xml:space="preserve"> </w:t>
      </w:r>
      <w:r>
        <w:rPr>
          <w:lang w:eastAsia="lt-LT"/>
        </w:rPr>
        <w:t>Be</w:t>
      </w:r>
      <w:r>
        <w:rPr>
          <w:i/>
          <w:iCs/>
          <w:lang w:eastAsia="lt-LT"/>
        </w:rPr>
        <w:t xml:space="preserve"> </w:t>
      </w:r>
      <w:r>
        <w:rPr>
          <w:lang w:eastAsia="lt-LT"/>
        </w:rPr>
        <w:t>to,</w:t>
      </w:r>
      <w:r>
        <w:rPr>
          <w:i/>
          <w:iCs/>
          <w:lang w:eastAsia="lt-LT"/>
        </w:rPr>
        <w:t xml:space="preserve"> </w:t>
      </w:r>
      <w:r>
        <w:rPr>
          <w:lang w:eastAsia="lt-LT"/>
        </w:rPr>
        <w:t>sąnaudoms</w:t>
      </w:r>
      <w:r>
        <w:rPr>
          <w:i/>
          <w:iCs/>
          <w:lang w:eastAsia="lt-LT"/>
        </w:rPr>
        <w:t xml:space="preserve"> </w:t>
      </w:r>
      <w:r>
        <w:rPr>
          <w:lang w:eastAsia="lt-LT"/>
        </w:rPr>
        <w:t>pagrįsti</w:t>
      </w:r>
      <w:r>
        <w:rPr>
          <w:i/>
          <w:iCs/>
          <w:lang w:eastAsia="lt-LT"/>
        </w:rPr>
        <w:t xml:space="preserve"> </w:t>
      </w:r>
      <w:r>
        <w:rPr>
          <w:lang w:eastAsia="lt-LT"/>
        </w:rPr>
        <w:t>dukterinės</w:t>
      </w:r>
      <w:r>
        <w:rPr>
          <w:i/>
          <w:iCs/>
          <w:lang w:eastAsia="lt-LT"/>
        </w:rPr>
        <w:t xml:space="preserve"> </w:t>
      </w:r>
      <w:r>
        <w:rPr>
          <w:lang w:eastAsia="lt-LT"/>
        </w:rPr>
        <w:t>įmonės</w:t>
      </w:r>
      <w:r>
        <w:rPr>
          <w:i/>
          <w:iCs/>
          <w:lang w:eastAsia="lt-LT"/>
        </w:rPr>
        <w:t xml:space="preserve"> </w:t>
      </w:r>
      <w:r>
        <w:rPr>
          <w:lang w:eastAsia="lt-LT"/>
        </w:rPr>
        <w:t>turi</w:t>
      </w:r>
      <w:r>
        <w:rPr>
          <w:i/>
          <w:iCs/>
          <w:lang w:eastAsia="lt-LT"/>
        </w:rPr>
        <w:t xml:space="preserve"> </w:t>
      </w:r>
      <w:r>
        <w:rPr>
          <w:lang w:eastAsia="lt-LT"/>
        </w:rPr>
        <w:t>turėti</w:t>
      </w:r>
      <w:r>
        <w:rPr>
          <w:i/>
          <w:iCs/>
          <w:lang w:eastAsia="lt-LT"/>
        </w:rPr>
        <w:t xml:space="preserve"> </w:t>
      </w:r>
      <w:r>
        <w:rPr>
          <w:lang w:eastAsia="lt-LT"/>
        </w:rPr>
        <w:t>draudimo</w:t>
      </w:r>
      <w:r>
        <w:rPr>
          <w:i/>
          <w:iCs/>
          <w:lang w:eastAsia="lt-LT"/>
        </w:rPr>
        <w:t xml:space="preserve"> </w:t>
      </w:r>
      <w:r>
        <w:rPr>
          <w:lang w:eastAsia="lt-LT"/>
        </w:rPr>
        <w:t>poliso</w:t>
      </w:r>
      <w:r>
        <w:rPr>
          <w:i/>
          <w:iCs/>
          <w:lang w:eastAsia="lt-LT"/>
        </w:rPr>
        <w:t xml:space="preserve"> </w:t>
      </w:r>
      <w:r>
        <w:rPr>
          <w:lang w:eastAsia="lt-LT"/>
        </w:rPr>
        <w:t>kopijas.</w:t>
      </w:r>
    </w:p>
    <w:p w14:paraId="77714EEA" w14:textId="77777777" w:rsidR="00093845" w:rsidRDefault="000D779E">
      <w:pPr>
        <w:ind w:firstLine="993"/>
        <w:jc w:val="both"/>
        <w:rPr>
          <w:lang w:eastAsia="lt-LT"/>
        </w:rPr>
      </w:pPr>
      <w:r>
        <w:rPr>
          <w:lang w:eastAsia="lt-LT"/>
        </w:rPr>
        <w:t>6.23.6.</w:t>
      </w:r>
      <w:r>
        <w:rPr>
          <w:i/>
          <w:iCs/>
          <w:lang w:eastAsia="lt-LT"/>
        </w:rPr>
        <w:t xml:space="preserve"> </w:t>
      </w:r>
      <w:r>
        <w:rPr>
          <w:lang w:eastAsia="lt-LT"/>
        </w:rPr>
        <w:t>Draudimo</w:t>
      </w:r>
      <w:r>
        <w:rPr>
          <w:i/>
          <w:iCs/>
          <w:lang w:eastAsia="lt-LT"/>
        </w:rPr>
        <w:t xml:space="preserve"> </w:t>
      </w:r>
      <w:r>
        <w:rPr>
          <w:lang w:eastAsia="lt-LT"/>
        </w:rPr>
        <w:t>įmokos</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sutartis</w:t>
      </w:r>
      <w:r>
        <w:rPr>
          <w:i/>
          <w:iCs/>
          <w:lang w:eastAsia="lt-LT"/>
        </w:rPr>
        <w:t xml:space="preserve"> </w:t>
      </w:r>
      <w:r>
        <w:rPr>
          <w:lang w:eastAsia="lt-LT"/>
        </w:rPr>
        <w:t>nuo</w:t>
      </w:r>
      <w:r>
        <w:rPr>
          <w:i/>
          <w:iCs/>
          <w:lang w:eastAsia="lt-LT"/>
        </w:rPr>
        <w:t xml:space="preserve"> </w:t>
      </w:r>
      <w:r>
        <w:rPr>
          <w:lang w:eastAsia="lt-LT"/>
        </w:rPr>
        <w:t>nelaimingų</w:t>
      </w:r>
      <w:r>
        <w:rPr>
          <w:i/>
          <w:iCs/>
          <w:lang w:eastAsia="lt-LT"/>
        </w:rPr>
        <w:t xml:space="preserve"> </w:t>
      </w:r>
      <w:r>
        <w:rPr>
          <w:lang w:eastAsia="lt-LT"/>
        </w:rPr>
        <w:t>atsitikimų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pripažįstamos</w:t>
      </w:r>
      <w:r>
        <w:rPr>
          <w:i/>
          <w:iCs/>
          <w:lang w:eastAsia="lt-LT"/>
        </w:rPr>
        <w:t xml:space="preserve"> </w:t>
      </w:r>
      <w:r>
        <w:rPr>
          <w:lang w:eastAsia="lt-LT"/>
        </w:rPr>
        <w:t>vadovaujantis</w:t>
      </w:r>
      <w:r>
        <w:rPr>
          <w:i/>
          <w:iCs/>
          <w:lang w:eastAsia="lt-LT"/>
        </w:rPr>
        <w:t xml:space="preserve"> </w:t>
      </w:r>
      <w:r>
        <w:rPr>
          <w:lang w:eastAsia="lt-LT"/>
        </w:rPr>
        <w:t>šiais</w:t>
      </w:r>
      <w:r>
        <w:rPr>
          <w:i/>
          <w:iCs/>
          <w:lang w:eastAsia="lt-LT"/>
        </w:rPr>
        <w:t xml:space="preserve"> </w:t>
      </w:r>
      <w:r>
        <w:rPr>
          <w:lang w:eastAsia="lt-LT"/>
        </w:rPr>
        <w:t>principais:</w:t>
      </w:r>
    </w:p>
    <w:p w14:paraId="50ED5D3E" w14:textId="77777777" w:rsidR="00093845" w:rsidRDefault="000D779E">
      <w:pPr>
        <w:ind w:firstLine="993"/>
        <w:jc w:val="both"/>
        <w:rPr>
          <w:lang w:eastAsia="lt-LT"/>
        </w:rPr>
      </w:pPr>
      <w:r>
        <w:rPr>
          <w:lang w:eastAsia="lt-LT"/>
        </w:rPr>
        <w:t>–</w:t>
      </w:r>
      <w:r>
        <w:rPr>
          <w:i/>
          <w:iCs/>
          <w:lang w:eastAsia="lt-LT"/>
        </w:rPr>
        <w:t xml:space="preserve"> </w:t>
      </w:r>
      <w:r>
        <w:rPr>
          <w:lang w:eastAsia="lt-LT"/>
        </w:rPr>
        <w:t>jos</w:t>
      </w:r>
      <w:r>
        <w:rPr>
          <w:i/>
          <w:iCs/>
          <w:lang w:eastAsia="lt-LT"/>
        </w:rPr>
        <w:t xml:space="preserve"> </w:t>
      </w:r>
      <w:r>
        <w:rPr>
          <w:lang w:eastAsia="lt-LT"/>
        </w:rPr>
        <w:t>yra</w:t>
      </w:r>
      <w:r>
        <w:rPr>
          <w:i/>
          <w:iCs/>
          <w:lang w:eastAsia="lt-LT"/>
        </w:rPr>
        <w:t xml:space="preserve"> </w:t>
      </w:r>
      <w:r>
        <w:rPr>
          <w:lang w:eastAsia="lt-LT"/>
        </w:rPr>
        <w:t>vieneto</w:t>
      </w:r>
      <w:r>
        <w:rPr>
          <w:i/>
          <w:iCs/>
          <w:lang w:eastAsia="lt-LT"/>
        </w:rPr>
        <w:t xml:space="preserve"> </w:t>
      </w:r>
      <w:r>
        <w:rPr>
          <w:lang w:eastAsia="lt-LT"/>
        </w:rPr>
        <w:t>išlaidos</w:t>
      </w:r>
      <w:r>
        <w:rPr>
          <w:i/>
          <w:iCs/>
          <w:lang w:eastAsia="lt-LT"/>
        </w:rPr>
        <w:t xml:space="preserve"> </w:t>
      </w:r>
      <w:r>
        <w:rPr>
          <w:lang w:eastAsia="lt-LT"/>
        </w:rPr>
        <w:t>darbuotojų</w:t>
      </w:r>
      <w:r>
        <w:rPr>
          <w:i/>
          <w:iCs/>
          <w:lang w:eastAsia="lt-LT"/>
        </w:rPr>
        <w:t xml:space="preserve"> </w:t>
      </w:r>
      <w:r>
        <w:rPr>
          <w:lang w:eastAsia="lt-LT"/>
        </w:rPr>
        <w:t>naudai,</w:t>
      </w:r>
      <w:r>
        <w:rPr>
          <w:i/>
          <w:iCs/>
          <w:lang w:eastAsia="lt-LT"/>
        </w:rPr>
        <w:t xml:space="preserve"> </w:t>
      </w:r>
      <w:r>
        <w:rPr>
          <w:lang w:eastAsia="lt-LT"/>
        </w:rPr>
        <w:t>o</w:t>
      </w:r>
      <w:r>
        <w:rPr>
          <w:i/>
          <w:iCs/>
          <w:lang w:eastAsia="lt-LT"/>
        </w:rPr>
        <w:t xml:space="preserve"> </w:t>
      </w:r>
      <w:r>
        <w:rPr>
          <w:lang w:eastAsia="lt-LT"/>
        </w:rPr>
        <w:t>ši</w:t>
      </w:r>
      <w:r>
        <w:rPr>
          <w:i/>
          <w:iCs/>
          <w:lang w:eastAsia="lt-LT"/>
        </w:rPr>
        <w:t xml:space="preserve"> </w:t>
      </w:r>
      <w:r>
        <w:rPr>
          <w:lang w:eastAsia="lt-LT"/>
        </w:rPr>
        <w:t>nauda</w:t>
      </w:r>
      <w:r>
        <w:rPr>
          <w:i/>
          <w:iCs/>
          <w:lang w:eastAsia="lt-LT"/>
        </w:rPr>
        <w:t xml:space="preserve"> </w:t>
      </w:r>
      <w:r>
        <w:rPr>
          <w:lang w:eastAsia="lt-LT"/>
        </w:rPr>
        <w:t>yra</w:t>
      </w:r>
      <w:r>
        <w:rPr>
          <w:i/>
          <w:iCs/>
          <w:lang w:eastAsia="lt-LT"/>
        </w:rPr>
        <w:t xml:space="preserve"> </w:t>
      </w:r>
      <w:r>
        <w:rPr>
          <w:lang w:eastAsia="lt-LT"/>
        </w:rPr>
        <w:t>gyventojų</w:t>
      </w:r>
      <w:r>
        <w:rPr>
          <w:i/>
          <w:iCs/>
          <w:lang w:eastAsia="lt-LT"/>
        </w:rPr>
        <w:t xml:space="preserve"> </w:t>
      </w:r>
      <w:r>
        <w:rPr>
          <w:lang w:eastAsia="lt-LT"/>
        </w:rPr>
        <w:t>pajamų</w:t>
      </w:r>
      <w:r>
        <w:rPr>
          <w:i/>
          <w:iCs/>
          <w:lang w:eastAsia="lt-LT"/>
        </w:rPr>
        <w:t xml:space="preserve"> </w:t>
      </w:r>
      <w:r>
        <w:rPr>
          <w:lang w:eastAsia="lt-LT"/>
        </w:rPr>
        <w:t>mokesčio</w:t>
      </w:r>
      <w:r>
        <w:rPr>
          <w:i/>
          <w:iCs/>
          <w:lang w:eastAsia="lt-LT"/>
        </w:rPr>
        <w:t xml:space="preserve"> </w:t>
      </w:r>
      <w:r>
        <w:rPr>
          <w:lang w:eastAsia="lt-LT"/>
        </w:rPr>
        <w:t>objektas,</w:t>
      </w:r>
      <w:r>
        <w:rPr>
          <w:i/>
          <w:iCs/>
          <w:lang w:eastAsia="lt-LT"/>
        </w:rPr>
        <w:t xml:space="preserve"> </w:t>
      </w:r>
      <w:r>
        <w:rPr>
          <w:lang w:eastAsia="lt-LT"/>
        </w:rPr>
        <w:t>arba</w:t>
      </w:r>
    </w:p>
    <w:p w14:paraId="3D1F05A4" w14:textId="77777777" w:rsidR="00093845" w:rsidRDefault="000D779E">
      <w:pPr>
        <w:ind w:firstLine="993"/>
        <w:jc w:val="both"/>
        <w:rPr>
          <w:lang w:eastAsia="lt-LT"/>
        </w:rPr>
      </w:pPr>
      <w:r>
        <w:rPr>
          <w:lang w:eastAsia="lt-LT"/>
        </w:rPr>
        <w:t>–</w:t>
      </w:r>
      <w:r>
        <w:rPr>
          <w:i/>
          <w:iCs/>
          <w:lang w:eastAsia="lt-LT"/>
        </w:rPr>
        <w:t xml:space="preserve"> </w:t>
      </w:r>
      <w:r>
        <w:rPr>
          <w:lang w:eastAsia="lt-LT"/>
        </w:rPr>
        <w:t>jos</w:t>
      </w:r>
      <w:r>
        <w:rPr>
          <w:i/>
          <w:iCs/>
          <w:lang w:eastAsia="lt-LT"/>
        </w:rPr>
        <w:t xml:space="preserve"> </w:t>
      </w:r>
      <w:r>
        <w:rPr>
          <w:lang w:eastAsia="lt-LT"/>
        </w:rPr>
        <w:t>yra</w:t>
      </w:r>
      <w:r>
        <w:rPr>
          <w:i/>
          <w:iCs/>
          <w:lang w:eastAsia="lt-LT"/>
        </w:rPr>
        <w:t xml:space="preserve"> </w:t>
      </w:r>
      <w:r>
        <w:rPr>
          <w:lang w:eastAsia="lt-LT"/>
        </w:rPr>
        <w:t>vieneto</w:t>
      </w:r>
      <w:r>
        <w:rPr>
          <w:i/>
          <w:iCs/>
          <w:lang w:eastAsia="lt-LT"/>
        </w:rPr>
        <w:t xml:space="preserve"> </w:t>
      </w:r>
      <w:r>
        <w:rPr>
          <w:lang w:eastAsia="lt-LT"/>
        </w:rPr>
        <w:t>sąnaudos,</w:t>
      </w:r>
      <w:r>
        <w:rPr>
          <w:i/>
          <w:iCs/>
          <w:lang w:eastAsia="lt-LT"/>
        </w:rPr>
        <w:t xml:space="preserve"> </w:t>
      </w:r>
      <w:r>
        <w:rPr>
          <w:lang w:eastAsia="lt-LT"/>
        </w:rPr>
        <w:t>būtinos</w:t>
      </w:r>
      <w:r>
        <w:rPr>
          <w:i/>
          <w:iCs/>
          <w:lang w:eastAsia="lt-LT"/>
        </w:rPr>
        <w:t xml:space="preserve"> </w:t>
      </w:r>
      <w:r>
        <w:rPr>
          <w:lang w:eastAsia="lt-LT"/>
        </w:rPr>
        <w:t>pajamoms</w:t>
      </w:r>
      <w:r>
        <w:rPr>
          <w:i/>
          <w:iCs/>
          <w:lang w:eastAsia="lt-LT"/>
        </w:rPr>
        <w:t xml:space="preserve"> </w:t>
      </w:r>
      <w:r>
        <w:rPr>
          <w:lang w:eastAsia="lt-LT"/>
        </w:rPr>
        <w:t>uždirbti</w:t>
      </w:r>
      <w:r>
        <w:rPr>
          <w:i/>
          <w:iCs/>
          <w:lang w:eastAsia="lt-LT"/>
        </w:rPr>
        <w:t xml:space="preserve"> </w:t>
      </w:r>
      <w:r>
        <w:rPr>
          <w:lang w:eastAsia="lt-LT"/>
        </w:rPr>
        <w:t>ar</w:t>
      </w:r>
      <w:r>
        <w:rPr>
          <w:i/>
          <w:iCs/>
          <w:lang w:eastAsia="lt-LT"/>
        </w:rPr>
        <w:t xml:space="preserve"> </w:t>
      </w:r>
      <w:r>
        <w:rPr>
          <w:lang w:eastAsia="lt-LT"/>
        </w:rPr>
        <w:t>ekonominei</w:t>
      </w:r>
      <w:r>
        <w:rPr>
          <w:i/>
          <w:iCs/>
          <w:lang w:eastAsia="lt-LT"/>
        </w:rPr>
        <w:t xml:space="preserve"> </w:t>
      </w:r>
      <w:r>
        <w:rPr>
          <w:lang w:eastAsia="lt-LT"/>
        </w:rPr>
        <w:t>naudai</w:t>
      </w:r>
      <w:r>
        <w:rPr>
          <w:i/>
          <w:iCs/>
          <w:lang w:eastAsia="lt-LT"/>
        </w:rPr>
        <w:t xml:space="preserve"> </w:t>
      </w:r>
      <w:r>
        <w:rPr>
          <w:lang w:eastAsia="lt-LT"/>
        </w:rPr>
        <w:t>gauti.</w:t>
      </w:r>
      <w:r>
        <w:rPr>
          <w:i/>
          <w:iCs/>
          <w:lang w:eastAsia="lt-LT"/>
        </w:rPr>
        <w:t xml:space="preserve"> </w:t>
      </w:r>
    </w:p>
    <w:p w14:paraId="6A28308E" w14:textId="77777777" w:rsidR="00093845" w:rsidRDefault="000D779E">
      <w:pPr>
        <w:ind w:firstLine="993"/>
        <w:jc w:val="both"/>
        <w:rPr>
          <w:lang w:eastAsia="lt-LT"/>
        </w:rPr>
      </w:pPr>
      <w:r>
        <w:rPr>
          <w:lang w:eastAsia="lt-LT"/>
        </w:rPr>
        <w:t> 6.23.7.</w:t>
      </w:r>
      <w:r>
        <w:rPr>
          <w:i/>
          <w:iCs/>
          <w:lang w:eastAsia="lt-LT"/>
        </w:rPr>
        <w:t xml:space="preserve"> </w:t>
      </w:r>
      <w:r>
        <w:rPr>
          <w:lang w:eastAsia="lt-LT"/>
        </w:rPr>
        <w:t>Vienetas,</w:t>
      </w:r>
      <w:r>
        <w:rPr>
          <w:i/>
          <w:iCs/>
          <w:lang w:eastAsia="lt-LT"/>
        </w:rPr>
        <w:t xml:space="preserve"> </w:t>
      </w:r>
      <w:r>
        <w:rPr>
          <w:lang w:eastAsia="lt-LT"/>
        </w:rPr>
        <w:t>apdraudęs</w:t>
      </w:r>
      <w:r>
        <w:rPr>
          <w:i/>
          <w:iCs/>
          <w:lang w:eastAsia="lt-LT"/>
        </w:rPr>
        <w:t xml:space="preserve"> </w:t>
      </w:r>
      <w:r>
        <w:rPr>
          <w:lang w:eastAsia="lt-LT"/>
        </w:rPr>
        <w:t>darbuotoją</w:t>
      </w:r>
      <w:r>
        <w:rPr>
          <w:i/>
          <w:iCs/>
          <w:lang w:eastAsia="lt-LT"/>
        </w:rPr>
        <w:t xml:space="preserve"> </w:t>
      </w:r>
      <w:r>
        <w:rPr>
          <w:lang w:eastAsia="lt-LT"/>
        </w:rPr>
        <w:t>gyvybės</w:t>
      </w:r>
      <w:r>
        <w:rPr>
          <w:i/>
          <w:iCs/>
          <w:lang w:eastAsia="lt-LT"/>
        </w:rPr>
        <w:t xml:space="preserve"> </w:t>
      </w:r>
      <w:r>
        <w:rPr>
          <w:lang w:eastAsia="lt-LT"/>
        </w:rPr>
        <w:t>draudimu</w:t>
      </w:r>
      <w:r>
        <w:rPr>
          <w:i/>
          <w:iCs/>
          <w:lang w:eastAsia="lt-LT"/>
        </w:rPr>
        <w:t xml:space="preserve"> </w:t>
      </w:r>
      <w:r>
        <w:rPr>
          <w:lang w:eastAsia="lt-LT"/>
        </w:rPr>
        <w:t>ir</w:t>
      </w:r>
      <w:r>
        <w:rPr>
          <w:i/>
          <w:iCs/>
          <w:lang w:eastAsia="lt-LT"/>
        </w:rPr>
        <w:t xml:space="preserve"> </w:t>
      </w:r>
      <w:r>
        <w:rPr>
          <w:lang w:eastAsia="lt-LT"/>
        </w:rPr>
        <w:t>kurį</w:t>
      </w:r>
      <w:r>
        <w:rPr>
          <w:i/>
          <w:iCs/>
          <w:lang w:eastAsia="lt-LT"/>
        </w:rPr>
        <w:t xml:space="preserve"> </w:t>
      </w:r>
      <w:r>
        <w:rPr>
          <w:lang w:eastAsia="lt-LT"/>
        </w:rPr>
        <w:t>laiką</w:t>
      </w:r>
      <w:r>
        <w:rPr>
          <w:i/>
          <w:iCs/>
          <w:lang w:eastAsia="lt-LT"/>
        </w:rPr>
        <w:t xml:space="preserve"> </w:t>
      </w:r>
      <w:r>
        <w:rPr>
          <w:lang w:eastAsia="lt-LT"/>
        </w:rPr>
        <w:t>mokėjęs</w:t>
      </w:r>
      <w:r>
        <w:rPr>
          <w:i/>
          <w:iCs/>
          <w:lang w:eastAsia="lt-LT"/>
        </w:rPr>
        <w:t xml:space="preserve"> </w:t>
      </w:r>
      <w:r>
        <w:rPr>
          <w:lang w:eastAsia="lt-LT"/>
        </w:rPr>
        <w:t>pagal</w:t>
      </w:r>
      <w:r>
        <w:rPr>
          <w:i/>
          <w:iCs/>
          <w:lang w:eastAsia="lt-LT"/>
        </w:rPr>
        <w:t xml:space="preserve"> </w:t>
      </w:r>
      <w:r>
        <w:rPr>
          <w:lang w:eastAsia="lt-LT"/>
        </w:rPr>
        <w:t>sutartį,</w:t>
      </w:r>
      <w:r>
        <w:rPr>
          <w:i/>
          <w:iCs/>
          <w:lang w:eastAsia="lt-LT"/>
        </w:rPr>
        <w:t xml:space="preserve"> </w:t>
      </w:r>
      <w:r>
        <w:rPr>
          <w:lang w:eastAsia="lt-LT"/>
        </w:rPr>
        <w:t>kurioje</w:t>
      </w:r>
      <w:r>
        <w:rPr>
          <w:i/>
          <w:iCs/>
          <w:lang w:eastAsia="lt-LT"/>
        </w:rPr>
        <w:t xml:space="preserve"> </w:t>
      </w:r>
      <w:r>
        <w:rPr>
          <w:lang w:eastAsia="lt-LT"/>
        </w:rPr>
        <w:t>numatyta,</w:t>
      </w:r>
      <w:r>
        <w:rPr>
          <w:i/>
          <w:iCs/>
          <w:lang w:eastAsia="lt-LT"/>
        </w:rPr>
        <w:t xml:space="preserve"> </w:t>
      </w:r>
      <w:r>
        <w:rPr>
          <w:lang w:eastAsia="lt-LT"/>
        </w:rPr>
        <w:t>kad</w:t>
      </w:r>
      <w:r>
        <w:rPr>
          <w:i/>
          <w:iCs/>
          <w:lang w:eastAsia="lt-LT"/>
        </w:rPr>
        <w:t xml:space="preserve"> </w:t>
      </w:r>
      <w:r>
        <w:rPr>
          <w:lang w:eastAsia="lt-LT"/>
        </w:rPr>
        <w:t>naudos</w:t>
      </w:r>
      <w:r>
        <w:rPr>
          <w:i/>
          <w:iCs/>
          <w:lang w:eastAsia="lt-LT"/>
        </w:rPr>
        <w:t xml:space="preserve"> </w:t>
      </w:r>
      <w:r>
        <w:rPr>
          <w:lang w:eastAsia="lt-LT"/>
        </w:rPr>
        <w:t>gavėjas</w:t>
      </w:r>
      <w:r>
        <w:rPr>
          <w:i/>
          <w:iCs/>
          <w:lang w:eastAsia="lt-LT"/>
        </w:rPr>
        <w:t xml:space="preserve"> </w:t>
      </w:r>
      <w:r>
        <w:rPr>
          <w:lang w:eastAsia="lt-LT"/>
        </w:rPr>
        <w:t>yra</w:t>
      </w:r>
      <w:r>
        <w:rPr>
          <w:i/>
          <w:iCs/>
          <w:lang w:eastAsia="lt-LT"/>
        </w:rPr>
        <w:t xml:space="preserve"> </w:t>
      </w:r>
      <w:r>
        <w:rPr>
          <w:lang w:eastAsia="lt-LT"/>
        </w:rPr>
        <w:t>pats</w:t>
      </w:r>
      <w:r>
        <w:rPr>
          <w:i/>
          <w:iCs/>
          <w:lang w:eastAsia="lt-LT"/>
        </w:rPr>
        <w:t xml:space="preserve"> </w:t>
      </w:r>
      <w:r>
        <w:rPr>
          <w:lang w:eastAsia="lt-LT"/>
        </w:rPr>
        <w:t>vienetas,</w:t>
      </w:r>
      <w:r>
        <w:rPr>
          <w:i/>
          <w:iCs/>
          <w:lang w:eastAsia="lt-LT"/>
        </w:rPr>
        <w:t xml:space="preserve"> </w:t>
      </w:r>
      <w:r>
        <w:rPr>
          <w:lang w:eastAsia="lt-LT"/>
        </w:rPr>
        <w:t>gali</w:t>
      </w:r>
      <w:r>
        <w:rPr>
          <w:i/>
          <w:iCs/>
          <w:lang w:eastAsia="lt-LT"/>
        </w:rPr>
        <w:t xml:space="preserve"> </w:t>
      </w:r>
      <w:r>
        <w:rPr>
          <w:lang w:eastAsia="lt-LT"/>
        </w:rPr>
        <w:t>pakeisti</w:t>
      </w:r>
      <w:r>
        <w:rPr>
          <w:i/>
          <w:iCs/>
          <w:lang w:eastAsia="lt-LT"/>
        </w:rPr>
        <w:t xml:space="preserve"> </w:t>
      </w:r>
      <w:r>
        <w:rPr>
          <w:lang w:eastAsia="lt-LT"/>
        </w:rPr>
        <w:t>naudos</w:t>
      </w:r>
      <w:r>
        <w:rPr>
          <w:i/>
          <w:iCs/>
          <w:lang w:eastAsia="lt-LT"/>
        </w:rPr>
        <w:t xml:space="preserve"> </w:t>
      </w:r>
      <w:r>
        <w:rPr>
          <w:lang w:eastAsia="lt-LT"/>
        </w:rPr>
        <w:t>gavėją</w:t>
      </w:r>
      <w:r>
        <w:rPr>
          <w:i/>
          <w:iCs/>
          <w:lang w:eastAsia="lt-LT"/>
        </w:rPr>
        <w:t xml:space="preserve"> </w:t>
      </w:r>
      <w:r>
        <w:rPr>
          <w:lang w:eastAsia="lt-LT"/>
        </w:rPr>
        <w:t>ir</w:t>
      </w:r>
      <w:r>
        <w:rPr>
          <w:i/>
          <w:iCs/>
          <w:lang w:eastAsia="lt-LT"/>
        </w:rPr>
        <w:t xml:space="preserve"> </w:t>
      </w:r>
      <w:r>
        <w:rPr>
          <w:lang w:eastAsia="lt-LT"/>
        </w:rPr>
        <w:t>juo</w:t>
      </w:r>
      <w:r>
        <w:rPr>
          <w:i/>
          <w:iCs/>
          <w:lang w:eastAsia="lt-LT"/>
        </w:rPr>
        <w:t xml:space="preserve"> </w:t>
      </w:r>
      <w:r>
        <w:rPr>
          <w:lang w:eastAsia="lt-LT"/>
        </w:rPr>
        <w:t>paskirti</w:t>
      </w:r>
      <w:r>
        <w:rPr>
          <w:i/>
          <w:iCs/>
          <w:lang w:eastAsia="lt-LT"/>
        </w:rPr>
        <w:t xml:space="preserve"> </w:t>
      </w:r>
      <w:r>
        <w:rPr>
          <w:lang w:eastAsia="lt-LT"/>
        </w:rPr>
        <w:t>darbuotoją.</w:t>
      </w:r>
      <w:r>
        <w:rPr>
          <w:i/>
          <w:iCs/>
          <w:lang w:eastAsia="lt-LT"/>
        </w:rPr>
        <w:t xml:space="preserve"> </w:t>
      </w:r>
      <w:r>
        <w:rPr>
          <w:lang w:eastAsia="lt-LT"/>
        </w:rPr>
        <w:t>Tokiu</w:t>
      </w:r>
      <w:r>
        <w:rPr>
          <w:i/>
          <w:iCs/>
          <w:lang w:eastAsia="lt-LT"/>
        </w:rPr>
        <w:t xml:space="preserve"> </w:t>
      </w:r>
      <w:r>
        <w:rPr>
          <w:lang w:eastAsia="lt-LT"/>
        </w:rPr>
        <w:t>atveju</w:t>
      </w:r>
      <w:r>
        <w:rPr>
          <w:i/>
          <w:iCs/>
          <w:lang w:eastAsia="lt-LT"/>
        </w:rPr>
        <w:t xml:space="preserve"> </w:t>
      </w:r>
      <w:r>
        <w:rPr>
          <w:lang w:eastAsia="lt-LT"/>
        </w:rPr>
        <w:t>visa</w:t>
      </w:r>
      <w:r>
        <w:rPr>
          <w:i/>
          <w:iCs/>
          <w:lang w:eastAsia="lt-LT"/>
        </w:rPr>
        <w:t xml:space="preserve"> </w:t>
      </w:r>
      <w:r>
        <w:rPr>
          <w:lang w:eastAsia="lt-LT"/>
        </w:rPr>
        <w:t>įmokų</w:t>
      </w:r>
      <w:r>
        <w:rPr>
          <w:i/>
          <w:iCs/>
          <w:lang w:eastAsia="lt-LT"/>
        </w:rPr>
        <w:t xml:space="preserve"> </w:t>
      </w:r>
      <w:r>
        <w:rPr>
          <w:lang w:eastAsia="lt-LT"/>
        </w:rPr>
        <w:t>pagal</w:t>
      </w:r>
      <w:r>
        <w:rPr>
          <w:i/>
          <w:iCs/>
          <w:lang w:eastAsia="lt-LT"/>
        </w:rPr>
        <w:t xml:space="preserve"> </w:t>
      </w:r>
      <w:r>
        <w:rPr>
          <w:lang w:eastAsia="lt-LT"/>
        </w:rPr>
        <w:t>draudimo</w:t>
      </w:r>
      <w:r>
        <w:rPr>
          <w:i/>
          <w:iCs/>
          <w:lang w:eastAsia="lt-LT"/>
        </w:rPr>
        <w:t xml:space="preserve"> </w:t>
      </w:r>
      <w:r>
        <w:rPr>
          <w:lang w:eastAsia="lt-LT"/>
        </w:rPr>
        <w:t>sutartį</w:t>
      </w:r>
      <w:r>
        <w:rPr>
          <w:i/>
          <w:iCs/>
          <w:lang w:eastAsia="lt-LT"/>
        </w:rPr>
        <w:t xml:space="preserve"> </w:t>
      </w:r>
      <w:r>
        <w:rPr>
          <w:lang w:eastAsia="lt-LT"/>
        </w:rPr>
        <w:t>(iki</w:t>
      </w:r>
      <w:r>
        <w:rPr>
          <w:i/>
          <w:iCs/>
          <w:lang w:eastAsia="lt-LT"/>
        </w:rPr>
        <w:t xml:space="preserve"> </w:t>
      </w:r>
      <w:r>
        <w:rPr>
          <w:lang w:eastAsia="lt-LT"/>
        </w:rPr>
        <w:t>jos</w:t>
      </w:r>
      <w:r>
        <w:rPr>
          <w:i/>
          <w:iCs/>
          <w:lang w:eastAsia="lt-LT"/>
        </w:rPr>
        <w:t xml:space="preserve"> </w:t>
      </w:r>
      <w:r>
        <w:rPr>
          <w:lang w:eastAsia="lt-LT"/>
        </w:rPr>
        <w:t>pakeitimo)</w:t>
      </w:r>
      <w:r>
        <w:rPr>
          <w:i/>
          <w:iCs/>
          <w:lang w:eastAsia="lt-LT"/>
        </w:rPr>
        <w:t xml:space="preserve"> </w:t>
      </w:r>
      <w:r>
        <w:rPr>
          <w:lang w:eastAsia="lt-LT"/>
        </w:rPr>
        <w:t>įtrauktų</w:t>
      </w:r>
      <w:r>
        <w:rPr>
          <w:i/>
          <w:iCs/>
          <w:lang w:eastAsia="lt-LT"/>
        </w:rPr>
        <w:t xml:space="preserve"> </w:t>
      </w:r>
      <w:r>
        <w:rPr>
          <w:lang w:eastAsia="lt-LT"/>
        </w:rPr>
        <w:t>į</w:t>
      </w:r>
      <w:r>
        <w:rPr>
          <w:i/>
          <w:iCs/>
          <w:lang w:eastAsia="lt-LT"/>
        </w:rPr>
        <w:t xml:space="preserve"> </w:t>
      </w:r>
      <w:r>
        <w:rPr>
          <w:lang w:eastAsia="lt-LT"/>
        </w:rPr>
        <w:t>leidžiamus</w:t>
      </w:r>
      <w:r>
        <w:rPr>
          <w:i/>
          <w:iCs/>
          <w:lang w:eastAsia="lt-LT"/>
        </w:rPr>
        <w:t xml:space="preserve"> </w:t>
      </w:r>
      <w:r>
        <w:rPr>
          <w:lang w:eastAsia="lt-LT"/>
        </w:rPr>
        <w:t>atskaitymus</w:t>
      </w:r>
      <w:r>
        <w:rPr>
          <w:i/>
          <w:iCs/>
          <w:lang w:eastAsia="lt-LT"/>
        </w:rPr>
        <w:t xml:space="preserve"> </w:t>
      </w:r>
      <w:r>
        <w:rPr>
          <w:lang w:eastAsia="lt-LT"/>
        </w:rPr>
        <w:t>suma</w:t>
      </w:r>
      <w:r>
        <w:rPr>
          <w:i/>
          <w:iCs/>
          <w:lang w:eastAsia="lt-LT"/>
        </w:rPr>
        <w:t xml:space="preserve"> </w:t>
      </w:r>
      <w:r>
        <w:rPr>
          <w:lang w:eastAsia="lt-LT"/>
        </w:rPr>
        <w:t>turi</w:t>
      </w:r>
      <w:r>
        <w:rPr>
          <w:i/>
          <w:iCs/>
          <w:lang w:eastAsia="lt-LT"/>
        </w:rPr>
        <w:t xml:space="preserve"> </w:t>
      </w:r>
      <w:r>
        <w:rPr>
          <w:lang w:eastAsia="lt-LT"/>
        </w:rPr>
        <w:t>būti</w:t>
      </w:r>
      <w:r>
        <w:rPr>
          <w:i/>
          <w:iCs/>
          <w:lang w:eastAsia="lt-LT"/>
        </w:rPr>
        <w:t xml:space="preserve"> </w:t>
      </w:r>
      <w:r>
        <w:rPr>
          <w:lang w:eastAsia="lt-LT"/>
        </w:rPr>
        <w:t>didinamos</w:t>
      </w:r>
      <w:r>
        <w:rPr>
          <w:i/>
          <w:iCs/>
          <w:lang w:eastAsia="lt-LT"/>
        </w:rPr>
        <w:t xml:space="preserve"> </w:t>
      </w:r>
      <w:r>
        <w:rPr>
          <w:lang w:eastAsia="lt-LT"/>
        </w:rPr>
        <w:t>vieneto</w:t>
      </w:r>
      <w:r>
        <w:rPr>
          <w:i/>
          <w:iCs/>
          <w:lang w:eastAsia="lt-LT"/>
        </w:rPr>
        <w:t xml:space="preserve"> </w:t>
      </w:r>
      <w:r>
        <w:rPr>
          <w:lang w:eastAsia="lt-LT"/>
        </w:rPr>
        <w:t>mokestinio</w:t>
      </w:r>
      <w:r>
        <w:rPr>
          <w:i/>
          <w:iCs/>
          <w:lang w:eastAsia="lt-LT"/>
        </w:rPr>
        <w:t xml:space="preserve"> </w:t>
      </w:r>
      <w:r>
        <w:rPr>
          <w:lang w:eastAsia="lt-LT"/>
        </w:rPr>
        <w:t>laikotarpio,</w:t>
      </w:r>
      <w:r>
        <w:rPr>
          <w:i/>
          <w:iCs/>
          <w:lang w:eastAsia="lt-LT"/>
        </w:rPr>
        <w:t xml:space="preserve"> </w:t>
      </w:r>
      <w:r>
        <w:rPr>
          <w:lang w:eastAsia="lt-LT"/>
        </w:rPr>
        <w:t>kurį</w:t>
      </w:r>
      <w:r>
        <w:rPr>
          <w:i/>
          <w:iCs/>
          <w:lang w:eastAsia="lt-LT"/>
        </w:rPr>
        <w:t xml:space="preserve"> </w:t>
      </w:r>
      <w:r>
        <w:rPr>
          <w:lang w:eastAsia="lt-LT"/>
        </w:rPr>
        <w:t>įsigaliojo</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sutarties</w:t>
      </w:r>
      <w:r>
        <w:rPr>
          <w:i/>
          <w:iCs/>
          <w:lang w:eastAsia="lt-LT"/>
        </w:rPr>
        <w:t xml:space="preserve"> </w:t>
      </w:r>
      <w:r>
        <w:rPr>
          <w:lang w:eastAsia="lt-LT"/>
        </w:rPr>
        <w:t>pakeitimas,</w:t>
      </w:r>
      <w:r>
        <w:rPr>
          <w:i/>
          <w:iCs/>
          <w:lang w:eastAsia="lt-LT"/>
        </w:rPr>
        <w:t xml:space="preserve"> </w:t>
      </w:r>
      <w:r>
        <w:rPr>
          <w:lang w:eastAsia="lt-LT"/>
        </w:rPr>
        <w:t>pajamos.</w:t>
      </w:r>
      <w:r>
        <w:rPr>
          <w:i/>
          <w:iCs/>
          <w:lang w:eastAsia="lt-LT"/>
        </w:rPr>
        <w:t xml:space="preserve"> </w:t>
      </w:r>
      <w:r>
        <w:rPr>
          <w:lang w:eastAsia="lt-LT"/>
        </w:rPr>
        <w:t>Vieneto</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tik</w:t>
      </w:r>
      <w:r>
        <w:rPr>
          <w:i/>
          <w:iCs/>
          <w:lang w:eastAsia="lt-LT"/>
        </w:rPr>
        <w:t xml:space="preserve"> </w:t>
      </w:r>
      <w:r>
        <w:rPr>
          <w:lang w:eastAsia="lt-LT"/>
        </w:rPr>
        <w:t>po</w:t>
      </w:r>
      <w:r>
        <w:rPr>
          <w:i/>
          <w:iCs/>
          <w:lang w:eastAsia="lt-LT"/>
        </w:rPr>
        <w:t xml:space="preserve"> </w:t>
      </w:r>
      <w:r>
        <w:rPr>
          <w:lang w:eastAsia="lt-LT"/>
        </w:rPr>
        <w:t>sutarties</w:t>
      </w:r>
      <w:r>
        <w:rPr>
          <w:i/>
          <w:iCs/>
          <w:lang w:eastAsia="lt-LT"/>
        </w:rPr>
        <w:t xml:space="preserve"> </w:t>
      </w:r>
      <w:r>
        <w:rPr>
          <w:lang w:eastAsia="lt-LT"/>
        </w:rPr>
        <w:t>pakeitimo</w:t>
      </w:r>
      <w:r>
        <w:rPr>
          <w:i/>
          <w:iCs/>
          <w:lang w:eastAsia="lt-LT"/>
        </w:rPr>
        <w:t xml:space="preserve"> </w:t>
      </w:r>
      <w:r>
        <w:rPr>
          <w:lang w:eastAsia="lt-LT"/>
        </w:rPr>
        <w:t>sumokėtos</w:t>
      </w:r>
      <w:r>
        <w:rPr>
          <w:i/>
          <w:iCs/>
          <w:lang w:eastAsia="lt-LT"/>
        </w:rPr>
        <w:t xml:space="preserve"> </w:t>
      </w:r>
      <w:r>
        <w:rPr>
          <w:lang w:eastAsia="lt-LT"/>
        </w:rPr>
        <w:t>gyvybės</w:t>
      </w:r>
      <w:r>
        <w:rPr>
          <w:i/>
          <w:iCs/>
          <w:lang w:eastAsia="lt-LT"/>
        </w:rPr>
        <w:t xml:space="preserve"> </w:t>
      </w:r>
      <w:r>
        <w:rPr>
          <w:lang w:eastAsia="lt-LT"/>
        </w:rPr>
        <w:t>draudimo</w:t>
      </w:r>
      <w:r>
        <w:rPr>
          <w:i/>
          <w:iCs/>
          <w:lang w:eastAsia="lt-LT"/>
        </w:rPr>
        <w:t xml:space="preserve"> </w:t>
      </w:r>
      <w:r>
        <w:rPr>
          <w:lang w:eastAsia="lt-LT"/>
        </w:rPr>
        <w:t>sumos.</w:t>
      </w:r>
      <w:r>
        <w:rPr>
          <w:i/>
          <w:iCs/>
          <w:lang w:eastAsia="lt-LT"/>
        </w:rPr>
        <w:t xml:space="preserve"> </w:t>
      </w:r>
    </w:p>
    <w:p w14:paraId="22DB9878" w14:textId="77777777" w:rsidR="00093845" w:rsidRDefault="000D779E">
      <w:pPr>
        <w:ind w:firstLine="993"/>
        <w:jc w:val="both"/>
        <w:rPr>
          <w:lang w:eastAsia="lt-LT"/>
        </w:rPr>
      </w:pPr>
      <w:r>
        <w:rPr>
          <w:lang w:eastAsia="lt-LT"/>
        </w:rPr>
        <w:t>6.23.8.</w:t>
      </w:r>
      <w:r>
        <w:rPr>
          <w:i/>
          <w:iCs/>
          <w:lang w:eastAsia="lt-LT"/>
        </w:rPr>
        <w:t xml:space="preserve"> </w:t>
      </w:r>
      <w:r>
        <w:rPr>
          <w:lang w:eastAsia="lt-LT"/>
        </w:rPr>
        <w:t>Vienetų</w:t>
      </w:r>
      <w:r>
        <w:rPr>
          <w:i/>
          <w:iCs/>
          <w:lang w:eastAsia="lt-LT"/>
        </w:rPr>
        <w:t xml:space="preserve"> </w:t>
      </w:r>
      <w:r>
        <w:rPr>
          <w:lang w:eastAsia="lt-LT"/>
        </w:rPr>
        <w:t>patirtos</w:t>
      </w:r>
      <w:r>
        <w:rPr>
          <w:i/>
          <w:iCs/>
          <w:lang w:eastAsia="lt-LT"/>
        </w:rPr>
        <w:t xml:space="preserve"> </w:t>
      </w:r>
      <w:r>
        <w:rPr>
          <w:lang w:eastAsia="lt-LT"/>
        </w:rPr>
        <w:t>draudimo</w:t>
      </w:r>
      <w:r>
        <w:rPr>
          <w:i/>
          <w:iCs/>
          <w:lang w:eastAsia="lt-LT"/>
        </w:rPr>
        <w:t xml:space="preserve"> </w:t>
      </w:r>
      <w:r>
        <w:rPr>
          <w:lang w:eastAsia="lt-LT"/>
        </w:rPr>
        <w:t>įmokų</w:t>
      </w:r>
      <w:r>
        <w:rPr>
          <w:i/>
          <w:iCs/>
          <w:lang w:eastAsia="lt-LT"/>
        </w:rPr>
        <w:t xml:space="preserve"> </w:t>
      </w:r>
      <w:r>
        <w:rPr>
          <w:lang w:eastAsia="lt-LT"/>
        </w:rPr>
        <w:t>sąnaudos,</w:t>
      </w:r>
      <w:r>
        <w:rPr>
          <w:i/>
          <w:iCs/>
          <w:lang w:eastAsia="lt-LT"/>
        </w:rPr>
        <w:t xml:space="preserve"> </w:t>
      </w:r>
      <w:r>
        <w:rPr>
          <w:lang w:eastAsia="lt-LT"/>
        </w:rPr>
        <w:t>būtinos</w:t>
      </w:r>
      <w:r>
        <w:rPr>
          <w:i/>
          <w:iCs/>
          <w:lang w:eastAsia="lt-LT"/>
        </w:rPr>
        <w:t xml:space="preserve"> </w:t>
      </w:r>
      <w:r>
        <w:rPr>
          <w:lang w:eastAsia="lt-LT"/>
        </w:rPr>
        <w:t>pajamoms</w:t>
      </w:r>
      <w:r>
        <w:rPr>
          <w:i/>
          <w:iCs/>
          <w:lang w:eastAsia="lt-LT"/>
        </w:rPr>
        <w:t xml:space="preserve"> </w:t>
      </w:r>
      <w:r>
        <w:rPr>
          <w:lang w:eastAsia="lt-LT"/>
        </w:rPr>
        <w:t>uždirbti</w:t>
      </w:r>
      <w:r>
        <w:rPr>
          <w:i/>
          <w:iCs/>
          <w:lang w:eastAsia="lt-LT"/>
        </w:rPr>
        <w:t xml:space="preserve"> </w:t>
      </w:r>
      <w:r>
        <w:rPr>
          <w:lang w:eastAsia="lt-LT"/>
        </w:rPr>
        <w:t>ar</w:t>
      </w:r>
      <w:r>
        <w:rPr>
          <w:i/>
          <w:iCs/>
          <w:lang w:eastAsia="lt-LT"/>
        </w:rPr>
        <w:t xml:space="preserve"> </w:t>
      </w:r>
      <w:r>
        <w:rPr>
          <w:lang w:eastAsia="lt-LT"/>
        </w:rPr>
        <w:t>ekonominei</w:t>
      </w:r>
      <w:r>
        <w:rPr>
          <w:i/>
          <w:iCs/>
          <w:lang w:eastAsia="lt-LT"/>
        </w:rPr>
        <w:t xml:space="preserve"> </w:t>
      </w:r>
      <w:r>
        <w:rPr>
          <w:lang w:eastAsia="lt-LT"/>
        </w:rPr>
        <w:t>naudai</w:t>
      </w:r>
      <w:r>
        <w:rPr>
          <w:i/>
          <w:iCs/>
          <w:lang w:eastAsia="lt-LT"/>
        </w:rPr>
        <w:t xml:space="preserve"> </w:t>
      </w:r>
      <w:r>
        <w:rPr>
          <w:lang w:eastAsia="lt-LT"/>
        </w:rPr>
        <w:t>gauti,</w:t>
      </w:r>
      <w:r>
        <w:rPr>
          <w:i/>
          <w:iCs/>
          <w:lang w:eastAsia="lt-LT"/>
        </w:rPr>
        <w:t xml:space="preserve"> </w:t>
      </w:r>
      <w:r>
        <w:rPr>
          <w:lang w:eastAsia="lt-LT"/>
        </w:rPr>
        <w:t>pripažįstamos</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neatsižvelgiant</w:t>
      </w:r>
      <w:r>
        <w:rPr>
          <w:i/>
          <w:iCs/>
          <w:lang w:eastAsia="lt-LT"/>
        </w:rPr>
        <w:t xml:space="preserve"> </w:t>
      </w:r>
      <w:r>
        <w:rPr>
          <w:lang w:eastAsia="lt-LT"/>
        </w:rPr>
        <w:t>į</w:t>
      </w:r>
      <w:r>
        <w:rPr>
          <w:i/>
          <w:iCs/>
          <w:lang w:eastAsia="lt-LT"/>
        </w:rPr>
        <w:t xml:space="preserve"> </w:t>
      </w:r>
      <w:r>
        <w:rPr>
          <w:lang w:eastAsia="lt-LT"/>
        </w:rPr>
        <w:t>tai,</w:t>
      </w:r>
      <w:r>
        <w:rPr>
          <w:i/>
          <w:iCs/>
          <w:lang w:eastAsia="lt-LT"/>
        </w:rPr>
        <w:t xml:space="preserve"> </w:t>
      </w:r>
      <w:r>
        <w:rPr>
          <w:lang w:eastAsia="lt-LT"/>
        </w:rPr>
        <w:t>ar</w:t>
      </w:r>
      <w:r>
        <w:rPr>
          <w:i/>
          <w:iCs/>
          <w:lang w:eastAsia="lt-LT"/>
        </w:rPr>
        <w:t xml:space="preserve"> </w:t>
      </w:r>
      <w:r>
        <w:rPr>
          <w:lang w:eastAsia="lt-LT"/>
        </w:rPr>
        <w:t>šių</w:t>
      </w:r>
      <w:r>
        <w:rPr>
          <w:i/>
          <w:iCs/>
          <w:lang w:eastAsia="lt-LT"/>
        </w:rPr>
        <w:t xml:space="preserve"> </w:t>
      </w:r>
      <w:r>
        <w:rPr>
          <w:lang w:eastAsia="lt-LT"/>
        </w:rPr>
        <w:t>įmokų</w:t>
      </w:r>
      <w:r>
        <w:rPr>
          <w:i/>
          <w:iCs/>
          <w:lang w:eastAsia="lt-LT"/>
        </w:rPr>
        <w:t xml:space="preserve"> </w:t>
      </w:r>
      <w:r>
        <w:rPr>
          <w:lang w:eastAsia="lt-LT"/>
        </w:rPr>
        <w:t>gavėjai</w:t>
      </w:r>
      <w:r>
        <w:rPr>
          <w:i/>
          <w:iCs/>
          <w:lang w:eastAsia="lt-LT"/>
        </w:rPr>
        <w:t xml:space="preserve"> </w:t>
      </w:r>
      <w:r>
        <w:rPr>
          <w:lang w:eastAsia="lt-LT"/>
        </w:rPr>
        <w:t>yra</w:t>
      </w:r>
      <w:r>
        <w:rPr>
          <w:i/>
          <w:iCs/>
          <w:lang w:eastAsia="lt-LT"/>
        </w:rPr>
        <w:t xml:space="preserve"> </w:t>
      </w:r>
      <w:r>
        <w:rPr>
          <w:lang w:eastAsia="lt-LT"/>
        </w:rPr>
        <w:t>Lietuvos</w:t>
      </w:r>
      <w:r>
        <w:rPr>
          <w:i/>
          <w:iCs/>
          <w:lang w:eastAsia="lt-LT"/>
        </w:rPr>
        <w:t xml:space="preserve"> </w:t>
      </w:r>
      <w:r>
        <w:rPr>
          <w:lang w:eastAsia="lt-LT"/>
        </w:rPr>
        <w:t>vienetai,</w:t>
      </w:r>
      <w:r>
        <w:rPr>
          <w:i/>
          <w:iCs/>
          <w:lang w:eastAsia="lt-LT"/>
        </w:rPr>
        <w:t xml:space="preserve"> </w:t>
      </w:r>
      <w:r>
        <w:rPr>
          <w:lang w:eastAsia="lt-LT"/>
        </w:rPr>
        <w:t>ar</w:t>
      </w:r>
      <w:r>
        <w:rPr>
          <w:i/>
          <w:iCs/>
          <w:lang w:eastAsia="lt-LT"/>
        </w:rPr>
        <w:t xml:space="preserve"> </w:t>
      </w:r>
      <w:r>
        <w:rPr>
          <w:lang w:eastAsia="lt-LT"/>
        </w:rPr>
        <w:t>užsienio</w:t>
      </w:r>
      <w:r>
        <w:rPr>
          <w:i/>
          <w:iCs/>
          <w:lang w:eastAsia="lt-LT"/>
        </w:rPr>
        <w:t xml:space="preserve"> </w:t>
      </w:r>
      <w:r>
        <w:rPr>
          <w:lang w:eastAsia="lt-LT"/>
        </w:rPr>
        <w:t>vienetai.</w:t>
      </w:r>
      <w:r>
        <w:rPr>
          <w:i/>
          <w:iCs/>
          <w:lang w:eastAsia="lt-LT"/>
        </w:rPr>
        <w:t xml:space="preserve"> </w:t>
      </w:r>
    </w:p>
    <w:p w14:paraId="5D75081D" w14:textId="77777777" w:rsidR="00093845" w:rsidRDefault="000D779E">
      <w:pPr>
        <w:ind w:firstLine="993"/>
        <w:jc w:val="both"/>
        <w:rPr>
          <w:lang w:eastAsia="lt-LT"/>
        </w:rPr>
      </w:pPr>
      <w:r>
        <w:rPr>
          <w:lang w:eastAsia="lt-LT"/>
        </w:rPr>
        <w:t>Draudimo</w:t>
      </w:r>
      <w:r>
        <w:rPr>
          <w:i/>
          <w:iCs/>
          <w:lang w:eastAsia="lt-LT"/>
        </w:rPr>
        <w:t xml:space="preserve"> </w:t>
      </w:r>
      <w:r>
        <w:rPr>
          <w:lang w:eastAsia="lt-LT"/>
        </w:rPr>
        <w:t>įmokų</w:t>
      </w:r>
      <w:r>
        <w:rPr>
          <w:i/>
          <w:iCs/>
          <w:lang w:eastAsia="lt-LT"/>
        </w:rPr>
        <w:t xml:space="preserve"> </w:t>
      </w:r>
      <w:r>
        <w:rPr>
          <w:lang w:eastAsia="lt-LT"/>
        </w:rPr>
        <w:t>sąnaudos,</w:t>
      </w:r>
      <w:r>
        <w:rPr>
          <w:i/>
          <w:iCs/>
          <w:lang w:eastAsia="lt-LT"/>
        </w:rPr>
        <w:t xml:space="preserve"> </w:t>
      </w:r>
      <w:r>
        <w:rPr>
          <w:lang w:eastAsia="lt-LT"/>
        </w:rPr>
        <w:t>mokamos</w:t>
      </w:r>
      <w:r>
        <w:rPr>
          <w:i/>
          <w:iCs/>
          <w:lang w:eastAsia="lt-LT"/>
        </w:rPr>
        <w:t xml:space="preserve"> </w:t>
      </w:r>
      <w:r>
        <w:rPr>
          <w:lang w:eastAsia="lt-LT"/>
        </w:rPr>
        <w:t>užsienio</w:t>
      </w:r>
      <w:r>
        <w:rPr>
          <w:i/>
          <w:iCs/>
          <w:lang w:eastAsia="lt-LT"/>
        </w:rPr>
        <w:t xml:space="preserve"> </w:t>
      </w:r>
      <w:r>
        <w:rPr>
          <w:lang w:eastAsia="lt-LT"/>
        </w:rPr>
        <w:t>vienetams,</w:t>
      </w:r>
      <w:r>
        <w:rPr>
          <w:i/>
          <w:iCs/>
          <w:lang w:eastAsia="lt-LT"/>
        </w:rPr>
        <w:t xml:space="preserve"> </w:t>
      </w:r>
      <w:r>
        <w:rPr>
          <w:lang w:eastAsia="lt-LT"/>
        </w:rPr>
        <w:t>įregistruotiems</w:t>
      </w:r>
      <w:r>
        <w:rPr>
          <w:i/>
          <w:iCs/>
          <w:lang w:eastAsia="lt-LT"/>
        </w:rPr>
        <w:t xml:space="preserve"> </w:t>
      </w:r>
      <w:r>
        <w:rPr>
          <w:lang w:eastAsia="lt-LT"/>
        </w:rPr>
        <w:t>ar</w:t>
      </w:r>
      <w:r>
        <w:rPr>
          <w:i/>
          <w:iCs/>
          <w:lang w:eastAsia="lt-LT"/>
        </w:rPr>
        <w:t xml:space="preserve"> </w:t>
      </w:r>
      <w:r>
        <w:rPr>
          <w:lang w:eastAsia="lt-LT"/>
        </w:rPr>
        <w:t>kitaip</w:t>
      </w:r>
      <w:r>
        <w:rPr>
          <w:i/>
          <w:iCs/>
          <w:lang w:eastAsia="lt-LT"/>
        </w:rPr>
        <w:t xml:space="preserve"> </w:t>
      </w:r>
      <w:r>
        <w:rPr>
          <w:lang w:eastAsia="lt-LT"/>
        </w:rPr>
        <w:t>organizuotiems</w:t>
      </w:r>
      <w:r>
        <w:rPr>
          <w:i/>
          <w:iCs/>
          <w:lang w:eastAsia="lt-LT"/>
        </w:rPr>
        <w:t xml:space="preserve"> </w:t>
      </w:r>
      <w:r>
        <w:rPr>
          <w:lang w:eastAsia="lt-LT"/>
        </w:rPr>
        <w:t>tikslinėse</w:t>
      </w:r>
      <w:r>
        <w:rPr>
          <w:i/>
          <w:iCs/>
          <w:lang w:eastAsia="lt-LT"/>
        </w:rPr>
        <w:t xml:space="preserve"> </w:t>
      </w:r>
      <w:r>
        <w:rPr>
          <w:lang w:eastAsia="lt-LT"/>
        </w:rPr>
        <w:t>teritorijose,</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priskiriamos</w:t>
      </w:r>
      <w:r>
        <w:rPr>
          <w:i/>
          <w:iCs/>
          <w:lang w:eastAsia="lt-LT"/>
        </w:rPr>
        <w:t xml:space="preserve"> </w:t>
      </w:r>
      <w:r>
        <w:rPr>
          <w:lang w:eastAsia="lt-LT"/>
        </w:rPr>
        <w:t>tuo</w:t>
      </w:r>
      <w:r>
        <w:rPr>
          <w:i/>
          <w:iCs/>
          <w:lang w:eastAsia="lt-LT"/>
        </w:rPr>
        <w:t xml:space="preserve"> </w:t>
      </w:r>
      <w:r>
        <w:rPr>
          <w:lang w:eastAsia="lt-LT"/>
        </w:rPr>
        <w:t>atveju,</w:t>
      </w:r>
      <w:r>
        <w:rPr>
          <w:i/>
          <w:iCs/>
          <w:lang w:eastAsia="lt-LT"/>
        </w:rPr>
        <w:t xml:space="preserve"> </w:t>
      </w:r>
      <w:r>
        <w:rPr>
          <w:lang w:eastAsia="lt-LT"/>
        </w:rPr>
        <w:t>jeigu</w:t>
      </w:r>
      <w:r>
        <w:rPr>
          <w:i/>
          <w:iCs/>
          <w:lang w:eastAsia="lt-LT"/>
        </w:rPr>
        <w:t xml:space="preserve"> </w:t>
      </w:r>
      <w:r>
        <w:rPr>
          <w:lang w:eastAsia="lt-LT"/>
        </w:rPr>
        <w:t>vienetai</w:t>
      </w:r>
      <w:r>
        <w:rPr>
          <w:i/>
          <w:iCs/>
          <w:lang w:eastAsia="lt-LT"/>
        </w:rPr>
        <w:t xml:space="preserve"> </w:t>
      </w:r>
      <w:r>
        <w:rPr>
          <w:lang w:eastAsia="lt-LT"/>
        </w:rPr>
        <w:t>turi</w:t>
      </w:r>
      <w:r>
        <w:rPr>
          <w:i/>
          <w:iCs/>
          <w:lang w:eastAsia="lt-LT"/>
        </w:rPr>
        <w:t xml:space="preserve"> </w:t>
      </w:r>
      <w:r>
        <w:rPr>
          <w:lang w:eastAsia="lt-LT"/>
        </w:rPr>
        <w:t>Valstybinės</w:t>
      </w:r>
      <w:r>
        <w:rPr>
          <w:i/>
          <w:iCs/>
          <w:lang w:eastAsia="lt-LT"/>
        </w:rPr>
        <w:t xml:space="preserve"> </w:t>
      </w:r>
      <w:r>
        <w:rPr>
          <w:lang w:eastAsia="lt-LT"/>
        </w:rPr>
        <w:t>mokesčių</w:t>
      </w:r>
      <w:r>
        <w:rPr>
          <w:i/>
          <w:iCs/>
          <w:lang w:eastAsia="lt-LT"/>
        </w:rPr>
        <w:t xml:space="preserve"> </w:t>
      </w:r>
      <w:r>
        <w:rPr>
          <w:lang w:eastAsia="lt-LT"/>
        </w:rPr>
        <w:t>inspekcijos</w:t>
      </w:r>
      <w:r>
        <w:rPr>
          <w:i/>
          <w:iCs/>
          <w:lang w:eastAsia="lt-LT"/>
        </w:rPr>
        <w:t xml:space="preserve"> </w:t>
      </w:r>
      <w:r>
        <w:rPr>
          <w:lang w:eastAsia="lt-LT"/>
        </w:rPr>
        <w:t>prie</w:t>
      </w:r>
      <w:r>
        <w:rPr>
          <w:i/>
          <w:iCs/>
          <w:lang w:eastAsia="lt-LT"/>
        </w:rPr>
        <w:t xml:space="preserve"> </w:t>
      </w:r>
      <w:r>
        <w:rPr>
          <w:lang w:eastAsia="lt-LT"/>
        </w:rPr>
        <w:t>Finansų</w:t>
      </w:r>
      <w:r>
        <w:rPr>
          <w:i/>
          <w:iCs/>
          <w:lang w:eastAsia="lt-LT"/>
        </w:rPr>
        <w:t xml:space="preserve"> </w:t>
      </w:r>
      <w:r>
        <w:rPr>
          <w:lang w:eastAsia="lt-LT"/>
        </w:rPr>
        <w:t>ministerijos</w:t>
      </w:r>
      <w:r>
        <w:rPr>
          <w:i/>
          <w:iCs/>
          <w:lang w:eastAsia="lt-LT"/>
        </w:rPr>
        <w:t xml:space="preserve"> </w:t>
      </w:r>
      <w:r>
        <w:rPr>
          <w:lang w:eastAsia="lt-LT"/>
        </w:rPr>
        <w:t>2002</w:t>
      </w:r>
      <w:r>
        <w:rPr>
          <w:i/>
          <w:iCs/>
          <w:lang w:eastAsia="lt-LT"/>
        </w:rPr>
        <w:t xml:space="preserve"> </w:t>
      </w:r>
      <w:r>
        <w:rPr>
          <w:lang w:eastAsia="lt-LT"/>
        </w:rPr>
        <w:t>m.</w:t>
      </w:r>
      <w:r>
        <w:rPr>
          <w:i/>
          <w:iCs/>
          <w:lang w:eastAsia="lt-LT"/>
        </w:rPr>
        <w:t xml:space="preserve"> </w:t>
      </w:r>
      <w:r>
        <w:rPr>
          <w:lang w:eastAsia="lt-LT"/>
        </w:rPr>
        <w:t>rugsėjo</w:t>
      </w:r>
      <w:r>
        <w:rPr>
          <w:i/>
          <w:iCs/>
          <w:lang w:eastAsia="lt-LT"/>
        </w:rPr>
        <w:t xml:space="preserve"> </w:t>
      </w:r>
      <w:r>
        <w:rPr>
          <w:lang w:eastAsia="lt-LT"/>
        </w:rPr>
        <w:t>4</w:t>
      </w:r>
      <w:r>
        <w:rPr>
          <w:i/>
          <w:iCs/>
          <w:lang w:eastAsia="lt-LT"/>
        </w:rPr>
        <w:t xml:space="preserve"> </w:t>
      </w:r>
      <w:r>
        <w:rPr>
          <w:lang w:eastAsia="lt-LT"/>
        </w:rPr>
        <w:t>d.</w:t>
      </w:r>
      <w:r>
        <w:rPr>
          <w:i/>
          <w:iCs/>
          <w:lang w:eastAsia="lt-LT"/>
        </w:rPr>
        <w:t xml:space="preserve"> </w:t>
      </w:r>
      <w:r>
        <w:rPr>
          <w:lang w:eastAsia="lt-LT"/>
        </w:rPr>
        <w:t>įsakymu</w:t>
      </w:r>
      <w:r>
        <w:rPr>
          <w:i/>
          <w:iCs/>
          <w:lang w:eastAsia="lt-LT"/>
        </w:rPr>
        <w:t xml:space="preserve"> </w:t>
      </w:r>
      <w:r>
        <w:rPr>
          <w:lang w:eastAsia="lt-LT"/>
        </w:rPr>
        <w:t>Nr.</w:t>
      </w:r>
      <w:r>
        <w:rPr>
          <w:i/>
          <w:iCs/>
          <w:lang w:eastAsia="lt-LT"/>
        </w:rPr>
        <w:t xml:space="preserve"> </w:t>
      </w:r>
      <w:r>
        <w:rPr>
          <w:lang w:eastAsia="lt-LT"/>
        </w:rPr>
        <w:t>258</w:t>
      </w:r>
      <w:r>
        <w:rPr>
          <w:i/>
          <w:iCs/>
          <w:lang w:eastAsia="lt-LT"/>
        </w:rPr>
        <w:t xml:space="preserve"> </w:t>
      </w:r>
      <w:r>
        <w:rPr>
          <w:lang w:eastAsia="lt-LT"/>
        </w:rPr>
        <w:t>patvirtintose</w:t>
      </w:r>
      <w:r>
        <w:rPr>
          <w:i/>
          <w:iCs/>
          <w:lang w:eastAsia="lt-LT"/>
        </w:rPr>
        <w:t xml:space="preserve"> </w:t>
      </w:r>
      <w:r>
        <w:rPr>
          <w:lang w:eastAsia="lt-LT"/>
        </w:rPr>
        <w:t>Lietuvos</w:t>
      </w:r>
      <w:r>
        <w:rPr>
          <w:i/>
          <w:iCs/>
          <w:lang w:eastAsia="lt-LT"/>
        </w:rPr>
        <w:t xml:space="preserve"> </w:t>
      </w:r>
      <w:r>
        <w:rPr>
          <w:lang w:eastAsia="lt-LT"/>
        </w:rPr>
        <w:t>vieneto</w:t>
      </w:r>
      <w:r>
        <w:rPr>
          <w:i/>
          <w:iCs/>
          <w:lang w:eastAsia="lt-LT"/>
        </w:rPr>
        <w:t xml:space="preserve"> </w:t>
      </w:r>
      <w:r>
        <w:rPr>
          <w:lang w:eastAsia="lt-LT"/>
        </w:rPr>
        <w:t>arba</w:t>
      </w:r>
      <w:r>
        <w:rPr>
          <w:i/>
          <w:iCs/>
          <w:lang w:eastAsia="lt-LT"/>
        </w:rPr>
        <w:t xml:space="preserve"> </w:t>
      </w:r>
      <w:r>
        <w:rPr>
          <w:lang w:eastAsia="lt-LT"/>
        </w:rPr>
        <w:t>per</w:t>
      </w:r>
      <w:r>
        <w:rPr>
          <w:i/>
          <w:iCs/>
          <w:lang w:eastAsia="lt-LT"/>
        </w:rPr>
        <w:t xml:space="preserve"> </w:t>
      </w:r>
      <w:r>
        <w:rPr>
          <w:lang w:eastAsia="lt-LT"/>
        </w:rPr>
        <w:t>nuolatinę</w:t>
      </w:r>
      <w:r>
        <w:rPr>
          <w:i/>
          <w:iCs/>
          <w:lang w:eastAsia="lt-LT"/>
        </w:rPr>
        <w:t xml:space="preserve"> </w:t>
      </w:r>
      <w:r>
        <w:rPr>
          <w:lang w:eastAsia="lt-LT"/>
        </w:rPr>
        <w:t>buveinę</w:t>
      </w:r>
      <w:r>
        <w:rPr>
          <w:i/>
          <w:iCs/>
          <w:lang w:eastAsia="lt-LT"/>
        </w:rPr>
        <w:t xml:space="preserve"> </w:t>
      </w:r>
      <w:r>
        <w:rPr>
          <w:lang w:eastAsia="lt-LT"/>
        </w:rPr>
        <w:t>veikiančio</w:t>
      </w:r>
      <w:r>
        <w:rPr>
          <w:i/>
          <w:iCs/>
          <w:lang w:eastAsia="lt-LT"/>
        </w:rPr>
        <w:t xml:space="preserve"> </w:t>
      </w:r>
      <w:r>
        <w:rPr>
          <w:lang w:eastAsia="lt-LT"/>
        </w:rPr>
        <w:t>užsienio</w:t>
      </w:r>
      <w:r>
        <w:rPr>
          <w:i/>
          <w:iCs/>
          <w:lang w:eastAsia="lt-LT"/>
        </w:rPr>
        <w:t xml:space="preserve"> </w:t>
      </w:r>
      <w:r>
        <w:rPr>
          <w:lang w:eastAsia="lt-LT"/>
        </w:rPr>
        <w:t>vieneto</w:t>
      </w:r>
      <w:r>
        <w:rPr>
          <w:i/>
          <w:iCs/>
          <w:lang w:eastAsia="lt-LT"/>
        </w:rPr>
        <w:t xml:space="preserve"> </w:t>
      </w:r>
      <w:r>
        <w:rPr>
          <w:lang w:eastAsia="lt-LT"/>
        </w:rPr>
        <w:t>tikslinėse</w:t>
      </w:r>
      <w:r>
        <w:rPr>
          <w:i/>
          <w:iCs/>
          <w:lang w:eastAsia="lt-LT"/>
        </w:rPr>
        <w:t xml:space="preserve"> </w:t>
      </w:r>
      <w:r>
        <w:rPr>
          <w:lang w:eastAsia="lt-LT"/>
        </w:rPr>
        <w:t>teritorijose</w:t>
      </w:r>
      <w:r>
        <w:rPr>
          <w:i/>
          <w:iCs/>
          <w:lang w:eastAsia="lt-LT"/>
        </w:rPr>
        <w:t xml:space="preserve"> </w:t>
      </w:r>
      <w:r>
        <w:rPr>
          <w:lang w:eastAsia="lt-LT"/>
        </w:rPr>
        <w:t>įregistruotiems</w:t>
      </w:r>
      <w:r>
        <w:rPr>
          <w:i/>
          <w:iCs/>
          <w:lang w:eastAsia="lt-LT"/>
        </w:rPr>
        <w:t xml:space="preserve"> </w:t>
      </w:r>
      <w:r>
        <w:rPr>
          <w:lang w:eastAsia="lt-LT"/>
        </w:rPr>
        <w:t>ar</w:t>
      </w:r>
      <w:r>
        <w:rPr>
          <w:i/>
          <w:iCs/>
          <w:lang w:eastAsia="lt-LT"/>
        </w:rPr>
        <w:t xml:space="preserve"> </w:t>
      </w:r>
      <w:r>
        <w:rPr>
          <w:lang w:eastAsia="lt-LT"/>
        </w:rPr>
        <w:t>kitaip</w:t>
      </w:r>
      <w:r>
        <w:rPr>
          <w:i/>
          <w:iCs/>
          <w:lang w:eastAsia="lt-LT"/>
        </w:rPr>
        <w:t xml:space="preserve"> </w:t>
      </w:r>
      <w:r>
        <w:rPr>
          <w:lang w:eastAsia="lt-LT"/>
        </w:rPr>
        <w:t>organizuotiems</w:t>
      </w:r>
      <w:r>
        <w:rPr>
          <w:i/>
          <w:iCs/>
          <w:lang w:eastAsia="lt-LT"/>
        </w:rPr>
        <w:t xml:space="preserve"> </w:t>
      </w:r>
      <w:r>
        <w:rPr>
          <w:lang w:eastAsia="lt-LT"/>
        </w:rPr>
        <w:t>užsienio</w:t>
      </w:r>
      <w:r>
        <w:rPr>
          <w:i/>
          <w:iCs/>
          <w:lang w:eastAsia="lt-LT"/>
        </w:rPr>
        <w:t xml:space="preserve"> </w:t>
      </w:r>
      <w:r>
        <w:rPr>
          <w:lang w:eastAsia="lt-LT"/>
        </w:rPr>
        <w:t>vienetams</w:t>
      </w:r>
      <w:r>
        <w:rPr>
          <w:i/>
          <w:iCs/>
          <w:lang w:eastAsia="lt-LT"/>
        </w:rPr>
        <w:t xml:space="preserve"> </w:t>
      </w:r>
      <w:r>
        <w:rPr>
          <w:lang w:eastAsia="lt-LT"/>
        </w:rPr>
        <w:t>išmokamų</w:t>
      </w:r>
      <w:r>
        <w:rPr>
          <w:i/>
          <w:iCs/>
          <w:lang w:eastAsia="lt-LT"/>
        </w:rPr>
        <w:t xml:space="preserve"> </w:t>
      </w:r>
      <w:r>
        <w:rPr>
          <w:lang w:eastAsia="lt-LT"/>
        </w:rPr>
        <w:t>išmokų</w:t>
      </w:r>
      <w:r>
        <w:rPr>
          <w:i/>
          <w:iCs/>
          <w:lang w:eastAsia="lt-LT"/>
        </w:rPr>
        <w:t xml:space="preserve"> </w:t>
      </w:r>
      <w:r>
        <w:rPr>
          <w:lang w:eastAsia="lt-LT"/>
        </w:rPr>
        <w:t>pripažinimo</w:t>
      </w:r>
      <w:r>
        <w:rPr>
          <w:i/>
          <w:iCs/>
          <w:lang w:eastAsia="lt-LT"/>
        </w:rPr>
        <w:t xml:space="preserve"> </w:t>
      </w:r>
      <w:r>
        <w:rPr>
          <w:lang w:eastAsia="lt-LT"/>
        </w:rPr>
        <w:t>leidžiamais</w:t>
      </w:r>
      <w:r>
        <w:rPr>
          <w:i/>
          <w:iCs/>
          <w:lang w:eastAsia="lt-LT"/>
        </w:rPr>
        <w:t xml:space="preserve"> </w:t>
      </w:r>
      <w:r>
        <w:rPr>
          <w:lang w:eastAsia="lt-LT"/>
        </w:rPr>
        <w:t>atskaitymais</w:t>
      </w:r>
      <w:r>
        <w:rPr>
          <w:i/>
          <w:iCs/>
          <w:lang w:eastAsia="lt-LT"/>
        </w:rPr>
        <w:t xml:space="preserve"> </w:t>
      </w:r>
      <w:r>
        <w:rPr>
          <w:lang w:eastAsia="lt-LT"/>
        </w:rPr>
        <w:t>įrodymų</w:t>
      </w:r>
      <w:r>
        <w:rPr>
          <w:i/>
          <w:iCs/>
          <w:lang w:eastAsia="lt-LT"/>
        </w:rPr>
        <w:t xml:space="preserve"> </w:t>
      </w:r>
      <w:r>
        <w:rPr>
          <w:lang w:eastAsia="lt-LT"/>
        </w:rPr>
        <w:t>pateikimo</w:t>
      </w:r>
      <w:r>
        <w:rPr>
          <w:i/>
          <w:iCs/>
          <w:lang w:eastAsia="lt-LT"/>
        </w:rPr>
        <w:t xml:space="preserve"> </w:t>
      </w:r>
      <w:r>
        <w:rPr>
          <w:lang w:eastAsia="lt-LT"/>
        </w:rPr>
        <w:t>vietos</w:t>
      </w:r>
      <w:r>
        <w:rPr>
          <w:i/>
          <w:iCs/>
          <w:lang w:eastAsia="lt-LT"/>
        </w:rPr>
        <w:t xml:space="preserve"> </w:t>
      </w:r>
      <w:r>
        <w:rPr>
          <w:lang w:eastAsia="lt-LT"/>
        </w:rPr>
        <w:t>mokesčių</w:t>
      </w:r>
      <w:r>
        <w:rPr>
          <w:i/>
          <w:iCs/>
          <w:lang w:eastAsia="lt-LT"/>
        </w:rPr>
        <w:t xml:space="preserve"> </w:t>
      </w:r>
      <w:r>
        <w:rPr>
          <w:lang w:eastAsia="lt-LT"/>
        </w:rPr>
        <w:t>administratoriui</w:t>
      </w:r>
      <w:r>
        <w:rPr>
          <w:i/>
          <w:iCs/>
          <w:lang w:eastAsia="lt-LT"/>
        </w:rPr>
        <w:t xml:space="preserve"> </w:t>
      </w:r>
      <w:r>
        <w:rPr>
          <w:lang w:eastAsia="lt-LT"/>
        </w:rPr>
        <w:t>taisyklėse</w:t>
      </w:r>
      <w:r>
        <w:rPr>
          <w:i/>
          <w:iCs/>
          <w:lang w:eastAsia="lt-LT"/>
        </w:rPr>
        <w:t xml:space="preserve"> </w:t>
      </w:r>
      <w:r>
        <w:rPr>
          <w:lang w:eastAsia="lt-LT"/>
        </w:rPr>
        <w:t>nustatytus</w:t>
      </w:r>
      <w:r>
        <w:rPr>
          <w:i/>
          <w:iCs/>
          <w:lang w:eastAsia="lt-LT"/>
        </w:rPr>
        <w:t xml:space="preserve"> </w:t>
      </w:r>
      <w:r>
        <w:rPr>
          <w:lang w:eastAsia="lt-LT"/>
        </w:rPr>
        <w:t>tas</w:t>
      </w:r>
      <w:r>
        <w:rPr>
          <w:i/>
          <w:iCs/>
          <w:lang w:eastAsia="lt-LT"/>
        </w:rPr>
        <w:t xml:space="preserve"> </w:t>
      </w:r>
      <w:r>
        <w:rPr>
          <w:lang w:eastAsia="lt-LT"/>
        </w:rPr>
        <w:t>sąnaudas</w:t>
      </w:r>
      <w:r>
        <w:rPr>
          <w:i/>
          <w:iCs/>
          <w:lang w:eastAsia="lt-LT"/>
        </w:rPr>
        <w:t xml:space="preserve"> </w:t>
      </w:r>
      <w:r>
        <w:rPr>
          <w:lang w:eastAsia="lt-LT"/>
        </w:rPr>
        <w:t>pagrindžiančius</w:t>
      </w:r>
      <w:r>
        <w:rPr>
          <w:i/>
          <w:iCs/>
          <w:lang w:eastAsia="lt-LT"/>
        </w:rPr>
        <w:t xml:space="preserve"> </w:t>
      </w:r>
      <w:r>
        <w:rPr>
          <w:lang w:eastAsia="lt-LT"/>
        </w:rPr>
        <w:t>įrodymus.</w:t>
      </w:r>
      <w:r>
        <w:rPr>
          <w:i/>
          <w:iCs/>
          <w:lang w:eastAsia="lt-LT"/>
        </w:rPr>
        <w:t xml:space="preserve"> </w:t>
      </w:r>
    </w:p>
    <w:p w14:paraId="6DC5162D" w14:textId="77777777" w:rsidR="00B80B27" w:rsidRPr="005E7ED8" w:rsidRDefault="00B80B27" w:rsidP="00B80B27">
      <w:pPr>
        <w:ind w:firstLine="709"/>
        <w:jc w:val="both"/>
        <w:rPr>
          <w:b/>
          <w:bCs/>
        </w:rPr>
      </w:pPr>
      <w:r>
        <w:rPr>
          <w:b/>
          <w:bCs/>
        </w:rPr>
        <w:t xml:space="preserve"> </w:t>
      </w:r>
      <w:r w:rsidRPr="005E7ED8">
        <w:rPr>
          <w:b/>
          <w:bCs/>
        </w:rPr>
        <w:t>6.24. Dėl palūkanų už paskolas ir įmokų, susijusių su paskolų garantijų gavimu.</w:t>
      </w:r>
    </w:p>
    <w:p w14:paraId="3CF0ADCA" w14:textId="77777777" w:rsidR="00B80B27" w:rsidRPr="009E57DE" w:rsidRDefault="00B80B27" w:rsidP="00B80B27">
      <w:pPr>
        <w:ind w:firstLine="709"/>
        <w:jc w:val="both"/>
      </w:pPr>
      <w:r w:rsidRPr="009E57DE">
        <w:t>Sąnaudomis, priskiriamomis prie leidžiamų atskaitymų, laikomos palūkanos už bet kokios rūšies paskolas, įskaitant lizingą (finansinę nuomą), prekių pirkimą išsimokėtinai, palūkanas, mokamas už indėlius bei vertybinius popierius (palūkanomis nelaikomos netesybos (baudos, delspinigiai) už sutarčių nevykdymą ir kitos ekonominės sankcijos).</w:t>
      </w:r>
    </w:p>
    <w:p w14:paraId="7847F885" w14:textId="77777777" w:rsidR="00B80B27" w:rsidRPr="009E57DE" w:rsidRDefault="00B80B27" w:rsidP="00B80B27">
      <w:pPr>
        <w:ind w:firstLine="709"/>
        <w:jc w:val="both"/>
        <w:rPr>
          <w:bCs/>
        </w:rPr>
      </w:pPr>
      <w:r w:rsidRPr="009E57DE">
        <w:rPr>
          <w:bCs/>
        </w:rPr>
        <w:t>Jeigu vienetas paima paskolą, tai palūkanų sąnaudos, apskaičiuojant paskolą paėmusio vieneto apmokestinamąjį pelną, priskiriamos leidžiamiems atskaitymams remiantis PMĮ 17 straipsnio nuostatomis, jei iš tokios paskolos gavimo vienetas uždirba pajamų ar gauna ekonominės naudos.</w:t>
      </w:r>
      <w:r w:rsidRPr="009E57DE">
        <w:rPr>
          <w:rFonts w:eastAsiaTheme="minorHAnsi"/>
          <w:bCs/>
          <w:color w:val="000000"/>
        </w:rPr>
        <w:t xml:space="preserve"> </w:t>
      </w:r>
      <w:r>
        <w:rPr>
          <w:rFonts w:eastAsiaTheme="minorHAnsi"/>
          <w:bCs/>
          <w:color w:val="000000"/>
        </w:rPr>
        <w:t>E</w:t>
      </w:r>
      <w:r w:rsidRPr="009E57DE">
        <w:rPr>
          <w:rFonts w:eastAsiaTheme="minorHAnsi"/>
          <w:bCs/>
          <w:color w:val="000000"/>
        </w:rPr>
        <w:t xml:space="preserve">konominė nauda tokiu atveju galėtų būti grindžiama </w:t>
      </w:r>
      <w:r w:rsidRPr="009E57DE">
        <w:rPr>
          <w:bCs/>
        </w:rPr>
        <w:t>tokią naudą lyginant su alternatyviais apyvartinio kapitalo ir (arba) kitais įmonės finansavimo būdais.</w:t>
      </w:r>
    </w:p>
    <w:p w14:paraId="7C15F3DC" w14:textId="77777777" w:rsidR="00B80B27" w:rsidRPr="009E57DE" w:rsidRDefault="00B80B27" w:rsidP="00B80B27">
      <w:pPr>
        <w:ind w:firstLine="709"/>
        <w:jc w:val="both"/>
        <w:rPr>
          <w:bCs/>
        </w:rPr>
      </w:pPr>
      <w:r w:rsidRPr="009E57DE">
        <w:rPr>
          <w:bCs/>
        </w:rPr>
        <w:t>Palūkanos priskiriamos leidžiamiems atskaitymams ir atskaitomos iš vieneto pajamų, jei tokio atskaitymo neriboja kitos palūkanų atskaitymą ribojančios taisyklės (EBITDA (žr. PMĮ 30-1 straipsnio komentarą), plonoji kapitalizacija (žr. PMĮ 40 straipsnio komentarą)).</w:t>
      </w:r>
    </w:p>
    <w:p w14:paraId="71392E56" w14:textId="77777777" w:rsidR="00B80B27" w:rsidRPr="00F425B3" w:rsidRDefault="00F425B3" w:rsidP="00B80B27">
      <w:pPr>
        <w:ind w:firstLine="720"/>
        <w:jc w:val="both"/>
        <w:rPr>
          <w:iCs/>
          <w:lang w:val="lt-LT"/>
        </w:rPr>
      </w:pPr>
      <w:r>
        <w:rPr>
          <w:iCs/>
          <w:lang w:val="lt-LT"/>
        </w:rPr>
        <w:t xml:space="preserve">    </w:t>
      </w:r>
      <w:r w:rsidR="00B80B27" w:rsidRPr="00F425B3">
        <w:rPr>
          <w:iCs/>
          <w:lang w:val="lt-LT"/>
        </w:rPr>
        <w:t>(Pakeistas 17 str. 1 dalies 6.</w:t>
      </w:r>
      <w:r w:rsidR="002B5E05" w:rsidRPr="00F425B3">
        <w:rPr>
          <w:iCs/>
          <w:lang w:val="lt-LT"/>
        </w:rPr>
        <w:t>24</w:t>
      </w:r>
      <w:r w:rsidR="00B80B27" w:rsidRPr="00F425B3">
        <w:rPr>
          <w:iCs/>
          <w:lang w:val="lt-LT"/>
        </w:rPr>
        <w:t xml:space="preserve"> punktas VMI prie FM 2020-04-09 raštu Nr. </w:t>
      </w:r>
      <w:r w:rsidR="00B80B27" w:rsidRPr="00F425B3">
        <w:t>(32.42-31-1E</w:t>
      </w:r>
      <w:r w:rsidR="00B80B27" w:rsidRPr="00F425B3">
        <w:rPr>
          <w:color w:val="000000"/>
        </w:rPr>
        <w:t>) RM-12726</w:t>
      </w:r>
      <w:r w:rsidR="002B5E05" w:rsidRPr="00F425B3">
        <w:rPr>
          <w:color w:val="000000"/>
        </w:rPr>
        <w:t>)</w:t>
      </w:r>
    </w:p>
    <w:p w14:paraId="39B39D57" w14:textId="77777777" w:rsidR="00093845" w:rsidRPr="0065344A" w:rsidRDefault="000D779E">
      <w:pPr>
        <w:ind w:firstLine="993"/>
        <w:jc w:val="both"/>
        <w:rPr>
          <w:lang w:val="lt-LT" w:eastAsia="lt-LT"/>
        </w:rPr>
      </w:pPr>
      <w:r w:rsidRPr="0065344A">
        <w:rPr>
          <w:b/>
          <w:bCs/>
          <w:lang w:val="lt-LT" w:eastAsia="lt-LT"/>
        </w:rPr>
        <w:lastRenderedPageBreak/>
        <w:t>6.25.</w:t>
      </w:r>
      <w:r w:rsidRPr="0065344A">
        <w:rPr>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atkūrimo,</w:t>
      </w:r>
      <w:r w:rsidRPr="0065344A">
        <w:rPr>
          <w:b/>
          <w:bCs/>
          <w:i/>
          <w:iCs/>
          <w:lang w:val="lt-LT" w:eastAsia="lt-LT"/>
        </w:rPr>
        <w:t xml:space="preserve"> </w:t>
      </w:r>
      <w:r w:rsidRPr="0065344A">
        <w:rPr>
          <w:b/>
          <w:bCs/>
          <w:lang w:val="lt-LT" w:eastAsia="lt-LT"/>
        </w:rPr>
        <w:t>ugdymo,</w:t>
      </w:r>
      <w:r w:rsidRPr="0065344A">
        <w:rPr>
          <w:b/>
          <w:bCs/>
          <w:i/>
          <w:iCs/>
          <w:lang w:val="lt-LT" w:eastAsia="lt-LT"/>
        </w:rPr>
        <w:t xml:space="preserve"> </w:t>
      </w:r>
      <w:r w:rsidRPr="0065344A">
        <w:rPr>
          <w:b/>
          <w:bCs/>
          <w:lang w:val="lt-LT" w:eastAsia="lt-LT"/>
        </w:rPr>
        <w:t>priežiūros,</w:t>
      </w:r>
      <w:r w:rsidRPr="0065344A">
        <w:rPr>
          <w:b/>
          <w:bCs/>
          <w:i/>
          <w:iCs/>
          <w:lang w:val="lt-LT" w:eastAsia="lt-LT"/>
        </w:rPr>
        <w:t xml:space="preserve"> </w:t>
      </w:r>
      <w:r w:rsidRPr="0065344A">
        <w:rPr>
          <w:b/>
          <w:bCs/>
          <w:lang w:val="lt-LT" w:eastAsia="lt-LT"/>
        </w:rPr>
        <w:t>apsaugos,</w:t>
      </w:r>
      <w:r w:rsidRPr="0065344A">
        <w:rPr>
          <w:b/>
          <w:bCs/>
          <w:i/>
          <w:iCs/>
          <w:lang w:val="lt-LT" w:eastAsia="lt-LT"/>
        </w:rPr>
        <w:t xml:space="preserve"> </w:t>
      </w:r>
      <w:r w:rsidRPr="0065344A">
        <w:rPr>
          <w:b/>
          <w:bCs/>
          <w:lang w:val="lt-LT" w:eastAsia="lt-LT"/>
        </w:rPr>
        <w:t>rekreacijos,</w:t>
      </w:r>
      <w:r w:rsidRPr="0065344A">
        <w:rPr>
          <w:b/>
          <w:bCs/>
          <w:i/>
          <w:iCs/>
          <w:lang w:val="lt-LT" w:eastAsia="lt-LT"/>
        </w:rPr>
        <w:t xml:space="preserve"> </w:t>
      </w:r>
      <w:r w:rsidRPr="0065344A">
        <w:rPr>
          <w:b/>
          <w:bCs/>
          <w:lang w:val="lt-LT" w:eastAsia="lt-LT"/>
        </w:rPr>
        <w:t>gyvūnijos</w:t>
      </w:r>
      <w:r w:rsidRPr="0065344A">
        <w:rPr>
          <w:b/>
          <w:bCs/>
          <w:i/>
          <w:iCs/>
          <w:lang w:val="lt-LT" w:eastAsia="lt-LT"/>
        </w:rPr>
        <w:t xml:space="preserve"> </w:t>
      </w:r>
      <w:r w:rsidRPr="0065344A">
        <w:rPr>
          <w:b/>
          <w:bCs/>
          <w:lang w:val="lt-LT" w:eastAsia="lt-LT"/>
        </w:rPr>
        <w:t>gausinimo,</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kelių</w:t>
      </w:r>
      <w:r w:rsidRPr="0065344A">
        <w:rPr>
          <w:b/>
          <w:bCs/>
          <w:i/>
          <w:iCs/>
          <w:lang w:val="lt-LT" w:eastAsia="lt-LT"/>
        </w:rPr>
        <w:t xml:space="preserve"> </w:t>
      </w:r>
      <w:r w:rsidRPr="0065344A">
        <w:rPr>
          <w:b/>
          <w:bCs/>
          <w:lang w:val="lt-LT" w:eastAsia="lt-LT"/>
        </w:rPr>
        <w:t>bei</w:t>
      </w:r>
      <w:r w:rsidRPr="0065344A">
        <w:rPr>
          <w:b/>
          <w:bCs/>
          <w:i/>
          <w:iCs/>
          <w:lang w:val="lt-LT" w:eastAsia="lt-LT"/>
        </w:rPr>
        <w:t xml:space="preserve"> </w:t>
      </w:r>
      <w:r w:rsidRPr="0065344A">
        <w:rPr>
          <w:b/>
          <w:bCs/>
          <w:lang w:val="lt-LT" w:eastAsia="lt-LT"/>
        </w:rPr>
        <w:t>miško</w:t>
      </w:r>
      <w:r w:rsidRPr="0065344A">
        <w:rPr>
          <w:b/>
          <w:bCs/>
          <w:i/>
          <w:iCs/>
          <w:lang w:val="lt-LT" w:eastAsia="lt-LT"/>
        </w:rPr>
        <w:t xml:space="preserve"> </w:t>
      </w:r>
      <w:r w:rsidRPr="0065344A">
        <w:rPr>
          <w:b/>
          <w:bCs/>
          <w:lang w:val="lt-LT" w:eastAsia="lt-LT"/>
        </w:rPr>
        <w:t>žemių</w:t>
      </w:r>
      <w:r w:rsidRPr="0065344A">
        <w:rPr>
          <w:b/>
          <w:bCs/>
          <w:i/>
          <w:iCs/>
          <w:lang w:val="lt-LT" w:eastAsia="lt-LT"/>
        </w:rPr>
        <w:t xml:space="preserve"> </w:t>
      </w:r>
      <w:r w:rsidRPr="0065344A">
        <w:rPr>
          <w:b/>
          <w:bCs/>
          <w:lang w:val="lt-LT" w:eastAsia="lt-LT"/>
        </w:rPr>
        <w:t>sausinimo</w:t>
      </w:r>
      <w:r w:rsidRPr="0065344A">
        <w:rPr>
          <w:b/>
          <w:bCs/>
          <w:i/>
          <w:iCs/>
          <w:lang w:val="lt-LT" w:eastAsia="lt-LT"/>
        </w:rPr>
        <w:t xml:space="preserve"> </w:t>
      </w:r>
      <w:r w:rsidRPr="0065344A">
        <w:rPr>
          <w:b/>
          <w:bCs/>
          <w:lang w:val="lt-LT" w:eastAsia="lt-LT"/>
        </w:rPr>
        <w:t>sistemos</w:t>
      </w:r>
      <w:r w:rsidRPr="0065344A">
        <w:rPr>
          <w:b/>
          <w:bCs/>
          <w:i/>
          <w:iCs/>
          <w:lang w:val="lt-LT" w:eastAsia="lt-LT"/>
        </w:rPr>
        <w:t xml:space="preserve"> </w:t>
      </w:r>
      <w:r w:rsidRPr="0065344A">
        <w:rPr>
          <w:b/>
          <w:bCs/>
          <w:lang w:val="lt-LT" w:eastAsia="lt-LT"/>
        </w:rPr>
        <w:t>įrengimo,</w:t>
      </w:r>
      <w:r w:rsidRPr="0065344A">
        <w:rPr>
          <w:b/>
          <w:bCs/>
          <w:i/>
          <w:iCs/>
          <w:lang w:val="lt-LT" w:eastAsia="lt-LT"/>
        </w:rPr>
        <w:t xml:space="preserve"> </w:t>
      </w:r>
      <w:r w:rsidRPr="0065344A">
        <w:rPr>
          <w:b/>
          <w:bCs/>
          <w:lang w:val="lt-LT" w:eastAsia="lt-LT"/>
        </w:rPr>
        <w:t>priežiūros</w:t>
      </w:r>
      <w:r w:rsidRPr="0065344A">
        <w:rPr>
          <w:b/>
          <w:bCs/>
          <w:i/>
          <w:iCs/>
          <w:lang w:val="lt-LT" w:eastAsia="lt-LT"/>
        </w:rPr>
        <w:t xml:space="preserve"> </w:t>
      </w:r>
      <w:r w:rsidRPr="0065344A">
        <w:rPr>
          <w:b/>
          <w:bCs/>
          <w:lang w:val="lt-LT" w:eastAsia="lt-LT"/>
        </w:rPr>
        <w:t>bei</w:t>
      </w:r>
      <w:r w:rsidRPr="0065344A">
        <w:rPr>
          <w:b/>
          <w:bCs/>
          <w:i/>
          <w:iCs/>
          <w:lang w:val="lt-LT" w:eastAsia="lt-LT"/>
        </w:rPr>
        <w:t xml:space="preserve"> </w:t>
      </w:r>
      <w:r w:rsidRPr="0065344A">
        <w:rPr>
          <w:b/>
          <w:bCs/>
          <w:lang w:val="lt-LT" w:eastAsia="lt-LT"/>
        </w:rPr>
        <w:t>remonto</w:t>
      </w:r>
      <w:r w:rsidRPr="0065344A">
        <w:rPr>
          <w:b/>
          <w:bCs/>
          <w:i/>
          <w:iCs/>
          <w:lang w:val="lt-LT" w:eastAsia="lt-LT"/>
        </w:rPr>
        <w:t xml:space="preserve"> </w:t>
      </w:r>
      <w:r w:rsidRPr="0065344A">
        <w:rPr>
          <w:b/>
          <w:bCs/>
          <w:lang w:val="lt-LT" w:eastAsia="lt-LT"/>
        </w:rPr>
        <w:t>darbų</w:t>
      </w:r>
      <w:r w:rsidRPr="0065344A">
        <w:rPr>
          <w:b/>
          <w:bCs/>
          <w:i/>
          <w:iCs/>
          <w:lang w:val="lt-LT" w:eastAsia="lt-LT"/>
        </w:rPr>
        <w:t xml:space="preserve"> </w:t>
      </w:r>
      <w:r w:rsidRPr="0065344A">
        <w:rPr>
          <w:b/>
          <w:bCs/>
          <w:lang w:val="lt-LT" w:eastAsia="lt-LT"/>
        </w:rPr>
        <w:t>sąnaudų</w:t>
      </w:r>
      <w:r w:rsidRPr="0065344A">
        <w:rPr>
          <w:b/>
          <w:bCs/>
          <w:i/>
          <w:iCs/>
          <w:lang w:val="lt-LT" w:eastAsia="lt-LT"/>
        </w:rPr>
        <w:t xml:space="preserve"> </w:t>
      </w:r>
      <w:r w:rsidRPr="0065344A">
        <w:rPr>
          <w:b/>
          <w:bCs/>
          <w:lang w:val="lt-LT" w:eastAsia="lt-LT"/>
        </w:rPr>
        <w:t>išlaidų.</w:t>
      </w:r>
    </w:p>
    <w:p w14:paraId="3AA7F570" w14:textId="77777777" w:rsidR="00093845" w:rsidRPr="0065344A" w:rsidRDefault="000D779E">
      <w:pPr>
        <w:ind w:firstLine="993"/>
        <w:jc w:val="both"/>
        <w:rPr>
          <w:lang w:val="lt-LT" w:eastAsia="lt-LT"/>
        </w:rPr>
      </w:pPr>
      <w:r w:rsidRPr="0065344A">
        <w:rPr>
          <w:lang w:val="lt-LT" w:eastAsia="lt-LT"/>
        </w:rPr>
        <w:t>Miškų</w:t>
      </w:r>
      <w:r w:rsidRPr="0065344A">
        <w:rPr>
          <w:i/>
          <w:iCs/>
          <w:lang w:val="lt-LT" w:eastAsia="lt-LT"/>
        </w:rPr>
        <w:t xml:space="preserve"> </w:t>
      </w:r>
      <w:r w:rsidRPr="0065344A">
        <w:rPr>
          <w:lang w:val="lt-LT" w:eastAsia="lt-LT"/>
        </w:rPr>
        <w:t>įstatyme</w:t>
      </w:r>
      <w:bookmarkStart w:id="319" w:name="pn1_3040"/>
      <w:bookmarkEnd w:id="319"/>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jog</w:t>
      </w:r>
      <w:r w:rsidRPr="0065344A">
        <w:rPr>
          <w:i/>
          <w:iCs/>
          <w:lang w:val="lt-LT" w:eastAsia="lt-LT"/>
        </w:rPr>
        <w:t xml:space="preserve"> </w:t>
      </w:r>
      <w:r w:rsidRPr="0065344A">
        <w:rPr>
          <w:lang w:val="lt-LT" w:eastAsia="lt-LT"/>
        </w:rPr>
        <w:t>miškai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tvarkomi</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nepertraukiamo</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principą,</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mediena</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kiti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ištekliai</w:t>
      </w:r>
      <w:r w:rsidRPr="0065344A">
        <w:rPr>
          <w:i/>
          <w:iCs/>
          <w:lang w:val="lt-LT" w:eastAsia="lt-LT"/>
        </w:rPr>
        <w:t xml:space="preserve"> </w:t>
      </w:r>
      <w:r w:rsidRPr="0065344A">
        <w:rPr>
          <w:lang w:val="lt-LT" w:eastAsia="lt-LT"/>
        </w:rPr>
        <w:t>būtų</w:t>
      </w:r>
      <w:r w:rsidRPr="0065344A">
        <w:rPr>
          <w:i/>
          <w:iCs/>
          <w:lang w:val="lt-LT" w:eastAsia="lt-LT"/>
        </w:rPr>
        <w:t xml:space="preserve"> </w:t>
      </w:r>
      <w:r w:rsidRPr="0065344A">
        <w:rPr>
          <w:lang w:val="lt-LT" w:eastAsia="lt-LT"/>
        </w:rPr>
        <w:t>nuolat</w:t>
      </w:r>
      <w:r w:rsidRPr="0065344A">
        <w:rPr>
          <w:i/>
          <w:iCs/>
          <w:lang w:val="lt-LT" w:eastAsia="lt-LT"/>
        </w:rPr>
        <w:t xml:space="preserve"> </w:t>
      </w:r>
      <w:r w:rsidRPr="0065344A">
        <w:rPr>
          <w:lang w:val="lt-LT" w:eastAsia="lt-LT"/>
        </w:rPr>
        <w:t>tiekiami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būtų</w:t>
      </w:r>
      <w:r w:rsidRPr="0065344A">
        <w:rPr>
          <w:i/>
          <w:iCs/>
          <w:lang w:val="lt-LT" w:eastAsia="lt-LT"/>
        </w:rPr>
        <w:t xml:space="preserve"> </w:t>
      </w:r>
      <w:r w:rsidRPr="0065344A">
        <w:rPr>
          <w:lang w:val="lt-LT" w:eastAsia="lt-LT"/>
        </w:rPr>
        <w:t>išlaikyta</w:t>
      </w:r>
      <w:r w:rsidRPr="0065344A">
        <w:rPr>
          <w:i/>
          <w:iCs/>
          <w:lang w:val="lt-LT" w:eastAsia="lt-LT"/>
        </w:rPr>
        <w:t xml:space="preserve"> </w:t>
      </w:r>
      <w:r w:rsidRPr="0065344A">
        <w:rPr>
          <w:lang w:val="lt-LT" w:eastAsia="lt-LT"/>
        </w:rPr>
        <w:t>medienos</w:t>
      </w:r>
      <w:r w:rsidRPr="0065344A">
        <w:rPr>
          <w:i/>
          <w:iCs/>
          <w:lang w:val="lt-LT" w:eastAsia="lt-LT"/>
        </w:rPr>
        <w:t xml:space="preserve"> </w:t>
      </w:r>
      <w:r w:rsidRPr="0065344A">
        <w:rPr>
          <w:lang w:val="lt-LT" w:eastAsia="lt-LT"/>
        </w:rPr>
        <w:t>prieaugio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jos</w:t>
      </w:r>
      <w:r w:rsidRPr="0065344A">
        <w:rPr>
          <w:i/>
          <w:iCs/>
          <w:lang w:val="lt-LT" w:eastAsia="lt-LT"/>
        </w:rPr>
        <w:t xml:space="preserve"> </w:t>
      </w:r>
      <w:r w:rsidRPr="0065344A">
        <w:rPr>
          <w:lang w:val="lt-LT" w:eastAsia="lt-LT"/>
        </w:rPr>
        <w:t>sunaudojimo</w:t>
      </w:r>
      <w:r w:rsidRPr="0065344A">
        <w:rPr>
          <w:i/>
          <w:iCs/>
          <w:lang w:val="lt-LT" w:eastAsia="lt-LT"/>
        </w:rPr>
        <w:t xml:space="preserve"> </w:t>
      </w:r>
      <w:r w:rsidRPr="0065344A">
        <w:rPr>
          <w:lang w:val="lt-LT" w:eastAsia="lt-LT"/>
        </w:rPr>
        <w:t>pusiausvyra.</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valdytojai</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urėdijos,</w:t>
      </w:r>
      <w:r w:rsidRPr="0065344A">
        <w:rPr>
          <w:i/>
          <w:iCs/>
          <w:lang w:val="lt-LT" w:eastAsia="lt-LT"/>
        </w:rPr>
        <w:t xml:space="preserve"> </w:t>
      </w:r>
      <w:r w:rsidRPr="0065344A">
        <w:rPr>
          <w:lang w:val="lt-LT" w:eastAsia="lt-LT"/>
        </w:rPr>
        <w:t>valstybinių</w:t>
      </w:r>
      <w:r w:rsidRPr="0065344A">
        <w:rPr>
          <w:i/>
          <w:iCs/>
          <w:lang w:val="lt-LT" w:eastAsia="lt-LT"/>
        </w:rPr>
        <w:t xml:space="preserve"> </w:t>
      </w:r>
      <w:r w:rsidRPr="0065344A">
        <w:rPr>
          <w:lang w:val="lt-LT" w:eastAsia="lt-LT"/>
        </w:rPr>
        <w:t>rezervatų</w:t>
      </w:r>
      <w:r w:rsidRPr="0065344A">
        <w:rPr>
          <w:i/>
          <w:iCs/>
          <w:lang w:val="lt-LT" w:eastAsia="lt-LT"/>
        </w:rPr>
        <w:t xml:space="preserve"> </w:t>
      </w:r>
      <w:r w:rsidRPr="0065344A">
        <w:rPr>
          <w:lang w:val="lt-LT" w:eastAsia="lt-LT"/>
        </w:rPr>
        <w:t>direkcijos,</w:t>
      </w:r>
      <w:r w:rsidRPr="0065344A">
        <w:rPr>
          <w:i/>
          <w:iCs/>
          <w:lang w:val="lt-LT" w:eastAsia="lt-LT"/>
        </w:rPr>
        <w:t xml:space="preserve"> </w:t>
      </w:r>
      <w:r w:rsidRPr="0065344A">
        <w:rPr>
          <w:lang w:val="lt-LT" w:eastAsia="lt-LT"/>
        </w:rPr>
        <w:t>nacionalinių</w:t>
      </w:r>
      <w:r w:rsidRPr="0065344A">
        <w:rPr>
          <w:i/>
          <w:iCs/>
          <w:lang w:val="lt-LT" w:eastAsia="lt-LT"/>
        </w:rPr>
        <w:t xml:space="preserve"> </w:t>
      </w:r>
      <w:r w:rsidRPr="0065344A">
        <w:rPr>
          <w:lang w:val="lt-LT" w:eastAsia="lt-LT"/>
        </w:rPr>
        <w:t>parkų</w:t>
      </w:r>
      <w:r w:rsidRPr="0065344A">
        <w:rPr>
          <w:i/>
          <w:iCs/>
          <w:lang w:val="lt-LT" w:eastAsia="lt-LT"/>
        </w:rPr>
        <w:t xml:space="preserve"> </w:t>
      </w:r>
      <w:r w:rsidRPr="0065344A">
        <w:rPr>
          <w:lang w:val="lt-LT" w:eastAsia="lt-LT"/>
        </w:rPr>
        <w:t>direkcijos,</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kitos</w:t>
      </w:r>
      <w:r w:rsidRPr="0065344A">
        <w:rPr>
          <w:i/>
          <w:iCs/>
          <w:lang w:val="lt-LT" w:eastAsia="lt-LT"/>
        </w:rPr>
        <w:t xml:space="preserve"> </w:t>
      </w:r>
      <w:r w:rsidRPr="0065344A">
        <w:rPr>
          <w:lang w:val="lt-LT" w:eastAsia="lt-LT"/>
        </w:rPr>
        <w:t>valstybės</w:t>
      </w:r>
      <w:r w:rsidRPr="0065344A">
        <w:rPr>
          <w:i/>
          <w:iCs/>
          <w:lang w:val="lt-LT" w:eastAsia="lt-LT"/>
        </w:rPr>
        <w:t xml:space="preserve"> </w:t>
      </w:r>
      <w:r w:rsidRPr="0065344A">
        <w:rPr>
          <w:lang w:val="lt-LT" w:eastAsia="lt-LT"/>
        </w:rPr>
        <w:t>įmonės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organizacijos),</w:t>
      </w:r>
      <w:r w:rsidRPr="0065344A">
        <w:rPr>
          <w:i/>
          <w:iCs/>
          <w:lang w:val="lt-LT" w:eastAsia="lt-LT"/>
        </w:rPr>
        <w:t xml:space="preserve"> </w:t>
      </w:r>
      <w:r w:rsidRPr="0065344A">
        <w:rPr>
          <w:lang w:val="lt-LT" w:eastAsia="lt-LT"/>
        </w:rPr>
        <w:t>savininkai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naudotojai</w:t>
      </w:r>
      <w:r w:rsidRPr="0065344A">
        <w:rPr>
          <w:i/>
          <w:iCs/>
          <w:lang w:val="lt-LT" w:eastAsia="lt-LT"/>
        </w:rPr>
        <w:t xml:space="preserve"> </w:t>
      </w:r>
      <w:r w:rsidRPr="0065344A">
        <w:rPr>
          <w:lang w:val="lt-LT" w:eastAsia="lt-LT"/>
        </w:rPr>
        <w:t>(juridiniai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fiziniai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įgijo</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išteklių</w:t>
      </w:r>
      <w:r w:rsidRPr="0065344A">
        <w:rPr>
          <w:i/>
          <w:iCs/>
          <w:lang w:val="lt-LT" w:eastAsia="lt-LT"/>
        </w:rPr>
        <w:t xml:space="preserve"> </w:t>
      </w:r>
      <w:r w:rsidRPr="0065344A">
        <w:rPr>
          <w:lang w:val="lt-LT" w:eastAsia="lt-LT"/>
        </w:rPr>
        <w:t>naudojimo</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saugoti</w:t>
      </w:r>
      <w:r w:rsidRPr="0065344A">
        <w:rPr>
          <w:i/>
          <w:iCs/>
          <w:lang w:val="lt-LT" w:eastAsia="lt-LT"/>
        </w:rPr>
        <w:t xml:space="preserve"> </w:t>
      </w:r>
      <w:r w:rsidRPr="0065344A">
        <w:rPr>
          <w:lang w:val="lt-LT" w:eastAsia="lt-LT"/>
        </w:rPr>
        <w:t>miškus</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gaisrų,</w:t>
      </w:r>
      <w:r w:rsidRPr="0065344A">
        <w:rPr>
          <w:i/>
          <w:iCs/>
          <w:lang w:val="lt-LT" w:eastAsia="lt-LT"/>
        </w:rPr>
        <w:t xml:space="preserve"> </w:t>
      </w:r>
      <w:r w:rsidRPr="0065344A">
        <w:rPr>
          <w:lang w:val="lt-LT" w:eastAsia="lt-LT"/>
        </w:rPr>
        <w:t>kenkėjų,</w:t>
      </w:r>
      <w:r w:rsidRPr="0065344A">
        <w:rPr>
          <w:i/>
          <w:iCs/>
          <w:lang w:val="lt-LT" w:eastAsia="lt-LT"/>
        </w:rPr>
        <w:t xml:space="preserve"> </w:t>
      </w:r>
      <w:r w:rsidRPr="0065344A">
        <w:rPr>
          <w:lang w:val="lt-LT" w:eastAsia="lt-LT"/>
        </w:rPr>
        <w:t>ligų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neigiamų</w:t>
      </w:r>
      <w:r w:rsidRPr="0065344A">
        <w:rPr>
          <w:i/>
          <w:iCs/>
          <w:lang w:val="lt-LT" w:eastAsia="lt-LT"/>
        </w:rPr>
        <w:t xml:space="preserve"> </w:t>
      </w:r>
      <w:r w:rsidRPr="0065344A">
        <w:rPr>
          <w:lang w:val="lt-LT" w:eastAsia="lt-LT"/>
        </w:rPr>
        <w:t>veiksnių,</w:t>
      </w:r>
      <w:r w:rsidRPr="0065344A">
        <w:rPr>
          <w:i/>
          <w:iCs/>
          <w:lang w:val="lt-LT" w:eastAsia="lt-LT"/>
        </w:rPr>
        <w:t xml:space="preserve"> </w:t>
      </w:r>
      <w:r w:rsidRPr="0065344A">
        <w:rPr>
          <w:lang w:val="lt-LT" w:eastAsia="lt-LT"/>
        </w:rPr>
        <w:t>laiku</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tinkamai</w:t>
      </w:r>
      <w:r w:rsidRPr="0065344A">
        <w:rPr>
          <w:i/>
          <w:iCs/>
          <w:lang w:val="lt-LT" w:eastAsia="lt-LT"/>
        </w:rPr>
        <w:t xml:space="preserve"> </w:t>
      </w:r>
      <w:r w:rsidRPr="0065344A">
        <w:rPr>
          <w:lang w:val="lt-LT" w:eastAsia="lt-LT"/>
        </w:rPr>
        <w:t>atsodinti</w:t>
      </w:r>
      <w:r w:rsidRPr="0065344A">
        <w:rPr>
          <w:i/>
          <w:iCs/>
          <w:lang w:val="lt-LT" w:eastAsia="lt-LT"/>
        </w:rPr>
        <w:t xml:space="preserve"> </w:t>
      </w:r>
      <w:r w:rsidRPr="0065344A">
        <w:rPr>
          <w:lang w:val="lt-LT" w:eastAsia="lt-LT"/>
        </w:rPr>
        <w:t>iškirstą</w:t>
      </w:r>
      <w:r w:rsidRPr="0065344A">
        <w:rPr>
          <w:i/>
          <w:iCs/>
          <w:lang w:val="lt-LT" w:eastAsia="lt-LT"/>
        </w:rPr>
        <w:t xml:space="preserve"> </w:t>
      </w:r>
      <w:r w:rsidRPr="0065344A">
        <w:rPr>
          <w:lang w:val="lt-LT" w:eastAsia="lt-LT"/>
        </w:rPr>
        <w:t>mišką,</w:t>
      </w:r>
      <w:r w:rsidRPr="0065344A">
        <w:rPr>
          <w:i/>
          <w:iCs/>
          <w:lang w:val="lt-LT" w:eastAsia="lt-LT"/>
        </w:rPr>
        <w:t xml:space="preserve"> </w:t>
      </w:r>
      <w:r w:rsidRPr="0065344A">
        <w:rPr>
          <w:lang w:val="lt-LT" w:eastAsia="lt-LT"/>
        </w:rPr>
        <w:t>jį</w:t>
      </w:r>
      <w:r w:rsidRPr="0065344A">
        <w:rPr>
          <w:i/>
          <w:iCs/>
          <w:lang w:val="lt-LT" w:eastAsia="lt-LT"/>
        </w:rPr>
        <w:t xml:space="preserve"> </w:t>
      </w:r>
      <w:r w:rsidRPr="0065344A">
        <w:rPr>
          <w:lang w:val="lt-LT" w:eastAsia="lt-LT"/>
        </w:rPr>
        <w:t>naudoti</w:t>
      </w:r>
      <w:r w:rsidRPr="0065344A">
        <w:rPr>
          <w:i/>
          <w:iCs/>
          <w:lang w:val="lt-LT" w:eastAsia="lt-LT"/>
        </w:rPr>
        <w:t xml:space="preserve"> </w:t>
      </w:r>
      <w:r w:rsidRPr="0065344A">
        <w:rPr>
          <w:lang w:val="lt-LT" w:eastAsia="lt-LT"/>
        </w:rPr>
        <w:t>tokiais</w:t>
      </w:r>
      <w:r w:rsidRPr="0065344A">
        <w:rPr>
          <w:i/>
          <w:iCs/>
          <w:lang w:val="lt-LT" w:eastAsia="lt-LT"/>
        </w:rPr>
        <w:t xml:space="preserve"> </w:t>
      </w:r>
      <w:r w:rsidRPr="0065344A">
        <w:rPr>
          <w:lang w:val="lt-LT" w:eastAsia="lt-LT"/>
        </w:rPr>
        <w:t>būdais,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padėtų</w:t>
      </w:r>
      <w:r w:rsidRPr="0065344A">
        <w:rPr>
          <w:i/>
          <w:iCs/>
          <w:lang w:val="lt-LT" w:eastAsia="lt-LT"/>
        </w:rPr>
        <w:t xml:space="preserve"> </w:t>
      </w:r>
      <w:r w:rsidRPr="0065344A">
        <w:rPr>
          <w:lang w:val="lt-LT" w:eastAsia="lt-LT"/>
        </w:rPr>
        <w:t>mažinti</w:t>
      </w:r>
      <w:r w:rsidRPr="0065344A">
        <w:rPr>
          <w:i/>
          <w:iCs/>
          <w:lang w:val="lt-LT" w:eastAsia="lt-LT"/>
        </w:rPr>
        <w:t xml:space="preserve"> </w:t>
      </w:r>
      <w:r w:rsidRPr="0065344A">
        <w:rPr>
          <w:lang w:val="lt-LT" w:eastAsia="lt-LT"/>
        </w:rPr>
        <w:t>neigiamą</w:t>
      </w:r>
      <w:r w:rsidRPr="0065344A">
        <w:rPr>
          <w:i/>
          <w:iCs/>
          <w:lang w:val="lt-LT" w:eastAsia="lt-LT"/>
        </w:rPr>
        <w:t xml:space="preserve"> </w:t>
      </w:r>
      <w:r w:rsidRPr="0065344A">
        <w:rPr>
          <w:lang w:val="lt-LT" w:eastAsia="lt-LT"/>
        </w:rPr>
        <w:t>poveikį</w:t>
      </w:r>
      <w:r w:rsidRPr="0065344A">
        <w:rPr>
          <w:i/>
          <w:iCs/>
          <w:lang w:val="lt-LT" w:eastAsia="lt-LT"/>
        </w:rPr>
        <w:t xml:space="preserve"> </w:t>
      </w:r>
      <w:r w:rsidRPr="0065344A">
        <w:rPr>
          <w:lang w:val="lt-LT" w:eastAsia="lt-LT"/>
        </w:rPr>
        <w:t>aplinkai,</w:t>
      </w:r>
      <w:r w:rsidRPr="0065344A">
        <w:rPr>
          <w:i/>
          <w:iCs/>
          <w:lang w:val="lt-LT" w:eastAsia="lt-LT"/>
        </w:rPr>
        <w:t xml:space="preserve"> </w:t>
      </w:r>
      <w:r w:rsidRPr="0065344A">
        <w:rPr>
          <w:lang w:val="lt-LT" w:eastAsia="lt-LT"/>
        </w:rPr>
        <w:t>palaikyti</w:t>
      </w:r>
      <w:r w:rsidRPr="0065344A">
        <w:rPr>
          <w:i/>
          <w:iCs/>
          <w:lang w:val="lt-LT" w:eastAsia="lt-LT"/>
        </w:rPr>
        <w:t xml:space="preserve"> </w:t>
      </w:r>
      <w:r w:rsidRPr="0065344A">
        <w:rPr>
          <w:lang w:val="lt-LT" w:eastAsia="lt-LT"/>
        </w:rPr>
        <w:t>dirvožemio</w:t>
      </w:r>
      <w:r w:rsidRPr="0065344A">
        <w:rPr>
          <w:i/>
          <w:iCs/>
          <w:lang w:val="lt-LT" w:eastAsia="lt-LT"/>
        </w:rPr>
        <w:t xml:space="preserve"> </w:t>
      </w:r>
      <w:r w:rsidRPr="0065344A">
        <w:rPr>
          <w:lang w:val="lt-LT" w:eastAsia="lt-LT"/>
        </w:rPr>
        <w:t>našumą,</w:t>
      </w:r>
      <w:r w:rsidRPr="0065344A">
        <w:rPr>
          <w:i/>
          <w:iCs/>
          <w:lang w:val="lt-LT" w:eastAsia="lt-LT"/>
        </w:rPr>
        <w:t xml:space="preserve"> </w:t>
      </w:r>
      <w:r w:rsidRPr="0065344A">
        <w:rPr>
          <w:lang w:val="lt-LT" w:eastAsia="lt-LT"/>
        </w:rPr>
        <w:t>saugoti</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biologinę</w:t>
      </w:r>
      <w:r w:rsidRPr="0065344A">
        <w:rPr>
          <w:i/>
          <w:iCs/>
          <w:lang w:val="lt-LT" w:eastAsia="lt-LT"/>
        </w:rPr>
        <w:t xml:space="preserve"> </w:t>
      </w:r>
      <w:r w:rsidRPr="0065344A">
        <w:rPr>
          <w:lang w:val="lt-LT" w:eastAsia="lt-LT"/>
        </w:rPr>
        <w:t>įvairovę,</w:t>
      </w:r>
      <w:r w:rsidRPr="0065344A">
        <w:rPr>
          <w:i/>
          <w:iCs/>
          <w:lang w:val="lt-LT" w:eastAsia="lt-LT"/>
        </w:rPr>
        <w:t xml:space="preserve"> </w:t>
      </w:r>
      <w:r w:rsidRPr="0065344A">
        <w:rPr>
          <w:lang w:val="lt-LT" w:eastAsia="lt-LT"/>
        </w:rPr>
        <w:t>laikytis</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teisės</w:t>
      </w:r>
      <w:r w:rsidRPr="0065344A">
        <w:rPr>
          <w:i/>
          <w:iCs/>
          <w:lang w:val="lt-LT" w:eastAsia="lt-LT"/>
        </w:rPr>
        <w:t xml:space="preserve"> </w:t>
      </w:r>
      <w:r w:rsidRPr="0065344A">
        <w:rPr>
          <w:lang w:val="lt-LT" w:eastAsia="lt-LT"/>
        </w:rPr>
        <w:t>aktų</w:t>
      </w:r>
      <w:r w:rsidRPr="0065344A">
        <w:rPr>
          <w:i/>
          <w:iCs/>
          <w:lang w:val="lt-LT" w:eastAsia="lt-LT"/>
        </w:rPr>
        <w:t xml:space="preserve"> </w:t>
      </w:r>
      <w:r w:rsidRPr="0065344A">
        <w:rPr>
          <w:lang w:val="lt-LT" w:eastAsia="lt-LT"/>
        </w:rPr>
        <w:t>nustatytų</w:t>
      </w:r>
      <w:r w:rsidRPr="0065344A">
        <w:rPr>
          <w:i/>
          <w:iCs/>
          <w:lang w:val="lt-LT" w:eastAsia="lt-LT"/>
        </w:rPr>
        <w:t xml:space="preserve"> </w:t>
      </w:r>
      <w:r w:rsidRPr="0065344A">
        <w:rPr>
          <w:lang w:val="lt-LT" w:eastAsia="lt-LT"/>
        </w:rPr>
        <w:t>reikalavimų.</w:t>
      </w:r>
      <w:r w:rsidRPr="0065344A">
        <w:rPr>
          <w:i/>
          <w:iCs/>
          <w:lang w:val="lt-LT" w:eastAsia="lt-LT"/>
        </w:rPr>
        <w:t xml:space="preserve"> </w:t>
      </w:r>
    </w:p>
    <w:p w14:paraId="587F9391" w14:textId="77777777" w:rsidR="00093845" w:rsidRPr="0065344A" w:rsidRDefault="000D779E">
      <w:pPr>
        <w:ind w:firstLine="993"/>
        <w:jc w:val="both"/>
        <w:rPr>
          <w:lang w:val="lt-LT" w:eastAsia="lt-LT"/>
        </w:rPr>
      </w:pPr>
      <w:r w:rsidRPr="0065344A">
        <w:rPr>
          <w:lang w:val="lt-LT" w:eastAsia="lt-LT"/>
        </w:rPr>
        <w:t>Todėl</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valdytojai,</w:t>
      </w:r>
      <w:r w:rsidRPr="0065344A">
        <w:rPr>
          <w:i/>
          <w:iCs/>
          <w:lang w:val="lt-LT" w:eastAsia="lt-LT"/>
        </w:rPr>
        <w:t xml:space="preserve"> </w:t>
      </w:r>
      <w:r w:rsidRPr="0065344A">
        <w:rPr>
          <w:lang w:val="lt-LT" w:eastAsia="lt-LT"/>
        </w:rPr>
        <w:t>savininkai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naudotojai</w:t>
      </w:r>
      <w:r w:rsidRPr="0065344A">
        <w:rPr>
          <w:i/>
          <w:iCs/>
          <w:lang w:val="lt-LT" w:eastAsia="lt-LT"/>
        </w:rPr>
        <w:t xml:space="preserve"> </w:t>
      </w:r>
      <w:r w:rsidRPr="0065344A">
        <w:rPr>
          <w:lang w:val="lt-LT" w:eastAsia="lt-LT"/>
        </w:rPr>
        <w:t>miškams</w:t>
      </w:r>
      <w:r w:rsidRPr="0065344A">
        <w:rPr>
          <w:i/>
          <w:iCs/>
          <w:lang w:val="lt-LT" w:eastAsia="lt-LT"/>
        </w:rPr>
        <w:t xml:space="preserve"> </w:t>
      </w:r>
      <w:r w:rsidRPr="0065344A">
        <w:rPr>
          <w:lang w:val="lt-LT" w:eastAsia="lt-LT"/>
        </w:rPr>
        <w:t>auginti,</w:t>
      </w:r>
      <w:r w:rsidRPr="0065344A">
        <w:rPr>
          <w:i/>
          <w:iCs/>
          <w:lang w:val="lt-LT" w:eastAsia="lt-LT"/>
        </w:rPr>
        <w:t xml:space="preserve"> </w:t>
      </w:r>
      <w:r w:rsidRPr="0065344A">
        <w:rPr>
          <w:lang w:val="lt-LT" w:eastAsia="lt-LT"/>
        </w:rPr>
        <w:t>apsaugoti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prižiūrėti</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ugdymo,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rekreacijos,</w:t>
      </w:r>
      <w:r w:rsidRPr="0065344A">
        <w:rPr>
          <w:i/>
          <w:iCs/>
          <w:lang w:val="lt-LT" w:eastAsia="lt-LT"/>
        </w:rPr>
        <w:t xml:space="preserve"> </w:t>
      </w:r>
      <w:r w:rsidRPr="0065344A">
        <w:rPr>
          <w:lang w:val="lt-LT" w:eastAsia="lt-LT"/>
        </w:rPr>
        <w:t>gyvūnijos</w:t>
      </w:r>
      <w:r w:rsidRPr="0065344A">
        <w:rPr>
          <w:i/>
          <w:iCs/>
          <w:lang w:val="lt-LT" w:eastAsia="lt-LT"/>
        </w:rPr>
        <w:t xml:space="preserve"> </w:t>
      </w:r>
      <w:r w:rsidRPr="0065344A">
        <w:rPr>
          <w:lang w:val="lt-LT" w:eastAsia="lt-LT"/>
        </w:rPr>
        <w:t>gausinimo,</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žemių</w:t>
      </w:r>
      <w:r w:rsidRPr="0065344A">
        <w:rPr>
          <w:i/>
          <w:iCs/>
          <w:lang w:val="lt-LT" w:eastAsia="lt-LT"/>
        </w:rPr>
        <w:t xml:space="preserve"> </w:t>
      </w:r>
      <w:r w:rsidRPr="0065344A">
        <w:rPr>
          <w:lang w:val="lt-LT" w:eastAsia="lt-LT"/>
        </w:rPr>
        <w:t>sausinimo</w:t>
      </w:r>
      <w:r w:rsidRPr="0065344A">
        <w:rPr>
          <w:i/>
          <w:iCs/>
          <w:lang w:val="lt-LT" w:eastAsia="lt-LT"/>
        </w:rPr>
        <w:t xml:space="preserve"> </w:t>
      </w:r>
      <w:r w:rsidRPr="0065344A">
        <w:rPr>
          <w:lang w:val="lt-LT" w:eastAsia="lt-LT"/>
        </w:rPr>
        <w:t>sistemos</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sąnaudas.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visos</w:t>
      </w:r>
      <w:r w:rsidRPr="0065344A">
        <w:rPr>
          <w:i/>
          <w:iCs/>
          <w:lang w:val="lt-LT" w:eastAsia="lt-LT"/>
        </w:rPr>
        <w:t xml:space="preserve"> </w:t>
      </w:r>
      <w:r w:rsidRPr="0065344A">
        <w:rPr>
          <w:lang w:val="lt-LT" w:eastAsia="lt-LT"/>
        </w:rPr>
        <w:t>sodmenų</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pasodinimo,</w:t>
      </w:r>
      <w:r w:rsidRPr="0065344A">
        <w:rPr>
          <w:i/>
          <w:iCs/>
          <w:lang w:val="lt-LT" w:eastAsia="lt-LT"/>
        </w:rPr>
        <w:t xml:space="preserve"> </w:t>
      </w:r>
      <w:r w:rsidRPr="0065344A">
        <w:rPr>
          <w:lang w:val="lt-LT" w:eastAsia="lt-LT"/>
        </w:rPr>
        <w:t>išauginimo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realizavimo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jaunuolynų</w:t>
      </w:r>
      <w:r w:rsidRPr="0065344A">
        <w:rPr>
          <w:i/>
          <w:iCs/>
          <w:lang w:val="lt-LT" w:eastAsia="lt-LT"/>
        </w:rPr>
        <w:t xml:space="preserve"> </w:t>
      </w:r>
      <w:r w:rsidRPr="0065344A">
        <w:rPr>
          <w:lang w:val="lt-LT" w:eastAsia="lt-LT"/>
        </w:rPr>
        <w:t>ugdymo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sėklinių</w:t>
      </w:r>
      <w:r w:rsidRPr="0065344A">
        <w:rPr>
          <w:i/>
          <w:iCs/>
          <w:lang w:val="lt-LT" w:eastAsia="lt-LT"/>
        </w:rPr>
        <w:t xml:space="preserve"> </w:t>
      </w:r>
      <w:r w:rsidRPr="0065344A">
        <w:rPr>
          <w:lang w:val="lt-LT" w:eastAsia="lt-LT"/>
        </w:rPr>
        <w:t>plantacijų</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dirvožemio</w:t>
      </w:r>
      <w:r w:rsidRPr="0065344A">
        <w:rPr>
          <w:i/>
          <w:iCs/>
          <w:lang w:val="lt-LT" w:eastAsia="lt-LT"/>
        </w:rPr>
        <w:t xml:space="preserve"> </w:t>
      </w:r>
      <w:r w:rsidRPr="0065344A">
        <w:rPr>
          <w:lang w:val="lt-LT" w:eastAsia="lt-LT"/>
        </w:rPr>
        <w:t>tyrimo,</w:t>
      </w:r>
      <w:r w:rsidRPr="0065344A">
        <w:rPr>
          <w:i/>
          <w:iCs/>
          <w:lang w:val="lt-LT" w:eastAsia="lt-LT"/>
        </w:rPr>
        <w:t xml:space="preserve"> </w:t>
      </w:r>
      <w:r w:rsidRPr="0065344A">
        <w:rPr>
          <w:lang w:val="lt-LT" w:eastAsia="lt-LT"/>
        </w:rPr>
        <w:t>taip</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želdinių</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sanitarinei,</w:t>
      </w:r>
      <w:r w:rsidRPr="0065344A">
        <w:rPr>
          <w:i/>
          <w:iCs/>
          <w:lang w:val="lt-LT" w:eastAsia="lt-LT"/>
        </w:rPr>
        <w:t xml:space="preserve"> </w:t>
      </w:r>
      <w:r w:rsidRPr="0065344A">
        <w:rPr>
          <w:lang w:val="lt-LT" w:eastAsia="lt-LT"/>
        </w:rPr>
        <w:t>priešgaisrinei</w:t>
      </w:r>
      <w:r w:rsidRPr="0065344A">
        <w:rPr>
          <w:i/>
          <w:iCs/>
          <w:lang w:val="lt-LT" w:eastAsia="lt-LT"/>
        </w:rPr>
        <w:t xml:space="preserve"> </w:t>
      </w:r>
      <w:r w:rsidRPr="0065344A">
        <w:rPr>
          <w:lang w:val="lt-LT" w:eastAsia="lt-LT"/>
        </w:rPr>
        <w:t>apsaugai</w:t>
      </w:r>
      <w:r w:rsidRPr="0065344A">
        <w:rPr>
          <w:i/>
          <w:iCs/>
          <w:lang w:val="lt-LT" w:eastAsia="lt-LT"/>
        </w:rPr>
        <w:t xml:space="preserve"> </w:t>
      </w:r>
      <w:r w:rsidRPr="0065344A">
        <w:rPr>
          <w:lang w:val="lt-LT" w:eastAsia="lt-LT"/>
        </w:rPr>
        <w:t>skirtos</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nuostatai</w:t>
      </w:r>
      <w:r w:rsidRPr="0065344A">
        <w:rPr>
          <w:i/>
          <w:iCs/>
          <w:lang w:val="lt-LT" w:eastAsia="lt-LT"/>
        </w:rPr>
        <w:t xml:space="preserve"> </w:t>
      </w:r>
      <w:r w:rsidRPr="0065344A">
        <w:rPr>
          <w:lang w:val="lt-LT" w:eastAsia="lt-LT"/>
        </w:rPr>
        <w:t>patvirtinti</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aplinkos</w:t>
      </w:r>
      <w:r w:rsidRPr="0065344A">
        <w:rPr>
          <w:i/>
          <w:iCs/>
          <w:lang w:val="lt-LT" w:eastAsia="lt-LT"/>
        </w:rPr>
        <w:t xml:space="preserve"> </w:t>
      </w:r>
      <w:r w:rsidRPr="0065344A">
        <w:rPr>
          <w:lang w:val="lt-LT" w:eastAsia="lt-LT"/>
        </w:rPr>
        <w:t>ministro</w:t>
      </w:r>
      <w:r w:rsidRPr="0065344A">
        <w:rPr>
          <w:i/>
          <w:iCs/>
          <w:lang w:val="lt-LT" w:eastAsia="lt-LT"/>
        </w:rPr>
        <w:t xml:space="preserve"> </w:t>
      </w:r>
      <w:r w:rsidRPr="0065344A">
        <w:rPr>
          <w:lang w:val="lt-LT" w:eastAsia="lt-LT"/>
        </w:rPr>
        <w:t>2008</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įsakymu</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D1-199</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atkūrimo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įveisimo</w:t>
      </w:r>
      <w:r w:rsidRPr="0065344A">
        <w:rPr>
          <w:i/>
          <w:iCs/>
          <w:lang w:val="lt-LT" w:eastAsia="lt-LT"/>
        </w:rPr>
        <w:t xml:space="preserve"> </w:t>
      </w:r>
      <w:r w:rsidRPr="0065344A">
        <w:rPr>
          <w:lang w:val="lt-LT" w:eastAsia="lt-LT"/>
        </w:rPr>
        <w:t>nuostatų</w:t>
      </w:r>
      <w:r w:rsidRPr="0065344A">
        <w:rPr>
          <w:i/>
          <w:iCs/>
          <w:lang w:val="lt-LT" w:eastAsia="lt-LT"/>
        </w:rPr>
        <w:t>“</w:t>
      </w:r>
      <w:bookmarkStart w:id="320" w:name="pn1_3041"/>
      <w:bookmarkEnd w:id="320"/>
      <w:r w:rsidRPr="0065344A">
        <w:rPr>
          <w:lang w:val="lt-LT" w:eastAsia="lt-LT"/>
        </w:rPr>
        <w:t>.</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tiltų</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sausinamojo</w:t>
      </w:r>
      <w:r w:rsidRPr="0065344A">
        <w:rPr>
          <w:i/>
          <w:iCs/>
          <w:lang w:val="lt-LT" w:eastAsia="lt-LT"/>
        </w:rPr>
        <w:t xml:space="preserve"> </w:t>
      </w:r>
      <w:r w:rsidRPr="0065344A">
        <w:rPr>
          <w:lang w:val="lt-LT" w:eastAsia="lt-LT"/>
        </w:rPr>
        <w:t>tinklo</w:t>
      </w:r>
      <w:r w:rsidRPr="0065344A">
        <w:rPr>
          <w:i/>
          <w:iCs/>
          <w:lang w:val="lt-LT" w:eastAsia="lt-LT"/>
        </w:rPr>
        <w:t xml:space="preserve"> </w:t>
      </w:r>
      <w:r w:rsidRPr="0065344A">
        <w:rPr>
          <w:lang w:val="lt-LT" w:eastAsia="lt-LT"/>
        </w:rPr>
        <w:t>projektavimo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tiltų,</w:t>
      </w:r>
      <w:r w:rsidRPr="0065344A">
        <w:rPr>
          <w:i/>
          <w:iCs/>
          <w:lang w:val="lt-LT" w:eastAsia="lt-LT"/>
        </w:rPr>
        <w:t xml:space="preserve"> </w:t>
      </w:r>
      <w:r w:rsidRPr="0065344A">
        <w:rPr>
          <w:lang w:val="lt-LT" w:eastAsia="lt-LT"/>
        </w:rPr>
        <w:t>sausinamojo</w:t>
      </w:r>
      <w:r w:rsidRPr="0065344A">
        <w:rPr>
          <w:i/>
          <w:iCs/>
          <w:lang w:val="lt-LT" w:eastAsia="lt-LT"/>
        </w:rPr>
        <w:t xml:space="preserve"> </w:t>
      </w:r>
      <w:r w:rsidRPr="0065344A">
        <w:rPr>
          <w:lang w:val="lt-LT" w:eastAsia="lt-LT"/>
        </w:rPr>
        <w:t>tinklo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griovių</w:t>
      </w:r>
      <w:r w:rsidRPr="0065344A">
        <w:rPr>
          <w:i/>
          <w:iCs/>
          <w:lang w:val="lt-LT" w:eastAsia="lt-LT"/>
        </w:rPr>
        <w:t xml:space="preserve"> </w:t>
      </w:r>
      <w:r w:rsidRPr="0065344A">
        <w:rPr>
          <w:lang w:val="lt-LT" w:eastAsia="lt-LT"/>
        </w:rPr>
        <w:t>šlaitų</w:t>
      </w:r>
      <w:r w:rsidRPr="0065344A">
        <w:rPr>
          <w:i/>
          <w:iCs/>
          <w:lang w:val="lt-LT" w:eastAsia="lt-LT"/>
        </w:rPr>
        <w:t xml:space="preserve"> </w:t>
      </w:r>
      <w:r w:rsidRPr="0065344A">
        <w:rPr>
          <w:lang w:val="lt-LT" w:eastAsia="lt-LT"/>
        </w:rPr>
        <w:t>valymo,</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pakelių</w:t>
      </w:r>
      <w:r w:rsidRPr="0065344A">
        <w:rPr>
          <w:i/>
          <w:iCs/>
          <w:lang w:val="lt-LT" w:eastAsia="lt-LT"/>
        </w:rPr>
        <w:t xml:space="preserve"> </w:t>
      </w:r>
      <w:r w:rsidRPr="0065344A">
        <w:rPr>
          <w:lang w:val="lt-LT" w:eastAsia="lt-LT"/>
        </w:rPr>
        <w:t>valymo</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šienavimo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kelių</w:t>
      </w:r>
      <w:r w:rsidRPr="0065344A">
        <w:rPr>
          <w:i/>
          <w:iCs/>
          <w:lang w:val="lt-LT" w:eastAsia="lt-LT"/>
        </w:rPr>
        <w:t xml:space="preserve"> </w:t>
      </w:r>
      <w:r w:rsidRPr="0065344A">
        <w:rPr>
          <w:lang w:val="lt-LT" w:eastAsia="lt-LT"/>
        </w:rPr>
        <w:t>ženklų</w:t>
      </w:r>
      <w:r w:rsidRPr="0065344A">
        <w:rPr>
          <w:i/>
          <w:iCs/>
          <w:lang w:val="lt-LT" w:eastAsia="lt-LT"/>
        </w:rPr>
        <w:t xml:space="preserve"> </w:t>
      </w:r>
      <w:r w:rsidRPr="0065344A">
        <w:rPr>
          <w:lang w:val="lt-LT" w:eastAsia="lt-LT"/>
        </w:rPr>
        <w:t>keitimo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atnaujinimo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Miškų</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veiklai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pat</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gyvūnijos</w:t>
      </w:r>
      <w:r w:rsidRPr="0065344A">
        <w:rPr>
          <w:i/>
          <w:iCs/>
          <w:lang w:val="lt-LT" w:eastAsia="lt-LT"/>
        </w:rPr>
        <w:t xml:space="preserve"> </w:t>
      </w:r>
      <w:r w:rsidRPr="0065344A">
        <w:rPr>
          <w:lang w:val="lt-LT" w:eastAsia="lt-LT"/>
        </w:rPr>
        <w:t>gausinimo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apsaugos</w:t>
      </w:r>
      <w:r w:rsidRPr="0065344A">
        <w:rPr>
          <w:i/>
          <w:iCs/>
          <w:lang w:val="lt-LT" w:eastAsia="lt-LT"/>
        </w:rPr>
        <w:t xml:space="preserve"> </w:t>
      </w:r>
      <w:r w:rsidRPr="0065344A">
        <w:rPr>
          <w:lang w:val="lt-LT" w:eastAsia="lt-LT"/>
        </w:rPr>
        <w:t>veikla.</w:t>
      </w:r>
      <w:r w:rsidRPr="0065344A">
        <w:rPr>
          <w:i/>
          <w:iCs/>
          <w:lang w:val="lt-LT" w:eastAsia="lt-LT"/>
        </w:rPr>
        <w:t xml:space="preserve"> </w:t>
      </w:r>
    </w:p>
    <w:p w14:paraId="314CFF43" w14:textId="77777777" w:rsidR="00093845" w:rsidRPr="0065344A" w:rsidRDefault="000D779E">
      <w:pPr>
        <w:ind w:firstLine="993"/>
        <w:jc w:val="both"/>
        <w:rPr>
          <w:lang w:val="lt-LT" w:eastAsia="lt-LT"/>
        </w:rPr>
      </w:pPr>
      <w:r w:rsidRPr="0065344A">
        <w:rPr>
          <w:lang w:val="lt-LT" w:eastAsia="lt-LT"/>
        </w:rPr>
        <w:t>Juridiniai</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padarę</w:t>
      </w:r>
      <w:r w:rsidRPr="0065344A">
        <w:rPr>
          <w:i/>
          <w:iCs/>
          <w:lang w:val="lt-LT" w:eastAsia="lt-LT"/>
        </w:rPr>
        <w:t xml:space="preserve"> </w:t>
      </w:r>
      <w:r w:rsidRPr="0065344A">
        <w:rPr>
          <w:lang w:val="lt-LT" w:eastAsia="lt-LT"/>
        </w:rPr>
        <w:t>žalos</w:t>
      </w:r>
      <w:r w:rsidRPr="0065344A">
        <w:rPr>
          <w:i/>
          <w:iCs/>
          <w:lang w:val="lt-LT" w:eastAsia="lt-LT"/>
        </w:rPr>
        <w:t xml:space="preserve"> </w:t>
      </w:r>
      <w:r w:rsidRPr="0065344A">
        <w:rPr>
          <w:lang w:val="lt-LT" w:eastAsia="lt-LT"/>
        </w:rPr>
        <w:t>miško</w:t>
      </w:r>
      <w:r w:rsidRPr="0065344A">
        <w:rPr>
          <w:i/>
          <w:iCs/>
          <w:lang w:val="lt-LT" w:eastAsia="lt-LT"/>
        </w:rPr>
        <w:t xml:space="preserve"> </w:t>
      </w:r>
      <w:r w:rsidRPr="0065344A">
        <w:rPr>
          <w:lang w:val="lt-LT" w:eastAsia="lt-LT"/>
        </w:rPr>
        <w:t>valdytojų,</w:t>
      </w:r>
      <w:r w:rsidRPr="0065344A">
        <w:rPr>
          <w:i/>
          <w:iCs/>
          <w:lang w:val="lt-LT" w:eastAsia="lt-LT"/>
        </w:rPr>
        <w:t xml:space="preserve"> </w:t>
      </w:r>
      <w:r w:rsidRPr="0065344A">
        <w:rPr>
          <w:lang w:val="lt-LT" w:eastAsia="lt-LT"/>
        </w:rPr>
        <w:t>savininkų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naudotojų</w:t>
      </w:r>
      <w:r w:rsidRPr="0065344A">
        <w:rPr>
          <w:i/>
          <w:iCs/>
          <w:lang w:val="lt-LT" w:eastAsia="lt-LT"/>
        </w:rPr>
        <w:t xml:space="preserve"> </w:t>
      </w:r>
      <w:r w:rsidRPr="0065344A">
        <w:rPr>
          <w:lang w:val="lt-LT" w:eastAsia="lt-LT"/>
        </w:rPr>
        <w:t>miškui,</w:t>
      </w:r>
      <w:r w:rsidRPr="0065344A">
        <w:rPr>
          <w:i/>
          <w:iCs/>
          <w:lang w:val="lt-LT" w:eastAsia="lt-LT"/>
        </w:rPr>
        <w:t xml:space="preserve"> </w:t>
      </w:r>
      <w:r w:rsidRPr="0065344A">
        <w:rPr>
          <w:lang w:val="lt-LT" w:eastAsia="lt-LT"/>
        </w:rPr>
        <w:t>kitam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teisėtiems</w:t>
      </w:r>
      <w:r w:rsidRPr="0065344A">
        <w:rPr>
          <w:i/>
          <w:iCs/>
          <w:lang w:val="lt-LT" w:eastAsia="lt-LT"/>
        </w:rPr>
        <w:t xml:space="preserve"> </w:t>
      </w:r>
      <w:r w:rsidRPr="0065344A">
        <w:rPr>
          <w:lang w:val="lt-LT" w:eastAsia="lt-LT"/>
        </w:rPr>
        <w:t>interesams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miškui,</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aplinkos</w:t>
      </w:r>
      <w:r w:rsidRPr="0065344A">
        <w:rPr>
          <w:i/>
          <w:iCs/>
          <w:lang w:val="lt-LT" w:eastAsia="lt-LT"/>
        </w:rPr>
        <w:t xml:space="preserve"> </w:t>
      </w:r>
      <w:r w:rsidRPr="0065344A">
        <w:rPr>
          <w:lang w:val="lt-LT" w:eastAsia="lt-LT"/>
        </w:rPr>
        <w:t>objektui,</w:t>
      </w:r>
      <w:r w:rsidRPr="0065344A">
        <w:rPr>
          <w:i/>
          <w:iCs/>
          <w:lang w:val="lt-LT" w:eastAsia="lt-LT"/>
        </w:rPr>
        <w:t xml:space="preserve"> </w:t>
      </w:r>
      <w:r w:rsidRPr="0065344A">
        <w:rPr>
          <w:lang w:val="lt-LT" w:eastAsia="lt-LT"/>
        </w:rPr>
        <w:t>privalo</w:t>
      </w:r>
      <w:r w:rsidRPr="0065344A">
        <w:rPr>
          <w:i/>
          <w:iCs/>
          <w:lang w:val="lt-LT" w:eastAsia="lt-LT"/>
        </w:rPr>
        <w:t xml:space="preserve"> </w:t>
      </w:r>
      <w:r w:rsidRPr="0065344A">
        <w:rPr>
          <w:lang w:val="lt-LT" w:eastAsia="lt-LT"/>
        </w:rPr>
        <w:t>visapusiškai</w:t>
      </w:r>
      <w:r w:rsidRPr="0065344A">
        <w:rPr>
          <w:i/>
          <w:iCs/>
          <w:lang w:val="lt-LT" w:eastAsia="lt-LT"/>
        </w:rPr>
        <w:t xml:space="preserve"> </w:t>
      </w:r>
      <w:r w:rsidRPr="0065344A">
        <w:rPr>
          <w:lang w:val="lt-LT" w:eastAsia="lt-LT"/>
        </w:rPr>
        <w:t>ją</w:t>
      </w:r>
      <w:r w:rsidRPr="0065344A">
        <w:rPr>
          <w:i/>
          <w:iCs/>
          <w:lang w:val="lt-LT" w:eastAsia="lt-LT"/>
        </w:rPr>
        <w:t xml:space="preserve"> </w:t>
      </w:r>
      <w:r w:rsidRPr="0065344A">
        <w:rPr>
          <w:lang w:val="lt-LT" w:eastAsia="lt-LT"/>
        </w:rPr>
        <w:t>atlyginti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galimybė,</w:t>
      </w:r>
      <w:r w:rsidRPr="0065344A">
        <w:rPr>
          <w:i/>
          <w:iCs/>
          <w:lang w:val="lt-LT" w:eastAsia="lt-LT"/>
        </w:rPr>
        <w:t xml:space="preserve"> </w:t>
      </w:r>
      <w:r w:rsidRPr="0065344A">
        <w:rPr>
          <w:lang w:val="lt-LT" w:eastAsia="lt-LT"/>
        </w:rPr>
        <w:t>atkurti</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pažeidimo</w:t>
      </w:r>
      <w:r w:rsidRPr="0065344A">
        <w:rPr>
          <w:i/>
          <w:iCs/>
          <w:lang w:val="lt-LT" w:eastAsia="lt-LT"/>
        </w:rPr>
        <w:t xml:space="preserve"> </w:t>
      </w:r>
      <w:r w:rsidRPr="0065344A">
        <w:rPr>
          <w:lang w:val="lt-LT" w:eastAsia="lt-LT"/>
        </w:rPr>
        <w:t>buvusią</w:t>
      </w:r>
      <w:r w:rsidRPr="0065344A">
        <w:rPr>
          <w:i/>
          <w:iCs/>
          <w:lang w:val="lt-LT" w:eastAsia="lt-LT"/>
        </w:rPr>
        <w:t xml:space="preserve"> </w:t>
      </w:r>
      <w:r w:rsidRPr="0065344A">
        <w:rPr>
          <w:lang w:val="lt-LT" w:eastAsia="lt-LT"/>
        </w:rPr>
        <w:t>būklę.</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neigiamu</w:t>
      </w:r>
      <w:r w:rsidRPr="0065344A">
        <w:rPr>
          <w:i/>
          <w:iCs/>
          <w:lang w:val="lt-LT" w:eastAsia="lt-LT"/>
        </w:rPr>
        <w:t xml:space="preserve"> </w:t>
      </w:r>
      <w:r w:rsidRPr="0065344A">
        <w:rPr>
          <w:lang w:val="lt-LT" w:eastAsia="lt-LT"/>
        </w:rPr>
        <w:t>poveikiu</w:t>
      </w:r>
      <w:r w:rsidRPr="0065344A">
        <w:rPr>
          <w:i/>
          <w:iCs/>
          <w:lang w:val="lt-LT" w:eastAsia="lt-LT"/>
        </w:rPr>
        <w:t xml:space="preserve"> </w:t>
      </w:r>
      <w:r w:rsidRPr="0065344A">
        <w:rPr>
          <w:lang w:val="lt-LT" w:eastAsia="lt-LT"/>
        </w:rPr>
        <w:t>aplinkai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poveikio</w:t>
      </w:r>
      <w:r w:rsidRPr="0065344A">
        <w:rPr>
          <w:i/>
          <w:iCs/>
          <w:lang w:val="lt-LT" w:eastAsia="lt-LT"/>
        </w:rPr>
        <w:t xml:space="preserve"> </w:t>
      </w:r>
      <w:r w:rsidRPr="0065344A">
        <w:rPr>
          <w:lang w:val="lt-LT" w:eastAsia="lt-LT"/>
        </w:rPr>
        <w:t>padarytos</w:t>
      </w:r>
      <w:r w:rsidRPr="0065344A">
        <w:rPr>
          <w:i/>
          <w:iCs/>
          <w:lang w:val="lt-LT" w:eastAsia="lt-LT"/>
        </w:rPr>
        <w:t xml:space="preserve"> </w:t>
      </w:r>
      <w:r w:rsidRPr="0065344A">
        <w:rPr>
          <w:lang w:val="lt-LT" w:eastAsia="lt-LT"/>
        </w:rPr>
        <w:t>žalos</w:t>
      </w:r>
      <w:r w:rsidRPr="0065344A">
        <w:rPr>
          <w:i/>
          <w:iCs/>
          <w:lang w:val="lt-LT" w:eastAsia="lt-LT"/>
        </w:rPr>
        <w:t xml:space="preserve"> </w:t>
      </w:r>
      <w:r w:rsidRPr="0065344A">
        <w:rPr>
          <w:lang w:val="lt-LT" w:eastAsia="lt-LT"/>
        </w:rPr>
        <w:t>atlyginimu,</w:t>
      </w:r>
      <w:r w:rsidRPr="0065344A">
        <w:rPr>
          <w:i/>
          <w:iCs/>
          <w:lang w:val="lt-LT" w:eastAsia="lt-LT"/>
        </w:rPr>
        <w:t xml:space="preserve"> </w:t>
      </w:r>
      <w:r w:rsidRPr="0065344A">
        <w:rPr>
          <w:lang w:val="lt-LT" w:eastAsia="lt-LT"/>
        </w:rPr>
        <w:t>negali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p>
    <w:p w14:paraId="71E98228" w14:textId="77777777" w:rsidR="00093845" w:rsidRPr="0065344A" w:rsidRDefault="000D779E">
      <w:pPr>
        <w:ind w:firstLine="993"/>
        <w:jc w:val="both"/>
        <w:rPr>
          <w:lang w:val="lt-LT" w:eastAsia="lt-LT"/>
        </w:rPr>
      </w:pPr>
      <w:r w:rsidRPr="0065344A">
        <w:rPr>
          <w:b/>
          <w:bCs/>
          <w:lang w:val="lt-LT" w:eastAsia="lt-LT"/>
        </w:rPr>
        <w:t>6.26.</w:t>
      </w:r>
      <w:r w:rsidRPr="0065344A">
        <w:rPr>
          <w:b/>
          <w:bCs/>
          <w:i/>
          <w:iCs/>
          <w:lang w:val="lt-LT" w:eastAsia="lt-LT"/>
        </w:rPr>
        <w:t xml:space="preserve"> </w:t>
      </w:r>
      <w:r w:rsidRPr="0065344A">
        <w:rPr>
          <w:b/>
          <w:bCs/>
          <w:lang w:val="lt-LT" w:eastAsia="lt-LT"/>
        </w:rPr>
        <w:t>Dėl</w:t>
      </w:r>
      <w:r w:rsidRPr="0065344A">
        <w:rPr>
          <w:b/>
          <w:bCs/>
          <w:i/>
          <w:iCs/>
          <w:lang w:val="lt-LT" w:eastAsia="lt-LT"/>
        </w:rPr>
        <w:t xml:space="preserve"> </w:t>
      </w:r>
      <w:r w:rsidRPr="0065344A">
        <w:rPr>
          <w:b/>
          <w:bCs/>
          <w:lang w:val="lt-LT" w:eastAsia="lt-LT"/>
        </w:rPr>
        <w:t>išlaidų,</w:t>
      </w:r>
      <w:r w:rsidRPr="0065344A">
        <w:rPr>
          <w:b/>
          <w:bCs/>
          <w:i/>
          <w:iCs/>
          <w:lang w:val="lt-LT" w:eastAsia="lt-LT"/>
        </w:rPr>
        <w:t xml:space="preserve"> </w:t>
      </w:r>
      <w:r w:rsidRPr="0065344A">
        <w:rPr>
          <w:b/>
          <w:bCs/>
          <w:lang w:val="lt-LT" w:eastAsia="lt-LT"/>
        </w:rPr>
        <w:t>patirtų</w:t>
      </w:r>
      <w:r w:rsidRPr="0065344A">
        <w:rPr>
          <w:b/>
          <w:bCs/>
          <w:i/>
          <w:iCs/>
          <w:lang w:val="lt-LT" w:eastAsia="lt-LT"/>
        </w:rPr>
        <w:t xml:space="preserve"> </w:t>
      </w:r>
      <w:r w:rsidRPr="0065344A">
        <w:rPr>
          <w:b/>
          <w:bCs/>
          <w:lang w:val="lt-LT" w:eastAsia="lt-LT"/>
        </w:rPr>
        <w:t>miestų</w:t>
      </w:r>
      <w:r w:rsidRPr="0065344A">
        <w:rPr>
          <w:b/>
          <w:bCs/>
          <w:i/>
          <w:iCs/>
          <w:lang w:val="lt-LT" w:eastAsia="lt-LT"/>
        </w:rPr>
        <w:t xml:space="preserve"> </w:t>
      </w:r>
      <w:r w:rsidRPr="0065344A">
        <w:rPr>
          <w:b/>
          <w:bCs/>
          <w:lang w:val="lt-LT" w:eastAsia="lt-LT"/>
        </w:rPr>
        <w:t>inžinerinei</w:t>
      </w:r>
      <w:r w:rsidRPr="0065344A">
        <w:rPr>
          <w:b/>
          <w:bCs/>
          <w:i/>
          <w:iCs/>
          <w:lang w:val="lt-LT" w:eastAsia="lt-LT"/>
        </w:rPr>
        <w:t xml:space="preserve"> </w:t>
      </w:r>
      <w:r w:rsidRPr="0065344A">
        <w:rPr>
          <w:b/>
          <w:bCs/>
          <w:lang w:val="lt-LT" w:eastAsia="lt-LT"/>
        </w:rPr>
        <w:t>infrastruktūrai</w:t>
      </w:r>
      <w:r w:rsidRPr="0065344A">
        <w:rPr>
          <w:b/>
          <w:bCs/>
          <w:i/>
          <w:iCs/>
          <w:lang w:val="lt-LT" w:eastAsia="lt-LT"/>
        </w:rPr>
        <w:t xml:space="preserve"> </w:t>
      </w:r>
      <w:r w:rsidRPr="0065344A">
        <w:rPr>
          <w:b/>
          <w:bCs/>
          <w:lang w:val="lt-LT" w:eastAsia="lt-LT"/>
        </w:rPr>
        <w:t>plėtoti,</w:t>
      </w:r>
      <w:r w:rsidRPr="0065344A">
        <w:rPr>
          <w:b/>
          <w:bCs/>
          <w:i/>
          <w:iCs/>
          <w:lang w:val="lt-LT" w:eastAsia="lt-LT"/>
        </w:rPr>
        <w:t xml:space="preserve"> </w:t>
      </w:r>
      <w:r w:rsidRPr="0065344A">
        <w:rPr>
          <w:b/>
          <w:bCs/>
          <w:lang w:val="lt-LT" w:eastAsia="lt-LT"/>
        </w:rPr>
        <w:t>pripažinimo</w:t>
      </w:r>
      <w:r w:rsidRPr="0065344A">
        <w:rPr>
          <w:b/>
          <w:bCs/>
          <w:i/>
          <w:iCs/>
          <w:lang w:val="lt-LT" w:eastAsia="lt-LT"/>
        </w:rPr>
        <w:t xml:space="preserve"> </w:t>
      </w:r>
      <w:r w:rsidRPr="0065344A">
        <w:rPr>
          <w:b/>
          <w:bCs/>
          <w:lang w:val="lt-LT" w:eastAsia="lt-LT"/>
        </w:rPr>
        <w:t>sąnaudomis.</w:t>
      </w:r>
    </w:p>
    <w:p w14:paraId="26332A0D" w14:textId="77777777" w:rsidR="00093845" w:rsidRPr="0065344A" w:rsidRDefault="000D779E">
      <w:pPr>
        <w:ind w:firstLine="993"/>
        <w:jc w:val="both"/>
        <w:rPr>
          <w:lang w:val="lt-LT" w:eastAsia="lt-LT"/>
        </w:rPr>
      </w:pPr>
      <w:r w:rsidRPr="0065344A">
        <w:rPr>
          <w:lang w:val="lt-LT" w:eastAsia="lt-LT"/>
        </w:rPr>
        <w:t>6.26.1.</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1993</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birželio</w:t>
      </w:r>
      <w:r w:rsidRPr="0065344A">
        <w:rPr>
          <w:i/>
          <w:iCs/>
          <w:lang w:val="lt-LT" w:eastAsia="lt-LT"/>
        </w:rPr>
        <w:t xml:space="preserve"> </w:t>
      </w:r>
      <w:r w:rsidRPr="0065344A">
        <w:rPr>
          <w:lang w:val="lt-LT" w:eastAsia="lt-LT"/>
        </w:rPr>
        <w:t>16</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469</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gyvenamųjų</w:t>
      </w:r>
      <w:r w:rsidRPr="0065344A">
        <w:rPr>
          <w:i/>
          <w:iCs/>
          <w:lang w:val="lt-LT" w:eastAsia="lt-LT"/>
        </w:rPr>
        <w:t xml:space="preserve"> </w:t>
      </w:r>
      <w:r w:rsidRPr="0065344A">
        <w:rPr>
          <w:lang w:val="lt-LT" w:eastAsia="lt-LT"/>
        </w:rPr>
        <w:t>namų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kitų</w:t>
      </w:r>
      <w:r w:rsidRPr="0065344A">
        <w:rPr>
          <w:i/>
          <w:iCs/>
          <w:lang w:val="lt-LT" w:eastAsia="lt-LT"/>
        </w:rPr>
        <w:t xml:space="preserve"> </w:t>
      </w:r>
      <w:r w:rsidRPr="0065344A">
        <w:rPr>
          <w:lang w:val="lt-LT" w:eastAsia="lt-LT"/>
        </w:rPr>
        <w:t>objektų</w:t>
      </w:r>
      <w:r w:rsidRPr="0065344A">
        <w:rPr>
          <w:i/>
          <w:iCs/>
          <w:lang w:val="lt-LT" w:eastAsia="lt-LT"/>
        </w:rPr>
        <w:t xml:space="preserve"> </w:t>
      </w:r>
      <w:r w:rsidRPr="0065344A">
        <w:rPr>
          <w:lang w:val="lt-LT" w:eastAsia="lt-LT"/>
        </w:rPr>
        <w:t>statybos</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kuriose</w:t>
      </w:r>
      <w:r w:rsidRPr="0065344A">
        <w:rPr>
          <w:i/>
          <w:iCs/>
          <w:lang w:val="lt-LT" w:eastAsia="lt-LT"/>
        </w:rPr>
        <w:t xml:space="preserve"> </w:t>
      </w:r>
      <w:r w:rsidRPr="0065344A">
        <w:rPr>
          <w:lang w:val="lt-LT" w:eastAsia="lt-LT"/>
        </w:rPr>
        <w:t>neįrengti</w:t>
      </w:r>
      <w:r w:rsidRPr="0065344A">
        <w:rPr>
          <w:i/>
          <w:iCs/>
          <w:lang w:val="lt-LT" w:eastAsia="lt-LT"/>
        </w:rPr>
        <w:t xml:space="preserve"> </w:t>
      </w:r>
      <w:r w:rsidRPr="0065344A">
        <w:rPr>
          <w:lang w:val="lt-LT" w:eastAsia="lt-LT"/>
        </w:rPr>
        <w:t>inžineriniai</w:t>
      </w:r>
      <w:r w:rsidRPr="0065344A">
        <w:rPr>
          <w:i/>
          <w:iCs/>
          <w:lang w:val="lt-LT" w:eastAsia="lt-LT"/>
        </w:rPr>
        <w:t xml:space="preserve"> </w:t>
      </w:r>
      <w:r w:rsidRPr="0065344A">
        <w:rPr>
          <w:lang w:val="lt-LT" w:eastAsia="lt-LT"/>
        </w:rPr>
        <w:t>įrenginiai</w:t>
      </w:r>
      <w:r w:rsidRPr="0065344A">
        <w:rPr>
          <w:i/>
          <w:iCs/>
          <w:lang w:val="lt-LT" w:eastAsia="lt-LT"/>
        </w:rPr>
        <w:t>“</w:t>
      </w:r>
      <w:bookmarkStart w:id="321" w:name="pn1_3042"/>
      <w:bookmarkEnd w:id="321"/>
      <w:r w:rsidRPr="0065344A">
        <w:rPr>
          <w:i/>
          <w:iCs/>
          <w:lang w:val="lt-LT" w:eastAsia="lt-LT"/>
        </w:rPr>
        <w:t xml:space="preserve"> </w:t>
      </w:r>
      <w:r w:rsidRPr="0065344A">
        <w:rPr>
          <w:lang w:val="lt-LT" w:eastAsia="lt-LT"/>
        </w:rPr>
        <w:t>2.1</w:t>
      </w:r>
      <w:r w:rsidRPr="0065344A">
        <w:rPr>
          <w:i/>
          <w:iCs/>
          <w:lang w:val="lt-LT" w:eastAsia="lt-LT"/>
        </w:rPr>
        <w:t xml:space="preserve"> </w:t>
      </w:r>
      <w:r w:rsidRPr="0065344A">
        <w:rPr>
          <w:lang w:val="lt-LT" w:eastAsia="lt-LT"/>
        </w:rPr>
        <w:t>punkte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kuriems</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sklypai</w:t>
      </w:r>
      <w:r w:rsidRPr="0065344A">
        <w:rPr>
          <w:i/>
          <w:iCs/>
          <w:lang w:val="lt-LT" w:eastAsia="lt-LT"/>
        </w:rPr>
        <w:t xml:space="preserve"> </w:t>
      </w:r>
      <w:r w:rsidRPr="0065344A">
        <w:rPr>
          <w:lang w:val="lt-LT" w:eastAsia="lt-LT"/>
        </w:rPr>
        <w:t>komercinei</w:t>
      </w:r>
      <w:r w:rsidRPr="0065344A">
        <w:rPr>
          <w:i/>
          <w:iCs/>
          <w:lang w:val="lt-LT" w:eastAsia="lt-LT"/>
        </w:rPr>
        <w:t xml:space="preserve"> </w:t>
      </w:r>
      <w:r w:rsidRPr="0065344A">
        <w:rPr>
          <w:lang w:val="lt-LT" w:eastAsia="lt-LT"/>
        </w:rPr>
        <w:t>veiklai</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suteikti</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1992</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vasario</w:t>
      </w:r>
      <w:r w:rsidRPr="0065344A">
        <w:rPr>
          <w:i/>
          <w:iCs/>
          <w:lang w:val="lt-LT" w:eastAsia="lt-LT"/>
        </w:rPr>
        <w:t xml:space="preserve"> </w:t>
      </w:r>
      <w:r w:rsidRPr="0065344A">
        <w:rPr>
          <w:lang w:val="lt-LT" w:eastAsia="lt-LT"/>
        </w:rPr>
        <w:t>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inžineriniu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parengtose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kuriems</w:t>
      </w:r>
      <w:r w:rsidRPr="0065344A">
        <w:rPr>
          <w:i/>
          <w:iCs/>
          <w:lang w:val="lt-LT" w:eastAsia="lt-LT"/>
        </w:rPr>
        <w:t xml:space="preserve"> </w:t>
      </w:r>
      <w:r w:rsidRPr="0065344A">
        <w:rPr>
          <w:lang w:val="lt-LT" w:eastAsia="lt-LT"/>
        </w:rPr>
        <w:t>nebuvo</w:t>
      </w:r>
      <w:r w:rsidRPr="0065344A">
        <w:rPr>
          <w:i/>
          <w:iCs/>
          <w:lang w:val="lt-LT" w:eastAsia="lt-LT"/>
        </w:rPr>
        <w:t xml:space="preserve"> </w:t>
      </w:r>
      <w:r w:rsidRPr="0065344A">
        <w:rPr>
          <w:lang w:val="lt-LT" w:eastAsia="lt-LT"/>
        </w:rPr>
        <w:t>keliami</w:t>
      </w:r>
      <w:r w:rsidRPr="0065344A">
        <w:rPr>
          <w:i/>
          <w:iCs/>
          <w:lang w:val="lt-LT" w:eastAsia="lt-LT"/>
        </w:rPr>
        <w:t xml:space="preserve"> </w:t>
      </w:r>
      <w:r w:rsidRPr="0065344A">
        <w:rPr>
          <w:lang w:val="lt-LT" w:eastAsia="lt-LT"/>
        </w:rPr>
        <w:t>reikalavimai</w:t>
      </w:r>
      <w:r w:rsidRPr="0065344A">
        <w:rPr>
          <w:i/>
          <w:iCs/>
          <w:lang w:val="lt-LT" w:eastAsia="lt-LT"/>
        </w:rPr>
        <w:t xml:space="preserve"> </w:t>
      </w:r>
      <w:r w:rsidRPr="0065344A">
        <w:rPr>
          <w:lang w:val="lt-LT" w:eastAsia="lt-LT"/>
        </w:rPr>
        <w:t>kompensuoti</w:t>
      </w:r>
      <w:r w:rsidRPr="0065344A">
        <w:rPr>
          <w:i/>
          <w:iCs/>
          <w:lang w:val="lt-LT" w:eastAsia="lt-LT"/>
        </w:rPr>
        <w:t xml:space="preserve"> </w:t>
      </w:r>
      <w:r w:rsidRPr="0065344A">
        <w:rPr>
          <w:lang w:val="lt-LT" w:eastAsia="lt-LT"/>
        </w:rPr>
        <w:t>šių</w:t>
      </w:r>
      <w:r w:rsidRPr="0065344A">
        <w:rPr>
          <w:i/>
          <w:iCs/>
          <w:lang w:val="lt-LT" w:eastAsia="lt-LT"/>
        </w:rPr>
        <w:t xml:space="preserve"> </w:t>
      </w:r>
      <w:r w:rsidRPr="0065344A">
        <w:rPr>
          <w:lang w:val="lt-LT" w:eastAsia="lt-LT"/>
        </w:rPr>
        <w:t>darbų</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prisijungdami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inžinerinių</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plėsdami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sumokėti</w:t>
      </w:r>
      <w:r w:rsidRPr="0065344A">
        <w:rPr>
          <w:i/>
          <w:iCs/>
          <w:lang w:val="lt-LT" w:eastAsia="lt-LT"/>
        </w:rPr>
        <w:t xml:space="preserve"> </w:t>
      </w:r>
      <w:r w:rsidRPr="0065344A">
        <w:rPr>
          <w:lang w:val="lt-LT" w:eastAsia="lt-LT"/>
        </w:rPr>
        <w:t>atitinkamą</w:t>
      </w:r>
      <w:r w:rsidRPr="0065344A">
        <w:rPr>
          <w:i/>
          <w:iCs/>
          <w:lang w:val="lt-LT" w:eastAsia="lt-LT"/>
        </w:rPr>
        <w:t xml:space="preserve"> </w:t>
      </w:r>
      <w:r w:rsidRPr="0065344A">
        <w:rPr>
          <w:lang w:val="lt-LT" w:eastAsia="lt-LT"/>
        </w:rPr>
        <w:t>įnašą</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savivaldybių</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w:t>
      </w:r>
      <w:r w:rsidRPr="0065344A">
        <w:rPr>
          <w:lang w:val="lt-LT" w:eastAsia="lt-LT"/>
        </w:rPr>
        <w:t>.</w:t>
      </w:r>
    </w:p>
    <w:p w14:paraId="13E0EF65" w14:textId="77777777" w:rsidR="00093845" w:rsidRPr="0065344A" w:rsidRDefault="000D779E">
      <w:pPr>
        <w:ind w:firstLine="993"/>
        <w:jc w:val="both"/>
        <w:rPr>
          <w:lang w:val="lt-LT" w:eastAsia="lt-LT"/>
        </w:rPr>
      </w:pPr>
      <w:r w:rsidRPr="0065344A">
        <w:rPr>
          <w:lang w:val="lt-LT" w:eastAsia="lt-LT"/>
        </w:rPr>
        <w:t>Šio</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2.2</w:t>
      </w:r>
      <w:r w:rsidRPr="0065344A">
        <w:rPr>
          <w:i/>
          <w:iCs/>
          <w:lang w:val="lt-LT" w:eastAsia="lt-LT"/>
        </w:rPr>
        <w:t xml:space="preserve"> </w:t>
      </w:r>
      <w:r w:rsidRPr="0065344A">
        <w:rPr>
          <w:lang w:val="lt-LT" w:eastAsia="lt-LT"/>
        </w:rPr>
        <w:t>punkte</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28</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Pr="0065344A">
        <w:rPr>
          <w:lang w:val="lt-LT" w:eastAsia="lt-LT"/>
        </w:rPr>
        <w:t>142</w:t>
      </w:r>
      <w:r w:rsidRPr="0065344A">
        <w:rPr>
          <w:b/>
          <w:bCs/>
          <w:i/>
          <w:iCs/>
          <w:lang w:val="lt-LT" w:eastAsia="lt-LT"/>
        </w:rPr>
        <w:t xml:space="preserve"> </w:t>
      </w:r>
      <w:r w:rsidRPr="0065344A">
        <w:rPr>
          <w:lang w:val="lt-LT" w:eastAsia="lt-LT"/>
        </w:rPr>
        <w:t>redakcija</w:t>
      </w:r>
      <w:bookmarkStart w:id="322" w:name="pn1_3043"/>
      <w:bookmarkEnd w:id="322"/>
      <w:r w:rsidRPr="0065344A">
        <w:rPr>
          <w:lang w:val="lt-LT" w:eastAsia="lt-LT"/>
        </w:rPr>
        <w:t>)</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asmenys,</w:t>
      </w:r>
      <w:r w:rsidRPr="0065344A">
        <w:rPr>
          <w:i/>
          <w:iCs/>
          <w:lang w:val="lt-LT" w:eastAsia="lt-LT"/>
        </w:rPr>
        <w:t xml:space="preserve"> </w:t>
      </w:r>
      <w:r w:rsidRPr="0065344A">
        <w:rPr>
          <w:lang w:val="lt-LT" w:eastAsia="lt-LT"/>
        </w:rPr>
        <w:t>nusipirkę</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nuomojantys</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sklypą</w:t>
      </w:r>
      <w:r w:rsidRPr="0065344A">
        <w:rPr>
          <w:i/>
          <w:iCs/>
          <w:lang w:val="lt-LT" w:eastAsia="lt-LT"/>
        </w:rPr>
        <w:t xml:space="preserve"> </w:t>
      </w:r>
      <w:r w:rsidRPr="0065344A">
        <w:rPr>
          <w:lang w:val="lt-LT" w:eastAsia="lt-LT"/>
        </w:rPr>
        <w:t>individualiam</w:t>
      </w:r>
      <w:r w:rsidRPr="0065344A">
        <w:rPr>
          <w:i/>
          <w:iCs/>
          <w:lang w:val="lt-LT" w:eastAsia="lt-LT"/>
        </w:rPr>
        <w:t xml:space="preserve"> </w:t>
      </w:r>
      <w:r w:rsidRPr="0065344A">
        <w:rPr>
          <w:lang w:val="lt-LT" w:eastAsia="lt-LT"/>
        </w:rPr>
        <w:t>gyvenamajam</w:t>
      </w:r>
      <w:r w:rsidRPr="0065344A">
        <w:rPr>
          <w:i/>
          <w:iCs/>
          <w:lang w:val="lt-LT" w:eastAsia="lt-LT"/>
        </w:rPr>
        <w:t xml:space="preserve"> </w:t>
      </w:r>
      <w:r w:rsidRPr="0065344A">
        <w:rPr>
          <w:lang w:val="lt-LT" w:eastAsia="lt-LT"/>
        </w:rPr>
        <w:t>namui</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kitam</w:t>
      </w:r>
      <w:r w:rsidRPr="0065344A">
        <w:rPr>
          <w:i/>
          <w:iCs/>
          <w:lang w:val="lt-LT" w:eastAsia="lt-LT"/>
        </w:rPr>
        <w:t xml:space="preserve"> </w:t>
      </w:r>
      <w:r w:rsidRPr="0065344A">
        <w:rPr>
          <w:lang w:val="lt-LT" w:eastAsia="lt-LT"/>
        </w:rPr>
        <w:t>objektui</w:t>
      </w:r>
      <w:r w:rsidRPr="0065344A">
        <w:rPr>
          <w:i/>
          <w:iCs/>
          <w:lang w:val="lt-LT" w:eastAsia="lt-LT"/>
        </w:rPr>
        <w:t xml:space="preserve"> </w:t>
      </w:r>
      <w:r w:rsidRPr="0065344A">
        <w:rPr>
          <w:lang w:val="lt-LT" w:eastAsia="lt-LT"/>
        </w:rPr>
        <w:t>statyti</w:t>
      </w:r>
      <w:r w:rsidRPr="0065344A">
        <w:rPr>
          <w:i/>
          <w:iCs/>
          <w:lang w:val="lt-LT" w:eastAsia="lt-LT"/>
        </w:rPr>
        <w:t xml:space="preserve"> </w:t>
      </w:r>
      <w:r w:rsidRPr="0065344A">
        <w:rPr>
          <w:lang w:val="lt-LT" w:eastAsia="lt-LT"/>
        </w:rPr>
        <w:t>inžineriniu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neparengtose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valdyboms</w:t>
      </w:r>
      <w:r w:rsidRPr="0065344A">
        <w:rPr>
          <w:i/>
          <w:iCs/>
          <w:lang w:val="lt-LT" w:eastAsia="lt-LT"/>
        </w:rPr>
        <w:t xml:space="preserve"> </w:t>
      </w:r>
      <w:r w:rsidRPr="0065344A">
        <w:rPr>
          <w:lang w:val="lt-LT" w:eastAsia="lt-LT"/>
        </w:rPr>
        <w:t>šiose</w:t>
      </w:r>
      <w:r w:rsidRPr="0065344A">
        <w:rPr>
          <w:i/>
          <w:iCs/>
          <w:lang w:val="lt-LT" w:eastAsia="lt-LT"/>
        </w:rPr>
        <w:t xml:space="preserve"> </w:t>
      </w:r>
      <w:r w:rsidRPr="0065344A">
        <w:rPr>
          <w:lang w:val="lt-LT" w:eastAsia="lt-LT"/>
        </w:rPr>
        <w:t>teritorijose</w:t>
      </w:r>
      <w:r w:rsidRPr="0065344A">
        <w:rPr>
          <w:i/>
          <w:iCs/>
          <w:lang w:val="lt-LT" w:eastAsia="lt-LT"/>
        </w:rPr>
        <w:t xml:space="preserve"> </w:t>
      </w:r>
      <w:r w:rsidRPr="0065344A">
        <w:rPr>
          <w:lang w:val="lt-LT" w:eastAsia="lt-LT"/>
        </w:rPr>
        <w:t>įrengus</w:t>
      </w:r>
      <w:r w:rsidRPr="0065344A">
        <w:rPr>
          <w:i/>
          <w:iCs/>
          <w:lang w:val="lt-LT" w:eastAsia="lt-LT"/>
        </w:rPr>
        <w:t xml:space="preserve"> </w:t>
      </w:r>
      <w:r w:rsidRPr="0065344A">
        <w:rPr>
          <w:lang w:val="lt-LT" w:eastAsia="lt-LT"/>
        </w:rPr>
        <w:t>centralizuotus</w:t>
      </w:r>
      <w:r w:rsidRPr="0065344A">
        <w:rPr>
          <w:i/>
          <w:iCs/>
          <w:lang w:val="lt-LT" w:eastAsia="lt-LT"/>
        </w:rPr>
        <w:t xml:space="preserve"> </w:t>
      </w:r>
      <w:r w:rsidRPr="0065344A">
        <w:rPr>
          <w:lang w:val="lt-LT" w:eastAsia="lt-LT"/>
        </w:rPr>
        <w:t>inžinerinius</w:t>
      </w:r>
      <w:r w:rsidRPr="0065344A">
        <w:rPr>
          <w:i/>
          <w:iCs/>
          <w:lang w:val="lt-LT" w:eastAsia="lt-LT"/>
        </w:rPr>
        <w:t xml:space="preserve"> </w:t>
      </w:r>
      <w:r w:rsidRPr="0065344A">
        <w:rPr>
          <w:lang w:val="lt-LT" w:eastAsia="lt-LT"/>
        </w:rPr>
        <w:t>įrenginius,</w:t>
      </w:r>
      <w:r w:rsidRPr="0065344A">
        <w:rPr>
          <w:i/>
          <w:iCs/>
          <w:lang w:val="lt-LT" w:eastAsia="lt-LT"/>
        </w:rPr>
        <w:t xml:space="preserve"> </w:t>
      </w:r>
      <w:r w:rsidRPr="0065344A">
        <w:rPr>
          <w:lang w:val="lt-LT" w:eastAsia="lt-LT"/>
        </w:rPr>
        <w:t>prisijungdami</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inžinerinių</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sumokėti</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savivaldybių</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balansinės</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dalį</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išskyrus</w:t>
      </w:r>
      <w:r w:rsidRPr="0065344A">
        <w:rPr>
          <w:i/>
          <w:iCs/>
          <w:lang w:val="lt-LT" w:eastAsia="lt-LT"/>
        </w:rPr>
        <w:t xml:space="preserve"> </w:t>
      </w:r>
      <w:r w:rsidRPr="0065344A">
        <w:rPr>
          <w:lang w:val="lt-LT" w:eastAsia="lt-LT"/>
        </w:rPr>
        <w:t>tuos</w:t>
      </w:r>
      <w:r w:rsidRPr="0065344A">
        <w:rPr>
          <w:i/>
          <w:iCs/>
          <w:lang w:val="lt-LT" w:eastAsia="lt-LT"/>
        </w:rPr>
        <w:t xml:space="preserve"> </w:t>
      </w:r>
      <w:r w:rsidRPr="0065344A">
        <w:rPr>
          <w:lang w:val="lt-LT" w:eastAsia="lt-LT"/>
        </w:rPr>
        <w:t>atvejus,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žemės</w:t>
      </w:r>
      <w:r w:rsidRPr="0065344A">
        <w:rPr>
          <w:i/>
          <w:iCs/>
          <w:lang w:val="lt-LT" w:eastAsia="lt-LT"/>
        </w:rPr>
        <w:t xml:space="preserve"> </w:t>
      </w:r>
      <w:r w:rsidRPr="0065344A">
        <w:rPr>
          <w:lang w:val="lt-LT" w:eastAsia="lt-LT"/>
        </w:rPr>
        <w:t>sklypą</w:t>
      </w:r>
      <w:r w:rsidRPr="0065344A">
        <w:rPr>
          <w:i/>
          <w:iCs/>
          <w:lang w:val="lt-LT" w:eastAsia="lt-LT"/>
        </w:rPr>
        <w:t xml:space="preserve"> </w:t>
      </w:r>
      <w:r w:rsidRPr="0065344A">
        <w:rPr>
          <w:lang w:val="lt-LT" w:eastAsia="lt-LT"/>
        </w:rPr>
        <w:t>įsigijęs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sumokėjo</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šį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nustatytojo</w:t>
      </w:r>
      <w:r w:rsidRPr="0065344A">
        <w:rPr>
          <w:i/>
          <w:iCs/>
          <w:lang w:val="lt-LT" w:eastAsia="lt-LT"/>
        </w:rPr>
        <w:t xml:space="preserve"> </w:t>
      </w:r>
      <w:r w:rsidRPr="0065344A">
        <w:rPr>
          <w:lang w:val="lt-LT" w:eastAsia="lt-LT"/>
        </w:rPr>
        <w:t>dydžio</w:t>
      </w:r>
      <w:r w:rsidRPr="0065344A">
        <w:rPr>
          <w:i/>
          <w:iCs/>
          <w:lang w:val="lt-LT" w:eastAsia="lt-LT"/>
        </w:rPr>
        <w:t xml:space="preserve"> </w:t>
      </w:r>
      <w:r w:rsidRPr="0065344A">
        <w:rPr>
          <w:lang w:val="lt-LT" w:eastAsia="lt-LT"/>
        </w:rPr>
        <w:t>įnašą</w:t>
      </w:r>
      <w:r w:rsidRPr="0065344A">
        <w:rPr>
          <w:i/>
          <w:iCs/>
          <w:lang w:val="lt-LT" w:eastAsia="lt-LT"/>
        </w:rPr>
        <w:t xml:space="preserve"> </w:t>
      </w:r>
      <w:r w:rsidRPr="0065344A">
        <w:rPr>
          <w:lang w:val="lt-LT" w:eastAsia="lt-LT"/>
        </w:rPr>
        <w:t>statybos</w:t>
      </w:r>
      <w:r w:rsidRPr="0065344A">
        <w:rPr>
          <w:i/>
          <w:iCs/>
          <w:lang w:val="lt-LT" w:eastAsia="lt-LT"/>
        </w:rPr>
        <w:t xml:space="preserve"> </w:t>
      </w:r>
      <w:r w:rsidRPr="0065344A">
        <w:rPr>
          <w:lang w:val="lt-LT" w:eastAsia="lt-LT"/>
        </w:rPr>
        <w:t>teritorijos</w:t>
      </w:r>
      <w:r w:rsidRPr="0065344A">
        <w:rPr>
          <w:i/>
          <w:iCs/>
          <w:lang w:val="lt-LT" w:eastAsia="lt-LT"/>
        </w:rPr>
        <w:t xml:space="preserve"> </w:t>
      </w:r>
      <w:r w:rsidRPr="0065344A">
        <w:rPr>
          <w:lang w:val="lt-LT" w:eastAsia="lt-LT"/>
        </w:rPr>
        <w:t>inžinerinei</w:t>
      </w:r>
      <w:r w:rsidRPr="0065344A">
        <w:rPr>
          <w:i/>
          <w:iCs/>
          <w:lang w:val="lt-LT" w:eastAsia="lt-LT"/>
        </w:rPr>
        <w:t xml:space="preserve"> </w:t>
      </w:r>
      <w:r w:rsidRPr="0065344A">
        <w:rPr>
          <w:lang w:val="lt-LT" w:eastAsia="lt-LT"/>
        </w:rPr>
        <w:t>struktūrai</w:t>
      </w:r>
      <w:r w:rsidRPr="0065344A">
        <w:rPr>
          <w:i/>
          <w:iCs/>
          <w:lang w:val="lt-LT" w:eastAsia="lt-LT"/>
        </w:rPr>
        <w:t xml:space="preserve"> </w:t>
      </w:r>
      <w:r w:rsidRPr="0065344A">
        <w:rPr>
          <w:lang w:val="lt-LT" w:eastAsia="lt-LT"/>
        </w:rPr>
        <w:t>plėtoti</w:t>
      </w:r>
      <w:r w:rsidRPr="0065344A">
        <w:rPr>
          <w:i/>
          <w:iCs/>
          <w:lang w:val="lt-LT" w:eastAsia="lt-LT"/>
        </w:rPr>
        <w:t>“</w:t>
      </w:r>
      <w:r w:rsidRPr="0065344A">
        <w:rPr>
          <w:lang w:val="lt-LT" w:eastAsia="lt-LT"/>
        </w:rPr>
        <w:t>.</w:t>
      </w:r>
    </w:p>
    <w:p w14:paraId="374CB1C9" w14:textId="77777777" w:rsidR="00093845" w:rsidRPr="0065344A" w:rsidRDefault="000D779E">
      <w:pPr>
        <w:ind w:firstLine="993"/>
        <w:jc w:val="both"/>
        <w:rPr>
          <w:lang w:val="lt-LT" w:eastAsia="lt-LT"/>
        </w:rPr>
      </w:pPr>
      <w:r w:rsidRPr="0065344A">
        <w:rPr>
          <w:lang w:val="lt-LT" w:eastAsia="lt-LT"/>
        </w:rPr>
        <w:t>Abiem</w:t>
      </w:r>
      <w:r w:rsidRPr="0065344A">
        <w:rPr>
          <w:i/>
          <w:iCs/>
          <w:lang w:val="lt-LT" w:eastAsia="lt-LT"/>
        </w:rPr>
        <w:t xml:space="preserve"> </w:t>
      </w:r>
      <w:r w:rsidRPr="0065344A">
        <w:rPr>
          <w:lang w:val="lt-LT" w:eastAsia="lt-LT"/>
        </w:rPr>
        <w:t>minėtais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sumokėtus</w:t>
      </w:r>
      <w:r w:rsidRPr="0065344A">
        <w:rPr>
          <w:i/>
          <w:iCs/>
          <w:lang w:val="lt-LT" w:eastAsia="lt-LT"/>
        </w:rPr>
        <w:t xml:space="preserve"> </w:t>
      </w:r>
      <w:r w:rsidRPr="0065344A">
        <w:rPr>
          <w:lang w:val="lt-LT" w:eastAsia="lt-LT"/>
        </w:rPr>
        <w:t>nustatyto</w:t>
      </w:r>
      <w:r w:rsidRPr="0065344A">
        <w:rPr>
          <w:i/>
          <w:iCs/>
          <w:lang w:val="lt-LT" w:eastAsia="lt-LT"/>
        </w:rPr>
        <w:t xml:space="preserve"> </w:t>
      </w:r>
      <w:r w:rsidRPr="0065344A">
        <w:rPr>
          <w:lang w:val="lt-LT" w:eastAsia="lt-LT"/>
        </w:rPr>
        <w:t>dydžio</w:t>
      </w:r>
      <w:r w:rsidRPr="0065344A">
        <w:rPr>
          <w:i/>
          <w:iCs/>
          <w:lang w:val="lt-LT" w:eastAsia="lt-LT"/>
        </w:rPr>
        <w:t xml:space="preserve"> </w:t>
      </w:r>
      <w:r w:rsidRPr="0065344A">
        <w:rPr>
          <w:lang w:val="lt-LT" w:eastAsia="lt-LT"/>
        </w:rPr>
        <w:t>įnašus</w:t>
      </w:r>
      <w:r w:rsidRPr="0065344A">
        <w:rPr>
          <w:i/>
          <w:iCs/>
          <w:lang w:val="lt-LT" w:eastAsia="lt-LT"/>
        </w:rPr>
        <w:t xml:space="preserve"> </w:t>
      </w:r>
      <w:r w:rsidRPr="0065344A">
        <w:rPr>
          <w:lang w:val="lt-LT" w:eastAsia="lt-LT"/>
        </w:rPr>
        <w:t>inžinerinei</w:t>
      </w:r>
      <w:r w:rsidRPr="0065344A">
        <w:rPr>
          <w:i/>
          <w:iCs/>
          <w:lang w:val="lt-LT" w:eastAsia="lt-LT"/>
        </w:rPr>
        <w:t xml:space="preserve"> </w:t>
      </w:r>
      <w:r w:rsidRPr="0065344A">
        <w:rPr>
          <w:lang w:val="lt-LT" w:eastAsia="lt-LT"/>
        </w:rPr>
        <w:t>infrastruktūrai</w:t>
      </w:r>
      <w:r w:rsidRPr="0065344A">
        <w:rPr>
          <w:i/>
          <w:iCs/>
          <w:lang w:val="lt-LT" w:eastAsia="lt-LT"/>
        </w:rPr>
        <w:t xml:space="preserve"> </w:t>
      </w:r>
      <w:r w:rsidRPr="0065344A">
        <w:rPr>
          <w:lang w:val="lt-LT" w:eastAsia="lt-LT"/>
        </w:rPr>
        <w:t>plėtoti</w:t>
      </w:r>
      <w:r w:rsidRPr="0065344A">
        <w:rPr>
          <w:i/>
          <w:iCs/>
          <w:lang w:val="lt-LT" w:eastAsia="lt-LT"/>
        </w:rPr>
        <w:t xml:space="preserve"> </w:t>
      </w:r>
      <w:r w:rsidRPr="0065344A">
        <w:rPr>
          <w:lang w:val="lt-LT" w:eastAsia="lt-LT"/>
        </w:rPr>
        <w:t>turi</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nematerialiam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w:t>
      </w:r>
      <w:r w:rsidRPr="0065344A">
        <w:rPr>
          <w:i/>
          <w:iCs/>
          <w:lang w:val="lt-LT" w:eastAsia="lt-LT"/>
        </w:rPr>
        <w:t>„</w:t>
      </w:r>
      <w:r w:rsidRPr="0065344A">
        <w:rPr>
          <w:lang w:val="lt-LT" w:eastAsia="lt-LT"/>
        </w:rPr>
        <w:t>Įsigytos</w:t>
      </w:r>
      <w:r w:rsidRPr="0065344A">
        <w:rPr>
          <w:i/>
          <w:iCs/>
          <w:lang w:val="lt-LT" w:eastAsia="lt-LT"/>
        </w:rPr>
        <w:t xml:space="preserve"> </w:t>
      </w:r>
      <w:r w:rsidRPr="0065344A">
        <w:rPr>
          <w:lang w:val="lt-LT" w:eastAsia="lt-LT"/>
        </w:rPr>
        <w:lastRenderedPageBreak/>
        <w:t>teisės</w:t>
      </w:r>
      <w:r w:rsidRPr="0065344A">
        <w:rPr>
          <w:i/>
          <w:iCs/>
          <w:lang w:val="lt-LT" w:eastAsia="lt-LT"/>
        </w:rPr>
        <w:t>“</w:t>
      </w:r>
      <w:r w:rsidRPr="0065344A">
        <w:rPr>
          <w:lang w:val="lt-LT" w:eastAsia="lt-LT"/>
        </w:rPr>
        <w:t>).</w:t>
      </w:r>
      <w:r w:rsidRPr="0065344A">
        <w:rPr>
          <w:i/>
          <w:iCs/>
          <w:lang w:val="lt-LT" w:eastAsia="lt-LT"/>
        </w:rPr>
        <w:t xml:space="preserve"> </w:t>
      </w:r>
      <w:r w:rsidRPr="0065344A">
        <w:rPr>
          <w:lang w:val="lt-LT" w:eastAsia="lt-LT"/>
        </w:rPr>
        <w:t>Šio</w:t>
      </w:r>
      <w:r w:rsidRPr="0065344A">
        <w:rPr>
          <w:i/>
          <w:iCs/>
          <w:lang w:val="lt-LT" w:eastAsia="lt-LT"/>
        </w:rPr>
        <w:t xml:space="preserve"> </w:t>
      </w:r>
      <w:r w:rsidRPr="0065344A">
        <w:rPr>
          <w:lang w:val="lt-LT" w:eastAsia="lt-LT"/>
        </w:rPr>
        <w:t>nematerialaus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amortizacija,</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leidžiamų</w:t>
      </w:r>
      <w:r w:rsidRPr="0065344A">
        <w:rPr>
          <w:i/>
          <w:iCs/>
          <w:lang w:val="lt-LT" w:eastAsia="lt-LT"/>
        </w:rPr>
        <w:t xml:space="preserve"> </w:t>
      </w:r>
      <w:r w:rsidRPr="0065344A">
        <w:rPr>
          <w:lang w:val="lt-LT" w:eastAsia="lt-LT"/>
        </w:rPr>
        <w:t>atskaitymų.</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nuostatos</w:t>
      </w:r>
      <w:r w:rsidRPr="0065344A">
        <w:rPr>
          <w:i/>
          <w:iCs/>
          <w:lang w:val="lt-LT" w:eastAsia="lt-LT"/>
        </w:rPr>
        <w:t xml:space="preserve"> </w:t>
      </w:r>
      <w:r w:rsidRPr="0065344A">
        <w:rPr>
          <w:lang w:val="lt-LT" w:eastAsia="lt-LT"/>
        </w:rPr>
        <w:t>taikomos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miestų</w:t>
      </w:r>
      <w:r w:rsidRPr="0065344A">
        <w:rPr>
          <w:i/>
          <w:iCs/>
          <w:lang w:val="lt-LT" w:eastAsia="lt-LT"/>
        </w:rPr>
        <w:t xml:space="preserve"> </w:t>
      </w:r>
      <w:r w:rsidRPr="0065344A">
        <w:rPr>
          <w:lang w:val="lt-LT" w:eastAsia="lt-LT"/>
        </w:rPr>
        <w:t>(rajonų)</w:t>
      </w:r>
      <w:r w:rsidRPr="0065344A">
        <w:rPr>
          <w:i/>
          <w:iCs/>
          <w:lang w:val="lt-LT" w:eastAsia="lt-LT"/>
        </w:rPr>
        <w:t xml:space="preserve"> </w:t>
      </w:r>
      <w:r w:rsidRPr="0065344A">
        <w:rPr>
          <w:lang w:val="lt-LT" w:eastAsia="lt-LT"/>
        </w:rPr>
        <w:t>valdybų</w:t>
      </w:r>
      <w:r w:rsidRPr="0065344A">
        <w:rPr>
          <w:i/>
          <w:iCs/>
          <w:lang w:val="lt-LT" w:eastAsia="lt-LT"/>
        </w:rPr>
        <w:t xml:space="preserve"> </w:t>
      </w:r>
      <w:r w:rsidRPr="0065344A">
        <w:rPr>
          <w:lang w:val="lt-LT" w:eastAsia="lt-LT"/>
        </w:rPr>
        <w:t>nustatytos</w:t>
      </w:r>
      <w:r w:rsidRPr="0065344A">
        <w:rPr>
          <w:i/>
          <w:iCs/>
          <w:lang w:val="lt-LT" w:eastAsia="lt-LT"/>
        </w:rPr>
        <w:t xml:space="preserve"> </w:t>
      </w:r>
      <w:r w:rsidRPr="0065344A">
        <w:rPr>
          <w:lang w:val="lt-LT" w:eastAsia="lt-LT"/>
        </w:rPr>
        <w:t>sumos</w:t>
      </w:r>
      <w:r w:rsidRPr="0065344A">
        <w:rPr>
          <w:i/>
          <w:iCs/>
          <w:lang w:val="lt-LT" w:eastAsia="lt-LT"/>
        </w:rPr>
        <w:t xml:space="preserve"> </w:t>
      </w:r>
      <w:r w:rsidRPr="0065344A">
        <w:rPr>
          <w:lang w:val="lt-LT" w:eastAsia="lt-LT"/>
        </w:rPr>
        <w:t>centralizuotų</w:t>
      </w:r>
      <w:r w:rsidRPr="0065344A">
        <w:rPr>
          <w:i/>
          <w:iCs/>
          <w:lang w:val="lt-LT" w:eastAsia="lt-LT"/>
        </w:rPr>
        <w:t xml:space="preserve"> </w:t>
      </w:r>
      <w:r w:rsidRPr="0065344A">
        <w:rPr>
          <w:lang w:val="lt-LT" w:eastAsia="lt-LT"/>
        </w:rPr>
        <w:t>inžinerinės</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įrenginių</w:t>
      </w:r>
      <w:r w:rsidRPr="0065344A">
        <w:rPr>
          <w:i/>
          <w:iCs/>
          <w:lang w:val="lt-LT" w:eastAsia="lt-LT"/>
        </w:rPr>
        <w:t xml:space="preserve"> </w:t>
      </w:r>
      <w:r w:rsidRPr="0065344A">
        <w:rPr>
          <w:lang w:val="lt-LT" w:eastAsia="lt-LT"/>
        </w:rPr>
        <w:t>balansinei</w:t>
      </w:r>
      <w:r w:rsidRPr="0065344A">
        <w:rPr>
          <w:i/>
          <w:iCs/>
          <w:lang w:val="lt-LT" w:eastAsia="lt-LT"/>
        </w:rPr>
        <w:t xml:space="preserve"> </w:t>
      </w:r>
      <w:r w:rsidRPr="0065344A">
        <w:rPr>
          <w:lang w:val="lt-LT" w:eastAsia="lt-LT"/>
        </w:rPr>
        <w:t>kainos</w:t>
      </w:r>
      <w:r w:rsidRPr="0065344A">
        <w:rPr>
          <w:i/>
          <w:iCs/>
          <w:lang w:val="lt-LT" w:eastAsia="lt-LT"/>
        </w:rPr>
        <w:t xml:space="preserve"> </w:t>
      </w:r>
      <w:r w:rsidRPr="0065344A">
        <w:rPr>
          <w:lang w:val="lt-LT" w:eastAsia="lt-LT"/>
        </w:rPr>
        <w:t>daliai</w:t>
      </w:r>
      <w:r w:rsidRPr="0065344A">
        <w:rPr>
          <w:i/>
          <w:iCs/>
          <w:lang w:val="lt-LT" w:eastAsia="lt-LT"/>
        </w:rPr>
        <w:t xml:space="preserve"> </w:t>
      </w:r>
      <w:r w:rsidRPr="0065344A">
        <w:rPr>
          <w:lang w:val="lt-LT" w:eastAsia="lt-LT"/>
        </w:rPr>
        <w:t>kompensuoti</w:t>
      </w:r>
      <w:r w:rsidRPr="0065344A">
        <w:rPr>
          <w:i/>
          <w:iCs/>
          <w:lang w:val="lt-LT" w:eastAsia="lt-LT"/>
        </w:rPr>
        <w:t xml:space="preserve"> </w:t>
      </w:r>
      <w:r w:rsidRPr="0065344A">
        <w:rPr>
          <w:lang w:val="lt-LT" w:eastAsia="lt-LT"/>
        </w:rPr>
        <w:t>minėto</w:t>
      </w:r>
      <w:r w:rsidRPr="0065344A">
        <w:rPr>
          <w:i/>
          <w:iCs/>
          <w:lang w:val="lt-LT" w:eastAsia="lt-LT"/>
        </w:rPr>
        <w:t xml:space="preserve"> </w:t>
      </w:r>
      <w:r w:rsidRPr="0065344A">
        <w:rPr>
          <w:lang w:val="lt-LT" w:eastAsia="lt-LT"/>
        </w:rPr>
        <w:t>Vyriausybės</w:t>
      </w:r>
      <w:r w:rsidRPr="0065344A">
        <w:rPr>
          <w:i/>
          <w:iCs/>
          <w:lang w:val="lt-LT" w:eastAsia="lt-LT"/>
        </w:rPr>
        <w:t xml:space="preserve"> </w:t>
      </w:r>
      <w:r w:rsidRPr="0065344A">
        <w:rPr>
          <w:lang w:val="lt-LT" w:eastAsia="lt-LT"/>
        </w:rPr>
        <w:t>1994</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balandžio</w:t>
      </w:r>
      <w:r w:rsidRPr="0065344A">
        <w:rPr>
          <w:i/>
          <w:iCs/>
          <w:lang w:val="lt-LT" w:eastAsia="lt-LT"/>
        </w:rPr>
        <w:t xml:space="preserve"> </w:t>
      </w:r>
      <w:r w:rsidRPr="0065344A">
        <w:rPr>
          <w:lang w:val="lt-LT" w:eastAsia="lt-LT"/>
        </w:rPr>
        <w:t>28</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nutarimo</w:t>
      </w:r>
      <w:r w:rsidRPr="0065344A">
        <w:rPr>
          <w:i/>
          <w:iCs/>
          <w:lang w:val="lt-LT" w:eastAsia="lt-LT"/>
        </w:rPr>
        <w:t xml:space="preserve"> </w:t>
      </w:r>
      <w:r w:rsidRPr="0065344A">
        <w:rPr>
          <w:lang w:val="lt-LT" w:eastAsia="lt-LT"/>
        </w:rPr>
        <w:t>Nr.</w:t>
      </w:r>
      <w:r w:rsidRPr="0065344A">
        <w:rPr>
          <w:i/>
          <w:iCs/>
          <w:lang w:val="lt-LT" w:eastAsia="lt-LT"/>
        </w:rPr>
        <w:t xml:space="preserve"> </w:t>
      </w:r>
      <w:r w:rsidR="00A620BC">
        <w:rPr>
          <w:lang w:val="lt-LT" w:eastAsia="lt-LT"/>
        </w:rPr>
        <w:t>469</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tvarka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pervedamos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savivaldybės</w:t>
      </w:r>
      <w:r w:rsidRPr="0065344A">
        <w:rPr>
          <w:i/>
          <w:iCs/>
          <w:lang w:val="lt-LT" w:eastAsia="lt-LT"/>
        </w:rPr>
        <w:t xml:space="preserve"> </w:t>
      </w:r>
      <w:r w:rsidRPr="0065344A">
        <w:rPr>
          <w:lang w:val="lt-LT" w:eastAsia="lt-LT"/>
        </w:rPr>
        <w:t>nebiudžetinį</w:t>
      </w:r>
      <w:r w:rsidRPr="0065344A">
        <w:rPr>
          <w:i/>
          <w:iCs/>
          <w:lang w:val="lt-LT" w:eastAsia="lt-LT"/>
        </w:rPr>
        <w:t xml:space="preserve"> </w:t>
      </w:r>
      <w:r w:rsidRPr="0065344A">
        <w:rPr>
          <w:lang w:val="lt-LT" w:eastAsia="lt-LT"/>
        </w:rPr>
        <w:t>fondą,</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jomis</w:t>
      </w:r>
      <w:r w:rsidRPr="0065344A">
        <w:rPr>
          <w:i/>
          <w:iCs/>
          <w:lang w:val="lt-LT" w:eastAsia="lt-LT"/>
        </w:rPr>
        <w:t xml:space="preserve"> </w:t>
      </w:r>
      <w:r w:rsidRPr="0065344A">
        <w:rPr>
          <w:lang w:val="lt-LT" w:eastAsia="lt-LT"/>
        </w:rPr>
        <w:t>apmokamos</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išrašytos</w:t>
      </w:r>
      <w:r w:rsidRPr="0065344A">
        <w:rPr>
          <w:i/>
          <w:iCs/>
          <w:lang w:val="lt-LT" w:eastAsia="lt-LT"/>
        </w:rPr>
        <w:t xml:space="preserve"> </w:t>
      </w:r>
      <w:r w:rsidRPr="0065344A">
        <w:rPr>
          <w:lang w:val="lt-LT" w:eastAsia="lt-LT"/>
        </w:rPr>
        <w:t>centralizuotų</w:t>
      </w:r>
      <w:r w:rsidRPr="0065344A">
        <w:rPr>
          <w:i/>
          <w:iCs/>
          <w:lang w:val="lt-LT" w:eastAsia="lt-LT"/>
        </w:rPr>
        <w:t xml:space="preserve"> </w:t>
      </w:r>
      <w:r w:rsidRPr="0065344A">
        <w:rPr>
          <w:lang w:val="lt-LT" w:eastAsia="lt-LT"/>
        </w:rPr>
        <w:t>inžinerinės</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objektų</w:t>
      </w:r>
      <w:r w:rsidRPr="0065344A">
        <w:rPr>
          <w:i/>
          <w:iCs/>
          <w:lang w:val="lt-LT" w:eastAsia="lt-LT"/>
        </w:rPr>
        <w:t xml:space="preserve"> </w:t>
      </w:r>
      <w:r w:rsidRPr="0065344A">
        <w:rPr>
          <w:lang w:val="lt-LT" w:eastAsia="lt-LT"/>
        </w:rPr>
        <w:t>įrengimo</w:t>
      </w:r>
      <w:r w:rsidRPr="0065344A">
        <w:rPr>
          <w:i/>
          <w:iCs/>
          <w:lang w:val="lt-LT" w:eastAsia="lt-LT"/>
        </w:rPr>
        <w:t xml:space="preserve"> </w:t>
      </w:r>
      <w:r w:rsidRPr="0065344A">
        <w:rPr>
          <w:lang w:val="lt-LT" w:eastAsia="lt-LT"/>
        </w:rPr>
        <w:t>sąskaitos.</w:t>
      </w:r>
    </w:p>
    <w:p w14:paraId="144D396C" w14:textId="77777777" w:rsidR="00093845" w:rsidRPr="0065344A" w:rsidRDefault="000D779E">
      <w:pPr>
        <w:ind w:firstLine="993"/>
        <w:jc w:val="both"/>
        <w:rPr>
          <w:lang w:val="lt-LT" w:eastAsia="lt-LT"/>
        </w:rPr>
      </w:pPr>
      <w:r w:rsidRPr="0065344A">
        <w:rPr>
          <w:lang w:val="lt-LT" w:eastAsia="lt-LT"/>
        </w:rPr>
        <w:t>6.26.2.</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prie</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nekilnojamojo</w:t>
      </w:r>
      <w:r w:rsidRPr="0065344A">
        <w:rPr>
          <w:i/>
          <w:iCs/>
          <w:lang w:val="lt-LT" w:eastAsia="lt-LT"/>
        </w:rPr>
        <w:t xml:space="preserve"> </w:t>
      </w:r>
      <w:r w:rsidRPr="0065344A">
        <w:rPr>
          <w:lang w:val="lt-LT" w:eastAsia="lt-LT"/>
        </w:rPr>
        <w:t>turto</w:t>
      </w:r>
      <w:r w:rsidRPr="0065344A">
        <w:rPr>
          <w:i/>
          <w:iCs/>
          <w:lang w:val="lt-LT" w:eastAsia="lt-LT"/>
        </w:rPr>
        <w:t xml:space="preserve"> </w:t>
      </w:r>
      <w:r w:rsidR="000D0E49">
        <w:rPr>
          <w:lang w:val="lt-LT" w:eastAsia="lt-LT"/>
        </w:rPr>
        <w:t>neįgaliesiems</w:t>
      </w:r>
      <w:r w:rsidRPr="0065344A">
        <w:rPr>
          <w:i/>
          <w:iCs/>
          <w:lang w:val="lt-LT" w:eastAsia="lt-LT"/>
        </w:rPr>
        <w:t xml:space="preserve"> </w:t>
      </w:r>
      <w:r w:rsidRPr="0065344A">
        <w:rPr>
          <w:lang w:val="lt-LT" w:eastAsia="lt-LT"/>
        </w:rPr>
        <w:t>skirti</w:t>
      </w:r>
      <w:r w:rsidRPr="0065344A">
        <w:rPr>
          <w:i/>
          <w:iCs/>
          <w:lang w:val="lt-LT" w:eastAsia="lt-LT"/>
        </w:rPr>
        <w:t xml:space="preserve"> </w:t>
      </w:r>
      <w:r w:rsidRPr="0065344A">
        <w:rPr>
          <w:lang w:val="lt-LT" w:eastAsia="lt-LT"/>
        </w:rPr>
        <w:t>privažiavimo</w:t>
      </w:r>
      <w:r w:rsidRPr="0065344A">
        <w:rPr>
          <w:i/>
          <w:iCs/>
          <w:lang w:val="lt-LT" w:eastAsia="lt-LT"/>
        </w:rPr>
        <w:t xml:space="preserve"> </w:t>
      </w:r>
      <w:r w:rsidRPr="0065344A">
        <w:rPr>
          <w:lang w:val="lt-LT" w:eastAsia="lt-LT"/>
        </w:rPr>
        <w:t>takai,</w:t>
      </w:r>
      <w:r w:rsidRPr="0065344A">
        <w:rPr>
          <w:i/>
          <w:iCs/>
          <w:lang w:val="lt-LT" w:eastAsia="lt-LT"/>
        </w:rPr>
        <w:t xml:space="preserve"> </w:t>
      </w:r>
      <w:r w:rsidRPr="0065344A">
        <w:rPr>
          <w:lang w:val="lt-LT" w:eastAsia="lt-LT"/>
        </w:rPr>
        <w:t>automobilių</w:t>
      </w:r>
      <w:r w:rsidRPr="0065344A">
        <w:rPr>
          <w:i/>
          <w:iCs/>
          <w:lang w:val="lt-LT" w:eastAsia="lt-LT"/>
        </w:rPr>
        <w:t xml:space="preserve"> </w:t>
      </w:r>
      <w:r w:rsidRPr="0065344A">
        <w:rPr>
          <w:lang w:val="lt-LT" w:eastAsia="lt-LT"/>
        </w:rPr>
        <w:t>stovėjimo</w:t>
      </w:r>
      <w:r w:rsidRPr="0065344A">
        <w:rPr>
          <w:i/>
          <w:iCs/>
          <w:lang w:val="lt-LT" w:eastAsia="lt-LT"/>
        </w:rPr>
        <w:t xml:space="preserve"> </w:t>
      </w:r>
      <w:r w:rsidRPr="0065344A">
        <w:rPr>
          <w:lang w:val="lt-LT" w:eastAsia="lt-LT"/>
        </w:rPr>
        <w:t>aikštelė</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būtini</w:t>
      </w:r>
      <w:r w:rsidRPr="0065344A">
        <w:rPr>
          <w:i/>
          <w:iCs/>
          <w:lang w:val="lt-LT" w:eastAsia="lt-LT"/>
        </w:rPr>
        <w:t xml:space="preserve"> </w:t>
      </w:r>
      <w:r w:rsidRPr="0065344A">
        <w:rPr>
          <w:lang w:val="lt-LT" w:eastAsia="lt-LT"/>
        </w:rPr>
        <w:t>(reikalingi)</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neperduotini</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tokio</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objekto</w:t>
      </w:r>
      <w:r w:rsidRPr="0065344A">
        <w:rPr>
          <w:i/>
          <w:iCs/>
          <w:lang w:val="lt-LT" w:eastAsia="lt-LT"/>
        </w:rPr>
        <w:t xml:space="preserve"> </w:t>
      </w:r>
      <w:r w:rsidRPr="0065344A">
        <w:rPr>
          <w:lang w:val="lt-LT" w:eastAsia="lt-LT"/>
        </w:rPr>
        <w:t>sukūrimo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ilgalaikio</w:t>
      </w:r>
      <w:r w:rsidRPr="0065344A">
        <w:rPr>
          <w:i/>
          <w:iCs/>
          <w:lang w:val="lt-LT" w:eastAsia="lt-LT"/>
        </w:rPr>
        <w:t xml:space="preserve"> </w:t>
      </w:r>
      <w:r w:rsidRPr="0065344A">
        <w:rPr>
          <w:lang w:val="lt-LT" w:eastAsia="lt-LT"/>
        </w:rPr>
        <w:t>materialiojo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kainai,</w:t>
      </w:r>
      <w:r w:rsidRPr="0065344A">
        <w:rPr>
          <w:i/>
          <w:iCs/>
          <w:lang w:val="lt-LT" w:eastAsia="lt-LT"/>
        </w:rPr>
        <w:t xml:space="preserve"> </w:t>
      </w:r>
      <w:r w:rsidRPr="0065344A">
        <w:rPr>
          <w:lang w:val="lt-LT" w:eastAsia="lt-LT"/>
        </w:rPr>
        <w:t>nuo</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apskaičiuota</w:t>
      </w:r>
      <w:r w:rsidRPr="0065344A">
        <w:rPr>
          <w:i/>
          <w:iCs/>
          <w:lang w:val="lt-LT" w:eastAsia="lt-LT"/>
        </w:rPr>
        <w:t xml:space="preserve"> </w:t>
      </w:r>
      <w:r w:rsidRPr="0065344A">
        <w:rPr>
          <w:lang w:val="lt-LT" w:eastAsia="lt-LT"/>
        </w:rPr>
        <w:t>nusidėvėjimo</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nustatant</w:t>
      </w:r>
      <w:r w:rsidRPr="0065344A">
        <w:rPr>
          <w:i/>
          <w:iCs/>
          <w:lang w:val="lt-LT" w:eastAsia="lt-LT"/>
        </w:rPr>
        <w:t xml:space="preserve"> </w:t>
      </w:r>
      <w:r w:rsidRPr="0065344A">
        <w:rPr>
          <w:lang w:val="lt-LT" w:eastAsia="lt-LT"/>
        </w:rPr>
        <w:t>apmokestinamąjį</w:t>
      </w:r>
      <w:r w:rsidRPr="0065344A">
        <w:rPr>
          <w:i/>
          <w:iCs/>
          <w:lang w:val="lt-LT" w:eastAsia="lt-LT"/>
        </w:rPr>
        <w:t xml:space="preserve"> </w:t>
      </w:r>
      <w:r w:rsidRPr="0065344A">
        <w:rPr>
          <w:lang w:val="lt-LT" w:eastAsia="lt-LT"/>
        </w:rPr>
        <w:t>pelną,</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ribojamų</w:t>
      </w:r>
      <w:r w:rsidRPr="0065344A">
        <w:rPr>
          <w:i/>
          <w:iCs/>
          <w:lang w:val="lt-LT" w:eastAsia="lt-LT"/>
        </w:rPr>
        <w:t xml:space="preserve"> </w:t>
      </w:r>
      <w:r w:rsidRPr="0065344A">
        <w:rPr>
          <w:lang w:val="lt-LT" w:eastAsia="lt-LT"/>
        </w:rPr>
        <w:t>dydžių</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71A0B00F" w14:textId="77777777" w:rsidR="00093845" w:rsidRPr="0065344A" w:rsidRDefault="000D779E">
      <w:pPr>
        <w:ind w:firstLine="993"/>
        <w:jc w:val="both"/>
        <w:rPr>
          <w:lang w:val="lt-LT" w:eastAsia="lt-LT"/>
        </w:rPr>
      </w:pPr>
      <w:r w:rsidRPr="0065344A">
        <w:rPr>
          <w:lang w:val="lt-LT" w:eastAsia="lt-LT"/>
        </w:rPr>
        <w:t>6.26.3.</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lėšomis</w:t>
      </w:r>
      <w:r w:rsidRPr="0065344A">
        <w:rPr>
          <w:i/>
          <w:iCs/>
          <w:lang w:val="lt-LT" w:eastAsia="lt-LT"/>
        </w:rPr>
        <w:t xml:space="preserve"> </w:t>
      </w:r>
      <w:r w:rsidRPr="0065344A">
        <w:rPr>
          <w:lang w:val="lt-LT" w:eastAsia="lt-LT"/>
        </w:rPr>
        <w:t>(pati</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kitais</w:t>
      </w:r>
      <w:r w:rsidRPr="0065344A">
        <w:rPr>
          <w:i/>
          <w:iCs/>
          <w:lang w:val="lt-LT" w:eastAsia="lt-LT"/>
        </w:rPr>
        <w:t xml:space="preserve"> </w:t>
      </w:r>
      <w:r w:rsidRPr="0065344A">
        <w:rPr>
          <w:lang w:val="lt-LT" w:eastAsia="lt-LT"/>
        </w:rPr>
        <w:t>ūkio</w:t>
      </w:r>
      <w:r w:rsidRPr="0065344A">
        <w:rPr>
          <w:i/>
          <w:iCs/>
          <w:lang w:val="lt-LT" w:eastAsia="lt-LT"/>
        </w:rPr>
        <w:t xml:space="preserve"> </w:t>
      </w:r>
      <w:r w:rsidRPr="0065344A">
        <w:rPr>
          <w:lang w:val="lt-LT" w:eastAsia="lt-LT"/>
        </w:rPr>
        <w:t>subjektais)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infrastruktūros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nutiesia</w:t>
      </w:r>
      <w:r w:rsidRPr="0065344A">
        <w:rPr>
          <w:i/>
          <w:iCs/>
          <w:lang w:val="lt-LT" w:eastAsia="lt-LT"/>
        </w:rPr>
        <w:t xml:space="preserve"> </w:t>
      </w:r>
      <w:r w:rsidRPr="0065344A">
        <w:rPr>
          <w:lang w:val="lt-LT" w:eastAsia="lt-LT"/>
        </w:rPr>
        <w:t>(išasfaltuoja)</w:t>
      </w:r>
      <w:r w:rsidRPr="0065344A">
        <w:rPr>
          <w:i/>
          <w:iCs/>
          <w:lang w:val="lt-LT" w:eastAsia="lt-LT"/>
        </w:rPr>
        <w:t xml:space="preserve"> </w:t>
      </w:r>
      <w:r w:rsidRPr="0065344A">
        <w:rPr>
          <w:lang w:val="lt-LT" w:eastAsia="lt-LT"/>
        </w:rPr>
        <w:t>ištisą</w:t>
      </w:r>
      <w:r w:rsidRPr="0065344A">
        <w:rPr>
          <w:i/>
          <w:iCs/>
          <w:lang w:val="lt-LT" w:eastAsia="lt-LT"/>
        </w:rPr>
        <w:t xml:space="preserve"> </w:t>
      </w:r>
      <w:r w:rsidRPr="0065344A">
        <w:rPr>
          <w:lang w:val="lt-LT" w:eastAsia="lt-LT"/>
        </w:rPr>
        <w:t>gatvę,</w:t>
      </w:r>
      <w:r w:rsidRPr="0065344A">
        <w:rPr>
          <w:i/>
          <w:iCs/>
          <w:lang w:val="lt-LT" w:eastAsia="lt-LT"/>
        </w:rPr>
        <w:t xml:space="preserve"> </w:t>
      </w:r>
      <w:r w:rsidRPr="0065344A">
        <w:rPr>
          <w:lang w:val="lt-LT" w:eastAsia="lt-LT"/>
        </w:rPr>
        <w:t>suremontuoja,</w:t>
      </w:r>
      <w:r w:rsidRPr="0065344A">
        <w:rPr>
          <w:i/>
          <w:iCs/>
          <w:lang w:val="lt-LT" w:eastAsia="lt-LT"/>
        </w:rPr>
        <w:t xml:space="preserve"> </w:t>
      </w:r>
      <w:r w:rsidRPr="0065344A">
        <w:rPr>
          <w:lang w:val="lt-LT" w:eastAsia="lt-LT"/>
        </w:rPr>
        <w:t>praplatina</w:t>
      </w:r>
      <w:r w:rsidRPr="0065344A">
        <w:rPr>
          <w:i/>
          <w:iCs/>
          <w:lang w:val="lt-LT" w:eastAsia="lt-LT"/>
        </w:rPr>
        <w:t xml:space="preserve"> </w:t>
      </w:r>
      <w:r w:rsidRPr="0065344A">
        <w:rPr>
          <w:lang w:val="lt-LT" w:eastAsia="lt-LT"/>
        </w:rPr>
        <w:t>jau</w:t>
      </w:r>
      <w:r w:rsidRPr="0065344A">
        <w:rPr>
          <w:i/>
          <w:iCs/>
          <w:lang w:val="lt-LT" w:eastAsia="lt-LT"/>
        </w:rPr>
        <w:t xml:space="preserve"> </w:t>
      </w:r>
      <w:r w:rsidRPr="0065344A">
        <w:rPr>
          <w:lang w:val="lt-LT" w:eastAsia="lt-LT"/>
        </w:rPr>
        <w:t>esamą</w:t>
      </w:r>
      <w:r w:rsidRPr="0065344A">
        <w:rPr>
          <w:i/>
          <w:iCs/>
          <w:lang w:val="lt-LT" w:eastAsia="lt-LT"/>
        </w:rPr>
        <w:t xml:space="preserve"> </w:t>
      </w:r>
      <w:r w:rsidRPr="0065344A">
        <w:rPr>
          <w:lang w:val="lt-LT" w:eastAsia="lt-LT"/>
        </w:rPr>
        <w:t>gatvę,</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naudojama</w:t>
      </w:r>
      <w:r w:rsidRPr="0065344A">
        <w:rPr>
          <w:i/>
          <w:iCs/>
          <w:lang w:val="lt-LT" w:eastAsia="lt-LT"/>
        </w:rPr>
        <w:t xml:space="preserve"> </w:t>
      </w:r>
      <w:r w:rsidRPr="0065344A">
        <w:rPr>
          <w:lang w:val="lt-LT" w:eastAsia="lt-LT"/>
        </w:rPr>
        <w:t>viso</w:t>
      </w:r>
      <w:r w:rsidRPr="0065344A">
        <w:rPr>
          <w:i/>
          <w:iCs/>
          <w:lang w:val="lt-LT" w:eastAsia="lt-LT"/>
        </w:rPr>
        <w:t xml:space="preserve"> </w:t>
      </w:r>
      <w:r w:rsidRPr="0065344A">
        <w:rPr>
          <w:lang w:val="lt-LT" w:eastAsia="lt-LT"/>
        </w:rPr>
        <w:t>miesto</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tikslais,</w:t>
      </w:r>
      <w:r w:rsidRPr="0065344A">
        <w:rPr>
          <w:i/>
          <w:iCs/>
          <w:lang w:val="lt-LT" w:eastAsia="lt-LT"/>
        </w:rPr>
        <w:t xml:space="preserve"> </w:t>
      </w:r>
      <w:r w:rsidRPr="0065344A">
        <w:rPr>
          <w:lang w:val="lt-LT" w:eastAsia="lt-LT"/>
        </w:rPr>
        <w:t>įrengia</w:t>
      </w:r>
      <w:r w:rsidRPr="0065344A">
        <w:rPr>
          <w:i/>
          <w:iCs/>
          <w:lang w:val="lt-LT" w:eastAsia="lt-LT"/>
        </w:rPr>
        <w:t xml:space="preserve"> </w:t>
      </w:r>
      <w:r w:rsidRPr="0065344A">
        <w:rPr>
          <w:lang w:val="lt-LT" w:eastAsia="lt-LT"/>
        </w:rPr>
        <w:t>šviesoforą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nėra</w:t>
      </w:r>
      <w:r w:rsidRPr="0065344A">
        <w:rPr>
          <w:i/>
          <w:iCs/>
          <w:lang w:val="lt-LT" w:eastAsia="lt-LT"/>
        </w:rPr>
        <w:t xml:space="preserve"> </w:t>
      </w:r>
      <w:r w:rsidRPr="0065344A">
        <w:rPr>
          <w:lang w:val="lt-LT" w:eastAsia="lt-LT"/>
        </w:rPr>
        <w:t>būtini</w:t>
      </w:r>
      <w:r w:rsidRPr="0065344A">
        <w:rPr>
          <w:i/>
          <w:iCs/>
          <w:lang w:val="lt-LT" w:eastAsia="lt-LT"/>
        </w:rPr>
        <w:t xml:space="preserve"> </w:t>
      </w:r>
      <w:r w:rsidRPr="0065344A">
        <w:rPr>
          <w:lang w:val="lt-LT" w:eastAsia="lt-LT"/>
        </w:rPr>
        <w:t>(reikalingi)</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veikloje</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perduotini</w:t>
      </w:r>
      <w:r w:rsidRPr="0065344A">
        <w:rPr>
          <w:i/>
          <w:iCs/>
          <w:lang w:val="lt-LT" w:eastAsia="lt-LT"/>
        </w:rPr>
        <w:t xml:space="preserve"> </w:t>
      </w:r>
      <w:r w:rsidRPr="0065344A">
        <w:rPr>
          <w:lang w:val="lt-LT" w:eastAsia="lt-LT"/>
        </w:rPr>
        <w:t>savivaldybei,</w:t>
      </w:r>
      <w:r w:rsidRPr="0065344A">
        <w:rPr>
          <w:i/>
          <w:iCs/>
          <w:lang w:val="lt-LT" w:eastAsia="lt-LT"/>
        </w:rPr>
        <w:t xml:space="preserve"> </w:t>
      </w:r>
      <w:r w:rsidRPr="0065344A">
        <w:rPr>
          <w:lang w:val="lt-LT" w:eastAsia="lt-LT"/>
        </w:rPr>
        <w:t>tuomet</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tokiai</w:t>
      </w:r>
      <w:r w:rsidRPr="0065344A">
        <w:rPr>
          <w:i/>
          <w:iCs/>
          <w:lang w:val="lt-LT" w:eastAsia="lt-LT"/>
        </w:rPr>
        <w:t xml:space="preserve"> </w:t>
      </w:r>
      <w:r w:rsidRPr="0065344A">
        <w:rPr>
          <w:lang w:val="lt-LT" w:eastAsia="lt-LT"/>
        </w:rPr>
        <w:t>infrastruktūrai</w:t>
      </w:r>
      <w:r w:rsidRPr="0065344A">
        <w:rPr>
          <w:i/>
          <w:iCs/>
          <w:lang w:val="lt-LT" w:eastAsia="lt-LT"/>
        </w:rPr>
        <w:t xml:space="preserve"> </w:t>
      </w:r>
      <w:r w:rsidRPr="0065344A">
        <w:rPr>
          <w:lang w:val="lt-LT" w:eastAsia="lt-LT"/>
        </w:rPr>
        <w:t>sukurti</w:t>
      </w:r>
      <w:r w:rsidRPr="0065344A">
        <w:rPr>
          <w:i/>
          <w:iCs/>
          <w:lang w:val="lt-LT" w:eastAsia="lt-LT"/>
        </w:rPr>
        <w:t xml:space="preserve"> </w:t>
      </w:r>
      <w:r w:rsidRPr="0065344A">
        <w:rPr>
          <w:lang w:val="lt-LT" w:eastAsia="lt-LT"/>
        </w:rPr>
        <w:t>patirtas</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priskirti</w:t>
      </w:r>
      <w:r w:rsidRPr="0065344A">
        <w:rPr>
          <w:i/>
          <w:iCs/>
          <w:lang w:val="lt-LT" w:eastAsia="lt-LT"/>
        </w:rPr>
        <w:t xml:space="preserve"> </w:t>
      </w:r>
      <w:r w:rsidRPr="0065344A">
        <w:rPr>
          <w:lang w:val="lt-LT" w:eastAsia="lt-LT"/>
        </w:rPr>
        <w:t>ilgalaikiam</w:t>
      </w:r>
      <w:r w:rsidRPr="0065344A">
        <w:rPr>
          <w:i/>
          <w:iCs/>
          <w:lang w:val="lt-LT" w:eastAsia="lt-LT"/>
        </w:rPr>
        <w:t xml:space="preserve"> </w:t>
      </w:r>
      <w:r w:rsidRPr="0065344A">
        <w:rPr>
          <w:lang w:val="lt-LT" w:eastAsia="lt-LT"/>
        </w:rPr>
        <w:t>nematerialiam</w:t>
      </w:r>
      <w:r w:rsidRPr="0065344A">
        <w:rPr>
          <w:i/>
          <w:iCs/>
          <w:lang w:val="lt-LT" w:eastAsia="lt-LT"/>
        </w:rPr>
        <w:t xml:space="preserve"> </w:t>
      </w:r>
      <w:r w:rsidRPr="0065344A">
        <w:rPr>
          <w:lang w:val="lt-LT" w:eastAsia="lt-LT"/>
        </w:rPr>
        <w:t>turtui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amortizuoti</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nematerialųjį</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(įsigytas</w:t>
      </w:r>
      <w:r w:rsidRPr="0065344A">
        <w:rPr>
          <w:i/>
          <w:iCs/>
          <w:lang w:val="lt-LT" w:eastAsia="lt-LT"/>
        </w:rPr>
        <w:t xml:space="preserve"> </w:t>
      </w:r>
      <w:r w:rsidRPr="0065344A">
        <w:rPr>
          <w:lang w:val="lt-LT" w:eastAsia="lt-LT"/>
        </w:rPr>
        <w:t>teises),</w:t>
      </w:r>
      <w:r w:rsidRPr="0065344A">
        <w:rPr>
          <w:i/>
          <w:iCs/>
          <w:lang w:val="lt-LT" w:eastAsia="lt-LT"/>
        </w:rPr>
        <w:t xml:space="preserve"> </w:t>
      </w:r>
      <w:r w:rsidRPr="0065344A">
        <w:rPr>
          <w:lang w:val="lt-LT" w:eastAsia="lt-LT"/>
        </w:rPr>
        <w:t>jei</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įsigyja</w:t>
      </w:r>
      <w:r w:rsidRPr="0065344A">
        <w:rPr>
          <w:i/>
          <w:iCs/>
          <w:lang w:val="lt-LT" w:eastAsia="lt-LT"/>
        </w:rPr>
        <w:t xml:space="preserve"> </w:t>
      </w:r>
      <w:r w:rsidRPr="0065344A">
        <w:rPr>
          <w:lang w:val="lt-LT" w:eastAsia="lt-LT"/>
        </w:rPr>
        <w:t>atskirą</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statyti</w:t>
      </w:r>
      <w:r w:rsidRPr="0065344A">
        <w:rPr>
          <w:i/>
          <w:iCs/>
          <w:lang w:val="lt-LT" w:eastAsia="lt-LT"/>
        </w:rPr>
        <w:t xml:space="preserve"> </w:t>
      </w:r>
      <w:r w:rsidRPr="0065344A">
        <w:rPr>
          <w:lang w:val="lt-LT" w:eastAsia="lt-LT"/>
        </w:rPr>
        <w:t>naujus</w:t>
      </w:r>
      <w:r w:rsidRPr="0065344A">
        <w:rPr>
          <w:i/>
          <w:iCs/>
          <w:lang w:val="lt-LT" w:eastAsia="lt-LT"/>
        </w:rPr>
        <w:t xml:space="preserve"> </w:t>
      </w:r>
      <w:r w:rsidRPr="0065344A">
        <w:rPr>
          <w:lang w:val="lt-LT" w:eastAsia="lt-LT"/>
        </w:rPr>
        <w:t>objektus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rekonstruoti</w:t>
      </w:r>
      <w:r w:rsidRPr="0065344A">
        <w:rPr>
          <w:i/>
          <w:iCs/>
          <w:lang w:val="lt-LT" w:eastAsia="lt-LT"/>
        </w:rPr>
        <w:t xml:space="preserve"> </w:t>
      </w:r>
      <w:r w:rsidRPr="0065344A">
        <w:rPr>
          <w:lang w:val="lt-LT" w:eastAsia="lt-LT"/>
        </w:rPr>
        <w:t>senus</w:t>
      </w:r>
      <w:r w:rsidRPr="0065344A">
        <w:rPr>
          <w:i/>
          <w:iCs/>
          <w:lang w:val="lt-LT" w:eastAsia="lt-LT"/>
        </w:rPr>
        <w:t xml:space="preserve"> </w:t>
      </w:r>
      <w:r w:rsidRPr="0065344A">
        <w:rPr>
          <w:lang w:val="lt-LT" w:eastAsia="lt-LT"/>
        </w:rPr>
        <w:t>objektus.</w:t>
      </w:r>
      <w:r w:rsidRPr="0065344A">
        <w:rPr>
          <w:i/>
          <w:iCs/>
          <w:lang w:val="lt-LT" w:eastAsia="lt-LT"/>
        </w:rPr>
        <w:t xml:space="preserve"> </w:t>
      </w:r>
    </w:p>
    <w:p w14:paraId="3C8F28C2" w14:textId="77777777" w:rsidR="00093845" w:rsidRDefault="000D779E">
      <w:pPr>
        <w:ind w:firstLine="993"/>
        <w:jc w:val="both"/>
        <w:rPr>
          <w:lang w:eastAsia="lt-LT"/>
        </w:rPr>
      </w:pPr>
      <w:r>
        <w:rPr>
          <w:b/>
          <w:bCs/>
          <w:lang w:eastAsia="lt-LT"/>
        </w:rPr>
        <w:t>6.27.</w:t>
      </w:r>
      <w:r>
        <w:rPr>
          <w:b/>
          <w:bCs/>
          <w:i/>
          <w:iCs/>
          <w:lang w:eastAsia="lt-LT"/>
        </w:rPr>
        <w:t xml:space="preserve"> </w:t>
      </w:r>
      <w:r>
        <w:rPr>
          <w:b/>
          <w:bCs/>
          <w:lang w:eastAsia="lt-LT"/>
        </w:rPr>
        <w:t>Dėl</w:t>
      </w:r>
      <w:r>
        <w:rPr>
          <w:b/>
          <w:bCs/>
          <w:i/>
          <w:iCs/>
          <w:lang w:eastAsia="lt-LT"/>
        </w:rPr>
        <w:t xml:space="preserve"> </w:t>
      </w:r>
      <w:r>
        <w:rPr>
          <w:b/>
          <w:bCs/>
          <w:lang w:eastAsia="lt-LT"/>
        </w:rPr>
        <w:t>sąnaudų</w:t>
      </w:r>
      <w:r>
        <w:rPr>
          <w:b/>
          <w:bCs/>
          <w:i/>
          <w:iCs/>
          <w:lang w:eastAsia="lt-LT"/>
        </w:rPr>
        <w:t xml:space="preserve"> </w:t>
      </w:r>
      <w:r>
        <w:rPr>
          <w:b/>
          <w:bCs/>
          <w:lang w:eastAsia="lt-LT"/>
        </w:rPr>
        <w:t>patirtų</w:t>
      </w:r>
      <w:r>
        <w:rPr>
          <w:b/>
          <w:bCs/>
          <w:i/>
          <w:iCs/>
          <w:lang w:eastAsia="lt-LT"/>
        </w:rPr>
        <w:t xml:space="preserve"> </w:t>
      </w:r>
      <w:r>
        <w:rPr>
          <w:b/>
          <w:bCs/>
          <w:lang w:eastAsia="lt-LT"/>
        </w:rPr>
        <w:t>planuojant</w:t>
      </w:r>
      <w:r>
        <w:rPr>
          <w:b/>
          <w:bCs/>
          <w:i/>
          <w:iCs/>
          <w:lang w:eastAsia="lt-LT"/>
        </w:rPr>
        <w:t xml:space="preserve"> </w:t>
      </w:r>
      <w:r>
        <w:rPr>
          <w:b/>
          <w:bCs/>
          <w:lang w:eastAsia="lt-LT"/>
        </w:rPr>
        <w:t>pirkti</w:t>
      </w:r>
      <w:r>
        <w:rPr>
          <w:b/>
          <w:bCs/>
          <w:i/>
          <w:iCs/>
          <w:lang w:eastAsia="lt-LT"/>
        </w:rPr>
        <w:t xml:space="preserve"> </w:t>
      </w:r>
      <w:r>
        <w:rPr>
          <w:b/>
          <w:bCs/>
          <w:lang w:eastAsia="lt-LT"/>
        </w:rPr>
        <w:t>kito</w:t>
      </w:r>
      <w:r>
        <w:rPr>
          <w:b/>
          <w:bCs/>
          <w:i/>
          <w:iCs/>
          <w:lang w:eastAsia="lt-LT"/>
        </w:rPr>
        <w:t xml:space="preserve"> </w:t>
      </w:r>
      <w:r>
        <w:rPr>
          <w:b/>
          <w:bCs/>
          <w:lang w:eastAsia="lt-LT"/>
        </w:rPr>
        <w:t>vieneto</w:t>
      </w:r>
      <w:r>
        <w:rPr>
          <w:b/>
          <w:bCs/>
          <w:i/>
          <w:iCs/>
          <w:lang w:eastAsia="lt-LT"/>
        </w:rPr>
        <w:t xml:space="preserve"> </w:t>
      </w:r>
      <w:r>
        <w:rPr>
          <w:b/>
          <w:bCs/>
          <w:lang w:eastAsia="lt-LT"/>
        </w:rPr>
        <w:t>akcijas.</w:t>
      </w:r>
    </w:p>
    <w:p w14:paraId="5B1B7750" w14:textId="77777777" w:rsidR="00093845" w:rsidRDefault="000D779E">
      <w:pPr>
        <w:ind w:firstLine="993"/>
        <w:jc w:val="both"/>
        <w:rPr>
          <w:lang w:eastAsia="lt-LT"/>
        </w:rPr>
      </w:pPr>
      <w:r>
        <w:rPr>
          <w:lang w:eastAsia="lt-LT"/>
        </w:rPr>
        <w:t>Visos</w:t>
      </w:r>
      <w:r>
        <w:rPr>
          <w:i/>
          <w:iCs/>
          <w:lang w:eastAsia="lt-LT"/>
        </w:rPr>
        <w:t xml:space="preserve"> </w:t>
      </w:r>
      <w:r>
        <w:rPr>
          <w:lang w:eastAsia="lt-LT"/>
        </w:rPr>
        <w:t>sąnaudos</w:t>
      </w:r>
      <w:r>
        <w:rPr>
          <w:i/>
          <w:iCs/>
          <w:lang w:eastAsia="lt-LT"/>
        </w:rPr>
        <w:t xml:space="preserve"> </w:t>
      </w:r>
      <w:r>
        <w:rPr>
          <w:lang w:eastAsia="lt-LT"/>
        </w:rPr>
        <w:t>(konsultavimo,</w:t>
      </w:r>
      <w:r>
        <w:rPr>
          <w:i/>
          <w:iCs/>
          <w:lang w:eastAsia="lt-LT"/>
        </w:rPr>
        <w:t xml:space="preserve"> </w:t>
      </w:r>
      <w:r>
        <w:rPr>
          <w:lang w:eastAsia="lt-LT"/>
        </w:rPr>
        <w:t>atstovavimo</w:t>
      </w:r>
      <w:r>
        <w:rPr>
          <w:i/>
          <w:iCs/>
          <w:lang w:eastAsia="lt-LT"/>
        </w:rPr>
        <w:t xml:space="preserve"> </w:t>
      </w:r>
      <w:r>
        <w:rPr>
          <w:lang w:eastAsia="lt-LT"/>
        </w:rPr>
        <w:t>sumokėtų</w:t>
      </w:r>
      <w:r>
        <w:rPr>
          <w:i/>
          <w:iCs/>
          <w:lang w:eastAsia="lt-LT"/>
        </w:rPr>
        <w:t xml:space="preserve"> </w:t>
      </w:r>
      <w:r>
        <w:rPr>
          <w:lang w:eastAsia="lt-LT"/>
        </w:rPr>
        <w:t>rinkliavų</w:t>
      </w:r>
      <w:r>
        <w:rPr>
          <w:i/>
          <w:iCs/>
          <w:lang w:eastAsia="lt-LT"/>
        </w:rPr>
        <w:t xml:space="preserve"> </w:t>
      </w:r>
      <w:r>
        <w:rPr>
          <w:lang w:eastAsia="lt-LT"/>
        </w:rPr>
        <w:t>ir</w:t>
      </w:r>
      <w:r>
        <w:rPr>
          <w:i/>
          <w:iCs/>
          <w:lang w:eastAsia="lt-LT"/>
        </w:rPr>
        <w:t xml:space="preserve"> </w:t>
      </w:r>
      <w:r>
        <w:rPr>
          <w:lang w:eastAsia="lt-LT"/>
        </w:rPr>
        <w:t>pan.),</w:t>
      </w:r>
      <w:r>
        <w:rPr>
          <w:i/>
          <w:iCs/>
          <w:lang w:eastAsia="lt-LT"/>
        </w:rPr>
        <w:t xml:space="preserve"> </w:t>
      </w:r>
      <w:r>
        <w:rPr>
          <w:lang w:eastAsia="lt-LT"/>
        </w:rPr>
        <w:t>patirtos</w:t>
      </w:r>
      <w:r>
        <w:rPr>
          <w:i/>
          <w:iCs/>
          <w:lang w:eastAsia="lt-LT"/>
        </w:rPr>
        <w:t xml:space="preserve"> </w:t>
      </w:r>
      <w:r>
        <w:rPr>
          <w:lang w:eastAsia="lt-LT"/>
        </w:rPr>
        <w:t>planuojant</w:t>
      </w:r>
      <w:r>
        <w:rPr>
          <w:i/>
          <w:iCs/>
          <w:lang w:eastAsia="lt-LT"/>
        </w:rPr>
        <w:t xml:space="preserve"> </w:t>
      </w:r>
      <w:r>
        <w:rPr>
          <w:lang w:eastAsia="lt-LT"/>
        </w:rPr>
        <w:t>pirkti</w:t>
      </w:r>
      <w:r>
        <w:rPr>
          <w:i/>
          <w:iCs/>
          <w:lang w:eastAsia="lt-LT"/>
        </w:rPr>
        <w:t xml:space="preserve"> </w:t>
      </w:r>
      <w:r>
        <w:rPr>
          <w:lang w:eastAsia="lt-LT"/>
        </w:rPr>
        <w:t>kito</w:t>
      </w:r>
      <w:r>
        <w:rPr>
          <w:i/>
          <w:iCs/>
          <w:lang w:eastAsia="lt-LT"/>
        </w:rPr>
        <w:t xml:space="preserve"> </w:t>
      </w:r>
      <w:r>
        <w:rPr>
          <w:lang w:eastAsia="lt-LT"/>
        </w:rPr>
        <w:t>vieneto</w:t>
      </w:r>
      <w:r>
        <w:rPr>
          <w:i/>
          <w:iCs/>
          <w:lang w:eastAsia="lt-LT"/>
        </w:rPr>
        <w:t xml:space="preserve"> </w:t>
      </w:r>
      <w:r>
        <w:rPr>
          <w:lang w:eastAsia="lt-LT"/>
        </w:rPr>
        <w:t>akcijas,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tą</w:t>
      </w:r>
      <w:r>
        <w:rPr>
          <w:i/>
          <w:iCs/>
          <w:lang w:eastAsia="lt-LT"/>
        </w:rPr>
        <w:t xml:space="preserve"> </w:t>
      </w:r>
      <w:r>
        <w:rPr>
          <w:lang w:eastAsia="lt-LT"/>
        </w:rPr>
        <w:t>mokestinį</w:t>
      </w:r>
      <w:r>
        <w:rPr>
          <w:i/>
          <w:iCs/>
          <w:lang w:eastAsia="lt-LT"/>
        </w:rPr>
        <w:t xml:space="preserve"> </w:t>
      </w:r>
      <w:r>
        <w:rPr>
          <w:lang w:eastAsia="lt-LT"/>
        </w:rPr>
        <w:t>laikotarpį,</w:t>
      </w:r>
      <w:r>
        <w:rPr>
          <w:i/>
          <w:iCs/>
          <w:lang w:eastAsia="lt-LT"/>
        </w:rPr>
        <w:t xml:space="preserve"> </w:t>
      </w:r>
      <w:r>
        <w:rPr>
          <w:lang w:eastAsia="lt-LT"/>
        </w:rPr>
        <w:t>kurį</w:t>
      </w:r>
      <w:r>
        <w:rPr>
          <w:i/>
          <w:iCs/>
          <w:lang w:eastAsia="lt-LT"/>
        </w:rPr>
        <w:t xml:space="preserve"> </w:t>
      </w:r>
      <w:r>
        <w:rPr>
          <w:lang w:eastAsia="lt-LT"/>
        </w:rPr>
        <w:t>jos</w:t>
      </w:r>
      <w:r>
        <w:rPr>
          <w:i/>
          <w:iCs/>
          <w:lang w:eastAsia="lt-LT"/>
        </w:rPr>
        <w:t xml:space="preserve"> </w:t>
      </w:r>
      <w:r>
        <w:rPr>
          <w:lang w:eastAsia="lt-LT"/>
        </w:rPr>
        <w:t>buvo</w:t>
      </w:r>
      <w:r>
        <w:rPr>
          <w:i/>
          <w:iCs/>
          <w:lang w:eastAsia="lt-LT"/>
        </w:rPr>
        <w:t xml:space="preserve"> </w:t>
      </w:r>
      <w:r>
        <w:rPr>
          <w:lang w:eastAsia="lt-LT"/>
        </w:rPr>
        <w:t>faktiškai</w:t>
      </w:r>
      <w:r>
        <w:rPr>
          <w:i/>
          <w:iCs/>
          <w:lang w:eastAsia="lt-LT"/>
        </w:rPr>
        <w:t xml:space="preserve"> </w:t>
      </w:r>
      <w:r>
        <w:rPr>
          <w:lang w:eastAsia="lt-LT"/>
        </w:rPr>
        <w:t>patirtos.</w:t>
      </w:r>
    </w:p>
    <w:p w14:paraId="47BD13ED" w14:textId="77777777" w:rsidR="00093845" w:rsidRDefault="000D779E">
      <w:pPr>
        <w:ind w:firstLine="993"/>
        <w:jc w:val="both"/>
        <w:rPr>
          <w:lang w:eastAsia="lt-LT"/>
        </w:rPr>
      </w:pPr>
      <w:r>
        <w:rPr>
          <w:lang w:eastAsia="lt-LT"/>
        </w:rPr>
        <w:t>Jeigu</w:t>
      </w:r>
      <w:r>
        <w:rPr>
          <w:i/>
          <w:iCs/>
          <w:lang w:eastAsia="lt-LT"/>
        </w:rPr>
        <w:t xml:space="preserve"> </w:t>
      </w:r>
      <w:r>
        <w:rPr>
          <w:lang w:eastAsia="lt-LT"/>
        </w:rPr>
        <w:t>vienetas,</w:t>
      </w:r>
      <w:r>
        <w:rPr>
          <w:i/>
          <w:iCs/>
          <w:lang w:eastAsia="lt-LT"/>
        </w:rPr>
        <w:t xml:space="preserve"> </w:t>
      </w:r>
      <w:r>
        <w:rPr>
          <w:lang w:eastAsia="lt-LT"/>
        </w:rPr>
        <w:t>įsigydamas</w:t>
      </w:r>
      <w:r>
        <w:rPr>
          <w:i/>
          <w:iCs/>
          <w:lang w:eastAsia="lt-LT"/>
        </w:rPr>
        <w:t xml:space="preserve"> </w:t>
      </w:r>
      <w:r>
        <w:rPr>
          <w:lang w:eastAsia="lt-LT"/>
        </w:rPr>
        <w:t>kito</w:t>
      </w:r>
      <w:r>
        <w:rPr>
          <w:i/>
          <w:iCs/>
          <w:lang w:eastAsia="lt-LT"/>
        </w:rPr>
        <w:t xml:space="preserve"> </w:t>
      </w:r>
      <w:r>
        <w:rPr>
          <w:lang w:eastAsia="lt-LT"/>
        </w:rPr>
        <w:t>vieneto</w:t>
      </w:r>
      <w:r>
        <w:rPr>
          <w:i/>
          <w:iCs/>
          <w:lang w:eastAsia="lt-LT"/>
        </w:rPr>
        <w:t xml:space="preserve"> </w:t>
      </w:r>
      <w:r>
        <w:rPr>
          <w:lang w:eastAsia="lt-LT"/>
        </w:rPr>
        <w:t>akcijas,</w:t>
      </w:r>
      <w:r>
        <w:rPr>
          <w:i/>
          <w:iCs/>
          <w:lang w:eastAsia="lt-LT"/>
        </w:rPr>
        <w:t xml:space="preserve"> </w:t>
      </w:r>
      <w:r>
        <w:rPr>
          <w:lang w:eastAsia="lt-LT"/>
        </w:rPr>
        <w:t>patiria</w:t>
      </w:r>
      <w:r>
        <w:rPr>
          <w:i/>
          <w:iCs/>
          <w:lang w:eastAsia="lt-LT"/>
        </w:rPr>
        <w:t xml:space="preserve"> </w:t>
      </w:r>
      <w:r>
        <w:rPr>
          <w:lang w:eastAsia="lt-LT"/>
        </w:rPr>
        <w:t>sąnaudas,</w:t>
      </w:r>
      <w:r>
        <w:rPr>
          <w:i/>
          <w:iCs/>
          <w:lang w:eastAsia="lt-LT"/>
        </w:rPr>
        <w:t xml:space="preserve"> </w:t>
      </w:r>
      <w:r>
        <w:rPr>
          <w:lang w:eastAsia="lt-LT"/>
        </w:rPr>
        <w:t>susijusias</w:t>
      </w:r>
      <w:r>
        <w:rPr>
          <w:i/>
          <w:iCs/>
          <w:lang w:eastAsia="lt-LT"/>
        </w:rPr>
        <w:t xml:space="preserve"> </w:t>
      </w:r>
      <w:r>
        <w:rPr>
          <w:lang w:eastAsia="lt-LT"/>
        </w:rPr>
        <w:t>su</w:t>
      </w:r>
      <w:r>
        <w:rPr>
          <w:i/>
          <w:iCs/>
          <w:lang w:eastAsia="lt-LT"/>
        </w:rPr>
        <w:t xml:space="preserve"> </w:t>
      </w:r>
      <w:r>
        <w:rPr>
          <w:lang w:eastAsia="lt-LT"/>
        </w:rPr>
        <w:t>šio</w:t>
      </w:r>
      <w:r>
        <w:rPr>
          <w:i/>
          <w:iCs/>
          <w:lang w:eastAsia="lt-LT"/>
        </w:rPr>
        <w:t xml:space="preserve"> </w:t>
      </w:r>
      <w:r>
        <w:rPr>
          <w:lang w:eastAsia="lt-LT"/>
        </w:rPr>
        <w:t>finansinio</w:t>
      </w:r>
      <w:r>
        <w:rPr>
          <w:i/>
          <w:iCs/>
          <w:lang w:eastAsia="lt-LT"/>
        </w:rPr>
        <w:t xml:space="preserve"> </w:t>
      </w:r>
      <w:r>
        <w:rPr>
          <w:lang w:eastAsia="lt-LT"/>
        </w:rPr>
        <w:t>turto</w:t>
      </w:r>
      <w:r>
        <w:rPr>
          <w:i/>
          <w:iCs/>
          <w:lang w:eastAsia="lt-LT"/>
        </w:rPr>
        <w:t xml:space="preserve"> </w:t>
      </w:r>
      <w:r>
        <w:rPr>
          <w:lang w:eastAsia="lt-LT"/>
        </w:rPr>
        <w:t>(akcijų)</w:t>
      </w:r>
      <w:r>
        <w:rPr>
          <w:i/>
          <w:iCs/>
          <w:lang w:eastAsia="lt-LT"/>
        </w:rPr>
        <w:t xml:space="preserve"> </w:t>
      </w:r>
      <w:r>
        <w:rPr>
          <w:lang w:eastAsia="lt-LT"/>
        </w:rPr>
        <w:t>įsigijimu,</w:t>
      </w:r>
      <w:r>
        <w:rPr>
          <w:i/>
          <w:iCs/>
          <w:lang w:eastAsia="lt-LT"/>
        </w:rPr>
        <w:t xml:space="preserve"> </w:t>
      </w:r>
      <w:r>
        <w:rPr>
          <w:lang w:eastAsia="lt-LT"/>
        </w:rPr>
        <w:t>tai</w:t>
      </w:r>
      <w:r>
        <w:rPr>
          <w:i/>
          <w:iCs/>
          <w:lang w:eastAsia="lt-LT"/>
        </w:rPr>
        <w:t xml:space="preserve"> </w:t>
      </w:r>
      <w:r>
        <w:rPr>
          <w:lang w:eastAsia="lt-LT"/>
        </w:rPr>
        <w:t>pelno</w:t>
      </w:r>
      <w:r>
        <w:rPr>
          <w:i/>
          <w:iCs/>
          <w:lang w:eastAsia="lt-LT"/>
        </w:rPr>
        <w:t xml:space="preserve"> </w:t>
      </w:r>
      <w:r>
        <w:rPr>
          <w:lang w:eastAsia="lt-LT"/>
        </w:rPr>
        <w:t>mokesčio</w:t>
      </w:r>
      <w:r>
        <w:rPr>
          <w:i/>
          <w:iCs/>
          <w:lang w:eastAsia="lt-LT"/>
        </w:rPr>
        <w:t xml:space="preserve"> </w:t>
      </w:r>
      <w:r>
        <w:rPr>
          <w:lang w:eastAsia="lt-LT"/>
        </w:rPr>
        <w:t>apskaičiavimo</w:t>
      </w:r>
      <w:r>
        <w:rPr>
          <w:i/>
          <w:iCs/>
          <w:lang w:eastAsia="lt-LT"/>
        </w:rPr>
        <w:t xml:space="preserve"> </w:t>
      </w:r>
      <w:r>
        <w:rPr>
          <w:lang w:eastAsia="lt-LT"/>
        </w:rPr>
        <w:t>atžvilgiu,</w:t>
      </w:r>
      <w:r>
        <w:rPr>
          <w:i/>
          <w:iCs/>
          <w:lang w:eastAsia="lt-LT"/>
        </w:rPr>
        <w:t xml:space="preserve"> </w:t>
      </w:r>
      <w:r>
        <w:rPr>
          <w:lang w:eastAsia="lt-LT"/>
        </w:rPr>
        <w:t>šios</w:t>
      </w:r>
      <w:r>
        <w:rPr>
          <w:i/>
          <w:iCs/>
          <w:lang w:eastAsia="lt-LT"/>
        </w:rPr>
        <w:t xml:space="preserve"> </w:t>
      </w:r>
      <w:r>
        <w:rPr>
          <w:lang w:eastAsia="lt-LT"/>
        </w:rPr>
        <w:t>sąnaudos</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įtrauktos</w:t>
      </w:r>
      <w:r>
        <w:rPr>
          <w:i/>
          <w:iCs/>
          <w:lang w:eastAsia="lt-LT"/>
        </w:rPr>
        <w:t xml:space="preserve"> </w:t>
      </w:r>
      <w:r>
        <w:rPr>
          <w:lang w:eastAsia="lt-LT"/>
        </w:rPr>
        <w:t>į</w:t>
      </w:r>
      <w:r>
        <w:rPr>
          <w:i/>
          <w:iCs/>
          <w:lang w:eastAsia="lt-LT"/>
        </w:rPr>
        <w:t xml:space="preserve"> </w:t>
      </w:r>
      <w:r>
        <w:rPr>
          <w:lang w:eastAsia="lt-LT"/>
        </w:rPr>
        <w:t>akcijų</w:t>
      </w:r>
      <w:r>
        <w:rPr>
          <w:i/>
          <w:iCs/>
          <w:lang w:eastAsia="lt-LT"/>
        </w:rPr>
        <w:t xml:space="preserve"> </w:t>
      </w:r>
      <w:r>
        <w:rPr>
          <w:lang w:eastAsia="lt-LT"/>
        </w:rPr>
        <w:t>vertę</w:t>
      </w:r>
      <w:r>
        <w:rPr>
          <w:i/>
          <w:iCs/>
          <w:lang w:eastAsia="lt-LT"/>
        </w:rPr>
        <w:t xml:space="preserve"> </w:t>
      </w:r>
      <w:r>
        <w:rPr>
          <w:lang w:eastAsia="lt-LT"/>
        </w:rPr>
        <w:t>ta</w:t>
      </w:r>
      <w:r>
        <w:rPr>
          <w:i/>
          <w:iCs/>
          <w:lang w:eastAsia="lt-LT"/>
        </w:rPr>
        <w:t xml:space="preserve"> </w:t>
      </w:r>
      <w:r>
        <w:rPr>
          <w:lang w:eastAsia="lt-LT"/>
        </w:rPr>
        <w:t>pačia,</w:t>
      </w:r>
      <w:r>
        <w:rPr>
          <w:i/>
          <w:iCs/>
          <w:lang w:eastAsia="lt-LT"/>
        </w:rPr>
        <w:t xml:space="preserve"> </w:t>
      </w:r>
      <w:r>
        <w:rPr>
          <w:lang w:eastAsia="lt-LT"/>
        </w:rPr>
        <w:t>kaip</w:t>
      </w:r>
      <w:r>
        <w:rPr>
          <w:i/>
          <w:iCs/>
          <w:lang w:eastAsia="lt-LT"/>
        </w:rPr>
        <w:t xml:space="preserve"> </w:t>
      </w:r>
      <w:r>
        <w:rPr>
          <w:lang w:eastAsia="lt-LT"/>
        </w:rPr>
        <w:t>ir</w:t>
      </w:r>
      <w:r>
        <w:rPr>
          <w:i/>
          <w:iCs/>
          <w:lang w:eastAsia="lt-LT"/>
        </w:rPr>
        <w:t xml:space="preserve"> </w:t>
      </w:r>
      <w:r>
        <w:rPr>
          <w:lang w:eastAsia="lt-LT"/>
        </w:rPr>
        <w:t>nustatyta</w:t>
      </w:r>
      <w:r>
        <w:rPr>
          <w:i/>
          <w:iCs/>
          <w:lang w:eastAsia="lt-LT"/>
        </w:rPr>
        <w:t xml:space="preserve"> </w:t>
      </w:r>
      <w:r>
        <w:rPr>
          <w:lang w:eastAsia="lt-LT"/>
        </w:rPr>
        <w:t>buhalterinėje</w:t>
      </w:r>
      <w:r>
        <w:rPr>
          <w:i/>
          <w:iCs/>
          <w:lang w:eastAsia="lt-LT"/>
        </w:rPr>
        <w:t xml:space="preserve"> </w:t>
      </w:r>
      <w:r>
        <w:rPr>
          <w:lang w:eastAsia="lt-LT"/>
        </w:rPr>
        <w:t>apskaitoje,</w:t>
      </w:r>
      <w:r>
        <w:rPr>
          <w:i/>
          <w:iCs/>
          <w:lang w:eastAsia="lt-LT"/>
        </w:rPr>
        <w:t xml:space="preserve"> </w:t>
      </w:r>
      <w:r>
        <w:rPr>
          <w:lang w:eastAsia="lt-LT"/>
        </w:rPr>
        <w:t>tvarka.</w:t>
      </w:r>
    </w:p>
    <w:p w14:paraId="3BB23919" w14:textId="77777777" w:rsidR="00093845" w:rsidRDefault="000D779E">
      <w:pPr>
        <w:ind w:firstLine="993"/>
        <w:jc w:val="both"/>
        <w:rPr>
          <w:lang w:eastAsia="lt-LT"/>
        </w:rPr>
      </w:pPr>
      <w:r>
        <w:rPr>
          <w:lang w:eastAsia="lt-LT"/>
        </w:rPr>
        <w:t>Leidžiamiems</w:t>
      </w:r>
      <w:r>
        <w:rPr>
          <w:i/>
          <w:iCs/>
          <w:lang w:eastAsia="lt-LT"/>
        </w:rPr>
        <w:t xml:space="preserve"> </w:t>
      </w:r>
      <w:r>
        <w:rPr>
          <w:lang w:eastAsia="lt-LT"/>
        </w:rPr>
        <w:t>atskaitymams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priskiriamos</w:t>
      </w:r>
      <w:r>
        <w:rPr>
          <w:i/>
          <w:iCs/>
          <w:lang w:eastAsia="lt-LT"/>
        </w:rPr>
        <w:t xml:space="preserve"> </w:t>
      </w:r>
      <w:r>
        <w:rPr>
          <w:lang w:eastAsia="lt-LT"/>
        </w:rPr>
        <w:t>vieneto</w:t>
      </w:r>
      <w:r>
        <w:rPr>
          <w:i/>
          <w:iCs/>
          <w:lang w:eastAsia="lt-LT"/>
        </w:rPr>
        <w:t xml:space="preserve"> </w:t>
      </w:r>
      <w:r>
        <w:rPr>
          <w:lang w:eastAsia="lt-LT"/>
        </w:rPr>
        <w:t>sąnaudos,</w:t>
      </w:r>
      <w:r>
        <w:rPr>
          <w:i/>
          <w:iCs/>
          <w:lang w:eastAsia="lt-LT"/>
        </w:rPr>
        <w:t xml:space="preserve"> </w:t>
      </w:r>
      <w:r>
        <w:rPr>
          <w:lang w:eastAsia="lt-LT"/>
        </w:rPr>
        <w:t>kurios</w:t>
      </w:r>
      <w:r>
        <w:rPr>
          <w:i/>
          <w:iCs/>
          <w:lang w:eastAsia="lt-LT"/>
        </w:rPr>
        <w:t xml:space="preserve"> </w:t>
      </w:r>
      <w:r>
        <w:rPr>
          <w:lang w:eastAsia="lt-LT"/>
        </w:rPr>
        <w:t>yra</w:t>
      </w:r>
      <w:r>
        <w:rPr>
          <w:i/>
          <w:iCs/>
          <w:lang w:eastAsia="lt-LT"/>
        </w:rPr>
        <w:t xml:space="preserve"> </w:t>
      </w:r>
      <w:r>
        <w:rPr>
          <w:lang w:eastAsia="lt-LT"/>
        </w:rPr>
        <w:t>patiriamos</w:t>
      </w:r>
      <w:r>
        <w:rPr>
          <w:i/>
          <w:iCs/>
          <w:lang w:eastAsia="lt-LT"/>
        </w:rPr>
        <w:t xml:space="preserve"> </w:t>
      </w:r>
      <w:r>
        <w:rPr>
          <w:lang w:eastAsia="lt-LT"/>
        </w:rPr>
        <w:t>siekiant</w:t>
      </w:r>
      <w:r>
        <w:rPr>
          <w:i/>
          <w:iCs/>
          <w:lang w:eastAsia="lt-LT"/>
        </w:rPr>
        <w:t xml:space="preserve"> </w:t>
      </w:r>
      <w:r>
        <w:rPr>
          <w:lang w:eastAsia="lt-LT"/>
        </w:rPr>
        <w:t>pritraukti</w:t>
      </w:r>
      <w:r>
        <w:rPr>
          <w:i/>
          <w:iCs/>
          <w:lang w:eastAsia="lt-LT"/>
        </w:rPr>
        <w:t xml:space="preserve"> </w:t>
      </w:r>
      <w:r>
        <w:rPr>
          <w:lang w:eastAsia="lt-LT"/>
        </w:rPr>
        <w:t>investuotojus</w:t>
      </w:r>
      <w:r>
        <w:rPr>
          <w:i/>
          <w:iCs/>
          <w:lang w:eastAsia="lt-LT"/>
        </w:rPr>
        <w:t xml:space="preserve"> </w:t>
      </w:r>
      <w:r>
        <w:rPr>
          <w:lang w:eastAsia="lt-LT"/>
        </w:rPr>
        <w:t>(pvz.,</w:t>
      </w:r>
      <w:r>
        <w:rPr>
          <w:i/>
          <w:iCs/>
          <w:lang w:eastAsia="lt-LT"/>
        </w:rPr>
        <w:t xml:space="preserve"> </w:t>
      </w:r>
      <w:r>
        <w:rPr>
          <w:lang w:eastAsia="lt-LT"/>
        </w:rPr>
        <w:t>prospektų</w:t>
      </w:r>
      <w:r>
        <w:rPr>
          <w:i/>
          <w:iCs/>
          <w:lang w:eastAsia="lt-LT"/>
        </w:rPr>
        <w:t xml:space="preserve"> </w:t>
      </w:r>
      <w:r>
        <w:rPr>
          <w:lang w:eastAsia="lt-LT"/>
        </w:rPr>
        <w:t>rengimo,</w:t>
      </w:r>
      <w:r>
        <w:rPr>
          <w:i/>
          <w:iCs/>
          <w:lang w:eastAsia="lt-LT"/>
        </w:rPr>
        <w:t xml:space="preserve"> </w:t>
      </w:r>
      <w:r>
        <w:rPr>
          <w:lang w:eastAsia="lt-LT"/>
        </w:rPr>
        <w:t>informacijos,</w:t>
      </w:r>
      <w:r>
        <w:rPr>
          <w:i/>
          <w:iCs/>
          <w:lang w:eastAsia="lt-LT"/>
        </w:rPr>
        <w:t xml:space="preserve"> </w:t>
      </w:r>
      <w:r>
        <w:rPr>
          <w:lang w:eastAsia="lt-LT"/>
        </w:rPr>
        <w:t>skirtos</w:t>
      </w:r>
      <w:r>
        <w:rPr>
          <w:i/>
          <w:iCs/>
          <w:lang w:eastAsia="lt-LT"/>
        </w:rPr>
        <w:t xml:space="preserve"> </w:t>
      </w:r>
      <w:r>
        <w:rPr>
          <w:lang w:eastAsia="lt-LT"/>
        </w:rPr>
        <w:t>investuotojams,</w:t>
      </w:r>
      <w:r>
        <w:rPr>
          <w:i/>
          <w:iCs/>
          <w:lang w:eastAsia="lt-LT"/>
        </w:rPr>
        <w:t xml:space="preserve"> </w:t>
      </w:r>
      <w:r>
        <w:rPr>
          <w:lang w:eastAsia="lt-LT"/>
        </w:rPr>
        <w:t>skelbimo,</w:t>
      </w:r>
      <w:r>
        <w:rPr>
          <w:i/>
          <w:iCs/>
          <w:lang w:eastAsia="lt-LT"/>
        </w:rPr>
        <w:t xml:space="preserve"> </w:t>
      </w:r>
      <w:r>
        <w:rPr>
          <w:lang w:eastAsia="lt-LT"/>
        </w:rPr>
        <w:t>informacijos</w:t>
      </w:r>
      <w:r>
        <w:rPr>
          <w:i/>
          <w:iCs/>
          <w:lang w:eastAsia="lt-LT"/>
        </w:rPr>
        <w:t xml:space="preserve"> </w:t>
      </w:r>
      <w:r>
        <w:rPr>
          <w:lang w:eastAsia="lt-LT"/>
        </w:rPr>
        <w:t>apie</w:t>
      </w:r>
      <w:r>
        <w:rPr>
          <w:i/>
          <w:iCs/>
          <w:lang w:eastAsia="lt-LT"/>
        </w:rPr>
        <w:t xml:space="preserve"> </w:t>
      </w:r>
      <w:r>
        <w:rPr>
          <w:lang w:eastAsia="lt-LT"/>
        </w:rPr>
        <w:t>esminius</w:t>
      </w:r>
      <w:r>
        <w:rPr>
          <w:i/>
          <w:iCs/>
          <w:lang w:eastAsia="lt-LT"/>
        </w:rPr>
        <w:t xml:space="preserve"> </w:t>
      </w:r>
      <w:r>
        <w:rPr>
          <w:lang w:eastAsia="lt-LT"/>
        </w:rPr>
        <w:t>įvykius</w:t>
      </w:r>
      <w:r>
        <w:rPr>
          <w:i/>
          <w:iCs/>
          <w:lang w:eastAsia="lt-LT"/>
        </w:rPr>
        <w:t xml:space="preserve"> </w:t>
      </w:r>
      <w:r>
        <w:rPr>
          <w:lang w:eastAsia="lt-LT"/>
        </w:rPr>
        <w:t>teikimo</w:t>
      </w:r>
      <w:r>
        <w:rPr>
          <w:i/>
          <w:iCs/>
          <w:lang w:eastAsia="lt-LT"/>
        </w:rPr>
        <w:t xml:space="preserve"> </w:t>
      </w:r>
      <w:r>
        <w:rPr>
          <w:lang w:eastAsia="lt-LT"/>
        </w:rPr>
        <w:t>vertybinių</w:t>
      </w:r>
      <w:r>
        <w:rPr>
          <w:i/>
          <w:iCs/>
          <w:lang w:eastAsia="lt-LT"/>
        </w:rPr>
        <w:t xml:space="preserve"> </w:t>
      </w:r>
      <w:r>
        <w:rPr>
          <w:lang w:eastAsia="lt-LT"/>
        </w:rPr>
        <w:t>popierių</w:t>
      </w:r>
      <w:r>
        <w:rPr>
          <w:i/>
          <w:iCs/>
          <w:lang w:eastAsia="lt-LT"/>
        </w:rPr>
        <w:t xml:space="preserve"> </w:t>
      </w:r>
      <w:r>
        <w:rPr>
          <w:lang w:eastAsia="lt-LT"/>
        </w:rPr>
        <w:t>rinkos</w:t>
      </w:r>
      <w:r>
        <w:rPr>
          <w:i/>
          <w:iCs/>
          <w:lang w:eastAsia="lt-LT"/>
        </w:rPr>
        <w:t xml:space="preserve"> </w:t>
      </w:r>
      <w:r>
        <w:rPr>
          <w:lang w:eastAsia="lt-LT"/>
        </w:rPr>
        <w:t>priežiūros</w:t>
      </w:r>
      <w:r>
        <w:rPr>
          <w:i/>
          <w:iCs/>
          <w:lang w:eastAsia="lt-LT"/>
        </w:rPr>
        <w:t xml:space="preserve"> </w:t>
      </w:r>
      <w:r>
        <w:rPr>
          <w:lang w:eastAsia="lt-LT"/>
        </w:rPr>
        <w:t>institucijoms</w:t>
      </w:r>
      <w:r>
        <w:rPr>
          <w:i/>
          <w:iCs/>
          <w:lang w:eastAsia="lt-LT"/>
        </w:rPr>
        <w:t xml:space="preserve"> </w:t>
      </w:r>
      <w:r>
        <w:rPr>
          <w:lang w:eastAsia="lt-LT"/>
        </w:rPr>
        <w:t>ir</w:t>
      </w:r>
      <w:r>
        <w:rPr>
          <w:i/>
          <w:iCs/>
          <w:lang w:eastAsia="lt-LT"/>
        </w:rPr>
        <w:t xml:space="preserve"> </w:t>
      </w:r>
      <w:r>
        <w:rPr>
          <w:lang w:eastAsia="lt-LT"/>
        </w:rPr>
        <w:t>pan.).</w:t>
      </w:r>
    </w:p>
    <w:p w14:paraId="3F45514B" w14:textId="77777777" w:rsidR="00093845" w:rsidRDefault="000D779E">
      <w:pPr>
        <w:ind w:firstLine="993"/>
        <w:jc w:val="both"/>
        <w:rPr>
          <w:b/>
          <w:iCs/>
          <w:lang w:eastAsia="lt-LT"/>
        </w:rPr>
      </w:pPr>
      <w:r>
        <w:rPr>
          <w:b/>
          <w:lang w:eastAsia="lt-LT"/>
        </w:rPr>
        <w:t>6.28.</w:t>
      </w:r>
      <w:r>
        <w:rPr>
          <w:b/>
          <w:i/>
          <w:iCs/>
          <w:lang w:eastAsia="lt-LT"/>
        </w:rPr>
        <w:t xml:space="preserve"> </w:t>
      </w:r>
      <w:r>
        <w:rPr>
          <w:b/>
          <w:iCs/>
          <w:lang w:eastAsia="lt-LT"/>
        </w:rPr>
        <w:t xml:space="preserve">Dėl </w:t>
      </w:r>
      <w:r>
        <w:rPr>
          <w:b/>
          <w:lang w:eastAsia="lt-LT"/>
        </w:rPr>
        <w:t>patirtų</w:t>
      </w:r>
      <w:r>
        <w:rPr>
          <w:b/>
          <w:i/>
          <w:iCs/>
          <w:lang w:eastAsia="lt-LT"/>
        </w:rPr>
        <w:t xml:space="preserve"> </w:t>
      </w:r>
      <w:r>
        <w:rPr>
          <w:b/>
          <w:iCs/>
          <w:lang w:eastAsia="lt-LT"/>
        </w:rPr>
        <w:t xml:space="preserve">įmonės </w:t>
      </w:r>
      <w:r>
        <w:rPr>
          <w:b/>
          <w:lang w:eastAsia="lt-LT"/>
        </w:rPr>
        <w:t>valdymo</w:t>
      </w:r>
      <w:r>
        <w:rPr>
          <w:b/>
          <w:i/>
          <w:iCs/>
          <w:lang w:eastAsia="lt-LT"/>
        </w:rPr>
        <w:t xml:space="preserve"> </w:t>
      </w:r>
      <w:r>
        <w:rPr>
          <w:b/>
          <w:lang w:eastAsia="lt-LT"/>
        </w:rPr>
        <w:t>sąnaudų</w:t>
      </w:r>
    </w:p>
    <w:p w14:paraId="614C8296" w14:textId="77777777" w:rsidR="00093845" w:rsidRDefault="000D779E">
      <w:pPr>
        <w:ind w:firstLine="993"/>
        <w:jc w:val="both"/>
        <w:rPr>
          <w:highlight w:val="lightGray"/>
          <w:lang w:eastAsia="lt-LT"/>
        </w:rPr>
      </w:pPr>
      <w:r>
        <w:rPr>
          <w:lang w:eastAsia="lt-LT"/>
        </w:rPr>
        <w:t>Holdingo bendrovių patirtos kitų vienetų valdymo sąnaudos yra įprastinės šių bendrovių vykdomai veiklai sąnaudos, todėl jos yra priskiriamos leidžiamiems atskaitymams, neatsižvelgiant į tai, kad, pavyzdžiui, holdingo bendrovė atitinkamu laikotarpiu gauna tik dividendus, kurie neįtraukiami į šios bendrovės pajamas (žr. PMĮ 33 ir 35 str. komentarus).</w:t>
      </w:r>
    </w:p>
    <w:p w14:paraId="4F3A9440" w14:textId="77777777" w:rsidR="00093845" w:rsidRDefault="000D779E">
      <w:pPr>
        <w:ind w:firstLine="993"/>
        <w:jc w:val="both"/>
        <w:rPr>
          <w:lang w:eastAsia="lt-LT"/>
        </w:rPr>
      </w:pPr>
      <w:r>
        <w:rPr>
          <w:lang w:eastAsia="lt-LT"/>
        </w:rPr>
        <w:t>Jeigu holdingo bendrovės uždirba` apmokestinamąsias ir neapmokestinamąsias pajamas, tai apskaičiuojant apmokestinamąjį pelną, leidžiamiems atskaitymams galima priskirti tik mokestiniu laikotarpiu patirtas įmonių valdymo sąnaudas, kurios tenka uždirbtoms apmokestinamosioms pajamoms, įskaitant holdingo bendrovių gaunamus dividendus. Pagal PMĮ 31 str. 1 d. 17 punktą sąnaudos, tenkančios PMĮ 12 straipsnyje nurodytoms neapmokestinamosioms pajamoms, priskiriamos neleidžiamiems atskaitymais.</w:t>
      </w:r>
    </w:p>
    <w:p w14:paraId="15563A56" w14:textId="77777777" w:rsidR="00093845" w:rsidRPr="0065344A" w:rsidRDefault="00F425B3">
      <w:pPr>
        <w:ind w:firstLine="720"/>
        <w:jc w:val="both"/>
        <w:rPr>
          <w:lang w:val="lt-LT"/>
        </w:rPr>
      </w:pPr>
      <w:r>
        <w:rPr>
          <w:iCs/>
          <w:lang w:val="lt-LT"/>
        </w:rPr>
        <w:t xml:space="preserve">    </w:t>
      </w:r>
      <w:r w:rsidR="000D779E">
        <w:rPr>
          <w:iCs/>
          <w:lang w:val="lt-LT"/>
        </w:rPr>
        <w:t>(Pakeistas 17 str. 1 dalies 6.28 punktas VMI prie FM 20</w:t>
      </w:r>
      <w:r>
        <w:rPr>
          <w:iCs/>
          <w:lang w:val="lt-LT"/>
        </w:rPr>
        <w:t xml:space="preserve">16-05-16 raštu Nr. (18.32-31-1E) </w:t>
      </w:r>
      <w:r w:rsidR="000D779E">
        <w:rPr>
          <w:iCs/>
          <w:lang w:val="lt-LT"/>
        </w:rPr>
        <w:t>RM-14067)</w:t>
      </w:r>
    </w:p>
    <w:p w14:paraId="2808BBFA" w14:textId="77777777" w:rsidR="00B80B27" w:rsidRPr="003714ED" w:rsidRDefault="00B80B27" w:rsidP="00B80B27">
      <w:pPr>
        <w:ind w:firstLine="993"/>
        <w:jc w:val="both"/>
        <w:rPr>
          <w:b/>
          <w:lang w:val="lt-LT" w:eastAsia="lt-LT"/>
        </w:rPr>
      </w:pPr>
      <w:r w:rsidRPr="003714ED">
        <w:rPr>
          <w:b/>
          <w:lang w:eastAsia="lt-LT"/>
        </w:rPr>
        <w:t>6.29</w:t>
      </w:r>
      <w:r w:rsidRPr="003714ED">
        <w:rPr>
          <w:b/>
          <w:lang w:val="lt-LT" w:eastAsia="lt-LT"/>
        </w:rPr>
        <w:t>.</w:t>
      </w:r>
      <w:r w:rsidRPr="003714ED">
        <w:rPr>
          <w:b/>
          <w:i/>
          <w:iCs/>
          <w:lang w:val="lt-LT" w:eastAsia="lt-LT"/>
        </w:rPr>
        <w:t xml:space="preserve"> </w:t>
      </w:r>
      <w:r w:rsidRPr="003714ED">
        <w:rPr>
          <w:b/>
          <w:lang w:val="lt-LT" w:eastAsia="lt-LT"/>
        </w:rPr>
        <w:t>Dėl</w:t>
      </w:r>
      <w:r w:rsidRPr="003714ED">
        <w:rPr>
          <w:b/>
          <w:i/>
          <w:iCs/>
          <w:lang w:val="lt-LT" w:eastAsia="lt-LT"/>
        </w:rPr>
        <w:t xml:space="preserve"> </w:t>
      </w:r>
      <w:r w:rsidRPr="003714ED">
        <w:rPr>
          <w:b/>
          <w:lang w:val="lt-LT" w:eastAsia="lt-LT"/>
        </w:rPr>
        <w:t>sumų,</w:t>
      </w:r>
      <w:r w:rsidRPr="003714ED">
        <w:rPr>
          <w:b/>
          <w:i/>
          <w:iCs/>
          <w:lang w:val="lt-LT" w:eastAsia="lt-LT"/>
        </w:rPr>
        <w:t xml:space="preserve"> </w:t>
      </w:r>
      <w:r w:rsidRPr="003714ED">
        <w:rPr>
          <w:b/>
          <w:lang w:val="lt-LT" w:eastAsia="lt-LT"/>
        </w:rPr>
        <w:t>nuo</w:t>
      </w:r>
      <w:r w:rsidRPr="003714ED">
        <w:rPr>
          <w:b/>
          <w:i/>
          <w:iCs/>
          <w:lang w:val="lt-LT" w:eastAsia="lt-LT"/>
        </w:rPr>
        <w:t xml:space="preserve"> </w:t>
      </w:r>
      <w:r w:rsidRPr="003714ED">
        <w:rPr>
          <w:b/>
          <w:lang w:val="lt-LT" w:eastAsia="lt-LT"/>
        </w:rPr>
        <w:t>kurių</w:t>
      </w:r>
      <w:r w:rsidRPr="003714ED">
        <w:rPr>
          <w:b/>
          <w:i/>
          <w:iCs/>
          <w:lang w:val="lt-LT" w:eastAsia="lt-LT"/>
        </w:rPr>
        <w:t xml:space="preserve"> </w:t>
      </w:r>
      <w:r w:rsidRPr="003714ED">
        <w:rPr>
          <w:b/>
          <w:lang w:val="lt-LT" w:eastAsia="lt-LT"/>
        </w:rPr>
        <w:t>pagal</w:t>
      </w:r>
      <w:r w:rsidRPr="003714ED">
        <w:rPr>
          <w:b/>
          <w:i/>
          <w:iCs/>
          <w:lang w:val="lt-LT" w:eastAsia="lt-LT"/>
        </w:rPr>
        <w:t xml:space="preserve"> </w:t>
      </w:r>
      <w:r w:rsidRPr="003714ED">
        <w:rPr>
          <w:b/>
          <w:lang w:val="lt-LT" w:eastAsia="lt-LT"/>
        </w:rPr>
        <w:t>Valstybinio</w:t>
      </w:r>
      <w:r w:rsidRPr="003714ED">
        <w:rPr>
          <w:b/>
          <w:i/>
          <w:iCs/>
          <w:lang w:val="lt-LT" w:eastAsia="lt-LT"/>
        </w:rPr>
        <w:t xml:space="preserve"> </w:t>
      </w:r>
      <w:r w:rsidRPr="003714ED">
        <w:rPr>
          <w:b/>
          <w:lang w:val="lt-LT" w:eastAsia="lt-LT"/>
        </w:rPr>
        <w:t>socialinio</w:t>
      </w:r>
      <w:r w:rsidRPr="003714ED">
        <w:rPr>
          <w:b/>
          <w:i/>
          <w:iCs/>
          <w:lang w:val="lt-LT" w:eastAsia="lt-LT"/>
        </w:rPr>
        <w:t xml:space="preserve"> </w:t>
      </w:r>
      <w:r w:rsidRPr="003714ED">
        <w:rPr>
          <w:b/>
          <w:lang w:val="lt-LT" w:eastAsia="lt-LT"/>
        </w:rPr>
        <w:t>draudimo</w:t>
      </w:r>
      <w:r w:rsidRPr="003714ED">
        <w:rPr>
          <w:b/>
          <w:i/>
          <w:iCs/>
          <w:lang w:val="lt-LT" w:eastAsia="lt-LT"/>
        </w:rPr>
        <w:t xml:space="preserve"> </w:t>
      </w:r>
      <w:r w:rsidRPr="003714ED">
        <w:rPr>
          <w:b/>
          <w:lang w:val="lt-LT" w:eastAsia="lt-LT"/>
        </w:rPr>
        <w:t>įstatymo</w:t>
      </w:r>
      <w:r w:rsidRPr="003714ED">
        <w:rPr>
          <w:b/>
          <w:i/>
          <w:iCs/>
          <w:lang w:val="lt-LT" w:eastAsia="lt-LT"/>
        </w:rPr>
        <w:t xml:space="preserve"> </w:t>
      </w:r>
      <w:r w:rsidRPr="003714ED">
        <w:rPr>
          <w:b/>
          <w:lang w:val="lt-LT" w:eastAsia="lt-LT"/>
        </w:rPr>
        <w:t>nuostatas</w:t>
      </w:r>
      <w:r w:rsidRPr="003714ED">
        <w:rPr>
          <w:b/>
          <w:i/>
          <w:iCs/>
          <w:lang w:val="lt-LT" w:eastAsia="lt-LT"/>
        </w:rPr>
        <w:t xml:space="preserve"> </w:t>
      </w:r>
      <w:r w:rsidRPr="003714ED">
        <w:rPr>
          <w:b/>
          <w:lang w:val="lt-LT" w:eastAsia="lt-LT"/>
        </w:rPr>
        <w:t>skaičiuojamos</w:t>
      </w:r>
      <w:r w:rsidRPr="003714ED">
        <w:rPr>
          <w:b/>
          <w:i/>
          <w:iCs/>
          <w:lang w:val="lt-LT" w:eastAsia="lt-LT"/>
        </w:rPr>
        <w:t xml:space="preserve"> </w:t>
      </w:r>
      <w:r w:rsidRPr="003714ED">
        <w:rPr>
          <w:b/>
          <w:lang w:val="lt-LT" w:eastAsia="lt-LT"/>
        </w:rPr>
        <w:t>ir</w:t>
      </w:r>
      <w:r w:rsidRPr="003714ED">
        <w:rPr>
          <w:b/>
          <w:i/>
          <w:iCs/>
          <w:lang w:val="lt-LT" w:eastAsia="lt-LT"/>
        </w:rPr>
        <w:t xml:space="preserve"> </w:t>
      </w:r>
      <w:r w:rsidRPr="003714ED">
        <w:rPr>
          <w:b/>
          <w:lang w:val="lt-LT" w:eastAsia="lt-LT"/>
        </w:rPr>
        <w:t>mokamos</w:t>
      </w:r>
      <w:r w:rsidRPr="003714ED">
        <w:rPr>
          <w:b/>
          <w:i/>
          <w:iCs/>
          <w:lang w:val="lt-LT" w:eastAsia="lt-LT"/>
        </w:rPr>
        <w:t xml:space="preserve"> </w:t>
      </w:r>
      <w:r w:rsidRPr="003714ED">
        <w:rPr>
          <w:b/>
          <w:lang w:val="lt-LT" w:eastAsia="lt-LT"/>
        </w:rPr>
        <w:t>vieneto</w:t>
      </w:r>
      <w:r w:rsidRPr="003714ED">
        <w:rPr>
          <w:b/>
          <w:i/>
          <w:iCs/>
          <w:lang w:val="lt-LT" w:eastAsia="lt-LT"/>
        </w:rPr>
        <w:t xml:space="preserve"> </w:t>
      </w:r>
      <w:r w:rsidRPr="003714ED">
        <w:rPr>
          <w:b/>
          <w:lang w:val="lt-LT" w:eastAsia="lt-LT"/>
        </w:rPr>
        <w:t>dalyvio</w:t>
      </w:r>
      <w:r w:rsidRPr="003714ED">
        <w:rPr>
          <w:b/>
          <w:i/>
          <w:iCs/>
          <w:lang w:val="lt-LT" w:eastAsia="lt-LT"/>
        </w:rPr>
        <w:t xml:space="preserve"> </w:t>
      </w:r>
      <w:r w:rsidRPr="003714ED">
        <w:rPr>
          <w:b/>
          <w:lang w:val="lt-LT" w:eastAsia="lt-LT"/>
        </w:rPr>
        <w:t>(individualios</w:t>
      </w:r>
      <w:r w:rsidRPr="003714ED">
        <w:rPr>
          <w:b/>
          <w:i/>
          <w:iCs/>
          <w:lang w:val="lt-LT" w:eastAsia="lt-LT"/>
        </w:rPr>
        <w:t xml:space="preserve"> </w:t>
      </w:r>
      <w:r w:rsidRPr="003714ED">
        <w:rPr>
          <w:b/>
          <w:lang w:val="lt-LT" w:eastAsia="lt-LT"/>
        </w:rPr>
        <w:t>įmonės</w:t>
      </w:r>
      <w:r w:rsidRPr="003714ED">
        <w:rPr>
          <w:b/>
          <w:i/>
          <w:iCs/>
          <w:lang w:val="lt-LT" w:eastAsia="lt-LT"/>
        </w:rPr>
        <w:t xml:space="preserve"> </w:t>
      </w:r>
      <w:r w:rsidRPr="003714ED">
        <w:rPr>
          <w:b/>
          <w:lang w:val="lt-LT" w:eastAsia="lt-LT"/>
        </w:rPr>
        <w:t>savininko,</w:t>
      </w:r>
      <w:r w:rsidRPr="003714ED">
        <w:rPr>
          <w:b/>
          <w:i/>
          <w:iCs/>
          <w:lang w:val="lt-LT" w:eastAsia="lt-LT"/>
        </w:rPr>
        <w:t xml:space="preserve"> </w:t>
      </w:r>
      <w:r w:rsidRPr="003714ED">
        <w:rPr>
          <w:b/>
          <w:iCs/>
          <w:lang w:val="lt-LT" w:eastAsia="lt-LT"/>
        </w:rPr>
        <w:t xml:space="preserve">mažosios bendrijos </w:t>
      </w:r>
      <w:r w:rsidRPr="003714ED">
        <w:rPr>
          <w:b/>
          <w:iCs/>
          <w:lang w:val="lt-LT" w:eastAsia="lt-LT"/>
        </w:rPr>
        <w:lastRenderedPageBreak/>
        <w:t>nario</w:t>
      </w:r>
      <w:r w:rsidRPr="003714ED">
        <w:rPr>
          <w:b/>
          <w:lang w:val="lt-LT" w:eastAsia="lt-LT"/>
        </w:rPr>
        <w:t>, tikrosios</w:t>
      </w:r>
      <w:r w:rsidRPr="003714ED">
        <w:rPr>
          <w:b/>
          <w:i/>
          <w:iCs/>
          <w:lang w:val="lt-LT" w:eastAsia="lt-LT"/>
        </w:rPr>
        <w:t xml:space="preserve"> </w:t>
      </w:r>
      <w:r w:rsidRPr="003714ED">
        <w:rPr>
          <w:b/>
          <w:lang w:val="lt-LT" w:eastAsia="lt-LT"/>
        </w:rPr>
        <w:t>ūkinės</w:t>
      </w:r>
      <w:r w:rsidRPr="003714ED">
        <w:rPr>
          <w:b/>
          <w:i/>
          <w:iCs/>
          <w:lang w:val="lt-LT" w:eastAsia="lt-LT"/>
        </w:rPr>
        <w:t xml:space="preserve"> </w:t>
      </w:r>
      <w:r w:rsidRPr="003714ED">
        <w:rPr>
          <w:b/>
          <w:lang w:val="lt-LT" w:eastAsia="lt-LT"/>
        </w:rPr>
        <w:t>bendrijos</w:t>
      </w:r>
      <w:r w:rsidRPr="003714ED">
        <w:rPr>
          <w:b/>
          <w:i/>
          <w:iCs/>
          <w:lang w:val="lt-LT" w:eastAsia="lt-LT"/>
        </w:rPr>
        <w:t xml:space="preserve"> </w:t>
      </w:r>
      <w:r w:rsidRPr="003714ED">
        <w:rPr>
          <w:b/>
          <w:lang w:val="lt-LT" w:eastAsia="lt-LT"/>
        </w:rPr>
        <w:t>tikrojo</w:t>
      </w:r>
      <w:r w:rsidRPr="003714ED">
        <w:rPr>
          <w:b/>
          <w:i/>
          <w:iCs/>
          <w:lang w:val="lt-LT" w:eastAsia="lt-LT"/>
        </w:rPr>
        <w:t xml:space="preserve"> </w:t>
      </w:r>
      <w:r w:rsidRPr="003714ED">
        <w:rPr>
          <w:b/>
          <w:lang w:val="lt-LT" w:eastAsia="lt-LT"/>
        </w:rPr>
        <w:t>nario,</w:t>
      </w:r>
      <w:r w:rsidRPr="003714ED">
        <w:rPr>
          <w:b/>
          <w:i/>
          <w:iCs/>
          <w:lang w:val="lt-LT" w:eastAsia="lt-LT"/>
        </w:rPr>
        <w:t xml:space="preserve"> </w:t>
      </w:r>
      <w:r w:rsidRPr="003714ED">
        <w:rPr>
          <w:b/>
          <w:lang w:val="lt-LT" w:eastAsia="lt-LT"/>
        </w:rPr>
        <w:t>komanditinės</w:t>
      </w:r>
      <w:r w:rsidRPr="003714ED">
        <w:rPr>
          <w:b/>
          <w:i/>
          <w:iCs/>
          <w:lang w:val="lt-LT" w:eastAsia="lt-LT"/>
        </w:rPr>
        <w:t xml:space="preserve"> </w:t>
      </w:r>
      <w:r w:rsidRPr="003714ED">
        <w:rPr>
          <w:b/>
          <w:lang w:val="lt-LT" w:eastAsia="lt-LT"/>
        </w:rPr>
        <w:t>ūkinės</w:t>
      </w:r>
      <w:r w:rsidRPr="003714ED">
        <w:rPr>
          <w:b/>
          <w:i/>
          <w:iCs/>
          <w:lang w:val="lt-LT" w:eastAsia="lt-LT"/>
        </w:rPr>
        <w:t xml:space="preserve"> </w:t>
      </w:r>
      <w:r w:rsidRPr="003714ED">
        <w:rPr>
          <w:b/>
          <w:lang w:val="lt-LT" w:eastAsia="lt-LT"/>
        </w:rPr>
        <w:t>bendrijos</w:t>
      </w:r>
      <w:r w:rsidRPr="003714ED">
        <w:rPr>
          <w:b/>
          <w:i/>
          <w:iCs/>
          <w:lang w:val="lt-LT" w:eastAsia="lt-LT"/>
        </w:rPr>
        <w:t xml:space="preserve"> </w:t>
      </w:r>
      <w:r w:rsidRPr="003714ED">
        <w:rPr>
          <w:b/>
          <w:lang w:val="lt-LT" w:eastAsia="lt-LT"/>
        </w:rPr>
        <w:t>tikrojo</w:t>
      </w:r>
      <w:r w:rsidRPr="003714ED">
        <w:rPr>
          <w:b/>
          <w:i/>
          <w:iCs/>
          <w:lang w:val="lt-LT" w:eastAsia="lt-LT"/>
        </w:rPr>
        <w:t xml:space="preserve"> </w:t>
      </w:r>
      <w:r w:rsidRPr="003714ED">
        <w:rPr>
          <w:b/>
          <w:lang w:val="lt-LT" w:eastAsia="lt-LT"/>
        </w:rPr>
        <w:t>nario)</w:t>
      </w:r>
      <w:r w:rsidRPr="003714ED">
        <w:rPr>
          <w:b/>
          <w:i/>
          <w:iCs/>
          <w:lang w:val="lt-LT" w:eastAsia="lt-LT"/>
        </w:rPr>
        <w:t xml:space="preserve"> </w:t>
      </w:r>
      <w:r w:rsidRPr="003714ED">
        <w:rPr>
          <w:b/>
          <w:lang w:val="lt-LT" w:eastAsia="lt-LT"/>
        </w:rPr>
        <w:t>valstybinio</w:t>
      </w:r>
      <w:r w:rsidRPr="003714ED">
        <w:rPr>
          <w:b/>
          <w:i/>
          <w:iCs/>
          <w:lang w:val="lt-LT" w:eastAsia="lt-LT"/>
        </w:rPr>
        <w:t xml:space="preserve"> </w:t>
      </w:r>
      <w:r w:rsidRPr="003714ED">
        <w:rPr>
          <w:b/>
          <w:lang w:val="lt-LT" w:eastAsia="lt-LT"/>
        </w:rPr>
        <w:t>socialinio</w:t>
      </w:r>
      <w:r w:rsidRPr="003714ED">
        <w:rPr>
          <w:b/>
          <w:i/>
          <w:iCs/>
          <w:lang w:val="lt-LT" w:eastAsia="lt-LT"/>
        </w:rPr>
        <w:t xml:space="preserve"> </w:t>
      </w:r>
      <w:r w:rsidRPr="003714ED">
        <w:rPr>
          <w:b/>
          <w:lang w:val="lt-LT" w:eastAsia="lt-LT"/>
        </w:rPr>
        <w:t>draudimo</w:t>
      </w:r>
      <w:r w:rsidRPr="003714ED">
        <w:rPr>
          <w:b/>
          <w:i/>
          <w:iCs/>
          <w:lang w:val="lt-LT" w:eastAsia="lt-LT"/>
        </w:rPr>
        <w:t xml:space="preserve"> </w:t>
      </w:r>
      <w:r w:rsidRPr="003714ED">
        <w:rPr>
          <w:b/>
          <w:lang w:val="lt-LT" w:eastAsia="lt-LT"/>
        </w:rPr>
        <w:t>įmokos.</w:t>
      </w:r>
    </w:p>
    <w:p w14:paraId="72202B47" w14:textId="77777777" w:rsidR="00B80B27" w:rsidRPr="006E482C" w:rsidRDefault="00B80B27" w:rsidP="00B80B27">
      <w:pPr>
        <w:ind w:firstLine="993"/>
        <w:jc w:val="both"/>
        <w:rPr>
          <w:bCs/>
          <w:lang w:val="lt-LT" w:eastAsia="lt-LT"/>
        </w:rPr>
      </w:pPr>
      <w:r w:rsidRPr="006E482C">
        <w:rPr>
          <w:bCs/>
          <w:lang w:val="lt-LT" w:eastAsia="lt-LT"/>
        </w:rPr>
        <w:t xml:space="preserve">Leidžiamiems atskaitymams priskiriamos sumos, nuo kurių vadovaujantis Lietuvos Respublikos valstybinio socialinio draudimo įstatymo ir Lietuvos Respublikos sveikatos draudimo įstatymo nustatyta tvarka apskaičiuojamos VSD ir PSD įmokos už individualios įmonės savininkus, mažųjų bendrijų narius, ūkinių bendrijų tikruosius narius.  VSD ir PSD įmokų už individualios įmonės savininkus, mažųjų bendrijų narius, ūkinių bendrijų tikruosius narius apskaičiavimo ir sumokėjimo tvarka skelbiama SODROS internetiniame tinklapyje </w:t>
      </w:r>
      <w:hyperlink r:id="rId75" w:history="1">
        <w:r w:rsidRPr="006E482C">
          <w:rPr>
            <w:rStyle w:val="Hipersaitas"/>
            <w:lang w:val="lt-LT" w:eastAsia="lt-LT"/>
          </w:rPr>
          <w:t>www.sodra.lt</w:t>
        </w:r>
      </w:hyperlink>
      <w:r w:rsidRPr="006E482C">
        <w:rPr>
          <w:bCs/>
          <w:lang w:val="lt-LT" w:eastAsia="lt-LT"/>
        </w:rPr>
        <w:t xml:space="preserve">. </w:t>
      </w:r>
    </w:p>
    <w:p w14:paraId="57292B3E" w14:textId="77777777" w:rsidR="002B5E05" w:rsidRPr="00CE6CC5" w:rsidRDefault="00F425B3" w:rsidP="002B5E05">
      <w:pPr>
        <w:ind w:firstLine="720"/>
        <w:jc w:val="both"/>
        <w:rPr>
          <w:lang w:val="lt-LT" w:eastAsia="lt-LT"/>
        </w:rPr>
      </w:pPr>
      <w:r>
        <w:rPr>
          <w:iCs/>
          <w:lang w:val="lt-LT"/>
        </w:rPr>
        <w:t xml:space="preserve">    </w:t>
      </w:r>
      <w:r w:rsidR="00B80B27" w:rsidRPr="00CE6CC5">
        <w:rPr>
          <w:iCs/>
          <w:lang w:val="lt-LT"/>
        </w:rPr>
        <w:t>(Pakeistas 17 str. 1 dalies 6.</w:t>
      </w:r>
      <w:r w:rsidR="002B5E05" w:rsidRPr="00CE6CC5">
        <w:rPr>
          <w:iCs/>
          <w:lang w:val="lt-LT"/>
        </w:rPr>
        <w:t>29</w:t>
      </w:r>
      <w:r w:rsidR="00B80B27" w:rsidRPr="00CE6CC5">
        <w:rPr>
          <w:iCs/>
          <w:lang w:val="lt-LT"/>
        </w:rPr>
        <w:t xml:space="preserve"> punktas VMI prie FM 2020-04-09 raštu Nr. </w:t>
      </w:r>
      <w:r w:rsidR="00B80B27" w:rsidRPr="00CE6CC5">
        <w:t>(32.42-31-1E</w:t>
      </w:r>
      <w:r w:rsidR="00B80B27" w:rsidRPr="00CE6CC5">
        <w:rPr>
          <w:color w:val="000000"/>
        </w:rPr>
        <w:t>) RM-12726</w:t>
      </w:r>
      <w:r w:rsidR="002B5E05" w:rsidRPr="00CE6CC5">
        <w:rPr>
          <w:color w:val="000000"/>
        </w:rPr>
        <w:t>)</w:t>
      </w:r>
    </w:p>
    <w:p w14:paraId="616CCB74" w14:textId="77777777" w:rsidR="00093845" w:rsidRPr="0065344A" w:rsidRDefault="000D779E">
      <w:pPr>
        <w:ind w:firstLine="993"/>
        <w:jc w:val="both"/>
        <w:rPr>
          <w:lang w:val="lt-LT" w:eastAsia="lt-LT"/>
        </w:rPr>
      </w:pPr>
      <w:r w:rsidRPr="0065344A">
        <w:rPr>
          <w:lang w:val="lt-LT" w:eastAsia="lt-LT"/>
        </w:rPr>
        <w:t xml:space="preserve"> </w:t>
      </w:r>
      <w:r w:rsidRPr="0065344A">
        <w:rPr>
          <w:b/>
          <w:bCs/>
          <w:lang w:val="lt-LT" w:eastAsia="lt-LT"/>
        </w:rPr>
        <w:t>6.30.</w:t>
      </w:r>
      <w:r w:rsidRPr="0065344A">
        <w:rPr>
          <w:b/>
          <w:bCs/>
          <w:i/>
          <w:iCs/>
          <w:lang w:val="lt-LT" w:eastAsia="lt-LT"/>
        </w:rPr>
        <w:t xml:space="preserve"> </w:t>
      </w:r>
      <w:r w:rsidRPr="0065344A">
        <w:rPr>
          <w:b/>
          <w:bCs/>
          <w:lang w:val="lt-LT" w:eastAsia="lt-LT"/>
        </w:rPr>
        <w:t>Išlaidų</w:t>
      </w:r>
      <w:r w:rsidRPr="0065344A">
        <w:rPr>
          <w:b/>
          <w:bCs/>
          <w:i/>
          <w:iCs/>
          <w:lang w:val="lt-LT" w:eastAsia="lt-LT"/>
        </w:rPr>
        <w:t xml:space="preserve"> </w:t>
      </w:r>
      <w:r w:rsidRPr="0065344A">
        <w:rPr>
          <w:b/>
          <w:bCs/>
          <w:lang w:val="lt-LT" w:eastAsia="lt-LT"/>
        </w:rPr>
        <w:t>darbuotojų</w:t>
      </w:r>
      <w:r w:rsidRPr="0065344A">
        <w:rPr>
          <w:b/>
          <w:bCs/>
          <w:i/>
          <w:iCs/>
          <w:lang w:val="lt-LT" w:eastAsia="lt-LT"/>
        </w:rPr>
        <w:t xml:space="preserve"> </w:t>
      </w:r>
      <w:r w:rsidRPr="0065344A">
        <w:rPr>
          <w:b/>
          <w:bCs/>
          <w:lang w:val="lt-LT" w:eastAsia="lt-LT"/>
        </w:rPr>
        <w:t>naudai</w:t>
      </w:r>
      <w:r w:rsidRPr="0065344A">
        <w:rPr>
          <w:b/>
          <w:bCs/>
          <w:i/>
          <w:iCs/>
          <w:lang w:val="lt-LT" w:eastAsia="lt-LT"/>
        </w:rPr>
        <w:t xml:space="preserve"> </w:t>
      </w:r>
      <w:r w:rsidRPr="0065344A">
        <w:rPr>
          <w:b/>
          <w:bCs/>
          <w:lang w:val="lt-LT" w:eastAsia="lt-LT"/>
        </w:rPr>
        <w:t>priskyrimas</w:t>
      </w:r>
      <w:r w:rsidRPr="0065344A">
        <w:rPr>
          <w:b/>
          <w:bCs/>
          <w:i/>
          <w:iCs/>
          <w:lang w:val="lt-LT" w:eastAsia="lt-LT"/>
        </w:rPr>
        <w:t xml:space="preserve"> </w:t>
      </w:r>
      <w:r w:rsidRPr="0065344A">
        <w:rPr>
          <w:b/>
          <w:bCs/>
          <w:lang w:val="lt-LT" w:eastAsia="lt-LT"/>
        </w:rPr>
        <w:t>leidžiamiems</w:t>
      </w:r>
      <w:r w:rsidRPr="0065344A">
        <w:rPr>
          <w:b/>
          <w:bCs/>
          <w:i/>
          <w:iCs/>
          <w:lang w:val="lt-LT" w:eastAsia="lt-LT"/>
        </w:rPr>
        <w:t xml:space="preserve"> </w:t>
      </w:r>
      <w:r w:rsidRPr="0065344A">
        <w:rPr>
          <w:b/>
          <w:bCs/>
          <w:lang w:val="lt-LT" w:eastAsia="lt-LT"/>
        </w:rPr>
        <w:t>atskaitymams.</w:t>
      </w:r>
    </w:p>
    <w:p w14:paraId="25C60A7E" w14:textId="77777777" w:rsidR="00093845" w:rsidRPr="0065344A" w:rsidRDefault="000D779E">
      <w:pPr>
        <w:ind w:firstLine="993"/>
        <w:jc w:val="both"/>
        <w:rPr>
          <w:lang w:val="lt-LT" w:eastAsia="lt-LT"/>
        </w:rPr>
      </w:pPr>
      <w:r w:rsidRPr="0065344A">
        <w:rPr>
          <w:lang w:val="lt-LT" w:eastAsia="lt-LT"/>
        </w:rPr>
        <w:t>6.30.1.</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3" w:name="n1_3086"/>
      <w:r>
        <w:rPr>
          <w:lang w:eastAsia="lt-LT"/>
        </w:rPr>
        <w:fldChar w:fldCharType="begin"/>
      </w:r>
      <w:r w:rsidRPr="0065344A">
        <w:rPr>
          <w:lang w:val="lt-LT" w:eastAsia="lt-LT"/>
        </w:rPr>
        <w:instrText xml:space="preserve"> HYPERLINK "http://www.infolex.lt/ta/12868" \o "Lietuvos Respublikos pelno mokesčio įstatymas" \t "_blank" </w:instrText>
      </w:r>
      <w:r>
        <w:rPr>
          <w:lang w:eastAsia="lt-LT"/>
        </w:rPr>
        <w:fldChar w:fldCharType="separate"/>
      </w:r>
      <w:r w:rsidRPr="0065344A">
        <w:rPr>
          <w:lang w:val="lt-LT" w:eastAsia="lt-LT"/>
        </w:rPr>
        <w:t>PMĮ</w:t>
      </w:r>
      <w:r>
        <w:rPr>
          <w:lang w:eastAsia="lt-LT"/>
        </w:rPr>
        <w:fldChar w:fldCharType="end"/>
      </w:r>
      <w:bookmarkStart w:id="324" w:name="pn1_3086"/>
      <w:bookmarkEnd w:id="323"/>
      <w:bookmarkEnd w:id="324"/>
      <w:r w:rsidRPr="0065344A">
        <w:rPr>
          <w:i/>
          <w:iCs/>
          <w:lang w:val="lt-LT" w:eastAsia="lt-LT"/>
        </w:rPr>
        <w:t xml:space="preserve"> </w:t>
      </w:r>
      <w:r w:rsidRPr="0065344A">
        <w:rPr>
          <w:lang w:val="lt-LT" w:eastAsia="lt-LT"/>
        </w:rPr>
        <w:t>17</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1</w:t>
      </w:r>
      <w:r w:rsidRPr="0065344A">
        <w:rPr>
          <w:i/>
          <w:iCs/>
          <w:lang w:val="lt-LT" w:eastAsia="lt-LT"/>
        </w:rPr>
        <w:t xml:space="preserve"> </w:t>
      </w:r>
      <w:r w:rsidRPr="0065344A">
        <w:rPr>
          <w:lang w:val="lt-LT" w:eastAsia="lt-LT"/>
        </w:rPr>
        <w:t>dalies</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apskaičiuojant</w:t>
      </w:r>
      <w:r w:rsidRPr="0065344A">
        <w:rPr>
          <w:i/>
          <w:iCs/>
          <w:lang w:val="lt-LT" w:eastAsia="lt-LT"/>
        </w:rPr>
        <w:t xml:space="preserve"> </w:t>
      </w:r>
      <w:r w:rsidRPr="0065344A">
        <w:rPr>
          <w:lang w:val="lt-LT" w:eastAsia="lt-LT"/>
        </w:rPr>
        <w:t>2010</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vėlesnių</w:t>
      </w:r>
      <w:r w:rsidRPr="0065344A">
        <w:rPr>
          <w:i/>
          <w:iCs/>
          <w:lang w:val="lt-LT" w:eastAsia="lt-LT"/>
        </w:rPr>
        <w:t xml:space="preserve"> </w:t>
      </w:r>
      <w:r w:rsidRPr="0065344A">
        <w:rPr>
          <w:lang w:val="lt-LT" w:eastAsia="lt-LT"/>
        </w:rPr>
        <w:t>metų</w:t>
      </w:r>
      <w:r w:rsidRPr="0065344A">
        <w:rPr>
          <w:i/>
          <w:iCs/>
          <w:lang w:val="lt-LT" w:eastAsia="lt-LT"/>
        </w:rPr>
        <w:t xml:space="preserve"> </w:t>
      </w:r>
      <w:r w:rsidRPr="0065344A">
        <w:rPr>
          <w:lang w:val="lt-LT" w:eastAsia="lt-LT"/>
        </w:rPr>
        <w:t>pelno</w:t>
      </w:r>
      <w:r w:rsidRPr="0065344A">
        <w:rPr>
          <w:i/>
          <w:iCs/>
          <w:lang w:val="lt-LT" w:eastAsia="lt-LT"/>
        </w:rPr>
        <w:t xml:space="preserve"> </w:t>
      </w:r>
      <w:r w:rsidRPr="0065344A">
        <w:rPr>
          <w:lang w:val="lt-LT" w:eastAsia="lt-LT"/>
        </w:rPr>
        <w:t>mokestį,</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visos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Lietuvos</w:t>
      </w:r>
      <w:r w:rsidRPr="0065344A">
        <w:rPr>
          <w:i/>
          <w:iCs/>
          <w:lang w:val="lt-LT" w:eastAsia="lt-LT"/>
        </w:rPr>
        <w:t xml:space="preserve"> </w:t>
      </w:r>
      <w:r w:rsidRPr="0065344A">
        <w:rPr>
          <w:lang w:val="lt-LT" w:eastAsia="lt-LT"/>
        </w:rPr>
        <w:t>Respublikos</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įstatymo</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w:t>
      </w:r>
      <w:r w:rsidRPr="0065344A">
        <w:rPr>
          <w:i/>
          <w:iCs/>
          <w:lang w:val="lt-LT" w:eastAsia="lt-LT"/>
        </w:rPr>
        <w:t xml:space="preserve"> </w:t>
      </w:r>
      <w:bookmarkStart w:id="325" w:name="n1_3092"/>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26" w:name="pn1_3092"/>
      <w:bookmarkEnd w:id="325"/>
      <w:bookmarkEnd w:id="326"/>
      <w:r w:rsidRPr="0065344A">
        <w:rPr>
          <w:lang w:val="lt-LT" w:eastAsia="lt-LT"/>
        </w:rPr>
        <w:t>)</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T.y.,</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gali</w:t>
      </w:r>
      <w:r w:rsidRPr="0065344A">
        <w:rPr>
          <w:i/>
          <w:iCs/>
          <w:lang w:val="lt-LT" w:eastAsia="lt-LT"/>
        </w:rPr>
        <w:t xml:space="preserve"> </w:t>
      </w:r>
      <w:r w:rsidRPr="0065344A">
        <w:rPr>
          <w:lang w:val="lt-LT" w:eastAsia="lt-LT"/>
        </w:rPr>
        <w:t>būti</w:t>
      </w:r>
      <w:r w:rsidRPr="0065344A">
        <w:rPr>
          <w:i/>
          <w:iCs/>
          <w:lang w:val="lt-LT" w:eastAsia="lt-LT"/>
        </w:rPr>
        <w:t xml:space="preserve"> </w:t>
      </w:r>
      <w:r w:rsidRPr="0065344A">
        <w:rPr>
          <w:lang w:val="lt-LT" w:eastAsia="lt-LT"/>
        </w:rPr>
        <w:t>priskirtos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išlaidos,</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(pinigais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mokesčiu</w:t>
      </w:r>
      <w:r w:rsidRPr="0065344A">
        <w:rPr>
          <w:i/>
          <w:iCs/>
          <w:lang w:val="lt-LT" w:eastAsia="lt-LT"/>
        </w:rPr>
        <w:t xml:space="preserve"> </w:t>
      </w:r>
      <w:r w:rsidRPr="0065344A">
        <w:rPr>
          <w:lang w:val="lt-LT" w:eastAsia="lt-LT"/>
        </w:rPr>
        <w:t>apmokestinamosios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neapmokestinamosios</w:t>
      </w:r>
      <w:r w:rsidRPr="0065344A">
        <w:rPr>
          <w:i/>
          <w:iCs/>
          <w:lang w:val="lt-LT" w:eastAsia="lt-LT"/>
        </w:rPr>
        <w:t xml:space="preserve"> </w:t>
      </w:r>
      <w:r w:rsidRPr="0065344A">
        <w:rPr>
          <w:lang w:val="lt-LT" w:eastAsia="lt-LT"/>
        </w:rPr>
        <w:t>pajamos.</w:t>
      </w:r>
    </w:p>
    <w:p w14:paraId="398D4616" w14:textId="77777777" w:rsidR="00093845" w:rsidRPr="0065344A" w:rsidRDefault="000D779E">
      <w:pPr>
        <w:ind w:firstLine="993"/>
        <w:jc w:val="both"/>
        <w:rPr>
          <w:lang w:val="lt-LT" w:eastAsia="lt-LT"/>
        </w:rPr>
      </w:pPr>
      <w:r w:rsidRPr="0065344A">
        <w:rPr>
          <w:lang w:val="lt-LT" w:eastAsia="lt-LT"/>
        </w:rPr>
        <w:t>Jeigu</w:t>
      </w:r>
      <w:r w:rsidRPr="0065344A">
        <w:rPr>
          <w:i/>
          <w:iCs/>
          <w:lang w:val="lt-LT" w:eastAsia="lt-LT"/>
        </w:rPr>
        <w:t xml:space="preserve"> </w:t>
      </w:r>
      <w:r w:rsidRPr="0065344A">
        <w:rPr>
          <w:lang w:val="lt-LT" w:eastAsia="lt-LT"/>
        </w:rPr>
        <w:t>teismas</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buvusio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dėl</w:t>
      </w:r>
      <w:r w:rsidRPr="0065344A">
        <w:rPr>
          <w:i/>
          <w:iCs/>
          <w:lang w:val="lt-LT" w:eastAsia="lt-LT"/>
        </w:rPr>
        <w:t xml:space="preserve"> </w:t>
      </w:r>
      <w:r w:rsidRPr="0065344A">
        <w:rPr>
          <w:lang w:val="lt-LT" w:eastAsia="lt-LT"/>
        </w:rPr>
        <w:t>neteisėto</w:t>
      </w:r>
      <w:r w:rsidRPr="0065344A">
        <w:rPr>
          <w:i/>
          <w:iCs/>
          <w:lang w:val="lt-LT" w:eastAsia="lt-LT"/>
        </w:rPr>
        <w:t xml:space="preserve"> </w:t>
      </w:r>
      <w:r w:rsidRPr="0065344A">
        <w:rPr>
          <w:lang w:val="lt-LT" w:eastAsia="lt-LT"/>
        </w:rPr>
        <w:t>atleidimo</w:t>
      </w:r>
      <w:r w:rsidRPr="0065344A">
        <w:rPr>
          <w:i/>
          <w:iCs/>
          <w:lang w:val="lt-LT" w:eastAsia="lt-LT"/>
        </w:rPr>
        <w:t xml:space="preserve"> </w:t>
      </w:r>
      <w:r w:rsidRPr="0065344A">
        <w:rPr>
          <w:lang w:val="lt-LT" w:eastAsia="lt-LT"/>
        </w:rPr>
        <w:t>priteisia</w:t>
      </w:r>
      <w:r w:rsidRPr="0065344A">
        <w:rPr>
          <w:i/>
          <w:iCs/>
          <w:lang w:val="lt-LT" w:eastAsia="lt-LT"/>
        </w:rPr>
        <w:t xml:space="preserve"> </w:t>
      </w:r>
      <w:r w:rsidRPr="0065344A">
        <w:rPr>
          <w:lang w:val="lt-LT" w:eastAsia="lt-LT"/>
        </w:rPr>
        <w:t>vidutinį</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užmokestį</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išeitinę</w:t>
      </w:r>
      <w:r w:rsidRPr="0065344A">
        <w:rPr>
          <w:i/>
          <w:iCs/>
          <w:lang w:val="lt-LT" w:eastAsia="lt-LT"/>
        </w:rPr>
        <w:t xml:space="preserve"> </w:t>
      </w:r>
      <w:r w:rsidRPr="0065344A">
        <w:rPr>
          <w:lang w:val="lt-LT" w:eastAsia="lt-LT"/>
        </w:rPr>
        <w:t>išmoką</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priverstinį</w:t>
      </w:r>
      <w:r w:rsidRPr="0065344A">
        <w:rPr>
          <w:i/>
          <w:iCs/>
          <w:lang w:val="lt-LT" w:eastAsia="lt-LT"/>
        </w:rPr>
        <w:t xml:space="preserve"> </w:t>
      </w:r>
      <w:r w:rsidRPr="0065344A">
        <w:rPr>
          <w:lang w:val="lt-LT" w:eastAsia="lt-LT"/>
        </w:rPr>
        <w:t>pravaikštos</w:t>
      </w:r>
      <w:r w:rsidRPr="0065344A">
        <w:rPr>
          <w:i/>
          <w:iCs/>
          <w:lang w:val="lt-LT" w:eastAsia="lt-LT"/>
        </w:rPr>
        <w:t xml:space="preserve"> </w:t>
      </w:r>
      <w:r w:rsidRPr="0065344A">
        <w:rPr>
          <w:lang w:val="lt-LT" w:eastAsia="lt-LT"/>
        </w:rPr>
        <w:t>laiką,</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tokios</w:t>
      </w:r>
      <w:r w:rsidRPr="0065344A">
        <w:rPr>
          <w:i/>
          <w:iCs/>
          <w:lang w:val="lt-LT" w:eastAsia="lt-LT"/>
        </w:rPr>
        <w:t xml:space="preserve"> </w:t>
      </w:r>
      <w:r w:rsidRPr="0065344A">
        <w:rPr>
          <w:lang w:val="lt-LT" w:eastAsia="lt-LT"/>
        </w:rPr>
        <w:t>patirtos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sąnaudos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nes</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neteisėtai</w:t>
      </w:r>
      <w:r w:rsidRPr="0065344A">
        <w:rPr>
          <w:i/>
          <w:iCs/>
          <w:lang w:val="lt-LT" w:eastAsia="lt-LT"/>
        </w:rPr>
        <w:t xml:space="preserve"> </w:t>
      </w:r>
      <w:r w:rsidRPr="0065344A">
        <w:rPr>
          <w:lang w:val="lt-LT" w:eastAsia="lt-LT"/>
        </w:rPr>
        <w:t>atleisto</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(fizinis</w:t>
      </w:r>
      <w:r w:rsidRPr="0065344A">
        <w:rPr>
          <w:i/>
          <w:iCs/>
          <w:lang w:val="lt-LT" w:eastAsia="lt-LT"/>
        </w:rPr>
        <w:t xml:space="preserve"> </w:t>
      </w:r>
      <w:r w:rsidRPr="0065344A">
        <w:rPr>
          <w:lang w:val="lt-LT" w:eastAsia="lt-LT"/>
        </w:rPr>
        <w:t>asmuo</w:t>
      </w:r>
      <w:r w:rsidRPr="0065344A">
        <w:rPr>
          <w:i/>
          <w:iCs/>
          <w:lang w:val="lt-LT" w:eastAsia="lt-LT"/>
        </w:rPr>
        <w:t xml:space="preserve"> </w:t>
      </w:r>
      <w:r w:rsidRPr="0065344A">
        <w:rPr>
          <w:lang w:val="lt-LT" w:eastAsia="lt-LT"/>
        </w:rPr>
        <w:t>buvo</w:t>
      </w:r>
      <w:r w:rsidRPr="0065344A">
        <w:rPr>
          <w:i/>
          <w:iCs/>
          <w:lang w:val="lt-LT" w:eastAsia="lt-LT"/>
        </w:rPr>
        <w:t xml:space="preserve"> </w:t>
      </w:r>
      <w:r w:rsidRPr="0065344A">
        <w:rPr>
          <w:lang w:val="lt-LT" w:eastAsia="lt-LT"/>
        </w:rPr>
        <w:t>laikomas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darbuotoju</w:t>
      </w:r>
      <w:r w:rsidRPr="0065344A">
        <w:rPr>
          <w:i/>
          <w:iCs/>
          <w:lang w:val="lt-LT" w:eastAsia="lt-LT"/>
        </w:rPr>
        <w:t xml:space="preserve"> </w:t>
      </w:r>
      <w:r w:rsidRPr="0065344A">
        <w:rPr>
          <w:lang w:val="lt-LT" w:eastAsia="lt-LT"/>
        </w:rPr>
        <w:t>iki</w:t>
      </w:r>
      <w:r w:rsidRPr="0065344A">
        <w:rPr>
          <w:i/>
          <w:iCs/>
          <w:lang w:val="lt-LT" w:eastAsia="lt-LT"/>
        </w:rPr>
        <w:t xml:space="preserve"> </w:t>
      </w:r>
      <w:r w:rsidRPr="0065344A">
        <w:rPr>
          <w:lang w:val="lt-LT" w:eastAsia="lt-LT"/>
        </w:rPr>
        <w:t>teismo</w:t>
      </w:r>
      <w:r w:rsidRPr="0065344A">
        <w:rPr>
          <w:i/>
          <w:iCs/>
          <w:lang w:val="lt-LT" w:eastAsia="lt-LT"/>
        </w:rPr>
        <w:t xml:space="preserve"> </w:t>
      </w:r>
      <w:r w:rsidRPr="0065344A">
        <w:rPr>
          <w:lang w:val="lt-LT" w:eastAsia="lt-LT"/>
        </w:rPr>
        <w:t>sprendimo</w:t>
      </w:r>
      <w:r w:rsidRPr="0065344A">
        <w:rPr>
          <w:i/>
          <w:iCs/>
          <w:lang w:val="lt-LT" w:eastAsia="lt-LT"/>
        </w:rPr>
        <w:t xml:space="preserve"> </w:t>
      </w:r>
      <w:r w:rsidRPr="0065344A">
        <w:rPr>
          <w:lang w:val="lt-LT" w:eastAsia="lt-LT"/>
        </w:rPr>
        <w:t>dienos)</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7" w:name="n1_3093"/>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28" w:name="pn1_3093"/>
      <w:bookmarkEnd w:id="327"/>
      <w:bookmarkEnd w:id="328"/>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p>
    <w:p w14:paraId="7BC68A50" w14:textId="77777777" w:rsidR="00093845" w:rsidRPr="0065344A" w:rsidRDefault="000D779E">
      <w:pPr>
        <w:ind w:firstLine="993"/>
        <w:jc w:val="both"/>
        <w:rPr>
          <w:lang w:val="lt-LT" w:eastAsia="lt-LT"/>
        </w:rPr>
      </w:pPr>
      <w:r w:rsidRPr="0065344A">
        <w:rPr>
          <w:lang w:val="lt-LT" w:eastAsia="lt-LT"/>
        </w:rPr>
        <w:t>Atkreipiame</w:t>
      </w:r>
      <w:r w:rsidRPr="0065344A">
        <w:rPr>
          <w:i/>
          <w:iCs/>
          <w:lang w:val="lt-LT" w:eastAsia="lt-LT"/>
        </w:rPr>
        <w:t xml:space="preserve"> </w:t>
      </w:r>
      <w:r w:rsidRPr="0065344A">
        <w:rPr>
          <w:lang w:val="lt-LT" w:eastAsia="lt-LT"/>
        </w:rPr>
        <w:t>dėmesį</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kad</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šias</w:t>
      </w:r>
      <w:r w:rsidRPr="0065344A">
        <w:rPr>
          <w:i/>
          <w:iCs/>
          <w:lang w:val="lt-LT" w:eastAsia="lt-LT"/>
        </w:rPr>
        <w:t xml:space="preserve"> </w:t>
      </w:r>
      <w:r w:rsidRPr="0065344A">
        <w:rPr>
          <w:lang w:val="lt-LT" w:eastAsia="lt-LT"/>
        </w:rPr>
        <w:t>nuostatas</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priskyrimas</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siejamas</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tiek</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uždirbimu</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ekonominės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gavimu,</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naudos</w:t>
      </w:r>
      <w:r w:rsidRPr="0065344A">
        <w:rPr>
          <w:i/>
          <w:iCs/>
          <w:lang w:val="lt-LT" w:eastAsia="lt-LT"/>
        </w:rPr>
        <w:t xml:space="preserve"> </w:t>
      </w:r>
      <w:r w:rsidRPr="0065344A">
        <w:rPr>
          <w:lang w:val="lt-LT" w:eastAsia="lt-LT"/>
        </w:rPr>
        <w:t>priskyrimu</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objektui.</w:t>
      </w:r>
    </w:p>
    <w:p w14:paraId="0AB5147B" w14:textId="77777777" w:rsidR="00093845" w:rsidRPr="0065344A" w:rsidRDefault="000D779E">
      <w:pPr>
        <w:ind w:firstLine="993"/>
        <w:jc w:val="both"/>
        <w:rPr>
          <w:lang w:val="lt-LT" w:eastAsia="lt-LT"/>
        </w:rPr>
      </w:pPr>
      <w:r w:rsidRPr="0065344A">
        <w:rPr>
          <w:b/>
          <w:bCs/>
          <w:lang w:val="lt-LT" w:eastAsia="lt-LT"/>
        </w:rPr>
        <w:t>Pavyzdžiai</w:t>
      </w:r>
      <w:r w:rsidRPr="0065344A">
        <w:rPr>
          <w:lang w:val="lt-LT" w:eastAsia="lt-LT"/>
        </w:rPr>
        <w:t> </w:t>
      </w:r>
    </w:p>
    <w:p w14:paraId="5FDF5812"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1.</w:t>
      </w:r>
      <w:r w:rsidRPr="0065344A">
        <w:rPr>
          <w:i/>
          <w:iCs/>
          <w:lang w:val="lt-LT" w:eastAsia="lt-LT"/>
        </w:rPr>
        <w:t xml:space="preserve"> </w:t>
      </w:r>
      <w:r w:rsidRPr="0065344A">
        <w:rPr>
          <w:lang w:val="lt-LT" w:eastAsia="lt-LT"/>
        </w:rPr>
        <w:t>UAB</w:t>
      </w:r>
      <w:r w:rsidRPr="0065344A">
        <w:rPr>
          <w:i/>
          <w:iCs/>
          <w:lang w:val="lt-LT" w:eastAsia="lt-LT"/>
        </w:rPr>
        <w:t xml:space="preserve"> „</w:t>
      </w:r>
      <w:r w:rsidRPr="0065344A">
        <w:rPr>
          <w:lang w:val="lt-LT" w:eastAsia="lt-LT"/>
        </w:rPr>
        <w:t>X</w:t>
      </w:r>
      <w:r w:rsidRPr="0065344A">
        <w:rPr>
          <w:i/>
          <w:iCs/>
          <w:lang w:val="lt-LT" w:eastAsia="lt-LT"/>
        </w:rPr>
        <w:t xml:space="preserve">“ </w:t>
      </w:r>
      <w:r w:rsidRPr="0065344A">
        <w:rPr>
          <w:lang w:val="lt-LT" w:eastAsia="lt-LT"/>
        </w:rPr>
        <w:t>nupirko</w:t>
      </w:r>
      <w:r w:rsidRPr="0065344A">
        <w:rPr>
          <w:i/>
          <w:iCs/>
          <w:lang w:val="lt-LT" w:eastAsia="lt-LT"/>
        </w:rPr>
        <w:t xml:space="preserve"> </w:t>
      </w:r>
      <w:r w:rsidRPr="0065344A">
        <w:rPr>
          <w:lang w:val="lt-LT" w:eastAsia="lt-LT"/>
        </w:rPr>
        <w:t>bilietus</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teatrą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įteikė</w:t>
      </w:r>
      <w:r w:rsidRPr="0065344A">
        <w:rPr>
          <w:i/>
          <w:iCs/>
          <w:lang w:val="lt-LT" w:eastAsia="lt-LT"/>
        </w:rPr>
        <w:t xml:space="preserve"> </w:t>
      </w:r>
      <w:r w:rsidRPr="0065344A">
        <w:rPr>
          <w:lang w:val="lt-LT" w:eastAsia="lt-LT"/>
        </w:rPr>
        <w:t>kiekvienam</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išleista</w:t>
      </w:r>
      <w:r w:rsidRPr="0065344A">
        <w:rPr>
          <w:i/>
          <w:iCs/>
          <w:lang w:val="lt-LT" w:eastAsia="lt-LT"/>
        </w:rPr>
        <w:t xml:space="preserve"> </w:t>
      </w:r>
      <w:r w:rsidRPr="0065344A">
        <w:rPr>
          <w:lang w:val="lt-LT" w:eastAsia="lt-LT"/>
        </w:rPr>
        <w:t>pinigų</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sumokėta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bilietus.</w:t>
      </w:r>
      <w:r w:rsidRPr="0065344A">
        <w:rPr>
          <w:i/>
          <w:iCs/>
          <w:lang w:val="lt-LT" w:eastAsia="lt-LT"/>
        </w:rPr>
        <w:t xml:space="preserve"> </w:t>
      </w:r>
      <w:r w:rsidRPr="0065344A">
        <w:rPr>
          <w:lang w:val="lt-LT" w:eastAsia="lt-LT"/>
        </w:rPr>
        <w:t>Ši</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gautomis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pajamos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bendrovė</w:t>
      </w:r>
      <w:r w:rsidRPr="0065344A">
        <w:rPr>
          <w:i/>
          <w:iCs/>
          <w:lang w:val="lt-LT" w:eastAsia="lt-LT"/>
        </w:rPr>
        <w:t xml:space="preserve"> </w:t>
      </w:r>
      <w:r w:rsidRPr="0065344A">
        <w:rPr>
          <w:lang w:val="lt-LT" w:eastAsia="lt-LT"/>
        </w:rPr>
        <w:t>šią</w:t>
      </w:r>
      <w:r w:rsidRPr="0065344A">
        <w:rPr>
          <w:i/>
          <w:iCs/>
          <w:lang w:val="lt-LT" w:eastAsia="lt-LT"/>
        </w:rPr>
        <w:t xml:space="preserve"> </w:t>
      </w:r>
      <w:r w:rsidRPr="0065344A">
        <w:rPr>
          <w:lang w:val="lt-LT" w:eastAsia="lt-LT"/>
        </w:rPr>
        <w:t>sumą</w:t>
      </w:r>
      <w:r w:rsidRPr="0065344A">
        <w:rPr>
          <w:i/>
          <w:iCs/>
          <w:lang w:val="lt-LT" w:eastAsia="lt-LT"/>
        </w:rPr>
        <w:t xml:space="preserve"> </w:t>
      </w:r>
      <w:r w:rsidRPr="0065344A">
        <w:rPr>
          <w:lang w:val="lt-LT" w:eastAsia="lt-LT"/>
        </w:rPr>
        <w:t>priskiria</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p>
    <w:p w14:paraId="16429CE2"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2.Vienetas</w:t>
      </w:r>
      <w:r w:rsidRPr="0065344A">
        <w:rPr>
          <w:i/>
          <w:iCs/>
          <w:lang w:val="lt-LT" w:eastAsia="lt-LT"/>
        </w:rPr>
        <w:t xml:space="preserve"> </w:t>
      </w:r>
      <w:r w:rsidRPr="0065344A">
        <w:rPr>
          <w:lang w:val="lt-LT" w:eastAsia="lt-LT"/>
        </w:rPr>
        <w:t>darbuotojus</w:t>
      </w:r>
      <w:r w:rsidRPr="0065344A">
        <w:rPr>
          <w:i/>
          <w:iCs/>
          <w:lang w:val="lt-LT" w:eastAsia="lt-LT"/>
        </w:rPr>
        <w:t xml:space="preserve"> </w:t>
      </w:r>
      <w:r w:rsidRPr="0065344A">
        <w:rPr>
          <w:lang w:val="lt-LT" w:eastAsia="lt-LT"/>
        </w:rPr>
        <w:t>apdraudė</w:t>
      </w:r>
      <w:r w:rsidRPr="0065344A">
        <w:rPr>
          <w:i/>
          <w:iCs/>
          <w:lang w:val="lt-LT" w:eastAsia="lt-LT"/>
        </w:rPr>
        <w:t xml:space="preserve"> </w:t>
      </w:r>
      <w:r w:rsidRPr="0065344A">
        <w:rPr>
          <w:lang w:val="lt-LT" w:eastAsia="lt-LT"/>
        </w:rPr>
        <w:t>papildomu</w:t>
      </w:r>
      <w:r w:rsidRPr="0065344A">
        <w:rPr>
          <w:i/>
          <w:iCs/>
          <w:lang w:val="lt-LT" w:eastAsia="lt-LT"/>
        </w:rPr>
        <w:t xml:space="preserve"> </w:t>
      </w:r>
      <w:r w:rsidRPr="0065344A">
        <w:rPr>
          <w:lang w:val="lt-LT" w:eastAsia="lt-LT"/>
        </w:rPr>
        <w:t>(savanorišku)</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draudimu,</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apdraustojo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apmokėjimas.</w:t>
      </w:r>
      <w:r w:rsidRPr="0065344A">
        <w:rPr>
          <w:i/>
          <w:iCs/>
          <w:lang w:val="lt-LT" w:eastAsia="lt-LT"/>
        </w:rPr>
        <w:t xml:space="preserve"> </w:t>
      </w:r>
      <w:r w:rsidRPr="0065344A">
        <w:rPr>
          <w:lang w:val="lt-LT" w:eastAsia="lt-LT"/>
        </w:rPr>
        <w:t>Kiekvienam</w:t>
      </w:r>
      <w:r w:rsidRPr="0065344A">
        <w:rPr>
          <w:i/>
          <w:iCs/>
          <w:lang w:val="lt-LT" w:eastAsia="lt-LT"/>
        </w:rPr>
        <w:t xml:space="preserve"> </w:t>
      </w:r>
      <w:r w:rsidRPr="0065344A">
        <w:rPr>
          <w:lang w:val="lt-LT" w:eastAsia="lt-LT"/>
        </w:rPr>
        <w:t>apdraustajam</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išduodama</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bendrovės</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knygelė,</w:t>
      </w:r>
      <w:r w:rsidRPr="0065344A">
        <w:rPr>
          <w:i/>
          <w:iCs/>
          <w:lang w:val="lt-LT" w:eastAsia="lt-LT"/>
        </w:rPr>
        <w:t xml:space="preserve"> </w:t>
      </w:r>
      <w:r w:rsidRPr="0065344A">
        <w:rPr>
          <w:lang w:val="lt-LT" w:eastAsia="lt-LT"/>
        </w:rPr>
        <w:t>kurioje</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įstaigos</w:t>
      </w:r>
      <w:r w:rsidRPr="0065344A">
        <w:rPr>
          <w:i/>
          <w:iCs/>
          <w:lang w:val="lt-LT" w:eastAsia="lt-LT"/>
        </w:rPr>
        <w:t xml:space="preserve"> </w:t>
      </w:r>
      <w:r w:rsidRPr="0065344A">
        <w:rPr>
          <w:lang w:val="lt-LT" w:eastAsia="lt-LT"/>
        </w:rPr>
        <w:t>pažymi,</w:t>
      </w:r>
      <w:r w:rsidRPr="0065344A">
        <w:rPr>
          <w:i/>
          <w:iCs/>
          <w:lang w:val="lt-LT" w:eastAsia="lt-LT"/>
        </w:rPr>
        <w:t xml:space="preserve"> </w:t>
      </w:r>
      <w:r w:rsidRPr="0065344A">
        <w:rPr>
          <w:lang w:val="lt-LT" w:eastAsia="lt-LT"/>
        </w:rPr>
        <w:t>kokiai</w:t>
      </w:r>
      <w:r w:rsidRPr="0065344A">
        <w:rPr>
          <w:i/>
          <w:iCs/>
          <w:lang w:val="lt-LT" w:eastAsia="lt-LT"/>
        </w:rPr>
        <w:t xml:space="preserve"> </w:t>
      </w:r>
      <w:r w:rsidRPr="0065344A">
        <w:rPr>
          <w:lang w:val="lt-LT" w:eastAsia="lt-LT"/>
        </w:rPr>
        <w:t>sumai</w:t>
      </w:r>
      <w:r w:rsidRPr="0065344A">
        <w:rPr>
          <w:i/>
          <w:iCs/>
          <w:lang w:val="lt-LT" w:eastAsia="lt-LT"/>
        </w:rPr>
        <w:t xml:space="preserve"> </w:t>
      </w:r>
      <w:r w:rsidRPr="0065344A">
        <w:rPr>
          <w:lang w:val="lt-LT" w:eastAsia="lt-LT"/>
        </w:rPr>
        <w:t>suteikta</w:t>
      </w:r>
      <w:r w:rsidRPr="0065344A">
        <w:rPr>
          <w:i/>
          <w:iCs/>
          <w:lang w:val="lt-LT" w:eastAsia="lt-LT"/>
        </w:rPr>
        <w:t xml:space="preserve"> </w:t>
      </w:r>
      <w:r w:rsidRPr="0065344A">
        <w:rPr>
          <w:lang w:val="lt-LT" w:eastAsia="lt-LT"/>
        </w:rPr>
        <w:t>paslaugų,</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vaistinės</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kokiai</w:t>
      </w:r>
      <w:r w:rsidRPr="0065344A">
        <w:rPr>
          <w:i/>
          <w:iCs/>
          <w:lang w:val="lt-LT" w:eastAsia="lt-LT"/>
        </w:rPr>
        <w:t xml:space="preserve"> </w:t>
      </w:r>
      <w:r w:rsidRPr="0065344A">
        <w:rPr>
          <w:lang w:val="lt-LT" w:eastAsia="lt-LT"/>
        </w:rPr>
        <w:t>sumai</w:t>
      </w:r>
      <w:r w:rsidRPr="0065344A">
        <w:rPr>
          <w:i/>
          <w:iCs/>
          <w:lang w:val="lt-LT" w:eastAsia="lt-LT"/>
        </w:rPr>
        <w:t xml:space="preserve"> </w:t>
      </w:r>
      <w:r w:rsidRPr="0065344A">
        <w:rPr>
          <w:lang w:val="lt-LT" w:eastAsia="lt-LT"/>
        </w:rPr>
        <w:t>įsigyta</w:t>
      </w:r>
      <w:r w:rsidRPr="0065344A">
        <w:rPr>
          <w:i/>
          <w:iCs/>
          <w:lang w:val="lt-LT" w:eastAsia="lt-LT"/>
        </w:rPr>
        <w:t xml:space="preserve"> </w:t>
      </w:r>
      <w:r w:rsidRPr="0065344A">
        <w:rPr>
          <w:lang w:val="lt-LT" w:eastAsia="lt-LT"/>
        </w:rPr>
        <w:t>vaistų.</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išmokas</w:t>
      </w:r>
      <w:r w:rsidRPr="0065344A">
        <w:rPr>
          <w:i/>
          <w:iCs/>
          <w:lang w:val="lt-LT" w:eastAsia="lt-LT"/>
        </w:rPr>
        <w:t xml:space="preserve"> </w:t>
      </w:r>
      <w:r w:rsidRPr="0065344A">
        <w:rPr>
          <w:lang w:val="lt-LT" w:eastAsia="lt-LT"/>
        </w:rPr>
        <w:t>tiesiogiai</w:t>
      </w:r>
      <w:r w:rsidRPr="0065344A">
        <w:rPr>
          <w:i/>
          <w:iCs/>
          <w:lang w:val="lt-LT" w:eastAsia="lt-LT"/>
        </w:rPr>
        <w:t xml:space="preserve"> </w:t>
      </w:r>
      <w:r w:rsidRPr="0065344A">
        <w:rPr>
          <w:lang w:val="lt-LT" w:eastAsia="lt-LT"/>
        </w:rPr>
        <w:t>gauna</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įstaigos</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vaistinės,</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kuriomis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bendrovė</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pasirašiusi</w:t>
      </w:r>
      <w:r w:rsidRPr="0065344A">
        <w:rPr>
          <w:i/>
          <w:iCs/>
          <w:lang w:val="lt-LT" w:eastAsia="lt-LT"/>
        </w:rPr>
        <w:t xml:space="preserve"> </w:t>
      </w:r>
      <w:r w:rsidRPr="0065344A">
        <w:rPr>
          <w:lang w:val="lt-LT" w:eastAsia="lt-LT"/>
        </w:rPr>
        <w:t>bendradarbiavimo</w:t>
      </w:r>
      <w:r w:rsidRPr="0065344A">
        <w:rPr>
          <w:i/>
          <w:iCs/>
          <w:lang w:val="lt-LT" w:eastAsia="lt-LT"/>
        </w:rPr>
        <w:t xml:space="preserve"> </w:t>
      </w:r>
      <w:r w:rsidRPr="0065344A">
        <w:rPr>
          <w:lang w:val="lt-LT" w:eastAsia="lt-LT"/>
        </w:rPr>
        <w:t>sutartis.</w:t>
      </w:r>
      <w:r w:rsidRPr="0065344A">
        <w:rPr>
          <w:i/>
          <w:iCs/>
          <w:lang w:val="lt-LT" w:eastAsia="lt-LT"/>
        </w:rPr>
        <w:t xml:space="preserve"> </w:t>
      </w:r>
    </w:p>
    <w:p w14:paraId="148944A0"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Šiuo</w:t>
      </w:r>
      <w:r w:rsidRPr="0065344A">
        <w:rPr>
          <w:i/>
          <w:iCs/>
          <w:lang w:val="lt-LT" w:eastAsia="lt-LT"/>
        </w:rPr>
        <w:t xml:space="preserve"> </w:t>
      </w:r>
      <w:r w:rsidRPr="0065344A">
        <w:rPr>
          <w:lang w:val="lt-LT" w:eastAsia="lt-LT"/>
        </w:rPr>
        <w:t>atveju</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gyventojui</w:t>
      </w:r>
      <w:r w:rsidRPr="0065344A">
        <w:rPr>
          <w:i/>
          <w:iCs/>
          <w:lang w:val="lt-LT" w:eastAsia="lt-LT"/>
        </w:rPr>
        <w:t xml:space="preserve"> </w:t>
      </w:r>
      <w:r w:rsidRPr="0065344A">
        <w:rPr>
          <w:lang w:val="lt-LT" w:eastAsia="lt-LT"/>
        </w:rPr>
        <w:t>sumoka</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teisę</w:t>
      </w:r>
      <w:r w:rsidRPr="0065344A">
        <w:rPr>
          <w:i/>
          <w:iCs/>
          <w:lang w:val="lt-LT" w:eastAsia="lt-LT"/>
        </w:rPr>
        <w:t xml:space="preserve"> </w:t>
      </w:r>
      <w:r w:rsidRPr="0065344A">
        <w:rPr>
          <w:lang w:val="lt-LT" w:eastAsia="lt-LT"/>
        </w:rPr>
        <w:t>gauti</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t.y.</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draudimu</w:t>
      </w:r>
      <w:r w:rsidRPr="0065344A">
        <w:rPr>
          <w:i/>
          <w:iCs/>
          <w:lang w:val="lt-LT" w:eastAsia="lt-LT"/>
        </w:rPr>
        <w:t xml:space="preserve"> </w:t>
      </w:r>
      <w:r w:rsidRPr="0065344A">
        <w:rPr>
          <w:lang w:val="lt-LT" w:eastAsia="lt-LT"/>
        </w:rPr>
        <w:t>draudžiama</w:t>
      </w:r>
      <w:r w:rsidRPr="0065344A">
        <w:rPr>
          <w:i/>
          <w:iCs/>
          <w:lang w:val="lt-LT" w:eastAsia="lt-LT"/>
        </w:rPr>
        <w:t xml:space="preserve"> </w:t>
      </w:r>
      <w:r w:rsidRPr="0065344A">
        <w:rPr>
          <w:lang w:val="lt-LT" w:eastAsia="lt-LT"/>
        </w:rPr>
        <w:t>rizika</w:t>
      </w:r>
      <w:r w:rsidRPr="0065344A">
        <w:rPr>
          <w:i/>
          <w:iCs/>
          <w:lang w:val="lt-LT" w:eastAsia="lt-LT"/>
        </w:rPr>
        <w:t xml:space="preserve"> </w:t>
      </w:r>
      <w:r w:rsidRPr="0065344A">
        <w:rPr>
          <w:lang w:val="lt-LT" w:eastAsia="lt-LT"/>
        </w:rPr>
        <w:t>mokėti</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darbdavio</w:t>
      </w:r>
      <w:r w:rsidRPr="0065344A">
        <w:rPr>
          <w:i/>
          <w:iCs/>
          <w:lang w:val="lt-LT" w:eastAsia="lt-LT"/>
        </w:rPr>
        <w:t xml:space="preserve"> </w:t>
      </w:r>
      <w:r w:rsidRPr="0065344A">
        <w:rPr>
          <w:lang w:val="lt-LT" w:eastAsia="lt-LT"/>
        </w:rPr>
        <w:t>sumokamos</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laikomos</w:t>
      </w:r>
      <w:r w:rsidRPr="0065344A">
        <w:rPr>
          <w:i/>
          <w:iCs/>
          <w:lang w:val="lt-LT" w:eastAsia="lt-LT"/>
        </w:rPr>
        <w:t xml:space="preserve"> </w:t>
      </w:r>
      <w:r w:rsidRPr="0065344A">
        <w:rPr>
          <w:lang w:val="lt-LT" w:eastAsia="lt-LT"/>
        </w:rPr>
        <w:t>sumokėjimu</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gydymo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priežiūros)</w:t>
      </w:r>
      <w:r w:rsidRPr="0065344A">
        <w:rPr>
          <w:i/>
          <w:iCs/>
          <w:lang w:val="lt-LT" w:eastAsia="lt-LT"/>
        </w:rPr>
        <w:t xml:space="preserve"> </w:t>
      </w:r>
      <w:r w:rsidRPr="0065344A">
        <w:rPr>
          <w:lang w:val="lt-LT" w:eastAsia="lt-LT"/>
        </w:rPr>
        <w:t>paslaugas.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gyventoją</w:t>
      </w:r>
      <w:r w:rsidRPr="0065344A">
        <w:rPr>
          <w:i/>
          <w:iCs/>
          <w:lang w:val="lt-LT" w:eastAsia="lt-LT"/>
        </w:rPr>
        <w:t xml:space="preserve"> </w:t>
      </w:r>
      <w:r w:rsidRPr="0065344A">
        <w:rPr>
          <w:lang w:val="lt-LT" w:eastAsia="lt-LT"/>
        </w:rPr>
        <w:t>sumokėtos</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įmokos</w:t>
      </w:r>
      <w:r w:rsidRPr="0065344A">
        <w:rPr>
          <w:i/>
          <w:iCs/>
          <w:lang w:val="lt-LT" w:eastAsia="lt-LT"/>
        </w:rPr>
        <w:t xml:space="preserve"> </w:t>
      </w:r>
      <w:r w:rsidRPr="0065344A">
        <w:rPr>
          <w:lang w:val="lt-LT" w:eastAsia="lt-LT"/>
        </w:rPr>
        <w:t>pagal</w:t>
      </w:r>
      <w:r w:rsidRPr="0065344A">
        <w:rPr>
          <w:i/>
          <w:iCs/>
          <w:lang w:val="lt-LT" w:eastAsia="lt-LT"/>
        </w:rPr>
        <w:t xml:space="preserve"> </w:t>
      </w:r>
      <w:bookmarkStart w:id="329" w:name="n1_3094"/>
      <w:r>
        <w:rPr>
          <w:lang w:eastAsia="lt-LT"/>
        </w:rPr>
        <w:fldChar w:fldCharType="begin"/>
      </w:r>
      <w:r w:rsidRPr="0065344A">
        <w:rPr>
          <w:lang w:val="lt-LT" w:eastAsia="lt-LT"/>
        </w:rPr>
        <w:instrText xml:space="preserve"> HYPERLINK "http://www.infolex.lt/ta/114178" \o "Lietuvos Respublikos gyventojų pajamų mokesčio įstatymas" \t "_blank" </w:instrText>
      </w:r>
      <w:r>
        <w:rPr>
          <w:lang w:eastAsia="lt-LT"/>
        </w:rPr>
        <w:fldChar w:fldCharType="separate"/>
      </w:r>
      <w:r w:rsidRPr="0065344A">
        <w:rPr>
          <w:lang w:val="lt-LT" w:eastAsia="lt-LT"/>
        </w:rPr>
        <w:t>GPMĮ</w:t>
      </w:r>
      <w:r>
        <w:rPr>
          <w:lang w:eastAsia="lt-LT"/>
        </w:rPr>
        <w:fldChar w:fldCharType="end"/>
      </w:r>
      <w:bookmarkStart w:id="330" w:name="pn1_3094"/>
      <w:bookmarkEnd w:id="329"/>
      <w:bookmarkEnd w:id="330"/>
      <w:r w:rsidRPr="0065344A">
        <w:rPr>
          <w:i/>
          <w:iCs/>
          <w:lang w:val="lt-LT" w:eastAsia="lt-LT"/>
        </w:rPr>
        <w:t xml:space="preserve"> </w:t>
      </w:r>
      <w:r w:rsidRPr="0065344A">
        <w:rPr>
          <w:lang w:val="lt-LT" w:eastAsia="lt-LT"/>
        </w:rPr>
        <w:t>17</w:t>
      </w:r>
      <w:r w:rsidRPr="0065344A">
        <w:rPr>
          <w:i/>
          <w:iCs/>
          <w:lang w:val="lt-LT" w:eastAsia="lt-LT"/>
        </w:rPr>
        <w:t xml:space="preserve"> </w:t>
      </w:r>
      <w:r w:rsidRPr="0065344A">
        <w:rPr>
          <w:lang w:val="lt-LT" w:eastAsia="lt-LT"/>
        </w:rPr>
        <w:t>str.</w:t>
      </w:r>
      <w:r w:rsidRPr="0065344A">
        <w:rPr>
          <w:i/>
          <w:iCs/>
          <w:lang w:val="lt-LT" w:eastAsia="lt-LT"/>
        </w:rPr>
        <w:t xml:space="preserve"> </w:t>
      </w:r>
      <w:r w:rsidRPr="0065344A">
        <w:rPr>
          <w:lang w:val="lt-LT" w:eastAsia="lt-LT"/>
        </w:rPr>
        <w:t>1</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14</w:t>
      </w:r>
      <w:r w:rsidRPr="0065344A">
        <w:rPr>
          <w:i/>
          <w:iCs/>
          <w:lang w:val="lt-LT" w:eastAsia="lt-LT"/>
        </w:rPr>
        <w:t xml:space="preserve"> </w:t>
      </w:r>
      <w:r w:rsidRPr="0065344A">
        <w:rPr>
          <w:lang w:val="lt-LT" w:eastAsia="lt-LT"/>
        </w:rPr>
        <w:t>punktą</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mokesčiu</w:t>
      </w:r>
      <w:r w:rsidRPr="0065344A">
        <w:rPr>
          <w:i/>
          <w:iCs/>
          <w:lang w:val="lt-LT" w:eastAsia="lt-LT"/>
        </w:rPr>
        <w:t xml:space="preserve"> </w:t>
      </w:r>
      <w:r w:rsidRPr="0065344A">
        <w:rPr>
          <w:lang w:val="lt-LT" w:eastAsia="lt-LT"/>
        </w:rPr>
        <w:t>neapmokestinamos,</w:t>
      </w:r>
      <w:r w:rsidRPr="0065344A">
        <w:rPr>
          <w:i/>
          <w:iCs/>
          <w:lang w:val="lt-LT" w:eastAsia="lt-LT"/>
        </w:rPr>
        <w:t xml:space="preserve"> </w:t>
      </w:r>
      <w:r w:rsidRPr="0065344A">
        <w:rPr>
          <w:lang w:val="lt-LT" w:eastAsia="lt-LT"/>
        </w:rPr>
        <w:t>tačiau</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papildomo</w:t>
      </w:r>
      <w:r w:rsidRPr="0065344A">
        <w:rPr>
          <w:i/>
          <w:iCs/>
          <w:lang w:val="lt-LT" w:eastAsia="lt-LT"/>
        </w:rPr>
        <w:t xml:space="preserve"> </w:t>
      </w:r>
      <w:r w:rsidRPr="0065344A">
        <w:rPr>
          <w:lang w:val="lt-LT" w:eastAsia="lt-LT"/>
        </w:rPr>
        <w:t>(savanoriško)</w:t>
      </w:r>
      <w:r w:rsidRPr="0065344A">
        <w:rPr>
          <w:i/>
          <w:iCs/>
          <w:lang w:val="lt-LT" w:eastAsia="lt-LT"/>
        </w:rPr>
        <w:t xml:space="preserve"> </w:t>
      </w:r>
      <w:r w:rsidRPr="0065344A">
        <w:rPr>
          <w:lang w:val="lt-LT" w:eastAsia="lt-LT"/>
        </w:rPr>
        <w:t>sveikatos</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įmokų</w:t>
      </w:r>
      <w:r w:rsidRPr="0065344A">
        <w:rPr>
          <w:i/>
          <w:iCs/>
          <w:lang w:val="lt-LT" w:eastAsia="lt-LT"/>
        </w:rPr>
        <w:t xml:space="preserve"> </w:t>
      </w:r>
      <w:r w:rsidRPr="0065344A">
        <w:rPr>
          <w:lang w:val="lt-LT" w:eastAsia="lt-LT"/>
        </w:rPr>
        <w:t>suma</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p>
    <w:p w14:paraId="711A5C47" w14:textId="77777777" w:rsidR="00093845" w:rsidRDefault="000D779E">
      <w:pPr>
        <w:ind w:firstLine="993"/>
        <w:jc w:val="both"/>
        <w:rPr>
          <w:lang w:eastAsia="lt-LT"/>
        </w:rPr>
      </w:pPr>
      <w:r>
        <w:rPr>
          <w:iCs/>
          <w:lang w:eastAsia="lt-LT"/>
        </w:rPr>
        <w:lastRenderedPageBreak/>
        <w:t>(</w:t>
      </w:r>
      <w:bookmarkStart w:id="331" w:name="n1_3099"/>
      <w:r w:rsidRPr="004A5C6E">
        <w:rPr>
          <w:iCs/>
          <w:lang w:eastAsia="lt-LT"/>
        </w:rPr>
        <w:fldChar w:fldCharType="begin"/>
      </w:r>
      <w:r w:rsidRPr="00D408F5">
        <w:rPr>
          <w:iCs/>
          <w:lang w:eastAsia="lt-LT"/>
        </w:rPr>
        <w:instrText xml:space="preserve"> HYPERLINK "http://www.infolex.lt/ta/12868" \o "Lietuvos Respublikos pelno mokesčio įstatymas" \t "_blank" </w:instrText>
      </w:r>
      <w:r w:rsidRPr="004A5C6E">
        <w:rPr>
          <w:iCs/>
          <w:lang w:eastAsia="lt-LT"/>
        </w:rPr>
        <w:fldChar w:fldCharType="separate"/>
      </w:r>
      <w:r w:rsidRPr="00477AF7">
        <w:rPr>
          <w:iCs/>
          <w:lang w:eastAsia="lt-LT"/>
        </w:rPr>
        <w:t>PMĮ</w:t>
      </w:r>
      <w:r w:rsidRPr="004A5C6E">
        <w:rPr>
          <w:iCs/>
          <w:lang w:eastAsia="lt-LT"/>
        </w:rPr>
        <w:fldChar w:fldCharType="end"/>
      </w:r>
      <w:bookmarkStart w:id="332" w:name="pn1_3099"/>
      <w:bookmarkEnd w:id="331"/>
      <w:bookmarkEnd w:id="332"/>
      <w:r w:rsidRPr="004A5C6E">
        <w:rPr>
          <w:iCs/>
          <w:lang w:eastAsia="lt-LT"/>
        </w:rPr>
        <w:t xml:space="preserve"> </w:t>
      </w:r>
      <w:bookmarkStart w:id="333" w:name="n1_3100"/>
      <w:r w:rsidRPr="004A5C6E">
        <w:rPr>
          <w:iCs/>
          <w:lang w:eastAsia="lt-LT"/>
        </w:rPr>
        <w:fldChar w:fldCharType="begin"/>
      </w:r>
      <w:r w:rsidRPr="00D408F5">
        <w:rPr>
          <w:iCs/>
          <w:lang w:eastAsia="lt-LT"/>
        </w:rPr>
        <w:instrText xml:space="preserve"> HYPERLINK "JavaScript:OL('12868','17')" \o "Leidžiamų atskaitymų pripažinimo tvarka (str. 17)" </w:instrText>
      </w:r>
      <w:r w:rsidRPr="004A5C6E">
        <w:rPr>
          <w:iCs/>
          <w:lang w:eastAsia="lt-LT"/>
        </w:rPr>
        <w:fldChar w:fldCharType="separate"/>
      </w:r>
      <w:r w:rsidRPr="00477AF7">
        <w:rPr>
          <w:iCs/>
          <w:lang w:eastAsia="lt-LT"/>
        </w:rPr>
        <w:t>17</w:t>
      </w:r>
      <w:r w:rsidRPr="004A5C6E">
        <w:rPr>
          <w:iCs/>
          <w:lang w:eastAsia="lt-LT"/>
        </w:rPr>
        <w:fldChar w:fldCharType="end"/>
      </w:r>
      <w:bookmarkStart w:id="334" w:name="pn1_3100"/>
      <w:bookmarkEnd w:id="333"/>
      <w:bookmarkEnd w:id="334"/>
      <w:r>
        <w:rPr>
          <w:iCs/>
          <w:lang w:eastAsia="lt-LT"/>
        </w:rPr>
        <w:t xml:space="preserve"> straipsnio 1 dalies komentaro 6.30.1 punktas papildytas pagal VMI prie FM 2012-04-26 raštą Nr. (18.10-31-1)-R-3595)).</w:t>
      </w:r>
    </w:p>
    <w:p w14:paraId="1B530BCD" w14:textId="77777777" w:rsidR="00093845" w:rsidRDefault="000D779E">
      <w:pPr>
        <w:ind w:firstLine="993"/>
        <w:jc w:val="both"/>
        <w:rPr>
          <w:lang w:eastAsia="lt-LT"/>
        </w:rPr>
      </w:pPr>
      <w:r>
        <w:rPr>
          <w:lang w:eastAsia="lt-LT"/>
        </w:rPr>
        <w:t>6.30.2.</w:t>
      </w:r>
      <w:r>
        <w:rPr>
          <w:i/>
          <w:iCs/>
          <w:lang w:eastAsia="lt-LT"/>
        </w:rPr>
        <w:t xml:space="preserve"> </w:t>
      </w:r>
      <w:r>
        <w:rPr>
          <w:lang w:eastAsia="lt-LT"/>
        </w:rPr>
        <w:t>Jeigu</w:t>
      </w:r>
      <w:r>
        <w:rPr>
          <w:i/>
          <w:iCs/>
          <w:lang w:eastAsia="lt-LT"/>
        </w:rPr>
        <w:t xml:space="preserve"> </w:t>
      </w:r>
      <w:r>
        <w:rPr>
          <w:lang w:eastAsia="lt-LT"/>
        </w:rPr>
        <w:t>vienetas</w:t>
      </w:r>
      <w:r>
        <w:rPr>
          <w:i/>
          <w:iCs/>
          <w:lang w:eastAsia="lt-LT"/>
        </w:rPr>
        <w:t xml:space="preserve"> </w:t>
      </w:r>
      <w:r>
        <w:rPr>
          <w:lang w:eastAsia="lt-LT"/>
        </w:rPr>
        <w:t>leidžia</w:t>
      </w:r>
      <w:r>
        <w:rPr>
          <w:i/>
          <w:iCs/>
          <w:lang w:eastAsia="lt-LT"/>
        </w:rPr>
        <w:t xml:space="preserve"> </w:t>
      </w:r>
      <w:r>
        <w:rPr>
          <w:lang w:eastAsia="lt-LT"/>
        </w:rPr>
        <w:t>darbuotojui</w:t>
      </w:r>
      <w:r>
        <w:rPr>
          <w:i/>
          <w:iCs/>
          <w:lang w:eastAsia="lt-LT"/>
        </w:rPr>
        <w:t xml:space="preserve"> </w:t>
      </w:r>
      <w:r>
        <w:rPr>
          <w:lang w:eastAsia="lt-LT"/>
        </w:rPr>
        <w:t>naudotis</w:t>
      </w:r>
      <w:r>
        <w:rPr>
          <w:i/>
          <w:iCs/>
          <w:lang w:eastAsia="lt-LT"/>
        </w:rPr>
        <w:t xml:space="preserve"> </w:t>
      </w:r>
      <w:r>
        <w:rPr>
          <w:lang w:eastAsia="lt-LT"/>
        </w:rPr>
        <w:t>bendrovei</w:t>
      </w:r>
      <w:r>
        <w:rPr>
          <w:i/>
          <w:iCs/>
          <w:lang w:eastAsia="lt-LT"/>
        </w:rPr>
        <w:t xml:space="preserve"> </w:t>
      </w:r>
      <w:r>
        <w:rPr>
          <w:lang w:eastAsia="lt-LT"/>
        </w:rPr>
        <w:t>priklausančiu</w:t>
      </w:r>
      <w:r>
        <w:rPr>
          <w:i/>
          <w:iCs/>
          <w:lang w:eastAsia="lt-LT"/>
        </w:rPr>
        <w:t xml:space="preserve"> </w:t>
      </w:r>
      <w:r>
        <w:rPr>
          <w:lang w:eastAsia="lt-LT"/>
        </w:rPr>
        <w:t>automobiliu</w:t>
      </w:r>
      <w:r>
        <w:rPr>
          <w:i/>
          <w:iCs/>
          <w:lang w:eastAsia="lt-LT"/>
        </w:rPr>
        <w:t xml:space="preserve"> </w:t>
      </w:r>
      <w:r>
        <w:rPr>
          <w:lang w:eastAsia="lt-LT"/>
        </w:rPr>
        <w:t>ne</w:t>
      </w:r>
      <w:r>
        <w:rPr>
          <w:i/>
          <w:iCs/>
          <w:lang w:eastAsia="lt-LT"/>
        </w:rPr>
        <w:t xml:space="preserve"> </w:t>
      </w:r>
      <w:r>
        <w:rPr>
          <w:lang w:eastAsia="lt-LT"/>
        </w:rPr>
        <w:t>tik</w:t>
      </w:r>
      <w:r>
        <w:rPr>
          <w:i/>
          <w:iCs/>
          <w:lang w:eastAsia="lt-LT"/>
        </w:rPr>
        <w:t xml:space="preserve"> </w:t>
      </w:r>
      <w:r>
        <w:rPr>
          <w:lang w:eastAsia="lt-LT"/>
        </w:rPr>
        <w:t>darbo</w:t>
      </w:r>
      <w:r>
        <w:rPr>
          <w:i/>
          <w:iCs/>
          <w:lang w:eastAsia="lt-LT"/>
        </w:rPr>
        <w:t xml:space="preserve"> </w:t>
      </w:r>
      <w:r>
        <w:rPr>
          <w:lang w:eastAsia="lt-LT"/>
        </w:rPr>
        <w:t>tikslais</w:t>
      </w:r>
      <w:r>
        <w:rPr>
          <w:i/>
          <w:iCs/>
          <w:lang w:eastAsia="lt-LT"/>
        </w:rPr>
        <w:t xml:space="preserve"> </w:t>
      </w:r>
      <w:r>
        <w:rPr>
          <w:lang w:eastAsia="lt-LT"/>
        </w:rPr>
        <w:t>ir</w:t>
      </w:r>
      <w:r>
        <w:rPr>
          <w:i/>
          <w:iCs/>
          <w:lang w:eastAsia="lt-LT"/>
        </w:rPr>
        <w:t xml:space="preserve"> </w:t>
      </w:r>
      <w:r>
        <w:rPr>
          <w:lang w:eastAsia="lt-LT"/>
        </w:rPr>
        <w:t>toks</w:t>
      </w:r>
      <w:r>
        <w:rPr>
          <w:i/>
          <w:iCs/>
          <w:lang w:eastAsia="lt-LT"/>
        </w:rPr>
        <w:t xml:space="preserve"> </w:t>
      </w:r>
      <w:r>
        <w:rPr>
          <w:lang w:eastAsia="lt-LT"/>
        </w:rPr>
        <w:t>automobilio</w:t>
      </w:r>
      <w:r>
        <w:rPr>
          <w:i/>
          <w:iCs/>
          <w:lang w:eastAsia="lt-LT"/>
        </w:rPr>
        <w:t xml:space="preserve"> </w:t>
      </w:r>
      <w:r>
        <w:rPr>
          <w:lang w:eastAsia="lt-LT"/>
        </w:rPr>
        <w:t>naudojimas</w:t>
      </w:r>
      <w:r>
        <w:rPr>
          <w:i/>
          <w:iCs/>
          <w:lang w:eastAsia="lt-LT"/>
        </w:rPr>
        <w:t xml:space="preserve"> </w:t>
      </w:r>
      <w:r>
        <w:rPr>
          <w:lang w:eastAsia="lt-LT"/>
        </w:rPr>
        <w:t>pripažįstamas</w:t>
      </w:r>
      <w:r>
        <w:rPr>
          <w:i/>
          <w:iCs/>
          <w:lang w:eastAsia="lt-LT"/>
        </w:rPr>
        <w:t xml:space="preserve"> </w:t>
      </w:r>
      <w:r>
        <w:rPr>
          <w:lang w:eastAsia="lt-LT"/>
        </w:rPr>
        <w:t>darbuotojo</w:t>
      </w:r>
      <w:r>
        <w:rPr>
          <w:i/>
          <w:iCs/>
          <w:lang w:eastAsia="lt-LT"/>
        </w:rPr>
        <w:t xml:space="preserve"> </w:t>
      </w:r>
      <w:r>
        <w:rPr>
          <w:lang w:eastAsia="lt-LT"/>
        </w:rPr>
        <w:t>pajamomis</w:t>
      </w:r>
      <w:r>
        <w:rPr>
          <w:i/>
          <w:iCs/>
          <w:lang w:eastAsia="lt-LT"/>
        </w:rPr>
        <w:t xml:space="preserve"> </w:t>
      </w:r>
      <w:r>
        <w:rPr>
          <w:lang w:eastAsia="lt-LT"/>
        </w:rPr>
        <w:t>natūra p</w:t>
      </w:r>
      <w:r>
        <w:t xml:space="preserve">agal </w:t>
      </w:r>
      <w:r>
        <w:rPr>
          <w:lang w:eastAsia="lt-LT"/>
        </w:rPr>
        <w:t>LR finansų ministro 2009 m. gegužės 19 d. įsakymu Nr. 1K-162 patvirtintą Pajamų, gautų natūra, įvertinimo tvarkos aprašą</w:t>
      </w:r>
      <w:r>
        <w:rPr>
          <w:i/>
          <w:iCs/>
          <w:lang w:eastAsia="lt-LT"/>
        </w:rPr>
        <w:t xml:space="preserve"> </w:t>
      </w:r>
      <w:r>
        <w:rPr>
          <w:lang w:eastAsia="lt-LT"/>
        </w:rPr>
        <w:t>bei apmokestinamos</w:t>
      </w:r>
      <w:r>
        <w:rPr>
          <w:i/>
          <w:iCs/>
          <w:lang w:eastAsia="lt-LT"/>
        </w:rPr>
        <w:t xml:space="preserve"> </w:t>
      </w:r>
      <w:r>
        <w:rPr>
          <w:lang w:eastAsia="lt-LT"/>
        </w:rPr>
        <w:t>kaip</w:t>
      </w:r>
      <w:r>
        <w:rPr>
          <w:i/>
          <w:iCs/>
          <w:lang w:eastAsia="lt-LT"/>
        </w:rPr>
        <w:t xml:space="preserve"> </w:t>
      </w:r>
      <w:r>
        <w:rPr>
          <w:lang w:eastAsia="lt-LT"/>
        </w:rPr>
        <w:t>su</w:t>
      </w:r>
      <w:r>
        <w:rPr>
          <w:i/>
          <w:iCs/>
          <w:lang w:eastAsia="lt-LT"/>
        </w:rPr>
        <w:t xml:space="preserve"> </w:t>
      </w:r>
      <w:r>
        <w:rPr>
          <w:lang w:eastAsia="lt-LT"/>
        </w:rPr>
        <w:t>darbo</w:t>
      </w:r>
      <w:r>
        <w:rPr>
          <w:i/>
          <w:iCs/>
          <w:lang w:eastAsia="lt-LT"/>
        </w:rPr>
        <w:t xml:space="preserve"> </w:t>
      </w:r>
      <w:r>
        <w:rPr>
          <w:lang w:eastAsia="lt-LT"/>
        </w:rPr>
        <w:t>santykiais</w:t>
      </w:r>
      <w:r>
        <w:rPr>
          <w:i/>
          <w:iCs/>
          <w:lang w:eastAsia="lt-LT"/>
        </w:rPr>
        <w:t xml:space="preserve"> </w:t>
      </w:r>
      <w:r>
        <w:rPr>
          <w:lang w:eastAsia="lt-LT"/>
        </w:rPr>
        <w:t>susijusios</w:t>
      </w:r>
      <w:r>
        <w:rPr>
          <w:i/>
          <w:iCs/>
          <w:lang w:eastAsia="lt-LT"/>
        </w:rPr>
        <w:t xml:space="preserve"> </w:t>
      </w:r>
      <w:r>
        <w:rPr>
          <w:lang w:eastAsia="lt-LT"/>
        </w:rPr>
        <w:t>pajamos,</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priskiriamos</w:t>
      </w:r>
      <w:r>
        <w:rPr>
          <w:i/>
          <w:iCs/>
          <w:lang w:eastAsia="lt-LT"/>
        </w:rPr>
        <w:t xml:space="preserve"> </w:t>
      </w:r>
      <w:r>
        <w:rPr>
          <w:lang w:eastAsia="lt-LT"/>
        </w:rPr>
        <w:t>to</w:t>
      </w:r>
      <w:r>
        <w:rPr>
          <w:i/>
          <w:iCs/>
          <w:lang w:eastAsia="lt-LT"/>
        </w:rPr>
        <w:t xml:space="preserve"> </w:t>
      </w:r>
      <w:r>
        <w:rPr>
          <w:lang w:eastAsia="lt-LT"/>
        </w:rPr>
        <w:t>automobilio</w:t>
      </w:r>
      <w:r>
        <w:rPr>
          <w:i/>
          <w:iCs/>
          <w:lang w:eastAsia="lt-LT"/>
        </w:rPr>
        <w:t xml:space="preserve"> </w:t>
      </w:r>
      <w:r>
        <w:rPr>
          <w:lang w:eastAsia="lt-LT"/>
        </w:rPr>
        <w:t>visos</w:t>
      </w:r>
      <w:r>
        <w:rPr>
          <w:i/>
          <w:iCs/>
          <w:lang w:eastAsia="lt-LT"/>
        </w:rPr>
        <w:t xml:space="preserve"> </w:t>
      </w:r>
      <w:r>
        <w:rPr>
          <w:lang w:eastAsia="lt-LT"/>
        </w:rPr>
        <w:t>nusidėvėjimo,</w:t>
      </w:r>
      <w:r>
        <w:rPr>
          <w:i/>
          <w:iCs/>
          <w:lang w:eastAsia="lt-LT"/>
        </w:rPr>
        <w:t xml:space="preserve"> </w:t>
      </w:r>
      <w:r>
        <w:rPr>
          <w:lang w:eastAsia="lt-LT"/>
        </w:rPr>
        <w:t>draudimo,</w:t>
      </w:r>
      <w:r>
        <w:rPr>
          <w:b/>
          <w:bCs/>
          <w:i/>
          <w:iCs/>
          <w:lang w:eastAsia="lt-LT"/>
        </w:rPr>
        <w:t xml:space="preserve"> </w:t>
      </w:r>
      <w:r>
        <w:rPr>
          <w:lang w:eastAsia="lt-LT"/>
        </w:rPr>
        <w:t>eksploatavimo</w:t>
      </w:r>
      <w:r>
        <w:rPr>
          <w:i/>
          <w:iCs/>
          <w:lang w:eastAsia="lt-LT"/>
        </w:rPr>
        <w:t xml:space="preserve"> </w:t>
      </w:r>
      <w:r>
        <w:rPr>
          <w:lang w:eastAsia="lt-LT"/>
        </w:rPr>
        <w:t>ir</w:t>
      </w:r>
      <w:r>
        <w:rPr>
          <w:i/>
          <w:iCs/>
          <w:lang w:eastAsia="lt-LT"/>
        </w:rPr>
        <w:t xml:space="preserve"> </w:t>
      </w:r>
      <w:r>
        <w:rPr>
          <w:lang w:eastAsia="lt-LT"/>
        </w:rPr>
        <w:t>remonto</w:t>
      </w:r>
      <w:r>
        <w:rPr>
          <w:i/>
          <w:iCs/>
          <w:lang w:eastAsia="lt-LT"/>
        </w:rPr>
        <w:t xml:space="preserve"> </w:t>
      </w:r>
      <w:r>
        <w:rPr>
          <w:lang w:eastAsia="lt-LT"/>
        </w:rPr>
        <w:t>išlaidos.</w:t>
      </w:r>
    </w:p>
    <w:p w14:paraId="5BF882A0" w14:textId="77777777" w:rsidR="00093845" w:rsidRPr="0065344A" w:rsidRDefault="00F425B3">
      <w:pPr>
        <w:ind w:firstLine="720"/>
        <w:jc w:val="both"/>
        <w:rPr>
          <w:lang w:val="lt-LT"/>
        </w:rPr>
      </w:pPr>
      <w:r>
        <w:rPr>
          <w:iCs/>
          <w:lang w:val="lt-LT"/>
        </w:rPr>
        <w:t xml:space="preserve">  </w:t>
      </w:r>
      <w:r w:rsidR="000D779E">
        <w:rPr>
          <w:iCs/>
          <w:lang w:val="lt-LT"/>
        </w:rPr>
        <w:t>(Pakeistas 17 str. 1 dalies 6.30 punkto 2 papunktis VMI prie FM 2016-05-16 raštu Nr. (18.32-31-1E)</w:t>
      </w:r>
      <w:r>
        <w:rPr>
          <w:iCs/>
          <w:lang w:val="lt-LT"/>
        </w:rPr>
        <w:t xml:space="preserve"> </w:t>
      </w:r>
      <w:r w:rsidR="000D779E">
        <w:rPr>
          <w:iCs/>
          <w:lang w:val="lt-LT"/>
        </w:rPr>
        <w:t>RM-14067)</w:t>
      </w:r>
    </w:p>
    <w:p w14:paraId="67B81515" w14:textId="77777777" w:rsidR="00093845" w:rsidRPr="0065344A" w:rsidRDefault="000D779E">
      <w:pPr>
        <w:ind w:firstLine="993"/>
        <w:jc w:val="both"/>
        <w:rPr>
          <w:lang w:val="lt-LT" w:eastAsia="lt-LT"/>
        </w:rPr>
      </w:pPr>
      <w:r w:rsidRPr="0065344A">
        <w:rPr>
          <w:lang w:val="lt-LT" w:eastAsia="lt-LT"/>
        </w:rPr>
        <w:t>6.30.3.</w:t>
      </w:r>
      <w:r w:rsidRPr="0065344A">
        <w:rPr>
          <w:i/>
          <w:iCs/>
          <w:lang w:val="lt-LT" w:eastAsia="lt-LT"/>
        </w:rPr>
        <w:t xml:space="preserve"> </w:t>
      </w:r>
      <w:r w:rsidRPr="0065344A">
        <w:rPr>
          <w:lang w:val="lt-LT" w:eastAsia="lt-LT"/>
        </w:rPr>
        <w:t>Jeigu</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leidžia</w:t>
      </w:r>
      <w:r w:rsidRPr="0065344A">
        <w:rPr>
          <w:i/>
          <w:iCs/>
          <w:lang w:val="lt-LT" w:eastAsia="lt-LT"/>
        </w:rPr>
        <w:t xml:space="preserve"> </w:t>
      </w:r>
      <w:r w:rsidRPr="0065344A">
        <w:rPr>
          <w:lang w:val="lt-LT" w:eastAsia="lt-LT"/>
        </w:rPr>
        <w:t>darbuotojui</w:t>
      </w:r>
      <w:r w:rsidRPr="0065344A">
        <w:rPr>
          <w:i/>
          <w:iCs/>
          <w:lang w:val="lt-LT" w:eastAsia="lt-LT"/>
        </w:rPr>
        <w:t xml:space="preserve"> </w:t>
      </w:r>
      <w:r w:rsidRPr="0065344A">
        <w:rPr>
          <w:lang w:val="lt-LT" w:eastAsia="lt-LT"/>
        </w:rPr>
        <w:t>nemokamai</w:t>
      </w:r>
      <w:r w:rsidRPr="0065344A">
        <w:rPr>
          <w:i/>
          <w:iCs/>
          <w:lang w:val="lt-LT" w:eastAsia="lt-LT"/>
        </w:rPr>
        <w:t xml:space="preserve"> </w:t>
      </w:r>
      <w:r w:rsidRPr="0065344A">
        <w:rPr>
          <w:lang w:val="lt-LT" w:eastAsia="lt-LT"/>
        </w:rPr>
        <w:t>naudotis</w:t>
      </w:r>
      <w:r w:rsidRPr="0065344A">
        <w:rPr>
          <w:i/>
          <w:iCs/>
          <w:lang w:val="lt-LT" w:eastAsia="lt-LT"/>
        </w:rPr>
        <w:t xml:space="preserve"> </w:t>
      </w:r>
      <w:r w:rsidRPr="0065344A">
        <w:rPr>
          <w:lang w:val="lt-LT" w:eastAsia="lt-LT"/>
        </w:rPr>
        <w:t>vienetui</w:t>
      </w:r>
      <w:r w:rsidRPr="0065344A">
        <w:rPr>
          <w:i/>
          <w:iCs/>
          <w:lang w:val="lt-LT" w:eastAsia="lt-LT"/>
        </w:rPr>
        <w:t xml:space="preserve"> </w:t>
      </w:r>
      <w:r w:rsidRPr="0065344A">
        <w:rPr>
          <w:lang w:val="lt-LT" w:eastAsia="lt-LT"/>
        </w:rPr>
        <w:t>priklausančiu</w:t>
      </w:r>
      <w:r w:rsidRPr="0065344A">
        <w:rPr>
          <w:i/>
          <w:iCs/>
          <w:lang w:val="lt-LT" w:eastAsia="lt-LT"/>
        </w:rPr>
        <w:t xml:space="preserve"> </w:t>
      </w:r>
      <w:r w:rsidRPr="0065344A">
        <w:rPr>
          <w:lang w:val="lt-LT" w:eastAsia="lt-LT"/>
        </w:rPr>
        <w:t>kitu</w:t>
      </w:r>
      <w:r w:rsidRPr="0065344A">
        <w:rPr>
          <w:i/>
          <w:iCs/>
          <w:lang w:val="lt-LT" w:eastAsia="lt-LT"/>
        </w:rPr>
        <w:t xml:space="preserve"> </w:t>
      </w:r>
      <w:r w:rsidRPr="0065344A">
        <w:rPr>
          <w:lang w:val="lt-LT" w:eastAsia="lt-LT"/>
        </w:rPr>
        <w:t>turtu</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tikslais,</w:t>
      </w:r>
      <w:r w:rsidRPr="0065344A">
        <w:rPr>
          <w:i/>
          <w:iCs/>
          <w:lang w:val="lt-LT" w:eastAsia="lt-LT"/>
        </w:rPr>
        <w:t xml:space="preserve"> </w:t>
      </w:r>
      <w:r w:rsidRPr="0065344A">
        <w:rPr>
          <w:lang w:val="lt-LT" w:eastAsia="lt-LT"/>
        </w:rPr>
        <w:t>bet</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privatiems</w:t>
      </w:r>
      <w:r w:rsidRPr="0065344A">
        <w:rPr>
          <w:i/>
          <w:iCs/>
          <w:lang w:val="lt-LT" w:eastAsia="lt-LT"/>
        </w:rPr>
        <w:t xml:space="preserve"> </w:t>
      </w:r>
      <w:r w:rsidRPr="0065344A">
        <w:rPr>
          <w:lang w:val="lt-LT" w:eastAsia="lt-LT"/>
        </w:rPr>
        <w:t>poreikiams</w:t>
      </w:r>
      <w:r w:rsidRPr="0065344A">
        <w:rPr>
          <w:i/>
          <w:iCs/>
          <w:lang w:val="lt-LT" w:eastAsia="lt-LT"/>
        </w:rPr>
        <w:t xml:space="preserve"> </w:t>
      </w:r>
      <w:r w:rsidRPr="0065344A">
        <w:rPr>
          <w:lang w:val="lt-LT" w:eastAsia="lt-LT"/>
        </w:rPr>
        <w:t>tenkinti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toks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naudojimas</w:t>
      </w:r>
      <w:r w:rsidRPr="0065344A">
        <w:rPr>
          <w:i/>
          <w:iCs/>
          <w:lang w:val="lt-LT" w:eastAsia="lt-LT"/>
        </w:rPr>
        <w:t xml:space="preserve"> </w:t>
      </w:r>
      <w:r w:rsidRPr="0065344A">
        <w:rPr>
          <w:lang w:val="lt-LT" w:eastAsia="lt-LT"/>
        </w:rPr>
        <w:t>pripažįstamas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tai</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nusidėvėjimo,</w:t>
      </w:r>
      <w:r w:rsidRPr="0065344A">
        <w:rPr>
          <w:i/>
          <w:iCs/>
          <w:lang w:val="lt-LT" w:eastAsia="lt-LT"/>
        </w:rPr>
        <w:t xml:space="preserve"> </w:t>
      </w:r>
      <w:r w:rsidRPr="0065344A">
        <w:rPr>
          <w:lang w:val="lt-LT" w:eastAsia="lt-LT"/>
        </w:rPr>
        <w:t>draudimo,</w:t>
      </w:r>
      <w:r w:rsidRPr="0065344A">
        <w:rPr>
          <w:i/>
          <w:iCs/>
          <w:lang w:val="lt-LT" w:eastAsia="lt-LT"/>
        </w:rPr>
        <w:t xml:space="preserve"> </w:t>
      </w:r>
      <w:r w:rsidRPr="0065344A">
        <w:rPr>
          <w:lang w:val="lt-LT" w:eastAsia="lt-LT"/>
        </w:rPr>
        <w:t>eksploatavimo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remonto</w:t>
      </w:r>
      <w:r w:rsidRPr="0065344A">
        <w:rPr>
          <w:i/>
          <w:iCs/>
          <w:lang w:val="lt-LT" w:eastAsia="lt-LT"/>
        </w:rPr>
        <w:t xml:space="preserve"> </w:t>
      </w:r>
      <w:r w:rsidRPr="0065344A">
        <w:rPr>
          <w:lang w:val="lt-LT" w:eastAsia="lt-LT"/>
        </w:rPr>
        <w:t>išlaidos.</w:t>
      </w:r>
    </w:p>
    <w:p w14:paraId="1C0DA21E" w14:textId="77777777" w:rsidR="00093845" w:rsidRPr="0065344A" w:rsidRDefault="000D779E">
      <w:pPr>
        <w:ind w:firstLine="993"/>
        <w:jc w:val="both"/>
        <w:rPr>
          <w:lang w:val="lt-LT" w:eastAsia="lt-LT"/>
        </w:rPr>
      </w:pPr>
      <w:r w:rsidRPr="0065344A">
        <w:rPr>
          <w:lang w:val="lt-LT" w:eastAsia="lt-LT"/>
        </w:rPr>
        <w:t>6.30.4.</w:t>
      </w:r>
      <w:r w:rsidRPr="0065344A">
        <w:rPr>
          <w:i/>
          <w:iCs/>
          <w:lang w:val="lt-LT" w:eastAsia="lt-LT"/>
        </w:rPr>
        <w:t xml:space="preserve"> </w:t>
      </w:r>
      <w:r w:rsidRPr="0065344A">
        <w:rPr>
          <w:lang w:val="lt-LT" w:eastAsia="lt-LT"/>
        </w:rPr>
        <w:t>Tais</w:t>
      </w:r>
      <w:r w:rsidRPr="0065344A">
        <w:rPr>
          <w:i/>
          <w:iCs/>
          <w:lang w:val="lt-LT" w:eastAsia="lt-LT"/>
        </w:rPr>
        <w:t xml:space="preserve"> </w:t>
      </w:r>
      <w:r w:rsidRPr="0065344A">
        <w:rPr>
          <w:lang w:val="lt-LT" w:eastAsia="lt-LT"/>
        </w:rPr>
        <w:t>atvejais,</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išlaidas</w:t>
      </w:r>
      <w:r w:rsidRPr="0065344A">
        <w:rPr>
          <w:i/>
          <w:iCs/>
          <w:lang w:val="lt-LT" w:eastAsia="lt-LT"/>
        </w:rPr>
        <w:t xml:space="preserve"> </w:t>
      </w:r>
      <w:r w:rsidRPr="0065344A">
        <w:rPr>
          <w:lang w:val="lt-LT" w:eastAsia="lt-LT"/>
        </w:rPr>
        <w:t>patiria</w:t>
      </w:r>
      <w:r w:rsidRPr="0065344A">
        <w:rPr>
          <w:i/>
          <w:iCs/>
          <w:lang w:val="lt-LT" w:eastAsia="lt-LT"/>
        </w:rPr>
        <w:t xml:space="preserve"> </w:t>
      </w:r>
      <w:r w:rsidRPr="0065344A">
        <w:rPr>
          <w:lang w:val="lt-LT" w:eastAsia="lt-LT"/>
        </w:rPr>
        <w:t>ne</w:t>
      </w:r>
      <w:r w:rsidRPr="0065344A">
        <w:rPr>
          <w:i/>
          <w:iCs/>
          <w:lang w:val="lt-LT" w:eastAsia="lt-LT"/>
        </w:rPr>
        <w:t xml:space="preserve"> </w:t>
      </w:r>
      <w:r w:rsidRPr="0065344A">
        <w:rPr>
          <w:lang w:val="lt-LT" w:eastAsia="lt-LT"/>
        </w:rPr>
        <w:t>tik</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šeimų</w:t>
      </w:r>
      <w:r w:rsidRPr="0065344A">
        <w:rPr>
          <w:i/>
          <w:iCs/>
          <w:lang w:val="lt-LT" w:eastAsia="lt-LT"/>
        </w:rPr>
        <w:t xml:space="preserve"> </w:t>
      </w:r>
      <w:r w:rsidRPr="0065344A">
        <w:rPr>
          <w:lang w:val="lt-LT" w:eastAsia="lt-LT"/>
        </w:rPr>
        <w:t>narių</w:t>
      </w:r>
      <w:r w:rsidRPr="0065344A">
        <w:rPr>
          <w:i/>
          <w:iCs/>
          <w:lang w:val="lt-LT" w:eastAsia="lt-LT"/>
        </w:rPr>
        <w:t xml:space="preserve"> </w:t>
      </w:r>
      <w:r w:rsidRPr="0065344A">
        <w:rPr>
          <w:lang w:val="lt-LT" w:eastAsia="lt-LT"/>
        </w:rPr>
        <w:t>(sutuoktinių,</w:t>
      </w:r>
      <w:r w:rsidRPr="0065344A">
        <w:rPr>
          <w:i/>
          <w:iCs/>
          <w:lang w:val="lt-LT" w:eastAsia="lt-LT"/>
        </w:rPr>
        <w:t xml:space="preserve"> </w:t>
      </w:r>
      <w:r w:rsidRPr="0065344A">
        <w:rPr>
          <w:lang w:val="lt-LT" w:eastAsia="lt-LT"/>
        </w:rPr>
        <w:t>vaikų</w:t>
      </w:r>
      <w:r w:rsidRPr="0065344A">
        <w:rPr>
          <w:i/>
          <w:iCs/>
          <w:lang w:val="lt-LT" w:eastAsia="lt-LT"/>
        </w:rPr>
        <w:t xml:space="preserve"> </w:t>
      </w:r>
      <w:r w:rsidRPr="0065344A">
        <w:rPr>
          <w:lang w:val="lt-LT" w:eastAsia="lt-LT"/>
        </w:rPr>
        <w:t>(įvaikių)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galima</w:t>
      </w:r>
      <w:r w:rsidRPr="0065344A">
        <w:rPr>
          <w:i/>
          <w:iCs/>
          <w:lang w:val="lt-LT" w:eastAsia="lt-LT"/>
        </w:rPr>
        <w:t xml:space="preserve"> </w:t>
      </w:r>
      <w:r w:rsidRPr="0065344A">
        <w:rPr>
          <w:lang w:val="lt-LT" w:eastAsia="lt-LT"/>
        </w:rPr>
        <w:t>identifikuoti</w:t>
      </w:r>
      <w:r w:rsidRPr="0065344A">
        <w:rPr>
          <w:i/>
          <w:iCs/>
          <w:lang w:val="lt-LT" w:eastAsia="lt-LT"/>
        </w:rPr>
        <w:t xml:space="preserve"> </w:t>
      </w:r>
      <w:r w:rsidRPr="0065344A">
        <w:rPr>
          <w:lang w:val="lt-LT" w:eastAsia="lt-LT"/>
        </w:rPr>
        <w:t>kiekvieno</w:t>
      </w:r>
      <w:r w:rsidRPr="0065344A">
        <w:rPr>
          <w:i/>
          <w:iCs/>
          <w:lang w:val="lt-LT" w:eastAsia="lt-LT"/>
        </w:rPr>
        <w:t xml:space="preserve"> </w:t>
      </w:r>
      <w:r w:rsidRPr="0065344A">
        <w:rPr>
          <w:lang w:val="lt-LT" w:eastAsia="lt-LT"/>
        </w:rPr>
        <w:t>asmens</w:t>
      </w:r>
      <w:r w:rsidRPr="0065344A">
        <w:rPr>
          <w:i/>
          <w:iCs/>
          <w:lang w:val="lt-LT" w:eastAsia="lt-LT"/>
        </w:rPr>
        <w:t xml:space="preserve"> </w:t>
      </w:r>
      <w:r w:rsidRPr="0065344A">
        <w:rPr>
          <w:lang w:val="lt-LT" w:eastAsia="lt-LT"/>
        </w:rPr>
        <w:t>gautą</w:t>
      </w:r>
      <w:r w:rsidRPr="0065344A">
        <w:rPr>
          <w:i/>
          <w:iCs/>
          <w:lang w:val="lt-LT" w:eastAsia="lt-LT"/>
        </w:rPr>
        <w:t xml:space="preserve"> </w:t>
      </w:r>
      <w:r w:rsidRPr="0065344A">
        <w:rPr>
          <w:lang w:val="lt-LT" w:eastAsia="lt-LT"/>
        </w:rPr>
        <w:t>naudą,</w:t>
      </w:r>
      <w:r w:rsidRPr="0065344A">
        <w:rPr>
          <w:i/>
          <w:iCs/>
          <w:lang w:val="lt-LT" w:eastAsia="lt-LT"/>
        </w:rPr>
        <w:t xml:space="preserve"> </w:t>
      </w:r>
      <w:r w:rsidRPr="0065344A">
        <w:rPr>
          <w:lang w:val="lt-LT" w:eastAsia="lt-LT"/>
        </w:rPr>
        <w:t>tokia</w:t>
      </w:r>
      <w:r w:rsidRPr="0065344A">
        <w:rPr>
          <w:i/>
          <w:iCs/>
          <w:lang w:val="lt-LT" w:eastAsia="lt-LT"/>
        </w:rPr>
        <w:t xml:space="preserve"> </w:t>
      </w:r>
      <w:r w:rsidRPr="0065344A">
        <w:rPr>
          <w:lang w:val="lt-LT" w:eastAsia="lt-LT"/>
        </w:rPr>
        <w:t>gauta</w:t>
      </w:r>
      <w:r w:rsidRPr="0065344A">
        <w:rPr>
          <w:i/>
          <w:iCs/>
          <w:lang w:val="lt-LT" w:eastAsia="lt-LT"/>
        </w:rPr>
        <w:t xml:space="preserve"> </w:t>
      </w:r>
      <w:r w:rsidRPr="0065344A">
        <w:rPr>
          <w:lang w:val="lt-LT" w:eastAsia="lt-LT"/>
        </w:rPr>
        <w:t>nauda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santykiais</w:t>
      </w:r>
      <w:r w:rsidRPr="0065344A">
        <w:rPr>
          <w:i/>
          <w:iCs/>
          <w:lang w:val="lt-LT" w:eastAsia="lt-LT"/>
        </w:rPr>
        <w:t xml:space="preserve"> </w:t>
      </w:r>
      <w:r w:rsidRPr="0065344A">
        <w:rPr>
          <w:lang w:val="lt-LT" w:eastAsia="lt-LT"/>
        </w:rPr>
        <w:t>susijusiomis</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priskiriama</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šeimos</w:t>
      </w:r>
      <w:r w:rsidRPr="0065344A">
        <w:rPr>
          <w:i/>
          <w:iCs/>
          <w:lang w:val="lt-LT" w:eastAsia="lt-LT"/>
        </w:rPr>
        <w:t xml:space="preserve"> </w:t>
      </w:r>
      <w:r w:rsidRPr="0065344A">
        <w:rPr>
          <w:lang w:val="lt-LT" w:eastAsia="lt-LT"/>
        </w:rPr>
        <w:t>narių</w:t>
      </w:r>
      <w:r w:rsidRPr="0065344A">
        <w:rPr>
          <w:i/>
          <w:iCs/>
          <w:lang w:val="lt-LT" w:eastAsia="lt-LT"/>
        </w:rPr>
        <w:t xml:space="preserve"> </w:t>
      </w:r>
      <w:r w:rsidRPr="0065344A">
        <w:rPr>
          <w:lang w:val="lt-LT" w:eastAsia="lt-LT"/>
        </w:rPr>
        <w:t>naudai</w:t>
      </w:r>
      <w:r w:rsidRPr="0065344A">
        <w:rPr>
          <w:i/>
          <w:iCs/>
          <w:lang w:val="lt-LT" w:eastAsia="lt-LT"/>
        </w:rPr>
        <w:t xml:space="preserve"> </w:t>
      </w:r>
      <w:r w:rsidRPr="0065344A">
        <w:rPr>
          <w:lang w:val="lt-LT" w:eastAsia="lt-LT"/>
        </w:rPr>
        <w:t>patirtų</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kuri</w:t>
      </w:r>
      <w:r w:rsidRPr="0065344A">
        <w:rPr>
          <w:i/>
          <w:iCs/>
          <w:lang w:val="lt-LT" w:eastAsia="lt-LT"/>
        </w:rPr>
        <w:t xml:space="preserve"> </w:t>
      </w:r>
      <w:r w:rsidRPr="0065344A">
        <w:rPr>
          <w:lang w:val="lt-LT" w:eastAsia="lt-LT"/>
        </w:rPr>
        <w:t>atskaitoma</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su</w:t>
      </w:r>
      <w:r w:rsidRPr="0065344A">
        <w:rPr>
          <w:i/>
          <w:iCs/>
          <w:lang w:val="lt-LT" w:eastAsia="lt-LT"/>
        </w:rPr>
        <w:t xml:space="preserve"> </w:t>
      </w:r>
      <w:r w:rsidRPr="0065344A">
        <w:rPr>
          <w:lang w:val="lt-LT" w:eastAsia="lt-LT"/>
        </w:rPr>
        <w:t>darbo</w:t>
      </w:r>
      <w:r w:rsidRPr="0065344A">
        <w:rPr>
          <w:i/>
          <w:iCs/>
          <w:lang w:val="lt-LT" w:eastAsia="lt-LT"/>
        </w:rPr>
        <w:t xml:space="preserve"> </w:t>
      </w:r>
      <w:r w:rsidRPr="0065344A">
        <w:rPr>
          <w:lang w:val="lt-LT" w:eastAsia="lt-LT"/>
        </w:rPr>
        <w:t>santykiais</w:t>
      </w:r>
      <w:r w:rsidRPr="0065344A">
        <w:rPr>
          <w:i/>
          <w:iCs/>
          <w:lang w:val="lt-LT" w:eastAsia="lt-LT"/>
        </w:rPr>
        <w:t xml:space="preserve"> </w:t>
      </w:r>
      <w:r w:rsidRPr="0065344A">
        <w:rPr>
          <w:lang w:val="lt-LT" w:eastAsia="lt-LT"/>
        </w:rPr>
        <w:t>susijusios</w:t>
      </w:r>
      <w:r w:rsidRPr="0065344A">
        <w:rPr>
          <w:i/>
          <w:iCs/>
          <w:lang w:val="lt-LT" w:eastAsia="lt-LT"/>
        </w:rPr>
        <w:t xml:space="preserve"> </w:t>
      </w:r>
      <w:r w:rsidRPr="0065344A">
        <w:rPr>
          <w:lang w:val="lt-LT" w:eastAsia="lt-LT"/>
        </w:rPr>
        <w:t>pajamos.</w:t>
      </w:r>
    </w:p>
    <w:p w14:paraId="52112A6B" w14:textId="77777777" w:rsidR="00093845" w:rsidRPr="0065344A" w:rsidRDefault="000D779E">
      <w:pPr>
        <w:ind w:firstLine="993"/>
        <w:jc w:val="both"/>
        <w:rPr>
          <w:b/>
          <w:bCs/>
          <w:lang w:val="lt-LT" w:eastAsia="lt-LT"/>
        </w:rPr>
      </w:pPr>
      <w:r w:rsidRPr="0065344A">
        <w:rPr>
          <w:i/>
          <w:iCs/>
          <w:lang w:val="lt-LT" w:eastAsia="lt-LT"/>
        </w:rPr>
        <w:t xml:space="preserve"> </w:t>
      </w:r>
      <w:r w:rsidRPr="0065344A">
        <w:rPr>
          <w:lang w:val="lt-LT" w:eastAsia="lt-LT"/>
        </w:rPr>
        <w:t> </w:t>
      </w:r>
      <w:r w:rsidRPr="0065344A">
        <w:rPr>
          <w:b/>
          <w:bCs/>
          <w:lang w:val="lt-LT" w:eastAsia="lt-LT"/>
        </w:rPr>
        <w:t>Pavyzdys</w:t>
      </w:r>
    </w:p>
    <w:p w14:paraId="77953CAF" w14:textId="77777777" w:rsidR="00093845" w:rsidRPr="0065344A" w:rsidRDefault="000D779E">
      <w:pPr>
        <w:pBdr>
          <w:top w:val="single" w:sz="4" w:space="1" w:color="auto"/>
          <w:left w:val="single" w:sz="4" w:space="4" w:color="auto"/>
          <w:bottom w:val="single" w:sz="4" w:space="1" w:color="auto"/>
          <w:right w:val="single" w:sz="4" w:space="4" w:color="auto"/>
        </w:pBdr>
        <w:ind w:firstLine="993"/>
        <w:jc w:val="both"/>
        <w:rPr>
          <w:lang w:val="lt-LT" w:eastAsia="lt-LT"/>
        </w:rPr>
      </w:pPr>
      <w:r w:rsidRPr="0065344A">
        <w:rPr>
          <w:lang w:val="lt-LT" w:eastAsia="lt-LT"/>
        </w:rPr>
        <w:t> Prekybos</w:t>
      </w:r>
      <w:r w:rsidRPr="0065344A">
        <w:rPr>
          <w:i/>
          <w:iCs/>
          <w:lang w:val="lt-LT" w:eastAsia="lt-LT"/>
        </w:rPr>
        <w:t xml:space="preserve"> </w:t>
      </w:r>
      <w:r w:rsidRPr="0065344A">
        <w:rPr>
          <w:lang w:val="lt-LT" w:eastAsia="lt-LT"/>
        </w:rPr>
        <w:t>įmonė</w:t>
      </w:r>
      <w:r w:rsidRPr="0065344A">
        <w:rPr>
          <w:i/>
          <w:iCs/>
          <w:lang w:val="lt-LT" w:eastAsia="lt-LT"/>
        </w:rPr>
        <w:t xml:space="preserve"> </w:t>
      </w:r>
      <w:r w:rsidRPr="0065344A">
        <w:rPr>
          <w:lang w:val="lt-LT" w:eastAsia="lt-LT"/>
        </w:rPr>
        <w:t>UAB</w:t>
      </w:r>
      <w:r w:rsidRPr="0065344A">
        <w:rPr>
          <w:i/>
          <w:iCs/>
          <w:lang w:val="lt-LT" w:eastAsia="lt-LT"/>
        </w:rPr>
        <w:t xml:space="preserve"> „</w:t>
      </w:r>
      <w:r w:rsidRPr="0065344A">
        <w:rPr>
          <w:lang w:val="lt-LT" w:eastAsia="lt-LT"/>
        </w:rPr>
        <w:t>Z</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darbuotojų</w:t>
      </w:r>
      <w:r w:rsidRPr="0065344A">
        <w:rPr>
          <w:i/>
          <w:iCs/>
          <w:lang w:val="lt-LT" w:eastAsia="lt-LT"/>
        </w:rPr>
        <w:t xml:space="preserve"> </w:t>
      </w:r>
      <w:r w:rsidRPr="0065344A">
        <w:rPr>
          <w:lang w:val="lt-LT" w:eastAsia="lt-LT"/>
        </w:rPr>
        <w:t>vaikams,</w:t>
      </w:r>
      <w:r w:rsidRPr="0065344A">
        <w:rPr>
          <w:i/>
          <w:iCs/>
          <w:lang w:val="lt-LT" w:eastAsia="lt-LT"/>
        </w:rPr>
        <w:t xml:space="preserve"> </w:t>
      </w:r>
      <w:r w:rsidRPr="0065344A">
        <w:rPr>
          <w:lang w:val="lt-LT" w:eastAsia="lt-LT"/>
        </w:rPr>
        <w:t>kurie</w:t>
      </w:r>
      <w:r w:rsidRPr="0065344A">
        <w:rPr>
          <w:i/>
          <w:iCs/>
          <w:lang w:val="lt-LT" w:eastAsia="lt-LT"/>
        </w:rPr>
        <w:t xml:space="preserve"> </w:t>
      </w:r>
      <w:r w:rsidRPr="0065344A">
        <w:rPr>
          <w:lang w:val="lt-LT" w:eastAsia="lt-LT"/>
        </w:rPr>
        <w:t>labai</w:t>
      </w:r>
      <w:r w:rsidRPr="0065344A">
        <w:rPr>
          <w:i/>
          <w:iCs/>
          <w:lang w:val="lt-LT" w:eastAsia="lt-LT"/>
        </w:rPr>
        <w:t xml:space="preserve"> </w:t>
      </w:r>
      <w:r w:rsidRPr="0065344A">
        <w:rPr>
          <w:lang w:val="lt-LT" w:eastAsia="lt-LT"/>
        </w:rPr>
        <w:t>gerai</w:t>
      </w:r>
      <w:r w:rsidRPr="0065344A">
        <w:rPr>
          <w:i/>
          <w:iCs/>
          <w:lang w:val="lt-LT" w:eastAsia="lt-LT"/>
        </w:rPr>
        <w:t xml:space="preserve"> </w:t>
      </w:r>
      <w:r w:rsidRPr="0065344A">
        <w:rPr>
          <w:lang w:val="lt-LT" w:eastAsia="lt-LT"/>
        </w:rPr>
        <w:t>mokosi,</w:t>
      </w:r>
      <w:r w:rsidRPr="0065344A">
        <w:rPr>
          <w:i/>
          <w:iCs/>
          <w:lang w:val="lt-LT" w:eastAsia="lt-LT"/>
        </w:rPr>
        <w:t xml:space="preserve"> </w:t>
      </w:r>
      <w:r w:rsidRPr="0065344A">
        <w:rPr>
          <w:lang w:val="lt-LT" w:eastAsia="lt-LT"/>
        </w:rPr>
        <w:t>įteikė</w:t>
      </w:r>
      <w:r w:rsidRPr="0065344A">
        <w:rPr>
          <w:i/>
          <w:iCs/>
          <w:lang w:val="lt-LT" w:eastAsia="lt-LT"/>
        </w:rPr>
        <w:t xml:space="preserve"> </w:t>
      </w:r>
      <w:r w:rsidRPr="0065344A">
        <w:rPr>
          <w:lang w:val="lt-LT" w:eastAsia="lt-LT"/>
        </w:rPr>
        <w:t>50</w:t>
      </w:r>
      <w:r w:rsidRPr="0065344A">
        <w:rPr>
          <w:i/>
          <w:iCs/>
          <w:lang w:val="lt-LT" w:eastAsia="lt-LT"/>
        </w:rPr>
        <w:t xml:space="preserve"> </w:t>
      </w:r>
      <w:r w:rsidRPr="0065344A">
        <w:rPr>
          <w:iCs/>
          <w:lang w:val="lt-LT" w:eastAsia="lt-LT"/>
        </w:rPr>
        <w:t>eurų</w:t>
      </w:r>
      <w:r w:rsidRPr="0065344A">
        <w:rPr>
          <w:i/>
          <w:iCs/>
          <w:lang w:val="lt-LT" w:eastAsia="lt-LT"/>
        </w:rPr>
        <w:t xml:space="preserve"> </w:t>
      </w:r>
      <w:r w:rsidRPr="0065344A">
        <w:rPr>
          <w:lang w:val="lt-LT" w:eastAsia="lt-LT"/>
        </w:rPr>
        <w:t>vertės</w:t>
      </w:r>
      <w:r w:rsidRPr="0065344A">
        <w:rPr>
          <w:i/>
          <w:iCs/>
          <w:lang w:val="lt-LT" w:eastAsia="lt-LT"/>
        </w:rPr>
        <w:t xml:space="preserve"> </w:t>
      </w:r>
      <w:r w:rsidRPr="0065344A">
        <w:rPr>
          <w:lang w:val="lt-LT" w:eastAsia="lt-LT"/>
        </w:rPr>
        <w:t>dovanų</w:t>
      </w:r>
      <w:r w:rsidRPr="0065344A">
        <w:rPr>
          <w:i/>
          <w:iCs/>
          <w:lang w:val="lt-LT" w:eastAsia="lt-LT"/>
        </w:rPr>
        <w:t xml:space="preserve"> </w:t>
      </w:r>
      <w:r w:rsidRPr="0065344A">
        <w:rPr>
          <w:lang w:val="lt-LT" w:eastAsia="lt-LT"/>
        </w:rPr>
        <w:t>čekius</w:t>
      </w:r>
      <w:r w:rsidRPr="0065344A">
        <w:rPr>
          <w:i/>
          <w:iCs/>
          <w:lang w:val="lt-LT" w:eastAsia="lt-LT"/>
        </w:rPr>
        <w:t xml:space="preserve"> </w:t>
      </w:r>
      <w:r w:rsidRPr="0065344A">
        <w:rPr>
          <w:lang w:val="lt-LT" w:eastAsia="lt-LT"/>
        </w:rPr>
        <w:t>apsipirkti</w:t>
      </w:r>
      <w:r w:rsidRPr="0065344A">
        <w:rPr>
          <w:i/>
          <w:iCs/>
          <w:lang w:val="lt-LT" w:eastAsia="lt-LT"/>
        </w:rPr>
        <w:t xml:space="preserve"> </w:t>
      </w:r>
      <w:r w:rsidRPr="0065344A">
        <w:rPr>
          <w:lang w:val="lt-LT" w:eastAsia="lt-LT"/>
        </w:rPr>
        <w:t>jų</w:t>
      </w:r>
      <w:r w:rsidRPr="0065344A">
        <w:rPr>
          <w:i/>
          <w:iCs/>
          <w:lang w:val="lt-LT" w:eastAsia="lt-LT"/>
        </w:rPr>
        <w:t xml:space="preserve"> </w:t>
      </w:r>
      <w:r w:rsidRPr="0065344A">
        <w:rPr>
          <w:lang w:val="lt-LT" w:eastAsia="lt-LT"/>
        </w:rPr>
        <w:t>prekybos</w:t>
      </w:r>
      <w:r w:rsidRPr="0065344A">
        <w:rPr>
          <w:i/>
          <w:iCs/>
          <w:lang w:val="lt-LT" w:eastAsia="lt-LT"/>
        </w:rPr>
        <w:t xml:space="preserve"> </w:t>
      </w:r>
      <w:r w:rsidRPr="0065344A">
        <w:rPr>
          <w:lang w:val="lt-LT" w:eastAsia="lt-LT"/>
        </w:rPr>
        <w:t>centre.</w:t>
      </w:r>
      <w:r w:rsidRPr="0065344A">
        <w:rPr>
          <w:i/>
          <w:iCs/>
          <w:lang w:val="lt-LT" w:eastAsia="lt-LT"/>
        </w:rPr>
        <w:t xml:space="preserve"> </w:t>
      </w:r>
      <w:r w:rsidRPr="0065344A">
        <w:rPr>
          <w:lang w:val="lt-LT" w:eastAsia="lt-LT"/>
        </w:rPr>
        <w:t>Dovanų</w:t>
      </w:r>
      <w:r w:rsidRPr="0065344A">
        <w:rPr>
          <w:i/>
          <w:iCs/>
          <w:lang w:val="lt-LT" w:eastAsia="lt-LT"/>
        </w:rPr>
        <w:t xml:space="preserve"> </w:t>
      </w:r>
      <w:r w:rsidRPr="0065344A">
        <w:rPr>
          <w:lang w:val="lt-LT" w:eastAsia="lt-LT"/>
        </w:rPr>
        <w:t>čekio</w:t>
      </w:r>
      <w:r w:rsidRPr="0065344A">
        <w:rPr>
          <w:i/>
          <w:iCs/>
          <w:lang w:val="lt-LT" w:eastAsia="lt-LT"/>
        </w:rPr>
        <w:t xml:space="preserve"> </w:t>
      </w:r>
      <w:r w:rsidRPr="0065344A">
        <w:rPr>
          <w:lang w:val="lt-LT" w:eastAsia="lt-LT"/>
        </w:rPr>
        <w:t>vertė</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pripažįstama</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gautomis</w:t>
      </w:r>
      <w:r w:rsidRPr="0065344A">
        <w:rPr>
          <w:i/>
          <w:iCs/>
          <w:lang w:val="lt-LT" w:eastAsia="lt-LT"/>
        </w:rPr>
        <w:t xml:space="preserve"> </w:t>
      </w:r>
      <w:r w:rsidRPr="0065344A">
        <w:rPr>
          <w:lang w:val="lt-LT" w:eastAsia="lt-LT"/>
        </w:rPr>
        <w:t>pajamomis,</w:t>
      </w:r>
      <w:r w:rsidRPr="0065344A">
        <w:rPr>
          <w:i/>
          <w:iCs/>
          <w:lang w:val="lt-LT" w:eastAsia="lt-LT"/>
        </w:rPr>
        <w:t xml:space="preserve"> </w:t>
      </w:r>
      <w:r w:rsidRPr="0065344A">
        <w:rPr>
          <w:lang w:val="lt-LT" w:eastAsia="lt-LT"/>
        </w:rPr>
        <w:t>kurios</w:t>
      </w:r>
      <w:r w:rsidRPr="0065344A">
        <w:rPr>
          <w:i/>
          <w:iCs/>
          <w:lang w:val="lt-LT" w:eastAsia="lt-LT"/>
        </w:rPr>
        <w:t xml:space="preserve"> </w:t>
      </w:r>
      <w:r w:rsidRPr="0065344A">
        <w:rPr>
          <w:lang w:val="lt-LT" w:eastAsia="lt-LT"/>
        </w:rPr>
        <w:t>yra</w:t>
      </w:r>
      <w:r w:rsidRPr="0065344A">
        <w:rPr>
          <w:i/>
          <w:iCs/>
          <w:lang w:val="lt-LT" w:eastAsia="lt-LT"/>
        </w:rPr>
        <w:t xml:space="preserve"> </w:t>
      </w:r>
      <w:r w:rsidRPr="0065344A">
        <w:rPr>
          <w:lang w:val="lt-LT" w:eastAsia="lt-LT"/>
        </w:rPr>
        <w:t>gyventojų</w:t>
      </w:r>
      <w:r w:rsidRPr="0065344A">
        <w:rPr>
          <w:i/>
          <w:iCs/>
          <w:lang w:val="lt-LT" w:eastAsia="lt-LT"/>
        </w:rPr>
        <w:t xml:space="preserve"> </w:t>
      </w:r>
      <w:r w:rsidRPr="0065344A">
        <w:rPr>
          <w:lang w:val="lt-LT" w:eastAsia="lt-LT"/>
        </w:rPr>
        <w:t>pajamų</w:t>
      </w:r>
      <w:r w:rsidRPr="0065344A">
        <w:rPr>
          <w:i/>
          <w:iCs/>
          <w:lang w:val="lt-LT" w:eastAsia="lt-LT"/>
        </w:rPr>
        <w:t xml:space="preserve"> </w:t>
      </w:r>
      <w:r w:rsidRPr="0065344A">
        <w:rPr>
          <w:lang w:val="lt-LT" w:eastAsia="lt-LT"/>
        </w:rPr>
        <w:t>mokesčio</w:t>
      </w:r>
      <w:r w:rsidRPr="0065344A">
        <w:rPr>
          <w:i/>
          <w:iCs/>
          <w:lang w:val="lt-LT" w:eastAsia="lt-LT"/>
        </w:rPr>
        <w:t xml:space="preserve"> </w:t>
      </w:r>
      <w:r w:rsidRPr="0065344A">
        <w:rPr>
          <w:lang w:val="lt-LT" w:eastAsia="lt-LT"/>
        </w:rPr>
        <w:t>objektas,</w:t>
      </w:r>
      <w:r w:rsidRPr="0065344A">
        <w:rPr>
          <w:i/>
          <w:iCs/>
          <w:lang w:val="lt-LT" w:eastAsia="lt-LT"/>
        </w:rPr>
        <w:t xml:space="preserve"> </w:t>
      </w:r>
      <w:r w:rsidRPr="0065344A">
        <w:rPr>
          <w:lang w:val="lt-LT" w:eastAsia="lt-LT"/>
        </w:rPr>
        <w:t>todėl</w:t>
      </w:r>
      <w:r w:rsidRPr="0065344A">
        <w:rPr>
          <w:i/>
          <w:iCs/>
          <w:lang w:val="lt-LT" w:eastAsia="lt-LT"/>
        </w:rPr>
        <w:t xml:space="preserve"> </w:t>
      </w:r>
      <w:r w:rsidRPr="0065344A">
        <w:rPr>
          <w:lang w:val="lt-LT" w:eastAsia="lt-LT"/>
        </w:rPr>
        <w:t>priskiriamos</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 </w:t>
      </w:r>
    </w:p>
    <w:p w14:paraId="33460268" w14:textId="77777777" w:rsidR="00093845" w:rsidRPr="0065344A" w:rsidRDefault="00F425B3">
      <w:pPr>
        <w:ind w:firstLine="720"/>
        <w:jc w:val="both"/>
        <w:rPr>
          <w:lang w:val="lt-LT"/>
        </w:rPr>
      </w:pPr>
      <w:r>
        <w:rPr>
          <w:iCs/>
          <w:lang w:val="lt-LT"/>
        </w:rPr>
        <w:t xml:space="preserve">  </w:t>
      </w:r>
      <w:r w:rsidR="000D779E">
        <w:rPr>
          <w:iCs/>
          <w:lang w:val="lt-LT"/>
        </w:rPr>
        <w:t>(Pakeistas 17 str. 1 dalies 6.30 punkto 4 papunkčio pavyzdys VMI prie FM 2016-05-16 raštu Nr.</w:t>
      </w:r>
      <w:r>
        <w:rPr>
          <w:iCs/>
          <w:lang w:val="lt-LT"/>
        </w:rPr>
        <w:t xml:space="preserve"> </w:t>
      </w:r>
      <w:r w:rsidR="000D779E">
        <w:rPr>
          <w:iCs/>
          <w:lang w:val="lt-LT"/>
        </w:rPr>
        <w:t>(18.32-31-1E)</w:t>
      </w:r>
      <w:r>
        <w:rPr>
          <w:iCs/>
          <w:lang w:val="lt-LT"/>
        </w:rPr>
        <w:t xml:space="preserve"> </w:t>
      </w:r>
      <w:r w:rsidR="000D779E">
        <w:rPr>
          <w:iCs/>
          <w:lang w:val="lt-LT"/>
        </w:rPr>
        <w:t>RM-14067)</w:t>
      </w:r>
    </w:p>
    <w:p w14:paraId="1FD71AF0" w14:textId="77777777" w:rsidR="00093845" w:rsidRPr="0065344A" w:rsidRDefault="000D779E">
      <w:pPr>
        <w:ind w:firstLine="993"/>
        <w:jc w:val="both"/>
        <w:rPr>
          <w:lang w:val="lt-LT" w:eastAsia="lt-LT"/>
        </w:rPr>
      </w:pPr>
      <w:r w:rsidRPr="0065344A">
        <w:rPr>
          <w:lang w:val="lt-LT" w:eastAsia="lt-LT"/>
        </w:rPr>
        <w:t>6.30.5.</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leidžiamiems</w:t>
      </w:r>
      <w:r w:rsidRPr="0065344A">
        <w:rPr>
          <w:i/>
          <w:iCs/>
          <w:lang w:val="lt-LT" w:eastAsia="lt-LT"/>
        </w:rPr>
        <w:t xml:space="preserve"> </w:t>
      </w:r>
      <w:r w:rsidRPr="0065344A">
        <w:rPr>
          <w:lang w:val="lt-LT" w:eastAsia="lt-LT"/>
        </w:rPr>
        <w:t>atskaitymams</w:t>
      </w:r>
      <w:r w:rsidRPr="0065344A">
        <w:rPr>
          <w:i/>
          <w:iCs/>
          <w:lang w:val="lt-LT" w:eastAsia="lt-LT"/>
        </w:rPr>
        <w:t xml:space="preserve"> </w:t>
      </w:r>
      <w:r w:rsidRPr="0065344A">
        <w:rPr>
          <w:lang w:val="lt-LT" w:eastAsia="lt-LT"/>
        </w:rPr>
        <w:t>nepriskiriamos</w:t>
      </w:r>
      <w:r w:rsidRPr="0065344A">
        <w:rPr>
          <w:i/>
          <w:iCs/>
          <w:lang w:val="lt-LT" w:eastAsia="lt-LT"/>
        </w:rPr>
        <w:t xml:space="preserve"> </w:t>
      </w:r>
      <w:r w:rsidRPr="0065344A">
        <w:rPr>
          <w:lang w:val="lt-LT" w:eastAsia="lt-LT"/>
        </w:rPr>
        <w:t>darbuotojo</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gautos</w:t>
      </w:r>
      <w:r w:rsidRPr="0065344A">
        <w:rPr>
          <w:i/>
          <w:iCs/>
          <w:lang w:val="lt-LT" w:eastAsia="lt-LT"/>
        </w:rPr>
        <w:t xml:space="preserve"> </w:t>
      </w:r>
      <w:r w:rsidRPr="0065344A">
        <w:rPr>
          <w:lang w:val="lt-LT" w:eastAsia="lt-LT"/>
        </w:rPr>
        <w:t>pajamos</w:t>
      </w:r>
      <w:r w:rsidRPr="0065344A">
        <w:rPr>
          <w:i/>
          <w:iCs/>
          <w:lang w:val="lt-LT" w:eastAsia="lt-LT"/>
        </w:rPr>
        <w:t xml:space="preserve"> </w:t>
      </w:r>
      <w:r w:rsidRPr="0065344A">
        <w:rPr>
          <w:lang w:val="lt-LT" w:eastAsia="lt-LT"/>
        </w:rPr>
        <w:t>natūra,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jas</w:t>
      </w:r>
      <w:r w:rsidRPr="0065344A">
        <w:rPr>
          <w:i/>
          <w:iCs/>
          <w:lang w:val="lt-LT" w:eastAsia="lt-LT"/>
        </w:rPr>
        <w:t xml:space="preserve"> </w:t>
      </w:r>
      <w:r w:rsidRPr="0065344A">
        <w:rPr>
          <w:lang w:val="lt-LT" w:eastAsia="lt-LT"/>
        </w:rPr>
        <w:t>teikdamas</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išlaidų</w:t>
      </w:r>
      <w:r w:rsidRPr="0065344A">
        <w:rPr>
          <w:i/>
          <w:iCs/>
          <w:lang w:val="lt-LT" w:eastAsia="lt-LT"/>
        </w:rPr>
        <w:t xml:space="preserve"> </w:t>
      </w:r>
      <w:r w:rsidRPr="0065344A">
        <w:rPr>
          <w:lang w:val="lt-LT" w:eastAsia="lt-LT"/>
        </w:rPr>
        <w:t>nepatiria</w:t>
      </w:r>
      <w:r w:rsidRPr="0065344A">
        <w:rPr>
          <w:i/>
          <w:iCs/>
          <w:lang w:val="lt-LT" w:eastAsia="lt-LT"/>
        </w:rPr>
        <w:t xml:space="preserve"> </w:t>
      </w:r>
      <w:r w:rsidRPr="0065344A">
        <w:rPr>
          <w:lang w:val="lt-LT" w:eastAsia="lt-LT"/>
        </w:rPr>
        <w:t>(pvz.,</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prekybines</w:t>
      </w:r>
      <w:r w:rsidRPr="0065344A">
        <w:rPr>
          <w:i/>
          <w:iCs/>
          <w:lang w:val="lt-LT" w:eastAsia="lt-LT"/>
        </w:rPr>
        <w:t xml:space="preserve"> </w:t>
      </w:r>
      <w:r w:rsidRPr="0065344A">
        <w:rPr>
          <w:lang w:val="lt-LT" w:eastAsia="lt-LT"/>
        </w:rPr>
        <w:t>nuolaidas,</w:t>
      </w:r>
      <w:r w:rsidRPr="0065344A">
        <w:rPr>
          <w:i/>
          <w:iCs/>
          <w:lang w:val="lt-LT" w:eastAsia="lt-LT"/>
        </w:rPr>
        <w:t xml:space="preserve"> </w:t>
      </w:r>
      <w:r w:rsidRPr="0065344A">
        <w:rPr>
          <w:lang w:val="lt-LT" w:eastAsia="lt-LT"/>
        </w:rPr>
        <w:t>teikiant</w:t>
      </w:r>
      <w:r w:rsidRPr="0065344A">
        <w:rPr>
          <w:i/>
          <w:iCs/>
          <w:lang w:val="lt-LT" w:eastAsia="lt-LT"/>
        </w:rPr>
        <w:t xml:space="preserve"> </w:t>
      </w:r>
      <w:r w:rsidRPr="0065344A">
        <w:rPr>
          <w:lang w:val="lt-LT" w:eastAsia="lt-LT"/>
        </w:rPr>
        <w:t>beprocentines</w:t>
      </w:r>
      <w:r w:rsidRPr="0065344A">
        <w:rPr>
          <w:i/>
          <w:iCs/>
          <w:lang w:val="lt-LT" w:eastAsia="lt-LT"/>
        </w:rPr>
        <w:t xml:space="preserve"> </w:t>
      </w:r>
      <w:r w:rsidRPr="0065344A">
        <w:rPr>
          <w:lang w:val="lt-LT" w:eastAsia="lt-LT"/>
        </w:rPr>
        <w:t>paskolas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 </w:t>
      </w:r>
    </w:p>
    <w:p w14:paraId="1A3123C9" w14:textId="77777777" w:rsidR="00093845" w:rsidRDefault="000D779E">
      <w:pPr>
        <w:ind w:firstLine="993"/>
        <w:jc w:val="both"/>
        <w:rPr>
          <w:lang w:eastAsia="lt-LT"/>
        </w:rPr>
      </w:pPr>
      <w:r>
        <w:rPr>
          <w:b/>
          <w:bCs/>
          <w:lang w:eastAsia="lt-LT"/>
        </w:rPr>
        <w:t>Pavyzdys</w:t>
      </w:r>
      <w:r>
        <w:rPr>
          <w:lang w:eastAsia="lt-LT"/>
        </w:rPr>
        <w:t> </w:t>
      </w:r>
    </w:p>
    <w:p w14:paraId="6A368B24" w14:textId="77777777" w:rsidR="00093845" w:rsidRDefault="000D779E">
      <w:pPr>
        <w:pBdr>
          <w:top w:val="single" w:sz="4" w:space="1" w:color="auto"/>
          <w:left w:val="single" w:sz="4" w:space="4" w:color="auto"/>
          <w:bottom w:val="single" w:sz="4" w:space="1" w:color="auto"/>
          <w:right w:val="single" w:sz="4" w:space="4" w:color="auto"/>
        </w:pBdr>
        <w:ind w:firstLine="993"/>
        <w:jc w:val="both"/>
        <w:rPr>
          <w:lang w:eastAsia="lt-LT"/>
        </w:rPr>
      </w:pPr>
      <w:r>
        <w:rPr>
          <w:lang w:eastAsia="lt-LT"/>
        </w:rPr>
        <w:t>AB</w:t>
      </w:r>
      <w:r>
        <w:rPr>
          <w:i/>
          <w:iCs/>
          <w:lang w:eastAsia="lt-LT"/>
        </w:rPr>
        <w:t xml:space="preserve"> „</w:t>
      </w:r>
      <w:r>
        <w:rPr>
          <w:lang w:eastAsia="lt-LT"/>
        </w:rPr>
        <w:t>X</w:t>
      </w:r>
      <w:r>
        <w:rPr>
          <w:i/>
          <w:iCs/>
          <w:lang w:eastAsia="lt-LT"/>
        </w:rPr>
        <w:t xml:space="preserve">“ </w:t>
      </w:r>
      <w:r>
        <w:rPr>
          <w:lang w:eastAsia="lt-LT"/>
        </w:rPr>
        <w:t>darbuotojui</w:t>
      </w:r>
      <w:r>
        <w:rPr>
          <w:i/>
          <w:iCs/>
          <w:lang w:eastAsia="lt-LT"/>
        </w:rPr>
        <w:t xml:space="preserve"> </w:t>
      </w:r>
      <w:r>
        <w:rPr>
          <w:lang w:eastAsia="lt-LT"/>
        </w:rPr>
        <w:t>suteikė</w:t>
      </w:r>
      <w:r>
        <w:rPr>
          <w:i/>
          <w:iCs/>
          <w:lang w:eastAsia="lt-LT"/>
        </w:rPr>
        <w:t xml:space="preserve"> </w:t>
      </w:r>
      <w:r>
        <w:rPr>
          <w:lang w:eastAsia="lt-LT"/>
        </w:rPr>
        <w:t>beprocentinę</w:t>
      </w:r>
      <w:r>
        <w:rPr>
          <w:i/>
          <w:iCs/>
          <w:lang w:eastAsia="lt-LT"/>
        </w:rPr>
        <w:t xml:space="preserve"> </w:t>
      </w:r>
      <w:r>
        <w:rPr>
          <w:lang w:eastAsia="lt-LT"/>
        </w:rPr>
        <w:t>paskolą.</w:t>
      </w:r>
      <w:r>
        <w:rPr>
          <w:i/>
          <w:iCs/>
          <w:lang w:eastAsia="lt-LT"/>
        </w:rPr>
        <w:t xml:space="preserve"> </w:t>
      </w:r>
      <w:r>
        <w:rPr>
          <w:lang w:eastAsia="lt-LT"/>
        </w:rPr>
        <w:t>Kadangi</w:t>
      </w:r>
      <w:r>
        <w:rPr>
          <w:i/>
          <w:iCs/>
          <w:lang w:eastAsia="lt-LT"/>
        </w:rPr>
        <w:t xml:space="preserve"> </w:t>
      </w:r>
      <w:r>
        <w:rPr>
          <w:lang w:eastAsia="lt-LT"/>
        </w:rPr>
        <w:t>UAB</w:t>
      </w:r>
      <w:r>
        <w:rPr>
          <w:i/>
          <w:iCs/>
          <w:lang w:eastAsia="lt-LT"/>
        </w:rPr>
        <w:t xml:space="preserve"> „</w:t>
      </w:r>
      <w:r>
        <w:rPr>
          <w:lang w:eastAsia="lt-LT"/>
        </w:rPr>
        <w:t>X</w:t>
      </w:r>
      <w:r>
        <w:rPr>
          <w:i/>
          <w:iCs/>
          <w:lang w:eastAsia="lt-LT"/>
        </w:rPr>
        <w:t xml:space="preserve">“ </w:t>
      </w:r>
      <w:r>
        <w:rPr>
          <w:lang w:eastAsia="lt-LT"/>
        </w:rPr>
        <w:t>išlaidų</w:t>
      </w:r>
      <w:r>
        <w:rPr>
          <w:i/>
          <w:iCs/>
          <w:lang w:eastAsia="lt-LT"/>
        </w:rPr>
        <w:t xml:space="preserve"> </w:t>
      </w:r>
      <w:r>
        <w:rPr>
          <w:lang w:eastAsia="lt-LT"/>
        </w:rPr>
        <w:t>nepatyrė,</w:t>
      </w:r>
      <w:r>
        <w:rPr>
          <w:i/>
          <w:iCs/>
          <w:lang w:eastAsia="lt-LT"/>
        </w:rPr>
        <w:t xml:space="preserve"> </w:t>
      </w:r>
      <w:r>
        <w:rPr>
          <w:lang w:eastAsia="lt-LT"/>
        </w:rPr>
        <w:t>darbuotojui</w:t>
      </w:r>
      <w:r>
        <w:rPr>
          <w:i/>
          <w:iCs/>
          <w:lang w:eastAsia="lt-LT"/>
        </w:rPr>
        <w:t xml:space="preserve"> </w:t>
      </w:r>
      <w:r>
        <w:rPr>
          <w:lang w:eastAsia="lt-LT"/>
        </w:rPr>
        <w:t>apskaičiuotos</w:t>
      </w:r>
      <w:r>
        <w:rPr>
          <w:i/>
          <w:iCs/>
          <w:lang w:eastAsia="lt-LT"/>
        </w:rPr>
        <w:t xml:space="preserve"> </w:t>
      </w:r>
      <w:r>
        <w:rPr>
          <w:lang w:eastAsia="lt-LT"/>
        </w:rPr>
        <w:t>pajamos</w:t>
      </w:r>
      <w:r>
        <w:rPr>
          <w:i/>
          <w:iCs/>
          <w:lang w:eastAsia="lt-LT"/>
        </w:rPr>
        <w:t xml:space="preserve"> </w:t>
      </w:r>
      <w:r>
        <w:rPr>
          <w:lang w:eastAsia="lt-LT"/>
        </w:rPr>
        <w:t>natūra</w:t>
      </w:r>
      <w:r>
        <w:rPr>
          <w:i/>
          <w:iCs/>
          <w:lang w:eastAsia="lt-LT"/>
        </w:rPr>
        <w:t xml:space="preserve"> </w:t>
      </w:r>
      <w:r>
        <w:rPr>
          <w:lang w:eastAsia="lt-LT"/>
        </w:rPr>
        <w:t>(suteikta</w:t>
      </w:r>
      <w:r>
        <w:rPr>
          <w:i/>
          <w:iCs/>
          <w:lang w:eastAsia="lt-LT"/>
        </w:rPr>
        <w:t xml:space="preserve"> </w:t>
      </w:r>
      <w:r>
        <w:rPr>
          <w:lang w:eastAsia="lt-LT"/>
        </w:rPr>
        <w:t>nuolaida)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nepriskiriamos.</w:t>
      </w:r>
    </w:p>
    <w:p w14:paraId="4984DBF7" w14:textId="77777777" w:rsidR="00093845" w:rsidRDefault="00093845">
      <w:pPr>
        <w:ind w:firstLine="993"/>
        <w:jc w:val="both"/>
        <w:rPr>
          <w:lang w:eastAsia="lt-LT"/>
        </w:rPr>
      </w:pPr>
    </w:p>
    <w:p w14:paraId="08F75E30" w14:textId="77777777" w:rsidR="00093845" w:rsidRDefault="000D779E">
      <w:pPr>
        <w:ind w:firstLine="993"/>
        <w:jc w:val="both"/>
        <w:rPr>
          <w:lang w:eastAsia="lt-LT"/>
        </w:rPr>
      </w:pPr>
      <w:r>
        <w:rPr>
          <w:lang w:eastAsia="lt-LT"/>
        </w:rPr>
        <w:t> 6.30.6.</w:t>
      </w:r>
      <w:r>
        <w:rPr>
          <w:i/>
          <w:iCs/>
          <w:lang w:eastAsia="lt-LT"/>
        </w:rPr>
        <w:t xml:space="preserve"> </w:t>
      </w:r>
      <w:r>
        <w:rPr>
          <w:lang w:eastAsia="lt-LT"/>
        </w:rPr>
        <w:t>Jeigu</w:t>
      </w:r>
      <w:r>
        <w:rPr>
          <w:i/>
          <w:iCs/>
          <w:lang w:eastAsia="lt-LT"/>
        </w:rPr>
        <w:t xml:space="preserve"> </w:t>
      </w:r>
      <w:r>
        <w:rPr>
          <w:lang w:eastAsia="lt-LT"/>
        </w:rPr>
        <w:t>komandiruotės</w:t>
      </w:r>
      <w:r>
        <w:rPr>
          <w:i/>
          <w:iCs/>
          <w:lang w:eastAsia="lt-LT"/>
        </w:rPr>
        <w:t xml:space="preserve"> </w:t>
      </w:r>
      <w:r>
        <w:rPr>
          <w:lang w:eastAsia="lt-LT"/>
        </w:rPr>
        <w:t>metu</w:t>
      </w:r>
      <w:r>
        <w:rPr>
          <w:i/>
          <w:iCs/>
          <w:lang w:eastAsia="lt-LT"/>
        </w:rPr>
        <w:t xml:space="preserve"> </w:t>
      </w:r>
      <w:r>
        <w:rPr>
          <w:lang w:eastAsia="lt-LT"/>
        </w:rPr>
        <w:t>darbuotojui</w:t>
      </w:r>
      <w:r>
        <w:rPr>
          <w:i/>
          <w:iCs/>
          <w:lang w:eastAsia="lt-LT"/>
        </w:rPr>
        <w:t xml:space="preserve"> </w:t>
      </w:r>
      <w:r>
        <w:rPr>
          <w:lang w:eastAsia="lt-LT"/>
        </w:rPr>
        <w:t>išmokėta</w:t>
      </w:r>
      <w:r>
        <w:rPr>
          <w:i/>
          <w:iCs/>
          <w:lang w:eastAsia="lt-LT"/>
        </w:rPr>
        <w:t xml:space="preserve"> </w:t>
      </w:r>
      <w:r>
        <w:rPr>
          <w:lang w:eastAsia="lt-LT"/>
        </w:rPr>
        <w:t>dienpinigių</w:t>
      </w:r>
      <w:r>
        <w:rPr>
          <w:i/>
          <w:iCs/>
          <w:lang w:eastAsia="lt-LT"/>
        </w:rPr>
        <w:t xml:space="preserve"> </w:t>
      </w:r>
      <w:r>
        <w:rPr>
          <w:lang w:eastAsia="lt-LT"/>
        </w:rPr>
        <w:t>suma</w:t>
      </w:r>
      <w:r>
        <w:rPr>
          <w:i/>
          <w:iCs/>
          <w:lang w:eastAsia="lt-LT"/>
        </w:rPr>
        <w:t xml:space="preserve"> </w:t>
      </w:r>
      <w:r>
        <w:rPr>
          <w:lang w:eastAsia="lt-LT"/>
        </w:rPr>
        <w:t>viršija</w:t>
      </w:r>
      <w:r>
        <w:rPr>
          <w:i/>
          <w:iCs/>
          <w:lang w:eastAsia="lt-LT"/>
        </w:rPr>
        <w:t xml:space="preserve"> </w:t>
      </w:r>
      <w:r>
        <w:rPr>
          <w:lang w:eastAsia="lt-LT"/>
        </w:rPr>
        <w:t>teisės</w:t>
      </w:r>
      <w:r>
        <w:rPr>
          <w:i/>
          <w:iCs/>
          <w:lang w:eastAsia="lt-LT"/>
        </w:rPr>
        <w:t xml:space="preserve"> </w:t>
      </w:r>
      <w:r>
        <w:rPr>
          <w:lang w:eastAsia="lt-LT"/>
        </w:rPr>
        <w:t>aktais</w:t>
      </w:r>
      <w:r>
        <w:rPr>
          <w:i/>
          <w:iCs/>
          <w:lang w:eastAsia="lt-LT"/>
        </w:rPr>
        <w:t xml:space="preserve"> </w:t>
      </w:r>
      <w:r>
        <w:rPr>
          <w:lang w:eastAsia="lt-LT"/>
        </w:rPr>
        <w:t>nustatytus</w:t>
      </w:r>
      <w:r>
        <w:rPr>
          <w:i/>
          <w:iCs/>
          <w:lang w:eastAsia="lt-LT"/>
        </w:rPr>
        <w:t xml:space="preserve"> </w:t>
      </w:r>
      <w:r>
        <w:rPr>
          <w:lang w:eastAsia="lt-LT"/>
        </w:rPr>
        <w:t>dydžius</w:t>
      </w:r>
      <w:r>
        <w:rPr>
          <w:i/>
          <w:iCs/>
          <w:lang w:eastAsia="lt-LT"/>
        </w:rPr>
        <w:t xml:space="preserve"> </w:t>
      </w:r>
      <w:r>
        <w:rPr>
          <w:lang w:eastAsia="lt-LT"/>
        </w:rPr>
        <w:t>ir</w:t>
      </w:r>
      <w:r>
        <w:rPr>
          <w:i/>
          <w:iCs/>
          <w:lang w:eastAsia="lt-LT"/>
        </w:rPr>
        <w:t xml:space="preserve"> </w:t>
      </w:r>
      <w:r>
        <w:rPr>
          <w:lang w:eastAsia="lt-LT"/>
        </w:rPr>
        <w:t>ši</w:t>
      </w:r>
      <w:r>
        <w:rPr>
          <w:i/>
          <w:iCs/>
          <w:lang w:eastAsia="lt-LT"/>
        </w:rPr>
        <w:t xml:space="preserve"> </w:t>
      </w:r>
      <w:r>
        <w:rPr>
          <w:lang w:eastAsia="lt-LT"/>
        </w:rPr>
        <w:t>suma</w:t>
      </w:r>
      <w:r>
        <w:rPr>
          <w:i/>
          <w:iCs/>
          <w:lang w:eastAsia="lt-LT"/>
        </w:rPr>
        <w:t xml:space="preserve"> </w:t>
      </w:r>
      <w:r>
        <w:rPr>
          <w:lang w:eastAsia="lt-LT"/>
        </w:rPr>
        <w:t>nėra</w:t>
      </w:r>
      <w:r>
        <w:rPr>
          <w:i/>
          <w:iCs/>
          <w:lang w:eastAsia="lt-LT"/>
        </w:rPr>
        <w:t xml:space="preserve"> </w:t>
      </w:r>
      <w:r>
        <w:rPr>
          <w:lang w:eastAsia="lt-LT"/>
        </w:rPr>
        <w:t>grąžinama,</w:t>
      </w:r>
      <w:r>
        <w:rPr>
          <w:i/>
          <w:iCs/>
          <w:lang w:eastAsia="lt-LT"/>
        </w:rPr>
        <w:t xml:space="preserve"> </w:t>
      </w:r>
      <w:r>
        <w:rPr>
          <w:lang w:eastAsia="lt-LT"/>
        </w:rPr>
        <w:t>tai</w:t>
      </w:r>
      <w:r>
        <w:rPr>
          <w:i/>
          <w:iCs/>
          <w:lang w:eastAsia="lt-LT"/>
        </w:rPr>
        <w:t xml:space="preserve"> </w:t>
      </w:r>
      <w:r>
        <w:rPr>
          <w:lang w:eastAsia="lt-LT"/>
        </w:rPr>
        <w:t>minėtus</w:t>
      </w:r>
      <w:r>
        <w:rPr>
          <w:i/>
          <w:iCs/>
          <w:lang w:eastAsia="lt-LT"/>
        </w:rPr>
        <w:t xml:space="preserve"> </w:t>
      </w:r>
      <w:r>
        <w:rPr>
          <w:lang w:eastAsia="lt-LT"/>
        </w:rPr>
        <w:t>dydžius</w:t>
      </w:r>
      <w:r>
        <w:rPr>
          <w:i/>
          <w:iCs/>
          <w:lang w:eastAsia="lt-LT"/>
        </w:rPr>
        <w:t xml:space="preserve"> </w:t>
      </w:r>
      <w:r>
        <w:rPr>
          <w:lang w:eastAsia="lt-LT"/>
        </w:rPr>
        <w:t>viršijanti</w:t>
      </w:r>
      <w:r>
        <w:rPr>
          <w:i/>
          <w:iCs/>
          <w:lang w:eastAsia="lt-LT"/>
        </w:rPr>
        <w:t xml:space="preserve"> </w:t>
      </w:r>
      <w:r>
        <w:rPr>
          <w:lang w:eastAsia="lt-LT"/>
        </w:rPr>
        <w:t>suma</w:t>
      </w:r>
      <w:r>
        <w:rPr>
          <w:i/>
          <w:iCs/>
          <w:lang w:eastAsia="lt-LT"/>
        </w:rPr>
        <w:t xml:space="preserve"> </w:t>
      </w:r>
      <w:r>
        <w:rPr>
          <w:lang w:eastAsia="lt-LT"/>
        </w:rPr>
        <w:t>priskiriama</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nes</w:t>
      </w:r>
      <w:r>
        <w:rPr>
          <w:i/>
          <w:iCs/>
          <w:lang w:eastAsia="lt-LT"/>
        </w:rPr>
        <w:t xml:space="preserve"> </w:t>
      </w:r>
      <w:r>
        <w:rPr>
          <w:lang w:eastAsia="lt-LT"/>
        </w:rPr>
        <w:t>ši</w:t>
      </w:r>
      <w:r>
        <w:rPr>
          <w:i/>
          <w:iCs/>
          <w:lang w:eastAsia="lt-LT"/>
        </w:rPr>
        <w:t xml:space="preserve"> </w:t>
      </w:r>
      <w:r>
        <w:rPr>
          <w:lang w:eastAsia="lt-LT"/>
        </w:rPr>
        <w:t>suma</w:t>
      </w:r>
      <w:r>
        <w:rPr>
          <w:i/>
          <w:iCs/>
          <w:lang w:eastAsia="lt-LT"/>
        </w:rPr>
        <w:t xml:space="preserve"> </w:t>
      </w:r>
      <w:r>
        <w:rPr>
          <w:lang w:eastAsia="lt-LT"/>
        </w:rPr>
        <w:t>yra</w:t>
      </w:r>
      <w:r>
        <w:rPr>
          <w:i/>
          <w:iCs/>
          <w:lang w:eastAsia="lt-LT"/>
        </w:rPr>
        <w:t xml:space="preserve"> </w:t>
      </w:r>
      <w:r>
        <w:rPr>
          <w:lang w:eastAsia="lt-LT"/>
        </w:rPr>
        <w:t>gyventojų</w:t>
      </w:r>
      <w:r>
        <w:rPr>
          <w:i/>
          <w:iCs/>
          <w:lang w:eastAsia="lt-LT"/>
        </w:rPr>
        <w:t xml:space="preserve"> </w:t>
      </w:r>
      <w:r>
        <w:rPr>
          <w:lang w:eastAsia="lt-LT"/>
        </w:rPr>
        <w:t>pajamų</w:t>
      </w:r>
      <w:r>
        <w:rPr>
          <w:i/>
          <w:iCs/>
          <w:lang w:eastAsia="lt-LT"/>
        </w:rPr>
        <w:t xml:space="preserve"> </w:t>
      </w:r>
      <w:r>
        <w:rPr>
          <w:lang w:eastAsia="lt-LT"/>
        </w:rPr>
        <w:t>mokesčio</w:t>
      </w:r>
      <w:r>
        <w:rPr>
          <w:i/>
          <w:iCs/>
          <w:lang w:eastAsia="lt-LT"/>
        </w:rPr>
        <w:t xml:space="preserve"> </w:t>
      </w:r>
      <w:r>
        <w:rPr>
          <w:lang w:eastAsia="lt-LT"/>
        </w:rPr>
        <w:t>objektas.</w:t>
      </w:r>
    </w:p>
    <w:p w14:paraId="14E5078B" w14:textId="77777777" w:rsidR="00093845" w:rsidRDefault="000D779E">
      <w:pPr>
        <w:ind w:firstLine="993"/>
        <w:jc w:val="both"/>
        <w:rPr>
          <w:iCs/>
          <w:lang w:eastAsia="lt-LT"/>
        </w:rPr>
      </w:pPr>
      <w:r>
        <w:rPr>
          <w:iCs/>
          <w:lang w:eastAsia="lt-LT"/>
        </w:rPr>
        <w:t>(</w:t>
      </w:r>
      <w:bookmarkStart w:id="335" w:name="pn1_3101"/>
      <w:bookmarkEnd w:id="335"/>
      <w:r w:rsidR="00ED2FA3" w:rsidRPr="009C0219">
        <w:rPr>
          <w:iCs/>
          <w:u w:val="single"/>
          <w:lang w:eastAsia="lt-LT"/>
        </w:rPr>
        <w:t>PMĮ</w:t>
      </w:r>
      <w:r w:rsidRPr="004A5C6E">
        <w:rPr>
          <w:iCs/>
          <w:lang w:eastAsia="lt-LT"/>
        </w:rPr>
        <w:t xml:space="preserve"> </w:t>
      </w:r>
      <w:bookmarkStart w:id="336" w:name="pn1_3102"/>
      <w:bookmarkEnd w:id="336"/>
      <w:r w:rsidR="00ED2FA3" w:rsidRPr="009C0219">
        <w:rPr>
          <w:iCs/>
          <w:u w:val="single"/>
          <w:lang w:eastAsia="lt-LT"/>
        </w:rPr>
        <w:t>17</w:t>
      </w:r>
      <w:r w:rsidRPr="004A5C6E">
        <w:rPr>
          <w:iCs/>
          <w:lang w:eastAsia="lt-LT"/>
        </w:rPr>
        <w:t xml:space="preserve"> </w:t>
      </w:r>
      <w:r>
        <w:rPr>
          <w:iCs/>
          <w:lang w:eastAsia="lt-LT"/>
        </w:rPr>
        <w:t>straipsnio 1 dalies komentaras pakeistas pagal VMI prie FM 2011-11-21 raštą Nr. (18.10-31-1)-R-10870)).</w:t>
      </w:r>
    </w:p>
    <w:p w14:paraId="315F2A80" w14:textId="77777777" w:rsidR="00644C93" w:rsidRPr="00C755EE" w:rsidRDefault="00644C93" w:rsidP="00644C93">
      <w:pPr>
        <w:ind w:firstLine="993"/>
        <w:jc w:val="both"/>
        <w:rPr>
          <w:b/>
          <w:lang w:eastAsia="lt-LT"/>
        </w:rPr>
      </w:pPr>
      <w:r w:rsidRPr="00C755EE">
        <w:rPr>
          <w:b/>
          <w:lang w:eastAsia="lt-LT"/>
        </w:rPr>
        <w:lastRenderedPageBreak/>
        <w:t>6.3</w:t>
      </w:r>
      <w:r>
        <w:rPr>
          <w:b/>
          <w:lang w:eastAsia="lt-LT"/>
        </w:rPr>
        <w:t>0.7</w:t>
      </w:r>
      <w:r w:rsidRPr="00C755EE">
        <w:rPr>
          <w:b/>
          <w:lang w:eastAsia="lt-LT"/>
        </w:rPr>
        <w:t xml:space="preserve">. </w:t>
      </w:r>
      <w:r>
        <w:rPr>
          <w:b/>
          <w:lang w:eastAsia="lt-LT"/>
        </w:rPr>
        <w:t>I</w:t>
      </w:r>
      <w:r w:rsidRPr="00C755EE">
        <w:rPr>
          <w:b/>
          <w:lang w:eastAsia="lt-LT"/>
        </w:rPr>
        <w:t>šlaid</w:t>
      </w:r>
      <w:r>
        <w:rPr>
          <w:b/>
          <w:lang w:eastAsia="lt-LT"/>
        </w:rPr>
        <w:t>os</w:t>
      </w:r>
      <w:r w:rsidRPr="00C755EE">
        <w:rPr>
          <w:b/>
          <w:lang w:eastAsia="lt-LT"/>
        </w:rPr>
        <w:t>, susijusi</w:t>
      </w:r>
      <w:r>
        <w:rPr>
          <w:b/>
          <w:lang w:eastAsia="lt-LT"/>
        </w:rPr>
        <w:t>os</w:t>
      </w:r>
      <w:r w:rsidRPr="00C755EE">
        <w:rPr>
          <w:b/>
          <w:lang w:eastAsia="lt-LT"/>
        </w:rPr>
        <w:t xml:space="preserve"> su akcijų pasirinkimo sandorio įgyvendinimu </w:t>
      </w:r>
    </w:p>
    <w:p w14:paraId="2AEE4386" w14:textId="77777777" w:rsidR="00644C93" w:rsidRDefault="00644C93" w:rsidP="00644C93">
      <w:pPr>
        <w:ind w:firstLine="993"/>
        <w:jc w:val="both"/>
        <w:rPr>
          <w:lang w:eastAsia="lt-LT"/>
        </w:rPr>
      </w:pPr>
      <w:r>
        <w:rPr>
          <w:lang w:eastAsia="lt-LT"/>
        </w:rPr>
        <w:t>Vienetas</w:t>
      </w:r>
      <w:r w:rsidRPr="00C755EE">
        <w:rPr>
          <w:lang w:eastAsia="lt-LT"/>
        </w:rPr>
        <w:t>, siekdamas įgyvendinti darbuotojų motyvacijos skatinimo programą bei išlaikyti kompetentingus darbuotojus, gali sudaryti su darbuotojais rašytinius akcijų pasirinkimo sandorių susitarimus (angl. stock options)</w:t>
      </w:r>
      <w:r>
        <w:rPr>
          <w:lang w:eastAsia="lt-LT"/>
        </w:rPr>
        <w:t xml:space="preserve">, </w:t>
      </w:r>
      <w:r w:rsidRPr="00C755EE">
        <w:rPr>
          <w:lang w:eastAsia="lt-LT"/>
        </w:rPr>
        <w:t xml:space="preserve">kuriuos sudarius darbuotojas gali įsigyti akcijų iš vieneto (darbdavio) ar su juo </w:t>
      </w:r>
      <w:r w:rsidRPr="005128AC">
        <w:rPr>
          <w:lang w:eastAsia="lt-LT"/>
        </w:rPr>
        <w:t>pagal PMĮ</w:t>
      </w:r>
      <w:r>
        <w:rPr>
          <w:lang w:eastAsia="lt-LT"/>
        </w:rPr>
        <w:t xml:space="preserve"> nuostatas </w:t>
      </w:r>
      <w:r w:rsidRPr="00C755EE">
        <w:rPr>
          <w:lang w:eastAsia="lt-LT"/>
        </w:rPr>
        <w:t>susijusio asmens neatlygintinai arba už lengvatinę kainą</w:t>
      </w:r>
      <w:r>
        <w:t xml:space="preserve"> ir kai</w:t>
      </w:r>
      <w:r>
        <w:rPr>
          <w:lang w:eastAsia="lt-LT"/>
        </w:rPr>
        <w:t xml:space="preserve"> pagal GPMĮ nuostatas</w:t>
      </w:r>
      <w:r w:rsidRPr="007070C4">
        <w:t xml:space="preserve"> </w:t>
      </w:r>
      <w:r>
        <w:t xml:space="preserve">toks sandoris yra pripažįstamas </w:t>
      </w:r>
      <w:r w:rsidRPr="007070C4">
        <w:rPr>
          <w:lang w:eastAsia="lt-LT"/>
        </w:rPr>
        <w:t>gyventojo gauta nauda</w:t>
      </w:r>
      <w:r w:rsidRPr="00C755EE">
        <w:rPr>
          <w:lang w:eastAsia="lt-LT"/>
        </w:rPr>
        <w:t>.</w:t>
      </w:r>
    </w:p>
    <w:p w14:paraId="11A1290D" w14:textId="77777777" w:rsidR="00644C93" w:rsidRDefault="00644C93" w:rsidP="00644C93">
      <w:pPr>
        <w:ind w:firstLine="993"/>
        <w:jc w:val="both"/>
        <w:rPr>
          <w:lang w:eastAsia="lt-LT"/>
        </w:rPr>
      </w:pPr>
      <w:r>
        <w:rPr>
          <w:lang w:eastAsia="lt-LT"/>
        </w:rPr>
        <w:t>Pelno mokesčio apskaičiavimo tikslais pasirinkimo sandorio įvykdymas galimas:</w:t>
      </w:r>
    </w:p>
    <w:p w14:paraId="6EB08221" w14:textId="77777777" w:rsidR="00644C93" w:rsidRDefault="00644C93" w:rsidP="00644C93">
      <w:pPr>
        <w:ind w:firstLine="993"/>
        <w:jc w:val="both"/>
        <w:rPr>
          <w:lang w:eastAsia="lt-LT"/>
        </w:rPr>
      </w:pPr>
      <w:r>
        <w:rPr>
          <w:lang w:eastAsia="lt-LT"/>
        </w:rPr>
        <w:t>- išleidžiant vieneto akcijas ir jas darbuotojams perleidžiant nemokamai arba lengvatine kaina;</w:t>
      </w:r>
    </w:p>
    <w:p w14:paraId="047D24DA" w14:textId="77777777" w:rsidR="00644C93" w:rsidRDefault="00644C93" w:rsidP="00644C93">
      <w:pPr>
        <w:ind w:firstLine="993"/>
        <w:jc w:val="both"/>
        <w:rPr>
          <w:lang w:eastAsia="lt-LT"/>
        </w:rPr>
      </w:pPr>
      <w:r>
        <w:rPr>
          <w:lang w:eastAsia="lt-LT"/>
        </w:rPr>
        <w:t>- nuperkant paties vieneto arba susijusio vieneto akcijas ir jas darbuotojams perleidžiant</w:t>
      </w:r>
      <w:r w:rsidRPr="000D7E94">
        <w:rPr>
          <w:lang w:eastAsia="lt-LT"/>
        </w:rPr>
        <w:t xml:space="preserve"> nemokamai arba lengvatine kaina;</w:t>
      </w:r>
    </w:p>
    <w:p w14:paraId="4FFB7239" w14:textId="77777777" w:rsidR="00644C93" w:rsidRDefault="00644C93" w:rsidP="00644C93">
      <w:pPr>
        <w:ind w:firstLine="993"/>
        <w:jc w:val="both"/>
        <w:rPr>
          <w:lang w:eastAsia="lt-LT"/>
        </w:rPr>
      </w:pPr>
      <w:r>
        <w:rPr>
          <w:lang w:eastAsia="lt-LT"/>
        </w:rPr>
        <w:t>- sumokant kompensaciją susijusiam vienetui už darbuotojui suteikiamas susijusio vieneto akcijas.</w:t>
      </w:r>
    </w:p>
    <w:p w14:paraId="7C59C2EE" w14:textId="77777777" w:rsidR="00644C93" w:rsidRDefault="00644C93" w:rsidP="00644C93">
      <w:pPr>
        <w:spacing w:after="14"/>
        <w:ind w:firstLine="1013"/>
        <w:jc w:val="both"/>
      </w:pPr>
      <w:r w:rsidRPr="00ED40B1">
        <w:rPr>
          <w:lang w:eastAsia="lt-LT"/>
        </w:rPr>
        <w:t>Vienetų patirtos su pasirinkimo sandoriu susijusios išlaidos priskiriamos leidžiamiems atskaitymams ir iš pajamų atskaitomos tą mokestinį laikotarpį, k</w:t>
      </w:r>
      <w:r>
        <w:rPr>
          <w:lang w:eastAsia="lt-LT"/>
        </w:rPr>
        <w:t>urį</w:t>
      </w:r>
      <w:r w:rsidRPr="00ED40B1">
        <w:rPr>
          <w:lang w:eastAsia="lt-LT"/>
        </w:rPr>
        <w:t xml:space="preserve"> pasirinkimo sandoris yra realizuojamas, t. y.</w:t>
      </w:r>
      <w:r w:rsidRPr="009A2746">
        <w:rPr>
          <w:lang w:eastAsia="lt-LT"/>
        </w:rPr>
        <w:t xml:space="preserve"> įvykdomas pasirinkimo sandoris (darbuotojas pasinaudoja suteikta teise įsigyti akcij</w:t>
      </w:r>
      <w:r>
        <w:rPr>
          <w:lang w:eastAsia="lt-LT"/>
        </w:rPr>
        <w:t>ų</w:t>
      </w:r>
      <w:r w:rsidRPr="009A2746">
        <w:rPr>
          <w:lang w:eastAsia="lt-LT"/>
        </w:rPr>
        <w:t>)</w:t>
      </w:r>
      <w:r>
        <w:rPr>
          <w:lang w:eastAsia="lt-LT"/>
        </w:rPr>
        <w:t xml:space="preserve"> arba </w:t>
      </w:r>
      <w:r w:rsidRPr="006014E3">
        <w:rPr>
          <w:lang w:eastAsia="lt-LT"/>
        </w:rPr>
        <w:t xml:space="preserve">tą mokestinį laikotarpį, kurį </w:t>
      </w:r>
      <w:r>
        <w:rPr>
          <w:lang w:eastAsia="lt-LT"/>
        </w:rPr>
        <w:t xml:space="preserve">vienetas kompensuoja </w:t>
      </w:r>
      <w:r>
        <w:t xml:space="preserve">darbuotoją perėmusiam kitam vienetui būsimų akcijų, būtinų prisiimtų įsipareigojimų įgyvendinimui, įsigijimo išlaidas už laikotarpį proporcingą išdirbtam laikui tame vienete. </w:t>
      </w:r>
    </w:p>
    <w:p w14:paraId="1A981694" w14:textId="77777777" w:rsidR="00644C93" w:rsidRDefault="00644C93" w:rsidP="00644C93">
      <w:pPr>
        <w:ind w:firstLine="993"/>
        <w:jc w:val="both"/>
        <w:rPr>
          <w:lang w:eastAsia="lt-LT"/>
        </w:rPr>
      </w:pPr>
    </w:p>
    <w:p w14:paraId="57A6F7D1" w14:textId="77777777" w:rsidR="00644C93" w:rsidRDefault="00644C93" w:rsidP="00644C93">
      <w:pPr>
        <w:ind w:firstLine="993"/>
        <w:jc w:val="both"/>
        <w:rPr>
          <w:lang w:eastAsia="lt-LT"/>
        </w:rPr>
      </w:pPr>
      <w:r>
        <w:rPr>
          <w:lang w:eastAsia="lt-LT"/>
        </w:rPr>
        <w:t xml:space="preserve">6.30.7.1. Vienetai, kurie sudaryto pasirinkimo sandorio įgyvendinimui </w:t>
      </w:r>
      <w:r w:rsidRPr="000D7E94">
        <w:rPr>
          <w:lang w:eastAsia="lt-LT"/>
        </w:rPr>
        <w:t>išleidžia savo akcijas ir jas darbuotojams perleidžia nemokamai arba lengvatine kaina</w:t>
      </w:r>
      <w:r>
        <w:rPr>
          <w:lang w:eastAsia="lt-LT"/>
        </w:rPr>
        <w:t>, pelno mokesčio apskaičiavimo tikslais l</w:t>
      </w:r>
      <w:r w:rsidRPr="000D7E94">
        <w:rPr>
          <w:lang w:eastAsia="lt-LT"/>
        </w:rPr>
        <w:t>eidžiamiems atskaitymams priskiria</w:t>
      </w:r>
      <w:r>
        <w:rPr>
          <w:lang w:eastAsia="lt-LT"/>
        </w:rPr>
        <w:t xml:space="preserve"> tik faktiškai patiriamas su akcijų išleidimu susijusias sąnaudas.</w:t>
      </w:r>
    </w:p>
    <w:p w14:paraId="3B7DF4C7" w14:textId="77777777" w:rsidR="00644C93" w:rsidRDefault="00644C93" w:rsidP="00644C93">
      <w:pPr>
        <w:ind w:firstLine="993"/>
        <w:jc w:val="both"/>
        <w:rPr>
          <w:lang w:eastAsia="lt-LT"/>
        </w:rPr>
      </w:pPr>
      <w:r>
        <w:rPr>
          <w:lang w:eastAsia="lt-LT"/>
        </w:rPr>
        <w:t>Pavyzdys</w:t>
      </w:r>
    </w:p>
    <w:p w14:paraId="6A2446B0" w14:textId="77777777" w:rsidR="00644C93" w:rsidRPr="00605770"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rFonts w:eastAsia="Arial"/>
        </w:rPr>
      </w:pPr>
      <w:r w:rsidRPr="00605770">
        <w:rPr>
          <w:rFonts w:eastAsia="Arial"/>
        </w:rPr>
        <w:t>UAB „X“</w:t>
      </w:r>
      <w:r>
        <w:rPr>
          <w:rFonts w:eastAsia="Arial"/>
        </w:rPr>
        <w:t xml:space="preserve"> (arba įmonė)</w:t>
      </w:r>
      <w:r w:rsidRPr="00605770">
        <w:rPr>
          <w:rFonts w:eastAsia="Arial"/>
        </w:rPr>
        <w:t>, siekdama pritraukti kvalifikuotą darbuotoją, 2020</w:t>
      </w:r>
      <w:r>
        <w:rPr>
          <w:rFonts w:eastAsia="Arial"/>
        </w:rPr>
        <w:t xml:space="preserve"> m. vasario 1 d.</w:t>
      </w:r>
      <w:r w:rsidRPr="00605770">
        <w:rPr>
          <w:rFonts w:eastAsia="Arial"/>
        </w:rPr>
        <w:t xml:space="preserve"> sudaro su juo pasirinkimo s</w:t>
      </w:r>
      <w:r>
        <w:rPr>
          <w:rFonts w:eastAsia="Arial"/>
        </w:rPr>
        <w:t>andorį, suteikiantį teisę po tre</w:t>
      </w:r>
      <w:r w:rsidRPr="00605770">
        <w:rPr>
          <w:rFonts w:eastAsia="Arial"/>
        </w:rPr>
        <w:t>jų darbo metų įmonėje leisti jam įsigyti įmonės akcijų už lengvatinę kainą. 2023</w:t>
      </w:r>
      <w:r>
        <w:rPr>
          <w:rFonts w:eastAsia="Arial"/>
        </w:rPr>
        <w:t xml:space="preserve"> m. vasario </w:t>
      </w:r>
      <w:r w:rsidRPr="00605770">
        <w:rPr>
          <w:rFonts w:eastAsia="Arial"/>
        </w:rPr>
        <w:t xml:space="preserve">2 </w:t>
      </w:r>
      <w:r>
        <w:rPr>
          <w:rFonts w:eastAsia="Arial"/>
        </w:rPr>
        <w:t xml:space="preserve">d. </w:t>
      </w:r>
      <w:r w:rsidRPr="00605770">
        <w:rPr>
          <w:rFonts w:eastAsia="Arial"/>
        </w:rPr>
        <w:t xml:space="preserve">darbuotojas pasirenka įsigyti </w:t>
      </w:r>
      <w:r>
        <w:rPr>
          <w:rFonts w:eastAsia="Arial"/>
        </w:rPr>
        <w:t xml:space="preserve">įmonės </w:t>
      </w:r>
      <w:r w:rsidRPr="00605770">
        <w:rPr>
          <w:rFonts w:eastAsia="Arial"/>
        </w:rPr>
        <w:t xml:space="preserve">akcijų už lengvatinę kainą. </w:t>
      </w:r>
    </w:p>
    <w:p w14:paraId="0CB8CA52" w14:textId="77777777" w:rsidR="00644C93"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rFonts w:eastAsia="Arial"/>
        </w:rPr>
      </w:pPr>
      <w:r w:rsidRPr="00605770">
        <w:rPr>
          <w:rFonts w:eastAsia="Arial"/>
        </w:rPr>
        <w:t>UAB „X“ sudaryto sandorio įvykdymui 2023</w:t>
      </w:r>
      <w:r>
        <w:rPr>
          <w:rFonts w:eastAsia="Arial"/>
        </w:rPr>
        <w:t xml:space="preserve"> m. sausio 20 d.</w:t>
      </w:r>
      <w:r w:rsidRPr="00605770">
        <w:rPr>
          <w:rFonts w:eastAsia="Arial"/>
        </w:rPr>
        <w:t xml:space="preserve"> išleidžia naują akcijų emisiją (100 akcijų po 100 eurų už vieną akciją) ir su jos išleidimu patiria 2000 eurų sąnaudų.</w:t>
      </w:r>
    </w:p>
    <w:p w14:paraId="28367359" w14:textId="77777777" w:rsidR="00644C93" w:rsidRPr="00C755EE" w:rsidRDefault="00644C93" w:rsidP="00644C93">
      <w:pPr>
        <w:pBdr>
          <w:top w:val="single" w:sz="4" w:space="1" w:color="auto"/>
          <w:left w:val="single" w:sz="4" w:space="4" w:color="auto"/>
          <w:bottom w:val="single" w:sz="4" w:space="1" w:color="auto"/>
          <w:right w:val="single" w:sz="4" w:space="4" w:color="auto"/>
        </w:pBdr>
        <w:tabs>
          <w:tab w:val="left" w:pos="9038"/>
        </w:tabs>
        <w:spacing w:after="14"/>
        <w:ind w:left="26" w:firstLine="992"/>
        <w:jc w:val="both"/>
        <w:rPr>
          <w:lang w:eastAsia="lt-LT"/>
        </w:rPr>
      </w:pPr>
      <w:r w:rsidRPr="003D0A22">
        <w:rPr>
          <w:rFonts w:eastAsia="Arial"/>
        </w:rPr>
        <w:t>2023</w:t>
      </w:r>
      <w:r>
        <w:rPr>
          <w:rFonts w:eastAsia="Arial"/>
        </w:rPr>
        <w:t xml:space="preserve"> m. vasario </w:t>
      </w:r>
      <w:r w:rsidRPr="003D0A22">
        <w:rPr>
          <w:rFonts w:eastAsia="Arial"/>
        </w:rPr>
        <w:t>2</w:t>
      </w:r>
      <w:r>
        <w:rPr>
          <w:rFonts w:eastAsia="Arial"/>
        </w:rPr>
        <w:t xml:space="preserve"> d.</w:t>
      </w:r>
      <w:r w:rsidRPr="003D0A22">
        <w:rPr>
          <w:rFonts w:eastAsia="Arial"/>
        </w:rPr>
        <w:t xml:space="preserve"> darbuotojui pasirinkus įsigyti </w:t>
      </w:r>
      <w:r w:rsidRPr="006014E3">
        <w:rPr>
          <w:rFonts w:eastAsia="Arial"/>
        </w:rPr>
        <w:t>ir įsig</w:t>
      </w:r>
      <w:r>
        <w:rPr>
          <w:rFonts w:eastAsia="Arial"/>
        </w:rPr>
        <w:t>i</w:t>
      </w:r>
      <w:r w:rsidRPr="006014E3">
        <w:rPr>
          <w:rFonts w:eastAsia="Arial"/>
        </w:rPr>
        <w:t xml:space="preserve">jus </w:t>
      </w:r>
      <w:r w:rsidRPr="003D0A22">
        <w:rPr>
          <w:rFonts w:eastAsia="Arial"/>
        </w:rPr>
        <w:t>įmonės akcijų</w:t>
      </w:r>
      <w:r>
        <w:rPr>
          <w:rFonts w:eastAsia="Arial"/>
        </w:rPr>
        <w:t xml:space="preserve"> lengvatine kaina</w:t>
      </w:r>
      <w:r w:rsidRPr="003D0A22">
        <w:rPr>
          <w:rFonts w:eastAsia="Arial"/>
        </w:rPr>
        <w:t xml:space="preserve">, laikoma, kad sandoris realizuotas ir </w:t>
      </w:r>
      <w:r w:rsidRPr="00913154">
        <w:rPr>
          <w:rFonts w:eastAsia="Arial"/>
        </w:rPr>
        <w:t>darbuotojas gavo naudą, kuri laikoma GPM objektu, o UAB „X“ faktiškai patirtos išlaidos – 2000 eurų priskiriamos leidžiamiems atskaitymams.</w:t>
      </w:r>
    </w:p>
    <w:p w14:paraId="4BF3E2B7" w14:textId="77777777" w:rsidR="00644C93" w:rsidRDefault="00644C93" w:rsidP="00644C93">
      <w:pPr>
        <w:ind w:firstLine="993"/>
        <w:rPr>
          <w:lang w:eastAsia="lt-LT"/>
        </w:rPr>
      </w:pPr>
    </w:p>
    <w:p w14:paraId="664D67F6" w14:textId="77777777" w:rsidR="00644C93" w:rsidRDefault="00644C93" w:rsidP="00644C93">
      <w:pPr>
        <w:ind w:firstLine="993"/>
        <w:jc w:val="both"/>
        <w:rPr>
          <w:lang w:eastAsia="lt-LT"/>
        </w:rPr>
      </w:pPr>
      <w:r w:rsidRPr="00C755EE">
        <w:rPr>
          <w:lang w:eastAsia="lt-LT"/>
        </w:rPr>
        <w:t>6.3</w:t>
      </w:r>
      <w:r>
        <w:rPr>
          <w:lang w:eastAsia="lt-LT"/>
        </w:rPr>
        <w:t>0</w:t>
      </w:r>
      <w:r w:rsidRPr="00C755EE">
        <w:rPr>
          <w:lang w:eastAsia="lt-LT"/>
        </w:rPr>
        <w:t>.</w:t>
      </w:r>
      <w:r>
        <w:rPr>
          <w:lang w:eastAsia="lt-LT"/>
        </w:rPr>
        <w:t>7.2</w:t>
      </w:r>
      <w:r w:rsidRPr="00C755EE">
        <w:rPr>
          <w:lang w:eastAsia="lt-LT"/>
        </w:rPr>
        <w:t xml:space="preserve">. </w:t>
      </w:r>
      <w:r>
        <w:rPr>
          <w:lang w:eastAsia="lt-LT"/>
        </w:rPr>
        <w:t>Tuo atveju, jeigu v</w:t>
      </w:r>
      <w:r w:rsidRPr="009A2746">
        <w:rPr>
          <w:lang w:eastAsia="lt-LT"/>
        </w:rPr>
        <w:t>ienetai pasirinkimo sandorio įgyvendinimui</w:t>
      </w:r>
      <w:r>
        <w:rPr>
          <w:lang w:eastAsia="lt-LT"/>
        </w:rPr>
        <w:t xml:space="preserve">, </w:t>
      </w:r>
      <w:r w:rsidRPr="009A2746">
        <w:rPr>
          <w:lang w:eastAsia="lt-LT"/>
        </w:rPr>
        <w:t xml:space="preserve">nuperka savo arba susijusio </w:t>
      </w:r>
      <w:r>
        <w:rPr>
          <w:lang w:eastAsia="lt-LT"/>
        </w:rPr>
        <w:t xml:space="preserve">vieneto </w:t>
      </w:r>
      <w:r w:rsidRPr="009A2746">
        <w:rPr>
          <w:lang w:eastAsia="lt-LT"/>
        </w:rPr>
        <w:t>akcij</w:t>
      </w:r>
      <w:r>
        <w:rPr>
          <w:lang w:eastAsia="lt-LT"/>
        </w:rPr>
        <w:t>ų</w:t>
      </w:r>
      <w:r w:rsidRPr="009A2746">
        <w:rPr>
          <w:lang w:eastAsia="lt-LT"/>
        </w:rPr>
        <w:t xml:space="preserve"> ir jas darbuotojams perleidžia</w:t>
      </w:r>
      <w:r>
        <w:rPr>
          <w:lang w:eastAsia="lt-LT"/>
        </w:rPr>
        <w:t xml:space="preserve"> nemokamai arba </w:t>
      </w:r>
      <w:r w:rsidRPr="009A2746">
        <w:rPr>
          <w:lang w:eastAsia="lt-LT"/>
        </w:rPr>
        <w:t>lengvatine kaina</w:t>
      </w:r>
      <w:r>
        <w:rPr>
          <w:lang w:eastAsia="lt-LT"/>
        </w:rPr>
        <w:t xml:space="preserve">, </w:t>
      </w:r>
      <w:r w:rsidRPr="003D0A22">
        <w:rPr>
          <w:lang w:eastAsia="lt-LT"/>
        </w:rPr>
        <w:t>pelno mokesčio apskaičiavimo tikslais</w:t>
      </w:r>
      <w:r>
        <w:rPr>
          <w:lang w:eastAsia="lt-LT"/>
        </w:rPr>
        <w:t xml:space="preserve"> </w:t>
      </w:r>
      <w:r w:rsidRPr="009D7370">
        <w:rPr>
          <w:lang w:eastAsia="lt-LT"/>
        </w:rPr>
        <w:t>tą mokestinį laikotarpį, kurį įvykdomas pasirinkimo sandoris</w:t>
      </w:r>
      <w:r>
        <w:rPr>
          <w:lang w:eastAsia="lt-LT"/>
        </w:rPr>
        <w:t>,</w:t>
      </w:r>
      <w:r w:rsidRPr="00C1350B">
        <w:rPr>
          <w:lang w:eastAsia="lt-LT"/>
        </w:rPr>
        <w:t xml:space="preserve"> tur</w:t>
      </w:r>
      <w:r>
        <w:rPr>
          <w:lang w:eastAsia="lt-LT"/>
        </w:rPr>
        <w:t>i</w:t>
      </w:r>
      <w:r w:rsidRPr="00C1350B">
        <w:rPr>
          <w:lang w:eastAsia="lt-LT"/>
        </w:rPr>
        <w:t xml:space="preserve"> </w:t>
      </w:r>
      <w:r>
        <w:rPr>
          <w:lang w:eastAsia="lt-LT"/>
        </w:rPr>
        <w:t xml:space="preserve">pripažinti vertybinių popierių (akcijų) perleidimo </w:t>
      </w:r>
      <w:r w:rsidRPr="00C1350B">
        <w:rPr>
          <w:lang w:eastAsia="lt-LT"/>
        </w:rPr>
        <w:t xml:space="preserve">turto vertės padidėjimo pajamas. Šiuo atveju vertybinių popierių </w:t>
      </w:r>
      <w:r>
        <w:rPr>
          <w:lang w:eastAsia="lt-LT"/>
        </w:rPr>
        <w:t xml:space="preserve">(toliau – VP) </w:t>
      </w:r>
      <w:r w:rsidRPr="00C1350B">
        <w:rPr>
          <w:lang w:eastAsia="lt-LT"/>
        </w:rPr>
        <w:t xml:space="preserve">vertės pajamomis bus pripažįstamas skirtumas tarp </w:t>
      </w:r>
      <w:r>
        <w:rPr>
          <w:lang w:eastAsia="lt-LT"/>
        </w:rPr>
        <w:t xml:space="preserve">akcijų </w:t>
      </w:r>
      <w:r w:rsidRPr="00C1350B">
        <w:rPr>
          <w:lang w:eastAsia="lt-LT"/>
        </w:rPr>
        <w:t xml:space="preserve">pardavimo tikrosios rinkos kainos ir </w:t>
      </w:r>
      <w:r>
        <w:rPr>
          <w:lang w:eastAsia="lt-LT"/>
        </w:rPr>
        <w:t xml:space="preserve">jų </w:t>
      </w:r>
      <w:r w:rsidRPr="00C1350B">
        <w:rPr>
          <w:lang w:eastAsia="lt-LT"/>
        </w:rPr>
        <w:t>įsigijimo kainos.</w:t>
      </w:r>
      <w:r>
        <w:rPr>
          <w:lang w:eastAsia="lt-LT"/>
        </w:rPr>
        <w:t xml:space="preserve"> </w:t>
      </w:r>
    </w:p>
    <w:p w14:paraId="429A2E45" w14:textId="77777777" w:rsidR="00644C93" w:rsidRPr="007C3C23" w:rsidRDefault="00644C93" w:rsidP="00644C93">
      <w:pPr>
        <w:ind w:firstLine="993"/>
        <w:jc w:val="both"/>
        <w:rPr>
          <w:lang w:eastAsia="lt-LT"/>
        </w:rPr>
      </w:pPr>
      <w:r w:rsidRPr="007C3C23">
        <w:rPr>
          <w:lang w:eastAsia="lt-LT"/>
        </w:rPr>
        <w:t>Š</w:t>
      </w:r>
      <w:r>
        <w:rPr>
          <w:lang w:eastAsia="lt-LT"/>
        </w:rPr>
        <w:t>io sandorio pasė</w:t>
      </w:r>
      <w:r w:rsidRPr="007C3C23">
        <w:rPr>
          <w:lang w:eastAsia="lt-LT"/>
        </w:rPr>
        <w:t xml:space="preserve">koje vienetas akcijas perleis nemokamai arba lengvatine kaina, o darbuotojas gaus naudą, kuri yra GPM objektas. PMĮ apskaičiavimo tikslais, kai vieneto darbuotojas </w:t>
      </w:r>
      <w:r w:rsidRPr="007C3C23">
        <w:rPr>
          <w:lang w:eastAsia="lt-LT"/>
        </w:rPr>
        <w:lastRenderedPageBreak/>
        <w:t>pasinaudoja jam suteikta teise įsigyti nemokamai arba lengvatine kaina akcijas, vieneto leidžiamiems atskaitymams priskiriama:</w:t>
      </w:r>
    </w:p>
    <w:p w14:paraId="2FEDE81B" w14:textId="77777777" w:rsidR="00644C93" w:rsidRPr="007C3C23" w:rsidRDefault="00644C93" w:rsidP="00644C93">
      <w:pPr>
        <w:ind w:firstLine="993"/>
        <w:jc w:val="both"/>
        <w:rPr>
          <w:lang w:eastAsia="lt-LT"/>
        </w:rPr>
      </w:pPr>
      <w:r w:rsidRPr="007C3C23">
        <w:rPr>
          <w:lang w:eastAsia="lt-LT"/>
        </w:rPr>
        <w:t>- kai akcijos perleidžiamos nemokamai, tai vieneto leidžiamiems atskaitymams priskiriama vieneto apmokestinamosioms turto vertės padidėjimo pajamoms priskirta akcijų perleidimo suma;</w:t>
      </w:r>
    </w:p>
    <w:p w14:paraId="54EE21E2" w14:textId="77777777" w:rsidR="00644C93" w:rsidRDefault="00644C93" w:rsidP="00644C93">
      <w:pPr>
        <w:ind w:firstLine="993"/>
        <w:jc w:val="both"/>
        <w:rPr>
          <w:lang w:eastAsia="lt-LT"/>
        </w:rPr>
      </w:pPr>
      <w:r w:rsidRPr="007C3C23">
        <w:rPr>
          <w:lang w:eastAsia="lt-LT"/>
        </w:rPr>
        <w:t>- kai akcijos perleidžiamos už lengvatinę kainą, tai vieneto leidžiamiems atskaitymams priskiriama vieneto apmokestinamosioms turto vertės padidėjimo pajamoms priskirta akcijų perleidimo suma, atėmus darbuotojo faktiškai už įsigyjamas akcijas sumokėtą sumą.</w:t>
      </w:r>
    </w:p>
    <w:p w14:paraId="4E96BF48" w14:textId="77777777" w:rsidR="00644C93" w:rsidRPr="00644C93" w:rsidRDefault="00644C93" w:rsidP="00644C93">
      <w:pPr>
        <w:ind w:firstLine="993"/>
        <w:jc w:val="both"/>
        <w:rPr>
          <w:b/>
          <w:strike/>
          <w:lang w:eastAsia="lt-LT"/>
        </w:rPr>
      </w:pPr>
      <w:r>
        <w:rPr>
          <w:lang w:eastAsia="lt-LT"/>
        </w:rPr>
        <w:t xml:space="preserve">6.30.7.3. </w:t>
      </w:r>
      <w:r w:rsidRPr="009A2746">
        <w:rPr>
          <w:lang w:eastAsia="lt-LT"/>
        </w:rPr>
        <w:t xml:space="preserve">Vienetai, kurie </w:t>
      </w:r>
      <w:r>
        <w:rPr>
          <w:lang w:eastAsia="lt-LT"/>
        </w:rPr>
        <w:t xml:space="preserve">nuo pasirinkimo sandorių sudarymo dienos, ruošdamiesi </w:t>
      </w:r>
      <w:r w:rsidRPr="009A2746">
        <w:rPr>
          <w:lang w:eastAsia="lt-LT"/>
        </w:rPr>
        <w:t xml:space="preserve">sudaryto pasirinkimo sandorio įgyvendinimui, </w:t>
      </w:r>
      <w:r>
        <w:rPr>
          <w:lang w:eastAsia="lt-LT"/>
        </w:rPr>
        <w:t xml:space="preserve">finansinėje apskaitoje </w:t>
      </w:r>
      <w:r w:rsidRPr="00C755EE">
        <w:rPr>
          <w:lang w:eastAsia="lt-LT"/>
        </w:rPr>
        <w:t>formuoja atidėjinius akcijų</w:t>
      </w:r>
      <w:r>
        <w:rPr>
          <w:lang w:eastAsia="lt-LT"/>
        </w:rPr>
        <w:t>, kurias perleis darbuotojams,</w:t>
      </w:r>
      <w:r w:rsidRPr="00C755EE">
        <w:rPr>
          <w:lang w:eastAsia="lt-LT"/>
        </w:rPr>
        <w:t xml:space="preserve"> įsigijimui</w:t>
      </w:r>
      <w:r>
        <w:rPr>
          <w:lang w:eastAsia="lt-LT"/>
        </w:rPr>
        <w:t>, apskaičiuojant apmokestinamąjį pelną, šių a</w:t>
      </w:r>
      <w:r w:rsidRPr="00C755EE">
        <w:rPr>
          <w:lang w:eastAsia="lt-LT"/>
        </w:rPr>
        <w:t>tidėjinių sąnaud</w:t>
      </w:r>
      <w:r>
        <w:rPr>
          <w:lang w:eastAsia="lt-LT"/>
        </w:rPr>
        <w:t>a</w:t>
      </w:r>
      <w:r w:rsidRPr="00C755EE">
        <w:rPr>
          <w:lang w:eastAsia="lt-LT"/>
        </w:rPr>
        <w:t>s, priskiria neleidžiamiems atskaitymams</w:t>
      </w:r>
      <w:r>
        <w:rPr>
          <w:lang w:eastAsia="lt-LT"/>
        </w:rPr>
        <w:t xml:space="preserve">. </w:t>
      </w:r>
    </w:p>
    <w:p w14:paraId="08350161" w14:textId="77777777" w:rsidR="00644C93" w:rsidRPr="00B63C18" w:rsidRDefault="00644C93" w:rsidP="00644C93">
      <w:pPr>
        <w:ind w:firstLine="993"/>
        <w:jc w:val="both"/>
        <w:rPr>
          <w:lang w:eastAsia="lt-LT"/>
        </w:rPr>
      </w:pPr>
      <w:r w:rsidRPr="00B63C18">
        <w:rPr>
          <w:lang w:eastAsia="lt-LT"/>
        </w:rPr>
        <w:t>Pavyzd</w:t>
      </w:r>
      <w:r>
        <w:rPr>
          <w:lang w:eastAsia="lt-LT"/>
        </w:rPr>
        <w:t>žiai</w:t>
      </w:r>
    </w:p>
    <w:tbl>
      <w:tblPr>
        <w:tblStyle w:val="TableGrid"/>
        <w:tblpPr w:leftFromText="180" w:rightFromText="180" w:vertAnchor="text" w:horzAnchor="margin" w:tblpY="187"/>
        <w:tblW w:w="0" w:type="auto"/>
        <w:tblInd w:w="0" w:type="dxa"/>
        <w:tblCellMar>
          <w:top w:w="14" w:type="dxa"/>
          <w:left w:w="106" w:type="dxa"/>
          <w:right w:w="115" w:type="dxa"/>
        </w:tblCellMar>
        <w:tblLook w:val="04A0" w:firstRow="1" w:lastRow="0" w:firstColumn="1" w:lastColumn="0" w:noHBand="0" w:noVBand="1"/>
      </w:tblPr>
      <w:tblGrid>
        <w:gridCol w:w="9732"/>
      </w:tblGrid>
      <w:tr w:rsidR="00644C93" w14:paraId="7D3ACBC7" w14:textId="77777777" w:rsidTr="00644C93">
        <w:trPr>
          <w:trHeight w:val="685"/>
        </w:trPr>
        <w:tc>
          <w:tcPr>
            <w:tcW w:w="0" w:type="auto"/>
            <w:tcBorders>
              <w:top w:val="single" w:sz="4" w:space="0" w:color="000000"/>
              <w:left w:val="single" w:sz="4" w:space="0" w:color="000000"/>
              <w:bottom w:val="single" w:sz="4" w:space="0" w:color="000000"/>
              <w:right w:val="single" w:sz="4" w:space="0" w:color="000000"/>
            </w:tcBorders>
          </w:tcPr>
          <w:p w14:paraId="7482A001" w14:textId="77777777" w:rsidR="00644C93" w:rsidRPr="00605770" w:rsidRDefault="00644C93" w:rsidP="00644C93">
            <w:pPr>
              <w:tabs>
                <w:tab w:val="left" w:pos="9038"/>
              </w:tabs>
              <w:spacing w:after="14" w:line="259" w:lineRule="auto"/>
              <w:ind w:left="26" w:firstLine="992"/>
              <w:jc w:val="both"/>
              <w:rPr>
                <w:rFonts w:ascii="Times New Roman" w:hAnsi="Times New Roman" w:cs="Times New Roman"/>
              </w:rPr>
            </w:pP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2021 m. sausio 1 d. sudaro susitarim</w:t>
            </w:r>
            <w:r w:rsidRPr="00605770">
              <w:rPr>
                <w:rFonts w:ascii="Times New Roman" w:eastAsia="Arial" w:hAnsi="Times New Roman" w:cs="Times New Roman"/>
              </w:rPr>
              <w:t>ą</w:t>
            </w:r>
            <w:r w:rsidRPr="00605770">
              <w:rPr>
                <w:rFonts w:ascii="Times New Roman" w:hAnsi="Times New Roman" w:cs="Times New Roman"/>
              </w:rPr>
              <w:t xml:space="preserve"> d</w:t>
            </w:r>
            <w:r w:rsidRPr="00605770">
              <w:rPr>
                <w:rFonts w:ascii="Times New Roman" w:eastAsia="Arial" w:hAnsi="Times New Roman" w:cs="Times New Roman"/>
              </w:rPr>
              <w:t>ė</w:t>
            </w:r>
            <w:r>
              <w:rPr>
                <w:rFonts w:ascii="Times New Roman" w:hAnsi="Times New Roman" w:cs="Times New Roman"/>
              </w:rPr>
              <w:t>l tre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pasirinkimo</w:t>
            </w:r>
            <w:r>
              <w:rPr>
                <w:rFonts w:ascii="Times New Roman" w:hAnsi="Times New Roman" w:cs="Times New Roman"/>
              </w:rPr>
              <w:t xml:space="preserve"> s</w:t>
            </w:r>
            <w:r w:rsidRPr="00605770">
              <w:rPr>
                <w:rFonts w:ascii="Times New Roman" w:hAnsi="Times New Roman" w:cs="Times New Roman"/>
              </w:rPr>
              <w:t>andorio su</w:t>
            </w:r>
            <w:r>
              <w:rPr>
                <w:rFonts w:ascii="Times New Roman" w:hAnsi="Times New Roman" w:cs="Times New Roman"/>
              </w:rPr>
              <w:t xml:space="preserve"> </w:t>
            </w:r>
            <w:r w:rsidRPr="00605770">
              <w:rPr>
                <w:rFonts w:ascii="Times New Roman" w:hAnsi="Times New Roman" w:cs="Times New Roman"/>
              </w:rPr>
              <w:t>darbuotoju, kur</w:t>
            </w:r>
            <w:r w:rsidRPr="00605770">
              <w:rPr>
                <w:rFonts w:ascii="Times New Roman" w:eastAsia="Arial" w:hAnsi="Times New Roman" w:cs="Times New Roman"/>
              </w:rPr>
              <w:t>į</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gyvendinus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sidRPr="00605770">
              <w:rPr>
                <w:rFonts w:ascii="Times New Roman" w:eastAsia="Arial" w:hAnsi="Times New Roman" w:cs="Times New Roman"/>
              </w:rPr>
              <w:t>į</w:t>
            </w:r>
            <w:r w:rsidRPr="00605770">
              <w:rPr>
                <w:rFonts w:ascii="Times New Roman" w:hAnsi="Times New Roman" w:cs="Times New Roman"/>
              </w:rPr>
              <w:t>sig</w:t>
            </w:r>
            <w:r>
              <w:rPr>
                <w:rFonts w:ascii="Times New Roman" w:hAnsi="Times New Roman" w:cs="Times New Roman"/>
              </w:rPr>
              <w:t>i</w:t>
            </w:r>
            <w:r w:rsidRPr="00605770">
              <w:rPr>
                <w:rFonts w:ascii="Times New Roman" w:hAnsi="Times New Roman" w:cs="Times New Roman"/>
              </w:rPr>
              <w:t>s ir perleis darbuotojui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atsižvelgdama </w:t>
            </w:r>
            <w:r w:rsidRPr="00605770">
              <w:rPr>
                <w:rFonts w:ascii="Times New Roman" w:eastAsia="Arial" w:hAnsi="Times New Roman" w:cs="Times New Roman"/>
              </w:rPr>
              <w:t>į</w:t>
            </w:r>
            <w:r w:rsidRPr="00605770">
              <w:rPr>
                <w:rFonts w:ascii="Times New Roman" w:hAnsi="Times New Roman" w:cs="Times New Roman"/>
              </w:rPr>
              <w:t xml:space="preserve"> sudaryt</w:t>
            </w:r>
            <w:r w:rsidRPr="00605770">
              <w:rPr>
                <w:rFonts w:ascii="Times New Roman" w:eastAsia="Arial" w:hAnsi="Times New Roman" w:cs="Times New Roman"/>
              </w:rPr>
              <w:t>ą</w:t>
            </w:r>
            <w:r w:rsidRPr="00605770">
              <w:rPr>
                <w:rFonts w:ascii="Times New Roman" w:hAnsi="Times New Roman" w:cs="Times New Roman"/>
              </w:rPr>
              <w:t xml:space="preserve"> susitarim</w:t>
            </w:r>
            <w:r w:rsidRPr="00605770">
              <w:rPr>
                <w:rFonts w:ascii="Times New Roman" w:eastAsia="Arial" w:hAnsi="Times New Roman" w:cs="Times New Roman"/>
              </w:rPr>
              <w:t>ą</w:t>
            </w:r>
            <w:r w:rsidRPr="00605770">
              <w:rPr>
                <w:rFonts w:ascii="Times New Roman" w:hAnsi="Times New Roman" w:cs="Times New Roman"/>
              </w:rPr>
              <w:t xml:space="preserve"> ir iš šio susitarimo kylan</w:t>
            </w:r>
            <w:r w:rsidRPr="00605770">
              <w:rPr>
                <w:rFonts w:ascii="Times New Roman" w:eastAsia="Arial" w:hAnsi="Times New Roman" w:cs="Times New Roman"/>
              </w:rPr>
              <w:t>č</w:t>
            </w:r>
            <w:r w:rsidRPr="00605770">
              <w:rPr>
                <w:rFonts w:ascii="Times New Roman" w:hAnsi="Times New Roman" w:cs="Times New Roman"/>
              </w:rPr>
              <w:t xml:space="preserve">ias prievoles </w:t>
            </w:r>
            <w:r>
              <w:rPr>
                <w:rFonts w:ascii="Times New Roman" w:hAnsi="Times New Roman" w:cs="Times New Roman"/>
              </w:rPr>
              <w:t xml:space="preserve">darbuotojui </w:t>
            </w:r>
            <w:r w:rsidRPr="00605770">
              <w:rPr>
                <w:rFonts w:ascii="Times New Roman" w:hAnsi="Times New Roman" w:cs="Times New Roman"/>
              </w:rPr>
              <w:t>nupirkti atitinkam</w:t>
            </w:r>
            <w:r w:rsidRPr="00605770">
              <w:rPr>
                <w:rFonts w:ascii="Times New Roman" w:eastAsia="Arial" w:hAnsi="Times New Roman" w:cs="Times New Roman"/>
              </w:rPr>
              <w:t>ą</w:t>
            </w:r>
            <w:r w:rsidRPr="00605770">
              <w:rPr>
                <w:rFonts w:ascii="Times New Roman" w:hAnsi="Times New Roman" w:cs="Times New Roman"/>
              </w:rPr>
              <w:t xml:space="preserve"> kiek</w:t>
            </w:r>
            <w:r w:rsidRPr="00605770">
              <w:rPr>
                <w:rFonts w:ascii="Times New Roman" w:eastAsia="Arial" w:hAnsi="Times New Roman" w:cs="Times New Roman"/>
              </w:rPr>
              <w:t>į</w:t>
            </w:r>
            <w:r w:rsidRPr="00605770">
              <w:rPr>
                <w:rFonts w:ascii="Times New Roman" w:hAnsi="Times New Roman" w:cs="Times New Roman"/>
              </w:rPr>
              <w:t xml:space="preserve">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kuriomis prekiaujama akcij</w:t>
            </w:r>
            <w:r w:rsidRPr="00605770">
              <w:rPr>
                <w:rFonts w:ascii="Times New Roman" w:eastAsia="Arial" w:hAnsi="Times New Roman" w:cs="Times New Roman"/>
              </w:rPr>
              <w:t>ų</w:t>
            </w:r>
            <w:r w:rsidRPr="00605770">
              <w:rPr>
                <w:rFonts w:ascii="Times New Roman" w:hAnsi="Times New Roman" w:cs="Times New Roman"/>
              </w:rPr>
              <w:t xml:space="preserve"> biržoje, pagal rinkos kain</w:t>
            </w:r>
            <w:r w:rsidRPr="00605770">
              <w:rPr>
                <w:rFonts w:ascii="Times New Roman" w:eastAsia="Arial" w:hAnsi="Times New Roman" w:cs="Times New Roman"/>
              </w:rPr>
              <w:t>ą</w:t>
            </w:r>
            <w:r w:rsidRPr="00605770">
              <w:rPr>
                <w:rFonts w:ascii="Times New Roman" w:hAnsi="Times New Roman" w:cs="Times New Roman"/>
              </w:rPr>
              <w:t xml:space="preserve"> j</w:t>
            </w:r>
            <w:r w:rsidRPr="00605770">
              <w:rPr>
                <w:rFonts w:ascii="Times New Roman" w:eastAsia="Arial" w:hAnsi="Times New Roman" w:cs="Times New Roman"/>
              </w:rPr>
              <w:t xml:space="preserve">ų </w:t>
            </w:r>
            <w:r w:rsidRPr="00605770">
              <w:rPr>
                <w:rFonts w:ascii="Times New Roman" w:hAnsi="Times New Roman" w:cs="Times New Roman"/>
              </w:rPr>
              <w:t>nuosavyb</w:t>
            </w:r>
            <w:r w:rsidRPr="00605770">
              <w:rPr>
                <w:rFonts w:ascii="Times New Roman" w:eastAsia="Arial" w:hAnsi="Times New Roman" w:cs="Times New Roman"/>
              </w:rPr>
              <w:t>ė</w:t>
            </w:r>
            <w:r w:rsidRPr="00605770">
              <w:rPr>
                <w:rFonts w:ascii="Times New Roman" w:hAnsi="Times New Roman" w:cs="Times New Roman"/>
              </w:rPr>
              <w:t>s perleidimo momentu (2024 m. sausio 2 d.), kad po tr</w:t>
            </w:r>
            <w:r>
              <w:rPr>
                <w:rFonts w:ascii="Times New Roman" w:hAnsi="Times New Roman" w:cs="Times New Roman"/>
              </w:rPr>
              <w:t>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patirs 3 000 Eur išlaid</w:t>
            </w:r>
            <w:r w:rsidRPr="00605770">
              <w:rPr>
                <w:rFonts w:ascii="Times New Roman" w:eastAsia="Arial" w:hAnsi="Times New Roman" w:cs="Times New Roman"/>
              </w:rPr>
              <w:t>ų</w:t>
            </w:r>
            <w:r w:rsidRPr="00605770">
              <w:rPr>
                <w:rFonts w:ascii="Times New Roman" w:hAnsi="Times New Roman" w:cs="Times New Roman"/>
              </w:rPr>
              <w:t>.</w:t>
            </w:r>
          </w:p>
          <w:p w14:paraId="5241484A" w14:textId="77777777" w:rsidR="00644C93" w:rsidRPr="00605770" w:rsidRDefault="00644C93" w:rsidP="00644C93">
            <w:pPr>
              <w:spacing w:after="14" w:line="259" w:lineRule="auto"/>
              <w:ind w:left="26" w:firstLine="987"/>
              <w:jc w:val="both"/>
              <w:rPr>
                <w:rFonts w:ascii="Times New Roman" w:hAnsi="Times New Roman" w:cs="Times New Roman"/>
              </w:rPr>
            </w:pPr>
            <w:r w:rsidRPr="00605770">
              <w:rPr>
                <w:rFonts w:ascii="Times New Roman" w:hAnsi="Times New Roman" w:cs="Times New Roman"/>
              </w:rPr>
              <w:t>Pastaroji suma apskai</w:t>
            </w:r>
            <w:r w:rsidRPr="00605770">
              <w:rPr>
                <w:rFonts w:ascii="Times New Roman" w:eastAsia="Arial" w:hAnsi="Times New Roman" w:cs="Times New Roman"/>
              </w:rPr>
              <w:t>č</w:t>
            </w:r>
            <w:r w:rsidRPr="00605770">
              <w:rPr>
                <w:rFonts w:ascii="Times New Roman" w:hAnsi="Times New Roman" w:cs="Times New Roman"/>
              </w:rPr>
              <w:t xml:space="preserve">iuojama atsižvelgiant </w:t>
            </w:r>
            <w:r w:rsidRPr="00605770">
              <w:rPr>
                <w:rFonts w:ascii="Times New Roman" w:eastAsia="Arial" w:hAnsi="Times New Roman" w:cs="Times New Roman"/>
              </w:rPr>
              <w:t>į</w:t>
            </w:r>
            <w:r w:rsidRPr="00605770">
              <w:rPr>
                <w:rFonts w:ascii="Times New Roman" w:hAnsi="Times New Roman" w:cs="Times New Roman"/>
              </w:rPr>
              <w:t xml:space="preserve"> susitarimo pasirašymo dien</w:t>
            </w:r>
            <w:r w:rsidRPr="00605770">
              <w:rPr>
                <w:rFonts w:ascii="Times New Roman" w:eastAsia="Arial" w:hAnsi="Times New Roman" w:cs="Times New Roman"/>
              </w:rPr>
              <w:t>ą</w:t>
            </w:r>
            <w:r w:rsidRPr="00605770">
              <w:rPr>
                <w:rFonts w:ascii="Times New Roman" w:hAnsi="Times New Roman" w:cs="Times New Roman"/>
              </w:rPr>
              <w:t xml:space="preserve"> esan</w:t>
            </w:r>
            <w:r w:rsidRPr="00605770">
              <w:rPr>
                <w:rFonts w:ascii="Times New Roman" w:eastAsia="Arial" w:hAnsi="Times New Roman" w:cs="Times New Roman"/>
              </w:rPr>
              <w:t>č</w:t>
            </w:r>
            <w:r w:rsidRPr="00605770">
              <w:rPr>
                <w:rFonts w:ascii="Times New Roman" w:hAnsi="Times New Roman" w:cs="Times New Roman"/>
              </w:rPr>
              <w:t>i</w:t>
            </w:r>
            <w:r w:rsidRPr="00605770">
              <w:rPr>
                <w:rFonts w:ascii="Times New Roman" w:eastAsia="Arial" w:hAnsi="Times New Roman" w:cs="Times New Roman"/>
              </w:rPr>
              <w:t>ą</w:t>
            </w:r>
            <w:r w:rsidRPr="00605770">
              <w:rPr>
                <w:rFonts w:ascii="Times New Roman" w:hAnsi="Times New Roman" w:cs="Times New Roman"/>
              </w:rPr>
              <w:t xml:space="preserve"> akcij</w:t>
            </w:r>
            <w:r w:rsidRPr="00605770">
              <w:rPr>
                <w:rFonts w:ascii="Times New Roman" w:eastAsia="Arial" w:hAnsi="Times New Roman" w:cs="Times New Roman"/>
              </w:rPr>
              <w:t>ų</w:t>
            </w:r>
            <w:r>
              <w:rPr>
                <w:rFonts w:ascii="Times New Roman" w:eastAsia="Arial" w:hAnsi="Times New Roman" w:cs="Times New Roman"/>
              </w:rPr>
              <w:t xml:space="preserve"> </w:t>
            </w:r>
            <w:r w:rsidRPr="00605770">
              <w:rPr>
                <w:rFonts w:ascii="Times New Roman" w:hAnsi="Times New Roman" w:cs="Times New Roman"/>
              </w:rPr>
              <w:t>rinkos kain</w:t>
            </w:r>
            <w:r w:rsidRPr="00605770">
              <w:rPr>
                <w:rFonts w:ascii="Times New Roman" w:eastAsia="Arial" w:hAnsi="Times New Roman" w:cs="Times New Roman"/>
              </w:rPr>
              <w:t>ą</w:t>
            </w:r>
            <w:r w:rsidRPr="00605770">
              <w:rPr>
                <w:rFonts w:ascii="Times New Roman" w:hAnsi="Times New Roman" w:cs="Times New Roman"/>
              </w:rPr>
              <w:t>, kai tuo tarpu reikalingas akcij</w:t>
            </w:r>
            <w:r w:rsidRPr="00605770">
              <w:rPr>
                <w:rFonts w:ascii="Times New Roman" w:eastAsia="Arial" w:hAnsi="Times New Roman" w:cs="Times New Roman"/>
              </w:rPr>
              <w:t>ų</w:t>
            </w:r>
            <w:r w:rsidRPr="00605770">
              <w:rPr>
                <w:rFonts w:ascii="Times New Roman" w:hAnsi="Times New Roman" w:cs="Times New Roman"/>
              </w:rPr>
              <w:t xml:space="preserve"> kiekis yra perkamas pagal rinkos kain</w:t>
            </w:r>
            <w:r w:rsidRPr="00605770">
              <w:rPr>
                <w:rFonts w:ascii="Times New Roman" w:eastAsia="Arial" w:hAnsi="Times New Roman" w:cs="Times New Roman"/>
              </w:rPr>
              <w:t>ą</w:t>
            </w:r>
            <w:r w:rsidRPr="00605770">
              <w:rPr>
                <w:rFonts w:ascii="Times New Roman" w:hAnsi="Times New Roman" w:cs="Times New Roman"/>
              </w:rPr>
              <w:t xml:space="preserve"> pasirinkimo sandorio </w:t>
            </w:r>
            <w:r w:rsidRPr="00605770">
              <w:rPr>
                <w:rFonts w:ascii="Times New Roman" w:eastAsia="Arial" w:hAnsi="Times New Roman" w:cs="Times New Roman"/>
              </w:rPr>
              <w:t>į</w:t>
            </w:r>
            <w:r w:rsidRPr="00605770">
              <w:rPr>
                <w:rFonts w:ascii="Times New Roman" w:hAnsi="Times New Roman" w:cs="Times New Roman"/>
              </w:rPr>
              <w:t>gyvendinimo dien</w:t>
            </w:r>
            <w:r w:rsidRPr="00605770">
              <w:rPr>
                <w:rFonts w:ascii="Times New Roman" w:eastAsia="Arial" w:hAnsi="Times New Roman" w:cs="Times New Roman"/>
              </w:rPr>
              <w:t>ą</w:t>
            </w:r>
            <w:r w:rsidRPr="00605770">
              <w:rPr>
                <w:rFonts w:ascii="Times New Roman" w:hAnsi="Times New Roman" w:cs="Times New Roman"/>
              </w:rPr>
              <w:t xml:space="preserve"> (2024 m. sausio 2 d.).</w:t>
            </w:r>
          </w:p>
          <w:p w14:paraId="2D7F1786" w14:textId="77777777" w:rsidR="00644C93" w:rsidRPr="00605770" w:rsidRDefault="00644C93" w:rsidP="00644C93">
            <w:pPr>
              <w:spacing w:after="18" w:line="259" w:lineRule="auto"/>
              <w:ind w:left="26" w:firstLine="987"/>
              <w:jc w:val="both"/>
              <w:rPr>
                <w:rFonts w:ascii="Times New Roman" w:hAnsi="Times New Roman" w:cs="Times New Roman"/>
              </w:rPr>
            </w:pPr>
            <w:r w:rsidRPr="00605770">
              <w:rPr>
                <w:rFonts w:ascii="Times New Roman" w:hAnsi="Times New Roman" w:cs="Times New Roman"/>
              </w:rPr>
              <w:t xml:space="preserve">Kadangi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s „A“ </w:t>
            </w:r>
            <w:r w:rsidRPr="00605770">
              <w:rPr>
                <w:rFonts w:ascii="Times New Roman" w:eastAsia="Arial" w:hAnsi="Times New Roman" w:cs="Times New Roman"/>
              </w:rPr>
              <w:t>į</w:t>
            </w:r>
            <w:r w:rsidRPr="00605770">
              <w:rPr>
                <w:rFonts w:ascii="Times New Roman" w:hAnsi="Times New Roman" w:cs="Times New Roman"/>
              </w:rPr>
              <w:t xml:space="preserve">sipareigojimas yra ilgalaikis,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finansin</w:t>
            </w:r>
            <w:r w:rsidRPr="00605770">
              <w:rPr>
                <w:rFonts w:ascii="Times New Roman" w:eastAsia="Arial" w:hAnsi="Times New Roman" w:cs="Times New Roman"/>
              </w:rPr>
              <w:t>ė</w:t>
            </w:r>
            <w:r w:rsidRPr="00605770">
              <w:rPr>
                <w:rFonts w:ascii="Times New Roman" w:hAnsi="Times New Roman" w:cs="Times New Roman"/>
              </w:rPr>
              <w:t>je apskaitoje tris</w:t>
            </w:r>
            <w:r>
              <w:rPr>
                <w:rFonts w:ascii="Times New Roman" w:hAnsi="Times New Roman" w:cs="Times New Roman"/>
              </w:rPr>
              <w:t xml:space="preserve"> </w:t>
            </w:r>
            <w:r w:rsidRPr="00605770">
              <w:rPr>
                <w:rFonts w:ascii="Times New Roman" w:hAnsi="Times New Roman" w:cs="Times New Roman"/>
              </w:rPr>
              <w:t>metus lygiomis dalimis apskaito b</w:t>
            </w:r>
            <w:r w:rsidRPr="00605770">
              <w:rPr>
                <w:rFonts w:ascii="Times New Roman" w:eastAsia="Arial" w:hAnsi="Times New Roman" w:cs="Times New Roman"/>
              </w:rPr>
              <w:t>ū</w:t>
            </w:r>
            <w:r w:rsidRPr="00605770">
              <w:rPr>
                <w:rFonts w:ascii="Times New Roman" w:hAnsi="Times New Roman" w:cs="Times New Roman"/>
              </w:rPr>
              <w:t>simas išlaidas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sigijimui.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atid</w:t>
            </w:r>
            <w:r w:rsidRPr="00605770">
              <w:rPr>
                <w:rFonts w:ascii="Times New Roman" w:eastAsia="Arial" w:hAnsi="Times New Roman" w:cs="Times New Roman"/>
              </w:rPr>
              <w:t>ė</w:t>
            </w:r>
            <w:r w:rsidRPr="00605770">
              <w:rPr>
                <w:rFonts w:ascii="Times New Roman" w:hAnsi="Times New Roman" w:cs="Times New Roman"/>
              </w:rPr>
              <w:t>jini</w:t>
            </w:r>
            <w:r w:rsidRPr="00605770">
              <w:rPr>
                <w:rFonts w:ascii="Times New Roman" w:eastAsia="Arial" w:hAnsi="Times New Roman" w:cs="Times New Roman"/>
              </w:rPr>
              <w:t>ų</w:t>
            </w:r>
            <w:r w:rsidRPr="00605770">
              <w:rPr>
                <w:rFonts w:ascii="Times New Roman" w:hAnsi="Times New Roman" w:cs="Times New Roman"/>
              </w:rPr>
              <w:t xml:space="preserve"> s</w:t>
            </w:r>
            <w:r w:rsidRPr="00605770">
              <w:rPr>
                <w:rFonts w:ascii="Times New Roman" w:eastAsia="Arial" w:hAnsi="Times New Roman" w:cs="Times New Roman"/>
              </w:rPr>
              <w:t>ą</w:t>
            </w:r>
            <w:r w:rsidRPr="00605770">
              <w:rPr>
                <w:rFonts w:ascii="Times New Roman" w:hAnsi="Times New Roman" w:cs="Times New Roman"/>
              </w:rPr>
              <w:t>naudas prisipaž</w:t>
            </w:r>
            <w:r w:rsidRPr="00605770">
              <w:rPr>
                <w:rFonts w:ascii="Times New Roman" w:eastAsia="Arial" w:hAnsi="Times New Roman" w:cs="Times New Roman"/>
              </w:rPr>
              <w:t>į</w:t>
            </w:r>
            <w:r w:rsidRPr="00605770">
              <w:rPr>
                <w:rFonts w:ascii="Times New Roman" w:hAnsi="Times New Roman" w:cs="Times New Roman"/>
              </w:rPr>
              <w:t>sta j</w:t>
            </w:r>
            <w:r w:rsidRPr="00605770">
              <w:rPr>
                <w:rFonts w:ascii="Times New Roman" w:eastAsia="Arial" w:hAnsi="Times New Roman" w:cs="Times New Roman"/>
              </w:rPr>
              <w:t>ų</w:t>
            </w:r>
            <w:r w:rsidRPr="00605770">
              <w:rPr>
                <w:rFonts w:ascii="Times New Roman" w:hAnsi="Times New Roman" w:cs="Times New Roman"/>
              </w:rPr>
              <w:t xml:space="preserve"> susidarymo metu, atsižvelgiant </w:t>
            </w:r>
            <w:r w:rsidRPr="00605770">
              <w:rPr>
                <w:rFonts w:ascii="Times New Roman" w:eastAsia="Arial" w:hAnsi="Times New Roman" w:cs="Times New Roman"/>
              </w:rPr>
              <w:t>į</w:t>
            </w:r>
            <w:r w:rsidRPr="00605770">
              <w:rPr>
                <w:rFonts w:ascii="Times New Roman" w:hAnsi="Times New Roman" w:cs="Times New Roman"/>
              </w:rPr>
              <w:t xml:space="preserve"> tai, už kok</w:t>
            </w:r>
            <w:r w:rsidRPr="00605770">
              <w:rPr>
                <w:rFonts w:ascii="Times New Roman" w:eastAsia="Arial" w:hAnsi="Times New Roman" w:cs="Times New Roman"/>
              </w:rPr>
              <w:t>į</w:t>
            </w:r>
            <w:r w:rsidRPr="00605770">
              <w:rPr>
                <w:rFonts w:ascii="Times New Roman" w:hAnsi="Times New Roman" w:cs="Times New Roman"/>
              </w:rPr>
              <w:t xml:space="preserve"> apskaitin</w:t>
            </w:r>
            <w:r w:rsidRPr="00605770">
              <w:rPr>
                <w:rFonts w:ascii="Times New Roman" w:eastAsia="Arial" w:hAnsi="Times New Roman" w:cs="Times New Roman"/>
              </w:rPr>
              <w:t>į</w:t>
            </w:r>
            <w:r w:rsidRPr="00605770">
              <w:rPr>
                <w:rFonts w:ascii="Times New Roman" w:hAnsi="Times New Roman" w:cs="Times New Roman"/>
              </w:rPr>
              <w:t xml:space="preserve"> laikotarp</w:t>
            </w:r>
            <w:r w:rsidRPr="00605770">
              <w:rPr>
                <w:rFonts w:ascii="Times New Roman" w:eastAsia="Arial" w:hAnsi="Times New Roman" w:cs="Times New Roman"/>
              </w:rPr>
              <w:t>į</w:t>
            </w:r>
            <w:r w:rsidRPr="00605770">
              <w:rPr>
                <w:rFonts w:ascii="Times New Roman" w:hAnsi="Times New Roman" w:cs="Times New Roman"/>
              </w:rPr>
              <w:t xml:space="preserve"> šios s</w:t>
            </w:r>
            <w:r w:rsidRPr="00605770">
              <w:rPr>
                <w:rFonts w:ascii="Times New Roman" w:eastAsia="Arial" w:hAnsi="Times New Roman" w:cs="Times New Roman"/>
              </w:rPr>
              <w:t>ą</w:t>
            </w:r>
            <w:r w:rsidRPr="00605770">
              <w:rPr>
                <w:rFonts w:ascii="Times New Roman" w:hAnsi="Times New Roman" w:cs="Times New Roman"/>
              </w:rPr>
              <w:t>naudos sukauptos.</w:t>
            </w:r>
          </w:p>
          <w:tbl>
            <w:tblPr>
              <w:tblStyle w:val="TableGrid"/>
              <w:tblW w:w="8990" w:type="dxa"/>
              <w:tblInd w:w="5" w:type="dxa"/>
              <w:tblCellMar>
                <w:top w:w="10" w:type="dxa"/>
                <w:left w:w="106" w:type="dxa"/>
                <w:right w:w="426" w:type="dxa"/>
              </w:tblCellMar>
              <w:tblLook w:val="04A0" w:firstRow="1" w:lastRow="0" w:firstColumn="1" w:lastColumn="0" w:noHBand="0" w:noVBand="1"/>
            </w:tblPr>
            <w:tblGrid>
              <w:gridCol w:w="3152"/>
              <w:gridCol w:w="1946"/>
              <w:gridCol w:w="1946"/>
              <w:gridCol w:w="1946"/>
            </w:tblGrid>
            <w:tr w:rsidR="00644C93" w:rsidRPr="00605770" w14:paraId="00CDEFAA" w14:textId="77777777" w:rsidTr="00644C93">
              <w:trPr>
                <w:trHeight w:val="274"/>
              </w:trPr>
              <w:tc>
                <w:tcPr>
                  <w:tcW w:w="4421" w:type="dxa"/>
                  <w:tcBorders>
                    <w:top w:val="single" w:sz="4" w:space="0" w:color="000000"/>
                    <w:left w:val="single" w:sz="4" w:space="0" w:color="000000"/>
                    <w:bottom w:val="single" w:sz="4" w:space="0" w:color="000000"/>
                    <w:right w:val="single" w:sz="4" w:space="0" w:color="000000"/>
                  </w:tcBorders>
                </w:tcPr>
                <w:p w14:paraId="7FB644F2" w14:textId="77777777" w:rsidR="00644C93" w:rsidRPr="00605770" w:rsidRDefault="00644C93" w:rsidP="00EE2CEE">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Mokestiniai metai</w:t>
                  </w:r>
                </w:p>
              </w:tc>
              <w:tc>
                <w:tcPr>
                  <w:tcW w:w="1373" w:type="dxa"/>
                  <w:tcBorders>
                    <w:top w:val="single" w:sz="4" w:space="0" w:color="000000"/>
                    <w:left w:val="single" w:sz="4" w:space="0" w:color="000000"/>
                    <w:bottom w:val="single" w:sz="4" w:space="0" w:color="000000"/>
                    <w:right w:val="single" w:sz="4" w:space="0" w:color="000000"/>
                  </w:tcBorders>
                </w:tcPr>
                <w:p w14:paraId="0E7FECE1" w14:textId="77777777" w:rsidR="00644C93" w:rsidRPr="00605770" w:rsidRDefault="00644C93" w:rsidP="00EE2CEE">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2021</w:t>
                  </w:r>
                </w:p>
              </w:tc>
              <w:tc>
                <w:tcPr>
                  <w:tcW w:w="1373" w:type="dxa"/>
                  <w:tcBorders>
                    <w:top w:val="single" w:sz="4" w:space="0" w:color="000000"/>
                    <w:left w:val="single" w:sz="4" w:space="0" w:color="000000"/>
                    <w:bottom w:val="single" w:sz="4" w:space="0" w:color="000000"/>
                    <w:right w:val="single" w:sz="4" w:space="0" w:color="000000"/>
                  </w:tcBorders>
                </w:tcPr>
                <w:p w14:paraId="5CAF3C0B" w14:textId="77777777" w:rsidR="00644C93" w:rsidRPr="00605770" w:rsidRDefault="00644C93" w:rsidP="00EE2CEE">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2022</w:t>
                  </w:r>
                </w:p>
              </w:tc>
              <w:tc>
                <w:tcPr>
                  <w:tcW w:w="1824" w:type="dxa"/>
                  <w:tcBorders>
                    <w:top w:val="single" w:sz="4" w:space="0" w:color="000000"/>
                    <w:left w:val="single" w:sz="4" w:space="0" w:color="000000"/>
                    <w:bottom w:val="single" w:sz="4" w:space="0" w:color="000000"/>
                    <w:right w:val="single" w:sz="4" w:space="0" w:color="000000"/>
                  </w:tcBorders>
                </w:tcPr>
                <w:p w14:paraId="499F56B3" w14:textId="77777777" w:rsidR="00644C93" w:rsidRPr="00605770" w:rsidRDefault="00644C93" w:rsidP="00EE2CEE">
                  <w:pPr>
                    <w:framePr w:hSpace="180" w:wrap="around" w:vAnchor="text" w:hAnchor="margin" w:y="187"/>
                    <w:spacing w:line="259" w:lineRule="auto"/>
                    <w:ind w:left="26" w:firstLine="987"/>
                    <w:rPr>
                      <w:rFonts w:ascii="Times New Roman" w:hAnsi="Times New Roman" w:cs="Times New Roman"/>
                      <w:sz w:val="20"/>
                      <w:szCs w:val="20"/>
                    </w:rPr>
                  </w:pPr>
                  <w:r w:rsidRPr="00605770">
                    <w:rPr>
                      <w:rFonts w:ascii="Times New Roman" w:eastAsia="Arial" w:hAnsi="Times New Roman" w:cs="Times New Roman"/>
                      <w:b/>
                      <w:sz w:val="20"/>
                      <w:szCs w:val="20"/>
                    </w:rPr>
                    <w:t>2023</w:t>
                  </w:r>
                </w:p>
              </w:tc>
            </w:tr>
            <w:tr w:rsidR="00644C93" w:rsidRPr="00605770" w14:paraId="33904398" w14:textId="77777777" w:rsidTr="00644C93">
              <w:trPr>
                <w:trHeight w:val="538"/>
              </w:trPr>
              <w:tc>
                <w:tcPr>
                  <w:tcW w:w="4421" w:type="dxa"/>
                  <w:tcBorders>
                    <w:top w:val="single" w:sz="4" w:space="0" w:color="000000"/>
                    <w:left w:val="single" w:sz="4" w:space="0" w:color="000000"/>
                    <w:bottom w:val="single" w:sz="4" w:space="0" w:color="000000"/>
                    <w:right w:val="single" w:sz="4" w:space="0" w:color="000000"/>
                  </w:tcBorders>
                </w:tcPr>
                <w:p w14:paraId="7770100A" w14:textId="77777777" w:rsidR="00644C93" w:rsidRPr="00605770" w:rsidRDefault="00644C93" w:rsidP="00EE2CEE">
                  <w:pPr>
                    <w:framePr w:hSpace="180" w:wrap="around" w:vAnchor="text" w:hAnchor="margin" w:y="187"/>
                    <w:spacing w:line="259" w:lineRule="auto"/>
                    <w:ind w:left="26" w:firstLine="26"/>
                    <w:jc w:val="both"/>
                    <w:rPr>
                      <w:rFonts w:ascii="Times New Roman" w:hAnsi="Times New Roman" w:cs="Times New Roman"/>
                      <w:sz w:val="20"/>
                      <w:szCs w:val="20"/>
                    </w:rPr>
                  </w:pPr>
                  <w:r w:rsidRPr="00605770">
                    <w:rPr>
                      <w:rFonts w:ascii="Times New Roman" w:hAnsi="Times New Roman" w:cs="Times New Roman"/>
                      <w:sz w:val="20"/>
                      <w:szCs w:val="20"/>
                    </w:rPr>
                    <w:t>Pelno nuostoli</w:t>
                  </w:r>
                  <w:r w:rsidRPr="00605770">
                    <w:rPr>
                      <w:rFonts w:ascii="Times New Roman" w:eastAsia="Arial" w:hAnsi="Times New Roman" w:cs="Times New Roman"/>
                      <w:sz w:val="20"/>
                      <w:szCs w:val="20"/>
                    </w:rPr>
                    <w:t>ų</w:t>
                  </w:r>
                  <w:r w:rsidRPr="00605770">
                    <w:rPr>
                      <w:rFonts w:ascii="Times New Roman" w:hAnsi="Times New Roman" w:cs="Times New Roman"/>
                      <w:sz w:val="20"/>
                      <w:szCs w:val="20"/>
                    </w:rPr>
                    <w:t>) ataskaitoje apskaitytos s</w:t>
                  </w:r>
                  <w:r w:rsidRPr="00605770">
                    <w:rPr>
                      <w:rFonts w:ascii="Times New Roman" w:eastAsia="Arial" w:hAnsi="Times New Roman" w:cs="Times New Roman"/>
                      <w:sz w:val="20"/>
                      <w:szCs w:val="20"/>
                    </w:rPr>
                    <w:t>ą</w:t>
                  </w:r>
                  <w:r w:rsidRPr="00605770">
                    <w:rPr>
                      <w:rFonts w:ascii="Times New Roman" w:hAnsi="Times New Roman" w:cs="Times New Roman"/>
                      <w:sz w:val="20"/>
                      <w:szCs w:val="20"/>
                    </w:rPr>
                    <w:t>naudos, Eur</w:t>
                  </w:r>
                </w:p>
              </w:tc>
              <w:tc>
                <w:tcPr>
                  <w:tcW w:w="1373" w:type="dxa"/>
                  <w:tcBorders>
                    <w:top w:val="single" w:sz="4" w:space="0" w:color="000000"/>
                    <w:left w:val="single" w:sz="4" w:space="0" w:color="000000"/>
                    <w:bottom w:val="single" w:sz="4" w:space="0" w:color="000000"/>
                    <w:right w:val="single" w:sz="4" w:space="0" w:color="000000"/>
                  </w:tcBorders>
                  <w:vAlign w:val="center"/>
                </w:tcPr>
                <w:p w14:paraId="2124542F"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373" w:type="dxa"/>
                  <w:tcBorders>
                    <w:top w:val="single" w:sz="4" w:space="0" w:color="000000"/>
                    <w:left w:val="single" w:sz="4" w:space="0" w:color="000000"/>
                    <w:bottom w:val="single" w:sz="4" w:space="0" w:color="000000"/>
                    <w:right w:val="single" w:sz="4" w:space="0" w:color="000000"/>
                  </w:tcBorders>
                  <w:vAlign w:val="center"/>
                </w:tcPr>
                <w:p w14:paraId="09BE5A88"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824" w:type="dxa"/>
                  <w:tcBorders>
                    <w:top w:val="single" w:sz="4" w:space="0" w:color="000000"/>
                    <w:left w:val="single" w:sz="4" w:space="0" w:color="000000"/>
                    <w:bottom w:val="single" w:sz="4" w:space="0" w:color="000000"/>
                    <w:right w:val="single" w:sz="4" w:space="0" w:color="000000"/>
                  </w:tcBorders>
                  <w:vAlign w:val="center"/>
                </w:tcPr>
                <w:p w14:paraId="66A3C382"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r>
            <w:tr w:rsidR="00644C93" w:rsidRPr="00605770" w14:paraId="0C2D4D5E" w14:textId="77777777" w:rsidTr="00644C93">
              <w:trPr>
                <w:trHeight w:val="542"/>
              </w:trPr>
              <w:tc>
                <w:tcPr>
                  <w:tcW w:w="4421" w:type="dxa"/>
                  <w:tcBorders>
                    <w:top w:val="single" w:sz="4" w:space="0" w:color="000000"/>
                    <w:left w:val="single" w:sz="4" w:space="0" w:color="000000"/>
                    <w:bottom w:val="single" w:sz="4" w:space="0" w:color="000000"/>
                    <w:right w:val="single" w:sz="4" w:space="0" w:color="000000"/>
                  </w:tcBorders>
                </w:tcPr>
                <w:p w14:paraId="407DF13D" w14:textId="77777777" w:rsidR="00644C93" w:rsidRPr="00605770" w:rsidRDefault="00644C93" w:rsidP="00EE2CEE">
                  <w:pPr>
                    <w:framePr w:hSpace="180" w:wrap="around" w:vAnchor="text" w:hAnchor="margin" w:y="187"/>
                    <w:spacing w:line="259" w:lineRule="auto"/>
                    <w:ind w:left="26" w:firstLine="26"/>
                    <w:jc w:val="both"/>
                    <w:rPr>
                      <w:rFonts w:ascii="Times New Roman" w:hAnsi="Times New Roman" w:cs="Times New Roman"/>
                      <w:sz w:val="20"/>
                      <w:szCs w:val="20"/>
                    </w:rPr>
                  </w:pPr>
                  <w:r w:rsidRPr="00605770">
                    <w:rPr>
                      <w:rFonts w:ascii="Times New Roman" w:hAnsi="Times New Roman" w:cs="Times New Roman"/>
                      <w:sz w:val="20"/>
                      <w:szCs w:val="20"/>
                    </w:rPr>
                    <w:t xml:space="preserve">Balanso ataskaitoje sukaupta </w:t>
                  </w:r>
                  <w:r w:rsidRPr="00605770">
                    <w:rPr>
                      <w:rFonts w:ascii="Times New Roman" w:eastAsia="Arial" w:hAnsi="Times New Roman" w:cs="Times New Roman"/>
                      <w:sz w:val="20"/>
                      <w:szCs w:val="20"/>
                    </w:rPr>
                    <w:t>į</w:t>
                  </w:r>
                  <w:r w:rsidRPr="00605770">
                    <w:rPr>
                      <w:rFonts w:ascii="Times New Roman" w:hAnsi="Times New Roman" w:cs="Times New Roman"/>
                      <w:sz w:val="20"/>
                      <w:szCs w:val="20"/>
                    </w:rPr>
                    <w:t>sipareigojim</w:t>
                  </w:r>
                  <w:r w:rsidRPr="00605770">
                    <w:rPr>
                      <w:rFonts w:ascii="Times New Roman" w:eastAsia="Arial" w:hAnsi="Times New Roman" w:cs="Times New Roman"/>
                      <w:sz w:val="20"/>
                      <w:szCs w:val="20"/>
                    </w:rPr>
                    <w:t xml:space="preserve">ų </w:t>
                  </w:r>
                  <w:r w:rsidRPr="00605770">
                    <w:rPr>
                      <w:rFonts w:ascii="Times New Roman" w:hAnsi="Times New Roman" w:cs="Times New Roman"/>
                      <w:sz w:val="20"/>
                      <w:szCs w:val="20"/>
                    </w:rPr>
                    <w:t>darbuotojams suma, Eur</w:t>
                  </w:r>
                </w:p>
              </w:tc>
              <w:tc>
                <w:tcPr>
                  <w:tcW w:w="1373" w:type="dxa"/>
                  <w:tcBorders>
                    <w:top w:val="single" w:sz="4" w:space="0" w:color="000000"/>
                    <w:left w:val="single" w:sz="4" w:space="0" w:color="000000"/>
                    <w:bottom w:val="single" w:sz="4" w:space="0" w:color="000000"/>
                    <w:right w:val="single" w:sz="4" w:space="0" w:color="000000"/>
                  </w:tcBorders>
                  <w:vAlign w:val="center"/>
                </w:tcPr>
                <w:p w14:paraId="3A9C94E4"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1 000</w:t>
                  </w:r>
                </w:p>
              </w:tc>
              <w:tc>
                <w:tcPr>
                  <w:tcW w:w="1373" w:type="dxa"/>
                  <w:tcBorders>
                    <w:top w:val="single" w:sz="4" w:space="0" w:color="000000"/>
                    <w:left w:val="single" w:sz="4" w:space="0" w:color="000000"/>
                    <w:bottom w:val="single" w:sz="4" w:space="0" w:color="000000"/>
                    <w:right w:val="single" w:sz="4" w:space="0" w:color="000000"/>
                  </w:tcBorders>
                  <w:vAlign w:val="center"/>
                </w:tcPr>
                <w:p w14:paraId="2408BF9A"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2 000</w:t>
                  </w:r>
                </w:p>
              </w:tc>
              <w:tc>
                <w:tcPr>
                  <w:tcW w:w="1824" w:type="dxa"/>
                  <w:tcBorders>
                    <w:top w:val="single" w:sz="4" w:space="0" w:color="000000"/>
                    <w:left w:val="single" w:sz="4" w:space="0" w:color="000000"/>
                    <w:bottom w:val="single" w:sz="4" w:space="0" w:color="000000"/>
                    <w:right w:val="single" w:sz="4" w:space="0" w:color="000000"/>
                  </w:tcBorders>
                  <w:vAlign w:val="center"/>
                </w:tcPr>
                <w:p w14:paraId="7EAB4970" w14:textId="77777777" w:rsidR="00644C93" w:rsidRPr="00605770" w:rsidRDefault="00644C93" w:rsidP="00EE2CEE">
                  <w:pPr>
                    <w:framePr w:hSpace="180" w:wrap="around" w:vAnchor="text" w:hAnchor="margin" w:y="187"/>
                    <w:spacing w:line="259" w:lineRule="auto"/>
                    <w:ind w:left="26"/>
                    <w:rPr>
                      <w:rFonts w:ascii="Times New Roman" w:hAnsi="Times New Roman" w:cs="Times New Roman"/>
                      <w:sz w:val="20"/>
                      <w:szCs w:val="20"/>
                    </w:rPr>
                  </w:pPr>
                  <w:r w:rsidRPr="00605770">
                    <w:rPr>
                      <w:rFonts w:ascii="Times New Roman" w:hAnsi="Times New Roman" w:cs="Times New Roman"/>
                      <w:sz w:val="20"/>
                      <w:szCs w:val="20"/>
                    </w:rPr>
                    <w:t>3 000</w:t>
                  </w:r>
                </w:p>
              </w:tc>
            </w:tr>
          </w:tbl>
          <w:p w14:paraId="40FDD668" w14:textId="77777777" w:rsidR="00644C93" w:rsidRPr="00605770" w:rsidRDefault="00644C93" w:rsidP="00644C93">
            <w:pPr>
              <w:spacing w:after="14" w:line="259" w:lineRule="auto"/>
              <w:ind w:left="26" w:firstLine="987"/>
              <w:jc w:val="both"/>
              <w:rPr>
                <w:rFonts w:ascii="Times New Roman" w:hAnsi="Times New Roman" w:cs="Times New Roman"/>
              </w:rPr>
            </w:pP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 formuojami atid</w:t>
            </w:r>
            <w:r w:rsidRPr="00605770">
              <w:rPr>
                <w:rFonts w:ascii="Times New Roman" w:eastAsia="Arial" w:hAnsi="Times New Roman" w:cs="Times New Roman"/>
              </w:rPr>
              <w:t>ė</w:t>
            </w:r>
            <w:r w:rsidRPr="00605770">
              <w:rPr>
                <w:rFonts w:ascii="Times New Roman" w:hAnsi="Times New Roman" w:cs="Times New Roman"/>
              </w:rPr>
              <w:t>jiniai (3 000 Eur) d</w:t>
            </w:r>
            <w:r w:rsidRPr="00605770">
              <w:rPr>
                <w:rFonts w:ascii="Times New Roman" w:eastAsia="Arial" w:hAnsi="Times New Roman" w:cs="Times New Roman"/>
              </w:rPr>
              <w:t>ė</w:t>
            </w:r>
            <w:r w:rsidRPr="00605770">
              <w:rPr>
                <w:rFonts w:ascii="Times New Roman" w:hAnsi="Times New Roman" w:cs="Times New Roman"/>
              </w:rPr>
              <w:t>l b</w:t>
            </w:r>
            <w:r w:rsidRPr="00605770">
              <w:rPr>
                <w:rFonts w:ascii="Times New Roman" w:eastAsia="Arial" w:hAnsi="Times New Roman" w:cs="Times New Roman"/>
              </w:rPr>
              <w:t>ū</w:t>
            </w:r>
            <w:r w:rsidRPr="00605770">
              <w:rPr>
                <w:rFonts w:ascii="Times New Roman" w:hAnsi="Times New Roman" w:cs="Times New Roman"/>
              </w:rPr>
              <w:t>simo akcij</w:t>
            </w:r>
            <w:r w:rsidRPr="00605770">
              <w:rPr>
                <w:rFonts w:ascii="Times New Roman" w:eastAsia="Arial" w:hAnsi="Times New Roman" w:cs="Times New Roman"/>
              </w:rPr>
              <w:t>ų</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sigijimo 2021 – 2023 m.</w:t>
            </w:r>
            <w:r>
              <w:rPr>
                <w:rFonts w:ascii="Times New Roman" w:hAnsi="Times New Roman" w:cs="Times New Roman"/>
              </w:rPr>
              <w:t xml:space="preserve"> </w:t>
            </w:r>
            <w:r w:rsidRPr="00605770">
              <w:rPr>
                <w:rFonts w:ascii="Times New Roman" w:hAnsi="Times New Roman" w:cs="Times New Roman"/>
              </w:rPr>
              <w:t>mokestiniais laikotarpiais priskiriami neleidžiamiems atskaitymams ir iš pajam</w:t>
            </w:r>
            <w:r w:rsidRPr="00605770">
              <w:rPr>
                <w:rFonts w:ascii="Times New Roman" w:eastAsia="Arial" w:hAnsi="Times New Roman" w:cs="Times New Roman"/>
              </w:rPr>
              <w:t>ų</w:t>
            </w:r>
            <w:r w:rsidRPr="00605770">
              <w:rPr>
                <w:rFonts w:ascii="Times New Roman" w:hAnsi="Times New Roman" w:cs="Times New Roman"/>
              </w:rPr>
              <w:t xml:space="preserve"> </w:t>
            </w:r>
            <w:r>
              <w:rPr>
                <w:rFonts w:ascii="Times New Roman" w:hAnsi="Times New Roman" w:cs="Times New Roman"/>
              </w:rPr>
              <w:t xml:space="preserve"> n</w:t>
            </w:r>
            <w:r w:rsidRPr="00605770">
              <w:rPr>
                <w:rFonts w:ascii="Times New Roman" w:hAnsi="Times New Roman" w:cs="Times New Roman"/>
              </w:rPr>
              <w:t>eatskaitomi.</w:t>
            </w:r>
          </w:p>
          <w:p w14:paraId="651723A7" w14:textId="77777777" w:rsidR="00644C93" w:rsidRDefault="00644C93" w:rsidP="00644C93">
            <w:pPr>
              <w:spacing w:after="14" w:line="259" w:lineRule="auto"/>
              <w:ind w:left="26" w:firstLine="987"/>
              <w:jc w:val="both"/>
              <w:rPr>
                <w:rFonts w:ascii="Times New Roman" w:hAnsi="Times New Roman" w:cs="Times New Roman"/>
                <w:strike/>
              </w:rPr>
            </w:pPr>
            <w:r w:rsidRPr="00605770">
              <w:rPr>
                <w:rFonts w:ascii="Times New Roman" w:hAnsi="Times New Roman" w:cs="Times New Roman"/>
              </w:rPr>
              <w:t>Kai pasirinkimo sandoris realizuojamas (t.</w:t>
            </w:r>
            <w:r>
              <w:rPr>
                <w:rFonts w:ascii="Times New Roman" w:hAnsi="Times New Roman" w:cs="Times New Roman"/>
              </w:rPr>
              <w:t xml:space="preserve"> </w:t>
            </w:r>
            <w:r w:rsidRPr="00605770">
              <w:rPr>
                <w:rFonts w:ascii="Times New Roman" w:hAnsi="Times New Roman" w:cs="Times New Roman"/>
              </w:rPr>
              <w:t xml:space="preserve">y. darbuotojas pasinaudoja suteikta teise </w:t>
            </w:r>
            <w:r w:rsidRPr="00605770">
              <w:rPr>
                <w:rFonts w:ascii="Times New Roman" w:eastAsia="Arial" w:hAnsi="Times New Roman" w:cs="Times New Roman"/>
              </w:rPr>
              <w:t>į</w:t>
            </w:r>
            <w:r w:rsidRPr="00605770">
              <w:rPr>
                <w:rFonts w:ascii="Times New Roman" w:hAnsi="Times New Roman" w:cs="Times New Roman"/>
              </w:rPr>
              <w:t>sigyti</w:t>
            </w:r>
            <w:r>
              <w:rPr>
                <w:rFonts w:ascii="Times New Roman" w:hAnsi="Times New Roman" w:cs="Times New Roman"/>
              </w:rPr>
              <w:t xml:space="preserve"> </w:t>
            </w:r>
            <w:r w:rsidRPr="00605770">
              <w:rPr>
                <w:rFonts w:ascii="Times New Roman" w:hAnsi="Times New Roman" w:cs="Times New Roman"/>
              </w:rPr>
              <w:t xml:space="preserve">akcijas 2024 m. sausio 2 d.),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nuperka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sidRPr="00605770">
              <w:rPr>
                <w:rFonts w:ascii="Times New Roman" w:hAnsi="Times New Roman" w:cs="Times New Roman"/>
              </w:rPr>
              <w:t xml:space="preserve"> pagal 2024 m. sausio 2 d. rinkos kain</w:t>
            </w:r>
            <w:r w:rsidRPr="00605770">
              <w:rPr>
                <w:rFonts w:ascii="Times New Roman" w:eastAsia="Arial" w:hAnsi="Times New Roman" w:cs="Times New Roman"/>
              </w:rPr>
              <w:t>ą</w:t>
            </w:r>
            <w:r w:rsidRPr="00605770">
              <w:rPr>
                <w:rFonts w:ascii="Times New Roman" w:hAnsi="Times New Roman" w:cs="Times New Roman"/>
              </w:rPr>
              <w:t xml:space="preserve"> (pvz., 11 Eur). </w:t>
            </w:r>
          </w:p>
          <w:p w14:paraId="43BFAFA2" w14:textId="77777777" w:rsidR="00644C93" w:rsidRDefault="00644C93" w:rsidP="00644C93">
            <w:pPr>
              <w:spacing w:after="14" w:line="259" w:lineRule="auto"/>
              <w:ind w:left="26" w:firstLine="987"/>
              <w:jc w:val="both"/>
              <w:rPr>
                <w:rFonts w:ascii="Times New Roman" w:hAnsi="Times New Roman" w:cs="Times New Roman"/>
              </w:rPr>
            </w:pPr>
            <w:r w:rsidRPr="007724D7">
              <w:rPr>
                <w:rFonts w:ascii="Times New Roman" w:hAnsi="Times New Roman" w:cs="Times New Roman"/>
              </w:rPr>
              <w:t>Pelno mokesčio</w:t>
            </w:r>
            <w:r>
              <w:rPr>
                <w:rFonts w:ascii="Times New Roman" w:hAnsi="Times New Roman" w:cs="Times New Roman"/>
              </w:rPr>
              <w:t xml:space="preserve"> apskaičiavimo tikslais toks akcijų nupirkimas ir perleidimas darbuotojui yra laikomas akcijų perleidimu ir apmokestinamas PMĮ nustatyta tvarka. Šiuo, konkrečiu atveju, vertybinių popierių pardavimo turto vertės padidėjimo pajamos bus lygios 0, nes </w:t>
            </w:r>
            <w:r>
              <w:t xml:space="preserve"> </w:t>
            </w:r>
            <w:r w:rsidRPr="00070424">
              <w:rPr>
                <w:rFonts w:ascii="Times New Roman" w:hAnsi="Times New Roman" w:cs="Times New Roman"/>
              </w:rPr>
              <w:t>nuperka 300 vnt. motininės įmonės akcijų pagal 2024 m. sausio 2 d.</w:t>
            </w:r>
            <w:r>
              <w:rPr>
                <w:rFonts w:ascii="Times New Roman" w:hAnsi="Times New Roman" w:cs="Times New Roman"/>
              </w:rPr>
              <w:t>, kurių</w:t>
            </w:r>
            <w:r w:rsidRPr="00070424">
              <w:rPr>
                <w:rFonts w:ascii="Times New Roman" w:hAnsi="Times New Roman" w:cs="Times New Roman"/>
              </w:rPr>
              <w:t xml:space="preserve"> rinkos kain</w:t>
            </w:r>
            <w:r>
              <w:rPr>
                <w:rFonts w:ascii="Times New Roman" w:hAnsi="Times New Roman" w:cs="Times New Roman"/>
              </w:rPr>
              <w:t>a</w:t>
            </w:r>
            <w:r w:rsidRPr="00070424">
              <w:rPr>
                <w:rFonts w:ascii="Times New Roman" w:hAnsi="Times New Roman" w:cs="Times New Roman"/>
              </w:rPr>
              <w:t xml:space="preserve"> (pvz., 11 Eur)</w:t>
            </w:r>
            <w:r>
              <w:rPr>
                <w:rFonts w:ascii="Times New Roman" w:hAnsi="Times New Roman" w:cs="Times New Roman"/>
              </w:rPr>
              <w:t xml:space="preserve"> ir, tarkime, kitą dieną jas už tą pačią kainą perleidžia darbuotojui nemokamai arba lengvatine kaina.</w:t>
            </w:r>
          </w:p>
          <w:p w14:paraId="2BC1BE42" w14:textId="77777777" w:rsidR="00644C93" w:rsidRDefault="00644C93" w:rsidP="00644C93">
            <w:pPr>
              <w:spacing w:after="14" w:line="259" w:lineRule="auto"/>
              <w:ind w:left="26" w:firstLine="987"/>
              <w:jc w:val="both"/>
              <w:rPr>
                <w:rFonts w:ascii="Times New Roman" w:hAnsi="Times New Roman" w:cs="Times New Roman"/>
              </w:rPr>
            </w:pPr>
            <w:r>
              <w:rPr>
                <w:rFonts w:ascii="Times New Roman" w:hAnsi="Times New Roman" w:cs="Times New Roman"/>
              </w:rPr>
              <w:t xml:space="preserve">Jei šio sandorio pasekmėje įmonė akcijas perleis nemokamai,  ir iš šio sandorio darbuotojas gauna naudą, kuri yra GPM objektas, </w:t>
            </w:r>
            <w:r w:rsidRPr="007B6FC2">
              <w:rPr>
                <w:rFonts w:ascii="Times New Roman" w:hAnsi="Times New Roman" w:cs="Times New Roman"/>
              </w:rPr>
              <w:t xml:space="preserve">tai </w:t>
            </w:r>
            <w:r>
              <w:rPr>
                <w:rFonts w:ascii="Times New Roman" w:hAnsi="Times New Roman" w:cs="Times New Roman"/>
              </w:rPr>
              <w:t xml:space="preserve">akcijų perleidimo rinkos kaina </w:t>
            </w:r>
            <w:r w:rsidRPr="007B6FC2">
              <w:rPr>
                <w:rFonts w:ascii="Times New Roman" w:hAnsi="Times New Roman" w:cs="Times New Roman"/>
              </w:rPr>
              <w:t xml:space="preserve"> (t.</w:t>
            </w:r>
            <w:r>
              <w:rPr>
                <w:rFonts w:ascii="Times New Roman" w:hAnsi="Times New Roman" w:cs="Times New Roman"/>
              </w:rPr>
              <w:t xml:space="preserve"> </w:t>
            </w:r>
            <w:r w:rsidRPr="007B6FC2">
              <w:rPr>
                <w:rFonts w:ascii="Times New Roman" w:hAnsi="Times New Roman" w:cs="Times New Roman"/>
              </w:rPr>
              <w:t>y. 3 300 Eur (300 x 11 Eur))</w:t>
            </w:r>
            <w:r>
              <w:rPr>
                <w:rFonts w:ascii="Times New Roman" w:hAnsi="Times New Roman" w:cs="Times New Roman"/>
              </w:rPr>
              <w:t xml:space="preserve">, </w:t>
            </w:r>
            <w:r>
              <w:t xml:space="preserve"> </w:t>
            </w:r>
            <w:r w:rsidRPr="005E66B0">
              <w:rPr>
                <w:rFonts w:ascii="Times New Roman" w:hAnsi="Times New Roman" w:cs="Times New Roman"/>
              </w:rPr>
              <w:t xml:space="preserve"> </w:t>
            </w:r>
            <w:r w:rsidRPr="007B6FC2">
              <w:rPr>
                <w:rFonts w:ascii="Times New Roman" w:hAnsi="Times New Roman" w:cs="Times New Roman"/>
              </w:rPr>
              <w:t>gali b</w:t>
            </w:r>
            <w:r w:rsidRPr="007B6FC2">
              <w:rPr>
                <w:rFonts w:ascii="Times New Roman" w:eastAsia="Arial" w:hAnsi="Times New Roman" w:cs="Times New Roman"/>
              </w:rPr>
              <w:t>ū</w:t>
            </w:r>
            <w:r w:rsidRPr="007B6FC2">
              <w:rPr>
                <w:rFonts w:ascii="Times New Roman" w:hAnsi="Times New Roman" w:cs="Times New Roman"/>
              </w:rPr>
              <w:t>ti priskiriam</w:t>
            </w:r>
            <w:r>
              <w:rPr>
                <w:rFonts w:ascii="Times New Roman" w:hAnsi="Times New Roman" w:cs="Times New Roman"/>
              </w:rPr>
              <w:t>a</w:t>
            </w:r>
            <w:r w:rsidRPr="007B6FC2">
              <w:rPr>
                <w:rFonts w:ascii="Times New Roman" w:hAnsi="Times New Roman" w:cs="Times New Roman"/>
              </w:rPr>
              <w:t xml:space="preserve"> leidžiamiems atskaitymams ir iš pajam</w:t>
            </w:r>
            <w:r w:rsidRPr="007B6FC2">
              <w:rPr>
                <w:rFonts w:ascii="Times New Roman" w:eastAsia="Arial" w:hAnsi="Times New Roman" w:cs="Times New Roman"/>
              </w:rPr>
              <w:t>ų</w:t>
            </w:r>
            <w:r w:rsidRPr="007B6FC2">
              <w:rPr>
                <w:rFonts w:ascii="Times New Roman" w:hAnsi="Times New Roman" w:cs="Times New Roman"/>
              </w:rPr>
              <w:t xml:space="preserve"> atskaitom</w:t>
            </w:r>
            <w:r>
              <w:rPr>
                <w:rFonts w:ascii="Times New Roman" w:hAnsi="Times New Roman" w:cs="Times New Roman"/>
              </w:rPr>
              <w:t>a</w:t>
            </w:r>
            <w:r w:rsidRPr="007B6FC2">
              <w:rPr>
                <w:rFonts w:ascii="Times New Roman" w:hAnsi="Times New Roman" w:cs="Times New Roman"/>
              </w:rPr>
              <w:t xml:space="preserve"> 2024 m. mokestin</w:t>
            </w:r>
            <w:r w:rsidRPr="007B6FC2">
              <w:rPr>
                <w:rFonts w:ascii="Times New Roman" w:eastAsia="Arial" w:hAnsi="Times New Roman" w:cs="Times New Roman"/>
              </w:rPr>
              <w:t>į</w:t>
            </w:r>
            <w:r w:rsidRPr="007B6FC2">
              <w:rPr>
                <w:rFonts w:ascii="Times New Roman" w:hAnsi="Times New Roman" w:cs="Times New Roman"/>
              </w:rPr>
              <w:t xml:space="preserve"> laikotarp</w:t>
            </w:r>
            <w:r w:rsidRPr="007B6FC2">
              <w:rPr>
                <w:rFonts w:ascii="Times New Roman" w:eastAsia="Arial" w:hAnsi="Times New Roman" w:cs="Times New Roman"/>
              </w:rPr>
              <w:t>į</w:t>
            </w:r>
            <w:r w:rsidRPr="007B6FC2">
              <w:rPr>
                <w:rFonts w:ascii="Times New Roman" w:hAnsi="Times New Roman" w:cs="Times New Roman"/>
              </w:rPr>
              <w:t>.</w:t>
            </w:r>
          </w:p>
          <w:p w14:paraId="42ACACBD" w14:textId="77777777" w:rsidR="00644C93" w:rsidRDefault="00644C93" w:rsidP="00644C93">
            <w:pPr>
              <w:spacing w:after="14" w:line="259" w:lineRule="auto"/>
              <w:ind w:left="26" w:firstLine="987"/>
              <w:jc w:val="both"/>
              <w:rPr>
                <w:rFonts w:ascii="Times New Roman" w:hAnsi="Times New Roman" w:cs="Times New Roman"/>
              </w:rPr>
            </w:pPr>
            <w:r>
              <w:rPr>
                <w:rFonts w:ascii="Times New Roman" w:hAnsi="Times New Roman" w:cs="Times New Roman"/>
              </w:rPr>
              <w:lastRenderedPageBreak/>
              <w:t xml:space="preserve">Jei šio sandorio pasekmėje įmonė akcijas perleis lengvatine kaina ir iš šio sandorio darbuotojas gauna naudą, kuri yra GPM </w:t>
            </w:r>
            <w:r w:rsidRPr="00EB5A0D">
              <w:rPr>
                <w:rFonts w:ascii="Times New Roman" w:hAnsi="Times New Roman" w:cs="Times New Roman"/>
              </w:rPr>
              <w:t>objektas</w:t>
            </w:r>
            <w:r w:rsidRPr="00516B9F">
              <w:rPr>
                <w:rFonts w:ascii="Times New Roman" w:hAnsi="Times New Roman" w:cs="Times New Roman"/>
              </w:rPr>
              <w:t>, tai akcijų rinkos</w:t>
            </w:r>
            <w:r w:rsidRPr="00EB5A0D">
              <w:rPr>
                <w:rFonts w:ascii="Times New Roman" w:hAnsi="Times New Roman" w:cs="Times New Roman"/>
              </w:rPr>
              <w:t xml:space="preserve"> kaina, buvusi jų perleidimo momentu (t. y. kai darbuotojas pasinaudoja suteikta teise įsigyti akcijas), atėmus darbuotojo faktiškai už įsigyjamas akcijas sumokėtą sumą</w:t>
            </w:r>
            <w:r>
              <w:rPr>
                <w:rFonts w:ascii="Times New Roman" w:hAnsi="Times New Roman" w:cs="Times New Roman"/>
              </w:rPr>
              <w:t>,</w:t>
            </w:r>
            <w:r w:rsidRPr="005E66B0">
              <w:rPr>
                <w:rFonts w:ascii="Times New Roman" w:hAnsi="Times New Roman" w:cs="Times New Roman"/>
              </w:rPr>
              <w:t xml:space="preserve"> </w:t>
            </w:r>
            <w:r w:rsidRPr="007B6FC2">
              <w:rPr>
                <w:rFonts w:ascii="Times New Roman" w:hAnsi="Times New Roman" w:cs="Times New Roman"/>
              </w:rPr>
              <w:t>gali b</w:t>
            </w:r>
            <w:r w:rsidRPr="007B6FC2">
              <w:rPr>
                <w:rFonts w:ascii="Times New Roman" w:eastAsia="Arial" w:hAnsi="Times New Roman" w:cs="Times New Roman"/>
              </w:rPr>
              <w:t>ū</w:t>
            </w:r>
            <w:r w:rsidRPr="007B6FC2">
              <w:rPr>
                <w:rFonts w:ascii="Times New Roman" w:hAnsi="Times New Roman" w:cs="Times New Roman"/>
              </w:rPr>
              <w:t>ti priskiriam</w:t>
            </w:r>
            <w:r>
              <w:rPr>
                <w:rFonts w:ascii="Times New Roman" w:hAnsi="Times New Roman" w:cs="Times New Roman"/>
              </w:rPr>
              <w:t>a</w:t>
            </w:r>
            <w:r w:rsidRPr="007B6FC2">
              <w:rPr>
                <w:rFonts w:ascii="Times New Roman" w:hAnsi="Times New Roman" w:cs="Times New Roman"/>
              </w:rPr>
              <w:t xml:space="preserve"> leidžiamiems atskaitymams ir iš pajam</w:t>
            </w:r>
            <w:r w:rsidRPr="007B6FC2">
              <w:rPr>
                <w:rFonts w:ascii="Times New Roman" w:eastAsia="Arial" w:hAnsi="Times New Roman" w:cs="Times New Roman"/>
              </w:rPr>
              <w:t>ų</w:t>
            </w:r>
            <w:r w:rsidRPr="007B6FC2">
              <w:rPr>
                <w:rFonts w:ascii="Times New Roman" w:hAnsi="Times New Roman" w:cs="Times New Roman"/>
              </w:rPr>
              <w:t xml:space="preserve"> atskaitom</w:t>
            </w:r>
            <w:r>
              <w:rPr>
                <w:rFonts w:ascii="Times New Roman" w:hAnsi="Times New Roman" w:cs="Times New Roman"/>
              </w:rPr>
              <w:t>a</w:t>
            </w:r>
            <w:r w:rsidRPr="007B6FC2">
              <w:rPr>
                <w:rFonts w:ascii="Times New Roman" w:hAnsi="Times New Roman" w:cs="Times New Roman"/>
              </w:rPr>
              <w:t xml:space="preserve"> 2024 m. mokestin</w:t>
            </w:r>
            <w:r w:rsidRPr="007B6FC2">
              <w:rPr>
                <w:rFonts w:ascii="Times New Roman" w:eastAsia="Arial" w:hAnsi="Times New Roman" w:cs="Times New Roman"/>
              </w:rPr>
              <w:t>į</w:t>
            </w:r>
            <w:r w:rsidRPr="007B6FC2">
              <w:rPr>
                <w:rFonts w:ascii="Times New Roman" w:hAnsi="Times New Roman" w:cs="Times New Roman"/>
              </w:rPr>
              <w:t xml:space="preserve"> laikotarp</w:t>
            </w:r>
            <w:r w:rsidRPr="007B6FC2">
              <w:rPr>
                <w:rFonts w:ascii="Times New Roman" w:eastAsia="Arial" w:hAnsi="Times New Roman" w:cs="Times New Roman"/>
              </w:rPr>
              <w:t>į</w:t>
            </w:r>
            <w:r w:rsidRPr="007B6FC2">
              <w:rPr>
                <w:rFonts w:ascii="Times New Roman" w:hAnsi="Times New Roman" w:cs="Times New Roman"/>
              </w:rPr>
              <w:t>.</w:t>
            </w:r>
          </w:p>
          <w:p w14:paraId="756BA26D" w14:textId="77777777" w:rsidR="00644C93" w:rsidRDefault="00644C93" w:rsidP="00644C93">
            <w:pPr>
              <w:spacing w:after="14" w:line="259" w:lineRule="auto"/>
              <w:ind w:left="26" w:firstLine="987"/>
              <w:jc w:val="both"/>
              <w:rPr>
                <w:rFonts w:ascii="Times New Roman" w:hAnsi="Times New Roman" w:cs="Times New Roman"/>
              </w:rPr>
            </w:pPr>
          </w:p>
          <w:p w14:paraId="3D4332A6" w14:textId="77777777" w:rsidR="00644C93"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 xml:space="preserve">2. </w:t>
            </w:r>
            <w:r w:rsidRPr="00605770">
              <w:rPr>
                <w:rFonts w:ascii="Times New Roman" w:eastAsia="Arial" w:hAnsi="Times New Roman" w:cs="Times New Roman"/>
              </w:rPr>
              <w:t xml:space="preserve"> </w:t>
            </w:r>
            <w:r>
              <w:rPr>
                <w:rFonts w:ascii="Times New Roman" w:eastAsia="Arial" w:hAnsi="Times New Roman" w:cs="Times New Roman"/>
              </w:rPr>
              <w:t xml:space="preserve">Kaip ir 1-ame pavyzdyje,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2021 m. sausio 1 d. sudaro susitarim</w:t>
            </w:r>
            <w:r w:rsidRPr="00605770">
              <w:rPr>
                <w:rFonts w:ascii="Times New Roman" w:eastAsia="Arial" w:hAnsi="Times New Roman" w:cs="Times New Roman"/>
              </w:rPr>
              <w:t>ą</w:t>
            </w:r>
            <w:r w:rsidRPr="00605770">
              <w:rPr>
                <w:rFonts w:ascii="Times New Roman" w:hAnsi="Times New Roman" w:cs="Times New Roman"/>
              </w:rPr>
              <w:t xml:space="preserve"> d</w:t>
            </w:r>
            <w:r w:rsidRPr="00605770">
              <w:rPr>
                <w:rFonts w:ascii="Times New Roman" w:eastAsia="Arial" w:hAnsi="Times New Roman" w:cs="Times New Roman"/>
              </w:rPr>
              <w:t>ė</w:t>
            </w:r>
            <w:r>
              <w:rPr>
                <w:rFonts w:ascii="Times New Roman" w:hAnsi="Times New Roman" w:cs="Times New Roman"/>
              </w:rPr>
              <w:t>l tre</w:t>
            </w:r>
            <w:r w:rsidRPr="00605770">
              <w:rPr>
                <w:rFonts w:ascii="Times New Roman" w:hAnsi="Times New Roman" w:cs="Times New Roman"/>
              </w:rPr>
              <w:t>j</w:t>
            </w:r>
            <w:r w:rsidRPr="00605770">
              <w:rPr>
                <w:rFonts w:ascii="Times New Roman" w:eastAsia="Arial" w:hAnsi="Times New Roman" w:cs="Times New Roman"/>
              </w:rPr>
              <w:t>ų</w:t>
            </w:r>
            <w:r w:rsidRPr="00605770">
              <w:rPr>
                <w:rFonts w:ascii="Times New Roman" w:hAnsi="Times New Roman" w:cs="Times New Roman"/>
              </w:rPr>
              <w:t xml:space="preserve"> met</w:t>
            </w:r>
            <w:r w:rsidRPr="00605770">
              <w:rPr>
                <w:rFonts w:ascii="Times New Roman" w:eastAsia="Arial" w:hAnsi="Times New Roman" w:cs="Times New Roman"/>
              </w:rPr>
              <w:t>ų</w:t>
            </w:r>
            <w:r w:rsidRPr="00605770">
              <w:rPr>
                <w:rFonts w:ascii="Times New Roman" w:hAnsi="Times New Roman" w:cs="Times New Roman"/>
              </w:rPr>
              <w:t xml:space="preserve"> pasirinkimo</w:t>
            </w:r>
            <w:r>
              <w:rPr>
                <w:rFonts w:ascii="Times New Roman" w:hAnsi="Times New Roman" w:cs="Times New Roman"/>
              </w:rPr>
              <w:t xml:space="preserve"> s</w:t>
            </w:r>
            <w:r w:rsidRPr="00605770">
              <w:rPr>
                <w:rFonts w:ascii="Times New Roman" w:hAnsi="Times New Roman" w:cs="Times New Roman"/>
              </w:rPr>
              <w:t>andorio su</w:t>
            </w:r>
            <w:r>
              <w:rPr>
                <w:rFonts w:ascii="Times New Roman" w:hAnsi="Times New Roman" w:cs="Times New Roman"/>
              </w:rPr>
              <w:t xml:space="preserve"> </w:t>
            </w:r>
            <w:r w:rsidRPr="00605770">
              <w:rPr>
                <w:rFonts w:ascii="Times New Roman" w:hAnsi="Times New Roman" w:cs="Times New Roman"/>
              </w:rPr>
              <w:t>darbuotoju, kur</w:t>
            </w:r>
            <w:r w:rsidRPr="00605770">
              <w:rPr>
                <w:rFonts w:ascii="Times New Roman" w:eastAsia="Arial" w:hAnsi="Times New Roman" w:cs="Times New Roman"/>
              </w:rPr>
              <w:t>į</w:t>
            </w:r>
            <w:r w:rsidRPr="00605770">
              <w:rPr>
                <w:rFonts w:ascii="Times New Roman" w:hAnsi="Times New Roman" w:cs="Times New Roman"/>
              </w:rPr>
              <w:t xml:space="preserve"> </w:t>
            </w:r>
            <w:r w:rsidRPr="00605770">
              <w:rPr>
                <w:rFonts w:ascii="Times New Roman" w:eastAsia="Arial" w:hAnsi="Times New Roman" w:cs="Times New Roman"/>
              </w:rPr>
              <w:t>į</w:t>
            </w:r>
            <w:r w:rsidRPr="00605770">
              <w:rPr>
                <w:rFonts w:ascii="Times New Roman" w:hAnsi="Times New Roman" w:cs="Times New Roman"/>
              </w:rPr>
              <w:t xml:space="preserve">gyvendinus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sidRPr="00605770">
              <w:rPr>
                <w:rFonts w:ascii="Times New Roman" w:eastAsia="Arial" w:hAnsi="Times New Roman" w:cs="Times New Roman"/>
              </w:rPr>
              <w:t>į</w:t>
            </w:r>
            <w:r w:rsidRPr="00605770">
              <w:rPr>
                <w:rFonts w:ascii="Times New Roman" w:hAnsi="Times New Roman" w:cs="Times New Roman"/>
              </w:rPr>
              <w:t>sig</w:t>
            </w:r>
            <w:r>
              <w:rPr>
                <w:rFonts w:ascii="Times New Roman" w:hAnsi="Times New Roman" w:cs="Times New Roman"/>
              </w:rPr>
              <w:t>i</w:t>
            </w:r>
            <w:r w:rsidRPr="00605770">
              <w:rPr>
                <w:rFonts w:ascii="Times New Roman" w:hAnsi="Times New Roman" w:cs="Times New Roman"/>
              </w:rPr>
              <w:t>s ir perleis darbuotojui 300 vnt. motinin</w:t>
            </w:r>
            <w:r w:rsidRPr="00605770">
              <w:rPr>
                <w:rFonts w:ascii="Times New Roman" w:eastAsia="Arial" w:hAnsi="Times New Roman" w:cs="Times New Roman"/>
              </w:rPr>
              <w:t>ė</w:t>
            </w:r>
            <w:r w:rsidRPr="00605770">
              <w:rPr>
                <w:rFonts w:ascii="Times New Roman" w:hAnsi="Times New Roman" w:cs="Times New Roman"/>
              </w:rPr>
              <w:t xml:space="preserve">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s akcij</w:t>
            </w:r>
            <w:r w:rsidRPr="00605770">
              <w:rPr>
                <w:rFonts w:ascii="Times New Roman" w:eastAsia="Arial" w:hAnsi="Times New Roman" w:cs="Times New Roman"/>
              </w:rPr>
              <w:t>ų</w:t>
            </w:r>
            <w:r>
              <w:rPr>
                <w:rFonts w:ascii="Times New Roman" w:hAnsi="Times New Roman" w:cs="Times New Roman"/>
              </w:rPr>
              <w:t xml:space="preserve">, kurias </w:t>
            </w:r>
            <w:r w:rsidRPr="00605770">
              <w:rPr>
                <w:rFonts w:ascii="Times New Roman" w:eastAsia="Arial" w:hAnsi="Times New Roman" w:cs="Times New Roman"/>
              </w:rPr>
              <w:t>Į</w:t>
            </w:r>
            <w:r w:rsidRPr="00605770">
              <w:rPr>
                <w:rFonts w:ascii="Times New Roman" w:hAnsi="Times New Roman" w:cs="Times New Roman"/>
              </w:rPr>
              <w:t>mon</w:t>
            </w:r>
            <w:r w:rsidRPr="00605770">
              <w:rPr>
                <w:rFonts w:ascii="Times New Roman" w:eastAsia="Arial" w:hAnsi="Times New Roman" w:cs="Times New Roman"/>
              </w:rPr>
              <w:t>ė</w:t>
            </w:r>
            <w:r w:rsidRPr="00605770">
              <w:rPr>
                <w:rFonts w:ascii="Times New Roman" w:hAnsi="Times New Roman" w:cs="Times New Roman"/>
              </w:rPr>
              <w:t xml:space="preserve"> „A“, </w:t>
            </w:r>
            <w:r>
              <w:rPr>
                <w:rFonts w:ascii="Times New Roman" w:hAnsi="Times New Roman" w:cs="Times New Roman"/>
              </w:rPr>
              <w:t xml:space="preserve">įsigijo ne  </w:t>
            </w:r>
            <w:r w:rsidRPr="00605770">
              <w:rPr>
                <w:rFonts w:ascii="Times New Roman" w:hAnsi="Times New Roman" w:cs="Times New Roman"/>
              </w:rPr>
              <w:t>nuosavyb</w:t>
            </w:r>
            <w:r w:rsidRPr="00605770">
              <w:rPr>
                <w:rFonts w:ascii="Times New Roman" w:eastAsia="Arial" w:hAnsi="Times New Roman" w:cs="Times New Roman"/>
              </w:rPr>
              <w:t>ė</w:t>
            </w:r>
            <w:r w:rsidRPr="00605770">
              <w:rPr>
                <w:rFonts w:ascii="Times New Roman" w:hAnsi="Times New Roman" w:cs="Times New Roman"/>
              </w:rPr>
              <w:t>s perleidimo momentu (2024 m. sausio 2 d.)</w:t>
            </w:r>
            <w:r>
              <w:rPr>
                <w:rFonts w:ascii="Times New Roman" w:hAnsi="Times New Roman" w:cs="Times New Roman"/>
              </w:rPr>
              <w:t>, o anksčiau pav. 2023 m. gruodžio 15 d., kai</w:t>
            </w:r>
            <w:r w:rsidRPr="00605770">
              <w:rPr>
                <w:rFonts w:ascii="Times New Roman" w:hAnsi="Times New Roman" w:cs="Times New Roman"/>
              </w:rPr>
              <w:t xml:space="preserve"> </w:t>
            </w:r>
            <w:r>
              <w:rPr>
                <w:rFonts w:ascii="Times New Roman" w:hAnsi="Times New Roman" w:cs="Times New Roman"/>
              </w:rPr>
              <w:t>akcijų</w:t>
            </w:r>
            <w:r w:rsidRPr="00605770">
              <w:rPr>
                <w:rFonts w:ascii="Times New Roman" w:hAnsi="Times New Roman" w:cs="Times New Roman"/>
              </w:rPr>
              <w:t xml:space="preserve"> rinkos kain</w:t>
            </w:r>
            <w:r>
              <w:rPr>
                <w:rFonts w:ascii="Times New Roman" w:hAnsi="Times New Roman" w:cs="Times New Roman"/>
              </w:rPr>
              <w:t xml:space="preserve">a buvo lygi 9 Eur. Pasirinkimo sandorio realizavimo momentu </w:t>
            </w:r>
            <w:r w:rsidRPr="00611595">
              <w:rPr>
                <w:rFonts w:ascii="Times New Roman" w:hAnsi="Times New Roman" w:cs="Times New Roman"/>
              </w:rPr>
              <w:t>(2024 m. sausio 2 d.)</w:t>
            </w:r>
            <w:r>
              <w:rPr>
                <w:rFonts w:ascii="Times New Roman" w:hAnsi="Times New Roman" w:cs="Times New Roman"/>
              </w:rPr>
              <w:t xml:space="preserve"> akcijų rinkos kaina buvo lygi 11 Eur.</w:t>
            </w:r>
          </w:p>
          <w:p w14:paraId="55FAD84E" w14:textId="77777777" w:rsidR="00644C93" w:rsidRPr="00611595"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 xml:space="preserve">Kaip ir 1-ame pavyzdyje, šiuo atveju </w:t>
            </w:r>
            <w:r w:rsidRPr="00611595">
              <w:rPr>
                <w:rFonts w:ascii="Times New Roman" w:hAnsi="Times New Roman" w:cs="Times New Roman"/>
              </w:rPr>
              <w:t>Įmonės „A“ formuojami atidėjiniai (3 000 Eur) dėl būsimo akcijų įsigijimo 2021 – 2023 m. mokestiniais laikotarpiais priskiriami neleidžiamiems atskaitymams ir iš pajamų  neatskaitomi.</w:t>
            </w:r>
          </w:p>
          <w:p w14:paraId="1349058D" w14:textId="77777777" w:rsidR="00644C93" w:rsidRPr="00611595" w:rsidRDefault="00644C93" w:rsidP="00644C93">
            <w:pPr>
              <w:tabs>
                <w:tab w:val="left" w:pos="9038"/>
              </w:tabs>
              <w:spacing w:after="14" w:line="259" w:lineRule="auto"/>
              <w:ind w:left="26" w:firstLine="992"/>
              <w:jc w:val="both"/>
              <w:rPr>
                <w:rFonts w:ascii="Times New Roman" w:hAnsi="Times New Roman" w:cs="Times New Roman"/>
              </w:rPr>
            </w:pPr>
            <w:r w:rsidRPr="00611595">
              <w:rPr>
                <w:rFonts w:ascii="Times New Roman" w:hAnsi="Times New Roman" w:cs="Times New Roman"/>
              </w:rPr>
              <w:t xml:space="preserve">Kai pasirinkimo sandoris realizuojamas (t. y. darbuotojas pasinaudoja suteikta teise įsigyti akcijas 2024 m. sausio 2 d.), </w:t>
            </w:r>
            <w:r>
              <w:rPr>
                <w:rFonts w:ascii="Times New Roman" w:hAnsi="Times New Roman" w:cs="Times New Roman"/>
              </w:rPr>
              <w:t xml:space="preserve">toks </w:t>
            </w:r>
            <w:r w:rsidRPr="00611595">
              <w:rPr>
                <w:rFonts w:ascii="Times New Roman" w:hAnsi="Times New Roman" w:cs="Times New Roman"/>
              </w:rPr>
              <w:t>įmonė</w:t>
            </w:r>
            <w:r>
              <w:rPr>
                <w:rFonts w:ascii="Times New Roman" w:hAnsi="Times New Roman" w:cs="Times New Roman"/>
              </w:rPr>
              <w:t>s</w:t>
            </w:r>
            <w:r w:rsidRPr="00611595">
              <w:rPr>
                <w:rFonts w:ascii="Times New Roman" w:hAnsi="Times New Roman" w:cs="Times New Roman"/>
              </w:rPr>
              <w:t xml:space="preserve"> „A“ 2023 m. gruodžio 15 d. akcijų nupirkim</w:t>
            </w:r>
            <w:r>
              <w:rPr>
                <w:rFonts w:ascii="Times New Roman" w:hAnsi="Times New Roman" w:cs="Times New Roman"/>
              </w:rPr>
              <w:t>as</w:t>
            </w:r>
            <w:r w:rsidRPr="00611595">
              <w:rPr>
                <w:rFonts w:ascii="Times New Roman" w:hAnsi="Times New Roman" w:cs="Times New Roman"/>
              </w:rPr>
              <w:t xml:space="preserve"> ir </w:t>
            </w:r>
            <w:r>
              <w:rPr>
                <w:rFonts w:ascii="Times New Roman" w:hAnsi="Times New Roman" w:cs="Times New Roman"/>
              </w:rPr>
              <w:t xml:space="preserve">jų </w:t>
            </w:r>
            <w:r w:rsidRPr="00611595">
              <w:rPr>
                <w:rFonts w:ascii="Times New Roman" w:hAnsi="Times New Roman" w:cs="Times New Roman"/>
              </w:rPr>
              <w:t>perleidim</w:t>
            </w:r>
            <w:r>
              <w:rPr>
                <w:rFonts w:ascii="Times New Roman" w:hAnsi="Times New Roman" w:cs="Times New Roman"/>
              </w:rPr>
              <w:t>as</w:t>
            </w:r>
            <w:r w:rsidRPr="00611595">
              <w:rPr>
                <w:rFonts w:ascii="Times New Roman" w:hAnsi="Times New Roman" w:cs="Times New Roman"/>
              </w:rPr>
              <w:t xml:space="preserve"> darbuotojui</w:t>
            </w:r>
            <w:r>
              <w:rPr>
                <w:rFonts w:ascii="Times New Roman" w:hAnsi="Times New Roman" w:cs="Times New Roman"/>
              </w:rPr>
              <w:t>,</w:t>
            </w:r>
            <w:r>
              <w:t xml:space="preserve"> </w:t>
            </w:r>
            <w:r w:rsidRPr="00611595">
              <w:rPr>
                <w:rFonts w:ascii="Times New Roman" w:hAnsi="Times New Roman" w:cs="Times New Roman"/>
              </w:rPr>
              <w:t xml:space="preserve">pelno mokesčio apskaičiavimo tikslais yra laikomas akcijų perleidimu ir apmokestinamas PMĮ nustatyta tvarka. Šiuo, konkrečiu atveju, įmonė „A“ </w:t>
            </w:r>
            <w:r>
              <w:rPr>
                <w:rFonts w:ascii="Times New Roman" w:hAnsi="Times New Roman" w:cs="Times New Roman"/>
              </w:rPr>
              <w:t xml:space="preserve">2024 m. mokestinį laikotarpį deklaruos </w:t>
            </w:r>
            <w:r w:rsidRPr="00611595">
              <w:rPr>
                <w:rFonts w:ascii="Times New Roman" w:hAnsi="Times New Roman" w:cs="Times New Roman"/>
              </w:rPr>
              <w:t>vertybinių popierių pardavimo turto vertės padidėjimo pajam</w:t>
            </w:r>
            <w:r>
              <w:rPr>
                <w:rFonts w:ascii="Times New Roman" w:hAnsi="Times New Roman" w:cs="Times New Roman"/>
              </w:rPr>
              <w:t>as, kurios</w:t>
            </w:r>
            <w:r w:rsidRPr="00611595">
              <w:rPr>
                <w:rFonts w:ascii="Times New Roman" w:hAnsi="Times New Roman" w:cs="Times New Roman"/>
              </w:rPr>
              <w:t xml:space="preserve"> bus lygios </w:t>
            </w:r>
            <w:r>
              <w:rPr>
                <w:rFonts w:ascii="Times New Roman" w:hAnsi="Times New Roman" w:cs="Times New Roman"/>
              </w:rPr>
              <w:t>60</w:t>
            </w:r>
            <w:r w:rsidRPr="00611595">
              <w:rPr>
                <w:rFonts w:ascii="Times New Roman" w:hAnsi="Times New Roman" w:cs="Times New Roman"/>
              </w:rPr>
              <w:t>0</w:t>
            </w:r>
            <w:r>
              <w:rPr>
                <w:rFonts w:ascii="Times New Roman" w:hAnsi="Times New Roman" w:cs="Times New Roman"/>
              </w:rPr>
              <w:t xml:space="preserve"> (3 300 - 2 700)</w:t>
            </w:r>
            <w:r w:rsidRPr="00611595">
              <w:rPr>
                <w:rFonts w:ascii="Times New Roman" w:hAnsi="Times New Roman" w:cs="Times New Roman"/>
              </w:rPr>
              <w:t xml:space="preserve">, nes  nuperka 300 vnt. </w:t>
            </w:r>
            <w:r w:rsidRPr="00DE4CA1">
              <w:rPr>
                <w:rFonts w:ascii="Times New Roman" w:hAnsi="Times New Roman" w:cs="Times New Roman"/>
              </w:rPr>
              <w:t>motininės įmonės akcijų po 9 Eur (300 x 9),</w:t>
            </w:r>
            <w:r>
              <w:rPr>
                <w:rFonts w:ascii="Times New Roman" w:hAnsi="Times New Roman" w:cs="Times New Roman"/>
              </w:rPr>
              <w:t xml:space="preserve"> o </w:t>
            </w:r>
            <w:r w:rsidRPr="00F066DE">
              <w:rPr>
                <w:rFonts w:ascii="Times New Roman" w:hAnsi="Times New Roman" w:cs="Times New Roman"/>
              </w:rPr>
              <w:t xml:space="preserve">darbuotojui </w:t>
            </w:r>
            <w:r>
              <w:rPr>
                <w:rFonts w:ascii="Times New Roman" w:hAnsi="Times New Roman" w:cs="Times New Roman"/>
              </w:rPr>
              <w:t>nemokamai arba lengvatine kaina perleidžia akcijas, kurių rinkos kaina perleidimo momentu 11 Eur (300</w:t>
            </w:r>
            <w:r>
              <w:t xml:space="preserve"> </w:t>
            </w:r>
            <w:r w:rsidRPr="00F066DE">
              <w:rPr>
                <w:rFonts w:ascii="Times New Roman" w:hAnsi="Times New Roman" w:cs="Times New Roman"/>
              </w:rPr>
              <w:t>x</w:t>
            </w:r>
            <w:r>
              <w:rPr>
                <w:rFonts w:ascii="Times New Roman" w:hAnsi="Times New Roman" w:cs="Times New Roman"/>
              </w:rPr>
              <w:t xml:space="preserve"> 11).</w:t>
            </w:r>
            <w:r w:rsidRPr="00611595">
              <w:rPr>
                <w:rFonts w:ascii="Times New Roman" w:hAnsi="Times New Roman" w:cs="Times New Roman"/>
              </w:rPr>
              <w:t xml:space="preserve"> </w:t>
            </w:r>
          </w:p>
          <w:p w14:paraId="7366A432" w14:textId="77777777" w:rsidR="00644C93"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Tuo atveju</w:t>
            </w:r>
            <w:r w:rsidRPr="00611595">
              <w:rPr>
                <w:rFonts w:ascii="Times New Roman" w:hAnsi="Times New Roman" w:cs="Times New Roman"/>
              </w:rPr>
              <w:t xml:space="preserve">, </w:t>
            </w:r>
            <w:r>
              <w:rPr>
                <w:rFonts w:ascii="Times New Roman" w:hAnsi="Times New Roman" w:cs="Times New Roman"/>
              </w:rPr>
              <w:t>kai</w:t>
            </w:r>
            <w:r w:rsidRPr="00611595">
              <w:rPr>
                <w:rFonts w:ascii="Times New Roman" w:hAnsi="Times New Roman" w:cs="Times New Roman"/>
              </w:rPr>
              <w:t xml:space="preserve"> šio sandorio pasekmėje įmonė akcijas</w:t>
            </w:r>
            <w:r>
              <w:rPr>
                <w:rFonts w:ascii="Times New Roman" w:hAnsi="Times New Roman" w:cs="Times New Roman"/>
              </w:rPr>
              <w:t xml:space="preserve"> apmokestino PMĮ nustatyta tvarka  ir jas</w:t>
            </w:r>
            <w:r w:rsidRPr="00611595">
              <w:rPr>
                <w:rFonts w:ascii="Times New Roman" w:hAnsi="Times New Roman" w:cs="Times New Roman"/>
              </w:rPr>
              <w:t xml:space="preserve"> perlei</w:t>
            </w:r>
            <w:r>
              <w:rPr>
                <w:rFonts w:ascii="Times New Roman" w:hAnsi="Times New Roman" w:cs="Times New Roman"/>
              </w:rPr>
              <w:t>do nemokamai, o</w:t>
            </w:r>
            <w:r w:rsidRPr="00611595">
              <w:rPr>
                <w:rFonts w:ascii="Times New Roman" w:hAnsi="Times New Roman" w:cs="Times New Roman"/>
              </w:rPr>
              <w:t xml:space="preserve"> iš šio sandorio darbuotojas gauna naudą, kuri yra GPM objektas, tai akcijų </w:t>
            </w:r>
            <w:r>
              <w:rPr>
                <w:rFonts w:ascii="Times New Roman" w:hAnsi="Times New Roman" w:cs="Times New Roman"/>
              </w:rPr>
              <w:t xml:space="preserve">perleidimas rinkos kaina 3 300 Eur </w:t>
            </w:r>
            <w:r w:rsidRPr="00611595">
              <w:rPr>
                <w:rFonts w:ascii="Times New Roman" w:hAnsi="Times New Roman" w:cs="Times New Roman"/>
              </w:rPr>
              <w:t xml:space="preserve">(300 x </w:t>
            </w:r>
            <w:r>
              <w:rPr>
                <w:rFonts w:ascii="Times New Roman" w:hAnsi="Times New Roman" w:cs="Times New Roman"/>
              </w:rPr>
              <w:t>11</w:t>
            </w:r>
            <w:r w:rsidRPr="00611595">
              <w:rPr>
                <w:rFonts w:ascii="Times New Roman" w:hAnsi="Times New Roman" w:cs="Times New Roman"/>
              </w:rPr>
              <w:t xml:space="preserve"> Eur), gali būti priskiriam</w:t>
            </w:r>
            <w:r>
              <w:rPr>
                <w:rFonts w:ascii="Times New Roman" w:hAnsi="Times New Roman" w:cs="Times New Roman"/>
              </w:rPr>
              <w:t>a</w:t>
            </w:r>
            <w:r w:rsidRPr="00611595">
              <w:rPr>
                <w:rFonts w:ascii="Times New Roman" w:hAnsi="Times New Roman" w:cs="Times New Roman"/>
              </w:rPr>
              <w:t>s leidžiamiems atskaitymams ir iš pajamų atskaitom</w:t>
            </w:r>
            <w:r>
              <w:rPr>
                <w:rFonts w:ascii="Times New Roman" w:hAnsi="Times New Roman" w:cs="Times New Roman"/>
              </w:rPr>
              <w:t>a</w:t>
            </w:r>
            <w:r w:rsidRPr="00611595">
              <w:rPr>
                <w:rFonts w:ascii="Times New Roman" w:hAnsi="Times New Roman" w:cs="Times New Roman"/>
              </w:rPr>
              <w:t>s 2024 m. mokestinį laikotarpį.</w:t>
            </w:r>
          </w:p>
          <w:p w14:paraId="43B61849" w14:textId="77777777" w:rsidR="00644C93" w:rsidRPr="00605770" w:rsidRDefault="00644C93" w:rsidP="00644C93">
            <w:pPr>
              <w:tabs>
                <w:tab w:val="left" w:pos="9038"/>
              </w:tabs>
              <w:spacing w:after="14" w:line="259" w:lineRule="auto"/>
              <w:ind w:left="26" w:firstLine="992"/>
              <w:jc w:val="both"/>
              <w:rPr>
                <w:rFonts w:ascii="Times New Roman" w:hAnsi="Times New Roman" w:cs="Times New Roman"/>
              </w:rPr>
            </w:pPr>
            <w:r>
              <w:rPr>
                <w:rFonts w:ascii="Times New Roman" w:hAnsi="Times New Roman" w:cs="Times New Roman"/>
              </w:rPr>
              <w:t>Tuo atveju</w:t>
            </w:r>
            <w:r w:rsidRPr="00611595">
              <w:rPr>
                <w:rFonts w:ascii="Times New Roman" w:hAnsi="Times New Roman" w:cs="Times New Roman"/>
              </w:rPr>
              <w:t xml:space="preserve">, </w:t>
            </w:r>
            <w:r>
              <w:rPr>
                <w:rFonts w:ascii="Times New Roman" w:hAnsi="Times New Roman" w:cs="Times New Roman"/>
              </w:rPr>
              <w:t>kai</w:t>
            </w:r>
            <w:r w:rsidRPr="00611595">
              <w:rPr>
                <w:rFonts w:ascii="Times New Roman" w:hAnsi="Times New Roman" w:cs="Times New Roman"/>
              </w:rPr>
              <w:t xml:space="preserve"> šio sandorio pasekmėje įmonė akcijas</w:t>
            </w:r>
            <w:r>
              <w:rPr>
                <w:rFonts w:ascii="Times New Roman" w:hAnsi="Times New Roman" w:cs="Times New Roman"/>
              </w:rPr>
              <w:t xml:space="preserve"> apmokestino PMĮ nustatyta tvarka  ir jas</w:t>
            </w:r>
            <w:r w:rsidRPr="00611595">
              <w:rPr>
                <w:rFonts w:ascii="Times New Roman" w:hAnsi="Times New Roman" w:cs="Times New Roman"/>
              </w:rPr>
              <w:t xml:space="preserve"> perlei</w:t>
            </w:r>
            <w:r>
              <w:rPr>
                <w:rFonts w:ascii="Times New Roman" w:hAnsi="Times New Roman" w:cs="Times New Roman"/>
              </w:rPr>
              <w:t>do</w:t>
            </w:r>
            <w:r w:rsidRPr="00611595">
              <w:rPr>
                <w:rFonts w:ascii="Times New Roman" w:hAnsi="Times New Roman" w:cs="Times New Roman"/>
              </w:rPr>
              <w:t xml:space="preserve"> lengvatine kaina</w:t>
            </w:r>
            <w:r>
              <w:rPr>
                <w:rFonts w:ascii="Times New Roman" w:hAnsi="Times New Roman" w:cs="Times New Roman"/>
              </w:rPr>
              <w:t>, o</w:t>
            </w:r>
            <w:r w:rsidRPr="00611595">
              <w:rPr>
                <w:rFonts w:ascii="Times New Roman" w:hAnsi="Times New Roman" w:cs="Times New Roman"/>
              </w:rPr>
              <w:t xml:space="preserve"> iš šio sandorio darbuotojas gauna naudą, kuri yra GPM objektas, tai akcijų </w:t>
            </w:r>
            <w:r>
              <w:rPr>
                <w:rFonts w:ascii="Times New Roman" w:hAnsi="Times New Roman" w:cs="Times New Roman"/>
              </w:rPr>
              <w:t xml:space="preserve">perleidimas rinkos kaina 3 300 Eur </w:t>
            </w:r>
            <w:r w:rsidRPr="00611595">
              <w:rPr>
                <w:rFonts w:ascii="Times New Roman" w:hAnsi="Times New Roman" w:cs="Times New Roman"/>
              </w:rPr>
              <w:t xml:space="preserve">(300 x </w:t>
            </w:r>
            <w:r>
              <w:rPr>
                <w:rFonts w:ascii="Times New Roman" w:hAnsi="Times New Roman" w:cs="Times New Roman"/>
              </w:rPr>
              <w:t>11</w:t>
            </w:r>
            <w:r w:rsidRPr="00611595">
              <w:rPr>
                <w:rFonts w:ascii="Times New Roman" w:hAnsi="Times New Roman" w:cs="Times New Roman"/>
              </w:rPr>
              <w:t xml:space="preserve"> Eur)</w:t>
            </w:r>
            <w:r>
              <w:rPr>
                <w:rFonts w:ascii="Times New Roman" w:hAnsi="Times New Roman" w:cs="Times New Roman"/>
              </w:rPr>
              <w:t xml:space="preserve"> atėmus darbuotojo faktiškai sumokėtą už akcijas sumą,</w:t>
            </w:r>
            <w:r w:rsidRPr="00611595">
              <w:rPr>
                <w:rFonts w:ascii="Times New Roman" w:hAnsi="Times New Roman" w:cs="Times New Roman"/>
              </w:rPr>
              <w:t xml:space="preserve"> gali būti priskiriam</w:t>
            </w:r>
            <w:r>
              <w:rPr>
                <w:rFonts w:ascii="Times New Roman" w:hAnsi="Times New Roman" w:cs="Times New Roman"/>
              </w:rPr>
              <w:t>a</w:t>
            </w:r>
            <w:r w:rsidRPr="00611595">
              <w:rPr>
                <w:rFonts w:ascii="Times New Roman" w:hAnsi="Times New Roman" w:cs="Times New Roman"/>
              </w:rPr>
              <w:t>s leidžiamiems atskaitymams ir iš pajamų atskaitom</w:t>
            </w:r>
            <w:r>
              <w:rPr>
                <w:rFonts w:ascii="Times New Roman" w:hAnsi="Times New Roman" w:cs="Times New Roman"/>
              </w:rPr>
              <w:t>a</w:t>
            </w:r>
            <w:r w:rsidRPr="00611595">
              <w:rPr>
                <w:rFonts w:ascii="Times New Roman" w:hAnsi="Times New Roman" w:cs="Times New Roman"/>
              </w:rPr>
              <w:t>s 2024 m. mokestinį laikotarpį</w:t>
            </w:r>
            <w:r>
              <w:rPr>
                <w:rFonts w:ascii="Times New Roman" w:hAnsi="Times New Roman" w:cs="Times New Roman"/>
              </w:rPr>
              <w:t>.</w:t>
            </w:r>
          </w:p>
          <w:p w14:paraId="3BCE87C1" w14:textId="77777777" w:rsidR="00644C93" w:rsidRPr="007B6FC2" w:rsidRDefault="00644C93" w:rsidP="00644C93">
            <w:pPr>
              <w:spacing w:after="14" w:line="259" w:lineRule="auto"/>
              <w:ind w:left="26" w:firstLine="987"/>
              <w:jc w:val="both"/>
              <w:rPr>
                <w:strike/>
              </w:rPr>
            </w:pPr>
          </w:p>
        </w:tc>
      </w:tr>
    </w:tbl>
    <w:p w14:paraId="53A89B3C" w14:textId="77777777" w:rsidR="00644C93" w:rsidRPr="00C755EE" w:rsidRDefault="00644C93" w:rsidP="00644C93">
      <w:pPr>
        <w:ind w:firstLine="993"/>
        <w:jc w:val="both"/>
        <w:rPr>
          <w:b/>
          <w:lang w:eastAsia="lt-LT"/>
        </w:rPr>
      </w:pPr>
    </w:p>
    <w:p w14:paraId="06583613" w14:textId="77777777" w:rsidR="00644C93" w:rsidRPr="00C755EE" w:rsidRDefault="00644C93" w:rsidP="00644C93">
      <w:pPr>
        <w:spacing w:after="14"/>
        <w:ind w:firstLine="1296"/>
        <w:jc w:val="both"/>
      </w:pPr>
      <w:r w:rsidRPr="00C755EE">
        <w:t>6.3</w:t>
      </w:r>
      <w:r>
        <w:t>0.7</w:t>
      </w:r>
      <w:r w:rsidRPr="00C755EE">
        <w:t>.</w:t>
      </w:r>
      <w:r>
        <w:t>4</w:t>
      </w:r>
      <w:r w:rsidRPr="00C755EE">
        <w:t xml:space="preserve">. </w:t>
      </w:r>
      <w:r>
        <w:t>Tuo atveju, k</w:t>
      </w:r>
      <w:r w:rsidRPr="00C755EE">
        <w:t xml:space="preserve">ai darbuotojai, sudarę pasirinkimo sandorius su darbdaviu yra perkeliami dirbti į kitą su </w:t>
      </w:r>
      <w:r>
        <w:t xml:space="preserve">darbdaviu </w:t>
      </w:r>
      <w:r w:rsidRPr="00C755EE">
        <w:t xml:space="preserve">susijusį asmenį (pvz. į kitą </w:t>
      </w:r>
      <w:r>
        <w:t xml:space="preserve">vienetų </w:t>
      </w:r>
      <w:r w:rsidRPr="00C755EE">
        <w:t>grupės</w:t>
      </w:r>
      <w:r>
        <w:t xml:space="preserve"> vienetą</w:t>
      </w:r>
      <w:r w:rsidRPr="00C755EE">
        <w:t>), ir darbuotojus perleidžianti</w:t>
      </w:r>
      <w:r>
        <w:t>s</w:t>
      </w:r>
      <w:r w:rsidRPr="00C755EE">
        <w:t xml:space="preserve"> </w:t>
      </w:r>
      <w:r>
        <w:t xml:space="preserve">vienetas </w:t>
      </w:r>
      <w:r w:rsidRPr="00C755EE">
        <w:t>kompensuoja darbuotojus perimančia</w:t>
      </w:r>
      <w:r>
        <w:t>m</w:t>
      </w:r>
      <w:r w:rsidRPr="00C755EE">
        <w:t xml:space="preserve"> </w:t>
      </w:r>
      <w:r>
        <w:t xml:space="preserve">vienetui </w:t>
      </w:r>
      <w:r w:rsidRPr="00C755EE">
        <w:t>būsimas akcijų įsigijimo sąnaudas už laikotarpį, proporcingą šių darbuotojų išdirbtam laikui perleidžianči</w:t>
      </w:r>
      <w:r>
        <w:t>ame vienete</w:t>
      </w:r>
      <w:r w:rsidRPr="00C755EE">
        <w:t xml:space="preserve"> iki pasirinkimo sandorio realizavimo dienos, tai darbuotojus perleidžianti</w:t>
      </w:r>
      <w:r>
        <w:t>s</w:t>
      </w:r>
      <w:r w:rsidRPr="00C755EE">
        <w:t xml:space="preserve"> </w:t>
      </w:r>
      <w:r>
        <w:t xml:space="preserve">vienetas </w:t>
      </w:r>
      <w:r w:rsidRPr="00C755EE">
        <w:t xml:space="preserve">sumokėtą kompensaciją gali priskirti leidžiamiems atskaitymams </w:t>
      </w:r>
      <w:r w:rsidRPr="0093136B">
        <w:t xml:space="preserve">ir iš pajamų atskaityti tą mokestinį laikotarpį, </w:t>
      </w:r>
      <w:r w:rsidRPr="00600005">
        <w:t>kurį tokią kompensaciją darbuotojus perimančiam vienetui faktiškai sumoka</w:t>
      </w:r>
      <w:r w:rsidRPr="0093136B">
        <w:t>.</w:t>
      </w:r>
    </w:p>
    <w:p w14:paraId="011F3240" w14:textId="77777777" w:rsidR="00644C93" w:rsidRDefault="00644C93" w:rsidP="00644C93">
      <w:pPr>
        <w:spacing w:after="14"/>
        <w:ind w:firstLine="1296"/>
        <w:jc w:val="both"/>
      </w:pPr>
    </w:p>
    <w:p w14:paraId="24D76F55" w14:textId="77777777" w:rsidR="00644C93" w:rsidRDefault="00644C93" w:rsidP="00644C93">
      <w:pPr>
        <w:spacing w:after="14"/>
        <w:ind w:firstLine="1296"/>
        <w:jc w:val="both"/>
      </w:pPr>
    </w:p>
    <w:p w14:paraId="77D6DE8D" w14:textId="77777777" w:rsidR="00644C93" w:rsidRDefault="00644C93" w:rsidP="00644C93">
      <w:pPr>
        <w:spacing w:after="14"/>
        <w:ind w:firstLine="1296"/>
        <w:jc w:val="both"/>
      </w:pPr>
    </w:p>
    <w:p w14:paraId="0924C84A" w14:textId="77777777" w:rsidR="00644C93" w:rsidRDefault="00644C93" w:rsidP="00644C93">
      <w:pPr>
        <w:spacing w:after="14"/>
        <w:ind w:firstLine="1296"/>
        <w:jc w:val="both"/>
      </w:pPr>
    </w:p>
    <w:p w14:paraId="632480E5" w14:textId="77777777" w:rsidR="00644C93" w:rsidRDefault="00644C93" w:rsidP="00644C93">
      <w:pPr>
        <w:spacing w:after="14"/>
        <w:ind w:firstLine="1296"/>
        <w:jc w:val="both"/>
      </w:pPr>
    </w:p>
    <w:p w14:paraId="0A71AC02" w14:textId="77777777" w:rsidR="00644C93" w:rsidRDefault="00644C93" w:rsidP="00644C93">
      <w:pPr>
        <w:spacing w:after="14"/>
        <w:ind w:firstLine="1296"/>
        <w:jc w:val="both"/>
      </w:pPr>
      <w:r w:rsidRPr="00C755EE">
        <w:t>Pavyzdys</w:t>
      </w:r>
    </w:p>
    <w:tbl>
      <w:tblPr>
        <w:tblStyle w:val="TableGrid"/>
        <w:tblW w:w="10055" w:type="dxa"/>
        <w:tblInd w:w="5" w:type="dxa"/>
        <w:tblCellMar>
          <w:top w:w="10" w:type="dxa"/>
          <w:left w:w="106" w:type="dxa"/>
          <w:right w:w="115" w:type="dxa"/>
        </w:tblCellMar>
        <w:tblLook w:val="04A0" w:firstRow="1" w:lastRow="0" w:firstColumn="1" w:lastColumn="0" w:noHBand="0" w:noVBand="1"/>
      </w:tblPr>
      <w:tblGrid>
        <w:gridCol w:w="10055"/>
      </w:tblGrid>
      <w:tr w:rsidR="00644C93" w:rsidRPr="00C755EE" w14:paraId="222CCF25" w14:textId="77777777" w:rsidTr="00644C93">
        <w:trPr>
          <w:trHeight w:val="5318"/>
        </w:trPr>
        <w:tc>
          <w:tcPr>
            <w:tcW w:w="10055" w:type="dxa"/>
            <w:tcBorders>
              <w:top w:val="single" w:sz="4" w:space="0" w:color="000000"/>
              <w:left w:val="single" w:sz="4" w:space="0" w:color="000000"/>
              <w:bottom w:val="single" w:sz="4" w:space="0" w:color="auto"/>
              <w:right w:val="single" w:sz="4" w:space="0" w:color="000000"/>
            </w:tcBorders>
          </w:tcPr>
          <w:p w14:paraId="45E081E6" w14:textId="77777777" w:rsidR="00644C93" w:rsidRPr="00C755EE" w:rsidRDefault="00644C93" w:rsidP="00644C93">
            <w:pPr>
              <w:spacing w:after="14" w:line="259" w:lineRule="auto"/>
              <w:ind w:left="26" w:firstLine="987"/>
              <w:jc w:val="both"/>
              <w:rPr>
                <w:rFonts w:ascii="Times New Roman" w:hAnsi="Times New Roman" w:cs="Times New Roman"/>
              </w:rPr>
            </w:pPr>
            <w:r w:rsidRPr="00C755EE">
              <w:rPr>
                <w:rFonts w:ascii="Times New Roman" w:eastAsia="Arial" w:hAnsi="Times New Roman" w:cs="Times New Roman"/>
              </w:rPr>
              <w:lastRenderedPageBreak/>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2021 m. sausio 1 d. sudaro susitarim</w:t>
            </w:r>
            <w:r w:rsidRPr="00C755EE">
              <w:rPr>
                <w:rFonts w:ascii="Times New Roman" w:eastAsia="Arial" w:hAnsi="Times New Roman" w:cs="Times New Roman"/>
              </w:rPr>
              <w:t>ą</w:t>
            </w:r>
            <w:r w:rsidRPr="00C755EE">
              <w:rPr>
                <w:rFonts w:ascii="Times New Roman" w:hAnsi="Times New Roman" w:cs="Times New Roman"/>
              </w:rPr>
              <w:t xml:space="preserve"> d</w:t>
            </w:r>
            <w:r w:rsidRPr="00C755EE">
              <w:rPr>
                <w:rFonts w:ascii="Times New Roman" w:eastAsia="Arial" w:hAnsi="Times New Roman" w:cs="Times New Roman"/>
              </w:rPr>
              <w:t>ė</w:t>
            </w:r>
            <w:r>
              <w:rPr>
                <w:rFonts w:ascii="Times New Roman" w:hAnsi="Times New Roman" w:cs="Times New Roman"/>
              </w:rPr>
              <w:t>l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pasirinkimo </w:t>
            </w:r>
            <w:r>
              <w:rPr>
                <w:rFonts w:ascii="Times New Roman" w:hAnsi="Times New Roman" w:cs="Times New Roman"/>
              </w:rPr>
              <w:t xml:space="preserve">sandorio </w:t>
            </w:r>
            <w:r w:rsidRPr="00C755EE">
              <w:rPr>
                <w:rFonts w:ascii="Times New Roman" w:hAnsi="Times New Roman" w:cs="Times New Roman"/>
              </w:rPr>
              <w:t>su</w:t>
            </w:r>
            <w:r>
              <w:rPr>
                <w:rFonts w:ascii="Times New Roman" w:hAnsi="Times New Roman" w:cs="Times New Roman"/>
              </w:rPr>
              <w:t xml:space="preserve"> </w:t>
            </w:r>
            <w:r w:rsidRPr="00C755EE">
              <w:rPr>
                <w:rFonts w:ascii="Times New Roman" w:hAnsi="Times New Roman" w:cs="Times New Roman"/>
              </w:rPr>
              <w:t>darbuotoju d</w:t>
            </w:r>
            <w:r w:rsidRPr="00C755EE">
              <w:rPr>
                <w:rFonts w:ascii="Times New Roman" w:eastAsia="Arial" w:hAnsi="Times New Roman" w:cs="Times New Roman"/>
              </w:rPr>
              <w:t>ė</w:t>
            </w:r>
            <w:r w:rsidRPr="00C755EE">
              <w:rPr>
                <w:rFonts w:ascii="Times New Roman" w:hAnsi="Times New Roman" w:cs="Times New Roman"/>
              </w:rPr>
              <w:t>l 300 vnt.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atsižvelgdama </w:t>
            </w:r>
            <w:r w:rsidRPr="00C755EE">
              <w:rPr>
                <w:rFonts w:ascii="Times New Roman" w:eastAsia="Arial" w:hAnsi="Times New Roman" w:cs="Times New Roman"/>
              </w:rPr>
              <w:t>į</w:t>
            </w:r>
            <w:r w:rsidRPr="00C755EE">
              <w:rPr>
                <w:rFonts w:ascii="Times New Roman" w:hAnsi="Times New Roman" w:cs="Times New Roman"/>
              </w:rPr>
              <w:t xml:space="preserve"> sudaryt</w:t>
            </w:r>
            <w:r w:rsidRPr="00C755EE">
              <w:rPr>
                <w:rFonts w:ascii="Times New Roman" w:eastAsia="Arial" w:hAnsi="Times New Roman" w:cs="Times New Roman"/>
              </w:rPr>
              <w:t>ą</w:t>
            </w:r>
            <w:r w:rsidRPr="00C755EE">
              <w:rPr>
                <w:rFonts w:ascii="Times New Roman" w:hAnsi="Times New Roman" w:cs="Times New Roman"/>
              </w:rPr>
              <w:t xml:space="preserve"> susitarim</w:t>
            </w:r>
            <w:r w:rsidRPr="00C755EE">
              <w:rPr>
                <w:rFonts w:ascii="Times New Roman" w:eastAsia="Arial" w:hAnsi="Times New Roman" w:cs="Times New Roman"/>
              </w:rPr>
              <w:t>ą</w:t>
            </w:r>
            <w:r w:rsidRPr="00C755EE">
              <w:rPr>
                <w:rFonts w:ascii="Times New Roman" w:hAnsi="Times New Roman" w:cs="Times New Roman"/>
              </w:rPr>
              <w:t xml:space="preserve"> ir iš šio susitarimo kylan</w:t>
            </w:r>
            <w:r w:rsidRPr="00C755EE">
              <w:rPr>
                <w:rFonts w:ascii="Times New Roman" w:eastAsia="Arial" w:hAnsi="Times New Roman" w:cs="Times New Roman"/>
              </w:rPr>
              <w:t>č</w:t>
            </w:r>
            <w:r w:rsidRPr="00C755EE">
              <w:rPr>
                <w:rFonts w:ascii="Times New Roman" w:hAnsi="Times New Roman" w:cs="Times New Roman"/>
              </w:rPr>
              <w:t>ias prievoles nupirkti atitinkam</w:t>
            </w:r>
            <w:r w:rsidRPr="00C755EE">
              <w:rPr>
                <w:rFonts w:ascii="Times New Roman" w:eastAsia="Arial" w:hAnsi="Times New Roman" w:cs="Times New Roman"/>
              </w:rPr>
              <w:t>ą</w:t>
            </w:r>
            <w:r w:rsidRPr="00C755EE">
              <w:rPr>
                <w:rFonts w:ascii="Times New Roman" w:hAnsi="Times New Roman" w:cs="Times New Roman"/>
              </w:rPr>
              <w:t xml:space="preserve"> kiek</w:t>
            </w:r>
            <w:r w:rsidRPr="00C755EE">
              <w:rPr>
                <w:rFonts w:ascii="Times New Roman" w:eastAsia="Arial" w:hAnsi="Times New Roman" w:cs="Times New Roman"/>
              </w:rPr>
              <w:t>į</w:t>
            </w:r>
            <w:r w:rsidRPr="00C755EE">
              <w:rPr>
                <w:rFonts w:ascii="Times New Roman" w:hAnsi="Times New Roman" w:cs="Times New Roman"/>
              </w:rPr>
              <w:t xml:space="preserve">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kuriomis prekiaujama akcij</w:t>
            </w:r>
            <w:r w:rsidRPr="00C755EE">
              <w:rPr>
                <w:rFonts w:ascii="Times New Roman" w:eastAsia="Arial" w:hAnsi="Times New Roman" w:cs="Times New Roman"/>
              </w:rPr>
              <w:t>ų</w:t>
            </w:r>
            <w:r w:rsidRPr="00C755EE">
              <w:rPr>
                <w:rFonts w:ascii="Times New Roman" w:hAnsi="Times New Roman" w:cs="Times New Roman"/>
              </w:rPr>
              <w:t xml:space="preserve"> biržoje, pagal rinkos kain</w:t>
            </w:r>
            <w:r w:rsidRPr="00C755EE">
              <w:rPr>
                <w:rFonts w:ascii="Times New Roman" w:eastAsia="Arial" w:hAnsi="Times New Roman" w:cs="Times New Roman"/>
              </w:rPr>
              <w:t>ą</w:t>
            </w:r>
            <w:r w:rsidRPr="00C755EE">
              <w:rPr>
                <w:rFonts w:ascii="Times New Roman" w:hAnsi="Times New Roman" w:cs="Times New Roman"/>
              </w:rPr>
              <w:t xml:space="preserve"> j</w:t>
            </w:r>
            <w:r w:rsidRPr="00C755EE">
              <w:rPr>
                <w:rFonts w:ascii="Times New Roman" w:eastAsia="Arial" w:hAnsi="Times New Roman" w:cs="Times New Roman"/>
              </w:rPr>
              <w:t>ų</w:t>
            </w:r>
            <w:r w:rsidRPr="00C755EE">
              <w:rPr>
                <w:rFonts w:ascii="Times New Roman" w:hAnsi="Times New Roman" w:cs="Times New Roman"/>
              </w:rPr>
              <w:t xml:space="preserve"> nuosavyb</w:t>
            </w:r>
            <w:r w:rsidRPr="00C755EE">
              <w:rPr>
                <w:rFonts w:ascii="Times New Roman" w:eastAsia="Arial" w:hAnsi="Times New Roman" w:cs="Times New Roman"/>
              </w:rPr>
              <w:t>ė</w:t>
            </w:r>
            <w:r w:rsidRPr="00C755EE">
              <w:rPr>
                <w:rFonts w:ascii="Times New Roman" w:hAnsi="Times New Roman" w:cs="Times New Roman"/>
              </w:rPr>
              <w:t>n perleidimo momentu (2024 m. sausio 2 d.), nor</w:t>
            </w:r>
            <w:r w:rsidRPr="00C755EE">
              <w:rPr>
                <w:rFonts w:ascii="Times New Roman" w:eastAsia="Arial" w:hAnsi="Times New Roman" w:cs="Times New Roman"/>
              </w:rPr>
              <w:t>ė</w:t>
            </w:r>
            <w:r w:rsidRPr="00C755EE">
              <w:rPr>
                <w:rFonts w:ascii="Times New Roman" w:hAnsi="Times New Roman" w:cs="Times New Roman"/>
              </w:rPr>
              <w:t xml:space="preserve">dama </w:t>
            </w:r>
            <w:r w:rsidRPr="00C755EE">
              <w:rPr>
                <w:rFonts w:ascii="Times New Roman" w:eastAsia="Arial" w:hAnsi="Times New Roman" w:cs="Times New Roman"/>
              </w:rPr>
              <w:t>į</w:t>
            </w:r>
            <w:r w:rsidRPr="00C755EE">
              <w:rPr>
                <w:rFonts w:ascii="Times New Roman" w:hAnsi="Times New Roman" w:cs="Times New Roman"/>
              </w:rPr>
              <w:t xml:space="preserve">vykdyti </w:t>
            </w:r>
            <w:r w:rsidRPr="00C755EE">
              <w:rPr>
                <w:rFonts w:ascii="Times New Roman" w:eastAsia="Arial" w:hAnsi="Times New Roman" w:cs="Times New Roman"/>
              </w:rPr>
              <w:t>į</w:t>
            </w:r>
            <w:r w:rsidRPr="00C755EE">
              <w:rPr>
                <w:rFonts w:ascii="Times New Roman" w:hAnsi="Times New Roman" w:cs="Times New Roman"/>
              </w:rPr>
              <w:t>sipareigojim</w:t>
            </w:r>
            <w:r w:rsidRPr="00C755EE">
              <w:rPr>
                <w:rFonts w:ascii="Times New Roman" w:eastAsia="Arial" w:hAnsi="Times New Roman" w:cs="Times New Roman"/>
              </w:rPr>
              <w:t>ą</w:t>
            </w:r>
            <w:r w:rsidRPr="00C755EE">
              <w:rPr>
                <w:rFonts w:ascii="Times New Roman" w:hAnsi="Times New Roman" w:cs="Times New Roman"/>
              </w:rPr>
              <w:t xml:space="preserve"> šia</w:t>
            </w:r>
            <w:r>
              <w:rPr>
                <w:rFonts w:ascii="Times New Roman" w:hAnsi="Times New Roman" w:cs="Times New Roman"/>
              </w:rPr>
              <w:t>m darbuotojui numato, kad po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patirs 3 000 Eur išlaid</w:t>
            </w:r>
            <w:r w:rsidRPr="00C755EE">
              <w:rPr>
                <w:rFonts w:ascii="Times New Roman" w:eastAsia="Arial" w:hAnsi="Times New Roman" w:cs="Times New Roman"/>
              </w:rPr>
              <w:t>ų</w:t>
            </w:r>
            <w:r w:rsidRPr="00C755EE">
              <w:rPr>
                <w:rFonts w:ascii="Times New Roman" w:hAnsi="Times New Roman" w:cs="Times New Roman"/>
              </w:rPr>
              <w:t>. Pastaroji suma apskai</w:t>
            </w:r>
            <w:r w:rsidRPr="00C755EE">
              <w:rPr>
                <w:rFonts w:ascii="Times New Roman" w:eastAsia="Arial" w:hAnsi="Times New Roman" w:cs="Times New Roman"/>
              </w:rPr>
              <w:t>č</w:t>
            </w:r>
            <w:r w:rsidRPr="00C755EE">
              <w:rPr>
                <w:rFonts w:ascii="Times New Roman" w:hAnsi="Times New Roman" w:cs="Times New Roman"/>
              </w:rPr>
              <w:t xml:space="preserve">iuojama atsižvelgiant </w:t>
            </w:r>
            <w:r w:rsidRPr="00C755EE">
              <w:rPr>
                <w:rFonts w:ascii="Times New Roman" w:eastAsia="Arial" w:hAnsi="Times New Roman" w:cs="Times New Roman"/>
              </w:rPr>
              <w:t>į</w:t>
            </w:r>
            <w:r w:rsidRPr="00C755EE">
              <w:rPr>
                <w:rFonts w:ascii="Times New Roman" w:hAnsi="Times New Roman" w:cs="Times New Roman"/>
              </w:rPr>
              <w:t xml:space="preserve"> susitarimo pasirašymo dien</w:t>
            </w:r>
            <w:r w:rsidRPr="00C755EE">
              <w:rPr>
                <w:rFonts w:ascii="Times New Roman" w:eastAsia="Arial" w:hAnsi="Times New Roman" w:cs="Times New Roman"/>
              </w:rPr>
              <w:t>ą</w:t>
            </w:r>
            <w:r w:rsidRPr="00C755EE">
              <w:rPr>
                <w:rFonts w:ascii="Times New Roman" w:hAnsi="Times New Roman" w:cs="Times New Roman"/>
              </w:rPr>
              <w:t xml:space="preserve"> buvusi</w:t>
            </w:r>
            <w:r w:rsidRPr="00C755EE">
              <w:rPr>
                <w:rFonts w:ascii="Times New Roman" w:eastAsia="Arial" w:hAnsi="Times New Roman" w:cs="Times New Roman"/>
              </w:rPr>
              <w:t>ą</w:t>
            </w:r>
            <w:r w:rsidRPr="00C755EE">
              <w:rPr>
                <w:rFonts w:ascii="Times New Roman" w:hAnsi="Times New Roman" w:cs="Times New Roman"/>
              </w:rPr>
              <w:t xml:space="preserve"> akcij</w:t>
            </w:r>
            <w:r w:rsidRPr="00C755EE">
              <w:rPr>
                <w:rFonts w:ascii="Times New Roman" w:eastAsia="Arial" w:hAnsi="Times New Roman" w:cs="Times New Roman"/>
              </w:rPr>
              <w:t xml:space="preserve">ų </w:t>
            </w:r>
            <w:r w:rsidRPr="00C755EE">
              <w:rPr>
                <w:rFonts w:ascii="Times New Roman" w:hAnsi="Times New Roman" w:cs="Times New Roman"/>
              </w:rPr>
              <w:t>rinkos kain</w:t>
            </w:r>
            <w:r w:rsidRPr="00C755EE">
              <w:rPr>
                <w:rFonts w:ascii="Times New Roman" w:eastAsia="Arial" w:hAnsi="Times New Roman" w:cs="Times New Roman"/>
              </w:rPr>
              <w:t>ą</w:t>
            </w:r>
            <w:r w:rsidRPr="00C755EE">
              <w:rPr>
                <w:rFonts w:ascii="Times New Roman" w:hAnsi="Times New Roman" w:cs="Times New Roman"/>
              </w:rPr>
              <w:t>, kai tuo tarpu reikalingas akcij</w:t>
            </w:r>
            <w:r w:rsidRPr="00C755EE">
              <w:rPr>
                <w:rFonts w:ascii="Times New Roman" w:eastAsia="Arial" w:hAnsi="Times New Roman" w:cs="Times New Roman"/>
              </w:rPr>
              <w:t>ų</w:t>
            </w:r>
            <w:r w:rsidRPr="00C755EE">
              <w:rPr>
                <w:rFonts w:ascii="Times New Roman" w:hAnsi="Times New Roman" w:cs="Times New Roman"/>
              </w:rPr>
              <w:t xml:space="preserve"> kiekis bus perkamas pagal rinkos kain</w:t>
            </w:r>
            <w:r w:rsidRPr="00C755EE">
              <w:rPr>
                <w:rFonts w:ascii="Times New Roman" w:eastAsia="Arial" w:hAnsi="Times New Roman" w:cs="Times New Roman"/>
              </w:rPr>
              <w:t>ą</w:t>
            </w:r>
            <w:r w:rsidRPr="00C755EE">
              <w:rPr>
                <w:rFonts w:ascii="Times New Roman" w:hAnsi="Times New Roman" w:cs="Times New Roman"/>
              </w:rPr>
              <w:t xml:space="preserve"> pasirinkimo sandorio </w:t>
            </w:r>
            <w:r w:rsidRPr="00C755EE">
              <w:rPr>
                <w:rFonts w:ascii="Times New Roman" w:eastAsia="Arial" w:hAnsi="Times New Roman" w:cs="Times New Roman"/>
              </w:rPr>
              <w:t>į</w:t>
            </w:r>
            <w:r w:rsidRPr="00C755EE">
              <w:rPr>
                <w:rFonts w:ascii="Times New Roman" w:hAnsi="Times New Roman" w:cs="Times New Roman"/>
              </w:rPr>
              <w:t>gyvendinimo dien</w:t>
            </w:r>
            <w:r w:rsidRPr="00C755EE">
              <w:rPr>
                <w:rFonts w:ascii="Times New Roman" w:eastAsia="Arial" w:hAnsi="Times New Roman" w:cs="Times New Roman"/>
              </w:rPr>
              <w:t>ą</w:t>
            </w:r>
            <w:r w:rsidRPr="00C755EE">
              <w:rPr>
                <w:rFonts w:ascii="Times New Roman" w:hAnsi="Times New Roman" w:cs="Times New Roman"/>
              </w:rPr>
              <w:t xml:space="preserve"> (2024 m. sausio 2 d.).</w:t>
            </w:r>
          </w:p>
          <w:p w14:paraId="50E41EBC" w14:textId="77777777" w:rsidR="00644C93" w:rsidRPr="00C755EE" w:rsidRDefault="00644C93" w:rsidP="00644C93">
            <w:pPr>
              <w:spacing w:after="14" w:line="259" w:lineRule="auto"/>
              <w:ind w:left="26" w:firstLine="992"/>
              <w:jc w:val="both"/>
              <w:rPr>
                <w:rFonts w:ascii="Times New Roman" w:hAnsi="Times New Roman" w:cs="Times New Roman"/>
              </w:rPr>
            </w:pPr>
            <w:r w:rsidRPr="00C755EE">
              <w:rPr>
                <w:rFonts w:ascii="Times New Roman" w:hAnsi="Times New Roman" w:cs="Times New Roman"/>
              </w:rPr>
              <w:t>D</w:t>
            </w:r>
            <w:r w:rsidRPr="00C755EE">
              <w:rPr>
                <w:rFonts w:ascii="Times New Roman" w:eastAsia="Arial" w:hAnsi="Times New Roman" w:cs="Times New Roman"/>
              </w:rPr>
              <w:t>ė</w:t>
            </w:r>
            <w:r w:rsidRPr="00C755EE">
              <w:rPr>
                <w:rFonts w:ascii="Times New Roman" w:hAnsi="Times New Roman" w:cs="Times New Roman"/>
              </w:rPr>
              <w:t>l strukt</w:t>
            </w:r>
            <w:r w:rsidRPr="00C755EE">
              <w:rPr>
                <w:rFonts w:ascii="Times New Roman" w:eastAsia="Arial" w:hAnsi="Times New Roman" w:cs="Times New Roman"/>
              </w:rPr>
              <w:t>ū</w:t>
            </w:r>
            <w:r w:rsidRPr="00C755EE">
              <w:rPr>
                <w:rFonts w:ascii="Times New Roman" w:hAnsi="Times New Roman" w:cs="Times New Roman"/>
              </w:rPr>
              <w:t>rini</w:t>
            </w:r>
            <w:r w:rsidRPr="00C755EE">
              <w:rPr>
                <w:rFonts w:ascii="Times New Roman" w:eastAsia="Arial" w:hAnsi="Times New Roman" w:cs="Times New Roman"/>
              </w:rPr>
              <w:t>ų</w:t>
            </w:r>
            <w:r w:rsidRPr="00C755EE">
              <w:rPr>
                <w:rFonts w:ascii="Times New Roman" w:hAnsi="Times New Roman" w:cs="Times New Roman"/>
              </w:rPr>
              <w:t xml:space="preserve"> poky</w:t>
            </w:r>
            <w:r w:rsidRPr="00C755EE">
              <w:rPr>
                <w:rFonts w:ascii="Times New Roman" w:eastAsia="Arial" w:hAnsi="Times New Roman" w:cs="Times New Roman"/>
              </w:rPr>
              <w:t>č</w:t>
            </w:r>
            <w:r w:rsidRPr="00C755EE">
              <w:rPr>
                <w:rFonts w:ascii="Times New Roman" w:hAnsi="Times New Roman" w:cs="Times New Roman"/>
              </w:rPr>
              <w:t>i</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moni</w:t>
            </w:r>
            <w:r w:rsidRPr="00C755EE">
              <w:rPr>
                <w:rFonts w:ascii="Times New Roman" w:eastAsia="Arial" w:hAnsi="Times New Roman" w:cs="Times New Roman"/>
              </w:rPr>
              <w:t>ų</w:t>
            </w:r>
            <w:r w:rsidRPr="00C755EE">
              <w:rPr>
                <w:rFonts w:ascii="Times New Roman" w:hAnsi="Times New Roman" w:cs="Times New Roman"/>
              </w:rPr>
              <w:t xml:space="preserve"> grup</w:t>
            </w:r>
            <w:r w:rsidRPr="00C755EE">
              <w:rPr>
                <w:rFonts w:ascii="Times New Roman" w:eastAsia="Arial" w:hAnsi="Times New Roman" w:cs="Times New Roman"/>
              </w:rPr>
              <w:t>ė</w:t>
            </w:r>
            <w:r w:rsidRPr="00C755EE">
              <w:rPr>
                <w:rFonts w:ascii="Times New Roman" w:hAnsi="Times New Roman" w:cs="Times New Roman"/>
              </w:rPr>
              <w:t>je, 2023 m. sausio 1 d. darbuotojas, kuris 2021 m.</w:t>
            </w:r>
            <w:r>
              <w:rPr>
                <w:rFonts w:ascii="Times New Roman" w:hAnsi="Times New Roman" w:cs="Times New Roman"/>
              </w:rPr>
              <w:t xml:space="preserve"> </w:t>
            </w:r>
            <w:r w:rsidRPr="00C755EE">
              <w:rPr>
                <w:rFonts w:ascii="Times New Roman" w:hAnsi="Times New Roman" w:cs="Times New Roman"/>
              </w:rPr>
              <w:t>sausio 1 d. buvo sudar</w:t>
            </w:r>
            <w:r w:rsidRPr="00C755EE">
              <w:rPr>
                <w:rFonts w:ascii="Times New Roman" w:eastAsia="Arial" w:hAnsi="Times New Roman" w:cs="Times New Roman"/>
              </w:rPr>
              <w:t>ę</w:t>
            </w:r>
            <w:r w:rsidRPr="00C755EE">
              <w:rPr>
                <w:rFonts w:ascii="Times New Roman" w:hAnsi="Times New Roman" w:cs="Times New Roman"/>
              </w:rPr>
              <w:t>s pasirinkimo sandor</w:t>
            </w:r>
            <w:r w:rsidRPr="00C755EE">
              <w:rPr>
                <w:rFonts w:ascii="Times New Roman" w:eastAsia="Arial" w:hAnsi="Times New Roman" w:cs="Times New Roman"/>
              </w:rPr>
              <w:t>į</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 xml:space="preserve">mone „A“, yra perkeliamas </w:t>
            </w:r>
            <w:r w:rsidRPr="00C755EE">
              <w:rPr>
                <w:rFonts w:ascii="Times New Roman" w:eastAsia="Arial" w:hAnsi="Times New Roman" w:cs="Times New Roman"/>
              </w:rPr>
              <w:t>į</w:t>
            </w:r>
            <w:r w:rsidRPr="00C755EE">
              <w:rPr>
                <w:rFonts w:ascii="Times New Roman" w:hAnsi="Times New Roman" w:cs="Times New Roman"/>
              </w:rPr>
              <w:t xml:space="preserve"> kit</w:t>
            </w:r>
            <w:r w:rsidRPr="00C755EE">
              <w:rPr>
                <w:rFonts w:ascii="Times New Roman" w:eastAsia="Arial" w:hAnsi="Times New Roman" w:cs="Times New Roman"/>
              </w:rPr>
              <w:t>ą</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mone susijus</w:t>
            </w:r>
            <w:r w:rsidRPr="00C755EE">
              <w:rPr>
                <w:rFonts w:ascii="Times New Roman" w:eastAsia="Arial" w:hAnsi="Times New Roman" w:cs="Times New Roman"/>
              </w:rPr>
              <w:t xml:space="preserve">į </w:t>
            </w:r>
            <w:r w:rsidRPr="00C755EE">
              <w:rPr>
                <w:rFonts w:ascii="Times New Roman" w:hAnsi="Times New Roman" w:cs="Times New Roman"/>
              </w:rPr>
              <w:t>asmen</w:t>
            </w:r>
            <w:r w:rsidRPr="00C755EE">
              <w:rPr>
                <w:rFonts w:ascii="Times New Roman" w:eastAsia="Arial" w:hAnsi="Times New Roman" w:cs="Times New Roman"/>
              </w:rPr>
              <w:t>į</w:t>
            </w:r>
            <w:r w:rsidRPr="00C755EE">
              <w:rPr>
                <w:rFonts w:ascii="Times New Roman" w:hAnsi="Times New Roman" w:cs="Times New Roman"/>
              </w:rPr>
              <w:t xml:space="preserve"> </w:t>
            </w:r>
            <w:r>
              <w:rPr>
                <w:rFonts w:ascii="Times New Roman" w:hAnsi="Times New Roman" w:cs="Times New Roman"/>
              </w:rPr>
              <w:t>-</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ę</w:t>
            </w:r>
            <w:r w:rsidRPr="00C755EE">
              <w:rPr>
                <w:rFonts w:ascii="Times New Roman" w:hAnsi="Times New Roman" w:cs="Times New Roman"/>
              </w:rPr>
              <w:t xml:space="preserve"> „B“.</w:t>
            </w:r>
          </w:p>
          <w:p w14:paraId="5A7BE564" w14:textId="77777777" w:rsidR="00644C93" w:rsidRPr="00C755EE" w:rsidRDefault="00644C93" w:rsidP="00644C93">
            <w:pPr>
              <w:spacing w:after="14" w:line="259" w:lineRule="auto"/>
              <w:ind w:left="26" w:firstLine="992"/>
              <w:jc w:val="both"/>
              <w:rPr>
                <w:rFonts w:ascii="Times New Roman" w:hAnsi="Times New Roman" w:cs="Times New Roman"/>
              </w:rPr>
            </w:pPr>
            <w:r w:rsidRPr="00C755EE">
              <w:rPr>
                <w:rFonts w:ascii="Times New Roman" w:hAnsi="Times New Roman" w:cs="Times New Roman"/>
              </w:rPr>
              <w:t xml:space="preserve">Pasirinkimo sandorio galiojimo metu,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kuri 2021 m. sausio 1 d. buvo sudariusi</w:t>
            </w:r>
            <w:r>
              <w:rPr>
                <w:rFonts w:ascii="Times New Roman" w:hAnsi="Times New Roman" w:cs="Times New Roman"/>
              </w:rPr>
              <w:t xml:space="preserve"> </w:t>
            </w:r>
            <w:r w:rsidRPr="00C755EE">
              <w:rPr>
                <w:rFonts w:ascii="Times New Roman" w:hAnsi="Times New Roman" w:cs="Times New Roman"/>
              </w:rPr>
              <w:t>susitarim</w:t>
            </w:r>
            <w:r w:rsidRPr="00C755EE">
              <w:rPr>
                <w:rFonts w:ascii="Times New Roman" w:eastAsia="Arial" w:hAnsi="Times New Roman" w:cs="Times New Roman"/>
              </w:rPr>
              <w:t>ą</w:t>
            </w:r>
            <w:r w:rsidRPr="00C755EE">
              <w:rPr>
                <w:rFonts w:ascii="Times New Roman" w:hAnsi="Times New Roman" w:cs="Times New Roman"/>
              </w:rPr>
              <w:t xml:space="preserve"> d</w:t>
            </w:r>
            <w:r w:rsidRPr="00C755EE">
              <w:rPr>
                <w:rFonts w:ascii="Times New Roman" w:eastAsia="Arial" w:hAnsi="Times New Roman" w:cs="Times New Roman"/>
              </w:rPr>
              <w:t>ė</w:t>
            </w:r>
            <w:r>
              <w:rPr>
                <w:rFonts w:ascii="Times New Roman" w:hAnsi="Times New Roman" w:cs="Times New Roman"/>
              </w:rPr>
              <w:t>l tre</w:t>
            </w:r>
            <w:r w:rsidRPr="00C755EE">
              <w:rPr>
                <w:rFonts w:ascii="Times New Roman" w:hAnsi="Times New Roman" w:cs="Times New Roman"/>
              </w:rPr>
              <w:t>j</w:t>
            </w:r>
            <w:r w:rsidRPr="00C755EE">
              <w:rPr>
                <w:rFonts w:ascii="Times New Roman" w:eastAsia="Arial" w:hAnsi="Times New Roman" w:cs="Times New Roman"/>
              </w:rPr>
              <w:t>ų</w:t>
            </w:r>
            <w:r w:rsidRPr="00C755EE">
              <w:rPr>
                <w:rFonts w:ascii="Times New Roman" w:hAnsi="Times New Roman" w:cs="Times New Roman"/>
              </w:rPr>
              <w:t xml:space="preserve"> met</w:t>
            </w:r>
            <w:r w:rsidRPr="00C755EE">
              <w:rPr>
                <w:rFonts w:ascii="Times New Roman" w:eastAsia="Arial" w:hAnsi="Times New Roman" w:cs="Times New Roman"/>
              </w:rPr>
              <w:t>ų</w:t>
            </w:r>
            <w:r w:rsidRPr="00C755EE">
              <w:rPr>
                <w:rFonts w:ascii="Times New Roman" w:hAnsi="Times New Roman" w:cs="Times New Roman"/>
              </w:rPr>
              <w:t xml:space="preserve"> pasirinkimo sandorio su darbuotoju, apskait</w:t>
            </w:r>
            <w:r w:rsidRPr="00C755EE">
              <w:rPr>
                <w:rFonts w:ascii="Times New Roman" w:eastAsia="Arial" w:hAnsi="Times New Roman" w:cs="Times New Roman"/>
              </w:rPr>
              <w:t>ė</w:t>
            </w:r>
            <w:r w:rsidRPr="00C755EE">
              <w:rPr>
                <w:rFonts w:ascii="Times New Roman" w:hAnsi="Times New Roman" w:cs="Times New Roman"/>
              </w:rPr>
              <w:t xml:space="preserve"> ilgalaik</w:t>
            </w:r>
            <w:r w:rsidRPr="00C755EE">
              <w:rPr>
                <w:rFonts w:ascii="Times New Roman" w:eastAsia="Arial" w:hAnsi="Times New Roman" w:cs="Times New Roman"/>
              </w:rPr>
              <w:t>į</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sipareigojim</w:t>
            </w:r>
            <w:r w:rsidRPr="00C755EE">
              <w:rPr>
                <w:rFonts w:ascii="Times New Roman" w:eastAsia="Arial" w:hAnsi="Times New Roman" w:cs="Times New Roman"/>
              </w:rPr>
              <w:t>ą</w:t>
            </w:r>
            <w:r w:rsidRPr="00C755EE">
              <w:rPr>
                <w:rFonts w:ascii="Times New Roman" w:hAnsi="Times New Roman" w:cs="Times New Roman"/>
              </w:rPr>
              <w:t xml:space="preserve"> ir atid</w:t>
            </w:r>
            <w:r w:rsidRPr="00C755EE">
              <w:rPr>
                <w:rFonts w:ascii="Times New Roman" w:eastAsia="Arial" w:hAnsi="Times New Roman" w:cs="Times New Roman"/>
              </w:rPr>
              <w:t>ė</w:t>
            </w:r>
            <w:r w:rsidRPr="00C755EE">
              <w:rPr>
                <w:rFonts w:ascii="Times New Roman" w:hAnsi="Times New Roman" w:cs="Times New Roman"/>
              </w:rPr>
              <w:t>jim</w:t>
            </w:r>
            <w:r w:rsidRPr="00C755EE">
              <w:rPr>
                <w:rFonts w:ascii="Times New Roman" w:eastAsia="Arial" w:hAnsi="Times New Roman" w:cs="Times New Roman"/>
              </w:rPr>
              <w:t>ų</w:t>
            </w:r>
            <w:r w:rsidRPr="00C755EE">
              <w:rPr>
                <w:rFonts w:ascii="Times New Roman" w:hAnsi="Times New Roman" w:cs="Times New Roman"/>
              </w:rPr>
              <w:t xml:space="preserve"> s</w:t>
            </w:r>
            <w:r w:rsidRPr="00C755EE">
              <w:rPr>
                <w:rFonts w:ascii="Times New Roman" w:eastAsia="Arial" w:hAnsi="Times New Roman" w:cs="Times New Roman"/>
              </w:rPr>
              <w:t>ą</w:t>
            </w:r>
            <w:r w:rsidRPr="00C755EE">
              <w:rPr>
                <w:rFonts w:ascii="Times New Roman" w:hAnsi="Times New Roman" w:cs="Times New Roman"/>
              </w:rPr>
              <w:t>naudas d</w:t>
            </w:r>
            <w:r w:rsidRPr="00C755EE">
              <w:rPr>
                <w:rFonts w:ascii="Times New Roman" w:eastAsia="Arial" w:hAnsi="Times New Roman" w:cs="Times New Roman"/>
              </w:rPr>
              <w:t>ė</w:t>
            </w:r>
            <w:r w:rsidRPr="00C755EE">
              <w:rPr>
                <w:rFonts w:ascii="Times New Roman" w:hAnsi="Times New Roman" w:cs="Times New Roman"/>
              </w:rPr>
              <w:t>l b</w:t>
            </w:r>
            <w:r w:rsidRPr="00C755EE">
              <w:rPr>
                <w:rFonts w:ascii="Times New Roman" w:eastAsia="Arial" w:hAnsi="Times New Roman" w:cs="Times New Roman"/>
              </w:rPr>
              <w:t>ū</w:t>
            </w:r>
            <w:r w:rsidRPr="00C755EE">
              <w:rPr>
                <w:rFonts w:ascii="Times New Roman" w:hAnsi="Times New Roman" w:cs="Times New Roman"/>
              </w:rPr>
              <w:t>simo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 xml:space="preserve">sigijimo. Kadangi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 xml:space="preserve">sipareigojimas yra ilgalaikis,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 xml:space="preserve">ė </w:t>
            </w:r>
            <w:r w:rsidRPr="00C755EE">
              <w:rPr>
                <w:rFonts w:ascii="Times New Roman" w:hAnsi="Times New Roman" w:cs="Times New Roman"/>
              </w:rPr>
              <w:t>finansin</w:t>
            </w:r>
            <w:r w:rsidRPr="00C755EE">
              <w:rPr>
                <w:rFonts w:ascii="Times New Roman" w:eastAsia="Arial" w:hAnsi="Times New Roman" w:cs="Times New Roman"/>
              </w:rPr>
              <w:t>ė</w:t>
            </w:r>
            <w:r w:rsidRPr="00C755EE">
              <w:rPr>
                <w:rFonts w:ascii="Times New Roman" w:hAnsi="Times New Roman" w:cs="Times New Roman"/>
              </w:rPr>
              <w:t>je apskaitoje du metus lygiomis dalimis apskait</w:t>
            </w:r>
            <w:r w:rsidRPr="00C755EE">
              <w:rPr>
                <w:rFonts w:ascii="Times New Roman" w:eastAsia="Arial" w:hAnsi="Times New Roman" w:cs="Times New Roman"/>
              </w:rPr>
              <w:t>ė</w:t>
            </w:r>
            <w:r w:rsidRPr="00C755EE">
              <w:rPr>
                <w:rFonts w:ascii="Times New Roman" w:hAnsi="Times New Roman" w:cs="Times New Roman"/>
              </w:rPr>
              <w:t xml:space="preserve"> b</w:t>
            </w:r>
            <w:r w:rsidRPr="00C755EE">
              <w:rPr>
                <w:rFonts w:ascii="Times New Roman" w:eastAsia="Arial" w:hAnsi="Times New Roman" w:cs="Times New Roman"/>
              </w:rPr>
              <w:t>ū</w:t>
            </w:r>
            <w:r w:rsidRPr="00C755EE">
              <w:rPr>
                <w:rFonts w:ascii="Times New Roman" w:hAnsi="Times New Roman" w:cs="Times New Roman"/>
              </w:rPr>
              <w:t>simas išlaidas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 xml:space="preserve">sigijimui.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atid</w:t>
            </w:r>
            <w:r w:rsidRPr="00C755EE">
              <w:rPr>
                <w:rFonts w:ascii="Times New Roman" w:eastAsia="Arial" w:hAnsi="Times New Roman" w:cs="Times New Roman"/>
              </w:rPr>
              <w:t>ė</w:t>
            </w:r>
            <w:r w:rsidRPr="00C755EE">
              <w:rPr>
                <w:rFonts w:ascii="Times New Roman" w:hAnsi="Times New Roman" w:cs="Times New Roman"/>
              </w:rPr>
              <w:t>jini</w:t>
            </w:r>
            <w:r w:rsidRPr="00C755EE">
              <w:rPr>
                <w:rFonts w:ascii="Times New Roman" w:eastAsia="Arial" w:hAnsi="Times New Roman" w:cs="Times New Roman"/>
              </w:rPr>
              <w:t>ų</w:t>
            </w:r>
            <w:r w:rsidRPr="00C755EE">
              <w:rPr>
                <w:rFonts w:ascii="Times New Roman" w:hAnsi="Times New Roman" w:cs="Times New Roman"/>
              </w:rPr>
              <w:t xml:space="preserve"> s</w:t>
            </w:r>
            <w:r w:rsidRPr="00C755EE">
              <w:rPr>
                <w:rFonts w:ascii="Times New Roman" w:eastAsia="Arial" w:hAnsi="Times New Roman" w:cs="Times New Roman"/>
              </w:rPr>
              <w:t>ą</w:t>
            </w:r>
            <w:r w:rsidRPr="00C755EE">
              <w:rPr>
                <w:rFonts w:ascii="Times New Roman" w:hAnsi="Times New Roman" w:cs="Times New Roman"/>
              </w:rPr>
              <w:t>naudas</w:t>
            </w:r>
            <w:r>
              <w:rPr>
                <w:rFonts w:ascii="Times New Roman" w:hAnsi="Times New Roman" w:cs="Times New Roman"/>
              </w:rPr>
              <w:t xml:space="preserve"> finansinėje apskaitoje</w:t>
            </w:r>
            <w:r w:rsidRPr="00C755EE">
              <w:rPr>
                <w:rFonts w:ascii="Times New Roman" w:hAnsi="Times New Roman" w:cs="Times New Roman"/>
              </w:rPr>
              <w:t xml:space="preserve"> prisipažino j</w:t>
            </w:r>
            <w:r w:rsidRPr="00C755EE">
              <w:rPr>
                <w:rFonts w:ascii="Times New Roman" w:eastAsia="Arial" w:hAnsi="Times New Roman" w:cs="Times New Roman"/>
              </w:rPr>
              <w:t>ų</w:t>
            </w:r>
            <w:r w:rsidRPr="00C755EE">
              <w:rPr>
                <w:rFonts w:ascii="Times New Roman" w:hAnsi="Times New Roman" w:cs="Times New Roman"/>
              </w:rPr>
              <w:t xml:space="preserve"> susidarymo metu, atsižvelgiant </w:t>
            </w:r>
            <w:r w:rsidRPr="00C755EE">
              <w:rPr>
                <w:rFonts w:ascii="Times New Roman" w:eastAsia="Arial" w:hAnsi="Times New Roman" w:cs="Times New Roman"/>
              </w:rPr>
              <w:t>į</w:t>
            </w:r>
            <w:r w:rsidRPr="00C755EE">
              <w:rPr>
                <w:rFonts w:ascii="Times New Roman" w:hAnsi="Times New Roman" w:cs="Times New Roman"/>
              </w:rPr>
              <w:t xml:space="preserve"> tai, už kok</w:t>
            </w:r>
            <w:r w:rsidRPr="00C755EE">
              <w:rPr>
                <w:rFonts w:ascii="Times New Roman" w:eastAsia="Arial" w:hAnsi="Times New Roman" w:cs="Times New Roman"/>
              </w:rPr>
              <w:t>į</w:t>
            </w:r>
            <w:r w:rsidRPr="00C755EE">
              <w:rPr>
                <w:rFonts w:ascii="Times New Roman" w:hAnsi="Times New Roman" w:cs="Times New Roman"/>
              </w:rPr>
              <w:t xml:space="preserve"> apskaitin</w:t>
            </w:r>
            <w:r w:rsidRPr="00C755EE">
              <w:rPr>
                <w:rFonts w:ascii="Times New Roman" w:eastAsia="Arial" w:hAnsi="Times New Roman" w:cs="Times New Roman"/>
              </w:rPr>
              <w:t>į</w:t>
            </w:r>
            <w:r w:rsidRPr="00C755EE">
              <w:rPr>
                <w:rFonts w:ascii="Times New Roman" w:hAnsi="Times New Roman" w:cs="Times New Roman"/>
              </w:rPr>
              <w:t xml:space="preserve"> laikotarp</w:t>
            </w:r>
            <w:r w:rsidRPr="00C755EE">
              <w:rPr>
                <w:rFonts w:ascii="Times New Roman" w:eastAsia="Arial" w:hAnsi="Times New Roman" w:cs="Times New Roman"/>
              </w:rPr>
              <w:t>į</w:t>
            </w:r>
            <w:r w:rsidRPr="00C755EE">
              <w:rPr>
                <w:rFonts w:ascii="Times New Roman" w:hAnsi="Times New Roman" w:cs="Times New Roman"/>
              </w:rPr>
              <w:t xml:space="preserve"> šios s</w:t>
            </w:r>
            <w:r w:rsidRPr="00C755EE">
              <w:rPr>
                <w:rFonts w:ascii="Times New Roman" w:eastAsia="Arial" w:hAnsi="Times New Roman" w:cs="Times New Roman"/>
              </w:rPr>
              <w:t>ą</w:t>
            </w:r>
            <w:r w:rsidRPr="00C755EE">
              <w:rPr>
                <w:rFonts w:ascii="Times New Roman" w:hAnsi="Times New Roman" w:cs="Times New Roman"/>
              </w:rPr>
              <w:t>naudos sukauptos.</w:t>
            </w:r>
          </w:p>
          <w:p w14:paraId="5E1C1806" w14:textId="77777777" w:rsidR="00644C93" w:rsidRPr="00C755EE" w:rsidRDefault="00644C93" w:rsidP="00644C93">
            <w:pPr>
              <w:spacing w:line="259" w:lineRule="auto"/>
              <w:ind w:left="26" w:firstLine="992"/>
              <w:rPr>
                <w:rFonts w:ascii="Times New Roman" w:hAnsi="Times New Roman" w:cs="Times New Roman"/>
              </w:rPr>
            </w:pPr>
            <w:r w:rsidRPr="00C755EE">
              <w:rPr>
                <w:rFonts w:ascii="Times New Roman" w:hAnsi="Times New Roman" w:cs="Times New Roman"/>
              </w:rPr>
              <w:t xml:space="preserve">Pasirinkimo sandorio atvaizdavimas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 apskaitoje:</w:t>
            </w:r>
          </w:p>
          <w:tbl>
            <w:tblPr>
              <w:tblStyle w:val="TableGrid"/>
              <w:tblW w:w="9655" w:type="dxa"/>
              <w:tblInd w:w="5" w:type="dxa"/>
              <w:tblCellMar>
                <w:top w:w="10" w:type="dxa"/>
                <w:left w:w="106" w:type="dxa"/>
                <w:right w:w="298" w:type="dxa"/>
              </w:tblCellMar>
              <w:tblLook w:val="04A0" w:firstRow="1" w:lastRow="0" w:firstColumn="1" w:lastColumn="0" w:noHBand="0" w:noVBand="1"/>
            </w:tblPr>
            <w:tblGrid>
              <w:gridCol w:w="5558"/>
              <w:gridCol w:w="1728"/>
              <w:gridCol w:w="2369"/>
            </w:tblGrid>
            <w:tr w:rsidR="00644C93" w:rsidRPr="00C755EE" w14:paraId="125B7F92" w14:textId="77777777" w:rsidTr="00644C93">
              <w:trPr>
                <w:trHeight w:val="278"/>
              </w:trPr>
              <w:tc>
                <w:tcPr>
                  <w:tcW w:w="5558" w:type="dxa"/>
                  <w:tcBorders>
                    <w:top w:val="single" w:sz="4" w:space="0" w:color="000000"/>
                    <w:left w:val="single" w:sz="4" w:space="0" w:color="000000"/>
                    <w:bottom w:val="single" w:sz="4" w:space="0" w:color="000000"/>
                    <w:right w:val="single" w:sz="4" w:space="0" w:color="000000"/>
                  </w:tcBorders>
                </w:tcPr>
                <w:p w14:paraId="76D29131"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eastAsia="Arial" w:hAnsi="Times New Roman" w:cs="Times New Roman"/>
                      <w:b/>
                      <w:sz w:val="20"/>
                      <w:szCs w:val="20"/>
                    </w:rPr>
                    <w:t>Mokestiniai metai</w:t>
                  </w:r>
                </w:p>
              </w:tc>
              <w:tc>
                <w:tcPr>
                  <w:tcW w:w="1728" w:type="dxa"/>
                  <w:tcBorders>
                    <w:top w:val="single" w:sz="4" w:space="0" w:color="000000"/>
                    <w:left w:val="single" w:sz="4" w:space="0" w:color="000000"/>
                    <w:bottom w:val="single" w:sz="4" w:space="0" w:color="000000"/>
                    <w:right w:val="single" w:sz="4" w:space="0" w:color="000000"/>
                  </w:tcBorders>
                </w:tcPr>
                <w:p w14:paraId="0718FE0A"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eastAsia="Arial" w:hAnsi="Times New Roman" w:cs="Times New Roman"/>
                      <w:b/>
                      <w:sz w:val="20"/>
                      <w:szCs w:val="20"/>
                    </w:rPr>
                    <w:t>2021</w:t>
                  </w:r>
                </w:p>
              </w:tc>
              <w:tc>
                <w:tcPr>
                  <w:tcW w:w="2369" w:type="dxa"/>
                  <w:tcBorders>
                    <w:top w:val="single" w:sz="4" w:space="0" w:color="000000"/>
                    <w:left w:val="single" w:sz="4" w:space="0" w:color="000000"/>
                    <w:bottom w:val="single" w:sz="4" w:space="0" w:color="000000"/>
                    <w:right w:val="single" w:sz="4" w:space="0" w:color="000000"/>
                  </w:tcBorders>
                </w:tcPr>
                <w:p w14:paraId="64D67536"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eastAsia="Arial" w:hAnsi="Times New Roman" w:cs="Times New Roman"/>
                      <w:b/>
                      <w:sz w:val="20"/>
                      <w:szCs w:val="20"/>
                    </w:rPr>
                    <w:t>2022</w:t>
                  </w:r>
                </w:p>
              </w:tc>
            </w:tr>
            <w:tr w:rsidR="00644C93" w:rsidRPr="00C755EE" w14:paraId="711D0CCA" w14:textId="77777777" w:rsidTr="00644C93">
              <w:trPr>
                <w:trHeight w:val="274"/>
              </w:trPr>
              <w:tc>
                <w:tcPr>
                  <w:tcW w:w="5558" w:type="dxa"/>
                  <w:tcBorders>
                    <w:top w:val="single" w:sz="4" w:space="0" w:color="000000"/>
                    <w:left w:val="single" w:sz="4" w:space="0" w:color="000000"/>
                    <w:bottom w:val="single" w:sz="4" w:space="0" w:color="000000"/>
                    <w:right w:val="single" w:sz="4" w:space="0" w:color="000000"/>
                  </w:tcBorders>
                </w:tcPr>
                <w:p w14:paraId="5B39CD8B"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Pelno (nuostoli</w:t>
                  </w:r>
                  <w:r w:rsidRPr="00632ABD">
                    <w:rPr>
                      <w:rFonts w:ascii="Times New Roman" w:eastAsia="Arial" w:hAnsi="Times New Roman" w:cs="Times New Roman"/>
                      <w:sz w:val="20"/>
                      <w:szCs w:val="20"/>
                    </w:rPr>
                    <w:t>ų</w:t>
                  </w:r>
                  <w:r w:rsidRPr="00632ABD">
                    <w:rPr>
                      <w:rFonts w:ascii="Times New Roman" w:hAnsi="Times New Roman" w:cs="Times New Roman"/>
                      <w:sz w:val="20"/>
                      <w:szCs w:val="20"/>
                    </w:rPr>
                    <w:t>) ataskaitoje apskaitytos s</w:t>
                  </w:r>
                  <w:r w:rsidRPr="00632ABD">
                    <w:rPr>
                      <w:rFonts w:ascii="Times New Roman" w:eastAsia="Arial" w:hAnsi="Times New Roman" w:cs="Times New Roman"/>
                      <w:sz w:val="20"/>
                      <w:szCs w:val="20"/>
                    </w:rPr>
                    <w:t>ą</w:t>
                  </w:r>
                  <w:r w:rsidRPr="00632ABD">
                    <w:rPr>
                      <w:rFonts w:ascii="Times New Roman" w:hAnsi="Times New Roman" w:cs="Times New Roman"/>
                      <w:sz w:val="20"/>
                      <w:szCs w:val="20"/>
                    </w:rPr>
                    <w:t>naudos, Eur</w:t>
                  </w:r>
                </w:p>
              </w:tc>
              <w:tc>
                <w:tcPr>
                  <w:tcW w:w="1728" w:type="dxa"/>
                  <w:tcBorders>
                    <w:top w:val="single" w:sz="4" w:space="0" w:color="000000"/>
                    <w:left w:val="single" w:sz="4" w:space="0" w:color="000000"/>
                    <w:bottom w:val="single" w:sz="4" w:space="0" w:color="000000"/>
                    <w:right w:val="single" w:sz="4" w:space="0" w:color="000000"/>
                  </w:tcBorders>
                </w:tcPr>
                <w:p w14:paraId="538F2E9A"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hAnsi="Times New Roman" w:cs="Times New Roman"/>
                      <w:sz w:val="20"/>
                      <w:szCs w:val="20"/>
                    </w:rPr>
                    <w:t>1 000</w:t>
                  </w:r>
                </w:p>
              </w:tc>
              <w:tc>
                <w:tcPr>
                  <w:tcW w:w="2369" w:type="dxa"/>
                  <w:tcBorders>
                    <w:top w:val="single" w:sz="4" w:space="0" w:color="000000"/>
                    <w:left w:val="single" w:sz="4" w:space="0" w:color="000000"/>
                    <w:bottom w:val="single" w:sz="4" w:space="0" w:color="000000"/>
                    <w:right w:val="single" w:sz="4" w:space="0" w:color="000000"/>
                  </w:tcBorders>
                </w:tcPr>
                <w:p w14:paraId="36FBB35F"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1 000</w:t>
                  </w:r>
                </w:p>
              </w:tc>
            </w:tr>
            <w:tr w:rsidR="00644C93" w:rsidRPr="00C755EE" w14:paraId="2D950F85" w14:textId="77777777" w:rsidTr="00644C93">
              <w:trPr>
                <w:trHeight w:val="538"/>
              </w:trPr>
              <w:tc>
                <w:tcPr>
                  <w:tcW w:w="5558" w:type="dxa"/>
                  <w:tcBorders>
                    <w:top w:val="single" w:sz="4" w:space="0" w:color="000000"/>
                    <w:left w:val="single" w:sz="4" w:space="0" w:color="000000"/>
                    <w:bottom w:val="single" w:sz="4" w:space="0" w:color="000000"/>
                    <w:right w:val="single" w:sz="4" w:space="0" w:color="000000"/>
                  </w:tcBorders>
                </w:tcPr>
                <w:p w14:paraId="028093F4" w14:textId="77777777" w:rsidR="00644C93" w:rsidRPr="00632ABD" w:rsidRDefault="00644C93" w:rsidP="00644C93">
                  <w:pPr>
                    <w:spacing w:line="259" w:lineRule="auto"/>
                    <w:ind w:left="5"/>
                    <w:jc w:val="both"/>
                    <w:rPr>
                      <w:rFonts w:ascii="Times New Roman" w:hAnsi="Times New Roman" w:cs="Times New Roman"/>
                      <w:sz w:val="20"/>
                      <w:szCs w:val="20"/>
                    </w:rPr>
                  </w:pPr>
                  <w:r w:rsidRPr="00632ABD">
                    <w:rPr>
                      <w:rFonts w:ascii="Times New Roman" w:hAnsi="Times New Roman" w:cs="Times New Roman"/>
                      <w:sz w:val="20"/>
                      <w:szCs w:val="20"/>
                    </w:rPr>
                    <w:t xml:space="preserve">Balanso ataskaitoje sukaupta </w:t>
                  </w:r>
                  <w:r w:rsidRPr="00632ABD">
                    <w:rPr>
                      <w:rFonts w:ascii="Times New Roman" w:eastAsia="Arial" w:hAnsi="Times New Roman" w:cs="Times New Roman"/>
                      <w:sz w:val="20"/>
                      <w:szCs w:val="20"/>
                    </w:rPr>
                    <w:t>į</w:t>
                  </w:r>
                  <w:r w:rsidRPr="00632ABD">
                    <w:rPr>
                      <w:rFonts w:ascii="Times New Roman" w:hAnsi="Times New Roman" w:cs="Times New Roman"/>
                      <w:sz w:val="20"/>
                      <w:szCs w:val="20"/>
                    </w:rPr>
                    <w:t>sipareigojim</w:t>
                  </w:r>
                  <w:r w:rsidRPr="00632ABD">
                    <w:rPr>
                      <w:rFonts w:ascii="Times New Roman" w:eastAsia="Arial" w:hAnsi="Times New Roman" w:cs="Times New Roman"/>
                      <w:sz w:val="20"/>
                      <w:szCs w:val="20"/>
                    </w:rPr>
                    <w:t>ų</w:t>
                  </w:r>
                  <w:r w:rsidRPr="00632ABD">
                    <w:rPr>
                      <w:rFonts w:ascii="Times New Roman" w:hAnsi="Times New Roman" w:cs="Times New Roman"/>
                      <w:sz w:val="20"/>
                      <w:szCs w:val="20"/>
                    </w:rPr>
                    <w:t xml:space="preserve"> darbuotojams suma, Eur</w:t>
                  </w:r>
                </w:p>
              </w:tc>
              <w:tc>
                <w:tcPr>
                  <w:tcW w:w="1728" w:type="dxa"/>
                  <w:tcBorders>
                    <w:top w:val="single" w:sz="4" w:space="0" w:color="000000"/>
                    <w:left w:val="single" w:sz="4" w:space="0" w:color="000000"/>
                    <w:bottom w:val="single" w:sz="4" w:space="0" w:color="000000"/>
                    <w:right w:val="single" w:sz="4" w:space="0" w:color="000000"/>
                  </w:tcBorders>
                  <w:vAlign w:val="center"/>
                </w:tcPr>
                <w:p w14:paraId="19B8A0C7" w14:textId="77777777" w:rsidR="00644C93" w:rsidRPr="00632ABD" w:rsidRDefault="00644C93" w:rsidP="00644C93">
                  <w:pPr>
                    <w:spacing w:line="259" w:lineRule="auto"/>
                    <w:rPr>
                      <w:rFonts w:ascii="Times New Roman" w:hAnsi="Times New Roman" w:cs="Times New Roman"/>
                      <w:sz w:val="20"/>
                      <w:szCs w:val="20"/>
                    </w:rPr>
                  </w:pPr>
                  <w:r w:rsidRPr="00632ABD">
                    <w:rPr>
                      <w:rFonts w:ascii="Times New Roman" w:hAnsi="Times New Roman" w:cs="Times New Roman"/>
                      <w:sz w:val="20"/>
                      <w:szCs w:val="20"/>
                    </w:rPr>
                    <w:t>1 000</w:t>
                  </w:r>
                </w:p>
              </w:tc>
              <w:tc>
                <w:tcPr>
                  <w:tcW w:w="2369" w:type="dxa"/>
                  <w:tcBorders>
                    <w:top w:val="single" w:sz="4" w:space="0" w:color="000000"/>
                    <w:left w:val="single" w:sz="4" w:space="0" w:color="000000"/>
                    <w:bottom w:val="single" w:sz="4" w:space="0" w:color="000000"/>
                    <w:right w:val="single" w:sz="4" w:space="0" w:color="000000"/>
                  </w:tcBorders>
                  <w:vAlign w:val="center"/>
                </w:tcPr>
                <w:p w14:paraId="5AFCC16B" w14:textId="77777777" w:rsidR="00644C93" w:rsidRPr="00632ABD" w:rsidRDefault="00644C93" w:rsidP="00644C93">
                  <w:pPr>
                    <w:spacing w:line="259" w:lineRule="auto"/>
                    <w:ind w:left="5"/>
                    <w:rPr>
                      <w:rFonts w:ascii="Times New Roman" w:hAnsi="Times New Roman" w:cs="Times New Roman"/>
                      <w:sz w:val="20"/>
                      <w:szCs w:val="20"/>
                    </w:rPr>
                  </w:pPr>
                  <w:r w:rsidRPr="00632ABD">
                    <w:rPr>
                      <w:rFonts w:ascii="Times New Roman" w:hAnsi="Times New Roman" w:cs="Times New Roman"/>
                      <w:sz w:val="20"/>
                      <w:szCs w:val="20"/>
                    </w:rPr>
                    <w:t>2 000</w:t>
                  </w:r>
                </w:p>
              </w:tc>
            </w:tr>
          </w:tbl>
          <w:p w14:paraId="4A813F80" w14:textId="77777777" w:rsidR="00644C93" w:rsidRPr="00C755EE" w:rsidRDefault="00644C93" w:rsidP="00644C93">
            <w:pPr>
              <w:spacing w:after="14" w:line="259" w:lineRule="auto"/>
              <w:ind w:firstLine="1018"/>
              <w:jc w:val="both"/>
              <w:rPr>
                <w:rFonts w:ascii="Times New Roman" w:hAnsi="Times New Roman" w:cs="Times New Roman"/>
              </w:rPr>
            </w:pP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suformuotus atid</w:t>
            </w:r>
            <w:r w:rsidRPr="00C755EE">
              <w:rPr>
                <w:rFonts w:ascii="Times New Roman" w:eastAsia="Arial" w:hAnsi="Times New Roman" w:cs="Times New Roman"/>
              </w:rPr>
              <w:t>ė</w:t>
            </w:r>
            <w:r w:rsidRPr="00C755EE">
              <w:rPr>
                <w:rFonts w:ascii="Times New Roman" w:hAnsi="Times New Roman" w:cs="Times New Roman"/>
              </w:rPr>
              <w:t>jimus (2 000 Eur) d</w:t>
            </w:r>
            <w:r w:rsidRPr="00C755EE">
              <w:rPr>
                <w:rFonts w:ascii="Times New Roman" w:eastAsia="Arial" w:hAnsi="Times New Roman" w:cs="Times New Roman"/>
              </w:rPr>
              <w:t>ė</w:t>
            </w:r>
            <w:r w:rsidRPr="00C755EE">
              <w:rPr>
                <w:rFonts w:ascii="Times New Roman" w:hAnsi="Times New Roman" w:cs="Times New Roman"/>
              </w:rPr>
              <w:t>l b</w:t>
            </w:r>
            <w:r w:rsidRPr="00C755EE">
              <w:rPr>
                <w:rFonts w:ascii="Times New Roman" w:eastAsia="Arial" w:hAnsi="Times New Roman" w:cs="Times New Roman"/>
              </w:rPr>
              <w:t>ū</w:t>
            </w:r>
            <w:r w:rsidRPr="00C755EE">
              <w:rPr>
                <w:rFonts w:ascii="Times New Roman" w:hAnsi="Times New Roman" w:cs="Times New Roman"/>
              </w:rPr>
              <w:t>simo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sigijimo 2021 – 2022 m.</w:t>
            </w:r>
            <w:r>
              <w:rPr>
                <w:rFonts w:ascii="Times New Roman" w:hAnsi="Times New Roman" w:cs="Times New Roman"/>
              </w:rPr>
              <w:t xml:space="preserve"> </w:t>
            </w:r>
            <w:r w:rsidRPr="00C755EE">
              <w:rPr>
                <w:rFonts w:ascii="Times New Roman" w:hAnsi="Times New Roman" w:cs="Times New Roman"/>
              </w:rPr>
              <w:t>mokestiniais laikotarpiais priskyr</w:t>
            </w:r>
            <w:r w:rsidRPr="00C755EE">
              <w:rPr>
                <w:rFonts w:ascii="Times New Roman" w:eastAsia="Arial" w:hAnsi="Times New Roman" w:cs="Times New Roman"/>
              </w:rPr>
              <w:t>ė</w:t>
            </w:r>
            <w:r w:rsidRPr="00C755EE">
              <w:rPr>
                <w:rFonts w:ascii="Times New Roman" w:hAnsi="Times New Roman" w:cs="Times New Roman"/>
              </w:rPr>
              <w:t xml:space="preserve"> neleidžiamiems atskaitymams ir iš pajam</w:t>
            </w:r>
            <w:r w:rsidRPr="00C755EE">
              <w:rPr>
                <w:rFonts w:ascii="Times New Roman" w:eastAsia="Arial" w:hAnsi="Times New Roman" w:cs="Times New Roman"/>
              </w:rPr>
              <w:t>ų</w:t>
            </w:r>
            <w:r w:rsidRPr="00C755EE">
              <w:rPr>
                <w:rFonts w:ascii="Times New Roman" w:hAnsi="Times New Roman" w:cs="Times New Roman"/>
              </w:rPr>
              <w:t xml:space="preserve"> neatskait</w:t>
            </w:r>
            <w:r w:rsidRPr="00C755EE">
              <w:rPr>
                <w:rFonts w:ascii="Times New Roman" w:eastAsia="Arial" w:hAnsi="Times New Roman" w:cs="Times New Roman"/>
              </w:rPr>
              <w:t>ė</w:t>
            </w:r>
            <w:r w:rsidRPr="00C755EE">
              <w:rPr>
                <w:rFonts w:ascii="Times New Roman" w:hAnsi="Times New Roman" w:cs="Times New Roman"/>
              </w:rPr>
              <w:t>.</w:t>
            </w:r>
          </w:p>
          <w:p w14:paraId="5B6DF7B3" w14:textId="77777777" w:rsidR="00644C93" w:rsidRDefault="00644C93" w:rsidP="00644C93">
            <w:pPr>
              <w:spacing w:after="14" w:line="259" w:lineRule="auto"/>
              <w:ind w:firstLine="1018"/>
              <w:jc w:val="both"/>
              <w:rPr>
                <w:rFonts w:ascii="Times New Roman" w:hAnsi="Times New Roman" w:cs="Times New Roman"/>
              </w:rPr>
            </w:pPr>
            <w:r w:rsidRPr="00C755EE">
              <w:rPr>
                <w:rFonts w:ascii="Times New Roman" w:hAnsi="Times New Roman" w:cs="Times New Roman"/>
              </w:rPr>
              <w:t>Kai 2023 m. sausio 1 d. darbuotojas, kuris 2021 m. sausio 1 d. buvo sudar</w:t>
            </w:r>
            <w:r w:rsidRPr="00C755EE">
              <w:rPr>
                <w:rFonts w:ascii="Times New Roman" w:eastAsia="Arial" w:hAnsi="Times New Roman" w:cs="Times New Roman"/>
              </w:rPr>
              <w:t>ę</w:t>
            </w:r>
            <w:r w:rsidRPr="00C755EE">
              <w:rPr>
                <w:rFonts w:ascii="Times New Roman" w:hAnsi="Times New Roman" w:cs="Times New Roman"/>
              </w:rPr>
              <w:t>s pasirinkimo</w:t>
            </w:r>
            <w:r>
              <w:rPr>
                <w:rFonts w:ascii="Times New Roman" w:hAnsi="Times New Roman" w:cs="Times New Roman"/>
              </w:rPr>
              <w:t xml:space="preserve"> </w:t>
            </w:r>
            <w:r w:rsidRPr="00C755EE">
              <w:rPr>
                <w:rFonts w:ascii="Times New Roman" w:hAnsi="Times New Roman" w:cs="Times New Roman"/>
              </w:rPr>
              <w:t>sandor</w:t>
            </w:r>
            <w:r w:rsidRPr="00C755EE">
              <w:rPr>
                <w:rFonts w:ascii="Times New Roman" w:eastAsia="Arial" w:hAnsi="Times New Roman" w:cs="Times New Roman"/>
              </w:rPr>
              <w:t>į</w:t>
            </w:r>
            <w:r w:rsidRPr="00C755EE">
              <w:rPr>
                <w:rFonts w:ascii="Times New Roman" w:hAnsi="Times New Roman" w:cs="Times New Roman"/>
              </w:rPr>
              <w:t xml:space="preserve"> su </w:t>
            </w:r>
            <w:r w:rsidRPr="00C755EE">
              <w:rPr>
                <w:rFonts w:ascii="Times New Roman" w:eastAsia="Arial" w:hAnsi="Times New Roman" w:cs="Times New Roman"/>
              </w:rPr>
              <w:t>į</w:t>
            </w:r>
            <w:r w:rsidRPr="00C755EE">
              <w:rPr>
                <w:rFonts w:ascii="Times New Roman" w:hAnsi="Times New Roman" w:cs="Times New Roman"/>
              </w:rPr>
              <w:t xml:space="preserve">mone „A“ yra perkeliamas </w:t>
            </w:r>
            <w:r w:rsidRPr="00C755EE">
              <w:rPr>
                <w:rFonts w:ascii="Times New Roman" w:eastAsia="Arial" w:hAnsi="Times New Roman" w:cs="Times New Roman"/>
              </w:rPr>
              <w:t>į</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ę</w:t>
            </w:r>
            <w:r w:rsidRPr="00C755EE">
              <w:rPr>
                <w:rFonts w:ascii="Times New Roman" w:hAnsi="Times New Roman" w:cs="Times New Roman"/>
              </w:rPr>
              <w:t xml:space="preserve"> „B“, darbuotoj</w:t>
            </w:r>
            <w:r w:rsidRPr="00C755EE">
              <w:rPr>
                <w:rFonts w:ascii="Times New Roman" w:eastAsia="Arial" w:hAnsi="Times New Roman" w:cs="Times New Roman"/>
              </w:rPr>
              <w:t>ą</w:t>
            </w:r>
            <w:r w:rsidRPr="00C755EE">
              <w:rPr>
                <w:rFonts w:ascii="Times New Roman" w:hAnsi="Times New Roman" w:cs="Times New Roman"/>
              </w:rPr>
              <w:t xml:space="preserve"> perleidžianti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pagal 2023 m. sausio 1 d. rinkos akcij</w:t>
            </w:r>
            <w:r w:rsidRPr="00C755EE">
              <w:rPr>
                <w:rFonts w:ascii="Times New Roman" w:eastAsia="Arial" w:hAnsi="Times New Roman" w:cs="Times New Roman"/>
              </w:rPr>
              <w:t>ų</w:t>
            </w:r>
            <w:r w:rsidRPr="00C755EE">
              <w:rPr>
                <w:rFonts w:ascii="Times New Roman" w:hAnsi="Times New Roman" w:cs="Times New Roman"/>
              </w:rPr>
              <w:t xml:space="preserve"> kain</w:t>
            </w:r>
            <w:r w:rsidRPr="00C755EE">
              <w:rPr>
                <w:rFonts w:ascii="Times New Roman" w:eastAsia="Arial" w:hAnsi="Times New Roman" w:cs="Times New Roman"/>
              </w:rPr>
              <w:t>ą</w:t>
            </w:r>
            <w:r w:rsidRPr="00C755EE">
              <w:rPr>
                <w:rFonts w:ascii="Times New Roman" w:hAnsi="Times New Roman" w:cs="Times New Roman"/>
              </w:rPr>
              <w:t xml:space="preserve"> kompensuoja darbuotoj</w:t>
            </w:r>
            <w:r w:rsidRPr="00C755EE">
              <w:rPr>
                <w:rFonts w:ascii="Times New Roman" w:eastAsia="Arial" w:hAnsi="Times New Roman" w:cs="Times New Roman"/>
              </w:rPr>
              <w:t>ą</w:t>
            </w:r>
            <w:r w:rsidRPr="00C755EE">
              <w:rPr>
                <w:rFonts w:ascii="Times New Roman" w:hAnsi="Times New Roman" w:cs="Times New Roman"/>
              </w:rPr>
              <w:t xml:space="preserve"> periman</w:t>
            </w:r>
            <w:r w:rsidRPr="00C755EE">
              <w:rPr>
                <w:rFonts w:ascii="Times New Roman" w:eastAsia="Arial" w:hAnsi="Times New Roman" w:cs="Times New Roman"/>
              </w:rPr>
              <w:t>č</w:t>
            </w:r>
            <w:r w:rsidRPr="00C755EE">
              <w:rPr>
                <w:rFonts w:ascii="Times New Roman" w:hAnsi="Times New Roman" w:cs="Times New Roman"/>
              </w:rPr>
              <w:t xml:space="preserve">iai </w:t>
            </w:r>
            <w:r w:rsidRPr="00C755EE">
              <w:rPr>
                <w:rFonts w:ascii="Times New Roman" w:eastAsia="Arial" w:hAnsi="Times New Roman" w:cs="Times New Roman"/>
              </w:rPr>
              <w:t>į</w:t>
            </w:r>
            <w:r w:rsidRPr="00C755EE">
              <w:rPr>
                <w:rFonts w:ascii="Times New Roman" w:hAnsi="Times New Roman" w:cs="Times New Roman"/>
              </w:rPr>
              <w:t>monei „B“ b</w:t>
            </w:r>
            <w:r w:rsidRPr="00C755EE">
              <w:rPr>
                <w:rFonts w:ascii="Times New Roman" w:eastAsia="Arial" w:hAnsi="Times New Roman" w:cs="Times New Roman"/>
              </w:rPr>
              <w:t>ū</w:t>
            </w:r>
            <w:r w:rsidRPr="00C755EE">
              <w:rPr>
                <w:rFonts w:ascii="Times New Roman" w:hAnsi="Times New Roman" w:cs="Times New Roman"/>
              </w:rPr>
              <w:t>simas akcij</w:t>
            </w:r>
            <w:r w:rsidRPr="00C755EE">
              <w:rPr>
                <w:rFonts w:ascii="Times New Roman" w:eastAsia="Arial" w:hAnsi="Times New Roman" w:cs="Times New Roman"/>
              </w:rPr>
              <w:t>ų į</w:t>
            </w:r>
            <w:r w:rsidRPr="00C755EE">
              <w:rPr>
                <w:rFonts w:ascii="Times New Roman" w:hAnsi="Times New Roman" w:cs="Times New Roman"/>
              </w:rPr>
              <w:t>sigijimo s</w:t>
            </w:r>
            <w:r w:rsidRPr="00C755EE">
              <w:rPr>
                <w:rFonts w:ascii="Times New Roman" w:eastAsia="Arial" w:hAnsi="Times New Roman" w:cs="Times New Roman"/>
              </w:rPr>
              <w:t>ą</w:t>
            </w:r>
            <w:r w:rsidRPr="00C755EE">
              <w:rPr>
                <w:rFonts w:ascii="Times New Roman" w:hAnsi="Times New Roman" w:cs="Times New Roman"/>
              </w:rPr>
              <w:t>naudas už laikotarp</w:t>
            </w:r>
            <w:r w:rsidRPr="00C755EE">
              <w:rPr>
                <w:rFonts w:ascii="Times New Roman" w:eastAsia="Arial" w:hAnsi="Times New Roman" w:cs="Times New Roman"/>
              </w:rPr>
              <w:t>į</w:t>
            </w:r>
            <w:r w:rsidRPr="00C755EE">
              <w:rPr>
                <w:rFonts w:ascii="Times New Roman" w:hAnsi="Times New Roman" w:cs="Times New Roman"/>
              </w:rPr>
              <w:t>, proporcing</w:t>
            </w:r>
            <w:r w:rsidRPr="00C755EE">
              <w:rPr>
                <w:rFonts w:ascii="Times New Roman" w:eastAsia="Arial" w:hAnsi="Times New Roman" w:cs="Times New Roman"/>
              </w:rPr>
              <w:t>ą</w:t>
            </w:r>
            <w:r w:rsidRPr="00C755EE">
              <w:rPr>
                <w:rFonts w:ascii="Times New Roman" w:hAnsi="Times New Roman" w:cs="Times New Roman"/>
              </w:rPr>
              <w:t xml:space="preserve"> šio darbuotojo išdirbtam laikui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je „A“ iki pasirinkimo sandorio realizavimo dienos (šiuo atveju už 2 metus (2/3 viso pasirinkimo sandorio objekto); tarkime, kad 2023 m. sausio 1 d. vienos akcijos kaina yra lygi 9 Eur. Darbuotoj</w:t>
            </w:r>
            <w:r w:rsidRPr="00C755EE">
              <w:rPr>
                <w:rFonts w:ascii="Times New Roman" w:eastAsia="Arial" w:hAnsi="Times New Roman" w:cs="Times New Roman"/>
              </w:rPr>
              <w:t>ą</w:t>
            </w:r>
            <w:r w:rsidRPr="00C755EE">
              <w:rPr>
                <w:rFonts w:ascii="Times New Roman" w:hAnsi="Times New Roman" w:cs="Times New Roman"/>
              </w:rPr>
              <w:t xml:space="preserve"> perleidžianti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 xml:space="preserve"> „A“ sumok</w:t>
            </w:r>
            <w:r w:rsidRPr="00C755EE">
              <w:rPr>
                <w:rFonts w:ascii="Times New Roman" w:eastAsia="Arial" w:hAnsi="Times New Roman" w:cs="Times New Roman"/>
              </w:rPr>
              <w:t>ė</w:t>
            </w:r>
            <w:r w:rsidRPr="00C755EE">
              <w:rPr>
                <w:rFonts w:ascii="Times New Roman" w:hAnsi="Times New Roman" w:cs="Times New Roman"/>
              </w:rPr>
              <w:t>t</w:t>
            </w:r>
            <w:r w:rsidRPr="00C755EE">
              <w:rPr>
                <w:rFonts w:ascii="Times New Roman" w:eastAsia="Arial" w:hAnsi="Times New Roman" w:cs="Times New Roman"/>
              </w:rPr>
              <w:t>ą</w:t>
            </w:r>
            <w:r w:rsidRPr="00C755EE">
              <w:rPr>
                <w:rFonts w:ascii="Times New Roman" w:hAnsi="Times New Roman" w:cs="Times New Roman"/>
              </w:rPr>
              <w:t xml:space="preserve"> </w:t>
            </w:r>
            <w:r w:rsidRPr="00600005">
              <w:rPr>
                <w:rFonts w:ascii="Times New Roman" w:hAnsi="Times New Roman" w:cs="Times New Roman"/>
              </w:rPr>
              <w:t>darbuotoją perimančiai įmonei „B“</w:t>
            </w:r>
            <w:r>
              <w:rPr>
                <w:rFonts w:ascii="Times New Roman" w:hAnsi="Times New Roman" w:cs="Times New Roman"/>
              </w:rPr>
              <w:t xml:space="preserve"> </w:t>
            </w:r>
            <w:r w:rsidRPr="00C755EE">
              <w:rPr>
                <w:rFonts w:ascii="Times New Roman" w:hAnsi="Times New Roman" w:cs="Times New Roman"/>
              </w:rPr>
              <w:t>kompensacij</w:t>
            </w:r>
            <w:r w:rsidRPr="00C755EE">
              <w:rPr>
                <w:rFonts w:ascii="Times New Roman" w:eastAsia="Arial" w:hAnsi="Times New Roman" w:cs="Times New Roman"/>
              </w:rPr>
              <w:t>ą</w:t>
            </w:r>
            <w:r w:rsidRPr="00C755EE">
              <w:rPr>
                <w:rFonts w:ascii="Times New Roman" w:hAnsi="Times New Roman" w:cs="Times New Roman"/>
              </w:rPr>
              <w:t>, t.</w:t>
            </w:r>
            <w:r>
              <w:rPr>
                <w:rFonts w:ascii="Times New Roman" w:hAnsi="Times New Roman" w:cs="Times New Roman"/>
              </w:rPr>
              <w:t xml:space="preserve"> </w:t>
            </w:r>
            <w:r w:rsidRPr="00C755EE">
              <w:rPr>
                <w:rFonts w:ascii="Times New Roman" w:hAnsi="Times New Roman" w:cs="Times New Roman"/>
              </w:rPr>
              <w:t>y. 1 800 Eur (2/3 vis</w:t>
            </w:r>
            <w:r w:rsidRPr="00C755EE">
              <w:rPr>
                <w:rFonts w:ascii="Times New Roman" w:eastAsia="Arial" w:hAnsi="Times New Roman" w:cs="Times New Roman"/>
              </w:rPr>
              <w:t>ų</w:t>
            </w:r>
            <w:r w:rsidRPr="00C755EE">
              <w:rPr>
                <w:rFonts w:ascii="Times New Roman" w:hAnsi="Times New Roman" w:cs="Times New Roman"/>
              </w:rPr>
              <w:t xml:space="preserve"> 300 vnt. motinin</w:t>
            </w:r>
            <w:r w:rsidRPr="00C755EE">
              <w:rPr>
                <w:rFonts w:ascii="Times New Roman" w:eastAsia="Arial" w:hAnsi="Times New Roman" w:cs="Times New Roman"/>
              </w:rPr>
              <w:t>ė</w:t>
            </w:r>
            <w:r w:rsidRPr="00C755EE">
              <w:rPr>
                <w:rFonts w:ascii="Times New Roman" w:hAnsi="Times New Roman" w:cs="Times New Roman"/>
              </w:rPr>
              <w:t xml:space="preserve">s </w:t>
            </w:r>
            <w:r w:rsidRPr="00C755EE">
              <w:rPr>
                <w:rFonts w:ascii="Times New Roman" w:eastAsia="Arial" w:hAnsi="Times New Roman" w:cs="Times New Roman"/>
              </w:rPr>
              <w:t>į</w:t>
            </w:r>
            <w:r w:rsidRPr="00C755EE">
              <w:rPr>
                <w:rFonts w:ascii="Times New Roman" w:hAnsi="Times New Roman" w:cs="Times New Roman"/>
              </w:rPr>
              <w:t>mon</w:t>
            </w:r>
            <w:r w:rsidRPr="00C755EE">
              <w:rPr>
                <w:rFonts w:ascii="Times New Roman" w:eastAsia="Arial" w:hAnsi="Times New Roman" w:cs="Times New Roman"/>
              </w:rPr>
              <w:t>ė</w:t>
            </w:r>
            <w:r w:rsidRPr="00C755EE">
              <w:rPr>
                <w:rFonts w:ascii="Times New Roman" w:hAnsi="Times New Roman" w:cs="Times New Roman"/>
              </w:rPr>
              <w:t>s akcij</w:t>
            </w:r>
            <w:r w:rsidRPr="00C755EE">
              <w:rPr>
                <w:rFonts w:ascii="Times New Roman" w:eastAsia="Arial" w:hAnsi="Times New Roman" w:cs="Times New Roman"/>
              </w:rPr>
              <w:t>ų</w:t>
            </w:r>
            <w:r w:rsidRPr="00C755EE">
              <w:rPr>
                <w:rFonts w:ascii="Times New Roman" w:hAnsi="Times New Roman" w:cs="Times New Roman"/>
              </w:rPr>
              <w:t xml:space="preserve"> </w:t>
            </w:r>
            <w:r w:rsidRPr="00C755EE">
              <w:rPr>
                <w:rFonts w:ascii="Times New Roman" w:eastAsia="Arial" w:hAnsi="Times New Roman" w:cs="Times New Roman"/>
              </w:rPr>
              <w:t>į</w:t>
            </w:r>
            <w:r w:rsidRPr="00C755EE">
              <w:rPr>
                <w:rFonts w:ascii="Times New Roman" w:hAnsi="Times New Roman" w:cs="Times New Roman"/>
              </w:rPr>
              <w:t>sigijimo kainos) gali</w:t>
            </w:r>
            <w:r>
              <w:rPr>
                <w:rFonts w:ascii="Times New Roman" w:hAnsi="Times New Roman" w:cs="Times New Roman"/>
              </w:rPr>
              <w:t xml:space="preserve"> </w:t>
            </w:r>
            <w:r w:rsidRPr="00CA3BBE">
              <w:rPr>
                <w:rFonts w:ascii="Times New Roman" w:hAnsi="Times New Roman" w:cs="Times New Roman"/>
              </w:rPr>
              <w:t>priskirti leidžiamiems atskaitymams</w:t>
            </w:r>
            <w:r>
              <w:rPr>
                <w:rFonts w:ascii="Times New Roman" w:hAnsi="Times New Roman" w:cs="Times New Roman"/>
              </w:rPr>
              <w:t xml:space="preserve">, </w:t>
            </w:r>
            <w:r w:rsidRPr="005128AC">
              <w:rPr>
                <w:rFonts w:ascii="Times New Roman" w:hAnsi="Times New Roman" w:cs="Times New Roman"/>
              </w:rPr>
              <w:t>kaip darbuotojo naudai patirtas išlaidas</w:t>
            </w:r>
            <w:r w:rsidRPr="00CA3BBE">
              <w:rPr>
                <w:rFonts w:ascii="Times New Roman" w:hAnsi="Times New Roman" w:cs="Times New Roman"/>
              </w:rPr>
              <w:t xml:space="preserve"> ir iš pajamų atskaityti 2023 m. mokestinį laikotarpį, nes ji faktiškai patyrė šias išlaidas.</w:t>
            </w:r>
          </w:p>
          <w:p w14:paraId="24C484F1" w14:textId="77777777" w:rsidR="00644C93" w:rsidRPr="00632ABD" w:rsidRDefault="00644C93" w:rsidP="00644C93">
            <w:pPr>
              <w:tabs>
                <w:tab w:val="left" w:pos="1050"/>
              </w:tabs>
              <w:rPr>
                <w:rFonts w:ascii="Times New Roman" w:hAnsi="Times New Roman" w:cs="Times New Roman"/>
              </w:rPr>
            </w:pPr>
          </w:p>
        </w:tc>
      </w:tr>
    </w:tbl>
    <w:p w14:paraId="2C137DC2" w14:textId="77777777" w:rsidR="00644C93" w:rsidRPr="00C755EE" w:rsidRDefault="00644C93" w:rsidP="00644C93">
      <w:pPr>
        <w:spacing w:after="14"/>
        <w:ind w:firstLine="1296"/>
        <w:jc w:val="both"/>
      </w:pPr>
    </w:p>
    <w:p w14:paraId="02CC419D" w14:textId="77777777" w:rsidR="00644C93" w:rsidRDefault="00644C93" w:rsidP="00644C93">
      <w:pPr>
        <w:spacing w:after="14"/>
        <w:ind w:firstLine="1013"/>
        <w:jc w:val="both"/>
      </w:pPr>
      <w:r>
        <w:t xml:space="preserve">6.30.7.4.1. Perkėlus darbuotoją iš vieno grupės vieneto į kitą, laikoma, kad darbuotoją perėmęs vienetas prisiima visas galimas rizikas dėl pasirinkimo sandorio įgyvendinimo (nebent šalys susitaria kitaip). </w:t>
      </w:r>
    </w:p>
    <w:p w14:paraId="70FDD81C" w14:textId="77777777" w:rsidR="00644C93" w:rsidRDefault="00644C93" w:rsidP="00644C93">
      <w:pPr>
        <w:spacing w:after="14"/>
        <w:ind w:firstLine="1013"/>
        <w:jc w:val="both"/>
      </w:pPr>
      <w:r>
        <w:t>Kai pasirinkimo sandoris realizuojamas, pelno mokesčio apskaičiavimo tikslais parodomas vertybinių popierių realizavimo rezultatas (</w:t>
      </w:r>
      <w:r w:rsidRPr="002812CD">
        <w:t xml:space="preserve">žr. PMĮ 17 straipsnio 1 dalies </w:t>
      </w:r>
      <w:r w:rsidRPr="00DB2314">
        <w:t>6.30.7.</w:t>
      </w:r>
      <w:r>
        <w:t>2 punkto komentarą). Tačiau, atsižvelgiant į tai, kad darbuotojus perėmęs vienetas patiria su pasirinkimo sandorio įgyvendinimu (pvz. akcijų įsigijimo) susijusias išlaidas, kurių dalį kompensavo darbuotoją perleidęs vienetas, tai tik faktiškai vieneto patirta išlaidų dalis (t. y. iš visų patirtų išlaidų įsigyjant akcijas atėmus gautą kompensaciją iš darbuotojus perleidusio vieneto) gali būti priskiriama leidžiamiems atskaitymams ir iš pajamų atskaityta tą mokestinį laikotarpį, kai pasirinkimo sandoris įgyvendinamas. Jei dėl pasikeitusios įsigyjamų akcijų rinkos kainos darbuotoją perėmusio vieneto visų patirtų išlaidų suma yra mažesnė už gautą kompensaciją iš darbuotoją perleidusio vieneto, tai kompensacijos dalis, viršijanti išlaidų sumą, laikoma darbuotoją perėmusio vieneto apmokestinamosiomis pajamomis.</w:t>
      </w:r>
    </w:p>
    <w:p w14:paraId="55588D3A" w14:textId="77777777" w:rsidR="00644C93" w:rsidRDefault="00644C93" w:rsidP="00644C93">
      <w:pPr>
        <w:spacing w:after="14"/>
        <w:ind w:firstLine="1013"/>
        <w:jc w:val="both"/>
      </w:pPr>
      <w:r>
        <w:lastRenderedPageBreak/>
        <w:t>Pavyzdys</w:t>
      </w:r>
    </w:p>
    <w:p w14:paraId="412EDFEF" w14:textId="77777777" w:rsidR="00644C93" w:rsidRDefault="00644C93" w:rsidP="00644C93">
      <w:pPr>
        <w:spacing w:after="14"/>
        <w:ind w:firstLine="1013"/>
        <w:jc w:val="both"/>
      </w:pPr>
    </w:p>
    <w:p w14:paraId="3E51A2F3"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Po struktūrinių pokyčių įmonių grupėje, 2023 m. sausio 1 d. darbuotojas, kuris nuo 2021 m. sausio 1 d. dirbo vienoje grupės įmonėje „A“ ir su ja buvo sudaręs trejų metų pasirinkimo sandorį, buvo perkeltas dirbti į kitą grupės įmonę „B“. Dėl šio įvykio, įmonė „A“ pagal 2023 m. sausio 1 d. rinkos akcijų kainą sumokėjo kompensaciją įmonei „B“ už būsimas akcijų įsigijimo sąnaudas už laikotarpį, proporcingą šio darbuotojo išdirbtam laikui įmonėje „A“ iki pasirinkimo sandorio realizavimo dienos (šiuo atveju už 2 metus; 2023 m. sausio 1 d. vienos akcijos kaina buvo lygi 9 Eur, todėl kompensacijos dydis buvo 1 800 Eur (2/3 visų 300 vnt. motininės įmonės akcijų įsigijimo kainos)).</w:t>
      </w:r>
    </w:p>
    <w:p w14:paraId="5CE516EC"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2024 m. sausio 2 d. pasirinkimo sandoris realizuojamas, įmonė „B“ įsigyja 300 vnt. motininės įmonės akcijų už 2024 m. sausio 2 d. rinkos kainą, kuri gali būti didesnė arba mažesnei nei 2023 m. sausio 1 d. galiojusi kaina skaičiuojant įmonės „A“ kompensaciją, pvz.:</w:t>
      </w:r>
    </w:p>
    <w:p w14:paraId="5BAD42FC"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a)</w:t>
      </w:r>
      <w:r>
        <w:tab/>
        <w:t>11 Eur už akciją. Tokiu atveju įmonės „B“ patirtos išlaidos dėl akcijų įsigijimo yra 3 300 Eur (300 x 11 Eur) arba</w:t>
      </w:r>
    </w:p>
    <w:p w14:paraId="20EFA2ED"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b)</w:t>
      </w:r>
      <w:r>
        <w:tab/>
        <w:t>7 Eur už akciją. Tokiu atveju įmonės „B“ patirtos išlaidos dėl akcijų įsigijimo yra 2 100 Eur (300 x 7 Eur)).</w:t>
      </w:r>
    </w:p>
    <w:p w14:paraId="244A2EB9" w14:textId="77777777" w:rsidR="00644C93"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Kadangi 2023 m. sausio 1 d. įmonė „A“ ir įmonė „B“ nesusitarė, jog pasikeitus motininės įmonės akcijų kainai, įmonė „A“ turės sumokėti didesnę kompensaciją arba įmonei „A“ bus grąžinta dalis kompensacijos, įmonės „A“ sumokėtas kompensacijos dydis nesikeičia ir ji nėra perskaičiuojama.</w:t>
      </w:r>
    </w:p>
    <w:p w14:paraId="4CEF33C4" w14:textId="77777777" w:rsidR="00644C93" w:rsidRPr="00C755EE" w:rsidRDefault="00644C93" w:rsidP="00644C93">
      <w:pPr>
        <w:pBdr>
          <w:top w:val="single" w:sz="4" w:space="1" w:color="auto"/>
          <w:left w:val="single" w:sz="4" w:space="4" w:color="auto"/>
          <w:bottom w:val="single" w:sz="4" w:space="1" w:color="auto"/>
          <w:right w:val="single" w:sz="4" w:space="4" w:color="auto"/>
        </w:pBdr>
        <w:spacing w:after="14"/>
        <w:ind w:firstLine="1013"/>
        <w:jc w:val="both"/>
      </w:pPr>
      <w:r>
        <w:t>Įmonė „B“ 2024 m. sausio 2 d. savo patirtas išlaidas (</w:t>
      </w:r>
      <w:r w:rsidRPr="006014E3">
        <w:t>visą</w:t>
      </w:r>
      <w:r>
        <w:t xml:space="preserve"> faktiškai patirtų išlaidų sumą už įsigytas akcijas, atėmus gautą kompensaciją iš įmonės „A“) dėl akcijų įsigijimo (t. y. 1 500 Eur (3 300 Eur – 1 800 Eur) arba 300 Eur (2 100 Eur – 1 800 Eur)) gali priskirti 2024 m. leidžiamiems atskaitymams.</w:t>
      </w:r>
    </w:p>
    <w:p w14:paraId="0FA1C7C3" w14:textId="77777777" w:rsidR="00644C93" w:rsidRDefault="00644C93" w:rsidP="00644C93">
      <w:pPr>
        <w:spacing w:after="14"/>
        <w:ind w:firstLine="1013"/>
        <w:rPr>
          <w:lang w:eastAsia="lt-LT"/>
        </w:rPr>
      </w:pPr>
    </w:p>
    <w:p w14:paraId="4C794A59" w14:textId="77777777" w:rsidR="00644C93" w:rsidRPr="00395E2F" w:rsidRDefault="00644C93" w:rsidP="00644C93">
      <w:pPr>
        <w:spacing w:after="14"/>
        <w:ind w:firstLine="1013"/>
        <w:jc w:val="both"/>
        <w:rPr>
          <w:lang w:eastAsia="lt-LT"/>
        </w:rPr>
      </w:pPr>
      <w:r w:rsidRPr="00395E2F">
        <w:rPr>
          <w:lang w:eastAsia="lt-LT"/>
        </w:rPr>
        <w:t>6.3</w:t>
      </w:r>
      <w:r>
        <w:rPr>
          <w:lang w:eastAsia="lt-LT"/>
        </w:rPr>
        <w:t>0.7</w:t>
      </w:r>
      <w:r w:rsidRPr="00395E2F">
        <w:rPr>
          <w:lang w:eastAsia="lt-LT"/>
        </w:rPr>
        <w:t>.</w:t>
      </w:r>
      <w:r>
        <w:rPr>
          <w:lang w:eastAsia="lt-LT"/>
        </w:rPr>
        <w:t>4.2</w:t>
      </w:r>
      <w:r w:rsidRPr="00395E2F">
        <w:rPr>
          <w:lang w:eastAsia="lt-LT"/>
        </w:rPr>
        <w:t xml:space="preserve">. </w:t>
      </w:r>
      <w:r>
        <w:rPr>
          <w:lang w:eastAsia="lt-LT"/>
        </w:rPr>
        <w:t>Tuo</w:t>
      </w:r>
      <w:r w:rsidRPr="00395E2F">
        <w:rPr>
          <w:lang w:eastAsia="lt-LT"/>
        </w:rPr>
        <w:t xml:space="preserve"> atvej</w:t>
      </w:r>
      <w:r>
        <w:rPr>
          <w:lang w:eastAsia="lt-LT"/>
        </w:rPr>
        <w:t>u</w:t>
      </w:r>
      <w:r w:rsidRPr="00395E2F">
        <w:rPr>
          <w:lang w:eastAsia="lt-LT"/>
        </w:rPr>
        <w:t xml:space="preserve">, kai po darbuotojo perkėlimo iš vieno grupės </w:t>
      </w:r>
      <w:r>
        <w:rPr>
          <w:lang w:eastAsia="lt-LT"/>
        </w:rPr>
        <w:t xml:space="preserve">vieneto </w:t>
      </w:r>
      <w:r w:rsidRPr="00395E2F">
        <w:rPr>
          <w:lang w:eastAsia="lt-LT"/>
        </w:rPr>
        <w:t>į kitą</w:t>
      </w:r>
      <w:r>
        <w:rPr>
          <w:lang w:eastAsia="lt-LT"/>
        </w:rPr>
        <w:t xml:space="preserve"> vienetą</w:t>
      </w:r>
      <w:r w:rsidRPr="00395E2F">
        <w:rPr>
          <w:lang w:eastAsia="lt-LT"/>
        </w:rPr>
        <w:t>,</w:t>
      </w:r>
      <w:r>
        <w:rPr>
          <w:lang w:eastAsia="lt-LT"/>
        </w:rPr>
        <w:t xml:space="preserve"> d</w:t>
      </w:r>
      <w:r w:rsidRPr="00395E2F">
        <w:rPr>
          <w:lang w:eastAsia="lt-LT"/>
        </w:rPr>
        <w:t>arbuotojo darbo santykiai su darbdaviu nutrūksta ir pasirinkimo sandoris neįgyvendin</w:t>
      </w:r>
      <w:r>
        <w:rPr>
          <w:lang w:eastAsia="lt-LT"/>
        </w:rPr>
        <w:t>amas, tai</w:t>
      </w:r>
      <w:r w:rsidRPr="00395E2F">
        <w:rPr>
          <w:lang w:eastAsia="lt-LT"/>
        </w:rPr>
        <w:t xml:space="preserve"> darbuotoją perėm</w:t>
      </w:r>
      <w:r>
        <w:rPr>
          <w:lang w:eastAsia="lt-LT"/>
        </w:rPr>
        <w:t>ęs vienetas</w:t>
      </w:r>
      <w:r w:rsidRPr="00395E2F">
        <w:rPr>
          <w:lang w:eastAsia="lt-LT"/>
        </w:rPr>
        <w:t xml:space="preserve"> išlaidų įsigyjant akcijas nepatirs.</w:t>
      </w:r>
    </w:p>
    <w:p w14:paraId="64260F3F" w14:textId="77777777" w:rsidR="00644C93" w:rsidRPr="00C755EE" w:rsidRDefault="00644C93" w:rsidP="00644C93">
      <w:pPr>
        <w:spacing w:after="14"/>
        <w:ind w:firstLine="1013"/>
        <w:jc w:val="both"/>
        <w:rPr>
          <w:lang w:eastAsia="lt-LT"/>
        </w:rPr>
      </w:pPr>
      <w:r>
        <w:rPr>
          <w:lang w:eastAsia="lt-LT"/>
        </w:rPr>
        <w:t>Atveju, kai</w:t>
      </w:r>
      <w:r w:rsidRPr="00395E2F">
        <w:rPr>
          <w:lang w:eastAsia="lt-LT"/>
        </w:rPr>
        <w:t xml:space="preserve"> darbuotoją perleidžianti</w:t>
      </w:r>
      <w:r>
        <w:rPr>
          <w:lang w:eastAsia="lt-LT"/>
        </w:rPr>
        <w:t>s vienetas</w:t>
      </w:r>
      <w:r w:rsidRPr="00395E2F">
        <w:rPr>
          <w:lang w:eastAsia="lt-LT"/>
        </w:rPr>
        <w:t>, kuri</w:t>
      </w:r>
      <w:r>
        <w:rPr>
          <w:lang w:eastAsia="lt-LT"/>
        </w:rPr>
        <w:t>s</w:t>
      </w:r>
      <w:r w:rsidRPr="00395E2F">
        <w:rPr>
          <w:lang w:eastAsia="lt-LT"/>
        </w:rPr>
        <w:t xml:space="preserve"> buvo sumokėj</w:t>
      </w:r>
      <w:r>
        <w:rPr>
          <w:lang w:eastAsia="lt-LT"/>
        </w:rPr>
        <w:t>ęs</w:t>
      </w:r>
      <w:r w:rsidRPr="00395E2F">
        <w:rPr>
          <w:lang w:eastAsia="lt-LT"/>
        </w:rPr>
        <w:t xml:space="preserve"> kompensaciją darbuotoj</w:t>
      </w:r>
      <w:r>
        <w:rPr>
          <w:lang w:eastAsia="lt-LT"/>
        </w:rPr>
        <w:t xml:space="preserve">ą </w:t>
      </w:r>
      <w:r w:rsidRPr="00395E2F">
        <w:rPr>
          <w:lang w:eastAsia="lt-LT"/>
        </w:rPr>
        <w:t>perimančia</w:t>
      </w:r>
      <w:r>
        <w:rPr>
          <w:lang w:eastAsia="lt-LT"/>
        </w:rPr>
        <w:t>m</w:t>
      </w:r>
      <w:r w:rsidRPr="00395E2F">
        <w:rPr>
          <w:lang w:eastAsia="lt-LT"/>
        </w:rPr>
        <w:t xml:space="preserve"> </w:t>
      </w:r>
      <w:r>
        <w:rPr>
          <w:lang w:eastAsia="lt-LT"/>
        </w:rPr>
        <w:t>vienetui</w:t>
      </w:r>
      <w:r w:rsidRPr="00395E2F">
        <w:rPr>
          <w:lang w:eastAsia="lt-LT"/>
        </w:rPr>
        <w:t xml:space="preserve"> už būsimas akcijų įsigijimo sąnaudas už laikotarpį, proporcingą ši</w:t>
      </w:r>
      <w:r>
        <w:rPr>
          <w:lang w:eastAsia="lt-LT"/>
        </w:rPr>
        <w:t>o</w:t>
      </w:r>
      <w:r w:rsidRPr="00395E2F">
        <w:rPr>
          <w:lang w:eastAsia="lt-LT"/>
        </w:rPr>
        <w:t xml:space="preserve"> darbuotoj</w:t>
      </w:r>
      <w:r>
        <w:rPr>
          <w:lang w:eastAsia="lt-LT"/>
        </w:rPr>
        <w:t>o</w:t>
      </w:r>
      <w:r w:rsidRPr="00395E2F">
        <w:rPr>
          <w:lang w:eastAsia="lt-LT"/>
        </w:rPr>
        <w:t xml:space="preserve"> išdirbtam laikui perleidžianči</w:t>
      </w:r>
      <w:r>
        <w:rPr>
          <w:lang w:eastAsia="lt-LT"/>
        </w:rPr>
        <w:t>ame vienete</w:t>
      </w:r>
      <w:r w:rsidRPr="00395E2F">
        <w:rPr>
          <w:lang w:eastAsia="lt-LT"/>
        </w:rPr>
        <w:t xml:space="preserve">, sumokėtą kompensaciją </w:t>
      </w:r>
      <w:r>
        <w:rPr>
          <w:lang w:eastAsia="lt-LT"/>
        </w:rPr>
        <w:t>buvo priskyręs</w:t>
      </w:r>
      <w:r w:rsidRPr="00395E2F">
        <w:rPr>
          <w:lang w:eastAsia="lt-LT"/>
        </w:rPr>
        <w:t xml:space="preserve"> leidžiamiems atskaitymams ir iš pajamų atskait</w:t>
      </w:r>
      <w:r>
        <w:rPr>
          <w:lang w:eastAsia="lt-LT"/>
        </w:rPr>
        <w:t>ė</w:t>
      </w:r>
      <w:r w:rsidRPr="00395E2F">
        <w:rPr>
          <w:lang w:eastAsia="lt-LT"/>
        </w:rPr>
        <w:t xml:space="preserve"> tą mokestinį laikotarpį, kai tokia kompensacija </w:t>
      </w:r>
      <w:r>
        <w:rPr>
          <w:lang w:eastAsia="lt-LT"/>
        </w:rPr>
        <w:t>buvo</w:t>
      </w:r>
      <w:r w:rsidRPr="00395E2F">
        <w:rPr>
          <w:lang w:eastAsia="lt-LT"/>
        </w:rPr>
        <w:t xml:space="preserve"> faktiškai sumok</w:t>
      </w:r>
      <w:r>
        <w:rPr>
          <w:lang w:eastAsia="lt-LT"/>
        </w:rPr>
        <w:t>ėta</w:t>
      </w:r>
      <w:r w:rsidRPr="00395E2F">
        <w:rPr>
          <w:lang w:eastAsia="lt-LT"/>
        </w:rPr>
        <w:t xml:space="preserve"> (žr. PMĮ 17 straipsnio 1 </w:t>
      </w:r>
      <w:r w:rsidRPr="00990B62">
        <w:rPr>
          <w:lang w:eastAsia="lt-LT"/>
        </w:rPr>
        <w:t>dalies 6.30.7.</w:t>
      </w:r>
      <w:r>
        <w:rPr>
          <w:lang w:eastAsia="lt-LT"/>
        </w:rPr>
        <w:t>4</w:t>
      </w:r>
      <w:r w:rsidRPr="00990B62">
        <w:rPr>
          <w:lang w:eastAsia="lt-LT"/>
        </w:rPr>
        <w:t xml:space="preserve"> </w:t>
      </w:r>
      <w:r w:rsidRPr="00395E2F">
        <w:rPr>
          <w:lang w:eastAsia="lt-LT"/>
        </w:rPr>
        <w:t xml:space="preserve">komentarą), </w:t>
      </w:r>
      <w:r>
        <w:rPr>
          <w:lang w:eastAsia="lt-LT"/>
        </w:rPr>
        <w:t>tai</w:t>
      </w:r>
      <w:r w:rsidRPr="00395E2F">
        <w:rPr>
          <w:lang w:eastAsia="lt-LT"/>
        </w:rPr>
        <w:t xml:space="preserve"> darbuotoj</w:t>
      </w:r>
      <w:r>
        <w:rPr>
          <w:lang w:eastAsia="lt-LT"/>
        </w:rPr>
        <w:t>ą</w:t>
      </w:r>
      <w:r w:rsidRPr="00395E2F">
        <w:rPr>
          <w:lang w:eastAsia="lt-LT"/>
        </w:rPr>
        <w:t xml:space="preserve"> perėm</w:t>
      </w:r>
      <w:r>
        <w:rPr>
          <w:lang w:eastAsia="lt-LT"/>
        </w:rPr>
        <w:t>ęs vienetas</w:t>
      </w:r>
      <w:r w:rsidRPr="00395E2F">
        <w:rPr>
          <w:lang w:eastAsia="lt-LT"/>
        </w:rPr>
        <w:t xml:space="preserve"> gautą kompensaciją už būsimas akcijų įsigijimo sąnaudas prisipažįsta apmokestinamosiomis pajamomis tą mokestinį laikotarpį, kai paaiškėja aplinkybės, kad gauta kompensacija nebus panaudota pasirinkimo sandoriams įgyvendinti.</w:t>
      </w:r>
    </w:p>
    <w:p w14:paraId="2323D8B4" w14:textId="77777777" w:rsidR="00644C93" w:rsidRDefault="00644C93" w:rsidP="00644C93">
      <w:pPr>
        <w:tabs>
          <w:tab w:val="left" w:pos="993"/>
        </w:tabs>
        <w:ind w:firstLine="993"/>
        <w:jc w:val="both"/>
        <w:rPr>
          <w:lang w:eastAsia="lt-LT"/>
        </w:rPr>
      </w:pPr>
    </w:p>
    <w:p w14:paraId="313D2BB0" w14:textId="77777777" w:rsidR="00644C93" w:rsidRDefault="00644C93" w:rsidP="00644C93">
      <w:pPr>
        <w:tabs>
          <w:tab w:val="left" w:pos="993"/>
        </w:tabs>
        <w:ind w:firstLine="993"/>
        <w:jc w:val="both"/>
        <w:rPr>
          <w:lang w:eastAsia="lt-LT"/>
        </w:rPr>
      </w:pPr>
      <w:r w:rsidRPr="00395E2F">
        <w:rPr>
          <w:lang w:eastAsia="lt-LT"/>
        </w:rPr>
        <w:t>Pavyzdys</w:t>
      </w:r>
    </w:p>
    <w:p w14:paraId="12C1BE8E" w14:textId="77777777" w:rsidR="00644C93" w:rsidRPr="00395E2F" w:rsidRDefault="00644C93" w:rsidP="00644C93">
      <w:pPr>
        <w:tabs>
          <w:tab w:val="left" w:pos="993"/>
        </w:tabs>
        <w:ind w:firstLine="993"/>
        <w:jc w:val="both"/>
        <w:rPr>
          <w:lang w:eastAsia="lt-LT"/>
        </w:rPr>
      </w:pPr>
    </w:p>
    <w:p w14:paraId="2DB8093B" w14:textId="77777777" w:rsidR="00644C93" w:rsidRPr="00395E2F"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t>Po struktūrinių pokyčių įmonių grupėje, 2023 m. vasarį darbuotojas iš įmonės „A“ yra</w:t>
      </w:r>
      <w:r>
        <w:rPr>
          <w:lang w:eastAsia="lt-LT"/>
        </w:rPr>
        <w:t xml:space="preserve"> </w:t>
      </w:r>
      <w:r w:rsidRPr="00395E2F">
        <w:rPr>
          <w:lang w:eastAsia="lt-LT"/>
        </w:rPr>
        <w:t>perkeliamas dirbti į kitą grupės įmonę „B“. Kadangi perkeliamas darbuotojas buvo sudaręs pasirinkimo sandorį su įmone „A“, ji sumokėjo kompensaciją įmonei „B“ už būsimas akcijų įsigijimo sąnaudas už laikotarpį, proporcingą šio darbuotojo išdirbtam laikui įmonėje „A“ iki pasirinkimo sandorio realizavimo dienos, todėl kompensacijos dydis buvo 1 800 Eur (žr. aukščiau pavyzdį dėl kompensacijos apskaičiavimo).</w:t>
      </w:r>
    </w:p>
    <w:p w14:paraId="0846E664" w14:textId="77777777" w:rsidR="00644C93" w:rsidRPr="00395E2F"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lastRenderedPageBreak/>
        <w:t>Darbuotoją perleidžianti įmonė „A“ sumokėtą kompensaciją (t.</w:t>
      </w:r>
      <w:r>
        <w:rPr>
          <w:lang w:eastAsia="lt-LT"/>
        </w:rPr>
        <w:t xml:space="preserve"> </w:t>
      </w:r>
      <w:r w:rsidRPr="00395E2F">
        <w:rPr>
          <w:lang w:eastAsia="lt-LT"/>
        </w:rPr>
        <w:t>y. 1 800 Eur) gali priskirti</w:t>
      </w:r>
      <w:r>
        <w:rPr>
          <w:lang w:eastAsia="lt-LT"/>
        </w:rPr>
        <w:t xml:space="preserve"> </w:t>
      </w:r>
      <w:r w:rsidRPr="00395E2F">
        <w:rPr>
          <w:lang w:eastAsia="lt-LT"/>
        </w:rPr>
        <w:t>leidžiamiems atskaitymams ir iš pajamų atskaityti 2023 m. mokestinį laikotarpį, kadangi darbuotoją perimanti įmonė „B“ prisiima įsipareigojimą įvykdyti pasirinkimo sandorį su perkeliamu darbuotoju.</w:t>
      </w:r>
    </w:p>
    <w:p w14:paraId="23014885" w14:textId="77777777" w:rsidR="00644C93" w:rsidRDefault="00644C93" w:rsidP="00644C93">
      <w:pPr>
        <w:pBdr>
          <w:top w:val="single" w:sz="4" w:space="1" w:color="auto"/>
          <w:left w:val="single" w:sz="4" w:space="4" w:color="auto"/>
          <w:bottom w:val="single" w:sz="4" w:space="1" w:color="auto"/>
          <w:right w:val="single" w:sz="4" w:space="4" w:color="auto"/>
        </w:pBdr>
        <w:tabs>
          <w:tab w:val="left" w:pos="993"/>
        </w:tabs>
        <w:ind w:firstLine="993"/>
        <w:jc w:val="both"/>
        <w:rPr>
          <w:lang w:eastAsia="lt-LT"/>
        </w:rPr>
      </w:pPr>
      <w:r w:rsidRPr="00395E2F">
        <w:rPr>
          <w:lang w:eastAsia="lt-LT"/>
        </w:rPr>
        <w:t>2023 m. liepą perkeltas darbuotojas nusprendžia nutraukti darbo sutartį su įmone „B“. Įmonė „A“ ir įmonė „B“ nesusitarė, jog nutrūkus darbo santykiams su įmone „B“ įmonės „A“ kompensacija grąžinama, todėl įmonė „B“ iš įmonės „A“ gautą kompensaciją (t.</w:t>
      </w:r>
      <w:r>
        <w:rPr>
          <w:lang w:eastAsia="lt-LT"/>
        </w:rPr>
        <w:t xml:space="preserve"> </w:t>
      </w:r>
      <w:r w:rsidRPr="00395E2F">
        <w:rPr>
          <w:lang w:eastAsia="lt-LT"/>
        </w:rPr>
        <w:t>y. 1 800 Eur) 2023 m. mokestinį laikotarpį prisipažįsta apmokestinamosiomis pajamomis, kadangi pasirinkimo sandoris su šiuo darbuotoju nebus įgyvendinamas.</w:t>
      </w:r>
    </w:p>
    <w:p w14:paraId="0347E705" w14:textId="77777777" w:rsidR="00093845" w:rsidRDefault="00EF30BA" w:rsidP="00EF30BA">
      <w:pPr>
        <w:jc w:val="both"/>
        <w:rPr>
          <w:iCs/>
          <w:lang w:eastAsia="lt-LT"/>
        </w:rPr>
      </w:pPr>
      <w:r>
        <w:rPr>
          <w:iCs/>
          <w:lang w:eastAsia="lt-LT"/>
        </w:rPr>
        <w:t>(</w:t>
      </w:r>
      <w:hyperlink r:id="rId76" w:tgtFrame="_blank" w:tooltip="Lietuvos Respublikos pelno mokesčio įstatymas" w:history="1">
        <w:r w:rsidRPr="00477AF7">
          <w:rPr>
            <w:iCs/>
            <w:lang w:eastAsia="lt-LT"/>
          </w:rPr>
          <w:t>PMĮ</w:t>
        </w:r>
      </w:hyperlink>
      <w:r w:rsidRPr="004A5C6E">
        <w:rPr>
          <w:iCs/>
          <w:lang w:eastAsia="lt-LT"/>
        </w:rPr>
        <w:t xml:space="preserve"> </w:t>
      </w:r>
      <w:hyperlink r:id="rId77" w:tooltip="Leidžiamų atskaitymų pripažinimo tvarka (str. 17)" w:history="1">
        <w:r w:rsidRPr="00477AF7">
          <w:rPr>
            <w:iCs/>
            <w:lang w:eastAsia="lt-LT"/>
          </w:rPr>
          <w:t>17</w:t>
        </w:r>
      </w:hyperlink>
      <w:r>
        <w:rPr>
          <w:iCs/>
          <w:lang w:eastAsia="lt-LT"/>
        </w:rPr>
        <w:t xml:space="preserve"> straipsnio 1 dalies komentaro 6.30 punkto 7 papunktis parengtas pagal VMI prie FM 2024-03-01 raštą Nr. (18.10-31-1 Mr)-R-812)</w:t>
      </w:r>
    </w:p>
    <w:p w14:paraId="78764FFA" w14:textId="77777777" w:rsidR="00093845" w:rsidRPr="00DE764D" w:rsidRDefault="000D779E">
      <w:pPr>
        <w:pStyle w:val="normal-p"/>
        <w:shd w:val="clear" w:color="auto" w:fill="FFFFFF"/>
        <w:spacing w:before="0" w:beforeAutospacing="0" w:after="0" w:afterAutospacing="0" w:line="300" w:lineRule="atLeast"/>
        <w:ind w:firstLine="709"/>
        <w:jc w:val="both"/>
        <w:rPr>
          <w:rStyle w:val="normal-h"/>
          <w:b/>
          <w:color w:val="000000"/>
        </w:rPr>
      </w:pPr>
      <w:r w:rsidRPr="00DE764D">
        <w:rPr>
          <w:rStyle w:val="normal-h"/>
          <w:b/>
          <w:color w:val="000000"/>
        </w:rPr>
        <w:t>6.31. Transporto prastovų sąnaudų priskyrimas leidžiamiems atskaitymams.</w:t>
      </w:r>
    </w:p>
    <w:p w14:paraId="6DE72D9E"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6.31.1. Vežėjo automobilių keliais prastovų sąnaudos.</w:t>
      </w:r>
    </w:p>
    <w:p w14:paraId="58CE0AA5"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Vienetai, teikiantys transporto ir ekspedijavimo paslaugas, neretai dėl savo ar klientų kaltės ne visada sklandžiai gali įvykdyti savo įsipareigojimus, t.y. dėl įvairių priežasčių pavėluoja pristatyti krovinį, kitaip tariant, šiems darbams atlikti yra sugaištama daugiau laiko, patiriama daugiau sąnaudų, nei numatyta tarpusavio sutartyse.</w:t>
      </w:r>
    </w:p>
    <w:p w14:paraId="737B4CB5"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Tokiu atveju sutartyse už pavėluotai suteiktas paslaugas (transporto priemonės prastovas) paprastai yra numatoma atsakomybė, kurią gali prisiimti tiek paslaugų tiekėjas, tiek paslaugų pirkėjas.</w:t>
      </w:r>
    </w:p>
    <w:p w14:paraId="5C3AA3C1" w14:textId="77777777" w:rsidR="00093845" w:rsidRDefault="000D779E">
      <w:pPr>
        <w:pStyle w:val="normal-p"/>
        <w:shd w:val="clear" w:color="auto" w:fill="FFFFFF"/>
        <w:spacing w:before="0" w:beforeAutospacing="0" w:after="0" w:afterAutospacing="0" w:line="300" w:lineRule="atLeast"/>
        <w:ind w:firstLine="709"/>
        <w:jc w:val="both"/>
        <w:rPr>
          <w:rStyle w:val="normal-h"/>
        </w:rPr>
      </w:pPr>
      <w:r>
        <w:rPr>
          <w:rStyle w:val="normal-h"/>
          <w:color w:val="000000"/>
        </w:rPr>
        <w:t>Krovinio vežimo paslaugos teikėjas už ne laiku suteiktas paslaugas (pavėluotai pristatytą krovinį) dėl užsakovo kaltės iš pirkėjo gali gauti tam tikrą pinigų sumą, numatytą sutartyje, savo patirtoms sąnaudoms padengti. Šiuo atveju krovinio vežimo paslaugos vertė atitinkamai padidėja, t.y. prie jos yra pridedamos papildomai patirtos išlaidos.</w:t>
      </w:r>
    </w:p>
    <w:p w14:paraId="50A90173"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Kadangi vežimo paslaugos yra laikomos suteiktomis, nors ir pavėluotai, tai sutartyje numatyta papildoma pinigų suma patirtoms sąnaudoms padengti yra laikoma paslaugos pirkėjo leidžiamais atskaitymais.</w:t>
      </w:r>
    </w:p>
    <w:p w14:paraId="7EA9668D"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6.31.2. Laivų prastovų sąnaudų.</w:t>
      </w:r>
    </w:p>
    <w:p w14:paraId="43D01DE4"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rPr>
        <w:t>Laivo frachtavimo sutartyje (čarteryje) nustatytas užmokestis už laivo prastovą, kurį sumoka frachtuotojas laivo valdytojui, vadinamas laivo prastovos mokesčiu (demeredžu).  D</w:t>
      </w:r>
      <w:r>
        <w:rPr>
          <w:rStyle w:val="normal-h"/>
          <w:color w:val="000000"/>
        </w:rPr>
        <w:t xml:space="preserve">emeredžas yra numatomas kaip papildomas mokestis už laivo stovėjimą uoste. Tai kaštai už papildomą laiko skirtumą, kuris susidaro tarp sutarto frachtavimo laiko sutartyje ir realaus laiko pakraunant / iškraunant krovinį. </w:t>
      </w:r>
      <w:r>
        <w:t xml:space="preserve">Už šį papildomą laiką konkrečioje frachtavimo sutartyje nustatytas įkainis, skaičiuojamas dienai arba parai, nėra laikomas bauda ar delspinigiais. </w:t>
      </w:r>
      <w:r>
        <w:rPr>
          <w:rStyle w:val="normal-h"/>
          <w:color w:val="000000"/>
        </w:rPr>
        <w:t xml:space="preserve">Laivo frachtuotojo laivo valdytojui sumokėtas </w:t>
      </w:r>
      <w:r>
        <w:rPr>
          <w:rStyle w:val="normal-h"/>
        </w:rPr>
        <w:t>laivo prastovos mokestis (demeredžas) priskiriamas frachtuotojo leidžiamiems atskaitymams.</w:t>
      </w:r>
    </w:p>
    <w:p w14:paraId="2217989C"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6.31.3. Geležinkelių prastovų sąnaudos.</w:t>
      </w:r>
    </w:p>
    <w:p w14:paraId="7E4657E8" w14:textId="77777777" w:rsidR="00093845" w:rsidRDefault="000D779E">
      <w:pPr>
        <w:pStyle w:val="normal-p"/>
        <w:shd w:val="clear" w:color="auto" w:fill="FFFFFF"/>
        <w:spacing w:before="0" w:beforeAutospacing="0" w:after="0" w:afterAutospacing="0" w:line="300" w:lineRule="atLeast"/>
        <w:ind w:firstLine="709"/>
        <w:jc w:val="both"/>
        <w:rPr>
          <w:rStyle w:val="normal-h"/>
          <w:color w:val="000000"/>
        </w:rPr>
      </w:pPr>
      <w:r>
        <w:rPr>
          <w:rStyle w:val="normal-h"/>
          <w:color w:val="000000"/>
        </w:rPr>
        <w:t xml:space="preserve">Transportavimo geležinkeliu atvejais, geležinkelio prastovų sąnaudos nepripažįstamos netesybomis. Vagonų ir konteinerių naudojimas / buvimas geležinkelio keliuose – yra laikomas papildomomis, susijusiomis su krovinių vežimo geležinkelio transportu, paslaugomis. </w:t>
      </w:r>
    </w:p>
    <w:p w14:paraId="6BA76B2C" w14:textId="77777777" w:rsidR="00093845" w:rsidRPr="0065344A" w:rsidRDefault="000D779E">
      <w:pPr>
        <w:ind w:firstLine="993"/>
        <w:jc w:val="both"/>
        <w:rPr>
          <w:rStyle w:val="normal-h"/>
          <w:color w:val="000000"/>
          <w:lang w:val="lt-LT"/>
        </w:rPr>
      </w:pPr>
      <w:r w:rsidRPr="0065344A">
        <w:rPr>
          <w:rStyle w:val="normal-h"/>
          <w:color w:val="000000"/>
          <w:lang w:val="lt-LT"/>
        </w:rPr>
        <w:t>Šios paslaugos savo esme yra įprastinė geležinkelio įmonės paslaugų teikimo veikla ir nėra laikomos nei baudomis, nei netesybomis už sutartinių prievolių nevykdymą, todėl geležinkelio įmonei už šias paslaugas sumokėta papildoma pinigų suma yra laikoma paslaugos pirkėjo leidžiamais atskaitymais</w:t>
      </w:r>
    </w:p>
    <w:p w14:paraId="10C7559F" w14:textId="77777777" w:rsidR="00093845" w:rsidRDefault="00F425B3">
      <w:pPr>
        <w:ind w:firstLine="993"/>
        <w:jc w:val="both"/>
      </w:pPr>
      <w:r>
        <w:t>(</w:t>
      </w:r>
      <w:r w:rsidR="000D779E">
        <w:t xml:space="preserve">Pagal VMI prie FM </w:t>
      </w:r>
      <w:r w:rsidR="000D779E">
        <w:rPr>
          <w:color w:val="000000"/>
        </w:rPr>
        <w:t xml:space="preserve">2016-10-20 rašte Nr. </w:t>
      </w:r>
      <w:r w:rsidR="000D779E">
        <w:t>(18.10-31-1E) RM-28892)</w:t>
      </w:r>
    </w:p>
    <w:p w14:paraId="4A2C781F" w14:textId="77777777" w:rsidR="00EA3D4A" w:rsidRDefault="00EA3D4A">
      <w:pPr>
        <w:ind w:firstLine="993"/>
        <w:jc w:val="both"/>
      </w:pPr>
    </w:p>
    <w:p w14:paraId="2709226B" w14:textId="77777777" w:rsidR="00EA3D4A" w:rsidRPr="00822608" w:rsidRDefault="00EA3D4A" w:rsidP="00EA3D4A">
      <w:pPr>
        <w:ind w:firstLine="993"/>
        <w:jc w:val="both"/>
        <w:rPr>
          <w:lang w:eastAsia="lt-LT"/>
        </w:rPr>
      </w:pPr>
      <w:r w:rsidRPr="00822608">
        <w:rPr>
          <w:b/>
          <w:bCs/>
          <w:lang w:eastAsia="lt-LT"/>
        </w:rPr>
        <w:t>6.</w:t>
      </w:r>
      <w:r>
        <w:rPr>
          <w:b/>
          <w:bCs/>
          <w:lang w:eastAsia="lt-LT"/>
        </w:rPr>
        <w:t>32</w:t>
      </w:r>
      <w:r w:rsidRPr="00822608">
        <w:rPr>
          <w:b/>
          <w:bCs/>
          <w:lang w:eastAsia="lt-LT"/>
        </w:rPr>
        <w:t>.</w:t>
      </w:r>
      <w:r w:rsidRPr="00822608">
        <w:rPr>
          <w:b/>
          <w:bCs/>
          <w:i/>
          <w:iCs/>
          <w:lang w:eastAsia="lt-LT"/>
        </w:rPr>
        <w:t xml:space="preserve"> </w:t>
      </w:r>
      <w:r w:rsidRPr="00822608">
        <w:rPr>
          <w:b/>
          <w:bCs/>
          <w:lang w:eastAsia="lt-LT"/>
        </w:rPr>
        <w:t>Dėl</w:t>
      </w:r>
      <w:r w:rsidRPr="00822608">
        <w:rPr>
          <w:b/>
          <w:bCs/>
          <w:i/>
          <w:iCs/>
          <w:lang w:eastAsia="lt-LT"/>
        </w:rPr>
        <w:t xml:space="preserve"> </w:t>
      </w:r>
      <w:r>
        <w:rPr>
          <w:b/>
          <w:bCs/>
          <w:lang w:eastAsia="lt-LT"/>
        </w:rPr>
        <w:t>išlaidų, susijusių su nuotoliniu darbu, priskyrimo leidžiamiems atskaitymams</w:t>
      </w:r>
      <w:r w:rsidRPr="00822608">
        <w:rPr>
          <w:b/>
          <w:bCs/>
          <w:lang w:eastAsia="lt-LT"/>
        </w:rPr>
        <w:t>.</w:t>
      </w:r>
    </w:p>
    <w:p w14:paraId="247A1E97" w14:textId="77777777" w:rsidR="00EA3D4A" w:rsidRPr="00062324" w:rsidRDefault="00EA3D4A" w:rsidP="00EA3D4A">
      <w:pPr>
        <w:ind w:firstLine="993"/>
        <w:jc w:val="both"/>
        <w:rPr>
          <w:lang w:eastAsia="lt-LT"/>
        </w:rPr>
      </w:pPr>
      <w:r w:rsidRPr="00062324">
        <w:rPr>
          <w:lang w:eastAsia="lt-LT"/>
        </w:rPr>
        <w:lastRenderedPageBreak/>
        <w:t>Darbdavys privalo sudaryti darbuotojui sąlygas darbo funkcijoms atlikti ir suteikti darbuotojui reikalingas darbo priemones ar turtą, todėl, skiriant darbuotoją dirbti nuotoliniu būdu, turėtų būti raštu nustatomi darbo vietos reikalavimai (jeigu tokie keliami), darbui suteikiamos naudoti darbo priemonės, aprūpinimo jomis tvarka, naudojimosi darbo priemonėmis taisyklės. Darbui darbdavio suteikiamų priemonių naudojimas nuotolinėse darbo vietose pripažįstamas naudojimu įmonės ekonominei naudai gauti, todėl tokių priemonių, kurios priskiriamos trumpalaikiam turtui - įsigijimo išlaidos ar/ir tokių priemonių, kurios priskiriamos ilgalaikiam turtui - ilgalaikio turto nusidėvėjimo bei kitos su tokio turto eksploatavimu susijusios išlaidos yra priskiriamos leidžiamiems atskaitymams vadovaujantis PMĮ 13 ir 18 straipsnių nuostatomis.</w:t>
      </w:r>
    </w:p>
    <w:p w14:paraId="7BF457C6" w14:textId="77777777" w:rsidR="00EA3D4A" w:rsidRDefault="00EA3D4A" w:rsidP="00EA3D4A">
      <w:pPr>
        <w:ind w:firstLine="993"/>
        <w:jc w:val="both"/>
        <w:rPr>
          <w:lang w:eastAsia="lt-LT"/>
        </w:rPr>
      </w:pPr>
      <w:r w:rsidRPr="00062324">
        <w:rPr>
          <w:lang w:eastAsia="lt-LT"/>
        </w:rPr>
        <w:t xml:space="preserve">Tuo atveju, kai darbo sutarties šalys susitaria, kad darbuotojas darbo metu naudos savo priemones ar turtą, išskyrus asmenines apsaugos priemones, kuriomis aprūpinti darbuotojus privalo darbdavys, darbuotojui už jo asmeninio turto ar priemonių naudojimą gali būti mokamos kompensacijos. </w:t>
      </w:r>
      <w:r>
        <w:rPr>
          <w:lang w:eastAsia="lt-LT"/>
        </w:rPr>
        <w:t>D</w:t>
      </w:r>
      <w:r w:rsidRPr="00062324">
        <w:rPr>
          <w:lang w:eastAsia="lt-LT"/>
        </w:rPr>
        <w:t>arbuotojui mokama kompensacija už darbuotojo darbo priemonių ar turto naudojimą arba mokama kompensacija už patirtas papildomas išlaidas, susijusias su jo darbu, darbo priemonių įsigijimu, įsirengimu ir naudojimu, pagal GPMĮ laikoma gyventojų pajamų mokesčio objektu, todėl kompensacijos suma, vadovaujantis PMĮ 17 straipsnio 1 dalimi, kaip gyventojų pajamų mokesčio objektas, priskiriama leidžiamiems atskaitymams.</w:t>
      </w:r>
    </w:p>
    <w:p w14:paraId="67D84DB9" w14:textId="77777777" w:rsidR="00EA3D4A" w:rsidRDefault="00EA3D4A" w:rsidP="00EA3D4A">
      <w:pPr>
        <w:spacing w:before="240"/>
        <w:ind w:firstLine="993"/>
        <w:jc w:val="both"/>
      </w:pPr>
      <w:r>
        <w:t xml:space="preserve">(Pagal VMI prie FM </w:t>
      </w:r>
      <w:r>
        <w:rPr>
          <w:color w:val="000000"/>
        </w:rPr>
        <w:t xml:space="preserve">2023-05-23 rašte Nr. </w:t>
      </w:r>
      <w:r>
        <w:t>(18.10-31-1-Mr) R-2011)</w:t>
      </w:r>
    </w:p>
    <w:p w14:paraId="702AA9B7" w14:textId="77777777" w:rsidR="00EF6FE7" w:rsidRPr="00234058" w:rsidRDefault="00CC6B7E" w:rsidP="00EF6FE7">
      <w:pPr>
        <w:spacing w:after="0"/>
        <w:ind w:firstLine="709"/>
        <w:jc w:val="both"/>
        <w:rPr>
          <w:b/>
          <w:lang w:val="lt-LT"/>
        </w:rPr>
      </w:pPr>
      <w:r w:rsidRPr="00234058">
        <w:rPr>
          <w:b/>
          <w:lang w:val="lt-LT"/>
        </w:rPr>
        <w:t xml:space="preserve">6.33. </w:t>
      </w:r>
      <w:r w:rsidRPr="00234058">
        <w:rPr>
          <w:b/>
          <w:iCs/>
          <w:color w:val="000000"/>
          <w:lang w:val="lt-LT"/>
        </w:rPr>
        <w:t xml:space="preserve">Nuo </w:t>
      </w:r>
      <w:r w:rsidRPr="00234058">
        <w:rPr>
          <w:b/>
          <w:lang w:val="lt-LT"/>
        </w:rPr>
        <w:t xml:space="preserve">2025 m. gegužės 1 d. </w:t>
      </w:r>
      <w:r>
        <w:rPr>
          <w:b/>
          <w:lang w:val="lt-LT"/>
        </w:rPr>
        <w:t xml:space="preserve">pagal </w:t>
      </w:r>
      <w:r w:rsidRPr="00234058">
        <w:rPr>
          <w:b/>
          <w:lang w:val="lt-LT"/>
        </w:rPr>
        <w:t>Lietuvos Respublikos atsiskaitymų grynaisiais pinigais sumų apvalinimo įstatym</w:t>
      </w:r>
      <w:r>
        <w:rPr>
          <w:b/>
          <w:lang w:val="lt-LT"/>
        </w:rPr>
        <w:t>o nuostatas</w:t>
      </w:r>
      <w:r w:rsidRPr="00234058">
        <w:rPr>
          <w:b/>
          <w:lang w:val="lt-LT"/>
        </w:rPr>
        <w:t>, jei vieneto darbuotojas už vieneto reikmėms perkamas prekes (paslaugas) atsiskaito grynaisiais pinigais, tai pinigų sumokėjimą patvirtinančiame apskaitos dokumente (pvz., kasos aparato kvite, grynųjų pinigų priėmimo kvite, kasos pajamų orderyje) nurodyta apvalinimo suma didinami arba mažinami vieneto leidžiami atskaitymai.</w:t>
      </w:r>
    </w:p>
    <w:p w14:paraId="2FBDC6D2" w14:textId="77777777" w:rsidR="00093845" w:rsidRDefault="00CC6B7E" w:rsidP="00EF6FE7">
      <w:pPr>
        <w:spacing w:after="0"/>
        <w:ind w:firstLine="709"/>
        <w:jc w:val="both"/>
        <w:rPr>
          <w:iCs/>
          <w:lang w:eastAsia="lt-LT"/>
        </w:rPr>
      </w:pPr>
      <w:r w:rsidRPr="00CC6B7E">
        <w:rPr>
          <w:iCs/>
          <w:lang w:eastAsia="lt-LT"/>
        </w:rPr>
        <w:t>(PMĮ 17 straipsnio 1 d.</w:t>
      </w:r>
      <w:r w:rsidR="00740D57">
        <w:rPr>
          <w:iCs/>
          <w:lang w:eastAsia="lt-LT"/>
        </w:rPr>
        <w:t xml:space="preserve"> komentaras papildytas 6.33 p. </w:t>
      </w:r>
      <w:r w:rsidRPr="00CC6B7E">
        <w:rPr>
          <w:iCs/>
          <w:lang w:eastAsia="lt-LT"/>
        </w:rPr>
        <w:t>pagal VMI prie FM 2025-02-28 raštą Nr. (18.32-31-1 Mr) R-870)</w:t>
      </w:r>
    </w:p>
    <w:p w14:paraId="1E812B27" w14:textId="77777777" w:rsidR="00EF6FE7" w:rsidRDefault="00EF6FE7" w:rsidP="00EF6FE7">
      <w:pPr>
        <w:pStyle w:val="HTMLiankstoformatuotas"/>
        <w:spacing w:after="0"/>
        <w:jc w:val="both"/>
        <w:rPr>
          <w:rFonts w:ascii="Trebuchet MS" w:eastAsiaTheme="minorEastAsia" w:hAnsi="Trebuchet MS" w:cs="Times New Roman"/>
          <w:b/>
          <w:noProof/>
          <w:color w:val="00693C"/>
          <w:sz w:val="24"/>
          <w:szCs w:val="24"/>
          <w:lang w:val="lt-LT" w:eastAsia="lt-LT"/>
        </w:rPr>
      </w:pPr>
    </w:p>
    <w:p w14:paraId="5C6127DF" w14:textId="77777777" w:rsidR="00EF6FE7" w:rsidRDefault="00EF6FE7" w:rsidP="00EF6FE7">
      <w:pPr>
        <w:pStyle w:val="HTMLiankstoformatuotas"/>
        <w:tabs>
          <w:tab w:val="clear" w:pos="916"/>
          <w:tab w:val="left" w:pos="567"/>
        </w:tabs>
        <w:spacing w:after="0"/>
        <w:jc w:val="both"/>
        <w:rPr>
          <w:rFonts w:ascii="Times New Roman" w:hAnsi="Times New Roman" w:cs="Times New Roman"/>
          <w:b/>
          <w:sz w:val="24"/>
          <w:szCs w:val="24"/>
          <w:lang w:val="lt-LT"/>
        </w:rPr>
      </w:pPr>
      <w:r>
        <w:rPr>
          <w:rFonts w:ascii="Times New Roman" w:hAnsi="Times New Roman" w:cs="Times New Roman"/>
          <w:b/>
          <w:sz w:val="24"/>
          <w:szCs w:val="24"/>
        </w:rPr>
        <w:tab/>
      </w:r>
      <w:r w:rsidR="000D779E">
        <w:rPr>
          <w:rFonts w:ascii="Times New Roman" w:hAnsi="Times New Roman" w:cs="Times New Roman"/>
          <w:b/>
          <w:sz w:val="24"/>
          <w:szCs w:val="24"/>
        </w:rPr>
        <w:t xml:space="preserve"> </w:t>
      </w:r>
      <w:bookmarkStart w:id="337" w:name="Straipsnis171"/>
      <w:r w:rsidRPr="00651104">
        <w:rPr>
          <w:rFonts w:ascii="Times New Roman" w:hAnsi="Times New Roman" w:cs="Times New Roman"/>
          <w:b/>
          <w:sz w:val="24"/>
          <w:szCs w:val="24"/>
          <w:lang w:val="lt-LT"/>
        </w:rPr>
        <w:t>2.</w:t>
      </w:r>
      <w:r>
        <w:rPr>
          <w:rFonts w:ascii="Times New Roman" w:hAnsi="Times New Roman" w:cs="Times New Roman"/>
          <w:b/>
          <w:sz w:val="24"/>
          <w:szCs w:val="24"/>
          <w:lang w:val="lt-LT"/>
        </w:rPr>
        <w:t xml:space="preserve"> </w:t>
      </w:r>
      <w:r w:rsidRPr="00651104">
        <w:rPr>
          <w:rFonts w:ascii="Times New Roman" w:hAnsi="Times New Roman" w:cs="Times New Roman"/>
          <w:b/>
          <w:sz w:val="24"/>
          <w:szCs w:val="24"/>
          <w:lang w:val="lt-LT"/>
        </w:rPr>
        <w:t xml:space="preserve">Ribojamų dydžių leidžiami atskaitymai: </w:t>
      </w:r>
    </w:p>
    <w:p w14:paraId="16437267" w14:textId="77777777" w:rsidR="00EF6FE7" w:rsidRPr="00651104" w:rsidRDefault="00EF6FE7" w:rsidP="00EF6FE7">
      <w:pPr>
        <w:pStyle w:val="HTMLiankstoformatuotas"/>
        <w:spacing w:after="0"/>
        <w:ind w:firstLine="567"/>
        <w:jc w:val="both"/>
        <w:rPr>
          <w:rFonts w:ascii="Times New Roman" w:hAnsi="Times New Roman" w:cs="Times New Roman"/>
          <w:b/>
          <w:sz w:val="24"/>
          <w:szCs w:val="24"/>
          <w:lang w:val="lt-LT"/>
        </w:rPr>
      </w:pPr>
    </w:p>
    <w:p w14:paraId="34888B79" w14:textId="77777777" w:rsidR="00EF6FE7" w:rsidRPr="00651104" w:rsidRDefault="00EF6FE7" w:rsidP="00EF6FE7">
      <w:pPr>
        <w:tabs>
          <w:tab w:val="left" w:pos="720"/>
          <w:tab w:val="left" w:pos="1077"/>
          <w:tab w:val="left" w:pos="1418"/>
        </w:tabs>
        <w:spacing w:after="0"/>
        <w:ind w:firstLine="709"/>
        <w:jc w:val="both"/>
        <w:rPr>
          <w:b/>
        </w:rPr>
      </w:pPr>
      <w:r w:rsidRPr="00651104">
        <w:rPr>
          <w:b/>
        </w:rPr>
        <w:t>1)</w:t>
      </w:r>
      <w:r w:rsidRPr="00651104">
        <w:rPr>
          <w:b/>
        </w:rPr>
        <w:tab/>
        <w:t xml:space="preserve">ilgalaikio turto nusidėvėjimo arba amortizacijos sąnaudos; </w:t>
      </w:r>
    </w:p>
    <w:p w14:paraId="755B6151" w14:textId="77777777" w:rsidR="00EF6FE7" w:rsidRPr="00651104" w:rsidRDefault="00EF6FE7" w:rsidP="00EF6FE7">
      <w:pPr>
        <w:tabs>
          <w:tab w:val="left" w:pos="720"/>
          <w:tab w:val="left" w:pos="1077"/>
          <w:tab w:val="left" w:pos="1418"/>
        </w:tabs>
        <w:spacing w:after="0"/>
        <w:ind w:firstLine="709"/>
        <w:jc w:val="both"/>
        <w:rPr>
          <w:b/>
        </w:rPr>
      </w:pPr>
      <w:r w:rsidRPr="00651104">
        <w:rPr>
          <w:b/>
        </w:rPr>
        <w:t>2)</w:t>
      </w:r>
      <w:r w:rsidRPr="00651104">
        <w:rPr>
          <w:b/>
        </w:rPr>
        <w:tab/>
        <w:t xml:space="preserve">ilgalaikio materialiojo turto eksploatavimo, remonto ir rekonstravimo sąnaudos; </w:t>
      </w:r>
    </w:p>
    <w:p w14:paraId="4DB161C0" w14:textId="77777777" w:rsidR="00EF6FE7" w:rsidRPr="00651104" w:rsidRDefault="00EF6FE7" w:rsidP="00EF6FE7">
      <w:pPr>
        <w:tabs>
          <w:tab w:val="left" w:pos="720"/>
          <w:tab w:val="left" w:pos="1077"/>
          <w:tab w:val="left" w:pos="1418"/>
        </w:tabs>
        <w:spacing w:after="0"/>
        <w:ind w:firstLine="709"/>
        <w:jc w:val="both"/>
        <w:rPr>
          <w:b/>
        </w:rPr>
      </w:pPr>
      <w:r w:rsidRPr="00651104">
        <w:rPr>
          <w:b/>
        </w:rPr>
        <w:t>3)</w:t>
      </w:r>
      <w:r w:rsidRPr="00651104">
        <w:rPr>
          <w:b/>
        </w:rPr>
        <w:tab/>
        <w:t xml:space="preserve">komandiruočių sąnaudos; </w:t>
      </w:r>
    </w:p>
    <w:p w14:paraId="28FFF05F" w14:textId="77777777" w:rsidR="00EF6FE7" w:rsidRPr="00651104" w:rsidRDefault="00EF6FE7" w:rsidP="00EF6FE7">
      <w:pPr>
        <w:tabs>
          <w:tab w:val="left" w:pos="720"/>
          <w:tab w:val="left" w:pos="1077"/>
          <w:tab w:val="left" w:pos="1418"/>
        </w:tabs>
        <w:spacing w:after="0"/>
        <w:ind w:firstLine="709"/>
        <w:jc w:val="both"/>
        <w:rPr>
          <w:b/>
        </w:rPr>
      </w:pPr>
      <w:r w:rsidRPr="00651104">
        <w:rPr>
          <w:b/>
        </w:rPr>
        <w:t>4)</w:t>
      </w:r>
      <w:r w:rsidRPr="00651104">
        <w:rPr>
          <w:b/>
        </w:rPr>
        <w:tab/>
        <w:t xml:space="preserve">reklamos ir reprezentacijos sąnaudos; </w:t>
      </w:r>
    </w:p>
    <w:p w14:paraId="7DB53C62" w14:textId="77777777" w:rsidR="00EF6FE7" w:rsidRPr="00651104" w:rsidRDefault="00EF6FE7" w:rsidP="00EF6FE7">
      <w:pPr>
        <w:tabs>
          <w:tab w:val="left" w:pos="720"/>
          <w:tab w:val="left" w:pos="1077"/>
          <w:tab w:val="left" w:pos="1418"/>
        </w:tabs>
        <w:spacing w:after="0"/>
        <w:ind w:firstLine="709"/>
        <w:jc w:val="both"/>
        <w:rPr>
          <w:b/>
        </w:rPr>
      </w:pPr>
      <w:r w:rsidRPr="00651104">
        <w:rPr>
          <w:b/>
        </w:rPr>
        <w:t>5)</w:t>
      </w:r>
      <w:r w:rsidRPr="00651104">
        <w:rPr>
          <w:b/>
        </w:rPr>
        <w:tab/>
        <w:t xml:space="preserve">natūraliosios netekties nuostoliai; </w:t>
      </w:r>
    </w:p>
    <w:p w14:paraId="2CDA6D92" w14:textId="77777777" w:rsidR="00EF6FE7" w:rsidRPr="00651104" w:rsidRDefault="00EF6FE7" w:rsidP="00EF6FE7">
      <w:pPr>
        <w:tabs>
          <w:tab w:val="left" w:pos="720"/>
          <w:tab w:val="left" w:pos="1077"/>
          <w:tab w:val="left" w:pos="1418"/>
        </w:tabs>
        <w:spacing w:after="0"/>
        <w:ind w:firstLine="709"/>
        <w:jc w:val="both"/>
        <w:rPr>
          <w:b/>
        </w:rPr>
      </w:pPr>
      <w:r w:rsidRPr="00651104">
        <w:rPr>
          <w:b/>
        </w:rPr>
        <w:t>6)</w:t>
      </w:r>
      <w:r w:rsidRPr="00651104">
        <w:rPr>
          <w:b/>
        </w:rPr>
        <w:tab/>
        <w:t xml:space="preserve">mokesčiai; </w:t>
      </w:r>
    </w:p>
    <w:p w14:paraId="52AA3827" w14:textId="77777777" w:rsidR="00EF6FE7" w:rsidRPr="00651104" w:rsidRDefault="00EF6FE7" w:rsidP="00EF6FE7">
      <w:pPr>
        <w:tabs>
          <w:tab w:val="left" w:pos="720"/>
          <w:tab w:val="left" w:pos="1077"/>
          <w:tab w:val="left" w:pos="1418"/>
        </w:tabs>
        <w:spacing w:after="0"/>
        <w:ind w:firstLine="709"/>
        <w:jc w:val="both"/>
        <w:rPr>
          <w:b/>
        </w:rPr>
      </w:pPr>
      <w:r w:rsidRPr="00651104">
        <w:rPr>
          <w:b/>
        </w:rPr>
        <w:t>7)</w:t>
      </w:r>
      <w:r w:rsidRPr="00651104">
        <w:rPr>
          <w:b/>
        </w:rPr>
        <w:tab/>
        <w:t xml:space="preserve">beviltiškos skolos; </w:t>
      </w:r>
    </w:p>
    <w:p w14:paraId="67392042" w14:textId="77777777" w:rsidR="00EF6FE7" w:rsidRPr="00651104" w:rsidRDefault="00EF6FE7" w:rsidP="00EF6FE7">
      <w:pPr>
        <w:spacing w:after="0"/>
        <w:ind w:firstLine="720"/>
        <w:jc w:val="both"/>
        <w:rPr>
          <w:b/>
        </w:rPr>
      </w:pPr>
      <w:r w:rsidRPr="00651104">
        <w:rPr>
          <w:b/>
        </w:rPr>
        <w:t xml:space="preserve">8) išlaidos darbuotojų ir (arba) jų šeimos narių naudai, kuri nėra gyventojų pajamų mokesčio objektas; </w:t>
      </w:r>
    </w:p>
    <w:p w14:paraId="159779FE" w14:textId="77777777" w:rsidR="00EF6FE7" w:rsidRPr="00651104" w:rsidRDefault="00EF6FE7" w:rsidP="00EF6FE7">
      <w:pPr>
        <w:tabs>
          <w:tab w:val="left" w:pos="720"/>
          <w:tab w:val="left" w:pos="1077"/>
          <w:tab w:val="left" w:pos="1418"/>
        </w:tabs>
        <w:spacing w:after="0"/>
        <w:jc w:val="both"/>
        <w:rPr>
          <w:b/>
        </w:rPr>
      </w:pPr>
      <w:r w:rsidRPr="00651104">
        <w:rPr>
          <w:b/>
        </w:rPr>
        <w:tab/>
        <w:t>9)</w:t>
      </w:r>
      <w:r w:rsidRPr="00651104">
        <w:rPr>
          <w:b/>
        </w:rPr>
        <w:tab/>
        <w:t xml:space="preserve">specialieji kredito įstaigų ir draudimo įmonių atidėjimai; </w:t>
      </w:r>
    </w:p>
    <w:p w14:paraId="6F2FBBF8" w14:textId="77777777" w:rsidR="00EF6FE7" w:rsidRPr="00651104" w:rsidRDefault="00EF6FE7" w:rsidP="00EF6FE7">
      <w:pPr>
        <w:tabs>
          <w:tab w:val="left" w:pos="720"/>
          <w:tab w:val="left" w:pos="1077"/>
          <w:tab w:val="left" w:pos="1418"/>
        </w:tabs>
        <w:spacing w:after="0"/>
        <w:ind w:firstLine="709"/>
        <w:jc w:val="both"/>
        <w:rPr>
          <w:b/>
        </w:rPr>
      </w:pPr>
      <w:r w:rsidRPr="00651104">
        <w:rPr>
          <w:b/>
        </w:rPr>
        <w:t>10)</w:t>
      </w:r>
      <w:r w:rsidRPr="00651104">
        <w:rPr>
          <w:b/>
        </w:rPr>
        <w:tab/>
        <w:t xml:space="preserve">parama; </w:t>
      </w:r>
    </w:p>
    <w:p w14:paraId="154B09DD" w14:textId="77777777" w:rsidR="00EF6FE7" w:rsidRPr="00651104" w:rsidRDefault="00EF6FE7" w:rsidP="00EF6FE7">
      <w:pPr>
        <w:tabs>
          <w:tab w:val="left" w:pos="720"/>
          <w:tab w:val="left" w:pos="1077"/>
          <w:tab w:val="left" w:pos="1418"/>
        </w:tabs>
        <w:spacing w:after="0"/>
        <w:ind w:firstLine="709"/>
        <w:jc w:val="both"/>
        <w:rPr>
          <w:b/>
        </w:rPr>
      </w:pPr>
      <w:r w:rsidRPr="00651104">
        <w:rPr>
          <w:b/>
        </w:rPr>
        <w:t>11)</w:t>
      </w:r>
      <w:r w:rsidRPr="00651104">
        <w:rPr>
          <w:b/>
        </w:rPr>
        <w:tab/>
        <w:t xml:space="preserve">narių mokesčiai, įnašai ir įmokos; </w:t>
      </w:r>
    </w:p>
    <w:p w14:paraId="7AC624FE" w14:textId="77777777" w:rsidR="00EF6FE7" w:rsidRPr="00651104" w:rsidRDefault="00EF6FE7" w:rsidP="00EF6FE7">
      <w:pPr>
        <w:tabs>
          <w:tab w:val="left" w:pos="720"/>
          <w:tab w:val="left" w:pos="1077"/>
          <w:tab w:val="left" w:pos="1418"/>
        </w:tabs>
        <w:spacing w:after="0"/>
        <w:ind w:firstLine="709"/>
        <w:jc w:val="both"/>
        <w:rPr>
          <w:b/>
        </w:rPr>
      </w:pPr>
      <w:r w:rsidRPr="00651104">
        <w:rPr>
          <w:b/>
        </w:rPr>
        <w:t>12)</w:t>
      </w:r>
      <w:r w:rsidRPr="00651104">
        <w:rPr>
          <w:b/>
        </w:rPr>
        <w:tab/>
        <w:t xml:space="preserve">mokestinio laikotarpio nuostoliai; </w:t>
      </w:r>
    </w:p>
    <w:p w14:paraId="1E862FF1" w14:textId="77777777" w:rsidR="00EF6FE7" w:rsidRPr="00651104" w:rsidRDefault="00EF6FE7" w:rsidP="00EF6FE7">
      <w:pPr>
        <w:spacing w:after="0"/>
        <w:ind w:firstLine="720"/>
        <w:jc w:val="both"/>
        <w:rPr>
          <w:b/>
          <w:color w:val="000000"/>
          <w:lang w:eastAsia="lt-LT"/>
        </w:rPr>
      </w:pPr>
      <w:r w:rsidRPr="00651104">
        <w:rPr>
          <w:b/>
          <w:color w:val="000000"/>
          <w:lang w:eastAsia="lt-LT"/>
        </w:rPr>
        <w:t>13) palūkanos</w:t>
      </w:r>
    </w:p>
    <w:p w14:paraId="1CE9FA35" w14:textId="77777777" w:rsidR="00EF6FE7" w:rsidRPr="00651104" w:rsidRDefault="00EF6FE7" w:rsidP="00EF6FE7">
      <w:pPr>
        <w:tabs>
          <w:tab w:val="left" w:pos="720"/>
          <w:tab w:val="left" w:pos="1077"/>
          <w:tab w:val="left" w:pos="1418"/>
        </w:tabs>
        <w:spacing w:after="0"/>
        <w:jc w:val="both"/>
        <w:rPr>
          <w:b/>
          <w:iCs/>
          <w:color w:val="000000"/>
        </w:rPr>
      </w:pPr>
      <w:r w:rsidRPr="00651104">
        <w:rPr>
          <w:i/>
          <w:iCs/>
          <w:color w:val="000000"/>
          <w:lang w:eastAsia="lt-LT"/>
        </w:rPr>
        <w:t xml:space="preserve">           </w:t>
      </w:r>
      <w:r w:rsidR="00C20948">
        <w:rPr>
          <w:i/>
          <w:iCs/>
          <w:color w:val="000000"/>
          <w:lang w:eastAsia="lt-LT"/>
        </w:rPr>
        <w:t xml:space="preserve"> </w:t>
      </w:r>
      <w:r w:rsidRPr="00651104">
        <w:rPr>
          <w:b/>
          <w:iCs/>
          <w:color w:val="000000"/>
        </w:rPr>
        <w:t>14) lengvųjų automobilių įsigijimo ir nuomos išlaidos, išskyrus atvejus, kai šie automobiliai naudojami tik nuomos veiklai vykdyti, vairavimo mokymo paslaugoms ar transporto paslaugoms teikti.</w:t>
      </w:r>
    </w:p>
    <w:p w14:paraId="57308BEF" w14:textId="77777777" w:rsidR="00EF6FE7" w:rsidRPr="000B4C8B" w:rsidRDefault="00EF6FE7" w:rsidP="00EF6FE7">
      <w:pPr>
        <w:tabs>
          <w:tab w:val="left" w:pos="720"/>
          <w:tab w:val="left" w:pos="1077"/>
          <w:tab w:val="left" w:pos="1418"/>
        </w:tabs>
        <w:spacing w:after="0"/>
        <w:jc w:val="both"/>
        <w:rPr>
          <w:bCs/>
          <w:i/>
        </w:rPr>
      </w:pPr>
      <w:r w:rsidRPr="00651104">
        <w:rPr>
          <w:bCs/>
        </w:rPr>
        <w:tab/>
      </w:r>
      <w:r w:rsidRPr="000B4C8B">
        <w:rPr>
          <w:bCs/>
          <w:i/>
        </w:rPr>
        <w:t xml:space="preserve">(Pagal 2024 m. birželio 20 d. įstatymo Nr. </w:t>
      </w:r>
      <w:r w:rsidRPr="000B4C8B">
        <w:rPr>
          <w:i/>
          <w:color w:val="000000"/>
        </w:rPr>
        <w:t>XIV-2774</w:t>
      </w:r>
      <w:r w:rsidRPr="000B4C8B">
        <w:rPr>
          <w:i/>
        </w:rPr>
        <w:t xml:space="preserve"> </w:t>
      </w:r>
      <w:r w:rsidRPr="000B4C8B">
        <w:rPr>
          <w:bCs/>
          <w:i/>
        </w:rPr>
        <w:t>redakciją; taikoma apskaičiuojant 2025 metais prasidėjusio ir vėlesnių mokestinių laikotarpių apmokestinamąjį pelną)</w:t>
      </w:r>
    </w:p>
    <w:p w14:paraId="7C753101" w14:textId="77777777" w:rsidR="00EF6FE7" w:rsidRDefault="00EF6FE7" w:rsidP="00EF6FE7">
      <w:pPr>
        <w:pStyle w:val="normal-p"/>
        <w:spacing w:before="0" w:beforeAutospacing="0" w:after="0" w:afterAutospacing="0"/>
        <w:ind w:firstLine="709"/>
        <w:jc w:val="both"/>
        <w:rPr>
          <w:b/>
          <w:bCs/>
          <w:color w:val="000000"/>
        </w:rPr>
      </w:pPr>
      <w:r>
        <w:rPr>
          <w:rStyle w:val="normal-h"/>
          <w:b/>
        </w:rPr>
        <w:lastRenderedPageBreak/>
        <w:t xml:space="preserve">  15) </w:t>
      </w:r>
      <w:r>
        <w:rPr>
          <w:b/>
          <w:bCs/>
          <w:color w:val="000000"/>
        </w:rPr>
        <w:t>stipendijos.</w:t>
      </w:r>
    </w:p>
    <w:p w14:paraId="36E5E3C2" w14:textId="77777777" w:rsidR="00EF6FE7" w:rsidRPr="000B4C8B" w:rsidRDefault="00EF6FE7" w:rsidP="00EF6FE7">
      <w:pPr>
        <w:pStyle w:val="normal-p"/>
        <w:spacing w:before="0" w:beforeAutospacing="0" w:after="0" w:afterAutospacing="0"/>
        <w:ind w:firstLine="709"/>
        <w:jc w:val="both"/>
        <w:rPr>
          <w:rStyle w:val="normal-h"/>
          <w:i/>
        </w:rPr>
      </w:pPr>
      <w:bookmarkStart w:id="338" w:name="_Hlk209428872"/>
      <w:r w:rsidRPr="000B4C8B">
        <w:rPr>
          <w:rStyle w:val="normal-h"/>
          <w:i/>
        </w:rPr>
        <w:t>KEISTA: 2025-06-17 įstatymu Nr. XV-285 (nuo 2026-01-01), nuostatos taikomos apskaičiuojant ir deklaruojant 2026 metų ir vėlesnių mokestinių laikotarpių pelno mokestį.</w:t>
      </w:r>
    </w:p>
    <w:bookmarkEnd w:id="338"/>
    <w:p w14:paraId="2C5F4EA3" w14:textId="77777777" w:rsidR="00EF6FE7" w:rsidRDefault="00EF6FE7" w:rsidP="00EF6FE7">
      <w:pPr>
        <w:tabs>
          <w:tab w:val="left" w:pos="720"/>
          <w:tab w:val="left" w:pos="1077"/>
          <w:tab w:val="left" w:pos="1418"/>
        </w:tabs>
        <w:spacing w:after="0"/>
        <w:ind w:firstLine="709"/>
        <w:jc w:val="both"/>
        <w:rPr>
          <w:b/>
          <w:bCs/>
        </w:rPr>
      </w:pPr>
      <w:r w:rsidRPr="00651104">
        <w:rPr>
          <w:b/>
          <w:bCs/>
        </w:rPr>
        <w:tab/>
      </w:r>
    </w:p>
    <w:p w14:paraId="5F588FCA" w14:textId="77777777" w:rsidR="00EF6FE7" w:rsidRPr="00651104" w:rsidRDefault="00EF6FE7" w:rsidP="00EF6FE7">
      <w:pPr>
        <w:tabs>
          <w:tab w:val="left" w:pos="720"/>
          <w:tab w:val="left" w:pos="1077"/>
          <w:tab w:val="left" w:pos="1418"/>
        </w:tabs>
        <w:spacing w:after="0"/>
        <w:ind w:firstLine="709"/>
        <w:jc w:val="both"/>
        <w:rPr>
          <w:b/>
        </w:rPr>
      </w:pPr>
      <w:r w:rsidRPr="00651104">
        <w:rPr>
          <w:b/>
        </w:rPr>
        <w:t>Komentaras</w:t>
      </w:r>
    </w:p>
    <w:p w14:paraId="63912AA6" w14:textId="77777777" w:rsidR="00EF6FE7" w:rsidRDefault="00EF6FE7" w:rsidP="00EF6FE7">
      <w:pPr>
        <w:spacing w:after="0"/>
        <w:ind w:firstLine="720"/>
        <w:jc w:val="both"/>
      </w:pPr>
      <w:r w:rsidRPr="00651104">
        <w:t xml:space="preserve">Ribojamų dydžių leidžiami atskaitymai yra šioje dalyje išvardintos sąnaudos, kurių dydis mokesčių tikslais yra ribojamas. Ribojamų dydžių sąnaudų atskaitymo iš pajamų tvarka nustatyta PMĮ 18 – </w:t>
      </w:r>
      <w:r w:rsidRPr="000B4C8B">
        <w:t>30</w:t>
      </w:r>
      <w:r w:rsidRPr="000B4C8B">
        <w:rPr>
          <w:vertAlign w:val="superscript"/>
        </w:rPr>
        <w:t>3</w:t>
      </w:r>
      <w:r>
        <w:t xml:space="preserve"> </w:t>
      </w:r>
      <w:r w:rsidRPr="00651104">
        <w:t>straipsniuose</w:t>
      </w:r>
      <w:r w:rsidR="00B64BD0">
        <w:t>.</w:t>
      </w:r>
    </w:p>
    <w:p w14:paraId="531DFC38" w14:textId="77777777" w:rsidR="00B64BD0" w:rsidRDefault="00B64BD0" w:rsidP="00B64BD0">
      <w:r>
        <w:rPr>
          <w:lang w:val="lt-LT"/>
        </w:rPr>
        <w:t xml:space="preserve">(Pakeista pagal </w:t>
      </w:r>
      <w:r w:rsidRPr="0051529C">
        <w:t>VMI prie FM 2025-11-19 rašt</w:t>
      </w:r>
      <w:r>
        <w:t>ą</w:t>
      </w:r>
      <w:r w:rsidRPr="0051529C">
        <w:t xml:space="preserve"> Nr. (18.10-31-1 Mr) RM-51420</w:t>
      </w:r>
      <w:r>
        <w:t>)</w:t>
      </w:r>
    </w:p>
    <w:p w14:paraId="4061C8FC" w14:textId="77777777" w:rsidR="00EF6FE7" w:rsidRPr="00EF6FE7" w:rsidRDefault="00EF6FE7" w:rsidP="00EF6FE7">
      <w:pPr>
        <w:jc w:val="both"/>
        <w:rPr>
          <w:iCs/>
        </w:rPr>
      </w:pPr>
    </w:p>
    <w:p w14:paraId="026840D2" w14:textId="77777777" w:rsidR="00093845" w:rsidRPr="00EF6FE7" w:rsidRDefault="000D779E" w:rsidP="00EF6FE7">
      <w:pPr>
        <w:pStyle w:val="HTMLiankstoformatuotas"/>
        <w:jc w:val="both"/>
        <w:rPr>
          <w:rFonts w:ascii="Times New Roman" w:hAnsi="Times New Roman" w:cs="Times New Roman"/>
          <w:b/>
          <w:bCs/>
          <w:sz w:val="24"/>
          <w:szCs w:val="24"/>
          <w:lang w:val="lt-LT"/>
        </w:rPr>
      </w:pPr>
      <w:r w:rsidRPr="00EF6FE7">
        <w:rPr>
          <w:rFonts w:ascii="Times New Roman" w:hAnsi="Times New Roman" w:cs="Times New Roman"/>
          <w:b/>
          <w:sz w:val="24"/>
          <w:szCs w:val="24"/>
        </w:rPr>
        <w:t>17</w:t>
      </w:r>
      <w:r w:rsidRPr="00EF6FE7">
        <w:rPr>
          <w:rFonts w:ascii="Times New Roman" w:hAnsi="Times New Roman" w:cs="Times New Roman"/>
          <w:b/>
          <w:sz w:val="24"/>
          <w:szCs w:val="24"/>
          <w:vertAlign w:val="superscript"/>
          <w:lang w:val="lt-LT"/>
        </w:rPr>
        <w:t>1</w:t>
      </w:r>
      <w:r w:rsidRPr="00EF6FE7">
        <w:rPr>
          <w:rFonts w:ascii="Times New Roman" w:hAnsi="Times New Roman" w:cs="Times New Roman"/>
          <w:b/>
          <w:sz w:val="24"/>
          <w:szCs w:val="24"/>
        </w:rPr>
        <w:t xml:space="preserve"> STRAIPSNIS</w:t>
      </w:r>
      <w:r w:rsidRPr="00EF6FE7">
        <w:rPr>
          <w:rFonts w:ascii="Times New Roman" w:hAnsi="Times New Roman" w:cs="Times New Roman"/>
          <w:b/>
          <w:bCs/>
          <w:sz w:val="24"/>
          <w:szCs w:val="24"/>
          <w:lang w:val="lt-LT"/>
        </w:rPr>
        <w:t>. Mokslinių tyrimų ir eksperimentinės plėtros darbų sąnaudos</w:t>
      </w:r>
    </w:p>
    <w:bookmarkEnd w:id="337"/>
    <w:p w14:paraId="748B6086" w14:textId="77777777" w:rsidR="00093845" w:rsidRPr="00F425B3" w:rsidRDefault="000D779E" w:rsidP="003913B6">
      <w:pPr>
        <w:spacing w:after="0"/>
        <w:rPr>
          <w:i/>
          <w:lang w:val="lt-LT"/>
        </w:rPr>
      </w:pPr>
      <w:r w:rsidRPr="00F425B3">
        <w:rPr>
          <w:i/>
          <w:lang w:val="lt-LT"/>
        </w:rPr>
        <w:t>(</w:t>
      </w:r>
      <w:r w:rsidRPr="00F425B3">
        <w:rPr>
          <w:i/>
          <w:color w:val="000000"/>
          <w:lang w:val="lt-LT"/>
        </w:rPr>
        <w:t>KEISTA: 2008 04 10 įstatymu Nr. X-1484 (nuo 2008 04 24)</w:t>
      </w:r>
      <w:r w:rsidR="00655350" w:rsidRPr="00F425B3">
        <w:rPr>
          <w:i/>
          <w:color w:val="000000"/>
          <w:lang w:val="lt-LT"/>
        </w:rPr>
        <w:t>,</w:t>
      </w:r>
      <w:r w:rsidR="00AC562D" w:rsidRPr="00F425B3">
        <w:rPr>
          <w:i/>
          <w:lang w:val="lt-LT"/>
        </w:rPr>
        <w:t xml:space="preserve"> </w:t>
      </w:r>
      <w:r w:rsidR="00AC562D" w:rsidRPr="00F425B3">
        <w:rPr>
          <w:i/>
          <w:color w:val="000000"/>
          <w:lang w:val="lt-LT"/>
        </w:rPr>
        <w:t>nuostatos taikomos apskaičiuojant 2008 metais prasidėjusio mokestinio laikotarpio ir vėlesnių mokestinių laikotarpių apmokestinamąjį pelną</w:t>
      </w:r>
      <w:r w:rsidRPr="00F425B3">
        <w:rPr>
          <w:bCs/>
          <w:i/>
          <w:lang w:val="lt-LT"/>
        </w:rPr>
        <w:t>)</w:t>
      </w:r>
      <w:r w:rsidRPr="00F425B3">
        <w:rPr>
          <w:i/>
          <w:lang w:val="lt-LT"/>
        </w:rPr>
        <w:t xml:space="preserve">          </w:t>
      </w:r>
    </w:p>
    <w:p w14:paraId="2202E347" w14:textId="77777777" w:rsidR="00093845" w:rsidRPr="006A377E" w:rsidRDefault="000D779E">
      <w:pPr>
        <w:pStyle w:val="Pagrindiniotekstotrauka"/>
        <w:rPr>
          <w:b/>
          <w:bCs/>
          <w:lang w:val="lt-LT"/>
        </w:rPr>
      </w:pPr>
      <w:r w:rsidRPr="006A377E">
        <w:rPr>
          <w:b/>
          <w:bCs/>
          <w:lang w:val="lt-LT"/>
        </w:rPr>
        <w:t>1. Apskaičiuojant pelno mokestį, sąnaudos, išskyrus ilgalaikio turto nusidėvėjimo arba amortizacijos sąnaudas, patirtos moksliniams tyrimams ir eksperimentinei plėtrai, tris kartus atskaitomos iš pajamų tuo mokestiniu laikotarpiu, kurį patiriamos, jeigu atliekami mokslinių tyrimų ir (ar) eksperimentinės plėtros darbai yra susiję su vieneto vykdoma įprastine ar numatoma vykdyti veikla, iš kurios yra arba bus uždirbamos pajamos ar gaunama ekonominė nauda.</w:t>
      </w:r>
    </w:p>
    <w:p w14:paraId="63D5E93E" w14:textId="77777777" w:rsidR="00093845" w:rsidRDefault="000D779E">
      <w:pPr>
        <w:pStyle w:val="Pagrindiniotekstotrauka"/>
        <w:rPr>
          <w:b/>
          <w:lang w:val="lt-LT"/>
        </w:rPr>
      </w:pPr>
      <w:r>
        <w:rPr>
          <w:b/>
          <w:lang w:val="lt-LT"/>
        </w:rPr>
        <w:t>Komentaras</w:t>
      </w:r>
    </w:p>
    <w:p w14:paraId="2061D02F" w14:textId="77777777" w:rsidR="00093845" w:rsidRDefault="000D779E">
      <w:pPr>
        <w:pStyle w:val="Pagrindiniotekstotrauka"/>
        <w:rPr>
          <w:lang w:val="lt-LT"/>
        </w:rPr>
      </w:pPr>
      <w:r>
        <w:rPr>
          <w:lang w:val="lt-LT"/>
        </w:rPr>
        <w:t>1. Mokslinių tyrimų ir eksperimentinės plėtros (toliau – MTEP) sąvokos apibrėžtos PMĮ 2 str. 18 dalyje ir paaiškintos šios dalies komentare (paaiškinime).</w:t>
      </w:r>
    </w:p>
    <w:p w14:paraId="637C5AB0" w14:textId="77777777" w:rsidR="00093845" w:rsidRDefault="000D779E">
      <w:pPr>
        <w:pStyle w:val="Pagrindiniotekstotrauka"/>
        <w:rPr>
          <w:lang w:val="lt-LT"/>
        </w:rPr>
      </w:pPr>
      <w:r>
        <w:rPr>
          <w:lang w:val="lt-LT"/>
        </w:rPr>
        <w:t>2. MTEP</w:t>
      </w:r>
      <w:r>
        <w:rPr>
          <w:rStyle w:val="Grietas"/>
          <w:rFonts w:cs="Arial Unicode MS"/>
          <w:lang w:val="lt-LT"/>
        </w:rPr>
        <w:t> </w:t>
      </w:r>
      <w:r>
        <w:rPr>
          <w:lang w:val="lt-LT"/>
        </w:rPr>
        <w:t xml:space="preserve">darbų sąnaudos nekaupiamos – atskaitomos iš pajamų tuo mokestiniu laikotarpiu, kurį patiriamos. Remiantis šio straipsnio pirmos dalies nuostatomis, MTEP veiklos sąnaudas (išskyrus ilgalaikio turto nusidėvėjimo arba amortizacijos sąnaudas), patirtas tuo mokestiniu laikotarpiu, galima atskaityti iš pajamų </w:t>
      </w:r>
      <w:r>
        <w:rPr>
          <w:i/>
          <w:iCs/>
          <w:lang w:val="lt-LT"/>
        </w:rPr>
        <w:t>tris kartus</w:t>
      </w:r>
      <w:r>
        <w:rPr>
          <w:lang w:val="lt-LT"/>
        </w:rPr>
        <w:t>, jei atliekami MTEP darbai yra susiję su vieneto įprastine vykdoma ar numatoma vykdyti veikla, iš kurios yra arba bus uždirbamos pajamos ar gaunama ekonominė nauda.</w:t>
      </w:r>
    </w:p>
    <w:p w14:paraId="34AFF3F2" w14:textId="77777777" w:rsidR="00093845" w:rsidRDefault="000D779E">
      <w:pPr>
        <w:pStyle w:val="Pagrindiniotekstotrauka"/>
        <w:rPr>
          <w:lang w:val="lt-LT"/>
        </w:rPr>
      </w:pPr>
      <w:r>
        <w:rPr>
          <w:lang w:val="lt-LT"/>
        </w:rPr>
        <w:t xml:space="preserve">3. MTEP sąnaudos nesiejamos su ataskaitinio laikotarpio pajamomis ir priskiriamos leidžiamiems atskaitymams ir tais atvejais, kai vienetas MTEP darbus atliks tikėdamasis gautus darbų rezultatus panaudoti ateities veikloje arba, jei tokie gauti darbų rezultatai neatitinka vieneto lūkesčių ir jie nebus panaudoti vieneto ekonominėje veikloje, tačiau įgytomis žiniomis bei patirtimi vienetas gaus ekonominę naudą (pavyzdžiui, išvengs nuostolių) ateityje. </w:t>
      </w:r>
    </w:p>
    <w:p w14:paraId="5D2E54DE" w14:textId="77777777" w:rsidR="00093845" w:rsidRDefault="000D779E">
      <w:pPr>
        <w:pStyle w:val="Pagrindiniotekstotrauka"/>
        <w:rPr>
          <w:bCs/>
          <w:lang w:val="lt-LT"/>
        </w:rPr>
      </w:pPr>
      <w:r>
        <w:rPr>
          <w:bCs/>
          <w:lang w:val="lt-LT"/>
        </w:rPr>
        <w:t xml:space="preserve">Pavyzdys </w:t>
      </w:r>
    </w:p>
    <w:p w14:paraId="557AAD34" w14:textId="77777777" w:rsidR="00093845" w:rsidRDefault="000D779E">
      <w:pPr>
        <w:pStyle w:val="Pagrindiniotekstotrauka"/>
        <w:pBdr>
          <w:top w:val="single" w:sz="4" w:space="1" w:color="auto"/>
          <w:left w:val="single" w:sz="4" w:space="4" w:color="auto"/>
          <w:bottom w:val="single" w:sz="4" w:space="1" w:color="auto"/>
          <w:right w:val="single" w:sz="4" w:space="4" w:color="auto"/>
        </w:pBdr>
        <w:rPr>
          <w:bCs/>
          <w:lang w:val="lt-LT"/>
        </w:rPr>
      </w:pPr>
      <w:r>
        <w:rPr>
          <w:bCs/>
          <w:lang w:val="lt-LT"/>
        </w:rPr>
        <w:t>Vienetas vykdo MTEP projektą, susijusį su jo įprastine veikla ir tikisi gautus MTEP darbų rezultatus panaudoti savo veikloje, tačiau MTEP darbų vykdymo procese paaiškėja, kad projektas neduoda laukiamo rezultato ir, tarkime, jo vykdymas nutraukiamas. Sąnaudos, patirtos MTEP darbams, nors ir nebuvo pasiektas laukiamas rezultatas, atskaitomos iš vieneto pajamų šio PMĮ straipsnio nustatyta tvarka, jei vienetas gaus ekonominę naudą.</w:t>
      </w:r>
    </w:p>
    <w:p w14:paraId="5E537496" w14:textId="77777777" w:rsidR="00093845" w:rsidRDefault="000D779E">
      <w:pPr>
        <w:autoSpaceDE w:val="0"/>
        <w:autoSpaceDN w:val="0"/>
        <w:adjustRightInd w:val="0"/>
        <w:ind w:firstLine="720"/>
        <w:jc w:val="both"/>
        <w:rPr>
          <w:lang w:val="lt-LT" w:eastAsia="lt-LT"/>
        </w:rPr>
      </w:pPr>
      <w:r>
        <w:rPr>
          <w:lang w:val="lt-LT"/>
        </w:rPr>
        <w:t>4. Sąnaudos, patirtos fundamentiniams moksliniams tyrimams,</w:t>
      </w:r>
      <w:r>
        <w:rPr>
          <w:lang w:val="lt-LT" w:eastAsia="lt-LT"/>
        </w:rPr>
        <w:t xml:space="preserve"> kurie yra vykdomi tikintis, kad jie sudarys plačią žinojimo bazę, galinčią sudaryti pagrindą išspręsti žinomas ar laukiamas, dabarties ar ateities problemas ar galimybes, yra MTEP sąnaudos</w:t>
      </w:r>
      <w:r>
        <w:rPr>
          <w:lang w:val="lt-LT"/>
        </w:rPr>
        <w:t>.</w:t>
      </w:r>
    </w:p>
    <w:p w14:paraId="42AC9062" w14:textId="77777777" w:rsidR="00093845" w:rsidRDefault="000D779E">
      <w:pPr>
        <w:pStyle w:val="Pagrindiniotekstotrauka"/>
        <w:rPr>
          <w:lang w:val="lt-LT" w:eastAsia="lt-LT"/>
        </w:rPr>
      </w:pPr>
      <w:r>
        <w:rPr>
          <w:bCs/>
          <w:lang w:val="lt-LT"/>
        </w:rPr>
        <w:lastRenderedPageBreak/>
        <w:t xml:space="preserve">5. </w:t>
      </w:r>
      <w:r>
        <w:rPr>
          <w:lang w:val="lt-LT" w:eastAsia="lt-LT"/>
        </w:rPr>
        <w:t>Kol MTEP objekto (pavyzdžiui, bandomosios gamyklos) pagrindiniai tikslai yra nekomerciniai, o iš parduodamos produkcijos gaunamos pajamos, šiomis pajamomis MTEP išlaidos gali būti nemažinamos, tačiau šios pajamos turi būti pripažįstamos vieneto pajamomis bendra tvarka.</w:t>
      </w:r>
    </w:p>
    <w:p w14:paraId="712BDD09" w14:textId="77777777" w:rsidR="00093845" w:rsidRDefault="00093845">
      <w:pPr>
        <w:pStyle w:val="Pagrindiniotekstotrauka"/>
        <w:rPr>
          <w:bCs/>
          <w:lang w:val="lt-LT"/>
        </w:rPr>
      </w:pPr>
    </w:p>
    <w:p w14:paraId="3ACB8F84" w14:textId="77777777" w:rsidR="00093845" w:rsidRPr="006A377E" w:rsidRDefault="000D779E">
      <w:pPr>
        <w:pStyle w:val="Pagrindiniotekstotrauka"/>
        <w:rPr>
          <w:b/>
          <w:bCs/>
          <w:lang w:val="lt-LT"/>
        </w:rPr>
      </w:pPr>
      <w:r w:rsidRPr="006A377E">
        <w:rPr>
          <w:b/>
          <w:bCs/>
          <w:lang w:val="lt-LT"/>
        </w:rPr>
        <w:t>2. Mokslinių tyrimų ir eksperimentinės plėtros veikloje naudojamo ilgalaikio turto nusidėvėjimo arba amortizacijos sąnaudos iš pajamų atskaitomos šio Įstatymo 18 straipsnyje nustatyta tvarka.</w:t>
      </w:r>
    </w:p>
    <w:p w14:paraId="2E4D8E80" w14:textId="77777777" w:rsidR="00093845" w:rsidRDefault="000D779E">
      <w:pPr>
        <w:pStyle w:val="Pagrindiniotekstotrauka"/>
        <w:rPr>
          <w:b/>
          <w:lang w:val="lt-LT"/>
        </w:rPr>
      </w:pPr>
      <w:r>
        <w:rPr>
          <w:b/>
          <w:lang w:val="lt-LT"/>
        </w:rPr>
        <w:t>Komentaras</w:t>
      </w:r>
    </w:p>
    <w:p w14:paraId="70608C47" w14:textId="77777777" w:rsidR="00093845" w:rsidRDefault="000D779E">
      <w:pPr>
        <w:pStyle w:val="Pagrindiniotekstotrauka"/>
        <w:rPr>
          <w:lang w:val="lt-LT"/>
        </w:rPr>
      </w:pPr>
      <w:r>
        <w:rPr>
          <w:lang w:val="lt-LT"/>
        </w:rPr>
        <w:t xml:space="preserve">1. Mokslinių tyrimų ir eksperimentinės plėtros (toliau – MTEP) veikloje naudojamo ilgalaikio turto, pavyzdžiui, pastatytų ar įsigytų pastatų, įrengimų, kompiuterinės įrangos, licencijų ir panašiai, nusidėvėjimo (amortizacijos) sąnaudos iš pajamų atskaitomos vieną kartą, PMĮ 18 straipsnyje nustatyta tvarka. </w:t>
      </w:r>
    </w:p>
    <w:p w14:paraId="42F28072" w14:textId="77777777" w:rsidR="00093845" w:rsidRDefault="000D779E">
      <w:pPr>
        <w:pStyle w:val="Pagrindiniotekstotrauka"/>
        <w:rPr>
          <w:lang w:val="lt-LT"/>
        </w:rPr>
      </w:pPr>
      <w:r>
        <w:rPr>
          <w:lang w:val="lt-LT"/>
        </w:rPr>
        <w:t>2. MTEP veikloje naudojamo ilgalaikio turto nusidėvėjimo (amortizacijos) sąnaudų iš pajamų atskaitymo tvarka paaiškinta PMĮ 18 straipsnio komentare (paaiškinime).</w:t>
      </w:r>
    </w:p>
    <w:p w14:paraId="6C366A9B" w14:textId="77777777" w:rsidR="00093845" w:rsidRDefault="00093845">
      <w:pPr>
        <w:pStyle w:val="Pagrindiniotekstotrauka"/>
        <w:rPr>
          <w:lang w:val="lt-LT"/>
        </w:rPr>
      </w:pPr>
    </w:p>
    <w:p w14:paraId="7EA4AA4D" w14:textId="77777777" w:rsidR="00093845" w:rsidRPr="006A377E" w:rsidRDefault="000D779E">
      <w:pPr>
        <w:pStyle w:val="Pagrindiniotekstotrauka"/>
        <w:rPr>
          <w:b/>
          <w:lang w:val="lt-LT"/>
        </w:rPr>
      </w:pPr>
      <w:r w:rsidRPr="006A377E">
        <w:rPr>
          <w:b/>
          <w:lang w:val="lt-LT"/>
        </w:rPr>
        <w:t>3. Kai mokslinių tyrimų ir eksperimentinės plėtros darbai įsigyjami iš kito vieneto ar fizinio asmens, dėl tokio įsigijimo patirtos sąnaudos atskaitomos iš pajamų pagal šio straipsnio 1 dalies nuostatas tik tais atvejais, jei įsigyti mokslinių tyrimų ir eksperimentinės plėtros darbai atlikti Europos ekonominės erdvės valstybėje arba valstybėje, kuri nepriklauso Europos ekonominei erdvei, tačiau su kuria Lietuvos Respublika yra sudariusi ir taiko dvigubo apmokestinimo išvengimo sutartį.</w:t>
      </w:r>
    </w:p>
    <w:p w14:paraId="0E263EB1" w14:textId="77777777" w:rsidR="00093845" w:rsidRDefault="00093845">
      <w:pPr>
        <w:ind w:firstLine="720"/>
        <w:jc w:val="both"/>
        <w:rPr>
          <w:bCs/>
          <w:lang w:val="lt-LT"/>
        </w:rPr>
      </w:pPr>
    </w:p>
    <w:p w14:paraId="6C3FC35F" w14:textId="77777777" w:rsidR="00093845" w:rsidRDefault="000D779E">
      <w:pPr>
        <w:ind w:firstLine="720"/>
        <w:jc w:val="both"/>
        <w:rPr>
          <w:b/>
          <w:bCs/>
          <w:lang w:val="lt-LT"/>
        </w:rPr>
      </w:pPr>
      <w:r>
        <w:rPr>
          <w:b/>
          <w:bCs/>
          <w:lang w:val="lt-LT"/>
        </w:rPr>
        <w:t>Komentaras</w:t>
      </w:r>
    </w:p>
    <w:p w14:paraId="653700C1" w14:textId="77777777" w:rsidR="00093845" w:rsidRDefault="000D779E">
      <w:pPr>
        <w:ind w:firstLine="720"/>
        <w:jc w:val="both"/>
        <w:rPr>
          <w:bCs/>
          <w:lang w:val="lt-LT"/>
        </w:rPr>
      </w:pPr>
      <w:r>
        <w:rPr>
          <w:bCs/>
          <w:lang w:val="lt-LT"/>
        </w:rPr>
        <w:t>1. Tais atvejais, kai mokslinių tyrimų ir eksperimentinės plėtros (toliau – MTEP) darbai įsigyjami iš kitos įmonės ar fizinio asmens, dėl tokio įsigijimo patirtos sąnaudos atskaitomos iš pajamų tris kartus tik tuo atveju, jei įsigyti MTEP darbai atlikti:</w:t>
      </w:r>
    </w:p>
    <w:p w14:paraId="0A24E606" w14:textId="77777777" w:rsidR="00093845" w:rsidRDefault="000D779E" w:rsidP="00EC4E29">
      <w:pPr>
        <w:numPr>
          <w:ilvl w:val="0"/>
          <w:numId w:val="10"/>
        </w:numPr>
        <w:tabs>
          <w:tab w:val="clear" w:pos="720"/>
          <w:tab w:val="left" w:pos="1078"/>
        </w:tabs>
        <w:ind w:left="0" w:firstLine="720"/>
        <w:jc w:val="both"/>
        <w:rPr>
          <w:bCs/>
        </w:rPr>
      </w:pPr>
      <w:r>
        <w:rPr>
          <w:bCs/>
        </w:rPr>
        <w:t xml:space="preserve">Europos ekonominės erdvės valstybėje arba </w:t>
      </w:r>
    </w:p>
    <w:p w14:paraId="44993BF6" w14:textId="77777777" w:rsidR="00093845" w:rsidRDefault="000D779E" w:rsidP="00EC4E29">
      <w:pPr>
        <w:numPr>
          <w:ilvl w:val="0"/>
          <w:numId w:val="10"/>
        </w:numPr>
        <w:tabs>
          <w:tab w:val="clear" w:pos="720"/>
          <w:tab w:val="left" w:pos="1078"/>
        </w:tabs>
        <w:ind w:left="0" w:firstLine="720"/>
        <w:jc w:val="both"/>
        <w:rPr>
          <w:bCs/>
        </w:rPr>
      </w:pPr>
      <w:r>
        <w:rPr>
          <w:bCs/>
        </w:rPr>
        <w:t>valstybėje, su kuria yra sudaryta ir taikoma dvigubo apmokestinimo išvengimo sutartis.</w:t>
      </w:r>
    </w:p>
    <w:p w14:paraId="459E26A8" w14:textId="77777777" w:rsidR="00093845" w:rsidRDefault="000D779E">
      <w:pPr>
        <w:autoSpaceDE w:val="0"/>
        <w:autoSpaceDN w:val="0"/>
        <w:adjustRightInd w:val="0"/>
        <w:ind w:firstLine="720"/>
        <w:jc w:val="both"/>
      </w:pPr>
      <w:r>
        <w:t>2. MTEP lengvata, įtvirtinta PMĮ 17</w:t>
      </w:r>
      <w:r>
        <w:rPr>
          <w:vertAlign w:val="superscript"/>
        </w:rPr>
        <w:t xml:space="preserve">1 </w:t>
      </w:r>
      <w:r>
        <w:t xml:space="preserve">straipsnio nuostatose, gali pasinaudoti: </w:t>
      </w:r>
    </w:p>
    <w:p w14:paraId="5F3DD026" w14:textId="77777777" w:rsidR="00093845" w:rsidRDefault="000D779E" w:rsidP="00EC4E29">
      <w:pPr>
        <w:numPr>
          <w:ilvl w:val="0"/>
          <w:numId w:val="27"/>
        </w:numPr>
        <w:tabs>
          <w:tab w:val="clear" w:pos="1440"/>
          <w:tab w:val="left" w:pos="0"/>
          <w:tab w:val="left" w:pos="1080"/>
        </w:tabs>
        <w:autoSpaceDE w:val="0"/>
        <w:autoSpaceDN w:val="0"/>
        <w:adjustRightInd w:val="0"/>
        <w:ind w:left="0" w:firstLine="720"/>
        <w:jc w:val="both"/>
        <w:rPr>
          <w:lang w:eastAsia="lt-LT"/>
        </w:rPr>
      </w:pPr>
      <w:r>
        <w:t xml:space="preserve">Lietuvos vienetas (užsakovas), kuris perka MTEP darbus, atliktus </w:t>
      </w:r>
      <w:r>
        <w:rPr>
          <w:bCs/>
        </w:rPr>
        <w:t>Europos ekonominės erdvės valstybėje arba valstybėje, su kuria yra sudaryta ir taikoma dvigubo apmokestinimo išvengimo sutartis,</w:t>
      </w:r>
      <w:r>
        <w:t xml:space="preserve"> iš kito vieneto ar fizinio asmens, ir </w:t>
      </w:r>
    </w:p>
    <w:p w14:paraId="616728D4" w14:textId="77777777" w:rsidR="00093845" w:rsidRDefault="000D779E" w:rsidP="00EC4E29">
      <w:pPr>
        <w:numPr>
          <w:ilvl w:val="0"/>
          <w:numId w:val="27"/>
        </w:numPr>
        <w:tabs>
          <w:tab w:val="clear" w:pos="1440"/>
          <w:tab w:val="left" w:pos="0"/>
          <w:tab w:val="left" w:pos="1080"/>
        </w:tabs>
        <w:autoSpaceDE w:val="0"/>
        <w:autoSpaceDN w:val="0"/>
        <w:adjustRightInd w:val="0"/>
        <w:ind w:left="0" w:firstLine="720"/>
        <w:jc w:val="both"/>
        <w:rPr>
          <w:lang w:eastAsia="lt-LT"/>
        </w:rPr>
      </w:pPr>
      <w:r>
        <w:t xml:space="preserve">Lietuvos vienetas (vykdytojas), kuris pats vykdo MTEP, kurie yra susiję su įprastine to vieneto vykdoma veikla, iš kurios yra arba bus uždirbamos pajamos ar gaunama ekonominė nauda, ir juos parduoda kitam vienetui. </w:t>
      </w:r>
    </w:p>
    <w:p w14:paraId="4D9643DA" w14:textId="77777777" w:rsidR="00093845" w:rsidRDefault="000D779E">
      <w:pPr>
        <w:tabs>
          <w:tab w:val="left" w:pos="1080"/>
        </w:tabs>
        <w:autoSpaceDE w:val="0"/>
        <w:autoSpaceDN w:val="0"/>
        <w:adjustRightInd w:val="0"/>
        <w:ind w:firstLine="720"/>
        <w:jc w:val="both"/>
        <w:rPr>
          <w:lang w:eastAsia="lt-LT"/>
        </w:rPr>
      </w:pPr>
      <w:r>
        <w:rPr>
          <w:lang w:eastAsia="lt-LT"/>
        </w:rPr>
        <w:t xml:space="preserve">Užsakovams, </w:t>
      </w:r>
      <w:r>
        <w:t xml:space="preserve">perkantiems MTEP darbus, </w:t>
      </w:r>
      <w:r>
        <w:rPr>
          <w:lang w:eastAsia="lt-LT"/>
        </w:rPr>
        <w:t xml:space="preserve">lengvata taikoma tuomet, kai užsakovai įsigyja sudedamuosius MTEP darbus, kuriuos panaudos savo pačių vykdomuose MTEP darbuose. </w:t>
      </w:r>
      <w:r>
        <w:t xml:space="preserve">Užsakovo, perkančio MTEP darbus pagrindinis tikslas turėtų būti </w:t>
      </w:r>
      <w:r>
        <w:rPr>
          <w:lang w:eastAsia="lt-LT"/>
        </w:rPr>
        <w:t xml:space="preserve">toliau techniškai tobulinti produktą ar procesą. Tačiau, jeigu perkamas MTEP produktas, procesas ar metodas yra iš esmės parengtas, o pagrindinis tikslas yra plėtoti rinkas, atlikti ikigamybinį planavimą ar pasiekti, kad gamybos ar kontrolės sistema </w:t>
      </w:r>
      <w:r>
        <w:rPr>
          <w:lang w:eastAsia="lt-LT"/>
        </w:rPr>
        <w:lastRenderedPageBreak/>
        <w:t xml:space="preserve">funkcionuotų sklandžiai, toks darbas nebelaikomas MTEP, todėl tokio MTEP produkto, proceso ar metodo įsigijimo sąnaudos nelaikomos MTEP sąnaudomis. </w:t>
      </w:r>
    </w:p>
    <w:p w14:paraId="18B5DF2F" w14:textId="77777777" w:rsidR="00093845" w:rsidRDefault="000D779E">
      <w:pPr>
        <w:autoSpaceDE w:val="0"/>
        <w:autoSpaceDN w:val="0"/>
        <w:adjustRightInd w:val="0"/>
        <w:ind w:firstLine="720"/>
        <w:jc w:val="both"/>
        <w:rPr>
          <w:lang w:eastAsia="lt-LT"/>
        </w:rPr>
      </w:pPr>
      <w:r>
        <w:rPr>
          <w:lang w:eastAsia="lt-LT"/>
        </w:rPr>
        <w:t>Pavyzdys</w:t>
      </w:r>
    </w:p>
    <w:p w14:paraId="143FD183" w14:textId="77777777" w:rsidR="00093845" w:rsidRDefault="000D779E">
      <w:pPr>
        <w:pBdr>
          <w:top w:val="single" w:sz="4" w:space="1" w:color="auto"/>
          <w:left w:val="single" w:sz="4" w:space="4" w:color="auto"/>
          <w:bottom w:val="single" w:sz="4" w:space="1" w:color="auto"/>
          <w:right w:val="single" w:sz="4" w:space="4" w:color="auto"/>
        </w:pBdr>
        <w:autoSpaceDE w:val="0"/>
        <w:autoSpaceDN w:val="0"/>
        <w:adjustRightInd w:val="0"/>
        <w:ind w:firstLine="720"/>
        <w:jc w:val="both"/>
        <w:rPr>
          <w:lang w:eastAsia="lt-LT"/>
        </w:rPr>
      </w:pPr>
      <w:r>
        <w:rPr>
          <w:lang w:eastAsia="lt-LT"/>
        </w:rPr>
        <w:t xml:space="preserve">Vienetas įsigyja patentą, suteikiantį teisę gaminti ir platinti tam tikrus patentuotus maisto papildus. Patento įsigijimo sąnaudos nelaikomos MTEP sąnaudomis PMĮ </w:t>
      </w:r>
      <w:r>
        <w:t>17</w:t>
      </w:r>
      <w:r>
        <w:rPr>
          <w:vertAlign w:val="superscript"/>
        </w:rPr>
        <w:t xml:space="preserve">1 </w:t>
      </w:r>
      <w:r>
        <w:t>straipsnio prasme.</w:t>
      </w:r>
    </w:p>
    <w:p w14:paraId="6F555458" w14:textId="77777777" w:rsidR="00093845" w:rsidRDefault="00093845">
      <w:pPr>
        <w:pStyle w:val="Pagrindiniotekstotrauka3"/>
        <w:rPr>
          <w:lang w:eastAsia="lt-LT"/>
        </w:rPr>
      </w:pPr>
    </w:p>
    <w:p w14:paraId="3791B84B" w14:textId="77777777" w:rsidR="00093845" w:rsidRDefault="000D779E">
      <w:pPr>
        <w:pStyle w:val="Pagrindiniotekstotrauka"/>
        <w:rPr>
          <w:bCs/>
        </w:rPr>
      </w:pPr>
      <w:r>
        <w:t xml:space="preserve">3. MTEP lengvata taikoma tuomet, kai MTEP darbų rezultatus vienetas panaudoja savo veikloje, iš kurios </w:t>
      </w:r>
      <w:r>
        <w:rPr>
          <w:bCs/>
        </w:rPr>
        <w:t xml:space="preserve">yra arba bus uždirbamos pajamos ar gaunama ekonominė nauda. Dėl to, jeigu iš kito vieneto ar fizinio asmens įsigyjami MTEP darbai sukuria intelektinės nuosavybės teises (pavyzdžiui, pramoninė, gamybinė informacija, patentai, prekės ženklai, autorinės teisės ir panašiai) įsigyjant šiuos darbus, su MTEP darbų </w:t>
      </w:r>
      <w:r>
        <w:t>rezultatais susijusios intelektinės nuosavybės teisės ar jų dalis turi pereiti vienetui.</w:t>
      </w:r>
    </w:p>
    <w:p w14:paraId="6C57E6B1" w14:textId="77777777" w:rsidR="00093845" w:rsidRDefault="000D779E">
      <w:pPr>
        <w:pStyle w:val="Pagrindiniotekstotrauka"/>
      </w:pPr>
      <w:r>
        <w:t>4. Tuo atveju, jeigu vienetas MTEP darbus perka iš kitų asmenų ir vėliau juos tik perparduoda kitiems asmenims, PMĮ 17</w:t>
      </w:r>
      <w:r>
        <w:rPr>
          <w:vertAlign w:val="superscript"/>
        </w:rPr>
        <w:t xml:space="preserve">1 </w:t>
      </w:r>
      <w:r>
        <w:t>straipsnio nuostatose įtvirtinta lengvata netaikoma.</w:t>
      </w:r>
    </w:p>
    <w:p w14:paraId="0339FF27" w14:textId="77777777" w:rsidR="00036898" w:rsidRDefault="00036898">
      <w:pPr>
        <w:ind w:firstLine="720"/>
        <w:jc w:val="both"/>
        <w:rPr>
          <w:b/>
          <w:bCs/>
        </w:rPr>
      </w:pPr>
    </w:p>
    <w:p w14:paraId="62FE2F8B" w14:textId="77777777" w:rsidR="00093845" w:rsidRPr="006A377E" w:rsidRDefault="000D779E">
      <w:pPr>
        <w:ind w:firstLine="720"/>
        <w:jc w:val="both"/>
        <w:rPr>
          <w:b/>
          <w:bCs/>
        </w:rPr>
      </w:pPr>
      <w:r w:rsidRPr="006A377E">
        <w:rPr>
          <w:b/>
          <w:bCs/>
        </w:rPr>
        <w:t>4. Sąnaudų priskyrimo mokslinių tyrimų ir eksperimentinės plėtros darbų sąnaudoms tvarką tvirtina Lietuvos Respublikos Vyriausybė. </w:t>
      </w:r>
    </w:p>
    <w:p w14:paraId="4C72C010" w14:textId="77777777" w:rsidR="00093845" w:rsidRDefault="000D779E">
      <w:pPr>
        <w:ind w:firstLine="720"/>
        <w:jc w:val="both"/>
        <w:rPr>
          <w:b/>
        </w:rPr>
      </w:pPr>
      <w:r>
        <w:rPr>
          <w:b/>
        </w:rPr>
        <w:t>Komentaras</w:t>
      </w:r>
    </w:p>
    <w:p w14:paraId="693F0B1D" w14:textId="77777777" w:rsidR="00093845" w:rsidRDefault="000D779E">
      <w:pPr>
        <w:ind w:firstLine="720"/>
        <w:jc w:val="both"/>
      </w:pPr>
      <w:r>
        <w:t xml:space="preserve">1. Sąnaudų, priskiriamų mokslinių tyrimų ir eksperimentinės plėtros (toliau – MTEP) darbų sąnaudoms, pripažinimo tvarka nustatyta </w:t>
      </w:r>
      <w:r w:rsidR="00ED2FA3" w:rsidRPr="006A377E">
        <w:rPr>
          <w:rStyle w:val="Hipersaitas"/>
          <w:rFonts w:ascii="Times New Roman" w:hAnsi="Times New Roman" w:cs="Times New Roman"/>
          <w:b w:val="0"/>
          <w:kern w:val="0"/>
        </w:rPr>
        <w:t>2008 m. lapkričio 19 d. Lietuvos Respublikos Vyriausybės nutarimu Nr. 1183</w:t>
      </w:r>
      <w:r w:rsidRPr="006A377E">
        <w:t xml:space="preserve"> </w:t>
      </w:r>
      <w:r>
        <w:t>(toliau – Nutarimas).</w:t>
      </w:r>
    </w:p>
    <w:p w14:paraId="329A478E" w14:textId="77777777" w:rsidR="00093845" w:rsidRDefault="000D779E">
      <w:pPr>
        <w:ind w:firstLine="720"/>
        <w:jc w:val="both"/>
      </w:pPr>
      <w:r>
        <w:t>2. Remiantis Nutarimu, apmokestinamasis vienetas, norėdamas atskaityti MTEP darbų sąnaudas PMĮ 17</w:t>
      </w:r>
      <w:r>
        <w:rPr>
          <w:vertAlign w:val="superscript"/>
        </w:rPr>
        <w:t>1</w:t>
      </w:r>
      <w:r>
        <w:t xml:space="preserve"> straipsnio nustatyta tvarka, privalo turėti apmokestinamojo vieneto vadovo ar jo įgalioto asmens patvirtintą MTEP darbų dokumentaciją, kurioje aprašyti atliekami MTEP darbai (jų tikslai, vykdymo eiga, kita svarbi informacija). </w:t>
      </w:r>
      <w:r>
        <w:rPr>
          <w:lang w:eastAsia="lt-LT"/>
        </w:rPr>
        <w:t xml:space="preserve">MTEP darbų dokumentacijoje turėtų būti pateikiama: </w:t>
      </w:r>
      <w:r>
        <w:rPr>
          <w:szCs w:val="20"/>
        </w:rPr>
        <w:t>apibūdinimas kuo pasireiškia vieneto vykdomų</w:t>
      </w:r>
      <w:r>
        <w:rPr>
          <w:b/>
          <w:szCs w:val="20"/>
        </w:rPr>
        <w:t xml:space="preserve"> </w:t>
      </w:r>
      <w:r>
        <w:rPr>
          <w:szCs w:val="20"/>
        </w:rPr>
        <w:t xml:space="preserve">MTEP darbų naujumas ir pažanga, mokslinės arba technologinės problemos ar neapibrėžtumo sprendimas, kokie metodai, atliekant MTEP darbus, yra taikomi, kokie MTEP darbų vykdymo rezultatai yra gauti (numatomi gauti), kaip tie rezultatai yra (arba bus) panaudojami vieneto veikloje, kokios sąnaudos yra patirtos MTEP darbams atlikti, sąnaudų sumos, pritaikius MTEP lengvatą, paskaičiavimas, jeigu vienetas taiko MTEP veikloje naudojamam ilgalaikiam turtui trumpesnius nusidėvėjimo normatyvus – tai informacija apie tokį turtą ir jo nusidėvėjimo sumas ir pan. </w:t>
      </w:r>
      <w:r>
        <w:t>Jeigu apmokestinamasis vienetas sąnaudas patiria atlikdamas ne vien tik MTEP darbus, MTEP darbų dokumentacijoje turi būti nurodyti nusistatyti pagrįsti kriterijai, pagal kuriuos apmokestinamojo vieneto sąnaudos proporcingai priskiriamos MTEP darbų sąnaudoms.</w:t>
      </w:r>
    </w:p>
    <w:p w14:paraId="63B7DB44" w14:textId="77777777" w:rsidR="00093845" w:rsidRDefault="000D779E">
      <w:pPr>
        <w:pStyle w:val="HTMLiankstoformatuotas"/>
        <w:ind w:firstLine="709"/>
        <w:jc w:val="both"/>
        <w:rPr>
          <w:rFonts w:ascii="Times New Roman" w:hAnsi="Times New Roman" w:cs="Times New Roman"/>
          <w:bCs/>
          <w:sz w:val="24"/>
          <w:szCs w:val="24"/>
        </w:rPr>
      </w:pPr>
      <w:r>
        <w:rPr>
          <w:rFonts w:ascii="Times New Roman" w:hAnsi="Times New Roman" w:cs="Times New Roman"/>
          <w:sz w:val="24"/>
          <w:szCs w:val="24"/>
        </w:rPr>
        <w:t>3. Pagal Nutarimo 4 puntą MTEP darbų sąnaudoms priskiriamos:</w:t>
      </w:r>
    </w:p>
    <w:p w14:paraId="1F63A0E3" w14:textId="77777777" w:rsidR="00093845" w:rsidRDefault="000D779E">
      <w:pPr>
        <w:ind w:firstLine="709"/>
        <w:jc w:val="both"/>
      </w:pPr>
      <w:r>
        <w:t xml:space="preserve">1) MTEP darbuose tiesiogiai dalyvaujančių darbuotojų darbo užmokesčio ir nuo jo apskaičiuotų privalomojo sveikatos draudimo (toliau – PSD) įmokų ir valstybinio socialinio draudimo (toliau – VSD) įmokų sąnaudos. </w:t>
      </w:r>
      <w:r>
        <w:rPr>
          <w:lang w:eastAsia="lt-LT"/>
        </w:rPr>
        <w:t xml:space="preserve">Darbo užmokesčiu taip pat yra laikomos ir už mokestinį laikotarpį iš darbo užmokesčio fondo sukauptos premijos darbuotojams, už mokestinį laikotarpį tiksliai apskaičiuotas atostogų rezervas bei visi kiti papildomi uždarbiai darbuotojams, kurie atitinka </w:t>
      </w:r>
      <w:r w:rsidR="00ED2FA3" w:rsidRPr="006A377E">
        <w:rPr>
          <w:rStyle w:val="Hipersaitas"/>
          <w:rFonts w:ascii="Times New Roman" w:hAnsi="Times New Roman" w:cs="Times New Roman"/>
          <w:b w:val="0"/>
          <w:bCs w:val="0"/>
          <w:kern w:val="0"/>
          <w:lang w:eastAsia="lt-LT"/>
        </w:rPr>
        <w:t>Lietuvos Respublikos darbo kodekse</w:t>
      </w:r>
      <w:r>
        <w:rPr>
          <w:lang w:eastAsia="lt-LT"/>
        </w:rPr>
        <w:t xml:space="preserve"> pateiktą darbo užmokesčio sąvoką. </w:t>
      </w:r>
      <w:r>
        <w:t xml:space="preserve">Jei darbuotojas tiesiogiai nedalyvauja MTEP darbuose, pavyzdžiui atlieka tik MTEP projektų planavimo ir (ar) valdymo funkcijas, tuomet šio darbuotojo darbo užmokesčio ir nuo jų apskaičiuotų PSD bei VDS įmokų sąnaudos MTEP </w:t>
      </w:r>
      <w:r>
        <w:lastRenderedPageBreak/>
        <w:t xml:space="preserve">sąnaudoms nepriskiriamos. Jeigu darbuotojas atlieka ne tik MTEP projektų planavimo ir (ar) valdymo funkcijas, bet ir pats vykdo MTEP darbus, tai pagal vieneto nusistatytus pagrįstus kriterijus MTEP darbams tenkanti darbuotojo darbo užmokesčio dalis ir nuo jos apskaičiuotos PSD ir VSD įmokos gali būti priskiriamos MTEP sąnaudoms. </w:t>
      </w:r>
    </w:p>
    <w:p w14:paraId="4C1FEE7E"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2) Komandiruočių, </w:t>
      </w:r>
      <w:r>
        <w:rPr>
          <w:rFonts w:ascii="Times New Roman" w:hAnsi="Times New Roman" w:cs="Times New Roman"/>
          <w:bCs/>
          <w:sz w:val="24"/>
          <w:szCs w:val="24"/>
        </w:rPr>
        <w:t xml:space="preserve">tiesiogiai susijusių su MTEP darbais ir </w:t>
      </w:r>
      <w:r>
        <w:rPr>
          <w:rFonts w:ascii="Times New Roman" w:hAnsi="Times New Roman" w:cs="Times New Roman"/>
          <w:sz w:val="24"/>
          <w:szCs w:val="24"/>
        </w:rPr>
        <w:t>būtinų MTEP darbams atlikti, sąnaudos.</w:t>
      </w:r>
    </w:p>
    <w:p w14:paraId="000D434D"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3) MTEP darbuose sunaudotų žaliavų ir (arba) medžiagų, kito trumpalaikio turto sąnaudos.</w:t>
      </w:r>
    </w:p>
    <w:p w14:paraId="17DB8730"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4) Sąnaudos, patirtos perkant paslaugas (mokslinio pobūdžio konsultacines paslaugas, patalpų ir (arba) įrengimų nuomos, komunalinių paslaugų, remonto, sandėliavimo, telekomunikacijų ir kitas paslaugas), </w:t>
      </w:r>
      <w:r>
        <w:rPr>
          <w:rFonts w:ascii="Times New Roman" w:hAnsi="Times New Roman" w:cs="Times New Roman"/>
          <w:bCs/>
          <w:sz w:val="24"/>
          <w:szCs w:val="24"/>
        </w:rPr>
        <w:t xml:space="preserve">tiesiogiai susijusias su MTEP darbais ir </w:t>
      </w:r>
      <w:r>
        <w:rPr>
          <w:rFonts w:ascii="Times New Roman" w:hAnsi="Times New Roman" w:cs="Times New Roman"/>
          <w:sz w:val="24"/>
          <w:szCs w:val="24"/>
        </w:rPr>
        <w:t>būtinas MTEP darbams atlikti. Patalpų nuomos, komunalinių paslaugų pirkimo bei panašios sąnaudos MTEP darbų sąnaudomis visa apimtimi pripažįstamos tais atvejais, kai vienetas MTEP darbams vykdyti turi atskirą struktūrinį padalinį, t. y. atskiras patalpas, arba, pavyzdžiui, vieneto veiklos vykdymo patalpose yra įsteigta atskira laboratorija. Jeigu vienetas minėtas sąnaudas patiria atlikdamas ne vien tik MTEP darbus, MTEP darbams tenkančios sąnaudos, remiantis vieneto nusistatytais pagrįstais kriterijais, turi būti proporcingai paskirstytos (pavyzdžiui, pagal patalpų plotą).</w:t>
      </w:r>
    </w:p>
    <w:p w14:paraId="5BDE0857"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5) Sąnaudos, patirtos įsigyjant MTEP darbų sudedamuosius darbus iš kito apmokestinamojo vieneto ar fizinio asmens, jeigu tokie įsigyti darbai atlikti Europos ekonominės erdvės valstybėje arba valstybėje, kuri nepriklauso Europos ekonominei erdvei, tačiau su kuria Lietuvos Respublika yra sudariusi dvigubo apmokestinimo išvengimo sutartį ir taiko jos nuostatas.</w:t>
      </w:r>
    </w:p>
    <w:p w14:paraId="6FF2D92C"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6) Nuo šiame skyriuje nurodytų sąnaudų apskaičiuotos pirkimo ir sumokėto importo pridėtinės vertės mokesčio sumos, kurios neatskaitomos pagal Lietuvos Respublikos pridėtinės vertės mokesčio įstatymo nuostatas.</w:t>
      </w:r>
    </w:p>
    <w:p w14:paraId="5282665E"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Visais atvejais, jeigu apmokestinamasis vienetas šias sąnaudas patyrė atlikdamas ne vien tik MTEP darbus, MTEP darbų sąnaudomis laikoma tik ta sąnaudų dalis, kuri buvo patirta atliekant MTEP darbus. Tokiu atveju apmokestinamasis vienetas turi proporcingai apskaičiuoti, kokia šių patirtų sąnaudų dalis tenka MTEP darbams. </w:t>
      </w:r>
    </w:p>
    <w:p w14:paraId="6F9E07E0" w14:textId="77777777" w:rsidR="00093845" w:rsidRDefault="000D779E">
      <w:pPr>
        <w:ind w:firstLine="709"/>
        <w:jc w:val="both"/>
      </w:pPr>
      <w:r>
        <w:t xml:space="preserve">7) </w:t>
      </w:r>
      <w:r>
        <w:rPr>
          <w:lang w:bidi="hi-IN"/>
        </w:rPr>
        <w:t xml:space="preserve">MTEP darbų sąnaudos turi būti sumažintos MTEP darbams atlikti (įsigyti) panaudotų </w:t>
      </w:r>
      <w:r>
        <w:t>nacionalinio biudžeto, Valstybinio socialinio draudimo fondo biudžeto, Privalomojo sveikatos draudimo fondo biudžeto, kitų valstybės pinigų fondų, savivaldybių fondų, Europos Sąjungos ir kitos finansinės paramos lėšų suma, jeigu buvo gautos tokios lėšos ar tokia parama.</w:t>
      </w:r>
    </w:p>
    <w:p w14:paraId="1CA11383" w14:textId="77777777" w:rsidR="00093845" w:rsidRDefault="000D779E">
      <w:pPr>
        <w:ind w:firstLine="720"/>
        <w:jc w:val="both"/>
        <w:rPr>
          <w:rFonts w:ascii="Tahoma" w:hAnsi="Tahoma" w:cs="Tahoma"/>
          <w:lang w:val="lt-LT" w:eastAsia="lt-LT"/>
        </w:rPr>
      </w:pPr>
      <w:r>
        <w:t>Jeigu vieną mokestinį laikotarpį vienetas pritaiko MTEP lengvatą visoms MTEP sąnaudoms, tačiau jam pasibaigus kitą laikotarpį už tą MTEP projektą gauna valstybės, savivaldybės ar Europos Sąjungos finansinę paramą, tokiu atveju vienetas turi patikslinti praėjusio mokestinio laikotarpio pelno mokesčio deklaraciją, ir tokios gautos finansinės paramos suma sumažinti to laikotarpio MTEP sąnaudas.</w:t>
      </w:r>
    </w:p>
    <w:p w14:paraId="6A765B3C" w14:textId="77777777" w:rsidR="00093845" w:rsidRDefault="000D779E">
      <w:pPr>
        <w:pStyle w:val="Pagrindiniotekstotrauka3"/>
        <w:tabs>
          <w:tab w:val="left" w:pos="720"/>
          <w:tab w:val="left" w:pos="1077"/>
          <w:tab w:val="left" w:pos="1418"/>
        </w:tabs>
        <w:ind w:right="-5"/>
      </w:pPr>
      <w:r>
        <w:t>(Pakeista  pagal VMI prie FM 20</w:t>
      </w:r>
      <w:r w:rsidR="00F425B3">
        <w:t xml:space="preserve">10-02-12 raštą Nr. (18.10-31-1) </w:t>
      </w:r>
      <w:r>
        <w:t>R-1439)</w:t>
      </w:r>
      <w:bookmarkStart w:id="339" w:name="_18_straipsnis._Ilgalaikio"/>
      <w:bookmarkEnd w:id="339"/>
    </w:p>
    <w:p w14:paraId="5996F40C" w14:textId="77777777" w:rsidR="00093845" w:rsidRPr="0065344A" w:rsidRDefault="00093845">
      <w:pPr>
        <w:ind w:left="709"/>
        <w:jc w:val="both"/>
        <w:rPr>
          <w:b/>
          <w:lang w:val="lt-LT"/>
        </w:rPr>
      </w:pPr>
      <w:bookmarkStart w:id="340" w:name="P160681_2"/>
      <w:bookmarkEnd w:id="340"/>
    </w:p>
    <w:p w14:paraId="0F1D55BE" w14:textId="77777777" w:rsidR="00093845" w:rsidRPr="0065344A" w:rsidRDefault="000D779E" w:rsidP="00E50B56">
      <w:pPr>
        <w:spacing w:after="0"/>
        <w:jc w:val="both"/>
        <w:rPr>
          <w:b/>
          <w:lang w:val="lt-LT"/>
        </w:rPr>
      </w:pPr>
      <w:r w:rsidRPr="0065344A">
        <w:rPr>
          <w:b/>
          <w:lang w:val="lt-LT"/>
        </w:rPr>
        <w:t>17-2 STRAIPSNIS. Apmokestinamųjų pajamų mažinimas dėl filmo arba jo dalies gamybai neatlygintinai suteiktų lėšų.</w:t>
      </w:r>
    </w:p>
    <w:p w14:paraId="736F0448" w14:textId="77777777" w:rsidR="00835EB4" w:rsidRPr="003C631F" w:rsidRDefault="00835EB4" w:rsidP="00835EB4">
      <w:pPr>
        <w:ind w:firstLine="709"/>
        <w:jc w:val="both"/>
        <w:rPr>
          <w:b/>
          <w:color w:val="000000"/>
          <w:shd w:val="clear" w:color="auto" w:fill="FFFFFF"/>
          <w:lang w:val="lt-LT"/>
        </w:rPr>
      </w:pPr>
      <w:r w:rsidRPr="003C631F">
        <w:rPr>
          <w:b/>
          <w:color w:val="000000"/>
          <w:shd w:val="clear" w:color="auto" w:fill="FFFFFF"/>
          <w:lang w:val="lt-LT"/>
        </w:rPr>
        <w:t xml:space="preserve">1. </w:t>
      </w:r>
      <w:r w:rsidR="00E60089" w:rsidRPr="00E60089">
        <w:rPr>
          <w:b/>
          <w:color w:val="000000"/>
          <w:shd w:val="clear" w:color="auto" w:fill="FFFFFF"/>
        </w:rPr>
        <w:t> Apskaičiuojant pelno mokestį, šiame straipsnyje nustatyta tvarka iš apmokestinamųjų pajamų gali būti atimamos neatlygintinai Lietuvos filmo gamintojui laikotarpiu nuo 2019 m. sausio 1 d. iki 2028 m. gruodžio 31 d. suteiktos lėšos filmo ar jo dalies gamybai Lietuvos Respublikoje, kai:</w:t>
      </w:r>
      <w:r w:rsidRPr="003C631F">
        <w:rPr>
          <w:b/>
          <w:color w:val="000000"/>
          <w:shd w:val="clear" w:color="auto" w:fill="FFFFFF"/>
          <w:lang w:val="lt-LT"/>
        </w:rPr>
        <w:t xml:space="preserve"> </w:t>
      </w:r>
    </w:p>
    <w:p w14:paraId="05042915" w14:textId="77777777" w:rsidR="00835EB4" w:rsidRPr="003C631F" w:rsidRDefault="00835EB4" w:rsidP="00EC4E29">
      <w:pPr>
        <w:pStyle w:val="Sraopastraipa"/>
        <w:numPr>
          <w:ilvl w:val="0"/>
          <w:numId w:val="57"/>
        </w:numPr>
        <w:spacing w:after="0" w:line="240" w:lineRule="auto"/>
        <w:ind w:left="0" w:firstLine="709"/>
        <w:jc w:val="both"/>
        <w:rPr>
          <w:b/>
          <w:color w:val="000000"/>
          <w:shd w:val="clear" w:color="auto" w:fill="FFFFFF"/>
        </w:rPr>
      </w:pPr>
      <w:r w:rsidRPr="003C631F">
        <w:rPr>
          <w:b/>
          <w:color w:val="000000"/>
          <w:shd w:val="clear" w:color="auto" w:fill="FFFFFF"/>
        </w:rPr>
        <w:lastRenderedPageBreak/>
        <w:t>filmas atitinka Lietuvos Respublikos Vyriausybės ar jos įgaliotos institucijos nustatytus kultūrinio turinio ir gamybos vertinimo kriterijus ir</w:t>
      </w:r>
    </w:p>
    <w:p w14:paraId="0BA8C5E7" w14:textId="77777777" w:rsidR="00835EB4" w:rsidRPr="003C631F" w:rsidRDefault="00835EB4" w:rsidP="00EC4E29">
      <w:pPr>
        <w:pStyle w:val="Sraopastraipa"/>
        <w:numPr>
          <w:ilvl w:val="0"/>
          <w:numId w:val="57"/>
        </w:numPr>
        <w:tabs>
          <w:tab w:val="left" w:pos="1134"/>
        </w:tabs>
        <w:spacing w:after="0" w:line="240" w:lineRule="auto"/>
        <w:ind w:left="0" w:firstLine="709"/>
        <w:jc w:val="both"/>
        <w:rPr>
          <w:b/>
        </w:rPr>
      </w:pPr>
      <w:r w:rsidRPr="003C631F">
        <w:rPr>
          <w:b/>
          <w:color w:val="000000"/>
          <w:shd w:val="clear" w:color="auto" w:fill="FFFFFF"/>
        </w:rPr>
        <w:t>ne mažiau kaip 80 procentų visų filmo ar jo dalies gamybos išlaidų patiriama Lietuvos Respublikoje ir Lietuvos Respublikoje patirtos išlaidos, neatsižvelgiant į šio straipsnio 3 dalyje nurodytas išlaidas, yra ne mažesnės kaip 43 000 eurų, ir</w:t>
      </w:r>
    </w:p>
    <w:p w14:paraId="64BCD607" w14:textId="77777777" w:rsidR="00835EB4" w:rsidRDefault="00835EB4" w:rsidP="00EC4E29">
      <w:pPr>
        <w:pStyle w:val="Sraopastraipa"/>
        <w:numPr>
          <w:ilvl w:val="0"/>
          <w:numId w:val="57"/>
        </w:numPr>
        <w:tabs>
          <w:tab w:val="left" w:pos="1134"/>
        </w:tabs>
        <w:spacing w:after="0" w:line="240" w:lineRule="auto"/>
        <w:ind w:left="0" w:firstLine="709"/>
        <w:jc w:val="both"/>
        <w:rPr>
          <w:b/>
        </w:rPr>
      </w:pPr>
      <w:r w:rsidRPr="003C631F">
        <w:rPr>
          <w:b/>
          <w:color w:val="000000"/>
          <w:shd w:val="clear" w:color="auto" w:fill="FFFFFF"/>
        </w:rPr>
        <w:t>bendra visų Lietuvos vienetų ar užsienio vienetų per jų nuolatines buveines Lietuvos Respublikoje suteiktų lėšų suma neviršija 30 procentų visų filmo ar jo dalies gamybos išlaidų</w:t>
      </w:r>
      <w:r w:rsidRPr="003C631F">
        <w:rPr>
          <w:color w:val="000000"/>
          <w:shd w:val="clear" w:color="auto" w:fill="FFFFFF"/>
        </w:rPr>
        <w:t>.</w:t>
      </w:r>
      <w:r w:rsidRPr="003C631F">
        <w:rPr>
          <w:b/>
        </w:rPr>
        <w:t xml:space="preserve"> </w:t>
      </w:r>
    </w:p>
    <w:p w14:paraId="3B6BC3B4" w14:textId="77777777" w:rsidR="00E60089" w:rsidRPr="003C631F" w:rsidRDefault="00E60089" w:rsidP="00E60089">
      <w:pPr>
        <w:pStyle w:val="Sraopastraipa"/>
        <w:tabs>
          <w:tab w:val="left" w:pos="1134"/>
        </w:tabs>
        <w:spacing w:after="0" w:line="240" w:lineRule="auto"/>
        <w:ind w:left="709"/>
        <w:jc w:val="both"/>
        <w:rPr>
          <w:b/>
        </w:rPr>
      </w:pPr>
    </w:p>
    <w:p w14:paraId="303F9F37" w14:textId="77777777" w:rsidR="00835EB4" w:rsidRDefault="00835EB4" w:rsidP="00835EB4">
      <w:pPr>
        <w:rPr>
          <w:i/>
          <w:color w:val="000000"/>
          <w:shd w:val="clear" w:color="auto" w:fill="FFFFFF"/>
          <w:lang w:val="lt-LT"/>
        </w:rPr>
      </w:pPr>
      <w:r w:rsidRPr="00F425B3">
        <w:rPr>
          <w:i/>
          <w:color w:val="000000"/>
          <w:shd w:val="clear" w:color="auto" w:fill="FFFFFF"/>
          <w:lang w:val="lt-LT"/>
        </w:rPr>
        <w:t xml:space="preserve">(KEISTA: </w:t>
      </w:r>
      <w:r w:rsidR="00E60089" w:rsidRPr="00E60089">
        <w:rPr>
          <w:i/>
          <w:color w:val="000000"/>
          <w:shd w:val="clear" w:color="auto" w:fill="FFFFFF"/>
          <w:lang w:val="lt-LT"/>
        </w:rPr>
        <w:t xml:space="preserve">2023-12-05 </w:t>
      </w:r>
      <w:r w:rsidRPr="00F425B3">
        <w:rPr>
          <w:i/>
          <w:color w:val="000000"/>
          <w:shd w:val="clear" w:color="auto" w:fill="FFFFFF"/>
          <w:lang w:val="lt-LT"/>
        </w:rPr>
        <w:t xml:space="preserve">įstatymu Nr. </w:t>
      </w:r>
      <w:r w:rsidR="00E60089" w:rsidRPr="00E60089">
        <w:rPr>
          <w:i/>
          <w:color w:val="000000"/>
          <w:shd w:val="clear" w:color="auto" w:fill="FFFFFF"/>
          <w:lang w:val="lt-LT"/>
        </w:rPr>
        <w:t xml:space="preserve">XIV-2296 </w:t>
      </w:r>
      <w:r w:rsidRPr="00F425B3">
        <w:rPr>
          <w:i/>
          <w:color w:val="000000"/>
          <w:shd w:val="clear" w:color="auto" w:fill="FFFFFF"/>
          <w:lang w:val="lt-LT"/>
        </w:rPr>
        <w:t xml:space="preserve">(nuo </w:t>
      </w:r>
      <w:r w:rsidR="00E60089" w:rsidRPr="00E60089">
        <w:rPr>
          <w:i/>
          <w:color w:val="000000"/>
          <w:shd w:val="clear" w:color="auto" w:fill="FFFFFF"/>
          <w:lang w:val="lt-LT"/>
        </w:rPr>
        <w:t>2024-01-01</w:t>
      </w:r>
      <w:r w:rsidRPr="00F425B3">
        <w:rPr>
          <w:i/>
          <w:color w:val="000000"/>
          <w:shd w:val="clear" w:color="auto" w:fill="FFFFFF"/>
          <w:lang w:val="lt-LT"/>
        </w:rPr>
        <w:t>), nuostatos taikomos aps</w:t>
      </w:r>
      <w:r w:rsidR="00E60089">
        <w:rPr>
          <w:i/>
          <w:color w:val="000000"/>
          <w:shd w:val="clear" w:color="auto" w:fill="FFFFFF"/>
          <w:lang w:val="lt-LT"/>
        </w:rPr>
        <w:t>kaičiuojant ir deklaruojant 2024</w:t>
      </w:r>
      <w:r w:rsidRPr="00F425B3">
        <w:rPr>
          <w:i/>
          <w:color w:val="000000"/>
          <w:shd w:val="clear" w:color="auto" w:fill="FFFFFF"/>
          <w:lang w:val="lt-LT"/>
        </w:rPr>
        <w:t xml:space="preserve"> metų ir vėlesnių mokestinių laikotarpių pelno mokestį</w:t>
      </w:r>
      <w:r w:rsidR="00E97D25">
        <w:rPr>
          <w:i/>
          <w:color w:val="000000"/>
          <w:shd w:val="clear" w:color="auto" w:fill="FFFFFF"/>
          <w:lang w:val="lt-LT"/>
        </w:rPr>
        <w:t>)</w:t>
      </w:r>
    </w:p>
    <w:p w14:paraId="13CBDE1F" w14:textId="77777777" w:rsidR="00835EB4" w:rsidRDefault="00835EB4" w:rsidP="00835EB4">
      <w:pPr>
        <w:jc w:val="both"/>
        <w:rPr>
          <w:b/>
          <w:color w:val="000000"/>
          <w:shd w:val="clear" w:color="auto" w:fill="FFFFFF"/>
          <w:lang w:val="lt-LT"/>
        </w:rPr>
      </w:pPr>
    </w:p>
    <w:p w14:paraId="0F14F646" w14:textId="77777777" w:rsidR="00835EB4" w:rsidRPr="002F06D0" w:rsidRDefault="00F425B3" w:rsidP="00835EB4">
      <w:pPr>
        <w:jc w:val="both"/>
        <w:rPr>
          <w:b/>
          <w:lang w:val="lt-LT"/>
        </w:rPr>
      </w:pPr>
      <w:r>
        <w:rPr>
          <w:b/>
          <w:lang w:val="lt-LT"/>
        </w:rPr>
        <w:t xml:space="preserve">             </w:t>
      </w:r>
      <w:r w:rsidR="00835EB4" w:rsidRPr="002F06D0">
        <w:rPr>
          <w:b/>
          <w:lang w:val="lt-LT"/>
        </w:rPr>
        <w:t>Komentaras</w:t>
      </w:r>
      <w:r w:rsidR="00BE513C">
        <w:rPr>
          <w:b/>
          <w:lang w:val="lt-LT"/>
        </w:rPr>
        <w:t xml:space="preserve"> </w:t>
      </w:r>
    </w:p>
    <w:p w14:paraId="323898F2" w14:textId="77777777" w:rsidR="00835EB4" w:rsidRPr="002F06D0" w:rsidRDefault="00835EB4" w:rsidP="00EC4E29">
      <w:pPr>
        <w:numPr>
          <w:ilvl w:val="0"/>
          <w:numId w:val="28"/>
        </w:numPr>
        <w:tabs>
          <w:tab w:val="left" w:pos="980"/>
          <w:tab w:val="num" w:pos="1710"/>
        </w:tabs>
        <w:spacing w:after="0" w:line="240" w:lineRule="auto"/>
        <w:ind w:left="0" w:firstLine="720"/>
        <w:jc w:val="both"/>
        <w:rPr>
          <w:lang w:val="lt-LT"/>
        </w:rPr>
      </w:pPr>
      <w:r w:rsidRPr="002F06D0">
        <w:rPr>
          <w:lang w:val="lt-LT"/>
        </w:rPr>
        <w:t>Šis straipsnis reglamentuoja apmokestinamojo pelno sumažinimo tvarką, suteikus lėšas filmo ar jo dalies gamybai Lietuvos filmo gamintojui. Lietuvos filmo gamintojo sąvoka apibrėžta PMĮ 2 straipsnio 16</w:t>
      </w:r>
      <w:r w:rsidRPr="002F06D0">
        <w:rPr>
          <w:vertAlign w:val="superscript"/>
          <w:lang w:val="lt-LT"/>
        </w:rPr>
        <w:t>1</w:t>
      </w:r>
      <w:r w:rsidRPr="002F06D0">
        <w:rPr>
          <w:lang w:val="lt-LT"/>
        </w:rPr>
        <w:t xml:space="preserve"> dalyje (žr. 2 straipsnio 16</w:t>
      </w:r>
      <w:r w:rsidRPr="002F06D0">
        <w:rPr>
          <w:vertAlign w:val="superscript"/>
          <w:lang w:val="lt-LT"/>
        </w:rPr>
        <w:t>1</w:t>
      </w:r>
      <w:r w:rsidRPr="002F06D0">
        <w:rPr>
          <w:lang w:val="lt-LT"/>
        </w:rPr>
        <w:t xml:space="preserve"> dalies komentarą).</w:t>
      </w:r>
    </w:p>
    <w:p w14:paraId="40505AA0" w14:textId="77777777" w:rsidR="00835EB4" w:rsidRPr="002F06D0" w:rsidRDefault="00835EB4" w:rsidP="00835EB4">
      <w:pPr>
        <w:tabs>
          <w:tab w:val="left" w:pos="709"/>
        </w:tabs>
        <w:jc w:val="both"/>
        <w:rPr>
          <w:lang w:val="lt-LT"/>
        </w:rPr>
      </w:pPr>
      <w:r w:rsidRPr="002F06D0">
        <w:rPr>
          <w:lang w:val="lt-LT"/>
        </w:rPr>
        <w:tab/>
        <w:t>Šio straipsnio nustatyta tvarka mažinti apmokestinamąjį pelną (o PMĮ 46</w:t>
      </w:r>
      <w:r w:rsidRPr="002F06D0">
        <w:rPr>
          <w:vertAlign w:val="superscript"/>
          <w:lang w:val="lt-LT"/>
        </w:rPr>
        <w:t>2</w:t>
      </w:r>
      <w:r w:rsidRPr="002F06D0">
        <w:rPr>
          <w:lang w:val="lt-LT"/>
        </w:rPr>
        <w:t xml:space="preserve"> straipsnio nustatyta tvarka – pelno mokestį) gali šie asmenys (toliau - Investuotojai):</w:t>
      </w:r>
    </w:p>
    <w:p w14:paraId="65B17661" w14:textId="77777777" w:rsidR="00835EB4" w:rsidRPr="002F06D0" w:rsidRDefault="00835EB4" w:rsidP="00EC4E29">
      <w:pPr>
        <w:numPr>
          <w:ilvl w:val="0"/>
          <w:numId w:val="29"/>
        </w:numPr>
        <w:spacing w:after="0" w:line="240" w:lineRule="auto"/>
        <w:ind w:left="0" w:firstLine="709"/>
        <w:jc w:val="both"/>
        <w:rPr>
          <w:lang w:val="lt-LT"/>
        </w:rPr>
      </w:pPr>
      <w:r w:rsidRPr="002F06D0">
        <w:rPr>
          <w:lang w:val="lt-LT"/>
        </w:rPr>
        <w:t>Lietuvos vienetas, neatlygintinai suteikęs lėšų filmo ar jo dalies gamybai Lietuvos filmo gamintojui arba</w:t>
      </w:r>
    </w:p>
    <w:p w14:paraId="6417414D" w14:textId="77777777" w:rsidR="00835EB4" w:rsidRPr="003C631F" w:rsidRDefault="00835EB4" w:rsidP="00EC4E29">
      <w:pPr>
        <w:numPr>
          <w:ilvl w:val="0"/>
          <w:numId w:val="29"/>
        </w:numPr>
        <w:spacing w:after="0" w:line="240" w:lineRule="auto"/>
        <w:ind w:left="0" w:firstLine="709"/>
        <w:jc w:val="both"/>
        <w:rPr>
          <w:lang w:val="lt-LT"/>
        </w:rPr>
      </w:pPr>
      <w:r w:rsidRPr="002F06D0">
        <w:rPr>
          <w:lang w:val="lt-LT"/>
        </w:rPr>
        <w:t xml:space="preserve">užsienio </w:t>
      </w:r>
      <w:r w:rsidRPr="003C631F">
        <w:rPr>
          <w:lang w:val="lt-LT"/>
        </w:rPr>
        <w:t>vienetas, neatlygintinai suteikęs lėšų filmo ar jo dalies gamybai Lietuvos filmo gamintojui per nuolatinę buveinę Lietuvoje.</w:t>
      </w:r>
    </w:p>
    <w:p w14:paraId="6B310D8C" w14:textId="77777777" w:rsidR="00835EB4" w:rsidRPr="003C631F" w:rsidRDefault="00835EB4" w:rsidP="00835EB4">
      <w:pPr>
        <w:ind w:firstLine="709"/>
        <w:jc w:val="both"/>
        <w:rPr>
          <w:lang w:val="lt-LT"/>
        </w:rPr>
      </w:pPr>
      <w:r w:rsidRPr="003C631F">
        <w:rPr>
          <w:lang w:val="lt-LT"/>
        </w:rPr>
        <w:t xml:space="preserve">Lietuvos filmo gamintojas ir Investuotojas yra atskiri asmenys. </w:t>
      </w:r>
    </w:p>
    <w:p w14:paraId="53E1A740" w14:textId="77777777" w:rsidR="002A1ECC" w:rsidRPr="00046024" w:rsidRDefault="00835EB4" w:rsidP="00C529E2">
      <w:pPr>
        <w:ind w:firstLine="709"/>
        <w:jc w:val="both"/>
        <w:rPr>
          <w:lang w:val="lt-LT"/>
        </w:rPr>
      </w:pPr>
      <w:r w:rsidRPr="003C631F">
        <w:rPr>
          <w:lang w:val="lt-LT"/>
        </w:rPr>
        <w:t xml:space="preserve">2. </w:t>
      </w:r>
      <w:r w:rsidR="002A1ECC" w:rsidRPr="00046024">
        <w:rPr>
          <w:lang w:val="lt-LT"/>
        </w:rPr>
        <w:t>Investuotojo, mokestinio laikotarpio apmokestinamasis pelnas gali būti mažinamas Lietuvos filmo gamintojui 2019</w:t>
      </w:r>
      <w:r w:rsidR="002A1ECC">
        <w:rPr>
          <w:lang w:val="lt-LT"/>
        </w:rPr>
        <w:t>-</w:t>
      </w:r>
      <w:r w:rsidR="002A1ECC" w:rsidRPr="00046024">
        <w:rPr>
          <w:lang w:val="lt-LT"/>
        </w:rPr>
        <w:t xml:space="preserve"> </w:t>
      </w:r>
      <w:r w:rsidR="002A1ECC" w:rsidRPr="005B1419">
        <w:rPr>
          <w:lang w:val="lt-LT"/>
        </w:rPr>
        <w:t xml:space="preserve">2028 </w:t>
      </w:r>
      <w:r w:rsidR="002A1ECC" w:rsidRPr="00046024">
        <w:rPr>
          <w:lang w:val="lt-LT"/>
        </w:rPr>
        <w:t>m. laikotarpiu faktiškai suteiktų lėšų filmo ar jo dalies gamybai suma, jei išpildomos visos trys PMĮ nurodytos sąlygos:</w:t>
      </w:r>
    </w:p>
    <w:p w14:paraId="12DA119A" w14:textId="77777777" w:rsidR="002A1ECC" w:rsidRPr="00046024" w:rsidRDefault="002A1ECC" w:rsidP="002A1ECC">
      <w:pPr>
        <w:jc w:val="both"/>
        <w:rPr>
          <w:lang w:val="lt-LT"/>
        </w:rPr>
      </w:pPr>
      <w:r w:rsidRPr="00046024">
        <w:rPr>
          <w:lang w:val="lt-LT"/>
        </w:rPr>
        <w:t xml:space="preserve">            1)  filmas atitinka Lietuvos Respublikos Vyriausybės ar jos įgaliotos institucijos nustatytus kultūrinio turinio bei gamybos vertinimo kriterijus ir</w:t>
      </w:r>
    </w:p>
    <w:p w14:paraId="52E20222" w14:textId="77777777" w:rsidR="002A1ECC" w:rsidRPr="00046024" w:rsidRDefault="002A1ECC" w:rsidP="002A1ECC">
      <w:pPr>
        <w:jc w:val="both"/>
        <w:rPr>
          <w:lang w:val="lt-LT"/>
        </w:rPr>
      </w:pPr>
      <w:r w:rsidRPr="00046024">
        <w:rPr>
          <w:lang w:val="lt-LT"/>
        </w:rPr>
        <w:t xml:space="preserve">            2)  ne mažiau kaip 80 procentų visų filmo ar jo dalies gamybos išlaidų patiriama Lietuvos Respublikoje ir Lietuvos Respublikoje patirtos išlaidos, neatsižvelgiant į šio straipsnio 3 dalyje nurodytas išlaidas, turi būti ne mažesnės kaip 43 000 eurų, ir</w:t>
      </w:r>
    </w:p>
    <w:p w14:paraId="4378AD3D" w14:textId="77777777" w:rsidR="002A1ECC" w:rsidRPr="00046024" w:rsidRDefault="002A1ECC" w:rsidP="002A1ECC">
      <w:pPr>
        <w:jc w:val="both"/>
        <w:rPr>
          <w:lang w:val="lt-LT"/>
        </w:rPr>
      </w:pPr>
      <w:r w:rsidRPr="00046024">
        <w:rPr>
          <w:lang w:val="lt-LT"/>
        </w:rPr>
        <w:t xml:space="preserve">            3) bendra visų Lietuvos vienetų ar užsienio vienetų per jų nuolatines buveines Lietuvos Respublikoje suteiktų lėšų suma neviršija 30 procentų visų filmo ar jo dalies gamybos išlaidų.</w:t>
      </w:r>
    </w:p>
    <w:p w14:paraId="079AE3AA" w14:textId="77777777" w:rsidR="003D5759" w:rsidRDefault="003D5759" w:rsidP="003D5759">
      <w:pPr>
        <w:jc w:val="both"/>
        <w:rPr>
          <w:iCs/>
          <w:sz w:val="22"/>
          <w:szCs w:val="22"/>
          <w:lang w:val="lt-LT" w:eastAsia="lt-LT"/>
        </w:rPr>
      </w:pPr>
      <w:r>
        <w:rPr>
          <w:iCs/>
          <w:lang w:eastAsia="lt-LT"/>
        </w:rPr>
        <w:t>(</w:t>
      </w:r>
      <w:r w:rsidRPr="003D5759">
        <w:rPr>
          <w:iCs/>
          <w:lang w:eastAsia="lt-LT"/>
        </w:rPr>
        <w:t xml:space="preserve">PMĮ </w:t>
      </w:r>
      <w:hyperlink r:id="rId78" w:tooltip="Leidžiamų atskaitymų pripažinimo tvarka (str. 17)" w:history="1">
        <w:r w:rsidRPr="003D5759">
          <w:rPr>
            <w:rStyle w:val="Hipersaitas"/>
            <w:rFonts w:ascii="Times New Roman" w:hAnsi="Times New Roman" w:cs="Times New Roman"/>
            <w:b w:val="0"/>
            <w:iCs/>
            <w:lang w:eastAsia="lt-LT"/>
          </w:rPr>
          <w:t>17</w:t>
        </w:r>
      </w:hyperlink>
      <w:r w:rsidRPr="003D5759">
        <w:rPr>
          <w:b/>
          <w:iCs/>
          <w:lang w:eastAsia="lt-LT"/>
        </w:rPr>
        <w:t>-</w:t>
      </w:r>
      <w:r w:rsidRPr="003D5759">
        <w:rPr>
          <w:iCs/>
          <w:lang w:eastAsia="lt-LT"/>
        </w:rPr>
        <w:t>2</w:t>
      </w:r>
      <w:r>
        <w:rPr>
          <w:iCs/>
          <w:lang w:eastAsia="lt-LT"/>
        </w:rPr>
        <w:t xml:space="preserve"> straipsnio 1 dalies komentaro 2 punktas pakeistas pagal VMI prie FM 2024-04-04 raštą Nr. (18.10-31-1 Mr)-R-1269)</w:t>
      </w:r>
    </w:p>
    <w:p w14:paraId="5C1CB6D0" w14:textId="77777777" w:rsidR="00835EB4" w:rsidRPr="002F06D0" w:rsidRDefault="00835EB4" w:rsidP="002A1ECC">
      <w:pPr>
        <w:ind w:firstLine="709"/>
        <w:jc w:val="both"/>
        <w:rPr>
          <w:lang w:val="lt-LT"/>
        </w:rPr>
      </w:pPr>
    </w:p>
    <w:p w14:paraId="549E4365" w14:textId="77777777" w:rsidR="00835EB4" w:rsidRPr="002F06D0" w:rsidRDefault="00835EB4" w:rsidP="00835EB4">
      <w:pPr>
        <w:tabs>
          <w:tab w:val="left" w:pos="709"/>
        </w:tabs>
        <w:ind w:firstLine="709"/>
        <w:jc w:val="both"/>
        <w:rPr>
          <w:lang w:val="lt-LT"/>
        </w:rPr>
      </w:pPr>
      <w:r w:rsidRPr="002F06D0">
        <w:rPr>
          <w:b/>
          <w:lang w:val="lt-LT"/>
        </w:rPr>
        <w:t>2.1. Filmo tinkamumo vertinimas.</w:t>
      </w:r>
      <w:r w:rsidRPr="002F06D0">
        <w:rPr>
          <w:lang w:val="lt-LT"/>
        </w:rPr>
        <w:t xml:space="preserve"> </w:t>
      </w:r>
    </w:p>
    <w:p w14:paraId="568C60DE" w14:textId="77777777" w:rsidR="00F523D8" w:rsidRPr="003C631F" w:rsidRDefault="00F523D8" w:rsidP="00F523D8">
      <w:pPr>
        <w:ind w:firstLine="709"/>
        <w:jc w:val="both"/>
        <w:rPr>
          <w:lang w:val="lt-LT"/>
        </w:rPr>
      </w:pPr>
      <w:r w:rsidRPr="003C631F">
        <w:rPr>
          <w:lang w:val="lt-LT"/>
        </w:rPr>
        <w:t>Filmo atitikimą nustatytiems kultūrinio turinio vertinimo kriterijams patvirtina Filmą kvalifikuojanti pažyma, kurią išduoda Lietuvos kino centras Lietuvos Respublikos kultūros ministro ir Lietuvos Respublikos finansų ministro 2019 m. kovo 21 d. įsakymu Nr. ĮV-213/1K-95  patvirtintame Lietuvos Respublikoje gaminamo filmo kultūrinio turinio ir gamybos vertinimo tvarkos apraše (toliau – Aprašas) nustatyta tvarka.</w:t>
      </w:r>
    </w:p>
    <w:p w14:paraId="626D030E" w14:textId="77777777" w:rsidR="00F523D8" w:rsidRPr="003C631F" w:rsidRDefault="00F523D8" w:rsidP="00F523D8">
      <w:pPr>
        <w:ind w:firstLine="720"/>
        <w:jc w:val="both"/>
        <w:rPr>
          <w:lang w:val="lt-LT"/>
        </w:rPr>
      </w:pPr>
      <w:r w:rsidRPr="003C631F">
        <w:rPr>
          <w:lang w:val="lt-LT"/>
        </w:rPr>
        <w:t xml:space="preserve">Vadovaujantis Apraše įtvirtinta tvarka Lietuvos filmo gamintojo Lietuvos kino centrui teikiamų ir jo išduodamų dokumentų formos: paraiškos dėl filmą kvalifikuojančios pažymos išdavimo forma (toliau – Paraiška), kartu su Paraiška teikiamos filmo ar jo dalies gamybos darbų išlaidų sąmatos </w:t>
      </w:r>
      <w:r w:rsidRPr="003C631F">
        <w:rPr>
          <w:lang w:val="lt-LT"/>
        </w:rPr>
        <w:lastRenderedPageBreak/>
        <w:t xml:space="preserve">forma ir filmo finansavimo plano forma bei Lietuvos kino centro Lietuvos filmo gamintojui išduodama filmą kvalifikuojančios pažymos forma, patvirtintos Lietuvos kino centro prie Kultūros ministerijos direktoriaus 2019 m. kovo 29 d. įsakymu Nr. V – 11 „Dėl kai kurių pelno mokesčio lengvatos dokumentų formų patvirtinimo“.  </w:t>
      </w:r>
    </w:p>
    <w:p w14:paraId="0B1B2B32" w14:textId="77777777" w:rsidR="00F523D8" w:rsidRDefault="00F523D8" w:rsidP="00F523D8">
      <w:pPr>
        <w:ind w:firstLine="720"/>
        <w:jc w:val="both"/>
        <w:rPr>
          <w:lang w:val="lt-LT"/>
        </w:rPr>
      </w:pPr>
      <w:r w:rsidRPr="003C631F">
        <w:rPr>
          <w:lang w:val="lt-LT"/>
        </w:rPr>
        <w:t xml:space="preserve"> Atkreiptinas dėmesys, kad Paraiška negali būti teikiama dėl užbaigto filmo ar jo dalies gamybos. Jei lėšos neatlygintinai suteikiamos filmo dalies gamybai, nustatytus kultūrinio turinio ir gamybos vertinimo kriterijus turi atitikti filmas, o ne jo dalis.</w:t>
      </w:r>
    </w:p>
    <w:p w14:paraId="2C54E15A" w14:textId="77777777" w:rsidR="00FC3595" w:rsidRDefault="00FC3595" w:rsidP="00FC3595">
      <w:pPr>
        <w:jc w:val="both"/>
        <w:rPr>
          <w:iCs/>
          <w:sz w:val="22"/>
          <w:szCs w:val="22"/>
          <w:lang w:val="lt-LT" w:eastAsia="lt-LT"/>
        </w:rPr>
      </w:pPr>
      <w:r>
        <w:rPr>
          <w:iCs/>
          <w:lang w:eastAsia="lt-LT"/>
        </w:rPr>
        <w:t>(</w:t>
      </w:r>
      <w:r w:rsidRPr="003D5759">
        <w:rPr>
          <w:iCs/>
          <w:lang w:eastAsia="lt-LT"/>
        </w:rPr>
        <w:t xml:space="preserve">PMĮ </w:t>
      </w:r>
      <w:hyperlink r:id="rId79" w:tooltip="Leidžiamų atskaitymų pripažinimo tvarka (str. 17)" w:history="1">
        <w:r w:rsidRPr="003D5759">
          <w:rPr>
            <w:rStyle w:val="Hipersaitas"/>
            <w:rFonts w:ascii="Times New Roman" w:hAnsi="Times New Roman" w:cs="Times New Roman"/>
            <w:b w:val="0"/>
            <w:iCs/>
            <w:lang w:eastAsia="lt-LT"/>
          </w:rPr>
          <w:t>17</w:t>
        </w:r>
      </w:hyperlink>
      <w:r w:rsidRPr="003D5759">
        <w:rPr>
          <w:b/>
          <w:iCs/>
          <w:lang w:eastAsia="lt-LT"/>
        </w:rPr>
        <w:t>-</w:t>
      </w:r>
      <w:r w:rsidRPr="003D5759">
        <w:rPr>
          <w:iCs/>
          <w:lang w:eastAsia="lt-LT"/>
        </w:rPr>
        <w:t>2</w:t>
      </w:r>
      <w:r>
        <w:rPr>
          <w:iCs/>
          <w:lang w:eastAsia="lt-LT"/>
        </w:rPr>
        <w:t xml:space="preserve"> straipsnio 1 dalies komentaro 2.1 punktas pakeistas pagal VMI prie FM 2024-04-04 raštą Nr. (18.10-31-1 Mr)-R-1269)</w:t>
      </w:r>
    </w:p>
    <w:p w14:paraId="4F55F869" w14:textId="77777777" w:rsidR="00FC3595" w:rsidRDefault="00FC3595" w:rsidP="00F523D8">
      <w:pPr>
        <w:ind w:firstLine="720"/>
        <w:jc w:val="both"/>
        <w:rPr>
          <w:lang w:val="lt-LT"/>
        </w:rPr>
      </w:pPr>
    </w:p>
    <w:p w14:paraId="3027AF42" w14:textId="77777777" w:rsidR="00835EB4" w:rsidRPr="002F06D0" w:rsidRDefault="00835EB4" w:rsidP="00F523D8">
      <w:pPr>
        <w:ind w:firstLine="720"/>
        <w:jc w:val="both"/>
        <w:rPr>
          <w:lang w:val="lt-LT"/>
        </w:rPr>
      </w:pPr>
      <w:r w:rsidRPr="002F06D0">
        <w:rPr>
          <w:b/>
          <w:lang w:val="lt-LT"/>
        </w:rPr>
        <w:t>2.2. Filmo ar jo dalies gamybos išlaidų tinkamumo vertinimas.</w:t>
      </w:r>
    </w:p>
    <w:p w14:paraId="7D7B4C04" w14:textId="77777777" w:rsidR="00835EB4" w:rsidRPr="002F06D0" w:rsidRDefault="00835EB4" w:rsidP="00835EB4">
      <w:pPr>
        <w:ind w:firstLine="720"/>
        <w:jc w:val="both"/>
        <w:rPr>
          <w:lang w:val="lt-LT"/>
        </w:rPr>
      </w:pPr>
      <w:r w:rsidRPr="002F06D0">
        <w:rPr>
          <w:lang w:val="lt-LT"/>
        </w:rPr>
        <w:t>Filmo ar jo dalies gamybos išlaidos laikomos atitinkančiomis komentuojamos straipsnio dalies reikalavimus, jei:</w:t>
      </w:r>
    </w:p>
    <w:p w14:paraId="7E203BDF" w14:textId="77777777" w:rsidR="00835EB4" w:rsidRPr="002F06D0" w:rsidRDefault="00835EB4" w:rsidP="00EC4E29">
      <w:pPr>
        <w:numPr>
          <w:ilvl w:val="0"/>
          <w:numId w:val="29"/>
        </w:numPr>
        <w:spacing w:after="0" w:line="240" w:lineRule="auto"/>
        <w:jc w:val="both"/>
        <w:rPr>
          <w:lang w:val="lt-LT"/>
        </w:rPr>
      </w:pPr>
      <w:r w:rsidRPr="002F06D0">
        <w:rPr>
          <w:lang w:val="lt-LT"/>
        </w:rPr>
        <w:t>tai nėra šio straipsnio 3 dalyje nurodytos išlaidos ir</w:t>
      </w:r>
    </w:p>
    <w:p w14:paraId="35A5D51F" w14:textId="77777777" w:rsidR="00835EB4" w:rsidRPr="002F06D0" w:rsidRDefault="00835EB4" w:rsidP="00EC4E29">
      <w:pPr>
        <w:numPr>
          <w:ilvl w:val="0"/>
          <w:numId w:val="29"/>
        </w:numPr>
        <w:spacing w:after="0" w:line="240" w:lineRule="auto"/>
        <w:jc w:val="both"/>
        <w:rPr>
          <w:lang w:val="lt-LT"/>
        </w:rPr>
      </w:pPr>
      <w:r w:rsidRPr="002F06D0">
        <w:rPr>
          <w:lang w:val="lt-LT"/>
        </w:rPr>
        <w:t>patvirtinama, kad Lietuvos Respublikoje patirta ne mažiau nei 43 000 Eur filmo ar jo dalies gamybos išlaidų ir</w:t>
      </w:r>
    </w:p>
    <w:p w14:paraId="35EDCA86" w14:textId="77777777" w:rsidR="00835EB4" w:rsidRPr="002F06D0" w:rsidRDefault="00835EB4" w:rsidP="00EC4E29">
      <w:pPr>
        <w:numPr>
          <w:ilvl w:val="0"/>
          <w:numId w:val="29"/>
        </w:numPr>
        <w:spacing w:after="0" w:line="240" w:lineRule="auto"/>
        <w:jc w:val="both"/>
        <w:rPr>
          <w:lang w:val="lt-LT"/>
        </w:rPr>
      </w:pPr>
      <w:r w:rsidRPr="002F06D0">
        <w:rPr>
          <w:lang w:val="lt-LT"/>
        </w:rPr>
        <w:t xml:space="preserve">Lietuvos Respublikoje patirtos išlaidos sudaro ne mažiau nei 80 procentų visų filmo ar jo dalies gamybos išlaidų, nepatenkančių į šio straipsnio 3 dalyje nurodytų išlaidų sąrašą. </w:t>
      </w:r>
    </w:p>
    <w:p w14:paraId="7E7F3C5C" w14:textId="77777777" w:rsidR="00835EB4" w:rsidRPr="002F06D0" w:rsidRDefault="00835EB4" w:rsidP="00835EB4">
      <w:pPr>
        <w:ind w:firstLine="709"/>
        <w:jc w:val="both"/>
        <w:rPr>
          <w:lang w:val="lt-LT"/>
        </w:rPr>
      </w:pPr>
    </w:p>
    <w:p w14:paraId="723B92C6" w14:textId="77777777" w:rsidR="00835EB4" w:rsidRPr="002F06D0" w:rsidRDefault="00835EB4" w:rsidP="00835EB4">
      <w:pPr>
        <w:tabs>
          <w:tab w:val="left" w:pos="284"/>
        </w:tabs>
        <w:ind w:firstLine="720"/>
        <w:jc w:val="both"/>
        <w:rPr>
          <w:lang w:val="lt-LT"/>
        </w:rPr>
      </w:pPr>
      <w:r w:rsidRPr="002F06D0">
        <w:rPr>
          <w:lang w:val="lt-LT"/>
        </w:rPr>
        <w:t>Vertinant filmo ar jo dalies gamybos išlaidas, laikoma, kad išlaidos patirtos Lietuvos Respublikoje, kai jos sumokamos:</w:t>
      </w:r>
    </w:p>
    <w:p w14:paraId="727AB1C9" w14:textId="77777777" w:rsidR="00835EB4" w:rsidRPr="002F06D0" w:rsidRDefault="00835EB4" w:rsidP="00EC4E29">
      <w:pPr>
        <w:numPr>
          <w:ilvl w:val="0"/>
          <w:numId w:val="29"/>
        </w:numPr>
        <w:spacing w:after="0" w:line="240" w:lineRule="auto"/>
        <w:jc w:val="both"/>
        <w:rPr>
          <w:lang w:val="lt-LT"/>
        </w:rPr>
      </w:pPr>
      <w:r w:rsidRPr="002F06D0">
        <w:rPr>
          <w:lang w:val="lt-LT"/>
        </w:rPr>
        <w:t>Lietuvos vienetui ar nuolatiniam Lietuvos gyventojui arba</w:t>
      </w:r>
    </w:p>
    <w:p w14:paraId="68034F99" w14:textId="77777777" w:rsidR="00835EB4" w:rsidRPr="002F06D0" w:rsidRDefault="00835EB4" w:rsidP="00EC4E29">
      <w:pPr>
        <w:numPr>
          <w:ilvl w:val="0"/>
          <w:numId w:val="29"/>
        </w:numPr>
        <w:spacing w:after="0" w:line="240" w:lineRule="auto"/>
        <w:jc w:val="both"/>
        <w:rPr>
          <w:lang w:val="lt-LT"/>
        </w:rPr>
      </w:pPr>
      <w:r w:rsidRPr="002F06D0">
        <w:rPr>
          <w:lang w:val="lt-LT"/>
        </w:rPr>
        <w:t>užsienio vienetui, jei taip jo gautos pajamos yra Lietuvos pelno mokesčio bazė (žr. PMĮ 4 straipsnio 3 ir 4 dalies komentarą) arba</w:t>
      </w:r>
    </w:p>
    <w:p w14:paraId="621189DB" w14:textId="77777777" w:rsidR="00835EB4" w:rsidRPr="002F06D0" w:rsidRDefault="00835EB4" w:rsidP="00EC4E29">
      <w:pPr>
        <w:numPr>
          <w:ilvl w:val="0"/>
          <w:numId w:val="29"/>
        </w:numPr>
        <w:spacing w:after="0" w:line="240" w:lineRule="auto"/>
        <w:jc w:val="both"/>
        <w:rPr>
          <w:lang w:val="lt-LT"/>
        </w:rPr>
      </w:pPr>
      <w:r w:rsidRPr="002F06D0">
        <w:rPr>
          <w:lang w:val="lt-LT"/>
        </w:rPr>
        <w:t>nenuolatiniam Lietuvos gyventojui, jei taip jo gautos pajamos yra Lietuvos gyventojų pajamų mokesčio objektas (žr. GPMĮ 5 straipsnio 4 dalies komentarą).</w:t>
      </w:r>
    </w:p>
    <w:p w14:paraId="55E27844" w14:textId="77777777" w:rsidR="00835EB4" w:rsidRPr="002F06D0" w:rsidRDefault="00835EB4" w:rsidP="00835EB4">
      <w:pPr>
        <w:tabs>
          <w:tab w:val="left" w:pos="1276"/>
        </w:tabs>
        <w:jc w:val="both"/>
        <w:rPr>
          <w:lang w:val="lt-LT"/>
        </w:rPr>
      </w:pPr>
    </w:p>
    <w:p w14:paraId="6C2C9D25" w14:textId="77777777" w:rsidR="00835EB4" w:rsidRPr="002F06D0" w:rsidRDefault="00835EB4" w:rsidP="00835EB4">
      <w:pPr>
        <w:ind w:firstLine="720"/>
        <w:jc w:val="both"/>
        <w:rPr>
          <w:lang w:val="lt-LT"/>
        </w:rPr>
      </w:pPr>
      <w:r w:rsidRPr="002F06D0">
        <w:rPr>
          <w:lang w:val="lt-LT"/>
        </w:rPr>
        <w:t>Pavyzdžiai</w:t>
      </w:r>
    </w:p>
    <w:p w14:paraId="0695897C" w14:textId="77777777" w:rsidR="00835EB4" w:rsidRPr="002F06D0" w:rsidRDefault="00835EB4" w:rsidP="00835EB4">
      <w:pPr>
        <w:pBdr>
          <w:top w:val="single" w:sz="4" w:space="1" w:color="auto"/>
          <w:left w:val="single" w:sz="4" w:space="1" w:color="auto"/>
          <w:bottom w:val="single" w:sz="4" w:space="1" w:color="auto"/>
          <w:right w:val="single" w:sz="4" w:space="1" w:color="auto"/>
        </w:pBdr>
        <w:ind w:firstLine="720"/>
        <w:jc w:val="both"/>
        <w:rPr>
          <w:lang w:val="lt-LT"/>
        </w:rPr>
      </w:pPr>
      <w:r w:rsidRPr="002F06D0">
        <w:rPr>
          <w:lang w:val="lt-LT"/>
        </w:rPr>
        <w:t>1. Lietuvoje kuriamo filmo visos gamybos sąnaudos –</w:t>
      </w:r>
      <w:r>
        <w:rPr>
          <w:lang w:val="lt-LT"/>
        </w:rPr>
        <w:t xml:space="preserve"> </w:t>
      </w:r>
      <w:r w:rsidRPr="002F06D0">
        <w:rPr>
          <w:lang w:val="lt-LT"/>
        </w:rPr>
        <w:t>120 000 Eur, iš kurių 27 000 Eur sumokama Latvijos įmonei, teikiančiai apšvietimo ir vaizdo kamerų nuomos paslaugas, ne per nuolatinę buveinę Lietuvos Respublikoje. Kadangi filmo gamybos išlaidos užsienyje (Latvijoje) sudaro 22,5 proc. visų filmo gamybos išlaidų, neatlygintinai lėšų suteikę vienetai PMĮ 17</w:t>
      </w:r>
      <w:r w:rsidRPr="002F06D0">
        <w:rPr>
          <w:vertAlign w:val="superscript"/>
          <w:lang w:val="lt-LT"/>
        </w:rPr>
        <w:t>2</w:t>
      </w:r>
      <w:r w:rsidRPr="002F06D0">
        <w:rPr>
          <w:lang w:val="lt-LT"/>
        </w:rPr>
        <w:t xml:space="preserve"> ir 46</w:t>
      </w:r>
      <w:r w:rsidRPr="002F06D0">
        <w:rPr>
          <w:vertAlign w:val="superscript"/>
          <w:lang w:val="lt-LT"/>
        </w:rPr>
        <w:t>2</w:t>
      </w:r>
      <w:r w:rsidRPr="002F06D0">
        <w:rPr>
          <w:lang w:val="lt-LT"/>
        </w:rPr>
        <w:t xml:space="preserve"> straipsniuose įtvirtintomis lengvatomis pasinaudoti negalės.  </w:t>
      </w:r>
    </w:p>
    <w:p w14:paraId="31C80309" w14:textId="77777777" w:rsidR="00835EB4" w:rsidRPr="002F06D0" w:rsidRDefault="00835EB4" w:rsidP="00835EB4">
      <w:pPr>
        <w:pBdr>
          <w:top w:val="single" w:sz="4" w:space="1" w:color="auto"/>
          <w:left w:val="single" w:sz="4" w:space="1" w:color="auto"/>
          <w:bottom w:val="single" w:sz="4" w:space="1" w:color="auto"/>
          <w:right w:val="single" w:sz="4" w:space="1" w:color="auto"/>
        </w:pBdr>
        <w:ind w:firstLine="709"/>
        <w:jc w:val="both"/>
        <w:rPr>
          <w:strike/>
          <w:lang w:val="lt-LT"/>
        </w:rPr>
      </w:pPr>
      <w:r w:rsidRPr="002F06D0">
        <w:rPr>
          <w:lang w:val="lt-LT"/>
        </w:rPr>
        <w:t>2. Filmo gamintojas Lietuvoje kuria filmą, kurio bendras biudžetas 80 000 Eur. Filmo parengiamiesiems darbams, reklamai ir rinkodarai filmo gamintojas patiria 48 000 Eur išlaidų. Investavęs į tokį filmą vienetas savo apmokestinamųjų pajamų susimažinti negalės, kadangi bendras filmo biudžetas neatitinka PMĮ nustatytų reikalavimų: atėmus netinkamas išlaidas (48000 Eur), bendras filmo biudžetas yra mažesnis nei 43 000 Eur (80 000 Eur – 48 000 Eur = 32 000 Eur).</w:t>
      </w:r>
    </w:p>
    <w:p w14:paraId="61293175" w14:textId="77777777" w:rsidR="00835EB4" w:rsidRPr="003C631F" w:rsidRDefault="00835EB4" w:rsidP="00835EB4">
      <w:pPr>
        <w:ind w:firstLine="709"/>
        <w:jc w:val="both"/>
        <w:rPr>
          <w:lang w:val="lt-LT"/>
        </w:rPr>
      </w:pPr>
      <w:r w:rsidRPr="003C631F">
        <w:rPr>
          <w:lang w:val="lt-LT"/>
        </w:rPr>
        <w:t xml:space="preserve">Filmo ar jo dalies gamybos išlaidos, patirtos anksčiau nei 90 kalendorinių dienų iki paraiškos dėl filmą kvalifikuojančios pažymos išdavimo pateikimo, nėra įtraukiamos apskaičiuojant bendrą filmo gamybos išlaidų sumą. </w:t>
      </w:r>
    </w:p>
    <w:p w14:paraId="045B3065" w14:textId="77777777" w:rsidR="00835EB4" w:rsidRPr="002F06D0" w:rsidRDefault="00835EB4" w:rsidP="00835EB4">
      <w:pPr>
        <w:ind w:firstLine="720"/>
        <w:jc w:val="both"/>
        <w:rPr>
          <w:lang w:val="lt-LT"/>
        </w:rPr>
      </w:pPr>
      <w:r w:rsidRPr="002F06D0">
        <w:rPr>
          <w:lang w:val="lt-LT"/>
        </w:rPr>
        <w:t xml:space="preserve">Bendros filmų gamybos atveju, kai dalyvauja daugiau nei vienos EEE valstybės gamintojai ir kurį finansuoja daugiau nei viena EEE valstybė, nustatant, ar filmo ar jo dalies gamybos išlaidos </w:t>
      </w:r>
      <w:r w:rsidRPr="002F06D0">
        <w:rPr>
          <w:lang w:val="lt-LT"/>
        </w:rPr>
        <w:lastRenderedPageBreak/>
        <w:t>atitinka komentuojamo straipsnio reikalavimus yra vertinama kiekvieno gamybos partnerio išlaidų dalis atskirai.</w:t>
      </w:r>
    </w:p>
    <w:p w14:paraId="395C52D5" w14:textId="77777777" w:rsidR="00835EB4" w:rsidRPr="002F06D0" w:rsidRDefault="00835EB4" w:rsidP="00835EB4">
      <w:pPr>
        <w:ind w:firstLine="720"/>
        <w:jc w:val="both"/>
        <w:rPr>
          <w:lang w:val="lt-LT"/>
        </w:rPr>
      </w:pPr>
      <w:r w:rsidRPr="002F06D0">
        <w:rPr>
          <w:lang w:val="lt-LT"/>
        </w:rPr>
        <w:t>Pažymėtina, kad jeigu lėšas Investuotojai neatlygintinai suteikia užsienio partneriui, PMĮ 17</w:t>
      </w:r>
      <w:r w:rsidRPr="002F06D0">
        <w:rPr>
          <w:vertAlign w:val="superscript"/>
          <w:lang w:val="lt-LT"/>
        </w:rPr>
        <w:t>2</w:t>
      </w:r>
      <w:r w:rsidRPr="002F06D0">
        <w:rPr>
          <w:lang w:val="lt-LT"/>
        </w:rPr>
        <w:t xml:space="preserve"> ir 46</w:t>
      </w:r>
      <w:r w:rsidRPr="002F06D0">
        <w:rPr>
          <w:vertAlign w:val="superscript"/>
          <w:lang w:val="lt-LT"/>
        </w:rPr>
        <w:t xml:space="preserve">2 </w:t>
      </w:r>
      <w:r w:rsidRPr="002F06D0">
        <w:rPr>
          <w:lang w:val="lt-LT"/>
        </w:rPr>
        <w:t>straipsniuose nustatytų lengvatų taikymo tikslais užsienio partneris gali būti laikomas Lietuvos filmo gamintoju tik tuo atveju, jeigu jis yra EEE valstybės vienetas, veikiantis per nuolatinę buveinę Lietuvoje, arba EEE valstybės pilietis, veikiantis per nuolatinę bazę Lietuvoje.</w:t>
      </w:r>
    </w:p>
    <w:p w14:paraId="25E27B70" w14:textId="77777777" w:rsidR="00835EB4" w:rsidRPr="002F06D0" w:rsidRDefault="00835EB4" w:rsidP="00835EB4">
      <w:pPr>
        <w:ind w:firstLine="720"/>
        <w:jc w:val="both"/>
        <w:rPr>
          <w:lang w:val="lt-LT"/>
        </w:rPr>
      </w:pPr>
      <w:r w:rsidRPr="002F06D0">
        <w:rPr>
          <w:lang w:val="lt-LT"/>
        </w:rPr>
        <w:t>Pavyzdys</w:t>
      </w:r>
    </w:p>
    <w:p w14:paraId="7CA64B27" w14:textId="77777777" w:rsidR="00835EB4" w:rsidRPr="002F06D0"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2F06D0">
        <w:rPr>
          <w:lang w:val="lt-LT"/>
        </w:rPr>
        <w:t xml:space="preserve">Kuriamas bendros gamybos filmas, visos filmo gamybos išlaidos – 3 000 000 Eur, iš jų Lietuvos gamintojo išlaidų dalis patiriama Lietuvoje – 1 000 000 Eur, užsienio partnerio išlaidų dalis – 2 000 000 Eur. Užsienio vienetas nuolatinės buveinės Lietuvoje neturi. Investuotojai Lietuvos filmo gamintojui filmo gamybai neatlygintinai suteikė 600 000 Eur. </w:t>
      </w:r>
    </w:p>
    <w:p w14:paraId="129E24B6" w14:textId="77777777" w:rsidR="00835EB4" w:rsidRPr="0030180A"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2F06D0">
        <w:rPr>
          <w:lang w:val="lt-LT"/>
        </w:rPr>
        <w:t>Sprendžiant dėl išlaidų tinkamumo yra vertinamos kiekvieno partnerio patirtos filmo ar jo dalies gamybos išlaidos atskirai. PMĮ 17</w:t>
      </w:r>
      <w:r w:rsidRPr="002F06D0">
        <w:rPr>
          <w:vertAlign w:val="superscript"/>
          <w:lang w:val="lt-LT"/>
        </w:rPr>
        <w:t>2</w:t>
      </w:r>
      <w:r w:rsidRPr="002F06D0">
        <w:rPr>
          <w:lang w:val="lt-LT"/>
        </w:rPr>
        <w:t xml:space="preserve"> ir 46</w:t>
      </w:r>
      <w:r w:rsidRPr="002F06D0">
        <w:rPr>
          <w:vertAlign w:val="superscript"/>
          <w:lang w:val="lt-LT"/>
        </w:rPr>
        <w:t xml:space="preserve">2 </w:t>
      </w:r>
      <w:r w:rsidRPr="002F06D0">
        <w:rPr>
          <w:lang w:val="lt-LT"/>
        </w:rPr>
        <w:t xml:space="preserve">straipsniuose įtvirtintomis lengvatomis Investuotojas galėtų pasinaudoti tik ta neatlygintinai suteiktų lėšų Lietuvos filmo gamybai dalimi, kuri </w:t>
      </w:r>
      <w:r w:rsidRPr="0030180A">
        <w:rPr>
          <w:lang w:val="lt-LT"/>
        </w:rPr>
        <w:t xml:space="preserve">neviršijo 30 proc. Lietuvos filmo gamintojo filmo dalies gamybos išlaidų, todėl maksimali neatlygintinai suteiktų lėšų suma, kuriai būtų taikomos minėtos PMĮ lengvatos, yra 300 000 Eur (1 000 000 Eur x 30/100 proc.). </w:t>
      </w:r>
    </w:p>
    <w:p w14:paraId="57F3123D" w14:textId="77777777" w:rsidR="00835EB4" w:rsidRPr="002F06D0" w:rsidRDefault="00835EB4" w:rsidP="00835EB4">
      <w:pPr>
        <w:pBdr>
          <w:top w:val="single" w:sz="4" w:space="1" w:color="auto"/>
          <w:left w:val="single" w:sz="4" w:space="4" w:color="auto"/>
          <w:bottom w:val="single" w:sz="4" w:space="1" w:color="auto"/>
          <w:right w:val="single" w:sz="4" w:space="4" w:color="auto"/>
        </w:pBdr>
        <w:ind w:firstLine="709"/>
        <w:jc w:val="both"/>
        <w:rPr>
          <w:highlight w:val="yellow"/>
          <w:lang w:val="lt-LT"/>
        </w:rPr>
      </w:pPr>
    </w:p>
    <w:p w14:paraId="230F89E0" w14:textId="77777777" w:rsidR="00835EB4" w:rsidRPr="002F06D0" w:rsidRDefault="00835EB4" w:rsidP="00835EB4">
      <w:pPr>
        <w:ind w:firstLine="709"/>
        <w:jc w:val="both"/>
        <w:rPr>
          <w:lang w:val="lt-LT"/>
        </w:rPr>
      </w:pPr>
      <w:r w:rsidRPr="002F06D0">
        <w:rPr>
          <w:b/>
          <w:lang w:val="lt-LT"/>
        </w:rPr>
        <w:t>2.3. Neatlygintinai suteiktų lėšų dydžio tinkamumo vertinimas.</w:t>
      </w:r>
      <w:r w:rsidRPr="002F06D0">
        <w:rPr>
          <w:lang w:val="lt-LT"/>
        </w:rPr>
        <w:t xml:space="preserve"> </w:t>
      </w:r>
    </w:p>
    <w:p w14:paraId="26291671" w14:textId="77777777" w:rsidR="00E8304A" w:rsidRDefault="00E8304A" w:rsidP="00835EB4">
      <w:pPr>
        <w:ind w:firstLine="709"/>
        <w:jc w:val="both"/>
        <w:rPr>
          <w:lang w:val="lt-LT"/>
        </w:rPr>
      </w:pPr>
      <w:r w:rsidRPr="00046024">
        <w:rPr>
          <w:lang w:val="lt-LT"/>
        </w:rPr>
        <w:t>Neatlygintinai filmo ar jo dalies gamybai suteiktų lėšų dydis yra tinkamas, kai 2014-2018 m</w:t>
      </w:r>
      <w:r w:rsidRPr="00046024">
        <w:rPr>
          <w:b/>
          <w:lang w:val="lt-LT"/>
        </w:rPr>
        <w:t xml:space="preserve">. </w:t>
      </w:r>
      <w:r w:rsidRPr="00046024">
        <w:rPr>
          <w:lang w:val="lt-LT"/>
        </w:rPr>
        <w:t xml:space="preserve">neviršija 20 procentų visų filmo ar jo dalies gamybos išlaidų. </w:t>
      </w:r>
      <w:r w:rsidRPr="00046024">
        <w:rPr>
          <w:bCs/>
          <w:lang w:val="lt-LT"/>
        </w:rPr>
        <w:t xml:space="preserve">2019 </w:t>
      </w:r>
      <w:r>
        <w:rPr>
          <w:bCs/>
          <w:lang w:val="lt-LT"/>
        </w:rPr>
        <w:t xml:space="preserve">- </w:t>
      </w:r>
      <w:r w:rsidRPr="005B1419">
        <w:rPr>
          <w:bCs/>
          <w:lang w:val="lt-LT"/>
        </w:rPr>
        <w:t>2028 m.</w:t>
      </w:r>
      <w:r w:rsidRPr="00046024">
        <w:rPr>
          <w:bCs/>
          <w:lang w:val="lt-LT"/>
        </w:rPr>
        <w:t xml:space="preserve"> n</w:t>
      </w:r>
      <w:r w:rsidRPr="00046024">
        <w:rPr>
          <w:lang w:val="lt-LT"/>
        </w:rPr>
        <w:t>eatlygintinai filmo ar jo dalies gamybai suteiktų lėšų dydis yra tinkamas, kai neviršija 30 procentų visų filmo ar jo dalies gamybos išlaidų.</w:t>
      </w:r>
    </w:p>
    <w:p w14:paraId="114EAC25" w14:textId="77777777" w:rsidR="00835EB4" w:rsidRPr="00A46CB4" w:rsidRDefault="00835EB4" w:rsidP="00835EB4">
      <w:pPr>
        <w:ind w:firstLine="709"/>
        <w:jc w:val="both"/>
        <w:rPr>
          <w:lang w:val="lt-LT"/>
        </w:rPr>
      </w:pPr>
      <w:r w:rsidRPr="00A46CB4">
        <w:rPr>
          <w:lang w:val="lt-LT"/>
        </w:rPr>
        <w:t>Vertinant neatlygintinai suteiktų lėšų dydžio tinkamumą, neatsižvelgiama į filmo ar jo dalies gamybos išlaidų rūšį ar tai, kur jos patiriamos.</w:t>
      </w:r>
    </w:p>
    <w:p w14:paraId="122EB8AC" w14:textId="77777777" w:rsidR="00835EB4" w:rsidRPr="002F06D0" w:rsidRDefault="00835EB4" w:rsidP="00835EB4">
      <w:pPr>
        <w:ind w:firstLine="720"/>
        <w:jc w:val="both"/>
        <w:rPr>
          <w:lang w:val="lt-LT"/>
        </w:rPr>
      </w:pPr>
      <w:r w:rsidRPr="002F06D0">
        <w:rPr>
          <w:lang w:val="lt-LT"/>
        </w:rPr>
        <w:t>Pavyzdys</w:t>
      </w:r>
    </w:p>
    <w:p w14:paraId="256F5EED"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bCs/>
          <w:lang w:val="lt-LT"/>
        </w:rPr>
        <w:t>Filmas 2018-2019 m. gaminamas Lietuvoje, visos filmo gamybos išlaidos - 144 800 Eur, tinkamomis išlaidomis pripažinta 133 200 Eur.  Investuotojas filmo gamybai 2018 m. suteikė 30 000 eurų, o 2019 m. dar 15 000 eurų. Kadangi filmas gaminamas laikotarpiais, kai PMĮ nustatyti skirtingi kriterijai n</w:t>
      </w:r>
      <w:r w:rsidRPr="00A46CB4">
        <w:rPr>
          <w:lang w:val="lt-LT"/>
        </w:rPr>
        <w:t xml:space="preserve">eatlygintinai suteiktų lėšų dydžio tinkamumo vertinimui, </w:t>
      </w:r>
      <w:r w:rsidRPr="00A46CB4">
        <w:rPr>
          <w:bCs/>
          <w:lang w:val="lt-LT"/>
        </w:rPr>
        <w:t xml:space="preserve"> nuo visų filmo gamybos išlaidų (144 800 Eur) sumos 2018 m. skaičiuojama 20 proc., o 2019 m. – 30 proc. Šiuo atveju bendra suteiktų lėšų suma, kuriai taikoma PMĮ numatyta mokestinė lengvata, 2018 m. negali būti didesnė nei 28 960  Eur (144 800 Eur x 20 proc.), o 2019 m. negali būti didesnė nei 43440 Eur (144 800 Eur x 30 proc.).</w:t>
      </w:r>
    </w:p>
    <w:p w14:paraId="3C9965A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 xml:space="preserve">Investuotojas gali pasinaudoti tik ta neatlygintinai suteiktų lėšų Lietuvos filmo gamybai dalimi, kuri 2018 m. neviršijo 20 proc. visų filmo gamybos išlaidų, todėl maksimali neatlygintinai suteiktų lėšų suma, kuriai būtų taikomos PMĮ nustatytos mokestinės lengvatos, 2018 m. yra 28 960  Eur (144 800 Eur x 20 proc.). Investuotojas 2018 metais suteikė 30 000 eurų, todėl viršijančiai 1040 eurų (30 000 Eur – 28960 Eur) sumai PMĮ nustatyta mokestinė lengvata netaikoma. </w:t>
      </w:r>
    </w:p>
    <w:p w14:paraId="63DE141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 xml:space="preserve">Kadangi nuo 2019 metų maksimali viso filmo biudžeto suma, kurią filmo gamybai gali suteikti investuotojas, padidinta iki 30 procentų, tai papildomai 2019 m. filmo gamybai suteiktoms lėšoms gali būti taikoma ir PMĮ nustatyta mokestinė lengvata. </w:t>
      </w:r>
    </w:p>
    <w:p w14:paraId="59B6387B"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lastRenderedPageBreak/>
        <w:t>Maksimali 2019 m. neatlygintinai suteiktų lėšų suma, kuriai būtų taikomos PMĮ numatytos mokestinės lengvatos, sudaro 14480 Eur (43440 Eur (144 800 Eur x 30 proc.) – 28 960  Eur), viršijančiai 520 eurų (15 000 Eur – 14 480 Eur) sumai PMĮ nustatyta mokestinė lengvata netaikoma.</w:t>
      </w:r>
    </w:p>
    <w:p w14:paraId="3EA1BD5F" w14:textId="77777777" w:rsidR="00835EB4" w:rsidRPr="00A46CB4" w:rsidRDefault="00835EB4" w:rsidP="00835EB4">
      <w:pPr>
        <w:ind w:firstLine="709"/>
        <w:jc w:val="both"/>
        <w:rPr>
          <w:lang w:val="lt-LT"/>
        </w:rPr>
      </w:pPr>
      <w:r w:rsidRPr="002F06D0">
        <w:rPr>
          <w:lang w:val="lt-LT"/>
        </w:rPr>
        <w:t>Jei filmo arba jo dalies gamybai lėšas suteikia keli vienetai, tai PMĮ lengvata, nustatyta tiek šiame, tiek ir 46</w:t>
      </w:r>
      <w:r w:rsidRPr="002F06D0">
        <w:rPr>
          <w:vertAlign w:val="superscript"/>
          <w:lang w:val="lt-LT"/>
        </w:rPr>
        <w:t>2</w:t>
      </w:r>
      <w:r w:rsidRPr="002F06D0">
        <w:rPr>
          <w:lang w:val="lt-LT"/>
        </w:rPr>
        <w:t xml:space="preserve"> straipsnyje, taikoma tik tai daliai neatlygintinai suteiktų lėšų, kuri bendrai neviršija </w:t>
      </w:r>
      <w:r w:rsidRPr="00A46CB4">
        <w:rPr>
          <w:lang w:val="lt-LT"/>
        </w:rPr>
        <w:t>30 proc. visų filmo ar jo dalies gamybos išlaidų.</w:t>
      </w:r>
    </w:p>
    <w:p w14:paraId="5DEAB48F" w14:textId="77777777" w:rsidR="00835EB4" w:rsidRPr="00A46CB4" w:rsidRDefault="00835EB4" w:rsidP="00835EB4">
      <w:pPr>
        <w:ind w:firstLine="709"/>
        <w:jc w:val="both"/>
        <w:rPr>
          <w:lang w:val="lt-LT"/>
        </w:rPr>
      </w:pPr>
      <w:r w:rsidRPr="00A46CB4">
        <w:rPr>
          <w:lang w:val="lt-LT"/>
        </w:rPr>
        <w:t>Pavyzdys</w:t>
      </w:r>
    </w:p>
    <w:p w14:paraId="101DC3FE" w14:textId="77777777" w:rsidR="00835EB4" w:rsidRPr="00A46CB4" w:rsidRDefault="00835EB4" w:rsidP="00835EB4">
      <w:pPr>
        <w:pBdr>
          <w:top w:val="single" w:sz="4" w:space="1" w:color="auto"/>
          <w:left w:val="single" w:sz="4" w:space="4" w:color="auto"/>
          <w:bottom w:val="single" w:sz="4" w:space="1" w:color="auto"/>
          <w:right w:val="single" w:sz="4" w:space="4" w:color="auto"/>
        </w:pBdr>
        <w:ind w:firstLine="709"/>
        <w:jc w:val="both"/>
        <w:rPr>
          <w:lang w:val="lt-LT"/>
        </w:rPr>
      </w:pPr>
      <w:r w:rsidRPr="00A46CB4">
        <w:rPr>
          <w:lang w:val="lt-LT"/>
        </w:rPr>
        <w:t>Filmas gaminamas Lietuvoje, visos filmo gamybos išlaidos – 2 000 000 Eur – patiriamos Lietuvoje. Lietuvos vienetai filmo gamybai neatlygintinai suteikė 300 000 Eur ir 310 000 Eur (iš viso - 610 000 Eur). Atsižvelgiant į tai, kad PMĮ 17</w:t>
      </w:r>
      <w:r w:rsidRPr="00A46CB4">
        <w:rPr>
          <w:vertAlign w:val="superscript"/>
          <w:lang w:val="lt-LT"/>
        </w:rPr>
        <w:t>2</w:t>
      </w:r>
      <w:r w:rsidRPr="00A46CB4">
        <w:rPr>
          <w:lang w:val="lt-LT"/>
        </w:rPr>
        <w:t xml:space="preserve"> ir 46</w:t>
      </w:r>
      <w:r w:rsidRPr="00A46CB4">
        <w:rPr>
          <w:vertAlign w:val="superscript"/>
          <w:lang w:val="lt-LT"/>
        </w:rPr>
        <w:t xml:space="preserve">2 </w:t>
      </w:r>
      <w:r w:rsidRPr="00A46CB4">
        <w:rPr>
          <w:lang w:val="lt-LT"/>
        </w:rPr>
        <w:t>straipsniuose įtvirtintomis lengvatomis Investuotojas galėtų pasinaudoti tik ta neatlygintinai suteiktų lėšų Lietuvos filmo gamybai dalimi, kuri neviršijo 30 proc. visų filmo gamybos išlaidų, todėl maksimali neatlygintinai suteiktų lėšų suma, kuriai būtų taikomos minėtos PMĮ lengvatos, yra 600 000 Eur (2 000 000 Eur x 30/100 proc.). Vertindami, kokiai suteiktų lėšų daliai investuotojai gali taikyti mokestinę lengvatą, nustatome jų suteiktų lėšų dalį bendroje suteiktų lėšų sumoje: pirmojo investuotojo suteiktų lėšų suma, atitinkanti PMĮ 17</w:t>
      </w:r>
      <w:r w:rsidRPr="00A46CB4">
        <w:rPr>
          <w:vertAlign w:val="superscript"/>
          <w:lang w:val="lt-LT"/>
        </w:rPr>
        <w:t xml:space="preserve">2 </w:t>
      </w:r>
      <w:r w:rsidRPr="00A46CB4">
        <w:rPr>
          <w:lang w:val="lt-LT"/>
        </w:rPr>
        <w:t>straipsnio 1 dalies 3 punkto reikalavimus, lygi  295 082 Eur (600 000 Eur x (300 000 Eur / 610 000 Eur)), antrojo –  304 918 Eur (600 000 Eur x (310 000 Eur / 610 000 Eur)).</w:t>
      </w:r>
    </w:p>
    <w:p w14:paraId="60F4AC48" w14:textId="77777777" w:rsidR="00835EB4" w:rsidRPr="00A46CB4" w:rsidRDefault="00835EB4" w:rsidP="00835EB4">
      <w:pPr>
        <w:ind w:firstLine="709"/>
        <w:jc w:val="both"/>
        <w:rPr>
          <w:lang w:val="lt-LT"/>
        </w:rPr>
      </w:pPr>
      <w:r w:rsidRPr="00A46CB4">
        <w:rPr>
          <w:lang w:val="lt-LT"/>
        </w:rPr>
        <w:t>Norėdamas pasinaudoti PMĮ 17</w:t>
      </w:r>
      <w:r w:rsidRPr="00A46CB4">
        <w:rPr>
          <w:vertAlign w:val="superscript"/>
          <w:lang w:val="lt-LT"/>
        </w:rPr>
        <w:t>2</w:t>
      </w:r>
      <w:r w:rsidRPr="00A46CB4">
        <w:rPr>
          <w:lang w:val="lt-LT"/>
        </w:rPr>
        <w:t xml:space="preserve"> ir 46</w:t>
      </w:r>
      <w:r w:rsidRPr="00A46CB4">
        <w:rPr>
          <w:vertAlign w:val="superscript"/>
          <w:lang w:val="lt-LT"/>
        </w:rPr>
        <w:t xml:space="preserve">2 </w:t>
      </w:r>
      <w:r w:rsidRPr="00A46CB4">
        <w:rPr>
          <w:lang w:val="lt-LT"/>
        </w:rPr>
        <w:t>straipsniuose įtvirtintomis lengvatomis, Investuotojas turi faktiškai suteikti lėšas Lietuvos filmo gamintojui, iki filmo ar jo dalies gamybos pabaigos, kuri nustatoma pagal auditoriui pateiktus filmo ar jo dalies gamybos išlaidas patvirtinančius dokumentus ir negali būti vėlesnė nei filmo įregistravimo Filmų registre diena, ir šios lėšos turi būti suteiktos neatlygintinai, t. y. Investuotojas negali gauti jokios kitos ekonominės naudos iš filmo ar jo dalies gamybos.</w:t>
      </w:r>
    </w:p>
    <w:p w14:paraId="25822B29" w14:textId="77777777" w:rsidR="00835EB4" w:rsidRDefault="00835EB4" w:rsidP="00835EB4">
      <w:pPr>
        <w:ind w:firstLine="720"/>
        <w:jc w:val="both"/>
        <w:rPr>
          <w:bCs/>
          <w:lang w:val="lt-LT"/>
        </w:rPr>
      </w:pPr>
      <w:r>
        <w:rPr>
          <w:bCs/>
          <w:lang w:val="lt-LT"/>
        </w:rPr>
        <w:t xml:space="preserve"> (Pagal 2019-09-13 VMI </w:t>
      </w:r>
      <w:r w:rsidR="00FE7AB0">
        <w:rPr>
          <w:bCs/>
          <w:lang w:val="lt-LT"/>
        </w:rPr>
        <w:t xml:space="preserve">prie FM raštą Nr. (32.42-31-1E) </w:t>
      </w:r>
      <w:r>
        <w:rPr>
          <w:bCs/>
          <w:lang w:val="lt-LT"/>
        </w:rPr>
        <w:t>RM-27343)</w:t>
      </w:r>
    </w:p>
    <w:p w14:paraId="0DBE980B" w14:textId="77777777" w:rsidR="00093845" w:rsidRPr="0065344A" w:rsidRDefault="000D779E">
      <w:pPr>
        <w:widowControl w:val="0"/>
        <w:ind w:firstLine="720"/>
        <w:jc w:val="both"/>
        <w:rPr>
          <w:b/>
          <w:bCs/>
          <w:color w:val="000000"/>
          <w:lang w:val="lt-LT" w:eastAsia="lt-LT"/>
        </w:rPr>
      </w:pPr>
      <w:r w:rsidRPr="0065344A">
        <w:rPr>
          <w:b/>
          <w:bCs/>
          <w:color w:val="000000"/>
          <w:lang w:val="lt-LT" w:eastAsia="lt-LT"/>
        </w:rPr>
        <w:t>2. Iš apmokestinamųjų pajamų gali būti atimama ne daugiau kaip 75 procentai neatlygintinai suteiktų lėšų filmo ar jo dalies gamybai Lietuvos Respublikoje. Šios suteiktos lėšos iš apmokestinamųjų pajamų atimamos tuo mokestiniu laikotarpiu, kurį buvo gauta Lietuvos Respublikos Vyriausybės įgaliotos institucijos nustatyta tvarka išduota pažyma apie filmo gamintojui neatlygintinai suteiktų lėšų panaudojimo atitiktį šiame straipsnyje nustatytiems reikalavimams (toliau – investicijos pažyma).</w:t>
      </w:r>
    </w:p>
    <w:p w14:paraId="63DB90CC" w14:textId="77777777" w:rsidR="009B3FED" w:rsidRPr="0065344A" w:rsidRDefault="009B3FED">
      <w:pPr>
        <w:widowControl w:val="0"/>
        <w:ind w:firstLine="720"/>
        <w:jc w:val="both"/>
        <w:rPr>
          <w:b/>
          <w:bCs/>
          <w:color w:val="000000"/>
          <w:lang w:val="lt-LT" w:eastAsia="lt-LT"/>
        </w:rPr>
      </w:pPr>
      <w:r w:rsidRPr="0065344A">
        <w:rPr>
          <w:b/>
          <w:bCs/>
          <w:color w:val="000000"/>
          <w:lang w:val="lt-LT" w:eastAsia="lt-LT"/>
        </w:rPr>
        <w:t>Komentaras</w:t>
      </w:r>
    </w:p>
    <w:p w14:paraId="794EC1CA" w14:textId="77777777" w:rsidR="009B3FED" w:rsidRPr="002F06D0" w:rsidRDefault="009B3FED" w:rsidP="009B3FED">
      <w:pPr>
        <w:ind w:firstLine="720"/>
        <w:jc w:val="both"/>
        <w:rPr>
          <w:lang w:val="lt-LT"/>
        </w:rPr>
      </w:pPr>
      <w:r w:rsidRPr="002F06D0">
        <w:rPr>
          <w:lang w:val="lt-LT"/>
        </w:rPr>
        <w:t>1. Iš apmokestinamųjų pajamų Investuotojas gali atskaityti ne daugiau kaip 75 proc. neatlygintinai suteiktų lėšų filmo ar jo dalies gamybai, kai šios neatlygintinai suteiktos lėšos buvo panaudotos laikantis šio straipsnio 1 dalyje nustatytų sąlygų.</w:t>
      </w:r>
    </w:p>
    <w:p w14:paraId="5D6D60DC" w14:textId="77777777" w:rsidR="009B3FED" w:rsidRPr="002F06D0" w:rsidRDefault="009B3FED" w:rsidP="009B3FED">
      <w:pPr>
        <w:ind w:firstLine="720"/>
        <w:jc w:val="both"/>
        <w:rPr>
          <w:lang w:val="lt-LT"/>
        </w:rPr>
      </w:pPr>
      <w:r w:rsidRPr="002F06D0">
        <w:rPr>
          <w:lang w:val="lt-LT"/>
        </w:rPr>
        <w:t>Pavyzdžiai</w:t>
      </w:r>
    </w:p>
    <w:p w14:paraId="4829C923"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2F06D0">
        <w:rPr>
          <w:lang w:val="lt-LT"/>
        </w:rPr>
        <w:t>1. Investuotojas Lietuvos filmo gamintojui neatlygintinai suteikė 60 000 Eur Lietuvos filmo gamintojo filmo, kuris atitinka PMĮ 17</w:t>
      </w:r>
      <w:r w:rsidRPr="002F06D0">
        <w:rPr>
          <w:vertAlign w:val="superscript"/>
          <w:lang w:val="lt-LT"/>
        </w:rPr>
        <w:t>2</w:t>
      </w:r>
      <w:r w:rsidRPr="002F06D0">
        <w:rPr>
          <w:lang w:val="lt-LT"/>
        </w:rPr>
        <w:t xml:space="preserve"> straipsnio 1 dalies 1 punkte įtvirtintus reikalavimus, gamybai, o filmo </w:t>
      </w:r>
      <w:r w:rsidRPr="00A46CB4">
        <w:rPr>
          <w:lang w:val="lt-LT"/>
        </w:rPr>
        <w:t>gamybos išlaidos atitinka to paties straipsnio 1 dalies 2 punkto reikalavimus. Sakykime, kad ši suma neviršija 30 proc. bendro filmo biudžeto, todėl Investuotojas, kuriam išduota investicinė pažyma, iš apmokestinamųjų pajamų gali atimti 45 000 Eur (60 000 Eur x 75 proc.), o likusi 25 proc. dalis, t. y. 15 000 Eur (60 000 Eur – 45 000 Eur) suma, priskiriama neleidžiamiems atskaitymams.</w:t>
      </w:r>
    </w:p>
    <w:p w14:paraId="06162F2A"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xml:space="preserve">2. Lietuvoje pagamintos filmo dalies, kuriai buvo išduota Lietuvos kino centro direktoriaus patvirtintos formos filmą kvalifikuojanti pažyma, bendra išlaidų suma –145 000 Eur, iš kurių 14 500 </w:t>
      </w:r>
      <w:r w:rsidRPr="00A46CB4">
        <w:rPr>
          <w:lang w:val="lt-LT"/>
        </w:rPr>
        <w:lastRenderedPageBreak/>
        <w:t>Eur buvo patirta ne Lietuvoje. Filmo dalies gamybai du investuotojai neatlygintinai suteikė 35 000 Eur ir 23 000 Eur (bendra suteikta suma – 58 000 Eur). Pagal auditoriaus išvadas, 12 000 Eur išlaidų buvo pripažintos netinkamomis pagal PMĮ 17</w:t>
      </w:r>
      <w:r w:rsidRPr="00A46CB4">
        <w:rPr>
          <w:vertAlign w:val="superscript"/>
          <w:lang w:val="lt-LT"/>
        </w:rPr>
        <w:t xml:space="preserve">2 </w:t>
      </w:r>
      <w:r w:rsidRPr="00A46CB4">
        <w:rPr>
          <w:lang w:val="lt-LT"/>
        </w:rPr>
        <w:t>straipsnio 3 dalies nuostatas, todėl bendra filmo dalies gamybos tinkamų išlaidų suma yra 133 000 Eur (145 000 Eur – 12 000 Eur). Nustatant, ar ir kokio dydžio PMĮ 17</w:t>
      </w:r>
      <w:r w:rsidRPr="00A46CB4">
        <w:rPr>
          <w:vertAlign w:val="superscript"/>
          <w:lang w:val="lt-LT"/>
        </w:rPr>
        <w:t>2 </w:t>
      </w:r>
      <w:r w:rsidRPr="00A46CB4">
        <w:rPr>
          <w:lang w:val="lt-LT"/>
        </w:rPr>
        <w:t>straipsnio 2 dalyje įtvirtinta lengvata gali būti pritaikyta investuotojui ir, kokio dydžio ji gali būti (arba yra), vertinami PMĮ 17</w:t>
      </w:r>
      <w:r w:rsidRPr="00A46CB4">
        <w:rPr>
          <w:vertAlign w:val="superscript"/>
          <w:lang w:val="lt-LT"/>
        </w:rPr>
        <w:t>2 </w:t>
      </w:r>
      <w:r w:rsidRPr="00A46CB4">
        <w:rPr>
          <w:lang w:val="lt-LT"/>
        </w:rPr>
        <w:t>straipsnio 1 dalyje išdėstyti reikalavimai:</w:t>
      </w:r>
    </w:p>
    <w:p w14:paraId="1C1C23DE"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buvo gaminamas filmas, kuriam buvo išduota filmą kvalifikuojanti pažyma (patvirtinimas, kad filmas, kurio dalis buvo gaminama Lietuvoje, atitinka kultūrinio turinio ir gamybos vertinimo kriterijus);</w:t>
      </w:r>
    </w:p>
    <w:p w14:paraId="7E98CBAB"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Lietuvos Respublikoje patirtos tinkamos išlaidos yra didesnės nei 43 000 Eur (Lietuvoje patirta 118 500 Eur (145 000 Eur bendrų išlaidų – 12 000 Eur netinkamų išlaidų –14 500 Eur užsienyje patirtų išlaidų)), ir ne mažiau kaip 80 proc. tinkamų filmo dalies gamybos išlaidų patirta Lietuvoje ((118 500 Eur (Lietuvoje patirtos tinkamos išlaidos) / 133 000 Eur (bendros patirtos tinkamos išlaidos) x 100 proc.= 89,1 proc.): filmo dalies gamybos išlaidos atitinka PMĮ 17</w:t>
      </w:r>
      <w:r w:rsidRPr="00A46CB4">
        <w:rPr>
          <w:vertAlign w:val="superscript"/>
          <w:lang w:val="lt-LT"/>
        </w:rPr>
        <w:t>2 </w:t>
      </w:r>
      <w:r w:rsidRPr="00A46CB4">
        <w:rPr>
          <w:lang w:val="lt-LT"/>
        </w:rPr>
        <w:t>straipsnio 1 dalies 2 punkto reikalavimus;</w:t>
      </w:r>
    </w:p>
    <w:p w14:paraId="46CA5F06"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ar neatlygintinai suteiktų lėšų suma, atitinka PMĮ 17</w:t>
      </w:r>
      <w:r w:rsidRPr="00A46CB4">
        <w:rPr>
          <w:vertAlign w:val="superscript"/>
          <w:lang w:val="lt-LT"/>
        </w:rPr>
        <w:t xml:space="preserve">2 </w:t>
      </w:r>
      <w:r w:rsidRPr="00A46CB4">
        <w:rPr>
          <w:lang w:val="lt-LT"/>
        </w:rPr>
        <w:t>straipsnio 1 dalies 3 punkto reikalavimus, t. y. neviršija 30 proc. visų filmo dalies gamybos išlaidų (43 500 Eur (145 000 Eur bendra išlaidų suma x 30/100)).</w:t>
      </w:r>
    </w:p>
    <w:p w14:paraId="5CAC456A"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 xml:space="preserve"> Taigi, nustatydami, kokia suteiktų lėšų dalimi Investuotojai galės susimažinti savo apmokestinamąjį pelną, apskaičiuojame jų suteiktų lėšų dalį nuo bendros suteiktų lėšų sumos: pirmojo Investuotojo lėšų, kurioms gali būti taikoma lengvata, suma yra 26250 Eur (43500 Eur x (35 000 Eur/ 58 000 Eur), o antrojo - 17 250 Eur (43500 Eur x (23000 Eur/ 58 000 Eur)).</w:t>
      </w:r>
    </w:p>
    <w:p w14:paraId="57EFE459" w14:textId="77777777" w:rsidR="009B3FED" w:rsidRPr="00A46CB4" w:rsidRDefault="009B3FED" w:rsidP="009B3FED">
      <w:pPr>
        <w:pBdr>
          <w:top w:val="single" w:sz="4" w:space="1" w:color="auto"/>
          <w:left w:val="single" w:sz="4" w:space="4" w:color="auto"/>
          <w:bottom w:val="single" w:sz="4" w:space="0" w:color="auto"/>
          <w:right w:val="single" w:sz="4" w:space="4" w:color="auto"/>
        </w:pBdr>
        <w:ind w:firstLine="720"/>
        <w:jc w:val="both"/>
        <w:rPr>
          <w:lang w:val="lt-LT"/>
        </w:rPr>
      </w:pPr>
      <w:r w:rsidRPr="00A46CB4">
        <w:rPr>
          <w:lang w:val="lt-LT"/>
        </w:rPr>
        <w:t>Todėl Investuotojai iš apmokestinamųjų pajamų galės atimti atitinkamai pirmasis – 19688 Eur (26250 Eur x 75 proc.) ir antrasis –  12938 Eur ( 17 250 Eur x 75 proc.).</w:t>
      </w:r>
    </w:p>
    <w:p w14:paraId="2918194D" w14:textId="77777777" w:rsidR="009B3FED" w:rsidRPr="00A46CB4" w:rsidRDefault="009B3FED" w:rsidP="009B3FED">
      <w:pPr>
        <w:ind w:firstLine="720"/>
        <w:jc w:val="both"/>
        <w:rPr>
          <w:lang w:val="lt-LT"/>
        </w:rPr>
      </w:pPr>
    </w:p>
    <w:p w14:paraId="1C8F7930" w14:textId="77777777" w:rsidR="009B3FED" w:rsidRPr="005818ED" w:rsidRDefault="009B3FED" w:rsidP="009B3FED">
      <w:pPr>
        <w:ind w:firstLine="720"/>
        <w:jc w:val="both"/>
        <w:rPr>
          <w:lang w:val="lt-LT"/>
        </w:rPr>
      </w:pPr>
      <w:r w:rsidRPr="002F06D0">
        <w:rPr>
          <w:lang w:val="lt-LT"/>
        </w:rPr>
        <w:t xml:space="preserve">2. Neatlygintinai suteiktų lėšų dalis iš apmokestinamųjų pajamų atimama tuo mokestiniu </w:t>
      </w:r>
      <w:r w:rsidRPr="005818ED">
        <w:rPr>
          <w:lang w:val="lt-LT"/>
        </w:rPr>
        <w:t xml:space="preserve">laikotarpiu, kuriuo Investuotojas iš Lietuvos kino centro gauna investicijos pažymą. </w:t>
      </w:r>
    </w:p>
    <w:p w14:paraId="4728F496" w14:textId="77777777" w:rsidR="009B3FED" w:rsidRPr="005818ED" w:rsidRDefault="009B3FED" w:rsidP="009B3FED">
      <w:pPr>
        <w:ind w:firstLine="720"/>
        <w:jc w:val="both"/>
        <w:rPr>
          <w:lang w:val="lt-LT"/>
        </w:rPr>
      </w:pPr>
      <w:r w:rsidRPr="005818ED">
        <w:rPr>
          <w:lang w:val="lt-LT"/>
        </w:rPr>
        <w:t>Pavyzdys</w:t>
      </w:r>
    </w:p>
    <w:p w14:paraId="093C09A5"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20"/>
        <w:jc w:val="both"/>
        <w:rPr>
          <w:lang w:val="lt-LT"/>
        </w:rPr>
      </w:pPr>
      <w:r w:rsidRPr="005818ED">
        <w:rPr>
          <w:lang w:val="lt-LT"/>
        </w:rPr>
        <w:t xml:space="preserve">Investuotojas 2018 m. gruodžio mėn. ir 2019 m neatlygintinai suteikė lėšų filmo gamybai Lietuvos filmo gamintojui. </w:t>
      </w:r>
      <w:r w:rsidRPr="00A46CB4">
        <w:rPr>
          <w:lang w:val="lt-LT"/>
        </w:rPr>
        <w:t xml:space="preserve">Filmas gaminamas 4 metus, investicinė pažyma Investuotojui išduota 2022 m. liepos mėn. Kadangi Investuotojas neatlygintinai suteikė lėšų, kurios tenkino atitinkamais laikotarpiais galiojusias </w:t>
      </w:r>
      <w:r w:rsidRPr="00A46CB4">
        <w:rPr>
          <w:color w:val="000000"/>
          <w:sz w:val="22"/>
          <w:szCs w:val="22"/>
          <w:lang w:val="lt-LT"/>
        </w:rPr>
        <w:t>PMĮ 17</w:t>
      </w:r>
      <w:r w:rsidRPr="00A46CB4">
        <w:rPr>
          <w:color w:val="000000"/>
          <w:sz w:val="22"/>
          <w:szCs w:val="22"/>
          <w:vertAlign w:val="superscript"/>
          <w:lang w:val="lt-LT"/>
        </w:rPr>
        <w:t>2</w:t>
      </w:r>
      <w:r w:rsidRPr="00A46CB4">
        <w:rPr>
          <w:color w:val="000000"/>
          <w:sz w:val="22"/>
          <w:szCs w:val="22"/>
          <w:lang w:val="lt-LT"/>
        </w:rPr>
        <w:t xml:space="preserve"> straipsnio 1 dalyje nustatytas sąlygas</w:t>
      </w:r>
      <w:r w:rsidRPr="00A46CB4">
        <w:rPr>
          <w:rFonts w:ascii="Trebuchet MS" w:hAnsi="Trebuchet MS"/>
          <w:color w:val="000000"/>
          <w:sz w:val="22"/>
          <w:szCs w:val="22"/>
          <w:lang w:val="lt-LT"/>
        </w:rPr>
        <w:t xml:space="preserve"> </w:t>
      </w:r>
      <w:r w:rsidRPr="00A46CB4">
        <w:rPr>
          <w:lang w:val="lt-LT"/>
        </w:rPr>
        <w:t xml:space="preserve"> PMĮ, vadinasi jis, 2022 m. gavęs investicinę pažymą, galės PMĮ 17</w:t>
      </w:r>
      <w:r w:rsidRPr="00A46CB4">
        <w:rPr>
          <w:vertAlign w:val="superscript"/>
          <w:lang w:val="lt-LT"/>
        </w:rPr>
        <w:t>2</w:t>
      </w:r>
      <w:r w:rsidRPr="00A46CB4">
        <w:rPr>
          <w:lang w:val="lt-LT"/>
        </w:rPr>
        <w:t xml:space="preserve"> straipsnio 2 dalyje nustatyta dalimi mažinti 2022 m. mokestinio laikotarpio apmokestinamąsias pajamas.  </w:t>
      </w:r>
    </w:p>
    <w:p w14:paraId="5F4AA8AD"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20"/>
        <w:jc w:val="both"/>
        <w:rPr>
          <w:lang w:val="lt-LT"/>
        </w:rPr>
      </w:pPr>
    </w:p>
    <w:p w14:paraId="4E35D55B" w14:textId="77777777" w:rsidR="009B3FED" w:rsidRPr="00A46CB4" w:rsidRDefault="009B3FED" w:rsidP="009B3FED">
      <w:pPr>
        <w:ind w:firstLine="720"/>
        <w:jc w:val="both"/>
        <w:rPr>
          <w:lang w:val="lt-LT"/>
        </w:rPr>
      </w:pPr>
      <w:r w:rsidRPr="00A46CB4">
        <w:rPr>
          <w:lang w:val="lt-LT"/>
        </w:rPr>
        <w:t>3. Lietuvos Respublikos kultūros ministro ir Lietuvos Respublikos finansų ministro 2019 m. kovo 21 d. įsakymu Nr. ĮV-213/1K-95 buvo patvirtintas Lietuvos Respublikoje gaminamo filmo kultūrinio turinio ir gamybos vertinimo tvarkos aprašas (toliau – Aprašas), kuriame nustatyta Investicijos pažymos apie filmo gamintojui neatlygintinai suteiktų lėšų panaudojimo atitiktį Lietuvos Respublikos pelno mokesčio įstatymo 17</w:t>
      </w:r>
      <w:r w:rsidRPr="00A46CB4">
        <w:rPr>
          <w:vertAlign w:val="superscript"/>
          <w:lang w:val="lt-LT"/>
        </w:rPr>
        <w:t>2 </w:t>
      </w:r>
      <w:r w:rsidRPr="00A46CB4">
        <w:rPr>
          <w:lang w:val="lt-LT"/>
        </w:rPr>
        <w:t xml:space="preserve">straipsnyje nustatytiems reikalavimams išdavimo.  Lietuvos filmo gamintojas, kurio gaminamam filmui buvo išduota Lietuvos kino centro direktoriaus patvirtintos formos Filmą kvalifikuojanti pažyma, ne vėliau kaip per 3 mėnesius nuo tikrinamo laikotarpio (kuris prasideda ne anksčiau nei 90 kalendorinių dienų iki paraiškos Lietuvos kino centrui pateikimo dienos </w:t>
      </w:r>
      <w:r w:rsidRPr="00A46CB4">
        <w:rPr>
          <w:lang w:val="lt-LT"/>
        </w:rPr>
        <w:lastRenderedPageBreak/>
        <w:t>ir tęsiasi iki filmo ar jo dalies gamybos pabaigos, kuri nustatoma pagal auditoriui pateiktus filmo ar jo dalies gamybos išlaidas patvirtinančius dokumentus ir negali būti vėlesnė nei filmo įregistravimo Filmų registre diena) pabaigos Lietuvos kino centrui pateikia:</w:t>
      </w:r>
    </w:p>
    <w:p w14:paraId="0246DC1A" w14:textId="77777777" w:rsidR="009B3FED" w:rsidRPr="00A46CB4" w:rsidRDefault="009B3FED" w:rsidP="009B3FED">
      <w:pPr>
        <w:ind w:firstLine="720"/>
        <w:jc w:val="both"/>
        <w:rPr>
          <w:lang w:val="lt-LT"/>
        </w:rPr>
      </w:pPr>
      <w:r w:rsidRPr="00A46CB4">
        <w:rPr>
          <w:lang w:val="lt-LT"/>
        </w:rPr>
        <w:t>1) Lietuvos filmo gamintojo ir investuotojo (-ų) sutarties (-sutarčių) dėl neatlygintino lėšų suteikimo filmo ar jo dalies gamybai, patvirtintą (-as) kopiją (-as) kurioje (-iose) privalo būti neatlygintinai suteiktų lėšų filmo ar jo dalies gamybai suma, siekiant pasinaudoti Pelno mokesčio įstatymo 17</w:t>
      </w:r>
      <w:r w:rsidRPr="00A46CB4">
        <w:rPr>
          <w:vertAlign w:val="superscript"/>
          <w:lang w:val="lt-LT"/>
        </w:rPr>
        <w:t>2</w:t>
      </w:r>
      <w:r w:rsidRPr="00A46CB4">
        <w:rPr>
          <w:lang w:val="lt-LT"/>
        </w:rPr>
        <w:t xml:space="preserve"> ir 46</w:t>
      </w:r>
      <w:r w:rsidRPr="00A46CB4">
        <w:rPr>
          <w:vertAlign w:val="superscript"/>
          <w:lang w:val="lt-LT"/>
        </w:rPr>
        <w:t>2</w:t>
      </w:r>
      <w:r w:rsidRPr="00A46CB4">
        <w:rPr>
          <w:lang w:val="lt-LT"/>
        </w:rPr>
        <w:t xml:space="preserve"> straipsniuose įtvirtinta pelno mokesčio lengvata filmų gamybai; planuojama filmo gamybos sąnaudų suma; gaminamo filmo pavadinimas; ir banko pavedimo (-ų), kuriuo (-iais) patvirtinamas lėšų gavimas, kopiją (-as);</w:t>
      </w:r>
    </w:p>
    <w:p w14:paraId="73769554" w14:textId="77777777" w:rsidR="009B3FED" w:rsidRPr="00A46CB4" w:rsidRDefault="009B3FED" w:rsidP="009B3FED">
      <w:pPr>
        <w:ind w:firstLine="720"/>
        <w:jc w:val="both"/>
        <w:rPr>
          <w:lang w:val="lt-LT"/>
        </w:rPr>
      </w:pPr>
      <w:r w:rsidRPr="00A46CB4">
        <w:rPr>
          <w:lang w:val="lt-LT"/>
        </w:rPr>
        <w:t>2) auditoriaus išvadą apie Lietuvos filmo gamintojo patirtas filmo ar jo dalies gamybos išlaidas tikrinamu laikotarpiu (kuris prasideda ne anksčiau nei 90 kalendorinių dienų iki paraiškos Lietuvos kino centrui pateikimo dienos ir tęsiasi iki filmo ar jo dalies gamybos pabaigos, kuri nustatoma pagal auditoriui pateiktus filmo ar jo dalies gamybos išlaidas patvirtinančius dokumentus ir negali būti vėlesnė nei filmo įregistravimo Filmų registre diena) ir filmo atitiktį Pelno mokesčio įstatymo 17</w:t>
      </w:r>
      <w:r w:rsidRPr="00A46CB4">
        <w:rPr>
          <w:vertAlign w:val="superscript"/>
          <w:lang w:val="lt-LT"/>
        </w:rPr>
        <w:t>2</w:t>
      </w:r>
      <w:r w:rsidRPr="00A46CB4">
        <w:rPr>
          <w:lang w:val="lt-LT"/>
        </w:rPr>
        <w:t xml:space="preserve"> straipsnio 1 dalies 2 ir 3 punktų reikalavimams ir filmo gamybos vertinimo kriterijams, nurodytiems Aprašo 29 punkte. </w:t>
      </w:r>
    </w:p>
    <w:p w14:paraId="274BA717" w14:textId="77777777" w:rsidR="009B3FED" w:rsidRPr="00A46CB4" w:rsidRDefault="009B3FED" w:rsidP="009B3FED">
      <w:pPr>
        <w:ind w:firstLine="720"/>
        <w:jc w:val="both"/>
        <w:rPr>
          <w:sz w:val="20"/>
          <w:lang w:val="lt-LT"/>
        </w:rPr>
      </w:pPr>
      <w:r w:rsidRPr="00A46CB4">
        <w:rPr>
          <w:lang w:val="lt-LT"/>
        </w:rPr>
        <w:t>Pagal Aprašo 29 punkto nuostatas filmas ar jo dalis atitinka gamybos vertinimo kriterijus, jeigu:</w:t>
      </w:r>
    </w:p>
    <w:p w14:paraId="1C55D33B" w14:textId="77777777" w:rsidR="009B3FED" w:rsidRPr="00A46CB4" w:rsidRDefault="009B3FED" w:rsidP="009B3FED">
      <w:pPr>
        <w:ind w:firstLine="720"/>
        <w:jc w:val="both"/>
        <w:rPr>
          <w:lang w:val="lt-LT"/>
        </w:rPr>
      </w:pPr>
      <w:r w:rsidRPr="00A46CB4">
        <w:rPr>
          <w:lang w:val="lt-LT"/>
        </w:rPr>
        <w:t>1) vykdant filmo (išskyrus animacinį filmą) ar jo dalies gamybą, Lietuvos Respublikoje buvo filmuojama bent 3 dienas;</w:t>
      </w:r>
    </w:p>
    <w:p w14:paraId="239548EA" w14:textId="77777777" w:rsidR="009B3FED" w:rsidRPr="00A46CB4" w:rsidRDefault="009B3FED" w:rsidP="009B3FED">
      <w:pPr>
        <w:ind w:firstLine="720"/>
        <w:jc w:val="both"/>
        <w:rPr>
          <w:lang w:val="lt-LT"/>
        </w:rPr>
      </w:pPr>
      <w:r w:rsidRPr="00A46CB4">
        <w:rPr>
          <w:lang w:val="lt-LT"/>
        </w:rPr>
        <w:t xml:space="preserve">2) vykdant animacinio filmo gamybą, ne mažiau kaip 20 procentų </w:t>
      </w:r>
      <w:r w:rsidRPr="00A46CB4">
        <w:rPr>
          <w:lang w:val="lt-LT" w:eastAsia="lt-LT"/>
        </w:rPr>
        <w:t xml:space="preserve">bendros visų filmo ar jo dalies gamybos išlaidų sumos </w:t>
      </w:r>
      <w:r w:rsidRPr="00A46CB4">
        <w:rPr>
          <w:lang w:val="lt-LT"/>
        </w:rPr>
        <w:t xml:space="preserve">Lietuvos Respublikoje buvo </w:t>
      </w:r>
      <w:r w:rsidRPr="00A46CB4">
        <w:rPr>
          <w:lang w:val="lt-LT" w:eastAsia="lt-LT"/>
        </w:rPr>
        <w:t>patirta</w:t>
      </w:r>
      <w:r w:rsidRPr="00A46CB4">
        <w:rPr>
          <w:lang w:val="lt-LT"/>
        </w:rPr>
        <w:t xml:space="preserve"> bent dviejų iš šių veiklų išlaidoms apmokėti: filmavimo darbų vykdymo (jei pagal filmo scenarijų to reikia);  vizualinio (personažų ir (ar) aplinkos) dizaino kūrimo;  kadro kompozicinio išplanavimo ir (ar) kadruočių kūrimo; vizualiųjų efektų kūrimo;</w:t>
      </w:r>
    </w:p>
    <w:p w14:paraId="311B019D" w14:textId="77777777" w:rsidR="009B3FED" w:rsidRPr="00A46CB4" w:rsidRDefault="009B3FED" w:rsidP="009B3FED">
      <w:pPr>
        <w:ind w:firstLine="720"/>
        <w:jc w:val="both"/>
        <w:rPr>
          <w:lang w:val="lt-LT"/>
        </w:rPr>
      </w:pPr>
      <w:r w:rsidRPr="00A46CB4">
        <w:rPr>
          <w:lang w:val="lt-LT"/>
        </w:rPr>
        <w:t>3) ne mažiau kaip 51 procentas Lietuvos filmo gamintojo samdomų filmo grupės (kūrybiniai ir techniniai darbuotojai, kuriuos Lietuvos filmo gamintojas yra subūręs filmo kūrimui ir gamybai) narių yra Lietuvos Respublikos arba kitų Europos ekonominės erdvės valstybės (-ių) piliečiai.</w:t>
      </w:r>
    </w:p>
    <w:p w14:paraId="7419BE3F" w14:textId="77777777" w:rsidR="009B3FED" w:rsidRPr="00A46CB4" w:rsidRDefault="009B3FED" w:rsidP="009B3FED">
      <w:pPr>
        <w:ind w:firstLine="720"/>
        <w:jc w:val="both"/>
        <w:rPr>
          <w:strike/>
          <w:lang w:val="lt-LT"/>
        </w:rPr>
      </w:pPr>
      <w:r w:rsidRPr="00A46CB4">
        <w:rPr>
          <w:lang w:val="lt-LT"/>
        </w:rPr>
        <w:t>4. Lietuvos kino centras, įvertinęs Lietuvos filmo gamintojo pateiktus duomenis ir nustatęs, kad pagamintas filmas arba jo dalis atitinka PMĮ 17</w:t>
      </w:r>
      <w:r w:rsidRPr="00A46CB4">
        <w:rPr>
          <w:vertAlign w:val="superscript"/>
          <w:lang w:val="lt-LT"/>
        </w:rPr>
        <w:t>2</w:t>
      </w:r>
      <w:r w:rsidRPr="00A46CB4">
        <w:rPr>
          <w:lang w:val="lt-LT"/>
        </w:rPr>
        <w:t xml:space="preserve"> straipsnio 1 dalyje nustatytus reikalavimus, Investuotojui, neatlygintinai suteikusiam Lietuvos filmo gamintojui lėšų filmo arba jo dalies gamybai, ne vėliau kaip per 15 darbo dienų nuo visų tinkamų dokumentų investicijos pažymai gauti gavimo dienos išduoda Lietuvos kino centro direktoriaus patvirtintos formos Investicijos pažymą. </w:t>
      </w:r>
    </w:p>
    <w:p w14:paraId="1AA46B67" w14:textId="77777777" w:rsidR="009B3FED" w:rsidRDefault="009B3FED" w:rsidP="009B3FED">
      <w:pPr>
        <w:ind w:firstLine="567"/>
        <w:jc w:val="both"/>
        <w:rPr>
          <w:rFonts w:ascii="TimesLT" w:hAnsi="TimesLT"/>
          <w:bCs/>
          <w:lang w:val="lt-LT"/>
        </w:rPr>
      </w:pPr>
      <w:r w:rsidRPr="00A46CB4">
        <w:rPr>
          <w:lang w:val="lt-LT"/>
        </w:rPr>
        <w:t>5. Investuotojas visa neatlygintinai suteiktų lėšų suma, atitinkančia šio straipsnio reikalavimus, gali susimažinti ir apskaičiuotą pelno mokestį PMĮ 46</w:t>
      </w:r>
      <w:r w:rsidRPr="00A46CB4">
        <w:rPr>
          <w:vertAlign w:val="superscript"/>
          <w:lang w:val="lt-LT"/>
        </w:rPr>
        <w:t>2</w:t>
      </w:r>
      <w:r w:rsidRPr="00A46CB4">
        <w:rPr>
          <w:lang w:val="lt-LT"/>
        </w:rPr>
        <w:t xml:space="preserve"> straipsnyje nustatyta tvarka (žr. PMĮ 46</w:t>
      </w:r>
      <w:r w:rsidRPr="00A46CB4">
        <w:rPr>
          <w:vertAlign w:val="superscript"/>
          <w:lang w:val="lt-LT"/>
        </w:rPr>
        <w:t>2</w:t>
      </w:r>
      <w:r w:rsidRPr="00A46CB4">
        <w:rPr>
          <w:lang w:val="lt-LT"/>
        </w:rPr>
        <w:t> straipsnio komentarą).</w:t>
      </w:r>
    </w:p>
    <w:p w14:paraId="30B91347" w14:textId="77777777" w:rsidR="009B3FED" w:rsidRDefault="00FE7AB0" w:rsidP="009B3FED">
      <w:pPr>
        <w:ind w:firstLine="720"/>
        <w:jc w:val="both"/>
        <w:rPr>
          <w:bCs/>
          <w:lang w:val="lt-LT"/>
        </w:rPr>
      </w:pPr>
      <w:r>
        <w:rPr>
          <w:bCs/>
          <w:lang w:val="lt-LT"/>
        </w:rPr>
        <w:t xml:space="preserve"> </w:t>
      </w:r>
      <w:r w:rsidR="009B3FED">
        <w:rPr>
          <w:bCs/>
          <w:lang w:val="lt-LT"/>
        </w:rPr>
        <w:t xml:space="preserve">(Pagal 2019-09-13 VMI </w:t>
      </w:r>
      <w:r>
        <w:rPr>
          <w:bCs/>
          <w:lang w:val="lt-LT"/>
        </w:rPr>
        <w:t xml:space="preserve">prie FM raštą Nr. (32.42-31-1E) </w:t>
      </w:r>
      <w:r w:rsidR="009B3FED">
        <w:rPr>
          <w:bCs/>
          <w:lang w:val="lt-LT"/>
        </w:rPr>
        <w:t>RM-27343)</w:t>
      </w:r>
    </w:p>
    <w:p w14:paraId="472561DC" w14:textId="77777777" w:rsidR="00093845" w:rsidRPr="0065344A" w:rsidRDefault="000D779E" w:rsidP="00AB20CB">
      <w:pPr>
        <w:widowControl w:val="0"/>
        <w:spacing w:after="0"/>
        <w:ind w:firstLine="720"/>
        <w:jc w:val="both"/>
        <w:rPr>
          <w:b/>
          <w:bCs/>
          <w:color w:val="000000"/>
          <w:lang w:val="lt-LT" w:eastAsia="lt-LT"/>
        </w:rPr>
      </w:pPr>
      <w:r w:rsidRPr="0065344A">
        <w:rPr>
          <w:b/>
          <w:bCs/>
          <w:color w:val="000000"/>
          <w:lang w:val="lt-LT" w:eastAsia="lt-LT"/>
        </w:rPr>
        <w:t>3. Šiame straipsnyje nustatyta tvarka iš apmokestinamųjų pajamų negali būti atimamos šio straipsnio 1 dalyje nurodytos lėšos, panaudotos:</w:t>
      </w:r>
    </w:p>
    <w:p w14:paraId="00281150" w14:textId="77777777" w:rsidR="00B54784" w:rsidRPr="002F06D0" w:rsidRDefault="00B54784" w:rsidP="00B54784">
      <w:pPr>
        <w:ind w:firstLine="851"/>
        <w:jc w:val="both"/>
        <w:rPr>
          <w:lang w:val="lt-LT"/>
        </w:rPr>
      </w:pPr>
      <w:r w:rsidRPr="002F06D0">
        <w:rPr>
          <w:lang w:val="lt-LT"/>
        </w:rPr>
        <w:t>Šioje dalyje pateikiamas baigtinis sąrašas Lietuvos filmo gamintojo patirtų filmo ar jo dalies gamybos išlaidų, kurios nėra laikomos tinkamomis pagal PMĮ 17</w:t>
      </w:r>
      <w:r w:rsidRPr="002F06D0">
        <w:rPr>
          <w:vertAlign w:val="superscript"/>
          <w:lang w:val="lt-LT"/>
        </w:rPr>
        <w:t xml:space="preserve">2 </w:t>
      </w:r>
      <w:r w:rsidRPr="002F06D0">
        <w:rPr>
          <w:lang w:val="lt-LT"/>
        </w:rPr>
        <w:t xml:space="preserve">straipsnio 1 dalies 2 punktą ir nėra įtraukiamos apskaičiuojant bendrą tinkamų filmo ar jo dalies gamybos išlaidų sumą. Todėl Investuotojai, neatlygintinai suteiktų lėšų, kurias Lietuvos filmo gamintojas panaudojo šioje dalyje </w:t>
      </w:r>
      <w:r w:rsidRPr="002F06D0">
        <w:rPr>
          <w:lang w:val="lt-LT"/>
        </w:rPr>
        <w:lastRenderedPageBreak/>
        <w:t>nurodytoms filmo ar jo dalies gamybos išlaidoms apmokėti, dalimi negali mažinti apmokestinamųjų pajamų ir mokėtino pelno mokesčio.</w:t>
      </w:r>
    </w:p>
    <w:p w14:paraId="1C2CDC1E"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1) konsultacijų dėl paraiškos rengimo išlaidoms;</w:t>
      </w:r>
    </w:p>
    <w:p w14:paraId="00052B44" w14:textId="77777777" w:rsidR="00B54784" w:rsidRDefault="00B54784" w:rsidP="00AB20CB">
      <w:pPr>
        <w:widowControl w:val="0"/>
        <w:spacing w:after="0"/>
        <w:ind w:firstLine="720"/>
        <w:jc w:val="both"/>
        <w:rPr>
          <w:b/>
          <w:bCs/>
          <w:color w:val="000000"/>
          <w:lang w:eastAsia="lt-LT"/>
        </w:rPr>
      </w:pPr>
    </w:p>
    <w:p w14:paraId="615992B0" w14:textId="77777777" w:rsidR="009B3FED" w:rsidRPr="002F06D0" w:rsidRDefault="009B3FED" w:rsidP="009B3FED">
      <w:pPr>
        <w:ind w:left="709"/>
        <w:jc w:val="both"/>
        <w:rPr>
          <w:b/>
          <w:lang w:val="lt-LT"/>
        </w:rPr>
      </w:pPr>
      <w:r w:rsidRPr="002F06D0">
        <w:rPr>
          <w:b/>
          <w:lang w:val="lt-LT"/>
        </w:rPr>
        <w:t>Komentaras</w:t>
      </w:r>
    </w:p>
    <w:p w14:paraId="445D529D" w14:textId="77777777" w:rsidR="009B3FED" w:rsidRPr="00A46CB4" w:rsidRDefault="009B3FED" w:rsidP="009B3FED">
      <w:pPr>
        <w:ind w:firstLine="709"/>
        <w:jc w:val="both"/>
        <w:rPr>
          <w:strike/>
          <w:lang w:val="lt-LT"/>
        </w:rPr>
      </w:pPr>
      <w:r w:rsidRPr="00A46CB4">
        <w:rPr>
          <w:lang w:val="lt-LT"/>
        </w:rPr>
        <w:t xml:space="preserve">Lietuvos Respublikos kultūros ministro ir Lietuvos Respublikos finansų ministro 2019 m. kovo 21 d. įsakymu Nr. ĮV-213/1K-95 buvo patvirtintas Lietuvos Respublikoje gaminamo filmo kultūrinio turinio ir gamybos vertinimo tvarkos aprašas (toliau – Aprašas). </w:t>
      </w:r>
    </w:p>
    <w:p w14:paraId="4B372F38" w14:textId="77777777" w:rsidR="009B3FED" w:rsidRDefault="009B3FED" w:rsidP="009B3FED">
      <w:pPr>
        <w:widowControl w:val="0"/>
        <w:spacing w:after="0"/>
        <w:ind w:firstLine="720"/>
        <w:jc w:val="both"/>
        <w:rPr>
          <w:lang w:val="lt-LT"/>
        </w:rPr>
      </w:pPr>
      <w:r w:rsidRPr="00A46CB4">
        <w:rPr>
          <w:lang w:val="lt-LT"/>
        </w:rPr>
        <w:t>Paraišką dėl filmą kvalifikuojančios pažymos išdavimo (toliau – Paraiška) Apraše nustatyta tvarka ir laikantis jame įtvirtintų Paraiškos turinio reikalavimų, turi užpildyti ir Lietuvos kino centrui pateikti Lietuvos filmo gamintojas, siekiantis, kad Investuotojai neatlygintinai suteiktų lėšų ketinamam gaminti filmui ar jo daliai.  Išlaidos, kurias Lietuvos filmo gamintojas patiria konsultuodamasis dėl Paraiškos rengimo, t. y. kai mokama konsultantams už jų paslaugas teikiant Paraišką, nėra laikomos tinkamomis pagal PMĮ 17</w:t>
      </w:r>
      <w:r w:rsidRPr="00A46CB4">
        <w:rPr>
          <w:vertAlign w:val="superscript"/>
          <w:lang w:val="lt-LT"/>
        </w:rPr>
        <w:t xml:space="preserve">2 </w:t>
      </w:r>
      <w:r w:rsidRPr="00A46CB4">
        <w:rPr>
          <w:lang w:val="lt-LT"/>
        </w:rPr>
        <w:t>straipsnio 1 dalies 2 punktą ir nėra įtraukiamos apskaičiuojant bendrą tinkamų filmo ar jo dalies gamybos išlaidų sumą</w:t>
      </w:r>
    </w:p>
    <w:p w14:paraId="1F1B5D8C" w14:textId="77777777" w:rsidR="009B3FED" w:rsidRDefault="009B3FED" w:rsidP="009B3FED">
      <w:pPr>
        <w:ind w:firstLine="720"/>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77E09467" w14:textId="77777777" w:rsidR="009B3FED" w:rsidRPr="006A377E" w:rsidRDefault="009B3FED" w:rsidP="009B3FED">
      <w:pPr>
        <w:widowControl w:val="0"/>
        <w:spacing w:after="0"/>
        <w:ind w:firstLine="720"/>
        <w:jc w:val="both"/>
        <w:rPr>
          <w:b/>
          <w:bCs/>
          <w:color w:val="000000"/>
          <w:lang w:eastAsia="lt-LT"/>
        </w:rPr>
      </w:pPr>
    </w:p>
    <w:p w14:paraId="7DAA3DBB"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2) paraiškos rengimo išlaidoms;</w:t>
      </w:r>
    </w:p>
    <w:p w14:paraId="070F3B21" w14:textId="77777777" w:rsidR="00E865C2" w:rsidRDefault="00E865C2" w:rsidP="00AB20CB">
      <w:pPr>
        <w:widowControl w:val="0"/>
        <w:spacing w:after="0"/>
        <w:ind w:firstLine="720"/>
        <w:jc w:val="both"/>
        <w:rPr>
          <w:b/>
          <w:bCs/>
          <w:color w:val="000000"/>
          <w:lang w:eastAsia="lt-LT"/>
        </w:rPr>
      </w:pPr>
    </w:p>
    <w:p w14:paraId="6E5C0EC4" w14:textId="77777777" w:rsidR="00E865C2" w:rsidRDefault="00E865C2" w:rsidP="00E865C2">
      <w:pPr>
        <w:ind w:left="709"/>
        <w:jc w:val="both"/>
        <w:rPr>
          <w:b/>
          <w:lang w:val="lt-LT"/>
        </w:rPr>
      </w:pPr>
      <w:r w:rsidRPr="002F06D0">
        <w:rPr>
          <w:b/>
          <w:lang w:val="lt-LT"/>
        </w:rPr>
        <w:t>Komentaras</w:t>
      </w:r>
    </w:p>
    <w:p w14:paraId="5CAF74BB" w14:textId="77777777" w:rsidR="00E865C2" w:rsidRDefault="00E865C2" w:rsidP="00E865C2">
      <w:pPr>
        <w:spacing w:before="100" w:beforeAutospacing="1" w:after="100" w:afterAutospacing="1"/>
        <w:ind w:firstLine="709"/>
        <w:jc w:val="both"/>
        <w:rPr>
          <w:lang w:eastAsia="lt-LT"/>
        </w:rPr>
      </w:pPr>
      <w:r>
        <w:rPr>
          <w:lang w:eastAsia="lt-LT"/>
        </w:rPr>
        <w:t>Lietuvos filmo gamintojo išlaidos, patirtos rengiant Paraišką (žr. 17</w:t>
      </w:r>
      <w:r>
        <w:rPr>
          <w:vertAlign w:val="superscript"/>
          <w:lang w:eastAsia="lt-LT"/>
        </w:rPr>
        <w:t xml:space="preserve">2 </w:t>
      </w:r>
      <w:r>
        <w:rPr>
          <w:lang w:eastAsia="lt-LT"/>
        </w:rPr>
        <w:t>straipsnio 3 dalies 1 punkto komentarą) ar kartu su ja pateikiamus dokumentus, duomenis, nėra laikomos tinkamomis pagal PMĮ 17</w:t>
      </w:r>
      <w:r>
        <w:rPr>
          <w:vertAlign w:val="superscript"/>
          <w:lang w:eastAsia="lt-LT"/>
        </w:rPr>
        <w:t xml:space="preserve">2 </w:t>
      </w:r>
      <w:r>
        <w:rPr>
          <w:lang w:eastAsia="lt-LT"/>
        </w:rPr>
        <w:t xml:space="preserve">straipsnio 1 dalies 2 punktą ir nėra įtraukiamos apskaičiuojant bendrą tinkamų filmo ar jo dalies gamybos išlaidų sumą. Tokioms išlaidoms, pavyzdžiui, gali būti priskiriamas atlygis mokamas asmenims (konsultantams) už filmo finansavimo plano, filmo vizualizacijos aprašo su brėžiniais, modelių piešinių, sutarčių su filmo užsakovais, taip pat filmo ar jo dalies išlaidų sąmatos parengimą ir kt. </w:t>
      </w:r>
    </w:p>
    <w:p w14:paraId="521E09C4" w14:textId="77777777" w:rsidR="00E865C2" w:rsidRPr="006A377E" w:rsidRDefault="00E865C2" w:rsidP="00AB20CB">
      <w:pPr>
        <w:widowControl w:val="0"/>
        <w:spacing w:after="0"/>
        <w:ind w:firstLine="720"/>
        <w:jc w:val="both"/>
        <w:rPr>
          <w:b/>
          <w:bCs/>
          <w:color w:val="000000"/>
          <w:lang w:eastAsia="lt-LT"/>
        </w:rPr>
      </w:pPr>
    </w:p>
    <w:p w14:paraId="65698A41"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3) baudoms, delspinigiams, bylinėjimosi išlaidoms;</w:t>
      </w:r>
    </w:p>
    <w:p w14:paraId="1CE9C897" w14:textId="77777777" w:rsidR="00E865C2" w:rsidRDefault="00E865C2" w:rsidP="00AB20CB">
      <w:pPr>
        <w:widowControl w:val="0"/>
        <w:spacing w:after="0"/>
        <w:ind w:firstLine="720"/>
        <w:jc w:val="both"/>
        <w:rPr>
          <w:b/>
          <w:bCs/>
          <w:color w:val="000000"/>
          <w:lang w:eastAsia="lt-LT"/>
        </w:rPr>
      </w:pPr>
    </w:p>
    <w:p w14:paraId="4FC10EB0" w14:textId="77777777" w:rsidR="00E865C2" w:rsidRDefault="00E865C2" w:rsidP="00E865C2">
      <w:pPr>
        <w:ind w:left="709"/>
        <w:jc w:val="both"/>
        <w:rPr>
          <w:b/>
        </w:rPr>
      </w:pPr>
      <w:r>
        <w:rPr>
          <w:b/>
        </w:rPr>
        <w:t>Komentaras</w:t>
      </w:r>
    </w:p>
    <w:p w14:paraId="3C5D5ADE" w14:textId="77777777" w:rsidR="00E865C2" w:rsidRDefault="00E865C2" w:rsidP="00E865C2">
      <w:pPr>
        <w:spacing w:before="100" w:beforeAutospacing="1" w:after="100" w:afterAutospacing="1"/>
        <w:ind w:firstLine="709"/>
        <w:jc w:val="both"/>
        <w:rPr>
          <w:lang w:eastAsia="lt-LT"/>
        </w:rPr>
      </w:pPr>
      <w:r>
        <w:rPr>
          <w:lang w:eastAsia="lt-LT"/>
        </w:rPr>
        <w:t>Baudos, delspinigiai ir bylinėjimosi išlaidos yra neleidžiami atskaitymai, kaip tai nustatyta PMĮ 31 straipsnio 1 dalies 3 punkte (žr. PMĮ 31 straipsnio 1 dalies 3 punkto komentarą), todėl šios išlaidos nėra laikomos tinkamomis pagal PMĮ 17</w:t>
      </w:r>
      <w:r>
        <w:rPr>
          <w:vertAlign w:val="superscript"/>
          <w:lang w:eastAsia="lt-LT"/>
        </w:rPr>
        <w:t xml:space="preserve">2 </w:t>
      </w:r>
      <w:r>
        <w:rPr>
          <w:lang w:eastAsia="lt-LT"/>
        </w:rPr>
        <w:t xml:space="preserve">straipsnio 1 dalies 2 punktą ir nėra įtraukiamos apskaičiuojant bendrą tinkamų filmo ar jo dalies gamybos išlaidų sumą.   </w:t>
      </w:r>
    </w:p>
    <w:p w14:paraId="6473C3D3" w14:textId="77777777" w:rsidR="00E865C2" w:rsidRPr="006A377E" w:rsidRDefault="00E865C2" w:rsidP="00AB20CB">
      <w:pPr>
        <w:widowControl w:val="0"/>
        <w:spacing w:after="0"/>
        <w:ind w:firstLine="720"/>
        <w:jc w:val="both"/>
        <w:rPr>
          <w:b/>
          <w:bCs/>
          <w:color w:val="000000"/>
          <w:lang w:eastAsia="lt-LT"/>
        </w:rPr>
      </w:pPr>
    </w:p>
    <w:p w14:paraId="482C52F0" w14:textId="77777777" w:rsidR="00093845" w:rsidRDefault="000D779E" w:rsidP="00AB20CB">
      <w:pPr>
        <w:spacing w:after="0"/>
        <w:ind w:firstLine="720"/>
        <w:jc w:val="both"/>
        <w:rPr>
          <w:b/>
          <w:bCs/>
          <w:lang w:eastAsia="lt-LT"/>
        </w:rPr>
      </w:pPr>
      <w:r w:rsidRPr="006A377E">
        <w:rPr>
          <w:b/>
          <w:bCs/>
          <w:lang w:eastAsia="lt-LT"/>
        </w:rPr>
        <w:t>4) ilgalaikio turto įsigijimo, statybos, rekonstravimo išlaidoms, jeigu tai nesusiję su filmo gamyba;</w:t>
      </w:r>
    </w:p>
    <w:p w14:paraId="6776A07F" w14:textId="77777777" w:rsidR="00E865C2" w:rsidRDefault="00E865C2" w:rsidP="00AB20CB">
      <w:pPr>
        <w:spacing w:after="0"/>
        <w:ind w:firstLine="720"/>
        <w:jc w:val="both"/>
        <w:rPr>
          <w:b/>
          <w:bCs/>
          <w:lang w:eastAsia="lt-LT"/>
        </w:rPr>
      </w:pPr>
    </w:p>
    <w:p w14:paraId="4CF803C6" w14:textId="77777777" w:rsidR="00E865C2" w:rsidRDefault="00E865C2" w:rsidP="00E865C2">
      <w:pPr>
        <w:ind w:left="709"/>
        <w:jc w:val="both"/>
        <w:rPr>
          <w:b/>
        </w:rPr>
      </w:pPr>
      <w:r>
        <w:rPr>
          <w:b/>
        </w:rPr>
        <w:t>Komentaras</w:t>
      </w:r>
    </w:p>
    <w:p w14:paraId="61B5A263" w14:textId="77777777" w:rsidR="00E865C2" w:rsidRDefault="00E865C2" w:rsidP="00E865C2">
      <w:pPr>
        <w:ind w:firstLine="720"/>
        <w:jc w:val="both"/>
      </w:pPr>
      <w:r>
        <w:t>Lietuvos filmo gamintojo patirtos išlaidos ilgalaikio turto įsigijimui, statybai ar rekonstrukcijai pripažįstamos:</w:t>
      </w:r>
    </w:p>
    <w:p w14:paraId="1023998B" w14:textId="77777777" w:rsidR="00E865C2" w:rsidRDefault="00E865C2" w:rsidP="00E865C2">
      <w:pPr>
        <w:ind w:firstLine="720"/>
        <w:jc w:val="both"/>
      </w:pPr>
      <w:r>
        <w:lastRenderedPageBreak/>
        <w:t>- tinkamomis pagal PMĮ 17</w:t>
      </w:r>
      <w:r>
        <w:rPr>
          <w:vertAlign w:val="superscript"/>
        </w:rPr>
        <w:t xml:space="preserve">2 </w:t>
      </w:r>
      <w:r>
        <w:t>straipsnio 1 dalies 2 punktą ir yra įtraukiamos apskaičiuojant bendrą tinkamų filmo ar jo dalies gamybos išlaidų sumą, jeigu ilgalaikio turto įsigijimas, statybos ar rekonstrukcijos darbai buvo atliekami filmo ar jo dalies gamybos tikslais;</w:t>
      </w:r>
    </w:p>
    <w:p w14:paraId="40C61A5A" w14:textId="77777777" w:rsidR="00E865C2" w:rsidRDefault="00E865C2" w:rsidP="00E865C2">
      <w:pPr>
        <w:ind w:firstLine="720"/>
        <w:jc w:val="both"/>
      </w:pPr>
      <w:r>
        <w:t>- netinkamomis pagal PMĮ 17</w:t>
      </w:r>
      <w:r>
        <w:rPr>
          <w:vertAlign w:val="superscript"/>
        </w:rPr>
        <w:t xml:space="preserve">2 </w:t>
      </w:r>
      <w:r>
        <w:t xml:space="preserve">straipsnio 1 dalies 2 punktą ir nėra įtraukiamos apskaičiuojant bendrą tinkamų filmo ar jo dalies gamybos išlaidų sumą, jeigu ilgalaikio turto įsigijimas, statybos ar rekonstrukcijos darbai buvo atliekami kitais nei filmo ar jo dalies gamybos tikslais ir nėra susiję su filmo gamyba (pvz., įsigytos patalpos nebuvo naudojamos gaminant filmą). </w:t>
      </w:r>
    </w:p>
    <w:p w14:paraId="0AEDB2A9" w14:textId="77777777" w:rsidR="00E865C2" w:rsidRDefault="00E865C2" w:rsidP="00E865C2">
      <w:pPr>
        <w:ind w:firstLine="720"/>
        <w:jc w:val="both"/>
      </w:pPr>
      <w:r>
        <w:t>Pavyzdys</w:t>
      </w:r>
    </w:p>
    <w:p w14:paraId="5BEBA734"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Lietuvos filmo gamintojas 1998 m. įsigijo patalpas A, kuriose buvo kuriami filmai. Šios patalpos iki 2008 m. buvo visiškai nudėvėtos, tačiau joms prireikė rekonstrukcijos ir 2009 m. patalpos buvo pradėtos rekonstruoti, rengiantis jas ir toliau naudoti filmų gamybai ateityje. Paskutiniai rekonstrukcijos darbai atlikti 2014</w:t>
      </w:r>
      <w:r>
        <w:t xml:space="preserve"> </w:t>
      </w:r>
      <w:r w:rsidRPr="00080579">
        <w:t>m. pabaigoje. Taip pat 2014 m. Lietuvos filmo gamintojas įsigijo dar vienas patalpas B kitame mieste, tačiau šiose patalpose filmų gamyba nebus vykdoma.</w:t>
      </w:r>
    </w:p>
    <w:p w14:paraId="7A7A5D5D"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2015 m. Lietuvos filmo gamintojas, sukūręs scenarijų naujam filmui Y, kreipėsi į Lietuvos kino centrą, prašydamas išduoti Filmą kvalifikuojančią pažymą filmui Y. Filmą kvalifikuojanti pažyma filmui Y buvo išduota. Filmas Y buvo kuriamas patalpose A. Investuotojas neatlygintinai suteikė 60 000 Eur) lėšų filmavimo darbams. Visos filmo Y gamybos išlaidos sudarė 350 000 Eur, iš jų 60 000 Eur buvo patirta užsienyje. Taip pat tiesiniu būdu buvo skaičiuojamas patalpų B nusidėvėjimas (2015 m. metinė nusidėvėjimo suma buvo lygi 3 500 Eur). Atsižvelgiant į tai, kad patalpos B nebuvo naudojamos filmų gamybai, 3 500 Eur šių patalpų nusidėvėjimo išlaidos nebus laikomos tinkamomis PMĮ 17</w:t>
      </w:r>
      <w:r w:rsidRPr="00080579">
        <w:rPr>
          <w:vertAlign w:val="superscript"/>
        </w:rPr>
        <w:t>2</w:t>
      </w:r>
      <w:r w:rsidRPr="00080579">
        <w:t xml:space="preserve"> straipsnyje įtvirtintos lengvatos taikymo tikslais. </w:t>
      </w:r>
    </w:p>
    <w:p w14:paraId="435CB311"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Siekiant nustatyti, ar ir, kokia neatlygintinai suteiktų lėšų filmo gamybai dalimi investuotojas galės pasinaudoti PMĮ 17</w:t>
      </w:r>
      <w:r w:rsidRPr="00080579">
        <w:rPr>
          <w:vertAlign w:val="superscript"/>
        </w:rPr>
        <w:t>2</w:t>
      </w:r>
      <w:r w:rsidRPr="00080579">
        <w:t xml:space="preserve"> straipsnio 2 dalyje įtvirtinta lengvata, įvertinama:</w:t>
      </w:r>
    </w:p>
    <w:p w14:paraId="564E7DCC"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ar sukurtas filmas, kuriam buvo išduota Filmą kvalifikuojanti pažyma;</w:t>
      </w:r>
    </w:p>
    <w:p w14:paraId="1C3CE729"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bendros tinkamos filmo gaminimo išlaidos – 346 500 Eur (350 000 Eur bendrų išlaidų –3 500 Eur netinkamos išlaidos);</w:t>
      </w:r>
    </w:p>
    <w:p w14:paraId="677CC085"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ar Lietuvos Respublikoje patirtos tinkamos išlaidos yra didesnės nei 43 000 Eur (Lietuvoje patirta 286 500 Eur (350 000 Eur bendrų išlaidų – 60 00 Eur užsienyje patirtų išlaidų - 3 500 Eur netinkamų išlaidų), ir ne mažiau kaip 80 proc. tinkamų filmo gamybos išlaidų patiriama Lietuvoje (286 500 Eur (Lietuvoje patirtos tinkamos išlaidos) / 346 500 Eur (bendros patirtos tinkamos išlaidos) x 100 proc.= 82,68 proc.);</w:t>
      </w:r>
    </w:p>
    <w:p w14:paraId="37F2AA19"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kad neatlygintinai suteiktų lėšų suma (t. y., 60 000 Eur) neviršija 20 proc. visų filmo gamybos išlaidų (t. y., 70 000 Eur (350 00 Eur bendra išlaidų suma x 20/100));</w:t>
      </w:r>
    </w:p>
    <w:p w14:paraId="73745D9E" w14:textId="77777777" w:rsidR="00E865C2" w:rsidRPr="00080579" w:rsidRDefault="00E865C2" w:rsidP="00E865C2">
      <w:pPr>
        <w:pBdr>
          <w:top w:val="single" w:sz="4" w:space="1" w:color="auto"/>
          <w:left w:val="single" w:sz="4" w:space="4" w:color="auto"/>
          <w:bottom w:val="single" w:sz="4" w:space="0" w:color="auto"/>
          <w:right w:val="single" w:sz="4" w:space="4" w:color="auto"/>
        </w:pBdr>
        <w:ind w:firstLine="720"/>
        <w:jc w:val="both"/>
      </w:pPr>
      <w:r w:rsidRPr="00080579">
        <w:t xml:space="preserve">Taigi matome, jog investuotojas investicinės pažymos išdavimo mokestinių laikotarpiu galės iš apmokestinamųjų pajamų atskaityti 45 000 Eur (75 /100 x 60000 Eur). </w:t>
      </w:r>
    </w:p>
    <w:p w14:paraId="52385CC0" w14:textId="77777777" w:rsidR="00E865C2" w:rsidRPr="006A377E" w:rsidRDefault="00E865C2" w:rsidP="00AB20CB">
      <w:pPr>
        <w:spacing w:after="0"/>
        <w:ind w:firstLine="720"/>
        <w:jc w:val="both"/>
        <w:rPr>
          <w:b/>
          <w:bCs/>
          <w:lang w:eastAsia="lt-LT"/>
        </w:rPr>
      </w:pPr>
    </w:p>
    <w:p w14:paraId="574B1062"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5) kelionės išlaidoms, kai Lietuvos Respublika nėra atvykimo arba išvykimo vieta;</w:t>
      </w:r>
    </w:p>
    <w:p w14:paraId="75C0693F" w14:textId="77777777" w:rsidR="00E865C2" w:rsidRDefault="00E865C2" w:rsidP="00AB20CB">
      <w:pPr>
        <w:widowControl w:val="0"/>
        <w:spacing w:after="0"/>
        <w:ind w:firstLine="720"/>
        <w:jc w:val="both"/>
        <w:rPr>
          <w:b/>
          <w:bCs/>
          <w:color w:val="000000"/>
          <w:lang w:eastAsia="lt-LT"/>
        </w:rPr>
      </w:pPr>
    </w:p>
    <w:p w14:paraId="71929A6F" w14:textId="77777777" w:rsidR="00E865C2" w:rsidRDefault="00E865C2" w:rsidP="00E865C2">
      <w:pPr>
        <w:ind w:firstLine="720"/>
        <w:jc w:val="both"/>
        <w:rPr>
          <w:b/>
        </w:rPr>
      </w:pPr>
      <w:r>
        <w:rPr>
          <w:b/>
        </w:rPr>
        <w:t>Komentaras</w:t>
      </w:r>
    </w:p>
    <w:p w14:paraId="203B7A9B" w14:textId="77777777" w:rsidR="00E865C2" w:rsidRDefault="00E865C2" w:rsidP="00E865C2">
      <w:pPr>
        <w:ind w:firstLine="720"/>
        <w:jc w:val="both"/>
      </w:pPr>
      <w:r>
        <w:t xml:space="preserve">Lietuvos filmo gamintojo patirtos kelionės išlaidos (visų pirmą, gyvenamojo ploto nuomos, kelionės visų rūšių transporto priemonėmis, dokumentų, susijusių su (iš)vykimu tvarkymo išlaidos, įskaitant kelionių draudimą, kurį gali sudaryti draudimas ligos atvejui, draudimas nuo nelaimingų atsitikimų, bagažo draudimas, civilinės atsakomybės draudimas, mokėjimo už kelius, taip pat </w:t>
      </w:r>
      <w:r>
        <w:lastRenderedPageBreak/>
        <w:t>transporto priemonės draudimo ir transporto priemonių savininkų ir valdytojų civilinės atsakomybės draudimu) nėra laikomos tinkamomis pagal PMĮ 17</w:t>
      </w:r>
      <w:r>
        <w:rPr>
          <w:vertAlign w:val="superscript"/>
        </w:rPr>
        <w:t xml:space="preserve">2 </w:t>
      </w:r>
      <w:r>
        <w:t>straipsnio 1 dalies 2 punktą ir nėra įtraukiamos apskaičiuojant bendrą tinkamų filmo ar jo dalies gamybos išlaidų sumą, kai Lietuvos Respublika nėra atvykimo ar išvykimo vieta.</w:t>
      </w:r>
    </w:p>
    <w:p w14:paraId="24DB3D8A" w14:textId="77777777" w:rsidR="00E865C2" w:rsidRDefault="00E865C2" w:rsidP="00E865C2">
      <w:pPr>
        <w:ind w:firstLine="720"/>
        <w:jc w:val="both"/>
      </w:pPr>
      <w:r>
        <w:t>Kitaip tariant, tuo atveju, kai aukščiau išvardintos Lietuvos filmo gamintojo kelionės išlaidos patirtos, gaminant filmą ar jo dalį ir atvykimo ar išvykimo vieta yra Lietuvos Respublika – tokios išlaidos būtų laikomos tinkamomis pagal PMĮ 17</w:t>
      </w:r>
      <w:r>
        <w:rPr>
          <w:vertAlign w:val="superscript"/>
        </w:rPr>
        <w:t xml:space="preserve">2 </w:t>
      </w:r>
      <w:r>
        <w:t>straipsnio 1 dalies 2 punktą ir būtų įtraukiamos apskaičiuojant bendrą tinkamų filmo ar jo dalies gamybos išlaidų sumą.</w:t>
      </w:r>
    </w:p>
    <w:p w14:paraId="09D49793" w14:textId="77777777" w:rsidR="00E865C2" w:rsidRPr="006A377E" w:rsidRDefault="00E865C2" w:rsidP="00AB20CB">
      <w:pPr>
        <w:widowControl w:val="0"/>
        <w:spacing w:after="0"/>
        <w:ind w:firstLine="720"/>
        <w:jc w:val="both"/>
        <w:rPr>
          <w:b/>
          <w:bCs/>
          <w:color w:val="000000"/>
          <w:lang w:eastAsia="lt-LT"/>
        </w:rPr>
      </w:pPr>
    </w:p>
    <w:p w14:paraId="3BC79DF9" w14:textId="77777777" w:rsidR="00093845" w:rsidRDefault="000D779E" w:rsidP="00AB20CB">
      <w:pPr>
        <w:widowControl w:val="0"/>
        <w:spacing w:after="0"/>
        <w:ind w:firstLine="720"/>
        <w:jc w:val="both"/>
        <w:rPr>
          <w:b/>
          <w:bCs/>
          <w:lang w:eastAsia="lt-LT"/>
        </w:rPr>
      </w:pPr>
      <w:r w:rsidRPr="006A377E">
        <w:rPr>
          <w:b/>
          <w:bCs/>
          <w:color w:val="000000"/>
          <w:lang w:eastAsia="lt-LT"/>
        </w:rPr>
        <w:t xml:space="preserve">6) </w:t>
      </w:r>
      <w:r w:rsidRPr="006A377E">
        <w:rPr>
          <w:b/>
          <w:bCs/>
          <w:lang w:eastAsia="lt-LT"/>
        </w:rPr>
        <w:t>parengiamųjų filmo darbų išlaidoms;</w:t>
      </w:r>
    </w:p>
    <w:p w14:paraId="74041C71" w14:textId="77777777" w:rsidR="009B3FED" w:rsidRDefault="009B3FED" w:rsidP="00AB20CB">
      <w:pPr>
        <w:widowControl w:val="0"/>
        <w:spacing w:after="0"/>
        <w:ind w:firstLine="720"/>
        <w:jc w:val="both"/>
        <w:rPr>
          <w:b/>
          <w:bCs/>
          <w:lang w:eastAsia="lt-LT"/>
        </w:rPr>
      </w:pPr>
    </w:p>
    <w:p w14:paraId="5CC403B9" w14:textId="77777777" w:rsidR="009B3FED" w:rsidRDefault="009B3FED" w:rsidP="009B3FED">
      <w:pPr>
        <w:ind w:left="709"/>
        <w:jc w:val="both"/>
        <w:rPr>
          <w:b/>
          <w:lang w:val="lt-LT"/>
        </w:rPr>
      </w:pPr>
      <w:r w:rsidRPr="002F06D0">
        <w:rPr>
          <w:b/>
          <w:lang w:val="lt-LT"/>
        </w:rPr>
        <w:t>Komentaras</w:t>
      </w:r>
    </w:p>
    <w:p w14:paraId="66CFC6F7" w14:textId="77777777" w:rsidR="009B3FED" w:rsidRDefault="009B3FED" w:rsidP="009B3FED">
      <w:pPr>
        <w:ind w:firstLine="720"/>
        <w:jc w:val="both"/>
        <w:rPr>
          <w:color w:val="000000"/>
          <w:shd w:val="clear" w:color="auto" w:fill="FFFFFF"/>
          <w:lang w:val="lt-LT"/>
        </w:rPr>
      </w:pPr>
      <w:r w:rsidRPr="002F06D0">
        <w:rPr>
          <w:lang w:val="lt-LT"/>
        </w:rPr>
        <w:t>Lietuvos filmo gamintojo patirtos parengiamųjų filmo ar jo dalies gamybos darbų išlaidos nėra laikomos tinkamomis pagal PMĮ 17</w:t>
      </w:r>
      <w:r w:rsidRPr="002F06D0">
        <w:rPr>
          <w:vertAlign w:val="superscript"/>
          <w:lang w:val="lt-LT"/>
        </w:rPr>
        <w:t xml:space="preserve">2 </w:t>
      </w:r>
      <w:r w:rsidRPr="002F06D0">
        <w:rPr>
          <w:lang w:val="lt-LT"/>
        </w:rPr>
        <w:t>straipsnio 1 dalies 2 punktą ir nėra įtraukiamos apskaičiuojant bendrą tinkamų filmo ar jo dalies gamybos išlaidų sumą. Pagal Lietuvos Respublikos kino įstatymo Nr. XI-1897 (</w:t>
      </w:r>
      <w:r w:rsidRPr="00A46CB4">
        <w:rPr>
          <w:lang w:val="lt-LT"/>
        </w:rPr>
        <w:t xml:space="preserve">toliau – Kino įstatymas) 2 straipsnio 20 dalies nuostatas, </w:t>
      </w:r>
      <w:r w:rsidRPr="00A46CB4">
        <w:rPr>
          <w:bCs/>
          <w:lang w:val="lt-LT"/>
        </w:rPr>
        <w:t>parengiamieji filmo darbai</w:t>
      </w:r>
      <w:r w:rsidRPr="00A46CB4">
        <w:rPr>
          <w:lang w:val="lt-LT"/>
        </w:rPr>
        <w:t xml:space="preserve"> – </w:t>
      </w:r>
      <w:r w:rsidRPr="00A46CB4">
        <w:rPr>
          <w:color w:val="000000"/>
          <w:shd w:val="clear" w:color="auto" w:fill="FFFFFF"/>
          <w:lang w:val="lt-LT"/>
        </w:rPr>
        <w:t>filmo kūrybinio sumanymo įgyvendinimo etapas, kurio metu sukuriamas scenarijus, įsigyjamos teisės naudoti kūrinius, gretutinių teisių objektus ir archyvinę medžiagą, sudaroma kūrybinė grupė, surandami investuotojai bei partneriai ir atliekami kiti iki filmo gamybos būtini darbai.</w:t>
      </w:r>
    </w:p>
    <w:p w14:paraId="4C10EE1C" w14:textId="77777777" w:rsidR="009B3FED" w:rsidRDefault="009B3FED" w:rsidP="009B3FED">
      <w:pPr>
        <w:ind w:firstLine="720"/>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408B9618" w14:textId="77777777" w:rsidR="00093845" w:rsidRPr="006A377E" w:rsidRDefault="000D779E" w:rsidP="00AB20CB">
      <w:pPr>
        <w:widowControl w:val="0"/>
        <w:spacing w:after="0"/>
        <w:ind w:firstLine="720"/>
        <w:jc w:val="both"/>
        <w:rPr>
          <w:b/>
          <w:bCs/>
          <w:color w:val="000000"/>
          <w:lang w:eastAsia="lt-LT"/>
        </w:rPr>
      </w:pPr>
      <w:r w:rsidRPr="006A377E">
        <w:rPr>
          <w:b/>
          <w:bCs/>
          <w:color w:val="000000"/>
          <w:lang w:eastAsia="lt-LT"/>
        </w:rPr>
        <w:t>7) filmo reklamos, rinkodaros išlaidoms;</w:t>
      </w:r>
    </w:p>
    <w:p w14:paraId="4609DC1A" w14:textId="77777777" w:rsidR="00093845" w:rsidRDefault="000D779E" w:rsidP="00AB20CB">
      <w:pPr>
        <w:widowControl w:val="0"/>
        <w:spacing w:after="0"/>
        <w:ind w:firstLine="720"/>
        <w:jc w:val="both"/>
        <w:rPr>
          <w:b/>
          <w:bCs/>
          <w:color w:val="000000"/>
          <w:lang w:eastAsia="lt-LT"/>
        </w:rPr>
      </w:pPr>
      <w:r w:rsidRPr="006A377E">
        <w:rPr>
          <w:b/>
          <w:bCs/>
          <w:color w:val="000000"/>
          <w:lang w:eastAsia="lt-LT"/>
        </w:rPr>
        <w:t>8) filmo platinimo išlaidoms;</w:t>
      </w:r>
    </w:p>
    <w:p w14:paraId="034DB2EE" w14:textId="77777777" w:rsidR="009B3FED" w:rsidRDefault="009B3FED" w:rsidP="00AB20CB">
      <w:pPr>
        <w:widowControl w:val="0"/>
        <w:spacing w:after="0"/>
        <w:ind w:firstLine="720"/>
        <w:jc w:val="both"/>
        <w:rPr>
          <w:b/>
          <w:bCs/>
          <w:color w:val="000000"/>
          <w:lang w:eastAsia="lt-LT"/>
        </w:rPr>
      </w:pPr>
    </w:p>
    <w:p w14:paraId="56D61400" w14:textId="77777777" w:rsidR="009B3FED" w:rsidRPr="002F06D0" w:rsidRDefault="009B3FED" w:rsidP="009B3FED">
      <w:pPr>
        <w:ind w:firstLine="709"/>
        <w:jc w:val="both"/>
        <w:rPr>
          <w:b/>
          <w:bCs/>
          <w:lang w:val="lt-LT" w:eastAsia="lt-LT"/>
        </w:rPr>
      </w:pPr>
      <w:r w:rsidRPr="002F06D0">
        <w:rPr>
          <w:b/>
          <w:bCs/>
          <w:lang w:val="lt-LT" w:eastAsia="lt-LT"/>
        </w:rPr>
        <w:t>Komentaras</w:t>
      </w:r>
    </w:p>
    <w:p w14:paraId="6DCA1F0A" w14:textId="77777777" w:rsidR="009B3FED" w:rsidRDefault="009B3FED" w:rsidP="009B3FED">
      <w:pPr>
        <w:spacing w:before="100" w:beforeAutospacing="1" w:after="100" w:afterAutospacing="1"/>
        <w:ind w:firstLine="709"/>
        <w:jc w:val="both"/>
        <w:rPr>
          <w:lang w:val="lt-LT" w:eastAsia="lt-LT"/>
        </w:rPr>
      </w:pPr>
      <w:r w:rsidRPr="002F06D0">
        <w:rPr>
          <w:bCs/>
          <w:lang w:val="lt-LT" w:eastAsia="lt-LT"/>
        </w:rPr>
        <w:t xml:space="preserve">Lietuvos filmo gamintojo patirtos pagaminto filmo platinimo, įskaitant ir filmo kopijų gamybą (filmo tiražavimą), išlaidos </w:t>
      </w:r>
      <w:r w:rsidRPr="002F06D0">
        <w:rPr>
          <w:lang w:val="lt-LT" w:eastAsia="lt-LT"/>
        </w:rPr>
        <w:t>nėra laikomos tinkamomis pagal PMĮ 17</w:t>
      </w:r>
      <w:r w:rsidRPr="002F06D0">
        <w:rPr>
          <w:vertAlign w:val="superscript"/>
          <w:lang w:val="lt-LT" w:eastAsia="lt-LT"/>
        </w:rPr>
        <w:t xml:space="preserve">2 </w:t>
      </w:r>
      <w:r w:rsidRPr="002F06D0">
        <w:rPr>
          <w:lang w:val="lt-LT" w:eastAsia="lt-LT"/>
        </w:rPr>
        <w:t>straipsnio 1 dalies 2 punktą ir nėra įtraukiamos apskaičiuojant bendrą tinkamų filmo ar jo dalies gamybos išlaidų sumą.</w:t>
      </w:r>
      <w:r w:rsidRPr="002F06D0">
        <w:rPr>
          <w:bCs/>
          <w:lang w:val="lt-LT" w:eastAsia="lt-LT"/>
        </w:rPr>
        <w:t xml:space="preserve"> Pagal Kino įstatymo  </w:t>
      </w:r>
      <w:r w:rsidRPr="002F06D0">
        <w:rPr>
          <w:b/>
          <w:bCs/>
          <w:lang w:val="lt-LT" w:eastAsia="lt-LT"/>
        </w:rPr>
        <w:t>2</w:t>
      </w:r>
      <w:r w:rsidRPr="002F06D0">
        <w:rPr>
          <w:bCs/>
          <w:lang w:val="lt-LT" w:eastAsia="lt-LT"/>
        </w:rPr>
        <w:t xml:space="preserve"> straipsnio 6 dalies nuostatas, filmo platinimas</w:t>
      </w:r>
      <w:r w:rsidRPr="002F06D0">
        <w:rPr>
          <w:lang w:val="lt-LT" w:eastAsia="lt-LT"/>
        </w:rPr>
        <w:t xml:space="preserve"> – tai filmo kopijų nuoma, panauda ar pardavimas. </w:t>
      </w:r>
    </w:p>
    <w:p w14:paraId="7E15A7B5" w14:textId="77777777" w:rsidR="009B3FED" w:rsidRDefault="009B3FED" w:rsidP="009B3FED">
      <w:pPr>
        <w:spacing w:before="100" w:beforeAutospacing="1" w:after="100" w:afterAutospacing="1"/>
        <w:ind w:firstLine="709"/>
        <w:jc w:val="both"/>
        <w:rPr>
          <w:bCs/>
          <w:lang w:val="lt-LT"/>
        </w:rPr>
      </w:pPr>
      <w:r>
        <w:rPr>
          <w:bCs/>
          <w:lang w:val="lt-LT"/>
        </w:rPr>
        <w:t xml:space="preserve">(Pagal 2019-09-13 VMI </w:t>
      </w:r>
      <w:r w:rsidR="00FE7AB0">
        <w:rPr>
          <w:bCs/>
          <w:lang w:val="lt-LT"/>
        </w:rPr>
        <w:t xml:space="preserve">prie FM raštą Nr. (32.42-31-1E) </w:t>
      </w:r>
      <w:r>
        <w:rPr>
          <w:bCs/>
          <w:lang w:val="lt-LT"/>
        </w:rPr>
        <w:t>RM-27343)</w:t>
      </w:r>
    </w:p>
    <w:p w14:paraId="1FCFCC4F" w14:textId="77777777" w:rsidR="009B3FED" w:rsidRPr="002F06D0" w:rsidRDefault="009B3FED" w:rsidP="009B3FED">
      <w:pPr>
        <w:shd w:val="clear" w:color="auto" w:fill="FFFFFF"/>
        <w:ind w:firstLine="720"/>
        <w:jc w:val="both"/>
        <w:rPr>
          <w:b/>
          <w:color w:val="000000"/>
          <w:lang w:val="lt-LT" w:eastAsia="lt-LT"/>
        </w:rPr>
      </w:pPr>
      <w:r w:rsidRPr="002F06D0">
        <w:rPr>
          <w:b/>
          <w:color w:val="000000"/>
          <w:lang w:val="lt-LT" w:eastAsia="lt-LT"/>
        </w:rPr>
        <w:t>9) kiekvienam </w:t>
      </w:r>
      <w:r w:rsidRPr="00A46CB4">
        <w:rPr>
          <w:b/>
          <w:color w:val="000000"/>
          <w:lang w:val="lt-LT" w:eastAsia="lt-LT"/>
        </w:rPr>
        <w:t>vaidmens atlikėjui atskirai išmokamam atlygiui – suma, viršijanti 4 procentus visų filmo ar jo dalies gamybos Lietuvos Respublikoje išlaidų.</w:t>
      </w:r>
    </w:p>
    <w:p w14:paraId="01DDA86D" w14:textId="77777777" w:rsidR="009B3FED" w:rsidRPr="00FE7AB0" w:rsidRDefault="009B3FED" w:rsidP="00FE7AB0">
      <w:pPr>
        <w:shd w:val="clear" w:color="auto" w:fill="FFFFFF"/>
        <w:jc w:val="both"/>
        <w:rPr>
          <w:i/>
          <w:color w:val="000000"/>
          <w:lang w:val="lt-LT" w:eastAsia="lt-LT"/>
        </w:rPr>
      </w:pPr>
      <w:r w:rsidRPr="00FE7AB0">
        <w:rPr>
          <w:i/>
          <w:color w:val="000000"/>
          <w:lang w:val="lt-LT" w:eastAsia="lt-LT"/>
        </w:rPr>
        <w:t>(KEISTA: 2018 12 11 įstatymas Nr. XIII-1703; nuostatos taikomos apskaičiuojant ir deklaruojant 2019 metų ir vėlesnių mokestinių laikotarpių pelno mokestį.)</w:t>
      </w:r>
    </w:p>
    <w:p w14:paraId="2F931A24" w14:textId="77777777" w:rsidR="009B3FED" w:rsidRPr="002F06D0" w:rsidRDefault="009B3FED" w:rsidP="009B3FED">
      <w:pPr>
        <w:ind w:left="709"/>
        <w:rPr>
          <w:b/>
          <w:lang w:val="lt-LT" w:eastAsia="lt-LT"/>
        </w:rPr>
      </w:pPr>
      <w:r w:rsidRPr="002F06D0">
        <w:rPr>
          <w:b/>
          <w:lang w:val="lt-LT" w:eastAsia="lt-LT"/>
        </w:rPr>
        <w:t>Komentaras</w:t>
      </w:r>
    </w:p>
    <w:p w14:paraId="395EA7EE" w14:textId="77777777" w:rsidR="009B3FED" w:rsidRPr="002F06D0" w:rsidRDefault="009B3FED" w:rsidP="009B3FED">
      <w:pPr>
        <w:ind w:firstLine="720"/>
        <w:jc w:val="both"/>
        <w:rPr>
          <w:lang w:val="lt-LT"/>
        </w:rPr>
      </w:pPr>
      <w:r w:rsidRPr="002F06D0">
        <w:rPr>
          <w:rFonts w:eastAsia="MS Mincho"/>
          <w:szCs w:val="22"/>
          <w:lang w:val="lt-LT" w:eastAsia="ja-JP"/>
        </w:rPr>
        <w:t xml:space="preserve">Jei kiekvienam vaidmenų atlikėjui atskirai filmo ar jo dalies gamybos metu išmokama atlygio suma yra didesnė kaip 4 procentai </w:t>
      </w:r>
      <w:r w:rsidRPr="002F06D0">
        <w:rPr>
          <w:lang w:val="lt-LT"/>
        </w:rPr>
        <w:t xml:space="preserve">visų filmo ar jo dalies gamybos </w:t>
      </w:r>
      <w:r w:rsidRPr="002F06D0">
        <w:rPr>
          <w:b/>
          <w:color w:val="000000"/>
          <w:lang w:val="lt-LT" w:eastAsia="lt-LT"/>
        </w:rPr>
        <w:t xml:space="preserve">Lietuvos Respublikoje </w:t>
      </w:r>
      <w:r w:rsidRPr="002F06D0">
        <w:rPr>
          <w:lang w:val="lt-LT"/>
        </w:rPr>
        <w:t>išlaidų, tai viršijanti sumos dalis nėra laikoma tinkamomis išlaidomis pagal PMĮ 17</w:t>
      </w:r>
      <w:r w:rsidRPr="002F06D0">
        <w:rPr>
          <w:vertAlign w:val="superscript"/>
          <w:lang w:val="lt-LT"/>
        </w:rPr>
        <w:t xml:space="preserve">2 </w:t>
      </w:r>
      <w:r w:rsidRPr="002F06D0">
        <w:rPr>
          <w:lang w:val="lt-LT"/>
        </w:rPr>
        <w:t xml:space="preserve">straipsnio 1 dalies 2 punktą ir nėra įtraukiama apskaičiuojant bendrą tinkamų filmo ar jo dalies gamybos išlaidų sumą. Vaidmens atlikėjas, tai asmuo, atliekantis vaidmenį gaminamame filme. </w:t>
      </w:r>
    </w:p>
    <w:p w14:paraId="7F5D1F90" w14:textId="77777777" w:rsidR="009B3FED" w:rsidRPr="002F06D0" w:rsidRDefault="009B3FED" w:rsidP="009B3FED">
      <w:pPr>
        <w:ind w:firstLine="709"/>
        <w:jc w:val="both"/>
        <w:rPr>
          <w:rFonts w:eastAsia="MS Mincho"/>
          <w:lang w:val="lt-LT" w:eastAsia="ja-JP"/>
        </w:rPr>
      </w:pPr>
      <w:r w:rsidRPr="002F06D0">
        <w:rPr>
          <w:rFonts w:eastAsia="MS Mincho"/>
          <w:lang w:val="lt-LT" w:eastAsia="ja-JP"/>
        </w:rPr>
        <w:t>Pavyzdys</w:t>
      </w:r>
    </w:p>
    <w:p w14:paraId="3290C9CE" w14:textId="77777777" w:rsidR="009B3FED" w:rsidRPr="00A46CB4" w:rsidRDefault="009B3FED" w:rsidP="009B3FED">
      <w:pPr>
        <w:pBdr>
          <w:top w:val="single" w:sz="4" w:space="1" w:color="auto"/>
          <w:left w:val="single" w:sz="4" w:space="4" w:color="auto"/>
          <w:bottom w:val="single" w:sz="4" w:space="1" w:color="auto"/>
          <w:right w:val="single" w:sz="4" w:space="4" w:color="auto"/>
        </w:pBdr>
        <w:ind w:firstLine="709"/>
        <w:jc w:val="both"/>
        <w:rPr>
          <w:rFonts w:eastAsia="MS Mincho"/>
          <w:lang w:val="lt-LT" w:eastAsia="ja-JP"/>
        </w:rPr>
      </w:pPr>
      <w:r w:rsidRPr="002F06D0">
        <w:rPr>
          <w:rFonts w:eastAsia="MS Mincho"/>
          <w:lang w:val="lt-LT" w:eastAsia="ja-JP"/>
        </w:rPr>
        <w:lastRenderedPageBreak/>
        <w:t xml:space="preserve">Lietuvoje kuriamo filmo visos gamybos išlaidos – 200 000 Eur – patiriamos Lietuvoje. Filme vaidino trys aktoriai, kuriems, kaip vaidmenų atlikėjams, buvo išmokėtos tokios atlygio sumos: 12 000 Eur, 9 000 Eur ir 3000 Eur. Kadangi </w:t>
      </w:r>
      <w:r w:rsidRPr="00A46CB4">
        <w:rPr>
          <w:rFonts w:eastAsia="MS Mincho"/>
          <w:lang w:val="lt-LT" w:eastAsia="ja-JP"/>
        </w:rPr>
        <w:t>kiekvienam vaidmenų atlikėjui atskirai išmokama atlygio suma, viršijanti 4 proc. visų filmo ar jo dalies išlaidų, nėra įtraukiama apskaičiuojant bendrą tinkamų filmo ar jo dalies gamybos išlaidų sumą, tai pavyzdyje nurodytu atveju tinkamomis išlaidomis gali būti pripažįstamos tik 8 000 Eur (200 000 Eur x 4 proc.) neviršijančios atlygio kiekvienam aktoriui sumos. Todėl iš išmokėtų atlygio sumų tinkamoms filmo gamybos išlaidoms bus priskiriama tik 19 000 Eur (8 000 Eur + 8 000 Eur + 3 000 Eur) suma.</w:t>
      </w:r>
    </w:p>
    <w:p w14:paraId="779AAC4A" w14:textId="77777777" w:rsidR="009B3FED" w:rsidRDefault="009B3FED" w:rsidP="009B3FED">
      <w:pPr>
        <w:spacing w:before="100" w:beforeAutospacing="1" w:after="100" w:afterAutospacing="1"/>
        <w:ind w:firstLine="709"/>
        <w:jc w:val="both"/>
        <w:rPr>
          <w:bCs/>
          <w:lang w:val="lt-LT"/>
        </w:rPr>
      </w:pPr>
      <w:r>
        <w:rPr>
          <w:bCs/>
          <w:lang w:val="lt-LT"/>
        </w:rPr>
        <w:t>(Pagal 2019-09-13 VMI prie FM raštą Nr. (32.42-31-1E)-RM-27343)</w:t>
      </w:r>
    </w:p>
    <w:p w14:paraId="03D08587" w14:textId="77777777" w:rsidR="009B3FED" w:rsidRPr="006A377E" w:rsidRDefault="009B3FED" w:rsidP="00AB20CB">
      <w:pPr>
        <w:widowControl w:val="0"/>
        <w:spacing w:after="0"/>
        <w:ind w:firstLine="720"/>
        <w:jc w:val="both"/>
        <w:rPr>
          <w:b/>
          <w:bCs/>
          <w:color w:val="000000"/>
          <w:lang w:eastAsia="lt-LT"/>
        </w:rPr>
      </w:pPr>
    </w:p>
    <w:p w14:paraId="719F3C38" w14:textId="77777777" w:rsidR="00093845" w:rsidRDefault="000D779E">
      <w:pPr>
        <w:tabs>
          <w:tab w:val="left" w:pos="720"/>
          <w:tab w:val="left" w:pos="1077"/>
          <w:tab w:val="left" w:pos="1418"/>
        </w:tabs>
        <w:autoSpaceDE w:val="0"/>
        <w:autoSpaceDN w:val="0"/>
        <w:ind w:right="-5" w:firstLine="720"/>
        <w:jc w:val="both"/>
        <w:rPr>
          <w:rFonts w:ascii="TimesLT" w:hAnsi="TimesLT"/>
          <w:b/>
        </w:rPr>
      </w:pPr>
      <w:r>
        <w:rPr>
          <w:rFonts w:ascii="TimesLT" w:hAnsi="TimesLT"/>
          <w:b/>
        </w:rPr>
        <w:t>18 STRA</w:t>
      </w:r>
      <w:bookmarkStart w:id="341" w:name="P56395_3"/>
      <w:bookmarkEnd w:id="341"/>
      <w:r>
        <w:rPr>
          <w:rFonts w:ascii="TimesLT" w:hAnsi="TimesLT"/>
          <w:b/>
        </w:rPr>
        <w:t>IP</w:t>
      </w:r>
      <w:bookmarkStart w:id="342" w:name="P56395_4"/>
      <w:bookmarkEnd w:id="342"/>
      <w:r>
        <w:rPr>
          <w:rFonts w:ascii="TimesLT" w:hAnsi="TimesLT"/>
          <w:b/>
        </w:rPr>
        <w:t xml:space="preserve">SNIS. Ilgalaikio turto nusidėvėjimo arba amortizacijos sąnaudos </w:t>
      </w:r>
    </w:p>
    <w:p w14:paraId="04D628AF" w14:textId="77777777" w:rsidR="00093845" w:rsidRDefault="000D779E">
      <w:pPr>
        <w:jc w:val="both"/>
        <w:rPr>
          <w:b/>
        </w:rPr>
      </w:pPr>
      <w:r>
        <w:rPr>
          <w:b/>
        </w:rPr>
        <w:t xml:space="preserve">          </w:t>
      </w:r>
      <w:r>
        <w:rPr>
          <w:b/>
        </w:rPr>
        <w:tab/>
        <w:t xml:space="preserve">1. Vienete yra nudėvimas arba amortizuojamas jo ilgalaikis turtas ir prestižas, jei šio Įstatymo nenustatyta kitaip. Ilgalaikio turto įsigijimo kaina į sąnaudas perkeliama ir iš pajamų atskaitoma dalimis per šio turto nusidėvėjimo arba amortizacijos laikotarpį, nustatomą pagal šio straipsnio 2 dalį. Apskaičiuojant pelno mokestį, mokslinių tyrimų ir eksperimentinės plėtros darbų sąnaudos atskaitomos iš pajamų tuo mokestiniu laikotarpiu, kurį faktiškai patiriamos. </w:t>
      </w:r>
    </w:p>
    <w:p w14:paraId="26E36A43" w14:textId="77777777" w:rsidR="00093845" w:rsidRPr="00FE7AB0" w:rsidRDefault="000D779E" w:rsidP="006A377E">
      <w:pPr>
        <w:jc w:val="both"/>
        <w:rPr>
          <w:i/>
        </w:rPr>
      </w:pPr>
      <w:r w:rsidRPr="00FE7AB0">
        <w:rPr>
          <w:i/>
        </w:rPr>
        <w:t>(</w:t>
      </w:r>
      <w:r w:rsidRPr="00FE7AB0">
        <w:rPr>
          <w:i/>
          <w:lang w:val="lt-LT"/>
        </w:rPr>
        <w:t xml:space="preserve">KEISTA: </w:t>
      </w:r>
      <w:r w:rsidRPr="00FE7AB0">
        <w:rPr>
          <w:i/>
          <w:color w:val="000000"/>
        </w:rPr>
        <w:t>2008 04 10 įstatymu Nr. X-1484 (nuo 2008 04 24)</w:t>
      </w:r>
      <w:r w:rsidR="00655350" w:rsidRPr="00FE7AB0">
        <w:rPr>
          <w:i/>
          <w:color w:val="000000"/>
        </w:rPr>
        <w:t>,</w:t>
      </w:r>
      <w:r w:rsidR="005768CE" w:rsidRPr="00FE7AB0">
        <w:rPr>
          <w:i/>
        </w:rPr>
        <w:t xml:space="preserve"> </w:t>
      </w:r>
      <w:r w:rsidR="005768CE" w:rsidRPr="00FE7AB0">
        <w:rPr>
          <w:i/>
          <w:color w:val="000000"/>
        </w:rPr>
        <w:t>galioja nuo 2008 metais prasidėjusio mokestinio laikotarpio</w:t>
      </w:r>
      <w:r w:rsidRPr="00FE7AB0">
        <w:rPr>
          <w:i/>
        </w:rPr>
        <w:t>)</w:t>
      </w:r>
    </w:p>
    <w:p w14:paraId="7D705804" w14:textId="77777777" w:rsidR="00093845" w:rsidRDefault="000D779E">
      <w:pPr>
        <w:tabs>
          <w:tab w:val="left" w:pos="720"/>
          <w:tab w:val="left" w:pos="1077"/>
          <w:tab w:val="left" w:pos="1418"/>
        </w:tabs>
        <w:ind w:right="-5" w:firstLine="709"/>
        <w:jc w:val="both"/>
        <w:rPr>
          <w:b/>
          <w:szCs w:val="20"/>
        </w:rPr>
      </w:pPr>
      <w:r>
        <w:rPr>
          <w:b/>
        </w:rPr>
        <w:t>Komentaras</w:t>
      </w:r>
    </w:p>
    <w:p w14:paraId="59ED7CD3"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1.</w:t>
      </w:r>
      <w:r>
        <w:rPr>
          <w:rFonts w:ascii="TimesLT" w:hAnsi="TimesLT" w:cs="Arial Unicode MS"/>
        </w:rPr>
        <w:tab/>
        <w:t>Šiame straipsnyje nustatyta ilgalaikio turto visa tvarka. Ši tvarka taikoma apskaičiuojant nuo 2002 m. mokestinio laikotarpio pradžios įsigyto arba pradėto naudoti ilgalaikio turto nusidėvėjimą (amortizaciją). Vadinasi, nuo 2002 m. mokestinio laikotarpio pradžios įsigyto arba pradėto naudoti ilgalaikio turto nusidėvėjimo (amortizacijos) sumos bus priskiriamos prie leidžiamų atskaitymų tik tuo atveju, jei jos apskaičiuotos pagal šio straipsnio nustatytą tvarką.</w:t>
      </w:r>
    </w:p>
    <w:p w14:paraId="06DA8FBC"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 xml:space="preserve">2. Jeigu įmonė įsigijo ilgalaikį materialųjį turtą 2001 ar ankstesniais metais, o pradėjo jį naudoti tik 2002 metais, tai šio turto nusidėvėjimą (amortizaciją) įmonės skaičiuoja PMĮ nustatyta tvarka. </w:t>
      </w:r>
    </w:p>
    <w:p w14:paraId="09C8D40D" w14:textId="77777777" w:rsidR="00F064C6" w:rsidRDefault="00F064C6" w:rsidP="00F064C6">
      <w:pPr>
        <w:ind w:firstLine="720"/>
        <w:jc w:val="both"/>
      </w:pPr>
      <w:r>
        <w:t>3.</w:t>
      </w:r>
      <w:r w:rsidR="000D779E">
        <w:t xml:space="preserve"> Mokslinių tyrimų ir eksperimentinės plėtros sąvokos yra </w:t>
      </w:r>
      <w:r w:rsidR="000D779E">
        <w:rPr>
          <w:bCs/>
        </w:rPr>
        <w:t>apibrėžtos PMĮ 2 str. 18 dalyje (</w:t>
      </w:r>
      <w:r w:rsidR="000D779E">
        <w:t>žr. PMĮ 2 str. 18 dalies komentarą).</w:t>
      </w:r>
    </w:p>
    <w:p w14:paraId="787BA566" w14:textId="77777777" w:rsidR="00093845" w:rsidRDefault="00F064C6">
      <w:pPr>
        <w:tabs>
          <w:tab w:val="left" w:pos="720"/>
          <w:tab w:val="left" w:pos="1077"/>
          <w:tab w:val="left" w:pos="1418"/>
        </w:tabs>
        <w:ind w:right="-5" w:firstLine="709"/>
        <w:jc w:val="both"/>
        <w:rPr>
          <w:rFonts w:ascii="TimesLT" w:hAnsi="TimesLT" w:cs="Arial Unicode MS"/>
        </w:rPr>
      </w:pPr>
      <w:r>
        <w:rPr>
          <w:rFonts w:ascii="TimesLT" w:hAnsi="TimesLT" w:cs="Arial Unicode MS"/>
        </w:rPr>
        <w:t>3.1</w:t>
      </w:r>
      <w:r w:rsidR="000D779E">
        <w:rPr>
          <w:rFonts w:ascii="TimesLT" w:hAnsi="TimesLT" w:cs="Arial Unicode MS"/>
        </w:rPr>
        <w:t>. Šioje dalyje nustatyta, kad pelno mokesčio apskaičiavimo tikslais mokslinių tyrimų ir eksperimentinės plėtros darbų sąnaudos, išskyrus mokslinių tyrimų ir eksperimentinės plėtros veikloje naudojamo ilgalaikio turto apskaičiuotos nusidėvėjimo arba amortizacijos sąnaudos, iš pajamų atskaitomos kaip leidžiami atskaitymai tą mokestinį laikotarpį, kurį faktiškai patiriamos. Mokslinių tyrimų ir eksperimentinės plėtros darbų sąnaudos iš pajamų atskaitomos PMĮ 17</w:t>
      </w:r>
      <w:r w:rsidR="000D779E">
        <w:rPr>
          <w:rFonts w:ascii="TimesLT" w:hAnsi="TimesLT" w:cs="Arial Unicode MS"/>
          <w:vertAlign w:val="superscript"/>
        </w:rPr>
        <w:t xml:space="preserve">1 </w:t>
      </w:r>
      <w:r w:rsidR="000D779E">
        <w:rPr>
          <w:rFonts w:ascii="TimesLT" w:hAnsi="TimesLT" w:cs="Arial Unicode MS"/>
        </w:rPr>
        <w:t>straipsnyje nustatyta tvarka (žr. PMĮ 17</w:t>
      </w:r>
      <w:r w:rsidR="000D779E">
        <w:rPr>
          <w:rFonts w:ascii="TimesLT" w:hAnsi="TimesLT" w:cs="Arial Unicode MS"/>
          <w:vertAlign w:val="superscript"/>
        </w:rPr>
        <w:t xml:space="preserve">1 </w:t>
      </w:r>
      <w:r w:rsidR="000D779E">
        <w:rPr>
          <w:rFonts w:ascii="TimesLT" w:hAnsi="TimesLT" w:cs="Arial Unicode MS"/>
        </w:rPr>
        <w:t>straipsnio komentarą).</w:t>
      </w:r>
    </w:p>
    <w:p w14:paraId="3A85407A" w14:textId="77777777" w:rsidR="00093845" w:rsidRDefault="000D779E">
      <w:pPr>
        <w:tabs>
          <w:tab w:val="left" w:pos="720"/>
          <w:tab w:val="left" w:pos="1077"/>
          <w:tab w:val="left" w:pos="1418"/>
        </w:tabs>
        <w:ind w:right="-5" w:firstLine="709"/>
        <w:jc w:val="both"/>
        <w:rPr>
          <w:rFonts w:ascii="TimesLT" w:hAnsi="TimesLT" w:cs="Arial Unicode MS"/>
        </w:rPr>
      </w:pPr>
      <w:r>
        <w:rPr>
          <w:rFonts w:ascii="TimesLT" w:hAnsi="TimesLT" w:cs="Arial Unicode MS"/>
        </w:rPr>
        <w:t>3</w:t>
      </w:r>
      <w:r w:rsidR="00F064C6">
        <w:rPr>
          <w:rFonts w:ascii="TimesLT" w:hAnsi="TimesLT" w:cs="Arial Unicode MS"/>
        </w:rPr>
        <w:t>.2</w:t>
      </w:r>
      <w:r>
        <w:rPr>
          <w:rFonts w:ascii="TimesLT" w:hAnsi="TimesLT" w:cs="Arial Unicode MS"/>
        </w:rPr>
        <w:t xml:space="preserve">. Tuo atveju, jeigu tyrinėjimo ir plėtojimo darbai neatitinka mokslinių tyrimų ir eksperimentinės plėtros sąvokų, </w:t>
      </w:r>
      <w:r>
        <w:rPr>
          <w:rFonts w:ascii="TimesLT" w:hAnsi="TimesLT" w:cs="Arial Unicode MS"/>
          <w:bCs/>
        </w:rPr>
        <w:t xml:space="preserve">apibrėžtų PMĮ 2 str. 18 dalyje, tai, </w:t>
      </w:r>
      <w:r>
        <w:rPr>
          <w:rFonts w:ascii="TimesLT" w:hAnsi="TimesLT" w:cs="Arial Unicode MS"/>
        </w:rPr>
        <w:t>pelno mokesčio apskaičiavimo tikslais, įmonės patirtos tyrinėjimo darbų išlaidos, būtinos vieneto pajamoms uždirbti ar vieneto ekonominei naudai gauti, atskaitomos iš pajamų kaip leidžiami atskaitymai tą mokestinį laikotarpį, kurį faktiškai patiriamos, o plėtojimo darbų vertė, skirta vieneto pajamoms uždirbti ar vieneto ekonominei naudai gauti, iš pajamų atskaitoma kaip nematerialaus turto amortizacijos suma, apskaičiuota pagal PMĮ 1 priedėlyje nustatytus normatyvus.</w:t>
      </w:r>
    </w:p>
    <w:p w14:paraId="25075D11" w14:textId="77777777" w:rsidR="00093845" w:rsidRDefault="00F064C6">
      <w:pPr>
        <w:tabs>
          <w:tab w:val="left" w:pos="720"/>
          <w:tab w:val="left" w:pos="1077"/>
          <w:tab w:val="left" w:pos="1418"/>
        </w:tabs>
        <w:ind w:right="-5" w:firstLine="709"/>
        <w:jc w:val="both"/>
        <w:rPr>
          <w:rFonts w:ascii="TimesLT" w:hAnsi="TimesLT" w:cs="Arial Unicode MS"/>
          <w:lang w:eastAsia="lt-LT"/>
        </w:rPr>
      </w:pPr>
      <w:r>
        <w:rPr>
          <w:rFonts w:ascii="TimesLT" w:hAnsi="TimesLT" w:cs="Arial Unicode MS"/>
        </w:rPr>
        <w:lastRenderedPageBreak/>
        <w:tab/>
        <w:t>3.3</w:t>
      </w:r>
      <w:r w:rsidR="000D779E">
        <w:rPr>
          <w:rFonts w:ascii="TimesLT" w:hAnsi="TimesLT" w:cs="Arial Unicode MS"/>
        </w:rPr>
        <w:t>. Ilgalaikio turto, naudojamo mokslinių tyrimų ir eksperimentinės plėtros veikloje, įsigijimo kaina į sąnaudas perkeliama ir iš pajamų atskaitoma dalimis per šio turto nusidėvėjimo (amortizacijos) laikotarpį, nustatomą pagal šio straipsnio 2 dalį (žr. PMĮ 18 str. 2 dalies komentarą).</w:t>
      </w:r>
    </w:p>
    <w:p w14:paraId="268A195D" w14:textId="77777777" w:rsidR="00093845" w:rsidRDefault="00FE7AB0" w:rsidP="00357EBE">
      <w:r>
        <w:t xml:space="preserve">               </w:t>
      </w:r>
      <w:r w:rsidR="000D779E">
        <w:t>(</w:t>
      </w:r>
      <w:r w:rsidR="000D779E" w:rsidRPr="00036898">
        <w:t xml:space="preserve">PMĮ 18 str. 1 dalies komentaras pakeistas pagal VMI prie FM 2015-05-20 raštą </w:t>
      </w:r>
      <w:r w:rsidR="000D779E" w:rsidRPr="00036898">
        <w:rPr>
          <w:color w:val="000000"/>
        </w:rPr>
        <w:t>Nr. (32-42-31-1)-RM-11240)).</w:t>
      </w:r>
      <w:r w:rsidR="000D779E">
        <w:tab/>
      </w:r>
      <w:r w:rsidR="000D779E">
        <w:tab/>
      </w:r>
    </w:p>
    <w:p w14:paraId="1AFBC381" w14:textId="77777777" w:rsidR="00093845" w:rsidRDefault="000D779E" w:rsidP="00CD7530">
      <w:pPr>
        <w:spacing w:after="0"/>
        <w:ind w:firstLine="900"/>
        <w:jc w:val="both"/>
        <w:rPr>
          <w:b/>
        </w:rPr>
      </w:pPr>
      <w:r>
        <w:rPr>
          <w:b/>
        </w:rPr>
        <w:t>2. Ilgalaikio turto grupės ir jo nusidėvėjimo arba amortizacijos maksimalūs normatyvai (metais) nustatyti šio Įstatymo 1 priedėlyje. Ilgalaikis turtas, kuris yra registruojamas atitinkamo turto grupei gali būti priskiriamas atsižvelgiant vien į tokio turto naudojimo paskirtį. Vienetas pats nusistato (pasirenka) ilgalaikio turto nusidėvėjimo arba amortizacijos laikotarpį, ne trumpesnį negu nustatyti šio Įstatymo 1 priedėlyje ilgalaikio turto nusidėvėjimo arba amortizacijos normatyvai (metais), ir likvidacinę vertę, ne didesnę kaip 10 procentų įsigijimo kainos.</w:t>
      </w:r>
    </w:p>
    <w:p w14:paraId="4787E09D" w14:textId="77777777" w:rsidR="00093845" w:rsidRDefault="000D779E" w:rsidP="00CD7530">
      <w:pPr>
        <w:spacing w:after="0"/>
        <w:jc w:val="both"/>
        <w:rPr>
          <w:i/>
        </w:rPr>
      </w:pPr>
      <w:r w:rsidRPr="00FE7AB0">
        <w:rPr>
          <w:i/>
        </w:rPr>
        <w:t>(KEISTA:</w:t>
      </w:r>
      <w:r w:rsidRPr="00FE7AB0">
        <w:rPr>
          <w:i/>
          <w:lang w:val="lt-LT"/>
        </w:rPr>
        <w:t xml:space="preserve"> </w:t>
      </w:r>
      <w:r w:rsidRPr="00FE7AB0">
        <w:rPr>
          <w:i/>
        </w:rPr>
        <w:t>2009 12 09 įstatymu Nr. XI-539 (nuo 2009 12 28)</w:t>
      </w:r>
      <w:r w:rsidR="00655350" w:rsidRPr="00FE7AB0">
        <w:rPr>
          <w:i/>
        </w:rPr>
        <w:t>,</w:t>
      </w:r>
      <w:r w:rsidR="00DD299D" w:rsidRPr="00FE7AB0">
        <w:rPr>
          <w:i/>
        </w:rPr>
        <w:t xml:space="preserve"> taikoma apskaičiuojant 2009 metų ir vėlesnių mokestinių laikotarpių pelno mokestį</w:t>
      </w:r>
      <w:r w:rsidRPr="00FE7AB0">
        <w:rPr>
          <w:i/>
        </w:rPr>
        <w:t>)</w:t>
      </w:r>
    </w:p>
    <w:p w14:paraId="42C0BC14" w14:textId="77777777" w:rsidR="008A55B2" w:rsidRPr="00FE7AB0" w:rsidRDefault="008A55B2" w:rsidP="00CD7530">
      <w:pPr>
        <w:spacing w:after="0"/>
        <w:jc w:val="both"/>
        <w:rPr>
          <w:i/>
        </w:rPr>
      </w:pPr>
    </w:p>
    <w:p w14:paraId="76FC2B52" w14:textId="77777777" w:rsidR="00093845" w:rsidRDefault="000D779E">
      <w:pPr>
        <w:ind w:firstLine="900"/>
        <w:jc w:val="both"/>
        <w:rPr>
          <w:b/>
        </w:rPr>
      </w:pPr>
      <w:r>
        <w:rPr>
          <w:b/>
        </w:rPr>
        <w:t>Komentaras</w:t>
      </w:r>
    </w:p>
    <w:p w14:paraId="4316E3BF" w14:textId="77777777" w:rsidR="00093845" w:rsidRDefault="000D779E">
      <w:pPr>
        <w:ind w:firstLine="900"/>
        <w:jc w:val="both"/>
      </w:pPr>
      <w:r>
        <w:t>1. Pagal PMĮ 13 str. 3 dalį, priskiriant turtą ilgalaikiam ar trumpalaikiam turtui, reikia vadovautis dviem kriterijais: turtas ilgiau kaip vienerius metus turi būti naudojamas įmonės pajamoms uždirbti (ekonominei naudai gauti) ir jo kaina turi būti ne mažesnė už įmonės kiekvienai turto grupei nusistatytą minimalią kainą. Pagal minėto straipsnio nuostatas galima nusistatyti visoms ilgalaikio turto grupėms vieną minimalią kainą, atsižvelgiant į ilgalaikio turto grupę, kuriai priskiriamų turto vienetų įsigijimo kaina yra mažiausia.</w:t>
      </w:r>
    </w:p>
    <w:p w14:paraId="602BF312" w14:textId="77777777" w:rsidR="00093845" w:rsidRDefault="000D779E">
      <w:pPr>
        <w:ind w:firstLine="900"/>
        <w:jc w:val="both"/>
      </w:pPr>
      <w:r>
        <w:t>Atsižvelgiant į tai, kad PMĮ ir buhalterinę apskaitą reglamentuojančiuose teisės aktuose nustatyti tie patys kriterijai, priskiriantys turtą ilgalaikiam ar trumpalaikiam turtui, minimali ilgalaikio turto, įsigyto nuo 2002 m. sausio 1 d., įsigijimo vertė, nustatyta finansinėje apskaitoje, turi sutapti.</w:t>
      </w:r>
    </w:p>
    <w:p w14:paraId="1118EDD5" w14:textId="77777777" w:rsidR="00093845" w:rsidRDefault="000D779E">
      <w:pPr>
        <w:ind w:firstLine="900"/>
        <w:jc w:val="both"/>
      </w:pPr>
      <w:r>
        <w:t>1</w:t>
      </w:r>
      <w:r>
        <w:rPr>
          <w:vertAlign w:val="superscript"/>
        </w:rPr>
        <w:t>1</w:t>
      </w:r>
      <w:r>
        <w:t>. 2009 metais prasidėjusį mokestinį laikotarpį ir vėlesniais mokestiniais laikotarpiais įsigytas ilgalaikis turtas, kuris yra registruojamas atitinkamo turto registre, pelno mokesčio apskaičiavimo tikslais, tam tikrai ilgalaikio turto grupei gali būti priskiriamas ir nudėvimas (amortizuojamas) atsižvelgiant vien tik į tokio turto naudojimo paskirtį. Vadinasi, pagal naudojimo paskirtį tam tikrai ilgalaikio turto grupei priskirti galima tik tokį turtą, kuris teisės aktų nustatyta tvarka yra registruojamas, pvz. transporto priemonės, turtas</w:t>
      </w:r>
      <w:r>
        <w:rPr>
          <w:b/>
        </w:rPr>
        <w:t>,</w:t>
      </w:r>
      <w:r>
        <w:t xml:space="preserve"> registruojamas Nekilnojamojo turto registre arba Lietuvos Respublikos jūrų laivų registre ir pan.</w:t>
      </w:r>
    </w:p>
    <w:p w14:paraId="0468B443" w14:textId="77777777" w:rsidR="00093845" w:rsidRDefault="000D779E">
      <w:pPr>
        <w:ind w:firstLine="900"/>
        <w:jc w:val="both"/>
      </w:pPr>
      <w:r>
        <w:t>Pavyzdžiai</w:t>
      </w:r>
    </w:p>
    <w:p w14:paraId="3FD82470"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1. UAB X 2015 metais prasidėjusį mokestinį laikotarpį įsigijo autokraną, kurio techniniame pase nurodyta, kad Valstybinėje įmonėje ,,Regitra“ įregistruoto autokrano tipas – N3G-BE-SF. Autokranas registruotas kaip bekėbulis sunkvežimis – N kategorijos transporto priemonė, neskirta kroviniams vežti, tačiau turinti kraną, kurio kėlimo momentas lygus ar didesnis kaip 400 kNm.</w:t>
      </w:r>
    </w:p>
    <w:p w14:paraId="61FABC12"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UAB X kraną faktiškai naudoja savo vykdomoje statybinėje veikloje kaip mašiną, todėl, neatsižvelgiant į tai, kad kranas yra registruojamas kaip transporto priemonė, tačiau toks kranas, atsižvelgiant į jo naudojimo paskirtį, pelno mokesčio apskaičiavimo tikslais priskiriamas ne krovininių automobilių ilgalaikio turto grupei, o ilgalaikio turto grupei ,,Mašinos ir įrengimai“.</w:t>
      </w:r>
    </w:p>
    <w:p w14:paraId="6B0DE124"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t>2. UAB Y 2015 metais prasidėjusį mokestinį laikotarpį ūkinei veiklai vykdyti įsigijo laivą – vilkiką, kurio pagrindinė funkcija saugiai prišvartuoti ir atšvartuoti nuo krantinės atplaukiančius ir išplaukiančius laivus.</w:t>
      </w:r>
    </w:p>
    <w:p w14:paraId="0E8323C8" w14:textId="77777777" w:rsidR="00093845" w:rsidRDefault="000D779E">
      <w:pPr>
        <w:pBdr>
          <w:top w:val="single" w:sz="4" w:space="1" w:color="auto"/>
          <w:left w:val="single" w:sz="4" w:space="4" w:color="auto"/>
          <w:bottom w:val="single" w:sz="4" w:space="1" w:color="auto"/>
          <w:right w:val="single" w:sz="4" w:space="4" w:color="auto"/>
        </w:pBdr>
        <w:ind w:firstLine="900"/>
        <w:jc w:val="both"/>
      </w:pPr>
      <w:r>
        <w:lastRenderedPageBreak/>
        <w:t xml:space="preserve">UAB Y laivą - vilkiką faktiškai naudoja savo vykdomoje veikloje kaip mašiną, todėl, neatsižvelgiant į tai, kad laivas – vilkikas Lietuvos Respublikos jūrų laivų registre yra registruojamas kaip laivas, tačiau, atsižvelgiant į jo naudojimo paskirtį, pelno mokesčio apskaičiavimo tikslais priskiriamas ne laivų ilgalaikio turto grupei, o ilgalaikio turto grupei ,,Mašinos ir įrengimai“. </w:t>
      </w:r>
    </w:p>
    <w:p w14:paraId="58007351" w14:textId="77777777" w:rsidR="00093845" w:rsidRDefault="000D779E">
      <w:pPr>
        <w:tabs>
          <w:tab w:val="left" w:pos="720"/>
          <w:tab w:val="left" w:pos="1077"/>
          <w:tab w:val="left" w:pos="1418"/>
        </w:tabs>
        <w:ind w:right="-5" w:firstLine="709"/>
        <w:jc w:val="both"/>
        <w:rPr>
          <w:szCs w:val="20"/>
        </w:rPr>
      </w:pPr>
      <w:r>
        <w:t>2. Įmonė pati turi nusistatyti net tik kiekvienos ilgalaikio turto grupės minimalią kainą, pagal kurią įsigytas turtas bus priskiriamas ilgalaikiam ar trumpalaikiam turtui, bet ir nusidėvėjimo (amortizacijos) laikotarpį, ne trumpesnį, negu šio PMĮ 1 priedėlyje nustatyti nusidėvėjimo (amortizacijos) normatyvai (metais).</w:t>
      </w:r>
    </w:p>
    <w:p w14:paraId="2454C517" w14:textId="77777777" w:rsidR="00093845" w:rsidRDefault="000D779E">
      <w:pPr>
        <w:tabs>
          <w:tab w:val="left" w:pos="720"/>
          <w:tab w:val="left" w:pos="1077"/>
          <w:tab w:val="left" w:pos="1418"/>
        </w:tabs>
        <w:ind w:right="-5" w:firstLine="709"/>
        <w:jc w:val="both"/>
        <w:rPr>
          <w:szCs w:val="20"/>
        </w:rPr>
      </w:pPr>
      <w:r>
        <w:t>2.1. Nuo 2008 metais prasidėjusio mokestinio laikotarpio pradžios mokslinių tyrimų ir eksperimentinės plėtros veikloje skirtam naudoti ir naudojamam ilgalaikiam turtui yra nustatyti sutrumpinti nusidėvėjimo (amortizacijos) normatyvai metais. Įmonė pati turi nusistatyti ilgalaikio turto, naudojamo mokslinių tyrimų ir eksperimentinės plėtros veikloje, nusidėvėjimo (amortizacijos) laikotarpį, ne trumpesnį, negu PMĮ 1 priedėlyje nustatyti nauji nusidėvėjimo (amortizacijos) normatyvai metais.</w:t>
      </w:r>
    </w:p>
    <w:p w14:paraId="6319D4F3" w14:textId="77777777" w:rsidR="00093845" w:rsidRDefault="000D779E">
      <w:pPr>
        <w:ind w:firstLine="720"/>
        <w:jc w:val="both"/>
        <w:rPr>
          <w:bCs/>
        </w:rPr>
      </w:pPr>
      <w:r>
        <w:t xml:space="preserve">Mokslinių tyrimų ir eksperimentinės plėtros </w:t>
      </w:r>
      <w:r>
        <w:rPr>
          <w:bCs/>
        </w:rPr>
        <w:t xml:space="preserve">veikloje naudojamas turtas yra toks turtas, kuris iš esmės (daugiausiai), bet ne epizodiškai, naudojamas </w:t>
      </w:r>
      <w:r>
        <w:t xml:space="preserve">mokslinių tyrimų ir eksperimentinės plėtros </w:t>
      </w:r>
      <w:r>
        <w:rPr>
          <w:bCs/>
        </w:rPr>
        <w:t>veikloje.</w:t>
      </w:r>
    </w:p>
    <w:p w14:paraId="710B670F" w14:textId="77777777" w:rsidR="00093845" w:rsidRDefault="000D779E">
      <w:pPr>
        <w:ind w:firstLine="720"/>
        <w:jc w:val="both"/>
      </w:pPr>
      <w:r>
        <w:t xml:space="preserve">Pavyzdžiai </w:t>
      </w:r>
    </w:p>
    <w:p w14:paraId="5D7DA328"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t xml:space="preserve"> </w:t>
      </w:r>
      <w:r>
        <w:rPr>
          <w:rFonts w:ascii="TimesLT" w:hAnsi="TimesLT" w:cs="Arial Unicode MS"/>
        </w:rPr>
        <w:t>1. UAB X 2015 m. sausio mėnesį įsigijo stakles, skirtas naudoti įmonėje vykdant eksperimentinę plėtrą ir tą patį mėnesį jas pradėjo naudoti įmonėje vykdant eksperimentinę plėtrą. Staklių įsigijimo kaina – 25 000 Eur. UAB X nustatė, kad staklių nusidėvėjimas bus skaičiuojamas tiesiniu metodu. Staklių likvidacinė vertė 290 Eur.</w:t>
      </w:r>
    </w:p>
    <w:p w14:paraId="37E92759" w14:textId="77777777" w:rsidR="00093845" w:rsidRPr="00D85A08"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PMĮ 1 priedėlyje ilgalaikio turto grupei „Mašinos ir įrengimai“ yra nustatytas 5 metų nusidėvėjimo normatyvas, tačiau jeigu turtas yra naudojamas mokslinių tyrimų ir eksperimentinės plėtros veikloje, jis gali būti nudėvimas per 1 priedėlyje nustatytą trumpesnį nusidėvėjimo laikotarpį (2 m.)</w:t>
      </w:r>
    </w:p>
    <w:p w14:paraId="069757CE" w14:textId="77777777" w:rsidR="00093845" w:rsidRPr="00D85A08"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Atsižvelgiant į tai, UAB X, apskaičiuodama 2015 m. apmokestinamąjį pelną, prie ribojamų dydžių leidžiamų atskaitymų gali priskirti 11325 Eur [(25 000 - 290):2):12 mėn. x 11 mėn.] metinę nusidėvėjimo sumą, 2016 metais – 12 355 Eur = (25 000 - 290): 2) bei 2017 metais - 1030 Eur [(25 000 - 290):2):12 mėn. x 1 mėn.]</w:t>
      </w:r>
    </w:p>
    <w:p w14:paraId="77101E79"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sidRPr="00D85A08">
        <w:rPr>
          <w:rFonts w:ascii="TimesLT" w:hAnsi="TimesLT" w:cs="Arial Unicode MS"/>
        </w:rPr>
        <w:t xml:space="preserve">2. </w:t>
      </w:r>
      <w:r>
        <w:rPr>
          <w:rFonts w:ascii="TimesLT" w:hAnsi="TimesLT" w:cs="Arial Unicode MS"/>
        </w:rPr>
        <w:t>UAB Z 2015 m. sausio mėnesį įsigijo stakles ir pradėjo jas naudoti mokslinių tyrimų ir eksperimentinės plėtros veikloje. Staklių įsigijimo kaina – 40 000 Eur. UAB Z nustatė, kad staklių nusidėvėjimas bus skaičiuojamas tiesiniu metodu, taikant PMĮ 1 priedėlyje nustatytą 2 metų nusidėvėjimo normatyvą. Staklių likvidacinė vertė 1000 Eur.</w:t>
      </w:r>
    </w:p>
    <w:p w14:paraId="406E0157"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Z, apskaičiuodama 2015 m. apmokestinamąjį pelną, prie ribojamų dydžių leidžiamų atskaitymų gali priskirti metinę nusidėvėjimo sumą, kuri apskaičiuojama 17875 Eur = (40 000 - 1000): 2):12 mėn. </w:t>
      </w:r>
      <w:r w:rsidRPr="00D85A08">
        <w:rPr>
          <w:rFonts w:ascii="TimesLT" w:hAnsi="TimesLT" w:cs="Arial Unicode MS"/>
        </w:rPr>
        <w:t>x</w:t>
      </w:r>
      <w:r>
        <w:rPr>
          <w:rFonts w:ascii="TimesLT" w:hAnsi="TimesLT" w:cs="Arial Unicode MS"/>
        </w:rPr>
        <w:t xml:space="preserve"> 11 mėn.</w:t>
      </w:r>
    </w:p>
    <w:p w14:paraId="57364A55" w14:textId="77777777" w:rsidR="00093845" w:rsidRDefault="000D779E" w:rsidP="00D85A08">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Z 2016 m. pabaigoje baigusi eksperimentinę plėtrą, šias stakles toliau naudoja savo įprastai vykdomoje gamybos veikloje. Tačiau, UAB Z turi galimybę staklių įsigijimo vertę </w:t>
      </w:r>
      <w:r w:rsidRPr="00D85A08">
        <w:rPr>
          <w:rFonts w:ascii="TimesLT" w:hAnsi="TimesLT" w:cs="Arial Unicode MS"/>
        </w:rPr>
        <w:t xml:space="preserve">į sąnaudas perkelti dalimis per ne trumpesnį nei PMĮ 1 priedėlyje </w:t>
      </w:r>
      <w:r>
        <w:rPr>
          <w:rFonts w:ascii="TimesLT" w:hAnsi="TimesLT" w:cs="Arial Unicode MS"/>
        </w:rPr>
        <w:t xml:space="preserve">ilgalaikio turto grupei „Mašinos ir įrengimai“ nustatytą naują nusidėvėjimo </w:t>
      </w:r>
      <w:r w:rsidRPr="00D85A08">
        <w:rPr>
          <w:rFonts w:ascii="TimesLT" w:hAnsi="TimesLT" w:cs="Arial Unicode MS"/>
        </w:rPr>
        <w:t>laikotarpį (2 m.).</w:t>
      </w:r>
      <w:r>
        <w:rPr>
          <w:rFonts w:ascii="TimesLT" w:hAnsi="TimesLT" w:cs="Arial Unicode MS"/>
        </w:rPr>
        <w:t xml:space="preserve"> Todėl, apskaičiuodama 2016 m. apmokestinamąjį pelną, prie ribojamų dydžių leidžiamų atskaitymų UAB Z gali priskirti 19500 Eur (40 000 - 1000 ): 2) metinę nusidėvėjimo sumą, o 2017 metais – 1625 Eur = (40 000 - 1000 ): 2) : 12 mėn. </w:t>
      </w:r>
      <w:r w:rsidRPr="00D85A08">
        <w:rPr>
          <w:rFonts w:ascii="TimesLT" w:hAnsi="TimesLT" w:cs="Arial Unicode MS"/>
        </w:rPr>
        <w:t>x</w:t>
      </w:r>
      <w:r>
        <w:rPr>
          <w:rFonts w:ascii="TimesLT" w:hAnsi="TimesLT" w:cs="Arial Unicode MS"/>
        </w:rPr>
        <w:t xml:space="preserve"> 1 mėn.</w:t>
      </w:r>
    </w:p>
    <w:p w14:paraId="58CE9604" w14:textId="77777777" w:rsidR="00093845" w:rsidRDefault="000D779E">
      <w:pPr>
        <w:ind w:firstLine="720"/>
        <w:jc w:val="both"/>
      </w:pPr>
      <w:r>
        <w:rPr>
          <w:rFonts w:ascii="Times New (W1)" w:hAnsi="Times New (W1)" w:cs="Times New (W1)"/>
        </w:rPr>
        <w:lastRenderedPageBreak/>
        <w:t>2.2.</w:t>
      </w:r>
      <w:r>
        <w:rPr>
          <w:rFonts w:ascii="Times New (W1)" w:hAnsi="Times New (W1)" w:cs="Times New (W1)"/>
          <w:b/>
        </w:rPr>
        <w:t xml:space="preserve"> </w:t>
      </w:r>
      <w:r>
        <w:rPr>
          <w:rFonts w:ascii="Times New (W1)" w:hAnsi="Times New (W1)" w:cs="Times New (W1)"/>
        </w:rPr>
        <w:t>V</w:t>
      </w:r>
      <w:r>
        <w:t xml:space="preserve">ienetai nebaigto </w:t>
      </w:r>
      <w:r>
        <w:rPr>
          <w:lang w:bidi="hi-IN"/>
        </w:rPr>
        <w:t>nudėvėti (amortizuoti)</w:t>
      </w:r>
      <w:r>
        <w:t xml:space="preserve"> naudojamo ilgalaikio turto, kuris bus pradėtas naudoti </w:t>
      </w:r>
      <w:r>
        <w:rPr>
          <w:rFonts w:ascii="Times New (W1)" w:hAnsi="Times New (W1)" w:cs="Times New (W1)"/>
        </w:rPr>
        <w:t>mokslinių tyrimų ir eksperimentinės plėtros veikloje,</w:t>
      </w:r>
      <w:r>
        <w:t xml:space="preserve"> </w:t>
      </w:r>
      <w:r>
        <w:rPr>
          <w:lang w:bidi="hi-IN"/>
        </w:rPr>
        <w:t xml:space="preserve">nusidėvėjimą (amortizaciją) gali pradėti skaičiuoti pagal PMĮ </w:t>
      </w:r>
      <w:r>
        <w:t xml:space="preserve">1 priedėlyje nustatytus naujus normatyvus metais, kai toks turtas bus pradėtas naudoti </w:t>
      </w:r>
      <w:r>
        <w:rPr>
          <w:rFonts w:ascii="Times New (W1)" w:hAnsi="Times New (W1)" w:cs="Times New (W1)"/>
        </w:rPr>
        <w:t>mokslinių tyrimų ir eksperimentinės plėtros veikloje</w:t>
      </w:r>
      <w:r>
        <w:t>.</w:t>
      </w:r>
    </w:p>
    <w:p w14:paraId="085DE9F4" w14:textId="77777777" w:rsidR="00093845" w:rsidRDefault="000D779E">
      <w:pPr>
        <w:ind w:firstLine="720"/>
        <w:jc w:val="both"/>
      </w:pPr>
      <w:r>
        <w:t xml:space="preserve">Pavyzdys </w:t>
      </w:r>
    </w:p>
    <w:p w14:paraId="15E4E898"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1. UAB Y 2015 m. sausio mėnesį įsigijo stakles ir pradėjo jas naudoti savo vykdomoje veikloje. Staklių įsigijimo kaina – 50 000 Eur. UAB Y nustatė, kad staklių nusidėvėjimas bus skaičiuojamas tiesiniu metodu, taikant PMĮ 1 priedėlyje nustatytą 5 metų nusidėvėjimo normatyvą. Staklių likvidacinė vertė 1000 Eur. UAB Y 2017 m. liepos mėnesį šias stakles pradėjo naudoti įmonėje vykdant eksperimentinę plėtrą.</w:t>
      </w:r>
    </w:p>
    <w:p w14:paraId="09BBD67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UAB Y, apskaičiuodama 2015 m. apmokestinamąjį pelną, prie ribojamų dydžių leidžiamų atskaitymų galėjo priskirti 8983 Eur = [(50 000 – 1000 : 5):12 mėn. </w:t>
      </w:r>
      <w:r>
        <w:rPr>
          <w:rFonts w:ascii="TimesLT" w:hAnsi="TimesLT" w:cs="Arial Unicode MS"/>
          <w:bCs/>
        </w:rPr>
        <w:t>x</w:t>
      </w:r>
      <w:r>
        <w:rPr>
          <w:rFonts w:ascii="TimesLT" w:hAnsi="TimesLT" w:cs="Arial Unicode MS"/>
        </w:rPr>
        <w:t xml:space="preserve"> 11 mėn.] metinę nusidėvėjimo sumą.</w:t>
      </w:r>
    </w:p>
    <w:p w14:paraId="061FD633"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Apskaičiuodama 2016 m. apmokestinamąjį pelną, prie ribojamų dydžių leidžiamų atskaitymų UAB Y gali priskirti metinę nusidėvėjimo sumą 9800 Lt = [(50 000 - 1000 ): 5].</w:t>
      </w:r>
    </w:p>
    <w:p w14:paraId="0E6907C5"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bCs/>
        </w:rPr>
      </w:pPr>
      <w:r>
        <w:rPr>
          <w:rFonts w:ascii="TimesLT" w:hAnsi="TimesLT" w:cs="Arial Unicode MS"/>
        </w:rPr>
        <w:t>Kadangi UAB Y</w:t>
      </w:r>
      <w:r>
        <w:rPr>
          <w:rFonts w:ascii="TimesLT" w:hAnsi="TimesLT" w:cs="Arial Unicode MS"/>
          <w:strike/>
        </w:rPr>
        <w:t xml:space="preserve"> </w:t>
      </w:r>
      <w:r>
        <w:rPr>
          <w:rFonts w:ascii="TimesLT" w:hAnsi="TimesLT" w:cs="Arial Unicode MS"/>
        </w:rPr>
        <w:t>2017 m. liepos mėnesį šias stakles pradėjo naudoti įmonėje vykdant eksperimentinę plėtrą, o šioje veikloje naudojamam ilgalaikiam turtui yra nustatyti nauji nusidėvėjimo (amortizacijos) normatyvai metais, tai šiuo atveju, nuo 2017 m. rugpjūčio mėn. staklių</w:t>
      </w:r>
      <w:r>
        <w:rPr>
          <w:rFonts w:ascii="TimesLT" w:hAnsi="TimesLT" w:cs="Arial Unicode MS"/>
          <w:bCs/>
        </w:rPr>
        <w:t xml:space="preserve"> nenudėvėtą dalį į sąnaudas įmonė gali perkelti dalimis per ne trumpesnį nei PMĮ 1 priedėlyje </w:t>
      </w:r>
      <w:r>
        <w:rPr>
          <w:rFonts w:ascii="TimesLT" w:hAnsi="TimesLT" w:cs="Arial Unicode MS"/>
        </w:rPr>
        <w:t xml:space="preserve">atitinkamai ilgalaikio turto grupei „Mašinos ir įrengimai“ nustatytą nusidėvėjimo </w:t>
      </w:r>
      <w:r>
        <w:rPr>
          <w:rFonts w:ascii="TimesLT" w:hAnsi="TimesLT" w:cs="Arial Unicode MS"/>
          <w:bCs/>
        </w:rPr>
        <w:t>laikotarpį (2 m.)</w:t>
      </w:r>
    </w:p>
    <w:p w14:paraId="6E5BCE9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Todėl, UAB Y, apskaičiuodama 2017 m. apmokestinamąjį pelną, prie ribojamų dydžių leidžiamų atskaitymų gali priskirti 10821 Eur (5717+5104) metinę nusidėvėjimo sumą, kuri apskaičiuoja taip:</w:t>
      </w:r>
    </w:p>
    <w:p w14:paraId="5311F96F"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 5717 Eur = ((50 000 - 1000): 5) : 12 mėn. </w:t>
      </w:r>
      <w:r>
        <w:rPr>
          <w:rFonts w:ascii="TimesLT" w:hAnsi="TimesLT" w:cs="Arial Unicode MS"/>
          <w:bCs/>
        </w:rPr>
        <w:t>x</w:t>
      </w:r>
      <w:r>
        <w:rPr>
          <w:rFonts w:ascii="TimesLT" w:hAnsi="TimesLT" w:cs="Arial Unicode MS"/>
        </w:rPr>
        <w:t xml:space="preserve"> 7 mėn. - iki kol staklės pradėtos naudoti  įmonėje vykdant eksperimentinę plėtrą,</w:t>
      </w:r>
    </w:p>
    <w:p w14:paraId="739AEB2B"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pradėjus vykdyti įmonėje eksperimentinę plėtrą, staklių įsigijimo kainos nenudėvėtoji dalis, t. y. 25 500 Eur (50 000 - 24 500), </w:t>
      </w:r>
      <w:r>
        <w:rPr>
          <w:rFonts w:ascii="TimesLT" w:hAnsi="TimesLT" w:cs="Arial Unicode MS"/>
          <w:bCs/>
        </w:rPr>
        <w:t>į sąnaudas gali būti perkeliama dalimis per 2 metus, t</w:t>
      </w:r>
      <w:r>
        <w:rPr>
          <w:rFonts w:ascii="TimesLT" w:hAnsi="TimesLT" w:cs="Arial Unicode MS"/>
        </w:rPr>
        <w:t xml:space="preserve">odėl, apskaičiuojama 5 104 Eur = [(25 500 - 1 000): 2) : 12 mėn. </w:t>
      </w:r>
      <w:r>
        <w:rPr>
          <w:rFonts w:ascii="TimesLT" w:hAnsi="TimesLT" w:cs="Arial Unicode MS"/>
          <w:bCs/>
        </w:rPr>
        <w:t>x</w:t>
      </w:r>
      <w:r>
        <w:rPr>
          <w:rFonts w:ascii="TimesLT" w:hAnsi="TimesLT" w:cs="Arial Unicode MS"/>
        </w:rPr>
        <w:t xml:space="preserve"> 5 mėn.]</w:t>
      </w:r>
    </w:p>
    <w:p w14:paraId="193CB447" w14:textId="77777777" w:rsidR="00093845" w:rsidRDefault="000D779E">
      <w:pPr>
        <w:pBdr>
          <w:top w:val="single" w:sz="4" w:space="1" w:color="auto"/>
          <w:left w:val="single" w:sz="4" w:space="4" w:color="auto"/>
          <w:bottom w:val="single" w:sz="4" w:space="2" w:color="auto"/>
          <w:right w:val="single" w:sz="4" w:space="4" w:color="auto"/>
        </w:pBdr>
        <w:tabs>
          <w:tab w:val="left" w:pos="720"/>
          <w:tab w:val="left" w:pos="1077"/>
          <w:tab w:val="left" w:pos="1418"/>
        </w:tabs>
        <w:ind w:right="43" w:firstLine="709"/>
        <w:jc w:val="both"/>
        <w:rPr>
          <w:rFonts w:ascii="TimesLT" w:hAnsi="TimesLT" w:cs="Arial Unicode MS"/>
        </w:rPr>
      </w:pPr>
      <w:r>
        <w:rPr>
          <w:rFonts w:ascii="TimesLT" w:hAnsi="TimesLT" w:cs="Arial Unicode MS"/>
        </w:rPr>
        <w:t xml:space="preserve">Apskaičiuodama 2018 m. apmokestinamąjį pelną, prie ribojamų dydžių leidžiamų atskaitymų UAB Y gali priskirti 12 250 Eur (25 500 - 1 000 ): 2) metinę nusidėvėjimo sumą, o  2019 metais – 7 146 Eur = (25 500 – 1 000 ): 2) : 12 mėn. </w:t>
      </w:r>
      <w:r>
        <w:rPr>
          <w:rFonts w:ascii="TimesLT" w:hAnsi="TimesLT" w:cs="Arial Unicode MS"/>
          <w:bCs/>
        </w:rPr>
        <w:t>x</w:t>
      </w:r>
      <w:r>
        <w:rPr>
          <w:rFonts w:ascii="TimesLT" w:hAnsi="TimesLT" w:cs="Arial Unicode MS"/>
        </w:rPr>
        <w:t xml:space="preserve"> 7 mėn.</w:t>
      </w:r>
    </w:p>
    <w:p w14:paraId="48DCD1BF" w14:textId="77777777" w:rsidR="00093845" w:rsidRDefault="000D779E">
      <w:pPr>
        <w:ind w:firstLine="720"/>
        <w:jc w:val="both"/>
      </w:pPr>
      <w:r>
        <w:rPr>
          <w:bCs/>
        </w:rPr>
        <w:t xml:space="preserve">2.3. </w:t>
      </w:r>
      <w:r>
        <w:rPr>
          <w:color w:val="000000"/>
        </w:rPr>
        <w:t xml:space="preserve">Mokesčių mokėtojams, norint nuo 2008 m. </w:t>
      </w:r>
      <w:r>
        <w:rPr>
          <w:rFonts w:ascii="Times New (W1)" w:hAnsi="Times New (W1)" w:cs="Times New (W1)"/>
        </w:rPr>
        <w:t xml:space="preserve">mokslinių tyrimų ir eksperimentinės plėtros </w:t>
      </w:r>
      <w:r>
        <w:rPr>
          <w:color w:val="000000"/>
        </w:rPr>
        <w:t>veikloje naudojamam ilgalaikiam turtui taikyti trumpesnius PMĮ 1 priedėlyje numatytus nusidėvėjimo (amortizacijos) normatyvus, mokesčių administratoriaus leidimo gauti nereikia.</w:t>
      </w:r>
    </w:p>
    <w:p w14:paraId="5A6770F0" w14:textId="77777777" w:rsidR="00093845" w:rsidRDefault="000D779E">
      <w:pPr>
        <w:tabs>
          <w:tab w:val="left" w:pos="720"/>
          <w:tab w:val="left" w:pos="1077"/>
          <w:tab w:val="left" w:pos="1418"/>
        </w:tabs>
        <w:ind w:right="-5" w:firstLine="709"/>
        <w:jc w:val="both"/>
      </w:pPr>
      <w:r>
        <w:t>3.</w:t>
      </w:r>
      <w:r>
        <w:tab/>
        <w:t xml:space="preserve">Įmonė turi nusistatyti kiekvieno ilgalaikio turto vieneto likvidacinę vertę ne didesnę kaip 10 proc. įsigijimo kainos. Jeigu įmonė, pradėjusi naudoti turtą, nusprendžia, kad likvidacinė vertė nustatyta netinkamai, tai ji, laikydamasi įstatymo numatytų ribų, šią likvidacinę vertę gali patikslinti. </w:t>
      </w:r>
    </w:p>
    <w:p w14:paraId="4D649E40" w14:textId="77777777" w:rsidR="00093845" w:rsidRDefault="000D779E">
      <w:pPr>
        <w:autoSpaceDE w:val="0"/>
        <w:autoSpaceDN w:val="0"/>
        <w:ind w:firstLine="720"/>
        <w:jc w:val="both"/>
      </w:pPr>
      <w:r>
        <w:t>4. Vienetas, nudėvėjęs arba amortizavęs naudojamą ilgalaikį turtą iki jo likvidacinės vertės ir tą turtą nurašęs, gali likvidacinę vertę priskirti ribojamų dydžių leidžiamiems atskaitymams.</w:t>
      </w:r>
    </w:p>
    <w:p w14:paraId="2817C8C8" w14:textId="77777777" w:rsidR="00093845" w:rsidRDefault="00FE7AB0">
      <w:r>
        <w:t xml:space="preserve">            </w:t>
      </w:r>
      <w:r w:rsidR="000D779E">
        <w:t>(</w:t>
      </w:r>
      <w:r w:rsidR="000D779E" w:rsidRPr="00CA67D2">
        <w:t xml:space="preserve">PMĮ 18 str. 2 dalies komentaras pakeistas pagal VMI prie FM 2015-05-20 raštą </w:t>
      </w:r>
      <w:r w:rsidR="000D779E" w:rsidRPr="00CA67D2">
        <w:rPr>
          <w:color w:val="000000"/>
        </w:rPr>
        <w:t>Nr. (32-42-31-1)-RM-11240)).</w:t>
      </w:r>
    </w:p>
    <w:p w14:paraId="337E57BB" w14:textId="77777777" w:rsidR="00093845" w:rsidRDefault="000D779E" w:rsidP="00A66310">
      <w:pPr>
        <w:spacing w:after="0"/>
        <w:ind w:firstLine="709"/>
        <w:jc w:val="both"/>
        <w:rPr>
          <w:rFonts w:ascii="Tahoma" w:hAnsi="Tahoma" w:cs="Tahoma"/>
          <w:b/>
          <w:lang w:eastAsia="lt-LT"/>
        </w:rPr>
      </w:pPr>
      <w:r>
        <w:rPr>
          <w:b/>
          <w:lang w:eastAsia="lt-LT"/>
        </w:rPr>
        <w:lastRenderedPageBreak/>
        <w:t>3. Vienetai, kuriuose vidutinis sąrašuose esančių darbuotojų skaičius neviršija 10 žmonių ir mokestinio laikotarpio pajamos neviršija 150 000 eurų bei kurie neatitinka šio Įstatymo 5 straipsnio 3 dalyje nustatytų kriterijų, ilgalaikio turto grupėms, išskyrus naujus pastatus, naudojamus veiklai, ir pastatų, įtrauktų į Lietuvos Respublikos nekilnojamųjų kultūros vertybių registrą, rekonstravimą, jei pastatai pastatyti arba rekonstravimas atliktas nuo 2002 m. sausio 1 d., taip pat gyvenamuosius namus ir kitus pastatus, gali patys nusistatyti maksimalius nusidėvėjimo arba amortizacijos normatyvus, neatsižvelgdami į normatyvus, nustatytus šio Įstatymo 1 priedėlyje.</w:t>
      </w:r>
    </w:p>
    <w:p w14:paraId="10F867D2" w14:textId="77777777" w:rsidR="00093845" w:rsidRDefault="000D779E" w:rsidP="00A66310">
      <w:pPr>
        <w:spacing w:after="0"/>
        <w:jc w:val="both"/>
        <w:rPr>
          <w:bCs/>
          <w:i/>
          <w:iCs/>
          <w:lang w:eastAsia="lt-LT"/>
        </w:rPr>
      </w:pPr>
      <w:r w:rsidRPr="00FE7AB0">
        <w:rPr>
          <w:bCs/>
          <w:i/>
          <w:iCs/>
          <w:lang w:eastAsia="lt-LT"/>
        </w:rPr>
        <w:t>(</w:t>
      </w:r>
      <w:r w:rsidRPr="00FE7AB0">
        <w:rPr>
          <w:i/>
          <w:iCs/>
        </w:rPr>
        <w:t>KEISTA:</w:t>
      </w:r>
      <w:r w:rsidRPr="00FE7AB0">
        <w:rPr>
          <w:i/>
          <w:iCs/>
          <w:lang w:val="lt-LT"/>
        </w:rPr>
        <w:t xml:space="preserve"> </w:t>
      </w:r>
      <w:r w:rsidRPr="00FE7AB0">
        <w:rPr>
          <w:i/>
          <w:iCs/>
        </w:rPr>
        <w:t>2014 09 23 įstatymu Nr. XII-1131 (nuo 2015 01 01)</w:t>
      </w:r>
      <w:r w:rsidR="00655350" w:rsidRPr="00FE7AB0">
        <w:rPr>
          <w:i/>
          <w:iCs/>
        </w:rPr>
        <w:t>,</w:t>
      </w:r>
      <w:r w:rsidR="00DD299D" w:rsidRPr="00FE7AB0">
        <w:rPr>
          <w:i/>
        </w:rPr>
        <w:t xml:space="preserve"> </w:t>
      </w:r>
      <w:r w:rsidR="00DD299D" w:rsidRPr="00FE7AB0">
        <w:rPr>
          <w:i/>
          <w:iCs/>
        </w:rPr>
        <w:t>taikoma apskaičiuojant 2015 metų ir vėlesnių metų mokestinių laikotarpių pelno mokestį</w:t>
      </w:r>
      <w:r w:rsidRPr="00FE7AB0">
        <w:rPr>
          <w:bCs/>
          <w:i/>
          <w:iCs/>
          <w:lang w:eastAsia="lt-LT"/>
        </w:rPr>
        <w:t>)</w:t>
      </w:r>
    </w:p>
    <w:p w14:paraId="24B39053" w14:textId="77777777" w:rsidR="008A55B2" w:rsidRPr="00FE7AB0" w:rsidRDefault="008A55B2" w:rsidP="00A66310">
      <w:pPr>
        <w:spacing w:after="0"/>
        <w:jc w:val="both"/>
        <w:rPr>
          <w:bCs/>
          <w:i/>
          <w:iCs/>
          <w:lang w:eastAsia="lt-LT"/>
        </w:rPr>
      </w:pPr>
    </w:p>
    <w:p w14:paraId="17B47A00" w14:textId="77777777" w:rsidR="00093845" w:rsidRDefault="000D779E">
      <w:pPr>
        <w:tabs>
          <w:tab w:val="left" w:pos="720"/>
          <w:tab w:val="left" w:pos="1077"/>
          <w:tab w:val="left" w:pos="1418"/>
        </w:tabs>
        <w:ind w:right="-5" w:firstLine="709"/>
        <w:jc w:val="both"/>
        <w:rPr>
          <w:b/>
        </w:rPr>
      </w:pPr>
      <w:r>
        <w:rPr>
          <w:b/>
        </w:rPr>
        <w:t>Komentaras</w:t>
      </w:r>
    </w:p>
    <w:p w14:paraId="01B90E2C" w14:textId="77777777" w:rsidR="00093845" w:rsidRDefault="000D779E">
      <w:pPr>
        <w:ind w:firstLine="720"/>
        <w:jc w:val="both"/>
      </w:pPr>
      <w:r>
        <w:t xml:space="preserve">1. Vienetai, kuriuose vidutinis sąrašuose esančių darbuotojų skaičius neviršija 10 žmonių ir mokestinio laikotarpio pajamos neviršija 150 000 eurų, bei kurie neatitinka PMĮ įstatymo 5 str. 3 dalyje nustatytų kriterijų maksimalius nusidėvėjimo (amortizacijos) normatyvus gali nusistatyti trumpesnius, negu nustatyta PMĮ 1 priedėlyje (išskyrus pastatus, t.y. pirmosios trys PMĮ 1 priedėlio grupės: ,,Veiklai naudojami nauji pastatai bei pastatų, įtrauktų į Lietuvos Respublikos nekilnojamųjų kultūros vertybių registrą, rekonstravimas, jei pastatai pastatyti arba rekonstravimas atliktas nuo 2002 m. sausio 1 d.“, ,,Gyvenamieji namai“ ir ,,Kiti aukščiau neišvardyti pastatai“). Skaičiuojant, ar pajamos nėra didesnės už 150 000 eurų sumą, atsižvelgiama į visas pajamas, t.y. ir į tas, kurios, vadovaujantis </w:t>
      </w:r>
      <w:hyperlink r:id="rId80" w:history="1">
        <w:r>
          <w:t>PMĮ</w:t>
        </w:r>
      </w:hyperlink>
      <w:r>
        <w:t xml:space="preserve"> 12 straipsniu, priskiriamos neapmokestinamosioms pajamoms. Tuo atveju, jeigu vienetas vykdo veiklą per nuolatinę buveinę kitoje užsienio valstybėje, tai nustatant, ar vieneto mokestinio laikotarpio pajamos yra ne didesnės negu 150 000 eurų suma, turi būti skaičiuojamos visos Lietuvos vieneto pajamos bei per nuolatinę buveinę, įskaitant nuolatinę buveinę, kurios pajamos pagal PMĮ 4 straipsnio 1 dalį į mokesčio bazę neįtraukiamos, užsienyje uždirbtos pajamos, išskyrus gautus dividendus.</w:t>
      </w:r>
    </w:p>
    <w:p w14:paraId="33615BFE" w14:textId="77777777" w:rsidR="00093845" w:rsidRDefault="000D779E">
      <w:pPr>
        <w:ind w:firstLine="720"/>
        <w:jc w:val="both"/>
      </w:pPr>
      <w:r>
        <w:t xml:space="preserve">Jeigu užsienio vienetas vykdo veiklą per nuolatinę buveinę Lietuvoje, tai turi būti skaičiuojamos visos užsienio vieneto pajamos, įskaitant nuolatinės buveinės pajamas uždirbtas Lietuvoje.    </w:t>
      </w:r>
    </w:p>
    <w:p w14:paraId="3912E6FC" w14:textId="77777777" w:rsidR="00093845" w:rsidRDefault="000D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Pažymėtina, kad į pajamų ribos skaičiavimą neįtraukiami iš Lietuvos ir užsienio vienetų gauti dividendai.</w:t>
      </w:r>
    </w:p>
    <w:p w14:paraId="25341582" w14:textId="77777777" w:rsidR="00093845" w:rsidRPr="00FE7AB0" w:rsidRDefault="00FE7AB0">
      <w:r>
        <w:t xml:space="preserve">             </w:t>
      </w:r>
      <w:r w:rsidR="000D779E" w:rsidRPr="00FE7AB0">
        <w:t xml:space="preserve">(PMĮ 18 str. 4 dalies komentaras pakeistas pagal VMI prie FM 2015-05-20 raštą </w:t>
      </w:r>
      <w:r w:rsidR="000D779E" w:rsidRPr="00FE7AB0">
        <w:rPr>
          <w:color w:val="000000"/>
        </w:rPr>
        <w:t>Nr. (32-42-31-1)-RM-11240)).</w:t>
      </w:r>
    </w:p>
    <w:p w14:paraId="5A29EC66" w14:textId="77777777" w:rsidR="00093845" w:rsidRDefault="000D779E" w:rsidP="00A66310">
      <w:pPr>
        <w:spacing w:after="0"/>
        <w:jc w:val="both"/>
        <w:rPr>
          <w:b/>
          <w:lang w:eastAsia="lt-LT"/>
        </w:rPr>
      </w:pPr>
      <w:r>
        <w:rPr>
          <w:b/>
          <w:lang w:eastAsia="lt-LT"/>
        </w:rPr>
        <w:t xml:space="preserve">             4. Ilgalaikio turto nusidėvėjimas arba amortizacija skaičiuojami taikant tiesiogiai proporcingą (tiesinį) (toliau – tiesinis metodas), dvigubą – mažėjančios vertės (dvigubo balanso) (toliau – dvigubo balanso metodas) arba produkcijos</w:t>
      </w:r>
      <w:r>
        <w:rPr>
          <w:b/>
          <w:bCs/>
          <w:lang w:eastAsia="lt-LT"/>
        </w:rPr>
        <w:t xml:space="preserve"> </w:t>
      </w:r>
      <w:r>
        <w:rPr>
          <w:b/>
          <w:lang w:eastAsia="lt-LT"/>
        </w:rPr>
        <w:t>metodus pagal šio Įstatymo 1 priedėlį. Pasirinkto metodo turi būti laikomasi nuosekliai: šio Įstatymo 1 priedėlyje nustatytai ilgalaikio turto grupei ir kiekvienam tai grupei priskirtam turto vienetui taikomas tas pats vieneto pasirinktas nusidėvėjimo arba amortizacijos metodas per visą ilgalaikio turto nusidėvėjimo arba amortizacijos laikotarpį.</w:t>
      </w:r>
    </w:p>
    <w:p w14:paraId="155EEC89" w14:textId="77777777" w:rsidR="00093845" w:rsidRDefault="000D779E" w:rsidP="00A66310">
      <w:pPr>
        <w:spacing w:after="0"/>
        <w:jc w:val="both"/>
        <w:rPr>
          <w:i/>
          <w:color w:val="000000"/>
          <w:lang w:eastAsia="lt-LT"/>
        </w:rPr>
      </w:pPr>
      <w:r w:rsidRPr="00FE7AB0">
        <w:rPr>
          <w:i/>
          <w:color w:val="000000"/>
          <w:lang w:eastAsia="lt-LT"/>
        </w:rPr>
        <w:t>(KEISTA: 2007 05 03 įstatymu Nr. X-1110 (nuo 2007 05 19)</w:t>
      </w:r>
      <w:r w:rsidR="00655350" w:rsidRPr="00FE7AB0">
        <w:rPr>
          <w:i/>
          <w:color w:val="000000"/>
          <w:lang w:eastAsia="lt-LT"/>
        </w:rPr>
        <w:t>,</w:t>
      </w:r>
      <w:r w:rsidR="00576400" w:rsidRPr="00FE7AB0">
        <w:rPr>
          <w:i/>
        </w:rPr>
        <w:t xml:space="preserve"> </w:t>
      </w:r>
      <w:r w:rsidR="00576400" w:rsidRPr="00FE7AB0">
        <w:rPr>
          <w:i/>
          <w:color w:val="000000"/>
          <w:lang w:eastAsia="lt-LT"/>
        </w:rPr>
        <w:t>taikoma apskaičiuojant 2007 metais prasidėjusio mokestinio laikotarpio ir vėlesnių mokestinių laikotarpių apmokestinamąjį pelną</w:t>
      </w:r>
      <w:r w:rsidRPr="00FE7AB0">
        <w:rPr>
          <w:i/>
          <w:color w:val="000000"/>
          <w:lang w:eastAsia="lt-LT"/>
        </w:rPr>
        <w:t>)</w:t>
      </w:r>
    </w:p>
    <w:p w14:paraId="75A4F153" w14:textId="77777777" w:rsidR="008A55B2" w:rsidRPr="00FE7AB0" w:rsidRDefault="008A55B2" w:rsidP="00A66310">
      <w:pPr>
        <w:spacing w:after="0"/>
        <w:jc w:val="both"/>
        <w:rPr>
          <w:rFonts w:ascii="Tahoma" w:hAnsi="Tahoma" w:cs="Tahoma"/>
          <w:i/>
          <w:sz w:val="20"/>
          <w:szCs w:val="20"/>
          <w:lang w:eastAsia="lt-LT"/>
        </w:rPr>
      </w:pPr>
    </w:p>
    <w:p w14:paraId="53CAE7C6" w14:textId="77777777" w:rsidR="00093845" w:rsidRDefault="000D779E">
      <w:pPr>
        <w:tabs>
          <w:tab w:val="left" w:pos="720"/>
          <w:tab w:val="left" w:pos="1077"/>
          <w:tab w:val="left" w:pos="1418"/>
        </w:tabs>
        <w:ind w:right="-5" w:firstLine="709"/>
        <w:jc w:val="both"/>
        <w:rPr>
          <w:b/>
          <w:szCs w:val="20"/>
        </w:rPr>
      </w:pPr>
      <w:r>
        <w:rPr>
          <w:b/>
        </w:rPr>
        <w:t>Komentaras</w:t>
      </w:r>
    </w:p>
    <w:p w14:paraId="2A2A830E" w14:textId="77777777" w:rsidR="00093845" w:rsidRDefault="000D779E">
      <w:pPr>
        <w:tabs>
          <w:tab w:val="left" w:pos="720"/>
          <w:tab w:val="left" w:pos="1077"/>
          <w:tab w:val="left" w:pos="1418"/>
        </w:tabs>
        <w:ind w:right="-5" w:firstLine="709"/>
        <w:jc w:val="both"/>
      </w:pPr>
      <w:r>
        <w:t>1.</w:t>
      </w:r>
      <w:r>
        <w:tab/>
        <w:t>Šioje dalyje nustatyta, kad pelno mokesčiui apskaičiuoti įmonė gali taikyti du ilgalaikio turto nusidėvėjimo (amortizacijos) skaičiavimo metodus:</w:t>
      </w:r>
    </w:p>
    <w:p w14:paraId="3BF267AF" w14:textId="77777777" w:rsidR="00093845" w:rsidRDefault="000D779E">
      <w:pPr>
        <w:tabs>
          <w:tab w:val="left" w:pos="720"/>
          <w:tab w:val="left" w:pos="1077"/>
          <w:tab w:val="left" w:pos="1418"/>
        </w:tabs>
        <w:ind w:right="-5" w:firstLine="709"/>
        <w:jc w:val="both"/>
      </w:pPr>
      <w:r>
        <w:t>1)</w:t>
      </w:r>
      <w:r>
        <w:tab/>
        <w:t>tiesiogiai proporcingą (tiesinį) (toliau – tiesinis metodas);</w:t>
      </w:r>
    </w:p>
    <w:p w14:paraId="5D8075DF" w14:textId="77777777" w:rsidR="00093845" w:rsidRDefault="000D779E">
      <w:pPr>
        <w:tabs>
          <w:tab w:val="left" w:pos="720"/>
          <w:tab w:val="left" w:pos="1077"/>
          <w:tab w:val="left" w:pos="1418"/>
        </w:tabs>
        <w:ind w:right="-5" w:firstLine="709"/>
        <w:jc w:val="both"/>
        <w:rPr>
          <w:szCs w:val="20"/>
        </w:rPr>
      </w:pPr>
      <w:r>
        <w:lastRenderedPageBreak/>
        <w:t>2)</w:t>
      </w:r>
      <w:r>
        <w:tab/>
        <w:t>dvigubą – mažėjančios kainos (dvigubo balanso) (toliau – dvigubo balanso metodas).</w:t>
      </w:r>
    </w:p>
    <w:p w14:paraId="2436C8ED" w14:textId="77777777" w:rsidR="00093845" w:rsidRDefault="000D779E">
      <w:pPr>
        <w:tabs>
          <w:tab w:val="left" w:pos="720"/>
          <w:tab w:val="left" w:pos="1077"/>
          <w:tab w:val="left" w:pos="1418"/>
        </w:tabs>
        <w:ind w:right="-5" w:firstLine="709"/>
        <w:jc w:val="both"/>
      </w:pPr>
      <w:r>
        <w:t>2.</w:t>
      </w:r>
      <w:r>
        <w:tab/>
        <w:t xml:space="preserve">Atskiroms ilgalaikio turto grupėms nusidėvėjimo (amortizacijos) metodai taikomi pagal PMĮ 1 priedėlį. Kai kurioms ilgalaikio turto grupėms gali būti taikomas tik tiesinis nusidėvėjimo (amortizacijos) metodas, o kai kurioms – arba tiesinis, arba dvigubo balanso, t.y. įmonė gali pasirinkti vieną iš šių dviejų metodų. </w:t>
      </w:r>
    </w:p>
    <w:p w14:paraId="64C6E890" w14:textId="77777777" w:rsidR="00093845" w:rsidRDefault="000D779E">
      <w:pPr>
        <w:tabs>
          <w:tab w:val="left" w:pos="720"/>
          <w:tab w:val="left" w:pos="1077"/>
          <w:tab w:val="left" w:pos="1418"/>
        </w:tabs>
        <w:ind w:right="-5" w:firstLine="709"/>
        <w:jc w:val="both"/>
      </w:pPr>
      <w:r>
        <w:t>3.</w:t>
      </w:r>
      <w:r>
        <w:tab/>
        <w:t>Visiems turto vienetams, priklausantiems tai pačiai ilgalaikio turto grupei, gali būti taikomas tik vienas (tas pats) nusidėvėjimo (amortizacijos) metodas. Nusidėvėjimo metodas gali būti pakeistas tik visiškai nudėvėjus (amortizavus) visos grupės visus turto vienetus, t.y. jeigu įmonė ilgalaikio turto grupei pasirinko ir pradėjo taikyti dvigubo balanso metodą, pakeisti jį į tiesinį galės tik tada, jei, taikydama dvigubo balanso metodą visą turto grupę (visus turto grupei priskirtus turto vienetus) visiškai nudėvės (amortizuos). Visiškai nudėvėjusi (amortizavusi) senuosius turto vienetus,</w:t>
      </w:r>
      <w:r>
        <w:rPr>
          <w:color w:val="0000FF"/>
        </w:rPr>
        <w:t xml:space="preserve"> </w:t>
      </w:r>
      <w:r>
        <w:t>įsigytiems naujiems minėtai grupei priskirtiems turto vienetams (visai grupei) įmonė galės taikyti tiesinį nusidėvėjimo (amortizacijos) metodą.</w:t>
      </w:r>
    </w:p>
    <w:p w14:paraId="3DD4CC8E" w14:textId="77777777" w:rsidR="00093845" w:rsidRDefault="000D779E">
      <w:pPr>
        <w:tabs>
          <w:tab w:val="left" w:pos="720"/>
          <w:tab w:val="left" w:pos="1077"/>
          <w:tab w:val="left" w:pos="1418"/>
        </w:tabs>
        <w:ind w:right="-5" w:firstLine="709"/>
        <w:jc w:val="both"/>
      </w:pPr>
      <w:r>
        <w:t>Pavyzdys</w:t>
      </w:r>
    </w:p>
    <w:p w14:paraId="27B8412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t>UAB X 2012 m. sausio mėnesį įsigijo 5 kompiuterius ir tą patį mėnesį pradėjo juos naudoti. Šie kompiuteriai priskiriami PMĮ 1 priedėlio 11 ilgalaikio turto grupei ,,Kompiuterinė technika ir ryšių priemonės“, kuriai įmonė nustatė 3 metų nusidėvėjimo laikotarpį (t. y. maksimalų Įstatymo 1 priedėlio 11 ilgalaikio turto grupei nustatytą normatyvą) ir taikė dvigubo balanso metodą. Tarkim, kad įmonė iki 2014 m. gruodžio 31 d. kitų PMĮ 1 priedėlio 11 ilgalaikio turto grupei priskiriamų turto vienetų neįsigijo. Vadinasi, 2015 m. įsigytiems kompiuteriams ar kitiems 11 ilgalaikio turto grupei priskiriamiems turto vienetams įmonė galės taikyti tiesinį nusidėvėjimo metodą.</w:t>
      </w:r>
    </w:p>
    <w:p w14:paraId="62A909CD" w14:textId="77777777" w:rsidR="00093845" w:rsidRPr="002B03F4" w:rsidRDefault="00FE7AB0">
      <w:r>
        <w:t xml:space="preserve">           </w:t>
      </w:r>
      <w:r w:rsidR="000D779E">
        <w:t xml:space="preserve">(PMĮ 18 str. 4 dalies komentaras pakeistas pagal VMI prie FM 2015-05-20 raštą </w:t>
      </w:r>
      <w:r w:rsidR="000D779E" w:rsidRPr="002B03F4">
        <w:rPr>
          <w:color w:val="000000"/>
        </w:rPr>
        <w:t>Nr. (32-42-31-1)-RM-11240)).</w:t>
      </w:r>
    </w:p>
    <w:p w14:paraId="09E9EEFE" w14:textId="77777777" w:rsidR="00093845" w:rsidRDefault="00093845">
      <w:pPr>
        <w:tabs>
          <w:tab w:val="left" w:pos="720"/>
          <w:tab w:val="left" w:pos="1077"/>
          <w:tab w:val="left" w:pos="1418"/>
        </w:tabs>
        <w:ind w:right="-5"/>
        <w:jc w:val="both"/>
        <w:rPr>
          <w:szCs w:val="20"/>
        </w:rPr>
      </w:pPr>
    </w:p>
    <w:p w14:paraId="6E8240DD" w14:textId="77777777" w:rsidR="00093845" w:rsidRDefault="000D779E">
      <w:pPr>
        <w:tabs>
          <w:tab w:val="left" w:pos="720"/>
          <w:tab w:val="left" w:pos="1077"/>
          <w:tab w:val="left" w:pos="1418"/>
        </w:tabs>
        <w:ind w:right="-5" w:firstLine="709"/>
        <w:jc w:val="both"/>
        <w:rPr>
          <w:b/>
          <w:szCs w:val="20"/>
          <w:lang w:val="lt-LT"/>
        </w:rPr>
      </w:pPr>
      <w:r>
        <w:rPr>
          <w:b/>
          <w:lang w:val="lt-LT"/>
        </w:rPr>
        <w:t>5.</w:t>
      </w:r>
      <w:r>
        <w:rPr>
          <w:b/>
          <w:lang w:val="lt-LT"/>
        </w:rPr>
        <w:tab/>
        <w:t xml:space="preserve">Taikant tiesinį metodą, metinė nusidėvėjimo arba amortizacijos suma apskaičiuojama kaip ilgalaikio turto įsigijimo kainos ir to turto likvidacinės kainos skirtumo bei nusidėvėjimo arba amortizacijos laiko (metais) santykis. </w:t>
      </w:r>
    </w:p>
    <w:p w14:paraId="15FF6024" w14:textId="77777777" w:rsidR="00093845" w:rsidRDefault="000D779E">
      <w:pPr>
        <w:pStyle w:val="Pagrindiniotekstotrauka2"/>
        <w:tabs>
          <w:tab w:val="left" w:pos="720"/>
          <w:tab w:val="left" w:pos="1077"/>
          <w:tab w:val="left" w:pos="1418"/>
        </w:tabs>
        <w:spacing w:line="240" w:lineRule="auto"/>
        <w:ind w:right="-5" w:firstLine="709"/>
        <w:rPr>
          <w:bCs w:val="0"/>
        </w:rPr>
      </w:pPr>
      <w:r>
        <w:rPr>
          <w:bCs w:val="0"/>
        </w:rPr>
        <w:t>Komentaras</w:t>
      </w:r>
    </w:p>
    <w:p w14:paraId="0117F051" w14:textId="77777777" w:rsidR="00093845" w:rsidRDefault="000D779E">
      <w:pPr>
        <w:tabs>
          <w:tab w:val="left" w:pos="720"/>
          <w:tab w:val="left" w:pos="1077"/>
          <w:tab w:val="left" w:pos="1418"/>
        </w:tabs>
        <w:ind w:right="-5" w:firstLine="709"/>
        <w:jc w:val="both"/>
        <w:rPr>
          <w:b/>
          <w:szCs w:val="20"/>
          <w:lang w:val="lt-LT"/>
        </w:rPr>
      </w:pPr>
      <w:r>
        <w:rPr>
          <w:lang w:val="lt-LT"/>
        </w:rPr>
        <w:t>Taikant ilgalaikio turto nusidėvėjimo (amortizacijos) skaičiavimo tiesinį metodą, metinė nusidėvėjimo (amortizacijos) suma apskaičiuojama kaip ilgalaikio turto įsigijimo kainos ir to turto likvidacinės kainos skirtumo bei nusidėvėjimo (amortizacijos) laiko (metais) santykis:</w:t>
      </w:r>
    </w:p>
    <w:p w14:paraId="0E6AFF7D" w14:textId="77777777" w:rsidR="00093845" w:rsidRDefault="000D779E">
      <w:pPr>
        <w:tabs>
          <w:tab w:val="left" w:pos="720"/>
          <w:tab w:val="left" w:pos="1077"/>
          <w:tab w:val="left" w:pos="1418"/>
        </w:tabs>
        <w:ind w:right="-5" w:firstLine="709"/>
        <w:jc w:val="both"/>
        <w:rPr>
          <w:szCs w:val="20"/>
          <w:lang w:val="lt-LT"/>
        </w:rPr>
      </w:pPr>
      <w:r>
        <w:rPr>
          <w:lang w:val="lt-LT"/>
        </w:rPr>
        <w:t xml:space="preserve">N = (V1 - V2) : T, </w:t>
      </w:r>
    </w:p>
    <w:p w14:paraId="39D80A65" w14:textId="77777777" w:rsidR="00093845" w:rsidRDefault="000D779E">
      <w:pPr>
        <w:tabs>
          <w:tab w:val="left" w:pos="720"/>
          <w:tab w:val="left" w:pos="1077"/>
          <w:tab w:val="left" w:pos="1418"/>
        </w:tabs>
        <w:ind w:right="-5" w:firstLine="709"/>
        <w:jc w:val="both"/>
        <w:rPr>
          <w:szCs w:val="20"/>
          <w:lang w:val="lt-LT"/>
        </w:rPr>
      </w:pPr>
      <w:r>
        <w:rPr>
          <w:lang w:val="lt-LT"/>
        </w:rPr>
        <w:t xml:space="preserve">kur N – metinė nusidėvėjimo suma; V1 – ilgalaikio materialiojo turto įsigijimo kaina; V2 – ilgalaikio turto likvidacinė kaina; T – naudojimo laikas metais. </w:t>
      </w:r>
    </w:p>
    <w:p w14:paraId="30139B92" w14:textId="77777777" w:rsidR="00093845" w:rsidRDefault="00093845">
      <w:pPr>
        <w:tabs>
          <w:tab w:val="left" w:pos="720"/>
          <w:tab w:val="left" w:pos="1077"/>
          <w:tab w:val="left" w:pos="1418"/>
        </w:tabs>
        <w:ind w:right="-5" w:firstLine="709"/>
        <w:jc w:val="both"/>
        <w:rPr>
          <w:szCs w:val="20"/>
          <w:lang w:val="lt-LT"/>
        </w:rPr>
      </w:pPr>
    </w:p>
    <w:p w14:paraId="7B440E25" w14:textId="77777777" w:rsidR="00093845" w:rsidRDefault="000D779E">
      <w:pPr>
        <w:tabs>
          <w:tab w:val="left" w:pos="720"/>
          <w:tab w:val="left" w:pos="1077"/>
          <w:tab w:val="left" w:pos="1418"/>
        </w:tabs>
        <w:ind w:right="-5" w:firstLine="709"/>
        <w:jc w:val="both"/>
        <w:rPr>
          <w:b/>
          <w:szCs w:val="20"/>
          <w:lang w:val="lt-LT"/>
        </w:rPr>
      </w:pPr>
      <w:r>
        <w:rPr>
          <w:b/>
          <w:lang w:val="lt-LT"/>
        </w:rPr>
        <w:t>6.</w:t>
      </w:r>
      <w:r>
        <w:rPr>
          <w:b/>
          <w:lang w:val="lt-LT"/>
        </w:rPr>
        <w:tab/>
        <w:t xml:space="preserve">Taikant dvigubo balanso metodą: </w:t>
      </w:r>
    </w:p>
    <w:p w14:paraId="7CDFA709" w14:textId="77777777" w:rsidR="00093845" w:rsidRDefault="000D779E">
      <w:pPr>
        <w:tabs>
          <w:tab w:val="left" w:pos="720"/>
          <w:tab w:val="left" w:pos="1077"/>
          <w:tab w:val="left" w:pos="1418"/>
        </w:tabs>
        <w:ind w:right="-5" w:firstLine="709"/>
        <w:jc w:val="both"/>
        <w:rPr>
          <w:b/>
          <w:szCs w:val="20"/>
          <w:lang w:val="lt-LT"/>
        </w:rPr>
      </w:pPr>
      <w:r>
        <w:rPr>
          <w:b/>
          <w:lang w:val="lt-LT"/>
        </w:rPr>
        <w:t>1)</w:t>
      </w:r>
      <w:r>
        <w:rPr>
          <w:b/>
          <w:lang w:val="lt-LT"/>
        </w:rPr>
        <w:tab/>
        <w:t xml:space="preserve">100 procentų ir ilgalaikio turto nusidėvėjimo arba amortizacijos laiko (metais) santykį dauginant iš 2, apskaičiuojamas nusidėvėjimo arba amortizacijos koeficientas (toliau - nusidėvėjimo koeficientas); </w:t>
      </w:r>
    </w:p>
    <w:p w14:paraId="2B17FF61" w14:textId="77777777" w:rsidR="00093845" w:rsidRDefault="000D779E">
      <w:pPr>
        <w:tabs>
          <w:tab w:val="left" w:pos="720"/>
          <w:tab w:val="left" w:pos="1077"/>
          <w:tab w:val="left" w:pos="1418"/>
        </w:tabs>
        <w:ind w:right="-5" w:firstLine="709"/>
        <w:jc w:val="both"/>
        <w:rPr>
          <w:b/>
          <w:szCs w:val="20"/>
          <w:lang w:val="lt-LT"/>
        </w:rPr>
      </w:pPr>
      <w:r>
        <w:rPr>
          <w:b/>
          <w:lang w:val="lt-LT"/>
        </w:rPr>
        <w:t>2)</w:t>
      </w:r>
      <w:r>
        <w:rPr>
          <w:b/>
          <w:lang w:val="lt-LT"/>
        </w:rPr>
        <w:tab/>
        <w:t xml:space="preserve">apskaičiuojant mokestinio laikotarpio nusidėvėjimo arba amortizacijos sumą pirmaisiais metais, ilgalaikio turto įsigijimo kaina yra dauginama iš nusidėvėjimo koeficiento; </w:t>
      </w:r>
    </w:p>
    <w:p w14:paraId="52ACF07F" w14:textId="77777777" w:rsidR="00093845" w:rsidRDefault="000D779E">
      <w:pPr>
        <w:tabs>
          <w:tab w:val="left" w:pos="720"/>
          <w:tab w:val="left" w:pos="1077"/>
          <w:tab w:val="left" w:pos="1418"/>
        </w:tabs>
        <w:ind w:right="-5" w:firstLine="709"/>
        <w:jc w:val="both"/>
        <w:rPr>
          <w:b/>
          <w:szCs w:val="20"/>
          <w:lang w:val="lt-LT"/>
        </w:rPr>
      </w:pPr>
      <w:r>
        <w:rPr>
          <w:b/>
          <w:lang w:val="lt-LT"/>
        </w:rPr>
        <w:lastRenderedPageBreak/>
        <w:t>3)</w:t>
      </w:r>
      <w:r>
        <w:rPr>
          <w:b/>
          <w:lang w:val="lt-LT"/>
        </w:rPr>
        <w:tab/>
        <w:t xml:space="preserve">visais kitais ilgalaikio turto nusidėvėjimo arba amortizacijos metais, išskyrus paskutinius, mokestinio laikotarpio ilgalaikio turto nusidėvėjimo arba amortizacijos suma apskaičiuojama ilgalaikio turto likutinę vertę, esančią mokestinio laikotarpio pradžioje, dauginant iš nusidėvėjimo koeficiento; </w:t>
      </w:r>
    </w:p>
    <w:p w14:paraId="4F93242F" w14:textId="77777777" w:rsidR="00093845" w:rsidRDefault="000D779E">
      <w:pPr>
        <w:tabs>
          <w:tab w:val="left" w:pos="720"/>
          <w:tab w:val="left" w:pos="1077"/>
          <w:tab w:val="left" w:pos="1418"/>
        </w:tabs>
        <w:ind w:right="-5" w:firstLine="709"/>
        <w:jc w:val="both"/>
        <w:rPr>
          <w:szCs w:val="20"/>
          <w:lang w:val="lt-LT"/>
        </w:rPr>
      </w:pPr>
      <w:r>
        <w:rPr>
          <w:b/>
          <w:lang w:val="lt-LT"/>
        </w:rPr>
        <w:t>4)</w:t>
      </w:r>
      <w:r>
        <w:rPr>
          <w:b/>
          <w:lang w:val="lt-LT"/>
        </w:rPr>
        <w:tab/>
        <w:t xml:space="preserve">paskutiniais nudėvėjimo arba amortizacijos metais yra nudėvimas arba amortizuojamas skirtumas tarp ilgalaikio turto likutinės kainos mokestinio laikotarpio pradžioje ir vieneto likvidacinės kainos, nusistatytos pagal šio straipsnio 2 dalį. </w:t>
      </w:r>
    </w:p>
    <w:p w14:paraId="5ADFF611" w14:textId="77777777" w:rsidR="00093845" w:rsidRDefault="000D779E">
      <w:pPr>
        <w:pStyle w:val="Style1"/>
        <w:tabs>
          <w:tab w:val="left" w:pos="720"/>
          <w:tab w:val="left" w:pos="1077"/>
          <w:tab w:val="left" w:pos="1418"/>
        </w:tabs>
        <w:ind w:right="-5" w:firstLine="709"/>
        <w:rPr>
          <w:rFonts w:ascii="Times New Roman" w:hAnsi="Times New Roman"/>
          <w:b/>
        </w:rPr>
      </w:pPr>
      <w:r>
        <w:rPr>
          <w:rFonts w:ascii="Times New Roman" w:hAnsi="Times New Roman"/>
          <w:b/>
        </w:rPr>
        <w:t>Komentaras</w:t>
      </w:r>
    </w:p>
    <w:p w14:paraId="5CEFBF9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Taikant ilgalaikio turto nusidėvėjimo (amortizacijos) skaičiavimo dvigubo balanso metodą, metinė nusidėvėjimo suma apskaičiuojama pagal formulę: </w:t>
      </w:r>
    </w:p>
    <w:p w14:paraId="749606C1" w14:textId="77777777" w:rsidR="00093845" w:rsidRDefault="000D779E">
      <w:pPr>
        <w:tabs>
          <w:tab w:val="left" w:pos="720"/>
          <w:tab w:val="left" w:pos="1077"/>
          <w:tab w:val="left" w:pos="1418"/>
        </w:tabs>
        <w:ind w:right="-5" w:firstLine="709"/>
        <w:jc w:val="both"/>
        <w:rPr>
          <w:szCs w:val="20"/>
          <w:lang w:val="lt-LT"/>
        </w:rPr>
      </w:pPr>
      <w:r>
        <w:rPr>
          <w:lang w:val="lt-LT"/>
        </w:rPr>
        <w:t xml:space="preserve">N = L x n; n = 100 proc. : T x 2, </w:t>
      </w:r>
    </w:p>
    <w:p w14:paraId="3A8E0077" w14:textId="77777777" w:rsidR="00093845" w:rsidRDefault="000D779E">
      <w:pPr>
        <w:tabs>
          <w:tab w:val="left" w:pos="720"/>
          <w:tab w:val="left" w:pos="1077"/>
          <w:tab w:val="left" w:pos="1418"/>
        </w:tabs>
        <w:ind w:right="-5" w:firstLine="709"/>
        <w:jc w:val="both"/>
        <w:rPr>
          <w:szCs w:val="20"/>
          <w:lang w:val="lt-LT"/>
        </w:rPr>
      </w:pPr>
      <w:r>
        <w:rPr>
          <w:lang w:val="lt-LT"/>
        </w:rPr>
        <w:t xml:space="preserve">kur N – metinė nusidėvėjimo suma; L – ilgalaikio turto likutinė kaina; n – nusidėvėjimo procentas; T – naudojimo laikas metais. </w:t>
      </w:r>
    </w:p>
    <w:p w14:paraId="74B4B3DD" w14:textId="77777777" w:rsidR="00093845" w:rsidRDefault="000D779E">
      <w:pPr>
        <w:tabs>
          <w:tab w:val="left" w:pos="720"/>
          <w:tab w:val="left" w:pos="1077"/>
          <w:tab w:val="left" w:pos="1418"/>
        </w:tabs>
        <w:ind w:right="-5" w:firstLine="709"/>
        <w:jc w:val="both"/>
        <w:rPr>
          <w:i/>
          <w:szCs w:val="20"/>
          <w:lang w:val="lt-LT"/>
        </w:rPr>
      </w:pPr>
      <w:r>
        <w:rPr>
          <w:i/>
          <w:lang w:val="lt-LT"/>
        </w:rPr>
        <w:t xml:space="preserve">Pirmaisiais turto naudojimo metais: </w:t>
      </w:r>
    </w:p>
    <w:p w14:paraId="53650EEF"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N1 = L1 x n, </w:t>
      </w:r>
    </w:p>
    <w:p w14:paraId="66FAC528" w14:textId="77777777" w:rsidR="00093845" w:rsidRDefault="000D779E">
      <w:pPr>
        <w:tabs>
          <w:tab w:val="left" w:pos="720"/>
          <w:tab w:val="left" w:pos="1077"/>
          <w:tab w:val="left" w:pos="1418"/>
        </w:tabs>
        <w:ind w:right="-5" w:firstLine="709"/>
        <w:jc w:val="both"/>
        <w:rPr>
          <w:szCs w:val="20"/>
          <w:lang w:val="lt-LT"/>
        </w:rPr>
      </w:pPr>
      <w:r>
        <w:rPr>
          <w:lang w:val="lt-LT"/>
        </w:rPr>
        <w:t xml:space="preserve">kur N1 – metinė nusidėvėjimo suma pirmaisiais metais, L1 = V1, kur V1 – ilgalaikio turto įsigijimo kaina. </w:t>
      </w:r>
    </w:p>
    <w:p w14:paraId="3D6A83AC" w14:textId="77777777" w:rsidR="00093845" w:rsidRDefault="000D779E">
      <w:pPr>
        <w:tabs>
          <w:tab w:val="left" w:pos="720"/>
          <w:tab w:val="left" w:pos="1077"/>
          <w:tab w:val="left" w:pos="1418"/>
        </w:tabs>
        <w:ind w:right="-5" w:firstLine="709"/>
        <w:jc w:val="both"/>
        <w:rPr>
          <w:i/>
          <w:szCs w:val="20"/>
          <w:lang w:val="lt-LT"/>
        </w:rPr>
      </w:pPr>
      <w:r>
        <w:rPr>
          <w:i/>
          <w:lang w:val="lt-LT"/>
        </w:rPr>
        <w:t xml:space="preserve">Antraisiais turto naudojimo metais: </w:t>
      </w:r>
    </w:p>
    <w:p w14:paraId="3A4A25CA"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N2 = L2 x n, kur L2 = L1 - N1. </w:t>
      </w:r>
    </w:p>
    <w:p w14:paraId="49989B16" w14:textId="77777777" w:rsidR="00093845" w:rsidRDefault="000D779E">
      <w:pPr>
        <w:tabs>
          <w:tab w:val="left" w:pos="720"/>
          <w:tab w:val="left" w:pos="1077"/>
          <w:tab w:val="left" w:pos="1418"/>
        </w:tabs>
        <w:ind w:right="-5" w:firstLine="709"/>
        <w:jc w:val="both"/>
        <w:rPr>
          <w:i/>
          <w:szCs w:val="20"/>
          <w:lang w:val="lt-LT"/>
        </w:rPr>
      </w:pPr>
      <w:r>
        <w:rPr>
          <w:i/>
          <w:lang w:val="lt-LT"/>
        </w:rPr>
        <w:t xml:space="preserve">Trečiaisiais turto naudojimo metais: </w:t>
      </w:r>
    </w:p>
    <w:p w14:paraId="7E8279A0" w14:textId="77777777" w:rsidR="00093845" w:rsidRDefault="000D779E">
      <w:pPr>
        <w:tabs>
          <w:tab w:val="left" w:pos="720"/>
          <w:tab w:val="left" w:pos="1077"/>
          <w:tab w:val="left" w:pos="1418"/>
        </w:tabs>
        <w:ind w:right="-5" w:firstLine="709"/>
        <w:jc w:val="both"/>
        <w:rPr>
          <w:szCs w:val="20"/>
          <w:lang w:val="lt-LT"/>
        </w:rPr>
      </w:pPr>
      <w:r>
        <w:rPr>
          <w:lang w:val="lt-LT"/>
        </w:rPr>
        <w:t xml:space="preserve">N3 = L3 x n, </w:t>
      </w:r>
    </w:p>
    <w:p w14:paraId="6E80D8C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kur L3 = L2 - N2. </w:t>
      </w:r>
    </w:p>
    <w:p w14:paraId="60090243" w14:textId="77777777" w:rsidR="00093845" w:rsidRDefault="000D779E">
      <w:pPr>
        <w:tabs>
          <w:tab w:val="left" w:pos="720"/>
          <w:tab w:val="left" w:pos="1077"/>
          <w:tab w:val="left" w:pos="1418"/>
        </w:tabs>
        <w:ind w:right="-5" w:firstLine="709"/>
        <w:jc w:val="both"/>
        <w:rPr>
          <w:szCs w:val="20"/>
          <w:lang w:val="lt-LT"/>
        </w:rPr>
      </w:pPr>
      <w:r>
        <w:rPr>
          <w:i/>
          <w:lang w:val="lt-LT"/>
        </w:rPr>
        <w:t>Ketvirtaisiai</w:t>
      </w:r>
      <w:r>
        <w:rPr>
          <w:b/>
          <w:i/>
          <w:lang w:val="lt-LT"/>
        </w:rPr>
        <w:t xml:space="preserve">s </w:t>
      </w:r>
      <w:r>
        <w:rPr>
          <w:lang w:val="lt-LT"/>
        </w:rPr>
        <w:t xml:space="preserve">ir einančiais po jų ir dar kitų ,,i“-tųjų metų (išskyrus paskutinius turto naudojimo metus): </w:t>
      </w:r>
    </w:p>
    <w:p w14:paraId="54A8B88D" w14:textId="77777777" w:rsidR="00093845" w:rsidRDefault="000D779E">
      <w:pPr>
        <w:tabs>
          <w:tab w:val="left" w:pos="720"/>
          <w:tab w:val="left" w:pos="1077"/>
          <w:tab w:val="left" w:pos="1418"/>
        </w:tabs>
        <w:ind w:right="-5" w:firstLine="709"/>
        <w:jc w:val="both"/>
        <w:rPr>
          <w:szCs w:val="20"/>
          <w:lang w:val="lt-LT"/>
        </w:rPr>
      </w:pPr>
      <w:r>
        <w:rPr>
          <w:lang w:val="lt-LT"/>
        </w:rPr>
        <w:t xml:space="preserve">Ni = Li x n, </w:t>
      </w:r>
    </w:p>
    <w:p w14:paraId="67BCEEDC" w14:textId="77777777" w:rsidR="00093845" w:rsidRDefault="000D779E">
      <w:pPr>
        <w:tabs>
          <w:tab w:val="left" w:pos="720"/>
          <w:tab w:val="left" w:pos="1077"/>
          <w:tab w:val="left" w:pos="1418"/>
        </w:tabs>
        <w:ind w:right="-5" w:firstLine="709"/>
        <w:jc w:val="both"/>
        <w:rPr>
          <w:szCs w:val="20"/>
          <w:lang w:val="lt-LT"/>
        </w:rPr>
      </w:pPr>
      <w:r>
        <w:rPr>
          <w:lang w:val="lt-LT"/>
        </w:rPr>
        <w:t xml:space="preserve">kur Li = Li-1 - Ni-1. </w:t>
      </w:r>
    </w:p>
    <w:p w14:paraId="56244E81" w14:textId="77777777" w:rsidR="00093845" w:rsidRDefault="000D779E">
      <w:pPr>
        <w:tabs>
          <w:tab w:val="left" w:pos="720"/>
          <w:tab w:val="left" w:pos="1077"/>
          <w:tab w:val="left" w:pos="1418"/>
        </w:tabs>
        <w:ind w:right="-5" w:firstLine="709"/>
        <w:jc w:val="both"/>
        <w:rPr>
          <w:i/>
          <w:szCs w:val="20"/>
          <w:lang w:val="lt-LT"/>
        </w:rPr>
      </w:pPr>
      <w:r>
        <w:rPr>
          <w:i/>
          <w:lang w:val="lt-LT"/>
        </w:rPr>
        <w:t xml:space="preserve">Paskutiniais turto naudojimo metais: </w:t>
      </w:r>
    </w:p>
    <w:p w14:paraId="49E489DF" w14:textId="77777777" w:rsidR="00093845" w:rsidRDefault="000D779E">
      <w:pPr>
        <w:tabs>
          <w:tab w:val="left" w:pos="720"/>
          <w:tab w:val="left" w:pos="1077"/>
          <w:tab w:val="left" w:pos="1418"/>
        </w:tabs>
        <w:ind w:right="-5" w:firstLine="709"/>
        <w:jc w:val="both"/>
        <w:rPr>
          <w:szCs w:val="20"/>
          <w:lang w:val="lt-LT"/>
        </w:rPr>
      </w:pPr>
      <w:r>
        <w:rPr>
          <w:lang w:val="lt-LT"/>
        </w:rPr>
        <w:t xml:space="preserve">Np = Lp-1 - V2, </w:t>
      </w:r>
    </w:p>
    <w:p w14:paraId="5F8A1623" w14:textId="77777777" w:rsidR="00093845" w:rsidRDefault="000D779E">
      <w:pPr>
        <w:tabs>
          <w:tab w:val="left" w:pos="720"/>
          <w:tab w:val="left" w:pos="1077"/>
          <w:tab w:val="left" w:pos="1418"/>
        </w:tabs>
        <w:ind w:right="-5" w:firstLine="709"/>
        <w:jc w:val="both"/>
        <w:rPr>
          <w:lang w:val="lt-LT"/>
        </w:rPr>
      </w:pPr>
      <w:r>
        <w:rPr>
          <w:lang w:val="lt-LT"/>
        </w:rPr>
        <w:t>kur V2 – ilgalaikio turto likvidacinė kaina.</w:t>
      </w:r>
    </w:p>
    <w:p w14:paraId="4F802CA8" w14:textId="77777777" w:rsidR="00093845" w:rsidRDefault="00093845">
      <w:pPr>
        <w:ind w:firstLine="709"/>
        <w:jc w:val="both"/>
        <w:rPr>
          <w:b/>
        </w:rPr>
      </w:pPr>
    </w:p>
    <w:p w14:paraId="033E111C" w14:textId="77777777" w:rsidR="00093845" w:rsidRDefault="000D779E" w:rsidP="00A66310">
      <w:pPr>
        <w:spacing w:after="0"/>
        <w:ind w:firstLine="709"/>
        <w:jc w:val="both"/>
        <w:rPr>
          <w:b/>
        </w:rPr>
      </w:pPr>
      <w:r>
        <w:rPr>
          <w:b/>
        </w:rPr>
        <w:t xml:space="preserve">7. Taikant produkcijos metodą, metinė nusidėvėjimo suma apskaičiuojama ilgalaikio materialiojo turto įsigijimo kainos ir to turto likvidacinės vertės skirtumą padauginus iš per mokestinį laikotarpį pagamintos produkcijos ar perdirbtos žaliavos kiekio ir maksimalaus šiuo turtu pagaminamos produkcijos ar perdirbamos žaliavos kiekio santykio. Vienetas, neatsižvelgdamas į kitas šio straipsnio nuostatas, pats nusistato (pasirenka), kada produkcijos metodu pradedamas nudėvėti jo įsigytas ir pradėtas naudoti ilgalaikis turtas.        </w:t>
      </w:r>
    </w:p>
    <w:p w14:paraId="7F231E1C" w14:textId="77777777" w:rsidR="00093845" w:rsidRDefault="000D779E" w:rsidP="00A66310">
      <w:pPr>
        <w:spacing w:after="0"/>
        <w:jc w:val="both"/>
        <w:rPr>
          <w:rFonts w:ascii="TimesLT" w:hAnsi="TimesLT" w:cs="Arial Unicode MS"/>
          <w:i/>
          <w:color w:val="000000"/>
        </w:rPr>
      </w:pPr>
      <w:r w:rsidRPr="00FE7AB0">
        <w:rPr>
          <w:rFonts w:ascii="TimesLT" w:hAnsi="TimesLT" w:cs="Arial Unicode MS"/>
          <w:i/>
        </w:rPr>
        <w:t>(</w:t>
      </w:r>
      <w:r w:rsidRPr="00FE7AB0">
        <w:rPr>
          <w:i/>
          <w:color w:val="000000"/>
        </w:rPr>
        <w:t>KEISTA:</w:t>
      </w:r>
      <w:r w:rsidRPr="00FE7AB0">
        <w:rPr>
          <w:i/>
          <w:color w:val="000000"/>
          <w:lang w:val="lt-LT"/>
        </w:rPr>
        <w:t xml:space="preserve"> </w:t>
      </w:r>
      <w:r w:rsidRPr="00FE7AB0">
        <w:rPr>
          <w:i/>
          <w:color w:val="000000"/>
        </w:rPr>
        <w:t>2007 05 03 įstatymu Nr. X-1110 (nuo 2007 05 19)</w:t>
      </w:r>
      <w:r w:rsidR="00655350" w:rsidRPr="00FE7AB0">
        <w:rPr>
          <w:i/>
          <w:color w:val="000000"/>
        </w:rPr>
        <w:t>,</w:t>
      </w:r>
      <w:r w:rsidR="00924313" w:rsidRPr="00FE7AB0">
        <w:rPr>
          <w:i/>
        </w:rPr>
        <w:t xml:space="preserve"> t</w:t>
      </w:r>
      <w:r w:rsidR="00924313" w:rsidRPr="00FE7AB0">
        <w:rPr>
          <w:i/>
          <w:color w:val="000000"/>
        </w:rPr>
        <w:t>aikoma apskaičiuojant 2007 metais prasidėjusio mokestinio laikotarpio ir vėlesnių mokestinių laikotarpių apmokestinamąjį pelną</w:t>
      </w:r>
      <w:r w:rsidRPr="00FE7AB0">
        <w:rPr>
          <w:rFonts w:ascii="TimesLT" w:hAnsi="TimesLT" w:cs="Arial Unicode MS"/>
          <w:i/>
          <w:color w:val="000000"/>
        </w:rPr>
        <w:t>)</w:t>
      </w:r>
    </w:p>
    <w:p w14:paraId="01470832" w14:textId="77777777" w:rsidR="008A55B2" w:rsidRPr="00FE7AB0" w:rsidRDefault="008A55B2" w:rsidP="00A66310">
      <w:pPr>
        <w:spacing w:after="0"/>
        <w:jc w:val="both"/>
        <w:rPr>
          <w:rFonts w:ascii="TimesLT" w:hAnsi="TimesLT" w:cs="Arial Unicode MS"/>
          <w:i/>
          <w:color w:val="000000"/>
        </w:rPr>
      </w:pPr>
    </w:p>
    <w:p w14:paraId="1D121F7D" w14:textId="77777777" w:rsidR="00093845" w:rsidRDefault="000D779E">
      <w:pPr>
        <w:jc w:val="both"/>
        <w:rPr>
          <w:rFonts w:ascii="TimesLT" w:hAnsi="TimesLT" w:cs="Arial Unicode MS"/>
          <w:b/>
          <w:bCs/>
        </w:rPr>
      </w:pPr>
      <w:r>
        <w:rPr>
          <w:rFonts w:ascii="TimesLT" w:hAnsi="TimesLT" w:cs="Arial Unicode MS"/>
          <w:color w:val="000000"/>
        </w:rPr>
        <w:t xml:space="preserve">            </w:t>
      </w:r>
      <w:r>
        <w:rPr>
          <w:rFonts w:ascii="TimesLT" w:hAnsi="TimesLT" w:cs="Arial Unicode MS"/>
          <w:b/>
          <w:bCs/>
        </w:rPr>
        <w:t>Komentaras</w:t>
      </w:r>
    </w:p>
    <w:p w14:paraId="5B4EB02A" w14:textId="77777777" w:rsidR="00093845" w:rsidRDefault="000D779E">
      <w:pPr>
        <w:tabs>
          <w:tab w:val="left" w:pos="993"/>
        </w:tabs>
        <w:ind w:firstLine="720"/>
        <w:jc w:val="both"/>
      </w:pPr>
      <w:r>
        <w:t xml:space="preserve">Produkcijos metodas gali būti taikomas tik tam ilgalaikiam materialiam turtui, kuris priskiriamas ilgalaikio turto grupei „Kitas anksčiau neišvardytas materialus turtas“. Produkcijos metodu apskaičiuota nusidėvėjimo suma priklauso nuo tam tikru ilgalaikio materialiojo turto vienetu pagamintos produkcijos </w:t>
      </w:r>
      <w:r>
        <w:rPr>
          <w:bCs/>
        </w:rPr>
        <w:t xml:space="preserve">ar perdirbtos žaliavos </w:t>
      </w:r>
      <w:r>
        <w:t xml:space="preserve">kiekio. Produkcijos metodas gali būti naudojamas tokio turto nusidėvėjimui skaičiuoti, kurio naudojimas gali būti siejamas su pagamintos produkcijos </w:t>
      </w:r>
      <w:r>
        <w:rPr>
          <w:bCs/>
        </w:rPr>
        <w:t xml:space="preserve">ar perdirbtos žaliavos </w:t>
      </w:r>
      <w:r>
        <w:t>kiekiu.</w:t>
      </w:r>
    </w:p>
    <w:p w14:paraId="74C9119C" w14:textId="77777777" w:rsidR="00093845" w:rsidRDefault="000D779E">
      <w:pPr>
        <w:tabs>
          <w:tab w:val="left" w:pos="993"/>
        </w:tabs>
        <w:ind w:firstLine="720"/>
        <w:jc w:val="both"/>
      </w:pPr>
      <w:r>
        <w:t>Taikant produkcijos metodą, nusidėvėjimo suma apskaičiuojama pagal formulę:</w:t>
      </w:r>
    </w:p>
    <w:p w14:paraId="60B587CE" w14:textId="77777777" w:rsidR="00093845" w:rsidRDefault="000D779E">
      <w:pPr>
        <w:tabs>
          <w:tab w:val="left" w:pos="993"/>
        </w:tabs>
        <w:ind w:firstLine="720"/>
        <w:jc w:val="both"/>
      </w:pPr>
      <w:r>
        <w:t>N= (V1-V2)xP : Pmax,</w:t>
      </w:r>
    </w:p>
    <w:p w14:paraId="2F27C6AC" w14:textId="77777777" w:rsidR="00093845" w:rsidRDefault="000D779E">
      <w:pPr>
        <w:tabs>
          <w:tab w:val="left" w:pos="993"/>
        </w:tabs>
        <w:ind w:firstLine="720"/>
        <w:jc w:val="both"/>
      </w:pPr>
      <w:r>
        <w:t xml:space="preserve">Kur N – metinė nusidėvėjimo suma; V1 – ilgalaikio materialiojo turto įsigijimo (pasigaminimo) savikaina; V2 – ilgalaikio materialiojo turto likvidacinė vertė; P – per ataskaitinį laikotarpį pagamintos produkcijos </w:t>
      </w:r>
      <w:r>
        <w:rPr>
          <w:bCs/>
        </w:rPr>
        <w:t>ar perdirbtos žaliavos</w:t>
      </w:r>
      <w:r>
        <w:t xml:space="preserve"> kiekis; Pmax - maksimalus ilgalaikio turto objektu pagamintos produkcijos </w:t>
      </w:r>
      <w:r>
        <w:rPr>
          <w:bCs/>
        </w:rPr>
        <w:t>ar perdirbtos žaliavos</w:t>
      </w:r>
      <w:r>
        <w:t xml:space="preserve"> kiekis.</w:t>
      </w:r>
    </w:p>
    <w:p w14:paraId="23FD9059" w14:textId="77777777" w:rsidR="00093845" w:rsidRDefault="000D779E">
      <w:pPr>
        <w:tabs>
          <w:tab w:val="left" w:pos="720"/>
          <w:tab w:val="left" w:pos="1077"/>
          <w:tab w:val="left" w:pos="1418"/>
        </w:tabs>
        <w:ind w:right="-5" w:firstLine="709"/>
        <w:jc w:val="both"/>
        <w:rPr>
          <w:rFonts w:ascii="TimesLT" w:hAnsi="TimesLT" w:cs="Arial Unicode MS"/>
          <w:bCs/>
        </w:rPr>
      </w:pPr>
      <w:r>
        <w:rPr>
          <w:rFonts w:ascii="TimesLT" w:hAnsi="TimesLT" w:cs="Arial Unicode MS"/>
          <w:bCs/>
        </w:rPr>
        <w:t>Pavyzdys</w:t>
      </w:r>
    </w:p>
    <w:p w14:paraId="51977455" w14:textId="77777777" w:rsidR="00093845" w:rsidRDefault="000D779E">
      <w:pPr>
        <w:pBdr>
          <w:top w:val="single" w:sz="4" w:space="2" w:color="auto"/>
          <w:left w:val="single" w:sz="4" w:space="4" w:color="auto"/>
          <w:bottom w:val="single" w:sz="4" w:space="1" w:color="auto"/>
          <w:right w:val="single" w:sz="4" w:space="4" w:color="auto"/>
        </w:pBdr>
        <w:tabs>
          <w:tab w:val="left" w:pos="720"/>
          <w:tab w:val="left" w:pos="1077"/>
          <w:tab w:val="left" w:pos="1418"/>
        </w:tabs>
        <w:ind w:right="-5" w:firstLine="709"/>
        <w:jc w:val="both"/>
        <w:rPr>
          <w:rFonts w:ascii="TimesLT" w:hAnsi="TimesLT" w:cs="Arial Unicode MS"/>
        </w:rPr>
      </w:pPr>
      <w:r>
        <w:rPr>
          <w:rFonts w:ascii="TimesLT" w:hAnsi="TimesLT" w:cs="Arial Unicode MS"/>
        </w:rPr>
        <w:t>UAB A 2015 m. sausio mėnesį įsigijo katalizatorių. Šis turtas priskiriamas ilgalaikio turto grupei „Kitas anksčiau neišvardytas materialus turtas“. Katalizatoriaus įsigijimo kaina 100 000 Eur. Įmonė nustatė turto likvidacinę vertę 1 000 Eur. 2015 m. vasario mėnesį įmonė pradėjo naudoti šį turtą. Katalizatoriumi planuojama pagaminti 120 000 produkcijos vienetų. Per 2015 metus pagaminta 40 000 vienetų. Metinė nusidėvėjimo suma 2015 metais sudarys 33000 Eur [(100 000 – 1 000) x 40 000 : 120 000]</w:t>
      </w:r>
    </w:p>
    <w:p w14:paraId="3A56BE17" w14:textId="77777777" w:rsidR="00093845" w:rsidRDefault="000D779E">
      <w:pPr>
        <w:tabs>
          <w:tab w:val="left" w:pos="993"/>
        </w:tabs>
        <w:ind w:firstLine="720"/>
        <w:jc w:val="both"/>
        <w:rPr>
          <w:color w:val="000000"/>
        </w:rPr>
      </w:pPr>
      <w:r>
        <w:t xml:space="preserve">Vienetas, neatsižvelgdamas į kitas šio straipsnio nuostatas, pats nusistato (pasirenka), kada produkcijos metodu pradedamas nudėvėti jo įsigytas ir pradėtas naudoti ilgalaikis turtas. Tačiau ši nuostata taikoma tik nuo 2007 metais prasidėjusio mokestinio laikotarpio įsigytam ir pradėtam naudoti ilgalaikiam turtui. </w:t>
      </w:r>
    </w:p>
    <w:p w14:paraId="2CC750B3" w14:textId="77777777" w:rsidR="00093845" w:rsidRPr="00A66310" w:rsidRDefault="000D779E">
      <w:r>
        <w:t xml:space="preserve">(PMĮ </w:t>
      </w:r>
      <w:r w:rsidRPr="00A66310">
        <w:t xml:space="preserve">18 str. 7 dalies komentaras pakeistas pagal VMI prie FM 2015-05-20 raštą </w:t>
      </w:r>
      <w:r w:rsidRPr="00A66310">
        <w:rPr>
          <w:color w:val="000000"/>
        </w:rPr>
        <w:t>Nr. (32-42-31-1)-RM-11240)).</w:t>
      </w:r>
    </w:p>
    <w:p w14:paraId="756F9C6B" w14:textId="77777777" w:rsidR="00093845" w:rsidRDefault="000D779E" w:rsidP="00A66310">
      <w:pPr>
        <w:spacing w:after="0"/>
        <w:ind w:firstLine="720"/>
        <w:jc w:val="both"/>
        <w:rPr>
          <w:b/>
        </w:rPr>
      </w:pPr>
      <w:r>
        <w:rPr>
          <w:b/>
        </w:rPr>
        <w:t xml:space="preserve"> 8. Jeigu vienetas ilgalaikį turtą įsigyja ir pradeda naudoti iki mokestinio laikotarpio šešto mėnesio paskutinės dienos, tai įsigytą ir pradėtą naudoti ilgalaikį turtą pradedama nudėvėti arba amortizuoti tuo pačiu mokestiniu laikotarpiu. Jei vienetas įsigyja ir pradeda naudoti ilgalaikį turtą po mokestinio laikotarpio šešto mėnesio paskutinės dienos, tai tokį ilgalaikį turtą pradedama nudėvėti arba amortizuoti mokestiniu laikotarpiu, einančiu po mokestinio laikotarpio, kurį šis turtas įsigytas ir pradėtas naudoti.</w:t>
      </w:r>
    </w:p>
    <w:p w14:paraId="55D0BA51" w14:textId="77777777" w:rsidR="00093845" w:rsidRPr="00FE7AB0" w:rsidRDefault="000D779E" w:rsidP="00A66310">
      <w:pPr>
        <w:spacing w:after="0"/>
        <w:jc w:val="both"/>
        <w:rPr>
          <w:i/>
        </w:rPr>
      </w:pPr>
      <w:r w:rsidRPr="00FE7AB0">
        <w:rPr>
          <w:i/>
        </w:rPr>
        <w:t>(</w:t>
      </w:r>
      <w:r w:rsidRPr="00FE7AB0">
        <w:rPr>
          <w:i/>
          <w:color w:val="000000"/>
          <w:lang w:eastAsia="lt-LT"/>
        </w:rPr>
        <w:t>KEISTA: 2007 05 03 įstatymu Nr. X-1110 (nuo 2007 05 19)</w:t>
      </w:r>
      <w:r w:rsidRPr="00FE7AB0">
        <w:rPr>
          <w:i/>
          <w:color w:val="000000"/>
        </w:rPr>
        <w:t>)</w:t>
      </w:r>
    </w:p>
    <w:p w14:paraId="4388A299" w14:textId="77777777" w:rsidR="00093845" w:rsidRDefault="00093845">
      <w:pPr>
        <w:tabs>
          <w:tab w:val="left" w:pos="720"/>
          <w:tab w:val="left" w:pos="1077"/>
          <w:tab w:val="left" w:pos="1418"/>
        </w:tabs>
        <w:ind w:right="-5" w:firstLine="709"/>
        <w:jc w:val="both"/>
        <w:rPr>
          <w:b/>
          <w:szCs w:val="20"/>
        </w:rPr>
      </w:pPr>
    </w:p>
    <w:p w14:paraId="6BD29402" w14:textId="77777777" w:rsidR="00093845" w:rsidRDefault="000D779E">
      <w:pPr>
        <w:tabs>
          <w:tab w:val="left" w:pos="720"/>
          <w:tab w:val="left" w:pos="1077"/>
          <w:tab w:val="left" w:pos="1418"/>
        </w:tabs>
        <w:ind w:right="-5" w:firstLine="709"/>
        <w:jc w:val="both"/>
        <w:rPr>
          <w:b/>
          <w:szCs w:val="20"/>
        </w:rPr>
      </w:pPr>
      <w:r>
        <w:rPr>
          <w:b/>
        </w:rPr>
        <w:t>Komentaras</w:t>
      </w:r>
    </w:p>
    <w:p w14:paraId="0884F50F" w14:textId="77777777" w:rsidR="00093845" w:rsidRDefault="000D779E">
      <w:pPr>
        <w:tabs>
          <w:tab w:val="left" w:pos="720"/>
          <w:tab w:val="left" w:pos="1077"/>
          <w:tab w:val="left" w:pos="1418"/>
        </w:tabs>
        <w:ind w:right="-5" w:firstLine="709"/>
        <w:jc w:val="both"/>
        <w:rPr>
          <w:szCs w:val="20"/>
        </w:rPr>
      </w:pPr>
      <w:r>
        <w:t>1.</w:t>
      </w:r>
      <w:r>
        <w:tab/>
        <w:t>Įmonės gali pasirinkti vieną iš dviejų šiame straipsnyje nustatytų ilgalaikio turto nusidėvėjimo (amortizacijos) skaičiavimo pradžios būdų:</w:t>
      </w:r>
    </w:p>
    <w:p w14:paraId="6FB9FC50" w14:textId="77777777" w:rsidR="00093845" w:rsidRDefault="000D779E">
      <w:pPr>
        <w:tabs>
          <w:tab w:val="left" w:pos="720"/>
          <w:tab w:val="left" w:pos="1077"/>
          <w:tab w:val="left" w:pos="1418"/>
        </w:tabs>
        <w:ind w:right="-5" w:firstLine="709"/>
        <w:jc w:val="both"/>
        <w:rPr>
          <w:szCs w:val="20"/>
        </w:rPr>
      </w:pPr>
      <w:r>
        <w:t>1)</w:t>
      </w:r>
      <w:r>
        <w:tab/>
        <w:t>pusmečio būdą;</w:t>
      </w:r>
    </w:p>
    <w:p w14:paraId="4D118E49" w14:textId="77777777" w:rsidR="00093845" w:rsidRDefault="000D779E">
      <w:pPr>
        <w:tabs>
          <w:tab w:val="left" w:pos="720"/>
          <w:tab w:val="left" w:pos="1077"/>
          <w:tab w:val="left" w:pos="1418"/>
        </w:tabs>
        <w:ind w:right="-5" w:firstLine="709"/>
        <w:jc w:val="both"/>
        <w:rPr>
          <w:szCs w:val="20"/>
        </w:rPr>
      </w:pPr>
      <w:r>
        <w:t>2)</w:t>
      </w:r>
      <w:r>
        <w:tab/>
        <w:t>kito mėnesio būdą (žr. šio straipsnio 10 dalies komentarą).</w:t>
      </w:r>
    </w:p>
    <w:p w14:paraId="358C5EDC" w14:textId="77777777" w:rsidR="00093845" w:rsidRDefault="000D779E">
      <w:pPr>
        <w:tabs>
          <w:tab w:val="left" w:pos="720"/>
          <w:tab w:val="left" w:pos="1077"/>
          <w:tab w:val="left" w:pos="1418"/>
        </w:tabs>
        <w:ind w:right="-5" w:firstLine="709"/>
        <w:jc w:val="both"/>
        <w:rPr>
          <w:szCs w:val="20"/>
        </w:rPr>
      </w:pPr>
      <w:r>
        <w:rPr>
          <w:szCs w:val="20"/>
        </w:rPr>
        <w:t>2.</w:t>
      </w:r>
      <w:r>
        <w:rPr>
          <w:szCs w:val="20"/>
        </w:rPr>
        <w:tab/>
        <w:t>Taikant pusmečio būdą, nusidėvėjimas (amortizacija) pradedamas skaičiuoti, atsižvelgiant į tai, ar pirmą, ar antrą mokestinių metų pusmetį ilgalaikis turtas pradėtas naudoti.</w:t>
      </w:r>
    </w:p>
    <w:p w14:paraId="651FFDAE" w14:textId="77777777" w:rsidR="00093845" w:rsidRDefault="000D779E">
      <w:pPr>
        <w:tabs>
          <w:tab w:val="left" w:pos="720"/>
          <w:tab w:val="left" w:pos="1077"/>
          <w:tab w:val="left" w:pos="1418"/>
        </w:tabs>
        <w:ind w:right="-5" w:firstLine="709"/>
        <w:jc w:val="both"/>
        <w:rPr>
          <w:rFonts w:cs="Arial Unicode MS"/>
        </w:rPr>
      </w:pPr>
      <w:r>
        <w:rPr>
          <w:rFonts w:cs="Arial Unicode MS"/>
        </w:rPr>
        <w:lastRenderedPageBreak/>
        <w:t>3.</w:t>
      </w:r>
      <w:r>
        <w:rPr>
          <w:rFonts w:cs="Arial Unicode MS"/>
        </w:rPr>
        <w:tab/>
        <w:t xml:space="preserve">Taikant pusmečio būdą, įsigyto ilgalaikio turto, nusidėvėjimo (amortizacijos) suma, kurią tais metais leidžiama atskaityti, apskaičiuojant apmokestinamąjį pelną, priklauso nuo to, kada turtas pradėtas naudoti: </w:t>
      </w:r>
    </w:p>
    <w:p w14:paraId="1753DB4C" w14:textId="77777777" w:rsidR="00093845" w:rsidRDefault="000D779E" w:rsidP="00EC4E29">
      <w:pPr>
        <w:numPr>
          <w:ilvl w:val="0"/>
          <w:numId w:val="30"/>
        </w:numPr>
        <w:tabs>
          <w:tab w:val="left" w:pos="0"/>
          <w:tab w:val="left" w:pos="720"/>
          <w:tab w:val="left" w:pos="1084"/>
          <w:tab w:val="left" w:pos="1418"/>
        </w:tabs>
        <w:spacing w:after="200" w:line="276" w:lineRule="auto"/>
        <w:ind w:right="-5" w:firstLine="709"/>
        <w:jc w:val="both"/>
        <w:rPr>
          <w:szCs w:val="20"/>
        </w:rPr>
      </w:pPr>
      <w:r>
        <w:t xml:space="preserve">jei ilgalaikis turtas pradedamas naudoti iki mokestinio laikotarpio šešto mėnesio paskutinės dienos (jei mokestinis laikotarpis sutampa su kalendoriniais metais – iki birželio 30 d.), t.y. pirmą mokestinių metų pusmetį, tais mokestiniais metais leidžiama atskaityti visą metinę to turto nusidėvėjimo (amortizacijos) sumą; </w:t>
      </w:r>
    </w:p>
    <w:p w14:paraId="0710B958" w14:textId="77777777" w:rsidR="00093845" w:rsidRDefault="000D779E" w:rsidP="00EC4E29">
      <w:pPr>
        <w:numPr>
          <w:ilvl w:val="0"/>
          <w:numId w:val="30"/>
        </w:numPr>
        <w:tabs>
          <w:tab w:val="left" w:pos="0"/>
          <w:tab w:val="left" w:pos="720"/>
          <w:tab w:val="left" w:pos="1084"/>
          <w:tab w:val="left" w:pos="1418"/>
        </w:tabs>
        <w:spacing w:after="200" w:line="276" w:lineRule="auto"/>
        <w:ind w:right="-5" w:firstLine="709"/>
        <w:jc w:val="both"/>
        <w:rPr>
          <w:szCs w:val="20"/>
        </w:rPr>
      </w:pPr>
      <w:r>
        <w:t xml:space="preserve">jei ilgalaikis turtas pradedamas naudoti po mokestinio laikotarpio šešto mėnesio paskutinės dienos, t.y. antrą mokestinių metų pusmetį, to turto nusidėvėjimo (amortizacijos) suma tais mokestiniais metais visai neatskaitoma (turtas nudėvimas (amortizuojamas) pradedant nuo kito mokestinio laikotarpio). </w:t>
      </w:r>
    </w:p>
    <w:p w14:paraId="27A32A6E" w14:textId="77777777" w:rsidR="00093845" w:rsidRDefault="000D779E">
      <w:pPr>
        <w:tabs>
          <w:tab w:val="left" w:pos="720"/>
          <w:tab w:val="left" w:pos="1077"/>
          <w:tab w:val="left" w:pos="1418"/>
        </w:tabs>
        <w:ind w:right="-5" w:firstLine="709"/>
        <w:jc w:val="both"/>
        <w:rPr>
          <w:szCs w:val="20"/>
        </w:rPr>
      </w:pPr>
      <w:r>
        <w:rPr>
          <w:szCs w:val="20"/>
        </w:rPr>
        <w:t>Pavyzdys</w:t>
      </w:r>
    </w:p>
    <w:p w14:paraId="399F800C"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rFonts w:cs="Arial Unicode MS"/>
        </w:rPr>
      </w:pPr>
      <w:r>
        <w:rPr>
          <w:rFonts w:cs="Arial Unicode MS"/>
        </w:rPr>
        <w:t>1.</w:t>
      </w:r>
      <w:r>
        <w:rPr>
          <w:rFonts w:cs="Arial Unicode MS"/>
        </w:rPr>
        <w:tab/>
        <w:t xml:space="preserve">UAB X 2015 m. vasario 20 d. įsigijo 61 000 Eur kainos (be PVM) naują lengvąjį automobilį ir tą patį mėnesį jį pradėjo naudoti. Bendrovė, vadovaudamasi PMĮ 1 priedėliu nustatė, kad šio lengvojo automobilio nusidėvėjimas bus skaičiuojamas tiesiniu metodu taikant 6 metų nusidėvėjimo normatyvą, likvidacinė kaina – 1000 Eur. </w:t>
      </w:r>
    </w:p>
    <w:p w14:paraId="37002E24"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rFonts w:cs="Arial Unicode MS"/>
        </w:rPr>
      </w:pPr>
      <w:r>
        <w:rPr>
          <w:rFonts w:cs="Arial Unicode MS"/>
        </w:rPr>
        <w:t>Kadangi automobilis įsigytas ir pradėtas naudoti</w:t>
      </w:r>
      <w:r>
        <w:rPr>
          <w:rFonts w:cs="Arial Unicode MS"/>
          <w:color w:val="0000FF"/>
        </w:rPr>
        <w:t xml:space="preserve"> </w:t>
      </w:r>
      <w:r>
        <w:rPr>
          <w:rFonts w:cs="Arial Unicode MS"/>
        </w:rPr>
        <w:t xml:space="preserve">pirmąjį mokestinio laikotarpio pusmetį, apskaičiuojant 2015 m. apmokestinamąjį pelną, prie leidžiamų atskaitymų priskirtina visa metinė šio automobilio nusidėvėjimo suma, kuri apskaičiuojama taip: </w:t>
      </w:r>
    </w:p>
    <w:p w14:paraId="1CF6F67E"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(61 000 - 1000) : 6 = 10 000 (Eur).</w:t>
      </w:r>
    </w:p>
    <w:p w14:paraId="495B0A54"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Vadinasi, apskaičiuojant 2015 m. apmokestinamąjį pelną, prie leidžiamų atskaitymų priskiriama visa metinė nusidėvėjimo suma (10 000 Eur).</w:t>
      </w:r>
    </w:p>
    <w:p w14:paraId="44A80817" w14:textId="77777777" w:rsidR="00093845" w:rsidRDefault="00093845">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p>
    <w:p w14:paraId="7D4B307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w:t>
      </w:r>
      <w:r>
        <w:rPr>
          <w:szCs w:val="20"/>
        </w:rPr>
        <w:tab/>
        <w:t>UAB X 2015 m. gegužės 22 d. įsigijo 205 000 Eur kainos (be PVM) naują krovininį automobilį ir birželio 1 d. jį pradėjo naudoti. Įmonė, vadovaudamasi Įstatymo 1 priedėliu, pasirinko, kad šios ilgalaikio turto grupės turto, įsigyto po 2015 m. sausio 1 d., nusidėvėjimas bus skaičiuojamas taikant dvigubo balanso metodą. Nustatomas 4 metų šio krovininio automobilio nusidėvėjimo normatyvas ir 5000 Eur likvidacinė kaina.</w:t>
      </w:r>
    </w:p>
    <w:p w14:paraId="488E7A4D"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Kadangi automobilis įsigytas ir pradėtas naudoti pirmąjį mokestinio laikotarpio pusmetį, apskaičiuojant 2015 m. apmokestinamąjį pelną, prie leidžiamų atskaitymų priskirtina visa metinė šio automobilio nusidėvėjimo suma, kuri apskaičiuojama taip:</w:t>
      </w:r>
    </w:p>
    <w:p w14:paraId="1CF6C39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100 proc. : 4 x 2 = 50 proc.</w:t>
      </w:r>
    </w:p>
    <w:p w14:paraId="41BAA670"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205 000 x 50 proc. = 102 500</w:t>
      </w:r>
      <w:r>
        <w:rPr>
          <w:rFonts w:cs="Arial Unicode MS"/>
        </w:rPr>
        <w:t xml:space="preserve"> </w:t>
      </w:r>
      <w:r>
        <w:rPr>
          <w:szCs w:val="20"/>
        </w:rPr>
        <w:t>Eur.</w:t>
      </w:r>
    </w:p>
    <w:p w14:paraId="308FF91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Vadinasi, prie leidžiamų atskaitymų, apskaičiuojant apmokestinamąjį pelną, bus galima priskirti:</w:t>
      </w:r>
    </w:p>
    <w:p w14:paraId="1E52EDF9"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2015 m. - 102 500 Eur;</w:t>
      </w:r>
    </w:p>
    <w:p w14:paraId="6E803967"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2016 m. - (205 000 - 102 500) x 50 proc. = 51 250 Eur;</w:t>
      </w:r>
    </w:p>
    <w:p w14:paraId="48271D5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2017 m. - (205 000 - 102 500 - 51 250) x 50 proc. = 25 625 Eur;</w:t>
      </w:r>
    </w:p>
    <w:p w14:paraId="1F9DE621"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rPr>
          <w:szCs w:val="20"/>
        </w:rPr>
        <w:t>2018 m. - (205 000 - 102 500 - 51 250 - 25 625) - 5000 = 20 625 Eur.</w:t>
      </w:r>
    </w:p>
    <w:p w14:paraId="07925111" w14:textId="77777777" w:rsidR="00093845" w:rsidRDefault="00093845">
      <w:pPr>
        <w:pBdr>
          <w:left w:val="single" w:sz="4" w:space="4" w:color="auto"/>
          <w:bottom w:val="single" w:sz="4" w:space="1" w:color="auto"/>
          <w:right w:val="single" w:sz="4" w:space="4" w:color="auto"/>
        </w:pBdr>
        <w:tabs>
          <w:tab w:val="left" w:pos="720"/>
          <w:tab w:val="left" w:pos="1077"/>
          <w:tab w:val="left" w:pos="1418"/>
        </w:tabs>
        <w:ind w:right="-5" w:firstLine="709"/>
        <w:jc w:val="both"/>
      </w:pPr>
    </w:p>
    <w:p w14:paraId="133C9AD2"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t>3.</w:t>
      </w:r>
      <w:r>
        <w:tab/>
        <w:t>UAB X 2015 m. birželio 28 d. įsigijo ne naują pastatą ir pradėjo jį naudoti liepos 10 dieną. Kadangi pastatas pradėtas naudoti antrąjį metų pusmetį, apskaičiuojant įmonės 2015 m. apmokestinamąjį pelną, šio pastato nusidėvėjimo suma iš pajamų nebus atimama. Turtas bus pradėtas nudėvėti nuo 2016 m. sausio 1 dienos.</w:t>
      </w:r>
    </w:p>
    <w:p w14:paraId="170C331F" w14:textId="77777777" w:rsidR="00093845" w:rsidRPr="00DD0A22" w:rsidRDefault="00FE7AB0">
      <w:r>
        <w:t xml:space="preserve">             </w:t>
      </w:r>
      <w:r w:rsidR="000D779E">
        <w:t xml:space="preserve">(PMĮ 18 str. 8 dalies komentaras pakeistas pagal VMI prie FM 2015-05-20 raštą </w:t>
      </w:r>
      <w:r w:rsidR="000D779E" w:rsidRPr="00DD0A22">
        <w:rPr>
          <w:color w:val="000000"/>
        </w:rPr>
        <w:t>Nr. (32-42-31-1)-RM-11240)).</w:t>
      </w:r>
    </w:p>
    <w:p w14:paraId="4A11F504" w14:textId="77777777" w:rsidR="00093845" w:rsidRDefault="000D779E" w:rsidP="00A66310">
      <w:pPr>
        <w:spacing w:after="0"/>
        <w:ind w:firstLine="426"/>
        <w:jc w:val="both"/>
        <w:rPr>
          <w:b/>
        </w:rPr>
      </w:pPr>
      <w:r>
        <w:rPr>
          <w:rFonts w:ascii="HelveticaLT" w:hAnsi="HelveticaLT" w:cs="Arial Unicode MS"/>
          <w:b/>
        </w:rPr>
        <w:t xml:space="preserve">      </w:t>
      </w:r>
      <w:r>
        <w:rPr>
          <w:b/>
        </w:rPr>
        <w:t>9. Jei vienetas ilgalaikį turtą perduoda atlygintinai ar neatlygintinai iki mokestinio laikotarpio šešto mėnesio paskutinės dienos, tai nusidėvėjimas arba amortizacija per tą mokestinį laikotarpį neskaičiuojami. Jei vienetas perduoda atlygintinai ar neatlygintinai ilgalaikį turtą po mokestinio laikotarpio šešto mėnesio paskutinės dienos, tai tuo mokestiniu laikotarpiu į vieneto sąnaudas perkeliama 1/2 metinės nusidėvėjimo arba amortizacijos sumos, apskaičiuotos pagal nustatytus normatyvus.</w:t>
      </w:r>
    </w:p>
    <w:p w14:paraId="2DF1829B" w14:textId="77777777" w:rsidR="00093845" w:rsidRDefault="000D779E" w:rsidP="00A66310">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252C3A38" w14:textId="77777777" w:rsidR="00FE7AB0" w:rsidRPr="00FE7AB0" w:rsidRDefault="00FE7AB0" w:rsidP="00A66310">
      <w:pPr>
        <w:spacing w:after="0"/>
        <w:jc w:val="both"/>
        <w:rPr>
          <w:i/>
        </w:rPr>
      </w:pPr>
    </w:p>
    <w:p w14:paraId="2CC23BE1" w14:textId="77777777" w:rsidR="00093845" w:rsidRDefault="000D779E">
      <w:pPr>
        <w:tabs>
          <w:tab w:val="left" w:pos="720"/>
          <w:tab w:val="left" w:pos="1077"/>
          <w:tab w:val="left" w:pos="1418"/>
        </w:tabs>
        <w:ind w:right="-5" w:firstLine="709"/>
        <w:jc w:val="both"/>
        <w:rPr>
          <w:b/>
          <w:szCs w:val="20"/>
        </w:rPr>
      </w:pPr>
      <w:r>
        <w:rPr>
          <w:b/>
        </w:rPr>
        <w:t>Komentaras</w:t>
      </w:r>
    </w:p>
    <w:p w14:paraId="327FEFCB" w14:textId="77777777" w:rsidR="00093845" w:rsidRDefault="000D779E">
      <w:pPr>
        <w:tabs>
          <w:tab w:val="left" w:pos="720"/>
          <w:tab w:val="left" w:pos="1077"/>
          <w:tab w:val="left" w:pos="1418"/>
        </w:tabs>
        <w:ind w:right="-5" w:firstLine="709"/>
        <w:jc w:val="both"/>
        <w:rPr>
          <w:rFonts w:cs="Arial Unicode MS"/>
        </w:rPr>
      </w:pPr>
      <w:r>
        <w:rPr>
          <w:rFonts w:cs="Arial Unicode MS"/>
        </w:rPr>
        <w:t>Kai įmonė, taikiusi pusmečio būdą, atlygintinai ar neatlygintinai perduoda ilgalaikį turtą, jo nusidėvėjimo (amortizacijos) suma, kurią tais metais leidžiama atskaityti, apskaičiuojant apmokestinamąjį pelną, priklauso nuo turto perdavimo datos:</w:t>
      </w:r>
    </w:p>
    <w:p w14:paraId="711F1C67" w14:textId="77777777" w:rsidR="00093845" w:rsidRDefault="000D779E" w:rsidP="00EC4E29">
      <w:pPr>
        <w:numPr>
          <w:ilvl w:val="0"/>
          <w:numId w:val="31"/>
        </w:numPr>
        <w:tabs>
          <w:tab w:val="left" w:pos="0"/>
          <w:tab w:val="left" w:pos="720"/>
          <w:tab w:val="left" w:pos="1077"/>
          <w:tab w:val="left" w:pos="1418"/>
        </w:tabs>
        <w:spacing w:after="200" w:line="276" w:lineRule="auto"/>
        <w:ind w:right="-5" w:firstLine="709"/>
        <w:jc w:val="both"/>
        <w:rPr>
          <w:rFonts w:cs="Arial Unicode MS"/>
        </w:rPr>
      </w:pPr>
      <w:r>
        <w:rPr>
          <w:rFonts w:cs="Arial Unicode MS"/>
        </w:rPr>
        <w:t xml:space="preserve">jei ilgalaikis turtas perduodamas pirmąjį mokestinių metų pusmetį, nusidėvėjimas (amortizacija) per tą mokestinį laikotarpį neskaičiuojamas; </w:t>
      </w:r>
    </w:p>
    <w:p w14:paraId="51919D91" w14:textId="77777777" w:rsidR="00093845" w:rsidRDefault="000D779E" w:rsidP="00EC4E29">
      <w:pPr>
        <w:numPr>
          <w:ilvl w:val="0"/>
          <w:numId w:val="31"/>
        </w:numPr>
        <w:tabs>
          <w:tab w:val="left" w:pos="0"/>
          <w:tab w:val="left" w:pos="720"/>
          <w:tab w:val="left" w:pos="1077"/>
          <w:tab w:val="left" w:pos="1418"/>
        </w:tabs>
        <w:spacing w:after="200" w:line="276" w:lineRule="auto"/>
        <w:ind w:right="-5" w:firstLine="709"/>
        <w:jc w:val="both"/>
        <w:rPr>
          <w:rFonts w:cs="Arial Unicode MS"/>
        </w:rPr>
      </w:pPr>
      <w:r>
        <w:rPr>
          <w:rFonts w:cs="Arial Unicode MS"/>
        </w:rPr>
        <w:t xml:space="preserve">jei ilgalaikis turtas perduodamas antrąjį mokestinių metų pusmetį, leidžiama atskaityti 1/2 metinės nusidėvėjimo (amortizacijos) sumos. </w:t>
      </w:r>
    </w:p>
    <w:p w14:paraId="5A56B125" w14:textId="77777777" w:rsidR="00093845" w:rsidRPr="00357EBE" w:rsidRDefault="000D779E" w:rsidP="00357EBE">
      <w:pPr>
        <w:ind w:left="360"/>
        <w:rPr>
          <w:color w:val="000000"/>
        </w:rPr>
      </w:pPr>
      <w:r w:rsidRPr="009F344B">
        <w:t xml:space="preserve">(PMĮ 18 str. 9 dalies komentaras pakeistas pagal VMI prie FM 2015-05-20 raštą </w:t>
      </w:r>
      <w:r w:rsidRPr="009F344B">
        <w:rPr>
          <w:color w:val="000000"/>
        </w:rPr>
        <w:t>Nr. (32-42-31-1)-RM-11240)).</w:t>
      </w:r>
    </w:p>
    <w:p w14:paraId="4AD6C0BE" w14:textId="77777777" w:rsidR="00093845" w:rsidRDefault="000D779E" w:rsidP="00A66310">
      <w:pPr>
        <w:pStyle w:val="Antrat1"/>
        <w:spacing w:after="0"/>
        <w:jc w:val="both"/>
        <w:rPr>
          <w:lang w:val="lt-LT"/>
        </w:rPr>
      </w:pPr>
      <w:r>
        <w:rPr>
          <w:lang w:val="lt-LT"/>
        </w:rPr>
        <w:t xml:space="preserve">          10. Įsigyjant kito vieneto veiklą kaip kompleksą ar jo veiklos dalį kaip teisių ir prievolių visumą, organizaciniu požiūriu sudarančią autonomišką ekonominį vienetą, vykdantį veiklą ir galintį atlikti savo funkcijas savo nuožiūra, susidariusi prestižo vertė į ribojamų dydžių leidžiamus atskaitymus įtraukiama kaip ir ilgalaikis turtas šiame straipsnyje nustatyta tvarka. Kai siekiant valdyti kito vieneto grynąjį turtą ir veiklą įsigyjamos jo akcijos, susidariusi prestižo vertė į ribojamų dydžių leidžiamus atskaitymus įtraukiama kaip ir ilgalaikis turtas šiame straipsnyje nustatyta tvarka tik po vėlesnio šių vienetų sujungimo arba vieno jų prijungimo prie kito, jei tai bus atliekama.</w:t>
      </w:r>
    </w:p>
    <w:p w14:paraId="2BAD0CDF" w14:textId="77777777" w:rsidR="00093845" w:rsidRPr="00FE7AB0" w:rsidRDefault="000D779E" w:rsidP="00A66310">
      <w:pPr>
        <w:spacing w:after="0"/>
        <w:jc w:val="both"/>
        <w:rPr>
          <w:i/>
        </w:rPr>
      </w:pPr>
      <w:r w:rsidRPr="00FE7AB0">
        <w:rPr>
          <w:i/>
        </w:rPr>
        <w:t>(</w:t>
      </w:r>
      <w:r w:rsidRPr="00FE7AB0">
        <w:rPr>
          <w:i/>
          <w:color w:val="000000"/>
          <w:lang w:eastAsia="lt-LT"/>
        </w:rPr>
        <w:t>KEISTA: 2007 05 03 įstatymu Nr. X-1110 (nuo 2007 05 19)</w:t>
      </w:r>
      <w:r w:rsidRPr="00FE7AB0">
        <w:rPr>
          <w:i/>
          <w:color w:val="000000"/>
        </w:rPr>
        <w:t>)</w:t>
      </w:r>
    </w:p>
    <w:p w14:paraId="28D3844E" w14:textId="77777777" w:rsidR="00093845" w:rsidRDefault="000D779E">
      <w:pPr>
        <w:spacing w:before="100" w:beforeAutospacing="1" w:after="100" w:afterAutospacing="1"/>
        <w:jc w:val="both"/>
        <w:rPr>
          <w:lang w:val="lt-LT" w:eastAsia="lt-LT"/>
        </w:rPr>
      </w:pPr>
      <w:r>
        <w:rPr>
          <w:b/>
          <w:bCs/>
          <w:lang w:val="lt-LT" w:eastAsia="lt-LT"/>
        </w:rPr>
        <w:t xml:space="preserve">           Komentaras</w:t>
      </w:r>
    </w:p>
    <w:p w14:paraId="55876E24" w14:textId="77777777" w:rsidR="00093845" w:rsidRPr="0065344A" w:rsidRDefault="000D779E">
      <w:pPr>
        <w:spacing w:before="100" w:beforeAutospacing="1" w:after="100" w:afterAutospacing="1"/>
        <w:ind w:firstLine="426"/>
        <w:jc w:val="both"/>
        <w:rPr>
          <w:lang w:val="lt-LT" w:eastAsia="lt-LT"/>
        </w:rPr>
      </w:pPr>
      <w:r w:rsidRPr="0065344A">
        <w:rPr>
          <w:lang w:val="lt-LT" w:eastAsia="lt-LT"/>
        </w:rPr>
        <w:t>Šioje</w:t>
      </w:r>
      <w:r w:rsidRPr="0065344A">
        <w:rPr>
          <w:i/>
          <w:iCs/>
          <w:lang w:val="lt-LT" w:eastAsia="lt-LT"/>
        </w:rPr>
        <w:t xml:space="preserve"> </w:t>
      </w:r>
      <w:r w:rsidRPr="0065344A">
        <w:rPr>
          <w:lang w:val="lt-LT" w:eastAsia="lt-LT"/>
        </w:rPr>
        <w:t>dalyje</w:t>
      </w:r>
      <w:r w:rsidRPr="0065344A">
        <w:rPr>
          <w:i/>
          <w:iCs/>
          <w:lang w:val="lt-LT" w:eastAsia="lt-LT"/>
        </w:rPr>
        <w:t xml:space="preserve"> </w:t>
      </w:r>
      <w:r w:rsidRPr="0065344A">
        <w:rPr>
          <w:lang w:val="lt-LT" w:eastAsia="lt-LT"/>
        </w:rPr>
        <w:t>nustatyta</w:t>
      </w:r>
      <w:r w:rsidRPr="0065344A">
        <w:rPr>
          <w:i/>
          <w:iCs/>
          <w:lang w:val="lt-LT" w:eastAsia="lt-LT"/>
        </w:rPr>
        <w:t xml:space="preserve"> </w:t>
      </w:r>
      <w:r w:rsidRPr="0065344A">
        <w:rPr>
          <w:lang w:val="lt-LT" w:eastAsia="lt-LT"/>
        </w:rPr>
        <w:t>prestižo vertės,</w:t>
      </w:r>
      <w:r w:rsidRPr="0065344A">
        <w:rPr>
          <w:i/>
          <w:iCs/>
          <w:lang w:val="lt-LT" w:eastAsia="lt-LT"/>
        </w:rPr>
        <w:t xml:space="preserve"> </w:t>
      </w:r>
      <w:r w:rsidRPr="0065344A">
        <w:rPr>
          <w:lang w:val="lt-LT" w:eastAsia="lt-LT"/>
        </w:rPr>
        <w:t>kuri</w:t>
      </w:r>
      <w:r w:rsidR="00357EBE">
        <w:rPr>
          <w:lang w:val="lt-LT" w:eastAsia="lt-LT"/>
        </w:rPr>
        <w:t xml:space="preserve"> </w:t>
      </w:r>
      <w:r w:rsidRPr="0065344A">
        <w:rPr>
          <w:lang w:val="lt-LT" w:eastAsia="lt-LT"/>
        </w:rPr>
        <w:t>atsiranda,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įsigyjama</w:t>
      </w:r>
      <w:r w:rsidRPr="0065344A">
        <w:rPr>
          <w:i/>
          <w:iCs/>
          <w:lang w:val="lt-LT" w:eastAsia="lt-LT"/>
        </w:rPr>
        <w:t xml:space="preserve"> </w:t>
      </w:r>
      <w:r w:rsidRPr="0065344A">
        <w:rPr>
          <w:lang w:val="lt-LT" w:eastAsia="lt-LT"/>
        </w:rPr>
        <w:t>kito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veikla</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kompleksas</w:t>
      </w:r>
      <w:r w:rsidRPr="0065344A">
        <w:rPr>
          <w:i/>
          <w:iCs/>
          <w:lang w:val="lt-LT" w:eastAsia="lt-LT"/>
        </w:rPr>
        <w:t xml:space="preserve"> </w:t>
      </w:r>
      <w:r w:rsidRPr="0065344A">
        <w:rPr>
          <w:lang w:val="lt-LT" w:eastAsia="lt-LT"/>
        </w:rPr>
        <w:t>ar</w:t>
      </w:r>
      <w:r w:rsidRPr="0065344A">
        <w:rPr>
          <w:i/>
          <w:iCs/>
          <w:lang w:val="lt-LT" w:eastAsia="lt-LT"/>
        </w:rPr>
        <w:t xml:space="preserve"> </w:t>
      </w:r>
      <w:r w:rsidRPr="0065344A">
        <w:rPr>
          <w:lang w:val="lt-LT" w:eastAsia="lt-LT"/>
        </w:rPr>
        <w:t>jo</w:t>
      </w:r>
      <w:r w:rsidRPr="0065344A">
        <w:rPr>
          <w:i/>
          <w:iCs/>
          <w:lang w:val="lt-LT" w:eastAsia="lt-LT"/>
        </w:rPr>
        <w:t xml:space="preserve"> </w:t>
      </w:r>
      <w:r w:rsidRPr="0065344A">
        <w:rPr>
          <w:lang w:val="lt-LT" w:eastAsia="lt-LT"/>
        </w:rPr>
        <w:t>veiklos</w:t>
      </w:r>
      <w:r w:rsidRPr="0065344A">
        <w:rPr>
          <w:i/>
          <w:iCs/>
          <w:lang w:val="lt-LT" w:eastAsia="lt-LT"/>
        </w:rPr>
        <w:t xml:space="preserve"> </w:t>
      </w:r>
      <w:r w:rsidRPr="0065344A">
        <w:rPr>
          <w:lang w:val="lt-LT" w:eastAsia="lt-LT"/>
        </w:rPr>
        <w:t>dalis</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teisių</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prievolių</w:t>
      </w:r>
      <w:r w:rsidRPr="0065344A">
        <w:rPr>
          <w:i/>
          <w:iCs/>
          <w:lang w:val="lt-LT" w:eastAsia="lt-LT"/>
        </w:rPr>
        <w:t xml:space="preserve"> </w:t>
      </w:r>
      <w:r w:rsidRPr="0065344A">
        <w:rPr>
          <w:lang w:val="lt-LT" w:eastAsia="lt-LT"/>
        </w:rPr>
        <w:t>visuma,</w:t>
      </w:r>
      <w:r w:rsidRPr="0065344A">
        <w:rPr>
          <w:i/>
          <w:iCs/>
          <w:lang w:val="lt-LT" w:eastAsia="lt-LT"/>
        </w:rPr>
        <w:t xml:space="preserve"> </w:t>
      </w:r>
      <w:r w:rsidRPr="0065344A">
        <w:rPr>
          <w:lang w:val="lt-LT" w:eastAsia="lt-LT"/>
        </w:rPr>
        <w:t>organizaciniu</w:t>
      </w:r>
      <w:r w:rsidRPr="0065344A">
        <w:rPr>
          <w:i/>
          <w:iCs/>
          <w:lang w:val="lt-LT" w:eastAsia="lt-LT"/>
        </w:rPr>
        <w:t xml:space="preserve"> </w:t>
      </w:r>
      <w:r w:rsidRPr="0065344A">
        <w:rPr>
          <w:lang w:val="lt-LT" w:eastAsia="lt-LT"/>
        </w:rPr>
        <w:t>požiūriu</w:t>
      </w:r>
      <w:r w:rsidRPr="0065344A">
        <w:rPr>
          <w:i/>
          <w:iCs/>
          <w:lang w:val="lt-LT" w:eastAsia="lt-LT"/>
        </w:rPr>
        <w:t xml:space="preserve"> </w:t>
      </w:r>
      <w:r w:rsidRPr="0065344A">
        <w:rPr>
          <w:lang w:val="lt-LT" w:eastAsia="lt-LT"/>
        </w:rPr>
        <w:t>sudaranti</w:t>
      </w:r>
      <w:r w:rsidRPr="0065344A">
        <w:rPr>
          <w:i/>
          <w:iCs/>
          <w:lang w:val="lt-LT" w:eastAsia="lt-LT"/>
        </w:rPr>
        <w:t xml:space="preserve"> </w:t>
      </w:r>
      <w:r w:rsidRPr="0065344A">
        <w:rPr>
          <w:lang w:val="lt-LT" w:eastAsia="lt-LT"/>
        </w:rPr>
        <w:t>autonomišką</w:t>
      </w:r>
      <w:r w:rsidRPr="0065344A">
        <w:rPr>
          <w:i/>
          <w:iCs/>
          <w:lang w:val="lt-LT" w:eastAsia="lt-LT"/>
        </w:rPr>
        <w:t xml:space="preserve"> </w:t>
      </w:r>
      <w:r w:rsidRPr="0065344A">
        <w:rPr>
          <w:lang w:val="lt-LT" w:eastAsia="lt-LT"/>
        </w:rPr>
        <w:t>ekonominį</w:t>
      </w:r>
      <w:r w:rsidRPr="0065344A">
        <w:rPr>
          <w:i/>
          <w:iCs/>
          <w:lang w:val="lt-LT" w:eastAsia="lt-LT"/>
        </w:rPr>
        <w:t xml:space="preserve"> </w:t>
      </w:r>
      <w:r w:rsidRPr="0065344A">
        <w:rPr>
          <w:lang w:val="lt-LT" w:eastAsia="lt-LT"/>
        </w:rPr>
        <w:t>vienetą,</w:t>
      </w:r>
      <w:r w:rsidRPr="0065344A">
        <w:rPr>
          <w:i/>
          <w:iCs/>
          <w:lang w:val="lt-LT" w:eastAsia="lt-LT"/>
        </w:rPr>
        <w:t xml:space="preserve"> </w:t>
      </w:r>
      <w:r w:rsidRPr="0065344A">
        <w:rPr>
          <w:lang w:val="lt-LT" w:eastAsia="lt-LT"/>
        </w:rPr>
        <w:t>vykdantį</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galintį</w:t>
      </w:r>
      <w:r w:rsidRPr="0065344A">
        <w:rPr>
          <w:i/>
          <w:iCs/>
          <w:lang w:val="lt-LT" w:eastAsia="lt-LT"/>
        </w:rPr>
        <w:t xml:space="preserve"> </w:t>
      </w:r>
      <w:r w:rsidRPr="0065344A">
        <w:rPr>
          <w:lang w:val="lt-LT" w:eastAsia="lt-LT"/>
        </w:rPr>
        <w:t>atlikti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funkcijas</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nuožiūra,</w:t>
      </w:r>
      <w:r w:rsidRPr="0065344A">
        <w:rPr>
          <w:i/>
          <w:iCs/>
          <w:lang w:val="lt-LT" w:eastAsia="lt-LT"/>
        </w:rPr>
        <w:t xml:space="preserve"> </w:t>
      </w:r>
      <w:r w:rsidRPr="0065344A">
        <w:rPr>
          <w:lang w:val="lt-LT" w:eastAsia="lt-LT"/>
        </w:rPr>
        <w:t>arba</w:t>
      </w:r>
      <w:r w:rsidRPr="0065344A">
        <w:rPr>
          <w:i/>
          <w:iCs/>
          <w:lang w:val="lt-LT" w:eastAsia="lt-LT"/>
        </w:rPr>
        <w:t xml:space="preserve"> </w:t>
      </w:r>
      <w:r w:rsidRPr="0065344A">
        <w:rPr>
          <w:lang w:val="lt-LT" w:eastAsia="lt-LT"/>
        </w:rPr>
        <w:t>kai,</w:t>
      </w:r>
      <w:r w:rsidRPr="0065344A">
        <w:rPr>
          <w:i/>
          <w:iCs/>
          <w:lang w:val="lt-LT" w:eastAsia="lt-LT"/>
        </w:rPr>
        <w:t xml:space="preserve"> </w:t>
      </w:r>
      <w:r w:rsidRPr="0065344A">
        <w:rPr>
          <w:lang w:val="lt-LT" w:eastAsia="lt-LT"/>
        </w:rPr>
        <w:t>siekiant</w:t>
      </w:r>
      <w:r w:rsidRPr="0065344A">
        <w:rPr>
          <w:i/>
          <w:iCs/>
          <w:lang w:val="lt-LT" w:eastAsia="lt-LT"/>
        </w:rPr>
        <w:t xml:space="preserve"> </w:t>
      </w:r>
      <w:r w:rsidRPr="0065344A">
        <w:rPr>
          <w:lang w:val="lt-LT" w:eastAsia="lt-LT"/>
        </w:rPr>
        <w:t>valdyti</w:t>
      </w:r>
      <w:r w:rsidRPr="0065344A">
        <w:rPr>
          <w:i/>
          <w:iCs/>
          <w:lang w:val="lt-LT" w:eastAsia="lt-LT"/>
        </w:rPr>
        <w:t xml:space="preserve"> </w:t>
      </w:r>
      <w:r w:rsidRPr="0065344A">
        <w:rPr>
          <w:lang w:val="lt-LT" w:eastAsia="lt-LT"/>
        </w:rPr>
        <w:t>kito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grynąjį</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įsigyjamos</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akcijos,</w:t>
      </w:r>
      <w:r w:rsidRPr="0065344A">
        <w:rPr>
          <w:i/>
          <w:iCs/>
          <w:lang w:val="lt-LT" w:eastAsia="lt-LT"/>
        </w:rPr>
        <w:t xml:space="preserve"> </w:t>
      </w:r>
      <w:r w:rsidRPr="0065344A">
        <w:rPr>
          <w:lang w:val="lt-LT" w:eastAsia="lt-LT"/>
        </w:rPr>
        <w:t>pripažinimo</w:t>
      </w:r>
      <w:r w:rsidRPr="0065344A">
        <w:rPr>
          <w:i/>
          <w:iCs/>
          <w:lang w:val="lt-LT" w:eastAsia="lt-LT"/>
        </w:rPr>
        <w:t xml:space="preserve"> </w:t>
      </w:r>
      <w:r w:rsidRPr="0065344A">
        <w:rPr>
          <w:lang w:val="lt-LT" w:eastAsia="lt-LT"/>
        </w:rPr>
        <w:t>ribojamų</w:t>
      </w:r>
      <w:r w:rsidRPr="0065344A">
        <w:rPr>
          <w:i/>
          <w:iCs/>
          <w:lang w:val="lt-LT" w:eastAsia="lt-LT"/>
        </w:rPr>
        <w:t xml:space="preserve"> </w:t>
      </w:r>
      <w:r w:rsidRPr="0065344A">
        <w:rPr>
          <w:lang w:val="lt-LT" w:eastAsia="lt-LT"/>
        </w:rPr>
        <w:t>dydžių</w:t>
      </w:r>
      <w:r w:rsidRPr="0065344A">
        <w:rPr>
          <w:i/>
          <w:iCs/>
          <w:lang w:val="lt-LT" w:eastAsia="lt-LT"/>
        </w:rPr>
        <w:t xml:space="preserve"> </w:t>
      </w:r>
      <w:r w:rsidRPr="0065344A">
        <w:rPr>
          <w:lang w:val="lt-LT" w:eastAsia="lt-LT"/>
        </w:rPr>
        <w:t>leidžiamais</w:t>
      </w:r>
      <w:r w:rsidRPr="0065344A">
        <w:rPr>
          <w:i/>
          <w:iCs/>
          <w:lang w:val="lt-LT" w:eastAsia="lt-LT"/>
        </w:rPr>
        <w:t xml:space="preserve"> </w:t>
      </w:r>
      <w:r w:rsidRPr="0065344A">
        <w:rPr>
          <w:lang w:val="lt-LT" w:eastAsia="lt-LT"/>
        </w:rPr>
        <w:t>atskaitymais</w:t>
      </w:r>
      <w:r w:rsidRPr="0065344A">
        <w:rPr>
          <w:i/>
          <w:iCs/>
          <w:lang w:val="lt-LT" w:eastAsia="lt-LT"/>
        </w:rPr>
        <w:t xml:space="preserve"> </w:t>
      </w:r>
      <w:r w:rsidRPr="0065344A">
        <w:rPr>
          <w:lang w:val="lt-LT" w:eastAsia="lt-LT"/>
        </w:rPr>
        <w:t>tvarka.</w:t>
      </w:r>
      <w:r w:rsidRPr="0065344A">
        <w:rPr>
          <w:i/>
          <w:iCs/>
          <w:lang w:val="lt-LT" w:eastAsia="lt-LT"/>
        </w:rPr>
        <w:t xml:space="preserve"> </w:t>
      </w:r>
    </w:p>
    <w:p w14:paraId="479931B2" w14:textId="77777777" w:rsidR="00093845" w:rsidRPr="0065344A" w:rsidRDefault="00390442">
      <w:pPr>
        <w:spacing w:before="100" w:beforeAutospacing="1" w:after="100" w:afterAutospacing="1"/>
        <w:ind w:firstLine="426"/>
        <w:jc w:val="both"/>
        <w:rPr>
          <w:lang w:val="lt-LT" w:eastAsia="lt-LT"/>
        </w:rPr>
      </w:pPr>
      <w:r>
        <w:rPr>
          <w:lang w:val="lt-LT" w:eastAsia="lt-LT"/>
        </w:rPr>
        <w:t>2</w:t>
      </w:r>
      <w:r w:rsidR="000D779E" w:rsidRPr="0065344A">
        <w:rPr>
          <w:lang w:val="lt-LT" w:eastAsia="lt-LT"/>
        </w:rPr>
        <w:t>.</w:t>
      </w:r>
      <w:r w:rsidR="000D779E" w:rsidRPr="0065344A">
        <w:rPr>
          <w:i/>
          <w:iCs/>
          <w:lang w:val="lt-LT" w:eastAsia="lt-LT"/>
        </w:rPr>
        <w:t xml:space="preserve"> </w:t>
      </w:r>
      <w:r w:rsidR="000D779E" w:rsidRPr="0065344A">
        <w:rPr>
          <w:lang w:val="lt-LT" w:eastAsia="lt-LT"/>
        </w:rPr>
        <w:t>Prestižo vertės sąvoka</w:t>
      </w:r>
      <w:r w:rsidR="000D779E" w:rsidRPr="0065344A">
        <w:rPr>
          <w:i/>
          <w:iCs/>
          <w:lang w:val="lt-LT" w:eastAsia="lt-LT"/>
        </w:rPr>
        <w:t xml:space="preserve"> </w:t>
      </w:r>
      <w:r w:rsidR="000D779E" w:rsidRPr="0065344A">
        <w:rPr>
          <w:lang w:val="lt-LT" w:eastAsia="lt-LT"/>
        </w:rPr>
        <w:t>apibrėžta</w:t>
      </w:r>
      <w:r w:rsidR="000D779E" w:rsidRPr="0065344A">
        <w:rPr>
          <w:i/>
          <w:iCs/>
          <w:lang w:val="lt-LT" w:eastAsia="lt-LT"/>
        </w:rPr>
        <w:t xml:space="preserve"> </w:t>
      </w:r>
      <w:r w:rsidR="000D779E" w:rsidRPr="0065344A">
        <w:rPr>
          <w:lang w:val="lt-LT" w:eastAsia="lt-LT"/>
        </w:rPr>
        <w:t>PMĮ</w:t>
      </w:r>
      <w:r w:rsidR="000D779E" w:rsidRPr="0065344A">
        <w:rPr>
          <w:i/>
          <w:iCs/>
          <w:lang w:val="lt-LT" w:eastAsia="lt-LT"/>
        </w:rPr>
        <w:t xml:space="preserve"> </w:t>
      </w:r>
      <w:r w:rsidR="000D779E" w:rsidRPr="0065344A">
        <w:rPr>
          <w:lang w:val="lt-LT" w:eastAsia="lt-LT"/>
        </w:rPr>
        <w:t>2</w:t>
      </w:r>
      <w:r w:rsidR="000D779E" w:rsidRPr="0065344A">
        <w:rPr>
          <w:i/>
          <w:iCs/>
          <w:lang w:val="lt-LT" w:eastAsia="lt-LT"/>
        </w:rPr>
        <w:t xml:space="preserve"> </w:t>
      </w:r>
      <w:r w:rsidR="000D779E" w:rsidRPr="0065344A">
        <w:rPr>
          <w:lang w:val="lt-LT" w:eastAsia="lt-LT"/>
        </w:rPr>
        <w:t>str.</w:t>
      </w:r>
      <w:r w:rsidR="000D779E" w:rsidRPr="0065344A">
        <w:rPr>
          <w:i/>
          <w:iCs/>
          <w:lang w:val="lt-LT" w:eastAsia="lt-LT"/>
        </w:rPr>
        <w:t xml:space="preserve"> </w:t>
      </w:r>
      <w:r w:rsidR="000D779E" w:rsidRPr="0065344A">
        <w:rPr>
          <w:iCs/>
          <w:lang w:val="lt-LT" w:eastAsia="lt-LT"/>
        </w:rPr>
        <w:t>30</w:t>
      </w:r>
      <w:r w:rsidR="000D779E" w:rsidRPr="0065344A">
        <w:rPr>
          <w:i/>
          <w:iCs/>
          <w:lang w:val="lt-LT" w:eastAsia="lt-LT"/>
        </w:rPr>
        <w:t xml:space="preserve"> </w:t>
      </w:r>
      <w:r w:rsidR="000D779E" w:rsidRPr="0065344A">
        <w:rPr>
          <w:lang w:val="lt-LT" w:eastAsia="lt-LT"/>
        </w:rPr>
        <w:t>dalyje</w:t>
      </w:r>
      <w:r w:rsidR="000D779E" w:rsidRPr="0065344A">
        <w:rPr>
          <w:i/>
          <w:iCs/>
          <w:lang w:val="lt-LT" w:eastAsia="lt-LT"/>
        </w:rPr>
        <w:t xml:space="preserve"> </w:t>
      </w:r>
      <w:r w:rsidR="000D779E" w:rsidRPr="0065344A">
        <w:rPr>
          <w:lang w:val="lt-LT" w:eastAsia="lt-LT"/>
        </w:rPr>
        <w:t>(žr.</w:t>
      </w:r>
      <w:r w:rsidR="000D779E" w:rsidRPr="0065344A">
        <w:rPr>
          <w:i/>
          <w:iCs/>
          <w:lang w:val="lt-LT" w:eastAsia="lt-LT"/>
        </w:rPr>
        <w:t xml:space="preserve"> </w:t>
      </w:r>
      <w:r w:rsidR="000D779E" w:rsidRPr="0065344A">
        <w:rPr>
          <w:lang w:val="lt-LT" w:eastAsia="lt-LT"/>
        </w:rPr>
        <w:t>2</w:t>
      </w:r>
      <w:r w:rsidR="000D779E" w:rsidRPr="0065344A">
        <w:rPr>
          <w:i/>
          <w:iCs/>
          <w:lang w:val="lt-LT" w:eastAsia="lt-LT"/>
        </w:rPr>
        <w:t xml:space="preserve"> </w:t>
      </w:r>
      <w:r w:rsidR="000D779E" w:rsidRPr="0065344A">
        <w:rPr>
          <w:lang w:val="lt-LT" w:eastAsia="lt-LT"/>
        </w:rPr>
        <w:t>str.</w:t>
      </w:r>
      <w:r w:rsidR="000D779E" w:rsidRPr="0065344A">
        <w:rPr>
          <w:i/>
          <w:iCs/>
          <w:lang w:val="lt-LT" w:eastAsia="lt-LT"/>
        </w:rPr>
        <w:t xml:space="preserve"> </w:t>
      </w:r>
      <w:r w:rsidR="000D779E" w:rsidRPr="0065344A">
        <w:rPr>
          <w:iCs/>
          <w:lang w:val="lt-LT" w:eastAsia="lt-LT"/>
        </w:rPr>
        <w:t>30</w:t>
      </w:r>
      <w:r w:rsidR="000D779E" w:rsidRPr="0065344A">
        <w:rPr>
          <w:i/>
          <w:iCs/>
          <w:lang w:val="lt-LT" w:eastAsia="lt-LT"/>
        </w:rPr>
        <w:t xml:space="preserve"> </w:t>
      </w:r>
      <w:r w:rsidR="000D779E" w:rsidRPr="0065344A">
        <w:rPr>
          <w:lang w:val="lt-LT" w:eastAsia="lt-LT"/>
        </w:rPr>
        <w:t>dalies</w:t>
      </w:r>
      <w:r w:rsidR="000D779E" w:rsidRPr="0065344A">
        <w:rPr>
          <w:i/>
          <w:iCs/>
          <w:lang w:val="lt-LT" w:eastAsia="lt-LT"/>
        </w:rPr>
        <w:t xml:space="preserve"> </w:t>
      </w:r>
      <w:r w:rsidR="000D779E" w:rsidRPr="0065344A">
        <w:rPr>
          <w:lang w:val="lt-LT" w:eastAsia="lt-LT"/>
        </w:rPr>
        <w:t>komentarą).</w:t>
      </w:r>
    </w:p>
    <w:p w14:paraId="5B14529A" w14:textId="77777777" w:rsidR="00093845" w:rsidRPr="0065344A" w:rsidRDefault="00390442">
      <w:pPr>
        <w:spacing w:before="100" w:beforeAutospacing="1" w:after="100" w:afterAutospacing="1"/>
        <w:ind w:firstLine="426"/>
        <w:jc w:val="both"/>
        <w:rPr>
          <w:lang w:val="lt-LT" w:eastAsia="lt-LT"/>
        </w:rPr>
      </w:pPr>
      <w:r>
        <w:rPr>
          <w:lang w:val="lt-LT" w:eastAsia="lt-LT"/>
        </w:rPr>
        <w:lastRenderedPageBreak/>
        <w:t>3</w:t>
      </w:r>
      <w:r w:rsidR="000D779E" w:rsidRPr="0065344A">
        <w:rPr>
          <w:lang w:val="lt-LT" w:eastAsia="lt-LT"/>
        </w:rPr>
        <w:t>.</w:t>
      </w:r>
      <w:r w:rsidR="000D779E" w:rsidRPr="0065344A">
        <w:rPr>
          <w:i/>
          <w:iCs/>
          <w:lang w:val="lt-LT" w:eastAsia="lt-LT"/>
        </w:rPr>
        <w:t xml:space="preserve"> </w:t>
      </w:r>
      <w:r w:rsidR="000D779E" w:rsidRPr="0065344A">
        <w:rPr>
          <w:lang w:val="lt-LT" w:eastAsia="lt-LT"/>
        </w:rPr>
        <w:t>Kai,</w:t>
      </w:r>
      <w:r w:rsidR="000D779E" w:rsidRPr="0065344A">
        <w:rPr>
          <w:i/>
          <w:iCs/>
          <w:lang w:val="lt-LT" w:eastAsia="lt-LT"/>
        </w:rPr>
        <w:t xml:space="preserve"> </w:t>
      </w:r>
      <w:r w:rsidR="000D779E" w:rsidRPr="0065344A">
        <w:rPr>
          <w:lang w:val="lt-LT" w:eastAsia="lt-LT"/>
        </w:rPr>
        <w:t>įsigyjant</w:t>
      </w:r>
      <w:r w:rsidR="000D779E" w:rsidRPr="0065344A">
        <w:rPr>
          <w:i/>
          <w:iCs/>
          <w:lang w:val="lt-LT" w:eastAsia="lt-LT"/>
        </w:rPr>
        <w:t xml:space="preserve"> </w:t>
      </w:r>
      <w:r w:rsidR="000D779E" w:rsidRPr="0065344A">
        <w:rPr>
          <w:lang w:val="lt-LT" w:eastAsia="lt-LT"/>
        </w:rPr>
        <w:t>kito</w:t>
      </w:r>
      <w:r w:rsidR="000D779E" w:rsidRPr="0065344A">
        <w:rPr>
          <w:i/>
          <w:iCs/>
          <w:lang w:val="lt-LT" w:eastAsia="lt-LT"/>
        </w:rPr>
        <w:t xml:space="preserve"> </w:t>
      </w:r>
      <w:r w:rsidR="000D779E" w:rsidRPr="0065344A">
        <w:rPr>
          <w:lang w:val="lt-LT" w:eastAsia="lt-LT"/>
        </w:rPr>
        <w:t>vieneto</w:t>
      </w:r>
      <w:r w:rsidR="000D779E" w:rsidRPr="0065344A">
        <w:rPr>
          <w:i/>
          <w:iCs/>
          <w:lang w:val="lt-LT" w:eastAsia="lt-LT"/>
        </w:rPr>
        <w:t xml:space="preserve"> </w:t>
      </w:r>
      <w:r w:rsidR="000D779E" w:rsidRPr="0065344A">
        <w:rPr>
          <w:lang w:val="lt-LT" w:eastAsia="lt-LT"/>
        </w:rPr>
        <w:t>veiklą</w:t>
      </w:r>
      <w:r w:rsidR="000D779E" w:rsidRPr="0065344A">
        <w:rPr>
          <w:i/>
          <w:iCs/>
          <w:lang w:val="lt-LT" w:eastAsia="lt-LT"/>
        </w:rPr>
        <w:t xml:space="preserve"> </w:t>
      </w:r>
      <w:r w:rsidR="000D779E" w:rsidRPr="0065344A">
        <w:rPr>
          <w:lang w:val="lt-LT" w:eastAsia="lt-LT"/>
        </w:rPr>
        <w:t>ar</w:t>
      </w:r>
      <w:r w:rsidR="000D779E" w:rsidRPr="0065344A">
        <w:rPr>
          <w:i/>
          <w:iCs/>
          <w:lang w:val="lt-LT" w:eastAsia="lt-LT"/>
        </w:rPr>
        <w:t xml:space="preserve"> </w:t>
      </w:r>
      <w:r w:rsidR="000D779E" w:rsidRPr="0065344A">
        <w:rPr>
          <w:lang w:val="lt-LT" w:eastAsia="lt-LT"/>
        </w:rPr>
        <w:t>jo</w:t>
      </w:r>
      <w:r w:rsidR="000D779E" w:rsidRPr="0065344A">
        <w:rPr>
          <w:i/>
          <w:iCs/>
          <w:lang w:val="lt-LT" w:eastAsia="lt-LT"/>
        </w:rPr>
        <w:t xml:space="preserve"> </w:t>
      </w:r>
      <w:r w:rsidR="000D779E" w:rsidRPr="0065344A">
        <w:rPr>
          <w:lang w:val="lt-LT" w:eastAsia="lt-LT"/>
        </w:rPr>
        <w:t>veiklos</w:t>
      </w:r>
      <w:r w:rsidR="000D779E" w:rsidRPr="0065344A">
        <w:rPr>
          <w:i/>
          <w:iCs/>
          <w:lang w:val="lt-LT" w:eastAsia="lt-LT"/>
        </w:rPr>
        <w:t xml:space="preserve"> </w:t>
      </w:r>
      <w:r w:rsidR="000D779E" w:rsidRPr="0065344A">
        <w:rPr>
          <w:lang w:val="lt-LT" w:eastAsia="lt-LT"/>
        </w:rPr>
        <w:t>dalį,</w:t>
      </w:r>
      <w:r w:rsidR="000D779E" w:rsidRPr="0065344A">
        <w:rPr>
          <w:i/>
          <w:iCs/>
          <w:lang w:val="lt-LT" w:eastAsia="lt-LT"/>
        </w:rPr>
        <w:t xml:space="preserve"> </w:t>
      </w:r>
      <w:r w:rsidR="000D779E" w:rsidRPr="0065344A">
        <w:rPr>
          <w:iCs/>
          <w:lang w:val="lt-LT" w:eastAsia="lt-LT"/>
        </w:rPr>
        <w:t xml:space="preserve">apskaičiuojama </w:t>
      </w:r>
      <w:r w:rsidR="000D779E" w:rsidRPr="0065344A">
        <w:rPr>
          <w:lang w:val="lt-LT" w:eastAsia="lt-LT"/>
        </w:rPr>
        <w:t>prestiž</w:t>
      </w:r>
      <w:r w:rsidR="000D779E" w:rsidRPr="0065344A">
        <w:rPr>
          <w:iCs/>
          <w:lang w:val="lt-LT" w:eastAsia="lt-LT"/>
        </w:rPr>
        <w:t>o</w:t>
      </w:r>
      <w:r w:rsidR="000D779E" w:rsidRPr="0065344A">
        <w:rPr>
          <w:i/>
          <w:iCs/>
          <w:lang w:val="lt-LT" w:eastAsia="lt-LT"/>
        </w:rPr>
        <w:t xml:space="preserve"> </w:t>
      </w:r>
      <w:r w:rsidR="000D779E" w:rsidRPr="0065344A">
        <w:rPr>
          <w:iCs/>
          <w:lang w:val="lt-LT" w:eastAsia="lt-LT"/>
        </w:rPr>
        <w:t xml:space="preserve">vertė </w:t>
      </w:r>
      <w:r w:rsidR="000D779E" w:rsidRPr="0065344A">
        <w:rPr>
          <w:lang w:val="lt-LT" w:eastAsia="lt-LT"/>
        </w:rPr>
        <w:t>ji pripažįstama</w:t>
      </w:r>
      <w:r w:rsidR="000D779E" w:rsidRPr="0065344A">
        <w:rPr>
          <w:strike/>
          <w:lang w:val="lt-LT" w:eastAsia="lt-LT"/>
        </w:rPr>
        <w:t>s</w:t>
      </w:r>
      <w:r w:rsidR="000D779E" w:rsidRPr="0065344A">
        <w:rPr>
          <w:i/>
          <w:iCs/>
          <w:lang w:val="lt-LT" w:eastAsia="lt-LT"/>
        </w:rPr>
        <w:t xml:space="preserve"> </w:t>
      </w:r>
      <w:r w:rsidR="000D779E" w:rsidRPr="0065344A">
        <w:rPr>
          <w:lang w:val="lt-LT" w:eastAsia="lt-LT"/>
        </w:rPr>
        <w:t>įsigytu</w:t>
      </w:r>
      <w:r w:rsidR="000D779E" w:rsidRPr="0065344A">
        <w:rPr>
          <w:i/>
          <w:iCs/>
          <w:lang w:val="lt-LT" w:eastAsia="lt-LT"/>
        </w:rPr>
        <w:t xml:space="preserve"> </w:t>
      </w:r>
      <w:r w:rsidR="000D779E" w:rsidRPr="0065344A">
        <w:rPr>
          <w:lang w:val="lt-LT" w:eastAsia="lt-LT"/>
        </w:rPr>
        <w:t>ilgalaikiu</w:t>
      </w:r>
      <w:r w:rsidR="000D779E" w:rsidRPr="0065344A">
        <w:rPr>
          <w:i/>
          <w:iCs/>
          <w:lang w:val="lt-LT" w:eastAsia="lt-LT"/>
        </w:rPr>
        <w:t xml:space="preserve"> </w:t>
      </w:r>
      <w:r w:rsidR="000D779E" w:rsidRPr="0065344A">
        <w:rPr>
          <w:lang w:val="lt-LT" w:eastAsia="lt-LT"/>
        </w:rPr>
        <w:t>nematerialiuoju</w:t>
      </w:r>
      <w:r w:rsidR="000D779E" w:rsidRPr="0065344A">
        <w:rPr>
          <w:i/>
          <w:iCs/>
          <w:lang w:val="lt-LT" w:eastAsia="lt-LT"/>
        </w:rPr>
        <w:t xml:space="preserve"> </w:t>
      </w:r>
      <w:r w:rsidR="000D779E" w:rsidRPr="0065344A">
        <w:rPr>
          <w:lang w:val="lt-LT" w:eastAsia="lt-LT"/>
        </w:rPr>
        <w:t>turtu</w:t>
      </w:r>
      <w:r w:rsidR="000D779E" w:rsidRPr="0065344A">
        <w:rPr>
          <w:i/>
          <w:iCs/>
          <w:lang w:val="lt-LT" w:eastAsia="lt-LT"/>
        </w:rPr>
        <w:t xml:space="preserve"> </w:t>
      </w:r>
      <w:r w:rsidR="000D779E" w:rsidRPr="0065344A">
        <w:rPr>
          <w:lang w:val="lt-LT" w:eastAsia="lt-LT"/>
        </w:rPr>
        <w:t>(prestižu)</w:t>
      </w:r>
      <w:r w:rsidR="000D779E" w:rsidRPr="0065344A">
        <w:rPr>
          <w:i/>
          <w:iCs/>
          <w:lang w:val="lt-LT" w:eastAsia="lt-LT"/>
        </w:rPr>
        <w:t xml:space="preserve"> </w:t>
      </w:r>
      <w:r w:rsidR="000D779E" w:rsidRPr="0065344A">
        <w:rPr>
          <w:lang w:val="lt-LT" w:eastAsia="lt-LT"/>
        </w:rPr>
        <w:t>ir</w:t>
      </w:r>
      <w:r w:rsidR="000D779E" w:rsidRPr="0065344A">
        <w:rPr>
          <w:i/>
          <w:iCs/>
          <w:lang w:val="lt-LT" w:eastAsia="lt-LT"/>
        </w:rPr>
        <w:t xml:space="preserve"> </w:t>
      </w:r>
      <w:r w:rsidR="000D779E" w:rsidRPr="0065344A">
        <w:rPr>
          <w:lang w:val="lt-LT" w:eastAsia="lt-LT"/>
        </w:rPr>
        <w:t>į</w:t>
      </w:r>
      <w:r w:rsidR="000D779E" w:rsidRPr="0065344A">
        <w:rPr>
          <w:i/>
          <w:iCs/>
          <w:lang w:val="lt-LT" w:eastAsia="lt-LT"/>
        </w:rPr>
        <w:t xml:space="preserve"> </w:t>
      </w:r>
      <w:r w:rsidR="000D779E" w:rsidRPr="0065344A">
        <w:rPr>
          <w:lang w:val="lt-LT" w:eastAsia="lt-LT"/>
        </w:rPr>
        <w:t>ribojamų</w:t>
      </w:r>
      <w:r w:rsidR="000D779E" w:rsidRPr="0065344A">
        <w:rPr>
          <w:i/>
          <w:iCs/>
          <w:lang w:val="lt-LT" w:eastAsia="lt-LT"/>
        </w:rPr>
        <w:t xml:space="preserve"> </w:t>
      </w:r>
      <w:r w:rsidR="000D779E" w:rsidRPr="0065344A">
        <w:rPr>
          <w:lang w:val="lt-LT" w:eastAsia="lt-LT"/>
        </w:rPr>
        <w:t>dydžių</w:t>
      </w:r>
      <w:r w:rsidR="000D779E" w:rsidRPr="0065344A">
        <w:rPr>
          <w:i/>
          <w:iCs/>
          <w:lang w:val="lt-LT" w:eastAsia="lt-LT"/>
        </w:rPr>
        <w:t xml:space="preserve"> </w:t>
      </w:r>
      <w:r w:rsidR="000D779E" w:rsidRPr="0065344A">
        <w:rPr>
          <w:lang w:val="lt-LT" w:eastAsia="lt-LT"/>
        </w:rPr>
        <w:t>leidžiamus</w:t>
      </w:r>
      <w:r w:rsidR="000D779E" w:rsidRPr="0065344A">
        <w:rPr>
          <w:i/>
          <w:iCs/>
          <w:lang w:val="lt-LT" w:eastAsia="lt-LT"/>
        </w:rPr>
        <w:t xml:space="preserve"> </w:t>
      </w:r>
      <w:r w:rsidR="000D779E" w:rsidRPr="0065344A">
        <w:rPr>
          <w:lang w:val="lt-LT" w:eastAsia="lt-LT"/>
        </w:rPr>
        <w:t>atskaitymus</w:t>
      </w:r>
      <w:r w:rsidR="000D779E" w:rsidRPr="0065344A">
        <w:rPr>
          <w:i/>
          <w:iCs/>
          <w:lang w:val="lt-LT" w:eastAsia="lt-LT"/>
        </w:rPr>
        <w:t xml:space="preserve"> </w:t>
      </w:r>
      <w:r w:rsidR="000D779E" w:rsidRPr="0065344A">
        <w:rPr>
          <w:lang w:val="lt-LT" w:eastAsia="lt-LT"/>
        </w:rPr>
        <w:t>įtraukiama</w:t>
      </w:r>
      <w:r w:rsidR="000D779E" w:rsidRPr="0065344A">
        <w:rPr>
          <w:strike/>
          <w:lang w:val="lt-LT" w:eastAsia="lt-LT"/>
        </w:rPr>
        <w:t>s</w:t>
      </w:r>
      <w:r w:rsidR="000D779E" w:rsidRPr="0065344A">
        <w:rPr>
          <w:i/>
          <w:iCs/>
          <w:lang w:val="lt-LT" w:eastAsia="lt-LT"/>
        </w:rPr>
        <w:t xml:space="preserve"> </w:t>
      </w:r>
      <w:r w:rsidR="000D779E" w:rsidRPr="0065344A">
        <w:rPr>
          <w:lang w:val="lt-LT" w:eastAsia="lt-LT"/>
        </w:rPr>
        <w:t>kaip</w:t>
      </w:r>
      <w:r w:rsidR="000D779E" w:rsidRPr="0065344A">
        <w:rPr>
          <w:i/>
          <w:iCs/>
          <w:lang w:val="lt-LT" w:eastAsia="lt-LT"/>
        </w:rPr>
        <w:t xml:space="preserve"> </w:t>
      </w:r>
      <w:r w:rsidR="000D779E" w:rsidRPr="0065344A">
        <w:rPr>
          <w:lang w:val="lt-LT" w:eastAsia="lt-LT"/>
        </w:rPr>
        <w:t>ir</w:t>
      </w:r>
      <w:r w:rsidR="000D779E" w:rsidRPr="0065344A">
        <w:rPr>
          <w:i/>
          <w:iCs/>
          <w:lang w:val="lt-LT" w:eastAsia="lt-LT"/>
        </w:rPr>
        <w:t xml:space="preserve"> </w:t>
      </w:r>
      <w:r w:rsidR="000D779E" w:rsidRPr="0065344A">
        <w:rPr>
          <w:lang w:val="lt-LT" w:eastAsia="lt-LT"/>
        </w:rPr>
        <w:t>ilgalaikis</w:t>
      </w:r>
      <w:r w:rsidR="000D779E" w:rsidRPr="0065344A">
        <w:rPr>
          <w:i/>
          <w:iCs/>
          <w:lang w:val="lt-LT" w:eastAsia="lt-LT"/>
        </w:rPr>
        <w:t xml:space="preserve"> </w:t>
      </w:r>
      <w:r w:rsidR="000D779E" w:rsidRPr="0065344A">
        <w:rPr>
          <w:lang w:val="lt-LT" w:eastAsia="lt-LT"/>
        </w:rPr>
        <w:t>turtas</w:t>
      </w:r>
      <w:r w:rsidR="000D779E" w:rsidRPr="0065344A">
        <w:rPr>
          <w:i/>
          <w:iCs/>
          <w:lang w:val="lt-LT" w:eastAsia="lt-LT"/>
        </w:rPr>
        <w:t xml:space="preserve"> </w:t>
      </w:r>
      <w:r w:rsidR="000D779E" w:rsidRPr="0065344A">
        <w:rPr>
          <w:lang w:val="lt-LT" w:eastAsia="lt-LT"/>
        </w:rPr>
        <w:t>PMĮ</w:t>
      </w:r>
      <w:r w:rsidR="000D779E" w:rsidRPr="0065344A">
        <w:rPr>
          <w:i/>
          <w:iCs/>
          <w:lang w:val="lt-LT" w:eastAsia="lt-LT"/>
        </w:rPr>
        <w:t xml:space="preserve"> </w:t>
      </w:r>
      <w:r w:rsidR="000D779E" w:rsidRPr="0065344A">
        <w:rPr>
          <w:lang w:val="lt-LT" w:eastAsia="lt-LT"/>
        </w:rPr>
        <w:t>18</w:t>
      </w:r>
      <w:r w:rsidR="000D779E" w:rsidRPr="0065344A">
        <w:rPr>
          <w:i/>
          <w:iCs/>
          <w:lang w:val="lt-LT" w:eastAsia="lt-LT"/>
        </w:rPr>
        <w:t xml:space="preserve"> </w:t>
      </w:r>
      <w:r w:rsidR="000D779E" w:rsidRPr="0065344A">
        <w:rPr>
          <w:lang w:val="lt-LT" w:eastAsia="lt-LT"/>
        </w:rPr>
        <w:t>straipsnyje</w:t>
      </w:r>
      <w:r w:rsidR="000D779E" w:rsidRPr="0065344A">
        <w:rPr>
          <w:i/>
          <w:iCs/>
          <w:lang w:val="lt-LT" w:eastAsia="lt-LT"/>
        </w:rPr>
        <w:t xml:space="preserve"> </w:t>
      </w:r>
      <w:r w:rsidR="000D779E" w:rsidRPr="0065344A">
        <w:rPr>
          <w:lang w:val="lt-LT" w:eastAsia="lt-LT"/>
        </w:rPr>
        <w:t>nustatyta</w:t>
      </w:r>
      <w:r w:rsidR="000D779E" w:rsidRPr="0065344A">
        <w:rPr>
          <w:i/>
          <w:iCs/>
          <w:lang w:val="lt-LT" w:eastAsia="lt-LT"/>
        </w:rPr>
        <w:t xml:space="preserve"> </w:t>
      </w:r>
      <w:r w:rsidR="000D779E" w:rsidRPr="0065344A">
        <w:rPr>
          <w:lang w:val="lt-LT" w:eastAsia="lt-LT"/>
        </w:rPr>
        <w:t>tvarka. </w:t>
      </w:r>
    </w:p>
    <w:p w14:paraId="35B1CF17" w14:textId="77777777" w:rsidR="00093845" w:rsidRPr="0065344A" w:rsidRDefault="000D779E">
      <w:pPr>
        <w:spacing w:before="100" w:beforeAutospacing="1" w:after="100" w:afterAutospacing="1"/>
        <w:jc w:val="both"/>
        <w:rPr>
          <w:lang w:val="lt-LT" w:eastAsia="lt-LT"/>
        </w:rPr>
      </w:pPr>
      <w:r w:rsidRPr="0065344A">
        <w:rPr>
          <w:bCs/>
          <w:lang w:val="lt-LT" w:eastAsia="lt-LT"/>
        </w:rPr>
        <w:t xml:space="preserve">        1</w:t>
      </w:r>
      <w:r w:rsidRPr="0065344A">
        <w:rPr>
          <w:bCs/>
          <w:i/>
          <w:iCs/>
          <w:lang w:val="lt-LT" w:eastAsia="lt-LT"/>
        </w:rPr>
        <w:t xml:space="preserve"> </w:t>
      </w:r>
      <w:r w:rsidRPr="0065344A">
        <w:rPr>
          <w:bCs/>
          <w:lang w:val="lt-LT" w:eastAsia="lt-LT"/>
        </w:rPr>
        <w:t>pavyzdys</w:t>
      </w:r>
      <w:r w:rsidRPr="0065344A">
        <w:rPr>
          <w:bCs/>
          <w:i/>
          <w:iCs/>
          <w:lang w:val="lt-LT" w:eastAsia="lt-LT"/>
        </w:rPr>
        <w:t xml:space="preserve"> </w:t>
      </w:r>
      <w:r w:rsidRPr="0065344A">
        <w:rPr>
          <w:lang w:val="lt-LT" w:eastAsia="lt-LT"/>
        </w:rPr>
        <w:t> </w:t>
      </w:r>
    </w:p>
    <w:p w14:paraId="0162637A" w14:textId="77777777" w:rsidR="00093845" w:rsidRPr="0065344A"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val="lt-LT" w:eastAsia="lt-LT"/>
        </w:rPr>
      </w:pPr>
      <w:r w:rsidRPr="0065344A">
        <w:rPr>
          <w:lang w:val="lt-LT" w:eastAsia="lt-LT"/>
        </w:rPr>
        <w:t xml:space="preserve">      Vienetas</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gaminantis</w:t>
      </w:r>
      <w:r w:rsidRPr="0065344A">
        <w:rPr>
          <w:i/>
          <w:iCs/>
          <w:lang w:val="lt-LT" w:eastAsia="lt-LT"/>
        </w:rPr>
        <w:t xml:space="preserve"> </w:t>
      </w:r>
      <w:r w:rsidRPr="0065344A">
        <w:rPr>
          <w:lang w:val="lt-LT" w:eastAsia="lt-LT"/>
        </w:rPr>
        <w:t>ypatingos</w:t>
      </w:r>
      <w:r w:rsidRPr="0065344A">
        <w:rPr>
          <w:i/>
          <w:iCs/>
          <w:lang w:val="lt-LT" w:eastAsia="lt-LT"/>
        </w:rPr>
        <w:t xml:space="preserve"> </w:t>
      </w:r>
      <w:r w:rsidRPr="0065344A">
        <w:rPr>
          <w:lang w:val="lt-LT" w:eastAsia="lt-LT"/>
        </w:rPr>
        <w:t>rūšies</w:t>
      </w:r>
      <w:r w:rsidRPr="0065344A">
        <w:rPr>
          <w:i/>
          <w:iCs/>
          <w:lang w:val="lt-LT" w:eastAsia="lt-LT"/>
        </w:rPr>
        <w:t xml:space="preserve"> </w:t>
      </w:r>
      <w:r w:rsidRPr="0065344A">
        <w:rPr>
          <w:lang w:val="lt-LT" w:eastAsia="lt-LT"/>
        </w:rPr>
        <w:t>gaiviuosius</w:t>
      </w:r>
      <w:r w:rsidRPr="0065344A">
        <w:rPr>
          <w:i/>
          <w:iCs/>
          <w:lang w:val="lt-LT" w:eastAsia="lt-LT"/>
        </w:rPr>
        <w:t xml:space="preserve"> </w:t>
      </w:r>
      <w:r w:rsidRPr="0065344A">
        <w:rPr>
          <w:lang w:val="lt-LT" w:eastAsia="lt-LT"/>
        </w:rPr>
        <w:t>gėrimus,</w:t>
      </w:r>
      <w:r w:rsidRPr="0065344A">
        <w:rPr>
          <w:i/>
          <w:iCs/>
          <w:lang w:val="lt-LT" w:eastAsia="lt-LT"/>
        </w:rPr>
        <w:t xml:space="preserve"> </w:t>
      </w:r>
      <w:r w:rsidRPr="0065344A">
        <w:rPr>
          <w:lang w:val="lt-LT" w:eastAsia="lt-LT"/>
        </w:rPr>
        <w:t>nutarė</w:t>
      </w:r>
      <w:r w:rsidRPr="0065344A">
        <w:rPr>
          <w:i/>
          <w:iCs/>
          <w:lang w:val="lt-LT" w:eastAsia="lt-LT"/>
        </w:rPr>
        <w:t xml:space="preserve"> </w:t>
      </w:r>
      <w:r w:rsidRPr="0065344A">
        <w:rPr>
          <w:lang w:val="lt-LT" w:eastAsia="lt-LT"/>
        </w:rPr>
        <w:t>užsiimti</w:t>
      </w:r>
      <w:r w:rsidRPr="0065344A">
        <w:rPr>
          <w:i/>
          <w:iCs/>
          <w:lang w:val="lt-LT" w:eastAsia="lt-LT"/>
        </w:rPr>
        <w:t xml:space="preserve"> </w:t>
      </w:r>
      <w:r w:rsidRPr="0065344A">
        <w:rPr>
          <w:lang w:val="lt-LT" w:eastAsia="lt-LT"/>
        </w:rPr>
        <w:t>kita</w:t>
      </w:r>
      <w:r w:rsidRPr="0065344A">
        <w:rPr>
          <w:i/>
          <w:iCs/>
          <w:lang w:val="lt-LT" w:eastAsia="lt-LT"/>
        </w:rPr>
        <w:t xml:space="preserve"> </w:t>
      </w:r>
      <w:r w:rsidRPr="0065344A">
        <w:rPr>
          <w:lang w:val="lt-LT" w:eastAsia="lt-LT"/>
        </w:rPr>
        <w:t>veikla</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visą</w:t>
      </w:r>
      <w:r w:rsidRPr="0065344A">
        <w:rPr>
          <w:i/>
          <w:iCs/>
          <w:lang w:val="lt-LT" w:eastAsia="lt-LT"/>
        </w:rPr>
        <w:t xml:space="preserve"> </w:t>
      </w:r>
      <w:r w:rsidRPr="0065344A">
        <w:rPr>
          <w:lang w:val="lt-LT" w:eastAsia="lt-LT"/>
        </w:rPr>
        <w:t>dabartinę</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kaip</w:t>
      </w:r>
      <w:r w:rsidRPr="0065344A">
        <w:rPr>
          <w:i/>
          <w:iCs/>
          <w:lang w:val="lt-LT" w:eastAsia="lt-LT"/>
        </w:rPr>
        <w:t xml:space="preserve"> </w:t>
      </w:r>
      <w:r w:rsidRPr="0065344A">
        <w:rPr>
          <w:lang w:val="lt-LT" w:eastAsia="lt-LT"/>
        </w:rPr>
        <w:t>kompleksą</w:t>
      </w:r>
      <w:r w:rsidRPr="0065344A">
        <w:rPr>
          <w:i/>
          <w:iCs/>
          <w:lang w:val="lt-LT" w:eastAsia="lt-LT"/>
        </w:rPr>
        <w:t xml:space="preserve"> </w:t>
      </w:r>
      <w:r w:rsidRPr="0065344A">
        <w:rPr>
          <w:lang w:val="lt-LT" w:eastAsia="lt-LT"/>
        </w:rPr>
        <w:t>(t.</w:t>
      </w:r>
      <w:r w:rsidRPr="0065344A">
        <w:rPr>
          <w:i/>
          <w:iCs/>
          <w:lang w:val="lt-LT" w:eastAsia="lt-LT"/>
        </w:rPr>
        <w:t xml:space="preserve"> </w:t>
      </w:r>
      <w:r w:rsidRPr="0065344A">
        <w:rPr>
          <w:lang w:val="lt-LT" w:eastAsia="lt-LT"/>
        </w:rPr>
        <w:t>y.</w:t>
      </w:r>
      <w:r w:rsidRPr="0065344A">
        <w:rPr>
          <w:i/>
          <w:iCs/>
          <w:lang w:val="lt-LT" w:eastAsia="lt-LT"/>
        </w:rPr>
        <w:t xml:space="preserve"> </w:t>
      </w:r>
      <w:r w:rsidRPr="0065344A">
        <w:rPr>
          <w:lang w:val="lt-LT" w:eastAsia="lt-LT"/>
        </w:rPr>
        <w:t>visą</w:t>
      </w:r>
      <w:r w:rsidRPr="0065344A">
        <w:rPr>
          <w:i/>
          <w:iCs/>
          <w:lang w:val="lt-LT" w:eastAsia="lt-LT"/>
        </w:rPr>
        <w:t xml:space="preserve"> </w:t>
      </w:r>
      <w:r w:rsidRPr="0065344A">
        <w:rPr>
          <w:lang w:val="lt-LT" w:eastAsia="lt-LT"/>
        </w:rPr>
        <w:t>įmonę)</w:t>
      </w:r>
      <w:r w:rsidRPr="0065344A">
        <w:rPr>
          <w:i/>
          <w:iCs/>
          <w:lang w:val="lt-LT" w:eastAsia="lt-LT"/>
        </w:rPr>
        <w:t xml:space="preserve"> </w:t>
      </w:r>
      <w:r w:rsidRPr="0065344A">
        <w:rPr>
          <w:lang w:val="lt-LT" w:eastAsia="lt-LT"/>
        </w:rPr>
        <w:t>parduoti</w:t>
      </w:r>
      <w:r w:rsidRPr="0065344A">
        <w:rPr>
          <w:i/>
          <w:iCs/>
          <w:lang w:val="lt-LT" w:eastAsia="lt-LT"/>
        </w:rPr>
        <w:t xml:space="preserve"> </w:t>
      </w:r>
      <w:r w:rsidRPr="0065344A">
        <w:rPr>
          <w:lang w:val="lt-LT" w:eastAsia="lt-LT"/>
        </w:rPr>
        <w:t>vienetui</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ketinančiam</w:t>
      </w:r>
      <w:r w:rsidRPr="0065344A">
        <w:rPr>
          <w:i/>
          <w:iCs/>
          <w:lang w:val="lt-LT" w:eastAsia="lt-LT"/>
        </w:rPr>
        <w:t xml:space="preserve"> </w:t>
      </w:r>
      <w:r w:rsidRPr="0065344A">
        <w:rPr>
          <w:lang w:val="lt-LT" w:eastAsia="lt-LT"/>
        </w:rPr>
        <w:t>išplėsti</w:t>
      </w:r>
      <w:r w:rsidRPr="0065344A">
        <w:rPr>
          <w:i/>
          <w:iCs/>
          <w:lang w:val="lt-LT" w:eastAsia="lt-LT"/>
        </w:rPr>
        <w:t xml:space="preserve"> </w:t>
      </w:r>
      <w:r w:rsidRPr="0065344A">
        <w:rPr>
          <w:lang w:val="lt-LT" w:eastAsia="lt-LT"/>
        </w:rPr>
        <w:t>savo</w:t>
      </w:r>
      <w:r w:rsidRPr="0065344A">
        <w:rPr>
          <w:i/>
          <w:iCs/>
          <w:lang w:val="lt-LT" w:eastAsia="lt-LT"/>
        </w:rPr>
        <w:t xml:space="preserve"> </w:t>
      </w:r>
      <w:r w:rsidRPr="0065344A">
        <w:rPr>
          <w:lang w:val="lt-LT" w:eastAsia="lt-LT"/>
        </w:rPr>
        <w:t>verslą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toliau</w:t>
      </w:r>
      <w:r w:rsidRPr="0065344A">
        <w:rPr>
          <w:i/>
          <w:iCs/>
          <w:lang w:val="lt-LT" w:eastAsia="lt-LT"/>
        </w:rPr>
        <w:t xml:space="preserve"> </w:t>
      </w:r>
      <w:r w:rsidRPr="0065344A">
        <w:rPr>
          <w:lang w:val="lt-LT" w:eastAsia="lt-LT"/>
        </w:rPr>
        <w:t>tęsti</w:t>
      </w:r>
      <w:r w:rsidRPr="0065344A">
        <w:rPr>
          <w:i/>
          <w:iCs/>
          <w:lang w:val="lt-LT" w:eastAsia="lt-LT"/>
        </w:rPr>
        <w:t xml:space="preserve"> </w:t>
      </w:r>
      <w:r w:rsidRPr="0065344A">
        <w:rPr>
          <w:lang w:val="lt-LT" w:eastAsia="lt-LT"/>
        </w:rPr>
        <w:t>gaiviųjų</w:t>
      </w:r>
      <w:r w:rsidRPr="0065344A">
        <w:rPr>
          <w:i/>
          <w:iCs/>
          <w:lang w:val="lt-LT" w:eastAsia="lt-LT"/>
        </w:rPr>
        <w:t xml:space="preserve"> </w:t>
      </w:r>
      <w:r w:rsidRPr="0065344A">
        <w:rPr>
          <w:lang w:val="lt-LT" w:eastAsia="lt-LT"/>
        </w:rPr>
        <w:t>gėrimų</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20</w:t>
      </w:r>
      <w:r w:rsidRPr="0065344A">
        <w:rPr>
          <w:iCs/>
          <w:lang w:val="lt-LT" w:eastAsia="lt-LT"/>
        </w:rPr>
        <w:t>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vasario</w:t>
      </w:r>
      <w:r w:rsidRPr="0065344A">
        <w:rPr>
          <w:i/>
          <w:iCs/>
          <w:lang w:val="lt-LT" w:eastAsia="lt-LT"/>
        </w:rPr>
        <w:t xml:space="preserve"> </w:t>
      </w:r>
      <w:r w:rsidRPr="0065344A">
        <w:rPr>
          <w:lang w:val="lt-LT" w:eastAsia="lt-LT"/>
        </w:rPr>
        <w:t>mėn.</w:t>
      </w:r>
      <w:r w:rsidRPr="0065344A">
        <w:rPr>
          <w:i/>
          <w:iCs/>
          <w:lang w:val="lt-LT" w:eastAsia="lt-LT"/>
        </w:rPr>
        <w:t xml:space="preserve"> </w:t>
      </w:r>
      <w:r w:rsidRPr="0065344A">
        <w:rPr>
          <w:lang w:val="lt-LT" w:eastAsia="lt-LT"/>
        </w:rPr>
        <w:t>abiejų</w:t>
      </w:r>
      <w:r w:rsidRPr="0065344A">
        <w:rPr>
          <w:i/>
          <w:iCs/>
          <w:lang w:val="lt-LT" w:eastAsia="lt-LT"/>
        </w:rPr>
        <w:t xml:space="preserve"> </w:t>
      </w:r>
      <w:r w:rsidRPr="0065344A">
        <w:rPr>
          <w:lang w:val="lt-LT" w:eastAsia="lt-LT"/>
        </w:rPr>
        <w:t>vienetų</w:t>
      </w:r>
      <w:r w:rsidRPr="0065344A">
        <w:rPr>
          <w:i/>
          <w:iCs/>
          <w:lang w:val="lt-LT" w:eastAsia="lt-LT"/>
        </w:rPr>
        <w:t xml:space="preserve"> </w:t>
      </w:r>
      <w:r w:rsidRPr="0065344A">
        <w:rPr>
          <w:lang w:val="lt-LT" w:eastAsia="lt-LT"/>
        </w:rPr>
        <w:t>pasirašytą</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pardavimo</w:t>
      </w:r>
      <w:r w:rsidRPr="0065344A">
        <w:rPr>
          <w:i/>
          <w:iCs/>
          <w:lang w:val="lt-LT" w:eastAsia="lt-LT"/>
        </w:rPr>
        <w:t xml:space="preserve"> </w:t>
      </w:r>
      <w:r w:rsidRPr="0065344A">
        <w:rPr>
          <w:lang w:val="lt-LT" w:eastAsia="lt-LT"/>
        </w:rPr>
        <w:t>sutartį</w:t>
      </w:r>
      <w:r w:rsidRPr="0065344A">
        <w:rPr>
          <w:i/>
          <w:iCs/>
          <w:lang w:val="lt-LT" w:eastAsia="lt-LT"/>
        </w:rPr>
        <w:t xml:space="preserve"> </w:t>
      </w:r>
      <w:r w:rsidRPr="0065344A">
        <w:rPr>
          <w:lang w:val="lt-LT" w:eastAsia="lt-LT"/>
        </w:rPr>
        <w:t>parduodamą</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sudarė</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turtinis</w:t>
      </w:r>
      <w:r w:rsidRPr="0065344A">
        <w:rPr>
          <w:i/>
          <w:iCs/>
          <w:lang w:val="lt-LT" w:eastAsia="lt-LT"/>
        </w:rPr>
        <w:t xml:space="preserve"> </w:t>
      </w:r>
      <w:r w:rsidRPr="0065344A">
        <w:rPr>
          <w:lang w:val="lt-LT" w:eastAsia="lt-LT"/>
        </w:rPr>
        <w:t>kompleksas,</w:t>
      </w:r>
      <w:r w:rsidRPr="0065344A">
        <w:rPr>
          <w:i/>
          <w:iCs/>
          <w:lang w:val="lt-LT" w:eastAsia="lt-LT"/>
        </w:rPr>
        <w:t xml:space="preserve"> </w:t>
      </w:r>
      <w:r w:rsidRPr="0065344A">
        <w:rPr>
          <w:lang w:val="lt-LT" w:eastAsia="lt-LT"/>
        </w:rPr>
        <w:t>susidedantis</w:t>
      </w:r>
      <w:r w:rsidRPr="0065344A">
        <w:rPr>
          <w:i/>
          <w:iCs/>
          <w:lang w:val="lt-LT" w:eastAsia="lt-LT"/>
        </w:rPr>
        <w:t xml:space="preserve"> </w:t>
      </w:r>
      <w:r w:rsidRPr="0065344A">
        <w:rPr>
          <w:lang w:val="lt-LT" w:eastAsia="lt-LT"/>
        </w:rPr>
        <w:t>iš</w:t>
      </w:r>
      <w:r w:rsidRPr="0065344A">
        <w:rPr>
          <w:i/>
          <w:iCs/>
          <w:lang w:val="lt-LT" w:eastAsia="lt-LT"/>
        </w:rPr>
        <w:t xml:space="preserve"> </w:t>
      </w:r>
      <w:r w:rsidRPr="0065344A">
        <w:rPr>
          <w:lang w:val="lt-LT" w:eastAsia="lt-LT"/>
        </w:rPr>
        <w:t>materialaus</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nematerialaus</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gaiviųjų</w:t>
      </w:r>
      <w:r w:rsidRPr="0065344A">
        <w:rPr>
          <w:i/>
          <w:iCs/>
          <w:lang w:val="lt-LT" w:eastAsia="lt-LT"/>
        </w:rPr>
        <w:t xml:space="preserve"> </w:t>
      </w:r>
      <w:r w:rsidRPr="0065344A">
        <w:rPr>
          <w:lang w:val="lt-LT" w:eastAsia="lt-LT"/>
        </w:rPr>
        <w:t>gėrimų</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receptai,</w:t>
      </w:r>
      <w:r w:rsidRPr="0065344A">
        <w:rPr>
          <w:i/>
          <w:iCs/>
          <w:lang w:val="lt-LT" w:eastAsia="lt-LT"/>
        </w:rPr>
        <w:t xml:space="preserve"> </w:t>
      </w:r>
      <w:r w:rsidRPr="0065344A">
        <w:rPr>
          <w:lang w:val="lt-LT" w:eastAsia="lt-LT"/>
        </w:rPr>
        <w:t>gamybos</w:t>
      </w:r>
      <w:r w:rsidRPr="0065344A">
        <w:rPr>
          <w:i/>
          <w:iCs/>
          <w:lang w:val="lt-LT" w:eastAsia="lt-LT"/>
        </w:rPr>
        <w:t xml:space="preserve"> </w:t>
      </w:r>
      <w:r w:rsidRPr="0065344A">
        <w:rPr>
          <w:lang w:val="lt-LT" w:eastAsia="lt-LT"/>
        </w:rPr>
        <w:t>technologija,</w:t>
      </w:r>
      <w:r w:rsidRPr="0065344A">
        <w:rPr>
          <w:i/>
          <w:iCs/>
          <w:lang w:val="lt-LT" w:eastAsia="lt-LT"/>
        </w:rPr>
        <w:t xml:space="preserve"> </w:t>
      </w:r>
      <w:r w:rsidRPr="0065344A">
        <w:rPr>
          <w:lang w:val="lt-LT" w:eastAsia="lt-LT"/>
        </w:rPr>
        <w:t>rinka</w:t>
      </w:r>
      <w:r w:rsidRPr="0065344A">
        <w:rPr>
          <w:i/>
          <w:iCs/>
          <w:lang w:val="lt-LT" w:eastAsia="lt-LT"/>
        </w:rPr>
        <w:t xml:space="preserve"> </w:t>
      </w:r>
      <w:r w:rsidRPr="0065344A">
        <w:rPr>
          <w:lang w:val="lt-LT" w:eastAsia="lt-LT"/>
        </w:rPr>
        <w:t>(žaliavų</w:t>
      </w:r>
      <w:r w:rsidRPr="0065344A">
        <w:rPr>
          <w:i/>
          <w:iCs/>
          <w:lang w:val="lt-LT" w:eastAsia="lt-LT"/>
        </w:rPr>
        <w:t xml:space="preserve"> </w:t>
      </w:r>
      <w:r w:rsidRPr="0065344A">
        <w:rPr>
          <w:lang w:val="lt-LT" w:eastAsia="lt-LT"/>
        </w:rPr>
        <w:t>tiekėjai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pirkėjai)</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pan.</w:t>
      </w:r>
      <w:r w:rsidRPr="0065344A">
        <w:rPr>
          <w:i/>
          <w:iCs/>
          <w:lang w:val="lt-LT" w:eastAsia="lt-LT"/>
        </w:rPr>
        <w:t xml:space="preserve"> </w:t>
      </w:r>
      <w:r w:rsidRPr="0065344A">
        <w:rPr>
          <w:lang w:val="lt-LT" w:eastAsia="lt-LT"/>
        </w:rPr>
        <w:t>Už</w:t>
      </w:r>
      <w:r w:rsidRPr="0065344A">
        <w:rPr>
          <w:i/>
          <w:iCs/>
          <w:lang w:val="lt-LT" w:eastAsia="lt-LT"/>
        </w:rPr>
        <w:t xml:space="preserve"> </w:t>
      </w:r>
      <w:r w:rsidRPr="0065344A">
        <w:rPr>
          <w:lang w:val="lt-LT" w:eastAsia="lt-LT"/>
        </w:rPr>
        <w:t>įsigyjamą</w:t>
      </w:r>
      <w:r w:rsidRPr="0065344A">
        <w:rPr>
          <w:i/>
          <w:iCs/>
          <w:lang w:val="lt-LT" w:eastAsia="lt-LT"/>
        </w:rPr>
        <w:t xml:space="preserve"> </w:t>
      </w:r>
      <w:r w:rsidRPr="0065344A">
        <w:rPr>
          <w:lang w:val="lt-LT" w:eastAsia="lt-LT"/>
        </w:rPr>
        <w:t>veiklą</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sumokėjo</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mln.</w:t>
      </w:r>
      <w:r w:rsidRPr="0065344A">
        <w:rPr>
          <w:i/>
          <w:iCs/>
          <w:lang w:val="lt-LT" w:eastAsia="lt-LT"/>
        </w:rPr>
        <w:t xml:space="preserve"> </w:t>
      </w:r>
      <w:r w:rsidRPr="0065344A">
        <w:rPr>
          <w:lang w:val="lt-LT" w:eastAsia="lt-LT"/>
        </w:rPr>
        <w:t>200</w:t>
      </w:r>
      <w:r w:rsidRPr="0065344A">
        <w:rPr>
          <w:i/>
          <w:iCs/>
          <w:lang w:val="lt-LT" w:eastAsia="lt-LT"/>
        </w:rPr>
        <w:t xml:space="preserve"> </w:t>
      </w:r>
      <w:r w:rsidRPr="0065344A">
        <w:rPr>
          <w:lang w:val="lt-LT" w:eastAsia="lt-LT"/>
        </w:rPr>
        <w:t>tūkst. Eur,</w:t>
      </w:r>
      <w:r w:rsidRPr="0065344A">
        <w:rPr>
          <w:i/>
          <w:iCs/>
          <w:lang w:val="lt-LT" w:eastAsia="lt-LT"/>
        </w:rPr>
        <w:t xml:space="preserve"> </w:t>
      </w:r>
      <w:r w:rsidRPr="0065344A">
        <w:rPr>
          <w:lang w:val="lt-LT" w:eastAsia="lt-LT"/>
        </w:rPr>
        <w:t>kuriuos</w:t>
      </w:r>
      <w:r w:rsidRPr="0065344A">
        <w:rPr>
          <w:i/>
          <w:iCs/>
          <w:lang w:val="lt-LT" w:eastAsia="lt-LT"/>
        </w:rPr>
        <w:t xml:space="preserve"> </w:t>
      </w:r>
      <w:r w:rsidRPr="0065344A">
        <w:rPr>
          <w:lang w:val="lt-LT" w:eastAsia="lt-LT"/>
        </w:rPr>
        <w:t>pervedė</w:t>
      </w:r>
      <w:r w:rsidRPr="0065344A">
        <w:rPr>
          <w:i/>
          <w:iCs/>
          <w:lang w:val="lt-LT" w:eastAsia="lt-LT"/>
        </w:rPr>
        <w:t xml:space="preserve"> </w:t>
      </w:r>
      <w:r w:rsidRPr="0065344A">
        <w:rPr>
          <w:lang w:val="lt-LT" w:eastAsia="lt-LT"/>
        </w:rPr>
        <w:t>į</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banko</w:t>
      </w:r>
      <w:r w:rsidRPr="0065344A">
        <w:rPr>
          <w:i/>
          <w:iCs/>
          <w:lang w:val="lt-LT" w:eastAsia="lt-LT"/>
        </w:rPr>
        <w:t xml:space="preserve"> </w:t>
      </w:r>
      <w:r w:rsidRPr="0065344A">
        <w:rPr>
          <w:lang w:val="lt-LT" w:eastAsia="lt-LT"/>
        </w:rPr>
        <w:t>sąskaitą.</w:t>
      </w:r>
      <w:r w:rsidRPr="0065344A">
        <w:rPr>
          <w:i/>
          <w:iCs/>
          <w:lang w:val="lt-LT" w:eastAsia="lt-LT"/>
        </w:rPr>
        <w:t xml:space="preserve"> </w:t>
      </w:r>
      <w:r w:rsidRPr="0065344A">
        <w:rPr>
          <w:lang w:val="lt-LT" w:eastAsia="lt-LT"/>
        </w:rPr>
        <w:t>20</w:t>
      </w:r>
      <w:r w:rsidRPr="0065344A">
        <w:rPr>
          <w:iCs/>
          <w:lang w:val="lt-LT" w:eastAsia="lt-LT"/>
        </w:rPr>
        <w:t>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kovo</w:t>
      </w:r>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vienetas</w:t>
      </w:r>
      <w:r w:rsidRPr="0065344A">
        <w:rPr>
          <w:i/>
          <w:iCs/>
          <w:lang w:val="lt-LT" w:eastAsia="lt-LT"/>
        </w:rPr>
        <w:t xml:space="preserve"> </w:t>
      </w:r>
      <w:r w:rsidRPr="0065344A">
        <w:rPr>
          <w:lang w:val="lt-LT" w:eastAsia="lt-LT"/>
        </w:rPr>
        <w:t>B</w:t>
      </w:r>
      <w:r w:rsidRPr="0065344A">
        <w:rPr>
          <w:i/>
          <w:iCs/>
          <w:lang w:val="lt-LT" w:eastAsia="lt-LT"/>
        </w:rPr>
        <w:t xml:space="preserve"> </w:t>
      </w:r>
      <w:r w:rsidRPr="0065344A">
        <w:rPr>
          <w:lang w:val="lt-LT" w:eastAsia="lt-LT"/>
        </w:rPr>
        <w:t>pagal</w:t>
      </w:r>
      <w:r w:rsidRPr="0065344A">
        <w:rPr>
          <w:i/>
          <w:iCs/>
          <w:lang w:val="lt-LT" w:eastAsia="lt-LT"/>
        </w:rPr>
        <w:t xml:space="preserve"> </w:t>
      </w:r>
      <w:r w:rsidRPr="0065344A">
        <w:rPr>
          <w:lang w:val="lt-LT" w:eastAsia="lt-LT"/>
        </w:rPr>
        <w:t>perdavimo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priėmimo</w:t>
      </w:r>
      <w:r w:rsidRPr="0065344A">
        <w:rPr>
          <w:i/>
          <w:iCs/>
          <w:lang w:val="lt-LT" w:eastAsia="lt-LT"/>
        </w:rPr>
        <w:t xml:space="preserve"> </w:t>
      </w:r>
      <w:r w:rsidRPr="0065344A">
        <w:rPr>
          <w:lang w:val="lt-LT" w:eastAsia="lt-LT"/>
        </w:rPr>
        <w:t>aktą</w:t>
      </w:r>
      <w:r w:rsidRPr="0065344A">
        <w:rPr>
          <w:i/>
          <w:iCs/>
          <w:lang w:val="lt-LT" w:eastAsia="lt-LT"/>
        </w:rPr>
        <w:t xml:space="preserve"> </w:t>
      </w:r>
      <w:r w:rsidRPr="0065344A">
        <w:rPr>
          <w:lang w:val="lt-LT" w:eastAsia="lt-LT"/>
        </w:rPr>
        <w:t>perėmė</w:t>
      </w:r>
      <w:r w:rsidRPr="0065344A">
        <w:rPr>
          <w:i/>
          <w:iCs/>
          <w:lang w:val="lt-LT" w:eastAsia="lt-LT"/>
        </w:rPr>
        <w:t xml:space="preserve"> </w:t>
      </w:r>
      <w:r w:rsidRPr="0065344A">
        <w:rPr>
          <w:lang w:val="lt-LT" w:eastAsia="lt-LT"/>
        </w:rPr>
        <w:t>pirkimo</w:t>
      </w:r>
      <w:r w:rsidRPr="0065344A">
        <w:rPr>
          <w:i/>
          <w:iCs/>
          <w:lang w:val="lt-LT" w:eastAsia="lt-LT"/>
        </w:rPr>
        <w:t xml:space="preserve"> </w:t>
      </w:r>
      <w:r w:rsidRPr="0065344A">
        <w:rPr>
          <w:lang w:val="lt-LT" w:eastAsia="lt-LT"/>
        </w:rPr>
        <w:t>–</w:t>
      </w:r>
      <w:r w:rsidRPr="0065344A">
        <w:rPr>
          <w:i/>
          <w:iCs/>
          <w:lang w:val="lt-LT" w:eastAsia="lt-LT"/>
        </w:rPr>
        <w:t xml:space="preserve"> </w:t>
      </w:r>
      <w:r w:rsidRPr="0065344A">
        <w:rPr>
          <w:lang w:val="lt-LT" w:eastAsia="lt-LT"/>
        </w:rPr>
        <w:t>pardavimo</w:t>
      </w:r>
      <w:r w:rsidRPr="0065344A">
        <w:rPr>
          <w:i/>
          <w:iCs/>
          <w:lang w:val="lt-LT" w:eastAsia="lt-LT"/>
        </w:rPr>
        <w:t xml:space="preserve"> </w:t>
      </w:r>
      <w:r w:rsidRPr="0065344A">
        <w:rPr>
          <w:lang w:val="lt-LT" w:eastAsia="lt-LT"/>
        </w:rPr>
        <w:t>sutartyje</w:t>
      </w:r>
      <w:r w:rsidRPr="0065344A">
        <w:rPr>
          <w:i/>
          <w:iCs/>
          <w:lang w:val="lt-LT" w:eastAsia="lt-LT"/>
        </w:rPr>
        <w:t xml:space="preserve"> </w:t>
      </w:r>
      <w:r w:rsidRPr="0065344A">
        <w:rPr>
          <w:lang w:val="lt-LT" w:eastAsia="lt-LT"/>
        </w:rPr>
        <w:t>nurodytą</w:t>
      </w:r>
      <w:r w:rsidRPr="0065344A">
        <w:rPr>
          <w:i/>
          <w:iCs/>
          <w:lang w:val="lt-LT" w:eastAsia="lt-LT"/>
        </w:rPr>
        <w:t xml:space="preserve"> </w:t>
      </w:r>
      <w:r w:rsidRPr="0065344A">
        <w:rPr>
          <w:lang w:val="lt-LT" w:eastAsia="lt-LT"/>
        </w:rPr>
        <w:t>vieneto</w:t>
      </w:r>
      <w:r w:rsidRPr="0065344A">
        <w:rPr>
          <w:i/>
          <w:iCs/>
          <w:lang w:val="lt-LT" w:eastAsia="lt-LT"/>
        </w:rPr>
        <w:t xml:space="preserve"> </w:t>
      </w:r>
      <w:r w:rsidRPr="0065344A">
        <w:rPr>
          <w:lang w:val="lt-LT" w:eastAsia="lt-LT"/>
        </w:rPr>
        <w:t>A</w:t>
      </w:r>
      <w:r w:rsidRPr="0065344A">
        <w:rPr>
          <w:i/>
          <w:iCs/>
          <w:lang w:val="lt-LT" w:eastAsia="lt-LT"/>
        </w:rPr>
        <w:t xml:space="preserve"> </w:t>
      </w:r>
      <w:r w:rsidRPr="0065344A">
        <w:rPr>
          <w:lang w:val="lt-LT" w:eastAsia="lt-LT"/>
        </w:rPr>
        <w:t>turtą</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įsipareigojimus</w:t>
      </w:r>
      <w:r w:rsidRPr="0065344A">
        <w:rPr>
          <w:i/>
          <w:iCs/>
          <w:lang w:val="lt-LT" w:eastAsia="lt-LT"/>
        </w:rPr>
        <w:t xml:space="preserve"> </w:t>
      </w:r>
      <w:r w:rsidRPr="0065344A">
        <w:rPr>
          <w:lang w:val="lt-LT" w:eastAsia="lt-LT"/>
        </w:rPr>
        <w:t>bei</w:t>
      </w:r>
      <w:r w:rsidRPr="0065344A">
        <w:rPr>
          <w:i/>
          <w:iCs/>
          <w:lang w:val="lt-LT" w:eastAsia="lt-LT"/>
        </w:rPr>
        <w:t xml:space="preserve"> </w:t>
      </w:r>
      <w:r w:rsidRPr="0065344A">
        <w:rPr>
          <w:lang w:val="lt-LT" w:eastAsia="lt-LT"/>
        </w:rPr>
        <w:t>kitas</w:t>
      </w:r>
      <w:r w:rsidRPr="0065344A">
        <w:rPr>
          <w:i/>
          <w:iCs/>
          <w:lang w:val="lt-LT" w:eastAsia="lt-LT"/>
        </w:rPr>
        <w:t xml:space="preserve"> </w:t>
      </w:r>
      <w:r w:rsidRPr="0065344A">
        <w:rPr>
          <w:lang w:val="lt-LT" w:eastAsia="lt-LT"/>
        </w:rPr>
        <w:t>teises.</w:t>
      </w:r>
      <w:r w:rsidRPr="0065344A">
        <w:rPr>
          <w:i/>
          <w:iCs/>
          <w:lang w:val="lt-LT" w:eastAsia="lt-LT"/>
        </w:rPr>
        <w:t xml:space="preserve"> </w:t>
      </w:r>
    </w:p>
    <w:p w14:paraId="368EE2B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sidRPr="0065344A">
        <w:rPr>
          <w:lang w:val="lt-LT" w:eastAsia="lt-LT"/>
        </w:rPr>
        <w:t xml:space="preserve">     Įsigyto</w:t>
      </w:r>
      <w:r w:rsidRPr="0065344A">
        <w:rPr>
          <w:i/>
          <w:iCs/>
          <w:lang w:val="lt-LT" w:eastAsia="lt-LT"/>
        </w:rPr>
        <w:t xml:space="preserve"> </w:t>
      </w:r>
      <w:r w:rsidRPr="0065344A">
        <w:rPr>
          <w:lang w:val="lt-LT" w:eastAsia="lt-LT"/>
        </w:rPr>
        <w:t>grynojo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ir</w:t>
      </w:r>
      <w:r w:rsidRPr="0065344A">
        <w:rPr>
          <w:i/>
          <w:iCs/>
          <w:lang w:val="lt-LT" w:eastAsia="lt-LT"/>
        </w:rPr>
        <w:t xml:space="preserve"> </w:t>
      </w:r>
      <w:r w:rsidRPr="0065344A">
        <w:rPr>
          <w:lang w:val="lt-LT" w:eastAsia="lt-LT"/>
        </w:rPr>
        <w:t>įsipareigojimų</w:t>
      </w:r>
      <w:r w:rsidRPr="0065344A">
        <w:rPr>
          <w:i/>
          <w:iCs/>
          <w:lang w:val="lt-LT" w:eastAsia="lt-LT"/>
        </w:rPr>
        <w:t xml:space="preserve"> </w:t>
      </w:r>
      <w:r w:rsidRPr="0065344A">
        <w:rPr>
          <w:lang w:val="lt-LT" w:eastAsia="lt-LT"/>
        </w:rPr>
        <w:t>skirtumas),</w:t>
      </w:r>
      <w:r w:rsidRPr="0065344A">
        <w:rPr>
          <w:i/>
          <w:iCs/>
          <w:lang w:val="lt-LT" w:eastAsia="lt-LT"/>
        </w:rPr>
        <w:t xml:space="preserve"> </w:t>
      </w:r>
      <w:r w:rsidRPr="0065344A">
        <w:rPr>
          <w:lang w:val="lt-LT" w:eastAsia="lt-LT"/>
        </w:rPr>
        <w:t>įvertinto</w:t>
      </w:r>
      <w:r w:rsidRPr="0065344A">
        <w:rPr>
          <w:i/>
          <w:iCs/>
          <w:lang w:val="lt-LT" w:eastAsia="lt-LT"/>
        </w:rPr>
        <w:t xml:space="preserve"> </w:t>
      </w:r>
      <w:r w:rsidRPr="0065344A">
        <w:rPr>
          <w:lang w:val="lt-LT" w:eastAsia="lt-LT"/>
        </w:rPr>
        <w:t>tikrąja</w:t>
      </w:r>
      <w:r w:rsidRPr="0065344A">
        <w:rPr>
          <w:i/>
          <w:iCs/>
          <w:lang w:val="lt-LT" w:eastAsia="lt-LT"/>
        </w:rPr>
        <w:t xml:space="preserve"> </w:t>
      </w:r>
      <w:r w:rsidRPr="0065344A">
        <w:rPr>
          <w:lang w:val="lt-LT" w:eastAsia="lt-LT"/>
        </w:rPr>
        <w:t>rinkos</w:t>
      </w:r>
      <w:r w:rsidRPr="0065344A">
        <w:rPr>
          <w:i/>
          <w:iCs/>
          <w:lang w:val="lt-LT" w:eastAsia="lt-LT"/>
        </w:rPr>
        <w:t xml:space="preserve"> </w:t>
      </w:r>
      <w:r w:rsidRPr="0065344A">
        <w:rPr>
          <w:lang w:val="lt-LT" w:eastAsia="lt-LT"/>
        </w:rPr>
        <w:t>kaina,</w:t>
      </w:r>
      <w:r w:rsidRPr="0065344A">
        <w:rPr>
          <w:i/>
          <w:iCs/>
          <w:lang w:val="lt-LT" w:eastAsia="lt-LT"/>
        </w:rPr>
        <w:t xml:space="preserve"> </w:t>
      </w:r>
      <w:r w:rsidRPr="0065344A">
        <w:rPr>
          <w:lang w:val="lt-LT" w:eastAsia="lt-LT"/>
        </w:rPr>
        <w:t>vertė</w:t>
      </w:r>
      <w:r w:rsidRPr="0065344A">
        <w:rPr>
          <w:i/>
          <w:iCs/>
          <w:lang w:val="lt-LT" w:eastAsia="lt-LT"/>
        </w:rPr>
        <w:t xml:space="preserve"> </w:t>
      </w:r>
      <w:r w:rsidRPr="0065344A">
        <w:rPr>
          <w:lang w:val="lt-LT" w:eastAsia="lt-LT"/>
        </w:rPr>
        <w:t>to</w:t>
      </w:r>
      <w:r w:rsidRPr="0065344A">
        <w:rPr>
          <w:i/>
          <w:iCs/>
          <w:lang w:val="lt-LT" w:eastAsia="lt-LT"/>
        </w:rPr>
        <w:t xml:space="preserve"> </w:t>
      </w:r>
      <w:r w:rsidRPr="0065344A">
        <w:rPr>
          <w:lang w:val="lt-LT" w:eastAsia="lt-LT"/>
        </w:rPr>
        <w:t>turto</w:t>
      </w:r>
      <w:r w:rsidRPr="0065344A">
        <w:rPr>
          <w:i/>
          <w:iCs/>
          <w:lang w:val="lt-LT" w:eastAsia="lt-LT"/>
        </w:rPr>
        <w:t xml:space="preserve"> </w:t>
      </w:r>
      <w:r w:rsidRPr="0065344A">
        <w:rPr>
          <w:lang w:val="lt-LT" w:eastAsia="lt-LT"/>
        </w:rPr>
        <w:t>įsigijimo</w:t>
      </w:r>
      <w:r w:rsidRPr="0065344A">
        <w:rPr>
          <w:i/>
          <w:iCs/>
          <w:lang w:val="lt-LT" w:eastAsia="lt-LT"/>
        </w:rPr>
        <w:t xml:space="preserve"> </w:t>
      </w:r>
      <w:r w:rsidRPr="0065344A">
        <w:rPr>
          <w:lang w:val="lt-LT" w:eastAsia="lt-LT"/>
        </w:rPr>
        <w:t>datą</w:t>
      </w:r>
      <w:r w:rsidRPr="0065344A">
        <w:rPr>
          <w:i/>
          <w:iCs/>
          <w:lang w:val="lt-LT" w:eastAsia="lt-LT"/>
        </w:rPr>
        <w:t xml:space="preserve"> </w:t>
      </w:r>
      <w:r w:rsidRPr="0065344A">
        <w:rPr>
          <w:lang w:val="lt-LT" w:eastAsia="lt-LT"/>
        </w:rPr>
        <w:t>(2017</w:t>
      </w:r>
      <w:r w:rsidRPr="0065344A">
        <w:rPr>
          <w:i/>
          <w:iCs/>
          <w:lang w:val="lt-LT" w:eastAsia="lt-LT"/>
        </w:rPr>
        <w:t xml:space="preserve"> </w:t>
      </w:r>
      <w:r w:rsidRPr="0065344A">
        <w:rPr>
          <w:lang w:val="lt-LT" w:eastAsia="lt-LT"/>
        </w:rPr>
        <w:t>m.</w:t>
      </w:r>
      <w:r w:rsidRPr="0065344A">
        <w:rPr>
          <w:i/>
          <w:iCs/>
          <w:lang w:val="lt-LT" w:eastAsia="lt-LT"/>
        </w:rPr>
        <w:t xml:space="preserve"> </w:t>
      </w:r>
      <w:r w:rsidRPr="0065344A">
        <w:rPr>
          <w:lang w:val="lt-LT" w:eastAsia="lt-LT"/>
        </w:rPr>
        <w:t>kovo</w:t>
      </w:r>
      <w:r w:rsidRPr="0065344A">
        <w:rPr>
          <w:i/>
          <w:iCs/>
          <w:lang w:val="lt-LT" w:eastAsia="lt-LT"/>
        </w:rPr>
        <w:t xml:space="preserve"> </w:t>
      </w:r>
      <w:r w:rsidRPr="0065344A">
        <w:rPr>
          <w:lang w:val="lt-LT" w:eastAsia="lt-LT"/>
        </w:rPr>
        <w:t>27</w:t>
      </w:r>
      <w:r w:rsidRPr="0065344A">
        <w:rPr>
          <w:i/>
          <w:iCs/>
          <w:lang w:val="lt-LT" w:eastAsia="lt-LT"/>
        </w:rPr>
        <w:t xml:space="preserve"> </w:t>
      </w:r>
      <w:r w:rsidRPr="0065344A">
        <w:rPr>
          <w:lang w:val="lt-LT" w:eastAsia="lt-LT"/>
        </w:rPr>
        <w:t>d.)</w:t>
      </w:r>
      <w:r w:rsidRPr="0065344A">
        <w:rPr>
          <w:i/>
          <w:iCs/>
          <w:lang w:val="lt-LT" w:eastAsia="lt-LT"/>
        </w:rPr>
        <w:t xml:space="preserve"> </w:t>
      </w:r>
      <w:r w:rsidRPr="0065344A">
        <w:rPr>
          <w:lang w:val="lt-LT" w:eastAsia="lt-LT"/>
        </w:rPr>
        <w:t>sudarė</w:t>
      </w:r>
      <w:r w:rsidRPr="0065344A">
        <w:rPr>
          <w:i/>
          <w:iCs/>
          <w:lang w:val="lt-LT" w:eastAsia="lt-LT"/>
        </w:rPr>
        <w:t xml:space="preserve"> </w:t>
      </w:r>
      <w:r w:rsidRPr="0065344A">
        <w:rPr>
          <w:lang w:val="lt-LT" w:eastAsia="lt-LT"/>
        </w:rPr>
        <w:t>2</w:t>
      </w:r>
      <w:r w:rsidRPr="0065344A">
        <w:rPr>
          <w:i/>
          <w:iCs/>
          <w:lang w:val="lt-LT" w:eastAsia="lt-LT"/>
        </w:rPr>
        <w:t xml:space="preserve"> </w:t>
      </w:r>
      <w:r w:rsidRPr="0065344A">
        <w:rPr>
          <w:lang w:val="lt-LT" w:eastAsia="lt-LT"/>
        </w:rPr>
        <w:t xml:space="preserve">mln. </w:t>
      </w:r>
      <w:r>
        <w:rPr>
          <w:lang w:eastAsia="lt-LT"/>
        </w:rPr>
        <w:t>Eur.</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vertę</w:t>
      </w:r>
      <w:r>
        <w:rPr>
          <w:i/>
          <w:iCs/>
          <w:lang w:eastAsia="lt-LT"/>
        </w:rPr>
        <w:t xml:space="preserve"> </w:t>
      </w:r>
      <w:r>
        <w:rPr>
          <w:lang w:eastAsia="lt-LT"/>
        </w:rPr>
        <w:t>viršijančią</w:t>
      </w:r>
      <w:r>
        <w:rPr>
          <w:i/>
          <w:iCs/>
          <w:lang w:eastAsia="lt-LT"/>
        </w:rPr>
        <w:t xml:space="preserve"> </w:t>
      </w:r>
      <w:r>
        <w:rPr>
          <w:lang w:eastAsia="lt-LT"/>
        </w:rPr>
        <w:t>200</w:t>
      </w:r>
      <w:r>
        <w:rPr>
          <w:i/>
          <w:iCs/>
          <w:lang w:eastAsia="lt-LT"/>
        </w:rPr>
        <w:t xml:space="preserve"> </w:t>
      </w:r>
      <w:r>
        <w:rPr>
          <w:lang w:eastAsia="lt-LT"/>
        </w:rPr>
        <w:t>000</w:t>
      </w:r>
      <w:r>
        <w:rPr>
          <w:i/>
          <w:iCs/>
          <w:lang w:eastAsia="lt-LT"/>
        </w:rPr>
        <w:t xml:space="preserve"> </w:t>
      </w:r>
      <w:r>
        <w:rPr>
          <w:iCs/>
          <w:lang w:eastAsia="lt-LT"/>
        </w:rPr>
        <w:t>Eur</w:t>
      </w:r>
      <w:r>
        <w:rPr>
          <w:i/>
          <w:iCs/>
          <w:lang w:eastAsia="lt-LT"/>
        </w:rPr>
        <w:t xml:space="preserve"> </w:t>
      </w:r>
      <w:r>
        <w:rPr>
          <w:lang w:eastAsia="lt-LT"/>
        </w:rPr>
        <w:t>sumą</w:t>
      </w:r>
      <w:r>
        <w:rPr>
          <w:i/>
          <w:iCs/>
          <w:lang w:eastAsia="lt-LT"/>
        </w:rPr>
        <w:t xml:space="preserve"> </w:t>
      </w:r>
      <w:r>
        <w:rPr>
          <w:lang w:eastAsia="lt-LT"/>
        </w:rPr>
        <w:t>vienetas</w:t>
      </w:r>
      <w:r>
        <w:rPr>
          <w:i/>
          <w:iCs/>
          <w:lang w:eastAsia="lt-LT"/>
        </w:rPr>
        <w:t xml:space="preserve"> </w:t>
      </w:r>
      <w:r>
        <w:rPr>
          <w:lang w:eastAsia="lt-LT"/>
        </w:rPr>
        <w:t>B</w:t>
      </w:r>
      <w:r>
        <w:rPr>
          <w:i/>
          <w:iCs/>
          <w:lang w:eastAsia="lt-LT"/>
        </w:rPr>
        <w:t xml:space="preserve"> </w:t>
      </w:r>
      <w:r>
        <w:rPr>
          <w:lang w:eastAsia="lt-LT"/>
        </w:rPr>
        <w:t>pripažino</w:t>
      </w:r>
      <w:r>
        <w:rPr>
          <w:i/>
          <w:iCs/>
          <w:lang w:eastAsia="lt-LT"/>
        </w:rPr>
        <w:t xml:space="preserve"> </w:t>
      </w:r>
      <w:r>
        <w:rPr>
          <w:lang w:eastAsia="lt-LT"/>
        </w:rPr>
        <w:t>prestižo verte.</w:t>
      </w:r>
      <w:r>
        <w:rPr>
          <w:i/>
          <w:iCs/>
          <w:lang w:eastAsia="lt-LT"/>
        </w:rPr>
        <w:t xml:space="preserve"> </w:t>
      </w:r>
      <w:r>
        <w:rPr>
          <w:lang w:eastAsia="lt-LT"/>
        </w:rPr>
        <w:t>Vienetas</w:t>
      </w:r>
      <w:r>
        <w:rPr>
          <w:i/>
          <w:iCs/>
          <w:lang w:eastAsia="lt-LT"/>
        </w:rPr>
        <w:t xml:space="preserve"> </w:t>
      </w:r>
      <w:r>
        <w:rPr>
          <w:lang w:eastAsia="lt-LT"/>
        </w:rPr>
        <w:t>B,</w:t>
      </w:r>
      <w:r>
        <w:rPr>
          <w:i/>
          <w:iCs/>
          <w:lang w:eastAsia="lt-LT"/>
        </w:rPr>
        <w:t xml:space="preserve"> </w:t>
      </w:r>
      <w:r>
        <w:rPr>
          <w:lang w:eastAsia="lt-LT"/>
        </w:rPr>
        <w:t>apskaičiuodamas</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prestiž</w:t>
      </w:r>
      <w:r>
        <w:rPr>
          <w:iCs/>
          <w:lang w:eastAsia="lt-LT"/>
        </w:rPr>
        <w:t>o</w:t>
      </w:r>
      <w:r>
        <w:rPr>
          <w:i/>
          <w:iCs/>
          <w:lang w:eastAsia="lt-LT"/>
        </w:rPr>
        <w:t xml:space="preserve"> </w:t>
      </w:r>
      <w:r>
        <w:rPr>
          <w:iCs/>
          <w:lang w:eastAsia="lt-LT"/>
        </w:rPr>
        <w:t>vertę</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taikydamas</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229B4997" w14:textId="77777777" w:rsidR="00093845" w:rsidRDefault="000D779E">
      <w:pPr>
        <w:spacing w:before="100" w:beforeAutospacing="1" w:after="100" w:afterAutospacing="1"/>
        <w:jc w:val="both"/>
        <w:rPr>
          <w:lang w:eastAsia="lt-LT"/>
        </w:rPr>
      </w:pPr>
      <w:r>
        <w:rPr>
          <w:lang w:eastAsia="lt-LT"/>
        </w:rPr>
        <w:t xml:space="preserve">         </w:t>
      </w:r>
      <w:r>
        <w:rPr>
          <w:bCs/>
          <w:lang w:eastAsia="lt-LT"/>
        </w:rPr>
        <w:t>2</w:t>
      </w:r>
      <w:r>
        <w:rPr>
          <w:bCs/>
          <w:i/>
          <w:iCs/>
          <w:lang w:eastAsia="lt-LT"/>
        </w:rPr>
        <w:t xml:space="preserve"> </w:t>
      </w:r>
      <w:r>
        <w:rPr>
          <w:bCs/>
          <w:lang w:eastAsia="lt-LT"/>
        </w:rPr>
        <w:t>pavyzdys</w:t>
      </w:r>
      <w:r>
        <w:rPr>
          <w:lang w:eastAsia="lt-LT"/>
        </w:rPr>
        <w:t> </w:t>
      </w:r>
    </w:p>
    <w:p w14:paraId="3A62E805"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UAB</w:t>
      </w:r>
      <w:r>
        <w:rPr>
          <w:i/>
          <w:iCs/>
          <w:lang w:eastAsia="lt-LT"/>
        </w:rPr>
        <w:t xml:space="preserve"> „</w:t>
      </w:r>
      <w:r>
        <w:rPr>
          <w:lang w:eastAsia="lt-LT"/>
        </w:rPr>
        <w:t>A</w:t>
      </w:r>
      <w:r>
        <w:rPr>
          <w:i/>
          <w:iCs/>
          <w:lang w:eastAsia="lt-LT"/>
        </w:rPr>
        <w:t xml:space="preserve">“ </w:t>
      </w:r>
      <w:r>
        <w:rPr>
          <w:lang w:eastAsia="lt-LT"/>
        </w:rPr>
        <w:t>iš</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kurios</w:t>
      </w:r>
      <w:r>
        <w:rPr>
          <w:i/>
          <w:iCs/>
          <w:lang w:eastAsia="lt-LT"/>
        </w:rPr>
        <w:t xml:space="preserve"> </w:t>
      </w:r>
      <w:r>
        <w:rPr>
          <w:lang w:eastAsia="lt-LT"/>
        </w:rPr>
        <w:t>veikla</w:t>
      </w:r>
      <w:r>
        <w:rPr>
          <w:i/>
          <w:iCs/>
          <w:lang w:eastAsia="lt-LT"/>
        </w:rPr>
        <w:t xml:space="preserve"> </w:t>
      </w:r>
      <w:r>
        <w:rPr>
          <w:lang w:eastAsia="lt-LT"/>
        </w:rPr>
        <w:t>didmeninė</w:t>
      </w:r>
      <w:r>
        <w:rPr>
          <w:i/>
          <w:iCs/>
          <w:lang w:eastAsia="lt-LT"/>
        </w:rPr>
        <w:t xml:space="preserve"> </w:t>
      </w:r>
      <w:r>
        <w:rPr>
          <w:lang w:eastAsia="lt-LT"/>
        </w:rPr>
        <w:t>prekyba,</w:t>
      </w:r>
      <w:r>
        <w:rPr>
          <w:i/>
          <w:iCs/>
          <w:lang w:eastAsia="lt-LT"/>
        </w:rPr>
        <w:t xml:space="preserve"> </w:t>
      </w:r>
      <w:r>
        <w:rPr>
          <w:lang w:eastAsia="lt-LT"/>
        </w:rPr>
        <w:t>įsigijo</w:t>
      </w:r>
      <w:r>
        <w:rPr>
          <w:i/>
          <w:iCs/>
          <w:lang w:eastAsia="lt-LT"/>
        </w:rPr>
        <w:t xml:space="preserve"> </w:t>
      </w:r>
      <w:r>
        <w:rPr>
          <w:lang w:eastAsia="lt-LT"/>
        </w:rPr>
        <w:t>atskirą</w:t>
      </w:r>
      <w:r>
        <w:rPr>
          <w:i/>
          <w:iCs/>
          <w:lang w:eastAsia="lt-LT"/>
        </w:rPr>
        <w:t xml:space="preserve"> </w:t>
      </w:r>
      <w:r>
        <w:rPr>
          <w:lang w:eastAsia="lt-LT"/>
        </w:rPr>
        <w:t>jos</w:t>
      </w:r>
      <w:r>
        <w:rPr>
          <w:i/>
          <w:iCs/>
          <w:lang w:eastAsia="lt-LT"/>
        </w:rPr>
        <w:t xml:space="preserve"> </w:t>
      </w:r>
      <w:r>
        <w:rPr>
          <w:lang w:eastAsia="lt-LT"/>
        </w:rPr>
        <w:t>veiklos</w:t>
      </w:r>
      <w:r>
        <w:rPr>
          <w:i/>
          <w:iCs/>
          <w:lang w:eastAsia="lt-LT"/>
        </w:rPr>
        <w:t xml:space="preserve"> </w:t>
      </w:r>
      <w:r>
        <w:rPr>
          <w:lang w:eastAsia="lt-LT"/>
        </w:rPr>
        <w:t>rūšį</w:t>
      </w:r>
      <w:r>
        <w:rPr>
          <w:i/>
          <w:iCs/>
          <w:lang w:eastAsia="lt-LT"/>
        </w:rPr>
        <w:t xml:space="preserve"> </w:t>
      </w:r>
      <w:r>
        <w:rPr>
          <w:lang w:eastAsia="lt-LT"/>
        </w:rPr>
        <w:t>–</w:t>
      </w:r>
      <w:r>
        <w:rPr>
          <w:i/>
          <w:iCs/>
          <w:lang w:eastAsia="lt-LT"/>
        </w:rPr>
        <w:t xml:space="preserve"> </w:t>
      </w:r>
      <w:r>
        <w:rPr>
          <w:lang w:eastAsia="lt-LT"/>
        </w:rPr>
        <w:t>prekybą</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veiklos</w:t>
      </w:r>
      <w:r>
        <w:rPr>
          <w:i/>
          <w:iCs/>
          <w:lang w:eastAsia="lt-LT"/>
        </w:rPr>
        <w:t xml:space="preserve"> </w:t>
      </w:r>
      <w:r>
        <w:rPr>
          <w:lang w:eastAsia="lt-LT"/>
        </w:rPr>
        <w:t>dalis</w:t>
      </w:r>
      <w:r>
        <w:rPr>
          <w:i/>
          <w:iCs/>
          <w:lang w:eastAsia="lt-LT"/>
        </w:rPr>
        <w:t xml:space="preserve"> </w:t>
      </w:r>
      <w:r>
        <w:rPr>
          <w:lang w:eastAsia="lt-LT"/>
        </w:rPr>
        <w:t>(prekyba</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buvo</w:t>
      </w:r>
      <w:r>
        <w:rPr>
          <w:i/>
          <w:iCs/>
          <w:lang w:eastAsia="lt-LT"/>
        </w:rPr>
        <w:t xml:space="preserve"> </w:t>
      </w:r>
      <w:r>
        <w:rPr>
          <w:lang w:eastAsia="lt-LT"/>
        </w:rPr>
        <w:t>atskira</w:t>
      </w:r>
      <w:r>
        <w:rPr>
          <w:i/>
          <w:iCs/>
          <w:lang w:eastAsia="lt-LT"/>
        </w:rPr>
        <w:t xml:space="preserve"> </w:t>
      </w:r>
      <w:r>
        <w:rPr>
          <w:lang w:eastAsia="lt-LT"/>
        </w:rPr>
        <w:t>jos</w:t>
      </w:r>
      <w:r>
        <w:rPr>
          <w:i/>
          <w:iCs/>
          <w:lang w:eastAsia="lt-LT"/>
        </w:rPr>
        <w:t xml:space="preserve"> </w:t>
      </w:r>
      <w:r>
        <w:rPr>
          <w:lang w:eastAsia="lt-LT"/>
        </w:rPr>
        <w:t>verslo</w:t>
      </w:r>
      <w:r>
        <w:rPr>
          <w:i/>
          <w:iCs/>
          <w:lang w:eastAsia="lt-LT"/>
        </w:rPr>
        <w:t xml:space="preserve"> </w:t>
      </w:r>
      <w:r>
        <w:rPr>
          <w:lang w:eastAsia="lt-LT"/>
        </w:rPr>
        <w:t>rūšis</w:t>
      </w:r>
      <w:r>
        <w:rPr>
          <w:i/>
          <w:iCs/>
          <w:lang w:eastAsia="lt-LT"/>
        </w:rPr>
        <w:t xml:space="preserve"> </w:t>
      </w:r>
      <w:r>
        <w:rPr>
          <w:lang w:eastAsia="lt-LT"/>
        </w:rPr>
        <w:t>(šiam</w:t>
      </w:r>
      <w:r>
        <w:rPr>
          <w:i/>
          <w:iCs/>
          <w:lang w:eastAsia="lt-LT"/>
        </w:rPr>
        <w:t xml:space="preserve"> </w:t>
      </w:r>
      <w:r>
        <w:rPr>
          <w:lang w:eastAsia="lt-LT"/>
        </w:rPr>
        <w:t>verslui</w:t>
      </w:r>
      <w:r>
        <w:rPr>
          <w:i/>
          <w:iCs/>
          <w:lang w:eastAsia="lt-LT"/>
        </w:rPr>
        <w:t xml:space="preserve"> </w:t>
      </w:r>
      <w:r>
        <w:rPr>
          <w:lang w:eastAsia="lt-LT"/>
        </w:rPr>
        <w:t>buvo</w:t>
      </w:r>
      <w:r>
        <w:rPr>
          <w:i/>
          <w:iCs/>
          <w:lang w:eastAsia="lt-LT"/>
        </w:rPr>
        <w:t xml:space="preserve"> </w:t>
      </w:r>
      <w:r>
        <w:rPr>
          <w:lang w:eastAsia="lt-LT"/>
        </w:rPr>
        <w:t>naudojamas</w:t>
      </w:r>
      <w:r>
        <w:rPr>
          <w:i/>
          <w:iCs/>
          <w:lang w:eastAsia="lt-LT"/>
        </w:rPr>
        <w:t xml:space="preserve"> </w:t>
      </w:r>
      <w:r>
        <w:rPr>
          <w:lang w:eastAsia="lt-LT"/>
        </w:rPr>
        <w:t>atskiras</w:t>
      </w:r>
      <w:r>
        <w:rPr>
          <w:i/>
          <w:iCs/>
          <w:lang w:eastAsia="lt-LT"/>
        </w:rPr>
        <w:t xml:space="preserve"> </w:t>
      </w:r>
      <w:r>
        <w:rPr>
          <w:lang w:eastAsia="lt-LT"/>
        </w:rPr>
        <w:t>ilgalaikis</w:t>
      </w:r>
      <w:r>
        <w:rPr>
          <w:i/>
          <w:iCs/>
          <w:lang w:eastAsia="lt-LT"/>
        </w:rPr>
        <w:t xml:space="preserve"> </w:t>
      </w:r>
      <w:r>
        <w:rPr>
          <w:lang w:eastAsia="lt-LT"/>
        </w:rPr>
        <w:t>turtas,</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atskira</w:t>
      </w:r>
      <w:r>
        <w:rPr>
          <w:i/>
          <w:iCs/>
          <w:lang w:eastAsia="lt-LT"/>
        </w:rPr>
        <w:t xml:space="preserve"> </w:t>
      </w:r>
      <w:r>
        <w:rPr>
          <w:lang w:eastAsia="lt-LT"/>
        </w:rPr>
        <w:t>rinka</w:t>
      </w:r>
      <w:r>
        <w:rPr>
          <w:i/>
          <w:iCs/>
          <w:lang w:eastAsia="lt-LT"/>
        </w:rPr>
        <w:t xml:space="preserve"> </w:t>
      </w:r>
      <w:r>
        <w:rPr>
          <w:lang w:eastAsia="lt-LT"/>
        </w:rPr>
        <w:t>–</w:t>
      </w:r>
      <w:r>
        <w:rPr>
          <w:i/>
          <w:iCs/>
          <w:lang w:eastAsia="lt-LT"/>
        </w:rPr>
        <w:t xml:space="preserve"> </w:t>
      </w:r>
      <w:r>
        <w:rPr>
          <w:lang w:eastAsia="lt-LT"/>
        </w:rPr>
        <w:t>tiekėjai</w:t>
      </w:r>
      <w:r>
        <w:rPr>
          <w:i/>
          <w:iCs/>
          <w:lang w:eastAsia="lt-LT"/>
        </w:rPr>
        <w:t xml:space="preserve"> </w:t>
      </w:r>
      <w:r>
        <w:rPr>
          <w:lang w:eastAsia="lt-LT"/>
        </w:rPr>
        <w:t>bei</w:t>
      </w:r>
      <w:r>
        <w:rPr>
          <w:i/>
          <w:iCs/>
          <w:lang w:eastAsia="lt-LT"/>
        </w:rPr>
        <w:t xml:space="preserve"> </w:t>
      </w:r>
      <w:r>
        <w:rPr>
          <w:lang w:eastAsia="lt-LT"/>
        </w:rPr>
        <w:t>pirkėjai).</w:t>
      </w:r>
      <w:r>
        <w:rPr>
          <w:i/>
          <w:iCs/>
          <w:lang w:eastAsia="lt-LT"/>
        </w:rPr>
        <w:t xml:space="preserve"> </w:t>
      </w:r>
      <w:r>
        <w:rPr>
          <w:lang w:eastAsia="lt-LT"/>
        </w:rPr>
        <w:t>Kadangi</w:t>
      </w:r>
      <w:r>
        <w:rPr>
          <w:i/>
          <w:iCs/>
          <w:lang w:eastAsia="lt-LT"/>
        </w:rPr>
        <w:t xml:space="preserve"> </w:t>
      </w:r>
      <w:r>
        <w:rPr>
          <w:lang w:eastAsia="lt-LT"/>
        </w:rPr>
        <w:t>prekyba</w:t>
      </w:r>
      <w:r>
        <w:rPr>
          <w:i/>
          <w:iCs/>
          <w:lang w:eastAsia="lt-LT"/>
        </w:rPr>
        <w:t xml:space="preserve"> </w:t>
      </w:r>
      <w:r>
        <w:rPr>
          <w:lang w:eastAsia="lt-LT"/>
        </w:rPr>
        <w:t>stomatologinėmis</w:t>
      </w:r>
      <w:r>
        <w:rPr>
          <w:i/>
          <w:iCs/>
          <w:lang w:eastAsia="lt-LT"/>
        </w:rPr>
        <w:t xml:space="preserve"> </w:t>
      </w:r>
      <w:r>
        <w:rPr>
          <w:lang w:eastAsia="lt-LT"/>
        </w:rPr>
        <w:t>medžiagomis</w:t>
      </w:r>
      <w:r>
        <w:rPr>
          <w:i/>
          <w:iCs/>
          <w:lang w:eastAsia="lt-LT"/>
        </w:rPr>
        <w:t xml:space="preserve"> </w:t>
      </w:r>
      <w:r>
        <w:rPr>
          <w:lang w:eastAsia="lt-LT"/>
        </w:rPr>
        <w:t>perspektyvus</w:t>
      </w:r>
      <w:r>
        <w:rPr>
          <w:i/>
          <w:iCs/>
          <w:lang w:eastAsia="lt-LT"/>
        </w:rPr>
        <w:t xml:space="preserve"> </w:t>
      </w:r>
      <w:r>
        <w:rPr>
          <w:lang w:eastAsia="lt-LT"/>
        </w:rPr>
        <w:t>verslas,</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įsigydama</w:t>
      </w:r>
      <w:r>
        <w:rPr>
          <w:i/>
          <w:iCs/>
          <w:lang w:eastAsia="lt-LT"/>
        </w:rPr>
        <w:t xml:space="preserve"> </w:t>
      </w:r>
      <w:r>
        <w:rPr>
          <w:lang w:eastAsia="lt-LT"/>
        </w:rPr>
        <w:t>šią</w:t>
      </w:r>
      <w:r>
        <w:rPr>
          <w:i/>
          <w:iCs/>
          <w:lang w:eastAsia="lt-LT"/>
        </w:rPr>
        <w:t xml:space="preserve"> </w:t>
      </w:r>
      <w:r>
        <w:rPr>
          <w:lang w:eastAsia="lt-LT"/>
        </w:rPr>
        <w:t>verslo</w:t>
      </w:r>
      <w:r>
        <w:rPr>
          <w:i/>
          <w:iCs/>
          <w:lang w:eastAsia="lt-LT"/>
        </w:rPr>
        <w:t xml:space="preserve"> </w:t>
      </w:r>
      <w:r>
        <w:rPr>
          <w:lang w:eastAsia="lt-LT"/>
        </w:rPr>
        <w:t>rūšį,</w:t>
      </w:r>
      <w:r>
        <w:rPr>
          <w:i/>
          <w:iCs/>
          <w:lang w:eastAsia="lt-LT"/>
        </w:rPr>
        <w:t xml:space="preserve"> </w:t>
      </w:r>
      <w:r>
        <w:rPr>
          <w:lang w:eastAsia="lt-LT"/>
        </w:rPr>
        <w:t>tikėjosi</w:t>
      </w:r>
      <w:r>
        <w:rPr>
          <w:i/>
          <w:iCs/>
          <w:lang w:eastAsia="lt-LT"/>
        </w:rPr>
        <w:t xml:space="preserve"> </w:t>
      </w:r>
      <w:r>
        <w:rPr>
          <w:lang w:eastAsia="lt-LT"/>
        </w:rPr>
        <w:t>ekonominės</w:t>
      </w:r>
      <w:r>
        <w:rPr>
          <w:i/>
          <w:iCs/>
          <w:lang w:eastAsia="lt-LT"/>
        </w:rPr>
        <w:t xml:space="preserve"> </w:t>
      </w:r>
      <w:r>
        <w:rPr>
          <w:lang w:eastAsia="lt-LT"/>
        </w:rPr>
        <w:t>naudos.</w:t>
      </w:r>
      <w:r>
        <w:rPr>
          <w:i/>
          <w:iCs/>
          <w:lang w:eastAsia="lt-LT"/>
        </w:rPr>
        <w:t xml:space="preserve"> </w:t>
      </w:r>
      <w:r>
        <w:rPr>
          <w:lang w:eastAsia="lt-LT"/>
        </w:rPr>
        <w:t>Pagal</w:t>
      </w:r>
      <w:r>
        <w:rPr>
          <w:i/>
          <w:iCs/>
          <w:lang w:eastAsia="lt-LT"/>
        </w:rPr>
        <w:t xml:space="preserve"> </w:t>
      </w:r>
      <w:r>
        <w:rPr>
          <w:lang w:eastAsia="lt-LT"/>
        </w:rPr>
        <w:t>sudarytą</w:t>
      </w:r>
      <w:r>
        <w:rPr>
          <w:i/>
          <w:iCs/>
          <w:lang w:eastAsia="lt-LT"/>
        </w:rPr>
        <w:t xml:space="preserve"> </w:t>
      </w:r>
      <w:r>
        <w:rPr>
          <w:lang w:eastAsia="lt-LT"/>
        </w:rPr>
        <w:t>pirkimo</w:t>
      </w:r>
      <w:r>
        <w:rPr>
          <w:i/>
          <w:iCs/>
          <w:lang w:eastAsia="lt-LT"/>
        </w:rPr>
        <w:t xml:space="preserve"> </w:t>
      </w:r>
      <w:r>
        <w:rPr>
          <w:lang w:eastAsia="lt-LT"/>
        </w:rPr>
        <w:t>–</w:t>
      </w:r>
      <w:r>
        <w:rPr>
          <w:i/>
          <w:iCs/>
          <w:lang w:eastAsia="lt-LT"/>
        </w:rPr>
        <w:t xml:space="preserve"> </w:t>
      </w:r>
      <w:r>
        <w:rPr>
          <w:lang w:eastAsia="lt-LT"/>
        </w:rPr>
        <w:t>pardavimo</w:t>
      </w:r>
      <w:r>
        <w:rPr>
          <w:i/>
          <w:iCs/>
          <w:lang w:eastAsia="lt-LT"/>
        </w:rPr>
        <w:t xml:space="preserve"> </w:t>
      </w:r>
      <w:r>
        <w:rPr>
          <w:lang w:eastAsia="lt-LT"/>
        </w:rPr>
        <w:t>sutartį</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20</w:t>
      </w:r>
      <w:r>
        <w:rPr>
          <w:iCs/>
          <w:lang w:eastAsia="lt-LT"/>
        </w:rPr>
        <w:t>17</w:t>
      </w:r>
      <w:r>
        <w:rPr>
          <w:lang w:eastAsia="lt-LT"/>
        </w:rPr>
        <w:t>m.</w:t>
      </w:r>
      <w:r>
        <w:rPr>
          <w:i/>
          <w:iCs/>
          <w:lang w:eastAsia="lt-LT"/>
        </w:rPr>
        <w:t xml:space="preserve"> </w:t>
      </w:r>
      <w:r>
        <w:rPr>
          <w:lang w:eastAsia="lt-LT"/>
        </w:rPr>
        <w:t>kovo</w:t>
      </w:r>
      <w:r>
        <w:rPr>
          <w:i/>
          <w:iCs/>
          <w:lang w:eastAsia="lt-LT"/>
        </w:rPr>
        <w:t xml:space="preserve"> </w:t>
      </w:r>
      <w:r>
        <w:rPr>
          <w:lang w:eastAsia="lt-LT"/>
        </w:rPr>
        <w:t>20</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visą</w:t>
      </w:r>
      <w:r>
        <w:rPr>
          <w:i/>
          <w:iCs/>
          <w:lang w:eastAsia="lt-LT"/>
        </w:rPr>
        <w:t xml:space="preserve"> </w:t>
      </w:r>
      <w:r>
        <w:rPr>
          <w:lang w:eastAsia="lt-LT"/>
        </w:rPr>
        <w:t>su</w:t>
      </w:r>
      <w:r>
        <w:rPr>
          <w:i/>
          <w:iCs/>
          <w:lang w:eastAsia="lt-LT"/>
        </w:rPr>
        <w:t xml:space="preserve"> </w:t>
      </w:r>
      <w:r>
        <w:rPr>
          <w:lang w:eastAsia="lt-LT"/>
        </w:rPr>
        <w:t>šiuo</w:t>
      </w:r>
      <w:r>
        <w:rPr>
          <w:i/>
          <w:iCs/>
          <w:lang w:eastAsia="lt-LT"/>
        </w:rPr>
        <w:t xml:space="preserve"> </w:t>
      </w:r>
      <w:r>
        <w:rPr>
          <w:lang w:eastAsia="lt-LT"/>
        </w:rPr>
        <w:t>verslu</w:t>
      </w:r>
      <w:r>
        <w:rPr>
          <w:i/>
          <w:iCs/>
          <w:lang w:eastAsia="lt-LT"/>
        </w:rPr>
        <w:t xml:space="preserve"> </w:t>
      </w:r>
      <w:r>
        <w:rPr>
          <w:lang w:eastAsia="lt-LT"/>
        </w:rPr>
        <w:t>susijusį</w:t>
      </w:r>
      <w:r>
        <w:rPr>
          <w:i/>
          <w:iCs/>
          <w:lang w:eastAsia="lt-LT"/>
        </w:rPr>
        <w:t xml:space="preserve"> </w:t>
      </w:r>
      <w:r>
        <w:rPr>
          <w:lang w:eastAsia="lt-LT"/>
        </w:rPr>
        <w:t>ilgalaikį</w:t>
      </w:r>
      <w:r>
        <w:rPr>
          <w:i/>
          <w:iCs/>
          <w:lang w:eastAsia="lt-LT"/>
        </w:rPr>
        <w:t xml:space="preserve"> </w:t>
      </w:r>
      <w:r>
        <w:rPr>
          <w:lang w:eastAsia="lt-LT"/>
        </w:rPr>
        <w:t>ir</w:t>
      </w:r>
      <w:r>
        <w:rPr>
          <w:i/>
          <w:iCs/>
          <w:lang w:eastAsia="lt-LT"/>
        </w:rPr>
        <w:t xml:space="preserve"> </w:t>
      </w:r>
      <w:r>
        <w:rPr>
          <w:lang w:eastAsia="lt-LT"/>
        </w:rPr>
        <w:t>trumpalaikį</w:t>
      </w:r>
      <w:r>
        <w:rPr>
          <w:i/>
          <w:iCs/>
          <w:lang w:eastAsia="lt-LT"/>
        </w:rPr>
        <w:t xml:space="preserve"> </w:t>
      </w:r>
      <w:r>
        <w:rPr>
          <w:lang w:eastAsia="lt-LT"/>
        </w:rPr>
        <w:t>turtą</w:t>
      </w:r>
      <w:r>
        <w:rPr>
          <w:i/>
          <w:iCs/>
          <w:lang w:eastAsia="lt-LT"/>
        </w:rPr>
        <w:t xml:space="preserve"> </w:t>
      </w:r>
      <w:r>
        <w:rPr>
          <w:lang w:eastAsia="lt-LT"/>
        </w:rPr>
        <w:t>(prekes),</w:t>
      </w:r>
      <w:r>
        <w:rPr>
          <w:i/>
          <w:iCs/>
          <w:lang w:eastAsia="lt-LT"/>
        </w:rPr>
        <w:t xml:space="preserve"> </w:t>
      </w:r>
      <w:r>
        <w:rPr>
          <w:lang w:eastAsia="lt-LT"/>
        </w:rPr>
        <w:t>intelektinę</w:t>
      </w:r>
      <w:r>
        <w:rPr>
          <w:i/>
          <w:iCs/>
          <w:lang w:eastAsia="lt-LT"/>
        </w:rPr>
        <w:t xml:space="preserve"> </w:t>
      </w:r>
      <w:r>
        <w:rPr>
          <w:lang w:eastAsia="lt-LT"/>
        </w:rPr>
        <w:t>nuosavybę,</w:t>
      </w:r>
      <w:r>
        <w:rPr>
          <w:i/>
          <w:iCs/>
          <w:lang w:eastAsia="lt-LT"/>
        </w:rPr>
        <w:t xml:space="preserve"> </w:t>
      </w:r>
      <w:r>
        <w:rPr>
          <w:lang w:eastAsia="lt-LT"/>
        </w:rPr>
        <w:t>perėmė</w:t>
      </w:r>
      <w:r>
        <w:rPr>
          <w:i/>
          <w:iCs/>
          <w:lang w:eastAsia="lt-LT"/>
        </w:rPr>
        <w:t xml:space="preserve"> </w:t>
      </w:r>
      <w:r>
        <w:rPr>
          <w:lang w:eastAsia="lt-LT"/>
        </w:rPr>
        <w:t>sutartis</w:t>
      </w:r>
      <w:r>
        <w:rPr>
          <w:i/>
          <w:iCs/>
          <w:lang w:eastAsia="lt-LT"/>
        </w:rPr>
        <w:t xml:space="preserve"> </w:t>
      </w:r>
      <w:r>
        <w:rPr>
          <w:lang w:eastAsia="lt-LT"/>
        </w:rPr>
        <w:t>su</w:t>
      </w:r>
      <w:r>
        <w:rPr>
          <w:i/>
          <w:iCs/>
          <w:lang w:eastAsia="lt-LT"/>
        </w:rPr>
        <w:t xml:space="preserve"> </w:t>
      </w:r>
      <w:r>
        <w:rPr>
          <w:lang w:eastAsia="lt-LT"/>
        </w:rPr>
        <w:t>klientais</w:t>
      </w:r>
      <w:r>
        <w:rPr>
          <w:i/>
          <w:iCs/>
          <w:lang w:eastAsia="lt-LT"/>
        </w:rPr>
        <w:t xml:space="preserve"> </w:t>
      </w:r>
      <w:r>
        <w:rPr>
          <w:lang w:eastAsia="lt-LT"/>
        </w:rPr>
        <w:t>ir</w:t>
      </w:r>
      <w:r>
        <w:rPr>
          <w:i/>
          <w:iCs/>
          <w:lang w:eastAsia="lt-LT"/>
        </w:rPr>
        <w:t xml:space="preserve"> </w:t>
      </w:r>
      <w:r>
        <w:rPr>
          <w:lang w:eastAsia="lt-LT"/>
        </w:rPr>
        <w:t>sumokėjo</w:t>
      </w:r>
      <w:r>
        <w:rPr>
          <w:i/>
          <w:iCs/>
          <w:lang w:eastAsia="lt-LT"/>
        </w:rPr>
        <w:t xml:space="preserve"> </w:t>
      </w:r>
      <w:r>
        <w:rPr>
          <w:lang w:eastAsia="lt-LT"/>
        </w:rPr>
        <w:t>800</w:t>
      </w:r>
      <w:r>
        <w:rPr>
          <w:i/>
          <w:iCs/>
          <w:lang w:eastAsia="lt-LT"/>
        </w:rPr>
        <w:t> </w:t>
      </w:r>
      <w:r>
        <w:rPr>
          <w:lang w:eastAsia="lt-LT"/>
        </w:rPr>
        <w:t>000 Eur,</w:t>
      </w:r>
      <w:r>
        <w:rPr>
          <w:i/>
          <w:iCs/>
          <w:lang w:eastAsia="lt-LT"/>
        </w:rPr>
        <w:t xml:space="preserve"> </w:t>
      </w:r>
      <w:r>
        <w:rPr>
          <w:lang w:eastAsia="lt-LT"/>
        </w:rPr>
        <w:t>kuriuos</w:t>
      </w:r>
      <w:r>
        <w:rPr>
          <w:i/>
          <w:iCs/>
          <w:lang w:eastAsia="lt-LT"/>
        </w:rPr>
        <w:t xml:space="preserve"> </w:t>
      </w:r>
      <w:r>
        <w:rPr>
          <w:lang w:eastAsia="lt-LT"/>
        </w:rPr>
        <w:t>pervedė</w:t>
      </w:r>
      <w:r>
        <w:rPr>
          <w:i/>
          <w:iCs/>
          <w:lang w:eastAsia="lt-LT"/>
        </w:rPr>
        <w:t xml:space="preserve"> </w:t>
      </w:r>
      <w:r>
        <w:rPr>
          <w:lang w:eastAsia="lt-LT"/>
        </w:rPr>
        <w:t>į</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banko</w:t>
      </w:r>
      <w:r>
        <w:rPr>
          <w:i/>
          <w:iCs/>
          <w:lang w:eastAsia="lt-LT"/>
        </w:rPr>
        <w:t xml:space="preserve"> </w:t>
      </w:r>
      <w:r>
        <w:rPr>
          <w:lang w:eastAsia="lt-LT"/>
        </w:rPr>
        <w:t>sąskaitą.</w:t>
      </w:r>
      <w:r>
        <w:rPr>
          <w:i/>
          <w:iCs/>
          <w:lang w:eastAsia="lt-LT"/>
        </w:rPr>
        <w:t xml:space="preserve"> </w:t>
      </w:r>
      <w:r>
        <w:rPr>
          <w:lang w:eastAsia="lt-LT"/>
        </w:rPr>
        <w:t>Iš</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perimto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(turto</w:t>
      </w:r>
      <w:r>
        <w:rPr>
          <w:i/>
          <w:iCs/>
          <w:lang w:eastAsia="lt-LT"/>
        </w:rPr>
        <w:t xml:space="preserve"> </w:t>
      </w:r>
      <w:r>
        <w:rPr>
          <w:lang w:eastAsia="lt-LT"/>
        </w:rPr>
        <w:t>ir</w:t>
      </w:r>
      <w:r>
        <w:rPr>
          <w:i/>
          <w:iCs/>
          <w:lang w:eastAsia="lt-LT"/>
        </w:rPr>
        <w:t xml:space="preserve"> </w:t>
      </w:r>
      <w:r>
        <w:rPr>
          <w:lang w:eastAsia="lt-LT"/>
        </w:rPr>
        <w:t>įsipareigojimų</w:t>
      </w:r>
      <w:r>
        <w:rPr>
          <w:i/>
          <w:iCs/>
          <w:lang w:eastAsia="lt-LT"/>
        </w:rPr>
        <w:t xml:space="preserve"> </w:t>
      </w:r>
      <w:r>
        <w:rPr>
          <w:lang w:eastAsia="lt-LT"/>
        </w:rPr>
        <w:t>skirtumas),</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to</w:t>
      </w:r>
      <w:r>
        <w:rPr>
          <w:i/>
          <w:iCs/>
          <w:lang w:eastAsia="lt-LT"/>
        </w:rPr>
        <w:t xml:space="preserve"> </w:t>
      </w:r>
      <w:r>
        <w:rPr>
          <w:lang w:eastAsia="lt-LT"/>
        </w:rPr>
        <w:t>turto</w:t>
      </w:r>
      <w:r>
        <w:rPr>
          <w:i/>
          <w:iCs/>
          <w:lang w:eastAsia="lt-LT"/>
        </w:rPr>
        <w:t xml:space="preserve"> </w:t>
      </w:r>
      <w:r>
        <w:rPr>
          <w:lang w:eastAsia="lt-LT"/>
        </w:rPr>
        <w:t>įsigijimo</w:t>
      </w:r>
      <w:r>
        <w:rPr>
          <w:i/>
          <w:iCs/>
          <w:lang w:eastAsia="lt-LT"/>
        </w:rPr>
        <w:t xml:space="preserve"> </w:t>
      </w:r>
      <w:r>
        <w:rPr>
          <w:lang w:eastAsia="lt-LT"/>
        </w:rPr>
        <w:t>datą</w:t>
      </w:r>
      <w:r>
        <w:rPr>
          <w:i/>
          <w:iCs/>
          <w:lang w:eastAsia="lt-LT"/>
        </w:rPr>
        <w:t xml:space="preserve"> </w:t>
      </w:r>
      <w:r>
        <w:rPr>
          <w:lang w:eastAsia="lt-LT"/>
        </w:rPr>
        <w:t>sudarė</w:t>
      </w:r>
      <w:r>
        <w:rPr>
          <w:i/>
          <w:iCs/>
          <w:lang w:eastAsia="lt-LT"/>
        </w:rPr>
        <w:t xml:space="preserve"> </w:t>
      </w:r>
      <w:r>
        <w:rPr>
          <w:lang w:eastAsia="lt-LT"/>
        </w:rPr>
        <w:t>500</w:t>
      </w:r>
      <w:r>
        <w:rPr>
          <w:i/>
          <w:iCs/>
          <w:lang w:eastAsia="lt-LT"/>
        </w:rPr>
        <w:t xml:space="preserve"> </w:t>
      </w:r>
      <w:r>
        <w:rPr>
          <w:lang w:eastAsia="lt-LT"/>
        </w:rPr>
        <w:t>000 Eur.</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vertę</w:t>
      </w:r>
      <w:r>
        <w:rPr>
          <w:i/>
          <w:iCs/>
          <w:lang w:eastAsia="lt-LT"/>
        </w:rPr>
        <w:t xml:space="preserve"> </w:t>
      </w:r>
      <w:r>
        <w:rPr>
          <w:lang w:eastAsia="lt-LT"/>
        </w:rPr>
        <w:t>viršijančią</w:t>
      </w:r>
      <w:r>
        <w:rPr>
          <w:i/>
          <w:iCs/>
          <w:lang w:eastAsia="lt-LT"/>
        </w:rPr>
        <w:t xml:space="preserve"> </w:t>
      </w:r>
      <w:r>
        <w:rPr>
          <w:lang w:eastAsia="lt-LT"/>
        </w:rPr>
        <w:t>300</w:t>
      </w:r>
      <w:r>
        <w:rPr>
          <w:i/>
          <w:iCs/>
          <w:lang w:eastAsia="lt-LT"/>
        </w:rPr>
        <w:t xml:space="preserve"> </w:t>
      </w:r>
      <w:r>
        <w:rPr>
          <w:lang w:eastAsia="lt-LT"/>
        </w:rPr>
        <w:t>000</w:t>
      </w:r>
      <w:r>
        <w:rPr>
          <w:i/>
          <w:iCs/>
          <w:lang w:eastAsia="lt-LT"/>
        </w:rPr>
        <w:t xml:space="preserve">  </w:t>
      </w:r>
      <w:r>
        <w:rPr>
          <w:iCs/>
          <w:lang w:eastAsia="lt-LT"/>
        </w:rPr>
        <w:t xml:space="preserve">Eur </w:t>
      </w:r>
      <w:r>
        <w:rPr>
          <w:lang w:eastAsia="lt-LT"/>
        </w:rPr>
        <w:t>sumą</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pripažino</w:t>
      </w:r>
      <w:r>
        <w:rPr>
          <w:i/>
          <w:iCs/>
          <w:lang w:eastAsia="lt-LT"/>
        </w:rPr>
        <w:t xml:space="preserve"> </w:t>
      </w:r>
      <w:r>
        <w:rPr>
          <w:lang w:eastAsia="lt-LT"/>
        </w:rPr>
        <w:t>prestižo.</w:t>
      </w:r>
      <w:r>
        <w:rPr>
          <w:i/>
          <w:iCs/>
          <w:strike/>
          <w:lang w:eastAsia="lt-LT"/>
        </w:rPr>
        <w:t xml:space="preserve"> </w:t>
      </w:r>
    </w:p>
    <w:p w14:paraId="7F6BCA3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300</w:t>
      </w:r>
      <w:r>
        <w:rPr>
          <w:i/>
          <w:iCs/>
          <w:lang w:eastAsia="lt-LT"/>
        </w:rPr>
        <w:t xml:space="preserve"> </w:t>
      </w:r>
      <w:r>
        <w:rPr>
          <w:lang w:eastAsia="lt-LT"/>
        </w:rPr>
        <w:t>000</w:t>
      </w:r>
      <w:r>
        <w:rPr>
          <w:i/>
          <w:iCs/>
          <w:lang w:eastAsia="lt-LT"/>
        </w:rPr>
        <w:t xml:space="preserve">  </w:t>
      </w:r>
      <w:r>
        <w:rPr>
          <w:iCs/>
          <w:lang w:eastAsia="lt-LT"/>
        </w:rPr>
        <w:t>Eur</w:t>
      </w:r>
      <w:r>
        <w:rPr>
          <w:i/>
          <w:iCs/>
          <w:lang w:eastAsia="lt-LT"/>
        </w:rPr>
        <w:t xml:space="preserve"> </w:t>
      </w:r>
      <w:r>
        <w:rPr>
          <w:lang w:eastAsia="lt-LT"/>
        </w:rPr>
        <w:t>dydžio</w:t>
      </w:r>
      <w:r>
        <w:rPr>
          <w:i/>
          <w:iCs/>
          <w:lang w:eastAsia="lt-LT"/>
        </w:rPr>
        <w:t xml:space="preserve"> </w:t>
      </w:r>
      <w:r>
        <w:rPr>
          <w:lang w:eastAsia="lt-LT"/>
        </w:rPr>
        <w:t>prestižo</w:t>
      </w:r>
      <w:r>
        <w:rPr>
          <w:i/>
          <w:iCs/>
          <w:lang w:eastAsia="lt-LT"/>
        </w:rPr>
        <w:t xml:space="preserve"> </w:t>
      </w:r>
      <w:r>
        <w:rPr>
          <w:iCs/>
          <w:lang w:eastAsia="lt-LT"/>
        </w:rPr>
        <w:t>vertę</w:t>
      </w:r>
      <w:r>
        <w:rPr>
          <w:i/>
          <w:iCs/>
          <w:lang w:eastAsia="lt-LT"/>
        </w:rPr>
        <w:t xml:space="preserve"> </w:t>
      </w:r>
      <w:r>
        <w:rPr>
          <w:lang w:eastAsia="lt-LT"/>
        </w:rPr>
        <w:t>(ilgalaikį</w:t>
      </w:r>
      <w:r>
        <w:rPr>
          <w:i/>
          <w:iCs/>
          <w:lang w:eastAsia="lt-LT"/>
        </w:rPr>
        <w:t xml:space="preserve"> </w:t>
      </w:r>
      <w:r>
        <w:rPr>
          <w:lang w:eastAsia="lt-LT"/>
        </w:rPr>
        <w:t>nematerialųjį</w:t>
      </w:r>
      <w:r>
        <w:rPr>
          <w:i/>
          <w:iCs/>
          <w:lang w:eastAsia="lt-LT"/>
        </w:rPr>
        <w:t xml:space="preserve"> </w:t>
      </w:r>
      <w:r>
        <w:rPr>
          <w:lang w:eastAsia="lt-LT"/>
        </w:rPr>
        <w:t>turtą)</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6539042E" w14:textId="77777777" w:rsidR="00093845" w:rsidRDefault="00390442">
      <w:pPr>
        <w:spacing w:before="100" w:beforeAutospacing="1" w:after="100" w:afterAutospacing="1"/>
        <w:jc w:val="both"/>
        <w:rPr>
          <w:lang w:eastAsia="lt-LT"/>
        </w:rPr>
      </w:pPr>
      <w:r>
        <w:rPr>
          <w:lang w:eastAsia="lt-LT"/>
        </w:rPr>
        <w:t>    4</w:t>
      </w:r>
      <w:r w:rsidR="000D779E">
        <w:rPr>
          <w:lang w:eastAsia="lt-LT"/>
        </w:rPr>
        <w:t>.</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iCs/>
          <w:lang w:eastAsia="lt-LT"/>
        </w:rPr>
        <w:t>30</w:t>
      </w:r>
      <w:r w:rsidR="000D779E">
        <w:rPr>
          <w:i/>
          <w:iCs/>
          <w:lang w:eastAsia="lt-LT"/>
        </w:rPr>
        <w:t xml:space="preserve"> </w:t>
      </w:r>
      <w:r w:rsidR="000D779E">
        <w:rPr>
          <w:lang w:eastAsia="lt-LT"/>
        </w:rPr>
        <w:t>dalį</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susidariusio</w:t>
      </w:r>
      <w:r w:rsidR="000D779E">
        <w:rPr>
          <w:i/>
          <w:iCs/>
          <w:lang w:eastAsia="lt-LT"/>
        </w:rPr>
        <w:t xml:space="preserve"> </w:t>
      </w:r>
      <w:r w:rsidR="000D779E">
        <w:rPr>
          <w:lang w:eastAsia="lt-LT"/>
        </w:rPr>
        <w:t>prestiž</w:t>
      </w:r>
      <w:r w:rsidR="000D779E">
        <w:rPr>
          <w:iCs/>
          <w:lang w:eastAsia="lt-LT"/>
        </w:rPr>
        <w:t>o vertės</w:t>
      </w:r>
      <w:r w:rsidR="000D779E">
        <w:rPr>
          <w:i/>
          <w:iCs/>
          <w:lang w:eastAsia="lt-LT"/>
        </w:rPr>
        <w:t xml:space="preserve">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pradedant</w:t>
      </w:r>
      <w:r w:rsidR="000D779E">
        <w:rPr>
          <w:i/>
          <w:iCs/>
          <w:lang w:eastAsia="lt-LT"/>
        </w:rPr>
        <w:t xml:space="preserve"> </w:t>
      </w:r>
      <w:r w:rsidR="000D779E">
        <w:rPr>
          <w:lang w:eastAsia="lt-LT"/>
        </w:rPr>
        <w:t>šių</w:t>
      </w:r>
      <w:r w:rsidR="000D779E">
        <w:rPr>
          <w:i/>
          <w:iCs/>
          <w:lang w:eastAsia="lt-LT"/>
        </w:rPr>
        <w:t xml:space="preserve"> </w:t>
      </w:r>
      <w:r w:rsidR="000D779E">
        <w:rPr>
          <w:lang w:eastAsia="lt-LT"/>
        </w:rPr>
        <w:t>vienetų</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atliekamo</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straipsnyje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(žr.</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straipsnio</w:t>
      </w:r>
      <w:r w:rsidR="000D779E">
        <w:rPr>
          <w:i/>
          <w:iCs/>
          <w:lang w:eastAsia="lt-LT"/>
        </w:rPr>
        <w:t xml:space="preserve"> </w:t>
      </w:r>
      <w:r w:rsidR="000D779E">
        <w:rPr>
          <w:lang w:eastAsia="lt-LT"/>
        </w:rPr>
        <w:t>komentarą),</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(perėjimo</w:t>
      </w:r>
      <w:r w:rsidR="000D779E">
        <w:rPr>
          <w:i/>
          <w:iCs/>
          <w:lang w:eastAsia="lt-LT"/>
        </w:rPr>
        <w:t xml:space="preserve"> </w:t>
      </w:r>
      <w:r w:rsidR="000D779E">
        <w:rPr>
          <w:lang w:eastAsia="lt-LT"/>
        </w:rPr>
        <w:t>nuosavybėn)</w:t>
      </w:r>
      <w:r w:rsidR="000D779E">
        <w:rPr>
          <w:i/>
          <w:iCs/>
          <w:lang w:eastAsia="lt-LT"/>
        </w:rPr>
        <w:t xml:space="preserve"> </w:t>
      </w:r>
      <w:r w:rsidR="000D779E">
        <w:rPr>
          <w:lang w:eastAsia="lt-LT"/>
        </w:rPr>
        <w:t>datą</w:t>
      </w:r>
      <w:r w:rsidR="000D779E">
        <w:rPr>
          <w:i/>
          <w:iCs/>
          <w:lang w:eastAsia="lt-LT"/>
        </w:rPr>
        <w:t xml:space="preserve"> </w:t>
      </w:r>
      <w:r w:rsidR="000D779E">
        <w:rPr>
          <w:lang w:eastAsia="lt-LT"/>
        </w:rPr>
        <w:t>susidariusi</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vertė</w:t>
      </w:r>
      <w:r w:rsidR="000D779E">
        <w:rPr>
          <w:i/>
          <w:iCs/>
          <w:lang w:eastAsia="lt-LT"/>
        </w:rPr>
        <w:t xml:space="preserve"> </w:t>
      </w:r>
      <w:r w:rsidR="000D779E">
        <w:rPr>
          <w:lang w:eastAsia="lt-LT"/>
        </w:rPr>
        <w:t>nepriskiriama</w:t>
      </w:r>
      <w:r w:rsidR="000D779E">
        <w:rPr>
          <w:strike/>
          <w:lang w:eastAsia="lt-LT"/>
        </w:rPr>
        <w:t>s</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tol,</w:t>
      </w:r>
      <w:r w:rsidR="000D779E">
        <w:rPr>
          <w:i/>
          <w:iCs/>
          <w:lang w:eastAsia="lt-LT"/>
        </w:rPr>
        <w:t xml:space="preserve"> </w:t>
      </w:r>
      <w:r w:rsidR="000D779E">
        <w:rPr>
          <w:lang w:eastAsia="lt-LT"/>
        </w:rPr>
        <w:t>kol</w:t>
      </w:r>
      <w:r w:rsidR="000D779E">
        <w:rPr>
          <w:i/>
          <w:iCs/>
          <w:lang w:eastAsia="lt-LT"/>
        </w:rPr>
        <w:t xml:space="preserve"> </w:t>
      </w:r>
      <w:r w:rsidR="000D779E">
        <w:rPr>
          <w:lang w:eastAsia="lt-LT"/>
        </w:rPr>
        <w:t>reorganizavimas</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perleidimas</w:t>
      </w:r>
      <w:r w:rsidR="000D779E">
        <w:rPr>
          <w:i/>
          <w:iCs/>
          <w:lang w:eastAsia="lt-LT"/>
        </w:rPr>
        <w:t xml:space="preserve"> </w:t>
      </w:r>
      <w:r w:rsidR="000D779E">
        <w:rPr>
          <w:lang w:eastAsia="lt-LT"/>
        </w:rPr>
        <w:t>faktiškai</w:t>
      </w:r>
      <w:r w:rsidR="000D779E">
        <w:rPr>
          <w:i/>
          <w:iCs/>
          <w:lang w:eastAsia="lt-LT"/>
        </w:rPr>
        <w:t xml:space="preserve"> </w:t>
      </w:r>
      <w:r w:rsidR="000D779E">
        <w:rPr>
          <w:lang w:eastAsia="lt-LT"/>
        </w:rPr>
        <w:t>neatliekamas.</w:t>
      </w:r>
      <w:r w:rsidR="000D779E">
        <w:rPr>
          <w:i/>
          <w:iCs/>
          <w:lang w:eastAsia="lt-LT"/>
        </w:rPr>
        <w:t xml:space="preserve"> </w:t>
      </w:r>
    </w:p>
    <w:p w14:paraId="57624A14" w14:textId="77777777" w:rsidR="00093845" w:rsidRDefault="00390442">
      <w:pPr>
        <w:spacing w:before="100" w:beforeAutospacing="1" w:after="100" w:afterAutospacing="1"/>
        <w:jc w:val="both"/>
        <w:rPr>
          <w:lang w:eastAsia="lt-LT"/>
        </w:rPr>
      </w:pPr>
      <w:r>
        <w:rPr>
          <w:lang w:eastAsia="lt-LT"/>
        </w:rPr>
        <w:lastRenderedPageBreak/>
        <w:t xml:space="preserve">       5</w:t>
      </w:r>
      <w:r w:rsidR="000D779E">
        <w:rPr>
          <w:lang w:eastAsia="lt-LT"/>
        </w:rPr>
        <w:t>.</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susidaro,</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įsigydamas</w:t>
      </w:r>
      <w:r w:rsidR="000D779E">
        <w:rPr>
          <w:i/>
          <w:iCs/>
          <w:lang w:eastAsia="lt-LT"/>
        </w:rPr>
        <w:t xml:space="preserve"> </w:t>
      </w:r>
      <w:r w:rsidR="000D779E">
        <w:rPr>
          <w:lang w:eastAsia="lt-LT"/>
        </w:rPr>
        <w:t>akcijas,</w:t>
      </w:r>
      <w:r w:rsidR="000D779E">
        <w:rPr>
          <w:i/>
          <w:iCs/>
          <w:lang w:eastAsia="lt-LT"/>
        </w:rPr>
        <w:t xml:space="preserve"> </w:t>
      </w:r>
      <w:r w:rsidR="000D779E">
        <w:rPr>
          <w:lang w:eastAsia="lt-LT"/>
        </w:rPr>
        <w:t>siekia</w:t>
      </w:r>
      <w:r w:rsidR="000D779E">
        <w:rPr>
          <w:i/>
          <w:iCs/>
          <w:lang w:eastAsia="lt-LT"/>
        </w:rPr>
        <w:t xml:space="preserve"> </w:t>
      </w:r>
      <w:r w:rsidR="000D779E">
        <w:rPr>
          <w:lang w:eastAsia="lt-LT"/>
        </w:rPr>
        <w:t>valdyti</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iš</w:t>
      </w:r>
      <w:r w:rsidR="000D779E">
        <w:rPr>
          <w:i/>
          <w:iCs/>
          <w:lang w:eastAsia="lt-LT"/>
        </w:rPr>
        <w:t xml:space="preserve"> </w:t>
      </w:r>
      <w:r w:rsidR="000D779E">
        <w:rPr>
          <w:lang w:eastAsia="lt-LT"/>
        </w:rPr>
        <w:t>tokio</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tikisi</w:t>
      </w:r>
      <w:r w:rsidR="000D779E">
        <w:rPr>
          <w:i/>
          <w:iCs/>
          <w:lang w:eastAsia="lt-LT"/>
        </w:rPr>
        <w:t xml:space="preserve"> </w:t>
      </w:r>
      <w:r w:rsidR="000D779E">
        <w:rPr>
          <w:lang w:eastAsia="lt-LT"/>
        </w:rPr>
        <w:t>gauti</w:t>
      </w:r>
      <w:r w:rsidR="000D779E">
        <w:rPr>
          <w:i/>
          <w:iCs/>
          <w:lang w:eastAsia="lt-LT"/>
        </w:rPr>
        <w:t xml:space="preserve"> </w:t>
      </w:r>
      <w:r w:rsidR="000D779E">
        <w:rPr>
          <w:lang w:eastAsia="lt-LT"/>
        </w:rPr>
        <w:t>ekonominės</w:t>
      </w:r>
      <w:r w:rsidR="000D779E">
        <w:rPr>
          <w:i/>
          <w:iCs/>
          <w:lang w:eastAsia="lt-LT"/>
        </w:rPr>
        <w:t xml:space="preserve"> </w:t>
      </w:r>
      <w:r w:rsidR="000D779E">
        <w:rPr>
          <w:lang w:eastAsia="lt-LT"/>
        </w:rPr>
        <w:t>naudos.</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prestiž</w:t>
      </w:r>
      <w:r w:rsidR="000D779E">
        <w:rPr>
          <w:iCs/>
          <w:lang w:eastAsia="lt-LT"/>
        </w:rPr>
        <w:t>o vertė</w:t>
      </w:r>
      <w:r w:rsidR="000D779E">
        <w:rPr>
          <w:i/>
          <w:iCs/>
          <w:lang w:eastAsia="lt-LT"/>
        </w:rPr>
        <w:t xml:space="preserve"> </w:t>
      </w:r>
      <w:r w:rsidR="000D779E">
        <w:rPr>
          <w:lang w:eastAsia="lt-LT"/>
        </w:rPr>
        <w:t>priskiriama</w:t>
      </w:r>
      <w:r w:rsidR="000D779E">
        <w:rPr>
          <w:strike/>
          <w:lang w:eastAsia="lt-LT"/>
        </w:rPr>
        <w:t>s</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ir</w:t>
      </w:r>
      <w:r w:rsidR="000D779E">
        <w:rPr>
          <w:i/>
          <w:iCs/>
          <w:lang w:eastAsia="lt-LT"/>
        </w:rPr>
        <w:t xml:space="preserve"> </w:t>
      </w:r>
      <w:r w:rsidR="000D779E">
        <w:rPr>
          <w:lang w:eastAsia="lt-LT"/>
        </w:rPr>
        <w:t>atskaitoma</w:t>
      </w:r>
      <w:r w:rsidR="000D779E">
        <w:rPr>
          <w:strike/>
          <w:lang w:eastAsia="lt-LT"/>
        </w:rPr>
        <w:t>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w:t>
      </w:r>
      <w:r w:rsidR="000D779E">
        <w:rPr>
          <w:i/>
          <w:iCs/>
          <w:lang w:eastAsia="lt-LT"/>
        </w:rPr>
        <w:t xml:space="preserve"> </w:t>
      </w:r>
      <w:r w:rsidR="000D779E">
        <w:rPr>
          <w:lang w:eastAsia="lt-LT"/>
        </w:rPr>
        <w:t>jei</w:t>
      </w:r>
      <w:r w:rsidR="000D779E">
        <w:rPr>
          <w:i/>
          <w:iCs/>
          <w:lang w:eastAsia="lt-LT"/>
        </w:rPr>
        <w:t xml:space="preserve"> </w:t>
      </w:r>
      <w:r w:rsidR="000D779E">
        <w:rPr>
          <w:lang w:eastAsia="lt-LT"/>
        </w:rPr>
        <w:t>tas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ekonominės</w:t>
      </w:r>
      <w:r w:rsidR="000D779E">
        <w:rPr>
          <w:i/>
          <w:iCs/>
          <w:lang w:eastAsia="lt-LT"/>
        </w:rPr>
        <w:t xml:space="preserve"> </w:t>
      </w:r>
      <w:r w:rsidR="000D779E">
        <w:rPr>
          <w:lang w:eastAsia="lt-LT"/>
        </w:rPr>
        <w:t>naudos</w:t>
      </w:r>
      <w:r w:rsidR="000D779E">
        <w:rPr>
          <w:i/>
          <w:iCs/>
          <w:lang w:eastAsia="lt-LT"/>
        </w:rPr>
        <w:t xml:space="preserve"> </w:t>
      </w:r>
      <w:r w:rsidR="000D779E">
        <w:rPr>
          <w:lang w:eastAsia="lt-LT"/>
        </w:rPr>
        <w:t>siekimą</w:t>
      </w:r>
      <w:r w:rsidR="000D779E">
        <w:rPr>
          <w:i/>
          <w:iCs/>
          <w:lang w:eastAsia="lt-LT"/>
        </w:rPr>
        <w:t xml:space="preserve"> </w:t>
      </w:r>
      <w:r w:rsidR="000D779E">
        <w:rPr>
          <w:lang w:eastAsia="lt-LT"/>
        </w:rPr>
        <w:t>realizuoja</w:t>
      </w:r>
      <w:r w:rsidR="000D779E">
        <w:rPr>
          <w:i/>
          <w:iCs/>
          <w:lang w:eastAsia="lt-LT"/>
        </w:rPr>
        <w:t xml:space="preserve"> </w:t>
      </w:r>
      <w:r w:rsidR="000D779E">
        <w:rPr>
          <w:lang w:eastAsia="lt-LT"/>
        </w:rPr>
        <w:t>–</w:t>
      </w:r>
      <w:r w:rsidR="000D779E">
        <w:rPr>
          <w:i/>
          <w:iCs/>
          <w:lang w:eastAsia="lt-LT"/>
        </w:rPr>
        <w:t xml:space="preserve"> </w:t>
      </w:r>
      <w:r w:rsidR="000D779E">
        <w:rPr>
          <w:lang w:eastAsia="lt-LT"/>
        </w:rPr>
        <w:t>prisijungia</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ir</w:t>
      </w:r>
      <w:r w:rsidR="000D779E">
        <w:rPr>
          <w:i/>
          <w:iCs/>
          <w:lang w:eastAsia="lt-LT"/>
        </w:rPr>
        <w:t xml:space="preserve"> </w:t>
      </w:r>
      <w:r w:rsidR="000D779E">
        <w:rPr>
          <w:lang w:eastAsia="lt-LT"/>
        </w:rPr>
        <w:t>tęsia</w:t>
      </w:r>
      <w:r w:rsidR="000D779E">
        <w:rPr>
          <w:i/>
          <w:iCs/>
          <w:lang w:eastAsia="lt-LT"/>
        </w:rPr>
        <w:t xml:space="preserve"> </w:t>
      </w:r>
      <w:r w:rsidR="000D779E">
        <w:rPr>
          <w:iCs/>
          <w:lang w:eastAsia="lt-LT"/>
        </w:rPr>
        <w:t>prisijungto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Todėl</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ribojamų</w:t>
      </w:r>
      <w:r w:rsidR="000D779E">
        <w:rPr>
          <w:i/>
          <w:iCs/>
          <w:lang w:eastAsia="lt-LT"/>
        </w:rPr>
        <w:t xml:space="preserve"> </w:t>
      </w:r>
      <w:r w:rsidR="000D779E">
        <w:rPr>
          <w:lang w:eastAsia="lt-LT"/>
        </w:rPr>
        <w:t>dydžių</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tik</w:t>
      </w:r>
      <w:r w:rsidR="000D779E">
        <w:rPr>
          <w:i/>
          <w:iCs/>
          <w:lang w:eastAsia="lt-LT"/>
        </w:rPr>
        <w:t xml:space="preserve"> </w:t>
      </w:r>
      <w:r w:rsidR="000D779E">
        <w:rPr>
          <w:lang w:eastAsia="lt-LT"/>
        </w:rPr>
        <w:t>tais</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dalyje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ar</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prisijungia</w:t>
      </w:r>
      <w:r w:rsidR="000D779E">
        <w:rPr>
          <w:i/>
          <w:iCs/>
          <w:lang w:eastAsia="lt-LT"/>
        </w:rPr>
        <w:t xml:space="preserve"> </w:t>
      </w:r>
      <w:r w:rsidR="000D779E">
        <w:rPr>
          <w:lang w:eastAsia="lt-LT"/>
        </w:rPr>
        <w:t>visą</w:t>
      </w:r>
      <w:r w:rsidR="000D779E">
        <w:rPr>
          <w:i/>
          <w:iCs/>
          <w:lang w:eastAsia="lt-LT"/>
        </w:rPr>
        <w:t xml:space="preserve"> </w:t>
      </w:r>
      <w:r w:rsidR="000D779E">
        <w:rPr>
          <w:lang w:eastAsia="lt-LT"/>
        </w:rPr>
        <w:t>įsigyto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grynąjį</w:t>
      </w:r>
      <w:r w:rsidR="000D779E">
        <w:rPr>
          <w:i/>
          <w:iCs/>
          <w:lang w:eastAsia="lt-LT"/>
        </w:rPr>
        <w:t xml:space="preserve"> </w:t>
      </w:r>
      <w:r w:rsidR="000D779E">
        <w:rPr>
          <w:lang w:eastAsia="lt-LT"/>
        </w:rPr>
        <w:t>turtą,</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kai</w:t>
      </w:r>
      <w:r w:rsidR="000D779E">
        <w:rPr>
          <w:i/>
          <w:iCs/>
          <w:lang w:eastAsia="lt-LT"/>
        </w:rPr>
        <w:t xml:space="preserve"> </w:t>
      </w:r>
      <w:r w:rsidR="000D779E">
        <w:rPr>
          <w:lang w:eastAsia="lt-LT"/>
        </w:rPr>
        <w:t>reorganizavimas</w:t>
      </w:r>
      <w:r w:rsidR="000D779E">
        <w:rPr>
          <w:i/>
          <w:iCs/>
          <w:lang w:eastAsia="lt-LT"/>
        </w:rPr>
        <w:t xml:space="preserve"> </w:t>
      </w:r>
      <w:r w:rsidR="000D779E">
        <w:rPr>
          <w:lang w:eastAsia="lt-LT"/>
        </w:rPr>
        <w:t>atliekamas</w:t>
      </w:r>
      <w:r w:rsidR="000D779E">
        <w:rPr>
          <w:i/>
          <w:iCs/>
          <w:lang w:eastAsia="lt-LT"/>
        </w:rPr>
        <w:t xml:space="preserve"> </w:t>
      </w:r>
      <w:r w:rsidR="000D779E">
        <w:rPr>
          <w:lang w:eastAsia="lt-LT"/>
        </w:rPr>
        <w:t>prijungimo</w:t>
      </w:r>
      <w:r w:rsidR="000D779E">
        <w:rPr>
          <w:i/>
          <w:iCs/>
          <w:lang w:eastAsia="lt-LT"/>
        </w:rPr>
        <w:t xml:space="preserve"> </w:t>
      </w:r>
      <w:r w:rsidR="000D779E">
        <w:rPr>
          <w:lang w:eastAsia="lt-LT"/>
        </w:rPr>
        <w:t>būdu</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w:t>
      </w:r>
      <w:r w:rsidR="000D779E">
        <w:rPr>
          <w:i/>
          <w:iCs/>
          <w:lang w:eastAsia="lt-LT"/>
        </w:rPr>
        <w:t xml:space="preserve"> </w:t>
      </w:r>
      <w:r w:rsidR="000D779E">
        <w:rPr>
          <w:lang w:eastAsia="lt-LT"/>
        </w:rPr>
        <w:t>1</w:t>
      </w:r>
      <w:r w:rsidR="000D779E">
        <w:rPr>
          <w:i/>
          <w:iCs/>
          <w:lang w:eastAsia="lt-LT"/>
        </w:rPr>
        <w:t xml:space="preserve"> </w:t>
      </w:r>
      <w:r w:rsidR="000D779E">
        <w:rPr>
          <w:lang w:eastAsia="lt-LT"/>
        </w:rPr>
        <w:t>ir</w:t>
      </w:r>
      <w:r w:rsidR="000D779E">
        <w:rPr>
          <w:i/>
          <w:iCs/>
          <w:lang w:eastAsia="lt-LT"/>
        </w:rPr>
        <w:t xml:space="preserve"> </w:t>
      </w:r>
      <w:r w:rsidR="000D779E">
        <w:rPr>
          <w:lang w:eastAsia="lt-LT"/>
        </w:rPr>
        <w:t>3</w:t>
      </w:r>
      <w:r w:rsidR="000D779E">
        <w:rPr>
          <w:i/>
          <w:iCs/>
          <w:lang w:eastAsia="lt-LT"/>
        </w:rPr>
        <w:t xml:space="preserve"> </w:t>
      </w:r>
      <w:r w:rsidR="000D779E">
        <w:rPr>
          <w:lang w:eastAsia="lt-LT"/>
        </w:rPr>
        <w:t>punktuose</w:t>
      </w:r>
      <w:r w:rsidR="000D779E">
        <w:rPr>
          <w:i/>
          <w:iCs/>
          <w:lang w:eastAsia="lt-LT"/>
        </w:rPr>
        <w:t xml:space="preserve"> </w:t>
      </w:r>
      <w:r w:rsidR="000D779E">
        <w:rPr>
          <w:lang w:eastAsia="lt-LT"/>
        </w:rPr>
        <w:t>numatytais</w:t>
      </w:r>
      <w:r w:rsidR="000D779E">
        <w:rPr>
          <w:i/>
          <w:iCs/>
          <w:lang w:eastAsia="lt-LT"/>
        </w:rPr>
        <w:t xml:space="preserve"> </w:t>
      </w:r>
      <w:r w:rsidR="000D779E">
        <w:rPr>
          <w:lang w:eastAsia="lt-LT"/>
        </w:rPr>
        <w:t>atvejais</w:t>
      </w:r>
      <w:r w:rsidR="000D779E">
        <w:rPr>
          <w:i/>
          <w:iCs/>
          <w:lang w:eastAsia="lt-LT"/>
        </w:rPr>
        <w:t xml:space="preserve"> </w:t>
      </w:r>
      <w:r w:rsidR="000D779E">
        <w:rPr>
          <w:lang w:eastAsia="lt-LT"/>
        </w:rPr>
        <w:t>arba</w:t>
      </w:r>
      <w:r w:rsidR="000D779E">
        <w:rPr>
          <w:i/>
          <w:iCs/>
          <w:lang w:eastAsia="lt-LT"/>
        </w:rPr>
        <w:t xml:space="preserve"> </w:t>
      </w:r>
      <w:r w:rsidR="000D779E">
        <w:rPr>
          <w:lang w:eastAsia="lt-LT"/>
        </w:rPr>
        <w:t>kai</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w:t>
      </w:r>
      <w:r w:rsidR="000D779E">
        <w:rPr>
          <w:i/>
          <w:iCs/>
          <w:lang w:eastAsia="lt-LT"/>
        </w:rPr>
        <w:t xml:space="preserve"> </w:t>
      </w:r>
      <w:r w:rsidR="000D779E">
        <w:rPr>
          <w:lang w:eastAsia="lt-LT"/>
        </w:rPr>
        <w:t>įsigyto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reorganizuoto</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41</w:t>
      </w:r>
      <w:r w:rsidR="000D779E">
        <w:rPr>
          <w:i/>
          <w:iCs/>
          <w:lang w:eastAsia="lt-LT"/>
        </w:rPr>
        <w:t xml:space="preserve"> </w:t>
      </w:r>
      <w:r w:rsidR="000D779E">
        <w:rPr>
          <w:lang w:eastAsia="lt-LT"/>
        </w:rPr>
        <w:t>str.</w:t>
      </w:r>
      <w:r w:rsidR="000D779E">
        <w:rPr>
          <w:i/>
          <w:iCs/>
          <w:lang w:eastAsia="lt-LT"/>
        </w:rPr>
        <w:t xml:space="preserve"> </w:t>
      </w:r>
      <w:r w:rsidR="000D779E">
        <w:rPr>
          <w:lang w:eastAsia="lt-LT"/>
        </w:rPr>
        <w:t>2</w:t>
      </w:r>
      <w:r w:rsidR="000D779E">
        <w:rPr>
          <w:i/>
          <w:iCs/>
          <w:lang w:eastAsia="lt-LT"/>
        </w:rPr>
        <w:t xml:space="preserve"> </w:t>
      </w:r>
      <w:r w:rsidR="000D779E">
        <w:rPr>
          <w:lang w:eastAsia="lt-LT"/>
        </w:rPr>
        <w:t>d.</w:t>
      </w:r>
      <w:r w:rsidR="000D779E">
        <w:rPr>
          <w:i/>
          <w:iCs/>
          <w:lang w:eastAsia="lt-LT"/>
        </w:rPr>
        <w:t xml:space="preserve"> </w:t>
      </w:r>
      <w:r w:rsidR="000D779E">
        <w:rPr>
          <w:lang w:eastAsia="lt-LT"/>
        </w:rPr>
        <w:t>4</w:t>
      </w:r>
      <w:r w:rsidR="000D779E">
        <w:rPr>
          <w:i/>
          <w:iCs/>
          <w:lang w:eastAsia="lt-LT"/>
        </w:rPr>
        <w:t xml:space="preserve"> </w:t>
      </w:r>
      <w:r w:rsidR="000D779E">
        <w:rPr>
          <w:lang w:eastAsia="lt-LT"/>
        </w:rPr>
        <w:t>punkte</w:t>
      </w:r>
      <w:r w:rsidR="000D779E">
        <w:rPr>
          <w:i/>
          <w:iCs/>
          <w:lang w:eastAsia="lt-LT"/>
        </w:rPr>
        <w:t xml:space="preserve"> </w:t>
      </w:r>
      <w:r w:rsidR="000D779E">
        <w:rPr>
          <w:lang w:eastAsia="lt-LT"/>
        </w:rPr>
        <w:t>aprašytu</w:t>
      </w:r>
      <w:r w:rsidR="000D779E">
        <w:rPr>
          <w:i/>
          <w:iCs/>
          <w:lang w:eastAsia="lt-LT"/>
        </w:rPr>
        <w:t xml:space="preserve"> </w:t>
      </w:r>
      <w:r w:rsidR="000D779E">
        <w:rPr>
          <w:lang w:eastAsia="lt-LT"/>
        </w:rPr>
        <w:t>išdalijimo</w:t>
      </w:r>
      <w:r w:rsidR="000D779E">
        <w:rPr>
          <w:i/>
          <w:iCs/>
          <w:lang w:eastAsia="lt-LT"/>
        </w:rPr>
        <w:t xml:space="preserve"> </w:t>
      </w:r>
      <w:r w:rsidR="000D779E">
        <w:rPr>
          <w:lang w:eastAsia="lt-LT"/>
        </w:rPr>
        <w:t>būdu,</w:t>
      </w:r>
      <w:r w:rsidR="000D779E">
        <w:rPr>
          <w:i/>
          <w:iCs/>
          <w:lang w:eastAsia="lt-LT"/>
        </w:rPr>
        <w:t xml:space="preserve"> </w:t>
      </w:r>
      <w:r w:rsidR="000D779E">
        <w:rPr>
          <w:lang w:eastAsia="lt-LT"/>
        </w:rPr>
        <w:t>grynojo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dalis.</w:t>
      </w:r>
      <w:r w:rsidR="000D779E">
        <w:rPr>
          <w:i/>
          <w:iCs/>
          <w:lang w:eastAsia="lt-LT"/>
        </w:rPr>
        <w:t xml:space="preserve"> </w:t>
      </w:r>
    </w:p>
    <w:p w14:paraId="70C0B449" w14:textId="77777777" w:rsidR="00093845" w:rsidRDefault="000D779E">
      <w:pPr>
        <w:spacing w:before="100" w:beforeAutospacing="1" w:after="100" w:afterAutospacing="1"/>
        <w:jc w:val="both"/>
        <w:rPr>
          <w:lang w:eastAsia="lt-LT"/>
        </w:rPr>
      </w:pPr>
      <w:r>
        <w:rPr>
          <w:lang w:eastAsia="lt-LT"/>
        </w:rPr>
        <w:t>Atliekant</w:t>
      </w:r>
      <w:r>
        <w:rPr>
          <w:i/>
          <w:iCs/>
          <w:lang w:eastAsia="lt-LT"/>
        </w:rPr>
        <w:t xml:space="preserve"> </w:t>
      </w:r>
      <w:r>
        <w:rPr>
          <w:lang w:eastAsia="lt-LT"/>
        </w:rPr>
        <w:t>reorganizavimą</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4</w:t>
      </w:r>
      <w:r>
        <w:rPr>
          <w:i/>
          <w:iCs/>
          <w:lang w:eastAsia="lt-LT"/>
        </w:rPr>
        <w:t xml:space="preserve"> </w:t>
      </w:r>
      <w:r>
        <w:rPr>
          <w:lang w:eastAsia="lt-LT"/>
        </w:rPr>
        <w:t>punkte</w:t>
      </w:r>
      <w:r>
        <w:rPr>
          <w:i/>
          <w:iCs/>
          <w:lang w:eastAsia="lt-LT"/>
        </w:rPr>
        <w:t xml:space="preserve"> </w:t>
      </w:r>
      <w:r>
        <w:rPr>
          <w:lang w:eastAsia="lt-LT"/>
        </w:rPr>
        <w:t>aprašytu</w:t>
      </w:r>
      <w:r>
        <w:rPr>
          <w:i/>
          <w:iCs/>
          <w:lang w:eastAsia="lt-LT"/>
        </w:rPr>
        <w:t xml:space="preserve"> </w:t>
      </w:r>
      <w:r>
        <w:rPr>
          <w:lang w:eastAsia="lt-LT"/>
        </w:rPr>
        <w:t>išdalijimo</w:t>
      </w:r>
      <w:r>
        <w:rPr>
          <w:i/>
          <w:iCs/>
          <w:lang w:eastAsia="lt-LT"/>
        </w:rPr>
        <w:t xml:space="preserve"> </w:t>
      </w:r>
      <w:r>
        <w:rPr>
          <w:lang w:eastAsia="lt-LT"/>
        </w:rPr>
        <w:t>būdu,</w:t>
      </w:r>
      <w:r>
        <w:rPr>
          <w:i/>
          <w:iCs/>
          <w:lang w:eastAsia="lt-LT"/>
        </w:rPr>
        <w:t xml:space="preserve"> </w:t>
      </w:r>
      <w:r>
        <w:rPr>
          <w:lang w:eastAsia="lt-LT"/>
        </w:rPr>
        <w:t>prie</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prijungiama</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dalis</w:t>
      </w:r>
      <w:r>
        <w:rPr>
          <w:i/>
          <w:iCs/>
          <w:lang w:eastAsia="lt-LT"/>
        </w:rPr>
        <w:t xml:space="preserve"> </w:t>
      </w:r>
      <w:r>
        <w:rPr>
          <w:lang w:eastAsia="lt-LT"/>
        </w:rPr>
        <w:t>paprastai</w:t>
      </w:r>
      <w:r>
        <w:rPr>
          <w:i/>
          <w:iCs/>
          <w:lang w:eastAsia="lt-LT"/>
        </w:rPr>
        <w:t xml:space="preserve"> </w:t>
      </w:r>
      <w:r>
        <w:rPr>
          <w:lang w:eastAsia="lt-LT"/>
        </w:rPr>
        <w:t>nebūna</w:t>
      </w:r>
      <w:r>
        <w:rPr>
          <w:i/>
          <w:iCs/>
          <w:lang w:eastAsia="lt-LT"/>
        </w:rPr>
        <w:t xml:space="preserve"> </w:t>
      </w:r>
      <w:r>
        <w:rPr>
          <w:lang w:eastAsia="lt-LT"/>
        </w:rPr>
        <w:t>mažesnė</w:t>
      </w:r>
      <w:r>
        <w:rPr>
          <w:i/>
          <w:iCs/>
          <w:lang w:eastAsia="lt-LT"/>
        </w:rPr>
        <w:t xml:space="preserve"> </w:t>
      </w:r>
      <w:r>
        <w:rPr>
          <w:lang w:eastAsia="lt-LT"/>
        </w:rPr>
        <w:t>už</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turimų</w:t>
      </w:r>
      <w:r>
        <w:rPr>
          <w:i/>
          <w:iCs/>
          <w:lang w:eastAsia="lt-LT"/>
        </w:rPr>
        <w:t xml:space="preserve"> </w:t>
      </w:r>
      <w:r>
        <w:rPr>
          <w:lang w:eastAsia="lt-LT"/>
        </w:rPr>
        <w:t>akcijų</w:t>
      </w:r>
      <w:r>
        <w:rPr>
          <w:i/>
          <w:iCs/>
          <w:lang w:eastAsia="lt-LT"/>
        </w:rPr>
        <w:t xml:space="preserve"> </w:t>
      </w:r>
      <w:r>
        <w:rPr>
          <w:lang w:eastAsia="lt-LT"/>
        </w:rPr>
        <w:t>dalį</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įstatiniame</w:t>
      </w:r>
      <w:r>
        <w:rPr>
          <w:i/>
          <w:iCs/>
          <w:lang w:eastAsia="lt-LT"/>
        </w:rPr>
        <w:t xml:space="preserve"> </w:t>
      </w:r>
      <w:r>
        <w:rPr>
          <w:lang w:eastAsia="lt-LT"/>
        </w:rPr>
        <w:t>kapitale.</w:t>
      </w:r>
      <w:r>
        <w:rPr>
          <w:i/>
          <w:iCs/>
          <w:lang w:eastAsia="lt-LT"/>
        </w:rPr>
        <w:t xml:space="preserve"> </w:t>
      </w:r>
      <w:r>
        <w:rPr>
          <w:lang w:eastAsia="lt-LT"/>
        </w:rPr>
        <w:t>Todėl</w:t>
      </w:r>
      <w:r>
        <w:rPr>
          <w:i/>
          <w:iCs/>
          <w:lang w:eastAsia="lt-LT"/>
        </w:rPr>
        <w:t xml:space="preserve"> </w:t>
      </w:r>
      <w:r>
        <w:rPr>
          <w:lang w:eastAsia="lt-LT"/>
        </w:rPr>
        <w:t>atlikus</w:t>
      </w:r>
      <w:r>
        <w:rPr>
          <w:i/>
          <w:iCs/>
          <w:lang w:eastAsia="lt-LT"/>
        </w:rPr>
        <w:t xml:space="preserve"> </w:t>
      </w:r>
      <w:r>
        <w:rPr>
          <w:lang w:eastAsia="lt-LT"/>
        </w:rPr>
        <w:t>reorganizavimą,</w:t>
      </w:r>
      <w:r>
        <w:rPr>
          <w:i/>
          <w:iCs/>
          <w:lang w:eastAsia="lt-LT"/>
        </w:rPr>
        <w:t xml:space="preserve"> </w:t>
      </w:r>
      <w:r>
        <w:rPr>
          <w:lang w:eastAsia="lt-LT"/>
        </w:rPr>
        <w:t>įsigyjamojo</w:t>
      </w:r>
      <w:r>
        <w:rPr>
          <w:i/>
          <w:iCs/>
          <w:lang w:eastAsia="lt-LT"/>
        </w:rPr>
        <w:t xml:space="preserve"> </w:t>
      </w:r>
      <w:r>
        <w:rPr>
          <w:lang w:eastAsia="lt-LT"/>
        </w:rPr>
        <w:t>vieneto</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2</w:t>
      </w:r>
      <w:r>
        <w:rPr>
          <w:i/>
          <w:iCs/>
          <w:lang w:eastAsia="lt-LT"/>
        </w:rPr>
        <w:t xml:space="preserve"> </w:t>
      </w:r>
      <w:r>
        <w:rPr>
          <w:lang w:eastAsia="lt-LT"/>
        </w:rPr>
        <w:t>str.</w:t>
      </w:r>
      <w:r>
        <w:rPr>
          <w:i/>
          <w:iCs/>
          <w:lang w:eastAsia="lt-LT"/>
        </w:rPr>
        <w:t xml:space="preserve"> </w:t>
      </w:r>
      <w:r>
        <w:rPr>
          <w:iCs/>
          <w:lang w:eastAsia="lt-LT"/>
        </w:rPr>
        <w:t>30</w:t>
      </w:r>
      <w:r>
        <w:rPr>
          <w:i/>
          <w:iCs/>
          <w:lang w:eastAsia="lt-LT"/>
        </w:rPr>
        <w:t xml:space="preserve"> </w:t>
      </w:r>
      <w:r>
        <w:rPr>
          <w:lang w:eastAsia="lt-LT"/>
        </w:rPr>
        <w:t>dalį</w:t>
      </w:r>
      <w:r>
        <w:rPr>
          <w:i/>
          <w:iCs/>
          <w:lang w:eastAsia="lt-LT"/>
        </w:rPr>
        <w:t xml:space="preserve"> </w:t>
      </w:r>
      <w:r>
        <w:rPr>
          <w:lang w:eastAsia="lt-LT"/>
        </w:rPr>
        <w:t>nustatyto</w:t>
      </w:r>
      <w:r>
        <w:rPr>
          <w:i/>
          <w:iCs/>
          <w:lang w:eastAsia="lt-LT"/>
        </w:rPr>
        <w:t xml:space="preserve"> </w:t>
      </w:r>
      <w:r>
        <w:rPr>
          <w:lang w:eastAsia="lt-LT"/>
        </w:rPr>
        <w:t>prestižo</w:t>
      </w:r>
      <w:r>
        <w:rPr>
          <w:i/>
          <w:iCs/>
          <w:lang w:eastAsia="lt-LT"/>
        </w:rPr>
        <w:t xml:space="preserve"> </w:t>
      </w:r>
      <w:r>
        <w:rPr>
          <w:iCs/>
          <w:lang w:eastAsia="lt-LT"/>
        </w:rPr>
        <w:t xml:space="preserve">vertės </w:t>
      </w:r>
      <w:r>
        <w:rPr>
          <w:lang w:eastAsia="lt-LT"/>
        </w:rPr>
        <w:t>amortizacija</w:t>
      </w:r>
      <w:r>
        <w:rPr>
          <w:i/>
          <w:iCs/>
          <w:lang w:eastAsia="lt-LT"/>
        </w:rPr>
        <w:t xml:space="preserve"> </w:t>
      </w:r>
      <w:r>
        <w:rPr>
          <w:lang w:eastAsia="lt-LT"/>
        </w:rPr>
        <w:t>šiuo</w:t>
      </w:r>
      <w:r>
        <w:rPr>
          <w:i/>
          <w:iCs/>
          <w:lang w:eastAsia="lt-LT"/>
        </w:rPr>
        <w:t xml:space="preserve"> </w:t>
      </w:r>
      <w:r>
        <w:rPr>
          <w:lang w:eastAsia="lt-LT"/>
        </w:rPr>
        <w:t>atveju</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skaičiuojama</w:t>
      </w:r>
      <w:r>
        <w:rPr>
          <w:i/>
          <w:iCs/>
          <w:lang w:eastAsia="lt-LT"/>
        </w:rPr>
        <w:t xml:space="preserve"> </w:t>
      </w:r>
      <w:r>
        <w:rPr>
          <w:lang w:eastAsia="lt-LT"/>
        </w:rPr>
        <w:t>ir</w:t>
      </w:r>
      <w:r>
        <w:rPr>
          <w:i/>
          <w:iCs/>
          <w:lang w:eastAsia="lt-LT"/>
        </w:rPr>
        <w:t xml:space="preserve"> </w:t>
      </w:r>
      <w:r>
        <w:rPr>
          <w:lang w:eastAsia="lt-LT"/>
        </w:rPr>
        <w:t>priskiriama</w:t>
      </w:r>
      <w:r>
        <w:rPr>
          <w:i/>
          <w:iCs/>
          <w:lang w:eastAsia="lt-LT"/>
        </w:rPr>
        <w:t xml:space="preserve"> </w:t>
      </w:r>
      <w:r>
        <w:rPr>
          <w:lang w:eastAsia="lt-LT"/>
        </w:rPr>
        <w:t>įsigyjančiojo</w:t>
      </w:r>
      <w:r>
        <w:rPr>
          <w:i/>
          <w:iCs/>
          <w:lang w:eastAsia="lt-LT"/>
        </w:rPr>
        <w:t xml:space="preserve"> </w:t>
      </w:r>
      <w:r>
        <w:rPr>
          <w:lang w:eastAsia="lt-LT"/>
        </w:rPr>
        <w:t>vieneto</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p>
    <w:p w14:paraId="2BD13840" w14:textId="77777777" w:rsidR="00093845" w:rsidRDefault="000D779E">
      <w:pPr>
        <w:spacing w:before="100" w:beforeAutospacing="1" w:after="100" w:afterAutospacing="1"/>
        <w:jc w:val="both"/>
        <w:rPr>
          <w:lang w:eastAsia="lt-LT"/>
        </w:rPr>
      </w:pPr>
      <w:r>
        <w:rPr>
          <w:lang w:eastAsia="lt-LT"/>
        </w:rPr>
        <w:t xml:space="preserve">        </w:t>
      </w:r>
      <w:r>
        <w:rPr>
          <w:bCs/>
          <w:lang w:eastAsia="lt-LT"/>
        </w:rPr>
        <w:t>1</w:t>
      </w:r>
      <w:r>
        <w:rPr>
          <w:bCs/>
          <w:i/>
          <w:iCs/>
          <w:lang w:eastAsia="lt-LT"/>
        </w:rPr>
        <w:t xml:space="preserve"> </w:t>
      </w:r>
      <w:r>
        <w:rPr>
          <w:bCs/>
          <w:lang w:eastAsia="lt-LT"/>
        </w:rPr>
        <w:t>pavyzdys</w:t>
      </w:r>
    </w:p>
    <w:p w14:paraId="1467C01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15</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55</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500</w:t>
      </w:r>
      <w:r>
        <w:rPr>
          <w:i/>
          <w:iCs/>
          <w:lang w:eastAsia="lt-LT"/>
        </w:rPr>
        <w:t xml:space="preserve"> </w:t>
      </w:r>
      <w:r>
        <w:rPr>
          <w:lang w:eastAsia="lt-LT"/>
        </w:rPr>
        <w:t>000</w:t>
      </w:r>
      <w:r>
        <w:rPr>
          <w:i/>
          <w:iCs/>
          <w:lang w:eastAsia="lt-LT"/>
        </w:rPr>
        <w:t xml:space="preserve"> </w:t>
      </w:r>
      <w:r>
        <w:rPr>
          <w:lang w:eastAsia="lt-LT"/>
        </w:rPr>
        <w:t>Eur.</w:t>
      </w:r>
      <w:r>
        <w:rPr>
          <w:i/>
          <w:iCs/>
          <w:lang w:eastAsia="lt-LT"/>
        </w:rPr>
        <w:t xml:space="preserve"> </w:t>
      </w:r>
      <w:r>
        <w:rPr>
          <w:lang w:eastAsia="lt-LT"/>
        </w:rPr>
        <w:t>Akcijos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nuosavybėn</w:t>
      </w:r>
      <w:r>
        <w:rPr>
          <w:i/>
          <w:iCs/>
          <w:lang w:eastAsia="lt-LT"/>
        </w:rPr>
        <w:t xml:space="preserve"> </w:t>
      </w:r>
      <w:r>
        <w:rPr>
          <w:lang w:eastAsia="lt-LT"/>
        </w:rPr>
        <w:t>perėjo</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ir</w:t>
      </w:r>
      <w:r>
        <w:rPr>
          <w:i/>
          <w:iCs/>
          <w:lang w:eastAsia="lt-LT"/>
        </w:rPr>
        <w:t xml:space="preserve"> </w:t>
      </w:r>
      <w:r>
        <w:rPr>
          <w:lang w:eastAsia="lt-LT"/>
        </w:rPr>
        <w:t>šiai</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700</w:t>
      </w:r>
      <w:r>
        <w:rPr>
          <w:i/>
          <w:iCs/>
          <w:lang w:eastAsia="lt-LT"/>
        </w:rPr>
        <w:t xml:space="preserve"> </w:t>
      </w:r>
      <w:r>
        <w:rPr>
          <w:lang w:eastAsia="lt-LT"/>
        </w:rPr>
        <w:t>000</w:t>
      </w:r>
      <w:r>
        <w:rPr>
          <w:i/>
          <w:iCs/>
          <w:lang w:eastAsia="lt-LT"/>
        </w:rPr>
        <w:t xml:space="preserve"> </w:t>
      </w:r>
      <w:r>
        <w:rPr>
          <w:lang w:eastAsia="lt-LT"/>
        </w:rPr>
        <w:t>Eur.</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įsigyto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vertė</w:t>
      </w:r>
      <w:r>
        <w:rPr>
          <w:i/>
          <w:iCs/>
          <w:lang w:eastAsia="lt-LT"/>
        </w:rPr>
        <w:t xml:space="preserve"> </w:t>
      </w:r>
      <w:r>
        <w:rPr>
          <w:lang w:eastAsia="lt-LT"/>
        </w:rPr>
        <w:t>lygi</w:t>
      </w:r>
      <w:r>
        <w:rPr>
          <w:i/>
          <w:iCs/>
          <w:lang w:eastAsia="lt-LT"/>
        </w:rPr>
        <w:t xml:space="preserve"> </w:t>
      </w:r>
      <w:r>
        <w:rPr>
          <w:lang w:eastAsia="lt-LT"/>
        </w:rPr>
        <w:t>385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(700</w:t>
      </w:r>
      <w:r>
        <w:rPr>
          <w:i/>
          <w:iCs/>
          <w:lang w:eastAsia="lt-LT"/>
        </w:rPr>
        <w:t xml:space="preserve"> </w:t>
      </w:r>
      <w:r>
        <w:rPr>
          <w:lang w:eastAsia="lt-LT"/>
        </w:rPr>
        <w:t>000 Eur</w:t>
      </w:r>
      <w:r>
        <w:rPr>
          <w:i/>
          <w:iCs/>
          <w:lang w:eastAsia="lt-LT"/>
        </w:rPr>
        <w:t xml:space="preserve"> </w:t>
      </w:r>
      <w:r>
        <w:rPr>
          <w:lang w:eastAsia="lt-LT"/>
        </w:rPr>
        <w:t>*55/100).</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apskaičiavo</w:t>
      </w:r>
      <w:r>
        <w:rPr>
          <w:i/>
          <w:iCs/>
          <w:lang w:eastAsia="lt-LT"/>
        </w:rPr>
        <w:t xml:space="preserve"> </w:t>
      </w:r>
      <w:r>
        <w:rPr>
          <w:lang w:eastAsia="lt-LT"/>
        </w:rPr>
        <w:t>115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(500</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w:t>
      </w:r>
      <w:r>
        <w:rPr>
          <w:i/>
          <w:iCs/>
          <w:lang w:eastAsia="lt-LT"/>
        </w:rPr>
        <w:t xml:space="preserve"> </w:t>
      </w:r>
      <w:r>
        <w:rPr>
          <w:lang w:eastAsia="lt-LT"/>
        </w:rPr>
        <w:t>385</w:t>
      </w:r>
      <w:r>
        <w:rPr>
          <w:i/>
          <w:iCs/>
          <w:lang w:eastAsia="lt-LT"/>
        </w:rPr>
        <w:t xml:space="preserve"> </w:t>
      </w:r>
      <w:r>
        <w:rPr>
          <w:lang w:eastAsia="lt-LT"/>
        </w:rPr>
        <w:t>000</w:t>
      </w:r>
      <w:r>
        <w:rPr>
          <w:i/>
          <w:iCs/>
          <w:lang w:eastAsia="lt-LT"/>
        </w:rPr>
        <w:t xml:space="preserve"> </w:t>
      </w:r>
      <w:r>
        <w:rPr>
          <w:lang w:eastAsia="lt-LT"/>
        </w:rPr>
        <w:t xml:space="preserve"> Eur)</w:t>
      </w:r>
      <w:r>
        <w:rPr>
          <w:i/>
          <w:iCs/>
          <w:lang w:eastAsia="lt-LT"/>
        </w:rPr>
        <w:t xml:space="preserve"> </w:t>
      </w:r>
      <w:r>
        <w:rPr>
          <w:lang w:eastAsia="lt-LT"/>
        </w:rPr>
        <w:t>prestižo vertę.</w:t>
      </w:r>
      <w:r>
        <w:rPr>
          <w:i/>
          <w:iCs/>
          <w:lang w:eastAsia="lt-LT"/>
        </w:rPr>
        <w:t xml:space="preserve"> </w:t>
      </w:r>
    </w:p>
    <w:p w14:paraId="6B41588B"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prijungiant</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(reorganizavimas</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1</w:t>
      </w:r>
      <w:r>
        <w:rPr>
          <w:i/>
          <w:iCs/>
          <w:lang w:eastAsia="lt-LT"/>
        </w:rPr>
        <w:t xml:space="preserve"> </w:t>
      </w:r>
      <w:r>
        <w:rPr>
          <w:lang w:eastAsia="lt-LT"/>
        </w:rPr>
        <w:t>punktą).</w:t>
      </w:r>
      <w:r>
        <w:rPr>
          <w:i/>
          <w:iCs/>
          <w:lang w:eastAsia="lt-LT"/>
        </w:rPr>
        <w:t xml:space="preserve"> </w:t>
      </w:r>
      <w:r>
        <w:rPr>
          <w:lang w:eastAsia="lt-LT"/>
        </w:rPr>
        <w:t>20</w:t>
      </w:r>
      <w:r>
        <w:rPr>
          <w:iCs/>
          <w:lang w:eastAsia="lt-LT"/>
        </w:rPr>
        <w:t>17</w:t>
      </w:r>
      <w:r>
        <w:rPr>
          <w:i/>
          <w:iCs/>
          <w:lang w:eastAsia="lt-LT"/>
        </w:rPr>
        <w:t xml:space="preserve"> </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lang w:eastAsia="lt-LT"/>
        </w:rPr>
        <w:t>veiklą,</w:t>
      </w:r>
      <w:r>
        <w:rPr>
          <w:i/>
          <w:iCs/>
          <w:lang w:eastAsia="lt-LT"/>
        </w:rPr>
        <w:t xml:space="preserve"> </w:t>
      </w:r>
      <w:r>
        <w:rPr>
          <w:lang w:eastAsia="lt-LT"/>
        </w:rPr>
        <w:t>o</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savo</w:t>
      </w:r>
      <w:r>
        <w:rPr>
          <w:i/>
          <w:iCs/>
          <w:lang w:eastAsia="lt-LT"/>
        </w:rPr>
        <w:t xml:space="preserve"> </w:t>
      </w:r>
      <w:r>
        <w:rPr>
          <w:lang w:eastAsia="lt-LT"/>
        </w:rPr>
        <w:t>veiklą</w:t>
      </w:r>
      <w:r>
        <w:rPr>
          <w:i/>
          <w:iCs/>
          <w:lang w:eastAsia="lt-LT"/>
        </w:rPr>
        <w:t xml:space="preserve"> </w:t>
      </w:r>
      <w:r>
        <w:rPr>
          <w:lang w:eastAsia="lt-LT"/>
        </w:rPr>
        <w:t>baigė.</w:t>
      </w:r>
    </w:p>
    <w:p w14:paraId="44EEC80E"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115</w:t>
      </w:r>
      <w:r>
        <w:rPr>
          <w:i/>
          <w:iCs/>
          <w:lang w:eastAsia="lt-LT"/>
        </w:rPr>
        <w:t xml:space="preserve"> </w:t>
      </w:r>
      <w:r>
        <w:rPr>
          <w:lang w:eastAsia="lt-LT"/>
        </w:rPr>
        <w:t>000</w:t>
      </w:r>
      <w:r>
        <w:rPr>
          <w:i/>
          <w:iCs/>
          <w:lang w:eastAsia="lt-LT"/>
        </w:rPr>
        <w:t xml:space="preserve"> </w:t>
      </w:r>
      <w:r>
        <w:rPr>
          <w:lang w:eastAsia="lt-LT"/>
        </w:rPr>
        <w:t>Eur dydžio</w:t>
      </w:r>
      <w:r>
        <w:rPr>
          <w:i/>
          <w:iCs/>
          <w:lang w:eastAsia="lt-LT"/>
        </w:rPr>
        <w:t xml:space="preserve"> </w:t>
      </w:r>
      <w:r>
        <w:rPr>
          <w:lang w:eastAsia="lt-LT"/>
        </w:rPr>
        <w:t>prestižo vertę</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177D88C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w:t>
      </w:r>
    </w:p>
    <w:p w14:paraId="45F5A711" w14:textId="77777777" w:rsidR="00093845" w:rsidRDefault="000D779E">
      <w:pPr>
        <w:spacing w:before="100" w:beforeAutospacing="1" w:after="100" w:afterAutospacing="1"/>
        <w:jc w:val="both"/>
        <w:rPr>
          <w:lang w:eastAsia="lt-LT"/>
        </w:rPr>
      </w:pPr>
      <w:r>
        <w:rPr>
          <w:bCs/>
          <w:lang w:eastAsia="lt-LT"/>
        </w:rPr>
        <w:t xml:space="preserve">        2</w:t>
      </w:r>
      <w:r>
        <w:rPr>
          <w:bCs/>
          <w:i/>
          <w:iCs/>
          <w:lang w:eastAsia="lt-LT"/>
        </w:rPr>
        <w:t xml:space="preserve"> </w:t>
      </w:r>
      <w:r>
        <w:rPr>
          <w:bCs/>
          <w:lang w:eastAsia="lt-LT"/>
        </w:rPr>
        <w:t>pavyzdys</w:t>
      </w:r>
      <w:r>
        <w:rPr>
          <w:bCs/>
          <w:i/>
          <w:iCs/>
          <w:lang w:eastAsia="lt-LT"/>
        </w:rPr>
        <w:t xml:space="preserve"> </w:t>
      </w:r>
      <w:r>
        <w:rPr>
          <w:lang w:eastAsia="lt-LT"/>
        </w:rPr>
        <w:t> </w:t>
      </w:r>
    </w:p>
    <w:p w14:paraId="7C171069"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15</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100</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1</w:t>
      </w:r>
      <w:r>
        <w:rPr>
          <w:i/>
          <w:iCs/>
          <w:lang w:eastAsia="lt-LT"/>
        </w:rPr>
        <w:t xml:space="preserve"> </w:t>
      </w:r>
      <w:r>
        <w:rPr>
          <w:lang w:eastAsia="lt-LT"/>
        </w:rPr>
        <w:t>mln.</w:t>
      </w:r>
      <w:r>
        <w:rPr>
          <w:i/>
          <w:iCs/>
          <w:lang w:eastAsia="lt-LT"/>
        </w:rPr>
        <w:t xml:space="preserve"> </w:t>
      </w:r>
      <w:r>
        <w:rPr>
          <w:lang w:eastAsia="lt-LT"/>
        </w:rPr>
        <w:t>Eur.</w:t>
      </w:r>
      <w:r>
        <w:rPr>
          <w:i/>
          <w:iCs/>
          <w:lang w:eastAsia="lt-LT"/>
        </w:rPr>
        <w:t xml:space="preserve"> </w:t>
      </w:r>
      <w:r>
        <w:rPr>
          <w:lang w:eastAsia="lt-LT"/>
        </w:rPr>
        <w:t>Akcijos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nuosavybėn</w:t>
      </w:r>
      <w:r>
        <w:rPr>
          <w:i/>
          <w:iCs/>
          <w:lang w:eastAsia="lt-LT"/>
        </w:rPr>
        <w:t xml:space="preserve"> </w:t>
      </w:r>
      <w:r>
        <w:rPr>
          <w:lang w:eastAsia="lt-LT"/>
        </w:rPr>
        <w:t>perėjo</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ir</w:t>
      </w:r>
      <w:r>
        <w:rPr>
          <w:i/>
          <w:iCs/>
          <w:lang w:eastAsia="lt-LT"/>
        </w:rPr>
        <w:t xml:space="preserve"> </w:t>
      </w:r>
      <w:r>
        <w:rPr>
          <w:lang w:eastAsia="lt-LT"/>
        </w:rPr>
        <w:t>šiai</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iCs/>
          <w:lang w:eastAsia="lt-LT"/>
        </w:rPr>
        <w:t xml:space="preserve">apskaičiavo </w:t>
      </w:r>
      <w:r>
        <w:rPr>
          <w:lang w:eastAsia="lt-LT"/>
        </w:rPr>
        <w:t>150</w:t>
      </w:r>
      <w:r>
        <w:rPr>
          <w:i/>
          <w:iCs/>
          <w:lang w:eastAsia="lt-LT"/>
        </w:rPr>
        <w:t xml:space="preserve"> </w:t>
      </w:r>
      <w:r>
        <w:rPr>
          <w:lang w:eastAsia="lt-LT"/>
        </w:rPr>
        <w:t>tūkst.</w:t>
      </w:r>
      <w:r>
        <w:rPr>
          <w:i/>
          <w:iCs/>
          <w:lang w:eastAsia="lt-LT"/>
        </w:rPr>
        <w:t xml:space="preserve"> </w:t>
      </w:r>
      <w:r>
        <w:rPr>
          <w:lang w:eastAsia="lt-LT"/>
        </w:rPr>
        <w:t>Eur (1</w:t>
      </w:r>
      <w:r>
        <w:rPr>
          <w:i/>
          <w:iCs/>
          <w:lang w:eastAsia="lt-LT"/>
        </w:rPr>
        <w:t xml:space="preserve"> </w:t>
      </w:r>
      <w:r>
        <w:rPr>
          <w:lang w:eastAsia="lt-LT"/>
        </w:rPr>
        <w:t>mln Eur –</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w:t>
      </w:r>
      <w:r>
        <w:rPr>
          <w:iCs/>
          <w:lang w:eastAsia="lt-LT"/>
        </w:rPr>
        <w:t>o vertę.</w:t>
      </w:r>
    </w:p>
    <w:p w14:paraId="1BDD992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prijungiant</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(reorganizavimas</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dalies</w:t>
      </w:r>
      <w:r>
        <w:rPr>
          <w:i/>
          <w:iCs/>
          <w:lang w:eastAsia="lt-LT"/>
        </w:rPr>
        <w:t xml:space="preserve"> </w:t>
      </w:r>
      <w:r>
        <w:rPr>
          <w:lang w:eastAsia="lt-LT"/>
        </w:rPr>
        <w:t>3</w:t>
      </w:r>
      <w:r>
        <w:rPr>
          <w:i/>
          <w:iCs/>
          <w:lang w:eastAsia="lt-LT"/>
        </w:rPr>
        <w:t xml:space="preserve"> </w:t>
      </w:r>
      <w:r>
        <w:rPr>
          <w:lang w:eastAsia="lt-LT"/>
        </w:rPr>
        <w:t>punktą).</w:t>
      </w:r>
      <w:r>
        <w:rPr>
          <w:i/>
          <w:iCs/>
          <w:lang w:eastAsia="lt-LT"/>
        </w:rPr>
        <w:t xml:space="preserve"> </w:t>
      </w:r>
      <w:r>
        <w:rPr>
          <w:lang w:eastAsia="lt-LT"/>
        </w:rPr>
        <w:t>20</w:t>
      </w:r>
      <w:r>
        <w:rPr>
          <w:iCs/>
          <w:lang w:eastAsia="lt-LT"/>
        </w:rPr>
        <w:t>17</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lang w:eastAsia="lt-LT"/>
        </w:rPr>
        <w:t>veiklą,</w:t>
      </w:r>
      <w:r>
        <w:rPr>
          <w:i/>
          <w:iCs/>
          <w:lang w:eastAsia="lt-LT"/>
        </w:rPr>
        <w:t xml:space="preserve"> </w:t>
      </w:r>
      <w:r>
        <w:rPr>
          <w:lang w:eastAsia="lt-LT"/>
        </w:rPr>
        <w:t>o</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savo</w:t>
      </w:r>
      <w:r>
        <w:rPr>
          <w:i/>
          <w:iCs/>
          <w:lang w:eastAsia="lt-LT"/>
        </w:rPr>
        <w:t xml:space="preserve"> </w:t>
      </w:r>
      <w:r>
        <w:rPr>
          <w:lang w:eastAsia="lt-LT"/>
        </w:rPr>
        <w:t>veiklą</w:t>
      </w:r>
      <w:r>
        <w:rPr>
          <w:i/>
          <w:iCs/>
          <w:lang w:eastAsia="lt-LT"/>
        </w:rPr>
        <w:t xml:space="preserve"> </w:t>
      </w:r>
      <w:r>
        <w:rPr>
          <w:lang w:eastAsia="lt-LT"/>
        </w:rPr>
        <w:t>baigė.</w:t>
      </w:r>
    </w:p>
    <w:p w14:paraId="1F498E0B"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lastRenderedPageBreak/>
        <w:t xml:space="preserve">     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tęsianti</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apskaičiuodama</w:t>
      </w:r>
      <w:r>
        <w:rPr>
          <w:i/>
          <w:iCs/>
          <w:lang w:eastAsia="lt-LT"/>
        </w:rPr>
        <w:t xml:space="preserve"> </w:t>
      </w:r>
      <w:r>
        <w:rPr>
          <w:lang w:eastAsia="lt-LT"/>
        </w:rPr>
        <w:t>apmokestinamąjį</w:t>
      </w:r>
      <w:r>
        <w:rPr>
          <w:i/>
          <w:iCs/>
          <w:lang w:eastAsia="lt-LT"/>
        </w:rPr>
        <w:t xml:space="preserve"> </w:t>
      </w:r>
      <w:r>
        <w:rPr>
          <w:lang w:eastAsia="lt-LT"/>
        </w:rPr>
        <w:t>pelną,</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nustatytą</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prestižo vertę</w:t>
      </w:r>
      <w:r>
        <w:rPr>
          <w:i/>
          <w:iCs/>
          <w:lang w:eastAsia="lt-LT"/>
        </w:rPr>
        <w:t xml:space="preserve"> </w:t>
      </w:r>
      <w:r>
        <w:rPr>
          <w:lang w:eastAsia="lt-LT"/>
        </w:rPr>
        <w:t>(ilgalaikį</w:t>
      </w:r>
      <w:r>
        <w:rPr>
          <w:i/>
          <w:iCs/>
          <w:lang w:eastAsia="lt-LT"/>
        </w:rPr>
        <w:t xml:space="preserve"> </w:t>
      </w:r>
      <w:r>
        <w:rPr>
          <w:lang w:eastAsia="lt-LT"/>
        </w:rPr>
        <w:t>nematerialųjį</w:t>
      </w:r>
      <w:r>
        <w:rPr>
          <w:i/>
          <w:iCs/>
          <w:lang w:eastAsia="lt-LT"/>
        </w:rPr>
        <w:t xml:space="preserve"> </w:t>
      </w:r>
      <w:r>
        <w:rPr>
          <w:lang w:eastAsia="lt-LT"/>
        </w:rPr>
        <w:t>turtą)</w:t>
      </w:r>
      <w:r>
        <w:rPr>
          <w:i/>
          <w:iCs/>
          <w:lang w:eastAsia="lt-LT"/>
        </w:rPr>
        <w:t xml:space="preserve"> </w:t>
      </w:r>
      <w:r>
        <w:rPr>
          <w:lang w:eastAsia="lt-LT"/>
        </w:rPr>
        <w:t>gali</w:t>
      </w:r>
      <w:r>
        <w:rPr>
          <w:i/>
          <w:iCs/>
          <w:lang w:eastAsia="lt-LT"/>
        </w:rPr>
        <w:t xml:space="preserve"> </w:t>
      </w:r>
      <w:r>
        <w:rPr>
          <w:lang w:eastAsia="lt-LT"/>
        </w:rPr>
        <w:t>priskirti</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r>
        <w:rPr>
          <w:lang w:eastAsia="lt-LT"/>
        </w:rPr>
        <w:t>taikydama</w:t>
      </w:r>
      <w:r>
        <w:rPr>
          <w:i/>
          <w:iCs/>
          <w:lang w:eastAsia="lt-LT"/>
        </w:rPr>
        <w:t xml:space="preserve"> </w:t>
      </w:r>
      <w:r>
        <w:rPr>
          <w:lang w:eastAsia="lt-LT"/>
        </w:rPr>
        <w:t>ne</w:t>
      </w:r>
      <w:r>
        <w:rPr>
          <w:i/>
          <w:iCs/>
          <w:lang w:eastAsia="lt-LT"/>
        </w:rPr>
        <w:t xml:space="preserve"> </w:t>
      </w:r>
      <w:r>
        <w:rPr>
          <w:lang w:eastAsia="lt-LT"/>
        </w:rPr>
        <w:t>trumpesnį</w:t>
      </w:r>
      <w:r>
        <w:rPr>
          <w:i/>
          <w:iCs/>
          <w:lang w:eastAsia="lt-LT"/>
        </w:rPr>
        <w:t xml:space="preserve"> </w:t>
      </w:r>
      <w:r>
        <w:rPr>
          <w:lang w:eastAsia="lt-LT"/>
        </w:rPr>
        <w:t>kaip</w:t>
      </w:r>
      <w:r>
        <w:rPr>
          <w:i/>
          <w:iCs/>
          <w:lang w:eastAsia="lt-LT"/>
        </w:rPr>
        <w:t xml:space="preserve"> </w:t>
      </w:r>
      <w:r>
        <w:rPr>
          <w:lang w:eastAsia="lt-LT"/>
        </w:rPr>
        <w:t>PMĮ</w:t>
      </w:r>
      <w:r>
        <w:rPr>
          <w:i/>
          <w:iCs/>
          <w:lang w:eastAsia="lt-LT"/>
        </w:rPr>
        <w:t xml:space="preserve"> </w:t>
      </w:r>
      <w:r>
        <w:rPr>
          <w:lang w:eastAsia="lt-LT"/>
        </w:rPr>
        <w:t>1</w:t>
      </w:r>
      <w:r>
        <w:rPr>
          <w:i/>
          <w:iCs/>
          <w:lang w:eastAsia="lt-LT"/>
        </w:rPr>
        <w:t xml:space="preserve"> </w:t>
      </w:r>
      <w:r>
        <w:rPr>
          <w:lang w:eastAsia="lt-LT"/>
        </w:rPr>
        <w:t>priedėlyje</w:t>
      </w:r>
      <w:r>
        <w:rPr>
          <w:i/>
          <w:iCs/>
          <w:lang w:eastAsia="lt-LT"/>
        </w:rPr>
        <w:t xml:space="preserve"> </w:t>
      </w:r>
      <w:r>
        <w:rPr>
          <w:lang w:eastAsia="lt-LT"/>
        </w:rPr>
        <w:t>prestižui</w:t>
      </w:r>
      <w:r>
        <w:rPr>
          <w:i/>
          <w:iCs/>
          <w:lang w:eastAsia="lt-LT"/>
        </w:rPr>
        <w:t xml:space="preserve"> </w:t>
      </w:r>
      <w:r>
        <w:rPr>
          <w:lang w:eastAsia="lt-LT"/>
        </w:rPr>
        <w:t>nustatytą</w:t>
      </w:r>
      <w:r>
        <w:rPr>
          <w:i/>
          <w:iCs/>
          <w:lang w:eastAsia="lt-LT"/>
        </w:rPr>
        <w:t xml:space="preserve"> </w:t>
      </w:r>
      <w:r>
        <w:rPr>
          <w:lang w:eastAsia="lt-LT"/>
        </w:rPr>
        <w:t>15</w:t>
      </w:r>
      <w:r>
        <w:rPr>
          <w:i/>
          <w:iCs/>
          <w:lang w:eastAsia="lt-LT"/>
        </w:rPr>
        <w:t xml:space="preserve"> </w:t>
      </w:r>
      <w:r>
        <w:rPr>
          <w:lang w:eastAsia="lt-LT"/>
        </w:rPr>
        <w:t>metų</w:t>
      </w:r>
      <w:r>
        <w:rPr>
          <w:i/>
          <w:iCs/>
          <w:lang w:eastAsia="lt-LT"/>
        </w:rPr>
        <w:t xml:space="preserve"> </w:t>
      </w:r>
      <w:r>
        <w:rPr>
          <w:lang w:eastAsia="lt-LT"/>
        </w:rPr>
        <w:t>normatyvą</w:t>
      </w:r>
      <w:r>
        <w:rPr>
          <w:i/>
          <w:iCs/>
          <w:lang w:eastAsia="lt-LT"/>
        </w:rPr>
        <w:t xml:space="preserve"> </w:t>
      </w:r>
      <w:r>
        <w:rPr>
          <w:lang w:eastAsia="lt-LT"/>
        </w:rPr>
        <w:t>bei</w:t>
      </w:r>
      <w:r>
        <w:rPr>
          <w:i/>
          <w:iCs/>
          <w:lang w:eastAsia="lt-LT"/>
        </w:rPr>
        <w:t xml:space="preserve"> </w:t>
      </w:r>
      <w:r>
        <w:rPr>
          <w:lang w:eastAsia="lt-LT"/>
        </w:rPr>
        <w:t>tiesinį</w:t>
      </w:r>
      <w:r>
        <w:rPr>
          <w:i/>
          <w:iCs/>
          <w:lang w:eastAsia="lt-LT"/>
        </w:rPr>
        <w:t xml:space="preserve"> </w:t>
      </w:r>
      <w:r>
        <w:rPr>
          <w:lang w:eastAsia="lt-LT"/>
        </w:rPr>
        <w:t>metodą.</w:t>
      </w:r>
      <w:r>
        <w:rPr>
          <w:i/>
          <w:iCs/>
          <w:lang w:eastAsia="lt-LT"/>
        </w:rPr>
        <w:t xml:space="preserve"> </w:t>
      </w:r>
    </w:p>
    <w:p w14:paraId="63DAEEC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w:t>
      </w:r>
    </w:p>
    <w:p w14:paraId="6107E7CB" w14:textId="77777777" w:rsidR="00093845" w:rsidRDefault="00390442">
      <w:pPr>
        <w:spacing w:before="100" w:beforeAutospacing="1" w:after="100" w:afterAutospacing="1"/>
        <w:jc w:val="both"/>
      </w:pPr>
      <w:r>
        <w:rPr>
          <w:lang w:eastAsia="lt-LT"/>
        </w:rPr>
        <w:t xml:space="preserve">        6</w:t>
      </w:r>
      <w:r w:rsidR="000D779E">
        <w:rPr>
          <w:lang w:eastAsia="lt-LT"/>
        </w:rPr>
        <w:t>.</w:t>
      </w:r>
      <w:r w:rsidR="000D779E">
        <w:rPr>
          <w:i/>
          <w:iCs/>
          <w:lang w:eastAsia="lt-LT"/>
        </w:rPr>
        <w:t xml:space="preserve"> </w:t>
      </w:r>
      <w:r w:rsidR="000D779E">
        <w:rPr>
          <w:lang w:eastAsia="lt-LT"/>
        </w:rPr>
        <w:t>Šios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nuostatos</w:t>
      </w:r>
      <w:r w:rsidR="000D779E">
        <w:rPr>
          <w:i/>
          <w:iCs/>
          <w:lang w:eastAsia="lt-LT"/>
        </w:rPr>
        <w:t xml:space="preserve"> </w:t>
      </w:r>
      <w:r w:rsidR="000D779E">
        <w:rPr>
          <w:lang w:eastAsia="lt-LT"/>
        </w:rPr>
        <w:t>taip</w:t>
      </w:r>
      <w:r w:rsidR="000D779E">
        <w:rPr>
          <w:i/>
          <w:iCs/>
          <w:lang w:eastAsia="lt-LT"/>
        </w:rPr>
        <w:t xml:space="preserve"> </w:t>
      </w:r>
      <w:r w:rsidR="000D779E">
        <w:rPr>
          <w:lang w:eastAsia="lt-LT"/>
        </w:rPr>
        <w:t>pat</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kai</w:t>
      </w:r>
      <w:r w:rsidR="000D779E">
        <w:rPr>
          <w:i/>
          <w:iCs/>
          <w:lang w:eastAsia="lt-LT"/>
        </w:rPr>
        <w:t xml:space="preserve"> </w:t>
      </w:r>
      <w:r w:rsidR="000D779E">
        <w:rPr>
          <w:lang w:eastAsia="lt-LT"/>
        </w:rPr>
        <w:t>vienetui</w:t>
      </w:r>
      <w:r w:rsidR="000D779E">
        <w:rPr>
          <w:i/>
          <w:iCs/>
          <w:lang w:eastAsia="lt-LT"/>
        </w:rPr>
        <w:t xml:space="preserve"> </w:t>
      </w:r>
      <w:r w:rsidR="000D779E">
        <w:rPr>
          <w:lang w:eastAsia="lt-LT"/>
        </w:rPr>
        <w:t>įsigyjant</w:t>
      </w:r>
      <w:r w:rsidR="000D779E">
        <w:rPr>
          <w:i/>
          <w:iCs/>
          <w:lang w:eastAsia="lt-LT"/>
        </w:rPr>
        <w:t xml:space="preserve"> </w:t>
      </w:r>
      <w:r w:rsidR="000D779E">
        <w:rPr>
          <w:lang w:eastAsia="lt-LT"/>
        </w:rPr>
        <w:t>100</w:t>
      </w:r>
      <w:r w:rsidR="000D779E">
        <w:rPr>
          <w:i/>
          <w:iCs/>
          <w:lang w:eastAsia="lt-LT"/>
        </w:rPr>
        <w:t xml:space="preserve"> </w:t>
      </w:r>
      <w:r w:rsidR="000D779E">
        <w:rPr>
          <w:lang w:eastAsia="lt-LT"/>
        </w:rPr>
        <w:t>proc.</w:t>
      </w:r>
      <w:r w:rsidR="000D779E">
        <w:rPr>
          <w:i/>
          <w:iCs/>
          <w:lang w:eastAsia="lt-LT"/>
        </w:rPr>
        <w:t xml:space="preserve"> </w:t>
      </w:r>
      <w:r w:rsidR="000D779E">
        <w:rPr>
          <w:lang w:eastAsia="lt-LT"/>
        </w:rPr>
        <w:t>(arba</w:t>
      </w:r>
      <w:r w:rsidR="000D779E">
        <w:rPr>
          <w:i/>
          <w:iCs/>
          <w:lang w:eastAsia="lt-LT"/>
        </w:rPr>
        <w:t xml:space="preserve"> </w:t>
      </w:r>
      <w:r w:rsidR="000D779E">
        <w:rPr>
          <w:lang w:eastAsia="lt-LT"/>
        </w:rPr>
        <w:t>mažiau)</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iCs/>
          <w:lang w:eastAsia="lt-LT"/>
        </w:rPr>
        <w:t xml:space="preserve">30 </w:t>
      </w:r>
      <w:r w:rsidR="000D779E">
        <w:rPr>
          <w:lang w:eastAsia="lt-LT"/>
        </w:rPr>
        <w:t>dalį</w:t>
      </w:r>
      <w:r w:rsidR="000D779E">
        <w:rPr>
          <w:i/>
          <w:iCs/>
          <w:lang w:eastAsia="lt-LT"/>
        </w:rPr>
        <w:t xml:space="preserve"> </w:t>
      </w:r>
      <w:r w:rsidR="000D779E">
        <w:rPr>
          <w:lang w:eastAsia="lt-LT"/>
        </w:rPr>
        <w:t>susidaro</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o</w:t>
      </w:r>
      <w:r w:rsidR="000D779E">
        <w:rPr>
          <w:i/>
          <w:iCs/>
          <w:lang w:eastAsia="lt-LT"/>
        </w:rPr>
        <w:t xml:space="preserve"> </w:t>
      </w:r>
      <w:r w:rsidR="000D779E">
        <w:rPr>
          <w:lang w:eastAsia="lt-LT"/>
        </w:rPr>
        <w:t>vėliau</w:t>
      </w:r>
      <w:r w:rsidR="000D779E">
        <w:rPr>
          <w:i/>
          <w:iCs/>
          <w:lang w:eastAsia="lt-LT"/>
        </w:rPr>
        <w:t xml:space="preserve"> </w:t>
      </w:r>
      <w:r w:rsidR="000D779E">
        <w:rPr>
          <w:lang w:eastAsia="lt-LT"/>
        </w:rPr>
        <w:t>reorganizuojant</w:t>
      </w:r>
      <w:r w:rsidR="000D779E">
        <w:rPr>
          <w:i/>
          <w:iCs/>
          <w:lang w:eastAsia="lt-LT"/>
        </w:rPr>
        <w:t xml:space="preserve"> </w:t>
      </w:r>
      <w:r w:rsidR="000D779E">
        <w:rPr>
          <w:lang w:eastAsia="lt-LT"/>
        </w:rPr>
        <w:t>šiuos</w:t>
      </w:r>
      <w:r w:rsidR="000D779E">
        <w:rPr>
          <w:i/>
          <w:iCs/>
          <w:lang w:eastAsia="lt-LT"/>
        </w:rPr>
        <w:t xml:space="preserve"> </w:t>
      </w:r>
      <w:r w:rsidR="000D779E">
        <w:rPr>
          <w:lang w:eastAsia="lt-LT"/>
        </w:rPr>
        <w:t>vienetus</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prijungiamas</w:t>
      </w:r>
      <w:r w:rsidR="000D779E">
        <w:rPr>
          <w:i/>
          <w:iCs/>
          <w:lang w:eastAsia="lt-LT"/>
        </w:rPr>
        <w:t xml:space="preserve"> </w:t>
      </w:r>
      <w:r w:rsidR="000D779E">
        <w:rPr>
          <w:lang w:eastAsia="lt-LT"/>
        </w:rPr>
        <w:t>įsigyjantysis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(prie</w:t>
      </w:r>
      <w:r w:rsidR="000D779E">
        <w:rPr>
          <w:i/>
          <w:iCs/>
          <w:lang w:eastAsia="lt-LT"/>
        </w:rPr>
        <w:t xml:space="preserve"> </w:t>
      </w:r>
      <w:r w:rsidR="000D779E">
        <w:rPr>
          <w:lang w:eastAsia="lt-LT"/>
        </w:rPr>
        <w:t>dukterinio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prijungiamas</w:t>
      </w:r>
      <w:r w:rsidR="000D779E">
        <w:rPr>
          <w:i/>
          <w:iCs/>
          <w:lang w:eastAsia="lt-LT"/>
        </w:rPr>
        <w:t xml:space="preserve"> </w:t>
      </w:r>
      <w:r w:rsidR="000D779E">
        <w:rPr>
          <w:lang w:eastAsia="lt-LT"/>
        </w:rPr>
        <w:t>patronuojantis</w:t>
      </w:r>
      <w:r w:rsidR="000D779E">
        <w:rPr>
          <w:i/>
          <w:iCs/>
          <w:lang w:eastAsia="lt-LT"/>
        </w:rPr>
        <w:t xml:space="preserve"> </w:t>
      </w:r>
      <w:r w:rsidR="000D779E">
        <w:rPr>
          <w:lang w:eastAsia="lt-LT"/>
        </w:rPr>
        <w:t>vienetas).</w:t>
      </w:r>
      <w:r w:rsidR="000D779E">
        <w:rPr>
          <w:i/>
          <w:iCs/>
          <w:lang w:eastAsia="lt-LT"/>
        </w:rPr>
        <w:t xml:space="preserve"> </w:t>
      </w:r>
      <w:r w:rsidR="000D779E">
        <w:rPr>
          <w:lang w:eastAsia="lt-LT"/>
        </w:rPr>
        <w:t>Tokiu</w:t>
      </w:r>
      <w:r w:rsidR="000D779E">
        <w:rPr>
          <w:i/>
          <w:iCs/>
          <w:lang w:eastAsia="lt-LT"/>
        </w:rPr>
        <w:t xml:space="preserve"> </w:t>
      </w:r>
      <w:r w:rsidR="000D779E">
        <w:rPr>
          <w:lang w:eastAsia="lt-LT"/>
        </w:rPr>
        <w:t>atveju</w:t>
      </w:r>
      <w:r w:rsidR="000D779E">
        <w:rPr>
          <w:i/>
          <w:iCs/>
          <w:lang w:eastAsia="lt-LT"/>
        </w:rPr>
        <w:t xml:space="preserve"> </w:t>
      </w:r>
      <w:r w:rsidR="000D779E">
        <w:rPr>
          <w:lang w:eastAsia="lt-LT"/>
        </w:rPr>
        <w:t>patronuojančio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apskaičiuotos</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amortizacija</w:t>
      </w:r>
      <w:r w:rsidR="000D779E">
        <w:rPr>
          <w:i/>
          <w:iCs/>
          <w:lang w:eastAsia="lt-LT"/>
        </w:rPr>
        <w:t xml:space="preserve"> </w:t>
      </w:r>
      <w:r w:rsidR="000D779E">
        <w:rPr>
          <w:lang w:eastAsia="lt-LT"/>
        </w:rPr>
        <w:t>skaičiuojama</w:t>
      </w:r>
      <w:r w:rsidR="000D779E">
        <w:rPr>
          <w:i/>
          <w:iCs/>
          <w:lang w:eastAsia="lt-LT"/>
        </w:rPr>
        <w:t xml:space="preserve"> </w:t>
      </w:r>
      <w:r w:rsidR="000D779E">
        <w:rPr>
          <w:lang w:eastAsia="lt-LT"/>
        </w:rPr>
        <w:t>ir</w:t>
      </w:r>
      <w:r w:rsidR="000D779E">
        <w:rPr>
          <w:i/>
          <w:iCs/>
          <w:lang w:eastAsia="lt-LT"/>
        </w:rPr>
        <w:t xml:space="preserve"> </w:t>
      </w:r>
      <w:r w:rsidR="000D779E">
        <w:rPr>
          <w:lang w:eastAsia="lt-LT"/>
        </w:rPr>
        <w:t>atskaitoma</w:t>
      </w:r>
      <w:r w:rsidR="000D779E">
        <w:rPr>
          <w:i/>
          <w:iCs/>
          <w:lang w:eastAsia="lt-LT"/>
        </w:rPr>
        <w:t xml:space="preserve"> </w:t>
      </w:r>
      <w:r w:rsidR="000D779E">
        <w:rPr>
          <w:lang w:eastAsia="lt-LT"/>
        </w:rPr>
        <w:t>iš</w:t>
      </w:r>
      <w:r w:rsidR="000D779E">
        <w:rPr>
          <w:i/>
          <w:iCs/>
          <w:lang w:eastAsia="lt-LT"/>
        </w:rPr>
        <w:t xml:space="preserve"> </w:t>
      </w:r>
      <w:r w:rsidR="000D779E">
        <w:rPr>
          <w:lang w:eastAsia="lt-LT"/>
        </w:rPr>
        <w:t>po</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veiksiančio</w:t>
      </w:r>
      <w:r w:rsidR="000D779E">
        <w:rPr>
          <w:i/>
          <w:iCs/>
          <w:lang w:eastAsia="lt-LT"/>
        </w:rPr>
        <w:t xml:space="preserve"> </w:t>
      </w:r>
      <w:r w:rsidR="000D779E">
        <w:rPr>
          <w:lang w:eastAsia="lt-LT"/>
        </w:rPr>
        <w:t>dukterinio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 jeigu po vieneto prijungimo tęsiamos vienetų</w:t>
      </w:r>
      <w:r w:rsidR="000D779E">
        <w:rPr>
          <w:i/>
          <w:iCs/>
          <w:lang w:eastAsia="lt-LT"/>
        </w:rPr>
        <w:t xml:space="preserve"> </w:t>
      </w:r>
      <w:r w:rsidR="000D779E">
        <w:rPr>
          <w:lang w:eastAsia="lt-LT"/>
        </w:rPr>
        <w:t xml:space="preserve">veiklos ir dėl įvykdytos reorganizacijos gaunama ekonominė nauda. </w:t>
      </w:r>
    </w:p>
    <w:p w14:paraId="07542EDE" w14:textId="77777777" w:rsidR="00093845" w:rsidRDefault="000D779E">
      <w:pPr>
        <w:spacing w:before="100" w:beforeAutospacing="1" w:after="100" w:afterAutospacing="1"/>
        <w:jc w:val="both"/>
        <w:rPr>
          <w:lang w:eastAsia="lt-LT"/>
        </w:rPr>
      </w:pPr>
      <w:r>
        <w:rPr>
          <w:bCs/>
          <w:lang w:eastAsia="lt-LT"/>
        </w:rPr>
        <w:t xml:space="preserve">     Pavyzdys</w:t>
      </w:r>
      <w:r>
        <w:rPr>
          <w:bCs/>
          <w:i/>
          <w:iCs/>
          <w:lang w:eastAsia="lt-LT"/>
        </w:rPr>
        <w:t xml:space="preserve"> </w:t>
      </w:r>
      <w:r>
        <w:rPr>
          <w:lang w:eastAsia="lt-LT"/>
        </w:rPr>
        <w:t> </w:t>
      </w:r>
    </w:p>
    <w:p w14:paraId="43969F23"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i/>
          <w:iCs/>
          <w:strike/>
          <w:lang w:eastAsia="lt-LT"/>
        </w:rPr>
      </w:pPr>
      <w:r>
        <w:rPr>
          <w:lang w:eastAsia="lt-LT"/>
        </w:rPr>
        <w:t xml:space="preserve">    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siekdama</w:t>
      </w:r>
      <w:r>
        <w:rPr>
          <w:i/>
          <w:iCs/>
          <w:lang w:eastAsia="lt-LT"/>
        </w:rPr>
        <w:t xml:space="preserve"> </w:t>
      </w:r>
      <w:r>
        <w:rPr>
          <w:lang w:eastAsia="lt-LT"/>
        </w:rPr>
        <w:t>valdyti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veiklą,</w:t>
      </w:r>
      <w:r>
        <w:rPr>
          <w:i/>
          <w:iCs/>
          <w:lang w:eastAsia="lt-LT"/>
        </w:rPr>
        <w:t xml:space="preserve"> </w:t>
      </w:r>
      <w:r>
        <w:rPr>
          <w:lang w:eastAsia="lt-LT"/>
        </w:rPr>
        <w:t>20</w:t>
      </w:r>
      <w:r>
        <w:rPr>
          <w:iCs/>
          <w:lang w:eastAsia="lt-LT"/>
        </w:rPr>
        <w:t>16</w:t>
      </w:r>
      <w:r>
        <w:rPr>
          <w:i/>
          <w:iCs/>
          <w:lang w:eastAsia="lt-LT"/>
        </w:rPr>
        <w:t xml:space="preserve"> </w:t>
      </w:r>
      <w:r>
        <w:rPr>
          <w:lang w:eastAsia="lt-LT"/>
        </w:rPr>
        <w:t>m.</w:t>
      </w:r>
      <w:r>
        <w:rPr>
          <w:i/>
          <w:iCs/>
          <w:lang w:eastAsia="lt-LT"/>
        </w:rPr>
        <w:t xml:space="preserve"> </w:t>
      </w:r>
      <w:r>
        <w:rPr>
          <w:lang w:eastAsia="lt-LT"/>
        </w:rPr>
        <w:t>birželio</w:t>
      </w:r>
      <w:r>
        <w:rPr>
          <w:i/>
          <w:iCs/>
          <w:lang w:eastAsia="lt-LT"/>
        </w:rPr>
        <w:t xml:space="preserve"> </w:t>
      </w:r>
      <w:r>
        <w:rPr>
          <w:lang w:eastAsia="lt-LT"/>
        </w:rPr>
        <w:t>30</w:t>
      </w:r>
      <w:r>
        <w:rPr>
          <w:i/>
          <w:iCs/>
          <w:lang w:eastAsia="lt-LT"/>
        </w:rPr>
        <w:t xml:space="preserve"> </w:t>
      </w:r>
      <w:r>
        <w:rPr>
          <w:lang w:eastAsia="lt-LT"/>
        </w:rPr>
        <w:t>d.</w:t>
      </w:r>
      <w:r>
        <w:rPr>
          <w:i/>
          <w:iCs/>
          <w:lang w:eastAsia="lt-LT"/>
        </w:rPr>
        <w:t xml:space="preserve"> </w:t>
      </w:r>
      <w:r>
        <w:rPr>
          <w:lang w:eastAsia="lt-LT"/>
        </w:rPr>
        <w:t>nusipirko</w:t>
      </w:r>
      <w:r>
        <w:rPr>
          <w:i/>
          <w:iCs/>
          <w:lang w:eastAsia="lt-LT"/>
        </w:rPr>
        <w:t xml:space="preserve"> </w:t>
      </w:r>
      <w:r>
        <w:rPr>
          <w:lang w:eastAsia="lt-LT"/>
        </w:rPr>
        <w:t>100</w:t>
      </w:r>
      <w:r>
        <w:rPr>
          <w:i/>
          <w:iCs/>
          <w:lang w:eastAsia="lt-LT"/>
        </w:rPr>
        <w:t xml:space="preserve"> </w:t>
      </w:r>
      <w:r>
        <w:rPr>
          <w:lang w:eastAsia="lt-LT"/>
        </w:rPr>
        <w:t>proc.</w:t>
      </w:r>
      <w:r>
        <w:rPr>
          <w:i/>
          <w:iCs/>
          <w:lang w:eastAsia="lt-LT"/>
        </w:rPr>
        <w:t xml:space="preserve"> </w:t>
      </w:r>
      <w:r>
        <w:rPr>
          <w:lang w:eastAsia="lt-LT"/>
        </w:rPr>
        <w:t>šios</w:t>
      </w:r>
      <w:r>
        <w:rPr>
          <w:i/>
          <w:iCs/>
          <w:lang w:eastAsia="lt-LT"/>
        </w:rPr>
        <w:t xml:space="preserve"> </w:t>
      </w:r>
      <w:r>
        <w:rPr>
          <w:lang w:eastAsia="lt-LT"/>
        </w:rPr>
        <w:t>bendrovės</w:t>
      </w:r>
      <w:r>
        <w:rPr>
          <w:i/>
          <w:iCs/>
          <w:lang w:eastAsia="lt-LT"/>
        </w:rPr>
        <w:t xml:space="preserve"> </w:t>
      </w:r>
      <w:r>
        <w:rPr>
          <w:lang w:eastAsia="lt-LT"/>
        </w:rPr>
        <w:t>akcijų</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tapo</w:t>
      </w:r>
      <w:r>
        <w:rPr>
          <w:i/>
          <w:iCs/>
          <w:lang w:eastAsia="lt-LT"/>
        </w:rPr>
        <w:t xml:space="preserve"> </w:t>
      </w:r>
      <w:r>
        <w:rPr>
          <w:lang w:eastAsia="lt-LT"/>
        </w:rPr>
        <w:t>patronuojančiu</w:t>
      </w:r>
      <w:r>
        <w:rPr>
          <w:i/>
          <w:iCs/>
          <w:lang w:eastAsia="lt-LT"/>
        </w:rPr>
        <w:t xml:space="preserve"> </w:t>
      </w:r>
      <w:r>
        <w:rPr>
          <w:lang w:eastAsia="lt-LT"/>
        </w:rPr>
        <w:t>vienetu),</w:t>
      </w:r>
      <w:r>
        <w:rPr>
          <w:i/>
          <w:iCs/>
          <w:lang w:eastAsia="lt-LT"/>
        </w:rPr>
        <w:t xml:space="preserve"> </w:t>
      </w:r>
      <w:r>
        <w:rPr>
          <w:lang w:eastAsia="lt-LT"/>
        </w:rPr>
        <w:t>už</w:t>
      </w:r>
      <w:r>
        <w:rPr>
          <w:i/>
          <w:iCs/>
          <w:lang w:eastAsia="lt-LT"/>
        </w:rPr>
        <w:t xml:space="preserve"> </w:t>
      </w:r>
      <w:r>
        <w:rPr>
          <w:lang w:eastAsia="lt-LT"/>
        </w:rPr>
        <w:t>kurias</w:t>
      </w:r>
      <w:r>
        <w:rPr>
          <w:i/>
          <w:iCs/>
          <w:lang w:eastAsia="lt-LT"/>
        </w:rPr>
        <w:t xml:space="preserve"> </w:t>
      </w:r>
      <w:r>
        <w:rPr>
          <w:lang w:eastAsia="lt-LT"/>
        </w:rPr>
        <w:t>sumokėjo</w:t>
      </w:r>
      <w:r>
        <w:rPr>
          <w:i/>
          <w:iCs/>
          <w:lang w:eastAsia="lt-LT"/>
        </w:rPr>
        <w:t xml:space="preserve"> </w:t>
      </w:r>
      <w:r>
        <w:rPr>
          <w:lang w:eastAsia="lt-LT"/>
        </w:rPr>
        <w:t>1</w:t>
      </w:r>
      <w:r>
        <w:rPr>
          <w:i/>
          <w:iCs/>
          <w:lang w:eastAsia="lt-LT"/>
        </w:rPr>
        <w:t xml:space="preserve"> </w:t>
      </w:r>
      <w:r>
        <w:rPr>
          <w:lang w:eastAsia="lt-LT"/>
        </w:rPr>
        <w:t>mln 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(perėjimo</w:t>
      </w:r>
      <w:r>
        <w:rPr>
          <w:i/>
          <w:iCs/>
          <w:lang w:eastAsia="lt-LT"/>
        </w:rPr>
        <w:t xml:space="preserve"> </w:t>
      </w:r>
      <w:r>
        <w:rPr>
          <w:lang w:eastAsia="lt-LT"/>
        </w:rPr>
        <w:t>nuosavybėn)</w:t>
      </w:r>
      <w:r>
        <w:rPr>
          <w:i/>
          <w:iCs/>
          <w:lang w:eastAsia="lt-LT"/>
        </w:rPr>
        <w:t xml:space="preserve"> </w:t>
      </w:r>
      <w:r>
        <w:rPr>
          <w:lang w:eastAsia="lt-LT"/>
        </w:rPr>
        <w:t>datai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grynojo</w:t>
      </w:r>
      <w:r>
        <w:rPr>
          <w:i/>
          <w:iCs/>
          <w:lang w:eastAsia="lt-LT"/>
        </w:rPr>
        <w:t xml:space="preserve"> </w:t>
      </w:r>
      <w:r>
        <w:rPr>
          <w:lang w:eastAsia="lt-LT"/>
        </w:rPr>
        <w:t>turto,</w:t>
      </w:r>
      <w:r>
        <w:rPr>
          <w:i/>
          <w:iCs/>
          <w:lang w:eastAsia="lt-LT"/>
        </w:rPr>
        <w:t xml:space="preserve"> </w:t>
      </w:r>
      <w:r>
        <w:rPr>
          <w:lang w:eastAsia="lt-LT"/>
        </w:rPr>
        <w:t>įvertinto</w:t>
      </w:r>
      <w:r>
        <w:rPr>
          <w:i/>
          <w:iCs/>
          <w:lang w:eastAsia="lt-LT"/>
        </w:rPr>
        <w:t xml:space="preserve"> </w:t>
      </w:r>
      <w:r>
        <w:rPr>
          <w:lang w:eastAsia="lt-LT"/>
        </w:rPr>
        <w:t>tikrąja</w:t>
      </w:r>
      <w:r>
        <w:rPr>
          <w:i/>
          <w:iCs/>
          <w:lang w:eastAsia="lt-LT"/>
        </w:rPr>
        <w:t xml:space="preserve"> </w:t>
      </w:r>
      <w:r>
        <w:rPr>
          <w:lang w:eastAsia="lt-LT"/>
        </w:rPr>
        <w:t>rinkos</w:t>
      </w:r>
      <w:r>
        <w:rPr>
          <w:i/>
          <w:iCs/>
          <w:lang w:eastAsia="lt-LT"/>
        </w:rPr>
        <w:t xml:space="preserve"> </w:t>
      </w:r>
      <w:r>
        <w:rPr>
          <w:lang w:eastAsia="lt-LT"/>
        </w:rPr>
        <w:t>kaina,</w:t>
      </w:r>
      <w:r>
        <w:rPr>
          <w:i/>
          <w:iCs/>
          <w:lang w:eastAsia="lt-LT"/>
        </w:rPr>
        <w:t xml:space="preserve"> </w:t>
      </w:r>
      <w:r>
        <w:rPr>
          <w:lang w:eastAsia="lt-LT"/>
        </w:rPr>
        <w:t>vertė</w:t>
      </w:r>
      <w:r>
        <w:rPr>
          <w:i/>
          <w:iCs/>
          <w:lang w:eastAsia="lt-LT"/>
        </w:rPr>
        <w:t xml:space="preserve"> </w:t>
      </w:r>
      <w:r>
        <w:rPr>
          <w:lang w:eastAsia="lt-LT"/>
        </w:rPr>
        <w:t>sudarė</w:t>
      </w:r>
      <w:r>
        <w:rPr>
          <w:i/>
          <w:iCs/>
          <w:lang w:eastAsia="lt-LT"/>
        </w:rPr>
        <w:t xml:space="preserve"> </w:t>
      </w:r>
      <w:r>
        <w:rPr>
          <w:lang w:eastAsia="lt-LT"/>
        </w:rPr>
        <w:t>850</w:t>
      </w:r>
      <w:r>
        <w:rPr>
          <w:i/>
          <w:iCs/>
          <w:lang w:eastAsia="lt-LT"/>
        </w:rPr>
        <w:t xml:space="preserve"> </w:t>
      </w:r>
      <w:r>
        <w:rPr>
          <w:lang w:eastAsia="lt-LT"/>
        </w:rPr>
        <w:t>tūkst Eur.</w:t>
      </w:r>
      <w:r>
        <w:rPr>
          <w:i/>
          <w:iCs/>
          <w:lang w:eastAsia="lt-LT"/>
        </w:rPr>
        <w:t xml:space="preserve"> </w:t>
      </w:r>
      <w:r>
        <w:rPr>
          <w:lang w:eastAsia="lt-LT"/>
        </w:rPr>
        <w:t>Akcijų</w:t>
      </w:r>
      <w:r>
        <w:rPr>
          <w:i/>
          <w:iCs/>
          <w:lang w:eastAsia="lt-LT"/>
        </w:rPr>
        <w:t xml:space="preserve"> </w:t>
      </w:r>
      <w:r>
        <w:rPr>
          <w:lang w:eastAsia="lt-LT"/>
        </w:rPr>
        <w:t>įsigijimo</w:t>
      </w:r>
      <w:r>
        <w:rPr>
          <w:i/>
          <w:iCs/>
          <w:lang w:eastAsia="lt-LT"/>
        </w:rPr>
        <w:t xml:space="preserve"> </w:t>
      </w:r>
      <w:r>
        <w:rPr>
          <w:lang w:eastAsia="lt-LT"/>
        </w:rPr>
        <w:t>momentu</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iCs/>
          <w:lang w:eastAsia="lt-LT"/>
        </w:rPr>
        <w:t xml:space="preserve">apskaičiavo </w:t>
      </w:r>
      <w:r>
        <w:rPr>
          <w:lang w:eastAsia="lt-LT"/>
        </w:rPr>
        <w:t>150</w:t>
      </w:r>
      <w:r>
        <w:rPr>
          <w:i/>
          <w:iCs/>
          <w:lang w:eastAsia="lt-LT"/>
        </w:rPr>
        <w:t xml:space="preserve"> </w:t>
      </w:r>
      <w:r>
        <w:rPr>
          <w:lang w:eastAsia="lt-LT"/>
        </w:rPr>
        <w:t>tūkst. Eur (1</w:t>
      </w:r>
      <w:r>
        <w:rPr>
          <w:i/>
          <w:iCs/>
          <w:lang w:eastAsia="lt-LT"/>
        </w:rPr>
        <w:t xml:space="preserve"> </w:t>
      </w:r>
      <w:r>
        <w:rPr>
          <w:lang w:eastAsia="lt-LT"/>
        </w:rPr>
        <w:t>mln. Eur –</w:t>
      </w:r>
      <w:r>
        <w:rPr>
          <w:i/>
          <w:iCs/>
          <w:lang w:eastAsia="lt-LT"/>
        </w:rPr>
        <w:t xml:space="preserve"> </w:t>
      </w:r>
      <w:r>
        <w:rPr>
          <w:lang w:eastAsia="lt-LT"/>
        </w:rPr>
        <w:t>850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w:t>
      </w:r>
      <w:r>
        <w:rPr>
          <w:iCs/>
          <w:lang w:eastAsia="lt-LT"/>
        </w:rPr>
        <w:t xml:space="preserve">o vertę. </w:t>
      </w:r>
    </w:p>
    <w:p w14:paraId="0463ED2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strike/>
          <w:lang w:eastAsia="lt-LT"/>
        </w:rPr>
      </w:pPr>
      <w:r>
        <w:rPr>
          <w:lang w:eastAsia="lt-LT"/>
        </w:rPr>
        <w:t xml:space="preserve">      Praėjus</w:t>
      </w:r>
      <w:r>
        <w:rPr>
          <w:i/>
          <w:iCs/>
          <w:lang w:eastAsia="lt-LT"/>
        </w:rPr>
        <w:t xml:space="preserve"> </w:t>
      </w:r>
      <w:r>
        <w:rPr>
          <w:lang w:eastAsia="lt-LT"/>
        </w:rPr>
        <w:t>metams</w:t>
      </w:r>
      <w:r>
        <w:rPr>
          <w:i/>
          <w:iCs/>
          <w:lang w:eastAsia="lt-LT"/>
        </w:rPr>
        <w:t xml:space="preserve"> </w:t>
      </w:r>
      <w:r>
        <w:rPr>
          <w:lang w:eastAsia="lt-LT"/>
        </w:rPr>
        <w:t>po</w:t>
      </w:r>
      <w:r>
        <w:rPr>
          <w:i/>
          <w:iCs/>
          <w:lang w:eastAsia="lt-LT"/>
        </w:rPr>
        <w:t xml:space="preserve"> </w:t>
      </w:r>
      <w:r>
        <w:rPr>
          <w:lang w:eastAsia="lt-LT"/>
        </w:rPr>
        <w:t>įsigijimo,</w:t>
      </w:r>
      <w:r>
        <w:rPr>
          <w:i/>
          <w:iCs/>
          <w:lang w:eastAsia="lt-LT"/>
        </w:rPr>
        <w:t xml:space="preserve"> </w:t>
      </w:r>
      <w:r>
        <w:rPr>
          <w:lang w:eastAsia="lt-LT"/>
        </w:rPr>
        <w:t>buvo</w:t>
      </w:r>
      <w:r>
        <w:rPr>
          <w:i/>
          <w:iCs/>
          <w:lang w:eastAsia="lt-LT"/>
        </w:rPr>
        <w:t xml:space="preserve"> </w:t>
      </w:r>
      <w:r>
        <w:rPr>
          <w:lang w:eastAsia="lt-LT"/>
        </w:rPr>
        <w:t>nuspręsta</w:t>
      </w:r>
      <w:r>
        <w:rPr>
          <w:i/>
          <w:iCs/>
          <w:lang w:eastAsia="lt-LT"/>
        </w:rPr>
        <w:t xml:space="preserve"> </w:t>
      </w:r>
      <w:r>
        <w:rPr>
          <w:lang w:eastAsia="lt-LT"/>
        </w:rPr>
        <w:t>šias</w:t>
      </w:r>
      <w:r>
        <w:rPr>
          <w:i/>
          <w:iCs/>
          <w:lang w:eastAsia="lt-LT"/>
        </w:rPr>
        <w:t xml:space="preserve"> </w:t>
      </w:r>
      <w:r>
        <w:rPr>
          <w:lang w:eastAsia="lt-LT"/>
        </w:rPr>
        <w:t>bendroves</w:t>
      </w:r>
      <w:r>
        <w:rPr>
          <w:i/>
          <w:iCs/>
          <w:lang w:eastAsia="lt-LT"/>
        </w:rPr>
        <w:t xml:space="preserve"> </w:t>
      </w:r>
      <w:r>
        <w:rPr>
          <w:lang w:eastAsia="lt-LT"/>
        </w:rPr>
        <w:t>reorganizuoti</w:t>
      </w:r>
      <w:r>
        <w:rPr>
          <w:i/>
          <w:iCs/>
          <w:lang w:eastAsia="lt-LT"/>
        </w:rPr>
        <w:t xml:space="preserve"> </w:t>
      </w:r>
      <w:r>
        <w:rPr>
          <w:lang w:eastAsia="lt-LT"/>
        </w:rPr>
        <w:t>pagal</w:t>
      </w:r>
      <w:r>
        <w:rPr>
          <w:i/>
          <w:iCs/>
          <w:lang w:eastAsia="lt-LT"/>
        </w:rPr>
        <w:t xml:space="preserve"> </w:t>
      </w:r>
      <w:r>
        <w:rPr>
          <w:lang w:eastAsia="lt-LT"/>
        </w:rPr>
        <w:t>PMĮ</w:t>
      </w:r>
      <w:r>
        <w:rPr>
          <w:i/>
          <w:iCs/>
          <w:lang w:eastAsia="lt-LT"/>
        </w:rPr>
        <w:t xml:space="preserve"> </w:t>
      </w:r>
      <w:r>
        <w:rPr>
          <w:lang w:eastAsia="lt-LT"/>
        </w:rPr>
        <w:t>41</w:t>
      </w:r>
      <w:r>
        <w:rPr>
          <w:i/>
          <w:iCs/>
          <w:lang w:eastAsia="lt-LT"/>
        </w:rPr>
        <w:t xml:space="preserve"> </w:t>
      </w:r>
      <w:r>
        <w:rPr>
          <w:lang w:eastAsia="lt-LT"/>
        </w:rPr>
        <w:t>str.</w:t>
      </w:r>
      <w:r>
        <w:rPr>
          <w:i/>
          <w:iCs/>
          <w:lang w:eastAsia="lt-LT"/>
        </w:rPr>
        <w:t xml:space="preserve"> </w:t>
      </w:r>
      <w:r>
        <w:rPr>
          <w:lang w:eastAsia="lt-LT"/>
        </w:rPr>
        <w:t>2</w:t>
      </w:r>
      <w:r>
        <w:rPr>
          <w:i/>
          <w:iCs/>
          <w:lang w:eastAsia="lt-LT"/>
        </w:rPr>
        <w:t xml:space="preserve"> </w:t>
      </w:r>
      <w:r>
        <w:rPr>
          <w:lang w:eastAsia="lt-LT"/>
        </w:rPr>
        <w:t>d.</w:t>
      </w:r>
      <w:r>
        <w:rPr>
          <w:i/>
          <w:iCs/>
          <w:lang w:eastAsia="lt-LT"/>
        </w:rPr>
        <w:t xml:space="preserve"> </w:t>
      </w:r>
      <w:r>
        <w:rPr>
          <w:lang w:eastAsia="lt-LT"/>
        </w:rPr>
        <w:t>1</w:t>
      </w:r>
      <w:r>
        <w:rPr>
          <w:i/>
          <w:iCs/>
          <w:lang w:eastAsia="lt-LT"/>
        </w:rPr>
        <w:t xml:space="preserve"> </w:t>
      </w:r>
      <w:r>
        <w:rPr>
          <w:lang w:eastAsia="lt-LT"/>
        </w:rPr>
        <w:t>punktą,</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(patronuojantį)</w:t>
      </w:r>
      <w:r>
        <w:rPr>
          <w:i/>
          <w:iCs/>
          <w:lang w:eastAsia="lt-LT"/>
        </w:rPr>
        <w:t xml:space="preserve"> </w:t>
      </w:r>
      <w:r>
        <w:rPr>
          <w:lang w:eastAsia="lt-LT"/>
        </w:rPr>
        <w:t>vienetą</w:t>
      </w:r>
      <w:r>
        <w:rPr>
          <w:i/>
          <w:iCs/>
          <w:lang w:eastAsia="lt-LT"/>
        </w:rPr>
        <w:t xml:space="preserve"> </w:t>
      </w:r>
      <w:r>
        <w:rPr>
          <w:lang w:eastAsia="lt-LT"/>
        </w:rPr>
        <w:t>prijungiant</w:t>
      </w:r>
      <w:r>
        <w:rPr>
          <w:i/>
          <w:iCs/>
          <w:lang w:eastAsia="lt-LT"/>
        </w:rPr>
        <w:t xml:space="preserve"> </w:t>
      </w:r>
      <w:r>
        <w:rPr>
          <w:lang w:eastAsia="lt-LT"/>
        </w:rPr>
        <w:t>prie</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20</w:t>
      </w:r>
      <w:r>
        <w:rPr>
          <w:iCs/>
          <w:lang w:eastAsia="lt-LT"/>
        </w:rPr>
        <w:t xml:space="preserve">17 </w:t>
      </w:r>
      <w:r>
        <w:rPr>
          <w:lang w:eastAsia="lt-LT"/>
        </w:rPr>
        <w:t>m.</w:t>
      </w:r>
      <w:r>
        <w:rPr>
          <w:i/>
          <w:iCs/>
          <w:lang w:eastAsia="lt-LT"/>
        </w:rPr>
        <w:t xml:space="preserve"> </w:t>
      </w:r>
      <w:r>
        <w:rPr>
          <w:lang w:eastAsia="lt-LT"/>
        </w:rPr>
        <w:t>gruodžio</w:t>
      </w:r>
      <w:r>
        <w:rPr>
          <w:i/>
          <w:iCs/>
          <w:lang w:eastAsia="lt-LT"/>
        </w:rPr>
        <w:t xml:space="preserve"> </w:t>
      </w:r>
      <w:r>
        <w:rPr>
          <w:lang w:eastAsia="lt-LT"/>
        </w:rPr>
        <w:t>31</w:t>
      </w:r>
      <w:r>
        <w:rPr>
          <w:i/>
          <w:iCs/>
          <w:lang w:eastAsia="lt-LT"/>
        </w:rPr>
        <w:t xml:space="preserve"> </w:t>
      </w:r>
      <w:r>
        <w:rPr>
          <w:lang w:eastAsia="lt-LT"/>
        </w:rPr>
        <w:t>d.</w:t>
      </w:r>
      <w:r>
        <w:rPr>
          <w:i/>
          <w:iCs/>
          <w:lang w:eastAsia="lt-LT"/>
        </w:rPr>
        <w:t xml:space="preserve"> </w:t>
      </w:r>
      <w:r>
        <w:rPr>
          <w:lang w:eastAsia="lt-LT"/>
        </w:rPr>
        <w:t>visas</w:t>
      </w:r>
      <w:r>
        <w:rPr>
          <w:i/>
          <w:iCs/>
          <w:lang w:eastAsia="lt-LT"/>
        </w:rPr>
        <w:t xml:space="preserve"> </w:t>
      </w:r>
      <w:r>
        <w:rPr>
          <w:lang w:eastAsia="lt-LT"/>
        </w:rPr>
        <w:t>UAB</w:t>
      </w:r>
      <w:r>
        <w:rPr>
          <w:i/>
          <w:iCs/>
          <w:lang w:eastAsia="lt-LT"/>
        </w:rPr>
        <w:t xml:space="preserve"> „</w:t>
      </w:r>
      <w:r>
        <w:rPr>
          <w:lang w:eastAsia="lt-LT"/>
        </w:rPr>
        <w:t>A</w:t>
      </w:r>
      <w:r>
        <w:rPr>
          <w:i/>
          <w:iCs/>
          <w:lang w:eastAsia="lt-LT"/>
        </w:rPr>
        <w:t xml:space="preserve">“ </w:t>
      </w:r>
      <w:r>
        <w:rPr>
          <w:lang w:eastAsia="lt-LT"/>
        </w:rPr>
        <w:t>(patronuojančio</w:t>
      </w:r>
      <w:r>
        <w:rPr>
          <w:i/>
          <w:iCs/>
          <w:lang w:eastAsia="lt-LT"/>
        </w:rPr>
        <w:t xml:space="preserve"> </w:t>
      </w:r>
      <w:r>
        <w:rPr>
          <w:lang w:eastAsia="lt-LT"/>
        </w:rPr>
        <w:t>vieneto)</w:t>
      </w:r>
      <w:r>
        <w:rPr>
          <w:i/>
          <w:iCs/>
          <w:lang w:eastAsia="lt-LT"/>
        </w:rPr>
        <w:t xml:space="preserve"> </w:t>
      </w:r>
      <w:r>
        <w:rPr>
          <w:lang w:eastAsia="lt-LT"/>
        </w:rPr>
        <w:t>turtas,</w:t>
      </w:r>
      <w:r>
        <w:rPr>
          <w:i/>
          <w:iCs/>
          <w:lang w:eastAsia="lt-LT"/>
        </w:rPr>
        <w:t xml:space="preserve"> </w:t>
      </w:r>
      <w:r>
        <w:rPr>
          <w:lang w:eastAsia="lt-LT"/>
        </w:rPr>
        <w:t>teisės</w:t>
      </w:r>
      <w:r>
        <w:rPr>
          <w:i/>
          <w:iCs/>
          <w:lang w:eastAsia="lt-LT"/>
        </w:rPr>
        <w:t xml:space="preserve"> </w:t>
      </w:r>
      <w:r>
        <w:rPr>
          <w:lang w:eastAsia="lt-LT"/>
        </w:rPr>
        <w:t>ir</w:t>
      </w:r>
      <w:r>
        <w:rPr>
          <w:i/>
          <w:iCs/>
          <w:lang w:eastAsia="lt-LT"/>
        </w:rPr>
        <w:t xml:space="preserve"> </w:t>
      </w:r>
      <w:r>
        <w:rPr>
          <w:lang w:eastAsia="lt-LT"/>
        </w:rPr>
        <w:t>įsipareigojimai,</w:t>
      </w:r>
      <w:r>
        <w:rPr>
          <w:i/>
          <w:iCs/>
          <w:lang w:eastAsia="lt-LT"/>
        </w:rPr>
        <w:t xml:space="preserve"> </w:t>
      </w:r>
      <w:r>
        <w:rPr>
          <w:lang w:eastAsia="lt-LT"/>
        </w:rPr>
        <w:t>taip</w:t>
      </w:r>
      <w:r>
        <w:rPr>
          <w:i/>
          <w:iCs/>
          <w:lang w:eastAsia="lt-LT"/>
        </w:rPr>
        <w:t xml:space="preserve"> </w:t>
      </w:r>
      <w:r>
        <w:rPr>
          <w:lang w:eastAsia="lt-LT"/>
        </w:rPr>
        <w:t>pat</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w:t>
      </w:r>
      <w:r>
        <w:rPr>
          <w:i/>
          <w:iCs/>
          <w:lang w:eastAsia="lt-LT"/>
        </w:rPr>
        <w:t xml:space="preserve"> </w:t>
      </w:r>
      <w:r>
        <w:rPr>
          <w:lang w:eastAsia="lt-LT"/>
        </w:rPr>
        <w:t>dydžio</w:t>
      </w:r>
      <w:r>
        <w:rPr>
          <w:i/>
          <w:iCs/>
          <w:lang w:eastAsia="lt-LT"/>
        </w:rPr>
        <w:t xml:space="preserve"> </w:t>
      </w:r>
      <w:r>
        <w:rPr>
          <w:lang w:eastAsia="lt-LT"/>
        </w:rPr>
        <w:t>prestižo vertė,</w:t>
      </w:r>
      <w:r>
        <w:rPr>
          <w:i/>
          <w:iCs/>
          <w:lang w:eastAsia="lt-LT"/>
        </w:rPr>
        <w:t xml:space="preserve"> </w:t>
      </w:r>
      <w:r>
        <w:rPr>
          <w:lang w:eastAsia="lt-LT"/>
        </w:rPr>
        <w:t>buvo</w:t>
      </w:r>
      <w:r>
        <w:rPr>
          <w:i/>
          <w:iCs/>
          <w:lang w:eastAsia="lt-LT"/>
        </w:rPr>
        <w:t xml:space="preserve"> </w:t>
      </w:r>
      <w:r>
        <w:rPr>
          <w:lang w:eastAsia="lt-LT"/>
        </w:rPr>
        <w:t>perduoti</w:t>
      </w:r>
      <w:r>
        <w:rPr>
          <w:i/>
          <w:iCs/>
          <w:lang w:eastAsia="lt-LT"/>
        </w:rPr>
        <w:t xml:space="preserve"> </w:t>
      </w:r>
      <w:r>
        <w:rPr>
          <w:lang w:eastAsia="lt-LT"/>
        </w:rPr>
        <w:t>UAB</w:t>
      </w:r>
      <w:r>
        <w:rPr>
          <w:i/>
          <w:iCs/>
          <w:lang w:eastAsia="lt-LT"/>
        </w:rPr>
        <w:t xml:space="preserve"> „</w:t>
      </w:r>
      <w:r>
        <w:rPr>
          <w:lang w:eastAsia="lt-LT"/>
        </w:rPr>
        <w:t>B</w:t>
      </w:r>
      <w:r>
        <w:rPr>
          <w:i/>
          <w:iCs/>
          <w:lang w:eastAsia="lt-LT"/>
        </w:rPr>
        <w:t xml:space="preserve">“ </w:t>
      </w:r>
      <w:r>
        <w:rPr>
          <w:lang w:eastAsia="lt-LT"/>
        </w:rPr>
        <w:t>(dukteriniam</w:t>
      </w:r>
      <w:r>
        <w:rPr>
          <w:i/>
          <w:iCs/>
          <w:lang w:eastAsia="lt-LT"/>
        </w:rPr>
        <w:t xml:space="preserve"> </w:t>
      </w:r>
      <w:r>
        <w:rPr>
          <w:lang w:eastAsia="lt-LT"/>
        </w:rPr>
        <w:t>vienetui),</w:t>
      </w:r>
      <w:r>
        <w:rPr>
          <w:i/>
          <w:iCs/>
          <w:lang w:eastAsia="lt-LT"/>
        </w:rPr>
        <w:t xml:space="preserve"> </w:t>
      </w:r>
      <w:r>
        <w:rPr>
          <w:lang w:eastAsia="lt-LT"/>
        </w:rPr>
        <w:t>kuri</w:t>
      </w:r>
      <w:r>
        <w:rPr>
          <w:i/>
          <w:iCs/>
          <w:lang w:eastAsia="lt-LT"/>
        </w:rPr>
        <w:t xml:space="preserve"> </w:t>
      </w:r>
      <w:r>
        <w:rPr>
          <w:lang w:eastAsia="lt-LT"/>
        </w:rPr>
        <w:t>toliau</w:t>
      </w:r>
      <w:r>
        <w:rPr>
          <w:i/>
          <w:iCs/>
          <w:lang w:eastAsia="lt-LT"/>
        </w:rPr>
        <w:t xml:space="preserve"> </w:t>
      </w:r>
      <w:r>
        <w:rPr>
          <w:lang w:eastAsia="lt-LT"/>
        </w:rPr>
        <w:t>tęsė</w:t>
      </w:r>
      <w:r>
        <w:rPr>
          <w:i/>
          <w:iCs/>
          <w:lang w:eastAsia="lt-LT"/>
        </w:rPr>
        <w:t xml:space="preserve"> </w:t>
      </w:r>
      <w:r>
        <w:rPr>
          <w:iCs/>
          <w:lang w:eastAsia="lt-LT"/>
        </w:rPr>
        <w:t xml:space="preserve">savo ir </w:t>
      </w:r>
      <w:r>
        <w:rPr>
          <w:lang w:eastAsia="lt-LT"/>
        </w:rPr>
        <w:t>prisijungto vieneto veiklas.</w:t>
      </w:r>
    </w:p>
    <w:p w14:paraId="088E29DF"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jc w:val="both"/>
        <w:rPr>
          <w:lang w:eastAsia="lt-LT"/>
        </w:rPr>
      </w:pPr>
      <w:r>
        <w:rPr>
          <w:lang w:eastAsia="lt-LT"/>
        </w:rPr>
        <w:t xml:space="preserve">       Šiuo</w:t>
      </w:r>
      <w:r>
        <w:rPr>
          <w:i/>
          <w:iCs/>
          <w:lang w:eastAsia="lt-LT"/>
        </w:rPr>
        <w:t xml:space="preserve"> </w:t>
      </w:r>
      <w:r>
        <w:rPr>
          <w:lang w:eastAsia="lt-LT"/>
        </w:rPr>
        <w:t>atveju</w:t>
      </w:r>
      <w:r>
        <w:rPr>
          <w:i/>
          <w:iCs/>
          <w:lang w:eastAsia="lt-LT"/>
        </w:rPr>
        <w:t xml:space="preserve"> </w:t>
      </w:r>
      <w:r>
        <w:rPr>
          <w:lang w:eastAsia="lt-LT"/>
        </w:rPr>
        <w:t>patronuojančio</w:t>
      </w:r>
      <w:r>
        <w:rPr>
          <w:i/>
          <w:iCs/>
          <w:lang w:eastAsia="lt-LT"/>
        </w:rPr>
        <w:t xml:space="preserve"> </w:t>
      </w:r>
      <w:r>
        <w:rPr>
          <w:lang w:eastAsia="lt-LT"/>
        </w:rPr>
        <w:t>vieneto</w:t>
      </w:r>
      <w:r>
        <w:rPr>
          <w:i/>
          <w:iCs/>
          <w:lang w:eastAsia="lt-LT"/>
        </w:rPr>
        <w:t xml:space="preserve"> </w:t>
      </w:r>
      <w:r>
        <w:rPr>
          <w:lang w:eastAsia="lt-LT"/>
        </w:rPr>
        <w:t>(UAB</w:t>
      </w:r>
      <w:r>
        <w:rPr>
          <w:i/>
          <w:iCs/>
          <w:lang w:eastAsia="lt-LT"/>
        </w:rPr>
        <w:t xml:space="preserve"> „</w:t>
      </w:r>
      <w:r>
        <w:rPr>
          <w:lang w:eastAsia="lt-LT"/>
        </w:rPr>
        <w:t>A</w:t>
      </w:r>
      <w:r>
        <w:rPr>
          <w:i/>
          <w:iCs/>
          <w:lang w:eastAsia="lt-LT"/>
        </w:rPr>
        <w:t>“</w:t>
      </w:r>
      <w:r>
        <w:rPr>
          <w:lang w:eastAsia="lt-LT"/>
        </w:rPr>
        <w:t>)</w:t>
      </w:r>
      <w:r>
        <w:rPr>
          <w:i/>
          <w:iCs/>
          <w:lang w:eastAsia="lt-LT"/>
        </w:rPr>
        <w:t xml:space="preserve"> </w:t>
      </w:r>
      <w:r>
        <w:rPr>
          <w:lang w:eastAsia="lt-LT"/>
        </w:rPr>
        <w:t>dukteriniam</w:t>
      </w:r>
      <w:r>
        <w:rPr>
          <w:i/>
          <w:iCs/>
          <w:lang w:eastAsia="lt-LT"/>
        </w:rPr>
        <w:t xml:space="preserve"> </w:t>
      </w:r>
      <w:r>
        <w:rPr>
          <w:lang w:eastAsia="lt-LT"/>
        </w:rPr>
        <w:t>vienetui</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perduota</w:t>
      </w:r>
      <w:r>
        <w:rPr>
          <w:strike/>
          <w:lang w:eastAsia="lt-LT"/>
        </w:rPr>
        <w:t>s</w:t>
      </w:r>
      <w:r>
        <w:rPr>
          <w:i/>
          <w:iCs/>
          <w:lang w:eastAsia="lt-LT"/>
        </w:rPr>
        <w:t xml:space="preserve"> </w:t>
      </w:r>
      <w:r>
        <w:rPr>
          <w:lang w:eastAsia="lt-LT"/>
        </w:rPr>
        <w:t>150</w:t>
      </w:r>
      <w:r>
        <w:rPr>
          <w:i/>
          <w:iCs/>
          <w:lang w:eastAsia="lt-LT"/>
        </w:rPr>
        <w:t xml:space="preserve"> </w:t>
      </w:r>
      <w:r>
        <w:rPr>
          <w:lang w:eastAsia="lt-LT"/>
        </w:rPr>
        <w:t>tūkst.</w:t>
      </w:r>
      <w:r>
        <w:rPr>
          <w:i/>
          <w:iCs/>
          <w:lang w:eastAsia="lt-LT"/>
        </w:rPr>
        <w:t xml:space="preserve"> </w:t>
      </w:r>
      <w:r>
        <w:rPr>
          <w:lang w:eastAsia="lt-LT"/>
        </w:rPr>
        <w:t>Eur dydžio</w:t>
      </w:r>
      <w:r>
        <w:rPr>
          <w:i/>
          <w:iCs/>
          <w:lang w:eastAsia="lt-LT"/>
        </w:rPr>
        <w:t xml:space="preserve"> </w:t>
      </w:r>
      <w:r>
        <w:rPr>
          <w:lang w:eastAsia="lt-LT"/>
        </w:rPr>
        <w:t>prestižo</w:t>
      </w:r>
      <w:r>
        <w:rPr>
          <w:i/>
          <w:iCs/>
          <w:lang w:eastAsia="lt-LT"/>
        </w:rPr>
        <w:t xml:space="preserve"> </w:t>
      </w:r>
      <w:r>
        <w:rPr>
          <w:iCs/>
          <w:lang w:eastAsia="lt-LT"/>
        </w:rPr>
        <w:t>vertė</w:t>
      </w:r>
      <w:r>
        <w:rPr>
          <w:i/>
          <w:iCs/>
          <w:lang w:eastAsia="lt-LT"/>
        </w:rPr>
        <w:t xml:space="preserve"> </w:t>
      </w:r>
      <w:r>
        <w:rPr>
          <w:lang w:eastAsia="lt-LT"/>
        </w:rPr>
        <w:t>gali</w:t>
      </w:r>
      <w:r>
        <w:rPr>
          <w:i/>
          <w:iCs/>
          <w:lang w:eastAsia="lt-LT"/>
        </w:rPr>
        <w:t xml:space="preserve"> </w:t>
      </w:r>
      <w:r>
        <w:rPr>
          <w:lang w:eastAsia="lt-LT"/>
        </w:rPr>
        <w:t>būti</w:t>
      </w:r>
      <w:r>
        <w:rPr>
          <w:i/>
          <w:iCs/>
          <w:lang w:eastAsia="lt-LT"/>
        </w:rPr>
        <w:t xml:space="preserve"> </w:t>
      </w:r>
      <w:r>
        <w:rPr>
          <w:lang w:eastAsia="lt-LT"/>
        </w:rPr>
        <w:t>priskiriama</w:t>
      </w:r>
      <w:r>
        <w:rPr>
          <w:strike/>
          <w:lang w:eastAsia="lt-LT"/>
        </w:rPr>
        <w:t>s</w:t>
      </w:r>
      <w:r>
        <w:rPr>
          <w:i/>
          <w:iCs/>
          <w:lang w:eastAsia="lt-LT"/>
        </w:rPr>
        <w:t xml:space="preserve"> </w:t>
      </w:r>
      <w:r>
        <w:rPr>
          <w:lang w:eastAsia="lt-LT"/>
        </w:rPr>
        <w:t>po</w:t>
      </w:r>
      <w:r>
        <w:rPr>
          <w:i/>
          <w:iCs/>
          <w:lang w:eastAsia="lt-LT"/>
        </w:rPr>
        <w:t xml:space="preserve"> </w:t>
      </w:r>
      <w:r>
        <w:rPr>
          <w:lang w:eastAsia="lt-LT"/>
        </w:rPr>
        <w:t>reorganizavimo</w:t>
      </w:r>
      <w:r>
        <w:rPr>
          <w:i/>
          <w:iCs/>
          <w:lang w:eastAsia="lt-LT"/>
        </w:rPr>
        <w:t xml:space="preserve"> </w:t>
      </w:r>
      <w:r>
        <w:rPr>
          <w:lang w:eastAsia="lt-LT"/>
        </w:rPr>
        <w:t>veiklą</w:t>
      </w:r>
      <w:r>
        <w:rPr>
          <w:i/>
          <w:iCs/>
          <w:lang w:eastAsia="lt-LT"/>
        </w:rPr>
        <w:t xml:space="preserve"> </w:t>
      </w:r>
      <w:r>
        <w:rPr>
          <w:lang w:eastAsia="lt-LT"/>
        </w:rPr>
        <w:t>tęsiančio</w:t>
      </w:r>
      <w:r>
        <w:rPr>
          <w:i/>
          <w:iCs/>
          <w:lang w:eastAsia="lt-LT"/>
        </w:rPr>
        <w:t xml:space="preserve"> </w:t>
      </w:r>
      <w:r>
        <w:rPr>
          <w:lang w:eastAsia="lt-LT"/>
        </w:rPr>
        <w:t>dukterinio</w:t>
      </w:r>
      <w:r>
        <w:rPr>
          <w:i/>
          <w:iCs/>
          <w:lang w:eastAsia="lt-LT"/>
        </w:rPr>
        <w:t xml:space="preserve"> </w:t>
      </w:r>
      <w:r>
        <w:rPr>
          <w:lang w:eastAsia="lt-LT"/>
        </w:rPr>
        <w:t>vieneto</w:t>
      </w:r>
      <w:r>
        <w:rPr>
          <w:i/>
          <w:iCs/>
          <w:lang w:eastAsia="lt-LT"/>
        </w:rPr>
        <w:t xml:space="preserve"> </w:t>
      </w:r>
      <w:r>
        <w:rPr>
          <w:lang w:eastAsia="lt-LT"/>
        </w:rPr>
        <w:t>(UAB</w:t>
      </w:r>
      <w:r>
        <w:rPr>
          <w:i/>
          <w:iCs/>
          <w:lang w:eastAsia="lt-LT"/>
        </w:rPr>
        <w:t xml:space="preserve"> „</w:t>
      </w:r>
      <w:r>
        <w:rPr>
          <w:lang w:eastAsia="lt-LT"/>
        </w:rPr>
        <w:t>B</w:t>
      </w:r>
      <w:r>
        <w:rPr>
          <w:i/>
          <w:iCs/>
          <w:lang w:eastAsia="lt-LT"/>
        </w:rPr>
        <w:t>“</w:t>
      </w:r>
      <w:r>
        <w:rPr>
          <w:lang w:eastAsia="lt-LT"/>
        </w:rPr>
        <w:t>)</w:t>
      </w:r>
      <w:r>
        <w:rPr>
          <w:i/>
          <w:iCs/>
          <w:lang w:eastAsia="lt-LT"/>
        </w:rPr>
        <w:t xml:space="preserve"> </w:t>
      </w:r>
      <w:r>
        <w:rPr>
          <w:lang w:eastAsia="lt-LT"/>
        </w:rPr>
        <w:t>ribojamų</w:t>
      </w:r>
      <w:r>
        <w:rPr>
          <w:i/>
          <w:iCs/>
          <w:lang w:eastAsia="lt-LT"/>
        </w:rPr>
        <w:t xml:space="preserve"> </w:t>
      </w:r>
      <w:r>
        <w:rPr>
          <w:lang w:eastAsia="lt-LT"/>
        </w:rPr>
        <w:t>dydžių</w:t>
      </w:r>
      <w:r>
        <w:rPr>
          <w:i/>
          <w:iCs/>
          <w:lang w:eastAsia="lt-LT"/>
        </w:rPr>
        <w:t xml:space="preserve"> </w:t>
      </w:r>
      <w:r>
        <w:rPr>
          <w:lang w:eastAsia="lt-LT"/>
        </w:rPr>
        <w:t>leidžiamiems</w:t>
      </w:r>
      <w:r>
        <w:rPr>
          <w:i/>
          <w:iCs/>
          <w:lang w:eastAsia="lt-LT"/>
        </w:rPr>
        <w:t xml:space="preserve"> </w:t>
      </w:r>
      <w:r>
        <w:rPr>
          <w:lang w:eastAsia="lt-LT"/>
        </w:rPr>
        <w:t>atskaitymams</w:t>
      </w:r>
      <w:r>
        <w:rPr>
          <w:i/>
          <w:iCs/>
          <w:lang w:eastAsia="lt-LT"/>
        </w:rPr>
        <w:t xml:space="preserve"> </w:t>
      </w:r>
      <w:r>
        <w:rPr>
          <w:lang w:eastAsia="lt-LT"/>
        </w:rPr>
        <w:t>PMĮ</w:t>
      </w:r>
      <w:r>
        <w:rPr>
          <w:i/>
          <w:iCs/>
          <w:lang w:eastAsia="lt-LT"/>
        </w:rPr>
        <w:t xml:space="preserve"> </w:t>
      </w:r>
      <w:r>
        <w:rPr>
          <w:lang w:eastAsia="lt-LT"/>
        </w:rPr>
        <w:t>18</w:t>
      </w:r>
      <w:r>
        <w:rPr>
          <w:i/>
          <w:iCs/>
          <w:lang w:eastAsia="lt-LT"/>
        </w:rPr>
        <w:t xml:space="preserve"> </w:t>
      </w:r>
      <w:r>
        <w:rPr>
          <w:lang w:eastAsia="lt-LT"/>
        </w:rPr>
        <w:t>straipsnyje</w:t>
      </w:r>
      <w:r>
        <w:rPr>
          <w:i/>
          <w:iCs/>
          <w:lang w:eastAsia="lt-LT"/>
        </w:rPr>
        <w:t xml:space="preserve"> </w:t>
      </w:r>
      <w:r>
        <w:rPr>
          <w:lang w:eastAsia="lt-LT"/>
        </w:rPr>
        <w:t>nustatyta</w:t>
      </w:r>
      <w:r>
        <w:rPr>
          <w:i/>
          <w:iCs/>
          <w:lang w:eastAsia="lt-LT"/>
        </w:rPr>
        <w:t xml:space="preserve"> </w:t>
      </w:r>
      <w:r>
        <w:rPr>
          <w:lang w:eastAsia="lt-LT"/>
        </w:rPr>
        <w:t>tvarka.</w:t>
      </w:r>
      <w:r>
        <w:rPr>
          <w:i/>
          <w:iCs/>
          <w:lang w:eastAsia="lt-LT"/>
        </w:rPr>
        <w:t xml:space="preserve"> </w:t>
      </w:r>
    </w:p>
    <w:p w14:paraId="50E8F9AC" w14:textId="77777777" w:rsidR="00093845" w:rsidRDefault="00390442">
      <w:pPr>
        <w:spacing w:before="100" w:beforeAutospacing="1" w:after="100" w:afterAutospacing="1"/>
        <w:ind w:firstLine="709"/>
        <w:jc w:val="both"/>
        <w:rPr>
          <w:lang w:eastAsia="lt-LT"/>
        </w:rPr>
      </w:pPr>
      <w:r>
        <w:rPr>
          <w:lang w:eastAsia="lt-LT"/>
        </w:rPr>
        <w:t>7</w:t>
      </w:r>
      <w:r w:rsidR="000D779E">
        <w:rPr>
          <w:lang w:eastAsia="lt-LT"/>
        </w:rPr>
        <w:t>.</w:t>
      </w:r>
      <w:r w:rsidR="000D779E">
        <w:rPr>
          <w:i/>
          <w:iCs/>
          <w:lang w:eastAsia="lt-LT"/>
        </w:rPr>
        <w:t xml:space="preserve"> </w:t>
      </w:r>
      <w:r w:rsidR="000D779E">
        <w:rPr>
          <w:lang w:eastAsia="lt-LT"/>
        </w:rPr>
        <w:t>Atsižvelgiant</w:t>
      </w:r>
      <w:r w:rsidR="000D779E">
        <w:rPr>
          <w:i/>
          <w:iCs/>
          <w:lang w:eastAsia="lt-LT"/>
        </w:rPr>
        <w:t xml:space="preserve"> </w:t>
      </w:r>
      <w:r w:rsidR="000D779E">
        <w:rPr>
          <w:lang w:eastAsia="lt-LT"/>
        </w:rPr>
        <w:t>į</w:t>
      </w:r>
      <w:r w:rsidR="000D779E">
        <w:rPr>
          <w:i/>
          <w:iCs/>
          <w:lang w:eastAsia="lt-LT"/>
        </w:rPr>
        <w:t xml:space="preserve"> </w:t>
      </w:r>
      <w:r w:rsidR="000D779E">
        <w:rPr>
          <w:lang w:eastAsia="lt-LT"/>
        </w:rPr>
        <w:t>tai,</w:t>
      </w:r>
      <w:r w:rsidR="000D779E">
        <w:rPr>
          <w:i/>
          <w:iCs/>
          <w:lang w:eastAsia="lt-LT"/>
        </w:rPr>
        <w:t xml:space="preserve"> </w:t>
      </w:r>
      <w:r w:rsidR="000D779E">
        <w:rPr>
          <w:lang w:eastAsia="lt-LT"/>
        </w:rPr>
        <w:t>kad</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negali</w:t>
      </w:r>
      <w:r w:rsidR="000D779E">
        <w:rPr>
          <w:i/>
          <w:iCs/>
          <w:lang w:eastAsia="lt-LT"/>
        </w:rPr>
        <w:t xml:space="preserve"> </w:t>
      </w:r>
      <w:r w:rsidR="000D779E">
        <w:rPr>
          <w:lang w:eastAsia="lt-LT"/>
        </w:rPr>
        <w:t>būti</w:t>
      </w:r>
      <w:r w:rsidR="000D779E">
        <w:rPr>
          <w:i/>
          <w:iCs/>
          <w:lang w:eastAsia="lt-LT"/>
        </w:rPr>
        <w:t xml:space="preserve"> </w:t>
      </w:r>
      <w:r w:rsidR="000D779E">
        <w:rPr>
          <w:lang w:eastAsia="lt-LT"/>
        </w:rPr>
        <w:t>perleidžiamas</w:t>
      </w:r>
      <w:r w:rsidR="000D779E">
        <w:rPr>
          <w:i/>
          <w:iCs/>
          <w:lang w:eastAsia="lt-LT"/>
        </w:rPr>
        <w:t xml:space="preserve"> </w:t>
      </w:r>
      <w:r w:rsidR="000D779E">
        <w:rPr>
          <w:lang w:eastAsia="lt-LT"/>
        </w:rPr>
        <w:t>be</w:t>
      </w:r>
      <w:r w:rsidR="000D779E">
        <w:rPr>
          <w:i/>
          <w:iCs/>
          <w:lang w:eastAsia="lt-LT"/>
        </w:rPr>
        <w:t xml:space="preserve"> </w:t>
      </w:r>
      <w:r w:rsidR="000D779E">
        <w:rPr>
          <w:lang w:eastAsia="lt-LT"/>
        </w:rPr>
        <w:t>kito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jo</w:t>
      </w:r>
      <w:r w:rsidR="000D779E">
        <w:rPr>
          <w:i/>
          <w:iCs/>
          <w:lang w:eastAsia="lt-LT"/>
        </w:rPr>
        <w:t xml:space="preserve"> </w:t>
      </w:r>
      <w:r w:rsidR="000D779E">
        <w:rPr>
          <w:lang w:eastAsia="lt-LT"/>
        </w:rPr>
        <w:t>likvidacinė</w:t>
      </w:r>
      <w:r w:rsidR="000D779E">
        <w:rPr>
          <w:i/>
          <w:iCs/>
          <w:lang w:eastAsia="lt-LT"/>
        </w:rPr>
        <w:t xml:space="preserve"> </w:t>
      </w:r>
      <w:r w:rsidR="000D779E">
        <w:rPr>
          <w:lang w:eastAsia="lt-LT"/>
        </w:rPr>
        <w:t>vertė</w:t>
      </w:r>
      <w:r w:rsidR="000D779E">
        <w:rPr>
          <w:i/>
          <w:iCs/>
          <w:lang w:eastAsia="lt-LT"/>
        </w:rPr>
        <w:t xml:space="preserve"> </w:t>
      </w:r>
      <w:r w:rsidR="000D779E">
        <w:rPr>
          <w:lang w:eastAsia="lt-LT"/>
        </w:rPr>
        <w:t>nenustatoma.</w:t>
      </w:r>
      <w:r w:rsidR="000D779E">
        <w:rPr>
          <w:i/>
          <w:iCs/>
          <w:lang w:eastAsia="lt-LT"/>
        </w:rPr>
        <w:t xml:space="preserve"> </w:t>
      </w:r>
    </w:p>
    <w:p w14:paraId="14BF1507" w14:textId="77777777" w:rsidR="00093845" w:rsidRDefault="00390442">
      <w:pPr>
        <w:spacing w:before="100" w:beforeAutospacing="1" w:after="100" w:afterAutospacing="1"/>
        <w:ind w:firstLine="709"/>
        <w:jc w:val="both"/>
        <w:rPr>
          <w:lang w:eastAsia="lt-LT"/>
        </w:rPr>
      </w:pPr>
      <w:r>
        <w:rPr>
          <w:lang w:eastAsia="lt-LT"/>
        </w:rPr>
        <w:t>8</w:t>
      </w:r>
      <w:r w:rsidR="000D779E">
        <w:rPr>
          <w:lang w:eastAsia="lt-LT"/>
        </w:rPr>
        <w:t>.</w:t>
      </w:r>
      <w:r w:rsidR="000D779E">
        <w:rPr>
          <w:i/>
          <w:iCs/>
          <w:lang w:eastAsia="lt-LT"/>
        </w:rPr>
        <w:t xml:space="preserve"> </w:t>
      </w:r>
      <w:r w:rsidR="000D779E">
        <w:rPr>
          <w:lang w:eastAsia="lt-LT"/>
        </w:rPr>
        <w:t>Jei</w:t>
      </w:r>
      <w:r w:rsidR="000D779E">
        <w:rPr>
          <w:i/>
          <w:iCs/>
          <w:lang w:eastAsia="lt-LT"/>
        </w:rPr>
        <w:t xml:space="preserve"> </w:t>
      </w:r>
      <w:r w:rsidR="000D779E">
        <w:rPr>
          <w:lang w:eastAsia="lt-LT"/>
        </w:rPr>
        <w:t>įsigijus</w:t>
      </w:r>
      <w:r w:rsidR="000D779E">
        <w:rPr>
          <w:i/>
          <w:iCs/>
          <w:lang w:eastAsia="lt-LT"/>
        </w:rPr>
        <w:t xml:space="preserve"> </w:t>
      </w:r>
      <w:r w:rsidR="000D779E">
        <w:rPr>
          <w:lang w:eastAsia="lt-LT"/>
        </w:rPr>
        <w:t>veiklą</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kompleksą</w:t>
      </w:r>
      <w:r w:rsidR="000D779E">
        <w:rPr>
          <w:i/>
          <w:iCs/>
          <w:lang w:eastAsia="lt-LT"/>
        </w:rPr>
        <w:t xml:space="preserve"> </w:t>
      </w:r>
      <w:r w:rsidR="000D779E">
        <w:rPr>
          <w:lang w:eastAsia="lt-LT"/>
        </w:rPr>
        <w:t>ar</w:t>
      </w:r>
      <w:r w:rsidR="000D779E">
        <w:rPr>
          <w:i/>
          <w:iCs/>
          <w:lang w:eastAsia="lt-LT"/>
        </w:rPr>
        <w:t xml:space="preserve"> </w:t>
      </w:r>
      <w:r w:rsidR="000D779E">
        <w:rPr>
          <w:lang w:eastAsia="lt-LT"/>
        </w:rPr>
        <w:t>jos</w:t>
      </w:r>
      <w:r w:rsidR="000D779E">
        <w:rPr>
          <w:i/>
          <w:iCs/>
          <w:lang w:eastAsia="lt-LT"/>
        </w:rPr>
        <w:t xml:space="preserve"> </w:t>
      </w:r>
      <w:r w:rsidR="000D779E">
        <w:rPr>
          <w:lang w:eastAsia="lt-LT"/>
        </w:rPr>
        <w:t>dalį</w:t>
      </w:r>
      <w:r w:rsidR="000D779E">
        <w:rPr>
          <w:i/>
          <w:iCs/>
          <w:lang w:eastAsia="lt-LT"/>
        </w:rPr>
        <w:t xml:space="preserve"> </w:t>
      </w:r>
      <w:r w:rsidR="000D779E">
        <w:rPr>
          <w:lang w:eastAsia="lt-LT"/>
        </w:rPr>
        <w:t>pagal</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w:t>
      </w:r>
      <w:r w:rsidR="000D779E">
        <w:rPr>
          <w:i/>
          <w:iCs/>
          <w:lang w:eastAsia="lt-LT"/>
        </w:rPr>
        <w:t xml:space="preserve"> </w:t>
      </w:r>
      <w:r w:rsidR="000D779E">
        <w:rPr>
          <w:lang w:eastAsia="lt-LT"/>
        </w:rPr>
        <w:t>30</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nuostatas</w:t>
      </w:r>
      <w:r w:rsidR="000D779E">
        <w:rPr>
          <w:i/>
          <w:iCs/>
          <w:lang w:eastAsia="lt-LT"/>
        </w:rPr>
        <w:t xml:space="preserve"> </w:t>
      </w:r>
      <w:r w:rsidR="000D779E">
        <w:rPr>
          <w:lang w:eastAsia="lt-LT"/>
        </w:rPr>
        <w:t>buvo</w:t>
      </w:r>
      <w:r w:rsidR="000D779E">
        <w:rPr>
          <w:i/>
          <w:iCs/>
          <w:lang w:eastAsia="lt-LT"/>
        </w:rPr>
        <w:t xml:space="preserve"> </w:t>
      </w:r>
      <w:r w:rsidR="000D779E">
        <w:rPr>
          <w:iCs/>
          <w:lang w:eastAsia="lt-LT"/>
        </w:rPr>
        <w:t>apskaičiuota</w:t>
      </w:r>
      <w:r w:rsidR="000D779E">
        <w:rPr>
          <w:i/>
          <w:iCs/>
          <w:lang w:eastAsia="lt-LT"/>
        </w:rPr>
        <w:t xml:space="preserve">  </w:t>
      </w:r>
      <w:r w:rsidR="000D779E">
        <w:rPr>
          <w:lang w:eastAsia="lt-LT"/>
        </w:rPr>
        <w:t>prestižo vertė,</w:t>
      </w:r>
      <w:r w:rsidR="000D779E">
        <w:rPr>
          <w:i/>
          <w:iCs/>
          <w:lang w:eastAsia="lt-LT"/>
        </w:rPr>
        <w:t xml:space="preserve"> </w:t>
      </w:r>
      <w:r w:rsidR="000D779E">
        <w:rPr>
          <w:lang w:eastAsia="lt-LT"/>
        </w:rPr>
        <w:t>o</w:t>
      </w:r>
      <w:r w:rsidR="000D779E">
        <w:rPr>
          <w:i/>
          <w:iCs/>
          <w:lang w:eastAsia="lt-LT"/>
        </w:rPr>
        <w:t xml:space="preserve"> </w:t>
      </w:r>
      <w:r w:rsidR="000D779E">
        <w:rPr>
          <w:lang w:eastAsia="lt-LT"/>
        </w:rPr>
        <w:t>vėliau</w:t>
      </w:r>
      <w:r w:rsidR="000D779E">
        <w:rPr>
          <w:i/>
          <w:iCs/>
          <w:lang w:eastAsia="lt-LT"/>
        </w:rPr>
        <w:t xml:space="preserve"> </w:t>
      </w:r>
      <w:r w:rsidR="000D779E">
        <w:rPr>
          <w:lang w:eastAsia="lt-LT"/>
        </w:rPr>
        <w:t>ta</w:t>
      </w:r>
      <w:r w:rsidR="000D779E">
        <w:rPr>
          <w:i/>
          <w:iCs/>
          <w:lang w:eastAsia="lt-LT"/>
        </w:rPr>
        <w:t xml:space="preserve"> </w:t>
      </w:r>
      <w:r w:rsidR="000D779E">
        <w:rPr>
          <w:lang w:eastAsia="lt-LT"/>
        </w:rPr>
        <w:t>įsigyta</w:t>
      </w:r>
      <w:r w:rsidR="000D779E">
        <w:rPr>
          <w:i/>
          <w:iCs/>
          <w:lang w:eastAsia="lt-LT"/>
        </w:rPr>
        <w:t xml:space="preserve"> </w:t>
      </w:r>
      <w:r w:rsidR="000D779E">
        <w:rPr>
          <w:lang w:eastAsia="lt-LT"/>
        </w:rPr>
        <w:t>veikla</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kompleksas,</w:t>
      </w:r>
      <w:r w:rsidR="000D779E">
        <w:rPr>
          <w:i/>
          <w:iCs/>
          <w:lang w:eastAsia="lt-LT"/>
        </w:rPr>
        <w:t xml:space="preserve"> </w:t>
      </w:r>
      <w:r w:rsidR="000D779E">
        <w:rPr>
          <w:lang w:eastAsia="lt-LT"/>
        </w:rPr>
        <w:t>ar</w:t>
      </w:r>
      <w:r w:rsidR="000D779E">
        <w:rPr>
          <w:i/>
          <w:iCs/>
          <w:lang w:eastAsia="lt-LT"/>
        </w:rPr>
        <w:t xml:space="preserve"> </w:t>
      </w:r>
      <w:r w:rsidR="000D779E">
        <w:rPr>
          <w:lang w:eastAsia="lt-LT"/>
        </w:rPr>
        <w:t>ta</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dalis</w:t>
      </w:r>
      <w:r w:rsidR="000D779E">
        <w:rPr>
          <w:i/>
          <w:iCs/>
          <w:lang w:eastAsia="lt-LT"/>
        </w:rPr>
        <w:t xml:space="preserve"> </w:t>
      </w:r>
      <w:r w:rsidR="000D779E">
        <w:rPr>
          <w:lang w:eastAsia="lt-LT"/>
        </w:rPr>
        <w:t>buvo</w:t>
      </w:r>
      <w:r w:rsidR="000D779E">
        <w:rPr>
          <w:i/>
          <w:iCs/>
          <w:lang w:eastAsia="lt-LT"/>
        </w:rPr>
        <w:t xml:space="preserve"> </w:t>
      </w:r>
      <w:r w:rsidR="000D779E">
        <w:rPr>
          <w:lang w:eastAsia="lt-LT"/>
        </w:rPr>
        <w:t>perleista</w:t>
      </w:r>
      <w:r w:rsidR="000D779E">
        <w:rPr>
          <w:i/>
          <w:iCs/>
          <w:lang w:eastAsia="lt-LT"/>
        </w:rPr>
        <w:t xml:space="preserve"> </w:t>
      </w:r>
      <w:r w:rsidR="000D779E">
        <w:rPr>
          <w:lang w:eastAsia="lt-LT"/>
        </w:rPr>
        <w:t>kitam</w:t>
      </w:r>
      <w:r w:rsidR="000D779E">
        <w:rPr>
          <w:i/>
          <w:iCs/>
          <w:lang w:eastAsia="lt-LT"/>
        </w:rPr>
        <w:t xml:space="preserve"> </w:t>
      </w:r>
      <w:r w:rsidR="000D779E">
        <w:rPr>
          <w:lang w:eastAsia="lt-LT"/>
        </w:rPr>
        <w:t>vienetui,</w:t>
      </w:r>
      <w:r w:rsidR="000D779E">
        <w:rPr>
          <w:i/>
          <w:iCs/>
          <w:lang w:eastAsia="lt-LT"/>
        </w:rPr>
        <w:t xml:space="preserve"> </w:t>
      </w:r>
      <w:r w:rsidR="000D779E">
        <w:rPr>
          <w:lang w:eastAsia="lt-LT"/>
        </w:rPr>
        <w:t>tai</w:t>
      </w:r>
      <w:r w:rsidR="000D779E">
        <w:rPr>
          <w:i/>
          <w:iCs/>
          <w:lang w:eastAsia="lt-LT"/>
        </w:rPr>
        <w:t xml:space="preserve"> </w:t>
      </w:r>
      <w:r w:rsidR="000D779E">
        <w:rPr>
          <w:lang w:eastAsia="lt-LT"/>
        </w:rPr>
        <w:t>neamortizuota</w:t>
      </w:r>
      <w:r w:rsidR="000D779E">
        <w:rPr>
          <w:i/>
          <w:iCs/>
          <w:lang w:eastAsia="lt-LT"/>
        </w:rPr>
        <w:t xml:space="preserve"> </w:t>
      </w:r>
      <w:r w:rsidR="000D779E">
        <w:rPr>
          <w:lang w:eastAsia="lt-LT"/>
        </w:rPr>
        <w:t>prestižo</w:t>
      </w:r>
      <w:r w:rsidR="000D779E">
        <w:rPr>
          <w:i/>
          <w:iCs/>
          <w:lang w:eastAsia="lt-LT"/>
        </w:rPr>
        <w:t xml:space="preserve"> </w:t>
      </w:r>
      <w:r w:rsidR="000D779E">
        <w:rPr>
          <w:iCs/>
          <w:lang w:eastAsia="lt-LT"/>
        </w:rPr>
        <w:t xml:space="preserve">vertės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dalis</w:t>
      </w:r>
      <w:r w:rsidR="000D779E">
        <w:rPr>
          <w:i/>
          <w:iCs/>
          <w:lang w:eastAsia="lt-LT"/>
        </w:rPr>
        <w:t xml:space="preserve"> </w:t>
      </w:r>
      <w:r w:rsidR="000D779E">
        <w:rPr>
          <w:lang w:eastAsia="lt-LT"/>
        </w:rPr>
        <w:t>gali</w:t>
      </w:r>
      <w:r w:rsidR="000D779E">
        <w:rPr>
          <w:i/>
          <w:iCs/>
          <w:lang w:eastAsia="lt-LT"/>
        </w:rPr>
        <w:t xml:space="preserve"> </w:t>
      </w:r>
      <w:r w:rsidR="000D779E">
        <w:rPr>
          <w:lang w:eastAsia="lt-LT"/>
        </w:rPr>
        <w:t>būti</w:t>
      </w:r>
      <w:r w:rsidR="000D779E">
        <w:rPr>
          <w:i/>
          <w:iCs/>
          <w:lang w:eastAsia="lt-LT"/>
        </w:rPr>
        <w:t xml:space="preserve"> </w:t>
      </w:r>
      <w:r w:rsidR="000D779E">
        <w:rPr>
          <w:lang w:eastAsia="lt-LT"/>
        </w:rPr>
        <w:t>priskiriama</w:t>
      </w:r>
      <w:r w:rsidR="000D779E">
        <w:rPr>
          <w:i/>
          <w:iCs/>
          <w:lang w:eastAsia="lt-LT"/>
        </w:rPr>
        <w:t xml:space="preserve"> </w:t>
      </w:r>
      <w:r w:rsidR="000D779E">
        <w:rPr>
          <w:lang w:eastAsia="lt-LT"/>
        </w:rPr>
        <w:t>leidžiamiems</w:t>
      </w:r>
      <w:r w:rsidR="000D779E">
        <w:rPr>
          <w:i/>
          <w:iCs/>
          <w:lang w:eastAsia="lt-LT"/>
        </w:rPr>
        <w:t xml:space="preserve"> </w:t>
      </w:r>
      <w:r w:rsidR="000D779E">
        <w:rPr>
          <w:lang w:eastAsia="lt-LT"/>
        </w:rPr>
        <w:t>atskaitymams,</w:t>
      </w:r>
      <w:r w:rsidR="000D779E">
        <w:rPr>
          <w:i/>
          <w:iCs/>
          <w:lang w:eastAsia="lt-LT"/>
        </w:rPr>
        <w:t xml:space="preserve"> </w:t>
      </w:r>
      <w:r w:rsidR="000D779E">
        <w:rPr>
          <w:lang w:eastAsia="lt-LT"/>
        </w:rPr>
        <w:t>kaip</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komplekso</w:t>
      </w:r>
      <w:r w:rsidR="000D779E">
        <w:rPr>
          <w:i/>
          <w:iCs/>
          <w:lang w:eastAsia="lt-LT"/>
        </w:rPr>
        <w:t xml:space="preserve"> </w:t>
      </w:r>
      <w:r w:rsidR="000D779E">
        <w:rPr>
          <w:lang w:eastAsia="lt-LT"/>
        </w:rPr>
        <w:t>(ar</w:t>
      </w:r>
      <w:r w:rsidR="000D779E">
        <w:rPr>
          <w:i/>
          <w:iCs/>
          <w:lang w:eastAsia="lt-LT"/>
        </w:rPr>
        <w:t xml:space="preserve"> </w:t>
      </w:r>
      <w:r w:rsidR="000D779E">
        <w:rPr>
          <w:lang w:eastAsia="lt-LT"/>
        </w:rPr>
        <w:t>veiklos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dalis.</w:t>
      </w:r>
      <w:r w:rsidR="000D779E">
        <w:rPr>
          <w:i/>
          <w:iCs/>
          <w:lang w:eastAsia="lt-LT"/>
        </w:rPr>
        <w:t xml:space="preserve"> </w:t>
      </w:r>
    </w:p>
    <w:p w14:paraId="01966358" w14:textId="77777777" w:rsidR="00093845" w:rsidRDefault="00390442">
      <w:pPr>
        <w:spacing w:before="100" w:beforeAutospacing="1" w:after="100" w:afterAutospacing="1"/>
        <w:ind w:firstLine="709"/>
        <w:jc w:val="both"/>
        <w:rPr>
          <w:lang w:eastAsia="lt-LT"/>
        </w:rPr>
      </w:pPr>
      <w:r>
        <w:rPr>
          <w:lang w:eastAsia="lt-LT"/>
        </w:rPr>
        <w:t xml:space="preserve"> 9</w:t>
      </w:r>
      <w:r w:rsidR="000D779E">
        <w:rPr>
          <w:lang w:eastAsia="lt-LT"/>
        </w:rPr>
        <w:t>.</w:t>
      </w:r>
      <w:r w:rsidR="000D779E">
        <w:rPr>
          <w:i/>
          <w:iCs/>
          <w:lang w:eastAsia="lt-LT"/>
        </w:rPr>
        <w:t xml:space="preserve"> </w:t>
      </w:r>
      <w:r w:rsidR="000D779E">
        <w:rPr>
          <w:lang w:eastAsia="lt-LT"/>
        </w:rPr>
        <w:t>Kai</w:t>
      </w:r>
      <w:r w:rsidR="000D779E">
        <w:rPr>
          <w:i/>
          <w:iCs/>
          <w:lang w:eastAsia="lt-LT"/>
        </w:rPr>
        <w:t xml:space="preserve"> </w:t>
      </w:r>
      <w:r w:rsidR="000D779E">
        <w:rPr>
          <w:lang w:eastAsia="lt-LT"/>
        </w:rPr>
        <w:t>įsigyjamos</w:t>
      </w:r>
      <w:r w:rsidR="000D779E">
        <w:rPr>
          <w:i/>
          <w:iCs/>
          <w:lang w:eastAsia="lt-LT"/>
        </w:rPr>
        <w:t xml:space="preserve"> </w:t>
      </w:r>
      <w:r w:rsidR="000D779E">
        <w:rPr>
          <w:lang w:eastAsia="lt-LT"/>
        </w:rPr>
        <w:t>akcijos,</w:t>
      </w:r>
      <w:r w:rsidR="000D779E">
        <w:rPr>
          <w:i/>
          <w:iCs/>
          <w:lang w:eastAsia="lt-LT"/>
        </w:rPr>
        <w:t xml:space="preserve"> </w:t>
      </w:r>
      <w:r w:rsidR="000D779E">
        <w:rPr>
          <w:lang w:eastAsia="lt-LT"/>
        </w:rPr>
        <w:t>tai</w:t>
      </w:r>
      <w:r w:rsidR="000D779E">
        <w:rPr>
          <w:i/>
          <w:iCs/>
          <w:lang w:eastAsia="lt-LT"/>
        </w:rPr>
        <w:t xml:space="preserve"> </w:t>
      </w:r>
      <w:r w:rsidR="000D779E">
        <w:rPr>
          <w:lang w:eastAsia="lt-LT"/>
        </w:rPr>
        <w:t>šios</w:t>
      </w:r>
      <w:r w:rsidR="000D779E">
        <w:rPr>
          <w:i/>
          <w:iCs/>
          <w:lang w:eastAsia="lt-LT"/>
        </w:rPr>
        <w:t xml:space="preserve"> </w:t>
      </w:r>
      <w:r w:rsidR="000D779E">
        <w:rPr>
          <w:lang w:eastAsia="lt-LT"/>
        </w:rPr>
        <w:t>dalies</w:t>
      </w:r>
      <w:r w:rsidR="000D779E">
        <w:rPr>
          <w:i/>
          <w:iCs/>
          <w:lang w:eastAsia="lt-LT"/>
        </w:rPr>
        <w:t xml:space="preserve"> </w:t>
      </w:r>
      <w:r w:rsidR="000D779E">
        <w:rPr>
          <w:lang w:eastAsia="lt-LT"/>
        </w:rPr>
        <w:t>nuostatos</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tik</w:t>
      </w:r>
      <w:r w:rsidR="000D779E">
        <w:rPr>
          <w:i/>
          <w:iCs/>
          <w:lang w:eastAsia="lt-LT"/>
        </w:rPr>
        <w:t xml:space="preserve"> </w:t>
      </w:r>
      <w:r w:rsidR="000D779E">
        <w:rPr>
          <w:lang w:eastAsia="lt-LT"/>
        </w:rPr>
        <w:t>tokiam</w:t>
      </w:r>
      <w:r w:rsidR="000D779E">
        <w:rPr>
          <w:i/>
          <w:iCs/>
          <w:lang w:eastAsia="lt-LT"/>
        </w:rPr>
        <w:t xml:space="preserve"> </w:t>
      </w:r>
      <w:r w:rsidR="000D779E">
        <w:rPr>
          <w:lang w:eastAsia="lt-LT"/>
        </w:rPr>
        <w:t>prestižui,</w:t>
      </w:r>
      <w:r w:rsidR="000D779E">
        <w:rPr>
          <w:i/>
          <w:iCs/>
          <w:lang w:eastAsia="lt-LT"/>
        </w:rPr>
        <w:t xml:space="preserve"> </w:t>
      </w:r>
      <w:r w:rsidR="000D779E">
        <w:rPr>
          <w:lang w:eastAsia="lt-LT"/>
        </w:rPr>
        <w:t>kuris</w:t>
      </w:r>
      <w:r w:rsidR="000D779E">
        <w:rPr>
          <w:i/>
          <w:iCs/>
          <w:lang w:eastAsia="lt-LT"/>
        </w:rPr>
        <w:t xml:space="preserve"> </w:t>
      </w:r>
      <w:r w:rsidR="000D779E">
        <w:rPr>
          <w:lang w:eastAsia="lt-LT"/>
        </w:rPr>
        <w:t>nustatomas</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ir</w:t>
      </w:r>
      <w:r w:rsidR="000D779E">
        <w:rPr>
          <w:i/>
          <w:iCs/>
          <w:lang w:eastAsia="lt-LT"/>
        </w:rPr>
        <w:t xml:space="preserve"> </w:t>
      </w:r>
      <w:r w:rsidR="000D779E">
        <w:rPr>
          <w:lang w:eastAsia="lt-LT"/>
        </w:rPr>
        <w:t>pripažįstamas</w:t>
      </w:r>
      <w:r w:rsidR="000D779E">
        <w:rPr>
          <w:i/>
          <w:iCs/>
          <w:lang w:eastAsia="lt-LT"/>
        </w:rPr>
        <w:t xml:space="preserve"> </w:t>
      </w:r>
      <w:r w:rsidR="000D779E">
        <w:rPr>
          <w:lang w:eastAsia="lt-LT"/>
        </w:rPr>
        <w:t>pelno</w:t>
      </w:r>
      <w:r w:rsidR="000D779E">
        <w:rPr>
          <w:i/>
          <w:iCs/>
          <w:lang w:eastAsia="lt-LT"/>
        </w:rPr>
        <w:t xml:space="preserve"> </w:t>
      </w:r>
      <w:r w:rsidR="000D779E">
        <w:rPr>
          <w:lang w:eastAsia="lt-LT"/>
        </w:rPr>
        <w:t>mokesčio</w:t>
      </w:r>
      <w:r w:rsidR="000D779E">
        <w:rPr>
          <w:i/>
          <w:iCs/>
          <w:lang w:eastAsia="lt-LT"/>
        </w:rPr>
        <w:t xml:space="preserve"> </w:t>
      </w:r>
      <w:r w:rsidR="000D779E">
        <w:rPr>
          <w:lang w:eastAsia="lt-LT"/>
        </w:rPr>
        <w:t>tikslais</w:t>
      </w:r>
      <w:r w:rsidR="000D779E">
        <w:rPr>
          <w:i/>
          <w:iCs/>
          <w:lang w:eastAsia="lt-LT"/>
        </w:rPr>
        <w:t xml:space="preserve"> </w:t>
      </w:r>
      <w:r w:rsidR="000D779E">
        <w:rPr>
          <w:lang w:eastAsia="lt-LT"/>
        </w:rPr>
        <w:t>(žr.</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2</w:t>
      </w:r>
      <w:r w:rsidR="000D779E">
        <w:rPr>
          <w:i/>
          <w:iCs/>
          <w:lang w:eastAsia="lt-LT"/>
        </w:rPr>
        <w:t xml:space="preserve"> </w:t>
      </w:r>
      <w:r w:rsidR="000D779E">
        <w:rPr>
          <w:lang w:eastAsia="lt-LT"/>
        </w:rPr>
        <w:t>str. 30 dalies</w:t>
      </w:r>
      <w:r w:rsidR="000D779E">
        <w:rPr>
          <w:i/>
          <w:iCs/>
          <w:lang w:eastAsia="lt-LT"/>
        </w:rPr>
        <w:t xml:space="preserve"> </w:t>
      </w:r>
      <w:r w:rsidR="000D779E">
        <w:rPr>
          <w:lang w:eastAsia="lt-LT"/>
        </w:rPr>
        <w:t>komentarą).</w:t>
      </w:r>
      <w:r w:rsidR="000D779E">
        <w:rPr>
          <w:i/>
          <w:iCs/>
          <w:lang w:eastAsia="lt-LT"/>
        </w:rPr>
        <w:t xml:space="preserve"> </w:t>
      </w:r>
      <w:r w:rsidR="000D779E">
        <w:rPr>
          <w:lang w:eastAsia="lt-LT"/>
        </w:rPr>
        <w:t>Vėlesnio</w:t>
      </w:r>
      <w:r w:rsidR="000D779E">
        <w:rPr>
          <w:i/>
          <w:iCs/>
          <w:lang w:eastAsia="lt-LT"/>
        </w:rPr>
        <w:t xml:space="preserve"> </w:t>
      </w:r>
      <w:r w:rsidR="000D779E">
        <w:rPr>
          <w:lang w:eastAsia="lt-LT"/>
        </w:rPr>
        <w:t>vienetų</w:t>
      </w:r>
      <w:r w:rsidR="000D779E">
        <w:rPr>
          <w:i/>
          <w:iCs/>
          <w:lang w:eastAsia="lt-LT"/>
        </w:rPr>
        <w:t xml:space="preserve"> </w:t>
      </w:r>
      <w:r w:rsidR="000D779E">
        <w:rPr>
          <w:lang w:eastAsia="lt-LT"/>
        </w:rPr>
        <w:t>reorganizavimo</w:t>
      </w:r>
      <w:r w:rsidR="000D779E">
        <w:rPr>
          <w:i/>
          <w:iCs/>
          <w:lang w:eastAsia="lt-LT"/>
        </w:rPr>
        <w:t xml:space="preserve"> </w:t>
      </w:r>
      <w:r w:rsidR="000D779E">
        <w:rPr>
          <w:lang w:eastAsia="lt-LT"/>
        </w:rPr>
        <w:t>momentu</w:t>
      </w:r>
      <w:r w:rsidR="000D779E">
        <w:rPr>
          <w:i/>
          <w:iCs/>
          <w:lang w:eastAsia="lt-LT"/>
        </w:rPr>
        <w:t xml:space="preserve"> </w:t>
      </w:r>
      <w:r w:rsidR="000D779E">
        <w:rPr>
          <w:lang w:eastAsia="lt-LT"/>
        </w:rPr>
        <w:t>prestižas</w:t>
      </w:r>
      <w:r w:rsidR="000D779E">
        <w:rPr>
          <w:i/>
          <w:iCs/>
          <w:lang w:eastAsia="lt-LT"/>
        </w:rPr>
        <w:t xml:space="preserve"> </w:t>
      </w:r>
      <w:r w:rsidR="000D779E">
        <w:rPr>
          <w:lang w:eastAsia="lt-LT"/>
        </w:rPr>
        <w:t>nesusidaro,</w:t>
      </w:r>
      <w:r w:rsidR="000D779E">
        <w:rPr>
          <w:i/>
          <w:iCs/>
          <w:lang w:eastAsia="lt-LT"/>
        </w:rPr>
        <w:t xml:space="preserve"> </w:t>
      </w:r>
      <w:r w:rsidR="000D779E">
        <w:rPr>
          <w:lang w:eastAsia="lt-LT"/>
        </w:rPr>
        <w:t>t.</w:t>
      </w:r>
      <w:r w:rsidR="000D779E">
        <w:rPr>
          <w:i/>
          <w:iCs/>
          <w:lang w:eastAsia="lt-LT"/>
        </w:rPr>
        <w:t xml:space="preserve"> </w:t>
      </w:r>
      <w:r w:rsidR="000D779E">
        <w:rPr>
          <w:lang w:eastAsia="lt-LT"/>
        </w:rPr>
        <w:t>y.</w:t>
      </w:r>
      <w:r w:rsidR="000D779E">
        <w:rPr>
          <w:i/>
          <w:iCs/>
          <w:lang w:eastAsia="lt-LT"/>
        </w:rPr>
        <w:t xml:space="preserve"> </w:t>
      </w:r>
      <w:r w:rsidR="000D779E">
        <w:rPr>
          <w:lang w:eastAsia="lt-LT"/>
        </w:rPr>
        <w:t>akcijų</w:t>
      </w:r>
      <w:r w:rsidR="000D779E">
        <w:rPr>
          <w:i/>
          <w:iCs/>
          <w:lang w:eastAsia="lt-LT"/>
        </w:rPr>
        <w:t xml:space="preserve"> </w:t>
      </w:r>
      <w:r w:rsidR="000D779E">
        <w:rPr>
          <w:lang w:eastAsia="lt-LT"/>
        </w:rPr>
        <w:t>įsigijimo</w:t>
      </w:r>
      <w:r w:rsidR="000D779E">
        <w:rPr>
          <w:i/>
          <w:iCs/>
          <w:lang w:eastAsia="lt-LT"/>
        </w:rPr>
        <w:t xml:space="preserve"> </w:t>
      </w:r>
      <w:r w:rsidR="000D779E">
        <w:rPr>
          <w:lang w:eastAsia="lt-LT"/>
        </w:rPr>
        <w:t>kainos</w:t>
      </w:r>
      <w:r w:rsidR="000D779E">
        <w:rPr>
          <w:i/>
          <w:iCs/>
          <w:lang w:eastAsia="lt-LT"/>
        </w:rPr>
        <w:t xml:space="preserve"> </w:t>
      </w:r>
      <w:r w:rsidR="000D779E">
        <w:rPr>
          <w:lang w:eastAsia="lt-LT"/>
        </w:rPr>
        <w:t>ir</w:t>
      </w:r>
      <w:r w:rsidR="000D779E">
        <w:rPr>
          <w:i/>
          <w:iCs/>
          <w:lang w:eastAsia="lt-LT"/>
        </w:rPr>
        <w:t xml:space="preserve"> </w:t>
      </w:r>
      <w:r w:rsidR="000D779E">
        <w:rPr>
          <w:lang w:eastAsia="lt-LT"/>
        </w:rPr>
        <w:t>už</w:t>
      </w:r>
      <w:r w:rsidR="000D779E">
        <w:rPr>
          <w:i/>
          <w:iCs/>
          <w:lang w:eastAsia="lt-LT"/>
        </w:rPr>
        <w:t xml:space="preserve"> </w:t>
      </w:r>
      <w:r w:rsidR="000D779E">
        <w:rPr>
          <w:lang w:eastAsia="lt-LT"/>
        </w:rPr>
        <w:t>jas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įsigyjamojo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perimto</w:t>
      </w:r>
      <w:r w:rsidR="000D779E">
        <w:rPr>
          <w:i/>
          <w:iCs/>
          <w:lang w:eastAsia="lt-LT"/>
        </w:rPr>
        <w:t xml:space="preserve"> </w:t>
      </w:r>
      <w:r w:rsidR="000D779E">
        <w:rPr>
          <w:lang w:eastAsia="lt-LT"/>
        </w:rPr>
        <w:t>grynojo</w:t>
      </w:r>
      <w:r w:rsidR="000D779E">
        <w:rPr>
          <w:i/>
          <w:iCs/>
          <w:lang w:eastAsia="lt-LT"/>
        </w:rPr>
        <w:t xml:space="preserve"> </w:t>
      </w:r>
      <w:r w:rsidR="000D779E">
        <w:rPr>
          <w:lang w:eastAsia="lt-LT"/>
        </w:rPr>
        <w:t>turto</w:t>
      </w:r>
      <w:r w:rsidR="000D779E">
        <w:rPr>
          <w:i/>
          <w:iCs/>
          <w:lang w:eastAsia="lt-LT"/>
        </w:rPr>
        <w:t xml:space="preserve"> </w:t>
      </w:r>
      <w:r w:rsidR="000D779E">
        <w:rPr>
          <w:lang w:eastAsia="lt-LT"/>
        </w:rPr>
        <w:t>vertės</w:t>
      </w:r>
      <w:r w:rsidR="000D779E">
        <w:rPr>
          <w:i/>
          <w:iCs/>
          <w:lang w:eastAsia="lt-LT"/>
        </w:rPr>
        <w:t xml:space="preserve"> </w:t>
      </w:r>
      <w:r w:rsidR="000D779E">
        <w:rPr>
          <w:lang w:eastAsia="lt-LT"/>
        </w:rPr>
        <w:t>teigiamas</w:t>
      </w:r>
      <w:r w:rsidR="000D779E">
        <w:rPr>
          <w:i/>
          <w:iCs/>
          <w:lang w:eastAsia="lt-LT"/>
        </w:rPr>
        <w:t xml:space="preserve"> </w:t>
      </w:r>
      <w:r w:rsidR="000D779E">
        <w:rPr>
          <w:lang w:eastAsia="lt-LT"/>
        </w:rPr>
        <w:t>matematinis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nelaikomas</w:t>
      </w:r>
      <w:r w:rsidR="000D779E">
        <w:rPr>
          <w:i/>
          <w:iCs/>
          <w:lang w:eastAsia="lt-LT"/>
        </w:rPr>
        <w:t xml:space="preserve"> </w:t>
      </w:r>
      <w:r w:rsidR="000D779E">
        <w:rPr>
          <w:lang w:eastAsia="lt-LT"/>
        </w:rPr>
        <w:t>prestižu,</w:t>
      </w:r>
      <w:r w:rsidR="000D779E">
        <w:rPr>
          <w:i/>
          <w:iCs/>
          <w:lang w:eastAsia="lt-LT"/>
        </w:rPr>
        <w:t xml:space="preserve"> </w:t>
      </w:r>
      <w:r w:rsidR="000D779E">
        <w:rPr>
          <w:lang w:eastAsia="lt-LT"/>
        </w:rPr>
        <w:t>ir</w:t>
      </w:r>
      <w:r w:rsidR="000D779E">
        <w:rPr>
          <w:i/>
          <w:iCs/>
          <w:lang w:eastAsia="lt-LT"/>
        </w:rPr>
        <w:t xml:space="preserve"> </w:t>
      </w:r>
      <w:r w:rsidR="000D779E">
        <w:rPr>
          <w:lang w:eastAsia="lt-LT"/>
        </w:rPr>
        <w:t>šis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iš</w:t>
      </w:r>
      <w:r w:rsidR="000D779E">
        <w:rPr>
          <w:i/>
          <w:iCs/>
          <w:lang w:eastAsia="lt-LT"/>
        </w:rPr>
        <w:t xml:space="preserve"> </w:t>
      </w:r>
      <w:r w:rsidR="000D779E">
        <w:rPr>
          <w:lang w:eastAsia="lt-LT"/>
        </w:rPr>
        <w:t>įsigyjančiojo</w:t>
      </w:r>
      <w:r w:rsidR="000D779E">
        <w:rPr>
          <w:i/>
          <w:iCs/>
          <w:lang w:eastAsia="lt-LT"/>
        </w:rPr>
        <w:t xml:space="preserve"> </w:t>
      </w:r>
      <w:r w:rsidR="000D779E">
        <w:rPr>
          <w:lang w:eastAsia="lt-LT"/>
        </w:rPr>
        <w:t>vieneto</w:t>
      </w:r>
      <w:r w:rsidR="000D779E">
        <w:rPr>
          <w:i/>
          <w:iCs/>
          <w:lang w:eastAsia="lt-LT"/>
        </w:rPr>
        <w:t xml:space="preserve"> </w:t>
      </w:r>
      <w:r w:rsidR="000D779E">
        <w:rPr>
          <w:lang w:eastAsia="lt-LT"/>
        </w:rPr>
        <w:t>pajamų</w:t>
      </w:r>
      <w:r w:rsidR="000D779E">
        <w:rPr>
          <w:i/>
          <w:iCs/>
          <w:lang w:eastAsia="lt-LT"/>
        </w:rPr>
        <w:t xml:space="preserve"> </w:t>
      </w:r>
      <w:r w:rsidR="000D779E">
        <w:rPr>
          <w:lang w:eastAsia="lt-LT"/>
        </w:rPr>
        <w:t>neatskaitomas.</w:t>
      </w:r>
      <w:r w:rsidR="000D779E">
        <w:rPr>
          <w:i/>
          <w:iCs/>
          <w:lang w:eastAsia="lt-LT"/>
        </w:rPr>
        <w:t xml:space="preserve"> </w:t>
      </w:r>
      <w:r w:rsidR="000D779E">
        <w:rPr>
          <w:lang w:eastAsia="lt-LT"/>
        </w:rPr>
        <w:t>Toks</w:t>
      </w:r>
      <w:r w:rsidR="000D779E">
        <w:rPr>
          <w:i/>
          <w:iCs/>
          <w:lang w:eastAsia="lt-LT"/>
        </w:rPr>
        <w:t xml:space="preserve"> </w:t>
      </w:r>
      <w:r w:rsidR="000D779E">
        <w:rPr>
          <w:lang w:eastAsia="lt-LT"/>
        </w:rPr>
        <w:t>skirtumas</w:t>
      </w:r>
      <w:r w:rsidR="000D779E">
        <w:rPr>
          <w:i/>
          <w:iCs/>
          <w:lang w:eastAsia="lt-LT"/>
        </w:rPr>
        <w:t xml:space="preserve"> </w:t>
      </w:r>
      <w:r w:rsidR="000D779E">
        <w:rPr>
          <w:lang w:eastAsia="lt-LT"/>
        </w:rPr>
        <w:t>taip</w:t>
      </w:r>
      <w:r w:rsidR="000D779E">
        <w:rPr>
          <w:i/>
          <w:iCs/>
          <w:lang w:eastAsia="lt-LT"/>
        </w:rPr>
        <w:t xml:space="preserve"> </w:t>
      </w:r>
      <w:r w:rsidR="000D779E">
        <w:rPr>
          <w:lang w:eastAsia="lt-LT"/>
        </w:rPr>
        <w:t>pat</w:t>
      </w:r>
      <w:r w:rsidR="000D779E">
        <w:rPr>
          <w:i/>
          <w:iCs/>
          <w:lang w:eastAsia="lt-LT"/>
        </w:rPr>
        <w:t xml:space="preserve"> </w:t>
      </w:r>
      <w:r w:rsidR="000D779E">
        <w:rPr>
          <w:lang w:eastAsia="lt-LT"/>
        </w:rPr>
        <w:t>nelaikomas</w:t>
      </w:r>
      <w:r w:rsidR="000D779E">
        <w:rPr>
          <w:i/>
          <w:iCs/>
          <w:lang w:eastAsia="lt-LT"/>
        </w:rPr>
        <w:t xml:space="preserve"> </w:t>
      </w:r>
      <w:r w:rsidR="000D779E">
        <w:rPr>
          <w:lang w:eastAsia="lt-LT"/>
        </w:rPr>
        <w:t>nuostoliu</w:t>
      </w:r>
      <w:r w:rsidR="000D779E">
        <w:rPr>
          <w:i/>
          <w:iCs/>
          <w:lang w:eastAsia="lt-LT"/>
        </w:rPr>
        <w:t xml:space="preserve"> </w:t>
      </w:r>
      <w:r w:rsidR="000D779E">
        <w:rPr>
          <w:lang w:eastAsia="lt-LT"/>
        </w:rPr>
        <w:t>iš</w:t>
      </w:r>
      <w:r w:rsidR="000D779E">
        <w:rPr>
          <w:i/>
          <w:iCs/>
          <w:lang w:eastAsia="lt-LT"/>
        </w:rPr>
        <w:t xml:space="preserve"> </w:t>
      </w:r>
      <w:r w:rsidR="000D779E">
        <w:rPr>
          <w:lang w:eastAsia="lt-LT"/>
        </w:rPr>
        <w:t>vertybinių</w:t>
      </w:r>
      <w:r w:rsidR="000D779E">
        <w:rPr>
          <w:i/>
          <w:iCs/>
          <w:lang w:eastAsia="lt-LT"/>
        </w:rPr>
        <w:t xml:space="preserve"> </w:t>
      </w:r>
      <w:r w:rsidR="000D779E">
        <w:rPr>
          <w:lang w:eastAsia="lt-LT"/>
        </w:rPr>
        <w:t>popierių</w:t>
      </w:r>
      <w:r w:rsidR="000D779E">
        <w:rPr>
          <w:i/>
          <w:iCs/>
          <w:lang w:eastAsia="lt-LT"/>
        </w:rPr>
        <w:t xml:space="preserve"> </w:t>
      </w:r>
      <w:r w:rsidR="000D779E">
        <w:rPr>
          <w:lang w:eastAsia="lt-LT"/>
        </w:rPr>
        <w:t>perleidimo,</w:t>
      </w:r>
      <w:r w:rsidR="000D779E">
        <w:rPr>
          <w:i/>
          <w:iCs/>
          <w:lang w:eastAsia="lt-LT"/>
        </w:rPr>
        <w:t xml:space="preserve"> </w:t>
      </w:r>
      <w:r w:rsidR="000D779E">
        <w:rPr>
          <w:lang w:eastAsia="lt-LT"/>
        </w:rPr>
        <w:t>kuriam</w:t>
      </w:r>
      <w:r w:rsidR="000D779E">
        <w:rPr>
          <w:i/>
          <w:iCs/>
          <w:lang w:eastAsia="lt-LT"/>
        </w:rPr>
        <w:t xml:space="preserve"> </w:t>
      </w:r>
      <w:r w:rsidR="000D779E">
        <w:rPr>
          <w:lang w:eastAsia="lt-LT"/>
        </w:rPr>
        <w:t>taikomos</w:t>
      </w:r>
      <w:r w:rsidR="000D779E">
        <w:rPr>
          <w:i/>
          <w:iCs/>
          <w:lang w:eastAsia="lt-LT"/>
        </w:rPr>
        <w:t xml:space="preserve"> </w:t>
      </w:r>
      <w:r w:rsidR="000D779E">
        <w:rPr>
          <w:lang w:eastAsia="lt-LT"/>
        </w:rPr>
        <w:t>PMĮ</w:t>
      </w:r>
      <w:r w:rsidR="000D779E">
        <w:rPr>
          <w:i/>
          <w:iCs/>
          <w:lang w:eastAsia="lt-LT"/>
        </w:rPr>
        <w:t xml:space="preserve"> </w:t>
      </w:r>
      <w:r w:rsidR="000D779E">
        <w:rPr>
          <w:lang w:eastAsia="lt-LT"/>
        </w:rPr>
        <w:t>30</w:t>
      </w:r>
      <w:r w:rsidR="000D779E">
        <w:rPr>
          <w:i/>
          <w:iCs/>
          <w:lang w:eastAsia="lt-LT"/>
        </w:rPr>
        <w:t xml:space="preserve"> </w:t>
      </w:r>
      <w:r w:rsidR="000D779E">
        <w:rPr>
          <w:lang w:eastAsia="lt-LT"/>
        </w:rPr>
        <w:t>straipsnio</w:t>
      </w:r>
      <w:r w:rsidR="000D779E">
        <w:rPr>
          <w:i/>
          <w:iCs/>
          <w:lang w:eastAsia="lt-LT"/>
        </w:rPr>
        <w:t xml:space="preserve"> </w:t>
      </w:r>
      <w:r w:rsidR="000D779E">
        <w:rPr>
          <w:lang w:eastAsia="lt-LT"/>
        </w:rPr>
        <w:t>nuostatos.</w:t>
      </w:r>
    </w:p>
    <w:p w14:paraId="016DEA7C" w14:textId="77777777" w:rsidR="00093845" w:rsidRDefault="000D779E">
      <w:pPr>
        <w:spacing w:before="100" w:beforeAutospacing="1" w:after="100" w:afterAutospacing="1"/>
        <w:ind w:firstLine="709"/>
        <w:jc w:val="both"/>
      </w:pPr>
      <w:r>
        <w:t>(Pagal VMI prie FM 2018-07-18 raštą Nr. (</w:t>
      </w:r>
      <w:r>
        <w:rPr>
          <w:color w:val="000000"/>
        </w:rPr>
        <w:t>32.42-31-1E) RM-26011)</w:t>
      </w:r>
    </w:p>
    <w:p w14:paraId="70C93D69" w14:textId="77777777" w:rsidR="00093845" w:rsidRDefault="000D779E" w:rsidP="00337B16">
      <w:pPr>
        <w:spacing w:after="0"/>
        <w:jc w:val="both"/>
        <w:rPr>
          <w:rFonts w:ascii="Tahoma" w:hAnsi="Tahoma" w:cs="Tahoma"/>
          <w:b/>
        </w:rPr>
      </w:pPr>
      <w:r>
        <w:rPr>
          <w:rFonts w:ascii="TimesLT" w:hAnsi="TimesLT" w:cs="Arial Unicode MS"/>
          <w:b/>
        </w:rPr>
        <w:lastRenderedPageBreak/>
        <w:t xml:space="preserve">            11. Vienetas gali pasirinkti viso ilgalaikio turto nusidėvėjimą arba amortizaciją skaičiuoti nuo kito mėnesio pirmosios dienos po ilgalaikio turto naudojimo pradžios pagal šio Įstatymo 1 priedėlyje nustatytus normatyvus tiesiniu metodu.</w:t>
      </w:r>
    </w:p>
    <w:p w14:paraId="7345CA7B" w14:textId="77777777" w:rsidR="00093845" w:rsidRDefault="000D779E" w:rsidP="00337B16">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5775C067" w14:textId="77777777" w:rsidR="008A55B2" w:rsidRPr="00FE7AB0" w:rsidRDefault="008A55B2" w:rsidP="00337B16">
      <w:pPr>
        <w:spacing w:after="0"/>
        <w:jc w:val="both"/>
        <w:rPr>
          <w:i/>
        </w:rPr>
      </w:pPr>
    </w:p>
    <w:p w14:paraId="5B6302A9" w14:textId="77777777" w:rsidR="00093845" w:rsidRDefault="000D779E">
      <w:pPr>
        <w:tabs>
          <w:tab w:val="left" w:pos="720"/>
          <w:tab w:val="left" w:pos="1077"/>
          <w:tab w:val="left" w:pos="1418"/>
        </w:tabs>
        <w:ind w:right="-5" w:firstLine="709"/>
        <w:jc w:val="both"/>
        <w:rPr>
          <w:b/>
          <w:szCs w:val="20"/>
        </w:rPr>
      </w:pPr>
      <w:r>
        <w:rPr>
          <w:b/>
        </w:rPr>
        <w:t>Komentaras</w:t>
      </w:r>
    </w:p>
    <w:p w14:paraId="006A0609" w14:textId="77777777" w:rsidR="00093845" w:rsidRDefault="000D779E">
      <w:pPr>
        <w:tabs>
          <w:tab w:val="left" w:pos="720"/>
          <w:tab w:val="left" w:pos="1077"/>
          <w:tab w:val="left" w:pos="1418"/>
        </w:tabs>
        <w:ind w:right="-5" w:firstLine="709"/>
        <w:jc w:val="both"/>
        <w:rPr>
          <w:szCs w:val="20"/>
        </w:rPr>
      </w:pPr>
      <w:r>
        <w:t>1.</w:t>
      </w:r>
      <w:r>
        <w:tab/>
        <w:t>Įmonės gali pasirinkti vieną iš dviejų šiame straipsnyje nustatytų ilgalaikio turto nusidėvėjimo (amortizacijos) skaičiavimo pradžios būdų (žr. šio straipsnio 7 dalies komentarą).</w:t>
      </w:r>
    </w:p>
    <w:p w14:paraId="7E762550" w14:textId="77777777" w:rsidR="00093845" w:rsidRDefault="000D779E">
      <w:pPr>
        <w:tabs>
          <w:tab w:val="left" w:pos="720"/>
          <w:tab w:val="left" w:pos="1077"/>
          <w:tab w:val="left" w:pos="1418"/>
        </w:tabs>
        <w:ind w:right="-5" w:firstLine="709"/>
        <w:jc w:val="both"/>
        <w:rPr>
          <w:rFonts w:cs="Arial Unicode MS"/>
          <w:u w:val="single"/>
        </w:rPr>
      </w:pPr>
      <w:r>
        <w:t>2.</w:t>
      </w:r>
      <w:r>
        <w:tab/>
        <w:t>Taikant kito mėnesio būdą, ilgalaikio turto nusidėvėjimas (amortizacija) pradedamas skaičiuoti nuo kito mėnesio pirmosios dienos po ilgalaikio turto naudojimo pradžios.</w:t>
      </w:r>
      <w:r>
        <w:rPr>
          <w:rFonts w:ascii="Trebuchet MS" w:eastAsia="MS Mincho" w:hAnsi="Trebuchet MS"/>
          <w:sz w:val="22"/>
          <w:szCs w:val="22"/>
          <w:lang w:eastAsia="ja-JP"/>
        </w:rPr>
        <w:t xml:space="preserve"> </w:t>
      </w:r>
    </w:p>
    <w:p w14:paraId="1582680D" w14:textId="77777777" w:rsidR="00093845" w:rsidRDefault="000D779E">
      <w:pPr>
        <w:tabs>
          <w:tab w:val="left" w:pos="720"/>
          <w:tab w:val="left" w:pos="1077"/>
          <w:tab w:val="left" w:pos="1418"/>
        </w:tabs>
        <w:ind w:right="-5" w:firstLine="709"/>
        <w:jc w:val="both"/>
        <w:rPr>
          <w:rFonts w:cs="Arial Unicode MS"/>
        </w:rPr>
      </w:pPr>
      <w:r>
        <w:rPr>
          <w:rFonts w:cs="Arial Unicode MS"/>
        </w:rPr>
        <w:t>Pavyzdys</w:t>
      </w:r>
    </w:p>
    <w:p w14:paraId="46DE717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 xml:space="preserve">UAB X 2015 m. vasario 20 d. įsigijo 61 000 </w:t>
      </w:r>
      <w:r>
        <w:rPr>
          <w:rFonts w:cs="Arial Unicode MS"/>
          <w:iCs/>
        </w:rPr>
        <w:t>Eur</w:t>
      </w:r>
      <w:r>
        <w:rPr>
          <w:rFonts w:cs="Arial Unicode MS"/>
        </w:rPr>
        <w:t xml:space="preserve"> kainos (be PVM) naują lengvąjį automobilį ir tą patį mėnesį pradėjo jį naudoti. Vadovaujantis PMĮ 1 priedėliu, šio lengvojo automobilio, kurio likvidacinė kaina – 1240 </w:t>
      </w:r>
      <w:r>
        <w:rPr>
          <w:rFonts w:cs="Arial Unicode MS"/>
          <w:iCs/>
        </w:rPr>
        <w:t>Eur</w:t>
      </w:r>
      <w:r>
        <w:rPr>
          <w:rFonts w:cs="Arial Unicode MS"/>
        </w:rPr>
        <w:t xml:space="preserve">, nusidėvėjimas bus skaičiuojamas taikant 6 metų (72 mėn.) nusidėvėjimo normatyvą. </w:t>
      </w:r>
    </w:p>
    <w:p w14:paraId="5EB4E68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 xml:space="preserve">Kadangi automobilis įsigytas ir pradėtas naudoti vasario mėnesį, jo nusidėvėjimas pradedamas skaičiuoti nuo kovo 1 d. Vadinasi, 2015 m. automobilis bus naudojamas 10 mėnesių. Apskaičiuojant 2015 m. apmokestinamąjį pelną, prie leidžiamų atskaitymų bus priskirta 8300 </w:t>
      </w:r>
      <w:r>
        <w:rPr>
          <w:rFonts w:cs="Arial Unicode MS"/>
          <w:iCs/>
        </w:rPr>
        <w:t>Eur</w:t>
      </w:r>
      <w:r>
        <w:rPr>
          <w:rFonts w:cs="Arial Unicode MS"/>
        </w:rPr>
        <w:t xml:space="preserve"> suma, kuri apskaičiuojama taip:</w:t>
      </w:r>
    </w:p>
    <w:p w14:paraId="5CFBED1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rFonts w:cs="Arial Unicode MS"/>
        </w:rPr>
      </w:pPr>
      <w:r>
        <w:rPr>
          <w:rFonts w:cs="Arial Unicode MS"/>
        </w:rPr>
        <w:t>(61 000 - 1240) : 72 x 10 = 8300 (</w:t>
      </w:r>
      <w:r>
        <w:rPr>
          <w:rFonts w:cs="Arial Unicode MS"/>
          <w:iCs/>
        </w:rPr>
        <w:t>Eur</w:t>
      </w:r>
      <w:r>
        <w:rPr>
          <w:rFonts w:cs="Arial Unicode MS"/>
        </w:rPr>
        <w:t>).</w:t>
      </w:r>
    </w:p>
    <w:p w14:paraId="47C40385" w14:textId="77777777" w:rsidR="00093845" w:rsidRDefault="00093845">
      <w:pPr>
        <w:tabs>
          <w:tab w:val="left" w:pos="720"/>
          <w:tab w:val="left" w:pos="1077"/>
          <w:tab w:val="left" w:pos="1418"/>
        </w:tabs>
        <w:ind w:right="-5" w:firstLine="709"/>
        <w:jc w:val="both"/>
        <w:rPr>
          <w:rFonts w:cs="Arial Unicode MS"/>
        </w:rPr>
      </w:pPr>
    </w:p>
    <w:p w14:paraId="45C7CF92" w14:textId="77777777" w:rsidR="00093845" w:rsidRDefault="000D779E">
      <w:pPr>
        <w:tabs>
          <w:tab w:val="left" w:pos="720"/>
          <w:tab w:val="left" w:pos="1077"/>
          <w:tab w:val="left" w:pos="1418"/>
        </w:tabs>
        <w:ind w:right="-5" w:firstLine="709"/>
        <w:jc w:val="both"/>
        <w:rPr>
          <w:rFonts w:cs="Arial Unicode MS"/>
        </w:rPr>
      </w:pPr>
      <w:r>
        <w:rPr>
          <w:rFonts w:cs="Arial Unicode MS"/>
        </w:rPr>
        <w:t>3. Nuo kito mėnesio pradžios pradedamas skaičiuoti ilgalaikio turto nusidėvėjimas (amortizacija) ir tuo atveju, kai pradedamas naudoti turtas, kuris buvo užkonservuotas.</w:t>
      </w:r>
    </w:p>
    <w:p w14:paraId="1D72EE1B" w14:textId="77777777" w:rsidR="00093845" w:rsidRDefault="000D779E">
      <w:pPr>
        <w:tabs>
          <w:tab w:val="left" w:pos="720"/>
          <w:tab w:val="left" w:pos="1077"/>
          <w:tab w:val="left" w:pos="1418"/>
        </w:tabs>
        <w:ind w:right="-5" w:firstLine="709"/>
        <w:jc w:val="both"/>
        <w:rPr>
          <w:szCs w:val="20"/>
        </w:rPr>
      </w:pPr>
      <w:r>
        <w:rPr>
          <w:szCs w:val="20"/>
        </w:rPr>
        <w:tab/>
        <w:t xml:space="preserve">4. Įmonė, pasirinkusi kito mėnesio būdą, visoms turto grupėms gali taikyti tik tiesinį nusidėvėjimo skaičiavimo metodą. </w:t>
      </w:r>
    </w:p>
    <w:p w14:paraId="5D254205" w14:textId="77777777" w:rsidR="00093845" w:rsidRDefault="000D779E">
      <w:pPr>
        <w:tabs>
          <w:tab w:val="left" w:pos="720"/>
          <w:tab w:val="left" w:pos="1077"/>
          <w:tab w:val="left" w:pos="1418"/>
        </w:tabs>
        <w:ind w:right="-5" w:firstLine="709"/>
        <w:jc w:val="both"/>
        <w:rPr>
          <w:szCs w:val="20"/>
        </w:rPr>
      </w:pPr>
      <w:r>
        <w:rPr>
          <w:szCs w:val="20"/>
        </w:rPr>
        <w:t>5. Kai įmonė, kuri taikė kito mėnesio būdą, atlygintinai ar neatlygintinai perduoda ilgalaikį turtą, to turto nusidėvėjimas (amortizacija) baigiamas skaičiuoti nuo kito mėnesio pirmosios dienos po ilgalaikio turto pardavimo ar neatlygintino perdavimo.</w:t>
      </w:r>
    </w:p>
    <w:p w14:paraId="7962AD34" w14:textId="77777777" w:rsidR="00093845" w:rsidRPr="00FE7AB0" w:rsidRDefault="00FE7AB0">
      <w:r>
        <w:t xml:space="preserve">            </w:t>
      </w:r>
      <w:r w:rsidR="000D779E" w:rsidRPr="00FE7AB0">
        <w:t xml:space="preserve">(PMĮ 18 str. 11 dalies komentaras pakeistas pagal VMI prie FM 2015-05-20 raštą </w:t>
      </w:r>
      <w:r w:rsidR="000D779E" w:rsidRPr="00FE7AB0">
        <w:rPr>
          <w:color w:val="000000"/>
        </w:rPr>
        <w:t>Nr. (32-42-31-1)-RM-11240)).</w:t>
      </w:r>
    </w:p>
    <w:p w14:paraId="358FE6DA" w14:textId="77777777" w:rsidR="00164CBF" w:rsidRPr="00061968" w:rsidRDefault="00164CBF" w:rsidP="00164CBF">
      <w:pPr>
        <w:tabs>
          <w:tab w:val="left" w:pos="720"/>
          <w:tab w:val="left" w:pos="1077"/>
          <w:tab w:val="left" w:pos="1134"/>
          <w:tab w:val="left" w:pos="1418"/>
        </w:tabs>
        <w:ind w:right="-85" w:firstLine="720"/>
        <w:jc w:val="both"/>
        <w:rPr>
          <w:b/>
          <w:bCs/>
          <w:lang w:val="lt-LT"/>
        </w:rPr>
      </w:pPr>
      <w:r w:rsidRPr="00061968">
        <w:rPr>
          <w:b/>
          <w:bCs/>
          <w:lang w:val="lt-LT"/>
        </w:rPr>
        <w:t xml:space="preserve">12. Vienetai, atlikę ilgalaikio turto </w:t>
      </w:r>
      <w:r w:rsidRPr="004D6FDF">
        <w:rPr>
          <w:b/>
          <w:bCs/>
          <w:lang w:val="lt-LT"/>
        </w:rPr>
        <w:t>rekonstravimą ar remontą, kuris pailgino turto naudingo tarnavimo laiką arba pagerino jo naudingąsias savybes, pakeitę jo naudojimo paskirtį, įsigiję kitą to paties ilgalaikio turto dalį arba dėl kitų objektyvių aplinkybių gali tikslinti ilgalaikio turto nusidėvėjimo arba amortizacijos normatyvus.</w:t>
      </w:r>
    </w:p>
    <w:p w14:paraId="6C97FD9A" w14:textId="77777777" w:rsidR="00164CBF" w:rsidRPr="00E51401" w:rsidRDefault="00164CBF" w:rsidP="00164CBF">
      <w:pPr>
        <w:tabs>
          <w:tab w:val="left" w:pos="720"/>
          <w:tab w:val="left" w:pos="1077"/>
          <w:tab w:val="left" w:pos="1418"/>
        </w:tabs>
        <w:jc w:val="both"/>
        <w:rPr>
          <w:bCs/>
          <w:i/>
          <w:szCs w:val="20"/>
          <w:lang w:val="lt-LT"/>
        </w:rPr>
      </w:pPr>
      <w:r>
        <w:rPr>
          <w:b/>
          <w:bCs/>
          <w:i/>
          <w:szCs w:val="20"/>
          <w:lang w:val="lt-LT"/>
        </w:rPr>
        <w:tab/>
      </w:r>
      <w:r w:rsidRPr="00E51401">
        <w:rPr>
          <w:bCs/>
          <w:i/>
          <w:szCs w:val="20"/>
          <w:lang w:val="lt-LT"/>
        </w:rPr>
        <w:t xml:space="preserve">(Pagal 2025 m. birželio 17 d. įstatymo Nr.  </w:t>
      </w:r>
      <w:r w:rsidRPr="00E51401">
        <w:rPr>
          <w:i/>
          <w:lang w:val="lt-LT"/>
        </w:rPr>
        <w:t>XV-285</w:t>
      </w:r>
      <w:r w:rsidRPr="00E51401">
        <w:rPr>
          <w:bCs/>
          <w:i/>
          <w:szCs w:val="20"/>
          <w:lang w:val="lt-LT"/>
        </w:rPr>
        <w:t xml:space="preserve"> redakciją; taikoma apskaičiuojant 2026 metais prasidėjusio ir vėlesnių mokestinių laikotarpių apmokestinamąjį pelną)</w:t>
      </w:r>
    </w:p>
    <w:p w14:paraId="1DE8F6EE" w14:textId="77777777" w:rsidR="00164CBF" w:rsidRDefault="00164CBF" w:rsidP="00164CBF">
      <w:pPr>
        <w:tabs>
          <w:tab w:val="left" w:pos="720"/>
          <w:tab w:val="left" w:pos="1077"/>
          <w:tab w:val="left" w:pos="1418"/>
        </w:tabs>
        <w:jc w:val="both"/>
        <w:rPr>
          <w:b/>
          <w:bCs/>
          <w:i/>
          <w:szCs w:val="20"/>
          <w:lang w:val="lt-LT"/>
        </w:rPr>
      </w:pPr>
    </w:p>
    <w:p w14:paraId="0D55D737" w14:textId="77777777" w:rsidR="00164CBF" w:rsidRPr="00BE4B75" w:rsidRDefault="00164CBF" w:rsidP="00164CBF">
      <w:pPr>
        <w:keepNext/>
        <w:tabs>
          <w:tab w:val="left" w:pos="720"/>
          <w:tab w:val="left" w:pos="1077"/>
          <w:tab w:val="left" w:pos="1418"/>
        </w:tabs>
        <w:autoSpaceDE w:val="0"/>
        <w:autoSpaceDN w:val="0"/>
        <w:jc w:val="both"/>
        <w:outlineLvl w:val="4"/>
        <w:rPr>
          <w:b/>
          <w:bCs/>
          <w:lang w:val="lt-LT"/>
        </w:rPr>
      </w:pPr>
      <w:r w:rsidRPr="00BE4B75">
        <w:rPr>
          <w:b/>
          <w:bCs/>
          <w:lang w:val="lt-LT"/>
        </w:rPr>
        <w:tab/>
        <w:t>Komentaras</w:t>
      </w:r>
    </w:p>
    <w:p w14:paraId="312E08C9" w14:textId="77777777" w:rsidR="00164CBF" w:rsidRPr="00BE4B75" w:rsidRDefault="00164CBF" w:rsidP="00164CBF">
      <w:pPr>
        <w:keepNext/>
        <w:tabs>
          <w:tab w:val="left" w:pos="720"/>
          <w:tab w:val="left" w:pos="1077"/>
          <w:tab w:val="left" w:pos="1418"/>
        </w:tabs>
        <w:autoSpaceDE w:val="0"/>
        <w:autoSpaceDN w:val="0"/>
        <w:jc w:val="both"/>
        <w:outlineLvl w:val="4"/>
        <w:rPr>
          <w:b/>
          <w:bCs/>
          <w:lang w:val="lt-LT"/>
        </w:rPr>
      </w:pPr>
    </w:p>
    <w:p w14:paraId="4E13DC83" w14:textId="77777777" w:rsidR="00164CBF" w:rsidRPr="00BE4B75" w:rsidRDefault="00164CBF" w:rsidP="00164CBF">
      <w:pPr>
        <w:tabs>
          <w:tab w:val="left" w:pos="720"/>
          <w:tab w:val="left" w:pos="1077"/>
          <w:tab w:val="left" w:pos="1134"/>
          <w:tab w:val="left" w:pos="1418"/>
        </w:tabs>
        <w:ind w:right="-85" w:firstLine="720"/>
        <w:jc w:val="both"/>
        <w:rPr>
          <w:color w:val="000000"/>
          <w:lang w:val="lt-LT"/>
        </w:rPr>
      </w:pPr>
      <w:r w:rsidRPr="00BE4B75">
        <w:rPr>
          <w:color w:val="000000"/>
          <w:lang w:val="lt-LT"/>
        </w:rPr>
        <w:t>1.</w:t>
      </w:r>
      <w:r>
        <w:rPr>
          <w:color w:val="000000"/>
          <w:lang w:val="lt-LT"/>
        </w:rPr>
        <w:t xml:space="preserve"> </w:t>
      </w:r>
      <w:r w:rsidRPr="00BE4B75">
        <w:rPr>
          <w:color w:val="000000"/>
          <w:lang w:val="lt-LT"/>
        </w:rPr>
        <w:t xml:space="preserve">Ilgalaikio turto nusidėvėjimo arba amortizacijos normatyvai gali būti tikslinami šiais atvejais: </w:t>
      </w:r>
    </w:p>
    <w:p w14:paraId="6AFF7118" w14:textId="77777777" w:rsidR="00164CBF" w:rsidRPr="00BE4B75" w:rsidRDefault="00164CBF" w:rsidP="00164CBF">
      <w:pPr>
        <w:tabs>
          <w:tab w:val="left" w:pos="720"/>
          <w:tab w:val="left" w:pos="1134"/>
          <w:tab w:val="left" w:pos="1418"/>
        </w:tabs>
        <w:ind w:right="-85" w:firstLine="720"/>
        <w:jc w:val="both"/>
        <w:rPr>
          <w:color w:val="000000"/>
          <w:lang w:val="lt-LT"/>
        </w:rPr>
      </w:pPr>
      <w:r w:rsidRPr="00BE4B75">
        <w:rPr>
          <w:color w:val="000000"/>
          <w:lang w:val="lt-LT"/>
        </w:rPr>
        <w:lastRenderedPageBreak/>
        <w:t>1) atlikus ilgalaikio turto rekonstrukciją;</w:t>
      </w:r>
    </w:p>
    <w:p w14:paraId="64A287F3" w14:textId="77777777" w:rsidR="00164CBF" w:rsidRPr="00BE4B75" w:rsidRDefault="00164CBF" w:rsidP="00164CBF">
      <w:pPr>
        <w:tabs>
          <w:tab w:val="left" w:pos="720"/>
          <w:tab w:val="left" w:pos="1134"/>
          <w:tab w:val="left" w:pos="1418"/>
        </w:tabs>
        <w:ind w:right="-85" w:firstLine="720"/>
        <w:jc w:val="both"/>
        <w:rPr>
          <w:color w:val="000000"/>
          <w:lang w:val="lt-LT"/>
        </w:rPr>
      </w:pPr>
    </w:p>
    <w:p w14:paraId="4A465436" w14:textId="77777777" w:rsidR="00164CBF" w:rsidRPr="00BE4B75" w:rsidRDefault="00164CBF" w:rsidP="00164CBF">
      <w:pPr>
        <w:tabs>
          <w:tab w:val="left" w:pos="720"/>
          <w:tab w:val="left" w:pos="1077"/>
          <w:tab w:val="left" w:pos="1418"/>
        </w:tabs>
        <w:ind w:right="43" w:firstLine="889"/>
        <w:jc w:val="both"/>
        <w:rPr>
          <w:bCs/>
          <w:lang w:val="lt-LT"/>
        </w:rPr>
      </w:pPr>
      <w:r w:rsidRPr="00BE4B75">
        <w:rPr>
          <w:bCs/>
          <w:lang w:val="lt-LT"/>
        </w:rPr>
        <w:t>Pavyzdys</w:t>
      </w:r>
    </w:p>
    <w:p w14:paraId="07197AC8" w14:textId="77777777" w:rsidR="00164CBF" w:rsidRPr="00BE4B75" w:rsidRDefault="00164CBF" w:rsidP="00164CBF">
      <w:pPr>
        <w:tabs>
          <w:tab w:val="left" w:pos="720"/>
          <w:tab w:val="left" w:pos="1077"/>
          <w:tab w:val="left" w:pos="1418"/>
        </w:tabs>
        <w:ind w:right="43" w:firstLine="889"/>
        <w:jc w:val="both"/>
        <w:rPr>
          <w:bCs/>
          <w:lang w:val="lt-LT"/>
        </w:rPr>
      </w:pPr>
    </w:p>
    <w:p w14:paraId="7787F1FE"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UAB X 2023 m. gruodžio mėnesį įsigijo pastatą ir pradėjo jį naudoti įmonės veikloje. Šio pastato įsigijimo kaina – 1 010 000 Eur. UAB X nusistatė 20 metų nusidėvėjimo normatyvą ir 10 000 Eur likvidacinę vertę. UAB X yra pasirinkusi pusmečio nusidėvėjimo skaičiavimo pradžios būdą. Metinė nusidėvėjimo suma – 50 000 Eur [(1 010 000 Eur – 10 000 Eur) : 20 m.]. UAB X, apskaičiuodama 2024 ir 2025 metų apmokestinamąjį pelną, ribojamų dydžių leidžiamiems atskaitymams priskyrė po 50 000 Eur.</w:t>
      </w:r>
    </w:p>
    <w:p w14:paraId="355B84FA"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2026 m. sausio – kovo mėnesiais UAB X atliko pastato rekonstravimą, kurio kaina – 400 000 Eur. Baigusi rekonstravimo darbus, įmonė jų kaina padidino pastato įsigijimo kainą ir nustatė, kad šie rekonstravimo darbai 5 metais pailgino to pastato naudojimo laikotarpį ir patikslino jo ekonominį nusidėvėjimo normatyvą.</w:t>
      </w:r>
    </w:p>
    <w:p w14:paraId="13092D49" w14:textId="77777777" w:rsidR="00164CBF"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r w:rsidRPr="0072774B">
        <w:rPr>
          <w:bCs/>
          <w:lang w:val="lt-LT"/>
        </w:rPr>
        <w:t>Baigus rekonstravimo darbus, pastato nenudėvėta kainos dalis turi būti perkeliama į sąnaudas per likusį (patikslintą) to pastato naudojimo laikotarpį. Po rekonstravimo likęs pastato naudojimo laikotarpis – 23 (20 – 2 + 5) metai, metinė nusidėvėjimo suma – 56 521,74  Eur [(1 010 000 Eur – 10 000 Eur - 50 000 Eur x 2 m. + 400 000 Eur) : 23 m.]. Vadinasi, šią sumą UAB X, apskaičiuodama 2026 – 2048 m. apmokestinamąjį pelną, kasmet galės priskirti ribojamų dydžių leidžiamiems atskaitymams.</w:t>
      </w:r>
    </w:p>
    <w:p w14:paraId="621B016A" w14:textId="77777777" w:rsidR="00164CBF" w:rsidRPr="0072774B" w:rsidRDefault="00164CBF" w:rsidP="00164CBF">
      <w:pPr>
        <w:pBdr>
          <w:top w:val="single" w:sz="4" w:space="1" w:color="auto"/>
          <w:left w:val="single" w:sz="4" w:space="4" w:color="auto"/>
          <w:bottom w:val="single" w:sz="4" w:space="1" w:color="auto"/>
          <w:right w:val="single" w:sz="4" w:space="4" w:color="auto"/>
        </w:pBdr>
        <w:ind w:firstLine="709"/>
        <w:jc w:val="both"/>
        <w:rPr>
          <w:bCs/>
          <w:lang w:val="lt-LT"/>
        </w:rPr>
      </w:pPr>
    </w:p>
    <w:p w14:paraId="02417AEA"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41122CAE"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p>
    <w:p w14:paraId="7148DBA3"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r w:rsidRPr="00BE4B75">
        <w:rPr>
          <w:szCs w:val="20"/>
          <w:lang w:val="lt-LT"/>
        </w:rPr>
        <w:t>2) atlikus remontą, kurio darbai pailgino turto naudingo tarnavimo laiką arba pagerino jo naudingąsias savybes;</w:t>
      </w:r>
    </w:p>
    <w:p w14:paraId="131EE08C" w14:textId="77777777" w:rsidR="00164CBF" w:rsidRPr="00BE4B75" w:rsidRDefault="00164CBF" w:rsidP="00164CBF">
      <w:pPr>
        <w:keepNext/>
        <w:tabs>
          <w:tab w:val="left" w:pos="720"/>
          <w:tab w:val="left" w:pos="1077"/>
          <w:tab w:val="left" w:pos="1418"/>
        </w:tabs>
        <w:ind w:right="-185" w:firstLine="1080"/>
        <w:jc w:val="both"/>
        <w:outlineLvl w:val="3"/>
        <w:rPr>
          <w:szCs w:val="20"/>
          <w:lang w:val="lt-LT"/>
        </w:rPr>
      </w:pPr>
    </w:p>
    <w:p w14:paraId="229916BB" w14:textId="77777777" w:rsidR="00164CBF" w:rsidRPr="00BE4B75" w:rsidRDefault="00164CBF" w:rsidP="00164CBF">
      <w:pPr>
        <w:tabs>
          <w:tab w:val="left" w:pos="720"/>
          <w:tab w:val="left" w:pos="1077"/>
          <w:tab w:val="left" w:pos="1418"/>
        </w:tabs>
        <w:ind w:right="43" w:firstLine="709"/>
        <w:jc w:val="both"/>
        <w:rPr>
          <w:bCs/>
          <w:lang w:val="lt-LT"/>
        </w:rPr>
      </w:pPr>
      <w:r w:rsidRPr="00BE4B75">
        <w:rPr>
          <w:bCs/>
          <w:lang w:val="lt-LT"/>
        </w:rPr>
        <w:t>Pavyzdys</w:t>
      </w:r>
    </w:p>
    <w:p w14:paraId="6609BC6D" w14:textId="77777777" w:rsidR="00164CBF" w:rsidRPr="00BE4B75" w:rsidRDefault="00164CBF" w:rsidP="00164CBF">
      <w:pPr>
        <w:tabs>
          <w:tab w:val="left" w:pos="720"/>
          <w:tab w:val="left" w:pos="1077"/>
          <w:tab w:val="left" w:pos="1418"/>
        </w:tabs>
        <w:ind w:right="43" w:firstLine="709"/>
        <w:jc w:val="both"/>
        <w:rPr>
          <w:bCs/>
          <w:lang w:val="lt-LT"/>
        </w:rPr>
      </w:pPr>
    </w:p>
    <w:p w14:paraId="1E8EA027"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t>UAB X 2023 m. gruodžio mėnesį įsigijo gamybos įrengimus ir pradėjo juos naudoti savo veikloje. Įrengimų įsigijimo kaina – 810 000 Eur. Nustatomas 10 metų nusidėvėjimo normatyvas ir 10 000 Eur likvidacinė vertė. UAB X yra pasirinkusi pusmečio nusidėvėjimo skaičiavimo pradžios būdą. Metinė nusidėvėjimo suma – 80 000 Eur [(810 000 Eur – 10 000  Eur) : 10 m.]. Šią sumą UAB X, apskaičiuodama 2024 ir 2025 metų apmokestinamąjį pelną, priskyrė ribojamų dydžių leidžiamiems atskaitymams.</w:t>
      </w:r>
    </w:p>
    <w:p w14:paraId="60A2C9FD"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t xml:space="preserve">2026 m. sausio – kovo mėnesiais UAB X atliko įrengimų remontą, kurio kaina – 100 000  Eur. Įmonė remontą atliko ne tik siekdama atkurti normatyvinių techninių dokumentų nustatytas gamybos įrengimų savybes, pablogėjusias dėl to turto naudojimo, bet ir norėdama tas įrengimų savybes pagerinti, todėl remonto metu buvo įdiegta gamybos proceso valdymo programa. Baigusi remonto darbus, UAB X jų kaina padidino minėtų įrengimų įsigijimo kainą, nes šie darbai pagerino turto naudingąsias savybes. Be to, UAB X nustatė, kad remonto darbai 2 metais pailgino įrengimų naudojimo laikotarpį ir patikslino jų ekonominį nusidėvėjimo normatyvą. </w:t>
      </w:r>
    </w:p>
    <w:p w14:paraId="602BD63C"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lang w:val="lt-LT"/>
        </w:rPr>
      </w:pPr>
      <w:r w:rsidRPr="006B4418">
        <w:rPr>
          <w:bCs/>
          <w:lang w:val="lt-LT"/>
        </w:rPr>
        <w:lastRenderedPageBreak/>
        <w:t>Po remonto nenudėvėta kainos dalis perkeliama į sąnaudas per likusį (patikslintą) tų įrengimų naudojimo laikotarpį. Po remonto likęs įrengimų naudojimo laikotarpis yra 10 (10 – 2 + 2) metų, metinė nusidėvėjimo suma – 74 000 Eur [(810 000 Eur – 10000 Eur – 80000 Eur x 2 m. + 100 000 Eur) : 10 m.]. Vadinasi, šią sumą UAB X, apskaičiuodama 2026 – 2035 m. apmokestinamąjį pelną, galės priskirti ribojamų dydžių leidžiamiems atskaitymams.</w:t>
      </w:r>
    </w:p>
    <w:p w14:paraId="0CC6A826" w14:textId="77777777" w:rsidR="00164CBF" w:rsidRPr="006B4418"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25150BEC"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3C2D5FF2" w14:textId="77777777" w:rsidR="00164CBF" w:rsidRPr="00BE4B75" w:rsidRDefault="00164CBF" w:rsidP="00164CBF">
      <w:pPr>
        <w:tabs>
          <w:tab w:val="left" w:pos="720"/>
          <w:tab w:val="left" w:pos="1077"/>
          <w:tab w:val="left" w:pos="1418"/>
        </w:tabs>
        <w:ind w:right="43" w:firstLine="709"/>
        <w:jc w:val="both"/>
        <w:rPr>
          <w:lang w:val="lt-LT"/>
        </w:rPr>
      </w:pPr>
    </w:p>
    <w:p w14:paraId="33C68BD9"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3)</w:t>
      </w:r>
      <w:r w:rsidRPr="00BE4B75">
        <w:rPr>
          <w:lang w:val="lt-LT"/>
        </w:rPr>
        <w:tab/>
        <w:t>pakeitus ilgalaikio turto naudojimo paskirtį;</w:t>
      </w:r>
    </w:p>
    <w:p w14:paraId="62EFE1DD"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4)</w:t>
      </w:r>
      <w:r w:rsidRPr="00BE4B75">
        <w:rPr>
          <w:lang w:val="lt-LT"/>
        </w:rPr>
        <w:tab/>
        <w:t>įsigijus kitą to paties ilgalaikio turto dalį;</w:t>
      </w:r>
    </w:p>
    <w:p w14:paraId="27B8D9EA" w14:textId="77777777" w:rsidR="00164CBF" w:rsidRPr="009D4B55" w:rsidRDefault="00164CBF" w:rsidP="00164CBF">
      <w:pPr>
        <w:tabs>
          <w:tab w:val="left" w:pos="720"/>
          <w:tab w:val="left" w:pos="1077"/>
          <w:tab w:val="left" w:pos="1418"/>
        </w:tabs>
        <w:ind w:right="-1" w:firstLine="709"/>
        <w:jc w:val="both"/>
        <w:rPr>
          <w:strike/>
          <w:lang w:val="lt-LT"/>
        </w:rPr>
      </w:pPr>
      <w:r w:rsidRPr="00BE4B75">
        <w:rPr>
          <w:lang w:val="lt-LT"/>
        </w:rPr>
        <w:t>5)</w:t>
      </w:r>
      <w:r w:rsidRPr="00BE4B75">
        <w:rPr>
          <w:lang w:val="lt-LT"/>
        </w:rPr>
        <w:tab/>
        <w:t>dėl kitų objektyvių priežasčių</w:t>
      </w:r>
      <w:r>
        <w:rPr>
          <w:lang w:val="lt-LT"/>
        </w:rPr>
        <w:t>.</w:t>
      </w:r>
    </w:p>
    <w:p w14:paraId="798CBECB" w14:textId="77777777" w:rsidR="00164CBF" w:rsidRPr="00BE4B75" w:rsidRDefault="00164CBF" w:rsidP="00164CBF">
      <w:pPr>
        <w:tabs>
          <w:tab w:val="left" w:pos="720"/>
          <w:tab w:val="left" w:pos="1077"/>
          <w:tab w:val="left" w:pos="1418"/>
        </w:tabs>
        <w:ind w:right="-1" w:firstLine="709"/>
        <w:jc w:val="both"/>
        <w:rPr>
          <w:lang w:val="lt-LT"/>
        </w:rPr>
      </w:pPr>
      <w:r w:rsidRPr="00BE4B75">
        <w:rPr>
          <w:lang w:val="lt-LT"/>
        </w:rPr>
        <w:t>2.</w:t>
      </w:r>
      <w:r w:rsidRPr="00BE4B75">
        <w:rPr>
          <w:lang w:val="lt-LT"/>
        </w:rPr>
        <w:tab/>
        <w:t>Patikslinti normatyvai negali būti mažesni už PMĮ 1 priedėlyje ilgalaikio turto grupėms nustatytus normatyvus.</w:t>
      </w:r>
    </w:p>
    <w:p w14:paraId="27807B51"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3. Vienetai, trumpinantys nusidėvėjimo normatyvus, atitinkamai ilgalaikio turto grupei turi nustatyti tokį nusidėvėjimo laikotarpį, per kurį tas turtas vienete dar bus naudojamas pajamoms uždirbti ar ekonominei naudai gauti. Patikslinti nusidėvėjimo normatyvai negali būti trumpesni nei praėjęs to turto naudojimo laikotarpis įskaitant ir visą mokestinį laikotarpį, kurį normatyvai trumpinami.</w:t>
      </w:r>
    </w:p>
    <w:p w14:paraId="070798CA"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Jeigu turto nusidėvėjimo normatyvai yra sutrumpinami, neatsižvelgus į to turto naudojimo laikotarpį (įskaitant ir visą mokestinį laikotarpį, kurį normatyvai trumpinami), laikoma, kad vieneto ilgalaikis turtas nenaudojamas pajamoms uždirbti ar ekonominei naudai gauti ir yra nurašomas, todėl tokio turto nenudėvėta (neamortizuota) įsigijimo kainos dalis ribojamų dydžių leidžiamiems atskaitymams nepriskiriama.</w:t>
      </w:r>
    </w:p>
    <w:p w14:paraId="497D2000" w14:textId="77777777" w:rsidR="00164CBF" w:rsidRPr="00BE4B75" w:rsidRDefault="00164CBF" w:rsidP="00164CBF">
      <w:pPr>
        <w:tabs>
          <w:tab w:val="left" w:pos="720"/>
          <w:tab w:val="left" w:pos="1077"/>
          <w:tab w:val="left" w:pos="1418"/>
        </w:tabs>
        <w:ind w:right="43" w:firstLine="709"/>
        <w:jc w:val="both"/>
        <w:rPr>
          <w:lang w:val="lt-LT"/>
        </w:rPr>
      </w:pPr>
    </w:p>
    <w:p w14:paraId="604176B1"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 xml:space="preserve"> 1 Pavyzdys</w:t>
      </w:r>
    </w:p>
    <w:p w14:paraId="4A734435" w14:textId="77777777" w:rsidR="00164CBF" w:rsidRPr="00BE4B75" w:rsidRDefault="00164CBF" w:rsidP="00164CBF">
      <w:pPr>
        <w:tabs>
          <w:tab w:val="left" w:pos="720"/>
          <w:tab w:val="left" w:pos="1077"/>
          <w:tab w:val="left" w:pos="1418"/>
        </w:tabs>
        <w:ind w:right="43" w:firstLine="709"/>
        <w:jc w:val="both"/>
        <w:rPr>
          <w:lang w:val="lt-LT"/>
        </w:rPr>
      </w:pPr>
    </w:p>
    <w:p w14:paraId="430C9246"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BE4B75">
        <w:rPr>
          <w:lang w:val="lt-LT"/>
        </w:rPr>
        <w:t>Vienetas įsigijo ilgalaikį turtą – pastatą, kuriam nustatė 40 metų nusidėvėjimo normatyvą. Po 20 metų vienetas išplėtė savo veiklą ir pradėjo naudoti pastatą intensyviau. Vienetas norėtų sutrumpinti pastato nusidėvėjimo normatyvą iki 15 metų. Tokio normatyvo vienetas nusistatyti negali, nes pastatas jau buvo naudojamas ir nudėvimas 20 metų.</w:t>
      </w:r>
    </w:p>
    <w:p w14:paraId="54546C48"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45CAF2BA" w14:textId="77777777" w:rsidR="00164CBF" w:rsidRPr="00BE4B75" w:rsidRDefault="00164CBF" w:rsidP="00164CBF">
      <w:pPr>
        <w:tabs>
          <w:tab w:val="left" w:pos="720"/>
          <w:tab w:val="left" w:pos="1077"/>
          <w:tab w:val="left" w:pos="1418"/>
        </w:tabs>
        <w:ind w:right="43" w:firstLine="709"/>
        <w:jc w:val="both"/>
        <w:rPr>
          <w:lang w:val="lt-LT"/>
        </w:rPr>
      </w:pPr>
    </w:p>
    <w:p w14:paraId="15CEAAFB" w14:textId="77777777" w:rsidR="00164CBF" w:rsidRPr="00BE4B75" w:rsidRDefault="00164CBF" w:rsidP="00164CBF">
      <w:pPr>
        <w:tabs>
          <w:tab w:val="left" w:pos="720"/>
          <w:tab w:val="left" w:pos="1077"/>
          <w:tab w:val="left" w:pos="1418"/>
        </w:tabs>
        <w:ind w:right="43" w:firstLine="709"/>
        <w:jc w:val="both"/>
        <w:rPr>
          <w:lang w:val="lt-LT"/>
        </w:rPr>
      </w:pPr>
      <w:r w:rsidRPr="00BE4B75">
        <w:rPr>
          <w:lang w:val="lt-LT"/>
        </w:rPr>
        <w:t>2 Pavyzdys</w:t>
      </w:r>
    </w:p>
    <w:p w14:paraId="348217C1" w14:textId="77777777" w:rsidR="00164CBF" w:rsidRPr="00BE4B75" w:rsidRDefault="00164CBF" w:rsidP="00164CBF">
      <w:pPr>
        <w:tabs>
          <w:tab w:val="left" w:pos="720"/>
          <w:tab w:val="left" w:pos="1077"/>
          <w:tab w:val="left" w:pos="1418"/>
        </w:tabs>
        <w:ind w:right="43" w:firstLine="709"/>
        <w:jc w:val="both"/>
        <w:rPr>
          <w:lang w:val="lt-LT"/>
        </w:rPr>
      </w:pPr>
    </w:p>
    <w:p w14:paraId="7DD62645"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BE4B75">
        <w:rPr>
          <w:lang w:val="lt-LT"/>
        </w:rPr>
        <w:t xml:space="preserve">Vienetas įsigijo ilgalaikį turtą – pastatą, kuriam nustatė 40 metų nusidėvėjimo normatyvą ir pradėjo jį nudėvėti nuo mokestinio laikotarpio kovo 1 d. Po 20 metų vienetas išplėtė savo veiklą ir pradėjo naudoti pastatą intensyviau. Vienetas norėtų sutrumpinti pastato nusidėvėjimo normatyvą iki 20 metų, todėl per to mokestinio laikotarpio, kurio kovo 1 d. sueis 20 metų kaip nudėvimas šis pastatas, pirmuosius du mokestinio laikotarpio mėnesius vienetas norėtų nudėvėti iki likvidacinės vertės visą </w:t>
      </w:r>
      <w:r w:rsidRPr="00BE4B75">
        <w:rPr>
          <w:lang w:val="lt-LT"/>
        </w:rPr>
        <w:lastRenderedPageBreak/>
        <w:t>likusią nenudėvėtąją pastato vertę. Tokio normatyvo vienetas šiuo atveju nusistatyti negali, nes, trumpinant pastato nusidėvėjimo normatyvą iki 20 metų, atsižvelgiama taip pat ir į visą mokestinį laikotarpį, kurį normatyvai trumpinami.</w:t>
      </w:r>
    </w:p>
    <w:p w14:paraId="1B871922"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28DBEEC4" w14:textId="77777777" w:rsidR="00164CBF" w:rsidRPr="00BE4B75" w:rsidRDefault="00164CBF" w:rsidP="00164CBF">
      <w:pPr>
        <w:tabs>
          <w:tab w:val="left" w:pos="720"/>
          <w:tab w:val="left" w:pos="1077"/>
          <w:tab w:val="left" w:pos="1418"/>
        </w:tabs>
        <w:ind w:right="43" w:firstLine="709"/>
        <w:jc w:val="both"/>
        <w:rPr>
          <w:szCs w:val="20"/>
          <w:lang w:val="lt-LT"/>
        </w:rPr>
      </w:pPr>
    </w:p>
    <w:p w14:paraId="18639EA3" w14:textId="77777777" w:rsidR="00164CBF" w:rsidRPr="00BE4B75" w:rsidRDefault="00164CBF" w:rsidP="00164CBF">
      <w:pPr>
        <w:tabs>
          <w:tab w:val="left" w:pos="720"/>
          <w:tab w:val="left" w:pos="1077"/>
          <w:tab w:val="left" w:pos="1418"/>
        </w:tabs>
        <w:ind w:right="43" w:firstLine="709"/>
        <w:jc w:val="both"/>
        <w:rPr>
          <w:bCs/>
          <w:szCs w:val="20"/>
          <w:lang w:val="lt-LT"/>
        </w:rPr>
      </w:pPr>
      <w:r w:rsidRPr="00BE4B75">
        <w:rPr>
          <w:szCs w:val="20"/>
          <w:lang w:val="lt-LT"/>
        </w:rPr>
        <w:t xml:space="preserve">4. Ilgalaikio turto įsigijimo kainos nenudėvėtoji arba neamortizuotoji dalis, pradedant nuo mokestinio laikotarpio pradžios, kurį nusidėvėjimo arba amortizacijos normatyvai buvo patikslinti, į vieneto sąnaudas įskaitoma per likusį (patikslintą) turto naudingo tarnavimo laikotarpį. Nuo to mokestinio laikotarpio, kurį nusidėvėjimo arba amortizacijos normatyvai buvo patikslinti, pradžios, ilgalaikio turto įsigijimo kainos nenudėvėtąją dalį </w:t>
      </w:r>
      <w:r w:rsidRPr="00BE4B75">
        <w:rPr>
          <w:bCs/>
          <w:szCs w:val="20"/>
          <w:lang w:val="lt-LT"/>
        </w:rPr>
        <w:t xml:space="preserve">į sąnaudas vienetas gali perkelti dalimis per ne trumpesnį nei PMĮ 1 priedėlyje </w:t>
      </w:r>
      <w:r w:rsidRPr="00BE4B75">
        <w:rPr>
          <w:szCs w:val="20"/>
          <w:lang w:val="lt-LT"/>
        </w:rPr>
        <w:t xml:space="preserve">atitinkamai ilgalaikio turto grupei nustatytą nusidėvėjimo arba amortizacijos </w:t>
      </w:r>
      <w:r w:rsidRPr="00BE4B75">
        <w:rPr>
          <w:bCs/>
          <w:szCs w:val="20"/>
          <w:lang w:val="lt-LT"/>
        </w:rPr>
        <w:t>laikotarpį, atsižvelgiant į tą</w:t>
      </w:r>
      <w:r>
        <w:rPr>
          <w:bCs/>
          <w:szCs w:val="20"/>
          <w:lang w:val="lt-LT"/>
        </w:rPr>
        <w:t xml:space="preserve"> </w:t>
      </w:r>
      <w:r w:rsidRPr="00BE4B75">
        <w:rPr>
          <w:bCs/>
          <w:szCs w:val="20"/>
          <w:lang w:val="lt-LT"/>
        </w:rPr>
        <w:t>(-uos) mokestinį</w:t>
      </w:r>
      <w:r>
        <w:rPr>
          <w:bCs/>
          <w:szCs w:val="20"/>
          <w:lang w:val="lt-LT"/>
        </w:rPr>
        <w:t xml:space="preserve"> </w:t>
      </w:r>
      <w:r w:rsidRPr="00BE4B75">
        <w:rPr>
          <w:bCs/>
          <w:szCs w:val="20"/>
          <w:lang w:val="lt-LT"/>
        </w:rPr>
        <w:t>(-ius) laikotarpį</w:t>
      </w:r>
      <w:r>
        <w:rPr>
          <w:bCs/>
          <w:szCs w:val="20"/>
          <w:lang w:val="lt-LT"/>
        </w:rPr>
        <w:t xml:space="preserve"> </w:t>
      </w:r>
      <w:r w:rsidRPr="00BE4B75">
        <w:rPr>
          <w:bCs/>
          <w:szCs w:val="20"/>
          <w:lang w:val="lt-LT"/>
        </w:rPr>
        <w:t>(-ius), per kurį</w:t>
      </w:r>
      <w:r>
        <w:rPr>
          <w:bCs/>
          <w:szCs w:val="20"/>
          <w:lang w:val="lt-LT"/>
        </w:rPr>
        <w:t xml:space="preserve"> </w:t>
      </w:r>
      <w:r w:rsidRPr="00BE4B75">
        <w:rPr>
          <w:bCs/>
          <w:szCs w:val="20"/>
          <w:lang w:val="lt-LT"/>
        </w:rPr>
        <w:t>(-iuos) tas turtas jau buvo naudotas.</w:t>
      </w:r>
    </w:p>
    <w:p w14:paraId="40C986FE" w14:textId="77777777" w:rsidR="00164CBF" w:rsidRPr="00BE4B75" w:rsidRDefault="00164CBF" w:rsidP="00164CBF">
      <w:pPr>
        <w:tabs>
          <w:tab w:val="left" w:pos="720"/>
          <w:tab w:val="left" w:pos="1077"/>
          <w:tab w:val="left" w:pos="1418"/>
        </w:tabs>
        <w:ind w:right="43" w:firstLine="709"/>
        <w:jc w:val="both"/>
        <w:rPr>
          <w:bCs/>
          <w:szCs w:val="20"/>
          <w:lang w:val="lt-LT"/>
        </w:rPr>
      </w:pPr>
    </w:p>
    <w:p w14:paraId="0E4C8575" w14:textId="77777777" w:rsidR="00164CBF" w:rsidRPr="00BE4B75" w:rsidRDefault="00164CBF" w:rsidP="00164CBF">
      <w:pPr>
        <w:tabs>
          <w:tab w:val="left" w:pos="720"/>
          <w:tab w:val="left" w:pos="1077"/>
          <w:tab w:val="left" w:pos="1418"/>
        </w:tabs>
        <w:ind w:right="43" w:firstLine="709"/>
        <w:jc w:val="both"/>
        <w:rPr>
          <w:bCs/>
          <w:szCs w:val="20"/>
          <w:lang w:val="lt-LT"/>
        </w:rPr>
      </w:pPr>
      <w:r w:rsidRPr="00BE4B75">
        <w:rPr>
          <w:bCs/>
          <w:szCs w:val="20"/>
          <w:lang w:val="lt-LT"/>
        </w:rPr>
        <w:t>Pavyzdys</w:t>
      </w:r>
    </w:p>
    <w:p w14:paraId="28A8A269" w14:textId="77777777" w:rsidR="00164CBF" w:rsidRPr="00BE4B75" w:rsidRDefault="00164CBF" w:rsidP="00164CBF">
      <w:pPr>
        <w:tabs>
          <w:tab w:val="left" w:pos="720"/>
          <w:tab w:val="left" w:pos="1077"/>
          <w:tab w:val="left" w:pos="1418"/>
        </w:tabs>
        <w:ind w:right="43" w:firstLine="709"/>
        <w:jc w:val="both"/>
        <w:rPr>
          <w:bCs/>
          <w:szCs w:val="20"/>
          <w:lang w:val="lt-LT"/>
        </w:rPr>
      </w:pPr>
    </w:p>
    <w:p w14:paraId="686B65DE"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szCs w:val="20"/>
          <w:lang w:val="lt-LT"/>
        </w:rPr>
      </w:pPr>
      <w:r w:rsidRPr="00BE4B75">
        <w:rPr>
          <w:bCs/>
          <w:szCs w:val="20"/>
          <w:lang w:val="lt-LT"/>
        </w:rPr>
        <w:t xml:space="preserve">Vieneto pastato įsigijimo kaina – 300 000 Eur, numatytas naudingas tarnavimo laikas – 50 metų, likvidacinė vertė – 290 Eur, taikomas tiesiogiai proporcingas (tiesinis) nusidėvėjimo skaičiavimo metodas, metinė nusidėvėjimo suma – 5 994,2 Eur [(300 000 Eur – 290 Eur) : 50 m.]. Po 5 naudojimo metų dėl numatomo intensyvesnio pastato naudojimo vienetas numatė sutrumpinti ilgalaikio turto nusidėvėjimo laikotarpį ir vietoj 50 metų nustatyti 15 m. nusidėvėjimo laikotarpį. Šiuo atveju patikslinti nusidėvėjimo normatyvai nėra trumpesni nei praėjęs to turto naudojimo laikotarpis. Vienetas patikslino ilgalaikio turto nusidėvėjimo laikotarpį ir nustatė 15 metų nusidėvėjimo laikotarpį ilgalaikiam turtui, kuris </w:t>
      </w:r>
      <w:r w:rsidRPr="00584BB5">
        <w:rPr>
          <w:bCs/>
          <w:szCs w:val="20"/>
          <w:lang w:val="lt-LT"/>
        </w:rPr>
        <w:t>vieneto</w:t>
      </w:r>
      <w:r>
        <w:rPr>
          <w:bCs/>
          <w:szCs w:val="20"/>
          <w:lang w:val="lt-LT"/>
        </w:rPr>
        <w:t xml:space="preserve"> </w:t>
      </w:r>
      <w:r w:rsidRPr="00BE4B75">
        <w:rPr>
          <w:bCs/>
          <w:szCs w:val="20"/>
          <w:lang w:val="lt-LT"/>
        </w:rPr>
        <w:t>veikloje jau buvo naudojamas 5 metus. Todėl likęs to pastato naudojimo laikotarpis yra 10 (15-5) metų. Likusi nenudėvėta 269 739 Eur (300 000 Eur – 290 Eur - 5 994, 2 Eur * 5) pastato vertės dalis bus priskirta ribojamų dydžių leidžiamiems atskaitymams per likusius 10 metų, t. y. po 26 973,9 Eur (269 739 Eur : 10 m.) kasmet.</w:t>
      </w:r>
    </w:p>
    <w:p w14:paraId="7B2FD9AD"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Cs/>
          <w:szCs w:val="20"/>
          <w:lang w:val="lt-LT"/>
        </w:rPr>
      </w:pPr>
    </w:p>
    <w:p w14:paraId="337716F5"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75BEAE7E" w14:textId="77777777" w:rsidR="00164CBF" w:rsidRPr="00BE4B75" w:rsidRDefault="00164CBF" w:rsidP="00164CBF">
      <w:pPr>
        <w:tabs>
          <w:tab w:val="left" w:pos="720"/>
          <w:tab w:val="left" w:pos="1077"/>
          <w:tab w:val="left" w:pos="1418"/>
        </w:tabs>
        <w:autoSpaceDE w:val="0"/>
        <w:autoSpaceDN w:val="0"/>
        <w:ind w:firstLine="709"/>
        <w:jc w:val="both"/>
        <w:rPr>
          <w:lang w:val="lt-LT"/>
        </w:rPr>
      </w:pPr>
    </w:p>
    <w:p w14:paraId="2F39004D" w14:textId="77777777" w:rsidR="00164CBF" w:rsidRPr="00584BB5" w:rsidRDefault="00164CBF" w:rsidP="00164CBF">
      <w:pPr>
        <w:tabs>
          <w:tab w:val="left" w:pos="720"/>
          <w:tab w:val="left" w:pos="1077"/>
          <w:tab w:val="left" w:pos="1418"/>
        </w:tabs>
        <w:autoSpaceDE w:val="0"/>
        <w:autoSpaceDN w:val="0"/>
        <w:ind w:firstLine="709"/>
        <w:jc w:val="both"/>
        <w:rPr>
          <w:lang w:val="lt-LT"/>
        </w:rPr>
      </w:pPr>
      <w:r w:rsidRPr="00584BB5">
        <w:rPr>
          <w:lang w:val="lt-LT"/>
        </w:rPr>
        <w:t>5. Vieneto nusistatyti ilgalaikio turto nusidėvėjimo arba amortizacijos normatyvai gali būti tikslinami dėl kitų objektyvių aplinkybių.</w:t>
      </w:r>
    </w:p>
    <w:p w14:paraId="38CD4C6F"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 xml:space="preserve">5.1. Vienetas turi teisę patikslinti </w:t>
      </w:r>
      <w:r w:rsidRPr="00584BB5">
        <w:rPr>
          <w:color w:val="000000"/>
          <w:lang w:val="lt-LT"/>
        </w:rPr>
        <w:t xml:space="preserve">nusidėvėjimo arba amortizacijos normatyvus </w:t>
      </w:r>
      <w:r w:rsidRPr="00584BB5">
        <w:rPr>
          <w:lang w:val="lt-LT"/>
        </w:rPr>
        <w:t>tais atvejais, jeigu jis, nustatydamas ilgalaikio turto grupėms nusidėvėjimo arba amortizacijos normatyvus, tinkamai neatsižvelgė į:</w:t>
      </w:r>
    </w:p>
    <w:p w14:paraId="36FA1C96"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w:t>
      </w:r>
      <w:r w:rsidRPr="00584BB5">
        <w:rPr>
          <w:lang w:val="lt-LT"/>
        </w:rPr>
        <w:tab/>
        <w:t>planuojamą ilgalaikio materialiojo turto naudojimo intensyvumą, turto naudojimo aplinką, naudingųjų turto savybių kitimą per visą jo eksploatavimo laikotarpį;</w:t>
      </w:r>
    </w:p>
    <w:p w14:paraId="34276D4D" w14:textId="77777777" w:rsidR="00164CBF" w:rsidRPr="00584BB5" w:rsidRDefault="00164CBF" w:rsidP="00164CBF">
      <w:pPr>
        <w:tabs>
          <w:tab w:val="left" w:pos="720"/>
          <w:tab w:val="left" w:pos="1077"/>
          <w:tab w:val="left" w:pos="1418"/>
        </w:tabs>
        <w:ind w:right="-1" w:firstLine="709"/>
        <w:jc w:val="both"/>
        <w:rPr>
          <w:lang w:val="lt-LT"/>
        </w:rPr>
      </w:pPr>
      <w:r w:rsidRPr="00584BB5">
        <w:rPr>
          <w:lang w:val="lt-LT"/>
        </w:rPr>
        <w:t>-</w:t>
      </w:r>
      <w:r w:rsidRPr="00584BB5">
        <w:rPr>
          <w:lang w:val="lt-LT"/>
        </w:rPr>
        <w:tab/>
        <w:t>technologinę bei ekonominę pažangą, morališkai sendinančią turtą;</w:t>
      </w:r>
    </w:p>
    <w:p w14:paraId="6798EF66" w14:textId="77777777" w:rsidR="00164CBF" w:rsidRPr="00584BB5" w:rsidRDefault="00164CBF" w:rsidP="00164CBF">
      <w:pPr>
        <w:tabs>
          <w:tab w:val="left" w:pos="720"/>
          <w:tab w:val="left" w:pos="1077"/>
          <w:tab w:val="left" w:pos="1418"/>
        </w:tabs>
        <w:ind w:right="43" w:firstLine="709"/>
        <w:jc w:val="both"/>
        <w:rPr>
          <w:lang w:val="lt-LT"/>
        </w:rPr>
      </w:pPr>
      <w:r w:rsidRPr="00584BB5">
        <w:rPr>
          <w:lang w:val="lt-LT"/>
        </w:rPr>
        <w:t>-</w:t>
      </w:r>
      <w:r w:rsidRPr="00584BB5">
        <w:rPr>
          <w:lang w:val="lt-LT"/>
        </w:rPr>
        <w:tab/>
        <w:t>kitus veiksnius, trumpinančius arba ilginančius ilgalaikio turto naudingo tarnavimo laikotarpį.</w:t>
      </w:r>
    </w:p>
    <w:p w14:paraId="71250062" w14:textId="77777777" w:rsidR="00164CBF" w:rsidRPr="00584BB5" w:rsidRDefault="00164CBF" w:rsidP="00164CBF">
      <w:pPr>
        <w:ind w:firstLine="709"/>
        <w:jc w:val="both"/>
        <w:rPr>
          <w:lang w:val="lt-LT"/>
        </w:rPr>
      </w:pPr>
      <w:r w:rsidRPr="00584BB5">
        <w:rPr>
          <w:lang w:val="lt-LT"/>
        </w:rPr>
        <w:lastRenderedPageBreak/>
        <w:t>5.2. Sprendimas patikslinti ilgalaikio turto nusidėvėjimo arba amortizacijos normatyvus įregistruojamas vieneto vidaus nustatyta tvarka. Užtikrinant reikalavimą, kad finansinė apskaita turi būti tvarkoma taip, kad ji teiktų pakankamos informacijos pelno mokesčiui apskaičiuoti, vienetas turi turėti ir saugoti šią informaciją:</w:t>
      </w:r>
    </w:p>
    <w:p w14:paraId="338C91C2" w14:textId="77777777" w:rsidR="00164CBF" w:rsidRPr="00584BB5" w:rsidRDefault="00164CBF" w:rsidP="00164CBF">
      <w:pPr>
        <w:ind w:firstLine="709"/>
        <w:jc w:val="both"/>
        <w:rPr>
          <w:lang w:val="lt-LT"/>
        </w:rPr>
      </w:pPr>
      <w:r w:rsidRPr="00584BB5">
        <w:rPr>
          <w:lang w:val="lt-LT"/>
        </w:rPr>
        <w:t>- konkrečią ilgalaikio turto grupę (-es), kuriai (-ioms) tikslinamas nusidėvėjimo ar amortizacijos normatyvas (-ai);</w:t>
      </w:r>
    </w:p>
    <w:p w14:paraId="32C09785" w14:textId="77777777" w:rsidR="00164CBF" w:rsidRPr="00584BB5" w:rsidRDefault="00164CBF" w:rsidP="00164CBF">
      <w:pPr>
        <w:ind w:firstLine="709"/>
        <w:jc w:val="both"/>
        <w:rPr>
          <w:lang w:val="lt-LT"/>
        </w:rPr>
      </w:pPr>
      <w:r w:rsidRPr="00584BB5">
        <w:rPr>
          <w:lang w:val="lt-LT"/>
        </w:rPr>
        <w:t>- nusidėvėjimo arba amortizacijos normatyvą (-us), nustatytą (-i) ilgalaikio turto grupei (-ėms), kurios (-ių) nusidėvėjimo arba amortizacijos normatyvas (-ai) tikslinamas;</w:t>
      </w:r>
    </w:p>
    <w:p w14:paraId="21818D34" w14:textId="77777777" w:rsidR="00164CBF" w:rsidRPr="00584BB5" w:rsidRDefault="00164CBF" w:rsidP="00164CBF">
      <w:pPr>
        <w:ind w:firstLine="709"/>
        <w:jc w:val="both"/>
        <w:rPr>
          <w:lang w:val="lt-LT"/>
        </w:rPr>
      </w:pPr>
      <w:r w:rsidRPr="00584BB5">
        <w:rPr>
          <w:lang w:val="lt-LT"/>
        </w:rPr>
        <w:t>- patikslintą (-us) nusidėvėjimo ar amortizacijos normatyvą (-us) (metais) atitinkamai ilgalaikio turto grupei (-ėms);</w:t>
      </w:r>
    </w:p>
    <w:p w14:paraId="0212CD1A" w14:textId="77777777" w:rsidR="00164CBF" w:rsidRPr="00584BB5" w:rsidRDefault="00164CBF" w:rsidP="00164CBF">
      <w:pPr>
        <w:ind w:firstLine="709"/>
        <w:jc w:val="both"/>
        <w:rPr>
          <w:lang w:val="lt-LT"/>
        </w:rPr>
      </w:pPr>
      <w:r w:rsidRPr="00584BB5">
        <w:rPr>
          <w:lang w:val="lt-LT"/>
        </w:rPr>
        <w:t>- mokestinį laikotarpį, nuo kurio numatoma skaičiuoti ilgalaikio turto nusidėvėjimą arba amortizaciją pagal patikslintą (-us) nusidėvėjimo arba amortizacijos normatyvą (-us);</w:t>
      </w:r>
    </w:p>
    <w:p w14:paraId="2652FD51" w14:textId="06E3E9FD" w:rsidR="00164CBF" w:rsidRDefault="00164CBF" w:rsidP="00164CBF">
      <w:pPr>
        <w:ind w:firstLine="709"/>
        <w:jc w:val="both"/>
        <w:rPr>
          <w:lang w:val="lt-LT"/>
        </w:rPr>
      </w:pPr>
      <w:r w:rsidRPr="00584BB5">
        <w:rPr>
          <w:lang w:val="lt-LT"/>
        </w:rPr>
        <w:t>- konkrečias nusidėvėjimo ar amortizacijos normatyvų pakeitimo priežastis, pagrįstas objektyviais kriterijais, pavyzdžiui, dėl pasikeitusių turto naudojimo sąlygų, technologinės pažangos, turto efektyvumo pokyčių, vieneto ekonominės politikos, kai turtas naudojimas bus nutrauktas anksčiau, nesulaukus jo fizinio susidėvėjimo, ir pan., dėl kurių keičiamas nusidėvėjimo arba amortizacijos normatyvas (-ai), pateikiant nusidėvėjimo arba amortizacijos apskaičiavimo pasikeitimus.</w:t>
      </w:r>
    </w:p>
    <w:p w14:paraId="58CCDFF9" w14:textId="13A13567" w:rsidR="00164CBF" w:rsidRDefault="00164CBF" w:rsidP="00164CBF">
      <w:pPr>
        <w:tabs>
          <w:tab w:val="left" w:pos="720"/>
          <w:tab w:val="left" w:pos="1077"/>
          <w:tab w:val="left" w:pos="1418"/>
        </w:tabs>
        <w:autoSpaceDE w:val="0"/>
        <w:autoSpaceDN w:val="0"/>
        <w:ind w:firstLine="709"/>
        <w:jc w:val="both"/>
        <w:rPr>
          <w:szCs w:val="20"/>
          <w:lang w:val="lt-LT"/>
        </w:rPr>
      </w:pPr>
      <w:r w:rsidRPr="007168E3">
        <w:rPr>
          <w:lang w:val="lt-LT"/>
        </w:rPr>
        <w:t>5.3.  Patikslinus</w:t>
      </w:r>
      <w:r w:rsidRPr="00BE4B75">
        <w:rPr>
          <w:lang w:val="lt-LT"/>
        </w:rPr>
        <w:t xml:space="preserve"> ilgalaikio turto nusidėvėjimo normatyvus tam tikrai ilgalaikio turto grupei (vienetas savo nuožiūra pagal atitinkamas charakteristikas ir kitus požymius, pagal kuriuos turtas grup</w:t>
      </w:r>
      <w:r w:rsidRPr="000E627A">
        <w:rPr>
          <w:szCs w:val="20"/>
          <w:lang w:val="lt-LT"/>
        </w:rPr>
        <w:t xml:space="preserve">uojamas, nustato grupių (pogrupių) skaičių), nauji nusidėvėjimo normatyvai vienodai turi būti taikomi tiek anksčiau įsigytam, tiek naujai įsigyjamajam ilgalaikiam turtui t. y. visai ilgalaikio turto grupei (pogrupiui).  </w:t>
      </w:r>
    </w:p>
    <w:p w14:paraId="192185A2"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2A8A5D14" w14:textId="77777777" w:rsidR="00433EEE" w:rsidRPr="000E627A" w:rsidRDefault="00433EEE" w:rsidP="00164CBF">
      <w:pPr>
        <w:tabs>
          <w:tab w:val="left" w:pos="720"/>
          <w:tab w:val="left" w:pos="1077"/>
          <w:tab w:val="left" w:pos="1418"/>
        </w:tabs>
        <w:autoSpaceDE w:val="0"/>
        <w:autoSpaceDN w:val="0"/>
        <w:ind w:firstLine="709"/>
        <w:jc w:val="both"/>
        <w:rPr>
          <w:szCs w:val="20"/>
          <w:lang w:val="lt-LT"/>
        </w:rPr>
      </w:pPr>
    </w:p>
    <w:p w14:paraId="46B9323E" w14:textId="77777777" w:rsidR="00164CBF" w:rsidRPr="00BE4B75" w:rsidRDefault="00164CBF" w:rsidP="00164CBF">
      <w:pPr>
        <w:tabs>
          <w:tab w:val="left" w:pos="720"/>
          <w:tab w:val="left" w:pos="1077"/>
          <w:tab w:val="left" w:pos="1418"/>
        </w:tabs>
        <w:autoSpaceDE w:val="0"/>
        <w:autoSpaceDN w:val="0"/>
        <w:ind w:firstLine="709"/>
        <w:jc w:val="both"/>
        <w:rPr>
          <w:bCs/>
          <w:lang w:val="lt-LT"/>
        </w:rPr>
      </w:pPr>
    </w:p>
    <w:p w14:paraId="49C945BF" w14:textId="77777777" w:rsidR="00164CBF" w:rsidRPr="00BE4B75" w:rsidRDefault="00164CBF" w:rsidP="00164CBF">
      <w:pPr>
        <w:tabs>
          <w:tab w:val="left" w:pos="720"/>
          <w:tab w:val="left" w:pos="1077"/>
          <w:tab w:val="left" w:pos="1418"/>
        </w:tabs>
        <w:autoSpaceDE w:val="0"/>
        <w:autoSpaceDN w:val="0"/>
        <w:ind w:firstLine="709"/>
        <w:jc w:val="both"/>
        <w:rPr>
          <w:bCs/>
          <w:lang w:val="lt-LT"/>
        </w:rPr>
      </w:pPr>
      <w:r w:rsidRPr="00BE4B75">
        <w:rPr>
          <w:bCs/>
          <w:lang w:val="lt-LT"/>
        </w:rPr>
        <w:t>Pavyzdys</w:t>
      </w:r>
    </w:p>
    <w:p w14:paraId="49858654" w14:textId="77777777" w:rsidR="00164CBF" w:rsidRPr="00BE4B75" w:rsidRDefault="00164CBF" w:rsidP="00164CBF">
      <w:pPr>
        <w:tabs>
          <w:tab w:val="left" w:pos="720"/>
          <w:tab w:val="left" w:pos="1077"/>
          <w:tab w:val="left" w:pos="1418"/>
        </w:tabs>
        <w:autoSpaceDE w:val="0"/>
        <w:autoSpaceDN w:val="0"/>
        <w:ind w:firstLine="709"/>
        <w:jc w:val="both"/>
        <w:rPr>
          <w:bCs/>
          <w:lang w:val="lt-LT"/>
        </w:rPr>
      </w:pPr>
    </w:p>
    <w:p w14:paraId="227F2B78"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BE4B75">
        <w:rPr>
          <w:lang w:val="lt-LT"/>
        </w:rPr>
        <w:t xml:space="preserve">Vienetas, atsižvelgdamas į savo veiklos pobūdį, pastatų turto grupę sugrupavo į smulkesnes turto grupes, t. y. nustatė tokias turto grupes: </w:t>
      </w:r>
      <w:r w:rsidRPr="00BE4B75">
        <w:rPr>
          <w:i/>
          <w:lang w:val="lt-LT"/>
        </w:rPr>
        <w:t>Kiti anksčiau neišvardyti gamybiniai pastatai</w:t>
      </w:r>
      <w:r w:rsidRPr="00BE4B75">
        <w:rPr>
          <w:lang w:val="lt-LT"/>
        </w:rPr>
        <w:t xml:space="preserve"> (nusidėvėjimo normatyvas – 15 metų) ir </w:t>
      </w:r>
      <w:r w:rsidRPr="00BE4B75">
        <w:rPr>
          <w:i/>
          <w:lang w:val="lt-LT"/>
        </w:rPr>
        <w:t>Kiti anksčiau neišvardyti negamybiniai pastatai</w:t>
      </w:r>
      <w:r w:rsidRPr="00BE4B75">
        <w:rPr>
          <w:lang w:val="lt-LT"/>
        </w:rPr>
        <w:t xml:space="preserve"> (nusidėvėjimo normatyvas – 30 metų).</w:t>
      </w:r>
    </w:p>
    <w:p w14:paraId="03B3641A"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7168E3">
        <w:rPr>
          <w:lang w:val="lt-LT"/>
        </w:rPr>
        <w:t xml:space="preserve">Vienetas patikslino tik turto grupės (pogrupio) </w:t>
      </w:r>
      <w:r w:rsidRPr="007168E3">
        <w:rPr>
          <w:i/>
          <w:lang w:val="lt-LT"/>
        </w:rPr>
        <w:t>Kiti anksčiau neišvardyti negamybiniai pastatai</w:t>
      </w:r>
      <w:r w:rsidRPr="007168E3">
        <w:rPr>
          <w:lang w:val="lt-LT"/>
        </w:rPr>
        <w:t xml:space="preserve"> nusidėvėjimo normatyvus, ir nustatė naują patikslintą nusidėvėjimo laikotarpį – 20 metų, kuris nėra mažesnis už PMĮ 1 priedėlyje turto grupei </w:t>
      </w:r>
      <w:r w:rsidRPr="007168E3">
        <w:rPr>
          <w:i/>
          <w:lang w:val="lt-LT"/>
        </w:rPr>
        <w:t>Kiti anksčiau neišvardyti pastatai</w:t>
      </w:r>
      <w:r w:rsidRPr="007168E3">
        <w:rPr>
          <w:lang w:val="lt-LT"/>
        </w:rPr>
        <w:t xml:space="preserve"> nustatytus</w:t>
      </w:r>
      <w:r w:rsidRPr="00BE4B75">
        <w:rPr>
          <w:lang w:val="lt-LT"/>
        </w:rPr>
        <w:t xml:space="preserve"> normatyvus.</w:t>
      </w:r>
    </w:p>
    <w:p w14:paraId="1413F431"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r w:rsidRPr="00BE4B75">
        <w:rPr>
          <w:lang w:val="lt-LT"/>
        </w:rPr>
        <w:t>Patikslinus šios turto grupės (pogrupio) nusidėvėjimo normatyvus, naujai nustatyti normatyvai taikomi tiek anksčiau įsigytiems, tiek naujai įsigyjamiems šiai turto grupei (pogrupiui) priskirtiniems negamybiniams pastatams.</w:t>
      </w:r>
    </w:p>
    <w:p w14:paraId="5C8BBEDC" w14:textId="77777777" w:rsidR="00164CBF" w:rsidRPr="00BE4B75" w:rsidRDefault="00164CBF" w:rsidP="00164CBF">
      <w:pPr>
        <w:pBdr>
          <w:top w:val="single" w:sz="4" w:space="1" w:color="auto"/>
          <w:left w:val="single" w:sz="4" w:space="4" w:color="auto"/>
          <w:bottom w:val="single" w:sz="4" w:space="1" w:color="auto"/>
          <w:right w:val="single" w:sz="4" w:space="4" w:color="auto"/>
        </w:pBdr>
        <w:tabs>
          <w:tab w:val="left" w:pos="720"/>
          <w:tab w:val="left" w:pos="1077"/>
          <w:tab w:val="left" w:pos="1418"/>
        </w:tabs>
        <w:autoSpaceDE w:val="0"/>
        <w:autoSpaceDN w:val="0"/>
        <w:ind w:firstLine="709"/>
        <w:jc w:val="both"/>
        <w:rPr>
          <w:lang w:val="lt-LT"/>
        </w:rPr>
      </w:pPr>
    </w:p>
    <w:p w14:paraId="7AB884A6" w14:textId="77777777" w:rsidR="00433EEE" w:rsidRPr="008B6CFC" w:rsidRDefault="00433EEE" w:rsidP="00433EEE">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7825ED90" w14:textId="77777777" w:rsidR="00164CBF" w:rsidRPr="00BE4B75" w:rsidRDefault="00164CBF" w:rsidP="00164CBF">
      <w:pPr>
        <w:tabs>
          <w:tab w:val="left" w:pos="720"/>
          <w:tab w:val="left" w:pos="1077"/>
          <w:tab w:val="left" w:pos="1418"/>
        </w:tabs>
        <w:autoSpaceDE w:val="0"/>
        <w:autoSpaceDN w:val="0"/>
        <w:jc w:val="both"/>
        <w:rPr>
          <w:lang w:val="lt-LT"/>
        </w:rPr>
      </w:pPr>
    </w:p>
    <w:p w14:paraId="62179FE0" w14:textId="77777777" w:rsidR="00164CBF" w:rsidRPr="00BE4B75" w:rsidRDefault="00164CBF" w:rsidP="00164CBF">
      <w:pPr>
        <w:tabs>
          <w:tab w:val="left" w:pos="720"/>
          <w:tab w:val="left" w:pos="1077"/>
          <w:tab w:val="left" w:pos="1418"/>
        </w:tabs>
        <w:jc w:val="both"/>
        <w:rPr>
          <w:szCs w:val="20"/>
          <w:lang w:val="lt-LT"/>
        </w:rPr>
      </w:pPr>
      <w:r w:rsidRPr="00BE4B75">
        <w:rPr>
          <w:lang w:val="lt-LT"/>
        </w:rPr>
        <w:tab/>
        <w:t>6. Vienetas privalo tikslinti ilgalaikio turto nusidėvėjimo ir amortizacijos normatyvus tuo atveju, kai nusistatęs trumpesnius maksimalius nusidėvėjimo ir amortizacijos normatyvus, nei nustatyta PMĮ 1 priedėlyje (</w:t>
      </w:r>
      <w:r w:rsidRPr="00BE4B75">
        <w:rPr>
          <w:szCs w:val="20"/>
          <w:lang w:val="lt-LT"/>
        </w:rPr>
        <w:t xml:space="preserve">nes atitiko PMĮ 18 str. 3 d. nustatytas sąlygas), nebetenkina šiai lengvatai taikyti nustatytų sąlygų. </w:t>
      </w:r>
      <w:r w:rsidRPr="007168E3">
        <w:rPr>
          <w:szCs w:val="20"/>
          <w:lang w:val="lt-LT"/>
        </w:rPr>
        <w:t>Taigi, vienetas</w:t>
      </w:r>
      <w:r>
        <w:rPr>
          <w:szCs w:val="20"/>
          <w:lang w:val="lt-LT"/>
        </w:rPr>
        <w:t xml:space="preserve"> </w:t>
      </w:r>
      <w:r w:rsidRPr="00BE4B75">
        <w:rPr>
          <w:szCs w:val="20"/>
          <w:lang w:val="lt-LT"/>
        </w:rPr>
        <w:t>tą mokestinį laikotarpį, kurį pažeidė PMĮ 18 str. 3 d. nustatytas sąlygas, turi patikslinti ilgalaikio turto nusidėvėjimo ir amortizacijos normatyvus, kurie negali būti mažesni už PMĮ 1 priedėlyje ilgalaikio turto grupėms nustatytus normatyvus.</w:t>
      </w:r>
    </w:p>
    <w:p w14:paraId="3F5D4A3D" w14:textId="77777777" w:rsidR="00164CBF" w:rsidRPr="00BE4B75" w:rsidRDefault="00164CBF" w:rsidP="00164CBF">
      <w:pPr>
        <w:tabs>
          <w:tab w:val="left" w:pos="720"/>
          <w:tab w:val="left" w:pos="1077"/>
          <w:tab w:val="left" w:pos="1418"/>
        </w:tabs>
        <w:ind w:firstLine="720"/>
        <w:jc w:val="both"/>
        <w:rPr>
          <w:bCs/>
          <w:szCs w:val="20"/>
          <w:lang w:val="lt-LT"/>
        </w:rPr>
      </w:pPr>
      <w:r w:rsidRPr="00BE4B75">
        <w:rPr>
          <w:szCs w:val="20"/>
          <w:lang w:val="lt-LT"/>
        </w:rPr>
        <w:t xml:space="preserve">Vienetas, nebetenkinantis PMĮ 18 str. 3 d. nustatytų sąlygų, nuo to mokestinio laikotarpio, kurį prarado tą lengvatą, pradžios, ilgalaikio turto įsigijimo kainos nenudėvėtąją dalį </w:t>
      </w:r>
      <w:r w:rsidRPr="00BE4B75">
        <w:rPr>
          <w:bCs/>
          <w:szCs w:val="20"/>
          <w:lang w:val="lt-LT"/>
        </w:rPr>
        <w:t xml:space="preserve">į sąnaudas gali perkelti dalimis per ne trumpesnį nei PMĮ 1 priedėlyje </w:t>
      </w:r>
      <w:r w:rsidRPr="00BE4B75">
        <w:rPr>
          <w:szCs w:val="20"/>
          <w:lang w:val="lt-LT"/>
        </w:rPr>
        <w:t xml:space="preserve">atitinkamai ilgalaikio turto grupei nustatytą nusidėvėjimo arba amortizacijos </w:t>
      </w:r>
      <w:r w:rsidRPr="00BE4B75">
        <w:rPr>
          <w:bCs/>
          <w:szCs w:val="20"/>
          <w:lang w:val="lt-LT"/>
        </w:rPr>
        <w:t>laikotarpį, atsižvelgiant į tą</w:t>
      </w:r>
      <w:r>
        <w:rPr>
          <w:bCs/>
          <w:szCs w:val="20"/>
          <w:lang w:val="lt-LT"/>
        </w:rPr>
        <w:t xml:space="preserve"> </w:t>
      </w:r>
      <w:r w:rsidRPr="00BE4B75">
        <w:rPr>
          <w:bCs/>
          <w:szCs w:val="20"/>
          <w:lang w:val="lt-LT"/>
        </w:rPr>
        <w:t>(-uos) mokestinį</w:t>
      </w:r>
      <w:r>
        <w:rPr>
          <w:bCs/>
          <w:szCs w:val="20"/>
          <w:lang w:val="lt-LT"/>
        </w:rPr>
        <w:t xml:space="preserve"> </w:t>
      </w:r>
      <w:r w:rsidRPr="00BE4B75">
        <w:rPr>
          <w:bCs/>
          <w:szCs w:val="20"/>
          <w:lang w:val="lt-LT"/>
        </w:rPr>
        <w:t>(-ius) laikotarpį</w:t>
      </w:r>
      <w:r>
        <w:rPr>
          <w:bCs/>
          <w:szCs w:val="20"/>
          <w:lang w:val="lt-LT"/>
        </w:rPr>
        <w:t xml:space="preserve"> </w:t>
      </w:r>
      <w:r w:rsidRPr="00BE4B75">
        <w:rPr>
          <w:bCs/>
          <w:szCs w:val="20"/>
          <w:lang w:val="lt-LT"/>
        </w:rPr>
        <w:t>(-ius), per kurį</w:t>
      </w:r>
      <w:r>
        <w:rPr>
          <w:bCs/>
          <w:szCs w:val="20"/>
          <w:lang w:val="lt-LT"/>
        </w:rPr>
        <w:t xml:space="preserve"> </w:t>
      </w:r>
      <w:r w:rsidRPr="00BE4B75">
        <w:rPr>
          <w:bCs/>
          <w:szCs w:val="20"/>
          <w:lang w:val="lt-LT"/>
        </w:rPr>
        <w:t>(-iuos) tas turtas jau buvo naudotas.</w:t>
      </w:r>
    </w:p>
    <w:p w14:paraId="78F5D548" w14:textId="77777777" w:rsidR="00164CBF" w:rsidRPr="00BE4B75" w:rsidRDefault="00164CBF" w:rsidP="00164CBF">
      <w:pPr>
        <w:tabs>
          <w:tab w:val="left" w:pos="720"/>
          <w:tab w:val="left" w:pos="1077"/>
          <w:tab w:val="left" w:pos="1418"/>
        </w:tabs>
        <w:ind w:firstLine="720"/>
        <w:jc w:val="both"/>
        <w:rPr>
          <w:bCs/>
          <w:szCs w:val="20"/>
          <w:lang w:val="lt-LT"/>
        </w:rPr>
      </w:pPr>
    </w:p>
    <w:p w14:paraId="0A04242B" w14:textId="77777777" w:rsidR="00164CBF" w:rsidRPr="00BE4B75" w:rsidRDefault="00164CBF" w:rsidP="00164CBF">
      <w:pPr>
        <w:tabs>
          <w:tab w:val="left" w:pos="720"/>
          <w:tab w:val="left" w:pos="1077"/>
          <w:tab w:val="left" w:pos="1418"/>
        </w:tabs>
        <w:ind w:firstLine="720"/>
        <w:jc w:val="both"/>
        <w:rPr>
          <w:bCs/>
          <w:szCs w:val="20"/>
          <w:lang w:val="lt-LT"/>
        </w:rPr>
      </w:pPr>
      <w:r w:rsidRPr="00BE4B75">
        <w:rPr>
          <w:bCs/>
          <w:szCs w:val="20"/>
          <w:lang w:val="lt-LT"/>
        </w:rPr>
        <w:t>Pavyzdys</w:t>
      </w:r>
    </w:p>
    <w:p w14:paraId="5BEC4695" w14:textId="77777777" w:rsidR="00164CBF" w:rsidRPr="00BE4B75" w:rsidRDefault="00164CBF" w:rsidP="00164CBF">
      <w:pPr>
        <w:tabs>
          <w:tab w:val="left" w:pos="720"/>
          <w:tab w:val="left" w:pos="1077"/>
          <w:tab w:val="left" w:pos="1418"/>
        </w:tabs>
        <w:ind w:firstLine="720"/>
        <w:jc w:val="both"/>
        <w:rPr>
          <w:bCs/>
          <w:szCs w:val="20"/>
          <w:lang w:val="lt-LT"/>
        </w:rPr>
      </w:pPr>
    </w:p>
    <w:p w14:paraId="125CAE7A" w14:textId="77777777" w:rsidR="00164CBF" w:rsidRPr="007168E3" w:rsidRDefault="00164CBF" w:rsidP="00164CBF">
      <w:pPr>
        <w:pBdr>
          <w:top w:val="single" w:sz="4" w:space="1" w:color="auto"/>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UAB X 2024 m. gruodžio 20 d. įsigijo 61 000 Eur kainos (be PVM) naują lengvąjį automobilį ir tą patį mėnesį jį pradėjo naudoti. UAB X planavo, kad 2025 ir vėlesniais mokestiniais metas vykdys PMĮ 18 str. 3 d. nustatytas sąlygas. Todėl UAB X nustatė, kad šio lengvojo automobilio nusidėvėjimas bus skaičiuojamas tiesiniu metodu taikant 3 metų (t. y. trumpesnį nei PMĮ 1 priedėlyje nustatytą) nusidėvėjimo normatyvą ir pusmečio nusidėvėjimo skaičiavimo pradžios būdą. Likvidacinė kaina – 1000 Eur.</w:t>
      </w:r>
    </w:p>
    <w:p w14:paraId="089E4AD3" w14:textId="77777777" w:rsidR="00164CBF" w:rsidRPr="007168E3" w:rsidRDefault="00164CBF" w:rsidP="00164CBF">
      <w:pPr>
        <w:pBdr>
          <w:top w:val="single" w:sz="4" w:space="1" w:color="auto"/>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Kadangi UAB X 2025 metais vykdė visas PMĮ 18 str. 3 d. nustatytas sąlygas, todėl,  apskaičiuodama 2025 m. apmokestinamąjį pelną, prie leidžiamų atskaitymų gali priskirti metinę nusidėvėjimo sumą, kuri apskaičiuojama taip:  (61 000 - 1000) : 3 = 20 000 Eur.</w:t>
      </w:r>
    </w:p>
    <w:p w14:paraId="3BA94596" w14:textId="77777777" w:rsidR="00164CBF" w:rsidRPr="007168E3" w:rsidRDefault="00164CBF" w:rsidP="00164CBF">
      <w:pPr>
        <w:pBdr>
          <w:left w:val="single" w:sz="4" w:space="4" w:color="auto"/>
          <w:right w:val="single" w:sz="4" w:space="4" w:color="auto"/>
        </w:pBdr>
        <w:tabs>
          <w:tab w:val="left" w:pos="720"/>
          <w:tab w:val="left" w:pos="1077"/>
          <w:tab w:val="left" w:pos="1418"/>
        </w:tabs>
        <w:ind w:right="43" w:firstLine="709"/>
        <w:jc w:val="both"/>
        <w:rPr>
          <w:lang w:val="lt-LT"/>
        </w:rPr>
      </w:pPr>
      <w:r w:rsidRPr="007168E3">
        <w:rPr>
          <w:lang w:val="lt-LT"/>
        </w:rPr>
        <w:t xml:space="preserve">2026 metais UAB X pažeidė vieną iš PMĮ 18 str. 3 d. nustatytų sąlygų - jos mokestinio laikotarpio pajamos viršijo 150 000 Eur. Todėl UAB X lengvojo automobilio įsigijimo kainos nenudėvėtąją dalį, t. y. 41 000 Eur (61 000 – 20 000), </w:t>
      </w:r>
      <w:r w:rsidRPr="007168E3">
        <w:rPr>
          <w:bCs/>
          <w:lang w:val="lt-LT"/>
        </w:rPr>
        <w:t xml:space="preserve">į sąnaudas gali perkelti dalimis per ne trumpesnį nei PMĮ 1 priedėlyje </w:t>
      </w:r>
      <w:r w:rsidRPr="007168E3">
        <w:rPr>
          <w:lang w:val="lt-LT"/>
        </w:rPr>
        <w:t xml:space="preserve">atitinkamai ilgalaikio turto grupei nustatytą nusidėvėjimo </w:t>
      </w:r>
      <w:r w:rsidRPr="007168E3">
        <w:rPr>
          <w:bCs/>
          <w:lang w:val="lt-LT"/>
        </w:rPr>
        <w:t xml:space="preserve">laikotarpį (4 m.), atsižvelgiant į tą mokestinį laikotarpį, per kurį tas turtas jau buvo naudotas (1 m.), t. y. per 3 (4 – 1) metus. </w:t>
      </w:r>
    </w:p>
    <w:p w14:paraId="67DF6986" w14:textId="77777777" w:rsidR="00164CBF" w:rsidRDefault="00164CBF" w:rsidP="00164CBF">
      <w:pPr>
        <w:pBdr>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r w:rsidRPr="007168E3">
        <w:rPr>
          <w:lang w:val="lt-LT"/>
        </w:rPr>
        <w:t xml:space="preserve">Todėl UAB X, apskaičiuodama 2026 – 2028 metų apmokestinamąjį pelną, prie leidžiamų atskaitymų gali priskirti metinę nusidėvėjimo sumą, kuri apskaičiuojama taip: (41 000 - 1000) : 3 = 13 333 Eur. </w:t>
      </w:r>
    </w:p>
    <w:p w14:paraId="00E03850" w14:textId="77777777" w:rsidR="00164CBF" w:rsidRPr="007168E3" w:rsidRDefault="00164CBF" w:rsidP="00164CBF">
      <w:pPr>
        <w:pBdr>
          <w:left w:val="single" w:sz="4" w:space="4" w:color="auto"/>
          <w:bottom w:val="single" w:sz="4" w:space="1" w:color="auto"/>
          <w:right w:val="single" w:sz="4" w:space="4" w:color="auto"/>
        </w:pBdr>
        <w:tabs>
          <w:tab w:val="left" w:pos="720"/>
          <w:tab w:val="left" w:pos="1077"/>
          <w:tab w:val="left" w:pos="1418"/>
        </w:tabs>
        <w:ind w:right="43" w:firstLine="709"/>
        <w:jc w:val="both"/>
        <w:rPr>
          <w:lang w:val="lt-LT"/>
        </w:rPr>
      </w:pPr>
    </w:p>
    <w:p w14:paraId="5ABDE36F" w14:textId="41CAEDC5" w:rsidR="00C00D4B" w:rsidRPr="00C00D4B" w:rsidRDefault="00164CBF" w:rsidP="00C00D4B">
      <w:pPr>
        <w:jc w:val="both"/>
        <w:rPr>
          <w:rFonts w:ascii="Trebuchet MS" w:hAnsi="Trebuchet MS"/>
          <w:sz w:val="20"/>
          <w:szCs w:val="22"/>
          <w:lang w:val="lt-LT"/>
        </w:rPr>
      </w:pPr>
      <w:r>
        <w:rPr>
          <w:lang w:val="lt-LT"/>
        </w:rPr>
        <w:t xml:space="preserve">   </w:t>
      </w:r>
      <w:r w:rsidR="00C00D4B">
        <w:rPr>
          <w:lang w:val="lt-LT"/>
        </w:rPr>
        <w:t xml:space="preserve">(Pakeista pagal </w:t>
      </w:r>
      <w:r w:rsidR="00C00D4B" w:rsidRPr="0051529C">
        <w:t>VMI prie FM 202</w:t>
      </w:r>
      <w:r w:rsidR="00C00D4B">
        <w:t>6</w:t>
      </w:r>
      <w:r w:rsidR="00C00D4B" w:rsidRPr="0051529C">
        <w:t>-</w:t>
      </w:r>
      <w:r w:rsidR="00C00D4B">
        <w:t>01</w:t>
      </w:r>
      <w:r w:rsidR="00C00D4B" w:rsidRPr="0051529C">
        <w:t>-</w:t>
      </w:r>
      <w:r w:rsidR="00C00D4B">
        <w:t>08</w:t>
      </w:r>
      <w:r w:rsidR="00C00D4B" w:rsidRPr="0051529C">
        <w:t xml:space="preserve"> rašt</w:t>
      </w:r>
      <w:r w:rsidR="00C00D4B">
        <w:t>ą</w:t>
      </w:r>
      <w:r w:rsidR="00C00D4B" w:rsidRPr="0051529C">
        <w:t xml:space="preserve"> Nr.</w:t>
      </w:r>
      <w:r w:rsidR="00C00D4B">
        <w:rPr>
          <w:iCs/>
          <w:lang w:eastAsia="lt-LT"/>
        </w:rPr>
        <w:t xml:space="preserve"> (18.32-31-1 Mr)-R-40)</w:t>
      </w:r>
    </w:p>
    <w:p w14:paraId="1E75299E" w14:textId="77777777" w:rsidR="00164CBF" w:rsidRPr="00275298" w:rsidRDefault="00164CBF" w:rsidP="00164CBF">
      <w:pPr>
        <w:tabs>
          <w:tab w:val="left" w:pos="720"/>
          <w:tab w:val="left" w:pos="1077"/>
          <w:tab w:val="left" w:pos="1418"/>
        </w:tabs>
        <w:ind w:right="43" w:firstLine="720"/>
        <w:jc w:val="both"/>
        <w:rPr>
          <w:strike/>
          <w:lang w:val="lt-LT"/>
        </w:rPr>
      </w:pPr>
      <w:r w:rsidRPr="00BE4B75">
        <w:rPr>
          <w:lang w:val="lt-LT"/>
        </w:rPr>
        <w:t xml:space="preserve">7. </w:t>
      </w:r>
      <w:r w:rsidRPr="00BE4B75">
        <w:rPr>
          <w:bCs/>
          <w:lang w:val="lt-LT"/>
        </w:rPr>
        <w:t>Jeigu vienetas ilgalaikį materialųjį turtą nudėvėjo iki jo likvidacinės vertės ir nori tą likvidacinę vertę sumažinti, nes planuoja tą turtą dar naudoti savo veikloje, tai ta suma</w:t>
      </w:r>
      <w:r w:rsidRPr="00BE4B75">
        <w:rPr>
          <w:lang w:val="lt-LT"/>
        </w:rPr>
        <w:t>,</w:t>
      </w:r>
      <w:r w:rsidRPr="00BE4B75">
        <w:rPr>
          <w:bCs/>
          <w:lang w:val="lt-LT"/>
        </w:rPr>
        <w:t xml:space="preserve"> kuria sumažinama likvidacinė vertė, t. y. </w:t>
      </w:r>
      <w:r w:rsidRPr="00BE4B75">
        <w:rPr>
          <w:lang w:val="lt-LT"/>
        </w:rPr>
        <w:t xml:space="preserve">įsigijimo kainos nenudėvėtoji dalis, </w:t>
      </w:r>
      <w:r w:rsidRPr="00BE4B75">
        <w:rPr>
          <w:bCs/>
          <w:lang w:val="lt-LT"/>
        </w:rPr>
        <w:t xml:space="preserve">į sąnaudas gali būti perkeliama dalimis per to turto planuojamą naudingo eksploatavimo laikotarpį. </w:t>
      </w:r>
    </w:p>
    <w:p w14:paraId="0FCA6443" w14:textId="77777777" w:rsidR="00164CBF" w:rsidRPr="00BE4B75" w:rsidRDefault="00164CBF" w:rsidP="00164CBF">
      <w:pPr>
        <w:tabs>
          <w:tab w:val="left" w:pos="720"/>
          <w:tab w:val="left" w:pos="1077"/>
          <w:tab w:val="left" w:pos="1418"/>
        </w:tabs>
        <w:ind w:firstLine="720"/>
        <w:jc w:val="both"/>
        <w:rPr>
          <w:lang w:val="lt-LT"/>
        </w:rPr>
      </w:pPr>
      <w:r w:rsidRPr="00BE4B75">
        <w:rPr>
          <w:lang w:val="lt-LT"/>
        </w:rPr>
        <w:t>8. Jeigu vienetas nusprendžia padidinti ilgalaikio turto grupės</w:t>
      </w:r>
      <w:r>
        <w:rPr>
          <w:lang w:val="lt-LT"/>
        </w:rPr>
        <w:t xml:space="preserve"> </w:t>
      </w:r>
      <w:r w:rsidRPr="00BE4B75">
        <w:rPr>
          <w:lang w:val="lt-LT"/>
        </w:rPr>
        <w:t xml:space="preserve">(-ių) nusistatytą minimalią kainą, tai pagal šią naujai nusistatytą minimalią kainą (ir naudojimo trukmę) tik naujai įsigytas turtas priskiriamas ilgalaikiam arba trumpalaikiam turtui. </w:t>
      </w:r>
    </w:p>
    <w:p w14:paraId="125B0EA4" w14:textId="21106D3E" w:rsidR="00164CBF" w:rsidRDefault="00164CBF" w:rsidP="00164CBF">
      <w:pPr>
        <w:tabs>
          <w:tab w:val="left" w:pos="720"/>
          <w:tab w:val="left" w:pos="1077"/>
          <w:tab w:val="left" w:pos="1418"/>
        </w:tabs>
        <w:ind w:firstLine="720"/>
        <w:jc w:val="both"/>
        <w:rPr>
          <w:bCs/>
          <w:lang w:val="lt-LT"/>
        </w:rPr>
      </w:pPr>
      <w:r w:rsidRPr="00BE4B75">
        <w:rPr>
          <w:lang w:val="lt-LT"/>
        </w:rPr>
        <w:lastRenderedPageBreak/>
        <w:t>Jeigu, padidinus ilgalaikio turto grupės</w:t>
      </w:r>
      <w:r>
        <w:rPr>
          <w:lang w:val="lt-LT"/>
        </w:rPr>
        <w:t xml:space="preserve"> </w:t>
      </w:r>
      <w:r w:rsidRPr="00BE4B75">
        <w:rPr>
          <w:lang w:val="lt-LT"/>
        </w:rPr>
        <w:t>(-ių) nusista</w:t>
      </w:r>
      <w:r>
        <w:rPr>
          <w:lang w:val="lt-LT"/>
        </w:rPr>
        <w:t>ty</w:t>
      </w:r>
      <w:r w:rsidRPr="00BE4B75">
        <w:rPr>
          <w:lang w:val="lt-LT"/>
        </w:rPr>
        <w:t xml:space="preserve">tą minimalią kainą, </w:t>
      </w:r>
      <w:r w:rsidRPr="00BE4B75">
        <w:rPr>
          <w:bCs/>
          <w:lang w:val="lt-LT"/>
        </w:rPr>
        <w:t xml:space="preserve">turtas, </w:t>
      </w:r>
      <w:r w:rsidRPr="00BE4B75">
        <w:rPr>
          <w:lang w:val="lt-LT"/>
        </w:rPr>
        <w:t xml:space="preserve">kuris buvo priskirtas </w:t>
      </w:r>
      <w:r w:rsidRPr="00BE4B75">
        <w:rPr>
          <w:bCs/>
          <w:lang w:val="lt-LT"/>
        </w:rPr>
        <w:t>ilgalaikiam</w:t>
      </w:r>
      <w:r w:rsidRPr="00BE4B75">
        <w:rPr>
          <w:lang w:val="lt-LT"/>
        </w:rPr>
        <w:t xml:space="preserve"> ir pradėtas nudėvėti arba amortizuoti, nebeatitinka ilgalaikio turto kriterijų (tampa priskiriamas trumpalaikiam turtui), tai pelno mokesčio apskaičiavimo atžvilgiu šis turtas lieka ilgalaikiu turtu ir toliau turi būti nudėvimas arba amortizuojamas vadovaujantis PMĮ nustatyta tvarka. Jeigu toks turtas (t. y. </w:t>
      </w:r>
      <w:r w:rsidRPr="00BE4B75">
        <w:rPr>
          <w:bCs/>
          <w:lang w:val="lt-LT"/>
        </w:rPr>
        <w:t xml:space="preserve">turtas, </w:t>
      </w:r>
      <w:r w:rsidRPr="00BE4B75">
        <w:rPr>
          <w:lang w:val="lt-LT"/>
        </w:rPr>
        <w:t xml:space="preserve">kuris buvo priskirtas </w:t>
      </w:r>
      <w:r w:rsidRPr="00BE4B75">
        <w:rPr>
          <w:bCs/>
          <w:lang w:val="lt-LT"/>
        </w:rPr>
        <w:t>ilgalaikiam</w:t>
      </w:r>
      <w:r w:rsidRPr="00BE4B75">
        <w:rPr>
          <w:lang w:val="lt-LT"/>
        </w:rPr>
        <w:t xml:space="preserve"> ir pradėtas nudėvėti arba amortizuoti</w:t>
      </w:r>
      <w:r w:rsidRPr="00BE4B75">
        <w:rPr>
          <w:bCs/>
          <w:lang w:val="lt-LT"/>
        </w:rPr>
        <w:t xml:space="preserve">) </w:t>
      </w:r>
      <w:r w:rsidRPr="00BE4B75">
        <w:rPr>
          <w:lang w:val="lt-LT"/>
        </w:rPr>
        <w:t xml:space="preserve">bus toliau nenaudojamas pajamoms uždirbti ar ekonominei naudai gauti ir nurašytas, tai to </w:t>
      </w:r>
      <w:r w:rsidRPr="00BE4B75">
        <w:rPr>
          <w:bCs/>
          <w:lang w:val="lt-LT"/>
        </w:rPr>
        <w:t>nurašyto</w:t>
      </w:r>
      <w:r w:rsidRPr="00BE4B75">
        <w:rPr>
          <w:lang w:val="lt-LT"/>
        </w:rPr>
        <w:t xml:space="preserve"> turto </w:t>
      </w:r>
      <w:r w:rsidRPr="00BE4B75">
        <w:rPr>
          <w:bCs/>
          <w:lang w:val="lt-LT"/>
        </w:rPr>
        <w:t>nenudėvėtosios arba neamortizuotosios įsigijimo kainos dalis leidžiamiems atskaitymams bus nepriskiriama.</w:t>
      </w:r>
    </w:p>
    <w:p w14:paraId="0E3BB2BA" w14:textId="7E3459A5" w:rsidR="00C00D4B" w:rsidRPr="00C00D4B" w:rsidRDefault="00C00D4B" w:rsidP="00C00D4B">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08</w:t>
      </w:r>
      <w:r w:rsidRPr="0051529C">
        <w:t xml:space="preserve"> rašt</w:t>
      </w:r>
      <w:r>
        <w:t>ą</w:t>
      </w:r>
      <w:r w:rsidRPr="0051529C">
        <w:t xml:space="preserve"> Nr.</w:t>
      </w:r>
      <w:r>
        <w:rPr>
          <w:iCs/>
          <w:lang w:eastAsia="lt-LT"/>
        </w:rPr>
        <w:t xml:space="preserve"> (18.32-31-1 Mr)-R-40)</w:t>
      </w:r>
    </w:p>
    <w:p w14:paraId="067F3802" w14:textId="77777777" w:rsidR="00164CBF" w:rsidRPr="00164CBF" w:rsidRDefault="00164CBF" w:rsidP="00164CBF">
      <w:pPr>
        <w:tabs>
          <w:tab w:val="left" w:pos="720"/>
          <w:tab w:val="left" w:pos="1077"/>
          <w:tab w:val="left" w:pos="1418"/>
        </w:tabs>
        <w:ind w:firstLine="720"/>
        <w:jc w:val="both"/>
        <w:rPr>
          <w:lang w:val="lt-LT"/>
        </w:rPr>
      </w:pPr>
    </w:p>
    <w:p w14:paraId="4A4D54E3" w14:textId="77777777" w:rsidR="00164CBF" w:rsidRPr="000E02CA" w:rsidRDefault="00164CBF" w:rsidP="00164CBF">
      <w:pPr>
        <w:keepNext/>
        <w:tabs>
          <w:tab w:val="left" w:pos="720"/>
          <w:tab w:val="left" w:pos="1077"/>
          <w:tab w:val="left" w:pos="1418"/>
        </w:tabs>
        <w:autoSpaceDE w:val="0"/>
        <w:autoSpaceDN w:val="0"/>
        <w:jc w:val="both"/>
        <w:outlineLvl w:val="4"/>
        <w:rPr>
          <w:b/>
          <w:bCs/>
          <w:lang w:val="lt-LT"/>
        </w:rPr>
      </w:pPr>
      <w:r>
        <w:rPr>
          <w:color w:val="000000"/>
        </w:rPr>
        <w:tab/>
      </w:r>
      <w:r w:rsidRPr="000E02CA">
        <w:rPr>
          <w:b/>
          <w:color w:val="000000"/>
          <w:lang w:val="lt-LT"/>
        </w:rPr>
        <w:t xml:space="preserve">13. Neatsižvelgiant į šio straipsnio nuostatas, </w:t>
      </w:r>
      <w:r w:rsidRPr="00F94B2E">
        <w:rPr>
          <w:b/>
          <w:color w:val="000000"/>
          <w:lang w:val="lt-LT"/>
        </w:rPr>
        <w:t xml:space="preserve">visa ilgalaikio turto, priskirto šio Įstatymo 1 priedėlyje nurodytoms ilgalaikio turto grupėms „mašinos ir įrengimai“, „įrenginiai (statiniai, gręžiniai ir kt.)“, „kompiuterinė technika ir ryšių priemonės (kompiuteriai, jų tinklai ir įranga)“, „programinė įranga“, „įsigytos teisės“ ir ilgalaikio turto grupės „krovininiai automobiliai, priekabos ir puspriekabės, autobusai – ne senesni kaip 5 metų“ turtui – krovininiams automobiliams, priekaboms ir puspriekabėms, </w:t>
      </w:r>
      <w:r w:rsidRPr="0010256A">
        <w:rPr>
          <w:b/>
          <w:color w:val="000000"/>
          <w:lang w:val="lt-LT"/>
        </w:rPr>
        <w:t xml:space="preserve">įsigijimo kaina gali būti atskaitoma iš pajamų tą mokestinį laikotarpį, kurį </w:t>
      </w:r>
      <w:r w:rsidRPr="0010256A">
        <w:rPr>
          <w:b/>
          <w:lang w:val="lt-LT"/>
        </w:rPr>
        <w:t>ilgalaikis turtas pradėtas naudoti. Jeigu</w:t>
      </w:r>
      <w:r w:rsidRPr="00707BC3">
        <w:rPr>
          <w:b/>
          <w:lang w:val="lt-LT"/>
        </w:rPr>
        <w:t xml:space="preserve"> ilgalaikis turtas, kurio įsigijimo kaina atskaityta pagal šios dalies nuostatas, naudojamas vieneto veikloje trumpiau negu 3 metus, išskyrus vieneto pabaigą ir atvejus, kai ilgalaikis turtas nebenaudojamas ar perleidžiamas dėl teisės aktų reikalavimų, prarandamas dėl nenugalimos jėgos (</w:t>
      </w:r>
      <w:r w:rsidRPr="00707BC3">
        <w:rPr>
          <w:b/>
          <w:i/>
          <w:iCs/>
          <w:lang w:val="lt-LT"/>
        </w:rPr>
        <w:t>force majeure</w:t>
      </w:r>
      <w:r w:rsidRPr="00707BC3">
        <w:rPr>
          <w:b/>
          <w:lang w:val="lt-LT"/>
        </w:rPr>
        <w:t xml:space="preserve">) aplinkybių ar nusikalstamos trečiųjų asmenų veiklos, taip pat kai šio Įstatymo 41 straipsnyje nustatytais reorganizavimo ir perleidimo atvejais vienetas perleidžia ilgalaikį turtą kitam vienetui ir įsigyjantysis vienetas, kaip jis suprantamas pagal šio Įstatymo 41 straipsnio 2 dalį, perimtą ilgalaikį turtą naudoja iki tol, kol sueis ne mažiau kaip 3 metai nuo ilgalaikio turto naudojimo jį perleidžiančiajame vienete, kaip jis suprantamas pagal šio Įstatymo 41 straipsnio 2 dalį, pradžios, apskaičiuotas praėjusių mokestinių laikotarpių pelno mokestis perskaičiuojamas taikant šio Įstatymo 1 priedėlyje nustatytus nusidėvėjimo arba amortizacijos normatyvus. Šios dalies nuostatos netaikomos ilgalaikiam turtui, kurio įsigijimo išlaidomis mažinamas apmokestinamasis pelnas pagal šio Įstatymo </w:t>
      </w:r>
      <w:r w:rsidRPr="000E02CA">
        <w:rPr>
          <w:b/>
          <w:color w:val="000000"/>
          <w:lang w:val="lt-LT"/>
        </w:rPr>
        <w:t>46</w:t>
      </w:r>
      <w:r w:rsidRPr="000E02CA">
        <w:rPr>
          <w:b/>
          <w:color w:val="000000"/>
          <w:vertAlign w:val="superscript"/>
          <w:lang w:val="lt-LT"/>
        </w:rPr>
        <w:t>1</w:t>
      </w:r>
      <w:r w:rsidRPr="000E02CA">
        <w:rPr>
          <w:b/>
          <w:color w:val="000000"/>
          <w:lang w:val="lt-LT"/>
        </w:rPr>
        <w:t> straipsnio nuostatas.</w:t>
      </w:r>
    </w:p>
    <w:p w14:paraId="13BE61DB" w14:textId="77777777" w:rsidR="00164CBF" w:rsidRPr="00E51401" w:rsidRDefault="00164CBF" w:rsidP="00164CBF">
      <w:pPr>
        <w:tabs>
          <w:tab w:val="left" w:pos="720"/>
          <w:tab w:val="left" w:pos="1077"/>
          <w:tab w:val="left" w:pos="1418"/>
        </w:tabs>
        <w:jc w:val="both"/>
        <w:rPr>
          <w:bCs/>
          <w:i/>
          <w:szCs w:val="20"/>
          <w:lang w:val="lt-LT"/>
        </w:rPr>
      </w:pPr>
      <w:r w:rsidRPr="00E51401">
        <w:rPr>
          <w:bCs/>
          <w:i/>
          <w:szCs w:val="20"/>
          <w:lang w:val="lt-LT"/>
        </w:rPr>
        <w:tab/>
        <w:t xml:space="preserve">(Pagal 2025 m. birželio 17 d. įstatymo Nr.  </w:t>
      </w:r>
      <w:r w:rsidRPr="00E51401">
        <w:rPr>
          <w:i/>
          <w:lang w:val="lt-LT"/>
        </w:rPr>
        <w:t>XV-285</w:t>
      </w:r>
      <w:r w:rsidRPr="00E51401">
        <w:rPr>
          <w:bCs/>
          <w:i/>
          <w:szCs w:val="20"/>
          <w:lang w:val="lt-LT"/>
        </w:rPr>
        <w:t xml:space="preserve"> redakciją; taikoma apskaičiuojant 2026 metais prasidėjusio ir vėlesnių mokestinių laikotarpių apmokestinamąjį pelną)</w:t>
      </w:r>
    </w:p>
    <w:p w14:paraId="09BCDCCA" w14:textId="77777777" w:rsidR="00164CBF" w:rsidRPr="000E02CA" w:rsidRDefault="00164CBF" w:rsidP="00164CBF">
      <w:pPr>
        <w:keepNext/>
        <w:tabs>
          <w:tab w:val="left" w:pos="720"/>
          <w:tab w:val="left" w:pos="1077"/>
          <w:tab w:val="left" w:pos="1418"/>
        </w:tabs>
        <w:autoSpaceDE w:val="0"/>
        <w:autoSpaceDN w:val="0"/>
        <w:jc w:val="both"/>
        <w:outlineLvl w:val="4"/>
        <w:rPr>
          <w:b/>
          <w:bCs/>
          <w:lang w:val="lt-LT"/>
        </w:rPr>
      </w:pPr>
    </w:p>
    <w:p w14:paraId="2D6ED6C6" w14:textId="4505AD3C" w:rsidR="00164CBF" w:rsidRDefault="00164CBF" w:rsidP="00164CBF">
      <w:pPr>
        <w:keepNext/>
        <w:tabs>
          <w:tab w:val="left" w:pos="720"/>
          <w:tab w:val="left" w:pos="1077"/>
          <w:tab w:val="left" w:pos="1418"/>
        </w:tabs>
        <w:autoSpaceDE w:val="0"/>
        <w:autoSpaceDN w:val="0"/>
        <w:jc w:val="both"/>
        <w:outlineLvl w:val="4"/>
        <w:rPr>
          <w:b/>
          <w:bCs/>
          <w:lang w:val="lt-LT"/>
        </w:rPr>
      </w:pPr>
      <w:r>
        <w:rPr>
          <w:b/>
          <w:bCs/>
          <w:lang w:val="lt-LT"/>
        </w:rPr>
        <w:tab/>
      </w:r>
      <w:r w:rsidRPr="00BE4B75">
        <w:rPr>
          <w:b/>
          <w:bCs/>
          <w:lang w:val="lt-LT"/>
        </w:rPr>
        <w:t>Komentaras</w:t>
      </w:r>
    </w:p>
    <w:p w14:paraId="103235E9" w14:textId="77777777" w:rsidR="00164CBF" w:rsidRDefault="00164CBF" w:rsidP="00164CBF">
      <w:pPr>
        <w:tabs>
          <w:tab w:val="left" w:pos="720"/>
          <w:tab w:val="left" w:pos="1077"/>
          <w:tab w:val="left" w:pos="1418"/>
        </w:tabs>
        <w:ind w:firstLine="720"/>
        <w:jc w:val="both"/>
        <w:rPr>
          <w:b/>
          <w:lang w:val="lt-LT"/>
        </w:rPr>
      </w:pPr>
    </w:p>
    <w:p w14:paraId="714AE629" w14:textId="09BA240D" w:rsidR="00164CBF" w:rsidRPr="00227B8F" w:rsidRDefault="00164CBF" w:rsidP="00164CBF">
      <w:pPr>
        <w:tabs>
          <w:tab w:val="left" w:pos="720"/>
          <w:tab w:val="left" w:pos="1077"/>
          <w:tab w:val="left" w:pos="1418"/>
        </w:tabs>
        <w:ind w:firstLine="720"/>
        <w:jc w:val="both"/>
        <w:rPr>
          <w:lang w:val="lt-LT"/>
        </w:rPr>
      </w:pPr>
      <w:r w:rsidRPr="00227B8F">
        <w:rPr>
          <w:lang w:val="lt-LT"/>
        </w:rPr>
        <w:t>1. Ši dalis nustato išimtį iš bendrųjų ilgalaikio turto nusidėvėjimo taisyklių – ji leidžia nustatytoms grupėms priskirto ilgalaikio turto visą įsigijimo / pasigaminimo (toliau – įsigijimo)  kainą atskaityti iš pajamų tais metais, kuriais šis turtas pradėtas naudoti vieneto veikloje pajamoms uždirbti ar ekonominei naudai gauti.</w:t>
      </w:r>
    </w:p>
    <w:p w14:paraId="616CADC6" w14:textId="77777777" w:rsidR="00164CBF" w:rsidRPr="00227B8F" w:rsidRDefault="00164CBF" w:rsidP="00164CBF">
      <w:pPr>
        <w:tabs>
          <w:tab w:val="left" w:pos="720"/>
          <w:tab w:val="left" w:pos="1077"/>
          <w:tab w:val="left" w:pos="1418"/>
        </w:tabs>
        <w:ind w:firstLine="720"/>
        <w:jc w:val="both"/>
        <w:rPr>
          <w:lang w:val="lt-LT"/>
        </w:rPr>
      </w:pPr>
      <w:r w:rsidRPr="00227B8F">
        <w:rPr>
          <w:lang w:val="lt-LT"/>
        </w:rPr>
        <w:t>2. Vieneto mokestinio laikotarpio pajamos mažinamos visa įsigijimo kaina to mokestinio laikotarpio metu veikloje pradėto naudoti turto, priskirto šioms PMĮ 1 priedėlyje nurodytoms ilgalaikio turto grupėms:</w:t>
      </w:r>
    </w:p>
    <w:p w14:paraId="215380F0" w14:textId="77777777" w:rsidR="00164CBF" w:rsidRPr="00227B8F" w:rsidRDefault="00164CBF" w:rsidP="00164CBF">
      <w:pPr>
        <w:ind w:firstLine="720"/>
        <w:jc w:val="both"/>
        <w:rPr>
          <w:iCs/>
          <w:color w:val="000000"/>
          <w:lang w:val="lt-LT"/>
        </w:rPr>
      </w:pPr>
      <w:r w:rsidRPr="00227B8F">
        <w:rPr>
          <w:iCs/>
          <w:color w:val="000000"/>
          <w:lang w:val="lt-LT"/>
        </w:rPr>
        <w:t>- „mašinos ir įrengimai“,</w:t>
      </w:r>
    </w:p>
    <w:p w14:paraId="1B864245" w14:textId="77777777" w:rsidR="00164CBF" w:rsidRPr="00227B8F" w:rsidRDefault="00164CBF" w:rsidP="00164CBF">
      <w:pPr>
        <w:ind w:firstLine="720"/>
        <w:jc w:val="both"/>
        <w:rPr>
          <w:iCs/>
          <w:color w:val="000000"/>
          <w:lang w:val="lt-LT"/>
        </w:rPr>
      </w:pPr>
      <w:r w:rsidRPr="00227B8F">
        <w:rPr>
          <w:iCs/>
          <w:color w:val="000000"/>
          <w:lang w:val="lt-LT"/>
        </w:rPr>
        <w:t>- „įrenginiai (statiniai, gręžiniai ir kt.)“,</w:t>
      </w:r>
    </w:p>
    <w:p w14:paraId="08A904B2" w14:textId="77777777" w:rsidR="00164CBF" w:rsidRPr="00227B8F" w:rsidRDefault="00164CBF" w:rsidP="00164CBF">
      <w:pPr>
        <w:ind w:left="720"/>
        <w:jc w:val="both"/>
        <w:rPr>
          <w:iCs/>
          <w:color w:val="000000"/>
          <w:lang w:val="lt-LT"/>
        </w:rPr>
      </w:pPr>
      <w:r w:rsidRPr="00227B8F">
        <w:rPr>
          <w:iCs/>
          <w:color w:val="000000"/>
          <w:lang w:val="lt-LT"/>
        </w:rPr>
        <w:lastRenderedPageBreak/>
        <w:t>- „kompiuterinė technika ir ryšių priemonės (kompiuteriai, jų tinklai ir įranga)“,                                                       - „programinė įranga“,</w:t>
      </w:r>
    </w:p>
    <w:p w14:paraId="5725D9E8" w14:textId="77777777" w:rsidR="00164CBF" w:rsidRPr="00227B8F" w:rsidRDefault="00164CBF" w:rsidP="00164CBF">
      <w:pPr>
        <w:ind w:firstLine="720"/>
        <w:jc w:val="both"/>
        <w:rPr>
          <w:iCs/>
          <w:color w:val="000000"/>
          <w:lang w:val="lt-LT"/>
        </w:rPr>
      </w:pPr>
      <w:r w:rsidRPr="00227B8F">
        <w:rPr>
          <w:iCs/>
          <w:color w:val="000000"/>
          <w:lang w:val="lt-LT"/>
        </w:rPr>
        <w:t xml:space="preserve">- „įsigytos teisės“, </w:t>
      </w:r>
    </w:p>
    <w:p w14:paraId="622590CA" w14:textId="77777777" w:rsidR="00164CBF" w:rsidRPr="00227B8F" w:rsidRDefault="00164CBF" w:rsidP="00164CBF">
      <w:pPr>
        <w:ind w:firstLine="720"/>
        <w:jc w:val="both"/>
        <w:rPr>
          <w:lang w:val="lt-LT"/>
        </w:rPr>
      </w:pPr>
      <w:r w:rsidRPr="00227B8F">
        <w:rPr>
          <w:iCs/>
          <w:color w:val="000000"/>
          <w:lang w:val="lt-LT"/>
        </w:rPr>
        <w:t>- „</w:t>
      </w:r>
      <w:r w:rsidRPr="00227B8F">
        <w:rPr>
          <w:lang w:val="lt-LT"/>
        </w:rPr>
        <w:t>krovininiai automobiliai, priekabos ir puspriekabės, autobusai – ne senesni kaip 5 metų</w:t>
      </w:r>
      <w:r w:rsidRPr="00227B8F">
        <w:rPr>
          <w:iCs/>
          <w:color w:val="000000"/>
          <w:lang w:val="lt-LT"/>
        </w:rPr>
        <w:t>“</w:t>
      </w:r>
      <w:r w:rsidRPr="00227B8F">
        <w:rPr>
          <w:iCs/>
          <w:lang w:val="lt-LT"/>
        </w:rPr>
        <w:t xml:space="preserve"> (šios grupės turtui, išskyrus autobusus</w:t>
      </w:r>
      <w:r w:rsidRPr="00227B8F">
        <w:rPr>
          <w:lang w:val="lt-LT"/>
        </w:rPr>
        <w:t>).</w:t>
      </w:r>
    </w:p>
    <w:p w14:paraId="56308AB8" w14:textId="77777777" w:rsidR="00164CBF" w:rsidRPr="00227B8F" w:rsidRDefault="00164CBF" w:rsidP="00164CBF">
      <w:pPr>
        <w:ind w:firstLine="720"/>
        <w:jc w:val="both"/>
        <w:rPr>
          <w:lang w:val="lt-LT"/>
        </w:rPr>
      </w:pPr>
    </w:p>
    <w:p w14:paraId="1F469FEB" w14:textId="77777777" w:rsidR="00164CBF" w:rsidRPr="00227B8F" w:rsidRDefault="00164CBF" w:rsidP="00164CBF">
      <w:pPr>
        <w:ind w:firstLine="720"/>
        <w:jc w:val="both"/>
        <w:rPr>
          <w:lang w:val="lt-LT"/>
        </w:rPr>
      </w:pPr>
      <w:r w:rsidRPr="00227B8F">
        <w:rPr>
          <w:lang w:val="lt-LT"/>
        </w:rPr>
        <w:t>3. Šios dalies nuostatos taikomos ilgalaikio turto, įsigyto nuo 2026 m. sausio 1 d., įsigijimo kainai atskaityti iš pajamų, apskaičiuojant ir deklaruojant pelno mokestį už 2026 metus ir vėlesnius mokestinius laikotarpius.</w:t>
      </w:r>
    </w:p>
    <w:p w14:paraId="7371C380" w14:textId="77777777" w:rsidR="00164CBF" w:rsidRPr="00227B8F" w:rsidRDefault="00164CBF" w:rsidP="00164CBF">
      <w:pPr>
        <w:ind w:firstLine="720"/>
        <w:jc w:val="both"/>
        <w:rPr>
          <w:lang w:val="lt-LT"/>
        </w:rPr>
      </w:pPr>
      <w:r w:rsidRPr="00227B8F">
        <w:rPr>
          <w:lang w:val="lt-LT"/>
        </w:rPr>
        <w:t>Pavyzdžiui, jeigu patvirtintas mokestinis laikotarpis nesutampa su kalendoriniais metais ir trunka nuo liepos 1 d. iki kitų metų birželio 30 d., vienetas gali visą ilgalaikio turto įsigijimo kainą atskaityti iš pajamų pagal šios dalies nuostatas tik nuo 2026 m. liepos 1 d. įsigytam turtui, t. y. nuo 2026 metų mokestinio laikotarpio pradžios.</w:t>
      </w:r>
    </w:p>
    <w:p w14:paraId="6E65EA20" w14:textId="77777777" w:rsidR="00164CBF" w:rsidRPr="00227B8F" w:rsidRDefault="00164CBF" w:rsidP="00164CBF">
      <w:pPr>
        <w:ind w:firstLine="720"/>
        <w:jc w:val="both"/>
        <w:rPr>
          <w:lang w:val="lt-LT"/>
        </w:rPr>
      </w:pPr>
      <w:r w:rsidRPr="00227B8F">
        <w:rPr>
          <w:lang w:val="lt-LT"/>
        </w:rPr>
        <w:t xml:space="preserve">Kai ilgalaikis turtas yra įsigyjamas 2025 metų mokestinio laikotarpio pabaigoje, o faktiškai pradėtas </w:t>
      </w:r>
      <w:r w:rsidRPr="00227B8F">
        <w:rPr>
          <w:iCs/>
          <w:color w:val="000000"/>
          <w:lang w:val="lt-LT"/>
        </w:rPr>
        <w:t xml:space="preserve">eksploatuoti, t. y. </w:t>
      </w:r>
      <w:r w:rsidRPr="00227B8F">
        <w:rPr>
          <w:lang w:val="lt-LT"/>
        </w:rPr>
        <w:t>pradėtas naudoti pajamų uždirbimui ar ekonominei naudai gauti,  tik 2026 m. sausio mėnesį, tai šio turto įsigijimo kaina iš pajamų pagal šios dalies nuostatas neatskaitoma. Šiuo atveju turto įsigijimo kaina pagal PMĮ 18 straipsnyje nustatytą tvarką ribojamų dydžių leidžiamiems atskaitymams yra priskiriama dalimis per šio turto nusidėvėjimo laikotarpį.</w:t>
      </w:r>
    </w:p>
    <w:p w14:paraId="56D3CBBA" w14:textId="77777777" w:rsidR="00164CBF" w:rsidRPr="00227B8F" w:rsidRDefault="00164CBF" w:rsidP="00164CBF">
      <w:pPr>
        <w:ind w:firstLine="720"/>
        <w:jc w:val="both"/>
        <w:rPr>
          <w:lang w:val="lt-LT"/>
        </w:rPr>
      </w:pPr>
      <w:r w:rsidRPr="00227B8F">
        <w:rPr>
          <w:lang w:val="lt-LT"/>
        </w:rPr>
        <w:t>Jeigu vienetas ilgalaikį turtą įsigyja iki 2026 m. sausio 1 d., o 2026 metais su lizingo bendrove sudaro atgalinio lizingo (finansinės nuomos) sutartį, ir šis atgalinio lizingo (finansinės nuomos) sandoris pelno mokesčio tikslais yra laikomas finansavimo už užstatą sandoriu, tai pagal šios dalies nuostatas ilgalaikio turto įsigijimo kainos atskaitymas iš pajamų netaikomas.</w:t>
      </w:r>
    </w:p>
    <w:p w14:paraId="163B9363" w14:textId="77777777" w:rsidR="00164CBF" w:rsidRPr="00227B8F" w:rsidRDefault="00164CBF" w:rsidP="00164CBF">
      <w:pPr>
        <w:tabs>
          <w:tab w:val="left" w:pos="720"/>
          <w:tab w:val="left" w:pos="1077"/>
          <w:tab w:val="left" w:pos="1418"/>
        </w:tabs>
        <w:ind w:firstLine="720"/>
        <w:jc w:val="both"/>
        <w:rPr>
          <w:lang w:val="lt-LT"/>
        </w:rPr>
      </w:pPr>
    </w:p>
    <w:p w14:paraId="0691F743" w14:textId="77777777" w:rsidR="00164CBF" w:rsidRPr="00227B8F" w:rsidRDefault="00164CBF" w:rsidP="00164CBF">
      <w:pPr>
        <w:tabs>
          <w:tab w:val="left" w:pos="720"/>
          <w:tab w:val="left" w:pos="1077"/>
          <w:tab w:val="left" w:pos="1418"/>
        </w:tabs>
        <w:ind w:firstLine="720"/>
        <w:jc w:val="both"/>
        <w:rPr>
          <w:lang w:val="lt-LT"/>
        </w:rPr>
      </w:pPr>
      <w:r w:rsidRPr="00227B8F">
        <w:rPr>
          <w:lang w:val="lt-LT"/>
        </w:rPr>
        <w:t>4. Ilgalaikio turto įsigijimo kaina nustatoma vadovaujantis PMĮ 14 straipsniu (žr. 14 straipsnio komentarą).</w:t>
      </w:r>
    </w:p>
    <w:p w14:paraId="28C784F5" w14:textId="77777777" w:rsidR="00164CBF" w:rsidRPr="00227B8F" w:rsidRDefault="00164CBF" w:rsidP="00164CBF">
      <w:pPr>
        <w:ind w:firstLine="720"/>
        <w:jc w:val="both"/>
        <w:rPr>
          <w:iCs/>
          <w:color w:val="000000"/>
          <w:lang w:val="lt-LT"/>
        </w:rPr>
      </w:pPr>
      <w:bookmarkStart w:id="343" w:name="_Hlk210033446"/>
      <w:r w:rsidRPr="00227B8F">
        <w:rPr>
          <w:lang w:val="lt-LT"/>
        </w:rPr>
        <w:t xml:space="preserve">5. </w:t>
      </w:r>
      <w:r w:rsidRPr="00227B8F">
        <w:rPr>
          <w:iCs/>
          <w:color w:val="000000"/>
          <w:lang w:val="lt-LT"/>
        </w:rPr>
        <w:t xml:space="preserve">Ilgalaikio turto naudojimo pradžia yra laikoma perdavimo naudoti data. Naudojimo pradžia turi būti patvirtinama pagal </w:t>
      </w:r>
      <w:r w:rsidRPr="00227B8F">
        <w:rPr>
          <w:lang w:val="lt-LT"/>
        </w:rPr>
        <w:t xml:space="preserve">vieneto vidaus nusistatytą tvarką, pavyzdžiui </w:t>
      </w:r>
      <w:r w:rsidRPr="00227B8F">
        <w:rPr>
          <w:iCs/>
          <w:color w:val="000000"/>
          <w:lang w:val="lt-LT"/>
        </w:rPr>
        <w:t xml:space="preserve">vieneto vadovo (ar jo įgalioto asmens) </w:t>
      </w:r>
      <w:bookmarkStart w:id="344" w:name="_Hlk208922667"/>
      <w:r w:rsidRPr="00227B8F">
        <w:rPr>
          <w:iCs/>
          <w:color w:val="000000"/>
          <w:lang w:val="lt-LT"/>
        </w:rPr>
        <w:t>patvirtintu perdavimo naudoti aktu ar pan.</w:t>
      </w:r>
    </w:p>
    <w:bookmarkEnd w:id="344"/>
    <w:p w14:paraId="094466A7" w14:textId="77777777" w:rsidR="00164CBF" w:rsidRPr="00227B8F" w:rsidRDefault="00164CBF" w:rsidP="00164CBF">
      <w:pPr>
        <w:ind w:firstLine="720"/>
        <w:jc w:val="both"/>
        <w:rPr>
          <w:bCs/>
          <w:lang w:val="lt-LT"/>
        </w:rPr>
      </w:pPr>
      <w:r w:rsidRPr="00227B8F">
        <w:rPr>
          <w:iCs/>
          <w:color w:val="000000"/>
          <w:lang w:val="lt-LT"/>
        </w:rPr>
        <w:t xml:space="preserve">Jeigu ilgalaikis turtas yra testuojamas, siekiant įsitikinti, kad jis yra tinkamas naudoti, tai tokiu atveju naudojimo pradžia </w:t>
      </w:r>
      <w:r w:rsidRPr="00227B8F">
        <w:rPr>
          <w:bCs/>
          <w:lang w:val="lt-LT"/>
        </w:rPr>
        <w:t>yra laikoma, kai toks patikrintas turtas yra pradedamas eksploatuoti, arba, jeigu juo uždirbamos pajamos, nuo tos dienos, kai įsigytu turtu pradedamos uždirbti pajamos, nors turtas dar yra testuojamas ir neeksploatuojamas.</w:t>
      </w:r>
    </w:p>
    <w:bookmarkEnd w:id="343"/>
    <w:p w14:paraId="2022B843" w14:textId="77777777" w:rsidR="00164CBF" w:rsidRPr="00227B8F" w:rsidRDefault="00164CBF" w:rsidP="00164CBF">
      <w:pPr>
        <w:ind w:firstLine="720"/>
        <w:jc w:val="both"/>
        <w:rPr>
          <w:iCs/>
          <w:color w:val="000000"/>
          <w:lang w:val="lt-LT"/>
        </w:rPr>
      </w:pPr>
    </w:p>
    <w:p w14:paraId="6F03A087" w14:textId="77777777" w:rsidR="00164CBF" w:rsidRPr="00227B8F" w:rsidRDefault="00164CBF" w:rsidP="00164CBF">
      <w:pPr>
        <w:ind w:firstLine="720"/>
        <w:jc w:val="both"/>
        <w:rPr>
          <w:lang w:val="lt-LT"/>
        </w:rPr>
      </w:pPr>
      <w:r w:rsidRPr="00227B8F">
        <w:rPr>
          <w:iCs/>
          <w:color w:val="000000"/>
          <w:lang w:val="lt-LT"/>
        </w:rPr>
        <w:t xml:space="preserve">6. </w:t>
      </w:r>
      <w:r w:rsidRPr="00227B8F">
        <w:rPr>
          <w:lang w:val="lt-LT"/>
        </w:rPr>
        <w:t>Jeigu</w:t>
      </w:r>
      <w:r w:rsidRPr="00227B8F">
        <w:rPr>
          <w:iCs/>
          <w:color w:val="000000"/>
          <w:lang w:val="lt-LT"/>
        </w:rPr>
        <w:t xml:space="preserve"> ilgalaikio turto </w:t>
      </w:r>
      <w:r w:rsidRPr="00227B8F">
        <w:rPr>
          <w:lang w:val="lt-LT"/>
        </w:rPr>
        <w:t xml:space="preserve">tam tikra </w:t>
      </w:r>
      <w:r w:rsidRPr="00227B8F">
        <w:rPr>
          <w:iCs/>
          <w:color w:val="000000"/>
          <w:lang w:val="lt-LT"/>
        </w:rPr>
        <w:t xml:space="preserve">įsigijimo kainos dalis yra apmokama finansinės paramos lėšomis, tai </w:t>
      </w:r>
      <w:r w:rsidRPr="00227B8F">
        <w:rPr>
          <w:lang w:val="lt-LT"/>
        </w:rPr>
        <w:t>vieneto turto įsigijimo kaina, kuria yra mažinamos pajamos, turi būti sumažinama šia panaudota finansinės paramos lėšų suma.</w:t>
      </w:r>
    </w:p>
    <w:p w14:paraId="7932521A" w14:textId="77777777" w:rsidR="00164CBF" w:rsidRPr="00227B8F" w:rsidRDefault="00164CBF" w:rsidP="00164CBF">
      <w:pPr>
        <w:ind w:firstLine="720"/>
        <w:jc w:val="both"/>
        <w:rPr>
          <w:lang w:val="lt-LT"/>
        </w:rPr>
      </w:pPr>
    </w:p>
    <w:p w14:paraId="1A84A16A" w14:textId="77777777" w:rsidR="00164CBF" w:rsidRPr="00227B8F" w:rsidRDefault="00164CBF" w:rsidP="00164CBF">
      <w:pPr>
        <w:ind w:firstLine="720"/>
        <w:jc w:val="both"/>
        <w:rPr>
          <w:iCs/>
          <w:color w:val="000000"/>
          <w:lang w:val="lt-LT"/>
        </w:rPr>
      </w:pPr>
      <w:bookmarkStart w:id="345" w:name="_Hlk210033609"/>
      <w:r w:rsidRPr="00227B8F">
        <w:rPr>
          <w:lang w:val="lt-LT"/>
        </w:rPr>
        <w:t xml:space="preserve">7. </w:t>
      </w:r>
      <w:r w:rsidRPr="00227B8F">
        <w:rPr>
          <w:iCs/>
          <w:color w:val="000000"/>
          <w:lang w:val="lt-LT"/>
        </w:rPr>
        <w:t xml:space="preserve">Pagal šią dalį iš </w:t>
      </w:r>
      <w:r w:rsidRPr="00227B8F">
        <w:rPr>
          <w:lang w:val="lt-LT"/>
        </w:rPr>
        <w:t xml:space="preserve">pajamų atskaitoma įsigijimo kaina tik </w:t>
      </w:r>
      <w:r w:rsidRPr="00227B8F">
        <w:rPr>
          <w:iCs/>
          <w:color w:val="000000"/>
          <w:lang w:val="lt-LT"/>
        </w:rPr>
        <w:t>vieneto vardu įsigyto ilgalaikio turto, t. y. priklausančio vienetui nuosavybės teise, taip pat įsigyjamo pagal lizingo (finansinės nuomos) sutartį, kurioje numatytas nuosavybės teisės perėjimas arba pagal nuomos sutartį, kurioje numatytas nuosavybės teisės perėjimas vienetui apmokėjus visą turto vertę.</w:t>
      </w:r>
    </w:p>
    <w:bookmarkEnd w:id="345"/>
    <w:p w14:paraId="6D311D9F" w14:textId="77777777" w:rsidR="00164CBF" w:rsidRPr="00227B8F" w:rsidRDefault="00164CBF" w:rsidP="00164CBF">
      <w:pPr>
        <w:ind w:firstLine="720"/>
        <w:jc w:val="both"/>
        <w:rPr>
          <w:iCs/>
          <w:color w:val="000000"/>
          <w:lang w:val="lt-LT"/>
        </w:rPr>
      </w:pPr>
    </w:p>
    <w:p w14:paraId="104A4CDC" w14:textId="77777777" w:rsidR="00164CBF" w:rsidRPr="00227B8F" w:rsidRDefault="00164CBF" w:rsidP="00164CBF">
      <w:pPr>
        <w:pStyle w:val="Pagrindiniotekstotrauka"/>
        <w:rPr>
          <w:rFonts w:ascii="Times New Roman" w:hAnsi="Times New Roman" w:cs="Times New Roman"/>
          <w:color w:val="000000"/>
          <w:lang w:val="lt-LT"/>
        </w:rPr>
      </w:pPr>
      <w:r w:rsidRPr="00227B8F">
        <w:rPr>
          <w:rFonts w:ascii="Times New Roman" w:hAnsi="Times New Roman" w:cs="Times New Roman"/>
          <w:color w:val="000000"/>
          <w:lang w:val="lt-LT"/>
        </w:rPr>
        <w:t>8. Jeigu yra atliekami ilgalaikio turto,</w:t>
      </w:r>
      <w:r w:rsidRPr="00227B8F">
        <w:rPr>
          <w:rFonts w:ascii="Times New Roman" w:hAnsi="Times New Roman" w:cs="Times New Roman"/>
          <w:lang w:val="lt-LT"/>
        </w:rPr>
        <w:t xml:space="preserve"> kurio visa įsigijimo kaina atskaityta iš pajamų pagal šio straipsnio nuostatas, </w:t>
      </w:r>
      <w:r w:rsidRPr="00227B8F">
        <w:rPr>
          <w:rFonts w:ascii="Times New Roman" w:hAnsi="Times New Roman" w:cs="Times New Roman"/>
          <w:color w:val="000000"/>
          <w:lang w:val="lt-LT"/>
        </w:rPr>
        <w:t>remonto darbai, kurie pailgina turto naudingo tarnavimo laiką arba pagerina jo naudingąsias savybes,</w:t>
      </w:r>
      <w:r w:rsidRPr="00227B8F">
        <w:rPr>
          <w:rFonts w:ascii="Times New Roman" w:hAnsi="Times New Roman" w:cs="Times New Roman"/>
          <w:lang w:val="lt-LT"/>
        </w:rPr>
        <w:t xml:space="preserve"> </w:t>
      </w:r>
      <w:r w:rsidRPr="00227B8F">
        <w:rPr>
          <w:rFonts w:ascii="Times New Roman" w:hAnsi="Times New Roman" w:cs="Times New Roman"/>
          <w:color w:val="000000"/>
          <w:lang w:val="lt-LT"/>
        </w:rPr>
        <w:t xml:space="preserve">tai, </w:t>
      </w:r>
      <w:r w:rsidRPr="00227B8F">
        <w:rPr>
          <w:rFonts w:ascii="Times New Roman" w:hAnsi="Times New Roman" w:cs="Times New Roman"/>
          <w:lang w:val="lt-LT"/>
        </w:rPr>
        <w:t>apskaičiuojant pelno mokestį,</w:t>
      </w:r>
      <w:r w:rsidRPr="00227B8F">
        <w:rPr>
          <w:rFonts w:ascii="Times New Roman" w:hAnsi="Times New Roman" w:cs="Times New Roman"/>
          <w:color w:val="000000"/>
          <w:lang w:val="lt-LT"/>
        </w:rPr>
        <w:t xml:space="preserve"> patirtos remonto išlaidos </w:t>
      </w:r>
      <w:r w:rsidRPr="00227B8F">
        <w:rPr>
          <w:rFonts w:ascii="Times New Roman" w:hAnsi="Times New Roman" w:cs="Times New Roman"/>
          <w:lang w:val="lt-LT"/>
        </w:rPr>
        <w:t xml:space="preserve">yra priskiriamos leidžiamiems atskaitymams tuo </w:t>
      </w:r>
      <w:r w:rsidRPr="00227B8F">
        <w:rPr>
          <w:rFonts w:ascii="Times New Roman" w:hAnsi="Times New Roman" w:cs="Times New Roman"/>
          <w:color w:val="000000"/>
          <w:lang w:val="lt-LT"/>
        </w:rPr>
        <w:t xml:space="preserve">mokestiniu laikotarpiu, kurį jos faktiškai patiriamos. </w:t>
      </w:r>
    </w:p>
    <w:p w14:paraId="0D733D36" w14:textId="77777777" w:rsidR="00164CBF" w:rsidRPr="00227B8F" w:rsidRDefault="00164CBF" w:rsidP="00164CBF">
      <w:pPr>
        <w:pStyle w:val="Pagrindiniotekstotrauka"/>
        <w:rPr>
          <w:color w:val="000000"/>
          <w:lang w:val="lt-LT"/>
        </w:rPr>
      </w:pPr>
    </w:p>
    <w:p w14:paraId="18FFF751" w14:textId="77777777" w:rsidR="00164CBF" w:rsidRPr="00227B8F" w:rsidRDefault="00164CBF" w:rsidP="00164CBF">
      <w:pPr>
        <w:ind w:right="-82" w:firstLine="720"/>
        <w:jc w:val="both"/>
        <w:rPr>
          <w:bCs/>
          <w:lang w:val="lt-LT"/>
        </w:rPr>
      </w:pPr>
      <w:r w:rsidRPr="00227B8F">
        <w:rPr>
          <w:lang w:val="lt-LT"/>
        </w:rPr>
        <w:t xml:space="preserve">9. </w:t>
      </w:r>
      <w:r w:rsidRPr="00227B8F">
        <w:rPr>
          <w:bCs/>
          <w:lang w:val="lt-LT"/>
        </w:rPr>
        <w:t xml:space="preserve">Jei vienetas ilgalaikio turto įsigijimo kainą atskaito iš pajamų šioje dalyje nustatyta tvarka, tai toks turtas, pagal šios dalies nuostatas, vieneto veikloje privalo būti naudojamas ne trumpiau negu trejus metus, t. y. tris ir daugiau metų. </w:t>
      </w:r>
      <w:r w:rsidRPr="00227B8F">
        <w:rPr>
          <w:lang w:val="lt-LT"/>
        </w:rPr>
        <w:t>Nu</w:t>
      </w:r>
      <w:r w:rsidRPr="00227B8F">
        <w:rPr>
          <w:bCs/>
          <w:lang w:val="lt-LT"/>
        </w:rPr>
        <w:t xml:space="preserve">statytas trijų metų laikotarpis prasideda nuo tos dienos, kai turtas pradedamas eksploatuoti ir pasibaigia po trejų metų - atitinkamą mėnesį ir dieną. </w:t>
      </w:r>
    </w:p>
    <w:p w14:paraId="2EBFA8D5" w14:textId="77777777" w:rsidR="00164CBF" w:rsidRPr="00227B8F" w:rsidRDefault="00164CBF" w:rsidP="00164CBF">
      <w:pPr>
        <w:ind w:firstLine="720"/>
        <w:jc w:val="both"/>
        <w:rPr>
          <w:lang w:val="lt-LT"/>
        </w:rPr>
      </w:pPr>
      <w:r w:rsidRPr="00227B8F">
        <w:rPr>
          <w:lang w:val="lt-LT"/>
        </w:rPr>
        <w:t xml:space="preserve">9.1. Jeigu ilgalaikis turtas vieneto veikloje naudojamas tam tikrą laiką, pavyzdžiui, vienerius ar dvejus metus, o trečiaisiais metais dėl tam tikrų priežasčių (ekonominių sąlygų pasikeitimo, finansavimo nutraukimo ar pan.) ilgalaikis turtas veikloje nebenaudojamas, tai vienetas privalo </w:t>
      </w:r>
      <w:r w:rsidRPr="00227B8F">
        <w:rPr>
          <w:bCs/>
          <w:lang w:val="lt-LT"/>
        </w:rPr>
        <w:t>perskaičiuoti atitinkamų praėjusių mokestinių laikotarpių apmokestinamuosius pelnus</w:t>
      </w:r>
      <w:r w:rsidRPr="00227B8F">
        <w:rPr>
          <w:lang w:val="lt-LT"/>
        </w:rPr>
        <w:t xml:space="preserve">, kurie buvo sumažinti dėl tokio turto įsigijimo kainos iš pajamų atskaitymo šioje dalyje nustatyta tvarka. Atitinkamai, šio turto įsigijimo kaina pagal PMĮ 18 straipsnyje nustatytą tvarką ribojamų dydžių leidžiamiems atskaitymams priskiriama dalimis per šio turto nusidėvėjimo laikotarpį. Taip pat, </w:t>
      </w:r>
      <w:bookmarkStart w:id="346" w:name="_Hlk209711941"/>
      <w:r w:rsidRPr="00227B8F">
        <w:rPr>
          <w:lang w:val="lt-LT"/>
        </w:rPr>
        <w:t>vienetas privalo mokesčių administratoriui pateikti patikslintas tų mokestinių laikotarpių metines pelno mokesčio deklaracijas.</w:t>
      </w:r>
    </w:p>
    <w:bookmarkEnd w:id="346"/>
    <w:p w14:paraId="09BCB505" w14:textId="77777777" w:rsidR="00164CBF" w:rsidRPr="00227B8F" w:rsidRDefault="00164CBF" w:rsidP="00164CBF">
      <w:pPr>
        <w:ind w:firstLine="720"/>
        <w:jc w:val="both"/>
        <w:rPr>
          <w:highlight w:val="yellow"/>
          <w:lang w:val="lt-LT"/>
        </w:rPr>
      </w:pPr>
    </w:p>
    <w:p w14:paraId="277938CA" w14:textId="77777777" w:rsidR="00164CBF" w:rsidRPr="00227B8F" w:rsidRDefault="00164CBF" w:rsidP="00164CBF">
      <w:pPr>
        <w:ind w:firstLine="720"/>
        <w:jc w:val="both"/>
        <w:rPr>
          <w:bCs/>
          <w:lang w:val="lt-LT"/>
        </w:rPr>
      </w:pPr>
      <w:r w:rsidRPr="00227B8F">
        <w:rPr>
          <w:bCs/>
          <w:lang w:val="lt-LT"/>
        </w:rPr>
        <w:t>1 Pavyzdys</w:t>
      </w:r>
    </w:p>
    <w:p w14:paraId="70846B28" w14:textId="77777777" w:rsidR="00164CBF" w:rsidRPr="00227B8F" w:rsidRDefault="00164CBF" w:rsidP="00164CBF">
      <w:pPr>
        <w:ind w:firstLine="720"/>
        <w:jc w:val="both"/>
        <w:rPr>
          <w:lang w:val="lt-LT"/>
        </w:rPr>
      </w:pPr>
    </w:p>
    <w:p w14:paraId="230FCC34"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3019A54F"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iCs/>
          <w:color w:val="000000"/>
          <w:lang w:val="lt-LT"/>
        </w:rPr>
        <w:tab/>
        <w:t xml:space="preserve">1. Vienetas, teikiantis krovinių pervežimo paslaugas, 2026 metais nusprendė plėsti savo vykdomą veiklą ir tuo tikslu 2026 m. sausio 15 d. papildomai įsigijo krovininį automobilį už  45 000 Eur, kurį  </w:t>
      </w:r>
      <w:bookmarkStart w:id="347" w:name="_Hlk210815746"/>
      <w:r w:rsidRPr="00227B8F">
        <w:rPr>
          <w:iCs/>
          <w:color w:val="000000"/>
          <w:lang w:val="lt-LT"/>
        </w:rPr>
        <w:t xml:space="preserve">2026 m. </w:t>
      </w:r>
      <w:bookmarkEnd w:id="347"/>
      <w:r w:rsidRPr="00227B8F">
        <w:rPr>
          <w:iCs/>
          <w:color w:val="000000"/>
          <w:lang w:val="lt-LT"/>
        </w:rPr>
        <w:t xml:space="preserve">sausio 20 d. </w:t>
      </w:r>
      <w:r w:rsidRPr="00227B8F">
        <w:rPr>
          <w:bCs/>
          <w:lang w:val="lt-LT"/>
        </w:rPr>
        <w:t xml:space="preserve">perdavimo naudoti aktu pradėtas </w:t>
      </w:r>
      <w:r w:rsidRPr="00227B8F">
        <w:rPr>
          <w:iCs/>
          <w:color w:val="000000"/>
          <w:lang w:val="lt-LT"/>
        </w:rPr>
        <w:t>eksploatuoti.</w:t>
      </w:r>
    </w:p>
    <w:p w14:paraId="62E786F0"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lang w:val="lt-LT"/>
        </w:rPr>
        <w:tab/>
        <w:t xml:space="preserve">Įsigytą krovininį automobilį vienetas priskiria ilgalaikio turto grupei </w:t>
      </w:r>
      <w:r w:rsidRPr="00227B8F">
        <w:rPr>
          <w:iCs/>
          <w:color w:val="000000"/>
          <w:lang w:val="lt-LT"/>
        </w:rPr>
        <w:t>„</w:t>
      </w:r>
      <w:r w:rsidRPr="00227B8F">
        <w:rPr>
          <w:lang w:val="lt-LT"/>
        </w:rPr>
        <w:t>krovininiai automobiliai, priekabos ir puspriekabės, autobusai – ne senesni kaip 5 metų</w:t>
      </w:r>
      <w:r w:rsidRPr="00227B8F">
        <w:rPr>
          <w:iCs/>
          <w:color w:val="000000"/>
          <w:lang w:val="lt-LT"/>
        </w:rPr>
        <w:t xml:space="preserve">“ ir, apskaičiuodamas 2026 metų apmokestinamąjį pelną, pajamas sumažina visa  įsigyto ir veikloje pradėto naudoti krovininio automobilio įsigijimo kaina  45 000 Eur. </w:t>
      </w:r>
    </w:p>
    <w:p w14:paraId="67308AB7"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 xml:space="preserve"> </w:t>
      </w:r>
      <w:r w:rsidRPr="00227B8F">
        <w:rPr>
          <w:rFonts w:ascii="Arial Unicode MS" w:hAnsi="Arial Unicode MS" w:cs="Arial Unicode MS"/>
          <w:iCs/>
          <w:color w:val="000000"/>
          <w:sz w:val="20"/>
          <w:szCs w:val="20"/>
          <w:lang w:val="lt-LT"/>
        </w:rPr>
        <w:tab/>
      </w:r>
      <w:r w:rsidRPr="00227B8F">
        <w:rPr>
          <w:lang w:val="lt-LT"/>
        </w:rPr>
        <w:t>Tarkime, kad turtas 2028 m. liepos 15 d., t. y. trečiaisiais turto naudojimo veikloje metais, autoįvykio metu yra nepataisomai sugadintas ir veikloje toliau jau nebus naudojamas.</w:t>
      </w:r>
    </w:p>
    <w:p w14:paraId="4C466D0A"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 xml:space="preserve"> Kadangi  automobilis vieneto veikloje yra naudojamas trumpiau negu trejus metus, tai pagal šios dalies nuostatas, vienetas turi perskaičiuoti 2026 ir 2027 mokestinių metų apmokestinamuosius pelnus, t. y. atitinkamai, 2026 mokestinių metų sąnaudas sumažinti visa automobilio įsigijimo kaina (45 000 Eur) bei šią įsigijimo kainą pagal PMĮ 18 straipsnyje nustatytą tvarką ribojamų dydžių leidžiamiems atskaitymams priskirti dalimis per šio turto nusidėvėjimo laikotarpį iki autoįvykio datos - 2028 m. liepos 15 d. </w:t>
      </w:r>
    </w:p>
    <w:p w14:paraId="44D1FB50" w14:textId="53139375"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Todėl, v</w:t>
      </w:r>
      <w:r w:rsidRPr="00227B8F">
        <w:rPr>
          <w:iCs/>
          <w:color w:val="000000"/>
          <w:shd w:val="clear" w:color="auto" w:fill="FFFFFF"/>
          <w:lang w:val="lt-LT"/>
        </w:rPr>
        <w:t xml:space="preserve">adovaujantis </w:t>
      </w:r>
      <w:hyperlink r:id="rId81" w:history="1">
        <w:r w:rsidRPr="009C4007">
          <w:rPr>
            <w:rStyle w:val="Hipersaitas"/>
            <w:iCs/>
            <w:lang w:val="lt-LT"/>
          </w:rPr>
          <w:t>PMĮ</w:t>
        </w:r>
      </w:hyperlink>
      <w:r w:rsidRPr="00227B8F">
        <w:rPr>
          <w:iCs/>
          <w:color w:val="000000"/>
          <w:shd w:val="clear" w:color="auto" w:fill="FFFFFF"/>
          <w:lang w:val="lt-LT"/>
        </w:rPr>
        <w:t xml:space="preserve"> 1 priedėliu, krovininio automobilio nusidėvėjimas skaičiuojamas taikant 4 metų (48 mėn.) nusidėvėjimo normatyvą. V</w:t>
      </w:r>
      <w:r w:rsidRPr="00227B8F">
        <w:rPr>
          <w:lang w:val="lt-LT"/>
        </w:rPr>
        <w:t xml:space="preserve">ienetas, apskaičiuodamas 2026 m. apmokestinamąjį pelną, ribojamų dydžių leidžiamiems atskaitymams gali priskirti šio automobilio nusidėvėjimo sumą, kuri apskaičiuojama taip: 10 313 Eur = (45 000 Eur : 4 (normatyvas metais) : 12 </w:t>
      </w:r>
      <w:r w:rsidRPr="00227B8F">
        <w:rPr>
          <w:lang w:val="lt-LT"/>
        </w:rPr>
        <w:lastRenderedPageBreak/>
        <w:t>mėn. x 11 mėn.), 2027 m. - 11 250  Eur = (45 000 Eur : 4 (normatyvas metais), atitinkamai, 2028 m. – 6 563 Eur = (45 000 Eur : 4 (normatyvas metais) : 12 mėn. x 7 mėn.). Tai pat</w:t>
      </w:r>
      <w:r w:rsidRPr="00227B8F">
        <w:t xml:space="preserve"> </w:t>
      </w:r>
      <w:r w:rsidRPr="00227B8F">
        <w:rPr>
          <w:lang w:val="lt-LT"/>
        </w:rPr>
        <w:t xml:space="preserve">vienetas privalo mokesčių administratoriui pateikti patikslintas 2026 ir 2027 mokestinių metų metines pelno mokesčio deklaracijas. </w:t>
      </w:r>
    </w:p>
    <w:p w14:paraId="46A30E5E"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lt-LT"/>
        </w:rPr>
      </w:pPr>
    </w:p>
    <w:p w14:paraId="786B11F9" w14:textId="77777777" w:rsidR="00164CBF" w:rsidRPr="00227B8F" w:rsidRDefault="00164CBF" w:rsidP="00164CBF">
      <w:pPr>
        <w:ind w:right="-82" w:firstLine="720"/>
        <w:jc w:val="both"/>
        <w:rPr>
          <w:lang w:val="lt-LT"/>
        </w:rPr>
      </w:pPr>
    </w:p>
    <w:p w14:paraId="3E9D77E4" w14:textId="77777777" w:rsidR="00164CBF" w:rsidRPr="00227B8F" w:rsidRDefault="00164CBF" w:rsidP="00164CBF">
      <w:pPr>
        <w:ind w:firstLine="720"/>
        <w:jc w:val="both"/>
        <w:rPr>
          <w:lang w:val="lt-LT"/>
        </w:rPr>
      </w:pPr>
      <w:r w:rsidRPr="00227B8F">
        <w:rPr>
          <w:lang w:val="lt-LT"/>
        </w:rPr>
        <w:t>9.2. Nuostatos dėl apmokestinamojo pelno perskaičiavimo netaikomos šiais atvejais:</w:t>
      </w:r>
    </w:p>
    <w:p w14:paraId="3A0D382D" w14:textId="77777777" w:rsidR="00164CBF" w:rsidRPr="00227B8F" w:rsidRDefault="00164CBF" w:rsidP="00164CBF">
      <w:pPr>
        <w:ind w:right="-82" w:firstLine="720"/>
        <w:jc w:val="both"/>
        <w:rPr>
          <w:bCs/>
          <w:lang w:val="lt-LT"/>
        </w:rPr>
      </w:pPr>
      <w:r w:rsidRPr="00227B8F">
        <w:rPr>
          <w:lang w:val="lt-LT"/>
        </w:rPr>
        <w:t xml:space="preserve">9.2.1. jei vienetas </w:t>
      </w:r>
      <w:r w:rsidRPr="00227B8F">
        <w:rPr>
          <w:bCs/>
          <w:lang w:val="lt-LT"/>
        </w:rPr>
        <w:t>pasibaigia. Pagal Lietuvos Respublikos civilinio kodekso 2.95 straipsnio nuostatas, juridinis asmuo pasibaigia nuo jo išregistravimo iš juridinių asmenų registro, likvidavimo arba reorganizavimo atvejais.;</w:t>
      </w:r>
    </w:p>
    <w:p w14:paraId="2830E1BA" w14:textId="77777777" w:rsidR="00164CBF" w:rsidRPr="00227B8F" w:rsidRDefault="00164CBF" w:rsidP="00164CBF">
      <w:pPr>
        <w:ind w:firstLine="720"/>
        <w:jc w:val="both"/>
        <w:rPr>
          <w:bCs/>
          <w:lang w:val="lt-LT"/>
        </w:rPr>
      </w:pPr>
      <w:r w:rsidRPr="00227B8F">
        <w:rPr>
          <w:bCs/>
          <w:lang w:val="lt-LT"/>
        </w:rPr>
        <w:t>9.2.2. kai turtas nebenaudojamas ar perleidžiamas dėl teisės aktų reikalavimų (pavyzdžiui, vadovaujantis ES Tarybos direktyvomis ir (ar) Lietuvos Respublikos teisės aktais dėl tam tikro sektoriaus, pavyzdžiui, energetikos, pertvarkymo);</w:t>
      </w:r>
    </w:p>
    <w:p w14:paraId="76506C11" w14:textId="77777777" w:rsidR="00164CBF" w:rsidRPr="00227B8F" w:rsidRDefault="00164CBF" w:rsidP="00164CBF">
      <w:pPr>
        <w:ind w:firstLine="720"/>
        <w:jc w:val="both"/>
        <w:rPr>
          <w:bCs/>
          <w:lang w:val="lt-LT"/>
        </w:rPr>
      </w:pPr>
      <w:r w:rsidRPr="00227B8F">
        <w:rPr>
          <w:bCs/>
          <w:lang w:val="lt-LT"/>
        </w:rPr>
        <w:t>9.2.3. kai prarandamas dėl nenugalimos jėgos (force majeure) ar nusikalstamos trečiųjų asmenų veiklos.</w:t>
      </w:r>
    </w:p>
    <w:p w14:paraId="064EBDAB" w14:textId="77777777" w:rsidR="00164CBF" w:rsidRPr="00227B8F" w:rsidRDefault="00164CBF" w:rsidP="00164CBF">
      <w:pPr>
        <w:ind w:right="-82" w:firstLine="720"/>
        <w:jc w:val="both"/>
        <w:rPr>
          <w:bCs/>
          <w:lang w:val="lt-LT"/>
        </w:rPr>
      </w:pPr>
      <w:r w:rsidRPr="00227B8F">
        <w:rPr>
          <w:bCs/>
          <w:lang w:val="lt-LT"/>
        </w:rPr>
        <w:t>9.2.4 kai turtas, vienete buvo naudojamas trumpiau negu trejus metus dėl reorganizavimo ar perleidimo, atitinkančio PMĮ 41 straipsnio 2 dalyje numatytus reikalavimus, tai apmokestinamasis pelnas už praėjusius mokestinius laikotarpius neperskaičiuojamas ir metinės pelno mokesčio deklaracijos netikslinamos, su sąlyga, kad įsigyjantysis vienetas perimtą turtą naudos iki tol, kol sueis treji metai nuo ilgalaikio turto naudojimo jį perleidusiame vienete pradžios. Šios nuostatos taip pat taikomos:</w:t>
      </w:r>
    </w:p>
    <w:p w14:paraId="15CEF568" w14:textId="77777777" w:rsidR="00164CBF" w:rsidRPr="00227B8F" w:rsidRDefault="00164CBF" w:rsidP="00164CBF">
      <w:pPr>
        <w:ind w:right="-82" w:firstLine="720"/>
        <w:jc w:val="both"/>
        <w:rPr>
          <w:bCs/>
          <w:lang w:val="lt-LT"/>
        </w:rPr>
      </w:pPr>
      <w:r w:rsidRPr="00227B8F">
        <w:rPr>
          <w:bCs/>
          <w:lang w:val="lt-LT"/>
        </w:rPr>
        <w:t xml:space="preserve">- kai užsienio (įsigyjantysis) vienetas po reorganizavimo ar perleidimo, atitinkančio PMĮ 41 straipsnio 3 dalyje numatytus reikalavimus, toliau vykdys veiklą per nuolatinę buveinę Lietuvos Respublikos teritorijoje ir naudos perimtą turtą; </w:t>
      </w:r>
    </w:p>
    <w:p w14:paraId="3FA957AB" w14:textId="77777777" w:rsidR="00164CBF" w:rsidRPr="00227B8F" w:rsidRDefault="00164CBF" w:rsidP="00164CBF">
      <w:pPr>
        <w:ind w:right="-82" w:firstLine="720"/>
        <w:jc w:val="both"/>
        <w:rPr>
          <w:bCs/>
          <w:lang w:val="lt-LT"/>
        </w:rPr>
      </w:pPr>
      <w:r w:rsidRPr="00227B8F">
        <w:rPr>
          <w:bCs/>
          <w:lang w:val="lt-LT"/>
        </w:rPr>
        <w:t xml:space="preserve">- jei reorganizavimas vykdomas pagal PMĮ 41 straipsnio 2 dalies 9 punktą, ir Europos bendrovės ar Europos kooperatinės bendrovės per nuolatinę buveinę toliau naudos iš įsigyjamojo ar </w:t>
      </w:r>
      <w:r w:rsidRPr="00227B8F">
        <w:rPr>
          <w:bCs/>
          <w:i/>
          <w:lang w:val="lt-LT"/>
        </w:rPr>
        <w:t>perleidžiančiojo</w:t>
      </w:r>
      <w:r w:rsidRPr="00227B8F">
        <w:rPr>
          <w:bCs/>
          <w:lang w:val="lt-LT"/>
        </w:rPr>
        <w:t xml:space="preserve"> vieneto perimtą turtą.</w:t>
      </w:r>
    </w:p>
    <w:p w14:paraId="5E95207F" w14:textId="77777777" w:rsidR="00164CBF" w:rsidRPr="00227B8F" w:rsidRDefault="00164CBF" w:rsidP="00164CBF">
      <w:pPr>
        <w:ind w:firstLine="720"/>
        <w:jc w:val="both"/>
        <w:rPr>
          <w:bCs/>
          <w:lang w:val="lt-LT"/>
        </w:rPr>
      </w:pPr>
    </w:p>
    <w:p w14:paraId="1A0C9F20" w14:textId="77777777" w:rsidR="00164CBF" w:rsidRPr="00227B8F" w:rsidRDefault="00164CBF" w:rsidP="00164CBF">
      <w:pPr>
        <w:ind w:firstLine="720"/>
        <w:jc w:val="both"/>
        <w:rPr>
          <w:bCs/>
          <w:lang w:val="lt-LT"/>
        </w:rPr>
      </w:pPr>
      <w:r w:rsidRPr="00227B8F">
        <w:rPr>
          <w:bCs/>
          <w:lang w:val="lt-LT"/>
        </w:rPr>
        <w:t>2 pavyzdys</w:t>
      </w:r>
    </w:p>
    <w:p w14:paraId="7141532F" w14:textId="77777777" w:rsidR="00164CBF" w:rsidRPr="00227B8F" w:rsidRDefault="00164CBF" w:rsidP="00164CBF">
      <w:pPr>
        <w:ind w:firstLine="720"/>
        <w:jc w:val="both"/>
        <w:rPr>
          <w:bCs/>
          <w:lang w:val="lt-LT"/>
        </w:rPr>
      </w:pPr>
    </w:p>
    <w:p w14:paraId="722113A1"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79FAF481"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lang w:val="lt-LT"/>
        </w:rPr>
      </w:pPr>
      <w:r w:rsidRPr="00227B8F">
        <w:rPr>
          <w:iCs/>
          <w:color w:val="000000"/>
          <w:lang w:val="lt-LT"/>
        </w:rPr>
        <w:tab/>
        <w:t>2. Lietuvos vienetas</w:t>
      </w:r>
      <w:r w:rsidRPr="00227B8F">
        <w:rPr>
          <w:color w:val="000000"/>
          <w:lang w:val="lt-LT"/>
        </w:rPr>
        <w:t xml:space="preserve"> A 2026 m. sausio 15 d. įsigijo gamybinius įrenginius už 34 000 Eur, kuriuos</w:t>
      </w:r>
      <w:r w:rsidRPr="00227B8F">
        <w:rPr>
          <w:iCs/>
          <w:color w:val="000000"/>
          <w:lang w:val="lt-LT"/>
        </w:rPr>
        <w:t xml:space="preserve">  vasario 1 d. </w:t>
      </w:r>
      <w:r w:rsidRPr="00227B8F">
        <w:rPr>
          <w:bCs/>
          <w:lang w:val="lt-LT"/>
        </w:rPr>
        <w:t xml:space="preserve">perdavimo naudoti aktu pradedamas </w:t>
      </w:r>
      <w:r w:rsidRPr="00227B8F">
        <w:rPr>
          <w:iCs/>
          <w:color w:val="000000"/>
          <w:lang w:val="lt-LT"/>
        </w:rPr>
        <w:t>eksploatuoti.</w:t>
      </w:r>
      <w:r w:rsidRPr="00227B8F">
        <w:rPr>
          <w:lang w:val="lt-LT"/>
        </w:rPr>
        <w:t xml:space="preserve"> Įrenginius vienetas priskiria ilgalaikio turto grupei – „mašinos ir įrengimai“</w:t>
      </w:r>
      <w:r w:rsidRPr="00227B8F">
        <w:rPr>
          <w:iCs/>
          <w:color w:val="000000"/>
          <w:lang w:val="lt-LT"/>
        </w:rPr>
        <w:t xml:space="preserve"> ir, apskaičiuodamas 2026 metų apmokestinamąjį pelną, pajamas sumažina visa  įsigyto ir veikloje pradėtų naudoti įrenginių įsigijimo kaina - 34 000 Eur. </w:t>
      </w:r>
    </w:p>
    <w:p w14:paraId="2B830428"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r w:rsidRPr="00227B8F">
        <w:rPr>
          <w:color w:val="000000"/>
          <w:lang w:val="lt-LT"/>
        </w:rPr>
        <w:t>2027 metais vienetas A reorganizavosi PMĮ 41 str. 2 d. 4 punkte (padalijimas) nustatyta tvarka ir savo veikloje naudojamą turtą perdavė naujai įkurtam Lietuvos vienetui B, kuris šį turtą – gamybinius įrenginius, planuoja naudoti savo veikloje</w:t>
      </w:r>
      <w:r w:rsidRPr="00227B8F">
        <w:rPr>
          <w:lang w:val="lt-LT"/>
        </w:rPr>
        <w:t xml:space="preserve"> iki tol, kol sueis 3 metai nuo naudojimo vienete A pradžios,</w:t>
      </w:r>
      <w:r w:rsidRPr="00227B8F">
        <w:rPr>
          <w:bCs/>
          <w:lang w:val="lt-LT"/>
        </w:rPr>
        <w:t xml:space="preserve"> t. y. naudos iki 2029 m. vasario 1 d. </w:t>
      </w:r>
      <w:r w:rsidRPr="00227B8F">
        <w:rPr>
          <w:color w:val="000000"/>
          <w:lang w:val="lt-LT"/>
        </w:rPr>
        <w:t xml:space="preserve"> </w:t>
      </w:r>
    </w:p>
    <w:p w14:paraId="5C433FC8" w14:textId="77777777" w:rsidR="00164CBF" w:rsidRDefault="00164CBF" w:rsidP="00164CBF">
      <w:pPr>
        <w:pBdr>
          <w:top w:val="single" w:sz="4" w:space="1" w:color="auto"/>
          <w:left w:val="single" w:sz="4" w:space="4" w:color="auto"/>
          <w:bottom w:val="single" w:sz="4" w:space="1" w:color="auto"/>
          <w:right w:val="single" w:sz="4" w:space="4" w:color="auto"/>
        </w:pBdr>
        <w:ind w:firstLine="720"/>
        <w:jc w:val="both"/>
        <w:rPr>
          <w:bCs/>
          <w:lang w:val="lt-LT"/>
        </w:rPr>
      </w:pPr>
      <w:r w:rsidRPr="00227B8F">
        <w:rPr>
          <w:bCs/>
          <w:lang w:val="lt-LT"/>
        </w:rPr>
        <w:t xml:space="preserve">Nors įrenginiai, kurių visa įsigijimo kaina </w:t>
      </w:r>
      <w:r w:rsidRPr="00227B8F">
        <w:rPr>
          <w:lang w:val="lt-LT"/>
        </w:rPr>
        <w:t>šios dalies nustatyta tvarka</w:t>
      </w:r>
      <w:r w:rsidRPr="00227B8F">
        <w:rPr>
          <w:bCs/>
          <w:lang w:val="lt-LT"/>
        </w:rPr>
        <w:t xml:space="preserve"> buvo sumažintos vieneto A 2026 metų pajamos, vienete naudojamas trumpiau negu trejus metus dėl reorganizavimo, </w:t>
      </w:r>
      <w:r w:rsidRPr="00227B8F">
        <w:rPr>
          <w:bCs/>
          <w:lang w:val="lt-LT"/>
        </w:rPr>
        <w:lastRenderedPageBreak/>
        <w:t>atitinkančio PMĮ 41 straipsnio 2 dalyje numatytus reikalavimus, tačiau a</w:t>
      </w:r>
      <w:r w:rsidRPr="00227B8F">
        <w:rPr>
          <w:color w:val="000000"/>
          <w:lang w:val="lt-LT"/>
        </w:rPr>
        <w:t xml:space="preserve">tsižvelgiant  į tai, kad vienetas B </w:t>
      </w:r>
      <w:r w:rsidRPr="00227B8F">
        <w:rPr>
          <w:lang w:val="lt-LT"/>
        </w:rPr>
        <w:t xml:space="preserve">šį turtą naudoja savo veikloje iki tol, kol sueis 3 metai nuo naudojimo vienete A pradžios, todėl vienetas A ir vienetas B </w:t>
      </w:r>
      <w:r w:rsidRPr="00227B8F">
        <w:rPr>
          <w:bCs/>
          <w:lang w:val="lt-LT"/>
        </w:rPr>
        <w:t>apmokestinamųjų pelnų už praėjusius mokestinius laikotarpius neperskaičiuoja ir metinių pelno mokesčio deklaracijų netikslina.</w:t>
      </w:r>
    </w:p>
    <w:p w14:paraId="1AF2BFEA"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p>
    <w:p w14:paraId="6DB928D4" w14:textId="77777777" w:rsidR="00164CBF" w:rsidRPr="00227B8F" w:rsidRDefault="00164CBF" w:rsidP="00164CBF">
      <w:pPr>
        <w:ind w:right="-82" w:firstLine="720"/>
        <w:jc w:val="both"/>
        <w:rPr>
          <w:bCs/>
          <w:lang w:val="lt-LT"/>
        </w:rPr>
      </w:pPr>
    </w:p>
    <w:p w14:paraId="73604F63" w14:textId="77777777" w:rsidR="00164CBF" w:rsidRPr="00227B8F" w:rsidRDefault="00164CBF" w:rsidP="00164CBF">
      <w:pPr>
        <w:ind w:firstLine="720"/>
        <w:jc w:val="both"/>
        <w:rPr>
          <w:bCs/>
          <w:lang w:val="lt-LT"/>
        </w:rPr>
      </w:pPr>
      <w:r w:rsidRPr="00227B8F">
        <w:rPr>
          <w:bCs/>
          <w:lang w:val="lt-LT"/>
        </w:rPr>
        <w:t>9.2.5. tais atvejais, kai teisės aktuose nėra tiesioginio reikalavimo perleisti turtą, tačiau juose nurodyti reikalavimai, pavyzdžiui, dėl atitinkamų verslo sričių (veiklų) atskyrimo ir kontrolės perdavimo gali būti įgyvendinti tik perleidžiant turtą.</w:t>
      </w:r>
    </w:p>
    <w:p w14:paraId="50D28B44" w14:textId="77777777" w:rsidR="00164CBF" w:rsidRPr="00227B8F" w:rsidRDefault="00164CBF" w:rsidP="00164CBF">
      <w:pPr>
        <w:ind w:right="-82" w:firstLine="720"/>
        <w:jc w:val="both"/>
        <w:rPr>
          <w:lang w:val="lt-LT"/>
        </w:rPr>
      </w:pPr>
      <w:r w:rsidRPr="00227B8F">
        <w:rPr>
          <w:bCs/>
          <w:lang w:val="lt-LT"/>
        </w:rPr>
        <w:t>9.3. Įsigyjantysis vienetas, perėmęs turtą reorganizavimo ar perleidimo atvejais, ar dėl teisės aktų reikalavimų, toliau privalo naudoti šį turtą veikloje pajamų uždirbimui ar ekonominei naudai gauti,  kaip tai būtų daręs ilgalaikį</w:t>
      </w:r>
      <w:r w:rsidRPr="00227B8F">
        <w:rPr>
          <w:lang w:val="lt-LT"/>
        </w:rPr>
        <w:t xml:space="preserve"> turtą perleidęs vienetas. </w:t>
      </w:r>
    </w:p>
    <w:p w14:paraId="383584BF"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227B8F">
        <w:rPr>
          <w:lang w:val="lt-LT"/>
        </w:rPr>
        <w:t xml:space="preserve">Jei reorganizavimo ar perleidimo atvejais įsigyjantysis vienetas perima turtą (dėl kurio perleidžiantis turtą asmuo įsigijimo kaina susimažino pajamas šioje dalyje nustatyta tvarka) ir šio turto nenaudoja iki kol sueis treji metai nuo ilgalaikio turto naudojimo jį perleidusiame vienete pradžios, tai turtą perleidęs vienetas privalo </w:t>
      </w:r>
      <w:r w:rsidRPr="00227B8F">
        <w:rPr>
          <w:bCs/>
          <w:lang w:val="lt-LT"/>
        </w:rPr>
        <w:t>perskaičiuoti ir apmokestinti atitinkamo praėjusio mokestinio laikotarpio apmokestinamąjį pelną</w:t>
      </w:r>
      <w:r w:rsidRPr="00227B8F">
        <w:rPr>
          <w:lang w:val="lt-LT"/>
        </w:rPr>
        <w:t>, kuris buvo sumažintas dėl tokio turto įsigijimo kainos iš pajamų atskaitymo šios dalies nustatyta tvarka, bei, atitinkamai, turtą perleidęs ir turtą perėmęs vienetas šio turto įsigijimo kainą pagal PMĮ 18 straipsnyje nustatytą tvarką ribojamų dydžių leidžiamiems atskaitymams priskiria dalimis per šio turto nusidėvėjimo laikotarpį, ir mokesčių administratoriui pateikia patikslintas tų mokestinių laikotarpių metines pelno mokesčio deklaracijas.</w:t>
      </w:r>
    </w:p>
    <w:p w14:paraId="78327371"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4283B102" w14:textId="77777777" w:rsidR="00164CBF" w:rsidRPr="00227B8F" w:rsidRDefault="00164CBF" w:rsidP="00164CBF">
      <w:pPr>
        <w:ind w:firstLine="720"/>
        <w:jc w:val="both"/>
        <w:rPr>
          <w:bCs/>
          <w:lang w:val="lt-LT"/>
        </w:rPr>
      </w:pPr>
      <w:r w:rsidRPr="00227B8F">
        <w:rPr>
          <w:bCs/>
          <w:lang w:val="lt-LT"/>
        </w:rPr>
        <w:t>3 pavyzdys</w:t>
      </w:r>
    </w:p>
    <w:p w14:paraId="512A766A"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650D8E6E"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227B8F">
        <w:rPr>
          <w:i/>
          <w:iCs/>
          <w:color w:val="000000"/>
          <w:u w:val="single"/>
          <w:lang w:val="lt-LT"/>
        </w:rPr>
        <w:t>Pastaba</w:t>
      </w:r>
      <w:r w:rsidRPr="00227B8F">
        <w:rPr>
          <w:i/>
          <w:iCs/>
          <w:color w:val="000000"/>
          <w:lang w:val="lt-LT"/>
        </w:rPr>
        <w:t>. Pavyzdyje mokestinis laikotarpis sutampa su kalendoriniais metais.</w:t>
      </w:r>
    </w:p>
    <w:p w14:paraId="541E0E91"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color w:val="000000"/>
          <w:lang w:val="lt-LT"/>
        </w:rPr>
      </w:pPr>
      <w:r w:rsidRPr="00227B8F">
        <w:rPr>
          <w:color w:val="000000"/>
          <w:lang w:val="lt-LT"/>
        </w:rPr>
        <w:t>3. Lietuvos vienetas A 2026 m. sausio 15 d. įsigijo konvejerinę liniją duonos gaminiams pakuoti už 80 000 Eur, kurią</w:t>
      </w:r>
      <w:r w:rsidRPr="00227B8F">
        <w:rPr>
          <w:iCs/>
          <w:color w:val="000000"/>
          <w:lang w:val="lt-LT"/>
        </w:rPr>
        <w:t xml:space="preserve"> sausio 20 d. </w:t>
      </w:r>
      <w:r w:rsidRPr="00227B8F">
        <w:rPr>
          <w:bCs/>
          <w:lang w:val="lt-LT"/>
        </w:rPr>
        <w:t xml:space="preserve">perdavimo naudoti aktu pradedamas </w:t>
      </w:r>
      <w:r w:rsidRPr="00227B8F">
        <w:rPr>
          <w:iCs/>
          <w:color w:val="000000"/>
          <w:lang w:val="lt-LT"/>
        </w:rPr>
        <w:t>eksploatuoti.</w:t>
      </w:r>
      <w:r w:rsidRPr="00227B8F">
        <w:rPr>
          <w:lang w:val="lt-LT"/>
        </w:rPr>
        <w:t xml:space="preserve"> Įrenginius vienetas priskiria ilgalaikio turto grupei – „mašinos ir įrengimai“</w:t>
      </w:r>
      <w:r w:rsidRPr="00227B8F">
        <w:rPr>
          <w:iCs/>
          <w:color w:val="000000"/>
          <w:lang w:val="lt-LT"/>
        </w:rPr>
        <w:t xml:space="preserve"> ir, apskaičiuodamas 2026 metų apmokestinamąjį pelną, pajamas sumažina visa  įsigyto ir veikloje pradėto naudoti turto įsigijimo kaina - 80 000 Eur.</w:t>
      </w:r>
    </w:p>
    <w:p w14:paraId="2021AD24" w14:textId="77777777" w:rsidR="00164CBF" w:rsidRPr="00227B8F" w:rsidRDefault="00164CBF" w:rsidP="00164CBF">
      <w:pPr>
        <w:pBdr>
          <w:top w:val="single" w:sz="4" w:space="1" w:color="auto"/>
          <w:left w:val="single" w:sz="4" w:space="4" w:color="auto"/>
          <w:bottom w:val="single" w:sz="4" w:space="1" w:color="auto"/>
          <w:right w:val="single" w:sz="4" w:space="4" w:color="auto"/>
        </w:pBdr>
        <w:ind w:firstLine="720"/>
        <w:jc w:val="both"/>
        <w:rPr>
          <w:lang w:val="lt-LT"/>
        </w:rPr>
      </w:pPr>
      <w:r w:rsidRPr="00227B8F">
        <w:rPr>
          <w:color w:val="000000"/>
          <w:lang w:val="lt-LT"/>
        </w:rPr>
        <w:t xml:space="preserve">2027 m. birželio 1 d. vienetas A </w:t>
      </w:r>
      <w:r w:rsidRPr="00227B8F">
        <w:rPr>
          <w:iCs/>
          <w:color w:val="000000"/>
          <w:lang w:val="lt-LT"/>
        </w:rPr>
        <w:t xml:space="preserve">PMĮ 41 straipsnio 2 dalies 8 punkte nurodytu atveju ir iš vieneto A, toliau tęsiančio veiklą, atskiria jos dalį, kuriai </w:t>
      </w:r>
      <w:r w:rsidRPr="00227B8F">
        <w:rPr>
          <w:lang w:val="lt-LT"/>
        </w:rPr>
        <w:t>proporcingai priskirtų turto, nuosavo kapitalo ir įsipareigojimų pagrindu buvo sukurtas naujas vienetas B. Konvejerinė linija buvo perleista įsigyjančiajam vienetui B.</w:t>
      </w:r>
    </w:p>
    <w:p w14:paraId="46FBF719"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ab/>
        <w:t>Tarkime, kad turtas 2028 m. gruodžio 1 d. parduotas, todėl veikloje nebus naudojamas.</w:t>
      </w:r>
    </w:p>
    <w:p w14:paraId="4B435CB0" w14:textId="77777777" w:rsidR="00164CB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227B8F">
        <w:rPr>
          <w:lang w:val="lt-LT"/>
        </w:rPr>
        <w:t xml:space="preserve">Jei šiuo perleidimo atveju įsigyjantysis vienetas B perima turtą (dėl kurio perleidžiantis turtą vienetas A įsigijimo kaina susimažino pajamas šioje dalyje nustatyta tvarka) ir šio turto nenaudoja iki kol sueis treji metai nuo ilgalaikio turto naudojimo jį perleidusiame vienete A pradžios, tai pagal šios dalies nuostatas, vienetas A ir vienetas B turi perskaičiuoti 2026 ir 2027 mokestinių metų apmokestinamuosius pelnus, t. y. atitinkamai, 2026 mokestinių metų sąnaudas vienetas A turi sumažinti visa automobilio įsigijimo kaina (80 000 Eur) bei šią įsigijimo kainą pagal PMĮ 18 straipsnyje nustatytą tvarką ribojamų dydžių leidžiamiems atskaitymams priskirti dalimis per šio turto </w:t>
      </w:r>
      <w:r w:rsidRPr="00227B8F">
        <w:rPr>
          <w:lang w:val="lt-LT"/>
        </w:rPr>
        <w:lastRenderedPageBreak/>
        <w:t>nusidėvėjimo laikotarpį iki turto perleidimo datos - 2027 m. birželio 1 d., o vienetas B  - toliau tęsti nusidėvėjimo skaičiavimą, priskiriant įsigijimo kainą dalimis per likusį šio turto nusidėvėjimo laikotarpį. Atitinkamai, vienetas A ir vienetas B privalo pateikti mokesčių administratoriui už 2026 - 2027 mokestinius laikotarpius patikslintas metines pelno mokesčio deklaracijas.</w:t>
      </w:r>
    </w:p>
    <w:p w14:paraId="7247A746" w14:textId="77777777" w:rsidR="00164CBF" w:rsidRPr="00227B8F" w:rsidRDefault="00164CBF" w:rsidP="00164CBF">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lt-LT"/>
        </w:rPr>
      </w:pPr>
      <w:r w:rsidRPr="00227B8F">
        <w:rPr>
          <w:lang w:val="lt-LT"/>
        </w:rPr>
        <w:t xml:space="preserve">    </w:t>
      </w:r>
    </w:p>
    <w:p w14:paraId="41E91261" w14:textId="77777777" w:rsidR="00164CBF" w:rsidRPr="00227B8F" w:rsidRDefault="00164CBF" w:rsidP="00164CB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p>
    <w:p w14:paraId="2572E716" w14:textId="77777777" w:rsidR="00164CBF" w:rsidRPr="00227B8F" w:rsidRDefault="00164CBF" w:rsidP="00164CBF">
      <w:pPr>
        <w:ind w:firstLine="720"/>
        <w:jc w:val="both"/>
        <w:rPr>
          <w:bCs/>
          <w:lang w:val="lt-LT"/>
        </w:rPr>
      </w:pPr>
      <w:r w:rsidRPr="00227B8F">
        <w:rPr>
          <w:color w:val="000000"/>
          <w:lang w:val="lt-LT"/>
        </w:rPr>
        <w:t xml:space="preserve">10. </w:t>
      </w:r>
      <w:r w:rsidRPr="00227B8F">
        <w:rPr>
          <w:lang w:val="lt-LT"/>
        </w:rPr>
        <w:t xml:space="preserve">Šios dalies nuostatos netaikomos ilgalaikiam turtui, kurio įsigijimo išlaidomis mažinamas apmokestinamasis pelnas pagal </w:t>
      </w:r>
      <w:r w:rsidRPr="00227B8F">
        <w:rPr>
          <w:color w:val="000000"/>
          <w:lang w:val="lt-LT"/>
        </w:rPr>
        <w:t>46</w:t>
      </w:r>
      <w:r w:rsidRPr="00227B8F">
        <w:rPr>
          <w:color w:val="000000"/>
          <w:vertAlign w:val="superscript"/>
          <w:lang w:val="lt-LT"/>
        </w:rPr>
        <w:t>1</w:t>
      </w:r>
      <w:r w:rsidRPr="00227B8F">
        <w:rPr>
          <w:color w:val="000000"/>
          <w:lang w:val="lt-LT"/>
        </w:rPr>
        <w:t xml:space="preserve"> straipsnio nuostatas, t. y. kuriam taikoma investicinio projekto lengvata. </w:t>
      </w:r>
    </w:p>
    <w:p w14:paraId="4417F449" w14:textId="77777777" w:rsidR="00164CBF" w:rsidRPr="00227B8F" w:rsidRDefault="00164CBF" w:rsidP="00164CBF">
      <w:pPr>
        <w:ind w:firstLine="720"/>
        <w:jc w:val="both"/>
        <w:rPr>
          <w:color w:val="000000"/>
          <w:lang w:val="lt-LT"/>
        </w:rPr>
      </w:pPr>
      <w:r w:rsidRPr="00227B8F">
        <w:rPr>
          <w:lang w:val="lt-LT"/>
        </w:rPr>
        <w:t>Atsižvelgiant į tai, kad PMĮ 46</w:t>
      </w:r>
      <w:r w:rsidRPr="00227B8F">
        <w:rPr>
          <w:vertAlign w:val="superscript"/>
          <w:lang w:val="lt-LT"/>
        </w:rPr>
        <w:t>1</w:t>
      </w:r>
      <w:r w:rsidRPr="00227B8F">
        <w:rPr>
          <w:lang w:val="lt-LT"/>
        </w:rPr>
        <w:t xml:space="preserve"> straipsnyje įtvirtinta investicinio projekto lengvata yra alternatyvi šioje dalyje nustatytiems atskaitymams, vienetas turi teisę pasirinkti, kurią lengvatą taikyti. Pasirinkus konkretaus turto įsigijimo išlaidų atskaitymui taikyti investicinio projekto lengvatą pagal PMĮ 46-1 straipsnį, šiam turtui jau nebetaikomos šios dalies nuostatos.</w:t>
      </w:r>
    </w:p>
    <w:p w14:paraId="66035E52" w14:textId="77777777" w:rsidR="00164CBF" w:rsidRPr="00227B8F" w:rsidRDefault="00164CBF" w:rsidP="00164CBF">
      <w:pPr>
        <w:ind w:right="-82" w:firstLine="720"/>
        <w:jc w:val="both"/>
        <w:rPr>
          <w:lang w:val="lt-LT"/>
        </w:rPr>
      </w:pPr>
      <w:r w:rsidRPr="00227B8F">
        <w:rPr>
          <w:lang w:val="lt-LT"/>
        </w:rPr>
        <w:t>Jeigu vienetas, pradėjęs taikyti investicinio projekto lengvatą, vėliau nusprendžia atskaityti ilgalaikio turto įsigijimo išlaidas pagal šios dalies nuostatas, toks sprendimas įpareigoja perskaičiuoti atitinkamų praėjusių mokestinių laikotarpių apmokestinamuosius pelnus ir pateikti mokesčių administratoriui patikslintas minėtų mokestinių laikotarpių metines pelno mokesčio deklaracijas.</w:t>
      </w:r>
    </w:p>
    <w:p w14:paraId="6F0AE880" w14:textId="77777777" w:rsidR="008A55B2" w:rsidRPr="00FE7AB0" w:rsidRDefault="008A55B2">
      <w:pPr>
        <w:rPr>
          <w:i/>
        </w:rPr>
      </w:pPr>
    </w:p>
    <w:p w14:paraId="10865F8D" w14:textId="77777777" w:rsidR="00093845" w:rsidRDefault="000D779E">
      <w:pPr>
        <w:pStyle w:val="Antrat1"/>
        <w:jc w:val="both"/>
        <w:rPr>
          <w:rFonts w:ascii="Times New Roman" w:hAnsi="Times New Roman" w:cs="Times New Roman"/>
          <w:bCs w:val="0"/>
          <w:szCs w:val="20"/>
          <w:lang w:val="lt-LT"/>
        </w:rPr>
      </w:pPr>
      <w:bookmarkStart w:id="348" w:name="_19_straipsnis._Nusidėvėjimo"/>
      <w:bookmarkEnd w:id="348"/>
      <w:r>
        <w:rPr>
          <w:rFonts w:ascii="Times New Roman" w:hAnsi="Times New Roman" w:cs="Times New Roman"/>
          <w:bCs w:val="0"/>
          <w:lang w:val="lt-LT"/>
        </w:rPr>
        <w:t xml:space="preserve">19 STRAIPSNIS. Nusidėvėjimo arba amortizacijos skaičiavimo apribojimai </w:t>
      </w:r>
    </w:p>
    <w:p w14:paraId="0E0C712D" w14:textId="77777777" w:rsidR="00093845" w:rsidRDefault="000D779E" w:rsidP="00337B16">
      <w:pPr>
        <w:pStyle w:val="Pagrindiniotekstotrauka2"/>
        <w:tabs>
          <w:tab w:val="left" w:pos="720"/>
          <w:tab w:val="left" w:pos="1077"/>
          <w:tab w:val="left" w:pos="1418"/>
        </w:tabs>
        <w:spacing w:after="0" w:line="240" w:lineRule="auto"/>
      </w:pPr>
      <w:r>
        <w:t>1.</w:t>
      </w:r>
      <w:r>
        <w:tab/>
        <w:t>Žemės, pagal lizingo (finansinės nuomos) sutartį, kurioje numatytas nuosavybės teisės perėjimas, bei pagal pirkimo–pardavimo arba nuomos sutartį, kurioje numatytas nuosavybės teisės perėjimas pirkėjui apmokėjus visą turto vertę, perduoto ilgalaikio turto, taip pat bibliotekų fondų ir į kultūros vertybių registrą įtraukto ilgalaikio turto nusidėvėjimas ar amortizacija neskaičiuojami, išskyrus pastatų, įtrauktų į Lietuvos Respublikos nekilnojamųjų kultūros vertybių registrą, rekonstravimo nusidėvėjimą</w:t>
      </w:r>
    </w:p>
    <w:p w14:paraId="0E5E93BB" w14:textId="77777777" w:rsidR="00093845" w:rsidRDefault="000D779E" w:rsidP="00337B16">
      <w:pPr>
        <w:tabs>
          <w:tab w:val="left" w:pos="720"/>
          <w:tab w:val="left" w:pos="1077"/>
          <w:tab w:val="left" w:pos="1418"/>
        </w:tabs>
        <w:spacing w:after="0" w:line="240" w:lineRule="auto"/>
        <w:rPr>
          <w:i/>
          <w:lang w:val="lt-LT"/>
        </w:rPr>
      </w:pPr>
      <w:r w:rsidRPr="00FE7AB0">
        <w:rPr>
          <w:i/>
          <w:lang w:val="lt-LT"/>
        </w:rPr>
        <w:t>(</w:t>
      </w:r>
      <w:r w:rsidRPr="00FE7AB0">
        <w:rPr>
          <w:i/>
          <w:color w:val="000000"/>
          <w:lang w:val="lt-LT" w:eastAsia="lt-LT"/>
        </w:rPr>
        <w:t>KEISTA: 2003 07 01 įstatymu Nr. IX-1659 (nuo 2003 07 25)</w:t>
      </w:r>
      <w:r w:rsidR="00655350" w:rsidRPr="00FE7AB0">
        <w:rPr>
          <w:i/>
          <w:color w:val="000000"/>
          <w:lang w:val="lt-LT" w:eastAsia="lt-LT"/>
        </w:rPr>
        <w:t>,</w:t>
      </w:r>
      <w:r w:rsidR="00547313" w:rsidRPr="00FE7AB0">
        <w:rPr>
          <w:i/>
          <w:lang w:val="lt-LT"/>
        </w:rPr>
        <w:t xml:space="preserve"> </w:t>
      </w:r>
      <w:r w:rsidR="00547313" w:rsidRPr="00FE7AB0">
        <w:rPr>
          <w:i/>
          <w:color w:val="000000"/>
          <w:lang w:val="lt-LT" w:eastAsia="lt-LT"/>
        </w:rPr>
        <w:t>taikoma apskaičiuojant 2002 metais prasidėjusio ir vėlesnių mokestinių laikotarpių apmokestinamąjį pelną</w:t>
      </w:r>
      <w:r w:rsidRPr="00FE7AB0">
        <w:rPr>
          <w:i/>
          <w:lang w:val="lt-LT"/>
        </w:rPr>
        <w:t>).</w:t>
      </w:r>
    </w:p>
    <w:p w14:paraId="5D56323E" w14:textId="77777777" w:rsidR="008A55B2" w:rsidRPr="00FE7AB0" w:rsidRDefault="008A55B2" w:rsidP="00337B16">
      <w:pPr>
        <w:tabs>
          <w:tab w:val="left" w:pos="720"/>
          <w:tab w:val="left" w:pos="1077"/>
          <w:tab w:val="left" w:pos="1418"/>
        </w:tabs>
        <w:spacing w:after="0" w:line="240" w:lineRule="auto"/>
        <w:rPr>
          <w:i/>
          <w:lang w:val="lt-LT"/>
        </w:rPr>
      </w:pPr>
    </w:p>
    <w:p w14:paraId="4ED24F09" w14:textId="77777777" w:rsidR="00093845" w:rsidRDefault="000D779E">
      <w:pPr>
        <w:ind w:firstLine="709"/>
        <w:jc w:val="both"/>
        <w:rPr>
          <w:b/>
          <w:bCs/>
          <w:lang w:val="lt-LT"/>
        </w:rPr>
      </w:pPr>
      <w:r>
        <w:rPr>
          <w:b/>
          <w:bCs/>
          <w:lang w:val="lt-LT"/>
        </w:rPr>
        <w:t>Komentaras</w:t>
      </w:r>
    </w:p>
    <w:p w14:paraId="752EF64A" w14:textId="77777777" w:rsidR="00093845" w:rsidRDefault="000D779E">
      <w:pPr>
        <w:tabs>
          <w:tab w:val="left" w:pos="720"/>
          <w:tab w:val="left" w:pos="1077"/>
          <w:tab w:val="left" w:pos="1418"/>
        </w:tabs>
        <w:ind w:right="43" w:firstLine="709"/>
        <w:jc w:val="both"/>
        <w:rPr>
          <w:lang w:val="lt-LT"/>
        </w:rPr>
      </w:pPr>
      <w:r>
        <w:rPr>
          <w:lang w:val="lt-LT"/>
        </w:rPr>
        <w:t>1.</w:t>
      </w:r>
      <w:r>
        <w:rPr>
          <w:lang w:val="lt-LT"/>
        </w:rPr>
        <w:tab/>
        <w:t>Žemės nusidėvėjimas neskaičiuojamas.</w:t>
      </w:r>
    </w:p>
    <w:p w14:paraId="25AB75E9" w14:textId="77777777" w:rsidR="00093845" w:rsidRDefault="000D779E">
      <w:pPr>
        <w:tabs>
          <w:tab w:val="left" w:pos="720"/>
          <w:tab w:val="left" w:pos="1077"/>
          <w:tab w:val="left" w:pos="1418"/>
        </w:tabs>
        <w:ind w:right="43" w:firstLine="709"/>
        <w:jc w:val="both"/>
        <w:rPr>
          <w:lang w:val="lt-LT"/>
        </w:rPr>
      </w:pPr>
      <w:r>
        <w:rPr>
          <w:lang w:val="lt-LT"/>
        </w:rPr>
        <w:t>2.</w:t>
      </w:r>
      <w:r>
        <w:rPr>
          <w:lang w:val="lt-LT"/>
        </w:rPr>
        <w:tab/>
        <w:t>Jeigu vienetas pagal lizingo (finansinės nuomos) sutartį, kurioje numatytas nuosavybės teisės perėjimas, perduoda ilgalaikį turtą kitam ūkio subjektui, šio turto nusidėvėjimo tas vienetas neskaičiuoja. Vadinasi, šiuo atveju galioja ankstesnė tvarka: pagal lizingo (finansinės nuomos) sutartį, kurioje numatytas ilgalaikio turto nuosavybės teisės perėjimas, ilgalaikio turto nusidėvėjimą skaičiuoja pagal minėtą sutartį tą turtą naudojantis vienetas (t. y. ilgalaikio turto nuomininkas). Tačiau kai turtą vienetas įsigyja lizingo sutarties, kurioje nenumatytas ilgalaikio turto nuosavybės teisės perėjimas, pagrindu, tokio turto nusidėvėjimo mokesčių tikslais lizingo gavėjas skaičiuoti negali (nors finansinėje apskaitoje lizingo gavėjas tam tikrais atvejais gali skaičiuoti šio turto nusidėvėjimą).</w:t>
      </w:r>
    </w:p>
    <w:p w14:paraId="3DD73D64" w14:textId="77777777" w:rsidR="00093845" w:rsidRDefault="000D779E">
      <w:pPr>
        <w:tabs>
          <w:tab w:val="left" w:pos="720"/>
          <w:tab w:val="left" w:pos="1077"/>
          <w:tab w:val="left" w:pos="1418"/>
        </w:tabs>
        <w:ind w:right="43" w:firstLine="709"/>
        <w:jc w:val="both"/>
        <w:rPr>
          <w:lang w:val="lt-LT"/>
        </w:rPr>
      </w:pPr>
      <w:r>
        <w:rPr>
          <w:lang w:val="lt-LT"/>
        </w:rPr>
        <w:t>3.</w:t>
      </w:r>
      <w:r>
        <w:rPr>
          <w:lang w:val="lt-LT"/>
        </w:rPr>
        <w:tab/>
        <w:t>Jeigu vienetas (pardavėjas) su kitu vienetu (pirkėju) sudaro ilgalaikio turto pirkimo–pardavimo sutartį, kurioje numatytas nuosavybės teisės perėjimas pirkėjui apmokėjus visą turto vertę, tai ilgalaikio turto nusidėvėjimą skaičiuoja pagal minėtą sutartį tą turtą naudojantis vienetas (pirkėjas). Šiuo atveju pardavėjas minėto turto nusidėvėjimo skaičiuoti negali.</w:t>
      </w:r>
    </w:p>
    <w:p w14:paraId="055B05B1" w14:textId="77777777" w:rsidR="00093845" w:rsidRDefault="000D779E">
      <w:pPr>
        <w:tabs>
          <w:tab w:val="left" w:pos="720"/>
          <w:tab w:val="left" w:pos="1077"/>
          <w:tab w:val="left" w:pos="1418"/>
        </w:tabs>
        <w:ind w:right="43" w:firstLine="709"/>
        <w:jc w:val="both"/>
        <w:rPr>
          <w:lang w:val="lt-LT"/>
        </w:rPr>
      </w:pPr>
      <w:r>
        <w:rPr>
          <w:lang w:val="lt-LT"/>
        </w:rPr>
        <w:t>4.</w:t>
      </w:r>
      <w:r>
        <w:rPr>
          <w:lang w:val="lt-LT"/>
        </w:rPr>
        <w:tab/>
        <w:t xml:space="preserve">Kai vienetas (nuomotojas) su kitu vienetu (nuomininku) sudaro ilgalaikio turto nuomos sutartį, kurioje numatytas nuosavybės teisės perėjimas nuomininkui apmokėjus visą turto vertę, tai </w:t>
      </w:r>
      <w:r>
        <w:rPr>
          <w:lang w:val="lt-LT"/>
        </w:rPr>
        <w:lastRenderedPageBreak/>
        <w:t>ilgalaikio turto nusidėvėjimą skaičiuoja pagal minėtą sutartį tą turtą naudojantis vienetas (nuomininkas). Šiuo atveju nuomotojas minėto turto nusidėvėjimo skaičiuoti negali.</w:t>
      </w:r>
    </w:p>
    <w:p w14:paraId="0FF5FB0B"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5.</w:t>
      </w:r>
      <w:r>
        <w:rPr>
          <w:rFonts w:ascii="Times New Roman" w:hAnsi="Times New Roman"/>
        </w:rPr>
        <w:tab/>
        <w:t>Į Bibliotekų fondų ir į Kultūros vertybių registrą įtraukto ilgalaikio turto nusidėvėjimas neskaičiuojamas. Tačiau mokesčių tikslais skaičiuojamas pastatų, įtrauktų į Lietuvos Respublikos nekilnojamųjų kultūros vertybių registrą, rekonstravimo nusidėvėjimas.</w:t>
      </w:r>
    </w:p>
    <w:p w14:paraId="6AACA11F" w14:textId="77777777" w:rsidR="00093845" w:rsidRDefault="000D779E">
      <w:pPr>
        <w:ind w:firstLine="709"/>
        <w:jc w:val="both"/>
        <w:rPr>
          <w:lang w:val="lt-LT"/>
        </w:rPr>
      </w:pPr>
      <w:r>
        <w:rPr>
          <w:lang w:val="lt-LT"/>
        </w:rPr>
        <w:t>Pavyzdys</w:t>
      </w:r>
    </w:p>
    <w:p w14:paraId="7BAE111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889"/>
        <w:rPr>
          <w:rFonts w:ascii="Times New Roman" w:hAnsi="Times New Roman" w:cs="Times New Roman"/>
          <w:lang w:val="lt-LT"/>
        </w:rPr>
      </w:pPr>
      <w:r>
        <w:rPr>
          <w:rFonts w:ascii="Times New Roman" w:hAnsi="Times New Roman" w:cs="Times New Roman"/>
          <w:lang w:val="lt-LT"/>
        </w:rPr>
        <w:t xml:space="preserve">UAB X 2002 m. liepos mėnesį įsigijo į Lietuvos Respublikos nekilnojamųjų kultūros vertybių registrą įtrauktą pastatą ir tą patį mėnesį pradėjo jį naudoti įmonės veikloje. Pastato įsigijimo kaina – 500 000 Lt. Kadangi pastatas įtrauktas į Lietuvos Respublikos nekilnojamųjų kultūros vertybių registrą, jo nusidėvėjimo įmonė neskaičiuoja. </w:t>
      </w:r>
    </w:p>
    <w:p w14:paraId="5FD21EE8" w14:textId="77777777" w:rsidR="00093845" w:rsidRDefault="000D779E">
      <w:pPr>
        <w:pStyle w:val="Pagrindinistekstas2"/>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 w:val="0"/>
          <w:bCs w:val="0"/>
          <w:sz w:val="24"/>
        </w:rPr>
      </w:pPr>
      <w:r>
        <w:rPr>
          <w:b w:val="0"/>
          <w:bCs w:val="0"/>
          <w:sz w:val="24"/>
        </w:rPr>
        <w:t xml:space="preserve">2005 m. sausio – kovo mėnesiais UAB X atliko pastato rekonstravimą, kurio kaina – 300 000 Lt. Baigusi rekonstravimo darbus, įmonė jų kaina didina pastato įsigijimo kainą ir pradeda skaičiuoti pastato rekonstravimo darbų nusidėvėjimą tiesiniu metodu pagal nusistatytą 12 metų normatyvą. UAB X buvo pasirinkusi pusmečio nusidėvėjimo pradžios būdą, o rekonstravimo darbai baigti pirmąjį pusmetį, todėl, skaičiuojant 2005 m. apmokestinamąjį pelną, prie ribojamų dydžių leidžiamų atskaitymų galima priskirti metinę rekonstravimo darbų kainos nusidėvėjimo sumą, kuri apskaičiuojama taip: </w:t>
      </w:r>
    </w:p>
    <w:p w14:paraId="1AF880D3" w14:textId="77777777" w:rsidR="00093845" w:rsidRDefault="000D779E">
      <w:pPr>
        <w:pStyle w:val="Pagrindinistekstas2"/>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jc w:val="both"/>
        <w:rPr>
          <w:b w:val="0"/>
          <w:bCs w:val="0"/>
          <w:sz w:val="24"/>
        </w:rPr>
      </w:pPr>
      <w:r>
        <w:rPr>
          <w:b w:val="0"/>
          <w:bCs w:val="0"/>
          <w:sz w:val="24"/>
        </w:rPr>
        <w:t>300 000 : 12 = 25 000 (Lt).</w:t>
      </w:r>
    </w:p>
    <w:p w14:paraId="4A72F0A0"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(Pakeista VMI prie FM 2003-08-29 raštu Nr. (18.9-08-2)-R-7932.)</w:t>
      </w:r>
    </w:p>
    <w:p w14:paraId="3685F907" w14:textId="77777777" w:rsidR="00093845" w:rsidRDefault="00093845">
      <w:pPr>
        <w:tabs>
          <w:tab w:val="left" w:pos="720"/>
          <w:tab w:val="left" w:pos="1077"/>
          <w:tab w:val="left" w:pos="1418"/>
        </w:tabs>
        <w:ind w:right="-5" w:firstLine="709"/>
        <w:jc w:val="both"/>
        <w:rPr>
          <w:b/>
          <w:lang w:val="lt-LT"/>
        </w:rPr>
      </w:pPr>
    </w:p>
    <w:p w14:paraId="4CAF3F49" w14:textId="77777777" w:rsidR="00093845" w:rsidRDefault="000D779E" w:rsidP="00337B16">
      <w:pPr>
        <w:spacing w:after="0"/>
        <w:jc w:val="both"/>
        <w:rPr>
          <w:b/>
          <w:lang w:val="lt-LT"/>
        </w:rPr>
      </w:pPr>
      <w:r>
        <w:rPr>
          <w:b/>
          <w:lang w:val="lt-LT"/>
        </w:rPr>
        <w:t xml:space="preserve">          2. Neskaičiuojama amortizacija paties vieneto susikurtam nematerialiajam ilgalaikiam turtui, nustatytam šio Įstatymo 1 priedėlio grupėse – įsigytos teisės ir kitas nematerialusis turtas, bei prestižo vertei, jei šiame Įstatyme nenustatyta kitaip.</w:t>
      </w:r>
    </w:p>
    <w:p w14:paraId="7A1BA0C4" w14:textId="77777777" w:rsidR="00093845" w:rsidRDefault="000D779E" w:rsidP="00337B16">
      <w:pPr>
        <w:spacing w:after="0"/>
        <w:jc w:val="both"/>
        <w:rPr>
          <w:i/>
          <w:color w:val="000000"/>
        </w:rPr>
      </w:pPr>
      <w:r w:rsidRPr="00FE7AB0">
        <w:rPr>
          <w:i/>
        </w:rPr>
        <w:t>(</w:t>
      </w:r>
      <w:r w:rsidRPr="00FE7AB0">
        <w:rPr>
          <w:i/>
          <w:color w:val="000000"/>
          <w:lang w:eastAsia="lt-LT"/>
        </w:rPr>
        <w:t>KEISTA: 2007 05 03 įstatymu Nr. X-1110 (nuo 2007 05 19)</w:t>
      </w:r>
      <w:r w:rsidRPr="00FE7AB0">
        <w:rPr>
          <w:i/>
          <w:color w:val="000000"/>
        </w:rPr>
        <w:t>)</w:t>
      </w:r>
    </w:p>
    <w:p w14:paraId="10F389D3" w14:textId="77777777" w:rsidR="008A55B2" w:rsidRPr="00FE7AB0" w:rsidRDefault="008A55B2" w:rsidP="00337B16">
      <w:pPr>
        <w:spacing w:after="0"/>
        <w:jc w:val="both"/>
        <w:rPr>
          <w:i/>
        </w:rPr>
      </w:pPr>
    </w:p>
    <w:p w14:paraId="69FB18A0"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60EC9C12"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Neskaičiuojama PMĮ 1 priedėlio grupėse ,,Įsigytos teisės“, ,,Kitas nematerialusis turtas“ ir ,,Prestižas“ išvardyto pačios įmonės susikurto nematerialiojo ilgalaikio turto amortizacija.</w:t>
      </w:r>
    </w:p>
    <w:p w14:paraId="702C589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Tačiau kitoms PMĮ 1 priedėlio nematerialiojo ilgalaikio turto grupėms (,,Formavimo savikaina“ ir ,,Programinė įranga“) priskiriamo pačios įmonės susikurto turto amortizacija, apskaičiuota pagal PMĮ 18 straipsnyje nustatytą tvarką, priskiriama prie leidžiamų atskaitymų. </w:t>
      </w:r>
    </w:p>
    <w:p w14:paraId="704FBB4C" w14:textId="77777777" w:rsidR="00093845" w:rsidRDefault="000D779E">
      <w:pPr>
        <w:tabs>
          <w:tab w:val="left" w:pos="720"/>
          <w:tab w:val="left" w:pos="1077"/>
          <w:tab w:val="left" w:pos="1418"/>
        </w:tabs>
        <w:ind w:right="-5" w:firstLine="709"/>
        <w:jc w:val="both"/>
        <w:rPr>
          <w:b/>
          <w:szCs w:val="20"/>
          <w:lang w:val="lt-LT"/>
        </w:rPr>
      </w:pPr>
      <w:r>
        <w:rPr>
          <w:b/>
          <w:lang w:val="lt-LT"/>
        </w:rPr>
        <w:t>3.</w:t>
      </w:r>
      <w:r>
        <w:rPr>
          <w:b/>
          <w:lang w:val="lt-LT"/>
        </w:rPr>
        <w:tab/>
        <w:t xml:space="preserve">Nenaudojamo, esančio atsargose ar užkonservuoto ilgalaikio turto, ilgalaikio turto perkainojimo rezultatų nusidėvėjimas arba amortizacija neskaičiuojami. </w:t>
      </w:r>
    </w:p>
    <w:p w14:paraId="3DD14B05"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2137D4C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Nenaudojamu laikomas toks ilgalaikis turtas, kuris įmonėje nepradėtas naudoti. Ilgalaikio turto naudojimo pradžia turi būti įforminta įmonės vadovo (savininko) arba jo įgalioto asmens patvirtintu turto perdavimo naudoti (įvedimo į eksploataciją) aktu. Taip pat turtas gali būti nenaudojamas, nes yra užkonservuotas arba jis nenaudojamas dėl ilgalaikio remonto. Tokiais atvejais ilgalaikio turto nusidėvėjimas neskaičiuojamas. </w:t>
      </w:r>
    </w:p>
    <w:p w14:paraId="75E9FD6D"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Teisės aktų nustatyta tvarka įmonės turi teisę perkainoti ilgalaikį turtą. Turto kainos padidėjimo dėl atlikto jo perkainojimo dalis nenudėvima.</w:t>
      </w:r>
    </w:p>
    <w:p w14:paraId="2CAC2E78" w14:textId="77777777" w:rsidR="00093845" w:rsidRDefault="000D779E">
      <w:pPr>
        <w:tabs>
          <w:tab w:val="left" w:pos="720"/>
          <w:tab w:val="left" w:pos="1077"/>
          <w:tab w:val="left" w:pos="1418"/>
        </w:tabs>
        <w:ind w:right="-5" w:firstLine="709"/>
        <w:jc w:val="both"/>
        <w:rPr>
          <w:b/>
          <w:szCs w:val="20"/>
          <w:lang w:val="lt-LT"/>
        </w:rPr>
      </w:pPr>
      <w:r>
        <w:rPr>
          <w:b/>
          <w:lang w:val="lt-LT"/>
        </w:rPr>
        <w:lastRenderedPageBreak/>
        <w:t>4.</w:t>
      </w:r>
      <w:r>
        <w:rPr>
          <w:b/>
          <w:lang w:val="lt-LT"/>
        </w:rPr>
        <w:tab/>
        <w:t xml:space="preserve">Tais atvejais, kai ilgalaikio turto savininkas perleidžia nuosavybėn šį turtą kitam asmeniui (įgijėjui), o šis turtas jau anksčiau šio įgijėjo buvo perleistas nuosavybėn turtą perleidžiančiam savininkui, ilgalaikio turto įgijėjas tęsia to turto nusidėvėjimo ar amortizacijos apskaičiavimą tuo pačiu metodu nuo nenudėvėtos ar neamortizuotos iki pirmojo turto perleidimo įsigijimo kainos, išskyrus atvejus, kai naujoji turto įsigijimo kaina yra mažesnė už iki pirmojo perleidimo nenudėvėtą arba neamortizuotą pagal šio Įstatymo nuostatas. </w:t>
      </w:r>
    </w:p>
    <w:p w14:paraId="647F6C69" w14:textId="77777777" w:rsidR="00093845" w:rsidRDefault="000D779E">
      <w:pPr>
        <w:pStyle w:val="Antrats"/>
        <w:tabs>
          <w:tab w:val="left" w:pos="720"/>
          <w:tab w:val="left" w:pos="1077"/>
          <w:tab w:val="left" w:pos="1418"/>
        </w:tabs>
        <w:ind w:right="-5"/>
        <w:jc w:val="both"/>
        <w:rPr>
          <w:b/>
          <w:sz w:val="24"/>
          <w:lang w:val="lt-LT"/>
        </w:rPr>
      </w:pPr>
      <w:r>
        <w:rPr>
          <w:b/>
          <w:sz w:val="24"/>
          <w:lang w:val="lt-LT"/>
        </w:rPr>
        <w:tab/>
        <w:t>Komentaras</w:t>
      </w:r>
    </w:p>
    <w:p w14:paraId="076EE88A" w14:textId="77777777" w:rsidR="00093845" w:rsidRDefault="000D779E">
      <w:pPr>
        <w:pStyle w:val="Pagrindiniotekstotrauka"/>
        <w:tabs>
          <w:tab w:val="left" w:pos="720"/>
          <w:tab w:val="left" w:pos="1077"/>
          <w:tab w:val="left" w:pos="1418"/>
          <w:tab w:val="left" w:pos="8931"/>
          <w:tab w:val="left" w:pos="9072"/>
        </w:tabs>
        <w:ind w:right="-5" w:firstLine="709"/>
        <w:rPr>
          <w:rFonts w:ascii="Times New Roman" w:hAnsi="Times New Roman"/>
          <w:lang w:val="lt-LT"/>
        </w:rPr>
      </w:pPr>
      <w:r>
        <w:rPr>
          <w:rFonts w:ascii="Times New Roman" w:hAnsi="Times New Roman"/>
          <w:lang w:val="lt-LT"/>
        </w:rPr>
        <w:t xml:space="preserve">Kai savininkas ilgalaikį turtą perleidžia kito asmens (įgijėjo) nuosavybėn, o anksčiau įgijėjas šį turtą buvo perleidęs nuosavybėn turtą perleidžiančiam savininkui, ilgalaikio turto įgijėjas to turto nusidėvėjimą (amortizaciją) toliau skaičiuoja tuo pačiu metodu nuo nenudėvėtos (neamortizuotos) iki pirmojo turto perleidimo įsigijimo kainos, išskyrus atvejus, kai naujoji turto įsigijimo kaina yra mažesnė už iki pirmojo perleidimo nenudėvėtą (neamortizuotą) ilgalaikio turto kainą. </w:t>
      </w:r>
    </w:p>
    <w:p w14:paraId="44DBBB4B" w14:textId="77777777" w:rsidR="00093845" w:rsidRDefault="000D779E">
      <w:pPr>
        <w:ind w:firstLine="709"/>
        <w:jc w:val="both"/>
        <w:rPr>
          <w:lang w:val="lt-LT"/>
        </w:rPr>
      </w:pPr>
      <w:r>
        <w:rPr>
          <w:lang w:val="lt-LT"/>
        </w:rPr>
        <w:t>Pavyzdžiai</w:t>
      </w:r>
    </w:p>
    <w:p w14:paraId="3CACF8D3"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1.</w:t>
      </w:r>
      <w:r>
        <w:rPr>
          <w:rFonts w:ascii="Times New Roman" w:hAnsi="Times New Roman"/>
          <w:lang w:val="lt-LT"/>
        </w:rPr>
        <w:tab/>
        <w:t>UAB X 2002 m. sausio 22 d. įsigijo 205 000 Lt kainos (be PVM) naują krovininį automobilį ir tų pačių metų birželio 1 d. pradėjo jį naudoti. UAB X yra pasirinkusi ilgalaikio turto pusmečio nusidėvėjimo (amortizacijos) skaičiavimo pradžios būdą. Įmonė, vadovaudamasi PMĮ 1 priedėliu, pasirinko, kad šios ilgalaikio turto grupės turto, įsigyto po 2002 m. sausio 1 d., nusidėvėjimas bus skaičiuojamas taikant dvigubo balanso metodą. Nustatomas 4 metų šio krovininio automobilio nusidėvėjimo normatyvas ir 5000 Lt likvidacinė kaina.</w:t>
      </w:r>
    </w:p>
    <w:p w14:paraId="52D2828E"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UAB X automobilį naudoja iki 2003 m. gruodžio 15 d., o kitą dieną parduoda UAB Y. UAB X prie leidžiamų atskaitymų priskyrė 128 125 Lt nusidėvėjimo sumą (102 500 + 25 625):</w:t>
      </w:r>
    </w:p>
    <w:p w14:paraId="70E75B7F"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2002 m. – 102 500 Lt (100 proc. : 4 x 2 = 50 proc.; 205 000 x 50 proc. = 102 500 Lt),</w:t>
      </w:r>
    </w:p>
    <w:p w14:paraId="76AE1623"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2003 m. – 25 625 Lt [(205 000 - 102 500) x 50 proc. : 2 = 25 625 Lt].</w:t>
      </w:r>
    </w:p>
    <w:p w14:paraId="0F94386D"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 xml:space="preserve">2004 m. kovo mėnesį UAB X iš UAB Y už 100 000 Lt nusipirko tą patį automobilį, kurį 2003 m. gruodžio 16 d. tai įmonei buvo pardavusi. </w:t>
      </w:r>
    </w:p>
    <w:p w14:paraId="44455CE1"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Kadangi UAB X iki automobilio pardavimo UAB Y prie leidžiamų atskaitymų priskyrė 128 125 Lt nusidėvėjimo sumą, šio automobilio iki pirmojo perleidimo nenudėvėta kaina sudarė 76 875 Lt (205 000 - 128 125). Akivaizdu, kad įmonė X tą patį turtą pakartotinai įsigijo už didesnę kainą nei buvusi pirmojo perleidimo metu nenudėvėta to turto kaina. Todėl šio turto nusidėvėjimą ji turės skaičiuoti pagal tą patį dvigubo balanso metodą nuo nenudėvėtos iki turto pardavimo įsigijimo kainos, t.y. nuo 76 875 Lt (205 000 - 128 125). UAB X į leidžiamus atskaitymus šią kainą galės įskaityti per laikotarpį, ne trumpesnį už PMĮ 1 priedėlyje ilgalaikio turto grupei, kuriai priskiriamas krovininis automobilis, nustatytą maksimalų laikotarpį (t.y. per 4 ar daugiau metų).</w:t>
      </w:r>
    </w:p>
    <w:p w14:paraId="3408EED1"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2.</w:t>
      </w:r>
      <w:r>
        <w:rPr>
          <w:rFonts w:ascii="Times New Roman" w:hAnsi="Times New Roman"/>
          <w:lang w:val="lt-LT"/>
        </w:rPr>
        <w:tab/>
        <w:t xml:space="preserve">UAB X 2002 m. vasario 20 d. įsigijo 61 000 Lt kainos (be PVM) naują lengvąjį automobilį ir tą patį mėnesį pradėjo naudoti. UAB X yra pasirinkusi ilgalaikio turto kito mėnesio nusidėvėjimo (amortizacijos) skaičiavimo pradžios būdą. Vadovaujantis PMĮ 1 priedėliu, šio lengvojo automobilio, kurio likvidacinė kaina – 1240 Lt, nusidėvėjimas bus skaičiuojamas taikant 6 metų (72 mėn.) nusidėvėjimo normatyvą. </w:t>
      </w:r>
    </w:p>
    <w:p w14:paraId="55BEA1EA"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UAB X automobilį naudojo iki 2002 m. gruodžio 15 d., o kitą dieną pardavė UAB Y. UAB X iki automobilio pardavimo UAB Y prie leidžiamų atskaitymų priskyrė 8 300 Lt [(61 000 – 1 240) : 72 x 10 = 8 300 Lt] nusidėvėjimo sumą.</w:t>
      </w:r>
    </w:p>
    <w:p w14:paraId="0D566D9F" w14:textId="77777777" w:rsidR="00093845" w:rsidRDefault="000D779E">
      <w:pPr>
        <w:pStyle w:val="Style1"/>
        <w:pBdr>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2003 m. kovo mėnesį UAB X iš UAB Y už 40 000 Lt nusipirko tą patį automobilį, kurį 2002 m. gruodžio 16 d. tai įmonei buvo pardavusi.</w:t>
      </w:r>
    </w:p>
    <w:p w14:paraId="47B8178C"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lastRenderedPageBreak/>
        <w:t>Kadangi UAB X iki automobilio pardavimo UAB Y leidžiamiems atskaitymams priskyrė 8300 Lt, automobilio likutinė kaina iki pardavimo sudarė 52 700 Lt (61 000 – 8 300). Antrą kartą įsigyto turto įsigijimo kaina yra mažesnė už nenudėvėtą iki turto pardavimo įsigijimo kainą (52 700 Lt &gt; 40 000 Lt). Todėl šio automobilio nusidėvėjimą įmonė X turės skaičiuoti nuo 40 000 Lt. UAB X šio turto nusidėvėjimą į leidžiamus atskaitymus galės įskaityti per laikotarpį, ne trumpesnį už PMĮ 1 priedėlyje ilgalaikio turto grupei, kuriai priskiriamas lengvasis automobilis, nustatytą maksimalų laikotarpį (t.y. per 6 ar daugiau metų).</w:t>
      </w:r>
    </w:p>
    <w:p w14:paraId="7C6C24D5" w14:textId="77777777" w:rsidR="00093845" w:rsidRDefault="00093845">
      <w:pPr>
        <w:tabs>
          <w:tab w:val="left" w:pos="720"/>
          <w:tab w:val="left" w:pos="1077"/>
          <w:tab w:val="left" w:pos="1418"/>
        </w:tabs>
        <w:ind w:right="-5" w:firstLine="709"/>
        <w:jc w:val="both"/>
        <w:rPr>
          <w:b/>
          <w:szCs w:val="20"/>
          <w:lang w:val="lt-LT"/>
        </w:rPr>
      </w:pPr>
    </w:p>
    <w:p w14:paraId="5BCDEA73" w14:textId="77777777" w:rsidR="00093845" w:rsidRDefault="000D779E">
      <w:pPr>
        <w:pStyle w:val="Antrat1"/>
        <w:jc w:val="both"/>
        <w:rPr>
          <w:rFonts w:ascii="Times New Roman" w:hAnsi="Times New Roman" w:cs="Times New Roman"/>
          <w:bCs w:val="0"/>
          <w:szCs w:val="20"/>
          <w:lang w:val="lt-LT"/>
        </w:rPr>
      </w:pPr>
      <w:bookmarkStart w:id="349" w:name="_20_straipsnis._Nuosavo,"/>
      <w:bookmarkEnd w:id="349"/>
      <w:r>
        <w:rPr>
          <w:rFonts w:ascii="Times New Roman" w:hAnsi="Times New Roman" w:cs="Times New Roman"/>
          <w:bCs w:val="0"/>
          <w:lang w:val="lt-LT"/>
        </w:rPr>
        <w:t>20 STRAIPSNIS. Nuosavo, nuomojamo arba panaudos būdu naudojamo materialiojo ilgalaikio turto eksploatavimo, remonto arba rekonstravimo sąnaudos</w:t>
      </w:r>
    </w:p>
    <w:p w14:paraId="05A82D59" w14:textId="77777777" w:rsidR="00093845" w:rsidRDefault="000D779E" w:rsidP="00337B16">
      <w:pPr>
        <w:tabs>
          <w:tab w:val="left" w:pos="720"/>
          <w:tab w:val="left" w:pos="1077"/>
          <w:tab w:val="left" w:pos="1418"/>
        </w:tabs>
        <w:spacing w:after="0"/>
        <w:ind w:right="-5" w:firstLine="709"/>
        <w:jc w:val="both"/>
        <w:rPr>
          <w:b/>
          <w:szCs w:val="20"/>
          <w:lang w:val="lt-LT"/>
        </w:rPr>
      </w:pPr>
      <w:r>
        <w:rPr>
          <w:b/>
          <w:szCs w:val="20"/>
          <w:lang w:val="lt-LT"/>
        </w:rPr>
        <w:t xml:space="preserve">1. Jei atliekamas vieneto naudojamo ilgalaikio materialiojo turto rekonstravimas arba remontas, kuris pailgina turto naudingo tarnavimo laiką arba pagerina jo naudingąsias savybes, šio remonto arba rekonstravimo verte yra didinama remontuoto arba rekonstruoto ilgalaikio turto įsigijimo kaina </w:t>
      </w:r>
    </w:p>
    <w:p w14:paraId="1FE07491" w14:textId="77777777" w:rsidR="00093845" w:rsidRDefault="000D779E" w:rsidP="00337B16">
      <w:pPr>
        <w:spacing w:after="0"/>
        <w:jc w:val="both"/>
        <w:rPr>
          <w:i/>
          <w:lang w:val="lt-LT"/>
        </w:rPr>
      </w:pPr>
      <w:r w:rsidRPr="00FE7AB0">
        <w:rPr>
          <w:i/>
          <w:lang w:val="lt-LT"/>
        </w:rPr>
        <w:t>(</w:t>
      </w:r>
      <w:r w:rsidRPr="00FE7AB0">
        <w:rPr>
          <w:i/>
          <w:color w:val="000000"/>
          <w:lang w:val="lt-LT" w:eastAsia="lt-LT"/>
        </w:rPr>
        <w:t>KEISTA: 2004 10 12 įstatymu Nr. IX-2492 (nuo 2004 10 30)</w:t>
      </w:r>
      <w:r w:rsidR="00655350" w:rsidRPr="00FE7AB0">
        <w:rPr>
          <w:i/>
          <w:color w:val="000000"/>
          <w:lang w:val="lt-LT" w:eastAsia="lt-LT"/>
        </w:rPr>
        <w:t>,</w:t>
      </w:r>
      <w:r w:rsidR="0036194D" w:rsidRPr="00FE7AB0">
        <w:rPr>
          <w:i/>
          <w:lang w:val="lt-LT"/>
        </w:rPr>
        <w:t xml:space="preserve"> </w:t>
      </w:r>
      <w:r w:rsidR="0036194D" w:rsidRPr="00FE7AB0">
        <w:rPr>
          <w:i/>
          <w:color w:val="000000"/>
          <w:lang w:val="lt-LT" w:eastAsia="lt-LT"/>
        </w:rPr>
        <w:t>taikoma apskaičiuojant 2004 ir vėlesnių metų mokestinių laikotarpių apmokestinamąjį pelną</w:t>
      </w:r>
      <w:r w:rsidRPr="00FE7AB0">
        <w:rPr>
          <w:i/>
          <w:lang w:val="lt-LT"/>
        </w:rPr>
        <w:t>)</w:t>
      </w:r>
    </w:p>
    <w:p w14:paraId="00E4B23A" w14:textId="77777777" w:rsidR="008A55B2" w:rsidRPr="00FE7AB0" w:rsidRDefault="008A55B2" w:rsidP="00337B16">
      <w:pPr>
        <w:spacing w:after="0"/>
        <w:jc w:val="both"/>
        <w:rPr>
          <w:i/>
          <w:szCs w:val="20"/>
          <w:lang w:val="lt-LT"/>
        </w:rPr>
      </w:pPr>
    </w:p>
    <w:p w14:paraId="6095FC7D"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750421B2" w14:textId="77777777" w:rsidR="00093845" w:rsidRDefault="000D779E">
      <w:pPr>
        <w:pStyle w:val="Style1"/>
        <w:tabs>
          <w:tab w:val="left" w:pos="720"/>
          <w:tab w:val="left" w:pos="1077"/>
          <w:tab w:val="left" w:pos="1418"/>
        </w:tabs>
        <w:ind w:right="-5"/>
        <w:rPr>
          <w:rFonts w:ascii="Times New Roman" w:hAnsi="Times New Roman"/>
        </w:rPr>
      </w:pPr>
      <w:r>
        <w:rPr>
          <w:rFonts w:ascii="Times New Roman" w:hAnsi="Times New Roman"/>
        </w:rPr>
        <w:t>1.</w:t>
      </w:r>
      <w:r>
        <w:rPr>
          <w:rFonts w:ascii="Times New Roman" w:hAnsi="Times New Roman"/>
        </w:rPr>
        <w:tab/>
        <w:t>Šiame straipsnyje nustatyta nuosavo, nuomojamo arba panaudos būdu naudojamo ilgalaikio materialiojo turto eksploatavimo, remonto arba rekonstravimo sąnaudų, kurios priskiriamos prie ribojamo dydžio leidžiamų atskaitymų, apskaičiavimo tvarka.</w:t>
      </w:r>
    </w:p>
    <w:p w14:paraId="3A8DB09C" w14:textId="77777777" w:rsidR="00093845" w:rsidRDefault="000D779E">
      <w:pPr>
        <w:pStyle w:val="Pagrindiniotekstotrauka"/>
        <w:tabs>
          <w:tab w:val="left" w:pos="720"/>
          <w:tab w:val="left" w:pos="1077"/>
          <w:tab w:val="left" w:pos="1418"/>
        </w:tabs>
        <w:ind w:right="43"/>
        <w:rPr>
          <w:rFonts w:ascii="Times New Roman" w:hAnsi="Times New Roman" w:cs="Times New Roman"/>
          <w:highlight w:val="green"/>
          <w:lang w:val="lt-LT"/>
        </w:rPr>
      </w:pPr>
      <w:r>
        <w:rPr>
          <w:rFonts w:ascii="Times New Roman" w:hAnsi="Times New Roman" w:cs="Times New Roman"/>
          <w:lang w:val="lt-LT"/>
        </w:rPr>
        <w:t>2. Šio straipsnio 1 dalyje nustatyta nuosavo naudojamo ilgalaikio materialiojo turto remonto arba rekonstravimo sąnaudų, kurios priskiriamos prie ribojamo dydžio leidžiamų atskaitymų, apskaičiavimo tvarka. Koks turtas pelno mokesčio apskaičiavimo tikslais yra laikomas įmonės nuosavu turtu apibrėžta PMĮ 13 str. 1 dalyje.</w:t>
      </w:r>
    </w:p>
    <w:p w14:paraId="68BD2FC1" w14:textId="77777777" w:rsidR="00093845" w:rsidRDefault="000D779E">
      <w:pPr>
        <w:pStyle w:val="Pagrindiniotekstotrauka"/>
        <w:tabs>
          <w:tab w:val="left" w:pos="720"/>
          <w:tab w:val="left" w:pos="1077"/>
          <w:tab w:val="left" w:pos="1418"/>
        </w:tabs>
        <w:ind w:right="-5"/>
        <w:rPr>
          <w:rFonts w:ascii="Times New Roman" w:hAnsi="Times New Roman" w:cs="Times New Roman"/>
          <w:highlight w:val="green"/>
          <w:lang w:val="lt-LT"/>
        </w:rPr>
      </w:pPr>
      <w:r>
        <w:rPr>
          <w:rFonts w:ascii="Times New Roman" w:hAnsi="Times New Roman" w:cs="Times New Roman"/>
          <w:lang w:val="lt-LT"/>
        </w:rPr>
        <w:t xml:space="preserve">3. Jei vieneto nuosavo ilgalaikio materialiojo turto remontas </w:t>
      </w:r>
      <w:r>
        <w:rPr>
          <w:rFonts w:ascii="Times New Roman" w:hAnsi="Times New Roman" w:cs="Times New Roman"/>
          <w:szCs w:val="20"/>
          <w:lang w:val="lt-LT"/>
        </w:rPr>
        <w:t>pailgina turto naudingo tarnavimo laiką arba pagerina jo naudingąsias savybes</w:t>
      </w:r>
      <w:r>
        <w:rPr>
          <w:rFonts w:ascii="Times New Roman" w:hAnsi="Times New Roman" w:cs="Times New Roman"/>
          <w:lang w:val="lt-LT"/>
        </w:rPr>
        <w:t xml:space="preserve"> arba turtas rekonstruojamas, tai šio remonto arba rekonstravimo verte didinama remontuoto arba rekonstruoto ilgalaikio materialiojo turto įsigijimo kaina. </w:t>
      </w:r>
    </w:p>
    <w:p w14:paraId="3CDDEC36"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Pavyzdžiai</w:t>
      </w:r>
    </w:p>
    <w:p w14:paraId="28BB991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highlight w:val="green"/>
          <w:lang w:val="lt-LT"/>
        </w:rPr>
      </w:pPr>
      <w:r>
        <w:rPr>
          <w:lang w:val="lt-LT"/>
        </w:rPr>
        <w:t>1. UAB X 2003 m. gruodžio mėnesį įsigijo gamybos įrengimus ir pradėjo juos naudoti įmonės veikloje. 2004 m. spalio mėnesį įmonė atliko įrengimų remontą. Įmonė remontą atliko ne tik siekdama atkurti normatyviniuose techniniuose dokumentuose nustatytas gamybos įrengimų savybes, pablogėjusias dėl to turto naudojimo, bet ir norėdama tas įrengimų savybes pagerinti, remonto metu įdiegė gamybos proceso valdymo programą. Baigusi remonto darbus, įmonė jų verte turi padidinti minėtų įrengimų įsigijimo kainą, nes šie darbai pagerino turto naudingąsias savybes.</w:t>
      </w:r>
    </w:p>
    <w:p w14:paraId="3FEC565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ab/>
        <w:t xml:space="preserve">2. UAB X 2003 m. sausio mėnesį įsigijo pastatą ir pradėjo jį naudoti įmonės veikloje. 2004 m. sausio – kovo mėnesiais UAB X atliko pastato rekonstrukciją. Baigusi rekonstravimo darbus, įmonė rekonstravimo darbų verte turi padidinti pastato įsigijimo kainą. </w:t>
      </w:r>
    </w:p>
    <w:p w14:paraId="68B99C79" w14:textId="77777777" w:rsidR="00093845" w:rsidRDefault="000D779E">
      <w:pPr>
        <w:ind w:firstLine="709"/>
        <w:jc w:val="both"/>
        <w:rPr>
          <w:b/>
          <w:bCs/>
          <w:lang w:val="lt-LT"/>
        </w:rPr>
      </w:pPr>
      <w:r>
        <w:rPr>
          <w:bCs/>
          <w:lang w:val="lt-LT"/>
        </w:rPr>
        <w:t>Pažymėtina, kad tik nekilnojamasis turtas gali būti ir remontuojamas, ir rekonstruojamas, o visas kitas – tik remontuojamas.</w:t>
      </w:r>
    </w:p>
    <w:p w14:paraId="33B4CFBC" w14:textId="77777777" w:rsidR="00093845" w:rsidRDefault="000D779E">
      <w:pPr>
        <w:ind w:firstLine="709"/>
        <w:jc w:val="both"/>
        <w:rPr>
          <w:lang w:val="lt-LT"/>
        </w:rPr>
      </w:pPr>
      <w:r>
        <w:rPr>
          <w:lang w:val="lt-LT"/>
        </w:rPr>
        <w:t xml:space="preserve">4. Tuo atveju, kai atlikti remonto darbai nepailgina ilgalaikio materialiojo turto naudingo tarnavimo laiko arba nepagerina jo naudingųjų savybių, tai remonto sąnaudos leidžiamiems </w:t>
      </w:r>
      <w:r>
        <w:rPr>
          <w:lang w:val="lt-LT"/>
        </w:rPr>
        <w:lastRenderedPageBreak/>
        <w:t>atskaitymams priskiriamos tą mokestinį laikotarpį, kurį remonto darbai buvo užbaigti (t.y. taikomos PMĮ 20 str. 2 dalies nuostatos).</w:t>
      </w:r>
    </w:p>
    <w:p w14:paraId="3A9229DA" w14:textId="77777777" w:rsidR="00093845" w:rsidRDefault="000D779E">
      <w:pPr>
        <w:tabs>
          <w:tab w:val="left" w:pos="720"/>
          <w:tab w:val="left" w:pos="1077"/>
          <w:tab w:val="left" w:pos="1418"/>
        </w:tabs>
        <w:ind w:right="-5" w:firstLine="709"/>
        <w:jc w:val="both"/>
        <w:rPr>
          <w:bCs/>
          <w:szCs w:val="20"/>
          <w:lang w:val="lt-LT"/>
        </w:rPr>
      </w:pPr>
      <w:r>
        <w:rPr>
          <w:bCs/>
          <w:szCs w:val="20"/>
          <w:lang w:val="lt-LT"/>
        </w:rPr>
        <w:t>(</w:t>
      </w:r>
      <w:r w:rsidR="00655350">
        <w:rPr>
          <w:bCs/>
          <w:szCs w:val="20"/>
          <w:lang w:val="lt-LT"/>
        </w:rPr>
        <w:t>P</w:t>
      </w:r>
      <w:r>
        <w:rPr>
          <w:bCs/>
          <w:szCs w:val="20"/>
          <w:lang w:val="lt-LT"/>
        </w:rPr>
        <w:t xml:space="preserve">akeista pagal VMI prie FM 2005-01-14 raštą Nr. </w:t>
      </w:r>
      <w:r>
        <w:rPr>
          <w:bCs/>
          <w:lang w:val="lt-LT"/>
        </w:rPr>
        <w:t>(18.10-31-1)-R-502)</w:t>
      </w:r>
    </w:p>
    <w:p w14:paraId="145C5FC6" w14:textId="77777777" w:rsidR="00093845" w:rsidRDefault="00093845">
      <w:pPr>
        <w:tabs>
          <w:tab w:val="left" w:pos="720"/>
          <w:tab w:val="left" w:pos="1077"/>
          <w:tab w:val="left" w:pos="1418"/>
        </w:tabs>
        <w:ind w:right="-5" w:firstLine="709"/>
        <w:jc w:val="both"/>
        <w:rPr>
          <w:b/>
          <w:szCs w:val="20"/>
          <w:lang w:val="lt-LT"/>
        </w:rPr>
      </w:pPr>
    </w:p>
    <w:p w14:paraId="36D2DEA9" w14:textId="77777777" w:rsidR="00093845" w:rsidRDefault="000D779E">
      <w:pPr>
        <w:tabs>
          <w:tab w:val="left" w:pos="720"/>
          <w:tab w:val="left" w:pos="1077"/>
          <w:tab w:val="left" w:pos="1418"/>
        </w:tabs>
        <w:ind w:right="-5" w:firstLine="709"/>
        <w:jc w:val="both"/>
        <w:rPr>
          <w:b/>
          <w:szCs w:val="20"/>
          <w:lang w:val="lt-LT"/>
        </w:rPr>
      </w:pPr>
      <w:r>
        <w:rPr>
          <w:b/>
          <w:lang w:val="lt-LT"/>
        </w:rPr>
        <w:t>2.</w:t>
      </w:r>
      <w:r>
        <w:rPr>
          <w:b/>
          <w:lang w:val="lt-LT"/>
        </w:rPr>
        <w:tab/>
        <w:t xml:space="preserve">Visais kitais atvejais vieneto naudojamo materialiojo ilgalaikio turto remonto išlaidos priskiriamos remonto sąnaudoms ir atskaitomos iš pajamų tuo mokestiniu laikotarpiu, kurį jos faktiškai patiriamos. </w:t>
      </w:r>
    </w:p>
    <w:p w14:paraId="52B4C7EB" w14:textId="77777777" w:rsidR="00093845" w:rsidRDefault="000D779E">
      <w:pPr>
        <w:tabs>
          <w:tab w:val="left" w:pos="720"/>
          <w:tab w:val="left" w:pos="1077"/>
          <w:tab w:val="left" w:pos="1418"/>
        </w:tabs>
        <w:ind w:right="-5"/>
        <w:jc w:val="both"/>
        <w:rPr>
          <w:b/>
          <w:szCs w:val="20"/>
          <w:lang w:val="lt-LT"/>
        </w:rPr>
      </w:pPr>
      <w:r>
        <w:rPr>
          <w:b/>
          <w:lang w:val="lt-LT"/>
        </w:rPr>
        <w:tab/>
        <w:t>Komentaras</w:t>
      </w:r>
    </w:p>
    <w:p w14:paraId="7C6669FE"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Jei įmonės ilgalaikio turto remonto kaina per mokestinį laikotarpį ne didesnė kaip 50 proc. remontuojamo turto įsigijimo kainos, šio remonto kaina priskiriama prie leidžiamų atskaitymų tą mokestinį laikotarpį, kurį jos faktiškai patiriamos.</w:t>
      </w:r>
    </w:p>
    <w:p w14:paraId="7FFD3D7D"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Pavyzdys</w:t>
      </w:r>
    </w:p>
    <w:p w14:paraId="312CED4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UAB X 2002 m. sausio mėnesį įsigijo pastatą ir pradėjo jį naudoti įmonės veikloje. Šio pastato įsigijimo kaina – 1 010 000 Lt. </w:t>
      </w:r>
    </w:p>
    <w:p w14:paraId="23989DC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2003 m. sausio - kovo mėnesiais UAB X remontavo šį pastatą, remonto kaina – 100 000 Lt. Šią sumą įmonė, apskaičiuodama 2003 metų apmokestinamąjį pelną, gali atimti iš pajamų. </w:t>
      </w:r>
    </w:p>
    <w:p w14:paraId="30E9D055" w14:textId="77777777" w:rsidR="00093845" w:rsidRDefault="00093845">
      <w:pPr>
        <w:tabs>
          <w:tab w:val="left" w:pos="720"/>
          <w:tab w:val="left" w:pos="1077"/>
          <w:tab w:val="left" w:pos="1418"/>
        </w:tabs>
        <w:ind w:right="-5" w:firstLine="709"/>
        <w:jc w:val="both"/>
        <w:rPr>
          <w:b/>
          <w:szCs w:val="20"/>
          <w:lang w:val="lt-LT"/>
        </w:rPr>
      </w:pPr>
    </w:p>
    <w:p w14:paraId="14EA1C15"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1. Apskaičiuojant 2002 ir 2003 metais prasidėjusių mokestinių laikotarpių apmokestinamąjį pelną, nuosavo ilgalaikio materialiojo turto remonto, kurio</w:t>
      </w:r>
      <w:r>
        <w:rPr>
          <w:rFonts w:ascii="Times New Roman" w:hAnsi="Times New Roman" w:cs="Times New Roman"/>
          <w:b/>
          <w:bCs/>
          <w:lang w:val="lt-LT"/>
        </w:rPr>
        <w:t xml:space="preserve"> </w:t>
      </w:r>
      <w:r>
        <w:rPr>
          <w:rFonts w:ascii="Times New Roman" w:hAnsi="Times New Roman" w:cs="Times New Roman"/>
          <w:lang w:val="lt-LT"/>
        </w:rPr>
        <w:t>kaina per mokestinį laikotarpį ne didesnė kaip 50 proc. remontuojamo turto įsigijimo kainos, sąnaudos priskiriamos prie leidžiamų atskaitymų tą mokestinį laikotarpį, kurį jos faktiškai patiriamos. Koks turtas pelno mokesčio apskaičiavimo tikslais yra laikomas įmonės nuosavu turtu apibrėžta PMĮ 13 str. 1 dalyje.</w:t>
      </w:r>
    </w:p>
    <w:p w14:paraId="744404E1" w14:textId="77777777" w:rsidR="00093845" w:rsidRDefault="000D779E">
      <w:pPr>
        <w:pStyle w:val="Pagrindiniotekstotrauka"/>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Pavyzdys</w:t>
      </w:r>
    </w:p>
    <w:p w14:paraId="707C0EDE"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 xml:space="preserve">UAB X 2002 m. sausio mėnesį įsigijo pastatą ir pradėjo jį naudoti įmonės veikloje. Šio pastato įsigijimo kaina – 1 010 000 Lt. </w:t>
      </w:r>
    </w:p>
    <w:p w14:paraId="62534079"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lang w:val="lt-LT"/>
        </w:rPr>
      </w:pPr>
      <w:r>
        <w:rPr>
          <w:rFonts w:ascii="Times New Roman" w:hAnsi="Times New Roman" w:cs="Times New Roman"/>
          <w:lang w:val="lt-LT"/>
        </w:rPr>
        <w:t>2003 m. sausio - kovo mėnesiais UAB X remontavo šį pastatą, remonto kaina – 100 000 Lt. Šią sumą įmonė, apskaičiuodama 2003 metų apmokestinamąjį pelną, gali atimti iš pajamų.</w:t>
      </w:r>
      <w:r>
        <w:rPr>
          <w:lang w:val="lt-LT"/>
        </w:rPr>
        <w:t xml:space="preserve"> </w:t>
      </w:r>
    </w:p>
    <w:p w14:paraId="2EDD5C77" w14:textId="77777777" w:rsidR="00093845" w:rsidRDefault="000D779E">
      <w:pPr>
        <w:ind w:firstLine="709"/>
        <w:jc w:val="both"/>
        <w:rPr>
          <w:lang w:val="lt-LT"/>
        </w:rPr>
      </w:pPr>
      <w:r>
        <w:rPr>
          <w:lang w:val="lt-LT"/>
        </w:rPr>
        <w:t>2. Apskaičiuojant 2004 metais prasidėjusio mokestinio laikotarpio ir vėlesnių mokestinių laikotarpių apmokestinamąjį pelną, remonto, kuris nepailgina ilgalaikio materialiojo turto naudingo tarnavimo laiko arba nepagerina jo naudingųjų savybių, išlaidos priskiriamos remonto sąnaudoms (leidžiamiems atskaitymams) tą mokestinį laikotarpį, kurį jos faktiškai patiriamos. Šios nuostatos taikomos visam įmonės naudojamam turtui, t.y. turtui, kuris pagal PMĮ 13 str. 1 dalies nuostatas pelno mokesčio apskaičiavimo tikslais laikomas įmonės nuosavu turtu,</w:t>
      </w:r>
      <w:r>
        <w:rPr>
          <w:b/>
          <w:bCs/>
          <w:lang w:val="lt-LT"/>
        </w:rPr>
        <w:t xml:space="preserve"> </w:t>
      </w:r>
      <w:r>
        <w:rPr>
          <w:lang w:val="lt-LT"/>
        </w:rPr>
        <w:t>taip pat turimam pagal panaudos sutartį ar nuomos sutartį, kurioje nenumatytas nuosavybės teisės perėjimas pirkėjui visiškai apmokėjus turto vertę.</w:t>
      </w:r>
    </w:p>
    <w:p w14:paraId="7D311A64" w14:textId="77777777" w:rsidR="00093845" w:rsidRDefault="000D779E">
      <w:pPr>
        <w:ind w:firstLine="709"/>
        <w:jc w:val="both"/>
        <w:rPr>
          <w:lang w:val="lt-LT"/>
        </w:rPr>
      </w:pPr>
      <w:r>
        <w:rPr>
          <w:lang w:val="lt-LT"/>
        </w:rPr>
        <w:t xml:space="preserve">Pavyzdys </w:t>
      </w:r>
    </w:p>
    <w:p w14:paraId="5FCE746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cs="Times New Roman"/>
          <w:lang w:val="lt-LT"/>
        </w:rPr>
      </w:pPr>
      <w:r>
        <w:rPr>
          <w:rFonts w:ascii="Times New Roman" w:hAnsi="Times New Roman" w:cs="Times New Roman"/>
          <w:lang w:val="lt-LT"/>
        </w:rPr>
        <w:t>UAB X 2004 m. sausio mėn. atliko savo biuro patalpų remontą. UAB X nusprendė, kad remonto darbai nepagerino turto naudingųjų savybių ir nepailgino jo naudingo tarnavimo laikotarpio. UAB X, apskaičiuodama 2004 metų apmokestinamąjį pelną, remonto išlaidas gali priskirti sąnaudoms ir atimti iš pajamų.</w:t>
      </w:r>
    </w:p>
    <w:p w14:paraId="0E535F12" w14:textId="77777777" w:rsidR="00093845" w:rsidRDefault="000D779E">
      <w:pPr>
        <w:tabs>
          <w:tab w:val="left" w:pos="720"/>
          <w:tab w:val="left" w:pos="1077"/>
          <w:tab w:val="left" w:pos="1418"/>
        </w:tabs>
        <w:ind w:right="-5" w:firstLine="709"/>
        <w:jc w:val="both"/>
        <w:rPr>
          <w:b/>
          <w:szCs w:val="20"/>
          <w:lang w:val="lt-LT"/>
        </w:rPr>
      </w:pPr>
      <w:r>
        <w:rPr>
          <w:bCs/>
          <w:szCs w:val="20"/>
          <w:lang w:val="lt-LT"/>
        </w:rPr>
        <w:lastRenderedPageBreak/>
        <w:t>(</w:t>
      </w:r>
      <w:r w:rsidR="00655350">
        <w:rPr>
          <w:bCs/>
          <w:szCs w:val="20"/>
          <w:lang w:val="lt-LT"/>
        </w:rPr>
        <w:t>P</w:t>
      </w:r>
      <w:r>
        <w:rPr>
          <w:bCs/>
          <w:szCs w:val="20"/>
          <w:lang w:val="lt-LT"/>
        </w:rPr>
        <w:t>akeista pagal VMI prie FM 2005-01-14 raštą Nr</w:t>
      </w:r>
      <w:r>
        <w:rPr>
          <w:b/>
          <w:szCs w:val="20"/>
          <w:lang w:val="lt-LT"/>
        </w:rPr>
        <w:t xml:space="preserve">. </w:t>
      </w:r>
      <w:r>
        <w:rPr>
          <w:lang w:val="lt-LT"/>
        </w:rPr>
        <w:t>(18.10-31-1)-R-502)</w:t>
      </w:r>
    </w:p>
    <w:p w14:paraId="2F72E100" w14:textId="77777777" w:rsidR="00093845" w:rsidRDefault="00093845">
      <w:pPr>
        <w:tabs>
          <w:tab w:val="left" w:pos="720"/>
          <w:tab w:val="left" w:pos="1077"/>
          <w:tab w:val="left" w:pos="1418"/>
        </w:tabs>
        <w:ind w:right="-5" w:firstLine="709"/>
        <w:jc w:val="both"/>
        <w:rPr>
          <w:b/>
          <w:lang w:val="lt-LT"/>
        </w:rPr>
      </w:pPr>
    </w:p>
    <w:p w14:paraId="652E7DF6" w14:textId="77777777" w:rsidR="00093845" w:rsidRDefault="000D779E" w:rsidP="00337B16">
      <w:pPr>
        <w:tabs>
          <w:tab w:val="left" w:pos="720"/>
          <w:tab w:val="left" w:pos="1077"/>
          <w:tab w:val="left" w:pos="1418"/>
        </w:tabs>
        <w:spacing w:after="0"/>
        <w:ind w:right="-6" w:firstLine="709"/>
        <w:jc w:val="both"/>
        <w:rPr>
          <w:b/>
          <w:lang w:val="lt-LT"/>
        </w:rPr>
      </w:pPr>
      <w:r>
        <w:rPr>
          <w:b/>
          <w:bCs/>
          <w:lang w:val="lt-LT"/>
        </w:rPr>
        <w:t>3. Pagal nuomos sutartį, kurioje nenumatytas nuosavybės teisės perėjimas pirkėjui visiškai apmokėjus turto vertę, arba pagal panaudos sutartį turimo ilgalaikio materialiojo turto rekonstravimo arba remonto, kuris pailgina turto naudingo tarnavimo laiką arba pagerina jo naudingąsias savybes, sąnaudos atskaitomos iš nuomininko ar panaudos gavėjo pajamų lygiomis dalimis per nuomos arba panaudos laikotarpį pradedant nuo kito mėnesio, po darbų užbaigimo, o tais atvejais, kai sudaryta neterminuota sutartis, - per Įstatymo 1 priedėlyje atitinkamoms turto grupėms nustatytą laikotarpį, bet ne trumpesnį kaip 3 metai. Jeigu nuomos arba panaudos sutartis nutraukiama prieš terminą, likusi remonto arba rekonstravimo sąnaudų dalis, kuri dar nebuvo įtraukta į leidžiamus atskaitymus, negali būti atskaitoma iš nuomininko ar panaudos gavėjo pajamų. Jei atliktas išsinuomoto arba pagal panaudos sutartį naudojamo ilgalaikio materialiojo turto rekonstravimas arba remontas, kuris pailgina turto naudingo tarnavimo laiką arba pagerina jo naudingąsias savybes, tai nuomotojas ar panaudos davėjas didina šio remonto arba rekonstravimo darbų verte ilgalaikio materialiojo turto įsigijimo kainą tuo mokestiniu laikotarpiu, kuriuo remontas arba rekonstravimas buvo iki galo atliktas, ir apmokestina šio Įstatymo nustatyta tvarka</w:t>
      </w:r>
      <w:r w:rsidR="00337B16">
        <w:rPr>
          <w:b/>
          <w:bCs/>
          <w:lang w:val="lt-LT"/>
        </w:rPr>
        <w:t>.</w:t>
      </w:r>
      <w:r>
        <w:rPr>
          <w:b/>
          <w:lang w:val="lt-LT"/>
        </w:rPr>
        <w:t xml:space="preserve"> </w:t>
      </w:r>
    </w:p>
    <w:p w14:paraId="43A332B7" w14:textId="77777777" w:rsidR="00093845" w:rsidRDefault="000D779E" w:rsidP="00337B16">
      <w:pPr>
        <w:tabs>
          <w:tab w:val="left" w:pos="720"/>
          <w:tab w:val="left" w:pos="1077"/>
          <w:tab w:val="left" w:pos="1418"/>
        </w:tabs>
        <w:spacing w:after="0"/>
        <w:ind w:right="-6"/>
        <w:jc w:val="both"/>
        <w:rPr>
          <w:i/>
          <w:lang w:val="lt-LT"/>
        </w:rPr>
      </w:pPr>
      <w:r w:rsidRPr="00FE7AB0">
        <w:rPr>
          <w:i/>
          <w:lang w:val="lt-LT"/>
        </w:rPr>
        <w:t xml:space="preserve">(KEISTA: </w:t>
      </w:r>
      <w:r w:rsidRPr="00FE7AB0">
        <w:rPr>
          <w:i/>
          <w:color w:val="000000"/>
          <w:lang w:val="lt-LT" w:eastAsia="lt-LT"/>
        </w:rPr>
        <w:t>2004 10 12 įstatymu Nr. IX-2492 (nuo 2004 10 30)</w:t>
      </w:r>
      <w:r w:rsidR="008D0FC6" w:rsidRPr="00FE7AB0">
        <w:rPr>
          <w:i/>
          <w:color w:val="000000"/>
          <w:lang w:val="lt-LT" w:eastAsia="lt-LT"/>
        </w:rPr>
        <w:t>,</w:t>
      </w:r>
      <w:r w:rsidR="00862B96" w:rsidRPr="00FE7AB0">
        <w:rPr>
          <w:i/>
          <w:lang w:val="lt-LT"/>
        </w:rPr>
        <w:t xml:space="preserve"> </w:t>
      </w:r>
      <w:r w:rsidR="00862B96" w:rsidRPr="00FE7AB0">
        <w:rPr>
          <w:i/>
          <w:color w:val="000000"/>
          <w:lang w:val="lt-LT" w:eastAsia="lt-LT"/>
        </w:rPr>
        <w:t>taikoma apskaičiuojant 2004 ir vėlesnių metų mokestinių laikotarpių apmokestinamąjį pelną</w:t>
      </w:r>
      <w:r w:rsidRPr="00FE7AB0">
        <w:rPr>
          <w:i/>
          <w:lang w:val="lt-LT"/>
        </w:rPr>
        <w:t>)</w:t>
      </w:r>
    </w:p>
    <w:p w14:paraId="66DD62FB" w14:textId="77777777" w:rsidR="00FE7AB0" w:rsidRPr="00FE7AB0" w:rsidRDefault="00FE7AB0" w:rsidP="00337B16">
      <w:pPr>
        <w:tabs>
          <w:tab w:val="left" w:pos="720"/>
          <w:tab w:val="left" w:pos="1077"/>
          <w:tab w:val="left" w:pos="1418"/>
        </w:tabs>
        <w:spacing w:after="0"/>
        <w:ind w:right="-6"/>
        <w:jc w:val="both"/>
        <w:rPr>
          <w:i/>
          <w:szCs w:val="20"/>
          <w:lang w:val="lt-LT"/>
        </w:rPr>
      </w:pPr>
    </w:p>
    <w:p w14:paraId="562B227B" w14:textId="77777777" w:rsidR="00093845" w:rsidRDefault="000D779E">
      <w:pPr>
        <w:tabs>
          <w:tab w:val="left" w:pos="720"/>
          <w:tab w:val="left" w:pos="1077"/>
          <w:tab w:val="left" w:pos="1418"/>
        </w:tabs>
        <w:ind w:right="43" w:firstLine="709"/>
        <w:jc w:val="both"/>
        <w:rPr>
          <w:b/>
          <w:lang w:val="lt-LT"/>
        </w:rPr>
      </w:pPr>
      <w:r>
        <w:rPr>
          <w:b/>
          <w:lang w:val="lt-LT"/>
        </w:rPr>
        <w:t>Komentaras</w:t>
      </w:r>
    </w:p>
    <w:p w14:paraId="4FD6A6B8" w14:textId="77777777" w:rsidR="00093845" w:rsidRDefault="000D779E">
      <w:pPr>
        <w:tabs>
          <w:tab w:val="left" w:pos="720"/>
          <w:tab w:val="left" w:pos="1077"/>
          <w:tab w:val="left" w:pos="1418"/>
        </w:tabs>
        <w:ind w:right="43" w:firstLine="709"/>
        <w:jc w:val="both"/>
        <w:rPr>
          <w:lang w:val="lt-LT"/>
        </w:rPr>
      </w:pPr>
      <w:r>
        <w:rPr>
          <w:lang w:val="lt-LT"/>
        </w:rPr>
        <w:t>1.</w:t>
      </w:r>
      <w:r>
        <w:rPr>
          <w:lang w:val="lt-LT"/>
        </w:rPr>
        <w:tab/>
        <w:t>Šioje dalyje nustatyta nuomojamo arba panaudos būdu naudojamo ilgalaikio materialiojo turto remonto, kuris pailgina turto naudingo tarnavimo laiką arba pagerina jo naudingąsias savybes,</w:t>
      </w:r>
      <w:r>
        <w:rPr>
          <w:b/>
          <w:bCs/>
          <w:lang w:val="lt-LT"/>
        </w:rPr>
        <w:t xml:space="preserve"> </w:t>
      </w:r>
      <w:r>
        <w:rPr>
          <w:lang w:val="lt-LT"/>
        </w:rPr>
        <w:t>ir rekonstravimo sąnaudų, priskiriamų ribojamo dydžio leidžiamiems atskaitymams, apskaičiavimo tvarka.</w:t>
      </w:r>
    </w:p>
    <w:p w14:paraId="78C6B91B" w14:textId="77777777" w:rsidR="00093845" w:rsidRDefault="000D779E">
      <w:pPr>
        <w:tabs>
          <w:tab w:val="left" w:pos="720"/>
          <w:tab w:val="left" w:pos="1077"/>
          <w:tab w:val="left" w:pos="1418"/>
        </w:tabs>
        <w:ind w:right="43" w:firstLine="709"/>
        <w:jc w:val="both"/>
        <w:rPr>
          <w:b/>
          <w:lang w:val="lt-LT"/>
        </w:rPr>
      </w:pPr>
      <w:r>
        <w:rPr>
          <w:lang w:val="lt-LT"/>
        </w:rPr>
        <w:t xml:space="preserve">2. Turtas, išsinuomotas pagal nuomos sutartį, kurioje numatytas nuosavybės teisės perėjimas vienetui apmokėjus visą turto vertę, remiantis PMĮ 13 str. 1 </w:t>
      </w:r>
      <w:r w:rsidR="008740BA">
        <w:rPr>
          <w:lang w:val="lt-LT"/>
        </w:rPr>
        <w:t xml:space="preserve">dalimi, </w:t>
      </w:r>
      <w:r>
        <w:rPr>
          <w:lang w:val="lt-LT"/>
        </w:rPr>
        <w:t>apskaičiuojant apmokestinamąjį pelną, laikomas nuomininko nuosavu turtu, todėl tokio turto remonto ir rekonstravimo sąnaudoms, kurios priskiriamos ribojamo dydžio leidžiamiems atskaitymams, apskaičiuoti taikomos PMĮ 20 str. 1 ir 2 dalies nuostatos.</w:t>
      </w:r>
    </w:p>
    <w:p w14:paraId="7AB83FF5" w14:textId="77777777" w:rsidR="00093845" w:rsidRDefault="000D779E">
      <w:pPr>
        <w:tabs>
          <w:tab w:val="left" w:pos="720"/>
          <w:tab w:val="left" w:pos="1077"/>
          <w:tab w:val="left" w:pos="1418"/>
        </w:tabs>
        <w:ind w:right="43" w:firstLine="709"/>
        <w:jc w:val="both"/>
        <w:rPr>
          <w:lang w:val="lt-LT"/>
        </w:rPr>
      </w:pPr>
      <w:r>
        <w:rPr>
          <w:lang w:val="lt-LT"/>
        </w:rPr>
        <w:t>3.</w:t>
      </w:r>
      <w:r>
        <w:rPr>
          <w:lang w:val="lt-LT"/>
        </w:rPr>
        <w:tab/>
        <w:t xml:space="preserve">Atsižvelgiant į tai, kad nuomininkui ar panaudos gavėjui atlikus išsinuomoto arba panaudos būdu naudojamo ilgalaikio materialiojo turto remontą, kuris </w:t>
      </w:r>
      <w:r>
        <w:rPr>
          <w:szCs w:val="20"/>
          <w:lang w:val="lt-LT"/>
        </w:rPr>
        <w:t>pailgina turto naudingo tarnavimo laiką ar pagerina jo naudingąsias savybes</w:t>
      </w:r>
      <w:r>
        <w:rPr>
          <w:lang w:val="lt-LT"/>
        </w:rPr>
        <w:t>, arba tą turtą rekonstravus, nuomotojas turi padidinti išnuomoto turto įsigijimo kainą, tai nuomininkas ar panaudos gavėjas, atlikęs minėto turto remonto arba rekonstravimo darbus, visais atvejais nuomotojui arba panaudos davėjui privalo pateikti:</w:t>
      </w:r>
    </w:p>
    <w:p w14:paraId="097AA3A7" w14:textId="77777777" w:rsidR="00093845" w:rsidRDefault="000D779E">
      <w:pPr>
        <w:pStyle w:val="Style1"/>
        <w:tabs>
          <w:tab w:val="left" w:pos="720"/>
          <w:tab w:val="left" w:pos="1077"/>
          <w:tab w:val="left" w:pos="1418"/>
        </w:tabs>
        <w:ind w:right="43" w:firstLine="709"/>
        <w:rPr>
          <w:rFonts w:ascii="Times New Roman" w:hAnsi="Times New Roman"/>
          <w:highlight w:val="cyan"/>
        </w:rPr>
      </w:pPr>
      <w:r>
        <w:rPr>
          <w:rFonts w:ascii="Times New Roman" w:hAnsi="Times New Roman"/>
        </w:rPr>
        <w:t xml:space="preserve">3.1. surašytą dokumentą - pranešimą, kuriame juridinę galią turinčių dokumentų, pagrindžiančių ilgalaikio materialiojo turto remonto arba rekonstravimo darbų atlikimo faktą bei tų darbų vertę,  </w:t>
      </w:r>
      <w:r>
        <w:rPr>
          <w:rFonts w:ascii="Times" w:hAnsi="Times"/>
        </w:rPr>
        <w:t>pagrindu nurodo atliktų darbų vertę</w:t>
      </w:r>
      <w:r>
        <w:rPr>
          <w:rFonts w:ascii="Times New Roman" w:hAnsi="Times New Roman"/>
        </w:rPr>
        <w:t>;</w:t>
      </w:r>
    </w:p>
    <w:p w14:paraId="40E4E4B5"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3.2. nuomininko ar panaudos gavėjo surašytą dokumentą, kuriame pateiktas atliktų darbų sąrašas bei jų aprašymas</w:t>
      </w:r>
      <w:r>
        <w:rPr>
          <w:rFonts w:ascii="Times New Roman" w:hAnsi="Times New Roman"/>
          <w:b/>
          <w:bCs/>
        </w:rPr>
        <w:t>.</w:t>
      </w:r>
      <w:r>
        <w:rPr>
          <w:rFonts w:ascii="Times New Roman" w:hAnsi="Times New Roman"/>
        </w:rPr>
        <w:t xml:space="preserve"> </w:t>
      </w:r>
    </w:p>
    <w:p w14:paraId="2826BF95"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4. Tuo atveju, kai nuomininko atlikti remonto darbai pailgina išsinuomoto ilgalaikio materialiojo turto naudingo tarnavimo laiko arba pagerina jo naudingąsias savybes, arba jei minėtas turtas rekonstruotas, tai nuomininkas minėto remonto arba rekonstravimo sąnaudas prie leidžiamų atskaitymų priskiria lygiomis dalimis per likusį nuomos arba panaudos laikotarpį, pradedant kitu mėnesiu, kai darbai buvo užbaigti.</w:t>
      </w:r>
    </w:p>
    <w:p w14:paraId="71908A12"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lastRenderedPageBreak/>
        <w:t>Pavyzdys</w:t>
      </w:r>
    </w:p>
    <w:p w14:paraId="510DD7AA"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UAB X 2004 m. sausio mėnesį iš UAB Y 5 metams išsinuomojo pastatą ir pradėjo jį naudoti įmonės veikloje. </w:t>
      </w:r>
    </w:p>
    <w:p w14:paraId="1B1769CE"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Nuo 2004 m. gruodžio 15 d. iki 2005 m. kovo 5 d. UAB X vykdė pastato remontą. UAB X nustatė, kad remonto darbai pagerino turto naudingąsias savybes. Remonto darbų kaina – 90 000 Lt. Ši suma paskirstoma likusiam nuomos laikotarpiui: 2005 metų 9 mėnesiams ir likusių 3 metų 36 mėnesiams, iš viso 45 mėnesiams. Vadinasi, 2005 m. prie ribojamų dydžių leidžiamų atskaitymų priskiriama 18 000 Lt (90 000 : 45 x 9 = 18 000), o 2006, 2007 ir 2008 metais prie ribojamų dydžių leidžiamų atskaitymų galima priskirti po 24 000 Lt (90 000 : 45 x 12 = 24000). </w:t>
      </w:r>
    </w:p>
    <w:p w14:paraId="6C42BD87"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5. Tuo atveju, kai atlikus remonto, kuris pailgina turto naudingo tarnavimo laiką arba pagerina jo naudingąsias savybes,</w:t>
      </w:r>
      <w:r>
        <w:rPr>
          <w:rFonts w:ascii="Times New Roman" w:hAnsi="Times New Roman"/>
          <w:b/>
          <w:bCs/>
        </w:rPr>
        <w:t xml:space="preserve"> </w:t>
      </w:r>
      <w:r>
        <w:rPr>
          <w:rFonts w:ascii="Times New Roman" w:hAnsi="Times New Roman"/>
        </w:rPr>
        <w:t xml:space="preserve">arba rekonstravimo darbus nuomos arba panaudos sutartis nutraukiama, tai ribojamų dydžių leidžiamiems atskaitymams galima priskirti tik to remonto arba rekonstravimo darbų vertės dalį, proporcingai tenkančią laikotarpiui, kurį po atlikto remonto arba rekonstravimo tas turtas buvo naudojamas pajamoms uždirbti. </w:t>
      </w:r>
    </w:p>
    <w:p w14:paraId="576DDF00" w14:textId="77777777" w:rsidR="00093845" w:rsidRDefault="000D779E">
      <w:pPr>
        <w:pStyle w:val="Style1"/>
        <w:tabs>
          <w:tab w:val="left" w:pos="720"/>
          <w:tab w:val="left" w:pos="1077"/>
          <w:tab w:val="left" w:pos="1418"/>
        </w:tabs>
        <w:ind w:right="43" w:firstLine="709"/>
        <w:rPr>
          <w:rFonts w:ascii="Times New Roman" w:hAnsi="Times New Roman"/>
          <w:b/>
          <w:bCs/>
        </w:rPr>
      </w:pPr>
      <w:r>
        <w:rPr>
          <w:rFonts w:ascii="Times New Roman" w:hAnsi="Times New Roman"/>
        </w:rPr>
        <w:t xml:space="preserve">Pavyzdys </w:t>
      </w:r>
    </w:p>
    <w:p w14:paraId="2D10DFB0"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rPr>
      </w:pPr>
      <w:r>
        <w:rPr>
          <w:rFonts w:ascii="Times New Roman" w:hAnsi="Times New Roman"/>
        </w:rPr>
        <w:t xml:space="preserve">UAB X 2002 m. sausio 1 d. savo veiklai vykdyti 4 metams išsinuomojo patalpas. 2004 m. sausio mėnesį minėta įmonė tas patalpas suremontavo. Remonto kaina - 30 000 Lt. UAB X nustatė, kad remonto darbai pagerino turto naudingąsias savybes. Pagal nuomos sutartį po remonto šis turtas įmonės veikloje turėjo būti naudojamas iki 2005 m. gruodžio 31 d. Vadinasi, šios remonto sąnaudos ribojamų dydžių leidžiamiems atskaitymams turi būti priskirtos lygiomis dalimis per likusį nuomos laikotarpį, pradedant 2004 m. vasario mėnesiu, t. y. per 23 mėnesius. Tačiau nuo 2005 m. sausio 1 d. nuomos sutartis nutraukiama. Todėl, apskaičiuojant apmokestinamąjį pelną, ribojamų dydžių leidžiamiems atskaitymams įmonė galės priskirti tik 14 347,82 Lt (30 000 : 23 x 11) sumą, nes po remonto pajamoms uždirbti tas turtas buvo naudojamas tik 11 mėnesių (t. y. nuo 2004 m. vasario 1 d. iki 2004 m. gruodžio 31 d.). Kita remonto sąnaudų dalis, t. y. 15 652,18 Lt (30 000 – 14 347,82), ribojamų dydžių leidžiamiems atskaitymams nepriskiriama. </w:t>
      </w:r>
    </w:p>
    <w:p w14:paraId="7B6230DC"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6.</w:t>
      </w:r>
      <w:r>
        <w:rPr>
          <w:rFonts w:ascii="Times New Roman" w:hAnsi="Times New Roman"/>
        </w:rPr>
        <w:tab/>
        <w:t>Jei nuomos ar panaudos sutartyje nėra nustatytas nuomos terminas, tai remonto,</w:t>
      </w:r>
      <w:r>
        <w:rPr>
          <w:rFonts w:ascii="Times New Roman" w:hAnsi="Times New Roman"/>
          <w:b/>
          <w:bCs/>
        </w:rPr>
        <w:t xml:space="preserve"> </w:t>
      </w:r>
      <w:r>
        <w:rPr>
          <w:rFonts w:ascii="Times New Roman" w:hAnsi="Times New Roman"/>
        </w:rPr>
        <w:t>kuris pailgina turto naudingo tarnavimo laiką arba pagerina jo naudingąsias savybes,</w:t>
      </w:r>
      <w:r>
        <w:rPr>
          <w:rFonts w:ascii="Times New Roman" w:hAnsi="Times New Roman"/>
          <w:b/>
          <w:bCs/>
        </w:rPr>
        <w:t xml:space="preserve"> </w:t>
      </w:r>
      <w:r>
        <w:rPr>
          <w:rFonts w:ascii="Times New Roman" w:hAnsi="Times New Roman"/>
        </w:rPr>
        <w:t xml:space="preserve">arba rekonstravimo sąnaudos prie leidžiamų atskaitymų priskiriamos per PMĮ 1 priedėlyje atitinkamoms turto grupėms nustatytą laikotarpį, bet ne trumpesnį kaip 3 metai. </w:t>
      </w:r>
    </w:p>
    <w:p w14:paraId="00F96488"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Tuo atveju, kai atlikus remonto,</w:t>
      </w:r>
      <w:r>
        <w:rPr>
          <w:rFonts w:ascii="Times New Roman" w:hAnsi="Times New Roman"/>
          <w:b/>
          <w:bCs/>
        </w:rPr>
        <w:t xml:space="preserve"> </w:t>
      </w:r>
      <w:r>
        <w:rPr>
          <w:rFonts w:ascii="Times New Roman" w:hAnsi="Times New Roman"/>
        </w:rPr>
        <w:t>kuris pailgina turto naudingo tarnavimo laiką arba pagerina jo naudingąsias savybes, arba rekonstravimo darbus neterminuota nuomos arba panaudos sutartis nutraukiama, tai ribojamų dydžių leidžiamiems atskaitymams galima priskirti tik to remonto arba rekonstravimo darbų vertės dalį, tenkančią laikotarpiui, kurį po atlikto rekonstravimo arba remonto tas turtas buvo naudojamas pajamoms uždirbti.</w:t>
      </w:r>
    </w:p>
    <w:p w14:paraId="7A926B93" w14:textId="77777777" w:rsidR="00093845" w:rsidRDefault="000D779E">
      <w:pPr>
        <w:pStyle w:val="Style1"/>
        <w:tabs>
          <w:tab w:val="left" w:pos="720"/>
          <w:tab w:val="left" w:pos="1077"/>
          <w:tab w:val="left" w:pos="1418"/>
        </w:tabs>
        <w:ind w:right="43" w:firstLine="709"/>
        <w:rPr>
          <w:rFonts w:ascii="Times New Roman" w:hAnsi="Times New Roman"/>
          <w:b/>
          <w:bCs/>
        </w:rPr>
      </w:pPr>
      <w:r>
        <w:rPr>
          <w:rFonts w:ascii="Times New Roman" w:hAnsi="Times New Roman"/>
        </w:rPr>
        <w:t xml:space="preserve">Pavyzdys </w:t>
      </w:r>
    </w:p>
    <w:p w14:paraId="5E35F31E" w14:textId="77777777" w:rsidR="00093845" w:rsidRDefault="000D779E">
      <w:pPr>
        <w:pStyle w:val="Style1"/>
        <w:pBdr>
          <w:top w:val="single" w:sz="4" w:space="0" w:color="auto"/>
          <w:left w:val="single" w:sz="4" w:space="4" w:color="auto"/>
          <w:bottom w:val="single" w:sz="4" w:space="1" w:color="auto"/>
          <w:right w:val="single" w:sz="4" w:space="4" w:color="auto"/>
        </w:pBdr>
        <w:tabs>
          <w:tab w:val="left" w:pos="720"/>
          <w:tab w:val="left" w:pos="1077"/>
          <w:tab w:val="left" w:pos="1418"/>
        </w:tabs>
        <w:ind w:right="43" w:firstLine="709"/>
        <w:rPr>
          <w:rFonts w:ascii="Times New Roman" w:hAnsi="Times New Roman"/>
        </w:rPr>
      </w:pPr>
      <w:r>
        <w:rPr>
          <w:rFonts w:ascii="Times New Roman" w:hAnsi="Times New Roman"/>
        </w:rPr>
        <w:t xml:space="preserve">UAB X savo veiklai vykdyti pagal neterminuotą nuomos sutartį išsinuomojo naują krovininį automobilį. Tarkim, kad 2004 metų liepos mėnesį ši įmonė atliko automobilio remontą. Remonto kaina –10 000 Lt. UAB X nustatė, kad remonto darbai pagerino turto naudingąsias savybes. Pagal PMĮ 1 priedėlį krovininių automobilių (ne senesnių kaip 5 metų) nusidėvėjimo normatyvas – 4 metai. Vadinasi, šios remonto sąnaudos ribojamų dydžių leidžiamiems atskaitymams turi būti priskirtos per 4 metus (48 mėnesius), pradedant 2004 m. rugpjūčio mėnesiu. Tačiau nuo 2006 m. sausio 1 d. nuomos sutartis nutraukiama. Todėl, apskaičiuojant apmokestinamąjį pelną, ribojamų dydžių leidžiamiems atskaitymams UAB X galės priskirti tik 3 541,66 Lt (10 000 : 48 x 17) sumą (t. y. 2004 m. – 1 041,66 </w:t>
      </w:r>
      <w:r>
        <w:rPr>
          <w:rFonts w:ascii="Times New Roman" w:hAnsi="Times New Roman"/>
        </w:rPr>
        <w:lastRenderedPageBreak/>
        <w:t>Lt (10 000 : 48 x 5), o 2005 m. - 2 499,99 Lt (10 000 : 48 x 12)), nes po remonto pajamoms uždirbti tas turtas buvo naudojamas tik 17 mėnesių. Kita remonto sąnaudų dalis, t. y. 6 458,34 Lt (10 000 – 3 541,66), ribojamų dydžių leidžiamiems atskaitymams nepriskiriama.</w:t>
      </w:r>
    </w:p>
    <w:p w14:paraId="56BCAFEC"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7.</w:t>
      </w:r>
      <w:r>
        <w:rPr>
          <w:rFonts w:ascii="Times New Roman" w:hAnsi="Times New Roman"/>
        </w:rPr>
        <w:tab/>
        <w:t>Tais atvejais, kai nuomininko arba panaudos gavėjo atliktas turto remontas akivaizdžiai nesietinas su turto teikiama nauda nuomininkui arba panaudos gavėjui, tokios remonto išlaidos laikomos neleidžiamais atskaitymais.</w:t>
      </w:r>
    </w:p>
    <w:p w14:paraId="1FB5CB66" w14:textId="77777777" w:rsidR="00093845" w:rsidRDefault="000D779E">
      <w:pPr>
        <w:pStyle w:val="Style1"/>
        <w:tabs>
          <w:tab w:val="left" w:pos="720"/>
          <w:tab w:val="left" w:pos="1077"/>
          <w:tab w:val="left" w:pos="1418"/>
        </w:tabs>
        <w:ind w:right="43" w:firstLine="709"/>
        <w:rPr>
          <w:rFonts w:ascii="Times New Roman" w:hAnsi="Times New Roman"/>
          <w:highlight w:val="green"/>
        </w:rPr>
      </w:pPr>
      <w:r>
        <w:rPr>
          <w:rFonts w:ascii="Times New Roman" w:hAnsi="Times New Roman"/>
        </w:rPr>
        <w:t>8.</w:t>
      </w:r>
      <w:r>
        <w:rPr>
          <w:rFonts w:ascii="Times New Roman" w:hAnsi="Times New Roman"/>
        </w:rPr>
        <w:tab/>
        <w:t xml:space="preserve">Tuo atveju, kai nuomininko atlikti remonto darbai pailgina išnuomoto ilgalaikio materialiojo turto naudingo tarnavimo laiką arba pagerina jo naudingąsias savybes, arba jei minėtas turtas rekonstruotas, tai nuomotojas ar panaudos davėjas turi padidinti šio remonto arba rekonstravimo darbų verte ilgalaikio materialiojo turto įsigijimo kainą tuo mokestiniu laikotarpiu, kuriuo remontas arba rekonstravimas buvo iki galo atliktas, ir apmokestinti PMĮ nustatyta tvarka. </w:t>
      </w:r>
    </w:p>
    <w:p w14:paraId="1C48D9A7" w14:textId="77777777" w:rsidR="00093845" w:rsidRDefault="000D779E">
      <w:pPr>
        <w:pStyle w:val="Style1"/>
        <w:tabs>
          <w:tab w:val="left" w:pos="720"/>
          <w:tab w:val="left" w:pos="1077"/>
          <w:tab w:val="left" w:pos="1418"/>
        </w:tabs>
        <w:ind w:right="43" w:firstLine="709"/>
        <w:rPr>
          <w:rFonts w:ascii="Times New Roman" w:hAnsi="Times New Roman"/>
        </w:rPr>
      </w:pPr>
      <w:r>
        <w:rPr>
          <w:rFonts w:ascii="Times New Roman" w:hAnsi="Times New Roman"/>
        </w:rPr>
        <w:t>Pavyzdžiai</w:t>
      </w:r>
    </w:p>
    <w:p w14:paraId="31D2AE17"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1. UAB X 2002 m. sausio mėnesį iš UAB Y 11 metų išsinuomojo pastatą ir pradėjo jį naudoti įmonės veikloje. </w:t>
      </w:r>
    </w:p>
    <w:p w14:paraId="7A6D7AB3"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Nuo 2003 m. gruodžio mėnesio iki 2004 m. liepos mėnesio UAB X vykdė pastato rekonstravimo darbus, kurių kaina – 450 000 Lt. Šią sumą UAB X galės priskirti prie ribojamų dydžių leidžiamų atskaitymų lygiomis dalimis per 2004 - 2012 metus, pradedant 2004 m. rugpjūčio mėnesiu.</w:t>
      </w:r>
    </w:p>
    <w:p w14:paraId="550916C4"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Kadangi buvo atlikti rekonstravimo darbai, UAB X turi surašyti UAB Y dokumentą – pranešimą, kuriame juridinę galią turinčių dokumentų, pagrindžiančių ilgalaikio materialiojo turto rekonstravimo darbų atlikimo faktą bei tų darbų vertę, pagrindu nurodyta atliktų darbų vertė ir dokumentą, kuriame pateiktas atliktų darbų sąrašas bei jų aprašymas.</w:t>
      </w:r>
    </w:p>
    <w:p w14:paraId="58BB5337"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 xml:space="preserve">UAB Y pastato rekonstravimo darbų kaina (450 000 Lt) turi padidinti pastato įsigijimo kainą bei šią sumą priskirti 2004 metų pajamoms. UAB Y šio pastato nusidėvėjimą gali skaičiuoti nuo rekonstravimo darbų kaina padidintos pastato įsigijimo kainos. </w:t>
      </w:r>
    </w:p>
    <w:p w14:paraId="2574420B"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2. UAB Z 2002 m. sausio mėnesį iš UAB K 11 metų išsinuomojo pastatą ir pradėjo jį naudoti įmonės veikloje.</w:t>
      </w:r>
    </w:p>
    <w:p w14:paraId="78166A66"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Nuo 2003 m. gruodžio mėnesio iki 2004 m. kovo mėnesio UAB Z vykdė pastato remonto darbus, kurių kaina – 100 000 Lt. UAB Z nustatė, kad remonto darbai pagerino turto naudingąsias savybes</w:t>
      </w:r>
      <w:r>
        <w:rPr>
          <w:rFonts w:ascii="Times New Roman" w:hAnsi="Times New Roman" w:cs="Times New Roman"/>
          <w:b/>
          <w:bCs/>
          <w:lang w:val="lt-LT"/>
        </w:rPr>
        <w:t xml:space="preserve">. </w:t>
      </w:r>
      <w:r>
        <w:rPr>
          <w:rFonts w:ascii="Times New Roman" w:hAnsi="Times New Roman" w:cs="Times New Roman"/>
          <w:lang w:val="lt-LT"/>
        </w:rPr>
        <w:t xml:space="preserve">Šią sumą UAB Z galės priskirti prie ribojamų dydžių leidžiamų atskaitymų lygiomis dalimis per 2004 - 2012 metus, pradedant 2004 m. balandžio mėnesiu. </w:t>
      </w:r>
    </w:p>
    <w:p w14:paraId="0EFCB30F"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UAB Z, atlikusi remonto darbus, turi surašyti UAB K dokumentą - pranešimą, kuriame  juridinę galią turinčių dokumentų, pagrindžiančių ilgalaikio materialiojo turto rekonstravimo darbų atlikimo faktą bei tų darbų vertę, pagrindu nurodyta atliktų darbų vertė ir dokumentą, kuriame pateiktas atliktų darbų sąrašas bei jų aprašymas.</w:t>
      </w:r>
    </w:p>
    <w:p w14:paraId="0F6DFE6D" w14:textId="77777777" w:rsidR="00093845" w:rsidRDefault="000D779E">
      <w:pPr>
        <w:pStyle w:val="Pagrindiniotekstotrauka"/>
        <w:pBdr>
          <w:left w:val="single" w:sz="4" w:space="4" w:color="auto"/>
          <w:right w:val="single" w:sz="4" w:space="4" w:color="auto"/>
        </w:pBdr>
        <w:tabs>
          <w:tab w:val="left" w:pos="720"/>
          <w:tab w:val="left" w:pos="1077"/>
          <w:tab w:val="left" w:pos="1418"/>
        </w:tabs>
        <w:ind w:right="43" w:firstLine="709"/>
        <w:rPr>
          <w:rFonts w:ascii="Times New Roman" w:hAnsi="Times New Roman" w:cs="Times New Roman"/>
          <w:lang w:val="lt-LT"/>
        </w:rPr>
      </w:pPr>
      <w:r>
        <w:rPr>
          <w:rFonts w:ascii="Times New Roman" w:hAnsi="Times New Roman" w:cs="Times New Roman"/>
          <w:lang w:val="lt-LT"/>
        </w:rPr>
        <w:t>UAB K, gavusi iš UAB Z minėtus dokumentus, nustatė, kad šie remonto darbai pailgino to pastato naudojimo laikotarpį, todėl pastato remonto darbų kaina (100 000 Lt) turi padidinti pastato įsigijimo kainą, bei šią sumą priskirti 2004 metų pajamoms. UAB K šio pastato nusidėvėjimą gali skaičiuoti nuo remonto darbų kaina padidintos pastato įsigijimo kainos.“</w:t>
      </w:r>
    </w:p>
    <w:p w14:paraId="09C64303" w14:textId="77777777" w:rsidR="00093845" w:rsidRDefault="00093845">
      <w:pPr>
        <w:pStyle w:val="Pagrindiniotekstotrauka"/>
        <w:pBdr>
          <w:top w:val="single" w:sz="4" w:space="1" w:color="auto"/>
        </w:pBdr>
        <w:tabs>
          <w:tab w:val="left" w:pos="720"/>
          <w:tab w:val="left" w:pos="1077"/>
          <w:tab w:val="left" w:pos="1418"/>
        </w:tabs>
        <w:ind w:right="43" w:firstLine="709"/>
        <w:rPr>
          <w:rFonts w:ascii="Times New Roman" w:hAnsi="Times New Roman" w:cs="Times New Roman"/>
          <w:lang w:val="lt-LT"/>
        </w:rPr>
      </w:pPr>
    </w:p>
    <w:p w14:paraId="16059266" w14:textId="77777777" w:rsidR="00093845" w:rsidRDefault="000D779E">
      <w:pPr>
        <w:tabs>
          <w:tab w:val="left" w:pos="720"/>
          <w:tab w:val="left" w:pos="1077"/>
          <w:tab w:val="left" w:pos="1418"/>
        </w:tabs>
        <w:ind w:right="-5" w:firstLine="709"/>
        <w:jc w:val="both"/>
        <w:rPr>
          <w:b/>
          <w:szCs w:val="20"/>
          <w:lang w:val="lt-LT"/>
        </w:rPr>
      </w:pPr>
      <w:r>
        <w:rPr>
          <w:b/>
          <w:lang w:val="lt-LT"/>
        </w:rPr>
        <w:t>4.</w:t>
      </w:r>
      <w:r>
        <w:rPr>
          <w:b/>
          <w:lang w:val="lt-LT"/>
        </w:rPr>
        <w:tab/>
        <w:t xml:space="preserve">Materialiojo ilgalaikio turto, kuris nuosavybės teise priklauso ūkinių bendrijų nariams, individualių įmonių savininkams ir jų šeimų nariams ir yra naudojamas šių vienetų </w:t>
      </w:r>
      <w:r>
        <w:rPr>
          <w:b/>
          <w:lang w:val="lt-LT"/>
        </w:rPr>
        <w:lastRenderedPageBreak/>
        <w:t xml:space="preserve">veikloje, eksploatavimo ir remonto sąnaudos iš pajamų atskaitomos finansų ministro nustatyta tvarka. </w:t>
      </w:r>
    </w:p>
    <w:p w14:paraId="6ECE1164" w14:textId="77777777" w:rsidR="00093845" w:rsidRDefault="000D779E">
      <w:pPr>
        <w:tabs>
          <w:tab w:val="left" w:pos="720"/>
          <w:tab w:val="left" w:pos="1077"/>
          <w:tab w:val="left" w:pos="1418"/>
        </w:tabs>
        <w:ind w:right="-5" w:firstLine="709"/>
        <w:jc w:val="both"/>
        <w:rPr>
          <w:b/>
          <w:lang w:val="lt-LT"/>
        </w:rPr>
      </w:pPr>
      <w:r>
        <w:rPr>
          <w:b/>
          <w:lang w:val="lt-LT"/>
        </w:rPr>
        <w:t>Komentaras</w:t>
      </w:r>
    </w:p>
    <w:p w14:paraId="727E2E5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Lietuvos Respublikos finansų ministro 2002 m. vasario 11 d.</w:t>
      </w:r>
      <w:r w:rsidRPr="008740BA">
        <w:rPr>
          <w:rFonts w:ascii="Times New Roman" w:hAnsi="Times New Roman"/>
        </w:rPr>
        <w:t xml:space="preserve"> </w:t>
      </w:r>
      <w:r w:rsidR="00ED2FA3" w:rsidRPr="008740BA">
        <w:rPr>
          <w:rStyle w:val="Hipersaitas"/>
          <w:rFonts w:ascii="Times New Roman" w:hAnsi="Times New Roman" w:cs="Times New Roman"/>
          <w:b w:val="0"/>
          <w:bCs w:val="0"/>
          <w:kern w:val="0"/>
          <w:szCs w:val="20"/>
          <w:lang w:val="lt-LT"/>
        </w:rPr>
        <w:t>įsakymu Nr. 39</w:t>
      </w:r>
      <w:r w:rsidRPr="008740BA">
        <w:rPr>
          <w:rFonts w:ascii="Times New Roman" w:hAnsi="Times New Roman"/>
        </w:rPr>
        <w:t xml:space="preserve"> </w:t>
      </w:r>
      <w:r>
        <w:rPr>
          <w:rFonts w:ascii="Times New Roman" w:hAnsi="Times New Roman"/>
        </w:rPr>
        <w:t>,,Dėl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patvirtinta ūkinių bendrijų nariams, individualių (personalinių) įmonių savininkams (toliau šios dalies komentare vadinama - dalyviai) ir jų šeimų nariams nuosavybės teise priklausančio materialiojo ilgalaikio turto naudojimo ūkinių bendrijų ir individualių (personalinių) įmonių veikloje įforminimą ir įmonės veikloje naudojamai turto daliai tenkančių sąnaudų, kurios gali būti atskaitomos iš įmonės pajamų, nustatymo tvarka (toliau – Tvarka).</w:t>
      </w:r>
    </w:p>
    <w:p w14:paraId="6DC40FE0"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Tvarkos I skyriuje išdėstytos tokios bendrosios nuostatos:</w:t>
      </w:r>
    </w:p>
    <w:p w14:paraId="15A1E99B" w14:textId="77777777" w:rsidR="00093845" w:rsidRDefault="000D779E">
      <w:pPr>
        <w:tabs>
          <w:tab w:val="left" w:pos="720"/>
          <w:tab w:val="left" w:pos="1077"/>
          <w:tab w:val="left" w:pos="1418"/>
        </w:tabs>
        <w:ind w:right="-5" w:firstLine="709"/>
        <w:jc w:val="both"/>
        <w:rPr>
          <w:szCs w:val="20"/>
          <w:lang w:val="lt-LT"/>
        </w:rPr>
      </w:pPr>
      <w:r>
        <w:rPr>
          <w:lang w:val="lt-LT"/>
        </w:rPr>
        <w:t>2.1.</w:t>
      </w:r>
      <w:r>
        <w:rPr>
          <w:lang w:val="lt-LT"/>
        </w:rPr>
        <w:tab/>
        <w:t xml:space="preserve">Dalyvio ir jo šeimos narių turto naudojimas vieneto veikloje yra įforminamas įmonės vadovo arba individualios (personalinės) įmonės savininko (toliau - vadovas) įsakymu, kuriame nurodoma: </w:t>
      </w:r>
    </w:p>
    <w:p w14:paraId="7F8BA211"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 xml:space="preserve">turto pavadinimas; </w:t>
      </w:r>
    </w:p>
    <w:p w14:paraId="2AD5604F"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 xml:space="preserve">turto apibūdinimas, techniniai-ekonominiai parametrai (plotas, tūris, pajėgumas ir pan.); </w:t>
      </w:r>
    </w:p>
    <w:p w14:paraId="56DC9389" w14:textId="77777777" w:rsidR="00093845" w:rsidRDefault="000D779E">
      <w:pPr>
        <w:tabs>
          <w:tab w:val="left" w:pos="720"/>
          <w:tab w:val="left" w:pos="1077"/>
          <w:tab w:val="left" w:pos="1418"/>
        </w:tabs>
        <w:ind w:right="-5" w:firstLine="709"/>
        <w:jc w:val="both"/>
        <w:rPr>
          <w:szCs w:val="20"/>
          <w:lang w:val="lt-LT"/>
        </w:rPr>
      </w:pPr>
      <w:r>
        <w:rPr>
          <w:lang w:val="lt-LT"/>
        </w:rPr>
        <w:t>3)</w:t>
      </w:r>
      <w:r>
        <w:rPr>
          <w:lang w:val="lt-LT"/>
        </w:rPr>
        <w:tab/>
        <w:t xml:space="preserve">turto savininkas. Jei turto savininkas nėra įmonės dalyvis, nurodoma, koks jo, kaip šeimos nario, ryšys su įmonės dalyviu; </w:t>
      </w:r>
    </w:p>
    <w:p w14:paraId="6714CAA1" w14:textId="77777777" w:rsidR="00093845" w:rsidRDefault="000D779E">
      <w:pPr>
        <w:tabs>
          <w:tab w:val="left" w:pos="720"/>
          <w:tab w:val="left" w:pos="1077"/>
          <w:tab w:val="left" w:pos="1418"/>
        </w:tabs>
        <w:ind w:right="-5" w:firstLine="709"/>
        <w:jc w:val="both"/>
        <w:rPr>
          <w:szCs w:val="20"/>
          <w:lang w:val="lt-LT"/>
        </w:rPr>
      </w:pPr>
      <w:r>
        <w:rPr>
          <w:lang w:val="lt-LT"/>
        </w:rPr>
        <w:t>4)</w:t>
      </w:r>
      <w:r>
        <w:rPr>
          <w:lang w:val="lt-LT"/>
        </w:rPr>
        <w:tab/>
        <w:t>turto kaina, kuri apskaičiuojama iš juridinę galią turinčiuose turto pirkimo (įsigijimo) dokumentuose nurodytos kainos atėmus laikotarpio iki turto perdavimo naudoti įmonės veikloje turto nusidėvėjimo sumą. Turto nusidėvėjimo suma apskaičiuojama taikant tiesinį metodą ir kito mėnesio būdą (žr. PMĮ 18 straipsnio 10 dalies komentarą). Jei turto savininkas neturi turto pirkimo (įsigijimo) kainą patvirtinančių juridinę galią turinčių dokumentų, tai turto kaina gali būti nustatyta nepriklausomų turto vertintojų, turinčių teisę verstis tokia veikla, arba vadovaujantis Komisijos privalomam registruoti turtui įvertinti nutarimų nuostatomis. Jei turtas buvo įsigytas, bet nenaudojamas, tai įmonės veikloje naudojamo turto kaina gali būti nustatyta ir pagal to turto įsigijimą patvirtinančiuose ir juridinę galią turinčiuose dokumentuose nurodytą pirkimo kainą (nes nenaudojamo turto nusidėvėjimas neskaičiuojamas).</w:t>
      </w:r>
    </w:p>
    <w:p w14:paraId="23AE76DB" w14:textId="77777777" w:rsidR="00093845" w:rsidRDefault="000D779E">
      <w:pPr>
        <w:tabs>
          <w:tab w:val="left" w:pos="720"/>
          <w:tab w:val="left" w:pos="1077"/>
          <w:tab w:val="left" w:pos="1418"/>
        </w:tabs>
        <w:ind w:right="-5" w:firstLine="709"/>
        <w:jc w:val="both"/>
        <w:rPr>
          <w:szCs w:val="20"/>
          <w:lang w:val="lt-LT"/>
        </w:rPr>
      </w:pPr>
      <w:r>
        <w:rPr>
          <w:lang w:val="lt-LT"/>
        </w:rPr>
        <w:t>5)</w:t>
      </w:r>
      <w:r>
        <w:rPr>
          <w:lang w:val="lt-LT"/>
        </w:rPr>
        <w:tab/>
        <w:t xml:space="preserve">įmonės veiklos, kurioje turtas bus naudojamas, pavadinimas; </w:t>
      </w:r>
    </w:p>
    <w:p w14:paraId="77126667"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6)</w:t>
      </w:r>
      <w:r>
        <w:rPr>
          <w:rFonts w:ascii="Times New Roman" w:hAnsi="Times New Roman"/>
        </w:rPr>
        <w:tab/>
        <w:t>turto dalis, naudojama įmonės veikloje (procentais), kuri nustatoma atsižvelgiant į turto rūšį ir ekonominę naudą: naudojant transporto priemones - į įmonės reikalais nuvažiuojamų kilometrų skaičių, naudojant patalpas - į patalpų plotą (tūrį), naudojamą įmonės veiklai, naudojant įrenginius - į įrenginių darbo laiką ir pan. Jei pasikeičia įmonės veikloje naudojamo turto dalis, įmonės vadovas privalo išleisti naują įsakymą ir juo patikslinti įmonės veikloje naudojamą turto dalį.</w:t>
      </w:r>
    </w:p>
    <w:p w14:paraId="17EF7C20" w14:textId="77777777" w:rsidR="00093845" w:rsidRDefault="000D779E">
      <w:pPr>
        <w:tabs>
          <w:tab w:val="left" w:pos="720"/>
          <w:tab w:val="left" w:pos="1077"/>
          <w:tab w:val="left" w:pos="1418"/>
        </w:tabs>
        <w:ind w:right="-5" w:firstLine="709"/>
        <w:jc w:val="both"/>
        <w:rPr>
          <w:szCs w:val="20"/>
          <w:lang w:val="lt-LT"/>
        </w:rPr>
      </w:pPr>
      <w:r>
        <w:rPr>
          <w:lang w:val="lt-LT"/>
        </w:rPr>
        <w:t>2.2.</w:t>
      </w:r>
      <w:r>
        <w:rPr>
          <w:lang w:val="lt-LT"/>
        </w:rPr>
        <w:tab/>
        <w:t xml:space="preserve">Per 15 dienų nuo įmonės vadovo įsakymo išleidimo du įsakymo egzemplioriai turi būti pateikti apskrities valstybinės mokesčių inspekcijos miesto (rajono) skyriui (toliau – AVMI) pagal įmonės registravimo vietą. Vienas šio įsakymo egzempliorius su jo gavimą patvirtinančiu spaudu ir atsakingo darbuotojo parašu grąžinamas vienetui. </w:t>
      </w:r>
    </w:p>
    <w:p w14:paraId="59799118"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Jeigu įmonės vadovas AVMI buvo pateikęs įsakymą pagal </w:t>
      </w:r>
      <w:r>
        <w:rPr>
          <w:rFonts w:ascii="Times New Roman" w:hAnsi="Times New Roman"/>
          <w:u w:val="single"/>
        </w:rPr>
        <w:t>Lietuvos Respublikos</w:t>
      </w:r>
      <w:r>
        <w:rPr>
          <w:rFonts w:ascii="Times New Roman" w:hAnsi="Times New Roman"/>
        </w:rPr>
        <w:t xml:space="preserve"> </w:t>
      </w:r>
      <w:r>
        <w:rPr>
          <w:rFonts w:ascii="Times New Roman" w:hAnsi="Times New Roman"/>
          <w:u w:val="single"/>
        </w:rPr>
        <w:t>finansų ministro 1999 m. balandžio 9 d. įsakymu Nr. 93</w:t>
      </w:r>
      <w:r>
        <w:rPr>
          <w:rFonts w:ascii="Times New Roman" w:hAnsi="Times New Roman"/>
        </w:rPr>
        <w:t xml:space="preserve"> ,,Dėl juridinio asmens teisių neturinčių įmonių savininkams ir jų šeimos nariams asmeninės nuosavybės teise priklausančio turto, naudojamo įmonės </w:t>
      </w:r>
      <w:r>
        <w:rPr>
          <w:rFonts w:ascii="Times New Roman" w:hAnsi="Times New Roman"/>
        </w:rPr>
        <w:lastRenderedPageBreak/>
        <w:t>veikloje, eksploatavimo, nusidėvėjimo ir remonto išlaidų pripažinimo įmonės gamybos (veiklos) sąnaudomis tvarkos patvirtinimo“ patvirtintos Juridinio asmens teisių neturinčių įmonių savininkams ir jų šeimos nariams asmeninės nuosavybės teise priklausančio turto, naudojamo įmonės veikloje, eksploatavimo, nusidėvėjimo ir remonto išlaidų pripažinimo įmonės gamybos (veiklos) sąnaudomis tvarkos nuostatas, tačiau jame nebuvo nurodyta įmonės veikloje naudojamo ilgalaikio materialiojo turto kaina, įmonė 2002 metais gali papildyti ankstesnį įsakymą, nurodydama to turto įsigijimo kainą, t.y. naujo įsakymo pateikti nereikia.</w:t>
      </w:r>
    </w:p>
    <w:p w14:paraId="27C02BC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Tvarkos II skyriuje nustatyta transporto priemonių eksploatavimo sąnaudų atskaitymo iš įmonių pajamų tvarka. </w:t>
      </w:r>
    </w:p>
    <w:p w14:paraId="125C0D8B" w14:textId="77777777" w:rsidR="00093845" w:rsidRDefault="000D779E">
      <w:pPr>
        <w:tabs>
          <w:tab w:val="left" w:pos="720"/>
          <w:tab w:val="left" w:pos="1077"/>
          <w:tab w:val="left" w:pos="1418"/>
        </w:tabs>
        <w:ind w:right="-5" w:firstLine="709"/>
        <w:jc w:val="both"/>
        <w:rPr>
          <w:szCs w:val="20"/>
          <w:lang w:val="lt-LT"/>
        </w:rPr>
      </w:pPr>
      <w:r>
        <w:rPr>
          <w:lang w:val="lt-LT"/>
        </w:rPr>
        <w:t xml:space="preserve">Transporto priemonių, nuosavybės teise priklausančių dalyviams ir jų šeimų nariams, eksploatavimo (išskyrus remontą) sąnaudoms, atskaitomoms iš įmonės pajamų, yra priskiriama per mokestinį laikotarpį sunaudotų degalų, tepalų ir kitų su transporto priemonių eksploatacija susijusių sąnaudų kaina, proporcingai tenkanti transporto priemonės panaudojimo įmonės veikloje daliai, nurodytai įmonės vadovo įsakyme. </w:t>
      </w:r>
    </w:p>
    <w:p w14:paraId="70805354" w14:textId="77777777" w:rsidR="00093845" w:rsidRDefault="000D779E">
      <w:pPr>
        <w:tabs>
          <w:tab w:val="left" w:pos="720"/>
          <w:tab w:val="left" w:pos="1077"/>
          <w:tab w:val="left" w:pos="1418"/>
        </w:tabs>
        <w:ind w:right="-5" w:firstLine="709"/>
        <w:jc w:val="both"/>
        <w:rPr>
          <w:szCs w:val="20"/>
          <w:lang w:val="lt-LT"/>
        </w:rPr>
      </w:pPr>
      <w:r>
        <w:rPr>
          <w:lang w:val="lt-LT"/>
        </w:rPr>
        <w:t>3.1.</w:t>
      </w:r>
      <w:r>
        <w:rPr>
          <w:lang w:val="lt-LT"/>
        </w:rPr>
        <w:tab/>
        <w:t xml:space="preserve">Sunaudotų degalų ir tepalų kiekis nustatomas atsižvelgiant į per mokestinį laikotarpį įmonės reikmėms nuvažiuotų kilometrų skaičių (kilometrų skaičius proporcingas transporto priemonės naudojimo įmonės veikloje daliai, nurodytai įmonės vadovo įsakyme) ir atitinkamos transporto priemonės gamintojo nurodytus transporto priemonės techninius duomenis (degalų sunaudojimo normas 100 kilometrų bei būtiną tepalų keitimo dažnumą). </w:t>
      </w:r>
    </w:p>
    <w:p w14:paraId="0609A273"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3AA9BCAA" w14:textId="77777777" w:rsidR="00093845" w:rsidRDefault="000D779E">
      <w:pPr>
        <w:pBdr>
          <w:top w:val="single" w:sz="4" w:space="1" w:color="auto"/>
          <w:left w:val="single" w:sz="4" w:space="4" w:color="auto"/>
          <w:right w:val="single" w:sz="4" w:space="4" w:color="auto"/>
        </w:pBdr>
        <w:tabs>
          <w:tab w:val="left" w:pos="720"/>
          <w:tab w:val="left" w:pos="1077"/>
          <w:tab w:val="left" w:pos="1418"/>
        </w:tabs>
        <w:ind w:right="-5" w:firstLine="709"/>
        <w:jc w:val="both"/>
        <w:rPr>
          <w:szCs w:val="20"/>
          <w:lang w:val="lt-LT"/>
        </w:rPr>
      </w:pPr>
      <w:r>
        <w:rPr>
          <w:lang w:val="lt-LT"/>
        </w:rPr>
        <w:t xml:space="preserve">Įmonės vadovo įsakymu nustatyta, kad įmonės dalyvio lengvasis automobilis įmonės veikloje naudojamas 50 procentų. Šiame įsakyme taip pat nurodyta, kad pagal gamintojo duomenis šios transporto priemonės benzino sunaudojimo norma yra 10 litrų 100 kilometrų. </w:t>
      </w:r>
    </w:p>
    <w:p w14:paraId="1CB7AA04"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Minėtas lengvasis automobilis iš viso per mokestinį laikotarpį nuvažiavo 25 000 kilometrų. Vadinasi, įmonės reikmėms automobilis nuvažiavo 12 500 (25 000 x 50 proc.) kilometrų. Šio automobilio benzino sunaudojimo norma 12 500 kilometrams yra 1 250 (12 500 :100 x 10) litrų. Todėl įmonė prie leidžiamų atskaitymų gali priskirti sumą, kurią įmonė faktiškai sumokėjo už 1 250 litrų benzino įsigijimą. </w:t>
      </w:r>
    </w:p>
    <w:p w14:paraId="4D021047" w14:textId="77777777" w:rsidR="00093845" w:rsidRDefault="000D779E">
      <w:pPr>
        <w:tabs>
          <w:tab w:val="left" w:pos="720"/>
          <w:tab w:val="left" w:pos="1077"/>
          <w:tab w:val="left" w:pos="1418"/>
        </w:tabs>
        <w:ind w:right="-5" w:firstLine="709"/>
        <w:jc w:val="both"/>
        <w:rPr>
          <w:szCs w:val="20"/>
          <w:lang w:val="lt-LT"/>
        </w:rPr>
      </w:pPr>
      <w:r>
        <w:rPr>
          <w:lang w:val="lt-LT"/>
        </w:rPr>
        <w:t>3.2.</w:t>
      </w:r>
      <w:r>
        <w:rPr>
          <w:lang w:val="lt-LT"/>
        </w:rPr>
        <w:tab/>
        <w:t xml:space="preserve">Per mokestinį laikotarpį su transporto priemonių eksploatacija susijusių kitų sąnaudų (filtrų, padangų, plovimo priemonių, smulkių detalių įsigijimo kaina, pagal Lietuvos Respublikos transporto priemonių savininkų ir valdytojų civilinės atsakomybės privalomojo draudimo įstatymo nuostatas sumokėtos draudimo įmokos, technines apžiūras bei kitokias (išskyrus remontą) paslaugas atliekančių organizacijų patarnavimų kaina), kurios gali būti priskirtos prie leidžiamų atskaitymų, suma apskaičiuojama proporcingai transporto priemonės panaudojimo įmonės veikloje daliai, nurodytai įmonės vadovo įsakyme. </w:t>
      </w:r>
    </w:p>
    <w:p w14:paraId="63374FCE"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5BFD6DC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vadovo įsakyme nustatyta, kad įmonės dalyvio šeimos nario krovininis automobilis įmonės veikloje panaudojamas 90 procentų. Per mokestinį laikotarpį įmonė patyrė 3000 Lt šios transporto priemonės eksploatavimo išlaidų, kurios patvirtintos juridinę galią turinčiais dokumentais. Prie leidžiamų atskaitymų gali būti priskirta tik 2700 (3000 x 90 : 100) Lt eksploatavimo sąnaudų.</w:t>
      </w:r>
    </w:p>
    <w:p w14:paraId="246919E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4.</w:t>
      </w:r>
      <w:r>
        <w:rPr>
          <w:rFonts w:ascii="Times New Roman" w:hAnsi="Times New Roman"/>
        </w:rPr>
        <w:tab/>
        <w:t>Tvarkos III skyriuje nustatyta transporto priemonių remonto sąnaudų atskaitymo iš įmonių pajamų tvarka.</w:t>
      </w:r>
    </w:p>
    <w:p w14:paraId="6F1365A4" w14:textId="77777777" w:rsidR="00093845" w:rsidRDefault="000D779E">
      <w:pPr>
        <w:tabs>
          <w:tab w:val="left" w:pos="720"/>
          <w:tab w:val="left" w:pos="1077"/>
          <w:tab w:val="left" w:pos="1418"/>
        </w:tabs>
        <w:ind w:right="-5" w:firstLine="709"/>
        <w:jc w:val="both"/>
        <w:rPr>
          <w:szCs w:val="20"/>
          <w:lang w:val="lt-LT"/>
        </w:rPr>
      </w:pPr>
      <w:r>
        <w:rPr>
          <w:lang w:val="lt-LT"/>
        </w:rPr>
        <w:lastRenderedPageBreak/>
        <w:t>Transporto priemonių, nuosavybės teise priklausančių įmonių dalyviams ir jų šeimų nariams (sutuoktiniams, tėvams, įtėviams, vaikams ir įvaikiams), remonto sąnaudoms, atskaitomoms iš įmonės pajamų, yra priskiriama per mokestinį laikotarpį atliktų transporto priemonių remonto darbų kaina, įskaitant remontui sunaudotas medžiagas (toliau - remonto darbų kaina), proporcingai tenkanti transporto priemonės panaudojimo įmonės veikloje daliai, nurodytai įmonės vadovo įsakyme.</w:t>
      </w:r>
    </w:p>
    <w:p w14:paraId="562F43A8" w14:textId="77777777" w:rsidR="00093845" w:rsidRDefault="000D779E">
      <w:pPr>
        <w:tabs>
          <w:tab w:val="left" w:pos="720"/>
          <w:tab w:val="left" w:pos="1077"/>
          <w:tab w:val="left" w:pos="1418"/>
        </w:tabs>
        <w:ind w:right="-5" w:firstLine="709"/>
        <w:jc w:val="both"/>
        <w:rPr>
          <w:szCs w:val="20"/>
          <w:lang w:val="lt-LT"/>
        </w:rPr>
      </w:pPr>
      <w:r>
        <w:rPr>
          <w:lang w:val="lt-LT"/>
        </w:rPr>
        <w:t>4.1.</w:t>
      </w:r>
      <w:r>
        <w:rPr>
          <w:lang w:val="lt-LT"/>
        </w:rPr>
        <w:tab/>
        <w:t xml:space="preserve">Jei visa remonto darbų kaina per mokestinį laikotarpį neviršija 50 procentų transporto priemonės kainos, nurodytos įmonės vadovo įsakyme, tai remonto darbų kaina, proporcingai tenkanti transporto priemonės panaudojimo įmonės veikloje daliai, atskaitoma iš įmonės pajamų tuo pačiu mokestiniu laikotarpiu, kuriuo buvo atliktas remontas. </w:t>
      </w:r>
    </w:p>
    <w:p w14:paraId="6E436044"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29D1018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Įmonės vadovo įsakyme nustatyta, kad įmonės dalyvio šeimos nario krovininis automobilis įmonės veikloje naudojamas 90 procentų. Šios transporto priemonės kaina, nurodyta įmonės vadovo įsakyme, yra 150 000 Lt. 2002 metais įmonė krovininį automobilį remontavo 2 kartus: kovo mėnesį už remonto darbus buvo sumokėta 15 000 Lt, o rugpjūčio – 20 000 Lt. Vadinasi, per mokestinį laikotarpį remonto sąnaudos sudarė 35 000 Lt. Kadangi ši suma nėra didesnė kaip 50 proc. transporto priemonės kainos, nurodytos įmonės vadovo įsakyme (sudaro tik 23,33 (35 000 : 150 000 x 100) proc.), tai remonto darbų kainos dalis, proporcingai tenkanti transporto priemonės panaudojimo įmonės veikloje daliai, gali būti priskirta prie 2002 metų leidžiamų atskaitymų. Vadinasi, apskaičiuojant 2002 metų apmokestinamąjį pelną, gali būti atskaitoma 31 500 Lt (35 000 x 90 : 100) krovininio automobilio remonto sąnaudų suma. </w:t>
      </w:r>
    </w:p>
    <w:p w14:paraId="5235209D" w14:textId="77777777" w:rsidR="00093845" w:rsidRDefault="000D779E">
      <w:pPr>
        <w:tabs>
          <w:tab w:val="left" w:pos="720"/>
          <w:tab w:val="left" w:pos="1077"/>
          <w:tab w:val="left" w:pos="1418"/>
        </w:tabs>
        <w:ind w:right="-5" w:firstLine="709"/>
        <w:jc w:val="both"/>
        <w:rPr>
          <w:szCs w:val="20"/>
          <w:lang w:val="lt-LT"/>
        </w:rPr>
      </w:pPr>
      <w:r>
        <w:rPr>
          <w:lang w:val="lt-LT"/>
        </w:rPr>
        <w:t>4.2.</w:t>
      </w:r>
      <w:r>
        <w:rPr>
          <w:lang w:val="lt-LT"/>
        </w:rPr>
        <w:tab/>
        <w:t xml:space="preserve">Jei visa remonto darbų kaina per mokestinį laikotarpį didesnė kaip 50 proc. transporto priemonės kainos, nurodytos įmonės vadovo įsakyme, tai remonto darbų kaina, proporcingai tenkanti transporto priemonės panaudojimo įmonės veikloje daliai, atskaitoma iš įmonės pajamų dalimis per trejus metus (36 mėnesius) pradedant nuo kito mėnesio po transporto priemonės remonto atlikimo. Jei transporto priemonė po remonto atlikimo įmonės veikloje naudojama mažiau kaip trejus metus (36 mėnesius), remonto darbų kaina, proporcingai tenkanti laikotarpiui, kurį transporto priemonė įmonės veikloje nebenaudojama, iš įmonės pajamų nebeatskaitoma. </w:t>
      </w:r>
    </w:p>
    <w:p w14:paraId="5B310F2F" w14:textId="77777777" w:rsidR="00093845" w:rsidRPr="0065344A" w:rsidRDefault="000D779E" w:rsidP="00337B16">
      <w:pPr>
        <w:tabs>
          <w:tab w:val="left" w:pos="720"/>
          <w:tab w:val="left" w:pos="4140"/>
        </w:tabs>
        <w:ind w:right="-5" w:firstLine="709"/>
        <w:jc w:val="both"/>
        <w:rPr>
          <w:lang w:val="lt-LT"/>
        </w:rPr>
      </w:pPr>
      <w:r>
        <w:rPr>
          <w:szCs w:val="20"/>
          <w:lang w:val="lt-LT"/>
        </w:rPr>
        <w:tab/>
      </w:r>
      <w:r w:rsidRPr="0065344A">
        <w:rPr>
          <w:lang w:val="lt-LT"/>
        </w:rPr>
        <w:t>Pavyzdys</w:t>
      </w:r>
    </w:p>
    <w:p w14:paraId="04206A5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vadovo įsakymu nustatyta, kad įmonės dalyvio šeimos nario lengvasis automobilis įmonės veikloje panaudojamas 50 procentų. Šios transporto priemonės kaina, nurodyta įmonės vadovo įsakyme, yra 10000 Lt. 2002 metais įmonė automobilį remontavo 2 kartus: kovo mėnesį už remonto darbus buvo sumokėta 3000 Lt, o lapkričio mėnesį – 2760 Lt. Vadinasi, per mokestinį laikotarpį remonto sąnaudos sudarė 5760 Lt. Kadangi ši suma viršijo 50 procentų transporto priemonės kainos, nurodytos įmonės vadovo įsakyme (sudaro 57,6 (5760 : 10000 x 100) proc.), todėl remonto darbų kainos dalis, proporcingai tenkanti transporto priemonės panaudojimo įmonės veikloje daliai, iš pajamų gali būti atskaityta dalimis per 36 mėnesius. Remonto darbų kaina, proporcingai tenkanti transporto priemonės panaudojimo įmonės veikloje daliai, yra 2880 Lt (5760 x 50 : 100). Vadinasi, per mėnesį įmonė prie leidžiamų atskaitymų gali priskirti po 80 Lt (2880 : 36). Todėl 2002 metais prie leidžiamų atskaitymų priskiriama 80 Lt (80 x 1) lengvojo automobilio remonto sąnaudų, nes šiuo atveju remonto sąnaudos iš pajamų pradedamos atskaityti nuo kito mėnesio po transporto priemonės remonto atlikimo (t.y. nuo 2002 metų gruodžio mėnesio), 2003 ir 2004 metais – po 960 Lt (80 x 12), 2005 metais – 880 Lt (80 x 11).</w:t>
      </w:r>
    </w:p>
    <w:p w14:paraId="6A9C9DD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Tarkime, kad 2004 metų spalio mėnesį minėtas lengvasis automobilis suges ir įmonės savininkas nuspręs šio automobilio neberemontuoti, o įsigyti naują arba įmonės veikloje naudoti kitą automobilį. Vadinasi, nuo 2004 metų lapkričio mėnesio automobilio remonto išlaidos iš pajamų </w:t>
      </w:r>
      <w:r>
        <w:rPr>
          <w:lang w:val="lt-LT"/>
        </w:rPr>
        <w:lastRenderedPageBreak/>
        <w:t>nebeatskaitomos. Todėl 2004 metais prie leidžiamų atskaitymų bus priskirta tik 800 Lt (80 x 10), o likusi remonto išlaidų dalis , t.y. 1040 Lt (2880 - 80 - 960 – 800), prie leidžiamų atskaitymų nepriskiriama.</w:t>
      </w:r>
    </w:p>
    <w:p w14:paraId="156116B5"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4.3.</w:t>
      </w:r>
      <w:r>
        <w:rPr>
          <w:rFonts w:ascii="Times New Roman" w:hAnsi="Times New Roman"/>
          <w:sz w:val="24"/>
          <w:lang w:val="lt-LT"/>
        </w:rPr>
        <w:tab/>
        <w:t>Tuo atveju, kai individualios įmonės savininkas perduoda jam ir jo sutuoktiniui jungtinės nuosavybės teise priklausantį ilgalaikį materialųjį turtą kaip turtinį įnašą individualiai įmonei (toliau – IĮ) ir šį turtą įstatymų nustatyta tvarka įregistruoja IĮ vardu, IĮ savininkas surašo ir pasirašo dokumentą, kuriame nurodomas dokumento pavadinimas, IĮ savininko vardas ir pavardė, turto aprašymas ir jo kaina pinigais, dokumento surašymo data. Turto kaina tokiais atvejais nustatoma iš turto pirkimo (įsigijimo) dokumentuose, turinčiuose juridinę galią, nurodytos kainos atėmus turto nusidėvėjimo sumą už laikotarpį iki turto perdavimo naudoti vieneto veikloje. Jei turto savininkas neturi turto pirkimo (įsigijimo) kainą patvirtinančių juridinę galią turinčių dokumentų, tai turto kaina gali būti nustatyta nepriklausomų turto vertintojų, turinčių teisę verstis tokia veikla arba vadovaujantis Komisijos privalomam registruoti turtui įvertinti nutarimų nuostatomis.</w:t>
      </w:r>
    </w:p>
    <w:p w14:paraId="48B0D50D"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Tokio turto eksploatavimo ir remonto išlaidos priskiriamos ribojamų dydžių leidžiamiems atskaitymams tokia pačia tvarka kaip ir pačios IĮ įsigyto ir jos veikloje naudojamo turto eksploatavimo ir remonto sąnaudos.</w:t>
      </w:r>
    </w:p>
    <w:p w14:paraId="42EA2F83"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 xml:space="preserve">Tuo atveju, kai IĮ savininkas perduoda jam ir jo sutuoktiniui jungtinės nuosavybės teise priklausantį turtą IĮ ir jį įregistruoja įmonės vardu, tai šio turto apskaičiuotas nusidėvėjimas ribojamų dydžių leidžiamiems atskaitymams nepriskiriamas, nes IĮ tokiu atveju įsigydama turtą išlaidų nepatiria, be to, IĮ savininkui išlieka teisė atsiimti savo turtinį įnašą arba įnešto turtinio įnašo piniginį ekvivalentą. </w:t>
      </w:r>
    </w:p>
    <w:p w14:paraId="2D2D7BA0"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Atsiėmus tokį įnašą, IĮ arba jos savininkui jokių mokestinių pasekmių neatsiranda, jeigu grąžinamo turto kaina nėra didesnė už įnašo kainą.</w:t>
      </w:r>
    </w:p>
    <w:p w14:paraId="44EC6418" w14:textId="77777777" w:rsidR="00093845" w:rsidRDefault="000D779E">
      <w:pPr>
        <w:pStyle w:val="HTMLiankstoformatuotas"/>
        <w:tabs>
          <w:tab w:val="left" w:pos="720"/>
          <w:tab w:val="left" w:pos="1077"/>
          <w:tab w:val="left" w:pos="1418"/>
        </w:tabs>
        <w:ind w:right="-5" w:firstLine="709"/>
        <w:jc w:val="both"/>
        <w:rPr>
          <w:rFonts w:ascii="Times New Roman" w:hAnsi="Times New Roman"/>
          <w:sz w:val="24"/>
          <w:lang w:val="lt-LT"/>
        </w:rPr>
      </w:pPr>
      <w:r>
        <w:rPr>
          <w:rFonts w:ascii="Times New Roman" w:hAnsi="Times New Roman"/>
          <w:sz w:val="24"/>
          <w:lang w:val="lt-LT"/>
        </w:rPr>
        <w:t xml:space="preserve"> </w:t>
      </w:r>
      <w:r>
        <w:rPr>
          <w:rFonts w:ascii="Times New Roman" w:hAnsi="Times New Roman"/>
          <w:sz w:val="24"/>
          <w:u w:val="single"/>
          <w:lang w:val="lt-LT"/>
        </w:rPr>
        <w:t>(</w:t>
      </w:r>
      <w:r>
        <w:rPr>
          <w:rFonts w:ascii="Times New Roman" w:hAnsi="Times New Roman"/>
          <w:sz w:val="24"/>
          <w:lang w:val="lt-LT"/>
        </w:rPr>
        <w:t>Papildytas 4.3 punktu VMI prie FM 2003-05-21 raštu Nr. (18.9-08-2)-R-4813).</w:t>
      </w:r>
    </w:p>
    <w:p w14:paraId="3BC8C4AF" w14:textId="77777777" w:rsidR="00093845" w:rsidRDefault="000D779E">
      <w:pPr>
        <w:tabs>
          <w:tab w:val="left" w:pos="720"/>
          <w:tab w:val="left" w:pos="1077"/>
          <w:tab w:val="left" w:pos="1418"/>
        </w:tabs>
        <w:ind w:right="-5" w:firstLine="709"/>
        <w:jc w:val="both"/>
        <w:rPr>
          <w:szCs w:val="20"/>
          <w:lang w:val="lt-LT"/>
        </w:rPr>
      </w:pPr>
      <w:r>
        <w:rPr>
          <w:lang w:val="lt-LT"/>
        </w:rPr>
        <w:t>5.</w:t>
      </w:r>
      <w:r>
        <w:rPr>
          <w:lang w:val="lt-LT"/>
        </w:rPr>
        <w:tab/>
        <w:t>Tvarkos IV skyriuje nustatyta kito turto eksploatavimo (išskyrus remontą) sąnaudų atskaitymo iš įmonių pajamų tvarka.</w:t>
      </w:r>
    </w:p>
    <w:p w14:paraId="202E50DB" w14:textId="77777777" w:rsidR="00093845" w:rsidRDefault="000D779E">
      <w:pPr>
        <w:tabs>
          <w:tab w:val="left" w:pos="720"/>
          <w:tab w:val="left" w:pos="1077"/>
          <w:tab w:val="left" w:pos="1418"/>
        </w:tabs>
        <w:ind w:right="-5" w:firstLine="709"/>
        <w:jc w:val="both"/>
        <w:rPr>
          <w:szCs w:val="20"/>
          <w:lang w:val="lt-LT"/>
        </w:rPr>
      </w:pPr>
      <w:r>
        <w:rPr>
          <w:lang w:val="lt-LT"/>
        </w:rPr>
        <w:t xml:space="preserve">Kito turto (patalpų, įrenginių, ryšių priemonių ir pan.), nuosavybės teise priklausančių vienetų dalyviams ir jų šeimų nariams, eksploatavimo sąnaudoms, atskaitomoms iš įmonės pajamų, yra priskiriamos su šio turto naudojimu susijusios šildymo, apšvietimo, vandens, kitų medžiagų suvartojimo, abonentinio mokesčio bei kitokių per mokestinį laikotarpį patirtų sąnaudų dalis, proporcingai tenkanti įmonės veikloje naudojamai patalpų arba kito turto daliai, nurodytai įmonės vadovo įsakyme. </w:t>
      </w:r>
    </w:p>
    <w:p w14:paraId="2BE0AEE3"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65A1FF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dalyvio namo įmonės veikloje naudojama dalis, - 60 proc. (90 : 150 x 100). Per mokestinį laikotarpį įmonė patyrė 9000 Lt pastato eksploatavimo išlaidų. Prie leidžiamų atskaitymų gali būti priskirta tik 5400 Lt (9000 x 60 : 100) eksploatavimo sąnaudų.</w:t>
      </w:r>
    </w:p>
    <w:p w14:paraId="12CCEA39"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6.</w:t>
      </w:r>
      <w:r>
        <w:rPr>
          <w:rFonts w:ascii="Times New Roman" w:hAnsi="Times New Roman"/>
        </w:rPr>
        <w:tab/>
        <w:t>Tvarkos V skyriuje nustatyta kito turto remonto sąnaudų atskaitymo iš įmonės pajamų tvarka.</w:t>
      </w:r>
    </w:p>
    <w:p w14:paraId="5A4242BB" w14:textId="77777777" w:rsidR="00093845" w:rsidRDefault="000D779E">
      <w:pPr>
        <w:tabs>
          <w:tab w:val="left" w:pos="720"/>
          <w:tab w:val="left" w:pos="1077"/>
          <w:tab w:val="left" w:pos="1418"/>
        </w:tabs>
        <w:ind w:right="-5" w:firstLine="709"/>
        <w:jc w:val="both"/>
        <w:rPr>
          <w:szCs w:val="20"/>
          <w:lang w:val="lt-LT"/>
        </w:rPr>
      </w:pPr>
      <w:r>
        <w:rPr>
          <w:lang w:val="lt-LT"/>
        </w:rPr>
        <w:t>6.1.</w:t>
      </w:r>
      <w:r>
        <w:rPr>
          <w:lang w:val="lt-LT"/>
        </w:rPr>
        <w:tab/>
        <w:t xml:space="preserve">Iš įmonės pajamų atskaitomos per mokestinį laikotarpį patirtos patalpų, nuosavybės teise priklausančių ūkinių bendrijų nariams, individualių (personalinių) įmonių savininkams ir jų šeimų nariams (sutuoktiniams, tėvams, įtėviams, vaikams ir įvaikiams), remonto sąnaudos nustatomos tokiais būdais: </w:t>
      </w:r>
    </w:p>
    <w:p w14:paraId="3B06D859" w14:textId="77777777" w:rsidR="00093845" w:rsidRDefault="000D779E">
      <w:pPr>
        <w:tabs>
          <w:tab w:val="left" w:pos="720"/>
          <w:tab w:val="left" w:pos="1077"/>
          <w:tab w:val="left" w:pos="1418"/>
        </w:tabs>
        <w:ind w:right="-5" w:firstLine="709"/>
        <w:jc w:val="both"/>
        <w:rPr>
          <w:szCs w:val="20"/>
          <w:lang w:val="lt-LT"/>
        </w:rPr>
      </w:pPr>
      <w:r>
        <w:rPr>
          <w:lang w:val="lt-LT"/>
        </w:rPr>
        <w:lastRenderedPageBreak/>
        <w:t>6.1.1.</w:t>
      </w:r>
      <w:r>
        <w:rPr>
          <w:lang w:val="lt-LT"/>
        </w:rPr>
        <w:tab/>
        <w:t xml:space="preserve">tiesioginiu sąnaudų priskyrimo būdu - kai remontuojama tik įmonės veikloje naudojamų patalpų dalis arba kai galima apskaičiuoti, kiek ir kokių medžiagų sunaudota remontuojant šią patalpų dalį. Jei remonto darbų kaina per mokestinį laikotarpį nėra didesnė kaip 50 proc. įmonės veikloje naudojamų patalpų dalies kainos, tai visa remonto darbų kaina iš įmonės pajamų atskaitoma tą patį mokestinį laikotarpį, kurį buvo atliktas remontas. </w:t>
      </w:r>
    </w:p>
    <w:p w14:paraId="10A6B510"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667CDB6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įmonės dalyvio namo, naudojamo įmonės veikloje, dalis - 60 proc. (90 : 150 x 100). Viso šio pastato kaina, nurodyta įmonės vadovo įsakyme, yra 150000 Lt, vadinasi, parduotuvės ir biuro kaina – 90000 Lt. 2002 metais įmonė remontavo tik parduotuvės ir biuro patalpas ir patyrė 36000 Lt pastato remonto išlaidų. Kadangi ši suma nėra didesnė kaip 50 proc. įmonės veikloje naudojamų patalpų dalies kainos (sudaro tik 40 proc.), tai 2002 metais prie leidžiamų atskaitymų gali būti priskirtos visos remonto sąnaudos, t.y. 36000 Lt.</w:t>
      </w:r>
    </w:p>
    <w:p w14:paraId="5EFA389D"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yra didesnė kaip 50 proc. įmonės veikloje naudojamų patalpų dalies kainos, tai visa remonto darbų kaina iš įmonės pajamų atskaitoma dalimis per penkerius metus (60 mėnesių) pradedant nuo kito mėnesio po patalpų remonto atlikimo. Jei patalpos po remonto atlikimo įmonės veikloje naudojamos mažiau kaip penkerius metus (60 mėnesių), remonto darbų kaina, proporcingai tenkanti laikotarpiui, kurį patalpos įmonės veikloje nebenaudojamos, iš įmonės pajamų nebeatskaitoma; </w:t>
      </w:r>
    </w:p>
    <w:p w14:paraId="405AC756"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759E021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įsakyme nustatyta, kad parduotuvės ir biuro plotas yra 90 m², t.y. įmonės dalyvio namo, naudojamo įmonės veikloje, dalis - 60 proc. (90 : 150 x 100). Viso šio pastato kaina, nurodyta įmonės vadovo įsakyme, yra 150000 Lt, vadinasi, parduotuvės ir biuro kaina – 90000 Lt. 2002 metų kovo ir balandžio mėnesiais įmonė remontavo tik parduotuvės ir biuro patalpas ir patyrė 60000 Lt pastato remonto išlaidų. Kadangi ši suma didesnė kaip 50 proc. įmonės veikloje naudojamų patalpų dalies kainos (sudaro 66,7), tai šio remonto vertę sąnaudoms, atskaitomoms iš pajamų, įmonė gali priskirti dalimis per 60 mėnesių. Vadinasi, per mėnesį įmonė prie leidžiamų atskaitymų gali priskirti po 1000 Lt (60000 : 60). Todėl 2002 metais prie leidžiamų atskaitymų gali būti priskirta 8000 Lt (60000 : 60 x 8) parduotuvės ir biuro remonto sąnaudų, nes šiuo atveju remonto sąnaudos iš pajamų pradedamos atskaityti nuo kito mėnesio po pastato remonto atlikimo (t.y. nuo 2002 metų gegužės mėnesio), 2003 - 2006 metais – po 12000 Lt (1000 x 12), 2007 metais – 4000 Lt (1000 x 4).</w:t>
      </w:r>
    </w:p>
    <w:p w14:paraId="49C2E9A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Tarkime, kad 2004 metų spalio mėnesį minėta įmonė nusipirko kitas parduotuvės ir biuro patalpas. Vadinasi, nuo 2004 metų lapkričio mėnesio įmonės savininko name atlikto parduotuvės ir biuro remonto išlaidos prie leidžiamų atskaitymų nepriskiriamos. Todėl 2004 metais sąnaudoms, atskaitomoms iš pajamų, bus priskirta tik 10000 Lt (1000 x 10), o likusi dalis remonto išlaidų dalis, t.y. 30000 Lt (60000 - 8000 - 12000 – 10000), iš pajamų bus nebeatskaitoma.</w:t>
      </w:r>
    </w:p>
    <w:p w14:paraId="558A4F42" w14:textId="77777777" w:rsidR="00093845" w:rsidRDefault="000D779E">
      <w:pPr>
        <w:tabs>
          <w:tab w:val="left" w:pos="720"/>
          <w:tab w:val="left" w:pos="1077"/>
          <w:tab w:val="left" w:pos="1418"/>
        </w:tabs>
        <w:ind w:right="-5" w:firstLine="709"/>
        <w:jc w:val="both"/>
        <w:rPr>
          <w:szCs w:val="20"/>
          <w:lang w:val="lt-LT"/>
        </w:rPr>
      </w:pPr>
      <w:r>
        <w:rPr>
          <w:lang w:val="lt-LT"/>
        </w:rPr>
        <w:t>6.1.2.</w:t>
      </w:r>
      <w:r>
        <w:rPr>
          <w:lang w:val="lt-LT"/>
        </w:rPr>
        <w:tab/>
        <w:t xml:space="preserve">proporciniu sąnaudų priskyrimo būdu - kai remontuojama patalpų dalis, didesnė negu naudojama įmonės veikloje. Tokiu atveju iš įmonės pajamų atskaitoma tik remonto darbų kaina, proporcingai tenkanti įmonės veikloje naudojamai patalpų daliai (procentais), nurodytai įmonės vadovo įsakyme. </w:t>
      </w:r>
    </w:p>
    <w:p w14:paraId="360F7B88"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nėra didesnė kaip 50 proc. patalpų kainos, nurodytos įmonės vadovo įsakyme, tai remonto darbų kaina, proporcingai tenkanti įmonės veikloje naudojamų patalpų daliai, iš įmonės pajamų atskaitoma tą patį mokestinį laikotarpį, kurį buvo atliktas remontas. </w:t>
      </w:r>
    </w:p>
    <w:p w14:paraId="0B02E11C"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lastRenderedPageBreak/>
        <w:t>Pavyzdys</w:t>
      </w:r>
    </w:p>
    <w:p w14:paraId="0882945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 xml:space="preserve">Įmonės dalyvis savo 150 m² name yra įsirengęs įmonės biurą ir parduotuvę. Įmonės vadovo įsakymu nustatyta, kad parduotuvės ir biuro plotas yra 90 m², t.y. įmonės dalyvio namo, naudojamo įmonės veikloje, dalis - 60 proc. (90 : 150 x 100). Viso šio pastato kaina, nurodyta įmonės vadovo įsakyme, yra 150000 Lt, vadinasi, parduotuvės ir biuro kaina – 90000 Lt. 2002 metais įmonė atliko viso namo remontą ir patyrė 36000 Lt pastato remonto išlaidų. Kadangi ši suma nėra didesnė kaip 50 proc. įmonės veikloje naudojamų patalpų dalies kainos (sudaro 40 proc.), tai 2002 metais remonto darbų kainos dalis, proporcingai tenkanti įmonės veikloje naudojamai patalpų daliai, t.y. 21600 Lt (36000 x 60 : 100) gali būti priskirta prie leidžiamų atskaitymų. </w:t>
      </w:r>
    </w:p>
    <w:p w14:paraId="148184AE" w14:textId="77777777" w:rsidR="00093845" w:rsidRDefault="000D779E">
      <w:pPr>
        <w:tabs>
          <w:tab w:val="left" w:pos="720"/>
          <w:tab w:val="left" w:pos="1077"/>
          <w:tab w:val="left" w:pos="1418"/>
        </w:tabs>
        <w:ind w:right="-5" w:firstLine="709"/>
        <w:jc w:val="both"/>
        <w:rPr>
          <w:szCs w:val="20"/>
          <w:lang w:val="lt-LT"/>
        </w:rPr>
      </w:pPr>
      <w:r>
        <w:rPr>
          <w:lang w:val="lt-LT"/>
        </w:rPr>
        <w:t xml:space="preserve">Jei remonto darbų kaina per mokestinį laikotarpį didesnė kaip 50 proc. patalpų kainos, nurodytos įmonės vadovo įsakyme, tai remonto darbų kaina, proporcingai tenkanti įmonės veikloje naudojamų patalpų daliai, iš įmonės pajamų atskaitoma dalimis per penkerius metus (60 mėnesių) pradedant nuo kito mėnesio po patalpų remonto atlikimo. Jei patalpos po remonto atlikimo įmonės veikloje naudojamos mažiau kaip penkerius metus (60 mėnesių), tai remonto darbų kaina, tenkanti laikotarpiui, kurį patalpos įmonės veikloje nebenaudojamos, prie leidžiamų atskaitymų nepriskiriama. </w:t>
      </w:r>
    </w:p>
    <w:p w14:paraId="47CBCE18" w14:textId="77777777" w:rsidR="00093845" w:rsidRDefault="000D779E">
      <w:pPr>
        <w:pStyle w:val="Style1"/>
        <w:tabs>
          <w:tab w:val="left" w:pos="720"/>
          <w:tab w:val="left" w:pos="1077"/>
          <w:tab w:val="left" w:pos="1418"/>
        </w:tabs>
        <w:ind w:right="-5" w:firstLine="0"/>
        <w:rPr>
          <w:rFonts w:ascii="Times New Roman" w:hAnsi="Times New Roman"/>
        </w:rPr>
      </w:pPr>
      <w:r>
        <w:rPr>
          <w:rFonts w:ascii="Times New Roman" w:hAnsi="Times New Roman"/>
        </w:rPr>
        <w:tab/>
        <w:t>Pavyzdys</w:t>
      </w:r>
    </w:p>
    <w:p w14:paraId="70AE421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Įmonės dalyvis savo 150 m² name yra įsirengęs įmonės biurą ir parduotuvę. Įmonės vadovo įsakymu nustatyta, kad parduotuvės ir biuro plotas yra 90 m², t.y. įmonės dalyvio namo, naudojama įmonės veikloje, dalis - 60 proc. (90 : 150 x 100). Viso šio pastato kaina, nurodyta įmonės vadovo įsakyme, yra 150000 Lt, vadinasi, parduotuvės ir biuro kaina – 90000 Lt. 2002 metų kovo ir balandžio mėnesiais įmonės dalyvis remontavo visą namą ir patyrė 90000 Lt pastato remonto išlaidų. Kadangi ši suma yra didesnė kaip 50 proc. įmonės veikloje naudojamų patalpų dalies kainos (sudaro 100), tai šio remonto kainos dalį, proporcingai tenkančią įmonės veikloje naudojamų patalpų daliai, prie leidžiamų atskaitymų įmonė gali priskirti dalimis per 60 mėnesių. Remonto darbų kainos dalis, proporcingai tenkanti namo panaudojimo įmonės veikloje daliai, yra 54000 Lt (90000 x 60 : 100). Vadinasi, per mėnesį įmonė prie leidžiamų atskaitymų gali priskirti po 900 Lt (54000 : 60). Todėl 2002 metais parduotuvės ir biuro remonto sąnaudoms, atskaitomoms iš pajamų, gali būti priskirta 7200 Lt (900 x 8), nes šiuo atveju remonto sąnaudos iš pajamų pradedamos atskaityti nuo kito mėnesio po pastato remonto atlikimo (t.y. nuo 2002 metų gegužės mėnesio), 2003 - 2006 metais – po 10800 Lt (900 x 12), 2007 metais – 3600 Lt (900 x 4).</w:t>
      </w:r>
    </w:p>
    <w:p w14:paraId="682B32B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lang w:val="lt-LT"/>
        </w:rPr>
        <w:t>Tarkime, kad 2004 metų spalio mėnesį minėta įmonė nusipirko kitas parduotuvės ir biuro patalpas. Vadinasi, nuo 2004 metų lapkričio mėnesio įmonės savininko name atlikto parduotuvės ir biuro remonto išlaidos prie leidžiamų atskaitymų nepriskiriamos. Todėl 2004 metais prie leidžiamų atskaitymų bus priskirta tik 9000 Lt (900 x 10), o likusi dalis remonto išlaidų dalis, t.y. 27000 Lt (54000 – 7200 – 10800 – 9000), nebus priskirta prie leidžiamų atskaitymų.</w:t>
      </w:r>
    </w:p>
    <w:p w14:paraId="5C46858E" w14:textId="77777777" w:rsidR="00093845" w:rsidRDefault="000D779E">
      <w:pPr>
        <w:tabs>
          <w:tab w:val="left" w:pos="720"/>
          <w:tab w:val="left" w:pos="1077"/>
          <w:tab w:val="left" w:pos="1418"/>
        </w:tabs>
        <w:ind w:right="-5" w:firstLine="709"/>
        <w:jc w:val="both"/>
        <w:rPr>
          <w:lang w:val="lt-LT"/>
        </w:rPr>
      </w:pPr>
      <w:r>
        <w:rPr>
          <w:lang w:val="lt-LT"/>
        </w:rPr>
        <w:t>6.2.</w:t>
      </w:r>
      <w:r>
        <w:rPr>
          <w:lang w:val="lt-LT"/>
        </w:rPr>
        <w:tab/>
        <w:t xml:space="preserve">Jei remontuojamos ne patalpos, o kitas įmonės turtas (įrenginiai, ryšių priemonės ir pan.), nuosavybės teise priklausantis vienetų dalyviams ir jų šeimų nariams, tai šio turto remonto sąnaudos, kurios gali būti atskaitomos iš įmonės pajamų, nustatomos tokiais pat būdais, kaip ir patalpų remonto atveju. </w:t>
      </w:r>
    </w:p>
    <w:p w14:paraId="187E6CF5" w14:textId="77777777" w:rsidR="00093845" w:rsidRDefault="00093845">
      <w:pPr>
        <w:pStyle w:val="Antrat1"/>
        <w:ind w:firstLine="709"/>
        <w:jc w:val="both"/>
        <w:rPr>
          <w:rFonts w:ascii="Times New Roman" w:hAnsi="Times New Roman" w:cs="Times New Roman"/>
          <w:bCs w:val="0"/>
          <w:lang w:val="lt-LT"/>
        </w:rPr>
      </w:pPr>
      <w:bookmarkStart w:id="350" w:name="_21_straipsnis._Komandiruočių"/>
      <w:bookmarkEnd w:id="350"/>
    </w:p>
    <w:p w14:paraId="4526BAB6" w14:textId="77777777" w:rsidR="00093845" w:rsidRDefault="000D779E">
      <w:pPr>
        <w:pStyle w:val="Antrat1"/>
        <w:jc w:val="both"/>
        <w:rPr>
          <w:rFonts w:ascii="Times New Roman" w:hAnsi="Times New Roman" w:cs="Times New Roman"/>
          <w:bCs w:val="0"/>
          <w:lang w:val="lt-LT"/>
        </w:rPr>
      </w:pPr>
      <w:r>
        <w:rPr>
          <w:rFonts w:ascii="Times New Roman" w:hAnsi="Times New Roman" w:cs="Times New Roman"/>
          <w:bCs w:val="0"/>
          <w:lang w:val="lt-LT"/>
        </w:rPr>
        <w:t>21 STRAIPSNIS. Komandiruočių sąnaudos</w:t>
      </w:r>
    </w:p>
    <w:p w14:paraId="79D5AB6F" w14:textId="77777777" w:rsidR="00093845" w:rsidRDefault="000D779E" w:rsidP="006B2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60"/>
        <w:jc w:val="both"/>
        <w:rPr>
          <w:b/>
          <w:lang w:val="lt-LT" w:eastAsia="lt-LT"/>
        </w:rPr>
      </w:pPr>
      <w:r>
        <w:rPr>
          <w:b/>
          <w:lang w:val="lt-LT" w:eastAsia="lt-LT"/>
        </w:rPr>
        <w:t xml:space="preserve">1. Komandiruote laikomas vieneto vadovo ar jo įgalioto asmens įsakymu  (sprendimu), kuriame turi būti nurodyta komandiruotės tikslas, vieta (vietos), trukmė (jeigu  komandiruotės metu vykstama į keletą  užsienio  valstybių, - buvimo kiekvienoje užsienio valstybėje trukmė) ir </w:t>
      </w:r>
      <w:r>
        <w:rPr>
          <w:b/>
          <w:lang w:val="lt-LT" w:eastAsia="lt-LT"/>
        </w:rPr>
        <w:lastRenderedPageBreak/>
        <w:t>vieneto numatomos apmokėti išlaidų rūšys, įformintas darbuotojo išvykimas iš nuolatinės darbo vietos atlikti darbo funkcijų, tarnybinio pavedimo   ar kelti kvalifikacijos. Komandiruote taip pat laikomas individualios įmonės savininko, ūkinės  bendrijos tikrojo nario, mažosios bendrijos nario šioje dalyje nustatyta tvarka įformintas išvykimas iš nuolatinės darbo vietos atlikti darbo funkcijų ar kelti kvalifikacijos, taip pat  pagal Lietuvos Respublikos įstatymo "Dėl darbuotojų dalyvavimo priimant sprendimus Europos bendrovėse" nuostatas sudaryto specialiojo derybų komiteto, Europos bendrovės  darbo tarybos ir Europos bendrovės darbo tarybos komiteto narių išvykimas, įformintas specialiojo derybų komiteto (pirmajam specialiojo derybų komiteto posėdžiui - kompetentingo  steigime dalyvaujančių vienetų organo), Europos bendrovės darbo tarybos ar Europos  bendrovės darbo tarybos komiteto sprendimu, kuriame turi būti nurodyta posėdžio vieta ir trukmė, dalyvauti šio specialiojo derybų komiteto, Europos bendrovės darbo tarybos ar Europos bendrovės darbo tarybos komiteto posėdžiuose ir pagal Lietuvos Respublikos įstatymo "Dėl darbuotojų dalyvavimo priimant sprendimus Europos kooperatinėse bendrovėse"   nuostatas sudaryto specialiojo derybų komiteto, Europos kooperatinės bendrovės darbo tarybos ir Europos kooperatinės bendrovės darbo tarybos komiteto narių išvykimas, įformintas specialiojo derybų komiteto (pirmajam specialiojo derybų komiteto posėdžiui - kompetentingo steigime dalyvaujančių asmenų organo), Europos kooperatinės bendrovės darbo tarybos ar Europos kooperatinės bendrovės darbo tarybos komiteto sprendimu, kuriame  turi būti nurodyta posėdžio vieta ir trukmė, dalyvauti šio specialiojo derybų komiteto, Europos kooperatinės bendrovė darbo tarybos ar  Europos kooperatinės bendrovės darbo tarybos komiteto posėdžiuose ir pagal Lietuvos Respublikos įstatymo "Dėl darbuotojų dalyvavimo bendrovėje po vienos valstybės ribas peržengiančio ribotos atsakomybės bendrovių jungimosi" nuostatas sudaryto specialiojo derybų komiteto, administravimo, priežiūros ar kito organo narių išvykimas, įformintas specialiojo derybų komiteto (pirmajam specialiojo derybų komiteto posėdžiui - kompetentingo steigime dalyvaujančių asmenų organo), administravimo, priežiūros ar kito organo sprendimu, kuriame turi būti nurodyta posėdžio vieta ir trukmė, dalyvauti šio specialiojo derybų komiteto, administravimo, priežiūros ar kito organo posėdžiuose.</w:t>
      </w:r>
    </w:p>
    <w:p w14:paraId="151EC0EE" w14:textId="77777777" w:rsidR="00093845" w:rsidRDefault="000D779E" w:rsidP="006B2AD9">
      <w:pPr>
        <w:spacing w:after="0"/>
        <w:jc w:val="both"/>
        <w:rPr>
          <w:i/>
          <w:lang w:val="lt-LT"/>
        </w:rPr>
      </w:pPr>
      <w:r w:rsidRPr="00FE7AB0">
        <w:rPr>
          <w:i/>
          <w:lang w:val="lt-LT"/>
        </w:rPr>
        <w:t>(</w:t>
      </w:r>
      <w:r w:rsidRPr="00FE7AB0">
        <w:rPr>
          <w:bCs/>
          <w:i/>
          <w:lang w:val="lt-LT"/>
        </w:rPr>
        <w:t xml:space="preserve">KEISTA: </w:t>
      </w:r>
      <w:r w:rsidRPr="00FE7AB0">
        <w:rPr>
          <w:i/>
        </w:rPr>
        <w:t>2012 06 29 įstatymu Nr. XI-2165 (nuo 2012 09 01)</w:t>
      </w:r>
      <w:r w:rsidRPr="00FE7AB0">
        <w:rPr>
          <w:i/>
          <w:lang w:val="lt-LT"/>
        </w:rPr>
        <w:t xml:space="preserve">) </w:t>
      </w:r>
      <w:r w:rsidR="00FE7AB0">
        <w:rPr>
          <w:i/>
          <w:lang w:val="lt-LT"/>
        </w:rPr>
        <w:t xml:space="preserve"> </w:t>
      </w:r>
    </w:p>
    <w:p w14:paraId="57DC2AD3" w14:textId="77777777" w:rsidR="00FE7AB0" w:rsidRPr="00FE7AB0" w:rsidRDefault="00FE7AB0" w:rsidP="006B2AD9">
      <w:pPr>
        <w:spacing w:after="0"/>
        <w:jc w:val="both"/>
        <w:rPr>
          <w:i/>
          <w:lang w:val="lt-LT"/>
        </w:rPr>
      </w:pPr>
    </w:p>
    <w:p w14:paraId="3463BB9E" w14:textId="77777777" w:rsidR="00093845" w:rsidRDefault="000D779E">
      <w:pPr>
        <w:pStyle w:val="Pagrindiniotekstotrauka"/>
        <w:tabs>
          <w:tab w:val="left" w:pos="720"/>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71216381" w14:textId="77777777" w:rsidR="007F5A27" w:rsidRPr="00653B15" w:rsidRDefault="007F5A27" w:rsidP="007F5A27">
      <w:pPr>
        <w:pStyle w:val="Sraopastraipa"/>
        <w:ind w:left="0" w:firstLine="851"/>
        <w:jc w:val="both"/>
        <w:rPr>
          <w:bCs/>
        </w:rPr>
      </w:pPr>
      <w:r w:rsidRPr="00481ED8">
        <w:rPr>
          <w:color w:val="000000"/>
        </w:rPr>
        <w:t xml:space="preserve">1. Komandiruote laikomas </w:t>
      </w:r>
      <w:r w:rsidRPr="00481ED8">
        <w:t xml:space="preserve">vieneto vadovo ar jo įgalioto asmens įsakymu (sprendimu), kuriame turi būti nurodyta komandiruotės tikslas, vieta (vietos), trukmė (jeigu komandiruotės metu vykstama į keletą užsienio valstybių – buvimo kiekvienoje užsienio valstybėje trukmė) ir vieneto numatomos apmokėti išlaidų rūšys, </w:t>
      </w:r>
      <w:r w:rsidRPr="00481ED8">
        <w:rPr>
          <w:color w:val="000000"/>
        </w:rPr>
        <w:t>įformintas darbuotojo išvykimas iš nuolatinės darbo vietos atlikti darbo funkcijas, tarnybinį pavedimą ar kelti kvalifikaciją</w:t>
      </w:r>
      <w:r w:rsidRPr="00C0636E">
        <w:rPr>
          <w:color w:val="000000"/>
        </w:rPr>
        <w:t>.</w:t>
      </w:r>
      <w:r w:rsidRPr="00C0636E">
        <w:rPr>
          <w:bCs/>
        </w:rPr>
        <w:t xml:space="preserve"> Darbdavio</w:t>
      </w:r>
      <w:r w:rsidRPr="00653B15">
        <w:rPr>
          <w:bCs/>
        </w:rPr>
        <w:t xml:space="preserve"> arba jo įgalioto asmens rezoliucija, patvirtinanti, kad tarnybinis pranešimas ar darbuotojo prašymas leisti išvykti iš nuolatinės darbo vietos yra suderintas</w:t>
      </w:r>
      <w:r>
        <w:rPr>
          <w:bCs/>
        </w:rPr>
        <w:t xml:space="preserve"> </w:t>
      </w:r>
      <w:r w:rsidRPr="00653B15">
        <w:rPr>
          <w:bCs/>
        </w:rPr>
        <w:t>yra pakankamas pagrindas komandiruotės pripažinimui ir, šiuo atveju, vieneto vadovo ar jo įgalioto asmens įsakymas (sprendimas) neprivalomas.</w:t>
      </w:r>
    </w:p>
    <w:p w14:paraId="28F3342A" w14:textId="77777777" w:rsidR="007F5A27" w:rsidRPr="00481ED8" w:rsidRDefault="007F5A27" w:rsidP="007F5A27">
      <w:pPr>
        <w:pStyle w:val="Pagrindiniotekstotrauka"/>
        <w:ind w:firstLine="851"/>
        <w:rPr>
          <w:rFonts w:ascii="Times New Roman" w:hAnsi="Times New Roman" w:cs="Times New Roman"/>
          <w:color w:val="000000"/>
          <w:lang w:val="lt-LT"/>
        </w:rPr>
      </w:pPr>
      <w:r w:rsidRPr="00653B15">
        <w:rPr>
          <w:rFonts w:ascii="Times New Roman" w:hAnsi="Times New Roman" w:cs="Times New Roman"/>
          <w:color w:val="000000"/>
          <w:lang w:val="lt-LT"/>
        </w:rPr>
        <w:t>Tais atvejais, kai darbuotojas iš nuolatinės darbo vietos komandiruojamas</w:t>
      </w:r>
      <w:r w:rsidRPr="00481ED8">
        <w:rPr>
          <w:rFonts w:ascii="Times New Roman" w:hAnsi="Times New Roman" w:cs="Times New Roman"/>
          <w:color w:val="000000"/>
          <w:lang w:val="lt-LT"/>
        </w:rPr>
        <w:t xml:space="preserve"> laikinai dirbti užsienio valstybėje, tai nustatant, ar toks darbuotojo išvykimas yra laikomas komandiruote, reikia atsižvelgti į tai, ar toks darbuotojo išsiuntimas dirbti užsienio valstybėje yra susijęs su darbo funkcijų atlikimu.</w:t>
      </w:r>
    </w:p>
    <w:p w14:paraId="1525031B" w14:textId="77777777" w:rsidR="007F5A27" w:rsidRPr="00481ED8" w:rsidRDefault="007F5A27" w:rsidP="007F5A27">
      <w:pPr>
        <w:pStyle w:val="Pagrindiniotekstotrauka"/>
        <w:ind w:left="851" w:firstLine="0"/>
        <w:rPr>
          <w:rFonts w:ascii="Times New Roman" w:hAnsi="Times New Roman" w:cs="Times New Roman"/>
          <w:color w:val="000000"/>
          <w:lang w:val="lt-LT"/>
        </w:rPr>
      </w:pPr>
      <w:r w:rsidRPr="00481ED8">
        <w:rPr>
          <w:rFonts w:ascii="Times New Roman" w:hAnsi="Times New Roman" w:cs="Times New Roman"/>
          <w:color w:val="000000"/>
          <w:lang w:val="lt-LT"/>
        </w:rPr>
        <w:t>Pavyzdys</w:t>
      </w:r>
    </w:p>
    <w:p w14:paraId="47F4E01A" w14:textId="77777777" w:rsidR="007F5A27" w:rsidRPr="00481ED8" w:rsidRDefault="007F5A27" w:rsidP="00EC4E29">
      <w:pPr>
        <w:pStyle w:val="Sraopastraipa"/>
        <w:numPr>
          <w:ilvl w:val="0"/>
          <w:numId w:val="53"/>
        </w:numPr>
        <w:pBdr>
          <w:top w:val="single" w:sz="4" w:space="1" w:color="auto"/>
          <w:left w:val="single" w:sz="4" w:space="4" w:color="auto"/>
          <w:bottom w:val="single" w:sz="4" w:space="1" w:color="auto"/>
          <w:right w:val="single" w:sz="4" w:space="4" w:color="auto"/>
        </w:pBdr>
        <w:spacing w:after="0" w:line="240" w:lineRule="auto"/>
        <w:ind w:left="0" w:firstLine="851"/>
        <w:jc w:val="both"/>
        <w:rPr>
          <w:color w:val="000000"/>
        </w:rPr>
      </w:pPr>
      <w:r w:rsidRPr="00481ED8">
        <w:rPr>
          <w:color w:val="000000"/>
        </w:rPr>
        <w:t>Lietuvos Respublikoje įregistruota įmonė, kuri yra rangovas, pagal pasirašytą bendradarbiavimo sutartį su užsienio kompanija – užsakovu, siunčia kvalifikuotus įmonės darbuotojus į trečią valstybę laivo remonto darbams atlikti užsakovo nurodytoje vietoje.</w:t>
      </w:r>
    </w:p>
    <w:p w14:paraId="18460F41"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65344A">
        <w:rPr>
          <w:color w:val="000000"/>
          <w:lang w:val="lt-LT"/>
        </w:rPr>
        <w:lastRenderedPageBreak/>
        <w:t xml:space="preserve">Užsakovas kontroliuoja tokių darbuotojų veiksmus ir už juos atsako, formuoja jiems užduotis, naudojasi jų darbo rezultatais ir moka juos pasiuntusiai įmonei sutartą atlygį už darbuotojų faktiškai atidirbtas kalendorines dienas. Pagal šią bendradarbiavimo sutartį rangovas darbuotojams moka dienpinigius ir nustatyto dydžio atlyginimą, o užsakovas apmoka darbuotojams kitas išlaidas, susijusias su jų kelionėmis, draudimu ir jų apgyvendinimu. </w:t>
      </w:r>
      <w:r w:rsidRPr="00481ED8">
        <w:rPr>
          <w:color w:val="000000"/>
        </w:rPr>
        <w:t>Bendradarbiavimo sutartyje yra nustatyta vieno išsiųsto darbuotojo kalendorinės darbo dienos kaina. Rangovas kas mėnesį pateikia užsakovui sąskaitą apmokėjimui už išsiųstų darbuotojų faktiškai atidirbtas kalendorines dienas ir šias apskaičiuotas sumas pripažįsta pajamomis.</w:t>
      </w:r>
    </w:p>
    <w:p w14:paraId="52C3E0DE"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Kadangi šių darbuotojų darbo sutartys nėra nutraukiamos, o darbuotojai tik atlieka darbo funkcijas nenuolatinėje darbo vietoje pagal pasirašytą bendradarbiavimo sutartį su užsakovu, t.y. jie atlieka tą patį darbą, kurį atliktų nuolatinėje darbo vietoje, todėl šie darbuotojai yra atsakingi juos išsiuntusiai įmonei.</w:t>
      </w:r>
    </w:p>
    <w:p w14:paraId="3F967D97"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 xml:space="preserve">Todėl Lietuvos vieneto darbuotojų išsiuntimas atlikti laivo remonto darbus užsienio vienetui yra laikomas tarnybine komandiruote, kuriai yra taikomas komandiruotės trukmės apribojimas iki 183 dienų, ir šiuo atveju rangovo išmokami dienpinigiai, apskaičiuojant apmokestinamąjį pelną, yra priskiriami ribojamų dydžių leidžiamiems atskaitymams. </w:t>
      </w:r>
    </w:p>
    <w:p w14:paraId="0B5CD4A3"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 xml:space="preserve">2. Laikinųjų įdarbinimo įmonių (agentūrų), laikinųjų darbuotojų siuntimas iš nuolatinės darbo vietos laikinai dirbti darbo naudotojo naudai į užsienį ar Lietuvoje laikomas komandiruote, jei komandiruojančioji įmonė ir darbuotojas komandiruotės metu saistomi darbo santykiais. </w:t>
      </w:r>
    </w:p>
    <w:p w14:paraId="03562F56"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rPr>
          <w:color w:val="000000"/>
        </w:rPr>
      </w:pPr>
      <w:r w:rsidRPr="00481ED8">
        <w:rPr>
          <w:color w:val="000000"/>
        </w:rPr>
        <w:t>3. Vieneto darbuotojas siunčiamas į komandiruotę į Lenkiją. Kartu su darbuotoju vyksta ir vieneto valdybos narys, kuris nėra vieneto darbuotojas. Asmenims apmokamos kelionės ir nakvynės išlaidos.</w:t>
      </w:r>
    </w:p>
    <w:p w14:paraId="1C62999C"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pPr>
      <w:r w:rsidRPr="00481ED8">
        <w:t xml:space="preserve">Vieneto patirtos išlaidos, susijusios su darbuotojo komandiruote, yra priskiriamos ribojamų dydžių leidžiamiems atskaitymams, o vieneto patirtos išlaidos, susijusios su valdybos nario išvykimu, priskiriamos neleidžiamiems atskaitymams. </w:t>
      </w:r>
    </w:p>
    <w:p w14:paraId="0DABC553" w14:textId="77777777" w:rsidR="007F5A27" w:rsidRPr="00481ED8" w:rsidRDefault="007F5A27" w:rsidP="007F5A27">
      <w:pPr>
        <w:pBdr>
          <w:top w:val="single" w:sz="4" w:space="1" w:color="auto"/>
          <w:left w:val="single" w:sz="4" w:space="4" w:color="auto"/>
          <w:bottom w:val="single" w:sz="4" w:space="1" w:color="auto"/>
          <w:right w:val="single" w:sz="4" w:space="4" w:color="auto"/>
        </w:pBdr>
        <w:ind w:firstLine="851"/>
        <w:jc w:val="both"/>
      </w:pPr>
      <w:r w:rsidRPr="00481ED8">
        <w:t xml:space="preserve">4. Vieneto valdybos narys, kuris yra ir to vieneto darbuotojas, vyksta į komandiruotę vykdyti jam kaip valdybos nariui priskirtų funkcijų. Valdybos nario išvykimas iš nuolatinės darbo vietos, susijęs su valdybos nario funkcijų atlikimu, nelaikomas komandiruote. </w:t>
      </w:r>
    </w:p>
    <w:p w14:paraId="11BDB7DA" w14:textId="77777777" w:rsidR="007F5A27" w:rsidRDefault="007F5A27" w:rsidP="007F5A27">
      <w:pPr>
        <w:pStyle w:val="Pagrindiniotekstotrauka"/>
        <w:rPr>
          <w:lang w:val="lt-LT"/>
        </w:rPr>
      </w:pPr>
      <w:r w:rsidRPr="00481ED8">
        <w:rPr>
          <w:color w:val="000000"/>
          <w:lang w:val="lt-LT"/>
        </w:rPr>
        <w:t xml:space="preserve">2. </w:t>
      </w:r>
      <w:r w:rsidRPr="00481ED8">
        <w:rPr>
          <w:lang w:val="lt-LT"/>
        </w:rPr>
        <w:t xml:space="preserve">Komandiruote taip pat laikomas individualios įmonės savininko, ūkinės bendrijos tikrojo nario ir mažosios bendrijos nario šioje dalyje nustatyta tvarka įformintas išvykimas iš nuolatinės darbo vietos darbo funkcijoms atlikti ar kelti kvalifikaciją. </w:t>
      </w:r>
    </w:p>
    <w:p w14:paraId="3642F09A" w14:textId="77777777" w:rsidR="007F5A27" w:rsidRPr="00FE7AB0" w:rsidRDefault="007F5A27" w:rsidP="007F5A27">
      <w:pPr>
        <w:pStyle w:val="Pagrindiniotekstotrauka"/>
        <w:rPr>
          <w:rFonts w:ascii="Times New Roman" w:hAnsi="Times New Roman" w:cs="Times New Roman"/>
          <w:lang w:val="lt-LT"/>
        </w:rPr>
      </w:pPr>
      <w:r w:rsidRPr="00FE7AB0">
        <w:rPr>
          <w:rFonts w:ascii="Times New Roman" w:hAnsi="Times New Roman" w:cs="Times New Roman"/>
          <w:lang w:val="lt-LT"/>
        </w:rPr>
        <w:t>(</w:t>
      </w:r>
      <w:r w:rsidR="006B2AD9" w:rsidRPr="00FE7AB0">
        <w:rPr>
          <w:rFonts w:ascii="Times New Roman" w:hAnsi="Times New Roman" w:cs="Times New Roman"/>
          <w:lang w:val="lt-LT"/>
        </w:rPr>
        <w:t>P</w:t>
      </w:r>
      <w:r w:rsidRPr="00FE7AB0">
        <w:rPr>
          <w:rFonts w:ascii="Times New Roman" w:hAnsi="Times New Roman" w:cs="Times New Roman"/>
          <w:lang w:val="lt-LT"/>
        </w:rPr>
        <w:t>akeista pagal VMI prie FM 2019-01-22  raštą Nr. (32.42-31-1E) RM-2520)</w:t>
      </w:r>
    </w:p>
    <w:p w14:paraId="41150595" w14:textId="77777777" w:rsidR="00093845" w:rsidRDefault="000D779E" w:rsidP="007F5A27">
      <w:pPr>
        <w:pStyle w:val="Pagrindiniotekstotrauka"/>
        <w:rPr>
          <w:rFonts w:ascii="Times New Roman" w:hAnsi="Times New Roman" w:cs="Times New Roman"/>
          <w:color w:val="000000"/>
          <w:lang w:val="lt-LT"/>
        </w:rPr>
      </w:pPr>
      <w:r>
        <w:rPr>
          <w:rFonts w:ascii="Times New Roman" w:hAnsi="Times New Roman" w:cs="Times New Roman"/>
          <w:color w:val="000000"/>
          <w:lang w:val="lt-LT"/>
        </w:rPr>
        <w:t xml:space="preserve">3. Komandiruote taip pat yra laikomas pagal Lietuvos Respublikos </w:t>
      </w:r>
      <w:hyperlink r:id="rId82" w:history="1">
        <w:r>
          <w:rPr>
            <w:rFonts w:ascii="Times New Roman" w:hAnsi="Times New Roman" w:cs="Times New Roman"/>
            <w:color w:val="000000"/>
            <w:lang w:val="lt-LT"/>
          </w:rPr>
          <w:t>įstatymo dėl darbuotojų dalyvavimo priimant sprendimus Europos bendrovėse</w:t>
        </w:r>
      </w:hyperlink>
      <w:r>
        <w:rPr>
          <w:rFonts w:ascii="Times New Roman" w:hAnsi="Times New Roman" w:cs="Times New Roman"/>
          <w:color w:val="000000"/>
          <w:lang w:val="lt-LT"/>
        </w:rPr>
        <w:t xml:space="preserve"> nuostatas sudaryto specialiojo derybų komiteto, Europos bendrovės darbo tarybos ir Europos bendrovės darbo tarybos komiteto narių išvykimas, </w:t>
      </w:r>
      <w:r>
        <w:rPr>
          <w:rFonts w:ascii="Times New Roman" w:hAnsi="Times New Roman" w:cs="Times New Roman"/>
          <w:lang w:val="lt-LT"/>
        </w:rPr>
        <w:t>įformintas specialiojo derybų komiteto (pirmajam specialiojo derybų komiteto posėdžiui - kompetentingo steigime dalyvaujančių vienetų organo), Europos bendrovės darbo tarybos ar Europos bendrovės darbo tarybos komiteto sprendimu, kuriame turi būti nurodyta posėdžio vieta ir trukmė,</w:t>
      </w:r>
      <w:r>
        <w:rPr>
          <w:rFonts w:ascii="Times New Roman" w:hAnsi="Times New Roman" w:cs="Times New Roman"/>
          <w:color w:val="000000"/>
          <w:lang w:val="lt-LT"/>
        </w:rPr>
        <w:t xml:space="preserve"> dalyvauti šio specialiojo derybų komiteto, Europos bendrovės darbo tarybos ar Europos bendrovės darbo tarybos komiteto posėdžiuose.</w:t>
      </w:r>
    </w:p>
    <w:p w14:paraId="5E840376" w14:textId="77777777" w:rsidR="00093845" w:rsidRDefault="000D779E">
      <w:pPr>
        <w:pStyle w:val="Antrat1"/>
        <w:jc w:val="both"/>
        <w:rPr>
          <w:rFonts w:ascii="Times New Roman" w:hAnsi="Times New Roman" w:cs="Times New Roman"/>
          <w:b w:val="0"/>
          <w:lang w:val="lt-LT"/>
        </w:rPr>
      </w:pPr>
      <w:r>
        <w:rPr>
          <w:rFonts w:ascii="Times New Roman" w:hAnsi="Times New Roman" w:cs="Times New Roman"/>
          <w:b w:val="0"/>
          <w:lang w:val="lt-LT"/>
        </w:rPr>
        <w:t xml:space="preserve">         4. Komandiruote taip pat yra laikomas pagal Lietuvos Respublikos įstatymo „Dėl darbuotojų dalyvavimo priimant sprendimus Europos kooperatinėse bendrovėse“ nuostatas sudaryto specialiojo derybų komiteto, Europos kooperatinės bendrovės darbo tarybos ir Europos kooperatinės bendrovės  darbo tarybos komiteto narių išvykimas,</w:t>
      </w:r>
      <w:r>
        <w:rPr>
          <w:rFonts w:ascii="Times New Roman" w:hAnsi="Times New Roman" w:cs="Times New Roman"/>
          <w:lang w:val="lt-LT"/>
        </w:rPr>
        <w:t xml:space="preserve"> </w:t>
      </w:r>
      <w:r>
        <w:rPr>
          <w:rFonts w:ascii="Times New Roman" w:hAnsi="Times New Roman" w:cs="Times New Roman"/>
          <w:b w:val="0"/>
          <w:lang w:val="lt-LT"/>
        </w:rPr>
        <w:t xml:space="preserve">įformintas specialiojo derybų komiteto (pirmajam </w:t>
      </w:r>
      <w:r>
        <w:rPr>
          <w:rFonts w:ascii="Times New Roman" w:hAnsi="Times New Roman" w:cs="Times New Roman"/>
          <w:b w:val="0"/>
          <w:lang w:val="lt-LT"/>
        </w:rPr>
        <w:lastRenderedPageBreak/>
        <w:t>specialiojo derybų komiteto posėdžiui - kompetentingo steigime dalyvaujančių vienetų organo), Europos kooperatinės bendrovės darbo tarybos ar Europos kooperatinės bendrovės darbo tarybos komiteto sprendimu, kuriame turi būti nurodyta posėdžio vieta ir trukmė, dalyvauti šio specialiojo derybų komiteto, Europos kooperatinės bendrovės darbo tarybos ar Europos kooperatinės bendrovės darbo tarybos komiteto posėdžiuose.</w:t>
      </w:r>
    </w:p>
    <w:p w14:paraId="0985BA02" w14:textId="77777777" w:rsidR="00145619" w:rsidRPr="00C518F4" w:rsidRDefault="000D779E" w:rsidP="009C7017">
      <w:pPr>
        <w:pStyle w:val="Antrat1"/>
        <w:ind w:firstLine="720"/>
        <w:jc w:val="both"/>
        <w:rPr>
          <w:rFonts w:ascii="Times New Roman" w:hAnsi="Times New Roman" w:cs="Times New Roman"/>
          <w:b w:val="0"/>
          <w:lang w:val="lt-LT"/>
        </w:rPr>
      </w:pPr>
      <w:r>
        <w:rPr>
          <w:rFonts w:ascii="Times New Roman" w:hAnsi="Times New Roman" w:cs="Times New Roman"/>
          <w:b w:val="0"/>
          <w:lang w:val="lt-LT"/>
        </w:rPr>
        <w:t xml:space="preserve">5. Komandiruote taip pat yra laikomas pagal </w:t>
      </w:r>
      <w:r w:rsidR="00145619" w:rsidRPr="00E3127A">
        <w:rPr>
          <w:rFonts w:ascii="Times New Roman" w:hAnsi="Times New Roman" w:cs="Times New Roman"/>
          <w:b w:val="0"/>
          <w:lang w:val="lt-LT"/>
        </w:rPr>
        <w:t xml:space="preserve">Lietuvos Respublikos įstatymo dėl darbuotojų dalyvavimo bendrovėje po vienos valstybės ribas peržengiančio ribotos atsakomybės </w:t>
      </w:r>
      <w:r w:rsidR="00145619" w:rsidRPr="00C518F4">
        <w:rPr>
          <w:rFonts w:ascii="Times New Roman" w:hAnsi="Times New Roman" w:cs="Times New Roman"/>
          <w:b w:val="0"/>
          <w:lang w:val="lt-LT"/>
        </w:rPr>
        <w:t>bendrovių pertvarkymo, jungimosi ar skaidymo nuostatas sudaryto specialiojo derybų komiteto, administravimo, priežiūros ar kito organo narių išvykimas, įformintas specialiojo derybų komiteto (pirmajam specialiojo derybų komiteto posėdžiui – kompetentingo steigime dalyvaujančių asmenų organo), administravimo, priežiūros ar kito organo sprendimu, kuriame turi būti nurodyta posėdžio vieta ir trukmė, dalyvauti šio specialiojo derybų komiteto, administravimo, priežiūros ar kito organo posėdžiuose.</w:t>
      </w:r>
    </w:p>
    <w:p w14:paraId="6A3DA708" w14:textId="77777777" w:rsidR="00145619" w:rsidRPr="00C518F4" w:rsidRDefault="00145619" w:rsidP="00145619">
      <w:pPr>
        <w:pStyle w:val="Antrat1"/>
        <w:ind w:firstLine="851"/>
        <w:jc w:val="both"/>
        <w:rPr>
          <w:rFonts w:ascii="Times New Roman" w:hAnsi="Times New Roman" w:cs="Times New Roman"/>
          <w:b w:val="0"/>
          <w:lang w:val="lt-LT"/>
        </w:rPr>
      </w:pPr>
      <w:r w:rsidRPr="00C518F4">
        <w:rPr>
          <w:rFonts w:ascii="Times New Roman" w:hAnsi="Times New Roman" w:cs="Times New Roman"/>
          <w:b w:val="0"/>
          <w:lang w:val="lt-LT"/>
        </w:rPr>
        <w:t>Nuo 2023 m. rugpjūčio 31 d. galioja naujos redakcijos Darbuotojų dalyvavimo bendrovėje po vienos valstybės ribas peržengiančio ribotos atsakomybės bendrovių pertvarkymo, jungimosi ar skaidymo įstatymas (2023 m. balandžio 6 d. Nr. XIV-1874). Šiuo įstatymu į nacionalinę teisę buvo perkeltos 2019 m. lapkričio 27 d. Direktyvos (ES) 2019/2121 nuostatos susijusios su vienos valstybės ribas peržengiančiu bendrovių pertvarkymu, jungimu ir skaidymu. Todėl nuo 2023 m. rugpjūčio 31 d</w:t>
      </w:r>
      <w:r>
        <w:rPr>
          <w:rFonts w:ascii="Times New Roman" w:hAnsi="Times New Roman" w:cs="Times New Roman"/>
          <w:b w:val="0"/>
          <w:lang w:val="lt-LT"/>
        </w:rPr>
        <w:t>.</w:t>
      </w:r>
      <w:r w:rsidRPr="00C518F4">
        <w:rPr>
          <w:rFonts w:ascii="Times New Roman" w:hAnsi="Times New Roman" w:cs="Times New Roman"/>
          <w:b w:val="0"/>
          <w:lang w:val="lt-LT"/>
        </w:rPr>
        <w:t>, apskaičiuojant apmokestinamąjį pelną, iš pajamų taip pat atskaitomos darbuotojų atstovų, komitetų narių komandiruočių sąnaudos vienos valstybės ribas peržengiančio bendrovių pertvarkymo ir skaidymo atvejais (iki tol tik bendrovių jungimosi atveju).</w:t>
      </w:r>
    </w:p>
    <w:p w14:paraId="5A3DC29C" w14:textId="77777777" w:rsidR="00145619" w:rsidRDefault="00145619" w:rsidP="00145619">
      <w:pPr>
        <w:pStyle w:val="Antrat1"/>
        <w:ind w:firstLine="851"/>
        <w:jc w:val="both"/>
        <w:rPr>
          <w:rFonts w:ascii="Times New Roman" w:hAnsi="Times New Roman" w:cs="Times New Roman"/>
          <w:b w:val="0"/>
          <w:lang w:val="lt-LT"/>
        </w:rPr>
      </w:pPr>
      <w:r w:rsidRPr="00C518F4">
        <w:rPr>
          <w:rFonts w:ascii="Times New Roman" w:hAnsi="Times New Roman" w:cs="Times New Roman"/>
          <w:b w:val="0"/>
          <w:lang w:val="lt-LT"/>
        </w:rPr>
        <w:t xml:space="preserve">6. Laikas, kai darbas derinamas su atostogomis, išvykomis už darbovietės ribų vadinamas „darbostogomis“. „Darbostogų“ sąvoka Lietuvos teisės aktuose atskirai nereglamentuota, tačiau atsižvelgiant į Lietuvos Respublikos darbo kodekso (toliau ‒ DK) 52 straipsnyje nustatytus nuotolinio darbo reikalavimus, toks darbo ir poilsio derinimas suprantamas kaip viena iš nuotolinio darbo formų. Išvykimas į nuotolinio darbo vietą („darbostogas“) komandiruote nelaikomos. Pagal DK 52 str. 1 d., nuotolinio darbo metu darbuotojas jam priskirtas darbo funkcijas ar jų dalį visą arba dalį darbo laiko su darbdaviu suderinta tvarka reguliariai atlieka nuotoliniu būdu, tai yra sulygtoje darbo sutarties šalims priimtinoje kitoje, negu yra darbovietė, vietoje, taip pat naudodamas informacines ir elektroninių ryšių technologijas (teledarbas).   </w:t>
      </w:r>
    </w:p>
    <w:p w14:paraId="0E5FB94F" w14:textId="77777777" w:rsidR="00145619" w:rsidRPr="00C518F4" w:rsidRDefault="00145619" w:rsidP="00145619">
      <w:pPr>
        <w:pStyle w:val="Antrat1"/>
        <w:jc w:val="both"/>
        <w:rPr>
          <w:rFonts w:ascii="Times New Roman" w:hAnsi="Times New Roman" w:cs="Times New Roman"/>
          <w:b w:val="0"/>
          <w:lang w:val="lt-LT"/>
        </w:rPr>
      </w:pPr>
      <w:r w:rsidRPr="00C518F4">
        <w:rPr>
          <w:rFonts w:ascii="Times New Roman" w:hAnsi="Times New Roman" w:cs="Times New Roman"/>
          <w:b w:val="0"/>
          <w:lang w:val="lt-LT"/>
        </w:rPr>
        <w:t xml:space="preserve">                Pavyzdys</w:t>
      </w:r>
    </w:p>
    <w:p w14:paraId="0954CEFD" w14:textId="77777777" w:rsidR="00145619" w:rsidRPr="00C518F4" w:rsidRDefault="00145619" w:rsidP="00145619">
      <w:pPr>
        <w:pBdr>
          <w:top w:val="single" w:sz="4" w:space="1" w:color="auto"/>
          <w:left w:val="single" w:sz="4" w:space="4" w:color="auto"/>
          <w:bottom w:val="single" w:sz="4" w:space="1" w:color="auto"/>
          <w:right w:val="single" w:sz="4" w:space="4" w:color="auto"/>
        </w:pBdr>
        <w:jc w:val="both"/>
        <w:rPr>
          <w:lang w:val="lt-LT"/>
        </w:rPr>
      </w:pPr>
      <w:r w:rsidRPr="00C518F4">
        <w:rPr>
          <w:lang w:val="lt-LT"/>
        </w:rPr>
        <w:t xml:space="preserve">              Darbdavys, darbuotojams sutikus, organizuoja darbuotojų kolektyvo išvyką „darbostogas“ į užsienį darbuotojų motyvacijai skatinti, kurios metu bus derinamas darbas ir poilsis. Išvykos metu darbuotojai dalį laiko dirbs viešbutyje, dalis darbo laiko bus skiriama turistinių objektų lankymui, poilsiui, susipažinimui su šalies, į kurią vykstama, kultūra.</w:t>
      </w:r>
    </w:p>
    <w:p w14:paraId="159577BC" w14:textId="77777777" w:rsidR="00145619" w:rsidRPr="00C518F4" w:rsidRDefault="00145619" w:rsidP="00145619">
      <w:pPr>
        <w:pBdr>
          <w:top w:val="single" w:sz="4" w:space="1" w:color="auto"/>
          <w:left w:val="single" w:sz="4" w:space="4" w:color="auto"/>
          <w:bottom w:val="single" w:sz="4" w:space="1" w:color="auto"/>
          <w:right w:val="single" w:sz="4" w:space="4" w:color="auto"/>
        </w:pBdr>
        <w:tabs>
          <w:tab w:val="left" w:pos="851"/>
        </w:tabs>
        <w:jc w:val="both"/>
        <w:rPr>
          <w:lang w:val="lt-LT"/>
        </w:rPr>
      </w:pPr>
      <w:r w:rsidRPr="00C518F4">
        <w:rPr>
          <w:lang w:val="lt-LT"/>
        </w:rPr>
        <w:t xml:space="preserve">              „Darbostogos“ vertinamos kaip nuotolinio darbo forma ir neprilyginamos komandiruotei PMĮ 21 str. 1 d. taikymo prasme.  Nuotolinio darbo („darbostogų“) Lietuvoje ar užsienyje atveju dienpinigiai darbuotojams nėra mokami. Atitinkamai, apskaičiuojant apmokestinamąjį pelną, darbdavio sąnaudos, susijusios su nuotoliniu darbu („darbostogomis“), nėra laikomos komandiruočių sąnaudomis priskirtinomis ribojamų dydžių leidžiamiems atskaitymams pagal PMĮ 21 str. nuostatas.</w:t>
      </w:r>
    </w:p>
    <w:p w14:paraId="221F2723" w14:textId="77777777" w:rsidR="00093845" w:rsidRPr="009C7017" w:rsidRDefault="009C7017" w:rsidP="009C7017">
      <w:pPr>
        <w:rPr>
          <w:lang w:val="lt-LT"/>
        </w:rPr>
      </w:pPr>
      <w:r w:rsidRPr="00FE7AB0">
        <w:rPr>
          <w:lang w:val="lt-LT"/>
        </w:rPr>
        <w:t>(</w:t>
      </w:r>
      <w:r>
        <w:rPr>
          <w:lang w:val="lt-LT"/>
        </w:rPr>
        <w:t>PMĮ 21 straipsnio 1 dalies komentar</w:t>
      </w:r>
      <w:r w:rsidR="00F4035D">
        <w:rPr>
          <w:lang w:val="lt-LT"/>
        </w:rPr>
        <w:t>as</w:t>
      </w:r>
      <w:r>
        <w:rPr>
          <w:lang w:val="lt-LT"/>
        </w:rPr>
        <w:t xml:space="preserve"> </w:t>
      </w:r>
      <w:r w:rsidR="00F4035D">
        <w:rPr>
          <w:lang w:val="lt-LT"/>
        </w:rPr>
        <w:t>pakeistas</w:t>
      </w:r>
      <w:r>
        <w:rPr>
          <w:lang w:val="lt-LT"/>
        </w:rPr>
        <w:t xml:space="preserve"> pagal VMI prie FM 2023-12-20</w:t>
      </w:r>
      <w:r w:rsidR="00AE393E">
        <w:rPr>
          <w:lang w:val="lt-LT"/>
        </w:rPr>
        <w:t xml:space="preserve">  raštą Nr. (18.</w:t>
      </w:r>
      <w:r>
        <w:rPr>
          <w:lang w:val="lt-LT"/>
        </w:rPr>
        <w:t>32-31-1 E) R-4975</w:t>
      </w:r>
      <w:r w:rsidRPr="00FE7AB0">
        <w:rPr>
          <w:lang w:val="lt-LT"/>
        </w:rPr>
        <w:t>)</w:t>
      </w:r>
      <w:r>
        <w:rPr>
          <w:lang w:val="lt-LT"/>
        </w:rPr>
        <w:t>.</w:t>
      </w:r>
    </w:p>
    <w:p w14:paraId="202D3A44" w14:textId="77777777" w:rsidR="00093845" w:rsidRDefault="00093845">
      <w:pPr>
        <w:pStyle w:val="Pagrindiniotekstotrauka3"/>
        <w:tabs>
          <w:tab w:val="left" w:pos="720"/>
          <w:tab w:val="left" w:pos="1077"/>
          <w:tab w:val="left" w:pos="1418"/>
        </w:tabs>
        <w:ind w:right="-5"/>
        <w:rPr>
          <w:rFonts w:ascii="Times New Roman" w:hAnsi="Times New Roman"/>
          <w:strike/>
          <w:lang w:eastAsia="lt-LT"/>
        </w:rPr>
      </w:pPr>
    </w:p>
    <w:p w14:paraId="0221004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lastRenderedPageBreak/>
        <w:t>2.</w:t>
      </w:r>
      <w:r>
        <w:rPr>
          <w:rFonts w:ascii="Times New Roman" w:hAnsi="Times New Roman" w:cs="Times New Roman"/>
          <w:b/>
          <w:lang w:val="lt-LT"/>
        </w:rPr>
        <w:tab/>
        <w:t>Komandiruote į užsienį nelaikomas darbuotojo išvykimas už Lietuvos Respublikos ribų į užsienį, jei jis vienoje vietoje užsienyje būna ilgiau kaip 183 dienas, išskyrus darbuotojus, kurių darbas yra susijęs su važinėjimu arba yra kilnojamasis ar pakaitinis (pamaininis).</w:t>
      </w:r>
    </w:p>
    <w:p w14:paraId="471522E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10E9A43C" w14:textId="77777777" w:rsidR="00093845" w:rsidRDefault="000D779E">
      <w:pPr>
        <w:pStyle w:val="Pagrindiniotekstotrauka"/>
        <w:tabs>
          <w:tab w:val="left" w:pos="720"/>
          <w:tab w:val="left" w:pos="1077"/>
          <w:tab w:val="left" w:pos="1418"/>
        </w:tabs>
        <w:ind w:right="-5"/>
        <w:rPr>
          <w:rFonts w:ascii="Times New Roman" w:hAnsi="Times New Roman" w:cs="Times New Roman"/>
          <w:lang w:val="lt-LT"/>
        </w:rPr>
      </w:pPr>
      <w:r>
        <w:rPr>
          <w:rFonts w:ascii="Times New Roman" w:hAnsi="Times New Roman" w:cs="Times New Roman"/>
          <w:lang w:val="lt-LT"/>
        </w:rPr>
        <w:t>Komandiruote į užsienį nelaikomas darbuotojo išvykimas už Lietuvos Respublikos ribų į užsienį, jei jis vienoje vietoje užsienyje būna ilgiau kaip 183 dienas, išskyrus atvejus, kai darbuotojo darbas yra susijęs su važinėjimu arba yra kilnojamasis ar pakaitinis (pamaininis).</w:t>
      </w:r>
    </w:p>
    <w:p w14:paraId="6E4E5CDF" w14:textId="77777777" w:rsidR="00093845" w:rsidRDefault="000D779E">
      <w:pPr>
        <w:pStyle w:val="Pagrindiniotekstotrauka3"/>
        <w:tabs>
          <w:tab w:val="left" w:pos="720"/>
          <w:tab w:val="left" w:pos="1077"/>
          <w:tab w:val="left" w:pos="1418"/>
        </w:tabs>
        <w:ind w:right="-6"/>
        <w:rPr>
          <w:rFonts w:ascii="Times New Roman" w:hAnsi="Times New Roman"/>
          <w:iCs/>
        </w:rPr>
      </w:pPr>
      <w:r>
        <w:rPr>
          <w:rFonts w:ascii="Times New Roman" w:hAnsi="Times New Roman"/>
          <w:iCs/>
        </w:rPr>
        <w:t xml:space="preserve">Šioje dalyje nurodytas 183 dienų laikotarpis siejamas su įmonės darbuotojo kiekvieno išvykimo į užsienį atlikti darbo funkcijas ar tarnybinį pavedimą laiko trukme. Sąvoka ,,vienoje vietoje užsienyje“ suprantama kaip viena užsienio valstybė. </w:t>
      </w:r>
    </w:p>
    <w:p w14:paraId="4F4DD75D" w14:textId="77777777" w:rsidR="00093845" w:rsidRDefault="000D779E">
      <w:pPr>
        <w:pStyle w:val="Pagrindiniotekstotrauka3"/>
        <w:tabs>
          <w:tab w:val="left" w:pos="720"/>
          <w:tab w:val="left" w:pos="1077"/>
          <w:tab w:val="left" w:pos="1418"/>
        </w:tabs>
        <w:ind w:right="-6"/>
        <w:rPr>
          <w:rFonts w:ascii="Times New Roman" w:hAnsi="Times New Roman"/>
          <w:iCs/>
        </w:rPr>
      </w:pPr>
      <w:r>
        <w:rPr>
          <w:rFonts w:ascii="Times New Roman" w:hAnsi="Times New Roman"/>
          <w:iCs/>
        </w:rPr>
        <w:t>Jeigu darbuotojas, išvykęs į komandiruotę, vienoje valstybėje užsienyje nepertraukiamai praleidžia ilgiau kaip 183 dienas, toks jo išvykimas nelaikomas komandiruote ir patirtos išlaidos už visą išvykimo laiką nelaikomos komandiruočių sąnaudomis.</w:t>
      </w:r>
    </w:p>
    <w:p w14:paraId="784BEA77" w14:textId="77777777" w:rsidR="00093845" w:rsidRDefault="000D779E">
      <w:pPr>
        <w:pStyle w:val="Pagrindiniotekstotrauka3"/>
        <w:tabs>
          <w:tab w:val="left" w:pos="720"/>
          <w:tab w:val="left" w:pos="1077"/>
          <w:tab w:val="left" w:pos="1418"/>
        </w:tabs>
        <w:ind w:right="-5"/>
        <w:rPr>
          <w:rFonts w:ascii="Times New Roman" w:hAnsi="Times New Roman"/>
          <w:iCs/>
        </w:rPr>
      </w:pPr>
      <w:r>
        <w:rPr>
          <w:rFonts w:ascii="Times New Roman" w:hAnsi="Times New Roman"/>
          <w:iCs/>
        </w:rPr>
        <w:t xml:space="preserve">Komandiruote taip pat nelaikomas individualių įmonių savininkų, ūkinių bendrijų tikrųjų narių ir mažųjų bendrijų narių išvykimas </w:t>
      </w:r>
      <w:r>
        <w:rPr>
          <w:rFonts w:ascii="Times New Roman" w:hAnsi="Times New Roman"/>
        </w:rPr>
        <w:t>už Lietuvos Respublikos ribų į užsienį, jei jis vienoje vietoje užsienyje būna ilgiau kaip 183 dienas.</w:t>
      </w:r>
      <w:r>
        <w:rPr>
          <w:rFonts w:ascii="Times New Roman" w:hAnsi="Times New Roman"/>
          <w:iCs/>
        </w:rPr>
        <w:t xml:space="preserve"> </w:t>
      </w:r>
    </w:p>
    <w:p w14:paraId="136ED5B6" w14:textId="77777777" w:rsidR="00093845" w:rsidRDefault="000D779E">
      <w:pPr>
        <w:pStyle w:val="Pagrindiniotekstotrauka3"/>
        <w:tabs>
          <w:tab w:val="left" w:pos="720"/>
          <w:tab w:val="left" w:pos="1077"/>
          <w:tab w:val="left" w:pos="1418"/>
        </w:tabs>
        <w:ind w:right="-5"/>
        <w:rPr>
          <w:rFonts w:ascii="Times New Roman" w:hAnsi="Times New Roman"/>
          <w:iCs/>
        </w:rPr>
      </w:pPr>
      <w:r>
        <w:rPr>
          <w:rFonts w:ascii="Times New Roman" w:hAnsi="Times New Roman"/>
          <w:iCs/>
        </w:rPr>
        <w:t xml:space="preserve">Pavyzdžiai </w:t>
      </w:r>
    </w:p>
    <w:p w14:paraId="1E0971F9"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 xml:space="preserve">1. Vieneto pavedimu vieneto darbuotojas siunčiamas į 280 dienų užsienio komandiruotę. Komandiruotės įsakyme nurodyta, kad jis 180 dienų bus Lenkijos Respublikoje Krokuvos mieste, o 100 dienų –Berlyne. </w:t>
      </w:r>
    </w:p>
    <w:p w14:paraId="6B66228A"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Atsižvelgiant į tai, kad darbuotojas kiekvienoje iš valstybių praleis ne ilgiau kaip 183 dienas, toks darbuotojo išvykimas laikomas komandiruote ir patirtos jo išlaidos už visą išvykimo laiką laikomos komandiruočių sąnaudomis.</w:t>
      </w:r>
    </w:p>
    <w:p w14:paraId="4847F41B"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 xml:space="preserve">2. Vieneto pavedimu vieneto darbuotojas siunčiamas 190 dienų į užsienio komandiruotę. Komandiruotės įsakyme nurodyta, kad jis 80 dienų bus Lenkijos Respublikoje Krokuvos mieste, o 110 dienų – Varšuvoje. </w:t>
      </w:r>
    </w:p>
    <w:p w14:paraId="0B6C7FE9"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6"/>
        <w:rPr>
          <w:rFonts w:ascii="Times New Roman" w:hAnsi="Times New Roman"/>
          <w:iCs/>
        </w:rPr>
      </w:pPr>
      <w:r>
        <w:rPr>
          <w:rFonts w:ascii="Times New Roman" w:hAnsi="Times New Roman"/>
          <w:iCs/>
        </w:rPr>
        <w:t>Atsižvelgiant į tai, kad darbuotojas vienoje valstybėje – Lenkijos Respublikoje, praleis ilgiau kaip 183 dienas, toks darbuotojo išvykimas nelaikomas komandiruote ir patirtos jo išlaidos už visą išvykimo laiką nelaikomos komandiruočių sąnaudomis.</w:t>
      </w:r>
    </w:p>
    <w:p w14:paraId="5C73C7CA" w14:textId="77777777" w:rsidR="00093845" w:rsidRDefault="00093845">
      <w:pPr>
        <w:pStyle w:val="Pagrindiniotekstotrauka"/>
        <w:tabs>
          <w:tab w:val="left" w:pos="720"/>
          <w:tab w:val="left" w:pos="1077"/>
          <w:tab w:val="left" w:pos="1418"/>
        </w:tabs>
        <w:ind w:right="-5"/>
        <w:rPr>
          <w:rFonts w:ascii="Times New Roman" w:hAnsi="Times New Roman" w:cs="Times New Roman"/>
          <w:b/>
          <w:lang w:val="lt-LT"/>
        </w:rPr>
      </w:pPr>
    </w:p>
    <w:p w14:paraId="60C4686C"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3.</w:t>
      </w:r>
      <w:r>
        <w:rPr>
          <w:rFonts w:ascii="Times New Roman" w:hAnsi="Times New Roman" w:cs="Times New Roman"/>
          <w:b/>
          <w:lang w:val="lt-LT"/>
        </w:rPr>
        <w:tab/>
        <w:t>Komandiruočių sąnaudos iš pajamų atskaitomos Lietuvos Respublikos Vyriausybės arba jos įgaliotos institucijos nustatyta tvarka.</w:t>
      </w:r>
    </w:p>
    <w:p w14:paraId="69E6E17B" w14:textId="77777777" w:rsidR="00093845" w:rsidRDefault="000D779E">
      <w:pPr>
        <w:pStyle w:val="Pagrindiniotekstotrauka"/>
        <w:tabs>
          <w:tab w:val="left" w:pos="720"/>
          <w:tab w:val="left" w:pos="1077"/>
          <w:tab w:val="left" w:pos="1418"/>
        </w:tabs>
        <w:ind w:right="-5"/>
        <w:rPr>
          <w:rFonts w:ascii="Times New Roman" w:hAnsi="Times New Roman" w:cs="Times New Roman"/>
          <w:b/>
          <w:lang w:val="lt-LT"/>
        </w:rPr>
      </w:pPr>
      <w:r>
        <w:rPr>
          <w:rFonts w:ascii="Times New Roman" w:hAnsi="Times New Roman" w:cs="Times New Roman"/>
          <w:b/>
          <w:lang w:val="lt-LT"/>
        </w:rPr>
        <w:t>Komentaras</w:t>
      </w:r>
    </w:p>
    <w:p w14:paraId="59651B40"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B234BA">
        <w:rPr>
          <w:rFonts w:ascii="Times New Roman" w:hAnsi="Times New Roman" w:cs="Times New Roman"/>
          <w:lang w:val="lt-LT"/>
        </w:rPr>
        <w:t>1.</w:t>
      </w:r>
      <w:r w:rsidRPr="00B234BA">
        <w:rPr>
          <w:rFonts w:ascii="Times New Roman" w:hAnsi="Times New Roman" w:cs="Times New Roman"/>
          <w:lang w:val="lt-LT"/>
        </w:rPr>
        <w:tab/>
        <w:t xml:space="preserve">Pagal PMĮ </w:t>
      </w:r>
      <w:r w:rsidRPr="00C518F4">
        <w:rPr>
          <w:rFonts w:ascii="Times New Roman" w:hAnsi="Times New Roman" w:cs="Times New Roman"/>
          <w:lang w:val="lt-LT"/>
        </w:rPr>
        <w:t xml:space="preserve">17 str. 2 dalies nuostatas, apskaičiuojant apmokestinamąjį pelną, komandiruočių sąnaudos priskiriamos ribojamų dydžių leidžiamiems atskaitymams. </w:t>
      </w:r>
    </w:p>
    <w:p w14:paraId="16D351DA"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2.</w:t>
      </w:r>
      <w:r w:rsidRPr="00C518F4">
        <w:rPr>
          <w:rFonts w:ascii="Times New Roman" w:hAnsi="Times New Roman" w:cs="Times New Roman"/>
          <w:lang w:val="lt-LT"/>
        </w:rPr>
        <w:tab/>
        <w:t xml:space="preserve">Komandiruočių sąnaudos iš pajamų atskaitomos vadovaujantis </w:t>
      </w:r>
      <w:r w:rsidRPr="00C518F4">
        <w:rPr>
          <w:rFonts w:ascii="Times New Roman" w:hAnsi="Times New Roman" w:cs="Times New Roman"/>
          <w:color w:val="000000"/>
          <w:shd w:val="clear" w:color="auto" w:fill="FFFFFF"/>
          <w:lang w:val="lt-LT"/>
        </w:rPr>
        <w:t xml:space="preserve">Komandiruočių sąnaudų atskaitymo iš pajamų taisyklėmis, patvirtintomis </w:t>
      </w:r>
      <w:r w:rsidRPr="00C518F4">
        <w:rPr>
          <w:rFonts w:ascii="Times New Roman" w:hAnsi="Times New Roman" w:cs="Times New Roman"/>
          <w:lang w:val="lt-LT"/>
        </w:rPr>
        <w:t xml:space="preserve">Lietuvos Respublikos Vyriausybės 2003 m. sausio 28 d. </w:t>
      </w:r>
      <w:hyperlink r:id="rId83" w:history="1">
        <w:r w:rsidRPr="00C518F4">
          <w:rPr>
            <w:rFonts w:ascii="Times New Roman" w:hAnsi="Times New Roman" w:cs="Times New Roman"/>
            <w:lang w:val="lt-LT"/>
          </w:rPr>
          <w:t>nutarimu Nr. 99</w:t>
        </w:r>
      </w:hyperlink>
      <w:r w:rsidRPr="00C518F4">
        <w:rPr>
          <w:rFonts w:ascii="Times New Roman" w:hAnsi="Times New Roman" w:cs="Times New Roman"/>
          <w:lang w:val="lt-LT"/>
        </w:rPr>
        <w:t xml:space="preserve"> ,,Dėl komandiruočių sąnaudų atskaitymo iš pajamų taisyklių patvirtinimo“, nutarimo preambulė pakeista ir taisyklių nauja redakcija išdėstyta Lietuvos Respublikos Vyriausybės 2023 m. liepos 12 d. nutarimu </w:t>
      </w:r>
      <w:hyperlink r:id="rId84" w:tgtFrame="FTurinys" w:tooltip="Dėl Lietuvos Respublikos Vyriausybės 2003 m. sausio 28 d. nutarimo Nr. 99 ''Dėl Komandiruočių sąnaudų atskaitymo iš pajamų tvarkos patvirtinimo'' pakeitimo" w:history="1">
        <w:r w:rsidRPr="00C518F4">
          <w:rPr>
            <w:rFonts w:ascii="Times New Roman" w:hAnsi="Times New Roman" w:cs="Times New Roman"/>
            <w:lang w:val="lt-LT"/>
          </w:rPr>
          <w:t xml:space="preserve">Nr. </w:t>
        </w:r>
      </w:hyperlink>
      <w:r w:rsidRPr="00C518F4">
        <w:rPr>
          <w:rFonts w:ascii="Times New Roman" w:hAnsi="Times New Roman" w:cs="Times New Roman"/>
          <w:lang w:val="lt-LT"/>
        </w:rPr>
        <w:t>559 (toliau – Taisyklės).</w:t>
      </w:r>
    </w:p>
    <w:p w14:paraId="43F7C561"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lastRenderedPageBreak/>
        <w:t xml:space="preserve">3. Pažymime, kad šios Taisyklės nenustato prievolių vienetams mokėti šiose Taisyklėse nustatyto dydžio dienpinigius, o tik reglamentuoja komandiruočių sąnaudų priskyrimo ribojamų dydžių leidžiamiems atskaitymams tvarką. </w:t>
      </w:r>
    </w:p>
    <w:p w14:paraId="135BE206"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t xml:space="preserve">Komandiruočių kompensacijų dydžių apribojimai dienpinigiams, kurių dydis priklauso nuo darbuotojo mėnesinės algos dydžio ar valandinio tarifinio atlygio už dirbtą laiką, netaikomi apskaičiuojant apmokestinamąjį pelną. </w:t>
      </w:r>
    </w:p>
    <w:p w14:paraId="46FAB41B" w14:textId="77777777" w:rsidR="00EF2F3D" w:rsidRPr="00E3127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r w:rsidRPr="00E3127A">
        <w:rPr>
          <w:rFonts w:ascii="Times New Roman" w:hAnsi="Times New Roman" w:cs="Times New Roman"/>
          <w:lang w:val="lt-LT"/>
        </w:rPr>
        <w:t>Apskaičiuojant apmokestinamąjį pelną, iš pajamų atskaitomoms komandiruočių sąnaudoms priskiriamos dienpinigių sumos, apskaičiuotos pagal Taisyklių nuostatas.</w:t>
      </w:r>
    </w:p>
    <w:p w14:paraId="1ADC44EE" w14:textId="77777777" w:rsidR="00EF2F3D" w:rsidRPr="00B234BA" w:rsidRDefault="00EF2F3D" w:rsidP="00EF2F3D">
      <w:pPr>
        <w:pStyle w:val="Pagrindiniotekstotrauka"/>
        <w:tabs>
          <w:tab w:val="left" w:pos="720"/>
          <w:tab w:val="left" w:pos="1077"/>
          <w:tab w:val="left" w:pos="1418"/>
        </w:tabs>
        <w:spacing w:after="0"/>
        <w:ind w:right="-6" w:firstLine="851"/>
        <w:rPr>
          <w:rFonts w:ascii="Times New Roman" w:hAnsi="Times New Roman" w:cs="Times New Roman"/>
          <w:lang w:val="lt-LT"/>
        </w:rPr>
      </w:pPr>
    </w:p>
    <w:p w14:paraId="0F4D1F21" w14:textId="77777777" w:rsidR="00EF2F3D" w:rsidRPr="00B234BA" w:rsidRDefault="00EF2F3D" w:rsidP="00EF2F3D">
      <w:pPr>
        <w:pStyle w:val="Pagrindiniotekstotrauka"/>
        <w:tabs>
          <w:tab w:val="left" w:pos="720"/>
          <w:tab w:val="left" w:pos="1077"/>
          <w:tab w:val="left" w:pos="1418"/>
        </w:tabs>
        <w:ind w:right="-5" w:firstLine="851"/>
        <w:rPr>
          <w:rFonts w:ascii="Times New Roman" w:hAnsi="Times New Roman" w:cs="Times New Roman"/>
          <w:lang w:val="lt-LT"/>
        </w:rPr>
      </w:pPr>
      <w:r w:rsidRPr="00B234BA">
        <w:rPr>
          <w:rFonts w:ascii="Times New Roman" w:hAnsi="Times New Roman" w:cs="Times New Roman"/>
          <w:b/>
          <w:lang w:val="lt-LT"/>
        </w:rPr>
        <w:tab/>
        <w:t>4.</w:t>
      </w:r>
      <w:r w:rsidRPr="00B234BA">
        <w:rPr>
          <w:rFonts w:ascii="Times New Roman" w:hAnsi="Times New Roman" w:cs="Times New Roman"/>
          <w:b/>
          <w:lang w:val="lt-LT"/>
        </w:rPr>
        <w:tab/>
        <w:t>Komandiruotės į užsienį sąnaudos.</w:t>
      </w:r>
    </w:p>
    <w:p w14:paraId="1CAFDF1A" w14:textId="77777777" w:rsidR="00EF2F3D" w:rsidRPr="00C518F4"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2500FE">
        <w:rPr>
          <w:rFonts w:ascii="Times New Roman" w:hAnsi="Times New Roman" w:cs="Times New Roman"/>
          <w:lang w:val="lt-LT"/>
        </w:rPr>
        <w:t>4.1.</w:t>
      </w:r>
      <w:r w:rsidRPr="002500FE">
        <w:rPr>
          <w:rFonts w:ascii="Times New Roman" w:hAnsi="Times New Roman" w:cs="Times New Roman"/>
          <w:lang w:val="lt-LT"/>
        </w:rPr>
        <w:tab/>
        <w:t xml:space="preserve">Tarnybinių komandiruočių į užsienį sąnaudos prie ribojamų dydžių leidžiamų atskaitymų priskiriamos vadovaujantis </w:t>
      </w:r>
      <w:r w:rsidRPr="00C518F4">
        <w:rPr>
          <w:rFonts w:ascii="Times New Roman" w:hAnsi="Times New Roman" w:cs="Times New Roman"/>
          <w:lang w:val="lt-LT"/>
        </w:rPr>
        <w:t xml:space="preserve">minėtu Vyriausybės 2003 m. sausio 28 d. </w:t>
      </w:r>
      <w:hyperlink r:id="rId85" w:history="1">
        <w:r w:rsidRPr="00C518F4">
          <w:rPr>
            <w:rStyle w:val="Hipersaitas"/>
            <w:rFonts w:ascii="Times New Roman" w:hAnsi="Times New Roman" w:cs="Times New Roman"/>
            <w:lang w:val="lt-LT"/>
          </w:rPr>
          <w:t>nutarimu Nr. 99</w:t>
        </w:r>
      </w:hyperlink>
      <w:r w:rsidRPr="00C518F4">
        <w:rPr>
          <w:rFonts w:ascii="Times New Roman" w:hAnsi="Times New Roman" w:cs="Times New Roman"/>
          <w:lang w:val="lt-LT"/>
        </w:rPr>
        <w:t xml:space="preserve"> patvirtintų Taisyklių II skyriaus Komandiruotės į užsienį nuostatomis. </w:t>
      </w:r>
    </w:p>
    <w:p w14:paraId="220E9F12" w14:textId="77777777" w:rsidR="00EF2F3D" w:rsidRPr="00C518F4" w:rsidRDefault="00EF2F3D" w:rsidP="00EF2F3D">
      <w:pPr>
        <w:pStyle w:val="Pagrindiniotekstotrauka"/>
        <w:tabs>
          <w:tab w:val="left" w:pos="0"/>
          <w:tab w:val="left" w:pos="1077"/>
          <w:tab w:val="left" w:pos="1418"/>
        </w:tabs>
        <w:ind w:right="-5" w:firstLine="709"/>
        <w:rPr>
          <w:rFonts w:ascii="Times New Roman" w:hAnsi="Times New Roman" w:cs="Times New Roman"/>
          <w:lang w:val="lt-LT"/>
        </w:rPr>
      </w:pPr>
      <w:r w:rsidRPr="00C518F4">
        <w:rPr>
          <w:rFonts w:ascii="Times New Roman" w:hAnsi="Times New Roman" w:cs="Times New Roman"/>
          <w:lang w:val="lt-LT"/>
        </w:rPr>
        <w:t>4.2.</w:t>
      </w:r>
      <w:r w:rsidRPr="00C518F4">
        <w:rPr>
          <w:rFonts w:ascii="Times New Roman" w:hAnsi="Times New Roman" w:cs="Times New Roman"/>
          <w:lang w:val="lt-LT"/>
        </w:rPr>
        <w:tab/>
        <w:t>Tuo atveju, kai Lietuvos vienetas vykdo veiklą užsienyje, tai jo darbuotojams, vykstantiems į tarnybines komandiruotes iš nuolatinių darbo vietų (iš nuolatinių buveinių ar kitų Lietuvos vieneto nesavarankiškų struktūrinių padalinių esančių užsienyje), taip pat taikomos Taisyklių II skyriaus Komandiruotės į užsienį nuostatos.</w:t>
      </w:r>
    </w:p>
    <w:p w14:paraId="25F938FA" w14:textId="77777777" w:rsidR="00EF2F3D" w:rsidRPr="00C518F4" w:rsidRDefault="00EF2F3D" w:rsidP="00EF2F3D">
      <w:pPr>
        <w:spacing w:after="0" w:line="240" w:lineRule="auto"/>
        <w:ind w:firstLine="709"/>
        <w:jc w:val="both"/>
        <w:rPr>
          <w:lang w:val="lt-LT"/>
        </w:rPr>
      </w:pPr>
      <w:r w:rsidRPr="00C518F4">
        <w:rPr>
          <w:lang w:val="lt-LT"/>
        </w:rPr>
        <w:t>Tuo atveju, kai Lietuvos vieneto nuolatinės buveinės ar kito nesavarankiško padalinio užsienio valstybėje darbuotojas vyksta komandiruotės tikslais į Lietuvos Respubliką, taikomos Taisyklių IV skyriaus Komandiruotės iš užsienio į Lietuvos Respublikos teritoriją nuostatos (žr. PMĮ 21 str. 3 dalies komentaro 6 punktą);</w:t>
      </w:r>
    </w:p>
    <w:p w14:paraId="650B9494" w14:textId="77777777" w:rsidR="00EF2F3D" w:rsidRPr="00B234BA" w:rsidRDefault="00EF2F3D" w:rsidP="00EF2F3D">
      <w:pPr>
        <w:ind w:firstLine="720"/>
        <w:jc w:val="both"/>
        <w:rPr>
          <w:bCs/>
          <w:lang w:val="lt-LT"/>
        </w:rPr>
      </w:pPr>
      <w:r w:rsidRPr="00C518F4">
        <w:rPr>
          <w:lang w:val="lt-LT"/>
        </w:rPr>
        <w:t xml:space="preserve">Pagal PMĮ 4 str. 1 dalies ir 31 str. 1 d. 19 punkto nuostatas </w:t>
      </w:r>
      <w:r w:rsidRPr="00C518F4">
        <w:rPr>
          <w:iCs/>
          <w:lang w:val="lt-LT"/>
        </w:rPr>
        <w:t xml:space="preserve">per Lietuvos vieneto nuolatines buveines, esančias </w:t>
      </w:r>
      <w:r w:rsidRPr="00C518F4">
        <w:rPr>
          <w:bCs/>
          <w:lang w:val="lt-LT"/>
        </w:rPr>
        <w:t>Europos ekonominės erdvės valstybėse arba valstybėse, su kuriomis Lietuvos Respublika yra sudariusi ir taiko dvigubo apmokestinimo išvengimo sutartis</w:t>
      </w:r>
      <w:r w:rsidRPr="00C518F4">
        <w:rPr>
          <w:lang w:val="lt-LT"/>
        </w:rPr>
        <w:t xml:space="preserve"> vykdomos veiklos pajamos (nustatyta tvarka apmokestintos pelno mokesčiu ar jam tapačiu mokesčiu tose valstybėse), nėra įtraukiamos į Lietuvos vieneto mokesčio bazę,</w:t>
      </w:r>
      <w:r w:rsidRPr="00B234BA">
        <w:rPr>
          <w:lang w:val="lt-LT"/>
        </w:rPr>
        <w:t xml:space="preserve"> o sąnaudos, tenkančios tokių nuolatinių buveinių vykdomos veiklos pajamoms negali būti priskiriamos Lietuvos vieneto leidžiamiems ar ribojamų dydžių leidžiamiems atskaitymams</w:t>
      </w:r>
      <w:r w:rsidRPr="00B234BA">
        <w:rPr>
          <w:bCs/>
          <w:lang w:val="lt-LT"/>
        </w:rPr>
        <w:t xml:space="preserve"> (žr. PMĮ 4 str. 1 dalies ir 31 str. 1 d. 19 punkto komentarą). </w:t>
      </w:r>
      <w:r w:rsidRPr="00B234BA">
        <w:rPr>
          <w:lang w:val="lt-LT"/>
        </w:rPr>
        <w:t>Todėl Lietuvos vieneto darbuotojo komandiruotės į minėtus kriterijus atitinkančią nuolatinę buveinę užsienio valstybėje (ar iš jos į Lietuvą) sąnaudos, kai k</w:t>
      </w:r>
      <w:r w:rsidRPr="00B234BA">
        <w:rPr>
          <w:bCs/>
          <w:lang w:val="lt-LT"/>
        </w:rPr>
        <w:t xml:space="preserve">omandiruotės metu darbuotojai atlieka užduotis nuolatinės buveinės naudai arba tokių sąnaudų dalis, kai komandiruotės metu tik dalis užduočių atliekama </w:t>
      </w:r>
      <w:r w:rsidRPr="00B234BA">
        <w:rPr>
          <w:lang w:val="lt-LT"/>
        </w:rPr>
        <w:t xml:space="preserve">nuolatinės buveinės naudai, apskaičiuojant Lietuvos vieneto apmokestinamąjį pelną, </w:t>
      </w:r>
      <w:r w:rsidRPr="00B234BA">
        <w:rPr>
          <w:bCs/>
          <w:lang w:val="lt-LT"/>
        </w:rPr>
        <w:t>iš pajamų neatskaitomos.</w:t>
      </w:r>
    </w:p>
    <w:p w14:paraId="084FCFBB" w14:textId="77777777" w:rsidR="00EF2F3D" w:rsidRPr="002500FE" w:rsidRDefault="00EF2F3D" w:rsidP="00EF2F3D">
      <w:pPr>
        <w:ind w:firstLine="720"/>
        <w:jc w:val="both"/>
        <w:rPr>
          <w:lang w:val="lt-LT"/>
        </w:rPr>
      </w:pPr>
      <w:r w:rsidRPr="002500FE">
        <w:rPr>
          <w:lang w:val="lt-LT"/>
        </w:rPr>
        <w:t>4.3.</w:t>
      </w:r>
      <w:r w:rsidRPr="002500FE">
        <w:rPr>
          <w:lang w:val="lt-LT"/>
        </w:rPr>
        <w:tab/>
        <w:t xml:space="preserve">Apskaičiuojant apmokestinamąjį pelną, iš pajamų atskaitomomis komandiruočių sąnaudomis laikomos šios su vieneto darbuotojo, </w:t>
      </w:r>
      <w:r w:rsidRPr="00C518F4">
        <w:rPr>
          <w:lang w:val="lt-LT"/>
        </w:rPr>
        <w:t>išskyrus Taisyklių 7, 8 ir 9 punktuose nustatytais atvejais (žr. PMĮ 21 str. 3 dalies komentaro 4.8 papunktį), komandiruote</w:t>
      </w:r>
      <w:r w:rsidRPr="002500FE">
        <w:rPr>
          <w:lang w:val="lt-LT"/>
        </w:rPr>
        <w:t xml:space="preserve"> į užsienį susijusios išlaidos:</w:t>
      </w:r>
    </w:p>
    <w:p w14:paraId="78E0E3DD" w14:textId="77777777" w:rsidR="00EF2F3D" w:rsidRPr="00B234BA" w:rsidRDefault="00EF2F3D" w:rsidP="00EF2F3D">
      <w:pPr>
        <w:spacing w:after="0" w:line="240" w:lineRule="auto"/>
        <w:ind w:firstLine="709"/>
        <w:jc w:val="both"/>
        <w:rPr>
          <w:lang w:val="lt-LT"/>
        </w:rPr>
      </w:pPr>
      <w:r w:rsidRPr="002500FE">
        <w:rPr>
          <w:bCs/>
          <w:lang w:val="lt-LT"/>
        </w:rPr>
        <w:t>4.3.1. dienpinigių išlaidos (</w:t>
      </w:r>
      <w:r w:rsidRPr="00C518F4">
        <w:rPr>
          <w:bCs/>
          <w:lang w:val="lt-LT"/>
        </w:rPr>
        <w:t xml:space="preserve">Taisyklių 3.1 p.). </w:t>
      </w:r>
      <w:r w:rsidRPr="00C518F4">
        <w:rPr>
          <w:lang w:val="lt-LT"/>
        </w:rPr>
        <w:t>Iš pajamų negali būti atskaitomos dienpinigių išlaidos, viršijančios sumą, kuri būtų apskaičiuota</w:t>
      </w:r>
      <w:r w:rsidRPr="002500FE">
        <w:rPr>
          <w:lang w:val="lt-LT"/>
        </w:rPr>
        <w:t xml:space="preserve"> už faktiškai išbūtą užsienyje laiką (įskaitant išvykimo iš Lietuvos Respublikos ir parvykimo į ją dienas, o kai darbuotojo nuolatinė darbo vieta yra užsienio valstybėje, – išvykimo iš šios užsienio valstybės ir parvykimo į ją dienas), taikant Maksimalių dienpinigių dydžių sąraše, patvirtintame Lietuvos Respublikos Vyriausybės 2004 m. balandžio 29 d. nutarimu  Nr. 526 „Dėl dienpinigių ir kitų komandiruočių išlaidų apmokėjimo“ (toliau – Maksimalių dienpinigių dydžių sąrašas), nustatytus dienpinigių dydžius (jeigu komandiruotės metu vykstama į keletą užsienio valstybių, Maksimalių dienpinigių dydžių sąraše nustatyti dienpinigių dydžiai taikomi atsižvelgiant į kiekvienoje užsienio valstybėje faktiškai išbūtas dienas, o pervažiavimo į užsienio valstybę diena laikoma atvykimo į tą užsienio valstybę diena).</w:t>
      </w:r>
    </w:p>
    <w:p w14:paraId="6692988F" w14:textId="77777777" w:rsidR="00EF2F3D" w:rsidRPr="00B234BA" w:rsidRDefault="00EF2F3D" w:rsidP="00EF2F3D">
      <w:pPr>
        <w:spacing w:after="0" w:line="240" w:lineRule="auto"/>
        <w:ind w:firstLine="709"/>
        <w:jc w:val="both"/>
        <w:rPr>
          <w:b/>
          <w:color w:val="000000"/>
          <w:shd w:val="clear" w:color="auto" w:fill="FFFFFF"/>
          <w:lang w:val="lt-LT"/>
        </w:rPr>
      </w:pPr>
      <w:r w:rsidRPr="00B234BA">
        <w:rPr>
          <w:lang w:val="lt-LT"/>
        </w:rPr>
        <w:t>Kai vykstama į užsienio valstybę, kuri atskirai neįvardinta Maksimalių dienpinigių dydžių sąraše, taikomas  dienpinigių dydis, nustatytas minėto sąrašo eilutėje – „Kitos valstybės</w:t>
      </w:r>
      <w:r w:rsidRPr="00B234BA">
        <w:rPr>
          <w:b/>
          <w:color w:val="000000"/>
          <w:shd w:val="clear" w:color="auto" w:fill="FFFFFF"/>
          <w:lang w:val="lt-LT"/>
        </w:rPr>
        <w:t xml:space="preserve">“. </w:t>
      </w:r>
    </w:p>
    <w:p w14:paraId="20F388C8" w14:textId="77777777" w:rsidR="00EF2F3D" w:rsidRPr="00B234BA" w:rsidRDefault="00EF2F3D" w:rsidP="00EF2F3D">
      <w:pPr>
        <w:pStyle w:val="Pagrindiniotekstotrauka"/>
        <w:tabs>
          <w:tab w:val="left" w:pos="1077"/>
          <w:tab w:val="left" w:pos="1418"/>
        </w:tabs>
        <w:ind w:right="-6" w:firstLine="851"/>
        <w:rPr>
          <w:rFonts w:ascii="Times New Roman" w:hAnsi="Times New Roman" w:cs="Times New Roman"/>
          <w:lang w:val="lt-LT"/>
        </w:rPr>
      </w:pPr>
      <w:r w:rsidRPr="00B234BA">
        <w:rPr>
          <w:rFonts w:ascii="Times New Roman" w:hAnsi="Times New Roman" w:cs="Times New Roman"/>
          <w:bCs/>
          <w:lang w:val="lt-LT"/>
        </w:rPr>
        <w:lastRenderedPageBreak/>
        <w:t xml:space="preserve">Jeigu vykstama vienai dienai į užsienio komandiruotę, tai ribojamų dydžių leidžiamiems atskaitymams gali būti priskiriami dienpinigiai, išmokami už vieną dieną, taikant </w:t>
      </w:r>
      <w:r w:rsidRPr="00B234BA">
        <w:rPr>
          <w:rFonts w:ascii="Times New Roman" w:hAnsi="Times New Roman" w:cs="Times New Roman"/>
          <w:lang w:val="lt-LT"/>
        </w:rPr>
        <w:t>Maksimalių dienpinigių dydžių sąraše nustatytus dienpinigių dydžius.</w:t>
      </w:r>
    </w:p>
    <w:p w14:paraId="39D32A89" w14:textId="77777777" w:rsidR="00EF2F3D" w:rsidRPr="00B234BA" w:rsidRDefault="00EF2F3D" w:rsidP="00EF2F3D">
      <w:pPr>
        <w:pStyle w:val="Pagrindiniotekstotrauka3"/>
        <w:tabs>
          <w:tab w:val="left" w:pos="1077"/>
          <w:tab w:val="left" w:pos="1418"/>
        </w:tabs>
        <w:spacing w:after="0" w:line="240" w:lineRule="auto"/>
        <w:ind w:right="-6" w:firstLine="851"/>
        <w:rPr>
          <w:rFonts w:ascii="Times New Roman" w:hAnsi="Times New Roman"/>
          <w:bCs/>
        </w:rPr>
      </w:pPr>
      <w:r w:rsidRPr="00B234BA">
        <w:rPr>
          <w:rFonts w:ascii="Times New Roman" w:hAnsi="Times New Roman"/>
          <w:bCs/>
        </w:rPr>
        <w:t xml:space="preserve">Dienpinigių išlaidų sumos, viršijančios Maksimalių dienpinigių dydžių sąraše nustatytus dydžius, gali būti priskiriamos sąnaudoms pagal PMĮ 17 str. 1 dalies nuostatą (kaip darbuotojų gauta nauda, kuri pagal GPMĮ nuostatas yra GPM objektas). </w:t>
      </w:r>
    </w:p>
    <w:p w14:paraId="7513A75A"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p>
    <w:p w14:paraId="0E0822E1"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r w:rsidRPr="00B234BA">
        <w:rPr>
          <w:rFonts w:ascii="Times New Roman" w:hAnsi="Times New Roman"/>
          <w:bCs/>
        </w:rPr>
        <w:t>Pavyzdys</w:t>
      </w:r>
    </w:p>
    <w:p w14:paraId="692EDCE4"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1077"/>
          <w:tab w:val="left" w:pos="1418"/>
        </w:tabs>
        <w:ind w:right="-5" w:firstLine="851"/>
        <w:rPr>
          <w:rFonts w:ascii="Times New Roman" w:hAnsi="Times New Roman"/>
          <w:bCs/>
        </w:rPr>
      </w:pPr>
      <w:r w:rsidRPr="00B234BA">
        <w:rPr>
          <w:rFonts w:ascii="Times New Roman" w:hAnsi="Times New Roman"/>
          <w:bCs/>
        </w:rPr>
        <w:t>Vieneto pavedimu vieneto darbuotojas siunčiamas vienai dienai į užsienio komandiruotę Vienoje. Darbuotojas į komandiruotę vyksta ir iš jos parvyksta lėktuvu. Kadangi darbuotojas tą pačią dieną išvyko į komandiruotę ir grįžo iš jos į Lietuvos Respubliką, tai dienpinigiai, išmokėti už 1 dieną pagal Maksimalių dienpinigių dydžių sąraše</w:t>
      </w:r>
      <w:r w:rsidRPr="00B234BA" w:rsidDel="0088039E">
        <w:rPr>
          <w:rFonts w:ascii="Times New Roman" w:hAnsi="Times New Roman"/>
          <w:bCs/>
        </w:rPr>
        <w:t xml:space="preserve"> </w:t>
      </w:r>
      <w:r w:rsidRPr="00B234BA">
        <w:rPr>
          <w:rFonts w:ascii="Times New Roman" w:hAnsi="Times New Roman"/>
          <w:bCs/>
        </w:rPr>
        <w:t>patvirtintą dienpinigių  dydį Austrijos Respublikoje, gali būti priskiriami ribojamų dydžių leidžiamiems atskaitymams.</w:t>
      </w:r>
    </w:p>
    <w:p w14:paraId="45DCF7C9" w14:textId="77777777" w:rsidR="00EF2F3D" w:rsidRPr="002500FE"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bCs/>
        </w:rPr>
        <w:t xml:space="preserve">Jeigu komandiruotės įsakyme nurodyta, kad komandiruotės metu vykstama į keletą užsienio valstybių, Maksimalių dienpinigių dydžių sąraše nustatyti dienpinigių dydžiai taikomi atsižvelgiant į kiekvienoje užsienio valstybėje faktiškai išbūtas dienas, o pervažiavimo į užsienio valstybę diena laikoma atvykimo į tą užsienio valstybę diena. </w:t>
      </w:r>
    </w:p>
    <w:p w14:paraId="491AB582" w14:textId="77777777" w:rsidR="00EF2F3D" w:rsidRPr="002500FE"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color w:val="000000"/>
        </w:rPr>
        <w:t xml:space="preserve">Kaip jau minėta, </w:t>
      </w:r>
      <w:r w:rsidRPr="002500FE">
        <w:rPr>
          <w:rFonts w:ascii="Times New Roman" w:hAnsi="Times New Roman"/>
        </w:rPr>
        <w:t>komandiruotės įsakyme turi būti nurodyta komandiruotės tikslas, vieta (vietos), trukmė, o jeigu komandiruotės metu vykstama į keletą užsienio valstybių – buvimo kiekvienoje užsienio valstybėje trukmė. Tais atvejais, kai vykstant į komandiruotės įsakyme nurodytą užsienio valstybę ir grįžtant iš jos reikia važiuoti per kitų užsienio valstybių teritorijas, kuriose darbuotojas neturi užduočių, tai dienpinigių už sugaištą kelionėje laiką, išlaidos gali būti pripažįstamos sąnaudomis pagal tos užsienio valstybės į kurią vykstama komandiruotės tikslais, nustatytus dienpinigių dydžius. Tačiau jeigu grįž</w:t>
      </w:r>
      <w:r w:rsidRPr="002500FE">
        <w:rPr>
          <w:rFonts w:ascii="Times New Roman" w:hAnsi="Times New Roman"/>
          <w:bCs/>
        </w:rPr>
        <w:t>us iš užsienio komandiruotės, komandiruotės įsakymas patikslinamas pagal faktiškai kiekvienoje užsienio valstybėje kelionės metu išbūtą dienų skaičių, tai dienpinigiai perskaičiuojami ir priskiriami sąnaudoms pagal faktiškai kiekvienoje užsienio valstybėje komandiruotėje būtas dienas.</w:t>
      </w:r>
    </w:p>
    <w:p w14:paraId="20B20DC0" w14:textId="77777777" w:rsidR="00EF2F3D" w:rsidRPr="00B234BA" w:rsidRDefault="00EF2F3D" w:rsidP="00EF2F3D">
      <w:pPr>
        <w:pStyle w:val="Pagrindiniotekstotrauka3"/>
        <w:tabs>
          <w:tab w:val="left" w:pos="1077"/>
          <w:tab w:val="left" w:pos="1418"/>
        </w:tabs>
        <w:ind w:right="-5" w:firstLine="851"/>
        <w:rPr>
          <w:rFonts w:ascii="Times New Roman" w:hAnsi="Times New Roman"/>
          <w:bCs/>
        </w:rPr>
      </w:pPr>
      <w:r w:rsidRPr="002500FE">
        <w:rPr>
          <w:rFonts w:ascii="Times New Roman" w:hAnsi="Times New Roman"/>
          <w:bCs/>
        </w:rPr>
        <w:t>Pavyzdžiai</w:t>
      </w:r>
    </w:p>
    <w:p w14:paraId="69C64A33"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bCs/>
        </w:rPr>
      </w:pPr>
      <w:r w:rsidRPr="00B234BA">
        <w:rPr>
          <w:rFonts w:ascii="Times New Roman" w:hAnsi="Times New Roman"/>
          <w:bCs/>
        </w:rPr>
        <w:t>1. Vieneto pavedimu vieneto darbuotojas siunčiamas 11 dienų į užsienio komandiruotę. Komandiruotės įsakyme nurodyta, kad jis penkias dienas bus Lenkijos Respublikoje, tris dienas Vokietijos Federacinėje Respublikoje, tris dienas Austrijos Respublikoje. Pervažiavus Lenkijos Respublikos sieną, už Lenkijos Respublikoje būtas dienas dienpinigiai priskiriami ribojamų dydžių leidžiamiems atskaitymams, neviršijant Maksimalių dienpinigių dydžių sąraše patvirtintų dienpinigių dydžio Lenkijos Respublikoje, pervažiavus Vokietijos Federacinės Respublikos sieną - neviršijant patvirtinto šios šalies dienpinigių dydžio, pervažiavus Austrijos Respublikos sieną - neviršijant šios šalies dienpinigių dydžio. Grįžtama į Lietuvą iš komandiruotės per vieną dieną, todėl ribojamų dydžių leidžiamiems atskaitymams priskiriami dienpinigiai neviršijant dienpinigių dydžio tos užsienio valstybės, iš kurios atvykstama. Šiuo atveju, kai pervažiuojama Lietuvos Respublikos siena, dienpinigiai priskiriami ribojamų dydžių leidžiamiems atskaitymams neviršijant Austrijos Respublikos dienpinigių dydžio.</w:t>
      </w:r>
    </w:p>
    <w:p w14:paraId="7719835B"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bCs/>
        </w:rPr>
      </w:pPr>
      <w:r w:rsidRPr="00B234BA">
        <w:rPr>
          <w:rFonts w:ascii="Times New Roman" w:hAnsi="Times New Roman"/>
          <w:bCs/>
        </w:rPr>
        <w:t xml:space="preserve">2. Vieneto komandiruotės įsakyme nurodyta, kad vieneto darbuotojas siunčiamas į komandiruotę trims dienoms Vokietijos Federacinėje Respublikoje ir keturioms dienoms Prancūzijos Respublikoje. Darbuotojas į komandiruotę vyksta vieneto automobiliu. Komandiruotės įsakyme yra numatyta, kad darbuotojas į Vokietijos Federacinę Respubliką nuvyks per 1 dieną, o iš Prancūzijos Respublikos sugrįš į Lietuvos Respubliką per 2 dienas. Kadangi darbuotojas vykdamas į Vokietijos </w:t>
      </w:r>
      <w:r w:rsidRPr="00B234BA">
        <w:rPr>
          <w:rFonts w:ascii="Times New Roman" w:hAnsi="Times New Roman"/>
          <w:bCs/>
        </w:rPr>
        <w:lastRenderedPageBreak/>
        <w:t>Federacinę Respubliką kelionėje faktiškai sugaišo 1 dieną, kaip yra numatyta komandiruotės įsakyme, tai už šią dieną darbuotojui mokami dienpinigiai priskiriami ribojamų dydžių leidžiamiems atskaitymams neviršijant Maksimalių dienpinigių dydžių sąraše patvirtinto dienpinigių dydžio Vokietijos Federacinėje Respublikoje, o pervažiavus Prancūzijos Respublikos sieną ir už dienas būtas Prancūzijos Respublikoje, mokami dienpinigiai priskiriami ribojamų dydžių leidžiamiems atskaitymams neviršijant šios šalies dienpinigių dydžio. Kadangi komandiruotės įsakyme yra nurodyta, kad darbuotojas į Lietuvą grįžta iš Prancūzijos Respublikos, tai už dvi dienas, kurias darbuotojas faktiškai sugaišo kelyje, dienpinigiai priskiriami ribojamų dydžių leidžiamiems atskaitymams pagal tos šalies dienpinigių dydį, iš kurios darbuotojas grįžta, t. y. pagal dienpinigių dydį Prancūzijos Respublikoje.</w:t>
      </w:r>
    </w:p>
    <w:p w14:paraId="28D12B6D"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rPr>
      </w:pPr>
      <w:r w:rsidRPr="00C518F4">
        <w:rPr>
          <w:rFonts w:ascii="Times New Roman" w:hAnsi="Times New Roman"/>
        </w:rPr>
        <w:t>3.</w:t>
      </w:r>
      <w:r w:rsidRPr="00B234BA">
        <w:rPr>
          <w:rFonts w:ascii="Times New Roman" w:hAnsi="Times New Roman"/>
          <w:vertAlign w:val="superscript"/>
        </w:rPr>
        <w:t xml:space="preserve"> </w:t>
      </w:r>
      <w:r w:rsidRPr="00B234BA">
        <w:rPr>
          <w:rFonts w:ascii="Times New Roman" w:hAnsi="Times New Roman"/>
        </w:rPr>
        <w:t>Vienetas, kurio veikla tarptautiniai krovinių pervežimai, komandiravo darbuotoją:</w:t>
      </w:r>
    </w:p>
    <w:p w14:paraId="7B7BC7B1" w14:textId="77777777" w:rsidR="00EF2F3D" w:rsidRPr="00B234BA" w:rsidRDefault="00EF2F3D" w:rsidP="00EF2F3D">
      <w:pPr>
        <w:pStyle w:val="Pagrindiniotekstotrauka3"/>
        <w:pBdr>
          <w:top w:val="single" w:sz="4" w:space="1" w:color="auto"/>
          <w:left w:val="single" w:sz="4" w:space="4" w:color="auto"/>
          <w:right w:val="single" w:sz="4" w:space="4" w:color="auto"/>
        </w:pBdr>
        <w:tabs>
          <w:tab w:val="left" w:pos="1077"/>
          <w:tab w:val="left" w:pos="1418"/>
        </w:tabs>
        <w:ind w:right="-6" w:firstLine="851"/>
        <w:rPr>
          <w:rFonts w:ascii="Times New Roman" w:hAnsi="Times New Roman"/>
        </w:rPr>
      </w:pPr>
      <w:r w:rsidRPr="00B234BA">
        <w:rPr>
          <w:rFonts w:ascii="Times New Roman" w:hAnsi="Times New Roman"/>
        </w:rPr>
        <w:t>a) nuvežti krovinį į Ispaniją, o iš Vokietijos paimtą krovinį pristatyti Lietuvos pirkėjui. Komandiruotės įsakyme nurodyta, kad vairuotojas komandiruojamas į Ispaniją 5 dienoms, o į Vokietiją 2 dienoms. Įsakyme nenurodyta kiek dienų vairuotojas sugaiš kelyje važiuodamas per užsienio valstybes, kurios nėra komandiruotės tikslas. Komandiruotės metu vairuotojas gavo nurodymą paimti prekes iš tiekėjo Ispanijoje ir nugabenti jas jų pirkėjui Vokietijoje. Todėl komandiruotėje vairuotojas sugaišo 1 dieną ilgiau. Grįžęs iš komandiruotės vairuotojas pateikė jos metu patirtas išlaidas patvirtinančius dokumentus, iš jų ir viešbučio Lenkijoje sąskaitą už vieną nakvynę (nakvojo Lenkijoje, grįždamas iš Vokietijos). Vieneto vadovas patikslino komandiruotės įsakymą – 1 diena pratęsė komandiruotę Vokietijoje. Kadangi vairuotojas vykdamas į Ispaniją ir iš jos iki Vokietijos sugaišo 5 dienas, kaip yra numatyta komandiruotės įsakyme, tai už šias dienas vairuotojui mokami dienpinigiai priskiriami ribojamų dydžių leidžiamiems atskaitymams, neviršijant Maksimalių dienpinigių dydžių sąraše patvirtinto dienpinigių dydžio Ispanijoje. Pervažiavus Vokietijos sieną už dienas būtas Vokietijoje bei už dienas, kurias vairuotojas faktiškai sugaišo kelyje, grįždamas iš</w:t>
      </w:r>
      <w:r w:rsidRPr="00B234BA">
        <w:rPr>
          <w:rFonts w:ascii="Times New Roman" w:hAnsi="Times New Roman"/>
          <w:b/>
        </w:rPr>
        <w:t xml:space="preserve"> </w:t>
      </w:r>
      <w:r w:rsidRPr="00B234BA">
        <w:rPr>
          <w:rFonts w:ascii="Times New Roman" w:hAnsi="Times New Roman"/>
        </w:rPr>
        <w:t xml:space="preserve">Vokietijos per Lenkiją į Lietuvą, mokami dienpinigiai priskiriami ribojamų dydžių leidžiamiems atskaitymams neviršijant Maksimalių dienpinigių dydžių sąraše  patvirtinto dienpinigių dydžio Vokietijoje . </w:t>
      </w:r>
    </w:p>
    <w:p w14:paraId="56A8BBFF"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rPr>
      </w:pPr>
      <w:r w:rsidRPr="00B234BA">
        <w:rPr>
          <w:rFonts w:ascii="Times New Roman" w:hAnsi="Times New Roman"/>
        </w:rPr>
        <w:t>Jeigu vieneto vadovas patikslins komandiruotės įsakymą, atsižvelgdamas į dienų skaičių, sugaištą tose užsienio valstybėse, per kurias darbuotojas turėjo važiuoti, vykdamas į komandiruotę ar grįždamas iš jos, nors darbo užduočių tose valstybėse neturėjo, tai dienpinigiai turi būti perskaičiuojami.</w:t>
      </w:r>
    </w:p>
    <w:p w14:paraId="224118A7"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418"/>
        </w:tabs>
        <w:ind w:right="-6" w:firstLine="851"/>
        <w:rPr>
          <w:rFonts w:ascii="Times New Roman" w:hAnsi="Times New Roman"/>
        </w:rPr>
      </w:pPr>
      <w:r w:rsidRPr="00B234BA">
        <w:rPr>
          <w:rFonts w:ascii="Times New Roman" w:hAnsi="Times New Roman"/>
        </w:rPr>
        <w:t xml:space="preserve">b) 8 dienoms į Italiją su užduotimi nuvežti krovinį į Italiją, o iš Italijos paimtą krovinį nugabenti Lietuvos įmonei. Kitose užsienio valstybėse, per kurias darbuotojas važiavo, užduočių jis neturėjo. Kelionės metu darbuotojas nakvojo Vokietijoje viešbutyje, Italijoje jis sustojo motelyje ir sumokėjo už stovėjimo aikštelę, Lenkijoje įsigijo degalų. Vairuotojas užsienio valstybėse išbuvo 8 dienas. </w:t>
      </w:r>
    </w:p>
    <w:p w14:paraId="365B918A"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418"/>
        </w:tabs>
        <w:ind w:right="-6" w:firstLine="851"/>
        <w:rPr>
          <w:rFonts w:ascii="Times New Roman" w:hAnsi="Times New Roman"/>
        </w:rPr>
      </w:pPr>
      <w:r w:rsidRPr="00B234BA">
        <w:rPr>
          <w:rFonts w:ascii="Times New Roman" w:hAnsi="Times New Roman"/>
        </w:rPr>
        <w:t xml:space="preserve">Jeigu vienetas nepatikslins komandiruotės įsakymo, atsižvelgiant į kiekvienoje užsienio valstybėje komandiruotės metu faktiškai būtą dienų skaičių, tai už šias dienas vairuotojui mokami dienpinigiai priskiriami ribojamų dydžių leidžiamiems atskaitymams neviršijant Maksimalių dienpinigių dydžių sąraše patvirtinto dienpinigių dydžio Italijoje.  </w:t>
      </w:r>
    </w:p>
    <w:p w14:paraId="71EB30EC" w14:textId="77777777" w:rsidR="00EF2F3D" w:rsidRPr="00C518F4"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bCs/>
        </w:rPr>
      </w:pPr>
      <w:r w:rsidRPr="00C518F4">
        <w:rPr>
          <w:rFonts w:ascii="Times New Roman" w:hAnsi="Times New Roman"/>
          <w:bCs/>
        </w:rPr>
        <w:t xml:space="preserve">4. Vieneto komandiruotės įsakyme nurodyta, kad vieneto darbuotojas 3 dienoms siunčiamas į Paryžių. Į komandiruotę jis vyksta ir iš jos grįžta lėktuvu. Grįžtant iš Paryžiaus dėl nepalankių oro sąlygų lėktuvas turi nusileisti Varšuvos oro uoste. Darbuotojas Varšuvos oro uoste praleido visą parą ir iš komandiruotės grįžo 1 diena vėliau nei nurodyta jo komandiruotės įsakyme. Jeigu darbuotojui atvykus iš šios užsienio komandiruotės, vienetas patikslina darbuotojo komandiruotės įsakymą pagal faktiškai užsienyje praleistas dienas, tai šiuo atveju darbuotojui apskaičiuoti dienpinigiai priskiriami </w:t>
      </w:r>
      <w:r w:rsidRPr="00C518F4">
        <w:rPr>
          <w:rFonts w:ascii="Times New Roman" w:hAnsi="Times New Roman"/>
          <w:bCs/>
        </w:rPr>
        <w:lastRenderedPageBreak/>
        <w:t>ribojamų dydžių leidžiamiems atskaitymams už 3 dienas pagal dienpinigių dydį Prancūzijoje, o</w:t>
      </w:r>
      <w:r w:rsidRPr="00C518F4">
        <w:rPr>
          <w:rFonts w:ascii="Times New Roman" w:hAnsi="Times New Roman"/>
          <w:bCs/>
          <w:color w:val="0000FF"/>
        </w:rPr>
        <w:t xml:space="preserve"> </w:t>
      </w:r>
      <w:r w:rsidRPr="00C518F4">
        <w:rPr>
          <w:rFonts w:ascii="Times New Roman" w:hAnsi="Times New Roman"/>
          <w:bCs/>
        </w:rPr>
        <w:t>dienpinigiai už dieną, kurią faktiškai praleido Varšuvoje neviršijant dienpinigių Lenkijos Respublikoje dydžio.</w:t>
      </w:r>
    </w:p>
    <w:p w14:paraId="66C0CD1C"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rPr>
      </w:pPr>
      <w:r w:rsidRPr="00C518F4">
        <w:rPr>
          <w:rFonts w:ascii="Times New Roman" w:hAnsi="Times New Roman"/>
          <w:bCs/>
        </w:rPr>
        <w:t>5. Vieneto</w:t>
      </w:r>
      <w:r w:rsidRPr="00B234BA">
        <w:rPr>
          <w:rFonts w:ascii="Times New Roman" w:hAnsi="Times New Roman"/>
          <w:bCs/>
        </w:rPr>
        <w:t xml:space="preserve"> pavedimu vieneto darbuotojas siunčiamas sausio 16-26 dienomis, t.y. 11 dienų į užsienio komandiruotę į Portugalijos Respubliką. Į komandiruotę darbuotojas vyksta ir iš jos grįžta lėktuvu. Darbuotojas išskrido lėktuvu sausio 16 d. į Amsterdamą (Nyderlandų Karalystė) ir kadangi lėktuvas į Portugaliją iš Amsterdamo skrido tik kitą dieną. t.</w:t>
      </w:r>
      <w:r>
        <w:rPr>
          <w:rFonts w:ascii="Times New Roman" w:hAnsi="Times New Roman"/>
          <w:bCs/>
        </w:rPr>
        <w:t xml:space="preserve"> </w:t>
      </w:r>
      <w:r w:rsidRPr="00B234BA">
        <w:rPr>
          <w:rFonts w:ascii="Times New Roman" w:hAnsi="Times New Roman"/>
          <w:bCs/>
        </w:rPr>
        <w:t xml:space="preserve">y. sausio 17 d., tai darbuotojas pernakvojo Amsterdamo oro uoste. </w:t>
      </w:r>
      <w:r w:rsidRPr="00B234BA">
        <w:rPr>
          <w:rFonts w:ascii="Times New Roman" w:hAnsi="Times New Roman"/>
          <w:b/>
          <w:bCs/>
        </w:rPr>
        <w:t>S</w:t>
      </w:r>
      <w:r w:rsidRPr="00B234BA">
        <w:rPr>
          <w:rFonts w:ascii="Times New Roman" w:hAnsi="Times New Roman"/>
          <w:bCs/>
        </w:rPr>
        <w:t>ausio 17 d. darbuotojas išskrido į Portugalijos Respubliką ir ten išbuvo iki sausio 26 dienos. Sausio 26 dieną darbuotojas tiesioginiu lėktuvo reisu grįžo į Lietuvą. Jeigu darbuotojui atvykus iš šios užsienio komandiruotės, vienetas patikslins darbuotojo komandiruotės įsakymą pagal užsienio valstybėse faktiškai praleistas dienas, tai</w:t>
      </w:r>
      <w:r w:rsidRPr="00B234BA">
        <w:rPr>
          <w:rFonts w:ascii="Times New Roman" w:hAnsi="Times New Roman"/>
        </w:rPr>
        <w:t xml:space="preserve"> už sausio 16 dieną, kurią darbuotojas faktiškai praleido Nyderlandų Karalystėje (patvirtinantis dokumentas, kad darbuotojas tik sausio 17 dieną išvyko į Portugaliją – lėktuvo bilietas) – apskaičiuoti dienpinigiai priskiriami ribojamų dydžių leidžiamiems atskaitymams neviršijant Maksimalių dienpinigių dydžių sąraše patvirtinto dienpinigių Nyderlandų Karalystėje dydžio, už sausio 17-26 dienas – pagal patvirtintą Portugalijos Respublikos dienpinigių dydį. </w:t>
      </w:r>
    </w:p>
    <w:p w14:paraId="0D89A349" w14:textId="77777777" w:rsidR="00EF2F3D" w:rsidRPr="00B234BA" w:rsidRDefault="00EF2F3D" w:rsidP="00EF2F3D">
      <w:pPr>
        <w:pStyle w:val="Pagrindiniotekstotrauka3"/>
        <w:pBdr>
          <w:left w:val="single" w:sz="4" w:space="4" w:color="auto"/>
          <w:bottom w:val="single" w:sz="4" w:space="1" w:color="auto"/>
          <w:right w:val="single" w:sz="4" w:space="4" w:color="auto"/>
        </w:pBdr>
        <w:tabs>
          <w:tab w:val="left" w:pos="1077"/>
          <w:tab w:val="left" w:pos="1418"/>
        </w:tabs>
        <w:ind w:right="-6" w:firstLine="851"/>
        <w:rPr>
          <w:rFonts w:ascii="Times New Roman" w:hAnsi="Times New Roman"/>
          <w:bCs/>
        </w:rPr>
      </w:pPr>
      <w:r w:rsidRPr="00C518F4">
        <w:rPr>
          <w:rFonts w:ascii="Times New Roman" w:hAnsi="Times New Roman"/>
        </w:rPr>
        <w:t>6.</w:t>
      </w:r>
      <w:r>
        <w:rPr>
          <w:rFonts w:ascii="Times New Roman" w:hAnsi="Times New Roman"/>
        </w:rPr>
        <w:t xml:space="preserve"> </w:t>
      </w:r>
      <w:r w:rsidRPr="00B234BA">
        <w:rPr>
          <w:rFonts w:ascii="Times New Roman" w:hAnsi="Times New Roman"/>
          <w:color w:val="2F2F2F"/>
        </w:rPr>
        <w:t xml:space="preserve">Lietuvos </w:t>
      </w:r>
      <w:r w:rsidRPr="00B234BA">
        <w:rPr>
          <w:rFonts w:ascii="Times New Roman" w:hAnsi="Times New Roman"/>
        </w:rPr>
        <w:t xml:space="preserve">vienetas turi nesavarankišką struktūrinį padalinį </w:t>
      </w:r>
      <w:r w:rsidRPr="00B234BA">
        <w:rPr>
          <w:rFonts w:ascii="Times New Roman" w:hAnsi="Times New Roman"/>
          <w:color w:val="2F2F2F"/>
        </w:rPr>
        <w:t xml:space="preserve">Varšuvoje. Šio padalinio </w:t>
      </w:r>
      <w:r w:rsidRPr="00B234BA">
        <w:rPr>
          <w:rFonts w:ascii="Times New Roman" w:hAnsi="Times New Roman"/>
        </w:rPr>
        <w:t>darbuotojas iš nuolatinės darbo vietos Varšuvoje</w:t>
      </w:r>
      <w:r w:rsidRPr="00B234BA">
        <w:rPr>
          <w:rFonts w:ascii="Times New Roman" w:hAnsi="Times New Roman"/>
          <w:color w:val="2F2F2F"/>
        </w:rPr>
        <w:t xml:space="preserve"> </w:t>
      </w:r>
      <w:r w:rsidRPr="00B234BA">
        <w:rPr>
          <w:rFonts w:ascii="Times New Roman" w:hAnsi="Times New Roman"/>
        </w:rPr>
        <w:t xml:space="preserve">vyksta į tarnybinę komandiruotę į Krokuvą. </w:t>
      </w:r>
      <w:r w:rsidRPr="00B234BA">
        <w:rPr>
          <w:rFonts w:ascii="Times New Roman" w:hAnsi="Times New Roman"/>
          <w:bCs/>
        </w:rPr>
        <w:t xml:space="preserve">Darbuotojui apskaičiuoti dienpinigiai priskiriami vieneto ribojamų dydžių leidžiamiems atskaitymams neviršijant Maksimalių dienpinigių dydžių sąraše </w:t>
      </w:r>
      <w:r w:rsidRPr="00B234BA">
        <w:rPr>
          <w:rFonts w:ascii="Times New Roman" w:hAnsi="Times New Roman"/>
        </w:rPr>
        <w:t xml:space="preserve">patvirtinto dienpinigių </w:t>
      </w:r>
      <w:r w:rsidRPr="00B234BA">
        <w:rPr>
          <w:rFonts w:ascii="Times New Roman" w:hAnsi="Times New Roman"/>
          <w:bCs/>
        </w:rPr>
        <w:t xml:space="preserve">Lenkijos Respublikoje </w:t>
      </w:r>
      <w:r w:rsidRPr="00B234BA">
        <w:rPr>
          <w:rFonts w:ascii="Times New Roman" w:hAnsi="Times New Roman"/>
        </w:rPr>
        <w:t>dydžio.</w:t>
      </w:r>
    </w:p>
    <w:p w14:paraId="7449E183" w14:textId="77777777" w:rsidR="00EF2F3D" w:rsidRPr="00B234BA" w:rsidRDefault="00EF2F3D" w:rsidP="00EF2F3D">
      <w:pPr>
        <w:pStyle w:val="Pagrindiniotekstotrauka3"/>
        <w:tabs>
          <w:tab w:val="left" w:pos="1077"/>
          <w:tab w:val="left" w:pos="1418"/>
        </w:tabs>
        <w:ind w:right="-5" w:firstLine="851"/>
        <w:rPr>
          <w:rFonts w:ascii="Times New Roman" w:hAnsi="Times New Roman"/>
        </w:rPr>
      </w:pPr>
      <w:r w:rsidRPr="00B234BA">
        <w:rPr>
          <w:rFonts w:ascii="Times New Roman" w:hAnsi="Times New Roman"/>
          <w:iCs/>
          <w:color w:val="000080"/>
        </w:rPr>
        <w:t xml:space="preserve"> </w:t>
      </w:r>
      <w:r w:rsidRPr="00B234BA">
        <w:rPr>
          <w:rFonts w:ascii="Times New Roman" w:hAnsi="Times New Roman"/>
        </w:rPr>
        <w:t xml:space="preserve">  </w:t>
      </w:r>
      <w:r w:rsidRPr="002500FE">
        <w:rPr>
          <w:rFonts w:ascii="Times New Roman" w:hAnsi="Times New Roman"/>
        </w:rPr>
        <w:t xml:space="preserve">4.3.2. gyvenamojo ploto nuomos išlaidos (Taisyklių </w:t>
      </w:r>
      <w:r w:rsidRPr="00C518F4">
        <w:rPr>
          <w:rFonts w:ascii="Times New Roman" w:hAnsi="Times New Roman"/>
        </w:rPr>
        <w:t>3.2</w:t>
      </w:r>
      <w:r w:rsidRPr="002500FE">
        <w:rPr>
          <w:rFonts w:ascii="Times New Roman" w:hAnsi="Times New Roman"/>
        </w:rPr>
        <w:t xml:space="preserve"> p.). Gyvenamojo ploto nuomos išlaidos atlyginamos pagal faktines išlaidas ir priskiriamos ribojamų dydžių leidžiamiems atskaitymams, neatsižvelgiant į gyvenamojo ploto nuompinigių normas, patvirtintas Lietuvos Respublikos Vyriausybės 2004 m.  balandžio 29 Nutarimus Nr. 526 „Dėl Dienpinigių ir kitų komandiruočių išlaidų apmokėjimo“.</w:t>
      </w:r>
      <w:r w:rsidRPr="002500FE">
        <w:rPr>
          <w:rFonts w:ascii="Times New Roman" w:hAnsi="Times New Roman"/>
          <w:b/>
        </w:rPr>
        <w:t xml:space="preserve"> </w:t>
      </w:r>
      <w:r w:rsidRPr="002500FE">
        <w:rPr>
          <w:rFonts w:ascii="Times New Roman" w:hAnsi="Times New Roman"/>
        </w:rPr>
        <w:t xml:space="preserve">Išlaidos, nesusijusios su gyvenamojo ploto nuoma, tačiau įtrauktos į apgyvendinimo paslaugas teikiančių vienetų ar asmenų išrašytus apskaitos dokumentus (maitinimo išlaidos, neįskaitytos į apgyvendinimo kainą, ir kitos asmeninės paslaugos), negali būti atskaitomos iš pajamų, išskyrus atvejus, kai šios maitinimo išlaidos dengiamos dienpinigiais (Taisyklių </w:t>
      </w:r>
      <w:r w:rsidRPr="00C518F4">
        <w:rPr>
          <w:rFonts w:ascii="Times New Roman" w:hAnsi="Times New Roman"/>
        </w:rPr>
        <w:t xml:space="preserve">10 </w:t>
      </w:r>
      <w:r w:rsidRPr="002500FE">
        <w:rPr>
          <w:rFonts w:ascii="Times New Roman" w:hAnsi="Times New Roman"/>
        </w:rPr>
        <w:t>p.);</w:t>
      </w:r>
      <w:r w:rsidRPr="00B234BA">
        <w:rPr>
          <w:rFonts w:ascii="Times New Roman" w:hAnsi="Times New Roman"/>
        </w:rPr>
        <w:t xml:space="preserve"> </w:t>
      </w:r>
    </w:p>
    <w:p w14:paraId="515D4F0E"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03AEBEA8" w14:textId="77777777" w:rsidR="00EF2F3D" w:rsidRPr="00B234BA" w:rsidRDefault="00EF2F3D" w:rsidP="00EF2F3D">
      <w:pPr>
        <w:pStyle w:val="Porat"/>
        <w:pBdr>
          <w:top w:val="single" w:sz="4" w:space="1" w:color="auto"/>
          <w:left w:val="single" w:sz="4" w:space="4" w:color="auto"/>
          <w:bottom w:val="single" w:sz="4" w:space="1" w:color="auto"/>
          <w:right w:val="single" w:sz="4" w:space="4" w:color="auto"/>
        </w:pBdr>
        <w:spacing w:line="240" w:lineRule="auto"/>
        <w:ind w:firstLine="851"/>
        <w:rPr>
          <w:rFonts w:ascii="Times New Roman" w:hAnsi="Times New Roman" w:cs="Times New Roman"/>
          <w:lang w:val="lt-LT"/>
        </w:rPr>
      </w:pPr>
      <w:r w:rsidRPr="00B234BA">
        <w:rPr>
          <w:rFonts w:ascii="Times New Roman" w:hAnsi="Times New Roman" w:cs="Times New Roman"/>
          <w:lang w:val="lt-LT"/>
        </w:rPr>
        <w:t>Vieneto darbuotojas 3 dienas buvo tarnybinėje komandiruotėje Rygoje. Grįžęs iš Rygos jis už 2 paras pateikė viešbučio, kuriame jis gyveno, apskaitos dokumentą (sąskaitą), kuriame yra atskirai nurodyta kambario nuomos kaina ir kaina už pusryčius. Pagal šiuos apskaitos dokumentus ribojamų dydžių leidžiamiems atskaitymams galima priskirti tik apskaitos dokumente nurodytas kambario nuomos išlaidas už 2 paras be pusryčių kainos. Tačiau, jeigu darbuotojui išmokant dienpinigius už 3 komandiruotės Rygoje dienas iš jų atimama apskaitos dokumente nurodyta pusryčių kaina (maitinimo išlaidos) už 2 dienas, tai iš pajamų galima atskaityti visas apskaitos dokumente nurodytas kambario nuomos su pusryčiais išlaidas. Maksimalių dienpinigių dydžių sąraše patvirtintas vienos dienos Latvijos Respublikoje dienpinigių dydis yra 44 Eur. Darbuotojo pateiktoje viešbučio sąskaitoje nurodyta pusryčių kaina už 2 dienas yra 20 Eur (10 Eur x 2). Darbuotojui už 2 komandiruotės Rygoje dienas buvo mokamas tik dienpinigių ir pusryčių kainos skirtumas, t.</w:t>
      </w:r>
      <w:r>
        <w:rPr>
          <w:rFonts w:ascii="Times New Roman" w:hAnsi="Times New Roman" w:cs="Times New Roman"/>
          <w:lang w:val="lt-LT"/>
        </w:rPr>
        <w:t xml:space="preserve"> </w:t>
      </w:r>
      <w:r w:rsidRPr="00B234BA">
        <w:rPr>
          <w:rFonts w:ascii="Times New Roman" w:hAnsi="Times New Roman" w:cs="Times New Roman"/>
          <w:lang w:val="lt-LT"/>
        </w:rPr>
        <w:t>y. 68 Eur (44 Eur x 2 – 20 Eur), o už trečią dieną – 44 Eur. Vadinasi, dienpinigių suma už 3 dienas yra 112 Eur (68 Eur + 44 Eur). Tais atvejais, kai apskaitos dokumente nėra išskirta pusryčių kaina, tai ribojamų dydžių leidžiamiems atskaitymams priskiriama visa apskaitos dokumente nurodyta kambario nuomos kaina.</w:t>
      </w:r>
    </w:p>
    <w:p w14:paraId="61D4DC17" w14:textId="77777777" w:rsidR="00EF2F3D" w:rsidRPr="00B234BA" w:rsidRDefault="00EF2F3D" w:rsidP="00EF2F3D">
      <w:pPr>
        <w:pStyle w:val="Porat"/>
        <w:spacing w:line="240" w:lineRule="auto"/>
        <w:ind w:firstLine="851"/>
        <w:rPr>
          <w:rFonts w:ascii="Times New Roman" w:hAnsi="Times New Roman" w:cs="Times New Roman"/>
          <w:lang w:val="lt-LT"/>
        </w:rPr>
      </w:pPr>
      <w:r w:rsidRPr="00B234BA">
        <w:rPr>
          <w:rFonts w:ascii="Times New Roman" w:hAnsi="Times New Roman" w:cs="Times New Roman"/>
          <w:lang w:val="lt-LT"/>
        </w:rPr>
        <w:t xml:space="preserve">Vieneto už išankstinį viešbučio kambarių rezervavimą sumokėtos sumos nepriskiriamos komandiruočių sąnaudoms, jeigu darbuotojas į komandiruotę neišvyko. </w:t>
      </w:r>
    </w:p>
    <w:p w14:paraId="3E0C4CE0" w14:textId="77777777" w:rsidR="00EF2F3D" w:rsidRPr="00B234BA" w:rsidRDefault="00EF2F3D" w:rsidP="00EF2F3D">
      <w:pPr>
        <w:pStyle w:val="Pagrindiniotekstotrauka"/>
        <w:keepLines/>
        <w:tabs>
          <w:tab w:val="left" w:pos="1077"/>
          <w:tab w:val="left" w:pos="1418"/>
        </w:tabs>
        <w:ind w:firstLine="851"/>
        <w:rPr>
          <w:rFonts w:ascii="Times New Roman" w:hAnsi="Times New Roman" w:cs="Times New Roman"/>
          <w:lang w:val="lt-LT"/>
        </w:rPr>
      </w:pPr>
      <w:r w:rsidRPr="00B234BA">
        <w:rPr>
          <w:rFonts w:ascii="Times New Roman" w:hAnsi="Times New Roman" w:cs="Times New Roman"/>
          <w:lang w:val="lt-LT"/>
        </w:rPr>
        <w:lastRenderedPageBreak/>
        <w:t xml:space="preserve">Gyvenamojo ploto nuomos išlaidos gali būti priskiriamos komandiruočių sąnaudoms ir tuo atveju, kai gyvenamasis plotas (toliau – patalpos) nuomojamas iš fizinių asmenų, jeigu yra tokias išlaidas pagrindžiantys juridinę galią turintys dokumentai. </w:t>
      </w:r>
    </w:p>
    <w:p w14:paraId="78EE0424" w14:textId="77777777" w:rsidR="00EF2F3D" w:rsidRPr="00C518F4" w:rsidRDefault="00EF2F3D" w:rsidP="00EF2F3D">
      <w:pPr>
        <w:pStyle w:val="Pagrindiniotekstotrauka"/>
        <w:tabs>
          <w:tab w:val="left" w:pos="720"/>
          <w:tab w:val="left" w:pos="1077"/>
          <w:tab w:val="left" w:pos="1418"/>
        </w:tabs>
        <w:ind w:right="-5" w:firstLine="709"/>
        <w:rPr>
          <w:rFonts w:ascii="Times New Roman" w:hAnsi="Times New Roman" w:cs="Times New Roman"/>
          <w:lang w:val="lt-LT"/>
        </w:rPr>
      </w:pPr>
      <w:r w:rsidRPr="00B234BA">
        <w:rPr>
          <w:rFonts w:ascii="Times New Roman" w:hAnsi="Times New Roman" w:cs="Times New Roman"/>
          <w:lang w:val="lt-LT"/>
        </w:rPr>
        <w:t>Jeigu vienetas nuolat nuomojasi gyvenamąjį plotą užsienyje, tačiau nesant poreikio darbuotojams vykti į komandiruotę, patalpos atskirais laikotarpiais yra nenaudojamos, tai tam tikro mėnesio nuomos išlaidos gali būti priskiriamos sąnaudoms, jeigu patalpos</w:t>
      </w:r>
      <w:r w:rsidRPr="00B234BA">
        <w:rPr>
          <w:rFonts w:ascii="Times New Roman" w:hAnsi="Times New Roman" w:cs="Times New Roman"/>
          <w:bCs/>
          <w:iCs/>
          <w:lang w:val="lt-LT"/>
        </w:rPr>
        <w:t xml:space="preserve"> </w:t>
      </w:r>
      <w:r w:rsidRPr="00B234BA">
        <w:rPr>
          <w:rFonts w:ascii="Times New Roman" w:hAnsi="Times New Roman" w:cs="Times New Roman"/>
          <w:lang w:val="lt-LT"/>
        </w:rPr>
        <w:t>naudojamos komandiruotės tikslais nors kelias dienas per tą mėnesį. Visais atvejais tokios išlaidos turi būti ekonomiškai pagrįstos.</w:t>
      </w:r>
    </w:p>
    <w:p w14:paraId="5E21BFF4" w14:textId="77777777" w:rsidR="00EF2F3D" w:rsidRPr="00B234BA" w:rsidRDefault="00EF2F3D" w:rsidP="00EF2F3D">
      <w:pPr>
        <w:pStyle w:val="Pagrindiniotekstotrauka"/>
        <w:tabs>
          <w:tab w:val="left" w:pos="720"/>
          <w:tab w:val="left" w:pos="1077"/>
          <w:tab w:val="left" w:pos="1418"/>
        </w:tabs>
        <w:ind w:right="-5" w:firstLine="709"/>
        <w:rPr>
          <w:rFonts w:ascii="Times New Roman" w:hAnsi="Times New Roman" w:cs="Times New Roman"/>
          <w:lang w:val="lt-LT"/>
        </w:rPr>
      </w:pPr>
      <w:r w:rsidRPr="00B234BA">
        <w:rPr>
          <w:rFonts w:ascii="Times New Roman" w:hAnsi="Times New Roman" w:cs="Times New Roman"/>
          <w:lang w:val="lt-LT"/>
        </w:rPr>
        <w:t>4.3.3.</w:t>
      </w:r>
      <w:r w:rsidRPr="00B234BA">
        <w:rPr>
          <w:rFonts w:ascii="Times New Roman" w:hAnsi="Times New Roman" w:cs="Times New Roman"/>
          <w:lang w:val="lt-LT"/>
        </w:rPr>
        <w:tab/>
        <w:t xml:space="preserve">kelionės į užsienio valstybę ir jos teritorijoje visų rūšių transporto priemonėmis transporto išlaidos (įskaitant automobilio nuomos išlaidas), jeigu jos susijusios su komandiruotės tikslais. </w:t>
      </w:r>
    </w:p>
    <w:p w14:paraId="4FCDDC9D" w14:textId="77777777" w:rsidR="00EF2F3D" w:rsidRPr="00B234BA" w:rsidRDefault="00EF2F3D" w:rsidP="00EF2F3D">
      <w:pPr>
        <w:pStyle w:val="Pagrindiniotekstotrauka"/>
        <w:ind w:right="-5" w:firstLine="709"/>
        <w:rPr>
          <w:rFonts w:ascii="Times New Roman" w:hAnsi="Times New Roman" w:cs="Times New Roman"/>
          <w:lang w:val="lt-LT"/>
        </w:rPr>
      </w:pPr>
      <w:r w:rsidRPr="00B234BA">
        <w:rPr>
          <w:rFonts w:ascii="Times New Roman" w:hAnsi="Times New Roman" w:cs="Times New Roman"/>
          <w:bCs/>
          <w:lang w:val="lt-LT"/>
        </w:rPr>
        <w:t xml:space="preserve">Kai užsienio komandiruotės kelionės dokumentų data yra ne komandiruotės laikotarpiu, tai šios kelionės išlaidos gali būti priskiriamos leidžiamiems atskaitymams tik tada, jei komandiruotės laikotarpiu nuvykti į ar parvykti  iš užsienio valstybę nebuvo galimybių (pvz., nebuvo skrydžių) arba vienetui ekonomiškai naudingiau buvo įsigyti nuvykimo (ar parvykimo) bilietus ne komandiruotės laikotarpiu. Ekonominę naudą galėtų pagrįsti išspausdinti kelionės tvarkaraščiai su kainomis ar kiti laisvos formos dokumentai. Ši nuostata negali būti taikoma, jei šios kelionės dokumentų data yra ne komandiruotės laikotarpiu tik dėl darbuotojo asmeninių tikslų ir naudos (pvz., atostogų).  Pažymėtina, kad </w:t>
      </w:r>
      <w:r w:rsidRPr="00B234BA">
        <w:rPr>
          <w:rFonts w:ascii="Times New Roman" w:hAnsi="Times New Roman" w:cs="Times New Roman"/>
          <w:lang w:val="lt-LT"/>
        </w:rPr>
        <w:t>ribojamų dydžių leidžiamiems atskaitymams gali būti priskiriami komandiruotės dienpinigiai, neviršijantys nustatytų dienpinigių normų už laikotarpį ne ilgesnį nei nurodyta komandiruotės įsakyme.</w:t>
      </w:r>
    </w:p>
    <w:p w14:paraId="27955F3C" w14:textId="77777777" w:rsidR="00EF2F3D" w:rsidRPr="00B234BA" w:rsidRDefault="00EF2F3D" w:rsidP="00EF2F3D">
      <w:pPr>
        <w:pStyle w:val="Pagrindiniotekstotrauka"/>
        <w:ind w:right="-5" w:firstLine="709"/>
        <w:rPr>
          <w:rFonts w:ascii="Times New Roman" w:hAnsi="Times New Roman" w:cs="Times New Roman"/>
          <w:bCs/>
          <w:lang w:val="lt-LT"/>
        </w:rPr>
      </w:pPr>
      <w:r w:rsidRPr="00B234BA">
        <w:rPr>
          <w:rFonts w:ascii="Times New Roman" w:hAnsi="Times New Roman" w:cs="Times New Roman"/>
          <w:bCs/>
          <w:lang w:val="lt-LT"/>
        </w:rPr>
        <w:t>Pavyzdys</w:t>
      </w:r>
    </w:p>
    <w:p w14:paraId="28733F5D"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ind w:right="-5" w:firstLine="709"/>
        <w:rPr>
          <w:rFonts w:ascii="Times New Roman" w:hAnsi="Times New Roman" w:cs="Times New Roman"/>
          <w:lang w:val="lt-LT"/>
        </w:rPr>
      </w:pPr>
      <w:r w:rsidRPr="00B234BA">
        <w:rPr>
          <w:rFonts w:ascii="Times New Roman" w:hAnsi="Times New Roman" w:cs="Times New Roman"/>
          <w:bCs/>
          <w:lang w:val="lt-LT"/>
        </w:rPr>
        <w:t>Vieneto komandiruotės įsakyme nurodyta, kad vieneto darbuotojas 20</w:t>
      </w:r>
      <w:r w:rsidRPr="00054CA0">
        <w:rPr>
          <w:rFonts w:ascii="Times New Roman" w:hAnsi="Times New Roman" w:cs="Times New Roman"/>
          <w:bCs/>
          <w:lang w:val="lt-LT"/>
        </w:rPr>
        <w:t xml:space="preserve">23 </w:t>
      </w:r>
      <w:r w:rsidRPr="00B234BA">
        <w:rPr>
          <w:rFonts w:ascii="Times New Roman" w:hAnsi="Times New Roman" w:cs="Times New Roman"/>
          <w:bCs/>
          <w:lang w:val="lt-LT"/>
        </w:rPr>
        <w:t>m. sausio 7-10 dienomis siunčiamas į Prancūziją. Vienetui ekonomiškai naudingiau įsigyti parvykimo skrydžio bilietą ne komandiruotės laikotarpiu, todėl darbuotojas iš Prancūzijos grįžo 20</w:t>
      </w:r>
      <w:r w:rsidR="00B51BFC" w:rsidRPr="00B51BFC">
        <w:rPr>
          <w:rFonts w:ascii="Times New Roman" w:hAnsi="Times New Roman" w:cs="Times New Roman"/>
          <w:bCs/>
          <w:lang w:val="lt-LT"/>
        </w:rPr>
        <w:t>23</w:t>
      </w:r>
      <w:r w:rsidR="00B51BFC">
        <w:rPr>
          <w:rFonts w:ascii="Times New Roman" w:hAnsi="Times New Roman" w:cs="Times New Roman"/>
          <w:bCs/>
          <w:lang w:val="lt-LT"/>
        </w:rPr>
        <w:t xml:space="preserve"> </w:t>
      </w:r>
      <w:r w:rsidRPr="00B234BA">
        <w:rPr>
          <w:rFonts w:ascii="Times New Roman" w:hAnsi="Times New Roman" w:cs="Times New Roman"/>
          <w:bCs/>
          <w:lang w:val="lt-LT"/>
        </w:rPr>
        <w:t>m. sausio 11 d. Kelionės išlaidos ir dienpinigiai už 4 dienas (7-10 d.), neviršijantys nustatytų dienpinigių normų į Prancūziją, priskiriami leidžiamiems atskaitymams.</w:t>
      </w:r>
    </w:p>
    <w:p w14:paraId="68529FF6"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0A634E">
        <w:rPr>
          <w:rFonts w:ascii="Times New Roman" w:hAnsi="Times New Roman" w:cs="Times New Roman"/>
          <w:lang w:val="lt-LT"/>
        </w:rPr>
        <w:t>Kelionės išlaidoms taip pat priskiriamos nuvykimo visų rūšių transporto priemonėmis Lietuvos Respublikos teritorijoje, o kai darbuotojo nuolatinė darbo vieta yra užsienio valstybėje, – šios užsienio valstybės teritorijoje, į oro uostą, geležinkelio ar autobusų stotį ir parvykimo iš jų, išvykimo į komandiruotę ir parvykimo iš jos dienomis išlaidos (</w:t>
      </w:r>
      <w:r w:rsidRPr="00C518F4">
        <w:rPr>
          <w:rFonts w:ascii="Times New Roman" w:hAnsi="Times New Roman" w:cs="Times New Roman"/>
          <w:lang w:val="lt-LT"/>
        </w:rPr>
        <w:t>Taisyklių 3.3 p.);</w:t>
      </w:r>
    </w:p>
    <w:p w14:paraId="44CF7DA7"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4.3.4. dokumentų, susijusių su išvykimu, tvarkymo išlaidos, įskaitant vykstančiųjų į užsienį draudimą, kurį gali sudaryti draudimas ligos atveju, draudimas nuo nelaimingų atsitikimų, kelionės bagažo draudimas, civilinės atsakomybės draudimas. Kai vienetas moka vienkartinę metinę kelionių draudimo įmoką, išlaidos komandiruotės sąnaudomis pripažįstamos kiekvieną draudimo mėnesį, t.y. bendrą draudimo įmokos sumą padalijus iš mėnesių skaičiaus. Tačiau jeigu per draudimo galiojimo laikotarpį nė vienas apdraustasis vieneto darbuotojas, individualios įmonės savininkas, ūkinės bendrijos tikrasis narys ar mažosios bendrijos narys nevyko į komandiruotę, tai šios draudimo įmokos nepriskiriamos komandiruotės sąnaudoms (Taisyklių 3.4 p.). Jeigu vienetas sumoka už metinę užsienio šalies vizą, tai išlaidos komandiruotės sąnaudomis pripažįstamos už tą mėnesį, kurį vieneto pavedimu darbuotojas vyksta į tą užsienio šalį. Jeigu vieneto darbuotojas per vizos galiojimo laiką nevyko į komandiruotę toje užsienio šalyje, tai už tos šalies vizos įforminimą patirtos išlaidos nepriskiriamos komandiruotės sąnaudoms;</w:t>
      </w:r>
    </w:p>
    <w:p w14:paraId="67144EFA" w14:textId="77777777" w:rsidR="00EF2F3D" w:rsidRPr="00C518F4" w:rsidRDefault="00EF2F3D" w:rsidP="00EF2F3D">
      <w:pPr>
        <w:pStyle w:val="Pagrindiniotekstotrauka"/>
        <w:tabs>
          <w:tab w:val="left" w:pos="720"/>
          <w:tab w:val="left" w:pos="1077"/>
          <w:tab w:val="left" w:pos="1418"/>
        </w:tabs>
        <w:ind w:right="-6"/>
        <w:rPr>
          <w:rFonts w:ascii="Times New Roman" w:hAnsi="Times New Roman" w:cs="Times New Roman"/>
          <w:lang w:val="lt-LT"/>
        </w:rPr>
      </w:pPr>
      <w:r w:rsidRPr="00C518F4">
        <w:rPr>
          <w:rFonts w:ascii="Times New Roman" w:hAnsi="Times New Roman" w:cs="Times New Roman"/>
          <w:lang w:val="lt-LT"/>
        </w:rPr>
        <w:t>4.3.5.</w:t>
      </w:r>
      <w:r w:rsidRPr="00C518F4">
        <w:rPr>
          <w:rFonts w:ascii="Times New Roman" w:hAnsi="Times New Roman" w:cs="Times New Roman"/>
          <w:lang w:val="lt-LT"/>
        </w:rPr>
        <w:tab/>
        <w:t xml:space="preserve">mokėjimas už kelius, taip pat transporto priemonės draudimo bei transporto priemonių savininkų ir valdytojų civilinės atsakomybės draudimo išlaidos (Taisyklių 3.5 p.); </w:t>
      </w:r>
    </w:p>
    <w:p w14:paraId="1126A876" w14:textId="77777777" w:rsidR="00EF2F3D" w:rsidRPr="00C518F4" w:rsidRDefault="00EF2F3D" w:rsidP="00EF2F3D">
      <w:pPr>
        <w:tabs>
          <w:tab w:val="left" w:pos="720"/>
          <w:tab w:val="left" w:pos="1077"/>
          <w:tab w:val="left" w:pos="1418"/>
        </w:tabs>
        <w:ind w:right="-6" w:firstLine="720"/>
        <w:jc w:val="both"/>
        <w:rPr>
          <w:lang w:val="lt-LT"/>
        </w:rPr>
      </w:pPr>
      <w:r w:rsidRPr="000A634E">
        <w:rPr>
          <w:lang w:val="lt-LT"/>
        </w:rPr>
        <w:lastRenderedPageBreak/>
        <w:t>4.3.6.</w:t>
      </w:r>
      <w:r w:rsidRPr="000A634E">
        <w:rPr>
          <w:lang w:val="lt-LT"/>
        </w:rPr>
        <w:tab/>
        <w:t xml:space="preserve">komandiruotės metu sunaudotų degalų įsigijimo išlaidos, jeigu į komandiruotę važiuojama vieneto transporto priemone, vieneto išnuomota, vienetui pagal panaudos sutartį perduota transporto priemone arba vieneto komandiruotojo asmens transporto priemone. Tačiau degalų įsigijimo išlaidas pripažįstant iš pajamų atskaitomomis komandiruotės ribojamų dydžių leidžiamais atskaitymais, turi būti atsižvelgiama į komandiruotės metu nuvažiuotų kilometrų skaičių ir komandiruojančiojo vieneto patvirtintas degalų sunaudojimo normas atitinkamai transporto priemonei pagal atitinkamos transporto </w:t>
      </w:r>
      <w:r w:rsidRPr="00C518F4">
        <w:rPr>
          <w:lang w:val="lt-LT"/>
        </w:rPr>
        <w:t xml:space="preserve">priemonės gamintojo nurodytus transporto priemonės techninius duomenis (degalų sunaudojimo normas 100 kilometrų) (Taisyklių 3.6 p.); </w:t>
      </w:r>
    </w:p>
    <w:p w14:paraId="13196FF7" w14:textId="77777777" w:rsidR="00EF2F3D" w:rsidRPr="00C518F4" w:rsidRDefault="00EF2F3D" w:rsidP="00EF2F3D">
      <w:pPr>
        <w:tabs>
          <w:tab w:val="left" w:pos="720"/>
          <w:tab w:val="left" w:pos="1077"/>
          <w:tab w:val="left" w:pos="1418"/>
        </w:tabs>
        <w:ind w:right="-6" w:firstLine="720"/>
        <w:jc w:val="both"/>
        <w:rPr>
          <w:lang w:val="lt-LT"/>
        </w:rPr>
      </w:pPr>
      <w:r w:rsidRPr="00C518F4">
        <w:rPr>
          <w:lang w:val="lt-LT"/>
        </w:rPr>
        <w:t>4.3.7.</w:t>
      </w:r>
      <w:r w:rsidRPr="00C518F4">
        <w:rPr>
          <w:lang w:val="lt-LT"/>
        </w:rPr>
        <w:tab/>
        <w:t>ryšių (pašto ir telekomunikacijų) išlaidos, išskyrus asmeninio pobūdžio ryšių išlaidas (Taisyklių 3.7 p.);</w:t>
      </w:r>
    </w:p>
    <w:p w14:paraId="51E919F1" w14:textId="77777777" w:rsidR="00EF2F3D" w:rsidRPr="00C518F4" w:rsidRDefault="00EF2F3D" w:rsidP="00EF2F3D">
      <w:pPr>
        <w:tabs>
          <w:tab w:val="left" w:pos="720"/>
          <w:tab w:val="left" w:pos="1077"/>
          <w:tab w:val="left" w:pos="1418"/>
        </w:tabs>
        <w:ind w:right="-5" w:firstLine="720"/>
        <w:jc w:val="both"/>
        <w:rPr>
          <w:lang w:val="lt-LT"/>
        </w:rPr>
      </w:pPr>
      <w:r w:rsidRPr="00C518F4">
        <w:rPr>
          <w:lang w:val="lt-LT"/>
        </w:rPr>
        <w:t>4.3.8.</w:t>
      </w:r>
      <w:r w:rsidRPr="00C518F4">
        <w:rPr>
          <w:lang w:val="lt-LT"/>
        </w:rPr>
        <w:tab/>
        <w:t>vykstant į konferenciją, simpoziumą, parodą ar kitą renginį - registravimosi renginyje mokesčio ar bilietų į renginį pirkimo išlaidos. Tačiau jeigu už registravimosi renginyje mokestį ar bilietą į renginį jo dalyviui suteikiamas maitinimas, tai iš pajamų atskaitoma ne daugiau kaip 50 procentų registravimosi renginyje mokesčio ar bilieto į renginį įsigijimo išlaidų, išskyrus tuos atvejus, kai šios maitinimo išlaidos dengiamos dienpinigiais (Taisyklių 3.8 p.). Jei registravimosi renginio mokesčio ar bilieto į renginį kainoje yra įskaičiuotas maitinimas, tai ribojamų dydžių leidžiamiems atskaitymams galima priskirti 50 procentų mokesčio ar bilieto sumos;</w:t>
      </w:r>
    </w:p>
    <w:p w14:paraId="769509C4" w14:textId="77777777" w:rsidR="00EF2F3D" w:rsidRPr="00C518F4" w:rsidRDefault="00EF2F3D" w:rsidP="00EF2F3D">
      <w:pPr>
        <w:tabs>
          <w:tab w:val="left" w:pos="720"/>
          <w:tab w:val="left" w:pos="1077"/>
          <w:tab w:val="left" w:pos="1418"/>
        </w:tabs>
        <w:ind w:right="-5" w:firstLine="720"/>
        <w:jc w:val="both"/>
        <w:rPr>
          <w:lang w:val="lt-LT"/>
        </w:rPr>
      </w:pPr>
      <w:r w:rsidRPr="00C518F4">
        <w:rPr>
          <w:lang w:val="lt-LT"/>
        </w:rPr>
        <w:t>Pavyzdžiai</w:t>
      </w:r>
    </w:p>
    <w:p w14:paraId="4EA48E87" w14:textId="77777777" w:rsidR="00EF2F3D" w:rsidRPr="00B234BA" w:rsidRDefault="00EF2F3D" w:rsidP="00EF2F3D">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r w:rsidRPr="00C518F4">
        <w:rPr>
          <w:lang w:val="lt-LT"/>
        </w:rPr>
        <w:t>1.</w:t>
      </w:r>
      <w:r w:rsidRPr="00C518F4">
        <w:rPr>
          <w:lang w:val="lt-LT"/>
        </w:rPr>
        <w:tab/>
        <w:t>Vieneto darbuotojas siunčiamas 4 dienoms į konferenciją</w:t>
      </w:r>
      <w:r w:rsidRPr="00B234BA">
        <w:rPr>
          <w:lang w:val="lt-LT"/>
        </w:rPr>
        <w:t xml:space="preserve"> Atėnuose. Konferencijos organizatoriai vienetui atsiuntė konferencijos programą, kurioje nurodyta, kad visi konferencijos dalyviai konferencijos metu gaus ir maitinimą, kuris įskaičiuotas į registravimosi mokesčio kainą, t.</w:t>
      </w:r>
      <w:r>
        <w:rPr>
          <w:lang w:val="lt-LT"/>
        </w:rPr>
        <w:t xml:space="preserve"> </w:t>
      </w:r>
      <w:r w:rsidRPr="00B234BA">
        <w:rPr>
          <w:lang w:val="lt-LT"/>
        </w:rPr>
        <w:t xml:space="preserve">y. vieneto dalyviui atskirai už maitinimą mokėti nereikės. Vadovaujantis minėtų Taisyklių </w:t>
      </w:r>
      <w:r w:rsidRPr="00054CA0">
        <w:rPr>
          <w:lang w:val="lt-LT"/>
        </w:rPr>
        <w:t>3.</w:t>
      </w:r>
      <w:r w:rsidRPr="00B234BA">
        <w:rPr>
          <w:lang w:val="lt-LT"/>
        </w:rPr>
        <w:t xml:space="preserve">8 p. nuostatomis, šiuo atveju iš pajamų atskaitoma ne daugiau kaip 50 procentų registravimosi renginyje mokesčio. Kadangi registravimo renginyje mokestis yra 1000 Eur, tai iš pajamų atskaitoma ne daugiau kaip 500 Eur (1000 Eur : 2). </w:t>
      </w:r>
    </w:p>
    <w:p w14:paraId="19FCA14B" w14:textId="77777777" w:rsidR="00EF2F3D" w:rsidRPr="00B234BA" w:rsidRDefault="00EF2F3D" w:rsidP="00EF2F3D">
      <w:pPr>
        <w:pBdr>
          <w:top w:val="single" w:sz="4" w:space="1" w:color="auto"/>
          <w:left w:val="single" w:sz="4" w:space="1" w:color="auto"/>
          <w:bottom w:val="single" w:sz="4" w:space="1" w:color="auto"/>
          <w:right w:val="single" w:sz="4" w:space="1" w:color="auto"/>
        </w:pBdr>
        <w:tabs>
          <w:tab w:val="left" w:pos="720"/>
          <w:tab w:val="left" w:pos="1077"/>
          <w:tab w:val="left" w:pos="1418"/>
        </w:tabs>
        <w:ind w:right="-5" w:firstLine="720"/>
        <w:jc w:val="both"/>
        <w:rPr>
          <w:lang w:val="lt-LT"/>
        </w:rPr>
      </w:pPr>
      <w:r w:rsidRPr="00B234BA">
        <w:rPr>
          <w:lang w:val="lt-LT"/>
        </w:rPr>
        <w:t>2.</w:t>
      </w:r>
      <w:r w:rsidRPr="00B234BA">
        <w:rPr>
          <w:lang w:val="lt-LT"/>
        </w:rPr>
        <w:tab/>
        <w:t>Vieneto darbuotojas siunčiamas 2 dienoms į konferenciją Rygoje. Konferencijos organizatoriai vienetui atsiuntė sąskaitą dėl registravimosi į renginį mokesčio. Sąskaitoje nurodyta, kad visa registravimosi į renginį mokesčio suma 1000 Eur (be maitinimo) ir papildomai nurodė, kad dalyviui maitinimas gali kainuoti 100 Eur. Darbuotojui už dvi dienas Latvijos Respublikoje buvo išmokėta dienpinigių 88 Eur (44 Eur x 2). Vienetas ribojamų dydžių leidžiamiems atskaitymams gali priskirti 1000 Eur registravimosi į renginį mokestį ir 88 Eur darbuotojui išmokėtų dienpinigių.</w:t>
      </w:r>
    </w:p>
    <w:p w14:paraId="0BC48255" w14:textId="77777777" w:rsidR="00EF2F3D" w:rsidRPr="00C518F4" w:rsidRDefault="00EF2F3D" w:rsidP="00EF2F3D">
      <w:pPr>
        <w:tabs>
          <w:tab w:val="left" w:pos="720"/>
          <w:tab w:val="left" w:pos="1077"/>
          <w:tab w:val="left" w:pos="1418"/>
        </w:tabs>
        <w:ind w:right="-5" w:firstLine="720"/>
        <w:jc w:val="both"/>
        <w:rPr>
          <w:lang w:val="lt-LT"/>
        </w:rPr>
      </w:pPr>
      <w:r w:rsidRPr="00B234BA">
        <w:rPr>
          <w:lang w:val="lt-LT"/>
        </w:rPr>
        <w:t>4.3.9.</w:t>
      </w:r>
      <w:r w:rsidRPr="00B234BA">
        <w:rPr>
          <w:lang w:val="lt-LT"/>
        </w:rPr>
        <w:tab/>
        <w:t xml:space="preserve">valiutos keitimo kredito įstaigoje išlaidos ar jų dalis, kai ši valiuta yra skirta šių Taisyklių </w:t>
      </w:r>
      <w:r w:rsidRPr="00C518F4">
        <w:rPr>
          <w:lang w:val="lt-LT"/>
        </w:rPr>
        <w:t xml:space="preserve">3.1 —3.8 papunkčiuose nurodytoms išlaidoms apmokėti (Taisyklių 3.9 p.). </w:t>
      </w:r>
    </w:p>
    <w:p w14:paraId="0CC8A051"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lang w:val="lt-LT"/>
        </w:rPr>
      </w:pPr>
      <w:r w:rsidRPr="00B234BA">
        <w:rPr>
          <w:rFonts w:ascii="Times New Roman" w:hAnsi="Times New Roman" w:cs="Times New Roman"/>
          <w:lang w:val="lt-LT"/>
        </w:rPr>
        <w:t xml:space="preserve">4.4. Lietuvos Respublikos Vyriausybės 2019 m. spalio 16 d. nutarimu Nr. 1038 „Dėl Lietuvos Respublikos Vyriausybės 2003 m. sausio 28 d. nutarimo Nr. 99 „Dėl komandiruočių sąnaudų atskaitymo iš pajamų taisyklių patvirtinimo“ pakeitimo“ (toliau – Nutarimas Nr. 1038) pakeistos Nutarimu Nr. 99 patvirtintos Taisyklės ir šių Taisyklių 4 punktas pripažintas netekusiu galios. </w:t>
      </w:r>
    </w:p>
    <w:p w14:paraId="07BB0810"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lang w:val="lt-LT"/>
        </w:rPr>
      </w:pPr>
      <w:r w:rsidRPr="00B234BA">
        <w:rPr>
          <w:rFonts w:ascii="Times New Roman" w:hAnsi="Times New Roman" w:cs="Times New Roman"/>
          <w:lang w:val="lt-LT"/>
        </w:rPr>
        <w:t xml:space="preserve">Pagal šio nutarimo nuostatas nuo 2020 m. sausio 1 d. tais atvejais, kai į komandiruotę vyksta vieneto vadovas arba individualios įmonės savininkas, tikrasis ūkinės bendrijos narys ar mažosios bendrijos narys ir šioje individualioje įmonėje, ūkinėje bendrijoje ar mažojoje bendrijoje nėra vadovo, dienpinigių dydis negali būti didinamas 100 procentų. Vadinasi, nuo 2020-01-01 vykstant į komandiruotę vieneto vadovui arba individualios įmonės savininkui, tikrajam ūkinės bendrijos nariui ar mažosios bendrijos nariui, ribojamų dydžių leidžiamiems atskaitymams priskiriami tik dienpinigiai, neviršijantys Maksimalių dienpinigių dydžių sąraše patvirtintų dienpinigių dydžių. </w:t>
      </w:r>
    </w:p>
    <w:p w14:paraId="2D310FFA" w14:textId="77777777" w:rsidR="00EF2F3D" w:rsidRPr="00B234BA" w:rsidRDefault="00EF2F3D" w:rsidP="00EF2F3D">
      <w:pPr>
        <w:pStyle w:val="Pagrindiniotekstotrauka"/>
        <w:tabs>
          <w:tab w:val="left" w:pos="1077"/>
          <w:tab w:val="left" w:pos="1418"/>
        </w:tabs>
        <w:spacing w:after="0" w:line="240" w:lineRule="auto"/>
        <w:ind w:right="-6" w:firstLine="851"/>
        <w:rPr>
          <w:rFonts w:ascii="Times New Roman" w:hAnsi="Times New Roman" w:cs="Times New Roman"/>
          <w:strike/>
          <w:lang w:val="lt-LT"/>
        </w:rPr>
      </w:pPr>
    </w:p>
    <w:p w14:paraId="4E3EAC35"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5561448B"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tabs>
          <w:tab w:val="left" w:pos="1077"/>
          <w:tab w:val="left" w:pos="1418"/>
        </w:tabs>
        <w:ind w:right="-5" w:firstLine="851"/>
        <w:rPr>
          <w:rFonts w:ascii="Times New Roman" w:hAnsi="Times New Roman" w:cs="Times New Roman"/>
          <w:strike/>
          <w:lang w:val="lt-LT"/>
        </w:rPr>
      </w:pPr>
      <w:r w:rsidRPr="00B234BA">
        <w:rPr>
          <w:rFonts w:ascii="Times New Roman" w:hAnsi="Times New Roman" w:cs="Times New Roman"/>
          <w:lang w:val="lt-LT"/>
        </w:rPr>
        <w:lastRenderedPageBreak/>
        <w:t>Komandiruotės įsakyme nurodyta, kad vieneto vadovas, nuo sausio 20 d. iki sausio 25 d. siunčiamas atlikti tarnybinį pavedimą į Rygą. Neatsižvelgiant į tai, kad į komandiruotę vyksta vieneto vadovas, dienpinigių norma nedidinama. Vieneto ribojamų dydžių leidžiamiems atskaitymams gali būti priskiriami dienpinigiai, išmokami  už komandiruotės dienas, taikant Maksimalių dienpinigių dydžių sąraše nustatytą dienpinigių dydį Latvijos Respublikoje (44 Eur x 6).</w:t>
      </w:r>
    </w:p>
    <w:p w14:paraId="0F8F79CA" w14:textId="77777777" w:rsidR="00EF2F3D" w:rsidRPr="00B234BA" w:rsidRDefault="00EF2F3D" w:rsidP="00EF2F3D">
      <w:pPr>
        <w:pStyle w:val="Pagrindiniotekstotrauka2"/>
        <w:tabs>
          <w:tab w:val="left" w:pos="720"/>
          <w:tab w:val="left" w:pos="1080"/>
        </w:tabs>
        <w:spacing w:line="240" w:lineRule="auto"/>
        <w:ind w:left="720" w:firstLine="0"/>
        <w:rPr>
          <w:b w:val="0"/>
          <w:bCs w:val="0"/>
          <w:strike/>
        </w:rPr>
      </w:pPr>
      <w:r w:rsidRPr="00B234BA">
        <w:rPr>
          <w:b w:val="0"/>
          <w:bCs w:val="0"/>
        </w:rPr>
        <w:t xml:space="preserve">  </w:t>
      </w:r>
    </w:p>
    <w:p w14:paraId="0E400670"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4.5.</w:t>
      </w:r>
      <w:r w:rsidRPr="00B234BA">
        <w:rPr>
          <w:rFonts w:ascii="Times New Roman" w:hAnsi="Times New Roman" w:cs="Times New Roman"/>
          <w:lang w:val="lt-LT"/>
        </w:rPr>
        <w:tab/>
        <w:t>Jeigu komandiruojamam į užsienį vieneto darbuotojui, individualios įmonės savininkui, ūkinės bendrijos tikrajam nariui ar mažosios bendrijos nariui dienpinigius skiria kitas (-i) vienetas (-ai) ar asmuo (-enys), įskaitant užsienio vienetus ar asmenis, tai vienetas, kurio darbuotojas, individualios įmonės savininkas, ūkinės bendrijos tikrasis narys ar mažosios bendrijos narys komandiruojamas, iš pajamų kaip ribojamų dydžių leidžiamus atskaitymus gali atskaityti tik skirtumą tarp dienpinigių sumos, apskaičiuotos pagal Maksimalių dienpinigių dydžių sąraše patvirtintus dydžius, ir komandiruojamam asmeniui kitų vienetų ar asmenų skirtų dienpinigių sumos.</w:t>
      </w:r>
    </w:p>
    <w:p w14:paraId="4943B82D"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p>
    <w:p w14:paraId="45FD66BF" w14:textId="77777777" w:rsidR="00EF2F3D" w:rsidRPr="00B234BA" w:rsidRDefault="00EF2F3D" w:rsidP="00EF2F3D">
      <w:pPr>
        <w:pStyle w:val="Pagrindiniotekstotrauka"/>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255B8368" w14:textId="77777777" w:rsidR="00EF2F3D" w:rsidRPr="00B234BA" w:rsidRDefault="00EF2F3D" w:rsidP="00EF2F3D">
      <w:pPr>
        <w:pStyle w:val="Pagrindiniotekstotrauka"/>
        <w:pBdr>
          <w:top w:val="single" w:sz="4" w:space="1" w:color="auto"/>
          <w:left w:val="single" w:sz="4" w:space="0" w:color="auto"/>
          <w:bottom w:val="single" w:sz="4" w:space="1" w:color="auto"/>
          <w:right w:val="single" w:sz="4" w:space="4" w:color="auto"/>
        </w:pBdr>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Vieneto A pavedimu vieneto darbuotojas siunčiamas 2 dienoms atlikti tarnybinį pavedimą į Rygą. Užsienio valstybėje jam užsienio vienetas moka dienpinigius. Užsienio valstybės vienetas Lietuvos Respublikos vieneto komandiruojamam asmeniui už dieną moka 30 Eur dienpinigių, o vienetas A moka 44 Eur. Maksimalių dienpinigių dydžių sąraše patvirtintas Latvijos Respublikoje dienpinigių dydis yra 44 Eur. Pagal Taisyklių 6 punkto nuostatas ribojamų dydžių leidžiamiems atskaitymams priskiriamos tik vieneto A darbuotojui už 2 komandiruotės Rygoje dienas išmokėtas dienpinigių skirtumas tarp vieneto A už 2 dienas išmokėtos dienpinigių sumos 88 Eur (44 Eur x 2) ir užsienio valstybės vieneto šiam darbuotojui išmokėtos dienpinigių sumos 60 Eur (30 Eur x 2). Iš pajamų vienetas A gali atskaityti tik 28 Eur (88 Eur – 60 Eur) dienpinigių sumos.</w:t>
      </w:r>
    </w:p>
    <w:p w14:paraId="42CCF457" w14:textId="77777777" w:rsidR="00EF2F3D" w:rsidRPr="00B234BA" w:rsidRDefault="00EF2F3D" w:rsidP="00EF2F3D">
      <w:pPr>
        <w:pStyle w:val="Pagrindinistekstas"/>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4.6.</w:t>
      </w:r>
      <w:r w:rsidRPr="00B234BA">
        <w:rPr>
          <w:rFonts w:ascii="Times New Roman" w:hAnsi="Times New Roman" w:cs="Times New Roman"/>
          <w:lang w:val="lt-LT"/>
        </w:rPr>
        <w:tab/>
        <w:t xml:space="preserve">Jeigu vieneto vadovo įsakyme nurodyta, kad darbuotojas siunčiamas į komandiruotę dviem dienoms, o grįžus iš komandiruotės tą pačią dieną šis darbuotojas vėl yra siunčiamas į kitą komandiruotę (vieneto vadovo įsakyme nurodyta, kad darbuotojas siunčiamas į komandiruotę dviem dienoms), iš kurios jis grįžta jau kitą dieną, tai šiam darbuotojui išmokami dienpinigiai, priskiriami ribojamų dydžių leidžiamiems atskaitymams, kurie apskaičiuojami tik už 3 komandiruotėje būtas dienas. </w:t>
      </w:r>
    </w:p>
    <w:p w14:paraId="4BC672FD" w14:textId="77777777" w:rsidR="00EF2F3D" w:rsidRPr="00C518F4" w:rsidRDefault="00EF2F3D" w:rsidP="00EF2F3D">
      <w:pPr>
        <w:pStyle w:val="Pagrindiniotekstotrauka3"/>
        <w:tabs>
          <w:tab w:val="left" w:pos="1077"/>
          <w:tab w:val="left" w:pos="1418"/>
        </w:tabs>
        <w:ind w:right="-5" w:firstLine="851"/>
        <w:rPr>
          <w:rFonts w:ascii="Times New Roman" w:hAnsi="Times New Roman"/>
          <w:bCs/>
        </w:rPr>
      </w:pPr>
      <w:r w:rsidRPr="00B234BA">
        <w:rPr>
          <w:rFonts w:ascii="Times New Roman" w:hAnsi="Times New Roman"/>
          <w:bCs/>
        </w:rPr>
        <w:t>Komandiruotės dieną vykstant į kelias valstybes už tą komandiruotės dieną mokamas dienpinigių, apskaičiuotų pagal toms valstybėms nustatytus dydžius, vidurkis</w:t>
      </w:r>
      <w:r w:rsidRPr="00C518F4">
        <w:rPr>
          <w:rFonts w:ascii="Times New Roman" w:hAnsi="Times New Roman"/>
          <w:bCs/>
        </w:rPr>
        <w:t>,</w:t>
      </w:r>
      <w:r w:rsidRPr="00C518F4">
        <w:rPr>
          <w:rFonts w:ascii="Times New Roman" w:hAnsi="Times New Roman"/>
          <w:color w:val="000000"/>
          <w:shd w:val="clear" w:color="auto" w:fill="FFFFFF"/>
        </w:rPr>
        <w:t xml:space="preserve"> išskyrus atvejus, kai į kitą valstybę patenkama dėl jungiamojo skrydžio ar atvykstama tranzitu kita transporto priemone</w:t>
      </w:r>
      <w:r w:rsidRPr="00C518F4">
        <w:rPr>
          <w:rFonts w:ascii="Times New Roman" w:hAnsi="Times New Roman"/>
          <w:bCs/>
        </w:rPr>
        <w:t>.</w:t>
      </w:r>
    </w:p>
    <w:p w14:paraId="17363565" w14:textId="77777777" w:rsidR="00EF2F3D" w:rsidRPr="00B234BA" w:rsidRDefault="00EF2F3D" w:rsidP="00EF2F3D">
      <w:pPr>
        <w:pStyle w:val="Pagrindinistekstas"/>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Pavyzdys</w:t>
      </w:r>
    </w:p>
    <w:p w14:paraId="15AB233C" w14:textId="77777777" w:rsidR="00EF2F3D" w:rsidRPr="00B234BA" w:rsidRDefault="00EF2F3D" w:rsidP="00EF2F3D">
      <w:pPr>
        <w:pStyle w:val="Pagrindinistekstas"/>
        <w:pBdr>
          <w:top w:val="single" w:sz="4" w:space="1" w:color="auto"/>
          <w:left w:val="single" w:sz="4" w:space="1" w:color="auto"/>
          <w:bottom w:val="single" w:sz="4" w:space="1" w:color="auto"/>
          <w:right w:val="single" w:sz="4" w:space="1" w:color="auto"/>
        </w:pBdr>
        <w:tabs>
          <w:tab w:val="left" w:pos="1077"/>
          <w:tab w:val="left" w:pos="1418"/>
        </w:tabs>
        <w:ind w:right="-5" w:firstLine="851"/>
        <w:rPr>
          <w:rFonts w:ascii="Times New Roman" w:hAnsi="Times New Roman" w:cs="Times New Roman"/>
          <w:lang w:val="lt-LT"/>
        </w:rPr>
      </w:pPr>
      <w:r w:rsidRPr="00B234BA">
        <w:rPr>
          <w:rFonts w:ascii="Times New Roman" w:hAnsi="Times New Roman" w:cs="Times New Roman"/>
          <w:lang w:val="lt-LT"/>
        </w:rPr>
        <w:t>Pagal vieneto administracijos vadovo įsakymą Nr. 1 vieneto darbuotojas sausio 9 - 10 dienomis siunčiamas į tarnybinę komandiruotę Rygoje, o pagal įsakymą Nr. 2 tas pats darbuotojas sausio 10 - 11 dienomis vėl siunčiamas į tarnybinę komandiruotę Varšuvoje. Darbuotojas, atlikęs tarnybinį pavedimą, iš Rygos grįžo sausio 10 d. ir tą pačią dieną (sausio 10 d.) išvyko į Varšuvą. Iš komandiruotės Varšuvoje darbuotojas grįžo sausio 11 d. Šiuo atveju darbo laiko apskaitos žurnale pažymima, kad darbuotojas komandiruotėje buvo 3 dienas.</w:t>
      </w:r>
    </w:p>
    <w:p w14:paraId="61736978" w14:textId="77777777" w:rsidR="00EF2F3D" w:rsidRPr="00B234BA" w:rsidRDefault="00EF2F3D" w:rsidP="00EF2F3D">
      <w:pPr>
        <w:pStyle w:val="Pagrindiniotekstotrauka3"/>
        <w:pBdr>
          <w:top w:val="single" w:sz="4" w:space="1" w:color="auto"/>
          <w:left w:val="single" w:sz="4" w:space="1" w:color="auto"/>
          <w:bottom w:val="single" w:sz="4" w:space="1" w:color="auto"/>
          <w:right w:val="single" w:sz="4" w:space="1" w:color="auto"/>
        </w:pBdr>
        <w:tabs>
          <w:tab w:val="left" w:pos="1077"/>
          <w:tab w:val="left" w:pos="1418"/>
        </w:tabs>
        <w:ind w:right="-5" w:firstLine="851"/>
        <w:rPr>
          <w:rFonts w:ascii="Times New Roman" w:hAnsi="Times New Roman"/>
          <w:strike/>
        </w:rPr>
      </w:pPr>
      <w:r w:rsidRPr="00B234BA">
        <w:rPr>
          <w:rFonts w:ascii="Times New Roman" w:hAnsi="Times New Roman"/>
        </w:rPr>
        <w:t>Kadangi komandiruotės įsakyme nurodyta, kad darbuotojas siunčiamas į komandiruotę Rygoje, tai už dieną, kai pervažiuojama Latvijos Respublikos siena ir atvykstama į Rygą, dienpinigiai, priskiriami ribojamų dydžių leidžiamiems atskaitymams, neviršijant Maksimalių dienpinigių dydžių sąraše  patvirtinto dienpinigių Latvijos Respublikoje</w:t>
      </w:r>
      <w:r w:rsidRPr="00B234BA">
        <w:rPr>
          <w:rFonts w:ascii="Times New Roman" w:hAnsi="Times New Roman"/>
          <w:strike/>
        </w:rPr>
        <w:t xml:space="preserve"> </w:t>
      </w:r>
      <w:r w:rsidRPr="00B234BA">
        <w:rPr>
          <w:rFonts w:ascii="Times New Roman" w:hAnsi="Times New Roman"/>
        </w:rPr>
        <w:t xml:space="preserve">dydžio. Sausio 10 d. mokamas </w:t>
      </w:r>
      <w:r w:rsidRPr="00B234BA">
        <w:rPr>
          <w:rFonts w:ascii="Times New Roman" w:hAnsi="Times New Roman"/>
          <w:bCs/>
        </w:rPr>
        <w:t xml:space="preserve">dienpinigių, </w:t>
      </w:r>
      <w:r w:rsidRPr="00B234BA">
        <w:rPr>
          <w:rFonts w:ascii="Times New Roman" w:hAnsi="Times New Roman"/>
          <w:bCs/>
        </w:rPr>
        <w:lastRenderedPageBreak/>
        <w:t>apskaičiuotų pagal Latvijos Respublikos ir Lenkijos Respublikos nustatytus dydžius, vidurkis.</w:t>
      </w:r>
      <w:r w:rsidRPr="00B234BA">
        <w:rPr>
          <w:rFonts w:ascii="Times New Roman" w:hAnsi="Times New Roman"/>
        </w:rPr>
        <w:t xml:space="preserve">  Už sausio 11 d. dienpinigiai, priskiriami ribojamų dydžių leidžiamiems atskaitymams, neviršijant patvirtinto Lenkijos Respublikos dienpinigių dydžio. </w:t>
      </w:r>
    </w:p>
    <w:p w14:paraId="23A21509" w14:textId="77777777" w:rsidR="00EF2F3D" w:rsidRPr="00B234BA" w:rsidRDefault="00EF2F3D" w:rsidP="00EF2F3D">
      <w:pPr>
        <w:ind w:firstLine="720"/>
        <w:jc w:val="both"/>
        <w:rPr>
          <w:lang w:val="lt-LT"/>
        </w:rPr>
      </w:pPr>
      <w:r w:rsidRPr="00B234BA">
        <w:rPr>
          <w:lang w:val="lt-LT"/>
        </w:rPr>
        <w:t>4.7. Atvejai, kada komandiruočių sąnaudomis laikomos Lietuvos vieneto apmokėtos ir ne jo darbuotojo komandiruotės į užsienį išlaidos:</w:t>
      </w:r>
    </w:p>
    <w:p w14:paraId="1C0DB817"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4.7.1.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įstatymą „Dėl darbuotojų dalyvavimo priimant sprendimus Europos bendrovėse“, nario išlaidas, nurodytas Taisyklių </w:t>
      </w:r>
      <w:r w:rsidRPr="00C518F4">
        <w:rPr>
          <w:rFonts w:ascii="Times New Roman" w:hAnsi="Times New Roman" w:cs="Times New Roman"/>
          <w:sz w:val="24"/>
          <w:szCs w:val="24"/>
          <w:lang w:val="lt-LT"/>
        </w:rPr>
        <w:t>3.1</w:t>
      </w:r>
      <w:r w:rsidRPr="00B234BA">
        <w:rPr>
          <w:rFonts w:ascii="Times New Roman" w:hAnsi="Times New Roman" w:cs="Times New Roman"/>
          <w:b/>
          <w:color w:val="000000"/>
          <w:sz w:val="24"/>
          <w:szCs w:val="24"/>
          <w:lang w:val="lt-LT"/>
        </w:rPr>
        <w:t>–</w:t>
      </w:r>
      <w:r>
        <w:rPr>
          <w:rFonts w:ascii="Times New Roman" w:hAnsi="Times New Roman" w:cs="Times New Roman"/>
          <w:sz w:val="24"/>
          <w:szCs w:val="24"/>
          <w:lang w:val="lt-LT"/>
        </w:rPr>
        <w:t xml:space="preserve"> 3</w:t>
      </w:r>
      <w:r w:rsidRPr="00C518F4">
        <w:rPr>
          <w:rFonts w:ascii="Times New Roman" w:hAnsi="Times New Roman" w:cs="Times New Roman"/>
          <w:sz w:val="24"/>
          <w:szCs w:val="24"/>
          <w:lang w:val="lt-LT"/>
        </w:rPr>
        <w:t>.7 ir 3.9 papunkčiuose ir susijusias su</w:t>
      </w:r>
      <w:r w:rsidRPr="00B234BA">
        <w:rPr>
          <w:rFonts w:ascii="Times New Roman" w:hAnsi="Times New Roman" w:cs="Times New Roman"/>
          <w:sz w:val="24"/>
          <w:szCs w:val="24"/>
          <w:lang w:val="lt-LT"/>
        </w:rPr>
        <w:t xml:space="preserve"> šio nario dalyvavimu minėto specialiojo derybų komiteto posėdžiuose, pagal susitarimą apmoka Europos bendrovės steigime dalyvaujantis Lietuvos vienetas, nors šis narys nėra jo darbuotojas, nariui apmokėtos išlaidos atskaitomos iš šio Lietuvos vieneto pajamų</w:t>
      </w:r>
      <w:r>
        <w:rPr>
          <w:rFonts w:ascii="Times New Roman" w:hAnsi="Times New Roman" w:cs="Times New Roman"/>
          <w:sz w:val="24"/>
          <w:szCs w:val="24"/>
          <w:lang w:val="lt-LT"/>
        </w:rPr>
        <w:t>;</w:t>
      </w:r>
      <w:r w:rsidRPr="00B234BA">
        <w:rPr>
          <w:rFonts w:ascii="Times New Roman" w:hAnsi="Times New Roman" w:cs="Times New Roman"/>
          <w:color w:val="000000"/>
          <w:sz w:val="24"/>
          <w:szCs w:val="24"/>
          <w:shd w:val="clear" w:color="auto" w:fill="FFFFFF"/>
          <w:lang w:val="lt-LT"/>
        </w:rPr>
        <w:t xml:space="preserve"> </w:t>
      </w:r>
    </w:p>
    <w:p w14:paraId="555BF836"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4.7.2.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Lietuvos Respublikos įstatymą „Dėl darbuotojų dalyvavimo priimant sprendimus Europos kooperatinėse bendrovėse“, nario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w:t>
      </w:r>
      <w:r w:rsidRPr="00B234BA">
        <w:rPr>
          <w:rFonts w:ascii="Times New Roman" w:hAnsi="Times New Roman" w:cs="Times New Roman"/>
          <w:sz w:val="24"/>
          <w:szCs w:val="24"/>
          <w:lang w:val="lt-LT"/>
        </w:rPr>
        <w:t xml:space="preserve"> susijusias su šio nario dalyvavimu minėto specialiojo derybų komiteto posėdžiuose, pagal susitarimą apmoka Europos kooperatinės bendrovės steigime dalyvaujantis Lietuvos vienetas, nors šis narys nėra jo darbuotojas, nariui apmokėtos išlaidos atskaitomos iš šio Lietuvos vieneto pajamų</w:t>
      </w:r>
      <w:r>
        <w:rPr>
          <w:rFonts w:ascii="Times New Roman" w:hAnsi="Times New Roman" w:cs="Times New Roman"/>
          <w:sz w:val="24"/>
          <w:szCs w:val="24"/>
          <w:lang w:val="lt-LT"/>
        </w:rPr>
        <w:t>;</w:t>
      </w:r>
    </w:p>
    <w:p w14:paraId="444E0FC0"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3.</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specialiojo derybų komiteto, sudaryto pagal </w:t>
      </w:r>
      <w:r>
        <w:rPr>
          <w:rFonts w:ascii="Times New Roman" w:hAnsi="Times New Roman" w:cs="Times New Roman"/>
          <w:sz w:val="24"/>
          <w:szCs w:val="24"/>
          <w:lang w:val="lt-LT"/>
        </w:rPr>
        <w:t>įstatymą „Dėl d</w:t>
      </w:r>
      <w:r w:rsidRPr="00B234BA">
        <w:rPr>
          <w:rFonts w:ascii="Times New Roman" w:hAnsi="Times New Roman" w:cs="Times New Roman"/>
          <w:sz w:val="24"/>
          <w:szCs w:val="24"/>
          <w:lang w:val="lt-LT"/>
        </w:rPr>
        <w:t xml:space="preserve">arbuotojų </w:t>
      </w:r>
      <w:r w:rsidRPr="00C518F4">
        <w:rPr>
          <w:rFonts w:ascii="Times New Roman" w:hAnsi="Times New Roman" w:cs="Times New Roman"/>
          <w:sz w:val="24"/>
          <w:szCs w:val="24"/>
          <w:lang w:val="lt-LT"/>
        </w:rPr>
        <w:t xml:space="preserve">dalyvavimo bendrovėje po vienos valstybės ribas peržengiančio ribotos atsakomybės bendrovių </w:t>
      </w:r>
      <w:r w:rsidRPr="00C518F4">
        <w:rPr>
          <w:rFonts w:ascii="Times New Roman" w:hAnsi="Times New Roman" w:cs="Times New Roman"/>
          <w:color w:val="000000"/>
          <w:sz w:val="24"/>
          <w:szCs w:val="24"/>
          <w:lang w:val="lt-LT"/>
        </w:rPr>
        <w:t>pertvarkymo, jungimosi ar skaidymo</w:t>
      </w:r>
      <w:r>
        <w:rPr>
          <w:rFonts w:ascii="Times New Roman" w:hAnsi="Times New Roman" w:cs="Times New Roman"/>
          <w:color w:val="000000"/>
          <w:sz w:val="24"/>
          <w:szCs w:val="24"/>
          <w:lang w:val="lt-LT"/>
        </w:rPr>
        <w:t>“</w:t>
      </w:r>
      <w:r w:rsidRPr="00C518F4">
        <w:rPr>
          <w:rFonts w:ascii="Times New Roman" w:hAnsi="Times New Roman" w:cs="Times New Roman"/>
          <w:sz w:val="24"/>
          <w:szCs w:val="24"/>
          <w:lang w:val="lt-LT"/>
        </w:rPr>
        <w:t xml:space="preserve">, nario patirtas išlaidas, nurodytas šių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 xml:space="preserve">ir susijusias su šio nario dalyvavimu specialiojo derybų komiteto posėdžiuose, pagal susitarimą apmoka vienos valstybės ribas peržengiančiame ribotos atsakomybės bendrovių jungimesi </w:t>
      </w:r>
      <w:r w:rsidRPr="00C518F4">
        <w:rPr>
          <w:rFonts w:ascii="Times New Roman" w:hAnsi="Times New Roman" w:cs="Times New Roman"/>
          <w:color w:val="000000"/>
          <w:sz w:val="24"/>
          <w:szCs w:val="24"/>
          <w:lang w:val="lt-LT"/>
        </w:rPr>
        <w:t xml:space="preserve">ar skaidyme </w:t>
      </w:r>
      <w:r w:rsidRPr="00C518F4">
        <w:rPr>
          <w:rFonts w:ascii="Times New Roman" w:hAnsi="Times New Roman" w:cs="Times New Roman"/>
          <w:sz w:val="24"/>
          <w:szCs w:val="24"/>
          <w:lang w:val="lt-LT"/>
        </w:rPr>
        <w:t>dalyvaujantis Lietuvos vienetas</w:t>
      </w:r>
      <w:r w:rsidRPr="00C518F4">
        <w:rPr>
          <w:rFonts w:ascii="Times New Roman" w:hAnsi="Times New Roman" w:cs="Times New Roman"/>
          <w:color w:val="000000"/>
          <w:sz w:val="24"/>
          <w:szCs w:val="24"/>
          <w:lang w:val="lt-LT"/>
        </w:rPr>
        <w:t xml:space="preserve"> arba vienos valstybės ribas peržengiančiame ribotos atsakomybės bendrovių pertvarkyme dalyvaujantis Lietuvos vienetas,</w:t>
      </w:r>
      <w:r w:rsidRPr="00C518F4">
        <w:rPr>
          <w:rFonts w:ascii="Times New Roman" w:hAnsi="Times New Roman" w:cs="Times New Roman"/>
          <w:sz w:val="24"/>
          <w:szCs w:val="24"/>
          <w:lang w:val="lt-LT"/>
        </w:rPr>
        <w:t xml:space="preserve"> nors šis narys nėra jo darbuotojas, nariui apmokėtos</w:t>
      </w:r>
      <w:r w:rsidRPr="00B234BA">
        <w:rPr>
          <w:rFonts w:ascii="Times New Roman" w:hAnsi="Times New Roman" w:cs="Times New Roman"/>
          <w:sz w:val="24"/>
          <w:szCs w:val="24"/>
          <w:lang w:val="lt-LT"/>
        </w:rPr>
        <w:t xml:space="preserve"> išlaidos atskaitomos</w:t>
      </w:r>
      <w:r>
        <w:rPr>
          <w:rFonts w:ascii="Times New Roman" w:hAnsi="Times New Roman" w:cs="Times New Roman"/>
          <w:sz w:val="24"/>
          <w:szCs w:val="24"/>
          <w:lang w:val="lt-LT"/>
        </w:rPr>
        <w:t xml:space="preserve"> iš šio Lietuvos vieneto pajamų;</w:t>
      </w:r>
    </w:p>
    <w:p w14:paraId="01BF1451"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4</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 xml:space="preserve">eigu Europos bendrovės darbo tarybos ir Europos bendrovės </w:t>
      </w:r>
      <w:r>
        <w:rPr>
          <w:rFonts w:ascii="Times New Roman" w:hAnsi="Times New Roman" w:cs="Times New Roman"/>
          <w:sz w:val="24"/>
          <w:szCs w:val="24"/>
          <w:lang w:val="lt-LT"/>
        </w:rPr>
        <w:t>darbo tarybos komiteto, sudaryto</w:t>
      </w:r>
      <w:r w:rsidRPr="00B234BA">
        <w:rPr>
          <w:rFonts w:ascii="Times New Roman" w:hAnsi="Times New Roman" w:cs="Times New Roman"/>
          <w:sz w:val="24"/>
          <w:szCs w:val="24"/>
          <w:lang w:val="lt-LT"/>
        </w:rPr>
        <w:t xml:space="preserve"> pagal </w:t>
      </w:r>
      <w:r>
        <w:rPr>
          <w:rFonts w:ascii="Times New Roman" w:hAnsi="Times New Roman" w:cs="Times New Roman"/>
          <w:sz w:val="24"/>
          <w:szCs w:val="24"/>
          <w:lang w:val="lt-LT"/>
        </w:rPr>
        <w:t>D</w:t>
      </w:r>
      <w:r w:rsidRPr="00B234BA">
        <w:rPr>
          <w:rFonts w:ascii="Times New Roman" w:hAnsi="Times New Roman" w:cs="Times New Roman"/>
          <w:sz w:val="24"/>
          <w:szCs w:val="24"/>
          <w:lang w:val="lt-LT"/>
        </w:rPr>
        <w:t>arbuotojų dalyvavimo priimant sprendimus Europos bendrovėse</w:t>
      </w:r>
      <w:r>
        <w:rPr>
          <w:rFonts w:ascii="Times New Roman" w:hAnsi="Times New Roman" w:cs="Times New Roman"/>
          <w:sz w:val="24"/>
          <w:szCs w:val="24"/>
          <w:lang w:val="lt-LT"/>
        </w:rPr>
        <w:t xml:space="preserve"> įstatymą</w:t>
      </w:r>
      <w:r w:rsidRPr="00B234BA">
        <w:rPr>
          <w:rFonts w:ascii="Times New Roman" w:hAnsi="Times New Roman" w:cs="Times New Roman"/>
          <w:sz w:val="24"/>
          <w:szCs w:val="24"/>
          <w:lang w:val="lt-LT"/>
        </w:rPr>
        <w:t xml:space="preserve">, nario </w:t>
      </w:r>
      <w:r w:rsidRPr="00C518F4">
        <w:rPr>
          <w:rFonts w:ascii="Times New Roman" w:hAnsi="Times New Roman" w:cs="Times New Roman"/>
          <w:sz w:val="24"/>
          <w:szCs w:val="24"/>
          <w:lang w:val="lt-LT"/>
        </w:rPr>
        <w:t xml:space="preserve">patirtas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 minėtos Europos bendrovės darbo tarybos ir Europos bendrovės</w:t>
      </w:r>
      <w:r w:rsidRPr="00B234BA">
        <w:rPr>
          <w:rFonts w:ascii="Times New Roman" w:hAnsi="Times New Roman" w:cs="Times New Roman"/>
          <w:sz w:val="24"/>
          <w:szCs w:val="24"/>
          <w:lang w:val="lt-LT"/>
        </w:rPr>
        <w:t xml:space="preserve"> darbo tarybos komiteto posėdžiuose, apmoka Lietuvos vienetas (Europos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1A7B198E"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B234BA">
        <w:rPr>
          <w:rFonts w:ascii="Times New Roman" w:hAnsi="Times New Roman" w:cs="Times New Roman"/>
          <w:sz w:val="24"/>
          <w:szCs w:val="24"/>
          <w:lang w:val="lt-LT"/>
        </w:rPr>
        <w:t>eigu Europos kooperatinės bendrovės darbo tarybos ir Europos kooperatinės bendrovės darbo tarybos komiteto, sudaryt</w:t>
      </w:r>
      <w:r>
        <w:rPr>
          <w:rFonts w:ascii="Times New Roman" w:hAnsi="Times New Roman" w:cs="Times New Roman"/>
          <w:sz w:val="24"/>
          <w:szCs w:val="24"/>
          <w:lang w:val="lt-LT"/>
        </w:rPr>
        <w:t>o</w:t>
      </w:r>
      <w:r w:rsidRPr="00B234BA">
        <w:rPr>
          <w:rFonts w:ascii="Times New Roman" w:hAnsi="Times New Roman" w:cs="Times New Roman"/>
          <w:sz w:val="24"/>
          <w:szCs w:val="24"/>
          <w:lang w:val="lt-LT"/>
        </w:rPr>
        <w:t xml:space="preserve"> pagal </w:t>
      </w:r>
      <w:r>
        <w:rPr>
          <w:rFonts w:ascii="Times New Roman" w:hAnsi="Times New Roman" w:cs="Times New Roman"/>
          <w:sz w:val="24"/>
          <w:szCs w:val="24"/>
          <w:lang w:val="lt-LT"/>
        </w:rPr>
        <w:t>D</w:t>
      </w:r>
      <w:r w:rsidRPr="00B234BA">
        <w:rPr>
          <w:rFonts w:ascii="Times New Roman" w:hAnsi="Times New Roman" w:cs="Times New Roman"/>
          <w:sz w:val="24"/>
          <w:szCs w:val="24"/>
          <w:lang w:val="lt-LT"/>
        </w:rPr>
        <w:t>arbuotojų dalyvavimo priimant sprendimus Europos kooperatinėse bendrovėse</w:t>
      </w:r>
      <w:r>
        <w:rPr>
          <w:rFonts w:ascii="Times New Roman" w:hAnsi="Times New Roman" w:cs="Times New Roman"/>
          <w:sz w:val="24"/>
          <w:szCs w:val="24"/>
          <w:lang w:val="lt-LT"/>
        </w:rPr>
        <w:t xml:space="preserve"> įstatymą</w:t>
      </w:r>
      <w:r w:rsidRPr="00B234BA">
        <w:rPr>
          <w:rFonts w:ascii="Times New Roman" w:hAnsi="Times New Roman" w:cs="Times New Roman"/>
          <w:sz w:val="24"/>
          <w:szCs w:val="24"/>
          <w:lang w:val="lt-LT"/>
        </w:rPr>
        <w:t xml:space="preserve">, </w:t>
      </w:r>
      <w:r w:rsidRPr="00C518F4">
        <w:rPr>
          <w:rFonts w:ascii="Times New Roman" w:hAnsi="Times New Roman" w:cs="Times New Roman"/>
          <w:sz w:val="24"/>
          <w:szCs w:val="24"/>
          <w:lang w:val="lt-LT"/>
        </w:rPr>
        <w:t xml:space="preserve">nario patirtas išlaidas, nurodytas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w:t>
      </w:r>
      <w:r w:rsidRPr="00B234BA">
        <w:rPr>
          <w:rFonts w:ascii="Times New Roman" w:hAnsi="Times New Roman" w:cs="Times New Roman"/>
          <w:sz w:val="24"/>
          <w:szCs w:val="24"/>
          <w:lang w:val="lt-LT"/>
        </w:rPr>
        <w:t xml:space="preserve"> minėtos Europos kooperatinės bendrovės darbo tarybos ir Europos kooperatinės bendrovės darbo tarybos komiteto posėdžiuose, apmoka Lietuvos vienetas (Europos kooperatinė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7F9023EB"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4.7.</w:t>
      </w:r>
      <w:r>
        <w:rPr>
          <w:rFonts w:ascii="Times New Roman" w:hAnsi="Times New Roman" w:cs="Times New Roman"/>
          <w:sz w:val="24"/>
          <w:szCs w:val="24"/>
          <w:lang w:val="lt-LT"/>
        </w:rPr>
        <w:t>6</w:t>
      </w:r>
      <w:r w:rsidRPr="00C518F4">
        <w:rPr>
          <w:rFonts w:ascii="Times New Roman" w:hAnsi="Times New Roman" w:cs="Times New Roman"/>
          <w:sz w:val="24"/>
          <w:szCs w:val="24"/>
          <w:lang w:val="lt-LT"/>
        </w:rPr>
        <w:t xml:space="preserve">. </w:t>
      </w:r>
      <w:r>
        <w:rPr>
          <w:rFonts w:ascii="Times New Roman" w:hAnsi="Times New Roman" w:cs="Times New Roman"/>
          <w:sz w:val="24"/>
          <w:szCs w:val="24"/>
          <w:lang w:val="lt-LT"/>
        </w:rPr>
        <w:t>j</w:t>
      </w:r>
      <w:r w:rsidRPr="00C518F4">
        <w:rPr>
          <w:rFonts w:ascii="Times New Roman" w:hAnsi="Times New Roman" w:cs="Times New Roman"/>
          <w:sz w:val="24"/>
          <w:szCs w:val="24"/>
          <w:lang w:val="lt-LT"/>
        </w:rPr>
        <w:t xml:space="preserve">eigu priežiūros ar kito organo, sudaryto pagal </w:t>
      </w:r>
      <w:r>
        <w:rPr>
          <w:rFonts w:ascii="Times New Roman" w:hAnsi="Times New Roman" w:cs="Times New Roman"/>
          <w:sz w:val="24"/>
          <w:szCs w:val="24"/>
          <w:lang w:val="lt-LT"/>
        </w:rPr>
        <w:t>D</w:t>
      </w:r>
      <w:r w:rsidRPr="00C518F4">
        <w:rPr>
          <w:rFonts w:ascii="Times New Roman" w:hAnsi="Times New Roman" w:cs="Times New Roman"/>
          <w:sz w:val="24"/>
          <w:szCs w:val="24"/>
          <w:lang w:val="lt-LT"/>
        </w:rPr>
        <w:t>arbuotojų dalyvavimo bendrovėje po vienos valstybės ribas peržengiančio ribotos atsakomybės bendrovių pertvarkymo, jungimosi ar skaidymo</w:t>
      </w:r>
      <w:r>
        <w:rPr>
          <w:rFonts w:ascii="Times New Roman" w:hAnsi="Times New Roman" w:cs="Times New Roman"/>
          <w:sz w:val="24"/>
          <w:szCs w:val="24"/>
          <w:lang w:val="lt-LT"/>
        </w:rPr>
        <w:t xml:space="preserve"> įstatymą</w:t>
      </w:r>
      <w:r w:rsidRPr="00C518F4">
        <w:rPr>
          <w:rFonts w:ascii="Times New Roman" w:hAnsi="Times New Roman" w:cs="Times New Roman"/>
          <w:sz w:val="24"/>
          <w:szCs w:val="24"/>
          <w:lang w:val="lt-LT"/>
        </w:rPr>
        <w:t xml:space="preserve">, nario patirtas išlaidas, nurodytas šių Taisyklių </w:t>
      </w:r>
      <w:r w:rsidRPr="00C518F4">
        <w:rPr>
          <w:rFonts w:ascii="Times New Roman" w:hAnsi="Times New Roman" w:cs="Times New Roman"/>
          <w:color w:val="000000"/>
          <w:sz w:val="24"/>
          <w:szCs w:val="24"/>
          <w:lang w:val="lt-LT"/>
        </w:rPr>
        <w:t xml:space="preserve">3.1–3.7 ir 3.9 papunkčiuose </w:t>
      </w:r>
      <w:r w:rsidRPr="00C518F4">
        <w:rPr>
          <w:rFonts w:ascii="Times New Roman" w:hAnsi="Times New Roman" w:cs="Times New Roman"/>
          <w:sz w:val="24"/>
          <w:szCs w:val="24"/>
          <w:lang w:val="lt-LT"/>
        </w:rPr>
        <w:t>ir susijusias su šio nario dalyvavimu minėtų organų posėdžiuose, apmoka Lietuvos vienetas (po vienos valstybės ribas peržengiančio ribotos atsakomybės bendrovių pertvarkymo, jungimosi ar skaidymo veikianti</w:t>
      </w:r>
      <w:r w:rsidRPr="00B234BA">
        <w:rPr>
          <w:rFonts w:ascii="Times New Roman" w:hAnsi="Times New Roman" w:cs="Times New Roman"/>
          <w:sz w:val="24"/>
          <w:szCs w:val="24"/>
          <w:lang w:val="lt-LT"/>
        </w:rPr>
        <w:t xml:space="preserve"> bendrovė), nors šis narys nėra jo darbuotojas, nariui apmokėtos išlaidos atskaitomos iš šio Lietuvos vieneto pajamų.</w:t>
      </w:r>
    </w:p>
    <w:p w14:paraId="57BEDC37"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lastRenderedPageBreak/>
        <w:t>4.8. Apskaičiuojant apmokestinamąjį pelną, iš pajamų neatskaitomos Lietuvos vieneto patirtos išlaidos, skirtos:</w:t>
      </w:r>
    </w:p>
    <w:p w14:paraId="50130EE9"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4.8.1. </w:t>
      </w:r>
      <w:r>
        <w:rPr>
          <w:color w:val="000000"/>
        </w:rPr>
        <w:t>s</w:t>
      </w:r>
      <w:r w:rsidRPr="00C518F4">
        <w:rPr>
          <w:color w:val="000000"/>
        </w:rPr>
        <w:t>pecialiojo derybų komiteto, sudaryto pagal įstatymą „Dėl darbuotojų dalyvavimo priimant sprendimus Europos bendrovėse“, ar specialiojo derybų komiteto, sudaryto pagal įstatymą „Dėl darbuotojų dalyvavimo priimant sprendimus Europos kooperatinėse bendrovėse“,</w:t>
      </w:r>
      <w:r w:rsidRPr="00C518F4">
        <w:rPr>
          <w:bCs/>
          <w:color w:val="000000"/>
        </w:rPr>
        <w:t> </w:t>
      </w:r>
      <w:r w:rsidRPr="00C518F4">
        <w:rPr>
          <w:color w:val="000000"/>
        </w:rPr>
        <w:t>nario patirtoms išlaidoms, nurodytoms šių Taisyklių 3.1–3.7 ir 3.9 papunkčiuose ir susijusioms su šio nario dalyvavimu minėtų specialiųjų derybų komitetų posėdžiuose, apmokėti, jeigu minėtas išlaidas pagal susitarimą apmoka Europos bendrovės ar Europos kooperatinės bendrovės steigime dalyvaujantis kitas vienetas;</w:t>
      </w:r>
    </w:p>
    <w:p w14:paraId="062FCDD3"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4.8.2. Europos bendrovės darbo tarybos ir Europos bendrovės darbo tarybos komiteto, sudarytų pagal įstatymą „Dėl darbuotojų dalyvavimo priimant sprendimus Europos bendrovėse“, ar Europos kooperatinės bendrovės darbo tarybos ir Europos kooperatinės bendrovės darbo tarybos komiteto, sudarytų pagal įstatymą „Dėl darbuotojų dalyvavimo priimant sprendimus Europos kooperatinėse bendrovėse“, nario patirtoms išlaidoms, nurodytoms šių Taisyklių 3.1–3.7 ir 3.9 papunkčiuose ir susijusioms su šio nario dalyvavimu Europos bendrovės darbo tarybos, Europos bendrovės darbo tarybos komiteto, Europos kooperatinės bendrovės darbo tarybos ir Europos kooperatinės bendrovės darbo tarybos komiteto posėdžiuose, apmokėti, jeigu minėtas išlaidas apmoka kitas vienetas (Europos bendrovė, Europos kooperatinė bendrovė);</w:t>
      </w:r>
    </w:p>
    <w:p w14:paraId="72F7CE92"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4.8.3. </w:t>
      </w:r>
      <w:r>
        <w:rPr>
          <w:color w:val="000000"/>
        </w:rPr>
        <w:t>s</w:t>
      </w:r>
      <w:r w:rsidRPr="00C518F4">
        <w:rPr>
          <w:color w:val="000000"/>
        </w:rPr>
        <w:t>pecialiojo derybų komiteto, sudaryto pagal Darbuotojų dalyvavimo bendrovėje po vienos valstybės ribas peržengiančio ribotos atsakomybės bendrovių pertvarkymo, jungimosi ar skaidymo įstatymą, nario patirtoms išlaidoms, nurodytoms šių Taisyklių 3.1–3.7 ir 3.9 papunkčiuose ir susijusioms su šio nario dalyvavimu specialiojo derybų komiteto posėdžiuose, apmokėti, jeigu minėtas išlaidas pagal susitarimą apmoka vienos valstybės ribas peržengiančiame ribotos atsakomybės bendrovių jungimesi ar skaidyme dalyvaujantis kitas vienetas ar išvykimo valstybėje narėje veikiantis pertvarkomas vienetas;</w:t>
      </w:r>
    </w:p>
    <w:p w14:paraId="27BCBCB7" w14:textId="77777777" w:rsidR="00EF2F3D" w:rsidRPr="00C518F4" w:rsidRDefault="00EF2F3D" w:rsidP="00EF2F3D">
      <w:pPr>
        <w:pStyle w:val="tajtip"/>
        <w:shd w:val="clear" w:color="auto" w:fill="FFFFFF"/>
        <w:spacing w:before="0" w:beforeAutospacing="0" w:after="0" w:afterAutospacing="0"/>
        <w:ind w:firstLine="720"/>
        <w:jc w:val="both"/>
        <w:rPr>
          <w:color w:val="000000"/>
        </w:rPr>
      </w:pPr>
      <w:r w:rsidRPr="00C518F4">
        <w:rPr>
          <w:color w:val="000000"/>
        </w:rPr>
        <w:t xml:space="preserve">4.8.4. </w:t>
      </w:r>
      <w:r>
        <w:rPr>
          <w:color w:val="000000"/>
        </w:rPr>
        <w:t>p</w:t>
      </w:r>
      <w:r w:rsidRPr="00C518F4">
        <w:rPr>
          <w:color w:val="000000"/>
        </w:rPr>
        <w:t>riežiūros ar kito organo, sudaryto pagal Darbuotojų dalyvavimo bendrovėje po vienos valstybės ribas peržengiančio ribotos atsakomybės bendrovių pertvarkymo, jungimosi ar skaidymo įstatymą, nario patirtoms išlaidoms, nurodytoms šių Taisyklių 3.1–3.7 ir 3.9 papunkčiuose ir susijusioms su šio nario dalyvavimu minėtų organų posėdžiuose, apmokėti, jeigu minėtas išlaidas apmoka kitas vienetas (po vienos valstybės ribas peržengiančio ribotos atsakomybės bendrovių pertvarkymo, jungimosi ar skaidymo veikianti bendrovė).</w:t>
      </w:r>
    </w:p>
    <w:p w14:paraId="0EA06DC2"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 xml:space="preserve"> </w:t>
      </w:r>
    </w:p>
    <w:p w14:paraId="3B9F6493"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b/>
          <w:lang w:val="lt-LT"/>
        </w:rPr>
      </w:pPr>
      <w:r w:rsidRPr="00B234BA">
        <w:rPr>
          <w:rFonts w:ascii="Times New Roman" w:hAnsi="Times New Roman" w:cs="Times New Roman"/>
          <w:b/>
          <w:lang w:val="lt-LT"/>
        </w:rPr>
        <w:t>5.</w:t>
      </w:r>
      <w:r w:rsidRPr="00B234BA">
        <w:rPr>
          <w:rFonts w:ascii="Times New Roman" w:hAnsi="Times New Roman" w:cs="Times New Roman"/>
          <w:b/>
          <w:lang w:val="lt-LT"/>
        </w:rPr>
        <w:tab/>
        <w:t>Komandiruotės Lietuvos Respublikoje sąnaudos.</w:t>
      </w:r>
    </w:p>
    <w:p w14:paraId="6CE21E9C" w14:textId="77777777" w:rsidR="00EF2F3D" w:rsidRPr="00B234BA" w:rsidRDefault="00EF2F3D" w:rsidP="00EF2F3D">
      <w:pPr>
        <w:pStyle w:val="Pagrindiniotekstotrauka3"/>
        <w:tabs>
          <w:tab w:val="left" w:pos="720"/>
          <w:tab w:val="left" w:pos="1077"/>
          <w:tab w:val="left" w:pos="1418"/>
        </w:tabs>
        <w:spacing w:after="0"/>
        <w:ind w:right="-5"/>
        <w:rPr>
          <w:rFonts w:ascii="Times New Roman" w:hAnsi="Times New Roman"/>
        </w:rPr>
      </w:pPr>
      <w:r w:rsidRPr="00B234BA">
        <w:rPr>
          <w:rFonts w:ascii="Times New Roman" w:hAnsi="Times New Roman"/>
        </w:rPr>
        <w:t>5.1.</w:t>
      </w:r>
      <w:r w:rsidRPr="00B234BA">
        <w:rPr>
          <w:rFonts w:ascii="Times New Roman" w:hAnsi="Times New Roman"/>
        </w:rPr>
        <w:tab/>
        <w:t xml:space="preserve">Komandiruočių Lietuvos Respublikos teritorijoje išlaidos priskiriamos ribojamų dydžių leidžiamiems atskaitymams vadovaujantis Lietuvos Respublikos Vyriausybės 2003 m. sausio 28 d. nutarimu Nr. 99 ,,Dėl komandiruočių sąnaudų atskaitymo iš pajamų taisyklių patvirtinimo“ patvirtintų Taisyklių III </w:t>
      </w:r>
      <w:r w:rsidRPr="00EC6055">
        <w:rPr>
          <w:rFonts w:ascii="Times New Roman" w:hAnsi="Times New Roman"/>
        </w:rPr>
        <w:t>skyriaus</w:t>
      </w:r>
      <w:r w:rsidRPr="00B234BA">
        <w:rPr>
          <w:rFonts w:ascii="Times New Roman" w:hAnsi="Times New Roman"/>
        </w:rPr>
        <w:t xml:space="preserve"> Komandiruotės Lietuvos Respublikos teritorijoje nuostatomis.</w:t>
      </w:r>
    </w:p>
    <w:p w14:paraId="39BD4441" w14:textId="77777777" w:rsidR="00EF2F3D" w:rsidRPr="00C518F4" w:rsidRDefault="00EF2F3D" w:rsidP="00EF2F3D">
      <w:pPr>
        <w:pStyle w:val="Pagrindiniotekstotrauka3"/>
        <w:tabs>
          <w:tab w:val="left" w:pos="720"/>
          <w:tab w:val="left" w:pos="1077"/>
          <w:tab w:val="left" w:pos="1418"/>
        </w:tabs>
        <w:ind w:right="-5"/>
        <w:rPr>
          <w:rFonts w:ascii="Times New Roman" w:hAnsi="Times New Roman"/>
          <w:bCs/>
        </w:rPr>
      </w:pPr>
      <w:r w:rsidRPr="00B234BA">
        <w:rPr>
          <w:rFonts w:ascii="Times New Roman" w:hAnsi="Times New Roman"/>
          <w:bCs/>
        </w:rPr>
        <w:t>5.2.</w:t>
      </w:r>
      <w:r w:rsidRPr="00B234BA">
        <w:rPr>
          <w:rFonts w:ascii="Times New Roman" w:hAnsi="Times New Roman"/>
          <w:bCs/>
        </w:rPr>
        <w:tab/>
        <w:t xml:space="preserve">Apskaičiuojant apmokestinamąjį pelną, iš pajamų atskaitomomis komandiruočių sąnaudomis laikomos šios su vieneto darbuotojo, individualios įmonės savininko, ūkinės bendrijos tikrojo nario ar mažosios bendrijos nario komandiruote Lietuvos Respublikos teritorijoje susijusios išlaidos, išskyrus </w:t>
      </w:r>
      <w:r w:rsidRPr="00C518F4">
        <w:rPr>
          <w:rFonts w:ascii="Times New Roman" w:hAnsi="Times New Roman"/>
          <w:bCs/>
        </w:rPr>
        <w:t>Taisyklių 14, 15 ir 16 punktuose nustatytus atvejus (žr. PMĮ 21 str. 3 dalies komentaro 5.5 papunktį):</w:t>
      </w:r>
    </w:p>
    <w:p w14:paraId="2CF03593" w14:textId="77777777" w:rsidR="00EF2F3D" w:rsidRPr="00DB7A45" w:rsidRDefault="00EF2F3D" w:rsidP="00EF2F3D">
      <w:pPr>
        <w:pStyle w:val="Pagrindinistekstas"/>
        <w:tabs>
          <w:tab w:val="left" w:pos="709"/>
          <w:tab w:val="left" w:pos="1077"/>
          <w:tab w:val="left" w:pos="1418"/>
        </w:tabs>
        <w:spacing w:after="0" w:line="240" w:lineRule="auto"/>
        <w:ind w:firstLine="851"/>
        <w:rPr>
          <w:rFonts w:ascii="Times New Roman" w:hAnsi="Times New Roman" w:cs="Times New Roman"/>
          <w:color w:val="000000"/>
          <w:lang w:val="lt-LT"/>
        </w:rPr>
      </w:pPr>
      <w:r w:rsidRPr="00B234BA">
        <w:rPr>
          <w:rFonts w:ascii="Times New Roman" w:hAnsi="Times New Roman" w:cs="Times New Roman"/>
          <w:lang w:val="lt-LT"/>
        </w:rPr>
        <w:t xml:space="preserve">5.2.1. Pagal </w:t>
      </w:r>
      <w:r w:rsidRPr="00DB7A45">
        <w:rPr>
          <w:rFonts w:ascii="Times New Roman" w:hAnsi="Times New Roman" w:cs="Times New Roman"/>
          <w:lang w:val="lt-LT"/>
        </w:rPr>
        <w:t>Taisyklių 12 punkto nuostatas iš pajamų negali būti atskaitomos dienpinigių išlaidos, viršijančios sumą, kuri būtų apskaičiuota kiekvienai komandiruotės dienai taikant Maksimalių dienpinigių dydžių sąraše nustatytus dienpinigių dydžius.</w:t>
      </w:r>
    </w:p>
    <w:p w14:paraId="16441894" w14:textId="77777777" w:rsidR="00EF2F3D" w:rsidRPr="00DB7A45" w:rsidRDefault="00EF2F3D" w:rsidP="00EF2F3D">
      <w:pPr>
        <w:pStyle w:val="prastasiniatinklio"/>
        <w:tabs>
          <w:tab w:val="left" w:pos="709"/>
        </w:tabs>
        <w:spacing w:before="0" w:beforeAutospacing="0" w:after="0" w:afterAutospacing="0"/>
        <w:ind w:firstLine="851"/>
        <w:jc w:val="both"/>
      </w:pPr>
      <w:r w:rsidRPr="00DB7A45">
        <w:t>Jeigu komandiruotė trunka tik vieną dieną, atskaitomi dienpinigiai sudaro ne daugiau kaip</w:t>
      </w:r>
      <w:r w:rsidRPr="00DB7A45">
        <w:rPr>
          <w:strike/>
        </w:rPr>
        <w:t xml:space="preserve"> </w:t>
      </w:r>
      <w:r w:rsidRPr="00C25F16">
        <w:t>15 Eur iki</w:t>
      </w:r>
      <w:r w:rsidRPr="00DB7A45">
        <w:t xml:space="preserve"> 2023-07-31; nuo 2023-08-01 </w:t>
      </w:r>
      <w:r>
        <w:t xml:space="preserve">– </w:t>
      </w:r>
      <w:r w:rsidRPr="00DB7A45">
        <w:t>28 Eur.</w:t>
      </w:r>
    </w:p>
    <w:p w14:paraId="4D6FA6E1" w14:textId="77777777" w:rsidR="00EF2F3D" w:rsidRPr="00B234BA" w:rsidRDefault="00EF2F3D" w:rsidP="00EF2F3D">
      <w:pPr>
        <w:pStyle w:val="HTMLiankstoformatuotas"/>
        <w:tabs>
          <w:tab w:val="left" w:pos="709"/>
        </w:tabs>
        <w:ind w:firstLine="851"/>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lastRenderedPageBreak/>
        <w:t xml:space="preserve">Ribojamų dydžių leidžiamiems atskaitymams priskiriami dienpinigiai apskaičiuojami atsižvelgiant į komandiruotės trukmę. Todėl ir tais atvejais, kai komandiruotės įsakyme nurodoma, kad komandiruotė Lietuvoje trunka, pavyzdžiui 3 dienas, tačiau darbuotojas iš komandiruotės kasdien grįžta (į komandiruotės vietą kiekvieną dieną nuvežamas ir parvežamas įmonės transportu (arba vyksta asmeniniu transportu), tai tokia komandiruotė laikoma 3 dienų komandiruote (dienpinigiai skaičiuojami ir mokami už 3 komandiruotės dienas). </w:t>
      </w:r>
    </w:p>
    <w:p w14:paraId="4F61D9A8" w14:textId="77777777" w:rsidR="00EF2F3D" w:rsidRPr="00F84202" w:rsidRDefault="00EF2F3D" w:rsidP="00EF2F3D">
      <w:pPr>
        <w:pStyle w:val="HTMLiankstoformatuotas"/>
        <w:tabs>
          <w:tab w:val="left" w:pos="709"/>
        </w:tabs>
        <w:ind w:firstLine="851"/>
        <w:jc w:val="both"/>
        <w:rPr>
          <w:rFonts w:ascii="Times New Roman" w:hAnsi="Times New Roman" w:cs="Times New Roman"/>
          <w:sz w:val="24"/>
          <w:szCs w:val="24"/>
          <w:lang w:val="lt-LT"/>
        </w:rPr>
      </w:pPr>
      <w:r w:rsidRPr="00F84202">
        <w:rPr>
          <w:rFonts w:ascii="Times New Roman" w:hAnsi="Times New Roman" w:cs="Times New Roman"/>
          <w:sz w:val="24"/>
          <w:szCs w:val="24"/>
          <w:lang w:val="lt-LT"/>
        </w:rPr>
        <w:t xml:space="preserve">Pavyzdys </w:t>
      </w:r>
    </w:p>
    <w:p w14:paraId="77E7ECA7" w14:textId="77777777" w:rsidR="00EF2F3D" w:rsidRPr="00DB7A45" w:rsidRDefault="00EF2F3D" w:rsidP="00EF2F3D">
      <w:pPr>
        <w:pStyle w:val="Style1"/>
        <w:pBdr>
          <w:top w:val="single" w:sz="4" w:space="1" w:color="auto"/>
          <w:left w:val="single" w:sz="4" w:space="4" w:color="auto"/>
          <w:bottom w:val="single" w:sz="4" w:space="1" w:color="auto"/>
          <w:right w:val="single" w:sz="4" w:space="4" w:color="auto"/>
        </w:pBdr>
        <w:tabs>
          <w:tab w:val="left" w:pos="709"/>
        </w:tabs>
        <w:ind w:firstLine="851"/>
        <w:rPr>
          <w:rFonts w:ascii="Times New Roman" w:hAnsi="Times New Roman"/>
          <w:szCs w:val="24"/>
        </w:rPr>
      </w:pPr>
      <w:r w:rsidRPr="00DB7A45">
        <w:rPr>
          <w:rFonts w:ascii="Times New Roman" w:hAnsi="Times New Roman"/>
          <w:szCs w:val="24"/>
        </w:rPr>
        <w:t xml:space="preserve">Vieneto pavedimu vieneto darbuotojas siunčiamas į komandiruotę Lietuvoje nuo 2023 m.  rugpjūčio 4 d. iki rugpjūčio 7 d. Darbuotojui grįžus iš komandiruotės, rugpjūčio 8 d. jam išmokami dienpinigiai. Vadovaujantis Taisyklių 12 punkto nuostatomis, apskaičiuojant apmokestinamąjį pelną, ribojamų dydžių leidžiamiems atskaitymams priskiriami dienpinigiai už 2023 m. rugpjūčio  4–7 d., apskaičiuoti komandiruotės dienai, taikant  28 Eur. </w:t>
      </w:r>
    </w:p>
    <w:p w14:paraId="176EAEB8" w14:textId="77777777" w:rsidR="00EF2F3D" w:rsidRPr="00B234BA" w:rsidRDefault="00EF2F3D" w:rsidP="00EF2F3D">
      <w:pPr>
        <w:pStyle w:val="Pagrindiniotekstotrauka"/>
        <w:tabs>
          <w:tab w:val="left" w:pos="720"/>
          <w:tab w:val="left" w:pos="1077"/>
          <w:tab w:val="left" w:pos="1418"/>
        </w:tabs>
        <w:spacing w:after="0"/>
        <w:ind w:right="-6"/>
        <w:rPr>
          <w:rFonts w:ascii="Times New Roman" w:hAnsi="Times New Roman" w:cs="Times New Roman"/>
          <w:lang w:val="lt-LT"/>
        </w:rPr>
      </w:pPr>
    </w:p>
    <w:p w14:paraId="0C3179A0" w14:textId="77777777" w:rsidR="00EF2F3D" w:rsidRPr="00DB7A45" w:rsidRDefault="00EF2F3D" w:rsidP="00EF2F3D">
      <w:pPr>
        <w:pStyle w:val="Pagrindiniotekstotrauka3"/>
        <w:tabs>
          <w:tab w:val="left" w:pos="720"/>
          <w:tab w:val="left" w:pos="1077"/>
          <w:tab w:val="left" w:pos="1418"/>
        </w:tabs>
        <w:ind w:right="-6"/>
        <w:rPr>
          <w:rFonts w:ascii="Times New Roman" w:hAnsi="Times New Roman"/>
          <w:bCs/>
        </w:rPr>
      </w:pPr>
      <w:r w:rsidRPr="00B234BA">
        <w:rPr>
          <w:rFonts w:ascii="Times New Roman" w:hAnsi="Times New Roman"/>
          <w:bCs/>
        </w:rPr>
        <w:t>5.2.2.</w:t>
      </w:r>
      <w:r w:rsidRPr="00B234BA">
        <w:rPr>
          <w:rFonts w:ascii="Times New Roman" w:hAnsi="Times New Roman"/>
          <w:bCs/>
        </w:rPr>
        <w:tab/>
        <w:t>gyvenamojo ploto nuomojimo išlaidos (</w:t>
      </w:r>
      <w:r w:rsidRPr="00DB7A45">
        <w:rPr>
          <w:rFonts w:ascii="Times New Roman" w:hAnsi="Times New Roman"/>
          <w:bCs/>
        </w:rPr>
        <w:t>Taisyklių 11.2 p.). Kaip ribojamų dydžių leidžiami atskaitymai gali būti atskaitomos tik faktinės gyvenamojo ploto nuomos išlaidos, pateikus šias išlaidas patvirtinančius dokumentus;</w:t>
      </w:r>
    </w:p>
    <w:p w14:paraId="6113AC1D" w14:textId="77777777" w:rsidR="00EF2F3D" w:rsidRPr="00DB7A45" w:rsidRDefault="00EF2F3D" w:rsidP="00EF2F3D">
      <w:pPr>
        <w:tabs>
          <w:tab w:val="left" w:pos="720"/>
          <w:tab w:val="left" w:pos="1077"/>
          <w:tab w:val="left" w:pos="1418"/>
        </w:tabs>
        <w:ind w:right="-6" w:firstLine="720"/>
        <w:jc w:val="both"/>
        <w:rPr>
          <w:lang w:val="lt-LT"/>
        </w:rPr>
      </w:pPr>
      <w:r w:rsidRPr="00DB7A45">
        <w:rPr>
          <w:lang w:val="lt-LT"/>
        </w:rPr>
        <w:t>5.2.3.</w:t>
      </w:r>
      <w:r w:rsidRPr="00DB7A45">
        <w:rPr>
          <w:lang w:val="lt-LT"/>
        </w:rPr>
        <w:tab/>
        <w:t>kelionės į komandiruotės vietą ir grįžimo į nuolatinio darbo vietą visomis transporto priemonėmis transporto išlaidos</w:t>
      </w:r>
      <w:r w:rsidRPr="00DB7A45">
        <w:rPr>
          <w:color w:val="000000"/>
          <w:shd w:val="clear" w:color="auto" w:fill="FFFFFF"/>
          <w:lang w:val="lt-LT"/>
        </w:rPr>
        <w:t xml:space="preserve"> (išskyrus vieneto ar komandiruojamo asmens transportą, vieneto ar komandiruojamo asmens išsinuomotą arba vienetui ar komandiruojamam asmeniui pagal panaudos sutartį perduotą transportą)</w:t>
      </w:r>
      <w:r w:rsidRPr="00DB7A45">
        <w:rPr>
          <w:lang w:val="lt-LT"/>
        </w:rPr>
        <w:t xml:space="preserve"> (Taisyklių 11.3 p.). Kaip ribojamų dydžių leidžiami atskaitymai gali būti atskaitomos tik faktinės kelionės išlaidos, pateikus šias išlaidas patvirtinančius dokumentus; </w:t>
      </w:r>
    </w:p>
    <w:p w14:paraId="4ABECF31" w14:textId="77777777" w:rsidR="00EF2F3D" w:rsidRPr="00DB7A45" w:rsidRDefault="00EF2F3D" w:rsidP="00EF2F3D">
      <w:pPr>
        <w:tabs>
          <w:tab w:val="left" w:pos="720"/>
          <w:tab w:val="left" w:pos="1077"/>
          <w:tab w:val="left" w:pos="1418"/>
        </w:tabs>
        <w:ind w:right="-6" w:firstLine="720"/>
        <w:jc w:val="both"/>
        <w:rPr>
          <w:lang w:val="lt-LT"/>
        </w:rPr>
      </w:pPr>
      <w:r w:rsidRPr="00B234BA">
        <w:rPr>
          <w:lang w:val="lt-LT"/>
        </w:rPr>
        <w:t>5.2.4.</w:t>
      </w:r>
      <w:r w:rsidRPr="00B234BA">
        <w:rPr>
          <w:lang w:val="lt-LT"/>
        </w:rPr>
        <w:tab/>
        <w:t xml:space="preserve">komandiruotės metu sunaudotų degalų įsigijimo išlaidos, jeigu į komandiruotę važiuojama vieneto transporto priemone, vieneto išnuomota, vienetui pagal panaudos sutartį perduota transporto priemone arba vieneto komandiruotojo asmens transporto priemone. Tačiau degalų įsigijimo išlaidas pripažįstant atskaitomomis iš pajamų komandiruotės sąnaudomis, turi būti atsižvelgiama į komandiruotės metu nuvažiuotų kilometrų skaičių ir komandiruojančiojo vieneto patvirtintas degalų sunaudojimo normas atitinkamai transporto priemonei pagal atitinkamos transporto priemonės gamintojo nurodytus transporto priemonės techninius duomenis (degalų sunaudojimo normas 100 kilometrų) (Taisyklių </w:t>
      </w:r>
      <w:r w:rsidRPr="00DB7A45">
        <w:rPr>
          <w:lang w:val="lt-LT"/>
        </w:rPr>
        <w:t xml:space="preserve">11.4 p.); </w:t>
      </w:r>
    </w:p>
    <w:p w14:paraId="151F71E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5.2.5.</w:t>
      </w:r>
      <w:r w:rsidRPr="00DB7A45">
        <w:rPr>
          <w:rFonts w:ascii="Times New Roman" w:hAnsi="Times New Roman" w:cs="Times New Roman"/>
          <w:lang w:val="lt-LT"/>
        </w:rPr>
        <w:tab/>
        <w:t>ryšių (pašto ir telekomunikacijų) išlaidos (Taisyklių 11.5 p</w:t>
      </w:r>
      <w:r>
        <w:rPr>
          <w:rFonts w:ascii="Times New Roman" w:hAnsi="Times New Roman" w:cs="Times New Roman"/>
          <w:lang w:val="lt-LT"/>
        </w:rPr>
        <w:t>.</w:t>
      </w:r>
      <w:r w:rsidRPr="00DB7A45">
        <w:rPr>
          <w:rFonts w:ascii="Times New Roman" w:hAnsi="Times New Roman" w:cs="Times New Roman"/>
          <w:lang w:val="lt-LT"/>
        </w:rPr>
        <w:t>), išskyrus asmeninio pobūdžio pokalbius;</w:t>
      </w:r>
    </w:p>
    <w:p w14:paraId="7261825B" w14:textId="77777777" w:rsidR="00EF2F3D" w:rsidRPr="00DB7A45" w:rsidRDefault="00EF2F3D" w:rsidP="00EF2F3D">
      <w:pPr>
        <w:tabs>
          <w:tab w:val="left" w:pos="720"/>
          <w:tab w:val="left" w:pos="1077"/>
          <w:tab w:val="left" w:pos="1418"/>
        </w:tabs>
        <w:ind w:right="-5" w:firstLine="720"/>
        <w:jc w:val="both"/>
        <w:rPr>
          <w:lang w:val="lt-LT"/>
        </w:rPr>
      </w:pPr>
      <w:r w:rsidRPr="00DB7A45">
        <w:rPr>
          <w:lang w:val="lt-LT"/>
        </w:rPr>
        <w:t>5.2.6.</w:t>
      </w:r>
      <w:r w:rsidRPr="00DB7A45">
        <w:rPr>
          <w:lang w:val="lt-LT"/>
        </w:rPr>
        <w:tab/>
        <w:t>vykstant į konferenciją, simpoziumą, parodą ar kitą renginį - registravimosi renginyje mokesčio ar bilietų į renginį pirkimo išlaidos. Tačiau jeigu už registravimosi renginyje mokestį ar bilietą į renginį jo dalyviui suteikiamas maitinimas, tai iš pajamų atskaitoma ne daugiau kaip 50 procentų registravimosi renginyje mokesčio ar bilieto į renginį įsigijimo išlaidų, išskyrus tuos atvejus, kai šios maitinimo išlaidos dengiamos dienpinigiais (Taisyklių 11.6 p.).</w:t>
      </w:r>
    </w:p>
    <w:p w14:paraId="21D2DC4A"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DB7A45">
        <w:rPr>
          <w:rFonts w:ascii="Times New Roman" w:hAnsi="Times New Roman" w:cs="Times New Roman"/>
          <w:sz w:val="24"/>
          <w:szCs w:val="24"/>
          <w:lang w:val="lt-LT"/>
        </w:rPr>
        <w:t>5.3. Jeigu komandiruojamam vieneto darbuotojui, individualios įmonės savininkui, ūkinės bendrijos tikrajam nariui ar mažosios bendrijos nariui dienpinigius skiria kitas (-i) vienetas (-ai) ar asmuo (-enys), įskaitant užsienio vienetus ar asmenis, tai vienetas, kurio darbuotojas, individualios įmonės savininkas, ūkinės bendrijos tikrasis narys ar mažosios bendrijos narys komandiruojamas, iš pajamų gali atskaityti tik skirtumą tarp dienpinigių sumos (ji apskaičiuojama už faktiškai komandiruotėje išbūtą laiką pagal Taisyklių 12 punkto nuostatas</w:t>
      </w:r>
      <w:r w:rsidRPr="00B234BA">
        <w:rPr>
          <w:rFonts w:ascii="Times New Roman" w:hAnsi="Times New Roman" w:cs="Times New Roman"/>
          <w:sz w:val="24"/>
          <w:szCs w:val="24"/>
          <w:lang w:val="lt-LT"/>
        </w:rPr>
        <w:t xml:space="preserve"> ir komandiruojamam asmeniui kitų vienetų ar asmenų skirtų dienpinigių sumos).</w:t>
      </w:r>
    </w:p>
    <w:p w14:paraId="3159C6D8" w14:textId="77777777" w:rsidR="00EF2F3D" w:rsidRPr="00B234BA" w:rsidRDefault="00EF2F3D" w:rsidP="00EF2F3D">
      <w:pPr>
        <w:ind w:firstLine="720"/>
        <w:jc w:val="both"/>
        <w:rPr>
          <w:lang w:val="lt-LT"/>
        </w:rPr>
      </w:pPr>
      <w:r w:rsidRPr="00B234BA">
        <w:rPr>
          <w:lang w:val="lt-LT"/>
        </w:rPr>
        <w:lastRenderedPageBreak/>
        <w:t>5.4. Atvejai, kada komandiruočių sąnaudomis laikomos Lietuvos vieneto apmokėtos ir ne jo darbuotojo komandiruotės Lietuvos Respublikos teritorijoje išlaidos:</w:t>
      </w:r>
    </w:p>
    <w:p w14:paraId="5C2E1CA4" w14:textId="77777777" w:rsidR="00EF2F3D" w:rsidRPr="003E1846" w:rsidRDefault="00EF2F3D" w:rsidP="00EF2F3D">
      <w:pPr>
        <w:pStyle w:val="tajtip"/>
        <w:shd w:val="clear" w:color="auto" w:fill="FFFFFF"/>
        <w:spacing w:before="0" w:beforeAutospacing="0" w:after="0" w:afterAutospacing="0"/>
        <w:ind w:firstLine="720"/>
        <w:jc w:val="both"/>
      </w:pPr>
      <w:r w:rsidRPr="00B234BA">
        <w:t xml:space="preserve"> 5.4.1. </w:t>
      </w:r>
      <w:r>
        <w:t>j</w:t>
      </w:r>
      <w:r w:rsidRPr="00B234BA">
        <w:t xml:space="preserve">eigu specialiojo derybų komiteto, sudaryto pagal Lietuvos Respublikos įstatymą „Dėl darbuotojų </w:t>
      </w:r>
      <w:r w:rsidRPr="003E1846">
        <w:t xml:space="preserve">dalyvavimo priimant sprendimus Europos bendrovėse“, nario </w:t>
      </w:r>
      <w:r w:rsidRPr="00DB7A45">
        <w:t xml:space="preserve">patirtas išlaidas, nurodytas Taisyklių </w:t>
      </w:r>
      <w:r w:rsidRPr="00DB7A45">
        <w:rPr>
          <w:color w:val="000000"/>
        </w:rPr>
        <w:t xml:space="preserve">11.1–11.5 papunkčiuose </w:t>
      </w:r>
      <w:r w:rsidRPr="00DB7A45">
        <w:t>ir susijusias su šio nario dalyvavimu minėto specialiojo derybų komiteto posėdžiuose, pagal susitarimą apmoka Europos bendrovės steigime</w:t>
      </w:r>
      <w:r w:rsidRPr="003E1846">
        <w:t xml:space="preserve"> dalyvaujantis Lietuvos vienetas, nors šis narys nėra jo darbuotojas, nariui apmokėtos išlaidos atskaitomos</w:t>
      </w:r>
      <w:r>
        <w:t xml:space="preserve"> iš šio Lietuvos vieneto pajamų;</w:t>
      </w:r>
    </w:p>
    <w:p w14:paraId="700DA70D"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3E1846">
        <w:rPr>
          <w:rFonts w:ascii="Times New Roman" w:hAnsi="Times New Roman" w:cs="Times New Roman"/>
          <w:sz w:val="24"/>
          <w:szCs w:val="24"/>
          <w:lang w:val="lt-LT"/>
        </w:rPr>
        <w:t xml:space="preserve">5.4.2. </w:t>
      </w:r>
      <w:r>
        <w:rPr>
          <w:rFonts w:ascii="Times New Roman" w:hAnsi="Times New Roman" w:cs="Times New Roman"/>
          <w:sz w:val="24"/>
          <w:szCs w:val="24"/>
          <w:lang w:val="lt-LT"/>
        </w:rPr>
        <w:t>j</w:t>
      </w:r>
      <w:r w:rsidRPr="003E1846">
        <w:rPr>
          <w:rFonts w:ascii="Times New Roman" w:hAnsi="Times New Roman" w:cs="Times New Roman"/>
          <w:sz w:val="24"/>
          <w:szCs w:val="24"/>
          <w:lang w:val="lt-LT"/>
        </w:rPr>
        <w:t xml:space="preserve">eigu specialiojo derybų komiteto, sudaryto pagal Lietuvos Respublikos įstatymą „Dėl darbuotojų dalyvavimo priimant sprendimus Europos </w:t>
      </w:r>
      <w:r w:rsidRPr="00DB7A45">
        <w:rPr>
          <w:rFonts w:ascii="Times New Roman" w:hAnsi="Times New Roman" w:cs="Times New Roman"/>
          <w:sz w:val="24"/>
          <w:szCs w:val="24"/>
          <w:lang w:val="lt-LT"/>
        </w:rPr>
        <w:t xml:space="preserve">kooperatinėse bendrovėse“, nario 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 specialiojo derybų komiteto posėdžiuose, pagal susitarimą apmoka Europos kooperatinės bendrovės steigime dalyvaujantis Lietuvos vienetas, nors šis narys nėra jo darbuotojas</w:t>
      </w:r>
      <w:r w:rsidRPr="00B234BA">
        <w:rPr>
          <w:rFonts w:ascii="Times New Roman" w:hAnsi="Times New Roman" w:cs="Times New Roman"/>
          <w:sz w:val="24"/>
          <w:szCs w:val="24"/>
          <w:lang w:val="lt-LT"/>
        </w:rPr>
        <w:t>, nariui apmokėtos išlaidos atskaitomos</w:t>
      </w:r>
      <w:r>
        <w:rPr>
          <w:rFonts w:ascii="Times New Roman" w:hAnsi="Times New Roman" w:cs="Times New Roman"/>
          <w:sz w:val="24"/>
          <w:szCs w:val="24"/>
          <w:lang w:val="lt-LT"/>
        </w:rPr>
        <w:t xml:space="preserve"> iš šio Lietuvos vieneto pajamų;</w:t>
      </w:r>
    </w:p>
    <w:p w14:paraId="56CE9801" w14:textId="77777777" w:rsidR="00EF2F3D" w:rsidRPr="00DB7A45" w:rsidRDefault="00EF2F3D" w:rsidP="00EF2F3D">
      <w:pPr>
        <w:pStyle w:val="Pagrindinistekstas"/>
        <w:tabs>
          <w:tab w:val="left" w:pos="720"/>
          <w:tab w:val="left" w:pos="1077"/>
          <w:tab w:val="left" w:pos="1418"/>
        </w:tabs>
        <w:ind w:firstLine="720"/>
        <w:rPr>
          <w:rFonts w:ascii="Times New Roman" w:hAnsi="Times New Roman" w:cs="Times New Roman"/>
          <w:lang w:val="lt-LT"/>
        </w:rPr>
      </w:pPr>
      <w:r w:rsidRPr="00DB7A45">
        <w:rPr>
          <w:rFonts w:ascii="Times New Roman" w:hAnsi="Times New Roman" w:cs="Times New Roman"/>
          <w:lang w:val="lt-LT"/>
        </w:rPr>
        <w:t xml:space="preserve">5.4.3. </w:t>
      </w:r>
      <w:r>
        <w:rPr>
          <w:rFonts w:ascii="Times New Roman" w:hAnsi="Times New Roman" w:cs="Times New Roman"/>
          <w:lang w:val="lt-LT"/>
        </w:rPr>
        <w:t>j</w:t>
      </w:r>
      <w:r w:rsidRPr="00DB7A45">
        <w:rPr>
          <w:rFonts w:ascii="Times New Roman" w:hAnsi="Times New Roman" w:cs="Times New Roman"/>
          <w:lang w:val="lt-LT"/>
        </w:rPr>
        <w:t>eigu specialiojo derybų komiteto, sudaryto pagal Darbuotojų dalyvavimo bendrovėje po vienos valstybės ribas peržengiančio ribotos atsakomybės bendrovių pertvarkymo, jungimosi ar skaidymo įstatymą, nario patirtas išlaidas, nurodytas šių Taisyklių 11.1–11.5 papunkčiuose ir susijusias su šio nario dalyvavimu specialiojo derybų komiteto posėdžiuose, pagal susitarimą apmoka vienos valstybės ribas peržengiančiame ribotos atsakomybės bendrovių jungimesi ar skaidyme dalyvaujantis Lietuvos vienetas arba vienos valstybės ribas peržengiančiame ribotos atsakomybės bendrovių pertvarkyme dalyvaujantis Lietuvos vienetas, nors šis narys nėra jo darbuotojas, nariui apmokėtos išlaidos atskaitomos</w:t>
      </w:r>
      <w:r>
        <w:rPr>
          <w:rFonts w:ascii="Times New Roman" w:hAnsi="Times New Roman" w:cs="Times New Roman"/>
          <w:lang w:val="lt-LT"/>
        </w:rPr>
        <w:t xml:space="preserve"> iš šio Lietuvos vieneto pajamų;</w:t>
      </w:r>
    </w:p>
    <w:p w14:paraId="4EAA48FC" w14:textId="77777777" w:rsidR="00EF2F3D" w:rsidRPr="00DB7A45"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5.4.</w:t>
      </w:r>
      <w:r>
        <w:rPr>
          <w:rFonts w:ascii="Times New Roman" w:hAnsi="Times New Roman" w:cs="Times New Roman"/>
          <w:sz w:val="24"/>
          <w:szCs w:val="24"/>
          <w:lang w:val="lt-LT"/>
        </w:rPr>
        <w:t>4</w:t>
      </w:r>
      <w:r w:rsidRPr="00B234BA">
        <w:rPr>
          <w:rFonts w:ascii="Times New Roman" w:hAnsi="Times New Roman" w:cs="Times New Roman"/>
          <w:sz w:val="24"/>
          <w:szCs w:val="24"/>
          <w:lang w:val="lt-LT"/>
        </w:rPr>
        <w:t>.</w:t>
      </w:r>
      <w:r>
        <w:rPr>
          <w:rFonts w:ascii="Times New Roman" w:hAnsi="Times New Roman" w:cs="Times New Roman"/>
          <w:sz w:val="24"/>
          <w:szCs w:val="24"/>
          <w:lang w:val="lt-LT"/>
        </w:rPr>
        <w:t xml:space="preserve"> j</w:t>
      </w:r>
      <w:r w:rsidRPr="00B234BA">
        <w:rPr>
          <w:rFonts w:ascii="Times New Roman" w:hAnsi="Times New Roman" w:cs="Times New Roman"/>
          <w:sz w:val="24"/>
          <w:szCs w:val="24"/>
          <w:lang w:val="lt-LT"/>
        </w:rPr>
        <w:t xml:space="preserve">eigu Europos bendrovės darbo tarybos ir Europos bendrovės darbo tarybos komiteto, sudarytų pagal Lietuvos Respublikos įstatymą “Dėl darbuotojų dalyvavimo </w:t>
      </w:r>
      <w:r w:rsidRPr="003E1846">
        <w:rPr>
          <w:rFonts w:ascii="Times New Roman" w:hAnsi="Times New Roman" w:cs="Times New Roman"/>
          <w:sz w:val="24"/>
          <w:szCs w:val="24"/>
          <w:lang w:val="lt-LT"/>
        </w:rPr>
        <w:t xml:space="preserve">priimant sprendimus Europos bendrovėse“, nario </w:t>
      </w:r>
      <w:r w:rsidRPr="00DB7A45">
        <w:rPr>
          <w:rFonts w:ascii="Times New Roman" w:hAnsi="Times New Roman" w:cs="Times New Roman"/>
          <w:sz w:val="24"/>
          <w:szCs w:val="24"/>
          <w:lang w:val="lt-LT"/>
        </w:rPr>
        <w:t xml:space="preserve">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minėtos Europos bendrovės darbo tarybos ir Europos bendrovės darbo tarybos  komiteto  posėdžiuose, apmoka Lietuvos vienetas (Europos bendrovė), nors šis narys nėra jo darbuotojas, nariui apmokėtos išlaidos atskaitomos iš šio Lietuvos vieneto pajamų.</w:t>
      </w:r>
    </w:p>
    <w:p w14:paraId="75BED797"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DB7A45">
        <w:rPr>
          <w:rFonts w:ascii="Times New Roman" w:hAnsi="Times New Roman" w:cs="Times New Roman"/>
          <w:sz w:val="24"/>
          <w:szCs w:val="24"/>
          <w:lang w:val="lt-LT"/>
        </w:rPr>
        <w:t xml:space="preserve">5.4.5. </w:t>
      </w:r>
      <w:r>
        <w:rPr>
          <w:rFonts w:ascii="Times New Roman" w:hAnsi="Times New Roman" w:cs="Times New Roman"/>
          <w:sz w:val="24"/>
          <w:szCs w:val="24"/>
          <w:lang w:val="lt-LT"/>
        </w:rPr>
        <w:t>j</w:t>
      </w:r>
      <w:r w:rsidRPr="00DB7A45">
        <w:rPr>
          <w:rFonts w:ascii="Times New Roman" w:hAnsi="Times New Roman" w:cs="Times New Roman"/>
          <w:sz w:val="24"/>
          <w:szCs w:val="24"/>
          <w:lang w:val="lt-LT"/>
        </w:rPr>
        <w:t xml:space="preserve">eigu Europos kooperatinės bendrovės darbo tarybos ir Europos kooperatinės bendrovės darbo tarybos komiteto, sudarytų pagal Lietuvos Respublikos įstatymą “Dėl darbuotojų dalyvavimo priimant sprendimus Europos kooperatinėse bendrovėse“, nario patirtas išlaidas, nurodytas Taisyklių </w:t>
      </w:r>
      <w:r w:rsidRPr="00DB7A45">
        <w:rPr>
          <w:rFonts w:ascii="Times New Roman" w:hAnsi="Times New Roman" w:cs="Times New Roman"/>
          <w:color w:val="000000"/>
          <w:sz w:val="24"/>
          <w:szCs w:val="24"/>
          <w:lang w:val="lt-LT"/>
        </w:rPr>
        <w:t xml:space="preserve">11.1–11.5 papunkčiuose </w:t>
      </w:r>
      <w:r w:rsidRPr="00DB7A45">
        <w:rPr>
          <w:rFonts w:ascii="Times New Roman" w:hAnsi="Times New Roman" w:cs="Times New Roman"/>
          <w:sz w:val="24"/>
          <w:szCs w:val="24"/>
          <w:lang w:val="lt-LT"/>
        </w:rPr>
        <w:t>ir  susijusias su šio nario dalyvavimu minėtos Europos  kooperatinės bendrovės darbo tarybos ir Europos kooperatinės bendrovės</w:t>
      </w:r>
      <w:r w:rsidRPr="00B234BA">
        <w:rPr>
          <w:rFonts w:ascii="Times New Roman" w:hAnsi="Times New Roman" w:cs="Times New Roman"/>
          <w:sz w:val="24"/>
          <w:szCs w:val="24"/>
          <w:lang w:val="lt-LT"/>
        </w:rPr>
        <w:t xml:space="preserve"> darbo tarybos  komiteto  posėdžiuose, apmoka Lietuvos vienetas (Europos kooperatinė bendrovė), nors šis narys nėra jo darbuotojas, nariui apmokėtos išlaidos atskaitomos</w:t>
      </w:r>
      <w:r>
        <w:rPr>
          <w:rFonts w:ascii="Times New Roman" w:hAnsi="Times New Roman" w:cs="Times New Roman"/>
          <w:sz w:val="24"/>
          <w:szCs w:val="24"/>
          <w:lang w:val="lt-LT"/>
        </w:rPr>
        <w:t xml:space="preserve"> iš šio Lietuvos vieneto pajamų;</w:t>
      </w:r>
    </w:p>
    <w:p w14:paraId="3561B936" w14:textId="77777777" w:rsidR="00EF2F3D" w:rsidRPr="00DB7A45" w:rsidRDefault="00EF2F3D" w:rsidP="00EF2F3D">
      <w:pPr>
        <w:pStyle w:val="tajtip"/>
        <w:shd w:val="clear" w:color="auto" w:fill="FFFFFF"/>
        <w:spacing w:before="0" w:beforeAutospacing="0" w:after="0" w:afterAutospacing="0"/>
        <w:ind w:firstLine="720"/>
        <w:jc w:val="both"/>
        <w:rPr>
          <w:color w:val="000000"/>
        </w:rPr>
      </w:pPr>
      <w:r w:rsidRPr="00DB7A45">
        <w:rPr>
          <w:color w:val="000000"/>
          <w:shd w:val="clear" w:color="auto" w:fill="FFFFFF"/>
        </w:rPr>
        <w:t xml:space="preserve">5.4.6. </w:t>
      </w:r>
      <w:r>
        <w:rPr>
          <w:color w:val="000000"/>
          <w:shd w:val="clear" w:color="auto" w:fill="FFFFFF"/>
        </w:rPr>
        <w:t>j</w:t>
      </w:r>
      <w:r w:rsidRPr="00DB7A45">
        <w:rPr>
          <w:color w:val="000000"/>
          <w:shd w:val="clear" w:color="auto" w:fill="FFFFFF"/>
        </w:rPr>
        <w:t>eigu priežiūros ar kito organo, sudaryto pagal Darbuotojų dalyvavimo bendrovėje po vienos valstybės ribas peržengiančio ribotos atsakomybės bendrovių pertvarkymo, jungimosi ar skaidymo įstatymą, nario patirtas išlaidas, nurodytas šių Taisyklių 11.1–11.5 papunkčiuose ir susijusias su šio nario dalyvavimu minėtų organų posėdžiuose, apmoka Lietuvos vienetas (po vienos valstybės ribas peržengiančio ribotos atsakomybės bendrovių pertvarkymo, jungimosi ar skaidymo veikianti bendrovė), nors šis narys nėra jo darbuotojas, nariui apmokėtos išlaidos atskaitomos iš šio Lietuvos vieneto pajamų.</w:t>
      </w:r>
      <w:r w:rsidRPr="00DB7A45">
        <w:rPr>
          <w:color w:val="000000"/>
        </w:rPr>
        <w:t xml:space="preserve"> </w:t>
      </w:r>
    </w:p>
    <w:p w14:paraId="010B221D"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5.5 Apskaičiuojant apmokestinamąjį pelną, iš pajamų neatskaitomos Lietuvos vieneto patirtos išlaidos, skirtos:</w:t>
      </w:r>
    </w:p>
    <w:p w14:paraId="23286FAE"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5.5.1. </w:t>
      </w:r>
      <w:r>
        <w:rPr>
          <w:color w:val="000000"/>
        </w:rPr>
        <w:t>s</w:t>
      </w:r>
      <w:r w:rsidRPr="00B234BA">
        <w:rPr>
          <w:color w:val="000000"/>
        </w:rPr>
        <w:t xml:space="preserve">pecialiojo derybų komiteto, sudaryto pagal įstatymą „Dėl darbuotojų dalyvavimo priimant sprendimus Europos bendrovėse“, ar specialiojo derybų komiteto, sudaryto pagal įstatymą „Dėl darbuotojų dalyvavimo priimant sprendimus Europos kooperatinėse bendrovėse“, nario </w:t>
      </w:r>
      <w:r w:rsidRPr="00B234BA">
        <w:rPr>
          <w:color w:val="000000"/>
        </w:rPr>
        <w:lastRenderedPageBreak/>
        <w:t>patirtoms išlaidoms, nurodytoms šių Taisyklių 11.1–11.5</w:t>
      </w:r>
      <w:r w:rsidRPr="00B234BA">
        <w:rPr>
          <w:b/>
          <w:bCs/>
          <w:color w:val="000000"/>
        </w:rPr>
        <w:t> </w:t>
      </w:r>
      <w:r w:rsidRPr="00B234BA">
        <w:rPr>
          <w:color w:val="000000"/>
        </w:rPr>
        <w:t>papunkčiuose ir susijusioms su šio nario dalyvavimu minėtų specialiųjų derybų komitetų posėdžiuose, apmokėti, jeigu minėtas išlaidas pagal susitarimą apmoka Europos bendrovės ar Europos kooperatinės bendrovės steigime dalyvaujantis kitas vienetas;</w:t>
      </w:r>
    </w:p>
    <w:p w14:paraId="61512214"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5.5.2. Europos bendrovės darbo tarybos ir Europos bendrovės darbo tarybos komiteto, sudarytų pagal įstatymą „Dėl darbuotojų dalyvavimo priimant sprendimus Europos bendrovėse“, ar Europos kooperatinės bendrovės darbo tarybos ir Europos kooperatinės bendrovės darbo tarybos komiteto, sudarytų pagal įstatymą „Dėl darbuotojų dalyvavimo priimant sprendimus Europos kooperatinėse bendrovėse“, nario patirtoms išlaidoms, nurodytoms šių Taisyklių 11.1–11.5</w:t>
      </w:r>
      <w:r w:rsidRPr="00B234BA">
        <w:rPr>
          <w:b/>
          <w:bCs/>
          <w:color w:val="000000"/>
        </w:rPr>
        <w:t> </w:t>
      </w:r>
      <w:r w:rsidRPr="00B234BA">
        <w:rPr>
          <w:color w:val="000000"/>
        </w:rPr>
        <w:t>papunkčiuose ir susijusioms su šio nario dalyvavimu Europos bendrovės darbo tarybos, Europos bendrovės darbo tarybos komiteto, Europos kooperatinės bendrovės darbo tarybos ir Europos kooperatinės bendrovės darbo tarybos komiteto posėdžiuose, apmokėti, jeigu minėtas išlaidas apmoka kitas vienetas (Europos bendrovė, Europos kooperatinė bendrovė);</w:t>
      </w:r>
    </w:p>
    <w:p w14:paraId="009543A1"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5.5.3. </w:t>
      </w:r>
      <w:r>
        <w:rPr>
          <w:color w:val="000000"/>
        </w:rPr>
        <w:t>s</w:t>
      </w:r>
      <w:r w:rsidRPr="00B234BA">
        <w:rPr>
          <w:color w:val="000000"/>
        </w:rPr>
        <w:t>pecialiojo derybų komiteto, sudaryto pagal Darbuotojų dalyvavimo bendrovėje po vienos valstybės ribas peržengiančio ribotos atsakomybės bendrovių pertvarkymo, jungimosi ar skaidymo įstatymą, nario patirtoms išlaidoms, nurodytoms šių Taisyklių 11.1–11.5</w:t>
      </w:r>
      <w:r w:rsidRPr="00B234BA">
        <w:rPr>
          <w:b/>
          <w:bCs/>
          <w:color w:val="000000"/>
        </w:rPr>
        <w:t> </w:t>
      </w:r>
      <w:r w:rsidRPr="00B234BA">
        <w:rPr>
          <w:color w:val="000000"/>
        </w:rPr>
        <w:t>papunkčiuose ir susijusioms su šio nario dalyvavimu specialiojo derybų komiteto posėdžiuose, apmokėti, jeigu minėtas išlaidas pagal susitarimą apmoka vienos valstybės ribas peržengiančiame ribotos atsakomybės bendrovių jungimesi ar skaidyme dalyvaujantis kitas vienetas ar išvykimo valstybėje narėje veikiantis pertvarkomas vienetas;</w:t>
      </w:r>
    </w:p>
    <w:p w14:paraId="795037EC" w14:textId="77777777" w:rsidR="00EF2F3D" w:rsidRPr="00B234BA" w:rsidRDefault="00EF2F3D" w:rsidP="00EF2F3D">
      <w:pPr>
        <w:pStyle w:val="tajtip"/>
        <w:shd w:val="clear" w:color="auto" w:fill="FFFFFF"/>
        <w:spacing w:before="0" w:beforeAutospacing="0" w:after="0" w:afterAutospacing="0"/>
        <w:ind w:firstLine="720"/>
        <w:jc w:val="both"/>
        <w:rPr>
          <w:color w:val="000000"/>
        </w:rPr>
      </w:pPr>
      <w:r w:rsidRPr="00B234BA">
        <w:rPr>
          <w:color w:val="000000"/>
        </w:rPr>
        <w:t xml:space="preserve">5.5.4. </w:t>
      </w:r>
      <w:r>
        <w:rPr>
          <w:color w:val="000000"/>
        </w:rPr>
        <w:t>p</w:t>
      </w:r>
      <w:r w:rsidRPr="00B234BA">
        <w:rPr>
          <w:color w:val="000000"/>
        </w:rPr>
        <w:t>riežiūros ar kito organo, sudaryto pagal Darbuotojų dalyvavimo bendrovėje po vienos valstybės ribas peržengiančio ribotos atsakomybės bendrovių pertvarkymo, jungimosi ar skaidymo įstatymą, nario patirtoms išlaidoms, nurodytoms šių Taisyklių 11.1–11.5</w:t>
      </w:r>
      <w:r w:rsidRPr="00B234BA">
        <w:rPr>
          <w:b/>
          <w:bCs/>
          <w:color w:val="000000"/>
        </w:rPr>
        <w:t> </w:t>
      </w:r>
      <w:r w:rsidRPr="00B234BA">
        <w:rPr>
          <w:color w:val="000000"/>
        </w:rPr>
        <w:t>papunkčiuose ir susijusioms su šio nario dalyvavimu minėtų organų posėdžiuose, apmokėti, jeigu minėtas išlaidas apmoka kitas vienetas (po vienos valstybės ribas peržengiančio ribotos atsakomybės bendrovių pertvarkymo, jungimosi ar skaidymo veikianti bendrovė).</w:t>
      </w:r>
    </w:p>
    <w:p w14:paraId="157E6108" w14:textId="77777777" w:rsidR="00EF2F3D" w:rsidRDefault="00EF2F3D" w:rsidP="00EF2F3D">
      <w:pPr>
        <w:pStyle w:val="HTMLiankstoformatuotas"/>
        <w:ind w:firstLine="720"/>
        <w:jc w:val="both"/>
        <w:rPr>
          <w:rFonts w:ascii="Times New Roman" w:hAnsi="Times New Roman" w:cs="Times New Roman"/>
          <w:b/>
          <w:sz w:val="24"/>
          <w:szCs w:val="24"/>
          <w:lang w:val="lt-LT"/>
        </w:rPr>
      </w:pPr>
    </w:p>
    <w:p w14:paraId="2C5D3E82" w14:textId="77777777" w:rsidR="00EF2F3D" w:rsidRPr="00B234BA" w:rsidRDefault="00EF2F3D" w:rsidP="00EF2F3D">
      <w:pPr>
        <w:pStyle w:val="HTMLiankstoformatuotas"/>
        <w:ind w:firstLine="720"/>
        <w:jc w:val="both"/>
        <w:rPr>
          <w:rFonts w:ascii="Times New Roman" w:hAnsi="Times New Roman" w:cs="Times New Roman"/>
          <w:b/>
          <w:sz w:val="24"/>
          <w:szCs w:val="24"/>
          <w:lang w:val="lt-LT"/>
        </w:rPr>
      </w:pPr>
      <w:r w:rsidRPr="00B234BA">
        <w:rPr>
          <w:rFonts w:ascii="Times New Roman" w:hAnsi="Times New Roman" w:cs="Times New Roman"/>
          <w:b/>
          <w:sz w:val="24"/>
          <w:szCs w:val="24"/>
          <w:lang w:val="lt-LT"/>
        </w:rPr>
        <w:t>6. Komandiruotės iš užsienio į Lietuvos Respublikos teritoriją sąnaudos.</w:t>
      </w:r>
    </w:p>
    <w:p w14:paraId="1033C976" w14:textId="77777777" w:rsidR="00EF2F3D" w:rsidRPr="00DB7A45" w:rsidRDefault="00EF2F3D" w:rsidP="00EF2F3D">
      <w:pPr>
        <w:tabs>
          <w:tab w:val="left" w:pos="720"/>
          <w:tab w:val="left" w:pos="1077"/>
          <w:tab w:val="left" w:pos="1418"/>
        </w:tabs>
        <w:ind w:right="-5" w:firstLine="720"/>
        <w:jc w:val="both"/>
        <w:rPr>
          <w:color w:val="000000"/>
          <w:lang w:val="lt-LT"/>
        </w:rPr>
      </w:pPr>
      <w:r w:rsidRPr="00B234BA">
        <w:rPr>
          <w:lang w:val="lt-LT"/>
        </w:rPr>
        <w:t xml:space="preserve">6.1. </w:t>
      </w:r>
      <w:r w:rsidRPr="00B234BA">
        <w:rPr>
          <w:color w:val="000000"/>
          <w:lang w:val="lt-LT"/>
        </w:rPr>
        <w:t xml:space="preserve">Lietuvos vieneto darbuotojų, kurių nuolatinė darbo vieta yra užsienio valstybėje, komandiruočių iš užsienio į Lietuvos Respubliką sąnaudos prie ribojamų dydžių leidžiamų atskaitymų priskiriamos vadovaujantis nutarimu patvirtintų Taisyklių IV </w:t>
      </w:r>
      <w:r w:rsidRPr="00DB7A45">
        <w:rPr>
          <w:color w:val="000000"/>
          <w:lang w:val="lt-LT"/>
        </w:rPr>
        <w:t xml:space="preserve">skyriaus Komandiruotės iš užsienio į Lietuvos Respublikos teritoriją nuostatomis. </w:t>
      </w:r>
    </w:p>
    <w:p w14:paraId="2DC46B3E" w14:textId="77777777" w:rsidR="00EF2F3D" w:rsidRPr="00B234BA" w:rsidRDefault="00EF2F3D" w:rsidP="00EF2F3D">
      <w:pPr>
        <w:tabs>
          <w:tab w:val="left" w:pos="720"/>
          <w:tab w:val="left" w:pos="1077"/>
          <w:tab w:val="left" w:pos="1418"/>
        </w:tabs>
        <w:ind w:right="-5" w:firstLine="720"/>
        <w:jc w:val="both"/>
        <w:rPr>
          <w:color w:val="000000"/>
          <w:lang w:val="lt-LT"/>
        </w:rPr>
      </w:pPr>
      <w:r w:rsidRPr="00B234BA">
        <w:rPr>
          <w:color w:val="000000"/>
          <w:lang w:val="lt-LT"/>
        </w:rPr>
        <w:t>6.2. Apskaičiuojant apmokestinamąjį pelną, iš pajamų atskaitomomis komandiruočių sąnaudomis laikomos šios patirtos su šio vieneto darbuotojo, kurio nuolatinė darbo vieta yra užsienio valstybėje,</w:t>
      </w:r>
      <w:r>
        <w:rPr>
          <w:color w:val="000000"/>
          <w:lang w:val="lt-LT"/>
        </w:rPr>
        <w:t xml:space="preserve"> </w:t>
      </w:r>
      <w:r w:rsidRPr="00B234BA">
        <w:rPr>
          <w:color w:val="000000"/>
          <w:lang w:val="lt-LT"/>
        </w:rPr>
        <w:t xml:space="preserve">komandiruote į Lietuvos Respublikos teritoriją susijusios išlaidos: </w:t>
      </w:r>
    </w:p>
    <w:p w14:paraId="6352E5EA" w14:textId="77777777" w:rsidR="00EF2F3D" w:rsidRPr="00B234BA" w:rsidRDefault="00EF2F3D" w:rsidP="00EF2F3D">
      <w:pPr>
        <w:tabs>
          <w:tab w:val="left" w:pos="720"/>
          <w:tab w:val="left" w:pos="1077"/>
          <w:tab w:val="left" w:pos="1418"/>
        </w:tabs>
        <w:ind w:right="-5" w:firstLine="720"/>
        <w:jc w:val="both"/>
        <w:rPr>
          <w:color w:val="000000"/>
          <w:lang w:val="lt-LT"/>
        </w:rPr>
      </w:pPr>
      <w:r w:rsidRPr="00B234BA">
        <w:rPr>
          <w:color w:val="000000"/>
          <w:lang w:val="lt-LT"/>
        </w:rPr>
        <w:t xml:space="preserve">6.2.1. dienpinigių išlaidos (Taisyklių </w:t>
      </w:r>
      <w:r w:rsidRPr="00DB7A45">
        <w:rPr>
          <w:color w:val="000000"/>
          <w:lang w:val="lt-LT"/>
        </w:rPr>
        <w:t>20 punktas). Iš pajamų negali būti atskaitomos dienpinigių išlaidos, viršijančios sumą, kuri būtų apskaičiuota už faktiškai išbūtą Lietuvos Respublikos teritorijoje laiką (įskaitant išvykimo į Lietuvos Respubliką ir parvykimo iš jos dienas), taikant tos užsienio valstybės, kurioje yra darbuotojo ar nario nuolatinė</w:t>
      </w:r>
      <w:r w:rsidRPr="00B234BA">
        <w:rPr>
          <w:color w:val="000000"/>
          <w:lang w:val="lt-LT"/>
        </w:rPr>
        <w:t xml:space="preserve"> darbo vieta, vykstantiesiems į Lietuvos Respublikos teritoriją nustatytas dienpinigių ar jiems analogiškų sumų normas. Vienetas turi turėti laisvos formos dokumentą, kuriame pagal atitinkamos užsienio valstybės teisės aktus detaliai apskaičiuota priklau</w:t>
      </w:r>
      <w:r>
        <w:rPr>
          <w:color w:val="000000"/>
          <w:lang w:val="lt-LT"/>
        </w:rPr>
        <w:t>santi išmokėti dienpinigių suma.</w:t>
      </w:r>
    </w:p>
    <w:p w14:paraId="7E4B2B47" w14:textId="77777777" w:rsidR="00EF2F3D" w:rsidRPr="00B234BA" w:rsidRDefault="00EF2F3D" w:rsidP="00EF2F3D">
      <w:pPr>
        <w:tabs>
          <w:tab w:val="left" w:pos="720"/>
          <w:tab w:val="left" w:pos="1077"/>
          <w:tab w:val="left" w:pos="1418"/>
        </w:tabs>
        <w:ind w:right="-5" w:firstLine="720"/>
        <w:rPr>
          <w:color w:val="000000"/>
          <w:lang w:val="lt-LT"/>
        </w:rPr>
      </w:pPr>
      <w:r w:rsidRPr="00B234BA">
        <w:rPr>
          <w:color w:val="000000"/>
          <w:lang w:val="lt-LT"/>
        </w:rPr>
        <w:t>Pavyzdys</w:t>
      </w:r>
    </w:p>
    <w:p w14:paraId="24C84ADD"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Lietuvos vieneto A pavedimu jo darbuotojas, kurio nuolatinė darbo vieta yra Rygoje, siunčiamas 2 dienoms atlikti tarnybinį pavedimą į Vilnių. Pagal Taisyklių </w:t>
      </w:r>
      <w:r w:rsidRPr="00DB7A45">
        <w:rPr>
          <w:rFonts w:ascii="Times New Roman" w:hAnsi="Times New Roman"/>
          <w:bCs/>
        </w:rPr>
        <w:t>20 p</w:t>
      </w:r>
      <w:r w:rsidRPr="00B234BA">
        <w:rPr>
          <w:rFonts w:ascii="Times New Roman" w:hAnsi="Times New Roman"/>
          <w:bCs/>
        </w:rPr>
        <w:t xml:space="preserve">unkto nuostatas vieneto A ribojamų dydžių leidžiamiems atskaitymams gali būti priskiriamos darbuotojui už 2 komandiruotės </w:t>
      </w:r>
      <w:r w:rsidRPr="00B234BA">
        <w:rPr>
          <w:rFonts w:ascii="Times New Roman" w:hAnsi="Times New Roman"/>
          <w:bCs/>
        </w:rPr>
        <w:lastRenderedPageBreak/>
        <w:t xml:space="preserve">Vilniuje dienas išmokėta dienpinigių suma, apskaičiuota, taikant Latvijos Respublikos, vykstantiesiems į Lietuvos Respublikos teritoriją nustatytas dienpinigių ar jiems analogiškų sumų normas. </w:t>
      </w:r>
    </w:p>
    <w:p w14:paraId="32ECD4BB"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Vienetas A turi turėti laisvos formos dokumentą, kuriame pagal Latvijos Respublikos teisės aktus detaliai apskaičiuota priklausanti išmokėti dienpinigių suma. </w:t>
      </w:r>
    </w:p>
    <w:p w14:paraId="42A9D89C" w14:textId="77777777" w:rsidR="00EF2F3D" w:rsidRPr="00B234BA" w:rsidRDefault="00EF2F3D" w:rsidP="00EF2F3D">
      <w:pPr>
        <w:tabs>
          <w:tab w:val="left" w:pos="720"/>
          <w:tab w:val="left" w:pos="1077"/>
          <w:tab w:val="left" w:pos="1418"/>
        </w:tabs>
        <w:ind w:right="-5" w:firstLine="720"/>
        <w:jc w:val="both"/>
        <w:rPr>
          <w:lang w:val="lt-LT"/>
        </w:rPr>
      </w:pPr>
      <w:r w:rsidRPr="00B234BA">
        <w:rPr>
          <w:lang w:val="lt-LT"/>
        </w:rPr>
        <w:t>Dienpinigių išmokos skiriamos padengti padidėjusias darbuotojo išlaidas,  susidarančias dėl jo išvykimo iš nuolatines darbo vietos, nes tam tikrą laiką jis praleidžia ne darbo vietoje ir ne namuose. Todėl pagal Taisyklių nuostatas komandiruočių metu patirtos maitinimo išlaidos nepriskiriamos komandiruočių sąnaudoms. Pagal kai kurių užsienio valstybių teisės aktus nėra nustatytų analogiškų kaip pagal Lietuvos teisės aktus dienpinigių normų, tačiau komandiruotiems darbuotojams kompensuojamos faktiškai patirtos maitinimosi išlaidos (jų dalis) arba skiriami normuoti pinigai maitinimuisi (pavyzdžiui, pagal nustatytą vienos dienos maitinimosi išlaidų normą). Tokiais atvejais faktiškai patirtos maitinimosi išlaidos (jų dalis) arba normuoti maistpinigiai gali būti laikomi išlaidomis, analogiškomis dienpinigiams, ir pripaž</w:t>
      </w:r>
      <w:r>
        <w:rPr>
          <w:lang w:val="lt-LT"/>
        </w:rPr>
        <w:t>įstami komandiruočių sąnaudomis;</w:t>
      </w:r>
      <w:r w:rsidRPr="00B234BA">
        <w:rPr>
          <w:lang w:val="lt-LT"/>
        </w:rPr>
        <w:t xml:space="preserve">  </w:t>
      </w:r>
    </w:p>
    <w:p w14:paraId="08E7A7E0" w14:textId="77777777" w:rsidR="00EF2F3D" w:rsidRPr="00B234BA" w:rsidRDefault="00EF2F3D" w:rsidP="00EF2F3D">
      <w:pPr>
        <w:ind w:firstLine="720"/>
        <w:rPr>
          <w:lang w:val="lt-LT"/>
        </w:rPr>
      </w:pPr>
      <w:r w:rsidRPr="00B234BA">
        <w:rPr>
          <w:lang w:val="lt-LT"/>
        </w:rPr>
        <w:t>Pavyzdys</w:t>
      </w:r>
    </w:p>
    <w:p w14:paraId="3A1FEFA0"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Įmonės direktorius yra užsienio valstybės gyventojas. Pagal darbo sutartį su įmone jo nuolatinė darbo vieta yra tos užsienio valstybės X mieste (nuotolinis darbas). Įmonės vadovas kartais atvyksta į Lietuvą, gyvena viešbutyje, ten maitinasi, pateikia įmonei viešbučio sąskaitą už apgyvendinimą ir už naudojimąsi mini baru (sunaudotus maisto produktus ir gėrimus). Taip pat jis maitinasi ir kitose Lietuvos vietose ir įmonei pateikia kavinių, restoranų kasos aparato kvitus. Pagal užsienio valstybės teisės aktus komandiruočių dienpinigiai nenustatomi, tačiau kompensuojamos komandiruotės metu faktiškai patiriamos maitinimosi išlaidos kavinėse, restoranuose, taip pat ir išlaidos mini barui (įtrauktos į viešbučio sąskaitą). </w:t>
      </w:r>
    </w:p>
    <w:p w14:paraId="7638B041"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Įprastinės maitinimosi išlaidos pagal pateiktus juridinę galią turinčius dokumentus gali būti prilyginamos dienpinigiams ir laikomos komandiruočių sąnaudomis. Tačiau, atsižvelgiant į tai, kad išlaidos alkoholiniams gėrimams pagal PMĮ 17 straipsnį nėra įprastinės ir būtinos įmonės išlaidos (išskyrus alkoholį reprezentacinėms reikmėms), todėl įmonės vadovo patirtos išlaidos alkoholiniams gėrimams komandiruočių sąnaudoms nepriskiriamos.</w:t>
      </w:r>
    </w:p>
    <w:p w14:paraId="77CE935D" w14:textId="77777777" w:rsidR="00EF2F3D" w:rsidRPr="00B234BA" w:rsidRDefault="00EF2F3D" w:rsidP="00EF2F3D">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bCs/>
        </w:rPr>
      </w:pPr>
      <w:r w:rsidRPr="00B234BA">
        <w:rPr>
          <w:rFonts w:ascii="Times New Roman" w:hAnsi="Times New Roman"/>
          <w:bCs/>
        </w:rPr>
        <w:t xml:space="preserve">Pažymėtina, kad įprastinėms maitinimosi išlaidoms taip pat nepriskiriamos verslo pietų išlaidos. </w:t>
      </w:r>
    </w:p>
    <w:p w14:paraId="4AF84A66"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6.2.2. gyvenamojo ploto nuomos išlaidos (Taisyklių </w:t>
      </w:r>
      <w:r w:rsidRPr="00DB7A45">
        <w:rPr>
          <w:rFonts w:ascii="Times New Roman" w:hAnsi="Times New Roman" w:cs="Times New Roman"/>
          <w:lang w:val="lt-LT"/>
        </w:rPr>
        <w:t>17.2 p.). Gyvenamojo ploto nuomos išlaidos atlyginamos pagal faktines išlaidas ir priskiriamos ribojamų dydžių leidžiamiems atskaitymams. Išlaidos, nesusijusios su gyvenamojo ploto nuoma, tačiau įtrauktos į apgyvendinimo paslaugas teikiančių vienetų ar asmenų išrašytus apskaitos dokumentus (maitinimo išlaidos, neįskaitytos į apgyvendinimo kainą, ir kitos asmeninės paslaugos), negali būti atskaitomos iš pajamų, išskyrus atvejus, kai šios maitinimo išlaidos dengiamos dienpinigiais (Taisyklių 22 p.);</w:t>
      </w:r>
      <w:r w:rsidRPr="00B234BA">
        <w:rPr>
          <w:rFonts w:ascii="Times New Roman" w:hAnsi="Times New Roman" w:cs="Times New Roman"/>
          <w:lang w:val="lt-LT"/>
        </w:rPr>
        <w:t xml:space="preserve"> </w:t>
      </w:r>
    </w:p>
    <w:p w14:paraId="324B0F63"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6.2.3. kelionės į Lietuvos Respublikos teritoriją ir jos teritorijoje visų rūšių transporto priemonėmis transporto išlaidos, jeigu jos susijusios su komandiruotės tikslais, taip pat nuvykimo visų rūšių transporto priemonėmis užsienio valstybėje, kurioje yra darbuotojo nuolatinė darbo vieta, teritorijoje į oro ar jūrų uostą, geležinkelio ar autobusų stotį ir parvykimo iš jų, išvykimo į komandiruotę ir parvykimo iš jos dienomis išlaidos (Taisyklių  </w:t>
      </w:r>
      <w:r w:rsidRPr="00DB7A45">
        <w:rPr>
          <w:rFonts w:ascii="Times New Roman" w:hAnsi="Times New Roman" w:cs="Times New Roman"/>
          <w:lang w:val="lt-LT"/>
        </w:rPr>
        <w:t>17.3 p</w:t>
      </w:r>
      <w:r>
        <w:rPr>
          <w:rFonts w:ascii="Times New Roman" w:hAnsi="Times New Roman" w:cs="Times New Roman"/>
          <w:lang w:val="lt-LT"/>
        </w:rPr>
        <w:t>.).</w:t>
      </w:r>
    </w:p>
    <w:p w14:paraId="049A04C3" w14:textId="77777777" w:rsidR="00EF2F3D" w:rsidRPr="00B234BA" w:rsidRDefault="00EF2F3D" w:rsidP="00EF2F3D">
      <w:pPr>
        <w:pStyle w:val="Pagrindiniotekstotrauka"/>
        <w:ind w:right="-5" w:firstLine="709"/>
        <w:rPr>
          <w:rFonts w:ascii="Times New Roman" w:hAnsi="Times New Roman" w:cs="Times New Roman"/>
          <w:lang w:val="lt-LT"/>
        </w:rPr>
      </w:pPr>
      <w:r w:rsidRPr="00B234BA">
        <w:rPr>
          <w:rFonts w:ascii="Times New Roman" w:hAnsi="Times New Roman" w:cs="Times New Roman"/>
          <w:bCs/>
          <w:lang w:val="lt-LT"/>
        </w:rPr>
        <w:t xml:space="preserve">Kai komandiruotės kelionės dokumentų data yra ne komandiruotės laikotarpiu, tai šios kelionės išlaidos gali būti priskiriamos leidžiamiems atskaitymams tik tada, jei komandiruotės laikotarpiu nuvykti į ar parvykti  iš Lietuvos Respublikos nebuvo galimybių (pvz., nebuvo skrydžių) arba vienetui </w:t>
      </w:r>
      <w:r w:rsidRPr="00B234BA">
        <w:rPr>
          <w:rFonts w:ascii="Times New Roman" w:hAnsi="Times New Roman" w:cs="Times New Roman"/>
          <w:bCs/>
          <w:lang w:val="lt-LT"/>
        </w:rPr>
        <w:lastRenderedPageBreak/>
        <w:t xml:space="preserve">ekonomiškai naudingiau buvo įsigyti nuvykimo (ar parvykimo) bilietus ne komandiruotės laikotarpiu. Ekonominę naudą galėtų pagrįsti išspausdinti kelionės tvarkaraščiai su kainomis ar kiti laisvos formos dokumentai. Ši nuostata negali būti taikoma, jei šios kelionės dokumentų data yra ne komandiruotės laikotarpiu tik dėl darbuotojo asmeninių tikslų ir naudos (pvz., atostogų).  Pažymėtina, kad </w:t>
      </w:r>
      <w:r w:rsidRPr="00B234BA">
        <w:rPr>
          <w:rFonts w:ascii="Times New Roman" w:hAnsi="Times New Roman" w:cs="Times New Roman"/>
          <w:lang w:val="lt-LT"/>
        </w:rPr>
        <w:t>ribojamų dydžių leidžiamiems atskaitymams gali būti priskiriami komandiruotės dienpinigiai, neviršijantys nustatytų dienpinigių normų už laikotarpį ne ilgesnį nei</w:t>
      </w:r>
      <w:r>
        <w:rPr>
          <w:rFonts w:ascii="Times New Roman" w:hAnsi="Times New Roman" w:cs="Times New Roman"/>
          <w:lang w:val="lt-LT"/>
        </w:rPr>
        <w:t xml:space="preserve"> nurodyta komandiruotės įsakyme;</w:t>
      </w:r>
    </w:p>
    <w:p w14:paraId="23B55E5F" w14:textId="77777777" w:rsidR="00EF2F3D" w:rsidRPr="00B234BA" w:rsidRDefault="00EF2F3D" w:rsidP="00EF2F3D">
      <w:pPr>
        <w:pStyle w:val="Pagrindiniotekstotrauka"/>
        <w:ind w:right="-5" w:firstLine="709"/>
        <w:rPr>
          <w:rFonts w:ascii="Times New Roman" w:hAnsi="Times New Roman" w:cs="Times New Roman"/>
          <w:bCs/>
          <w:lang w:val="lt-LT"/>
        </w:rPr>
      </w:pPr>
      <w:r w:rsidRPr="00B234BA">
        <w:rPr>
          <w:rFonts w:ascii="Times New Roman" w:hAnsi="Times New Roman" w:cs="Times New Roman"/>
          <w:bCs/>
          <w:lang w:val="lt-LT"/>
        </w:rPr>
        <w:t>Pavyzdys</w:t>
      </w:r>
    </w:p>
    <w:p w14:paraId="7FF21875" w14:textId="77777777" w:rsidR="00EF2F3D" w:rsidRPr="00B234BA" w:rsidRDefault="00EF2F3D" w:rsidP="00EF2F3D">
      <w:pPr>
        <w:pStyle w:val="Pagrindiniotekstotrauka"/>
        <w:pBdr>
          <w:top w:val="single" w:sz="4" w:space="1" w:color="auto"/>
          <w:left w:val="single" w:sz="4" w:space="4" w:color="auto"/>
          <w:bottom w:val="single" w:sz="4" w:space="1" w:color="auto"/>
          <w:right w:val="single" w:sz="4" w:space="4" w:color="auto"/>
        </w:pBdr>
        <w:ind w:right="-5" w:firstLine="709"/>
        <w:rPr>
          <w:rFonts w:ascii="Times New Roman" w:hAnsi="Times New Roman" w:cs="Times New Roman"/>
          <w:lang w:val="lt-LT"/>
        </w:rPr>
      </w:pPr>
      <w:r w:rsidRPr="00B234BA">
        <w:rPr>
          <w:rFonts w:ascii="Times New Roman" w:hAnsi="Times New Roman" w:cs="Times New Roman"/>
          <w:bCs/>
          <w:lang w:val="lt-LT"/>
        </w:rPr>
        <w:t>Lietuvos vieneto komandiruotės įsakyme nurodyta, kad vieneto darbuotojas 2023 m. vasario 1-5 dienomis iš nuolatinės darbo vietos Prancūzijoje siunčiamas į Lietuvos Respubliką. Vienetui ekonomiškai naudingiau įsigyti parvykimo skrydžio bilietą ne komandiruotės laikotarpiu, todėl darbuotojas iš Lietuvos Respublikos grįžo 2023 m. vasario 7 d. Kelionės išlaidos ir dienpinigiai už 5 dienas (1-5 d.), neviršijantys nustatytų Prancūzijos dienpinigių normų į Lietuvos Respubliką, priskiriami leidžiamiems atskaitymams.</w:t>
      </w:r>
    </w:p>
    <w:p w14:paraId="05A13851"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6.2.4. dokumentų, susijusių </w:t>
      </w:r>
      <w:r w:rsidRPr="00DB7A45">
        <w:rPr>
          <w:rFonts w:ascii="Times New Roman" w:hAnsi="Times New Roman" w:cs="Times New Roman"/>
          <w:lang w:val="lt-LT"/>
        </w:rPr>
        <w:t>su išvykimu, tvarkymo išlaidos, įskaitant vykstančiųjų į Lietuvos Respublikos teritoriją kelionių draudimą, kurį gali sudaryti draudimas ligos atvejui, draudimas nuo nelaimingų atsitikimų, kelionės bagažo draudimas, civilinės atsakomybės draudimas (Taisyklių 17.4</w:t>
      </w:r>
      <w:r w:rsidRPr="00DB7A45">
        <w:rPr>
          <w:rFonts w:ascii="Times New Roman" w:hAnsi="Times New Roman" w:cs="Times New Roman"/>
          <w:strike/>
          <w:lang w:val="lt-LT"/>
        </w:rPr>
        <w:t xml:space="preserve"> </w:t>
      </w:r>
      <w:r w:rsidRPr="00DB7A45">
        <w:rPr>
          <w:rFonts w:ascii="Times New Roman" w:hAnsi="Times New Roman" w:cs="Times New Roman"/>
          <w:lang w:val="lt-LT"/>
        </w:rPr>
        <w:t>papunktis);</w:t>
      </w:r>
    </w:p>
    <w:p w14:paraId="14FA3FFD"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6.2.5. mokėjimo išlaidos už kelius, taip pat transporto priemonės draudimo ir transporto priemonių savininkų ir valdytojų civilinės atsakomybės draudimo išlaidos (Taisyklių 17.5 papunktis);</w:t>
      </w:r>
    </w:p>
    <w:p w14:paraId="5F75881A"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6.2.6. komandiruotės metu sunaudotų degalų įsigijimo išlaidos, jeigu į komandiruotę važiuojama vieneto transporto priemone, vieneto išsinuomota arba vienetui pagal panaudos sutartį perduota transporto priemone, arba vieneto komandiruoto asmens transporto priemone. Degalų įsigijimo išlaidas pripažįstant atskaitomomis iš pajamų komandiruotės sąnaudomis, atsižvelgiama į komandiruotės metu nuvažiuotų kilometrų skaičių ir komandiruojančio vieneto  patvirtintas degalų sunaudojimo normas atitinkamai transporto priemonei pagal atitinkamos transporto priemonės gamintojo nurodytus transporto priemonės techninius duomenis (degalų sunaudojimo normas 100 kilometrų) (Taisyklių 17.6 papunktis</w:t>
      </w:r>
      <w:r w:rsidRPr="00B234BA">
        <w:rPr>
          <w:rFonts w:ascii="Times New Roman" w:hAnsi="Times New Roman" w:cs="Times New Roman"/>
          <w:b/>
          <w:lang w:val="lt-LT"/>
        </w:rPr>
        <w:t>)</w:t>
      </w:r>
      <w:r w:rsidRPr="00B234BA">
        <w:rPr>
          <w:rFonts w:ascii="Times New Roman" w:hAnsi="Times New Roman" w:cs="Times New Roman"/>
          <w:lang w:val="lt-LT"/>
        </w:rPr>
        <w:t>;</w:t>
      </w:r>
    </w:p>
    <w:p w14:paraId="3AF33A51"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6.2.7. ryšių (pašto ir telekomunikacijų) išlaidos (Taisyklių </w:t>
      </w:r>
      <w:r w:rsidRPr="00DB7A45">
        <w:rPr>
          <w:rFonts w:ascii="Times New Roman" w:hAnsi="Times New Roman" w:cs="Times New Roman"/>
          <w:lang w:val="lt-LT"/>
        </w:rPr>
        <w:t>17.7 papunktis);</w:t>
      </w:r>
    </w:p>
    <w:p w14:paraId="20110C5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6.2.8. vykstant į konferenciją, simpoziumą, parodą ar kitą renginį - registravimosi renginyje mokesčio ar bilietų į renginį pirkimo išlaidos, tačiau jeigu už registravimosi renginyje mokestį ar bilietą į renginį jo dalyviui suteikiamas maitinimas, atskaitoma ne daugiau kaip 50 procentų registravimosi  renginyje mokesčio ar bilieto į renginį įsigijimo išlaidų, išskyrus atvejus, kai šios maitinimo išlaidos dengiamos dienpinigiais (Taisyklių 17.8</w:t>
      </w:r>
      <w:r>
        <w:rPr>
          <w:rFonts w:ascii="Times New Roman" w:hAnsi="Times New Roman" w:cs="Times New Roman"/>
          <w:lang w:val="lt-LT"/>
        </w:rPr>
        <w:t xml:space="preserve"> </w:t>
      </w:r>
      <w:r w:rsidRPr="00DB7A45">
        <w:rPr>
          <w:rFonts w:ascii="Times New Roman" w:hAnsi="Times New Roman" w:cs="Times New Roman"/>
          <w:lang w:val="lt-LT"/>
        </w:rPr>
        <w:t>papunktis);</w:t>
      </w:r>
    </w:p>
    <w:p w14:paraId="49135A6B"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6.2.9. valiutos keitimo kredito įstaigoje išlaidos ar jų dalis, kai ši valiuta ar jos dalis skirta šių Taisyklių 17.1–17.8 papunkčiuose</w:t>
      </w:r>
      <w:r w:rsidRPr="00DB7A45">
        <w:rPr>
          <w:rFonts w:ascii="Times New Roman" w:hAnsi="Times New Roman" w:cs="Times New Roman"/>
          <w:color w:val="000000"/>
          <w:shd w:val="clear" w:color="auto" w:fill="FFFFFF"/>
          <w:lang w:val="lt-LT"/>
        </w:rPr>
        <w:t> </w:t>
      </w:r>
      <w:r w:rsidRPr="00DB7A45">
        <w:rPr>
          <w:rFonts w:ascii="Times New Roman" w:hAnsi="Times New Roman" w:cs="Times New Roman"/>
          <w:lang w:val="lt-LT"/>
        </w:rPr>
        <w:t>nurodytoms išlaidoms apmokėti (Taisyklių 17.9 papunktis).</w:t>
      </w:r>
    </w:p>
    <w:p w14:paraId="06809B88" w14:textId="77777777" w:rsidR="00EF2F3D" w:rsidRPr="00DB7A45"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B234BA">
        <w:rPr>
          <w:rFonts w:ascii="Times New Roman" w:hAnsi="Times New Roman" w:cs="Times New Roman"/>
          <w:lang w:val="lt-LT"/>
        </w:rPr>
        <w:t xml:space="preserve">6.3. Jeigu komandiruojamam į Lietuvos Respublikos teritoriją vieneto darbuotojui dienpinigius skiria kitas (-i) vienetas (-ai) ar asmuo (-enys), įskaitant užsienio vienetus ar asmenis, vienetas, kurio darbuotojas komandiruojamas, iš pajamų gali atskaityti tik skirtumą tarp dienpinigių sumos (ji apskaičiuojama už faktiškai išbūtą Lietuvos Respublikos teritorijoje laiką (žr. PMĮ 21 str. 3 dalies komentaro 6.2.1. </w:t>
      </w:r>
      <w:r w:rsidRPr="00DB7A45">
        <w:rPr>
          <w:rFonts w:ascii="Times New Roman" w:hAnsi="Times New Roman" w:cs="Times New Roman"/>
          <w:lang w:val="lt-LT"/>
        </w:rPr>
        <w:t>papunktį) ir komandiruojamam asmeniui kitų vienetų ar asmenų skirtų dienpinigių sumos.</w:t>
      </w:r>
    </w:p>
    <w:p w14:paraId="0EDB7006" w14:textId="77777777" w:rsidR="00EF2F3D" w:rsidRPr="00B234BA" w:rsidRDefault="00EF2F3D" w:rsidP="00EF2F3D">
      <w:pPr>
        <w:pStyle w:val="Pagrindiniotekstotrauka"/>
        <w:tabs>
          <w:tab w:val="left" w:pos="720"/>
          <w:tab w:val="left" w:pos="1077"/>
          <w:tab w:val="left" w:pos="1418"/>
        </w:tabs>
        <w:ind w:right="-5"/>
        <w:rPr>
          <w:rFonts w:ascii="Times New Roman" w:hAnsi="Times New Roman" w:cs="Times New Roman"/>
          <w:lang w:val="lt-LT"/>
        </w:rPr>
      </w:pPr>
      <w:r w:rsidRPr="00DB7A45">
        <w:rPr>
          <w:rFonts w:ascii="Times New Roman" w:hAnsi="Times New Roman" w:cs="Times New Roman"/>
          <w:lang w:val="lt-LT"/>
        </w:rPr>
        <w:t>6.4. L</w:t>
      </w:r>
      <w:r w:rsidRPr="00B234BA">
        <w:rPr>
          <w:rFonts w:ascii="Times New Roman" w:hAnsi="Times New Roman" w:cs="Times New Roman"/>
          <w:lang w:val="lt-LT"/>
        </w:rPr>
        <w:t xml:space="preserve">ietuvos vieneto darbuotojo komandiruotės iš nuolatinės buveinės, atitinkančios </w:t>
      </w:r>
      <w:r w:rsidRPr="00B234BA">
        <w:rPr>
          <w:rFonts w:ascii="Times New Roman" w:hAnsi="Times New Roman" w:cs="Times New Roman"/>
          <w:bCs/>
          <w:lang w:val="lt-LT"/>
        </w:rPr>
        <w:t xml:space="preserve">PMĮ 4 str. 1 dalyje nustatytus kriterijus, į Lietuvą </w:t>
      </w:r>
      <w:r w:rsidRPr="00B234BA">
        <w:rPr>
          <w:rFonts w:ascii="Times New Roman" w:hAnsi="Times New Roman" w:cs="Times New Roman"/>
          <w:lang w:val="lt-LT"/>
        </w:rPr>
        <w:t xml:space="preserve">sąnaudos, atsižvelgiant į PMĮ </w:t>
      </w:r>
      <w:r w:rsidRPr="00B234BA">
        <w:rPr>
          <w:rFonts w:ascii="Times New Roman" w:hAnsi="Times New Roman" w:cs="Times New Roman"/>
          <w:bCs/>
          <w:lang w:val="lt-LT"/>
        </w:rPr>
        <w:t>31 str. 1 d. 19 punkto</w:t>
      </w:r>
      <w:r w:rsidRPr="00B234BA">
        <w:rPr>
          <w:rFonts w:ascii="Times New Roman" w:hAnsi="Times New Roman" w:cs="Times New Roman"/>
          <w:lang w:val="lt-LT"/>
        </w:rPr>
        <w:t xml:space="preserve"> nuostatas, </w:t>
      </w:r>
      <w:r w:rsidRPr="00B234BA">
        <w:rPr>
          <w:rFonts w:ascii="Times New Roman" w:hAnsi="Times New Roman" w:cs="Times New Roman"/>
          <w:lang w:val="lt-LT"/>
        </w:rPr>
        <w:lastRenderedPageBreak/>
        <w:t xml:space="preserve">apskaičiuojant Lietuvos vieneto apmokestinamąjį pelną, </w:t>
      </w:r>
      <w:r w:rsidRPr="00B234BA">
        <w:rPr>
          <w:rFonts w:ascii="Times New Roman" w:hAnsi="Times New Roman" w:cs="Times New Roman"/>
          <w:bCs/>
          <w:lang w:val="lt-LT"/>
        </w:rPr>
        <w:t>iš pajamų neatskaitomos (žr. 4.2 p</w:t>
      </w:r>
      <w:r>
        <w:rPr>
          <w:rFonts w:ascii="Times New Roman" w:hAnsi="Times New Roman" w:cs="Times New Roman"/>
          <w:bCs/>
          <w:lang w:val="lt-LT"/>
        </w:rPr>
        <w:t>apunkčio</w:t>
      </w:r>
      <w:r w:rsidRPr="00B234BA">
        <w:rPr>
          <w:rFonts w:ascii="Times New Roman" w:hAnsi="Times New Roman" w:cs="Times New Roman"/>
          <w:bCs/>
          <w:lang w:val="lt-LT"/>
        </w:rPr>
        <w:t xml:space="preserve"> komentarą).</w:t>
      </w:r>
    </w:p>
    <w:p w14:paraId="136551D3" w14:textId="77777777" w:rsidR="00EF2F3D" w:rsidRPr="00B234BA" w:rsidRDefault="00EF2F3D" w:rsidP="00EF2F3D">
      <w:pPr>
        <w:ind w:firstLine="720"/>
        <w:jc w:val="both"/>
        <w:rPr>
          <w:lang w:val="lt-LT"/>
        </w:rPr>
      </w:pPr>
      <w:r w:rsidRPr="00B234BA">
        <w:rPr>
          <w:lang w:val="lt-LT"/>
        </w:rPr>
        <w:t>6.</w:t>
      </w:r>
      <w:r w:rsidRPr="008A45B3">
        <w:rPr>
          <w:lang w:val="lt-LT"/>
        </w:rPr>
        <w:t>5.</w:t>
      </w:r>
      <w:r w:rsidRPr="00B234BA">
        <w:rPr>
          <w:lang w:val="lt-LT"/>
        </w:rPr>
        <w:t xml:space="preserve"> Atvejai, kada Lietuvos vieneto apmokėtos komandiruotės iš užsienio į Lietuvos Respublikos teritoriją išlaidos (tarp jų susijusios ne su jo darbuotojo komandiruote) laikomos komandiruočių sąnaudomis:</w:t>
      </w:r>
    </w:p>
    <w:p w14:paraId="3100D59C"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.1. Europos bendrovės ar Europos kooperatinės bendrovės steigime dalyvaujančiam Lietuvos vienetui, pagal susitarimą apmokančiam tam tikras išlaidas, apskaičiuojant apmokestinamąjį pelną, iš pajamų atskaitomomis komandiruočių sąnaudomis laikomos su specialiojo derybų komiteto, sudaryto pagal Lietuvos Respublikos įstatymą „Dėl darbuotojų dalyvavimo priimant sprendimus Europos bendrovėse“, ar specialiojo derybų komiteto, sudaryto pagal Lietuvos Respublikos įstatymą „Dėl darbuotojų dalyvavimo priimant sprendimus Europos kooperatinėse bendrovėse“, nario komandiruote į Lietuvos Respublikos teritoriją dalyvauti minėto specialiojo derybų komiteto posėdžiuose šio vieneto patirtos Taisyklių </w:t>
      </w:r>
      <w:r w:rsidRPr="00B234BA">
        <w:rPr>
          <w:rFonts w:ascii="Times New Roman" w:hAnsi="Times New Roman" w:cs="Times New Roman"/>
          <w:color w:val="000000"/>
          <w:sz w:val="24"/>
          <w:szCs w:val="24"/>
          <w:shd w:val="clear" w:color="auto" w:fill="FFFFFF"/>
          <w:lang w:val="lt-LT"/>
        </w:rPr>
        <w:t xml:space="preserve">17.1–17.7 ir 17.9 papunkčiuose </w:t>
      </w:r>
      <w:r>
        <w:rPr>
          <w:rFonts w:ascii="Times New Roman" w:hAnsi="Times New Roman" w:cs="Times New Roman"/>
          <w:sz w:val="24"/>
          <w:szCs w:val="24"/>
          <w:lang w:val="lt-LT"/>
        </w:rPr>
        <w:t>nurodytos išlaidos;</w:t>
      </w:r>
    </w:p>
    <w:p w14:paraId="080F7FDE" w14:textId="77777777" w:rsidR="00EF2F3D" w:rsidRPr="00B234BA" w:rsidRDefault="00EF2F3D" w:rsidP="00EF2F3D">
      <w:pPr>
        <w:pStyle w:val="HTMLiankstoformatuotas"/>
        <w:ind w:firstLine="720"/>
        <w:jc w:val="both"/>
        <w:rPr>
          <w:rFonts w:ascii="Times New Roman" w:hAnsi="Times New Roman" w:cs="Times New Roman"/>
          <w:color w:val="000000"/>
          <w:sz w:val="24"/>
          <w:szCs w:val="24"/>
          <w:shd w:val="clear" w:color="auto" w:fill="FFFFFF"/>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 xml:space="preserve">5.2 </w:t>
      </w:r>
      <w:r w:rsidRPr="00B234BA">
        <w:rPr>
          <w:rFonts w:ascii="Times New Roman" w:hAnsi="Times New Roman" w:cs="Times New Roman"/>
          <w:color w:val="000000"/>
          <w:sz w:val="24"/>
          <w:szCs w:val="24"/>
          <w:shd w:val="clear" w:color="auto" w:fill="FFFFFF"/>
          <w:lang w:val="lt-LT"/>
        </w:rPr>
        <w:t>Venos valstybės ribas peržengiančiame ribotos atsakomybės bendrovių pertvarkyme, jungimesi ar skaidyme dalyvaujančiam Lietuvos vienetui, pagal susitarimą apmokančiam tam tikras išlaidas, apskaičiuojant apmokestinamąjį pelną, iš pajamų atskaitomomis komandiruočių sąnaudomis laikomos su specialiojo derybų komiteto, sudaryto pagal Darbuotojų dalyvavimo bendrovėje po vienos valstybės ribas peržengiančio ribotos atsakomybės bendrovių pertvarkymo, jungimosi ar skaidymo įstatymą, nario komandiruote į Lietuvos Respublikos teritoriją dalyvauti specialiojo derybų komiteto posėdžiuose susijusios šio vieneto patirtos šių Taisyklių 17.1–17.7 ir 17.9 papunkčiuose nurody</w:t>
      </w:r>
      <w:r>
        <w:rPr>
          <w:rFonts w:ascii="Times New Roman" w:hAnsi="Times New Roman" w:cs="Times New Roman"/>
          <w:color w:val="000000"/>
          <w:sz w:val="24"/>
          <w:szCs w:val="24"/>
          <w:shd w:val="clear" w:color="auto" w:fill="FFFFFF"/>
          <w:lang w:val="lt-LT"/>
        </w:rPr>
        <w:t>tos išlaidos;</w:t>
      </w:r>
    </w:p>
    <w:p w14:paraId="55A911FB"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 xml:space="preserve">5.3 </w:t>
      </w:r>
      <w:r w:rsidRPr="00B234BA">
        <w:rPr>
          <w:rFonts w:ascii="Times New Roman" w:hAnsi="Times New Roman" w:cs="Times New Roman"/>
          <w:sz w:val="24"/>
          <w:szCs w:val="24"/>
          <w:lang w:val="lt-LT"/>
        </w:rPr>
        <w:t xml:space="preserve">Lietuvos vienetui (Europos bendrovei ar Europos kooperatinei bendrovei), apskaičiuojant apmokestinamąjį pelną, iš pajamų atskaitomomis komandiruočių sąnaudomis laikomos su Europos bendrovės darbo tarybos ir Europos bendrovės darbo tarybos komiteto, sudarytų pagal Lietuvos Respublikos įstatymą „Dėl darbuotojų dalyvavimo priimant sprendimus Europos bendrovėse“, ar Europos kooperatinės bendrovės darbo tarybos ir Europos kooperatinės bendrovės darbo tarybos komiteto, sudarytų pagal Lietuvos Respublikos įstatymą „Dėl darbuotojų dalyvavimo priimant sprendimus Europos kooperatinėse bendrovėse“, nario komandiruote į Lietuvos Respublikos teritoriją dalyvauti Europos bendrovės ir  Europos kooperatinės bendrovės darbo tarybos bei Europos bendrovės ir Europos kooperatinės bendrovės darbo tarybos komitetų posėdžiuose šio vieneto patirtos Taisyklių </w:t>
      </w:r>
      <w:r w:rsidRPr="00B234BA">
        <w:rPr>
          <w:rFonts w:ascii="Times New Roman" w:hAnsi="Times New Roman" w:cs="Times New Roman"/>
          <w:color w:val="000000"/>
          <w:sz w:val="24"/>
          <w:szCs w:val="24"/>
          <w:shd w:val="clear" w:color="auto" w:fill="FFFFFF"/>
          <w:lang w:val="lt-LT"/>
        </w:rPr>
        <w:t xml:space="preserve">17.1–17.7 ir 17.9 papunkčiuose </w:t>
      </w:r>
      <w:r>
        <w:rPr>
          <w:rFonts w:ascii="Times New Roman" w:hAnsi="Times New Roman" w:cs="Times New Roman"/>
          <w:sz w:val="24"/>
          <w:szCs w:val="24"/>
          <w:lang w:val="lt-LT"/>
        </w:rPr>
        <w:t>nurodytos išlaidos;</w:t>
      </w:r>
    </w:p>
    <w:p w14:paraId="5223BC13" w14:textId="77777777" w:rsidR="00EF2F3D" w:rsidRPr="00B234BA" w:rsidRDefault="00EF2F3D" w:rsidP="00EF2F3D">
      <w:pPr>
        <w:pStyle w:val="HTMLiankstoformatuotas"/>
        <w:ind w:firstLine="720"/>
        <w:jc w:val="both"/>
        <w:rPr>
          <w:rFonts w:ascii="Times New Roman" w:hAnsi="Times New Roman" w:cs="Times New Roman"/>
          <w:sz w:val="24"/>
          <w:szCs w:val="24"/>
          <w:lang w:val="lt-LT"/>
        </w:rPr>
      </w:pPr>
      <w:r w:rsidRPr="00B234BA">
        <w:rPr>
          <w:rFonts w:ascii="Times New Roman" w:hAnsi="Times New Roman" w:cs="Times New Roman"/>
          <w:sz w:val="24"/>
          <w:szCs w:val="24"/>
          <w:lang w:val="lt-LT"/>
        </w:rPr>
        <w:t>6.</w:t>
      </w:r>
      <w:r>
        <w:rPr>
          <w:rFonts w:ascii="Times New Roman" w:hAnsi="Times New Roman" w:cs="Times New Roman"/>
          <w:sz w:val="24"/>
          <w:szCs w:val="24"/>
          <w:lang w:val="lt-LT"/>
        </w:rPr>
        <w:t>5.</w:t>
      </w:r>
      <w:r w:rsidRPr="00B234BA">
        <w:rPr>
          <w:rFonts w:ascii="Times New Roman" w:hAnsi="Times New Roman" w:cs="Times New Roman"/>
          <w:sz w:val="24"/>
          <w:szCs w:val="24"/>
          <w:lang w:val="lt-LT"/>
        </w:rPr>
        <w:t xml:space="preserve">4. </w:t>
      </w:r>
      <w:r w:rsidRPr="00B234BA">
        <w:rPr>
          <w:rFonts w:ascii="Times New Roman" w:hAnsi="Times New Roman" w:cs="Times New Roman"/>
          <w:color w:val="000000"/>
          <w:sz w:val="24"/>
          <w:szCs w:val="24"/>
          <w:shd w:val="clear" w:color="auto" w:fill="FFFFFF"/>
          <w:lang w:val="lt-LT"/>
        </w:rPr>
        <w:t>Lietuvos vienetui (po vienos valstybės ribas peržengiančio ribotos atsakomybės bendrovių pertvarkymo, jungimosi ar skaidymo veikiančiai bendrovei) apskaičiuojant apmokestinamąjį pelną, iš pajamų atskaitomomis komandiruočių sąnaudomis laikomos su priežiūros ar kito organo, sudaryto pagal Darbuotojų dalyvavimo bendrovėje po vienos valstybės ribas peržengiančio ribotos atsakomybės bendrovių pertvarkymo, jungimosi ar skaidymo įstatymą, nario komandiruote į Lietuvos Respublikos teritoriją dalyvauti minėtų organų posėdžiuose susijusios šio vieneto patirtos šių Taisyklių 17.1–17.7 ir 17.9 papunkčiuose nurodytos išlaidos.</w:t>
      </w:r>
      <w:r w:rsidRPr="00B234BA">
        <w:rPr>
          <w:rFonts w:ascii="Times New Roman" w:hAnsi="Times New Roman" w:cs="Times New Roman"/>
          <w:sz w:val="24"/>
          <w:szCs w:val="24"/>
          <w:lang w:val="lt-LT"/>
        </w:rPr>
        <w:t xml:space="preserve"> </w:t>
      </w:r>
    </w:p>
    <w:p w14:paraId="3FF30257" w14:textId="77777777" w:rsidR="00EF2F3D" w:rsidRPr="00B234BA" w:rsidRDefault="00EF2F3D" w:rsidP="00EF2F3D">
      <w:pPr>
        <w:tabs>
          <w:tab w:val="left" w:pos="720"/>
          <w:tab w:val="left" w:pos="1077"/>
          <w:tab w:val="left" w:pos="1260"/>
        </w:tabs>
        <w:ind w:right="-5" w:firstLine="720"/>
        <w:jc w:val="both"/>
        <w:rPr>
          <w:lang w:val="lt-LT"/>
        </w:rPr>
      </w:pPr>
      <w:r w:rsidRPr="00B234BA">
        <w:rPr>
          <w:lang w:val="lt-LT"/>
        </w:rPr>
        <w:t xml:space="preserve">7. Minėtų Taisyklių </w:t>
      </w:r>
      <w:r w:rsidRPr="00B234BA">
        <w:rPr>
          <w:color w:val="000000"/>
          <w:shd w:val="clear" w:color="auto" w:fill="FFFFFF"/>
          <w:lang w:val="lt-LT"/>
        </w:rPr>
        <w:t>3.2–3.9, 11.2–11.6 ir 17.2–17.9 papunkčiuose</w:t>
      </w:r>
      <w:r w:rsidRPr="00B234BA">
        <w:rPr>
          <w:lang w:val="lt-LT"/>
        </w:rPr>
        <w:t xml:space="preserve"> nurodytas išlaidas, kurių pagrindu pripažįstamos komandiruočių sąnaudos, patvirtinantys dokumentai gali būti išrašyti tiek vieneto, tiek komandiruojamo asmens vardu, tačiau šie dokumentai kiekvienu atveju turi atitikti PMĮ 11 straipsnio </w:t>
      </w:r>
      <w:r w:rsidRPr="007C7EB8">
        <w:rPr>
          <w:lang w:val="lt-LT"/>
        </w:rPr>
        <w:t>4</w:t>
      </w:r>
      <w:r w:rsidRPr="00B234BA">
        <w:rPr>
          <w:lang w:val="lt-LT"/>
        </w:rPr>
        <w:t xml:space="preserve"> ir 6 dalių reikalavimus.</w:t>
      </w:r>
    </w:p>
    <w:p w14:paraId="68AD8A7C" w14:textId="77777777" w:rsidR="00EF2F3D" w:rsidRDefault="00EF2F3D" w:rsidP="00EF2F3D">
      <w:pPr>
        <w:pStyle w:val="Pagrindiniotekstotrauka"/>
        <w:tabs>
          <w:tab w:val="left" w:pos="720"/>
          <w:tab w:val="left" w:pos="1077"/>
          <w:tab w:val="left" w:pos="1260"/>
        </w:tabs>
        <w:ind w:right="-5"/>
        <w:rPr>
          <w:rFonts w:ascii="Times New Roman" w:hAnsi="Times New Roman" w:cs="Times New Roman"/>
          <w:color w:val="000000"/>
          <w:shd w:val="clear" w:color="auto" w:fill="FFFFFF"/>
          <w:lang w:val="lt-LT"/>
        </w:rPr>
      </w:pPr>
      <w:r w:rsidRPr="00B234BA">
        <w:rPr>
          <w:rFonts w:ascii="Times New Roman" w:hAnsi="Times New Roman" w:cs="Times New Roman"/>
          <w:lang w:val="lt-LT"/>
        </w:rPr>
        <w:t xml:space="preserve">8. </w:t>
      </w:r>
      <w:r w:rsidRPr="00DB7A45">
        <w:rPr>
          <w:rFonts w:ascii="Times New Roman" w:hAnsi="Times New Roman" w:cs="Times New Roman"/>
          <w:color w:val="000000"/>
          <w:shd w:val="clear" w:color="auto" w:fill="FFFFFF"/>
          <w:lang w:val="lt-LT"/>
        </w:rPr>
        <w:t xml:space="preserve">Dienpinigių mokėjimo jūreiviams taisyklės, patvirtintos </w:t>
      </w:r>
      <w:r w:rsidRPr="00DB7A45">
        <w:rPr>
          <w:rFonts w:ascii="Times New Roman" w:hAnsi="Times New Roman" w:cs="Times New Roman"/>
          <w:lang w:val="lt-LT"/>
        </w:rPr>
        <w:t xml:space="preserve">Vyriausybės 2003 m. sausio 28 d. </w:t>
      </w:r>
      <w:r w:rsidRPr="00DB7A45">
        <w:rPr>
          <w:rStyle w:val="Hipersaitas"/>
          <w:rFonts w:ascii="Times New Roman" w:hAnsi="Times New Roman" w:cs="Times New Roman"/>
          <w:lang w:val="lt-LT"/>
        </w:rPr>
        <w:t>nutarimu Nr. 99</w:t>
      </w:r>
      <w:r w:rsidRPr="00DB7A45">
        <w:rPr>
          <w:rFonts w:ascii="Times New Roman" w:hAnsi="Times New Roman" w:cs="Times New Roman"/>
          <w:lang w:val="lt-LT"/>
        </w:rPr>
        <w:t xml:space="preserve">, </w:t>
      </w:r>
      <w:r w:rsidRPr="00DB7A45">
        <w:rPr>
          <w:rFonts w:ascii="Times New Roman" w:hAnsi="Times New Roman" w:cs="Times New Roman"/>
          <w:color w:val="000000"/>
          <w:shd w:val="clear" w:color="auto" w:fill="FFFFFF"/>
          <w:lang w:val="lt-LT"/>
        </w:rPr>
        <w:t xml:space="preserve">reglamentuoja dienpinigių mokėjimą Lietuvos Respublikos laivo įgulos jūreiviams. Laivo įgulai, dirbančiai kelių užsienio valstybių uostuose, dienpinigiai apskaičiuojami pagal Maksimalių dienpinigių dydžių sąraše, nustatytus dienpinigių dydžius, atsižvelgiant į laivų </w:t>
      </w:r>
      <w:r w:rsidRPr="00DB7A45">
        <w:rPr>
          <w:rFonts w:ascii="Times New Roman" w:hAnsi="Times New Roman" w:cs="Times New Roman"/>
          <w:color w:val="000000"/>
          <w:shd w:val="clear" w:color="auto" w:fill="FFFFFF"/>
          <w:lang w:val="lt-LT"/>
        </w:rPr>
        <w:lastRenderedPageBreak/>
        <w:t>plaukiojimo regionų valstybėms numatytą vidutinę dienpinigių mokėjimo normą (pagal Taisyklių priedą).</w:t>
      </w:r>
    </w:p>
    <w:p w14:paraId="64A6B0CE" w14:textId="77777777" w:rsidR="00093845" w:rsidRDefault="00EF2F3D" w:rsidP="00EF2F3D">
      <w:pPr>
        <w:pStyle w:val="Pagrindiniotekstotrauka"/>
        <w:tabs>
          <w:tab w:val="left" w:pos="720"/>
          <w:tab w:val="left" w:pos="1077"/>
          <w:tab w:val="left" w:pos="1260"/>
        </w:tabs>
        <w:ind w:right="-5"/>
        <w:rPr>
          <w:rFonts w:ascii="Times New Roman" w:hAnsi="Times New Roman" w:cs="Times New Roman"/>
          <w:lang w:val="lt-LT"/>
        </w:rPr>
      </w:pPr>
      <w:r w:rsidRPr="00B234BA">
        <w:rPr>
          <w:rFonts w:ascii="Times New Roman" w:hAnsi="Times New Roman" w:cs="Times New Roman"/>
          <w:lang w:val="lt-LT"/>
        </w:rPr>
        <w:t xml:space="preserve">9. Vieneto darbuotojui, komandiruojamam atlikti darbo funkcijų, susijusių su laivo eksploatavimu arba priežiūra, </w:t>
      </w:r>
      <w:r w:rsidRPr="007C7EB8">
        <w:rPr>
          <w:rFonts w:ascii="Times New Roman" w:hAnsi="Times New Roman" w:cs="Times New Roman"/>
          <w:lang w:val="lt-LT"/>
        </w:rPr>
        <w:t>plaukiojančiuose ne Lietuvos Respublikos teritorijoje laivuose,</w:t>
      </w:r>
      <w:r w:rsidRPr="00B234BA">
        <w:rPr>
          <w:rFonts w:ascii="Times New Roman" w:hAnsi="Times New Roman" w:cs="Times New Roman"/>
          <w:lang w:val="lt-LT"/>
        </w:rPr>
        <w:t xml:space="preserve"> dienpinigiai apskaičiuojami pagal </w:t>
      </w:r>
      <w:r w:rsidRPr="00DB7A45">
        <w:rPr>
          <w:rFonts w:ascii="Times New Roman" w:hAnsi="Times New Roman" w:cs="Times New Roman"/>
          <w:color w:val="000000"/>
          <w:shd w:val="clear" w:color="auto" w:fill="FFFFFF"/>
          <w:lang w:val="lt-LT"/>
        </w:rPr>
        <w:t xml:space="preserve">Maksimalių </w:t>
      </w:r>
      <w:r w:rsidRPr="00B234BA">
        <w:rPr>
          <w:rFonts w:ascii="Times New Roman" w:hAnsi="Times New Roman" w:cs="Times New Roman"/>
          <w:lang w:val="lt-LT"/>
        </w:rPr>
        <w:t xml:space="preserve">dienpinigių </w:t>
      </w:r>
      <w:r w:rsidRPr="00DB7A45">
        <w:rPr>
          <w:rFonts w:ascii="Times New Roman" w:hAnsi="Times New Roman" w:cs="Times New Roman"/>
          <w:color w:val="000000"/>
          <w:shd w:val="clear" w:color="auto" w:fill="FFFFFF"/>
          <w:lang w:val="lt-LT"/>
        </w:rPr>
        <w:t>dydžių sąraše nustatyt</w:t>
      </w:r>
      <w:r>
        <w:rPr>
          <w:rFonts w:ascii="Times New Roman" w:hAnsi="Times New Roman" w:cs="Times New Roman"/>
          <w:color w:val="000000"/>
          <w:shd w:val="clear" w:color="auto" w:fill="FFFFFF"/>
          <w:lang w:val="lt-LT"/>
        </w:rPr>
        <w:t>a</w:t>
      </w:r>
      <w:r w:rsidRPr="00DB7A45">
        <w:rPr>
          <w:rFonts w:ascii="Times New Roman" w:hAnsi="Times New Roman" w:cs="Times New Roman"/>
          <w:color w:val="000000"/>
          <w:shd w:val="clear" w:color="auto" w:fill="FFFFFF"/>
          <w:lang w:val="lt-LT"/>
        </w:rPr>
        <w:t xml:space="preserve">s </w:t>
      </w:r>
      <w:r w:rsidRPr="00B234BA">
        <w:rPr>
          <w:rFonts w:ascii="Times New Roman" w:hAnsi="Times New Roman" w:cs="Times New Roman"/>
          <w:lang w:val="lt-LT"/>
        </w:rPr>
        <w:t>vykstantiesiems į užsienio komandiruotes normas, atsižvelgiant į laivo plaukiojimo regionų valstybėms numatytą vidutinę dienpinigių mokėjimo normą (pagal Dienpinigių mokėjimo jūreiviams taisyklių priedą).</w:t>
      </w:r>
    </w:p>
    <w:p w14:paraId="69D9AF0B" w14:textId="77777777" w:rsidR="00EF2F3D" w:rsidRDefault="00EF2F3D" w:rsidP="00EF2F3D">
      <w:pPr>
        <w:pStyle w:val="Pagrindiniotekstotrauka"/>
        <w:tabs>
          <w:tab w:val="left" w:pos="720"/>
          <w:tab w:val="left" w:pos="1077"/>
          <w:tab w:val="left" w:pos="1260"/>
        </w:tabs>
        <w:ind w:right="-5"/>
        <w:rPr>
          <w:rFonts w:ascii="Times New Roman" w:hAnsi="Times New Roman" w:cs="Times New Roman"/>
          <w:lang w:val="lt-LT"/>
        </w:rPr>
      </w:pPr>
      <w:r w:rsidRPr="00EF2F3D">
        <w:rPr>
          <w:rFonts w:ascii="Times New Roman" w:hAnsi="Times New Roman" w:cs="Times New Roman"/>
          <w:lang w:val="lt-LT"/>
        </w:rPr>
        <w:t>(PMĮ 21 straipsnio 3 dalies komentaras pakeistas pagal VMI pr</w:t>
      </w:r>
      <w:r w:rsidR="00AE393E">
        <w:rPr>
          <w:rFonts w:ascii="Times New Roman" w:hAnsi="Times New Roman" w:cs="Times New Roman"/>
          <w:lang w:val="lt-LT"/>
        </w:rPr>
        <w:t>ie FM 2023-12-20  raštą Nr. (18.</w:t>
      </w:r>
      <w:r w:rsidRPr="00EF2F3D">
        <w:rPr>
          <w:rFonts w:ascii="Times New Roman" w:hAnsi="Times New Roman" w:cs="Times New Roman"/>
          <w:lang w:val="lt-LT"/>
        </w:rPr>
        <w:t>32-31-1 E) R-4975).</w:t>
      </w:r>
    </w:p>
    <w:p w14:paraId="5F1D1B86" w14:textId="77777777" w:rsidR="00EF2F3D" w:rsidRPr="00EF2F3D" w:rsidRDefault="00EF2F3D" w:rsidP="00EF2F3D">
      <w:pPr>
        <w:pStyle w:val="Pagrindiniotekstotrauka"/>
        <w:tabs>
          <w:tab w:val="left" w:pos="720"/>
          <w:tab w:val="left" w:pos="1077"/>
          <w:tab w:val="left" w:pos="1260"/>
        </w:tabs>
        <w:ind w:right="-5"/>
        <w:rPr>
          <w:rFonts w:ascii="Times New Roman" w:hAnsi="Times New Roman" w:cs="Times New Roman"/>
          <w:lang w:val="lt-LT"/>
        </w:rPr>
      </w:pPr>
    </w:p>
    <w:p w14:paraId="7AB5DE69" w14:textId="77777777" w:rsidR="00093845" w:rsidRDefault="000D779E">
      <w:pPr>
        <w:pStyle w:val="Antrat1"/>
        <w:jc w:val="both"/>
        <w:rPr>
          <w:bCs w:val="0"/>
          <w:szCs w:val="20"/>
          <w:lang w:val="lt-LT"/>
        </w:rPr>
      </w:pPr>
      <w:bookmarkStart w:id="351" w:name="_22_straipsnis._Reklamos"/>
      <w:bookmarkEnd w:id="351"/>
      <w:r>
        <w:rPr>
          <w:bCs w:val="0"/>
          <w:lang w:val="lt-LT"/>
        </w:rPr>
        <w:t xml:space="preserve">22 STRAIPSNIS. Reklamos ir reprezentacijos sąnaudos </w:t>
      </w:r>
    </w:p>
    <w:p w14:paraId="2E225037" w14:textId="77777777" w:rsidR="00093845" w:rsidRDefault="000D779E">
      <w:pPr>
        <w:tabs>
          <w:tab w:val="left" w:pos="720"/>
          <w:tab w:val="left" w:pos="1077"/>
          <w:tab w:val="left" w:pos="1418"/>
        </w:tabs>
        <w:ind w:right="-5" w:firstLine="709"/>
        <w:jc w:val="both"/>
        <w:rPr>
          <w:b/>
          <w:szCs w:val="20"/>
          <w:lang w:val="lt-LT"/>
        </w:rPr>
      </w:pPr>
      <w:r>
        <w:rPr>
          <w:b/>
          <w:lang w:val="lt-LT"/>
        </w:rPr>
        <w:t>1.</w:t>
      </w:r>
      <w:r>
        <w:rPr>
          <w:b/>
          <w:lang w:val="lt-LT"/>
        </w:rPr>
        <w:tab/>
        <w:t xml:space="preserve">Reklamos sąnaudomis pripažįstamos vieneto sąnaudos, skirtos informacijai, susijusiai su vieneto veikla ir skatinančiai įsigyti prekių ar naudotis paslaugomis, bet kokia forma ir bet kuriomis priemonėmis skleisti esamiems ar potencialiems pirkėjams, išskyrus kontroliuojamuosius vienetus, kontroliuojančius asmenis ar vienetų grupės narius, informuoti. </w:t>
      </w:r>
    </w:p>
    <w:p w14:paraId="756C215F"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5049401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Vieneto patirtos reklamos sąnaudos priskiriamos prie ribojamų dydžio leidžiamų atskaitymų. Apskaičiuojant apmokestinamąjį pelną, per mokestinį laikotarpį patirtoms sąnaudoms taikomas ribojimas, nurodytas šios dalies komentaro 2 punkte.</w:t>
      </w:r>
    </w:p>
    <w:p w14:paraId="252C4829" w14:textId="77777777" w:rsidR="00093845" w:rsidRDefault="000D779E">
      <w:pPr>
        <w:tabs>
          <w:tab w:val="left" w:pos="720"/>
          <w:tab w:val="left" w:pos="1077"/>
          <w:tab w:val="left" w:pos="1418"/>
        </w:tabs>
        <w:ind w:right="-5" w:firstLine="709"/>
        <w:jc w:val="both"/>
        <w:rPr>
          <w:szCs w:val="20"/>
          <w:lang w:val="lt-LT"/>
        </w:rPr>
      </w:pPr>
      <w:r>
        <w:rPr>
          <w:lang w:val="lt-LT"/>
        </w:rPr>
        <w:t xml:space="preserve">Reklamos sąnaudoms priskiriamos tokios sąnaudos, kurios nukreiptos į esamų ar potencialių pirkėjų grupę siekiant per žiniasklaidą garsinti vienetą, jo vardą ar jo produktus, taip pat šioms sąnaudoms priskiriamos gaminių su firmos ženklu (marškinėlių, žiebtuvėlių, tušinukų ir kitų panašių ne didelės vertės daiktų), nemokamai atiduodamų produkcijos (prekių) pirkėjams, reklaminių akcijų metu pirkėjams skiriamų prizų įsigijimo išlaidos, reklamuojamų gaminių, kuriais vaišinami pirkėjai, sunaudojimo išlaidos ir pan. </w:t>
      </w:r>
    </w:p>
    <w:p w14:paraId="2ED92144"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Pavyzdys</w:t>
      </w:r>
    </w:p>
    <w:p w14:paraId="5ADDF568" w14:textId="77777777" w:rsidR="00093845" w:rsidRDefault="000D779E">
      <w:pPr>
        <w:pStyle w:val="Style1"/>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Vienetas, užsiimantis prekybine veikla, siekdamas pritraukti daugiau pirkėjų ir didinti savo parduodamų prekių apimtį, suorganizavo reklaminį renginį. Pagal renginio nuostatus pirkėjai, įsigiję prekių daugiau kaip už 100 Lt, dalyvauja konkurse, kuriame bus išrinkti 10 nugalėtojų ir jiems bus įteikti prizai (prekės).</w:t>
      </w:r>
    </w:p>
    <w:p w14:paraId="101C9078" w14:textId="77777777" w:rsidR="00093845" w:rsidRDefault="000D779E">
      <w:pPr>
        <w:pStyle w:val="Style1"/>
        <w:pBdr>
          <w:top w:val="single" w:sz="4" w:space="1" w:color="auto"/>
          <w:left w:val="single" w:sz="4" w:space="4"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Šis reklaminis renginys organizuojamas siekiant uždirbti daugiau pajamų, todėl renginio metu išduodamų prizų vertę ir renginio organizavimo sąnaudas galima priskirti ribojamų dydžių leidžiamiems atskaitymams, jeigu šios reklamos sąnaudos pagrįstos juridinę galią turinčiais dokumentais.</w:t>
      </w:r>
    </w:p>
    <w:p w14:paraId="32DEFE79" w14:textId="77777777" w:rsidR="00093845" w:rsidRDefault="000D779E">
      <w:pPr>
        <w:pStyle w:val="Style1"/>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2.</w:t>
      </w:r>
      <w:r>
        <w:rPr>
          <w:rFonts w:ascii="Times New Roman" w:hAnsi="Times New Roman"/>
        </w:rPr>
        <w:tab/>
        <w:t xml:space="preserve">Vienetas, prekiaujantis buitinėmis prekėmis, suorganizavo reklaminį renginį. Pagal renginio nuostatus pirkėjai, įsigiję dvi vienos rūšies prekes, gauna trečią tokią pat prekę. Šis reklaminis renginys organizuojamas siekiant pritraukti daugiau pirkėjų ir uždirbti daugiau pajamų, todėl renginio metu nemokamai išduodamų prekių vertę galima priskirti ribojamų dydžių leidžiamiems atskaitymams. </w:t>
      </w:r>
    </w:p>
    <w:p w14:paraId="2FD5283F" w14:textId="77777777" w:rsidR="00093845" w:rsidRDefault="000D779E">
      <w:pPr>
        <w:pStyle w:val="Style1"/>
        <w:pBdr>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Vienetas, prekiaujantis kosmetikos prekėmis, iš gamintojo pirkdamas 10 000 indelių kremo ,,Saulutė”, skirto veido odos priežiūrai, nemokamai gavo dar 1000 indelių to pačio kremo, skirto reklamai (t.y. mėginių). Vienetas suorganizavo reklaminį renginį, kurio metu pirkėjai, įsigiję bet kokią </w:t>
      </w:r>
      <w:r>
        <w:rPr>
          <w:rFonts w:ascii="Times New Roman" w:hAnsi="Times New Roman"/>
        </w:rPr>
        <w:lastRenderedPageBreak/>
        <w:t>kosmetikos prekę, nemokamai gauna gamintojo reklamai skirtą indelį (mėginį) veido kremo ,,Saulutė”. Šis reklaminis renginys organizuojamas siekiant pritraukti daugiau pirkėjų ir uždirbti daugiau pajamų, tačiau vienetas, prekiaujantis kosmetikos prekėmis, faktiškai nepatiria išlaidų, nes prekes, skirtas reklamai, įsigijo nemokamai. Vadinasi, šiuo atveju vienetas reklamos sąnaudų, priskiriamų ribojamų dydžių leidžiamiems atskaitymams, nepatirs.</w:t>
      </w:r>
    </w:p>
    <w:p w14:paraId="1F75CCE2"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2.</w:t>
      </w:r>
      <w:r>
        <w:rPr>
          <w:rFonts w:ascii="Times New Roman" w:hAnsi="Times New Roman"/>
        </w:rPr>
        <w:tab/>
        <w:t>Kai vienetai reklamos sąnaudas patiria kontroliuojamiems vienetams, kontroliuojantiems asmenims ar vienetų grupės nariams informuoti, tai tokios reklamos sąnaudos priskiriamos neleidžiamiems atskaitymams.</w:t>
      </w:r>
    </w:p>
    <w:p w14:paraId="0541C55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Kontroliuojamojo vieneto sąvoka apibrėžta PMĮ 2 straipsnio 4 dalyje.</w:t>
      </w:r>
    </w:p>
    <w:p w14:paraId="473C0F71"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w:t>
      </w:r>
      <w:r>
        <w:rPr>
          <w:rFonts w:ascii="Times New Roman" w:hAnsi="Times New Roman"/>
        </w:rPr>
        <w:tab/>
        <w:t xml:space="preserve">Reklamos sąnaudos priskiriamos ribojamų dydžių leidžiamiems atskaitymams tuo atveju, jeigu jos pagrįstos šiais juridinę galią turinčiais dokumentais: </w:t>
      </w:r>
    </w:p>
    <w:p w14:paraId="6629396A" w14:textId="77777777" w:rsidR="00093845" w:rsidRDefault="000D779E">
      <w:pPr>
        <w:tabs>
          <w:tab w:val="left" w:pos="720"/>
          <w:tab w:val="left" w:pos="1077"/>
          <w:tab w:val="left" w:pos="1418"/>
        </w:tabs>
        <w:ind w:right="-5" w:firstLine="709"/>
        <w:jc w:val="both"/>
        <w:rPr>
          <w:szCs w:val="20"/>
          <w:lang w:val="lt-LT"/>
        </w:rPr>
      </w:pPr>
      <w:r>
        <w:rPr>
          <w:lang w:val="lt-LT"/>
        </w:rPr>
        <w:t>3.1.</w:t>
      </w:r>
      <w:r>
        <w:rPr>
          <w:lang w:val="lt-LT"/>
        </w:rPr>
        <w:tab/>
        <w:t xml:space="preserve">laisvos formos dokumentais, turinčiais visus Lietuvos Respublikos </w:t>
      </w:r>
      <w:r w:rsidR="003301BF" w:rsidRPr="009C0219">
        <w:rPr>
          <w:rStyle w:val="Hipersaitas"/>
          <w:rFonts w:ascii="Times New Roman" w:hAnsi="Times New Roman" w:cs="Times New Roman"/>
          <w:b w:val="0"/>
          <w:bCs w:val="0"/>
          <w:kern w:val="0"/>
          <w:lang w:val="lt-LT"/>
        </w:rPr>
        <w:t>buhalterinės apskaitos įstatymo</w:t>
      </w:r>
      <w:r>
        <w:rPr>
          <w:lang w:val="lt-LT"/>
        </w:rPr>
        <w:t xml:space="preserve"> 13 straipsnio 1 dalyje nustatytus privalomuosius rekvizitus, jeigu vienetas reklamai naudoja savo pačio produkciją ar teikiamas paslaugas. Privalomi apskaitos dokumentų rekvizitai yra tokie: </w:t>
      </w:r>
    </w:p>
    <w:p w14:paraId="568C8FC4"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1)</w:t>
      </w:r>
      <w:r>
        <w:rPr>
          <w:lang w:val="lt-LT"/>
        </w:rPr>
        <w:tab/>
        <w:t xml:space="preserve">apskaitos dokumento pavadinimas; </w:t>
      </w:r>
    </w:p>
    <w:p w14:paraId="6974407F"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2)</w:t>
      </w:r>
      <w:r>
        <w:rPr>
          <w:lang w:val="lt-LT"/>
        </w:rPr>
        <w:tab/>
        <w:t xml:space="preserve">ūkio subjekto, surašiusio dokumentą, pavadinimas, kodas; </w:t>
      </w:r>
    </w:p>
    <w:p w14:paraId="2BDB305D"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3)</w:t>
      </w:r>
      <w:r>
        <w:rPr>
          <w:lang w:val="lt-LT"/>
        </w:rPr>
        <w:tab/>
        <w:t xml:space="preserve">apskaitos dokumento data; </w:t>
      </w:r>
    </w:p>
    <w:p w14:paraId="12DB2CAA"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4)</w:t>
      </w:r>
      <w:r>
        <w:rPr>
          <w:lang w:val="lt-LT"/>
        </w:rPr>
        <w:tab/>
        <w:t xml:space="preserve">ūkinės operacijos arba ūkinio įvykio turinys; </w:t>
      </w:r>
    </w:p>
    <w:p w14:paraId="7D4D372B"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5)</w:t>
      </w:r>
      <w:r>
        <w:rPr>
          <w:lang w:val="lt-LT"/>
        </w:rPr>
        <w:tab/>
        <w:t xml:space="preserve">ūkinės operacijos arba ūkinio įvykio rezultatas pinigine ir (arba) kiekybine išraiška. Jeigu ūkinės operacijos arba ūkinio įvykio rezultatas nurodomas kiekybine išraiška, turi būti nurodyti mato vienetai; </w:t>
      </w:r>
    </w:p>
    <w:p w14:paraId="164A5C6B" w14:textId="77777777" w:rsidR="00093845" w:rsidRDefault="000D779E" w:rsidP="00D342FC">
      <w:pPr>
        <w:tabs>
          <w:tab w:val="left" w:pos="720"/>
          <w:tab w:val="left" w:pos="1077"/>
          <w:tab w:val="left" w:pos="1418"/>
        </w:tabs>
        <w:spacing w:after="0"/>
        <w:ind w:right="-6" w:firstLine="709"/>
        <w:jc w:val="both"/>
        <w:rPr>
          <w:szCs w:val="20"/>
          <w:lang w:val="lt-LT"/>
        </w:rPr>
      </w:pPr>
      <w:r>
        <w:rPr>
          <w:lang w:val="lt-LT"/>
        </w:rPr>
        <w:t>6)</w:t>
      </w:r>
      <w:r>
        <w:rPr>
          <w:lang w:val="lt-LT"/>
        </w:rPr>
        <w:tab/>
        <w:t>asmens (-ų), kuris (-ie) turi teisę surašyti ir pasirašyti arba tik pasirašyti apskaitos dokumentus, vardas (-ai) arba pirmoji (-osios) vardo (-ų) raidė (-ės), pavardė (-ės), parašas (-ai) ir pareigos;</w:t>
      </w:r>
    </w:p>
    <w:p w14:paraId="3DC828A6" w14:textId="77777777" w:rsidR="00093845" w:rsidRDefault="000D779E">
      <w:pPr>
        <w:tabs>
          <w:tab w:val="left" w:pos="720"/>
          <w:tab w:val="left" w:pos="1077"/>
          <w:tab w:val="left" w:pos="1418"/>
        </w:tabs>
        <w:ind w:right="-5" w:firstLine="709"/>
        <w:jc w:val="both"/>
        <w:rPr>
          <w:szCs w:val="20"/>
          <w:lang w:val="lt-LT"/>
        </w:rPr>
      </w:pPr>
      <w:r>
        <w:rPr>
          <w:lang w:val="lt-LT"/>
        </w:rPr>
        <w:t>3.2.</w:t>
      </w:r>
      <w:r>
        <w:rPr>
          <w:lang w:val="lt-LT"/>
        </w:rPr>
        <w:tab/>
        <w:t>teisės aktų nustatytais dokumentais, patvirtinančiais prekių arba paslaugų įsigijimą, jeigu prekės arba paslaugos, naudojamos reklamai, įgytos iš kitų ūkio subjektų;</w:t>
      </w:r>
    </w:p>
    <w:p w14:paraId="42CC2F7D" w14:textId="77777777" w:rsidR="00093845" w:rsidRDefault="000D779E">
      <w:pPr>
        <w:tabs>
          <w:tab w:val="left" w:pos="720"/>
          <w:tab w:val="left" w:pos="1077"/>
          <w:tab w:val="left" w:pos="1418"/>
        </w:tabs>
        <w:ind w:right="-5" w:firstLine="709"/>
        <w:jc w:val="both"/>
        <w:rPr>
          <w:szCs w:val="20"/>
          <w:lang w:val="lt-LT"/>
        </w:rPr>
      </w:pPr>
      <w:r>
        <w:rPr>
          <w:lang w:val="lt-LT"/>
        </w:rPr>
        <w:t>3.3.</w:t>
      </w:r>
      <w:r>
        <w:rPr>
          <w:lang w:val="lt-LT"/>
        </w:rPr>
        <w:tab/>
        <w:t xml:space="preserve">kai reklaminių renginių metu įteikiami piniginiai prizai: </w:t>
      </w:r>
    </w:p>
    <w:p w14:paraId="2E469751" w14:textId="77777777" w:rsidR="00093845" w:rsidRDefault="000D779E">
      <w:pPr>
        <w:tabs>
          <w:tab w:val="left" w:pos="720"/>
          <w:tab w:val="left" w:pos="1077"/>
          <w:tab w:val="left" w:pos="1418"/>
        </w:tabs>
        <w:ind w:right="-5" w:firstLine="709"/>
        <w:jc w:val="both"/>
        <w:rPr>
          <w:szCs w:val="20"/>
          <w:lang w:val="lt-LT"/>
        </w:rPr>
      </w:pPr>
      <w:r>
        <w:rPr>
          <w:lang w:val="lt-LT"/>
        </w:rPr>
        <w:t>3.3.1.</w:t>
      </w:r>
      <w:r>
        <w:rPr>
          <w:lang w:val="lt-LT"/>
        </w:rPr>
        <w:tab/>
        <w:t xml:space="preserve">kasos išlaidų orderiu, kai piniginiai prizai išmokami iš kasos; </w:t>
      </w:r>
    </w:p>
    <w:p w14:paraId="6527CE26"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3.3.2.</w:t>
      </w:r>
      <w:r>
        <w:rPr>
          <w:rFonts w:ascii="Times New Roman" w:hAnsi="Times New Roman"/>
          <w:lang w:val="lt-LT"/>
        </w:rPr>
        <w:tab/>
        <w:t xml:space="preserve">pagal atskaitingo asmens pateiktus dokumentus, kai piniginius prizus įteikia vieneto atskaitingas asmuo reklaminio žaidimo metu; </w:t>
      </w:r>
    </w:p>
    <w:p w14:paraId="431C6BD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3.3.3.</w:t>
      </w:r>
      <w:r>
        <w:rPr>
          <w:rFonts w:ascii="Times New Roman" w:hAnsi="Times New Roman"/>
        </w:rPr>
        <w:tab/>
        <w:t>pagal piniginių prizų išmokėjimą patvirtinančius banko dokumentus, kai piniginiai prizai pervedami į laimėjusio asmens sąskaitą iš vieneto sąskaitos banke.</w:t>
      </w:r>
    </w:p>
    <w:p w14:paraId="3461B707"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3.4. 3.2 ir 3.3 papunkčiuose nurodytais atvejais reklamos sąnaudoms, priskiriamoms ribojamų dydžių leidžiamiems atskaitymams, pagrįsti surašomi laisvos formos aktai, patvirtinti vieneto vadovo arba jo įgalioto asmens ir vyriausiojo finansininko arba jo įgalioto asmens, kuriuose nurodoma, kiek ir kokių reklamos sąnaudų patirta, neįskaitant tų atvejų, kai ūkinės operacijos esmė yra aiški iš vienetui pateiktų sąskaitų (pvz., kai sumokama už reklamą spaudoje, televizijoje, radijuje, įsigyjami reklaminiai skydai ir pan.).</w:t>
      </w:r>
    </w:p>
    <w:p w14:paraId="23B7498F" w14:textId="77777777" w:rsidR="00093845" w:rsidRDefault="000D779E">
      <w:pPr>
        <w:tabs>
          <w:tab w:val="left" w:pos="720"/>
          <w:tab w:val="left" w:pos="1077"/>
          <w:tab w:val="left" w:pos="1418"/>
        </w:tabs>
        <w:ind w:right="-5" w:firstLine="709"/>
        <w:jc w:val="both"/>
        <w:rPr>
          <w:szCs w:val="20"/>
          <w:lang w:val="lt-LT"/>
        </w:rPr>
      </w:pPr>
      <w:r>
        <w:rPr>
          <w:lang w:val="lt-LT"/>
        </w:rPr>
        <w:t xml:space="preserve">3.5. 3.3.1 ir 3.3.2 papunkčiuose nurodytais atvejais, kai prizai išmokami grynais pinigais, jų vertė pripažįstama ribojamų dydžių leidžiamais atskaitymais tuo atveju, jeigu išmokėjimas atliekamas vadovaujantis Lietuvos Respublikos Vyriausybės 2000 m. vasario 17 d. </w:t>
      </w:r>
      <w:r w:rsidR="00ED2FA3" w:rsidRPr="009C0219">
        <w:rPr>
          <w:rStyle w:val="Hipersaitas"/>
          <w:rFonts w:ascii="Times New Roman" w:hAnsi="Times New Roman" w:cs="Times New Roman"/>
          <w:b w:val="0"/>
          <w:bCs w:val="0"/>
          <w:kern w:val="0"/>
          <w:lang w:val="lt-LT"/>
        </w:rPr>
        <w:t>nutarimu Nr. 179</w:t>
      </w:r>
      <w:r>
        <w:rPr>
          <w:lang w:val="lt-LT"/>
        </w:rPr>
        <w:t xml:space="preserve"> patvirtintomis Kasos darbo organizavimo ir kasos operacijų atlikimo taisyklėmis.</w:t>
      </w:r>
    </w:p>
    <w:p w14:paraId="498DA766" w14:textId="77777777" w:rsidR="00093845" w:rsidRDefault="00093845">
      <w:pPr>
        <w:tabs>
          <w:tab w:val="left" w:pos="720"/>
          <w:tab w:val="left" w:pos="1077"/>
          <w:tab w:val="left" w:pos="1418"/>
        </w:tabs>
        <w:ind w:right="-5" w:firstLine="709"/>
        <w:jc w:val="both"/>
        <w:rPr>
          <w:b/>
          <w:szCs w:val="20"/>
          <w:lang w:val="lt-LT"/>
        </w:rPr>
      </w:pPr>
    </w:p>
    <w:p w14:paraId="5A5BD396" w14:textId="77777777" w:rsidR="00093845" w:rsidRDefault="000D779E">
      <w:pPr>
        <w:tabs>
          <w:tab w:val="left" w:pos="720"/>
          <w:tab w:val="left" w:pos="1077"/>
          <w:tab w:val="left" w:pos="1418"/>
        </w:tabs>
        <w:ind w:right="-5" w:firstLine="709"/>
        <w:jc w:val="both"/>
        <w:rPr>
          <w:b/>
          <w:lang w:val="lt-LT"/>
        </w:rPr>
      </w:pPr>
      <w:r>
        <w:rPr>
          <w:b/>
          <w:lang w:val="lt-LT"/>
        </w:rPr>
        <w:lastRenderedPageBreak/>
        <w:t>2.</w:t>
      </w:r>
      <w:r>
        <w:rPr>
          <w:b/>
          <w:lang w:val="lt-LT"/>
        </w:rPr>
        <w:tab/>
        <w:t xml:space="preserve">Reprezentacinės sąnaudos - vieneto lėšos, kurias jis skiria naujiems verslo ryšiams su kitais vienetais arba fiziniais asmenimis, išskyrus vieneto darbuotojus, akcininkus, savininkus bei kontroliuojamuosius ar kontroliuojančius vienetus ar kontroliuojančius nuolatinius gyventojus, užmegzti arba esamiems pagerinti. Reprezentacinės sąnaudos patiriamos konkrečių asmenų naudai. </w:t>
      </w:r>
    </w:p>
    <w:p w14:paraId="0FD1120A" w14:textId="77777777" w:rsidR="00093845" w:rsidRDefault="000D779E">
      <w:pPr>
        <w:tabs>
          <w:tab w:val="left" w:pos="720"/>
          <w:tab w:val="left" w:pos="1077"/>
          <w:tab w:val="left" w:pos="1418"/>
        </w:tabs>
        <w:ind w:right="-5" w:firstLine="709"/>
        <w:jc w:val="both"/>
        <w:rPr>
          <w:lang w:val="lt-LT"/>
        </w:rPr>
      </w:pPr>
      <w:r>
        <w:rPr>
          <w:lang w:val="lt-LT"/>
        </w:rPr>
        <w:t>1.</w:t>
      </w:r>
      <w:r>
        <w:rPr>
          <w:lang w:val="lt-LT"/>
        </w:rPr>
        <w:tab/>
        <w:t>Reprezentacijos paskirtis yra reprezentuoti, t.y. pristatyti vienetą (teikiamas paslaugas ir/ar prekes). Reprezentacijos sąvoką atitinka tokie vieneto organizuojami renginiai, kurie reprezentuoja vienetą, informuoja apie vieneto veiklos pobūdį, informuoja apie jo prekes ar paslaugas (apibūdina jų pobūdį, kokybę, galimybes), taip pat planuojamą veiklą, naujas prekes ir paslaugas arba reprezentuoja Lietuvą. Reprezentacijos sąvoką taip pat atitinka vieneto organizuojami renginiai, kurie reprezentuoja vieneto įsisteigimo ar veiklos per struktūrinį padalinį valstybę.</w:t>
      </w:r>
    </w:p>
    <w:p w14:paraId="62ADB65D" w14:textId="77777777" w:rsidR="00093845" w:rsidRDefault="000D779E">
      <w:pPr>
        <w:tabs>
          <w:tab w:val="left" w:pos="720"/>
          <w:tab w:val="left" w:pos="1077"/>
          <w:tab w:val="left" w:pos="1418"/>
        </w:tabs>
        <w:ind w:right="-5" w:firstLine="709"/>
        <w:jc w:val="both"/>
        <w:rPr>
          <w:lang w:val="lt-LT"/>
        </w:rPr>
      </w:pPr>
      <w:r>
        <w:rPr>
          <w:lang w:val="lt-LT"/>
        </w:rPr>
        <w:t>Kultūros ar sporto renginiai, kuriuos lanko vieneto darbuotojai kartu su verslo klientais, atitinka reprezentacijos sąvoką, jei tokių renginių metu siekiami reprezentacijai įprasti tikslai ir vienetas gali tai pagrįsti.</w:t>
      </w:r>
    </w:p>
    <w:p w14:paraId="3D39F87C" w14:textId="77777777" w:rsidR="00093845" w:rsidRDefault="000D779E">
      <w:pPr>
        <w:tabs>
          <w:tab w:val="left" w:pos="720"/>
          <w:tab w:val="left" w:pos="1077"/>
          <w:tab w:val="left" w:pos="1418"/>
        </w:tabs>
        <w:ind w:right="-5" w:firstLine="709"/>
        <w:jc w:val="both"/>
        <w:rPr>
          <w:lang w:val="lt-LT"/>
        </w:rPr>
      </w:pPr>
      <w:r>
        <w:rPr>
          <w:lang w:val="lt-LT"/>
        </w:rPr>
        <w:t>2.</w:t>
      </w:r>
      <w:r>
        <w:rPr>
          <w:lang w:val="lt-LT"/>
        </w:rPr>
        <w:tab/>
        <w:t>Reprezentacines sąnaudas vienetai patiria, siekdami užmegzti naujus ryšius</w:t>
      </w:r>
      <w:r>
        <w:rPr>
          <w:b/>
          <w:lang w:val="lt-LT"/>
        </w:rPr>
        <w:t xml:space="preserve"> </w:t>
      </w:r>
      <w:r>
        <w:rPr>
          <w:lang w:val="lt-LT"/>
        </w:rPr>
        <w:t xml:space="preserve">su potencialiais klientais, investuotojais, verslo partneriais, taip pat stiprinti ryšius su esamais klientais (verslo partneriais), tiek kitais vienetais, tiek fiziniais asmenimis (išskyrus savo darbuotojus, akcininkus, savininkus bei kontroliuojamus ar kontroliuojančius vienetus ar kontroliuojančius nuolatinius gyventojus). </w:t>
      </w:r>
    </w:p>
    <w:p w14:paraId="73FE79B2" w14:textId="77777777" w:rsidR="00093845" w:rsidRDefault="000D779E">
      <w:pPr>
        <w:tabs>
          <w:tab w:val="left" w:pos="720"/>
          <w:tab w:val="left" w:pos="1077"/>
          <w:tab w:val="left" w:pos="1418"/>
        </w:tabs>
        <w:ind w:right="-5" w:firstLine="709"/>
        <w:jc w:val="both"/>
        <w:rPr>
          <w:lang w:val="lt-LT"/>
        </w:rPr>
      </w:pPr>
      <w:r>
        <w:rPr>
          <w:lang w:val="lt-LT"/>
        </w:rPr>
        <w:t>3.</w:t>
      </w:r>
      <w:r>
        <w:rPr>
          <w:lang w:val="lt-LT"/>
        </w:rPr>
        <w:tab/>
        <w:t>Prie reprezentacinių sąnaudų priskiriamos fizinių asmenų, kurie atstovauja juridinius asmenis, arba asmenis, kurie verčiasi ūkine - komercine veikla neįregistravę vieneto (įsigijusių verslo liudijimus nuolatinių gyventojų) (toliau - konkretūs asmenys), kelionės, apgyvendinimo, vaišinimo (pobūvių, banketų), kultūros renginių</w:t>
      </w:r>
      <w:r>
        <w:rPr>
          <w:b/>
          <w:lang w:val="lt-LT"/>
        </w:rPr>
        <w:t xml:space="preserve"> </w:t>
      </w:r>
      <w:r>
        <w:rPr>
          <w:lang w:val="lt-LT"/>
        </w:rPr>
        <w:t xml:space="preserve">lankymo, jiems teiktinų suvenyrų pirkimo (gamybos) ir kitos (neįskaitant 22 straipsnio 5 dalyje nurodytųjų) sąnaudos. </w:t>
      </w:r>
    </w:p>
    <w:p w14:paraId="048F9AE7" w14:textId="77777777" w:rsidR="00093845" w:rsidRDefault="000D779E">
      <w:pPr>
        <w:tabs>
          <w:tab w:val="left" w:pos="720"/>
          <w:tab w:val="left" w:pos="1077"/>
          <w:tab w:val="left" w:pos="1418"/>
        </w:tabs>
        <w:ind w:right="-5" w:firstLine="709"/>
        <w:jc w:val="both"/>
        <w:rPr>
          <w:lang w:val="lt-LT"/>
        </w:rPr>
      </w:pPr>
      <w:r>
        <w:rPr>
          <w:lang w:val="lt-LT"/>
        </w:rPr>
        <w:t>4. Vieneto patirtos reprezentacinės sąnaudos priskiriamos prie ribojamų dydžių leidžiamų atskaitymų. Apskaičiuojant apmokestinamąjį pelną, per mokestinį laikotarpį patirtų reprezentacinių sąnaudų sumai taikomi ribojimai, nustatyti šio straipsnio 3, 4 ir 5 dalyse.</w:t>
      </w:r>
    </w:p>
    <w:p w14:paraId="14363F80"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Pavyzdžiai</w:t>
      </w:r>
    </w:p>
    <w:p w14:paraId="002ED218"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1. Vienetas surengė renginį verslo klientams, kuris susideda iš formaliosios dalies (konferencija, skaitomi pranešimai) ir neformaliosios dalies (koncertas, vakarienė). Vienetas, organizuodamas šį renginį, patyrė tokias išlaidas: konferencijų salės nuoma, įrangos nuoma, techninis aptarnavimas, lektorių samdymas, užmokestis koncertuojantiems asmenims, grupėms, maitinimo išlaidos, nakvynės išlaidos (atvykusiems iš kitų miestų klientams). </w:t>
      </w:r>
    </w:p>
    <w:p w14:paraId="1F3E85DD"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Renginyje dalyvavo 20 vieneto darbuotojų ir 50 verslo klientų. Renginio metu reprezentuojamas vienetas, jo prekės/paslaugos, todėl šis renginys laikomas reprezentaciniu. Tokio renginio organizavimo išlaidos laikomos reprezentacinėms sąnaudoms ir yra priskiriamos ribojamų dydžių leidžiamiems atskaitymams.</w:t>
      </w:r>
    </w:p>
    <w:p w14:paraId="3CA22A08"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2. Vieneto centrinė būstinė yra Vilniaus mieste. Vienetas surengė seminarą verslo klientams Klaipėdoje. Renginyje dalyvavo 15 vieneto darbuotojų ir 45 verslo klientai. Renginio metu reprezentuojamas vienetas, jo prekės/paslaugos, todėl šis renginys laikomas reprezentaciniu. Tokio renginio organizavimo išlaidos, tame tarpe nakvynės išlaidos iš kitų miestų atvykusiems klientams, laikomos reprezentacinėmis sąnaudomis ir yra priskiriamos ribojamų dydžių leidžiamiems atskaitymams. Darbuotojų vykimas į renginį įformintas komandiruotės įsakymu. Darbuotojų kelionės išlaidos laikomos komandiruotės sąnaudomis.</w:t>
      </w:r>
    </w:p>
    <w:p w14:paraId="3433465B"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lastRenderedPageBreak/>
        <w:tab/>
        <w:t>3. Vienetas surengė renginį verslo klientams (pramoginė programa, vakarienė). Rengdamas šį renginį vienetas patyrė išlaidas: patalpų nuomos, aptarnavimo, užmokestis už pramoginę programą, maitinimo, nakvynės išlaidos (atvykusiems iš kitų miestų klientams). Renginio metu pristatomas vienetas, jo prekės. Renginio organizavimo išlaidos gali būti laikomos reprezentacinėmis išlaidomis.</w:t>
      </w:r>
    </w:p>
    <w:p w14:paraId="2E1ED58B"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4. Vienetas organizavo sporto renginį verslo klientams. Rengdamas šį renginį vienetas patyrė išlaidas: sportinio inventoriaus nuoma, sportinė apranga su vieneto simbolika, maitinimo, nakvynės išlaidos (atvykusiems iš kitų miestų klientams). Renginio metu taip pat buvo pristatomi vieneto veikla, vieneto prekės. Renginio organizavimo išlaidos gali būti laikomos reprezentacinėmis išlaidomis. </w:t>
      </w:r>
    </w:p>
    <w:p w14:paraId="6FF31015"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5. Vienetas nuomoja ložę pramogų ir sporto arenoje. Jei ložė skirta esamiems ir potencialiems klientams ir renginių lankymas organizuojamas kaip sudėtinė vieneto rengiamų susitikimų su klientais, kurių metu siekiami tikslai, įprasti reprezentacijai (aptariamos verslo galimybės, pristatoma vieneto veikla, jo teikiamos paslaugos), dalis, tai ložės nuomos išlaidos gali būti laikomos reprezentacinėmis išlaidomis.</w:t>
      </w:r>
    </w:p>
    <w:p w14:paraId="5ABCE69F" w14:textId="77777777" w:rsidR="00093845"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6. Vienetas organizavo susitikimą su klientais, kurio metu buvo aptariamos verslo galimybės, pristatoma vieneto veikla, jo teikiamos paslaugos. Vienetas taip pat nupirko bilietus į kultūrinį ar sporto renginį (pvz., spektaklį, koncertą, sporto varžybas), į kurį verslo klientai kartu su vieneto darbuotojais ėjo minėto vieneto organizuoto susitikimo metu. Tokios bilietų į kultūrinį ar sporto renginį išlaidos gali būti priskiriamos reprezentacinėms išlaidoms. </w:t>
      </w:r>
    </w:p>
    <w:p w14:paraId="1BE8384E" w14:textId="77777777" w:rsidR="00093845" w:rsidRPr="0065344A" w:rsidRDefault="000D779E">
      <w:pPr>
        <w:pBdr>
          <w:top w:val="single" w:sz="4" w:space="2" w:color="auto"/>
          <w:left w:val="single" w:sz="4" w:space="3" w:color="auto"/>
          <w:bottom w:val="single" w:sz="4" w:space="0" w:color="auto"/>
          <w:right w:val="single" w:sz="4" w:space="4" w:color="auto"/>
        </w:pBdr>
        <w:tabs>
          <w:tab w:val="left" w:pos="720"/>
          <w:tab w:val="left" w:pos="1077"/>
          <w:tab w:val="left" w:pos="1418"/>
        </w:tabs>
        <w:ind w:right="-5"/>
        <w:jc w:val="both"/>
        <w:rPr>
          <w:lang w:val="lt-LT"/>
        </w:rPr>
      </w:pPr>
      <w:r>
        <w:rPr>
          <w:lang w:val="lt-LT"/>
        </w:rPr>
        <w:tab/>
        <w:t xml:space="preserve">7. Vieneto direktorius pakvietė verslo klientą vakarieniauti. Vakarienės metu buvo aptariamos verslo galimybės, pristatoma vieneto veikla, jo teikiamos paslaugos. Patirtos maitinimo išlaidos gali būti laikomos reprezentacinėmis išlaidomis. </w:t>
      </w:r>
    </w:p>
    <w:p w14:paraId="36C4DA4F" w14:textId="77777777" w:rsidR="00093845" w:rsidRDefault="00EC48AB">
      <w:pPr>
        <w:tabs>
          <w:tab w:val="left" w:pos="720"/>
          <w:tab w:val="left" w:pos="1077"/>
          <w:tab w:val="left" w:pos="1418"/>
        </w:tabs>
        <w:ind w:right="-5" w:firstLine="709"/>
        <w:jc w:val="both"/>
        <w:rPr>
          <w:lang w:val="lt-LT"/>
        </w:rPr>
      </w:pPr>
      <w:r>
        <w:rPr>
          <w:lang w:val="lt-LT"/>
        </w:rPr>
        <w:t>4</w:t>
      </w:r>
      <w:r>
        <w:rPr>
          <w:vertAlign w:val="superscript"/>
          <w:lang w:val="lt-LT"/>
        </w:rPr>
        <w:t>1</w:t>
      </w:r>
      <w:r>
        <w:rPr>
          <w:vertAlign w:val="subscript"/>
          <w:lang w:val="lt-LT"/>
        </w:rPr>
        <w:t>.</w:t>
      </w:r>
      <w:r w:rsidR="000D779E">
        <w:rPr>
          <w:lang w:val="lt-LT"/>
        </w:rPr>
        <w:tab/>
        <w:t>Reprezentacinės sąnaudos pripažįstamos ribojamų dydžių leidžiamais atskaitymais tik tuo atveju, jeigu jos patiriamos šios dalies komentaro 2 punkte nurodytų, su vieneto veikla susijusių ar susietinų konkrečių asmenų naudai, t.y. esamų ar potencialių vieneto produkcijos ar paslaugų pirkėjų, investuotojų ir kitų asmenų, turinčių arba galinčių turėti įtakos užmezgant naujus ir plėtojant esamus verslo ryšius, naudai.</w:t>
      </w:r>
    </w:p>
    <w:p w14:paraId="38F7D799"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lang w:val="lt-LT"/>
        </w:rPr>
      </w:pPr>
      <w:r w:rsidRPr="0065344A">
        <w:rPr>
          <w:rFonts w:ascii="Times New Roman" w:hAnsi="Times New Roman" w:cs="Times New Roman"/>
          <w:lang w:val="lt-LT"/>
        </w:rPr>
        <w:t>5.</w:t>
      </w:r>
      <w:r w:rsidRPr="0065344A">
        <w:rPr>
          <w:rFonts w:ascii="Times New Roman" w:hAnsi="Times New Roman" w:cs="Times New Roman"/>
          <w:lang w:val="lt-LT"/>
        </w:rPr>
        <w:tab/>
        <w:t xml:space="preserve">Vieneto patirtos išlaidos, atitinkančios kai kuriuos reprezentacijos sąnaudas apibrėžiančius kriterijus, tačiau iš esmės neatitinkančios reprezentacijos sąvokos, nelaikomos reprezentacinėmis sąnaudomis, todėl priskiriamos neleidžiamiems atskaitymams. </w:t>
      </w:r>
    </w:p>
    <w:p w14:paraId="1716ECB0"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Pavyzdžiai</w:t>
      </w:r>
    </w:p>
    <w:p w14:paraId="6582E93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1.</w:t>
      </w:r>
      <w:r>
        <w:rPr>
          <w:lang w:val="lt-LT"/>
        </w:rPr>
        <w:tab/>
        <w:t xml:space="preserve">Vienetas surengė pobūvį, kuriame dalyvavo 20 vienetui atstovaujančių asmenų ir 1 verslo klientas. Renginio tikslas yra vieneto darbuotojų šventė, jo metu nebuvo reprezentuojamas nei vienetas, nei jo veikla. Tokio pobūvio išlaidų suma nelaikoma reprezentacinėmis sąnaudomis ir yra priskiriama neleidžiamiems atskaitymams </w:t>
      </w:r>
      <w:r>
        <w:rPr>
          <w:color w:val="000000"/>
          <w:lang w:val="lt-LT"/>
        </w:rPr>
        <w:t>(</w:t>
      </w:r>
      <w:r>
        <w:rPr>
          <w:lang w:val="lt-LT"/>
        </w:rPr>
        <w:t>išskyrus atvejus, kai tokios išlaidos yra GPM objektas (žr. PMĮ 17 straipsnio 1 dalies komentarą) arba atitinka PMĮ 26 straipsnio 2 dalyje nustatytus kriterijus (žr. PMĮ 26 straipsnio 2 dalies komentarą)).</w:t>
      </w:r>
    </w:p>
    <w:p w14:paraId="6A38BAB0" w14:textId="77777777" w:rsidR="00711F30" w:rsidRDefault="00711F30" w:rsidP="00711F30">
      <w:pPr>
        <w:pStyle w:val="Style1"/>
        <w:tabs>
          <w:tab w:val="left" w:pos="720"/>
          <w:tab w:val="left" w:pos="1077"/>
          <w:tab w:val="left" w:pos="1418"/>
        </w:tabs>
        <w:ind w:right="-5" w:firstLine="0"/>
        <w:rPr>
          <w:rFonts w:ascii="Times New Roman" w:hAnsi="Times New Roman"/>
          <w:szCs w:val="24"/>
        </w:rPr>
      </w:pPr>
      <w:r>
        <w:rPr>
          <w:rFonts w:ascii="Times New Roman" w:hAnsi="Times New Roman"/>
          <w:szCs w:val="24"/>
        </w:rPr>
        <w:t xml:space="preserve">          5.1 Konkretiems asmenims atminimui įteikiamų daiktų (suvenyrų, knygų ir pan.) įsigijimo išlaidos gali būti laikomos reprezentacinėmis sąnaudomis, kurios priskiriamos ribojamų dydžių leidžiamiems atskaitymams, tuo atveju, jei minėtieji daiktai yra reprezentatyvūs (pvz., ant tų daiktų gali būti vieneto simbolis, pavadinimas, prekinis ženklas arba tai gali būti knyga apie Lietuvą, paveikslas apie Lietuvą). Taip pat tai gali būti smulkios verslo dovanos, pvz.: parkeriai, kanceliarinės prekės, gėlių puokštės, dovanų kuponai</w:t>
      </w:r>
      <w:r>
        <w:rPr>
          <w:rFonts w:ascii="Times New Roman" w:hAnsi="Times New Roman"/>
          <w:b/>
          <w:szCs w:val="24"/>
        </w:rPr>
        <w:t xml:space="preserve">, </w:t>
      </w:r>
      <w:r w:rsidRPr="00AF631F">
        <w:rPr>
          <w:rFonts w:ascii="Times New Roman" w:hAnsi="Times New Roman"/>
          <w:szCs w:val="24"/>
        </w:rPr>
        <w:t>saldumynai, valgomų dovanų rinkiniai, alkoholiniai gėrimai.</w:t>
      </w:r>
      <w:r>
        <w:rPr>
          <w:rFonts w:ascii="Times New Roman" w:hAnsi="Times New Roman"/>
          <w:szCs w:val="24"/>
        </w:rPr>
        <w:t xml:space="preserve"> Tokių daiktų išlaidos gali būti priskiriamos reprezentacinėms išlaidoms ir tais atvejais kai neorganizuojamas reprezentacinis renginys.</w:t>
      </w:r>
    </w:p>
    <w:p w14:paraId="1D5EF37E" w14:textId="77777777" w:rsidR="00711F30" w:rsidRPr="00711F30" w:rsidRDefault="00711F30" w:rsidP="00711F30">
      <w:pPr>
        <w:jc w:val="both"/>
        <w:rPr>
          <w:sz w:val="20"/>
          <w:szCs w:val="22"/>
          <w:lang w:val="lt-LT"/>
        </w:rPr>
      </w:pPr>
      <w:r>
        <w:rPr>
          <w:iCs/>
          <w:lang w:eastAsia="lt-LT"/>
        </w:rPr>
        <w:lastRenderedPageBreak/>
        <w:t xml:space="preserve">(PMĮ </w:t>
      </w:r>
      <w:r>
        <w:t>22</w:t>
      </w:r>
      <w:r>
        <w:rPr>
          <w:iCs/>
          <w:lang w:eastAsia="lt-LT"/>
        </w:rPr>
        <w:t xml:space="preserve"> straipsnio 2 d. 5.1 papunkčio komentaro 1 pastraipa papildyta</w:t>
      </w:r>
      <w:r>
        <w:rPr>
          <w:vertAlign w:val="superscript"/>
        </w:rPr>
        <w:t xml:space="preserve"> </w:t>
      </w:r>
      <w:r>
        <w:rPr>
          <w:iCs/>
          <w:lang w:eastAsia="lt-LT"/>
        </w:rPr>
        <w:t>pagal VMI prie FM 2025-01-22 raštą Nr. (18.32-31-1 Mr)-R-288)</w:t>
      </w:r>
    </w:p>
    <w:p w14:paraId="5EAFDE6C" w14:textId="77777777" w:rsidR="00093845" w:rsidRDefault="00711F30" w:rsidP="00711F30">
      <w:pPr>
        <w:pStyle w:val="Style1"/>
        <w:tabs>
          <w:tab w:val="left" w:pos="720"/>
          <w:tab w:val="left" w:pos="1077"/>
          <w:tab w:val="left" w:pos="1418"/>
        </w:tabs>
        <w:ind w:right="-5" w:firstLine="0"/>
        <w:rPr>
          <w:rFonts w:ascii="Times New Roman" w:hAnsi="Times New Roman"/>
          <w:szCs w:val="24"/>
        </w:rPr>
      </w:pPr>
      <w:r>
        <w:rPr>
          <w:rFonts w:ascii="Times New Roman" w:hAnsi="Times New Roman"/>
          <w:szCs w:val="24"/>
        </w:rPr>
        <w:t xml:space="preserve">          </w:t>
      </w:r>
      <w:r w:rsidR="000D779E">
        <w:rPr>
          <w:rFonts w:ascii="Times New Roman" w:hAnsi="Times New Roman"/>
          <w:szCs w:val="24"/>
        </w:rPr>
        <w:t>Tačiau tai negali būti butai, automobiliai, buitinė technika, kompiuterinė technika, didelės vertės dovanos, laisvalaikio ir sporto inventorius (pvz.: slidinėjimo įranga) ir panašūs daiktai, nes tokių daiktų įteikimas iš esmės neatitinka reprezentacijos sąvokos ir laikytinas dovanomis, kurios pagal įstatymo 31 straipsnio 1 dalies 9 punktą pripažįstamos neleidžiamais atskaitymais.</w:t>
      </w:r>
    </w:p>
    <w:p w14:paraId="1BF4B12D" w14:textId="77777777" w:rsidR="00093845" w:rsidRDefault="000D779E">
      <w:pPr>
        <w:tabs>
          <w:tab w:val="left" w:pos="720"/>
          <w:tab w:val="left" w:pos="1077"/>
          <w:tab w:val="left" w:pos="1418"/>
        </w:tabs>
        <w:ind w:right="-5" w:firstLine="709"/>
        <w:jc w:val="both"/>
        <w:rPr>
          <w:lang w:val="lt-LT"/>
        </w:rPr>
      </w:pPr>
      <w:r>
        <w:rPr>
          <w:lang w:val="lt-LT"/>
        </w:rPr>
        <w:t>Pavyzdžiai</w:t>
      </w:r>
    </w:p>
    <w:p w14:paraId="153DB9F5"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rPr>
          <w:rFonts w:ascii="Times New Roman" w:hAnsi="Times New Roman"/>
          <w:szCs w:val="24"/>
        </w:rPr>
      </w:pPr>
      <w:r>
        <w:rPr>
          <w:rFonts w:ascii="Times New Roman" w:hAnsi="Times New Roman"/>
          <w:szCs w:val="24"/>
        </w:rPr>
        <w:t xml:space="preserve">1. </w:t>
      </w:r>
      <w:r>
        <w:rPr>
          <w:rFonts w:ascii="Times New Roman" w:hAnsi="Times New Roman"/>
          <w:color w:val="000000"/>
          <w:szCs w:val="24"/>
        </w:rPr>
        <w:t xml:space="preserve">Lietuvos </w:t>
      </w:r>
      <w:r>
        <w:rPr>
          <w:rFonts w:ascii="Times New Roman" w:hAnsi="Times New Roman"/>
          <w:szCs w:val="24"/>
        </w:rPr>
        <w:t xml:space="preserve">vienetas svarbiems klientams įteikė knygas apie Lietuvą. Atskiras reprezentacinis renginys nebuvo organizuojamas. Tokių knygų išlaidos gali būti priskiriamos reprezentacinėms išlaidoms. </w:t>
      </w:r>
    </w:p>
    <w:p w14:paraId="7C139EB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2. Užsienio vieneto nuolatinė buveinė organizuoja renginį, kurio metu įteikiama knyga apie tą užsienio valstybę. Tokiu atveju laikoma, kad buvo patirtos reprezentacinės sąnaudos, kurios gali būti priskiriamos ribojamų dydžių leidžiamiems atskaitymams.</w:t>
      </w:r>
    </w:p>
    <w:p w14:paraId="17BD44A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2. Vienetas konkrečiam asmeniui nemokamai perdavė automobilį (perdavimo akte nurodė, kad siekiama užmegzti glaudesnius ryšius). Šiuo atveju tokio turto perdavimas iš esmės neatitinka reprezentacijos sąvokos, todėl automobilio vertė negali būti laikoma reprezentacinėmis sąnaudomis, o priskiriama neleidžiamiems atskaitymams.</w:t>
      </w:r>
    </w:p>
    <w:p w14:paraId="52FF708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3. Vienetas organizavo kelionę į Nepalą savo klientams. Į kelionės programą įėjo ir apmokymai. Į kelionę vyko vieneto atstovas. Kelionė turėjo labiau pažintinės/poilsinės kelionės požymių, mokymų metu buvo dėstomi bendrojo pobūdžio dalykai, nesusiję su vieneto vykdoma veikla. Vieneto veikla nėra kelionių organizavimas. Todėl tokia kelionė neatitinka reprezentacijai keliamų tikslų ir su šios kelionės organizavimu susijusios išlaidos negali būti priskiriamos reprezentacinėms išlaidoms.</w:t>
      </w:r>
    </w:p>
    <w:p w14:paraId="2C8D4EF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4. Vienetas konkrečiam asmeniui įteikė kelionę į Indiją. Kelionė yra pažintinio/ poilsinio pobūdžio todėl ji negali būti laikoma reprezentacine. Vieneto veikla nėra kelionių organizavimas. Tokios kelionės išlaidos negali būti priskiriamos reprezentacinėms išlaidoms.</w:t>
      </w:r>
    </w:p>
    <w:p w14:paraId="441B956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5. Vienetas įsigijo bilietus į koncertą užsienyje. Bilietai įteikti verslo klientams. Vienetas</w:t>
      </w:r>
      <w:r>
        <w:rPr>
          <w:b/>
          <w:lang w:val="lt-LT"/>
        </w:rPr>
        <w:t xml:space="preserve"> </w:t>
      </w:r>
      <w:r>
        <w:rPr>
          <w:lang w:val="lt-LT"/>
        </w:rPr>
        <w:t>taip pat apmoka klientų kelionės, nakvynės išlaidas. Koncertas nereprezentavo nei vieneto, nei vieneto įsisteigimo ar veiklos per struktūrinį padalinį valstybės, tokia kelionė buvo labiau pramoginio/poilsinio pobūdžio, todėl šios kelionės organizavimo ir bilietų įsigijimo išlaidos negali būti priskiriamos reprezentacinėms išlaidoms.</w:t>
      </w:r>
    </w:p>
    <w:p w14:paraId="714050C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6. Vienetas vykdo kelionių organizavimo veiklą. Vienetas potencialiems klientams dovanojo keliones į Turkiją. Kartu su potencialiais klientais vyko vieneto darbuotojas. Vieneto darbuotojas į kelionę siunčiamas komandiruotės įsakymu. Kelionės metu vieneto darbuotojas teikė informaciją apie vienetą, jo veiklą, organizuojamas keliones. Tokios vieneto dovanos potencialiems klientams laikomos reprezentacinėmis, ir kelionių išlaidos gali būti priskiriamos ribojamų dydžių leidžiamiems atskaitymams. Tuo tarpu vieneto darbuotojo kelionės išlaidos priskiriamos komandiruotės išlaidomis.</w:t>
      </w:r>
    </w:p>
    <w:p w14:paraId="4B6909B6"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lang w:val="lt-LT"/>
        </w:rPr>
      </w:pPr>
      <w:r w:rsidRPr="0065344A">
        <w:rPr>
          <w:rFonts w:ascii="Times New Roman" w:hAnsi="Times New Roman" w:cs="Times New Roman"/>
          <w:lang w:val="lt-LT"/>
        </w:rPr>
        <w:t>5.2. Reprezentacinėms sąnaudoms nepriskiriamos lėšos, skirtos verslo ryšiams su darbuotojais, akcininkais, savininkais, kontroliuojančiais bei kontroliuojamaisiais vienetais ir kontroliuojančiais nuolatiniais gyventojais užmegzti ar pagerinti.</w:t>
      </w:r>
    </w:p>
    <w:p w14:paraId="17A67658" w14:textId="77777777" w:rsidR="00093845" w:rsidRDefault="000D779E">
      <w:pPr>
        <w:tabs>
          <w:tab w:val="left" w:pos="720"/>
          <w:tab w:val="left" w:pos="1077"/>
          <w:tab w:val="left" w:pos="1418"/>
        </w:tabs>
        <w:ind w:right="-5" w:firstLine="709"/>
        <w:jc w:val="both"/>
        <w:rPr>
          <w:lang w:val="lt-LT"/>
        </w:rPr>
      </w:pPr>
      <w:r>
        <w:rPr>
          <w:lang w:val="lt-LT"/>
        </w:rPr>
        <w:t>Pavyzdys</w:t>
      </w:r>
    </w:p>
    <w:p w14:paraId="6816BEA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lt-LT"/>
        </w:rPr>
      </w:pPr>
      <w:r>
        <w:rPr>
          <w:lang w:val="lt-LT"/>
        </w:rPr>
        <w:t xml:space="preserve">UAB X ir UAB Y yra UAB Z akcininkės, 2002 metų gruodžio 31 d. turėsiančios po 50 proc. šio vieneto akcijų. 2002 metais UAB Z organizavo reprezentacinį renginį, į kurį pakvietė UAB X ir </w:t>
      </w:r>
      <w:r>
        <w:rPr>
          <w:lang w:val="lt-LT"/>
        </w:rPr>
        <w:lastRenderedPageBreak/>
        <w:t xml:space="preserve">UAB Y vadovus. Kadangi tokio renginio išlaidos buvo patirtos kontroliuojančius asmenis atstovaujančių konkrečių asmenų naudai, tai šios išlaidos laikomos neleidžiamais atskaitymais. </w:t>
      </w:r>
    </w:p>
    <w:p w14:paraId="4B9DA8DF" w14:textId="77777777" w:rsidR="00093845" w:rsidRPr="0065344A" w:rsidRDefault="000D779E">
      <w:pPr>
        <w:pStyle w:val="Pagrindiniotekstotrauka"/>
        <w:tabs>
          <w:tab w:val="left" w:pos="720"/>
          <w:tab w:val="left" w:pos="1077"/>
          <w:tab w:val="left" w:pos="1418"/>
        </w:tabs>
        <w:ind w:right="-5"/>
        <w:rPr>
          <w:rFonts w:ascii="Times New Roman" w:hAnsi="Times New Roman" w:cs="Times New Roman"/>
          <w:bCs/>
          <w:lang w:val="lt-LT"/>
        </w:rPr>
      </w:pPr>
      <w:r w:rsidRPr="0065344A">
        <w:rPr>
          <w:rFonts w:ascii="Times New Roman" w:hAnsi="Times New Roman" w:cs="Times New Roman"/>
          <w:lang w:val="lt-LT"/>
        </w:rPr>
        <w:t xml:space="preserve">Tačiau kai reprezentaciniuose renginiuose, </w:t>
      </w:r>
      <w:r w:rsidRPr="0065344A">
        <w:rPr>
          <w:rFonts w:ascii="Times New Roman" w:hAnsi="Times New Roman" w:cs="Times New Roman"/>
          <w:i/>
          <w:iCs/>
          <w:lang w:val="lt-LT"/>
        </w:rPr>
        <w:t>kurių tikslas užmegzti naujus arba pagerinti esamus verslo ryšius su konkrečiais asmenimis</w:t>
      </w:r>
      <w:r w:rsidRPr="0065344A">
        <w:rPr>
          <w:rFonts w:ascii="Times New Roman" w:hAnsi="Times New Roman" w:cs="Times New Roman"/>
          <w:lang w:val="lt-LT"/>
        </w:rPr>
        <w:t>, dalyvauja vieneto darbuotojai, akcininkai, savininkai, kontroliuojamus ar kontroliuojančius vienetus atstovaujantys asmenys ar kontroliuojantys nuolatiniai ar nenuolatiniai gyventojai</w:t>
      </w:r>
      <w:r w:rsidRPr="0065344A">
        <w:rPr>
          <w:rFonts w:ascii="Times New Roman" w:hAnsi="Times New Roman" w:cs="Times New Roman"/>
          <w:b/>
          <w:lang w:val="lt-LT"/>
        </w:rPr>
        <w:t xml:space="preserve">, </w:t>
      </w:r>
      <w:r w:rsidRPr="0065344A">
        <w:rPr>
          <w:rFonts w:ascii="Times New Roman" w:hAnsi="Times New Roman" w:cs="Times New Roman"/>
          <w:lang w:val="lt-LT"/>
        </w:rPr>
        <w:t>jiems tenkanti reprezentacinių sąnaudų dalis nėra skaičiuojama, o visa reprezentacinių sąnaudų suma (tame tarpe vieneto darbuotojams, akcininkams, savininkams, kontroliuojamus ar kontroliuojančius vienetus atstovaujantiems asmenims ar kontroliuojantiems nuolatiniams ar nenuolatiniams gyventojams tenkanti) priskiriama ribojamų dydžių leidžiamiems atskaitymams. Vieneto darbuotojai ar kiti vienetą atstovaujantys asmenys, dalyvaudami reprezentaciniuose renginiuose, vykdo savo darbines ar kitas su dalyvavimu vieneto veikloje susijusias funkcijas, todėl renginio metu jų gaunama nauda, t.y. jiems tenkanti reprezentacinių sąnaudų dalis (pvz. renginio bilietų įsigijimo kaina) nelaikoma šių asmenų pajamomis natūra.</w:t>
      </w:r>
    </w:p>
    <w:p w14:paraId="7A644B6D" w14:textId="77777777" w:rsidR="00093845" w:rsidRDefault="000D779E">
      <w:pPr>
        <w:jc w:val="both"/>
        <w:rPr>
          <w:lang w:val="lt-LT"/>
        </w:rPr>
      </w:pPr>
      <w:r>
        <w:rPr>
          <w:lang w:val="lt-LT"/>
        </w:rPr>
        <w:t xml:space="preserve">           (Pakeista VMI prie FM 2012-06-12 raštu Nr. (18.10-31-1)-R-5081)</w:t>
      </w:r>
    </w:p>
    <w:p w14:paraId="74AE7B52" w14:textId="77777777" w:rsidR="00093845" w:rsidRPr="0065344A" w:rsidRDefault="000D779E" w:rsidP="00D342FC">
      <w:pPr>
        <w:shd w:val="clear" w:color="auto" w:fill="FFFFFF"/>
        <w:spacing w:after="0"/>
        <w:ind w:firstLine="709"/>
        <w:jc w:val="both"/>
        <w:rPr>
          <w:b/>
          <w:color w:val="000000"/>
          <w:lang w:val="lt-LT" w:eastAsia="lt-LT"/>
        </w:rPr>
      </w:pPr>
      <w:r w:rsidRPr="0065344A">
        <w:rPr>
          <w:b/>
          <w:color w:val="000000"/>
          <w:lang w:val="lt-LT" w:eastAsia="lt-LT"/>
        </w:rPr>
        <w:t>3. Iš pajamų atskaitoma ne daugiau kaip 50 procentų reprezentacinių sąnaudų ir tokių atskaitomų sąnaudų suma negali viršyti 2 procentų vieneto pajamų per mokestinį laikotarpį.</w:t>
      </w:r>
    </w:p>
    <w:p w14:paraId="64BDFA30" w14:textId="77777777" w:rsidR="00093845" w:rsidRPr="00441B00" w:rsidRDefault="000D779E" w:rsidP="00D342FC">
      <w:pPr>
        <w:spacing w:after="0"/>
        <w:jc w:val="both"/>
        <w:rPr>
          <w:i/>
          <w:lang w:val="lt-LT"/>
        </w:rPr>
      </w:pPr>
      <w:r w:rsidRPr="00441B00">
        <w:rPr>
          <w:i/>
          <w:lang w:val="lt-LT"/>
        </w:rPr>
        <w:t>(KEISTA: 2017 12 07 įstatymu Nr. XIII-842 (nuo 2017 12 23), taikoma apskaičiuojant 2018 metais prasidėjusio ir vėlesnių mokestinių laikotarpių apmokestinamąjį pelną)</w:t>
      </w:r>
    </w:p>
    <w:p w14:paraId="6733F7F3" w14:textId="77777777" w:rsidR="00093845" w:rsidRPr="0065344A" w:rsidRDefault="000D779E" w:rsidP="009C0219">
      <w:pPr>
        <w:shd w:val="clear" w:color="auto" w:fill="FFFFFF"/>
        <w:ind w:firstLine="709"/>
        <w:jc w:val="both"/>
        <w:rPr>
          <w:b/>
          <w:lang w:val="lt-LT"/>
        </w:rPr>
      </w:pPr>
      <w:r w:rsidRPr="0065344A">
        <w:rPr>
          <w:color w:val="000000"/>
          <w:lang w:val="lt-LT" w:eastAsia="lt-LT"/>
        </w:rPr>
        <w:t> </w:t>
      </w:r>
      <w:r w:rsidRPr="0065344A">
        <w:rPr>
          <w:b/>
          <w:lang w:val="lt-LT"/>
        </w:rPr>
        <w:t>Komentaras</w:t>
      </w:r>
    </w:p>
    <w:p w14:paraId="4FBC106D"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1.</w:t>
      </w:r>
      <w:r>
        <w:rPr>
          <w:rFonts w:ascii="Times New Roman" w:hAnsi="Times New Roman"/>
          <w:szCs w:val="24"/>
        </w:rPr>
        <w:tab/>
        <w:t xml:space="preserve">Iš pajamų vienetas gali atskaityti ne daugiau kaip 50 proc. patirtų reprezentacinių sąnaudų ir tokių  </w:t>
      </w:r>
      <w:r>
        <w:rPr>
          <w:rFonts w:ascii="Times New Roman" w:hAnsi="Times New Roman"/>
          <w:color w:val="000000"/>
          <w:szCs w:val="24"/>
          <w:lang w:eastAsia="lt-LT"/>
        </w:rPr>
        <w:t xml:space="preserve">atskaitomų sąnaudų suma negali viršyti 2 procentų vieneto </w:t>
      </w:r>
      <w:r>
        <w:rPr>
          <w:rFonts w:ascii="Times New Roman" w:hAnsi="Times New Roman"/>
          <w:szCs w:val="24"/>
        </w:rPr>
        <w:t>visų</w:t>
      </w:r>
      <w:r>
        <w:rPr>
          <w:rFonts w:ascii="Times New Roman" w:hAnsi="Times New Roman"/>
          <w:color w:val="000000"/>
          <w:szCs w:val="24"/>
          <w:lang w:eastAsia="lt-LT"/>
        </w:rPr>
        <w:t xml:space="preserve"> pajamų </w:t>
      </w:r>
      <w:r>
        <w:rPr>
          <w:rFonts w:ascii="Times New Roman" w:hAnsi="Times New Roman"/>
          <w:szCs w:val="24"/>
        </w:rPr>
        <w:t xml:space="preserve">(apmokestinamųjų ir neapmokestinamųjų) </w:t>
      </w:r>
      <w:r>
        <w:rPr>
          <w:rFonts w:ascii="Times New Roman" w:hAnsi="Times New Roman"/>
          <w:color w:val="000000"/>
          <w:szCs w:val="24"/>
          <w:lang w:eastAsia="lt-LT"/>
        </w:rPr>
        <w:t>per mokestinį laikotarpį.</w:t>
      </w:r>
      <w:r>
        <w:rPr>
          <w:rFonts w:ascii="Times New Roman" w:hAnsi="Times New Roman"/>
          <w:szCs w:val="24"/>
        </w:rPr>
        <w:t xml:space="preserve"> Per mokestinį laikotarpį vieneto patirtų reprezentacijos sąnaudų dalis, viršijanti leistiną 50 proc. dydį ir </w:t>
      </w:r>
      <w:r>
        <w:rPr>
          <w:rFonts w:ascii="Times New Roman" w:hAnsi="Times New Roman"/>
          <w:color w:val="000000"/>
          <w:szCs w:val="24"/>
          <w:lang w:eastAsia="lt-LT"/>
        </w:rPr>
        <w:t>2 procentus vieneto pajamų</w:t>
      </w:r>
      <w:r>
        <w:rPr>
          <w:rFonts w:ascii="Times New Roman" w:hAnsi="Times New Roman"/>
          <w:szCs w:val="24"/>
        </w:rPr>
        <w:t>, laikoma neleidžiamais atskaitymais.</w:t>
      </w:r>
    </w:p>
    <w:p w14:paraId="7CCEF5B1" w14:textId="77777777" w:rsidR="00093845" w:rsidRDefault="000D779E">
      <w:pPr>
        <w:pStyle w:val="prastasiniatinklio"/>
        <w:spacing w:before="0" w:beforeAutospacing="0" w:after="0" w:afterAutospacing="0"/>
        <w:ind w:firstLine="709"/>
        <w:jc w:val="both"/>
      </w:pPr>
      <w:r>
        <w:t xml:space="preserve">Iš pajamų leistina atskaityti reprezentacinių sąnaudų norma – (2 proc. pajamų) yra apskaičiuojama nuo metų pradžios didėjimo tvarka. </w:t>
      </w:r>
    </w:p>
    <w:p w14:paraId="2AB48E2C"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Pavyzdys</w:t>
      </w:r>
    </w:p>
    <w:p w14:paraId="6BBF060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pPr>
      <w:r>
        <w:t xml:space="preserve">Vieneto 2018 m. mokestinio laikotarpio pajamos 23 000 Eur. Vienetas vasario mėnesį surengė reprezentacinį pobūvį, į kurį pakvietė konkrečius vieneto produkcijos pirkėjus. Šiam pobūviui surengti išleista 600 Eur. Visa ši suma laikoma reprezentacinėmis sąnaudomis. </w:t>
      </w:r>
      <w:r>
        <w:rPr>
          <w:color w:val="000000"/>
          <w:lang w:eastAsia="lt-LT"/>
        </w:rPr>
        <w:t>Iš pajamų atskaitoma ne daugiau kaip 50 procentų reprezentacinių sąnaudų, t. y. 300 Eur.</w:t>
      </w:r>
    </w:p>
    <w:p w14:paraId="1A56FE6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rPr>
          <w:color w:val="000000"/>
          <w:lang w:eastAsia="lt-LT"/>
        </w:rPr>
      </w:pPr>
      <w:r>
        <w:t>Liepos mėnesį vienetas vėl surengė reprezentacinį pobūvį, kuriam  surengti išleido 400 Eur. Visa ši suma laikoma reprezentacinėmis sąnaudomis.</w:t>
      </w:r>
      <w:r>
        <w:rPr>
          <w:color w:val="000000"/>
          <w:lang w:eastAsia="lt-LT"/>
        </w:rPr>
        <w:t xml:space="preserve"> Iš pajamų atskaitoma ne daugiau kaip 50 procentų reprezentacinių sąnaudų, t. y. 200 Eur. Iš viso per mokestinį laikotarpį patirta 500 Eur (300 Eur + 200 Eur) atskaitytinų reprezentacinių sąnaudų. </w:t>
      </w:r>
    </w:p>
    <w:p w14:paraId="166B8B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6" w:firstLine="709"/>
        <w:jc w:val="both"/>
        <w:rPr>
          <w:color w:val="000000"/>
          <w:lang w:eastAsia="lt-LT"/>
        </w:rPr>
      </w:pPr>
      <w:r>
        <w:rPr>
          <w:color w:val="000000"/>
          <w:lang w:eastAsia="lt-LT"/>
        </w:rPr>
        <w:t xml:space="preserve">Kadangi faktiškai atskaitomų reprezentacinių sąnaudų suma negali viršyti 2 procentų vieneto pajamų </w:t>
      </w:r>
      <w:r>
        <w:t xml:space="preserve"> </w:t>
      </w:r>
      <w:r>
        <w:rPr>
          <w:color w:val="000000"/>
          <w:lang w:eastAsia="lt-LT"/>
        </w:rPr>
        <w:t xml:space="preserve">per mokestinį laikotarpį, t. y. </w:t>
      </w:r>
      <w:r>
        <w:t>460 Eur (23 000 Eur x 2 proc.)</w:t>
      </w:r>
      <w:r>
        <w:rPr>
          <w:color w:val="000000"/>
          <w:lang w:eastAsia="lt-LT"/>
        </w:rPr>
        <w:t xml:space="preserve">, todėl šią sumą viršijančios reprezentacinės sąnaudos </w:t>
      </w:r>
      <w:r>
        <w:t xml:space="preserve">40 Eur (500 Eur – 460 Eur) taip pat </w:t>
      </w:r>
      <w:r>
        <w:rPr>
          <w:color w:val="000000"/>
          <w:lang w:eastAsia="lt-LT"/>
        </w:rPr>
        <w:t xml:space="preserve">priskiriamos </w:t>
      </w:r>
      <w:r>
        <w:t>neleidžiamiems atskaitymams. Iš viso neleidžiamiems atskaitymams priskiriama 540 Eur (500 Eur + 40 Eur) patirtų reprezentacinių sąnaudų.</w:t>
      </w:r>
    </w:p>
    <w:p w14:paraId="36CC7599" w14:textId="77777777" w:rsidR="00C972BC" w:rsidRPr="00C972BC" w:rsidRDefault="000D779E" w:rsidP="00C972BC">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2.</w:t>
      </w:r>
      <w:r>
        <w:rPr>
          <w:rFonts w:ascii="Times New Roman" w:hAnsi="Times New Roman"/>
          <w:szCs w:val="24"/>
        </w:rPr>
        <w:tab/>
        <w:t xml:space="preserve">Reprezentacinės sąnaudos priskiriamos ribojamų dydžių leidžiamiems atskaitymams tuo atveju, jeigu jos pagrįstos </w:t>
      </w:r>
      <w:r w:rsidR="00C972BC">
        <w:rPr>
          <w:rFonts w:ascii="Times New Roman" w:hAnsi="Times New Roman"/>
          <w:szCs w:val="24"/>
        </w:rPr>
        <w:t xml:space="preserve">dokumentais, </w:t>
      </w:r>
      <w:r w:rsidR="00C972BC" w:rsidRPr="00AC2AAF">
        <w:rPr>
          <w:rFonts w:ascii="Times New Roman" w:hAnsi="Times New Roman"/>
          <w:szCs w:val="24"/>
        </w:rPr>
        <w:t xml:space="preserve">kurie </w:t>
      </w:r>
      <w:r w:rsidR="00C972BC" w:rsidRPr="00C972BC">
        <w:rPr>
          <w:rFonts w:ascii="Times New Roman" w:hAnsi="Times New Roman"/>
          <w:szCs w:val="24"/>
        </w:rPr>
        <w:t xml:space="preserve">privalo turėti finansinę apskaitą reglamentuojančių teisės aktų nustatytą privalomą finansinės apskaitos dokumentų informaciją: </w:t>
      </w:r>
    </w:p>
    <w:p w14:paraId="5CC839E2" w14:textId="77777777" w:rsidR="00C972BC" w:rsidRPr="00C972BC" w:rsidRDefault="000D779E" w:rsidP="00C972BC">
      <w:pPr>
        <w:tabs>
          <w:tab w:val="left" w:pos="720"/>
          <w:tab w:val="left" w:pos="1077"/>
          <w:tab w:val="left" w:pos="1418"/>
        </w:tabs>
        <w:ind w:right="-5" w:firstLine="709"/>
        <w:jc w:val="both"/>
        <w:rPr>
          <w:lang w:val="lt-LT"/>
        </w:rPr>
      </w:pPr>
      <w:r w:rsidRPr="0065344A">
        <w:rPr>
          <w:lang w:val="lt-LT"/>
        </w:rPr>
        <w:lastRenderedPageBreak/>
        <w:t>2.1.</w:t>
      </w:r>
      <w:r w:rsidR="00C972BC">
        <w:rPr>
          <w:lang w:val="lt-LT"/>
        </w:rPr>
        <w:t xml:space="preserve"> </w:t>
      </w:r>
      <w:r w:rsidR="00C972BC" w:rsidRPr="00C972BC">
        <w:rPr>
          <w:lang w:val="lt-LT"/>
        </w:rPr>
        <w:t>jeigu vienetas reprezentacijai naudoja savo paties produkciją ar teikiamas paslaugas laisvos formos dokumentais</w:t>
      </w:r>
      <w:r w:rsidR="00C972BC" w:rsidRPr="00C972BC">
        <w:rPr>
          <w:strike/>
          <w:lang w:val="lt-LT"/>
        </w:rPr>
        <w:t>,</w:t>
      </w:r>
      <w:r w:rsidR="00C972BC" w:rsidRPr="00C972BC">
        <w:rPr>
          <w:lang w:val="lt-LT"/>
        </w:rPr>
        <w:t>:</w:t>
      </w:r>
    </w:p>
    <w:p w14:paraId="08618200" w14:textId="77777777" w:rsidR="00C972BC" w:rsidRPr="00C972BC" w:rsidRDefault="00C972BC" w:rsidP="00C972BC">
      <w:pPr>
        <w:tabs>
          <w:tab w:val="left" w:pos="720"/>
          <w:tab w:val="left" w:pos="1077"/>
          <w:tab w:val="left" w:pos="1418"/>
        </w:tabs>
        <w:ind w:right="-5" w:firstLine="709"/>
        <w:jc w:val="both"/>
        <w:rPr>
          <w:lang w:val="lt-LT"/>
        </w:rPr>
      </w:pPr>
      <w:r w:rsidRPr="00C972BC">
        <w:rPr>
          <w:lang w:val="lt-LT"/>
        </w:rPr>
        <w:t xml:space="preserve">- iki 2022 m. balandžio 30 d. turinčiais visus Lietuvos Respublikos </w:t>
      </w:r>
      <w:r w:rsidRPr="00C972BC">
        <w:rPr>
          <w:rStyle w:val="Hipersaitas"/>
          <w:b w:val="0"/>
          <w:lang w:val="lt-LT"/>
        </w:rPr>
        <w:t>buhalterinės apskaitos</w:t>
      </w:r>
      <w:r w:rsidRPr="00C972BC">
        <w:rPr>
          <w:rStyle w:val="Hipersaitas"/>
          <w:b w:val="0"/>
          <w:strike/>
          <w:lang w:val="lt-LT"/>
        </w:rPr>
        <w:t xml:space="preserve"> </w:t>
      </w:r>
      <w:r w:rsidRPr="00C972BC">
        <w:rPr>
          <w:rStyle w:val="Hipersaitas"/>
          <w:b w:val="0"/>
          <w:lang w:val="lt-LT"/>
        </w:rPr>
        <w:t>įstatymo</w:t>
      </w:r>
      <w:r w:rsidRPr="00C972BC">
        <w:rPr>
          <w:lang w:val="lt-LT"/>
        </w:rPr>
        <w:t xml:space="preserve"> 13 straipsnio 1 dalyje privalomuosius rekvizitus</w:t>
      </w:r>
    </w:p>
    <w:p w14:paraId="1FC4E6E2" w14:textId="77777777" w:rsidR="00C972BC" w:rsidRPr="00C972BC" w:rsidRDefault="00C972BC" w:rsidP="00C972BC">
      <w:pPr>
        <w:tabs>
          <w:tab w:val="left" w:pos="720"/>
          <w:tab w:val="left" w:pos="1077"/>
          <w:tab w:val="left" w:pos="1418"/>
        </w:tabs>
        <w:ind w:right="-5" w:firstLine="709"/>
        <w:jc w:val="both"/>
        <w:rPr>
          <w:lang w:val="lt-LT"/>
        </w:rPr>
      </w:pPr>
      <w:r w:rsidRPr="00C972BC">
        <w:rPr>
          <w:lang w:val="lt-LT"/>
        </w:rPr>
        <w:t xml:space="preserve">- nuo 2022 m. gegužės 1 d. dokumentais, turinčiais Lietuvos Respublikos </w:t>
      </w:r>
      <w:r w:rsidRPr="00C972BC">
        <w:rPr>
          <w:rStyle w:val="Hipersaitas"/>
          <w:b w:val="0"/>
          <w:lang w:val="lt-LT"/>
        </w:rPr>
        <w:t>finansinės apskaitos įstatymo</w:t>
      </w:r>
      <w:r w:rsidRPr="00C972BC">
        <w:rPr>
          <w:lang w:val="lt-LT"/>
        </w:rPr>
        <w:t xml:space="preserve"> 7 straipsnyje nustatytą apskaitos dokumentams privalomą informaciją. </w:t>
      </w:r>
    </w:p>
    <w:p w14:paraId="5FDA3E5F" w14:textId="77777777" w:rsidR="00093845" w:rsidRPr="0065344A" w:rsidRDefault="000D779E">
      <w:pPr>
        <w:tabs>
          <w:tab w:val="left" w:pos="720"/>
          <w:tab w:val="left" w:pos="1077"/>
          <w:tab w:val="left" w:pos="1418"/>
        </w:tabs>
        <w:ind w:right="-5" w:firstLine="709"/>
        <w:jc w:val="both"/>
        <w:rPr>
          <w:lang w:val="lt-LT"/>
        </w:rPr>
      </w:pPr>
      <w:r w:rsidRPr="0065344A">
        <w:rPr>
          <w:lang w:val="lt-LT"/>
        </w:rPr>
        <w:t>2.2.</w:t>
      </w:r>
      <w:r w:rsidRPr="0065344A">
        <w:rPr>
          <w:lang w:val="lt-LT"/>
        </w:rPr>
        <w:tab/>
        <w:t>teisės aktų nustatytais dokumentais, patvirtinančiais prekių arba paslaugų įsigijimą, jeigu prekės arba paslaugos, naudojamos reprezentacijai, įgytos iš kitų ūkio subjektų;</w:t>
      </w:r>
    </w:p>
    <w:p w14:paraId="5297AD49" w14:textId="77777777" w:rsidR="00C972BC" w:rsidRPr="00C972BC" w:rsidRDefault="000D779E" w:rsidP="00C972BC">
      <w:pPr>
        <w:pStyle w:val="Pagrindinistekstas"/>
        <w:ind w:right="141" w:firstLine="709"/>
        <w:rPr>
          <w:lang w:val="lt-LT"/>
        </w:rPr>
      </w:pPr>
      <w:r w:rsidRPr="0065344A">
        <w:rPr>
          <w:rFonts w:ascii="Times New Roman" w:hAnsi="Times New Roman" w:cs="Times New Roman"/>
          <w:lang w:val="lt-LT"/>
        </w:rPr>
        <w:t>2.3.</w:t>
      </w:r>
      <w:r w:rsidR="00C972BC">
        <w:rPr>
          <w:rFonts w:ascii="Times New Roman" w:hAnsi="Times New Roman" w:cs="Times New Roman"/>
          <w:lang w:val="lt-LT"/>
        </w:rPr>
        <w:t xml:space="preserve"> </w:t>
      </w:r>
      <w:r w:rsidR="00C972BC" w:rsidRPr="00C972BC">
        <w:rPr>
          <w:lang w:val="lt-LT"/>
        </w:rPr>
        <w:t>2.1 ir 2.2. punkte nurodytais atvejais reprezentacinėms sąnaudoms, priskiriamoms ribojamų dydžių leidžiamiems atskaitymams, pagrįsti surašomi laisvos formos aktai, patvirtinti —  iki 2022 m. balandžio 30 d. vieneto vadovo arba jo įgalioto asmens ir vyriausiojo finansininko arba jo įgalioto asmens parašais, nuo 2022 m. gegužės 1 d. vieneto vadovo arba jo įgalioto asmens ir vyriausiojo finansininko arba jo įgalioto asmens parašai nebūtini.</w:t>
      </w:r>
      <w:r w:rsidR="00C972BC" w:rsidRPr="00C972BC" w:rsidDel="008358DE">
        <w:rPr>
          <w:lang w:val="lt-LT"/>
        </w:rPr>
        <w:t xml:space="preserve"> </w:t>
      </w:r>
      <w:r w:rsidR="00C972BC" w:rsidRPr="00C972BC">
        <w:rPr>
          <w:color w:val="000000"/>
          <w:szCs w:val="22"/>
          <w:shd w:val="clear" w:color="auto" w:fill="FFFFFF"/>
          <w:lang w:val="lt-LT"/>
        </w:rPr>
        <w:t xml:space="preserve">Akte, kuriuo pagrindžiamos reprezentacinės sąnaudos, turi būti pateikta informacija, pagal kurią galima būtų nustatyti laikotarpį arba datą, turinį ir sumą. </w:t>
      </w:r>
      <w:r w:rsidR="00C972BC" w:rsidRPr="00C972BC">
        <w:rPr>
          <w:lang w:val="lt-LT"/>
        </w:rPr>
        <w:t>Pažymėtina tai, kad vienas iš informatyviausių šio dokumento rekvizitų yra ūkinės operacijos turinys, kuris nusako operacijos esmę. Tuo atveju, kai ūkinės operacijos esmė yra aiški iš vienetui už reprezentacinio pobūdžio paslaugas (prekes) pateiktų sąskaitų, tai reprezentacines sąnaudas pagrindžiantys minėti papildomi apskaitos dokumentai gali būti nesurašomi. Tokiu atveju reprezentacinės išlaidos gali būti pripažintos sąnaudomis pagal reprezentacinių paslaugų (prekių) pirkimo dokumentą, jeigu pagal vadovo nustatytą reprezentacijos išlaidų vertinimo bei įforminimo tvarką jis patvirtina, kad šios išlaidos yra reprezentacinės.”</w:t>
      </w:r>
    </w:p>
    <w:p w14:paraId="1FDF9D24" w14:textId="77777777" w:rsidR="00C972BC" w:rsidRPr="00D4411E" w:rsidRDefault="00034E6D">
      <w:pPr>
        <w:pStyle w:val="Pagrindinistekstas"/>
        <w:ind w:right="141" w:firstLine="709"/>
        <w:rPr>
          <w:rFonts w:ascii="Times New Roman" w:hAnsi="Times New Roman" w:cs="Times New Roman"/>
          <w:i/>
          <w:lang w:val="lt-LT"/>
        </w:rPr>
      </w:pPr>
      <w:r w:rsidRPr="005573D8">
        <w:rPr>
          <w:rFonts w:ascii="Times New Roman" w:hAnsi="Times New Roman" w:cs="Times New Roman"/>
          <w:color w:val="000000"/>
          <w:szCs w:val="22"/>
        </w:rPr>
        <w:t xml:space="preserve">  </w:t>
      </w:r>
      <w:r w:rsidRPr="00D4411E">
        <w:rPr>
          <w:rFonts w:ascii="Times New Roman" w:hAnsi="Times New Roman" w:cs="Times New Roman"/>
          <w:i/>
        </w:rPr>
        <w:t>(</w:t>
      </w:r>
      <w:r w:rsidR="00B457AE" w:rsidRPr="00D4411E">
        <w:rPr>
          <w:rFonts w:ascii="Times New Roman" w:hAnsi="Times New Roman" w:cs="Times New Roman"/>
          <w:i/>
        </w:rPr>
        <w:t>Pakeista p</w:t>
      </w:r>
      <w:r w:rsidRPr="00D4411E">
        <w:rPr>
          <w:rFonts w:ascii="Times New Roman" w:hAnsi="Times New Roman" w:cs="Times New Roman"/>
          <w:i/>
        </w:rPr>
        <w:t xml:space="preserve">agal VMI prie FM 2022-11-09 raštą </w:t>
      </w:r>
      <w:r w:rsidRPr="00D4411E">
        <w:rPr>
          <w:rFonts w:ascii="Times New Roman" w:hAnsi="Times New Roman" w:cs="Times New Roman"/>
          <w:i/>
          <w:color w:val="000000"/>
        </w:rPr>
        <w:t>Nr. (18.10-31-1Mr) R-4543)</w:t>
      </w:r>
    </w:p>
    <w:p w14:paraId="609C3CD3" w14:textId="77777777" w:rsidR="00093845" w:rsidRDefault="000D779E">
      <w:pPr>
        <w:pStyle w:val="Style1"/>
        <w:tabs>
          <w:tab w:val="left" w:pos="720"/>
          <w:tab w:val="left" w:pos="1077"/>
          <w:tab w:val="left" w:pos="1418"/>
        </w:tabs>
        <w:ind w:right="-5" w:firstLine="709"/>
        <w:rPr>
          <w:b/>
        </w:rPr>
      </w:pPr>
      <w:r>
        <w:rPr>
          <w:b/>
        </w:rPr>
        <w:t>4.</w:t>
      </w:r>
      <w:r>
        <w:rPr>
          <w:b/>
        </w:rPr>
        <w:tab/>
        <w:t xml:space="preserve">Reprezentacinėms sąnaudoms nepriskiriamos per vieneto akcininkus, pajininkus patirtos išlaidos, išskyrus atvejus, kai šie asmenys yra vieneto darbuotojai. </w:t>
      </w:r>
    </w:p>
    <w:p w14:paraId="64D6672E"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10414B92" w14:textId="77777777" w:rsidR="00093845" w:rsidRDefault="000D779E">
      <w:pPr>
        <w:tabs>
          <w:tab w:val="left" w:pos="720"/>
          <w:tab w:val="left" w:pos="1077"/>
          <w:tab w:val="left" w:pos="1418"/>
        </w:tabs>
        <w:ind w:right="-5" w:firstLine="709"/>
        <w:jc w:val="both"/>
        <w:rPr>
          <w:szCs w:val="20"/>
          <w:lang w:val="lt-LT"/>
        </w:rPr>
      </w:pPr>
      <w:r>
        <w:rPr>
          <w:lang w:val="lt-LT"/>
        </w:rPr>
        <w:t>Reprezentacinėms sąnaudoms nepriskiriamos ir laikomos neleidžiamais atskaitymais konkretiems asmenims suorganizuoto reprezentacinio renginio bei konkretiems asmenims suvenyrų įteikimo išlaidos, jeigu renginyje vienetą atstovavo tame vienete nedirbantys akcininkai arba pajininkai.</w:t>
      </w:r>
    </w:p>
    <w:p w14:paraId="33FCDD2E" w14:textId="77777777" w:rsidR="00093845" w:rsidRPr="0065344A" w:rsidRDefault="000D779E" w:rsidP="00D342FC">
      <w:pPr>
        <w:shd w:val="clear" w:color="auto" w:fill="FFFFFF"/>
        <w:spacing w:after="0"/>
        <w:ind w:firstLine="709"/>
        <w:rPr>
          <w:color w:val="000000"/>
          <w:lang w:val="lt-LT" w:eastAsia="lt-LT"/>
        </w:rPr>
      </w:pPr>
      <w:r w:rsidRPr="0065344A">
        <w:rPr>
          <w:b/>
          <w:lang w:val="lt-LT"/>
        </w:rPr>
        <w:t>5</w:t>
      </w:r>
      <w:r w:rsidRPr="0065344A">
        <w:rPr>
          <w:b/>
          <w:color w:val="000000"/>
          <w:lang w:val="lt-LT" w:eastAsia="lt-LT"/>
        </w:rPr>
        <w:t>.  Reprezentacinėms sąnaudoms nepriskiriamos azartinių lošimų išlaidos</w:t>
      </w:r>
      <w:r w:rsidRPr="0065344A">
        <w:rPr>
          <w:color w:val="000000"/>
          <w:lang w:val="lt-LT" w:eastAsia="lt-LT"/>
        </w:rPr>
        <w:t>.</w:t>
      </w:r>
    </w:p>
    <w:p w14:paraId="06BE0FF2" w14:textId="77777777" w:rsidR="00093845" w:rsidRPr="00441B00" w:rsidRDefault="000D779E" w:rsidP="00D342FC">
      <w:pPr>
        <w:pStyle w:val="prastasiniatinklio"/>
        <w:spacing w:before="0" w:beforeAutospacing="0" w:after="0" w:afterAutospacing="0"/>
        <w:ind w:firstLine="709"/>
        <w:rPr>
          <w:bCs/>
          <w:i/>
        </w:rPr>
      </w:pPr>
      <w:r w:rsidRPr="00441B00">
        <w:rPr>
          <w:bCs/>
          <w:i/>
        </w:rPr>
        <w:t>(</w:t>
      </w:r>
      <w:r w:rsidRPr="00441B00">
        <w:rPr>
          <w:i/>
        </w:rPr>
        <w:t xml:space="preserve">KEISTA: 2017 12 07 įstatymu Nr. XIII-842 (nuo 2017 12 23), </w:t>
      </w:r>
      <w:r w:rsidRPr="00441B00">
        <w:rPr>
          <w:b/>
          <w:bCs/>
          <w:i/>
        </w:rPr>
        <w:t xml:space="preserve"> </w:t>
      </w:r>
      <w:r w:rsidRPr="00441B00">
        <w:rPr>
          <w:i/>
        </w:rPr>
        <w:t>taikoma apskaičiuojant 2018 metais prasidėjusio ir vėlesnių mokestinių laikotarpių apmokestinamąjį pelną</w:t>
      </w:r>
      <w:r w:rsidRPr="00441B00">
        <w:rPr>
          <w:bCs/>
          <w:i/>
        </w:rPr>
        <w:t>)</w:t>
      </w:r>
    </w:p>
    <w:p w14:paraId="44766F69" w14:textId="77777777" w:rsidR="00093845" w:rsidRPr="00441B00" w:rsidRDefault="00093845">
      <w:pPr>
        <w:pStyle w:val="prastasiniatinklio"/>
        <w:spacing w:before="0" w:beforeAutospacing="0" w:after="0" w:afterAutospacing="0"/>
        <w:ind w:firstLine="709"/>
        <w:rPr>
          <w:bCs/>
          <w:i/>
        </w:rPr>
      </w:pPr>
    </w:p>
    <w:p w14:paraId="0E9CE757" w14:textId="77777777" w:rsidR="00093845" w:rsidRPr="0065344A" w:rsidRDefault="000D779E">
      <w:pPr>
        <w:tabs>
          <w:tab w:val="left" w:pos="720"/>
          <w:tab w:val="left" w:pos="1077"/>
          <w:tab w:val="left" w:pos="1418"/>
        </w:tabs>
        <w:ind w:right="-5" w:firstLine="709"/>
        <w:rPr>
          <w:b/>
          <w:lang w:val="lt-LT"/>
        </w:rPr>
      </w:pPr>
      <w:r w:rsidRPr="0065344A">
        <w:rPr>
          <w:b/>
          <w:lang w:val="lt-LT"/>
        </w:rPr>
        <w:t>Komentaras</w:t>
      </w:r>
    </w:p>
    <w:p w14:paraId="3463A011" w14:textId="77777777" w:rsidR="00093845" w:rsidRDefault="000D779E">
      <w:pPr>
        <w:pStyle w:val="Style1"/>
        <w:tabs>
          <w:tab w:val="left" w:pos="720"/>
          <w:tab w:val="left" w:pos="1077"/>
          <w:tab w:val="left" w:pos="1418"/>
        </w:tabs>
        <w:ind w:right="-5" w:firstLine="709"/>
        <w:rPr>
          <w:rFonts w:ascii="Times New Roman" w:hAnsi="Times New Roman"/>
          <w:szCs w:val="24"/>
        </w:rPr>
      </w:pPr>
      <w:r>
        <w:rPr>
          <w:rFonts w:ascii="Times New Roman" w:hAnsi="Times New Roman"/>
          <w:szCs w:val="24"/>
        </w:rPr>
        <w:t>Azartinių lošimų šlaidos nepriskiriamos reprezentacinėms sąnaudoms ir laikomos neleidžiamais atskaitymais, nors jos ir atitinka reprezentacines sąnaudas apibrėžiančius kriterijus.</w:t>
      </w:r>
    </w:p>
    <w:p w14:paraId="6D006D23" w14:textId="77777777" w:rsidR="00093845" w:rsidRDefault="000D779E">
      <w:pPr>
        <w:pStyle w:val="Pagrindiniotekstotrauka"/>
        <w:tabs>
          <w:tab w:val="left" w:pos="709"/>
        </w:tabs>
        <w:ind w:firstLine="709"/>
        <w:jc w:val="left"/>
        <w:rPr>
          <w:rFonts w:ascii="Times New Roman" w:hAnsi="Times New Roman"/>
          <w:color w:val="000000"/>
        </w:rPr>
      </w:pPr>
      <w:r>
        <w:rPr>
          <w:rFonts w:ascii="Times New Roman" w:hAnsi="Times New Roman" w:cs="Times New Roman"/>
        </w:rPr>
        <w:t>(Pagal VMI prie FM 2018-07-17 raštą Nr. (</w:t>
      </w:r>
      <w:r>
        <w:rPr>
          <w:rFonts w:ascii="Times New Roman" w:hAnsi="Times New Roman" w:cs="Times New Roman"/>
          <w:color w:val="000000"/>
        </w:rPr>
        <w:t>32.42-31-1E) RM-25937</w:t>
      </w:r>
      <w:r>
        <w:rPr>
          <w:rFonts w:ascii="Times New Roman" w:hAnsi="Times New Roman"/>
          <w:color w:val="000000"/>
        </w:rPr>
        <w:t>)</w:t>
      </w:r>
    </w:p>
    <w:p w14:paraId="4467C410" w14:textId="77777777" w:rsidR="00155554" w:rsidRDefault="00155554">
      <w:pPr>
        <w:pStyle w:val="Pagrindiniotekstotrauka"/>
        <w:tabs>
          <w:tab w:val="left" w:pos="709"/>
        </w:tabs>
        <w:ind w:firstLine="709"/>
        <w:jc w:val="left"/>
        <w:rPr>
          <w:rFonts w:ascii="Times New Roman" w:hAnsi="Times New Roman" w:cs="Times New Roman"/>
        </w:rPr>
      </w:pPr>
    </w:p>
    <w:p w14:paraId="5BD96676" w14:textId="77777777" w:rsidR="00093845" w:rsidRDefault="000D779E">
      <w:pPr>
        <w:pStyle w:val="Antrat1"/>
        <w:jc w:val="both"/>
        <w:rPr>
          <w:bCs w:val="0"/>
          <w:lang w:val="lt-LT"/>
        </w:rPr>
      </w:pPr>
      <w:bookmarkStart w:id="352" w:name="_23_straipsnis._Natūralios"/>
      <w:bookmarkEnd w:id="352"/>
      <w:r>
        <w:rPr>
          <w:bCs w:val="0"/>
          <w:lang w:val="lt-LT"/>
        </w:rPr>
        <w:lastRenderedPageBreak/>
        <w:t xml:space="preserve">23 STRAIPSNIS. Natūralios netekties nuostoliai </w:t>
      </w:r>
    </w:p>
    <w:p w14:paraId="3E3CB61A" w14:textId="77777777" w:rsidR="00093845" w:rsidRDefault="000D779E" w:rsidP="003301BF">
      <w:pPr>
        <w:pStyle w:val="prastasiniatinklio"/>
        <w:ind w:firstLine="709"/>
        <w:jc w:val="both"/>
      </w:pPr>
      <w:r>
        <w:rPr>
          <w:rStyle w:val="Grietas"/>
        </w:rPr>
        <w:t xml:space="preserve">1. Natūralios netekties nuostoliais laikomas natūralus prekių (žaliavų, produkcijos) sumažėjimas dėl prekių (žaliavų, produkcijos) saugojimo, perpylimo, fasavimo, vežimo, krovimo ir pardavimo, įskaitant nuostolius dėl pirkėjų užmaršumo. </w:t>
      </w:r>
    </w:p>
    <w:p w14:paraId="3A22D93D" w14:textId="77777777" w:rsidR="00093845" w:rsidRDefault="000D779E" w:rsidP="003301BF">
      <w:pPr>
        <w:pStyle w:val="prastasiniatinklio"/>
        <w:ind w:firstLine="709"/>
        <w:jc w:val="both"/>
      </w:pPr>
      <w:r>
        <w:rPr>
          <w:rStyle w:val="Grietas"/>
        </w:rPr>
        <w:t xml:space="preserve">Komentaras </w:t>
      </w:r>
    </w:p>
    <w:p w14:paraId="65F4D22C" w14:textId="77777777" w:rsidR="00093845" w:rsidRDefault="000D779E" w:rsidP="003301BF">
      <w:pPr>
        <w:pStyle w:val="prastasiniatinklio"/>
        <w:ind w:firstLine="567"/>
        <w:jc w:val="both"/>
      </w:pPr>
      <w:r>
        <w:t xml:space="preserve">1. Vieneto faktiškai patirti natūralios netekties nuostoliai priskiriami prie ribojamų dydžių leidžiamų atskaitymų. Apskaičiuojant apmokestinamąjį pelną, per mokestinį laikotarpį patirtų natūralios netekties nuostolių sumai taikomas ribojimas, nustatytas šio straipsnio 2 dalyje. </w:t>
      </w:r>
    </w:p>
    <w:p w14:paraId="7C2FDA17" w14:textId="77777777" w:rsidR="00093845" w:rsidRDefault="000D779E" w:rsidP="003301BF">
      <w:pPr>
        <w:pStyle w:val="prastasiniatinklio"/>
        <w:ind w:firstLine="567"/>
        <w:jc w:val="both"/>
      </w:pPr>
      <w:r>
        <w:t xml:space="preserve">2. Natūralios netekties nuostoliais laikomi nuostoliai, susidarę dėl prekių (gatavos produkcijos, žaliavų) specifinių savybių (drėgmės išgaravimo, biologinių procesų - kvėpavimo, mikroorganizmų veiklos ir pan.) t.y. dėl jų nudžiūvimo, nugaravimo, išdulkėjimo arba nubyrėjimo, sudužimo, išsilaistymo saugant, fasuojant, perpilant, vežant, kraunant, parduodant (ir dėl pirkėjų užmaršumo). </w:t>
      </w:r>
    </w:p>
    <w:p w14:paraId="52CEAB13" w14:textId="77777777" w:rsidR="00093845" w:rsidRDefault="000D779E" w:rsidP="003301BF">
      <w:pPr>
        <w:pStyle w:val="prastasiniatinklio"/>
        <w:ind w:firstLine="567"/>
        <w:jc w:val="both"/>
      </w:pPr>
      <w:r>
        <w:t>3. Pagal šios dalies nuostatas gamybos ir technologinių procesų metu susidarę produkcijos nuostoliai natūralios netekties nuostoliams nepriskiriami, t.y. tokie nuostoliai netapatinami su natūralios netekties nuostoliais ta prasme, kad jiems netaikomas šio straipsnio 2 dalyje nustatytas natūralios netekties nuostolių ribojimas (iki 1 proc. vieneto pajamų), nustatant produkcijos išeigą. Žaliavų (medžiagų), sunaudotų gaminant produkciją, įsigijimo savikaina įeina į pagamintos produkcijos savikainą. Vienetai, atsižvelgdami į gamybos proceso ypatumus, patys nusistato</w:t>
      </w:r>
      <w:r>
        <w:rPr>
          <w:rStyle w:val="Grietas"/>
        </w:rPr>
        <w:t> </w:t>
      </w:r>
      <w:r>
        <w:t>gaminamos produkcijos išeigos</w:t>
      </w:r>
      <w:r>
        <w:rPr>
          <w:rStyle w:val="Grietas"/>
        </w:rPr>
        <w:t> </w:t>
      </w:r>
      <w:r>
        <w:t xml:space="preserve">(gamybinių atliekų) normas (išskyrus tuos atvejus, kai tokie normatyvai (išeiga) nustatyti teisės aktais). Gamybos nuostoliai (pvz., brokas, žaliavų, medžiagų gedimas) nei leidžiamiems, nei ribojamų dydžių leidžiamiems atskaitymams nepriskiriami. Faktiškai patirti žaliavų (medžiagų) natūralios netekties nuostoliai, susidarę ne gamybos procese (pvz., žaliavų, medžiagų saugojimo metu), priskiriami ribojamų dydžių leidžiamiems atskaitymams. </w:t>
      </w:r>
    </w:p>
    <w:p w14:paraId="5D85E885" w14:textId="77777777" w:rsidR="00093845" w:rsidRDefault="000D779E" w:rsidP="003301BF">
      <w:pPr>
        <w:pStyle w:val="prastasiniatinklio"/>
        <w:ind w:firstLine="567"/>
        <w:jc w:val="both"/>
      </w:pPr>
      <w:r>
        <w:t xml:space="preserve">4. Prekių (produkcijos) trūkumas, susidaręs dėl pirkėjų užmaršumo prekių (produkcijos) pardavimo vietose (mažmeninės prekybos savitarnos salėse), gali būti priskiriamas natūralios netekties nuostoliams. Prekių (produkcijos) trūkumas, susidaręs dėl pirkėjų užmaršumo iš kitose vietose (pvz., iš parduotuvių sandėliuose ar kitose saugojimo vietose) ir dėl grobstymų, natūralios netekties nuostoliams nepriskiriamas. </w:t>
      </w:r>
    </w:p>
    <w:p w14:paraId="75361061" w14:textId="77777777" w:rsidR="00093845" w:rsidRDefault="000D779E" w:rsidP="003301BF">
      <w:pPr>
        <w:pStyle w:val="prastasiniatinklio"/>
        <w:ind w:firstLine="567"/>
        <w:jc w:val="both"/>
      </w:pPr>
      <w:r>
        <w:t xml:space="preserve">5. Natūralios netekties nuostoliams nepriskiriami dėl prekių (produkcijos) gedimo (neįskaitant uogų, daržovių, vaisių, grybų) ar broko susidarę nuostoliai. Nuostoliai, susiję su prekių nekokybiškumu ar netinkamumu vartoti dėl realizacijos terminų pasibaigimo, nelaikomi natūralios netekties nuostoliais. </w:t>
      </w:r>
    </w:p>
    <w:p w14:paraId="361F3FD1" w14:textId="77777777" w:rsidR="00093845" w:rsidRDefault="000D779E" w:rsidP="003301BF">
      <w:pPr>
        <w:pStyle w:val="prastasiniatinklio"/>
        <w:ind w:firstLine="567"/>
        <w:jc w:val="both"/>
      </w:pPr>
      <w:r>
        <w:t xml:space="preserve">Natūralios netekties nuostoliams taip pat nepriskiriami nuostoliai, patirti dėl stichinių nelaimių. </w:t>
      </w:r>
    </w:p>
    <w:p w14:paraId="67E00206" w14:textId="77777777" w:rsidR="00093845" w:rsidRDefault="000D779E">
      <w:pPr>
        <w:tabs>
          <w:tab w:val="left" w:pos="720"/>
          <w:tab w:val="left" w:pos="1077"/>
          <w:tab w:val="left" w:pos="1418"/>
        </w:tabs>
        <w:ind w:right="-5" w:firstLine="709"/>
        <w:jc w:val="both"/>
        <w:rPr>
          <w:bCs/>
          <w:szCs w:val="20"/>
          <w:lang w:val="lt-LT"/>
        </w:rPr>
      </w:pPr>
      <w:r>
        <w:rPr>
          <w:bCs/>
          <w:szCs w:val="20"/>
          <w:lang w:val="lt-LT"/>
        </w:rPr>
        <w:t>(Pakeist</w:t>
      </w:r>
      <w:r w:rsidR="00985B4F">
        <w:rPr>
          <w:bCs/>
          <w:szCs w:val="20"/>
          <w:lang w:val="lt-LT"/>
        </w:rPr>
        <w:t>a</w:t>
      </w:r>
      <w:r>
        <w:rPr>
          <w:bCs/>
          <w:szCs w:val="20"/>
          <w:lang w:val="lt-LT"/>
        </w:rPr>
        <w:t xml:space="preserve"> VMI prie FM 2008-08-27 raštu Nr. (18.9-31-1)-R-7561)</w:t>
      </w:r>
    </w:p>
    <w:p w14:paraId="17BA9CDD" w14:textId="77777777" w:rsidR="00093845" w:rsidRDefault="000D779E" w:rsidP="00D342FC">
      <w:pPr>
        <w:spacing w:after="0"/>
        <w:ind w:firstLine="567"/>
        <w:jc w:val="both"/>
        <w:rPr>
          <w:lang w:val="lt-LT"/>
        </w:rPr>
      </w:pPr>
      <w:r>
        <w:rPr>
          <w:rStyle w:val="Grietas"/>
          <w:lang w:val="lt-LT"/>
        </w:rPr>
        <w:t xml:space="preserve">2. Iš pajamų atskaitoma faktiškai patirtų natūralios netekties nuostolių, išskyrus šviežių vaisių, uogų, grybų ir daržovių natūralios netekties nuostolius, suma, neviršijanti 1 procento vieneto pajamų. Atskaitoma faktiškai patirtų šviežių vaisių, uogų, grybų ir daržovių natūralios netekties nuostolių suma negali viršyti 3 procentų vieneto pajamų. </w:t>
      </w:r>
    </w:p>
    <w:p w14:paraId="6D208759" w14:textId="77777777" w:rsidR="00093845" w:rsidRPr="00441B00" w:rsidRDefault="000D779E" w:rsidP="00D342FC">
      <w:pPr>
        <w:spacing w:after="0"/>
        <w:jc w:val="both"/>
        <w:rPr>
          <w:b/>
          <w:i/>
          <w:lang w:val="lt-LT"/>
        </w:rPr>
      </w:pPr>
      <w:r w:rsidRPr="00441B00">
        <w:rPr>
          <w:rStyle w:val="Grietas"/>
          <w:b w:val="0"/>
          <w:i/>
          <w:lang w:val="lt-LT"/>
        </w:rPr>
        <w:t>(</w:t>
      </w:r>
      <w:r w:rsidRPr="00441B00">
        <w:rPr>
          <w:i/>
          <w:lang w:val="lt-LT"/>
        </w:rPr>
        <w:t xml:space="preserve">KEISTA: </w:t>
      </w:r>
      <w:r w:rsidRPr="00441B00">
        <w:rPr>
          <w:i/>
          <w:color w:val="000000"/>
          <w:lang w:val="lt-LT"/>
        </w:rPr>
        <w:t>2008 04 10 įstatymu Nr. X-1484 (nuo 2008 04 24)</w:t>
      </w:r>
      <w:r w:rsidR="008D0FC6" w:rsidRPr="00441B00">
        <w:rPr>
          <w:i/>
          <w:color w:val="000000"/>
          <w:lang w:val="lt-LT"/>
        </w:rPr>
        <w:t>,</w:t>
      </w:r>
      <w:r w:rsidR="00862B96" w:rsidRPr="00441B00">
        <w:rPr>
          <w:i/>
          <w:lang w:val="lt-LT"/>
        </w:rPr>
        <w:t xml:space="preserve"> </w:t>
      </w:r>
      <w:r w:rsidR="00862B96" w:rsidRPr="00441B00">
        <w:rPr>
          <w:i/>
          <w:color w:val="000000"/>
          <w:lang w:val="lt-LT"/>
        </w:rPr>
        <w:t>taikoma apskaičiuojant 2008 metais prasidėjusio ir vėlesnių mokestinių laikotarpių apmokestinamąjį pelną</w:t>
      </w:r>
      <w:r w:rsidRPr="00441B00">
        <w:rPr>
          <w:rStyle w:val="Grietas"/>
          <w:b w:val="0"/>
          <w:i/>
          <w:lang w:val="lt-LT"/>
        </w:rPr>
        <w:t xml:space="preserve">) </w:t>
      </w:r>
    </w:p>
    <w:p w14:paraId="13F562F6" w14:textId="77777777" w:rsidR="00093845" w:rsidRDefault="000D779E" w:rsidP="003301BF">
      <w:pPr>
        <w:pStyle w:val="prastasiniatinklio"/>
        <w:ind w:firstLine="567"/>
        <w:jc w:val="both"/>
      </w:pPr>
      <w:r>
        <w:rPr>
          <w:rStyle w:val="Grietas"/>
        </w:rPr>
        <w:lastRenderedPageBreak/>
        <w:t xml:space="preserve">Komentaras </w:t>
      </w:r>
    </w:p>
    <w:p w14:paraId="47E23422" w14:textId="77777777" w:rsidR="00093845" w:rsidRDefault="000D779E" w:rsidP="003301BF">
      <w:pPr>
        <w:pStyle w:val="prastasiniatinklio"/>
        <w:ind w:firstLine="567"/>
        <w:jc w:val="both"/>
      </w:pPr>
      <w:r>
        <w:t xml:space="preserve">1. Vienetai, apskaičiuodami apmokestinamąjį pelną, iš pajamų gali atskaityti tik </w:t>
      </w:r>
      <w:r>
        <w:rPr>
          <w:i/>
          <w:iCs/>
        </w:rPr>
        <w:t xml:space="preserve">faktiškai </w:t>
      </w:r>
      <w:r>
        <w:t xml:space="preserve">patirtų prekių (žaliavų, produkcijos) natūralios netekties nuostolių sumas. </w:t>
      </w:r>
    </w:p>
    <w:p w14:paraId="4BF6E21B" w14:textId="77777777" w:rsidR="00093845" w:rsidRDefault="000D779E" w:rsidP="003301BF">
      <w:pPr>
        <w:pStyle w:val="prastasiniatinklio"/>
        <w:ind w:firstLine="567"/>
        <w:jc w:val="both"/>
      </w:pPr>
      <w:r>
        <w:t xml:space="preserve">Leidžiamiems atskaitymams priskiriamos sumos negali būti didesnės kaip: </w:t>
      </w:r>
    </w:p>
    <w:p w14:paraId="594CF2E9" w14:textId="77777777" w:rsidR="00093845" w:rsidRDefault="000D779E" w:rsidP="003301BF">
      <w:pPr>
        <w:pStyle w:val="prastasiniatinklio"/>
        <w:ind w:firstLine="567"/>
        <w:jc w:val="both"/>
      </w:pPr>
      <w:r>
        <w:t xml:space="preserve">- 3 proc. visų (t.y. ir apmokestinamų ir neapmokestinamų) pajamų, kai atskaitomi faktiškai patirti šviežių vaisių, uogų, grybų ir daržovių natūralios netekties nuostoliai; </w:t>
      </w:r>
    </w:p>
    <w:p w14:paraId="780FAAF5" w14:textId="77777777" w:rsidR="00093845" w:rsidRDefault="000D779E" w:rsidP="003301BF">
      <w:pPr>
        <w:pStyle w:val="prastasiniatinklio"/>
        <w:ind w:firstLine="567"/>
        <w:jc w:val="both"/>
      </w:pPr>
      <w:r>
        <w:t xml:space="preserve">- 1 proc. visų (t.y. ir apmokestinamų ir neapmokestinamų) pajamų, kai atskaitomi kiti faktiškai patirti natūralios netekties nuostoliai. </w:t>
      </w:r>
    </w:p>
    <w:p w14:paraId="0C1E82CD" w14:textId="77777777" w:rsidR="00093845" w:rsidRDefault="000D779E" w:rsidP="003301BF">
      <w:pPr>
        <w:pStyle w:val="prastasiniatinklio"/>
        <w:ind w:firstLine="567"/>
        <w:jc w:val="both"/>
      </w:pPr>
      <w:r>
        <w:t xml:space="preserve">Vieneto faktiškai patirtos natūralios netekties nuostolių sumos, viršijančios, atitinkamai, 3 ar 1 proc. visų vieneto pajamų, yra priskiriamos neleidžiamiems atskaitymams. </w:t>
      </w:r>
    </w:p>
    <w:p w14:paraId="098CA773" w14:textId="77777777" w:rsidR="00093845" w:rsidRDefault="000D779E" w:rsidP="003301BF">
      <w:pPr>
        <w:pStyle w:val="prastasiniatinklio"/>
        <w:ind w:firstLine="567"/>
        <w:jc w:val="both"/>
      </w:pPr>
      <w:r>
        <w:t xml:space="preserve">Iš pajamų leistina atskaityti natūralios netekties nuostolių norma – (1 ir/arba 3 proc. pajamų) yra apskaičiuojama nuo metų pradžios didėjimo tvarka. </w:t>
      </w:r>
    </w:p>
    <w:p w14:paraId="7400AA5C" w14:textId="77777777" w:rsidR="00093845" w:rsidRDefault="000D779E" w:rsidP="003301BF">
      <w:pPr>
        <w:pStyle w:val="prastasiniatinklio"/>
        <w:ind w:firstLine="567"/>
        <w:jc w:val="both"/>
      </w:pPr>
      <w:r>
        <w:t xml:space="preserve">2. Prekių (produkcijos) natūralios netekties nuostoliai ribojamų dydžio leidžiamais atskaitymais pripažįstami tik tada, kai jie faktiškai patiriami, t.y. nustatomi kiekvienu atskiru atveju (pvz., prekybos salėje sudužo stiklainiai su konservuotais maisto produktais, suplyšo maišeliai su biriais maisto produktais, transportavimo metu prekės neteko svorio ir pan.), apskaičiuojami pagal specialias metodikas arba nustatomi jų inventorizavimo metu. </w:t>
      </w:r>
    </w:p>
    <w:p w14:paraId="5894857B" w14:textId="77777777" w:rsidR="00034E6D" w:rsidRPr="00034E6D" w:rsidRDefault="00034E6D" w:rsidP="00034E6D">
      <w:pPr>
        <w:widowControl w:val="0"/>
        <w:suppressAutoHyphens/>
        <w:ind w:firstLine="720"/>
        <w:jc w:val="both"/>
        <w:rPr>
          <w:iCs/>
          <w:color w:val="000000"/>
          <w:lang w:val="lt-LT" w:eastAsia="lt-LT"/>
        </w:rPr>
      </w:pPr>
      <w:r w:rsidRPr="00034E6D">
        <w:rPr>
          <w:lang w:val="lt-LT"/>
        </w:rPr>
        <w:t xml:space="preserve">Atsargų inventorizavimas turi būti atliekamas vadovaujantis Lietuvos Respublikos finansinės apskaitos įstatymu. </w:t>
      </w:r>
    </w:p>
    <w:p w14:paraId="54D1957A" w14:textId="77777777" w:rsidR="00034E6D" w:rsidRDefault="00034E6D" w:rsidP="00034E6D">
      <w:pPr>
        <w:pStyle w:val="prastasiniatinklio"/>
        <w:spacing w:before="0" w:beforeAutospacing="0" w:after="0" w:afterAutospacing="0" w:line="240" w:lineRule="auto"/>
        <w:ind w:firstLine="567"/>
        <w:jc w:val="both"/>
      </w:pPr>
      <w:r w:rsidRPr="00034E6D">
        <w:t xml:space="preserve">Inventorizacijos atlikimo tvarkos nustatymo rekomendacijos yra patvirtintos Audito, apskaitos, turto vertinimo ir nemokumo valdymo tarnybos prie Lietuvos Respublikos finansų ministerijos 2022 m. kovo 31 d. parengtų Vidaus kontrolės organizavimo rekomendacijų VI skyriuje „Apskaitos registrų pagrindimo faktiniais turto ir įsipareigojimų likučiais kontrolės priemonės“. </w:t>
      </w:r>
    </w:p>
    <w:p w14:paraId="07604257" w14:textId="77777777" w:rsidR="00034E6D" w:rsidRPr="00034E6D" w:rsidRDefault="00034E6D" w:rsidP="00034E6D">
      <w:pPr>
        <w:pStyle w:val="prastasiniatinklio"/>
        <w:spacing w:before="0" w:beforeAutospacing="0" w:after="0" w:afterAutospacing="0" w:line="240" w:lineRule="auto"/>
        <w:ind w:firstLine="567"/>
        <w:jc w:val="both"/>
        <w:rPr>
          <w:strike/>
        </w:rPr>
      </w:pPr>
      <w:r w:rsidRPr="00034E6D">
        <w:t>Vienetai, atsižvelgdami į savo veiklos specifiką ir patvirtintas Inventorizacijos atlikimo tvarkos nustatymo rekomendacijas, patys nusistato inventorizacijos atlikimo tvarką.</w:t>
      </w:r>
    </w:p>
    <w:p w14:paraId="12DDAEFE" w14:textId="77777777" w:rsidR="00034E6D" w:rsidRDefault="00034E6D" w:rsidP="00034E6D">
      <w:pPr>
        <w:pStyle w:val="Style1"/>
        <w:tabs>
          <w:tab w:val="left" w:pos="720"/>
          <w:tab w:val="left" w:pos="1077"/>
          <w:tab w:val="left" w:pos="1418"/>
        </w:tabs>
        <w:spacing w:after="0" w:line="240" w:lineRule="auto"/>
        <w:ind w:right="-5" w:firstLine="709"/>
        <w:rPr>
          <w:rFonts w:ascii="Times New Roman" w:hAnsi="Times New Roman"/>
          <w:color w:val="000000"/>
          <w:szCs w:val="24"/>
          <w:shd w:val="clear" w:color="auto" w:fill="FFFFFF"/>
        </w:rPr>
      </w:pPr>
      <w:r w:rsidRPr="00034E6D">
        <w:rPr>
          <w:rFonts w:ascii="Times New Roman" w:hAnsi="Times New Roman"/>
          <w:szCs w:val="24"/>
        </w:rPr>
        <w:t xml:space="preserve">Prekių (produkcijos) trūkumo dėl natūralios netekties nuostolių vertės suma ribojamų dydžių leidžiamiems atskaitymams priskiriama prekių trūkumą nustačius kiekvienu atskiru atveju ar inventorizavimo metu, visais atvejais šį faktą įforminus </w:t>
      </w:r>
      <w:r w:rsidRPr="00034E6D">
        <w:rPr>
          <w:rFonts w:ascii="Times New Roman" w:hAnsi="Times New Roman"/>
          <w:color w:val="000000"/>
          <w:szCs w:val="24"/>
          <w:shd w:val="clear" w:color="auto" w:fill="FFFFFF"/>
        </w:rPr>
        <w:t>apskaitos dokumentu, kuriame turi būti pateikta informacija, pagal kurią galima būtų nustatyti laikotarpį arba datą, turinį ir sumą.</w:t>
      </w:r>
    </w:p>
    <w:p w14:paraId="5D8F0044" w14:textId="77777777" w:rsidR="00034E6D" w:rsidRDefault="00034E6D" w:rsidP="00034E6D">
      <w:pPr>
        <w:pStyle w:val="Style1"/>
        <w:tabs>
          <w:tab w:val="left" w:pos="720"/>
          <w:tab w:val="left" w:pos="1077"/>
          <w:tab w:val="left" w:pos="1418"/>
        </w:tabs>
        <w:spacing w:after="0" w:line="240" w:lineRule="auto"/>
        <w:ind w:right="-5" w:firstLine="709"/>
        <w:rPr>
          <w:rFonts w:ascii="Times New Roman" w:hAnsi="Times New Roman"/>
          <w:color w:val="000000"/>
          <w:szCs w:val="24"/>
          <w:shd w:val="clear" w:color="auto" w:fill="FFFFFF"/>
        </w:rPr>
      </w:pPr>
    </w:p>
    <w:p w14:paraId="520A212B" w14:textId="77777777" w:rsidR="00034E6D" w:rsidRPr="00D4411E" w:rsidRDefault="00034E6D" w:rsidP="00034E6D">
      <w:pPr>
        <w:pStyle w:val="Style1"/>
        <w:tabs>
          <w:tab w:val="left" w:pos="720"/>
          <w:tab w:val="left" w:pos="1077"/>
          <w:tab w:val="left" w:pos="1418"/>
        </w:tabs>
        <w:spacing w:after="0" w:line="240" w:lineRule="auto"/>
        <w:ind w:right="-5" w:firstLine="709"/>
        <w:rPr>
          <w:rFonts w:ascii="Times New Roman" w:hAnsi="Times New Roman"/>
          <w:i/>
          <w:color w:val="000000"/>
          <w:szCs w:val="24"/>
          <w:shd w:val="clear" w:color="auto" w:fill="FFFFFF"/>
        </w:rPr>
      </w:pPr>
      <w:r w:rsidRPr="005573D8">
        <w:rPr>
          <w:rFonts w:ascii="Times New Roman" w:hAnsi="Times New Roman"/>
          <w:color w:val="000000"/>
          <w:szCs w:val="22"/>
        </w:rPr>
        <w:t xml:space="preserve">  </w:t>
      </w:r>
      <w:r w:rsidRPr="00D4411E">
        <w:rPr>
          <w:rFonts w:ascii="Times New Roman" w:hAnsi="Times New Roman"/>
          <w:i/>
          <w:szCs w:val="24"/>
        </w:rPr>
        <w:t>(</w:t>
      </w:r>
      <w:r w:rsidR="00B457AE" w:rsidRPr="00D4411E">
        <w:rPr>
          <w:rFonts w:ascii="Times New Roman" w:hAnsi="Times New Roman"/>
          <w:i/>
          <w:szCs w:val="24"/>
        </w:rPr>
        <w:t>Pakeista p</w:t>
      </w:r>
      <w:r w:rsidRPr="00D4411E">
        <w:rPr>
          <w:rFonts w:ascii="Times New Roman" w:hAnsi="Times New Roman"/>
          <w:i/>
          <w:szCs w:val="24"/>
        </w:rPr>
        <w:t xml:space="preserve">agal VMI prie FM 2022-11-09 raštą </w:t>
      </w:r>
      <w:r w:rsidRPr="00D4411E">
        <w:rPr>
          <w:rFonts w:ascii="Times New Roman" w:hAnsi="Times New Roman"/>
          <w:i/>
          <w:color w:val="000000"/>
          <w:szCs w:val="24"/>
        </w:rPr>
        <w:t>Nr. (18.10-31-1Mr) R-4543)</w:t>
      </w:r>
    </w:p>
    <w:p w14:paraId="69A7611C" w14:textId="77777777" w:rsidR="00034E6D" w:rsidRPr="00034E6D" w:rsidRDefault="00034E6D" w:rsidP="00034E6D">
      <w:pPr>
        <w:pStyle w:val="Style1"/>
        <w:tabs>
          <w:tab w:val="left" w:pos="720"/>
          <w:tab w:val="left" w:pos="1077"/>
          <w:tab w:val="left" w:pos="1418"/>
        </w:tabs>
        <w:spacing w:after="0" w:line="240" w:lineRule="auto"/>
        <w:ind w:right="-5" w:firstLine="709"/>
        <w:rPr>
          <w:rFonts w:ascii="Times New Roman" w:hAnsi="Times New Roman"/>
          <w:szCs w:val="24"/>
        </w:rPr>
      </w:pPr>
    </w:p>
    <w:p w14:paraId="55455DFD" w14:textId="77777777" w:rsidR="00093845" w:rsidRDefault="000D779E">
      <w:pPr>
        <w:pStyle w:val="Antrat1"/>
        <w:ind w:right="-82"/>
        <w:jc w:val="both"/>
        <w:rPr>
          <w:bCs w:val="0"/>
          <w:szCs w:val="20"/>
          <w:lang w:val="lt-LT"/>
        </w:rPr>
      </w:pPr>
      <w:bookmarkStart w:id="353" w:name="_24_STRAIPSNIS._Mokesčiai_1"/>
      <w:bookmarkEnd w:id="353"/>
      <w:r>
        <w:rPr>
          <w:bCs w:val="0"/>
          <w:lang w:val="lt-LT"/>
        </w:rPr>
        <w:t xml:space="preserve">24 STRAIPSNIS. Mokesčiai </w:t>
      </w:r>
    </w:p>
    <w:p w14:paraId="6133A58C" w14:textId="77777777" w:rsidR="00093845" w:rsidRPr="0065344A" w:rsidRDefault="000D779E">
      <w:pPr>
        <w:tabs>
          <w:tab w:val="left" w:pos="720"/>
          <w:tab w:val="left" w:pos="1077"/>
          <w:tab w:val="left" w:pos="1418"/>
        </w:tabs>
        <w:ind w:right="-82" w:firstLine="709"/>
        <w:jc w:val="both"/>
        <w:rPr>
          <w:b/>
          <w:szCs w:val="20"/>
          <w:lang w:val="fr-FR"/>
        </w:rPr>
      </w:pPr>
      <w:r w:rsidRPr="0065344A">
        <w:rPr>
          <w:b/>
          <w:lang w:val="fr-FR"/>
        </w:rPr>
        <w:t>1.</w:t>
      </w:r>
      <w:r w:rsidRPr="0065344A">
        <w:rPr>
          <w:b/>
          <w:lang w:val="fr-FR"/>
        </w:rPr>
        <w:tab/>
        <w:t xml:space="preserve">Iš pajamų atskaitomi Mokesčių administravimo įstatymo nustatyti mokesčiai ir kitais Lietuvos Respublikos įstatymais arba Vyriausybės nutarimais nustatytos rinkliavos bei privalomosios įmokos, jeigu šis Įstatymas nenustato ko kita. </w:t>
      </w:r>
    </w:p>
    <w:p w14:paraId="1562E89E" w14:textId="77777777" w:rsidR="00093845" w:rsidRDefault="000D779E">
      <w:pPr>
        <w:pStyle w:val="Pagrindiniotekstotrauka"/>
        <w:tabs>
          <w:tab w:val="left" w:pos="720"/>
          <w:tab w:val="left" w:pos="1077"/>
          <w:tab w:val="left" w:pos="1418"/>
          <w:tab w:val="left" w:pos="9072"/>
        </w:tabs>
        <w:ind w:right="-82" w:firstLine="709"/>
        <w:rPr>
          <w:rFonts w:ascii="Times New Roman" w:hAnsi="Times New Roman"/>
          <w:lang w:val="lt-LT"/>
        </w:rPr>
      </w:pPr>
      <w:r>
        <w:rPr>
          <w:rFonts w:ascii="Times New Roman" w:hAnsi="Times New Roman"/>
          <w:lang w:val="lt-LT"/>
        </w:rPr>
        <w:t>1.</w:t>
      </w:r>
      <w:r>
        <w:rPr>
          <w:rFonts w:ascii="Times New Roman" w:hAnsi="Times New Roman"/>
          <w:lang w:val="lt-LT"/>
        </w:rPr>
        <w:tab/>
        <w:t xml:space="preserve">Remiantis šia dalimi, iš pajamų atskaitomi Lietuvos Respublikos </w:t>
      </w:r>
      <w:r w:rsidR="00ED2FA3" w:rsidRPr="009C0219">
        <w:rPr>
          <w:rStyle w:val="Hipersaitas"/>
          <w:rFonts w:ascii="Times New Roman" w:hAnsi="Times New Roman"/>
          <w:b w:val="0"/>
          <w:bCs w:val="0"/>
          <w:kern w:val="0"/>
          <w:lang w:val="lt-LT"/>
        </w:rPr>
        <w:t>mokesčių administravimo įstatymo</w:t>
      </w:r>
      <w:r w:rsidRPr="003301BF">
        <w:rPr>
          <w:rFonts w:ascii="Times New Roman" w:hAnsi="Times New Roman"/>
          <w:lang w:val="lt-LT"/>
        </w:rPr>
        <w:t xml:space="preserve"> </w:t>
      </w:r>
      <w:r>
        <w:rPr>
          <w:rFonts w:ascii="Times New Roman" w:hAnsi="Times New Roman"/>
          <w:lang w:val="lt-LT"/>
        </w:rPr>
        <w:t xml:space="preserve">13 straipsnyje nustatyti mokesčiai (išskyrus pelno mokestį, pridėtinės vertės mokestį, mokamą į biudžetą, bei įmonės sumokėtus mokesčius, kuriuos privalo mokėti gyventojai (GPM, VSD ir PSD)) bei kituose įstatymuose ir Lietuvos Respublikos Vyriausybės nutarimuose nustatytos visų rūšių rinkliavos ir privalomos įmokos. Valstybės rinkliavų objektų sąrašas ir šių rinkliavų dydžiai patvirtinti </w:t>
      </w:r>
      <w:r>
        <w:rPr>
          <w:rFonts w:ascii="Times New Roman" w:hAnsi="Times New Roman"/>
          <w:lang w:val="lt-LT"/>
        </w:rPr>
        <w:lastRenderedPageBreak/>
        <w:t xml:space="preserve">Lietuvos Respublikos Vyriausybės 2000 m. gruodžio 15 d. </w:t>
      </w:r>
      <w:r w:rsidR="00ED2FA3" w:rsidRPr="009C0219">
        <w:rPr>
          <w:rStyle w:val="Hipersaitas"/>
          <w:rFonts w:ascii="Times New Roman" w:hAnsi="Times New Roman"/>
          <w:b w:val="0"/>
          <w:bCs w:val="0"/>
          <w:kern w:val="0"/>
          <w:lang w:val="lt-LT"/>
        </w:rPr>
        <w:t>nutarimu Nr. 1458</w:t>
      </w:r>
      <w:r>
        <w:rPr>
          <w:rFonts w:ascii="Times New Roman" w:hAnsi="Times New Roman"/>
          <w:lang w:val="lt-LT"/>
        </w:rPr>
        <w:t>. Rinkliavos leidžiamiems atskaitymams priskiriamos pagal rinkliavų sumokėjimą patvirtinančius dokumentus.</w:t>
      </w:r>
    </w:p>
    <w:p w14:paraId="0E82B970"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2.</w:t>
      </w:r>
      <w:r w:rsidRPr="0065344A">
        <w:rPr>
          <w:lang w:val="lt-LT"/>
        </w:rPr>
        <w:tab/>
        <w:t>Privalomomis įmokomis laikomi nustatytų konkrečių dydžių įstatymuose ir Lietuvos Respublikos Vyriausybės nutarimuose nustatyti mokėjimai, nuo kurių vienetai neturi teisės atsisakyti, pvz., privalomos įvairaus pobūdžio kompensacijos, pagal Lietuvos Respublikos loterijų įstatymo  7 straipsnį pinigines ir daiktines loterijas rengiančių vienetų privalomai skiriama parama ir pan. įmokos.</w:t>
      </w:r>
    </w:p>
    <w:p w14:paraId="4810AE77" w14:textId="77777777" w:rsidR="00093845" w:rsidRPr="0065344A" w:rsidRDefault="000D779E">
      <w:pPr>
        <w:tabs>
          <w:tab w:val="left" w:pos="720"/>
          <w:tab w:val="left" w:pos="1077"/>
          <w:tab w:val="left" w:pos="1418"/>
        </w:tabs>
        <w:ind w:right="-82" w:firstLine="709"/>
        <w:jc w:val="both"/>
        <w:rPr>
          <w:szCs w:val="20"/>
          <w:lang w:val="lt-LT"/>
        </w:rPr>
      </w:pPr>
      <w:r w:rsidRPr="0065344A">
        <w:rPr>
          <w:szCs w:val="20"/>
          <w:lang w:val="lt-LT"/>
        </w:rPr>
        <w:t>3. Už prekes, kurioms taikoma laikinojo įvežimo procedūra iš dalies neapmokestinant importo muitais, už kiekvieną mėnesį arba jo dalį, kai joms buvo taikoma ši procedūra, turi būti mokami 3 proc. prekėms nustatytų importo muitų, kurie turi būti sumokėti išleidus šias prekes laisvai cirkuliuoti jų pateikimo procedūrai dieną. Kadangi laikinai įvežtoms prekėms nustatyti importo muito mokesčiai vienetams yra privalomi ir reeksportavus jie negrąžinami, tai sumokėtus importo muito mokesčius vienetai gali atskaityti iš pajamų.</w:t>
      </w:r>
    </w:p>
    <w:p w14:paraId="4301EE96"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Pavyzdys</w:t>
      </w:r>
    </w:p>
    <w:p w14:paraId="3C2AC4C9" w14:textId="77777777" w:rsidR="00093845" w:rsidRDefault="000D779E">
      <w:pPr>
        <w:pStyle w:val="Style1"/>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rPr>
          <w:rFonts w:ascii="Times New Roman" w:hAnsi="Times New Roman"/>
        </w:rPr>
      </w:pPr>
      <w:r>
        <w:rPr>
          <w:rFonts w:ascii="Times New Roman" w:hAnsi="Times New Roman"/>
        </w:rPr>
        <w:t>Vienetas, užsiimantis krovinių vežimu, iš užsienio vieneto išsinuomojo krovininį automobilį. 2012 m. birželio mėnesį buvo įforminta automobilio laikino įvežimo muitinės procedūra. Vadovaudamasi nurodytais norminiais aktais, šį automobilį įvežęs vienetas 2012 m. liepos mėnesį į muitinės sąskaitą sumokėjo 3 proc. importo muito mokesčio sumos, kuri turėtų būti sumokėta išleidus šį automobilį ,,laisvai cirkuliuoti jo pateikimo laikinojo įvežimo procedūrai įforminti dieną“. Vienetas 2012 m. liepos mėnesį muitinėje įformino reeksporto procedūrą ir šį automobilį grąžino užsienio vienetui. Šiuos sumokėtuosius importo muito mokesčius vienetas gali atskaityti iš pajamų.</w:t>
      </w:r>
    </w:p>
    <w:p w14:paraId="4FCC3A1F" w14:textId="77777777" w:rsidR="00093845" w:rsidRPr="0065344A" w:rsidRDefault="000D779E">
      <w:pPr>
        <w:tabs>
          <w:tab w:val="left" w:pos="720"/>
          <w:tab w:val="left" w:pos="1077"/>
          <w:tab w:val="left" w:pos="1418"/>
        </w:tabs>
        <w:ind w:right="-82" w:firstLine="709"/>
        <w:jc w:val="both"/>
        <w:rPr>
          <w:b/>
          <w:szCs w:val="20"/>
          <w:lang w:val="lt-LT"/>
        </w:rPr>
      </w:pPr>
      <w:r w:rsidRPr="0065344A">
        <w:rPr>
          <w:lang w:val="lt-LT"/>
        </w:rPr>
        <w:t xml:space="preserve">4.Visos nuo darbo užmokesčio ir joms prilygintų pajamų darbdavių mokamos socialinio draudimo įmokos, apskaičiuotos pagal Valstybinio socialinio draudimo fondo biudžeto sudarymo ir vykdymo taisyklėse nustatytus tarifus bei tvarką, atskaitomos iš vieneto pajamų, jeigu įstatymas nenustato ko kitą ( pvz., </w:t>
      </w:r>
      <w:r w:rsidRPr="0065344A">
        <w:rPr>
          <w:bCs/>
          <w:lang w:val="lt-LT"/>
        </w:rPr>
        <w:t xml:space="preserve">Lietuvos vienetas turi nuolatinę buveinę Rusijoje. Lietuvos vieneto darbuotojai dirba nuolatinėje buveinėje. Lietuvos vieneto darbuotojų darbas nuolatinėje buveinėje yra susijęs su nuolatinės buveinės pajamų uždirbimu, todėl </w:t>
      </w:r>
      <w:r w:rsidRPr="0065344A">
        <w:rPr>
          <w:lang w:val="lt-LT"/>
        </w:rPr>
        <w:t>Valstybinio socialinio draudimo įmokos, mokamos nuo šių darbuotojų darbo užmokesčio negali būti priskiriamos Lietuvos vieneto leidžiamiems atskaitymams pagal PMĮ 31 str. 1 d. 19 punkto nuostatas).</w:t>
      </w:r>
    </w:p>
    <w:p w14:paraId="68DE8EB3" w14:textId="77777777" w:rsidR="00093845" w:rsidRPr="0065344A" w:rsidRDefault="000D779E">
      <w:pPr>
        <w:tabs>
          <w:tab w:val="left" w:pos="720"/>
          <w:tab w:val="left" w:pos="1077"/>
          <w:tab w:val="left" w:pos="1418"/>
        </w:tabs>
        <w:ind w:right="-82" w:firstLine="709"/>
        <w:jc w:val="both"/>
        <w:rPr>
          <w:szCs w:val="20"/>
          <w:lang w:val="lt-LT"/>
        </w:rPr>
      </w:pPr>
      <w:r w:rsidRPr="0065344A">
        <w:rPr>
          <w:szCs w:val="20"/>
          <w:lang w:val="lt-LT"/>
        </w:rPr>
        <w:t xml:space="preserve">5. Apskaičiuojant apmokestinamąjį pelną iš pajamų atskaitomas į biudžetą sumokėtas akcizas. Iš pajamų taip pat gali būti atimamas papildomai nuo viršnorminio kuro trūkumo į biudžetą apskaičiuotas akcizo mokestis pagal Lietuvos Respublikos akcizų įstatymo  9 straipsnio nuostatas. </w:t>
      </w:r>
    </w:p>
    <w:p w14:paraId="3D156842" w14:textId="77777777" w:rsidR="00093845" w:rsidRDefault="000D779E">
      <w:pPr>
        <w:tabs>
          <w:tab w:val="left" w:pos="720"/>
          <w:tab w:val="left" w:pos="1077"/>
          <w:tab w:val="left" w:pos="1418"/>
        </w:tabs>
        <w:ind w:right="-82" w:firstLine="709"/>
        <w:jc w:val="both"/>
        <w:rPr>
          <w:szCs w:val="20"/>
        </w:rPr>
      </w:pPr>
      <w:r>
        <w:rPr>
          <w:szCs w:val="20"/>
        </w:rPr>
        <w:t xml:space="preserve">6. Leidžiamiems atskaitymams priskiriamos aplinkos taršos įmokos mokamos padidintu tarifu. </w:t>
      </w:r>
    </w:p>
    <w:p w14:paraId="794D6FC9" w14:textId="77777777" w:rsidR="00093845" w:rsidRDefault="000D779E">
      <w:pPr>
        <w:tabs>
          <w:tab w:val="left" w:pos="720"/>
          <w:tab w:val="left" w:pos="1077"/>
          <w:tab w:val="left" w:pos="1418"/>
        </w:tabs>
        <w:ind w:right="-82" w:firstLine="709"/>
        <w:jc w:val="both"/>
      </w:pPr>
      <w:r>
        <w:t xml:space="preserve">7. Nekilnojamojo turto mokesčio įstatyme numatyta, kad mokesčio tarifą (nuo 0,3 iki 1 proc.; nuo 2013 m. sausio 1 d. – 0,3 proc. – 3 proc.) nustato savivaldybės taryba. Leidžiamiems  atskaitymams priskiriama nekilnojamojo turto mokesčio suma. </w:t>
      </w:r>
    </w:p>
    <w:p w14:paraId="2AC65A9F" w14:textId="77777777" w:rsidR="00724981" w:rsidRPr="003F6839" w:rsidRDefault="00724981" w:rsidP="00480BA4">
      <w:pPr>
        <w:spacing w:before="120"/>
        <w:ind w:right="-39" w:firstLine="709"/>
        <w:jc w:val="both"/>
      </w:pPr>
      <w:r w:rsidRPr="003F6839">
        <w:rPr>
          <w:bCs/>
          <w:lang w:eastAsia="lt-LT"/>
        </w:rPr>
        <w:t xml:space="preserve">8. Įmonių, kurių veiklos pajamas sudaro elektros energijos gamyba ir kurios </w:t>
      </w:r>
      <w:r w:rsidRPr="003F6839">
        <w:rPr>
          <w:color w:val="000000"/>
          <w:lang w:eastAsia="lt-LT"/>
        </w:rPr>
        <w:t xml:space="preserve">pagal </w:t>
      </w:r>
      <w:r w:rsidR="00480BA4">
        <w:rPr>
          <w:color w:val="000000"/>
          <w:lang w:eastAsia="lt-LT"/>
        </w:rPr>
        <w:t xml:space="preserve"> </w:t>
      </w:r>
      <w:r w:rsidR="00480BA4">
        <w:t xml:space="preserve">Lietuvos </w:t>
      </w:r>
      <w:r w:rsidRPr="003F6839">
        <w:t xml:space="preserve">Respublikos įstatymo „Dėl Reglamento (ES) 2022/1854 įgyvendinimo“ </w:t>
      </w:r>
      <w:r w:rsidRPr="003F6839">
        <w:rPr>
          <w:color w:val="000000"/>
          <w:lang w:eastAsia="lt-LT"/>
        </w:rPr>
        <w:t>nuostatas yra laikomos</w:t>
      </w:r>
      <w:r w:rsidRPr="003F6839">
        <w:t xml:space="preserve"> </w:t>
      </w:r>
      <w:r w:rsidRPr="003F6839">
        <w:rPr>
          <w:color w:val="000000"/>
          <w:lang w:eastAsia="lt-LT"/>
        </w:rPr>
        <w:t xml:space="preserve">pajamų perviršio mokėjimo subjektu (mokėtoju), </w:t>
      </w:r>
      <w:r w:rsidRPr="003F6839">
        <w:t>lėšų administratoriui</w:t>
      </w:r>
      <w:r w:rsidRPr="003F6839" w:rsidDel="005054AA">
        <w:rPr>
          <w:color w:val="000000"/>
          <w:lang w:eastAsia="lt-LT"/>
        </w:rPr>
        <w:t xml:space="preserve"> </w:t>
      </w:r>
      <w:r w:rsidRPr="003F6839">
        <w:t>pervesta</w:t>
      </w:r>
      <w:r w:rsidRPr="003F6839" w:rsidDel="005054AA">
        <w:rPr>
          <w:color w:val="000000"/>
          <w:lang w:eastAsia="lt-LT"/>
        </w:rPr>
        <w:t xml:space="preserve"> </w:t>
      </w:r>
      <w:r w:rsidRPr="003F6839">
        <w:t xml:space="preserve">pajamų perviršio </w:t>
      </w:r>
      <w:r w:rsidRPr="003F6839">
        <w:rPr>
          <w:rFonts w:eastAsia="Calibri"/>
        </w:rPr>
        <w:t xml:space="preserve">suma, apskaičiuota pagal </w:t>
      </w:r>
      <w:r w:rsidRPr="003F6839">
        <w:t xml:space="preserve">Rinkos pajamų nustatymo ir pajamų perviršio skaičiavimo metodiką (patvirtinta Valstybinės energetikos reguliavimo tarybos 2022 m. gruodžio 30 d. nutarimu Nr. O3E-1811), priskiriama ribojamų dydžių leidžiamiems atskaitymams. </w:t>
      </w:r>
    </w:p>
    <w:p w14:paraId="168F4F1F" w14:textId="77777777" w:rsidR="00093845" w:rsidRDefault="00724981" w:rsidP="00724981">
      <w:pPr>
        <w:spacing w:before="120"/>
        <w:ind w:firstLine="709"/>
        <w:jc w:val="both"/>
      </w:pPr>
      <w:r w:rsidRPr="003F6839">
        <w:t xml:space="preserve">9. Pagal Lietuvos Respublikos laikinojo solidarumo įnašo įstatymą sumokėtas laikinojo solidarumo įnašas, priskiriamas šio įnašo mokėtojų ribojamų dydžių leidžiamiems atskaitymams (įnašą moka pagal Bankų įstatymą Lietuvos Respublikoje įsteigti ir veikiantys bankai, Europos </w:t>
      </w:r>
      <w:r w:rsidRPr="003F6839">
        <w:lastRenderedPageBreak/>
        <w:t>Sąjungos valstybėse narėse ir Europos ekonominės erdvės valstybėse narėse licencijuotų bankų ir užsienio bankų filialai, pagal Centrinių kredito unijų įstatymą veikiančių centrinių kredito unijų finansinės grupės). Šį įnašą mokančių pagal Centrinių kredito unijų įstatymą veikiančių centrinių kredito unijų finansinės grupės narių ribojamų dydžių leidžiamiems atskaitymams priskiriama grupės lygmenyje konkrečiam grupės nariui priskirta ir jo sumokėta įnašo dalis.</w:t>
      </w:r>
    </w:p>
    <w:p w14:paraId="12DB0512" w14:textId="77777777" w:rsidR="00724981" w:rsidRPr="00724981" w:rsidRDefault="00724981" w:rsidP="00724981">
      <w:pPr>
        <w:spacing w:before="120"/>
        <w:ind w:firstLine="709"/>
        <w:jc w:val="both"/>
      </w:pPr>
      <w:r w:rsidRPr="00D4411E">
        <w:rPr>
          <w:i/>
        </w:rPr>
        <w:t>(</w:t>
      </w:r>
      <w:r>
        <w:rPr>
          <w:i/>
        </w:rPr>
        <w:t>PMĮ 24 str. 1 d. papildyta 8 ir 9 punktais</w:t>
      </w:r>
      <w:r w:rsidRPr="00D4411E">
        <w:rPr>
          <w:i/>
        </w:rPr>
        <w:t xml:space="preserve"> p</w:t>
      </w:r>
      <w:r>
        <w:rPr>
          <w:i/>
        </w:rPr>
        <w:t>agal VMI prie FM 2023-06-27</w:t>
      </w:r>
      <w:r w:rsidRPr="00D4411E">
        <w:rPr>
          <w:i/>
        </w:rPr>
        <w:t xml:space="preserve"> raštą </w:t>
      </w:r>
      <w:r w:rsidR="00130C7C">
        <w:rPr>
          <w:i/>
          <w:color w:val="000000"/>
        </w:rPr>
        <w:t>Nr. (18.10-31-1Mr) R-2547</w:t>
      </w:r>
      <w:r w:rsidRPr="00D4411E">
        <w:rPr>
          <w:i/>
          <w:color w:val="000000"/>
        </w:rPr>
        <w:t>)</w:t>
      </w:r>
    </w:p>
    <w:p w14:paraId="775E4ED7"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Iš pajamų atskaitomos tik tos pirkimo ir importo pridėtinės vertės mokesčio sumos, kurios neatskaitomos pagal </w:t>
      </w:r>
      <w:bookmarkStart w:id="354" w:name="n1_3935"/>
      <w:r>
        <w:rPr>
          <w:b/>
          <w:bCs/>
          <w:iCs/>
          <w:color w:val="000000"/>
          <w:shd w:val="clear" w:color="auto" w:fill="FFFFFF"/>
        </w:rPr>
        <w:fldChar w:fldCharType="begin"/>
      </w:r>
      <w:r>
        <w:rPr>
          <w:b/>
          <w:bCs/>
          <w:iCs/>
          <w:color w:val="000000"/>
          <w:shd w:val="clear" w:color="auto" w:fill="FFFFFF"/>
        </w:rPr>
        <w:instrText xml:space="preserve"> HYPERLINK "https://www.infolex.lt/ta/66285" \o "Lietuvos Respublikos pridėtinės vertės mokesčio įstatymas" \t "_blank" </w:instrText>
      </w:r>
      <w:r>
        <w:rPr>
          <w:b/>
          <w:bCs/>
          <w:iCs/>
          <w:color w:val="000000"/>
          <w:shd w:val="clear" w:color="auto" w:fill="FFFFFF"/>
        </w:rPr>
        <w:fldChar w:fldCharType="separate"/>
      </w:r>
      <w:r>
        <w:rPr>
          <w:rStyle w:val="Hipersaitas"/>
          <w:b w:val="0"/>
          <w:bCs w:val="0"/>
          <w:iCs/>
          <w:color w:val="000000"/>
        </w:rPr>
        <w:t>Pridėtinės vertės mokesčio įstatymo</w:t>
      </w:r>
      <w:r>
        <w:rPr>
          <w:b/>
          <w:bCs/>
          <w:iCs/>
          <w:color w:val="000000"/>
          <w:shd w:val="clear" w:color="auto" w:fill="FFFFFF"/>
        </w:rPr>
        <w:fldChar w:fldCharType="end"/>
      </w:r>
      <w:bookmarkStart w:id="355" w:name="pn1_3935"/>
      <w:bookmarkEnd w:id="354"/>
      <w:bookmarkEnd w:id="355"/>
      <w:r>
        <w:rPr>
          <w:b/>
          <w:bCs/>
          <w:iCs/>
          <w:color w:val="000000"/>
          <w:shd w:val="clear" w:color="auto" w:fill="FFFFFF"/>
        </w:rPr>
        <w:t> nuostatas, ir tik tais atvejais, kai šios sumos apskaičiuotos nuo šiame Įstatyme nustatytų leidžiamų atskaitymų.</w:t>
      </w:r>
    </w:p>
    <w:p w14:paraId="78037CFF" w14:textId="77777777" w:rsidR="00093845" w:rsidRPr="00441B00" w:rsidRDefault="000D779E">
      <w:pPr>
        <w:jc w:val="both"/>
        <w:rPr>
          <w:b/>
          <w:i/>
        </w:rPr>
      </w:pPr>
      <w:r w:rsidRPr="00441B00">
        <w:rPr>
          <w:rStyle w:val="Grietas"/>
          <w:b w:val="0"/>
          <w:i/>
        </w:rPr>
        <w:t>(</w:t>
      </w:r>
      <w:r w:rsidRPr="00441B00">
        <w:rPr>
          <w:i/>
        </w:rPr>
        <w:t>KEISTA:</w:t>
      </w:r>
      <w:r w:rsidRPr="00441B00">
        <w:rPr>
          <w:i/>
          <w:lang w:val="lt-LT"/>
        </w:rPr>
        <w:t xml:space="preserve"> </w:t>
      </w:r>
      <w:r w:rsidRPr="00441B00">
        <w:rPr>
          <w:i/>
        </w:rPr>
        <w:t>2012 12 20 įstatymu Nr. XII-79 (nuo 2012 12 29)</w:t>
      </w:r>
      <w:r w:rsidRPr="00441B00">
        <w:rPr>
          <w:rStyle w:val="Grietas"/>
          <w:b w:val="0"/>
          <w:i/>
        </w:rPr>
        <w:t xml:space="preserve">) </w:t>
      </w:r>
    </w:p>
    <w:p w14:paraId="38DF3C3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7170F3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1. Pagal šią dalį iš pajamų galima atskaityti tik tas prekių (paslaugų) pirkimo ir importo PVM sumas, kurios atitinka du kriterijus:</w:t>
      </w:r>
    </w:p>
    <w:p w14:paraId="7AB03C2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šios sumos yra neatskaitomos pagal Lietuvos Respublikos </w:t>
      </w:r>
      <w:bookmarkStart w:id="356" w:name="n1_3939"/>
      <w:r>
        <w:rPr>
          <w:iCs/>
          <w:color w:val="000000"/>
          <w:shd w:val="clear" w:color="auto" w:fill="FFFFFF"/>
        </w:rPr>
        <w:fldChar w:fldCharType="begin"/>
      </w:r>
      <w:r>
        <w:rPr>
          <w:iCs/>
          <w:color w:val="000000"/>
          <w:shd w:val="clear" w:color="auto" w:fill="FFFFFF"/>
        </w:rPr>
        <w:instrText xml:space="preserve"> HYPERLINK "https://www.infolex.lt/ta/66285" \o "Lietuvos Respublikos pridėtinės vertės mokesčio įstatymas" \t "_blank" </w:instrText>
      </w:r>
      <w:r>
        <w:rPr>
          <w:iCs/>
          <w:color w:val="000000"/>
          <w:shd w:val="clear" w:color="auto" w:fill="FFFFFF"/>
        </w:rPr>
        <w:fldChar w:fldCharType="separate"/>
      </w:r>
      <w:r w:rsidRPr="0065344A">
        <w:rPr>
          <w:rStyle w:val="Hipersaitas"/>
          <w:iCs/>
          <w:color w:val="000000"/>
          <w:lang w:val="lt-LT"/>
        </w:rPr>
        <w:t>pridėtinės vertės mokesčio įstatymo</w:t>
      </w:r>
      <w:r>
        <w:rPr>
          <w:iCs/>
          <w:color w:val="000000"/>
          <w:shd w:val="clear" w:color="auto" w:fill="FFFFFF"/>
        </w:rPr>
        <w:fldChar w:fldCharType="end"/>
      </w:r>
      <w:bookmarkStart w:id="357" w:name="pn1_3939"/>
      <w:bookmarkEnd w:id="356"/>
      <w:bookmarkEnd w:id="357"/>
      <w:r>
        <w:rPr>
          <w:iCs/>
          <w:color w:val="000000"/>
          <w:shd w:val="clear" w:color="auto" w:fill="FFFFFF"/>
        </w:rPr>
        <w:t> (</w:t>
      </w:r>
      <w:bookmarkStart w:id="358" w:name="pn1_3941"/>
      <w:bookmarkStart w:id="359" w:name="pn1_3940"/>
      <w:bookmarkEnd w:id="358"/>
      <w:bookmarkEnd w:id="359"/>
      <w:r>
        <w:rPr>
          <w:iCs/>
          <w:color w:val="000000"/>
          <w:shd w:val="clear" w:color="auto" w:fill="FFFFFF"/>
        </w:rPr>
        <w:t>toliau – PVM įstatymas) nuostatas;</w:t>
      </w:r>
    </w:p>
    <w:p w14:paraId="560159D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šios sumos apskaičiuotos nuo </w:t>
      </w:r>
      <w:bookmarkStart w:id="360" w:name="n1_3943"/>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1" w:name="pn1_3943"/>
      <w:bookmarkEnd w:id="360"/>
      <w:bookmarkEnd w:id="361"/>
      <w:r>
        <w:rPr>
          <w:iCs/>
          <w:color w:val="000000"/>
          <w:shd w:val="clear" w:color="auto" w:fill="FFFFFF"/>
        </w:rPr>
        <w:t> nustatytų leidžiamų (įskaitant ribojamų dydžių) atskaitymų. Pirkimo ir importo PVM sumos, kurios apskaičiuotos nuo </w:t>
      </w:r>
      <w:bookmarkStart w:id="362" w:name="n1_3944"/>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3" w:name="pn1_3944"/>
      <w:bookmarkEnd w:id="362"/>
      <w:bookmarkEnd w:id="363"/>
      <w:r>
        <w:rPr>
          <w:iCs/>
          <w:color w:val="000000"/>
          <w:shd w:val="clear" w:color="auto" w:fill="FFFFFF"/>
        </w:rPr>
        <w:t> </w:t>
      </w:r>
      <w:bookmarkStart w:id="364" w:name="n1_3945"/>
      <w:r>
        <w:rPr>
          <w:iCs/>
          <w:color w:val="000000"/>
          <w:shd w:val="clear" w:color="auto" w:fill="FFFFFF"/>
        </w:rPr>
        <w:fldChar w:fldCharType="begin"/>
      </w:r>
      <w:r>
        <w:rPr>
          <w:iCs/>
          <w:color w:val="000000"/>
          <w:shd w:val="clear" w:color="auto" w:fill="FFFFFF"/>
        </w:rPr>
        <w:instrText xml:space="preserve"> HYPERLINK "javascript:OL('12868','31')" \o "Neleidžiami atskaitymai (str. 31)" </w:instrText>
      </w:r>
      <w:r>
        <w:rPr>
          <w:iCs/>
          <w:color w:val="000000"/>
          <w:shd w:val="clear" w:color="auto" w:fill="FFFFFF"/>
        </w:rPr>
        <w:fldChar w:fldCharType="separate"/>
      </w:r>
      <w:r w:rsidRPr="0065344A">
        <w:rPr>
          <w:rStyle w:val="Hipersaitas"/>
          <w:iCs/>
          <w:color w:val="000000"/>
          <w:lang w:val="lt-LT"/>
        </w:rPr>
        <w:t>31</w:t>
      </w:r>
      <w:r>
        <w:rPr>
          <w:iCs/>
          <w:color w:val="000000"/>
          <w:shd w:val="clear" w:color="auto" w:fill="FFFFFF"/>
        </w:rPr>
        <w:fldChar w:fldCharType="end"/>
      </w:r>
      <w:bookmarkStart w:id="365" w:name="pn1_3945"/>
      <w:bookmarkEnd w:id="364"/>
      <w:bookmarkEnd w:id="365"/>
      <w:r>
        <w:rPr>
          <w:iCs/>
          <w:color w:val="000000"/>
          <w:shd w:val="clear" w:color="auto" w:fill="FFFFFF"/>
        </w:rPr>
        <w:t> straipsnyje nustatytų neleidžiamų atskaitymų, apskaičiuojant apmokestinamąjį pelną, iš pajamų neatskaitomos.</w:t>
      </w:r>
    </w:p>
    <w:p w14:paraId="0CE0A909" w14:textId="77777777" w:rsidR="0088116F" w:rsidRPr="00C55B59" w:rsidRDefault="0088116F" w:rsidP="0088116F">
      <w:pPr>
        <w:pStyle w:val="tajtip"/>
        <w:spacing w:before="0" w:beforeAutospacing="0" w:after="0" w:afterAutospacing="0"/>
        <w:ind w:firstLine="720"/>
        <w:jc w:val="both"/>
        <w:rPr>
          <w:iCs/>
          <w:color w:val="000000"/>
          <w:shd w:val="clear" w:color="auto" w:fill="FFFFFF"/>
        </w:rPr>
      </w:pPr>
      <w:r w:rsidRPr="00C55B59">
        <w:rPr>
          <w:iCs/>
          <w:color w:val="000000"/>
        </w:rPr>
        <w:t>1</w:t>
      </w:r>
      <w:r w:rsidRPr="00C55B59">
        <w:rPr>
          <w:iCs/>
          <w:color w:val="000000"/>
          <w:vertAlign w:val="superscript"/>
        </w:rPr>
        <w:t>1</w:t>
      </w:r>
      <w:r w:rsidRPr="00C55B59">
        <w:rPr>
          <w:iCs/>
          <w:color w:val="000000"/>
        </w:rPr>
        <w:t>. I</w:t>
      </w:r>
      <w:r w:rsidRPr="00C55B59">
        <w:rPr>
          <w:iCs/>
          <w:color w:val="000000"/>
          <w:shd w:val="clear" w:color="auto" w:fill="FFFFFF"/>
        </w:rPr>
        <w:t xml:space="preserve">š pajamų gali būti atskaitoma pagal PVM įstatymą neatskaityta lengvojo automobilio pirkimo ar importo PVM suma, apskaičiuota tik nuo lengvojo </w:t>
      </w:r>
      <w:r w:rsidRPr="00C55B59">
        <w:t xml:space="preserve">automobilio įsigijimo kainos (jos dalies) ir / ar nuomos kainos (jos dalies) </w:t>
      </w:r>
      <w:r w:rsidRPr="00C55B59">
        <w:rPr>
          <w:iCs/>
          <w:color w:val="000000"/>
          <w:shd w:val="clear" w:color="auto" w:fill="FFFFFF"/>
        </w:rPr>
        <w:t xml:space="preserve">, neviršijančios </w:t>
      </w:r>
      <w:r w:rsidRPr="00C55B59">
        <w:t>PMĮ 30</w:t>
      </w:r>
      <w:r w:rsidRPr="00C55B59">
        <w:rPr>
          <w:vertAlign w:val="superscript"/>
        </w:rPr>
        <w:t>2</w:t>
      </w:r>
      <w:r w:rsidRPr="00C55B59">
        <w:t xml:space="preserve"> straipsnio 1 dalyje</w:t>
      </w:r>
      <w:r w:rsidRPr="00C55B59">
        <w:rPr>
          <w:iCs/>
          <w:color w:val="000000"/>
          <w:shd w:val="clear" w:color="auto" w:fill="FFFFFF"/>
        </w:rPr>
        <w:t xml:space="preserve"> nustatytų lengvojo automobilio </w:t>
      </w:r>
      <w:r w:rsidRPr="00C55B59">
        <w:t>įsigijimo kainos ribojimų, susijusių su išmetamo CO</w:t>
      </w:r>
      <w:r w:rsidRPr="00C55B59">
        <w:rPr>
          <w:vertAlign w:val="subscript"/>
        </w:rPr>
        <w:t>2</w:t>
      </w:r>
      <w:r w:rsidRPr="00C55B59">
        <w:t xml:space="preserve"> kiekiu. </w:t>
      </w:r>
      <w:r w:rsidRPr="00C55B59">
        <w:rPr>
          <w:iCs/>
          <w:color w:val="000000"/>
          <w:shd w:val="clear" w:color="auto" w:fill="FFFFFF"/>
        </w:rPr>
        <w:t xml:space="preserve">PVM suma iš pajamų atskaitoma tą mokestinį laikotarpį, kurį yra patirtos lengvojo automobilio įsigijimo </w:t>
      </w:r>
      <w:r w:rsidRPr="00C55B59">
        <w:t xml:space="preserve">ir / ar nuomos </w:t>
      </w:r>
      <w:r w:rsidRPr="00C55B59">
        <w:rPr>
          <w:iCs/>
          <w:color w:val="000000"/>
          <w:shd w:val="clear" w:color="auto" w:fill="FFFFFF"/>
        </w:rPr>
        <w:t xml:space="preserve">išlaidos. </w:t>
      </w:r>
      <w:r w:rsidRPr="00C55B59">
        <w:t>Nuo PMĮ 30</w:t>
      </w:r>
      <w:r w:rsidRPr="00C55B59">
        <w:rPr>
          <w:vertAlign w:val="superscript"/>
        </w:rPr>
        <w:t>2</w:t>
      </w:r>
      <w:r w:rsidRPr="00C55B59">
        <w:t xml:space="preserve"> straipsnio 1 dalyje</w:t>
      </w:r>
      <w:r w:rsidRPr="00C55B59">
        <w:rPr>
          <w:iCs/>
          <w:color w:val="000000"/>
          <w:shd w:val="clear" w:color="auto" w:fill="FFFFFF"/>
        </w:rPr>
        <w:t xml:space="preserve"> nustatytą </w:t>
      </w:r>
      <w:r w:rsidRPr="00C55B59">
        <w:t xml:space="preserve">ribojančią sumą viršijančios lengvojo automobilio įsigijimo kainos dalies apskaičiuota </w:t>
      </w:r>
      <w:r w:rsidRPr="00C55B59">
        <w:rPr>
          <w:iCs/>
          <w:color w:val="000000"/>
          <w:shd w:val="clear" w:color="auto" w:fill="FFFFFF"/>
        </w:rPr>
        <w:t>pirkimo PVM suma, apskaičiuojant apmokestinamąjį pelną, iš pajamų neatskaitoma.</w:t>
      </w:r>
    </w:p>
    <w:p w14:paraId="21C17186" w14:textId="77777777" w:rsidR="0088116F" w:rsidRPr="00C55B59" w:rsidRDefault="0088116F" w:rsidP="0088116F">
      <w:pPr>
        <w:pStyle w:val="tajtip"/>
        <w:spacing w:before="0" w:beforeAutospacing="0" w:after="0" w:afterAutospacing="0"/>
        <w:ind w:firstLine="720"/>
        <w:jc w:val="both"/>
        <w:rPr>
          <w:iCs/>
          <w:color w:val="000000"/>
          <w:shd w:val="clear" w:color="auto" w:fill="FFFFFF"/>
        </w:rPr>
      </w:pPr>
    </w:p>
    <w:p w14:paraId="152CDE73" w14:textId="77777777" w:rsidR="0088116F" w:rsidRPr="0088116F" w:rsidRDefault="0088116F" w:rsidP="0088116F">
      <w:pPr>
        <w:spacing w:after="20"/>
        <w:ind w:firstLine="720"/>
        <w:jc w:val="both"/>
        <w:rPr>
          <w:lang w:val="lt-LT"/>
        </w:rPr>
      </w:pPr>
      <w:r w:rsidRPr="00C55B59">
        <w:rPr>
          <w:lang w:val="lt-LT"/>
        </w:rPr>
        <w:t>Pavyzdys</w:t>
      </w:r>
    </w:p>
    <w:p w14:paraId="755EA12A" w14:textId="77777777" w:rsidR="0088116F" w:rsidRPr="00C55B59" w:rsidRDefault="0088116F" w:rsidP="0088116F">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C55B59">
        <w:rPr>
          <w:i/>
          <w:iCs/>
          <w:color w:val="000000"/>
          <w:lang w:val="lt-LT"/>
        </w:rPr>
        <w:t>Pastaba. Pavyzdyje mokestinis laikotarpis sutampa su kalendoriniais metais.</w:t>
      </w:r>
    </w:p>
    <w:p w14:paraId="4A59BBB9" w14:textId="77777777" w:rsidR="0088116F" w:rsidRPr="00C55B59" w:rsidRDefault="0088116F" w:rsidP="0088116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iCs/>
          <w:color w:val="000000"/>
          <w:shd w:val="clear" w:color="auto" w:fill="FFFFFF"/>
        </w:rPr>
      </w:pPr>
      <w:r w:rsidRPr="00C55B59">
        <w:rPr>
          <w:iCs/>
          <w:color w:val="000000"/>
          <w:shd w:val="clear" w:color="auto" w:fill="FFFFFF"/>
        </w:rPr>
        <w:t>Vienetas 2025 m. sausio mėn. už 108 900 Eur įsigijo lengvąjį automobilį ir tą patį mėnesį pradėjo jį naudoti. Automobilio kaina be PVM yra 90 000 Eur, o pirkimo PVM suma – 18 900 Eur. Pagal PVM įstatymo 62 straipsnio nuostatas, šio automobilio pirkimo PVM neatskaitomas.</w:t>
      </w:r>
    </w:p>
    <w:p w14:paraId="6F837E99" w14:textId="77777777" w:rsidR="0088116F" w:rsidRPr="00C55B59" w:rsidRDefault="0088116F" w:rsidP="0088116F">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iCs/>
          <w:color w:val="000000"/>
          <w:shd w:val="clear" w:color="auto" w:fill="FFFFFF"/>
        </w:rPr>
      </w:pPr>
      <w:r w:rsidRPr="00C55B59">
        <w:t xml:space="preserve">Įsigyjamo automobilio išmetamas </w:t>
      </w:r>
      <w:r w:rsidRPr="00C55B59">
        <w:rPr>
          <w:color w:val="000000"/>
        </w:rPr>
        <w:t>CO</w:t>
      </w:r>
      <w:r w:rsidRPr="00C55B59">
        <w:rPr>
          <w:color w:val="000000"/>
          <w:vertAlign w:val="subscript"/>
        </w:rPr>
        <w:t xml:space="preserve">2 </w:t>
      </w:r>
      <w:r w:rsidRPr="00C55B59">
        <w:t>kiekis, nurodytas automobilio registracijos liudijime, yra 127 g/km, todėl pagal PMĮ 30</w:t>
      </w:r>
      <w:r w:rsidRPr="00C55B59">
        <w:rPr>
          <w:vertAlign w:val="superscript"/>
        </w:rPr>
        <w:t>2</w:t>
      </w:r>
      <w:r w:rsidRPr="00C55B59">
        <w:t xml:space="preserve"> straipsnio 1 dalyje nustatytą taršos grupę, iš pajamų gali būti atskaitoma ne daugiau kaip 50 000 Eur automobilio įsigijimo išlaidų (išmetamas </w:t>
      </w:r>
      <w:r w:rsidRPr="00C55B59">
        <w:rPr>
          <w:color w:val="000000"/>
        </w:rPr>
        <w:t>CO</w:t>
      </w:r>
      <w:r w:rsidRPr="00C55B59">
        <w:rPr>
          <w:color w:val="000000"/>
          <w:vertAlign w:val="subscript"/>
        </w:rPr>
        <w:t xml:space="preserve">2 </w:t>
      </w:r>
      <w:r w:rsidRPr="00C55B59">
        <w:rPr>
          <w:color w:val="000000"/>
        </w:rPr>
        <w:t xml:space="preserve"> kiekis patenka į nustatytą intervalą </w:t>
      </w:r>
      <w:r w:rsidRPr="00C55B59">
        <w:t>1–130 g/km).</w:t>
      </w:r>
    </w:p>
    <w:p w14:paraId="229C9DFB" w14:textId="77777777" w:rsidR="0088116F" w:rsidRPr="00C55B59" w:rsidRDefault="0088116F" w:rsidP="0088116F">
      <w:pPr>
        <w:pBdr>
          <w:top w:val="single" w:sz="4" w:space="1" w:color="auto"/>
          <w:left w:val="single" w:sz="4" w:space="4" w:color="auto"/>
          <w:bottom w:val="single" w:sz="4" w:space="1" w:color="auto"/>
          <w:right w:val="single" w:sz="4" w:space="4" w:color="auto"/>
        </w:pBdr>
        <w:ind w:firstLine="720"/>
        <w:jc w:val="both"/>
        <w:rPr>
          <w:iCs/>
          <w:color w:val="000000"/>
          <w:shd w:val="clear" w:color="auto" w:fill="FFFFFF"/>
          <w:lang w:val="lt-LT"/>
        </w:rPr>
      </w:pPr>
      <w:r w:rsidRPr="00C55B59">
        <w:rPr>
          <w:lang w:val="lt-LT"/>
        </w:rPr>
        <w:t xml:space="preserve">Atsižvelgiant į šio automobilio </w:t>
      </w:r>
      <w:r w:rsidRPr="00C55B59">
        <w:rPr>
          <w:color w:val="000000"/>
          <w:lang w:val="lt-LT"/>
        </w:rPr>
        <w:t xml:space="preserve">įsigijimo kainos </w:t>
      </w:r>
      <w:r w:rsidRPr="00C55B59">
        <w:rPr>
          <w:lang w:val="lt-LT"/>
        </w:rPr>
        <w:t>ribojančią sumą, - 50 000 Eur, pelno mokesčio apskaičiavimo tikslais vieneto pajamos gali būti mažinamos tik 50 000 Eur šio automobilio įsigijimo kainos dalimi, kuri pagal PMĮ 18 straipsnyje nustatytą tvarką priskiriama ribojamų dydžių leidžiamiems atskaitymams dalimis per šio turto nusidėvėjimo laikotarpį.</w:t>
      </w:r>
      <w:r w:rsidRPr="00C55B59">
        <w:rPr>
          <w:iCs/>
          <w:color w:val="000000"/>
          <w:shd w:val="clear" w:color="auto" w:fill="FFFFFF"/>
          <w:lang w:val="lt-LT"/>
        </w:rPr>
        <w:t xml:space="preserve"> Atitinkamai nuo šios </w:t>
      </w:r>
      <w:r w:rsidRPr="00C55B59">
        <w:rPr>
          <w:lang w:val="lt-LT"/>
        </w:rPr>
        <w:t xml:space="preserve">automobilio </w:t>
      </w:r>
      <w:r w:rsidRPr="00C55B59">
        <w:rPr>
          <w:color w:val="000000"/>
          <w:lang w:val="lt-LT"/>
        </w:rPr>
        <w:t xml:space="preserve">įsigijimo kainos dalies apskaičiuota </w:t>
      </w:r>
      <w:r w:rsidRPr="00C55B59">
        <w:rPr>
          <w:iCs/>
          <w:color w:val="000000"/>
          <w:shd w:val="clear" w:color="auto" w:fill="FFFFFF"/>
          <w:lang w:val="lt-LT"/>
        </w:rPr>
        <w:t>pirkimo PVM suma, t. y. 10 500 Eur (50 000 Eur x 21 proc.),</w:t>
      </w:r>
      <w:r w:rsidRPr="00C55B59">
        <w:rPr>
          <w:color w:val="000000"/>
          <w:lang w:val="lt-LT" w:eastAsia="lt-LT"/>
        </w:rPr>
        <w:t xml:space="preserve"> apskaičiuojant 2025 m. mokestinio laikotarpio apmokestinamąjį pelną, </w:t>
      </w:r>
      <w:r w:rsidRPr="00C55B59">
        <w:rPr>
          <w:iCs/>
          <w:color w:val="000000"/>
          <w:shd w:val="clear" w:color="auto" w:fill="FFFFFF"/>
          <w:lang w:val="lt-LT"/>
        </w:rPr>
        <w:t>priskiriama ribojamų dydžių leidžiamiems atskaitymams.</w:t>
      </w:r>
    </w:p>
    <w:p w14:paraId="6D657D53" w14:textId="77777777" w:rsidR="0088116F" w:rsidRPr="0088116F" w:rsidRDefault="0088116F" w:rsidP="0088116F">
      <w:pPr>
        <w:pBdr>
          <w:top w:val="single" w:sz="4" w:space="1" w:color="auto"/>
          <w:left w:val="single" w:sz="4" w:space="4" w:color="auto"/>
          <w:bottom w:val="single" w:sz="4" w:space="1" w:color="auto"/>
          <w:right w:val="single" w:sz="4" w:space="4" w:color="auto"/>
        </w:pBdr>
        <w:ind w:firstLine="720"/>
        <w:jc w:val="both"/>
        <w:rPr>
          <w:lang w:val="lt-LT"/>
        </w:rPr>
      </w:pPr>
      <w:r w:rsidRPr="00C55B59">
        <w:rPr>
          <w:lang w:val="lt-LT"/>
        </w:rPr>
        <w:lastRenderedPageBreak/>
        <w:t xml:space="preserve">Likusiai automobilio įsigijimo kainos daliai, - 40 000 Eur (90 000 Eur - 50 000 Eur), </w:t>
      </w:r>
      <w:r w:rsidRPr="00C55B59">
        <w:rPr>
          <w:iCs/>
          <w:color w:val="000000"/>
          <w:shd w:val="clear" w:color="auto" w:fill="FFFFFF"/>
          <w:lang w:val="lt-LT"/>
        </w:rPr>
        <w:t>tenkanti pirkimo PVM suma, t. y. 8 400 Eur (40 000 Eur x 21 proc.),</w:t>
      </w:r>
      <w:r w:rsidRPr="00C55B59">
        <w:rPr>
          <w:color w:val="000000"/>
          <w:lang w:val="lt-LT" w:eastAsia="lt-LT"/>
        </w:rPr>
        <w:t xml:space="preserve"> apskaičiuojant 2025 m. mokestinio laikotarpio apmokestinamąjį pelną</w:t>
      </w:r>
      <w:r w:rsidRPr="00C55B59">
        <w:rPr>
          <w:iCs/>
          <w:color w:val="000000"/>
          <w:shd w:val="clear" w:color="auto" w:fill="FFFFFF"/>
          <w:lang w:val="lt-LT"/>
        </w:rPr>
        <w:t xml:space="preserve"> priskiriama neleidžiamiems atskaitymams.</w:t>
      </w:r>
    </w:p>
    <w:p w14:paraId="6985BC81" w14:textId="77777777" w:rsidR="0088116F" w:rsidRPr="0088116F" w:rsidRDefault="0088116F" w:rsidP="0088116F">
      <w:pPr>
        <w:jc w:val="both"/>
        <w:rPr>
          <w:sz w:val="20"/>
          <w:szCs w:val="22"/>
          <w:lang w:val="lt-LT"/>
        </w:rPr>
      </w:pPr>
      <w:r w:rsidRPr="0088116F">
        <w:rPr>
          <w:iCs/>
          <w:lang w:eastAsia="lt-LT"/>
        </w:rPr>
        <w:t xml:space="preserve">(PMĮ 24 straipsnio 2 d. komentaras papildytas </w:t>
      </w:r>
      <w:r w:rsidRPr="0088116F">
        <w:t>1</w:t>
      </w:r>
      <w:r w:rsidRPr="0088116F">
        <w:rPr>
          <w:vertAlign w:val="superscript"/>
        </w:rPr>
        <w:t xml:space="preserve">1 </w:t>
      </w:r>
      <w:r w:rsidRPr="0088116F">
        <w:rPr>
          <w:iCs/>
          <w:lang w:eastAsia="lt-LT"/>
        </w:rPr>
        <w:t>punktu</w:t>
      </w:r>
      <w:r w:rsidRPr="0088116F">
        <w:rPr>
          <w:vertAlign w:val="superscript"/>
        </w:rPr>
        <w:t xml:space="preserve"> </w:t>
      </w:r>
      <w:r w:rsidRPr="0088116F">
        <w:rPr>
          <w:iCs/>
          <w:lang w:eastAsia="lt-LT"/>
        </w:rPr>
        <w:t xml:space="preserve"> pagal VMI prie FM 2025-01-21 raštą Nr. (18.32-31-1 Mr)-R-249)</w:t>
      </w:r>
    </w:p>
    <w:p w14:paraId="4A9D9BA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2. Pagal PVM įstatymo nuostatas neatskaitomos pirkimo ir importo PVM sumos iš pajamų atskaitomos tą patį mokestinį laikotarpį, kurį šis pirkimo arba importo PVM apskaičiuotas, neatsižvelgiant į tai, kad sumos, nuo kurių šis mokestis apskaičiuotas, ribojamų dydžių leidžiamiems atskaitymams bus priskirtos vėlesnį (-iais) mokestinį (-iais) laikotarpį (-iais).</w:t>
      </w:r>
    </w:p>
    <w:p w14:paraId="1B69E42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Tačiau, jeigu dėl kokių nors priežasčių suma (arba jos dalis), nuo kurios apskaičiuotas ir iš pajamų atskaitytas pirkimo ir importo PVM, nebus priskirta ribojamų dydžių leidžiamiems atskaitymams, tai tą mokestinį laikotarpį, kurį šis faktas bus nustatytas, ribojamų dydžių leidžiamų atskaitymų suma turės būti mažinama leidžiamiems atskaitymams nepriskirtai sumai tenkančia pirkimo ar importo PVM suma.</w:t>
      </w:r>
    </w:p>
    <w:p w14:paraId="4862C818" w14:textId="77777777" w:rsidR="00093845" w:rsidRDefault="000D779E">
      <w:pPr>
        <w:pStyle w:val="tajtip"/>
        <w:spacing w:before="0" w:beforeAutospacing="0" w:after="0" w:afterAutospacing="0"/>
        <w:ind w:firstLine="720"/>
        <w:jc w:val="both"/>
        <w:rPr>
          <w:iCs/>
          <w:color w:val="000000"/>
          <w:shd w:val="clear" w:color="auto" w:fill="FFFFFF"/>
        </w:rPr>
      </w:pPr>
      <w:bookmarkStart w:id="366" w:name="pn1_3947"/>
      <w:bookmarkStart w:id="367" w:name="pn1_3948"/>
      <w:bookmarkEnd w:id="366"/>
      <w:bookmarkEnd w:id="367"/>
      <w:r>
        <w:rPr>
          <w:iCs/>
          <w:color w:val="000000"/>
          <w:shd w:val="clear" w:color="auto" w:fill="FFFFFF"/>
        </w:rPr>
        <w:t> </w:t>
      </w:r>
    </w:p>
    <w:p w14:paraId="10A31A56"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Pavyzdžiai</w:t>
      </w:r>
    </w:p>
    <w:p w14:paraId="5C36120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15DBC7B"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1. UAB X, užsiimanti gamybine veikla, 2017 m. rugpjūčio 20 d. už 121000 EUR įsigijo naują lengvąjį automobilį ir tą patį mėnesį pradėjo jį naudoti. Automobilio kaina be PVM yra 100 000 EUR, o pirkimo PVM suma – 21 000EUR. Remiantis PVM įstatymo 62 straipsniu, šio automobilio pirkimo PVM vienetas atskaityti negali. Vienetas šią automobilio pirkimo PVM sumą ribojamų dydžių leidžiamiems atskaitymams gali priskirti tuomet, kai šios sąnaudos faktiškai patiriamos (t.y. 2017 m. rugpjūčio mėnesį).</w:t>
      </w:r>
    </w:p>
    <w:p w14:paraId="241487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Vadovaujantis </w:t>
      </w:r>
      <w:bookmarkStart w:id="368" w:name="n1_395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69" w:name="pn1_3951"/>
      <w:bookmarkEnd w:id="368"/>
      <w:bookmarkEnd w:id="369"/>
      <w:r>
        <w:rPr>
          <w:iCs/>
          <w:color w:val="000000"/>
          <w:shd w:val="clear" w:color="auto" w:fill="FFFFFF"/>
        </w:rPr>
        <w:t> 1 priedėliu, šio lengvojo automobilio nusidėvėjimas bus skaičiuojamas taikant 6 metų (72 mėn.) nusidėvėjimo normatyvą. Vienetas pasirinko tiesinį nusidėvėjimo skaičiavimo metodą, </w:t>
      </w:r>
      <w:bookmarkStart w:id="370" w:name="n1_3952"/>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71" w:name="pn1_3952"/>
      <w:bookmarkEnd w:id="370"/>
      <w:bookmarkEnd w:id="371"/>
      <w:r>
        <w:rPr>
          <w:iCs/>
          <w:color w:val="000000"/>
          <w:shd w:val="clear" w:color="auto" w:fill="FFFFFF"/>
        </w:rPr>
        <w:t> </w:t>
      </w:r>
      <w:bookmarkStart w:id="372" w:name="n1_3953"/>
      <w:r>
        <w:rPr>
          <w:iCs/>
          <w:color w:val="000000"/>
          <w:shd w:val="clear" w:color="auto" w:fill="FFFFFF"/>
        </w:rPr>
        <w:fldChar w:fldCharType="begin"/>
      </w:r>
      <w:r>
        <w:rPr>
          <w:iCs/>
          <w:color w:val="000000"/>
          <w:shd w:val="clear" w:color="auto" w:fill="FFFFFF"/>
        </w:rPr>
        <w:instrText xml:space="preserve"> HYPERLINK "javascript:OL('12868','18')" \o "Ilgalaikio turto nusidėvėjimo arba amortizacijos sąnaudos (str. 18)" </w:instrText>
      </w:r>
      <w:r>
        <w:rPr>
          <w:iCs/>
          <w:color w:val="000000"/>
          <w:shd w:val="clear" w:color="auto" w:fill="FFFFFF"/>
        </w:rPr>
        <w:fldChar w:fldCharType="separate"/>
      </w:r>
      <w:r w:rsidRPr="0065344A">
        <w:rPr>
          <w:rStyle w:val="Hipersaitas"/>
          <w:iCs/>
          <w:color w:val="000000"/>
          <w:lang w:val="lt-LT"/>
        </w:rPr>
        <w:t>18</w:t>
      </w:r>
      <w:r>
        <w:rPr>
          <w:iCs/>
          <w:color w:val="000000"/>
          <w:shd w:val="clear" w:color="auto" w:fill="FFFFFF"/>
        </w:rPr>
        <w:fldChar w:fldCharType="end"/>
      </w:r>
      <w:bookmarkStart w:id="373" w:name="pn1_3953"/>
      <w:bookmarkEnd w:id="372"/>
      <w:bookmarkEnd w:id="373"/>
      <w:r>
        <w:rPr>
          <w:iCs/>
          <w:color w:val="000000"/>
          <w:shd w:val="clear" w:color="auto" w:fill="FFFFFF"/>
        </w:rPr>
        <w:t> str. 10 dalyje nustatytą nusidėvėjimo skaičiavimo pradžios būdą ir nustatė 1 000 EUR likvidacinę vertę.</w:t>
      </w:r>
    </w:p>
    <w:p w14:paraId="42AA0056"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Kadangi automobilis įsigytas ir pradėtas naudoti rugpjūčio mėnesį, jo nusidėvėjimas pradedamas skaičiuoti nuo rugsėjo 1 dienos. Vadinasi, 2017 m. automobilis bus naudojamas 4 mėnesius. Apskaičiuojant 2017 m. apmokestinamąjį pelną, prie ribojamų dydžių leidžiamų atskaitymų bus priskirta 5 500 EUR[(100 000 EUR – 1000 EUR) : 72 mėn. x 4 mėn.] šio turto nusidėvėjimo suma, ir visa šio automobilio pirkimo PVM suma, t.y. 21 000 EUR.</w:t>
      </w:r>
    </w:p>
    <w:p w14:paraId="0EDBC6AD"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2018 metų lapkričio mėnesį, įvykus avarijai, automobilis nurašomas. Apskaičiuojant 2018 m. apmokestinamąjį pelną, prie ribojamų dydžių leidžiamų atskaitymų bus priskirta 15 125 EUR [(100 000 EUR – 1000 EUR) : 72 mėn. x 11 mėn.] šio automobilio nusidėvėjimo suma. Vadinasi, vienetas 2017 ir 2018 metais ribojamų dydžių leidžiamiems atskaitymams priskirs 20 625 EUR (5 500 EUR + 15 125 EUR) šio automobilio nusidėvėjimo sumą. Šiai sumai proporcingai tenka 4 331 EUR (20 625 EUR x 21 000 EUR : 100 000 EUR) dydžio nuo automobilio kainos apskaičiuotos PVM sumos dalis. Todėl kita nuo automobilio kainos apskaičiuotos pirkimo PVM sumos dalimi, t.y. 16 669 EUR (21 000 EUR – 4 331 EUR) suma, turi būti mažinama 2018 metų ribojamų dydžių leidžiamų atskaitymų suma.</w:t>
      </w:r>
    </w:p>
    <w:p w14:paraId="20618FC0"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2. UAB X, kuri nėra PVM mokėtoja, 2017 metų gruodžio mėnesį iš UAB Y, kuri yra PVM mokėtoja, įsigijo šaldytų žuvies produktų, už kuriuos sumokėjo 60 500 EUR. Iš šios sumos 50 000 EUR yra prekių įsigijimo kaina, o 10 500 EUR yra PVM. UAB X tą patį (t.y. gruodžio) mėnesį pardavė dalį šių prekių. Parduotų prekių įsigijimo kaina – 5 000 EUR. UAB X, apskaičiuodama 2017 metų apmokestinamąjį pelną, iš pajamų gali atskaityti parduotų prekių įsigijimo kainą (5 000 EUR) ir visą nuo visų prekių įsigijimo kainos apskaičiuotą pirkimo PVM sumą (10 500 EUR).</w:t>
      </w:r>
    </w:p>
    <w:p w14:paraId="59D4755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lastRenderedPageBreak/>
        <w:t>Likusią dalį prekių UAB X planavo parduoti 2018 metais, tačiau, 2018 m. lapkričio mėnesį sugedus šaldytuvams, dalis likusių žuvies produktų sugedo. Sugedusių prekių įsigijimo kaina – 10 000 EUR. Vadinasi, ši suma (sugedusių prekių įsigijimo kaina) nebus priskirta leidžiamiems atskaitymams, todėl vienetas, šiai sumai tenkančia pirkimo PVM suma, t.y. 2 100 EUR (10 000 EUR x 21 proc.), turi sumažinti 2018 metų ribojamų dydžių leidžiamų atskaitymų sumą.</w:t>
      </w:r>
    </w:p>
    <w:p w14:paraId="46A76EF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058CF1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3. Leidžiamiems atskaitymams gali būti priskirtos tik pardavimo PVM sumos, apskaičiuotos nuo leidžiamų (įskaitant ribojamų dydžių) atskaitymų. Tuo atveju, kai vienetas apskaičiuoja pardavimo PVM nuo neleidžiamų atskaitymų, tokios pardavimo PVM sumos taip pat priskiriamos neleidžiamiems atskaitymams. Jei vienetas apskaičiuoja pardavimo PVM nuo ribojamų dydžių leidžiamų atskaitymų, tai iš pajamų gali būti atskaitoma tik ta pardavimo PVM dalis, kuri apskaičiuota nuo ribojamų dydžių leidžiamų atskaitymų. Pavyzdžiui, tuo atveju, kai vienetas iki 2018 metų patiria reprezentacines išlaidas, 75 procentai reprezentacinių išlaidų priskiriama ribojamų dydžių leidžiamiems atskaitymams. Todėl tik 75 procentai priskaičiuoto pardavimo PVM sumos (kai pagal PVM įstatymo nuostatas apskaičiuojamas pardavimo PVM už reprezentaciniais tikslais įteiktas dovanas, viršijančias nedidelės vertės dovanos sumą) priskiriami ribojamų dydžių leidžiamiems atskaitymams.</w:t>
      </w:r>
      <w:r>
        <w:t xml:space="preserve"> </w:t>
      </w:r>
      <w:r>
        <w:rPr>
          <w:iCs/>
          <w:color w:val="000000"/>
          <w:shd w:val="clear" w:color="auto" w:fill="FFFFFF"/>
        </w:rPr>
        <w:t>Nuo 2018 metų PVM mokėtojas, norėdamas pasinaudoti reprezentacijai skirtų prekių ir paslaugų pirkimo PVM atskaita, turi atsižvelgti į pasikeitusias PMĮ 22 str. 3 dalies nuostatas, pagal kurias iš pajamų atskaitoma ne daugiau kaip 50 proc. reprezentacinių sąnaudų ir tokių atskaitomų sąnaudų suma negali viršyti 2 proc. visų vieneto pajamų per mokestinį laikotarpį.</w:t>
      </w:r>
    </w:p>
    <w:p w14:paraId="0A0CE17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4. Pagal PVM įstatymo 5 straipsnį už prekes, suvartotas PVM mokėtojo privatiems poreikiams tenkinti, turi būti apskaičiuojamas pardavimo PVM. Pažymime, kad tai savo esme tapatu tų prekių PVM atskaitos tikslinimui, tačiau, šiuo atveju, ne tikslinama atskaityta pirkimo PVM suma, o pirkimo PVM suma, kuri buvo atskaityta įsigyjant prekes, yra grąžinama į biudžetą, apskaičiuojant pardavimo PVM nuo prekių įsigijimo kainos. Todėl, toks apskaičiuotas pardavimo PVM savo esme prilygsta neatskaitomam pirkimo PVM, ir tokios pardavimo PVM sumos gali būti priskiriamos ribojamų dydžių leidžiamiems atskaitymams.</w:t>
      </w:r>
    </w:p>
    <w:p w14:paraId="2B32A31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50A6A149"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23864CC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23B5CC8"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 X perka segtuvus (vieno vieneto vertė yra 60 EUR) ir pirkimo PVM įtraukia į atskaitą. Vėliau įmonė X nusprendžia segtuvus išdalinti reklaminio renginio metu. Šiuo atveju, segtuvų perdavimas pagal Lietuvos Respublikos pridėtinės vertės įstatymo nuostatas laikytinas prekių suvartojimu saviems poreikiams tenkinti (segtuvo vertė yra didesnė nei 10 EUR). Todėl įmonė X, išdalinusi segtuvus reklaminiame renginyje, nustatyta tvarka turi apskaičiuoti ir sumokėti į biudžetą pardavimo PVM. Šis apskaičiuotas pardavimo PVM, savo esme prilygstantis neatskaitomam pirkimo PVM, priskiriamas ribojamų dydžių leidžiamiems atskaitymams.</w:t>
      </w:r>
    </w:p>
    <w:p w14:paraId="6A63483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DD70F1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5. Kai Lietuvos Respublikos </w:t>
      </w:r>
      <w:bookmarkStart w:id="374" w:name="n1_3958"/>
      <w:r>
        <w:rPr>
          <w:iCs/>
          <w:color w:val="000000"/>
          <w:shd w:val="clear" w:color="auto" w:fill="FFFFFF"/>
        </w:rPr>
        <w:fldChar w:fldCharType="begin"/>
      </w:r>
      <w:r>
        <w:rPr>
          <w:iCs/>
          <w:color w:val="000000"/>
          <w:shd w:val="clear" w:color="auto" w:fill="FFFFFF"/>
        </w:rPr>
        <w:instrText xml:space="preserve"> HYPERLINK "https://www.infolex.lt/ta/10160" \o "Lietuvos Respublikos labdaros ir paramos įstatymas" \t "_blank" </w:instrText>
      </w:r>
      <w:r>
        <w:rPr>
          <w:iCs/>
          <w:color w:val="000000"/>
          <w:shd w:val="clear" w:color="auto" w:fill="FFFFFF"/>
        </w:rPr>
        <w:fldChar w:fldCharType="separate"/>
      </w:r>
      <w:r w:rsidRPr="0065344A">
        <w:rPr>
          <w:rStyle w:val="Hipersaitas"/>
          <w:iCs/>
          <w:color w:val="000000"/>
          <w:lang w:val="lt-LT"/>
        </w:rPr>
        <w:t>labdaros ir paramos įstatymo</w:t>
      </w:r>
      <w:r>
        <w:rPr>
          <w:iCs/>
          <w:color w:val="000000"/>
          <w:shd w:val="clear" w:color="auto" w:fill="FFFFFF"/>
        </w:rPr>
        <w:fldChar w:fldCharType="end"/>
      </w:r>
      <w:bookmarkStart w:id="375" w:name="pn1_3958"/>
      <w:bookmarkEnd w:id="374"/>
      <w:bookmarkEnd w:id="375"/>
      <w:r>
        <w:rPr>
          <w:iCs/>
          <w:color w:val="000000"/>
          <w:shd w:val="clear" w:color="auto" w:fill="FFFFFF"/>
        </w:rPr>
        <w:t> nustatyta tvarka parama teikiama materialinėmis vertybėmis, kurias įsigyjant nebuvo pasinaudota PVM atskaita, sumokėtas PVM įsigyjant šias materialines vertybes negali būti priskiriamas įsigijimo kainai, tačiau, vadovaujantis </w:t>
      </w:r>
      <w:bookmarkStart w:id="376" w:name="n1_3959"/>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77" w:name="pn1_3959"/>
      <w:bookmarkEnd w:id="376"/>
      <w:bookmarkEnd w:id="377"/>
      <w:r>
        <w:rPr>
          <w:iCs/>
          <w:color w:val="000000"/>
          <w:shd w:val="clear" w:color="auto" w:fill="FFFFFF"/>
        </w:rPr>
        <w:t> </w:t>
      </w:r>
      <w:bookmarkStart w:id="378" w:name="n1_3960"/>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79" w:name="pn1_3960"/>
      <w:bookmarkEnd w:id="378"/>
      <w:bookmarkEnd w:id="379"/>
      <w:r>
        <w:rPr>
          <w:iCs/>
          <w:color w:val="000000"/>
          <w:shd w:val="clear" w:color="auto" w:fill="FFFFFF"/>
        </w:rPr>
        <w:t> str. 2 dalies nuostatomis, sumokėto PVM sumos gali būti priskirtos ribojamų dydžių leidžiamiems atskaitymams, jeigu šios sumos apskaičiuotos nuo </w:t>
      </w:r>
      <w:bookmarkStart w:id="380" w:name="n1_396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1" w:name="pn1_3961"/>
      <w:bookmarkEnd w:id="380"/>
      <w:bookmarkEnd w:id="381"/>
      <w:r>
        <w:rPr>
          <w:iCs/>
          <w:color w:val="000000"/>
          <w:shd w:val="clear" w:color="auto" w:fill="FFFFFF"/>
        </w:rPr>
        <w:t> nustatytų leidžiamų atskaitymų. Vadinasi paramos teikėjas pagal </w:t>
      </w:r>
      <w:bookmarkStart w:id="382" w:name="n1_3962"/>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3" w:name="pn1_3962"/>
      <w:bookmarkEnd w:id="382"/>
      <w:bookmarkEnd w:id="383"/>
      <w:r>
        <w:rPr>
          <w:iCs/>
          <w:color w:val="000000"/>
          <w:shd w:val="clear" w:color="auto" w:fill="FFFFFF"/>
        </w:rPr>
        <w:t> </w:t>
      </w:r>
      <w:bookmarkStart w:id="384" w:name="n1_3963"/>
      <w:r>
        <w:rPr>
          <w:iCs/>
          <w:color w:val="000000"/>
          <w:shd w:val="clear" w:color="auto" w:fill="FFFFFF"/>
        </w:rPr>
        <w:fldChar w:fldCharType="begin"/>
      </w:r>
      <w:r>
        <w:rPr>
          <w:iCs/>
          <w:color w:val="000000"/>
          <w:shd w:val="clear" w:color="auto" w:fill="FFFFFF"/>
        </w:rPr>
        <w:instrText xml:space="preserve"> HYPERLINK "javascript:OL('12868','28')" \o "Parama (str. 28)" </w:instrText>
      </w:r>
      <w:r>
        <w:rPr>
          <w:iCs/>
          <w:color w:val="000000"/>
          <w:shd w:val="clear" w:color="auto" w:fill="FFFFFF"/>
        </w:rPr>
        <w:fldChar w:fldCharType="separate"/>
      </w:r>
      <w:r w:rsidRPr="0065344A">
        <w:rPr>
          <w:rStyle w:val="Hipersaitas"/>
          <w:iCs/>
          <w:color w:val="000000"/>
          <w:lang w:val="lt-LT"/>
        </w:rPr>
        <w:t>28</w:t>
      </w:r>
      <w:r>
        <w:rPr>
          <w:iCs/>
          <w:color w:val="000000"/>
          <w:shd w:val="clear" w:color="auto" w:fill="FFFFFF"/>
        </w:rPr>
        <w:fldChar w:fldCharType="end"/>
      </w:r>
      <w:bookmarkStart w:id="385" w:name="pn1_3963"/>
      <w:bookmarkEnd w:id="384"/>
      <w:bookmarkEnd w:id="385"/>
      <w:r>
        <w:rPr>
          <w:iCs/>
          <w:color w:val="000000"/>
          <w:shd w:val="clear" w:color="auto" w:fill="FFFFFF"/>
        </w:rPr>
        <w:t> straipsnio nuostatas ribojamų dydžių leidžiamiems atskaitymams gali 2 kartus priskirti kaip paramą perduotų materialinių vertybių įsigijimo kainą, neviršijančią 40 proc. apmokestinamojo pelno, o pagal </w:t>
      </w:r>
      <w:bookmarkStart w:id="386" w:name="n1_3964"/>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87" w:name="pn1_3964"/>
      <w:bookmarkStart w:id="388" w:name="n1_3965"/>
      <w:bookmarkEnd w:id="386"/>
      <w:bookmarkEnd w:id="387"/>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89" w:name="pn1_3965"/>
      <w:bookmarkEnd w:id="388"/>
      <w:bookmarkEnd w:id="389"/>
      <w:r>
        <w:rPr>
          <w:iCs/>
          <w:color w:val="000000"/>
          <w:shd w:val="clear" w:color="auto" w:fill="FFFFFF"/>
        </w:rPr>
        <w:t> str. 2 dalies nuostatas – įsigyjant sumokėto PVM dalį, tenkančią ribojamų dydžių leidžiamiems atskaitymams priskirtai prekių kainos daliai.</w:t>
      </w:r>
    </w:p>
    <w:p w14:paraId="3E6A073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4A4D056"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lastRenderedPageBreak/>
        <w:t>Pavyzdys</w:t>
      </w:r>
    </w:p>
    <w:p w14:paraId="41D91B8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4102E5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Uždaroji akcinė bendrovė (toliau – bendrovė) įsigijo baldų komplektą, už kurį sumokėjo 3630 EUR (3000 EUR kaina + 630  EUR PVM). Kadangi baldų komplektas buvo numatytas perduoti kaip parama labdaros ir paramos fondui, bendrovė 630 EUR PVM sumos neįtraukė į PVM atskaitą. Suteikus paramą, bendrovė gali 2 kartus priskirti kaip paramą perduoto baldų komplekto įsigijimo kainą (3000 EUR), neviršijančią </w:t>
      </w:r>
      <w:bookmarkStart w:id="390" w:name="n1_3966"/>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91" w:name="pn1_3966"/>
      <w:bookmarkEnd w:id="390"/>
      <w:bookmarkEnd w:id="391"/>
      <w:r>
        <w:rPr>
          <w:iCs/>
          <w:color w:val="000000"/>
          <w:shd w:val="clear" w:color="auto" w:fill="FFFFFF"/>
        </w:rPr>
        <w:t> </w:t>
      </w:r>
      <w:bookmarkStart w:id="392" w:name="n1_3967"/>
      <w:r>
        <w:rPr>
          <w:iCs/>
          <w:color w:val="000000"/>
          <w:shd w:val="clear" w:color="auto" w:fill="FFFFFF"/>
        </w:rPr>
        <w:fldChar w:fldCharType="begin"/>
      </w:r>
      <w:r>
        <w:rPr>
          <w:iCs/>
          <w:color w:val="000000"/>
          <w:shd w:val="clear" w:color="auto" w:fill="FFFFFF"/>
        </w:rPr>
        <w:instrText xml:space="preserve"> HYPERLINK "javascript:OL('12868','28')" \o "Parama (str. 28)" </w:instrText>
      </w:r>
      <w:r>
        <w:rPr>
          <w:iCs/>
          <w:color w:val="000000"/>
          <w:shd w:val="clear" w:color="auto" w:fill="FFFFFF"/>
        </w:rPr>
        <w:fldChar w:fldCharType="separate"/>
      </w:r>
      <w:r w:rsidRPr="0065344A">
        <w:rPr>
          <w:rStyle w:val="Hipersaitas"/>
          <w:iCs/>
          <w:color w:val="000000"/>
          <w:lang w:val="lt-LT"/>
        </w:rPr>
        <w:t>28</w:t>
      </w:r>
      <w:r>
        <w:rPr>
          <w:iCs/>
          <w:color w:val="000000"/>
          <w:shd w:val="clear" w:color="auto" w:fill="FFFFFF"/>
        </w:rPr>
        <w:fldChar w:fldCharType="end"/>
      </w:r>
      <w:bookmarkStart w:id="393" w:name="pn1_3967"/>
      <w:bookmarkEnd w:id="392"/>
      <w:bookmarkEnd w:id="393"/>
      <w:r>
        <w:rPr>
          <w:iCs/>
          <w:color w:val="000000"/>
          <w:shd w:val="clear" w:color="auto" w:fill="FFFFFF"/>
        </w:rPr>
        <w:t> str. 2 dalyje nustatyto apribojimo. Tuo tarpu įsigyjant baldų komplektą sumokėtas PVM (630 EUR), atskaitomas pagal </w:t>
      </w:r>
      <w:bookmarkStart w:id="394" w:name="n1_3968"/>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395" w:name="pn1_3968"/>
      <w:bookmarkEnd w:id="394"/>
      <w:bookmarkEnd w:id="395"/>
      <w:r>
        <w:rPr>
          <w:iCs/>
          <w:color w:val="000000"/>
          <w:shd w:val="clear" w:color="auto" w:fill="FFFFFF"/>
        </w:rPr>
        <w:t> </w:t>
      </w:r>
      <w:bookmarkStart w:id="396" w:name="n1_3969"/>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397" w:name="pn1_3969"/>
      <w:bookmarkEnd w:id="396"/>
      <w:bookmarkEnd w:id="397"/>
      <w:r>
        <w:rPr>
          <w:iCs/>
          <w:color w:val="000000"/>
          <w:shd w:val="clear" w:color="auto" w:fill="FFFFFF"/>
        </w:rPr>
        <w:t> str. 2 dalies nuostatas.</w:t>
      </w:r>
    </w:p>
    <w:p w14:paraId="273629A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3E80EF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6. PVM įstatymo 64 str. 9 dalyje nustatyta, kad PVM mokėtojo turimose PVM sąskaitose faktūrose nurodytos pirkimo PVM sumos neatskaitomos </w:t>
      </w:r>
      <w:bookmarkStart w:id="398" w:name="n1_3972"/>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Mokesčių administravimo įstatymo</w:t>
      </w:r>
      <w:r>
        <w:rPr>
          <w:iCs/>
          <w:color w:val="000000"/>
          <w:shd w:val="clear" w:color="auto" w:fill="FFFFFF"/>
        </w:rPr>
        <w:fldChar w:fldCharType="end"/>
      </w:r>
      <w:bookmarkStart w:id="399" w:name="pn1_3972"/>
      <w:bookmarkEnd w:id="398"/>
      <w:bookmarkEnd w:id="399"/>
      <w:r>
        <w:rPr>
          <w:iCs/>
          <w:color w:val="000000"/>
          <w:shd w:val="clear" w:color="auto" w:fill="FFFFFF"/>
        </w:rPr>
        <w:t> (</w:t>
      </w:r>
      <w:bookmarkStart w:id="400" w:name="pn1_3973"/>
      <w:bookmarkEnd w:id="400"/>
      <w:r>
        <w:rPr>
          <w:iCs/>
          <w:color w:val="000000"/>
          <w:shd w:val="clear" w:color="auto" w:fill="FFFFFF"/>
        </w:rPr>
        <w:t>toliau – </w:t>
      </w:r>
      <w:bookmarkStart w:id="401" w:name="n1_3974"/>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2" w:name="pn1_3974"/>
      <w:bookmarkEnd w:id="401"/>
      <w:bookmarkEnd w:id="402"/>
      <w:r>
        <w:rPr>
          <w:iCs/>
          <w:color w:val="000000"/>
          <w:shd w:val="clear" w:color="auto" w:fill="FFFFFF"/>
        </w:rPr>
        <w:t>) pagrindais, neatsižvelgiant į tai, kad PVM sąskaitos faktūros atitinka visus PVM įstatymo 64 straipsnyje nustatytus reikalavimus. Jeigu mokestinio patikrinimo metu nustatoma, kad mokesčio mokėtojo sandoris, ūkinė operacija ar bet kokia jų grupė sudaromi turint tikslą gauti mokestinę naudą, mokesčių administratorius sumažina PVM atskaitą tokio sandorio metu sumokėta PVM suma. Kadangi PVM negali būti atskaitomas </w:t>
      </w:r>
      <w:bookmarkStart w:id="403" w:name="n1_3977"/>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4" w:name="pn1_3977"/>
      <w:bookmarkEnd w:id="403"/>
      <w:bookmarkEnd w:id="404"/>
      <w:r>
        <w:rPr>
          <w:iCs/>
          <w:color w:val="000000"/>
          <w:shd w:val="clear" w:color="auto" w:fill="FFFFFF"/>
        </w:rPr>
        <w:t> pagrindais, neatskaityta PVM suma ribojamų dydžių leidžiamiems atskaitymams nepriskiriama.</w:t>
      </w:r>
    </w:p>
    <w:p w14:paraId="589398E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15EFC4A"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24017934"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7937CF5"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Vienetas A parduoda ilgalaikį turtą vienetui B, išrašydamas PVM sąskaitą faktūrą, ir išskirdamas joje PVM sumą, tačiau šio mokėtino PVM į biudžetą nesumoka. Vienetas B apmoka PVM sąskaitą – faktūrą ir pirkimo PVM įtraukia į atskaitą. Įsigytas turtas naudojamas vieneto B ūkinėje komercinėje veikloje. Mokestinio tyrimo metu nustatoma, kad vienetas A ir vienetas B yra susiję asmenys ir vienetas B žinojo, kad vienetas A nesumokės pardavimo PVM į biudžetą, todėl, vadovaujantis </w:t>
      </w:r>
      <w:bookmarkStart w:id="405" w:name="n1_3978"/>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06" w:name="pn1_3978"/>
      <w:bookmarkEnd w:id="405"/>
      <w:bookmarkEnd w:id="406"/>
      <w:r>
        <w:rPr>
          <w:iCs/>
          <w:color w:val="000000"/>
          <w:shd w:val="clear" w:color="auto" w:fill="FFFFFF"/>
        </w:rPr>
        <w:t> </w:t>
      </w:r>
      <w:bookmarkStart w:id="407" w:name="n1_3979"/>
      <w:r>
        <w:rPr>
          <w:iCs/>
          <w:color w:val="000000"/>
          <w:shd w:val="clear" w:color="auto" w:fill="FFFFFF"/>
        </w:rPr>
        <w:fldChar w:fldCharType="begin"/>
      </w:r>
      <w:r>
        <w:rPr>
          <w:iCs/>
          <w:color w:val="000000"/>
          <w:shd w:val="clear" w:color="auto" w:fill="FFFFFF"/>
        </w:rPr>
        <w:instrText xml:space="preserve"> HYPERLINK "javascript:OL('76519','69')" \o "Mokesčio apskaičiavimas taikant turinio viršenybės prieš formą principą (str. 69)" </w:instrText>
      </w:r>
      <w:r>
        <w:rPr>
          <w:iCs/>
          <w:color w:val="000000"/>
          <w:shd w:val="clear" w:color="auto" w:fill="FFFFFF"/>
        </w:rPr>
        <w:fldChar w:fldCharType="separate"/>
      </w:r>
      <w:r w:rsidRPr="0065344A">
        <w:rPr>
          <w:rStyle w:val="Hipersaitas"/>
          <w:iCs/>
          <w:color w:val="000000"/>
          <w:lang w:val="lt-LT"/>
        </w:rPr>
        <w:t>69</w:t>
      </w:r>
      <w:r>
        <w:rPr>
          <w:iCs/>
          <w:color w:val="000000"/>
          <w:shd w:val="clear" w:color="auto" w:fill="FFFFFF"/>
        </w:rPr>
        <w:fldChar w:fldCharType="end"/>
      </w:r>
      <w:bookmarkStart w:id="408" w:name="pn1_3979"/>
      <w:bookmarkEnd w:id="407"/>
      <w:bookmarkEnd w:id="408"/>
      <w:r>
        <w:rPr>
          <w:iCs/>
          <w:color w:val="000000"/>
          <w:shd w:val="clear" w:color="auto" w:fill="FFFFFF"/>
        </w:rPr>
        <w:t> straipsnio nuostatomis, vieneto B PVM atskaita sumažinama už įsigytą ilgalaikį turtą sumokėta PVM suma, nes patikrinimo metu nustatoma, kad susiję vienetai A ir B įformindami ilgalaikio turto pirkimo – pardavimo sandorį siekė mokestinės naudos.</w:t>
      </w:r>
    </w:p>
    <w:p w14:paraId="202D9E45"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Atsižvelgiant į tai, kad ilgalaikio turto pirkimo PVM negali būti atskaitoma </w:t>
      </w:r>
      <w:bookmarkStart w:id="409" w:name="n1_3980"/>
      <w:r>
        <w:rPr>
          <w:iCs/>
          <w:color w:val="000000"/>
          <w:shd w:val="clear" w:color="auto" w:fill="FFFFFF"/>
        </w:rPr>
        <w:fldChar w:fldCharType="begin"/>
      </w:r>
      <w:r>
        <w:rPr>
          <w:iCs/>
          <w:color w:val="000000"/>
          <w:shd w:val="clear" w:color="auto" w:fill="FFFFFF"/>
        </w:rPr>
        <w:instrText xml:space="preserve"> HYPERLINK "https://www.infolex.lt/ta/76519" \o "Lietuvos Respublikos mokesčių administravimo įstatymas" \t "_blank" </w:instrText>
      </w:r>
      <w:r>
        <w:rPr>
          <w:iCs/>
          <w:color w:val="000000"/>
          <w:shd w:val="clear" w:color="auto" w:fill="FFFFFF"/>
        </w:rPr>
        <w:fldChar w:fldCharType="separate"/>
      </w:r>
      <w:r w:rsidRPr="0065344A">
        <w:rPr>
          <w:rStyle w:val="Hipersaitas"/>
          <w:iCs/>
          <w:color w:val="000000"/>
          <w:lang w:val="lt-LT"/>
        </w:rPr>
        <w:t>MAĮ</w:t>
      </w:r>
      <w:r>
        <w:rPr>
          <w:iCs/>
          <w:color w:val="000000"/>
          <w:shd w:val="clear" w:color="auto" w:fill="FFFFFF"/>
        </w:rPr>
        <w:fldChar w:fldCharType="end"/>
      </w:r>
      <w:bookmarkStart w:id="410" w:name="pn1_3980"/>
      <w:bookmarkEnd w:id="409"/>
      <w:bookmarkEnd w:id="410"/>
      <w:r>
        <w:rPr>
          <w:iCs/>
          <w:color w:val="000000"/>
          <w:shd w:val="clear" w:color="auto" w:fill="FFFFFF"/>
        </w:rPr>
        <w:t> nustatytais pagrindais, neatskaityta PVM suma negali būti priskirta leidžiamiems atskaitymams pagal </w:t>
      </w:r>
      <w:bookmarkStart w:id="411" w:name="n1_3981"/>
      <w:r>
        <w:rPr>
          <w:iCs/>
          <w:color w:val="000000"/>
          <w:shd w:val="clear" w:color="auto" w:fill="FFFFFF"/>
        </w:rPr>
        <w:fldChar w:fldCharType="begin"/>
      </w:r>
      <w:r>
        <w:rPr>
          <w:iCs/>
          <w:color w:val="000000"/>
          <w:shd w:val="clear" w:color="auto" w:fill="FFFFFF"/>
        </w:rPr>
        <w:instrText xml:space="preserve"> HYPERLINK "https://www.infolex.lt/ta/12868" \o "Lietuvos Respublikos pelno mokesčio įstatymas" \t "_blank" </w:instrText>
      </w:r>
      <w:r>
        <w:rPr>
          <w:iCs/>
          <w:color w:val="000000"/>
          <w:shd w:val="clear" w:color="auto" w:fill="FFFFFF"/>
        </w:rPr>
        <w:fldChar w:fldCharType="separate"/>
      </w:r>
      <w:r w:rsidRPr="0065344A">
        <w:rPr>
          <w:rStyle w:val="Hipersaitas"/>
          <w:iCs/>
          <w:color w:val="000000"/>
          <w:lang w:val="lt-LT"/>
        </w:rPr>
        <w:t>PMĮ</w:t>
      </w:r>
      <w:r>
        <w:rPr>
          <w:iCs/>
          <w:color w:val="000000"/>
          <w:shd w:val="clear" w:color="auto" w:fill="FFFFFF"/>
        </w:rPr>
        <w:fldChar w:fldCharType="end"/>
      </w:r>
      <w:bookmarkStart w:id="412" w:name="pn1_3981"/>
      <w:bookmarkEnd w:id="411"/>
      <w:bookmarkEnd w:id="412"/>
      <w:r>
        <w:rPr>
          <w:iCs/>
          <w:color w:val="000000"/>
          <w:shd w:val="clear" w:color="auto" w:fill="FFFFFF"/>
        </w:rPr>
        <w:t> </w:t>
      </w:r>
      <w:bookmarkStart w:id="413" w:name="n1_3982"/>
      <w:r>
        <w:rPr>
          <w:iCs/>
          <w:color w:val="000000"/>
          <w:shd w:val="clear" w:color="auto" w:fill="FFFFFF"/>
        </w:rPr>
        <w:fldChar w:fldCharType="begin"/>
      </w:r>
      <w:r>
        <w:rPr>
          <w:iCs/>
          <w:color w:val="000000"/>
          <w:shd w:val="clear" w:color="auto" w:fill="FFFFFF"/>
        </w:rPr>
        <w:instrText xml:space="preserve"> HYPERLINK "javascript:OL('12868','24')" \o "Mokesčiai (str. 24)" </w:instrText>
      </w:r>
      <w:r>
        <w:rPr>
          <w:iCs/>
          <w:color w:val="000000"/>
          <w:shd w:val="clear" w:color="auto" w:fill="FFFFFF"/>
        </w:rPr>
        <w:fldChar w:fldCharType="separate"/>
      </w:r>
      <w:r w:rsidRPr="0065344A">
        <w:rPr>
          <w:rStyle w:val="Hipersaitas"/>
          <w:iCs/>
          <w:color w:val="000000"/>
          <w:lang w:val="lt-LT"/>
        </w:rPr>
        <w:t>24</w:t>
      </w:r>
      <w:r>
        <w:rPr>
          <w:iCs/>
          <w:color w:val="000000"/>
          <w:shd w:val="clear" w:color="auto" w:fill="FFFFFF"/>
        </w:rPr>
        <w:fldChar w:fldCharType="end"/>
      </w:r>
      <w:bookmarkStart w:id="414" w:name="pn1_3982"/>
      <w:bookmarkEnd w:id="413"/>
      <w:bookmarkEnd w:id="414"/>
      <w:r>
        <w:rPr>
          <w:iCs/>
          <w:color w:val="000000"/>
          <w:shd w:val="clear" w:color="auto" w:fill="FFFFFF"/>
        </w:rPr>
        <w:t> straipsnio nuostatas.</w:t>
      </w:r>
    </w:p>
    <w:p w14:paraId="111D79B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2D20664"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 Šios dalies komentare taip pat aptariami užsienio valstybėse sumokėto PVM priskyrimo leidžiamiems atskaitymams klausimai.</w:t>
      </w:r>
    </w:p>
    <w:p w14:paraId="3E4BFFA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ES šalys.</w:t>
      </w:r>
    </w:p>
    <w:p w14:paraId="049C3F0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7.1. Lietuvos Respublikos apmokestinamieji vienetai turi teisę daugelyje užsienio valstybių susigrąžinti PVM, sumokėtą už prekes ar paslaugas, įsigytas toje užsienio valstybėje. Bendra PVM susigrąžinimo taisyklė yra ta, kad PVM grąžinimo laikotarpiu Lietuvos apmokestinamieji vienetai neturi būti registruoti PVM mokėtojais toje užsienio valstybėje (ar jiems neturi būti atsiradusi prievolė įsiregistruoti PVM mokėtojais toje valstybėje), neturi vykdyti veiklos, kuri yra PVM objektas toje valstybėje, ir užsienio valstybėje įsigytos prekės ar paslaugos turi būti skirtos tik jų ekonominei veiklai vykdyti. Tačiau yra ir išimtys, kada Lietuvos apmokestinamieji vienetai nors ir vykdė tam tikrą veiklą užsienio valstybėje, bet jiems vis tiek yra suteikta teisė prašyti susigrąžinti PVM. Prievolė įsiregistruoti PVM mokėtoju Europos Sąjungos valstybėse narėse (toliau – ES valstybės) tam tikrais atvejais gali būti nustatoma kiekvienos valstybės nustatyta tvarka, todėl tose šalyse veiklą vykdantys vienetai dėl minėtos prievolės atsiradimo paaiškinimo turėtų kreiptis į atitinkamos šalies mokesčių administratorių.</w:t>
      </w:r>
    </w:p>
    <w:p w14:paraId="792BC03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7.2. Lietuvos apmokestinamieji vienetai teisę susigrąžinti ES valstybėse sumokėtą PVM turi pagal 2008 m. vasario 12 d. Direktyvą 2008/9/EB, nustatančią Direktyvoje 2006/112/EB grąžinimo apmokestinamiesiems asmenims, kurie nėra įsisteigę PVM grąžinančioje valstybėje, o yra įsisteigę </w:t>
      </w:r>
      <w:r>
        <w:rPr>
          <w:iCs/>
          <w:color w:val="000000"/>
          <w:shd w:val="clear" w:color="auto" w:fill="FFFFFF"/>
        </w:rPr>
        <w:lastRenderedPageBreak/>
        <w:t>kitoje ES valstybėje, išsamias taisykles. Remiantis šiomis direktyvos nuostatomis, Lietuvos apmokestinamieji vienetai turi teisę prašyti grąžinti PVM, sumokėtą bet kurioje ES valstybėje.</w:t>
      </w:r>
    </w:p>
    <w:p w14:paraId="1E791C4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Informacija apie PVM grąžinimo direktyvos įgyvendinimą ES valstybėse galima rasti </w:t>
      </w:r>
      <w:hyperlink w:history="1"/>
      <w:r>
        <w:rPr>
          <w:iCs/>
          <w:color w:val="000000"/>
          <w:shd w:val="clear" w:color="auto" w:fill="FFFFFF"/>
        </w:rPr>
        <w:t xml:space="preserve"> VMI  prie FM interneto svetainėje skelbiamame Pridėtinės vertės mokesčio įstatymo komentare.</w:t>
      </w:r>
    </w:p>
    <w:p w14:paraId="273E88A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7.3. Lietuvos apmokestinamieji vienetai taip pat turi galimybę susigrąžinti PVM ir kai kuriose ES valstybėms nepriklausančiose šalyse. Šiose valstybėse sumokėtas PVM taikant abipusiškumo principą grąžinamas pagal kiekvienos valstybės nustatytą tvarką, todėl tose šalyse veiklą vykdantys vienetai dėl sumokėto PVM grąžinimo tvarkos paaiškinimo turėtų kreiptis į atitinkamos šalies mokesčių administratorių. Atkreipiame dėmesį į tai, kad užsienio valstybių, kuriose Lietuvos apmokestinamieji asmenys gali susigrąžinti sumokėtą PVM, nėra baigtinis.</w:t>
      </w:r>
    </w:p>
    <w:p w14:paraId="250DB66E"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A1C572E"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1 pavyzdys</w:t>
      </w:r>
    </w:p>
    <w:p w14:paraId="4C49428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18ACF9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2018 m. kitos ES valstybės įmonei L (PVM mokėtojai) tiekia įrengimus, kurie surenkami (instaliuojami) toje kitoje valstybėje narėje. Lietuvos įmonė toje kitoje ES valstybėje įsigyja prekes ir paslaugas, susijusias su įmonei L tiekiamų įrengimų instaliavimu. Pagal kitos ES valstybės teisės aktus prievolė apskaičiuoti bei sumokėti PVM už Lietuvos įmonės tiekiamus ir instaliuojamus kitoje ES valstybėje įrengimus kyla šių įrengimų pirkėjui ir todėl prievolės registruotis PVM mokėtoju toje kitoje ES valstybėje Lietuvos įmonei neatsirado. Už Lietuvos įmonės įsigytas prekes ir paslaugas (susijusias su įrengimų instaliavimu) kitoje ES valstybėje sumokėtas PVM nepriskiriamas ribojamų dydžių leidžiamiems atskaitymams, nes Lietuvos įmonė turi teisę pateikti prašymą grąžinti šį PVM, sumokėtą kitoje valstybėje.</w:t>
      </w:r>
    </w:p>
    <w:p w14:paraId="354AF926"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844F51C"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pavyzdys</w:t>
      </w:r>
    </w:p>
    <w:p w14:paraId="287BDF8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333B2C43"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užsiimanti prekių vežimo veikla bei teikianti transporto priemonių remonto paslaugas, 2018 m. teikia paslaugas kitos ES valstybės įmonei. Lietuvos įmonė patiria kuro pirkimo išlaidų kitoje ES valstybėje, kurios yra susijusios su Lietuvos įmonės vykdoma ekonomine veikla. Pagal kitos ES valstybės teisės aktus Lietuvos įmonei neatsirado prievolė registruotis PVM mokėtoja. Už įsigytą kurą kitoje ES valstybėje sumokėtas PVM nepriskiriamas ribojamų dydžių leidžiamiems atskaitymams, nes Lietuvos įmonė turi teisę pateikti prašymą grąžinti PVM, sumokėtą kitoje valstybėje.</w:t>
      </w:r>
    </w:p>
    <w:p w14:paraId="001DE79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64AA995"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3 pavyzdys</w:t>
      </w:r>
    </w:p>
    <w:p w14:paraId="49587A2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2539EF0"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įmonė 2018 m. kitos valstybės biudžetinei įstaigai teikia pastato, kuris bus pastatytas kitoje ES valstybėje, projektavimo ir statybos darbus. Lietuvos įmonė neįsiregistruoja kitoje ES valstybėje PVM mokėtoja, nors privalo tai daryti pagal tos valstybės narės teisės aktus. Lietuvos įmonė kitoje valstybėje įsigyja prekes ir paslaugas, reikalingas projektavimo ir statybos paslaugoms suteikti. Lietuvos įmonė prarado teisę teikti prašymą grąžinti PVM, sumokėto už kitoje ES valstybėje įsigytas prekes ir paslaugas, neįsiregistravusi PVM mokėtoja kitoje ES valstybėje. Kadangi teisę teikti prašymą grąžinti PVM įmonė prarado dėl savo kaltės, kitoje ES valstybėje sumokėtas PVM nepriskiriamas ribojamų dydžių leidžiamiems atskaitymams.</w:t>
      </w:r>
    </w:p>
    <w:p w14:paraId="3D054F0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FB4AFD5"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4 pavyzdys</w:t>
      </w:r>
    </w:p>
    <w:p w14:paraId="21CA4962"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86E079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 xml:space="preserve">Lietuvos įmonė, kurios veikla yra krovinių pervežimai, Latvijos įmonės užsakymu 2018 m. gabeno krovinį į Siriją. Krovinio vežėjas įsipila degalus Turkijoje. Už Turkijoje įsigytus degalus sumokėtas PVM nepriskiriamas leidžiamiems atskaitymams, nes Lietuvos įmonė gali teikti prašymą </w:t>
      </w:r>
      <w:r>
        <w:rPr>
          <w:iCs/>
          <w:color w:val="000000"/>
          <w:shd w:val="clear" w:color="auto" w:fill="FFFFFF"/>
        </w:rPr>
        <w:lastRenderedPageBreak/>
        <w:t>grąžinti PVM, kadangi taikomas abipusiškumo principas, Lietuva ir Turkija krovinių vežėjams grąžina PVM, sumokėtą už degalus.</w:t>
      </w:r>
    </w:p>
    <w:p w14:paraId="6027427D"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5D2EAC8B"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5 pavyzdys</w:t>
      </w:r>
    </w:p>
    <w:p w14:paraId="629E495B"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D71015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draudimo įmonė teikia įvairias draudimo paslaugas. Viena iš bendrovės siūlomų paslaugų – techninės pagalbos kelyje suteikimas automobilio gedimo atveju bet kurioje ES valstybėje, t.y. jei asmens, įsigijusio tokio draudimo paslaugą, automobilis sugenda, draudimo bendrovė pasirūpina automobilio nutempimu į remonto įmonę, remontu, apsidraudusiam asmeniui remonto laikotarpiu yra suteikiama kita transporto priemonė.</w:t>
      </w:r>
    </w:p>
    <w:p w14:paraId="234E8722"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Kitose ES valstybėse įvykus draudiminiams įvykiams, t.y. sugedus Lietuvos įmonių automobiliams, Lietuvos draudimo bendrovė, siekdama suteikti savo klientams draudimo sutartyse nurodytas paslaugas, 2018 m. įsigijo transporto priemonių nutempimo, remonto bei trumpalaikės transporto priemonių nuomos paslaugas. Lietuvos bendrovei suteiktos transporto priemonių nutempimo bei remonto paslaugos – PVM objektas Lietuvoje (PVM įstatymo 13 str. 2 dalis), tačiau už trumpalaikės transporto priemonių nuomos paslaugas PVM buvo apskaičiuotas kitoje ES valstybėje, nes transporto priemonės fiziškai perduotos kitoje ES valstybėje.</w:t>
      </w:r>
    </w:p>
    <w:p w14:paraId="16A2F34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Kitoje valstybėje narėje įsigytos transporto priemonių nuomos paslaugos yra susijusios su vykdoma PVM neapmokestinama draudimo veikla, todėl Lietuvos draudimo bendrovė negali susigrąžinti PVM. Nesusigrąžinamas PVM priskiriamas ribojamų dydžių leidžiamiems atskaitymams.</w:t>
      </w:r>
    </w:p>
    <w:p w14:paraId="045CA38C"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0FAEBC7"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6 pavyzdys</w:t>
      </w:r>
    </w:p>
    <w:p w14:paraId="65341ACA"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AF4ADF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Lietuvoje įsteigta kelionių agentūra organizuoja turistines bei poilsines keliones į Turkiją. PVM sąskaitos faktūros už klientų apgyvendinimo paslaugas Turkijos viešbučiuose yra išrašomos kelionių agentūros vardu. Remiantis abipusiškumo principu, Turkija PVM grąžina tik vežėjams už įsigytus degalus, patirtas remonto išlaidas, įsigytas atsargines detales, taip pat prekių ir paslaugų, kurių įsigijimas yra susijęs su dalyvavimu mugėse ar parodose, pirkimo PVM. Už Lietuvos kelionių agentūros įsigytas apgyvendinimo paslaugas PVM negali būti grąžintas, todėl priskiriamas ribojamų dydžių leidžiamiems atskaitymams.</w:t>
      </w:r>
    </w:p>
    <w:p w14:paraId="37C3D7B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F377DA4"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7 pavyzdys</w:t>
      </w:r>
    </w:p>
    <w:p w14:paraId="3EDBE793"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154FDAEE"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Lietuvos konsultacinės įmonės darbuotojai teikia konsultacines paslaugas kitoje ES valstybėje. Buvimo kitoje ES valstybėje laikotarpiu, Lietuvos įmonės darbuotojai 15 dienų iš kitos valstybės narės įmonės A išsinuomojo lengvąjį automobilį, transporto priemonė fiziškai perduota kitoje valstybėje narėje. Kitos ES valstybės įmonė A 2018 m. išrašė PVM sąskaitą faktūrą Lietuvos konsultacinei įmonei už automobilio nuomos paslaugą apskaičiuodama PVM, kadangi suteiktos trumpalaikės transporto nuomos paslaugos šiuo atveju yra PVM objektas kitoje ES valstybėje. Lietuvos įmonė negali susigrąžinti kitoje valstybėje narėje sumokėto PVM už lengvojo automobilio nuomos paslaugą, nes pagal tos kitos valstybės narės teisės aktus PVM atskaita už lengvųjų automobilių nuomą yra negalima, todėl kitoje ES valstybėje sumokėtas PVM priskiriamas ribojamų dydžių leidžiamiems atskaitymams.</w:t>
      </w:r>
    </w:p>
    <w:p w14:paraId="338E9ED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170C22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7.4. Ribojamų dydžių leidžiamiems atskaitymams nepriskiriamas užsienio ES valstybės pardavėjo apskaičiuotas PVM, kai Lietuvos įmonei yra prievolė už įsigytas prekes (suteiktas paslaugas) apskaičiuoti PVM Lietuvoje.</w:t>
      </w:r>
    </w:p>
    <w:p w14:paraId="5DD4108D"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B8BE3A4"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Pavyzdys</w:t>
      </w:r>
    </w:p>
    <w:p w14:paraId="30A8D78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lastRenderedPageBreak/>
        <w:t> </w:t>
      </w:r>
    </w:p>
    <w:p w14:paraId="586144C9"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Kitos ES valstybės įmonė A Lietuvos įmonei B, kuri yra registruota PVM mokėtoja Lietuvoje, 2018 m. patiekė statybines medžiagas, kurios buvo išgabentos iš tos kitos ES valstybės į Lietuvą. Lietuvos įmonė nenurodė tiekėjui (įmonei A) savo PVM mokėtojo kodo. Nors prekių tiekimas kitos ES valstybės (Lietuvos) PVM mokėtojui pagal PVM reglamentuojančius teisės aktus turėtų būti apmokestinamas PVM taikant 0 proc. PVM tarifą, tačiau neturėdama Lietuvos įmonės B „lietuviško“ PVM mokėtojo kodo, įmonė A išrašė Lietuvos įmonei B patiektoms PVM sąskaitą faktūrą prekėms, pritaikydama standartinį PVM tarifą, galiojantį toje ES valstybėje.</w:t>
      </w:r>
    </w:p>
    <w:p w14:paraId="2698BEB2"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Neatsižvelgiant į tai, jog pagal PVM įstatymo nuostatas Lietuvos įmonei B yra prievolė apskaičiuoti įsigytų iš kitos ES valstybės įmonės A prekių (statybinių medžiagų) pardavimo PVM Lietuvoje, tačiau minėtos užsienio valstybės apskaičiuotas Lietuvos įmonei B PVM (nurodytas jai išrašytoje PVM sąskaitoje faktūroje) nepriskiriamas ribojamų dydžių leidžiamiems atskaitymams, nes Lietuvos įmonė neturi teisės pateikti prašymą grąžinti sumokėtą PVM, kadangi toks tiekimas, jei Lietuvos įmonė būtų nurodžiusi savo PVM mokėtojo kodą, pagal tos kitos ES valstybės teisės aktų nuostatas būtų apmokestintas 0 proc. PVM tarifu. Tačiau Lietuvos įmonė gali kreiptis į prekių tiekėją, informuodama apie savo PVM mokėtojo kodą bei prašydama išrašyti kreditinę PVM sąskaitą faktūrą, ir taip susigrąžinti sumokėtą PVM.</w:t>
      </w:r>
    </w:p>
    <w:p w14:paraId="4CD866D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24ED239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7.5. Ribojamų dydžių leidžiamiems atskaitymams priskiriama negrąžinama PVM suma, kai suma mažesnė už ES valstybės teisės aktuose nustatytą minimalią grąžinamą PVM sumą. Įmonė privalo pateikti įrodymus, pagrindžiančius negalimumą susigrąžinti užsienyje sumokėtą PVM.</w:t>
      </w:r>
    </w:p>
    <w:p w14:paraId="387B0C2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38E2C20"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1 pavyzdys</w:t>
      </w:r>
    </w:p>
    <w:p w14:paraId="603FC068"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08C54E7F"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Įmonės darbuotojai komandiruočių metu užsienyje patiria išlaidas, kurių įmonės vardu išrašytuose dokumentuose išskirtas pirkimo PVM. Atskirose valstybėse įsigytų prekių (paslaugų) PVM suma mažesnė už tose valstybėse nustatytas minimalias grąžinimo sumas. Kadangi įmonė tokiais atvejais negali susigrąžinti sumokėto PVM, PVM suma priskiriama ribojamų dydžių leidžiamiems atskaitymams.</w:t>
      </w:r>
    </w:p>
    <w:p w14:paraId="14610327"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68C2BEAA" w14:textId="77777777" w:rsidR="00093845" w:rsidRDefault="000D779E">
      <w:pPr>
        <w:pStyle w:val="tajtip"/>
        <w:spacing w:before="0" w:beforeAutospacing="0" w:after="0" w:afterAutospacing="0"/>
        <w:ind w:firstLine="720"/>
        <w:jc w:val="both"/>
        <w:rPr>
          <w:iCs/>
          <w:color w:val="000000"/>
          <w:shd w:val="clear" w:color="auto" w:fill="FFFFFF"/>
        </w:rPr>
      </w:pPr>
      <w:r>
        <w:rPr>
          <w:b/>
          <w:bCs/>
          <w:iCs/>
          <w:color w:val="000000"/>
          <w:shd w:val="clear" w:color="auto" w:fill="FFFFFF"/>
        </w:rPr>
        <w:t>2 pavyzdys</w:t>
      </w:r>
    </w:p>
    <w:p w14:paraId="12197540"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75B3C488" w14:textId="77777777" w:rsidR="00093845" w:rsidRDefault="000D779E" w:rsidP="008740BA">
      <w:pPr>
        <w:pStyle w:val="tajtip"/>
        <w:pBdr>
          <w:top w:val="single" w:sz="4" w:space="0" w:color="auto"/>
          <w:left w:val="single" w:sz="4" w:space="0" w:color="auto"/>
          <w:bottom w:val="single" w:sz="4" w:space="0" w:color="auto"/>
          <w:right w:val="single" w:sz="4" w:space="0" w:color="auto"/>
        </w:pBdr>
        <w:spacing w:before="0" w:beforeAutospacing="0" w:after="0" w:afterAutospacing="0"/>
        <w:ind w:firstLine="720"/>
        <w:jc w:val="both"/>
        <w:rPr>
          <w:iCs/>
          <w:color w:val="000000"/>
          <w:shd w:val="clear" w:color="auto" w:fill="FFFFFF"/>
        </w:rPr>
      </w:pPr>
      <w:r>
        <w:rPr>
          <w:iCs/>
          <w:color w:val="000000"/>
          <w:shd w:val="clear" w:color="auto" w:fill="FFFFFF"/>
        </w:rPr>
        <w:t>Įmonė 2016–2018 m. teikia prekių vežimo paslaugas. Yra atvejų, kai įmonė įsigyja degalus užsienyje. Apskaičiuota degalų įsigijimo PVM suma viršija minimalias grąžinimo sumas, tačiau įmonė nutaria neteikti prašymų susigrąžinti PVM iš užsienio valstybių. Kadangi PVM sumos negrąžinamos ne pagal PVM įstatymo nuostatas, o įmonės sprendimu, nesusigrąžintos PVM sumos iš įmonės pajamų negali būti atskaitomos.</w:t>
      </w:r>
    </w:p>
    <w:p w14:paraId="0C877CA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w:t>
      </w:r>
    </w:p>
    <w:p w14:paraId="44C61E8F"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7.6. Kitos šalys.</w:t>
      </w:r>
    </w:p>
    <w:p w14:paraId="7F8F3281"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Jeigu Lietuvos Respublikos apmokestinamasis vienetas prekes (paslaugas) įsigyja ne ES valstybėse (ar šios dalies komentaro 7.3. punkte nenurodytose valstybėse), kurių teisės aktai nenumato teisės susigrąžinti PVM (arba PVM nesusigrąžinamas, nors Lietuvos Respublikos apmokestinamasis vienetas išnaudoja visas teisines galimybes susigrąžinti tose šalyse sumokėtą PVM), tai, apskaičiuojant apmokestinamąjį pelną, leidžiamiems atskaitymams pripažįsta tose užsienio valstybėse pirktų prekių (paslaugų) įsigijimo kainą su PVM. </w:t>
      </w:r>
    </w:p>
    <w:p w14:paraId="339187E9" w14:textId="77777777" w:rsidR="00093845" w:rsidRDefault="000D779E">
      <w:pPr>
        <w:pStyle w:val="tajtip"/>
        <w:spacing w:before="0" w:beforeAutospacing="0" w:after="0" w:afterAutospacing="0"/>
        <w:ind w:firstLine="720"/>
        <w:jc w:val="both"/>
        <w:rPr>
          <w:iCs/>
          <w:color w:val="000000"/>
          <w:shd w:val="clear" w:color="auto" w:fill="FFFFFF"/>
        </w:rPr>
      </w:pPr>
      <w:r>
        <w:rPr>
          <w:iCs/>
          <w:color w:val="000000"/>
          <w:shd w:val="clear" w:color="auto" w:fill="FFFFFF"/>
        </w:rPr>
        <w:t xml:space="preserve">7.7. Tačiau, jeigu užsienio valstybėse sumokėtą PVM, įtrauktą į sąnaudas, vienetas vėliau susigrąžina, tai, apskaičiuojant apmokestinamąjį pelną, grąžinta PVM suma turi būti mažinami leidžiami atskaitymai tą mokestinį laikotarpį, kurį prekių (paslaugų) įsigijimo PVM buvo priskirta leidžiamiems atskaitymams. Jeigu PVM susigrąžinamas pasibaigus mokestiniam laikotarpiui (po </w:t>
      </w:r>
      <w:r>
        <w:rPr>
          <w:iCs/>
          <w:color w:val="000000"/>
          <w:shd w:val="clear" w:color="auto" w:fill="FFFFFF"/>
        </w:rPr>
        <w:lastRenderedPageBreak/>
        <w:t>pelno mokesčio deklaracijos pateikimo), tai sugrąžinto PVM suma turi būti mažinami einamojo mokestinio laikotarpio leidžiami atskaitymai.</w:t>
      </w:r>
      <w:bookmarkStart w:id="415" w:name="_24_straipsnis._Mokesčiai"/>
      <w:bookmarkStart w:id="416" w:name="pn1_3988"/>
      <w:bookmarkStart w:id="417" w:name="pn1_3987"/>
      <w:bookmarkEnd w:id="415"/>
      <w:bookmarkEnd w:id="416"/>
      <w:bookmarkEnd w:id="417"/>
    </w:p>
    <w:p w14:paraId="7117B1A9" w14:textId="77777777" w:rsidR="00093845" w:rsidRDefault="000D779E">
      <w:pPr>
        <w:pStyle w:val="tajtip"/>
        <w:spacing w:before="0" w:beforeAutospacing="0" w:after="0" w:afterAutospacing="0"/>
        <w:ind w:firstLine="720"/>
        <w:jc w:val="both"/>
        <w:rPr>
          <w:color w:val="000000"/>
        </w:rPr>
      </w:pPr>
      <w:r>
        <w:rPr>
          <w:color w:val="000000"/>
        </w:rPr>
        <w:t>(Pagal VMI prie FM 2018-09-14 raštą Nr. (18.32-31-1E) RM-32321)</w:t>
      </w:r>
    </w:p>
    <w:p w14:paraId="35078D31" w14:textId="77777777" w:rsidR="00093845" w:rsidRDefault="00093845">
      <w:pPr>
        <w:pStyle w:val="Pagrindiniotekstotrauka"/>
        <w:tabs>
          <w:tab w:val="left" w:pos="720"/>
          <w:tab w:val="left" w:pos="1077"/>
          <w:tab w:val="left" w:pos="1418"/>
        </w:tabs>
        <w:ind w:right="-5" w:firstLine="709"/>
        <w:rPr>
          <w:rFonts w:ascii="Times New Roman" w:hAnsi="Times New Roman"/>
          <w:lang w:val="lt-LT"/>
        </w:rPr>
      </w:pPr>
    </w:p>
    <w:p w14:paraId="7DC060BF" w14:textId="77777777" w:rsidR="00093845" w:rsidRDefault="000D779E">
      <w:pPr>
        <w:pStyle w:val="Antrat1"/>
        <w:jc w:val="left"/>
        <w:rPr>
          <w:rFonts w:ascii="Times New Roman" w:hAnsi="Times New Roman" w:cs="Times New Roman"/>
          <w:bCs w:val="0"/>
          <w:lang w:val="lt-LT"/>
        </w:rPr>
      </w:pPr>
      <w:bookmarkStart w:id="418" w:name="_25_straipsnis._Beviltiškos"/>
      <w:bookmarkEnd w:id="418"/>
      <w:r>
        <w:rPr>
          <w:rFonts w:ascii="Times New Roman" w:hAnsi="Times New Roman" w:cs="Times New Roman"/>
          <w:bCs w:val="0"/>
          <w:lang w:val="lt-LT"/>
        </w:rPr>
        <w:t xml:space="preserve">        25 STRAIPSNIS. Beviltiškos skolos</w:t>
      </w:r>
    </w:p>
    <w:p w14:paraId="584C7852" w14:textId="77777777" w:rsidR="00093845" w:rsidRDefault="000D779E" w:rsidP="00EE5427">
      <w:pPr>
        <w:tabs>
          <w:tab w:val="left" w:pos="720"/>
          <w:tab w:val="left" w:pos="1077"/>
          <w:tab w:val="left" w:pos="1418"/>
        </w:tabs>
        <w:spacing w:after="0"/>
        <w:ind w:right="-5" w:firstLine="709"/>
        <w:jc w:val="both"/>
        <w:rPr>
          <w:b/>
          <w:lang w:val="fr-FR"/>
        </w:rPr>
      </w:pPr>
      <w:r>
        <w:rPr>
          <w:bCs/>
          <w:lang w:val="lt-LT"/>
        </w:rPr>
        <w:t xml:space="preserve">         </w:t>
      </w:r>
      <w:bookmarkStart w:id="419" w:name="_26_straipsnis._Įmokos"/>
      <w:bookmarkEnd w:id="419"/>
      <w:r>
        <w:rPr>
          <w:b/>
          <w:lang w:val="fr-FR"/>
        </w:rPr>
        <w:t>1. Iš pajamų, pripažįstamų pagal kaupimo apskaitos principą, atskaitoma mokestiniu laikotarpiu atsiradusi beviltiškų skolų suma, jei ši suma buvo įtraukta į mokesčio mokėtojo pajamas. Iš pajamų, pripažįstamų pagal pinigų apskaitos principą, atskaitoma mokestiniu laikotarpiu atsiradusioms beviltiškoms skoloms tenkanti sąnaudų dalis, jeigu šių skolų atsiradimas buvo užfiksuotas mokesčio mokėtojo apskaitos dokumentuose. Tais atvejais, kai beviltiškomis laikomų skolų atsiradimo momentu mokesčio mokėtojas pajamas pripažino pagal pinigų apskaitos principą ir pagal šio Įstatymo nuostatas perėjo prie pajamų pripažinimo pagal kaupimo apskaitos principą, iš pajamų, pripažįstamų pagal kaupimo apskaitos principą, atskaitoma sąnaudų dalis, tenkanti mokestiniu laikotarpiu atsiradusioms beviltiškoms skoloms, jeigu šių skolų atsiradimas buvo užfiksuotas mokesčio mokėtojo apskaitos dokumentuose ir sąnaudų dalis, tenkanti beviltiškoms skoloms, nebuvo įtraukta į vieneto sąnaudas iki šio Įstatymo įsigaliojimo. Skolos yra laikomos beviltiškomis, jeigu mokesčio mokėtojas negali jų susigrąžinti praėjus ne mažiau kaip vieneriems metams nuo skolų sumos įtraukimo į mokesčio mokėtojo pajamas arba nuo skolų atsiradimo užfiksavimo mokesčio mokėtojo apskaitos dokumentuose arba jei skolininkas yra miręs ar paskelbtas mirusiu arba likviduotas, arba bankrutavęs. Visais šiais atvejais mokesčio mokėtojas turi įrodyti skolos beviltiškumą ir pastangas šioms skoloms susigrąžinti.</w:t>
      </w:r>
    </w:p>
    <w:p w14:paraId="08B0C23A" w14:textId="77777777" w:rsidR="00093845" w:rsidRDefault="000D779E" w:rsidP="00EE5427">
      <w:pPr>
        <w:spacing w:after="0"/>
        <w:jc w:val="both"/>
        <w:rPr>
          <w:i/>
          <w:lang w:val="fr-FR"/>
        </w:rPr>
      </w:pPr>
      <w:r w:rsidRPr="00441B00">
        <w:rPr>
          <w:i/>
          <w:lang w:val="fr-FR"/>
        </w:rPr>
        <w:t>(KEISTA:</w:t>
      </w:r>
      <w:r w:rsidRPr="00441B00">
        <w:rPr>
          <w:i/>
          <w:lang w:val="lt-LT"/>
        </w:rPr>
        <w:t xml:space="preserve"> </w:t>
      </w:r>
      <w:r w:rsidRPr="00441B00">
        <w:rPr>
          <w:i/>
          <w:lang w:val="fr-FR"/>
        </w:rPr>
        <w:t>2010 11 23 įstatymu Nr. XI-1156 (nuo 2010 12 11)</w:t>
      </w:r>
      <w:r w:rsidR="008D0FC6" w:rsidRPr="00441B00">
        <w:rPr>
          <w:i/>
          <w:lang w:val="fr-FR"/>
        </w:rPr>
        <w:t>,</w:t>
      </w:r>
      <w:r w:rsidR="008D29CE" w:rsidRPr="00441B00">
        <w:rPr>
          <w:i/>
          <w:lang w:val="fr-FR"/>
        </w:rPr>
        <w:t xml:space="preserve"> taikoma apskaičiuojant 2010 ir vėlesnių metų mokestinių laikotarpių apmokestinamąjį pelną</w:t>
      </w:r>
      <w:r w:rsidRPr="00441B00">
        <w:rPr>
          <w:i/>
          <w:lang w:val="fr-FR"/>
        </w:rPr>
        <w:t>)</w:t>
      </w:r>
    </w:p>
    <w:p w14:paraId="0017D5C9" w14:textId="77777777" w:rsidR="00441B00" w:rsidRPr="00441B00" w:rsidRDefault="00441B00" w:rsidP="00EE5427">
      <w:pPr>
        <w:spacing w:after="0"/>
        <w:jc w:val="both"/>
        <w:rPr>
          <w:i/>
          <w:lang w:val="fr-FR"/>
        </w:rPr>
      </w:pPr>
    </w:p>
    <w:p w14:paraId="2D7121AA" w14:textId="77777777" w:rsidR="00093845" w:rsidRDefault="000D779E">
      <w:pPr>
        <w:tabs>
          <w:tab w:val="left" w:pos="720"/>
          <w:tab w:val="left" w:pos="1077"/>
          <w:tab w:val="left" w:pos="1418"/>
        </w:tabs>
        <w:ind w:right="-5" w:firstLine="709"/>
        <w:jc w:val="both"/>
        <w:rPr>
          <w:b/>
          <w:lang w:val="fr-FR"/>
        </w:rPr>
      </w:pPr>
      <w:r>
        <w:rPr>
          <w:b/>
          <w:lang w:val="fr-FR"/>
        </w:rPr>
        <w:t>Komentaras</w:t>
      </w:r>
    </w:p>
    <w:p w14:paraId="68253F96" w14:textId="77777777" w:rsidR="00093845" w:rsidRDefault="000D779E">
      <w:pPr>
        <w:tabs>
          <w:tab w:val="left" w:pos="720"/>
          <w:tab w:val="left" w:pos="1077"/>
          <w:tab w:val="left" w:pos="1418"/>
        </w:tabs>
        <w:ind w:right="-5" w:firstLine="709"/>
        <w:jc w:val="both"/>
        <w:rPr>
          <w:lang w:val="fr-FR"/>
        </w:rPr>
      </w:pPr>
      <w:r>
        <w:rPr>
          <w:lang w:val="fr-FR"/>
        </w:rPr>
        <w:t xml:space="preserve">PMĮ 25 straipsnio komentaras parengtas pagal Lietuvos Respublikos finansų ministro 2002 m. vasario 11 d. įsakymu Nr. 40 patvirtintas Skolų beviltiškumo bei pastangų susigrąžinti šias skolas įrodymo ir beviltiškų skolų sumų apskaičiavimo taisykles (su vėlesniais pakeitimais ir paskutiniu pakeitimu (Lietuvos Respublikos finansų ministro 2014 m. gruodžio 5 d. įsakymas Nr. 1K-434 „Dėl finansų ministro 2002 m. vasario 11 d. įsakymo Nr. 40 „Dėl Skolų beviltiškumo bei pastangų susigrąžinti šias skolas įrodymo ir beviltiškų skolų sumų apskaičiavimo taisyklių patvirtinimo“ pakeitimo“), susijusiu su euro įvedimu Lietuvos Respublikoje, toliau – taisyklės) </w:t>
      </w:r>
    </w:p>
    <w:p w14:paraId="78055A3F" w14:textId="77777777" w:rsidR="00093845" w:rsidRDefault="000D779E">
      <w:pPr>
        <w:tabs>
          <w:tab w:val="left" w:pos="720"/>
          <w:tab w:val="left" w:pos="1077"/>
          <w:tab w:val="left" w:pos="1418"/>
        </w:tabs>
        <w:ind w:right="-5" w:firstLine="709"/>
        <w:jc w:val="both"/>
        <w:rPr>
          <w:lang w:val="fr-FR"/>
        </w:rPr>
      </w:pPr>
      <w:r>
        <w:rPr>
          <w:lang w:val="fr-FR"/>
        </w:rPr>
        <w:t xml:space="preserve">1. Mokesčių mokėtojai, pripažįstantys pajamas pagal kaupimo apskaitos principą, gali atskaityti mokestiniu laikotarpiu atsiradusią beviltiškų skolų sumą, tačiau tokios sumos gali būti atskaitomos tik tokiu atveju, jei tos sumos buvo įtrauktos į mokesčių mokėtojo pajamas. Jeigu beviltiškos skolos susidaro dėl neapmokestinamųjų pajamų, tokios beviltiškos skolos laikomos neleidžiamais atskaitymais. Beviltiškos skolos sumą sudaro pajamų suma ir šiai sumai tenkanti pardavimo PVM suma. Pagal taisyklių 5 punktą, taikomą nuo 2012 m. rugsėjo 23 d. pagal Lietuvos Respublikos finansų ministro 2012 m. rugsėjo 19 d. įsakymą Nr. 1K-311 „Dėl finansų ministro 2002 m. vasario 11 d. įsakymo Nr. 40 „Dėl skolų beviltiškumo bei pastangų susigrąžinti šias skolas įrodymo ir beviltiškų skolų sumų apskaičiavimo taisyklių patvirtinimo“ pakeitimo“, jeigu Lietuvos Respublikos pridėtinės vertės mokesčio įstatymo nustatyta tvarka beviltiškoms skoloms tenkančia pardavimo PVM suma tikslinama į biudžetą mokėtina PVM suma, ši PVM suma nelaikoma pelno mokesčio tikslais beviltiškoms skoloms tenkančia pardavimo PVM suma. </w:t>
      </w:r>
    </w:p>
    <w:p w14:paraId="00640D4A" w14:textId="77777777" w:rsidR="00093845" w:rsidRDefault="000D779E">
      <w:pPr>
        <w:tabs>
          <w:tab w:val="left" w:pos="720"/>
          <w:tab w:val="left" w:pos="1077"/>
          <w:tab w:val="left" w:pos="1418"/>
        </w:tabs>
        <w:ind w:right="-5" w:firstLine="709"/>
        <w:jc w:val="both"/>
        <w:rPr>
          <w:lang w:val="fr-FR"/>
        </w:rPr>
      </w:pPr>
      <w:r>
        <w:rPr>
          <w:lang w:val="fr-FR"/>
        </w:rPr>
        <w:tab/>
        <w:t>Pavyzdžiai</w:t>
      </w:r>
    </w:p>
    <w:p w14:paraId="195E80A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lastRenderedPageBreak/>
        <w:tab/>
        <w:t>1. Įmonė pardavė dalį prekių 2011 m. gruodžio mėn., o kitą dalį – 2012 m. spalio mėn. Įmonės visas šias gautinas sumas už parduotas prekes įtraukė į savo pajamas (atitinkamai 2011 m. ir 2012 m. mokestiniais laikotarpiais), tačiau už visas šias prekes nebuvo atsiskaityta. Visus reikalingus atitinkamus dokumentus, įrodančius skolos beviltiškumą ir pastangas šioms skoloms susigrąžinti, įmonė surinko tik 2015 m. balandžio mėn. Šiuo atveju susidariusią beviltiškų skolų sumą už 2011 m. gruodžio mėn. parduotas prekes, kuri atskaitytina 2015 m. mokestinį laikotarpį, sudaro pajamų suma ir šiai sumai tenkanti pardavimo PVM suma. Susidariusią beviltiškų skolų sumą už 2012 m. spalio mėn. parduotas prekes, kuri atskaitytina 2015 m. mokestinį laikotarpį, sudaro pajamų suma be šiai sumai tenkančios pardavimo PVM sumos, jeigu Lietuvos Respublikos pridėtinės vertės mokesčio įstatymo nustatyta tvarka beviltiškoms skoloms tenkančia pardavimo PVM suma tikslinama į biudžetą mokėtina PVM suma.</w:t>
      </w:r>
    </w:p>
    <w:p w14:paraId="597AB6C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 Įmonė 2015 m. sausio mėn. savo darbuotojui suteikė paskolą su palūkanomis, tačiau po pusės metų, negrąžinęs paskolos jis išėjo iš darbo. Įmonė dėjo pastangas susigrąžinti skolą iš buvusio darbuotojo, tačiau jai nepavyko jo surasti. Kadangi beviltiškomis skolomis pripažįstamos tik tos skolos, kurios yra įtraukiamos į įmonės pajamas, o įmonės suteikta paskola darbuotojui nėra įmonės pajamos, todėl tik į įmonės pajamas įtrauktos negautos palūkanos gali būti pripažintos įmonės beviltiška skola, jei atitinka kitus teisės aktų nustatytus reikalavimus.</w:t>
      </w:r>
    </w:p>
    <w:p w14:paraId="53C1C669" w14:textId="77777777" w:rsidR="00093845" w:rsidRDefault="000D779E">
      <w:pPr>
        <w:tabs>
          <w:tab w:val="left" w:pos="720"/>
          <w:tab w:val="left" w:pos="1077"/>
          <w:tab w:val="left" w:pos="1418"/>
        </w:tabs>
        <w:ind w:right="-5" w:firstLine="709"/>
        <w:jc w:val="both"/>
        <w:rPr>
          <w:lang w:val="fr-FR"/>
        </w:rPr>
      </w:pPr>
      <w:r>
        <w:rPr>
          <w:lang w:val="fr-FR"/>
        </w:rPr>
        <w:t>2.</w:t>
      </w:r>
      <w:r>
        <w:rPr>
          <w:lang w:val="fr-FR"/>
        </w:rPr>
        <w:tab/>
        <w:t>Mokesčių mokėtojai, pripažįstantys pajamas pagal pinigų apskaitos principą, gali atskaityti mokestiniu laikotarpiu atsiradusioms beviltiškoms skoloms tenkančią sąnaudų dalį, jei šių skolų atsiradimas buvo užfiksuotas mokesčių mokėtojo apskaitos dokumentuose. Šiuo atveju į leidžiamus atskaitymus traukiama sąnaudų dalis ir beviltiškoms skoloms tenkanti pardavimo PVM suma. Kaip minėta, jeigu Lietuvos Respublikos pridėtinės vertės mokesčio įstatymo nustatyta tvarka beviltiškoms skoloms tenkančia pardavimo PVM suma tikslinama į biudžetą mokėtina PVM suma, ši PVM suma nelaikoma pelno mokesčio tikslais beviltiškoms skoloms tenkančia pardavimo PVM suma.</w:t>
      </w:r>
    </w:p>
    <w:p w14:paraId="4BE59451" w14:textId="77777777" w:rsidR="00093845" w:rsidRDefault="000D779E">
      <w:pPr>
        <w:tabs>
          <w:tab w:val="left" w:pos="720"/>
          <w:tab w:val="left" w:pos="1077"/>
          <w:tab w:val="left" w:pos="1418"/>
        </w:tabs>
        <w:ind w:right="-5" w:firstLine="709"/>
        <w:jc w:val="both"/>
        <w:rPr>
          <w:lang w:val="fr-FR"/>
        </w:rPr>
      </w:pPr>
      <w:r>
        <w:rPr>
          <w:lang w:val="fr-FR"/>
        </w:rPr>
        <w:t>3.</w:t>
      </w:r>
      <w:r>
        <w:rPr>
          <w:lang w:val="fr-FR"/>
        </w:rPr>
        <w:tab/>
        <w:t>Tais atvejais, kai beviltiškomis laikomų skolų atsiradimo momentu mokesčių mokėtojas pajamas pripažino pagal pinigų apskaitos principą, ir pagal PMĮ nuostatas perėjo prie pajamų pripažinimo pagal kaupimo apskaitos principą, tai iš pagal kaupimo apskaitos principą pripažįstamų pajamų jis gali atskaityti sąnaudų dalį, tenkančią mokestiniu laikotarpiu atsiradusioms beviltiškoms skoloms. Mokesčių mokėtojas gali tokiu atveju atskaityti sąnaudų dalį, jeigu šių skolų atsiradimas buvo užfiksuotas mokesčių mokėtojo apskaitos dokumentuose ir sąnaudų dalis, tenkanti beviltiškoms skoloms nebuvo įtraukta į vieneto sąnaudas iki PMĮ įsigaliojimo.</w:t>
      </w:r>
    </w:p>
    <w:p w14:paraId="4177D007" w14:textId="77777777" w:rsidR="00093845" w:rsidRDefault="000D779E">
      <w:pPr>
        <w:tabs>
          <w:tab w:val="left" w:pos="720"/>
          <w:tab w:val="left" w:pos="1077"/>
          <w:tab w:val="left" w:pos="1418"/>
        </w:tabs>
        <w:ind w:right="-5" w:firstLine="709"/>
        <w:jc w:val="both"/>
        <w:rPr>
          <w:lang w:val="fr-FR"/>
        </w:rPr>
      </w:pPr>
      <w:r>
        <w:rPr>
          <w:lang w:val="fr-FR"/>
        </w:rPr>
        <w:t>4.</w:t>
      </w:r>
      <w:r>
        <w:rPr>
          <w:lang w:val="fr-FR"/>
        </w:rPr>
        <w:tab/>
        <w:t>Skolos gali būti laikomos beviltiškomis šiais atvejais:</w:t>
      </w:r>
    </w:p>
    <w:p w14:paraId="2C7465E6" w14:textId="77777777" w:rsidR="00093845" w:rsidRDefault="000D779E">
      <w:pPr>
        <w:tabs>
          <w:tab w:val="left" w:pos="720"/>
          <w:tab w:val="left" w:pos="1077"/>
          <w:tab w:val="left" w:pos="1418"/>
        </w:tabs>
        <w:ind w:right="-5" w:firstLine="709"/>
        <w:jc w:val="both"/>
        <w:rPr>
          <w:lang w:val="fr-FR"/>
        </w:rPr>
      </w:pPr>
      <w:r>
        <w:rPr>
          <w:lang w:val="fr-FR"/>
        </w:rPr>
        <w:t>4.1. mokesčių mokėtojas negali jų susigrąžinti praėjus ne mažiau kaip vieneriems metams nuo skolų sumos įtraukimo į mokesčių mokėtojo pajamas, o jeigu mokesčių mokėtojas pajamas pripažįsta pagal pinigų apskaitos principą - nuo skolų atsiradimo momento (kai ūkinė operacija užfiksuojama apskaitos dokumentuose ir apskaitos registruose). Vienerių metų laikotarpis skaičiuojamas nuo tos dienos, kurią skolų sumos įtraukiamos į mokesčių mokėtojo pajamas arba kurią ūkinė operacija užfiksuojama apskaitos dokumentuose ir apskaitos registruose. Pavyzdžiui, mokesčių mokėtojas skolų sumą į savo pajamas įtraukė 2014 m. gruodžio 15 d., tuomet nuo 2015 m. gruodžio 15 d. bus laikoma, kad praėjo vieneri metai;</w:t>
      </w:r>
    </w:p>
    <w:p w14:paraId="0875FBBB" w14:textId="77777777" w:rsidR="00093845" w:rsidRDefault="000D779E">
      <w:pPr>
        <w:tabs>
          <w:tab w:val="left" w:pos="720"/>
          <w:tab w:val="left" w:pos="1077"/>
          <w:tab w:val="left" w:pos="1418"/>
        </w:tabs>
        <w:ind w:right="-5" w:firstLine="709"/>
        <w:jc w:val="both"/>
        <w:rPr>
          <w:lang w:val="fr-FR"/>
        </w:rPr>
      </w:pPr>
      <w:r>
        <w:rPr>
          <w:lang w:val="fr-FR"/>
        </w:rPr>
        <w:t>4.2. skolininkas yra miręs arba paskelbtas mirusiu;</w:t>
      </w:r>
    </w:p>
    <w:p w14:paraId="3146D9E0" w14:textId="77777777" w:rsidR="00093845" w:rsidRDefault="000D779E">
      <w:pPr>
        <w:tabs>
          <w:tab w:val="left" w:pos="720"/>
          <w:tab w:val="left" w:pos="1077"/>
          <w:tab w:val="left" w:pos="1418"/>
        </w:tabs>
        <w:ind w:right="-5" w:firstLine="709"/>
        <w:jc w:val="both"/>
        <w:rPr>
          <w:lang w:val="fr-FR"/>
        </w:rPr>
      </w:pPr>
      <w:r>
        <w:rPr>
          <w:lang w:val="fr-FR"/>
        </w:rPr>
        <w:t>4.3.</w:t>
      </w:r>
      <w:r>
        <w:rPr>
          <w:lang w:val="fr-FR"/>
        </w:rPr>
        <w:tab/>
        <w:t xml:space="preserve">skolininkas yra likviduotas. Jeigu skolininkas yra likviduotas, tačiau egzistuoja jo skolų (teisių ir pareigų) perėmėjas, tai tokiais atvejais skolos negali būti laikomos beviltiškomis remiantis tik tuo faktu, kad skolininkas buvo likviduotas. Tokiu atveju ir skolininko teisių perėmėjas turi neturėti pakankamai turto skoloms sugrąžinti; </w:t>
      </w:r>
    </w:p>
    <w:p w14:paraId="06212EE9" w14:textId="77777777" w:rsidR="00093845" w:rsidRDefault="000D779E">
      <w:pPr>
        <w:tabs>
          <w:tab w:val="left" w:pos="720"/>
          <w:tab w:val="left" w:pos="1077"/>
          <w:tab w:val="left" w:pos="1418"/>
        </w:tabs>
        <w:ind w:right="-5" w:firstLine="709"/>
        <w:jc w:val="both"/>
        <w:rPr>
          <w:lang w:val="fr-FR"/>
        </w:rPr>
      </w:pPr>
      <w:r>
        <w:rPr>
          <w:lang w:val="fr-FR"/>
        </w:rPr>
        <w:lastRenderedPageBreak/>
        <w:t>4.4.</w:t>
      </w:r>
      <w:r>
        <w:rPr>
          <w:lang w:val="fr-FR"/>
        </w:rPr>
        <w:tab/>
        <w:t xml:space="preserve"> skolininkas yra bankrutavęs. </w:t>
      </w:r>
    </w:p>
    <w:p w14:paraId="42114D87" w14:textId="77777777" w:rsidR="00093845" w:rsidRDefault="000D779E">
      <w:pPr>
        <w:tabs>
          <w:tab w:val="left" w:pos="720"/>
          <w:tab w:val="left" w:pos="1077"/>
          <w:tab w:val="left" w:pos="1418"/>
        </w:tabs>
        <w:ind w:right="-5" w:firstLine="709"/>
        <w:jc w:val="both"/>
        <w:rPr>
          <w:lang w:val="fr-FR"/>
        </w:rPr>
      </w:pPr>
      <w:r>
        <w:rPr>
          <w:lang w:val="fr-FR"/>
        </w:rPr>
        <w:t xml:space="preserve">Tačiau skolas pripažinti beviltiškomis nepakanka vien tik šių faktų. Visais šiais atvejais mokesčių mokėtojas, norėdamas skolas pripažinti beviltiškomis, turi įrodyti skolos beviltiškumą ir pastangas šioms skoloms susigrąžinti. Taisyklėse nustatyta, kokiais dokumentais ar kitais įrodymais mokesčių mokėtojai įrodo skolų beviltiškumą ir pastangas susigrąžinti tas skolas. Taisyklės taip pat reglamentuoja, kaip mokesčių mokėtojai apskaičiuoja beviltiškų skolų sumas. </w:t>
      </w:r>
    </w:p>
    <w:p w14:paraId="2CD80651" w14:textId="77777777" w:rsidR="00093845" w:rsidRDefault="000D779E">
      <w:pPr>
        <w:tabs>
          <w:tab w:val="left" w:pos="720"/>
          <w:tab w:val="left" w:pos="1077"/>
          <w:tab w:val="left" w:pos="1418"/>
        </w:tabs>
        <w:ind w:right="-5" w:firstLine="709"/>
        <w:jc w:val="both"/>
        <w:rPr>
          <w:lang w:val="fr-FR"/>
        </w:rPr>
      </w:pPr>
      <w:r>
        <w:rPr>
          <w:lang w:val="fr-FR"/>
        </w:rPr>
        <w:t xml:space="preserve">5. Mokestiniu laikotarpiu, kurį skolos pripažįstamos beviltiškomis ir apskaičiuojant apmokestinamąjį pelną gali būti atskaitytos iš pajamų, yra laikomas tas mokestinis laikotarpis, kurį mokesčių mokėtojas dokumentais įrodo skolos beviltiškumą ir pastangas skolas susigrąžinti (surenka reikalaujamus dokumentus). </w:t>
      </w:r>
    </w:p>
    <w:p w14:paraId="767715D5" w14:textId="77777777" w:rsidR="00093845" w:rsidRDefault="000D779E">
      <w:pPr>
        <w:tabs>
          <w:tab w:val="left" w:pos="720"/>
          <w:tab w:val="left" w:pos="1077"/>
          <w:tab w:val="left" w:pos="1418"/>
        </w:tabs>
        <w:ind w:right="-5" w:firstLine="709"/>
        <w:jc w:val="both"/>
        <w:rPr>
          <w:lang w:val="fr-FR"/>
        </w:rPr>
      </w:pPr>
      <w:r>
        <w:rPr>
          <w:lang w:val="fr-FR"/>
        </w:rPr>
        <w:t>6. Jeigu beviltiškomis laikomų skolų suma buvo įtraukta į pajamas nuo 2000 m. sausio 1 d., tai visa beviltiškomis laikomų skolų suma įtraukiama į leidžiamus atskaitymus tą mokestinį laikotarpį, kurį skolos buvo pripažintos beviltiškomis pagal taisyklių nuostatas. Jeigu mokesčių mokėtojas pajamas pripažįsta pagal pinigų apskaitos principą ir beviltiškomis pripažintos skolos buvo užfiksuotos apskaitos dokumentuose nuo 2000 m. sausio 1 d., tai šioms skoloms tenkanti sąnaudų dalis įtraukiama į leidžiamus atskaitymus tą mokestinį laikotarpį, kada skolos buvo pripažintos beviltiškomis pagal taisyklių nuostatas.</w:t>
      </w:r>
    </w:p>
    <w:p w14:paraId="518D865D" w14:textId="77777777" w:rsidR="00093845" w:rsidRDefault="000D779E">
      <w:pPr>
        <w:tabs>
          <w:tab w:val="left" w:pos="720"/>
          <w:tab w:val="left" w:pos="1077"/>
          <w:tab w:val="left" w:pos="1418"/>
        </w:tabs>
        <w:ind w:right="-5" w:firstLine="709"/>
        <w:jc w:val="both"/>
        <w:rPr>
          <w:b/>
          <w:lang w:val="fr-FR"/>
        </w:rPr>
      </w:pPr>
      <w:r>
        <w:rPr>
          <w:b/>
          <w:lang w:val="fr-FR"/>
        </w:rPr>
        <w:t>2. Skolų beviltiškumo ir pastangų šioms skoloms susigrąžinti įrodymo bei beviltiškų skolų sumų apskaičiavimo tvarką nustato Lietuvos Respublikos Vyriausybė arba jos įgaliota institucija.</w:t>
      </w:r>
    </w:p>
    <w:p w14:paraId="3D686C89" w14:textId="77777777" w:rsidR="00093845" w:rsidRDefault="000D779E">
      <w:pPr>
        <w:tabs>
          <w:tab w:val="left" w:pos="720"/>
          <w:tab w:val="left" w:pos="1077"/>
          <w:tab w:val="left" w:pos="1418"/>
        </w:tabs>
        <w:ind w:right="-5" w:firstLine="709"/>
        <w:jc w:val="both"/>
        <w:rPr>
          <w:b/>
          <w:lang w:val="fr-FR"/>
        </w:rPr>
      </w:pPr>
      <w:r>
        <w:rPr>
          <w:b/>
          <w:lang w:val="fr-FR"/>
        </w:rPr>
        <w:t>Komentaras</w:t>
      </w:r>
    </w:p>
    <w:p w14:paraId="6A1899EF" w14:textId="77777777" w:rsidR="00093845" w:rsidRDefault="000D779E">
      <w:pPr>
        <w:tabs>
          <w:tab w:val="left" w:pos="720"/>
          <w:tab w:val="left" w:pos="1077"/>
          <w:tab w:val="left" w:pos="1418"/>
        </w:tabs>
        <w:ind w:right="-5" w:firstLine="709"/>
        <w:jc w:val="both"/>
        <w:rPr>
          <w:lang w:val="fr-FR"/>
        </w:rPr>
      </w:pPr>
      <w:r>
        <w:rPr>
          <w:lang w:val="fr-FR"/>
        </w:rPr>
        <w:t>1. Skolų beviltiškumo ir pastangų šioms skoloms susigrąžinti įrodymo bei beviltiškų skolų sumų apskaičiavimo tvarką nustato Taisyklėse yra reglamentuota, kokiu būdu yra įrodomas skolų arba jų dalies beviltiškumas bei pastangos susigrąžinti tokias skolas, nustatyta, kaip yra apskaičiuojamos beviltiškų skolų sumos, reglamentuota, kada mokesčių mokėtojas negali skolų laikyti beviltiškomis, nors jos ir atitinka beviltiškomis laikomų skolų kriterijus.</w:t>
      </w:r>
    </w:p>
    <w:p w14:paraId="4CD661AE" w14:textId="77777777" w:rsidR="00093845" w:rsidRDefault="000D779E">
      <w:pPr>
        <w:tabs>
          <w:tab w:val="left" w:pos="720"/>
          <w:tab w:val="left" w:pos="1077"/>
          <w:tab w:val="left" w:pos="1418"/>
        </w:tabs>
        <w:ind w:right="-5" w:firstLine="709"/>
        <w:jc w:val="both"/>
        <w:rPr>
          <w:lang w:val="fr-FR"/>
        </w:rPr>
      </w:pPr>
      <w:r>
        <w:rPr>
          <w:lang w:val="fr-FR"/>
        </w:rPr>
        <w:t>2. Skolos negali būti laikomos beviltiškomis (nors ir atitinka beviltiškomis laikomų skolų kriterijus) šiais atvejais:</w:t>
      </w:r>
    </w:p>
    <w:p w14:paraId="576E33B7" w14:textId="77777777" w:rsidR="00093845" w:rsidRDefault="000D779E">
      <w:pPr>
        <w:tabs>
          <w:tab w:val="left" w:pos="720"/>
          <w:tab w:val="left" w:pos="1077"/>
          <w:tab w:val="left" w:pos="1418"/>
        </w:tabs>
        <w:ind w:right="-5" w:firstLine="709"/>
        <w:jc w:val="both"/>
        <w:rPr>
          <w:lang w:val="fr-FR"/>
        </w:rPr>
      </w:pPr>
      <w:r>
        <w:rPr>
          <w:lang w:val="fr-FR"/>
        </w:rPr>
        <w:t>2.1.</w:t>
      </w:r>
      <w:r>
        <w:rPr>
          <w:lang w:val="fr-FR"/>
        </w:rPr>
        <w:tab/>
        <w:t xml:space="preserve"> Jeigu mokesčių mokėtojas kokiu nors būdu iš skolininko įsigyja kokio nors turto, prekių ir (arba) paslaugų ir skolininko skolos taip pat atitinka beviltiškomis laikomų skolų kurį nors kriterijų, tai tokiais atvejais ir vienos, ir kitos skolos negali būti laikomos beviltiškomis. Šiais atvejais beviltiška gali būti laikoma tik tokia suma, kuri sudaro skirtumą tarp vienų ir kitų skolų, kurios gali būti laikomos beviltiškomis. Ši taisyklė yra taikoma neatsižvelgiant į tai, koks laiko tarpas skiria kiekvienų iš nurodytų skolų atsiradimą. Tokie skolos įskaitymai turi būti patvirtinti mokesčių mokėtojo ir skolininko surašytais dokumentais.</w:t>
      </w:r>
    </w:p>
    <w:p w14:paraId="39C2D5B6" w14:textId="77777777" w:rsidR="00093845" w:rsidRDefault="000D779E">
      <w:pPr>
        <w:tabs>
          <w:tab w:val="left" w:pos="720"/>
          <w:tab w:val="left" w:pos="1077"/>
          <w:tab w:val="left" w:pos="1418"/>
        </w:tabs>
        <w:ind w:right="-5" w:firstLine="709"/>
        <w:jc w:val="both"/>
        <w:rPr>
          <w:lang w:val="fr-FR"/>
        </w:rPr>
      </w:pPr>
      <w:r>
        <w:rPr>
          <w:lang w:val="fr-FR"/>
        </w:rPr>
        <w:t>2.2.</w:t>
      </w:r>
      <w:r>
        <w:rPr>
          <w:lang w:val="fr-FR"/>
        </w:rPr>
        <w:tab/>
        <w:t xml:space="preserve"> Jeigu mokesčių mokėtojas skolų reikalavimo teisę atlygintinai arba neatlygintinai perleido kitam asmeniui.</w:t>
      </w:r>
    </w:p>
    <w:p w14:paraId="028D85FB" w14:textId="77777777" w:rsidR="00093845" w:rsidRDefault="000D779E">
      <w:pPr>
        <w:tabs>
          <w:tab w:val="left" w:pos="720"/>
          <w:tab w:val="left" w:pos="1077"/>
          <w:tab w:val="left" w:pos="1418"/>
        </w:tabs>
        <w:ind w:right="-5" w:firstLine="709"/>
        <w:jc w:val="both"/>
        <w:rPr>
          <w:lang w:val="fr-FR"/>
        </w:rPr>
      </w:pPr>
      <w:r>
        <w:rPr>
          <w:lang w:val="fr-FR"/>
        </w:rPr>
        <w:t xml:space="preserve">Pagal Lietuvos Respublikos civilinio kodekso (toliau – Civilinis kodeksas) nuostatas kreditorius (mokesčių mokėtojas) turi teisę atlygintinai arba neatlygintinai perleisti reikalavimo teisę kitam asmeniui. Tokiam naujam reikalavimo įgijėjui pereina prievolės įvykdymui užtikrinti nustatytos teisės bei kitos papildomos teisės. Pradinis kreditorius praranda savo teisę ne tik reikalauti skolos, bet ir tokias beviltiškų skolų sumas atimti iš įmonės pajamų. </w:t>
      </w:r>
    </w:p>
    <w:p w14:paraId="0A59A004" w14:textId="77777777" w:rsidR="00093845" w:rsidRDefault="000D779E">
      <w:pPr>
        <w:tabs>
          <w:tab w:val="left" w:pos="720"/>
          <w:tab w:val="left" w:pos="1077"/>
          <w:tab w:val="left" w:pos="1418"/>
        </w:tabs>
        <w:ind w:right="-5" w:firstLine="709"/>
        <w:jc w:val="both"/>
        <w:rPr>
          <w:lang w:val="fr-FR"/>
        </w:rPr>
      </w:pPr>
      <w:r>
        <w:rPr>
          <w:lang w:val="fr-FR"/>
        </w:rPr>
        <w:t>Pavyzdys</w:t>
      </w:r>
    </w:p>
    <w:p w14:paraId="2B5C64E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lastRenderedPageBreak/>
        <w:t>Prekybos bendrovė 2015 metų lapkričio mėnesį pagal pirkimo - pardavimo sutartis pardavė prekių: A įmonei už 80 000 Eur, o B įmonei už 85 000 Eur. Pagal sutarties sąlygas A įmonė už parduotas prekes turėjo sumokėti per 2 mėnesius nuo prekių išsiuntimo dienos, o B įmonė prekybos bendrovei išrašė (o ši bendrovė priėmė) paprastąjį vekselį (palūkanos nenumatytos), pagal kurį B įmonė įsipareigojo per 6 mėnesius sumokėti vekselyje nurodytą sumą (85 000 Eur). Bendrovė savo apskaitoje prekių pardavimo pajamas įtraukė į pajamas ir įregistravo A ir B įmonių prekybos skolą.</w:t>
      </w:r>
    </w:p>
    <w:p w14:paraId="12983CF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2016 metų vasario mėnesį bendrovei iškilo finansinių problemų. Atsižvelgdama į tai, kad pagal paaiškėjusias aplinkybes A įmonė tuo metu buvo nemoki, prekybos bendrovė A įmonės skolos reikalavimo teisę už 50 000 Eur perleido X įmonei, o B įmonės išrašytą vekselį už 70 000 Eur perleido Y įmonei.</w:t>
      </w:r>
    </w:p>
    <w:p w14:paraId="7567A3C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Pavyzdyje nagrinėjamu atveju prekybos bendrovė prarado teisę į minėtas, anksčiau į pajamas įtrauktas, prekybos skolų sumas laikyti beviltiškomis.</w:t>
      </w:r>
    </w:p>
    <w:p w14:paraId="240251B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Įmonė X ir įmonė Y įsigytų skolų pagal reikalavimo teisę negalės priskirti beviltiškoms skoloms net ir surinkus visus reikiamus dokumentus, nes įmonėje X ir įmonėje Y šios sumos nebuvo įtrauktos į pajamas.</w:t>
      </w:r>
    </w:p>
    <w:p w14:paraId="08066C19" w14:textId="77777777" w:rsidR="00093845" w:rsidRDefault="000D779E">
      <w:pPr>
        <w:tabs>
          <w:tab w:val="left" w:pos="720"/>
          <w:tab w:val="left" w:pos="1077"/>
          <w:tab w:val="left" w:pos="1418"/>
        </w:tabs>
        <w:ind w:right="-5" w:firstLine="709"/>
        <w:jc w:val="both"/>
        <w:rPr>
          <w:lang w:val="fr-FR"/>
        </w:rPr>
      </w:pPr>
      <w:r>
        <w:rPr>
          <w:lang w:val="fr-FR"/>
        </w:rPr>
        <w:t>2.3. Jei dėl pasikeitusių aplinkybių mokesčių mokėtojas netenka teisės iš skolininko (jo teisių perėmėjo arba įpėdinio) reikalauti skolų. Ši taisyklė taikoma ir tais atvejais, kai tarp mokesčių mokėtojo ir skolininko yra atnaujinamas procesas bylos, užbaigtos įsiteisėjusiu teismo sprendimu, ir priimamas bei įsiteisėja sprendimas, pagal kurį sumažėja arba paneigiamos skolininko skolos.</w:t>
      </w:r>
    </w:p>
    <w:p w14:paraId="796DA38A" w14:textId="77777777" w:rsidR="00093845" w:rsidRDefault="000D779E">
      <w:pPr>
        <w:tabs>
          <w:tab w:val="left" w:pos="720"/>
          <w:tab w:val="left" w:pos="1077"/>
          <w:tab w:val="left" w:pos="1418"/>
        </w:tabs>
        <w:ind w:right="-5" w:firstLine="709"/>
        <w:jc w:val="both"/>
        <w:rPr>
          <w:lang w:val="fr-FR"/>
        </w:rPr>
      </w:pPr>
      <w:r>
        <w:rPr>
          <w:lang w:val="fr-FR"/>
        </w:rPr>
        <w:t xml:space="preserve">Aplinkybėmis, kurioms susidarius mokesčių mokėtojas netenka teisės iš skolininko (jo teisių perėmėjo arba įpėdinio) reikalauti skolų, laikomi prievolių pabaigos atsiradimo pagrindai, numatyti Civilinio kodekso 6 knygos I dalies IX skyriuje (prievolės pasibaigimas, kai kreditorius vietoj reikiamo įvykdymo priima kitos rūšies įvykdymą; prievolės pasibaigimas, kai neįmanoma jos įvykdyti, prievolės pabaiga įskaitymu, novacija ir kt.). </w:t>
      </w:r>
    </w:p>
    <w:p w14:paraId="7E27E8A1" w14:textId="77777777" w:rsidR="00093845" w:rsidRDefault="000D779E">
      <w:pPr>
        <w:tabs>
          <w:tab w:val="left" w:pos="720"/>
          <w:tab w:val="left" w:pos="1077"/>
          <w:tab w:val="left" w:pos="1418"/>
        </w:tabs>
        <w:ind w:right="-5" w:firstLine="709"/>
        <w:jc w:val="both"/>
        <w:rPr>
          <w:lang w:val="fr-FR"/>
        </w:rPr>
      </w:pPr>
      <w:r>
        <w:rPr>
          <w:lang w:val="fr-FR"/>
        </w:rPr>
        <w:t xml:space="preserve">2.4. Jei mokesčių mokėtojas praleidžia teisės aktų nustatytus senaties terminus, terminai neatnaujinami, ir tuo pagrindu jo reikalavimas atgauti skolas yra atmetamas, nepripažįstamas arba nevykdomas. </w:t>
      </w:r>
    </w:p>
    <w:p w14:paraId="5C14604C" w14:textId="77777777" w:rsidR="00093845" w:rsidRDefault="000D779E">
      <w:pPr>
        <w:tabs>
          <w:tab w:val="left" w:pos="720"/>
          <w:tab w:val="left" w:pos="1077"/>
          <w:tab w:val="left" w:pos="1418"/>
        </w:tabs>
        <w:ind w:right="-5" w:firstLine="709"/>
        <w:jc w:val="both"/>
        <w:rPr>
          <w:lang w:val="fr-FR"/>
        </w:rPr>
      </w:pPr>
      <w:r>
        <w:rPr>
          <w:lang w:val="fr-FR"/>
        </w:rPr>
        <w:t xml:space="preserve">Šis punktas taikomas tuo atveju, kai mokesčių mokėtojas (kreditorius) kreipiasi į teismą su ieškiniu dėl skolos išieškojimo, tačiau teismas tokį reikalavimą atmeta dėl ieškininės senaties termino. Pagal Civilinį kodeksą yra nustatytas bendras 10 metų ieškinio senaties terminas, tam tikrais atvejais yra nustatyti sutrumpinti terminai (1 mėn., 3 mėn., 6 mėn., 1 metų, 3 metų, 5 metų). </w:t>
      </w:r>
    </w:p>
    <w:p w14:paraId="14BF2E89" w14:textId="77777777" w:rsidR="00093845" w:rsidRDefault="000D779E">
      <w:pPr>
        <w:tabs>
          <w:tab w:val="left" w:pos="720"/>
          <w:tab w:val="left" w:pos="1077"/>
          <w:tab w:val="left" w:pos="1418"/>
        </w:tabs>
        <w:ind w:right="-5" w:firstLine="709"/>
        <w:jc w:val="both"/>
        <w:rPr>
          <w:lang w:val="fr-FR"/>
        </w:rPr>
      </w:pPr>
      <w:r>
        <w:rPr>
          <w:lang w:val="fr-FR"/>
        </w:rPr>
        <w:t>2.5. Jei mokesčių mokėtojas praleidžia sutarčių arba teisės aktų nustatytus terminus, terminai neatnaujinami ir tuo pagrindu mokesčių mokėtojo reikalavimas atgauti skolas yra teismo (ar bylą nagrinėjusios institucijos) atmetamas arba nepripažįstamas. Teisės aktai leidžia sandoryje nustatyti terminus, kuriems pasibaigus sandorio šalims išnyksta tam tikra teisė ar pareiga. Tokie terminai nebegali būti teismo ar arbitražo atnaujinami. Todėl, jeigu įmonės ir skolininko ar kitų asmenų sudarytoje sutartyje buvo nustatyta, kad praėjus nustatytam terminui įmonė praranda teisę atgauti skolas (ar praranda kitą teisę, susijusią su skola) ir teismas (kita institucija), remdamasis tokia sutartimi, reikalavimą atgauti skolas atmeta arba nepripažįsta, tai tokia įmonė praranda teisę šias skolas laikyti beviltiškomis.</w:t>
      </w:r>
    </w:p>
    <w:p w14:paraId="0568F8F7" w14:textId="77777777" w:rsidR="00093845" w:rsidRDefault="000D779E">
      <w:pPr>
        <w:tabs>
          <w:tab w:val="left" w:pos="720"/>
          <w:tab w:val="left" w:pos="1077"/>
          <w:tab w:val="left" w:pos="1418"/>
        </w:tabs>
        <w:ind w:right="-5" w:firstLine="709"/>
        <w:jc w:val="both"/>
        <w:rPr>
          <w:lang w:val="fr-FR"/>
        </w:rPr>
      </w:pPr>
      <w:r>
        <w:rPr>
          <w:lang w:val="fr-FR"/>
        </w:rPr>
        <w:t>2.6. Jeigu skolas mokesčių mokėtojui grąžina ne skolininkas, bet kitas asmuo.</w:t>
      </w:r>
    </w:p>
    <w:p w14:paraId="2723E23D" w14:textId="77777777" w:rsidR="00093845" w:rsidRDefault="000D779E">
      <w:pPr>
        <w:tabs>
          <w:tab w:val="left" w:pos="720"/>
          <w:tab w:val="left" w:pos="1077"/>
          <w:tab w:val="left" w:pos="1418"/>
        </w:tabs>
        <w:ind w:right="-5" w:firstLine="709"/>
        <w:jc w:val="both"/>
        <w:rPr>
          <w:lang w:val="fr-FR"/>
        </w:rPr>
      </w:pPr>
      <w:r>
        <w:rPr>
          <w:lang w:val="fr-FR"/>
        </w:rPr>
        <w:t xml:space="preserve">2.7. Kiti atvejai, kai skolos negali būti laikomos beviltiškomis (nors ir atitinka beviltiškomis laikomų skolų kriterijus), aprašyti PMĮ 25 str. 4 dalies komentare. </w:t>
      </w:r>
    </w:p>
    <w:p w14:paraId="26AB1514" w14:textId="77777777" w:rsidR="00093845" w:rsidRDefault="000D779E">
      <w:pPr>
        <w:tabs>
          <w:tab w:val="left" w:pos="720"/>
          <w:tab w:val="left" w:pos="1077"/>
          <w:tab w:val="left" w:pos="1418"/>
        </w:tabs>
        <w:ind w:right="-5" w:firstLine="709"/>
        <w:jc w:val="both"/>
        <w:rPr>
          <w:lang w:val="fr-FR"/>
        </w:rPr>
      </w:pPr>
      <w:r>
        <w:rPr>
          <w:lang w:val="fr-FR"/>
        </w:rPr>
        <w:lastRenderedPageBreak/>
        <w:t>3. Tam, kad skolos būtų pripažintos beviltiškomis ir jų sumomis būtų galima mažinti apmokestinamąjį pelną, mokesčių mokėtojas turi turėti skolų beviltiškumą ir pastangas jas susigrąžinti patvirtinančius dokumentus. Šiuos dokumentus jis gali susirinkti pats arba per įgaliotą asmenį. Skolų beviltiškumą bei mokesčių mokėtojo pastangas įrodantys dokumentai yra skirtingi ir priklauso nuo skolos sumos bei pobūdžio, o kuomet skolos yra pakankamai mažos ar yra susidariusios tam tikromis aplinkybėmis, gali visai nereikėti įrodinėti skolos beviltiškumo bei mokesčių mokėtojo pastangų ją susigrąžinti.</w:t>
      </w:r>
    </w:p>
    <w:p w14:paraId="0C546EB8" w14:textId="77777777" w:rsidR="00093845" w:rsidRDefault="000D779E">
      <w:pPr>
        <w:tabs>
          <w:tab w:val="left" w:pos="720"/>
          <w:tab w:val="left" w:pos="1077"/>
          <w:tab w:val="left" w:pos="1418"/>
        </w:tabs>
        <w:ind w:right="-5" w:firstLine="709"/>
        <w:jc w:val="both"/>
        <w:rPr>
          <w:lang w:val="fr-FR"/>
        </w:rPr>
      </w:pPr>
      <w:r>
        <w:rPr>
          <w:lang w:val="fr-FR"/>
        </w:rPr>
        <w:t>4. Taisyklėse nustatyti du atvejai, kai skolas pripažįstant beviltiškomis, yra netaikomas reikalavimas mokesčių mokėtojui turėti dokumentus, įrodančius skolų beviltiškumą ir pastangas jas susigrąžinti:</w:t>
      </w:r>
    </w:p>
    <w:p w14:paraId="1E284324" w14:textId="77777777" w:rsidR="00093845" w:rsidRDefault="000D779E">
      <w:pPr>
        <w:tabs>
          <w:tab w:val="left" w:pos="720"/>
          <w:tab w:val="left" w:pos="1077"/>
          <w:tab w:val="left" w:pos="1418"/>
        </w:tabs>
        <w:ind w:right="-5" w:firstLine="709"/>
        <w:jc w:val="both"/>
        <w:rPr>
          <w:lang w:val="fr-FR"/>
        </w:rPr>
      </w:pPr>
      <w:r>
        <w:rPr>
          <w:lang w:val="fr-FR"/>
        </w:rPr>
        <w:t>1) jeigu vieno skolininko skolų, įtrauktų į pajamas arba užfiksuotų mokesčių mokėtojo apskaitos dokumentuose (jeigu mokesčių mokėtojas pajamas pripažįsta pagal pinigų apskaitos principą) per vieną mokestinį laikotarpį, suma neviršija 300 Eur. Šiuo atveju nesvarbu, ar skolininkai fiziniai ar juridiniai asmenys;</w:t>
      </w:r>
    </w:p>
    <w:p w14:paraId="09A47BB2" w14:textId="77777777" w:rsidR="00093845" w:rsidRDefault="000D779E">
      <w:pPr>
        <w:tabs>
          <w:tab w:val="left" w:pos="720"/>
          <w:tab w:val="left" w:pos="1077"/>
          <w:tab w:val="left" w:pos="1418"/>
        </w:tabs>
        <w:ind w:right="-5" w:firstLine="709"/>
        <w:jc w:val="both"/>
        <w:rPr>
          <w:lang w:val="fr-FR"/>
        </w:rPr>
      </w:pPr>
      <w:r>
        <w:rPr>
          <w:lang w:val="fr-FR"/>
        </w:rPr>
        <w:t>2) jeigu vieno skolininko skolų, įtrauktų į pajamas arba užfiksuotų mokesčių mokėtojo apskaitos dokumentuose (jeigu mokesčių mokėtojas pajamas pripažįsta pagal pinigų apskaitos principą) per vieną mokestinį laikotarpį, suma neviršija 1 000 Eur, o skolos susidarė dėl pervežimo paslaugų, privaloma tvarka suteiktų deportuojamiems keleiviams. Šiuo atveju skolininkai turi būti fiziniai asmenys.</w:t>
      </w:r>
    </w:p>
    <w:p w14:paraId="062A1750" w14:textId="77777777" w:rsidR="00093845" w:rsidRDefault="000D779E">
      <w:pPr>
        <w:tabs>
          <w:tab w:val="left" w:pos="720"/>
          <w:tab w:val="left" w:pos="1077"/>
          <w:tab w:val="left" w:pos="1418"/>
        </w:tabs>
        <w:ind w:right="-5" w:firstLine="709"/>
        <w:jc w:val="both"/>
        <w:rPr>
          <w:lang w:val="fr-FR"/>
        </w:rPr>
      </w:pPr>
      <w:r>
        <w:rPr>
          <w:lang w:val="fr-FR"/>
        </w:rPr>
        <w:t>5. Šioje dalyje aptariami dokumentai, kuriais pagrindžiamas skolų beviltiškumas ir mokesčių mokėtojo pastangos jas susigrąžinti.</w:t>
      </w:r>
    </w:p>
    <w:p w14:paraId="17CCFBA8" w14:textId="77777777" w:rsidR="00093845" w:rsidRDefault="000D779E">
      <w:pPr>
        <w:tabs>
          <w:tab w:val="left" w:pos="720"/>
          <w:tab w:val="left" w:pos="1077"/>
          <w:tab w:val="left" w:pos="1418"/>
        </w:tabs>
        <w:ind w:right="-5" w:firstLine="709"/>
        <w:jc w:val="both"/>
        <w:rPr>
          <w:lang w:val="fr-FR"/>
        </w:rPr>
      </w:pPr>
      <w:r>
        <w:rPr>
          <w:lang w:val="fr-FR"/>
        </w:rPr>
        <w:t>5.1. Kai skolų negalima susigrąžinti ilgiau kaip metus</w:t>
      </w:r>
    </w:p>
    <w:p w14:paraId="2DDF1A39" w14:textId="77777777" w:rsidR="00093845" w:rsidRDefault="000D779E">
      <w:pPr>
        <w:tabs>
          <w:tab w:val="left" w:pos="720"/>
          <w:tab w:val="left" w:pos="1077"/>
          <w:tab w:val="left" w:pos="1418"/>
        </w:tabs>
        <w:ind w:right="-5" w:firstLine="709"/>
        <w:jc w:val="both"/>
        <w:rPr>
          <w:lang w:val="fr-FR"/>
        </w:rPr>
      </w:pPr>
      <w:r>
        <w:rPr>
          <w:lang w:val="fr-FR"/>
        </w:rPr>
        <w:t>Jei mokesčių mokėtojas negali susigrąžinti skolų praėjus daugiau kaip 1 metams nuo skolų sumos įtraukimo į mokesčių mokėtojo pajamas arba nuo skolų atsiradimo užfiksavimo mokesčio mokėtojo apskaitos dokumentuose ir apskaitos registruose (jeigu mokesčių mokėtojas pajamas pripažįsta pagal pinigų apskaitos principą), tai taisyklėse numatyti trys būdai skolos beviltiškumui ir mokesčių mokėtojo pastangoms įrodyti.</w:t>
      </w:r>
    </w:p>
    <w:p w14:paraId="62FDCD67" w14:textId="77777777" w:rsidR="00093845" w:rsidRDefault="000D779E">
      <w:pPr>
        <w:tabs>
          <w:tab w:val="left" w:pos="720"/>
          <w:tab w:val="left" w:pos="1077"/>
          <w:tab w:val="left" w:pos="1418"/>
        </w:tabs>
        <w:ind w:right="-5" w:firstLine="709"/>
        <w:jc w:val="both"/>
        <w:rPr>
          <w:lang w:val="fr-FR"/>
        </w:rPr>
      </w:pPr>
      <w:r>
        <w:rPr>
          <w:lang w:val="fr-FR"/>
        </w:rPr>
        <w:t>Dokumentų įrodančių skolų beviltiškumą ir pastangas susigrąžinti skolas, pobūdis priklauso nuo beviltiškos skolos dydžio:</w:t>
      </w:r>
    </w:p>
    <w:p w14:paraId="3DBDDA4F" w14:textId="77777777" w:rsidR="00093845" w:rsidRDefault="000D779E">
      <w:pPr>
        <w:tabs>
          <w:tab w:val="left" w:pos="720"/>
          <w:tab w:val="left" w:pos="1077"/>
          <w:tab w:val="left" w:pos="1418"/>
        </w:tabs>
        <w:ind w:right="-5" w:firstLine="709"/>
        <w:jc w:val="both"/>
        <w:rPr>
          <w:lang w:val="fr-FR"/>
        </w:rPr>
      </w:pPr>
      <w:r>
        <w:rPr>
          <w:lang w:val="fr-FR"/>
        </w:rPr>
        <w:tab/>
        <w:t>5.1.1. Jei vieno mokesčių mokėtojo skola per vieną mokestinį laikotarpį neviršija 3 000 Eur</w:t>
      </w:r>
    </w:p>
    <w:p w14:paraId="376CE623" w14:textId="77777777" w:rsidR="00093845" w:rsidRDefault="000D779E">
      <w:pPr>
        <w:tabs>
          <w:tab w:val="left" w:pos="720"/>
          <w:tab w:val="left" w:pos="1077"/>
          <w:tab w:val="left" w:pos="1418"/>
        </w:tabs>
        <w:ind w:right="-5" w:firstLine="709"/>
        <w:jc w:val="both"/>
        <w:rPr>
          <w:lang w:val="fr-FR"/>
        </w:rPr>
      </w:pPr>
      <w:r>
        <w:rPr>
          <w:lang w:val="fr-FR"/>
        </w:rPr>
        <w:t>Šiuo atveju skolų beviltiškumą ar pastangas susigrąžinti skolas liudijančiais dokumentais yra laikomi dokumentai, kurie leidžia padaryti išvadą, kad atgauti skolų negalima ir kad mokesčių mokėtojas stengėsi skolas susigrąžinti. Taisyklėse paminėti dokumentai, kurių sąrašas nėra baigtinis: skolų suderinimo aktai (jei jie yra sudaryti), susitikimų su skolininku protokolai, įvairi vidinė mokesčių mokėtojo dokumentacija (finansinių tarnybų ataskaitos, informaciniai pranešimai ir kt.), taip pat išorinė dokumentacija (susirašinėjimo su skolininku įrodymai - registruoti laiškai, telegramos, fakso pranešimai, bankų, audito firmų ir kitų organizacijų rašytinė informacija, susijusi su skolininko finansinės būklės įvertinimu, skolų išieškojimo (tarpininkavimo susigrąžinant skolas) paslaugas teikiančių įmonių dokumentai, kur nurodoma apie pastangas atgauti skolas, ir kitokie dokumentai). Vadinasi, mokesčių mokėtojas turi turėti dokumentus, įrodančius šiuos faktus:</w:t>
      </w:r>
    </w:p>
    <w:p w14:paraId="67C59398" w14:textId="77777777" w:rsidR="00093845" w:rsidRDefault="000D779E">
      <w:pPr>
        <w:tabs>
          <w:tab w:val="left" w:pos="720"/>
          <w:tab w:val="left" w:pos="1077"/>
          <w:tab w:val="left" w:pos="1418"/>
        </w:tabs>
        <w:ind w:right="-5" w:firstLine="709"/>
        <w:jc w:val="both"/>
        <w:rPr>
          <w:lang w:val="fr-FR"/>
        </w:rPr>
      </w:pPr>
      <w:r>
        <w:rPr>
          <w:lang w:val="fr-FR"/>
        </w:rPr>
        <w:t xml:space="preserve">5.1.1.1. kad mokesčių mokėtojas stengėsi skolas susigrąžinti (susirašinėjimo ar susitikimų su skolininku dokumentai, pretenzijos, raginimai, protokolai ar kiti dokumentai); </w:t>
      </w:r>
    </w:p>
    <w:p w14:paraId="21BC27FB" w14:textId="77777777" w:rsidR="00093845" w:rsidRDefault="000D779E">
      <w:pPr>
        <w:tabs>
          <w:tab w:val="left" w:pos="720"/>
          <w:tab w:val="left" w:pos="1077"/>
          <w:tab w:val="left" w:pos="1418"/>
        </w:tabs>
        <w:ind w:right="-5" w:firstLine="709"/>
        <w:jc w:val="both"/>
        <w:rPr>
          <w:lang w:val="fr-FR"/>
        </w:rPr>
      </w:pPr>
      <w:r>
        <w:rPr>
          <w:lang w:val="fr-FR"/>
        </w:rPr>
        <w:lastRenderedPageBreak/>
        <w:t>5.1.1.2. kad negalima skolos atgauti (pavyzdžiui, skolų išieškojimo paslaugas teikiančių įmonių dokumentai, įrodantys negalimumą išieškoti skolas, informacija susijusi su skolininko finansinės būklės įvertinimu ar kiti dokumentai).</w:t>
      </w:r>
    </w:p>
    <w:p w14:paraId="4A568207" w14:textId="77777777" w:rsidR="00093845" w:rsidRDefault="000D779E">
      <w:pPr>
        <w:tabs>
          <w:tab w:val="left" w:pos="720"/>
          <w:tab w:val="left" w:pos="1077"/>
          <w:tab w:val="left" w:pos="1418"/>
        </w:tabs>
        <w:ind w:right="-5" w:firstLine="709"/>
        <w:jc w:val="both"/>
        <w:rPr>
          <w:lang w:val="fr-FR"/>
        </w:rPr>
      </w:pPr>
      <w:r>
        <w:rPr>
          <w:lang w:val="fr-FR"/>
        </w:rPr>
        <w:t>Tuo atveju, kai siunčiami laiškai, pastangos susigrąžinti skolas turėtų būti įrodomos registruotų, o ne paprastų laiškų siuntimais.</w:t>
      </w:r>
    </w:p>
    <w:p w14:paraId="73C72912" w14:textId="77777777" w:rsidR="00093845" w:rsidRDefault="000D779E">
      <w:pPr>
        <w:tabs>
          <w:tab w:val="left" w:pos="720"/>
          <w:tab w:val="left" w:pos="1077"/>
          <w:tab w:val="left" w:pos="1418"/>
        </w:tabs>
        <w:ind w:right="-5" w:firstLine="709"/>
        <w:jc w:val="both"/>
        <w:rPr>
          <w:lang w:val="fr-FR"/>
        </w:rPr>
      </w:pPr>
      <w:r>
        <w:rPr>
          <w:lang w:val="fr-FR"/>
        </w:rPr>
        <w:t>Tuo atveju, jei skolas išieškanti įmonė mokesčių mokėtojo yra įgaliota tarpininkauti atgaunant skolas, mokesčių mokėtojas turi turėti šios įmonės jam pateiktus dokumentus (pažymą, aktus ar kt.), kuriuose turėtų būti nurodyta, kokių pastangų buvo imtasi skoloms susigrąžinti (pridedant tokius veiksmus patvirtinančius dokumentus) bei būtų nurodytos priežastys ir pridėti dokumentai, leidžiantys daryti išvadą apie išieškojimo negalimumą.</w:t>
      </w:r>
    </w:p>
    <w:p w14:paraId="3A7F9246" w14:textId="77777777" w:rsidR="00093845" w:rsidRDefault="000D779E">
      <w:pPr>
        <w:tabs>
          <w:tab w:val="left" w:pos="720"/>
          <w:tab w:val="left" w:pos="1077"/>
          <w:tab w:val="left" w:pos="1418"/>
        </w:tabs>
        <w:ind w:right="-5" w:firstLine="709"/>
        <w:jc w:val="both"/>
        <w:rPr>
          <w:lang w:val="fr-FR"/>
        </w:rPr>
      </w:pPr>
      <w:r>
        <w:rPr>
          <w:lang w:val="fr-FR"/>
        </w:rPr>
        <w:t xml:space="preserve">Jei mokesčių mokėtojas abejoja, ar pakanka įrodymų skolas pripažinti beviltiškomis, jis gali kreiptis į mokesčių administratorių, kuris turi įsitikinti, kad iš pateiktų dokumentų galima daryti išvadą apie skolų beviltiškumą. </w:t>
      </w:r>
    </w:p>
    <w:p w14:paraId="4B1B4F49" w14:textId="77777777" w:rsidR="00093845" w:rsidRDefault="000D779E">
      <w:pPr>
        <w:tabs>
          <w:tab w:val="left" w:pos="720"/>
          <w:tab w:val="left" w:pos="1077"/>
          <w:tab w:val="left" w:pos="1418"/>
        </w:tabs>
        <w:ind w:right="-5" w:firstLine="709"/>
        <w:jc w:val="both"/>
        <w:rPr>
          <w:lang w:val="fr-FR"/>
        </w:rPr>
      </w:pPr>
      <w:r>
        <w:rPr>
          <w:lang w:val="fr-FR"/>
        </w:rPr>
        <w:t>5.1.2. Kai vieno skolininko skolų suma per mokestinį laikotarpį yra didesnė kaip 3 000 Eur, tačiau ne didesnė kaip 30 000 Eur</w:t>
      </w:r>
    </w:p>
    <w:p w14:paraId="71BD84C6" w14:textId="77777777" w:rsidR="00093845" w:rsidRDefault="000D779E">
      <w:pPr>
        <w:tabs>
          <w:tab w:val="left" w:pos="720"/>
          <w:tab w:val="left" w:pos="1077"/>
          <w:tab w:val="left" w:pos="1418"/>
        </w:tabs>
        <w:ind w:right="-5" w:firstLine="709"/>
        <w:jc w:val="both"/>
        <w:rPr>
          <w:lang w:val="fr-FR"/>
        </w:rPr>
      </w:pPr>
      <w:r>
        <w:rPr>
          <w:lang w:val="fr-FR"/>
        </w:rPr>
        <w:t>Šiuo atveju mokesčių mokėtojas privalo turėti dokumentus, kurie patvirtintų faktą, kad skolininkas neturi jokio privalomojo registruoti turto (pavyzdžiui, nekilnojamojo turto, privalomų registruoti transporto priemonių). Tokiais dokumentais turėtų būti tokio turto teisinę registraciją atliekančių įmonių ar valstybės institucijų išduotų pažymų (ar kitų dokumentų) originalai arba jų nuorašai. Be minėtų dokumentų, mokesčių mokėtojas papildomai turi turėti dokumentus, įrodančius bent vieną iš šių faktų:</w:t>
      </w:r>
    </w:p>
    <w:p w14:paraId="0E9B974B" w14:textId="77777777" w:rsidR="00093845" w:rsidRDefault="000D779E">
      <w:pPr>
        <w:tabs>
          <w:tab w:val="left" w:pos="720"/>
          <w:tab w:val="left" w:pos="1077"/>
          <w:tab w:val="left" w:pos="1418"/>
        </w:tabs>
        <w:ind w:right="-5" w:firstLine="709"/>
        <w:jc w:val="both"/>
        <w:rPr>
          <w:lang w:val="fr-FR"/>
        </w:rPr>
      </w:pPr>
      <w:r>
        <w:rPr>
          <w:lang w:val="fr-FR"/>
        </w:rPr>
        <w:t>5.1.2.1. kad iš skolininko nepavyko išieškoti pakankamai turto kitų kreditorių reikalavimams patenkinti bylose su tais kreditoriais. Šiuo atveju mokesčių mokėtojas turi turėti teismo sprendimą bei antstolių vykdomuosius dokumentus;</w:t>
      </w:r>
    </w:p>
    <w:p w14:paraId="0207D95D" w14:textId="77777777" w:rsidR="00093845" w:rsidRDefault="000D779E">
      <w:pPr>
        <w:tabs>
          <w:tab w:val="left" w:pos="720"/>
          <w:tab w:val="left" w:pos="1077"/>
          <w:tab w:val="left" w:pos="1418"/>
        </w:tabs>
        <w:ind w:right="-5" w:firstLine="709"/>
        <w:jc w:val="both"/>
        <w:rPr>
          <w:lang w:val="fr-FR"/>
        </w:rPr>
      </w:pPr>
      <w:r>
        <w:rPr>
          <w:lang w:val="fr-FR"/>
        </w:rPr>
        <w:t>5.1.2.2. kad mokesčių mokėtojui skolinga įmonė yra nemoki. Įmonės nemokumą įrodančiais dokumentais galėtų būti skolininkės įmonės balansas (pagal balansą paskaičiuoti tam tikri rodikliai), įmonės viešai pateiktas skelbimas arba kitaip pateiktas pranešimas kreditoriui (kreditoriams), kad negali arba neketina vykdyti įsipareigojimų Lietuvos Respublikos įmonių bankroto įstatymo nustatyta tvarka. Tais atvejais, kai teismo sprendimas vykdomas užsienyje – oficialiai išduoti užsienio kompetentingų institucijų dokumentai, patvirtinantys sprendimo neįvykdymą arba įvykdymą iš dalies.</w:t>
      </w:r>
    </w:p>
    <w:p w14:paraId="022A7258" w14:textId="77777777" w:rsidR="00093845" w:rsidRDefault="000D779E">
      <w:pPr>
        <w:tabs>
          <w:tab w:val="left" w:pos="720"/>
          <w:tab w:val="left" w:pos="1077"/>
          <w:tab w:val="left" w:pos="1418"/>
        </w:tabs>
        <w:ind w:right="-5" w:firstLine="709"/>
        <w:jc w:val="both"/>
        <w:rPr>
          <w:lang w:val="fr-FR"/>
        </w:rPr>
      </w:pPr>
      <w:r>
        <w:rPr>
          <w:lang w:val="fr-FR"/>
        </w:rPr>
        <w:t>5.1.3. Jei skolininko skolų suma per vieną mokestinį laikotarpį viršija 30 000 Eur</w:t>
      </w:r>
    </w:p>
    <w:p w14:paraId="31715E3B" w14:textId="77777777" w:rsidR="00093845" w:rsidRDefault="000D779E">
      <w:pPr>
        <w:tabs>
          <w:tab w:val="left" w:pos="720"/>
          <w:tab w:val="left" w:pos="1077"/>
          <w:tab w:val="left" w:pos="1418"/>
        </w:tabs>
        <w:ind w:right="-5" w:firstLine="709"/>
        <w:jc w:val="both"/>
        <w:rPr>
          <w:lang w:val="fr-FR"/>
        </w:rPr>
      </w:pPr>
      <w:r>
        <w:rPr>
          <w:lang w:val="fr-FR"/>
        </w:rPr>
        <w:t>Šiuo atveju mokesčių mokėtojas privalo turėti ir pareikalavus mokesčių administratoriaus pareigūnui pateikti šiuos skolų beviltiškumą ir pastangas susigrąžinti tokias skolas įrodančius dokumentus:</w:t>
      </w:r>
    </w:p>
    <w:p w14:paraId="6538DA1D" w14:textId="77777777" w:rsidR="00093845" w:rsidRDefault="000D779E">
      <w:pPr>
        <w:tabs>
          <w:tab w:val="left" w:pos="720"/>
          <w:tab w:val="left" w:pos="1077"/>
          <w:tab w:val="left" w:pos="1418"/>
        </w:tabs>
        <w:ind w:right="-5" w:firstLine="709"/>
        <w:jc w:val="both"/>
        <w:rPr>
          <w:lang w:val="fr-FR"/>
        </w:rPr>
      </w:pPr>
      <w:r>
        <w:rPr>
          <w:lang w:val="fr-FR"/>
        </w:rPr>
        <w:t xml:space="preserve">5.1.3.1. įsiteisėjusį Lietuvos Respublikos arba užsienio šalies teismo (arba ginčą nagrinėjusios institucijos) sprendimą, nuosprendį arba nutartį (toliau – sprendimas), kuriais patvirtinama mokesčių mokėtojo teisė susigrąžinti skolas. Tai gali būti bet kurios instancijos teismo įsiteisėjęs sprendimas, kuriame patvirtinama mokesčių mokėtojo teisė susigrąžinti skolas. Sprendimams prilyginami ir teismų įsakymai, priimami bylose dėl piniginių reikalavimų, kurios nagrinėjamos Lietuvos Respublikos civilinio proceso kodekso XXIII skyriuje nustatyta tvarka. </w:t>
      </w:r>
    </w:p>
    <w:p w14:paraId="5114772E" w14:textId="77777777" w:rsidR="00093845" w:rsidRDefault="000D779E">
      <w:pPr>
        <w:tabs>
          <w:tab w:val="left" w:pos="720"/>
          <w:tab w:val="left" w:pos="1077"/>
          <w:tab w:val="left" w:pos="1418"/>
        </w:tabs>
        <w:ind w:right="-5" w:firstLine="709"/>
        <w:jc w:val="both"/>
        <w:rPr>
          <w:lang w:val="fr-FR"/>
        </w:rPr>
      </w:pPr>
      <w:r>
        <w:rPr>
          <w:lang w:val="fr-FR"/>
        </w:rPr>
        <w:t>Tais atvejais, kai byla tarp mokesčių mokėtojo ir jo skolininko buvo baigta nagrinėti ne Lietuvos Respublikoje, užsienio valstybės teismo (arba ginčą nagrinėjusios institucijos), mokesčių mokėtojas privalo pateikti įsiteisėjusį sprendimą (arba kitokį dokumentą, kuriuo patvirtinama mokesčių mokėtojo teisė susigrąžinti skolas).</w:t>
      </w:r>
    </w:p>
    <w:p w14:paraId="192D0817" w14:textId="77777777" w:rsidR="00093845" w:rsidRDefault="000D779E">
      <w:pPr>
        <w:tabs>
          <w:tab w:val="left" w:pos="720"/>
          <w:tab w:val="left" w:pos="1077"/>
          <w:tab w:val="left" w:pos="1418"/>
        </w:tabs>
        <w:ind w:right="-5" w:firstLine="709"/>
        <w:jc w:val="both"/>
        <w:rPr>
          <w:lang w:val="fr-FR"/>
        </w:rPr>
      </w:pPr>
      <w:r>
        <w:rPr>
          <w:lang w:val="fr-FR"/>
        </w:rPr>
        <w:lastRenderedPageBreak/>
        <w:t xml:space="preserve"> 5.1.3.2. antstolio surašytą aktą ir vykdomąjį dokumentą, pagal kurį išieškojimas nebuvo įvykdytas. Tais atvejais, kai teismo sprendimas yra vykdomas užsienyje, - oficialiai (antstolių ar kitų valstybinių institucijų) išduoti dokumentai, kurie patvirtina sprendimo neįvykdymą arba įvykdymą iš dalies.</w:t>
      </w:r>
    </w:p>
    <w:p w14:paraId="6F9C0ECD" w14:textId="77777777" w:rsidR="00093845" w:rsidRDefault="000D779E">
      <w:pPr>
        <w:tabs>
          <w:tab w:val="left" w:pos="720"/>
          <w:tab w:val="left" w:pos="1077"/>
          <w:tab w:val="left" w:pos="1418"/>
        </w:tabs>
        <w:ind w:right="-5" w:firstLine="709"/>
        <w:jc w:val="both"/>
        <w:rPr>
          <w:lang w:val="fr-FR"/>
        </w:rPr>
      </w:pPr>
      <w:r>
        <w:rPr>
          <w:lang w:val="fr-FR"/>
        </w:rPr>
        <w:t xml:space="preserve">arba </w:t>
      </w:r>
    </w:p>
    <w:p w14:paraId="50F0D45E" w14:textId="77777777" w:rsidR="00093845" w:rsidRDefault="000D779E">
      <w:pPr>
        <w:tabs>
          <w:tab w:val="left" w:pos="720"/>
          <w:tab w:val="left" w:pos="1077"/>
          <w:tab w:val="left" w:pos="1418"/>
        </w:tabs>
        <w:ind w:right="-5" w:firstLine="709"/>
        <w:jc w:val="both"/>
        <w:rPr>
          <w:lang w:val="fr-FR"/>
        </w:rPr>
      </w:pPr>
      <w:r>
        <w:rPr>
          <w:lang w:val="fr-FR"/>
        </w:rPr>
        <w:tab/>
        <w:t>dokumentą, patvirtinantį faktą, kad skolininkas neturi privalomojo registruoti turto (pavyzdžiui, nekilnojamojo turto, privalomų registruoti transporto priemonių) ir kad iš skolininko nepavyko išieškoti pakankamai turto kreditorių reikalavimams patenkinti bylose su kitais kreditoriais. Vadinasi, tam tikrais atvejais skolų beviltiškumui ir pastangoms jas susigrąžinti pagrįsti užteks šių dokumentų, t. y. mokesčių mokėtojas galės nepradėti vykdymo proceso, pavyzdžiui, kai jo pradėti neapsimoka, nes yra žinoma, jog skolininkas neturi turto.</w:t>
      </w:r>
    </w:p>
    <w:p w14:paraId="42100AC4" w14:textId="77777777" w:rsidR="00093845" w:rsidRDefault="000D779E">
      <w:pPr>
        <w:tabs>
          <w:tab w:val="left" w:pos="720"/>
          <w:tab w:val="left" w:pos="1077"/>
          <w:tab w:val="left" w:pos="1418"/>
        </w:tabs>
        <w:ind w:right="-5" w:firstLine="709"/>
        <w:jc w:val="both"/>
        <w:rPr>
          <w:lang w:val="fr-FR"/>
        </w:rPr>
      </w:pPr>
      <w:r>
        <w:rPr>
          <w:lang w:val="fr-FR"/>
        </w:rPr>
        <w:t xml:space="preserve">Tais atvejais, kai siekiant iš anksto užtikrinti savo teisę į kreditorinį reikalavimą bei išvengti papildomų administracinių procedūrų mokesčių mokėtojai su skolininkais sudaro skolos raštus, patvirtintus notaro, pasirašo vekselius ar čekius, tai skolos pripažinimo beviltiška tikslais, teismo antstoliui notaro išduotas vykdomasis raštas, kaip įtvirtinta Lietuvos Respublikos civilinio proceso kodekso 587 str. 8 punkto nuostatose, turi tokią pačią juridinę galią, kaip ir teismo išduodamas vykdomasis raštas po priimto teismo sprendimo įsiteisėjimo. </w:t>
      </w:r>
    </w:p>
    <w:p w14:paraId="7C79DB43" w14:textId="77777777" w:rsidR="00093845" w:rsidRDefault="000D779E">
      <w:pPr>
        <w:tabs>
          <w:tab w:val="left" w:pos="720"/>
          <w:tab w:val="left" w:pos="1077"/>
          <w:tab w:val="left" w:pos="1418"/>
        </w:tabs>
        <w:ind w:right="-5" w:firstLine="709"/>
        <w:jc w:val="both"/>
        <w:rPr>
          <w:lang w:val="fr-FR"/>
        </w:rPr>
      </w:pPr>
      <w:r>
        <w:rPr>
          <w:lang w:val="fr-FR"/>
        </w:rPr>
        <w:t xml:space="preserve">Jei teismo ir antstolio dokumentais mokesčių mokėtojas įrodo beviltiškas skolas iki 30 000 Eur, tai tokiu atveju jis neprivalo turėti kitokių dokumentų, išvardintų šio straipsnio komentaro 5.1.1 ir 5.1.2 punkte. </w:t>
      </w:r>
    </w:p>
    <w:p w14:paraId="69DDA647" w14:textId="77777777" w:rsidR="00093845" w:rsidRDefault="00093845">
      <w:pPr>
        <w:tabs>
          <w:tab w:val="left" w:pos="720"/>
          <w:tab w:val="left" w:pos="1077"/>
          <w:tab w:val="left" w:pos="1418"/>
        </w:tabs>
        <w:ind w:right="-5" w:firstLine="709"/>
        <w:jc w:val="both"/>
        <w:rPr>
          <w:lang w:val="fr-FR"/>
        </w:rPr>
      </w:pPr>
    </w:p>
    <w:p w14:paraId="7740E541" w14:textId="77777777" w:rsidR="00093845" w:rsidRDefault="000D779E">
      <w:pPr>
        <w:tabs>
          <w:tab w:val="left" w:pos="720"/>
          <w:tab w:val="left" w:pos="1077"/>
          <w:tab w:val="left" w:pos="1418"/>
        </w:tabs>
        <w:ind w:right="-5" w:firstLine="709"/>
        <w:jc w:val="both"/>
        <w:rPr>
          <w:lang w:val="fr-FR"/>
        </w:rPr>
      </w:pPr>
      <w:r>
        <w:rPr>
          <w:lang w:val="fr-FR"/>
        </w:rPr>
        <w:t>5.2. Kai skolininkas miręs arba paskelbtas mirusiu</w:t>
      </w:r>
    </w:p>
    <w:p w14:paraId="0FA7EB4C" w14:textId="77777777" w:rsidR="00093845" w:rsidRDefault="000D779E">
      <w:pPr>
        <w:tabs>
          <w:tab w:val="left" w:pos="720"/>
          <w:tab w:val="left" w:pos="1077"/>
          <w:tab w:val="left" w:pos="1418"/>
        </w:tabs>
        <w:ind w:right="-5" w:firstLine="709"/>
        <w:jc w:val="both"/>
        <w:rPr>
          <w:lang w:val="fr-FR"/>
        </w:rPr>
      </w:pPr>
      <w:r>
        <w:rPr>
          <w:lang w:val="fr-FR"/>
        </w:rPr>
        <w:tab/>
        <w:t>Jei skolininkas yra miręs arba paskelbtas mirusiu, skolų beviltiškumą ir pastangas jas susigrąžinti įrodo šie dokumentai:</w:t>
      </w:r>
    </w:p>
    <w:p w14:paraId="37FA7FAD" w14:textId="77777777" w:rsidR="00093845" w:rsidRDefault="000D779E">
      <w:pPr>
        <w:tabs>
          <w:tab w:val="left" w:pos="720"/>
          <w:tab w:val="left" w:pos="1077"/>
          <w:tab w:val="left" w:pos="1418"/>
        </w:tabs>
        <w:ind w:right="-5" w:firstLine="709"/>
        <w:jc w:val="both"/>
        <w:rPr>
          <w:lang w:val="fr-FR"/>
        </w:rPr>
      </w:pPr>
      <w:r>
        <w:rPr>
          <w:lang w:val="fr-FR"/>
        </w:rPr>
        <w:t xml:space="preserve">5.2.1. dokumentai, kurie patvirtina skolininko mirties faktą. Jeigu skolininko mirties faktas yra įregistruotas Lietuvos Respublikoje, mokesčių mokėtojas neprivalo turėti tai įrodančio dokumento, kadangi mokesčių administratorius šį faktą pats gali patikrinti duomenų bazėje, kuria naudojasi sutarties su Gyventojų registro tarnyba prie Lietuvos Respublikos vidaus reikalų ministerijos pagrindu. Jeigu skolininko mirties faktas yra įregistruotas užsienyje ir neturi būti įregistruotas Lietuvos Respublikoje, mokesčių mokėtojas turi turėti iš užsienio valstybės institucijos gautą dokumentą, patvirtinantį skolininko mirties faktą. </w:t>
      </w:r>
    </w:p>
    <w:p w14:paraId="2000EB1D" w14:textId="77777777" w:rsidR="00093845" w:rsidRDefault="000D779E">
      <w:pPr>
        <w:tabs>
          <w:tab w:val="left" w:pos="720"/>
          <w:tab w:val="left" w:pos="1077"/>
          <w:tab w:val="left" w:pos="1418"/>
        </w:tabs>
        <w:ind w:right="-5" w:firstLine="709"/>
        <w:jc w:val="both"/>
        <w:rPr>
          <w:lang w:val="fr-FR"/>
        </w:rPr>
      </w:pPr>
      <w:r>
        <w:rPr>
          <w:lang w:val="fr-FR"/>
        </w:rPr>
        <w:t>Prireikus gauti iš užsienio įstaigų civilinės būklės aktų įrašų nuorašus arba aktų įregistravimo liudijimus asmenys kreipiasi tiesiogiai į užsienio valstybių įstaigas arba užpildo Užsienio reikalų ministerijos nustatytos formos anketą, kurią civilinės metrikacijos įstaiga siunčia Užsienio reikalų ministerijai (Lietuvos Respublikos teisingumo ministro 2006 m. gegužės 19 d. įsakymas Nr. 1R-160 „Dėl civilinės metrikacijos taisyklių patvirtinimo“.</w:t>
      </w:r>
    </w:p>
    <w:p w14:paraId="5E487427" w14:textId="77777777" w:rsidR="00093845" w:rsidRDefault="000D779E">
      <w:pPr>
        <w:tabs>
          <w:tab w:val="left" w:pos="720"/>
          <w:tab w:val="left" w:pos="1077"/>
          <w:tab w:val="left" w:pos="1418"/>
        </w:tabs>
        <w:ind w:right="-5" w:firstLine="709"/>
        <w:jc w:val="both"/>
        <w:rPr>
          <w:lang w:val="fr-FR"/>
        </w:rPr>
      </w:pPr>
      <w:r>
        <w:rPr>
          <w:lang w:val="fr-FR"/>
        </w:rPr>
        <w:t xml:space="preserve">5.2.2. dokumentai, kurie patvirtina faktą, kad skolininko palikto turto nepakanka skoloms susigrąžinti. Tais atvejais, kai už palikėjo skolas įpėdinis atsako visu savo turtu, taip pat dokumentai, kurie patvirtina faktą, kad įpėdinio turto nepakanka palikėjo skoloms sugrąžinti. Šiuos faktus turi patvirtinti PMĮ 25 str. 2 dalies komentaro 5.1.3 punkte išvardyti dokumentai: teismo (arba ginčą nagrinėjusios institucijos) sprendimas, kuriuo patvirtinama mokesčių mokėtojo teisė susigrąžinti skolas ir antstolio surašytas aktas ar vykdomasis dokumentas, pagal kurį išieškojimas nebuvo įvykdytas ar dokumentas, patvirtinantis faktą, kad skolininkas neturi privalomojo registruoti turto (pavyzdžiui, nekilnojamojo turto, privalomų registruoti transporto priemonių) ir kad iš skolininko </w:t>
      </w:r>
      <w:r>
        <w:rPr>
          <w:lang w:val="fr-FR"/>
        </w:rPr>
        <w:lastRenderedPageBreak/>
        <w:t>nepavyko išieškoti pakankamai turto kreditorių reikalavimams patenkinti bylose su kitais kreditoriais. Tačiau nėra privaloma turėti tokius dokumentus šiais atvejais:</w:t>
      </w:r>
    </w:p>
    <w:p w14:paraId="1C9CD3FD" w14:textId="77777777" w:rsidR="00093845" w:rsidRDefault="000D779E">
      <w:pPr>
        <w:tabs>
          <w:tab w:val="left" w:pos="720"/>
          <w:tab w:val="left" w:pos="1077"/>
          <w:tab w:val="left" w:pos="1418"/>
        </w:tabs>
        <w:ind w:right="-5" w:firstLine="709"/>
        <w:jc w:val="both"/>
        <w:rPr>
          <w:lang w:val="fr-FR"/>
        </w:rPr>
      </w:pPr>
      <w:r>
        <w:rPr>
          <w:lang w:val="fr-FR"/>
        </w:rPr>
        <w:t xml:space="preserve">5.2.2.1. Jeigu vieno skolininko skolų suma neviršija 3 000 Eur. Šiuo atveju mokesčių mokėtojas vietoj teismo ir antstolio dokumentų turi turėti dokumentus, išvardintus šio straipsnio komentaro 5.1.1 punkte. </w:t>
      </w:r>
    </w:p>
    <w:p w14:paraId="477D3FE4" w14:textId="77777777" w:rsidR="00093845" w:rsidRDefault="000D779E">
      <w:pPr>
        <w:tabs>
          <w:tab w:val="left" w:pos="720"/>
          <w:tab w:val="left" w:pos="1077"/>
          <w:tab w:val="left" w:pos="1418"/>
        </w:tabs>
        <w:ind w:right="-5" w:firstLine="709"/>
        <w:jc w:val="both"/>
        <w:rPr>
          <w:lang w:val="fr-FR"/>
        </w:rPr>
      </w:pPr>
      <w:r>
        <w:rPr>
          <w:lang w:val="fr-FR"/>
        </w:rPr>
        <w:tab/>
        <w:t xml:space="preserve">5.2.2.2. Jeigu vieno skolininko skolų, suma yra didesnė nei 3 000 Eur, bet ne didesnė kaip 30 000 Eur. Šiuo atveju mokesčių mokėtojas vietoj teismo ir antstolio dokumentų turi turėti dokumentus išvardintus PMĮ 25 str. komentaro 5.1.2 punkte. </w:t>
      </w:r>
    </w:p>
    <w:p w14:paraId="2B08E366" w14:textId="77777777" w:rsidR="00093845" w:rsidRDefault="000D779E">
      <w:pPr>
        <w:tabs>
          <w:tab w:val="left" w:pos="720"/>
          <w:tab w:val="left" w:pos="1077"/>
          <w:tab w:val="left" w:pos="1418"/>
        </w:tabs>
        <w:ind w:right="-5" w:firstLine="709"/>
        <w:jc w:val="both"/>
        <w:rPr>
          <w:lang w:val="fr-FR"/>
        </w:rPr>
      </w:pPr>
      <w:r>
        <w:rPr>
          <w:lang w:val="fr-FR"/>
        </w:rPr>
        <w:t>Mokesčių mokėtojas taip pat turi turėti dokumentus, kuriuose turi būti oficialiai (teismo, notaro, civilinę metrikaciją tvarkančios arba kitokios valstybinės institucijos) nurodomas faktas, kas yra skolininko įpėdinis (arba įpėdiniai) ir teisių bei pareigų perėmėjas (arba perėmėjai).</w:t>
      </w:r>
    </w:p>
    <w:p w14:paraId="0F08842B" w14:textId="77777777" w:rsidR="00093845" w:rsidRDefault="000D779E">
      <w:pPr>
        <w:tabs>
          <w:tab w:val="left" w:pos="720"/>
          <w:tab w:val="left" w:pos="1077"/>
          <w:tab w:val="left" w:pos="1418"/>
        </w:tabs>
        <w:ind w:right="-5" w:firstLine="709"/>
        <w:jc w:val="both"/>
        <w:rPr>
          <w:lang w:val="fr-FR"/>
        </w:rPr>
      </w:pPr>
      <w:r>
        <w:rPr>
          <w:lang w:val="fr-FR"/>
        </w:rPr>
        <w:t>Civilinio kodekso 5.62 straipsnyje nustatyti atvejai (sąlygos), kada paveldimas turtas paveldėjimo teise pereina valstybei.  Pagal Civilinio kodekso 5.62 straipsnio 3 dalį valstybė atsako už palikėjo skolas neviršydama jai perėjusio paveldėto turto tikrosios vertės.</w:t>
      </w:r>
    </w:p>
    <w:p w14:paraId="54C31D5E" w14:textId="77777777" w:rsidR="00093845" w:rsidRDefault="000D779E">
      <w:pPr>
        <w:tabs>
          <w:tab w:val="left" w:pos="720"/>
          <w:tab w:val="left" w:pos="1077"/>
          <w:tab w:val="left" w:pos="1418"/>
        </w:tabs>
        <w:ind w:right="-5" w:firstLine="709"/>
        <w:jc w:val="both"/>
        <w:rPr>
          <w:lang w:val="fr-FR"/>
        </w:rPr>
      </w:pPr>
      <w:r>
        <w:rPr>
          <w:lang w:val="fr-FR"/>
        </w:rPr>
        <w:t>Lietuvos Respublikos Vyriausybės 2004 m. gegužės 26 d. nutarimu Nr. 634 patvirtintų Bešeimininkio, konfiskuoto, valstybės paveldėto,  valstybei perduoto turto, daiktinių įrodymų, lobių ir radinių perdavimo, apskaitymo, saugojimo, realizavimo, grąžinimo ir pripažinimo atliekomis taisyklių 44 ir kitų punktų nuostatos suteikia teisę ir tuo pačiu įpareigoja Valstybinę mokesčių inspekciją atstovauti valstybę perimant bei tvarkant valstybei paveldėjimo teise perėjusį palikimą, t. y. administruoti valstybei paveldėjimo teise perėjusį kilnojamąjį turtą, taip pat vertybinius popierius (išskyrus akcijas).</w:t>
      </w:r>
    </w:p>
    <w:p w14:paraId="5C4A7E62" w14:textId="77777777" w:rsidR="00093845" w:rsidRDefault="000D779E">
      <w:pPr>
        <w:tabs>
          <w:tab w:val="left" w:pos="720"/>
          <w:tab w:val="left" w:pos="1077"/>
          <w:tab w:val="left" w:pos="1418"/>
        </w:tabs>
        <w:ind w:right="-5" w:firstLine="709"/>
        <w:jc w:val="both"/>
        <w:rPr>
          <w:lang w:val="fr-FR"/>
        </w:rPr>
      </w:pPr>
      <w:r>
        <w:rPr>
          <w:lang w:val="fr-FR"/>
        </w:rPr>
        <w:t>Valstybės paveldėtas turtas realizuojamas šių taisyklių IV skyriuje nustatyta tvarka ir gavus lėšas už parduotą turtą, su palikėjo kreditoriais atsiskaitoma laikantis Civilinio kodekso 6.923 straipsnyje nustatytos lėšų nurašymo nuo sąskaitos eilės. Kreditoriai savo reikalavimus turi pateikti laikantis Civilinio kodekso 5.63 straipsnyje nustatytos kreditorių reikalavimų pareiškimo tvarkos.</w:t>
      </w:r>
    </w:p>
    <w:p w14:paraId="30DF4A46" w14:textId="77777777" w:rsidR="00093845" w:rsidRDefault="000D779E">
      <w:pPr>
        <w:tabs>
          <w:tab w:val="left" w:pos="720"/>
          <w:tab w:val="left" w:pos="1077"/>
          <w:tab w:val="left" w:pos="1418"/>
        </w:tabs>
        <w:ind w:right="-5" w:firstLine="709"/>
        <w:jc w:val="both"/>
        <w:rPr>
          <w:lang w:val="fr-FR"/>
        </w:rPr>
      </w:pPr>
      <w:r>
        <w:rPr>
          <w:lang w:val="fr-FR"/>
        </w:rPr>
        <w:t>Tais atvejais, kai Valstybinė mokesčių inspekcija po perimto valstybės paveldėto turto realizavimo užfiksuoja faktą, jog paveldėto turto vertės nepakaks visiškai atsiskaityti su kreditoriais, tai, mokesčių mokėtojams pageidaujant, tokia informacija gali būti pateikiama raštu. Šiuo atveju mokesčių mokėtojui priskiriant beviltiškas skolas ribojamų dydžių leidžiamiems atskaitymams skolų beviltiškumui pagrįsti užtenka minėto rašto bei dokumentų, patvirtinančių skolininko mirties faktą. Tai atvejais, kai mokesčių mokėtojas minėto rašto neturi, mokesčių mokėtojas turi turėti dokumentus, įrodančius šiuos faktus: kad stengėsi skolas susigrąžinti (susirašinėjimo ar susitikimų su skolininku dokumentai, pretenzijos, raginimai, protokolai ar kiti dokumentai) ir kad negalima skolos atgauti (pavyzdžiui, mirties liudijimą, skolų išieškojimo paslaugas teikiančių įmonių dokumentai, įrodantys negalimumą išieškoti skolas, informacija susijusi su skolininko finansinės būklės įvertinimu ar kiti dokumentai).</w:t>
      </w:r>
    </w:p>
    <w:p w14:paraId="01311CA6"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5424CF24"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232B72D2"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54E09FF4" w14:textId="77777777" w:rsidR="00093845" w:rsidRDefault="00093845">
      <w:pPr>
        <w:tabs>
          <w:tab w:val="left" w:pos="720"/>
          <w:tab w:val="left" w:pos="1077"/>
          <w:tab w:val="left" w:pos="1418"/>
        </w:tabs>
        <w:ind w:right="-5" w:firstLine="709"/>
        <w:jc w:val="both"/>
        <w:rPr>
          <w:lang w:val="fr-FR"/>
        </w:rPr>
      </w:pPr>
    </w:p>
    <w:p w14:paraId="48654049" w14:textId="77777777" w:rsidR="00093845" w:rsidRDefault="000D779E">
      <w:pPr>
        <w:tabs>
          <w:tab w:val="left" w:pos="720"/>
          <w:tab w:val="left" w:pos="1077"/>
          <w:tab w:val="left" w:pos="1418"/>
        </w:tabs>
        <w:ind w:right="-5" w:firstLine="709"/>
        <w:jc w:val="both"/>
        <w:rPr>
          <w:lang w:val="fr-FR"/>
        </w:rPr>
      </w:pPr>
      <w:r>
        <w:rPr>
          <w:lang w:val="fr-FR"/>
        </w:rPr>
        <w:t>5.3. Kai skolininkas yra likviduotas</w:t>
      </w:r>
    </w:p>
    <w:p w14:paraId="6F6018E4" w14:textId="77777777" w:rsidR="00093845" w:rsidRDefault="000D779E">
      <w:pPr>
        <w:tabs>
          <w:tab w:val="left" w:pos="720"/>
          <w:tab w:val="left" w:pos="1077"/>
          <w:tab w:val="left" w:pos="1418"/>
        </w:tabs>
        <w:ind w:right="-5" w:firstLine="709"/>
        <w:jc w:val="both"/>
        <w:rPr>
          <w:lang w:val="fr-FR"/>
        </w:rPr>
      </w:pPr>
      <w:r>
        <w:rPr>
          <w:lang w:val="fr-FR"/>
        </w:rPr>
        <w:lastRenderedPageBreak/>
        <w:tab/>
        <w:t>Jei skolininkas yra likviduotas, skolų beviltiškumą ir pastangas jas susigrąžinti įrodo šie dokumentai:</w:t>
      </w:r>
    </w:p>
    <w:p w14:paraId="54A7E401" w14:textId="77777777" w:rsidR="00093845" w:rsidRDefault="000D779E">
      <w:pPr>
        <w:tabs>
          <w:tab w:val="left" w:pos="720"/>
          <w:tab w:val="left" w:pos="1077"/>
          <w:tab w:val="left" w:pos="1418"/>
        </w:tabs>
        <w:ind w:right="-5" w:firstLine="709"/>
        <w:jc w:val="both"/>
        <w:rPr>
          <w:lang w:val="fr-FR"/>
        </w:rPr>
      </w:pPr>
      <w:r>
        <w:rPr>
          <w:lang w:val="fr-FR"/>
        </w:rPr>
        <w:tab/>
        <w:t>5.3.1. Valstybės įmonės Registrų centras išduotas (ar iš jos duomenų bazės elektroniniu būdu gautas) dokumentas, įrodantis likviduoto asmens išregistravimą iš juridinių asmenų registro. Mokesčių mokėtojas neprivalo turėti šio dokumento, kadangi mokesčių administratorius juridinio asmens išregistravimo faktą pats gali patikrinti duomenų bazėje, kuria naudojasi sutarties su Valstybės įmone Registrų centras pagrindu. Jeigu ūkio subjektas yra iš užsienio valstybės, mokesčių mokėtojas turi turėti išregistravimo faktą patvirtinantį oficialiai (teismo, notaro arba kitokios valstybinės institucijos) išduotą dokumentą;</w:t>
      </w:r>
    </w:p>
    <w:p w14:paraId="47E2D9E6" w14:textId="77777777" w:rsidR="00093845" w:rsidRDefault="000D779E">
      <w:pPr>
        <w:tabs>
          <w:tab w:val="left" w:pos="720"/>
          <w:tab w:val="left" w:pos="1077"/>
          <w:tab w:val="left" w:pos="1418"/>
        </w:tabs>
        <w:ind w:right="-5" w:firstLine="709"/>
        <w:jc w:val="both"/>
        <w:rPr>
          <w:lang w:val="fr-FR"/>
        </w:rPr>
      </w:pPr>
      <w:r>
        <w:rPr>
          <w:lang w:val="fr-FR"/>
        </w:rPr>
        <w:t>5.3.2. dokumentai, kurie patvirtina faktus, kad likviduotas skolininkas neturėjo pakankamai turto skoloms sugrąžinti, t. y. - teismo (arba ginčą nagrinėjusios institucijos) sprendimas, kuriuo patvirtinama mokesčių mokėtojo teisė susigrąžinti skolas ir antstolio surašytas aktas ar vykdomasis dokumentas, pagal kurį išieškojimas nebuvo įvykdytas. Tačiau nėra privaloma turėti tokius dokumentus šiais atvejais:</w:t>
      </w:r>
    </w:p>
    <w:p w14:paraId="64CE16BB" w14:textId="77777777" w:rsidR="00093845" w:rsidRDefault="000D779E">
      <w:pPr>
        <w:tabs>
          <w:tab w:val="left" w:pos="720"/>
          <w:tab w:val="left" w:pos="1077"/>
          <w:tab w:val="left" w:pos="1418"/>
        </w:tabs>
        <w:ind w:right="-5" w:firstLine="709"/>
        <w:jc w:val="both"/>
        <w:rPr>
          <w:lang w:val="fr-FR"/>
        </w:rPr>
      </w:pPr>
      <w:r>
        <w:rPr>
          <w:lang w:val="fr-FR"/>
        </w:rPr>
        <w:tab/>
        <w:t xml:space="preserve">5.3.2.1. Jeigu vieno skolininko skolų suma neviršija 3 000 Eur. Šiuo atveju mokesčių mokėtojas vietoj 5.1.3 punkte minėtų teismo ir antstolio dokumentų turi turėti dokumentus, išvardintus PMĮ 25 str. komentaro 5.1.1 punkte. </w:t>
      </w:r>
    </w:p>
    <w:p w14:paraId="514AFD64" w14:textId="77777777" w:rsidR="00093845" w:rsidRDefault="000D779E">
      <w:pPr>
        <w:tabs>
          <w:tab w:val="left" w:pos="720"/>
          <w:tab w:val="left" w:pos="1077"/>
          <w:tab w:val="left" w:pos="1418"/>
        </w:tabs>
        <w:ind w:right="-5" w:firstLine="709"/>
        <w:jc w:val="both"/>
        <w:rPr>
          <w:lang w:val="fr-FR"/>
        </w:rPr>
      </w:pPr>
      <w:r>
        <w:rPr>
          <w:lang w:val="fr-FR"/>
        </w:rPr>
        <w:tab/>
        <w:t>5.3.2.2. Jeigu vieno skolininko skolų, suma yra didesnė nei 3 000 Eur, bet ne didesnė kaip 30 000 Eur. Šiuo atveju mokesčių mokėtojas vietoj teismo ir antstolio dokumentų turi turėti dokumentus, išvardintus PMĮ 25 str. komentaro 5.1.2 punkte.</w:t>
      </w:r>
    </w:p>
    <w:p w14:paraId="44E7D007" w14:textId="77777777" w:rsidR="00093845" w:rsidRDefault="000D779E">
      <w:pPr>
        <w:tabs>
          <w:tab w:val="left" w:pos="720"/>
          <w:tab w:val="left" w:pos="1077"/>
          <w:tab w:val="left" w:pos="1418"/>
        </w:tabs>
        <w:ind w:right="-5" w:firstLine="709"/>
        <w:jc w:val="both"/>
        <w:rPr>
          <w:lang w:val="fr-FR"/>
        </w:rPr>
      </w:pPr>
      <w:r>
        <w:rPr>
          <w:lang w:val="fr-FR"/>
        </w:rPr>
        <w:t>Jeigu skolininkas yra likviduotas, tačiau egzistuoja jo skolų (teisių ir pareigų) perėmėjas, tai skolos negali būti laikomos beviltiškomis.</w:t>
      </w:r>
    </w:p>
    <w:p w14:paraId="0C246933"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6BE47608" w14:textId="77777777" w:rsidR="00093845" w:rsidRDefault="000D779E">
      <w:pPr>
        <w:tabs>
          <w:tab w:val="left" w:pos="720"/>
          <w:tab w:val="left" w:pos="1077"/>
          <w:tab w:val="left" w:pos="1418"/>
        </w:tabs>
        <w:ind w:right="-5" w:firstLine="709"/>
        <w:jc w:val="both"/>
        <w:rPr>
          <w:lang w:val="fr-FR"/>
        </w:rPr>
      </w:pPr>
      <w:r>
        <w:rPr>
          <w:lang w:val="fr-FR"/>
        </w:rPr>
        <w:t>•</w:t>
      </w:r>
      <w:r>
        <w:rPr>
          <w:lang w:val="fr-FR"/>
        </w:rPr>
        <w:tab/>
        <w:t>skolos buvo įtrauktos į mokesčio mokėtojo pajamas ar buvo užfiksuotas mokesčio mokėtojo apskaitos dokumentuose;</w:t>
      </w:r>
    </w:p>
    <w:p w14:paraId="36910D10" w14:textId="77777777" w:rsidR="00093845" w:rsidRDefault="000D779E">
      <w:pPr>
        <w:tabs>
          <w:tab w:val="left" w:pos="720"/>
          <w:tab w:val="left" w:pos="1077"/>
          <w:tab w:val="left" w:pos="1418"/>
        </w:tabs>
        <w:ind w:right="-5"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75AEF7E6" w14:textId="77777777" w:rsidR="00093845" w:rsidRDefault="000D779E">
      <w:pPr>
        <w:tabs>
          <w:tab w:val="left" w:pos="720"/>
          <w:tab w:val="left" w:pos="1077"/>
          <w:tab w:val="left" w:pos="1418"/>
        </w:tabs>
        <w:ind w:right="-5" w:firstLine="709"/>
        <w:jc w:val="both"/>
        <w:rPr>
          <w:lang w:val="fr-FR"/>
        </w:rPr>
      </w:pPr>
      <w:r>
        <w:rPr>
          <w:lang w:val="fr-FR"/>
        </w:rPr>
        <w:t>5.4. Kai skolininkas yra bankrutavusi įmonė arba fizinis asmuo, kuriam baigta bankroto byla</w:t>
      </w:r>
    </w:p>
    <w:p w14:paraId="546931A2" w14:textId="77777777" w:rsidR="00093845" w:rsidRDefault="000D779E">
      <w:pPr>
        <w:tabs>
          <w:tab w:val="left" w:pos="720"/>
          <w:tab w:val="left" w:pos="1077"/>
          <w:tab w:val="left" w:pos="1418"/>
        </w:tabs>
        <w:ind w:right="-5" w:firstLine="709"/>
        <w:jc w:val="both"/>
        <w:rPr>
          <w:lang w:val="fr-FR"/>
        </w:rPr>
      </w:pPr>
      <w:r>
        <w:rPr>
          <w:lang w:val="fr-FR"/>
        </w:rPr>
        <w:t xml:space="preserve">Pagal Lietuvos Respublikos įmonių bankroto įstatymą bankrutavusi įmonė – teismo, o kai bankroto procesas vyksta ne teismo tvarka, – kreditorių susirinkimo pripažinta bankrutavusia ir dėl to likviduojama įmonė. Mokesčių mokėtojas gali skolas laikyti beviltiškomis, kai įmonė yra bankrutavusi ir dėl šios priežasties mokesčių mokėtojas negali atgauti skolų, t. y. kai teismas, pripažinęs įmonę bankrutavusia ir priėmęs nutartį likviduoti ją dėl bankroto, patvirtina kreditoriaus reikalavimų sumą arba kai kreditoriai susirinkime be teismo nutaria paskelbti įmonę likviduojamą dėl bankroto, o likvidavimą vykdantis administratorius nustato, kad neužtenka lėšų kreditoriaus reikalavimams tenkinti. Skolos gali būti laikomos beviltiškomis ir tais atvejais, kai skolininkas yra užsienio valstybės asmuo ir yra bankrutavęs pagal užsienio valstybės įstatymus (tokiais atvejais yra nesvarbu, ar skolininkas yra fizinis asmuo, juridinis asmuo ar kitokios organizacinės formos ūkio subjektas, tačiau būtina sąlyga, kad skolininkui būtų taikomi atitinkamos užsienio valstybės bankroto įstatymai). </w:t>
      </w:r>
    </w:p>
    <w:p w14:paraId="62A1F016" w14:textId="77777777" w:rsidR="00093845" w:rsidRDefault="000D779E">
      <w:pPr>
        <w:tabs>
          <w:tab w:val="left" w:pos="720"/>
          <w:tab w:val="left" w:pos="1077"/>
          <w:tab w:val="left" w:pos="1418"/>
        </w:tabs>
        <w:ind w:right="-5" w:firstLine="709"/>
        <w:jc w:val="both"/>
        <w:rPr>
          <w:lang w:val="fr-FR"/>
        </w:rPr>
      </w:pPr>
      <w:r>
        <w:rPr>
          <w:lang w:val="fr-FR"/>
        </w:rPr>
        <w:t>Skolų beviltiškumą ir pastangas jas susigrąžinti įrodo šie dokumentai:</w:t>
      </w:r>
    </w:p>
    <w:p w14:paraId="79846CD5" w14:textId="77777777" w:rsidR="00093845" w:rsidRDefault="000D779E">
      <w:pPr>
        <w:tabs>
          <w:tab w:val="left" w:pos="720"/>
          <w:tab w:val="left" w:pos="1077"/>
          <w:tab w:val="left" w:pos="1418"/>
        </w:tabs>
        <w:ind w:right="-5" w:firstLine="709"/>
        <w:jc w:val="both"/>
        <w:rPr>
          <w:lang w:val="fr-FR"/>
        </w:rPr>
      </w:pPr>
      <w:r>
        <w:rPr>
          <w:lang w:val="fr-FR"/>
        </w:rPr>
        <w:t xml:space="preserve">5.4.1. įsiteisėjusi teismo nutartis likviduoti įmonę dėl bankroto arba kreditorių susirinkimo nutarimas paskelbti įmonę likviduojama dėl bankroto. Tais atvejais, kai įmonių bankroto procedūras </w:t>
      </w:r>
      <w:r>
        <w:rPr>
          <w:lang w:val="fr-FR"/>
        </w:rPr>
        <w:lastRenderedPageBreak/>
        <w:t>reglamentuoja 1997 m. birželio 17 d. Lietuvos Respublikos įmonių bankroto įstatymas, mokesčių mokėtojas turi turėti įsiteisėjusį teismo sprendimą paskelbti įmonę likviduojama dėl bankroto arba kreditorių susirinkimo nutarimą paskelbti įmonę likviduojama dėl bankroto. Tais atvejais, kai įmonių bankroto procedūras reglamentuoja 1992 m. spalio 15 d. Lietuvos Respublikos įmonių bankroto įstatymas, mokesčių mokėtojas turi turėti minėto įstatymo nustatytus dokumentus, patvirtinančius faktus, kad įmonė yra bankrutavusi;</w:t>
      </w:r>
    </w:p>
    <w:p w14:paraId="68501658" w14:textId="77777777" w:rsidR="00093845" w:rsidRDefault="000D779E">
      <w:pPr>
        <w:tabs>
          <w:tab w:val="left" w:pos="720"/>
          <w:tab w:val="left" w:pos="1077"/>
          <w:tab w:val="left" w:pos="1418"/>
        </w:tabs>
        <w:ind w:right="-5" w:firstLine="709"/>
        <w:jc w:val="both"/>
        <w:rPr>
          <w:lang w:val="fr-FR"/>
        </w:rPr>
      </w:pPr>
      <w:r>
        <w:rPr>
          <w:lang w:val="fr-FR"/>
        </w:rPr>
        <w:t>arba</w:t>
      </w:r>
    </w:p>
    <w:p w14:paraId="63762E9E" w14:textId="77777777" w:rsidR="00093845" w:rsidRDefault="000D779E">
      <w:pPr>
        <w:tabs>
          <w:tab w:val="left" w:pos="720"/>
          <w:tab w:val="left" w:pos="1077"/>
          <w:tab w:val="left" w:pos="1418"/>
        </w:tabs>
        <w:ind w:right="-5" w:firstLine="709"/>
        <w:jc w:val="both"/>
        <w:rPr>
          <w:lang w:val="fr-FR"/>
        </w:rPr>
      </w:pPr>
      <w:r>
        <w:rPr>
          <w:lang w:val="fr-FR"/>
        </w:rPr>
        <w:t>5.4.2. dokumentas, įrodantis likviduotos dėl bankroto įmonės išregistravimą iš juridinių asmenų registro. Jeigu įmonė jau išregistruota dėl bankroto, mokesčių mokėtojas neprivalo turėti tai patvirtinančio dokumento, kadangi mokesčių administratorius juridinio asmens išregistravimo faktą pats gali patikrinti duomenų bazėje, kuria naudojasi sutarties su Valstybės įmone Registrų centras pagrindu;</w:t>
      </w:r>
    </w:p>
    <w:p w14:paraId="47E75EE1" w14:textId="77777777" w:rsidR="00093845" w:rsidRDefault="000D779E">
      <w:pPr>
        <w:tabs>
          <w:tab w:val="left" w:pos="720"/>
          <w:tab w:val="left" w:pos="1077"/>
          <w:tab w:val="left" w:pos="1418"/>
        </w:tabs>
        <w:ind w:right="-5" w:firstLine="709"/>
        <w:jc w:val="both"/>
        <w:rPr>
          <w:lang w:val="fr-FR"/>
        </w:rPr>
      </w:pPr>
      <w:r>
        <w:rPr>
          <w:lang w:val="fr-FR"/>
        </w:rPr>
        <w:t>Tačiau nėra privaloma turėti tokius dokumentus šiais atvejais:</w:t>
      </w:r>
    </w:p>
    <w:p w14:paraId="122FC4C5" w14:textId="77777777" w:rsidR="00093845" w:rsidRDefault="000D779E">
      <w:pPr>
        <w:tabs>
          <w:tab w:val="left" w:pos="720"/>
          <w:tab w:val="left" w:pos="1077"/>
          <w:tab w:val="left" w:pos="1418"/>
        </w:tabs>
        <w:ind w:right="-5" w:firstLine="709"/>
        <w:jc w:val="both"/>
        <w:rPr>
          <w:lang w:val="fr-FR"/>
        </w:rPr>
      </w:pPr>
      <w:r>
        <w:rPr>
          <w:lang w:val="fr-FR"/>
        </w:rPr>
        <w:t xml:space="preserve">5.4.3.1. Jeigu vieno skolininko skolų suma neviršija 3 000 Eur. Šiuo atveju mokesčių mokėtojas vietoj teismo ir antstolio dokumentų turi turėti dokumentus, išvardintus PMĮ 25 str. komentaro 5.1.1 punkte. </w:t>
      </w:r>
    </w:p>
    <w:p w14:paraId="4D9C63AD" w14:textId="77777777" w:rsidR="00093845" w:rsidRDefault="000D779E">
      <w:pPr>
        <w:tabs>
          <w:tab w:val="left" w:pos="720"/>
          <w:tab w:val="left" w:pos="1077"/>
          <w:tab w:val="left" w:pos="1418"/>
        </w:tabs>
        <w:ind w:right="-5" w:firstLine="709"/>
        <w:jc w:val="both"/>
        <w:rPr>
          <w:lang w:val="fr-FR"/>
        </w:rPr>
      </w:pPr>
      <w:r>
        <w:rPr>
          <w:lang w:val="fr-FR"/>
        </w:rPr>
        <w:t>5.4.3.2. Jeigu vieno skolininko skolų suma yra didesnė nei 3 000 Eur, bet ne didesnė kaip 30 000 Eur. Šiuo atveju mokesčių mokėtojas vietoj teismo ir antstolio dokumentų turi turėti dokumentus, išvardintus PMĮ 25 str. komentaro 5.1.2 punkte.</w:t>
      </w:r>
    </w:p>
    <w:p w14:paraId="03A8C0D6" w14:textId="77777777" w:rsidR="00093845" w:rsidRDefault="000D779E">
      <w:pPr>
        <w:tabs>
          <w:tab w:val="left" w:pos="720"/>
          <w:tab w:val="left" w:pos="1077"/>
          <w:tab w:val="left" w:pos="1418"/>
        </w:tabs>
        <w:ind w:right="-5" w:firstLine="709"/>
        <w:jc w:val="both"/>
        <w:rPr>
          <w:lang w:val="fr-FR"/>
        </w:rPr>
      </w:pPr>
      <w:r>
        <w:rPr>
          <w:lang w:val="fr-FR"/>
        </w:rPr>
        <w:t>Remiantis šio punkto nuostatomis skolos gali būti pripažįstamos beviltiškomis ir tą patį mokestinį laikotarpį, kurį jos susidarė, jeigu:</w:t>
      </w:r>
    </w:p>
    <w:p w14:paraId="7BFA952D"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5739CB78"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5F3F98A1" w14:textId="77777777" w:rsidR="00093845" w:rsidRDefault="000D779E">
      <w:pPr>
        <w:tabs>
          <w:tab w:val="left" w:pos="720"/>
          <w:tab w:val="left" w:pos="1077"/>
          <w:tab w:val="left" w:pos="1418"/>
        </w:tabs>
        <w:ind w:right="-5" w:firstLine="709"/>
        <w:jc w:val="both"/>
        <w:rPr>
          <w:lang w:val="fr-FR"/>
        </w:rPr>
      </w:pPr>
      <w:r>
        <w:rPr>
          <w:lang w:val="fr-FR"/>
        </w:rPr>
        <w:tab/>
        <w:t>5.5. Lietuvos Respublikos fizinių asmenų bankroto įstatymas (toliau – FABĮ), kuris įsigaliojo 2013 m. kovo 1 d., reguliuoja fizinio asmens bankroto procesą. Pagal FABĮ fizinio asmens bankroto procesas – fizinio asmens bankroto procedūrų visuma. Fizinio asmens bankroto procesą gali inicijuoti tik pats fizinis asmuo. Fizinio asmens bankroto procesas vykdomas teismo tvarka.</w:t>
      </w:r>
    </w:p>
    <w:p w14:paraId="25CF30C1" w14:textId="77777777" w:rsidR="00093845" w:rsidRDefault="000D779E">
      <w:pPr>
        <w:tabs>
          <w:tab w:val="left" w:pos="720"/>
          <w:tab w:val="left" w:pos="1077"/>
          <w:tab w:val="left" w:pos="1418"/>
        </w:tabs>
        <w:ind w:right="-5" w:firstLine="709"/>
        <w:jc w:val="both"/>
        <w:rPr>
          <w:lang w:val="fr-FR"/>
        </w:rPr>
      </w:pPr>
      <w:r>
        <w:rPr>
          <w:lang w:val="fr-FR"/>
        </w:rPr>
        <w:tab/>
        <w:t>Mokesčio mokėtojas gali skolas laikyti beviltiškomis, kai negali jų atgauti dėl to, kad skolininkas yra fizinis asmuo, dėl kurio baigta fizinio asmens bankroto byla, kaip tai nustatyta FABĮ, išskyrus atvejus, kai bankroto byla baigta teismui pateikus dokumentus, patvirtinančius, kad fizinis asmuo gali ir galės ateityje įvykdyti skolinius įsipareigojimus.</w:t>
      </w:r>
    </w:p>
    <w:p w14:paraId="188E34E8" w14:textId="77777777" w:rsidR="00093845" w:rsidRDefault="000D779E">
      <w:pPr>
        <w:tabs>
          <w:tab w:val="left" w:pos="720"/>
          <w:tab w:val="left" w:pos="1077"/>
          <w:tab w:val="left" w:pos="1418"/>
        </w:tabs>
        <w:ind w:right="-5" w:firstLine="709"/>
        <w:jc w:val="both"/>
        <w:rPr>
          <w:lang w:val="fr-FR"/>
        </w:rPr>
      </w:pPr>
      <w:r>
        <w:rPr>
          <w:lang w:val="fr-FR"/>
        </w:rPr>
        <w:tab/>
        <w:t>Tačiau nėra privaloma turėti tokius dokumentus atvejais, nurodytais PMĮ komentaro 5.1.1 ir 5.1.2 punktuose.</w:t>
      </w:r>
    </w:p>
    <w:p w14:paraId="22906520" w14:textId="77777777" w:rsidR="00093845" w:rsidRDefault="000D779E">
      <w:pPr>
        <w:tabs>
          <w:tab w:val="left" w:pos="720"/>
          <w:tab w:val="left" w:pos="1077"/>
          <w:tab w:val="left" w:pos="1418"/>
        </w:tabs>
        <w:ind w:right="-5" w:firstLine="709"/>
        <w:jc w:val="both"/>
        <w:rPr>
          <w:lang w:val="fr-FR"/>
        </w:rPr>
      </w:pPr>
      <w:r>
        <w:rPr>
          <w:lang w:val="fr-FR"/>
        </w:rPr>
        <w:tab/>
        <w:t>Remiantis šio punkto nuostatomis skolos gali būti pripažįstamos beviltiškomis ir tą patį mokestinį laikotarpį, kurį jos susidarė, jeigu:</w:t>
      </w:r>
    </w:p>
    <w:p w14:paraId="188442FC"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skolos buvo įtrauktos į mokesčio mokėtojo pajamas ar buvo užfiksuotas mokesčio mokėtojo apskaitos dokumentuose;</w:t>
      </w:r>
    </w:p>
    <w:p w14:paraId="250A8687" w14:textId="77777777" w:rsidR="00093845" w:rsidRDefault="000D779E" w:rsidP="00EE5427">
      <w:pPr>
        <w:tabs>
          <w:tab w:val="left" w:pos="720"/>
          <w:tab w:val="left" w:pos="1077"/>
          <w:tab w:val="left" w:pos="1418"/>
        </w:tabs>
        <w:spacing w:after="0"/>
        <w:ind w:right="-6" w:firstLine="709"/>
        <w:jc w:val="both"/>
        <w:rPr>
          <w:lang w:val="fr-FR"/>
        </w:rPr>
      </w:pPr>
      <w:r>
        <w:rPr>
          <w:lang w:val="fr-FR"/>
        </w:rPr>
        <w:t>•</w:t>
      </w:r>
      <w:r>
        <w:rPr>
          <w:lang w:val="fr-FR"/>
        </w:rPr>
        <w:tab/>
        <w:t>mokesčių mokėtojas tą mokestinį laikotarpį (kai susidarė skolos) surenka skolų beviltiškumą ir pastangas jas susigrąžinti įrodančius dokumentus.</w:t>
      </w:r>
    </w:p>
    <w:p w14:paraId="1FD7BFBD" w14:textId="77777777" w:rsidR="00093845" w:rsidRDefault="00093845">
      <w:pPr>
        <w:tabs>
          <w:tab w:val="left" w:pos="720"/>
          <w:tab w:val="left" w:pos="1077"/>
          <w:tab w:val="left" w:pos="1418"/>
        </w:tabs>
        <w:ind w:right="-5" w:firstLine="709"/>
        <w:jc w:val="both"/>
        <w:rPr>
          <w:lang w:val="fr-FR"/>
        </w:rPr>
      </w:pPr>
    </w:p>
    <w:p w14:paraId="32E36F35" w14:textId="77777777" w:rsidR="00093845" w:rsidRDefault="000D779E">
      <w:pPr>
        <w:tabs>
          <w:tab w:val="left" w:pos="720"/>
          <w:tab w:val="left" w:pos="1077"/>
          <w:tab w:val="left" w:pos="1418"/>
        </w:tabs>
        <w:ind w:right="-5" w:firstLine="709"/>
        <w:jc w:val="both"/>
        <w:rPr>
          <w:lang w:val="fr-FR"/>
        </w:rPr>
      </w:pPr>
      <w:r>
        <w:rPr>
          <w:lang w:val="fr-FR"/>
        </w:rPr>
        <w:lastRenderedPageBreak/>
        <w:t>6. Taisyklėse yra nustatyti reikalavimai skolų beviltiškumą ir pastangas jas susigrąžinti įrodantiems dokumentams.</w:t>
      </w:r>
    </w:p>
    <w:p w14:paraId="5A2E0AE9" w14:textId="77777777" w:rsidR="00093845" w:rsidRDefault="000D779E">
      <w:pPr>
        <w:tabs>
          <w:tab w:val="left" w:pos="720"/>
          <w:tab w:val="left" w:pos="1077"/>
          <w:tab w:val="left" w:pos="1418"/>
        </w:tabs>
        <w:ind w:right="-5" w:firstLine="709"/>
        <w:jc w:val="both"/>
        <w:rPr>
          <w:lang w:val="fr-FR"/>
        </w:rPr>
      </w:pPr>
      <w:r>
        <w:rPr>
          <w:lang w:val="fr-FR"/>
        </w:rPr>
        <w:t xml:space="preserve">6.1. Mokesčių mokėtojas turi turėti dokumentų, įrodančių skolų beviltiškumą ir pastangas jas susigrąžinti, originalus arba jų nuorašus. Dokumentų nuorašai turi būti patvirtinti tuos dokumentus išdavusių institucijų arba originalių dokumentų nuorašai turi būti patvirtinti notariniams veiksmams atlikti nustatyta tvarka. </w:t>
      </w:r>
    </w:p>
    <w:p w14:paraId="33657180" w14:textId="77777777" w:rsidR="00093845" w:rsidRDefault="000D779E">
      <w:pPr>
        <w:tabs>
          <w:tab w:val="left" w:pos="720"/>
          <w:tab w:val="left" w:pos="1077"/>
          <w:tab w:val="left" w:pos="1418"/>
        </w:tabs>
        <w:ind w:right="-5" w:firstLine="709"/>
        <w:jc w:val="both"/>
        <w:rPr>
          <w:lang w:val="fr-FR"/>
        </w:rPr>
      </w:pPr>
      <w:r>
        <w:rPr>
          <w:lang w:val="fr-FR"/>
        </w:rPr>
        <w:t>6.2. Taisyklių nustatyta tvarka galima nurašyti ir užsienio juridinių asmenų ir kitų organizacijų ar fizinių asmenų skolas. Užsienio asmenų beviltiškos skolos įrodomos ta pačia tvarka kaip ir kitų skolininkų, tačiau dokumentai turi būti atitinkama tvarka patvirtinti ir nustatytais atvejais legalizuoti. Oficialūs (teismo, notaro, civilinę metrikaciją tvarkančios arba kitokios valstybinės institucijos) dokumentai, išduoti užsienio valstybėse, prisijungusiose prie 1961 m. spalio 5 d. Hagos konvencijos ,,Dėl užsienio valstybėse išduotų dokumentų legalizavimo panaikinimo", turi būti patvirtinti pažyma (apostille). Dokumentų legalizavimo ir tvirtinimo pažyma (apostille) tvarkos aprašo, patvirtinto Lietuvos Respublikos Vyriausybės 2006 m. spalio 30 d. nutarimu Nr. 1079 nustatyta tvarka. Valstybių, neprisijungusių prie šios konvencijos, oficialūs (teismo, notaro, civilinę metrikaciją tvarkančios arba kitokios valstybinės institucijos) dokumentai turi būti legalizuoti remiantis nurodyta tvarka. Nereikia legalizuoti ar patvirtinti pažyma (apostille) dokumentų, pateikiamų iš tų užsienio valstybių, su kuriomis yra įsigaliojusios dvišalės sutartys dėl teisinės pagalbos ir teisinių santykių civilinėse, šeimos ir baudžiamosiose bylose, tačiau tokių dokumentų nuorašai turi būti patvirtinti notariniams veiksmams atlikti nustatyta tvarka. Pavyzdžiui, Lietuvos Respublika, Estijos Respublika ir Latvijos Respublika yra sudariusios Lietuvos Respublikos, Estijos Respublikos ir Latvijos Respublikos sutartį „Dėl teisinės pagalbos ir teisinių santykių“.  Šiuo atveju nereikia legalizuoti ar patvirtinti pažyma (apostille) dokumentų, pateikiamų iš Latvijos Respublikos ir Estijos Respublikos, tačiau tokių dokumentų nuorašai turi būti patvirtinti notariniams veiksmams atlikti nustatyta tvarka.</w:t>
      </w:r>
    </w:p>
    <w:p w14:paraId="55C001B5" w14:textId="77777777" w:rsidR="00093845" w:rsidRDefault="000D779E">
      <w:pPr>
        <w:tabs>
          <w:tab w:val="left" w:pos="720"/>
          <w:tab w:val="left" w:pos="1077"/>
          <w:tab w:val="left" w:pos="1418"/>
        </w:tabs>
        <w:ind w:right="-5" w:firstLine="709"/>
        <w:jc w:val="both"/>
        <w:rPr>
          <w:lang w:val="fr-FR"/>
        </w:rPr>
      </w:pPr>
      <w:r>
        <w:rPr>
          <w:lang w:val="fr-FR"/>
        </w:rPr>
        <w:t>Šiame punkte išdėstytas reikalavimas netaikomas dokumentams, kurie tiesiogiai neįrodo, kad skolos gali būti laikomos beviltiškomis, o tik papildo mokesčių mokėtojo turimus dokumentus, kurių pagrindu skolos yra laikomos beviltiškomis.</w:t>
      </w:r>
    </w:p>
    <w:p w14:paraId="420E5E29" w14:textId="77777777" w:rsidR="00093845" w:rsidRDefault="000D779E">
      <w:pPr>
        <w:tabs>
          <w:tab w:val="left" w:pos="720"/>
          <w:tab w:val="left" w:pos="1077"/>
          <w:tab w:val="left" w:pos="1418"/>
        </w:tabs>
        <w:ind w:right="-5" w:firstLine="709"/>
        <w:jc w:val="both"/>
        <w:rPr>
          <w:lang w:val="fr-FR"/>
        </w:rPr>
      </w:pPr>
      <w:r>
        <w:rPr>
          <w:lang w:val="fr-FR"/>
        </w:rPr>
        <w:t>6.3. Tais atvejais, kai dokumentas, kurio pagrindu skolos yra laikomos beviltiškomis, yra surašytas užsienio kalba, tai mokesčių mokėtojas turi turėti ir tokio dokumento vertimą į lietuvių kalbą.</w:t>
      </w:r>
    </w:p>
    <w:p w14:paraId="3C3F29D4" w14:textId="77777777" w:rsidR="00093845" w:rsidRDefault="000D779E">
      <w:pPr>
        <w:tabs>
          <w:tab w:val="left" w:pos="720"/>
          <w:tab w:val="left" w:pos="1077"/>
          <w:tab w:val="left" w:pos="1418"/>
        </w:tabs>
        <w:ind w:right="-5" w:firstLine="709"/>
        <w:jc w:val="both"/>
        <w:rPr>
          <w:lang w:val="fr-FR"/>
        </w:rPr>
      </w:pPr>
      <w:r>
        <w:rPr>
          <w:lang w:val="fr-FR"/>
        </w:rPr>
        <w:t xml:space="preserve">6.4. Jei vieno užsienio mokesčių mokėtojo skola per vieną mokestinį laikotarpį neviršija 3 000 Eur, tai tokiu atveju beviltiškas skolas liudijantys dokumentai ir (arba) nuorašai neprivalo būti legalizuoti. Tačiau mokesčių administratorius, atsižvelgdamas į konkrečią situaciją, kai kyla įtarimų dėl konkrečių dokumentų tikrumo, turi teisę pareikalauti, kad turimi dokumentai arba jų nuorašai taisyklėse nustatyta tvarka būtų išversti, patvirtinti ir (arba) legalizuoti. Toks reikalavimas turi būti pagrįstas. </w:t>
      </w:r>
    </w:p>
    <w:p w14:paraId="5E34892C" w14:textId="77777777" w:rsidR="00093845" w:rsidRDefault="000D779E">
      <w:pPr>
        <w:tabs>
          <w:tab w:val="left" w:pos="720"/>
          <w:tab w:val="left" w:pos="1077"/>
          <w:tab w:val="left" w:pos="1418"/>
        </w:tabs>
        <w:ind w:right="-5" w:firstLine="709"/>
        <w:jc w:val="both"/>
        <w:rPr>
          <w:lang w:val="fr-FR"/>
        </w:rPr>
      </w:pPr>
      <w:r>
        <w:rPr>
          <w:lang w:val="fr-FR"/>
        </w:rPr>
        <w:t>6.5. Dokumentai, kuriais remdamasis mokesčių mokėtojas skolas laiko beviltiškomis, turi būti saugomi tokį pat laikotarpį ir tokia pat tvarka, kaip saugomi buhalterinės apskaitos dokumentai pagal galiojančius teisės aktus. Jeigu mokesčių mokėtojas neturi reikiamų dokumentų ar jų neišsaugo, skolos negali būti laikomos beviltiškomis.</w:t>
      </w:r>
    </w:p>
    <w:p w14:paraId="207F510D" w14:textId="77777777" w:rsidR="00093845" w:rsidRDefault="000D779E">
      <w:pPr>
        <w:tabs>
          <w:tab w:val="left" w:pos="720"/>
          <w:tab w:val="left" w:pos="1077"/>
          <w:tab w:val="left" w:pos="1418"/>
        </w:tabs>
        <w:ind w:right="-5" w:firstLine="709"/>
        <w:jc w:val="both"/>
        <w:rPr>
          <w:lang w:val="fr-FR"/>
        </w:rPr>
      </w:pPr>
      <w:r>
        <w:rPr>
          <w:lang w:val="fr-FR"/>
        </w:rPr>
        <w:t>6.6. Reikalavimas mokesčio mokėtojui turėti šio straipsnio antros dalies komentare nurodytus dokumentus, įrodančius skolų beviltiškumą ir mokesčio mokėtojo pastangas atgauti tokias skolas, netaikomas, jeigu pagal Lietuvos Respublikos teisės aktų nuostatas tokių dokumentų mokesčių mokėtojas negali gauti.</w:t>
      </w:r>
    </w:p>
    <w:p w14:paraId="4F55210F" w14:textId="77777777" w:rsidR="00093845" w:rsidRDefault="00093845">
      <w:pPr>
        <w:tabs>
          <w:tab w:val="left" w:pos="720"/>
          <w:tab w:val="left" w:pos="1077"/>
          <w:tab w:val="left" w:pos="1418"/>
        </w:tabs>
        <w:ind w:right="-5" w:firstLine="709"/>
        <w:jc w:val="both"/>
        <w:rPr>
          <w:lang w:val="fr-FR"/>
        </w:rPr>
      </w:pPr>
    </w:p>
    <w:p w14:paraId="0FE22547" w14:textId="77777777" w:rsidR="00093845" w:rsidRDefault="000D779E" w:rsidP="00EE5427">
      <w:pPr>
        <w:tabs>
          <w:tab w:val="left" w:pos="720"/>
          <w:tab w:val="left" w:pos="1077"/>
          <w:tab w:val="left" w:pos="1418"/>
        </w:tabs>
        <w:spacing w:after="0"/>
        <w:ind w:right="-5" w:firstLine="709"/>
        <w:jc w:val="both"/>
        <w:rPr>
          <w:b/>
          <w:lang w:val="fr-FR"/>
        </w:rPr>
      </w:pPr>
      <w:r>
        <w:rPr>
          <w:b/>
          <w:lang w:val="fr-FR"/>
        </w:rPr>
        <w:lastRenderedPageBreak/>
        <w:t>3. Jeigu atskaitytas beviltiškas skolas skolininkas arba už jį kitas asmuo vėliau grąžina, visa grąžintų skolų suma priskiriama pajamoms.</w:t>
      </w:r>
    </w:p>
    <w:p w14:paraId="71BCCCB0" w14:textId="77777777" w:rsidR="00093845" w:rsidRPr="00441B00" w:rsidRDefault="000D779E" w:rsidP="00EE5427">
      <w:pPr>
        <w:spacing w:after="0"/>
        <w:jc w:val="both"/>
        <w:rPr>
          <w:i/>
          <w:lang w:val="fr-FR"/>
        </w:rPr>
      </w:pPr>
      <w:r w:rsidRPr="00441B00">
        <w:rPr>
          <w:i/>
          <w:lang w:val="fr-FR"/>
        </w:rPr>
        <w:t>(KEISTA:</w:t>
      </w:r>
      <w:r w:rsidRPr="00441B00">
        <w:rPr>
          <w:i/>
          <w:lang w:val="lt-LT"/>
        </w:rPr>
        <w:t xml:space="preserve"> </w:t>
      </w:r>
      <w:r w:rsidRPr="00441B00">
        <w:rPr>
          <w:i/>
          <w:lang w:val="fr-FR"/>
        </w:rPr>
        <w:t>2010 11 23 įstatymu Nr. XI-1156 (nuo 2010 12 11)</w:t>
      </w:r>
      <w:r w:rsidR="008D0FC6" w:rsidRPr="00441B00">
        <w:rPr>
          <w:i/>
          <w:lang w:val="fr-FR"/>
        </w:rPr>
        <w:t>,</w:t>
      </w:r>
      <w:r w:rsidR="008D29CE" w:rsidRPr="00441B00">
        <w:rPr>
          <w:i/>
          <w:lang w:val="fr-FR"/>
        </w:rPr>
        <w:t xml:space="preserve"> taikoma apskaičiuojant 2010 ir vėlesnių metų mokestinių laikotarpių apmokestinamąjį pelną</w:t>
      </w:r>
      <w:r w:rsidRPr="00441B00">
        <w:rPr>
          <w:i/>
          <w:lang w:val="fr-FR"/>
        </w:rPr>
        <w:t>)</w:t>
      </w:r>
    </w:p>
    <w:p w14:paraId="7305691B" w14:textId="77777777" w:rsidR="00093845" w:rsidRDefault="00093845">
      <w:pPr>
        <w:tabs>
          <w:tab w:val="left" w:pos="720"/>
          <w:tab w:val="left" w:pos="1077"/>
          <w:tab w:val="left" w:pos="1418"/>
        </w:tabs>
        <w:ind w:right="-5" w:firstLine="709"/>
        <w:jc w:val="both"/>
        <w:rPr>
          <w:lang w:val="fr-FR"/>
        </w:rPr>
      </w:pPr>
    </w:p>
    <w:p w14:paraId="319E23AD" w14:textId="77777777" w:rsidR="00093845" w:rsidRDefault="000D779E">
      <w:pPr>
        <w:tabs>
          <w:tab w:val="left" w:pos="720"/>
          <w:tab w:val="left" w:pos="1077"/>
          <w:tab w:val="left" w:pos="1418"/>
        </w:tabs>
        <w:ind w:right="-5" w:firstLine="709"/>
        <w:jc w:val="both"/>
        <w:rPr>
          <w:b/>
          <w:lang w:val="fr-FR"/>
        </w:rPr>
      </w:pPr>
      <w:r>
        <w:rPr>
          <w:b/>
          <w:lang w:val="fr-FR"/>
        </w:rPr>
        <w:t>Komentaras</w:t>
      </w:r>
    </w:p>
    <w:p w14:paraId="1ACB68DC" w14:textId="77777777" w:rsidR="00093845" w:rsidRDefault="000D779E">
      <w:pPr>
        <w:tabs>
          <w:tab w:val="left" w:pos="720"/>
          <w:tab w:val="left" w:pos="1077"/>
          <w:tab w:val="left" w:pos="1418"/>
        </w:tabs>
        <w:ind w:right="-5" w:firstLine="709"/>
        <w:jc w:val="both"/>
        <w:rPr>
          <w:lang w:val="fr-FR"/>
        </w:rPr>
      </w:pPr>
      <w:r>
        <w:rPr>
          <w:lang w:val="fr-FR"/>
        </w:rPr>
        <w:t xml:space="preserve">Tais atvejais, kai mokesčių mokėtojas buvo pripažinęs skolas beviltiškomis, tačiau šias skolos skolininkas arba už jį kitas asmuo vėliau grąžina, tai beviltiškomis laikytų skolų suma turi būti įtraukiama į mokesčių mokėtojo pajamas tą mokestinį laikotarpį, kurį skolos buvo grąžintos. </w:t>
      </w:r>
    </w:p>
    <w:p w14:paraId="08827E91" w14:textId="77777777" w:rsidR="00093845" w:rsidRDefault="00093845">
      <w:pPr>
        <w:tabs>
          <w:tab w:val="left" w:pos="720"/>
          <w:tab w:val="left" w:pos="1077"/>
          <w:tab w:val="left" w:pos="1418"/>
        </w:tabs>
        <w:ind w:right="-5" w:firstLine="709"/>
        <w:jc w:val="both"/>
        <w:rPr>
          <w:lang w:val="fr-FR"/>
        </w:rPr>
      </w:pPr>
    </w:p>
    <w:p w14:paraId="113E2E76" w14:textId="77777777" w:rsidR="00093845" w:rsidRDefault="000D779E">
      <w:pPr>
        <w:tabs>
          <w:tab w:val="left" w:pos="720"/>
          <w:tab w:val="left" w:pos="1077"/>
          <w:tab w:val="left" w:pos="1418"/>
        </w:tabs>
        <w:ind w:right="-5" w:firstLine="709"/>
        <w:jc w:val="both"/>
        <w:rPr>
          <w:b/>
          <w:lang w:val="fr-FR"/>
        </w:rPr>
      </w:pPr>
      <w:r>
        <w:rPr>
          <w:b/>
          <w:lang w:val="fr-FR"/>
        </w:rPr>
        <w:t>4. Šio straipsnio nuostatos netaikomos kredito įstaigoms taip pat tais atvejais, kai skolininkas ir kreditorius yra susiję asmenys arba jais tapo mokestiniu laikotarpiu, einančiu po to mokestinio laikotarpio, kurį skola buvo pripažinta beviltiška ir įtraukta į leidžiamus atskaitymus šiame straipsnyje nustatyta tvarka.</w:t>
      </w:r>
    </w:p>
    <w:p w14:paraId="198917AC" w14:textId="77777777" w:rsidR="00093845" w:rsidRDefault="000D779E">
      <w:pPr>
        <w:tabs>
          <w:tab w:val="left" w:pos="720"/>
          <w:tab w:val="left" w:pos="1077"/>
          <w:tab w:val="left" w:pos="1418"/>
        </w:tabs>
        <w:ind w:right="-5" w:firstLine="709"/>
        <w:jc w:val="both"/>
        <w:rPr>
          <w:b/>
          <w:lang w:val="fr-FR"/>
        </w:rPr>
      </w:pPr>
      <w:r>
        <w:rPr>
          <w:b/>
          <w:lang w:val="fr-FR"/>
        </w:rPr>
        <w:t>Komentaras</w:t>
      </w:r>
    </w:p>
    <w:p w14:paraId="3B5DDACE" w14:textId="77777777" w:rsidR="00093845" w:rsidRDefault="000D779E">
      <w:pPr>
        <w:tabs>
          <w:tab w:val="left" w:pos="720"/>
          <w:tab w:val="left" w:pos="1077"/>
          <w:tab w:val="left" w:pos="1418"/>
        </w:tabs>
        <w:ind w:right="-5" w:firstLine="709"/>
        <w:jc w:val="both"/>
        <w:rPr>
          <w:lang w:val="fr-FR"/>
        </w:rPr>
      </w:pPr>
      <w:r>
        <w:rPr>
          <w:lang w:val="fr-FR"/>
        </w:rPr>
        <w:t>Be PMĮ 25 str. 2 dalies komentaro 2 dalyje aprašytų konkrečių atvejų, kada mokesčių mokėtojas negali skolų laikyti beviltiškomis, yra nustatyti dar du atvejai, kai mokesčių mokėtojas negali skolų laikyti beviltiškomis, nors jos ir atitinka beviltiškomis laikomų skolų kriterijus:</w:t>
      </w:r>
    </w:p>
    <w:p w14:paraId="1A9FE8F4" w14:textId="77777777" w:rsidR="00093845" w:rsidRDefault="000D779E">
      <w:pPr>
        <w:tabs>
          <w:tab w:val="left" w:pos="720"/>
          <w:tab w:val="left" w:pos="1077"/>
          <w:tab w:val="left" w:pos="1418"/>
        </w:tabs>
        <w:ind w:right="-5" w:firstLine="709"/>
        <w:jc w:val="both"/>
        <w:rPr>
          <w:lang w:val="fr-FR"/>
        </w:rPr>
      </w:pPr>
      <w:r>
        <w:rPr>
          <w:lang w:val="fr-FR"/>
        </w:rPr>
        <w:t>1)</w:t>
      </w:r>
      <w:r>
        <w:rPr>
          <w:lang w:val="fr-FR"/>
        </w:rPr>
        <w:tab/>
        <w:t>mokesčių mokėtojas yra kredito įstaiga;</w:t>
      </w:r>
    </w:p>
    <w:p w14:paraId="03B8A37F" w14:textId="77777777" w:rsidR="00093845" w:rsidRDefault="000D779E">
      <w:pPr>
        <w:tabs>
          <w:tab w:val="left" w:pos="720"/>
          <w:tab w:val="left" w:pos="1077"/>
          <w:tab w:val="left" w:pos="1418"/>
        </w:tabs>
        <w:ind w:right="-5" w:firstLine="709"/>
        <w:jc w:val="both"/>
        <w:rPr>
          <w:lang w:val="fr-FR"/>
        </w:rPr>
      </w:pPr>
      <w:r>
        <w:rPr>
          <w:lang w:val="fr-FR"/>
        </w:rPr>
        <w:t>2)</w:t>
      </w:r>
      <w:r>
        <w:rPr>
          <w:lang w:val="fr-FR"/>
        </w:rPr>
        <w:tab/>
        <w:t>mokesčių mokėtojas ir skolininkas yra susiję asmenys arba jais tapo mokestiniu laikotarpiu, einančiu po to mokestinio laikotarpio, kurį skola buvo pripažinta beviltiška ir įtraukta į leidžiamus atskaitymus PMĮ 25 straipsnyje nustatyta tvarka.</w:t>
      </w:r>
    </w:p>
    <w:p w14:paraId="5D650438" w14:textId="77777777" w:rsidR="00093845" w:rsidRDefault="000D779E">
      <w:pPr>
        <w:tabs>
          <w:tab w:val="left" w:pos="720"/>
          <w:tab w:val="left" w:pos="1077"/>
          <w:tab w:val="left" w:pos="1418"/>
        </w:tabs>
        <w:ind w:right="-5" w:firstLine="709"/>
        <w:jc w:val="both"/>
        <w:rPr>
          <w:lang w:val="fr-FR"/>
        </w:rPr>
      </w:pPr>
      <w:r>
        <w:rPr>
          <w:lang w:val="fr-FR"/>
        </w:rPr>
        <w:t>Pavyzdžiai</w:t>
      </w:r>
    </w:p>
    <w:p w14:paraId="075FC45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1. Vienetas A 2015 metais pardavė turtą gyventojui B. Gyventojas už turtą nesumokėjo daugiau kaip vienerius metus. Vienetas A dėjo pastangas skolai susigrąžinti ir įrodęs skolos beviltiškumą 2016 metais leidžiamiems atskaitymams priskyrė beviltiškų skolų sumą. 2017 metais gyventojas B ir vienetas A tapo susijusiais asmenimis, nes gyventojas B tapo vieneto A akcininku. Vienetas A šiuo atveju turi patikslinti 2016 metų pelno mokesčių deklaraciją ir atimti beviltiškų skolų sumas, priskirtas leidžiamiems atskaitymams.</w:t>
      </w:r>
    </w:p>
    <w:p w14:paraId="7FFB277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2. Vienetas B 2015 metais pardavė prekes vienetui C. Šie vienetai 2015 ir 2016 metais buvo susiję asmenys. Vienetas C už prekes nesumokėjo daugiau kaip vienerius metus. Vienetas B dėjo pastangas skolai susigrąžinti ir įrodė skolos beviltiškumą 2017 metais. 2017 metais, pasikeitus vieneto B akcininkams, vienetai B ir C nėra laikomi susijusiais asmenimis. Vienetas B negali priskirti skolų sumų leidžiamiems atskaitymams, kadangi prekių pardavimo momentu, nuo kurio atsirado vieneto C skola vienetui B, vienetai B ir C buvo susiję.</w:t>
      </w:r>
    </w:p>
    <w:p w14:paraId="6125405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lang w:val="fr-FR"/>
        </w:rPr>
      </w:pPr>
      <w:r>
        <w:rPr>
          <w:lang w:val="fr-FR"/>
        </w:rPr>
        <w:t>3. Vienetas D 2015 metais pardavė prekes vienetui E. Šie vienetai 2015 metais buvo susiję asmenys. Vienetas E už prekes nesumokėjo daugiau kaip vienerius metus. Vienetas D dėjo pastangas skolai susigrąžinti ir įrodė skolos beviltiškumą 2016 metais. 2016 metais, pasikeitus vieneto D akcininkams, vienetai D ir E nėra laikomi susijusiais asmenimis. Vienetas D negali priskirti skolų sumų leidžiamiems atskaitymams, kadangi prekių pardavimo momentu, nuo kurio atsirado vieneto E skola vienetui D, vienetai D ir E buvo susiję.</w:t>
      </w:r>
    </w:p>
    <w:p w14:paraId="6D213FA9" w14:textId="77777777" w:rsidR="00093845" w:rsidRDefault="000D779E">
      <w:pPr>
        <w:tabs>
          <w:tab w:val="left" w:pos="720"/>
          <w:tab w:val="left" w:pos="1077"/>
          <w:tab w:val="left" w:pos="1418"/>
        </w:tabs>
        <w:ind w:right="-5" w:firstLine="709"/>
        <w:jc w:val="both"/>
        <w:rPr>
          <w:lang w:val="fr-FR"/>
        </w:rPr>
      </w:pPr>
      <w:r>
        <w:rPr>
          <w:lang w:val="fr-FR"/>
        </w:rPr>
        <w:t xml:space="preserve"> (Pa</w:t>
      </w:r>
      <w:r w:rsidR="00381201">
        <w:rPr>
          <w:lang w:val="fr-FR"/>
        </w:rPr>
        <w:t>keista</w:t>
      </w:r>
      <w:r>
        <w:rPr>
          <w:lang w:val="fr-FR"/>
        </w:rPr>
        <w:t xml:space="preserve"> VMI prie FM 2015-09-07 raštu Nr. (32.42-31-1) RM-19505)</w:t>
      </w:r>
    </w:p>
    <w:p w14:paraId="2F94273D" w14:textId="77777777" w:rsidR="00093845" w:rsidRDefault="00093845">
      <w:pPr>
        <w:tabs>
          <w:tab w:val="left" w:pos="720"/>
          <w:tab w:val="left" w:pos="1077"/>
          <w:tab w:val="left" w:pos="1418"/>
        </w:tabs>
        <w:ind w:right="-5" w:firstLine="709"/>
        <w:jc w:val="both"/>
        <w:rPr>
          <w:lang w:val="fr-FR"/>
        </w:rPr>
      </w:pPr>
    </w:p>
    <w:p w14:paraId="61B217EA" w14:textId="77777777" w:rsidR="00093845" w:rsidRPr="0095292E" w:rsidRDefault="0095292E" w:rsidP="0095292E">
      <w:pPr>
        <w:pStyle w:val="Antrat1"/>
        <w:spacing w:after="0"/>
        <w:jc w:val="both"/>
        <w:rPr>
          <w:bCs w:val="0"/>
          <w:lang w:val="lt-LT" w:eastAsia="lt-LT"/>
        </w:rPr>
      </w:pPr>
      <w:bookmarkStart w:id="420" w:name="_26_STAIPSNIS._"/>
      <w:bookmarkEnd w:id="420"/>
      <w:r>
        <w:rPr>
          <w:bCs w:val="0"/>
          <w:lang w:val="lt-LT"/>
        </w:rPr>
        <w:t>26 STAIPSNIS.</w:t>
      </w:r>
      <w:r w:rsidR="000D779E">
        <w:rPr>
          <w:b w:val="0"/>
          <w:bCs w:val="0"/>
          <w:color w:val="000000"/>
          <w:lang w:val="lt-LT" w:eastAsia="lt-LT"/>
        </w:rPr>
        <w:t xml:space="preserve">  </w:t>
      </w:r>
      <w:r w:rsidR="000D779E" w:rsidRPr="0095292E">
        <w:rPr>
          <w:bCs w:val="0"/>
          <w:lang w:val="lt-LT" w:eastAsia="lt-LT"/>
        </w:rPr>
        <w:t>Išlaidos darbuotojų ir (arba) jų šeimos narių naudai</w:t>
      </w:r>
      <w:r w:rsidR="000D779E" w:rsidRPr="0095292E">
        <w:rPr>
          <w:lang w:val="lt-LT" w:eastAsia="lt-LT"/>
        </w:rPr>
        <w:t xml:space="preserve">, </w:t>
      </w:r>
      <w:r w:rsidR="000D779E" w:rsidRPr="0095292E">
        <w:rPr>
          <w:bCs w:val="0"/>
          <w:lang w:val="lt-LT" w:eastAsia="lt-LT"/>
        </w:rPr>
        <w:t>kuri nėra gyventojų pajamų mokesčio objektas</w:t>
      </w:r>
    </w:p>
    <w:p w14:paraId="084C5429" w14:textId="77777777" w:rsidR="00093845" w:rsidRPr="00441B00" w:rsidRDefault="000D779E" w:rsidP="0095292E">
      <w:pPr>
        <w:spacing w:after="0"/>
        <w:jc w:val="both"/>
        <w:rPr>
          <w:i/>
          <w:iCs/>
          <w:lang w:val="lt-LT"/>
        </w:rPr>
      </w:pPr>
      <w:r w:rsidRPr="00441B00">
        <w:rPr>
          <w:i/>
          <w:iCs/>
          <w:lang w:val="lt-LT"/>
        </w:rPr>
        <w:t>(</w:t>
      </w:r>
      <w:r w:rsidRPr="00441B00">
        <w:rPr>
          <w:i/>
          <w:iCs/>
        </w:rPr>
        <w:t>KEISTA:</w:t>
      </w:r>
      <w:r w:rsidRPr="00441B00">
        <w:rPr>
          <w:i/>
          <w:iCs/>
          <w:lang w:val="lt-LT"/>
        </w:rPr>
        <w:t xml:space="preserve"> </w:t>
      </w:r>
      <w:r w:rsidRPr="00441B00">
        <w:rPr>
          <w:i/>
          <w:iCs/>
        </w:rPr>
        <w:t>2009 12 09 įstatymu Nr. XI-539 (nuo 2009 12 28)</w:t>
      </w:r>
      <w:r w:rsidRPr="00441B00">
        <w:rPr>
          <w:i/>
          <w:iCs/>
          <w:lang w:val="lt-LT"/>
        </w:rPr>
        <w:t>)</w:t>
      </w:r>
    </w:p>
    <w:p w14:paraId="73456ECD" w14:textId="77777777" w:rsidR="00093845" w:rsidRPr="008740BA" w:rsidRDefault="00093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93" w:hanging="2493"/>
        <w:rPr>
          <w:lang w:val="lt-LT" w:eastAsia="lt-LT"/>
        </w:rPr>
      </w:pPr>
    </w:p>
    <w:p w14:paraId="49B89A5E" w14:textId="77777777" w:rsidR="00093845" w:rsidRDefault="000D779E" w:rsidP="008B2C8D">
      <w:pPr>
        <w:spacing w:after="0"/>
        <w:jc w:val="both"/>
        <w:rPr>
          <w:b/>
        </w:rPr>
      </w:pPr>
      <w:r>
        <w:rPr>
          <w:b/>
        </w:rPr>
        <w:t xml:space="preserve">       1. Mokestiniu laikotarpiu iš pajamų gali būti atskaitomos vieneto tiesiogiai sumokėtos sumos Europos ekonominės erdvės valstybių ir užsienio valstybių, kurios nepriklauso Europos ekonominei erdvei, tačiau su kuriomis Lietuvos Respublika yra sudariusi dvigubo apmokestinimo išvengimo sutartis, mokykloms</w:t>
      </w:r>
      <w:r>
        <w:t> </w:t>
      </w:r>
      <w:r>
        <w:rPr>
          <w:b/>
        </w:rPr>
        <w:t>už fizinių asmenų, susijusių su šiuo vienetu darbo santykiais, mokymą, kurį baigę jie įgyja aukštąjį išsilavinimą ir (arba) kvalifikaciją, jeigu šis išsilavinimas ir (arba) kvalifikacija būtini vieneto pajamoms uždirbti.</w:t>
      </w:r>
    </w:p>
    <w:p w14:paraId="4A06F791" w14:textId="77777777" w:rsidR="00093845" w:rsidRDefault="000D779E" w:rsidP="008B2C8D">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441B00">
        <w:rPr>
          <w:i/>
          <w:lang w:val="lt-LT"/>
        </w:rPr>
        <w:t>(</w:t>
      </w:r>
      <w:r w:rsidRPr="00441B00">
        <w:rPr>
          <w:i/>
        </w:rPr>
        <w:t>KEISTA:</w:t>
      </w:r>
      <w:r w:rsidRPr="00441B00">
        <w:rPr>
          <w:i/>
          <w:lang w:val="lt-LT"/>
        </w:rPr>
        <w:t xml:space="preserve"> </w:t>
      </w:r>
      <w:r w:rsidRPr="00441B00">
        <w:rPr>
          <w:i/>
        </w:rPr>
        <w:t>2015 03 26 įstatymu Nr. XII-1583 (nuo 2015 04 14)</w:t>
      </w:r>
      <w:r w:rsidRPr="00441B00">
        <w:rPr>
          <w:i/>
          <w:lang w:val="lt-LT"/>
        </w:rPr>
        <w:t>)</w:t>
      </w:r>
    </w:p>
    <w:p w14:paraId="08545357" w14:textId="77777777" w:rsidR="00FE3551" w:rsidRPr="00441B00" w:rsidRDefault="00FE3551" w:rsidP="008B2C8D">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260DE608" w14:textId="77777777" w:rsidR="00093845" w:rsidRDefault="000D779E">
      <w:pPr>
        <w:pStyle w:val="Pagrindiniotekstotrauka"/>
        <w:tabs>
          <w:tab w:val="left" w:pos="720"/>
          <w:tab w:val="left" w:pos="1077"/>
          <w:tab w:val="left" w:pos="1418"/>
        </w:tabs>
        <w:ind w:right="-5"/>
        <w:outlineLvl w:val="0"/>
        <w:rPr>
          <w:b/>
          <w:lang w:val="lt-LT"/>
        </w:rPr>
      </w:pPr>
      <w:r>
        <w:rPr>
          <w:b/>
          <w:lang w:val="lt-LT"/>
        </w:rPr>
        <w:t>Komentaras</w:t>
      </w:r>
    </w:p>
    <w:p w14:paraId="7E3E87EF" w14:textId="77777777" w:rsidR="00093845" w:rsidRDefault="000D779E">
      <w:pPr>
        <w:pStyle w:val="Porat"/>
        <w:spacing w:line="240" w:lineRule="auto"/>
        <w:rPr>
          <w:lang w:val="lt-LT"/>
        </w:rPr>
      </w:pPr>
      <w:r>
        <w:rPr>
          <w:lang w:val="lt-LT"/>
        </w:rPr>
        <w:t xml:space="preserve">1. Nuo 2008 metais prasidėjusio mokestinio laikotarpio pradžios tą mokestinį laikotarpį, kurį yra patiriamos, iš pajamų gali būti atskaitomos </w:t>
      </w:r>
      <w:r>
        <w:rPr>
          <w:u w:val="single"/>
          <w:lang w:val="lt-LT"/>
        </w:rPr>
        <w:t>vieneto už fizinius asmenis, susijusius su juo darbo santykiais,</w:t>
      </w:r>
      <w:r>
        <w:rPr>
          <w:lang w:val="lt-LT"/>
        </w:rPr>
        <w:t xml:space="preserve"> apmokėtos tų asmenų mokymo išlaidos, jeigu vykdomos visos nurodytos sąlygos:</w:t>
      </w:r>
    </w:p>
    <w:p w14:paraId="3FF1E385" w14:textId="77777777" w:rsidR="00093845" w:rsidRDefault="000D779E">
      <w:pPr>
        <w:pStyle w:val="Porat"/>
        <w:spacing w:line="240" w:lineRule="auto"/>
        <w:rPr>
          <w:lang w:val="lt-LT"/>
        </w:rPr>
      </w:pPr>
      <w:r>
        <w:rPr>
          <w:lang w:val="lt-LT"/>
        </w:rPr>
        <w:t xml:space="preserve">1) fiziniai asmenys, už kurių mokymą vienetas moka, yra susiję su šiuo vienetu darbo santykiais, ir </w:t>
      </w:r>
    </w:p>
    <w:p w14:paraId="3DB23D5C" w14:textId="77777777" w:rsidR="00093845" w:rsidRDefault="000D779E">
      <w:pPr>
        <w:pStyle w:val="Porat"/>
        <w:spacing w:line="240" w:lineRule="auto"/>
        <w:rPr>
          <w:lang w:val="lt-LT"/>
        </w:rPr>
      </w:pPr>
      <w:r>
        <w:rPr>
          <w:lang w:val="lt-LT"/>
        </w:rPr>
        <w:t>2) sumos už fizinių asmenų mokymą mokamos tiesiogiai Europos ekonominės erdvės valstybių ir užsienio valstybių, kurios nepriklauso Europos ekonominei erdvei, tačiau su kuriomis Lietuvos Respublika yra sudariusi dvigubo apmokestinimo išvengimo sutartis, mokykloms, ir</w:t>
      </w:r>
    </w:p>
    <w:p w14:paraId="79E8B64E" w14:textId="77777777" w:rsidR="00093845" w:rsidRDefault="000D779E">
      <w:pPr>
        <w:pStyle w:val="Porat"/>
        <w:spacing w:line="240" w:lineRule="auto"/>
        <w:rPr>
          <w:lang w:val="lt-LT"/>
        </w:rPr>
      </w:pPr>
      <w:r>
        <w:rPr>
          <w:lang w:val="lt-LT"/>
        </w:rPr>
        <w:t>3) fiziniai asmenys, nurodyti šios dalies komentaro 1 punkto 1 papunktyje, pabaigę mokymo programas nurodytose šios dalies komentaro 1 punkto 2 papunktyje mokyklose, įgyja aukštąjį išsilavinimą ir (arba) kvalifikaciją, ir</w:t>
      </w:r>
    </w:p>
    <w:p w14:paraId="6FA6BDE7" w14:textId="77777777" w:rsidR="00093845" w:rsidRDefault="000D779E">
      <w:pPr>
        <w:pStyle w:val="Porat"/>
        <w:spacing w:line="240" w:lineRule="auto"/>
        <w:rPr>
          <w:lang w:val="lt-LT"/>
        </w:rPr>
      </w:pPr>
      <w:r>
        <w:rPr>
          <w:lang w:val="lt-LT"/>
        </w:rPr>
        <w:t xml:space="preserve">4) jeigu šis išsilavinimas ir (arba) kvalifikacija yra būtini vieneto pajamoms uždirbti. </w:t>
      </w:r>
    </w:p>
    <w:p w14:paraId="6AD03296" w14:textId="77777777" w:rsidR="00093845" w:rsidRDefault="000D779E">
      <w:pPr>
        <w:pStyle w:val="Porat"/>
        <w:spacing w:line="240" w:lineRule="auto"/>
        <w:rPr>
          <w:lang w:val="lt-LT"/>
        </w:rPr>
      </w:pPr>
      <w:r>
        <w:rPr>
          <w:lang w:val="lt-LT"/>
        </w:rPr>
        <w:t xml:space="preserve">2. Vieneto ribojamų dydžių leidžiamiems atskaitymams gali būti priskiriamos už darbuotojų mokymąsi mokykloms sumokėtos sumos, jei patirtos išlaidos mokestiniu laikotarpiu atitinka PMĮ 26 straipsnyje nustatytus reikalavimus. </w:t>
      </w:r>
    </w:p>
    <w:p w14:paraId="5031A571" w14:textId="77777777" w:rsidR="00093845" w:rsidRDefault="000D779E">
      <w:pPr>
        <w:pStyle w:val="Porat"/>
        <w:spacing w:line="240" w:lineRule="auto"/>
        <w:rPr>
          <w:lang w:val="lt-LT"/>
        </w:rPr>
      </w:pPr>
      <w:r>
        <w:rPr>
          <w:lang w:val="lt-LT"/>
        </w:rPr>
        <w:t>Jeigu darbuotojas, už kurio mokymą vienetas mokėjo, nepradeda eiti pareigų, kurioms buvo būtinas šis išsilavinimas ir (arba) kvalifikacija, arba studijas nutraukia ir išsilavinimo neįgyja, vieneto mokyklai sumokėtos sumos, kurios PMĮ nustatyta tvarka buvo priskirtos ribojamų dydžių leidžiamiems atskaitymams, turi būti atstatytos, t.y. visa suma turi būti sumažinti to mokestinio laikotarpio, kai paaiškėja minėtos aplinkybės, ribojamų dydžių leidžiami atskaitymai.</w:t>
      </w:r>
    </w:p>
    <w:p w14:paraId="1BA4D11F" w14:textId="77777777" w:rsidR="00093845" w:rsidRPr="0065344A" w:rsidRDefault="000D779E">
      <w:pPr>
        <w:tabs>
          <w:tab w:val="left" w:pos="360"/>
        </w:tabs>
        <w:ind w:firstLine="720"/>
        <w:jc w:val="both"/>
        <w:rPr>
          <w:lang w:val="lt-LT"/>
        </w:rPr>
      </w:pPr>
      <w:r w:rsidRPr="0065344A">
        <w:rPr>
          <w:lang w:val="lt-LT"/>
        </w:rPr>
        <w:t xml:space="preserve">3. Už darbuotojų mokymą sumokėtos sumos gali būti priskiriamos vieneto ribojamų dydžių leidžiamiems atskaitymams neatsižvelgiant į darbuotojo darbo užmokesčio dydį, sumokėtos sumos dydį ir į tai, ar apmokama už visą mokymosi laikotarpį, ar tik už jo dalį. </w:t>
      </w:r>
    </w:p>
    <w:p w14:paraId="1CF74969" w14:textId="77777777" w:rsidR="00093845" w:rsidRPr="0065344A" w:rsidRDefault="000D779E">
      <w:pPr>
        <w:tabs>
          <w:tab w:val="left" w:pos="360"/>
        </w:tabs>
        <w:ind w:firstLine="720"/>
        <w:jc w:val="both"/>
        <w:rPr>
          <w:color w:val="000000"/>
          <w:szCs w:val="19"/>
          <w:lang w:val="lt-LT"/>
        </w:rPr>
      </w:pPr>
      <w:r w:rsidRPr="0065344A">
        <w:rPr>
          <w:lang w:val="lt-LT"/>
        </w:rPr>
        <w:t>Už išlyginamąsias studijas aukštosioms mokykloms sumokėtos sumos gali būti priskiriamos vieneto ribojamų dydžių leidžiamiems atskaitymams, jeigu aukštosios mokyklos studijų nuostatuose šios studijos yra prilygintos studijoms, kurias baigus įgyjamas aukštasis išsilavinimas ir (ar) suteikiama kvalifikacija.</w:t>
      </w:r>
    </w:p>
    <w:p w14:paraId="55C80EF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 Aukštasis išsilavinimas ir įgyta kvalifikacija suprantama taip, kaip paaiškinta PMĮ 13 str. 3 dalies komentare.</w:t>
      </w:r>
    </w:p>
    <w:p w14:paraId="76F41BE8" w14:textId="77777777" w:rsidR="00093845" w:rsidRDefault="000D779E">
      <w:pPr>
        <w:pStyle w:val="Porat"/>
        <w:spacing w:line="240" w:lineRule="auto"/>
        <w:outlineLvl w:val="0"/>
        <w:rPr>
          <w:lang w:val="lt-LT"/>
        </w:rPr>
      </w:pPr>
      <w:r>
        <w:rPr>
          <w:lang w:val="lt-LT"/>
        </w:rPr>
        <w:t>Pavyzdžiai</w:t>
      </w:r>
    </w:p>
    <w:p w14:paraId="0DDF9A3B"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lastRenderedPageBreak/>
        <w:t>1. Įmonėje ,,A“, teikiančiai biologinių tyrimų paslaugas, trūksta vadybininkų. Įmonės vadovas pasiūlė vienam iš biologų Vardeniui Pavardeniui, turinčiam aukštąjį biologinį išsilavinimą, persikvalifikuoti ir, tęsiant biologo darbą, neakivaizdiniu būdu įgyti vadybininko specialybę aukštojoje mokykloje. Baigęs studijas, Vardenis Pavardenis dirbs įmonėje „A“ vadybininku.</w:t>
      </w:r>
    </w:p>
    <w:p w14:paraId="562C8227"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Įmonė ,,A“ nusprendė apmokėti už darbuotojo Vardenio Pavardenio bakalauro studijas (2011-2015 m.). Darbuojas pradėjo studijuoti Vilniaus universitete 2011 metais:</w:t>
      </w:r>
    </w:p>
    <w:p w14:paraId="0489FF44"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2011 metų įmonė ,,A“ tiesiogiai Vilniaus universitetui sumokėjo 2500 Lt (724 Eur); </w:t>
      </w:r>
    </w:p>
    <w:p w14:paraId="3D12992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2012 metais už savo studijas Vardenis Pavardenis susimokėjo pats, o patirtas 5000 Lt (1448 Eur)  išlaidas vienetas jam kompensavo;</w:t>
      </w:r>
    </w:p>
    <w:p w14:paraId="0D8AA259"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2013 metais už darbuotojo Vardenio Pavardenio studijas įmonė ,,A“ tiesiogiai Vilniaus universitetui sumokėjo 5 000 Lt (1448 Eur); </w:t>
      </w:r>
    </w:p>
    <w:p w14:paraId="1A82EBC1"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2014 metais už darbuotojo Vardenio Pavardenio studijas įmonė ,,A“ tiesiogiai Vilniaus universitetui sumokėjo 5000 Lt (1448 Eur).</w:t>
      </w:r>
    </w:p>
    <w:p w14:paraId="2B9B002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2015 m. sausio mėnesį Vardenis Pavardenis nutraukia su įmone ,,A“ darbo sutartį. Vardenis Pavardenis įmonėje „A“ vadybininku dirbti nepradėjo.</w:t>
      </w:r>
    </w:p>
    <w:p w14:paraId="746215CF"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outlineLvl w:val="0"/>
        <w:rPr>
          <w:lang w:val="lt-LT"/>
        </w:rPr>
      </w:pPr>
      <w:r>
        <w:rPr>
          <w:lang w:val="lt-LT"/>
        </w:rPr>
        <w:t>Įmonė ,,A“:</w:t>
      </w:r>
    </w:p>
    <w:p w14:paraId="71EB9C22"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- 2011 metais sumokėta 2500 Lt (724 Eur) suma atskaitoma iš pajamų tuo pačiu mokestiniu laikotarpiu;</w:t>
      </w:r>
    </w:p>
    <w:p w14:paraId="76D1C0F4"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kadangi 2012 metais vienetas sumokėjo mokymo įstaigai netiesiogiai, todėl darbuotojui kompensuota 5000 Lt (1448 Eur) suma iš pajamų pagal PMĮ 26 straipsnio 1 dalies nuostatas neatskaitoma;</w:t>
      </w:r>
    </w:p>
    <w:p w14:paraId="67E4538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- 2013 metais sumokėta 5000 Lt (1448 Eur) suma atskaitoma iš pajamų tuo pačiu mokestiniu laikotarpiu; </w:t>
      </w:r>
    </w:p>
    <w:p w14:paraId="3D65BB8F"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- 2014 metais sumokėta 5000 Lt (1448 Eur) suma atskaitoma iš pajamų tuo pačiu mokestiniu laikotarpiu. </w:t>
      </w:r>
    </w:p>
    <w:p w14:paraId="02D94268"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Vieneto už darbuotojo mokymąsi mokymo įstaigai 2011 – 2014 m. sumokėtos sumos tais mokestiniais laikotarpiais atitiko PMĮ nustatytus reikalavimus, todėl buvo pagrįstai priskirtos vieneto ribojamų dydžių leidžiamiems atskaitymams. Tačiau atsižvelgiant į tai, kad darbuotojas įmonėje vadybininku dirbti nepradėjo, mokymo įstaigai sumokėtų įmokų sumomis, kurios ankstesniais laikotarpiais PMĮ nustatyta tvarka buvo priskirtos ribojamų dydžių leidžiamiems atskaitymams 3620 Eur (12500 Lt), turi būti sumažinti 201</w:t>
      </w:r>
      <w:r>
        <w:rPr>
          <w:strike/>
          <w:lang w:val="lt-LT"/>
        </w:rPr>
        <w:t>0</w:t>
      </w:r>
      <w:r>
        <w:rPr>
          <w:lang w:val="lt-LT"/>
        </w:rPr>
        <w:t>5 metų ribojamų dydžių leidžiami atskaitymai.</w:t>
      </w:r>
    </w:p>
    <w:p w14:paraId="63D54102"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2. Įmonė ,,A“ apmoka darbuotojo, dirbančio įmonėje teisininku, 2 metų trukmės neformaliąsias psichologijos studijas, kurias baigus neįgyjamas kvalifikacinis laipsnis.  </w:t>
      </w:r>
    </w:p>
    <w:p w14:paraId="072BD089"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 xml:space="preserve">Kadangi baigus minėtas studijas darbuotojas neįgyja kvalifikacijos, tokios už darbuotoją sumokėtos jo studijų išlaidos iš pajamų pagal PMĮ 26 straipsnio 1 dalies nuostatas neatskaitomos. </w:t>
      </w:r>
    </w:p>
    <w:p w14:paraId="36EBC3FA" w14:textId="77777777" w:rsidR="00093845" w:rsidRDefault="000D779E">
      <w:pPr>
        <w:pStyle w:val="Porat"/>
        <w:pBdr>
          <w:top w:val="single" w:sz="4" w:space="1" w:color="auto"/>
          <w:left w:val="single" w:sz="4" w:space="4" w:color="auto"/>
          <w:bottom w:val="single" w:sz="4" w:space="1" w:color="auto"/>
          <w:right w:val="single" w:sz="4" w:space="4" w:color="auto"/>
        </w:pBdr>
        <w:spacing w:line="240" w:lineRule="auto"/>
        <w:rPr>
          <w:lang w:val="lt-LT"/>
        </w:rPr>
      </w:pPr>
      <w:r>
        <w:rPr>
          <w:lang w:val="lt-LT"/>
        </w:rPr>
        <w:t>(pavyzdyje litai į eurus perskaičiuojami taikant nustatytą kursą – 1 euras lygu 3,45280 lito)</w:t>
      </w:r>
    </w:p>
    <w:p w14:paraId="0DCA2E1B" w14:textId="77777777" w:rsidR="00093845" w:rsidRDefault="000D779E">
      <w:pPr>
        <w:pStyle w:val="Pagrindiniotekstotrauka"/>
        <w:tabs>
          <w:tab w:val="left" w:pos="720"/>
          <w:tab w:val="left" w:pos="1077"/>
          <w:tab w:val="left" w:pos="1418"/>
        </w:tabs>
        <w:ind w:right="-5"/>
        <w:rPr>
          <w:lang w:val="lt-LT"/>
        </w:rPr>
      </w:pPr>
      <w:r>
        <w:rPr>
          <w:lang w:val="lt-LT"/>
        </w:rPr>
        <w:t xml:space="preserve"> (Pagal VMI prie FM 2015-08-18 raštą Nr. (32.42-31-1)-RM-18100)</w:t>
      </w:r>
    </w:p>
    <w:p w14:paraId="205784F2" w14:textId="77777777" w:rsidR="00093845" w:rsidRDefault="000D779E" w:rsidP="008B2C8D">
      <w:pPr>
        <w:pStyle w:val="HTMLiankstoformatuotas"/>
        <w:spacing w:after="0"/>
        <w:ind w:firstLine="720"/>
        <w:jc w:val="both"/>
        <w:rPr>
          <w:lang w:val="lt-LT"/>
        </w:rPr>
      </w:pPr>
      <w:r>
        <w:rPr>
          <w:rFonts w:ascii="Times New Roman" w:hAnsi="Times New Roman" w:cs="Times New Roman"/>
          <w:b/>
          <w:sz w:val="24"/>
          <w:szCs w:val="24"/>
          <w:lang w:val="lt-LT"/>
        </w:rPr>
        <w:t xml:space="preserve">2. Jeigu teikiant naudą vieneto darbuotojams ir (arba) jų šeimos nariams (sutuoktiniams, vaikams (įvaikiams) neįmanoma nustatyti konkretaus darbuotojo ir (arba) jo šeimos nario (sutuoktinio, vaiko (įvaikio)) gautos individualios naudos, dėl tokios naudos teikimo patirtos išlaidos, kurios pagal kitas šio Įstatymo nuostatas nėra priskiriamos leidžiamiems atskaitymams arba ribojamų dydžių leidžiamiems atskaitymams, mokestiniu laikotarpiu iš pajamų gali būti atskaitomos tik tuo atveju, kai tokios naudos teikimas numatytas vieneto kolektyvinėje sutartyje </w:t>
      </w:r>
      <w:r>
        <w:rPr>
          <w:rFonts w:ascii="Times New Roman" w:hAnsi="Times New Roman" w:cs="Times New Roman"/>
          <w:b/>
          <w:sz w:val="24"/>
          <w:szCs w:val="24"/>
          <w:lang w:val="lt-LT"/>
        </w:rPr>
        <w:lastRenderedPageBreak/>
        <w:t>ir šia nauda be diskriminacijos ir apribojimų turi teisę naudotis visi to vieneto darbuotojai. Iš pajamų atskaitoma šioje dalyje nurodytų išlaidų suma negali viršyti 5 procentų per mokestinį laikotarpį darbuotojams apskaičiuoto darbo užmokesčio (nuo kurio skaičiuojamos valstybinio socialinio draudimo įmokos) sumos.</w:t>
      </w:r>
      <w:r>
        <w:rPr>
          <w:lang w:val="lt-LT"/>
        </w:rPr>
        <w:t xml:space="preserve"> </w:t>
      </w:r>
    </w:p>
    <w:p w14:paraId="58940829" w14:textId="77777777" w:rsidR="00093845" w:rsidRPr="00441B00" w:rsidRDefault="000D779E" w:rsidP="008B2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lang w:val="lt-LT"/>
        </w:rPr>
      </w:pPr>
      <w:r w:rsidRPr="00441B00">
        <w:rPr>
          <w:bCs/>
          <w:i/>
          <w:lang w:val="lt-LT"/>
        </w:rPr>
        <w:t>(</w:t>
      </w:r>
      <w:r w:rsidRPr="00441B00">
        <w:rPr>
          <w:i/>
          <w:lang w:val="lt-LT"/>
        </w:rPr>
        <w:t>KEISTA: 2009 12 09 įstatymu Nr. XI-539 (nuo 2009 12 28)</w:t>
      </w:r>
      <w:r w:rsidR="008D0FC6" w:rsidRPr="00441B00">
        <w:rPr>
          <w:i/>
          <w:lang w:val="lt-LT"/>
        </w:rPr>
        <w:t>,</w:t>
      </w:r>
      <w:r w:rsidR="008D29CE" w:rsidRPr="00441B00">
        <w:rPr>
          <w:i/>
          <w:lang w:val="lt-LT"/>
        </w:rPr>
        <w:t xml:space="preserve"> nuostatos taikomos apskaičiuojant 2010 metais prasidėjusio mokestinio laikotarpio ir vėlesnių mokestinių laikotarpių apmokestinamąjį pelną</w:t>
      </w:r>
      <w:r w:rsidRPr="00441B00">
        <w:rPr>
          <w:i/>
          <w:lang w:val="lt-LT"/>
        </w:rPr>
        <w:t>)</w:t>
      </w:r>
    </w:p>
    <w:p w14:paraId="4209FB57" w14:textId="77777777" w:rsidR="00093845" w:rsidRPr="0065344A" w:rsidRDefault="000D779E">
      <w:pPr>
        <w:spacing w:before="100" w:beforeAutospacing="1" w:after="100" w:afterAutospacing="1"/>
        <w:ind w:firstLine="709"/>
        <w:jc w:val="both"/>
        <w:outlineLvl w:val="0"/>
        <w:rPr>
          <w:b/>
          <w:lang w:val="lt-LT"/>
        </w:rPr>
      </w:pPr>
      <w:r w:rsidRPr="0065344A">
        <w:rPr>
          <w:b/>
          <w:lang w:val="lt-LT"/>
        </w:rPr>
        <w:t>Komentaras</w:t>
      </w:r>
    </w:p>
    <w:p w14:paraId="13FC0868"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Vadovaujantis šios dalies nuostatomis iš pajamų gali būti atskaitomos ir tam tikros riboto dydžio išlaidos darbuotojų ir (arba) jų šeimos narių naudai, kai ši nauda nėra gyventojų pajamų mokesčio objektas. </w:t>
      </w:r>
    </w:p>
    <w:p w14:paraId="46DB426A"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Jeigu teikiant naudą vieneto darbuotojams įmanoma nustatyti konkretaus darbuotojo gautą individualią naudą, kuri pagal Lietuvos Respublikos gyventojų pajamų mokesčio įstatymo nuostatas yra gyventojų pajamų mokesčio objektas, dėl tokios naudos teikimo patirtos išlaidos leidžiamiems atskaitymams priskiriamos PMĮ 17 str. 1 dalyje nustatyta tvarka (žr. PMĮ 17 str. 1 dalies komentarą).</w:t>
      </w:r>
    </w:p>
    <w:p w14:paraId="648FC508" w14:textId="77777777" w:rsidR="00093845" w:rsidRPr="0065344A" w:rsidRDefault="000D779E">
      <w:pPr>
        <w:pStyle w:val="Pagrindiniotekstotrauka"/>
        <w:tabs>
          <w:tab w:val="left" w:pos="720"/>
          <w:tab w:val="left" w:pos="1077"/>
          <w:tab w:val="left" w:pos="1418"/>
        </w:tabs>
        <w:ind w:right="-5"/>
        <w:rPr>
          <w:lang w:val="lt-LT"/>
        </w:rPr>
      </w:pPr>
      <w:r w:rsidRPr="0065344A">
        <w:rPr>
          <w:lang w:val="lt-LT"/>
        </w:rPr>
        <w:t>2. Taikant šios dalies nuostatas ribojamų dydžių leidžiamais atskaitymais laikomos vieneto išlaidos, faktiškai patirtos teikiant naudą vieneto darbuotojams ir (arba) jų šeimos nariams, kurios pagal kitas PMĮ nuostatas nėra priskiriamos leidžiamiems atskaitymams arba ribojamų dydžių leidžiamiems atskaitymams, jeigu vykdomos visos nurodytos sąlygos:</w:t>
      </w:r>
    </w:p>
    <w:p w14:paraId="7A86ACA7" w14:textId="77777777" w:rsidR="00093845" w:rsidRDefault="000D779E">
      <w:pPr>
        <w:pStyle w:val="Porat"/>
        <w:spacing w:line="240" w:lineRule="auto"/>
        <w:rPr>
          <w:lang w:val="lt-LT"/>
        </w:rPr>
      </w:pPr>
      <w:r>
        <w:rPr>
          <w:lang w:val="lt-LT"/>
        </w:rPr>
        <w:t>1) nauda teikiama vieneto darbuotojams ir (arba) jų šeimos nariams (sutuoktiniams, vaikams (įvaikiams)), ir</w:t>
      </w:r>
    </w:p>
    <w:p w14:paraId="1B9A8053" w14:textId="77777777" w:rsidR="00093845" w:rsidRDefault="000D779E">
      <w:pPr>
        <w:pStyle w:val="Porat"/>
        <w:spacing w:line="240" w:lineRule="auto"/>
        <w:rPr>
          <w:lang w:val="lt-LT"/>
        </w:rPr>
      </w:pPr>
      <w:r>
        <w:rPr>
          <w:lang w:val="lt-LT"/>
        </w:rPr>
        <w:t xml:space="preserve">2) teikiant naudą neįmanoma nustatyti konkretaus darbuotojo ir (arba) jo šeimos nario (sutuoktinio, vaiko (įvaikio)) gautos individualios naudos, ir </w:t>
      </w:r>
    </w:p>
    <w:p w14:paraId="1139BB29" w14:textId="77777777" w:rsidR="00093845" w:rsidRDefault="000D779E">
      <w:pPr>
        <w:pStyle w:val="Porat"/>
        <w:spacing w:line="240" w:lineRule="auto"/>
        <w:rPr>
          <w:lang w:val="lt-LT"/>
        </w:rPr>
      </w:pPr>
      <w:r>
        <w:rPr>
          <w:lang w:val="lt-LT"/>
        </w:rPr>
        <w:t xml:space="preserve">3) tokios naudos teikimas numatytas vieneto kolektyvinėje sutartyje, ir </w:t>
      </w:r>
    </w:p>
    <w:p w14:paraId="6ECDC08D" w14:textId="77777777" w:rsidR="00093845" w:rsidRDefault="000D779E">
      <w:pPr>
        <w:pStyle w:val="Porat"/>
        <w:spacing w:line="240" w:lineRule="auto"/>
        <w:rPr>
          <w:lang w:val="lt-LT"/>
        </w:rPr>
      </w:pPr>
      <w:r>
        <w:rPr>
          <w:lang w:val="lt-LT"/>
        </w:rPr>
        <w:t>4) šia nauda be diskriminacijos ir apribojimų turi teisę naudotis visi to vieneto darbuotojai.</w:t>
      </w:r>
    </w:p>
    <w:p w14:paraId="6660C4F3" w14:textId="77777777" w:rsidR="00093845" w:rsidRPr="0065344A" w:rsidRDefault="000D779E">
      <w:pPr>
        <w:pStyle w:val="Pagrindiniotekstotrauka"/>
        <w:tabs>
          <w:tab w:val="left" w:pos="720"/>
          <w:tab w:val="left" w:pos="1077"/>
          <w:tab w:val="left" w:pos="1418"/>
        </w:tabs>
        <w:ind w:right="-5" w:firstLine="709"/>
        <w:rPr>
          <w:lang w:val="lt-LT"/>
        </w:rPr>
      </w:pPr>
      <w:r w:rsidRPr="0065344A">
        <w:rPr>
          <w:lang w:val="lt-LT"/>
        </w:rPr>
        <w:t xml:space="preserve">3. Vienetas mokestinio laikotarpio ribojamų dydžių leidžiamiems atskaitymams gali priskirti tik išvardintas sąlygas atitinkančias faktiškai patirtas išlaidas darbuotojų ir (arba) jų šeimos narių naudai, kurių bendra suma neviršija 5 proc. per tą mokestinį laikotarpį darbuotojams apskaičiuoto darbo užmokesčio (nuo kurio skaičiuojamos valstybinio socialinio draudimo įmokos) sumos. </w:t>
      </w:r>
    </w:p>
    <w:p w14:paraId="2970957D" w14:textId="77777777" w:rsidR="00093845" w:rsidRDefault="000D779E">
      <w:pPr>
        <w:pStyle w:val="Porat"/>
        <w:spacing w:line="240" w:lineRule="auto"/>
        <w:rPr>
          <w:lang w:val="lt-LT"/>
        </w:rPr>
      </w:pPr>
      <w:r>
        <w:rPr>
          <w:lang w:val="lt-LT"/>
        </w:rPr>
        <w:t xml:space="preserve">Jeigu vieneto per mokestinį laikotarpį darbuotojų ir (arba) jų šeimos narių naudai patirtos šioje dalyje nurodytos išlaidos yra didesnės kaip 5 proc. per tą mokestinį laikotarpį darbuotojams apskaičiuota darbo užmokesčio (nuo kurio skaičiuojamos valstybinio socialinio draudimo įmokos) suma, tai išlaidų dalis, didesnė kaip šioje dalyje nustatytas dydis, priskiriama neleidžiamiems atskaitymams. </w:t>
      </w:r>
    </w:p>
    <w:p w14:paraId="5F23B5DF" w14:textId="77777777" w:rsidR="00093845" w:rsidRDefault="000D779E">
      <w:pPr>
        <w:tabs>
          <w:tab w:val="left" w:pos="720"/>
          <w:tab w:val="left" w:pos="1077"/>
          <w:tab w:val="left" w:pos="1418"/>
        </w:tabs>
        <w:ind w:right="-5" w:firstLine="720"/>
        <w:jc w:val="both"/>
      </w:pPr>
      <w:r>
        <w:t>4. Kolektyvinės sutarties samprata ir turinys yra apibrėžti DK IX skyriuje. Vienete sudarytos darbo sutartys, vidaus darbo tvarkos taisyklės ar kiti dokumentai nėra prilyginami vieneto sudarytai kolektyvinei sutarčiai.</w:t>
      </w:r>
    </w:p>
    <w:p w14:paraId="78052791" w14:textId="77777777" w:rsidR="00093845" w:rsidRDefault="000D779E">
      <w:pPr>
        <w:tabs>
          <w:tab w:val="left" w:pos="720"/>
          <w:tab w:val="left" w:pos="1077"/>
          <w:tab w:val="left" w:pos="1418"/>
        </w:tabs>
        <w:ind w:right="-5" w:firstLine="720"/>
        <w:jc w:val="both"/>
      </w:pPr>
      <w:r>
        <w:t>Vieneto išlaidos, faktiškai patirtos teikiant individualiai neidentifikuojamą naudą vieneto darbuotojams ir (arba) jų šeimos nariams (sutuoktiniams, vaikams (įvaikiams)), kuri nenumatyta kolektyvinėje sutartyje, arba kolektyvinės sutarties vienete nėra, yra priskiriamos neleidžiamiems atskaitymams.</w:t>
      </w:r>
    </w:p>
    <w:p w14:paraId="78CBD3AB" w14:textId="77777777" w:rsidR="00093845" w:rsidRDefault="000D779E">
      <w:pPr>
        <w:pStyle w:val="Style1"/>
        <w:tabs>
          <w:tab w:val="left" w:pos="720"/>
          <w:tab w:val="left" w:pos="1077"/>
          <w:tab w:val="left" w:pos="1418"/>
        </w:tabs>
        <w:ind w:right="-5" w:firstLine="709"/>
        <w:rPr>
          <w:rFonts w:ascii="Times New Roman" w:hAnsi="Times New Roman"/>
          <w:szCs w:val="24"/>
        </w:rPr>
      </w:pPr>
      <w:r>
        <w:t xml:space="preserve">5. Vieneto išlaidoms, faktiškai patirtoms teikiant naudą vieneto darbuotojams ir (arba) jų šeimos nariams, priskiriamoms ribojamų dydžių leidžiamiems atskaitymams, pagrįsti surašomi laisvos </w:t>
      </w:r>
      <w:r>
        <w:lastRenderedPageBreak/>
        <w:t>formos aktai, patvirtinti vieneto vadovo arba jo įgalioto asmens ir vyriausiojo finansininko arba jo įgalioto asmens. Dokumentuose nurodomi duomenys, įrodantys</w:t>
      </w:r>
      <w:r>
        <w:rPr>
          <w:rFonts w:ascii="Times New Roman" w:hAnsi="Times New Roman"/>
        </w:rPr>
        <w:t>, kad patirtos išlaidos atitinka šioje dalyje nurodytas išlaidas apibrėžiančius kriterijus. Jeigu</w:t>
      </w:r>
      <w:r>
        <w:rPr>
          <w:rFonts w:ascii="Times New Roman" w:hAnsi="Times New Roman"/>
          <w:szCs w:val="24"/>
        </w:rPr>
        <w:t xml:space="preserve"> ūkinės operacijos esmė yra aiški iš vienetui kitų asmenų pateiktų sąskaitų, tai patirtas išlaidas pagrindžiantys minėti papildomi apskaitos dokumentai gali būti nesurašomi. Tokiu atveju vieneto išlaidos, patirtos teikiant naudą vieneto darbuotojams ir (arba) jų šeimos nariams gali būti pripažintos sąnaudomis pagal įsigytų paslaugų (prekių) pirkimo dokumentą, kuriame yra įrašas, patvirtintas įmonės vadovo (kito įgalioto asmens), kad šios išlaidos atitinka PMĮ 26 str. 2 dalies reikalavimus.</w:t>
      </w:r>
    </w:p>
    <w:p w14:paraId="3E8439D6" w14:textId="77777777" w:rsidR="00093845" w:rsidRPr="0065344A" w:rsidRDefault="000D779E">
      <w:pPr>
        <w:ind w:firstLine="720"/>
        <w:jc w:val="both"/>
        <w:outlineLvl w:val="0"/>
        <w:rPr>
          <w:rStyle w:val="black7"/>
          <w:lang w:val="lt-LT"/>
        </w:rPr>
      </w:pPr>
      <w:r w:rsidRPr="0065344A">
        <w:rPr>
          <w:rStyle w:val="black7"/>
          <w:lang w:val="lt-LT"/>
        </w:rPr>
        <w:t>Pavyzdžiai</w:t>
      </w:r>
    </w:p>
    <w:p w14:paraId="71ABA42D"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rStyle w:val="black7"/>
          <w:lang w:val="lt-LT"/>
        </w:rPr>
      </w:pPr>
      <w:r w:rsidRPr="0065344A">
        <w:rPr>
          <w:lang w:val="lt-LT"/>
        </w:rPr>
        <w:t xml:space="preserve">1. Vienetas mokestinių metų pabaigoje sudarė kolektyvinę sutartį, kuri taikoma visiems darbuotojams be apribojimų. Sutartyje nustatyta, kad pagal patvirtintą lėšų, skirtų socialinėms reikmėms sąmatą, vienetas remia </w:t>
      </w:r>
      <w:r w:rsidRPr="0065344A">
        <w:rPr>
          <w:rStyle w:val="black7"/>
          <w:lang w:val="lt-LT"/>
        </w:rPr>
        <w:t>darbuotojų kultūrinę, sportinę ir turistinę veiklą, įvairius šventinius renginius.</w:t>
      </w:r>
    </w:p>
    <w:p w14:paraId="60C63F97"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lang w:val="lt-LT"/>
        </w:rPr>
      </w:pPr>
      <w:r w:rsidRPr="0065344A">
        <w:rPr>
          <w:rStyle w:val="black7"/>
          <w:lang w:val="lt-LT"/>
        </w:rPr>
        <w:t xml:space="preserve">Vykdydamas kolektyvinėje sutartyje nustatytus įsipareigojimus vienetas surengia savo darbuotojams kalėdinį vakarėlį užsakydamas pobūvių salę su vaišėmis, boulingo takelius, pirtį su baseinu ir kitomis pramogomis bei paslaugomis už bendrą 10 000 Lt sumą. Į vakarėlį galėjo ateiti visi darbuotojai su šeimomis. </w:t>
      </w:r>
      <w:r w:rsidRPr="0065344A">
        <w:rPr>
          <w:lang w:val="lt-LT"/>
        </w:rPr>
        <w:t>Konkretaus darbuotojo ir (arba) jo šeimos nario (sutuoktinio, vaiko (įvaikio)) gautos individualios naudos</w:t>
      </w:r>
      <w:r w:rsidRPr="0065344A">
        <w:rPr>
          <w:rStyle w:val="black7"/>
          <w:lang w:val="lt-LT"/>
        </w:rPr>
        <w:t xml:space="preserve"> dydžio</w:t>
      </w:r>
      <w:r w:rsidRPr="0065344A">
        <w:rPr>
          <w:lang w:val="lt-LT"/>
        </w:rPr>
        <w:t xml:space="preserve"> identifikuoti neįmanoma.</w:t>
      </w:r>
    </w:p>
    <w:p w14:paraId="30827DC4" w14:textId="77777777" w:rsidR="00093845" w:rsidRPr="0065344A" w:rsidRDefault="000D779E">
      <w:pPr>
        <w:pBdr>
          <w:top w:val="single" w:sz="4" w:space="1" w:color="auto"/>
          <w:left w:val="single" w:sz="4" w:space="4" w:color="auto"/>
          <w:bottom w:val="single" w:sz="4" w:space="1" w:color="auto"/>
          <w:right w:val="single" w:sz="4" w:space="4" w:color="auto"/>
        </w:pBdr>
        <w:ind w:firstLine="720"/>
        <w:jc w:val="both"/>
        <w:rPr>
          <w:bCs/>
          <w:lang w:val="lt-LT"/>
        </w:rPr>
      </w:pPr>
      <w:r w:rsidRPr="0065344A">
        <w:rPr>
          <w:rStyle w:val="black7"/>
          <w:lang w:val="lt-LT"/>
        </w:rPr>
        <w:t xml:space="preserve">Įvertinus tai, kad </w:t>
      </w:r>
      <w:r w:rsidRPr="0065344A">
        <w:rPr>
          <w:lang w:val="lt-LT"/>
        </w:rPr>
        <w:t xml:space="preserve">tokios naudos teikimas </w:t>
      </w:r>
      <w:r w:rsidRPr="0065344A">
        <w:rPr>
          <w:bCs/>
          <w:lang w:val="lt-LT"/>
        </w:rPr>
        <w:t>numatytas vieneto kolektyvinėje sutartyje ir šia nauda be diskriminacijos ir apribojimų turi teisę naudotis visi to vieneto darbuotojai, ribojamų dydžių leidžiamiems atskaitymams vienetas galės priskirti patirtas vakarėlio išlaidas (arba jų dalį) ne didesnę kaip 5% darbuotojams tais mokestiniais metais apskaičiuoto darbo užmokesčio (nuo kurio skaičiuojamos valstybinio socialinio draudimo įmokos.</w:t>
      </w:r>
    </w:p>
    <w:p w14:paraId="191F8FFD"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sidRPr="0065344A">
        <w:rPr>
          <w:bCs/>
          <w:lang w:val="lt-LT"/>
        </w:rPr>
        <w:t>2. Vykdydamas kolektyvinėje sutartyje nustatytus įsipareigojimus vienetas įrengia sporto salę, užtikrina</w:t>
      </w:r>
      <w:r w:rsidRPr="0065344A">
        <w:rPr>
          <w:color w:val="000000"/>
          <w:lang w:val="lt-LT"/>
        </w:rPr>
        <w:t xml:space="preserve"> pilną jos išlaikymą, aprūpinimą ir funkcionavimą. </w:t>
      </w:r>
      <w:r>
        <w:rPr>
          <w:color w:val="000000"/>
        </w:rPr>
        <w:t xml:space="preserve">Sporto salėje gali lankytis visi darbuotojai ir jų šeimos nariai. </w:t>
      </w:r>
      <w:r>
        <w:t>Konkretaus darbuotojo ir (arba) jo šeimos nario (sutuoktinio, vaiko (įvaikio)) gautos individualios naudos</w:t>
      </w:r>
      <w:r>
        <w:rPr>
          <w:rStyle w:val="black7"/>
        </w:rPr>
        <w:t xml:space="preserve"> dydžio</w:t>
      </w:r>
      <w:r>
        <w:t xml:space="preserve"> identifikuoti neįmanoma.</w:t>
      </w:r>
    </w:p>
    <w:p w14:paraId="6AE390D5"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t>K</w:t>
      </w:r>
      <w:r>
        <w:rPr>
          <w:rStyle w:val="black7"/>
        </w:rPr>
        <w:t xml:space="preserve">adangi </w:t>
      </w:r>
      <w:r>
        <w:t xml:space="preserve">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sporto salės ir įrengimų nusidėvėjimo, eksploatacijos, sporto trenerių ir aptarnaujančio personalo išlaikymo išlaidas (arba jų dalį) ne didesnes kaip 5% darbuotojams tą mokestinį laikotarpį apskaičiuoto darbo užmokesčio (nuo kurio skaičiuojamos valstybinio socialinio draudimo įmokos.</w:t>
      </w:r>
    </w:p>
    <w:p w14:paraId="373836DD"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bCs/>
        </w:rPr>
        <w:t>3. Vykdydamas kolektyvinėje sutartyje nustatytus įsipareigojimus vienetas įrengia polikliniką ir reabilitacijos centrą, užtikrina</w:t>
      </w:r>
      <w:r>
        <w:rPr>
          <w:color w:val="000000"/>
        </w:rPr>
        <w:t xml:space="preserve"> pilną jų išlaikymą, aprūpinimą ir funkcionavimą. Medicinos įstaigose gali lankytis visi darbuotojai ir jų šeimos nariai. </w:t>
      </w:r>
    </w:p>
    <w:p w14:paraId="029D7CF4"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color w:val="000000"/>
        </w:rPr>
        <w:t xml:space="preserve">Kai negalima identifikuoti </w:t>
      </w:r>
      <w:r>
        <w:t>konkretaus darbuotojo ir (arba) jo šeimos nario (sutuoktinio, vaiko (įvaikio)) gautos individualios naudos</w:t>
      </w:r>
      <w:r>
        <w:rPr>
          <w:rStyle w:val="black7"/>
        </w:rPr>
        <w:t xml:space="preserve"> dydžio</w:t>
      </w:r>
      <w:r>
        <w:t xml:space="preserve">, o 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poliklinikos ir reabilitacijos centro nusidėvėjimo, medicininės įrangos nusidėvėjimo, eksploatacijos ir aptarnaujančio medicinos personalo išlaikymo išlaidas (arba jų dalį) ne didesnes kaip 5% darbuotojams tą mokestinį laikotarpį apskaičiuoto darbo užmokesčio (nuo kurio skaičiuojamos valstybinio socialinio draudimo įmokos).</w:t>
      </w:r>
    </w:p>
    <w:p w14:paraId="6ECF46B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bCs/>
        </w:rPr>
        <w:lastRenderedPageBreak/>
        <w:t>4. Vykdydamas kolektyvinėje sutartyje nustatytus įsipareigojimus vienetas organizuoja d</w:t>
      </w:r>
      <w:r>
        <w:rPr>
          <w:color w:val="000000"/>
        </w:rPr>
        <w:t>arbuotojų maitinimą: įrengia valgyklos patalpas,</w:t>
      </w:r>
      <w:r>
        <w:rPr>
          <w:bCs/>
        </w:rPr>
        <w:t xml:space="preserve"> užtikrina</w:t>
      </w:r>
      <w:r>
        <w:rPr>
          <w:color w:val="000000"/>
        </w:rPr>
        <w:t xml:space="preserve"> pilną jų išlaikymą, organizuoja maisto paruošimą ir tiekimą, neribojant maitinimosi kiekio ir sumos.</w:t>
      </w:r>
      <w:r>
        <w:t xml:space="preserve"> Konkretaus darbuotojo gautos individualios naudos</w:t>
      </w:r>
      <w:r>
        <w:rPr>
          <w:rStyle w:val="black7"/>
        </w:rPr>
        <w:t xml:space="preserve"> dydžio</w:t>
      </w:r>
      <w:r>
        <w:t xml:space="preserve"> identifikuoti neįmanoma.</w:t>
      </w:r>
    </w:p>
    <w:p w14:paraId="20DA10BE"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t>K</w:t>
      </w:r>
      <w:r>
        <w:rPr>
          <w:rStyle w:val="black7"/>
        </w:rPr>
        <w:t xml:space="preserve">adangi </w:t>
      </w:r>
      <w:r>
        <w:t xml:space="preserve">tokios naudos teikimas </w:t>
      </w:r>
      <w:r>
        <w:rPr>
          <w:bCs/>
        </w:rPr>
        <w:t>numatytas vieneto kolektyvinėje sutartyje ir šia nauda be diskriminacijos ir apribojimų turi teisę naudotis visi to vieneto darbuotojai, ribojamų dydžių leidžiamiems atskaitymams vienetas galės priskirti mokestinio laikotarpio valgyklos patalpų nusidėvėjimo, įrengimų nusidėvėjimo, eksploatacijos ir aptarnaujančio personalo išlaikymo, maisto produktų įsigijimo išlaidas (arba jų dalį) ne didesnes kaip 5% darbuotojams tą mokestinį laikotarpį apskaičiuoto darbo užmokesčio (nuo kurio skaičiuojamos valstybinio socialinio draudimo įmokos.</w:t>
      </w:r>
    </w:p>
    <w:p w14:paraId="68C0FD19"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bCs/>
        </w:rPr>
        <w:t>5. Vykdydamas kolektyvinėje sutartyje nustatytus įsipareigojimus vienetas surengia savo darbuotojams ekskursiją autobusu. Į ekskursiją galėjo vykti visi darbuotojai su šeimomis. Darbdavys sudarė vardinį sąrašą norinčiųjų vykti į ekskursiją ir pagal jį užsakė atitinkamo dydžio autobusą.</w:t>
      </w:r>
    </w:p>
    <w:p w14:paraId="4EBA8B2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rPr>
      </w:pPr>
      <w:r>
        <w:rPr>
          <w:bCs/>
        </w:rPr>
        <w:t>Šiuo atveju teikiant naudą vieneto darbuotojams ir jų šeimos nariams įmanoma nustatyti konkretaus darbuotojo gautą individualią naudą (kelionės išlaidas padalinant iš kelionėje dalyvaujančių asmenų skaičiaus), todėl pagal Lietuvos Respublikos gyventojų pajamų mokesčio įstatymo nuostatas gauta individuali nauda yra gyventojų pajamų mokesčio objektas, dėl tokios naudos teikimo patirtos išlaidos leidžiamiems atskaitymams priskiriamos PMĮ 17 str. 1 dalyje nustatyta tvarka (žr. PMĮ 17 str. 1 dalies komentarą).</w:t>
      </w:r>
    </w:p>
    <w:p w14:paraId="65789C7F" w14:textId="77777777" w:rsidR="00093845" w:rsidRDefault="000D779E">
      <w:pPr>
        <w:spacing w:before="100" w:beforeAutospacing="1" w:after="100" w:afterAutospacing="1"/>
        <w:ind w:firstLine="720"/>
        <w:jc w:val="both"/>
        <w:rPr>
          <w:b/>
          <w:lang w:val="lt-LT"/>
        </w:rPr>
      </w:pPr>
      <w:r>
        <w:rPr>
          <w:iCs/>
          <w:lang w:val="nb-NO"/>
        </w:rPr>
        <w:t xml:space="preserve">(Pagal </w:t>
      </w:r>
      <w:r>
        <w:rPr>
          <w:color w:val="000000"/>
          <w:lang w:val="lt-LT"/>
        </w:rPr>
        <w:t xml:space="preserve">VMI prie FM 2012-10-02 raštą Nr. </w:t>
      </w:r>
      <w:r>
        <w:rPr>
          <w:lang w:val="lt-LT"/>
        </w:rPr>
        <w:t>(18.10-31-1)-R-8147)</w:t>
      </w:r>
    </w:p>
    <w:p w14:paraId="5F18ABB8" w14:textId="77777777" w:rsidR="00093845" w:rsidRDefault="000D779E">
      <w:pPr>
        <w:pStyle w:val="Antrat1"/>
        <w:jc w:val="both"/>
        <w:rPr>
          <w:b w:val="0"/>
          <w:lang w:val="lt-LT"/>
        </w:rPr>
      </w:pPr>
      <w:bookmarkStart w:id="421" w:name="_27_straipsnis._Specialieji"/>
      <w:bookmarkEnd w:id="421"/>
      <w:r>
        <w:rPr>
          <w:bCs w:val="0"/>
          <w:lang w:val="lt-LT"/>
        </w:rPr>
        <w:t>27 STRAIPSNIS. Specialieji kredito įstaigų ir draudimo įmonių atidėjimai</w:t>
      </w:r>
      <w:r>
        <w:rPr>
          <w:b w:val="0"/>
          <w:lang w:val="lt-LT"/>
        </w:rPr>
        <w:t>.</w:t>
      </w:r>
    </w:p>
    <w:p w14:paraId="5080AE26" w14:textId="77777777" w:rsidR="00093845" w:rsidRDefault="00093845">
      <w:pPr>
        <w:pStyle w:val="Antrat1"/>
        <w:jc w:val="both"/>
        <w:rPr>
          <w:b w:val="0"/>
          <w:lang w:val="lt-LT"/>
        </w:rPr>
      </w:pPr>
    </w:p>
    <w:p w14:paraId="73A5CEC1" w14:textId="77777777" w:rsidR="00093845" w:rsidRDefault="000D779E">
      <w:pPr>
        <w:pStyle w:val="tajtip"/>
        <w:shd w:val="clear" w:color="auto" w:fill="FFFFFF"/>
        <w:spacing w:before="0" w:beforeAutospacing="0" w:after="0" w:afterAutospacing="0"/>
        <w:ind w:firstLine="720"/>
        <w:jc w:val="both"/>
        <w:rPr>
          <w:b/>
          <w:color w:val="000000"/>
        </w:rPr>
      </w:pPr>
      <w:r>
        <w:rPr>
          <w:b/>
          <w:color w:val="000000"/>
        </w:rPr>
        <w:t>1. Pagal Lietuvos Respublikos </w:t>
      </w:r>
      <w:bookmarkStart w:id="422" w:name="n1_563"/>
      <w:r>
        <w:rPr>
          <w:b/>
          <w:bCs/>
          <w:iCs/>
          <w:color w:val="000000"/>
          <w:kern w:val="36"/>
          <w:lang w:eastAsia="en-US"/>
        </w:rPr>
        <w:t>bankų įstatymą</w:t>
      </w:r>
      <w:bookmarkStart w:id="423" w:name="pn1_563"/>
      <w:bookmarkEnd w:id="422"/>
      <w:bookmarkEnd w:id="423"/>
      <w:r>
        <w:rPr>
          <w:b/>
          <w:color w:val="000000"/>
        </w:rPr>
        <w:t> veikiantiems bankams, tarp jų užsienio komercinių bankų filialams, pagal Lietuvos Respublikos </w:t>
      </w:r>
      <w:bookmarkStart w:id="424" w:name="n1_564"/>
      <w:r>
        <w:rPr>
          <w:b/>
          <w:bCs/>
          <w:iCs/>
          <w:color w:val="000000"/>
          <w:kern w:val="36"/>
          <w:lang w:eastAsia="en-US"/>
        </w:rPr>
        <w:t>kredito unijų įstatymą</w:t>
      </w:r>
      <w:bookmarkStart w:id="425" w:name="pn1_564"/>
      <w:bookmarkEnd w:id="424"/>
      <w:bookmarkEnd w:id="425"/>
      <w:r>
        <w:rPr>
          <w:b/>
          <w:color w:val="000000"/>
        </w:rPr>
        <w:t> veikiančioms kredito unijoms bei pagal Lietuvos Respublikos </w:t>
      </w:r>
      <w:bookmarkStart w:id="426" w:name="n1_565"/>
      <w:r>
        <w:rPr>
          <w:b/>
          <w:bCs/>
          <w:iCs/>
          <w:color w:val="000000"/>
          <w:kern w:val="36"/>
          <w:lang w:eastAsia="en-US"/>
        </w:rPr>
        <w:t>centrinės kredito unijos įstatymą</w:t>
      </w:r>
      <w:bookmarkStart w:id="427" w:name="pn1_565"/>
      <w:bookmarkEnd w:id="426"/>
      <w:bookmarkEnd w:id="427"/>
      <w:r>
        <w:rPr>
          <w:b/>
          <w:color w:val="000000"/>
        </w:rPr>
        <w:t> veikiančiai Centrinei kredito unijai, sudarantiems specialiuosius atidėjimus kredito įstaigų abejotiniems aktyvams padengti pagal Lietuvos banko nustatytas taisykles, per mokestinį laikotarpį iš pajamų leidžiama atskaityti specialiuosius atidėjimus kredito įstaigų abejotiniems aktyvams padengti, sudaromus konkretaus abejotino aktyvo (abejotinų aktyvų grupės) nuostoliams padengti.</w:t>
      </w:r>
    </w:p>
    <w:p w14:paraId="3AF9B1FB" w14:textId="77777777" w:rsidR="00093845" w:rsidRPr="00441B00" w:rsidRDefault="000D779E" w:rsidP="008740BA">
      <w:pPr>
        <w:tabs>
          <w:tab w:val="left" w:pos="720"/>
          <w:tab w:val="left" w:pos="1077"/>
          <w:tab w:val="left" w:pos="1418"/>
        </w:tabs>
        <w:spacing w:line="240" w:lineRule="auto"/>
        <w:jc w:val="both"/>
        <w:rPr>
          <w:i/>
          <w:lang w:val="lt-LT"/>
        </w:rPr>
      </w:pPr>
      <w:r w:rsidRPr="00441B00">
        <w:rPr>
          <w:i/>
          <w:lang w:val="lt-LT"/>
        </w:rPr>
        <w:t>(</w:t>
      </w:r>
      <w:r w:rsidRPr="00441B00">
        <w:rPr>
          <w:i/>
          <w:color w:val="000000"/>
          <w:lang w:val="lt-LT" w:eastAsia="lt-LT"/>
        </w:rPr>
        <w:t xml:space="preserve">KEISTA: </w:t>
      </w:r>
      <w:r w:rsidRPr="00441B00">
        <w:rPr>
          <w:i/>
          <w:lang w:val="lt-LT"/>
        </w:rPr>
        <w:t>2011 11 17 įstatymu Nr. XI-1698 (nuo 2012 01 01)</w:t>
      </w:r>
      <w:r w:rsidR="008D0FC6" w:rsidRPr="00441B00">
        <w:rPr>
          <w:i/>
          <w:lang w:val="lt-LT"/>
        </w:rPr>
        <w:t>,</w:t>
      </w:r>
      <w:r w:rsidR="00C80AF4" w:rsidRPr="00441B00">
        <w:rPr>
          <w:i/>
          <w:lang w:val="lt-LT"/>
        </w:rPr>
        <w:t xml:space="preserve"> taikoma apskaičiuojant 2012 metais prasidėjusio ir vėlesnių mokestinių laikotarpių apmokestinamąjį pelną</w:t>
      </w:r>
      <w:r w:rsidRPr="00441B00">
        <w:rPr>
          <w:i/>
          <w:lang w:val="lt-LT"/>
        </w:rPr>
        <w:t>)</w:t>
      </w:r>
    </w:p>
    <w:p w14:paraId="182DCB5E" w14:textId="77777777" w:rsidR="00093845" w:rsidRDefault="000D779E">
      <w:pPr>
        <w:tabs>
          <w:tab w:val="left" w:pos="720"/>
          <w:tab w:val="left" w:pos="1077"/>
          <w:tab w:val="left" w:pos="1418"/>
        </w:tabs>
        <w:ind w:firstLine="720"/>
        <w:jc w:val="both"/>
        <w:rPr>
          <w:b/>
          <w:lang w:val="lt-LT"/>
        </w:rPr>
      </w:pPr>
      <w:r>
        <w:rPr>
          <w:b/>
          <w:lang w:val="lt-LT"/>
        </w:rPr>
        <w:t>Komentaras</w:t>
      </w:r>
    </w:p>
    <w:p w14:paraId="2FDF9F2E" w14:textId="77777777" w:rsidR="00093845" w:rsidRDefault="000D779E">
      <w:pPr>
        <w:tabs>
          <w:tab w:val="left" w:pos="720"/>
          <w:tab w:val="left" w:pos="1077"/>
          <w:tab w:val="left" w:pos="1418"/>
        </w:tabs>
        <w:ind w:firstLine="720"/>
        <w:jc w:val="both"/>
        <w:rPr>
          <w:lang w:val="lt-LT"/>
        </w:rPr>
      </w:pPr>
      <w:r>
        <w:rPr>
          <w:lang w:val="lt-LT"/>
        </w:rPr>
        <w:t>1.</w:t>
      </w:r>
      <w:r>
        <w:rPr>
          <w:lang w:val="lt-LT"/>
        </w:rPr>
        <w:tab/>
        <w:t xml:space="preserve">Pagal Lietuvos Respublikos bankų įstatymą veikiantys komerciniai bankai, tarp jų užsienio komercinių bankų filialai, pagal Lietuvos Respublikos kredito unijų įstatymą veikiančios kredito unijos bei pagal Lietuvos Respublikos centrinės kredito unijos įstatymą  veikianti Centrinė kredito unija (toliau – kredito įstaiga) gali sudaryti abejotinų aktyvų specialiuosius atidėjinius (toliau – specialiuosius atidėjinius). </w:t>
      </w:r>
    </w:p>
    <w:p w14:paraId="30EA6CDF" w14:textId="77777777" w:rsidR="00093845" w:rsidRDefault="000D779E">
      <w:pPr>
        <w:tabs>
          <w:tab w:val="left" w:pos="720"/>
          <w:tab w:val="left" w:pos="1077"/>
          <w:tab w:val="left" w:pos="1418"/>
        </w:tabs>
        <w:ind w:firstLine="720"/>
        <w:jc w:val="both"/>
        <w:rPr>
          <w:lang w:val="lt-LT"/>
        </w:rPr>
      </w:pPr>
      <w:r>
        <w:rPr>
          <w:lang w:val="lt-LT"/>
        </w:rPr>
        <w:t>Specialieji atidėjiniai, sudaryti konkretaus abejotino aktyvo (abejotinų aktyvų grupės)</w:t>
      </w:r>
      <w:r>
        <w:rPr>
          <w:strike/>
          <w:lang w:val="lt-LT"/>
        </w:rPr>
        <w:t xml:space="preserve"> </w:t>
      </w:r>
      <w:r>
        <w:rPr>
          <w:lang w:val="lt-LT"/>
        </w:rPr>
        <w:t xml:space="preserve">nuostoliams padengti, priskiriami ataskaitinio mokestinio laikotarpio ribojamų dydžių leidžiamiems atskaitymams. </w:t>
      </w:r>
    </w:p>
    <w:p w14:paraId="2C5F7397" w14:textId="77777777" w:rsidR="00093845" w:rsidRDefault="000C132C">
      <w:pPr>
        <w:ind w:firstLine="709"/>
        <w:jc w:val="both"/>
        <w:rPr>
          <w:lang w:val="lt-LT"/>
        </w:rPr>
      </w:pPr>
      <w:r>
        <w:rPr>
          <w:lang w:val="lt-LT"/>
        </w:rPr>
        <w:t>3</w:t>
      </w:r>
      <w:r w:rsidR="000D779E">
        <w:rPr>
          <w:lang w:val="lt-LT"/>
        </w:rPr>
        <w:t xml:space="preserve">. Apskaičiuodamos 2018 metais prasidėjusio ir vėlesnių mokestinių laikotarpių apmokestinamąjį pelną, kredito įstaigos formuoja ir apskaito specialiuosius atidėjinius konkretaus </w:t>
      </w:r>
      <w:r w:rsidR="000D779E">
        <w:rPr>
          <w:lang w:val="lt-LT"/>
        </w:rPr>
        <w:lastRenderedPageBreak/>
        <w:t xml:space="preserve">abejotino aktyvo (abejotinų aktyvų grupės) nuostoliams padengti remiantis Tikėtinų kredito nuostolių apskaičiavimo reikalavimų aprašu, patvirtintu  Lietuvos banko valdybos 2018 m. kovo 13 d. nutarimu Nr. 03-39 (toliau – Aprašas). Apraše nustatyta, kokių minimalių reikalavimų turi laikytis Lietuvos Respublikoje veikiantys bankai, centrinės kredito unijos ir užsienio bankų, licencijuotų ne Europos Sąjungos valstybėse narėse, filialai apskaičiuodami tikėtinus kredito nuostolius dėl skolinimo pozicijų ir sudarydami specialiuosius atidėjinius. </w:t>
      </w:r>
    </w:p>
    <w:p w14:paraId="64E233C2" w14:textId="77777777" w:rsidR="00093845" w:rsidRDefault="000C132C">
      <w:pPr>
        <w:tabs>
          <w:tab w:val="left" w:pos="720"/>
          <w:tab w:val="left" w:pos="1077"/>
          <w:tab w:val="left" w:pos="1418"/>
        </w:tabs>
        <w:ind w:firstLine="720"/>
        <w:jc w:val="both"/>
        <w:rPr>
          <w:lang w:val="lt-LT"/>
        </w:rPr>
      </w:pPr>
      <w:r>
        <w:rPr>
          <w:lang w:val="lt-LT"/>
        </w:rPr>
        <w:t>4</w:t>
      </w:r>
      <w:r w:rsidR="000D779E">
        <w:rPr>
          <w:lang w:val="lt-LT"/>
        </w:rPr>
        <w:t>.</w:t>
      </w:r>
      <w:r w:rsidR="000D779E">
        <w:rPr>
          <w:lang w:val="lt-LT"/>
        </w:rPr>
        <w:tab/>
        <w:t>Mokestinio laikotarpio ribojamų dydžių leidžiamiems atskaitymams negali būti priskiriami kredito įstaigos sudaryti specialieji atidėjiniai bendram abejotinų aktyvų portfeliui.</w:t>
      </w:r>
    </w:p>
    <w:p w14:paraId="54E87364" w14:textId="77777777" w:rsidR="00093845" w:rsidRDefault="000C132C">
      <w:pPr>
        <w:tabs>
          <w:tab w:val="left" w:pos="1080"/>
        </w:tabs>
        <w:ind w:firstLine="720"/>
        <w:jc w:val="both"/>
        <w:rPr>
          <w:lang w:val="lt-LT"/>
        </w:rPr>
      </w:pPr>
      <w:r>
        <w:rPr>
          <w:lang w:val="lt-LT"/>
        </w:rPr>
        <w:t>5</w:t>
      </w:r>
      <w:r w:rsidR="000D779E">
        <w:rPr>
          <w:lang w:val="lt-LT"/>
        </w:rPr>
        <w:t>. Kiti nei kredito įstaigos vienetai, tvarkantys buhalterinę apskaitą ir rengiantys finansinę atskaitomybę, vadovaudamiesi Verslo apskaitos standartų, Tarptautinių apskaitos standartų, Lietuvos Respublikos finansų įstaigų įstatymo ir Lietuvos banko finansų įstaigoms taikomomis teisės aktų nuostatomis, reglamentuojančiomis suteikto finansavimo sumažėjimo įvertinimą ir apskaitą, specialiuosius atidėjinius abejotinai pagal išperkamosios nuomos sutartį gautinai sumai padengti formuojantys tik apskaitoje, pelno mokesčio tikslais šias sumas priskiria neleidžiamiems atskaitymams. Tokių vienetų reorganizavimo atliekant prijungimą prie kredito įstaigos atveju, kai kredito įstaiga perima jų teises, pareigas ir turtą, įskaitant apskaitoje suformuotus atidėjinius konkretiems abejotiniems aktyvams padengti, perimti specialieji atidėjiniai, suformuoti pagal Aprašo reikalavimus, gali būti priskirti kredito įstaigos leidžiamiems atskaitymams jų perėmimo momentu.</w:t>
      </w:r>
    </w:p>
    <w:p w14:paraId="749F9BF7" w14:textId="77777777" w:rsidR="00093845" w:rsidRDefault="000D779E">
      <w:pPr>
        <w:tabs>
          <w:tab w:val="left" w:pos="1080"/>
        </w:tabs>
        <w:ind w:firstLine="720"/>
        <w:jc w:val="both"/>
        <w:rPr>
          <w:lang w:val="lt-LT"/>
        </w:rPr>
      </w:pPr>
      <w:r>
        <w:rPr>
          <w:lang w:val="lt-LT"/>
        </w:rPr>
        <w:t>Pavyzdys</w:t>
      </w:r>
    </w:p>
    <w:p w14:paraId="2A2F4E5D"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 xml:space="preserve">Lizingo veikla užsiimanti bendrovė, finansų įstaigų grupės narė, dėl lizingo sutarčių susidarančius atidėjinius vadovaudamasi teisės aktų nuostatomis formuoja tik apskaitoje, apskaičiuodama apmokestinamąjį pelną šias sumas ji priskiria neleidžiamiems atskaitymams. </w:t>
      </w:r>
    </w:p>
    <w:p w14:paraId="73DE1488"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 xml:space="preserve">Finansinės grupės reorganizavimo atveju lizingo bendrovė prijungiama prie banko. Bankas perima lizingo bendrovės įsipareigojimus, teises ir turtą, įskaitant atidėjinius konkretiems abejotiniems aktyvams padengti, kurie suformuoti pagal Aprašo reikalavimus. </w:t>
      </w:r>
    </w:p>
    <w:p w14:paraId="29C6A1F0"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rPr>
          <w:lang w:val="lt-LT"/>
        </w:rPr>
      </w:pPr>
      <w:r>
        <w:rPr>
          <w:lang w:val="lt-LT"/>
        </w:rPr>
        <w:t>Iš lizingo bendrovės perimtus atidėjinius abejotinai pagal išperkamosios nuomos sutartį gautinai sumai padengti bankas, perėmimo momentu juos, pakartotinai įvertinęs pagal Aprašo reikalavimus, apskaičiuodamas pelno mokestį, gali priskirti leidžiamiems atskaitymams.</w:t>
      </w:r>
    </w:p>
    <w:p w14:paraId="443F49D5" w14:textId="77777777" w:rsidR="00093845" w:rsidRDefault="000C132C">
      <w:pPr>
        <w:tabs>
          <w:tab w:val="left" w:pos="567"/>
        </w:tabs>
        <w:ind w:firstLine="851"/>
        <w:jc w:val="both"/>
        <w:rPr>
          <w:lang w:val="lt-LT"/>
        </w:rPr>
      </w:pPr>
      <w:r>
        <w:rPr>
          <w:lang w:val="lt-LT"/>
        </w:rPr>
        <w:t>6</w:t>
      </w:r>
      <w:r w:rsidR="000D779E">
        <w:rPr>
          <w:lang w:val="lt-LT"/>
        </w:rPr>
        <w:t xml:space="preserve">. Kredito įstaigos, pirmą kartą pritaikiusios 9-ąjį tarptautinį finansinės atskaitomybės standartą ir atlikusios specialiųjų atidėjinių koregavimus pagal Aprašo reikalavimus, apskaičiuodamos apmokestinamąjį pelną, koregavimo sumas priskiria to mokestinio laikotarpio, kurį pirmą kartą atliko atidėjinių koregavimus, ribojamų dydžių leidžiamiems atskaitymams. </w:t>
      </w:r>
    </w:p>
    <w:p w14:paraId="4B003B75" w14:textId="77777777" w:rsidR="00093845" w:rsidRPr="00441B00" w:rsidRDefault="000D779E">
      <w:pPr>
        <w:pStyle w:val="Antrat1"/>
        <w:jc w:val="both"/>
        <w:rPr>
          <w:rFonts w:ascii="Times New Roman" w:hAnsi="Times New Roman" w:cs="Times New Roman"/>
          <w:b w:val="0"/>
          <w:bCs w:val="0"/>
          <w:lang w:val="lt-LT"/>
        </w:rPr>
      </w:pPr>
      <w:r w:rsidRPr="00441B00">
        <w:rPr>
          <w:rFonts w:ascii="Times New Roman" w:hAnsi="Times New Roman" w:cs="Times New Roman"/>
          <w:b w:val="0"/>
          <w:iCs/>
          <w:lang w:val="nb-NO"/>
        </w:rPr>
        <w:t xml:space="preserve">           (Pagal </w:t>
      </w:r>
      <w:r w:rsidRPr="00441B00">
        <w:rPr>
          <w:rFonts w:ascii="Times New Roman" w:hAnsi="Times New Roman" w:cs="Times New Roman"/>
          <w:b w:val="0"/>
          <w:color w:val="000000"/>
          <w:lang w:val="lt-LT"/>
        </w:rPr>
        <w:t xml:space="preserve">VMI prie FM </w:t>
      </w:r>
      <w:r w:rsidRPr="00441B00">
        <w:rPr>
          <w:rFonts w:ascii="Times New Roman" w:hAnsi="Times New Roman" w:cs="Times New Roman"/>
          <w:b w:val="0"/>
          <w:color w:val="000000"/>
        </w:rPr>
        <w:t xml:space="preserve">2018-07-09 raštą  Nr. </w:t>
      </w:r>
      <w:r w:rsidRPr="00441B00">
        <w:rPr>
          <w:rFonts w:ascii="Times New Roman" w:hAnsi="Times New Roman" w:cs="Times New Roman"/>
          <w:b w:val="0"/>
          <w:bCs w:val="0"/>
        </w:rPr>
        <w:t>(32.42-31-1) RM-25021)</w:t>
      </w:r>
    </w:p>
    <w:p w14:paraId="62F5D17E" w14:textId="77777777" w:rsidR="00093845" w:rsidRDefault="00093845">
      <w:pPr>
        <w:pStyle w:val="Pagrindiniotekstotrauka2"/>
        <w:tabs>
          <w:tab w:val="left" w:pos="720"/>
          <w:tab w:val="left" w:pos="1077"/>
          <w:tab w:val="left" w:pos="1418"/>
        </w:tabs>
        <w:spacing w:line="240" w:lineRule="auto"/>
        <w:rPr>
          <w:b w:val="0"/>
          <w:iCs/>
          <w:lang w:val="nb-NO"/>
        </w:rPr>
      </w:pPr>
    </w:p>
    <w:p w14:paraId="0B72AE63" w14:textId="77777777" w:rsidR="00093845" w:rsidRDefault="000D779E">
      <w:pPr>
        <w:pStyle w:val="Pagrindiniotekstotrauka2"/>
        <w:tabs>
          <w:tab w:val="left" w:pos="720"/>
          <w:tab w:val="left" w:pos="1077"/>
          <w:tab w:val="left" w:pos="1418"/>
        </w:tabs>
        <w:spacing w:line="240" w:lineRule="auto"/>
      </w:pPr>
      <w:r>
        <w:t>2.</w:t>
      </w:r>
      <w:r>
        <w:tab/>
        <w:t>Jei kredito įstaiga patenkina savo skolinius reikalavimus dėl skolų grąžinimo, tai skolos suma arba jos dalis, atitinkanti dėl jos padaryto specialiojo atidėjimo dydį, pripažįstama pajamomis skolinio reikalavimo patenkinimo momentu.</w:t>
      </w:r>
    </w:p>
    <w:p w14:paraId="4998B6C0" w14:textId="77777777" w:rsidR="00093845" w:rsidRPr="0065344A" w:rsidRDefault="000D779E">
      <w:pPr>
        <w:ind w:firstLine="720"/>
        <w:jc w:val="both"/>
        <w:rPr>
          <w:b/>
          <w:bCs/>
          <w:lang w:val="lt-LT"/>
        </w:rPr>
      </w:pPr>
      <w:r w:rsidRPr="0065344A">
        <w:rPr>
          <w:b/>
          <w:bCs/>
          <w:lang w:val="lt-LT"/>
        </w:rPr>
        <w:t>Komentaras</w:t>
      </w:r>
    </w:p>
    <w:p w14:paraId="02A7B2BA" w14:textId="77777777" w:rsidR="00093845" w:rsidRPr="0065344A" w:rsidRDefault="000D779E">
      <w:pPr>
        <w:tabs>
          <w:tab w:val="left" w:pos="720"/>
          <w:tab w:val="left" w:pos="1077"/>
          <w:tab w:val="left" w:pos="1418"/>
        </w:tabs>
        <w:ind w:firstLine="720"/>
        <w:jc w:val="both"/>
        <w:rPr>
          <w:lang w:val="lt-LT"/>
        </w:rPr>
      </w:pPr>
      <w:r w:rsidRPr="0065344A">
        <w:rPr>
          <w:lang w:val="lt-LT"/>
        </w:rPr>
        <w:t xml:space="preserve">1. Jei kredito įstaiga susigrąžina skolas ir kitas sumas (įskaitant tuos atvejus, kai už skolas perimamas skolininko turtas), kurios ankstesnį mokestinį laikotarpį buvo priskirtos ribojamų dydžių leidžiamiems atskaitymams kaip specialieji atidėjiniai, šios sumos pripažįstamos pajamomis to laikotarpio, kurį jos buvo susigrąžintos. </w:t>
      </w:r>
    </w:p>
    <w:p w14:paraId="76804E47" w14:textId="77777777" w:rsidR="00093845" w:rsidRPr="0065344A" w:rsidRDefault="000D779E">
      <w:pPr>
        <w:tabs>
          <w:tab w:val="left" w:pos="1080"/>
        </w:tabs>
        <w:ind w:firstLine="720"/>
        <w:jc w:val="both"/>
        <w:rPr>
          <w:lang w:val="lt-LT"/>
        </w:rPr>
      </w:pPr>
      <w:r w:rsidRPr="0065344A">
        <w:rPr>
          <w:lang w:val="lt-LT"/>
        </w:rPr>
        <w:lastRenderedPageBreak/>
        <w:t>2. Tuo atveju, kai kredito įstaigos dėl skolų, kurioms suformuoti specialieji atidėjiniai buvo priskirti ribojamų dydžių leidžiamiems atskaitymams, perima skolininko turtą, to turto įsigijimo kaina kredito įstaigai yra pagal sandorį užskaityta (padengta) paskolos suma. Likusiai nepadengtai paskolos sumai suformuoti specialiųjų atidėjinių leidžiami atskaitymai nekoreguojami.</w:t>
      </w:r>
    </w:p>
    <w:p w14:paraId="3347E94A" w14:textId="77777777" w:rsidR="00093845" w:rsidRPr="0065344A" w:rsidRDefault="000D779E">
      <w:pPr>
        <w:tabs>
          <w:tab w:val="left" w:pos="1077"/>
        </w:tabs>
        <w:ind w:firstLine="720"/>
        <w:jc w:val="both"/>
        <w:rPr>
          <w:lang w:val="lt-LT"/>
        </w:rPr>
      </w:pPr>
      <w:r w:rsidRPr="0065344A">
        <w:rPr>
          <w:lang w:val="lt-LT"/>
        </w:rPr>
        <w:t>3. Jeigu kredito įstaigos nustato jau perimto, bet dar nerealizuoto turto vertės sumažėjimą, pelno mokesčio tikslams to turto įsigijimo kaina nesikeičia, turto vertės sumažėjimas priskiriamas neleidžiamiems atskaitymams.</w:t>
      </w:r>
    </w:p>
    <w:p w14:paraId="68CD9139" w14:textId="77777777" w:rsidR="00093845" w:rsidRPr="0065344A" w:rsidRDefault="000D779E">
      <w:pPr>
        <w:tabs>
          <w:tab w:val="left" w:pos="1077"/>
        </w:tabs>
        <w:ind w:firstLine="720"/>
        <w:jc w:val="both"/>
        <w:rPr>
          <w:lang w:val="lt-LT"/>
        </w:rPr>
      </w:pPr>
      <w:r w:rsidRPr="0065344A">
        <w:rPr>
          <w:lang w:val="lt-LT"/>
        </w:rPr>
        <w:t>Pavyzdžiai</w:t>
      </w:r>
    </w:p>
    <w:p w14:paraId="314933A4"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1077"/>
        </w:tabs>
        <w:ind w:firstLine="720"/>
        <w:jc w:val="both"/>
        <w:rPr>
          <w:lang w:val="lt-LT"/>
        </w:rPr>
      </w:pPr>
      <w:r w:rsidRPr="0065344A">
        <w:rPr>
          <w:lang w:val="lt-LT"/>
        </w:rPr>
        <w:t xml:space="preserve">1. Kredito įstaiga dėl kliento skolų perima pagal išperkamosios nuomos sutartį perleistą turtą. Pagal sudarytos sutarties sąlygas, jeigu kredito įstaiga ateityje nustatys jau perimto, bet dar nerealizuoto turto vertės sumažėjimą, tai visa sumažėjimo suma bus pripažįstama kaip gautina iš kliento suma bei mažinama perimto turto vertė. Gautinai iš kliento sumai (dėl perimto turto vertės sumažėjimo) apskaitoje būtų formuojami specialieji atidėjiniai. </w:t>
      </w:r>
    </w:p>
    <w:p w14:paraId="604EDEB0"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Pelno mokesčio požiūriu perimto turto įsigijimo kaina kredito įstaigai yra to turto neapmokėta vertė. Perimto turto kaina kredito įstaigai nesikeičia, todėl apskaitoje naujai formuojami atidėjiniai dėl perimto turto vertės sumažėjimo priskiriami neleidžiamiems atskaitymams.</w:t>
      </w:r>
    </w:p>
    <w:p w14:paraId="4CC1E40C"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 xml:space="preserve">2. Bankas iš nemokaus kliento perima turtą, kuris buvo kaip kredito grąžinimą užtikrinęs užstatas. Bankas turtą perima pagal antstolio aktą, kuriame perimamo turto vertė lygi kliento nepadengtai kliento paskolos sumai. Turto tikroji rinkos kaina mažesnė už nepadengtą skolos sumą. </w:t>
      </w:r>
    </w:p>
    <w:p w14:paraId="45567F98" w14:textId="77777777" w:rsidR="00093845" w:rsidRDefault="000D779E">
      <w:pPr>
        <w:pBdr>
          <w:top w:val="single" w:sz="4" w:space="1" w:color="auto"/>
          <w:left w:val="single" w:sz="4" w:space="4" w:color="auto"/>
          <w:bottom w:val="single" w:sz="4" w:space="1" w:color="auto"/>
          <w:right w:val="single" w:sz="4" w:space="4" w:color="auto"/>
        </w:pBdr>
        <w:tabs>
          <w:tab w:val="left" w:pos="1080"/>
        </w:tabs>
        <w:ind w:firstLine="720"/>
        <w:jc w:val="both"/>
      </w:pPr>
      <w:r>
        <w:t>Perimamo turto įsigijimo kaina bankui yra pagal sandorį užskaityta paskolos suma. Vėlesniais laikotarpiais atliktas tokio turto vertės sumažėjimas priskiriamas neleidžiamiems atskaitymams.</w:t>
      </w:r>
    </w:p>
    <w:p w14:paraId="2269BEE4" w14:textId="77777777" w:rsidR="00093845" w:rsidRDefault="000D779E">
      <w:pPr>
        <w:pStyle w:val="Pagrindinistekstas"/>
        <w:tabs>
          <w:tab w:val="left" w:pos="9360"/>
        </w:tabs>
        <w:ind w:firstLine="720"/>
        <w:rPr>
          <w:lang w:val="lt-LT"/>
        </w:rPr>
      </w:pPr>
      <w:r>
        <w:rPr>
          <w:lang w:val="lt-LT"/>
        </w:rPr>
        <w:t>(</w:t>
      </w:r>
      <w:r w:rsidR="00016DBB">
        <w:rPr>
          <w:lang w:val="lt-LT"/>
        </w:rPr>
        <w:t>P</w:t>
      </w:r>
      <w:r>
        <w:rPr>
          <w:color w:val="000000"/>
          <w:lang w:val="fr-FR"/>
        </w:rPr>
        <w:t>akeista ir papildyta</w:t>
      </w:r>
      <w:r>
        <w:rPr>
          <w:lang w:val="lt-LT"/>
        </w:rPr>
        <w:t xml:space="preserve"> pagal VMI prie FM 2010-03-18 raštą Nr. (18.10-31-1)-R-2515)</w:t>
      </w:r>
    </w:p>
    <w:p w14:paraId="4DCCEE0B" w14:textId="77777777" w:rsidR="00093845" w:rsidRDefault="00093845">
      <w:pPr>
        <w:tabs>
          <w:tab w:val="left" w:pos="720"/>
          <w:tab w:val="left" w:pos="1077"/>
          <w:tab w:val="left" w:pos="1418"/>
        </w:tabs>
        <w:jc w:val="both"/>
        <w:rPr>
          <w:lang w:val="lt-LT"/>
        </w:rPr>
      </w:pPr>
    </w:p>
    <w:p w14:paraId="49D50532" w14:textId="77777777" w:rsidR="00093845" w:rsidRDefault="000D779E" w:rsidP="008B2C8D">
      <w:pPr>
        <w:pStyle w:val="Pagrindiniotekstotrauka"/>
        <w:spacing w:after="0"/>
        <w:rPr>
          <w:b/>
          <w:bCs/>
          <w:lang w:val="lt-LT"/>
        </w:rPr>
      </w:pPr>
      <w:r>
        <w:rPr>
          <w:b/>
          <w:bCs/>
          <w:lang w:val="lt-LT"/>
        </w:rPr>
        <w:t>3. Iš pajamų leidžiama atskaityti draudimo techninius atidėjimus, kuriuos nustato finansų ministras pagal Lietuvos banko patvirtintą draudimo techninių atidėjinių dydžių apskaičiavimo metodiką.</w:t>
      </w:r>
    </w:p>
    <w:p w14:paraId="0C3529E8" w14:textId="77777777" w:rsidR="00093845" w:rsidRDefault="000D779E" w:rsidP="008B2C8D">
      <w:pPr>
        <w:tabs>
          <w:tab w:val="left" w:pos="720"/>
          <w:tab w:val="left" w:pos="1077"/>
          <w:tab w:val="left" w:pos="1418"/>
        </w:tabs>
        <w:spacing w:after="0" w:line="240" w:lineRule="auto"/>
        <w:jc w:val="both"/>
        <w:rPr>
          <w:i/>
        </w:rPr>
      </w:pPr>
      <w:r w:rsidRPr="00441B00">
        <w:rPr>
          <w:i/>
        </w:rPr>
        <w:t>(</w:t>
      </w:r>
      <w:r w:rsidRPr="00441B00">
        <w:rPr>
          <w:i/>
          <w:color w:val="000000"/>
          <w:lang w:eastAsia="lt-LT"/>
        </w:rPr>
        <w:t xml:space="preserve">KEISTA: </w:t>
      </w:r>
      <w:r w:rsidRPr="00441B00">
        <w:rPr>
          <w:i/>
        </w:rPr>
        <w:t>2011 11 17 įstatymu Nr. XI-1698 (nuo 2012 01 01))</w:t>
      </w:r>
    </w:p>
    <w:p w14:paraId="6E955B7B" w14:textId="77777777" w:rsidR="00441B00" w:rsidRPr="00441B00" w:rsidRDefault="00441B00" w:rsidP="008B2C8D">
      <w:pPr>
        <w:tabs>
          <w:tab w:val="left" w:pos="720"/>
          <w:tab w:val="left" w:pos="1077"/>
          <w:tab w:val="left" w:pos="1418"/>
        </w:tabs>
        <w:spacing w:after="0" w:line="240" w:lineRule="auto"/>
        <w:jc w:val="both"/>
        <w:rPr>
          <w:i/>
        </w:rPr>
      </w:pPr>
    </w:p>
    <w:p w14:paraId="72E37258" w14:textId="77777777" w:rsidR="00093845" w:rsidRDefault="000D779E">
      <w:pPr>
        <w:pStyle w:val="Antrat2"/>
        <w:ind w:firstLine="720"/>
        <w:jc w:val="both"/>
      </w:pPr>
      <w:r>
        <w:t>Komentaras</w:t>
      </w:r>
    </w:p>
    <w:p w14:paraId="1AA69321" w14:textId="77777777" w:rsidR="00093845" w:rsidRDefault="000D779E">
      <w:pPr>
        <w:ind w:firstLine="720"/>
        <w:jc w:val="both"/>
      </w:pPr>
      <w:r>
        <w:t xml:space="preserve">1. Draudimo techniniai atidėjiniai (atidėjimai) - draudiko įsipareigojimai, atsirandantys iš draudimo ir (ar) perdraudimo sutarčių ar susiję su jomis, apskaičiuoti teisės aktų nustatyta tvarka. </w:t>
      </w:r>
    </w:p>
    <w:p w14:paraId="036727E4" w14:textId="77777777" w:rsidR="00093845" w:rsidRDefault="00357EBE">
      <w:pPr>
        <w:ind w:firstLine="720"/>
        <w:jc w:val="both"/>
      </w:pPr>
      <w:r>
        <w:t xml:space="preserve">2. </w:t>
      </w:r>
      <w:r w:rsidR="000D779E">
        <w:t xml:space="preserve"> Draudimo techninių atidėjimų dydžių apskaičiavimo metodiką tvirtina Lietuvos bankas.</w:t>
      </w:r>
    </w:p>
    <w:p w14:paraId="27721392" w14:textId="77777777" w:rsidR="007E6808" w:rsidRPr="00C512D5" w:rsidRDefault="007E6808" w:rsidP="007E6808">
      <w:pPr>
        <w:pStyle w:val="Pagrindiniotekstotrauka"/>
        <w:spacing w:after="0" w:line="240" w:lineRule="auto"/>
        <w:rPr>
          <w:rFonts w:ascii="Times New Roman" w:hAnsi="Times New Roman" w:cs="Times New Roman"/>
          <w:lang w:val="lt-LT"/>
        </w:rPr>
      </w:pPr>
      <w:r w:rsidRPr="00C512D5">
        <w:rPr>
          <w:rFonts w:ascii="Times New Roman" w:hAnsi="Times New Roman" w:cs="Times New Roman"/>
          <w:bCs/>
          <w:lang w:val="lt-LT"/>
        </w:rPr>
        <w:t>3.</w:t>
      </w:r>
      <w:r w:rsidRPr="00C512D5">
        <w:rPr>
          <w:lang w:val="lt-LT"/>
        </w:rPr>
        <w:t> </w:t>
      </w:r>
      <w:r>
        <w:rPr>
          <w:lang w:val="lt-LT"/>
        </w:rPr>
        <w:t>I</w:t>
      </w:r>
      <w:r w:rsidRPr="00C512D5">
        <w:rPr>
          <w:lang w:val="lt-LT"/>
        </w:rPr>
        <w:t xml:space="preserve">š pajamų gali būti atskaitomi tik Lietuvos Respublikos finansų ministro 2006 m. kovo 29 d. </w:t>
      </w:r>
      <w:r w:rsidRPr="007E6808">
        <w:rPr>
          <w:rStyle w:val="Hipersaitas"/>
          <w:b w:val="0"/>
          <w:lang w:val="lt-LT"/>
        </w:rPr>
        <w:t>įsakymu Nr. 1K-142</w:t>
      </w:r>
      <w:r w:rsidRPr="00C512D5">
        <w:rPr>
          <w:lang w:val="lt-LT"/>
        </w:rPr>
        <w:t xml:space="preserve"> „Dėl draudimo techninių atidėjinių aprašo patvirtinimo“ patvirtintame Draudimo techninių atidėjinių apraše nurodyti </w:t>
      </w:r>
      <w:r>
        <w:rPr>
          <w:lang w:val="lt-LT"/>
        </w:rPr>
        <w:t xml:space="preserve">draudimo techniniai atidėjiniai </w:t>
      </w:r>
      <w:r w:rsidRPr="00C512D5">
        <w:rPr>
          <w:rFonts w:ascii="Times New Roman" w:hAnsi="Times New Roman" w:cs="Times New Roman"/>
          <w:lang w:val="lt-LT"/>
        </w:rPr>
        <w:t xml:space="preserve">(nauja redakcija įsakymas išdėstytas </w:t>
      </w:r>
      <w:r w:rsidRPr="00C512D5">
        <w:rPr>
          <w:rFonts w:ascii="Times New Roman" w:hAnsi="Times New Roman" w:cs="Times New Roman"/>
          <w:color w:val="000000"/>
          <w:shd w:val="clear" w:color="auto" w:fill="FFFFFF"/>
          <w:lang w:val="lt-LT"/>
        </w:rPr>
        <w:t xml:space="preserve">2023 m. rugsėjo 29 d. Nr. 1K-334 „Dėl finansų ministro 2006 m. kovo 29 d. įsakymo Nr. 1K-142 „Dėl draudimo techninių atidėjinių aprašo patvirtinimo“ pakeitimo) </w:t>
      </w:r>
      <w:r w:rsidRPr="00C512D5">
        <w:rPr>
          <w:rFonts w:ascii="Times New Roman" w:hAnsi="Times New Roman" w:cs="Times New Roman"/>
          <w:lang w:val="lt-LT"/>
        </w:rPr>
        <w:t>nurodyti draudimo techniniai atidėjiniai.“</w:t>
      </w:r>
    </w:p>
    <w:p w14:paraId="5E65954A" w14:textId="77777777" w:rsidR="007E6808" w:rsidRPr="00C512D5" w:rsidRDefault="007E6808" w:rsidP="007E6808">
      <w:pPr>
        <w:pStyle w:val="Pagrindiniotekstotrauka"/>
        <w:spacing w:after="0"/>
        <w:rPr>
          <w:rFonts w:ascii="Times New Roman" w:hAnsi="Times New Roman" w:cs="Times New Roman"/>
          <w:lang w:val="lt-LT"/>
        </w:rPr>
      </w:pPr>
      <w:r w:rsidRPr="00C512D5">
        <w:rPr>
          <w:rFonts w:ascii="Times New Roman" w:hAnsi="Times New Roman" w:cs="Times New Roman"/>
          <w:bCs/>
          <w:lang w:val="lt-LT"/>
        </w:rPr>
        <w:t xml:space="preserve"> 4</w:t>
      </w:r>
      <w:r w:rsidRPr="00C512D5">
        <w:rPr>
          <w:rFonts w:ascii="Times New Roman" w:hAnsi="Times New Roman" w:cs="Times New Roman"/>
          <w:color w:val="000000"/>
          <w:shd w:val="clear" w:color="auto" w:fill="FFFFFF"/>
          <w:lang w:val="lt-LT"/>
        </w:rPr>
        <w:t xml:space="preserve">. Apmokestinamieji vienetai, išskyrus 5 punkte nurodytas gyvybės draudimo įmones, </w:t>
      </w:r>
      <w:r w:rsidRPr="00C512D5">
        <w:rPr>
          <w:rFonts w:ascii="Times New Roman" w:hAnsi="Times New Roman" w:cs="Times New Roman"/>
          <w:lang w:val="lt-LT"/>
        </w:rPr>
        <w:t xml:space="preserve">pirmą kartą pritaikę </w:t>
      </w:r>
      <w:r w:rsidRPr="00C512D5">
        <w:rPr>
          <w:rFonts w:ascii="Times New Roman" w:hAnsi="Times New Roman" w:cs="Times New Roman"/>
          <w:color w:val="000000"/>
          <w:shd w:val="clear" w:color="auto" w:fill="FFFFFF"/>
          <w:lang w:val="lt-LT"/>
        </w:rPr>
        <w:t>17-ąjį tarptautinį finansinės atskaitomybės standartą (TFAS) „Draudimo sutartys“</w:t>
      </w:r>
      <w:r w:rsidRPr="00C512D5">
        <w:rPr>
          <w:rFonts w:ascii="Times New Roman" w:hAnsi="Times New Roman" w:cs="Times New Roman"/>
          <w:lang w:val="lt-LT"/>
        </w:rPr>
        <w:t xml:space="preserve"> ir atlikę </w:t>
      </w:r>
      <w:r w:rsidRPr="00C512D5">
        <w:rPr>
          <w:rFonts w:ascii="Times New Roman" w:hAnsi="Times New Roman" w:cs="Times New Roman"/>
          <w:color w:val="000000"/>
          <w:shd w:val="clear" w:color="auto" w:fill="FFFFFF"/>
          <w:lang w:val="lt-LT"/>
        </w:rPr>
        <w:t xml:space="preserve">draudimo techninių atidėjinių, nurodytų </w:t>
      </w:r>
      <w:r w:rsidRPr="00C512D5">
        <w:rPr>
          <w:rFonts w:ascii="Times New Roman" w:hAnsi="Times New Roman" w:cs="Times New Roman"/>
          <w:lang w:val="lt-LT"/>
        </w:rPr>
        <w:t xml:space="preserve"> Lietuvos Respublikos finansų ministro 2006 m. kovo 29 d. </w:t>
      </w:r>
      <w:r w:rsidRPr="007E6808">
        <w:rPr>
          <w:rStyle w:val="Hipersaitas"/>
          <w:rFonts w:ascii="Times New Roman" w:hAnsi="Times New Roman" w:cs="Times New Roman"/>
          <w:b w:val="0"/>
          <w:lang w:val="lt-LT"/>
        </w:rPr>
        <w:t>įsakyme Nr. 1K-142</w:t>
      </w:r>
      <w:r w:rsidRPr="00C512D5">
        <w:rPr>
          <w:rFonts w:ascii="Times New Roman" w:hAnsi="Times New Roman" w:cs="Times New Roman"/>
          <w:lang w:val="lt-LT"/>
        </w:rPr>
        <w:t xml:space="preserve"> „Dėl draudimo techninių atidėjinių“, koregavimą pagal standarto reikalavimus, apskaičiuodami apmokestinamąjį pelną, koregavimo sumas priskiria to mokestinio </w:t>
      </w:r>
      <w:r w:rsidRPr="00C512D5">
        <w:rPr>
          <w:rFonts w:ascii="Times New Roman" w:hAnsi="Times New Roman" w:cs="Times New Roman"/>
          <w:lang w:val="lt-LT"/>
        </w:rPr>
        <w:lastRenderedPageBreak/>
        <w:t>laikotarpio, kurį pirmą kartą atliko atidėjinių koregavimą, ribojamų dydžių leidžiamiems atskaitymams.</w:t>
      </w:r>
    </w:p>
    <w:p w14:paraId="7A1D1C22" w14:textId="77777777" w:rsidR="007E6808" w:rsidRDefault="007E6808" w:rsidP="007E6808">
      <w:pPr>
        <w:pStyle w:val="Pagrindiniotekstotrauka"/>
        <w:rPr>
          <w:iCs/>
          <w:lang w:val="nb-NO"/>
        </w:rPr>
      </w:pPr>
      <w:r w:rsidRPr="00C512D5">
        <w:rPr>
          <w:rFonts w:ascii="Times New Roman" w:hAnsi="Times New Roman" w:cs="Times New Roman"/>
          <w:color w:val="000000"/>
          <w:shd w:val="clear" w:color="auto" w:fill="FFFFFF"/>
          <w:lang w:val="lt-LT"/>
        </w:rPr>
        <w:t xml:space="preserve">5. Gyvybės draudimo įmonės, </w:t>
      </w:r>
      <w:r w:rsidRPr="00C512D5">
        <w:rPr>
          <w:rFonts w:ascii="Times New Roman" w:hAnsi="Times New Roman" w:cs="Times New Roman"/>
          <w:lang w:val="lt-LT"/>
        </w:rPr>
        <w:t>pirmą kartą pritaikiusios 17 TFAS ir atlikusios gyvybės draudimo sutarčių, nurodytų PMĮ 12 straipsnio 16 punkte</w:t>
      </w:r>
      <w:r>
        <w:rPr>
          <w:rFonts w:ascii="Times New Roman" w:hAnsi="Times New Roman" w:cs="Times New Roman"/>
          <w:lang w:val="lt-LT"/>
        </w:rPr>
        <w:t xml:space="preserve"> (</w:t>
      </w:r>
      <w:r w:rsidRPr="00C512D5">
        <w:rPr>
          <w:rFonts w:ascii="Times New Roman" w:hAnsi="Times New Roman" w:cs="Times New Roman"/>
          <w:lang w:val="lt-LT"/>
        </w:rPr>
        <w:t>t. y. gyvybės draudimo sutarčių, kurių terminas ne trumpesnis kaip 10 metų arba jei draudimo išmoka išmokama apdraustajam sulaukus pensinio amžiaus pagal Profesinių pensijų kaupimo įstatymo nuostatas</w:t>
      </w:r>
      <w:r>
        <w:rPr>
          <w:rFonts w:ascii="Times New Roman" w:hAnsi="Times New Roman" w:cs="Times New Roman"/>
          <w:lang w:val="lt-LT"/>
        </w:rPr>
        <w:t>),</w:t>
      </w:r>
      <w:r w:rsidRPr="00C512D5">
        <w:rPr>
          <w:rFonts w:ascii="Times New Roman" w:hAnsi="Times New Roman" w:cs="Times New Roman"/>
          <w:lang w:val="lt-LT"/>
        </w:rPr>
        <w:t xml:space="preserve"> </w:t>
      </w:r>
      <w:r w:rsidRPr="00C512D5">
        <w:rPr>
          <w:rFonts w:ascii="Times New Roman" w:hAnsi="Times New Roman" w:cs="Times New Roman"/>
          <w:color w:val="000000"/>
          <w:shd w:val="clear" w:color="auto" w:fill="FFFFFF"/>
          <w:lang w:val="lt-LT"/>
        </w:rPr>
        <w:t xml:space="preserve">techninių atidėjinių, nurodytų </w:t>
      </w:r>
      <w:r w:rsidRPr="00C512D5">
        <w:rPr>
          <w:rFonts w:ascii="Times New Roman" w:hAnsi="Times New Roman" w:cs="Times New Roman"/>
          <w:lang w:val="lt-LT"/>
        </w:rPr>
        <w:t xml:space="preserve"> Lietuvos Respublikos finansų ministro 2006 m. kovo 29 d. </w:t>
      </w:r>
      <w:r w:rsidRPr="007E6808">
        <w:rPr>
          <w:rStyle w:val="Hipersaitas"/>
          <w:rFonts w:ascii="Times New Roman" w:hAnsi="Times New Roman" w:cs="Times New Roman"/>
          <w:b w:val="0"/>
          <w:lang w:val="lt-LT"/>
        </w:rPr>
        <w:t>įsakyme Nr. 1K-142</w:t>
      </w:r>
      <w:r w:rsidRPr="00C512D5">
        <w:rPr>
          <w:rFonts w:ascii="Times New Roman" w:hAnsi="Times New Roman" w:cs="Times New Roman"/>
          <w:lang w:val="lt-LT"/>
        </w:rPr>
        <w:t xml:space="preserve"> „Dėl draudimo techninių atidėjinių“,</w:t>
      </w:r>
      <w:r>
        <w:rPr>
          <w:rFonts w:ascii="Times New Roman" w:hAnsi="Times New Roman" w:cs="Times New Roman"/>
          <w:lang w:val="lt-LT"/>
        </w:rPr>
        <w:t xml:space="preserve"> </w:t>
      </w:r>
      <w:r w:rsidRPr="00C512D5">
        <w:rPr>
          <w:rFonts w:ascii="Times New Roman" w:hAnsi="Times New Roman" w:cs="Times New Roman"/>
          <w:lang w:val="lt-LT"/>
        </w:rPr>
        <w:t xml:space="preserve">kurie, </w:t>
      </w:r>
      <w:r w:rsidRPr="00C512D5">
        <w:rPr>
          <w:rFonts w:ascii="Times New Roman" w:hAnsi="Times New Roman" w:cs="Times New Roman"/>
          <w:color w:val="000000"/>
          <w:shd w:val="clear" w:color="auto" w:fill="FFFFFF"/>
          <w:lang w:val="lt-LT"/>
        </w:rPr>
        <w:t>apskaičiuojant apmokestinamąjį pelną,</w:t>
      </w:r>
      <w:r w:rsidRPr="00C512D5">
        <w:rPr>
          <w:rFonts w:ascii="Times New Roman" w:hAnsi="Times New Roman" w:cs="Times New Roman"/>
          <w:lang w:val="lt-LT"/>
        </w:rPr>
        <w:t xml:space="preserve"> nebuvo atskaityti iš pajamų, koregavimą pagal standarto reikalavimus, apskaičiuodamos apmokestinamąjį pelną, koregavimo sumų nepriskiria apmokestinamosioms pajamoms</w:t>
      </w:r>
      <w:r>
        <w:rPr>
          <w:iCs/>
          <w:lang w:val="nb-NO"/>
        </w:rPr>
        <w:t xml:space="preserve"> </w:t>
      </w:r>
    </w:p>
    <w:p w14:paraId="49CD45E7" w14:textId="77777777" w:rsidR="00093845" w:rsidRDefault="000D779E" w:rsidP="007E6808">
      <w:pPr>
        <w:pStyle w:val="Pagrindiniotekstotrauka"/>
        <w:rPr>
          <w:lang w:val="lt-LT"/>
        </w:rPr>
      </w:pPr>
      <w:r>
        <w:rPr>
          <w:iCs/>
          <w:lang w:val="nb-NO"/>
        </w:rPr>
        <w:t xml:space="preserve">(Pagal </w:t>
      </w:r>
      <w:r>
        <w:rPr>
          <w:color w:val="000000"/>
          <w:lang w:val="lt-LT"/>
        </w:rPr>
        <w:t>VMI prie FM 20</w:t>
      </w:r>
      <w:r w:rsidR="007E6808">
        <w:rPr>
          <w:color w:val="000000"/>
          <w:lang w:val="lt-LT"/>
        </w:rPr>
        <w:t>23</w:t>
      </w:r>
      <w:r>
        <w:rPr>
          <w:color w:val="000000"/>
          <w:lang w:val="lt-LT"/>
        </w:rPr>
        <w:t>-</w:t>
      </w:r>
      <w:r w:rsidR="007E6808">
        <w:rPr>
          <w:color w:val="000000"/>
          <w:lang w:val="lt-LT"/>
        </w:rPr>
        <w:t>10</w:t>
      </w:r>
      <w:r>
        <w:rPr>
          <w:color w:val="000000"/>
          <w:lang w:val="lt-LT"/>
        </w:rPr>
        <w:t>-1</w:t>
      </w:r>
      <w:r w:rsidR="007E6808">
        <w:rPr>
          <w:color w:val="000000"/>
          <w:lang w:val="lt-LT"/>
        </w:rPr>
        <w:t>8</w:t>
      </w:r>
      <w:r>
        <w:rPr>
          <w:color w:val="000000"/>
          <w:lang w:val="lt-LT"/>
        </w:rPr>
        <w:t xml:space="preserve"> raštą Nr.</w:t>
      </w:r>
      <w:r w:rsidR="00A31764">
        <w:rPr>
          <w:color w:val="000000"/>
          <w:lang w:val="lt-LT"/>
        </w:rPr>
        <w:t xml:space="preserve"> R-</w:t>
      </w:r>
      <w:r>
        <w:rPr>
          <w:color w:val="000000"/>
          <w:lang w:val="lt-LT"/>
        </w:rPr>
        <w:t xml:space="preserve"> </w:t>
      </w:r>
      <w:r w:rsidR="007E6808">
        <w:rPr>
          <w:color w:val="000000"/>
          <w:lang w:val="lt-LT"/>
        </w:rPr>
        <w:t>3947)</w:t>
      </w:r>
    </w:p>
    <w:p w14:paraId="62FF8B01" w14:textId="77777777" w:rsidR="00FE3551" w:rsidRDefault="00FE3551">
      <w:pPr>
        <w:pStyle w:val="Pagrindiniotekstotrauka"/>
        <w:rPr>
          <w:b/>
          <w:lang w:val="lt-LT"/>
        </w:rPr>
      </w:pPr>
    </w:p>
    <w:p w14:paraId="00848846" w14:textId="77777777" w:rsidR="00093845" w:rsidRDefault="000D779E">
      <w:pPr>
        <w:pStyle w:val="Antrat1"/>
        <w:jc w:val="both"/>
        <w:rPr>
          <w:bCs w:val="0"/>
          <w:lang w:val="lt-LT"/>
        </w:rPr>
      </w:pPr>
      <w:bookmarkStart w:id="428" w:name="_28_straipsnis._Parama._1"/>
      <w:bookmarkEnd w:id="428"/>
      <w:r>
        <w:rPr>
          <w:bCs w:val="0"/>
          <w:lang w:val="lt-LT"/>
        </w:rPr>
        <w:t>28 STRAIPSNIS. Parama.</w:t>
      </w:r>
    </w:p>
    <w:p w14:paraId="776C8FE9" w14:textId="77777777" w:rsidR="00093845" w:rsidRPr="0065344A" w:rsidRDefault="000D779E" w:rsidP="008B2C8D">
      <w:pPr>
        <w:tabs>
          <w:tab w:val="left" w:pos="720"/>
          <w:tab w:val="left" w:pos="1077"/>
          <w:tab w:val="left" w:pos="1418"/>
        </w:tabs>
        <w:spacing w:after="0"/>
        <w:ind w:firstLine="709"/>
        <w:jc w:val="both"/>
        <w:rPr>
          <w:b/>
          <w:szCs w:val="20"/>
          <w:lang w:val="lt-LT"/>
        </w:rPr>
      </w:pPr>
      <w:r w:rsidRPr="0065344A">
        <w:rPr>
          <w:b/>
          <w:lang w:val="lt-LT"/>
        </w:rPr>
        <w:t>1. Mokesčio mokėtojams, pagal Lietuvos Respublikos labdaros ir paramos įstatymą turintiems teisę teikti labdarą ir paramą, iš pajamų leidžiama atskaityti visas išmokas (išskyrus išmokas grynais pinigais, viršijančias 250 MGL dydžio sumą vienam paramos ar labdaros gavėjui per mokestinį laikotarpį), įskaitant perleistą turtą, suteiktas paslaugas, kurios Lietuvos Respublikos labdaros ir paramos įstatymo nustatyta tvarka skirtos labdarai ir paramai, jei šiame straipsnyje nenustatyta kitaip.</w:t>
      </w:r>
    </w:p>
    <w:p w14:paraId="1AD9DD7A" w14:textId="77777777" w:rsidR="00093845" w:rsidRDefault="000D779E" w:rsidP="008B2C8D">
      <w:pPr>
        <w:spacing w:after="0"/>
        <w:jc w:val="both"/>
        <w:rPr>
          <w:bCs/>
          <w:i/>
          <w:lang w:val="lt-LT"/>
        </w:rPr>
      </w:pPr>
      <w:r w:rsidRPr="00441B00">
        <w:rPr>
          <w:bCs/>
          <w:i/>
          <w:lang w:val="lt-LT"/>
        </w:rPr>
        <w:t>(</w:t>
      </w:r>
      <w:r w:rsidRPr="00441B00">
        <w:rPr>
          <w:i/>
          <w:color w:val="000000"/>
          <w:lang w:val="lt-LT" w:eastAsia="lt-LT"/>
        </w:rPr>
        <w:t>KEISTA: 2005 12 20 įstatymu Nr. X-456 (nuo 2006 01 01)</w:t>
      </w:r>
      <w:r w:rsidR="009978E8" w:rsidRPr="00441B00">
        <w:rPr>
          <w:i/>
          <w:color w:val="000000"/>
          <w:lang w:val="lt-LT" w:eastAsia="lt-LT"/>
        </w:rPr>
        <w:t>,</w:t>
      </w:r>
      <w:r w:rsidR="00384239" w:rsidRPr="00441B00">
        <w:rPr>
          <w:i/>
          <w:lang w:val="lt-LT"/>
        </w:rPr>
        <w:t xml:space="preserve"> </w:t>
      </w:r>
      <w:r w:rsidR="00384239" w:rsidRPr="00441B00">
        <w:rPr>
          <w:i/>
          <w:color w:val="000000"/>
          <w:lang w:val="lt-LT" w:eastAsia="lt-LT"/>
        </w:rPr>
        <w:t>nuostatos taikomos apskaičiuojant 2006 metais prasidėjusio ir vėlesnių mokestinių laikotarpių apmokestinamąjį pelną</w:t>
      </w:r>
      <w:r w:rsidRPr="00441B00">
        <w:rPr>
          <w:bCs/>
          <w:i/>
          <w:lang w:val="lt-LT"/>
        </w:rPr>
        <w:t>)</w:t>
      </w:r>
    </w:p>
    <w:p w14:paraId="33124BB1" w14:textId="77777777" w:rsidR="00441B00" w:rsidRPr="00441B00" w:rsidRDefault="00441B00" w:rsidP="008B2C8D">
      <w:pPr>
        <w:spacing w:after="0"/>
        <w:jc w:val="both"/>
        <w:rPr>
          <w:bCs/>
          <w:i/>
          <w:lang w:val="lt-LT"/>
        </w:rPr>
      </w:pPr>
    </w:p>
    <w:p w14:paraId="5FEE8BE2" w14:textId="77777777" w:rsidR="00115097" w:rsidRPr="00115097" w:rsidRDefault="000D779E">
      <w:pPr>
        <w:ind w:firstLine="709"/>
        <w:jc w:val="both"/>
        <w:rPr>
          <w:b/>
          <w:bCs/>
          <w:lang w:val="lt-LT"/>
        </w:rPr>
      </w:pPr>
      <w:r w:rsidRPr="00115097">
        <w:rPr>
          <w:b/>
          <w:bCs/>
          <w:lang w:val="lt-LT"/>
        </w:rPr>
        <w:t xml:space="preserve">Komentaras </w:t>
      </w:r>
    </w:p>
    <w:p w14:paraId="5D793AFC" w14:textId="77777777" w:rsidR="00093845" w:rsidRPr="0065344A" w:rsidRDefault="000D779E">
      <w:pPr>
        <w:ind w:firstLine="709"/>
        <w:jc w:val="both"/>
        <w:rPr>
          <w:szCs w:val="20"/>
          <w:lang w:val="lt-LT"/>
        </w:rPr>
      </w:pPr>
      <w:r w:rsidRPr="0065344A">
        <w:rPr>
          <w:lang w:val="lt-LT"/>
        </w:rPr>
        <w:t xml:space="preserve">1. Šioje dalyje nustatyta, kad vienetams, turintiems teisę teikti labdarą bei paramą, leidžiama iš pajamų atskaityti visas Lietuvos Respublikos </w:t>
      </w:r>
      <w:r w:rsidR="00A53D32" w:rsidRPr="0065344A">
        <w:rPr>
          <w:lang w:val="lt-LT"/>
        </w:rPr>
        <w:t>labdaros ir paramos įstatymo</w:t>
      </w:r>
      <w:r w:rsidRPr="0065344A">
        <w:rPr>
          <w:lang w:val="lt-LT"/>
        </w:rPr>
        <w:t xml:space="preserve"> (toliau - LPĮ) nustatyta tvarka labdarai ir paramai skirtas išmokas, įskaitant perleisto turto, suteiktų paslaugų vertę. Tačiau, </w:t>
      </w:r>
      <w:r w:rsidRPr="0065344A">
        <w:rPr>
          <w:szCs w:val="20"/>
          <w:lang w:val="lt-LT"/>
        </w:rPr>
        <w:t xml:space="preserve">apskaičiuojant apmokestinamąjį pelną, </w:t>
      </w:r>
      <w:r w:rsidRPr="0065344A">
        <w:rPr>
          <w:lang w:val="lt-LT"/>
        </w:rPr>
        <w:t>p</w:t>
      </w:r>
      <w:r w:rsidRPr="0065344A">
        <w:rPr>
          <w:szCs w:val="20"/>
          <w:lang w:val="lt-LT"/>
        </w:rPr>
        <w:t>aramai ar labdarai skirtos išmokos grynais pinigais, viršijančios 250 MGL (</w:t>
      </w:r>
      <w:r w:rsidRPr="0065344A">
        <w:rPr>
          <w:lang w:val="lt-LT"/>
        </w:rPr>
        <w:t>bazinės socialinės išmokos)</w:t>
      </w:r>
      <w:r w:rsidRPr="0065344A">
        <w:rPr>
          <w:szCs w:val="20"/>
          <w:lang w:val="lt-LT"/>
        </w:rPr>
        <w:t xml:space="preserve"> dydžio sumą vienam paramos ar labdaros gavėjui per mokestinį laikotarpį, iš pajamų neatskaitomos.</w:t>
      </w:r>
    </w:p>
    <w:p w14:paraId="0ED8C63E" w14:textId="77777777" w:rsidR="00093845" w:rsidRPr="0065344A" w:rsidRDefault="000D779E">
      <w:pPr>
        <w:ind w:firstLine="709"/>
        <w:jc w:val="both"/>
        <w:rPr>
          <w:szCs w:val="20"/>
          <w:lang w:val="lt-LT"/>
        </w:rPr>
      </w:pPr>
      <w:r w:rsidRPr="0065344A">
        <w:rPr>
          <w:szCs w:val="20"/>
          <w:lang w:val="lt-LT"/>
        </w:rPr>
        <w:t>1 pavyzdys</w:t>
      </w:r>
    </w:p>
    <w:p w14:paraId="2D39F332" w14:textId="77777777" w:rsidR="00093845" w:rsidRPr="0065344A" w:rsidRDefault="000D779E">
      <w:pPr>
        <w:pBdr>
          <w:top w:val="single" w:sz="4" w:space="1" w:color="auto"/>
          <w:left w:val="single" w:sz="4" w:space="0" w:color="auto"/>
          <w:bottom w:val="single" w:sz="4" w:space="1" w:color="auto"/>
          <w:right w:val="single" w:sz="4" w:space="2" w:color="auto"/>
        </w:pBdr>
        <w:ind w:firstLine="709"/>
        <w:jc w:val="both"/>
        <w:rPr>
          <w:szCs w:val="20"/>
          <w:lang w:val="lt-LT"/>
        </w:rPr>
      </w:pPr>
      <w:r w:rsidRPr="0065344A">
        <w:rPr>
          <w:szCs w:val="20"/>
          <w:lang w:val="lt-LT"/>
        </w:rPr>
        <w:t xml:space="preserve">Viešoji įstaiga vykdo ūkinę komercinę veiklą ir per 2015 metų mokestinį laikotarpį uždirbo 200 000 Eur šios veiklos pajamų. Mokestinio laikotarpio leidžiami ir ribojamo dydžio leidžiami atskaitymai (be paramai ir labdarai skirtų išmokų) sudarė 100 000 Eur, apmokestinamasis pelnas – 100 000 Eur. Per mokestinius metus viešoji įstaiga kitai viešajai įstaigai banko pavedimu pervedė 20 000 Eur paramos bei suteikė 15 000 Eur labdarą vienam labdaros gavėjui grynais pinigais, t. y. labdarai ir paramai skyrė 35 000 Eur. 2015 metais MGL    (t. y. </w:t>
      </w:r>
      <w:r w:rsidRPr="0065344A">
        <w:rPr>
          <w:lang w:val="lt-LT"/>
        </w:rPr>
        <w:t>bazinės socialinės išmokos dydis) yra 38 Eur.</w:t>
      </w:r>
      <w:r w:rsidRPr="0065344A">
        <w:rPr>
          <w:szCs w:val="20"/>
          <w:lang w:val="lt-LT"/>
        </w:rPr>
        <w:t xml:space="preserve"> Vadovaujantis PMĮ 28 str. 1 dalies nuostatomis, apskaičiuojant apmokestinamąjį pelną, iš pajamų gali būti atskaitoma 20 000 Eur viešajai įstaigai banko pavedimu pervesta paramos suma ir 9 500 Eur (250 x 38) neviršijanti grynais pinigais suteiktos labdaros suma. Labdaros grynais pinigais dalis – 5 500 Eur (15 000 Eur – 9 500 Eur), viršijanti 250 </w:t>
      </w:r>
      <w:r w:rsidRPr="0065344A">
        <w:rPr>
          <w:lang w:val="lt-LT"/>
        </w:rPr>
        <w:t>bazinės socialinės išmokos dydžio</w:t>
      </w:r>
      <w:r w:rsidRPr="0065344A">
        <w:rPr>
          <w:szCs w:val="20"/>
          <w:lang w:val="lt-LT"/>
        </w:rPr>
        <w:t xml:space="preserve"> negali būti priskirta ribojamų dydžių leidžiamiems atskaitymams. Vadinasi, viešoji įstaiga ribojamų dydžių leidžiamiems atskaitymams gali priskirti 29 500 Eur, o 5 500 Eur priskiriama neleidžiamiems atskaitymams.</w:t>
      </w:r>
    </w:p>
    <w:p w14:paraId="23338142" w14:textId="77777777" w:rsidR="00093845" w:rsidRPr="0065344A" w:rsidRDefault="000D779E">
      <w:pPr>
        <w:ind w:firstLine="709"/>
        <w:jc w:val="both"/>
        <w:rPr>
          <w:szCs w:val="20"/>
          <w:lang w:val="lt-LT"/>
        </w:rPr>
      </w:pPr>
      <w:r w:rsidRPr="0065344A">
        <w:rPr>
          <w:szCs w:val="20"/>
          <w:lang w:val="lt-LT"/>
        </w:rPr>
        <w:t>2 pavyzdys</w:t>
      </w:r>
    </w:p>
    <w:p w14:paraId="09F28E62" w14:textId="77777777" w:rsidR="00093845" w:rsidRPr="0065344A" w:rsidRDefault="000D779E">
      <w:pPr>
        <w:pBdr>
          <w:top w:val="single" w:sz="4" w:space="1" w:color="auto"/>
          <w:left w:val="single" w:sz="4" w:space="0" w:color="auto"/>
          <w:bottom w:val="single" w:sz="4" w:space="0" w:color="auto"/>
          <w:right w:val="single" w:sz="4" w:space="4" w:color="auto"/>
        </w:pBdr>
        <w:ind w:firstLine="709"/>
        <w:jc w:val="both"/>
        <w:rPr>
          <w:szCs w:val="20"/>
          <w:lang w:val="lt-LT"/>
        </w:rPr>
      </w:pPr>
      <w:r w:rsidRPr="0065344A">
        <w:rPr>
          <w:szCs w:val="20"/>
          <w:lang w:val="lt-LT"/>
        </w:rPr>
        <w:lastRenderedPageBreak/>
        <w:t>Viešoji įstaiga per mokestinį laikotarpį vienam labdaros gavėjui grynaisiais pinigais suteikė 6 000 Eur, o kitam – 5 000 Eur labdarą. Vadovaujantis PMĮ 28 str. 1 dalies nuostatomis, apskaičiuojant apmokestinamąjį pelną, iš pajamų gali būti atskaitoma visa 11 000 Eur suteiktos labdaros suma, nes nei vienam labdaros gavėjui grynais pinigais nebuvo suteikta 250 MGL (</w:t>
      </w:r>
      <w:r w:rsidRPr="0065344A">
        <w:rPr>
          <w:lang w:val="lt-LT"/>
        </w:rPr>
        <w:t>bazinės socialinės išmokos)</w:t>
      </w:r>
      <w:r w:rsidRPr="0065344A">
        <w:rPr>
          <w:szCs w:val="20"/>
          <w:lang w:val="lt-LT"/>
        </w:rPr>
        <w:t xml:space="preserve"> viršijanti labdaros suma.</w:t>
      </w:r>
    </w:p>
    <w:p w14:paraId="394CEB11" w14:textId="77777777" w:rsidR="00093845" w:rsidRDefault="000D779E">
      <w:pPr>
        <w:tabs>
          <w:tab w:val="left" w:pos="720"/>
          <w:tab w:val="left" w:pos="1077"/>
          <w:tab w:val="left" w:pos="1418"/>
        </w:tabs>
        <w:ind w:firstLine="709"/>
        <w:jc w:val="both"/>
      </w:pPr>
      <w:r>
        <w:t xml:space="preserve">2. Kokie vienetai turi teisę teikti labdarą ir paramą yra nurodyta </w:t>
      </w:r>
      <w:r>
        <w:rPr>
          <w:u w:val="single"/>
        </w:rPr>
        <w:t>LPĮ 5 straipsnyje</w:t>
      </w:r>
      <w:r>
        <w:t>. Teisę teikti labdarą ir paramą gali turėti šie Lietuvos Respublikoje įregistruoti Lietuvos vienetai:</w:t>
      </w:r>
    </w:p>
    <w:p w14:paraId="56E2BE1F" w14:textId="77777777" w:rsidR="00093845" w:rsidRDefault="000D779E" w:rsidP="008B2C8D">
      <w:pPr>
        <w:tabs>
          <w:tab w:val="left" w:pos="720"/>
          <w:tab w:val="left" w:pos="1077"/>
          <w:tab w:val="left" w:pos="1418"/>
        </w:tabs>
        <w:spacing w:after="0"/>
        <w:ind w:firstLine="709"/>
        <w:jc w:val="both"/>
        <w:rPr>
          <w:szCs w:val="20"/>
        </w:rPr>
      </w:pPr>
      <w:r>
        <w:t>2.1. Labdaros ir paramos fondai;</w:t>
      </w:r>
    </w:p>
    <w:p w14:paraId="53A48806" w14:textId="77777777" w:rsidR="00093845" w:rsidRDefault="000D779E" w:rsidP="008B2C8D">
      <w:pPr>
        <w:tabs>
          <w:tab w:val="left" w:pos="720"/>
          <w:tab w:val="left" w:pos="1077"/>
          <w:tab w:val="left" w:pos="1418"/>
        </w:tabs>
        <w:spacing w:after="0"/>
        <w:ind w:firstLine="709"/>
        <w:jc w:val="both"/>
        <w:rPr>
          <w:szCs w:val="20"/>
        </w:rPr>
      </w:pPr>
      <w:r>
        <w:t>2.2. Asociacijos;</w:t>
      </w:r>
    </w:p>
    <w:p w14:paraId="6A032312" w14:textId="77777777" w:rsidR="00093845" w:rsidRDefault="000D779E" w:rsidP="008B2C8D">
      <w:pPr>
        <w:tabs>
          <w:tab w:val="left" w:pos="720"/>
          <w:tab w:val="left" w:pos="1077"/>
          <w:tab w:val="left" w:pos="1418"/>
        </w:tabs>
        <w:spacing w:after="0"/>
        <w:ind w:firstLine="709"/>
        <w:jc w:val="both"/>
        <w:rPr>
          <w:szCs w:val="20"/>
        </w:rPr>
      </w:pPr>
      <w:r>
        <w:t>2.3. Viešosios įstaigos;</w:t>
      </w:r>
    </w:p>
    <w:p w14:paraId="15656207" w14:textId="77777777" w:rsidR="00093845" w:rsidRDefault="000D779E" w:rsidP="008B2C8D">
      <w:pPr>
        <w:tabs>
          <w:tab w:val="left" w:pos="720"/>
          <w:tab w:val="left" w:pos="1077"/>
          <w:tab w:val="left" w:pos="1418"/>
        </w:tabs>
        <w:spacing w:after="0"/>
        <w:ind w:firstLine="709"/>
        <w:jc w:val="both"/>
        <w:rPr>
          <w:szCs w:val="20"/>
        </w:rPr>
      </w:pPr>
      <w:r>
        <w:t>2.4. Religinės bendruomenės, bendrijos ir centrai;</w:t>
      </w:r>
    </w:p>
    <w:p w14:paraId="6D6E5D03" w14:textId="77777777" w:rsidR="00093845" w:rsidRDefault="000D779E" w:rsidP="008B2C8D">
      <w:pPr>
        <w:tabs>
          <w:tab w:val="left" w:pos="720"/>
          <w:tab w:val="left" w:pos="1077"/>
          <w:tab w:val="left" w:pos="1418"/>
        </w:tabs>
        <w:spacing w:after="0"/>
        <w:ind w:left="709"/>
        <w:jc w:val="both"/>
      </w:pPr>
      <w:r>
        <w:t>2.5. Tarptautinių visuomeninių organizacijų skyriai (padaliniai);</w:t>
      </w:r>
    </w:p>
    <w:p w14:paraId="3DF33E51" w14:textId="77777777" w:rsidR="00093845" w:rsidRDefault="000D779E">
      <w:pPr>
        <w:tabs>
          <w:tab w:val="left" w:pos="720"/>
          <w:tab w:val="left" w:pos="1077"/>
          <w:tab w:val="left" w:pos="1418"/>
        </w:tabs>
        <w:ind w:firstLine="709"/>
        <w:jc w:val="both"/>
        <w:rPr>
          <w:szCs w:val="20"/>
        </w:rPr>
      </w:pPr>
      <w:r>
        <w:t>3. Aukščiau minėti Lietuvos vienetai gali būti pripažinti paramos ir labdaros teikėjais, jeigu:</w:t>
      </w:r>
    </w:p>
    <w:p w14:paraId="37AA7794" w14:textId="77777777" w:rsidR="00093845" w:rsidRDefault="000D779E">
      <w:pPr>
        <w:tabs>
          <w:tab w:val="left" w:pos="720"/>
          <w:tab w:val="left" w:pos="1077"/>
          <w:tab w:val="left" w:pos="1418"/>
        </w:tabs>
        <w:ind w:firstLine="709"/>
        <w:jc w:val="both"/>
        <w:rPr>
          <w:szCs w:val="20"/>
        </w:rPr>
      </w:pPr>
      <w:r>
        <w:t>3.1. Jų veiklos tikslas nėra pelno siekimas, o gautas pelnas negali būti skiriamas jų dalyviams;</w:t>
      </w:r>
    </w:p>
    <w:p w14:paraId="21BA2D8D" w14:textId="77777777" w:rsidR="00093845" w:rsidRDefault="000D779E">
      <w:pPr>
        <w:tabs>
          <w:tab w:val="left" w:pos="720"/>
          <w:tab w:val="left" w:pos="1077"/>
          <w:tab w:val="left" w:pos="1418"/>
        </w:tabs>
        <w:ind w:firstLine="709"/>
        <w:jc w:val="both"/>
        <w:rPr>
          <w:szCs w:val="20"/>
        </w:rPr>
      </w:pPr>
      <w:r>
        <w:t>3.2. Jų įstatuose arba religinių bendruomenių, bendrijų ir centrų kanonuose, statutuose ir kitose normose bei veiklą reglamentuojančiuose teisės aktuose numatytas labdaros teikimas, ir jeigu jie pagal LPĮ nuostatas turi teisę gauti paramą.</w:t>
      </w:r>
    </w:p>
    <w:p w14:paraId="0949A810" w14:textId="77777777" w:rsidR="00927E65" w:rsidRPr="00691E2D" w:rsidRDefault="00927E65" w:rsidP="00927E65">
      <w:pPr>
        <w:tabs>
          <w:tab w:val="left" w:pos="720"/>
          <w:tab w:val="left" w:pos="1077"/>
          <w:tab w:val="left" w:pos="1418"/>
        </w:tabs>
        <w:ind w:firstLine="709"/>
        <w:jc w:val="both"/>
        <w:rPr>
          <w:lang w:val="lt-LT"/>
        </w:rPr>
      </w:pPr>
      <w:r w:rsidRPr="00691E2D">
        <w:rPr>
          <w:lang w:val="lt-LT"/>
        </w:rPr>
        <w:t xml:space="preserve">4. Vienetai, turintys teisę gauti paramą, išskyrus šeimynas, vadovaudamiesi LPĮ, privalo atskirai tvarkyti pagal LPĮ gaunamos paramos apskaitą (joje nurodyti teikėjus, jei parama nebuvo gauta anonimiškai, taip pat paramos vertę ir kaip ji buvo panaudota, t. y. įvardyti konkrečius gavėjus, jeigu lėšos ar turtas, gauti kaip parama, perduoti kitam asmeniui) bei pačių teikiamos paramos ir (arba) </w:t>
      </w:r>
      <w:bookmarkStart w:id="429" w:name="27z"/>
      <w:bookmarkEnd w:id="429"/>
      <w:r w:rsidRPr="00691E2D">
        <w:rPr>
          <w:lang w:val="lt-LT"/>
        </w:rPr>
        <w:fldChar w:fldCharType="begin"/>
      </w:r>
      <w:r w:rsidRPr="00691E2D">
        <w:rPr>
          <w:lang w:val="lt-LT"/>
        </w:rPr>
        <w:instrText xml:space="preserve"> HYPERLINK "http://vidinis.vmi.lt/Litlex/LL.DLL?Tekstas=1?Id=7735&amp;Zd=labdaros%2B&amp;BF=4" \l "28z#28z" </w:instrText>
      </w:r>
      <w:r w:rsidRPr="00691E2D">
        <w:rPr>
          <w:lang w:val="lt-LT"/>
        </w:rPr>
        <w:fldChar w:fldCharType="separate"/>
      </w:r>
      <w:r w:rsidRPr="00691E2D">
        <w:rPr>
          <w:lang w:val="lt-LT"/>
        </w:rPr>
        <w:t>labdaros</w:t>
      </w:r>
      <w:r w:rsidRPr="00691E2D">
        <w:rPr>
          <w:lang w:val="lt-LT"/>
        </w:rPr>
        <w:fldChar w:fldCharType="end"/>
      </w:r>
      <w:r w:rsidRPr="00691E2D">
        <w:rPr>
          <w:lang w:val="lt-LT"/>
        </w:rPr>
        <w:t xml:space="preserve"> apskaitą (joje nurodyti duomenis apie konkrečius paramos ir (arba)</w:t>
      </w:r>
      <w:bookmarkStart w:id="430" w:name="28z"/>
      <w:bookmarkEnd w:id="430"/>
      <w:r w:rsidRPr="00691E2D">
        <w:rPr>
          <w:lang w:val="lt-LT"/>
        </w:rPr>
        <w:t xml:space="preserve"> </w:t>
      </w:r>
      <w:hyperlink r:id="rId86" w:anchor="29z#29z" w:history="1">
        <w:r w:rsidRPr="00691E2D">
          <w:rPr>
            <w:lang w:val="lt-LT"/>
          </w:rPr>
          <w:t>labdaros</w:t>
        </w:r>
      </w:hyperlink>
      <w:r w:rsidRPr="00691E2D">
        <w:rPr>
          <w:lang w:val="lt-LT"/>
        </w:rPr>
        <w:t xml:space="preserve"> gavėjus, paramos ir (arba) </w:t>
      </w:r>
      <w:bookmarkStart w:id="431" w:name="29z"/>
      <w:bookmarkEnd w:id="431"/>
      <w:r w:rsidRPr="00691E2D">
        <w:rPr>
          <w:lang w:val="lt-LT"/>
        </w:rPr>
        <w:fldChar w:fldCharType="begin"/>
      </w:r>
      <w:r w:rsidRPr="00691E2D">
        <w:rPr>
          <w:lang w:val="lt-LT"/>
        </w:rPr>
        <w:instrText xml:space="preserve"> HYPERLINK "http://vidinis.vmi.lt/Litlex/LL.DLL?Tekstas=1?Id=7735&amp;Zd=labdaros%2B&amp;BF=4" \l "30z#30z" </w:instrText>
      </w:r>
      <w:r w:rsidRPr="00691E2D">
        <w:rPr>
          <w:lang w:val="lt-LT"/>
        </w:rPr>
        <w:fldChar w:fldCharType="separate"/>
      </w:r>
      <w:r w:rsidRPr="00691E2D">
        <w:rPr>
          <w:lang w:val="lt-LT"/>
        </w:rPr>
        <w:t>labdaros</w:t>
      </w:r>
      <w:r w:rsidRPr="00691E2D">
        <w:rPr>
          <w:lang w:val="lt-LT"/>
        </w:rPr>
        <w:fldChar w:fldCharType="end"/>
      </w:r>
      <w:r w:rsidRPr="00691E2D">
        <w:rPr>
          <w:lang w:val="lt-LT"/>
        </w:rPr>
        <w:t xml:space="preserve"> dalyką ir jo vertę) ir </w:t>
      </w:r>
      <w:bookmarkStart w:id="432" w:name="Xbca32a62fc92403daca9fefdf6905b61"/>
      <w:r w:rsidRPr="00691E2D">
        <w:rPr>
          <w:lang w:val="lt-LT"/>
        </w:rPr>
        <w:t>Vyriausybės ar jos įgaliotos institucijos nustatyta tvarka ir terminais </w:t>
      </w:r>
      <w:bookmarkEnd w:id="432"/>
      <w:r w:rsidRPr="00691E2D">
        <w:rPr>
          <w:lang w:val="lt-LT"/>
        </w:rPr>
        <w:t xml:space="preserve">mokesčių administratoriui privalo pateikti metinę ataskaitą apie gautą paramą ir jos panaudojimą, apie pačių suteiktą paramą ir (arba) labdarą, taip pat ataskaitą apie savo veiklą, susijusią su LPĮ 3 str. 3 dalyje nurodytų visuomenei naudingų tikslų įgyvendinimu. </w:t>
      </w:r>
    </w:p>
    <w:p w14:paraId="69C12F00" w14:textId="3334F964" w:rsidR="00927E65" w:rsidRDefault="00927E65" w:rsidP="00927E65">
      <w:pPr>
        <w:tabs>
          <w:tab w:val="left" w:pos="720"/>
          <w:tab w:val="left" w:pos="1077"/>
          <w:tab w:val="left" w:pos="1418"/>
        </w:tabs>
        <w:jc w:val="both"/>
        <w:rPr>
          <w:lang w:val="lt-LT"/>
        </w:rPr>
      </w:pPr>
      <w:r w:rsidRPr="00691E2D">
        <w:rPr>
          <w:iCs/>
          <w:lang w:val="lt-LT" w:eastAsia="lt-LT"/>
        </w:rPr>
        <w:tab/>
      </w:r>
      <w:r w:rsidRPr="00691E2D">
        <w:rPr>
          <w:lang w:val="lt-LT"/>
        </w:rPr>
        <w:t>Paramos gavėjų metinės ataskaitos pateikimo mokesčių administratoriui tvarka ir terminai yra nustatyti Paramos gavėjų ataskaitų apie gautą paramą ir jos panaudojimą, apie pačių suteiktą paramą ir (arba) labdarą, taip pat apie savo veiklą, susijusią su Lietuvos Respublikos labdaros ir paramos įstatymo 3 straipsnio 3 dalyje nurodytų visuomenei naudingų tikslų įgyvendinimu, pateikimo mokesčių administratoriui tvarkos apraše, patvirtintame 2016 m. lapkričio 21 d. Valstybinės mokesčių inspekcijos prie Lietuvos Respublikos finansų ministerijos viršininko įsakymu Nr. VA-137 „Dėl Lietuvos Respublikos labdaros ir paramos įstatymo įgyvendinimo“ (toliau – Aprašas).</w:t>
      </w:r>
    </w:p>
    <w:p w14:paraId="12504028" w14:textId="1F5EDB4D" w:rsidR="00927E65" w:rsidRPr="00927E65" w:rsidRDefault="00927E65" w:rsidP="00927E65">
      <w:r>
        <w:rPr>
          <w:lang w:val="lt-LT"/>
        </w:rPr>
        <w:tab/>
        <w:t xml:space="preserve"> (Pakeista pagal </w:t>
      </w:r>
      <w:r w:rsidRPr="0051529C">
        <w:t xml:space="preserve">VMI prie FM </w:t>
      </w:r>
      <w:r w:rsidRPr="005E14CD">
        <w:t>2026-02-</w:t>
      </w:r>
      <w:r>
        <w:t>10 raštą</w:t>
      </w:r>
      <w:r w:rsidRPr="005E14CD">
        <w:t xml:space="preserve"> Nr. (18.10-31-1 Mr)</w:t>
      </w:r>
      <w:r>
        <w:t xml:space="preserve"> R-358)</w:t>
      </w:r>
    </w:p>
    <w:p w14:paraId="7C84A58D"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5. Pagal Aprašo nuostatas paramos gavėjo metinę ataskaitą apie gautą paramą, jos panaudojimą ir (arba) suteiktą paramą ir (arba) labdarą bei apie veiklą, susijusią su LPĮ 3 straipsnio 3 dalyje nurodytų visuomenei naudingų tikslų įgyvendinimu (toliau - metinė ataskaita apie paramą ir jos panaudojimą) sudaro dvi dalys:</w:t>
      </w:r>
    </w:p>
    <w:p w14:paraId="07D00D4C"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 xml:space="preserve">- Paramos gavimo ir panaudojimo metinės ataskaitos FR0478 forma, patvirtinta Valstybinės mokesčių inspekcijos prie Lietuvos Respublikos finansų ministerijos viršininko 2003 m. balandžio 10 d. įsakymu Nr. V-103 „Dėl Paramos teikimo metinės ataskaitos FR0477 formos, Paramos gavimo ir panaudojimo metinės ataskaitos FR0478 formos ir jų užpildymo taisyklių patvirtinimo“ (toliau – ataskaitos FR0478 forma), ir </w:t>
      </w:r>
    </w:p>
    <w:p w14:paraId="539ACA3D" w14:textId="77777777" w:rsidR="00C0275C" w:rsidRPr="005D228B" w:rsidRDefault="00C0275C" w:rsidP="00C0275C">
      <w:pPr>
        <w:tabs>
          <w:tab w:val="left" w:pos="720"/>
          <w:tab w:val="left" w:pos="1077"/>
          <w:tab w:val="left" w:pos="1418"/>
        </w:tabs>
        <w:spacing w:after="0"/>
        <w:ind w:firstLine="709"/>
        <w:jc w:val="both"/>
        <w:rPr>
          <w:lang w:val="lt-LT"/>
        </w:rPr>
      </w:pPr>
      <w:r w:rsidRPr="005D228B">
        <w:rPr>
          <w:lang w:val="lt-LT"/>
        </w:rPr>
        <w:t xml:space="preserve">- veiklos, susijusios su LPĮ 3 straipsnio 3 dalyje nurodytų visuomenei naudingų tikslų įgyvendinimu, aprašymas (toliau – veiklos aprašymas). </w:t>
      </w:r>
    </w:p>
    <w:p w14:paraId="744D77C0" w14:textId="77777777" w:rsidR="00C0275C" w:rsidRPr="005D228B" w:rsidRDefault="00C0275C" w:rsidP="00750EB6">
      <w:pPr>
        <w:tabs>
          <w:tab w:val="left" w:pos="720"/>
          <w:tab w:val="left" w:pos="1077"/>
          <w:tab w:val="left" w:pos="1418"/>
        </w:tabs>
        <w:spacing w:after="0"/>
        <w:ind w:firstLine="709"/>
        <w:jc w:val="both"/>
        <w:rPr>
          <w:lang w:val="lt-LT"/>
        </w:rPr>
      </w:pPr>
      <w:r w:rsidRPr="005D228B">
        <w:rPr>
          <w:lang w:val="lt-LT"/>
        </w:rPr>
        <w:lastRenderedPageBreak/>
        <w:t>Veiklos aprašymas yra parengiamas laisva forma ir mokesčių administratoriui pateikiamas kartu su ataskaitos FR0478 forma, tačiau jame turi būti nurodyta Apraše nustatyta informacija. Jeigu tam tikrų teisinių formų paramos gavėjų veiklą reglamentuojantys įstatymai numato kitų finansinių ataskaitų parengimą ir jų teikimą Juridinių asmenų registro tvarkytojui, kuriose yra pateikiami Apraše nustatyti veiklos aprašymo duomenys, tai ši laisvos formos metinės ataskaitos apie paramą ir jos panaudojimą dalis, t. y. veiklos aprašymas, mokesčių administratoriui neteikiamas.</w:t>
      </w:r>
    </w:p>
    <w:p w14:paraId="5AF7E8AD" w14:textId="77777777" w:rsidR="00C0275C" w:rsidRPr="00887C14" w:rsidRDefault="00C0275C" w:rsidP="00C0275C">
      <w:pPr>
        <w:tabs>
          <w:tab w:val="left" w:pos="720"/>
          <w:tab w:val="left" w:pos="1077"/>
          <w:tab w:val="left" w:pos="1418"/>
        </w:tabs>
        <w:ind w:firstLine="709"/>
        <w:jc w:val="both"/>
        <w:rPr>
          <w:lang w:val="lt-LT"/>
        </w:rPr>
      </w:pPr>
      <w:r w:rsidRPr="00887C14">
        <w:rPr>
          <w:lang w:val="lt-LT"/>
        </w:rPr>
        <w:t>Pagal Aprašo nuostatas paramos gavėjo metinė ataskaita apie paramą ir jos panaudojimą mokesčių administratoriui pateikiama iki kitų kalendorinių metų gegužės 15 dienos.</w:t>
      </w:r>
    </w:p>
    <w:p w14:paraId="73A60C49" w14:textId="27DE1C76" w:rsidR="00C0275C" w:rsidRDefault="00C0275C" w:rsidP="00747AF2">
      <w:pPr>
        <w:tabs>
          <w:tab w:val="left" w:pos="720"/>
          <w:tab w:val="left" w:pos="1077"/>
          <w:tab w:val="left" w:pos="1418"/>
        </w:tabs>
        <w:spacing w:after="0"/>
        <w:ind w:firstLine="709"/>
        <w:jc w:val="both"/>
        <w:rPr>
          <w:lang w:val="lt-LT"/>
        </w:rPr>
      </w:pPr>
      <w:r w:rsidRPr="005D228B">
        <w:rPr>
          <w:lang w:val="lt-LT"/>
        </w:rPr>
        <w:t xml:space="preserve">5.1. </w:t>
      </w:r>
    </w:p>
    <w:p w14:paraId="0EF6B0D0" w14:textId="77777777" w:rsidR="001A6579" w:rsidRDefault="001A6579" w:rsidP="00747AF2">
      <w:pPr>
        <w:tabs>
          <w:tab w:val="left" w:pos="720"/>
          <w:tab w:val="left" w:pos="1077"/>
          <w:tab w:val="left" w:pos="1418"/>
        </w:tabs>
        <w:spacing w:after="0"/>
        <w:ind w:firstLine="709"/>
        <w:jc w:val="both"/>
        <w:rPr>
          <w:lang w:val="lt-LT"/>
        </w:rPr>
      </w:pPr>
    </w:p>
    <w:p w14:paraId="44324BBF" w14:textId="162D1079" w:rsidR="00747AF2" w:rsidRDefault="00747AF2" w:rsidP="00747AF2">
      <w:pPr>
        <w:tabs>
          <w:tab w:val="left" w:pos="720"/>
          <w:tab w:val="left" w:pos="1077"/>
          <w:tab w:val="left" w:pos="1418"/>
        </w:tabs>
        <w:spacing w:after="0"/>
        <w:ind w:firstLine="709"/>
        <w:jc w:val="both"/>
        <w:rPr>
          <w:lang w:val="lt-LT"/>
        </w:rPr>
      </w:pPr>
      <w:r>
        <w:rPr>
          <w:lang w:val="lt-LT"/>
        </w:rPr>
        <w:t>Neteko galios.</w:t>
      </w:r>
    </w:p>
    <w:p w14:paraId="59DDAA60" w14:textId="77777777" w:rsidR="001A6579" w:rsidRDefault="001A6579" w:rsidP="00747AF2">
      <w:pPr>
        <w:tabs>
          <w:tab w:val="left" w:pos="720"/>
          <w:tab w:val="left" w:pos="1077"/>
          <w:tab w:val="left" w:pos="1418"/>
        </w:tabs>
        <w:spacing w:after="0"/>
        <w:ind w:firstLine="709"/>
        <w:jc w:val="both"/>
        <w:rPr>
          <w:lang w:val="lt-LT"/>
        </w:rPr>
      </w:pPr>
    </w:p>
    <w:p w14:paraId="5890C8B5" w14:textId="77777777" w:rsidR="00747AF2" w:rsidRPr="005D228B" w:rsidRDefault="00747AF2" w:rsidP="00747AF2">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4570BE4A" w14:textId="77777777" w:rsidR="00093845" w:rsidRDefault="00CB41D6">
      <w:pPr>
        <w:tabs>
          <w:tab w:val="left" w:pos="720"/>
          <w:tab w:val="left" w:pos="1077"/>
          <w:tab w:val="left" w:pos="1418"/>
        </w:tabs>
        <w:ind w:firstLine="709"/>
        <w:jc w:val="both"/>
        <w:rPr>
          <w:color w:val="000000"/>
          <w:szCs w:val="20"/>
        </w:rPr>
      </w:pPr>
      <w:r>
        <w:rPr>
          <w:color w:val="000000"/>
          <w:szCs w:val="20"/>
        </w:rPr>
        <w:t>6</w:t>
      </w:r>
      <w:r w:rsidR="000D779E">
        <w:rPr>
          <w:color w:val="000000"/>
          <w:szCs w:val="20"/>
        </w:rPr>
        <w:t>. Tradicinės religinės bendruomenės neprivalo teikti informacijos apie anonimiškai gautą paramą, todėl, jeigu per apmokestinamąjį laikotarpį gauta ir panaudota tik tokia parama, tradicinės religinės bendruomenės metinės ataskaitos apie paramos gavimą ir panaudojimą mokesčių administratoriui neteikia. Kitos, ne tradicinės religinės bendruomenės, informaciją apie anonimiškai gautą paramą privalo teikti nustatyta tvarka.</w:t>
      </w:r>
    </w:p>
    <w:p w14:paraId="19E9AC0A" w14:textId="77777777" w:rsidR="00927E65" w:rsidRDefault="00CB41D6" w:rsidP="00927E65">
      <w:pPr>
        <w:ind w:firstLine="709"/>
        <w:jc w:val="both"/>
        <w:rPr>
          <w:color w:val="000000"/>
          <w:lang w:val="lt-LT"/>
        </w:rPr>
      </w:pPr>
      <w:r w:rsidRPr="005D228B">
        <w:rPr>
          <w:color w:val="000000"/>
          <w:lang w:val="lt-LT"/>
        </w:rPr>
        <w:t>7</w:t>
      </w:r>
      <w:r w:rsidR="00B4029B" w:rsidRPr="005D228B">
        <w:rPr>
          <w:color w:val="000000"/>
          <w:lang w:val="lt-LT"/>
        </w:rPr>
        <w:t>.</w:t>
      </w:r>
    </w:p>
    <w:p w14:paraId="67253AB7" w14:textId="3479B45B" w:rsidR="00927E65" w:rsidRDefault="00927E65" w:rsidP="00927E65">
      <w:pPr>
        <w:ind w:firstLine="709"/>
        <w:jc w:val="both"/>
        <w:rPr>
          <w:iCs/>
          <w:color w:val="000000"/>
          <w:lang w:val="lt-LT"/>
        </w:rPr>
      </w:pPr>
      <w:r w:rsidRPr="009C6900">
        <w:rPr>
          <w:iCs/>
          <w:color w:val="000000"/>
          <w:lang w:val="lt-LT"/>
        </w:rPr>
        <w:t xml:space="preserve">Neteko galios. </w:t>
      </w:r>
    </w:p>
    <w:p w14:paraId="626A388E" w14:textId="4D67A088" w:rsidR="00927E65" w:rsidRDefault="00927E65" w:rsidP="00927E65">
      <w:r>
        <w:rPr>
          <w:lang w:val="lt-LT"/>
        </w:rPr>
        <w:tab/>
        <w:t xml:space="preserve">(Pagal </w:t>
      </w:r>
      <w:r w:rsidRPr="0051529C">
        <w:t xml:space="preserve">VMI prie FM </w:t>
      </w:r>
      <w:r w:rsidRPr="005E14CD">
        <w:t>2026-02-</w:t>
      </w:r>
      <w:r>
        <w:t>10 raštą</w:t>
      </w:r>
      <w:r w:rsidRPr="005E14CD">
        <w:t xml:space="preserve"> Nr. (18.10-31-1 Mr)</w:t>
      </w:r>
      <w:r>
        <w:t xml:space="preserve"> R-358)</w:t>
      </w:r>
    </w:p>
    <w:p w14:paraId="1B865AB9" w14:textId="77777777" w:rsidR="00927E65" w:rsidRPr="00927E65" w:rsidRDefault="00927E65" w:rsidP="00927E65"/>
    <w:p w14:paraId="6F13213A" w14:textId="77777777" w:rsidR="00093845" w:rsidRPr="0065344A" w:rsidRDefault="000D779E" w:rsidP="008B2C8D">
      <w:pPr>
        <w:pStyle w:val="Pagrindiniotekstotrauka"/>
        <w:spacing w:after="0"/>
        <w:rPr>
          <w:lang w:val="lt-LT"/>
        </w:rPr>
      </w:pPr>
      <w:r w:rsidRPr="0065344A">
        <w:rPr>
          <w:b/>
          <w:lang w:val="lt-LT"/>
        </w:rPr>
        <w:t>2. Mokesčio mokėtojams, pagal Lietuvos Respublikos labdaros ir paramos įstatymą turintiems teisę teikti tik paramą, iš pajamų leidžiama du kartus atskaityti išmokas (išskyrus išmokas grynais pinigais, viršijančias 250 MGL dydžio sumą vienam paramos gavėjui per mokestinį laikotarpį), įskaitant perleistą turtą, suteiktas paslaugas, kurios Lietuvos Respublikos labdaros ir paramos įstatymo nustatyta tvarka skirtos paramai, tačiau ne didesnes kaip 40 procentų mokesčio mokėtojo pajamų, apskaičiuotų iš pajamų atėmus neapmokestinamąsias pajamas, leidžiamus atskaitymus ir ribojamų dydžių leidžiamus atskaitymus, išskyrus paramą</w:t>
      </w:r>
      <w:r w:rsidRPr="0065344A">
        <w:rPr>
          <w:lang w:val="lt-LT"/>
        </w:rPr>
        <w:t xml:space="preserve"> </w:t>
      </w:r>
      <w:r w:rsidRPr="0065344A">
        <w:rPr>
          <w:b/>
          <w:lang w:val="lt-LT"/>
        </w:rPr>
        <w:t>ir ankstesnių metų mokestinių laikotarpių nuostolius</w:t>
      </w:r>
      <w:r w:rsidRPr="0065344A">
        <w:rPr>
          <w:lang w:val="lt-LT"/>
        </w:rPr>
        <w:t>.</w:t>
      </w:r>
    </w:p>
    <w:p w14:paraId="4BEE9A1E" w14:textId="77777777" w:rsidR="00093845" w:rsidRPr="00441B00" w:rsidRDefault="000D779E" w:rsidP="008B2C8D">
      <w:pPr>
        <w:spacing w:after="0"/>
        <w:jc w:val="both"/>
        <w:rPr>
          <w:i/>
          <w:lang w:val="lt-LT"/>
        </w:rPr>
      </w:pPr>
      <w:r w:rsidRPr="00441B00">
        <w:rPr>
          <w:i/>
          <w:lang w:val="lt-LT"/>
        </w:rPr>
        <w:t xml:space="preserve">(KEISTA: </w:t>
      </w:r>
      <w:r w:rsidRPr="00441B00">
        <w:rPr>
          <w:i/>
          <w:color w:val="000000"/>
          <w:lang w:val="lt-LT"/>
        </w:rPr>
        <w:t>2008 04 10 įstatymu Nr. X-1484 (nuo 2008 04 24)</w:t>
      </w:r>
      <w:r w:rsidR="009978E8" w:rsidRPr="00441B00">
        <w:rPr>
          <w:i/>
          <w:color w:val="000000"/>
          <w:lang w:val="lt-LT"/>
        </w:rPr>
        <w:t>,</w:t>
      </w:r>
      <w:r w:rsidR="008C3E44" w:rsidRPr="00441B00">
        <w:rPr>
          <w:i/>
          <w:lang w:val="lt-LT"/>
        </w:rPr>
        <w:t xml:space="preserve"> </w:t>
      </w:r>
      <w:r w:rsidR="008C3E44" w:rsidRPr="00441B00">
        <w:rPr>
          <w:i/>
          <w:color w:val="000000"/>
          <w:lang w:val="lt-LT"/>
        </w:rPr>
        <w:t>taikoma apskaičiuojant 2008 metais prasidėjusio mokestinio laikotarpio ir vėlesnių mokestinių laikotarpių apmokestinamąjį pelną</w:t>
      </w:r>
      <w:r w:rsidRPr="00441B00">
        <w:rPr>
          <w:i/>
          <w:lang w:val="lt-LT"/>
        </w:rPr>
        <w:t>)</w:t>
      </w:r>
    </w:p>
    <w:p w14:paraId="1B9B480B" w14:textId="77777777" w:rsidR="00115097" w:rsidRPr="0065344A" w:rsidRDefault="00115097" w:rsidP="008B2C8D">
      <w:pPr>
        <w:spacing w:after="0"/>
        <w:jc w:val="both"/>
        <w:rPr>
          <w:lang w:val="lt-LT"/>
        </w:rPr>
      </w:pPr>
    </w:p>
    <w:p w14:paraId="2F278AFD" w14:textId="77777777" w:rsidR="00093845" w:rsidRPr="00115097" w:rsidRDefault="000D779E">
      <w:pPr>
        <w:ind w:firstLine="720"/>
        <w:jc w:val="both"/>
        <w:rPr>
          <w:lang w:val="lt-LT"/>
        </w:rPr>
      </w:pPr>
      <w:r w:rsidRPr="00115097">
        <w:rPr>
          <w:b/>
          <w:lang w:val="lt-LT"/>
        </w:rPr>
        <w:t xml:space="preserve">Komentaras </w:t>
      </w:r>
    </w:p>
    <w:p w14:paraId="1B0BE035"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1. Šiame straipsnyje nustatyta, kad vienetams, turintiems teisę teikti paramą, leidžiama iš pajamų du kartus atskaityti LPĮ nustatyta tvarka paramai skirtas išmokas, įskaitant perleisto turto, suteiktų paslaugų vertę, bet ne didesnes kaip 40 proc. mokesčio mokėtojo pajamų, apskaičiuotų iš pajamų atėmus neapmokestinamąsias pajamas, leidžiamus atskaitymus ir ribojamų dydžių leidžiamus atskaitymus, išskyrus paramą,</w:t>
      </w:r>
      <w:r w:rsidRPr="0065344A">
        <w:rPr>
          <w:b/>
          <w:lang w:val="lt-LT"/>
        </w:rPr>
        <w:t xml:space="preserve"> </w:t>
      </w:r>
      <w:r w:rsidRPr="0065344A">
        <w:rPr>
          <w:lang w:val="lt-LT"/>
        </w:rPr>
        <w:t xml:space="preserve">ir ankstesnių metų mokestinių laikotarpių mokestinius nuostolius. Paramai skirtos lėšos, didesnės kaip 40 proc. mokesčio mokėtojo pajamų, apskaičiuotų iš pajamų atėmus neapmokestinamąsias pajamas, leidžiamus atskaitymus ir ribojamų dydžių atskaitymus, atskaityti negalima. Iš pajamų taip pat neatskaitomos išmokos grynais pinigais, viršijančios 250 MGL </w:t>
      </w:r>
      <w:r w:rsidRPr="0065344A">
        <w:rPr>
          <w:szCs w:val="20"/>
          <w:lang w:val="lt-LT"/>
        </w:rPr>
        <w:t>(</w:t>
      </w:r>
      <w:r w:rsidRPr="0065344A">
        <w:rPr>
          <w:lang w:val="lt-LT"/>
        </w:rPr>
        <w:t>bazinės socialinės išmokos)</w:t>
      </w:r>
      <w:r w:rsidRPr="0065344A">
        <w:rPr>
          <w:szCs w:val="20"/>
          <w:lang w:val="lt-LT"/>
        </w:rPr>
        <w:t xml:space="preserve"> </w:t>
      </w:r>
      <w:r w:rsidRPr="0065344A">
        <w:rPr>
          <w:lang w:val="lt-LT"/>
        </w:rPr>
        <w:t>dydžio sumą vienam paramos gavėjui per mokestinį laikotarpį.</w:t>
      </w:r>
    </w:p>
    <w:p w14:paraId="31A511FE" w14:textId="77777777" w:rsidR="00093845" w:rsidRPr="0065344A" w:rsidRDefault="000D779E">
      <w:pPr>
        <w:tabs>
          <w:tab w:val="left" w:pos="720"/>
          <w:tab w:val="left" w:pos="1077"/>
          <w:tab w:val="left" w:pos="1418"/>
        </w:tabs>
        <w:ind w:right="-82" w:firstLine="709"/>
        <w:jc w:val="both"/>
        <w:rPr>
          <w:szCs w:val="20"/>
          <w:lang w:val="lt-LT"/>
        </w:rPr>
      </w:pPr>
      <w:r w:rsidRPr="0065344A">
        <w:rPr>
          <w:lang w:val="lt-LT"/>
        </w:rPr>
        <w:t>1 pavyzdys</w:t>
      </w:r>
    </w:p>
    <w:p w14:paraId="24B014B7" w14:textId="77777777" w:rsidR="00093845" w:rsidRDefault="000D779E">
      <w:pPr>
        <w:pBdr>
          <w:top w:val="single" w:sz="4" w:space="1" w:color="auto"/>
          <w:left w:val="single" w:sz="4" w:space="0" w:color="auto"/>
          <w:bottom w:val="single" w:sz="4" w:space="1" w:color="auto"/>
          <w:right w:val="single" w:sz="4" w:space="0" w:color="auto"/>
        </w:pBdr>
        <w:tabs>
          <w:tab w:val="left" w:pos="720"/>
          <w:tab w:val="left" w:pos="1077"/>
          <w:tab w:val="left" w:pos="1418"/>
        </w:tabs>
        <w:ind w:right="-82" w:firstLine="709"/>
        <w:jc w:val="both"/>
        <w:rPr>
          <w:i/>
          <w:szCs w:val="20"/>
        </w:rPr>
      </w:pPr>
      <w:r w:rsidRPr="0065344A">
        <w:rPr>
          <w:lang w:val="lt-LT"/>
        </w:rPr>
        <w:lastRenderedPageBreak/>
        <w:t xml:space="preserve">Vienetas pagal ataskaitinių metų rezultatus gavo 35 000 Eur pajamų, iš kurių atėmus neapmokestinamąsias pajamas, leidžiamus atskaitymus ir ribojamų dydžių leidžiamus atskaitymus, išskyrus paramą ir ankstesnių metų mokestinius nuostolius lieka 25 000 Eur. </w:t>
      </w:r>
      <w:r>
        <w:t>Per ataskaitinį laikotarpį vienetas paramai ne grynais pinigais pervedė 15 000 Eur. Vienetas, vadovaudamasis PMĮ 28 str. 2 dalies nuostata, iš pajamų gali atskaityti tik 10 000 Eur (25 000 x 0,4) paramai skirtų išlaidų sumą, nors dviguba paramai skirtų išmokų suma – 30 000 Eur (15 000 x 2). Iš pajamų neatimta paramai skirtų išlaidų suma (5 000 Eur) į kitus metus nepersikelia.</w:t>
      </w:r>
    </w:p>
    <w:p w14:paraId="12178959" w14:textId="77777777" w:rsidR="00093845" w:rsidRDefault="000D779E">
      <w:pPr>
        <w:tabs>
          <w:tab w:val="left" w:pos="720"/>
          <w:tab w:val="left" w:pos="1077"/>
          <w:tab w:val="left" w:pos="1418"/>
        </w:tabs>
        <w:ind w:right="-82" w:firstLine="709"/>
        <w:jc w:val="both"/>
        <w:rPr>
          <w:iCs/>
          <w:szCs w:val="20"/>
        </w:rPr>
      </w:pPr>
      <w:r>
        <w:rPr>
          <w:iCs/>
          <w:szCs w:val="20"/>
        </w:rPr>
        <w:t>2 pavyzdys</w:t>
      </w:r>
    </w:p>
    <w:p w14:paraId="2BFCDF25" w14:textId="77777777" w:rsidR="00093845" w:rsidRDefault="000D779E">
      <w:pPr>
        <w:pBdr>
          <w:top w:val="single" w:sz="4" w:space="0" w:color="auto"/>
          <w:left w:val="single" w:sz="4" w:space="0" w:color="auto"/>
          <w:bottom w:val="single" w:sz="4" w:space="1" w:color="auto"/>
          <w:right w:val="single" w:sz="4" w:space="0" w:color="auto"/>
        </w:pBdr>
        <w:ind w:right="-82" w:firstLine="709"/>
        <w:jc w:val="both"/>
        <w:rPr>
          <w:szCs w:val="20"/>
        </w:rPr>
      </w:pPr>
      <w:r>
        <w:rPr>
          <w:szCs w:val="20"/>
        </w:rPr>
        <w:t>Akcinė bendrovė per mokestinį laikotarpį vienam paramos gavėjui suteikė 20 000 Eur paramos grynais pinigais. Vadovaujantis PMĮ 28 str. 2 dalies nuostatomis, apskaičiuojant apmokestinamąjį pelną, iš pajamų gali būti du kartus atskaitoma 250 MGL neviršijanti 9 500 Eur (38 x 250) suteiktos paramos suma, tačiau ne didesnė kaip 40 proc. mokesčio mokėtojo pajamų, apskaičiuotų iš pajamų atėmus neapmokestinamąsias pajamas, leidžiamus atskaitymus ir ribojamų dydžių leidžiamus atskaitymus, išskyrus paramą ir ankstesnių metų mokestinių laikotarpių mokestinius nuostolius. 250 MGL viršijanti 10 500 Eur (20 000 – 9 500) grynais pinigais suteiktos paramos suma priskiriama neleidžiamiems atskaitymams.</w:t>
      </w:r>
    </w:p>
    <w:p w14:paraId="1F0950AE" w14:textId="77777777" w:rsidR="00093845" w:rsidRDefault="000D779E">
      <w:pPr>
        <w:tabs>
          <w:tab w:val="left" w:pos="720"/>
          <w:tab w:val="left" w:pos="1077"/>
          <w:tab w:val="left" w:pos="1418"/>
        </w:tabs>
        <w:ind w:right="-82" w:firstLine="709"/>
        <w:jc w:val="both"/>
        <w:rPr>
          <w:szCs w:val="20"/>
        </w:rPr>
      </w:pPr>
      <w:r>
        <w:t>2. Paramai skirtomis sumomis negali būti didinami vieneto veiklos nuostoliai.</w:t>
      </w:r>
    </w:p>
    <w:p w14:paraId="4368EC91" w14:textId="77777777" w:rsidR="00093845" w:rsidRDefault="000D779E">
      <w:pPr>
        <w:tabs>
          <w:tab w:val="left" w:pos="720"/>
          <w:tab w:val="left" w:pos="1077"/>
          <w:tab w:val="left" w:pos="1418"/>
        </w:tabs>
        <w:ind w:right="-82" w:firstLine="709"/>
        <w:jc w:val="both"/>
        <w:rPr>
          <w:szCs w:val="20"/>
        </w:rPr>
      </w:pPr>
      <w:r>
        <w:rPr>
          <w:szCs w:val="20"/>
        </w:rPr>
        <w:t>1 pavyzdys</w:t>
      </w:r>
    </w:p>
    <w:p w14:paraId="2B4849D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jc w:val="both"/>
        <w:rPr>
          <w:szCs w:val="20"/>
        </w:rPr>
      </w:pPr>
      <w:r>
        <w:rPr>
          <w:szCs w:val="20"/>
        </w:rPr>
        <w:t>Iš vieneto veiklos pajamų atėmus neapmokestinamąsias pajamas, leidžiamus atskaitymus ir ribojamų dydžių leidžiamus atskaitymus, išskyrus paramą ir ankstesnių mokestinių laikotarpių mokestinius nuostolius, apskaičiuotas nuostolis – 16 000 Eur. Vertybinių popierių ir išvestinių finansinių priemonių (toliau – VP ir IFP) perleidimo rezultatas taip pat nuostolis – 24 000 Eur. Suteiktos paramos suma negali būti atskaitoma iš vieneto pajamų (negali būti priskirta mokestinių nuostolių sumai, perkeliamai į kitus mokestinius nuostolius).</w:t>
      </w:r>
    </w:p>
    <w:p w14:paraId="0F45D523" w14:textId="77777777" w:rsidR="00093845" w:rsidRDefault="000D779E">
      <w:pPr>
        <w:tabs>
          <w:tab w:val="left" w:pos="720"/>
          <w:tab w:val="left" w:pos="1077"/>
          <w:tab w:val="left" w:pos="1418"/>
        </w:tabs>
        <w:ind w:right="-82" w:firstLine="709"/>
        <w:jc w:val="both"/>
        <w:rPr>
          <w:szCs w:val="20"/>
        </w:rPr>
      </w:pPr>
      <w:r>
        <w:rPr>
          <w:szCs w:val="20"/>
        </w:rPr>
        <w:t>2 pavyzdys</w:t>
      </w:r>
    </w:p>
    <w:p w14:paraId="050E6840" w14:textId="77777777" w:rsidR="00093845" w:rsidRDefault="000D779E">
      <w:pPr>
        <w:pBdr>
          <w:top w:val="single" w:sz="4" w:space="1" w:color="auto"/>
          <w:left w:val="single" w:sz="4" w:space="4" w:color="auto"/>
          <w:bottom w:val="single" w:sz="4" w:space="0" w:color="auto"/>
          <w:right w:val="single" w:sz="4" w:space="4" w:color="auto"/>
        </w:pBdr>
        <w:tabs>
          <w:tab w:val="left" w:pos="720"/>
          <w:tab w:val="left" w:pos="1077"/>
          <w:tab w:val="left" w:pos="1418"/>
        </w:tabs>
        <w:ind w:right="-82" w:firstLine="709"/>
        <w:jc w:val="both"/>
        <w:rPr>
          <w:szCs w:val="20"/>
        </w:rPr>
      </w:pPr>
      <w:r>
        <w:rPr>
          <w:szCs w:val="20"/>
        </w:rPr>
        <w:t>Vieneto mokestinio laikotarpio veiklos apmokestinamasis pelnas, apskaičiuotos iš veiklos pajamų atėmus neapmokestinamąsias pajamas, leidžiamus atskaitymus ir ribojamų dydžių leidžiamus atskaitymus, išskyrus paramą ir ankstesnių mokestinių laikotarpių mokestinius nuostolius, – 76 000 Eur. VP ir IFP perleidimo pelnas – 24 000 Eur. Vienetas iš pajamų gali atimti ne didesnę kaip 40 000 Eur = [(76 000 + 24 000) x 40/100] paramai skirtų išlaidų sumą.</w:t>
      </w:r>
    </w:p>
    <w:p w14:paraId="14C20C23" w14:textId="77777777" w:rsidR="00093845" w:rsidRDefault="000D779E">
      <w:pPr>
        <w:tabs>
          <w:tab w:val="left" w:pos="720"/>
          <w:tab w:val="left" w:pos="1077"/>
          <w:tab w:val="left" w:pos="1418"/>
        </w:tabs>
        <w:ind w:right="-82" w:firstLine="709"/>
        <w:jc w:val="both"/>
        <w:rPr>
          <w:szCs w:val="20"/>
        </w:rPr>
      </w:pPr>
      <w:r>
        <w:rPr>
          <w:szCs w:val="20"/>
        </w:rPr>
        <w:t>3 pavyzdys</w:t>
      </w:r>
    </w:p>
    <w:p w14:paraId="7358469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82" w:firstLine="709"/>
        <w:jc w:val="both"/>
        <w:rPr>
          <w:szCs w:val="20"/>
        </w:rPr>
      </w:pPr>
      <w:r>
        <w:rPr>
          <w:szCs w:val="20"/>
        </w:rPr>
        <w:t>Iš vieneto veiklos pajamų atėmus neapmokestinamąsias pajamas, leidžiamus atskaitymus ir ribojamų dydžių leidžiamus atskaitymus, išskyrus paramą ir ankstesnių mokestinių laikotarpių nuostolius, apskaičiuotas nuostolis – 16 000 Eur. VP ir IFP perleidimo pelnas – 24 000 Eur. Vienetas iš pajamų gali atimti ne didesnę kaip 3 200 Eur = [(24 000 - 16 000) x 40/100] paramai skirtų išlaidų sumą.</w:t>
      </w:r>
    </w:p>
    <w:p w14:paraId="1C9A2C89" w14:textId="77777777" w:rsidR="00B4029B" w:rsidRPr="00C06386" w:rsidRDefault="00B4029B" w:rsidP="00B4029B">
      <w:pPr>
        <w:tabs>
          <w:tab w:val="left" w:pos="720"/>
          <w:tab w:val="left" w:pos="1077"/>
          <w:tab w:val="left" w:pos="1418"/>
        </w:tabs>
        <w:ind w:right="-82" w:firstLine="709"/>
        <w:jc w:val="both"/>
        <w:rPr>
          <w:szCs w:val="20"/>
          <w:lang w:val="lt-LT"/>
        </w:rPr>
      </w:pPr>
      <w:r w:rsidRPr="00C06386">
        <w:rPr>
          <w:lang w:val="lt-LT"/>
        </w:rPr>
        <w:t>3. Pagal LPĮ 5 straipsnio 2 dalį paramą gali teikti:</w:t>
      </w:r>
    </w:p>
    <w:p w14:paraId="61AB5776" w14:textId="77777777" w:rsidR="00B4029B" w:rsidRPr="00C06386" w:rsidRDefault="00B4029B" w:rsidP="00B4029B">
      <w:pPr>
        <w:tabs>
          <w:tab w:val="left" w:pos="720"/>
          <w:tab w:val="left" w:pos="1077"/>
          <w:tab w:val="left" w:pos="1418"/>
        </w:tabs>
        <w:ind w:right="-82" w:firstLine="709"/>
        <w:jc w:val="both"/>
        <w:rPr>
          <w:lang w:val="lt-LT"/>
        </w:rPr>
      </w:pPr>
      <w:r w:rsidRPr="00C06386">
        <w:rPr>
          <w:lang w:val="lt-LT"/>
        </w:rPr>
        <w:t xml:space="preserve">1) Lietuvos Respublikos fiziniai ir juridiniai asmenys, išskyrus politines partijas, politines organizacijas, valstybės ir savivaldybės įmones, biudžetines įstaigas, valstybės įmones, biudžetines įstaigas, valstybės bei savivaldybių institucijas ir Lietuvos banką. </w:t>
      </w:r>
    </w:p>
    <w:p w14:paraId="054745F4"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 xml:space="preserve">Įmonių, kuriose valstybei ir (ar) savivaldybei nuosavybės teise priklausančios akcijos visuotiniame akcininkų susirinkime suteikia daugiau kaip 50 procentų balsų, nuo </w:t>
      </w:r>
      <w:r w:rsidRPr="00EE6116">
        <w:rPr>
          <w:lang w:val="lt-LT"/>
        </w:rPr>
        <w:t xml:space="preserve">2019-01-30 taip pat </w:t>
      </w:r>
      <w:r w:rsidRPr="00EE6116">
        <w:rPr>
          <w:lang w:val="lt-LT"/>
        </w:rPr>
        <w:lastRenderedPageBreak/>
        <w:t>ir jų patronuojamųjų akcinių bendrovių ir uždarųjų akcinių bendrovių, o nuo 2020-05-01 ir jų patronuojamųjų akcinių bendrovių ir uždarųjų akcinių bendrovių, kaip jos suprantamos Lietuvos Respublikos </w:t>
      </w:r>
      <w:bookmarkStart w:id="433" w:name="n1_40"/>
      <w:r w:rsidRPr="00EE6116">
        <w:rPr>
          <w:lang w:val="lt-LT"/>
        </w:rPr>
        <w:fldChar w:fldCharType="begin"/>
      </w:r>
      <w:r w:rsidRPr="00EE6116">
        <w:rPr>
          <w:lang w:val="lt-LT"/>
        </w:rPr>
        <w:instrText xml:space="preserve"> HYPERLINK "https://www.infolex.lt/ta/54758" \o "Lietuvos Respublikos akcinių bendrovių įstatymas" \t "_blank" </w:instrText>
      </w:r>
      <w:r w:rsidRPr="00EE6116">
        <w:rPr>
          <w:lang w:val="lt-LT"/>
        </w:rPr>
        <w:fldChar w:fldCharType="separate"/>
      </w:r>
      <w:r w:rsidRPr="00EE6116">
        <w:rPr>
          <w:lang w:val="lt-LT"/>
        </w:rPr>
        <w:t>akcinių bendrovių įstatymo</w:t>
      </w:r>
      <w:r w:rsidRPr="00EE6116">
        <w:rPr>
          <w:lang w:val="lt-LT"/>
        </w:rPr>
        <w:fldChar w:fldCharType="end"/>
      </w:r>
      <w:bookmarkStart w:id="434" w:name="pn1_40"/>
      <w:bookmarkEnd w:id="433"/>
      <w:bookmarkEnd w:id="434"/>
      <w:r w:rsidRPr="00EE6116">
        <w:rPr>
          <w:lang w:val="lt-LT"/>
        </w:rPr>
        <w:t> </w:t>
      </w:r>
      <w:bookmarkStart w:id="435" w:name="n1_41"/>
      <w:r w:rsidRPr="00EE6116">
        <w:rPr>
          <w:lang w:val="lt-LT"/>
        </w:rPr>
        <w:fldChar w:fldCharType="begin"/>
      </w:r>
      <w:r w:rsidRPr="00EE6116">
        <w:rPr>
          <w:lang w:val="lt-LT"/>
        </w:rPr>
        <w:instrText xml:space="preserve"> HYPERLINK "javascript:OL('54758','5')" \o "Specialios paskirties bendrovės (str. 5)" </w:instrText>
      </w:r>
      <w:r w:rsidRPr="00EE6116">
        <w:rPr>
          <w:lang w:val="lt-LT"/>
        </w:rPr>
        <w:fldChar w:fldCharType="separate"/>
      </w:r>
      <w:r w:rsidRPr="00EE6116">
        <w:rPr>
          <w:lang w:val="lt-LT"/>
        </w:rPr>
        <w:t>5</w:t>
      </w:r>
      <w:r w:rsidRPr="00EE6116">
        <w:rPr>
          <w:lang w:val="lt-LT"/>
        </w:rPr>
        <w:fldChar w:fldCharType="end"/>
      </w:r>
      <w:bookmarkStart w:id="436" w:name="pn1_41"/>
      <w:bookmarkEnd w:id="435"/>
      <w:bookmarkEnd w:id="436"/>
      <w:r w:rsidRPr="00EE6116">
        <w:rPr>
          <w:lang w:val="lt-LT"/>
        </w:rPr>
        <w:t> straipsnio 1 dalyje, bei visų kitų su valstybės ir (ar) savivaldybės valdomomis bendrovėmis per patronuojamąsias bendroves susijusių paskesnių eilių patronuojamųjų bendrovių, kaip jos suprantamos </w:t>
      </w:r>
      <w:bookmarkStart w:id="437" w:name="n1_42"/>
      <w:r w:rsidRPr="00EE6116">
        <w:rPr>
          <w:lang w:val="lt-LT"/>
        </w:rPr>
        <w:fldChar w:fldCharType="begin"/>
      </w:r>
      <w:r w:rsidRPr="00EE6116">
        <w:rPr>
          <w:lang w:val="lt-LT"/>
        </w:rPr>
        <w:instrText xml:space="preserve"> HYPERLINK "https://www.infolex.lt/ta/54758" \o "Lietuvos Respublikos akcinių bendrovių įstatymas" \t "_blank" </w:instrText>
      </w:r>
      <w:r w:rsidRPr="00EE6116">
        <w:rPr>
          <w:lang w:val="lt-LT"/>
        </w:rPr>
        <w:fldChar w:fldCharType="separate"/>
      </w:r>
      <w:r w:rsidRPr="00EE6116">
        <w:rPr>
          <w:lang w:val="lt-LT"/>
        </w:rPr>
        <w:t>Akcinių bendrovių įstatymo</w:t>
      </w:r>
      <w:r w:rsidRPr="00EE6116">
        <w:rPr>
          <w:lang w:val="lt-LT"/>
        </w:rPr>
        <w:fldChar w:fldCharType="end"/>
      </w:r>
      <w:bookmarkStart w:id="438" w:name="pn1_42"/>
      <w:bookmarkEnd w:id="437"/>
      <w:bookmarkEnd w:id="438"/>
      <w:r w:rsidRPr="00EE6116">
        <w:rPr>
          <w:lang w:val="lt-LT"/>
        </w:rPr>
        <w:t> </w:t>
      </w:r>
      <w:bookmarkStart w:id="439" w:name="n1_43"/>
      <w:r w:rsidRPr="00EE6116">
        <w:rPr>
          <w:lang w:val="lt-LT"/>
        </w:rPr>
        <w:fldChar w:fldCharType="begin"/>
      </w:r>
      <w:r w:rsidRPr="00EE6116">
        <w:rPr>
          <w:lang w:val="lt-LT"/>
        </w:rPr>
        <w:instrText xml:space="preserve"> HYPERLINK "javascript:OL('54758','5')" \o "Specialios paskirties bendrovės (str. 5)" </w:instrText>
      </w:r>
      <w:r w:rsidRPr="00EE6116">
        <w:rPr>
          <w:lang w:val="lt-LT"/>
        </w:rPr>
        <w:fldChar w:fldCharType="separate"/>
      </w:r>
      <w:r w:rsidRPr="00EE6116">
        <w:rPr>
          <w:lang w:val="lt-LT"/>
        </w:rPr>
        <w:t>5</w:t>
      </w:r>
      <w:r w:rsidRPr="00EE6116">
        <w:rPr>
          <w:lang w:val="lt-LT"/>
        </w:rPr>
        <w:fldChar w:fldCharType="end"/>
      </w:r>
      <w:bookmarkStart w:id="440" w:name="pn1_43"/>
      <w:bookmarkEnd w:id="439"/>
      <w:bookmarkEnd w:id="440"/>
      <w:r w:rsidRPr="00EE6116">
        <w:rPr>
          <w:lang w:val="lt-LT"/>
        </w:rPr>
        <w:t> straipsnio 3 dalyje (toliau – valstybės ir (ar) savivaldybės bendrovės),</w:t>
      </w:r>
      <w:r w:rsidRPr="00EE6116">
        <w:rPr>
          <w:rFonts w:ascii="Arial" w:hAnsi="Arial" w:cs="Arial"/>
          <w:color w:val="000000"/>
          <w:sz w:val="22"/>
          <w:szCs w:val="22"/>
          <w:shd w:val="clear" w:color="auto" w:fill="FFFFFF"/>
          <w:lang w:val="lt-LT"/>
        </w:rPr>
        <w:t xml:space="preserve"> </w:t>
      </w:r>
      <w:r w:rsidRPr="00EE6116">
        <w:rPr>
          <w:lang w:val="lt-LT"/>
        </w:rPr>
        <w:t>parama pagal LPĮ yra pripažįstama, jeigu jos neturi mokestinių nepriemokų Lietuvos Respublikos valstybės biudžetui, savivaldybių biudžetams ar fondams, į kuriuos mokamus mokesčius administruo</w:t>
      </w:r>
      <w:r w:rsidRPr="006D1DE2">
        <w:rPr>
          <w:lang w:val="lt-LT"/>
        </w:rPr>
        <w:t>ja Valstybinė mokesčių inspekcija, taip pat įsiskolinimų su praleistais mokėjimo terminais Valstybinio socialinio draudimo fondo biudžetui bei laiku neįvykdytų skolinių įsipareigojimų pagal paskolos sutartis ir kitus įsipareigojamuosius skolos dokumentus, pasirašytus su Finansų ministerija, arba pagal sutartis su valstybės garantija;</w:t>
      </w:r>
    </w:p>
    <w:p w14:paraId="1A534D54" w14:textId="77777777" w:rsidR="00B4029B" w:rsidRPr="00C06386" w:rsidRDefault="00B4029B" w:rsidP="00B4029B">
      <w:pPr>
        <w:tabs>
          <w:tab w:val="left" w:pos="720"/>
          <w:tab w:val="left" w:pos="1077"/>
          <w:tab w:val="left" w:pos="1418"/>
        </w:tabs>
        <w:ind w:right="-82" w:firstLine="709"/>
        <w:jc w:val="both"/>
        <w:rPr>
          <w:lang w:val="lt-LT"/>
        </w:rPr>
      </w:pPr>
      <w:r w:rsidRPr="00C06386">
        <w:rPr>
          <w:lang w:val="lt-LT"/>
        </w:rPr>
        <w:t>2) užsienio valstybės, užsienio valstybių fiziniai ir juridiniai asmenys, tarptautinės organizacijos.</w:t>
      </w:r>
    </w:p>
    <w:p w14:paraId="08CA3F06"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Parama pagal LPĮ nepripažįstama, jeigu ją</w:t>
      </w:r>
      <w:r w:rsidR="00710DD8">
        <w:rPr>
          <w:lang w:val="lt-LT"/>
        </w:rPr>
        <w:t xml:space="preserve"> teikia</w:t>
      </w:r>
      <w:r w:rsidRPr="006D1DE2">
        <w:rPr>
          <w:lang w:val="lt-LT"/>
        </w:rPr>
        <w:t xml:space="preserve">, </w:t>
      </w:r>
      <w:r w:rsidRPr="00EE6116">
        <w:rPr>
          <w:lang w:val="lt-LT"/>
        </w:rPr>
        <w:t>valstybės ir (ar) savivaldybės bendrovės savo dalyviui, t. y. akcininkui, kitiems juridiniams asmenims, kuriuose šios įmonės dalyvis turi įstatinio kapitalo ir (arba) balsavimo teisių dalį, suteikiančią teisę kontroliuoti juridinio asmens veiklą, arba</w:t>
      </w:r>
      <w:r w:rsidRPr="006D1DE2">
        <w:rPr>
          <w:lang w:val="lt-LT"/>
        </w:rPr>
        <w:t xml:space="preserve"> juridiniams asmenims, kurie yra susiję su šios įmonės dalyviu, išskyrus atvejus, kai parama teikiama juridiniams asmenims, kurių veikla yra bibliotekų, archyvų, muziejų ir kita kultūrinė veikla, švietimas, sportas, socialinių paslaugų gyventojams teikimas arba visuomenės sveikatos priežiūra.</w:t>
      </w:r>
    </w:p>
    <w:p w14:paraId="51E082CC" w14:textId="77777777" w:rsidR="00B4029B" w:rsidRPr="006D1DE2" w:rsidRDefault="00B4029B" w:rsidP="00B4029B">
      <w:pPr>
        <w:tabs>
          <w:tab w:val="left" w:pos="720"/>
          <w:tab w:val="left" w:pos="1077"/>
          <w:tab w:val="left" w:pos="1418"/>
        </w:tabs>
        <w:ind w:right="-82" w:firstLine="709"/>
        <w:jc w:val="both"/>
        <w:rPr>
          <w:lang w:val="lt-LT"/>
        </w:rPr>
      </w:pPr>
      <w:r w:rsidRPr="006D1DE2">
        <w:rPr>
          <w:lang w:val="lt-LT"/>
        </w:rPr>
        <w:t>LPĮ 5 straipsnio 4 dalyje apibrėžta, kokie juridiniai asmenys yra laikomi su valstybės ir (ar) savivaldybės bendrovės dalyviu susijusiais asmenimis.</w:t>
      </w:r>
    </w:p>
    <w:p w14:paraId="2D06C01A" w14:textId="77777777" w:rsidR="00B4029B" w:rsidRDefault="00B4029B" w:rsidP="00B4029B">
      <w:pPr>
        <w:pStyle w:val="Pagrindiniotekstotrauka"/>
        <w:rPr>
          <w:rFonts w:ascii="Times New Roman" w:hAnsi="Times New Roman" w:cs="Times New Roman"/>
          <w:color w:val="000000"/>
        </w:rPr>
      </w:pPr>
      <w:r w:rsidRPr="00C0275C">
        <w:rPr>
          <w:rFonts w:ascii="Times New Roman" w:hAnsi="Times New Roman" w:cs="Times New Roman"/>
          <w:iCs/>
          <w:sz w:val="22"/>
          <w:szCs w:val="22"/>
          <w:lang w:val="nb-NO"/>
        </w:rPr>
        <w:t xml:space="preserve"> </w:t>
      </w:r>
      <w:r w:rsidRPr="00441B00">
        <w:rPr>
          <w:rFonts w:ascii="Times New Roman" w:hAnsi="Times New Roman" w:cs="Times New Roman"/>
          <w:iCs/>
          <w:lang w:val="nb-NO"/>
        </w:rPr>
        <w:t xml:space="preserve">(Pagal </w:t>
      </w:r>
      <w:r w:rsidR="00747AF2">
        <w:rPr>
          <w:rFonts w:ascii="Times New Roman" w:hAnsi="Times New Roman" w:cs="Times New Roman"/>
          <w:color w:val="000000"/>
          <w:lang w:val="lt-LT"/>
        </w:rPr>
        <w:t>VMI prie FM 2020-07-02 raštą</w:t>
      </w:r>
      <w:r w:rsidRPr="00441B00">
        <w:rPr>
          <w:rFonts w:ascii="Times New Roman" w:hAnsi="Times New Roman" w:cs="Times New Roman"/>
          <w:color w:val="000000"/>
          <w:lang w:val="lt-LT"/>
        </w:rPr>
        <w:t xml:space="preserve"> </w:t>
      </w:r>
      <w:r w:rsidRPr="00441B00">
        <w:rPr>
          <w:rFonts w:ascii="Times New Roman" w:hAnsi="Times New Roman" w:cs="Times New Roman"/>
          <w:color w:val="000000"/>
        </w:rPr>
        <w:t>Nr. (32.42-31-1E) RM-37567)</w:t>
      </w:r>
    </w:p>
    <w:p w14:paraId="77045FD0" w14:textId="77777777" w:rsidR="00791BE5" w:rsidRPr="00DB5C56" w:rsidRDefault="00791BE5" w:rsidP="00791BE5">
      <w:pPr>
        <w:tabs>
          <w:tab w:val="left" w:pos="720"/>
          <w:tab w:val="left" w:pos="1077"/>
          <w:tab w:val="left" w:pos="1418"/>
        </w:tabs>
        <w:ind w:right="-79" w:firstLine="709"/>
        <w:jc w:val="both"/>
        <w:rPr>
          <w:lang w:val="lt-LT"/>
        </w:rPr>
      </w:pPr>
      <w:r w:rsidRPr="00DB5C56">
        <w:rPr>
          <w:lang w:val="lt-LT"/>
        </w:rPr>
        <w:t>4. Paramos gavėjais gali būti Lietuvos Respublikoje įregistruoti:</w:t>
      </w:r>
    </w:p>
    <w:p w14:paraId="7DDC9B81"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1) labdaros ir paramos fondai;</w:t>
      </w:r>
    </w:p>
    <w:p w14:paraId="1346A844"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2) biudžetinės įstaigos;</w:t>
      </w:r>
    </w:p>
    <w:p w14:paraId="18B1EAAF"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3) asociacijos;</w:t>
      </w:r>
    </w:p>
    <w:p w14:paraId="7C84F4F7"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4) viešosios įstaigos;</w:t>
      </w:r>
    </w:p>
    <w:p w14:paraId="13B6AD2E"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5) religinės bendruomenės, bendrijos ir religiniai centrai;</w:t>
      </w:r>
    </w:p>
    <w:p w14:paraId="621E8484" w14:textId="77777777" w:rsidR="00791BE5" w:rsidRPr="00DB5C56" w:rsidRDefault="00791BE5" w:rsidP="00791BE5">
      <w:pPr>
        <w:tabs>
          <w:tab w:val="left" w:pos="720"/>
          <w:tab w:val="left" w:pos="1077"/>
          <w:tab w:val="left" w:pos="1418"/>
        </w:tabs>
        <w:spacing w:after="0"/>
        <w:ind w:right="-79" w:firstLine="709"/>
        <w:jc w:val="both"/>
        <w:rPr>
          <w:lang w:val="lt-LT"/>
        </w:rPr>
      </w:pPr>
      <w:r w:rsidRPr="00DB5C56">
        <w:rPr>
          <w:lang w:val="lt-LT"/>
        </w:rPr>
        <w:t>6) tarptautinių visuomeninių organizacijų skyriai (padaliniai);</w:t>
      </w:r>
    </w:p>
    <w:p w14:paraId="47CEAEBE" w14:textId="77777777" w:rsidR="00791BE5" w:rsidRDefault="00791BE5" w:rsidP="00791BE5">
      <w:pPr>
        <w:tabs>
          <w:tab w:val="left" w:pos="720"/>
          <w:tab w:val="left" w:pos="1077"/>
          <w:tab w:val="left" w:pos="1418"/>
        </w:tabs>
        <w:spacing w:after="0"/>
        <w:ind w:right="-79" w:firstLine="709"/>
        <w:jc w:val="both"/>
        <w:rPr>
          <w:lang w:val="lt-LT"/>
        </w:rPr>
      </w:pPr>
      <w:r w:rsidRPr="00DB5C56">
        <w:rPr>
          <w:lang w:val="lt-LT"/>
        </w:rPr>
        <w:t>7) kiti juridiniai asmenys, išskyrus politines partijas, kurių veiklą reglamentuoja specialūs įstatymai ir kurių veiklos tikslas nėra pelno siekimas, o gautasis pelnas negali būti skiriamas jų steigėjams, dalininkams ar nariams.</w:t>
      </w:r>
    </w:p>
    <w:p w14:paraId="5F12935A" w14:textId="77777777" w:rsidR="00791BE5" w:rsidRDefault="00791BE5" w:rsidP="00791BE5">
      <w:pPr>
        <w:tabs>
          <w:tab w:val="left" w:pos="720"/>
          <w:tab w:val="left" w:pos="1077"/>
          <w:tab w:val="left" w:pos="1418"/>
        </w:tabs>
        <w:ind w:right="-79" w:firstLine="709"/>
        <w:jc w:val="both"/>
        <w:rPr>
          <w:lang w:val="lt-LT"/>
        </w:rPr>
      </w:pPr>
      <w:r w:rsidRPr="00DB5C56">
        <w:rPr>
          <w:lang w:val="lt-LT"/>
        </w:rPr>
        <w:t xml:space="preserve">Minėti vienetai tampa paramos gavėjais ir įgyja teisę gauti paramą tik LPĮ 13 straipsnyje nustatyta tvarka įgiję paramos gavėjo statusą. </w:t>
      </w:r>
    </w:p>
    <w:p w14:paraId="66ABC5D9" w14:textId="77777777" w:rsidR="00791BE5" w:rsidRPr="00791BE5" w:rsidRDefault="00791BE5" w:rsidP="00791BE5">
      <w:pPr>
        <w:tabs>
          <w:tab w:val="left" w:pos="720"/>
          <w:tab w:val="left" w:pos="1077"/>
          <w:tab w:val="left" w:pos="1418"/>
        </w:tabs>
        <w:jc w:val="both"/>
        <w:rPr>
          <w:sz w:val="22"/>
          <w:szCs w:val="22"/>
          <w:lang w:val="lt-LT"/>
        </w:rPr>
      </w:pPr>
      <w:r>
        <w:rPr>
          <w:iCs/>
          <w:lang w:eastAsia="lt-LT"/>
        </w:rPr>
        <w:t>(PMĮ 28 straipsnio 2 dalies komentaro 4 punktas pakeistas pagal VMI prie FM 2024-04-16 raštą Nr. (18.10-31-1 Mr)-R-1417)</w:t>
      </w:r>
    </w:p>
    <w:p w14:paraId="66D21416" w14:textId="77777777" w:rsidR="005907F6" w:rsidRDefault="000D779E" w:rsidP="00EC4E29">
      <w:pPr>
        <w:pStyle w:val="Sraopastraipa"/>
        <w:numPr>
          <w:ilvl w:val="0"/>
          <w:numId w:val="67"/>
        </w:numPr>
        <w:tabs>
          <w:tab w:val="left" w:pos="720"/>
          <w:tab w:val="left" w:pos="1077"/>
          <w:tab w:val="left" w:pos="1418"/>
        </w:tabs>
        <w:ind w:right="-82"/>
        <w:jc w:val="both"/>
      </w:pPr>
      <w:r>
        <w:t>Param</w:t>
      </w:r>
      <w:r w:rsidR="005907F6">
        <w:t>os gavėjais taip pat gali būti užsienyje įsteigti:</w:t>
      </w:r>
    </w:p>
    <w:p w14:paraId="24596C4E" w14:textId="77777777" w:rsidR="00093845" w:rsidRDefault="005907F6" w:rsidP="005907F6">
      <w:pPr>
        <w:tabs>
          <w:tab w:val="left" w:pos="720"/>
          <w:tab w:val="left" w:pos="1077"/>
          <w:tab w:val="left" w:pos="1418"/>
        </w:tabs>
        <w:ind w:right="-82"/>
        <w:jc w:val="both"/>
      </w:pPr>
      <w:r>
        <w:t xml:space="preserve">      5.1 U</w:t>
      </w:r>
      <w:r w:rsidR="000D779E">
        <w:t>žsienyje esančių lietuvių bendruomenių, kitų lietuviškų įstaigų ar organizacijų, kurios gali būti paramos gavėjais pagal Lietuvos Respublikos labdaros ir paramos įstatymą, sąraše, patvirtintame Lietuvos Respublikos užsienio reikalų ministro 2011 m. gruodžio 30 d. įsakymu Nr. V-265 „Dėl Užsienyje esančių lietuvių bendruomenių, kitų lietuviškų įstaigų ar organizacijų, kurios gali būti paramos gavėjais pagal Lietuvos Respublikos labdaros ir paramos įstatymą, sąrašo“, nurodytos užsienyje esančios lietuvių bendruomenės ir kitos lietuv</w:t>
      </w:r>
      <w:r>
        <w:t>iškos įstaigos ar organizacijos;</w:t>
      </w:r>
      <w:r w:rsidR="000D779E">
        <w:t xml:space="preserve"> </w:t>
      </w:r>
    </w:p>
    <w:p w14:paraId="159CBDC9" w14:textId="77777777" w:rsidR="005907F6" w:rsidRDefault="005907F6" w:rsidP="005907F6">
      <w:pPr>
        <w:jc w:val="both"/>
        <w:rPr>
          <w:lang w:eastAsia="lt-LT"/>
        </w:rPr>
      </w:pPr>
      <w:r>
        <w:rPr>
          <w:lang w:eastAsia="lt-LT"/>
        </w:rPr>
        <w:lastRenderedPageBreak/>
        <w:t xml:space="preserve">      5.2 </w:t>
      </w:r>
      <w:r w:rsidR="000D779E">
        <w:rPr>
          <w:lang w:eastAsia="lt-LT"/>
        </w:rPr>
        <w:t>Europos ekonominės erdvės valstybėse įsteigi juridiniai asmenys ar kitos organizacijos, kurių veiklos tikslas nėra pelno siekimas, o gautas pelnas neg</w:t>
      </w:r>
      <w:r>
        <w:rPr>
          <w:lang w:eastAsia="lt-LT"/>
        </w:rPr>
        <w:t>ali būti skiriamas jų dalyviams;</w:t>
      </w:r>
      <w:r w:rsidR="000D779E">
        <w:rPr>
          <w:lang w:eastAsia="lt-LT"/>
        </w:rPr>
        <w:t xml:space="preserve"> </w:t>
      </w:r>
    </w:p>
    <w:p w14:paraId="39298C81" w14:textId="77777777" w:rsidR="005907F6" w:rsidRPr="005907F6" w:rsidRDefault="005907F6" w:rsidP="005907F6">
      <w:pPr>
        <w:jc w:val="both"/>
        <w:rPr>
          <w:lang w:eastAsia="lt-LT"/>
        </w:rPr>
      </w:pPr>
      <w:r>
        <w:rPr>
          <w:lang w:eastAsia="lt-LT"/>
        </w:rPr>
        <w:t xml:space="preserve">      5.3 </w:t>
      </w:r>
      <w:r w:rsidRPr="0037719D">
        <w:rPr>
          <w:lang w:val="lt-LT"/>
        </w:rPr>
        <w:t>nuo 2022 m. vasario 24 d. į Vyriausybės sudarytą sąrašą, patvirtintą</w:t>
      </w:r>
      <w:r w:rsidRPr="0037719D">
        <w:rPr>
          <w:lang w:val="lt-LT" w:eastAsia="lt-LT"/>
        </w:rPr>
        <w:t xml:space="preserve"> Lietuvos Respublikos Vyriausybės 2016 m. rugpjūčio 11 d. nutarimu Nr. 812 „Dėl įgaliojimų suteikimo įgyvendinant Lietuvos Respublikos labdaros ir paramos įstatymą“, </w:t>
      </w:r>
      <w:r w:rsidRPr="0037719D">
        <w:rPr>
          <w:lang w:val="lt-LT"/>
        </w:rPr>
        <w:t>įtrauktose demokratinėse bei teisinėse valstybėse, patiriančiose nusikaltimus, kaip jie suprantami pagal Tarptautinio baudžiamojo teismo Romos statutą, ir šių nusikaltimų padarinius, įsteigti juridiniai asmenys ar kitos organizacijos, kurių veiklos tikslas nėra pelno siekimas, o gautas pelnas negali būti skiriamas jų dalyviams bei  šių demokratinių bei teisinių valstybių valstybinės institucijos.</w:t>
      </w:r>
    </w:p>
    <w:p w14:paraId="0A000B75" w14:textId="77777777" w:rsidR="005907F6" w:rsidRPr="004F26D3" w:rsidRDefault="005907F6" w:rsidP="005907F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eastAsia="lt-LT"/>
        </w:rPr>
      </w:pPr>
      <w:r>
        <w:rPr>
          <w:lang w:val="lt-LT" w:eastAsia="lt-LT"/>
        </w:rPr>
        <w:t xml:space="preserve">       </w:t>
      </w:r>
      <w:r w:rsidRPr="0037719D">
        <w:rPr>
          <w:lang w:val="lt-LT" w:eastAsia="lt-LT"/>
        </w:rPr>
        <w:t>Komentaro 5.2 ir 5.3 papunkčiuose nurodytais atvejais, paramos teikėjas turi turėti dokumentus, įrodančius, kad parama teikiama visuomenei naudingiems tikslams</w:t>
      </w:r>
      <w:r>
        <w:rPr>
          <w:lang w:val="lt-LT" w:eastAsia="lt-LT"/>
        </w:rPr>
        <w:t>.</w:t>
      </w:r>
      <w:r w:rsidRPr="004F26D3">
        <w:rPr>
          <w:lang w:val="lt-LT" w:eastAsia="lt-LT"/>
        </w:rPr>
        <w:t xml:space="preserve"> Dokumentų, įrodančių, kad paramos teikėjo parama teikiama Europos ekonominės erdvės valstybėse </w:t>
      </w:r>
      <w:r w:rsidRPr="004F26D3">
        <w:rPr>
          <w:bCs/>
          <w:color w:val="000000"/>
          <w:lang w:val="lt-LT"/>
        </w:rPr>
        <w:t xml:space="preserve">ir į Vyriausybės sudarytą sąrašą įtrauktose demokratinėse bei teisinėse valstybėse, patiriančiose nusikaltimus, kaip jie suprantami pagal Tarptautinio baudžiamojo teismo Romos statutą, ir šių nusikaltimų padarinius, </w:t>
      </w:r>
      <w:r w:rsidRPr="004F26D3">
        <w:rPr>
          <w:lang w:val="lt-LT" w:eastAsia="lt-LT"/>
        </w:rPr>
        <w:t xml:space="preserve">įsteigtų juridinių asmenų ar kitų organizacijų ir </w:t>
      </w:r>
      <w:r w:rsidRPr="004F26D3">
        <w:rPr>
          <w:bCs/>
          <w:color w:val="000000"/>
          <w:lang w:val="lt-LT"/>
        </w:rPr>
        <w:t xml:space="preserve">šių demokratinių bei teisinių valstybių valstybinių institucijų </w:t>
      </w:r>
      <w:r w:rsidRPr="004F26D3">
        <w:rPr>
          <w:lang w:val="lt-LT" w:eastAsia="lt-LT"/>
        </w:rPr>
        <w:t xml:space="preserve">visuomenei naudingiems tikslams, nurodytiems Lietuvos Respublikos labdaros ir paramos įstatymo 3 straipsnio 3 dalyje, pateikimo </w:t>
      </w:r>
      <w:r w:rsidRPr="004F26D3">
        <w:rPr>
          <w:lang w:val="lt-LT"/>
        </w:rPr>
        <w:t xml:space="preserve">Valstybinei mokesčių inspekcijai </w:t>
      </w:r>
      <w:r w:rsidRPr="004F26D3">
        <w:rPr>
          <w:lang w:val="lt-LT" w:eastAsia="lt-LT"/>
        </w:rPr>
        <w:t>tvarkos aprašas yra patvirtintas Valstybinės mokesčių inspekcijos prie Lietuvos Respublikos finansų ministerijos 2016 m. lapkričio 21 d. įsakymu Nr. VA-137 „</w:t>
      </w:r>
      <w:r w:rsidRPr="004F26D3">
        <w:rPr>
          <w:lang w:val="lt-LT"/>
        </w:rPr>
        <w:t>Dėl Lietuvos Respublikos labdaros ir paramos įstatymo įgyvendinimo“</w:t>
      </w:r>
      <w:r w:rsidRPr="004F26D3">
        <w:rPr>
          <w:lang w:val="lt-LT" w:eastAsia="lt-LT"/>
        </w:rPr>
        <w:t>.</w:t>
      </w:r>
    </w:p>
    <w:p w14:paraId="3EC42BC5" w14:textId="77777777" w:rsidR="005907F6" w:rsidRDefault="005907F6" w:rsidP="005907F6">
      <w:pPr>
        <w:tabs>
          <w:tab w:val="left" w:pos="720"/>
          <w:tab w:val="left" w:pos="1077"/>
          <w:tab w:val="left" w:pos="1418"/>
        </w:tabs>
        <w:ind w:right="-82" w:firstLine="709"/>
        <w:jc w:val="both"/>
        <w:rPr>
          <w:lang w:val="lt-LT"/>
        </w:rPr>
      </w:pPr>
      <w:r w:rsidRPr="004F26D3">
        <w:rPr>
          <w:lang w:val="lt-LT"/>
        </w:rPr>
        <w:t>Atkreiptinas dėmesys, kad ši tvarka netaikoma Lietuvos Respublikos Vyriausybės ar jos įgaliotos institucijos patvirtintame sąraše nurodytoms užsienyje esančioms lietuvių bendruomenėms ir kitoms lietuviškoms įstaigoms ar organizacijoms.</w:t>
      </w:r>
    </w:p>
    <w:p w14:paraId="06CFFB1D" w14:textId="77777777" w:rsidR="00892C5C" w:rsidRPr="00441B00" w:rsidRDefault="00892C5C" w:rsidP="00892C5C">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73E13324" w14:textId="77777777" w:rsidR="00093845" w:rsidRDefault="000D779E">
      <w:pPr>
        <w:tabs>
          <w:tab w:val="left" w:pos="720"/>
          <w:tab w:val="left" w:pos="1077"/>
          <w:tab w:val="left" w:pos="1418"/>
        </w:tabs>
        <w:ind w:right="-82" w:firstLine="709"/>
        <w:jc w:val="both"/>
        <w:rPr>
          <w:rFonts w:cs="Arial Unicode MS"/>
        </w:rPr>
      </w:pPr>
      <w:r>
        <w:rPr>
          <w:rFonts w:cs="Arial Unicode MS"/>
        </w:rPr>
        <w:t>6. Paramos dalykai paramos gavėjams teikiami visuomenei naudingiems tikslams, o biudžetinėms įstaigoms - jų nuostatuose nustatytiems uždaviniams ir funkcijoms įgyvendinti.</w:t>
      </w:r>
    </w:p>
    <w:p w14:paraId="2173E158" w14:textId="77777777" w:rsidR="00093845" w:rsidRDefault="000D779E">
      <w:pPr>
        <w:tabs>
          <w:tab w:val="left" w:pos="720"/>
          <w:tab w:val="left" w:pos="1077"/>
          <w:tab w:val="left" w:pos="1418"/>
        </w:tabs>
        <w:ind w:right="-82" w:firstLine="709"/>
        <w:jc w:val="both"/>
        <w:rPr>
          <w:rFonts w:cs="Arial Unicode MS"/>
        </w:rPr>
      </w:pPr>
      <w:r>
        <w:rPr>
          <w:rFonts w:cs="Arial Unicode MS"/>
        </w:rPr>
        <w:t>Visuomenei naudingais tikslais laikoma veikla tarptautinio bendradarbiavimo, žmogaus teisių apsaugos, mažumų integracijos, kultūros, religinių ir etinių vertybių puoselėjimo, švietimo, mokslo ir profesinio tobulinimo, neformalaus ir pilietinio ugdymo, sporto, socialinės apsaugos ir darbo, sveikatos priežiūros, nacionalinio saugumo ir gynybos, teisėtvarkos, nusikalstamumo prevencijos, gyvenamosios aplinkos pritaikymo ir būsto plėtros, autorių teisių ir gretutinių teisių apsaugos, aplinkos apsaugos ir kitose visuomenei naudingomis ir nesavanaudiškomis pripažįstamose veiklos srityse.</w:t>
      </w:r>
    </w:p>
    <w:p w14:paraId="7598AAC8" w14:textId="77777777" w:rsidR="00093845" w:rsidRDefault="000D779E">
      <w:pPr>
        <w:tabs>
          <w:tab w:val="left" w:pos="720"/>
          <w:tab w:val="left" w:pos="1077"/>
          <w:tab w:val="left" w:pos="1418"/>
        </w:tabs>
        <w:ind w:right="-82" w:firstLine="720"/>
        <w:jc w:val="both"/>
      </w:pPr>
      <w:r>
        <w:t>7. Parama yra savanoriška ir neatlyginama, išskyrus tik LPĮ 8 straipsnyje numatytus paramos gavėjo įsipareigojimus:</w:t>
      </w:r>
    </w:p>
    <w:p w14:paraId="7CDCB53C" w14:textId="77777777" w:rsidR="00093845" w:rsidRDefault="000D779E">
      <w:pPr>
        <w:tabs>
          <w:tab w:val="left" w:pos="720"/>
          <w:tab w:val="left" w:pos="1077"/>
          <w:tab w:val="left" w:pos="1418"/>
        </w:tabs>
        <w:ind w:right="-82" w:firstLine="720"/>
        <w:jc w:val="both"/>
      </w:pPr>
      <w:r>
        <w:t>- viešinti informaciją apie paramos teikėją;</w:t>
      </w:r>
    </w:p>
    <w:p w14:paraId="3A21C54B" w14:textId="77777777" w:rsidR="00093845" w:rsidRDefault="000D779E">
      <w:pPr>
        <w:tabs>
          <w:tab w:val="left" w:pos="720"/>
          <w:tab w:val="left" w:pos="1077"/>
          <w:tab w:val="left" w:pos="1418"/>
        </w:tabs>
        <w:ind w:right="-82" w:firstLine="720"/>
        <w:jc w:val="both"/>
      </w:pPr>
      <w:r>
        <w:t>- teikti ataskaitas paramos teikėjui apie gautos paramos panaudojimą, paramos gavėjo veiklą;</w:t>
      </w:r>
    </w:p>
    <w:p w14:paraId="3C9AA9E2" w14:textId="77777777" w:rsidR="00093845" w:rsidRDefault="000D779E">
      <w:pPr>
        <w:tabs>
          <w:tab w:val="left" w:pos="720"/>
          <w:tab w:val="left" w:pos="1077"/>
          <w:tab w:val="left" w:pos="1418"/>
        </w:tabs>
        <w:ind w:right="-82" w:firstLine="720"/>
        <w:jc w:val="both"/>
      </w:pPr>
      <w:r>
        <w:t>- panaudoti paramos dalyką paramos teikėjo nurodyta tvarka.</w:t>
      </w:r>
    </w:p>
    <w:p w14:paraId="14742290" w14:textId="77777777" w:rsidR="00093845" w:rsidRDefault="000D779E">
      <w:pPr>
        <w:tabs>
          <w:tab w:val="left" w:pos="720"/>
          <w:tab w:val="left" w:pos="1077"/>
          <w:tab w:val="left" w:pos="1418"/>
        </w:tabs>
        <w:ind w:right="-82" w:firstLine="720"/>
        <w:jc w:val="both"/>
      </w:pPr>
      <w:r>
        <w:t>Paramos gavėjo prisiimami įsipareigojimai paramos teikėjui turi būti nurodyti sutartyje, kuria įforminamas paramos teikimas. Įsipareigojimas panaudoti paramos dalyką paramos teikėjo nurodyta tvarka negali prieštarauti LPĮ nuostatoms dėl paramos panaudojimo.</w:t>
      </w:r>
    </w:p>
    <w:p w14:paraId="465EB186" w14:textId="77777777" w:rsidR="00093845" w:rsidRDefault="000D779E">
      <w:pPr>
        <w:tabs>
          <w:tab w:val="left" w:pos="720"/>
          <w:tab w:val="left" w:pos="1077"/>
          <w:tab w:val="left" w:pos="1418"/>
        </w:tabs>
        <w:ind w:right="-82" w:firstLine="720"/>
        <w:jc w:val="both"/>
      </w:pPr>
      <w:r>
        <w:t>Parama taip pat pripažįstama, jeigu paramos teikimo sutartyje nurodoma, kad ji teikiama labdaros ir paramos fondo neliečiamajam kapitalui formuoti.</w:t>
      </w:r>
    </w:p>
    <w:p w14:paraId="39CD38E6" w14:textId="77777777" w:rsidR="0063666B" w:rsidRDefault="000D779E" w:rsidP="0063666B">
      <w:pPr>
        <w:tabs>
          <w:tab w:val="left" w:pos="720"/>
          <w:tab w:val="left" w:pos="1077"/>
          <w:tab w:val="left" w:pos="1418"/>
        </w:tabs>
        <w:ind w:right="-82" w:firstLine="709"/>
        <w:jc w:val="both"/>
        <w:rPr>
          <w:lang w:val="lt-LT"/>
        </w:rPr>
      </w:pPr>
      <w:r>
        <w:lastRenderedPageBreak/>
        <w:t xml:space="preserve">8. </w:t>
      </w:r>
      <w:r w:rsidR="0063666B" w:rsidRPr="004F26D3">
        <w:rPr>
          <w:lang w:val="lt-LT"/>
        </w:rPr>
        <w:t>Paramos teikimo (gavimo) faktas įforminamas atitinkama sutartimi ar kitais paramos ar labdaros perdavimo faktą patvirtinančiais laisvos formos dokumentais, turinčiais Finansinės apskaitos įstatym</w:t>
      </w:r>
      <w:r w:rsidR="0063666B">
        <w:rPr>
          <w:lang w:val="lt-LT"/>
        </w:rPr>
        <w:t>e</w:t>
      </w:r>
      <w:r w:rsidR="0063666B" w:rsidRPr="004F26D3">
        <w:rPr>
          <w:lang w:val="lt-LT"/>
        </w:rPr>
        <w:t xml:space="preserve"> nustatytą </w:t>
      </w:r>
      <w:r w:rsidR="0063666B" w:rsidRPr="004F26D3">
        <w:rPr>
          <w:lang w:val="lt-LT" w:eastAsia="lt-LT"/>
        </w:rPr>
        <w:t xml:space="preserve">privalomą </w:t>
      </w:r>
      <w:r w:rsidR="0063666B" w:rsidRPr="004F26D3">
        <w:rPr>
          <w:rFonts w:eastAsia="Calibri"/>
          <w:lang w:val="lt-LT"/>
        </w:rPr>
        <w:t xml:space="preserve">finansinės apskaitos dokumentų </w:t>
      </w:r>
      <w:r w:rsidR="0063666B" w:rsidRPr="004F26D3">
        <w:rPr>
          <w:lang w:val="lt-LT" w:eastAsia="lt-LT"/>
        </w:rPr>
        <w:t>informaciją</w:t>
      </w:r>
      <w:r w:rsidR="0063666B" w:rsidRPr="004F26D3">
        <w:rPr>
          <w:lang w:val="lt-LT"/>
        </w:rPr>
        <w:t xml:space="preserve"> (sutartis nebūtina, jeigu labdara ir parama teikiama ne Notariato įstatymo nustatyta tvarka ir nenustatomos papildomos labdaros ir paramos davėjo sąlygos).</w:t>
      </w:r>
    </w:p>
    <w:p w14:paraId="68B5429F" w14:textId="77777777" w:rsidR="00927E65" w:rsidRPr="009C6900" w:rsidRDefault="000D779E" w:rsidP="00927E65">
      <w:pPr>
        <w:tabs>
          <w:tab w:val="left" w:pos="720"/>
          <w:tab w:val="left" w:pos="1077"/>
          <w:tab w:val="left" w:pos="1418"/>
        </w:tabs>
        <w:ind w:right="-82" w:firstLine="709"/>
        <w:jc w:val="both"/>
        <w:rPr>
          <w:lang w:val="lt-LT"/>
        </w:rPr>
      </w:pPr>
      <w:r>
        <w:t xml:space="preserve">9. </w:t>
      </w:r>
      <w:r w:rsidR="00927E65" w:rsidRPr="009C6900">
        <w:rPr>
          <w:lang w:val="lt-LT"/>
        </w:rPr>
        <w:t xml:space="preserve">Paramos teikėjai, vadovaudamiesi LPĮ, privalo atskirai tvarkyti pagal LPĮ įstatymą teikiamos paramos apskaitą, t. y. joje nurodyti duomenis apie konkrečius paramos gavėjus, paramos dalyką bei jo vertę ir mokesčių administratoriui pateikti metinę ataskaitą apie suteiktą paramą. </w:t>
      </w:r>
    </w:p>
    <w:p w14:paraId="0CC9BDDC" w14:textId="77777777" w:rsidR="00927E65" w:rsidRPr="009C6900" w:rsidRDefault="00927E65" w:rsidP="00927E65">
      <w:pPr>
        <w:tabs>
          <w:tab w:val="left" w:pos="720"/>
          <w:tab w:val="left" w:pos="1077"/>
          <w:tab w:val="left" w:pos="1418"/>
        </w:tabs>
        <w:ind w:firstLine="709"/>
        <w:jc w:val="both"/>
        <w:rPr>
          <w:lang w:val="lt-LT"/>
        </w:rPr>
      </w:pPr>
      <w:r w:rsidRPr="009C6900">
        <w:rPr>
          <w:lang w:val="lt-LT"/>
        </w:rPr>
        <w:t>Paramos teikėjų metinės ataskaitos pateikimo mokesčių administratoriui tvarka ir terminai yra nustatyti Paramos teikėjų ataskaitų apie suteiktą paramą pateikimo mokesčių administratoriui tvarkos apraše, patvirtintame 2016 m. lapkričio 21 d. Valstybinės mokesčių inspekcijos prie Lietuvos Respublikos finansų ministerijos viršininko įsakymu Nr. VA-137 „Dėl Lietuvos Respublikos labdaros ir paramos įstatymo įgyvendinimo“ (toliau – Aprašas).</w:t>
      </w:r>
    </w:p>
    <w:p w14:paraId="2A83FF21" w14:textId="143EF605" w:rsidR="00093845" w:rsidRDefault="00927E65" w:rsidP="00927E65">
      <w:r>
        <w:rPr>
          <w:lang w:val="lt-LT"/>
        </w:rPr>
        <w:tab/>
        <w:t xml:space="preserve">(Pakeista pagal </w:t>
      </w:r>
      <w:r w:rsidRPr="0051529C">
        <w:t xml:space="preserve">VMI prie FM </w:t>
      </w:r>
      <w:r w:rsidRPr="005E14CD">
        <w:t>2026-02-</w:t>
      </w:r>
      <w:r>
        <w:t>10 raštą</w:t>
      </w:r>
      <w:r w:rsidRPr="005E14CD">
        <w:t xml:space="preserve"> Nr. (18.10-31-1 Mr)</w:t>
      </w:r>
      <w:r>
        <w:t xml:space="preserve"> R-358)</w:t>
      </w:r>
    </w:p>
    <w:p w14:paraId="24DF561A" w14:textId="77777777" w:rsidR="00093845" w:rsidRDefault="000D779E">
      <w:pPr>
        <w:tabs>
          <w:tab w:val="left" w:pos="720"/>
          <w:tab w:val="left" w:pos="1077"/>
          <w:tab w:val="left" w:pos="1418"/>
        </w:tabs>
        <w:ind w:firstLine="709"/>
        <w:jc w:val="both"/>
        <w:rPr>
          <w:strike/>
        </w:rPr>
      </w:pPr>
      <w:r>
        <w:rPr>
          <w:szCs w:val="20"/>
        </w:rPr>
        <w:t xml:space="preserve">10. </w:t>
      </w:r>
      <w:r>
        <w:t>Pagal Aprašo nuostatas</w:t>
      </w:r>
      <w:r>
        <w:rPr>
          <w:b/>
        </w:rPr>
        <w:t xml:space="preserve"> </w:t>
      </w:r>
      <w:r>
        <w:t>paramos teikėjai, per atitinkamus kalendorinius metus LPĮ nustatyta tvarka suteikę paramą, iki kitų kalendorinių metų gegužės 15 dienos mokesčių administratoriui privalo pateikti ataskaitą apie paramos suteikimą. Ataskaitoje turi būti pagal konkrečius paramos gavėjus nurodytas suteiktos paramos dalykas ir jo vertė. Paramos teikimo metinės ataskaitos FR0477 forma ir jos užpildymo taisyklės patvirtintos Valstybinės mokesčių inspekcijos prie Lietuvos Respublikos finansų ministerijos viršininko 2003 m. balandžio 10 d. įsakymu Nr. V-103.</w:t>
      </w:r>
    </w:p>
    <w:p w14:paraId="26F6F75E" w14:textId="2D631134" w:rsidR="00093845" w:rsidRDefault="000D779E">
      <w:pPr>
        <w:tabs>
          <w:tab w:val="left" w:pos="720"/>
          <w:tab w:val="left" w:pos="1077"/>
          <w:tab w:val="left" w:pos="1418"/>
        </w:tabs>
        <w:ind w:right="-82" w:firstLine="709"/>
        <w:jc w:val="both"/>
        <w:rPr>
          <w:color w:val="000000"/>
          <w:szCs w:val="20"/>
        </w:rPr>
      </w:pPr>
      <w:r>
        <w:rPr>
          <w:color w:val="000000"/>
          <w:szCs w:val="20"/>
        </w:rPr>
        <w:t xml:space="preserve">11. </w:t>
      </w:r>
    </w:p>
    <w:p w14:paraId="7336D411" w14:textId="57B871FC" w:rsidR="00927E65" w:rsidRDefault="00927E65" w:rsidP="00927E65">
      <w:pPr>
        <w:ind w:firstLine="709"/>
        <w:jc w:val="both"/>
        <w:rPr>
          <w:iCs/>
          <w:color w:val="000000"/>
          <w:lang w:val="lt-LT"/>
        </w:rPr>
      </w:pPr>
      <w:r w:rsidRPr="009C6900">
        <w:rPr>
          <w:iCs/>
          <w:color w:val="000000"/>
          <w:lang w:val="lt-LT"/>
        </w:rPr>
        <w:t xml:space="preserve">Neteko galios. </w:t>
      </w:r>
    </w:p>
    <w:p w14:paraId="4C97B63B" w14:textId="2F7C2B39" w:rsidR="00927E65" w:rsidRDefault="00927E65" w:rsidP="00927E65">
      <w:r>
        <w:rPr>
          <w:lang w:val="lt-LT"/>
        </w:rPr>
        <w:tab/>
        <w:t xml:space="preserve">(Pagal </w:t>
      </w:r>
      <w:r w:rsidRPr="0051529C">
        <w:t xml:space="preserve">VMI prie FM </w:t>
      </w:r>
      <w:r w:rsidRPr="005E14CD">
        <w:t>2026-02-</w:t>
      </w:r>
      <w:r>
        <w:t>10 raštą</w:t>
      </w:r>
      <w:r w:rsidRPr="005E14CD">
        <w:t xml:space="preserve"> Nr. (18.10-31-1 Mr)</w:t>
      </w:r>
      <w:r>
        <w:t xml:space="preserve"> R-358)</w:t>
      </w:r>
    </w:p>
    <w:p w14:paraId="6B7C9568" w14:textId="77777777" w:rsidR="00093845" w:rsidRDefault="000D779E">
      <w:pPr>
        <w:tabs>
          <w:tab w:val="left" w:pos="720"/>
          <w:tab w:val="left" w:pos="1077"/>
          <w:tab w:val="left" w:pos="1418"/>
        </w:tabs>
        <w:ind w:right="-82" w:firstLine="709"/>
        <w:jc w:val="both"/>
        <w:rPr>
          <w:rFonts w:cs="Arial Unicode MS"/>
          <w:strike/>
        </w:rPr>
      </w:pPr>
      <w:r>
        <w:rPr>
          <w:rFonts w:cs="Arial Unicode MS"/>
        </w:rPr>
        <w:t>12.</w:t>
      </w:r>
      <w:r>
        <w:rPr>
          <w:rFonts w:cs="Arial Unicode MS"/>
        </w:rPr>
        <w:tab/>
        <w:t>Labdaros ir paramos teikimą, gavimą ir panaudojimą kiek tai susiję su mokesčių lengvatų taikymu (išskyrus muitų mokesčius) kontroliuoja mokesčių administratorius. Nusta</w:t>
      </w:r>
      <w:r>
        <w:rPr>
          <w:rFonts w:cs="Arial Unicode MS"/>
          <w:b/>
        </w:rPr>
        <w:t>tęs</w:t>
      </w:r>
      <w:r>
        <w:rPr>
          <w:rFonts w:cs="Arial Unicode MS"/>
        </w:rPr>
        <w:t xml:space="preserve">, kad labdara ar parama teikiama, gaunama arba panaudojama nesilaikant LPĮ nurodytų reikalavimų, mokesčių administratorius pažeidėjams panaikina mokesčių lengvatas ir taiko įstatymų nustatytas sankcijas. </w:t>
      </w:r>
    </w:p>
    <w:p w14:paraId="257CA2D4" w14:textId="77777777" w:rsidR="00093845" w:rsidRPr="00441B00" w:rsidRDefault="000D779E">
      <w:pPr>
        <w:pStyle w:val="Pagrindiniotekstotrauka"/>
        <w:rPr>
          <w:rFonts w:ascii="Times New Roman" w:hAnsi="Times New Roman" w:cs="Times New Roman"/>
          <w:color w:val="000000"/>
        </w:rPr>
      </w:pPr>
      <w:r w:rsidRPr="00441B00">
        <w:rPr>
          <w:rFonts w:ascii="Times New Roman" w:hAnsi="Times New Roman" w:cs="Times New Roman"/>
          <w:iCs/>
          <w:lang w:val="nb-NO"/>
        </w:rPr>
        <w:t xml:space="preserve"> (Pagal </w:t>
      </w:r>
      <w:r w:rsidRPr="00441B00">
        <w:rPr>
          <w:rFonts w:ascii="Times New Roman" w:hAnsi="Times New Roman" w:cs="Times New Roman"/>
          <w:color w:val="000000"/>
          <w:lang w:val="lt-LT"/>
        </w:rPr>
        <w:t xml:space="preserve">VMI prie FM 2017-10-27 raštą Nr. </w:t>
      </w:r>
      <w:r w:rsidRPr="00441B00">
        <w:rPr>
          <w:rFonts w:ascii="Times New Roman" w:hAnsi="Times New Roman" w:cs="Times New Roman"/>
          <w:color w:val="000000"/>
        </w:rPr>
        <w:t>(18.10-31-1E) RM-33036)</w:t>
      </w:r>
    </w:p>
    <w:p w14:paraId="397F7628" w14:textId="77777777" w:rsidR="00093845" w:rsidRDefault="000D779E">
      <w:pPr>
        <w:tabs>
          <w:tab w:val="left" w:pos="720"/>
          <w:tab w:val="left" w:pos="1077"/>
          <w:tab w:val="left" w:pos="1418"/>
        </w:tabs>
        <w:ind w:right="-5" w:firstLine="709"/>
        <w:jc w:val="both"/>
        <w:rPr>
          <w:b/>
        </w:rPr>
      </w:pPr>
      <w:r>
        <w:rPr>
          <w:b/>
        </w:rPr>
        <w:t>3.</w:t>
      </w:r>
      <w:r>
        <w:rPr>
          <w:b/>
        </w:rPr>
        <w:tab/>
        <w:t>Teikiant paramą ilgalaikiu materialiuoju turtu, suteiktos paramos suma yra lygi šio turto likutinei vertei. Teikiant paramą kitu turtu, suteiktos paramos suma yra lygi šio turto įsigijimo kainai. Teikiant paramą paslaugomis, paramos suma yra lygi šių paslaugų savikainai. Teikiant paramą panaudos teise perduodant ilgalaikį materialųjį turtą, paramos suma lygi apskaičiuotai šio turto nusidėvėjimo per laikotarpį, kurį paramos gavėjas jį naudojo, sumai.</w:t>
      </w:r>
    </w:p>
    <w:p w14:paraId="69E4BFE2" w14:textId="77777777" w:rsidR="00093845" w:rsidRDefault="000D779E">
      <w:pPr>
        <w:ind w:firstLine="709"/>
        <w:jc w:val="both"/>
        <w:rPr>
          <w:b/>
          <w:bCs/>
          <w:lang w:val="fr-FR"/>
        </w:rPr>
      </w:pPr>
      <w:r w:rsidRPr="00115097">
        <w:rPr>
          <w:b/>
          <w:bCs/>
          <w:lang w:val="fr-FR"/>
        </w:rPr>
        <w:t xml:space="preserve">Komentaras </w:t>
      </w:r>
    </w:p>
    <w:p w14:paraId="07A23BC3"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 xml:space="preserve">1.1. </w:t>
      </w:r>
      <w:r w:rsidRPr="00152E91">
        <w:rPr>
          <w:u w:val="single"/>
          <w:lang w:val="lt-LT"/>
        </w:rPr>
        <w:t>Paramos gavėjams – juridiniams asmenims teikiamos paramos dalykai yra</w:t>
      </w:r>
      <w:r w:rsidRPr="00152E91">
        <w:rPr>
          <w:lang w:val="lt-LT"/>
        </w:rPr>
        <w:t>:</w:t>
      </w:r>
    </w:p>
    <w:p w14:paraId="75DB6893"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1.1.1. piniginės lėšos;</w:t>
      </w:r>
    </w:p>
    <w:p w14:paraId="7D47CD34"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t>1.1.2. piniginės lėšos, sudarančios iki 1,2 procentų, bei profesinių sąjungų arba profesinių sąjungų susivienijimų lėšos, sudarančios iki 0,6 procento gyventojo pajamų mokesčio, mokėtino pagal metinę pajamų mokesčio deklaraciją, sumos arba iki 1,2 procento bei profesinėms sąjungoms arba profesinių sąjungų susivienijimams iki 0,6 procento, mokestį išskaičiuojančio asmens išskaičiuoto pajamų mokesčio sumos, kai nuolatinis Lietuvos gyventojas metinės pajamų mokesčio deklaracijos neteikia.</w:t>
      </w:r>
    </w:p>
    <w:p w14:paraId="46984332" w14:textId="77777777" w:rsidR="00221D21" w:rsidRPr="00152E91" w:rsidRDefault="00221D21" w:rsidP="00221D21">
      <w:pPr>
        <w:tabs>
          <w:tab w:val="left" w:pos="720"/>
          <w:tab w:val="left" w:pos="1077"/>
          <w:tab w:val="left" w:pos="1418"/>
        </w:tabs>
        <w:ind w:right="-5" w:firstLine="709"/>
        <w:jc w:val="both"/>
        <w:rPr>
          <w:lang w:val="lt-LT"/>
        </w:rPr>
      </w:pPr>
      <w:r w:rsidRPr="00152E91">
        <w:rPr>
          <w:lang w:val="lt-LT"/>
        </w:rPr>
        <w:lastRenderedPageBreak/>
        <w:t>1.1.3. bet koks kitas turtas, įskaitant pagamintas ar įsigytas prekes;</w:t>
      </w:r>
    </w:p>
    <w:p w14:paraId="5A56A004" w14:textId="77777777" w:rsidR="00221D21" w:rsidRPr="00115097" w:rsidRDefault="00221D21" w:rsidP="00221D21">
      <w:pPr>
        <w:ind w:firstLine="709"/>
        <w:jc w:val="both"/>
        <w:rPr>
          <w:b/>
          <w:bCs/>
          <w:lang w:val="fr-FR"/>
        </w:rPr>
      </w:pPr>
      <w:r w:rsidRPr="00152E91">
        <w:rPr>
          <w:lang w:val="lt-LT"/>
        </w:rPr>
        <w:t>1.1.4. suteiktos paslaugos.</w:t>
      </w:r>
    </w:p>
    <w:p w14:paraId="4845A4E6"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 xml:space="preserve">1.2. </w:t>
      </w:r>
      <w:r w:rsidRPr="00152E91">
        <w:rPr>
          <w:u w:val="single"/>
          <w:lang w:val="lt-LT"/>
        </w:rPr>
        <w:t>Paramos dalykų teikimo būdai</w:t>
      </w:r>
      <w:r w:rsidRPr="00152E91">
        <w:rPr>
          <w:lang w:val="lt-LT"/>
        </w:rPr>
        <w:t>:</w:t>
      </w:r>
    </w:p>
    <w:p w14:paraId="32D3F787"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1.2.1. neatlygintinai perduodant pinigines lėšas ar bet kokį kitą turtą (įskaitant pagamintas arba įsigytas prekes), suteikiant paslaugas;</w:t>
      </w:r>
    </w:p>
    <w:p w14:paraId="08CBC612"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ab/>
        <w:t>1.2.2. suteikiant turtą naudotis panaudos teise;</w:t>
      </w:r>
    </w:p>
    <w:p w14:paraId="0C7A53B8" w14:textId="77777777" w:rsidR="00221D21" w:rsidRPr="00152E91" w:rsidRDefault="00221D21" w:rsidP="00221D21">
      <w:pPr>
        <w:tabs>
          <w:tab w:val="left" w:pos="720"/>
          <w:tab w:val="left" w:pos="1077"/>
          <w:tab w:val="left" w:pos="1418"/>
        </w:tabs>
        <w:ind w:right="-5" w:firstLine="709"/>
        <w:jc w:val="both"/>
        <w:rPr>
          <w:szCs w:val="20"/>
          <w:lang w:val="lt-LT"/>
        </w:rPr>
      </w:pPr>
      <w:r w:rsidRPr="00152E91">
        <w:rPr>
          <w:lang w:val="lt-LT"/>
        </w:rPr>
        <w:tab/>
        <w:t>1.2.3. testamentu paliekant bet kokį turtą (įskaitant pinigines lėšas);</w:t>
      </w:r>
    </w:p>
    <w:p w14:paraId="4BEA6FA4" w14:textId="77777777" w:rsidR="00221D21" w:rsidRPr="006D1DE2" w:rsidRDefault="00221D21" w:rsidP="00221D21">
      <w:pPr>
        <w:tabs>
          <w:tab w:val="left" w:pos="720"/>
          <w:tab w:val="left" w:pos="1077"/>
          <w:tab w:val="left" w:pos="1418"/>
        </w:tabs>
        <w:ind w:right="-5" w:firstLine="709"/>
        <w:jc w:val="both"/>
        <w:rPr>
          <w:lang w:val="lt-LT"/>
        </w:rPr>
      </w:pPr>
      <w:r w:rsidRPr="00152E91">
        <w:rPr>
          <w:lang w:val="lt-LT"/>
        </w:rPr>
        <w:tab/>
        <w:t>1.2.4. kitais</w:t>
      </w:r>
      <w:r w:rsidRPr="006D1DE2">
        <w:rPr>
          <w:lang w:val="lt-LT"/>
        </w:rPr>
        <w:t xml:space="preserve"> būdais, kurių nedraudžia Lietuvos Respublikos įstatymai bei tarptautinės sutartys</w:t>
      </w:r>
      <w:r>
        <w:rPr>
          <w:lang w:val="lt-LT"/>
        </w:rPr>
        <w:t>;</w:t>
      </w:r>
    </w:p>
    <w:p w14:paraId="7BC9D073" w14:textId="77777777" w:rsidR="00221D21" w:rsidRPr="00EE6116" w:rsidRDefault="00221D21" w:rsidP="00221D21">
      <w:pPr>
        <w:ind w:firstLine="709"/>
        <w:jc w:val="both"/>
        <w:rPr>
          <w:color w:val="000000"/>
          <w:lang w:val="lt-LT" w:eastAsia="lt-LT"/>
        </w:rPr>
      </w:pPr>
      <w:r>
        <w:rPr>
          <w:lang w:val="lt-LT"/>
        </w:rPr>
        <w:t xml:space="preserve">1.2.5. </w:t>
      </w:r>
      <w:r>
        <w:rPr>
          <w:color w:val="000000"/>
          <w:lang w:val="lt-LT" w:eastAsia="lt-LT"/>
        </w:rPr>
        <w:t>skiriant iki 1,2 procentų</w:t>
      </w:r>
      <w:r w:rsidRPr="00EE6116">
        <w:rPr>
          <w:lang w:val="lt-LT"/>
        </w:rPr>
        <w:t xml:space="preserve">, bei profesinėms sąjungoms arba profesinių sąjungų susivienijimams iki 0,6 procento </w:t>
      </w:r>
      <w:r w:rsidRPr="00EE6116">
        <w:rPr>
          <w:color w:val="000000"/>
          <w:lang w:val="lt-LT" w:eastAsia="lt-LT"/>
        </w:rPr>
        <w:t>gyventojo pajamų mokesčio, mokėtino pagal metinę pajamų mokesčio deklaraciją, sumos arba iki 1,2 procento</w:t>
      </w:r>
      <w:r w:rsidRPr="00EE6116">
        <w:rPr>
          <w:lang w:val="lt-LT"/>
        </w:rPr>
        <w:t xml:space="preserve"> bei profesinėms sąjungoms arba profesinių sąjungų s</w:t>
      </w:r>
      <w:r>
        <w:rPr>
          <w:lang w:val="lt-LT"/>
        </w:rPr>
        <w:t>usivienijimams iki 0,6 procento</w:t>
      </w:r>
      <w:r w:rsidRPr="00EE6116">
        <w:rPr>
          <w:lang w:val="lt-LT"/>
        </w:rPr>
        <w:t>,</w:t>
      </w:r>
      <w:r w:rsidRPr="00EE6116">
        <w:rPr>
          <w:color w:val="000000"/>
          <w:lang w:val="lt-LT" w:eastAsia="lt-LT"/>
        </w:rPr>
        <w:t xml:space="preserve"> mokestį išskaičiuojančio asmens išskaičiuoto pajamų mokesčio sumos, kai nuolatinis Lietuvos gyventojas metinės pajamų mokesčio deklaracijos neteikia.</w:t>
      </w:r>
    </w:p>
    <w:p w14:paraId="084EBEDF" w14:textId="77777777" w:rsidR="00221D21" w:rsidRDefault="00221D21" w:rsidP="00221D21">
      <w:pPr>
        <w:tabs>
          <w:tab w:val="left" w:pos="720"/>
          <w:tab w:val="left" w:pos="1077"/>
          <w:tab w:val="left" w:pos="1418"/>
        </w:tabs>
        <w:ind w:right="-5" w:firstLine="709"/>
        <w:jc w:val="both"/>
        <w:rPr>
          <w:lang w:val="lt-LT"/>
        </w:rPr>
      </w:pPr>
      <w:r w:rsidRPr="00C06386">
        <w:rPr>
          <w:lang w:val="lt-LT"/>
        </w:rPr>
        <w:t>Labdaros ir paramos dalyku negali būti Lietuvos Respublikos valstybės ir savivaldybių, Valstybinio socialinio draudimo fondo, Sveikatos draudimo fondo biudžetų, Privatizavimo fondo ir kitų valstybės pinigų fondų, Lietuvos banko ir kitos valstybės ir savivaldybių duodamos piniginės lėšos, taip pat tabakas ir tabako gaminiai, etilo alkoholis ir alkoholiniai gėrimai bei ribotai apyvartoje esantys daiktai. Ribotai esantys apyvartoje daiktai yra tam tikras savybes turintys daiktai, kurių apyvarta ribojama saugumo, sveikatos apsaugos ar kitų visuomenės poreikių, pvz., ginklai. Ribotai apyvartoje esantiems daiktams nepriskiriamos laisvoje prekyboje esančios prekės, pvz., maisto produktai ar medikamentai, nors jų realizavimo terminas gali būti apribotas.</w:t>
      </w:r>
    </w:p>
    <w:p w14:paraId="4FFD247D" w14:textId="77777777" w:rsidR="00221D21" w:rsidRDefault="00221D21" w:rsidP="00221D21">
      <w:pPr>
        <w:tabs>
          <w:tab w:val="left" w:pos="720"/>
          <w:tab w:val="left" w:pos="1077"/>
          <w:tab w:val="left" w:pos="1418"/>
        </w:tabs>
        <w:jc w:val="both"/>
        <w:rPr>
          <w:sz w:val="22"/>
          <w:szCs w:val="22"/>
          <w:lang w:val="lt-LT"/>
        </w:rPr>
      </w:pPr>
      <w:r>
        <w:rPr>
          <w:iCs/>
          <w:lang w:eastAsia="lt-LT"/>
        </w:rPr>
        <w:t>(PMĮ 28 straipsnio 3 dalies komentaro 1.1-1.2  papunkčiai pakeisti pagal VMI prie FM 2024-04-16 raštą Nr. (18.10-31-1 Mr)-R-1417)</w:t>
      </w:r>
    </w:p>
    <w:p w14:paraId="3D6DA115" w14:textId="77777777" w:rsidR="00221D21" w:rsidRPr="00C06386" w:rsidRDefault="00221D21" w:rsidP="00221D21">
      <w:pPr>
        <w:tabs>
          <w:tab w:val="left" w:pos="720"/>
          <w:tab w:val="left" w:pos="1077"/>
          <w:tab w:val="left" w:pos="1418"/>
        </w:tabs>
        <w:ind w:right="-5"/>
        <w:jc w:val="both"/>
        <w:rPr>
          <w:szCs w:val="20"/>
          <w:lang w:val="lt-LT"/>
        </w:rPr>
      </w:pPr>
    </w:p>
    <w:p w14:paraId="31C97C05" w14:textId="77777777" w:rsidR="00B4029B" w:rsidRPr="00441B00" w:rsidRDefault="00B4029B" w:rsidP="00221D21">
      <w:pPr>
        <w:tabs>
          <w:tab w:val="left" w:pos="720"/>
          <w:tab w:val="left" w:pos="1077"/>
          <w:tab w:val="left" w:pos="1418"/>
        </w:tabs>
        <w:ind w:right="-5" w:firstLine="709"/>
        <w:jc w:val="both"/>
        <w:rPr>
          <w:color w:val="000000"/>
          <w:lang w:val="lt-LT"/>
        </w:rPr>
      </w:pPr>
    </w:p>
    <w:p w14:paraId="19A79A0B" w14:textId="77777777" w:rsidR="00093845" w:rsidRDefault="000D779E">
      <w:pPr>
        <w:tabs>
          <w:tab w:val="left" w:pos="720"/>
          <w:tab w:val="left" w:pos="1077"/>
          <w:tab w:val="left" w:pos="1418"/>
        </w:tabs>
        <w:ind w:right="-5" w:firstLine="709"/>
        <w:jc w:val="both"/>
        <w:rPr>
          <w:szCs w:val="20"/>
        </w:rPr>
      </w:pPr>
      <w:r>
        <w:t>2.</w:t>
      </w:r>
      <w:r>
        <w:tab/>
        <w:t>Suteiktos paramos vertė nustatoma:</w:t>
      </w:r>
    </w:p>
    <w:p w14:paraId="4DCD63C0" w14:textId="77777777" w:rsidR="00093845" w:rsidRDefault="000D779E">
      <w:pPr>
        <w:tabs>
          <w:tab w:val="left" w:pos="720"/>
          <w:tab w:val="left" w:pos="1077"/>
          <w:tab w:val="left" w:pos="1418"/>
        </w:tabs>
        <w:ind w:right="-5" w:firstLine="709"/>
        <w:jc w:val="both"/>
        <w:rPr>
          <w:rFonts w:cs="Arial Unicode MS"/>
        </w:rPr>
      </w:pPr>
      <w:r>
        <w:rPr>
          <w:rFonts w:cs="Arial Unicode MS"/>
        </w:rPr>
        <w:t>-</w:t>
      </w:r>
      <w:r>
        <w:rPr>
          <w:rFonts w:cs="Arial Unicode MS"/>
        </w:rPr>
        <w:tab/>
        <w:t>pinigų – pagal faktišką mokėjimą patvirtinančiame banko iš</w:t>
      </w:r>
      <w:r w:rsidR="0063666B">
        <w:rPr>
          <w:rFonts w:cs="Arial Unicode MS"/>
        </w:rPr>
        <w:t xml:space="preserve">raše arba kasos išlaidų dokumente </w:t>
      </w:r>
      <w:r w:rsidR="0063666B" w:rsidRPr="0063666B">
        <w:rPr>
          <w:lang w:val="lt-LT" w:eastAsia="lt-LT"/>
        </w:rPr>
        <w:t>(iki 2022-04-30 kasos išlaidų orderyje)</w:t>
      </w:r>
      <w:r>
        <w:rPr>
          <w:rFonts w:cs="Arial Unicode MS"/>
        </w:rPr>
        <w:t xml:space="preserve"> nurodytą sumą;</w:t>
      </w:r>
    </w:p>
    <w:p w14:paraId="5B7888BA" w14:textId="77777777" w:rsidR="00093845" w:rsidRDefault="000D779E">
      <w:pPr>
        <w:tabs>
          <w:tab w:val="left" w:pos="720"/>
          <w:tab w:val="left" w:pos="1077"/>
          <w:tab w:val="left" w:pos="1418"/>
        </w:tabs>
        <w:ind w:right="-5" w:firstLine="709"/>
        <w:jc w:val="both"/>
        <w:rPr>
          <w:szCs w:val="20"/>
        </w:rPr>
      </w:pPr>
      <w:r>
        <w:t>-</w:t>
      </w:r>
      <w:r>
        <w:tab/>
        <w:t>ilgalaikio materialaus turto – pagal to turto likutinę vertę (to turto įsigijimo kainos ir leidžiamiems atskaitymams priskirto nusidėvėjimo sumos skirtumą);</w:t>
      </w:r>
    </w:p>
    <w:p w14:paraId="3A222874" w14:textId="77777777" w:rsidR="00093845" w:rsidRDefault="000D779E">
      <w:pPr>
        <w:tabs>
          <w:tab w:val="left" w:pos="720"/>
          <w:tab w:val="left" w:pos="1077"/>
          <w:tab w:val="left" w:pos="1418"/>
        </w:tabs>
        <w:ind w:right="-5" w:firstLine="709"/>
        <w:jc w:val="both"/>
        <w:rPr>
          <w:szCs w:val="20"/>
        </w:rPr>
      </w:pPr>
      <w:r>
        <w:t>-</w:t>
      </w:r>
      <w:r>
        <w:tab/>
        <w:t>panaudos teise perduodamo naudoti ilgalaikio materialaus turto – pagal per paramos gavėjo naudojimo laikotarpį apskaičiuotą to turto nusidėvėjimo sumą, kuri būtų priskiriama leidžiamiems atskaitymams, jei tas turtas būtų naudojamas paramą teikiančio vieneto pajamoms uždirbti;</w:t>
      </w:r>
    </w:p>
    <w:p w14:paraId="4B76BEA9" w14:textId="77777777" w:rsidR="00093845" w:rsidRDefault="000D779E">
      <w:pPr>
        <w:tabs>
          <w:tab w:val="left" w:pos="720"/>
          <w:tab w:val="left" w:pos="1077"/>
          <w:tab w:val="left" w:pos="1418"/>
        </w:tabs>
        <w:ind w:right="-5" w:firstLine="709"/>
        <w:jc w:val="both"/>
        <w:rPr>
          <w:szCs w:val="20"/>
        </w:rPr>
      </w:pPr>
      <w:r>
        <w:t>-</w:t>
      </w:r>
      <w:r>
        <w:tab/>
        <w:t>kitų materialinių vertybių – pagal paramos davėjo materialinių vertybių perdavimo dokumentuose nurodytą šio turto įsigijimo (pasigaminimo) savikainą;</w:t>
      </w:r>
    </w:p>
    <w:p w14:paraId="257D2F0A" w14:textId="77777777" w:rsidR="00093845" w:rsidRDefault="000D779E">
      <w:pPr>
        <w:tabs>
          <w:tab w:val="left" w:pos="720"/>
          <w:tab w:val="left" w:pos="1077"/>
          <w:tab w:val="left" w:pos="1418"/>
        </w:tabs>
        <w:ind w:right="-5" w:firstLine="709"/>
        <w:jc w:val="both"/>
      </w:pPr>
      <w:r>
        <w:t>-</w:t>
      </w:r>
      <w:r>
        <w:tab/>
        <w:t>nemokamų paslaugų arba atliktų darbų – pagal darbų atlikimą ar paslaugų suteikimą patvirtinančiuose aktuose nurodytą jų savikainą.</w:t>
      </w:r>
    </w:p>
    <w:p w14:paraId="4E825DB6" w14:textId="77777777" w:rsidR="00093845" w:rsidRDefault="000D779E">
      <w:pPr>
        <w:ind w:right="-82" w:firstLine="720"/>
        <w:jc w:val="both"/>
      </w:pPr>
      <w:r>
        <w:t xml:space="preserve">Kai LPĮ nustatyta tvarka parama teikiama materialinėmis vertybėmis, kurias įsigyjant nebuvo pasinaudota PVM atskaita, sumokėtas PVM įsigyjant šias materialines vertybes negali būti priskiriamas įsigijimo kainai, tačiau, vadovaujantis PMĮ 24 str. 2 dalies nuostatomis, sumokėto PVM sumos gali būti </w:t>
      </w:r>
      <w:r>
        <w:lastRenderedPageBreak/>
        <w:t>priskirtos ribojamų dydžių leidžiamiems atskaitymams, jeigu šios sumos apskaičiuotos nuo PMĮ nustatytų leidžiamų atskaitymų. Vadinasi paramos teikėjas pagal PMĮ 28 straipsnio nuostatas ribojamų dydžių leidžiamiems atskaitymams gali 2 kartus priskirti kaip paramą perduotų materialinių vertybių įsigijimo kainą, neviršijančią 40 proc. apmokestinamojo pelno, o pagal PMĮ 24 str. 2 dalies nuostatas – įsigyjant sumokėto PVM dalį, tenkančią ribojamų dydžių leidžiamiems atskaitymams priskirtai prekių kainos daliai.</w:t>
      </w:r>
    </w:p>
    <w:p w14:paraId="7A51E91A" w14:textId="77777777" w:rsidR="00093845" w:rsidRDefault="000D779E">
      <w:pPr>
        <w:ind w:right="-82" w:firstLine="720"/>
        <w:jc w:val="both"/>
      </w:pPr>
      <w:r>
        <w:t>1 pavyzdys</w:t>
      </w:r>
    </w:p>
    <w:p w14:paraId="3368906B" w14:textId="77777777" w:rsidR="00093845" w:rsidRDefault="000D779E">
      <w:pPr>
        <w:pBdr>
          <w:top w:val="single" w:sz="4" w:space="1" w:color="auto"/>
          <w:left w:val="single" w:sz="4" w:space="4" w:color="auto"/>
          <w:bottom w:val="single" w:sz="4" w:space="1" w:color="auto"/>
          <w:right w:val="single" w:sz="4" w:space="4" w:color="auto"/>
        </w:pBdr>
        <w:ind w:right="-82" w:firstLine="720"/>
        <w:jc w:val="both"/>
      </w:pPr>
      <w:r>
        <w:t xml:space="preserve">Uždaroji akcinė bendrovė (toliau – bendrovė) įsigijo baldų komplektą, už kurį sumokėjo 3630 Eur (3000 Eur kaina + 630 Eur PVM). Kadangi baldų komplektas buvo numatytas perduoti kaip parama labdaros ir paramos fondui, bendrovė 630 Eur PVM sumos neįtraukė į PVM atskaitą. Suteikus paramą, bendrovė gali 2 kartus priskirti kaip paramą perduoto baldų komplekto įsigijimo kainą (3000 Eur), neviršijančią PMĮ 28 str. 2 dalyje nustatyto apribojimo. Tuo tarpu įsigyjant baldų komplektą sumokėtas PVM (630 Eur), atskaitomas pagal PMĮ 24 str. 2 dalies nuostatas. </w:t>
      </w:r>
    </w:p>
    <w:p w14:paraId="4D792A05" w14:textId="77777777" w:rsidR="00093845" w:rsidRDefault="000D779E">
      <w:pPr>
        <w:tabs>
          <w:tab w:val="left" w:pos="720"/>
          <w:tab w:val="left" w:pos="1077"/>
          <w:tab w:val="left" w:pos="1418"/>
        </w:tabs>
        <w:ind w:right="-5" w:firstLine="709"/>
        <w:jc w:val="both"/>
        <w:rPr>
          <w:szCs w:val="20"/>
        </w:rPr>
      </w:pPr>
      <w:r>
        <w:t>3.</w:t>
      </w:r>
      <w:r>
        <w:tab/>
        <w:t xml:space="preserve">Teikiant paramą paslaugomis, paramos suma yra lygi šių paslaugų savikainai, kuri nustatoma pagal darbų atlikimą ar paslaugų suteikimą patvirtinančiuose, juridinę galią turinčiuose dokumentuose (patvirtintuose paramos gavėjo) nurodytą jų vertę (savikainą). </w:t>
      </w:r>
    </w:p>
    <w:p w14:paraId="3C4DD0CB" w14:textId="77777777" w:rsidR="00093845" w:rsidRDefault="000D779E">
      <w:pPr>
        <w:tabs>
          <w:tab w:val="left" w:pos="720"/>
          <w:tab w:val="left" w:pos="1077"/>
          <w:tab w:val="left" w:pos="1418"/>
        </w:tabs>
        <w:ind w:right="-5" w:firstLine="709"/>
        <w:jc w:val="both"/>
        <w:rPr>
          <w:szCs w:val="20"/>
        </w:rPr>
      </w:pPr>
      <w:r>
        <w:t>2 pavyzdys</w:t>
      </w:r>
    </w:p>
    <w:p w14:paraId="104FC07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rPr>
      </w:pPr>
      <w:r>
        <w:t>Uždaroji akcinė bendrovė nemokamai nuvežė į ekskursiją grupę globos namų auklėtinių. Šių paslaugų savikainai galėtų būti priskirtos su šios paslaugos teikimu susijusios išlaidos (išlaidos kurui, vairuotojo darbo užmokestis ir kitos su šia paslauga susijusios išlaidos).</w:t>
      </w:r>
    </w:p>
    <w:p w14:paraId="5E9711A2" w14:textId="77777777" w:rsidR="00093845" w:rsidRDefault="000D779E">
      <w:pPr>
        <w:tabs>
          <w:tab w:val="left" w:pos="720"/>
          <w:tab w:val="left" w:pos="1077"/>
          <w:tab w:val="left" w:pos="1418"/>
        </w:tabs>
        <w:ind w:right="-5" w:firstLine="709"/>
        <w:jc w:val="both"/>
        <w:rPr>
          <w:szCs w:val="20"/>
        </w:rPr>
      </w:pPr>
      <w:r>
        <w:t>4.</w:t>
      </w:r>
      <w:r>
        <w:tab/>
        <w:t>Panaudos teise perduodant ilgalaikį materialųjį turtą, paramos vertė lygi per šio turto teikimo kaip parama laikotarpį apskaičiuotai to turto nusidėvėjimo sumai (ilgalaikio materialiojo turto nusidėvėjimo apskaičiavimo tvarka paaiškinta PMĮ 18 straipsnio komentare). Be to, tokiu atveju suteiktos paramos vertei gali būti priskiriamos paramos davėjo apmokamos paramos gavėjo patirtos to turto eksploatavimo išlaidos.</w:t>
      </w:r>
    </w:p>
    <w:p w14:paraId="648C587A" w14:textId="77777777" w:rsidR="00093845" w:rsidRDefault="000D779E">
      <w:pPr>
        <w:tabs>
          <w:tab w:val="left" w:pos="720"/>
          <w:tab w:val="left" w:pos="1077"/>
          <w:tab w:val="left" w:pos="1418"/>
        </w:tabs>
        <w:ind w:right="-5" w:firstLine="709"/>
        <w:jc w:val="both"/>
      </w:pPr>
      <w:r>
        <w:t>3 pavyzdys</w:t>
      </w:r>
    </w:p>
    <w:p w14:paraId="772B3E5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t>Įmonė paramos gavėjui leidžia naudotis jai priklausančio pastato dviem kambariais. Kiekvieną mėnesį įmonė apmoka jai išrašytas paslaugų sąskaitas. Įmonė turi teisę paramai skirtoms išlaidoms priskirti apmokėtas komunalinių paslaugų bei apskaičiuotą tos nekilnojamojo turto dalies nusidėvėjimą.</w:t>
      </w:r>
    </w:p>
    <w:p w14:paraId="5103CA1A" w14:textId="77777777" w:rsidR="00093845" w:rsidRDefault="000D779E">
      <w:pPr>
        <w:tabs>
          <w:tab w:val="left" w:pos="720"/>
          <w:tab w:val="left" w:pos="1077"/>
          <w:tab w:val="left" w:pos="1418"/>
        </w:tabs>
        <w:ind w:right="-5" w:firstLine="709"/>
        <w:jc w:val="both"/>
      </w:pPr>
      <w:r>
        <w:t>5.</w:t>
      </w:r>
      <w:r>
        <w:tab/>
        <w:t>Paramos gavėjas gautą paramą – materialines vertybes privalo pagal asortimentą surūšiuoti ir pagal nustatytą mato vienetą (svorį, vienetus, kiekį ar pan.) įkainoti. Gautos paramos vertė nustatoma pagal paramos davėjo materialinių vertybių perdavimo dokumentuose nurodytą vertę, jeigu Vyriausybė ar jos įgaliota institucija nėra nustačiusi kitos tvarkos.</w:t>
      </w:r>
    </w:p>
    <w:p w14:paraId="196D2555" w14:textId="77777777" w:rsidR="0063666B" w:rsidRPr="00494B41" w:rsidRDefault="0063666B" w:rsidP="0063666B">
      <w:pPr>
        <w:ind w:firstLine="720"/>
        <w:jc w:val="both"/>
        <w:rPr>
          <w:lang w:val="lt-LT"/>
        </w:rPr>
      </w:pPr>
      <w:r w:rsidRPr="00494B41">
        <w:rPr>
          <w:lang w:val="lt-LT"/>
        </w:rPr>
        <w:t xml:space="preserve">Paramos gavėjas, perduodamas kitam ūkio subjektui parduoti kaip paramą gautas materialines vertybes, šį faktą turi įforminti privalomą apskaitos dokumento informaciją turinčiais dokumentais. Materialinių vertybių perdavimo dokumentai (perdavimo – priėmimo aktai ar kt.) privalo turėti </w:t>
      </w:r>
      <w:r>
        <w:rPr>
          <w:lang w:val="lt-LT"/>
        </w:rPr>
        <w:t>F</w:t>
      </w:r>
      <w:r w:rsidRPr="00494B41">
        <w:rPr>
          <w:lang w:val="lt-LT"/>
        </w:rPr>
        <w:t>inansinės apskaitos įstatymo 7 straipsnio 1 dalyje nustatytą privalomą finansinės apskaitos dokumentams informaciją.</w:t>
      </w:r>
    </w:p>
    <w:p w14:paraId="0B3DF836" w14:textId="77777777" w:rsidR="00093845" w:rsidRPr="008740BA" w:rsidRDefault="000D779E">
      <w:pPr>
        <w:pStyle w:val="Pagrindiniotekstotrauka"/>
        <w:rPr>
          <w:rFonts w:ascii="Times New Roman" w:hAnsi="Times New Roman" w:cs="Times New Roman"/>
          <w:color w:val="000000"/>
        </w:rPr>
      </w:pPr>
      <w:r w:rsidRPr="008740BA">
        <w:rPr>
          <w:rFonts w:ascii="Times New Roman" w:hAnsi="Times New Roman" w:cs="Times New Roman"/>
          <w:iCs/>
          <w:lang w:val="nb-NO"/>
        </w:rPr>
        <w:t xml:space="preserve">(Pagal </w:t>
      </w:r>
      <w:r w:rsidRPr="008740BA">
        <w:rPr>
          <w:rFonts w:ascii="Times New Roman" w:hAnsi="Times New Roman" w:cs="Times New Roman"/>
          <w:color w:val="000000"/>
          <w:lang w:val="lt-LT"/>
        </w:rPr>
        <w:t xml:space="preserve">VMI prie FM 2017-10-27 raštą Nr. </w:t>
      </w:r>
      <w:r w:rsidRPr="008740BA">
        <w:rPr>
          <w:rFonts w:ascii="Times New Roman" w:hAnsi="Times New Roman" w:cs="Times New Roman"/>
          <w:color w:val="000000"/>
        </w:rPr>
        <w:t>(18.10-31-1E) RM-33036)</w:t>
      </w:r>
    </w:p>
    <w:p w14:paraId="6367EA49" w14:textId="77777777" w:rsidR="00093845" w:rsidRDefault="000D779E">
      <w:pPr>
        <w:tabs>
          <w:tab w:val="left" w:pos="720"/>
          <w:tab w:val="left" w:pos="1077"/>
          <w:tab w:val="left" w:pos="1418"/>
        </w:tabs>
        <w:ind w:firstLine="720"/>
        <w:jc w:val="both"/>
        <w:rPr>
          <w:b/>
          <w:bCs/>
        </w:rPr>
      </w:pPr>
      <w:r>
        <w:rPr>
          <w:b/>
          <w:bCs/>
        </w:rPr>
        <w:t>4.</w:t>
      </w:r>
      <w:r>
        <w:rPr>
          <w:b/>
          <w:bCs/>
        </w:rPr>
        <w:tab/>
        <w:t xml:space="preserve">Mokesčių mokėtojams, pagal Loterijų įstatymą privalomai skiriantiems lėšas labdarai ar paramai, netaikomos šio straipsnio 2 dalies nuostatos </w:t>
      </w:r>
    </w:p>
    <w:p w14:paraId="2493D4FA" w14:textId="77777777" w:rsidR="00B4029B" w:rsidRDefault="00B4029B" w:rsidP="00B4029B">
      <w:pPr>
        <w:ind w:firstLine="709"/>
        <w:jc w:val="both"/>
        <w:rPr>
          <w:b/>
          <w:bCs/>
          <w:lang w:val="fr-FR"/>
        </w:rPr>
      </w:pPr>
      <w:r w:rsidRPr="00115097">
        <w:rPr>
          <w:b/>
          <w:bCs/>
          <w:lang w:val="fr-FR"/>
        </w:rPr>
        <w:lastRenderedPageBreak/>
        <w:t xml:space="preserve">Komentaras </w:t>
      </w:r>
    </w:p>
    <w:p w14:paraId="565E4838" w14:textId="77777777" w:rsidR="00C420AA" w:rsidRPr="000510A4" w:rsidRDefault="00C420AA" w:rsidP="00C420AA">
      <w:pPr>
        <w:ind w:firstLine="720"/>
        <w:jc w:val="both"/>
        <w:rPr>
          <w:lang w:val="lt-LT"/>
        </w:rPr>
      </w:pPr>
      <w:r w:rsidRPr="000510A4">
        <w:rPr>
          <w:lang w:val="lt-LT"/>
        </w:rPr>
        <w:t>Lietuvos Respublikos loterijų įstatymo Nr. IX-1661 18, 31 straipsnių pakeitimo ir 19 straipsnio pripažinimo netekusiu galios įstatym</w:t>
      </w:r>
      <w:r>
        <w:rPr>
          <w:lang w:val="lt-LT"/>
        </w:rPr>
        <w:t>o</w:t>
      </w:r>
      <w:r w:rsidRPr="000510A4">
        <w:rPr>
          <w:lang w:val="lt-LT"/>
        </w:rPr>
        <w:t xml:space="preserve"> Nr. XIV-</w:t>
      </w:r>
      <w:r>
        <w:rPr>
          <w:lang w:val="lt-LT"/>
        </w:rPr>
        <w:t xml:space="preserve"> </w:t>
      </w:r>
      <w:r w:rsidRPr="000510A4">
        <w:rPr>
          <w:lang w:val="lt-LT"/>
        </w:rPr>
        <w:t xml:space="preserve">601 pagrindu </w:t>
      </w:r>
      <w:r w:rsidRPr="00E42B27">
        <w:rPr>
          <w:u w:val="single"/>
          <w:lang w:val="lt-LT"/>
        </w:rPr>
        <w:t>nuo 2022 m. liepos 1 d.</w:t>
      </w:r>
      <w:r w:rsidRPr="000510A4">
        <w:rPr>
          <w:lang w:val="lt-LT"/>
        </w:rPr>
        <w:t xml:space="preserve"> pripažįstamas netekusiu galios</w:t>
      </w:r>
      <w:r w:rsidRPr="00E42B27">
        <w:rPr>
          <w:lang w:val="lt-LT"/>
        </w:rPr>
        <w:t xml:space="preserve"> </w:t>
      </w:r>
      <w:r w:rsidRPr="000510A4">
        <w:rPr>
          <w:lang w:val="lt-LT"/>
        </w:rPr>
        <w:t>Lietuvos Respublikos loterijų įstatymo</w:t>
      </w:r>
      <w:r w:rsidRPr="00E42B27">
        <w:rPr>
          <w:lang w:val="lt-LT"/>
        </w:rPr>
        <w:t xml:space="preserve"> </w:t>
      </w:r>
      <w:r w:rsidRPr="000510A4">
        <w:rPr>
          <w:lang w:val="lt-LT"/>
        </w:rPr>
        <w:t>19 straipsnis, numatantis, jog loterijų organizatorius 8 procentus nuo nominalios per kalendorinių metų ketvirtį išplatintų loterijos bilietų vertės privalo skirti paramai</w:t>
      </w:r>
      <w:bookmarkStart w:id="441" w:name="pn1_101"/>
      <w:bookmarkEnd w:id="441"/>
      <w:r w:rsidRPr="000510A4">
        <w:rPr>
          <w:lang w:val="lt-LT"/>
        </w:rPr>
        <w:t xml:space="preserve"> LPĮ nustatytiems paramos gavėjams.</w:t>
      </w:r>
    </w:p>
    <w:p w14:paraId="7A057E88" w14:textId="77777777" w:rsidR="00C420AA" w:rsidRPr="00441B00" w:rsidRDefault="00C420AA" w:rsidP="00C420AA">
      <w:pPr>
        <w:pStyle w:val="Pagrindiniotekstotrauka"/>
        <w:rPr>
          <w:rFonts w:ascii="Times New Roman" w:hAnsi="Times New Roman" w:cs="Times New Roman"/>
          <w:color w:val="000000"/>
          <w:lang w:val="lt-LT"/>
        </w:rPr>
      </w:pPr>
      <w:r w:rsidRPr="00441B00">
        <w:rPr>
          <w:rFonts w:ascii="Times New Roman" w:hAnsi="Times New Roman" w:cs="Times New Roman"/>
          <w:iCs/>
          <w:lang w:val="nb-NO"/>
        </w:rPr>
        <w:t xml:space="preserve">(Pagal </w:t>
      </w:r>
      <w:r>
        <w:rPr>
          <w:rFonts w:ascii="Times New Roman" w:hAnsi="Times New Roman" w:cs="Times New Roman"/>
          <w:color w:val="000000"/>
          <w:lang w:val="lt-LT"/>
        </w:rPr>
        <w:t>VMI prie FM 2023-06-06 raštą</w:t>
      </w:r>
      <w:r w:rsidRPr="00441B00">
        <w:rPr>
          <w:rFonts w:ascii="Times New Roman" w:hAnsi="Times New Roman" w:cs="Times New Roman"/>
          <w:color w:val="000000"/>
          <w:lang w:val="lt-LT"/>
        </w:rPr>
        <w:t xml:space="preserve"> </w:t>
      </w:r>
      <w:r>
        <w:rPr>
          <w:rFonts w:ascii="Times New Roman" w:hAnsi="Times New Roman" w:cs="Times New Roman"/>
          <w:color w:val="000000"/>
        </w:rPr>
        <w:t>Nr. R-2267</w:t>
      </w:r>
      <w:r w:rsidRPr="00441B00">
        <w:rPr>
          <w:rFonts w:ascii="Times New Roman" w:hAnsi="Times New Roman" w:cs="Times New Roman"/>
          <w:color w:val="000000"/>
        </w:rPr>
        <w:t>)</w:t>
      </w:r>
    </w:p>
    <w:p w14:paraId="3FD420B7" w14:textId="77777777" w:rsidR="00C420AA" w:rsidRPr="00115097" w:rsidRDefault="00C420AA" w:rsidP="00B4029B">
      <w:pPr>
        <w:ind w:firstLine="709"/>
        <w:jc w:val="both"/>
        <w:rPr>
          <w:b/>
          <w:bCs/>
          <w:lang w:val="fr-FR"/>
        </w:rPr>
      </w:pPr>
    </w:p>
    <w:p w14:paraId="47F7E951" w14:textId="77777777" w:rsidR="00093845" w:rsidRDefault="000D779E">
      <w:pPr>
        <w:pStyle w:val="Antrat1"/>
        <w:jc w:val="both"/>
        <w:rPr>
          <w:b w:val="0"/>
          <w:szCs w:val="20"/>
          <w:lang w:val="lt-LT"/>
        </w:rPr>
      </w:pPr>
      <w:bookmarkStart w:id="442" w:name="_29_straipsnis._Narių"/>
      <w:bookmarkEnd w:id="442"/>
      <w:r>
        <w:rPr>
          <w:bCs w:val="0"/>
          <w:lang w:val="lt-LT"/>
        </w:rPr>
        <w:t>29 STRAIPSNIS. Narių mokesčiai, įnašai ir įmokos</w:t>
      </w:r>
      <w:r>
        <w:rPr>
          <w:b w:val="0"/>
          <w:lang w:val="lt-LT"/>
        </w:rPr>
        <w:t>.</w:t>
      </w:r>
    </w:p>
    <w:p w14:paraId="0CBEA44B" w14:textId="77777777" w:rsidR="00093845" w:rsidRDefault="000D779E">
      <w:pPr>
        <w:pStyle w:val="Pagrindiniotekstotrauka2"/>
        <w:tabs>
          <w:tab w:val="left" w:pos="720"/>
          <w:tab w:val="left" w:pos="1077"/>
          <w:tab w:val="left" w:pos="1418"/>
        </w:tabs>
        <w:spacing w:line="240" w:lineRule="auto"/>
        <w:ind w:right="-5" w:firstLine="709"/>
      </w:pPr>
      <w:r>
        <w:t>1.</w:t>
      </w:r>
      <w:r>
        <w:tab/>
        <w:t>Iš pajamų atskaitoma stojamųjų narių įnašų suma ir narių mokesčių suma, ne didesnė kaip 0,2 procento pajamų, bei tikslinių nario įmokų suma, ne didesnė kaip 0,2 procento pajamų, jei šie įnašai, mokesčiai ir tikslinės įmokos sumokami vienetams, kurių veiklą reglamentuoja specialūs įstatymai ir kurių veiklos tikslas nėra pelno siekimas, o gautas pelnas negali būti skiriamas jų steigėjams ir (arba) dalininkams, ir (arba) nariams.</w:t>
      </w:r>
    </w:p>
    <w:p w14:paraId="08B178E3" w14:textId="77777777" w:rsidR="00093845" w:rsidRDefault="000D779E">
      <w:pPr>
        <w:ind w:firstLine="709"/>
        <w:jc w:val="both"/>
        <w:rPr>
          <w:b/>
          <w:bCs/>
          <w:lang w:val="lt-LT"/>
        </w:rPr>
      </w:pPr>
      <w:r>
        <w:rPr>
          <w:b/>
          <w:bCs/>
          <w:lang w:val="lt-LT"/>
        </w:rPr>
        <w:t>Komentaras</w:t>
      </w:r>
    </w:p>
    <w:p w14:paraId="1B775351" w14:textId="77777777" w:rsidR="00093845" w:rsidRDefault="000D779E">
      <w:pPr>
        <w:pStyle w:val="Pagrindiniotekstotrauka"/>
        <w:tabs>
          <w:tab w:val="left" w:pos="720"/>
          <w:tab w:val="left" w:pos="1077"/>
          <w:tab w:val="left" w:pos="1418"/>
        </w:tabs>
        <w:ind w:right="-5" w:firstLine="709"/>
        <w:rPr>
          <w:rFonts w:ascii="Times New Roman" w:hAnsi="Times New Roman"/>
          <w:bCs/>
          <w:lang w:val="lt-LT"/>
        </w:rPr>
      </w:pPr>
      <w:r>
        <w:rPr>
          <w:rFonts w:ascii="Times New Roman" w:hAnsi="Times New Roman"/>
          <w:bCs/>
          <w:lang w:val="lt-LT"/>
        </w:rPr>
        <w:t>Šiame straipsnyje nustatyta, kad ribojamų dydžių leidžiamiems atskaitymams priskiriamos narių stojamųjų įnašų ir narių mokesčių bei tikslinių nario įmokų sumos, jei šie įnašai, mokesčiai ir tikslinės įmokos sumokami vienetams, kurių veiklą nustato specialūs įstatymai ir jų veiklos tikslas nėra pelno siekimas, o gautas pelnas negali būti skiriamas jų steigėjams ir (arba) dalininkams, ir (arba) nariams. Narių stojamųjų įnašų ir nario mokesčių suma negali būti didesnė kaip 0,2 proc. vieneto per mokestinį laikotarpį uždirbtų pajamų suma. Vieneto skirtų tikslinių nario įmokų suma taip pat negali būti didesnė kaip 0,2 proc. vieneto per mokestinį laikotarpį uždirbtų pajamų suma. Apskaičiuojant ribojamų dydžių leidžiamiems atskaitymams priskirtas sumas, stojamųjų nario įnašų bei nario mokesčių sumos ir nario tikslinių įnašų sumos nustatomos atskirai (nesumuojamos), t.y., stojamųjų narių įnašų bei narių mokesčių suma negali būti didesnė kaip 0,2 proc. mokestinio laikotarpio pajamų suma, o tikslinių nario įmokų suma taip pat negali būti didesnė kaip 0,2 proc. mokestinio laikotarpio pajamų suma. Didesnės kaip 0,2 proc. pajamų įmokų ir įnašų sumos ribojamų dydžių leidžiamiems atskaitymams nepriskiriamos.</w:t>
      </w:r>
    </w:p>
    <w:p w14:paraId="4BC3FC67" w14:textId="77777777" w:rsidR="00093845" w:rsidRDefault="000D779E">
      <w:pPr>
        <w:tabs>
          <w:tab w:val="left" w:pos="720"/>
          <w:tab w:val="left" w:pos="1077"/>
          <w:tab w:val="left" w:pos="1418"/>
        </w:tabs>
        <w:ind w:right="-5" w:firstLine="709"/>
        <w:jc w:val="both"/>
        <w:rPr>
          <w:bCs/>
          <w:szCs w:val="20"/>
          <w:lang w:val="lt-LT"/>
        </w:rPr>
      </w:pPr>
      <w:r>
        <w:rPr>
          <w:bCs/>
          <w:lang w:val="lt-LT"/>
        </w:rPr>
        <w:t>Jeigu vienetas pelno nesiekiančio vieneto nariu tapo mokestinio laikotarpio viduryje, ribojamo dydžio leidžiamiems atskaitymams leidžiamos priskirti įmokų ar tikslinių įnašų sumos skaičiuojamos nuo visų to mokestinio laikotarpio pajamų.</w:t>
      </w:r>
    </w:p>
    <w:p w14:paraId="38B6DB2D" w14:textId="77777777" w:rsidR="00093845" w:rsidRDefault="000D779E">
      <w:pPr>
        <w:tabs>
          <w:tab w:val="left" w:pos="720"/>
          <w:tab w:val="left" w:pos="1077"/>
          <w:tab w:val="left" w:pos="1418"/>
        </w:tabs>
        <w:ind w:right="-5" w:firstLine="709"/>
        <w:jc w:val="both"/>
        <w:rPr>
          <w:bCs/>
          <w:szCs w:val="20"/>
          <w:lang w:val="lt-LT"/>
        </w:rPr>
      </w:pPr>
      <w:r>
        <w:rPr>
          <w:bCs/>
          <w:lang w:val="lt-LT"/>
        </w:rPr>
        <w:t>Taikant šio straipsnio nuostatas taip pat būtina vadovautis PMĮ 17 str. 1 dalies nuostata, pagal kurią leidžiami atskaitymai yra visos faktiškai patirtos įprastinės tokiai veiklai vieneto sąnaudos, būtinos vieneto pajamoms uždirbti ar vieneto ekonominei naudai gauti, jeigu šis įstatymas nenustato ko kita. Todėl šiame straipsnyje nurodytų įnašų ir įmokų sumos ribojamų dydžių atskaitymams gali būti priskiriamos tik tuo atveju, jeigu pelno nesiekiančio vieneto vykdoma visuomenei naudinga veikla gali būti susiejama su vieneto pajamų uždirbimu (naudos gavimu), pvz., krovinių pervežimo organizacijos nario mokesčiai mokami Vežėjų sąjungai. Tačiau minėto vieneto Gyvūnų mylėtojų asociacijai mokamas nario mokestis ribojamų dydžių atskaitymams negali būti priskiriamas, vienetas šiai asociacijai galėtų suteikti tik paramą PMĮ 28 str. 2 dalyje nustatyta tvarka.</w:t>
      </w:r>
    </w:p>
    <w:p w14:paraId="5A032C6E"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Stojamųjų įnašų ir nario mokesčio dydį bei mokėjimo tvarką nustato visuotinis narių susirinkimas (konferencija, suvažiavimas) ir šį savo sprendimą įformina protokolu. Renkant narių stojamuosius įnašus ar narių mokesčius specialūs apskaitos dokumentai (PVM sąskaitos faktūros, sąskaitos faktūros) neišrašomi. Sumokėti stojamieji įnašai, nario mokesčiai ir tiksliniai įnašai </w:t>
      </w:r>
      <w:r>
        <w:rPr>
          <w:rFonts w:ascii="Times New Roman" w:hAnsi="Times New Roman"/>
          <w:lang w:val="lt-LT"/>
        </w:rPr>
        <w:lastRenderedPageBreak/>
        <w:t>atitinkamoms programoms vykdyti ar renginiams organizuoti narių leidžiamiems atskaitymams (neviršijant šiame straipsnyje nustatytų dydžių) pripažįstami remiantis jų sumokėjimą patvirtinančiais dokumentais, kuriuose būtų nurodomas visuotinio susirinkimo (konferencijos, suvažiavimo), priėmusio sprendimą dėl narių stojamųjų įnašų ar nario mokesčio dydžio, protokolo numeris ir data.</w:t>
      </w:r>
    </w:p>
    <w:p w14:paraId="46CC650E" w14:textId="77777777" w:rsidR="00093845" w:rsidRDefault="000D779E">
      <w:pPr>
        <w:tabs>
          <w:tab w:val="left" w:pos="720"/>
          <w:tab w:val="left" w:pos="1077"/>
          <w:tab w:val="left" w:pos="1418"/>
        </w:tabs>
        <w:ind w:right="-5" w:firstLine="709"/>
        <w:jc w:val="both"/>
        <w:rPr>
          <w:szCs w:val="20"/>
          <w:lang w:val="lt-LT"/>
        </w:rPr>
      </w:pPr>
      <w:r>
        <w:rPr>
          <w:lang w:val="lt-LT"/>
        </w:rPr>
        <w:t>Straipsnio nuostatos taikomos ir tuo atveju, kai vienetai yra nariai kitų vienetų, kurių veiklą nustatančiuose įstatymuose (kituose jų steigimą ir veiklą nustatančiuose teisės aktuose) nėra tiesiogiai įvardinama, kad jie yra ne pelno siekiantys vienetai, tačiau pagal jų veiklą nustatantį specialų įstatymą aišku, kad jų tikslas nėra pelno siekimas, o gautas pelnas negali būti skirstomas steigėjams ir (arba) dalininkams, ir (arba) nariams.</w:t>
      </w:r>
    </w:p>
    <w:p w14:paraId="2A4DB5E9" w14:textId="77777777" w:rsidR="00093845" w:rsidRDefault="000D779E">
      <w:pPr>
        <w:tabs>
          <w:tab w:val="left" w:pos="720"/>
          <w:tab w:val="left" w:pos="1077"/>
          <w:tab w:val="left" w:pos="1418"/>
        </w:tabs>
        <w:ind w:right="-5" w:firstLine="709"/>
        <w:jc w:val="both"/>
        <w:rPr>
          <w:szCs w:val="20"/>
          <w:lang w:val="lt-LT"/>
        </w:rPr>
      </w:pPr>
      <w:r>
        <w:rPr>
          <w:lang w:val="lt-LT"/>
        </w:rPr>
        <w:t>Jeigu vienetas narystės pagrindais dalyvauja užsienio valstybių įvairių organizacijų (juridinių asmenų) veikloje, tai apskaičiuojant tokių vienetų apmokestinamąjį pelną, jiems taip pat taikomos šio punkto nuostatos su sąlyga, kad toks vienetas pateiks atitinkamus dokumentus (įstatus, nuostatus ar kitus dokumentus), įrodančius, kad užsienio organizacija atitinka šiame punkte nustatytus kriterijus.</w:t>
      </w:r>
    </w:p>
    <w:p w14:paraId="02486DBC"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Nario mokesčiai leidžiamiems atskaitymams priskiriami vadovaujantis kaupimo principu. Stojamieji mokesčiai ir tiksliniai įnašai leidžiamiems atskaitymams priskiriami tą laikotarpį, kai jie buvo sumokėti, nebent pagal sumokėjimą pagrindžiančius dokumentus šiuos įnašus galima susieti su konkrečiu mokestiniu laikotarpiu (laikotarpiais ar jų dalimis).</w:t>
      </w:r>
    </w:p>
    <w:p w14:paraId="2FA680B7" w14:textId="77777777" w:rsidR="00093845" w:rsidRDefault="000D779E">
      <w:pPr>
        <w:pStyle w:val="Pagrindiniotekstotrauka2"/>
        <w:tabs>
          <w:tab w:val="left" w:pos="720"/>
          <w:tab w:val="left" w:pos="1077"/>
          <w:tab w:val="left" w:pos="1418"/>
        </w:tabs>
        <w:spacing w:line="240" w:lineRule="auto"/>
        <w:ind w:right="-5" w:firstLine="709"/>
      </w:pPr>
      <w:r>
        <w:t>2.</w:t>
      </w:r>
      <w:r>
        <w:tab/>
        <w:t>Iš pajamų atskaitomi Lietuvos Respublikos transporto priemonių savininkų ir valdytojų civilinės atsakomybės draudimo biuro narių atskaitymai nuo transporto priemonių savininkų ir valdytojų civilinės atsakomybės privalomojo draudimo pasirašytų draudimo įmokų, ne didesni kaip 15 procentų šių įmokų sumos.</w:t>
      </w:r>
    </w:p>
    <w:p w14:paraId="21A4C7E6" w14:textId="77777777" w:rsidR="00093845" w:rsidRDefault="000D779E">
      <w:pPr>
        <w:ind w:firstLine="709"/>
        <w:jc w:val="both"/>
        <w:rPr>
          <w:b/>
          <w:bCs/>
          <w:lang w:val="lt-LT"/>
        </w:rPr>
      </w:pPr>
      <w:r>
        <w:rPr>
          <w:b/>
          <w:bCs/>
          <w:lang w:val="lt-LT"/>
        </w:rPr>
        <w:t>Komentaras</w:t>
      </w:r>
    </w:p>
    <w:p w14:paraId="49957DBF"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Pagal Lietuvos Respublikos transporto priemonių savininkų ir valdytojų </w:t>
      </w:r>
      <w:r w:rsidR="00ED2FA3" w:rsidRPr="00BF5DD1">
        <w:rPr>
          <w:rStyle w:val="Hipersaitas"/>
          <w:rFonts w:ascii="Times New Roman" w:hAnsi="Times New Roman"/>
          <w:b w:val="0"/>
          <w:bCs w:val="0"/>
          <w:kern w:val="0"/>
          <w:lang w:val="lt-LT"/>
        </w:rPr>
        <w:t>civilinės atsakomybės privalomojo draudimo įstatymo</w:t>
      </w:r>
      <w:r w:rsidRPr="00BF5DD1">
        <w:rPr>
          <w:rFonts w:ascii="Times New Roman" w:hAnsi="Times New Roman"/>
          <w:lang w:val="lt-LT"/>
        </w:rPr>
        <w:t xml:space="preserve"> </w:t>
      </w:r>
      <w:r>
        <w:rPr>
          <w:rFonts w:ascii="Times New Roman" w:hAnsi="Times New Roman"/>
          <w:lang w:val="lt-LT"/>
        </w:rPr>
        <w:t>23 straipsnį Lietuvos Respublikos transporto priemonių savininkų ir valdytojų civilinės atsakomybės draudimo biuras (toliau – Biuras) yra draudimo įmonių, turinčių leidimą vykdyti transporto priemonių savininkų ir valdytojų civilinės atsakomybės privalomąjį draudimą, lėšomis įsteigta asociacija, turinti juridinio asmens teises.</w:t>
      </w:r>
    </w:p>
    <w:p w14:paraId="0705F543" w14:textId="77777777" w:rsidR="00093845" w:rsidRDefault="000D779E">
      <w:pPr>
        <w:tabs>
          <w:tab w:val="left" w:pos="720"/>
          <w:tab w:val="left" w:pos="1077"/>
          <w:tab w:val="left" w:pos="1418"/>
        </w:tabs>
        <w:ind w:right="-5" w:firstLine="709"/>
        <w:jc w:val="both"/>
        <w:rPr>
          <w:szCs w:val="20"/>
          <w:lang w:val="lt-LT"/>
        </w:rPr>
      </w:pPr>
      <w:r>
        <w:rPr>
          <w:lang w:val="lt-LT"/>
        </w:rPr>
        <w:t xml:space="preserve">Biuro narės yra draudimo įmonės, turinčios leidimą vykdyti transporto priemonių savininkų ir valdytojų civilinės atsakomybės privalomąjį draudimą ir sumokėjusios stojamąjį Biuro narės mokestį. </w:t>
      </w:r>
    </w:p>
    <w:p w14:paraId="0A9EBBE6"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 xml:space="preserve">Biuro narės privalo: </w:t>
      </w:r>
    </w:p>
    <w:p w14:paraId="069B0EA5" w14:textId="77777777" w:rsidR="00093845" w:rsidRDefault="000D779E">
      <w:pPr>
        <w:pStyle w:val="Style1"/>
        <w:tabs>
          <w:tab w:val="left" w:pos="720"/>
          <w:tab w:val="left" w:pos="1077"/>
          <w:tab w:val="left" w:pos="1418"/>
        </w:tabs>
        <w:ind w:right="-5" w:firstLine="709"/>
        <w:rPr>
          <w:rFonts w:ascii="Times New Roman" w:hAnsi="Times New Roman"/>
        </w:rPr>
      </w:pPr>
      <w:r>
        <w:rPr>
          <w:rFonts w:ascii="Times New Roman" w:hAnsi="Times New Roman"/>
        </w:rPr>
        <w:t>1)</w:t>
      </w:r>
      <w:r>
        <w:rPr>
          <w:rFonts w:ascii="Times New Roman" w:hAnsi="Times New Roman"/>
        </w:rPr>
        <w:tab/>
        <w:t xml:space="preserve">teikti Biuro veiklai būtiną informaciją; </w:t>
      </w:r>
    </w:p>
    <w:p w14:paraId="058D8A3D" w14:textId="77777777" w:rsidR="00093845" w:rsidRDefault="000D779E">
      <w:pPr>
        <w:tabs>
          <w:tab w:val="left" w:pos="720"/>
          <w:tab w:val="left" w:pos="1077"/>
          <w:tab w:val="left" w:pos="1418"/>
        </w:tabs>
        <w:ind w:right="-5" w:firstLine="709"/>
        <w:jc w:val="both"/>
        <w:rPr>
          <w:szCs w:val="20"/>
          <w:lang w:val="lt-LT"/>
        </w:rPr>
      </w:pPr>
      <w:r>
        <w:rPr>
          <w:lang w:val="lt-LT"/>
        </w:rPr>
        <w:t>2)</w:t>
      </w:r>
      <w:r>
        <w:rPr>
          <w:lang w:val="lt-LT"/>
        </w:rPr>
        <w:tab/>
        <w:t xml:space="preserve">laikytis šio įstatymo, Biuro įstatų, Biuro narių visuotinio susirinkimo bei Biuro valdybos nutarimų; </w:t>
      </w:r>
    </w:p>
    <w:p w14:paraId="21FD05C7"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3)</w:t>
      </w:r>
      <w:r>
        <w:rPr>
          <w:rFonts w:ascii="Times New Roman" w:hAnsi="Times New Roman"/>
          <w:lang w:val="lt-LT"/>
        </w:rPr>
        <w:tab/>
        <w:t>kiekvieną ketvirtį pervesti Biurui atskaitymus nuo transporto priemonių savininkų ir valdytojų civilinės atsakomybės privalomojo draudimo pasirašytų draudimo įmokų.</w:t>
      </w:r>
    </w:p>
    <w:p w14:paraId="02D35EF1"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Minėto Lietuvos Respublikos transporto priemonių savininkų ir valdytojų civilinės atsakomybės privalomojo draudimo įstatymo 34 str. 4 dalyje nustatyta, kad biuro narių privalomi atskaitymai nuo transporto priemonių savininkų ir valdytojų civilinės atsakomybės privalomojo draudimo pasirašytų draudimo įmokų į Biurą sudaro 15 procentų. Šių atskaitymų suma, ne didesnė kaip minėto įstatymo 34 str. 4 dalyje nustatytas dydis, apskaičiuojant apmokestinamąjį pelną priskiriama Biuro narių ribojamų dydžių leidžiamiems atskaitymams.</w:t>
      </w:r>
    </w:p>
    <w:p w14:paraId="01EDE725" w14:textId="77777777" w:rsidR="00093845" w:rsidRDefault="000D779E">
      <w:pPr>
        <w:pStyle w:val="Pagrindiniotekstotrauka"/>
        <w:tabs>
          <w:tab w:val="left" w:pos="720"/>
          <w:tab w:val="left" w:pos="1077"/>
          <w:tab w:val="left" w:pos="1418"/>
        </w:tabs>
        <w:ind w:right="-5" w:firstLine="709"/>
        <w:rPr>
          <w:rFonts w:ascii="Times New Roman" w:hAnsi="Times New Roman"/>
          <w:lang w:val="lt-LT"/>
        </w:rPr>
      </w:pPr>
      <w:r>
        <w:rPr>
          <w:rFonts w:ascii="Times New Roman" w:hAnsi="Times New Roman"/>
          <w:lang w:val="lt-LT"/>
        </w:rPr>
        <w:t xml:space="preserve">Biuro narių atskaitymų nuo transporto priemonių savininkų ir valdytojų civilinės atsakomybės privalomojo draudimo pasirašytų draudimo įmokų į Biurą pervedimo tvarka nustatyta Lietuvos </w:t>
      </w:r>
      <w:r>
        <w:rPr>
          <w:rFonts w:ascii="Times New Roman" w:hAnsi="Times New Roman"/>
          <w:lang w:val="lt-LT"/>
        </w:rPr>
        <w:lastRenderedPageBreak/>
        <w:t xml:space="preserve">Respublikos Vyriausybės 2001 m. rugpjūčio 13 d. </w:t>
      </w:r>
      <w:r w:rsidR="00833521" w:rsidRPr="00BF5DD1">
        <w:rPr>
          <w:rStyle w:val="Hipersaitas"/>
          <w:rFonts w:ascii="Times New Roman" w:hAnsi="Times New Roman"/>
          <w:b w:val="0"/>
          <w:bCs w:val="0"/>
          <w:kern w:val="0"/>
          <w:lang w:val="lt-LT"/>
        </w:rPr>
        <w:t>nutarimu Nr. 992</w:t>
      </w:r>
      <w:r w:rsidRPr="00BF5DD1">
        <w:rPr>
          <w:rFonts w:ascii="Times New Roman" w:hAnsi="Times New Roman"/>
          <w:lang w:val="lt-LT"/>
        </w:rPr>
        <w:t xml:space="preserve"> </w:t>
      </w:r>
      <w:r>
        <w:rPr>
          <w:rFonts w:ascii="Times New Roman" w:hAnsi="Times New Roman"/>
          <w:lang w:val="lt-LT"/>
        </w:rPr>
        <w:t>,,Dėl atskaitymų į Lietuvos Respublikos transporto priemonių savininkų ir valdytojų civilinės atsakomybės draudimo biurą“.</w:t>
      </w:r>
    </w:p>
    <w:p w14:paraId="1EC934A3" w14:textId="77777777" w:rsidR="00093845" w:rsidRDefault="00093845">
      <w:pPr>
        <w:tabs>
          <w:tab w:val="left" w:pos="720"/>
          <w:tab w:val="left" w:pos="1077"/>
          <w:tab w:val="left" w:pos="1418"/>
        </w:tabs>
        <w:ind w:right="-5" w:firstLine="709"/>
        <w:jc w:val="both"/>
        <w:rPr>
          <w:lang w:val="lt-LT"/>
        </w:rPr>
      </w:pPr>
    </w:p>
    <w:p w14:paraId="27F5128D" w14:textId="77777777" w:rsidR="00093845" w:rsidRDefault="000D779E">
      <w:pPr>
        <w:pStyle w:val="Antrat1"/>
        <w:jc w:val="both"/>
        <w:rPr>
          <w:b w:val="0"/>
          <w:szCs w:val="20"/>
          <w:lang w:val="lt-LT"/>
        </w:rPr>
      </w:pPr>
      <w:bookmarkStart w:id="443" w:name="_30_straipsnis._Mokestinio"/>
      <w:bookmarkEnd w:id="443"/>
      <w:r>
        <w:rPr>
          <w:bCs w:val="0"/>
          <w:lang w:val="lt-LT"/>
        </w:rPr>
        <w:t>30 STRAIPSNIS. Mokestinio laikotarpio nuostolių perkėlimas</w:t>
      </w:r>
      <w:r>
        <w:rPr>
          <w:b w:val="0"/>
          <w:lang w:val="lt-LT"/>
        </w:rPr>
        <w:t>.</w:t>
      </w:r>
    </w:p>
    <w:p w14:paraId="7FD5660A" w14:textId="77777777" w:rsidR="00AB1E68" w:rsidRPr="006D5D6A" w:rsidRDefault="00AB1E68" w:rsidP="00AB1E68">
      <w:pPr>
        <w:spacing w:after="0"/>
        <w:ind w:firstLine="720"/>
        <w:jc w:val="both"/>
        <w:rPr>
          <w:b/>
          <w:color w:val="000000"/>
        </w:rPr>
      </w:pPr>
      <w:r w:rsidRPr="006D5D6A">
        <w:rPr>
          <w:b/>
          <w:color w:val="000000"/>
        </w:rPr>
        <w:t>1. Jeigu mokestiniais metais iš pajamų atėmus neapmokestinamąsias pajamas ir atskaičius leidžiamus atskaitymus bei ribojamų dydžių leidžiamus atskaitymus gaunami mokestinio laikotarpio nuostoliai, šių nuostolių suma perkeliama į kitus mokestinius metus, išskyrus nuostolius, patirtus dėl vertybinių popierių ir (arba) išvestinių finansinių priemonių perleidimo, ir nuostolius, patirtus dėl turto naudojimo, pardavimo ar kitokio perleidimo nuosavybėn, apskaičiuotus pagal šio Įstatymo 5 straipsnio 9 dalyje nustatytą formulę.</w:t>
      </w:r>
    </w:p>
    <w:p w14:paraId="38B87E07" w14:textId="77777777" w:rsidR="00AB1E68" w:rsidRPr="006436F3" w:rsidRDefault="00AB1E68" w:rsidP="006436F3">
      <w:pPr>
        <w:pStyle w:val="HTMLiankstoformatuotas"/>
        <w:ind w:right="-1"/>
        <w:jc w:val="both"/>
        <w:rPr>
          <w:rFonts w:ascii="Times New Roman" w:hAnsi="Times New Roman" w:cs="Times New Roman"/>
          <w:i/>
          <w:iCs/>
          <w:color w:val="000000"/>
          <w:sz w:val="24"/>
          <w:szCs w:val="24"/>
        </w:rPr>
      </w:pPr>
      <w:r w:rsidRPr="006436F3">
        <w:rPr>
          <w:rFonts w:ascii="Times New Roman" w:hAnsi="Times New Roman" w:cs="Times New Roman"/>
          <w:i/>
          <w:color w:val="000000"/>
          <w:sz w:val="24"/>
          <w:szCs w:val="24"/>
        </w:rPr>
        <w:t xml:space="preserve">(KEISTA: </w:t>
      </w:r>
      <w:r w:rsidRPr="006436F3">
        <w:rPr>
          <w:rFonts w:ascii="Times New Roman" w:hAnsi="Times New Roman" w:cs="Times New Roman"/>
          <w:i/>
          <w:iCs/>
          <w:color w:val="000000"/>
          <w:sz w:val="24"/>
          <w:szCs w:val="24"/>
        </w:rPr>
        <w:t xml:space="preserve">2018 12 06 įstatymas Nr. XIII-1697, nuostatos taikomos apskaičiuojant 2018 </w:t>
      </w:r>
      <w:r w:rsidRPr="006436F3">
        <w:rPr>
          <w:rFonts w:ascii="Times New Roman" w:hAnsi="Times New Roman" w:cs="Times New Roman"/>
          <w:bCs/>
          <w:i/>
          <w:sz w:val="24"/>
          <w:szCs w:val="24"/>
        </w:rPr>
        <w:t>metais prasidėjusio mokestinio laikotarpio ir vėlesnių mokestinių laikotarpių apmokestinamąjį pelną</w:t>
      </w:r>
      <w:r w:rsidRPr="006436F3">
        <w:rPr>
          <w:rFonts w:ascii="Times New Roman" w:hAnsi="Times New Roman" w:cs="Times New Roman"/>
          <w:i/>
          <w:iCs/>
          <w:color w:val="000000"/>
          <w:sz w:val="24"/>
          <w:szCs w:val="24"/>
        </w:rPr>
        <w:t>)</w:t>
      </w:r>
    </w:p>
    <w:p w14:paraId="18C797B4" w14:textId="77777777" w:rsidR="00AB1E68" w:rsidRDefault="00AB1E68" w:rsidP="00AB1E68">
      <w:pPr>
        <w:ind w:firstLine="720"/>
        <w:jc w:val="both"/>
        <w:rPr>
          <w:b/>
          <w:bCs/>
          <w:iCs/>
          <w:lang w:val="lt-LT"/>
        </w:rPr>
      </w:pPr>
      <w:r>
        <w:rPr>
          <w:b/>
          <w:bCs/>
          <w:iCs/>
          <w:lang w:val="lt-LT"/>
        </w:rPr>
        <w:t>Komentaras</w:t>
      </w:r>
    </w:p>
    <w:p w14:paraId="3C13A0F8" w14:textId="77777777" w:rsidR="00AB1E68" w:rsidRPr="006D5D6A" w:rsidRDefault="00AB1E68" w:rsidP="00AB1E68">
      <w:pPr>
        <w:pStyle w:val="Pagrindiniotekstotrauka3"/>
        <w:tabs>
          <w:tab w:val="left" w:pos="720"/>
          <w:tab w:val="left" w:pos="1077"/>
          <w:tab w:val="left" w:pos="1418"/>
        </w:tabs>
        <w:ind w:right="-6"/>
        <w:rPr>
          <w:rFonts w:ascii="Times New Roman" w:hAnsi="Times New Roman"/>
        </w:rPr>
      </w:pPr>
      <w:r w:rsidRPr="006D5D6A">
        <w:rPr>
          <w:rFonts w:ascii="Times New Roman" w:hAnsi="Times New Roman"/>
        </w:rPr>
        <w:t>1.Vartojami tokie sutrumpinimai:</w:t>
      </w:r>
    </w:p>
    <w:p w14:paraId="581315FF" w14:textId="77777777" w:rsidR="00AB1E68" w:rsidRPr="006D5D6A" w:rsidRDefault="00AB1E68" w:rsidP="00AB1E68">
      <w:pPr>
        <w:pStyle w:val="Pagrindiniotekstotrauka3"/>
        <w:tabs>
          <w:tab w:val="left" w:pos="709"/>
          <w:tab w:val="left" w:pos="1418"/>
        </w:tabs>
        <w:ind w:left="709" w:right="-6" w:firstLine="0"/>
        <w:rPr>
          <w:rFonts w:ascii="Times New Roman" w:hAnsi="Times New Roman"/>
        </w:rPr>
      </w:pPr>
      <w:r w:rsidRPr="006D5D6A">
        <w:rPr>
          <w:rFonts w:ascii="Times New Roman" w:hAnsi="Times New Roman"/>
        </w:rPr>
        <w:t>a) vertybinių popierių ir išvestinių finansinių priemonių (toliau – VP) perleidimo veiklos pajamos (nuostoliai) – VP perleidimo pajamos (nuostoliai);</w:t>
      </w:r>
    </w:p>
    <w:p w14:paraId="6F3FB18C" w14:textId="77777777" w:rsidR="00AB1E68" w:rsidRDefault="00AB1E68" w:rsidP="00AB1E68">
      <w:pPr>
        <w:tabs>
          <w:tab w:val="left" w:pos="720"/>
          <w:tab w:val="left" w:pos="1077"/>
          <w:tab w:val="left" w:pos="1418"/>
        </w:tabs>
        <w:spacing w:after="0" w:line="240" w:lineRule="auto"/>
        <w:ind w:right="-6" w:firstLine="709"/>
        <w:jc w:val="both"/>
      </w:pPr>
      <w:r w:rsidRPr="006D5D6A">
        <w:t>b)</w:t>
      </w:r>
      <w:r w:rsidRPr="006D5D6A">
        <w:tab/>
        <w:t xml:space="preserve">vieneto veiklos pajamos (nuostoliai) </w:t>
      </w:r>
      <w:r w:rsidRPr="007E7D8B">
        <w:t>be vertybinių popierių ir išvestinių finansinių priemonių perleidimo veiklos pajamų (nuostolių)</w:t>
      </w:r>
      <w:r w:rsidRPr="007E7D8B">
        <w:rPr>
          <w:color w:val="000000"/>
        </w:rPr>
        <w:t xml:space="preserve"> ir be veiklos, apmokestinamos pagal PMĮ 5 straipsnio 7-9 dalis,  pajamų (nuostolių) </w:t>
      </w:r>
      <w:r w:rsidRPr="007E7D8B">
        <w:t xml:space="preserve"> – įprastinės veiklos</w:t>
      </w:r>
      <w:r w:rsidRPr="006D5D6A">
        <w:t xml:space="preserve"> pajamos (nuostoliai)</w:t>
      </w:r>
      <w:r>
        <w:t>.</w:t>
      </w:r>
    </w:p>
    <w:p w14:paraId="798B46DC" w14:textId="77777777" w:rsidR="0023488F" w:rsidRPr="006D5D6A" w:rsidRDefault="0023488F" w:rsidP="00AB1E68">
      <w:pPr>
        <w:tabs>
          <w:tab w:val="left" w:pos="720"/>
          <w:tab w:val="left" w:pos="1077"/>
          <w:tab w:val="left" w:pos="1418"/>
        </w:tabs>
        <w:spacing w:after="0" w:line="240" w:lineRule="auto"/>
        <w:ind w:right="-6" w:firstLine="709"/>
        <w:jc w:val="both"/>
      </w:pPr>
    </w:p>
    <w:p w14:paraId="6F2A61A0" w14:textId="77777777" w:rsidR="00AB1E68" w:rsidRPr="007E7D8B" w:rsidRDefault="00AB1E68" w:rsidP="0023488F">
      <w:pPr>
        <w:spacing w:after="0"/>
        <w:ind w:firstLine="720"/>
        <w:jc w:val="both"/>
        <w:rPr>
          <w:color w:val="000000"/>
        </w:rPr>
      </w:pPr>
      <w:r w:rsidRPr="006D5D6A">
        <w:t>2.</w:t>
      </w:r>
      <w:r w:rsidR="0023488F">
        <w:t xml:space="preserve"> </w:t>
      </w:r>
      <w:r w:rsidRPr="006D5D6A">
        <w:t>Vienetas, apskaičiuodamas apmokestinamąjį pelną, turi teisę ribojamų dydžių leidžiamiems atskaitymams priskirti ankstesniais mokestiniais laikotarpiais patirtus nuostolius. Ribojamų dydžių leidžiamiems atskaitymams gali būti priskiriami nuostoliai, kurie susidarė,</w:t>
      </w:r>
      <w:r w:rsidRPr="006D5D6A">
        <w:rPr>
          <w:b/>
        </w:rPr>
        <w:t xml:space="preserve"> </w:t>
      </w:r>
      <w:r w:rsidRPr="006D5D6A">
        <w:t xml:space="preserve">uždirbant ankstesnių mokestinių laikotarpių pajamas, tų mokestinių laikotarpių apmokestinamąjį pelną apskaičiuojant </w:t>
      </w:r>
      <w:r w:rsidRPr="007E7D8B">
        <w:t>pagal tais laikotarpiais galiojusius teisės aktus. VP perleidimo nuostoliai gali būti dengiami tik VP perleidimo pajamomis (žr. 30 straipsnio 2 dalies komentarą), n</w:t>
      </w:r>
      <w:r w:rsidRPr="007E7D8B">
        <w:rPr>
          <w:color w:val="000000"/>
        </w:rPr>
        <w:t xml:space="preserve">uostoliai, patirti dėl turto naudojimo, pardavimo ar kitokio perleidimo nuosavybėn, apskaičiuoti pagal </w:t>
      </w:r>
      <w:r>
        <w:rPr>
          <w:color w:val="000000"/>
        </w:rPr>
        <w:t xml:space="preserve">PMĮ </w:t>
      </w:r>
      <w:r w:rsidRPr="007E7D8B">
        <w:rPr>
          <w:color w:val="000000"/>
        </w:rPr>
        <w:t xml:space="preserve">5 straipsnio 9 dalyje nustatytą formulę, gali būti dengiami tik pagal </w:t>
      </w:r>
      <w:r>
        <w:rPr>
          <w:color w:val="000000"/>
        </w:rPr>
        <w:t xml:space="preserve">PMĮ </w:t>
      </w:r>
      <w:r w:rsidRPr="007E7D8B">
        <w:rPr>
          <w:color w:val="000000"/>
        </w:rPr>
        <w:t xml:space="preserve">5 straipsnio 9 dalyje nustatytą formulę apskaičiuoto apmokestinamojo pelno dalimi (žr. 30 straipsnio 2-1 dalies komentarą), </w:t>
      </w:r>
      <w:r w:rsidRPr="007E7D8B">
        <w:t>todėl vienetas turi taip tvarkyti apskaitą, kad būtų galima atskirai apskaičiuoti VP perleidimo</w:t>
      </w:r>
      <w:r>
        <w:t xml:space="preserve"> </w:t>
      </w:r>
      <w:r w:rsidRPr="00BB0112">
        <w:rPr>
          <w:color w:val="000000"/>
        </w:rPr>
        <w:t>rezultatus (pelną, nuostolius)</w:t>
      </w:r>
      <w:r w:rsidRPr="00BB0112">
        <w:t>,</w:t>
      </w:r>
      <w:r w:rsidRPr="007E7D8B">
        <w:t xml:space="preserve"> įprastinės veiklos rezultatus (pelną, nuostolius) bei </w:t>
      </w:r>
      <w:r w:rsidRPr="007E7D8B">
        <w:rPr>
          <w:color w:val="000000"/>
        </w:rPr>
        <w:t xml:space="preserve">veiklos, apmokestinamos pagal PMĮ 5 straipsnio 7-9 dalis,  rezultatus (pelną, nuostolius). </w:t>
      </w:r>
      <w:r w:rsidRPr="007E7D8B">
        <w:t xml:space="preserve"> </w:t>
      </w:r>
    </w:p>
    <w:p w14:paraId="47F03322" w14:textId="77777777" w:rsidR="00AB1E68" w:rsidRPr="007E7D8B" w:rsidRDefault="00AB1E68" w:rsidP="00AB1E68">
      <w:pPr>
        <w:tabs>
          <w:tab w:val="left" w:pos="720"/>
          <w:tab w:val="left" w:pos="1077"/>
          <w:tab w:val="left" w:pos="1418"/>
        </w:tabs>
        <w:ind w:right="-5" w:firstLine="709"/>
        <w:jc w:val="both"/>
      </w:pPr>
      <w:r w:rsidRPr="007E7D8B">
        <w:t>VP perleidimo pelną (nuostolį) sudaro už perleistus VP gautų (gautinų) pajamų ir jų įsigijimo kainos skirtumas.</w:t>
      </w:r>
    </w:p>
    <w:p w14:paraId="64E66A81" w14:textId="77777777" w:rsidR="00AB1E68" w:rsidRPr="007E7D8B" w:rsidRDefault="00AB1E68" w:rsidP="00AB1E68">
      <w:pPr>
        <w:tabs>
          <w:tab w:val="left" w:pos="720"/>
          <w:tab w:val="left" w:pos="1077"/>
          <w:tab w:val="left" w:pos="1418"/>
        </w:tabs>
        <w:ind w:right="-5" w:firstLine="709"/>
        <w:jc w:val="both"/>
      </w:pPr>
      <w:r w:rsidRPr="007E7D8B">
        <w:t>3.Vadovaujantis šio straipsnio nuostatomis, mokestinio laikotarpio VP perleidimo nuostoliai ir / arba n</w:t>
      </w:r>
      <w:r w:rsidRPr="007E7D8B">
        <w:rPr>
          <w:color w:val="000000"/>
        </w:rPr>
        <w:t xml:space="preserve">uostoliai, patirti dėl turto naudojimo, pardavimo ar kitokio perleidimo nuosavybėn, apskaičiuoti pagal </w:t>
      </w:r>
      <w:r>
        <w:rPr>
          <w:color w:val="000000"/>
        </w:rPr>
        <w:t xml:space="preserve">PMĮ </w:t>
      </w:r>
      <w:r w:rsidRPr="007E7D8B">
        <w:rPr>
          <w:color w:val="000000"/>
        </w:rPr>
        <w:t>5 straipsnio 9 dalyje nustatytą formulę,</w:t>
      </w:r>
      <w:r w:rsidRPr="007E7D8B">
        <w:t xml:space="preserve"> apskaičiuojant apmokestinamąjį pelną, negali būti priskirti to mokestinio laikotarpio įprastinės veiklos ribojamų dydžių leidžiamiems atskaitymams.</w:t>
      </w:r>
    </w:p>
    <w:p w14:paraId="7690B7D1" w14:textId="77777777" w:rsidR="00AB1E68" w:rsidRPr="006D5D6A" w:rsidRDefault="00AB1E68" w:rsidP="00AB1E68">
      <w:pPr>
        <w:tabs>
          <w:tab w:val="left" w:pos="720"/>
          <w:tab w:val="left" w:pos="1077"/>
          <w:tab w:val="left" w:pos="1418"/>
        </w:tabs>
        <w:ind w:right="-5" w:firstLine="709"/>
        <w:jc w:val="both"/>
      </w:pPr>
      <w:r w:rsidRPr="006D5D6A">
        <w:t>Pavyzdys (šiame ir kituose straipsnio komentaro pavyzdžiuose mokestinis laikotarpis – kalendoriniai metai)</w:t>
      </w:r>
    </w:p>
    <w:p w14:paraId="28E8CEC7" w14:textId="77777777" w:rsidR="00AB1E68" w:rsidRPr="007E7D8B"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rsidRPr="007E7D8B">
        <w:t xml:space="preserve">Vienetas 2017 mokestiniais metais apskaičiavo 5 000 Eur VP perleidimo nuostolių, o iš įprastinės veiklos uždirbo 20 000 Eur pelno. Vieneto 2017 mokestinių metų apmokestinamasis pelnas yra 20 000 Eur, nes nuostolio, patirto dėl VP perleidimo, suma nepriskiriama įprastinės veiklos </w:t>
      </w:r>
      <w:r w:rsidRPr="007E7D8B">
        <w:lastRenderedPageBreak/>
        <w:t>ribojamų dydžių leidžiamiems atskaitymams (jie gali būti perkeliami į kitus mokestinius metus ir dengiami iš VP perleidimo pelno PMĮ 30 straipsnyje nustatyta tvarka).</w:t>
      </w:r>
    </w:p>
    <w:p w14:paraId="065179E5" w14:textId="77777777" w:rsidR="00AB1E68" w:rsidRPr="006D5D6A" w:rsidRDefault="00AB1E68" w:rsidP="00AB1E68">
      <w:pPr>
        <w:tabs>
          <w:tab w:val="left" w:pos="720"/>
          <w:tab w:val="left" w:pos="1077"/>
          <w:tab w:val="left" w:pos="1418"/>
        </w:tabs>
        <w:ind w:right="-5" w:firstLine="709"/>
        <w:jc w:val="both"/>
      </w:pPr>
      <w:r w:rsidRPr="006D5D6A">
        <w:t>4.</w:t>
      </w:r>
      <w:r w:rsidR="0023488F">
        <w:t xml:space="preserve"> </w:t>
      </w:r>
      <w:r w:rsidRPr="006D5D6A">
        <w:t xml:space="preserve">Per mokestinį laikotarpį susidarę įprastinės veiklos nuostoliai gali būti perkeliami į kitą mokestinį laikotarpį (į kitus mokestinius laikotarpius) PMĮ 30 straipsnio 4 dalyje nustatyta tvarka. </w:t>
      </w:r>
    </w:p>
    <w:p w14:paraId="7EBDF23F" w14:textId="77777777" w:rsidR="00AB1E68" w:rsidRPr="006D5D6A" w:rsidRDefault="00AB1E68" w:rsidP="00AB1E68">
      <w:pPr>
        <w:tabs>
          <w:tab w:val="left" w:pos="720"/>
          <w:tab w:val="left" w:pos="1077"/>
          <w:tab w:val="left" w:pos="1418"/>
        </w:tabs>
        <w:ind w:right="-5" w:firstLine="709"/>
        <w:jc w:val="both"/>
      </w:pPr>
      <w:r w:rsidRPr="006D5D6A">
        <w:t xml:space="preserve">Pavyzdys </w:t>
      </w:r>
    </w:p>
    <w:p w14:paraId="58035398" w14:textId="77777777" w:rsidR="00AB1E68" w:rsidRPr="007E7D8B"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7E7D8B">
        <w:t>Vienetas  2017 mokestiniais metais apskaičiavo 10 tūkst. Eur, o 2018 mokestiniais metais – 8 tūkst. Eur įprastinės veiklos nuostolių. 2019 mokestiniais metais vienetas uždirbo 6 tūkst. Eur pelno. Vienetas  2019 mokestinių metų ribojamų dydžių leidžiamiems atskaitymams gali priskirti 6 tūkst. Eur 2017 mokestiniais metais apskaičiuotų nuostolių. 2020 mokestiniais metais vienetas uždirbo 9 tūkst. Eur pelno, todėl 2020 mokestinių metų ribojamų dydžių leidžiamiems atskaitymams gali priskirti 4 tūkst. Eur 2017 mokestiniais metais ir 5 tūkst. Eur 2018 mokestiniais metais apskaičiuotų nuostolių sumas, iš viso – 9 tūkst. Eur. Likusieji 3 tūkst. Eur, 2018 mokestinių metų įprastinės veiklos nuostoliai, ribojamų dydžių atskaitymams galės būti priskirti kitais mokestiniais metais PMĮ 30 straipsnio 4 dalyje nustatyta tvarka, jeigu tais mokestiniais metais vienetas turės pelno.</w:t>
      </w:r>
      <w:r w:rsidRPr="007E7D8B">
        <w:rPr>
          <w:color w:val="000000"/>
        </w:rPr>
        <w:t xml:space="preserve"> </w:t>
      </w:r>
    </w:p>
    <w:p w14:paraId="12AAE00A" w14:textId="77777777" w:rsidR="00AB1E68" w:rsidRPr="007E7D8B" w:rsidRDefault="00AB1E68" w:rsidP="00AB1E68">
      <w:pPr>
        <w:pBdr>
          <w:top w:val="single" w:sz="4" w:space="1" w:color="auto"/>
          <w:left w:val="single" w:sz="4" w:space="4" w:color="auto"/>
          <w:bottom w:val="single" w:sz="4" w:space="1" w:color="auto"/>
          <w:right w:val="single" w:sz="4" w:space="4" w:color="auto"/>
        </w:pBdr>
        <w:ind w:firstLine="720"/>
        <w:jc w:val="both"/>
      </w:pPr>
      <w:r w:rsidRPr="007E7D8B">
        <w:rPr>
          <w:color w:val="000000"/>
        </w:rPr>
        <w:t xml:space="preserve">Vienetas atitinka PMĮ 5 straipsnio 2 dalyje nustatytas sąlygas dėl 5 procentų mokesčio tarifo taikymo. </w:t>
      </w:r>
    </w:p>
    <w:p w14:paraId="40618FBD" w14:textId="77777777" w:rsidR="00AB1E68" w:rsidRDefault="00AB1E68" w:rsidP="00AB1E68">
      <w:pPr>
        <w:pStyle w:val="prastasiniatinklio"/>
        <w:ind w:firstLine="720"/>
        <w:jc w:val="both"/>
        <w:rPr>
          <w:color w:val="000000"/>
        </w:rPr>
      </w:pPr>
      <w:r>
        <w:t xml:space="preserve"> (Pagal VMI prie FM 2019-11-12 raštą Nr. (</w:t>
      </w:r>
      <w:r>
        <w:rPr>
          <w:color w:val="000000"/>
        </w:rPr>
        <w:t>32.42-31-1E) RM-33191)</w:t>
      </w:r>
    </w:p>
    <w:p w14:paraId="79D410A9" w14:textId="77777777" w:rsidR="009A0217" w:rsidRDefault="00327563" w:rsidP="009A0217">
      <w:pPr>
        <w:pStyle w:val="tajtip"/>
        <w:shd w:val="clear" w:color="auto" w:fill="FFFFFF"/>
        <w:spacing w:before="0" w:beforeAutospacing="0" w:after="0" w:afterAutospacing="0"/>
        <w:ind w:firstLine="709"/>
        <w:jc w:val="both"/>
        <w:rPr>
          <w:b/>
          <w:shd w:val="clear" w:color="auto" w:fill="FFFFFF"/>
        </w:rPr>
      </w:pPr>
      <w:r w:rsidRPr="00327563">
        <w:rPr>
          <w:b/>
          <w:color w:val="000000"/>
        </w:rPr>
        <w:t xml:space="preserve">2. </w:t>
      </w:r>
      <w:r w:rsidR="009A0217" w:rsidRPr="00DA5C51">
        <w:rPr>
          <w:b/>
          <w:color w:val="000000"/>
          <w:shd w:val="clear" w:color="auto" w:fill="FFFFFF"/>
        </w:rPr>
        <w:t xml:space="preserve">Nuostoliai dėl vertybinių popierių arba išvestinių finansinių priemonių perleidimo perkeliami į kitus mokestinius metus, tačiau dengiami tik vertybinių popierių ir (arba) išvestinių finansinių priemonių perleidimo </w:t>
      </w:r>
      <w:r w:rsidR="009A0217" w:rsidRPr="00AA301B">
        <w:rPr>
          <w:b/>
          <w:color w:val="000000"/>
          <w:shd w:val="clear" w:color="auto" w:fill="FFFFFF"/>
        </w:rPr>
        <w:t>veiklos pajamomis. Nuostoliai dėl vieneto, kuris įregistruotas ar kitaip organizuotas Europos ekonominės erdvės valstybėje arba valstybėje, su kuria sudaryta ir taikoma dvigubo apmokestinimo išvengimo sutartis, ir kuris yra pelno mokesčio arba jam tapataus mokesčio mokėtojas, akcijų perleidimo </w:t>
      </w:r>
      <w:r w:rsidR="009A0217" w:rsidRPr="00AA301B">
        <w:rPr>
          <w:b/>
          <w:shd w:val="clear" w:color="auto" w:fill="FFFFFF"/>
        </w:rPr>
        <w:t>kitam vienetui arba fiziniam asmeniui,</w:t>
      </w:r>
      <w:r w:rsidR="009A0217" w:rsidRPr="00AA301B">
        <w:rPr>
          <w:b/>
          <w:color w:val="FF0000"/>
          <w:shd w:val="clear" w:color="auto" w:fill="FFFFFF"/>
        </w:rPr>
        <w:t> </w:t>
      </w:r>
      <w:r w:rsidR="009A0217" w:rsidRPr="00AA301B">
        <w:rPr>
          <w:b/>
          <w:color w:val="000000"/>
          <w:shd w:val="clear" w:color="auto" w:fill="FFFFFF"/>
        </w:rPr>
        <w:t>jei akcijas perleidžiantis vienetas  ne trumpiau kaip 2 metus be pertraukų turėjo daugiau kaip 10 procentų balsus suteikiančių </w:t>
      </w:r>
      <w:r w:rsidR="009A0217" w:rsidRPr="00AA301B">
        <w:rPr>
          <w:b/>
          <w:shd w:val="clear" w:color="auto" w:fill="FFFFFF"/>
        </w:rPr>
        <w:t>šio vieneto  arba jei akcijos buvo perleistos šio Įstatymo 41 straipsnio 2 dalyje nurodytais reorganizavimo ar </w:t>
      </w:r>
      <w:r w:rsidR="009A0217" w:rsidRPr="00AA301B">
        <w:rPr>
          <w:b/>
          <w:color w:val="000000"/>
          <w:shd w:val="clear" w:color="auto" w:fill="FFFFFF"/>
        </w:rPr>
        <w:t>perleidimo </w:t>
      </w:r>
      <w:r w:rsidR="009A0217" w:rsidRPr="00AA301B">
        <w:rPr>
          <w:b/>
          <w:shd w:val="clear" w:color="auto" w:fill="FFFFFF"/>
        </w:rPr>
        <w:t>atvejais, akcijų perleidimo kitam vienetui arba fiziniam asmeniui, jei akcijas perleidžiantis vienetas ne trumpiau kaip 3 metus be pertraukų turėjo daugiau kaip 10 procentų balsus suteikiančių šio vieneto akcijų, iš</w:t>
      </w:r>
      <w:r w:rsidR="009A0217" w:rsidRPr="00AA301B">
        <w:rPr>
          <w:b/>
          <w:color w:val="FF0000"/>
          <w:shd w:val="clear" w:color="auto" w:fill="FFFFFF"/>
        </w:rPr>
        <w:t> </w:t>
      </w:r>
      <w:r w:rsidR="009A0217" w:rsidRPr="00AA301B">
        <w:rPr>
          <w:b/>
          <w:color w:val="000000"/>
          <w:shd w:val="clear" w:color="auto" w:fill="FFFFFF"/>
        </w:rPr>
        <w:t>pajamų </w:t>
      </w:r>
      <w:r w:rsidR="009A0217" w:rsidRPr="00AA301B">
        <w:rPr>
          <w:b/>
          <w:shd w:val="clear" w:color="auto" w:fill="FFFFFF"/>
        </w:rPr>
        <w:t>neatskaitomi ir</w:t>
      </w:r>
      <w:r w:rsidR="009A0217" w:rsidRPr="00AA301B">
        <w:rPr>
          <w:b/>
          <w:color w:val="FF0000"/>
          <w:shd w:val="clear" w:color="auto" w:fill="FFFFFF"/>
        </w:rPr>
        <w:t> </w:t>
      </w:r>
      <w:r w:rsidR="009A0217" w:rsidRPr="00AA301B">
        <w:rPr>
          <w:b/>
          <w:color w:val="000000"/>
          <w:shd w:val="clear" w:color="auto" w:fill="FFFFFF"/>
        </w:rPr>
        <w:t>į kitus mokestinius metus </w:t>
      </w:r>
      <w:r w:rsidR="009A0217" w:rsidRPr="00AA301B">
        <w:rPr>
          <w:b/>
          <w:shd w:val="clear" w:color="auto" w:fill="FFFFFF"/>
        </w:rPr>
        <w:t>neperkeliami. Šioje dalyje nurodyta taisyklė dėl nuostolių neatskaitymo ir neperkėlimo netaikoma tuo atveju, kai akcijas perleidžiantis vienetas jas perleidžia šias akcijas išleidusiam vienetui, o į nustatytus terminus dėl akcijų turėjimo neatsižvelgiama tais atvejais, kai akcijos perleidžiamos dėl teisės aktų reikalavimų. Šioje dalyje vartojama sąvoka „akcija“ apima ir turimas teises į rizikos ir privataus kapitalo subjektų paskirstytinojo pelno dalį.</w:t>
      </w:r>
    </w:p>
    <w:p w14:paraId="57901CC7" w14:textId="77777777" w:rsidR="009A0217" w:rsidRPr="00DA5C51" w:rsidRDefault="009A0217" w:rsidP="009A0217">
      <w:pPr>
        <w:jc w:val="both"/>
        <w:rPr>
          <w:bCs/>
          <w:i/>
          <w:szCs w:val="20"/>
          <w:lang w:val="lt-LT"/>
        </w:rPr>
      </w:pPr>
      <w:r>
        <w:rPr>
          <w:bCs/>
          <w:i/>
          <w:lang w:val="lt-LT"/>
        </w:rPr>
        <w:t>(</w:t>
      </w:r>
      <w:r w:rsidRPr="00AA301B">
        <w:rPr>
          <w:bCs/>
          <w:i/>
          <w:lang w:val="lt-LT"/>
        </w:rPr>
        <w:t xml:space="preserve">KEISTA: </w:t>
      </w:r>
      <w:r w:rsidRPr="00DA5C51">
        <w:rPr>
          <w:bCs/>
          <w:i/>
          <w:szCs w:val="20"/>
          <w:lang w:val="lt-LT"/>
        </w:rPr>
        <w:t xml:space="preserve">pagal 2020 m. gruodžio 3  d. įstatymo Nr.  </w:t>
      </w:r>
      <w:r w:rsidRPr="00DA5C51">
        <w:rPr>
          <w:color w:val="000000"/>
          <w:lang w:val="lt-LT"/>
        </w:rPr>
        <w:t>XIV-39</w:t>
      </w:r>
      <w:r w:rsidRPr="00DA5C51">
        <w:rPr>
          <w:lang w:val="lt-LT"/>
        </w:rPr>
        <w:t xml:space="preserve"> </w:t>
      </w:r>
      <w:r w:rsidRPr="00DA5C51">
        <w:rPr>
          <w:bCs/>
          <w:i/>
          <w:szCs w:val="20"/>
          <w:lang w:val="lt-LT"/>
        </w:rPr>
        <w:t>redakciją; taikoma apskaičiuojant 2021 metais prasidėjusio ir vėlesnių mokestinių laikotarpių apmokestinamąjį pelną)</w:t>
      </w:r>
    </w:p>
    <w:p w14:paraId="4EACE206" w14:textId="77777777" w:rsidR="00093845" w:rsidRDefault="009A0217" w:rsidP="009A0217">
      <w:pPr>
        <w:pStyle w:val="tajtip"/>
        <w:shd w:val="clear" w:color="auto" w:fill="FFFFFF"/>
        <w:spacing w:before="0" w:beforeAutospacing="0" w:after="0" w:afterAutospacing="0"/>
        <w:ind w:firstLine="709"/>
        <w:jc w:val="both"/>
        <w:rPr>
          <w:b/>
        </w:rPr>
      </w:pPr>
      <w:r w:rsidRPr="00327563">
        <w:rPr>
          <w:rStyle w:val="Grietas"/>
          <w:b w:val="0"/>
        </w:rPr>
        <w:t xml:space="preserve"> </w:t>
      </w:r>
      <w:r w:rsidR="000D779E">
        <w:rPr>
          <w:b/>
        </w:rPr>
        <w:t>Komentaras</w:t>
      </w:r>
    </w:p>
    <w:p w14:paraId="5967D0F3" w14:textId="77777777" w:rsidR="00093845" w:rsidRDefault="000D779E">
      <w:pPr>
        <w:tabs>
          <w:tab w:val="left" w:pos="720"/>
          <w:tab w:val="left" w:pos="1077"/>
          <w:tab w:val="left" w:pos="1418"/>
        </w:tabs>
        <w:ind w:right="-5" w:firstLine="709"/>
        <w:jc w:val="both"/>
      </w:pPr>
      <w:r>
        <w:t>1.</w:t>
      </w:r>
      <w:r>
        <w:tab/>
        <w:t>Į kitą mokestinį laikotarpį perkeliami VP perleidimo nuostoliai gali būti dengiami tik VP perleidimo pelnu. Vadovaujantis šio straipsnio nuostata, VP perleidimo ir įprastinės veiklos pajamoms tenkantys nuostoliai turi būti apskaičiuojami atskirai ir ribojamų dydžių leidžiamiems atskaitymams priskiriami PMĮ nustatyta tvarka.</w:t>
      </w:r>
    </w:p>
    <w:p w14:paraId="7EC7F322" w14:textId="77777777" w:rsidR="00093845" w:rsidRDefault="000D779E">
      <w:pPr>
        <w:tabs>
          <w:tab w:val="left" w:pos="720"/>
          <w:tab w:val="left" w:pos="1077"/>
          <w:tab w:val="left" w:pos="1418"/>
        </w:tabs>
        <w:ind w:right="-5" w:firstLine="709"/>
        <w:jc w:val="both"/>
      </w:pPr>
      <w:r>
        <w:t>Pavyzdys</w:t>
      </w:r>
    </w:p>
    <w:p w14:paraId="57C75F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pPr>
      <w:r>
        <w:lastRenderedPageBreak/>
        <w:t>Vienetas 2017 metais, perleisdamas VP, apskaičiavo 25 000 Eur nuostolį, o 2018 metais uždirbo 30 000 Eur pelno, iš šios sumos 20 000 Eur sudarė įprastinės veiklos pelnas, o 10 000  Eur – VP perleidimo pelnas. Vienetas 2018 metų ribojamų dydžių leidžiamiems atskaitymams gali priskirti tik 10 000 Eur 2017 metais patirtų nuostolių sumą, ne didesnę už pelną, uždirbtą 2018 metais, perleidžiant VP, t. y. nuostoliai, susidarę 2017 m. prasidėjusiame mokestiniame laikotarpyje dėl VP perleidimo, negali būti dengiami įprastinės veiklos pelno sąskaita. 2018 metais ribojamų dydžių leidžiamiems atskaitymams nepriskirta 15 000 Eur mokestinių nuostolių suma iš VP perleidimo galės būti perkelta į kitus mokestinius PMI 30 straipsnyje nustatyta tvarka, jeigu tais mokestiniais laikotarpiais vienetas turės pelno iš VP perleidimo.</w:t>
      </w:r>
    </w:p>
    <w:p w14:paraId="16957D2A" w14:textId="77777777" w:rsidR="00FA6ED9" w:rsidRPr="00D85FFE" w:rsidRDefault="00FA6ED9" w:rsidP="00FA6ED9">
      <w:pPr>
        <w:pStyle w:val="Pagrindiniotekstotrauka"/>
        <w:tabs>
          <w:tab w:val="left" w:pos="1560"/>
        </w:tabs>
        <w:ind w:firstLine="709"/>
        <w:rPr>
          <w:rFonts w:ascii="Times New Roman" w:hAnsi="Times New Roman" w:cs="Times New Roman"/>
          <w:color w:val="000000"/>
          <w:lang w:val="lt-LT"/>
        </w:rPr>
      </w:pPr>
      <w:r w:rsidRPr="00D85FFE">
        <w:rPr>
          <w:rFonts w:ascii="Times New Roman" w:hAnsi="Times New Roman" w:cs="Times New Roman"/>
          <w:lang w:val="lt-LT"/>
        </w:rPr>
        <w:t>1.</w:t>
      </w:r>
      <w:r w:rsidRPr="00D85FFE">
        <w:rPr>
          <w:rFonts w:ascii="Times New Roman" w:hAnsi="Times New Roman" w:cs="Times New Roman"/>
          <w:vertAlign w:val="superscript"/>
          <w:lang w:val="lt-LT"/>
        </w:rPr>
        <w:t>1</w:t>
      </w:r>
      <w:r w:rsidRPr="00D85FFE">
        <w:rPr>
          <w:rFonts w:ascii="Times New Roman" w:hAnsi="Times New Roman" w:cs="Times New Roman"/>
          <w:lang w:val="lt-LT"/>
        </w:rPr>
        <w:t xml:space="preserve"> Šios dalies nuostatos taikomos ir apskaičiuojant bei perkeliant nuostolius, patirtus dėl </w:t>
      </w:r>
      <w:r w:rsidRPr="00D85FFE">
        <w:rPr>
          <w:rFonts w:ascii="Times New Roman" w:hAnsi="Times New Roman" w:cs="Times New Roman"/>
          <w:color w:val="000000"/>
          <w:lang w:val="lt-LT"/>
        </w:rPr>
        <w:t xml:space="preserve">išvestinių finansinių priemonių perleidimo (t. y. pardavimo ar kitokio perleidimo kito asmens nuosavybėn iki šių finansinių priemonių pabaigos). </w:t>
      </w:r>
    </w:p>
    <w:p w14:paraId="7FEF8421" w14:textId="77777777" w:rsidR="00FA6ED9" w:rsidRPr="00D85FFE" w:rsidRDefault="00FA6ED9" w:rsidP="00FA6ED9">
      <w:pPr>
        <w:pStyle w:val="Pagrindiniotekstotrauka"/>
        <w:tabs>
          <w:tab w:val="left" w:pos="1560"/>
        </w:tabs>
        <w:ind w:firstLine="709"/>
        <w:rPr>
          <w:rFonts w:ascii="Times New Roman" w:hAnsi="Times New Roman" w:cs="Times New Roman"/>
          <w:color w:val="000000"/>
          <w:lang w:val="lt-LT"/>
        </w:rPr>
      </w:pPr>
      <w:r w:rsidRPr="00D85FFE">
        <w:rPr>
          <w:rFonts w:ascii="Times New Roman" w:hAnsi="Times New Roman" w:cs="Times New Roman"/>
          <w:color w:val="000000"/>
          <w:lang w:val="lt-LT"/>
        </w:rPr>
        <w:t>Nuostoliai, patirti dėl išvestinių finansinių priemonių realizavimo (įvykdžius iš išvestinių finansinių priemonių kylančias teises ir įsipareigojimus), apskaičiuojant apmokestinamąjį pelną, priskiriami to mokestinio laikotarpio įprastinės veiklos ribojamų dydžių leidžiamiems atskaitymams.</w:t>
      </w:r>
    </w:p>
    <w:p w14:paraId="22ACD7F5" w14:textId="77777777" w:rsidR="00FA6ED9" w:rsidRDefault="00FA6ED9" w:rsidP="00FA6ED9">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5BE5901E" w14:textId="77777777" w:rsidR="00093845" w:rsidRDefault="000D779E">
      <w:pPr>
        <w:tabs>
          <w:tab w:val="left" w:pos="720"/>
          <w:tab w:val="left" w:pos="1077"/>
          <w:tab w:val="left" w:pos="1418"/>
        </w:tabs>
        <w:ind w:right="-5" w:firstLine="709"/>
        <w:jc w:val="both"/>
      </w:pPr>
      <w:r>
        <w:t>2.</w:t>
      </w:r>
      <w:r>
        <w:tab/>
        <w:t>PMĮ nedraudžiama VP perleidimo pelnu dengti įprastinės veiklos nuostolius.</w:t>
      </w:r>
    </w:p>
    <w:p w14:paraId="10D6BEFF" w14:textId="77777777" w:rsidR="00093845" w:rsidRDefault="000D779E">
      <w:pPr>
        <w:tabs>
          <w:tab w:val="left" w:pos="720"/>
          <w:tab w:val="left" w:pos="1077"/>
          <w:tab w:val="left" w:pos="1418"/>
        </w:tabs>
        <w:ind w:right="-5" w:firstLine="709"/>
        <w:jc w:val="both"/>
        <w:rPr>
          <w:strike/>
        </w:rPr>
      </w:pPr>
      <w:r>
        <w:t xml:space="preserve">Pavyzdys </w:t>
      </w:r>
    </w:p>
    <w:p w14:paraId="1969E5ED" w14:textId="77777777" w:rsidR="00093845" w:rsidRDefault="000D779E">
      <w:pPr>
        <w:pStyle w:val="Pagrindiniotekstotrauka3"/>
        <w:pBdr>
          <w:top w:val="single" w:sz="4" w:space="1" w:color="auto"/>
          <w:left w:val="single" w:sz="4" w:space="4" w:color="auto"/>
          <w:bottom w:val="single" w:sz="4" w:space="1" w:color="auto"/>
          <w:right w:val="single" w:sz="4" w:space="4" w:color="auto"/>
        </w:pBdr>
        <w:tabs>
          <w:tab w:val="left" w:pos="720"/>
          <w:tab w:val="left" w:pos="1077"/>
          <w:tab w:val="left" w:pos="1418"/>
        </w:tabs>
        <w:ind w:right="-1" w:firstLine="709"/>
        <w:rPr>
          <w:rFonts w:ascii="Times New Roman" w:hAnsi="Times New Roman"/>
        </w:rPr>
      </w:pPr>
      <w:r>
        <w:rPr>
          <w:rFonts w:ascii="Times New Roman" w:hAnsi="Times New Roman"/>
        </w:rPr>
        <w:t>Vienetas 2017 metais apskaičiavo 100 000 Eur nuostolį, iš šios sumos įprastinės veiklos nuostoliai sudarė 90 000 Eur, o akcijų perleidimo nuostoliai – 10 000 Eur. 2018 metais vienetas uždirbo 50 000 Eur pelno, iš jo 20 000 Eur buvo gauta iš įprastinės veiklos, o 30 000 Eur – iš akcijų perleidimo. Vienetas 2018 metų leidžiamiems atskaitymams gali priskirti 2017metais patirtų   40 000 Eur įprastinės veiklos nuostolių sumą ir 2017 metais patirtų 10 000 Eur akcijų perleidimo nuostolių, iš viso – 50 000 Eur nuostolių. Pavyzdyje pateiktoje situacijoje vienetas 20 000 Eur įprastinės veiklos nuostolių sumą, didesnę nei įprastinėje veikloje uždirbtas pelnas, gali dengti akcijų perleidimo pelno sąskaita.</w:t>
      </w:r>
    </w:p>
    <w:p w14:paraId="0EA66BCC" w14:textId="77777777" w:rsidR="00093845" w:rsidRDefault="000D779E">
      <w:pPr>
        <w:pStyle w:val="Tekstoblokas"/>
        <w:tabs>
          <w:tab w:val="left" w:pos="720"/>
        </w:tabs>
        <w:ind w:left="0" w:right="0" w:firstLine="709"/>
      </w:pPr>
      <w:r>
        <w:t xml:space="preserve">          </w:t>
      </w:r>
      <w:r>
        <w:tab/>
      </w:r>
    </w:p>
    <w:p w14:paraId="21823B84" w14:textId="77777777" w:rsidR="00093845" w:rsidRDefault="000D779E">
      <w:pPr>
        <w:ind w:firstLine="709"/>
        <w:jc w:val="both"/>
        <w:rPr>
          <w:lang w:eastAsia="lt-LT"/>
        </w:rPr>
      </w:pPr>
      <w:r>
        <w:rPr>
          <w:lang w:eastAsia="lt-LT"/>
        </w:rPr>
        <w:t xml:space="preserve">3. Vieneto dalyvių patirti nuostoliai dėl akcijų anuliavimo mažinant to vieneto įstatinį kapitalą, laikomi nuostoliais iš VP perleidimo, kurie perkeliami į kitus mokestinius metus PMĮ 30 straipsnyje nustatyta tvarka. Vieneto dalyvių gautas pelnas (skirtumas tarp vieneto dalyvių akcijų įsigijimo kainos ir gautų išmokų) dėl akcijų anuliavimo mažinant to vieneto įstatinį kapitalą, laikomas VP perleidimo pajamomis, kurios apmokestinamos pagal PMĮ nuostatas. </w:t>
      </w:r>
    </w:p>
    <w:p w14:paraId="1C31F898" w14:textId="77777777" w:rsidR="00093845" w:rsidRDefault="000D779E">
      <w:pPr>
        <w:spacing w:before="100" w:beforeAutospacing="1" w:after="100" w:afterAutospacing="1"/>
        <w:ind w:firstLine="709"/>
        <w:jc w:val="both"/>
        <w:rPr>
          <w:lang w:eastAsia="lt-LT"/>
        </w:rPr>
      </w:pPr>
      <w:r>
        <w:rPr>
          <w:lang w:eastAsia="lt-LT"/>
        </w:rPr>
        <w:t> 1 pavyzdys</w:t>
      </w:r>
    </w:p>
    <w:tbl>
      <w:tblPr>
        <w:tblW w:w="9889" w:type="dxa"/>
        <w:tblLayout w:type="fixed"/>
        <w:tblCellMar>
          <w:left w:w="0" w:type="dxa"/>
          <w:right w:w="0" w:type="dxa"/>
        </w:tblCellMar>
        <w:tblLook w:val="04A0" w:firstRow="1" w:lastRow="0" w:firstColumn="1" w:lastColumn="0" w:noHBand="0" w:noVBand="1"/>
      </w:tblPr>
      <w:tblGrid>
        <w:gridCol w:w="9889"/>
      </w:tblGrid>
      <w:tr w:rsidR="00093845" w14:paraId="324DF613" w14:textId="77777777">
        <w:trPr>
          <w:trHeight w:val="1858"/>
        </w:trPr>
        <w:tc>
          <w:tcPr>
            <w:tcW w:w="9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1A9731" w14:textId="77777777" w:rsidR="00093845" w:rsidRDefault="000D779E">
            <w:pPr>
              <w:spacing w:before="100" w:beforeAutospacing="1" w:after="100" w:afterAutospacing="1"/>
              <w:ind w:firstLine="709"/>
              <w:jc w:val="both"/>
              <w:rPr>
                <w:lang w:eastAsia="lt-LT"/>
              </w:rPr>
            </w:pPr>
            <w:r>
              <w:rPr>
                <w:lang w:eastAsia="lt-LT"/>
              </w:rPr>
              <w:t xml:space="preserve">2017 metais įsteigta akcinė bendrovė išleido 10 000 paprastųjų 50 Eur nominalios vertės akcijų ir suformavo 500 000 Eur įstatinį kapitalą. Dalyviai įsigijo akcijas po 60 Eur už vieną akciją. Akcinė bendrovė nedidino įstatinio kapitalo iš vieneto lėšų. 2018 metais bendrovė sumažino įstatinį kapitalą ir anuliavo 1 000 akcijų. Bendrovė išmokėjo akcininkams 50 000 Eur. </w:t>
            </w:r>
          </w:p>
          <w:p w14:paraId="4B270093" w14:textId="77777777" w:rsidR="00093845" w:rsidRDefault="000D779E">
            <w:pPr>
              <w:spacing w:before="100" w:beforeAutospacing="1" w:after="100" w:afterAutospacing="1"/>
              <w:ind w:firstLine="709"/>
              <w:jc w:val="both"/>
              <w:rPr>
                <w:lang w:eastAsia="lt-LT"/>
              </w:rPr>
            </w:pPr>
            <w:r>
              <w:rPr>
                <w:lang w:eastAsia="lt-LT"/>
              </w:rPr>
              <w:t xml:space="preserve">Akcininkams išmokėta 50 000 Eur suma nepriskiriama dividendams, o laikoma atsiimtais akcininkų įnašais. Skirtumai tarp vieneto dalyvių akcijų įsigijimo kainos ir gautų išmokų (10 000 Eur) laikomi vieneto dalyvių patirtais nuostoliais iš VP perleidimo, kurie gali būti dengiami tik VP perleidimo pelnu bei gali būti perkeliami į kitus mokestinius metus </w:t>
            </w:r>
            <w:bookmarkStart w:id="444" w:name="n1_4210"/>
            <w:r>
              <w:rPr>
                <w:lang w:eastAsia="lt-LT"/>
              </w:rPr>
              <w:fldChar w:fldCharType="begin"/>
            </w:r>
            <w:r>
              <w:rPr>
                <w:lang w:eastAsia="lt-LT"/>
              </w:rPr>
              <w:instrText xml:space="preserve"> HYPERLINK "http://www.infolex.lt/ta/12868" \o "Lietuvos Respublikos pelno mokesčio įstatymas" \t "_blank" </w:instrText>
            </w:r>
            <w:r>
              <w:rPr>
                <w:lang w:eastAsia="lt-LT"/>
              </w:rPr>
              <w:fldChar w:fldCharType="separate"/>
            </w:r>
            <w:r>
              <w:rPr>
                <w:rStyle w:val="Hipersaitas"/>
                <w:lang w:eastAsia="lt-LT"/>
              </w:rPr>
              <w:t>PMĮ</w:t>
            </w:r>
            <w:r>
              <w:rPr>
                <w:lang w:eastAsia="lt-LT"/>
              </w:rPr>
              <w:fldChar w:fldCharType="end"/>
            </w:r>
            <w:bookmarkStart w:id="445" w:name="pn1_4210"/>
            <w:bookmarkEnd w:id="444"/>
            <w:bookmarkEnd w:id="445"/>
            <w:r>
              <w:rPr>
                <w:lang w:eastAsia="lt-LT"/>
              </w:rPr>
              <w:t xml:space="preserve"> </w:t>
            </w:r>
            <w:bookmarkStart w:id="446" w:name="n1_4211"/>
            <w:r>
              <w:rPr>
                <w:lang w:eastAsia="lt-LT"/>
              </w:rPr>
              <w:fldChar w:fldCharType="begin"/>
            </w:r>
            <w:r>
              <w:rPr>
                <w:lang w:eastAsia="lt-LT"/>
              </w:rPr>
              <w:instrText xml:space="preserve"> HYPERLINK "JavaScript:OL('12868','30')" \o "Mokestinio laikotarpio nuostolių perkėlimas (str. 30)" </w:instrText>
            </w:r>
            <w:r>
              <w:rPr>
                <w:lang w:eastAsia="lt-LT"/>
              </w:rPr>
              <w:fldChar w:fldCharType="separate"/>
            </w:r>
            <w:r>
              <w:rPr>
                <w:rStyle w:val="Hipersaitas"/>
                <w:lang w:eastAsia="lt-LT"/>
              </w:rPr>
              <w:t>30</w:t>
            </w:r>
            <w:r>
              <w:rPr>
                <w:lang w:eastAsia="lt-LT"/>
              </w:rPr>
              <w:fldChar w:fldCharType="end"/>
            </w:r>
            <w:bookmarkStart w:id="447" w:name="pn1_4211"/>
            <w:bookmarkEnd w:id="446"/>
            <w:bookmarkEnd w:id="447"/>
            <w:r>
              <w:rPr>
                <w:lang w:eastAsia="lt-LT"/>
              </w:rPr>
              <w:t xml:space="preserve"> straipsnyje nustatyta tvarka.</w:t>
            </w:r>
          </w:p>
        </w:tc>
      </w:tr>
    </w:tbl>
    <w:p w14:paraId="73E5F53D" w14:textId="77777777" w:rsidR="00093845" w:rsidRDefault="000D779E">
      <w:pPr>
        <w:spacing w:before="100" w:beforeAutospacing="1" w:after="100" w:afterAutospacing="1"/>
        <w:ind w:firstLine="709"/>
        <w:jc w:val="both"/>
        <w:rPr>
          <w:lang w:eastAsia="lt-LT"/>
        </w:rPr>
      </w:pPr>
      <w:r>
        <w:rPr>
          <w:lang w:eastAsia="lt-LT"/>
        </w:rPr>
        <w:lastRenderedPageBreak/>
        <w:t>2 pavyzdys</w:t>
      </w:r>
    </w:p>
    <w:p w14:paraId="57FE2A28"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 xml:space="preserve">2015 metais įsteigta akcinė bendrovė išleido 10 000 paprastųjų 50 Eur nominalios vertės akcijų ir suformavo 500 000 Eur įstatinį kapitalą. </w:t>
      </w:r>
    </w:p>
    <w:p w14:paraId="4CA42A41"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2016 metais bendrovė 100 000 Eur padidino įstatinį kapitalą iš savo lėšų, išleisdama 2 000 paprastųjų 50 Eur nominalios vertės akcijų. Išleistas akcijas bendrovės akcininkai (proporcingai jiems nuosavybės teise priklausančių akcijų nominaliai vertei) gavo nemokamai.</w:t>
      </w:r>
    </w:p>
    <w:p w14:paraId="50F5E4C4"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2017 metais bendrovė, norėdama išmokėti akcininkams bendrovės lėšų, 100 000 Eur sumažino įstatinį kapitalą, anuliuodama 2 000 nominalios vertės akcijų ir lėšas išmokėjo akcininkams proporcingai nuosavybės teise jiems priklausančių akcijų nominaliai vertei.</w:t>
      </w:r>
    </w:p>
    <w:p w14:paraId="0456154A"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Kadangi bendrovė 100 000 Eur sumažino įstatinį kapitalą, o prieš sumažinimą jį buvo padidinusi iš bendrovės lėšų ir bendrovės akcininkai nemokamai gavo 10 000 Eur nominalios vertės akcijų, todėl vieneto dalyviams išmokamos laisvos lėšos (100 000 Eur), tenkančios įstatinio kapitalo daliai, kuri buvo padidinta iš bendrovės lėšų, apmokestinamos taikant tą patį mokesčio tarifą, kaip ir dividendams – 15 procentų.</w:t>
      </w:r>
    </w:p>
    <w:p w14:paraId="757B6270"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strike/>
          <w:lang w:eastAsia="lt-LT"/>
        </w:rPr>
      </w:pPr>
      <w:r>
        <w:rPr>
          <w:lang w:eastAsia="lt-LT"/>
        </w:rPr>
        <w:t xml:space="preserve">UAB „X” iš minėtos akcinės bendrovės dalyvių antrinėje rinkoje 2016 m. įsigijo 960 akcijų po 60 Eur už vieną akciją. Už 160 anuliuotų akcijų UAB „X” buvo apskaičiuota 8000 Eur suma. Nuo šios sumos akcinė bendrovė išskaičiavo 1200 Eur pelno mokestį (UAB „X” turimas akcijų paketas nesuteikė teisės į PMĮ 33 str. 2 dalyje nustatytą dividendų neapmokestinimo lengvatą pagal „dalyvavimo išimtį”) bei išmokėjo UAB „X” 6800 Eur. </w:t>
      </w:r>
    </w:p>
    <w:p w14:paraId="197C697C" w14:textId="77777777" w:rsidR="00093845" w:rsidRDefault="000D779E">
      <w:pPr>
        <w:pBdr>
          <w:top w:val="single" w:sz="4" w:space="1" w:color="auto"/>
          <w:left w:val="single" w:sz="4" w:space="4" w:color="auto"/>
          <w:bottom w:val="single" w:sz="4" w:space="1" w:color="auto"/>
          <w:right w:val="single" w:sz="4" w:space="4" w:color="auto"/>
        </w:pBdr>
        <w:spacing w:before="100" w:beforeAutospacing="1" w:after="100" w:afterAutospacing="1"/>
        <w:ind w:firstLine="709"/>
        <w:jc w:val="both"/>
        <w:rPr>
          <w:lang w:eastAsia="lt-LT"/>
        </w:rPr>
      </w:pPr>
      <w:r>
        <w:rPr>
          <w:lang w:eastAsia="lt-LT"/>
        </w:rPr>
        <w:t>Dėl įstatinio kapitalo sumažinimo anuliuotų akcijų įsigijimo kainos 9600 Eur (60 Eur x 160 vnt.) ir už jas gautos 8000 Eur bendrovės lėšų sumos teigiamas skirtumas (1600 Eur) gali būti priskiriamas UAB „X” nuostoliams dėl VP perleidimo, kurie gali būti dengiami tik VP perleidimo pelnu bei perkeliami į kitus mokestinius metus PMĮ 30 straipsnyje nustatyta tvarka.</w:t>
      </w:r>
    </w:p>
    <w:p w14:paraId="54E78B31" w14:textId="77777777" w:rsidR="00093845" w:rsidRDefault="000D779E">
      <w:pPr>
        <w:ind w:firstLine="709"/>
        <w:jc w:val="both"/>
        <w:rPr>
          <w:lang w:eastAsia="lt-LT"/>
        </w:rPr>
      </w:pPr>
      <w:r>
        <w:rPr>
          <w:lang w:eastAsia="lt-LT"/>
        </w:rPr>
        <w:t>Kadangi dėl vieneto įstatinio kapitalo dalies, sudarytos iš vieneto dalyvių įnašų, sumažinimo to vieneto dalyvių patirti nuostoliai dėl akcijų anuliavimo (kai anuliuotų akcijų įsigijimo kaina yra didesnė už išmokamų lėšų sumą) buvo ir yra laikomi nuostoliais iš vertybinių popierių perleidimo, todėl tais atvejais, kai vieneto dalyviams išmokamos lėšos sudaro įstatinio kapitalo dalį, padidintą iš bendrovės lėšų ir suformuotą iš vieneto dalyvių įnašų, tai apskaičiuojama bendra vieneto dalyvio dėl akcijų anuliavimo patirta vertybinių popierių perleidimo nuostolių suma.</w:t>
      </w:r>
    </w:p>
    <w:p w14:paraId="51D3CC23" w14:textId="77777777" w:rsidR="00093845" w:rsidRDefault="000D779E">
      <w:pPr>
        <w:ind w:firstLine="709"/>
        <w:jc w:val="both"/>
        <w:rPr>
          <w:lang w:eastAsia="lt-LT"/>
        </w:rPr>
      </w:pPr>
      <w:r>
        <w:rPr>
          <w:lang w:eastAsia="lt-LT"/>
        </w:rPr>
        <w:t>Jei vieneto dalyvis anuliuojamas akcijas įsigijo skirtingomis kainomis (pavyzdžiui, steigimo metu kaip įnašą, apmokant naujų išleistų akcijų emisijos kainą, dėl įstatinio kapitalo didinimo iš bendrovės lėšų gavus akcijų nemokamai ar akcijas įsigijus iš trečiųjų asmenų), tai anuliuotų akcijų įsigijimo savikaina nustatoma taikant FIFO būdą (darant prielaidą, kad pirmiausia nurašomos anksčiausiai įsigytos akcijos) arba vidutinio svertinio vidurkio būdą.</w:t>
      </w:r>
    </w:p>
    <w:p w14:paraId="454B45CA" w14:textId="77777777" w:rsidR="00093845" w:rsidRDefault="000D779E">
      <w:pPr>
        <w:spacing w:before="100" w:beforeAutospacing="1" w:after="100" w:afterAutospacing="1"/>
        <w:ind w:firstLine="709"/>
        <w:jc w:val="both"/>
        <w:rPr>
          <w:lang w:eastAsia="lt-LT"/>
        </w:rPr>
      </w:pPr>
      <w:r>
        <w:rPr>
          <w:lang w:eastAsia="lt-LT"/>
        </w:rPr>
        <w:t>3 pavyzdys</w:t>
      </w:r>
    </w:p>
    <w:tbl>
      <w:tblPr>
        <w:tblW w:w="9722" w:type="dxa"/>
        <w:tblLayout w:type="fixed"/>
        <w:tblCellMar>
          <w:left w:w="0" w:type="dxa"/>
          <w:right w:w="0" w:type="dxa"/>
        </w:tblCellMar>
        <w:tblLook w:val="04A0" w:firstRow="1" w:lastRow="0" w:firstColumn="1" w:lastColumn="0" w:noHBand="0" w:noVBand="1"/>
      </w:tblPr>
      <w:tblGrid>
        <w:gridCol w:w="9722"/>
      </w:tblGrid>
      <w:tr w:rsidR="00093845" w14:paraId="7F3E6AD6" w14:textId="77777777">
        <w:trPr>
          <w:trHeight w:val="1398"/>
        </w:trPr>
        <w:tc>
          <w:tcPr>
            <w:tcW w:w="97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C11F83" w14:textId="77777777" w:rsidR="00093845" w:rsidRDefault="000D779E">
            <w:pPr>
              <w:ind w:firstLine="709"/>
              <w:jc w:val="both"/>
              <w:rPr>
                <w:lang w:eastAsia="lt-LT"/>
              </w:rPr>
            </w:pPr>
            <w:r>
              <w:rPr>
                <w:lang w:eastAsia="lt-LT"/>
              </w:rPr>
              <w:t xml:space="preserve">Bendrovės akcininkė UAB „B” iš viso turėjo 2040 (12 proc.) šios bendrovės balsavimo teisę suteikiančių akcijų (1000 akcijų už 50 000 Eur įsigijo steigiant bendrovę, 440 akcijų įsigijo, sumokėdama naujų išleistų akcijų emisijos 24 200 Eur kainą, o kitas 600 akcijų gavo nemokamai, didinant įstatinį kapitalą iš bendrovės lėšų). Sumažinusi įstatinį kapitalą, Bendrovė apskaičiavo </w:t>
            </w:r>
            <w:r>
              <w:rPr>
                <w:lang w:eastAsia="lt-LT"/>
              </w:rPr>
              <w:lastRenderedPageBreak/>
              <w:t>UAB „B” mokėtiną 36 000 Eur (proporcingai jos turimų akcijų nominaliai vertei) lėšų sumą, anuliuodama jai priklausančių 720 akcijų, kurių nominali vertė 36 000 Eur.</w:t>
            </w:r>
          </w:p>
          <w:p w14:paraId="52E2C938" w14:textId="77777777" w:rsidR="00093845" w:rsidRDefault="000D779E">
            <w:pPr>
              <w:ind w:firstLine="709"/>
              <w:jc w:val="both"/>
              <w:rPr>
                <w:lang w:eastAsia="lt-LT"/>
              </w:rPr>
            </w:pPr>
            <w:r>
              <w:rPr>
                <w:lang w:eastAsia="lt-LT"/>
              </w:rPr>
              <w:t>Vadovaudamasi apskaitą reglamentuojančių teisės aktų nuostatomis, UAB „B” perleistų akcijų įsigijimo savikainai apskaičiuoti taiko FIFO būdą (taikant šį būdą laikoma, kad pirmiausia perleidžiamos anksčiau įsigytos akcijos). Šis būdas taikomas ir pelno mokesčio tikslais. Taikant FIFO būdą, dėl įstatinio kapitalo sumažinimo anuliuotų akcijų įsigijimo savikaina sudarys 36 000 Eur (50 000 Eur /1000*720).</w:t>
            </w:r>
          </w:p>
          <w:p w14:paraId="614E4115" w14:textId="77777777" w:rsidR="00093845" w:rsidRDefault="000D779E">
            <w:pPr>
              <w:ind w:firstLine="709"/>
              <w:jc w:val="both"/>
              <w:rPr>
                <w:lang w:eastAsia="lt-LT"/>
              </w:rPr>
            </w:pPr>
            <w:r>
              <w:rPr>
                <w:lang w:eastAsia="lt-LT"/>
              </w:rPr>
              <w:t>Kita Bendrovės akcininkė UAB „A” iš viso turėjo 850 (5 proc.) šios bendrovės akcijų. Bendrovė apskaičiavo UAB „A” mokėtiną 15 000 Eur (proporcingai jos turimų akcijų nominaliai vertei) lėšų sumą, anuliuodama jai priklausančių 300 akcijų, kurių nominali vertė 15 000 Eur.</w:t>
            </w:r>
          </w:p>
          <w:p w14:paraId="1223B75F" w14:textId="77777777" w:rsidR="00093845" w:rsidRDefault="000D779E">
            <w:pPr>
              <w:ind w:firstLine="709"/>
              <w:jc w:val="both"/>
              <w:rPr>
                <w:lang w:eastAsia="lt-LT"/>
              </w:rPr>
            </w:pPr>
            <w:r>
              <w:rPr>
                <w:lang w:eastAsia="lt-LT"/>
              </w:rPr>
              <w:t>UAB „A” nuolat perka/parduoda akcijas tiesiogiai rinkoje arba paveda jas pirkti/parduoti finansų makleriui per vertybinių popierių biržos nepertraukiamos prekybos sistemą. Dėl nuolatinių akcijų pirkimų/pardavimų operacijų UAB „A” negali nustatyti akcijų perleidimo eiliškumo, todėl vadovaudamasi apskaitą reglamentuojančių teisės aktų nuostatomis, perleistų vertybinių popierių (akcijų) įsigijimo savikainai nustatyti taiko vidutinio svertinio vidurkio būdą. Šis būdas taip pat gali būti taikomas pelno mokesčio tikslais (dėl įstatinio kapitalo mažinimo anuliuotų Bendrovės akcijų įsigijimo savikainai nustatyti).</w:t>
            </w:r>
          </w:p>
        </w:tc>
      </w:tr>
    </w:tbl>
    <w:p w14:paraId="18957DD8" w14:textId="77777777" w:rsidR="00093845" w:rsidRDefault="000D779E">
      <w:pPr>
        <w:pStyle w:val="Antrat1"/>
        <w:ind w:firstLine="709"/>
        <w:jc w:val="both"/>
        <w:rPr>
          <w:rFonts w:ascii="Times New Roman" w:hAnsi="Times New Roman" w:cs="Times New Roman"/>
          <w:b w:val="0"/>
          <w:bCs w:val="0"/>
          <w:color w:val="000000"/>
          <w:lang w:val="lt-LT"/>
        </w:rPr>
      </w:pPr>
      <w:r>
        <w:rPr>
          <w:rFonts w:ascii="Times New Roman" w:hAnsi="Times New Roman" w:cs="Times New Roman"/>
          <w:b w:val="0"/>
          <w:bCs w:val="0"/>
          <w:color w:val="000000"/>
          <w:lang w:val="lt-LT"/>
        </w:rPr>
        <w:lastRenderedPageBreak/>
        <w:t xml:space="preserve">       </w:t>
      </w:r>
    </w:p>
    <w:p w14:paraId="3A0982BD" w14:textId="77777777" w:rsidR="009A0217" w:rsidRDefault="000D779E" w:rsidP="009A0217">
      <w:pPr>
        <w:pStyle w:val="normal-p"/>
        <w:shd w:val="clear" w:color="auto" w:fill="FFFFFF"/>
        <w:spacing w:before="0" w:beforeAutospacing="0" w:after="0" w:afterAutospacing="0" w:line="300" w:lineRule="atLeast"/>
        <w:ind w:firstLine="709"/>
        <w:jc w:val="both"/>
        <w:rPr>
          <w:rFonts w:ascii="Arial" w:hAnsi="Arial" w:cs="Arial"/>
          <w:sz w:val="20"/>
          <w:szCs w:val="20"/>
          <w:shd w:val="clear" w:color="auto" w:fill="FFFFFF"/>
        </w:rPr>
      </w:pPr>
      <w:r>
        <w:rPr>
          <w:color w:val="000000"/>
        </w:rPr>
        <w:t xml:space="preserve"> </w:t>
      </w:r>
      <w:r w:rsidR="009A0217">
        <w:t xml:space="preserve">4. </w:t>
      </w:r>
      <w:r w:rsidR="009A0217" w:rsidRPr="00DA5C51">
        <w:t xml:space="preserve">Pagal PMĮ 12 str. 15 punktą neapmokestinamos turto vertės padidėjimo pajamos už perleistas nustatytas sąlygas atitinkančias </w:t>
      </w:r>
      <w:r w:rsidR="009A0217" w:rsidRPr="00AA301B">
        <w:t xml:space="preserve">akcijas. Tais atvejais, kai dėl tokių akcijų perleidimo apskaičiuojami nuostoliai, šie nuostoliai </w:t>
      </w:r>
      <w:r w:rsidR="009A0217" w:rsidRPr="00AA301B">
        <w:rPr>
          <w:shd w:val="clear" w:color="auto" w:fill="FFFFFF"/>
        </w:rPr>
        <w:t>neatskaitomi ir</w:t>
      </w:r>
      <w:r w:rsidR="009A0217">
        <w:rPr>
          <w:color w:val="FF0000"/>
          <w:shd w:val="clear" w:color="auto" w:fill="FFFFFF"/>
        </w:rPr>
        <w:t xml:space="preserve"> </w:t>
      </w:r>
      <w:r w:rsidR="009A0217" w:rsidRPr="00AA301B">
        <w:rPr>
          <w:color w:val="000000"/>
          <w:shd w:val="clear" w:color="auto" w:fill="FFFFFF"/>
        </w:rPr>
        <w:t>į kitus mokestinius metus </w:t>
      </w:r>
      <w:r w:rsidR="009A0217" w:rsidRPr="00AA301B">
        <w:rPr>
          <w:strike/>
          <w:color w:val="000000"/>
          <w:shd w:val="clear" w:color="auto" w:fill="FFFFFF"/>
        </w:rPr>
        <w:t xml:space="preserve"> </w:t>
      </w:r>
      <w:r w:rsidR="009A0217" w:rsidRPr="00AA301B">
        <w:rPr>
          <w:shd w:val="clear" w:color="auto" w:fill="FFFFFF"/>
        </w:rPr>
        <w:t>neperkeliami.</w:t>
      </w:r>
      <w:r w:rsidR="009A0217" w:rsidRPr="00AA301B">
        <w:rPr>
          <w:rFonts w:ascii="Arial" w:hAnsi="Arial" w:cs="Arial"/>
          <w:sz w:val="20"/>
          <w:szCs w:val="20"/>
          <w:shd w:val="clear" w:color="auto" w:fill="FFFFFF"/>
        </w:rPr>
        <w:t xml:space="preserve"> </w:t>
      </w:r>
    </w:p>
    <w:p w14:paraId="19E95A23" w14:textId="77777777" w:rsidR="009A0217" w:rsidRPr="00D0716C" w:rsidRDefault="009A0217" w:rsidP="009A0217">
      <w:pPr>
        <w:pStyle w:val="prastasiniatinklio"/>
        <w:spacing w:before="0" w:beforeAutospacing="0" w:after="0" w:afterAutospacing="0"/>
        <w:ind w:firstLine="709"/>
        <w:jc w:val="both"/>
      </w:pPr>
      <w:r w:rsidRPr="00D0716C">
        <w:t xml:space="preserve">Šios dalies nuostatos taikomos tokia tvarka: </w:t>
      </w:r>
    </w:p>
    <w:p w14:paraId="2833C383" w14:textId="77777777" w:rsidR="009A0217" w:rsidRPr="00AA301B" w:rsidRDefault="009A0217" w:rsidP="009A0217">
      <w:pPr>
        <w:pStyle w:val="prastasiniatinklio"/>
        <w:spacing w:before="0" w:beforeAutospacing="0" w:after="0" w:afterAutospacing="0"/>
        <w:ind w:firstLine="709"/>
        <w:jc w:val="both"/>
      </w:pPr>
      <w:r w:rsidRPr="00DA5C51">
        <w:t>4.1.</w:t>
      </w:r>
      <w:r w:rsidRPr="00DA5C51">
        <w:rPr>
          <w:rFonts w:ascii="Arial" w:hAnsi="Arial" w:cs="Arial"/>
          <w:b/>
          <w:sz w:val="20"/>
          <w:szCs w:val="20"/>
          <w:shd w:val="clear" w:color="auto" w:fill="FFFFFF"/>
        </w:rPr>
        <w:t xml:space="preserve"> </w:t>
      </w:r>
      <w:r w:rsidRPr="00D0716C">
        <w:t xml:space="preserve">Iš apmokestinamųjų vertybinių popierių </w:t>
      </w:r>
      <w:r w:rsidRPr="00AA301B">
        <w:t xml:space="preserve">pajamų neatskaitomi akcijų perleidimo nuostoliai, susidarę, kai: </w:t>
      </w:r>
    </w:p>
    <w:p w14:paraId="64E0476A" w14:textId="77777777" w:rsidR="009A0217" w:rsidRPr="00D0716C" w:rsidRDefault="009A0217" w:rsidP="009A0217">
      <w:pPr>
        <w:pStyle w:val="prastasiniatinklio"/>
        <w:spacing w:before="0" w:beforeAutospacing="0" w:after="0" w:afterAutospacing="0"/>
        <w:ind w:firstLine="709"/>
        <w:jc w:val="both"/>
        <w:rPr>
          <w:rStyle w:val="Grietas"/>
          <w:b w:val="0"/>
        </w:rPr>
      </w:pPr>
      <w:r w:rsidRPr="00D0716C">
        <w:t>- perleidžiamos Lietuvos vieneto, kuris yra pelno mokesčio mokėtojas, akcijos,</w:t>
      </w:r>
      <w:r w:rsidRPr="00D0716C">
        <w:rPr>
          <w:rStyle w:val="Grietas"/>
        </w:rPr>
        <w:t xml:space="preserve"> arba</w:t>
      </w:r>
    </w:p>
    <w:p w14:paraId="0B208AA6" w14:textId="77777777" w:rsidR="009A0217" w:rsidRPr="00D0716C" w:rsidRDefault="009A0217" w:rsidP="009A0217">
      <w:pPr>
        <w:pStyle w:val="prastasiniatinklio"/>
        <w:spacing w:before="0" w:beforeAutospacing="0" w:after="0" w:afterAutospacing="0"/>
        <w:ind w:firstLine="709"/>
        <w:jc w:val="both"/>
      </w:pPr>
      <w:r w:rsidRPr="00D0716C">
        <w:rPr>
          <w:rStyle w:val="Grietas"/>
        </w:rPr>
        <w:t xml:space="preserve">- </w:t>
      </w:r>
      <w:r w:rsidRPr="00D0716C">
        <w:t xml:space="preserve">užsienio vieneto, kuris yra pelno mokesčio ar jam tapataus mokesčio mokėtojas, įregistruotas ar kitaip organizuotas Europos ekonominės erdvės valstybėje arba valstybėje, su kuria sudaryta ir taikoma dvigubo apmokestinimo išvengimo sutartis (toliau – užsienio vienetai), akcijos, </w:t>
      </w:r>
      <w:r w:rsidRPr="00D0716C">
        <w:rPr>
          <w:rStyle w:val="Grietas"/>
        </w:rPr>
        <w:t>ir</w:t>
      </w:r>
    </w:p>
    <w:p w14:paraId="7A73AD4F" w14:textId="77777777" w:rsidR="009A0217" w:rsidRPr="00771225" w:rsidRDefault="009A0217" w:rsidP="009A0217">
      <w:pPr>
        <w:pStyle w:val="prastasiniatinklio"/>
        <w:spacing w:before="0" w:beforeAutospacing="0" w:after="0" w:afterAutospacing="0"/>
        <w:ind w:firstLine="709"/>
        <w:jc w:val="both"/>
      </w:pPr>
      <w:r w:rsidRPr="00B74D8E">
        <w:t xml:space="preserve">- akcijas perleidžiantis </w:t>
      </w:r>
      <w:r>
        <w:t xml:space="preserve">vienetas </w:t>
      </w:r>
      <w:r w:rsidRPr="00B74D8E">
        <w:t xml:space="preserve">tame vienete, </w:t>
      </w:r>
      <w:r w:rsidRPr="00771225">
        <w:t xml:space="preserve">kurio akcijas jis perleidžia, turėjo daugiau kaip  10 proc. balsus suteikiančių akcijų ne trumpiau kaip 2 metus be pertraukų, </w:t>
      </w:r>
      <w:r w:rsidRPr="00771225">
        <w:rPr>
          <w:b/>
          <w:shd w:val="clear" w:color="auto" w:fill="FFFFFF"/>
        </w:rPr>
        <w:t>arba</w:t>
      </w:r>
    </w:p>
    <w:p w14:paraId="42CCB9F1" w14:textId="77777777" w:rsidR="009A0217" w:rsidRPr="00771225" w:rsidRDefault="009A0217" w:rsidP="009A0217">
      <w:pPr>
        <w:pStyle w:val="prastasiniatinklio"/>
        <w:spacing w:before="0" w:beforeAutospacing="0" w:after="0" w:afterAutospacing="0"/>
        <w:ind w:firstLine="709"/>
        <w:jc w:val="both"/>
      </w:pPr>
      <w:r w:rsidRPr="00771225">
        <w:rPr>
          <w:b/>
          <w:shd w:val="clear" w:color="auto" w:fill="FFFFFF"/>
        </w:rPr>
        <w:t xml:space="preserve">- </w:t>
      </w:r>
      <w:r w:rsidRPr="00AA301B">
        <w:rPr>
          <w:shd w:val="clear" w:color="auto" w:fill="FFFFFF"/>
        </w:rPr>
        <w:t>jei akcijos buvo perleistos PMĮ 41 straipsnio 2 dalyje nurodytais reorganizavimo ar </w:t>
      </w:r>
      <w:r w:rsidRPr="00AA301B">
        <w:rPr>
          <w:color w:val="000000"/>
          <w:shd w:val="clear" w:color="auto" w:fill="FFFFFF"/>
        </w:rPr>
        <w:t>perleidimo </w:t>
      </w:r>
      <w:r w:rsidRPr="00AA301B">
        <w:rPr>
          <w:shd w:val="clear" w:color="auto" w:fill="FFFFFF"/>
        </w:rPr>
        <w:t>atvejais, akcijas perleidžiantis vienetas ne trumpiau kaip 3 metus be pertraukų turėjo daugiau kaip 10 procentų balsus suteikiančių šio vieneto akcijų,</w:t>
      </w:r>
      <w:r w:rsidRPr="00AA301B">
        <w:t xml:space="preserve"> </w:t>
      </w:r>
      <w:r w:rsidRPr="00AA301B">
        <w:rPr>
          <w:b/>
        </w:rPr>
        <w:t>ir</w:t>
      </w:r>
      <w:r w:rsidRPr="00771225">
        <w:t xml:space="preserve"> </w:t>
      </w:r>
    </w:p>
    <w:p w14:paraId="43063156" w14:textId="77777777" w:rsidR="009A0217" w:rsidRPr="00771225" w:rsidRDefault="009A0217" w:rsidP="009A0217">
      <w:pPr>
        <w:pStyle w:val="prastasiniatinklio"/>
        <w:spacing w:before="0" w:beforeAutospacing="0" w:after="0" w:afterAutospacing="0"/>
        <w:ind w:firstLine="709"/>
        <w:jc w:val="both"/>
      </w:pPr>
      <w:r w:rsidRPr="00771225">
        <w:t xml:space="preserve">- akcijos perleidžiamos kitam vienetui ar fiziniam asmeniui. </w:t>
      </w:r>
    </w:p>
    <w:p w14:paraId="5F9F8176" w14:textId="77777777" w:rsidR="009A0217" w:rsidRPr="00AA301B" w:rsidRDefault="009A0217" w:rsidP="009A0217">
      <w:pPr>
        <w:pStyle w:val="prastasiniatinklio"/>
        <w:spacing w:before="0" w:beforeAutospacing="0" w:after="0" w:afterAutospacing="0"/>
        <w:ind w:firstLine="709"/>
        <w:jc w:val="both"/>
        <w:rPr>
          <w:rFonts w:ascii="Arial" w:hAnsi="Arial" w:cs="Arial"/>
          <w:sz w:val="20"/>
          <w:szCs w:val="20"/>
          <w:shd w:val="clear" w:color="auto" w:fill="FFFFFF"/>
        </w:rPr>
      </w:pPr>
      <w:r w:rsidRPr="00AA301B">
        <w:rPr>
          <w:shd w:val="clear" w:color="auto" w:fill="FFFFFF"/>
        </w:rPr>
        <w:t>Į šioje dalyje nustatytus akcijų išlaikymo terminus neatsižvelgiama tais atvejais, kai akcijos perleidžiamos dėl teisės aktų reikalavimų.</w:t>
      </w:r>
      <w:r w:rsidRPr="00AA301B">
        <w:rPr>
          <w:rFonts w:ascii="Arial" w:hAnsi="Arial" w:cs="Arial"/>
          <w:sz w:val="20"/>
          <w:szCs w:val="20"/>
          <w:shd w:val="clear" w:color="auto" w:fill="FFFFFF"/>
        </w:rPr>
        <w:t xml:space="preserve"> </w:t>
      </w:r>
    </w:p>
    <w:p w14:paraId="0536882D" w14:textId="77777777" w:rsidR="009A0217" w:rsidRDefault="009A0217" w:rsidP="009A0217">
      <w:pPr>
        <w:pStyle w:val="prastasiniatinklio"/>
        <w:spacing w:before="0" w:beforeAutospacing="0" w:after="0" w:afterAutospacing="0"/>
        <w:ind w:firstLine="709"/>
        <w:jc w:val="both"/>
      </w:pPr>
      <w:r w:rsidRPr="00771225">
        <w:t>Šioje dalyje perleidžiamoms akcijoms ir tas akcijas perleidžiantiems</w:t>
      </w:r>
      <w:r w:rsidRPr="00B74D8E">
        <w:t xml:space="preserve"> vienetams nustatytos sąlygos yra analogiškos kaip PMĮ 12 str. 15 punkte (žiūrėkite PMĮ 12 str. 15 punkto komentarą). </w:t>
      </w:r>
    </w:p>
    <w:p w14:paraId="1812E6F0" w14:textId="77777777" w:rsidR="00120B76" w:rsidRPr="00B74D8E" w:rsidRDefault="00120B76" w:rsidP="009A0217">
      <w:pPr>
        <w:pStyle w:val="prastasiniatinklio"/>
        <w:spacing w:before="0" w:beforeAutospacing="0" w:after="0" w:afterAutospacing="0"/>
        <w:ind w:firstLine="709"/>
        <w:jc w:val="both"/>
      </w:pPr>
    </w:p>
    <w:p w14:paraId="28324EB2" w14:textId="77777777" w:rsidR="00093845" w:rsidRDefault="000D779E" w:rsidP="00120B76">
      <w:pPr>
        <w:pStyle w:val="prastasiniatinklio"/>
        <w:spacing w:before="0" w:beforeAutospacing="0" w:after="0" w:afterAutospacing="0"/>
        <w:ind w:firstLine="709"/>
        <w:jc w:val="both"/>
      </w:pPr>
      <w:r>
        <w:t xml:space="preserve">  </w:t>
      </w:r>
    </w:p>
    <w:p w14:paraId="2D01BD69" w14:textId="77777777" w:rsidR="00093845" w:rsidRDefault="000D779E">
      <w:pPr>
        <w:pStyle w:val="prastasiniatinklio"/>
        <w:ind w:firstLine="709"/>
        <w:jc w:val="both"/>
      </w:pPr>
      <w:r>
        <w:t xml:space="preserve">        Pavyzdys </w:t>
      </w:r>
    </w:p>
    <w:p w14:paraId="36CC2835" w14:textId="77777777" w:rsidR="00120B76" w:rsidRPr="00AA301B" w:rsidRDefault="00120B76" w:rsidP="00120B76">
      <w:pPr>
        <w:pStyle w:val="prastasiniatinklio"/>
        <w:pBdr>
          <w:top w:val="single" w:sz="4" w:space="1" w:color="auto"/>
          <w:left w:val="single" w:sz="4" w:space="4" w:color="auto"/>
          <w:bottom w:val="single" w:sz="4" w:space="1" w:color="auto"/>
          <w:right w:val="single" w:sz="4" w:space="4" w:color="auto"/>
        </w:pBdr>
        <w:ind w:firstLine="709"/>
        <w:jc w:val="both"/>
      </w:pPr>
      <w:r w:rsidRPr="00855BD9">
        <w:t>2016 m. kovo 23 d. akcinė bendrovė ,,A“ (toliau - bendrovė ,,A“) nuosavybės teise už 800 000 Eur įsigijo 10 000 vnt. uždarosios akcinės bendrovės ,,B“ (toliau - bendrovė ,,B“) akcijų, kurios sudarė 11 proc. šios bendrovės balsų teisę suteikiančių akcijų</w:t>
      </w:r>
      <w:r>
        <w:t xml:space="preserve"> </w:t>
      </w:r>
      <w:r w:rsidRPr="00AA301B">
        <w:t xml:space="preserve">ir už 100 000 Eur įsigijo 1000 vnt. uždarosios </w:t>
      </w:r>
      <w:r w:rsidRPr="00AA301B">
        <w:lastRenderedPageBreak/>
        <w:t xml:space="preserve">akcinės bendrovės ,,C“ (toliau - bendrovė ,,C“) akcijų, kurios sudarė 15 proc. šios bendrovės balsų teisę suteikiančių akcijų. </w:t>
      </w:r>
    </w:p>
    <w:p w14:paraId="512F4288" w14:textId="77777777" w:rsidR="00120B76" w:rsidRDefault="00120B76" w:rsidP="00120B76">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line="240" w:lineRule="auto"/>
        <w:ind w:firstLine="709"/>
        <w:jc w:val="both"/>
      </w:pPr>
      <w:r w:rsidRPr="00AA301B">
        <w:t>2020 m. balandžio</w:t>
      </w:r>
      <w:r w:rsidRPr="00855BD9">
        <w:t xml:space="preserve"> 27 d. bendrovė ,,A“ pardavė </w:t>
      </w:r>
      <w:r w:rsidRPr="00AA301B">
        <w:t>visas bendrovės ,,B“ akcijas už 700 000 Eur. Kadangi bendrovė ,,A“ ne trumpiau kaip 2 metus be pertraukų turėjo daugiau</w:t>
      </w:r>
      <w:r w:rsidRPr="00855BD9">
        <w:t xml:space="preserve"> kaip </w:t>
      </w:r>
      <w:r>
        <w:t>10</w:t>
      </w:r>
      <w:r w:rsidRPr="00855BD9">
        <w:t xml:space="preserve"> proc. bendrovės ,,B“ balsų teisę suteikiančių akcijų, todėl 100 000 Eur (700 000 Eur – 800 000 Eur) akcijų perleidimo nuostoliai galėtų būti atskaitomi iš mokestiniu laikotarpiu uždirbtų apmokestinamųjų vertybinių popierių perleidimo pajamų. Tarkime, kad tais pačiais metais bendrovė ,,A“ pardavė kitų - trumpalaikių ir ilgalaikių vertybinių popierių, kurių pardavimo pajamos priskiriamos apmokestinamosioms pajamoms (t. y. netaikomas PMĮ 12 str. 15 punktas) ir iš tokių vertybinių popierių </w:t>
      </w:r>
      <w:r w:rsidRPr="00AA301B">
        <w:t>perleidimo apskaičiavo 80 000 Eur turto vertės padidėjimo pajamų. Apskaičiuojant bendrovės ,,A“ 2020 mokestinių metų apmokestinamąjį pelną, iš apmokestinamųjų vertybinių popierių turto vertės padidėjimo 80 000 Eur pajamų sumos gali būti atskaitomas 80 000 Eur nuostoliai, patirti dėl minėtų bendrovės</w:t>
      </w:r>
      <w:r w:rsidRPr="00855BD9">
        <w:t xml:space="preserve"> ,,B“ akcijų, perleidimo. Likusi 20 000 Eur dydžio akcijų perleidimo nuostolių dalis iš pajamų neatskaitoma ir kitus mokestinius metus neperkeliama. </w:t>
      </w:r>
    </w:p>
    <w:p w14:paraId="1D184DF9" w14:textId="77777777" w:rsidR="00120B76" w:rsidRDefault="00120B76" w:rsidP="00120B76">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line="240" w:lineRule="auto"/>
        <w:ind w:firstLine="709"/>
        <w:jc w:val="both"/>
      </w:pPr>
      <w:r w:rsidRPr="00AA301B">
        <w:t xml:space="preserve">2021 m. sausio 10 d. bendrovė ,,A“ pardavė visas bendrovė ,,C“ akcijas už 60 000 Eur. Kadangi bendrovė ,,A“ ne trumpiau kaip 2 metus be pertraukų turėjo daugiau kaip 10 proc. bendrovės ,,C“ balsų teisę suteikiančių akcijų, todėl 40 000 Eur (100 000 Eur – 60 000 Eur) akcijų perleidimo nuostoliai iš pajamų </w:t>
      </w:r>
      <w:r w:rsidRPr="00AA301B">
        <w:rPr>
          <w:shd w:val="clear" w:color="auto" w:fill="FFFFFF"/>
        </w:rPr>
        <w:t>neatskaitomi ir</w:t>
      </w:r>
      <w:r w:rsidRPr="00AA301B">
        <w:rPr>
          <w:color w:val="FF0000"/>
          <w:shd w:val="clear" w:color="auto" w:fill="FFFFFF"/>
        </w:rPr>
        <w:t xml:space="preserve"> </w:t>
      </w:r>
      <w:r w:rsidRPr="00AA301B">
        <w:rPr>
          <w:color w:val="000000"/>
          <w:shd w:val="clear" w:color="auto" w:fill="FFFFFF"/>
        </w:rPr>
        <w:t>į kitus mokestinius metus </w:t>
      </w:r>
      <w:r w:rsidRPr="00AA301B">
        <w:rPr>
          <w:shd w:val="clear" w:color="auto" w:fill="FFFFFF"/>
        </w:rPr>
        <w:t>neperkeliami.</w:t>
      </w:r>
      <w:r w:rsidRPr="00AA301B">
        <w:rPr>
          <w:rFonts w:ascii="Arial" w:hAnsi="Arial" w:cs="Arial"/>
          <w:sz w:val="20"/>
          <w:szCs w:val="20"/>
          <w:shd w:val="clear" w:color="auto" w:fill="FFFFFF"/>
        </w:rPr>
        <w:t xml:space="preserve"> </w:t>
      </w:r>
      <w:r w:rsidRPr="00AA301B">
        <w:t xml:space="preserve">Tarkime, kad tais pačiais metais bendrovė ,,A“ pardavė kitų - trumpalaikių ir ilgalaikių vertybinių popierių, kurių pardavimo pajamos priskiriamos apmokestinamosioms pajamoms (t. y. netaikomas PMĮ 12 str. 15 punktas) ir iš tokių vertybinių popierių perleidimo apskaičiavo 100 000 Eur turto vertės padidėjimo pajamų. Apskaičiuojant bendrovės ,,A“ 2021 mokestinių metų apmokestinamąjį pelną, nuostoliai, patirti dėl minėtų bendrovės ,,C“ akcijų perleidimo (40 000 Eur), iš apmokestinamųjų vertybinių popierių turto vertės padidėjimo 100 000 Eur pajamų sumos neatskaitomi </w:t>
      </w:r>
      <w:r w:rsidRPr="00AA301B">
        <w:rPr>
          <w:shd w:val="clear" w:color="auto" w:fill="FFFFFF"/>
        </w:rPr>
        <w:t xml:space="preserve">ir </w:t>
      </w:r>
      <w:r w:rsidRPr="00AA301B">
        <w:rPr>
          <w:color w:val="000000"/>
          <w:shd w:val="clear" w:color="auto" w:fill="FFFFFF"/>
        </w:rPr>
        <w:t>į kitus mokestinius metus</w:t>
      </w:r>
      <w:r w:rsidRPr="00AA301B">
        <w:rPr>
          <w:strike/>
          <w:color w:val="000000"/>
          <w:shd w:val="clear" w:color="auto" w:fill="FFFFFF"/>
        </w:rPr>
        <w:t xml:space="preserve"> </w:t>
      </w:r>
      <w:r w:rsidRPr="00AA301B">
        <w:rPr>
          <w:shd w:val="clear" w:color="auto" w:fill="FFFFFF"/>
        </w:rPr>
        <w:t>neperkeliami.</w:t>
      </w:r>
      <w:r w:rsidRPr="00AA301B">
        <w:t xml:space="preserve"> </w:t>
      </w:r>
    </w:p>
    <w:p w14:paraId="487418E1" w14:textId="77777777" w:rsidR="00120B76" w:rsidRDefault="00120B76">
      <w:pPr>
        <w:pStyle w:val="prastasiniatinklio"/>
        <w:spacing w:before="0" w:beforeAutospacing="0" w:after="0" w:afterAutospacing="0"/>
        <w:ind w:firstLine="709"/>
        <w:jc w:val="both"/>
        <w:rPr>
          <w:strike/>
        </w:rPr>
      </w:pPr>
    </w:p>
    <w:p w14:paraId="28EB5E42" w14:textId="77777777" w:rsidR="00120B76" w:rsidRPr="00AA301B" w:rsidRDefault="00120B76" w:rsidP="00120B76">
      <w:pPr>
        <w:pStyle w:val="prastasiniatinklio"/>
        <w:spacing w:before="0" w:beforeAutospacing="0" w:after="0" w:afterAutospacing="0"/>
        <w:ind w:firstLine="709"/>
        <w:jc w:val="both"/>
        <w:rPr>
          <w:bCs/>
        </w:rPr>
      </w:pPr>
      <w:r w:rsidRPr="00385921">
        <w:t>4.</w:t>
      </w:r>
      <w:r w:rsidRPr="00AA301B">
        <w:t xml:space="preserve">2 </w:t>
      </w:r>
      <w:r w:rsidRPr="00AA301B">
        <w:rPr>
          <w:shd w:val="clear" w:color="auto" w:fill="FFFFFF"/>
        </w:rPr>
        <w:t>Šioje dalyje nurodyta taisyklė dėl nuostolių neatskaitymo ir neperkėlimo netaikoma tuo atveju</w:t>
      </w:r>
      <w:r w:rsidRPr="00AA301B">
        <w:t xml:space="preserve">, kai </w:t>
      </w:r>
      <w:r w:rsidRPr="00AA301B">
        <w:rPr>
          <w:bCs/>
        </w:rPr>
        <w:t xml:space="preserve">akcijas perleidžiantis vienetas jas perleidžia šias akcijas išleidusiam vienetui (pvz., akcinei bendrovei įsigyjančiai savo akcijas, investicinei kintamojo kapitalo bendrovei jos dalyvio reikalavimu akcijas išperkant) arba akcijų anuliavimo atveju. </w:t>
      </w:r>
    </w:p>
    <w:p w14:paraId="688BE0BE" w14:textId="77777777" w:rsidR="00120B76" w:rsidRPr="00AA301B" w:rsidRDefault="00120B76" w:rsidP="00120B76">
      <w:pPr>
        <w:pStyle w:val="prastasiniatinklio"/>
        <w:spacing w:before="0" w:beforeAutospacing="0" w:after="0" w:afterAutospacing="0"/>
        <w:ind w:firstLine="709"/>
        <w:jc w:val="both"/>
      </w:pPr>
      <w:r w:rsidRPr="00AA301B">
        <w:t xml:space="preserve">4.3 </w:t>
      </w:r>
      <w:r w:rsidRPr="00AA301B">
        <w:rPr>
          <w:shd w:val="clear" w:color="auto" w:fill="FFFFFF"/>
        </w:rPr>
        <w:t xml:space="preserve">Šioje dalyje nurodyta taisyklė dėl nuostolių neatskaitymo ir neperkėlimo </w:t>
      </w:r>
      <w:r w:rsidRPr="00AA301B">
        <w:t>taip pat netaikoma likviduojamo vieneto dalyvio nuostoliams, pripažįstamiems pagal PMĮ 45 str. 2 dalį, taip pat vieneto dalyvio nuostoliams, susidariusiems dėl akcijų anuliavimo mažina</w:t>
      </w:r>
      <w:r>
        <w:t>nt to vieneto įstatinį kapitalą</w:t>
      </w:r>
      <w:r w:rsidRPr="00AA301B">
        <w:t xml:space="preserve"> (žr. PMĮ 45 str. 2 dalies komentarą).</w:t>
      </w:r>
    </w:p>
    <w:p w14:paraId="5939BFE6" w14:textId="77777777" w:rsidR="00120B76" w:rsidRPr="00AA301B" w:rsidRDefault="00120B76" w:rsidP="00120B76">
      <w:pPr>
        <w:tabs>
          <w:tab w:val="left" w:pos="720"/>
          <w:tab w:val="left" w:pos="1077"/>
          <w:tab w:val="left" w:pos="1418"/>
        </w:tabs>
        <w:ind w:firstLine="720"/>
        <w:jc w:val="both"/>
        <w:rPr>
          <w:lang w:val="lt-LT"/>
        </w:rPr>
      </w:pPr>
      <w:r w:rsidRPr="00AA301B">
        <w:rPr>
          <w:lang w:val="lt-LT"/>
        </w:rPr>
        <w:t xml:space="preserve">4.4 </w:t>
      </w:r>
      <w:r w:rsidRPr="00AA301B">
        <w:rPr>
          <w:shd w:val="clear" w:color="auto" w:fill="FFFFFF"/>
          <w:lang w:val="lt-LT"/>
        </w:rPr>
        <w:t xml:space="preserve">Šioje dalyje nurodyta taisyklė dėl nuostolių neatskaitymo ir neperkėlimo </w:t>
      </w:r>
      <w:r w:rsidRPr="00AA301B">
        <w:rPr>
          <w:lang w:val="lt-LT"/>
        </w:rPr>
        <w:t>taikoma, ir tais atvejais, kai perleidžiamos turimos teisės į rizikos ir privataus kapitalo subjektų paskirstytinojo pelno dalį.“</w:t>
      </w:r>
    </w:p>
    <w:p w14:paraId="1783C375" w14:textId="77777777" w:rsidR="008F1380" w:rsidRDefault="008F1380" w:rsidP="008F1380">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34EE1E5F" w14:textId="77777777" w:rsidR="00120B76" w:rsidRDefault="00120B76">
      <w:pPr>
        <w:pStyle w:val="prastasiniatinklio"/>
        <w:spacing w:before="0" w:beforeAutospacing="0" w:after="0" w:afterAutospacing="0"/>
        <w:ind w:firstLine="709"/>
        <w:jc w:val="both"/>
        <w:rPr>
          <w:bCs/>
          <w:color w:val="000000"/>
        </w:rPr>
      </w:pPr>
    </w:p>
    <w:p w14:paraId="2E0FE533" w14:textId="77777777" w:rsidR="00093845" w:rsidRDefault="000D779E">
      <w:pPr>
        <w:pStyle w:val="Antrat1"/>
        <w:ind w:firstLine="709"/>
        <w:jc w:val="both"/>
        <w:rPr>
          <w:rFonts w:ascii="Times New Roman" w:hAnsi="Times New Roman" w:cs="Times New Roman"/>
          <w:b w:val="0"/>
          <w:lang w:val="lt-LT"/>
        </w:rPr>
      </w:pPr>
      <w:r>
        <w:rPr>
          <w:rFonts w:ascii="Times New Roman" w:hAnsi="Times New Roman" w:cs="Times New Roman"/>
          <w:b w:val="0"/>
          <w:bCs w:val="0"/>
          <w:color w:val="000000"/>
          <w:lang w:val="lt-LT"/>
        </w:rPr>
        <w:t>5.</w:t>
      </w:r>
      <w:r>
        <w:rPr>
          <w:rFonts w:ascii="Times New Roman" w:hAnsi="Times New Roman" w:cs="Times New Roman"/>
          <w:b w:val="0"/>
          <w:lang w:val="lt-LT"/>
        </w:rPr>
        <w:t xml:space="preserve"> Vadovaujantis PMĮ 12 straipsnio 5 punkto ir 16 punkto nuostatomis,</w:t>
      </w:r>
      <w:r>
        <w:rPr>
          <w:rFonts w:ascii="Times New Roman" w:hAnsi="Times New Roman" w:cs="Times New Roman"/>
          <w:b w:val="0"/>
          <w:color w:val="000000"/>
          <w:shd w:val="clear" w:color="auto" w:fill="FFFFFF"/>
          <w:lang w:val="lt-LT"/>
        </w:rPr>
        <w:t xml:space="preserve"> kolektyvinio investavimo subjektų,</w:t>
      </w:r>
      <w:r>
        <w:rPr>
          <w:rFonts w:ascii="Times New Roman" w:hAnsi="Times New Roman" w:cs="Times New Roman"/>
          <w:b w:val="0"/>
          <w:bCs w:val="0"/>
          <w:color w:val="000000"/>
          <w:shd w:val="clear" w:color="auto" w:fill="FFFFFF"/>
          <w:lang w:val="lt-LT"/>
        </w:rPr>
        <w:t> </w:t>
      </w:r>
      <w:r>
        <w:rPr>
          <w:rFonts w:ascii="Times New Roman" w:hAnsi="Times New Roman" w:cs="Times New Roman"/>
          <w:b w:val="0"/>
          <w:color w:val="000000"/>
          <w:shd w:val="clear" w:color="auto" w:fill="FFFFFF"/>
          <w:lang w:val="lt-LT"/>
        </w:rPr>
        <w:t>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w:t>
      </w:r>
      <w:r>
        <w:rPr>
          <w:rFonts w:ascii="Times New Roman" w:hAnsi="Times New Roman" w:cs="Times New Roman"/>
          <w:b w:val="0"/>
          <w:lang w:val="lt-LT"/>
        </w:rPr>
        <w:t xml:space="preserve"> bei draudimo įmonių draudimo investicinės pajamos (apskaičiuojant 2014 metų ir vėlesnių metų mokestinių laikotarpių pelno mokestį, tik gyvybės draudimo investicinės pajamos),</w:t>
      </w:r>
      <w:r>
        <w:rPr>
          <w:rFonts w:ascii="Times New Roman" w:hAnsi="Times New Roman" w:cs="Times New Roman"/>
          <w:b w:val="0"/>
          <w:color w:val="000000"/>
          <w:lang w:val="lt-LT"/>
        </w:rPr>
        <w:t xml:space="preserve"> išskyrus dividendus ir kitą paskirstytąjį pelną, </w:t>
      </w:r>
      <w:r>
        <w:rPr>
          <w:rFonts w:ascii="Times New Roman" w:hAnsi="Times New Roman" w:cs="Times New Roman"/>
          <w:b w:val="0"/>
          <w:lang w:val="lt-LT"/>
        </w:rPr>
        <w:t xml:space="preserve">priskiriamos neapmokestinamosioms pajamoms (žr. PMĮ 12 straipsnio 5 ir 16 punkto komentarus). Investicinės veiklos pajamoms priskiriamos ir vertybinių popierių (įskaitant investicinių vienetų) bei išvestinių finansinių priemonių perleidimo pajamos. Pagal PMĮ 31 straipsnio 1 dalies 17 punktą neapmokestinamosioms pajamoms tenkantys leidžiami atskaitymai ir ribojamų dydžių leidžiami atskaitymai priskiriami neleidžiamiems </w:t>
      </w:r>
      <w:r>
        <w:rPr>
          <w:rFonts w:ascii="Times New Roman" w:hAnsi="Times New Roman" w:cs="Times New Roman"/>
          <w:b w:val="0"/>
          <w:lang w:val="lt-LT"/>
        </w:rPr>
        <w:lastRenderedPageBreak/>
        <w:t xml:space="preserve">atskaitymams, todėl minėtų </w:t>
      </w:r>
      <w:r>
        <w:rPr>
          <w:rFonts w:ascii="Times New Roman" w:hAnsi="Times New Roman" w:cs="Times New Roman"/>
          <w:b w:val="0"/>
          <w:color w:val="000000"/>
          <w:shd w:val="clear" w:color="auto" w:fill="FFFFFF"/>
          <w:lang w:val="lt-LT"/>
        </w:rPr>
        <w:t>kolektyvinio investavimo subjektų,</w:t>
      </w:r>
      <w:r>
        <w:rPr>
          <w:rFonts w:ascii="Times New Roman" w:hAnsi="Times New Roman" w:cs="Times New Roman"/>
          <w:b w:val="0"/>
          <w:bCs w:val="0"/>
          <w:color w:val="000000"/>
          <w:shd w:val="clear" w:color="auto" w:fill="FFFFFF"/>
          <w:lang w:val="lt-LT"/>
        </w:rPr>
        <w:t> </w:t>
      </w:r>
      <w:r>
        <w:rPr>
          <w:rFonts w:ascii="Times New Roman" w:hAnsi="Times New Roman" w:cs="Times New Roman"/>
          <w:b w:val="0"/>
          <w:color w:val="000000"/>
          <w:shd w:val="clear" w:color="auto" w:fill="FFFFFF"/>
          <w:lang w:val="lt-LT"/>
        </w:rPr>
        <w:t>rizikos ir privataus kapitalo subjektų</w:t>
      </w:r>
      <w:r>
        <w:rPr>
          <w:rFonts w:ascii="Times New Roman" w:hAnsi="Times New Roman" w:cs="Times New Roman"/>
          <w:b w:val="0"/>
          <w:lang w:val="lt-LT"/>
        </w:rPr>
        <w:t xml:space="preserve"> bei draudimo įmonių draudimo investicinių pajamų (apskaičiuojant 2014 metų ir vėlesnių metų mokestinių laikotarpių pelno mokestį, tik gyvybės draudimo investicinių pajamų) – vertybinių popierių (įskaitant investicinius vienetus) ir išvestinių finansinių priemonių perleidimo nuostoliai, apskaičiuojant apmokestinamąjį pelną, neatskaitomi iš apmokestinamųjų vertybinių popierių ir išvestinių finansinių priemonių perleidimo pajamų ir į kitus metus neperkeliami.</w:t>
      </w:r>
    </w:p>
    <w:p w14:paraId="32D8A254" w14:textId="77777777" w:rsidR="00093845" w:rsidRDefault="000D779E">
      <w:pPr>
        <w:pStyle w:val="prastasiniatinklio"/>
        <w:ind w:firstLine="720"/>
        <w:jc w:val="both"/>
        <w:rPr>
          <w:color w:val="000000"/>
        </w:rPr>
      </w:pPr>
      <w:r>
        <w:rPr>
          <w:color w:val="000000"/>
        </w:rPr>
        <w:t>6. Nuo 2018 metais prasidėjusio mokestinio laikotarpio ir vėlesniais mokestiniais laikotarpiais vadovaujantis PMĮ 12 straipsnio 18 punkto nuostatomis, pajamos, gautos iš kolektyvinio investavimo subjektų, kurie nėra įregistruoti ar kitaip organizuoti tikslinėse teritorijose, investicinių vienetų, akcijų ar įnašų turėjimo (išskyrus atvejus, kai tokios pajamos gaunamos iš užsienio vienetų, įregistruotų ar kitaip organizuotų tikslinėse teritorijose, ar iš tų teritorijų gyventojų),  priskiriamos neapmokestinamosioms pajamoms (žr. PMĮ 12 straipsnio 18 punkto komentarą). Pagal PMĮ 31 straipsnio 1 dalies 17 punktą neapmokestinamosioms pajamoms tenkantys leidžiami atskaitymai ir ribojamų dydžių leidžiami atskaitymai priskiriami neleidžiamiems atskaitymams, todėl minėtų vertybinių popierių (kolektyvinio investavimo subjektų, kurie nėra įregistruoti ar kitaip organizuoti tikslinėse teritorijose, investicinių vienetų, akcijų ar įnašų) perleidimo nuostoliai</w:t>
      </w:r>
      <w:r>
        <w:t>, apskaičiuojant apmokestinamąjį pelną, neatskaitomi iš apmokestinamųjų vertybinių popierių ir išvestinių finansinių priemonių perleidimo pajamų ir</w:t>
      </w:r>
      <w:r>
        <w:rPr>
          <w:color w:val="000000"/>
        </w:rPr>
        <w:t xml:space="preserve"> į kitus metus neperkeliami.</w:t>
      </w:r>
    </w:p>
    <w:p w14:paraId="3BD85153" w14:textId="77777777" w:rsidR="00093845" w:rsidRDefault="000D779E">
      <w:pPr>
        <w:pStyle w:val="prastasiniatinklio"/>
        <w:ind w:firstLine="720"/>
        <w:jc w:val="both"/>
        <w:rPr>
          <w:color w:val="000000"/>
        </w:rPr>
      </w:pPr>
      <w:r>
        <w:t>(Pagal VMI prie FM 2018-07-17 raštą Nr. (</w:t>
      </w:r>
      <w:r>
        <w:rPr>
          <w:color w:val="000000"/>
        </w:rPr>
        <w:t>32.42-31-1E) RM-25937)</w:t>
      </w:r>
    </w:p>
    <w:p w14:paraId="74B4AAB3" w14:textId="77777777" w:rsidR="00AB1E68" w:rsidRPr="006D5D6A" w:rsidRDefault="00AB1E68" w:rsidP="00AB1E68">
      <w:pPr>
        <w:pStyle w:val="HTMLiankstoformatuotas"/>
        <w:ind w:right="282"/>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6D5D6A">
        <w:rPr>
          <w:rFonts w:ascii="Times New Roman" w:hAnsi="Times New Roman" w:cs="Times New Roman"/>
          <w:b/>
          <w:color w:val="000000"/>
          <w:sz w:val="24"/>
          <w:szCs w:val="24"/>
        </w:rPr>
        <w:t>2</w:t>
      </w:r>
      <w:r w:rsidRPr="006D5D6A">
        <w:rPr>
          <w:rFonts w:ascii="Times New Roman" w:hAnsi="Times New Roman" w:cs="Times New Roman"/>
          <w:b/>
          <w:color w:val="000000"/>
          <w:sz w:val="24"/>
          <w:szCs w:val="24"/>
          <w:vertAlign w:val="superscript"/>
        </w:rPr>
        <w:t>1</w:t>
      </w:r>
      <w:r w:rsidRPr="006D5D6A">
        <w:rPr>
          <w:rFonts w:ascii="Times New Roman" w:hAnsi="Times New Roman" w:cs="Times New Roman"/>
          <w:b/>
          <w:color w:val="000000"/>
          <w:sz w:val="24"/>
          <w:szCs w:val="24"/>
        </w:rPr>
        <w:t xml:space="preserve">. Nuostoliai, patirti dėl turto naudojimo, pardavimo ar kitokio perleidimo nuosavybėn, apskaičiuoti pagal šio Įstatymo 5 straipsnio 9 dalyje nustatytą formulę, perkeliami į kitus mokestinius metus, tačiau dengiami tik pagal šio Įstatymo 5 straipsnio 9 dalyje nustatytą formulę apskaičiuoto apmokestinamojo pelno dalimi. </w:t>
      </w:r>
    </w:p>
    <w:p w14:paraId="52059527" w14:textId="77777777" w:rsidR="00AB1E68" w:rsidRPr="006436F3" w:rsidRDefault="00AB1E68" w:rsidP="006436F3">
      <w:pPr>
        <w:pStyle w:val="HTMLiankstoformatuotas"/>
        <w:ind w:right="282"/>
        <w:jc w:val="both"/>
        <w:rPr>
          <w:rFonts w:ascii="Times New Roman" w:hAnsi="Times New Roman" w:cs="Times New Roman"/>
          <w:i/>
          <w:iCs/>
          <w:color w:val="000000"/>
          <w:sz w:val="24"/>
          <w:szCs w:val="24"/>
        </w:rPr>
      </w:pPr>
      <w:r w:rsidRPr="006436F3">
        <w:rPr>
          <w:rFonts w:ascii="Times New Roman" w:hAnsi="Times New Roman" w:cs="Times New Roman"/>
          <w:i/>
          <w:color w:val="000000"/>
          <w:sz w:val="24"/>
          <w:szCs w:val="24"/>
        </w:rPr>
        <w:t xml:space="preserve">(KEISTA: </w:t>
      </w:r>
      <w:r w:rsidRPr="006436F3">
        <w:rPr>
          <w:rFonts w:ascii="Times New Roman" w:hAnsi="Times New Roman" w:cs="Times New Roman"/>
          <w:i/>
          <w:iCs/>
          <w:color w:val="000000"/>
          <w:sz w:val="24"/>
          <w:szCs w:val="24"/>
        </w:rPr>
        <w:t xml:space="preserve">2018 12 06 įstatymas Nr. XIII-1697, nuostatos taikomos apskaičiuojant 2018 </w:t>
      </w:r>
      <w:r w:rsidRPr="006436F3">
        <w:rPr>
          <w:rFonts w:ascii="Times New Roman" w:hAnsi="Times New Roman" w:cs="Times New Roman"/>
          <w:bCs/>
          <w:i/>
          <w:sz w:val="24"/>
          <w:szCs w:val="24"/>
        </w:rPr>
        <w:t>metais prasidėjusio mokestinio laikotarpio ir vėlesnių mokestinių laikotarpių apmokestinamąjį pelną</w:t>
      </w:r>
      <w:r w:rsidRPr="006436F3">
        <w:rPr>
          <w:rFonts w:ascii="Times New Roman" w:hAnsi="Times New Roman" w:cs="Times New Roman"/>
          <w:i/>
          <w:iCs/>
          <w:color w:val="000000"/>
          <w:sz w:val="24"/>
          <w:szCs w:val="24"/>
        </w:rPr>
        <w:t>)</w:t>
      </w:r>
    </w:p>
    <w:p w14:paraId="3B37EA63" w14:textId="77777777" w:rsidR="00AB1E68" w:rsidRDefault="00AB1E68" w:rsidP="00AB1E68">
      <w:pPr>
        <w:pStyle w:val="prastasiniatinklio"/>
        <w:ind w:firstLine="720"/>
        <w:jc w:val="both"/>
        <w:rPr>
          <w:b/>
          <w:bCs/>
          <w:color w:val="000000"/>
        </w:rPr>
      </w:pPr>
      <w:r>
        <w:rPr>
          <w:b/>
          <w:bCs/>
          <w:color w:val="000000"/>
        </w:rPr>
        <w:t>Komentaras</w:t>
      </w:r>
    </w:p>
    <w:p w14:paraId="6B279D0C" w14:textId="77777777" w:rsidR="00AB1E68" w:rsidRPr="006D5D6A" w:rsidRDefault="00AB1E68" w:rsidP="00AB1E68">
      <w:pPr>
        <w:pStyle w:val="HTMLiankstoformatuotas"/>
        <w:tabs>
          <w:tab w:val="left" w:pos="426"/>
        </w:tabs>
        <w:ind w:right="282" w:firstLine="709"/>
        <w:jc w:val="both"/>
        <w:rPr>
          <w:rFonts w:ascii="Times New Roman" w:hAnsi="Times New Roman" w:cs="Times New Roman"/>
          <w:sz w:val="24"/>
          <w:szCs w:val="24"/>
        </w:rPr>
      </w:pPr>
      <w:r w:rsidRPr="006D5D6A">
        <w:rPr>
          <w:rFonts w:ascii="Times New Roman" w:hAnsi="Times New Roman" w:cs="Times New Roman"/>
          <w:sz w:val="24"/>
          <w:szCs w:val="24"/>
        </w:rPr>
        <w:t>1.</w:t>
      </w:r>
      <w:r w:rsidRPr="006D5D6A">
        <w:rPr>
          <w:rFonts w:ascii="Times New Roman" w:hAnsi="Times New Roman" w:cs="Times New Roman"/>
          <w:sz w:val="24"/>
          <w:szCs w:val="24"/>
        </w:rPr>
        <w:tab/>
        <w:t>Į kitą mokestinį laikotarpį perkeliami n</w:t>
      </w:r>
      <w:r w:rsidRPr="006D5D6A">
        <w:rPr>
          <w:rFonts w:ascii="Times New Roman" w:hAnsi="Times New Roman" w:cs="Times New Roman"/>
          <w:color w:val="000000"/>
          <w:sz w:val="24"/>
          <w:szCs w:val="24"/>
        </w:rPr>
        <w:t xml:space="preserve">uostoliai, patirti dėl turto naudojimo, pardavimo ar kitokio perleidimo nuosavybėn, apskaičiuoti pagal PMĮ 5 straipsnio 9 dalyje nustatytą formulę, </w:t>
      </w:r>
      <w:r w:rsidRPr="006D5D6A">
        <w:rPr>
          <w:rFonts w:ascii="Times New Roman" w:hAnsi="Times New Roman" w:cs="Times New Roman"/>
          <w:sz w:val="24"/>
          <w:szCs w:val="24"/>
        </w:rPr>
        <w:t xml:space="preserve">gali būti dengiami tik </w:t>
      </w:r>
      <w:r w:rsidRPr="006D5D6A">
        <w:rPr>
          <w:rFonts w:ascii="Times New Roman" w:hAnsi="Times New Roman" w:cs="Times New Roman"/>
          <w:color w:val="000000"/>
          <w:sz w:val="24"/>
          <w:szCs w:val="24"/>
        </w:rPr>
        <w:t>pagal PMĮ 5 straipsnio 9 dalyje nustatytą formulę apskaičiuoto apmokestinamojo pelno dalimi</w:t>
      </w:r>
      <w:r w:rsidRPr="006D5D6A">
        <w:rPr>
          <w:rFonts w:ascii="Times New Roman" w:hAnsi="Times New Roman" w:cs="Times New Roman"/>
          <w:sz w:val="24"/>
          <w:szCs w:val="24"/>
        </w:rPr>
        <w:t>. Vadovaujantis šio straipsnio nuostata, n</w:t>
      </w:r>
      <w:r w:rsidRPr="006D5D6A">
        <w:rPr>
          <w:rFonts w:ascii="Times New Roman" w:hAnsi="Times New Roman" w:cs="Times New Roman"/>
          <w:color w:val="000000"/>
          <w:sz w:val="24"/>
          <w:szCs w:val="24"/>
        </w:rPr>
        <w:t xml:space="preserve">uostoliai, patirti dėl turto naudojimo, pardavimo ar kitokio perleidimo nuosavybėn, apskaičiuoti pagal PMĮ 5 straipsnio 9 dalyje nustatytą formulę, </w:t>
      </w:r>
      <w:r w:rsidRPr="006D5D6A">
        <w:rPr>
          <w:rFonts w:ascii="Times New Roman" w:hAnsi="Times New Roman" w:cs="Times New Roman"/>
          <w:sz w:val="24"/>
          <w:szCs w:val="24"/>
        </w:rPr>
        <w:t>turi būti apskaičiuojami atskirai ir ribojamų dydžių leidžiamiems atskaitymams priskiriami PMĮ nustatyta tvarka.</w:t>
      </w:r>
    </w:p>
    <w:p w14:paraId="69C0C154" w14:textId="77777777" w:rsidR="00AB1E68" w:rsidRPr="006D5D6A" w:rsidRDefault="00AB1E68" w:rsidP="00AB1E68">
      <w:pPr>
        <w:tabs>
          <w:tab w:val="left" w:pos="720"/>
          <w:tab w:val="left" w:pos="1077"/>
          <w:tab w:val="left" w:pos="1418"/>
        </w:tabs>
        <w:ind w:right="282" w:firstLine="709"/>
        <w:jc w:val="both"/>
      </w:pPr>
      <w:r w:rsidRPr="006D5D6A">
        <w:t>Pavyzdys</w:t>
      </w:r>
    </w:p>
    <w:p w14:paraId="22C5A9FB"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2018 metais pagal PMĮ 5 straipsnio 9 dalyje nustatytą formulę dėl turto pardavimo apskaičiavo 25 000 Eur nuostolį. 2019 metais uždirbo 30 000 Eur pelno, iš šios sumos 20 000 Eur sudarė įprastinės veiklos pelnas, o 10 000  Eur – pagal PMĮ 5 straipsnio 9 dalyje nustatytą formulę apskaičiuotas pelnas. </w:t>
      </w:r>
    </w:p>
    <w:p w14:paraId="1416BC55"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2019 metų ribojamų dydžių leidžiamiems atskaitymams gali priskirti tik 10 000 Eur 2018 metais pagal PMĮ 5 straipsnio 9 dalyje nustatytą formulę apskaičiuotų nuostolių sumą, ne didesnę už pagal PMĮ 5 straipsnio 9 dalyje nustatytą formulę  apskaičiuotą 2019 metais uždirbtą pelną, t. y. nuostoliai, susidarę 2018 m. prasidėjusiame mokestiniame laikotarpyje apskaičiuoti </w:t>
      </w:r>
      <w:r w:rsidRPr="006D5D6A">
        <w:rPr>
          <w:color w:val="000000"/>
        </w:rPr>
        <w:lastRenderedPageBreak/>
        <w:t>pagal PMĮ 5 straipsnio 9 dalyje nustatytą formulę, negali būti dengiami įprastinės veiklos  pelnu. 2019 metais ribojamų dydžių leidžiamiems atskaitymams nepriskirta 15 000 Eur mokestinių nuostolių suma galės būti perkelta į kitus mokestinius metus PMI 30 straipsnio 2</w:t>
      </w:r>
      <w:r w:rsidRPr="006D5D6A">
        <w:rPr>
          <w:color w:val="000000"/>
          <w:vertAlign w:val="superscript"/>
        </w:rPr>
        <w:t>1</w:t>
      </w:r>
      <w:r w:rsidRPr="006D5D6A">
        <w:rPr>
          <w:color w:val="000000"/>
        </w:rPr>
        <w:t xml:space="preserve"> dalyje nustatyta tvarka, jeigu tais mokestiniais laikotarpiais vienetas turės pagal PMĮ 5 straipsnio 9 dalyje nustatytą formulę apskaičiuoto apmokestinamojo pelno.</w:t>
      </w:r>
    </w:p>
    <w:p w14:paraId="4743BA8E" w14:textId="77777777" w:rsidR="00AB1E68" w:rsidRPr="006D5D6A" w:rsidRDefault="00AB1E68" w:rsidP="00AB1E68">
      <w:pPr>
        <w:tabs>
          <w:tab w:val="left" w:pos="720"/>
          <w:tab w:val="left" w:pos="1077"/>
          <w:tab w:val="left" w:pos="1418"/>
        </w:tabs>
        <w:ind w:right="282" w:firstLine="709"/>
        <w:jc w:val="both"/>
      </w:pPr>
      <w:r w:rsidRPr="006D5D6A">
        <w:t>2.</w:t>
      </w:r>
      <w:r w:rsidRPr="006D5D6A">
        <w:tab/>
        <w:t xml:space="preserve">PMĮ nedraudžiama </w:t>
      </w:r>
      <w:r w:rsidRPr="006D5D6A">
        <w:rPr>
          <w:color w:val="000000"/>
        </w:rPr>
        <w:t>pagal PMĮ 5 straipsnio 9 dalyje nustatytą formulę apskaičiuotu apmokestinamuoju pelnu</w:t>
      </w:r>
      <w:r w:rsidRPr="006D5D6A">
        <w:t xml:space="preserve"> dengti įprastinės veiklos nuostolius.</w:t>
      </w:r>
    </w:p>
    <w:p w14:paraId="0C58C3D6" w14:textId="77777777" w:rsidR="00AB1E68" w:rsidRPr="006D5D6A" w:rsidRDefault="00AB1E68" w:rsidP="00AB1E68">
      <w:pPr>
        <w:tabs>
          <w:tab w:val="left" w:pos="720"/>
          <w:tab w:val="left" w:pos="1077"/>
          <w:tab w:val="left" w:pos="1418"/>
        </w:tabs>
        <w:ind w:right="282" w:firstLine="709"/>
        <w:jc w:val="both"/>
        <w:rPr>
          <w:strike/>
        </w:rPr>
      </w:pPr>
      <w:r w:rsidRPr="006D5D6A">
        <w:t xml:space="preserve">Pavyzdys </w:t>
      </w:r>
    </w:p>
    <w:p w14:paraId="445DB1F2"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2018 metais apskaičiavo 100 000 Eur nuostolį, iš šios sumos įprastinės veiklos nuostoliai sudarė 90 000 Eur, o pagal PMĮ 5 straipsnio 9 dalyje nustatytą formulę apskaičiuoti nuostoliai – 10 000 Eur. 2019 metais vienetas uždirbo 50 000 Eur pelno, iš jo 20 000 Eur buvo gauta iš įprastinės veiklos, o 30 000 Eur – pagal PMĮ 5 straipsnio 9 dalyje nustatytą formulę apskaičiuotas pelnas. </w:t>
      </w:r>
    </w:p>
    <w:p w14:paraId="59807C83" w14:textId="77777777" w:rsidR="00AB1E68" w:rsidRPr="006D5D6A" w:rsidRDefault="00AB1E68" w:rsidP="00AB1E68">
      <w:pPr>
        <w:pBdr>
          <w:top w:val="single" w:sz="4" w:space="1" w:color="auto"/>
          <w:left w:val="single" w:sz="4" w:space="4" w:color="auto"/>
          <w:bottom w:val="single" w:sz="4" w:space="1" w:color="auto"/>
          <w:right w:val="single" w:sz="4" w:space="4" w:color="auto"/>
        </w:pBdr>
        <w:tabs>
          <w:tab w:val="left" w:pos="720"/>
          <w:tab w:val="left" w:pos="1077"/>
          <w:tab w:val="left" w:pos="1418"/>
        </w:tabs>
        <w:ind w:right="282" w:firstLine="709"/>
        <w:jc w:val="both"/>
        <w:rPr>
          <w:color w:val="000000"/>
        </w:rPr>
      </w:pPr>
      <w:r w:rsidRPr="006D5D6A">
        <w:rPr>
          <w:color w:val="000000"/>
        </w:rPr>
        <w:t xml:space="preserve">Vienetas 2019 metų leidžiamiems atskaitymams gali priskirti 2018 metais patirtų   40 000 Eur įprastinės veiklos nuostolių sumą ir 2018 metais patirtų 10 000 Eur pagal PMĮ 5 straipsnio 9 dalyje nustatytą formulę apskaičiuotų nuostolių, iš viso – 50 000 Eur nuostolių (bendrovė atitinka PMĮ 5 straipsnio 2 dalyje nustatytas sąlygas dėl 5 procentų mokesčio tarifo taikymo). Pavyzdyje pateiktoje situacijoje vienetas iš veiklos, apmokestinamos pagal PMĮ 5 straipsnio 9 dalyje nustatytą formulę, pelno atskaito ankstesniais laikotarpiais patirtų ir neperkeltų įprastinės veiklos nuostolių sumą (20 000 Eur). </w:t>
      </w:r>
    </w:p>
    <w:p w14:paraId="31358123" w14:textId="77777777" w:rsidR="00AB1E68" w:rsidRDefault="00AB1E68" w:rsidP="00AB1E68">
      <w:pPr>
        <w:pStyle w:val="prastasiniatinklio"/>
        <w:ind w:firstLine="720"/>
        <w:jc w:val="both"/>
        <w:rPr>
          <w:color w:val="000000"/>
        </w:rPr>
      </w:pPr>
      <w:r>
        <w:t>(Pagal VMI prie FM 2019-11-12 raštą Nr. (</w:t>
      </w:r>
      <w:r>
        <w:rPr>
          <w:color w:val="000000"/>
        </w:rPr>
        <w:t>32.42-31-1E) RM-33191)</w:t>
      </w:r>
    </w:p>
    <w:p w14:paraId="6CA7E37E" w14:textId="77777777" w:rsidR="00093845" w:rsidRDefault="000D779E">
      <w:pPr>
        <w:tabs>
          <w:tab w:val="left" w:pos="720"/>
          <w:tab w:val="left" w:pos="1077"/>
          <w:tab w:val="left" w:pos="1418"/>
        </w:tabs>
        <w:ind w:right="-5"/>
        <w:jc w:val="both"/>
        <w:rPr>
          <w:b/>
          <w:szCs w:val="20"/>
          <w:lang w:val="lt-LT"/>
        </w:rPr>
      </w:pPr>
      <w:r>
        <w:rPr>
          <w:lang w:val="lt-LT"/>
        </w:rPr>
        <w:tab/>
      </w:r>
      <w:r>
        <w:rPr>
          <w:b/>
          <w:lang w:val="lt-LT"/>
        </w:rPr>
        <w:t>3.</w:t>
      </w:r>
      <w:r>
        <w:rPr>
          <w:b/>
          <w:lang w:val="lt-LT"/>
        </w:rPr>
        <w:tab/>
        <w:t>Jeigu mokesčio mokėtojas gauna mokestinius nuostolius ilgiau negu vienerius mokestinius metus, pirmiausia perkeliami ankstesnių metų mokestinio laikotarpio nuostoliai. Vėliau patirti nuostoliai perkeliami tik padengus ankstesnių mokestinių laikotarpių nuostolius.</w:t>
      </w:r>
    </w:p>
    <w:p w14:paraId="7FCF596C" w14:textId="77777777" w:rsidR="00093845" w:rsidRDefault="000D779E">
      <w:pPr>
        <w:tabs>
          <w:tab w:val="left" w:pos="720"/>
          <w:tab w:val="left" w:pos="1077"/>
          <w:tab w:val="left" w:pos="1418"/>
        </w:tabs>
        <w:ind w:right="-5" w:firstLine="709"/>
        <w:jc w:val="both"/>
        <w:rPr>
          <w:b/>
          <w:szCs w:val="20"/>
          <w:lang w:val="lt-LT"/>
        </w:rPr>
      </w:pPr>
      <w:r>
        <w:rPr>
          <w:b/>
          <w:lang w:val="lt-LT"/>
        </w:rPr>
        <w:t>Komentaras</w:t>
      </w:r>
    </w:p>
    <w:p w14:paraId="50A67FCA" w14:textId="77777777" w:rsidR="00093845" w:rsidRDefault="000D779E">
      <w:pPr>
        <w:tabs>
          <w:tab w:val="left" w:pos="720"/>
          <w:tab w:val="left" w:pos="1077"/>
          <w:tab w:val="left" w:pos="1418"/>
        </w:tabs>
        <w:ind w:right="-5" w:firstLine="709"/>
        <w:jc w:val="both"/>
        <w:rPr>
          <w:b/>
          <w:szCs w:val="20"/>
          <w:lang w:val="lt-LT"/>
        </w:rPr>
      </w:pPr>
      <w:r>
        <w:rPr>
          <w:lang w:val="lt-LT"/>
        </w:rPr>
        <w:t>Jeigu vienetas patiria nuostolių ne vienerius mokestinius metus, tai kiekvienų mokestinių metų nuostolis perkeliamas į kitus mokestinius metus iš eilės ta tvarka, kokia jis susidarė.</w:t>
      </w:r>
    </w:p>
    <w:p w14:paraId="1E815674" w14:textId="77777777" w:rsidR="00093845" w:rsidRDefault="000D779E">
      <w:pPr>
        <w:ind w:firstLine="709"/>
        <w:jc w:val="both"/>
        <w:rPr>
          <w:lang w:val="lt-LT"/>
        </w:rPr>
      </w:pPr>
      <w:r>
        <w:rPr>
          <w:lang w:val="lt-LT"/>
        </w:rPr>
        <w:t>Pavyzdys</w:t>
      </w:r>
    </w:p>
    <w:p w14:paraId="62DE737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right="-5" w:firstLine="709"/>
        <w:jc w:val="both"/>
        <w:rPr>
          <w:szCs w:val="20"/>
          <w:lang w:val="lt-LT"/>
        </w:rPr>
      </w:pPr>
      <w:r>
        <w:rPr>
          <w:szCs w:val="20"/>
          <w:lang w:val="lt-LT"/>
        </w:rPr>
        <w:t>Vienetas 2002 metais apskaičiavo 12 000 Lt, 2003 metais – 8 000 Lt ir 2004 metais – 30 000 Lt įprastinės veiklos mokestinių nuostolių. 2005 metais uždirbo 20 000 Lt pelno. Vienetas 2005 metų ribojamo dydžio leidžiamiems atskaitymams gali priskirti 12 000 Lt 2002 –siais mokestiniais metais ir 8 000 Lt 2003 - siais mokestiniais metais patirtų nuostolių sumas. 2004 metų 30 000 Lt nuostoliai ribojamo dydžio leidžiamiems atskaitymams gali būti priskiriami tik po 2002 ir 2003 metais patirtų nuostolių perkėlimo.</w:t>
      </w:r>
    </w:p>
    <w:p w14:paraId="0B004F1C" w14:textId="77777777" w:rsidR="006E2A74" w:rsidRPr="00DA5C51" w:rsidRDefault="006E2A74" w:rsidP="006E2A74">
      <w:pPr>
        <w:ind w:firstLine="720"/>
        <w:jc w:val="both"/>
        <w:rPr>
          <w:b/>
          <w:color w:val="000000"/>
          <w:lang w:val="lt-LT"/>
        </w:rPr>
      </w:pPr>
      <w:r w:rsidRPr="00AA301B">
        <w:rPr>
          <w:b/>
          <w:color w:val="000000"/>
          <w:lang w:val="lt-LT"/>
        </w:rPr>
        <w:t>4. Mokestinio laikotarpio nuostolius, išskyrus nuostolius dėl vertybinių popierių ir (arba) išvestinių finansinių priemonių perleidimo (ne finansų įstaigų)</w:t>
      </w:r>
      <w:r w:rsidRPr="00AA301B">
        <w:rPr>
          <w:b/>
          <w:color w:val="000000"/>
          <w:lang w:val="lt-LT" w:eastAsia="lt-LT"/>
        </w:rPr>
        <w:t xml:space="preserve"> ir nuostolius</w:t>
      </w:r>
      <w:r w:rsidRPr="00AA301B">
        <w:rPr>
          <w:b/>
          <w:lang w:val="lt-LT" w:eastAsia="lt-LT"/>
        </w:rPr>
        <w:t xml:space="preserve"> dėl turto naudojimo, pardavimo ar kitokio perleidimo nuosavybėn, apskaičiuotus pagal šio Įstatymo 5 straipsnio 9 dalyje nustatytą formulę,</w:t>
      </w:r>
      <w:r w:rsidRPr="00AA301B">
        <w:rPr>
          <w:b/>
          <w:color w:val="000000"/>
          <w:lang w:val="lt-LT"/>
        </w:rPr>
        <w:t xml:space="preserve"> galima perkėlinėti neribotą laikotarpį, tačiau toks perkėlimas nutraukiamas, jeigu vienetas nebetęsia veiklos, dėl kurios šie nuostoliai susidarė, išskyrus atvejus, kai vienetas veiklos nebetęsia dėl nuo jo nepriklausančių priežasčių.</w:t>
      </w:r>
      <w:r w:rsidRPr="00AA301B">
        <w:rPr>
          <w:color w:val="000000"/>
          <w:lang w:val="lt-LT"/>
        </w:rPr>
        <w:t xml:space="preserve"> </w:t>
      </w:r>
      <w:r w:rsidRPr="00AA301B">
        <w:rPr>
          <w:b/>
          <w:color w:val="000000"/>
          <w:lang w:val="lt-LT"/>
        </w:rPr>
        <w:t xml:space="preserve">Šioje dalyje nurodytų perkeliamų atskaitomų mokestinių nuostolių, išskyrus mokestinius nuostolius vienetų, kurių apmokestinamasis pelnas pagal šio Įstatymo 5 straipsnio 2 dalies nuostatas </w:t>
      </w:r>
      <w:r w:rsidRPr="00AA301B">
        <w:rPr>
          <w:b/>
          <w:color w:val="000000"/>
          <w:lang w:val="lt-LT"/>
        </w:rPr>
        <w:lastRenderedPageBreak/>
        <w:t xml:space="preserve">apmokestinamas </w:t>
      </w:r>
      <w:r w:rsidRPr="007B7CEA">
        <w:rPr>
          <w:b/>
          <w:lang w:val="lt-LT" w:eastAsia="lt-LT"/>
        </w:rPr>
        <w:t>taikant 7 proc</w:t>
      </w:r>
      <w:r w:rsidRPr="00AA301B">
        <w:rPr>
          <w:b/>
          <w:color w:val="000000"/>
          <w:lang w:val="lt-LT"/>
        </w:rPr>
        <w:t xml:space="preserve">entų mokesčio tarifą, suma negali būti didesnė kaip 70 procentų mokesčio mokėtojo mokestinio laikotarpio pajamų, apskaičiuotų iš pajamų atėmus neapmokestinamąsias pajamas, leidžiamus atskaitymus ir ribojamų dydžių leidžiamus atskaitymus, išskyrus </w:t>
      </w:r>
      <w:r w:rsidRPr="00AA301B">
        <w:rPr>
          <w:rFonts w:eastAsia="Calibri"/>
          <w:b/>
          <w:lang w:val="lt-LT"/>
        </w:rPr>
        <w:t>ankstesnių metų mokestinių laikotarpių nuostolius</w:t>
      </w:r>
      <w:r w:rsidRPr="00AA301B">
        <w:rPr>
          <w:b/>
          <w:color w:val="000000"/>
          <w:lang w:val="lt-LT"/>
        </w:rPr>
        <w:t>.</w:t>
      </w:r>
      <w:r>
        <w:rPr>
          <w:b/>
          <w:color w:val="000000"/>
          <w:lang w:val="lt-LT"/>
        </w:rPr>
        <w:t xml:space="preserve">  </w:t>
      </w:r>
    </w:p>
    <w:p w14:paraId="25E7A576" w14:textId="77777777" w:rsidR="006E2A74" w:rsidRPr="007B7CEA" w:rsidRDefault="004D2262" w:rsidP="006E2A74">
      <w:pPr>
        <w:tabs>
          <w:tab w:val="left" w:pos="720"/>
          <w:tab w:val="left" w:pos="1077"/>
          <w:tab w:val="left" w:pos="1418"/>
        </w:tabs>
        <w:jc w:val="both"/>
        <w:rPr>
          <w:bCs/>
          <w:i/>
          <w:szCs w:val="20"/>
          <w:lang w:val="lt-LT"/>
        </w:rPr>
      </w:pPr>
      <w:r>
        <w:rPr>
          <w:b/>
          <w:bCs/>
          <w:i/>
          <w:szCs w:val="20"/>
          <w:lang w:val="lt-LT"/>
        </w:rPr>
        <w:tab/>
      </w:r>
      <w:r w:rsidR="006E2A74" w:rsidRPr="00097569">
        <w:rPr>
          <w:bCs/>
          <w:i/>
          <w:szCs w:val="20"/>
          <w:lang w:val="lt-LT"/>
        </w:rPr>
        <w:t>(</w:t>
      </w:r>
      <w:r w:rsidR="006E2A74" w:rsidRPr="007B7CEA">
        <w:rPr>
          <w:bCs/>
          <w:i/>
          <w:szCs w:val="20"/>
          <w:lang w:val="lt-LT"/>
        </w:rPr>
        <w:t xml:space="preserve">Pagal 2025 m. birželio 17 d. įstatymo Nr.  </w:t>
      </w:r>
      <w:r w:rsidR="006E2A74" w:rsidRPr="007B7CEA">
        <w:rPr>
          <w:i/>
        </w:rPr>
        <w:t>XV-285</w:t>
      </w:r>
      <w:r w:rsidR="006E2A74" w:rsidRPr="007B7CEA">
        <w:rPr>
          <w:bCs/>
          <w:i/>
          <w:szCs w:val="20"/>
          <w:lang w:val="lt-LT"/>
        </w:rPr>
        <w:t xml:space="preserve"> redakciją; taikoma apskaičiuojant 2026 metais prasidėjusio ir vėlesnių mokestinių laikotarpių apmokestinamąjį pelną)</w:t>
      </w:r>
    </w:p>
    <w:p w14:paraId="42C373DD" w14:textId="77777777" w:rsidR="0023488F" w:rsidRPr="00120B76" w:rsidRDefault="0023488F" w:rsidP="006E2A74">
      <w:pPr>
        <w:tabs>
          <w:tab w:val="left" w:pos="720"/>
          <w:tab w:val="left" w:pos="1077"/>
          <w:tab w:val="left" w:pos="1418"/>
        </w:tabs>
        <w:jc w:val="both"/>
        <w:rPr>
          <w:i/>
          <w:color w:val="000000"/>
        </w:rPr>
      </w:pPr>
    </w:p>
    <w:p w14:paraId="5F40B083" w14:textId="77777777" w:rsidR="00093845" w:rsidRDefault="000D779E">
      <w:pPr>
        <w:pStyle w:val="Pagrindiniotekstotrauka2"/>
      </w:pPr>
      <w:r>
        <w:t>Komentaras</w:t>
      </w:r>
    </w:p>
    <w:p w14:paraId="4FC07984" w14:textId="77777777" w:rsidR="00C71C94" w:rsidRPr="00DA5C51" w:rsidRDefault="000D779E" w:rsidP="00C71C94">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C71C94" w:rsidRPr="00DA5C51">
        <w:rPr>
          <w:rFonts w:ascii="Times New Roman" w:hAnsi="Times New Roman" w:cs="Times New Roman"/>
          <w:sz w:val="24"/>
          <w:szCs w:val="24"/>
          <w:lang w:val="lt-LT"/>
        </w:rPr>
        <w:t xml:space="preserve">1. </w:t>
      </w:r>
      <w:r w:rsidR="00C71C94">
        <w:rPr>
          <w:rFonts w:ascii="Times New Roman" w:hAnsi="Times New Roman" w:cs="Times New Roman"/>
          <w:sz w:val="24"/>
          <w:szCs w:val="24"/>
          <w:lang w:val="lt-LT"/>
        </w:rPr>
        <w:t xml:space="preserve"> Į</w:t>
      </w:r>
      <w:r w:rsidR="00C71C94" w:rsidRPr="00DA5C51">
        <w:rPr>
          <w:rFonts w:ascii="Times New Roman" w:hAnsi="Times New Roman" w:cs="Times New Roman"/>
          <w:bCs/>
          <w:sz w:val="24"/>
          <w:szCs w:val="24"/>
          <w:lang w:val="lt-LT"/>
        </w:rPr>
        <w:t xml:space="preserve">prastinės </w:t>
      </w:r>
      <w:r w:rsidR="00C71C94" w:rsidRPr="00DA5C51">
        <w:rPr>
          <w:rFonts w:ascii="Times New Roman" w:hAnsi="Times New Roman" w:cs="Times New Roman"/>
          <w:sz w:val="24"/>
          <w:szCs w:val="24"/>
          <w:lang w:val="lt-LT"/>
        </w:rPr>
        <w:t>veiklos nuostolius (toliau – veiklos nuostoliai), taip pat finansų įstaigų nuostolius dėl vertybinių popierių ir išvestinių finansinių priemonių (toliau – VP) perleidimo</w:t>
      </w:r>
      <w:r w:rsidR="00C71C94" w:rsidRPr="00DA5C51">
        <w:rPr>
          <w:b/>
          <w:lang w:val="lt-LT" w:eastAsia="lt-LT"/>
        </w:rPr>
        <w:t xml:space="preserve">, </w:t>
      </w:r>
      <w:r w:rsidR="00C71C94" w:rsidRPr="00DA5C51">
        <w:rPr>
          <w:rFonts w:ascii="Times New Roman" w:hAnsi="Times New Roman" w:cs="Times New Roman"/>
          <w:sz w:val="24"/>
          <w:szCs w:val="24"/>
          <w:lang w:val="lt-LT"/>
        </w:rPr>
        <w:t>galima perkėlinėti į kitus mokestinius laikotarpius neribotą laiką</w:t>
      </w:r>
      <w:r w:rsidR="00C71C94" w:rsidRPr="00DA5C51">
        <w:rPr>
          <w:rFonts w:ascii="Times New Roman" w:hAnsi="Times New Roman" w:cs="Times New Roman"/>
          <w:b/>
          <w:sz w:val="24"/>
          <w:szCs w:val="24"/>
          <w:lang w:val="lt-LT"/>
        </w:rPr>
        <w:t xml:space="preserve"> </w:t>
      </w:r>
      <w:r w:rsidR="00C71C94" w:rsidRPr="00DA5C51">
        <w:rPr>
          <w:rFonts w:ascii="Times New Roman" w:hAnsi="Times New Roman" w:cs="Times New Roman"/>
          <w:sz w:val="24"/>
          <w:szCs w:val="24"/>
          <w:lang w:val="lt-LT"/>
        </w:rPr>
        <w:t xml:space="preserve">(ankstesniais mokestiniais laikotarpiais </w:t>
      </w:r>
      <w:r w:rsidR="00C71C94" w:rsidRPr="00DA5C51">
        <w:rPr>
          <w:rFonts w:ascii="Times New Roman" w:hAnsi="Times New Roman" w:cs="Times New Roman"/>
          <w:bCs/>
          <w:sz w:val="24"/>
          <w:szCs w:val="24"/>
          <w:lang w:val="lt-LT"/>
        </w:rPr>
        <w:t xml:space="preserve">susidarę </w:t>
      </w:r>
      <w:r w:rsidR="00C71C94" w:rsidRPr="00DA5C51">
        <w:rPr>
          <w:rFonts w:ascii="Times New Roman" w:hAnsi="Times New Roman" w:cs="Times New Roman"/>
          <w:sz w:val="24"/>
          <w:szCs w:val="24"/>
          <w:lang w:val="lt-LT"/>
        </w:rPr>
        <w:t>veiklos nuostoliai ir finansų įstaigų nuostoliai dėl VP perleidimo</w:t>
      </w:r>
      <w:r w:rsidR="00C71C94" w:rsidRPr="00DA5C51">
        <w:rPr>
          <w:rFonts w:ascii="Times New Roman" w:hAnsi="Times New Roman" w:cs="Times New Roman"/>
          <w:bCs/>
          <w:sz w:val="24"/>
          <w:szCs w:val="24"/>
          <w:lang w:val="lt-LT"/>
        </w:rPr>
        <w:t xml:space="preserve">, </w:t>
      </w:r>
      <w:r w:rsidR="00C71C94" w:rsidRPr="00DA5C51">
        <w:rPr>
          <w:rFonts w:ascii="Times New Roman" w:hAnsi="Times New Roman" w:cs="Times New Roman"/>
          <w:sz w:val="24"/>
          <w:szCs w:val="24"/>
          <w:lang w:val="lt-LT"/>
        </w:rPr>
        <w:t>kurių perkėlimo terminai iki 2008 m. prasidėjusio mokestinio laikotarpio nepasibaigė,</w:t>
      </w:r>
      <w:r w:rsidR="00C71C94" w:rsidRPr="00DA5C51">
        <w:rPr>
          <w:rFonts w:ascii="Times New Roman" w:hAnsi="Times New Roman" w:cs="Times New Roman"/>
          <w:bCs/>
          <w:sz w:val="24"/>
          <w:szCs w:val="24"/>
          <w:lang w:val="lt-LT"/>
        </w:rPr>
        <w:t xml:space="preserve"> vieneto pasirinkimu</w:t>
      </w:r>
      <w:r w:rsidR="00C71C94" w:rsidRPr="00DA5C51">
        <w:rPr>
          <w:rFonts w:ascii="Times New Roman" w:hAnsi="Times New Roman" w:cs="Times New Roman"/>
          <w:sz w:val="24"/>
          <w:szCs w:val="24"/>
          <w:lang w:val="lt-LT"/>
        </w:rPr>
        <w:t xml:space="preserve"> </w:t>
      </w:r>
      <w:r w:rsidR="00C71C94" w:rsidRPr="00DA5C51">
        <w:rPr>
          <w:rFonts w:ascii="Times New Roman" w:hAnsi="Times New Roman" w:cs="Times New Roman"/>
          <w:bCs/>
          <w:sz w:val="24"/>
          <w:szCs w:val="24"/>
          <w:lang w:val="lt-LT"/>
        </w:rPr>
        <w:t xml:space="preserve">taip pat gali būti perkeliami į kitus mokestinius laikotarpius neribotą laiką). </w:t>
      </w:r>
    </w:p>
    <w:p w14:paraId="26029452" w14:textId="77777777" w:rsidR="00C71C94" w:rsidRPr="00DA5C51" w:rsidRDefault="00C71C94" w:rsidP="00C71C94">
      <w:pPr>
        <w:pStyle w:val="HTMLiankstoformatuotas"/>
        <w:tabs>
          <w:tab w:val="left" w:pos="720"/>
          <w:tab w:val="left" w:pos="1077"/>
          <w:tab w:val="left" w:pos="1418"/>
        </w:tabs>
        <w:ind w:firstLine="709"/>
        <w:jc w:val="both"/>
        <w:rPr>
          <w:rFonts w:ascii="Times New Roman" w:hAnsi="Times New Roman" w:cs="Times New Roman"/>
          <w:bCs/>
          <w:sz w:val="24"/>
          <w:szCs w:val="24"/>
          <w:lang w:val="lt-LT"/>
        </w:rPr>
      </w:pPr>
      <w:r w:rsidRPr="00DA5C51">
        <w:rPr>
          <w:rFonts w:ascii="Times New Roman" w:hAnsi="Times New Roman" w:cs="Times New Roman"/>
          <w:bCs/>
          <w:sz w:val="24"/>
          <w:szCs w:val="24"/>
          <w:lang w:val="lt-LT"/>
        </w:rPr>
        <w:t>Finansų įstaigos sąvoka apibrėžta Lietuvos Respublikos finansų įstaigų įstatyme (toliau – FĮĮ). Pagal šį įstatymą finansų įstaiga tai – finansų įmonė arba kredito įstaiga (kaip jos apibrėžtos FĮĮ). Finansų įstaigomis nelaikomi informuotiesiems investuotojams skirti kolektyvinio investavimo subjektai ir tik šiuos subjektus valdančios valdymo įmonės.</w:t>
      </w:r>
    </w:p>
    <w:p w14:paraId="4C00DFAF" w14:textId="77777777" w:rsidR="00C71C94" w:rsidRPr="00522AE5" w:rsidRDefault="00C71C94" w:rsidP="00C71C94">
      <w:pPr>
        <w:pStyle w:val="HTMLiankstoformatuotas"/>
        <w:tabs>
          <w:tab w:val="left" w:pos="720"/>
          <w:tab w:val="left" w:pos="1077"/>
          <w:tab w:val="left" w:pos="1418"/>
        </w:tabs>
        <w:jc w:val="both"/>
        <w:rPr>
          <w:rFonts w:ascii="Times New Roman" w:hAnsi="Times New Roman" w:cs="Times New Roman"/>
          <w:sz w:val="24"/>
          <w:szCs w:val="24"/>
          <w:lang w:val="lt-LT"/>
        </w:rPr>
      </w:pPr>
      <w:r w:rsidRPr="00DA5C51">
        <w:rPr>
          <w:rFonts w:ascii="Times New Roman" w:hAnsi="Times New Roman" w:cs="Times New Roman"/>
          <w:bCs/>
          <w:sz w:val="24"/>
          <w:szCs w:val="24"/>
          <w:lang w:val="lt-LT"/>
        </w:rPr>
        <w:tab/>
        <w:t>Vienetai, įskaitant finansų įstaigas</w:t>
      </w:r>
      <w:r w:rsidRPr="00DA5C51">
        <w:rPr>
          <w:rFonts w:ascii="Times New Roman" w:hAnsi="Times New Roman" w:cs="Times New Roman"/>
          <w:sz w:val="24"/>
          <w:szCs w:val="24"/>
          <w:lang w:val="lt-LT"/>
        </w:rPr>
        <w:t xml:space="preserve">, apskaičiuodami apmokestinamąjį pelną, perkeliamus VP perleidimo nuostolius gali atskaityti tik iš kitais mokestiniais laikotarpiais gauto VP perleidimo pelno (žr. </w:t>
      </w:r>
      <w:r w:rsidRPr="00522AE5">
        <w:rPr>
          <w:rFonts w:ascii="Times New Roman" w:hAnsi="Times New Roman" w:cs="Times New Roman"/>
          <w:sz w:val="24"/>
          <w:szCs w:val="24"/>
          <w:lang w:val="lt-LT"/>
        </w:rPr>
        <w:t xml:space="preserve">PMĮ 30 straipsnio 2 dalies komentarą). </w:t>
      </w:r>
    </w:p>
    <w:p w14:paraId="58922ADE" w14:textId="77777777" w:rsidR="00C71C94" w:rsidRDefault="00C71C94" w:rsidP="00C71C94">
      <w:pPr>
        <w:pStyle w:val="HTMLiankstoformatuotas"/>
        <w:tabs>
          <w:tab w:val="left" w:pos="720"/>
          <w:tab w:val="left" w:pos="1077"/>
          <w:tab w:val="left" w:pos="1418"/>
        </w:tabs>
        <w:ind w:firstLine="851"/>
        <w:jc w:val="both"/>
        <w:rPr>
          <w:rFonts w:ascii="Times New Roman" w:hAnsi="Times New Roman" w:cs="Times New Roman"/>
          <w:bCs/>
          <w:sz w:val="24"/>
          <w:szCs w:val="24"/>
          <w:lang w:val="lt-LT"/>
        </w:rPr>
      </w:pPr>
      <w:r w:rsidRPr="00AA301B">
        <w:rPr>
          <w:rFonts w:ascii="Times New Roman" w:hAnsi="Times New Roman" w:cs="Times New Roman"/>
          <w:bCs/>
          <w:sz w:val="24"/>
          <w:szCs w:val="24"/>
          <w:lang w:val="lt-LT"/>
        </w:rPr>
        <w:t>Vienetai, apskaičiuodami apmokestinamąjį pelną, perkeliamus nuostolius dėl turto naudojimo, pardavimo ar kitokio perleidimo nuosavybėn, apskaičiuotus pagal PMĮ 5 straipsnio 9 dalyje nustatytą formulę, gali atskaityti tik iš kitais mokestiniais laikotarpiais gauto pagal PMĮ 5 straipsnio 9 dalyje nustatytą formulę apskaičiuoto apmokestinamojo pelno (žr. PMĮ 30 straipsnio 2-1 dalies</w:t>
      </w:r>
      <w:r>
        <w:rPr>
          <w:rFonts w:ascii="Times New Roman" w:hAnsi="Times New Roman" w:cs="Times New Roman"/>
          <w:bCs/>
          <w:sz w:val="24"/>
          <w:szCs w:val="24"/>
          <w:lang w:val="lt-LT"/>
        </w:rPr>
        <w:t xml:space="preserve"> komentarą).</w:t>
      </w:r>
    </w:p>
    <w:p w14:paraId="7A836EDF" w14:textId="77777777" w:rsidR="00BD1ADC" w:rsidRDefault="00BD1ADC" w:rsidP="00BD1ADC">
      <w:pPr>
        <w:pStyle w:val="Pagrindiniotekstotrauka"/>
        <w:tabs>
          <w:tab w:val="left" w:pos="720"/>
          <w:tab w:val="left" w:pos="1077"/>
          <w:tab w:val="left" w:pos="1418"/>
        </w:tabs>
        <w:rPr>
          <w:szCs w:val="20"/>
          <w:lang w:val="nb-NO"/>
        </w:rPr>
      </w:pPr>
      <w:r w:rsidRPr="0068123E">
        <w:t>(Pagal VMI prie FM 2021-04-08 raštas Nr.</w:t>
      </w:r>
      <w:r w:rsidRPr="0068123E">
        <w:rPr>
          <w:color w:val="000000"/>
          <w:lang w:val="nb-NO"/>
        </w:rPr>
        <w:t xml:space="preserve"> (18.10-31-1 Mr: RM-17740)</w:t>
      </w:r>
    </w:p>
    <w:p w14:paraId="1F415441" w14:textId="77777777" w:rsidR="00AB1E68" w:rsidRPr="006D5D6A" w:rsidRDefault="000D779E" w:rsidP="00AB1E68">
      <w:pPr>
        <w:pStyle w:val="HTMLiankstoformatuotas"/>
        <w:tabs>
          <w:tab w:val="left" w:pos="720"/>
          <w:tab w:val="left" w:pos="1077"/>
          <w:tab w:val="left" w:pos="1418"/>
        </w:tabs>
        <w:ind w:firstLine="709"/>
        <w:jc w:val="both"/>
        <w:rPr>
          <w:rFonts w:ascii="Times New Roman" w:hAnsi="Times New Roman" w:cs="Times New Roman"/>
          <w:color w:val="000000"/>
          <w:sz w:val="24"/>
          <w:szCs w:val="24"/>
        </w:rPr>
      </w:pPr>
      <w:r>
        <w:rPr>
          <w:rFonts w:ascii="Times New Roman" w:hAnsi="Times New Roman" w:cs="Times New Roman"/>
          <w:b/>
          <w:sz w:val="24"/>
          <w:szCs w:val="24"/>
          <w:lang w:val="lt-LT"/>
        </w:rPr>
        <w:tab/>
      </w:r>
      <w:r w:rsidR="00AB1E68" w:rsidRPr="006D5D6A">
        <w:rPr>
          <w:rFonts w:ascii="Times New Roman" w:hAnsi="Times New Roman" w:cs="Times New Roman"/>
          <w:sz w:val="24"/>
          <w:szCs w:val="24"/>
        </w:rPr>
        <w:t xml:space="preserve">2. </w:t>
      </w:r>
      <w:r w:rsidR="00AB1E68" w:rsidRPr="006D5D6A">
        <w:rPr>
          <w:rFonts w:ascii="Times New Roman" w:hAnsi="Times New Roman" w:cs="Times New Roman"/>
          <w:color w:val="000000"/>
          <w:sz w:val="24"/>
          <w:szCs w:val="24"/>
        </w:rPr>
        <w:t xml:space="preserve">Jeigu vienetas nebetęsia veiklos, dėl kurios šie nuostoliai susidarė (išskyrus atvejus, kai vienetas nebetęsia veiklos dėl nuo jo nepriklausančių priežasčių), tai nuostolių perkėlimas į kitus mokestinius laikotarpius nutraukiamas. </w:t>
      </w:r>
    </w:p>
    <w:p w14:paraId="284A032D" w14:textId="77777777" w:rsidR="00AB1E68" w:rsidRPr="006D5D6A" w:rsidRDefault="00AB1E68" w:rsidP="00AB1E68">
      <w:pPr>
        <w:ind w:firstLine="720"/>
        <w:jc w:val="both"/>
      </w:pPr>
      <w:r w:rsidRPr="006D5D6A">
        <w:rPr>
          <w:color w:val="000000"/>
        </w:rPr>
        <w:t>Vieneto mokestiniu laikotarpiu</w:t>
      </w:r>
      <w:r w:rsidRPr="006D5D6A">
        <w:rPr>
          <w:bCs/>
        </w:rPr>
        <w:t xml:space="preserve"> susidarę nutrauktos veiklos nuostoliai dengiami šio mokestinio laikotarpio kitos veiklos pelnu. Jeigu mokestiniu laikotarpiu nutrauktos veiklos nuostoliai dengiami kitos veiklos pelnu ir</w:t>
      </w:r>
      <w:r w:rsidRPr="006D5D6A">
        <w:rPr>
          <w:b/>
          <w:bCs/>
        </w:rPr>
        <w:t xml:space="preserve">, </w:t>
      </w:r>
      <w:r w:rsidRPr="006D5D6A">
        <w:rPr>
          <w:bCs/>
        </w:rPr>
        <w:t>iš pajamų atėmus leidžiamus ir ribojamų dydžių leidžiamus atskaitymus (išskyrus ankstesnių mokestinių laikotarpių nuostolius), apskaičiuojamas pelnas, tai vienetas gali atskaityti ankstesnių mokestinių laikotarpių nebetęsiamos veiklos nuostolius. J</w:t>
      </w:r>
      <w:r w:rsidRPr="006D5D6A">
        <w:t>eigu nutrauktos veiklos nuostolių suma viršija vieneto iš kitos veiklos gautą pelną ir dėl to susidaro mokestinio laikotarpio nuostoliai, tai nuostolių dalis, viršijanti vieneto kitos veiklos pelną, taip pat ir nebetęsiamos veiklos ankstesnių mokestinių laikotarpių nuostoliai į kitus mokestinius laikotarpius neperkeliami.</w:t>
      </w:r>
    </w:p>
    <w:p w14:paraId="3A68ACB7" w14:textId="77777777" w:rsidR="00AB1E68" w:rsidRPr="006D5D6A" w:rsidRDefault="00AB1E68" w:rsidP="00AB1E68">
      <w:pPr>
        <w:tabs>
          <w:tab w:val="left" w:pos="720"/>
          <w:tab w:val="left" w:pos="1077"/>
          <w:tab w:val="left" w:pos="1418"/>
        </w:tabs>
        <w:ind w:right="-5" w:firstLine="709"/>
        <w:jc w:val="both"/>
      </w:pPr>
      <w:r w:rsidRPr="006D5D6A">
        <w:t xml:space="preserve">Jeigu vienetas iš </w:t>
      </w:r>
      <w:r w:rsidRPr="006D5D6A">
        <w:rPr>
          <w:bCs/>
        </w:rPr>
        <w:t xml:space="preserve">mokestiniu laikotarpiu nutrauktos veiklos gavo pelno </w:t>
      </w:r>
      <w:r w:rsidRPr="006D5D6A">
        <w:t xml:space="preserve">ir vieneto šio mokestinio laikotarpio veiklos rezultatas (apskaičiuotas iš pajamų atėmus leidžiamus ir ribojamų dydžių leidžiamus atskaitymus, išskyrus ankstesnių mokestinių laikotarpių nuostolius) taip pat yra pelnas, tai vienetas, apskaičiuodamas apmokestinamąjį pelną, gali iš pajamų atskaityti ankstesnių mokestinių </w:t>
      </w:r>
      <w:r w:rsidRPr="006D5D6A">
        <w:lastRenderedPageBreak/>
        <w:t>laikotarpių nebetęsiamos veiklos mokestinius nuostolius.</w:t>
      </w:r>
      <w:r w:rsidRPr="006D5D6A">
        <w:rPr>
          <w:b/>
          <w:bCs/>
        </w:rPr>
        <w:t xml:space="preserve"> </w:t>
      </w:r>
      <w:r w:rsidRPr="006D5D6A">
        <w:t xml:space="preserve">Iš pajamų neatskaityta likusi nebetęsiamos veiklos nuostolių dalis į kitus mokestinius laikotarpius neperkeliama. </w:t>
      </w:r>
    </w:p>
    <w:p w14:paraId="5CB6BA60" w14:textId="77777777" w:rsidR="00AB1E68" w:rsidRPr="006D5D6A" w:rsidRDefault="00AB1E68" w:rsidP="00AB1E68">
      <w:pPr>
        <w:tabs>
          <w:tab w:val="left" w:pos="720"/>
          <w:tab w:val="left" w:pos="1077"/>
          <w:tab w:val="left" w:pos="1418"/>
        </w:tabs>
        <w:ind w:right="-5" w:firstLine="709"/>
      </w:pPr>
      <w:r w:rsidRPr="006D5D6A">
        <w:t xml:space="preserve">Pavyzdys </w:t>
      </w:r>
    </w:p>
    <w:p w14:paraId="6918E32B" w14:textId="77777777" w:rsidR="00AB1E68" w:rsidRPr="007E7D8B" w:rsidRDefault="00AB1E68" w:rsidP="00AB1E68">
      <w:pPr>
        <w:pBdr>
          <w:top w:val="single" w:sz="4" w:space="1" w:color="auto"/>
          <w:left w:val="single" w:sz="4" w:space="4" w:color="auto"/>
          <w:right w:val="single" w:sz="4" w:space="4" w:color="auto"/>
        </w:pBdr>
        <w:tabs>
          <w:tab w:val="left" w:pos="720"/>
          <w:tab w:val="left" w:pos="1077"/>
          <w:tab w:val="left" w:pos="1418"/>
        </w:tabs>
        <w:ind w:right="-5" w:firstLine="709"/>
        <w:jc w:val="both"/>
      </w:pPr>
      <w:r w:rsidRPr="007E7D8B">
        <w:t>Vieneto, kurio veikla – krovinių vežimas, prekyba atsarginėmis automobilių detalėmis, automobilių ir nekilnojamojo turto nuoma, 2017 metų</w:t>
      </w:r>
      <w:r w:rsidRPr="007E7D8B" w:rsidDel="009A2B68">
        <w:t xml:space="preserve"> </w:t>
      </w:r>
      <w:r w:rsidRPr="007E7D8B">
        <w:t>nuostoliai sudarė 60 000 Eur (vienetas apskaičiavo 150 000 Eur nekilnojamojo turto nuomos nuostolių ir 20 000 Eur pelno iš prekybos atsarginėmis detalėmis bei 70 000 Eur iš krovinių vežimo veiklos). 2018 m. kovo mėnesį vienetas nutraukė nekilnojamojo turto nuomos veiklą.</w:t>
      </w:r>
    </w:p>
    <w:p w14:paraId="7ACFD0D8"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Nebetęsiamos veiklos nuostolių pripažinimas ribojamų dydžių leidžiamais atskaitymais, atsižvelgiant į mokestinio laikotarpio veiklos rezultatus:</w:t>
      </w:r>
    </w:p>
    <w:p w14:paraId="118BE1B6"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1. Vieneto 2018 metų nuostoliai, apskaičiuoti iš pajamų atėmus leidžiamus ir ribojamų dydžių leidžiamus atskaitymus, sudarė 120 000 Eur (10 000 Eur nuostolių iš krovinių vežimo veiklos, 40 000 Eur nuostolių iš prekybos atsarginėmis detalėmis ir kitos veiklos bei 70 000 Eur nekilnojamojo turto nuomos nuostolių). Vienetas negali perkelti į kitus mokestinius laikotarpius 2018 metais susidariusių 70 000 Eur bei 2017 metais susidariusių 60 000 Eur nekilnojamojo turto nuomos nuostolių. </w:t>
      </w:r>
    </w:p>
    <w:p w14:paraId="3E5EC4AE"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2. Vieneto 2018 metų veiklos pelnas (apskaičiuotas iš pajamų atėmus leidžiamus ir ribojamų dydžių leidžiamus atskaitymus, išskyrus </w:t>
      </w:r>
      <w:r w:rsidRPr="007E7D8B">
        <w:rPr>
          <w:bCs/>
        </w:rPr>
        <w:t>ankstesnių</w:t>
      </w:r>
      <w:r w:rsidRPr="007E7D8B">
        <w:t xml:space="preserve"> mokestinių laikotarpių nuostolius) sudarė 50 000  Eur (nekilnojamojo turto nuomos nuostoliai, kurie sudarė 70 000 Eur, padengti kitos veiklos pelnu). </w:t>
      </w:r>
    </w:p>
    <w:p w14:paraId="54AC1E94"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Vienetas, apskaičiuodamas 2018 metų apmokestinamąjį pelną, iš pajamų gali atskaityti 35 000 Eur (50 000 Eur x 70 proc.) 2017 metų nekilnojamojo turto nuomos nuostolių, o likusi (25 000 Eur (60 000 Eur – 35 000 Eur)) neatskaityta nuostolių dalis į kitus mokestinius laikotarpius neperkeliama.</w:t>
      </w:r>
    </w:p>
    <w:p w14:paraId="6A1DE5A9"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3. Vieneto 2018 metų veiklos nuostoliai (apskaičiuoti iš pajamų atėmus leidžiamus ir ribojamų dydžių leidžiamus atskaitymus, išskyrus ankstesnių mokestinių laikotarpių nuostolius) sudarė 30 000 Eur (nekilnojamojo turto nuomos nuostoliai, kurie sudarė 110 000 Eur, iš dalies padengti kitos veiklos pelnu). </w:t>
      </w:r>
    </w:p>
    <w:p w14:paraId="180072B1"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Vienetas negali perkelti į kitus mokestinius laikotarpius 30 000 Eur 2018 metų ir 60 000  Eur 2017  metų nekilnojamojo turto nuomos nuostolių.</w:t>
      </w:r>
    </w:p>
    <w:p w14:paraId="643CB229"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4. Vieneto 2018 metų veiklos pelnas (apskaičiuotas iš pajamų atėmus leidžiamus ir ribojamų dydžių leidžiamus atskaitymus, išskyrus ankstesnių mokestinių laikotarpių nuostolius) sudarė 230 000 Eur (iš jų 70 000 Eur nekilnojamojo turto nuomos pelno).</w:t>
      </w:r>
    </w:p>
    <w:p w14:paraId="078BC223" w14:textId="77777777" w:rsidR="00AB1E68" w:rsidRPr="007E7D8B"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E7D8B">
        <w:t xml:space="preserve">Vienetas, apskaičiuodamas 2018 metų apmokestinamąjį pelną, iš pajamų gali atskaityti  60 000 Eur 2017 metų nekilnojamojo turto nuomos nuostolių. </w:t>
      </w:r>
    </w:p>
    <w:p w14:paraId="17A37A21" w14:textId="77777777" w:rsidR="00AB1E68" w:rsidRPr="006D5D6A" w:rsidRDefault="00AB1E68" w:rsidP="00AB1E68">
      <w:pPr>
        <w:pStyle w:val="HTMLiankstoformatuotas"/>
        <w:ind w:firstLine="709"/>
        <w:jc w:val="both"/>
        <w:rPr>
          <w:rFonts w:ascii="Times New Roman" w:hAnsi="Times New Roman" w:cs="Times New Roman"/>
          <w:strike/>
          <w:sz w:val="24"/>
          <w:szCs w:val="24"/>
        </w:rPr>
      </w:pPr>
      <w:r w:rsidRPr="007E7D8B">
        <w:rPr>
          <w:rFonts w:ascii="Times New Roman" w:hAnsi="Times New Roman" w:cs="Times New Roman"/>
          <w:sz w:val="24"/>
          <w:szCs w:val="24"/>
        </w:rPr>
        <w:t>3. Jei perleidžiantysis vienetas PMĮ 41 straipsnio 2 dalies 5, 6 ar 8 punktuose nustatytais atvejais įsigyjančiajam vienetui perleidžia veiklos dalį ar veiklą kaip kompleksą, tai perleistai veiklai tenkančių dar neperkeltų mokestinių laikotarpių nuostolių perkėlimas į kitus mokestinius laikotarpius nutraukiamas, nes vienetas nebetęsia perleistos veiklos, dėl kurios nuostoliai</w:t>
      </w:r>
      <w:r w:rsidRPr="006D5D6A">
        <w:rPr>
          <w:rFonts w:ascii="Times New Roman" w:hAnsi="Times New Roman" w:cs="Times New Roman"/>
          <w:sz w:val="24"/>
          <w:szCs w:val="24"/>
        </w:rPr>
        <w:t xml:space="preserve"> susidarė. Jeigu veiklą perleidžiantis vienetas tos veiklos nuostolių įsigyjančiajam vienetui neperduoda PMĮ 43 straipsnyje nustatyta tvarka, tai ankstesnių mokestinių laikotarpių ir/ar to mokestinio laikotarpio, kurį veikla perleidžiama, nuostoliams PMĮ 30 straipsnio 4 dalies nuostatos taikomos analogiškai kaip veiklą nutraukus. </w:t>
      </w:r>
      <w:r w:rsidRPr="006D5D6A">
        <w:rPr>
          <w:rFonts w:ascii="Times New Roman" w:hAnsi="Times New Roman" w:cs="Times New Roman"/>
          <w:sz w:val="24"/>
          <w:szCs w:val="24"/>
        </w:rPr>
        <w:tab/>
      </w:r>
      <w:r w:rsidRPr="006D5D6A">
        <w:rPr>
          <w:rFonts w:ascii="Times New Roman" w:hAnsi="Times New Roman" w:cs="Times New Roman"/>
          <w:strike/>
          <w:sz w:val="24"/>
          <w:szCs w:val="24"/>
        </w:rPr>
        <w:t xml:space="preserve"> </w:t>
      </w:r>
    </w:p>
    <w:p w14:paraId="75910D6A" w14:textId="77777777" w:rsidR="00AB1E68" w:rsidRPr="006D5D6A" w:rsidRDefault="00AB1E68" w:rsidP="00AB1E68">
      <w:pPr>
        <w:pStyle w:val="HTMLiankstoformatuotas"/>
        <w:tabs>
          <w:tab w:val="left" w:pos="720"/>
          <w:tab w:val="left" w:pos="1077"/>
          <w:tab w:val="left" w:pos="1418"/>
        </w:tabs>
        <w:jc w:val="both"/>
        <w:rPr>
          <w:rFonts w:ascii="Times New Roman" w:hAnsi="Times New Roman" w:cs="Times New Roman"/>
          <w:bCs/>
          <w:sz w:val="24"/>
          <w:szCs w:val="24"/>
        </w:rPr>
      </w:pPr>
      <w:r w:rsidRPr="006D5D6A">
        <w:rPr>
          <w:rFonts w:ascii="Times New Roman" w:hAnsi="Times New Roman" w:cs="Times New Roman"/>
          <w:sz w:val="24"/>
          <w:szCs w:val="24"/>
        </w:rPr>
        <w:tab/>
      </w:r>
      <w:r w:rsidRPr="006D5D6A">
        <w:rPr>
          <w:rFonts w:ascii="Times New Roman" w:hAnsi="Times New Roman" w:cs="Times New Roman"/>
          <w:strike/>
          <w:sz w:val="24"/>
          <w:szCs w:val="24"/>
        </w:rPr>
        <w:t>4</w:t>
      </w:r>
      <w:r w:rsidRPr="006D5D6A">
        <w:rPr>
          <w:rFonts w:ascii="Times New Roman" w:hAnsi="Times New Roman" w:cs="Times New Roman"/>
          <w:sz w:val="24"/>
          <w:szCs w:val="24"/>
        </w:rPr>
        <w:t>. Vieneto nebetęsiamos veiklos mokestiniai nuostoliai į kitus mokestinius laikotarpius gali būti perkeliami neribotą laiką, jei</w:t>
      </w:r>
      <w:r w:rsidRPr="006D5D6A">
        <w:rPr>
          <w:rFonts w:ascii="Times New Roman" w:hAnsi="Times New Roman" w:cs="Times New Roman"/>
          <w:bCs/>
          <w:sz w:val="24"/>
          <w:szCs w:val="24"/>
        </w:rPr>
        <w:t xml:space="preserve">gu veikla netęsiama dėl nuo vieneto nepriklausančių priežasčių, pvz., veikla nebetęsiama dėl nenugalimos jėgos (force majeure) aplinkybių (tarkim, vienetas produkcijos </w:t>
      </w:r>
      <w:r w:rsidRPr="006D5D6A">
        <w:rPr>
          <w:rFonts w:ascii="Times New Roman" w:hAnsi="Times New Roman" w:cs="Times New Roman"/>
          <w:bCs/>
          <w:sz w:val="24"/>
          <w:szCs w:val="24"/>
        </w:rPr>
        <w:lastRenderedPageBreak/>
        <w:t xml:space="preserve">gamybą nutraukė, nes gaisras sunaikino gamybinį pastatą, buvo pakeisti atitinkami teisės aktai ar pan., t. y. įvyko tai, ko vienetas negalėjo numatyti).  </w:t>
      </w:r>
    </w:p>
    <w:p w14:paraId="58BC9C02" w14:textId="77777777" w:rsidR="00AB1E68" w:rsidRPr="006D5D6A" w:rsidRDefault="00AB1E68" w:rsidP="00AB1E68">
      <w:pPr>
        <w:pStyle w:val="HTMLiankstoformatuotas"/>
        <w:tabs>
          <w:tab w:val="left" w:pos="720"/>
          <w:tab w:val="left" w:pos="1077"/>
          <w:tab w:val="left" w:pos="1418"/>
        </w:tabs>
        <w:jc w:val="both"/>
        <w:rPr>
          <w:rFonts w:ascii="Times New Roman" w:hAnsi="Times New Roman" w:cs="Times New Roman"/>
          <w:bCs/>
          <w:sz w:val="24"/>
          <w:szCs w:val="24"/>
        </w:rPr>
      </w:pPr>
      <w:r w:rsidRPr="006D5D6A">
        <w:rPr>
          <w:rFonts w:ascii="Times New Roman" w:hAnsi="Times New Roman" w:cs="Times New Roman"/>
          <w:bCs/>
          <w:sz w:val="24"/>
          <w:szCs w:val="24"/>
        </w:rPr>
        <w:tab/>
      </w:r>
      <w:r w:rsidRPr="006D5D6A">
        <w:rPr>
          <w:rFonts w:ascii="Times New Roman" w:hAnsi="Times New Roman" w:cs="Times New Roman"/>
          <w:bCs/>
          <w:sz w:val="24"/>
          <w:szCs w:val="24"/>
        </w:rPr>
        <w:tab/>
        <w:t>Pavyzdys</w:t>
      </w:r>
    </w:p>
    <w:p w14:paraId="56B9E658" w14:textId="77777777" w:rsidR="00AB1E68" w:rsidRPr="006D5D6A" w:rsidRDefault="00AB1E68" w:rsidP="00AB1E68">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rPr>
      </w:pPr>
      <w:r w:rsidRPr="006D5D6A">
        <w:rPr>
          <w:rFonts w:ascii="Times New Roman" w:hAnsi="Times New Roman" w:cs="Times New Roman"/>
          <w:b/>
          <w:bCs/>
          <w:sz w:val="24"/>
          <w:szCs w:val="24"/>
        </w:rPr>
        <w:tab/>
      </w:r>
      <w:r w:rsidRPr="006D5D6A">
        <w:rPr>
          <w:rFonts w:ascii="Times New Roman" w:hAnsi="Times New Roman" w:cs="Times New Roman"/>
          <w:sz w:val="24"/>
          <w:szCs w:val="24"/>
        </w:rPr>
        <w:t>Vienetas pagamintą produkciją parduodavo užsienio valstybių įmonėms, tačiau</w:t>
      </w:r>
      <w:r w:rsidRPr="006D5D6A">
        <w:rPr>
          <w:rFonts w:ascii="Times New Roman" w:hAnsi="Times New Roman" w:cs="Times New Roman"/>
          <w:b/>
          <w:sz w:val="24"/>
          <w:szCs w:val="24"/>
        </w:rPr>
        <w:t xml:space="preserve">, </w:t>
      </w:r>
      <w:r w:rsidRPr="006D5D6A">
        <w:rPr>
          <w:rFonts w:ascii="Times New Roman" w:hAnsi="Times New Roman" w:cs="Times New Roman"/>
          <w:sz w:val="24"/>
          <w:szCs w:val="24"/>
        </w:rPr>
        <w:t>įsigaliojus naujiems ekologijos standartams, jis turėjo nutraukti ekologinių standartų neatitinkančios produkcijos gamybą.</w:t>
      </w:r>
    </w:p>
    <w:p w14:paraId="34C6B435" w14:textId="77777777" w:rsidR="00AB1E68" w:rsidRPr="006D5D6A" w:rsidRDefault="00AB1E68" w:rsidP="00AB1E68">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rPr>
      </w:pPr>
      <w:r w:rsidRPr="006D5D6A">
        <w:rPr>
          <w:rFonts w:ascii="Times New Roman" w:hAnsi="Times New Roman" w:cs="Times New Roman"/>
          <w:sz w:val="24"/>
          <w:szCs w:val="24"/>
        </w:rPr>
        <w:tab/>
        <w:t>Kadangi vienetas buvo priverstas nutraukti tokios produkcijos gamybą dėl nuo jo nepriklausančių priežasčių (pasikeitė teisės aktai, reglamentuojantys gaminamos produkcijos standartus), todėl nebetęsiamos veiklos nuostolius jis gali perkelti į kitus mokestinius laikotarpius neribotą laiką PMĮ 30 straipsnio 4 dalyje nustatyta tvarka.</w:t>
      </w:r>
    </w:p>
    <w:p w14:paraId="45FC20DB" w14:textId="77777777" w:rsidR="00AB1E68" w:rsidRPr="006D5D6A" w:rsidRDefault="00AB1E68" w:rsidP="00AB1E68">
      <w:pPr>
        <w:ind w:firstLine="720"/>
        <w:jc w:val="both"/>
        <w:rPr>
          <w:color w:val="000000"/>
        </w:rPr>
      </w:pPr>
      <w:r w:rsidRPr="006D5D6A">
        <w:rPr>
          <w:color w:val="000000"/>
        </w:rPr>
        <w:t xml:space="preserve">5. Apskaičiuojant </w:t>
      </w:r>
      <w:r>
        <w:rPr>
          <w:color w:val="000000"/>
        </w:rPr>
        <w:t>p</w:t>
      </w:r>
      <w:r w:rsidRPr="006D5D6A">
        <w:rPr>
          <w:color w:val="000000"/>
        </w:rPr>
        <w:t xml:space="preserve">elno mokestį, perkeliamų iš pajamų atskaitomų mokestinių laikotarpių nuostolių suma negali būti didesnė kaip 70 procentų mokestinio laikotarpio pajamų, apskaičiuotų iš pajamų atėmus neapmokestinamąsias pajamas, leidžiamus atskaitymus ir ribojamų dydžių leidžiamus atskaitymus, išskyrus </w:t>
      </w:r>
      <w:r w:rsidRPr="006D5D6A">
        <w:rPr>
          <w:rFonts w:eastAsia="Calibri"/>
        </w:rPr>
        <w:t>ankstesnių metų mokestinių laikotarpių nuostolius.</w:t>
      </w:r>
      <w:r w:rsidRPr="006D5D6A">
        <w:rPr>
          <w:color w:val="000000"/>
        </w:rPr>
        <w:t xml:space="preserve"> </w:t>
      </w:r>
    </w:p>
    <w:p w14:paraId="748555F6" w14:textId="77777777" w:rsidR="00AB1E68" w:rsidRPr="006D5D6A" w:rsidRDefault="00AB1E68" w:rsidP="00AB1E68">
      <w:pPr>
        <w:pStyle w:val="HTMLiankstoformatuotas"/>
        <w:ind w:firstLine="709"/>
        <w:jc w:val="both"/>
        <w:rPr>
          <w:rFonts w:ascii="Times New Roman" w:hAnsi="Times New Roman" w:cs="Times New Roman"/>
          <w:color w:val="000000"/>
          <w:sz w:val="24"/>
          <w:szCs w:val="24"/>
        </w:rPr>
      </w:pPr>
      <w:r w:rsidRPr="006D5D6A">
        <w:rPr>
          <w:rFonts w:ascii="Times New Roman" w:hAnsi="Times New Roman" w:cs="Times New Roman"/>
          <w:color w:val="000000"/>
          <w:sz w:val="24"/>
          <w:szCs w:val="24"/>
        </w:rPr>
        <w:t>Šioje dalyje įtvirtinta atskaitomų mokestinių nuostolių dydį ribojanti nuostata taip pat taikoma finansų įstaigų VP perleidimo nuostoliams. Finansų įstaigos, apskaičiuodamos apmokestinamąjį pelną, iš VP perleidimo pelno gali atskaityti ankstesnių mokestinių laikotarpių VP perleidimo nuostolių sumą, ne didesnę kaip 70 procentų mokestinio laikotarpio VP perleidimo pelno. Finansų įstaigų ankstesnių mokestinių laikotarpių nuostoliai iš mokestinio laikotarpio apmokestinamojo pelno atskaitomi tokia tvarka:</w:t>
      </w:r>
    </w:p>
    <w:p w14:paraId="3A3FA77E" w14:textId="77777777" w:rsidR="00AB1E68" w:rsidRPr="007E7D8B" w:rsidRDefault="00AB1E68" w:rsidP="00AB1E68">
      <w:pPr>
        <w:pStyle w:val="HTMLiankstoformatuotas"/>
        <w:ind w:firstLine="709"/>
        <w:jc w:val="both"/>
        <w:rPr>
          <w:rFonts w:ascii="Times New Roman" w:hAnsi="Times New Roman" w:cs="Times New Roman"/>
          <w:color w:val="000000"/>
          <w:sz w:val="24"/>
          <w:szCs w:val="24"/>
        </w:rPr>
      </w:pPr>
      <w:r w:rsidRPr="007E7D8B">
        <w:rPr>
          <w:rFonts w:ascii="Times New Roman" w:hAnsi="Times New Roman" w:cs="Times New Roman"/>
          <w:color w:val="000000"/>
          <w:sz w:val="24"/>
          <w:szCs w:val="24"/>
        </w:rPr>
        <w:t>1) jeigu mokestiniu laikotarpiu apskaičiuojamas veiklos pelnas, VP perleidimo pelnas ir apmokestinamasis pelnas, apskaičiuotas pagal PMĮ 5 straipsnio 9 dalyje nustatytą formulę, tai bendra atskaitoma perkeliamų veiklos ir VP perleidimo nuostolių suma negali būti didesnė kaip 70 procentų apmokestinamojo pelno, apskaičiuoto sudėjus veiklos pelno ir veiklos, apmokestinamos pagal PMĮ 5 straipsnio 7-9 dalis,  pelno, iš kurio atimtas pagal PMĮ 5 straipsnio 9 dalyje nustatytą formulę apskaičiuotas nuostolis, bei VP perleidimo pelno sumas, tačiau atskirai paėmus iš VP perleidimo pelno atskaitoma perkeliamų VP perleidimo nuostolių suma taip pat negali būti didesnė kaip 70 procentų mokestinio laikotarpio VP perleidimo pelno.</w:t>
      </w:r>
    </w:p>
    <w:p w14:paraId="3709609E" w14:textId="77777777" w:rsidR="00AB1E68" w:rsidRPr="006D5D6A" w:rsidRDefault="00AB1E68" w:rsidP="00AB1E68">
      <w:pPr>
        <w:ind w:firstLine="720"/>
        <w:jc w:val="both"/>
        <w:rPr>
          <w:color w:val="000000"/>
        </w:rPr>
      </w:pPr>
      <w:r w:rsidRPr="007E7D8B">
        <w:rPr>
          <w:color w:val="000000"/>
        </w:rPr>
        <w:t>Jeigu vienetas perkeliamų veiklos nuostolių neturi, tai atsižvelgiant į tai, kad VP perleidimo nuostoliai gali būti dengiami tik VP perleidimo pajamomis (</w:t>
      </w:r>
      <w:r w:rsidRPr="006D5D6A">
        <w:rPr>
          <w:color w:val="000000"/>
        </w:rPr>
        <w:t>žr. PMĮ 30 straipsnio 2 dalies komentarą), vienetas apmokestinamąjį pelną, gali sumažinti tik iš VP perleidimo pelno atskaitoma perkeliamų VP perleidimo nuostolių suma, kuri negali būti didesnė kaip 70 procentų mokestinio laikotarpio VP perleidimo pelno</w:t>
      </w:r>
    </w:p>
    <w:p w14:paraId="7DCC710D"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6D5D6A">
        <w:rPr>
          <w:rFonts w:ascii="Times New Roman" w:hAnsi="Times New Roman" w:cs="Times New Roman"/>
          <w:color w:val="000000"/>
          <w:sz w:val="24"/>
          <w:szCs w:val="24"/>
        </w:rPr>
        <w:t>Jeigu</w:t>
      </w:r>
      <w:r w:rsidRPr="006D5D6A">
        <w:rPr>
          <w:rFonts w:ascii="Times New Roman" w:hAnsi="Times New Roman" w:cs="Times New Roman"/>
          <w:sz w:val="24"/>
          <w:szCs w:val="24"/>
        </w:rPr>
        <w:t xml:space="preserve"> vieneto perkeliami VP perleidimo nuostoliai sudaro mažiau kaip 70 procentų mokestinio laikotarpio VP perleidimo pelno (arba vienetas perkeliamų VP perleidimo nuostolių neturi), tai iš VP perleidimo pelno atėmus perkeliamą VP perleidimo nuostolių sumą (jeigu vienetas tokių nuostolių turėjo), iš likusios VP perleidimo pelno sumos arba iš VP perleidimo pelno (jeigu vienetas tokių nuostolių neturėjo) gali būti atskaitomi ankstesnių mokestinių laikotarpių veiklos nuostoliai. Tačiau </w:t>
      </w:r>
      <w:r w:rsidRPr="006D5D6A">
        <w:rPr>
          <w:rFonts w:ascii="Times New Roman" w:hAnsi="Times New Roman" w:cs="Times New Roman"/>
          <w:color w:val="000000"/>
          <w:sz w:val="24"/>
          <w:szCs w:val="24"/>
        </w:rPr>
        <w:t xml:space="preserve">bendra </w:t>
      </w:r>
      <w:r w:rsidRPr="007E7D8B">
        <w:rPr>
          <w:rFonts w:ascii="Times New Roman" w:hAnsi="Times New Roman" w:cs="Times New Roman"/>
          <w:color w:val="000000"/>
          <w:sz w:val="24"/>
          <w:szCs w:val="24"/>
        </w:rPr>
        <w:t>atskaitomų veiklos ir VP perleidimo nuostolių suma negali būti didesnė kaip 70 procentų apmokestinamojo pelno, apskaičiuoto sudėjus veiklos,  VP perleidimo pelno sumas ir veiklos, apmokestinamos pagal PMĮ 5 straipsnio 7-9 dalis,  pelno, iš kurio atimtas pagal PMĮ 5 straipsnio 9 dalyje nustatytą formulę apskaičiuotas nuostolis, sumas;</w:t>
      </w:r>
    </w:p>
    <w:p w14:paraId="2719EFE4"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7E7D8B">
        <w:rPr>
          <w:rFonts w:ascii="Times New Roman" w:hAnsi="Times New Roman" w:cs="Times New Roman"/>
          <w:sz w:val="24"/>
          <w:szCs w:val="24"/>
        </w:rPr>
        <w:t xml:space="preserve">2) jeigu mokestiniu laikotarpiu apskaičiuojamas veiklos nuostolis, o  </w:t>
      </w:r>
      <w:r w:rsidRPr="007E7D8B">
        <w:rPr>
          <w:rFonts w:ascii="Times New Roman" w:hAnsi="Times New Roman" w:cs="Times New Roman"/>
          <w:color w:val="000000"/>
          <w:sz w:val="24"/>
          <w:szCs w:val="24"/>
        </w:rPr>
        <w:t xml:space="preserve">pagal PMĮ 5 straipsnio 9 dalyje nustatytą formulę apmokestinamasis pelnas ir iš </w:t>
      </w:r>
      <w:r w:rsidRPr="007E7D8B">
        <w:rPr>
          <w:rFonts w:ascii="Times New Roman" w:hAnsi="Times New Roman" w:cs="Times New Roman"/>
          <w:sz w:val="24"/>
          <w:szCs w:val="24"/>
        </w:rPr>
        <w:t xml:space="preserve">VP perleidimo - pelnas, tai iš VP perleidimo </w:t>
      </w:r>
      <w:r w:rsidRPr="007E7D8B">
        <w:rPr>
          <w:rFonts w:ascii="Times New Roman" w:hAnsi="Times New Roman" w:cs="Times New Roman"/>
          <w:sz w:val="24"/>
          <w:szCs w:val="24"/>
        </w:rPr>
        <w:lastRenderedPageBreak/>
        <w:t xml:space="preserve">pelno </w:t>
      </w:r>
      <w:r w:rsidRPr="007E7D8B">
        <w:rPr>
          <w:rFonts w:ascii="Times New Roman" w:hAnsi="Times New Roman" w:cs="Times New Roman"/>
          <w:color w:val="000000"/>
          <w:sz w:val="24"/>
          <w:szCs w:val="24"/>
        </w:rPr>
        <w:t xml:space="preserve">ir veiklos, apmokestinamos pagal PMĮ 5 straipsnio 7-9 dalis,  pelno </w:t>
      </w:r>
      <w:r w:rsidRPr="007E7D8B">
        <w:rPr>
          <w:rFonts w:ascii="Times New Roman" w:hAnsi="Times New Roman" w:cs="Times New Roman"/>
          <w:sz w:val="24"/>
          <w:szCs w:val="24"/>
        </w:rPr>
        <w:t xml:space="preserve">atskaitoma perkeliamų nuostolių suma, išskyrus </w:t>
      </w:r>
      <w:r w:rsidRPr="007E7D8B">
        <w:rPr>
          <w:rFonts w:ascii="Times New Roman" w:hAnsi="Times New Roman" w:cs="Times New Roman"/>
          <w:color w:val="000000"/>
          <w:sz w:val="24"/>
          <w:szCs w:val="24"/>
        </w:rPr>
        <w:t>pagal PMĮ 5 straipsnio 9 dalyje nustatytą formulę apskaičiuotus nuostolius,</w:t>
      </w:r>
      <w:r w:rsidRPr="007E7D8B">
        <w:rPr>
          <w:rFonts w:ascii="Times New Roman" w:hAnsi="Times New Roman" w:cs="Times New Roman"/>
          <w:sz w:val="24"/>
          <w:szCs w:val="24"/>
        </w:rPr>
        <w:t xml:space="preserve"> negali būti didesnė kaip 70 procentų apmokestinamojo pelno, apskaičiuoto iš VP perleidimo pelno atėmus likusią iš </w:t>
      </w:r>
      <w:r w:rsidRPr="007E7D8B">
        <w:rPr>
          <w:rFonts w:ascii="Times New Roman" w:hAnsi="Times New Roman" w:cs="Times New Roman"/>
          <w:color w:val="000000"/>
          <w:sz w:val="24"/>
          <w:szCs w:val="24"/>
        </w:rPr>
        <w:t xml:space="preserve">apmokestinamojo pelno, apskaičiuoto pagal PMĮ 5 straipsnio 9 dalyje nustatytą formulę, neatskaitytą </w:t>
      </w:r>
      <w:r w:rsidRPr="007E7D8B">
        <w:rPr>
          <w:rFonts w:ascii="Times New Roman" w:hAnsi="Times New Roman" w:cs="Times New Roman"/>
          <w:sz w:val="24"/>
          <w:szCs w:val="24"/>
        </w:rPr>
        <w:t xml:space="preserve">veiklos nuostolių sumą. </w:t>
      </w:r>
    </w:p>
    <w:p w14:paraId="2914D486" w14:textId="77777777" w:rsidR="00AB1E68" w:rsidRPr="007E7D8B" w:rsidRDefault="00AB1E68" w:rsidP="00AB1E68">
      <w:pPr>
        <w:pStyle w:val="HTMLiankstoformatuotas"/>
        <w:tabs>
          <w:tab w:val="left" w:pos="5812"/>
        </w:tabs>
        <w:ind w:firstLine="709"/>
        <w:jc w:val="both"/>
        <w:rPr>
          <w:rFonts w:ascii="Times New Roman" w:hAnsi="Times New Roman" w:cs="Times New Roman"/>
          <w:sz w:val="24"/>
          <w:szCs w:val="24"/>
        </w:rPr>
      </w:pPr>
      <w:r w:rsidRPr="007E7D8B">
        <w:rPr>
          <w:rFonts w:ascii="Times New Roman" w:hAnsi="Times New Roman" w:cs="Times New Roman"/>
          <w:color w:val="000000"/>
          <w:sz w:val="24"/>
          <w:szCs w:val="24"/>
        </w:rPr>
        <w:t>Jeigu</w:t>
      </w:r>
      <w:r w:rsidRPr="007E7D8B">
        <w:rPr>
          <w:rFonts w:ascii="Times New Roman" w:hAnsi="Times New Roman" w:cs="Times New Roman"/>
          <w:sz w:val="24"/>
          <w:szCs w:val="24"/>
        </w:rPr>
        <w:t xml:space="preserve"> vieneto perkeliami VP perleidimo nuostoliai sudaro mažiau kaip 70 procentų mokestinio laikotarpio VP perleidimo pelno ir likusių iš apmokestinamojo pelno, apskaičiuoto </w:t>
      </w:r>
      <w:r w:rsidRPr="007E7D8B">
        <w:rPr>
          <w:rFonts w:ascii="Times New Roman" w:hAnsi="Times New Roman" w:cs="Times New Roman"/>
          <w:color w:val="000000"/>
          <w:sz w:val="24"/>
          <w:szCs w:val="24"/>
        </w:rPr>
        <w:t xml:space="preserve">pagal PMĮ 5 straipsnio 9 dalyje nustatytą formulę, </w:t>
      </w:r>
      <w:r w:rsidRPr="007E7D8B">
        <w:rPr>
          <w:rFonts w:ascii="Times New Roman" w:hAnsi="Times New Roman" w:cs="Times New Roman"/>
          <w:sz w:val="24"/>
          <w:szCs w:val="24"/>
        </w:rPr>
        <w:t xml:space="preserve">neatskaitytų veiklos nuostolių skirtumo (arba vienetas perkeliamų VP perleidimo nuostolių neturi), tai iš VP perleidimo pelno </w:t>
      </w:r>
      <w:r w:rsidRPr="007E7D8B">
        <w:rPr>
          <w:rFonts w:ascii="Times New Roman" w:hAnsi="Times New Roman" w:cs="Times New Roman"/>
          <w:color w:val="000000"/>
          <w:sz w:val="24"/>
          <w:szCs w:val="24"/>
        </w:rPr>
        <w:t xml:space="preserve">ir veiklos, apmokestinamos pagal PMĮ 5 straipsnio 7-9 dalis,  pelno, iš kurio atimti pagal PMĮ 5 straipsnio 9 dalyje nustatytą formulę apskaičiuoti nuostoliai, </w:t>
      </w:r>
      <w:r w:rsidRPr="007E7D8B">
        <w:rPr>
          <w:rFonts w:ascii="Times New Roman" w:hAnsi="Times New Roman" w:cs="Times New Roman"/>
          <w:sz w:val="24"/>
          <w:szCs w:val="24"/>
        </w:rPr>
        <w:t xml:space="preserve">gali būti atskaitomi ankstesnių mokestinių laikotarpių veiklos nuostoliai, tačiau atskaitoma VP perleidimo ir veiklos nuostolių bendra suma, negali būti didesnė kaip 70 procentų </w:t>
      </w:r>
      <w:r w:rsidRPr="007E7D8B">
        <w:rPr>
          <w:rFonts w:ascii="Times New Roman" w:hAnsi="Times New Roman" w:cs="Times New Roman"/>
          <w:color w:val="000000"/>
          <w:sz w:val="24"/>
          <w:szCs w:val="24"/>
        </w:rPr>
        <w:t xml:space="preserve">apmokestinamojo pelno, apskaičiuoto </w:t>
      </w:r>
      <w:r w:rsidRPr="007E7D8B">
        <w:rPr>
          <w:rFonts w:ascii="Times New Roman" w:hAnsi="Times New Roman" w:cs="Times New Roman"/>
          <w:sz w:val="24"/>
          <w:szCs w:val="24"/>
        </w:rPr>
        <w:t xml:space="preserve">iš VP perleidimo pelno atėmus likusių iš </w:t>
      </w:r>
      <w:r w:rsidRPr="007E7D8B">
        <w:rPr>
          <w:rFonts w:ascii="Times New Roman" w:hAnsi="Times New Roman" w:cs="Times New Roman"/>
          <w:color w:val="000000"/>
          <w:sz w:val="24"/>
          <w:szCs w:val="24"/>
        </w:rPr>
        <w:t xml:space="preserve">apmokestinamojo pelno, apskaičiuoto pagal PMĮ 5 straipsnio 9 dalyje nustatytą formulę, </w:t>
      </w:r>
      <w:r w:rsidRPr="007E7D8B">
        <w:rPr>
          <w:rFonts w:ascii="Times New Roman" w:hAnsi="Times New Roman" w:cs="Times New Roman"/>
          <w:sz w:val="24"/>
          <w:szCs w:val="24"/>
        </w:rPr>
        <w:t xml:space="preserve">neatskaitytų veiklos nuostolių sumą; </w:t>
      </w:r>
    </w:p>
    <w:p w14:paraId="1F29D23A" w14:textId="77777777" w:rsidR="00AB1E68" w:rsidRPr="007E7D8B" w:rsidRDefault="00AB1E68" w:rsidP="00AB1E68">
      <w:pPr>
        <w:pStyle w:val="HTMLiankstoformatuotas"/>
        <w:ind w:firstLine="709"/>
        <w:jc w:val="both"/>
        <w:rPr>
          <w:rFonts w:ascii="Times New Roman" w:hAnsi="Times New Roman" w:cs="Times New Roman"/>
          <w:sz w:val="24"/>
          <w:szCs w:val="24"/>
        </w:rPr>
      </w:pPr>
      <w:r w:rsidRPr="007E7D8B">
        <w:rPr>
          <w:rFonts w:ascii="Times New Roman" w:hAnsi="Times New Roman" w:cs="Times New Roman"/>
          <w:sz w:val="24"/>
          <w:szCs w:val="24"/>
        </w:rPr>
        <w:t xml:space="preserve">3) jeigu mokestiniu laikotarpiu apskaičiuojamas VP perleidimo nuostolis ir nuostolis,  apskaičiuotas pagal PMĮ </w:t>
      </w:r>
      <w:r w:rsidRPr="007E7D8B">
        <w:rPr>
          <w:rFonts w:ascii="Times New Roman" w:hAnsi="Times New Roman" w:cs="Times New Roman"/>
          <w:color w:val="000000"/>
          <w:sz w:val="24"/>
          <w:szCs w:val="24"/>
        </w:rPr>
        <w:t xml:space="preserve">5 straipsnio 9 dalyje nustatytą formulę, </w:t>
      </w:r>
      <w:r w:rsidRPr="007E7D8B">
        <w:rPr>
          <w:rFonts w:ascii="Times New Roman" w:hAnsi="Times New Roman" w:cs="Times New Roman"/>
          <w:sz w:val="24"/>
          <w:szCs w:val="24"/>
        </w:rPr>
        <w:t xml:space="preserve"> o veiklos pelnas, tai iš veiklos pelno atskaitoma ankstesnių mokestinių laikotarpių veiklos nuostolių suma negali viršyti 70 procentų mokestinio laikotarpio veiklos pelno sumos. Apskaičiuojant apmokestinamąjį pelną, į VP perleidimo nuostolius ir nuostolius, patirtus dėl turto naudojimo, pardavimo ar kitokio perleidimo nuosavybėn, apskaičiuotus pagal PMĮ </w:t>
      </w:r>
      <w:r w:rsidRPr="007E7D8B">
        <w:rPr>
          <w:rFonts w:ascii="Times New Roman" w:hAnsi="Times New Roman" w:cs="Times New Roman"/>
          <w:color w:val="000000"/>
          <w:sz w:val="24"/>
          <w:szCs w:val="24"/>
        </w:rPr>
        <w:t xml:space="preserve">5 straipsnio 9 dalyje nustatytą formulę, </w:t>
      </w:r>
      <w:r w:rsidRPr="007E7D8B">
        <w:rPr>
          <w:rFonts w:ascii="Times New Roman" w:hAnsi="Times New Roman" w:cs="Times New Roman"/>
          <w:sz w:val="24"/>
          <w:szCs w:val="24"/>
        </w:rPr>
        <w:t xml:space="preserve"> neatsižvelgiama (žr. PMĮ 30 straipsnio 2 ir 2</w:t>
      </w:r>
      <w:r w:rsidRPr="007E7D8B">
        <w:rPr>
          <w:rFonts w:ascii="Times New Roman" w:hAnsi="Times New Roman" w:cs="Times New Roman"/>
          <w:sz w:val="24"/>
          <w:szCs w:val="24"/>
          <w:vertAlign w:val="superscript"/>
        </w:rPr>
        <w:t>1</w:t>
      </w:r>
      <w:r w:rsidRPr="007E7D8B">
        <w:rPr>
          <w:rFonts w:ascii="Times New Roman" w:hAnsi="Times New Roman" w:cs="Times New Roman"/>
          <w:sz w:val="24"/>
          <w:szCs w:val="24"/>
        </w:rPr>
        <w:t xml:space="preserve"> dalių</w:t>
      </w:r>
      <w:r>
        <w:rPr>
          <w:rFonts w:ascii="Times New Roman" w:hAnsi="Times New Roman" w:cs="Times New Roman"/>
          <w:sz w:val="24"/>
          <w:szCs w:val="24"/>
        </w:rPr>
        <w:t xml:space="preserve"> </w:t>
      </w:r>
      <w:r w:rsidRPr="007E7D8B">
        <w:rPr>
          <w:rFonts w:ascii="Times New Roman" w:hAnsi="Times New Roman" w:cs="Times New Roman"/>
          <w:sz w:val="24"/>
          <w:szCs w:val="24"/>
        </w:rPr>
        <w:t>komentarai);</w:t>
      </w:r>
      <w:r w:rsidRPr="007E7D8B" w:rsidDel="003C77CC">
        <w:rPr>
          <w:rFonts w:ascii="Times New Roman" w:hAnsi="Times New Roman" w:cs="Times New Roman"/>
          <w:sz w:val="24"/>
          <w:szCs w:val="24"/>
        </w:rPr>
        <w:t xml:space="preserve"> </w:t>
      </w:r>
    </w:p>
    <w:p w14:paraId="2272C1BB" w14:textId="77777777" w:rsidR="00AB1E68" w:rsidRPr="007E7D8B" w:rsidRDefault="00AB1E68" w:rsidP="00AB1E68">
      <w:pPr>
        <w:pStyle w:val="HTMLiankstoformatuotas"/>
        <w:ind w:firstLine="709"/>
        <w:jc w:val="both"/>
        <w:rPr>
          <w:rFonts w:ascii="Times New Roman" w:hAnsi="Times New Roman" w:cs="Times New Roman"/>
          <w:sz w:val="24"/>
          <w:szCs w:val="24"/>
        </w:rPr>
      </w:pPr>
      <w:r w:rsidRPr="007E7D8B">
        <w:rPr>
          <w:rFonts w:ascii="Times New Roman" w:hAnsi="Times New Roman" w:cs="Times New Roman"/>
          <w:color w:val="000000"/>
          <w:sz w:val="24"/>
          <w:szCs w:val="24"/>
        </w:rPr>
        <w:t xml:space="preserve">4) jeigu </w:t>
      </w:r>
      <w:r w:rsidRPr="007E7D8B">
        <w:rPr>
          <w:rFonts w:ascii="Times New Roman" w:hAnsi="Times New Roman" w:cs="Times New Roman"/>
          <w:sz w:val="24"/>
          <w:szCs w:val="24"/>
        </w:rPr>
        <w:t xml:space="preserve">bendras mokestinio laikotarpio rezultatas yra nuostolis, pvz.  VP perleidimo pelno ir likusių iš </w:t>
      </w:r>
      <w:r w:rsidRPr="007E7D8B">
        <w:rPr>
          <w:rFonts w:ascii="Times New Roman" w:hAnsi="Times New Roman" w:cs="Times New Roman"/>
          <w:color w:val="000000"/>
          <w:sz w:val="24"/>
          <w:szCs w:val="24"/>
        </w:rPr>
        <w:t xml:space="preserve">apmokestinamojo pelno, apskaičiuoto pagal PMĮ 5 straipsnio 9 dalyje nustatytą formulę, </w:t>
      </w:r>
      <w:r w:rsidRPr="007E7D8B">
        <w:rPr>
          <w:rFonts w:ascii="Times New Roman" w:hAnsi="Times New Roman" w:cs="Times New Roman"/>
          <w:sz w:val="24"/>
          <w:szCs w:val="24"/>
        </w:rPr>
        <w:t>neatskaitytų veiklos nuostolių skirtumo suma yra neigiama, tai ankstesnių mokestinių laikotarpių nuostoliai, įskaitant VP perleidimo nuostolius, iš mokestinio laikotarpio pajamų neatskaitomi.</w:t>
      </w:r>
    </w:p>
    <w:p w14:paraId="277EE16D" w14:textId="77777777" w:rsidR="00AB1E68" w:rsidRPr="007E7D8B" w:rsidRDefault="00AB1E68" w:rsidP="00AB1E68">
      <w:pPr>
        <w:pStyle w:val="HTMLiankstoformatuotas"/>
        <w:ind w:firstLine="709"/>
        <w:jc w:val="both"/>
        <w:rPr>
          <w:rFonts w:ascii="Times New Roman" w:hAnsi="Times New Roman" w:cs="Times New Roman"/>
          <w:color w:val="000000"/>
          <w:sz w:val="24"/>
          <w:szCs w:val="24"/>
        </w:rPr>
      </w:pPr>
      <w:r w:rsidRPr="007E7D8B">
        <w:rPr>
          <w:rFonts w:ascii="Times New Roman" w:hAnsi="Times New Roman" w:cs="Times New Roman"/>
          <w:color w:val="000000"/>
          <w:sz w:val="24"/>
          <w:szCs w:val="24"/>
        </w:rPr>
        <w:t>5) vienetas iš apmokestinamojo pelno, apskaičiuoto pagal PMĮ 5 straipsnio 9 dalyje nustatytą formulę, gali atskaityti ankstesnių mokestinių laikotarpių nuostolių, patirtų dėl turto naudojimo, pardavimo ar kitokio perleidimo nuosavybėn, apskaičiuotų pagal PMĮ 5 straipsnio 9 dalyje nustatytą formulę,  sumą, neviršijančią mokestinio laikotarpio apmokestinamojo pelno, apskaičiuoto pagal PMĮ 5 straipsnio 9 dalyje nustatytą formulę, sumos, neatsižvelgiant į tai, ar mokestiniu laikotarpiu apskaičiuojamas veiklos pelnas, ar nuostolis.</w:t>
      </w:r>
    </w:p>
    <w:p w14:paraId="499AD8CE"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sz w:val="24"/>
          <w:szCs w:val="24"/>
        </w:rPr>
        <w:t>Pavyzdys</w:t>
      </w:r>
    </w:p>
    <w:p w14:paraId="547C383E"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1. Vienetas A (finansų įstaiga) už 2018 metus apskaičiavo 10 000 Eur veiklos pelno ir  50 000 Eur VP perleidimo pelno, perkeliami ankstesnių mokestinių laikotarpių veiklos nuostoliai sudarė 20 000 Eur, o VP perleidimo nuostoliai – 40 000 Eur. V</w:t>
      </w:r>
      <w:r w:rsidRPr="00390B5A">
        <w:rPr>
          <w:color w:val="000000"/>
        </w:rPr>
        <w:t xml:space="preserve">ienetas veiklos, apmokestinamos pagal PMĮ 5 straipsnio 7-9 dalis, nevykdo. </w:t>
      </w:r>
      <w:r w:rsidRPr="00390B5A">
        <w:t xml:space="preserve">Apskaičiuodamas 2018 metų apmokestinamąjį pelną, vienetas A iš apmokestinamojo pelno, apskaičiuoto neatėmus ankstesnių mokestinių laikotarpių nuostolių, iš viso gali atskaityti ne daugiau kaip 42 000 Eur ((10 000 Eur +50 000 Eur)*70/100), t. y. iš VP perleidimo pelno vienetas A gali atskaityti ne daugiau  kaip   35 000 Eur (50 000 Eur *70/100) (ne didesnę kaip 70 proc. VP perleidimo pelno sumą), o iš veiklos pelno – ne daugiau kaip 7 000 Eur ( 10 000 Eur * 70/100) (ne didesnę kaip 70 proc. veiklos  pelno sumą). </w:t>
      </w:r>
    </w:p>
    <w:p w14:paraId="3C868175"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2. Vienetas A (finansų įstaiga) už 2018 metus apskaičiavo 10 000 Eur veiklos nuostolio  ir   50 000 Eur VP perleidimo pelno ir </w:t>
      </w:r>
      <w:r w:rsidRPr="00390B5A">
        <w:rPr>
          <w:color w:val="000000"/>
        </w:rPr>
        <w:t xml:space="preserve">8 000 Eur veiklos, apmokestinamos pagal PMĮ 5 straipsnio 7-9 dalis, pelno, </w:t>
      </w:r>
      <w:r w:rsidRPr="00390B5A">
        <w:t xml:space="preserve">perkeliami ankstesnių mokestinių laikotarpių veiklos nuostoliai sudarė 20 000 Eur, o VP perleidimo nuostoliai – 40 000 Eur. Apskaičiuodamas 2018 metų apmokestinamąjį pelną, vienetas A </w:t>
      </w:r>
      <w:r w:rsidRPr="00390B5A">
        <w:lastRenderedPageBreak/>
        <w:t xml:space="preserve">iš apmokestinamojo pelno, apskaičiuoto neatėmus ankstesnių mokestinių laikotarpių nuostolių, iš viso gali atskaityti ne daugiau kaip 33 600 Eur ((50 000 Eur + 8000 Eur -10 000  Eur)*70/100). Iš VP perleidimo pelno vienetas A gali atskaityti 33 600 Eur ankstesnių mokestinių laikotarpių VP perleidimo nuotolių.      </w:t>
      </w:r>
    </w:p>
    <w:p w14:paraId="0F2144AB"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3. Vienetas A (finansų įstaiga) už 2018 metus apskaičiavo 50 000 Eur VP perleidimo pelno bei </w:t>
      </w:r>
      <w:r w:rsidRPr="00390B5A">
        <w:rPr>
          <w:color w:val="000000"/>
        </w:rPr>
        <w:t>8 000 Eur</w:t>
      </w:r>
      <w:r w:rsidRPr="00390B5A">
        <w:t xml:space="preserve"> </w:t>
      </w:r>
      <w:r w:rsidRPr="00390B5A">
        <w:rPr>
          <w:color w:val="000000"/>
        </w:rPr>
        <w:t xml:space="preserve">veiklos, apmokestinamos pagal PMĮ 5 straipsnio 7-9 dalis, pelno </w:t>
      </w:r>
      <w:r w:rsidRPr="00390B5A">
        <w:t xml:space="preserve">ir 20 000 Eur veiklos nuostolių, perkeliami ankstesnių mokestinių laikotarpių veiklos nuostoliai sudarė 30 000 Eur, o VP perleidimo nuostoliai – 10 000 Eur. Apskaičiuodamas 2018 metų apmokestinamąjį pelną, vienetas A iš apmokestinamojo pelno, apskaičiuoto neatėmus ankstesnių mokestinių laikotarpių nuostolių, iš viso gali atskaityti ne daugiau kaip 26 600 Eur ((50 000 Eur + 8000 Eur – 20 000 Eur)*70/100). Vienetas A iš VP perleidimo pelno gali atskaityti visą 10 000 Eur perkeliamų VP perleidimo nuostolių sumą (nes ji  yra mažesnė kaip 26 600 Eur). Iš VP perleidimo pelno atėmus perkeliamus VP perleidimo nuostolius ir juo padengus likusių iš </w:t>
      </w:r>
      <w:r w:rsidRPr="00390B5A">
        <w:rPr>
          <w:color w:val="000000"/>
        </w:rPr>
        <w:t xml:space="preserve">pagal PMĮ 5 straipsnio 9 dalyje nustatytą formulę apskaičiuoto apmokestinamojo pelno </w:t>
      </w:r>
      <w:r w:rsidRPr="00390B5A">
        <w:t>neatskaitytų 12 000 Eur (20 000 Eur – 8 000 Eur) veiklos nuostolių sumą, iš likusios VP perleidimo 28 000 Eur sumos (50 000 Eur -10 000  Eur - 12 000 Eur) vienetas gali atskaityti ne daugiau kaip 16 600 Eur (26 600 Eur - 10000 Eur) perkeliamų veiklos nuostolių.</w:t>
      </w:r>
    </w:p>
    <w:p w14:paraId="0A53FB76"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4. Vienetas A (finansų įstaiga) už 2018 metus apskaičiavo 30 000 Eur VP perleidimo pelno ir 40 000 Eur veiklos nuostolių. V</w:t>
      </w:r>
      <w:r w:rsidRPr="00390B5A">
        <w:rPr>
          <w:color w:val="000000"/>
        </w:rPr>
        <w:t xml:space="preserve">ienetas veiklos, apmokestinamos pagal PMĮ 5 straipsnio 7-9 dalis, nevykdė. </w:t>
      </w:r>
      <w:r w:rsidRPr="00390B5A">
        <w:t xml:space="preserve">Apskaičiuodamas 2018 metų apmokestinamąjį pelną, vienetas A iš pajamų atskaityti ankstesnių mokestinių laikotarpių nuostolių negali, nes bendras mokestinio laikotarpio rezultatas, apskaičiuotas neatėmus ankstesnių mokestinių laikotarpių nuostolių, yra nuostolis. </w:t>
      </w:r>
    </w:p>
    <w:p w14:paraId="52E29F34"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5. Vienetas A (finansų įstaiga) už 2018 metus apskaičiavo 50 000 Eur VP perleidimo pelno ir 30 000 Eur veiklos pelno, perkeliami ankstesnių mokestinių laikotarpių veiklos nuostoliai sudarė  60 000 Eur, o VP perleidimo nuostolių ankstesniais mokestiniais laikotarpiais vienetas neturėjo. V</w:t>
      </w:r>
      <w:r w:rsidRPr="00390B5A">
        <w:rPr>
          <w:color w:val="000000"/>
        </w:rPr>
        <w:t xml:space="preserve">ienetas veiklos, apmokestinamos pagal PMĮ 5 straipsnio 7-9 dalis, nevykdė. </w:t>
      </w:r>
      <w:r w:rsidRPr="00390B5A">
        <w:t>Apskaičiuodamas 2018 metų apmokestinamąjį pelną, vienetas A iš apmokestinamojo pelno, apskaičiuoto neatėmus ankstesnių mokestinių laikotarpių nuostolių, iš viso gali atskaityti ne didesnę kaip 56 000 Eur ((50 000 Eur + 30 000 Eur)*70/100) veiklos nuostolių sumą, kuri atskaitoma iš veiklos ir VP perleidimo pelno.</w:t>
      </w:r>
    </w:p>
    <w:p w14:paraId="5B0276B7"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6. Vienetas A (finansų įstaiga) už 2018 metus apskaičiavo 50 000 Eur VP perleidimo pelno ir 10 000 Eur veiklos pelno, perkeliami ankstesnių mokestinių laikotarpių VP perleidimo nuostoliai sudarė 60 000 Eur, o veiklos nuostolių ankstesniais mokestiniais laikotarpiais vienetas neturėjo. V</w:t>
      </w:r>
      <w:r w:rsidRPr="00390B5A">
        <w:rPr>
          <w:color w:val="000000"/>
        </w:rPr>
        <w:t xml:space="preserve">ienetas veiklos, apmokestinamos pagal PMĮ 5 straipsnio 7-9 dalis, nevykdė. </w:t>
      </w:r>
      <w:r w:rsidRPr="00390B5A">
        <w:t>Apskaičiuodamas 2018 metų apmokestinamąjį pelną, vienetas A iš apmokestinamojo pelno, apskaičiuoto neatėmus ankstesnių mokestinių laikotarpių nuostolių, iš viso gali atskaityti ne daugiau kaip 42 000 Eur ((50 000 Eur + 10 000 Eur)*70/100). Tačiau atsižvelgiant į tai, kad</w:t>
      </w:r>
      <w:r w:rsidRPr="006D5D6A">
        <w:t xml:space="preserve"> VP perleidimo nuostoliai gali būti </w:t>
      </w:r>
      <w:r w:rsidRPr="00390B5A">
        <w:t>dengiami tik VP perleidimo pajamomis, todėl apmokestinamąjį pelną vienetas A gali sumažinti tik 35 000 Eur (50 000 Eur *70/100) suma, kuri atskaitoma iš VP perleidimo pelno.</w:t>
      </w:r>
    </w:p>
    <w:p w14:paraId="089128BE"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pPr>
      <w:r w:rsidRPr="00390B5A">
        <w:t xml:space="preserve">7. Vienetas A (finansų įstaiga) už 2018 metus apskaičiavo 50 000 Eur VP perleidimo pelno bei </w:t>
      </w:r>
      <w:r w:rsidRPr="00390B5A">
        <w:rPr>
          <w:color w:val="000000"/>
        </w:rPr>
        <w:t>8 000 Eur</w:t>
      </w:r>
      <w:r w:rsidRPr="00390B5A">
        <w:t xml:space="preserve"> </w:t>
      </w:r>
      <w:r w:rsidRPr="00390B5A">
        <w:rPr>
          <w:color w:val="000000"/>
        </w:rPr>
        <w:t xml:space="preserve">veiklos, apmokestinamos pagal PMĮ 5 straipsnio 7-9 dalis, pelno </w:t>
      </w:r>
      <w:r w:rsidRPr="00390B5A">
        <w:t>ir 25 000 Eur veiklos nuostolių, perkeliami ankstesnių mokestinių laikotarpių veiklos nuostoliai sudarė 30 000 Eur. VP perleidimo nuostolių vienetas A ankstesniais mokestiniais laikotarpiais neturėjo. Apskaičiuodamas 2018 metų apmokestinamąjį pelną, vienetas A iš apmokestinamojo pelno, apskaičiuoto neatėmus ankstesnių mokestinių laikotarpių nuostolių, iš viso gali atskaityti ne daugiau kaip 23100 Eur ((50 000 Eur + 8000 Eur - 25 000 Eur)*70/100) ankstesnių mokestinių laikotarpių veiklos nuostolių. Ši veiklos nuostolių suma atskaitoma iš VP perleidimo pelno</w:t>
      </w:r>
      <w:r w:rsidRPr="00390B5A">
        <w:rPr>
          <w:color w:val="000000"/>
        </w:rPr>
        <w:t xml:space="preserve"> arba veiklos, apmokestinamos pagal PMĮ 5 straipsnio 7-9 dalis, pelno</w:t>
      </w:r>
      <w:r w:rsidRPr="00390B5A">
        <w:t>.</w:t>
      </w:r>
    </w:p>
    <w:p w14:paraId="43D4C7D5" w14:textId="77777777" w:rsidR="00AB1E68" w:rsidRPr="00390B5A"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390B5A">
        <w:lastRenderedPageBreak/>
        <w:t xml:space="preserve">8. Vienetas A (finansų įstaiga) už 2018 metus apskaičiavo 60 000 Eur veiklos pelno bei </w:t>
      </w:r>
      <w:r w:rsidRPr="00390B5A">
        <w:rPr>
          <w:color w:val="000000"/>
        </w:rPr>
        <w:t>10 000 Eur</w:t>
      </w:r>
      <w:r w:rsidRPr="00390B5A">
        <w:t xml:space="preserve"> </w:t>
      </w:r>
      <w:r w:rsidRPr="00390B5A">
        <w:rPr>
          <w:color w:val="000000"/>
        </w:rPr>
        <w:t xml:space="preserve">veiklos, apmokestinamos pagal PMĮ 5 straipsnio 7-9 dalis, pelno </w:t>
      </w:r>
      <w:r w:rsidRPr="00390B5A">
        <w:t xml:space="preserve">ir 50 000 Eur VP perleidimo nuostolių. Apskaičiuodamas 2018 metų apmokestinamąjį pelną, vienetas A iš apmokestinamojo pelno, apskaičiuoto neatėmus ankstesnių mokestinių laikotarpių nuostolių, iš viso gali atskaityti ne daugiau kaip 49 000 Eur (60 000 Eur + 10 000 Eur *70/100) ankstesnių mokestinių laikotarpių veiklos nuostolių (t.y. ne didesnę kaip 70 proc. veiklos bei </w:t>
      </w:r>
      <w:r w:rsidRPr="00390B5A">
        <w:rPr>
          <w:color w:val="000000"/>
        </w:rPr>
        <w:t xml:space="preserve">veiklos, apmokestinamos pagal PMĮ 5 straipsnio 7-9 dalis, </w:t>
      </w:r>
      <w:r w:rsidRPr="00390B5A">
        <w:t>pelno sumą, nes VP perleidimo nuostoliai, apskaičiuojant apmokestinamąjį pelną, iš pajamų neatskaitomi (žr. PMĮ 30 straipsnio 2 dalies komentarą).</w:t>
      </w:r>
      <w:r w:rsidRPr="00390B5A" w:rsidDel="003C77CC">
        <w:t xml:space="preserve"> </w:t>
      </w:r>
    </w:p>
    <w:p w14:paraId="550302CE"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6D5D6A">
        <w:rPr>
          <w:rFonts w:ascii="Times New Roman" w:hAnsi="Times New Roman" w:cs="Times New Roman"/>
          <w:color w:val="000000"/>
          <w:sz w:val="24"/>
          <w:szCs w:val="24"/>
        </w:rPr>
        <w:t xml:space="preserve">6. Šios dalies nuostatos dėl mokestiniu laikotarpiu iš VP perleidimo pelno atskaitomų ankstesnių mokestinių laikotarpių VP perleidimo nuostolių ribojimo (iki 70 procentų nuo VP perleidimo </w:t>
      </w:r>
      <w:r w:rsidRPr="00390B5A">
        <w:rPr>
          <w:rFonts w:ascii="Times New Roman" w:hAnsi="Times New Roman" w:cs="Times New Roman"/>
          <w:color w:val="000000"/>
          <w:sz w:val="24"/>
          <w:szCs w:val="24"/>
        </w:rPr>
        <w:t xml:space="preserve">pelno) netaikomos kitiems vienetams – ne finansų įstaigoms (žr. PMĮ 30 straipsnio               5 dalies komentarą). Ne finansų įstaigos iš VP perleidimo pelno gali atskaityti ankstesnių mokestinių laikotarpių VP perleidimo nuostolių sumą, neviršijančią mokestinio laikotarpio VP perleidimo pelno sumos. Ne finansų įstaigų iš pajamų atskaitomų ankstesnių mokestinių laikotarpių veiklos nuostolių suma negali būti didesnė kaip 70 procentų mokestinio laikotarpio apmokestinamojo pelno, apskaičiuoto iš pajamų atėmus neapmokestinamąsias pajamas, leidžiamus atskaitymus ir ribojamų dydžių leidžiamus atskaitymus, išskyrus </w:t>
      </w:r>
      <w:r w:rsidRPr="00390B5A">
        <w:rPr>
          <w:rFonts w:ascii="Times New Roman" w:eastAsia="Calibri" w:hAnsi="Times New Roman" w:cs="Times New Roman"/>
          <w:sz w:val="24"/>
          <w:szCs w:val="24"/>
        </w:rPr>
        <w:t>ankstesnių metų mokestinių laikotarpių veiklos nuostolius.</w:t>
      </w:r>
      <w:r w:rsidRPr="00390B5A">
        <w:rPr>
          <w:rFonts w:ascii="Times New Roman" w:hAnsi="Times New Roman" w:cs="Times New Roman"/>
          <w:color w:val="000000"/>
          <w:sz w:val="24"/>
          <w:szCs w:val="24"/>
        </w:rPr>
        <w:t xml:space="preserve"> </w:t>
      </w:r>
    </w:p>
    <w:p w14:paraId="6F8F7D2A"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Ne finansų įstaigų ankstesnių mokestinių laikotarpių nuostoliai iš mokestinio laikotarpio apmokestinamojo pelno atskaitomi tokia tvarka:</w:t>
      </w:r>
    </w:p>
    <w:p w14:paraId="6EC19669"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1) vienetas iš VP perleidimo pelno gali atskaityti ankstesnių mokestinių laikotarpių VP perleidimo nuostolių sumą, neviršijančią mokestinio laikotarpio VP perleidimo pelno sumos, neatsižvelgiant į tai ar mokestiniu laikotarpiu apskaičiuojamas veiklos pelnas ar nuostolis;</w:t>
      </w:r>
    </w:p>
    <w:p w14:paraId="13B4388D"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2) vienetas iš apmokestinamojo pelno, apskaičiuoto pagal PMĮ 5 straipsnio 9 dalyje nustatytą formulę, gali atskaityti ankstesnių mokestinių laikotarpių nuostolių, patirtų dėl turto naudojimo, pardavimo ar kitokio perleidimo nuosavybėn, apskaičiuotų pagal PMĮ 5 straipsnio 9 dalyje nustatytą formulę,  sumą, neviršijančią mokestinio laikotarpio apmokestinamojo pelno, apskaičiuoto pagal PMĮ 5 straipsnio 9 dalyje nustatytą formulę, sumos, neatsižvelgiant į tai, ar mokestiniu laikotarpiu apskaičiuojamas veiklos pelnas, ar nuostolis;</w:t>
      </w:r>
    </w:p>
    <w:p w14:paraId="03EA3D30"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 xml:space="preserve">3) jeigu mokestiniu laikotarpiu apskaičiuojamas veiklos pelnas, </w:t>
      </w:r>
      <w:r w:rsidRPr="00390B5A">
        <w:rPr>
          <w:rFonts w:ascii="Times New Roman" w:hAnsi="Times New Roman" w:cs="Times New Roman"/>
          <w:strike/>
          <w:color w:val="000000"/>
          <w:sz w:val="24"/>
          <w:szCs w:val="24"/>
        </w:rPr>
        <w:t>ir</w:t>
      </w:r>
      <w:r w:rsidRPr="00390B5A">
        <w:rPr>
          <w:rFonts w:ascii="Times New Roman" w:hAnsi="Times New Roman" w:cs="Times New Roman"/>
          <w:color w:val="000000"/>
          <w:sz w:val="24"/>
          <w:szCs w:val="24"/>
        </w:rPr>
        <w:t xml:space="preserve"> VP perleidimo pelnas ir veiklos, apmokestinamos pagal PMĮ 5 straipsnio 7-9 dalis, pelnas, tai iš apmokestinamojo pelno atskaitoma ankstesnių mokestinių laikotarpių veiklos nuostolių suma negali būti didesnė kaip 70 procentų mokestinio laikotarpio veiklos pelno, apskaičiuoto neatėmus ankstesnių mokestinių laikotarpių veiklos nuostolių, ir VP perleidimo pelno, apskaičiuoto iš jo atėmus perkeliamus ankstesnių mokestinių laikotarpių VP perleidimo nuostolius (jeigu vienetas jų turėjo ir jų suma mažesnė už mokestinio laikotarpio VP perleidimo pelno sumą), bei apmokestinamojo pelno, apskaičiuoto pagal PMĮ 5 straipsnio 9 dalyje nustatytą formulę, iš jo atėmus perkeliamus ankstesnių mokestinių laikotarpių nuostolius, apskaičiuotus pagal PMĮ 5 straipsnio 9 dalyje nustatytą formulę (jeigu vienetas jų turėjo ir jų suma mažesnė už mokestinio laikotarpio pagal PMĮ 5 straipsnio 9 dalyje nustatytą formulę apskaičiuotą pelno sumą), bendros sumos;</w:t>
      </w:r>
    </w:p>
    <w:p w14:paraId="4C3A043F" w14:textId="77777777" w:rsidR="00AB1E68" w:rsidRPr="00390B5A" w:rsidRDefault="00AB1E68" w:rsidP="00AB1E68">
      <w:pPr>
        <w:pStyle w:val="HTMLiankstoformatuotas"/>
        <w:tabs>
          <w:tab w:val="left" w:pos="5812"/>
        </w:tab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 xml:space="preserve">4) jeigu mokestiniu laikotarpiu apskaičiuojamas veiklos nuostolis, o VP perleidimo -pelnas, tai </w:t>
      </w:r>
      <w:r w:rsidRPr="00390B5A">
        <w:rPr>
          <w:rFonts w:ascii="Times New Roman" w:hAnsi="Times New Roman" w:cs="Times New Roman"/>
          <w:sz w:val="24"/>
          <w:szCs w:val="24"/>
        </w:rPr>
        <w:t xml:space="preserve">iš VP perleidimo pelno atėmus perkeliamą VP perleidimo nuostolių sumą (jeigu vienetas tokių nuostolių turėjo) ir padengus mokestinio laikotarpio veiklos nuostolių sumą,  iš likusios VP perleidimo pelno sumos gali būti atskaitomi ankstesnių mokestinių laikotarpių veiklos nuostoliai. Tačiau taip atskaitomų perkeliamų veiklos nuostolių suma negali būti didesnė kaip 70 procentų šios likusios VP perleidimo pelno sumos (arba ne didesnė kaip 70 procentų VP perleidimo pelno sumos, jeigu vienetas VP perleidimo nuostolių neturėjo); </w:t>
      </w:r>
    </w:p>
    <w:p w14:paraId="68C1CC5C"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sz w:val="24"/>
          <w:szCs w:val="24"/>
        </w:rPr>
        <w:lastRenderedPageBreak/>
        <w:t xml:space="preserve">Jeigu VP perleidimo pelno iš jo atėmus perkeliamą VP perleidimo nuostolių sumą neužtenka padengti mokestinio laikotarpio veiklos nuostolių sumą,  tai nepadengta veiklos nuostolių suma atskaitoma iš </w:t>
      </w:r>
      <w:r w:rsidRPr="00390B5A">
        <w:rPr>
          <w:rFonts w:ascii="Times New Roman" w:hAnsi="Times New Roman" w:cs="Times New Roman"/>
          <w:color w:val="000000"/>
          <w:sz w:val="24"/>
          <w:szCs w:val="24"/>
        </w:rPr>
        <w:t xml:space="preserve">veiklos, apmokestinamos pagal PMĮ 5 straipsnio 7-9 dalis, pelno, iš jo </w:t>
      </w:r>
      <w:r w:rsidRPr="00390B5A">
        <w:rPr>
          <w:rFonts w:ascii="Times New Roman" w:hAnsi="Times New Roman" w:cs="Times New Roman"/>
          <w:sz w:val="24"/>
          <w:szCs w:val="24"/>
        </w:rPr>
        <w:t xml:space="preserve">atėmus perkeliamą </w:t>
      </w:r>
      <w:r w:rsidRPr="00390B5A">
        <w:rPr>
          <w:rFonts w:ascii="Times New Roman" w:hAnsi="Times New Roman" w:cs="Times New Roman"/>
          <w:color w:val="000000"/>
          <w:sz w:val="24"/>
          <w:szCs w:val="24"/>
        </w:rPr>
        <w:t xml:space="preserve">pagal PMĮ 5 straipsnio 9 dalyje nustatytą formulę apskaičiuotą </w:t>
      </w:r>
      <w:r w:rsidRPr="00390B5A">
        <w:rPr>
          <w:rFonts w:ascii="Times New Roman" w:hAnsi="Times New Roman" w:cs="Times New Roman"/>
          <w:sz w:val="24"/>
          <w:szCs w:val="24"/>
        </w:rPr>
        <w:t>nuostolių sumą (jeigu vienetas tokių nuostolių turėjo).</w:t>
      </w:r>
    </w:p>
    <w:p w14:paraId="6DC9DFB4" w14:textId="77777777" w:rsidR="00AB1E68" w:rsidRPr="00390B5A" w:rsidRDefault="00AB1E68" w:rsidP="00AB1E68">
      <w:pPr>
        <w:pStyle w:val="HTMLiankstoformatuotas"/>
        <w:ind w:firstLine="709"/>
        <w:jc w:val="both"/>
        <w:rPr>
          <w:rFonts w:ascii="Times New Roman" w:hAnsi="Times New Roman" w:cs="Times New Roman"/>
          <w:color w:val="000000"/>
          <w:sz w:val="24"/>
          <w:szCs w:val="24"/>
        </w:rPr>
      </w:pPr>
      <w:r w:rsidRPr="00390B5A">
        <w:rPr>
          <w:rFonts w:ascii="Times New Roman" w:hAnsi="Times New Roman" w:cs="Times New Roman"/>
          <w:color w:val="000000"/>
          <w:sz w:val="24"/>
          <w:szCs w:val="24"/>
        </w:rPr>
        <w:t>5) jeigu mokestiniu laikotarpiu apskaičiuojamas veiklos nuostolis, o VP perleidimo ir veiklos, apmokestinamos pagal PMĮ 5 straipsnio 7-9 dalis, pelnas, tai iš veiklos, apmokestinamos pagal PMĮ 5 straipsnio 7-9 dalis</w:t>
      </w:r>
      <w:r w:rsidRPr="00390B5A">
        <w:rPr>
          <w:rFonts w:ascii="Times New Roman" w:hAnsi="Times New Roman" w:cs="Times New Roman"/>
          <w:sz w:val="24"/>
          <w:szCs w:val="24"/>
        </w:rPr>
        <w:t xml:space="preserve"> pelno atėmus perkeliamą </w:t>
      </w:r>
      <w:r w:rsidRPr="00390B5A">
        <w:rPr>
          <w:rFonts w:ascii="Times New Roman" w:hAnsi="Times New Roman" w:cs="Times New Roman"/>
          <w:color w:val="000000"/>
          <w:sz w:val="24"/>
          <w:szCs w:val="24"/>
        </w:rPr>
        <w:t xml:space="preserve">pagal PMĮ 5 straipsnio 9 dalyje nustatytą formulę apskaičiuotą </w:t>
      </w:r>
      <w:r w:rsidRPr="00390B5A">
        <w:rPr>
          <w:rFonts w:ascii="Times New Roman" w:hAnsi="Times New Roman" w:cs="Times New Roman"/>
          <w:sz w:val="24"/>
          <w:szCs w:val="24"/>
        </w:rPr>
        <w:t xml:space="preserve">nuostolių sumą (jeigu vienetas tokių nuostolių turėjo) ir padengus mokestinio laikotarpio iš VP pelno neatskaitytus veiklos nuostolius, iš likusios apmokestinamojo pelno, apskaičiuoto pagal PMĮ 5 straipsnio 9 dalyje nustatytą formulę, sumos gali būti atskaitomi ankstesnių mokestinių laikotarpių veiklos nuostoliai. Tačiau taip atskaitomų perkeliamų veiklos nuostolių suma negali būti didesnė kaip 70 procentų šios likusios pagal PMĮ 5 straipsnio 9 dalyje nustatytą formulę apskaičiuotos pelno sumos (arba ne didesnė kaip 70 procentų pagal PMĮ 5 straipsnio 9 dalyje nustatytą formulę apskaičiuotos pelno sumos, jeigu vienetas nuostolių, apskaičiuotų </w:t>
      </w:r>
      <w:r w:rsidRPr="00390B5A">
        <w:rPr>
          <w:rFonts w:ascii="Times New Roman" w:hAnsi="Times New Roman" w:cs="Times New Roman"/>
          <w:color w:val="000000"/>
          <w:sz w:val="24"/>
          <w:szCs w:val="24"/>
        </w:rPr>
        <w:t xml:space="preserve">pagal PMĮ 5 straipsnio 9 dalyje nustatytą formulę </w:t>
      </w:r>
      <w:r w:rsidRPr="00390B5A">
        <w:rPr>
          <w:rFonts w:ascii="Times New Roman" w:hAnsi="Times New Roman" w:cs="Times New Roman"/>
          <w:sz w:val="24"/>
          <w:szCs w:val="24"/>
        </w:rPr>
        <w:t xml:space="preserve">neturėjo); </w:t>
      </w:r>
    </w:p>
    <w:p w14:paraId="7497E703"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color w:val="000000"/>
          <w:sz w:val="24"/>
          <w:szCs w:val="24"/>
        </w:rPr>
        <w:t xml:space="preserve">6) jeigu iš mokestinio laikotarpio </w:t>
      </w:r>
      <w:r w:rsidRPr="00390B5A">
        <w:rPr>
          <w:rFonts w:ascii="Times New Roman" w:hAnsi="Times New Roman" w:cs="Times New Roman"/>
          <w:sz w:val="24"/>
          <w:szCs w:val="24"/>
        </w:rPr>
        <w:t>VP perleidimo pelno</w:t>
      </w:r>
      <w:r w:rsidRPr="00390B5A">
        <w:rPr>
          <w:rFonts w:ascii="Times New Roman" w:hAnsi="Times New Roman" w:cs="Times New Roman"/>
          <w:color w:val="000000"/>
          <w:sz w:val="24"/>
          <w:szCs w:val="24"/>
        </w:rPr>
        <w:t xml:space="preserve"> </w:t>
      </w:r>
      <w:r w:rsidRPr="00390B5A">
        <w:rPr>
          <w:rFonts w:ascii="Times New Roman" w:hAnsi="Times New Roman" w:cs="Times New Roman"/>
          <w:sz w:val="24"/>
          <w:szCs w:val="24"/>
        </w:rPr>
        <w:t xml:space="preserve">atėmus perkeliamus VP perleidimo nuostolius (jeigu vienetas jų turėjo) ir iš </w:t>
      </w:r>
      <w:r w:rsidRPr="00390B5A">
        <w:rPr>
          <w:rFonts w:ascii="Times New Roman" w:hAnsi="Times New Roman" w:cs="Times New Roman"/>
          <w:color w:val="000000"/>
          <w:sz w:val="24"/>
          <w:szCs w:val="24"/>
        </w:rPr>
        <w:t xml:space="preserve">veiklos, apmokestinamos pagal PMĮ 5 straipsnio 7-9 dalis, pelno atėmus </w:t>
      </w:r>
      <w:r w:rsidRPr="00390B5A">
        <w:rPr>
          <w:rFonts w:ascii="Times New Roman" w:hAnsi="Times New Roman" w:cs="Times New Roman"/>
          <w:sz w:val="24"/>
          <w:szCs w:val="24"/>
        </w:rPr>
        <w:t>pagal PMĮ 5 straipsnio 9 dalyje nustatytą formulę apskaičiuotus nuostolius (jeigu vienetas jų turėjo), likusi  pelno suma yra mažesnė už mokestinio laikotarpio veiklos nuostolių sumą, t. y. bendras rezultatas yra nuostolis, tai veiklos nuostoliai iš VP perleidimo pelno ir / ar apmokestinamojo pelno, apskaičiuoto pagal PMĮ 5 straipsnio 9 dalyje nustatytą formulę, neatskaitomi;</w:t>
      </w:r>
    </w:p>
    <w:p w14:paraId="02864A37" w14:textId="77777777" w:rsidR="00AB1E68" w:rsidRPr="00390B5A" w:rsidRDefault="00AB1E68" w:rsidP="00AB1E68">
      <w:pPr>
        <w:pStyle w:val="HTMLiankstoformatuotas"/>
        <w:ind w:firstLine="709"/>
        <w:jc w:val="both"/>
        <w:rPr>
          <w:rFonts w:ascii="Times New Roman" w:hAnsi="Times New Roman" w:cs="Times New Roman"/>
          <w:sz w:val="24"/>
          <w:szCs w:val="24"/>
        </w:rPr>
      </w:pPr>
      <w:r w:rsidRPr="00390B5A">
        <w:rPr>
          <w:rFonts w:ascii="Times New Roman" w:hAnsi="Times New Roman" w:cs="Times New Roman"/>
          <w:sz w:val="24"/>
          <w:szCs w:val="24"/>
        </w:rPr>
        <w:t xml:space="preserve">7) jeigu apskaičiuojamas VP perleidimo nuostolis ir / ar </w:t>
      </w:r>
      <w:r w:rsidRPr="00390B5A">
        <w:rPr>
          <w:rFonts w:ascii="Times New Roman" w:hAnsi="Times New Roman" w:cs="Times New Roman"/>
          <w:color w:val="000000"/>
          <w:sz w:val="24"/>
          <w:szCs w:val="24"/>
        </w:rPr>
        <w:t>veiklos, apmokestinamos pagal PMĮ 5 straipsnio 7-9 dalis, nuostolis</w:t>
      </w:r>
      <w:r w:rsidRPr="00390B5A">
        <w:rPr>
          <w:rFonts w:ascii="Times New Roman" w:hAnsi="Times New Roman" w:cs="Times New Roman"/>
          <w:sz w:val="24"/>
          <w:szCs w:val="24"/>
        </w:rPr>
        <w:t xml:space="preserve">, o veiklos pelnas, tai iš veiklos pelno atskaitoma ankstesnių mokestinių laikotarpių nuostolių suma negali viršyti 70 procentų  mokestinio laikotarpio veiklos pelno sumos. Apskaičiuojant apmokestinamąjį pelną į VP perleidimo nuostolius ir nuostolius, patirtus dėl turto naudojimo, pardavimo ar kitokio perleidimo nuosavybėn, apskaičiuotus pagal PMĮ </w:t>
      </w:r>
      <w:r w:rsidRPr="00390B5A">
        <w:rPr>
          <w:rFonts w:ascii="Times New Roman" w:hAnsi="Times New Roman" w:cs="Times New Roman"/>
          <w:color w:val="000000"/>
          <w:sz w:val="24"/>
          <w:szCs w:val="24"/>
        </w:rPr>
        <w:t xml:space="preserve">5 straipsnio 9 dalyje nustatytą formulę, </w:t>
      </w:r>
      <w:r w:rsidRPr="00390B5A">
        <w:rPr>
          <w:rFonts w:ascii="Times New Roman" w:hAnsi="Times New Roman" w:cs="Times New Roman"/>
          <w:sz w:val="24"/>
          <w:szCs w:val="24"/>
        </w:rPr>
        <w:t xml:space="preserve"> neatsižvelgiama (žr. PMĮ 30 straipsnio 2 ir 2</w:t>
      </w:r>
      <w:r w:rsidRPr="00390B5A">
        <w:rPr>
          <w:rFonts w:ascii="Times New Roman" w:hAnsi="Times New Roman" w:cs="Times New Roman"/>
          <w:sz w:val="24"/>
          <w:szCs w:val="24"/>
          <w:vertAlign w:val="superscript"/>
        </w:rPr>
        <w:t>1</w:t>
      </w:r>
      <w:r w:rsidRPr="00390B5A">
        <w:rPr>
          <w:rFonts w:ascii="Times New Roman" w:hAnsi="Times New Roman" w:cs="Times New Roman"/>
          <w:sz w:val="24"/>
          <w:szCs w:val="24"/>
        </w:rPr>
        <w:t xml:space="preserve"> dalies komentarus);</w:t>
      </w:r>
      <w:r w:rsidRPr="00390B5A" w:rsidDel="003C77CC">
        <w:rPr>
          <w:rFonts w:ascii="Times New Roman" w:hAnsi="Times New Roman" w:cs="Times New Roman"/>
          <w:sz w:val="24"/>
          <w:szCs w:val="24"/>
        </w:rPr>
        <w:t xml:space="preserve"> </w:t>
      </w:r>
    </w:p>
    <w:p w14:paraId="74D9D7A6" w14:textId="77777777" w:rsidR="00AB1E68" w:rsidRPr="007D35A7" w:rsidRDefault="00AB1E68" w:rsidP="00AB1E68">
      <w:pPr>
        <w:pStyle w:val="HTMLiankstoformatuotas"/>
        <w:ind w:firstLine="709"/>
        <w:jc w:val="both"/>
        <w:rPr>
          <w:rFonts w:ascii="Times New Roman" w:hAnsi="Times New Roman" w:cs="Times New Roman"/>
          <w:sz w:val="24"/>
          <w:szCs w:val="24"/>
        </w:rPr>
      </w:pPr>
      <w:r w:rsidRPr="007D35A7">
        <w:rPr>
          <w:rFonts w:ascii="Times New Roman" w:hAnsi="Times New Roman" w:cs="Times New Roman"/>
          <w:sz w:val="24"/>
          <w:szCs w:val="24"/>
        </w:rPr>
        <w:t>Pavyzdys</w:t>
      </w:r>
    </w:p>
    <w:p w14:paraId="6432F9EF"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7D35A7">
        <w:t xml:space="preserve">1. Vienetas A (ne finansų įstaiga) už 2018 metus apskaičiavo 50 000 Eur veiklos pelno ir 10 000 Eur VP perleidimo pelno bei </w:t>
      </w:r>
      <w:r w:rsidRPr="007D35A7">
        <w:rPr>
          <w:color w:val="000000"/>
        </w:rPr>
        <w:t>8 000 Eur veiklos, apmokestinamos pagal PMĮ 5 straipsnio 7-9 dalis, pelno</w:t>
      </w:r>
      <w:r w:rsidRPr="007D35A7">
        <w:t xml:space="preserve">, perkeliami ankstesnių mokestinių laikotarpių veiklos nuostoliai sudarė 20 000 Eur, o VP perleidimo nuostoliai – 40 000 Eur. Apskaičiuodamas 2018 metų apmokestinamąjį pelną, vienetas A iš VP perleidimo pelno gali atskaityti 10 000 Eur ankstesnių mokestinių laikotarpių VP perleidimo nuostolių. Iš veiklos ir </w:t>
      </w:r>
      <w:r w:rsidRPr="007D35A7">
        <w:rPr>
          <w:color w:val="000000"/>
        </w:rPr>
        <w:t xml:space="preserve">veiklos, apmokestinamos pagal PMĮ 5 straipsnio 7-9 dalis, </w:t>
      </w:r>
      <w:r w:rsidRPr="007D35A7">
        <w:t xml:space="preserve">pelno atskaitoma ankstesnių mokestinių laikotarpių veiklos nuostolių suma negali būti didesnė kaip  40 600 Eur ((50 000 Eur + 8000 Eur)*70/100). </w:t>
      </w:r>
    </w:p>
    <w:p w14:paraId="12AB35B2"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7D35A7">
        <w:t xml:space="preserve">2. Vienetas A (ne finansų įstaiga) už </w:t>
      </w:r>
      <w:r w:rsidRPr="00E57ED2">
        <w:t xml:space="preserve">2018 metus apskaičiavo 25 000 Eur veiklos nuostolio  ir 30 000 Eur VP perleidimo pelno bei </w:t>
      </w:r>
      <w:r w:rsidRPr="00E57ED2">
        <w:rPr>
          <w:color w:val="000000"/>
        </w:rPr>
        <w:t>8 000 Eur veiklos, apmokestinamos pagal PMĮ 5 straipsnio 7-9 dalis, pelno</w:t>
      </w:r>
      <w:r w:rsidRPr="00E57ED2">
        <w:t>, perkeliami ankstesnių mokestinių laikotarpių veiklos nuostoliai sudarė 20 000 Eur, o VP perleidimo nuostoliai – 1 000 Eur. Apskaičiuodamas 2018</w:t>
      </w:r>
      <w:r w:rsidRPr="007D35A7">
        <w:t xml:space="preserve"> metų apmokestinamąjį pelną, vienetas A iš VP perleidimo pelno gali atskaityti 1 000 Eur VP perleidimo nuostolių. Iš VP perleidimo pelno, atėmus perkeliamus VP perleidimo nuostolius, ir juo padengus likusią pagal PMĮ </w:t>
      </w:r>
      <w:r w:rsidRPr="007D35A7">
        <w:rPr>
          <w:color w:val="000000"/>
        </w:rPr>
        <w:t>5 straipsnio 9 dalyje nustatytą formulę,</w:t>
      </w:r>
      <w:r w:rsidRPr="007D35A7">
        <w:t xml:space="preserve"> apskaičiuotu pelnu nepadengtą  17 000 Eur (25 000 Eur – 8 000 Eur) veiklos nuostolių sumą, iš likusios VP perleidimo  12 000 Eur sumos (30 000 Eur -1000 Eur -  17 000 Eur) vienetas gali atskaityti ne daugiau kaip  8400 Eur (12 000 Eur *70/100) perkeliamų veiklos nuostolių.</w:t>
      </w:r>
    </w:p>
    <w:p w14:paraId="4D37A868" w14:textId="77777777" w:rsidR="00AB1E68" w:rsidRPr="00E57ED2" w:rsidRDefault="00AB1E68" w:rsidP="00AB1E68">
      <w:pPr>
        <w:pBdr>
          <w:top w:val="single" w:sz="4" w:space="1" w:color="auto"/>
          <w:left w:val="single" w:sz="4" w:space="4" w:color="auto"/>
          <w:bottom w:val="single" w:sz="4" w:space="1" w:color="auto"/>
          <w:right w:val="single" w:sz="4" w:space="4" w:color="auto"/>
        </w:pBdr>
        <w:ind w:firstLine="720"/>
        <w:jc w:val="both"/>
      </w:pPr>
      <w:r w:rsidRPr="007D35A7">
        <w:lastRenderedPageBreak/>
        <w:t xml:space="preserve">3. Vienetas A (ne finansų įstaiga) už 2018 metus apskaičiavo 25 000 Eur veiklos nuostolio ir 30 000 Eur VP perleidimo pelno ir 10 000 Eur nuostolių, apskaičiuotų pagal PMĮ </w:t>
      </w:r>
      <w:r w:rsidRPr="007D35A7">
        <w:rPr>
          <w:color w:val="000000"/>
        </w:rPr>
        <w:t>5 straipsnio 9 dalyje nustatytą formulę,</w:t>
      </w:r>
      <w:r w:rsidRPr="007D35A7">
        <w:t xml:space="preserve"> perkeliami ankstesnių mokestinių laikotarpių veiklos nuostoliai sudarė 20 000 Eur, o VP perleidimo nuostoliai – 25 000 Eur. Apskaičiuodamas </w:t>
      </w:r>
      <w:r w:rsidRPr="00E57ED2">
        <w:t>2018 metų apmokestinamąjį pelną, vienetas A iš VP perleidimo pelno gali atskaityti 25 000 Eur VP perleidimo nuostolių. Kadangi likusi 5000 Eur VP perleidimo pelno suma yra mažesnė už mokestinio laikotarpio veiklos nuostolių sumą, t. y. bendras rezultatas yra nuostolis, todėl vienetas veiklos nuostolių iš VP perleidimo pelno atskaityti negali.</w:t>
      </w:r>
    </w:p>
    <w:p w14:paraId="6B448734"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pPr>
      <w:r w:rsidRPr="00E57ED2">
        <w:t>4. Vienetas A (ne finansų įstaiga) už 2018 metus</w:t>
      </w:r>
      <w:r w:rsidRPr="007D35A7">
        <w:t xml:space="preserve"> apskaičiavo 50 000 Eur veiklos pelno ir   10 000 Eur VP perleidimo pelno ir 10 000 Eur nuostolių, apskaičiuotų pagal PMĮ </w:t>
      </w:r>
      <w:r w:rsidRPr="007D35A7">
        <w:rPr>
          <w:color w:val="000000"/>
        </w:rPr>
        <w:t>5 straipsnio 9 dalyje nustatytą formulę,</w:t>
      </w:r>
      <w:r w:rsidRPr="007D35A7">
        <w:t xml:space="preserve"> perkeliami ankstesnių mokestinių laikotarpių veiklos nuostoliai sudarė 48 000 Eur, o VP perleidimo nuostolių vienetas neturėjo. Apskaičiuojant 2018 metų apmokestinamąjį pelną, vieneto A iš veiklos pelno ir VP perleidimo pelno atskaitoma bendra ankstesnių mokestinių laikotarpių veiklos nuostolių suma negali būti didesnė kaip 42 000 Eur (60 000 Eur *70/100).</w:t>
      </w:r>
    </w:p>
    <w:p w14:paraId="3F03C589" w14:textId="77777777" w:rsidR="00AB1E68" w:rsidRPr="007D35A7" w:rsidRDefault="00AB1E68" w:rsidP="00AB1E68">
      <w:pPr>
        <w:pBdr>
          <w:top w:val="single" w:sz="4" w:space="1" w:color="auto"/>
          <w:left w:val="single" w:sz="4" w:space="4" w:color="auto"/>
          <w:bottom w:val="single" w:sz="4" w:space="1" w:color="auto"/>
          <w:right w:val="single" w:sz="4" w:space="4" w:color="auto"/>
        </w:pBdr>
        <w:ind w:firstLine="720"/>
        <w:jc w:val="both"/>
        <w:rPr>
          <w:color w:val="000000"/>
        </w:rPr>
      </w:pPr>
      <w:r w:rsidRPr="007D35A7">
        <w:t xml:space="preserve">5. Vienetas A (ne finansų įstaiga) už 2018 metus apskaičiavo 50 000 Eur veiklos pelno bei </w:t>
      </w:r>
      <w:r w:rsidRPr="007D35A7">
        <w:rPr>
          <w:color w:val="000000"/>
        </w:rPr>
        <w:t>8 000 Eur veiklos, apmokestinamos pagal PMĮ 5 straipsnio 7-9 dalis, pelno</w:t>
      </w:r>
      <w:r w:rsidRPr="007D35A7">
        <w:t>, ir 10 000 Eur VP perleidimo nuostolių. Apskaičiuodamas 2018 metų apmokestinamąjį pelną, vienetas A iš apmokestinamojo pelno, apskaičiuoto neatėmus ankstesnių mokestinių laikotarpių nuostolių, iš viso gali atskaityti ne daugiau kaip 40 600 Eur (58 000 Eur *70/100) ankstesnių mokestinių laikotarpių veiklos nuostolių (t.</w:t>
      </w:r>
      <w:r>
        <w:t xml:space="preserve"> </w:t>
      </w:r>
      <w:r w:rsidRPr="007D35A7">
        <w:t xml:space="preserve">y. ne didesnę kaip 70 proc. veiklos  ir </w:t>
      </w:r>
      <w:r w:rsidRPr="007D35A7">
        <w:rPr>
          <w:color w:val="000000"/>
        </w:rPr>
        <w:t xml:space="preserve">veiklos, apmokestinamos pagal PMĮ 5 straipsnio 7-9 dalis, </w:t>
      </w:r>
      <w:r w:rsidRPr="007D35A7">
        <w:t>pelno sumą, nes VP perleidimo nuostoliai, apskaičiuojant apmokestinamąjį pelną, iš pajamų neatskaitomi (žr. PMĮ 30 straipsnio 2 dalies komentarą).</w:t>
      </w:r>
      <w:r w:rsidRPr="007D35A7" w:rsidDel="003C77CC">
        <w:t xml:space="preserve"> </w:t>
      </w:r>
    </w:p>
    <w:p w14:paraId="0EBDE520" w14:textId="77777777" w:rsidR="00AB1E68" w:rsidRPr="007D35A7" w:rsidRDefault="00AB1E68" w:rsidP="00AB1E68">
      <w:pPr>
        <w:ind w:firstLine="720"/>
        <w:jc w:val="both"/>
        <w:rPr>
          <w:color w:val="000000"/>
        </w:rPr>
      </w:pPr>
      <w:r w:rsidRPr="007D35A7">
        <w:rPr>
          <w:color w:val="000000"/>
        </w:rPr>
        <w:t>7. Mokestinio laikotarpio apmokestinamojo pelno mažinimo ribojimas iš pajamų atskaitomais ankstesnių mokestinių laikotarpių veiklos nuostoliais taikomas visiems nuostoliams, įskaitant atskaitomus nebetęsiamos veiklos nuostolius, taip pat vieneto iš įsigyjamojo ar perleidžiančiojo vieneto perimtiems nuostoliams dėl reorganizavimo ar perleidimo pagal PMĮ 43 straipsnio nuostatas (žr. PMĮ 43 straipsnio komentarą).</w:t>
      </w:r>
      <w:r w:rsidRPr="007D35A7" w:rsidDel="00221C62">
        <w:rPr>
          <w:color w:val="000000"/>
        </w:rPr>
        <w:t xml:space="preserve"> </w:t>
      </w:r>
    </w:p>
    <w:p w14:paraId="260BB3A0" w14:textId="77777777" w:rsidR="00AB1E68" w:rsidRPr="007D35A7" w:rsidRDefault="00AB1E68" w:rsidP="00AB1E68">
      <w:pPr>
        <w:tabs>
          <w:tab w:val="left" w:pos="720"/>
          <w:tab w:val="left" w:pos="1077"/>
          <w:tab w:val="left" w:pos="1418"/>
        </w:tabs>
        <w:ind w:right="-5" w:firstLine="709"/>
        <w:jc w:val="both"/>
      </w:pPr>
      <w:r w:rsidRPr="007D35A7">
        <w:t>Pavyzdys</w:t>
      </w:r>
    </w:p>
    <w:p w14:paraId="29F6C10A" w14:textId="77777777" w:rsidR="00AB1E68" w:rsidRPr="007D35A7" w:rsidRDefault="00AB1E68" w:rsidP="00AB1E68">
      <w:pPr>
        <w:pBdr>
          <w:top w:val="single" w:sz="4" w:space="1" w:color="auto"/>
          <w:left w:val="single" w:sz="4" w:space="4" w:color="auto"/>
          <w:right w:val="single" w:sz="4" w:space="4" w:color="auto"/>
        </w:pBdr>
        <w:tabs>
          <w:tab w:val="left" w:pos="720"/>
          <w:tab w:val="left" w:pos="1077"/>
          <w:tab w:val="left" w:pos="1418"/>
        </w:tabs>
        <w:ind w:right="-5" w:firstLine="709"/>
        <w:jc w:val="both"/>
      </w:pPr>
      <w:r w:rsidRPr="007D35A7">
        <w:t>Vieneto (ne finansų įstaigos), kurio veikla krovinių vežimas, prekyba atsarginėmis automobilių detalėmis, automobilių ir nekilnojamojo turto nuoma, 2017 metų</w:t>
      </w:r>
      <w:r w:rsidRPr="007D35A7" w:rsidDel="009A2B68">
        <w:t xml:space="preserve"> </w:t>
      </w:r>
      <w:r w:rsidRPr="007D35A7">
        <w:t>nuostoliai sudarė 60 000 Eur (vienetas apskaičiavo 150 000 Eur nekilnojamojo turto nuomos nuostolių ir 20 000 Eur pelno iš prekybos atsarginėmis detalėmis bei 70 000 Eur iš krovinių vežimo veiklos). 2018 m. kovo mėnesį vienetas nutraukė nekilnojamojo turto nuomos veiklą. Vienetui taikomas 15 proc. pelno mokesčio tarifas.</w:t>
      </w:r>
    </w:p>
    <w:p w14:paraId="7A587425"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Nebetęsiamos veiklos nuostolių pripažinimas ribojamų dydžių leidžiamais atskaitymais, atsižvelgiant į mokestinio laikotarpio veiklos rezultatus*:</w:t>
      </w:r>
    </w:p>
    <w:p w14:paraId="2E6CB5A4"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1. Vieneto  2018 metų nuostoliai, apskaičiuoti iš pajamų atėmus leidžiamus ir ribojamų dydžių leidžiamus atskaitymus, sudarė 120 000 Eur (10 000 Eur nuostolių iš krovinių vežimo veiklos, 40 000 Eur nuostolių iš prekybos atsarginėmis detalėmis ir kitos veiklos bei 70 000 Eur nekilnojamojo turto nuomos nuostolių). Vienetas negali perkelti į kitus mokestinius laikotarpius 2017 metų susidariusių 60 000 Eur nekilnojamojo turto nuomos nuostolių. </w:t>
      </w:r>
    </w:p>
    <w:p w14:paraId="1B811458"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2. Vieneto 2018 metų veiklos pelnas (apskaičiuotas iš pajamų atėmus leidžiamus ir ribojamų dydžių leidžiamus atskaitymus, išskyrus </w:t>
      </w:r>
      <w:r w:rsidRPr="007D35A7">
        <w:rPr>
          <w:bCs/>
        </w:rPr>
        <w:t>ankstesnių</w:t>
      </w:r>
      <w:r w:rsidRPr="007D35A7">
        <w:t xml:space="preserve"> mokestinių laikotarpių nuostolius) sudarė  50 000  Eur (nekilnojamojo turto nuomos nuostoliai, kurie sudarė 70 000 Eur, padengti kitos veiklos pelnu). Vienetas, apskaičiuodamas 2018 metų apmokestinamąjį pelną, iš pajamų gali atskaityti  35 000  Eur </w:t>
      </w:r>
      <w:r w:rsidRPr="007D35A7">
        <w:lastRenderedPageBreak/>
        <w:t>(50 000 Eur *70/100) 2017 metų nekilnojamojo turto nuomos nuostolių, o likusi  (25 000 Eur) neatskaityta nuostolių dalis į kitus mokestinius laikotarpius neperkeliama.</w:t>
      </w:r>
    </w:p>
    <w:p w14:paraId="41F63D8C"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3. Vieneto </w:t>
      </w:r>
      <w:r w:rsidRPr="00051519">
        <w:t>2018 metų</w:t>
      </w:r>
      <w:r w:rsidRPr="007D35A7">
        <w:t xml:space="preserve"> veiklos nuostoliai (apskaičiuoti iš pajamų atėmus leidžiamus ir ribojamų dydžių leidžiamus atskaitymus, išskyrus ankstesnių mokestinių laikotarpių nuostolius) sudarė 30 000 Eur (nekilnojamojo turto nuomos nuostoliai, kurie sudarė 110 000 Eur, iš dalies pasidengė kitos veiklos pelnu). </w:t>
      </w:r>
    </w:p>
    <w:p w14:paraId="1EA40BF0"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Vienetas negali perkelti į kitus mokestinius laikotarpius 30 000 Eur 2018</w:t>
      </w:r>
      <w:r>
        <w:t xml:space="preserve"> </w:t>
      </w:r>
      <w:r w:rsidRPr="007D35A7">
        <w:t>metų ir 60 000  Eur 2017 metų nekilnojamojo turto nuomos nuostolių.</w:t>
      </w:r>
    </w:p>
    <w:p w14:paraId="166AB521"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4. Vieneto 201</w:t>
      </w:r>
      <w:r w:rsidRPr="00E57ED2">
        <w:t xml:space="preserve">8 </w:t>
      </w:r>
      <w:r w:rsidRPr="007D35A7">
        <w:t>metų veiklos pelnas (apskaičiuotas iš pajamų atėmus leidžiamus ir ribojamų dydžių leidžiamus atskaitymus, išskyrus ankstesnių mokestinių laikotarpių nuostolius) sudarė   230 000 Eur (iš jų 70 000 Eur nekilnojamojo turto nuomos pelno).</w:t>
      </w:r>
    </w:p>
    <w:p w14:paraId="16B37CA5"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Vienetas, apskaičiuodamas 2018</w:t>
      </w:r>
      <w:r>
        <w:t xml:space="preserve"> </w:t>
      </w:r>
      <w:r w:rsidRPr="007D35A7">
        <w:t xml:space="preserve">metų apmokestinamąjį pelną, iš pajamų gali atskaityti  visą 60 000 Eur 2017 metų nekilnojamojo turto nuomos nuostolių sumą (nes 70 proc. nuo 230 000 Eur pelno sumos sudarytų 161 000 Eur). </w:t>
      </w:r>
    </w:p>
    <w:p w14:paraId="7EC18E9E" w14:textId="77777777" w:rsidR="00AB1E68" w:rsidRPr="007D35A7" w:rsidRDefault="00AB1E68" w:rsidP="00AB1E68">
      <w:pPr>
        <w:pBdr>
          <w:left w:val="single" w:sz="4" w:space="5" w:color="auto"/>
          <w:bottom w:val="single" w:sz="4" w:space="1" w:color="auto"/>
          <w:right w:val="single" w:sz="4" w:space="4" w:color="auto"/>
        </w:pBdr>
        <w:tabs>
          <w:tab w:val="left" w:pos="720"/>
          <w:tab w:val="left" w:pos="1077"/>
          <w:tab w:val="left" w:pos="1418"/>
        </w:tabs>
        <w:ind w:right="-5" w:firstLine="709"/>
        <w:jc w:val="both"/>
      </w:pPr>
      <w:r w:rsidRPr="007D35A7">
        <w:t xml:space="preserve">*Pavyzdyje vienetas VP perleidimo ir </w:t>
      </w:r>
      <w:r w:rsidRPr="007D35A7">
        <w:rPr>
          <w:color w:val="000000"/>
        </w:rPr>
        <w:t xml:space="preserve">veiklos, apmokestinamos pagal PMĮ 5 straipsnio 7-9 dalis, </w:t>
      </w:r>
      <w:r w:rsidRPr="007D35A7">
        <w:t xml:space="preserve">pajamų neturėjo, </w:t>
      </w:r>
    </w:p>
    <w:p w14:paraId="62894AF1" w14:textId="77777777" w:rsidR="006E2A74" w:rsidRDefault="006E2A74" w:rsidP="006E2A74">
      <w:pPr>
        <w:ind w:firstLine="720"/>
        <w:jc w:val="both"/>
        <w:rPr>
          <w:color w:val="000000"/>
          <w:lang w:val="lt-LT"/>
        </w:rPr>
      </w:pPr>
      <w:r w:rsidRPr="00472D3E">
        <w:rPr>
          <w:lang w:val="lt-LT"/>
        </w:rPr>
        <w:t>8</w:t>
      </w:r>
      <w:r w:rsidRPr="007B7CEA">
        <w:rPr>
          <w:lang w:val="lt-LT"/>
        </w:rPr>
        <w:t>.</w:t>
      </w:r>
      <w:r w:rsidRPr="007B7CEA">
        <w:rPr>
          <w:color w:val="000000"/>
          <w:lang w:val="lt-LT"/>
        </w:rPr>
        <w:t xml:space="preserve"> Pagal komentuojamoje dalyje nustatytą išimtį, iš mokestinio laikotarpio pajamų atskaitomus ankstesnių mokestinių laikotarpių veiklos nuostolius ir/ar VP perleidimo nuostolius ribojanti nuostata netaikoma vienetams, kurių apmokestinamasis pelnas apmokestinamas, taikant PMĮ 5 straipsnio 2 dalyje nustatytą </w:t>
      </w:r>
      <w:r w:rsidRPr="007B7CEA">
        <w:rPr>
          <w:bCs/>
          <w:color w:val="000000"/>
          <w:lang w:val="lt-LT"/>
        </w:rPr>
        <w:t>lengvatinį (5 proc. – apskaičiuojant iki 2025 metais prasidėjusio mokestinio laikotarpio, 6 proc. – apskaičiuojant 2025 metais prasidėjusio mokestinio laikotarpio ir 7 proc. – apskaičiuojant 2026 metais prasidėjusio ir vėlesnių mokestinių laikotarpių apmokestinamąjį pelną)</w:t>
      </w:r>
      <w:r w:rsidRPr="007B7CEA">
        <w:rPr>
          <w:color w:val="000000"/>
          <w:lang w:val="lt-LT"/>
        </w:rPr>
        <w:t xml:space="preserve"> pelno mokesčio tarifą.</w:t>
      </w:r>
      <w:r w:rsidRPr="00472D3E">
        <w:rPr>
          <w:color w:val="000000"/>
          <w:lang w:val="lt-LT"/>
        </w:rPr>
        <w:t xml:space="preserve"> </w:t>
      </w:r>
      <w:r>
        <w:rPr>
          <w:color w:val="000000"/>
          <w:lang w:val="lt-LT"/>
        </w:rPr>
        <w:t xml:space="preserve">    </w:t>
      </w:r>
    </w:p>
    <w:p w14:paraId="480CF005" w14:textId="77777777" w:rsidR="006E2A74" w:rsidRPr="00472D3E" w:rsidRDefault="006E2A74" w:rsidP="006E2A74">
      <w:pPr>
        <w:ind w:firstLine="720"/>
        <w:jc w:val="both"/>
        <w:rPr>
          <w:color w:val="000000"/>
          <w:lang w:val="lt-LT"/>
        </w:rPr>
      </w:pPr>
    </w:p>
    <w:p w14:paraId="3360BBF2" w14:textId="77777777" w:rsidR="006E2A74" w:rsidRDefault="006E2A74" w:rsidP="006E2A74">
      <w:pPr>
        <w:ind w:firstLine="720"/>
        <w:jc w:val="both"/>
        <w:rPr>
          <w:color w:val="000000"/>
          <w:lang w:val="lt-LT"/>
        </w:rPr>
      </w:pPr>
      <w:r>
        <w:rPr>
          <w:color w:val="000000"/>
          <w:lang w:val="lt-LT"/>
        </w:rPr>
        <w:t xml:space="preserve"> </w:t>
      </w:r>
      <w:r w:rsidRPr="00472D3E">
        <w:rPr>
          <w:color w:val="000000"/>
          <w:lang w:val="lt-LT"/>
        </w:rPr>
        <w:t>Pavyzdys</w:t>
      </w:r>
    </w:p>
    <w:p w14:paraId="2116FB5F" w14:textId="77777777" w:rsidR="006E2A74" w:rsidRPr="00472D3E" w:rsidRDefault="006E2A74" w:rsidP="006E2A74">
      <w:pPr>
        <w:ind w:firstLine="720"/>
        <w:jc w:val="both"/>
        <w:rPr>
          <w:color w:val="000000"/>
          <w:lang w:val="lt-LT"/>
        </w:rPr>
      </w:pPr>
    </w:p>
    <w:p w14:paraId="09B637CB" w14:textId="77777777" w:rsidR="006E2A74" w:rsidRPr="007B7CEA" w:rsidRDefault="006E2A74" w:rsidP="006E2A74">
      <w:pPr>
        <w:pBdr>
          <w:top w:val="single" w:sz="4" w:space="1" w:color="auto"/>
          <w:left w:val="single" w:sz="4" w:space="4" w:color="auto"/>
          <w:bottom w:val="single" w:sz="4" w:space="1" w:color="auto"/>
          <w:right w:val="single" w:sz="4" w:space="4" w:color="auto"/>
        </w:pBdr>
        <w:ind w:firstLine="720"/>
        <w:jc w:val="both"/>
        <w:rPr>
          <w:lang w:val="lt-LT"/>
        </w:rPr>
      </w:pPr>
      <w:r w:rsidRPr="007B7CEA">
        <w:rPr>
          <w:color w:val="000000"/>
          <w:lang w:val="lt-LT"/>
        </w:rPr>
        <w:t xml:space="preserve">UAB X už 2025 mokestinius metus apskaičiavo 50 000 </w:t>
      </w:r>
      <w:r w:rsidRPr="007B7CEA">
        <w:rPr>
          <w:lang w:val="lt-LT"/>
        </w:rPr>
        <w:t>Eur</w:t>
      </w:r>
      <w:r w:rsidRPr="007B7CEA">
        <w:rPr>
          <w:color w:val="000000"/>
          <w:lang w:val="lt-LT"/>
        </w:rPr>
        <w:t xml:space="preserve">, o už 2026 mokestinius metus – 10 000 </w:t>
      </w:r>
      <w:r w:rsidRPr="007B7CEA">
        <w:rPr>
          <w:lang w:val="lt-LT"/>
        </w:rPr>
        <w:t>Eur</w:t>
      </w:r>
      <w:r w:rsidRPr="007B7CEA">
        <w:rPr>
          <w:color w:val="000000"/>
          <w:lang w:val="lt-LT"/>
        </w:rPr>
        <w:t xml:space="preserve"> veiklos nuostolių (UAB X atitinka PMĮ 5 straipsnio 2 dalyje nustatytas sąlygas dėl  </w:t>
      </w:r>
      <w:r w:rsidRPr="007B7CEA">
        <w:rPr>
          <w:iCs/>
          <w:color w:val="000000"/>
          <w:lang w:val="lt-LT"/>
        </w:rPr>
        <w:t xml:space="preserve">lengvatinio </w:t>
      </w:r>
      <w:r w:rsidRPr="007B7CEA">
        <w:rPr>
          <w:color w:val="000000"/>
          <w:lang w:val="lt-LT"/>
        </w:rPr>
        <w:t>(6 procentų – 2025 metais</w:t>
      </w:r>
      <w:r w:rsidRPr="007B7CEA">
        <w:rPr>
          <w:bCs/>
          <w:color w:val="000000"/>
          <w:lang w:val="lt-LT"/>
        </w:rPr>
        <w:t xml:space="preserve"> prasidėjusį mokestinį laikotarpį</w:t>
      </w:r>
      <w:r w:rsidRPr="007B7CEA">
        <w:rPr>
          <w:color w:val="000000"/>
          <w:lang w:val="lt-LT"/>
        </w:rPr>
        <w:t xml:space="preserve">, 7 proc. – nuo </w:t>
      </w:r>
      <w:r w:rsidRPr="007B7CEA">
        <w:rPr>
          <w:bCs/>
          <w:color w:val="000000"/>
          <w:lang w:val="lt-LT"/>
        </w:rPr>
        <w:t>2026 prasidėjusio mokestinio laikotarpio</w:t>
      </w:r>
      <w:r w:rsidRPr="007B7CEA">
        <w:rPr>
          <w:color w:val="000000"/>
          <w:lang w:val="lt-LT"/>
        </w:rPr>
        <w:t xml:space="preserve">) mokesčio tarifo taikymo). UAB X 2027 mokestinių metų veiklos pelnas sudaro 50 000 </w:t>
      </w:r>
      <w:r w:rsidRPr="007B7CEA">
        <w:rPr>
          <w:lang w:val="lt-LT"/>
        </w:rPr>
        <w:t>Eur</w:t>
      </w:r>
      <w:r w:rsidRPr="007B7CEA">
        <w:rPr>
          <w:color w:val="000000"/>
          <w:lang w:val="lt-LT"/>
        </w:rPr>
        <w:t xml:space="preserve"> (VP perleidimo </w:t>
      </w:r>
      <w:r w:rsidRPr="007B7CEA">
        <w:rPr>
          <w:lang w:val="lt-LT"/>
        </w:rPr>
        <w:t xml:space="preserve">ir </w:t>
      </w:r>
      <w:r w:rsidRPr="007B7CEA">
        <w:rPr>
          <w:color w:val="000000"/>
          <w:lang w:val="lt-LT"/>
        </w:rPr>
        <w:t xml:space="preserve">veiklos, apmokestinamos pagal PMĮ 5 straipsnio 7-10  dalis, pajamų UAB X neturėjo). Apskaičiuodama 2027 mokestinių metų apmokestinamąjį pelną, UAB X iš pajamų gali atskaityti 50 000 </w:t>
      </w:r>
      <w:r w:rsidRPr="007B7CEA">
        <w:rPr>
          <w:lang w:val="lt-LT"/>
        </w:rPr>
        <w:t>Eur</w:t>
      </w:r>
      <w:r w:rsidRPr="007B7CEA">
        <w:rPr>
          <w:color w:val="000000"/>
          <w:lang w:val="lt-LT"/>
        </w:rPr>
        <w:t xml:space="preserve"> </w:t>
      </w:r>
      <w:r w:rsidRPr="007B7CEA">
        <w:rPr>
          <w:lang w:val="lt-LT"/>
        </w:rPr>
        <w:t xml:space="preserve">2025 mokestinių metų </w:t>
      </w:r>
      <w:r w:rsidRPr="007B7CEA">
        <w:rPr>
          <w:color w:val="000000"/>
          <w:lang w:val="lt-LT"/>
        </w:rPr>
        <w:t>veiklos nuostolių sumą. Likusią neatskaitytą 2026 mokestinių metų 10 000</w:t>
      </w:r>
      <w:r w:rsidRPr="007B7CEA">
        <w:rPr>
          <w:lang w:val="lt-LT"/>
        </w:rPr>
        <w:t xml:space="preserve"> Eur</w:t>
      </w:r>
      <w:r w:rsidRPr="007B7CEA">
        <w:rPr>
          <w:color w:val="000000"/>
          <w:lang w:val="lt-LT"/>
        </w:rPr>
        <w:t xml:space="preserve"> nuostolių sumą UAB X gali perkelti į kitus mokestinius metus, netaikydama PMĮ 30 straipsnio 4 dalyje nustatytų perkeliamiems ankstesnių mokestinių laikotarpių nuostoliams ribojančių nuostatų, jeigu ir kitais mokestiniais metais UAB X atitiks PMĮ 5 straipsnio 2 dalyje nustatytas sąlygas dėl lengvatinio mokesčio tarifo taikymo. </w:t>
      </w:r>
    </w:p>
    <w:p w14:paraId="2E8716C7" w14:textId="77777777" w:rsidR="005843F4" w:rsidRPr="008B6CFC" w:rsidRDefault="005843F4" w:rsidP="005843F4">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06</w:t>
      </w:r>
      <w:r w:rsidRPr="0051529C">
        <w:t xml:space="preserve"> rašt</w:t>
      </w:r>
      <w:r>
        <w:t>ą</w:t>
      </w:r>
      <w:r w:rsidRPr="0051529C">
        <w:t xml:space="preserve"> Nr.</w:t>
      </w:r>
      <w:r>
        <w:rPr>
          <w:iCs/>
          <w:lang w:eastAsia="lt-LT"/>
        </w:rPr>
        <w:t xml:space="preserve"> (18.32-31-1 Mr)-R-270)</w:t>
      </w:r>
    </w:p>
    <w:p w14:paraId="0F819455" w14:textId="77777777" w:rsidR="00AF6494" w:rsidRPr="00AF6494" w:rsidRDefault="00AF6494" w:rsidP="006E2A74">
      <w:pPr>
        <w:jc w:val="both"/>
        <w:rPr>
          <w:rFonts w:ascii="Trebuchet MS" w:hAnsi="Trebuchet MS"/>
          <w:sz w:val="20"/>
          <w:szCs w:val="22"/>
          <w:lang w:val="lt-LT"/>
        </w:rPr>
      </w:pPr>
    </w:p>
    <w:p w14:paraId="792431A7" w14:textId="77777777" w:rsidR="00093845" w:rsidRDefault="000D779E" w:rsidP="00BE5120">
      <w:pPr>
        <w:spacing w:after="0"/>
        <w:ind w:firstLine="720"/>
        <w:jc w:val="both"/>
        <w:rPr>
          <w:b/>
          <w:color w:val="000000"/>
        </w:rPr>
      </w:pPr>
      <w:r>
        <w:rPr>
          <w:b/>
        </w:rPr>
        <w:t xml:space="preserve">5. </w:t>
      </w:r>
      <w:r>
        <w:rPr>
          <w:b/>
          <w:color w:val="000000"/>
        </w:rPr>
        <w:t xml:space="preserve">Nuostoliai dėl vertybinių popierių ir (arba) išvestinių finansinių priemonių perleidimo (ne finansų įstaigų) perkeliami ne ilgiau kaip penkis vienas po kito einančius mokestinius </w:t>
      </w:r>
      <w:r>
        <w:rPr>
          <w:b/>
          <w:color w:val="000000"/>
        </w:rPr>
        <w:lastRenderedPageBreak/>
        <w:t>laikotarpius, pradedant tuo mokestiniu laikotarpiu, kuris eina po to mokestinio laikotarpio, kurį šie nuostoliai susidarė.</w:t>
      </w:r>
    </w:p>
    <w:p w14:paraId="7C91DD62" w14:textId="77777777" w:rsidR="00093845" w:rsidRDefault="000D779E" w:rsidP="00BE5120">
      <w:pPr>
        <w:spacing w:after="0"/>
        <w:jc w:val="both"/>
        <w:rPr>
          <w:i/>
          <w:color w:val="000000"/>
        </w:rPr>
      </w:pPr>
      <w:r w:rsidRPr="006436F3">
        <w:rPr>
          <w:i/>
          <w:color w:val="000000"/>
        </w:rPr>
        <w:t>(</w:t>
      </w:r>
      <w:r w:rsidRPr="006436F3">
        <w:rPr>
          <w:i/>
        </w:rPr>
        <w:t>KEISTA:</w:t>
      </w:r>
      <w:r w:rsidRPr="006436F3">
        <w:rPr>
          <w:i/>
          <w:lang w:val="lt-LT"/>
        </w:rPr>
        <w:t xml:space="preserve"> </w:t>
      </w:r>
      <w:r w:rsidRPr="006436F3">
        <w:rPr>
          <w:i/>
        </w:rPr>
        <w:t>2013 12 12 įstatymu Nr. XII-661 (nuo 2013 12 30)</w:t>
      </w:r>
      <w:r w:rsidR="00A32EA8" w:rsidRPr="006436F3">
        <w:rPr>
          <w:i/>
        </w:rPr>
        <w:t>,</w:t>
      </w:r>
      <w:r w:rsidR="005D3780" w:rsidRPr="006436F3">
        <w:rPr>
          <w:i/>
        </w:rPr>
        <w:t xml:space="preserve"> taikoma apskaičiuojant 2014 metų ir vėlesnių metų mokestinių laikotarpių pelno mokestį</w:t>
      </w:r>
      <w:r w:rsidRPr="006436F3">
        <w:rPr>
          <w:i/>
          <w:color w:val="000000"/>
        </w:rPr>
        <w:t xml:space="preserve">) </w:t>
      </w:r>
    </w:p>
    <w:p w14:paraId="02E6F36A" w14:textId="77777777" w:rsidR="00FE3551" w:rsidRPr="006436F3" w:rsidRDefault="00FE3551" w:rsidP="00BE5120">
      <w:pPr>
        <w:spacing w:after="0"/>
        <w:jc w:val="both"/>
        <w:rPr>
          <w:i/>
        </w:rPr>
      </w:pPr>
    </w:p>
    <w:p w14:paraId="7114D1E4" w14:textId="77777777" w:rsidR="00093845" w:rsidRDefault="000D779E">
      <w:pPr>
        <w:ind w:firstLine="709"/>
        <w:jc w:val="both"/>
        <w:rPr>
          <w:b/>
          <w:bCs/>
        </w:rPr>
      </w:pPr>
      <w:r>
        <w:rPr>
          <w:b/>
          <w:bCs/>
        </w:rPr>
        <w:t>Komentaras</w:t>
      </w:r>
    </w:p>
    <w:p w14:paraId="46C5145C" w14:textId="77777777" w:rsidR="00093845" w:rsidRDefault="000D779E">
      <w:pPr>
        <w:tabs>
          <w:tab w:val="left" w:pos="720"/>
          <w:tab w:val="left" w:pos="1077"/>
          <w:tab w:val="left" w:pos="1418"/>
        </w:tabs>
        <w:ind w:right="-5" w:firstLine="709"/>
        <w:jc w:val="both"/>
      </w:pPr>
      <w:r>
        <w:t xml:space="preserve">Vienetų (išskyrus vienetus finansų įstaigas) nuostoliai dėl VP perleidimo perkeliami į kitus mokestinius laikotarpius ne ilgiau kaip penkis vienas po kito einančius mokestinius laikotarpius. Atsižvelgiant į PMĮ 30 straipsnio 4 dalies nuostatas, ne finansų įstaigoms iš mokestinio laikotarpio VP perleidimo pelno atskaitomiems ankstesnių mokestinių laikotarpių VP perleidimo nuostoliams ribojimas (iki 70 procentų nuo VP perleidimo pelno) netaikomas. </w:t>
      </w:r>
    </w:p>
    <w:p w14:paraId="11AAF9FF" w14:textId="77777777" w:rsidR="00093845" w:rsidRDefault="000D779E">
      <w:pPr>
        <w:tabs>
          <w:tab w:val="left" w:pos="720"/>
          <w:tab w:val="left" w:pos="1077"/>
          <w:tab w:val="left" w:pos="1418"/>
        </w:tabs>
        <w:ind w:right="-5" w:firstLine="709"/>
        <w:jc w:val="both"/>
      </w:pPr>
      <w:r>
        <w:t xml:space="preserve">Apskaičiuojant apmokestinamąjį pelną, perkeliami VP perleidimo nuostoliai gali būti atskaitomi tik iš kitais mokestiniais laikotarpiais gauto VP perleidimo pelno (žr. PMĮ 30 straipsnio 2 dalies komentarą). </w:t>
      </w:r>
    </w:p>
    <w:p w14:paraId="674566AE" w14:textId="77777777" w:rsidR="00093845" w:rsidRDefault="000D779E">
      <w:pPr>
        <w:tabs>
          <w:tab w:val="left" w:pos="720"/>
          <w:tab w:val="left" w:pos="1077"/>
          <w:tab w:val="left" w:pos="1418"/>
        </w:tabs>
        <w:ind w:right="-5" w:firstLine="709"/>
        <w:jc w:val="both"/>
      </w:pPr>
      <w:r>
        <w:t>Pavyzdys</w:t>
      </w:r>
    </w:p>
    <w:p w14:paraId="6C810025" w14:textId="77777777" w:rsidR="00093845" w:rsidRDefault="000D779E">
      <w:pPr>
        <w:pStyle w:val="Paprastasistekstas"/>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rFonts w:ascii="Times New Roman" w:hAnsi="Times New Roman" w:cs="Times New Roman"/>
          <w:lang w:val="lt-LT"/>
        </w:rPr>
      </w:pPr>
      <w:r>
        <w:rPr>
          <w:rFonts w:ascii="Times New Roman" w:hAnsi="Times New Roman" w:cs="Times New Roman"/>
          <w:lang w:val="lt-LT"/>
        </w:rPr>
        <w:t>Vieneto (ne finansų įstaigos) ankstesnių mokestinių laikotarpių neperkelti VP perleidimo nuostoliai sudarė 26 000 Lt (2008 m. – 10 000 Lt, o 2009 m. – 16 000 Lt). 2010 –2013 metais vienetas su VP operacijų nevykdė. Už 2014 metus iš VP perleidimo vienetas apskaičiavo 20 000 Lt pelno. Apskaičiuodamas 2014 metų apmokestinamąjį pelną, iš VP perleidimo pelno vienetas gali atskaityti 16 000 Lt 2009 m. VP perleidimo nuostolių (2008 m. VP perleidimo nuostoliai iš 2014 mokestinių metų VP perleidimo pelno neatskaitomi, nes pasibaigė 5 metų VP perleidimo nuostolių perkėlimo terminas).</w:t>
      </w:r>
    </w:p>
    <w:p w14:paraId="2BEF6A9A" w14:textId="77777777" w:rsidR="00093845" w:rsidRDefault="000D779E">
      <w:pPr>
        <w:pStyle w:val="Paprastasistekstas"/>
        <w:spacing w:before="0" w:beforeAutospacing="0" w:after="0" w:afterAutospacing="0"/>
        <w:jc w:val="both"/>
        <w:rPr>
          <w:rFonts w:ascii="Times New Roman" w:hAnsi="Times New Roman" w:cs="Times New Roman"/>
          <w:bCs/>
          <w:lang w:val="lt-LT"/>
        </w:rPr>
      </w:pPr>
      <w:r>
        <w:rPr>
          <w:rFonts w:ascii="Times New Roman" w:hAnsi="Times New Roman" w:cs="Times New Roman"/>
          <w:bCs/>
          <w:lang w:val="lt-LT"/>
        </w:rPr>
        <w:tab/>
      </w:r>
    </w:p>
    <w:p w14:paraId="1AD963CC" w14:textId="77777777" w:rsidR="00093845" w:rsidRDefault="000D779E">
      <w:pPr>
        <w:tabs>
          <w:tab w:val="left" w:pos="720"/>
          <w:tab w:val="left" w:pos="1077"/>
          <w:tab w:val="left" w:pos="1418"/>
        </w:tabs>
        <w:ind w:firstLine="720"/>
        <w:jc w:val="both"/>
      </w:pPr>
      <w:r>
        <w:rPr>
          <w:lang w:val="lt-LT"/>
        </w:rPr>
        <w:t> </w:t>
      </w:r>
      <w:r>
        <w:t>(PMĮ 30 str. 5 dalies komentaras pakeistas pagal VMI prie FM 2014-08-08 raštą Nr. (18.10-31-1)-RM-13389)).</w:t>
      </w:r>
    </w:p>
    <w:p w14:paraId="20D65863" w14:textId="77777777" w:rsidR="001D38FA" w:rsidRPr="001D38FA" w:rsidRDefault="001D38FA" w:rsidP="00BE5120">
      <w:pPr>
        <w:tabs>
          <w:tab w:val="left" w:pos="720"/>
          <w:tab w:val="left" w:pos="1077"/>
          <w:tab w:val="left" w:pos="1418"/>
        </w:tabs>
        <w:spacing w:after="0"/>
        <w:ind w:firstLine="720"/>
        <w:jc w:val="both"/>
        <w:rPr>
          <w:b/>
        </w:rPr>
      </w:pPr>
      <w:r w:rsidRPr="001D38FA">
        <w:rPr>
          <w:b/>
        </w:rPr>
        <w:t>6. Lietuvos vieneto nuolatinės buveinės, kurios pajamos pagal šio Įstatymo 4 straipsnio 1 dalį nepriskiriamos Lietuvos vieneto mokesčio bazei, mokestinių nuostolių perdavimo ir atskaitymo tvarka nustatyta šio Įstatymo 56</w:t>
      </w:r>
      <w:r w:rsidRPr="001D38FA">
        <w:rPr>
          <w:b/>
          <w:vertAlign w:val="superscript"/>
        </w:rPr>
        <w:t>2</w:t>
      </w:r>
      <w:r w:rsidRPr="001D38FA">
        <w:rPr>
          <w:b/>
        </w:rPr>
        <w:t xml:space="preserve"> straipsnyje.</w:t>
      </w:r>
    </w:p>
    <w:p w14:paraId="5A09882F" w14:textId="77777777" w:rsidR="001D38FA" w:rsidRPr="00256D06" w:rsidRDefault="001D38FA" w:rsidP="001D38FA">
      <w:pPr>
        <w:spacing w:before="100" w:beforeAutospacing="1" w:after="100" w:afterAutospacing="1" w:line="240" w:lineRule="auto"/>
        <w:jc w:val="both"/>
        <w:rPr>
          <w:i/>
          <w:iCs/>
          <w:color w:val="000000"/>
          <w:lang w:val="lt-LT" w:eastAsia="lt-LT"/>
        </w:rPr>
      </w:pPr>
      <w:r w:rsidRPr="00256D06">
        <w:rPr>
          <w:b/>
          <w:bCs/>
          <w:i/>
          <w:iCs/>
          <w:color w:val="000000"/>
          <w:lang w:val="lt-LT" w:eastAsia="lt-LT"/>
        </w:rPr>
        <w:t>TAR pastaba.</w:t>
      </w:r>
      <w:r w:rsidRPr="00256D06">
        <w:rPr>
          <w:i/>
          <w:iCs/>
          <w:color w:val="000000"/>
          <w:lang w:val="lt-LT" w:eastAsia="lt-LT"/>
        </w:rPr>
        <w:t xml:space="preserve"> 6 dalies nuostatos taikomos apskaičiuojant ir deklaruojant 2020 metų ir vėlesnių mokestinių laikotarpių pelno mokestį. </w:t>
      </w:r>
    </w:p>
    <w:p w14:paraId="3ABA5215" w14:textId="77777777" w:rsidR="001D38FA" w:rsidRPr="00256D06" w:rsidRDefault="001D38FA" w:rsidP="001D38FA">
      <w:pPr>
        <w:spacing w:before="100" w:beforeAutospacing="1" w:after="100" w:afterAutospacing="1" w:line="240" w:lineRule="auto"/>
        <w:jc w:val="both"/>
        <w:rPr>
          <w:i/>
          <w:iCs/>
          <w:color w:val="000000"/>
          <w:lang w:eastAsia="lt-LT"/>
        </w:rPr>
      </w:pPr>
      <w:r w:rsidRPr="00256D06">
        <w:rPr>
          <w:i/>
          <w:iCs/>
          <w:color w:val="000000"/>
          <w:lang w:val="lt-LT" w:eastAsia="lt-LT"/>
        </w:rPr>
        <w:t>(</w:t>
      </w:r>
      <w:r w:rsidRPr="00256D06">
        <w:rPr>
          <w:i/>
          <w:iCs/>
          <w:color w:val="000000"/>
          <w:lang w:eastAsia="lt-LT"/>
        </w:rPr>
        <w:t>KEISTA: 2019 12 17 įstatymu Nr. XIII-2694 (nuo 2020 01 01))</w:t>
      </w:r>
    </w:p>
    <w:p w14:paraId="18EBD5C2" w14:textId="77777777" w:rsidR="00093845" w:rsidRDefault="000D779E">
      <w:pPr>
        <w:ind w:firstLine="720"/>
        <w:jc w:val="both"/>
        <w:rPr>
          <w:b/>
        </w:rPr>
      </w:pPr>
      <w:r>
        <w:rPr>
          <w:b/>
        </w:rPr>
        <w:t>Komentaras</w:t>
      </w:r>
    </w:p>
    <w:p w14:paraId="2A743D0F" w14:textId="77777777" w:rsidR="00325DEF" w:rsidRPr="00FF3E5F" w:rsidRDefault="00325DEF" w:rsidP="00325DEF">
      <w:pPr>
        <w:ind w:firstLine="567"/>
        <w:jc w:val="both"/>
        <w:rPr>
          <w:rFonts w:eastAsia="Calibri"/>
        </w:rPr>
      </w:pPr>
      <w:r w:rsidRPr="00FF3E5F">
        <w:rPr>
          <w:rFonts w:eastAsia="Calibri"/>
        </w:rPr>
        <w:t>Lietuvos vienetų nuolatinių buveinių, kurių pajamos apmokestinamos užsienio šalyse pagal tose šalyse galiojančius mokesčių įstatymus (t. y. kurių pajamos pagal PMĮ 4 straipsnio 1 dalį nepriskiriamos Lietuvos vieneto mokesčio bazei), mokestinio laikotarpio nuostolių į kitus mokestinius laikotarpius perdavimo ir atskaitymo tvarka nustatyta PMĮ 56</w:t>
      </w:r>
      <w:r w:rsidRPr="00FF3E5F">
        <w:rPr>
          <w:rFonts w:eastAsia="Calibri"/>
          <w:vertAlign w:val="superscript"/>
        </w:rPr>
        <w:t>2</w:t>
      </w:r>
      <w:r w:rsidRPr="00FF3E5F">
        <w:rPr>
          <w:rFonts w:eastAsia="Calibri"/>
        </w:rPr>
        <w:t xml:space="preserve"> straipsnyje. Plačiau apie Lietuvos vienetų nuolatinių buveinių, kurios apmokestinamos užsienio šalyse pagal tose šalyse galiojančius mokesčių įstatymus, mokestinių nuostolių perdavimo ir atskaitymo tvarką paaiškinta PMĮ 56</w:t>
      </w:r>
      <w:r w:rsidRPr="00FF3E5F">
        <w:rPr>
          <w:rFonts w:eastAsia="Calibri"/>
          <w:vertAlign w:val="superscript"/>
        </w:rPr>
        <w:t>2</w:t>
      </w:r>
      <w:r w:rsidRPr="00FF3E5F">
        <w:rPr>
          <w:rFonts w:eastAsia="Calibri"/>
        </w:rPr>
        <w:t xml:space="preserve"> straipsnio komentare.</w:t>
      </w:r>
    </w:p>
    <w:p w14:paraId="48572A29" w14:textId="77777777" w:rsidR="00325DEF" w:rsidRPr="00FF3E5F" w:rsidRDefault="00325DEF" w:rsidP="00325DEF">
      <w:pPr>
        <w:ind w:firstLine="567"/>
        <w:jc w:val="both"/>
        <w:rPr>
          <w:rFonts w:eastAsia="Calibri"/>
        </w:rPr>
      </w:pPr>
      <w:r w:rsidRPr="00FF3E5F">
        <w:rPr>
          <w:rFonts w:eastAsia="Calibri"/>
        </w:rPr>
        <w:t xml:space="preserve">PMĮ 4 straipsnio 1 dalyje yra įtvirtinta, kad per Lietuvos vieneto nuolatines buveines, esančias Europos ekonominės erdvės valstybėse arba valstybėse, su kuriomis Lietuvos Respublika yra sudariusi ir taiko dvigubo apmokestinimo išvengimo sutartis, vykdomos veiklos pajamos nepriskiriamos Lietuvos vieneto mokesčio bazei, jeigu per šias nuolatines buveines vykdomos veiklos pajamos </w:t>
      </w:r>
      <w:r w:rsidRPr="00FF3E5F">
        <w:rPr>
          <w:rFonts w:eastAsia="Calibri"/>
        </w:rPr>
        <w:lastRenderedPageBreak/>
        <w:t>nustatyta tvarka apmokestinamos pelno mokesčiu ar jam tapačiu mokesčiu tose valstybėse (žr. PMĮ 4 straipsnio 1 dalies komentarą).</w:t>
      </w:r>
    </w:p>
    <w:p w14:paraId="52F94C32" w14:textId="77777777" w:rsidR="00325DEF" w:rsidRPr="00FF3E5F" w:rsidRDefault="00325DEF" w:rsidP="00325DEF">
      <w:pPr>
        <w:ind w:firstLine="567"/>
        <w:jc w:val="both"/>
        <w:rPr>
          <w:rFonts w:eastAsia="Calibri"/>
        </w:rPr>
      </w:pPr>
      <w:r w:rsidRPr="00FF3E5F">
        <w:rPr>
          <w:rFonts w:eastAsia="Calibri"/>
        </w:rPr>
        <w:t>Nuo 2020 mokestinio laikotarpio Lietuvos vienetų nuolatinių buveinių (t. y. kurių pajamos pagal PMĮ 4 straipsnio 1 dalį nepriskiriamos Lietuvos vieneto mokesčio bazei) perduodamiems nuostoliams, o Lietuvos vieneto perimamiems nuostoliams taikomos bendros PMĮ 30 straipsnio 1- 5 dalyse įtvirtintos taisyklės.</w:t>
      </w:r>
    </w:p>
    <w:p w14:paraId="40ED0A2F" w14:textId="77777777" w:rsidR="00325DEF" w:rsidRPr="00FF3E5F" w:rsidRDefault="00325DEF" w:rsidP="00325DEF">
      <w:pPr>
        <w:ind w:firstLine="567"/>
        <w:jc w:val="both"/>
        <w:rPr>
          <w:rFonts w:eastAsia="Calibri"/>
        </w:rPr>
      </w:pPr>
      <w:r w:rsidRPr="00FF3E5F">
        <w:rPr>
          <w:rFonts w:eastAsia="Calibri"/>
        </w:rPr>
        <w:t>Lietuvos vienetų nuolatinių buveinių,</w:t>
      </w:r>
      <w:r w:rsidRPr="00FF3E5F">
        <w:t xml:space="preserve"> </w:t>
      </w:r>
      <w:r w:rsidRPr="00FF3E5F">
        <w:rPr>
          <w:rFonts w:eastAsia="Calibri"/>
        </w:rPr>
        <w:t>kurių pajamos įtraukiamos į Lietuvos vieneto mokesčio bazę, apskaičiuoti nuostoliai Lietuvos vieneto nuostoliams priskiriami taikant PMĮ nustatytą bendrą nuostolių perkėlimo tvarką.</w:t>
      </w:r>
    </w:p>
    <w:p w14:paraId="60AC75C1" w14:textId="77777777" w:rsidR="00325DEF" w:rsidRDefault="00325DEF" w:rsidP="004B4FF8">
      <w:pPr>
        <w:ind w:firstLine="567"/>
        <w:jc w:val="both"/>
        <w:rPr>
          <w:color w:val="000000"/>
        </w:rPr>
      </w:pPr>
      <w:r>
        <w:rPr>
          <w:iCs/>
          <w:lang w:eastAsia="lt-LT"/>
        </w:rPr>
        <w:t>(</w:t>
      </w:r>
      <w:r w:rsidR="00737157">
        <w:rPr>
          <w:iCs/>
          <w:lang w:eastAsia="lt-LT"/>
        </w:rPr>
        <w:t>P</w:t>
      </w:r>
      <w:r w:rsidRPr="00DC637E">
        <w:rPr>
          <w:iCs/>
          <w:lang w:eastAsia="lt-LT"/>
        </w:rPr>
        <w:t xml:space="preserve">agal VMI prie FM raštą </w:t>
      </w:r>
      <w:r>
        <w:rPr>
          <w:color w:val="000000"/>
        </w:rPr>
        <w:t>2020-12-</w:t>
      </w:r>
      <w:r w:rsidRPr="00DC637E">
        <w:rPr>
          <w:color w:val="000000"/>
        </w:rPr>
        <w:t>3</w:t>
      </w:r>
      <w:r>
        <w:rPr>
          <w:color w:val="000000"/>
        </w:rPr>
        <w:t>0</w:t>
      </w:r>
      <w:r w:rsidRPr="00DC637E">
        <w:rPr>
          <w:color w:val="000000"/>
        </w:rPr>
        <w:t xml:space="preserve"> Nr. </w:t>
      </w:r>
      <w:r w:rsidRPr="00DC637E">
        <w:t>(</w:t>
      </w:r>
      <w:r>
        <w:rPr>
          <w:color w:val="000000"/>
        </w:rPr>
        <w:t>18.10-31-1E) RM-65107</w:t>
      </w:r>
      <w:r w:rsidRPr="00DC637E">
        <w:rPr>
          <w:color w:val="000000"/>
        </w:rPr>
        <w:t>))</w:t>
      </w:r>
    </w:p>
    <w:p w14:paraId="532E4E4B" w14:textId="77777777" w:rsidR="00325DEF" w:rsidRDefault="00325DEF">
      <w:pPr>
        <w:ind w:firstLine="720"/>
        <w:jc w:val="both"/>
        <w:rPr>
          <w:b/>
        </w:rPr>
      </w:pPr>
    </w:p>
    <w:p w14:paraId="327E83A4" w14:textId="77777777" w:rsidR="00093845" w:rsidRDefault="000D779E" w:rsidP="00BE5120">
      <w:pPr>
        <w:tabs>
          <w:tab w:val="left" w:pos="720"/>
          <w:tab w:val="left" w:pos="1077"/>
          <w:tab w:val="left" w:pos="1418"/>
        </w:tabs>
        <w:spacing w:after="0"/>
        <w:ind w:firstLine="720"/>
        <w:jc w:val="both"/>
        <w:rPr>
          <w:b/>
          <w:lang w:val="lt-LT"/>
        </w:rPr>
      </w:pPr>
      <w:r>
        <w:rPr>
          <w:b/>
          <w:lang w:val="lt-LT"/>
        </w:rPr>
        <w:t>7. Vienetus reorganizuojant, likviduojant, pertvarkant, Lietuvos vienetui (Europos bendrovei ar Europos kooperatinei bendrovei) perkeliant registruotą buveinę į kitą Europos Sąjungos valstybę narę, tam tikrais atvejais susidariusių nuostolių perkėlimo atvejai nustatyti šio Įstatymo IX skyriuje.</w:t>
      </w:r>
    </w:p>
    <w:p w14:paraId="3A8CEFBD" w14:textId="77777777" w:rsidR="00093845" w:rsidRPr="00891526" w:rsidRDefault="000D779E" w:rsidP="00BE5120">
      <w:pPr>
        <w:spacing w:after="0"/>
        <w:jc w:val="both"/>
        <w:rPr>
          <w:i/>
          <w:color w:val="000000"/>
        </w:rPr>
      </w:pPr>
      <w:r w:rsidRPr="00891526">
        <w:rPr>
          <w:i/>
          <w:color w:val="000000"/>
        </w:rPr>
        <w:t>(</w:t>
      </w:r>
      <w:r w:rsidRPr="00891526">
        <w:rPr>
          <w:i/>
        </w:rPr>
        <w:t>KEISTA:</w:t>
      </w:r>
      <w:r w:rsidRPr="00891526">
        <w:rPr>
          <w:i/>
          <w:lang w:val="lt-LT"/>
        </w:rPr>
        <w:t xml:space="preserve"> </w:t>
      </w:r>
      <w:r w:rsidRPr="00891526">
        <w:rPr>
          <w:i/>
        </w:rPr>
        <w:t>2013 12 12 įstatymu Nr. XII-661 (nuo 2013 12 30)</w:t>
      </w:r>
      <w:r w:rsidRPr="00891526">
        <w:rPr>
          <w:i/>
          <w:color w:val="000000"/>
        </w:rPr>
        <w:t xml:space="preserve">) </w:t>
      </w:r>
    </w:p>
    <w:p w14:paraId="4BD5F23D" w14:textId="77777777" w:rsidR="00DC637E" w:rsidRDefault="00DC637E" w:rsidP="00BE5120">
      <w:pPr>
        <w:spacing w:after="0"/>
        <w:jc w:val="both"/>
      </w:pPr>
    </w:p>
    <w:p w14:paraId="69BADA0F" w14:textId="77777777" w:rsidR="00093845" w:rsidRDefault="000D779E">
      <w:pPr>
        <w:ind w:firstLine="720"/>
        <w:jc w:val="both"/>
        <w:rPr>
          <w:b/>
          <w:bCs/>
          <w:lang w:val="lt-LT"/>
        </w:rPr>
      </w:pPr>
      <w:r>
        <w:rPr>
          <w:b/>
          <w:bCs/>
          <w:lang w:val="lt-LT"/>
        </w:rPr>
        <w:t>Komentaras</w:t>
      </w:r>
    </w:p>
    <w:p w14:paraId="404C71BA" w14:textId="77777777" w:rsidR="00093845" w:rsidRDefault="000D779E">
      <w:pPr>
        <w:tabs>
          <w:tab w:val="left" w:pos="720"/>
          <w:tab w:val="left" w:pos="1077"/>
          <w:tab w:val="left" w:pos="1418"/>
        </w:tabs>
        <w:ind w:firstLine="720"/>
        <w:jc w:val="both"/>
        <w:rPr>
          <w:lang w:val="lt-LT"/>
        </w:rPr>
      </w:pPr>
      <w:r>
        <w:rPr>
          <w:lang w:val="lt-LT"/>
        </w:rPr>
        <w:t>Žiūrėti įstatymo IX skyriaus komentarą.</w:t>
      </w:r>
    </w:p>
    <w:p w14:paraId="4FB3C536" w14:textId="77777777" w:rsidR="00093845" w:rsidRDefault="00093845">
      <w:pPr>
        <w:tabs>
          <w:tab w:val="left" w:pos="720"/>
          <w:tab w:val="left" w:pos="1077"/>
          <w:tab w:val="left" w:pos="1418"/>
        </w:tabs>
        <w:ind w:firstLine="720"/>
        <w:jc w:val="both"/>
        <w:rPr>
          <w:lang w:val="lt-LT"/>
        </w:rPr>
      </w:pPr>
    </w:p>
    <w:p w14:paraId="3EA17DE3" w14:textId="77777777" w:rsidR="00093845" w:rsidRDefault="000D779E">
      <w:pPr>
        <w:pStyle w:val="Antrat1"/>
        <w:keepNext w:val="0"/>
        <w:tabs>
          <w:tab w:val="left" w:pos="720"/>
          <w:tab w:val="left" w:pos="1080"/>
        </w:tabs>
        <w:jc w:val="both"/>
        <w:rPr>
          <w:rFonts w:ascii="Times New Roman" w:hAnsi="Times New Roman" w:cs="Times New Roman"/>
          <w:kern w:val="0"/>
          <w:lang w:val="lt-LT"/>
        </w:rPr>
      </w:pPr>
      <w:bookmarkStart w:id="448" w:name="_301_STRAIPSNIS._Palūkanos"/>
      <w:bookmarkEnd w:id="448"/>
      <w:r>
        <w:rPr>
          <w:rFonts w:ascii="Times New Roman" w:hAnsi="Times New Roman" w:cs="Times New Roman"/>
          <w:kern w:val="0"/>
          <w:lang w:val="lt-LT"/>
        </w:rPr>
        <w:t>30</w:t>
      </w:r>
      <w:r>
        <w:rPr>
          <w:rFonts w:ascii="Times New Roman" w:hAnsi="Times New Roman" w:cs="Times New Roman"/>
          <w:kern w:val="0"/>
          <w:vertAlign w:val="superscript"/>
          <w:lang w:val="lt-LT"/>
        </w:rPr>
        <w:t>1</w:t>
      </w:r>
      <w:r>
        <w:rPr>
          <w:rFonts w:ascii="Times New Roman" w:hAnsi="Times New Roman" w:cs="Times New Roman"/>
          <w:kern w:val="0"/>
          <w:lang w:val="lt-LT"/>
        </w:rPr>
        <w:t xml:space="preserve"> STRAIPSNIS. Palūkanos</w:t>
      </w:r>
    </w:p>
    <w:p w14:paraId="54673C10" w14:textId="77777777" w:rsidR="00DC637E" w:rsidRPr="00891526" w:rsidRDefault="00DC637E" w:rsidP="00891526">
      <w:pPr>
        <w:tabs>
          <w:tab w:val="left" w:pos="720"/>
          <w:tab w:val="left" w:pos="1077"/>
          <w:tab w:val="left" w:pos="1418"/>
        </w:tabs>
        <w:ind w:right="-5"/>
        <w:jc w:val="both"/>
        <w:rPr>
          <w:b/>
          <w:i/>
          <w:iCs/>
          <w:color w:val="000000"/>
          <w:lang w:eastAsia="lt-LT"/>
        </w:rPr>
      </w:pPr>
      <w:r w:rsidRPr="00891526">
        <w:rPr>
          <w:i/>
          <w:color w:val="000000"/>
          <w:lang w:eastAsia="lt-LT"/>
        </w:rPr>
        <w:t>(</w:t>
      </w:r>
      <w:r w:rsidRPr="00891526">
        <w:rPr>
          <w:i/>
          <w:iCs/>
          <w:color w:val="000000"/>
          <w:lang w:eastAsia="lt-LT"/>
        </w:rPr>
        <w:t xml:space="preserve">KEISTA: 2018 12 06 įstatymu Nr. XIII-1697, </w:t>
      </w:r>
      <w:r w:rsidRPr="00891526">
        <w:rPr>
          <w:bCs/>
          <w:i/>
        </w:rPr>
        <w:t>taikoma apskaičiuojant 2019 metais prasidėjusio mokestinio laikotarpio ir vėlesnių mokestinių laikotarpių apmokestinamąjį pelną</w:t>
      </w:r>
      <w:r w:rsidRPr="00891526">
        <w:rPr>
          <w:b/>
          <w:i/>
          <w:iCs/>
          <w:color w:val="000000"/>
          <w:lang w:eastAsia="lt-LT"/>
        </w:rPr>
        <w:t>)</w:t>
      </w:r>
    </w:p>
    <w:p w14:paraId="17782069"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 Iš pajamų atskaitomos palūkanų sąnaudos, neviršijančios palūkanų pajamų.</w:t>
      </w:r>
    </w:p>
    <w:p w14:paraId="76801383" w14:textId="77777777" w:rsidR="00DC637E" w:rsidRPr="004B2ACB" w:rsidRDefault="00DC637E" w:rsidP="00DC637E">
      <w:pPr>
        <w:tabs>
          <w:tab w:val="left" w:pos="720"/>
          <w:tab w:val="left" w:pos="1077"/>
          <w:tab w:val="left" w:pos="1418"/>
        </w:tabs>
        <w:ind w:right="-5" w:firstLine="709"/>
        <w:jc w:val="both"/>
        <w:rPr>
          <w:b/>
        </w:rPr>
      </w:pPr>
    </w:p>
    <w:p w14:paraId="2A7991B6" w14:textId="77777777" w:rsidR="00DC637E" w:rsidRPr="004B2ACB" w:rsidRDefault="00DC637E" w:rsidP="00DC637E">
      <w:pPr>
        <w:tabs>
          <w:tab w:val="left" w:pos="720"/>
          <w:tab w:val="left" w:pos="1077"/>
          <w:tab w:val="left" w:pos="1418"/>
        </w:tabs>
        <w:spacing w:after="0"/>
        <w:ind w:right="-5" w:firstLine="709"/>
        <w:jc w:val="both"/>
        <w:rPr>
          <w:b/>
        </w:rPr>
      </w:pPr>
      <w:r w:rsidRPr="004B2ACB">
        <w:rPr>
          <w:b/>
        </w:rPr>
        <w:t>Komentaras</w:t>
      </w:r>
    </w:p>
    <w:p w14:paraId="14D7B62E" w14:textId="77777777" w:rsidR="00DC637E" w:rsidRPr="004B2ACB" w:rsidRDefault="00DC637E" w:rsidP="00EC4E29">
      <w:pPr>
        <w:pStyle w:val="HTMLiankstoformatuotas"/>
        <w:numPr>
          <w:ilvl w:val="0"/>
          <w:numId w:val="5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line="240" w:lineRule="auto"/>
        <w:ind w:left="0" w:firstLine="709"/>
        <w:jc w:val="both"/>
        <w:rPr>
          <w:rFonts w:ascii="Times New Roman" w:hAnsi="Times New Roman" w:cs="Times New Roman"/>
          <w:sz w:val="24"/>
          <w:szCs w:val="24"/>
        </w:rPr>
      </w:pPr>
      <w:r w:rsidRPr="004B2ACB">
        <w:rPr>
          <w:rFonts w:ascii="Times New Roman" w:hAnsi="Times New Roman" w:cs="Times New Roman"/>
          <w:sz w:val="24"/>
          <w:szCs w:val="24"/>
        </w:rPr>
        <w:t>Šio straipsnio nuostatos netaikomos:</w:t>
      </w:r>
    </w:p>
    <w:p w14:paraId="3274CBFE" w14:textId="77777777" w:rsidR="00DC637E" w:rsidRPr="004B2ACB" w:rsidRDefault="00DC637E" w:rsidP="00EC4E29">
      <w:pPr>
        <w:pStyle w:val="HTMLiankstoformatuotas"/>
        <w:numPr>
          <w:ilvl w:val="0"/>
          <w:numId w:val="5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pacing w:after="0" w:line="240" w:lineRule="auto"/>
        <w:ind w:left="0" w:firstLine="709"/>
        <w:jc w:val="both"/>
        <w:rPr>
          <w:rFonts w:ascii="Times New Roman" w:hAnsi="Times New Roman" w:cs="Times New Roman"/>
          <w:sz w:val="24"/>
          <w:szCs w:val="24"/>
        </w:rPr>
      </w:pPr>
      <w:r w:rsidRPr="004B2ACB">
        <w:rPr>
          <w:rFonts w:ascii="Times New Roman" w:hAnsi="Times New Roman" w:cs="Times New Roman"/>
          <w:sz w:val="24"/>
          <w:szCs w:val="24"/>
        </w:rPr>
        <w:t xml:space="preserve">sandorių, sudarytų iki 2018 m. gruodžio 31 d., išskyrus atvejus, kai po 2019 m. sausio 1 d. pakeičiamos sandorio sąlygos (sandorio trukmė ar suma), palūkanoms; </w:t>
      </w:r>
    </w:p>
    <w:p w14:paraId="45C29B7A"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2)  paskolų, skirtų ilgalaikiams viešosios infrastruktūros projektams, kurių tikslas yra sukurti, modernizuoti, valdyti ir (arba) prižiūrėti viešiesiems interesams tenkinti skirtą turtą, finansuoti, kai projekto vykdytojas, jo turtas yra, palūkanų sąnaudos patiriamos ir pajamos gaunamos Europos Sąjungos valstybėje narėje, palūkanoms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1 punkto komentarą);</w:t>
      </w:r>
    </w:p>
    <w:p w14:paraId="55D366BE"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3) finansų įstaigoms ir draudimo įmonėms bei jų nuolatinėms buveinėms Lietuvos Respublikoje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2 punkto komentarą);</w:t>
      </w:r>
    </w:p>
    <w:p w14:paraId="2A19758B" w14:textId="77777777" w:rsidR="00DC637E" w:rsidRPr="004B2ACB" w:rsidRDefault="00DC637E" w:rsidP="00DC637E">
      <w:pPr>
        <w:pStyle w:val="HTMLiankstoformatuotas"/>
        <w:ind w:firstLine="709"/>
        <w:jc w:val="both"/>
        <w:rPr>
          <w:rFonts w:ascii="Times New Roman" w:hAnsi="Times New Roman" w:cs="Times New Roman"/>
          <w:sz w:val="24"/>
          <w:szCs w:val="24"/>
        </w:rPr>
      </w:pPr>
      <w:r w:rsidRPr="004B2ACB">
        <w:rPr>
          <w:rFonts w:ascii="Times New Roman" w:hAnsi="Times New Roman" w:cs="Times New Roman"/>
          <w:sz w:val="24"/>
          <w:szCs w:val="24"/>
        </w:rPr>
        <w:t>4) vienetams, neturintiems susijusių asmenų (vienetų) (žr. PMĮ 30</w:t>
      </w:r>
      <w:r w:rsidRPr="004B2ACB">
        <w:rPr>
          <w:rFonts w:ascii="Times New Roman" w:hAnsi="Times New Roman" w:cs="Times New Roman"/>
          <w:sz w:val="24"/>
          <w:szCs w:val="24"/>
          <w:vertAlign w:val="superscript"/>
        </w:rPr>
        <w:t xml:space="preserve">1 </w:t>
      </w:r>
      <w:r w:rsidRPr="004B2ACB">
        <w:rPr>
          <w:rFonts w:ascii="Times New Roman" w:hAnsi="Times New Roman" w:cs="Times New Roman"/>
          <w:sz w:val="24"/>
          <w:szCs w:val="24"/>
        </w:rPr>
        <w:t>straipsnio 7 dalies 3 punkto komentarą).</w:t>
      </w:r>
    </w:p>
    <w:p w14:paraId="2DBF2C44" w14:textId="77777777" w:rsidR="00DC637E" w:rsidRPr="004B2ACB" w:rsidRDefault="00DC637E" w:rsidP="00DC637E">
      <w:pPr>
        <w:spacing w:after="0" w:line="240" w:lineRule="auto"/>
        <w:ind w:firstLine="709"/>
        <w:jc w:val="both"/>
      </w:pPr>
      <w:r w:rsidRPr="004B2ACB">
        <w:t xml:space="preserve">2. Mokestiniu laikotarpiu iš pajamų vienetas gali atskaityti palūkanų sąnaudų sumą, kuri kitais PMĮ nustatytais atvejais galėtų būtų atskaitoma iš pajamų, neviršijančią apmokestinamųjų palūkanų ir kitų ekonomiškai lygiaverčių palūkanoms apmokestinamųjų pajamų, apskaičiuotų pagal PMĮ nuostatas. </w:t>
      </w:r>
    </w:p>
    <w:p w14:paraId="1A11ED38" w14:textId="77777777" w:rsidR="00DC637E" w:rsidRPr="004B2ACB" w:rsidRDefault="00DC637E" w:rsidP="00DC637E">
      <w:pPr>
        <w:spacing w:after="0" w:line="240" w:lineRule="auto"/>
        <w:ind w:firstLine="709"/>
        <w:jc w:val="both"/>
      </w:pPr>
      <w:r w:rsidRPr="004B2ACB">
        <w:lastRenderedPageBreak/>
        <w:t xml:space="preserve">3. Kai palūkanų sąnaudos viršija palūkanų pajamas, vienetas gali atskaityti palūkanų sąnaudas, jei: </w:t>
      </w:r>
    </w:p>
    <w:p w14:paraId="3CC63FE1" w14:textId="77777777" w:rsidR="00DC637E" w:rsidRPr="004B2ACB" w:rsidRDefault="00DC637E" w:rsidP="00DC637E">
      <w:pPr>
        <w:spacing w:after="0" w:line="240" w:lineRule="auto"/>
        <w:ind w:firstLine="709"/>
        <w:jc w:val="both"/>
      </w:pPr>
      <w:r w:rsidRPr="004B2ACB">
        <w:t>1) palūkanų sąnaudų, viršijančių palūkanų pajamas, suma neviršija 3 000 000 Eur (žr. PMĮ 30</w:t>
      </w:r>
      <w:r w:rsidRPr="004B2ACB">
        <w:rPr>
          <w:vertAlign w:val="superscript"/>
        </w:rPr>
        <w:t>1</w:t>
      </w:r>
      <w:r w:rsidRPr="004B2ACB">
        <w:t xml:space="preserve"> str. 3 dalies komentarą). Jeigu vienetas priklauso vienetų grupei (PMĮ 2 str. 7 dalis), 3 000 000 Eur palūkanų sąnaudų suma taikoma bendrai visiems tos vienetų grupės Lietuvos vienetams ir užsienio vienetų nuolatinėms buveinėms Lietuvos Respublikoje, išskyrus finansų įstaigas ir draudimo įmones; </w:t>
      </w:r>
      <w:r w:rsidRPr="004B2ACB">
        <w:rPr>
          <w:b/>
        </w:rPr>
        <w:t xml:space="preserve">arba </w:t>
      </w:r>
    </w:p>
    <w:p w14:paraId="1C8D7FF8" w14:textId="77777777" w:rsidR="00DC637E" w:rsidRPr="004B2ACB" w:rsidRDefault="00DC637E" w:rsidP="00DC637E">
      <w:pPr>
        <w:spacing w:after="0" w:line="240" w:lineRule="auto"/>
        <w:ind w:firstLine="709"/>
        <w:jc w:val="both"/>
        <w:rPr>
          <w:b/>
        </w:rPr>
      </w:pPr>
      <w:r w:rsidRPr="004B2ACB">
        <w:t>2) palūkanų sąnaudų, viršijančių palūkanų pajamas, suma yra ne didesnė kaip 30 proc. vieneto apmokestinamojo EBITDA (žr. PMĮ 30</w:t>
      </w:r>
      <w:r w:rsidRPr="004B2ACB">
        <w:rPr>
          <w:vertAlign w:val="superscript"/>
        </w:rPr>
        <w:t>1</w:t>
      </w:r>
      <w:r w:rsidRPr="004B2ACB">
        <w:t xml:space="preserve"> str. 2 dalies komentarą).  Jeigu vienetas priklauso vienetų grupei (PMĮ 2 str. 7 dalis), apmokestinamasis EBITDA skaičiuojamas bendrai visiems tos vienetų grupės Lietuvos vienetams ir užsienio vienetų nuolatinėms buveinėms Lietuvos Respublikoje, išskyrus finansų įstaigas ir draudimo įmones; </w:t>
      </w:r>
      <w:r w:rsidRPr="004B2ACB">
        <w:rPr>
          <w:b/>
        </w:rPr>
        <w:t>arba</w:t>
      </w:r>
    </w:p>
    <w:p w14:paraId="7B730FC7" w14:textId="77777777" w:rsidR="00DC637E" w:rsidRPr="004B2ACB" w:rsidRDefault="00DC637E" w:rsidP="00DC637E">
      <w:pPr>
        <w:spacing w:after="0" w:line="240" w:lineRule="auto"/>
        <w:ind w:firstLine="709"/>
        <w:jc w:val="both"/>
      </w:pPr>
      <w:r w:rsidRPr="004B2ACB">
        <w:t>3) gali įrodyti, kad jo nuosavo kapitalo ir viso turto santykis nėra daugiau negu 2 procentiniais punktais mažesnis už atitinkamą vienetų grupės (PMĮ 2 str. 7 dalis) santykį, nustatomą pagal vienetų grupės konsoliduotųjų finansinių ataskaitų duomenis (žr. PMĮ 30</w:t>
      </w:r>
      <w:r w:rsidRPr="004B2ACB">
        <w:rPr>
          <w:vertAlign w:val="superscript"/>
        </w:rPr>
        <w:t>1</w:t>
      </w:r>
      <w:r w:rsidRPr="004B2ACB">
        <w:t xml:space="preserve"> str. 5 dalies komentarą).</w:t>
      </w:r>
    </w:p>
    <w:p w14:paraId="08313876" w14:textId="77777777" w:rsidR="00DC637E" w:rsidRPr="004B2ACB" w:rsidRDefault="00DC637E" w:rsidP="00DC637E">
      <w:pPr>
        <w:spacing w:after="0" w:line="240" w:lineRule="auto"/>
        <w:ind w:firstLine="709"/>
        <w:jc w:val="both"/>
      </w:pPr>
      <w:r w:rsidRPr="004B2ACB">
        <w:t>4. PMĮ 30</w:t>
      </w:r>
      <w:r w:rsidRPr="004B2ACB">
        <w:rPr>
          <w:vertAlign w:val="superscript"/>
        </w:rPr>
        <w:t>1</w:t>
      </w:r>
      <w:r w:rsidRPr="004B2ACB">
        <w:t xml:space="preserve"> straipsnio nuostatų taikymo tikslais palūkanomis laikomi ir šio straipsnio 6 dalyje išvardinti mokėjimai (žr. PMĮ 30</w:t>
      </w:r>
      <w:r w:rsidRPr="004B2ACB">
        <w:rPr>
          <w:vertAlign w:val="superscript"/>
        </w:rPr>
        <w:t>1</w:t>
      </w:r>
      <w:r w:rsidRPr="004B2ACB">
        <w:t xml:space="preserve"> straipsnio 6 dalies komentarą). </w:t>
      </w:r>
    </w:p>
    <w:p w14:paraId="634FC162" w14:textId="77777777" w:rsidR="00DC637E" w:rsidRPr="004B2ACB" w:rsidRDefault="00DC637E" w:rsidP="00DC637E">
      <w:pPr>
        <w:spacing w:after="0" w:line="240" w:lineRule="auto"/>
        <w:ind w:firstLine="709"/>
        <w:jc w:val="both"/>
        <w:rPr>
          <w:color w:val="000000"/>
          <w:shd w:val="clear" w:color="auto" w:fill="FFFFFF"/>
        </w:rPr>
      </w:pPr>
      <w:r w:rsidRPr="004B2ACB">
        <w:t>5. Apskaičiuojant palūkanų sąnaudas, įtraukiamos visos palūkanos sąnaudos, neatsižvelgiant į tai, kas yra išmokėtų sumų gavėjas (faktiškasis savininkas): užsienio ar Lietuvos apmokestinamasis vienetas (ar fizinis asmuo), bei į tai, gavėjas yra susijęs ar nesusijęs asmuo.</w:t>
      </w:r>
      <w:r w:rsidRPr="004B2ACB">
        <w:rPr>
          <w:color w:val="000000"/>
          <w:shd w:val="clear" w:color="auto" w:fill="FFFFFF"/>
        </w:rPr>
        <w:t xml:space="preserve"> </w:t>
      </w:r>
    </w:p>
    <w:p w14:paraId="05BAC77D" w14:textId="77777777" w:rsidR="00DC637E" w:rsidRPr="004B2ACB" w:rsidRDefault="00DC637E" w:rsidP="00DC637E">
      <w:pPr>
        <w:spacing w:after="0" w:line="240" w:lineRule="auto"/>
        <w:ind w:firstLine="709"/>
        <w:jc w:val="both"/>
      </w:pPr>
      <w:r w:rsidRPr="004B2ACB">
        <w:t>6. Šiame straipsnyje nustatyta palūkanų atskaitymo ribojimo taisyklė taikoma kartu su palūkanų atskaitymo ribojimo taisykle, nustatyta Pajamų arba išmokų apibūdinimo iš naujo taisyklėse, patvirtintose  Vyriausybės 2003 m.  gruodžio 9 d. nutarimu Nr. 1575 ,,Dėl Pajamų arba išmokų apibūdinimo iš naujo taisyklių patvirtinimo” (žr. PMĮ 40 str. 3 d. komentarą).</w:t>
      </w:r>
    </w:p>
    <w:p w14:paraId="6983B5B0" w14:textId="77777777" w:rsidR="00DC637E" w:rsidRPr="004B2ACB" w:rsidRDefault="00DC637E" w:rsidP="00DC637E">
      <w:pPr>
        <w:spacing w:after="0" w:line="240" w:lineRule="auto"/>
        <w:ind w:firstLine="709"/>
        <w:jc w:val="both"/>
      </w:pPr>
      <w:r w:rsidRPr="004B2ACB">
        <w:t>Palūkanos, apskaičiuotos už skolinto kapitalo už atlygį dalį, neviršijančią skolinto kapitalo už atlygį ir fiksuoto kapitalo santykio 4:1, gali būti atskaitomos tuo atveju, jeigu bendra vieneto patirtų palūkanų sąnaudų, viršijančių palūkanų pajamas, suma per mokestinį laikotarpį tenkina šios dalies 3 punkte nurodytas sąlygas.</w:t>
      </w:r>
    </w:p>
    <w:p w14:paraId="7CDE1260" w14:textId="77777777" w:rsidR="00DC637E" w:rsidRPr="004B2ACB" w:rsidRDefault="00DC637E" w:rsidP="00DC637E">
      <w:pPr>
        <w:pStyle w:val="tajtip"/>
        <w:spacing w:before="0" w:beforeAutospacing="0" w:after="0" w:afterAutospacing="0"/>
        <w:ind w:firstLine="720"/>
        <w:jc w:val="both"/>
        <w:rPr>
          <w:b/>
          <w:color w:val="000000"/>
        </w:rPr>
      </w:pPr>
    </w:p>
    <w:p w14:paraId="6E73ED3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Pavyzdžiai</w:t>
      </w:r>
    </w:p>
    <w:p w14:paraId="7060A9C0" w14:textId="77777777" w:rsidR="00DC637E" w:rsidRPr="004B2ACB" w:rsidRDefault="00DC637E" w:rsidP="00DC637E">
      <w:pPr>
        <w:pStyle w:val="tajtip"/>
        <w:spacing w:before="0" w:beforeAutospacing="0" w:after="0" w:afterAutospacing="0"/>
        <w:ind w:firstLine="720"/>
        <w:jc w:val="both"/>
        <w:rPr>
          <w:b/>
          <w:color w:val="000000"/>
        </w:rPr>
      </w:pPr>
    </w:p>
    <w:p w14:paraId="475D294E"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1. Vieneto palūkanos, apskaičiuotos už skolinto kapitalo už atlygį dalį, neviršijančią skolinto kapitalo už atlygį ir fiksuoto kapitalo santykio 4:1 - 2 500 000 Eur.</w:t>
      </w:r>
    </w:p>
    <w:p w14:paraId="5C06673B"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Kitos palūkanos (ne iš kontroliuojančių skolintojų) - 1 000 000 Eur.</w:t>
      </w:r>
    </w:p>
    <w:p w14:paraId="7CB330B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Vienetas palūkanų pajamų neuždirbo.</w:t>
      </w:r>
    </w:p>
    <w:p w14:paraId="016137C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Apmokestinamais EBITDA - 10 000 000 Eur.</w:t>
      </w:r>
    </w:p>
    <w:p w14:paraId="09A65A10"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Bendra palūkanų sąnaudų, viršijančių palūkanų pajamas suma - 3 500 000 Eur (2 500 000 Eur + 1 000 000 Eur).</w:t>
      </w:r>
    </w:p>
    <w:p w14:paraId="4DD9E03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3A7AAEF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0F976FA9"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jc w:val="both"/>
      </w:pPr>
    </w:p>
    <w:p w14:paraId="3FA35AC5"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 Vieneto palūkanos, apskaičiuotos už skolinto kapitalo už atlygį dalį, neviršijančią skolinto kapitalo už atlygį ir fiksuoto kapitalo santykio 4:1 - 3 500 000 Eur.</w:t>
      </w:r>
    </w:p>
    <w:p w14:paraId="78DE1021"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Kitų palūkanų sąnaudų nepatyrė.</w:t>
      </w:r>
    </w:p>
    <w:p w14:paraId="7A1DB6A6"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Vienetas palūkanų pajamų neuždirbo.</w:t>
      </w:r>
    </w:p>
    <w:p w14:paraId="60F4F776"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-10 000 000 Eur.</w:t>
      </w:r>
    </w:p>
    <w:p w14:paraId="30C65F2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Bendra palūkanų sąnaudų, viršijančių palūkanų pajamas suma - 3 500 000 Eur.</w:t>
      </w:r>
    </w:p>
    <w:p w14:paraId="453C5918"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3732BAF8"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lastRenderedPageBreak/>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303BA059"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7A835184"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 xml:space="preserve">*Vienetas priklauso vienetų grupei, kurią sudaro užsienio vienetai, neturintys nuolatinių buveinių Lietuvos Respublikoje. Nuosavo kapitalo ir viso turto santykis, vieneto pasirinkimu, nevertinamas. </w:t>
      </w:r>
    </w:p>
    <w:p w14:paraId="1ADB375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b/>
          <w:color w:val="000000"/>
        </w:rPr>
      </w:pPr>
    </w:p>
    <w:p w14:paraId="66E66D73" w14:textId="77777777" w:rsidR="00DC637E" w:rsidRPr="004B2ACB" w:rsidRDefault="00DC637E" w:rsidP="00DC637E">
      <w:pPr>
        <w:pStyle w:val="tajtip"/>
        <w:spacing w:before="0" w:beforeAutospacing="0" w:after="0" w:afterAutospacing="0"/>
        <w:ind w:firstLine="720"/>
        <w:jc w:val="both"/>
        <w:rPr>
          <w:b/>
          <w:color w:val="000000"/>
        </w:rPr>
      </w:pPr>
    </w:p>
    <w:p w14:paraId="3101D01C"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Jeigu vieneto palūkanų sąnaudos viršija palūkanų pajamas, iš pajamų atskaitoma palūkanų sąnaudų, viršijančių palūkanų pajamas, suma, ne didesnė kaip 30 procentų vieneto apmokestinamojo EBITDA, t. y. apmokestinamojo pelno, apskaičiuoto iš pajamų atėmus neapmokestinamąsias pajamas, leidžiamus ir ribojamų dydžių leidžiamus atskaitymus, išskyrus nusidėvėjimo ir amortizacijos sumas, mokslinių tyrimų ir eksperimentinės plėtros darbų sąnaudų padidintų atskaitymų sumą, apmokestinamųjų pajamų sumažinimo dėl filmo arba jo dalies gamybai neatlygintinai suteiktų lėšų sumą, atskaitomą suteiktos paramos sumą, praėjusių mokestinių laikotarpių nuostolių, atskaitomų iš mokestinio laikotarpio pajamų, sumą ir palūkanų sąnaudas, viršijančias palūkanų pajamas.</w:t>
      </w:r>
    </w:p>
    <w:p w14:paraId="2D999B43" w14:textId="77777777" w:rsidR="00DC637E" w:rsidRPr="004B2ACB" w:rsidRDefault="00DC637E" w:rsidP="00DC637E">
      <w:pPr>
        <w:tabs>
          <w:tab w:val="left" w:pos="720"/>
          <w:tab w:val="left" w:pos="1077"/>
          <w:tab w:val="left" w:pos="1418"/>
        </w:tabs>
        <w:ind w:right="-5" w:firstLine="709"/>
        <w:jc w:val="both"/>
        <w:rPr>
          <w:b/>
          <w:highlight w:val="lightGray"/>
        </w:rPr>
      </w:pPr>
    </w:p>
    <w:p w14:paraId="78E6320D" w14:textId="77777777" w:rsidR="00DC637E" w:rsidRPr="004B2ACB" w:rsidRDefault="00DC637E" w:rsidP="00DC637E">
      <w:pPr>
        <w:tabs>
          <w:tab w:val="left" w:pos="720"/>
          <w:tab w:val="left" w:pos="1077"/>
          <w:tab w:val="left" w:pos="1418"/>
        </w:tabs>
        <w:ind w:right="-5" w:firstLine="709"/>
        <w:jc w:val="both"/>
        <w:rPr>
          <w:b/>
        </w:rPr>
      </w:pPr>
      <w:r w:rsidRPr="004B2ACB">
        <w:rPr>
          <w:b/>
        </w:rPr>
        <w:t>Komentaras</w:t>
      </w:r>
    </w:p>
    <w:p w14:paraId="321B1F53"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1. Šioje straipsnio dalyje nustatyta, kad vienetams, kurių </w:t>
      </w:r>
      <w:r w:rsidRPr="004B2ACB">
        <w:rPr>
          <w:color w:val="000000"/>
        </w:rPr>
        <w:t>palūkanų sąnaudos viršija palūkanų pajamas</w:t>
      </w:r>
      <w:r w:rsidRPr="004B2ACB">
        <w:t xml:space="preserve">, leidžiama iš pajamų </w:t>
      </w:r>
      <w:r w:rsidRPr="004B2ACB">
        <w:rPr>
          <w:color w:val="000000"/>
        </w:rPr>
        <w:t>atskaityti palūkanų sąnaudų, viršijančių palūkanų pajamas, sumą, ne didesnę kaip 30 procentų vieneto apmokestinamojo EBITDA.</w:t>
      </w:r>
    </w:p>
    <w:p w14:paraId="558D7DB4"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2. Apmokestinamuoju</w:t>
      </w:r>
      <w:r w:rsidRPr="004B2ACB">
        <w:t xml:space="preserve"> EBITDA, šiame straipsnyje nustatytos palūkanų atskaitymo ribojimo taisyklės taikymo tikslais, vadinamas PMĮ 11 straipsnyje nustatyta tvarka apskaičiuotas apmokestinamasis pelnas, kurį skaičiuojant neįtraukiamos </w:t>
      </w:r>
      <w:r w:rsidRPr="004B2ACB">
        <w:rPr>
          <w:color w:val="000000"/>
        </w:rPr>
        <w:t>nusidėvėjimo ir amortizacijos sumos, mokslinių tyrimų ir eksperimentinės plėtros darbų sąnaudų padidintų atskaitymų suma, apmokestinamųjų pajamų sumažinimo dėl filmo arba jo dalies gamybai neatlygintinai suteiktų lėšų suma, atskaitoma suteiktos paramos suma, praėjusių mokestinių laikotarpių nuostolių, atskaitomų iš mokestinio laikotarpio pajamų, suma ir palūkanų sąnaudos, viršijančias palūkanų pajamas.</w:t>
      </w:r>
    </w:p>
    <w:p w14:paraId="301C5854"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br/>
      </w:r>
    </w:p>
    <w:p w14:paraId="4A75649C" w14:textId="77777777" w:rsidR="00DC637E" w:rsidRPr="004B2ACB" w:rsidRDefault="00DC637E" w:rsidP="00DC637E">
      <w:pPr>
        <w:pStyle w:val="tajtip"/>
        <w:spacing w:before="0" w:beforeAutospacing="0" w:after="0" w:afterAutospacing="0"/>
        <w:ind w:firstLine="720"/>
        <w:jc w:val="both"/>
        <w:rPr>
          <w:color w:val="000000"/>
          <w:shd w:val="clear" w:color="auto" w:fill="FFFFFF"/>
        </w:rPr>
      </w:pPr>
      <w:r w:rsidRPr="004B2ACB">
        <w:rPr>
          <w:noProof/>
          <w:color w:val="000000"/>
        </w:rPr>
        <mc:AlternateContent>
          <mc:Choice Requires="wps">
            <w:drawing>
              <wp:anchor distT="45720" distB="45720" distL="114300" distR="114300" simplePos="0" relativeHeight="251705344" behindDoc="0" locked="0" layoutInCell="1" allowOverlap="1" wp14:anchorId="6A24520B" wp14:editId="0E6C55FA">
                <wp:simplePos x="0" y="0"/>
                <wp:positionH relativeFrom="column">
                  <wp:posOffset>-60960</wp:posOffset>
                </wp:positionH>
                <wp:positionV relativeFrom="paragraph">
                  <wp:posOffset>177165</wp:posOffset>
                </wp:positionV>
                <wp:extent cx="2324100" cy="2514600"/>
                <wp:effectExtent l="0" t="0" r="0" b="0"/>
                <wp:wrapSquare wrapText="bothSides"/>
                <wp:docPr id="217"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51460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14:paraId="36500E46" w14:textId="77777777" w:rsidR="007B24A1" w:rsidRDefault="007B24A1" w:rsidP="00DC637E"/>
                          <w:p w14:paraId="38407534" w14:textId="77777777" w:rsidR="007B24A1" w:rsidRDefault="007B24A1" w:rsidP="00DC637E"/>
                          <w:p w14:paraId="1BDD1805" w14:textId="77777777" w:rsidR="007B24A1" w:rsidRDefault="007B24A1" w:rsidP="00DC637E"/>
                          <w:p w14:paraId="0BEF4047" w14:textId="77777777" w:rsidR="007B24A1" w:rsidRDefault="007B24A1" w:rsidP="00DC637E">
                            <w:pPr>
                              <w:spacing w:after="0" w:line="240" w:lineRule="auto"/>
                            </w:pPr>
                          </w:p>
                          <w:p w14:paraId="748189B4" w14:textId="77777777" w:rsidR="007B24A1" w:rsidRPr="00F3132A" w:rsidRDefault="007B24A1" w:rsidP="00DC637E">
                            <w:pPr>
                              <w:spacing w:after="0" w:line="240" w:lineRule="auto"/>
                            </w:pPr>
                            <w:r w:rsidRPr="00F3132A">
                              <w:t>Apmokestinamasis EBITDA=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520B" id="2 teksto laukas" o:spid="_x0000_s1083" type="#_x0000_t202" style="position:absolute;left:0;text-align:left;margin-left:-4.8pt;margin-top:13.95pt;width:183pt;height:19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AGZwIAANwEAAAOAAAAZHJzL2Uyb0RvYy54bWysVNtu2zAMfR+wfxD0vvrSpBejTtG16zBg&#10;N6zbBzCyHGuVRE9SYmdfP0pO3WB7GDDMD4Iokoc8vPjqejSa7aTzCm3Ni5OcM2kFNspuav7t6/2r&#10;C858ANuARitrvpeeX69evrga+kqW2KFupGMEYn019DXvQuirLPOikwb8CfbSkrJFZyCQ6DZZ42Ag&#10;dKOzMs/PsgFd0zsU0nt6vZuUfJXw21aK8KltvQxM15xyC+l06VzHM1tdQbVx0HdKHNKAf8jCgLIU&#10;dIa6gwBs69QfUEYJhx7bcCLQZNi2SsjEgdgU+W9sHjroZeJCxfH9XCb//2DFx91nx1RT87I458yC&#10;oSaVLMhHH5Bp2D6Cj0Uael+R7UNP1mF8jSM1OxH2/XsUj55ZvO3AbuSNczh0EhpKsoie2ZHrhOMj&#10;yHr4gA3Fgm3ABDS2zsQKUk0YoVOz9nOD5BiYoMfytFwUOakE6cplsTgjIcaA6sm9dz68lWhYvNTc&#10;0QQkeNi992EyfTKJ0bRlQ80vl+UyWVm8V1qTGVRGBZpMrUzNL/L4TbMSqb2xTTIJoPR0pwS0PXCN&#10;9A5Ew17LKcoX2VKVE6/44IXbrG+1Y9Mo0q4QqaeBTGDkEA1bSmf2JeqHosf1kNF/BzTYOkyVns2j&#10;p0zTP/vmid/f4s5OKTbaMPsb+I5u7qefmMXWhnE9pgE6vYjq+LTGZk8tdjitG/0e6NKh+8nZQKtW&#10;c/9jC05ypt9ZGpPLYrGIu5mExfK8JMEda9bHGrCCoGoeOJuutyEVMWZs8YbGqVWp0c+ZHBpDK5RG&#10;5bDucUeP5WT1/FNa/QIAAP//AwBQSwMEFAAGAAgAAAAhAB15QgniAAAACQEAAA8AAABkcnMvZG93&#10;bnJldi54bWxMj0FLw0AUhO+C/2F5ghdpN6Y1ujGbUgQ9eCimleLxNXkmwezbkN20sb/e9aTHYYaZ&#10;b7LVZDpxpMG1ljXcziMQxKWtWq41vO+eZw8gnEeusLNMGr7JwSq/vMgwreyJCzpufS1CCbsUNTTe&#10;96mUrmzIoJvbnjh4n3Yw6IMcalkNeArlppNxFCXSYMthocGenhoqv7aj0XDzodYKW9q9xnu1L85v&#10;Y3F+2Wh9fTWtH0F4mvxfGH7xAzrkgelgR66c6DTMVBKSGuJ7BSL4i7tkCeKgYRkvFMg8k/8f5D8A&#10;AAD//wMAUEsBAi0AFAAGAAgAAAAhALaDOJL+AAAA4QEAABMAAAAAAAAAAAAAAAAAAAAAAFtDb250&#10;ZW50X1R5cGVzXS54bWxQSwECLQAUAAYACAAAACEAOP0h/9YAAACUAQAACwAAAAAAAAAAAAAAAAAv&#10;AQAAX3JlbHMvLnJlbHNQSwECLQAUAAYACAAAACEAqz7gBmcCAADcBAAADgAAAAAAAAAAAAAAAAAu&#10;AgAAZHJzL2Uyb0RvYy54bWxQSwECLQAUAAYACAAAACEAHXlCCeIAAAAJAQAADwAAAAAAAAAAAAAA&#10;AADBBAAAZHJzL2Rvd25yZXYueG1sUEsFBgAAAAAEAAQA8wAAANAFAAAAAA==&#10;" fillcolor="white [3201]" stroked="f">
                <v:textbox>
                  <w:txbxContent>
                    <w:p w14:paraId="36500E46" w14:textId="77777777" w:rsidR="007B24A1" w:rsidRDefault="007B24A1" w:rsidP="00DC637E"/>
                    <w:p w14:paraId="38407534" w14:textId="77777777" w:rsidR="007B24A1" w:rsidRDefault="007B24A1" w:rsidP="00DC637E"/>
                    <w:p w14:paraId="1BDD1805" w14:textId="77777777" w:rsidR="007B24A1" w:rsidRDefault="007B24A1" w:rsidP="00DC637E"/>
                    <w:p w14:paraId="0BEF4047" w14:textId="77777777" w:rsidR="007B24A1" w:rsidRDefault="007B24A1" w:rsidP="00DC637E">
                      <w:pPr>
                        <w:spacing w:after="0" w:line="240" w:lineRule="auto"/>
                      </w:pPr>
                    </w:p>
                    <w:p w14:paraId="748189B4" w14:textId="77777777" w:rsidR="007B24A1" w:rsidRPr="00F3132A" w:rsidRDefault="007B24A1" w:rsidP="00DC637E">
                      <w:pPr>
                        <w:spacing w:after="0" w:line="240" w:lineRule="auto"/>
                      </w:pPr>
                      <w:r w:rsidRPr="00F3132A">
                        <w:t>Apmokestinamasis EBITDA=</w:t>
                      </w:r>
                    </w:p>
                  </w:txbxContent>
                </v:textbox>
                <w10:wrap type="square"/>
              </v:shape>
            </w:pict>
          </mc:Fallback>
        </mc:AlternateContent>
      </w:r>
      <w:r w:rsidRPr="004B2ACB">
        <w:rPr>
          <w:color w:val="000000"/>
          <w:shd w:val="clear" w:color="auto" w:fill="FFFFFF"/>
        </w:rPr>
        <w:t xml:space="preserve"> </w:t>
      </w:r>
    </w:p>
    <w:p w14:paraId="14A18333" w14:textId="77777777" w:rsidR="00DC637E" w:rsidRPr="004B2ACB" w:rsidRDefault="00DC637E" w:rsidP="00DC637E">
      <w:pPr>
        <w:pStyle w:val="tajtip"/>
        <w:spacing w:before="0" w:beforeAutospacing="0" w:after="0" w:afterAutospacing="0"/>
        <w:ind w:left="3119"/>
      </w:pPr>
      <w:r w:rsidRPr="004B2ACB">
        <w:rPr>
          <w:noProof/>
          <w:color w:val="000000"/>
        </w:rPr>
        <mc:AlternateContent>
          <mc:Choice Requires="wps">
            <w:drawing>
              <wp:anchor distT="0" distB="0" distL="114300" distR="114300" simplePos="0" relativeHeight="251706368" behindDoc="0" locked="0" layoutInCell="1" allowOverlap="1" wp14:anchorId="6D2B1376" wp14:editId="28968630">
                <wp:simplePos x="0" y="0"/>
                <wp:positionH relativeFrom="column">
                  <wp:posOffset>2015490</wp:posOffset>
                </wp:positionH>
                <wp:positionV relativeFrom="paragraph">
                  <wp:posOffset>30480</wp:posOffset>
                </wp:positionV>
                <wp:extent cx="142875" cy="2276475"/>
                <wp:effectExtent l="152400" t="19050" r="9525" b="28575"/>
                <wp:wrapNone/>
                <wp:docPr id="96" name="Kairysis riestinis skliaustas 96"/>
                <wp:cNvGraphicFramePr/>
                <a:graphic xmlns:a="http://schemas.openxmlformats.org/drawingml/2006/main">
                  <a:graphicData uri="http://schemas.microsoft.com/office/word/2010/wordprocessingShape">
                    <wps:wsp>
                      <wps:cNvSpPr/>
                      <wps:spPr>
                        <a:xfrm>
                          <a:off x="0" y="0"/>
                          <a:ext cx="142875" cy="2276475"/>
                        </a:xfrm>
                        <a:prstGeom prst="leftBrac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84F1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Kairysis riestinis skliaustas 96" o:spid="_x0000_s1026" type="#_x0000_t87" style="position:absolute;margin-left:158.7pt;margin-top:2.4pt;width:11.25pt;height:17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ptpiwIAAHsFAAAOAAAAZHJzL2Uyb0RvYy54bWysVN1P2zAQf5+0/8Hy+0jTla+KFHUgpmkI&#10;0GDi2Tg2teb4vLPbtPz1OztJWw00adNekjvf774/zs7XjWUrhcGAq3h5MOJMOQm1cc8V//5w9eGE&#10;sxCFq4UFpyq+UYGfz96/O2v9VI1hAbZWyMiIC9PWV3wRo58WRZAL1YhwAF45EmrARkRi8bmoUbRk&#10;vbHFeDQ6KlrA2iNIFQK9XnZCPsv2tVYy3modVGS24hRbzF/M36f0LWZnYvqMwi+M7MMQ/xBFI4wj&#10;p1tTlyIKtkTzylRjJEIAHQ8kNAVobaTKOVA25ei3bO4XwqucCxUn+G2Zwv8zK29Wd8hMXfHTI86c&#10;aKhHX4XBTTCBoVEhGkdU+GGNWFIjAyMcFa31YUq69/4Oey4QmSqw1tikP+XG1rnQm22h1ToySY/l&#10;ZHxyfMiZJNF4fHw0IYbMFDttjyF+VtCwRFTcKh0/oZCpGmIqVtchdvgBl56tY23FP56Uo1GGBbCm&#10;vjLWJmGeKHVhka0EzUJcl73HPRT5t47CSMl16WQqbqzq7H9TmmqVEugcpCnd2RRSKhcHu9YROqlp&#10;imCr2Ef2J8Uen1RVnuC/Ud5qZM/g4la5MQ7wrbB3pdAdfqhAl3cqwRPUGxoThG5/gpdXhvpyLUK8&#10;E0gLQ6tFRyDe0kdboC5AT3G2AHx56z3haY5JyllLC1jx8HMpUHFmvzia8NNyMkkbm5nJ4fGYGNyX&#10;PO1L3LK5AOprSefGy0wmfLQDqRGaR7oV8+SVRMJJ8l1xGXFgLmJ3GOjaSDWfZxhtqRfx2t17OXQ9&#10;jdzD+lGg74cz0ljfwLCsr8azw6Z+OJgvI2iTZ3dX177etOF5BfprlE7IPp9Ru5s5+wUAAP//AwBQ&#10;SwMEFAAGAAgAAAAhAOp+hQXeAAAACQEAAA8AAABkcnMvZG93bnJldi54bWxMj0FPg0AQhe8m/ofN&#10;mHizS6VphbI0TRM9tTGi6XnKrkBkZwm7FPj3jid7m8l78+Z72W6yrbia3jeOFCwXEQhDpdMNVQq+&#10;Pl+fXkD4gKSxdWQUzMbDLr+/yzDVbqQPcy1CJTiEfIoK6hC6VEpf1saiX7jOEGvfrrcYeO0rqXsc&#10;Ody28jmK1tJiQ/yhxs4calP+FINljGKe/Xty2uDxuPfDqM/J4fSm1OPDtN+CCGYK/2b4w+cbyJnp&#10;4gbSXrQK4uVmxVYFK27AehwnCYgLD+s4Bpln8rZB/gsAAP//AwBQSwECLQAUAAYACAAAACEAtoM4&#10;kv4AAADhAQAAEwAAAAAAAAAAAAAAAAAAAAAAW0NvbnRlbnRfVHlwZXNdLnhtbFBLAQItABQABgAI&#10;AAAAIQA4/SH/1gAAAJQBAAALAAAAAAAAAAAAAAAAAC8BAABfcmVscy8ucmVsc1BLAQItABQABgAI&#10;AAAAIQDz6ptpiwIAAHsFAAAOAAAAAAAAAAAAAAAAAC4CAABkcnMvZTJvRG9jLnhtbFBLAQItABQA&#10;BgAIAAAAIQDqfoUF3gAAAAkBAAAPAAAAAAAAAAAAAAAAAOUEAABkcnMvZG93bnJldi54bWxQSwUG&#10;AAAAAAQABADzAAAA8AUAAAAA&#10;" adj="113" strokecolor="black [3213]" strokeweight="3pt"/>
            </w:pict>
          </mc:Fallback>
        </mc:AlternateContent>
      </w:r>
      <w:r w:rsidRPr="004B2ACB">
        <w:t>Pajamos</w:t>
      </w:r>
    </w:p>
    <w:p w14:paraId="1332FCCB" w14:textId="77777777" w:rsidR="00DC637E" w:rsidRPr="004B2ACB" w:rsidRDefault="00DC637E" w:rsidP="00DC637E">
      <w:pPr>
        <w:pStyle w:val="tajtip"/>
        <w:spacing w:before="0" w:beforeAutospacing="0" w:after="0" w:afterAutospacing="0"/>
        <w:ind w:left="3119"/>
      </w:pPr>
      <w:r w:rsidRPr="004B2ACB">
        <w:t xml:space="preserve"> – Neapmokestinamosios pajamos </w:t>
      </w:r>
    </w:p>
    <w:p w14:paraId="2618B33E" w14:textId="77777777" w:rsidR="00DC637E" w:rsidRPr="004B2ACB" w:rsidRDefault="00DC637E" w:rsidP="00DC637E">
      <w:pPr>
        <w:pStyle w:val="tajtip"/>
        <w:spacing w:before="0" w:beforeAutospacing="0" w:after="0" w:afterAutospacing="0"/>
        <w:ind w:left="3119"/>
      </w:pPr>
      <w:r w:rsidRPr="004B2ACB">
        <w:t xml:space="preserve"> – Leidžiami atskaitymai </w:t>
      </w:r>
    </w:p>
    <w:p w14:paraId="1CA10D8B" w14:textId="77777777" w:rsidR="00DC637E" w:rsidRPr="004B2ACB" w:rsidRDefault="00DC637E" w:rsidP="00DC637E">
      <w:pPr>
        <w:pStyle w:val="tajtip"/>
        <w:spacing w:before="0" w:beforeAutospacing="0" w:after="0" w:afterAutospacing="0"/>
        <w:ind w:left="3119"/>
      </w:pPr>
      <w:r w:rsidRPr="004B2ACB">
        <w:t xml:space="preserve"> – Ribojamų dydžių leidžiami atskaitymai </w:t>
      </w:r>
    </w:p>
    <w:p w14:paraId="699153ED" w14:textId="77777777" w:rsidR="00DC637E" w:rsidRPr="004B2ACB" w:rsidRDefault="00DC637E" w:rsidP="00DC637E">
      <w:pPr>
        <w:pStyle w:val="tajtip"/>
        <w:spacing w:before="0" w:beforeAutospacing="0" w:after="0" w:afterAutospacing="0"/>
        <w:ind w:left="3119"/>
        <w:rPr>
          <w:color w:val="000000"/>
        </w:rPr>
      </w:pPr>
      <w:r w:rsidRPr="004B2ACB">
        <w:rPr>
          <w:color w:val="000000"/>
          <w:shd w:val="clear" w:color="auto" w:fill="FFFFFF"/>
        </w:rPr>
        <w:t xml:space="preserve"> +</w:t>
      </w:r>
      <w:r w:rsidRPr="004B2ACB">
        <w:rPr>
          <w:color w:val="000000"/>
        </w:rPr>
        <w:t xml:space="preserve"> Nusidėvėjimo (amortizacijos) suma </w:t>
      </w:r>
    </w:p>
    <w:p w14:paraId="074DA16A"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Mokslinių tyrimų ir eksperimentinės plėtros darbų sąnaudų  padidintų atskaitymų suma</w:t>
      </w:r>
    </w:p>
    <w:p w14:paraId="48360BB7"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Apmokestinamųjų pajamų sumažinimo dėl filmo arba jo dalies gamybai neatlygintinai suteiktų lėšų suma </w:t>
      </w:r>
    </w:p>
    <w:p w14:paraId="5C6C4BC3"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Atskaitoma suteiktos paramos suma </w:t>
      </w:r>
    </w:p>
    <w:p w14:paraId="41A36157"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Praėjusių mokestinių laikotarpių nuostolių, atskaitomų iš mokestinio laikotarpio pajamų, suma </w:t>
      </w:r>
    </w:p>
    <w:p w14:paraId="33DA16DB" w14:textId="77777777" w:rsidR="00DC637E" w:rsidRPr="004B2ACB" w:rsidRDefault="00DC637E" w:rsidP="00DC637E">
      <w:pPr>
        <w:pStyle w:val="tajtip"/>
        <w:spacing w:before="0" w:beforeAutospacing="0" w:after="0" w:afterAutospacing="0"/>
        <w:ind w:left="3119"/>
        <w:rPr>
          <w:color w:val="000000"/>
        </w:rPr>
      </w:pPr>
      <w:r w:rsidRPr="004B2ACB">
        <w:rPr>
          <w:color w:val="000000"/>
        </w:rPr>
        <w:t xml:space="preserve"> + Palūkanų sąnaudų, viršijančių palūkanų pajamas, suma.</w:t>
      </w:r>
    </w:p>
    <w:p w14:paraId="50AB97A4" w14:textId="77777777" w:rsidR="00DC637E" w:rsidRPr="004B2ACB" w:rsidRDefault="00DC637E" w:rsidP="00DC637E">
      <w:pPr>
        <w:pStyle w:val="tajtip"/>
        <w:spacing w:before="0" w:beforeAutospacing="0" w:after="0" w:afterAutospacing="0"/>
        <w:ind w:firstLine="720"/>
        <w:jc w:val="both"/>
        <w:rPr>
          <w:b/>
          <w:color w:val="000000"/>
        </w:rPr>
      </w:pPr>
    </w:p>
    <w:p w14:paraId="61E53E60" w14:textId="77777777" w:rsidR="00DC637E" w:rsidRPr="004B2ACB" w:rsidRDefault="00DC637E" w:rsidP="00DC637E">
      <w:pPr>
        <w:pStyle w:val="tajtip"/>
        <w:spacing w:before="0" w:beforeAutospacing="0" w:after="0" w:afterAutospacing="0"/>
        <w:ind w:firstLine="720"/>
        <w:jc w:val="both"/>
        <w:rPr>
          <w:b/>
          <w:color w:val="000000"/>
        </w:rPr>
      </w:pPr>
    </w:p>
    <w:p w14:paraId="3296D3E0"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lastRenderedPageBreak/>
        <w:t xml:space="preserve">3. Jeigu vienetas mokestinio laikotarpio paskutinę dieną priklauso vienetų grupei, to mokestinio laikotarpio palūkanų sąnaudų, viršijančių palūkanų pajamas, suma ir apmokestinamasis EBITDA apskaičiuojamas bendrai visiems tos vienetų grupės Lietuvos vienetams ir užsienio vienetų nuolatinėms buveinėms Lietuvos Respublikoje, išskyrus finansų įstaigas ir draudimo įmones.  </w:t>
      </w:r>
    </w:p>
    <w:p w14:paraId="5F4AFA89"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Bendras vienetų grupės apmokestinamasis EBITDA apskaičiuojamas susumuojant visų tos vienetų grupės Lietuvos vienetų ir užsienio vienetų nuolatinių buveinių Lietuvos Respublikoje, išskyrus finansų įstaigas ir draudimo įmones, apmokestinamuosius EBITDA (žr. 30</w:t>
      </w:r>
      <w:r w:rsidRPr="004B2ACB">
        <w:rPr>
          <w:color w:val="000000"/>
          <w:vertAlign w:val="superscript"/>
        </w:rPr>
        <w:t>1</w:t>
      </w:r>
      <w:r w:rsidRPr="004B2ACB">
        <w:rPr>
          <w:color w:val="000000"/>
        </w:rPr>
        <w:t xml:space="preserve"> straipsnio 4 dalis). </w:t>
      </w:r>
    </w:p>
    <w:p w14:paraId="5A7A428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Bendrą vienetų grupės palūkanų sąnaudų, viršijančių palūkanų pajamas, sumą sudaro visų tos vienetų grupės Lietuvos vienetų ir užsienio vienetų nuolatinių buveinių Lietuvos Respublikoje, išskyrus finansų įstaigas ir draudimo įmones, palūkanų pajamų ir palūkanų sąnaudų skirtumas.</w:t>
      </w:r>
    </w:p>
    <w:p w14:paraId="1F56BF9C" w14:textId="77777777" w:rsidR="00DC637E" w:rsidRPr="004B2ACB" w:rsidRDefault="00DC637E" w:rsidP="00DC637E">
      <w:pPr>
        <w:pStyle w:val="tajtip"/>
        <w:spacing w:before="0" w:beforeAutospacing="0" w:after="0" w:afterAutospacing="0"/>
        <w:ind w:firstLine="709"/>
        <w:jc w:val="both"/>
      </w:pPr>
      <w:r w:rsidRPr="004B2ACB">
        <w:t>4. Jeigu vykdomi ilgalaikiai viešosios infrastruktūros projektai ir taikoma PMĮ 30</w:t>
      </w:r>
      <w:r w:rsidRPr="004B2ACB">
        <w:rPr>
          <w:vertAlign w:val="superscript"/>
        </w:rPr>
        <w:t>1</w:t>
      </w:r>
      <w:r w:rsidRPr="004B2ACB">
        <w:t xml:space="preserve"> straipsnio 7 dalies 1 punkte nustatyta išimtis, pajamos, gautos iš tokio ilgalaikio viešosios infrastruktūros projekto ir sąnaudos toms pajamoms uždirbti, šio straipsnio taikymo tikslais apskaičiuojant apmokestinamąjį EBITDA neįtraukiamos</w:t>
      </w:r>
      <w:r w:rsidRPr="004B2ACB">
        <w:rPr>
          <w:color w:val="000000"/>
        </w:rPr>
        <w:t xml:space="preserve"> (žr. 30</w:t>
      </w:r>
      <w:r w:rsidRPr="004B2ACB">
        <w:rPr>
          <w:color w:val="000000"/>
          <w:vertAlign w:val="superscript"/>
        </w:rPr>
        <w:t>1</w:t>
      </w:r>
      <w:r w:rsidRPr="004B2ACB">
        <w:rPr>
          <w:color w:val="000000"/>
        </w:rPr>
        <w:t xml:space="preserve"> straipsnio 8 dalis).</w:t>
      </w:r>
    </w:p>
    <w:p w14:paraId="5E018E99" w14:textId="77777777" w:rsidR="00DC637E" w:rsidRPr="004B2ACB" w:rsidRDefault="00DC637E" w:rsidP="00DC637E">
      <w:pPr>
        <w:pStyle w:val="tajtip"/>
        <w:spacing w:before="0" w:beforeAutospacing="0" w:after="0" w:afterAutospacing="0"/>
        <w:ind w:firstLine="720"/>
        <w:jc w:val="both"/>
        <w:rPr>
          <w:color w:val="000000"/>
        </w:rPr>
      </w:pPr>
    </w:p>
    <w:p w14:paraId="7CC875FF"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Neatsižvelgiant į šio straipsnio 2 dalies nuostatas, iš pajamų gali būti atskaitoma palūkanų sąnaudų, viršijančių palūkanų pajamas, suma, neviršijanti 3 000 000 eurų.</w:t>
      </w:r>
    </w:p>
    <w:p w14:paraId="31639F7D" w14:textId="77777777" w:rsidR="00DC637E" w:rsidRPr="004B2ACB" w:rsidRDefault="00DC637E" w:rsidP="00DC637E">
      <w:pPr>
        <w:tabs>
          <w:tab w:val="left" w:pos="720"/>
          <w:tab w:val="left" w:pos="1077"/>
          <w:tab w:val="left" w:pos="1418"/>
        </w:tabs>
        <w:ind w:right="-5" w:firstLine="709"/>
        <w:jc w:val="both"/>
        <w:rPr>
          <w:b/>
        </w:rPr>
      </w:pPr>
    </w:p>
    <w:p w14:paraId="55EA4EF5" w14:textId="77777777" w:rsidR="00DC637E" w:rsidRPr="004B2ACB" w:rsidRDefault="00DC637E" w:rsidP="00DC637E">
      <w:pPr>
        <w:tabs>
          <w:tab w:val="left" w:pos="720"/>
          <w:tab w:val="left" w:pos="1077"/>
          <w:tab w:val="left" w:pos="1418"/>
        </w:tabs>
        <w:ind w:right="-5" w:firstLine="709"/>
        <w:jc w:val="both"/>
        <w:rPr>
          <w:b/>
        </w:rPr>
      </w:pPr>
      <w:r w:rsidRPr="004B2ACB">
        <w:rPr>
          <w:b/>
        </w:rPr>
        <w:t>Komentaras</w:t>
      </w:r>
    </w:p>
    <w:p w14:paraId="18E3F0F6"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1. Jeigu palūkanų sąnaudų, viršijančių palūkanų pajamas, suma neviršija 3 000 000 eurų, iš mokestinio laikotarpio pajamų gali būti atskaitoma visa palūkanų sąnaudų, viršijančių palūkanų pajamas, suma, nevertinant palūkanų sąnaudų </w:t>
      </w:r>
      <w:r w:rsidRPr="004B2ACB">
        <w:t>procentinio santykio su EBITDA.</w:t>
      </w:r>
      <w:r w:rsidRPr="004B2ACB">
        <w:rPr>
          <w:color w:val="000000"/>
        </w:rPr>
        <w:t xml:space="preserve"> </w:t>
      </w:r>
    </w:p>
    <w:p w14:paraId="7B9FCCAE"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2. Jeigu vienetas mokestinio laikotarpio paskutinę dieną priklauso vienetų grupei,  atskaitytina 3 000 000 eurų palūkanų sąnaudų, viršijančių palūkanų pajamas, suma taikoma bendrai visiems tos vienetų grupės Lietuvos vienetams ir užsienio vienetų nuolatinėms buveinėms Lietuvos Respublikoje, išskyrus finansų įstaigas ir draudimo įmones (žr. 30</w:t>
      </w:r>
      <w:r w:rsidRPr="004B2ACB">
        <w:rPr>
          <w:color w:val="000000"/>
          <w:vertAlign w:val="superscript"/>
        </w:rPr>
        <w:t>1</w:t>
      </w:r>
      <w:r w:rsidRPr="004B2ACB">
        <w:rPr>
          <w:color w:val="000000"/>
        </w:rPr>
        <w:t xml:space="preserve"> straipsnio 4 dalis).</w:t>
      </w:r>
    </w:p>
    <w:p w14:paraId="3C7C1BB5" w14:textId="77777777" w:rsidR="00DC637E" w:rsidRPr="004B2ACB" w:rsidRDefault="00DC637E" w:rsidP="00DC637E">
      <w:pPr>
        <w:pStyle w:val="tajtip"/>
        <w:spacing w:before="0" w:beforeAutospacing="0" w:after="0" w:afterAutospacing="0"/>
        <w:ind w:firstLine="720"/>
        <w:jc w:val="both"/>
        <w:rPr>
          <w:color w:val="000000"/>
        </w:rPr>
      </w:pPr>
    </w:p>
    <w:p w14:paraId="003FC932"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4. Jeigu vienetas priklauso vienetų grupei, šio straipsnio 2 ir 3 dalių nuostatos taikomos bendrai visiems tos vienetų grupės Lietuvos vienetams ir užsienio vienetų nuolatinėms buveinėms Lietuvos Respublikoje, išskyrus finansų įstaigas ir draudimo įmones. Jeigu vienetų grupės vienetų bendra palūkanų sąnaudų, viršijančių palūkanų pajamas, suma yra lygi pagal šio straipsnio 2 ar 3 dalies nuostatas apskaičiuotai maksimaliai vienetų grupei leidžiamai atskaityti palūkanų sumai arba už šią sumą mažesnė, vienetų grupės vienetai atskaito visas palūkanų sąnaudas, viršijančias palūkanų pajamas.</w:t>
      </w:r>
      <w:r w:rsidRPr="004B2ACB">
        <w:rPr>
          <w:b/>
          <w:bCs/>
          <w:color w:val="000000"/>
        </w:rPr>
        <w:t> </w:t>
      </w:r>
      <w:r w:rsidRPr="004B2ACB">
        <w:rPr>
          <w:b/>
          <w:color w:val="000000"/>
        </w:rPr>
        <w:t>Vieneto atskaitoma palūkanų sąnaudų, viršijančių palūkanų pajamas, dalis nuo vienetų grupei taikant šio straipsnio nuostatas leidžiamos atskaityti palūkanų sąnaudų sumos apskaičiuojama proporcingai to vieneto palūkanų sąnaudų, viršijančių palūkanų pajamas, daliai nuo vienetų grupės vienetų, kurių palūkanų sąnaudos viršija palūkanų pajamas, palūkanų pajamas viršijančios palūkanų sąnaudų sumos.</w:t>
      </w:r>
    </w:p>
    <w:p w14:paraId="2A163FDC" w14:textId="77777777" w:rsidR="00DC637E" w:rsidRPr="004B2ACB" w:rsidRDefault="00DC637E" w:rsidP="00DC637E">
      <w:pPr>
        <w:pStyle w:val="tajtip"/>
        <w:spacing w:before="0" w:beforeAutospacing="0" w:after="0" w:afterAutospacing="0"/>
        <w:ind w:firstLine="720"/>
        <w:jc w:val="both"/>
        <w:rPr>
          <w:b/>
        </w:rPr>
      </w:pPr>
    </w:p>
    <w:p w14:paraId="329C9358"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3BCD7694" w14:textId="77777777" w:rsidR="00DC637E" w:rsidRPr="004B2ACB" w:rsidRDefault="00DC637E" w:rsidP="00DC637E">
      <w:pPr>
        <w:pStyle w:val="tajtip"/>
        <w:spacing w:before="0" w:beforeAutospacing="0" w:after="0" w:afterAutospacing="0"/>
        <w:ind w:firstLine="720"/>
        <w:jc w:val="both"/>
      </w:pPr>
    </w:p>
    <w:p w14:paraId="544ADCE9" w14:textId="77777777" w:rsidR="00DC637E" w:rsidRPr="004B2ACB" w:rsidRDefault="00DC637E" w:rsidP="00DC637E">
      <w:pPr>
        <w:pStyle w:val="tajtip"/>
        <w:spacing w:before="0" w:beforeAutospacing="0" w:after="0" w:afterAutospacing="0"/>
        <w:ind w:firstLine="720"/>
        <w:jc w:val="both"/>
      </w:pPr>
      <w:r w:rsidRPr="004B2ACB">
        <w:t xml:space="preserve">1. Jeigu vienetas </w:t>
      </w:r>
      <w:r w:rsidRPr="004B2ACB">
        <w:rPr>
          <w:color w:val="000000"/>
        </w:rPr>
        <w:t xml:space="preserve">mokestinio laikotarpio paskutinę dieną </w:t>
      </w:r>
      <w:r w:rsidRPr="004B2ACB">
        <w:t xml:space="preserve">priklauso vienetų grupei (žr. PMĮ 2 str. 7 dalies komentarą), tai apmokestinamasis EBITDA, apskaičiuotas pagal šio straipsnio 2 dalies nuostatas, ir viršijančios palūkanų sąnaudos, vertinant šio straipsnio 3 dalyje nustatytą 3 000 000 eurų sumą, apskaičiuojamos bendrai visiems tos vienetų grupės Lietuvos vienetams ir užsienio vienetų </w:t>
      </w:r>
      <w:r w:rsidRPr="004B2ACB">
        <w:lastRenderedPageBreak/>
        <w:t>nuolatinėms buveinėms Lietuvos Respublikoje. Apskaičiuojant vienetų grupės apmokestinamąjį EBITDA, neįtraukiamos:</w:t>
      </w:r>
    </w:p>
    <w:p w14:paraId="5709CBFB" w14:textId="77777777" w:rsidR="00DC637E" w:rsidRPr="004B2ACB" w:rsidRDefault="00DC637E" w:rsidP="00DC637E">
      <w:pPr>
        <w:pStyle w:val="tajtip"/>
        <w:spacing w:before="0" w:beforeAutospacing="0" w:after="0" w:afterAutospacing="0"/>
        <w:ind w:firstLine="720"/>
        <w:jc w:val="both"/>
      </w:pPr>
      <w:r w:rsidRPr="004B2ACB">
        <w:t>-  finansų įstaigos ir draudimo įmonės ir jų nuolatinės buveinės Lietuvos Respublikoje;</w:t>
      </w:r>
    </w:p>
    <w:p w14:paraId="2DE34742" w14:textId="77777777" w:rsidR="00DC637E" w:rsidRPr="004B2ACB" w:rsidRDefault="00DC637E" w:rsidP="00DC637E">
      <w:pPr>
        <w:pStyle w:val="tajtip"/>
        <w:spacing w:before="0" w:beforeAutospacing="0" w:after="0" w:afterAutospacing="0"/>
        <w:ind w:firstLine="720"/>
        <w:jc w:val="both"/>
      </w:pPr>
      <w:r w:rsidRPr="004B2ACB">
        <w:t xml:space="preserve">- pajamos, gautos iš ilgalaikių viešosios infrastruktūros projektų, ir sąnaudos šioms pajamoms uždirbti. </w:t>
      </w:r>
    </w:p>
    <w:p w14:paraId="0331781C" w14:textId="77777777" w:rsidR="00DC637E" w:rsidRPr="004B2ACB" w:rsidRDefault="00DC637E" w:rsidP="00DC637E">
      <w:pPr>
        <w:pStyle w:val="tajtip"/>
        <w:spacing w:before="0" w:beforeAutospacing="0" w:after="0" w:afterAutospacing="0"/>
        <w:ind w:firstLine="720"/>
        <w:jc w:val="both"/>
      </w:pPr>
      <w:r w:rsidRPr="004B2ACB">
        <w:t xml:space="preserve">Palūkanų sąnaudos, patirtos dėl paskolų, </w:t>
      </w:r>
      <w:r w:rsidRPr="004B2ACB">
        <w:rPr>
          <w:color w:val="000000"/>
        </w:rPr>
        <w:t xml:space="preserve">skirtų ilgalaikiams viešosios infrastruktūros projektams </w:t>
      </w:r>
      <w:r w:rsidRPr="004B2ACB">
        <w:t>vystyti, neįtraukiamos į grupės skolinimosi sąnaudas.</w:t>
      </w:r>
    </w:p>
    <w:p w14:paraId="1BD98871"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2. </w:t>
      </w:r>
      <w:r w:rsidRPr="004B2ACB">
        <w:rPr>
          <w:color w:val="000000"/>
        </w:rPr>
        <w:t>Vienetų grupės vienetai palūkanų sąnaudas atskaito tokia tvarka:</w:t>
      </w:r>
    </w:p>
    <w:p w14:paraId="0354085C" w14:textId="77777777" w:rsidR="00DC637E" w:rsidRPr="004B2ACB" w:rsidRDefault="00DC637E" w:rsidP="00DC637E">
      <w:pPr>
        <w:pStyle w:val="tajtip"/>
        <w:spacing w:before="0" w:beforeAutospacing="0" w:after="0" w:afterAutospacing="0"/>
        <w:ind w:firstLine="709"/>
        <w:jc w:val="both"/>
      </w:pPr>
      <w:r w:rsidRPr="004B2ACB">
        <w:t xml:space="preserve">1) jei visų vienetų grupės vienetų palūkanų sąnaudos neviršija vienetų grupės vienetų palūkanų pajamų, visi </w:t>
      </w:r>
      <w:r w:rsidRPr="004B2ACB">
        <w:rPr>
          <w:color w:val="000000"/>
        </w:rPr>
        <w:t>tos vienetų grupės Lietuvos vienetai ir užsienio vienetų nuolatinės buveinės Lietuvos Respublikoje</w:t>
      </w:r>
      <w:r w:rsidRPr="004B2ACB">
        <w:t xml:space="preserve"> gali atskaityti visas palūkanų sąnaudas; </w:t>
      </w:r>
    </w:p>
    <w:p w14:paraId="49D16978"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2) jei visų vienetų grupės vienetų palūkanų sąnaudų suma viršija visų vienetų grupės vienetų palūkanų pajamas, bet neviršija 3 000 000 EUR, visi </w:t>
      </w:r>
      <w:r w:rsidRPr="004B2ACB">
        <w:rPr>
          <w:color w:val="000000"/>
        </w:rPr>
        <w:t>tos vienetų grupės Lietuvos vienetai ir užsienio vienetų nuolatinės buveinės Lietuvos Respublikoje</w:t>
      </w:r>
      <w:r w:rsidRPr="004B2ACB">
        <w:t xml:space="preserve"> gali atskaityti visas palūkanų sąnaudas,</w:t>
      </w:r>
      <w:r w:rsidRPr="004B2ACB">
        <w:rPr>
          <w:color w:val="000000"/>
        </w:rPr>
        <w:t xml:space="preserve"> viršijančias palūkanų pajamas;</w:t>
      </w:r>
    </w:p>
    <w:p w14:paraId="01C7F558" w14:textId="77777777" w:rsidR="00DC637E" w:rsidRPr="004B2ACB" w:rsidRDefault="00DC637E" w:rsidP="00DC637E">
      <w:pPr>
        <w:pStyle w:val="tajtip"/>
        <w:spacing w:before="0" w:beforeAutospacing="0" w:after="0" w:afterAutospacing="0"/>
        <w:ind w:firstLine="720"/>
        <w:jc w:val="both"/>
        <w:rPr>
          <w:color w:val="000000"/>
        </w:rPr>
      </w:pPr>
      <w:r w:rsidRPr="004B2ACB">
        <w:t xml:space="preserve">3) jeigu vienetų grupės vienetų bendra palūkanų sąnaudų, viršijančių palūkanų pajamas, suma yra didesnė nei 3 000 000 EUR, bet neviršija vienetų grupės (Lietuvos vienetų </w:t>
      </w:r>
      <w:r w:rsidRPr="004B2ACB">
        <w:rPr>
          <w:color w:val="000000"/>
        </w:rPr>
        <w:t>ir užsienio vienetų nuolatinių buveinių Lietuvos Respublikoje)</w:t>
      </w:r>
      <w:r w:rsidRPr="004B2ACB">
        <w:t xml:space="preserve"> 30 proc. apmokestinamojo EBITDA, visi </w:t>
      </w:r>
      <w:r w:rsidRPr="004B2ACB">
        <w:rPr>
          <w:color w:val="000000"/>
        </w:rPr>
        <w:t>tos vienetų grupės Lietuvos vienetai ir užsienio vienetų nuolatinės buveinės Lietuvos Respublikoje</w:t>
      </w:r>
      <w:r w:rsidRPr="004B2ACB">
        <w:t xml:space="preserve"> gali atskaityti visas palūkanų sąnaudas</w:t>
      </w:r>
      <w:r w:rsidRPr="004B2ACB">
        <w:rPr>
          <w:color w:val="000000"/>
        </w:rPr>
        <w:t>, viršijančias palūkanų pajamas;</w:t>
      </w:r>
    </w:p>
    <w:p w14:paraId="6F1BE5C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Pavyzdys</w:t>
      </w:r>
    </w:p>
    <w:p w14:paraId="1C4B78C3" w14:textId="77777777" w:rsidR="00DC637E" w:rsidRPr="004B2ACB" w:rsidRDefault="00DC637E" w:rsidP="00DC637E">
      <w:pPr>
        <w:pStyle w:val="tajtip"/>
        <w:spacing w:before="0" w:beforeAutospacing="0" w:after="0" w:afterAutospacing="0"/>
        <w:ind w:firstLine="720"/>
        <w:jc w:val="both"/>
        <w:rPr>
          <w:color w:val="000000"/>
        </w:rPr>
      </w:pPr>
    </w:p>
    <w:p w14:paraId="16649D7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Vienetų grupę sudaro Lietuvos vienetai: vienetas A, vienetas B, vienetas C ir vienetas D, kurie nėra finansų įstaigos ir draudimo įmonės bei nei vienas iš vienetų nevykdo ilgalaikių viešosios infrastruktūros projektų. </w:t>
      </w:r>
    </w:p>
    <w:p w14:paraId="2CFABDA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5 000 000 Eur; palūkanų sąnaudos, viršijančios palūkanų pajamas – 1 800 000 Eur;</w:t>
      </w:r>
    </w:p>
    <w:p w14:paraId="2A4A38B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1 500 000 Eur; palūkanų sąnaudos, viršijančios palūkanų pajamas – 200 000 Eur;</w:t>
      </w:r>
    </w:p>
    <w:p w14:paraId="7C6F5D4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3 000 000 Eur; palūkanų sąnaudos, viršijančios palūkanų pajamas – 1 200 000 Eur;</w:t>
      </w:r>
    </w:p>
    <w:p w14:paraId="575B97C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D apmokestinamasis EBITDA – 1 000 000 Eur; palūkanų sąnaudų nepatyrė, palūkanų pajamos –  100 000 Eur;</w:t>
      </w:r>
    </w:p>
    <w:p w14:paraId="6FDBC0A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5C79D7E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- 10 500 000 Eur (5 000 000 Eur + 1 500 000 Eur + 3 000 000 Eur + 1 000 000 Eur); palūkanų sąnaudos, viršijančios palūkanų pajamas - 3 100 000 Eur (1 800 000 Eur + 200 000 Eur + 1 200 000 Eur – 100 000 Eur).</w:t>
      </w:r>
    </w:p>
    <w:p w14:paraId="495D674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suma 3 150 000 Eur (10 500 000 Eur x 30 proc.).</w:t>
      </w:r>
    </w:p>
    <w:p w14:paraId="1F4EFF6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Kadangi  vienetų grupės vienetų bendra palūkanų sąnaudų, viršijančių palūkanų pajamas, suma (3 100 000 Eur) yra mažesnė už maksimalią vienetų grupei leidžiamą atskaityti palūkanų sumą (3 150 000  Eur), visi vienetų grupės vienetai (A, B, C) gali atskaityti visas savo patirtas palūkanų sąnaudas, viršijančias palūkanų pajamas (vienetas A - 1 800 000 Eur; vienetas B - 200 000 Eur; vienetas C - 1 200 000 Eur).</w:t>
      </w:r>
    </w:p>
    <w:p w14:paraId="34A8131E" w14:textId="77777777" w:rsidR="00DC637E" w:rsidRPr="004B2ACB" w:rsidRDefault="00DC637E" w:rsidP="00DC637E">
      <w:pPr>
        <w:pStyle w:val="tajtip"/>
        <w:spacing w:before="0" w:beforeAutospacing="0" w:after="0" w:afterAutospacing="0"/>
        <w:ind w:firstLine="720"/>
        <w:jc w:val="both"/>
        <w:rPr>
          <w:color w:val="000000"/>
        </w:rPr>
      </w:pPr>
    </w:p>
    <w:p w14:paraId="2EF22870" w14:textId="77777777" w:rsidR="00DC637E" w:rsidRPr="004B2ACB" w:rsidRDefault="00DC637E" w:rsidP="00DC637E">
      <w:pPr>
        <w:pStyle w:val="tajtip"/>
        <w:spacing w:before="0" w:beforeAutospacing="0" w:after="0" w:afterAutospacing="0"/>
        <w:ind w:firstLine="720"/>
        <w:jc w:val="both"/>
      </w:pPr>
      <w:r w:rsidRPr="004B2ACB">
        <w:t xml:space="preserve">4) jeigu vienetų grupės vienetų bendra palūkanų sąnaudų, viršijančių palūkanų pajamas, suma didesnė nei 3 000 000 Eur  ir  viršija vienetų grupės (Lietuvos vienetų </w:t>
      </w:r>
      <w:r w:rsidRPr="004B2ACB">
        <w:rPr>
          <w:color w:val="000000"/>
        </w:rPr>
        <w:t>ir užsienio vienetų nuolatinių buveinių Lietuvos Respublikoje)</w:t>
      </w:r>
      <w:r w:rsidRPr="004B2ACB">
        <w:t xml:space="preserve"> 30 proc. apmokestinamojo EBITDA, tai kiekvieno grupės vieneto atskaitoma palūkanų sąnaudų, viršijančių palūkanų pajamas, suma  apskaičiuojama taip: </w:t>
      </w:r>
    </w:p>
    <w:p w14:paraId="1B060F8E" w14:textId="77777777" w:rsidR="00DC637E" w:rsidRPr="004B2ACB" w:rsidRDefault="00DC637E" w:rsidP="00DC637E">
      <w:pPr>
        <w:pStyle w:val="tajtip"/>
        <w:spacing w:before="0" w:beforeAutospacing="0" w:after="0" w:afterAutospacing="0"/>
        <w:ind w:firstLine="720"/>
        <w:jc w:val="both"/>
      </w:pPr>
      <w:r w:rsidRPr="004B2ACB">
        <w:lastRenderedPageBreak/>
        <w:t>- pirma, apskaičiuojama vieneto palūkanų sąnaudų, viršijančių palūkanų pajamas, dalis vienetų grupės vienetų, kurių palūkanų sąnaudos viršija palūkanų pajamas, palūkanų pajamas viršijančiose palūkanų sąnaudose;</w:t>
      </w:r>
    </w:p>
    <w:p w14:paraId="528F7D45" w14:textId="77777777" w:rsidR="00DC637E" w:rsidRPr="004B2ACB" w:rsidRDefault="00DC637E" w:rsidP="00DC637E">
      <w:pPr>
        <w:pStyle w:val="tajtip"/>
        <w:spacing w:before="0" w:beforeAutospacing="0" w:after="0" w:afterAutospacing="0"/>
        <w:ind w:firstLine="720"/>
        <w:jc w:val="both"/>
      </w:pPr>
      <w:r w:rsidRPr="004B2ACB">
        <w:t>- antra, nustatyta dalis padauginama iš maksimalios vienetų grupei leidžiamos atskaityti palūkanų sąnaudų sumos.</w:t>
      </w:r>
    </w:p>
    <w:p w14:paraId="65C5B33B" w14:textId="77777777" w:rsidR="00DC637E" w:rsidRPr="004B2ACB" w:rsidRDefault="00DC637E" w:rsidP="00DC637E">
      <w:pPr>
        <w:pStyle w:val="tajtip"/>
        <w:spacing w:before="0" w:beforeAutospacing="0" w:after="0" w:afterAutospacing="0"/>
        <w:ind w:firstLine="709"/>
        <w:jc w:val="both"/>
      </w:pPr>
      <w:r w:rsidRPr="004B2ACB">
        <w:t xml:space="preserve"> </w:t>
      </w:r>
    </w:p>
    <w:p w14:paraId="6C79BF3D" w14:textId="77777777" w:rsidR="00DC637E" w:rsidRPr="004B2ACB" w:rsidRDefault="00DC637E" w:rsidP="00DC637E">
      <w:pPr>
        <w:pStyle w:val="tajtip"/>
        <w:spacing w:before="0" w:beforeAutospacing="0" w:after="0" w:afterAutospacing="0"/>
        <w:ind w:firstLine="720"/>
        <w:jc w:val="both"/>
      </w:pPr>
      <w:r w:rsidRPr="004B2ACB">
        <w:t>Pavyzdžiai</w:t>
      </w:r>
    </w:p>
    <w:p w14:paraId="15AA7B14" w14:textId="77777777" w:rsidR="00DC637E" w:rsidRPr="004B2ACB" w:rsidRDefault="00DC637E" w:rsidP="00DC637E">
      <w:pPr>
        <w:pStyle w:val="tajtip"/>
        <w:spacing w:before="0" w:beforeAutospacing="0" w:after="0" w:afterAutospacing="0"/>
        <w:ind w:firstLine="720"/>
        <w:jc w:val="both"/>
      </w:pPr>
    </w:p>
    <w:p w14:paraId="484061B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1. Vienetų grupę sudaro Lietuvos vienetai: vienetas A, vienetas B ir vienetas C, kurie nėra finansų įstaigos ir draudimo įmonės bei nei vienas iš vienetų nevykdo ilgalaikių viešosios infrastruktūros projektų. </w:t>
      </w:r>
    </w:p>
    <w:p w14:paraId="68F287B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5 000 000 Eur; palūkanų sąnaudos, viršijančios palūkanų pajamas – 1 800 000 Eur;</w:t>
      </w:r>
    </w:p>
    <w:p w14:paraId="3B4C910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2 000 000 Eur; palūkanų sąnaudos, viršijančios palūkanų pajamas – 500 000 Eur;</w:t>
      </w:r>
    </w:p>
    <w:p w14:paraId="036594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4 000 000 Eur; palūkanų sąnaudos, viršijančios palūkanų pajamas – 2 000 000 Eur.</w:t>
      </w:r>
    </w:p>
    <w:p w14:paraId="6AF78CD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35E1F9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- 11 000 000 Eur (5 000 000 Eur + 2 000 000 Eur + 4 000 000 Eur); palūkanų sąnaudos, viršijančios palūkanų pajamas – 4 300 000 Eur (1 800 000 Eur + 500 000  Eur + 2 000 000 Eur).</w:t>
      </w:r>
    </w:p>
    <w:p w14:paraId="393CF3F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suma 3 300 000 Eur (11 000 000 Eur x 30 proc.).</w:t>
      </w:r>
    </w:p>
    <w:p w14:paraId="726793B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(4 300 000 Eur) viršija  maksimalią vienetų grupei leidžiamą atskaityti palūkanų sumą (3 300 000 Eur), tai vienetų atskaitoma palūkanų sąnaudų, viršijančių palūkanų pajamas, suma  apskaičiuojama taip: </w:t>
      </w:r>
    </w:p>
    <w:p w14:paraId="0A9B60B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05D97EE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41,86 proc. (1 800 000 Eur /4 300 000 Eur x 100 proc.);</w:t>
      </w:r>
    </w:p>
    <w:p w14:paraId="03E74A6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11,63 proc. (500 000 Eur /4 300 000 Eur x 100 proc.);</w:t>
      </w:r>
    </w:p>
    <w:p w14:paraId="5B1D1D8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46,51 proc. (2 000 000 Eur /4 300 000 Eur x 100 proc.);</w:t>
      </w:r>
    </w:p>
    <w:p w14:paraId="0702263A"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7881274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1 381 380 Eur (3 300 000 Eur x 41,86 proc.);</w:t>
      </w:r>
    </w:p>
    <w:p w14:paraId="0DCDC9E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383 790 Eur (3 300 000 Eur x 11,63 proc.);</w:t>
      </w:r>
    </w:p>
    <w:p w14:paraId="2AC88D3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1 534 830 Eur (3 300 000 Eur x 46,51 proc.);</w:t>
      </w:r>
    </w:p>
    <w:p w14:paraId="6ADD99E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Iš viso: 3 300 000 Eur (1 381 380 Eur + 383 790 Eur + 1 534 830 Eur).</w:t>
      </w:r>
    </w:p>
    <w:p w14:paraId="5266B5A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highlight w:val="lightGray"/>
        </w:rPr>
      </w:pPr>
    </w:p>
    <w:p w14:paraId="49535CB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2. Vienetų grupę sudaro Lietuvos vienetai: vienetas A, vienetas B ir vienetas C, kurie nėra finansų įstaigos ir draudimo įmonės bei nei vienas iš vienetų nevykdo ilgalaikių viešosios infrastruktūros projektų. </w:t>
      </w:r>
    </w:p>
    <w:p w14:paraId="1E19009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7 300 000 Eur; palūkanų pajamos 3 000 000 Eur; palūkanų sąnaudos – 2 000 000 Eur;</w:t>
      </w:r>
    </w:p>
    <w:p w14:paraId="40399E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apmokestinamasis EBITDA – 7 000 000 Eur; palūkanų sąnaudos, viršijančios palūkanų pajamas – 5 000 000 Eur;</w:t>
      </w:r>
    </w:p>
    <w:p w14:paraId="7D7B58F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8 000 000 Eur; palūkanų sąnaudos, viršijančios palūkanų pajamas – 3 000 000 Eur.</w:t>
      </w:r>
    </w:p>
    <w:p w14:paraId="00122B1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Vienetų grupės apmokestinamasis EBITDA - 22 300 000 Eur (7 300 000 Eur + 7 000 000 Eur + 8 000 000 Eur); palūkanų sąnaudos, viršijančios palūkanų pajamas – 7 000 000 Eur (-3 000 000 Eur + 2 000 000 + 5 000 000  Eur + 3 000 000 Eur).</w:t>
      </w:r>
    </w:p>
    <w:p w14:paraId="540C065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viršijančių palūkanų pajamas, suma 6 690 000 Eur (22 300 000 Eur x 30 proc.).</w:t>
      </w:r>
    </w:p>
    <w:p w14:paraId="6C5B400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(7 000 000 Eur) viršija  maksimalią vienetų grupei leidžiamą atskaityti palūkanų sumą (6 690 000 Eur), tai vienetų atskaitoma palūkanų sąnaudų, viršijančių palūkanų pajamas, suma  apskaičiuojama taip: </w:t>
      </w:r>
    </w:p>
    <w:p w14:paraId="03B3EB3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2852758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7E73241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62,5 proc. (5 000 000 Eur /8 000 000 Eur (5 000 000 + 3 000 000) Eur x 100 proc.);</w:t>
      </w:r>
    </w:p>
    <w:p w14:paraId="223B7539"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37,5 proc. (3 000 000 Eur /8 000 000 Eur (5 000 000 + 3 000 000) Eur x 100 proc.);</w:t>
      </w:r>
    </w:p>
    <w:p w14:paraId="5E0CC57A"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2B00B4E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4 181 250 Eur (6 690 000 Eur x 62,5 proc.);</w:t>
      </w:r>
    </w:p>
    <w:p w14:paraId="55281A9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2 508 750 Eur (6 690 000 Eur x 37,5 proc.).</w:t>
      </w:r>
    </w:p>
    <w:p w14:paraId="7E91008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Iš viso gali atskaityti palūkanų sąnaudų: vienetas A – 2 000 000 Eur; vienetas  B – 4 181 250 Eur; vienetas C - 2 508 750 Eur.</w:t>
      </w:r>
    </w:p>
    <w:p w14:paraId="1BCEF81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6E0F6BB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3. Vienetų grupę sudaro Lietuvos vienetai: vienetas A, vienetas B ir vienetas C, kurie nėra finansų įstaigos ir draudimo įmonės bei nei vienas iš vienetų nevykdo ilgalaikių viešosios infrastruktūros projektų. </w:t>
      </w:r>
    </w:p>
    <w:p w14:paraId="60A4D0A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apmokestinamasis EBITDA – 15 000 000 Eur; palūkanų sąnaudos, viršijančios palūkanų pajamas – 3 800 000 Eur;</w:t>
      </w:r>
    </w:p>
    <w:p w14:paraId="2DE684D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Vienetas B patyrė nuostolį, jo apmokestinamasis EBITDA yra neigiamas (2 000 000) Eur; palūkanų sąnaudos, viršijančios palūkanų pajamas – 500 000 Eur;</w:t>
      </w:r>
    </w:p>
    <w:p w14:paraId="7F831FF1"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apmokestinamasis EBITDA – 4 000 000 Eur; palūkanų sąnaudos, viršijančios palūkanų pajamas – 2 000 000 Eur.</w:t>
      </w:r>
    </w:p>
    <w:p w14:paraId="646D59B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Vienetų grupės apmokestinamasis EBITDA - 17 000 000 Eur (15 000 000 Eur - 2 000 000 Eur + 4 000 000 Eur); palūkanų sąnaudos, viršijančios palūkanų pajamas – 6 300 000 Eur (3 800 000 Eur + 500 000  Eur + 2 000 000 Eur).</w:t>
      </w:r>
    </w:p>
    <w:p w14:paraId="52176A0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Maksimali vienetų grupei leidžiama atskaityti palūkanų sąnaudų, viršijančių palūkanų pajamas, suma 5 100 000 Eur (17 000 000 Eur x 30 proc.).</w:t>
      </w:r>
    </w:p>
    <w:p w14:paraId="674AFF8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vienetų bendra palūkanų sąnaudų, viršijančių palūkanų pajamas, suma (6 300 000 Eur) viršija  maksimalią vienetų grupei leidžiamą atskaityti palūkanų sumą (5 100 000 Eur), tai vienetų atskaitoma palūkanų sąnaudų, viršijančių palūkanų pajamas, suma  apskaičiuojama taip: </w:t>
      </w:r>
    </w:p>
    <w:p w14:paraId="433ADE3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vienetų, kurių palūkanų sąnaudos viršija palūkanų pajamas,  palūkanų pajamas viršijančiose palūkanų sąnaudose:</w:t>
      </w:r>
    </w:p>
    <w:p w14:paraId="446B2EC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60,32 proc. (3 800 000 Eur /6 300 000 Eur x 100 proc.);</w:t>
      </w:r>
    </w:p>
    <w:p w14:paraId="5EEE89D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7,94 proc. (500 000 Eur /6 300 000 Eur x 100 proc.);</w:t>
      </w:r>
    </w:p>
    <w:p w14:paraId="002AFF7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31,74 proc. (2 000 000 Eur /6 300 000 Eur x 100 proc.);</w:t>
      </w:r>
    </w:p>
    <w:p w14:paraId="0C97EDA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2) nustatyta dalis padauginama iš maksimalios vienetų grupei leidžiamos atskaityti palūkanų sąnaudų sumos:</w:t>
      </w:r>
    </w:p>
    <w:p w14:paraId="3B83C1B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3 076 320 Eur (5 100 000 Eur x 60,32 proc.);</w:t>
      </w:r>
    </w:p>
    <w:p w14:paraId="48AC0A6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404 940 Eur (5 100 000 Eur x 7,94 proc.);</w:t>
      </w:r>
    </w:p>
    <w:p w14:paraId="0B17D60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C – 1 618 740 Eur (5 100 000 Eur x 31,74 proc.);</w:t>
      </w:r>
    </w:p>
    <w:p w14:paraId="2C7B994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Iš viso: 5 100 000 Eur (3 076 320 Eur +  404 940 Eur +  1 618 740  Eur). </w:t>
      </w:r>
    </w:p>
    <w:p w14:paraId="1CB2EEA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1779BA82" w14:textId="77777777" w:rsidR="00DC637E" w:rsidRPr="004B2ACB" w:rsidRDefault="00DC637E" w:rsidP="00DC637E">
      <w:pPr>
        <w:pStyle w:val="tajtip"/>
        <w:spacing w:before="0" w:beforeAutospacing="0" w:after="0" w:afterAutospacing="0"/>
        <w:ind w:firstLine="720"/>
        <w:jc w:val="both"/>
        <w:rPr>
          <w:b/>
          <w:color w:val="000000"/>
        </w:rPr>
      </w:pPr>
    </w:p>
    <w:p w14:paraId="33F4D828"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3. Vienetų grupei vienetas turi priklausyti </w:t>
      </w:r>
      <w:r w:rsidRPr="004B2ACB">
        <w:t>paskutinę mokestinio laikotarpio dieną. Tuo atveju, jei</w:t>
      </w:r>
      <w:r w:rsidRPr="004B2ACB">
        <w:rPr>
          <w:color w:val="000000"/>
        </w:rPr>
        <w:t xml:space="preserve"> vienetų grupė susiformuoja </w:t>
      </w:r>
      <w:r w:rsidRPr="004B2ACB">
        <w:t xml:space="preserve">ne nuo mokestinio laikotarpio pradžios, vienetų grupės vienetų bendra </w:t>
      </w:r>
      <w:r w:rsidRPr="004B2ACB">
        <w:rPr>
          <w:color w:val="000000"/>
        </w:rPr>
        <w:t>palūkanų sąnaudų, viršijančių palūkanų pajamas,</w:t>
      </w:r>
      <w:r w:rsidRPr="004B2ACB">
        <w:t xml:space="preserve"> suma ir apmokestinamasis EBITDA skaičiuojamas už visą </w:t>
      </w:r>
      <w:r w:rsidRPr="004B2ACB">
        <w:rPr>
          <w:color w:val="000000"/>
        </w:rPr>
        <w:t>mokestinį laikotarpį.</w:t>
      </w:r>
    </w:p>
    <w:p w14:paraId="5315429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4. Jeigu šio straipsnio nuostatų taikymo prasme vienetas priklauso kelioms vienetų grupėms, jo duomenys įtraukiami į visų vienetų grupių palūkanų sąnaudų, viršijančių palūkanų pajamas, sumos ir apmokestinamojo EBITDA skaičiavimus, t. y. straipsnio 2 ir 3 dalių nuostatos taikomos bendrai visiems kiekvienos atskiros vienetų grupės Lietuvos vienetams ir užsienio vienetų nuolatinėms buveinėms Lietuvos Respublikoje, išskyrus finansų įstaigas ir draudimo įmones.</w:t>
      </w:r>
    </w:p>
    <w:p w14:paraId="71A835FA"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Vienetas, priklausanti kelioms vienetų grupėms, gali atskaityti tik tokią palūkanų sąnaudų, viršijančių palūkanų pajamas, sumą, kuri visose grupėse tenkina šio straipsnio 4 dalies nuostatas.</w:t>
      </w:r>
    </w:p>
    <w:p w14:paraId="5D2BAE9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 Pavyzdys</w:t>
      </w:r>
    </w:p>
    <w:p w14:paraId="6FD56038" w14:textId="77777777" w:rsidR="00DC637E" w:rsidRPr="004B2ACB" w:rsidRDefault="00DC637E" w:rsidP="00DC637E">
      <w:pPr>
        <w:pStyle w:val="tajtip"/>
        <w:spacing w:before="0" w:beforeAutospacing="0" w:after="0" w:afterAutospacing="0"/>
        <w:ind w:firstLine="720"/>
        <w:jc w:val="both"/>
        <w:rPr>
          <w:highlight w:val="lightGray"/>
        </w:rPr>
      </w:pPr>
    </w:p>
    <w:p w14:paraId="67D9393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t>UAB „D“ priklauso nesusijusioms Lietuvos vienetų grupėms: Nr. 1., Nr. 2 ir  Nr. 3</w:t>
      </w:r>
      <w:r w:rsidRPr="004B2ACB">
        <w:rPr>
          <w:highlight w:val="lightGray"/>
        </w:rPr>
        <w:t>.</w:t>
      </w:r>
    </w:p>
    <w:p w14:paraId="1375741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42208" behindDoc="0" locked="0" layoutInCell="1" allowOverlap="1" wp14:anchorId="31A69DB4" wp14:editId="5FFCDA0E">
                <wp:simplePos x="0" y="0"/>
                <wp:positionH relativeFrom="column">
                  <wp:posOffset>2215515</wp:posOffset>
                </wp:positionH>
                <wp:positionV relativeFrom="paragraph">
                  <wp:posOffset>80010</wp:posOffset>
                </wp:positionV>
                <wp:extent cx="2057400" cy="2581275"/>
                <wp:effectExtent l="0" t="0" r="19050" b="28575"/>
                <wp:wrapNone/>
                <wp:docPr id="97" name="Ovalas 97"/>
                <wp:cNvGraphicFramePr/>
                <a:graphic xmlns:a="http://schemas.openxmlformats.org/drawingml/2006/main">
                  <a:graphicData uri="http://schemas.microsoft.com/office/word/2010/wordprocessingShape">
                    <wps:wsp>
                      <wps:cNvSpPr/>
                      <wps:spPr>
                        <a:xfrm>
                          <a:off x="0" y="0"/>
                          <a:ext cx="2057400" cy="2581275"/>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2F9FCD" id="Ovalas 97" o:spid="_x0000_s1026" style="position:absolute;margin-left:174.45pt;margin-top:6.3pt;width:162pt;height:20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a4McgIAAN4EAAAOAAAAZHJzL2Uyb0RvYy54bWysVE1PGzEQvVfqf7B8L5tESQMrNigCUVVC&#10;BQkqzoPXm1jyV20nG/rr++xdIC09VeVgZjwfnvf2Tc4vDkazvQxROdvw6cmEM2mFa5XdNPz7w/Wn&#10;U85iItuSdlY2/FlGfrH6+OG897Wcua3TrQwMTWyse9/wbUq+rqoottJQPHFeWgQ7FwwluGFTtYF6&#10;dDe6mk0mn6vehdYHJ2SMuL0agnxV+nedFOm266JMTDccs6VyhnI+5bNanVO9CeS3Soxj0D9MYUhZ&#10;PPra6ooSsV1Q71oZJYKLrksnwpnKdZ0SsmAAmunkDzT3W/KyYAE50b/SFP9fW/FtfxeYaht+tuTM&#10;ksE3ut2TpshwAXZ6H2sk3fu7MHoRZoZ66ILJ/wGCHQqjz6+MykNiApezyWI5n4B4gdhscTqdLRe5&#10;a/VW7kNMX6QzLBsNl1orHzNqqml/E9OQ/ZKVr627VlrjnmptWQ/ZzZblDYKAOk0JzxkPSNFuOCO9&#10;gTJFCqVldFq1uTxXx+d4qQMD3IZDU63rHzA4Z0CfEACa8jcO/FtpnueK4nYobmHlLKqNStCzVqbh&#10;p8fF2uaoLIocQWVmBy6z9eTaZ3yJ4AaJRi+uFd64wSh3FKBJkIg9S7c4Ou2A2o0WZ1sXfv7tPudD&#10;Kohy1kPjYOTHjoIEwq8WIjqbzud5KYozXyxncMJx5Ok4Ynfm0oGpKTbai2Lm/KRfzC4484h1XOdX&#10;ESIr8PbA/ehcpmH3sNBCrtclDYvgKd3Yey9y88xTZvfh8EjBj6pI+C7f3Ms+vFPGkJsrrVvvkutU&#10;kc0br1BcdrBERXvjwuctPfZL1tvP0uoXAAAA//8DAFBLAwQUAAYACAAAACEAQOuXwuAAAAAKAQAA&#10;DwAAAGRycy9kb3ducmV2LnhtbEyPwU6DQBCG7ya+w2ZMvNkFbNcWWRpj4s3EWKtNb1sYgcjOIrtQ&#10;eHvHkx5n/i//fJNtJ9uKEXvfONIQLyIQSIUrG6o07N+ebtYgfDBUmtYRapjRwza/vMhMWrozveK4&#10;C5XgEvKp0VCH0KVS+qJGa/zCdUicfbremsBjX8myN2cut61MokhJaxriC7Xp8LHG4ms3WA1GzS9z&#10;MX2Pz2r1MRzfh+iAq73W11fTwz2IgFP4g+FXn9UhZ6eTG6j0otVwu1xvGOUgUSAYUHcJL04alvEm&#10;Bpln8v8L+Q8AAAD//wMAUEsBAi0AFAAGAAgAAAAhALaDOJL+AAAA4QEAABMAAAAAAAAAAAAAAAAA&#10;AAAAAFtDb250ZW50X1R5cGVzXS54bWxQSwECLQAUAAYACAAAACEAOP0h/9YAAACUAQAACwAAAAAA&#10;AAAAAAAAAAAvAQAAX3JlbHMvLnJlbHNQSwECLQAUAAYACAAAACEANzWuDHICAADeBAAADgAAAAAA&#10;AAAAAAAAAAAuAgAAZHJzL2Uyb0RvYy54bWxQSwECLQAUAAYACAAAACEAQOuXwuAAAAAKAQAADwAA&#10;AAAAAAAAAAAAAADMBAAAZHJzL2Rvd25yZXYueG1sUEsFBgAAAAAEAAQA8wAAANkFAAAAAA==&#10;" filled="f" strokecolor="windowText" strokeweight="1pt">
                <v:stroke dashstyle="dash" joinstyle="miter"/>
              </v:oval>
            </w:pict>
          </mc:Fallback>
        </mc:AlternateContent>
      </w:r>
      <w:r w:rsidRPr="004B2ACB">
        <w:rPr>
          <w:noProof/>
        </w:rPr>
        <mc:AlternateContent>
          <mc:Choice Requires="wps">
            <w:drawing>
              <wp:anchor distT="0" distB="0" distL="114300" distR="114300" simplePos="0" relativeHeight="251741184" behindDoc="0" locked="0" layoutInCell="1" allowOverlap="1" wp14:anchorId="024638DC" wp14:editId="5B00075E">
                <wp:simplePos x="0" y="0"/>
                <wp:positionH relativeFrom="column">
                  <wp:posOffset>129540</wp:posOffset>
                </wp:positionH>
                <wp:positionV relativeFrom="paragraph">
                  <wp:posOffset>156210</wp:posOffset>
                </wp:positionV>
                <wp:extent cx="2085975" cy="2505075"/>
                <wp:effectExtent l="0" t="0" r="28575" b="28575"/>
                <wp:wrapNone/>
                <wp:docPr id="98" name="Ovalas 98"/>
                <wp:cNvGraphicFramePr/>
                <a:graphic xmlns:a="http://schemas.openxmlformats.org/drawingml/2006/main">
                  <a:graphicData uri="http://schemas.microsoft.com/office/word/2010/wordprocessingShape">
                    <wps:wsp>
                      <wps:cNvSpPr/>
                      <wps:spPr>
                        <a:xfrm>
                          <a:off x="0" y="0"/>
                          <a:ext cx="2085975" cy="2505075"/>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B62208" id="Ovalas 98" o:spid="_x0000_s1026" style="position:absolute;margin-left:10.2pt;margin-top:12.3pt;width:164.25pt;height:19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L4hnAIAAJ8FAAAOAAAAZHJzL2Uyb0RvYy54bWysVMFu2zAMvQ/YPwi6r3aCZm2NOEXQosOA&#10;oi3WDj2rshQLkEVNUuJkXz9Ksp1uLXYYloMiiuQj+UxyebnvNNkJ5xWYms5OSkqE4dAos6np96eb&#10;T+eU+MBMwzQYUdOD8PRy9fHDsreVmEMLuhGOIIjxVW9r2oZgq6LwvBUd8ydghUGlBNexgKLbFI1j&#10;PaJ3upiX5eeiB9dYB1x4j6/XWUlXCV9KwcO9lF4EomuKuYV0unS+xLNYLVm1ccy2ig9psH/IomPK&#10;YNAJ6poFRrZOvYHqFHfgQYYTDl0BUiouUg1Yzaz8o5rHllmRakFyvJ1o8v8Plt/tHhxRTU0v8EsZ&#10;1uE3ut8xzTzBB2Snt75Co0f74AbJ4zWWupeui/9YBNknRg8To2IfCMfHeXm+uDhbUMJRN1+UixIF&#10;xCmO7tb58EVAR+KlpkJrZX2smlVsd+tDth6t4rOBG6U1vrNKm3h60KqJb0mIrSOutCNYRk3DfjYE&#10;/M0q4l0z32ajBm+DVUQsYtG5zHQLBy1ytG9CIlmxsJRgatNjLMa5MGGWVS1rREZflPgbkxizSxxo&#10;g4ARWWLyE/YAMFpmkBE70zHYR1eRunxyLv+WWHaePFJkMGFy7pQB9x6AxqqGyNl+JClTE1l6geaA&#10;reQgz5i3/EYhybfMhwfmcKhw/HBRhHs8pIa+pjDcKGnB/XzvPdpjr6OWkh6HtKb+x5Y5QYn+anAK&#10;Lmanp3Gqk3C6OJuj4F5rXl5rzLa7AmyJGa4ky9M12gc9XqWD7hn3yTpGRRUzHGPXlAc3ClchLw/c&#10;SFys18kMJ9mycGseLY/gkdXYXk/7Z+bs0NYBJ+IOxoF+09rZNnoaWG8DSJX6/sjrwDdugdQ4w8aK&#10;a+a1nKyOe3X1CwAA//8DAFBLAwQUAAYACAAAACEAj/eesuEAAAAJAQAADwAAAGRycy9kb3ducmV2&#10;LnhtbEyPzU7DMBCE70i8g7VI3KiTNipNiFMhRLkgDi2/x028xIHYjmK3DTw9ywlOo9WMZr4t15Pt&#10;xYHG0HmnIJ0lIMg1XneuVfD0uLlYgQgRncbeO1LwRQHW1elJiYX2R7elwy62gktcKFCBiXEopAyN&#10;IYth5gdy7L370WLkc2ylHvHI5baX8yRZSoud4wWDA90Yaj53e6vgcqgf7l7uzfPHbZ6bt3Tz+u1x&#10;odT52XR9BSLSFP/C8IvP6FAxU+33TgfRK5gnGSdZsyUI9hfZKgdRK8jSPAVZlfL/B9UPAAAA//8D&#10;AFBLAQItABQABgAIAAAAIQC2gziS/gAAAOEBAAATAAAAAAAAAAAAAAAAAAAAAABbQ29udGVudF9U&#10;eXBlc10ueG1sUEsBAi0AFAAGAAgAAAAhADj9If/WAAAAlAEAAAsAAAAAAAAAAAAAAAAALwEAAF9y&#10;ZWxzLy5yZWxzUEsBAi0AFAAGAAgAAAAhAD0gviGcAgAAnwUAAA4AAAAAAAAAAAAAAAAALgIAAGRy&#10;cy9lMm9Eb2MueG1sUEsBAi0AFAAGAAgAAAAhAI/3nrLhAAAACQEAAA8AAAAAAAAAAAAAAAAA9gQA&#10;AGRycy9kb3ducmV2LnhtbFBLBQYAAAAABAAEAPMAAAAEBgAAAAA=&#10;" filled="f" strokecolor="black [3213]" strokeweight="2pt">
                <v:stroke dashstyle="dash"/>
              </v:oval>
            </w:pict>
          </mc:Fallback>
        </mc:AlternateContent>
      </w:r>
      <w:r w:rsidRPr="004B2ACB">
        <w:rPr>
          <w:noProof/>
          <w:highlight w:val="lightGray"/>
        </w:rPr>
        <mc:AlternateContent>
          <mc:Choice Requires="wps">
            <w:drawing>
              <wp:anchor distT="0" distB="0" distL="114300" distR="114300" simplePos="0" relativeHeight="251743232" behindDoc="0" locked="0" layoutInCell="1" allowOverlap="1" wp14:anchorId="2B278AE0" wp14:editId="2707892B">
                <wp:simplePos x="0" y="0"/>
                <wp:positionH relativeFrom="column">
                  <wp:posOffset>4253865</wp:posOffset>
                </wp:positionH>
                <wp:positionV relativeFrom="paragraph">
                  <wp:posOffset>160020</wp:posOffset>
                </wp:positionV>
                <wp:extent cx="1914525" cy="2581275"/>
                <wp:effectExtent l="0" t="0" r="28575" b="28575"/>
                <wp:wrapNone/>
                <wp:docPr id="99" name="Ovalas 99"/>
                <wp:cNvGraphicFramePr/>
                <a:graphic xmlns:a="http://schemas.openxmlformats.org/drawingml/2006/main">
                  <a:graphicData uri="http://schemas.microsoft.com/office/word/2010/wordprocessingShape">
                    <wps:wsp>
                      <wps:cNvSpPr/>
                      <wps:spPr>
                        <a:xfrm>
                          <a:off x="0" y="0"/>
                          <a:ext cx="1914525" cy="2581275"/>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BF2AB" id="Ovalas 99" o:spid="_x0000_s1026" style="position:absolute;margin-left:334.95pt;margin-top:12.6pt;width:150.75pt;height:203.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2BnQIAAJ8FAAAOAAAAZHJzL2Uyb0RvYy54bWysVN9P2zAQfp+0/8Hy+0gT0QERKapATJMQ&#10;oMHEs3FsYsnxebbbtPvrd7aTlA20h2l9cH0//N3dl7s7v9j1mmyF8wpMQ8ujBSXCcGiVeWno98fr&#10;T6eU+MBMyzQY0dC98PRi9fHD+WBrUUEHuhWOIIjx9WAb2oVg66LwvBM980dghUGjBNezgKJ7KVrH&#10;BkTvdVEtFp+LAVxrHXDhPWqvspGuEr6Ugoc7Kb0IRDcUcwvpdOl8jmexOmf1i2O2U3xMg/1DFj1T&#10;BoPOUFcsMLJx6g1Ur7gDDzIccegLkFJxkWrAasrFH9U8dMyKVAuS4+1Mk/9/sPx2e++Iaht6dkaJ&#10;YT1+o7st08wTVCA7g/U1Oj3YezdKHq+x1J10ffzHIsguMbqfGRW7QDgqy7PyeFktKeFoq5anZXWy&#10;jKjF4bl1PnwR0JN4aajQWlkfq2Y12974kL0nr6g2cK20Rj2rtYmnB63aqEtCbB1xqR3BMhoaduUY&#10;8DeviHfFfJedWryNXhGxiEXnMtMt7LXI0b4JiWRhYVVKMLXpIRbjXJhQZlPHWpHRlwv8TUlM2SUO&#10;tEHAiCwx+Rl7BJg8M8iEnekY/eNTkbp8frz4W2L58fwiRQYT5se9MuDeA9BY1Rg5+08kZWoiS8/Q&#10;7rGVHOQZ85ZfKyT5hvlwzxwOFY4fLopwh4fUMDQUxhslHbif7+mjP/Y6WikZcEgb6n9smBOU6K8G&#10;pwC76zhOdRKOlycVCu615fm1xWz6S8CWKHElWZ6u0T/o6Sod9E+4T9YxKpqY4Ri7oTy4SbgMeXng&#10;RuJivU5uOMmWhRvzYHkEj6zG9nrcPTFnx7YOOBG3MA30m9bOvvGlgfUmgFSp7w+8jnzjFkiNM26s&#10;uGZey8nrsFdXvwAAAP//AwBQSwMEFAAGAAgAAAAhAFvDEJjhAAAACgEAAA8AAABkcnMvZG93bnJl&#10;di54bWxMj8tOwzAQRfdI/IM1SOyok7QkOGRSIUTZIBaU53ISmzgQ21HstoGvx6xgObpH956p1rMZ&#10;2F5NvncWIV0kwJRtnexth/D0uDm7AOYDWUmDswrhS3lY18dHFZXSHeyD2m9Dx2KJ9SUh6BDGknPf&#10;amXIL9yobMze3WQoxHPquJzoEMvNwLMkybmh3sYFTaO61qr93O4MQjE297cvd/r540YI/ZZuXr8d&#10;LRFPT+arS2BBzeEPhl/9qA51dGrczkrPBoQ8FyKiCNl5BiwCokhXwBqE1TItgNcV//9C/QMAAP//&#10;AwBQSwECLQAUAAYACAAAACEAtoM4kv4AAADhAQAAEwAAAAAAAAAAAAAAAAAAAAAAW0NvbnRlbnRf&#10;VHlwZXNdLnhtbFBLAQItABQABgAIAAAAIQA4/SH/1gAAAJQBAAALAAAAAAAAAAAAAAAAAC8BAABf&#10;cmVscy8ucmVsc1BLAQItABQABgAIAAAAIQCXvR2BnQIAAJ8FAAAOAAAAAAAAAAAAAAAAAC4CAABk&#10;cnMvZTJvRG9jLnhtbFBLAQItABQABgAIAAAAIQBbwxCY4QAAAAoBAAAPAAAAAAAAAAAAAAAAAPcE&#10;AABkcnMvZG93bnJldi54bWxQSwUGAAAAAAQABADzAAAABQYAAAAA&#10;" filled="f" strokecolor="black [3213]" strokeweight="2pt">
                <v:stroke dashstyle="dash"/>
              </v:oval>
            </w:pict>
          </mc:Fallback>
        </mc:AlternateContent>
      </w:r>
    </w:p>
    <w:p w14:paraId="1BF2454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14560" behindDoc="0" locked="0" layoutInCell="1" allowOverlap="1" wp14:anchorId="67260FA2" wp14:editId="3A32B1F6">
                <wp:simplePos x="0" y="0"/>
                <wp:positionH relativeFrom="column">
                  <wp:posOffset>4876800</wp:posOffset>
                </wp:positionH>
                <wp:positionV relativeFrom="paragraph">
                  <wp:posOffset>34925</wp:posOffset>
                </wp:positionV>
                <wp:extent cx="914400" cy="342900"/>
                <wp:effectExtent l="5080" t="12700" r="13970" b="6350"/>
                <wp:wrapNone/>
                <wp:docPr id="10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9F464EA" w14:textId="77777777" w:rsidR="007B24A1" w:rsidRPr="004B2ACB" w:rsidRDefault="007B24A1"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60FA2" id="Text Box 213" o:spid="_x0000_s1084" type="#_x0000_t202" style="position:absolute;left:0;text-align:left;margin-left:384pt;margin-top:2.75pt;width:1in;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yKwIAAFsEAAAOAAAAZHJzL2Uyb0RvYy54bWysVNuO2yAQfa/Uf0C8N3acpN1YcVbbbFNV&#10;2l6k3X4AxjhGBYYCiZ1+/Q44m01vL1X9gIAZzpw5M+PV9aAVOQjnJZiKTic5JcJwaKTZVfTrw/bV&#10;FSU+MNMwBUZU9Cg8vV6/fLHqbSkK6EA1whEEMb7sbUW7EGyZZZ53QjM/ASsMGltwmgU8ul3WONYj&#10;ulZZkeevsx5cYx1w4T3e3o5Guk74bSt4+Ny2XgSiKorcQlpdWuu4ZusVK3eO2U7yEw32Dyw0kwaD&#10;nqFuWWBk7+RvUFpyBx7aMOGgM2hbyUXKAbOZ5r9kc98xK1IuKI63Z5n8/4Plnw5fHJEN1i5HfQzT&#10;WKQHMQTyFgZSTGdRod76Eh3vLbqGAQ3onbL19g74N08MbDpmduLGOeg7wRpkOI0vs4unI46PIHX/&#10;ERoMxPYBEtDQOh3lQ0EIoiOT47k6kQzHy+V0Po8cOZpm82KJ+xiBlU+PrfPhvQBN4qaiDoufwNnh&#10;zofR9cklxvKgZLOVSqWD29Ub5ciBYaNs03dC/8lNGdIjk0WxGPP/K0Sevj9BaBmw45XUFb06O7Ey&#10;qvbONEiTlYFJNe4xO2VOMkblRg3DUA+pZrNljBA1rqE5orAOxg7HicRNB+4HJT12d0X99z1zghL1&#10;wWBxkpY4DukwX7wpUFd3aakvLcxwhKpooGTcbsI4Qnvr5K7DSGM7GLjBgrYyif3M6sQfOziV6zRt&#10;cUQuz8nr+Z+wfgQAAP//AwBQSwMEFAAGAAgAAAAhAEfAPyreAAAACAEAAA8AAABkcnMvZG93bnJl&#10;di54bWxMj8FOwzAQRO9I/IO1SFwQdVpImoQ4FUICwQ0Kgqsbb5OIeB1sNw1/z3KC49OsZt9Um9kO&#10;YkIfekcKlosEBFLjTE+tgrfX+8scRIiajB4coYJvDLCpT08qXRp3pBectrEVXEKh1Aq6GMdSytB0&#10;aHVYuBGJs73zVkdG30rj9ZHL7SBXSZJJq3viD50e8a7D5nN7sAry68fpIzxdPb832X4o4sV6evjy&#10;Sp2fzbc3ICLO8e8YfvVZHWp22rkDmSAGBess5y1RQZqC4LxYrph3zEUKsq7k/wH1DwAAAP//AwBQ&#10;SwECLQAUAAYACAAAACEAtoM4kv4AAADhAQAAEwAAAAAAAAAAAAAAAAAAAAAAW0NvbnRlbnRfVHlw&#10;ZXNdLnhtbFBLAQItABQABgAIAAAAIQA4/SH/1gAAAJQBAAALAAAAAAAAAAAAAAAAAC8BAABfcmVs&#10;cy8ucmVsc1BLAQItABQABgAIAAAAIQCvlvUyKwIAAFsEAAAOAAAAAAAAAAAAAAAAAC4CAABkcnMv&#10;ZTJvRG9jLnhtbFBLAQItABQABgAIAAAAIQBHwD8q3gAAAAgBAAAPAAAAAAAAAAAAAAAAAIUEAABk&#10;cnMvZG93bnJldi54bWxQSwUGAAAAAAQABADzAAAAkAUAAAAA&#10;">
                <v:textbox>
                  <w:txbxContent>
                    <w:p w14:paraId="39F464EA" w14:textId="77777777" w:rsidR="007B24A1" w:rsidRPr="004B2ACB" w:rsidRDefault="007B24A1" w:rsidP="00DC637E">
                      <w:r w:rsidRPr="004B2ACB">
                        <w:t>Vienetas</w:t>
                      </w:r>
                    </w:p>
                  </w:txbxContent>
                </v:textbox>
              </v:shape>
            </w:pict>
          </mc:Fallback>
        </mc:AlternateContent>
      </w:r>
      <w:r w:rsidRPr="004B2ACB">
        <w:rPr>
          <w:noProof/>
          <w:highlight w:val="lightGray"/>
        </w:rPr>
        <mc:AlternateContent>
          <mc:Choice Requires="wps">
            <w:drawing>
              <wp:anchor distT="0" distB="0" distL="114300" distR="114300" simplePos="0" relativeHeight="251710464" behindDoc="0" locked="0" layoutInCell="1" allowOverlap="1" wp14:anchorId="45E20ABA" wp14:editId="0BC24BAE">
                <wp:simplePos x="0" y="0"/>
                <wp:positionH relativeFrom="column">
                  <wp:posOffset>2543175</wp:posOffset>
                </wp:positionH>
                <wp:positionV relativeFrom="paragraph">
                  <wp:posOffset>63500</wp:posOffset>
                </wp:positionV>
                <wp:extent cx="914400" cy="342900"/>
                <wp:effectExtent l="5080" t="12700" r="13970" b="6350"/>
                <wp:wrapNone/>
                <wp:docPr id="10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23ABB522" w14:textId="77777777" w:rsidR="007B24A1" w:rsidRPr="004B2ACB" w:rsidRDefault="007B24A1" w:rsidP="00DC637E">
                            <w:r w:rsidRPr="004B2ACB">
                              <w:rPr>
                                <w:bCs/>
                              </w:rPr>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20ABA" id="_x0000_s1085" type="#_x0000_t202" style="position:absolute;left:0;text-align:left;margin-left:200.25pt;margin-top:5pt;width:1in;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D7KwIAAFsEAAAOAAAAZHJzL2Uyb0RvYy54bWysVNtu2zAMfR+wfxD0vthxk6014hRdugwD&#10;ugvQ7gNkWbaFSaImKbGzry8lp2l2exnmB4EUqUPykPTqetSK7IXzEkxF57OcEmE4NNJ0Ff36sH11&#10;SYkPzDRMgREVPQhPr9cvX6wGW4oCelCNcARBjC8HW9E+BFtmmee90MzPwAqDxhacZgFV12WNYwOi&#10;a5UVef46G8A11gEX3uPt7WSk64TftoKHz23rRSCqophbSKdLZx3PbL1iZeeY7SU/psH+IQvNpMGg&#10;J6hbFhjZOfkblJbcgYc2zDjoDNpWcpFqwGrm+S/V3PfMilQLkuPtiSb//2D5p/0XR2SDvcvnlBim&#10;sUkPYgzkLYykmF9EhgbrS3S8t+gaRjSgd6rW2zvg3zwxsOmZ6cSNczD0gjWY4Ty+zM6eTjg+gtTD&#10;R2gwENsFSEBj63SkDwkhiI6dOpy6E5PheHk1XyxytHA0XSyKK5RjBFY+PbbOh/cCNIlCRR02P4Gz&#10;/Z0Pk+uTS4zlQclmK5VKiuvqjXJkz3BQtuk7ov/kpgwZMJNlsZzq/ytEnr4/QWgZcOKV1BW9PDmx&#10;MrL2zjSYJisDk2qSsTpljjRG5iYOw1iPqWeLREHkuIbmgMQ6mCYcNxKFHtwPSgac7or67zvmBCXq&#10;g8HmJC5xHZKyWL4pkFd3bqnPLcxwhKpooGQSN2FaoZ11susx0jQOBm6woa1MZD9ndcwfJzi167ht&#10;cUXO9eT1/E9YPwIAAP//AwBQSwMEFAAGAAgAAAAhAEY9VxjeAAAACQEAAA8AAABkcnMvZG93bnJl&#10;di54bWxMj8FOwzAQRO9I/IO1SFxQawNuKCFOhZBA9AYtgqsbu0mEvQ62m4a/ZznBcWeeZmeq1eQd&#10;G21MfUAFl3MBzGITTI+tgrft42wJLGWNRruAVsG3TbCqT08qXZpwxFc7bnLLKARTqRV0OQ8l56np&#10;rNdpHgaL5O1D9DrTGVtuoj5SuHf8SoiCe90jfej0YB8623xuDl7BUj6PH2l9/fLeFHt3my9uxqev&#10;qNT52XR/ByzbKf/B8FufqkNNnXbhgCYxp0AKsSCUDEGbCFhIScJOQSEF8Lri/xfUPwAAAP//AwBQ&#10;SwECLQAUAAYACAAAACEAtoM4kv4AAADhAQAAEwAAAAAAAAAAAAAAAAAAAAAAW0NvbnRlbnRfVHlw&#10;ZXNdLnhtbFBLAQItABQABgAIAAAAIQA4/SH/1gAAAJQBAAALAAAAAAAAAAAAAAAAAC8BAABfcmVs&#10;cy8ucmVsc1BLAQItABQABgAIAAAAIQC9ZkD7KwIAAFsEAAAOAAAAAAAAAAAAAAAAAC4CAABkcnMv&#10;ZTJvRG9jLnhtbFBLAQItABQABgAIAAAAIQBGPVcY3gAAAAkBAAAPAAAAAAAAAAAAAAAAAIUEAABk&#10;cnMvZG93bnJldi54bWxQSwUGAAAAAAQABADzAAAAkAUAAAAA&#10;">
                <v:textbox>
                  <w:txbxContent>
                    <w:p w14:paraId="23ABB522" w14:textId="77777777" w:rsidR="007B24A1" w:rsidRPr="004B2ACB" w:rsidRDefault="007B24A1" w:rsidP="00DC637E">
                      <w:r w:rsidRPr="004B2ACB">
                        <w:rPr>
                          <w:bCs/>
                        </w:rPr>
                        <w:t>Vienetas</w:t>
                      </w:r>
                    </w:p>
                  </w:txbxContent>
                </v:textbox>
              </v:shape>
            </w:pict>
          </mc:Fallback>
        </mc:AlternateContent>
      </w:r>
      <w:r w:rsidRPr="004B2ACB">
        <w:rPr>
          <w:noProof/>
          <w:highlight w:val="lightGray"/>
        </w:rPr>
        <mc:AlternateContent>
          <mc:Choice Requires="wps">
            <w:drawing>
              <wp:anchor distT="0" distB="0" distL="114300" distR="114300" simplePos="0" relativeHeight="251707392" behindDoc="0" locked="0" layoutInCell="1" allowOverlap="1" wp14:anchorId="37DDF7FA" wp14:editId="597EFA46">
                <wp:simplePos x="0" y="0"/>
                <wp:positionH relativeFrom="column">
                  <wp:posOffset>548640</wp:posOffset>
                </wp:positionH>
                <wp:positionV relativeFrom="paragraph">
                  <wp:posOffset>70485</wp:posOffset>
                </wp:positionV>
                <wp:extent cx="723900" cy="342900"/>
                <wp:effectExtent l="0" t="0" r="19050" b="19050"/>
                <wp:wrapNone/>
                <wp:docPr id="10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solidFill>
                          <a:srgbClr val="FFFFFF"/>
                        </a:solidFill>
                        <a:ln w="9525">
                          <a:solidFill>
                            <a:srgbClr val="000000"/>
                          </a:solidFill>
                          <a:miter lim="800000"/>
                          <a:headEnd/>
                          <a:tailEnd/>
                        </a:ln>
                      </wps:spPr>
                      <wps:txbx>
                        <w:txbxContent>
                          <w:p w14:paraId="6B33B944" w14:textId="77777777" w:rsidR="007B24A1" w:rsidRPr="001924B0" w:rsidRDefault="007B24A1" w:rsidP="00DC637E">
                            <w:r w:rsidRPr="004B2ACB">
                              <w:rPr>
                                <w:bCs/>
                              </w:rPr>
                              <w:t>Vienetas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DF7FA" id="_x0000_s1086" type="#_x0000_t202" style="position:absolute;left:0;text-align:left;margin-left:43.2pt;margin-top:5.55pt;width:57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wPLAIAAFsEAAAOAAAAZHJzL2Uyb0RvYy54bWysVNtu2zAMfR+wfxD0vthxkr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Ib7F1eUGKY&#10;xiY9iiGQNzCQYjqLDPXWl+j4YNE1DGhA71Stt/fAv3piYNMxsxO3zkHfCdZghtP4Mrt4OuL4CFL3&#10;H6DBQGwfIAENrdORPiSEIDp26njuTkyG4+VVMVvmaOFoms2LKMcIrHx6bJ0P7wRoEoWKOmx+AmeH&#10;ex9G1yeXGMuDks1WKpUUt6s3ypEDw0HZpu+E/pObMqSv6HJRLMb6/wqRp+9PEFoGnHgldUWvz06s&#10;jKy9NQ2mycrApBplrE6ZE42RuZHDMNRD6tk8kRw5rqE5IrEOxgnHjUShA/edkh6nu6L+2545QYl6&#10;b7A5y+l8HtchKfPFVYGKu7TUlxZmOEJVNFAyipswrtDeOrnrMNI4DgZusaGtTGQ/Z3XKHyc4teu0&#10;bXFFLvXk9fxPWP8AAAD//wMAUEsDBBQABgAIAAAAIQCVGMGf3AAAAAgBAAAPAAAAZHJzL2Rvd25y&#10;ZXYueG1sTI/BTsMwEETvSPyDtUhcUOsESighToWQQPQGLYKrG2+TCHsdbDcNf89yguPOjGbeVqvJ&#10;WTFiiL0nBfk8A4HUeNNTq+Bt+zhbgohJk9HWEyr4xgir+vSk0qXxR3rFcZNawSUUS62gS2kopYxN&#10;h07HuR+Q2Nv74HTiM7TSBH3kcmflZZYV0umeeKHTAz502HxuDk7BcvE8fsT11ct7U+ztbbq4GZ++&#10;glLnZ9P9HYiEU/oLwy8+o0PNTDt/IBOF5Y5iwUnW8xwE+7zGwk5BcZ2DrCv5/4H6BwAA//8DAFBL&#10;AQItABQABgAIAAAAIQC2gziS/gAAAOEBAAATAAAAAAAAAAAAAAAAAAAAAABbQ29udGVudF9UeXBl&#10;c10ueG1sUEsBAi0AFAAGAAgAAAAhADj9If/WAAAAlAEAAAsAAAAAAAAAAAAAAAAALwEAAF9yZWxz&#10;Ly5yZWxzUEsBAi0AFAAGAAgAAAAhAPVszA8sAgAAWwQAAA4AAAAAAAAAAAAAAAAALgIAAGRycy9l&#10;Mm9Eb2MueG1sUEsBAi0AFAAGAAgAAAAhAJUYwZ/cAAAACAEAAA8AAAAAAAAAAAAAAAAAhgQAAGRy&#10;cy9kb3ducmV2LnhtbFBLBQYAAAAABAAEAPMAAACPBQAAAAA=&#10;">
                <v:textbox>
                  <w:txbxContent>
                    <w:p w14:paraId="6B33B944" w14:textId="77777777" w:rsidR="007B24A1" w:rsidRPr="001924B0" w:rsidRDefault="007B24A1" w:rsidP="00DC637E">
                      <w:r w:rsidRPr="004B2ACB">
                        <w:rPr>
                          <w:bCs/>
                        </w:rPr>
                        <w:t>Vienetas</w:t>
                      </w:r>
                      <w:r>
                        <w:t xml:space="preserve"> </w:t>
                      </w:r>
                    </w:p>
                  </w:txbxContent>
                </v:textbox>
              </v:shape>
            </w:pict>
          </mc:Fallback>
        </mc:AlternateContent>
      </w:r>
    </w:p>
    <w:p w14:paraId="3859A3B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47328" behindDoc="0" locked="0" layoutInCell="1" allowOverlap="1" wp14:anchorId="77544211" wp14:editId="767782EE">
                <wp:simplePos x="0" y="0"/>
                <wp:positionH relativeFrom="column">
                  <wp:posOffset>1996440</wp:posOffset>
                </wp:positionH>
                <wp:positionV relativeFrom="paragraph">
                  <wp:posOffset>167640</wp:posOffset>
                </wp:positionV>
                <wp:extent cx="552450" cy="281305"/>
                <wp:effectExtent l="0" t="0" r="0" b="4445"/>
                <wp:wrapSquare wrapText="bothSides"/>
                <wp:docPr id="12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81305"/>
                        </a:xfrm>
                        <a:prstGeom prst="rect">
                          <a:avLst/>
                        </a:prstGeom>
                        <a:solidFill>
                          <a:srgbClr val="FFFFFF"/>
                        </a:solidFill>
                        <a:ln w="9525">
                          <a:noFill/>
                          <a:miter lim="800000"/>
                          <a:headEnd/>
                          <a:tailEnd/>
                        </a:ln>
                      </wps:spPr>
                      <wps:txbx>
                        <w:txbxContent>
                          <w:p w14:paraId="41DCB5D8" w14:textId="77777777" w:rsidR="007B24A1" w:rsidRPr="008262D0" w:rsidRDefault="007B24A1" w:rsidP="00DC637E">
                            <w:pPr>
                              <w:rPr>
                                <w:sz w:val="20"/>
                              </w:rPr>
                            </w:pPr>
                            <w:r>
                              <w:rPr>
                                <w:iCs/>
                                <w:sz w:val="20"/>
                              </w:rPr>
                              <w:t xml:space="preserve">100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4211" id="_x0000_s1087" type="#_x0000_t202" style="position:absolute;left:0;text-align:left;margin-left:157.2pt;margin-top:13.2pt;width:43.5pt;height:22.1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2AJwIAACkEAAAOAAAAZHJzL2Uyb0RvYy54bWysU9uO0zAQfUfiHyy/06ShgW7UdLV0KUJa&#10;LtLCB0wcp7HqeILtNilfz9jpdgu8IfJgzWRmjs+cGa9ux06zo7ROoSn5fJZyJo3AWpldyb9/275a&#10;cuY8mBo0Glnyk3T8dv3yxWroC5lhi7qWlhGIccXQl7z1vi+SxIlWduBm2EtDwQZtB55cu0tqCwOh&#10;dzrJ0vRNMqCte4tCOkd/76cgX0f8ppHCf2kaJz3TJSduPp42nlU4k/UKip2FvlXiTAP+gUUHytCl&#10;F6h78MAOVv0F1Slh0WHjZwK7BJtGCRl7oG7m6R/dPLbQy9gLieP6i0zu/8GKz8evlqmaZpctODPQ&#10;0ZAy5uXeeWQaDntwQaShdwXlPvaU7cd3OFJBbNj1Dyj2jhnctGB28s5aHFoJNZGch8rkqnTCcQGk&#10;Gj5hTXfBwWMEGhvbBQVJE0boNKzTZUBy9EzQzzzPFjlFBIWy5fx1mscboHgq7q3zHyR2LBgltzT/&#10;CA7HB+cDGSieUsJdDrWqt0rr6NhdtdGWHYF2ZRu/M/pvadqwoeQ3eZZHZIOhPq5RpzztslZdyZdp&#10;+EI5FEGM96aOtgelJ5uYaHNWJwgySePHaozTWGShOEhXYX0ivSxOu0tvjYwW7U/OBtrbkrsfB7CS&#10;M/3RkOY388UiLHp0FvnbjBx7HamuI2AEQZXcczaZGx8fR+Bt8I5m06io2zOTM2faxyjn+e2Ehb/2&#10;Y9bzC1//AgAA//8DAFBLAwQUAAYACAAAACEArDxlqN0AAAAJAQAADwAAAGRycy9kb3ducmV2Lnht&#10;bEyPwU7DMAyG70i8Q2QkLoglHaWF0nQCJNCuG3sAt8naisapmmzt3h5zgpNt+dPvz+VmcYM42yn0&#10;njQkKwXCUuNNT62Gw9fH/ROIEJEMDp6shosNsKmur0osjJ9pZ8/72AoOoVCghi7GsZAyNJ11GFZ+&#10;tMS7o58cRh6nVpoJZw53g1wrlUmHPfGFDkf73tnme39yGo7b+e7xea4/4yHfpdkb9nntL1rf3iyv&#10;LyCiXeIfDL/6rA4VO9X+RCaIQcNDkqaMalhnXBlIVcJNrSFXOciqlP8/qH4AAAD//wMAUEsBAi0A&#10;FAAGAAgAAAAhALaDOJL+AAAA4QEAABMAAAAAAAAAAAAAAAAAAAAAAFtDb250ZW50X1R5cGVzXS54&#10;bWxQSwECLQAUAAYACAAAACEAOP0h/9YAAACUAQAACwAAAAAAAAAAAAAAAAAvAQAAX3JlbHMvLnJl&#10;bHNQSwECLQAUAAYACAAAACEAFgItgCcCAAApBAAADgAAAAAAAAAAAAAAAAAuAgAAZHJzL2Uyb0Rv&#10;Yy54bWxQSwECLQAUAAYACAAAACEArDxlqN0AAAAJAQAADwAAAAAAAAAAAAAAAACBBAAAZHJzL2Rv&#10;d25yZXYueG1sUEsFBgAAAAAEAAQA8wAAAIsFAAAAAA==&#10;" stroked="f">
                <v:textbox>
                  <w:txbxContent>
                    <w:p w14:paraId="41DCB5D8" w14:textId="77777777" w:rsidR="007B24A1" w:rsidRPr="008262D0" w:rsidRDefault="007B24A1" w:rsidP="00DC637E">
                      <w:pPr>
                        <w:rPr>
                          <w:sz w:val="20"/>
                        </w:rPr>
                      </w:pPr>
                      <w:r>
                        <w:rPr>
                          <w:iCs/>
                          <w:sz w:val="20"/>
                        </w:rPr>
                        <w:t xml:space="preserve">100 </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11488" behindDoc="0" locked="0" layoutInCell="1" allowOverlap="1" wp14:anchorId="61E6CEEF" wp14:editId="6E9D8502">
                <wp:simplePos x="0" y="0"/>
                <wp:positionH relativeFrom="column">
                  <wp:posOffset>2809875</wp:posOffset>
                </wp:positionH>
                <wp:positionV relativeFrom="paragraph">
                  <wp:posOffset>120650</wp:posOffset>
                </wp:positionV>
                <wp:extent cx="914400" cy="342900"/>
                <wp:effectExtent l="5080" t="12700" r="13970" b="6350"/>
                <wp:wrapNone/>
                <wp:docPr id="37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414799E" w14:textId="77777777" w:rsidR="007B24A1" w:rsidRPr="004B2ACB" w:rsidRDefault="007B24A1"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6CEEF" id="_x0000_s1088" type="#_x0000_t202" style="position:absolute;left:0;text-align:left;margin-left:221.25pt;margin-top:9.5pt;width:1in;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VPLAIAAFsEAAAOAAAAZHJzL2Uyb0RvYy54bWysVNuO2yAQfa/Uf0C8N3acZC9WnNU221SV&#10;thdptx+AMbZRgaFAYm+/vgPOpuntpaofEDDDmZlzZry+GbUiB+G8BFPR+SynRBgOjTRdRT8/7l5d&#10;UeIDMw1TYERFn4SnN5uXL9aDLUUBPahGOIIgxpeDrWgfgi2zzPNeaOZnYIVBYwtOs4BH12WNYwOi&#10;a5UVeX6RDeAa64AL7/H2bjLSTcJvW8HDx7b1IhBVUcwtpNWltY5rtlmzsnPM9pIf02D/kIVm0mDQ&#10;E9QdC4zsnfwNSkvuwEMbZhx0Bm0ruUg1YDXz/JdqHnpmRaoFyfH2RJP/f7D8w+GTI7Kp6OLyghLD&#10;NIr0KMZAXsNIivkiMjRYX6Ljg0XXMKIBlU7VensP/IsnBrY9M524dQ6GXrAGM5zHl9nZ0wnHR5B6&#10;eA8NBmL7AAlobJ2O9CEhBNFRqaeTOjEZjpfX8+UyRwtH02JZXOM+RmDl82PrfHgrQJO4qahD8RM4&#10;O9z7MLk+u8RYHpRsdlKpdHBdvVWOHBg2yi59R/Sf3JQhA2ayKlZT/X+FyNP3JwgtA3a8krqiVycn&#10;VkbW3pgG02RlYFJNe6xOmSONkbmJwzDWY9JseZKnhuYJiXUwdThOJG56cN8oGbC7K+q/7pkTlKh3&#10;BsVJXOI4pMNydVkgr+7cUp9bmOEIVdFAybTdhmmE9tbJrsdIUzsYuEVBW5nIjspPWR3zxw5Och2n&#10;LY7I+Tl5/fgnbL4DAAD//wMAUEsDBBQABgAIAAAAIQC3wUx43wAAAAkBAAAPAAAAZHJzL2Rvd25y&#10;ZXYueG1sTI/BTsMwEETvSPyDtUhcEHVo0zQNcSqEBKI3KAiubrxNIuJ1sN00/D3LCY478zQ7U24m&#10;24sRfegcKbiZJSCQamc6ahS8vT5c5yBC1GR07wgVfGOATXV+VurCuBO94LiLjeAQCoVW0MY4FFKG&#10;ukWrw8wNSOwdnLc68ukbabw+cbjt5TxJMml1R/yh1QPet1h/7o5WQZ4+jR9hu3h+r7NDv45Xq/Hx&#10;yyt1eTHd3YKIOMU/GH7rc3WouNPeHckE0StI0/mSUTbWvImBZZ6xsFewWiQgq1L+X1D9AAAA//8D&#10;AFBLAQItABQABgAIAAAAIQC2gziS/gAAAOEBAAATAAAAAAAAAAAAAAAAAAAAAABbQ29udGVudF9U&#10;eXBlc10ueG1sUEsBAi0AFAAGAAgAAAAhADj9If/WAAAAlAEAAAsAAAAAAAAAAAAAAAAALwEAAF9y&#10;ZWxzLy5yZWxzUEsBAi0AFAAGAAgAAAAhAEYH1U8sAgAAWwQAAA4AAAAAAAAAAAAAAAAALgIAAGRy&#10;cy9lMm9Eb2MueG1sUEsBAi0AFAAGAAgAAAAhALfBTHjfAAAACQEAAA8AAAAAAAAAAAAAAAAAhgQA&#10;AGRycy9kb3ducmV2LnhtbFBLBQYAAAAABAAEAPMAAACSBQAAAAA=&#10;">
                <v:textbox>
                  <w:txbxContent>
                    <w:p w14:paraId="6414799E" w14:textId="77777777" w:rsidR="007B24A1" w:rsidRPr="004B2ACB" w:rsidRDefault="007B24A1" w:rsidP="00DC637E">
                      <w:r w:rsidRPr="004B2ACB">
                        <w:t>Vienetas</w:t>
                      </w:r>
                    </w:p>
                  </w:txbxContent>
                </v:textbox>
              </v:shape>
            </w:pict>
          </mc:Fallback>
        </mc:AlternateContent>
      </w:r>
      <w:r w:rsidRPr="004B2ACB">
        <w:rPr>
          <w:noProof/>
          <w:highlight w:val="lightGray"/>
        </w:rPr>
        <mc:AlternateContent>
          <mc:Choice Requires="wps">
            <w:drawing>
              <wp:anchor distT="0" distB="0" distL="114300" distR="114300" simplePos="0" relativeHeight="251708416" behindDoc="0" locked="0" layoutInCell="1" allowOverlap="1" wp14:anchorId="2C0483EE" wp14:editId="44461202">
                <wp:simplePos x="0" y="0"/>
                <wp:positionH relativeFrom="column">
                  <wp:posOffset>914400</wp:posOffset>
                </wp:positionH>
                <wp:positionV relativeFrom="paragraph">
                  <wp:posOffset>97790</wp:posOffset>
                </wp:positionV>
                <wp:extent cx="914400" cy="342900"/>
                <wp:effectExtent l="5080" t="12700" r="13970" b="6350"/>
                <wp:wrapNone/>
                <wp:docPr id="37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0D1E806" w14:textId="77777777" w:rsidR="007B24A1" w:rsidRPr="004B2ACB" w:rsidRDefault="007B24A1" w:rsidP="00DC637E">
                            <w:r w:rsidRPr="004B2ACB">
                              <w:rPr>
                                <w:bCs/>
                              </w:rPr>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483EE" id="_x0000_s1089" type="#_x0000_t202" style="position:absolute;left:0;text-align:left;margin-left:1in;margin-top:7.7pt;width:1in;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bELQIAAFsEAAAOAAAAZHJzL2Uyb0RvYy54bWysVNtu2zAMfR+wfxD0vthxnKU14hRdugwD&#10;ugvQ7gNkWbaFyaImKbGzrx8lp2l2exnmB4EUqUPykPT6ZuwVOQjrJOiSzmcpJUJzqKVuS/rlcffq&#10;ihLnma6ZAi1KehSO3mxevlgPphAZdKBqYQmCaFcMpqSd96ZIEsc70TM3AyM0GhuwPfOo2japLRsQ&#10;vVdJlqavkwFsbSxw4Rze3k1Guon4TSO4/9Q0TniiSoq5+XjaeFbhTDZrVrSWmU7yUxrsH7LomdQY&#10;9Ax1xzwjeyt/g+olt+Cg8TMOfQJNI7mINWA18/SXah46ZkSsBclx5kyT+3+w/OPhsyWyLulitaJE&#10;sx6b9ChGT97ASLL5IjA0GFeg44NBVz+iATsdq3XmHvhXRzRsO6ZbcWstDJ1gNWY4Dy+Ti6cTjgsg&#10;1fABagzE9h4i0NjYPtCHhBBEx04dz90JyXC8vJ7neYoWjqZFnl2jHCKw4umxsc6/E9CTIJTUYvMj&#10;ODvcOz+5PrmEWA6UrHdSqajYttoqSw4MB2UXvxP6T25KkwEzWWbLqf6/QqTx+xNELz1OvJJ9Sa/O&#10;TqwIrL3VNabJCs+kmmSsTukTjYG5iUM/VmPsWZ6HCIHjCuojEmthmnDcSBQ6sN8pGXC6S+q+7ZkV&#10;lKj3GpsTucR1iEq+XGXIq720VJcWpjlCldRTMolbP63Q3ljZdhhpGgcNt9jQRkayn7M65Y8THNt1&#10;2rawIpd69Hr+J2x+AAAA//8DAFBLAwQUAAYACAAAACEASXdAi94AAAAJAQAADwAAAGRycy9kb3du&#10;cmV2LnhtbEyPQU/DMAyF70j8h8hIXBBLGaF0pemEkEBwg4HgmjVeW9E4Jcm68u8xJ7j52U/P36vW&#10;sxvEhCH2njRcLDIQSI23PbUa3l7vzwsQMRmyZvCEGr4xwro+PqpMaf2BXnDapFZwCMXSaOhSGksp&#10;Y9OhM3HhRyS+7XxwJrEMrbTBHDjcDXKZZbl0pif+0JkR7zpsPjd7p6FQj9NHfLp8fm/y3bBKZ9fT&#10;w1fQ+vRkvr0BkXBOf2b4xWd0qJlp6/dkoxhYK8VdEg9XCgQblkXBi62GfKVA1pX836D+AQAA//8D&#10;AFBLAQItABQABgAIAAAAIQC2gziS/gAAAOEBAAATAAAAAAAAAAAAAAAAAAAAAABbQ29udGVudF9U&#10;eXBlc10ueG1sUEsBAi0AFAAGAAgAAAAhADj9If/WAAAAlAEAAAsAAAAAAAAAAAAAAAAALwEAAF9y&#10;ZWxzLy5yZWxzUEsBAi0AFAAGAAgAAAAhAOKdlsQtAgAAWwQAAA4AAAAAAAAAAAAAAAAALgIAAGRy&#10;cy9lMm9Eb2MueG1sUEsBAi0AFAAGAAgAAAAhAEl3QIveAAAACQEAAA8AAAAAAAAAAAAAAAAAhwQA&#10;AGRycy9kb3ducmV2LnhtbFBLBQYAAAAABAAEAPMAAACSBQAAAAA=&#10;">
                <v:textbox>
                  <w:txbxContent>
                    <w:p w14:paraId="60D1E806" w14:textId="77777777" w:rsidR="007B24A1" w:rsidRPr="004B2ACB" w:rsidRDefault="007B24A1" w:rsidP="00DC637E">
                      <w:r w:rsidRPr="004B2ACB">
                        <w:rPr>
                          <w:bCs/>
                        </w:rPr>
                        <w:t>Vienetas</w:t>
                      </w:r>
                    </w:p>
                  </w:txbxContent>
                </v:textbox>
              </v:shape>
            </w:pict>
          </mc:Fallback>
        </mc:AlternateContent>
      </w:r>
    </w:p>
    <w:p w14:paraId="61EA904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9136" behindDoc="0" locked="0" layoutInCell="1" allowOverlap="1" wp14:anchorId="4F2DBAAE" wp14:editId="285F8AE4">
                <wp:simplePos x="0" y="0"/>
                <wp:positionH relativeFrom="column">
                  <wp:posOffset>4549140</wp:posOffset>
                </wp:positionH>
                <wp:positionV relativeFrom="paragraph">
                  <wp:posOffset>110490</wp:posOffset>
                </wp:positionV>
                <wp:extent cx="542925" cy="281305"/>
                <wp:effectExtent l="0" t="0" r="9525" b="4445"/>
                <wp:wrapSquare wrapText="bothSides"/>
                <wp:docPr id="37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0E7866E5" w14:textId="77777777" w:rsidR="007B24A1" w:rsidRPr="008262D0" w:rsidRDefault="007B24A1" w:rsidP="00DC637E">
                            <w:pPr>
                              <w:rPr>
                                <w:sz w:val="20"/>
                              </w:rPr>
                            </w:pPr>
                            <w:r>
                              <w:rPr>
                                <w:iCs/>
                                <w:sz w:val="20"/>
                              </w:rPr>
                              <w:t>35</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DBAAE" id="_x0000_s1090" type="#_x0000_t202" style="position:absolute;left:0;text-align:left;margin-left:358.2pt;margin-top:8.7pt;width:42.75pt;height:22.1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dkKAIAACkEAAAOAAAAZHJzL2Uyb0RvYy54bWysU9tu2zAMfR+wfxD0vthxkzUx4hRdugwD&#10;ugvQ7QNoWY6FyKInKbGzrx8lp2m2vQ3zg0Ca5NHhIbW6G1rNjtI6habg00nKmTQCK2V2Bf/+bftm&#10;wZnzYCrQaGTBT9Lxu/XrV6u+y2WGDepKWkYgxuV9V/DG+y5PEica2YKbYCcNBWu0LXhy7S6pLPSE&#10;3uokS9O3SY+26iwK6Rz9fRiDfB3x61oK/6WunfRMF5y4+XjaeJbhTNYryHcWukaJMw34BxYtKEOX&#10;XqAewAM7WPUXVKuERYe1nwhsE6xrJWTsgbqZpn9089RAJ2MvJI7rLjK5/wcrPh+/Wqaqgt/c0qgM&#10;tDSkjHm5dx6ZhsMeXBCp71xOuU8dZfvhHQ407Niw6x5R7B0zuGnA7OS9tdg3EioiOQ2VyVXpiOMC&#10;SNl/worugoPHCDTUtg0KkiaM0GlYp8uA5OCZoJ/zWbbM5pwJCmWL6U06jzdA/lzcWec/SGxZMApu&#10;af4RHI6PzgcykD+nhLscalVtldbRsbtyoy07Au3KNn5n9N/StGF9wZdz4hGqDIb6uEat8rTLWrUF&#10;X6ThC+WQBzHemyraHpQebWKizVmdIMgojR/KIU5jFjsL0pVYnUgvi+Pu0lsjo0H7k7Oe9rbg7scB&#10;rORMfzSk+XI6m4VFj85sfpuRY68j5XUEjCCognvORnPj4+MYO7un2dQq6vbC5MyZ9jHKeX47YeGv&#10;/Zj18sLXvwAAAP//AwBQSwMEFAAGAAgAAAAhAK/asnneAAAACQEAAA8AAABkcnMvZG93bnJldi54&#10;bWxMj8tOwzAQRfdI/IM1ldgg6gSVuA1xKkACse3jA5x4mkSNx1HsNunfM6xgNRrdoztniu3senHF&#10;MXSeNKTLBARS7W1HjYbj4fNpDSJEQ9b0nlDDDQNsy/u7wuTWT7TD6z42gkso5EZDG+OQSxnqFp0J&#10;Sz8gcXbyozOR17GRdjQTl7tePidJJp3piC+0ZsCPFuvz/uI0nL6nx5fNVH3Fo9qtsnfTqcrftH5Y&#10;zG+vICLO8Q+GX31Wh5KdKn8hG0SvQaXZilEOFE8G1km6AVFpyFIFsizk/w/KHwAAAP//AwBQSwEC&#10;LQAUAAYACAAAACEAtoM4kv4AAADhAQAAEwAAAAAAAAAAAAAAAAAAAAAAW0NvbnRlbnRfVHlwZXNd&#10;LnhtbFBLAQItABQABgAIAAAAIQA4/SH/1gAAAJQBAAALAAAAAAAAAAAAAAAAAC8BAABfcmVscy8u&#10;cmVsc1BLAQItABQABgAIAAAAIQAhSjdkKAIAACkEAAAOAAAAAAAAAAAAAAAAAC4CAABkcnMvZTJv&#10;RG9jLnhtbFBLAQItABQABgAIAAAAIQCv2rJ53gAAAAkBAAAPAAAAAAAAAAAAAAAAAIIEAABkcnMv&#10;ZG93bnJldi54bWxQSwUGAAAAAAQABADzAAAAjQUAAAAA&#10;" stroked="f">
                <v:textbox>
                  <w:txbxContent>
                    <w:p w14:paraId="0E7866E5" w14:textId="77777777" w:rsidR="007B24A1" w:rsidRPr="008262D0" w:rsidRDefault="007B24A1" w:rsidP="00DC637E">
                      <w:pPr>
                        <w:rPr>
                          <w:sz w:val="20"/>
                        </w:rPr>
                      </w:pPr>
                      <w:r>
                        <w:rPr>
                          <w:iCs/>
                          <w:sz w:val="20"/>
                        </w:rPr>
                        <w:t>35</w:t>
                      </w:r>
                      <w:r w:rsidRPr="008262D0">
                        <w:rPr>
                          <w:iCs/>
                          <w:sz w:val="20"/>
                        </w:rPr>
                        <w:t>%</w:t>
                      </w:r>
                    </w:p>
                  </w:txbxContent>
                </v:textbox>
                <w10:wrap type="square"/>
              </v:shape>
            </w:pict>
          </mc:Fallback>
        </mc:AlternateContent>
      </w:r>
      <w:r w:rsidRPr="004B2ACB">
        <w:rPr>
          <w:noProof/>
          <w:color w:val="000000" w:themeColor="text1"/>
          <w:highlight w:val="lightGray"/>
        </w:rPr>
        <mc:AlternateContent>
          <mc:Choice Requires="wps">
            <w:drawing>
              <wp:anchor distT="0" distB="0" distL="114300" distR="114300" simplePos="0" relativeHeight="251727872" behindDoc="0" locked="0" layoutInCell="1" allowOverlap="1" wp14:anchorId="746012F5" wp14:editId="24C441CF">
                <wp:simplePos x="0" y="0"/>
                <wp:positionH relativeFrom="column">
                  <wp:posOffset>5111115</wp:posOffset>
                </wp:positionH>
                <wp:positionV relativeFrom="paragraph">
                  <wp:posOffset>20955</wp:posOffset>
                </wp:positionV>
                <wp:extent cx="0" cy="638175"/>
                <wp:effectExtent l="0" t="0" r="19050" b="28575"/>
                <wp:wrapNone/>
                <wp:docPr id="379" name="Tiesioji jungtis 379"/>
                <wp:cNvGraphicFramePr/>
                <a:graphic xmlns:a="http://schemas.openxmlformats.org/drawingml/2006/main">
                  <a:graphicData uri="http://schemas.microsoft.com/office/word/2010/wordprocessingShape">
                    <wps:wsp>
                      <wps:cNvCnPr/>
                      <wps:spPr>
                        <a:xfrm>
                          <a:off x="0" y="0"/>
                          <a:ext cx="0"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8FF50D" id="Tiesioji jungtis 379"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45pt,1.65pt" to="402.4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PEtgEAALgDAAAOAAAAZHJzL2Uyb0RvYy54bWysU9tu1DAQfUfiHyy/s0la0ZZos31oBS8I&#10;VtB+gOuMNy6+aexusn/P2NlNESBUVbw4vpxzZs7MZH09WcP2gFF71/FmVXMGTvpeu13H7+8+vrvi&#10;LCbhemG8g44fIPLrzds36zG0cOYHb3pARiIutmPo+JBSaKsqygGsiCsfwNGj8mhFoiPuqh7FSOrW&#10;VGd1fVGNHvuAXkKMdHs7P/JN0VcKZPqqVITETMcpt1RWLOtDXqvNWrQ7FGHQ8piGeEUWVmhHQRep&#10;W5EEe0L9h5TVEn30Kq2kt5VXSksoHshNU//m5vsgAhQvVJwYljLF/ycrv+y3yHTf8fPLD5w5YalJ&#10;dxqon4+aPT65XdKR5Teq1BhiS4Qbt8XjKYYtZtuTQpu/ZIhNpbqHpbowJSbnS0m3F+dXzeX7LFc9&#10;8wLG9Am8ZXnTcaNd9i1asf8c0ww9QYiX85gjl106GMhg476BIi8UqynsMkVwY5DtBfW//9EcwxZk&#10;pihtzEKq/006YjMNymS9lLigS0Tv0kK02nn8W9Q0nVJVM/7kevaabT/4/lD6UMpB41EKehzlPH+/&#10;ngv9+Yfb/AQAAP//AwBQSwMEFAAGAAgAAAAhALnRxjjcAAAACQEAAA8AAABkcnMvZG93bnJldi54&#10;bWxMj01PhDAQhu8m/odmTLy5rWJclqVsjB8nPSB68NilI5ClU0K7gP56x3jQ45v3yTvP5LvF9WLC&#10;MXSeNFyuFAik2tuOGg1vr48XKYgQDVnTe0INnxhgV5ye5CazfqYXnKrYCB6hkBkNbYxDJmWoW3Qm&#10;rPyAxN2HH52JHMdG2tHMPO56eaXUjXSmI77QmgHvWqwP1dFpWD88VeUw3z9/lXIty3LyMT28a31+&#10;ttxuQURc4h8MP/qsDgU77f2RbBC9hlRdbxjVkCQguP/NewZVkoIscvn/g+IbAAD//wMAUEsBAi0A&#10;FAAGAAgAAAAhALaDOJL+AAAA4QEAABMAAAAAAAAAAAAAAAAAAAAAAFtDb250ZW50X1R5cGVzXS54&#10;bWxQSwECLQAUAAYACAAAACEAOP0h/9YAAACUAQAACwAAAAAAAAAAAAAAAAAvAQAAX3JlbHMvLnJl&#10;bHNQSwECLQAUAAYACAAAACEAhDUzxLYBAAC4AwAADgAAAAAAAAAAAAAAAAAuAgAAZHJzL2Uyb0Rv&#10;Yy54bWxQSwECLQAUAAYACAAAACEAudHGONwAAAAJAQAADwAAAAAAAAAAAAAAAAAQBAAAZHJzL2Rv&#10;d25yZXYueG1sUEsFBgAAAAAEAAQA8wAAABkFAAAAAA==&#10;" strokecolor="black [3040]"/>
            </w:pict>
          </mc:Fallback>
        </mc:AlternateContent>
      </w:r>
      <w:r w:rsidRPr="004B2ACB">
        <w:rPr>
          <w:noProof/>
          <w:color w:val="000000" w:themeColor="text1"/>
          <w:highlight w:val="lightGray"/>
        </w:rPr>
        <mc:AlternateContent>
          <mc:Choice Requires="wps">
            <w:drawing>
              <wp:anchor distT="0" distB="0" distL="114300" distR="114300" simplePos="0" relativeHeight="251724800" behindDoc="0" locked="0" layoutInCell="1" allowOverlap="1" wp14:anchorId="181D5EF8" wp14:editId="39D10F7C">
                <wp:simplePos x="0" y="0"/>
                <wp:positionH relativeFrom="column">
                  <wp:posOffset>2710815</wp:posOffset>
                </wp:positionH>
                <wp:positionV relativeFrom="paragraph">
                  <wp:posOffset>62865</wp:posOffset>
                </wp:positionV>
                <wp:extent cx="0" cy="114300"/>
                <wp:effectExtent l="0" t="0" r="19050" b="19050"/>
                <wp:wrapNone/>
                <wp:docPr id="380" name="Tiesioji jungtis 380"/>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D6B65" id="Tiesioji jungtis 38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13.45pt,4.95pt" to="213.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utgEAALgDAAAOAAAAZHJzL2Uyb0RvYy54bWysU01v2zAMvQ/ofxB0b2y3w1AYcXposV6K&#10;Ldi6H6DKVKxOX6DU2Pn3o+TELbZhGIpeaFHie+Qj6fX1ZA3bA0btXcebVc0ZOOl77XYd//Hw+fyK&#10;s5iE64XxDjp+gMivN2cf1mNo4cIP3vSAjEhcbMfQ8SGl0FZVlANYEVc+gKNH5dGKRC7uqh7FSOzW&#10;VBd1/akaPfYBvYQY6fZ2fuSbwq8UyPRVqQiJmY5TbalYLPYx22qzFu0ORRi0PJYh3lCFFdpR0oXq&#10;ViTBnlH/QWW1RB+9SivpbeWV0hKKBlLT1L+p+T6IAEULNSeGpU3x/Wjll/0Wme47fnlF/XHC0pAe&#10;NNA8nzR7ena7pCPLb9SpMcSWADdui0cvhi1m2ZNCm78kiE2lu4eluzAlJudLSbdN8/GyLnTVCy5g&#10;THfgLcuHjhvtsm7Riv19TJSLQk8h5OQ65szllA4GcrBx30CRFsrVFHTZIrgxyPaC5t//bLIK4iqR&#10;GaK0MQuo/jfoGJthUDbrf4FLdMnoXVqAVjuPf8uaplOpao4/qZ61ZtmPvj+UOZR20HoUZcdVzvv3&#10;2i/wlx9u8wsAAP//AwBQSwMEFAAGAAgAAAAhAGDG2indAAAACAEAAA8AAABkcnMvZG93bnJldi54&#10;bWxMj09Pg0AQxe8mfofNmHizi8SUQlka45+THih68Lhlp0DKzhJ2C+ind4wHPU1e3sub38t3i+3F&#10;hKPvHCm4XUUgkGpnOmoUvL8932xA+KDJ6N4RKvhED7vi8iLXmXEz7XGqQiO4hHymFbQhDJmUvm7R&#10;ar9yAxJ7RzdaHViOjTSjnrnc9jKOorW0uiP+0OoBH1qsT9XZKkieXqpymB9fv0qZyLKcXNicPpS6&#10;vlrutyACLuEvDD/4jA4FMx3cmYwXvYK7eJ1yVEHKh/1ffVAQJynIIpf/BxTfAAAA//8DAFBLAQIt&#10;ABQABgAIAAAAIQC2gziS/gAAAOEBAAATAAAAAAAAAAAAAAAAAAAAAABbQ29udGVudF9UeXBlc10u&#10;eG1sUEsBAi0AFAAGAAgAAAAhADj9If/WAAAAlAEAAAsAAAAAAAAAAAAAAAAALwEAAF9yZWxzLy5y&#10;ZWxzUEsBAi0AFAAGAAgAAAAhAN0v+C62AQAAuAMAAA4AAAAAAAAAAAAAAAAALgIAAGRycy9lMm9E&#10;b2MueG1sUEsBAi0AFAAGAAgAAAAhAGDG2indAAAACAEAAA8AAAAAAAAAAAAAAAAAEAQAAGRycy9k&#10;b3ducmV2LnhtbFBLBQYAAAAABAAEAPMAAAAaBQAAAAA=&#10;" strokecolor="black [3040]"/>
            </w:pict>
          </mc:Fallback>
        </mc:AlternateContent>
      </w:r>
      <w:r w:rsidRPr="004B2ACB">
        <w:rPr>
          <w:noProof/>
          <w:color w:val="000000" w:themeColor="text1"/>
          <w:highlight w:val="lightGray"/>
        </w:rPr>
        <mc:AlternateContent>
          <mc:Choice Requires="wps">
            <w:drawing>
              <wp:anchor distT="0" distB="0" distL="114300" distR="114300" simplePos="0" relativeHeight="251718656" behindDoc="0" locked="0" layoutInCell="1" allowOverlap="1" wp14:anchorId="244BD526" wp14:editId="0C3CE920">
                <wp:simplePos x="0" y="0"/>
                <wp:positionH relativeFrom="column">
                  <wp:posOffset>777240</wp:posOffset>
                </wp:positionH>
                <wp:positionV relativeFrom="paragraph">
                  <wp:posOffset>62865</wp:posOffset>
                </wp:positionV>
                <wp:extent cx="9525" cy="581025"/>
                <wp:effectExtent l="0" t="0" r="28575" b="28575"/>
                <wp:wrapNone/>
                <wp:docPr id="381" name="Tiesioji jungtis 381"/>
                <wp:cNvGraphicFramePr/>
                <a:graphic xmlns:a="http://schemas.openxmlformats.org/drawingml/2006/main">
                  <a:graphicData uri="http://schemas.microsoft.com/office/word/2010/wordprocessingShape">
                    <wps:wsp>
                      <wps:cNvCnPr/>
                      <wps:spPr>
                        <a:xfrm flipH="1">
                          <a:off x="0" y="0"/>
                          <a:ext cx="9525" cy="581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8A0E85" id="Tiesioji jungtis 381"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61.2pt,4.95pt" to="61.9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wS3AEAABEEAAAOAAAAZHJzL2Uyb0RvYy54bWysU8GO0zAQvSPxD5bvNGlRUYma7mFXCwcE&#10;FSwf4HXGjVe2x7K9Tfr3jJ02XQFCAnGxPPa853lvxtub0Rp2hBA1upYvFzVn4CR22h1a/v3h/s2G&#10;s5iE64RBBy0/QeQ3u9evtoNvYIU9mg4CIxIXm8G3vE/JN1UVZQ9WxAV6cHSpMFiRKAyHqgtiIHZr&#10;qlVdv6sGDJ0PKCFGOr2bLvmu8CsFMn1RKkJipuVUWyprKOtjXqvdVjSHIHyv5bkM8Q9VWKEdPTpT&#10;3Ykk2HPQv1BZLQNGVGkh0VaolJZQNJCaZf2Tmm+98FC0kDnRzzbF/0crPx/3gemu5W83S86csNSk&#10;Bw3UzyfNnp7dIenI8h05NfjYEODW7cM5in4fsuxRBcuU0f4jDUExgqSxsfh8mn2GMTFJh+/XqzVn&#10;ki7Wm2VNe2KrJpJM5kNMHwAty5uWG+2yCaIRx08xTamXlHxsXF4jGt3da2NKkMcHbk1gR0GNT2Mp&#10;n554kUVRRlZZ1CSj7NLJwMT6FRQZQ+VOgspIXjmFlODShdc4ys4wRRXMwLqU/UfgOT9DoYzr34Bn&#10;RHkZXZrBVjsMv3v9aoWa8i8OTLqzBY/YnUqDizU0d6U55z+SB/tlXODXn7z7AQAA//8DAFBLAwQU&#10;AAYACAAAACEA50+bTt4AAAAJAQAADwAAAGRycy9kb3ducmV2LnhtbEyPzWrDMBCE74W8g9hAb40U&#10;JZTGtRxKIaH0FidQepMt+YdYK2MpjtOn7+bU3maYYfbbdDu5jo12CK1HBcuFAGax9KbFWsHpuHt6&#10;ARaiRqM7j1bBzQbYZrOHVCfGX/FgxzzWjEYwJFpBE2OfcB7KxjodFr63SFnlB6cj2aHmZtBXGncd&#10;l0I8c6dbpAuN7u17Y8tzfnEKdkV1+/7Zf33Iai+b8+fqdBhzodTjfHp7BRbtFP/KcMcndMiIqfAX&#10;NIF15KVcU1XBZgPsnssViYKEWK6BZyn//0H2CwAA//8DAFBLAQItABQABgAIAAAAIQC2gziS/gAA&#10;AOEBAAATAAAAAAAAAAAAAAAAAAAAAABbQ29udGVudF9UeXBlc10ueG1sUEsBAi0AFAAGAAgAAAAh&#10;ADj9If/WAAAAlAEAAAsAAAAAAAAAAAAAAAAALwEAAF9yZWxzLy5yZWxzUEsBAi0AFAAGAAgAAAAh&#10;ACMCnBLcAQAAEQQAAA4AAAAAAAAAAAAAAAAALgIAAGRycy9lMm9Eb2MueG1sUEsBAi0AFAAGAAgA&#10;AAAhAOdPm07eAAAACQEAAA8AAAAAAAAAAAAAAAAANgQAAGRycy9kb3ducmV2LnhtbFBLBQYAAAAA&#10;BAAEAPMAAABBBQAAAAA=&#10;" strokecolor="black [3213]"/>
            </w:pict>
          </mc:Fallback>
        </mc:AlternateContent>
      </w:r>
      <w:r w:rsidRPr="004B2ACB">
        <w:rPr>
          <w:noProof/>
          <w:highlight w:val="lightGray"/>
        </w:rPr>
        <mc:AlternateContent>
          <mc:Choice Requires="wps">
            <w:drawing>
              <wp:anchor distT="0" distB="0" distL="114300" distR="114300" simplePos="0" relativeHeight="251715584" behindDoc="0" locked="0" layoutInCell="1" allowOverlap="1" wp14:anchorId="17C82DB2" wp14:editId="758DBA8F">
                <wp:simplePos x="0" y="0"/>
                <wp:positionH relativeFrom="column">
                  <wp:posOffset>5172075</wp:posOffset>
                </wp:positionH>
                <wp:positionV relativeFrom="paragraph">
                  <wp:posOffset>12065</wp:posOffset>
                </wp:positionV>
                <wp:extent cx="914400" cy="342900"/>
                <wp:effectExtent l="5080" t="12700" r="13970" b="6350"/>
                <wp:wrapNone/>
                <wp:docPr id="38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1E7E1ED" w14:textId="77777777" w:rsidR="007B24A1" w:rsidRPr="004B2ACB" w:rsidRDefault="007B24A1"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82DB2" id="_x0000_s1091" type="#_x0000_t202" style="position:absolute;left:0;text-align:left;margin-left:407.25pt;margin-top:.95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C6LQIAAFsEAAAOAAAAZHJzL2Uyb0RvYy54bWysVNtu2zAMfR+wfxD0vjhxki414hRdugwD&#10;ugvQ7gNkWbaFSaImKbGzrx8lp2l2exnmB4EUqUPykPT6ZtCKHITzEkxJZ5MpJcJwqKVpS/rlcfdq&#10;RYkPzNRMgRElPQpPbzYvX6x7W4gcOlC1cARBjC96W9IuBFtkmeed0MxPwAqDxgacZgFV12a1Yz2i&#10;a5Xl0+lV1oOrrQMuvMfbu9FINwm/aQQPn5rGi0BUSTG3kE6Xziqe2WbNitYx20l+SoP9QxaaSYNB&#10;z1B3LDCyd/I3KC25Aw9NmHDQGTSN5CLVgNXMpr9U89AxK1ItSI63Z5r8/4PlHw+fHZF1SeernBLD&#10;NDbpUQyBvIGB5LN5ZKi3vkDHB4uuYUADdjpV6+098K+eGNh2zLTi1jnoO8FqzHAWX2YXT0ccH0Gq&#10;/gPUGIjtAySgoXE60oeEEETHTh3P3YnJcLy8ni0WU7RwNM0X+TXKMQIrnh5b58M7AZpEoaQOm5/A&#10;2eHeh9H1ySXG8qBkvZNKJcW11VY5cmA4KLv0ndB/clOG9JjJMl+O9f8VYpq+P0FoGXDildQlXZ2d&#10;WBFZe2tqTJMVgUk1ylidMicaI3Mjh2GohtSzxVWMEDmuoD4isQ7GCceNRKED952SHqe7pP7bnjlB&#10;iXpvsDmJS1yHpCyWr3Pk1V1aqksLMxyhShooGcVtGFdob51sO4w0joOBW2xoIxPZz1md8scJTu06&#10;bVtckUs9eT3/EzY/AAAA//8DAFBLAwQUAAYACAAAACEAgZwa+90AAAAIAQAADwAAAGRycy9kb3du&#10;cmV2LnhtbEyPwU7DMBBE70j8g7VIXFDrFJqShDgVQgLRG7QIrm6yTSLsdbDdNPw9ywmOoxm9fVuu&#10;J2vEiD70jhQs5gkIpNo1PbUK3naPswxEiJoabRyhgm8MsK7Oz0pdNO5ErzhuYysYQqHQCroYh0LK&#10;UHdodZi7AYm7g/NWR46+lY3XJ4ZbI6+TZCWt7okvdHrAhw7rz+3RKsiWz+NH2Ny8vNerg8nj1e34&#10;9OWVuryY7u9ARJzi3xh+9VkdKnbauyM1QRhmLJYpT7nIQXCfpxnnvYI0zUFWpfz/QPUDAAD//wMA&#10;UEsBAi0AFAAGAAgAAAAhALaDOJL+AAAA4QEAABMAAAAAAAAAAAAAAAAAAAAAAFtDb250ZW50X1R5&#10;cGVzXS54bWxQSwECLQAUAAYACAAAACEAOP0h/9YAAACUAQAACwAAAAAAAAAAAAAAAAAvAQAAX3Jl&#10;bHMvLnJlbHNQSwECLQAUAAYACAAAACEAa1Xwui0CAABbBAAADgAAAAAAAAAAAAAAAAAuAgAAZHJz&#10;L2Uyb0RvYy54bWxQSwECLQAUAAYACAAAACEAgZwa+90AAAAIAQAADwAAAAAAAAAAAAAAAACHBAAA&#10;ZHJzL2Rvd25yZXYueG1sUEsFBgAAAAAEAAQA8wAAAJEFAAAAAA==&#10;">
                <v:textbox>
                  <w:txbxContent>
                    <w:p w14:paraId="51E7E1ED" w14:textId="77777777" w:rsidR="007B24A1" w:rsidRPr="004B2ACB" w:rsidRDefault="007B24A1" w:rsidP="00DC637E">
                      <w:r w:rsidRPr="004B2ACB">
                        <w:t>Vienetas</w:t>
                      </w:r>
                    </w:p>
                  </w:txbxContent>
                </v:textbox>
              </v:shape>
            </w:pict>
          </mc:Fallback>
        </mc:AlternateContent>
      </w:r>
    </w:p>
    <w:p w14:paraId="7EADC3B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45720" distB="45720" distL="114300" distR="114300" simplePos="0" relativeHeight="251735040" behindDoc="0" locked="0" layoutInCell="1" allowOverlap="1" wp14:anchorId="593B094B" wp14:editId="48E05A23">
                <wp:simplePos x="0" y="0"/>
                <wp:positionH relativeFrom="column">
                  <wp:posOffset>186690</wp:posOffset>
                </wp:positionH>
                <wp:positionV relativeFrom="paragraph">
                  <wp:posOffset>150495</wp:posOffset>
                </wp:positionV>
                <wp:extent cx="542925" cy="281305"/>
                <wp:effectExtent l="0" t="0" r="9525" b="4445"/>
                <wp:wrapSquare wrapText="bothSides"/>
                <wp:docPr id="38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0BA2D97F" w14:textId="77777777" w:rsidR="007B24A1" w:rsidRPr="008262D0" w:rsidRDefault="007B24A1" w:rsidP="00DC637E">
                            <w:pPr>
                              <w:rPr>
                                <w:sz w:val="20"/>
                              </w:rPr>
                            </w:pPr>
                            <w:r>
                              <w:rPr>
                                <w:iCs/>
                                <w:sz w:val="20"/>
                              </w:rPr>
                              <w:t>50</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B094B" id="_x0000_s1092" type="#_x0000_t202" style="position:absolute;left:0;text-align:left;margin-left:14.7pt;margin-top:11.85pt;width:42.75pt;height:22.1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jyKQIAACkEAAAOAAAAZHJzL2Uyb0RvYy54bWysU9tu2zAMfR+wfxD0vthxkjUx4hRdugwD&#10;ugvQ7QNoWY6FyKInKbG7rx8lp2m2vQ3zg0Ca5NHhIbW+HVrNTtI6habg00nKmTQCK2X2Bf/+bfdm&#10;yZnzYCrQaGTBn6Tjt5vXr9Z9l8sMG9SVtIxAjMv7ruCN912eJE40sgU3wU4aCtZoW/Dk2n1SWegJ&#10;vdVJlqZvkx5t1VkU0jn6ez8G+Sbi17UU/ktdO+mZLjhx8/G08SzDmWzWkO8tdI0SZxrwDyxaUIYu&#10;vUDdgwd2tOovqFYJiw5rPxHYJljXSsjYA3UzTf/o5rGBTsZeSBzXXWRy/w9WfD59tUxVBZ8tZ5wZ&#10;aGlIGfPy4DwyDccDuCBS37mcch87yvbDOxxo2LFh1z2gODhmcNuA2cs7a7FvJFREchoqk6vSEccF&#10;kLL/hBXdBUePEWiobRsUJE0YodOwni4DkoNngn4u5tkqW3AmKJQtp7N0EW+A/Lm4s85/kNiyYBTc&#10;0vwjOJwenA9kIH9OCXc51KraKa2jY/flVlt2AtqVXfzO6L+lacP6gq8WxCNUGQz1cY1a5WmXtWoL&#10;vkzDF8ohD2K8N1W0PSg92sREm7M6QZBRGj+UQ5zG/CYUB+lKrJ5IL4vj7tJbI6NB+5Oznva24O7H&#10;EazkTH80pPlqOp+HRY/OfHGTkWOvI+V1BIwgqIJ7zkZz6+PjGDu7o9nUKur2wuTMmfYxynl+O2Hh&#10;r/2Y9fLCN78AAAD//wMAUEsDBBQABgAIAAAAIQB/44XK3gAAAAgBAAAPAAAAZHJzL2Rvd25yZXYu&#10;eG1sTI/BTsMwEETvSPyDtUhcEHVaQtKkcSpAAnFt6Qds4m0SNV5Hsdukf497gtNoNaOZt8V2Nr24&#10;0Og6ywqWiwgEcW11x42Cw8/n8xqE88gae8uk4EoOtuX9XYG5thPv6LL3jQgl7HJU0Ho/5FK6uiWD&#10;bmEH4uAd7WjQh3NspB5xCuWml6soSqTBjsNCiwN9tFSf9mej4Pg9Pb1mU/XlD+kuTt6xSyt7Verx&#10;YX7bgPA0+78w3PADOpSBqbJn1k70ClZZHJJBX1IQN38ZZyAqBck6AlkW8v8D5S8AAAD//wMAUEsB&#10;Ai0AFAAGAAgAAAAhALaDOJL+AAAA4QEAABMAAAAAAAAAAAAAAAAAAAAAAFtDb250ZW50X1R5cGVz&#10;XS54bWxQSwECLQAUAAYACAAAACEAOP0h/9YAAACUAQAACwAAAAAAAAAAAAAAAAAvAQAAX3JlbHMv&#10;LnJlbHNQSwECLQAUAAYACAAAACEAxAa48ikCAAApBAAADgAAAAAAAAAAAAAAAAAuAgAAZHJzL2Uy&#10;b0RvYy54bWxQSwECLQAUAAYACAAAACEAf+OFyt4AAAAIAQAADwAAAAAAAAAAAAAAAACDBAAAZHJz&#10;L2Rvd25yZXYueG1sUEsFBgAAAAAEAAQA8wAAAI4FAAAAAA==&#10;" stroked="f">
                <v:textbox>
                  <w:txbxContent>
                    <w:p w14:paraId="0BA2D97F" w14:textId="77777777" w:rsidR="007B24A1" w:rsidRPr="008262D0" w:rsidRDefault="007B24A1" w:rsidP="00DC637E">
                      <w:pPr>
                        <w:rPr>
                          <w:sz w:val="20"/>
                        </w:rPr>
                      </w:pPr>
                      <w:r>
                        <w:rPr>
                          <w:iCs/>
                          <w:sz w:val="20"/>
                        </w:rPr>
                        <w:t>50</w:t>
                      </w:r>
                      <w:r w:rsidRPr="008262D0">
                        <w:rPr>
                          <w:iCs/>
                          <w:sz w:val="20"/>
                        </w:rPr>
                        <w:t>%</w:t>
                      </w:r>
                    </w:p>
                  </w:txbxContent>
                </v:textbox>
                <w10:wrap type="square"/>
              </v:shape>
            </w:pict>
          </mc:Fallback>
        </mc:AlternateContent>
      </w:r>
      <w:r w:rsidRPr="004B2ACB">
        <w:rPr>
          <w:rFonts w:eastAsiaTheme="minorHAnsi"/>
          <w:noProof/>
          <w:highlight w:val="lightGray"/>
        </w:rPr>
        <mc:AlternateContent>
          <mc:Choice Requires="wps">
            <w:drawing>
              <wp:anchor distT="45720" distB="45720" distL="114300" distR="114300" simplePos="0" relativeHeight="251736064" behindDoc="0" locked="0" layoutInCell="1" allowOverlap="1" wp14:anchorId="61EECD06" wp14:editId="213C56FE">
                <wp:simplePos x="0" y="0"/>
                <wp:positionH relativeFrom="column">
                  <wp:posOffset>1272540</wp:posOffset>
                </wp:positionH>
                <wp:positionV relativeFrom="paragraph">
                  <wp:posOffset>120650</wp:posOffset>
                </wp:positionV>
                <wp:extent cx="542925" cy="281305"/>
                <wp:effectExtent l="0" t="0" r="9525" b="4445"/>
                <wp:wrapSquare wrapText="bothSides"/>
                <wp:docPr id="14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1305"/>
                        </a:xfrm>
                        <a:prstGeom prst="rect">
                          <a:avLst/>
                        </a:prstGeom>
                        <a:solidFill>
                          <a:srgbClr val="FFFFFF"/>
                        </a:solidFill>
                        <a:ln w="9525">
                          <a:noFill/>
                          <a:miter lim="800000"/>
                          <a:headEnd/>
                          <a:tailEnd/>
                        </a:ln>
                      </wps:spPr>
                      <wps:txbx>
                        <w:txbxContent>
                          <w:p w14:paraId="71111699" w14:textId="77777777" w:rsidR="007B24A1" w:rsidRPr="008262D0" w:rsidRDefault="007B24A1" w:rsidP="00DC637E">
                            <w:pPr>
                              <w:rPr>
                                <w:sz w:val="20"/>
                              </w:rPr>
                            </w:pPr>
                            <w:r>
                              <w:rPr>
                                <w:iCs/>
                                <w:sz w:val="20"/>
                              </w:rPr>
                              <w:t>50</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ECD06" id="_x0000_s1093" type="#_x0000_t202" style="position:absolute;left:0;text-align:left;margin-left:100.2pt;margin-top:9.5pt;width:42.75pt;height:22.1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71DJwIAACkEAAAOAAAAZHJzL2Uyb0RvYy54bWysU9uO0zAQfUfiHyy/06ShhTZqulq6FCEt&#10;F2nhA6aO01i1PcF2myxfz9jpdgu8IfJgzWRmjs+cGa9uBqPZSTqv0FZ8Osk5k1Zgrey+4t+/bV8t&#10;OPMBbA0araz4o/T8Zv3yxarvSllgi7qWjhGI9WXfVbwNoSuzzItWGvAT7KSlYIPOQCDX7bPaQU/o&#10;RmdFnr/JenR151BI7+nv3Rjk64TfNFKEL03jZWC64sQtpNOlcxfPbL2Ccu+ga5U404B/YGFAWbr0&#10;AnUHAdjRqb+gjBIOPTZhItBk2DRKyNQDdTPN/+jmoYVOpl5IHN9dZPL/D1Z8Pn11TNU0u9mMMwuG&#10;hlSwIA8+INNwPICPIvWdLyn3oaPsMLzDgQpSw767R3HwzOKmBbuXt85h30qoieQ0VmZXpSOOjyC7&#10;/hPWdBccAyagoXEmKkiaMEKnYT1eBiSHwAT9nM+KZTHnTFCoWExf5/N0A5RPxZ3z4YNEw6JRcUfz&#10;T+BwuvchkoHyKSXe5VGrequ0To7b7zbasRPQrmzTd0b/LU1b1ld8OScescpirE9rZFSgXdbKVHyR&#10;xy+WQxnFeG/rZAdQerSJibZndaIgozRh2A1pGrNFLI7S7bB+JL0cjrtLb42MFt1Pznra24r7H0dw&#10;kjP90ZLmS5pjXPTkzOZvC3LcdWR3HQErCKrigbPR3IT0OMbObmk2jUq6PTM5c6Z9THKe305c+Gs/&#10;ZT2/8PUvAAAA//8DAFBLAwQUAAYACAAAACEAJoUv9d0AAAAJAQAADwAAAGRycy9kb3ducmV2Lnht&#10;bEyP3U6DQBCF7018h82YeGPsYn9ooSyNmmi8be0DDDAFUnaWsNtC397xSi8n5+Sb72S7yXbqSoNv&#10;HRt4mUWgiEtXtVwbOH5/PG9A+YBcYeeYDNzIwy6/v8swrdzIe7oeQq0Ewj5FA00Ifaq1Lxuy6Geu&#10;J5bs5AaLQc6h1tWAo8Btp+dRFGuLLcuHBnt6b6g8Hy7WwOlrfFolY/EZjuv9Mn7Ddl24mzGPD9Pr&#10;FlSgKfyV4Vdf1CEXp8JduPKqMyD0pVQlSGSTFOabVQKqMBAvFqDzTP9fkP8AAAD//wMAUEsBAi0A&#10;FAAGAAgAAAAhALaDOJL+AAAA4QEAABMAAAAAAAAAAAAAAAAAAAAAAFtDb250ZW50X1R5cGVzXS54&#10;bWxQSwECLQAUAAYACAAAACEAOP0h/9YAAACUAQAACwAAAAAAAAAAAAAAAAAvAQAAX3JlbHMvLnJl&#10;bHNQSwECLQAUAAYACAAAACEA+qe9QycCAAApBAAADgAAAAAAAAAAAAAAAAAuAgAAZHJzL2Uyb0Rv&#10;Yy54bWxQSwECLQAUAAYACAAAACEAJoUv9d0AAAAJAQAADwAAAAAAAAAAAAAAAACBBAAAZHJzL2Rv&#10;d25yZXYueG1sUEsFBgAAAAAEAAQA8wAAAIsFAAAAAA==&#10;" stroked="f">
                <v:textbox>
                  <w:txbxContent>
                    <w:p w14:paraId="71111699" w14:textId="77777777" w:rsidR="007B24A1" w:rsidRPr="008262D0" w:rsidRDefault="007B24A1" w:rsidP="00DC637E">
                      <w:pPr>
                        <w:rPr>
                          <w:sz w:val="20"/>
                        </w:rPr>
                      </w:pPr>
                      <w:r>
                        <w:rPr>
                          <w:iCs/>
                          <w:sz w:val="20"/>
                        </w:rPr>
                        <w:t>50</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21728" behindDoc="0" locked="0" layoutInCell="1" allowOverlap="1" wp14:anchorId="22E212C3" wp14:editId="55F67710">
                <wp:simplePos x="0" y="0"/>
                <wp:positionH relativeFrom="column">
                  <wp:posOffset>3034665</wp:posOffset>
                </wp:positionH>
                <wp:positionV relativeFrom="paragraph">
                  <wp:posOffset>97155</wp:posOffset>
                </wp:positionV>
                <wp:extent cx="0" cy="371475"/>
                <wp:effectExtent l="0" t="0" r="19050" b="28575"/>
                <wp:wrapNone/>
                <wp:docPr id="145" name="Tiesioji jungtis 145"/>
                <wp:cNvGraphicFramePr/>
                <a:graphic xmlns:a="http://schemas.openxmlformats.org/drawingml/2006/main">
                  <a:graphicData uri="http://schemas.microsoft.com/office/word/2010/wordprocessingShape">
                    <wps:wsp>
                      <wps:cNvCnPr/>
                      <wps:spPr>
                        <a:xfrm>
                          <a:off x="0" y="0"/>
                          <a:ext cx="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B5950B" id="Tiesioji jungtis 14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238.95pt,7.65pt" to="238.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18twEAALgDAAAOAAAAZHJzL2Uyb0RvYy54bWysU01v2zAMvQ/ofxB0b2x33ToYcXpo0V2G&#10;LdjaH6DKVKxOX6DU2Pn3o+TEHbphGIZdaFHie+Qj6fX1ZA3bA0btXcebVc0ZOOl77XYdf7i/O//A&#10;WUzC9cJ4Bx0/QOTXm7M36zG0cOEHb3pARiQutmPo+JBSaKsqygGsiCsfwNGj8mhFIhd3VY9iJHZr&#10;qou6fl+NHvuAXkKMdHs7P/JN4VcKZPqiVITETMeptlQsFvuYbbVZi3aHIgxaHssQ/1CFFdpR0oXq&#10;ViTBnlH/QmW1RB+9SivpbeWV0hKKBlLT1K/UfBtEgKKFmhPD0qb4/2jl5/0Wme5pdpfvOHPC0pDu&#10;NdA8nzR7ena7pCPLb9SpMcSWADdui0cvhi1m2ZNCm78kiE2lu4eluzAlJudLSbdvr5rLq0JXveAC&#10;xvQRvGX50HGjXdYtWrH/FBPlotBTCDm5jjlzOaWDgRxs3FdQpIVyNQVdtghuDLK9oPn335usgrhK&#10;ZIYobcwCqv8MOsZmGJTN+lvgEl0yepcWoNXO4++ypulUqprjT6pnrVn2o+8PZQ6lHbQeRdlxlfP+&#10;/ewX+MsPt/kBAAD//wMAUEsDBBQABgAIAAAAIQBM4OgY3QAAAAkBAAAPAAAAZHJzL2Rvd25yZXYu&#10;eG1sTI9NT4NAEIbvJv0Pm2nizS5tVRBZGuPHyR4QPXjcsiOQsrOE3QL66x3jQY8z75tnnsl2s+3E&#10;iINvHSlYryIQSJUzLdUK3l6fLhIQPmgyunOECj7Rwy5fnGU6NW6iFxzLUAuGkE+1giaEPpXSVw1a&#10;7VeuR+Lsww1WBx6HWppBTwy3ndxE0bW0uiW+0Oge7xusjuXJKogfn8uinx72X4WMZVGMLiTHd6XO&#10;l/PdLYiAc/grw48+q0POTgd3IuNFp+Ayjm+4ysHVFgQXfhcHpm8TkHkm/3+QfwMAAP//AwBQSwEC&#10;LQAUAAYACAAAACEAtoM4kv4AAADhAQAAEwAAAAAAAAAAAAAAAAAAAAAAW0NvbnRlbnRfVHlwZXNd&#10;LnhtbFBLAQItABQABgAIAAAAIQA4/SH/1gAAAJQBAAALAAAAAAAAAAAAAAAAAC8BAABfcmVscy8u&#10;cmVsc1BLAQItABQABgAIAAAAIQAhrw18twEAALgDAAAOAAAAAAAAAAAAAAAAAC4CAABkcnMvZTJv&#10;RG9jLnhtbFBLAQItABQABgAIAAAAIQBM4OgY3QAAAAk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0704" behindDoc="0" locked="0" layoutInCell="1" allowOverlap="1" wp14:anchorId="6B4291CD" wp14:editId="73E06260">
                <wp:simplePos x="0" y="0"/>
                <wp:positionH relativeFrom="column">
                  <wp:posOffset>2710815</wp:posOffset>
                </wp:positionH>
                <wp:positionV relativeFrom="paragraph">
                  <wp:posOffset>1905</wp:posOffset>
                </wp:positionV>
                <wp:extent cx="104775" cy="0"/>
                <wp:effectExtent l="0" t="0" r="28575" b="19050"/>
                <wp:wrapNone/>
                <wp:docPr id="146" name="Tiesioji jungtis 146"/>
                <wp:cNvGraphicFramePr/>
                <a:graphic xmlns:a="http://schemas.openxmlformats.org/drawingml/2006/main">
                  <a:graphicData uri="http://schemas.microsoft.com/office/word/2010/wordprocessingShape">
                    <wps:wsp>
                      <wps:cNvCnPr/>
                      <wps:spPr>
                        <a:xfrm>
                          <a:off x="0" y="0"/>
                          <a:ext cx="10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8D637" id="Tiesioji jungtis 14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13.45pt,.15pt" to="22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3XstwEAALgDAAAOAAAAZHJzL2Uyb0RvYy54bWysU01v2zAMvRfofxB0X+wUXVsYcXposV6K&#10;LdjaH6DKVKxOX6DU2Pn3o5TEGdaiKIpdZFF8j+Qj6cX1aA3bAEbtXcvns5ozcNJ32q1b/vjw7csV&#10;ZzEJ1wnjHbR8C5FfL09PFkNo4Mz33nSAjIK42Ayh5X1KoamqKHuwIs58AEdO5dGKRCauqw7FQNGt&#10;qc7q+qIaPHYBvYQY6fV25+TLEl8pkOmHUhESMy2n2lI5sZxP+ayWC9GsUYRey30Z4hNVWKEdJZ1C&#10;3Yok2AvqV6GsluijV2kmva28UlpC0UBq5vU/an71IkDRQs2JYWpT/H9h5ffNCpnuaHbnF5w5YWlI&#10;Dxpons+aPb+4ddKRZR91agixIcKNW+HeimGFWfao0OYvCWJj6e526i6MiUl6nNfnl5dfOZMHV3Xk&#10;BYzpDrxl+dJyo13WLRqxuY+JchH0ACEj17HLXG5payCDjfsJirTkXIVdtghuDLKNoPl3v+dZBcUq&#10;yExR2piJVL9P2mMzDcpmfZQ4oUtG79JEtNp5fCtrGg+lqh3+oHqnNct+8t22zKG0g9ajKNuvct6/&#10;v+1CP/5wyz8AAAD//wMAUEsDBBQABgAIAAAAIQCisdLA2wAAAAUBAAAPAAAAZHJzL2Rvd25yZXYu&#10;eG1sTI7BTsMwEETvSPyDtUi9UYc2akvIpkJQTnBIAweObrwkUeN1FLtJ4OtxT+1xNKM3L91OphUD&#10;9a6xjPAwj0AQl1Y3XCF8fb7db0A4r1ir1jIh/JKDbXZ7k6pE25H3NBS+EgHCLlEItfddIqUrazLK&#10;zW1HHLof2xvlQ+wrqXs1Brhp5SKKVtKohsNDrTp6qak8FieDsN69F3k3vn785XIt83ywfnP8Rpzd&#10;Tc9PIDxN/jKGs35Qhyw4HeyJtRMtQrxYPYYpwhJEqON4GYM4nKPMUnltn/0DAAD//wMAUEsBAi0A&#10;FAAGAAgAAAAhALaDOJL+AAAA4QEAABMAAAAAAAAAAAAAAAAAAAAAAFtDb250ZW50X1R5cGVzXS54&#10;bWxQSwECLQAUAAYACAAAACEAOP0h/9YAAACUAQAACwAAAAAAAAAAAAAAAAAvAQAAX3JlbHMvLnJl&#10;bHNQSwECLQAUAAYACAAAACEAYl917LcBAAC4AwAADgAAAAAAAAAAAAAAAAAuAgAAZHJzL2Uyb0Rv&#10;Yy54bWxQSwECLQAUAAYACAAAACEAorHSwNsAAAAFAQAADwAAAAAAAAAAAAAAAAARBAAAZHJzL2Rv&#10;d25yZXYueG1sUEsFBgAAAAAEAAQA8wAAABkFAAAAAA==&#10;" strokecolor="black [3040]"/>
            </w:pict>
          </mc:Fallback>
        </mc:AlternateContent>
      </w:r>
      <w:r w:rsidRPr="004B2ACB">
        <w:rPr>
          <w:noProof/>
          <w:highlight w:val="lightGray"/>
        </w:rPr>
        <mc:AlternateContent>
          <mc:Choice Requires="wps">
            <w:drawing>
              <wp:anchor distT="0" distB="0" distL="114300" distR="114300" simplePos="0" relativeHeight="251719680" behindDoc="0" locked="0" layoutInCell="1" allowOverlap="1" wp14:anchorId="022AF54A" wp14:editId="4510C776">
                <wp:simplePos x="0" y="0"/>
                <wp:positionH relativeFrom="column">
                  <wp:posOffset>1148715</wp:posOffset>
                </wp:positionH>
                <wp:positionV relativeFrom="paragraph">
                  <wp:posOffset>87630</wp:posOffset>
                </wp:positionV>
                <wp:extent cx="0" cy="390525"/>
                <wp:effectExtent l="0" t="0" r="19050" b="28575"/>
                <wp:wrapNone/>
                <wp:docPr id="147" name="Tiesioji jungtis 147"/>
                <wp:cNvGraphicFramePr/>
                <a:graphic xmlns:a="http://schemas.openxmlformats.org/drawingml/2006/main">
                  <a:graphicData uri="http://schemas.microsoft.com/office/word/2010/wordprocessingShape">
                    <wps:wsp>
                      <wps:cNvCnPr/>
                      <wps:spPr>
                        <a:xfrm>
                          <a:off x="0" y="0"/>
                          <a:ext cx="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8A1B2" id="Tiesioji jungtis 147"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90.45pt,6.9pt" to="90.4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WhzwEAAAQEAAAOAAAAZHJzL2Uyb0RvYy54bWysU9uO0zAQfUfiHyy/06SF5RI13YddLS8I&#10;Klg+wOuMG698k8fbpH/P2EnTFSAhEC9ObM85M+fMeHs9WsOOEFF71/L1quYMnPSddoeWf7+/e/We&#10;M0zCdcJ4By0/AfLr3csX2yE0sPG9Nx1ERiQOmyG0vE8pNFWFsgcrcOUDOLpUPlqRaBsPVRfFQOzW&#10;VJu6flsNPnYhegmIdHo7XfJd4VcKZPqiFEJipuVUWyprLOtDXqvdVjSHKEKv5VyG+IcqrNCOki5U&#10;tyIJ9hT1L1RWy+jRq7SS3lZeKS2haCA16/onNd96EaBoIXMwLDbh/6OVn4/7yHRHvXvzjjMnLDXp&#10;XgP181Gzxyd3SBpZviOnhoANAW7cPs47DPuYZY8q2vwlQWws7p4Wd2FMTE6Hkk5ff6ivNleZrrrg&#10;QsT0Ebxl+aflRrusWzTi+AnTFHoOycfG5RW90d2dNqZs8sTAjYnsKKjXaVzPKZ5FUcKMrLKOqfLy&#10;l04GJtavoMgLqnVdspcpvHAKKcGlM69xFJ1hiipYgPWfgXN8hkKZ0L8BL4iS2bu0gK12Pv4u+8UK&#10;NcWfHZh0ZwsefHcqPS3W0KiV5szPIs/y832BXx7v7gcAAAD//wMAUEsDBBQABgAIAAAAIQA3mxrg&#10;3QAAAAkBAAAPAAAAZHJzL2Rvd25yZXYueG1sTI8xT8MwEIV3JP6DdUhs1IFCCSFOhRAsiCWhA2xu&#10;fI0j4nMaO03491y7wHbv7und9/L17DpxwCG0nhRcLxIQSLU3LTUKNh+vVymIEDUZ3XlCBT8YYF2c&#10;n+U6M36iEg9VbASHUMi0Ahtjn0kZaotOh4Xvkfi284PTkeXQSDPoicNdJ2+SZCWdbok/WN3js8X6&#10;uxqdgrf9e9jcrsqX8nOfVtPXbrSNR6UuL+anRxAR5/hnhiM+o0PBTFs/kgmiY50mD2zlYckVjobT&#10;Yqvg/m4Jssjl/wbFLwAAAP//AwBQSwECLQAUAAYACAAAACEAtoM4kv4AAADhAQAAEwAAAAAAAAAA&#10;AAAAAAAAAAAAW0NvbnRlbnRfVHlwZXNdLnhtbFBLAQItABQABgAIAAAAIQA4/SH/1gAAAJQBAAAL&#10;AAAAAAAAAAAAAAAAAC8BAABfcmVscy8ucmVsc1BLAQItABQABgAIAAAAIQCeecWhzwEAAAQEAAAO&#10;AAAAAAAAAAAAAAAAAC4CAABkcnMvZTJvRG9jLnhtbFBLAQItABQABgAIAAAAIQA3mxrg3QAAAAkB&#10;AAAPAAAAAAAAAAAAAAAAACkEAABkcnMvZG93bnJldi54bWxQSwUGAAAAAAQABADzAAAAMwUAAAAA&#10;" strokecolor="black [3213]"/>
            </w:pict>
          </mc:Fallback>
        </mc:AlternateContent>
      </w:r>
      <w:r w:rsidRPr="004B2ACB">
        <w:rPr>
          <w:noProof/>
          <w:highlight w:val="lightGray"/>
        </w:rPr>
        <mc:AlternateContent>
          <mc:Choice Requires="wps">
            <w:drawing>
              <wp:anchor distT="0" distB="0" distL="114300" distR="114300" simplePos="0" relativeHeight="251712512" behindDoc="0" locked="0" layoutInCell="1" allowOverlap="1" wp14:anchorId="2FC0E0D3" wp14:editId="157DB8CD">
                <wp:simplePos x="0" y="0"/>
                <wp:positionH relativeFrom="column">
                  <wp:posOffset>3190875</wp:posOffset>
                </wp:positionH>
                <wp:positionV relativeFrom="paragraph">
                  <wp:posOffset>6350</wp:posOffset>
                </wp:positionV>
                <wp:extent cx="914400" cy="342900"/>
                <wp:effectExtent l="5080" t="12700" r="13970" b="6350"/>
                <wp:wrapNone/>
                <wp:docPr id="14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9C39EAC" w14:textId="77777777" w:rsidR="007B24A1" w:rsidRPr="001924B0" w:rsidRDefault="007B24A1" w:rsidP="00DC637E">
                            <w:r w:rsidRPr="004B2ACB">
                              <w:t>Vienetas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0E0D3" id="_x0000_s1094" type="#_x0000_t202" style="position:absolute;left:0;text-align:left;margin-left:251.25pt;margin-top:.5pt;width:1in;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HeLAIAAFsEAAAOAAAAZHJzL2Uyb0RvYy54bWysVNtu2zAMfR+wfxD0vthxk60x4hRdugwD&#10;ugvQ7gNkWbaFSaImKbG7ry8lp2l2exnmB0ESqUPyHNLrq1ErchDOSzAVnc9ySoTh0EjTVfTr/e7V&#10;JSU+MNMwBUZU9EF4erV5+WI92FIU0INqhCMIYnw52Ir2IdgyyzzvhWZ+BlYYNLbgNAt4dF3WODYg&#10;ulZZkeevswFcYx1w4T3e3kxGukn4bSt4+Ny2XgSiKoq5hbS6tNZxzTZrVnaO2V7yYxrsH7LQTBoM&#10;eoK6YYGRvZO/QWnJHXhow4yDzqBtJRepBqxmnv9SzV3PrEi1IDnenmjy/w+Wfzp8cUQ2qN0CpTJM&#10;o0j3YgzkLYykmF9EhgbrS3S8s+gaRjSgd6rW21vg3zwxsO2Z6cS1czD0gjWY4Ty+zM6eTjg+gtTD&#10;R2gwENsHSEBj63SkDwkhiI5KPZzUiclwvFzNF4scLRxNF4tihfsYgZVPj63z4b0ATeKmog7FT+Ds&#10;cOvD5PrkEmN5ULLZSaXSwXX1VjlyYNgou/Qd0X9yU4YMmMmyWE71/xUiT9+fILQM2PFK6openpxY&#10;GVl7ZxpMk5WBSTXtsTpljjRG5iYOw1iPSbPFKkaIHNfQPCCxDqYOx4nETQ/uByUDdndF/fc9c4IS&#10;9cGgOIlLHId0WCzfFMirO7fU5xZmOEJVNFAybbdhGqG9dbLrMdLUDgauUdBWJrKfszrmjx2c5DpO&#10;WxyR83Pyev4nbB4BAAD//wMAUEsDBBQABgAIAAAAIQDYdp9q3AAAAAgBAAAPAAAAZHJzL2Rvd25y&#10;ZXYueG1sTI/NTsMwEITvSLyDtUhcELUpTSghToWQQHCDtoKrG2+TCHsdYjcNb89yguPoG81PuZq8&#10;EyMOsQuk4WqmQCDVwXbUaNhuHi+XIGIyZI0LhBq+McKqOj0pTWHDkd5wXKdGcAjFwmhoU+oLKWPd&#10;ojdxFnokZvsweJNYDo20gzlyuHdyrlQuvemIG1rT40OL9ef64DUsF8/jR3y5fn2v8727TRc349PX&#10;oPX52XR/ByLhlP7M8Dufp0PFm3bhQDYKpyFT84ytDPgS83yRs94xyBTIqpT/D1Q/AAAA//8DAFBL&#10;AQItABQABgAIAAAAIQC2gziS/gAAAOEBAAATAAAAAAAAAAAAAAAAAAAAAABbQ29udGVudF9UeXBl&#10;c10ueG1sUEsBAi0AFAAGAAgAAAAhADj9If/WAAAAlAEAAAsAAAAAAAAAAAAAAAAALwEAAF9yZWxz&#10;Ly5yZWxzUEsBAi0AFAAGAAgAAAAhAA/Mcd4sAgAAWwQAAA4AAAAAAAAAAAAAAAAALgIAAGRycy9l&#10;Mm9Eb2MueG1sUEsBAi0AFAAGAAgAAAAhANh2n2rcAAAACAEAAA8AAAAAAAAAAAAAAAAAhgQAAGRy&#10;cy9kb3ducmV2LnhtbFBLBQYAAAAABAAEAPMAAACPBQAAAAA=&#10;">
                <v:textbox>
                  <w:txbxContent>
                    <w:p w14:paraId="19C39EAC" w14:textId="77777777" w:rsidR="007B24A1" w:rsidRPr="001924B0" w:rsidRDefault="007B24A1" w:rsidP="00DC637E">
                      <w:r w:rsidRPr="004B2ACB">
                        <w:t>Vienetas</w:t>
                      </w:r>
                    </w:p>
                  </w:txbxContent>
                </v:textbox>
              </v:shape>
            </w:pict>
          </mc:Fallback>
        </mc:AlternateContent>
      </w:r>
    </w:p>
    <w:p w14:paraId="6B3B229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7088" behindDoc="0" locked="0" layoutInCell="1" allowOverlap="1" wp14:anchorId="13274227" wp14:editId="6421960D">
                <wp:simplePos x="0" y="0"/>
                <wp:positionH relativeFrom="column">
                  <wp:posOffset>2405380</wp:posOffset>
                </wp:positionH>
                <wp:positionV relativeFrom="paragraph">
                  <wp:posOffset>37465</wp:posOffset>
                </wp:positionV>
                <wp:extent cx="542925" cy="247650"/>
                <wp:effectExtent l="0" t="0" r="9525" b="0"/>
                <wp:wrapSquare wrapText="bothSides"/>
                <wp:docPr id="149"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7650"/>
                        </a:xfrm>
                        <a:prstGeom prst="rect">
                          <a:avLst/>
                        </a:prstGeom>
                        <a:solidFill>
                          <a:srgbClr val="FFFFFF"/>
                        </a:solidFill>
                        <a:ln w="9525">
                          <a:noFill/>
                          <a:miter lim="800000"/>
                          <a:headEnd/>
                          <a:tailEnd/>
                        </a:ln>
                      </wps:spPr>
                      <wps:txbx>
                        <w:txbxContent>
                          <w:p w14:paraId="35FFD64F" w14:textId="77777777" w:rsidR="007B24A1" w:rsidRPr="008262D0" w:rsidRDefault="007B24A1" w:rsidP="00DC637E">
                            <w:pPr>
                              <w:rPr>
                                <w:sz w:val="20"/>
                              </w:rPr>
                            </w:pPr>
                            <w:r>
                              <w:rPr>
                                <w:iCs/>
                                <w:sz w:val="20"/>
                              </w:rPr>
                              <w:t>26</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74227" id="_x0000_s1095" type="#_x0000_t202" style="position:absolute;left:0;text-align:left;margin-left:189.4pt;margin-top:2.95pt;width:42.75pt;height:19.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YJQIAACkEAAAOAAAAZHJzL2Uyb0RvYy54bWysU8Fu2zAMvQ/YPwi6L06MpG2MOEWXLsOA&#10;rhvQ7QNoWY6FSKInKbG7rx8lp2nQ3YbpIIgi+fT4SK1uB6PZUTqv0JZ8NplyJq3AWtldyX/+2H64&#10;4cwHsDVotLLkz9Lz2/X7d6u+K2SOLepaOkYg1hd9V/I2hK7IMi9aacBPsJOWnA06A4FMt8tqBz2h&#10;G53l0+lV1qOrO4dCek+396OTrxN+00gRvjWNl4HpkhO3kHaX9iru2XoFxc5B1ypxogH/wMKAsvTo&#10;GeoeArCDU39BGSUcemzCRKDJsGmUkKkGqmY2fVPNUwudTLWQOL47y+T/H6x4PH53TNXUu/mSMwuG&#10;mpSzIPc+INNw2IOPIvWdLyj2qaPoMHzEgRJSwb57QLH3zOKmBbuTd85h30qoieQsZmYXqSOOjyBV&#10;/xVregsOARPQ0DgTFSRNGKFTs57PDZJDYIIuF/N8mS84E+TK59dXi9TADIqX5M758FmiYfFQckf9&#10;T+BwfPAhkoHiJSS+5VGrequ0TobbVRvt2BFoVrZpJf5vwrRlfcmXC+IRsyzG/DRGRgWaZa1MyW+m&#10;cY3TFcX4ZOsUEkDp8UxMtD2pEwUZpQlDNaRujJVF6Sqsn0kvh+Ps0l+jQ4vuN2c9zW3J/a8DOMmZ&#10;/mJJ8+VsPo+Dnoz54jonw116qksPWEFQJQ+cjcdNSJ9jrOyOetOopNsrkxNnmsck5+nvxIG/tFPU&#10;6w9f/wEAAP//AwBQSwMEFAAGAAgAAAAhACl1MDneAAAACAEAAA8AAABkcnMvZG93bnJldi54bWxM&#10;j8FOwzAQRO9I/IO1lbgg6kDTpAlxKkACcW3pB2zibRI1tqPYbdK/ZznR245mNPO22M6mFxcafees&#10;gudlBIJs7XRnGwWHn8+nDQgf0GrsnSUFV/KwLe/vCsy1m+yOLvvQCC6xPkcFbQhDLqWvWzLol24g&#10;y97RjQYDy7GResSJy00vX6IokQY7ywstDvTRUn3an42C4/f0uM6m6isc0l2cvGOXVu6q1MNifnsF&#10;EWgO/2H4w2d0KJmpcmervegVrNINowcF6wwE+3ESr0BUfMQZyLKQtw+UvwAAAP//AwBQSwECLQAU&#10;AAYACAAAACEAtoM4kv4AAADhAQAAEwAAAAAAAAAAAAAAAAAAAAAAW0NvbnRlbnRfVHlwZXNdLnht&#10;bFBLAQItABQABgAIAAAAIQA4/SH/1gAAAJQBAAALAAAAAAAAAAAAAAAAAC8BAABfcmVscy8ucmVs&#10;c1BLAQItABQABgAIAAAAIQAmU/gYJQIAACkEAAAOAAAAAAAAAAAAAAAAAC4CAABkcnMvZTJvRG9j&#10;LnhtbFBLAQItABQABgAIAAAAIQApdTA53gAAAAgBAAAPAAAAAAAAAAAAAAAAAH8EAABkcnMvZG93&#10;bnJldi54bWxQSwUGAAAAAAQABADzAAAAigUAAAAA&#10;" stroked="f">
                <v:textbox>
                  <w:txbxContent>
                    <w:p w14:paraId="35FFD64F" w14:textId="77777777" w:rsidR="007B24A1" w:rsidRPr="008262D0" w:rsidRDefault="007B24A1" w:rsidP="00DC637E">
                      <w:pPr>
                        <w:rPr>
                          <w:sz w:val="20"/>
                        </w:rPr>
                      </w:pPr>
                      <w:r>
                        <w:rPr>
                          <w:iCs/>
                          <w:sz w:val="20"/>
                        </w:rPr>
                        <w:t>26</w:t>
                      </w:r>
                      <w:r w:rsidRPr="008262D0">
                        <w:rPr>
                          <w:iCs/>
                          <w:sz w:val="20"/>
                        </w:rPr>
                        <w:t>%</w:t>
                      </w:r>
                    </w:p>
                  </w:txbxContent>
                </v:textbox>
                <w10:wrap type="square"/>
              </v:shape>
            </w:pict>
          </mc:Fallback>
        </mc:AlternateContent>
      </w:r>
      <w:r w:rsidRPr="004B2ACB">
        <w:rPr>
          <w:rFonts w:eastAsiaTheme="minorHAnsi"/>
          <w:noProof/>
          <w:highlight w:val="lightGray"/>
        </w:rPr>
        <mc:AlternateContent>
          <mc:Choice Requires="wps">
            <w:drawing>
              <wp:anchor distT="45720" distB="45720" distL="114300" distR="114300" simplePos="0" relativeHeight="251740160" behindDoc="0" locked="0" layoutInCell="1" allowOverlap="1" wp14:anchorId="7786604A" wp14:editId="7928E27A">
                <wp:simplePos x="0" y="0"/>
                <wp:positionH relativeFrom="column">
                  <wp:posOffset>5615940</wp:posOffset>
                </wp:positionH>
                <wp:positionV relativeFrom="paragraph">
                  <wp:posOffset>32385</wp:posOffset>
                </wp:positionV>
                <wp:extent cx="542925" cy="252730"/>
                <wp:effectExtent l="0" t="0" r="9525" b="0"/>
                <wp:wrapSquare wrapText="bothSides"/>
                <wp:docPr id="15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52730"/>
                        </a:xfrm>
                        <a:prstGeom prst="rect">
                          <a:avLst/>
                        </a:prstGeom>
                        <a:solidFill>
                          <a:srgbClr val="FFFFFF"/>
                        </a:solidFill>
                        <a:ln w="9525">
                          <a:noFill/>
                          <a:miter lim="800000"/>
                          <a:headEnd/>
                          <a:tailEnd/>
                        </a:ln>
                      </wps:spPr>
                      <wps:txbx>
                        <w:txbxContent>
                          <w:p w14:paraId="0B67802E" w14:textId="77777777" w:rsidR="007B24A1" w:rsidRPr="008262D0" w:rsidRDefault="007B24A1" w:rsidP="00DC637E">
                            <w:pPr>
                              <w:rPr>
                                <w:sz w:val="20"/>
                              </w:rPr>
                            </w:pPr>
                            <w:r>
                              <w:rPr>
                                <w:iCs/>
                                <w:sz w:val="20"/>
                              </w:rPr>
                              <w:t>65</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6604A" id="_x0000_s1096" type="#_x0000_t202" style="position:absolute;left:0;text-align:left;margin-left:442.2pt;margin-top:2.55pt;width:42.75pt;height:19.9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vqJgIAACkEAAAOAAAAZHJzL2Uyb0RvYy54bWysU9tu2zAMfR+wfxD0vjjx4rUx4hRdugwD&#10;ugvQ7QMYWY6FSKInKbG7ry8lp2nQvQ3TgyCK5NHhIbW8GYxmR+m8Qlvx2WTKmbQCa2V3Ff/1c/Pu&#10;mjMfwNag0cqKP0rPb1Zv3yz7rpQ5tqhr6RiBWF/2XcXbELoyy7xopQE/wU5acjboDAQy3S6rHfSE&#10;bnSWT6cfsh5d3TkU0nu6vRudfJXwm0aK8L1pvAxMV5y4hbS7tG/jnq2WUO4cdK0SJxrwDywMKEuP&#10;nqHuIAA7OPUXlFHCoccmTASaDJtGCZlqoGpm01fVPLTQyVQLieO7s0z+/8GKb8cfjqmaeleQPhYM&#10;NSlnQe59QKbhsAcfReo7X1LsQ0fRYfiIAyWkgn13j2LvmcV1C3Ynb53DvpVQE8lZzMwuUkccH0G2&#10;/Ves6S04BExAQ+NMVJA0YYROZB7PDZJDYIIui3m+yAvOBLnyIr96nxqYQfmc3DkfPks0LB4q7qj/&#10;CRyO9z5EMlA+h8S3PGpVb5TWyXC77Vo7dgSalU1aif+rMG1ZX/FFQTxilsWYn8bIqECzrJWp+PU0&#10;rnG6ohifbJ1CAig9nomJtid1oiCjNGHYDqkbRdIuSrfF+pH0cjjOLv01OrTo/nDW09xW3P8+gJOc&#10;6S+WNF/M5vM46MmYF1c5Ge7Ss730gBUEVfHA2Xhch/Q5xspuqTeNSrq9MDlxpnlMcp7+Thz4SztF&#10;vfzw1RMAAAD//wMAUEsDBBQABgAIAAAAIQCmCOIR3QAAAAgBAAAPAAAAZHJzL2Rvd25yZXYueG1s&#10;TI/BTsMwEETvSPyDtUhcEHWK0jQO2VSABOLa0g/YxNskIraj2G3Sv8ec4Dia0cybcreYQVx48r2z&#10;COtVAoJt43RvW4Tj1/tjDsIHspoGZxnhyh521e1NSYV2s93z5RBaEUusLwihC2EspPRNx4b8yo1s&#10;o3dyk6EQ5dRKPdEcy80gn5Ikk4Z6Gxc6Gvmt4+b7cDYIp8/5YaPm+iMct/s0e6V+W7sr4v3d8vIM&#10;IvAS/sLwix/RoYpMtTtb7cWAkOdpGqMImzWI6KtMKRA1QpoqkFUp/x+ofgAAAP//AwBQSwECLQAU&#10;AAYACAAAACEAtoM4kv4AAADhAQAAEwAAAAAAAAAAAAAAAAAAAAAAW0NvbnRlbnRfVHlwZXNdLnht&#10;bFBLAQItABQABgAIAAAAIQA4/SH/1gAAAJQBAAALAAAAAAAAAAAAAAAAAC8BAABfcmVscy8ucmVs&#10;c1BLAQItABQABgAIAAAAIQB9tRvqJgIAACkEAAAOAAAAAAAAAAAAAAAAAC4CAABkcnMvZTJvRG9j&#10;LnhtbFBLAQItABQABgAIAAAAIQCmCOIR3QAAAAgBAAAPAAAAAAAAAAAAAAAAAIAEAABkcnMvZG93&#10;bnJldi54bWxQSwUGAAAAAAQABADzAAAAigUAAAAA&#10;" stroked="f">
                <v:textbox>
                  <w:txbxContent>
                    <w:p w14:paraId="0B67802E" w14:textId="77777777" w:rsidR="007B24A1" w:rsidRPr="008262D0" w:rsidRDefault="007B24A1" w:rsidP="00DC637E">
                      <w:pPr>
                        <w:rPr>
                          <w:sz w:val="20"/>
                        </w:rPr>
                      </w:pPr>
                      <w:r>
                        <w:rPr>
                          <w:iCs/>
                          <w:sz w:val="20"/>
                        </w:rPr>
                        <w:t>65</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28896" behindDoc="0" locked="0" layoutInCell="1" allowOverlap="1" wp14:anchorId="30855C3B" wp14:editId="07300B4B">
                <wp:simplePos x="0" y="0"/>
                <wp:positionH relativeFrom="column">
                  <wp:posOffset>5492115</wp:posOffset>
                </wp:positionH>
                <wp:positionV relativeFrom="paragraph">
                  <wp:posOffset>3810</wp:posOffset>
                </wp:positionV>
                <wp:extent cx="0" cy="304800"/>
                <wp:effectExtent l="0" t="0" r="19050" b="19050"/>
                <wp:wrapNone/>
                <wp:docPr id="151" name="Tiesioji jungtis 151"/>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2606E" id="Tiesioji jungtis 151"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32.45pt,.3pt" to="432.4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OdtgEAALgDAAAOAAAAZHJzL2Uyb0RvYy54bWysU9tu2zAMfS+wfxD0vtjpuqIw4vShxfZS&#10;bEEvH6DKVKxON0hq7Pz9KDpxhm0YimIvtCjxkDyH9Op6tIbtICbtXcuXi5ozcNJ32m1b/vT45eMV&#10;ZykL1wnjHbR8D4lfrz+crYbQwLnvvekgMkziUjOElvc5h6aqkuzBirTwARw+Kh+tyOjGbdVFMWB2&#10;a6rzur6sBh+7EL2ElPD2dnrka8qvFMj8XakEmZmWY2+ZbCT7XGy1XolmG0XotTy0Id7RhRXaYdE5&#10;1a3Igr1G/Ucqq2X0yau8kN5WXiktgTggm2X9G5uHXgQgLihOCrNM6f+lld92m8h0h7P7vOTMCYtD&#10;etSA83zR7OXVbbNOrLyhUkNIDQJu3CYevBQ2sdAeVbTli4TYSOruZ3VhzExOlxJvP9UXVzUJX51w&#10;Iab8Fbxl5dByo13hLRqxu0sZa2HoMQSd0sdUmU55b6AEG3cPCrlgrSWhaYvgxkS2Ezj/7gexwFwU&#10;WSBKGzOD6n+DDrEFBrRZbwXO0VTRuzwDrXY+/q1qHo+tqin+yHriWmg/+25PcyA5cD1IpcMql/37&#10;1Sf46Ydb/wQAAP//AwBQSwMEFAAGAAgAAAAhALqGcODbAAAABwEAAA8AAABkcnMvZG93bnJldi54&#10;bWxMjk1Pg0AURfcm/Q+TZ+LODpqGUuTRNH6sdIG0iy6nzBNImTeEmQL66x3jQpc39+bck21n04mR&#10;BtdaRrhbRiCIK6tbrhEO+5fbBITzirXqLBPCJznY5ourTKXaTvxOY+lrESDsUoXQeN+nUrqqIaPc&#10;0vbEofuwg1E+xKGWelBTgJtO3kdRLI1qOTw0qqfHhqpzeTEI6+fXsuinp7evQq5lUYzWJ+cj4s31&#10;vHsA4Wn2f2P40Q/qkAenk72wdqJDSOLVJkwRYhCh/o0nhFUSg8wz+d8//wYAAP//AwBQSwECLQAU&#10;AAYACAAAACEAtoM4kv4AAADhAQAAEwAAAAAAAAAAAAAAAAAAAAAAW0NvbnRlbnRfVHlwZXNdLnht&#10;bFBLAQItABQABgAIAAAAIQA4/SH/1gAAAJQBAAALAAAAAAAAAAAAAAAAAC8BAABfcmVscy8ucmVs&#10;c1BLAQItABQABgAIAAAAIQApuhOdtgEAALgDAAAOAAAAAAAAAAAAAAAAAC4CAABkcnMvZTJvRG9j&#10;LnhtbFBLAQItABQABgAIAAAAIQC6hnDg2wAAAAcBAAAPAAAAAAAAAAAAAAAAABAEAABkcnMvZG93&#10;bnJldi54bWxQSwUGAAAAAAQABADzAAAAGAUAAAAA&#10;" strokecolor="black [3040]"/>
            </w:pict>
          </mc:Fallback>
        </mc:AlternateContent>
      </w:r>
      <w:r w:rsidRPr="004B2ACB">
        <w:rPr>
          <w:noProof/>
          <w:highlight w:val="lightGray"/>
        </w:rPr>
        <mc:AlternateContent>
          <mc:Choice Requires="wps">
            <w:drawing>
              <wp:anchor distT="0" distB="0" distL="114300" distR="114300" simplePos="0" relativeHeight="251722752" behindDoc="0" locked="0" layoutInCell="1" allowOverlap="1" wp14:anchorId="592DF723" wp14:editId="536EF113">
                <wp:simplePos x="0" y="0"/>
                <wp:positionH relativeFrom="column">
                  <wp:posOffset>3549015</wp:posOffset>
                </wp:positionH>
                <wp:positionV relativeFrom="paragraph">
                  <wp:posOffset>169545</wp:posOffset>
                </wp:positionV>
                <wp:extent cx="9525" cy="133350"/>
                <wp:effectExtent l="0" t="0" r="28575" b="19050"/>
                <wp:wrapNone/>
                <wp:docPr id="152" name="Tiesioji jungtis 152"/>
                <wp:cNvGraphicFramePr/>
                <a:graphic xmlns:a="http://schemas.openxmlformats.org/drawingml/2006/main">
                  <a:graphicData uri="http://schemas.microsoft.com/office/word/2010/wordprocessingShape">
                    <wps:wsp>
                      <wps:cNvCnPr/>
                      <wps:spPr>
                        <a:xfrm>
                          <a:off x="0" y="0"/>
                          <a:ext cx="9525"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04F80" id="Tiesioji jungtis 152"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79.45pt,13.35pt" to="280.2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jrvAEAALsDAAAOAAAAZHJzL2Uyb0RvYy54bWysU01v2zAMvQ/ofxB0b2wnyLAZcXposV6G&#10;Ldi6H6DKVKxOX6DU2Pn3o5TEHdZhGIZdZFF8j+Qj6c3NZA07AEbtXcebRc0ZOOl77fYd//bw4fod&#10;ZzEJ1wvjHXT8CJHfbK/ebMbQwtIP3vSAjIK42I6h40NKoa2qKAewIi58AEdO5dGKRCbuqx7FSNGt&#10;qZZ1/bYaPfYBvYQY6fXu5OTbEl8pkOmzUhESMx2n2lI5sZyP+ay2G9HuUYRBy3MZ4h+qsEI7SjqH&#10;uhNJsGfUr0JZLdFHr9JCelt5pbSEooHUNPUvar4OIkDRQs2JYW5T/H9h5afDDpnuaXbrJWdOWBrS&#10;gwaa55NmT89un3Rk2UedGkNsiXDrdni2Ythhlj0ptPlLgthUunucuwtTYpIe36+Xa84kOZrVarUu&#10;va9eqAFjugdvWb503GiXpYtWHD7GROkIeoGQkUs5JS+3dDSQwcZ9AUVyKF1T2GWR4NYgOwhagf57&#10;k4VQrILMFKWNmUn1n0lnbKZBWa6/Jc7oktG7NBOtdh5/lzVNl1LVCX9RfdKaZT/6/lhGUdpBG1KU&#10;nbc5r+DPdqG//HPbHwAAAP//AwBQSwMEFAAGAAgAAAAhANuvcIHfAAAACQEAAA8AAABkcnMvZG93&#10;bnJldi54bWxMj7tOxDAQRXsk/sEaJDrWYbV5EDJZIR4VFCFQUHrjIYk2HkexNwl8PaaCcnSP7j1T&#10;7FcziJkm11tGuN5EIIgbq3tuEd7fnq4yEM4r1mqwTAhf5GBfnp8VKtd24Veaa9+KUMIuVwid92Mu&#10;pWs6Mspt7Egcsk87GeXDObVST2oJ5WaQ2yhKpFE9h4VOjXTfUXOsTwYhfXyuq3F5ePmuZCqrarY+&#10;O34gXl6sd7cgPK3+D4Zf/aAOZXA62BNrJwaEOM5uAoqwTVIQAYiTaAfigLBLU5BlIf9/UP4AAAD/&#10;/wMAUEsBAi0AFAAGAAgAAAAhALaDOJL+AAAA4QEAABMAAAAAAAAAAAAAAAAAAAAAAFtDb250ZW50&#10;X1R5cGVzXS54bWxQSwECLQAUAAYACAAAACEAOP0h/9YAAACUAQAACwAAAAAAAAAAAAAAAAAvAQAA&#10;X3JlbHMvLnJlbHNQSwECLQAUAAYACAAAACEAV6VY67wBAAC7AwAADgAAAAAAAAAAAAAAAAAuAgAA&#10;ZHJzL2Uyb0RvYy54bWxQSwECLQAUAAYACAAAACEA269wgd8AAAAJAQAADwAAAAAAAAAAAAAAAAAW&#10;BAAAZHJzL2Rvd25yZXYueG1sUEsFBgAAAAAEAAQA8wAAACIFAAAAAA==&#10;" strokecolor="black [3040]"/>
            </w:pict>
          </mc:Fallback>
        </mc:AlternateContent>
      </w:r>
    </w:p>
    <w:p w14:paraId="56AB01A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45720" distB="45720" distL="114300" distR="114300" simplePos="0" relativeHeight="251738112" behindDoc="0" locked="0" layoutInCell="1" allowOverlap="1" wp14:anchorId="62234D4D" wp14:editId="7F597649">
                <wp:simplePos x="0" y="0"/>
                <wp:positionH relativeFrom="column">
                  <wp:posOffset>3910965</wp:posOffset>
                </wp:positionH>
                <wp:positionV relativeFrom="paragraph">
                  <wp:posOffset>32385</wp:posOffset>
                </wp:positionV>
                <wp:extent cx="495300" cy="247650"/>
                <wp:effectExtent l="0" t="0" r="0" b="0"/>
                <wp:wrapSquare wrapText="bothSides"/>
                <wp:docPr id="15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47650"/>
                        </a:xfrm>
                        <a:prstGeom prst="rect">
                          <a:avLst/>
                        </a:prstGeom>
                        <a:solidFill>
                          <a:srgbClr val="FFFFFF"/>
                        </a:solidFill>
                        <a:ln w="9525">
                          <a:noFill/>
                          <a:miter lim="800000"/>
                          <a:headEnd/>
                          <a:tailEnd/>
                        </a:ln>
                      </wps:spPr>
                      <wps:txbx>
                        <w:txbxContent>
                          <w:p w14:paraId="3A209D1B" w14:textId="77777777" w:rsidR="007B24A1" w:rsidRPr="008262D0" w:rsidRDefault="007B24A1" w:rsidP="00DC637E">
                            <w:pPr>
                              <w:rPr>
                                <w:sz w:val="20"/>
                              </w:rPr>
                            </w:pPr>
                            <w:r>
                              <w:rPr>
                                <w:iCs/>
                                <w:sz w:val="20"/>
                              </w:rPr>
                              <w:t>74</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34D4D" id="_x0000_s1097" type="#_x0000_t202" style="position:absolute;left:0;text-align:left;margin-left:307.95pt;margin-top:2.55pt;width:39pt;height:19.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mbKAIAACkEAAAOAAAAZHJzL2Uyb0RvYy54bWysU9tu2zAMfR+wfxD0vthx47Yx4hRdugwD&#10;ugvQ7QMYWY6FyKInKbGzrx8lJ1nQvQ3TgyCK5BF5eLR4GFrNDtI6habk00nKmTQCK2W2Jf/xff3u&#10;njPnwVSg0ciSH6XjD8u3bxZ9V8gMG9SVtIxAjCv6ruSN912RJE40sgU3wU4actZoW/Bk2m1SWegJ&#10;vdVJlqa3SY+26iwK6RzdPo1Ovoz4dS2F/1rXTnqmS061+bjbuG/CniwXUGwtdI0SpzLgH6poQRl6&#10;9AL1BB7Y3qq/oFolLDqs/URgm2BdKyFjD9TNNH3VzUsDnYy9EDmuu9Dk/h+s+HL4ZpmqaHb5DWcG&#10;WhpSxrzcOY9Mw34HLpDUd66g2JeOov3wHgdKiA277hnFzjGDqwbMVj5ai30joaIipyEzuUodcVwA&#10;2fSfsaK3YO8xAg21bQODxAkjdBrW8TIgOXgm6HI2z29S8ghyZbO72zwOMIHinNxZ5z9KbFk4lNzS&#10;/CM4HJ6dD8VAcQ4JbznUqlorraNht5uVtuwApJV1XLH+V2HasL7k8zzLI7LBkB9l1CpPWtaqLfl9&#10;GtaorkDGB1PFEA9Kj2eqRJsTO4GQkRo/bIY4jTw7s77B6kh8WRy1S3+NDg3aX5z1pNuSu597sJIz&#10;/ckQ5/PpbBaEHo1ZfpeRYa89m2sPGEFQJfecjceVj58j8GHwkWZTq8hbGOJYyalm0mOk8/R3guCv&#10;7Rj154cvfwMAAP//AwBQSwMEFAAGAAgAAAAhACIkehTcAAAACAEAAA8AAABkcnMvZG93bnJldi54&#10;bWxMj0FPg0AUhO8m/ofNM/Fi7IICFeTRqEmN19b+gIXdApF9S9htof/e15MeJzOZ+abcLHYQZzP5&#10;3hFCvIpAGGqc7qlFOHxvH19A+KBIq8GRQbgYD5vq9qZUhXYz7cx5H1rBJeQLhdCFMBZS+qYzVvmV&#10;Gw2xd3STVYHl1Eo9qZnL7SCfoiiTVvXEC50azUdnmp/9ySIcv+aHNJ/rz3BY75LsXfXr2l0Q7++W&#10;t1cQwSzhLwxXfEaHiplqdyLtxYCQxWnOUYQ0BsF+lj+zrhGSJAZZlfL/geoXAAD//wMAUEsBAi0A&#10;FAAGAAgAAAAhALaDOJL+AAAA4QEAABMAAAAAAAAAAAAAAAAAAAAAAFtDb250ZW50X1R5cGVzXS54&#10;bWxQSwECLQAUAAYACAAAACEAOP0h/9YAAACUAQAACwAAAAAAAAAAAAAAAAAvAQAAX3JlbHMvLnJl&#10;bHNQSwECLQAUAAYACAAAACEAiQiJmygCAAApBAAADgAAAAAAAAAAAAAAAAAuAgAAZHJzL2Uyb0Rv&#10;Yy54bWxQSwECLQAUAAYACAAAACEAIiR6FNwAAAAIAQAADwAAAAAAAAAAAAAAAACCBAAAZHJzL2Rv&#10;d25yZXYueG1sUEsFBgAAAAAEAAQA8wAAAIsFAAAAAA==&#10;" stroked="f">
                <v:textbox>
                  <w:txbxContent>
                    <w:p w14:paraId="3A209D1B" w14:textId="77777777" w:rsidR="007B24A1" w:rsidRPr="008262D0" w:rsidRDefault="007B24A1" w:rsidP="00DC637E">
                      <w:pPr>
                        <w:rPr>
                          <w:sz w:val="20"/>
                        </w:rPr>
                      </w:pPr>
                      <w:r>
                        <w:rPr>
                          <w:iCs/>
                          <w:sz w:val="20"/>
                        </w:rPr>
                        <w:t>74</w:t>
                      </w:r>
                      <w:r w:rsidRPr="008262D0">
                        <w:rPr>
                          <w:iCs/>
                          <w:sz w:val="20"/>
                        </w:rPr>
                        <w:t>%</w:t>
                      </w:r>
                    </w:p>
                  </w:txbxContent>
                </v:textbox>
                <w10:wrap type="square"/>
              </v:shape>
            </w:pict>
          </mc:Fallback>
        </mc:AlternateContent>
      </w:r>
      <w:r w:rsidRPr="004B2ACB">
        <w:rPr>
          <w:noProof/>
          <w:highlight w:val="lightGray"/>
        </w:rPr>
        <mc:AlternateContent>
          <mc:Choice Requires="wps">
            <w:drawing>
              <wp:anchor distT="0" distB="0" distL="114300" distR="114300" simplePos="0" relativeHeight="251716608" behindDoc="0" locked="0" layoutInCell="1" allowOverlap="1" wp14:anchorId="261BBD44" wp14:editId="11389F2A">
                <wp:simplePos x="0" y="0"/>
                <wp:positionH relativeFrom="column">
                  <wp:posOffset>5019675</wp:posOffset>
                </wp:positionH>
                <wp:positionV relativeFrom="paragraph">
                  <wp:posOffset>135890</wp:posOffset>
                </wp:positionV>
                <wp:extent cx="914400" cy="342900"/>
                <wp:effectExtent l="5080" t="12700" r="13970" b="6350"/>
                <wp:wrapNone/>
                <wp:docPr id="15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D2CE394" w14:textId="77777777" w:rsidR="007B24A1" w:rsidRPr="004B2ACB" w:rsidRDefault="007B24A1" w:rsidP="00DC637E">
                            <w:r w:rsidRPr="004B2ACB">
                              <w:rPr>
                                <w:bCs/>
                              </w:rPr>
                              <w:t>UAB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BBD44" id="_x0000_s1098" type="#_x0000_t202" style="position:absolute;left:0;text-align:left;margin-left:395.25pt;margin-top:10.7pt;width:1in;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NzKwIAAFsEAAAOAAAAZHJzL2Uyb0RvYy54bWysVNtu2zAMfR+wfxD0vthxk6014hRdugwD&#10;ugvQ7gNkWY6FyaJGKbG7rx8lp1l2exnmB0ESqUPyHNKr67E37KDQa7AVn89yzpSV0Gi7q/jnh+2L&#10;S858ELYRBqyq+KPy/Hr9/NlqcKUqoAPTKGQEYn05uIp3Ibgyy7zsVC/8DJyyZGwBexHoiLusQTEQ&#10;em+yIs9fZgNg4xCk8p5ubycjXyf8tlUyfGxbrwIzFafcQloxrXVcs/VKlDsUrtPymIb4hyx6oS0F&#10;PUHdiiDYHvVvUL2WCB7aMJPQZ9C2WqpUA1Uzz3+p5r4TTqVaiBzvTjT5/wcrPxw+IdMNabdccGZF&#10;TyI9qDGw1zCyYn4RGRqcL8nx3pFrGMlA3qla7+5AfvHMwqYTdqduEGHolGgow3l8mZ09nXB8BKmH&#10;99BQILEPkIDGFvtIHxHCCJ2UejypE5ORdHk1XyxyskgyXSyKK9rHCKJ8euzQh7cKehY3FUcSP4GL&#10;w50Pk+uTS4zlwehmq41JB9zVG4PsIKhRtuk7ov/kZiwbKJNlsZzq/ytEnr4/QfQ6UMcb3Vf88uQk&#10;ysjaG9tQmqIMQptpT9UZe6QxMjdxGMZ6TJotT/LU0DwSsQhTh9NE0qYD/MbZQN1dcf91L1BxZt5Z&#10;EidxSeOQDovlq4J4xXNLfW4RVhJUxQNn03YTphHaO9S7jiJN7WDhhgRtdSI7Kj9ldcyfOjjJdZy2&#10;OCLn5+T145+w/g4AAP//AwBQSwMEFAAGAAgAAAAhACkKtUngAAAACQEAAA8AAABkcnMvZG93bnJl&#10;di54bWxMj01PwzAMhu9I/IfISFwQS7d1Hy1NJ4QEghtsE1yz1msrEqckWVf+PeYER/t99PpxsRmt&#10;EQP60DlSMJ0kIJAqV3fUKNjvHm/XIELUVGvjCBV8Y4BNeXlR6Lx2Z3rDYRsbwSUUcq2gjbHPpQxV&#10;i1aHieuRODs6b3Xk0Tey9vrM5dbIWZIspdUd8YVW9/jQYvW5PVkF6/R5+Agv89f3ank0WbxZDU9f&#10;Xqnrq/H+DkTEMf7B8KvP6lCy08GdqA7CKFhlyYJRBbNpCoKBbJ7y4sDJIgVZFvL/B+UPAAAA//8D&#10;AFBLAQItABQABgAIAAAAIQC2gziS/gAAAOEBAAATAAAAAAAAAAAAAAAAAAAAAABbQ29udGVudF9U&#10;eXBlc10ueG1sUEsBAi0AFAAGAAgAAAAhADj9If/WAAAAlAEAAAsAAAAAAAAAAAAAAAAALwEAAF9y&#10;ZWxzLy5yZWxzUEsBAi0AFAAGAAgAAAAhAJHEk3MrAgAAWwQAAA4AAAAAAAAAAAAAAAAALgIAAGRy&#10;cy9lMm9Eb2MueG1sUEsBAi0AFAAGAAgAAAAhACkKtUngAAAACQEAAA8AAAAAAAAAAAAAAAAAhQQA&#10;AGRycy9kb3ducmV2LnhtbFBLBQYAAAAABAAEAPMAAACSBQAAAAA=&#10;">
                <v:textbox>
                  <w:txbxContent>
                    <w:p w14:paraId="4D2CE394" w14:textId="77777777" w:rsidR="007B24A1" w:rsidRPr="004B2ACB" w:rsidRDefault="007B24A1" w:rsidP="00DC637E">
                      <w:r w:rsidRPr="004B2ACB">
                        <w:rPr>
                          <w:bCs/>
                        </w:rPr>
                        <w:t>UAB „C“</w:t>
                      </w:r>
                    </w:p>
                  </w:txbxContent>
                </v:textbox>
              </v:shape>
            </w:pict>
          </mc:Fallback>
        </mc:AlternateContent>
      </w:r>
      <w:r w:rsidRPr="004B2ACB">
        <w:rPr>
          <w:noProof/>
          <w:highlight w:val="lightGray"/>
        </w:rPr>
        <mc:AlternateContent>
          <mc:Choice Requires="wps">
            <w:drawing>
              <wp:anchor distT="0" distB="0" distL="114300" distR="114300" simplePos="0" relativeHeight="251709440" behindDoc="0" locked="0" layoutInCell="1" allowOverlap="1" wp14:anchorId="443ED058" wp14:editId="38CBA1C0">
                <wp:simplePos x="0" y="0"/>
                <wp:positionH relativeFrom="column">
                  <wp:posOffset>542925</wp:posOffset>
                </wp:positionH>
                <wp:positionV relativeFrom="paragraph">
                  <wp:posOffset>116840</wp:posOffset>
                </wp:positionV>
                <wp:extent cx="914400" cy="342900"/>
                <wp:effectExtent l="5080" t="12700" r="13970" b="6350"/>
                <wp:wrapNone/>
                <wp:docPr id="15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4AB3BBD" w14:textId="77777777" w:rsidR="007B24A1" w:rsidRPr="004B2ACB" w:rsidRDefault="007B24A1" w:rsidP="00DC637E">
                            <w:r w:rsidRPr="004B2ACB">
                              <w:rPr>
                                <w:bCs/>
                              </w:rPr>
                              <w:t>UAB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ED058" id="_x0000_s1099" type="#_x0000_t202" style="position:absolute;left:0;text-align:left;margin-left:42.75pt;margin-top:9.2pt;width:1in;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tD4LAIAAFsEAAAOAAAAZHJzL2Uyb0RvYy54bWysVNtu2zAMfR+wfxD0vthxk6014hRdugwD&#10;ugvQ7gNkWbaFSaImKbGzry8lp2l2exnmB4EUqUPykPTqetSK7IXzEkxF57OcEmE4NNJ0Ff36sH11&#10;SYkPzDRMgREVPQhPr9cvX6wGW4oCelCNcARBjC8HW9E+BFtmmee90MzPwAqDxhacZgFV12WNYwOi&#10;a5UVef46G8A11gEX3uPt7WSk64TftoKHz23rRSCqophbSKdLZx3PbL1iZeeY7SU/psH+IQvNpMGg&#10;J6hbFhjZOfkblJbcgYc2zDjoDNpWcpFqwGrm+S/V3PfMilQLkuPtiSb//2D5p/0XR2SDvVsuKTFM&#10;Y5MexBjIWxhJMb+IDA3Wl+h4b9E1jGhA71Stt3fAv3liYNMz04kb52DoBWsww3l8mZ09nXB8BKmH&#10;j9BgILYLkIDG1ulIHxJCEB07dTh1JybD8fJqvljkaOFoulgUVyjHCKx8emydD+8FaBKFijpsfgJn&#10;+zsfJtcnlxjLg5LNViqVFNfVG+XInuGgbNN3RP/JTRkyYCbLYjnV/1eIPH1/gtAy4MQrqSt6eXJi&#10;ZWTtnWkwTVYGJtUkY3XKHGmMzE0chrEeU8+WixghclxDc0BiHUwTjhuJQg/uByUDTndF/fcdc4IS&#10;9cFgcxKXuA5JWSzfFMirO7fU5xZmOEJVNFAyiZswrdDOOtn1GGkaBwM32NBWJrKfszrmjxOc2nXc&#10;trgi53ryev4nrB8BAAD//wMAUEsDBBQABgAIAAAAIQBKfNmf3gAAAAgBAAAPAAAAZHJzL2Rvd25y&#10;ZXYueG1sTI/BTsMwEETvSPyDtUhcEHUIaZuGOBVCAsEN2gqubrxNIux1iN00/D3LCY47M3o7U64n&#10;Z8WIQ+g8KbiZJSCQam86ahTsto/XOYgQNRltPaGCbwywrs7PSl0Yf6I3HDexEQyhUGgFbYx9IWWo&#10;W3Q6zHyPxN7BD05HPodGmkGfGO6sTJNkIZ3uiD+0useHFuvPzdEpyLPn8SO83L6+14uDXcWr5fj0&#10;NSh1eTHd34GIOMW/MPzW5+pQcae9P5IJwjJjPuck63kGgv00XbGwV7BMM5BVKf8PqH4AAAD//wMA&#10;UEsBAi0AFAAGAAgAAAAhALaDOJL+AAAA4QEAABMAAAAAAAAAAAAAAAAAAAAAAFtDb250ZW50X1R5&#10;cGVzXS54bWxQSwECLQAUAAYACAAAACEAOP0h/9YAAACUAQAACwAAAAAAAAAAAAAAAAAvAQAAX3Jl&#10;bHMvLnJlbHNQSwECLQAUAAYACAAAACEANV7Q+CwCAABbBAAADgAAAAAAAAAAAAAAAAAuAgAAZHJz&#10;L2Uyb0RvYy54bWxQSwECLQAUAAYACAAAACEASnzZn94AAAAIAQAADwAAAAAAAAAAAAAAAACGBAAA&#10;ZHJzL2Rvd25yZXYueG1sUEsFBgAAAAAEAAQA8wAAAJEFAAAAAA==&#10;">
                <v:textbox>
                  <w:txbxContent>
                    <w:p w14:paraId="44AB3BBD" w14:textId="77777777" w:rsidR="007B24A1" w:rsidRPr="004B2ACB" w:rsidRDefault="007B24A1" w:rsidP="00DC637E">
                      <w:r w:rsidRPr="004B2ACB">
                        <w:rPr>
                          <w:bCs/>
                        </w:rPr>
                        <w:t>UAB „A“</w:t>
                      </w:r>
                    </w:p>
                  </w:txbxContent>
                </v:textbox>
              </v:shape>
            </w:pict>
          </mc:Fallback>
        </mc:AlternateContent>
      </w:r>
      <w:r w:rsidRPr="004B2ACB">
        <w:rPr>
          <w:noProof/>
          <w:highlight w:val="lightGray"/>
        </w:rPr>
        <mc:AlternateContent>
          <mc:Choice Requires="wps">
            <w:drawing>
              <wp:anchor distT="0" distB="0" distL="114300" distR="114300" simplePos="0" relativeHeight="251713536" behindDoc="0" locked="0" layoutInCell="1" allowOverlap="1" wp14:anchorId="77091E29" wp14:editId="33D6FBD0">
                <wp:simplePos x="0" y="0"/>
                <wp:positionH relativeFrom="column">
                  <wp:posOffset>2943225</wp:posOffset>
                </wp:positionH>
                <wp:positionV relativeFrom="paragraph">
                  <wp:posOffset>124460</wp:posOffset>
                </wp:positionV>
                <wp:extent cx="914400" cy="342900"/>
                <wp:effectExtent l="5080" t="12700" r="13970" b="6350"/>
                <wp:wrapNone/>
                <wp:docPr id="15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CCEAF80" w14:textId="77777777" w:rsidR="007B24A1" w:rsidRPr="004B2ACB" w:rsidRDefault="007B24A1" w:rsidP="00DC637E">
                            <w:r w:rsidRPr="004B2ACB">
                              <w:rPr>
                                <w:bCs/>
                              </w:rPr>
                              <w:t>UAB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1E29" id="_x0000_s1100" type="#_x0000_t202" style="position:absolute;left:0;text-align:left;margin-left:231.75pt;margin-top:9.8pt;width:1in;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u0LAIAAFsEAAAOAAAAZHJzL2Uyb0RvYy54bWysVNtu2zAMfR+wfxD0vthxk6414hRdugwD&#10;ugvQ7gNkWbaFSaImKbGzrx8lp2l2exnmB4EUqUPykPTqZtSK7IXzEkxF57OcEmE4NNJ0Ff3yuH11&#10;RYkPzDRMgREVPQhPb9YvX6wGW4oCelCNcARBjC8HW9E+BFtmmee90MzPwAqDxhacZgFV12WNYwOi&#10;a5UVeX6ZDeAa64AL7/H2bjLSdcJvW8HDp7b1IhBVUcwtpNOls45ntl6xsnPM9pIf02D/kIVm0mDQ&#10;E9QdC4zsnPwNSkvuwEMbZhx0Bm0ruUg1YDXz/JdqHnpmRaoFyfH2RJP/f7D84/6zI7LB3i0vKTFM&#10;Y5MexRjIGxhJMb+IDA3Wl+j4YNE1jGhA71Stt/fAv3piYNMz04lb52DoBWsww3l8mZ09nXB8BKmH&#10;D9BgILYLkIDG1ulIHxJCEB07dTh1JybD8fJ6vljkaOFoulgU1yjHCKx8emydD+8EaBKFijpsfgJn&#10;+3sfJtcnlxjLg5LNViqVFNfVG+XInuGgbNN3RP/JTRkyYCbLYjnV/1eIPH1/gtAy4MQrqSt6dXJi&#10;ZWTtrWkwTVYGJtUkY3XKHGmMzE0chrEeU8+WyxghclxDc0BiHUwTjhuJQg/uOyUDTndF/bcdc4IS&#10;9d5gcxKXuA5JWSxfF8irO7fU5xZmOEJVNFAyiZswrdDOOtn1GGkaBwO32NBWJrKfszrmjxOc2nXc&#10;trgi53ryev4nrH8AAAD//wMAUEsDBBQABgAIAAAAIQCVP52b3wAAAAkBAAAPAAAAZHJzL2Rvd25y&#10;ZXYueG1sTI/BTsMwDIbvSLxDZCQuaEuhI91K0wkhgdgNNgTXrMnaisQpSdaVt8ec4Gj/n35/rtaT&#10;s2w0IfYeJVzPM2AGG697bCW87R5nS2AxKdTKejQSvk2EdX1+VqlS+xO+mnGbWkYlGEsloUtpKDmP&#10;TWecinM/GKTs4INTicbQch3Uicqd5TdZJrhTPdKFTg3moTPN5/boJCwXz+NH3OQv74042FW6Ksan&#10;ryDl5cV0fwcsmSn9wfCrT+pQk9PeH1FHZiUsRH5LKAUrAYwAkRW02EsocgG8rvj/D+ofAAAA//8D&#10;AFBLAQItABQABgAIAAAAIQC2gziS/gAAAOEBAAATAAAAAAAAAAAAAAAAAAAAAABbQ29udGVudF9U&#10;eXBlc10ueG1sUEsBAi0AFAAGAAgAAAAhADj9If/WAAAAlAEAAAsAAAAAAAAAAAAAAAAALwEAAF9y&#10;ZWxzLy5yZWxzUEsBAi0AFAAGAAgAAAAhAJybC7QsAgAAWwQAAA4AAAAAAAAAAAAAAAAALgIAAGRy&#10;cy9lMm9Eb2MueG1sUEsBAi0AFAAGAAgAAAAhAJU/nZvfAAAACQEAAA8AAAAAAAAAAAAAAAAAhgQA&#10;AGRycy9kb3ducmV2LnhtbFBLBQYAAAAABAAEAPMAAACSBQAAAAA=&#10;">
                <v:textbox>
                  <w:txbxContent>
                    <w:p w14:paraId="6CCEAF80" w14:textId="77777777" w:rsidR="007B24A1" w:rsidRPr="004B2ACB" w:rsidRDefault="007B24A1" w:rsidP="00DC637E">
                      <w:r w:rsidRPr="004B2ACB">
                        <w:rPr>
                          <w:bCs/>
                        </w:rPr>
                        <w:t>UAB „B“</w:t>
                      </w:r>
                    </w:p>
                  </w:txbxContent>
                </v:textbox>
              </v:shape>
            </w:pict>
          </mc:Fallback>
        </mc:AlternateContent>
      </w:r>
    </w:p>
    <w:p w14:paraId="796B34D0"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20D604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29920" behindDoc="0" locked="0" layoutInCell="1" allowOverlap="1" wp14:anchorId="59872A36" wp14:editId="316B36AE">
                <wp:simplePos x="0" y="0"/>
                <wp:positionH relativeFrom="column">
                  <wp:posOffset>5415915</wp:posOffset>
                </wp:positionH>
                <wp:positionV relativeFrom="paragraph">
                  <wp:posOffset>125730</wp:posOffset>
                </wp:positionV>
                <wp:extent cx="0" cy="685800"/>
                <wp:effectExtent l="0" t="0" r="19050" b="19050"/>
                <wp:wrapNone/>
                <wp:docPr id="157" name="Tiesioji jungtis 157"/>
                <wp:cNvGraphicFramePr/>
                <a:graphic xmlns:a="http://schemas.openxmlformats.org/drawingml/2006/main">
                  <a:graphicData uri="http://schemas.microsoft.com/office/word/2010/wordprocessingShape">
                    <wps:wsp>
                      <wps:cNvCnPr/>
                      <wps:spPr>
                        <a:xfrm>
                          <a:off x="0" y="0"/>
                          <a:ext cx="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715B8B" id="Tiesioji jungtis 157"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6.45pt,9.9pt" to="426.4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9BPtwEAALgDAAAOAAAAZHJzL2Uyb0RvYy54bWysU01v2zAMvQ/YfxB0X+wUaBcYcXposV2G&#10;Nti6H6DKVKxWX6DU2Pn3o+TEGbZhKIpeaFHie+Qj6fX1aA3bA0btXcuXi5ozcNJ32u1a/vPhy6cV&#10;ZzEJ1wnjHbT8AJFfbz5+WA+hgQvfe9MBMiJxsRlCy/uUQlNVUfZgRVz4AI4elUcrErm4qzoUA7Fb&#10;U13U9VU1eOwCegkx0u3t9Mg3hV8pkOleqQiJmZZTbalYLPYx22qzFs0ORei1PJYh3lCFFdpR0pnq&#10;ViTBXlD/RWW1RB+9SgvpbeWV0hKKBlKzrP9Q86MXAYoWak4Mc5vi+9HKu/0Wme5odpefOXPC0pAe&#10;NNA8nzR7enG7pCPLb9SpIcSGADdui0cvhi1m2aNCm78kiI2lu4e5uzAmJqdLSbdXq8tVXRpfnXEB&#10;Y/oK3rJ8aLnRLusWjdh/i4lyUegphJxcx5S5nNLBQA427jso0kK5lgVdtghuDLK9oPl3z8usgrhK&#10;ZIYobcwMqv8POsZmGJTNei1wji4ZvUsz0Grn8V9Z03gqVU3xJ9WT1iz70XeHMofSDlqPouy4ynn/&#10;fvcL/PzDbX4BAAD//wMAUEsDBBQABgAIAAAAIQAMmHPc3QAAAAoBAAAPAAAAZHJzL2Rvd25yZXYu&#10;eG1sTI9PT4NAEMXvJv0Om2nSm10kqVBkaYx/TnpA9OBxy45Ays4Sdgvop3eMBz3Oe7+8eS8/LLYX&#10;E46+c6TgahuBQKqd6ahR8Pb6eJmC8EGT0b0jVPCJHg7F6iLXmXEzveBUhUZwCPlMK2hDGDIpfd2i&#10;1X7rBiT2PtxodeBzbKQZ9czhtpdxFF1LqzviD60e8K7F+lSdrYLk4akqh/n++auUiSzLyYX09K7U&#10;Zr3c3oAIuIQ/GH7qc3UouNPRncl40StId/GeUTb2PIGBX+HIQpykIItc/p9QfAMAAP//AwBQSwEC&#10;LQAUAAYACAAAACEAtoM4kv4AAADhAQAAEwAAAAAAAAAAAAAAAAAAAAAAW0NvbnRlbnRfVHlwZXNd&#10;LnhtbFBLAQItABQABgAIAAAAIQA4/SH/1gAAAJQBAAALAAAAAAAAAAAAAAAAAC8BAABfcmVscy8u&#10;cmVsc1BLAQItABQABgAIAAAAIQA1U9BPtwEAALgDAAAOAAAAAAAAAAAAAAAAAC4CAABkcnMvZTJv&#10;RG9jLnhtbFBLAQItABQABgAIAAAAIQAMmHPc3QAAAAo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5824" behindDoc="0" locked="0" layoutInCell="1" allowOverlap="1" wp14:anchorId="791D7B9D" wp14:editId="7B1C1E08">
                <wp:simplePos x="0" y="0"/>
                <wp:positionH relativeFrom="column">
                  <wp:posOffset>1053465</wp:posOffset>
                </wp:positionH>
                <wp:positionV relativeFrom="paragraph">
                  <wp:posOffset>125730</wp:posOffset>
                </wp:positionV>
                <wp:extent cx="19050" cy="685800"/>
                <wp:effectExtent l="0" t="0" r="19050" b="19050"/>
                <wp:wrapNone/>
                <wp:docPr id="158" name="Tiesioji jungtis 158"/>
                <wp:cNvGraphicFramePr/>
                <a:graphic xmlns:a="http://schemas.openxmlformats.org/drawingml/2006/main">
                  <a:graphicData uri="http://schemas.microsoft.com/office/word/2010/wordprocessingShape">
                    <wps:wsp>
                      <wps:cNvCnPr/>
                      <wps:spPr>
                        <a:xfrm>
                          <a:off x="0" y="0"/>
                          <a:ext cx="1905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32CFA4" id="Tiesioji jungtis 158"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82.95pt,9.9pt" to="84.4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rguwEAALwDAAAOAAAAZHJzL2Uyb0RvYy54bWysU01v2zAMvQ/ofxB0b+wUSJEZcXposV2K&#10;Lei6H6DKVKxOX6DU2Pn3pZTEHdaiKIpdZFF8j+Qj6dXVaA3bAUbtXcvns5ozcNJ32m1b/vv+2/mS&#10;s5iE64TxDlq+h8iv1mdfVkNo4ML33nSAjIK42Ayh5X1KoamqKHuwIs58AEdO5dGKRCZuqw7FQNGt&#10;qS7q+rIaPHYBvYQY6fXm4OTrEl8pkOmnUhESMy2n2lI5sZwP+azWK9FsUYRey2MZ4hNVWKEdJZ1C&#10;3Ygk2BPqV6GsluijV2kmva28UlpC0UBq5vU/an71IkDRQs2JYWpT/H9h5Y/dBpnuaHYLGpUTloZ0&#10;r4Hm+ajZ45PbJh1Z9lGnhhAbIly7DR6tGDaYZY8Kbf6SIDaW7u6n7sKYmKTH+dd6QSOQ5LlcLpZ1&#10;aX71wg0Y03fwluVLy412WbtoxO42JspH0BOEjFzLIXu5pb2BDDbuDhTpyfkKu2wSXBtkO0E70P2Z&#10;ZyUUqyAzRWljJlL9PumIzTQo2/VR4oQuGb1LE9Fq5/GtrGk8laoO+JPqg9Ys+8F3+zKL0g5akaLs&#10;uM55B/+2C/3lp1s/AwAA//8DAFBLAwQUAAYACAAAACEAzTEQnd0AAAAKAQAADwAAAGRycy9kb3du&#10;cmV2LnhtbExPTU+DQBS8m/gfNs/Em11sIlDK0hg/TnpA9OBxy74CKfuWsFtAf72vJ3ubeTOZN5Pv&#10;FtuLCUffOVJwv4pAINXOdNQo+Pp8vUtB+KDJ6N4RKvhBD7vi+irXmXEzfeBUhUZwCPlMK2hDGDIp&#10;fd2i1X7lBiTWDm60OjAdG2lGPXO47eU6imJpdUf8odUDPrVYH6uTVZC8vFXlMD+//5YykWU5uZAe&#10;v5W6vVketyACLuHfDOf6XB0K7rR3JzJe9Mzjhw1bGWx4wtkQp3zYM1gnKcgil5cTij8AAAD//wMA&#10;UEsBAi0AFAAGAAgAAAAhALaDOJL+AAAA4QEAABMAAAAAAAAAAAAAAAAAAAAAAFtDb250ZW50X1R5&#10;cGVzXS54bWxQSwECLQAUAAYACAAAACEAOP0h/9YAAACUAQAACwAAAAAAAAAAAAAAAAAvAQAAX3Jl&#10;bHMvLnJlbHNQSwECLQAUAAYACAAAACEAu7P64LsBAAC8AwAADgAAAAAAAAAAAAAAAAAuAgAAZHJz&#10;L2Uyb0RvYy54bWxQSwECLQAUAAYACAAAACEAzTEQnd0AAAAKAQAADwAAAAAAAAAAAAAAAAAVBAAA&#10;ZHJzL2Rvd25yZXYueG1sUEsFBgAAAAAEAAQA8wAAAB8FAAAAAA==&#10;" strokecolor="black [3040]"/>
            </w:pict>
          </mc:Fallback>
        </mc:AlternateContent>
      </w:r>
      <w:r w:rsidRPr="004B2ACB">
        <w:rPr>
          <w:noProof/>
          <w:highlight w:val="lightGray"/>
        </w:rPr>
        <mc:AlternateContent>
          <mc:Choice Requires="wps">
            <w:drawing>
              <wp:anchor distT="0" distB="0" distL="114300" distR="114300" simplePos="0" relativeHeight="251723776" behindDoc="0" locked="0" layoutInCell="1" allowOverlap="1" wp14:anchorId="00B91D9C" wp14:editId="58B19128">
                <wp:simplePos x="0" y="0"/>
                <wp:positionH relativeFrom="column">
                  <wp:posOffset>3196590</wp:posOffset>
                </wp:positionH>
                <wp:positionV relativeFrom="paragraph">
                  <wp:posOffset>129540</wp:posOffset>
                </wp:positionV>
                <wp:extent cx="0" cy="495300"/>
                <wp:effectExtent l="0" t="0" r="19050" b="19050"/>
                <wp:wrapNone/>
                <wp:docPr id="159" name="Tiesioji jungtis 159"/>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D1A44B" id="Tiesioji jungtis 15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51.7pt,10.2pt" to="251.7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KIuAEAALgDAAAOAAAAZHJzL2Uyb0RvYy54bWysU01v2zAMvQ/YfxB0b+y067AacXpo0V6G&#10;LdjaH6DKVKxOX6DU2Pn3o+TELdaiGIZdaFHie+Qj6dXlaA3bAUbtXcuXi5ozcNJ32m1bfn93c/KF&#10;s5iE64TxDlq+h8gv1x8/rIbQwKnvvekAGZG42Ayh5X1KoamqKHuwIi58AEePyqMViVzcVh2Kgdit&#10;qU7r+nM1eOwCegkx0u319MjXhV8pkOm7UhESMy2n2lKxWOxDttV6JZotitBreShD/EMVVmhHSWeq&#10;a5EEe0L9ispqiT56lRbS28orpSUUDaRmWf+h5mcvAhQt1JwY5jbF/0crv+02yHRHszu/4MwJS0O6&#10;00DzfNTs8cltk44sv1GnhhAbAly5DR68GDaYZY8Kbf6SIDaW7u7n7sKYmJwuJd1+ujg/q0vjq2dc&#10;wJhuwVuWDy032mXdohG7rzFRLgo9hpCT65gyl1PaG8jBxv0ARVoo17KgyxbBlUG2EzT/7tcyqyCu&#10;EpkhShszg+r3QYfYDIOyWX8LnKNLRu/SDLTaeXwraxqPpaop/qh60pplP/huX+ZQ2kHrUZQdVjnv&#10;30u/wJ9/uPVvAAAA//8DAFBLAwQUAAYACAAAACEAl8X+xd4AAAAJAQAADwAAAGRycy9kb3ducmV2&#10;LnhtbEyPTU/DMAyG70j8h8hI3FjCGKyUuhPi4wSHUnbYMWtCW61xqiZrC78eIw5wsmw/ev0428yu&#10;E6MdQusJ4XKhQFiqvGmpRti+P18kIELUZHTnySJ82gCb/PQk06nxE73ZsYy14BAKqUZoYuxTKUPV&#10;WKfDwveWePfhB6cjt0MtzaAnDnedXCp1I51uiS80urcPja0O5dEhrJ9eyqKfHl+/CrmWRTH6mBx2&#10;iOdn8/0diGjn+AfDjz6rQ85Oe38kE0SHcK2uVowiLBVXBn4He4TbZAUyz+T/D/JvAAAA//8DAFBL&#10;AQItABQABgAIAAAAIQC2gziS/gAAAOEBAAATAAAAAAAAAAAAAAAAAAAAAABbQ29udGVudF9UeXBl&#10;c10ueG1sUEsBAi0AFAAGAAgAAAAhADj9If/WAAAAlAEAAAsAAAAAAAAAAAAAAAAALwEAAF9yZWxz&#10;Ly5yZWxzUEsBAi0AFAAGAAgAAAAhAPsUooi4AQAAuAMAAA4AAAAAAAAAAAAAAAAALgIAAGRycy9l&#10;Mm9Eb2MueG1sUEsBAi0AFAAGAAgAAAAhAJfF/sXeAAAACQEAAA8AAAAAAAAAAAAAAAAAEgQAAGRy&#10;cy9kb3ducmV2LnhtbFBLBQYAAAAABAAEAPMAAAAdBQAAAAA=&#10;" strokecolor="black [3040]"/>
            </w:pict>
          </mc:Fallback>
        </mc:AlternateContent>
      </w:r>
    </w:p>
    <w:p w14:paraId="4D86D6C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45720" distB="45720" distL="114300" distR="114300" simplePos="0" relativeHeight="251734016" behindDoc="0" locked="0" layoutInCell="1" allowOverlap="1" wp14:anchorId="2F1AA12C" wp14:editId="2BA5DAAB">
                <wp:simplePos x="0" y="0"/>
                <wp:positionH relativeFrom="column">
                  <wp:posOffset>4638675</wp:posOffset>
                </wp:positionH>
                <wp:positionV relativeFrom="paragraph">
                  <wp:posOffset>54610</wp:posOffset>
                </wp:positionV>
                <wp:extent cx="781050" cy="281305"/>
                <wp:effectExtent l="0" t="0" r="0" b="4445"/>
                <wp:wrapSquare wrapText="bothSides"/>
                <wp:docPr id="192"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5240F27C" w14:textId="77777777" w:rsidR="007B24A1" w:rsidRPr="008262D0" w:rsidRDefault="007B24A1" w:rsidP="00DC637E">
                            <w:pPr>
                              <w:rPr>
                                <w:sz w:val="20"/>
                              </w:rPr>
                            </w:pPr>
                            <w:r w:rsidRPr="008262D0">
                              <w:rPr>
                                <w:sz w:val="20"/>
                              </w:rPr>
                              <w:t>33,</w:t>
                            </w:r>
                            <w:r>
                              <w:rPr>
                                <w:sz w:val="20"/>
                              </w:rPr>
                              <w:t>4</w:t>
                            </w:r>
                            <w:r w:rsidRPr="008262D0">
                              <w:rPr>
                                <w:sz w:val="20"/>
                              </w:rPr>
                              <w:t xml:space="preserve">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AA12C" id="_x0000_s1101" type="#_x0000_t202" style="position:absolute;left:0;text-align:left;margin-left:365.25pt;margin-top:4.3pt;width:61.5pt;height:22.1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JyKAIAACkEAAAOAAAAZHJzL2Uyb0RvYy54bWysU9tu2zAMfR+wfxD0vviyuE2MOEWXLsOA&#10;7gJ0+wBGlmMhsuhJSuzs60cpaZptb8P8IJAmeXR4SC3uxk6zg7ROoal4Nkk5k0Zgrcy24t+/rd/M&#10;OHMeTA0ajaz4UTp+t3z9ajH0pcyxRV1LywjEuHLoK95635dJ4kQrO3AT7KWhYIO2A0+u3Sa1hYHQ&#10;O53kaXqTDGjr3qKQztHfh1OQLyN+00jhvzSNk57pihM3H08bz004k+UCyq2FvlXiTAP+gUUHytCl&#10;F6gH8MD2Vv0F1Slh0WHjJwK7BJtGCRl7oG6y9I9unlroZeyFxHH9RSb3/2DF58NXy1RNs5vnnBno&#10;aEg583LnPDIN+x24INLQu5Jyn3rK9uM7HKkgNuz6RxQ7xwyuWjBbeW8tDq2EmkhmoTK5Kj3huACy&#10;GT5hTXfB3mMEGhvbBQVJE0boNKzjZUBy9EzQz9tZlhYUERTKZ9nbtIg3QPlc3FvnP0jsWDAqbmn+&#10;ERwOj84HMlA+p4S7HGpVr5XW0bHbzUpbdgDalXX8zui/pWnDhorPi7yIyAZDfVyjTnnaZa26is/S&#10;8IVyKIMY700dbQ9Kn2xios1ZnSDISRo/bsY4jeImFAfpNlgfSS+Lp92lt0ZGi/YnZwPtbcXdjz1Y&#10;yZn+aEjzeTadhkWPzrS4zcmx15HNdQSMIKiKe85O5srHxxF4G7yn2TQq6vbC5MyZ9jHKeX47YeGv&#10;/Zj18sKXvwAAAP//AwBQSwMEFAAGAAgAAAAhAMDS/HDdAAAACAEAAA8AAABkcnMvZG93bnJldi54&#10;bWxMj81OwzAQhO9IvIO1lbgg6tCSn4Y4FSCBuLb0AZx4m0SN11HsNunbs5zocTSjmW+K7Wx7ccHR&#10;d44UPC8jEEi1Mx01Cg4/n08ZCB80Gd07QgVX9LAt7+8KnRs30Q4v+9AILiGfawVtCEMupa9btNov&#10;3YDE3tGNVgeWYyPNqCcut71cRVEire6IF1o94EeL9Wl/tgqO39NjvJmqr3BIdy/Ju+7Syl2VeljM&#10;b68gAs7hPwx/+IwOJTNV7kzGi15Buo5ijirIEhDsZ/GadaUgXm1AloW8PVD+AgAA//8DAFBLAQIt&#10;ABQABgAIAAAAIQC2gziS/gAAAOEBAAATAAAAAAAAAAAAAAAAAAAAAABbQ29udGVudF9UeXBlc10u&#10;eG1sUEsBAi0AFAAGAAgAAAAhADj9If/WAAAAlAEAAAsAAAAAAAAAAAAAAAAALwEAAF9yZWxzLy5y&#10;ZWxzUEsBAi0AFAAGAAgAAAAhAIJocnIoAgAAKQQAAA4AAAAAAAAAAAAAAAAALgIAAGRycy9lMm9E&#10;b2MueG1sUEsBAi0AFAAGAAgAAAAhAMDS/HDdAAAACAEAAA8AAAAAAAAAAAAAAAAAggQAAGRycy9k&#10;b3ducmV2LnhtbFBLBQYAAAAABAAEAPMAAACMBQAAAAA=&#10;" stroked="f">
                <v:textbox>
                  <w:txbxContent>
                    <w:p w14:paraId="5240F27C" w14:textId="77777777" w:rsidR="007B24A1" w:rsidRPr="008262D0" w:rsidRDefault="007B24A1" w:rsidP="00DC637E">
                      <w:pPr>
                        <w:rPr>
                          <w:sz w:val="20"/>
                        </w:rPr>
                      </w:pPr>
                      <w:r w:rsidRPr="008262D0">
                        <w:rPr>
                          <w:sz w:val="20"/>
                        </w:rPr>
                        <w:t>33,</w:t>
                      </w:r>
                      <w:r>
                        <w:rPr>
                          <w:sz w:val="20"/>
                        </w:rPr>
                        <w:t>4</w:t>
                      </w:r>
                      <w:r w:rsidRPr="008262D0">
                        <w:rPr>
                          <w:sz w:val="20"/>
                        </w:rPr>
                        <w:t xml:space="preserve"> </w:t>
                      </w:r>
                      <w:r w:rsidRPr="008262D0">
                        <w:rPr>
                          <w:iCs/>
                          <w:sz w:val="20"/>
                        </w:rPr>
                        <w:t>%</w:t>
                      </w:r>
                    </w:p>
                  </w:txbxContent>
                </v:textbox>
                <w10:wrap type="square"/>
              </v:shape>
            </w:pict>
          </mc:Fallback>
        </mc:AlternateContent>
      </w:r>
      <w:r w:rsidRPr="004B2ACB">
        <w:rPr>
          <w:noProof/>
          <w:highlight w:val="lightGray"/>
        </w:rPr>
        <mc:AlternateContent>
          <mc:Choice Requires="wps">
            <w:drawing>
              <wp:anchor distT="45720" distB="45720" distL="114300" distR="114300" simplePos="0" relativeHeight="251732992" behindDoc="0" locked="0" layoutInCell="1" allowOverlap="1" wp14:anchorId="14C2A91E" wp14:editId="0ADE92F5">
                <wp:simplePos x="0" y="0"/>
                <wp:positionH relativeFrom="column">
                  <wp:posOffset>3276600</wp:posOffset>
                </wp:positionH>
                <wp:positionV relativeFrom="paragraph">
                  <wp:posOffset>55245</wp:posOffset>
                </wp:positionV>
                <wp:extent cx="781050" cy="281305"/>
                <wp:effectExtent l="0" t="0" r="0" b="4445"/>
                <wp:wrapSquare wrapText="bothSides"/>
                <wp:docPr id="193"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3439FDC9" w14:textId="77777777" w:rsidR="007B24A1" w:rsidRPr="008262D0" w:rsidRDefault="007B24A1" w:rsidP="00DC637E">
                            <w:pPr>
                              <w:rPr>
                                <w:sz w:val="20"/>
                              </w:rPr>
                            </w:pPr>
                            <w:r w:rsidRPr="008262D0">
                              <w:rPr>
                                <w:sz w:val="20"/>
                              </w:rPr>
                              <w:t xml:space="preserve">33,3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A91E" id="_x0000_s1102" type="#_x0000_t202" style="position:absolute;left:0;text-align:left;margin-left:258pt;margin-top:4.35pt;width:61.5pt;height:22.1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LfKAIAACkEAAAOAAAAZHJzL2Uyb0RvYy54bWysU9tu2zAMfR+wfxD0vthxkzUx4hRdugwD&#10;ugvQ7QNoWY6FyKInKbGzrx8lp2m2vQ3zg0Ca5NHhIbW6G1rNjtI6habg00nKmTQCK2V2Bf/+bftm&#10;wZnzYCrQaGTBT9Lxu/XrV6u+y2WGDepKWkYgxuV9V/DG+y5PEica2YKbYCcNBWu0LXhy7S6pLPSE&#10;3uokS9O3SY+26iwK6Rz9fRiDfB3x61oK/6WunfRMF5y4+XjaeJbhTNYryHcWukaJMw34BxYtKEOX&#10;XqAewAM7WPUXVKuERYe1nwhsE6xrJWTsgbqZpn9089RAJ2MvJI7rLjK5/wcrPh+/WqYqmt3yhjMD&#10;LQ0pY17unUem4bAHF0TqO5dT7lNH2X54hwMVxIZd94hi75jBTQNmJ++txb6RUBHJaahMrkpHHBdA&#10;yv4TVnQXHDxGoKG2bVCQNGGETsM6XQYkB88E/bxdTNM5RQSFssX0Jp3HGyB/Lu6s8x8ktiwYBbc0&#10;/wgOx0fnAxnIn1PCXQ61qrZK6+jYXbnRlh2BdmUbvzP6b2nasL7gy3k2j8gGQ31co1Z52mWt2oIv&#10;0vCFcsiDGO9NFW0PSo82MdHmrE4QZJTGD+UQpzG/DcVBuhKrE+llcdxdemtkNGh/ctbT3hbc/TiA&#10;lZzpj4Y0X05ns7Do0ZnNbzNy7HWkvI6AEQRVcM/ZaG58fByBt8F7mk2tom4vTM6caR+jnOe3Exb+&#10;2o9ZLy98/QsAAP//AwBQSwMEFAAGAAgAAAAhAFWd52DcAAAACAEAAA8AAABkcnMvZG93bnJldi54&#10;bWxMj9FOwkAQRd9N/IfNkPhiZItIC7VboiYaX0E+YNoObUN3tukutPy945M83pzJnXOz7WQ7daHB&#10;t44NLOYRKOLSVS3XBg4/n09rUD4gV9g5JgNX8rDN7+8yTCs38o4u+1ArKWGfooEmhD7V2pcNWfRz&#10;1xMLO7rBYpA41LoacJRy2+nnKIq1xZblQ4M9fTRUnvZna+D4PT6uNmPxFQ7J7iV+xzYp3NWYh9n0&#10;9goq0BT+j+FPX9QhF6fCnbnyqjOwWsSyJRhYJ6CEx8uN5ELAMgKdZ/p2QP4LAAD//wMAUEsBAi0A&#10;FAAGAAgAAAAhALaDOJL+AAAA4QEAABMAAAAAAAAAAAAAAAAAAAAAAFtDb250ZW50X1R5cGVzXS54&#10;bWxQSwECLQAUAAYACAAAACEAOP0h/9YAAACUAQAACwAAAAAAAAAAAAAAAAAvAQAAX3JlbHMvLnJl&#10;bHNQSwECLQAUAAYACAAAACEAi7mS3ygCAAApBAAADgAAAAAAAAAAAAAAAAAuAgAAZHJzL2Uyb0Rv&#10;Yy54bWxQSwECLQAUAAYACAAAACEAVZ3nYNwAAAAIAQAADwAAAAAAAAAAAAAAAACCBAAAZHJzL2Rv&#10;d25yZXYueG1sUEsFBgAAAAAEAAQA8wAAAIsFAAAAAA==&#10;" stroked="f">
                <v:textbox>
                  <w:txbxContent>
                    <w:p w14:paraId="3439FDC9" w14:textId="77777777" w:rsidR="007B24A1" w:rsidRPr="008262D0" w:rsidRDefault="007B24A1" w:rsidP="00DC637E">
                      <w:pPr>
                        <w:rPr>
                          <w:sz w:val="20"/>
                        </w:rPr>
                      </w:pPr>
                      <w:r w:rsidRPr="008262D0">
                        <w:rPr>
                          <w:sz w:val="20"/>
                        </w:rPr>
                        <w:t xml:space="preserve">33,3 </w:t>
                      </w:r>
                      <w:r w:rsidRPr="008262D0">
                        <w:rPr>
                          <w:iCs/>
                          <w:sz w:val="20"/>
                        </w:rPr>
                        <w:t>%</w:t>
                      </w:r>
                    </w:p>
                  </w:txbxContent>
                </v:textbox>
                <w10:wrap type="square"/>
              </v:shape>
            </w:pict>
          </mc:Fallback>
        </mc:AlternateContent>
      </w:r>
      <w:r w:rsidRPr="004B2ACB">
        <w:rPr>
          <w:noProof/>
          <w:highlight w:val="lightGray"/>
        </w:rPr>
        <mc:AlternateContent>
          <mc:Choice Requires="wps">
            <w:drawing>
              <wp:anchor distT="45720" distB="45720" distL="114300" distR="114300" simplePos="0" relativeHeight="251731968" behindDoc="0" locked="0" layoutInCell="1" allowOverlap="1" wp14:anchorId="17B8772E" wp14:editId="1AC0DFB4">
                <wp:simplePos x="0" y="0"/>
                <wp:positionH relativeFrom="column">
                  <wp:posOffset>1072515</wp:posOffset>
                </wp:positionH>
                <wp:positionV relativeFrom="paragraph">
                  <wp:posOffset>164465</wp:posOffset>
                </wp:positionV>
                <wp:extent cx="781050" cy="281305"/>
                <wp:effectExtent l="0" t="0" r="0" b="4445"/>
                <wp:wrapSquare wrapText="bothSides"/>
                <wp:docPr id="19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1305"/>
                        </a:xfrm>
                        <a:prstGeom prst="rect">
                          <a:avLst/>
                        </a:prstGeom>
                        <a:solidFill>
                          <a:srgbClr val="FFFFFF"/>
                        </a:solidFill>
                        <a:ln w="9525">
                          <a:noFill/>
                          <a:miter lim="800000"/>
                          <a:headEnd/>
                          <a:tailEnd/>
                        </a:ln>
                      </wps:spPr>
                      <wps:txbx>
                        <w:txbxContent>
                          <w:p w14:paraId="6ED6677F" w14:textId="77777777" w:rsidR="007B24A1" w:rsidRPr="008262D0" w:rsidRDefault="007B24A1" w:rsidP="00DC637E">
                            <w:pPr>
                              <w:rPr>
                                <w:sz w:val="20"/>
                              </w:rPr>
                            </w:pPr>
                            <w:r w:rsidRPr="008262D0">
                              <w:rPr>
                                <w:sz w:val="20"/>
                              </w:rPr>
                              <w:t xml:space="preserve">33,3 </w:t>
                            </w:r>
                            <w:r w:rsidRPr="008262D0">
                              <w:rPr>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8772E" id="_x0000_s1103" type="#_x0000_t202" style="position:absolute;left:0;text-align:left;margin-left:84.45pt;margin-top:12.95pt;width:61.5pt;height:22.1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P2KAIAACkEAAAOAAAAZHJzL2Uyb0RvYy54bWysU9tu2zAMfR+wfxD0vtjxkjUx4hRdugwD&#10;ugvQ7QNoWY6FyKInKbGzry8lp2m2vQ3zg0Ca5NHhIbW6HVrNjtI6habg00nKmTQCK2V2Bf/xfftm&#10;wZnzYCrQaGTBT9Lx2/XrV6u+y2WGDepKWkYgxuV9V/DG+y5PEica2YKbYCcNBWu0LXhy7S6pLPSE&#10;3uokS9N3SY+26iwK6Rz9vR+DfB3x61oK/7WunfRMF5y4+XjaeJbhTNYryHcWukaJMw34BxYtKEOX&#10;XqDuwQM7WPUXVKuERYe1nwhsE6xrJWTsgbqZpn9089hAJ2MvJI7rLjK5/wcrvhy/WaYqmt1yxpmB&#10;loaUMS/3ziPTcNiDCyL1ncsp97GjbD+8x4EKYsOue0Cxd8zgpgGzk3fWYt9IqIjkNFQmV6Ujjgsg&#10;Zf8ZK7oLDh4j0FDbNihImjBCp2GdLgOSg2eCft4spumcIoJC2WL6Np3HGyB/Lu6s8x8ltiwYBbc0&#10;/wgOxwfnAxnIn1PCXQ61qrZK6+jYXbnRlh2BdmUbvzP6b2nasL7gy3k2j8gGQ31co1Z52mWt2oIv&#10;0vCFcsiDGB9MFW0PSo82MdHmrE4QZJTGD+UQpzFfhOIgXYnVifSyOO4uvTUyGrS/OOtpbwvufh7A&#10;Ss70J0OaL6ezWVj06MzmNxk59jpSXkfACIIquOdsNDc+Po7A2+AdzaZWUbcXJmfOtI9RzvPbCQt/&#10;7ceslxe+fgIAAP//AwBQSwMEFAAGAAgAAAAhAP93shndAAAACQEAAA8AAABkcnMvZG93bnJldi54&#10;bWxMj0FPg0AQhe8m/ofNmHgxdimxUJClURON19b+gAGmQGRnCbst9N87nvQ08/Je3nxT7BY7qAtN&#10;vndsYL2KQBHXrum5NXD8en/cgvIBucHBMRm4koddeXtTYN64mfd0OYRWSQn7HA10IYy51r7uyKJf&#10;uZFYvJObLAaRU6ubCWcpt4OOoyjRFnuWCx2O9NZR/X04WwOnz/lhk83VRzim+6fkFfu0cldj7u+W&#10;l2dQgZbwF4ZffEGHUpgqd+bGq0F0ss0kaiDeyJRAnK1lqQykUQy6LPT/D8ofAAAA//8DAFBLAQIt&#10;ABQABgAIAAAAIQC2gziS/gAAAOEBAAATAAAAAAAAAAAAAAAAAAAAAABbQ29udGVudF9UeXBlc10u&#10;eG1sUEsBAi0AFAAGAAgAAAAhADj9If/WAAAAlAEAAAsAAAAAAAAAAAAAAAAALwEAAF9yZWxzLy5y&#10;ZWxzUEsBAi0AFAAGAAgAAAAhAKIlY/YoAgAAKQQAAA4AAAAAAAAAAAAAAAAALgIAAGRycy9lMm9E&#10;b2MueG1sUEsBAi0AFAAGAAgAAAAhAP93shndAAAACQEAAA8AAAAAAAAAAAAAAAAAggQAAGRycy9k&#10;b3ducmV2LnhtbFBLBQYAAAAABAAEAPMAAACMBQAAAAA=&#10;" stroked="f">
                <v:textbox>
                  <w:txbxContent>
                    <w:p w14:paraId="6ED6677F" w14:textId="77777777" w:rsidR="007B24A1" w:rsidRPr="008262D0" w:rsidRDefault="007B24A1" w:rsidP="00DC637E">
                      <w:pPr>
                        <w:rPr>
                          <w:sz w:val="20"/>
                        </w:rPr>
                      </w:pPr>
                      <w:r w:rsidRPr="008262D0">
                        <w:rPr>
                          <w:sz w:val="20"/>
                        </w:rPr>
                        <w:t xml:space="preserve">33,3 </w:t>
                      </w:r>
                      <w:r w:rsidRPr="008262D0">
                        <w:rPr>
                          <w:iCs/>
                          <w:sz w:val="20"/>
                        </w:rPr>
                        <w:t>%</w:t>
                      </w:r>
                    </w:p>
                  </w:txbxContent>
                </v:textbox>
                <w10:wrap type="square"/>
              </v:shape>
            </w:pict>
          </mc:Fallback>
        </mc:AlternateContent>
      </w:r>
    </w:p>
    <w:p w14:paraId="48EA675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638C10C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17632" behindDoc="0" locked="0" layoutInCell="1" allowOverlap="1" wp14:anchorId="7452B482" wp14:editId="23E3E14E">
                <wp:simplePos x="0" y="0"/>
                <wp:positionH relativeFrom="column">
                  <wp:posOffset>1548765</wp:posOffset>
                </wp:positionH>
                <wp:positionV relativeFrom="paragraph">
                  <wp:posOffset>95885</wp:posOffset>
                </wp:positionV>
                <wp:extent cx="3333750" cy="342900"/>
                <wp:effectExtent l="0" t="0" r="19050" b="19050"/>
                <wp:wrapNone/>
                <wp:docPr id="195"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42900"/>
                        </a:xfrm>
                        <a:prstGeom prst="rect">
                          <a:avLst/>
                        </a:prstGeom>
                        <a:solidFill>
                          <a:schemeClr val="bg2"/>
                        </a:solidFill>
                        <a:ln w="9525">
                          <a:solidFill>
                            <a:srgbClr val="000000"/>
                          </a:solidFill>
                          <a:miter lim="800000"/>
                          <a:headEnd/>
                          <a:tailEnd/>
                        </a:ln>
                      </wps:spPr>
                      <wps:txbx>
                        <w:txbxContent>
                          <w:p w14:paraId="5ED053A0" w14:textId="77777777" w:rsidR="007B24A1" w:rsidRPr="004B2ACB" w:rsidRDefault="007B24A1" w:rsidP="00DC637E">
                            <w:pPr>
                              <w:jc w:val="center"/>
                            </w:pPr>
                            <w:r w:rsidRPr="004B2ACB">
                              <w:t>UAB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2B482" id="_x0000_s1104" type="#_x0000_t202" style="position:absolute;left:0;text-align:left;margin-left:121.95pt;margin-top:7.55pt;width:262.5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6bMwIAAFsEAAAOAAAAZHJzL2Uyb0RvYy54bWysVNtu2zAMfR+wfxD0vthx4rUx4hRdug4D&#10;ugvQ7gNkWbaFyaImKbGzry8lJ1nW7WmYHwRRpI7Ic0ivb8Zekb2wToIu6XyWUiI0h1rqtqTfnu7f&#10;XFPiPNM1U6BFSQ/C0ZvN61frwRQigw5ULSxBEO2KwZS0894USeJ4J3rmZmCERmcDtmceTdsmtWUD&#10;ovcqydL0bTKArY0FLpzD07vJSTcRv2kE91+axglPVEkxNx9XG9cqrMlmzYrWMtNJfkyD/UMWPZMa&#10;Hz1D3THPyM7KP6B6yS04aPyMQ59A00guYg1YzTx9Uc1jx4yItSA5zpxpcv8Pln/ef7VE1qjdKqdE&#10;sx5FehKjJ+9gJNl8ERgajCsw8NFgqB/RgdGxWmcegH93RMO2Y7oVt9bC0AlWY4bzcDO5uDrhuABS&#10;DZ+gxofYzkMEGhvbB/qQEILoqNThrE5IhuPhAr+rHF0cfYtltkqjfAkrTreNdf6DgJ6ETUktqh/R&#10;2f7B+ZANK04h4TEHStb3UqlohI4TW2XJnmGvVG0W838RpTQZSrrKs3yq/zcE21bn+2n8/gbRS48d&#10;r2Rf0utzECsCa+91HfvRM6mmPWas9JHGwNzEoR+rMWqWr07yVFAfkFgLU4fjROKmA/uTkgG7u6Tu&#10;x45ZQYn6qFGc1Xy5DOMQjWV+laFhLz3VpYdpjlAl9ZRM262fRmhnrGw7fGlqBw23KGgjI9dB+Smr&#10;Y/7YwVGC47SFEbm0Y9Svf8LmGQAA//8DAFBLAwQUAAYACAAAACEAyEPj6N8AAAAJAQAADwAAAGRy&#10;cy9kb3ducmV2LnhtbEyPwU7DMAyG70i8Q2QkbizpWrqtNJ0mGMcdGEjjmDahrdY4VZJt3dvjneBo&#10;/59+fy7Xkx3Y2fjQO5SQzAQwg43TPbYSvj7fn5bAQlSo1eDQSLiaAOvq/q5UhXYX/DDnfWwZlWAo&#10;lIQuxrHgPDSdsSrM3GiQsh/nrYo0+pZrry5Ubgc+FyLnVvVIFzo1mtfONMf9yUrYHsVhcd2lhzwb&#10;eLrx4nv7VmdSPj5Mmxdg0UzxD4abPqlDRU61O6EObJAwz9IVoRQ8J8AIWORLWtQS8lUCvCr5/w+q&#10;XwAAAP//AwBQSwECLQAUAAYACAAAACEAtoM4kv4AAADhAQAAEwAAAAAAAAAAAAAAAAAAAAAAW0Nv&#10;bnRlbnRfVHlwZXNdLnhtbFBLAQItABQABgAIAAAAIQA4/SH/1gAAAJQBAAALAAAAAAAAAAAAAAAA&#10;AC8BAABfcmVscy8ucmVsc1BLAQItABQABgAIAAAAIQDNa46bMwIAAFsEAAAOAAAAAAAAAAAAAAAA&#10;AC4CAABkcnMvZTJvRG9jLnhtbFBLAQItABQABgAIAAAAIQDIQ+Po3wAAAAkBAAAPAAAAAAAAAAAA&#10;AAAAAI0EAABkcnMvZG93bnJldi54bWxQSwUGAAAAAAQABADzAAAAmQUAAAAA&#10;" fillcolor="#eeece1 [3214]">
                <v:textbox>
                  <w:txbxContent>
                    <w:p w14:paraId="5ED053A0" w14:textId="77777777" w:rsidR="007B24A1" w:rsidRPr="004B2ACB" w:rsidRDefault="007B24A1" w:rsidP="00DC637E">
                      <w:pPr>
                        <w:jc w:val="center"/>
                      </w:pPr>
                      <w:r w:rsidRPr="004B2ACB">
                        <w:t>UAB „D“</w:t>
                      </w:r>
                    </w:p>
                  </w:txbxContent>
                </v:textbox>
              </v:shape>
            </w:pict>
          </mc:Fallback>
        </mc:AlternateContent>
      </w:r>
    </w:p>
    <w:p w14:paraId="0F6DAD9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noProof/>
          <w:highlight w:val="lightGray"/>
        </w:rPr>
        <mc:AlternateContent>
          <mc:Choice Requires="wps">
            <w:drawing>
              <wp:anchor distT="0" distB="0" distL="114300" distR="114300" simplePos="0" relativeHeight="251730944" behindDoc="0" locked="0" layoutInCell="1" allowOverlap="1" wp14:anchorId="78472D66" wp14:editId="5DA58782">
                <wp:simplePos x="0" y="0"/>
                <wp:positionH relativeFrom="column">
                  <wp:posOffset>4882515</wp:posOffset>
                </wp:positionH>
                <wp:positionV relativeFrom="paragraph">
                  <wp:posOffset>111125</wp:posOffset>
                </wp:positionV>
                <wp:extent cx="533400" cy="0"/>
                <wp:effectExtent l="0" t="0" r="19050" b="19050"/>
                <wp:wrapNone/>
                <wp:docPr id="196" name="Tiesioji jungtis 196"/>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625AC" id="Tiesioji jungtis 19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8.75pt" to="426.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dLtwEAALgDAAAOAAAAZHJzL2Uyb0RvYy54bWysU9tu2zAMfS/QfxD0vthpt6I14vShxfYy&#10;bEEvH6DKVKxWN1Bq7Pz9KCVxh3YYiqIvsiieQ/KQ9OJytIZtAKP2ruXzWc0ZOOk77dYtv7/7/uWc&#10;s5iE64TxDlq+hcgvl8dHiyE0cOJ7bzpARkFcbIbQ8j6l0FRVlD1YEWc+gCOn8mhFIhPXVYdioOjW&#10;VCd1fVYNHruAXkKM9Hq9c/Jlia8UyPRbqQiJmZZTbamcWM6HfFbLhWjWKEKv5b4M8YEqrNCOkk6h&#10;rkUS7Bn1m1BWS/TRqzST3lZeKS2haCA18/qVmtteBChaqDkxTG2KnxdW/tqskOmOZndxxpkTloZ0&#10;p4Hm+ajZ47NbJx1Z9lGnhhAbIly5Fe6tGFaYZY8Kbf6SIDaW7m6n7sKYmKTHb6enX2uagTy4qhde&#10;wJh+gLcsX1putMu6RSM2P2OiXAQ9QMjIdewyl1vaGshg425AkRbKNS/sskVwZZBtBM2/e5pnFRSr&#10;IDNFaWMmUv1/0h6baVA2673ECV0yepcmotXO47+ypvFQqtrhD6p3WrPsB99tyxxKO2g9irL9Kuf9&#10;+9su9JcfbvkHAAD//wMAUEsDBBQABgAIAAAAIQCSan6I3QAAAAkBAAAPAAAAZHJzL2Rvd25yZXYu&#10;eG1sTI/NTsMwEITvSH0Haytxow6V2oQQp0L8nOCQphw4uvGSRI3XUewmgadnEQd63JlPszPZbrad&#10;GHHwrSMFt6sIBFLlTEu1gvfDy00CwgdNRneOUMEXetjli6tMp8ZNtMexDLXgEPKpVtCE0KdS+qpB&#10;q/3K9UjsfbrB6sDnUEsz6InDbSfXUbSVVrfEHxrd42OD1ak8WwXx82tZ9NPT23chY1kUowvJ6UOp&#10;6+X8cA8i4Bz+Yfitz9Uh505HdybjRccZ2+SOUTbiDQgGks2aheOfIPNMXi7IfwAAAP//AwBQSwEC&#10;LQAUAAYACAAAACEAtoM4kv4AAADhAQAAEwAAAAAAAAAAAAAAAAAAAAAAW0NvbnRlbnRfVHlwZXNd&#10;LnhtbFBLAQItABQABgAIAAAAIQA4/SH/1gAAAJQBAAALAAAAAAAAAAAAAAAAAC8BAABfcmVscy8u&#10;cmVsc1BLAQItABQABgAIAAAAIQA9PcdLtwEAALgDAAAOAAAAAAAAAAAAAAAAAC4CAABkcnMvZTJv&#10;RG9jLnhtbFBLAQItABQABgAIAAAAIQCSan6I3QAAAAkBAAAPAAAAAAAAAAAAAAAAABEEAABkcnMv&#10;ZG93bnJldi54bWxQSwUGAAAAAAQABADzAAAAGwUAAAAA&#10;" strokecolor="black [3040]"/>
            </w:pict>
          </mc:Fallback>
        </mc:AlternateContent>
      </w:r>
      <w:r w:rsidRPr="004B2ACB">
        <w:rPr>
          <w:noProof/>
          <w:highlight w:val="lightGray"/>
        </w:rPr>
        <mc:AlternateContent>
          <mc:Choice Requires="wps">
            <w:drawing>
              <wp:anchor distT="0" distB="0" distL="114300" distR="114300" simplePos="0" relativeHeight="251726848" behindDoc="0" locked="0" layoutInCell="1" allowOverlap="1" wp14:anchorId="324C5DF8" wp14:editId="36BDC178">
                <wp:simplePos x="0" y="0"/>
                <wp:positionH relativeFrom="column">
                  <wp:posOffset>1062990</wp:posOffset>
                </wp:positionH>
                <wp:positionV relativeFrom="paragraph">
                  <wp:posOffset>111124</wp:posOffset>
                </wp:positionV>
                <wp:extent cx="485775" cy="0"/>
                <wp:effectExtent l="0" t="0" r="28575" b="19050"/>
                <wp:wrapNone/>
                <wp:docPr id="197" name="Tiesioji jungtis 197"/>
                <wp:cNvGraphicFramePr/>
                <a:graphic xmlns:a="http://schemas.openxmlformats.org/drawingml/2006/main">
                  <a:graphicData uri="http://schemas.microsoft.com/office/word/2010/wordprocessingShape">
                    <wps:wsp>
                      <wps:cNvCnPr/>
                      <wps:spPr>
                        <a:xfrm flipV="1">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10846" id="Tiesioji jungtis 197"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8.75pt" to="121.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40wQEAAMIDAAAOAAAAZHJzL2Uyb0RvYy54bWysU01v2zAMvQ/YfxB0X+wU7dIZcXposV2G&#10;Ldi63VWZitXqC5QaO/9+lJx4RdcCw7CLYIl8j3yP9PpqtIbtAaP2ruXLRc0ZOOk77XYt/3H78d0l&#10;ZzEJ1wnjHbT8AJFfbd6+WQ+hgTPfe9MBMiJxsRlCy/uUQlNVUfZgRVz4AI6CyqMVia64qzoUA7Fb&#10;U53V9ftq8NgF9BJipNebKcg3hV8pkOmrUhESMy2n3lI5sZx3+aw2a9HsUIRey2Mb4h+6sEI7KjpT&#10;3Ygk2CPqP6isluijV2khva28UlpC0UBqlvUzNd97EaBoIXNimG2K/49WftlvkemOZvdhxZkTloZ0&#10;q4Hmea/Z/aPbJR1ZjpFTQ4gNAa7dFo+3GLaYZY8KLVNGh59EVIwgaWwsPh9mn2FMTNLj+eXFanXB&#10;mTyFqokhMwWM6RN4y/JHy4122QHRiP3nmKgqpZ5S6JI7mnooX+lgICcb9w0UqaJaUzdln+DaINsL&#10;2oTuYZn1EFfJzBCljZlBdSn5KuiYm2FQduxvgXN2qehdmoFWO48vVU3jqVU15Z9UT1qz7DvfHcpE&#10;ih20KEXZcanzJj69F/jvX2/zCwAA//8DAFBLAwQUAAYACAAAACEAmWH/Hd4AAAAJAQAADwAAAGRy&#10;cy9kb3ducmV2LnhtbEyPwU7DMBBE70j8g7VIXCrqENqkhDgVqsQFDkDhA5xkSSLsdYjd1P17FnGA&#10;287uaPZNuY3WiBknPzhScL1MQCA1rh2oU/D+9nC1AeGDplYbR6jghB621flZqYvWHekV533oBIeQ&#10;L7SCPoSxkNI3PVrtl25E4tuHm6wOLKdOtpM+crg1Mk2STFo9EH/o9Yi7HpvP/cEqeHx+WZzSmC2+&#10;8nW9i/PGxCdvlLq8iPd3IALG8GeGH3xGh4qZaneg1gvDOstXbOUhX4NgQ7q6uQVR/y5kVcr/Dapv&#10;AAAA//8DAFBLAQItABQABgAIAAAAIQC2gziS/gAAAOEBAAATAAAAAAAAAAAAAAAAAAAAAABbQ29u&#10;dGVudF9UeXBlc10ueG1sUEsBAi0AFAAGAAgAAAAhADj9If/WAAAAlAEAAAsAAAAAAAAAAAAAAAAA&#10;LwEAAF9yZWxzLy5yZWxzUEsBAi0AFAAGAAgAAAAhAHCnnjTBAQAAwgMAAA4AAAAAAAAAAAAAAAAA&#10;LgIAAGRycy9lMm9Eb2MueG1sUEsBAi0AFAAGAAgAAAAhAJlh/x3eAAAACQEAAA8AAAAAAAAAAAAA&#10;AAAAGwQAAGRycy9kb3ducmV2LnhtbFBLBQYAAAAABAAEAPMAAAAmBQAAAAA=&#10;" strokecolor="black [3040]"/>
            </w:pict>
          </mc:Fallback>
        </mc:AlternateContent>
      </w:r>
    </w:p>
    <w:p w14:paraId="7DAA46C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086981C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r w:rsidRPr="004B2ACB">
        <w:rPr>
          <w:rFonts w:eastAsiaTheme="minorHAnsi"/>
          <w:noProof/>
          <w:highlight w:val="lightGray"/>
        </w:rPr>
        <mc:AlternateContent>
          <mc:Choice Requires="wps">
            <w:drawing>
              <wp:anchor distT="0" distB="0" distL="114300" distR="114300" simplePos="0" relativeHeight="251746304" behindDoc="0" locked="0" layoutInCell="1" allowOverlap="1" wp14:anchorId="28B3F249" wp14:editId="1A629E42">
                <wp:simplePos x="0" y="0"/>
                <wp:positionH relativeFrom="column">
                  <wp:posOffset>4800600</wp:posOffset>
                </wp:positionH>
                <wp:positionV relativeFrom="paragraph">
                  <wp:posOffset>55245</wp:posOffset>
                </wp:positionV>
                <wp:extent cx="914400" cy="447675"/>
                <wp:effectExtent l="0" t="0" r="19050" b="28575"/>
                <wp:wrapNone/>
                <wp:docPr id="19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1E689D1D" w14:textId="77777777" w:rsidR="007B24A1" w:rsidRPr="007E3934" w:rsidRDefault="007B24A1" w:rsidP="00DC637E">
                            <w:r w:rsidRPr="007E3934">
                              <w:t>Vienetų grupė Nr.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3F249" id="_x0000_s1105" type="#_x0000_t202" style="position:absolute;left:0;text-align:left;margin-left:378pt;margin-top:4.35pt;width:1in;height:3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l5LAIAAFsEAAAOAAAAZHJzL2Uyb0RvYy54bWysVNuO2yAQfa/Uf0C8N3bSXHatOKtttqkq&#10;bS/Sbj8AY2yjAkOBxE6/vgPOZtPbS1U/IGCGMzPnzHh9M2hFDsJ5Caak00lOiTAcamnakn553L26&#10;osQHZmqmwIiSHoWnN5uXL9a9LcQMOlC1cARBjC96W9IuBFtkmeed0MxPwAqDxgacZgGPrs1qx3pE&#10;1yqb5fky68HV1gEX3uPt3Wikm4TfNIKHT03jRSCqpJhbSKtLaxXXbLNmReuY7SQ/pcH+IQvNpMGg&#10;Z6g7FhjZO/kblJbcgYcmTDjoDJpGcpFqwGqm+S/VPHTMilQLkuPtmSb//2D5x8NnR2SN2l2jVIZp&#10;FOlRDIG8gYHMpq8jQ731BTo+WHQNAxrQO1Xr7T3wr54Y2HbMtOLWOeg7wWrMcBpfZhdPRxwfQar+&#10;A9QYiO0DJKChcTrSh4QQREeljmd1YjIcL6+n83mOFo6m+Xy1XC1SBFY8PbbOh3cCNImbkjoUP4Gz&#10;w70PMRlWPLnEWB6UrHdSqXRwbbVVjhwYNsoufSf0n9yUIT1mspgtxvr/CpGn708QWgbseCV1Sa/O&#10;TqyIrL01derHwKQa95iyMicaI3Mjh2GohqTZMjVw5LiC+ojEOhg7HCcSNx2475T02N0l9d/2zAlK&#10;1HuD4iQucRzSYb5YzZBXd2mpLi3McIQqaaBk3G7DOEJ762TbYaSxHQzcoqCNTGQ/Z3XKHzs4aXCa&#10;tjgil+fk9fxP2PwAAAD//wMAUEsDBBQABgAIAAAAIQBSADdu3QAAAAgBAAAPAAAAZHJzL2Rvd25y&#10;ZXYueG1sTI/BTsMwEETvSPyDtUhcELUpkDQhToWQQHCDguDqxtskwl6H2E3D37Oc4Dia1ds31Xr2&#10;Tkw4xj6QhouFAoHUBNtTq+Ht9f58BSImQ9a4QKjhGyOs6+OjypQ2HOgFp01qBUMolkZDl9JQShmb&#10;Dr2JizAgcbcLozeJ49hKO5oDw72TS6Uy6U1P/KEzA9512Hxu9l7D6upx+ohPl8/vTbZzRTrLp4ev&#10;UevTk/n2BkTCOf0dw68+q0PNTtuwJxuF05BfZ7wlMSwHwX2hFOctF8USZF3J/wPqHwAAAP//AwBQ&#10;SwECLQAUAAYACAAAACEAtoM4kv4AAADhAQAAEwAAAAAAAAAAAAAAAAAAAAAAW0NvbnRlbnRfVHlw&#10;ZXNdLnhtbFBLAQItABQABgAIAAAAIQA4/SH/1gAAAJQBAAALAAAAAAAAAAAAAAAAAC8BAABfcmVs&#10;cy8ucmVsc1BLAQItABQABgAIAAAAIQBxbVl5LAIAAFsEAAAOAAAAAAAAAAAAAAAAAC4CAABkcnMv&#10;ZTJvRG9jLnhtbFBLAQItABQABgAIAAAAIQBSADdu3QAAAAgBAAAPAAAAAAAAAAAAAAAAAIYEAABk&#10;cnMvZG93bnJldi54bWxQSwUGAAAAAAQABADzAAAAkAUAAAAA&#10;">
                <v:textbox>
                  <w:txbxContent>
                    <w:p w14:paraId="1E689D1D" w14:textId="77777777" w:rsidR="007B24A1" w:rsidRPr="007E3934" w:rsidRDefault="007B24A1" w:rsidP="00DC637E">
                      <w:r w:rsidRPr="007E3934">
                        <w:t>Vienetų grupė Nr. 3</w:t>
                      </w:r>
                    </w:p>
                  </w:txbxContent>
                </v:textbox>
              </v:shape>
            </w:pict>
          </mc:Fallback>
        </mc:AlternateContent>
      </w:r>
      <w:r w:rsidRPr="004B2ACB">
        <w:rPr>
          <w:noProof/>
          <w:highlight w:val="lightGray"/>
        </w:rPr>
        <mc:AlternateContent>
          <mc:Choice Requires="wps">
            <w:drawing>
              <wp:anchor distT="0" distB="0" distL="114300" distR="114300" simplePos="0" relativeHeight="251745280" behindDoc="0" locked="0" layoutInCell="1" allowOverlap="1" wp14:anchorId="545E053E" wp14:editId="35FC0F5D">
                <wp:simplePos x="0" y="0"/>
                <wp:positionH relativeFrom="column">
                  <wp:posOffset>2714625</wp:posOffset>
                </wp:positionH>
                <wp:positionV relativeFrom="paragraph">
                  <wp:posOffset>47625</wp:posOffset>
                </wp:positionV>
                <wp:extent cx="914400" cy="447675"/>
                <wp:effectExtent l="0" t="0" r="19050" b="28575"/>
                <wp:wrapNone/>
                <wp:docPr id="19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3C096C9A" w14:textId="77777777" w:rsidR="007B24A1" w:rsidRPr="007E3934" w:rsidRDefault="007B24A1" w:rsidP="00DC637E">
                            <w:r w:rsidRPr="007E3934">
                              <w:t>Vienetų grupė Nr.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E053E" id="_x0000_s1106" type="#_x0000_t202" style="position:absolute;left:0;text-align:left;margin-left:213.75pt;margin-top:3.75pt;width:1in;height:3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b1LQIAAFsEAAAOAAAAZHJzL2Uyb0RvYy54bWysVNuO2yAQfa/Uf0C8N3bSJLux4qy22aaq&#10;tL1Iu/0AjLGNCgwFEjv9+g44m01vL1X9gIAZzpw5M+P1zaAVOQjnJZiSTic5JcJwqKVpS/rlcffq&#10;mhIfmKmZAiNKehSe3mxevlj3thAz6EDVwhEEMb7obUm7EGyRZZ53QjM/ASsMGhtwmgU8ujarHesR&#10;XatslufLrAdXWwdceI+3d6ORbhJ+0wgePjWNF4GokiK3kFaX1iqu2WbNitYx20l+osH+gYVm0mDQ&#10;M9QdC4zsnfwNSkvuwEMTJhx0Bk0juUg5YDbT/JdsHjpmRcoFxfH2LJP/f7D84+GzI7LG2q1WlBim&#10;sUiPYgjkDQxkNn0dFeqtL9DxwaJrGNCA3ilbb++Bf/XEwLZjphW3zkHfCVYjw2l8mV08HXF8BKn6&#10;D1BjILYPkICGxukoHwpCEB0rdTxXJ5LheLmazuc5Wjia5vOr5dUiRWDF02PrfHgnQJO4KanD4idw&#10;drj3IZJhxZNLjOVByXonlUoH11Zb5ciBYaPs0ndC/8lNGdIjk8VsMeb/V4g8fX+C0DJgxyupS3p9&#10;dmJFVO2tqVM/BibVuEfKypxkjMqNGoahGlLNlknkqHEF9RGFdTB2OE4kbjpw3ynpsbtL6r/tmROU&#10;qPcGi5O0xHFIh/niaoa6uktLdWlhhiNUSQMl43YbxhHaWyfbDiON7WDgFgvayCT2M6sTf+zgVIPT&#10;tMURuTwnr+d/wuYHAAAA//8DAFBLAwQUAAYACAAAACEATSpUpd4AAAAIAQAADwAAAGRycy9kb3du&#10;cmV2LnhtbEyPQU/DMAyF70j8h8hIXNCWbmxrKU0nhARiN9gQXLPGaysapyRZV/493glO9tN7ev5c&#10;rEfbiQF9aB0pmE0TEEiVMy3VCt53T5MMRIiajO4coYIfDLAuLy8KnRt3ojcctrEWXEIh1wqaGPtc&#10;ylA1aHWYuh6JvYPzVkeWvpbG6xOX207Ok2QlrW6JLzS6x8cGq6/t0SrIFi/DZ9jcvn5Uq0N3F2/S&#10;4fnbK3V9NT7cg4g4xr8wnPEZHUpm2rsjmSA6BYt5uuSogvNgf5nOeNmzzhKQZSH/P1D+AgAA//8D&#10;AFBLAQItABQABgAIAAAAIQC2gziS/gAAAOEBAAATAAAAAAAAAAAAAAAAAAAAAABbQ29udGVudF9U&#10;eXBlc10ueG1sUEsBAi0AFAAGAAgAAAAhADj9If/WAAAAlAEAAAsAAAAAAAAAAAAAAAAALwEAAF9y&#10;ZWxzLy5yZWxzUEsBAi0AFAAGAAgAAAAhANZatvUtAgAAWwQAAA4AAAAAAAAAAAAAAAAALgIAAGRy&#10;cy9lMm9Eb2MueG1sUEsBAi0AFAAGAAgAAAAhAE0qVKXeAAAACAEAAA8AAAAAAAAAAAAAAAAAhwQA&#10;AGRycy9kb3ducmV2LnhtbFBLBQYAAAAABAAEAPMAAACSBQAAAAA=&#10;">
                <v:textbox>
                  <w:txbxContent>
                    <w:p w14:paraId="3C096C9A" w14:textId="77777777" w:rsidR="007B24A1" w:rsidRPr="007E3934" w:rsidRDefault="007B24A1" w:rsidP="00DC637E">
                      <w:r w:rsidRPr="007E3934">
                        <w:t>Vienetų grupė Nr. 2</w:t>
                      </w:r>
                    </w:p>
                  </w:txbxContent>
                </v:textbox>
              </v:shape>
            </w:pict>
          </mc:Fallback>
        </mc:AlternateContent>
      </w:r>
      <w:r w:rsidRPr="004B2ACB">
        <w:rPr>
          <w:noProof/>
          <w:highlight w:val="lightGray"/>
        </w:rPr>
        <mc:AlternateContent>
          <mc:Choice Requires="wps">
            <w:drawing>
              <wp:anchor distT="0" distB="0" distL="114300" distR="114300" simplePos="0" relativeHeight="251744256" behindDoc="0" locked="0" layoutInCell="1" allowOverlap="1" wp14:anchorId="21E63595" wp14:editId="17A263F5">
                <wp:simplePos x="0" y="0"/>
                <wp:positionH relativeFrom="column">
                  <wp:posOffset>634365</wp:posOffset>
                </wp:positionH>
                <wp:positionV relativeFrom="paragraph">
                  <wp:posOffset>40639</wp:posOffset>
                </wp:positionV>
                <wp:extent cx="914400" cy="447675"/>
                <wp:effectExtent l="0" t="0" r="19050" b="28575"/>
                <wp:wrapNone/>
                <wp:docPr id="20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47675"/>
                        </a:xfrm>
                        <a:prstGeom prst="rect">
                          <a:avLst/>
                        </a:prstGeom>
                        <a:solidFill>
                          <a:srgbClr val="FFFFFF"/>
                        </a:solidFill>
                        <a:ln w="9525">
                          <a:solidFill>
                            <a:srgbClr val="000000"/>
                          </a:solidFill>
                          <a:miter lim="800000"/>
                          <a:headEnd/>
                          <a:tailEnd/>
                        </a:ln>
                      </wps:spPr>
                      <wps:txbx>
                        <w:txbxContent>
                          <w:p w14:paraId="75B37647" w14:textId="77777777" w:rsidR="007B24A1" w:rsidRPr="007E3934" w:rsidRDefault="007B24A1" w:rsidP="00DC637E">
                            <w:r w:rsidRPr="007E3934">
                              <w:t>Vienetų grupė Nr.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63595" id="_x0000_s1107" type="#_x0000_t202" style="position:absolute;left:0;text-align:left;margin-left:49.95pt;margin-top:3.2pt;width:1in;height:3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3TLAIAAFsEAAAOAAAAZHJzL2Uyb0RvYy54bWysVNuO2yAQfa/Uf0C8N07cXLZWnNU221SV&#10;thdptx+AMbZRgaFAYqdfvwPOZtPbS1U/IGCGM2fOzHh9PWhFDsJ5Caaks8mUEmE41NK0Jf36sHt1&#10;RYkPzNRMgRElPQpPrzcvX6x7W4gcOlC1cARBjC96W9IuBFtkmeed0MxPwAqDxgacZgGPrs1qx3pE&#10;1yrLp9Nl1oOrrQMuvMfb29FINwm/aQQPn5vGi0BUSZFbSKtLaxXXbLNmReuY7SQ/0WD/wEIzaTDo&#10;GeqWBUb2Tv4GpSV34KEJEw46g6aRXKQcMJvZ9Jds7jtmRcoFxfH2LJP/f7D80+GLI7IuKapJiWEa&#10;i/QghkDewkDy2euoUG99gY73Fl3DgAasdMrW2zvg3zwxsO2YacWNc9B3gtXIcBZfZhdPRxwfQar+&#10;I9QYiO0DJKChcTrKh4IQREcmx3N1IhmOl29m83nkyNE0n6+Wq0WKwIqnx9b58F6AJnFTUofFT+Ds&#10;cOdDJMOKJ5cYy4OS9U4qlQ6urbbKkQPDRtml74T+k5sypEcmi3wx5v9XiGn6/gShZcCOV1KX9Ors&#10;xIqo2jtTp34MTKpxj5SVOckYlRs1DEM1pJot8xghalxBfURhHYwdjhOJmw7cD0p67O6S+u975gQl&#10;6oPB4iQtcRzSYb5Y5airu7RUlxZmOEKVNFAybrdhHKG9dbLtMNLYDgZusKCNTGI/szrxxw5ONThN&#10;WxyRy3Pyev4nbB4BAAD//wMAUEsDBBQABgAIAAAAIQA7UwIp3QAAAAcBAAAPAAAAZHJzL2Rvd25y&#10;ZXYueG1sTI7LTsMwFET3SPyDdZHYIOrQRmkdclMhJBDsSqnK1o1vkwg/gu2m4e8xK1iOZnTmVOvJ&#10;aDaSD72zCHezDBjZxqnetgi796fbFbAQpVVSO0sI3xRgXV9eVLJU7mzfaNzGliWIDaVE6GIcSs5D&#10;05GRYeYGsqk7Om9kTNG3XHl5TnCj+TzLCm5kb9NDJwd67Kj53J4Mwip/GT/C62Kzb4qjFvFmOT5/&#10;ecTrq+nhHlikKf6N4Vc/qUOdnA7uZFVgGkEIkZYIRQ4s1fN8kfIBYVkI4HXF//vXPwAAAP//AwBQ&#10;SwECLQAUAAYACAAAACEAtoM4kv4AAADhAQAAEwAAAAAAAAAAAAAAAAAAAAAAW0NvbnRlbnRfVHlw&#10;ZXNdLnhtbFBLAQItABQABgAIAAAAIQA4/SH/1gAAAJQBAAALAAAAAAAAAAAAAAAAAC8BAABfcmVs&#10;cy8ucmVsc1BLAQItABQABgAIAAAAIQCJl13TLAIAAFsEAAAOAAAAAAAAAAAAAAAAAC4CAABkcnMv&#10;ZTJvRG9jLnhtbFBLAQItABQABgAIAAAAIQA7UwIp3QAAAAcBAAAPAAAAAAAAAAAAAAAAAIYEAABk&#10;cnMvZG93bnJldi54bWxQSwUGAAAAAAQABADzAAAAkAUAAAAA&#10;">
                <v:textbox>
                  <w:txbxContent>
                    <w:p w14:paraId="75B37647" w14:textId="77777777" w:rsidR="007B24A1" w:rsidRPr="007E3934" w:rsidRDefault="007B24A1" w:rsidP="00DC637E">
                      <w:r w:rsidRPr="007E3934">
                        <w:t>Vienetų grupė Nr. 1</w:t>
                      </w:r>
                    </w:p>
                  </w:txbxContent>
                </v:textbox>
              </v:shape>
            </w:pict>
          </mc:Fallback>
        </mc:AlternateContent>
      </w:r>
    </w:p>
    <w:p w14:paraId="52A5831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32A2FF9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323435D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18019DB2"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110B786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highlight w:val="lightGray"/>
        </w:rPr>
      </w:pPr>
    </w:p>
    <w:p w14:paraId="0017C15F"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t>Kiekviena vienetų grupių apskaičiuoja tos vienetų grupės EBITDA ir leistiną atskaityti palūkanų sąnaudų sumą, įtraukdama ir vieneto UAB „D“ veiklos rezultatą.</w:t>
      </w:r>
      <w:r w:rsidRPr="004B2ACB">
        <w:rPr>
          <w:color w:val="000000"/>
        </w:rPr>
        <w:t xml:space="preserve"> </w:t>
      </w:r>
      <w:r w:rsidRPr="004B2ACB">
        <w:t xml:space="preserve">UAB „D“ </w:t>
      </w:r>
      <w:r w:rsidRPr="004B2ACB">
        <w:rPr>
          <w:color w:val="000000"/>
        </w:rPr>
        <w:t xml:space="preserve">palūkanų sąnaudos, viršijančios palūkanų pajamas – 5 </w:t>
      </w:r>
      <w:r>
        <w:rPr>
          <w:color w:val="000000"/>
        </w:rPr>
        <w:t xml:space="preserve">mln. </w:t>
      </w:r>
      <w:r w:rsidRPr="004B2ACB">
        <w:rPr>
          <w:color w:val="000000"/>
        </w:rPr>
        <w:t>Eur.</w:t>
      </w:r>
    </w:p>
    <w:p w14:paraId="2A620FD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t>Pagal atliktus skaičiavimus UAB „D“, vertindamas vienetų grupės Nr. 1 duomenis, galėtų atskaityti 5 mln. EUR palūkanų sąnaudų; vertindamas vienetų grupės Nr. 2 duomenis, galėtų atskaityti 2 mln. EUR palūkanų sąnaudų; vertindamas vienetų grupės Nr. 3 duomenis, galėtų atskaityti 1 mln. EUR palūkanų sąnaudų.</w:t>
      </w:r>
    </w:p>
    <w:p w14:paraId="0F0652A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lastRenderedPageBreak/>
        <w:t>Pagal pateiktą pavyzdį UAB „D“, kaip palūkanų sąnaudas atitinkančias PMĮ 30-1 straipsnio 4 dalies reikalavimus, gali atskaityti 1 mln. Eur palūkanų sąnaudų.</w:t>
      </w:r>
    </w:p>
    <w:p w14:paraId="009E4E01" w14:textId="77777777" w:rsidR="00DC637E" w:rsidRPr="004B2ACB" w:rsidRDefault="00DC637E" w:rsidP="00DC637E">
      <w:pPr>
        <w:pStyle w:val="tajtip"/>
        <w:spacing w:before="0" w:beforeAutospacing="0" w:after="0" w:afterAutospacing="0"/>
        <w:ind w:firstLine="720"/>
        <w:jc w:val="both"/>
      </w:pPr>
    </w:p>
    <w:p w14:paraId="542334B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5. Vienetas, kurio finansinės ataskaitos įtrauktos į vienetų grupės konsoliduotąsias finansines ataskaitas, turi galimybę, neatsižvelgdamas į šio straipsnio 2 ir 3 dalių nuostatas, atskaityti visas palūkanų sąnaudas, viršijančias palūkanų pajamas, jeigu gali įrodyti, kad jo nuosavo kapitalo ir viso turto santykis nėra daugiau negu 2 procentiniais punktais mažesnis už atitinkamą vienetų grupės santykį, nustatomą pagal vienetų grupės konsoliduotųjų finansinių ataskaitų duomenis. Vieneto turtas ir įsipareigojimai vertinami taikant tą patį metodą kaip ir sudarant konsoliduotąsias finansines ataskaitas.</w:t>
      </w:r>
    </w:p>
    <w:p w14:paraId="65A9F45F" w14:textId="77777777" w:rsidR="00DC637E" w:rsidRPr="004B2ACB" w:rsidRDefault="00DC637E" w:rsidP="00DC637E">
      <w:pPr>
        <w:pStyle w:val="tajtip"/>
        <w:spacing w:before="0" w:beforeAutospacing="0" w:after="0" w:afterAutospacing="0"/>
        <w:ind w:firstLine="720"/>
        <w:jc w:val="both"/>
        <w:rPr>
          <w:b/>
        </w:rPr>
      </w:pPr>
    </w:p>
    <w:p w14:paraId="4410C60A"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528A4C31" w14:textId="77777777" w:rsidR="00DC637E" w:rsidRPr="004B2ACB" w:rsidRDefault="00DC637E" w:rsidP="00DC637E">
      <w:pPr>
        <w:pStyle w:val="tajtip"/>
        <w:spacing w:before="0" w:beforeAutospacing="0" w:after="0" w:afterAutospacing="0"/>
        <w:ind w:firstLine="720"/>
        <w:jc w:val="both"/>
        <w:rPr>
          <w:b/>
          <w:color w:val="000000"/>
        </w:rPr>
      </w:pPr>
    </w:p>
    <w:p w14:paraId="1E99D67C" w14:textId="77777777" w:rsidR="00DC637E" w:rsidRPr="004B2ACB" w:rsidRDefault="00DC637E" w:rsidP="00DC637E">
      <w:pPr>
        <w:spacing w:after="0" w:line="240" w:lineRule="auto"/>
        <w:ind w:firstLine="720"/>
        <w:jc w:val="both"/>
      </w:pPr>
      <w:r w:rsidRPr="004B2ACB">
        <w:rPr>
          <w:color w:val="000000"/>
        </w:rPr>
        <w:t>1. Vienetas, kurio finansinės ataskaitos įtrauktos į vienetų, įskaitant ir finansų įstaigas bei draudimo įmones,  grupės konsoliduotąsias finansines ataskaitas,</w:t>
      </w:r>
      <w:r w:rsidRPr="004B2ACB">
        <w:t xml:space="preserve"> </w:t>
      </w:r>
      <w:r w:rsidRPr="004B2ACB">
        <w:rPr>
          <w:color w:val="000000"/>
        </w:rPr>
        <w:t xml:space="preserve">neatsižvelgdamas į šio straipsnio 2 ir 3 dalių nuostatas, </w:t>
      </w:r>
      <w:r w:rsidRPr="004B2ACB">
        <w:t xml:space="preserve">gali atskaityti </w:t>
      </w:r>
      <w:r w:rsidRPr="004B2ACB">
        <w:rPr>
          <w:color w:val="000000"/>
        </w:rPr>
        <w:t xml:space="preserve">visas palūkanų sąnaudas, viršijančias palūkanų pajamas, jeigu gali įrodyti, </w:t>
      </w:r>
      <w:r w:rsidRPr="004B2ACB">
        <w:t xml:space="preserve"> kad: </w:t>
      </w:r>
    </w:p>
    <w:p w14:paraId="0EC60EFE" w14:textId="77777777" w:rsidR="00DC637E" w:rsidRPr="004B2ACB" w:rsidRDefault="00DC637E" w:rsidP="00DC637E">
      <w:pPr>
        <w:spacing w:after="0" w:line="240" w:lineRule="auto"/>
        <w:ind w:firstLine="720"/>
        <w:jc w:val="both"/>
        <w:rPr>
          <w:color w:val="000000"/>
        </w:rPr>
      </w:pPr>
      <w:r w:rsidRPr="004B2ACB">
        <w:t xml:space="preserve">1) vieneto  nuosavo kapitalo ir viso turto santykis </w:t>
      </w:r>
      <w:r w:rsidRPr="004B2ACB">
        <w:rPr>
          <w:color w:val="000000"/>
        </w:rPr>
        <w:t xml:space="preserve">nėra daugiau negu 2 procentiniais punktais mažesnis už atitinkamą vienetų grupės santykį, nustatomą pagal vienetų grupės konsoliduotųjų finansinių ataskaitų duomenis; ir </w:t>
      </w:r>
    </w:p>
    <w:p w14:paraId="5F39E5BC" w14:textId="77777777" w:rsidR="00DC637E" w:rsidRPr="004B2ACB" w:rsidRDefault="00DC637E" w:rsidP="00DC637E">
      <w:pPr>
        <w:spacing w:after="0" w:line="240" w:lineRule="auto"/>
        <w:ind w:firstLine="720"/>
        <w:jc w:val="both"/>
        <w:rPr>
          <w:color w:val="000000"/>
        </w:rPr>
      </w:pPr>
      <w:r w:rsidRPr="004B2ACB">
        <w:rPr>
          <w:color w:val="000000"/>
        </w:rPr>
        <w:t>2) vieneto turtas ir įsipareigojimai vertinami taikant tuos pačius apskaitos ir turto vertinimo metodus kaip ir sudarant konsoliduotąsias finansines ataskaitas.</w:t>
      </w:r>
    </w:p>
    <w:p w14:paraId="4B2F57BB" w14:textId="77777777" w:rsidR="00DC637E" w:rsidRPr="004B2ACB" w:rsidRDefault="00DC637E" w:rsidP="00DC637E">
      <w:pPr>
        <w:pStyle w:val="tajtip"/>
        <w:spacing w:before="0" w:beforeAutospacing="0" w:after="0" w:afterAutospacing="0"/>
        <w:ind w:firstLine="720"/>
        <w:jc w:val="both"/>
        <w:rPr>
          <w:color w:val="000000"/>
        </w:rPr>
      </w:pPr>
    </w:p>
    <w:p w14:paraId="72457321"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Pavyzdys</w:t>
      </w:r>
    </w:p>
    <w:p w14:paraId="6D5E9CCA" w14:textId="77777777" w:rsidR="00DC637E" w:rsidRPr="004B2ACB" w:rsidRDefault="00DC637E" w:rsidP="00DC637E">
      <w:pPr>
        <w:pStyle w:val="tajtip"/>
        <w:spacing w:before="0" w:beforeAutospacing="0" w:after="0" w:afterAutospacing="0"/>
        <w:ind w:firstLine="720"/>
        <w:jc w:val="both"/>
        <w:rPr>
          <w:color w:val="000000"/>
        </w:rPr>
      </w:pPr>
    </w:p>
    <w:p w14:paraId="61B1EF7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Vienetų grupę sudaro Lietuvos ir užsienio vienetai, įskaitant užsienio valstybėje įregistruotą finansų įstaigą. Pagal konsoliduotųjų finansinių ataskaitų duomenis vienetų grupės nuosavo kapitalo ir viso turto santykis yra 66,51 proc. (200 344 000 Eur / 301 245 000 Eur x 100 proc.). </w:t>
      </w:r>
    </w:p>
    <w:p w14:paraId="023D5CD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rsidRPr="004B2ACB">
        <w:t xml:space="preserve">Lietuvos vienetai </w:t>
      </w:r>
      <w:r w:rsidRPr="004B2ACB">
        <w:rPr>
          <w:color w:val="000000"/>
        </w:rPr>
        <w:t>nėra finansų įstaigos ir draudimo įmonės bei nevykdo ilgalaikių viešosios infrastruktūros projektų. Vienetų grupės Lietuvos vienetų</w:t>
      </w:r>
      <w:r w:rsidRPr="004B2ACB">
        <w:rPr>
          <w:b/>
          <w:color w:val="000000"/>
        </w:rPr>
        <w:t xml:space="preserve"> </w:t>
      </w:r>
      <w:r w:rsidRPr="004B2ACB">
        <w:rPr>
          <w:color w:val="000000"/>
        </w:rPr>
        <w:t xml:space="preserve">bendra palūkanų sąnaudų, viršijančių palūkanų pajamas, suma  3 </w:t>
      </w:r>
      <w:r w:rsidR="00C66C52">
        <w:rPr>
          <w:color w:val="000000"/>
        </w:rPr>
        <w:t>3</w:t>
      </w:r>
      <w:r w:rsidRPr="004B2ACB">
        <w:rPr>
          <w:color w:val="000000"/>
        </w:rPr>
        <w:t>00 000 Eur, apmokestinamasis EBITDA yra 10 500 000 Eur, maksimali vienetų grupei leidžiama atskaityti palūkanų sąnaudų suma 3 150 000 Eur (10 500 000 Eur x 30 proc.)</w:t>
      </w:r>
      <w:r w:rsidRPr="004B2ACB">
        <w:t>.</w:t>
      </w:r>
    </w:p>
    <w:p w14:paraId="07204495"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7BF3C7BE"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Lietuvos vieneto A, kurio finansinės ataskaitos įtrauktos į vienetų grupės konsoliduotąsias finansines ataskaitas, turtas ir įsipareigojimai įvertinti taikant tuos pačius apskaitos ir turto vertinimo metodus kaip ir sudarant konsoliduotąsias finansines ataskaitas; nuosavo kapitalo ir viso turto santykis yra 65,99 proc. (5 000 000 Eur/ 7 575 800 Eur x 100 proc.), palūkanų sąnaudos, viršijančios palūkanų pajamas – 2 000 000 Eur, apmokestinamasis EBITDA 6 000 000 Eur.</w:t>
      </w:r>
    </w:p>
    <w:p w14:paraId="5242BD0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655A6738"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Lietuvos vieneto B, kurio finansinės ataskaitos įtrauktos į vienetų grupės konsoliduotąsias finansines ataskaitas, turtas ir įsipareigojimai įvertinti taikant tuos pačius apskaitos ir turto vertinimo metodus kaip ir sudarant konsoliduotąsias finansines ataskaitas; nuosavo kapitalo ir viso turto santykis yra 63,33 proc. (9 500 000 Eur/ 15 000 000 Eur x 100 proc.); palūkanų sąnaudos, viršijančios palūkanų pajamas – 1 300 000 Eur, apmokestinamasis EBITDA 4 500 000 Eur.</w:t>
      </w:r>
    </w:p>
    <w:p w14:paraId="5836B99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 xml:space="preserve">Kadangi vienetų grupės Lietuvos vienetų bendra palūkanų sąnaudų, viršijančių palūkanų pajamas, suma (3 300 000 Eur (2 000 000 Eur + 1 300 000 Eur) viršija  maksimalią vienetų grupei leidžiamą atskaityti palūkanų sumą (3 150 000 Eur), tai vienetų atskaitoma palūkanų sąnaudų, viršijančių palūkanų pajamas, suma apskaičiuojama taip: </w:t>
      </w:r>
    </w:p>
    <w:p w14:paraId="467AC56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1) nustatoma vienetų palūkanų sąnaudų, viršijančių palūkanų pajamas, dalis vienetų grupės palūkanų pajamas viršijančiose palūkanų sąnaudose:</w:t>
      </w:r>
    </w:p>
    <w:p w14:paraId="6EF4ABD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lastRenderedPageBreak/>
        <w:t>Vieneto A – 60,61 proc. (2 000 000 Eur /3 300 000 Eur x 100 proc.);</w:t>
      </w:r>
    </w:p>
    <w:p w14:paraId="3B70DDE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39,39 proc. (1 300 000 Eur /3 300 000 Eur x 100 proc.);</w:t>
      </w:r>
    </w:p>
    <w:p w14:paraId="73FE94F3"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2) nustatyta dalis padauginama iš maksimalios vienetų grupei leidžiamos atskaityti palūkanų sąnaudų sumos:</w:t>
      </w:r>
    </w:p>
    <w:p w14:paraId="08A535E7"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A – 1 909 215 Eur (3 150 000 Eur x 60,61 proc.);</w:t>
      </w:r>
    </w:p>
    <w:p w14:paraId="451189B4"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 1 240 785 Eur (3 150 000 Eur x 39,39 proc.);</w:t>
      </w:r>
    </w:p>
    <w:p w14:paraId="4CDC8D5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442813DC"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Tačiau vieneto A nuosavo kapitalo ir viso turto santykis mažesnis už atitinkamą vienetų grupės santykį 0,52 (66,51 proc. – 65,99 proc.,) procentinio punkto, todėl jis turi galimybę, neatsižvelgdamas į šio straipsnio 2 ir 3 dalių nuostatas, atskaityti visas (2 000 000 Eur) palūkanų sąnaudas, viršijančias palūkanų pajamas.</w:t>
      </w:r>
    </w:p>
    <w:p w14:paraId="508EA80D"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r w:rsidRPr="004B2ACB">
        <w:rPr>
          <w:color w:val="000000"/>
        </w:rPr>
        <w:t>Vieneto B nuosavo kapitalo ir viso turto santykis mažesnis už atitinkamą vienetų grupės santykį 3,18 (66,51 proc. – 63,33 proc.,) procentiniais punktais, todėl jis negali pasinaudoti šio straipsnio 5 dalyje nustatyta papildoma vienetų grupei taikytina palūkanų atskaitymo galimybe. Atsižvelgiant į tai, vienetas B, vadovaudamasis šio straipsnio 4 dalimi iš pajamų gali atskaityti palūkanų sąnaudų, viršijančių palūkanų pajamas, sumą, ne didesnę kaip 30 procentų vienetų grupės apmokestinamojo EBITDA, t. y. 1 240 785 Eur (3 150 000 Eur x 39,39 proc.). Likusi mokestiniu laikotarpiu neatskaitoma palūkanų sąnaudų suma 59 215 Eur (1 300 000 Eur – 1 240 785 Eur) gali būti perkeliama į kitus mokestinius laikotarpius neribotą laiką ir atskaitoma iš tų mokestinių laikotarpių pajamų taikant šiame straipsnyje nustatytus apribojimus.</w:t>
      </w:r>
    </w:p>
    <w:p w14:paraId="0BD1DF5B"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color w:val="000000"/>
        </w:rPr>
      </w:pPr>
    </w:p>
    <w:p w14:paraId="0D72575D" w14:textId="77777777" w:rsidR="00DC637E" w:rsidRPr="004B2ACB" w:rsidRDefault="00DC637E" w:rsidP="00DC637E">
      <w:pPr>
        <w:pStyle w:val="tajtip"/>
        <w:spacing w:before="0" w:beforeAutospacing="0" w:after="0" w:afterAutospacing="0"/>
        <w:ind w:firstLine="720"/>
        <w:jc w:val="both"/>
        <w:rPr>
          <w:color w:val="000000"/>
        </w:rPr>
      </w:pPr>
    </w:p>
    <w:p w14:paraId="768E5230" w14:textId="77777777" w:rsidR="00DC637E" w:rsidRPr="004B2ACB" w:rsidRDefault="00DC637E" w:rsidP="00DC637E">
      <w:pPr>
        <w:pStyle w:val="tajtip"/>
        <w:spacing w:before="0" w:beforeAutospacing="0" w:after="0" w:afterAutospacing="0"/>
        <w:ind w:firstLine="720"/>
        <w:jc w:val="both"/>
      </w:pPr>
      <w:r w:rsidRPr="004B2ACB">
        <w:rPr>
          <w:color w:val="000000"/>
        </w:rPr>
        <w:t>2. Šio straipsnio taikymo tikslais konsoliduotosios finansinės ataskaitos gali būti parengtos pagal verslo apskaitos standartus arba tarptautinius apskaitos standartus</w:t>
      </w:r>
      <w:r w:rsidRPr="004B2ACB">
        <w:t xml:space="preserve">. </w:t>
      </w:r>
    </w:p>
    <w:p w14:paraId="4CF3FF9C" w14:textId="77777777" w:rsidR="00DC637E" w:rsidRPr="004B2ACB" w:rsidRDefault="00DC637E" w:rsidP="00DC637E">
      <w:pPr>
        <w:pStyle w:val="tajtip"/>
        <w:spacing w:before="0" w:beforeAutospacing="0" w:after="0" w:afterAutospacing="0"/>
        <w:ind w:firstLine="720"/>
        <w:jc w:val="both"/>
        <w:rPr>
          <w:color w:val="000000"/>
        </w:rPr>
      </w:pPr>
      <w:r w:rsidRPr="004B2ACB">
        <w:t>V</w:t>
      </w:r>
      <w:r w:rsidRPr="004B2ACB">
        <w:rPr>
          <w:color w:val="000000"/>
        </w:rPr>
        <w:t xml:space="preserve">ieneto finansinės ataskaitos ir vienetų grupės konsoliduotosios finansinės ataskaitos turi būti  parengtos pagal tuos pačius apskaitos standartus. </w:t>
      </w:r>
    </w:p>
    <w:p w14:paraId="47A1ED65"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3. Šios dalies nuostatos gali būti taikomos tik tiems vienetams, kurių finansinių ataskaitų duomenys yra nuosekliai sujungti ir įtraukti į vienetų grupės konsoliduotąsias finansines ataskaitas (t. y. taikomas pilnas konsolidavimo metodas - vienetų finansinių ataskaitų straipsnių duomenų visiškas (100%) sujungimas, sudėjus turto, įsipareigojimų, nuosavybės, pajamų, sąnaudų, pelno, nuostolių straipsnius ir eliminavus grupės narių tarpusavio operacijų ir sandorių sumas).</w:t>
      </w:r>
    </w:p>
    <w:p w14:paraId="2A1D20D9" w14:textId="77777777" w:rsidR="00DC637E" w:rsidRPr="004B2ACB" w:rsidRDefault="00DC637E" w:rsidP="00DC637E">
      <w:pPr>
        <w:pStyle w:val="tajtip"/>
        <w:spacing w:before="0" w:beforeAutospacing="0" w:after="0" w:afterAutospacing="0"/>
        <w:ind w:firstLine="720"/>
        <w:jc w:val="both"/>
      </w:pPr>
      <w:r w:rsidRPr="004B2ACB">
        <w:rPr>
          <w:color w:val="000000"/>
        </w:rPr>
        <w:t xml:space="preserve">4. Vienetų grupei vienetas turi priklausyti </w:t>
      </w:r>
      <w:r w:rsidRPr="004B2ACB">
        <w:t>paskutinę mokestinio laikotarpio dieną. Tuo atveju, jei</w:t>
      </w:r>
      <w:r w:rsidRPr="004B2ACB">
        <w:rPr>
          <w:color w:val="000000"/>
        </w:rPr>
        <w:t xml:space="preserve"> vieneto finansinės ataskaitos įtraukiamos į vienetų grupės konsoliduotąsias finansines ataskaitas,</w:t>
      </w:r>
      <w:r w:rsidRPr="004B2ACB">
        <w:t xml:space="preserve"> ne nuo mokestinio laikotarpio pradžios, o nuosavo kapitalo ir viso turto santykis, nustatytas paskutinę mokestinio laikotarpio dieną, tenkina šios straipsnio dalies nuostatas, iš pajamų gali būti atskaitoma viso mokestinio laikotarpio p</w:t>
      </w:r>
      <w:r w:rsidRPr="004B2ACB">
        <w:rPr>
          <w:color w:val="000000"/>
        </w:rPr>
        <w:t>alūkanų sąnaudų, viršijančių palūkanų pajamas, suma.</w:t>
      </w:r>
    </w:p>
    <w:p w14:paraId="3A81E08D"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5. Tuo atveju, jeigu vieneto finansinės ataskaitos įeina į vienetų grupės konsoliduotąjį finansinių ataskaitų rinkinį, sudarytą ne pagal Lietuvos Respublikos įmonių grupių konsoliduotosios finansinės atskaitomybės įstatymą, tai taikant šios dalies nuostatas, įrodymus vienetas turi pagrįsti apskaitos ir konsoliduotųjų finansinių ataskaitų rinkinio dokumentais (dokumentų kopijomis).</w:t>
      </w:r>
    </w:p>
    <w:p w14:paraId="23905226" w14:textId="77777777" w:rsidR="00DC637E" w:rsidRPr="004B2ACB" w:rsidRDefault="00DC637E" w:rsidP="00DC637E">
      <w:pPr>
        <w:pStyle w:val="tajtip"/>
        <w:spacing w:before="0" w:beforeAutospacing="0" w:after="0" w:afterAutospacing="0"/>
        <w:ind w:firstLine="720"/>
        <w:jc w:val="both"/>
        <w:rPr>
          <w:color w:val="000000"/>
        </w:rPr>
      </w:pPr>
      <w:r w:rsidRPr="004B2ACB">
        <w:rPr>
          <w:color w:val="000000"/>
        </w:rPr>
        <w:t xml:space="preserve">Mokesčių administratoriui pareikalavus, minėti dokumentai turi būti išversti į lietuvių kalbą, o vertimas patvirtintas vertėjo parašu. </w:t>
      </w:r>
    </w:p>
    <w:p w14:paraId="72AC35DF" w14:textId="77777777" w:rsidR="00DC637E" w:rsidRPr="004B2ACB" w:rsidRDefault="00DC637E" w:rsidP="00DC637E">
      <w:pPr>
        <w:pStyle w:val="tajtip"/>
        <w:spacing w:before="0" w:beforeAutospacing="0" w:after="0" w:afterAutospacing="0"/>
        <w:ind w:firstLine="720"/>
        <w:jc w:val="both"/>
        <w:rPr>
          <w:b/>
          <w:color w:val="000000"/>
        </w:rPr>
      </w:pPr>
    </w:p>
    <w:p w14:paraId="539BA372"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6. Šio straipsnio taikymo tikslais palūkanomis taip pat laikoma:</w:t>
      </w:r>
    </w:p>
    <w:p w14:paraId="14DA3AF0"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 atlygis už paskolas, suteikiančias teisę dalyvauti skirstant pelną;</w:t>
      </w:r>
    </w:p>
    <w:p w14:paraId="1313B998"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atlygis už konvertuojamąsias ir nulinės atkarpos obligacijas;</w:t>
      </w:r>
    </w:p>
    <w:p w14:paraId="76C3BCBB"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atlygis už finansavimą pagal islamo teisę;</w:t>
      </w:r>
    </w:p>
    <w:p w14:paraId="4E2C3AD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4) atlygis už lizingą (finansinę nuomą);</w:t>
      </w:r>
    </w:p>
    <w:p w14:paraId="11D9E29C"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5) į turto balansinę vertę įtrauktos kapitalizuotos palūkanos;</w:t>
      </w:r>
    </w:p>
    <w:p w14:paraId="6ED73D5B"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lastRenderedPageBreak/>
        <w:t>6) palūkanos, susietos su skolinto kapitalo grąža (pelnu, pajamomis);</w:t>
      </w:r>
    </w:p>
    <w:p w14:paraId="5259BF39"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7) sąlyginės išvestinių finansinių priemonių arba apsidraudimo sandorių, susijusių su vieneto paskolomis, palūkanos;</w:t>
      </w:r>
    </w:p>
    <w:p w14:paraId="5809CE97"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8) garantiniai mokėjimai pagal finansavimo sandorius;</w:t>
      </w:r>
    </w:p>
    <w:p w14:paraId="0B474B61"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9) kitas atlygis, ekonomiškai lygiavertis palūkanoms;</w:t>
      </w:r>
    </w:p>
    <w:p w14:paraId="4923778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10) su visais šioje dalyje numatytais mokėjimais susiję administravimo mokesčiai;</w:t>
      </w:r>
    </w:p>
    <w:p w14:paraId="70ACF464"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11) su visais šioje dalyje numatytais mokėjimais susijusi užsienio valiutos kurso pasikeitimo suma.</w:t>
      </w:r>
    </w:p>
    <w:p w14:paraId="3628A0AE" w14:textId="77777777" w:rsidR="00DC637E" w:rsidRPr="004B2ACB" w:rsidRDefault="00DC637E" w:rsidP="00DC637E">
      <w:pPr>
        <w:pStyle w:val="tajtip"/>
        <w:spacing w:before="0" w:beforeAutospacing="0" w:after="0" w:afterAutospacing="0"/>
        <w:ind w:firstLine="720"/>
        <w:jc w:val="both"/>
        <w:rPr>
          <w:color w:val="000000"/>
          <w:highlight w:val="lightGray"/>
        </w:rPr>
      </w:pPr>
    </w:p>
    <w:p w14:paraId="4FA912E5"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2446B34F" w14:textId="77777777" w:rsidR="00DC637E" w:rsidRPr="004B2ACB" w:rsidRDefault="00DC637E" w:rsidP="00DC637E">
      <w:pPr>
        <w:pStyle w:val="tajtip"/>
        <w:spacing w:before="0" w:beforeAutospacing="0" w:after="0" w:afterAutospacing="0"/>
        <w:ind w:firstLine="720"/>
        <w:jc w:val="both"/>
        <w:rPr>
          <w:color w:val="000000"/>
        </w:rPr>
      </w:pPr>
    </w:p>
    <w:p w14:paraId="4759A88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Palūkanomis šio straipsnio taikymo tikslais laikomas ne tik visų formų atlyginimas už pinigų skolinimą, bet ir kiti mokėjimai, ekonomiškai lygiaverčiai palūkanoms, t. y.:</w:t>
      </w:r>
    </w:p>
    <w:p w14:paraId="55A414AB"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 atlygis už paskolas, suteikiančias teisę dalyvauti skirstant pelną;</w:t>
      </w:r>
    </w:p>
    <w:p w14:paraId="12B9D019"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2) atlygis už konvertuojamąsias ir nulinės atkarpos obligacijas;</w:t>
      </w:r>
    </w:p>
    <w:p w14:paraId="7D70F8B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3) atlygis už finansavimą pagal islamo teisę;</w:t>
      </w:r>
    </w:p>
    <w:p w14:paraId="72036A8F"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4) atlygis už lizingą (finansinę nuomą);</w:t>
      </w:r>
    </w:p>
    <w:p w14:paraId="081BF28E"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5) į turto balansinę vertę įtrauktos kapitalizuotos palūkanos;</w:t>
      </w:r>
    </w:p>
    <w:p w14:paraId="3334D5C7"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6) palūkanos, susietos su skolinto kapitalo grąža (pelnu, pajamomis);</w:t>
      </w:r>
    </w:p>
    <w:p w14:paraId="0CFA02DF"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7) sąlyginės išvestinių finansinių priemonių arba apsidraudimo sandorių, susijusių su vieneto paskolomis, palūkanos;</w:t>
      </w:r>
    </w:p>
    <w:p w14:paraId="6E4CD4B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8) garantiniai mokėjimai pagal finansavimo sandorius;</w:t>
      </w:r>
    </w:p>
    <w:p w14:paraId="148A4B8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9) kitas atlygis, ekonomiškai lygiavertis palūkanoms;</w:t>
      </w:r>
    </w:p>
    <w:p w14:paraId="1881217D"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10) su visais šioje dalyje numatytais mokėjimais susiję administravimo mokesčiai;</w:t>
      </w:r>
    </w:p>
    <w:p w14:paraId="2CEE73E8"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11) su visais šioje dalyje numatytais mokėjimais susijusi užsienio valiutos kurso pasikeitimo suma.</w:t>
      </w:r>
    </w:p>
    <w:p w14:paraId="52E1474C" w14:textId="77777777" w:rsidR="00DC637E" w:rsidRPr="004B2ACB" w:rsidRDefault="00DC637E" w:rsidP="00DC637E">
      <w:pPr>
        <w:pStyle w:val="Style1"/>
        <w:tabs>
          <w:tab w:val="left" w:pos="720"/>
          <w:tab w:val="left" w:pos="1077"/>
          <w:tab w:val="left" w:pos="1418"/>
        </w:tabs>
        <w:ind w:right="-5" w:firstLine="709"/>
        <w:rPr>
          <w:rFonts w:ascii="Times New Roman" w:hAnsi="Times New Roman"/>
          <w:szCs w:val="24"/>
        </w:rPr>
      </w:pPr>
      <w:r w:rsidRPr="004B2ACB">
        <w:rPr>
          <w:rFonts w:ascii="Times New Roman" w:hAnsi="Times New Roman"/>
          <w:szCs w:val="24"/>
        </w:rPr>
        <w:t>Vartojamos sąvokos atitinka 2016 m. liepos 12 d. Tarybos direktyvoje (ES) 2016/1164, kuria nustatomos kovos su mokesčių piktnaudžiavimo praktika, tiesiogiai veikiančia vidaus rinkos veikimą, taisyklėse ( OL 2016 L 193, p. 1) pateikiamas sąvokas.</w:t>
      </w:r>
    </w:p>
    <w:p w14:paraId="27791B68" w14:textId="77777777" w:rsidR="00DC637E" w:rsidRPr="004B2ACB" w:rsidRDefault="00DC637E" w:rsidP="00DC637E">
      <w:pPr>
        <w:pStyle w:val="Pagrindiniotekstotrauka3"/>
        <w:tabs>
          <w:tab w:val="left" w:pos="720"/>
          <w:tab w:val="left" w:pos="1077"/>
          <w:tab w:val="left" w:pos="1418"/>
        </w:tabs>
        <w:rPr>
          <w:rFonts w:ascii="Times New Roman" w:hAnsi="Times New Roman"/>
        </w:rPr>
      </w:pPr>
    </w:p>
    <w:p w14:paraId="6C1D34BA"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7. Šio straipsnio nuostatos netaikomos:</w:t>
      </w:r>
    </w:p>
    <w:p w14:paraId="377CBC81"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4758814C"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296511AF" w14:textId="77777777" w:rsidR="00DC637E" w:rsidRPr="004B2ACB" w:rsidRDefault="00DC637E" w:rsidP="00DC637E">
      <w:pPr>
        <w:pStyle w:val="HTMLiankstoformatuotas"/>
        <w:tabs>
          <w:tab w:val="left" w:pos="1134"/>
        </w:tabs>
        <w:ind w:firstLine="720"/>
        <w:jc w:val="both"/>
        <w:rPr>
          <w:rFonts w:ascii="Times New Roman" w:hAnsi="Times New Roman" w:cs="Times New Roman"/>
          <w:sz w:val="24"/>
          <w:szCs w:val="24"/>
        </w:rPr>
      </w:pPr>
      <w:r w:rsidRPr="004B2ACB">
        <w:rPr>
          <w:rFonts w:ascii="Times New Roman" w:hAnsi="Times New Roman" w:cs="Times New Roman"/>
          <w:sz w:val="24"/>
          <w:szCs w:val="24"/>
        </w:rPr>
        <w:t>Šioje dalyje nustatyti atvejai, kuriais netaikoma PMĮ 30</w:t>
      </w:r>
      <w:r w:rsidRPr="004B2ACB">
        <w:rPr>
          <w:rFonts w:ascii="Times New Roman" w:hAnsi="Times New Roman" w:cs="Times New Roman"/>
          <w:sz w:val="24"/>
          <w:szCs w:val="24"/>
          <w:vertAlign w:val="superscript"/>
        </w:rPr>
        <w:t>1</w:t>
      </w:r>
      <w:r w:rsidRPr="004B2ACB">
        <w:rPr>
          <w:rFonts w:ascii="Times New Roman" w:hAnsi="Times New Roman" w:cs="Times New Roman"/>
          <w:sz w:val="24"/>
          <w:szCs w:val="24"/>
        </w:rPr>
        <w:t xml:space="preserve"> straipsnyje nustatyta palūkanų atskaitymo ribojimo taisyklė.</w:t>
      </w:r>
    </w:p>
    <w:p w14:paraId="25642E95" w14:textId="77777777" w:rsidR="00DC637E" w:rsidRPr="004B2ACB" w:rsidRDefault="00DC637E" w:rsidP="00DC637E">
      <w:pPr>
        <w:jc w:val="both"/>
      </w:pPr>
    </w:p>
    <w:p w14:paraId="0F5BD2F6"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 xml:space="preserve">1) paskolų, skirtų ilgalaikiams viešosios infrastruktūros projektams, kurių tikslas yra sukurti, modernizuoti, valdyti ir (arba) prižiūrėti viešiesiems interesams tenkinti skirtą turtą, finansuoti, kai projekto vykdytojas, jo turtas yra, palūkanų sąnaudos patiriamos ir pajamos gaunamos Europos Sąjungos valstybėje narėje, palūkanoms. Projektų priskyrimo prie ilgalaikių </w:t>
      </w:r>
      <w:r w:rsidRPr="004B2ACB">
        <w:rPr>
          <w:b/>
          <w:color w:val="000000"/>
        </w:rPr>
        <w:lastRenderedPageBreak/>
        <w:t>viešosios infrastruktūros projektų kriterijus ir tvarką nustato Lietuvos Respublikos Vyriausybė ar jos įgaliota institucija;</w:t>
      </w:r>
    </w:p>
    <w:p w14:paraId="50B8F01F" w14:textId="77777777" w:rsidR="00DC637E" w:rsidRPr="004B2ACB" w:rsidRDefault="00DC637E" w:rsidP="00DC637E">
      <w:pPr>
        <w:pStyle w:val="tajtip"/>
        <w:spacing w:before="0" w:beforeAutospacing="0" w:after="0" w:afterAutospacing="0"/>
        <w:ind w:firstLine="720"/>
        <w:jc w:val="both"/>
        <w:rPr>
          <w:b/>
        </w:rPr>
      </w:pPr>
    </w:p>
    <w:p w14:paraId="61E0BD69"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05CF516B" w14:textId="77777777" w:rsidR="00DC637E" w:rsidRPr="004B2ACB" w:rsidRDefault="00DC637E" w:rsidP="00DC637E">
      <w:pPr>
        <w:pStyle w:val="tajtip"/>
        <w:spacing w:before="0" w:beforeAutospacing="0" w:after="0" w:afterAutospacing="0"/>
        <w:ind w:firstLine="720"/>
        <w:jc w:val="both"/>
        <w:rPr>
          <w:b/>
        </w:rPr>
      </w:pPr>
    </w:p>
    <w:p w14:paraId="7D733B67" w14:textId="77777777" w:rsidR="00DC637E" w:rsidRPr="004B2ACB" w:rsidRDefault="00DC637E" w:rsidP="00DC637E">
      <w:pPr>
        <w:pStyle w:val="tajtip"/>
        <w:spacing w:before="0" w:beforeAutospacing="0" w:after="0" w:afterAutospacing="0"/>
        <w:ind w:firstLine="720"/>
        <w:jc w:val="both"/>
      </w:pPr>
      <w:r w:rsidRPr="004B2ACB">
        <w:t xml:space="preserve">Palūkanų pajamas viršijančios palūkanų sąnaudos, patirtos dėl paskolų, </w:t>
      </w:r>
      <w:r w:rsidRPr="004B2ACB">
        <w:rPr>
          <w:color w:val="000000"/>
        </w:rPr>
        <w:t xml:space="preserve">skirtų ilgalaikiams viešosios infrastruktūros projektams, kurių tikslas yra sukurti, modernizuoti, valdyti ir (arba) prižiūrėti viešiesiems interesams tenkinti skirtą turtą, finansuoti, </w:t>
      </w:r>
      <w:r w:rsidRPr="004B2ACB">
        <w:t xml:space="preserve"> kai  </w:t>
      </w:r>
      <w:r w:rsidRPr="004B2ACB">
        <w:rPr>
          <w:color w:val="000000"/>
        </w:rPr>
        <w:t xml:space="preserve">projekto vykdytojas, jo turtas yra, palūkanų sąnaudos patiriamos ir pajamos gaunamos Europos Sąjungos valstybėje narėje, gali būti atskaitomos iš vieneto pajamų, netaikant </w:t>
      </w:r>
      <w:r w:rsidRPr="004B2ACB">
        <w:t>PMĮ 30</w:t>
      </w:r>
      <w:r w:rsidRPr="004B2ACB">
        <w:rPr>
          <w:vertAlign w:val="superscript"/>
        </w:rPr>
        <w:t>1</w:t>
      </w:r>
      <w:r w:rsidRPr="004B2ACB">
        <w:t xml:space="preserve"> straipsnyje nustatytos palūkanų atskaitymo ribojimo taisyklės.</w:t>
      </w:r>
    </w:p>
    <w:p w14:paraId="48BACDD6" w14:textId="77777777" w:rsidR="00DC637E" w:rsidRPr="004B2ACB" w:rsidRDefault="00DC637E" w:rsidP="00DC637E">
      <w:pPr>
        <w:pStyle w:val="tajtip"/>
        <w:spacing w:before="0" w:beforeAutospacing="0" w:after="0" w:afterAutospacing="0"/>
        <w:ind w:firstLine="720"/>
        <w:jc w:val="both"/>
      </w:pPr>
    </w:p>
    <w:p w14:paraId="4177687A"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2) finansų įstaigoms ir draudimo įmonėms;</w:t>
      </w:r>
    </w:p>
    <w:p w14:paraId="1CEFF314" w14:textId="77777777" w:rsidR="00DC637E" w:rsidRPr="004B2ACB" w:rsidRDefault="00DC637E" w:rsidP="00DC637E">
      <w:pPr>
        <w:pStyle w:val="tajtip"/>
        <w:spacing w:before="0" w:beforeAutospacing="0" w:after="0" w:afterAutospacing="0"/>
        <w:ind w:firstLine="720"/>
        <w:jc w:val="both"/>
        <w:rPr>
          <w:b/>
          <w:color w:val="000000"/>
        </w:rPr>
      </w:pPr>
    </w:p>
    <w:p w14:paraId="3C4D092D"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7265E50D" w14:textId="77777777" w:rsidR="00DC637E" w:rsidRPr="004B2ACB" w:rsidRDefault="00DC637E" w:rsidP="00DC637E">
      <w:pPr>
        <w:pStyle w:val="tajtip"/>
        <w:spacing w:before="0" w:beforeAutospacing="0" w:after="0" w:afterAutospacing="0"/>
        <w:ind w:firstLine="720"/>
        <w:jc w:val="both"/>
      </w:pPr>
      <w:r w:rsidRPr="004B2ACB">
        <w:t>Finansų įstaigos ir draudimo įmonės iš pajamų gali atskaityti palūkanų sąnaudas netaikydamos PMĮ 30</w:t>
      </w:r>
      <w:r w:rsidRPr="004B2ACB">
        <w:rPr>
          <w:vertAlign w:val="superscript"/>
        </w:rPr>
        <w:t>1</w:t>
      </w:r>
      <w:r w:rsidRPr="004B2ACB">
        <w:t xml:space="preserve"> straipsnyje  nustatytos palūkanų atskaitymo ribojimo taisyklės.</w:t>
      </w:r>
    </w:p>
    <w:p w14:paraId="4A111E88" w14:textId="77777777" w:rsidR="00DC637E" w:rsidRPr="004B2ACB" w:rsidRDefault="00DC637E" w:rsidP="00DC637E">
      <w:pPr>
        <w:pStyle w:val="tajtip"/>
        <w:spacing w:before="0" w:beforeAutospacing="0" w:after="0" w:afterAutospacing="0"/>
        <w:ind w:firstLine="720"/>
        <w:jc w:val="both"/>
      </w:pPr>
      <w:r w:rsidRPr="004B2ACB">
        <w:t>Finansų įstaigos sąvoka apibrėžta Lietuvos Respublikos finansų įstaigų įstatyme (toliau – FĮĮ). Pagal šį įstatymą finansų įstaiga tai – finansų įmonė arba kredito įstaiga (kaip jos apibrėžtos FĮĮ).</w:t>
      </w:r>
    </w:p>
    <w:p w14:paraId="0DCD1629" w14:textId="77777777" w:rsidR="00DC637E" w:rsidRPr="004B2ACB" w:rsidRDefault="00DC637E" w:rsidP="00DC637E">
      <w:pPr>
        <w:pStyle w:val="tajtip"/>
        <w:spacing w:before="0" w:beforeAutospacing="0" w:after="0" w:afterAutospacing="0"/>
        <w:ind w:firstLine="720"/>
        <w:jc w:val="both"/>
      </w:pPr>
      <w:r w:rsidRPr="004B2ACB">
        <w:t>Draudimo įmonės sąvoka apibrėžta Lietuvos Respublikos draudimo įstatyme (toliau – DĮ). Pagal šį įstatymą draudimo įmonė – tai įmonė, DĮ nustatyta tvarka gavusi draudimo veiklos licenciją.</w:t>
      </w:r>
    </w:p>
    <w:p w14:paraId="0FD7D2B4" w14:textId="77777777" w:rsidR="00DC637E" w:rsidRPr="004B2ACB" w:rsidRDefault="00DC637E" w:rsidP="00DC637E">
      <w:pPr>
        <w:pStyle w:val="tajtip"/>
        <w:spacing w:before="0" w:beforeAutospacing="0" w:after="0" w:afterAutospacing="0"/>
        <w:ind w:firstLine="720"/>
        <w:jc w:val="both"/>
      </w:pPr>
    </w:p>
    <w:p w14:paraId="65BAF285"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3) vienetams, neturintiems susijusių asmenų (vienetų).</w:t>
      </w:r>
    </w:p>
    <w:p w14:paraId="4FF6BBD2"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47904985"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0561522E" w14:textId="77777777" w:rsidR="00DC637E" w:rsidRPr="004B2ACB" w:rsidRDefault="00DC637E" w:rsidP="00DC637E">
      <w:pPr>
        <w:spacing w:after="0" w:line="240" w:lineRule="auto"/>
        <w:ind w:firstLine="709"/>
        <w:jc w:val="both"/>
        <w:rPr>
          <w:lang w:eastAsia="lt-LT"/>
        </w:rPr>
      </w:pPr>
    </w:p>
    <w:p w14:paraId="019A608B" w14:textId="77777777" w:rsidR="00DC637E" w:rsidRPr="004B2ACB" w:rsidRDefault="00DC637E" w:rsidP="00DC637E">
      <w:pPr>
        <w:spacing w:after="0" w:line="240" w:lineRule="auto"/>
        <w:ind w:firstLine="709"/>
        <w:jc w:val="both"/>
        <w:rPr>
          <w:lang w:eastAsia="lt-LT"/>
        </w:rPr>
      </w:pPr>
      <w:r w:rsidRPr="004B2ACB">
        <w:rPr>
          <w:lang w:eastAsia="lt-LT"/>
        </w:rPr>
        <w:t>Pagal šio punkto nuostatas vienetai, neturintys susijusių asmenų (vienetų), gali atskaityti visas palūkanų pajamas viršijančioms palūkanų sąnaudas, netaikydami PMĮ 30</w:t>
      </w:r>
      <w:r w:rsidRPr="004B2ACB">
        <w:rPr>
          <w:vertAlign w:val="superscript"/>
          <w:lang w:eastAsia="lt-LT"/>
        </w:rPr>
        <w:t>1</w:t>
      </w:r>
      <w:r w:rsidRPr="004B2ACB">
        <w:rPr>
          <w:lang w:eastAsia="lt-LT"/>
        </w:rPr>
        <w:t xml:space="preserve"> straipsnyje nustatytos palūkanų atskaitymo ribojimo taisyklės.</w:t>
      </w:r>
    </w:p>
    <w:p w14:paraId="1A765FF5" w14:textId="77777777" w:rsidR="00DC637E" w:rsidRPr="004B2ACB" w:rsidRDefault="00DC637E" w:rsidP="00DC637E">
      <w:pPr>
        <w:spacing w:after="0" w:line="240" w:lineRule="auto"/>
        <w:ind w:firstLine="709"/>
        <w:jc w:val="both"/>
        <w:rPr>
          <w:lang w:eastAsia="lt-LT"/>
        </w:rPr>
      </w:pPr>
      <w:r w:rsidRPr="004B2ACB">
        <w:rPr>
          <w:lang w:eastAsia="lt-LT"/>
        </w:rPr>
        <w:t>Vienetu, neturinčiu susijusių asmenų (vienetų), laikomas vienetas, nepriklausantis vienetų grupei ir neturintis susijusių vienetų ar nuolatinių buveinių.</w:t>
      </w:r>
    </w:p>
    <w:p w14:paraId="4A4BFAF8" w14:textId="77777777" w:rsidR="00DC637E" w:rsidRPr="004B2ACB" w:rsidRDefault="00DC637E" w:rsidP="00DC637E">
      <w:pPr>
        <w:pStyle w:val="tajtip"/>
        <w:spacing w:before="0" w:beforeAutospacing="0" w:after="0" w:afterAutospacing="0"/>
        <w:ind w:firstLine="709"/>
        <w:jc w:val="both"/>
      </w:pPr>
      <w:r w:rsidRPr="004B2ACB">
        <w:t>Susijusiais asmenimis laikomi vienetai, jei jie atitinka kurį nors PMĮ 2 straipsnio 33 dalyje nustatytą požymį (požymius) bet kurią ataskaitinio mokestinio laikotarpio arba prieš jį buvusio mokestinio laikotarpio dieną (žr. PMĮ 2 straipsnio 33 dalies komentarą).</w:t>
      </w:r>
    </w:p>
    <w:p w14:paraId="5FE7CD94" w14:textId="77777777" w:rsidR="00DC637E" w:rsidRPr="004B2ACB" w:rsidRDefault="00DC637E" w:rsidP="00DC637E">
      <w:pPr>
        <w:pStyle w:val="tajtip"/>
        <w:spacing w:before="0" w:beforeAutospacing="0" w:after="0" w:afterAutospacing="0"/>
        <w:ind w:firstLine="720"/>
        <w:jc w:val="both"/>
      </w:pPr>
    </w:p>
    <w:p w14:paraId="5AC681E1"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8. Kai taikomas šio straipsnio 7 dalies 1 punktas, pajamos, gautos iš ilgalaikio viešosios infrastruktūros projekto, šio straipsnio taikymo tikslais apskaičiuojant apmokestinamąjį EBITDA neįtraukiamos.</w:t>
      </w:r>
    </w:p>
    <w:p w14:paraId="0C7169C9"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p>
    <w:p w14:paraId="75F3FDB6" w14:textId="77777777" w:rsidR="00DC637E" w:rsidRPr="004B2ACB" w:rsidRDefault="00DC637E" w:rsidP="00DC637E">
      <w:pPr>
        <w:pStyle w:val="HTMLiankstoformatuotas"/>
        <w:tabs>
          <w:tab w:val="left" w:pos="1134"/>
        </w:tabs>
        <w:ind w:firstLine="720"/>
        <w:jc w:val="both"/>
        <w:rPr>
          <w:rFonts w:ascii="Times New Roman" w:hAnsi="Times New Roman" w:cs="Times New Roman"/>
          <w:b/>
          <w:sz w:val="24"/>
          <w:szCs w:val="24"/>
        </w:rPr>
      </w:pPr>
      <w:r w:rsidRPr="004B2ACB">
        <w:rPr>
          <w:rFonts w:ascii="Times New Roman" w:hAnsi="Times New Roman" w:cs="Times New Roman"/>
          <w:b/>
          <w:sz w:val="24"/>
          <w:szCs w:val="24"/>
        </w:rPr>
        <w:t>Komentaras</w:t>
      </w:r>
    </w:p>
    <w:p w14:paraId="2C592A13" w14:textId="77777777" w:rsidR="00DC637E" w:rsidRPr="004B2ACB" w:rsidRDefault="00DC637E" w:rsidP="00DC637E">
      <w:pPr>
        <w:pStyle w:val="tajtip"/>
        <w:spacing w:before="0" w:beforeAutospacing="0" w:after="0" w:afterAutospacing="0"/>
        <w:ind w:firstLine="709"/>
        <w:jc w:val="both"/>
      </w:pPr>
    </w:p>
    <w:p w14:paraId="73AFF796" w14:textId="77777777" w:rsidR="00DC637E" w:rsidRPr="004B2ACB" w:rsidRDefault="00DC637E" w:rsidP="00DC637E">
      <w:pPr>
        <w:pStyle w:val="tajtip"/>
        <w:spacing w:before="0" w:beforeAutospacing="0" w:after="0" w:afterAutospacing="0"/>
        <w:ind w:firstLine="709"/>
        <w:jc w:val="both"/>
      </w:pPr>
      <w:r w:rsidRPr="004B2ACB">
        <w:t>Taikant PMĮ 30</w:t>
      </w:r>
      <w:r w:rsidRPr="004B2ACB">
        <w:rPr>
          <w:vertAlign w:val="superscript"/>
        </w:rPr>
        <w:t>1</w:t>
      </w:r>
      <w:r w:rsidRPr="004B2ACB">
        <w:t xml:space="preserve"> straipsnio 7 dalies 1 punkte nustatytą išimtį, pajamos, gautos iš ilgalaikio viešosios infrastruktūros projekto, ir šioms pajamoms uždirbti patirtos sąnaudos, šio straipsnio taikymo tikslais apskaičiuojant vieneto ar vienetų grupės apmokestinamąjį EBITDA neįtraukiamos.</w:t>
      </w:r>
    </w:p>
    <w:p w14:paraId="40BA29C8" w14:textId="77777777" w:rsidR="00DC637E" w:rsidRPr="004B2ACB" w:rsidRDefault="00DC637E" w:rsidP="00DC637E">
      <w:pPr>
        <w:pStyle w:val="tajtip"/>
        <w:spacing w:before="0" w:beforeAutospacing="0" w:after="0" w:afterAutospacing="0"/>
        <w:ind w:firstLine="720"/>
        <w:jc w:val="both"/>
        <w:rPr>
          <w:b/>
          <w:color w:val="000000"/>
        </w:rPr>
      </w:pPr>
    </w:p>
    <w:p w14:paraId="40E1B3E6" w14:textId="77777777" w:rsidR="00DC637E" w:rsidRPr="004B2ACB" w:rsidRDefault="00DC637E" w:rsidP="00DC637E">
      <w:pPr>
        <w:pStyle w:val="tajtip"/>
        <w:spacing w:before="0" w:beforeAutospacing="0" w:after="0" w:afterAutospacing="0"/>
        <w:ind w:firstLine="720"/>
        <w:jc w:val="both"/>
        <w:rPr>
          <w:b/>
          <w:color w:val="000000"/>
        </w:rPr>
      </w:pPr>
      <w:r w:rsidRPr="004B2ACB">
        <w:rPr>
          <w:b/>
          <w:color w:val="000000"/>
        </w:rPr>
        <w:t xml:space="preserve">9. Pagal šį straipsnį neatskaitytų palūkanų sąnaudų suma, kuri kitais šiame Įstatyme nustatytais atvejais galėtų būtų atskaitoma, gali būti perkeliama į kitus mokestinius laikotarpius </w:t>
      </w:r>
      <w:r w:rsidRPr="004B2ACB">
        <w:rPr>
          <w:b/>
          <w:color w:val="000000"/>
        </w:rPr>
        <w:lastRenderedPageBreak/>
        <w:t>neribotą laiką ir atskaitoma iš tų mokestinių laikotarpių pajamų taikant šiame straipsnyje nustatytus apribojimus.</w:t>
      </w:r>
    </w:p>
    <w:p w14:paraId="2DBF5B05" w14:textId="77777777" w:rsidR="00DC637E" w:rsidRPr="004B2ACB" w:rsidRDefault="00DC637E" w:rsidP="00DC637E">
      <w:pPr>
        <w:pStyle w:val="tajtip"/>
        <w:spacing w:before="0" w:beforeAutospacing="0" w:after="0" w:afterAutospacing="0"/>
        <w:ind w:firstLine="720"/>
        <w:jc w:val="both"/>
        <w:rPr>
          <w:b/>
          <w:highlight w:val="lightGray"/>
        </w:rPr>
      </w:pPr>
    </w:p>
    <w:p w14:paraId="211387D7" w14:textId="77777777" w:rsidR="00DC637E" w:rsidRPr="004B2ACB" w:rsidRDefault="00DC637E" w:rsidP="00DC637E">
      <w:pPr>
        <w:pStyle w:val="tajtip"/>
        <w:spacing w:before="0" w:beforeAutospacing="0" w:after="0" w:afterAutospacing="0"/>
        <w:ind w:firstLine="720"/>
        <w:jc w:val="both"/>
        <w:rPr>
          <w:b/>
        </w:rPr>
      </w:pPr>
      <w:r w:rsidRPr="004B2ACB">
        <w:rPr>
          <w:b/>
        </w:rPr>
        <w:t>Komentaras</w:t>
      </w:r>
    </w:p>
    <w:p w14:paraId="054EFF5A" w14:textId="77777777" w:rsidR="00DC637E" w:rsidRPr="004B2ACB" w:rsidRDefault="00DC637E" w:rsidP="00DC637E">
      <w:pPr>
        <w:pStyle w:val="tajtip"/>
        <w:spacing w:before="0" w:beforeAutospacing="0" w:after="0" w:afterAutospacing="0"/>
        <w:ind w:firstLine="709"/>
        <w:jc w:val="both"/>
      </w:pPr>
    </w:p>
    <w:p w14:paraId="42A6D4AB" w14:textId="77777777" w:rsidR="00DC637E" w:rsidRPr="004B2ACB" w:rsidRDefault="00DC637E" w:rsidP="00DC637E">
      <w:pPr>
        <w:pStyle w:val="tajtip"/>
        <w:spacing w:before="0" w:beforeAutospacing="0" w:after="0" w:afterAutospacing="0"/>
        <w:ind w:firstLine="709"/>
        <w:jc w:val="both"/>
      </w:pPr>
      <w:r w:rsidRPr="004B2ACB">
        <w:t>Tais atvejais, kai vieneto ar vienetų grupės apmokestinamasis EBITDA yra mažas arba vienetas (ar vienetų grupė) mokestinius metus baigė nuostolingai ir dėl to pagal šio straipsnio 2,4, 5 dalis neatskaitomos visos palūkanų sąnaudos, mokestiniu laikotarpiu neatskaitytų palūkanų sąnaudų suma, kuri kitais PMĮ nustatytais atvejais galėtų būtų atskaitoma, gali būti perkeliama į kitus mokestinius laikotarpius neribotą laiką ir atskaitoma iš tų mokestinių laikotarpių pajamų taikant šiame straipsnyje nustatytus apribojimus.“</w:t>
      </w:r>
    </w:p>
    <w:p w14:paraId="15398E13" w14:textId="77777777" w:rsidR="00DC637E" w:rsidRPr="004B2ACB" w:rsidRDefault="00DC637E" w:rsidP="00DC637E">
      <w:pPr>
        <w:pStyle w:val="tajtip"/>
        <w:spacing w:before="0" w:beforeAutospacing="0" w:after="0" w:afterAutospacing="0"/>
        <w:ind w:firstLine="709"/>
        <w:jc w:val="both"/>
      </w:pPr>
    </w:p>
    <w:p w14:paraId="5C0C1C3C" w14:textId="77777777" w:rsidR="00DC637E" w:rsidRPr="004B2ACB" w:rsidRDefault="00DC637E" w:rsidP="00DC637E">
      <w:pPr>
        <w:pStyle w:val="tajtip"/>
        <w:spacing w:before="0" w:beforeAutospacing="0" w:after="0" w:afterAutospacing="0"/>
        <w:ind w:firstLine="709"/>
        <w:jc w:val="both"/>
      </w:pPr>
      <w:r w:rsidRPr="004B2ACB">
        <w:t>Pavyzdys</w:t>
      </w:r>
    </w:p>
    <w:p w14:paraId="57A3FF84"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2019 m. mokestiniu laikotarpiu vieneto palūkanų sąnaudų, viršijančių palūkanų pajamas suma - 3 500 000 Eur.</w:t>
      </w:r>
    </w:p>
    <w:p w14:paraId="498E3D00"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-10 000 000 Eur.</w:t>
      </w:r>
    </w:p>
    <w:p w14:paraId="70C6FED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- 3 000 000 Eur (10 000 000 Eur x 30 proc.)*</w:t>
      </w:r>
    </w:p>
    <w:p w14:paraId="1D2C6AA2"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- 500 000 Eur ( 3 500 000 Eur – 3 000 000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4C03968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40B386EC"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2020 m. mokestiniu laikotarpiu vieneto palūkanų sąnaudų, viršijančių palūkanų pajamas, suma – 2 900 000 Eur. Likusi ankstesniais laikotarpiais neatskaityta vieneto palūkanų sąnaudų, viršijančių palūkanų pajamas, suma – 500 000 Eur. Iš viso palūkanų sąnaudos, viršijančios palūkanų pajamas – 3 400 000 Eur.</w:t>
      </w:r>
    </w:p>
    <w:p w14:paraId="424BF48F"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Apmokestinamasis EBITDA -11 000 000 Eur.</w:t>
      </w:r>
    </w:p>
    <w:p w14:paraId="76F1F035"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Maksimali leidžiama atskaityti palūkanų suma pagal EBITDA - 3 300 000 Eur (11 000 000 Eur x 30 proc.)*</w:t>
      </w:r>
    </w:p>
    <w:p w14:paraId="3A990E6D"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rPr>
          <w:color w:val="000000"/>
        </w:rPr>
        <w:t xml:space="preserve">Mokestiniu laikotarpiu neatskaitoma palūkanų sąnaudų suma </w:t>
      </w:r>
      <w:r w:rsidRPr="004B2ACB">
        <w:t>- 100 000 Eur (3 400 000 (2 900 000 + 500 000) Eur – 3 300 000 Eur). Ši suma</w:t>
      </w:r>
      <w:r w:rsidRPr="004B2ACB">
        <w:rPr>
          <w:color w:val="000000"/>
        </w:rPr>
        <w:t xml:space="preserve"> gali būti perkeliama į kitus mokestinius laikotarpius neribotą laiką ir atskaitoma iš tų mokestinių laikotarpių pajamų taikant šiame straipsnyje nustatytus apribojimus.</w:t>
      </w:r>
    </w:p>
    <w:p w14:paraId="1CCB381A"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p>
    <w:p w14:paraId="3B340261" w14:textId="77777777" w:rsidR="00DC637E" w:rsidRPr="004B2ACB" w:rsidRDefault="00DC637E" w:rsidP="00DC637E">
      <w:pPr>
        <w:pBdr>
          <w:top w:val="single" w:sz="4" w:space="1" w:color="auto"/>
          <w:left w:val="single" w:sz="4" w:space="4" w:color="auto"/>
          <w:bottom w:val="single" w:sz="4" w:space="1" w:color="auto"/>
          <w:right w:val="single" w:sz="4" w:space="4" w:color="auto"/>
        </w:pBdr>
        <w:spacing w:after="0" w:line="240" w:lineRule="auto"/>
        <w:ind w:firstLine="709"/>
        <w:jc w:val="both"/>
      </w:pPr>
      <w:r w:rsidRPr="004B2ACB">
        <w:t xml:space="preserve">*Vienetas priklauso vienetų grupei, kurią sudaro užsienio vienetai, neturintys nuolatinių buveinių Lietuvos Respublikoje. Nuosavo kapitalo ir viso turto santykis, vieneto pasirinkimu, nevertinamas. </w:t>
      </w:r>
    </w:p>
    <w:p w14:paraId="554C2146" w14:textId="77777777" w:rsidR="00DC637E" w:rsidRPr="004B2ACB" w:rsidRDefault="00DC637E" w:rsidP="00DC637E">
      <w:pPr>
        <w:pStyle w:val="tajtip"/>
        <w:pBdr>
          <w:top w:val="single" w:sz="4" w:space="1" w:color="auto"/>
          <w:left w:val="single" w:sz="4" w:space="4" w:color="auto"/>
          <w:bottom w:val="single" w:sz="4" w:space="1" w:color="auto"/>
          <w:right w:val="single" w:sz="4" w:space="4" w:color="auto"/>
        </w:pBdr>
        <w:spacing w:before="0" w:beforeAutospacing="0" w:after="0" w:afterAutospacing="0"/>
        <w:ind w:firstLine="709"/>
        <w:jc w:val="both"/>
        <w:rPr>
          <w:b/>
          <w:color w:val="000000"/>
        </w:rPr>
      </w:pPr>
    </w:p>
    <w:p w14:paraId="64A552B1" w14:textId="77777777" w:rsidR="00DC637E" w:rsidRDefault="00325DEF" w:rsidP="00DC637E">
      <w:pPr>
        <w:ind w:firstLine="720"/>
        <w:jc w:val="both"/>
        <w:rPr>
          <w:color w:val="000000"/>
        </w:rPr>
      </w:pPr>
      <w:r>
        <w:rPr>
          <w:iCs/>
          <w:lang w:eastAsia="lt-LT"/>
        </w:rPr>
        <w:t>(</w:t>
      </w:r>
      <w:r w:rsidR="00DC637E" w:rsidRPr="00DC637E">
        <w:rPr>
          <w:iCs/>
          <w:lang w:eastAsia="lt-LT"/>
        </w:rPr>
        <w:t xml:space="preserve">Pakeistas pagal VMI prie FM raštą </w:t>
      </w:r>
      <w:r w:rsidR="00DC637E" w:rsidRPr="00DC637E">
        <w:rPr>
          <w:color w:val="000000"/>
        </w:rPr>
        <w:t xml:space="preserve">2019-09-03 Nr. </w:t>
      </w:r>
      <w:r w:rsidR="00DC637E" w:rsidRPr="00DC637E">
        <w:t>(</w:t>
      </w:r>
      <w:r w:rsidR="00DC637E" w:rsidRPr="00DC637E">
        <w:rPr>
          <w:color w:val="000000"/>
        </w:rPr>
        <w:t>32.42-31-1E) RM-26483))</w:t>
      </w:r>
    </w:p>
    <w:p w14:paraId="35624F74" w14:textId="77777777" w:rsidR="006E6128" w:rsidRPr="008B593D" w:rsidRDefault="006E6128" w:rsidP="006E6128">
      <w:pPr>
        <w:tabs>
          <w:tab w:val="left" w:pos="8280"/>
        </w:tabs>
        <w:ind w:firstLineChars="235" w:firstLine="566"/>
        <w:jc w:val="both"/>
        <w:rPr>
          <w:b/>
          <w:color w:val="000000"/>
          <w:lang w:val="lt-LT" w:eastAsia="lt-LT"/>
        </w:rPr>
      </w:pPr>
      <w:bookmarkStart w:id="449" w:name="part_302"/>
      <w:r w:rsidRPr="008B593D">
        <w:rPr>
          <w:b/>
          <w:color w:val="000000"/>
          <w:lang w:val="lt-LT" w:eastAsia="lt-LT"/>
        </w:rPr>
        <w:t>30</w:t>
      </w:r>
      <w:r w:rsidRPr="008B593D">
        <w:rPr>
          <w:b/>
          <w:color w:val="000000"/>
          <w:vertAlign w:val="superscript"/>
          <w:lang w:val="lt-LT" w:eastAsia="lt-LT"/>
        </w:rPr>
        <w:t>2</w:t>
      </w:r>
      <w:r w:rsidRPr="008B593D">
        <w:rPr>
          <w:b/>
          <w:color w:val="000000"/>
          <w:lang w:val="lt-LT" w:eastAsia="lt-LT"/>
        </w:rPr>
        <w:t xml:space="preserve"> straipsnis</w:t>
      </w:r>
      <w:bookmarkEnd w:id="449"/>
      <w:r w:rsidRPr="008B593D">
        <w:rPr>
          <w:b/>
          <w:color w:val="000000"/>
          <w:lang w:val="lt-LT" w:eastAsia="lt-LT"/>
        </w:rPr>
        <w:t>. Lengvųjų automobilių įsigijimo ir nuomos išlaidos</w:t>
      </w:r>
    </w:p>
    <w:p w14:paraId="178EF859" w14:textId="77777777" w:rsidR="006E6128" w:rsidRPr="008B593D" w:rsidRDefault="006E6128" w:rsidP="006E6128">
      <w:pPr>
        <w:tabs>
          <w:tab w:val="left" w:pos="8280"/>
        </w:tabs>
        <w:ind w:firstLineChars="235" w:firstLine="566"/>
        <w:jc w:val="both"/>
        <w:rPr>
          <w:b/>
          <w:color w:val="000000"/>
          <w:lang w:val="lt-LT" w:eastAsia="lt-LT"/>
        </w:rPr>
      </w:pPr>
      <w:bookmarkStart w:id="450" w:name="part_ed771d6ee63542a9aece6afa384aaee7"/>
      <w:bookmarkEnd w:id="450"/>
      <w:r w:rsidRPr="008B593D">
        <w:rPr>
          <w:b/>
          <w:color w:val="000000"/>
          <w:lang w:val="lt-LT" w:eastAsia="lt-LT"/>
        </w:rPr>
        <w:t>1. Iš pajamų šio Įstatymo 18 straipsnyje nustatyta tvarka atskaitoma lengvojo automobilio, kuris laikomas vieneto turtu, įsigijimo kainos dalis, neviršijanti:</w:t>
      </w:r>
    </w:p>
    <w:p w14:paraId="62DA34B0" w14:textId="77777777" w:rsidR="006E6128" w:rsidRPr="008B593D" w:rsidRDefault="006E6128" w:rsidP="006E6128">
      <w:pPr>
        <w:tabs>
          <w:tab w:val="left" w:pos="8280"/>
        </w:tabs>
        <w:ind w:firstLineChars="235" w:firstLine="566"/>
        <w:jc w:val="both"/>
        <w:rPr>
          <w:b/>
          <w:color w:val="000000"/>
          <w:lang w:val="lt-LT" w:eastAsia="lt-LT"/>
        </w:rPr>
      </w:pPr>
      <w:bookmarkStart w:id="451" w:name="part_71edb6b13ac349ac9f8ecef24978fadc"/>
      <w:bookmarkEnd w:id="451"/>
      <w:r w:rsidRPr="008B593D">
        <w:rPr>
          <w:b/>
          <w:color w:val="000000"/>
          <w:lang w:val="lt-LT" w:eastAsia="lt-LT"/>
        </w:rPr>
        <w:t>1) 75 000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lygus 0 g/km;</w:t>
      </w:r>
    </w:p>
    <w:p w14:paraId="68243347" w14:textId="77777777" w:rsidR="006E6128" w:rsidRPr="008B593D" w:rsidRDefault="006E6128" w:rsidP="006E6128">
      <w:pPr>
        <w:tabs>
          <w:tab w:val="left" w:pos="8280"/>
        </w:tabs>
        <w:ind w:firstLineChars="235" w:firstLine="566"/>
        <w:jc w:val="both"/>
        <w:rPr>
          <w:b/>
          <w:color w:val="000000"/>
          <w:lang w:val="lt-LT" w:eastAsia="lt-LT"/>
        </w:rPr>
      </w:pPr>
      <w:bookmarkStart w:id="452" w:name="part_57cd6d89fe3f477ba57ad8dfaed0c076"/>
      <w:bookmarkEnd w:id="452"/>
      <w:r w:rsidRPr="008B593D">
        <w:rPr>
          <w:b/>
          <w:color w:val="000000"/>
          <w:lang w:val="lt-LT" w:eastAsia="lt-LT"/>
        </w:rPr>
        <w:t>2) 50 000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neviršija 130 g/km;</w:t>
      </w:r>
    </w:p>
    <w:p w14:paraId="4FD027D9" w14:textId="77777777" w:rsidR="006E6128" w:rsidRPr="008B593D" w:rsidRDefault="006E6128" w:rsidP="006E6128">
      <w:pPr>
        <w:tabs>
          <w:tab w:val="left" w:pos="8280"/>
        </w:tabs>
        <w:ind w:firstLineChars="235" w:firstLine="566"/>
        <w:jc w:val="both"/>
        <w:rPr>
          <w:b/>
          <w:color w:val="000000"/>
          <w:lang w:val="lt-LT" w:eastAsia="lt-LT"/>
        </w:rPr>
      </w:pPr>
      <w:bookmarkStart w:id="453" w:name="part_ceccbb6619174213b8c29de24aa6ebe0"/>
      <w:bookmarkEnd w:id="453"/>
      <w:r w:rsidRPr="008B593D">
        <w:rPr>
          <w:b/>
          <w:color w:val="000000"/>
          <w:lang w:val="lt-LT" w:eastAsia="lt-LT"/>
        </w:rPr>
        <w:t>3) 25 000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viršija 130 g/km, tačiau neviršija 200 g/km;</w:t>
      </w:r>
    </w:p>
    <w:p w14:paraId="7F958FBD" w14:textId="77777777" w:rsidR="006E6128" w:rsidRPr="008B593D" w:rsidRDefault="006E6128" w:rsidP="006E6128">
      <w:pPr>
        <w:tabs>
          <w:tab w:val="left" w:pos="8280"/>
        </w:tabs>
        <w:ind w:firstLineChars="235" w:firstLine="566"/>
        <w:jc w:val="both"/>
        <w:rPr>
          <w:b/>
          <w:color w:val="000000"/>
          <w:lang w:val="lt-LT" w:eastAsia="lt-LT"/>
        </w:rPr>
      </w:pPr>
      <w:bookmarkStart w:id="454" w:name="part_0590d9bf08b4458e8e5e2ba131c2d968"/>
      <w:bookmarkEnd w:id="454"/>
      <w:r w:rsidRPr="008B593D">
        <w:rPr>
          <w:b/>
          <w:color w:val="000000"/>
          <w:lang w:val="lt-LT" w:eastAsia="lt-LT"/>
        </w:rPr>
        <w:lastRenderedPageBreak/>
        <w:t>4) 10 000 eurų, kai įsigyjamas lengvasis automobilis, kurio išmetamas anglies dioksido (C</w:t>
      </w:r>
      <w:r w:rsidRPr="008B593D">
        <w:rPr>
          <w:b/>
          <w:color w:val="000000"/>
        </w:rPr>
        <w:t>O</w:t>
      </w:r>
      <w:r w:rsidRPr="008B593D">
        <w:rPr>
          <w:b/>
          <w:color w:val="000000"/>
          <w:vertAlign w:val="subscript"/>
        </w:rPr>
        <w:t>2</w:t>
      </w:r>
      <w:r w:rsidRPr="008B593D">
        <w:rPr>
          <w:b/>
          <w:color w:val="000000"/>
          <w:lang w:val="lt-LT" w:eastAsia="lt-LT"/>
        </w:rPr>
        <w:t>) kiekis viršija 200 g/km.</w:t>
      </w:r>
    </w:p>
    <w:p w14:paraId="27B832AF"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(Pagal 2024 m. birželio 20 d. įstatymo Nr. XIV-2774 redakciją; taikoma apskaičiuojant 2025 metais prasidėjusio ir vėlesnių mokestinių laikotarpių apmokestinamąjį pelną)</w:t>
      </w:r>
    </w:p>
    <w:p w14:paraId="607D2223" w14:textId="77777777" w:rsidR="006E6128" w:rsidRPr="008B593D" w:rsidRDefault="006E6128" w:rsidP="006E6128">
      <w:pPr>
        <w:tabs>
          <w:tab w:val="left" w:pos="720"/>
          <w:tab w:val="left" w:pos="1077"/>
          <w:tab w:val="left" w:pos="1418"/>
        </w:tabs>
        <w:ind w:right="-5" w:firstLine="709"/>
        <w:jc w:val="both"/>
        <w:rPr>
          <w:b/>
          <w:lang w:val="lt-LT"/>
        </w:rPr>
      </w:pPr>
      <w:r w:rsidRPr="008B593D">
        <w:rPr>
          <w:b/>
          <w:lang w:val="lt-LT"/>
        </w:rPr>
        <w:t>Komentaras</w:t>
      </w:r>
    </w:p>
    <w:p w14:paraId="3B938C41" w14:textId="77777777" w:rsidR="006E6128" w:rsidRPr="008B593D" w:rsidRDefault="006E6128" w:rsidP="006E6128">
      <w:pPr>
        <w:ind w:firstLine="720"/>
        <w:jc w:val="both"/>
        <w:rPr>
          <w:lang w:val="lt-LT"/>
        </w:rPr>
      </w:pPr>
      <w:r w:rsidRPr="008B593D">
        <w:rPr>
          <w:lang w:val="lt-LT"/>
        </w:rPr>
        <w:t>1. Ši dalis reglamentuoja iš pajamų PMĮ 18 straipsnyje nustatyta tvarka atskaitomos lengvųjų automobilių, laikomų vieneto turtu, įsigijimo kainos, t. y. įsigijimo išlaidų, ribojimus, siejamus su  išmetamu anglies dioksido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kiekiu (toliau – išmetamas </w:t>
      </w:r>
      <w:r w:rsidRPr="008B593D">
        <w:rPr>
          <w:color w:val="000000"/>
          <w:lang w:val="lt-LT" w:eastAsia="lt-LT"/>
        </w:rPr>
        <w:t>C</w:t>
      </w:r>
      <w:r w:rsidRPr="008B593D">
        <w:rPr>
          <w:color w:val="000000"/>
          <w:lang w:val="lt-LT"/>
        </w:rPr>
        <w:t>O</w:t>
      </w:r>
      <w:r w:rsidRPr="008B593D">
        <w:rPr>
          <w:color w:val="000000"/>
          <w:vertAlign w:val="subscript"/>
          <w:lang w:val="lt-LT"/>
        </w:rPr>
        <w:t xml:space="preserve">2 </w:t>
      </w:r>
      <w:r w:rsidRPr="008B593D">
        <w:rPr>
          <w:color w:val="000000"/>
          <w:lang w:val="lt-LT"/>
        </w:rPr>
        <w:t>kiekis)</w:t>
      </w:r>
      <w:r w:rsidRPr="008B593D">
        <w:rPr>
          <w:lang w:val="lt-LT"/>
        </w:rPr>
        <w:t xml:space="preserve">.  </w:t>
      </w:r>
    </w:p>
    <w:p w14:paraId="267876E7" w14:textId="77777777" w:rsidR="006E6128" w:rsidRPr="008B593D" w:rsidRDefault="006E6128" w:rsidP="006E6128">
      <w:pPr>
        <w:ind w:firstLine="720"/>
        <w:jc w:val="both"/>
        <w:rPr>
          <w:lang w:val="lt-LT"/>
        </w:rPr>
      </w:pPr>
      <w:r w:rsidRPr="008B593D">
        <w:rPr>
          <w:lang w:val="lt-LT"/>
        </w:rPr>
        <w:t>2. Pagal Lietuvos Respublikos kelių transporto kodekso nuostatas lengvasis automobilis – motorinė kelių transporto priemonė, turinti ne daugiau kaip 9 sėdimas vietas, įskaitant vairuotojo vietą, skirta keleiviams bei bagažui vežti.</w:t>
      </w:r>
    </w:p>
    <w:p w14:paraId="767634DC" w14:textId="77777777" w:rsidR="006E6128" w:rsidRPr="008B593D" w:rsidRDefault="006E6128" w:rsidP="006E6128">
      <w:pPr>
        <w:ind w:firstLine="720"/>
        <w:jc w:val="both"/>
        <w:rPr>
          <w:lang w:val="lt-LT"/>
        </w:rPr>
      </w:pPr>
      <w:r w:rsidRPr="008B593D">
        <w:rPr>
          <w:lang w:val="lt-LT"/>
        </w:rPr>
        <w:t>Šioje dalyje nustatyti ribojimai taikomi įsigyjamiems automobiliams (varomi benzinu, elektra ar kitu kuru), kurie pagal Motorinių transporto priemonių ir jų priekabų kategorijų ir klasių pagal konstrukciją reikalavimus, patvirtintus Lietuvos transporto saugos administracijos direktoriaus 2008 m. gruodžio 2 d. įsakymu Nr. 2B-479 „Dėl Motorinių transporto priemonių ir jų priekabų kategorijų ir klasių pagal konstrukciją reikalavimų patvirtinimo“, yra įregistruoti kaip lengvieji automobiliai (M</w:t>
      </w:r>
      <w:r w:rsidRPr="008B593D">
        <w:rPr>
          <w:vertAlign w:val="subscript"/>
          <w:lang w:val="lt-LT"/>
        </w:rPr>
        <w:t>1</w:t>
      </w:r>
      <w:r w:rsidRPr="008B593D">
        <w:rPr>
          <w:lang w:val="lt-LT"/>
        </w:rPr>
        <w:t xml:space="preserve"> klasė). Jeigu lengvasis automobilis, pritaikytas vežti krovinius ir yra registruotas kaip lengvasis krovininis automobilis (N</w:t>
      </w:r>
      <w:r w:rsidRPr="008B593D">
        <w:rPr>
          <w:vertAlign w:val="subscript"/>
          <w:lang w:val="lt-LT"/>
        </w:rPr>
        <w:t>1</w:t>
      </w:r>
      <w:r w:rsidRPr="008B593D">
        <w:rPr>
          <w:lang w:val="lt-LT"/>
        </w:rPr>
        <w:t xml:space="preserve"> klasė), tai šioje dalyje nustatyti įsigijimo kainos ribojimai tokiam automobiliui netaikomi.</w:t>
      </w:r>
    </w:p>
    <w:p w14:paraId="2FD6DDEC" w14:textId="77777777" w:rsidR="006E6128" w:rsidRPr="008B593D" w:rsidRDefault="006E6128" w:rsidP="006E6128">
      <w:pPr>
        <w:ind w:firstLine="720"/>
        <w:jc w:val="both"/>
        <w:rPr>
          <w:lang w:val="lt-LT"/>
        </w:rPr>
      </w:pPr>
      <w:r w:rsidRPr="008B593D">
        <w:rPr>
          <w:lang w:val="lt-LT"/>
        </w:rPr>
        <w:t xml:space="preserve">3. Lengvųjų automobilių įsigijimo kainos atskaitymo ribojimai taikomi automobiliams, įsigytiems nuo 2025 m. sausio 1 d., apskaičiuojant ir deklaruojant 2025 metų ir vėlesnių mokestinių laikotarpių pelno mokestį. </w:t>
      </w:r>
    </w:p>
    <w:p w14:paraId="610C8644" w14:textId="77777777" w:rsidR="006E6128" w:rsidRPr="008B593D" w:rsidRDefault="006E6128" w:rsidP="006E6128">
      <w:pPr>
        <w:ind w:firstLine="720"/>
        <w:jc w:val="both"/>
        <w:rPr>
          <w:lang w:val="lt-LT"/>
        </w:rPr>
      </w:pPr>
      <w:r w:rsidRPr="008B593D">
        <w:rPr>
          <w:lang w:val="lt-LT"/>
        </w:rPr>
        <w:t>Pavyzdžiui, jeigu yra patvirtintas kitas, nesutampantis su kalendoriniais metais, mokestinis laikotarpis, kuris prasideda liepos 1 d. ir baigiasi kitų metų birželio 30 d., tai vienetas lengvųjų automobilių įsigijimo kainos atskaitymo iš pajamų ribojimus pradės taikyti nuo 2025 m. liepos 1 d. įsigytiems automobiliams, t. y. prasidėjus 2025 metų mokestiniam laikotarpiui.</w:t>
      </w:r>
    </w:p>
    <w:p w14:paraId="3887CF3F" w14:textId="77777777" w:rsidR="006E6128" w:rsidRPr="008B593D" w:rsidRDefault="006E6128" w:rsidP="006E6128">
      <w:pPr>
        <w:ind w:firstLine="720"/>
        <w:jc w:val="both"/>
        <w:rPr>
          <w:lang w:val="lt-LT"/>
        </w:rPr>
      </w:pPr>
      <w:r w:rsidRPr="008B593D">
        <w:rPr>
          <w:lang w:val="lt-LT"/>
        </w:rPr>
        <w:t xml:space="preserve">Kai lengvasis automobilis yra įsigyjamas 2024 metų mokestinio laikotarpio pabaigoje, tai įsigijimo išlaidoms nustatytų ribojimų netaikymui yra svarbu nustatyti faktinį lengvojo automobilio nuosavybės įsigijimo momentą. </w:t>
      </w:r>
    </w:p>
    <w:p w14:paraId="4D2676FB" w14:textId="77777777" w:rsidR="006E6128" w:rsidRPr="008B593D" w:rsidRDefault="006E6128" w:rsidP="006E6128">
      <w:pPr>
        <w:ind w:firstLine="720"/>
        <w:jc w:val="both"/>
        <w:rPr>
          <w:lang w:val="lt-LT"/>
        </w:rPr>
      </w:pPr>
      <w:r w:rsidRPr="008B593D">
        <w:rPr>
          <w:lang w:val="lt-LT"/>
        </w:rPr>
        <w:t xml:space="preserve">Jeigu vienetas lengvąjį automobilį įsigyja iki 2025-01-01, o 2025 metais su lizingo bendrove sudaro atgalinio lizingo (finansinės nuomos) sutartį, ir šis atgalinio lizingo (finansinės nuomos) sandoris pelno mokesčio tikslais yra laikomas finansavimo už užstatą sandoriu, tokiu atveju šio automobilio įsigijimo išlaidų atskaitymui netaikomi šioje dalyje nustatyti lengvojo automobilio įsigijimo išlaidų apribojimai. </w:t>
      </w:r>
    </w:p>
    <w:p w14:paraId="57AF65E1" w14:textId="77777777" w:rsidR="006E6128" w:rsidRPr="008B593D" w:rsidRDefault="006E6128" w:rsidP="006E6128">
      <w:pPr>
        <w:ind w:firstLine="720"/>
        <w:jc w:val="both"/>
        <w:rPr>
          <w:lang w:val="lt-LT"/>
        </w:rPr>
      </w:pPr>
      <w:r w:rsidRPr="008B593D">
        <w:rPr>
          <w:lang w:val="lt-LT"/>
        </w:rPr>
        <w:t xml:space="preserve">4. Lengvojo automobilio įsigijimo kainos priskyrimui sąnaudoms, mažinančioms pajamas,  būtina įvertinti šioje dalyje nustatytus išmetamo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kiekio intervalus: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6095"/>
      </w:tblGrid>
      <w:tr w:rsidR="006E6128" w:rsidRPr="008B593D" w14:paraId="490B127D" w14:textId="77777777" w:rsidTr="004D2262">
        <w:trPr>
          <w:trHeight w:val="451"/>
        </w:trPr>
        <w:tc>
          <w:tcPr>
            <w:tcW w:w="3539" w:type="dxa"/>
          </w:tcPr>
          <w:p w14:paraId="7EE45BC0" w14:textId="77777777" w:rsidR="006E6128" w:rsidRPr="008B593D" w:rsidRDefault="006E6128" w:rsidP="004D2262">
            <w:pPr>
              <w:ind w:right="-82"/>
              <w:jc w:val="center"/>
              <w:rPr>
                <w:b/>
                <w:lang w:val="lt-LT"/>
              </w:rPr>
            </w:pPr>
            <w:r w:rsidRPr="008B593D">
              <w:rPr>
                <w:b/>
                <w:color w:val="000000"/>
                <w:lang w:val="lt-LT" w:eastAsia="lt-LT"/>
              </w:rPr>
              <w:t>Išmetamas C</w:t>
            </w:r>
            <w:r w:rsidRPr="008B593D">
              <w:rPr>
                <w:b/>
                <w:color w:val="000000"/>
                <w:lang w:val="lt-LT"/>
              </w:rPr>
              <w:t>O</w:t>
            </w:r>
            <w:r w:rsidRPr="008B593D">
              <w:rPr>
                <w:b/>
                <w:color w:val="000000"/>
                <w:vertAlign w:val="subscript"/>
                <w:lang w:val="lt-LT"/>
              </w:rPr>
              <w:t xml:space="preserve">2 </w:t>
            </w:r>
            <w:r w:rsidRPr="008B593D">
              <w:rPr>
                <w:b/>
                <w:color w:val="000000"/>
                <w:lang w:val="lt-LT"/>
              </w:rPr>
              <w:t>kiekis, g/km</w:t>
            </w:r>
          </w:p>
        </w:tc>
        <w:tc>
          <w:tcPr>
            <w:tcW w:w="6095" w:type="dxa"/>
          </w:tcPr>
          <w:p w14:paraId="19A0CDFD" w14:textId="77777777" w:rsidR="006E6128" w:rsidRPr="008B593D" w:rsidRDefault="006E6128" w:rsidP="004D2262">
            <w:pPr>
              <w:ind w:right="-82"/>
              <w:jc w:val="both"/>
              <w:rPr>
                <w:b/>
              </w:rPr>
            </w:pPr>
            <w:r w:rsidRPr="008B593D">
              <w:rPr>
                <w:b/>
                <w:lang w:val="lt-LT"/>
              </w:rPr>
              <w:t>Iš pajamų atskaitoma lengvojo automobilio įsigijimo kainos dalis (eurais), neviršijanti:</w:t>
            </w:r>
          </w:p>
        </w:tc>
      </w:tr>
      <w:tr w:rsidR="006E6128" w:rsidRPr="008B593D" w14:paraId="2597AB56" w14:textId="77777777" w:rsidTr="004D2262">
        <w:trPr>
          <w:trHeight w:val="378"/>
        </w:trPr>
        <w:tc>
          <w:tcPr>
            <w:tcW w:w="3539" w:type="dxa"/>
          </w:tcPr>
          <w:p w14:paraId="48D12C5D" w14:textId="77777777" w:rsidR="006E6128" w:rsidRPr="008B593D" w:rsidRDefault="006E6128" w:rsidP="004D2262">
            <w:pPr>
              <w:ind w:right="-82"/>
              <w:jc w:val="center"/>
              <w:rPr>
                <w:lang w:val="lt-LT"/>
              </w:rPr>
            </w:pPr>
            <w:r w:rsidRPr="008B593D">
              <w:rPr>
                <w:lang w:val="lt-LT"/>
              </w:rPr>
              <w:t>0</w:t>
            </w:r>
          </w:p>
          <w:p w14:paraId="1B9FB54B" w14:textId="77777777" w:rsidR="006E6128" w:rsidRPr="008B593D" w:rsidRDefault="006E6128" w:rsidP="004D2262">
            <w:pPr>
              <w:ind w:right="-82"/>
              <w:jc w:val="center"/>
              <w:rPr>
                <w:lang w:val="lt-LT"/>
              </w:rPr>
            </w:pPr>
          </w:p>
        </w:tc>
        <w:tc>
          <w:tcPr>
            <w:tcW w:w="6095" w:type="dxa"/>
          </w:tcPr>
          <w:p w14:paraId="58FAB8FD" w14:textId="77777777" w:rsidR="006E6128" w:rsidRPr="008B593D" w:rsidRDefault="006E6128" w:rsidP="004D2262">
            <w:pPr>
              <w:ind w:right="-82"/>
              <w:jc w:val="center"/>
            </w:pPr>
            <w:r w:rsidRPr="008B593D">
              <w:t>75 000</w:t>
            </w:r>
          </w:p>
        </w:tc>
      </w:tr>
      <w:tr w:rsidR="006E6128" w:rsidRPr="008B593D" w14:paraId="11127087" w14:textId="77777777" w:rsidTr="004D2262">
        <w:trPr>
          <w:trHeight w:val="428"/>
        </w:trPr>
        <w:tc>
          <w:tcPr>
            <w:tcW w:w="3539" w:type="dxa"/>
          </w:tcPr>
          <w:p w14:paraId="4694CB86" w14:textId="77777777" w:rsidR="006E6128" w:rsidRPr="008B593D" w:rsidRDefault="006E6128" w:rsidP="004D2262">
            <w:pPr>
              <w:ind w:right="-82"/>
              <w:jc w:val="center"/>
              <w:rPr>
                <w:lang w:val="lt-LT"/>
              </w:rPr>
            </w:pPr>
            <w:r w:rsidRPr="008B593D">
              <w:rPr>
                <w:lang w:val="lt-LT"/>
              </w:rPr>
              <w:t>1-130</w:t>
            </w:r>
          </w:p>
        </w:tc>
        <w:tc>
          <w:tcPr>
            <w:tcW w:w="6095" w:type="dxa"/>
          </w:tcPr>
          <w:p w14:paraId="55509FE1" w14:textId="77777777" w:rsidR="006E6128" w:rsidRPr="008B593D" w:rsidRDefault="006E6128" w:rsidP="004D2262">
            <w:pPr>
              <w:ind w:right="-82"/>
              <w:jc w:val="center"/>
              <w:rPr>
                <w:lang w:val="lt-LT"/>
              </w:rPr>
            </w:pPr>
            <w:r w:rsidRPr="008B593D">
              <w:rPr>
                <w:lang w:val="lt-LT"/>
              </w:rPr>
              <w:t>50 000</w:t>
            </w:r>
          </w:p>
        </w:tc>
      </w:tr>
      <w:tr w:rsidR="006E6128" w:rsidRPr="008B593D" w14:paraId="71C95E1F" w14:textId="77777777" w:rsidTr="004D2262">
        <w:trPr>
          <w:trHeight w:val="405"/>
        </w:trPr>
        <w:tc>
          <w:tcPr>
            <w:tcW w:w="3539" w:type="dxa"/>
          </w:tcPr>
          <w:p w14:paraId="0B73B334" w14:textId="77777777" w:rsidR="006E6128" w:rsidRPr="008B593D" w:rsidRDefault="006E6128" w:rsidP="004D2262">
            <w:pPr>
              <w:ind w:right="-82"/>
              <w:jc w:val="center"/>
              <w:rPr>
                <w:lang w:val="lt-LT"/>
              </w:rPr>
            </w:pPr>
            <w:r w:rsidRPr="008B593D">
              <w:rPr>
                <w:lang w:val="lt-LT"/>
              </w:rPr>
              <w:lastRenderedPageBreak/>
              <w:t>131-200</w:t>
            </w:r>
          </w:p>
        </w:tc>
        <w:tc>
          <w:tcPr>
            <w:tcW w:w="6095" w:type="dxa"/>
          </w:tcPr>
          <w:p w14:paraId="70AE824B" w14:textId="77777777" w:rsidR="006E6128" w:rsidRPr="008B593D" w:rsidRDefault="006E6128" w:rsidP="004D2262">
            <w:pPr>
              <w:ind w:right="-82"/>
              <w:jc w:val="center"/>
              <w:rPr>
                <w:lang w:val="lt-LT"/>
              </w:rPr>
            </w:pPr>
            <w:r w:rsidRPr="008B593D">
              <w:rPr>
                <w:lang w:val="lt-LT"/>
              </w:rPr>
              <w:t>25 000</w:t>
            </w:r>
          </w:p>
        </w:tc>
      </w:tr>
      <w:tr w:rsidR="006E6128" w:rsidRPr="008B593D" w14:paraId="5FBECE12" w14:textId="77777777" w:rsidTr="004D2262">
        <w:tc>
          <w:tcPr>
            <w:tcW w:w="3539" w:type="dxa"/>
          </w:tcPr>
          <w:p w14:paraId="552CB43C" w14:textId="77777777" w:rsidR="006E6128" w:rsidRPr="008B593D" w:rsidRDefault="006E6128" w:rsidP="004D2262">
            <w:pPr>
              <w:ind w:right="-82"/>
              <w:jc w:val="center"/>
              <w:rPr>
                <w:lang w:val="lt-LT"/>
              </w:rPr>
            </w:pPr>
            <w:r w:rsidRPr="008B593D">
              <w:rPr>
                <w:lang w:val="lt-LT"/>
              </w:rPr>
              <w:t>201 ir daugiau</w:t>
            </w:r>
          </w:p>
        </w:tc>
        <w:tc>
          <w:tcPr>
            <w:tcW w:w="6095" w:type="dxa"/>
          </w:tcPr>
          <w:p w14:paraId="2F0B4E12" w14:textId="77777777" w:rsidR="006E6128" w:rsidRPr="008B593D" w:rsidRDefault="006E6128" w:rsidP="004D2262">
            <w:pPr>
              <w:ind w:right="-82"/>
              <w:jc w:val="center"/>
              <w:rPr>
                <w:lang w:val="lt-LT"/>
              </w:rPr>
            </w:pPr>
            <w:r w:rsidRPr="008B593D">
              <w:rPr>
                <w:lang w:val="lt-LT"/>
              </w:rPr>
              <w:t>10 000</w:t>
            </w:r>
          </w:p>
        </w:tc>
      </w:tr>
    </w:tbl>
    <w:p w14:paraId="35F477F5" w14:textId="77777777" w:rsidR="006E6128" w:rsidRPr="008B593D" w:rsidRDefault="006E6128" w:rsidP="006E6128">
      <w:pPr>
        <w:ind w:firstLine="720"/>
        <w:jc w:val="both"/>
        <w:rPr>
          <w:lang w:val="lt-LT"/>
        </w:rPr>
      </w:pPr>
    </w:p>
    <w:p w14:paraId="7EAACFA9" w14:textId="77777777" w:rsidR="006E6128" w:rsidRPr="008B593D" w:rsidRDefault="006E6128" w:rsidP="006E6128">
      <w:pPr>
        <w:ind w:firstLine="720"/>
        <w:jc w:val="both"/>
        <w:rPr>
          <w:lang w:val="lt-LT"/>
        </w:rPr>
      </w:pPr>
      <w:r w:rsidRPr="008B593D">
        <w:rPr>
          <w:lang w:val="lt-LT"/>
        </w:rPr>
        <w:t>Įsigijus lengvuosius automobilius, pajamos PMĮ 18 straipsnyje nustatyta tvarka sumažinamos automobilio įsigijimo kaina (ar jos dalimi), neviršijant konkrečiam išmetamo CO</w:t>
      </w:r>
      <w:r w:rsidRPr="008B593D">
        <w:rPr>
          <w:vertAlign w:val="subscript"/>
          <w:lang w:val="lt-LT"/>
        </w:rPr>
        <w:t>2</w:t>
      </w:r>
      <w:r w:rsidRPr="008B593D">
        <w:rPr>
          <w:lang w:val="lt-LT"/>
        </w:rPr>
        <w:t xml:space="preserve"> kiekio intervalui nustatytos automobilio įsigijimo kainos ribojančios sumos. Jeigu įsigyto lengvojo automobilio faktiška įsigijimo kaina yra didesnė nei nustatyta ribojanti suma, tai šią sumą viršijanti automobilio įsigijimo kainos dalis yra priskiriama neleidžiamiems atskaitymams, proporcingai per laikotarpį, kai skaičiuojamos automobilio nusidėvėjimo sąnaudos.</w:t>
      </w:r>
    </w:p>
    <w:p w14:paraId="79ED888B" w14:textId="77777777" w:rsidR="006E6128" w:rsidRPr="008B593D" w:rsidRDefault="006E6128" w:rsidP="006E6128">
      <w:pPr>
        <w:ind w:firstLine="720"/>
        <w:jc w:val="both"/>
        <w:rPr>
          <w:lang w:val="lt-LT"/>
        </w:rPr>
      </w:pPr>
      <w:r w:rsidRPr="008B593D">
        <w:rPr>
          <w:lang w:val="lt-LT"/>
        </w:rPr>
        <w:t>Jei automobilio įsigijimo išlaidos yra mažesnės nei numatyta ribojanti suma, ribojamų dydžių leidžiamiems atskaitymams gali būti priskiriama visa automobilio įsigijimo kaina.</w:t>
      </w:r>
    </w:p>
    <w:p w14:paraId="289C29F8" w14:textId="77777777" w:rsidR="006E6128" w:rsidRPr="008B593D" w:rsidRDefault="006E6128" w:rsidP="006E6128">
      <w:pPr>
        <w:ind w:firstLine="720"/>
        <w:jc w:val="both"/>
        <w:rPr>
          <w:lang w:val="lt-LT"/>
        </w:rPr>
      </w:pPr>
      <w:r w:rsidRPr="008B593D">
        <w:rPr>
          <w:lang w:val="lt-LT"/>
        </w:rPr>
        <w:t>Įsigytų ir pajamų uždirbimui ar ekonominei naudai gauti naudojamų lengvųjų automobilių įsigijimo kaina, neviršijant konkrečiam išmetamo CO</w:t>
      </w:r>
      <w:r w:rsidRPr="008B593D">
        <w:rPr>
          <w:vertAlign w:val="subscript"/>
          <w:lang w:val="lt-LT"/>
        </w:rPr>
        <w:t>2</w:t>
      </w:r>
      <w:r w:rsidRPr="008B593D">
        <w:rPr>
          <w:lang w:val="lt-LT"/>
        </w:rPr>
        <w:t xml:space="preserve"> kiekio intervalui nustatytos automobilio įsigijimo kainos ribojančios sumos, pagal PMĮ 18 straipsnyje nustatytą tvarką ribojamų dydžių leidžiamiems atskaitymams priskiriama dalimis per šio turto nusidėvėjimo laikotarpį.</w:t>
      </w:r>
    </w:p>
    <w:p w14:paraId="0A02D11C" w14:textId="77777777" w:rsidR="006E6128" w:rsidRPr="006E6128" w:rsidRDefault="006E6128" w:rsidP="006E6128">
      <w:pPr>
        <w:ind w:firstLine="720"/>
        <w:jc w:val="both"/>
      </w:pPr>
      <w:r w:rsidRPr="008B593D">
        <w:rPr>
          <w:lang w:val="lt-LT"/>
        </w:rPr>
        <w:t>1 - 3 pavyzdžiai</w:t>
      </w:r>
    </w:p>
    <w:p w14:paraId="291CD3A0"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Pavyzdžiuose mokestinis laikotarpis sutampa su kalendoriniais metais.</w:t>
      </w:r>
    </w:p>
    <w:p w14:paraId="51EF5A4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1. Vienetas, 2024 metais savo vykdomai veiklai įsigijo lengvąjį automobilį TOYOTA Yaris modelį už 20 000 Eur (be PVM). Kadangi 2024 metais vieneto faktiškai patirtoms lengvojo automobilio, naudojamo veikloje pajamų uždirbimui, įsigijimo išlaidoms PMĮ ribojimų nenustatyta, todėl pagal PMĮ 18 straipsnyje nustatytą tvarką visa šio automobilio įsigijimo kaina, t. y. 20 000 Eur, ribojamų dydžių leidžiamiems atskaitymams priskiriama dalimis per šio turto nusidėvėjimo laikotarpį. </w:t>
      </w:r>
    </w:p>
    <w:p w14:paraId="6667DFC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Vienetas 2025 m. sausio mėn. įsigijo ir tą patį mėnesį pradėjo naudoti savo veikloje dar du TOYOTA lengvuosius automobilius - RAV4 Hybrid modelį už 48 000 Eur (be PVM), kurio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 xml:space="preserve">kiekis yra 129 g/km ir TOYOTA Highlander modelį už 65 000 Eur (be PVM), kurio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kiekis yra 149 g/km. Automobilių likvidacinė vertė – po 1 000 Eur.</w:t>
      </w:r>
    </w:p>
    <w:p w14:paraId="3A011B7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Automobilis RAV4 Hybrid modelis patenka į taršos grupę, kurioje atskaitoma ne daugiau kaip 50 000 Eur įsigijimo išlaidų (išmetamas </w:t>
      </w:r>
      <w:r w:rsidRPr="008B593D">
        <w:rPr>
          <w:color w:val="000000"/>
          <w:lang w:val="lt-LT" w:eastAsia="lt-LT"/>
        </w:rPr>
        <w:t>C</w:t>
      </w:r>
      <w:r w:rsidRPr="008B593D">
        <w:rPr>
          <w:color w:val="000000"/>
          <w:lang w:val="lt-LT"/>
        </w:rPr>
        <w:t>O</w:t>
      </w:r>
      <w:r w:rsidRPr="008B593D">
        <w:rPr>
          <w:color w:val="000000"/>
          <w:vertAlign w:val="subscript"/>
          <w:lang w:val="lt-LT"/>
        </w:rPr>
        <w:t xml:space="preserve">2 </w:t>
      </w:r>
      <w:r w:rsidRPr="008B593D">
        <w:rPr>
          <w:color w:val="000000"/>
          <w:lang w:val="lt-LT"/>
        </w:rPr>
        <w:t xml:space="preserve"> kiekis nustatytas intervale </w:t>
      </w:r>
      <w:r w:rsidRPr="008B593D">
        <w:rPr>
          <w:lang w:val="lt-LT"/>
        </w:rPr>
        <w:t xml:space="preserve">1–130 g/km), o kitas - Highlander modelis, yra labiau taršus ir patenka į grupę, kurioje atskaitoma neviršijant 25 000 Eur išlaidų (išmetamas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kiekis </w:t>
      </w:r>
      <w:r w:rsidRPr="008B593D">
        <w:rPr>
          <w:color w:val="000000"/>
          <w:lang w:val="lt-LT"/>
        </w:rPr>
        <w:t xml:space="preserve">nustatytas intervale </w:t>
      </w:r>
      <w:r w:rsidRPr="008B593D">
        <w:rPr>
          <w:lang w:val="lt-LT"/>
        </w:rPr>
        <w:t>131–200 g/km).</w:t>
      </w:r>
    </w:p>
    <w:p w14:paraId="5788020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Cs/>
          <w:color w:val="000000"/>
          <w:lang w:val="lt-LT"/>
        </w:rPr>
      </w:pPr>
      <w:r w:rsidRPr="008B593D">
        <w:rPr>
          <w:lang w:val="lt-LT"/>
        </w:rPr>
        <w:t xml:space="preserve">Atsižvelgiant į nustatytą iš pajamų atskaitomą automobilio </w:t>
      </w:r>
      <w:r w:rsidRPr="008B593D">
        <w:rPr>
          <w:color w:val="000000"/>
          <w:lang w:val="lt-LT"/>
        </w:rPr>
        <w:t xml:space="preserve">įsigijimo kainą </w:t>
      </w:r>
      <w:r w:rsidRPr="008B593D">
        <w:rPr>
          <w:lang w:val="lt-LT"/>
        </w:rPr>
        <w:t xml:space="preserve">ribojančią sumą, - 50 000 Eur, pelno mokesčio apskaičiavimo tikslais TOYOTA RAV4 Hybrid modelio visa įsigijimo kaina, t. y. 48 000 Eur, pagal PMĮ 18 straipsnyje nustatytą tvarką gali būti priskiriama ribojamų dydžių leidžiamiems atskaitymams dalimis per šio turto nusidėvėjimo laikotarpį. </w:t>
      </w:r>
      <w:r w:rsidRPr="008B593D">
        <w:rPr>
          <w:iCs/>
          <w:color w:val="000000"/>
          <w:shd w:val="clear" w:color="auto" w:fill="FFFFFF"/>
          <w:lang w:val="lt-LT"/>
        </w:rPr>
        <w:t xml:space="preserve">Vadovaujantis </w:t>
      </w:r>
      <w:hyperlink r:id="rId87" w:tgtFrame="_blank" w:tooltip="Lietuvos Respublikos pelno mokesčio įstatymas" w:history="1">
        <w:r w:rsidRPr="0072161C">
          <w:rPr>
            <w:rStyle w:val="Hipersaitas"/>
            <w:b w:val="0"/>
            <w:iCs/>
            <w:color w:val="000000"/>
            <w:lang w:val="lt-LT"/>
          </w:rPr>
          <w:t>PMĮ</w:t>
        </w:r>
      </w:hyperlink>
      <w:r w:rsidRPr="0072161C">
        <w:rPr>
          <w:b/>
          <w:iCs/>
          <w:color w:val="000000"/>
          <w:shd w:val="clear" w:color="auto" w:fill="FFFFFF"/>
          <w:lang w:val="lt-LT"/>
        </w:rPr>
        <w:t xml:space="preserve"> </w:t>
      </w:r>
      <w:r w:rsidRPr="008B593D">
        <w:rPr>
          <w:iCs/>
          <w:color w:val="000000"/>
          <w:shd w:val="clear" w:color="auto" w:fill="FFFFFF"/>
          <w:lang w:val="lt-LT"/>
        </w:rPr>
        <w:t xml:space="preserve">1 priedėliu, šio lengvojo automobilio nusidėvėjimas skaičiuojamas taikant 6 metų (72 mėn.) nusidėvėjimo normatyvą. </w:t>
      </w:r>
      <w:r w:rsidRPr="008B593D">
        <w:rPr>
          <w:lang w:val="lt-LT"/>
        </w:rPr>
        <w:t xml:space="preserve">Vienetas, apskaičiuodamas 2025 m. apmokestinamąjį pelną, ribojamų dydžių leidžiamiems atskaitymams gali priskirti šio modelio metinę nusidėvėjimo sumą, kuri apskaičiuojama taip: 7 180 Eur = (48 000 – 1 000): 6 (normatyvas metais) : 12 mėn. x 11 mėn. </w:t>
      </w:r>
      <w:r w:rsidRPr="008B593D">
        <w:rPr>
          <w:iCs/>
          <w:color w:val="000000"/>
          <w:lang w:val="lt-LT"/>
        </w:rPr>
        <w:t>Kitais mokestiniais laikotarpiais, kuriais šis automobilis bus naudojamas vieneto veikloje, taip pat bus skaičiuojamos ir pripažįstamos ribojamų dydžių leidžiamais atskaitymais šio automobilio nusidėvėjimo sąnaudos.</w:t>
      </w:r>
    </w:p>
    <w:p w14:paraId="17C2467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Cs/>
          <w:color w:val="000000"/>
          <w:lang w:val="lt-LT"/>
        </w:rPr>
      </w:pPr>
      <w:r w:rsidRPr="008B593D">
        <w:rPr>
          <w:lang w:val="lt-LT"/>
        </w:rPr>
        <w:t xml:space="preserve">Taršesnio automobilio TOYOTA Highlander modelio </w:t>
      </w:r>
      <w:r w:rsidRPr="008B593D">
        <w:rPr>
          <w:color w:val="000000"/>
          <w:lang w:val="lt-LT"/>
        </w:rPr>
        <w:t>įsigijimo kaina yra 65 000 Eur, tačiau a</w:t>
      </w:r>
      <w:r w:rsidRPr="008B593D">
        <w:rPr>
          <w:lang w:val="lt-LT"/>
        </w:rPr>
        <w:t xml:space="preserve">tsižvelgiant į šio automobilio iš pajamų atskaitomą </w:t>
      </w:r>
      <w:r w:rsidRPr="008B593D">
        <w:rPr>
          <w:color w:val="000000"/>
          <w:lang w:val="lt-LT"/>
        </w:rPr>
        <w:t xml:space="preserve">įsigijimo kainą </w:t>
      </w:r>
      <w:r w:rsidRPr="008B593D">
        <w:rPr>
          <w:lang w:val="lt-LT"/>
        </w:rPr>
        <w:t xml:space="preserve">ribojančią sumą, - 25 000 Eur, </w:t>
      </w:r>
      <w:r w:rsidRPr="008B593D">
        <w:rPr>
          <w:lang w:val="lt-LT"/>
        </w:rPr>
        <w:lastRenderedPageBreak/>
        <w:t xml:space="preserve">pelno mokesčio apskaičiavimo tikslais vieneto pajamos gali būti sumažinamos tik 25 000 Eur šio automobilio įsigijimo kainos dalimi, kuri pagal PMĮ 18 straipsnyje nustatytą tvarką priskiriama ribojamų dydžių leidžiamiems atskaitymams dalimis per šio turto nusidėvėjimo laikotarpį. </w:t>
      </w:r>
      <w:r w:rsidRPr="008B593D">
        <w:rPr>
          <w:iCs/>
          <w:color w:val="000000"/>
          <w:shd w:val="clear" w:color="auto" w:fill="FFFFFF"/>
          <w:lang w:val="lt-LT"/>
        </w:rPr>
        <w:t xml:space="preserve">Vadovaujantis </w:t>
      </w:r>
      <w:hyperlink r:id="rId88" w:tgtFrame="_blank" w:tooltip="Lietuvos Respublikos pelno mokesčio įstatymas" w:history="1">
        <w:r w:rsidRPr="0072161C">
          <w:rPr>
            <w:rStyle w:val="Hipersaitas"/>
            <w:b w:val="0"/>
            <w:iCs/>
            <w:color w:val="000000"/>
            <w:lang w:val="lt-LT"/>
          </w:rPr>
          <w:t>PMĮ</w:t>
        </w:r>
      </w:hyperlink>
      <w:r w:rsidRPr="008B593D">
        <w:rPr>
          <w:iCs/>
          <w:color w:val="000000"/>
          <w:shd w:val="clear" w:color="auto" w:fill="FFFFFF"/>
          <w:lang w:val="lt-LT"/>
        </w:rPr>
        <w:t xml:space="preserve"> 1 priedėliu, šio lengvojo automobilio nusidėvėjimas skaičiuojamas taikant 6 metų (72 mėn.) nusidėvėjimo normatyvą. </w:t>
      </w:r>
      <w:r w:rsidRPr="008B593D">
        <w:rPr>
          <w:lang w:val="lt-LT"/>
        </w:rPr>
        <w:t>Vienetas, apskaičiuodamas 2025 m. apmokestinamąjį pelną, prie ribojamų dydžių leidžiamų atskaitymų gali priskirti metinę nusidėvėjimo sumą, kuri apskaičiuojama 3 666 Eur = (25 000 – 1 000): 6 (normatyvas metais) : 12 mėn. x 11 mėn.</w:t>
      </w:r>
      <w:r w:rsidRPr="008B593D">
        <w:rPr>
          <w:iCs/>
          <w:color w:val="000000"/>
          <w:lang w:val="lt-LT"/>
        </w:rPr>
        <w:t xml:space="preserve"> Kitais mokestiniais laikotarpiais, kuriais šis automobilis bus naudojamas vieneto veikloje, taip pat bus skaičiuojamos šio automobilio nusidėvėjimo sąnaudos, kuriomis bus mažinamos vieneto pajamos.</w:t>
      </w:r>
    </w:p>
    <w:p w14:paraId="13163C78"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Likusi šio automobilio įsigijimo kainos dalis 40 000 Eur (65 000 Eur - 25 000 Eur) priskiriama neleidžiamiems atskaitymams proporcingai per laikotarpį, kai skaičiuojamos nusidėvėjimo sąnaudos.</w:t>
      </w:r>
    </w:p>
    <w:p w14:paraId="571A7706"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rFonts w:ascii="Trebuchet MS" w:eastAsia="MS Mincho" w:hAnsi="Trebuchet MS"/>
          <w:iCs/>
          <w:color w:val="000000"/>
          <w:shd w:val="clear" w:color="auto" w:fill="FFFFFF"/>
          <w:lang w:eastAsia="ja-JP"/>
        </w:rPr>
      </w:pPr>
      <w:r w:rsidRPr="008B593D">
        <w:rPr>
          <w:lang w:val="lt-LT"/>
        </w:rPr>
        <w:t>2. Vienetas 2025 metais įsigijo lengvąjį automobilį ir naudos jį savo veikloje. Gauta PVM sąskaita faktūra, kurioje nurodyta automobilio kaina 15 000 Eur be PVM, išmetamas CO</w:t>
      </w:r>
      <w:r w:rsidRPr="008B593D">
        <w:rPr>
          <w:vertAlign w:val="subscript"/>
          <w:lang w:val="lt-LT"/>
        </w:rPr>
        <w:t>2</w:t>
      </w:r>
      <w:r w:rsidRPr="008B593D">
        <w:rPr>
          <w:lang w:val="lt-LT"/>
        </w:rPr>
        <w:t xml:space="preserve"> kiekis yra 205 g/km. Vienetas iki turto naudojimo pradžios dar patyrė 1000 Eur šio automobilio transportavimo išlaidų.</w:t>
      </w:r>
      <w:r w:rsidRPr="008B593D">
        <w:rPr>
          <w:rFonts w:ascii="Trebuchet MS" w:eastAsia="MS Mincho" w:hAnsi="Trebuchet MS"/>
          <w:iCs/>
          <w:color w:val="000000"/>
          <w:shd w:val="clear" w:color="auto" w:fill="FFFFFF"/>
          <w:lang w:eastAsia="ja-JP"/>
        </w:rPr>
        <w:t xml:space="preserve"> </w:t>
      </w:r>
    </w:p>
    <w:p w14:paraId="2D54FA32"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Jeigu 2025 m. įsigyjant lengvąjį automobilį, iki jo naudojimo pradžios yra patirtos su šio turto įsigijimu susijusios išlaidos, pavyzdžiui transportavimo, paruošimo naudoti ar remonto išlaidos, kurios priskiriamos įsigyto lengvojo automobilio įsigijimo kainai, tai apskaičiuojant 2025 metų pelno mokestį, PMĮ 30</w:t>
      </w:r>
      <w:r w:rsidRPr="008B593D">
        <w:rPr>
          <w:vertAlign w:val="superscript"/>
          <w:lang w:val="lt-LT"/>
        </w:rPr>
        <w:t>2</w:t>
      </w:r>
      <w:r w:rsidRPr="008B593D">
        <w:rPr>
          <w:lang w:val="lt-LT"/>
        </w:rPr>
        <w:t xml:space="preserve"> straipsnio 1 dalyje nustatytas automobilio įsigijimo kainos ribojimas yra taikomas bendrai visai apskaičiuotai automobilio įsigijimo kainai.</w:t>
      </w:r>
    </w:p>
    <w:p w14:paraId="300F21EA"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Lengvojo automobilio įsigijimo kaina yra 16 000 Eur (15 000 Eur + 1 000 Eur), tačiau atsižvelgiant į šio automobilio iš pajamų atskaitomą įsigijimo kainą ribojančią sumą, - 10 000 Eur, pelno mokesčio apskaičiavimo tikslais vieneto pajamos gali būti sumažinamos tik 10 000 Eur šio automobilio įsigijimo kainos dalimi, kuri pagal PMĮ 18 straipsnyje nustatytą tvarką priskiriama ribojamų dydžių leidžiamiems atskaitymams dalimis per šio turto nusidėvėjimo laikotarpį.</w:t>
      </w:r>
    </w:p>
    <w:p w14:paraId="4F94C800"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Likusi automobilio įsigijimo kainos dalis 6 000 Eur (16 000 Eur - 10 000 Eur) priskiriama neleidžiamiems atskaitymams proporcingai per laikotarpį, kai skaičiuojamos automobilio nusidėvėjimo sąnaudos.</w:t>
      </w:r>
    </w:p>
    <w:p w14:paraId="19C99878"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p>
    <w:p w14:paraId="65EAFFB8"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3. Vienetas 2025 m. sausio mėn. už 28 000 Eur įsigijo lengvąjį automobilį. Tą patį mėnesį vienetas pradėjo jį naudoti savo veikloje, todėl skaičiuojamas automobilio nusidėvėjimas. Įsigyjamo automobilio išmetamas CO</w:t>
      </w:r>
      <w:r w:rsidRPr="008B593D">
        <w:rPr>
          <w:vertAlign w:val="subscript"/>
          <w:lang w:val="lt-LT"/>
        </w:rPr>
        <w:t>2</w:t>
      </w:r>
      <w:r w:rsidRPr="008B593D">
        <w:rPr>
          <w:lang w:val="lt-LT"/>
        </w:rPr>
        <w:t xml:space="preserve"> kiekis yra 179 g/km, todėl pagal PMĮ 30</w:t>
      </w:r>
      <w:r w:rsidRPr="008B593D">
        <w:rPr>
          <w:vertAlign w:val="superscript"/>
          <w:lang w:val="lt-LT"/>
        </w:rPr>
        <w:t>2</w:t>
      </w:r>
      <w:r w:rsidRPr="008B593D">
        <w:rPr>
          <w:lang w:val="lt-LT"/>
        </w:rPr>
        <w:t xml:space="preserve"> straipsnio 1 dalyje nustatytą taršos grupę, iš pajamų gali būti atskaitoma ne daugiau kaip 25 000 Eur automobilio įsigijimo išlaidų. Po metų, t. y. 2026 m., lengvasis automobilis parduotas už 30 000 Eur. </w:t>
      </w:r>
    </w:p>
    <w:p w14:paraId="036124AB"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Pagal PMĮ 30</w:t>
      </w:r>
      <w:r w:rsidRPr="008B593D">
        <w:rPr>
          <w:vertAlign w:val="superscript"/>
          <w:lang w:val="lt-LT"/>
        </w:rPr>
        <w:t>2</w:t>
      </w:r>
      <w:r w:rsidRPr="008B593D">
        <w:rPr>
          <w:lang w:val="lt-LT"/>
        </w:rPr>
        <w:t xml:space="preserve"> straipsnio nuostatas, lengvųjų automobilių, kurių išmetamas CO</w:t>
      </w:r>
      <w:r w:rsidRPr="008B593D">
        <w:rPr>
          <w:vertAlign w:val="subscript"/>
          <w:lang w:val="lt-LT"/>
        </w:rPr>
        <w:t>2</w:t>
      </w:r>
      <w:r w:rsidRPr="008B593D">
        <w:rPr>
          <w:lang w:val="lt-LT"/>
        </w:rPr>
        <w:t xml:space="preserve"> kiekis viršija tam tikrą ribą, leidžiami atskaitymai yra apriboti. Šiuo atveju, automobilio įsigijimo kaina yra 28 000 Eur, tačiau pelno mokesčio apskaičiavimo tikslais vieneto pajamos gali būti sumažinamos tik 25 000 Eur šio automobilio įsigijimo kainos dalimi, kuri pagal PMĮ 18 straipsnyje nustatytą tvarką priskiriama ribojamų dydžių leidžiamiems atskaitymams dalimis per šio turto nusidėvėjimo laikotarpį.</w:t>
      </w:r>
    </w:p>
    <w:p w14:paraId="40C85A09" w14:textId="77777777" w:rsidR="006E6128" w:rsidRPr="008B593D" w:rsidRDefault="006E6128" w:rsidP="006E6128">
      <w:pPr>
        <w:pBdr>
          <w:top w:val="single" w:sz="4" w:space="1" w:color="auto"/>
          <w:left w:val="single" w:sz="4" w:space="4" w:color="auto"/>
          <w:bottom w:val="single" w:sz="4" w:space="1" w:color="auto"/>
          <w:right w:val="single" w:sz="4" w:space="4" w:color="auto"/>
        </w:pBdr>
        <w:spacing w:after="20"/>
        <w:ind w:firstLine="720"/>
        <w:jc w:val="both"/>
        <w:rPr>
          <w:lang w:val="lt-LT"/>
        </w:rPr>
      </w:pPr>
      <w:r w:rsidRPr="008B593D">
        <w:rPr>
          <w:lang w:val="lt-LT"/>
        </w:rPr>
        <w:t xml:space="preserve">Pardavęs automobilį už 30 000 Eur, vienetas gali priskirti leidžiamiems atskaitymams tik tą dalį įsigijimo kainos, kuri atitinka leidžiamų atskaitymų ribą (25 000 Eur), sumažintą nusidėvėjimo suma, įtraukta į ribojamų dydžių leidžiamus atskaitymus, t. y. vienetas, apskaičiuodamas turto vertės padidėjimo pajamas, to turto apribotą įsigijimo kainą (25 000 Eur) sumažina nusidėvėjimo suma, įtraukta į ribojamų dydžių leidžiamus atskaitymus. </w:t>
      </w:r>
    </w:p>
    <w:p w14:paraId="6132E1A9" w14:textId="77777777" w:rsidR="006E6128" w:rsidRPr="008B593D" w:rsidRDefault="006E6128" w:rsidP="00C46CEE">
      <w:pPr>
        <w:jc w:val="both"/>
        <w:rPr>
          <w:iCs/>
          <w:color w:val="000000"/>
          <w:lang w:val="lt-LT"/>
        </w:rPr>
      </w:pPr>
    </w:p>
    <w:p w14:paraId="7807FACA" w14:textId="77777777" w:rsidR="006E6128" w:rsidRPr="006E6128" w:rsidRDefault="006E6128" w:rsidP="006E6128">
      <w:pPr>
        <w:ind w:firstLine="720"/>
        <w:jc w:val="both"/>
        <w:rPr>
          <w:iCs/>
          <w:color w:val="000000"/>
          <w:lang w:val="lt-LT"/>
        </w:rPr>
      </w:pPr>
      <w:r w:rsidRPr="008B593D">
        <w:rPr>
          <w:iCs/>
          <w:color w:val="000000"/>
          <w:lang w:val="lt-LT"/>
        </w:rPr>
        <w:t xml:space="preserve">5. Pagal šią dalį automobilių įsigijimo kainos ribojimai taikomi tik vieneto turtu laikomiems lengviesiems automobiliams, įsigytiems vieneto vardu, t. y. priklausantiems vienetui nuosavybės teise, </w:t>
      </w:r>
      <w:r w:rsidRPr="008B593D">
        <w:rPr>
          <w:iCs/>
          <w:color w:val="000000"/>
          <w:lang w:val="lt-LT"/>
        </w:rPr>
        <w:lastRenderedPageBreak/>
        <w:t>taip pat įsigyjamiems pagal lizingo (finansinės nuomos) sutartį, kurioje numatytas nuosavybės teisės perėjimas arba pagal nuomos sutartį, kurioje numatytas nuosavybės teisės perėjimas vienetui apmokėjus visą turto vertę.</w:t>
      </w:r>
    </w:p>
    <w:p w14:paraId="652D14E3" w14:textId="77777777" w:rsidR="006E6128" w:rsidRPr="008B593D" w:rsidRDefault="006E6128" w:rsidP="006E6128">
      <w:pPr>
        <w:pStyle w:val="Pagrindiniotekstotrauka"/>
        <w:rPr>
          <w:rFonts w:ascii="Times New Roman" w:hAnsi="Times New Roman"/>
          <w:color w:val="000000"/>
          <w:lang w:val="lt-LT"/>
        </w:rPr>
      </w:pPr>
      <w:r w:rsidRPr="008B593D">
        <w:rPr>
          <w:rFonts w:ascii="Times New Roman" w:hAnsi="Times New Roman"/>
          <w:color w:val="000000"/>
          <w:lang w:val="lt-LT"/>
        </w:rPr>
        <w:t>6. Jeigu yra atliekami lengvojo automobilio,</w:t>
      </w:r>
      <w:r w:rsidRPr="008B593D">
        <w:rPr>
          <w:rFonts w:ascii="Times New Roman" w:hAnsi="Times New Roman"/>
          <w:lang w:val="lt-LT"/>
        </w:rPr>
        <w:t xml:space="preserve"> įsigyto nuo 2025 m. sausio 1 d., </w:t>
      </w:r>
      <w:r w:rsidRPr="008B593D">
        <w:rPr>
          <w:rFonts w:ascii="Times New Roman" w:hAnsi="Times New Roman"/>
          <w:color w:val="000000"/>
          <w:lang w:val="lt-LT"/>
        </w:rPr>
        <w:t>remonto darbai, kurie pailgina turto naudingo tarnavimo laiką arba pagerina jo naudingąsias savybes,</w:t>
      </w:r>
      <w:r w:rsidRPr="008B593D">
        <w:rPr>
          <w:rFonts w:ascii="Times New Roman" w:hAnsi="Times New Roman"/>
          <w:lang w:val="lt-LT"/>
        </w:rPr>
        <w:t xml:space="preserve"> ir, atitinkamai, pagal PMĮ 20 straipsnio 1 dalį šio remonto verte yra didinama remontuoto automobilio įsigijimo kaina,</w:t>
      </w:r>
      <w:r w:rsidRPr="008B593D">
        <w:rPr>
          <w:rFonts w:ascii="Times New Roman" w:hAnsi="Times New Roman"/>
          <w:color w:val="000000"/>
          <w:lang w:val="lt-LT"/>
        </w:rPr>
        <w:t xml:space="preserve"> tai, </w:t>
      </w:r>
      <w:r w:rsidRPr="008B593D">
        <w:rPr>
          <w:rFonts w:ascii="Times New Roman" w:hAnsi="Times New Roman"/>
          <w:lang w:val="lt-LT"/>
        </w:rPr>
        <w:t>apskaičiuojant 2025 metų ir vėlesnių mokestinių laikotarpių pelno mokestį,</w:t>
      </w:r>
      <w:r w:rsidRPr="008B593D">
        <w:rPr>
          <w:rFonts w:ascii="Times New Roman" w:hAnsi="Times New Roman"/>
          <w:color w:val="000000"/>
          <w:lang w:val="lt-LT"/>
        </w:rPr>
        <w:t xml:space="preserve"> </w:t>
      </w:r>
      <w:r w:rsidRPr="008B593D">
        <w:rPr>
          <w:rFonts w:ascii="Times New Roman" w:hAnsi="Times New Roman"/>
          <w:lang w:val="lt-LT"/>
        </w:rPr>
        <w:t>PMĮ 30</w:t>
      </w:r>
      <w:r w:rsidRPr="008B593D">
        <w:rPr>
          <w:rFonts w:ascii="Times New Roman" w:hAnsi="Times New Roman"/>
          <w:vertAlign w:val="superscript"/>
          <w:lang w:val="lt-LT"/>
        </w:rPr>
        <w:t>2</w:t>
      </w:r>
      <w:r w:rsidRPr="008B593D">
        <w:rPr>
          <w:rFonts w:ascii="Times New Roman" w:hAnsi="Times New Roman"/>
          <w:lang w:val="lt-LT"/>
        </w:rPr>
        <w:t xml:space="preserve"> straipsnio 1 dalyje nustatytas automobilio įsigijimo kainos ribojimas</w:t>
      </w:r>
      <w:r w:rsidRPr="008B593D">
        <w:rPr>
          <w:rFonts w:ascii="Times New Roman" w:hAnsi="Times New Roman"/>
          <w:color w:val="000000"/>
          <w:lang w:val="lt-LT"/>
        </w:rPr>
        <w:t xml:space="preserve"> yra taikomas bendrai automobilio įsigijimo ir remonto išlaidų sumai. </w:t>
      </w:r>
    </w:p>
    <w:p w14:paraId="0D872BE6" w14:textId="77777777" w:rsidR="006E6128" w:rsidRPr="00C46CEE" w:rsidRDefault="006E6128" w:rsidP="00C46CEE">
      <w:pPr>
        <w:ind w:firstLine="720"/>
        <w:jc w:val="both"/>
        <w:rPr>
          <w:lang w:val="lt-LT"/>
        </w:rPr>
      </w:pPr>
      <w:r w:rsidRPr="008B593D">
        <w:rPr>
          <w:lang w:val="lt-LT"/>
        </w:rPr>
        <w:t>Tais atvejais, kai patirtas remonto išlaidas pilnai ar dalinai kompensuoja draudimo įmonė, PMĮ 30</w:t>
      </w:r>
      <w:r w:rsidRPr="008B593D">
        <w:rPr>
          <w:vertAlign w:val="superscript"/>
          <w:lang w:val="lt-LT"/>
        </w:rPr>
        <w:t>2</w:t>
      </w:r>
      <w:r w:rsidRPr="008B593D">
        <w:rPr>
          <w:lang w:val="lt-LT"/>
        </w:rPr>
        <w:t xml:space="preserve"> straipsnio 1 dalyje nustatytas automobilio įsigijimo kainos ribojimas</w:t>
      </w:r>
      <w:r w:rsidRPr="008B593D">
        <w:rPr>
          <w:color w:val="000000"/>
          <w:lang w:val="lt-LT"/>
        </w:rPr>
        <w:t xml:space="preserve"> netaikomas kompensuotai remonto išlaidų sumai, t. y. dėl kompensuotų remonto darbų </w:t>
      </w:r>
      <w:r w:rsidRPr="008B593D">
        <w:rPr>
          <w:lang w:val="lt-LT"/>
        </w:rPr>
        <w:t>lengvojo automobilio turto vertė nėra didinama.</w:t>
      </w:r>
    </w:p>
    <w:p w14:paraId="15ABCB75" w14:textId="77777777" w:rsidR="006E6128" w:rsidRPr="00C46CEE" w:rsidRDefault="006E6128" w:rsidP="00C46CEE">
      <w:pPr>
        <w:ind w:firstLine="720"/>
        <w:jc w:val="both"/>
        <w:rPr>
          <w:color w:val="000000"/>
          <w:lang w:val="lt-LT"/>
        </w:rPr>
      </w:pPr>
      <w:r w:rsidRPr="008B593D">
        <w:rPr>
          <w:color w:val="000000"/>
          <w:lang w:val="lt-LT"/>
        </w:rPr>
        <w:t xml:space="preserve">4 - 6 pavyzdžiai </w:t>
      </w:r>
    </w:p>
    <w:p w14:paraId="7AA9041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410FF11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4. Vienetas 2025 metais atliko veikloje naudojamo lengvojo automobilio remontą už 5 000 Eur, kuris pagerino automobilio naudingąsias savybes. Automobilis įsigytas 2023 metais už 11 000 Eur (be PVM). Baigus remonto darbus, vienetas jų verte padidina automobilio įsigijimo kainą. Kadangi 2023 metais vieneto faktiškai patirtoms lengvojo automobilio, naudojamo veikloje pajamų uždirbimui, įsigijimo išlaidoms PMĮ ribojimų nenustatyta, todėl pagal PMĮ 18 straipsnyje nustatytą tvarką visa po remonto nenudėvėta automobilio kainos dalis (padidinta remonto verte) perkeliama į sąnaudas per likusį (patikslintą) automobilio naudojimo laikotarpį.</w:t>
      </w:r>
    </w:p>
    <w:p w14:paraId="1BA0619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p>
    <w:p w14:paraId="72CD733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5. Vienetas 2025 metais įsigijo lengvąjį automobilį ir pradėjo jį naudoti savo veikloje. Automobilio įsigijimo kaina – 8 000 Eur (be PVM), išmetamas CO</w:t>
      </w:r>
      <w:r w:rsidRPr="008B593D">
        <w:rPr>
          <w:color w:val="000000"/>
          <w:vertAlign w:val="subscript"/>
          <w:lang w:val="lt-LT"/>
        </w:rPr>
        <w:t>2</w:t>
      </w:r>
      <w:r w:rsidRPr="008B593D">
        <w:rPr>
          <w:color w:val="000000"/>
          <w:lang w:val="lt-LT"/>
        </w:rPr>
        <w:t xml:space="preserve"> kiekis yra 204 g/km.</w:t>
      </w:r>
    </w:p>
    <w:p w14:paraId="4ECAD5A2"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PMĮ 30</w:t>
      </w:r>
      <w:r w:rsidRPr="008B593D">
        <w:rPr>
          <w:color w:val="000000"/>
          <w:vertAlign w:val="superscript"/>
          <w:lang w:val="lt-LT"/>
        </w:rPr>
        <w:t>2</w:t>
      </w:r>
      <w:r w:rsidRPr="008B593D">
        <w:rPr>
          <w:color w:val="000000"/>
          <w:lang w:val="lt-LT"/>
        </w:rPr>
        <w:t xml:space="preserve"> straipsnio 1 dalyje nurodyta, kad maksimali leidžiamų atskaitymų suma, kai lengvojo automobilio išmetamas CO</w:t>
      </w:r>
      <w:r w:rsidRPr="008B593D">
        <w:rPr>
          <w:color w:val="000000"/>
          <w:vertAlign w:val="subscript"/>
          <w:lang w:val="lt-LT"/>
        </w:rPr>
        <w:t>2</w:t>
      </w:r>
      <w:r w:rsidRPr="008B593D">
        <w:rPr>
          <w:color w:val="000000"/>
          <w:lang w:val="lt-LT"/>
        </w:rPr>
        <w:t xml:space="preserve"> kiekis didesnis kaip 201 g/km yra 10 000 Eur.</w:t>
      </w:r>
    </w:p>
    <w:p w14:paraId="5672860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Atsižvelgiant į iš pajamų atskaitomą automobilio įsigijimo kainą ribojančią sumą, - 10 000 Eur, pelno mokesčio apskaičiavimo tikslais visa automobilio įsigijimo kaina, t. y. 8 000 Eur, pagal PMĮ 18 straipsnyje nustatytą tvarką gali būti priskiriama ribojamų dydžių leidžiamiems atskaitymams dalimis per šio turto nusidėvėjimo laikotarpį.</w:t>
      </w:r>
    </w:p>
    <w:p w14:paraId="028CED7A"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 xml:space="preserve">Vienetas 2026 metais atliko veikloje naudojamo lengvojo automobilio remontą už 4 000 Eur, kuris pagerino automobilio naudingąsias savybes ir šio remonto verte padidina automobilio įsigijimo kainą. </w:t>
      </w:r>
    </w:p>
    <w:p w14:paraId="737F0B81"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Atsižvelgiant į šio automobilio iš pajamų atskaitomą įsigijimo kainą ribojančią sumą, - 10 000 Eur, pelno mokesčio apskaičiavimo tikslais vieneto pajamos gali būti sumažinamos bendrai apskaičiuota šio automobilio įsigijimo kainos ir remonto išlaidų suma, t. y. 10 000 Eur (8 000 Eur įsigijimo kaina + 2 000 Eur remonto išlaidos) ir pagal PMĮ 18 straipsnyje nustatytą tvarką po remonto nenudėvėta automobilio kainos dalis (padidinta remonto verte) perkeliama į sąnaudas per likusį (patikslintą) automobilio naudojimo laikotarpį.</w:t>
      </w:r>
    </w:p>
    <w:p w14:paraId="6BE937D1" w14:textId="77777777" w:rsidR="006E6128" w:rsidRPr="008B593D" w:rsidRDefault="006E6128" w:rsidP="00C46CEE">
      <w:pPr>
        <w:pBdr>
          <w:top w:val="single" w:sz="4" w:space="1" w:color="auto"/>
          <w:left w:val="single" w:sz="4" w:space="4" w:color="auto"/>
          <w:bottom w:val="single" w:sz="4" w:space="1" w:color="auto"/>
          <w:right w:val="single" w:sz="4" w:space="4" w:color="auto"/>
        </w:pBdr>
        <w:spacing w:after="20"/>
        <w:ind w:firstLine="720"/>
        <w:jc w:val="both"/>
        <w:rPr>
          <w:color w:val="000000"/>
          <w:lang w:val="lt-LT"/>
        </w:rPr>
      </w:pPr>
      <w:r w:rsidRPr="008B593D">
        <w:rPr>
          <w:color w:val="000000"/>
          <w:lang w:val="lt-LT"/>
        </w:rPr>
        <w:t>Likusi automobilio remonto išlaidų dalis 2000 Eur priskiriama neleidžiamiems atskaitymams,</w:t>
      </w:r>
      <w:r w:rsidRPr="008B593D">
        <w:rPr>
          <w:lang w:val="lt-LT"/>
        </w:rPr>
        <w:t xml:space="preserve"> proporcingai per likusį (patikslintą) laikotarpį, kai skaičiuojamos automobilio nusidėvėjimo sąnaudos.</w:t>
      </w:r>
    </w:p>
    <w:p w14:paraId="6D0F49A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lastRenderedPageBreak/>
        <w:t>6. Vienetas 2026 metais atliko veikloje naudojamo lengvojo automobilio remontą už 3 000 Eur, kuris pagerino automobilio naudingąsias savybes. Automobilis yra įsigytas 2025 metais už 50 000 Eur (be PVM), išmetamas CO</w:t>
      </w:r>
      <w:r w:rsidRPr="008B593D">
        <w:rPr>
          <w:color w:val="000000"/>
          <w:vertAlign w:val="subscript"/>
          <w:lang w:val="lt-LT"/>
        </w:rPr>
        <w:t>2</w:t>
      </w:r>
      <w:r w:rsidRPr="008B593D">
        <w:rPr>
          <w:color w:val="000000"/>
          <w:lang w:val="lt-LT"/>
        </w:rPr>
        <w:t xml:space="preserve"> kiekis yra 127 g/km. Baigus remonto darbus, vienetas jų verte padidina automobilio įsigijimo kainą. </w:t>
      </w:r>
    </w:p>
    <w:p w14:paraId="7E8A82A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color w:val="000000"/>
          <w:lang w:val="lt-LT"/>
        </w:rPr>
      </w:pPr>
      <w:r w:rsidRPr="008B593D">
        <w:rPr>
          <w:color w:val="000000"/>
          <w:lang w:val="lt-LT"/>
        </w:rPr>
        <w:t>Automobilis patenka į taršos grupę, kurioje atskaitoma ne daugiau kaip 50 000 Eur įsigijimo išlaidų (išmetamas CO</w:t>
      </w:r>
      <w:r w:rsidRPr="008B593D">
        <w:rPr>
          <w:color w:val="000000"/>
          <w:vertAlign w:val="subscript"/>
          <w:lang w:val="lt-LT"/>
        </w:rPr>
        <w:t>2</w:t>
      </w:r>
      <w:r w:rsidRPr="008B593D">
        <w:rPr>
          <w:color w:val="000000"/>
          <w:lang w:val="lt-LT"/>
        </w:rPr>
        <w:t xml:space="preserve"> kiekis 1–130 g/km). </w:t>
      </w:r>
    </w:p>
    <w:p w14:paraId="22C451C3"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color w:val="000000"/>
          <w:lang w:val="lt-LT"/>
        </w:rPr>
        <w:t>Atsižvelgiant į tai, kad lengvojo automobilio įsigijimo kaina padidinta remonto verte yra didesnė, nei nustatyta ribojanti suma, tai šią sumą viršijanti automobilio įsigijimo kainos dalis 3 000 Eur (50 000 Eur + 3 000 Eur) yra priskiriama neleidžiamiems atskaitymams,</w:t>
      </w:r>
      <w:r w:rsidRPr="008B593D">
        <w:rPr>
          <w:lang w:val="lt-LT"/>
        </w:rPr>
        <w:t xml:space="preserve"> proporcingai per likusį (patikslintą) laikotarpį, kai skaičiuojamos automobilio nusidėvėjimo sąnaudos</w:t>
      </w:r>
      <w:r w:rsidRPr="008B593D">
        <w:rPr>
          <w:color w:val="000000"/>
          <w:lang w:val="lt-LT"/>
        </w:rPr>
        <w:t>.</w:t>
      </w:r>
    </w:p>
    <w:p w14:paraId="608165C1" w14:textId="77777777" w:rsidR="006E6128" w:rsidRPr="008B593D" w:rsidRDefault="006E6128" w:rsidP="006E6128">
      <w:pPr>
        <w:ind w:firstLine="720"/>
        <w:jc w:val="both"/>
        <w:rPr>
          <w:lang w:val="lt-LT"/>
        </w:rPr>
      </w:pPr>
      <w:r w:rsidRPr="008B593D">
        <w:rPr>
          <w:lang w:val="lt-LT"/>
        </w:rPr>
        <w:t xml:space="preserve">7. Lengvųjų automobilių, laikomų vieneto turtu, įsigijimo kainos ribojimai dėl išmetamo CO₂ kiekio netaikomi tam tikroms veiklos rūšims. Šios PMĮ 17 straipsnio 2 dalies 14 punkte nustatytos  išimtys apima atvejus, kai lengvieji automobiliai naudojami </w:t>
      </w:r>
      <w:r w:rsidRPr="0072161C">
        <w:rPr>
          <w:lang w:val="lt-LT"/>
        </w:rPr>
        <w:t>tik</w:t>
      </w:r>
      <w:r w:rsidRPr="008B593D">
        <w:rPr>
          <w:lang w:val="lt-LT"/>
        </w:rPr>
        <w:t>:</w:t>
      </w:r>
    </w:p>
    <w:p w14:paraId="5F2974A1" w14:textId="77777777" w:rsidR="006E6128" w:rsidRPr="008B593D" w:rsidRDefault="006E6128" w:rsidP="006E6128">
      <w:pPr>
        <w:pStyle w:val="Porat"/>
        <w:tabs>
          <w:tab w:val="left" w:pos="720"/>
          <w:tab w:val="center" w:pos="4320"/>
          <w:tab w:val="right" w:pos="8640"/>
          <w:tab w:val="right" w:pos="9498"/>
        </w:tabs>
        <w:rPr>
          <w:lang w:val="lt-LT"/>
        </w:rPr>
      </w:pPr>
      <w:r w:rsidRPr="008B593D">
        <w:rPr>
          <w:lang w:val="lt-LT"/>
        </w:rPr>
        <w:tab/>
      </w:r>
      <w:r w:rsidRPr="008B593D">
        <w:rPr>
          <w:bCs/>
          <w:lang w:val="lt-LT"/>
        </w:rPr>
        <w:t>- nuomos veiklai vykdyti, neatsižvelgiant į tai, ar teikiamos ilgalaikės ar trumpalaikės nuomos paslaugos</w:t>
      </w:r>
      <w:r w:rsidRPr="008B593D">
        <w:rPr>
          <w:lang w:val="lt-LT"/>
        </w:rPr>
        <w:t>;</w:t>
      </w:r>
    </w:p>
    <w:p w14:paraId="546C2452" w14:textId="77777777" w:rsidR="006E6128" w:rsidRPr="008B593D" w:rsidRDefault="006E6128" w:rsidP="006E6128">
      <w:pPr>
        <w:ind w:firstLine="720"/>
        <w:jc w:val="both"/>
        <w:rPr>
          <w:lang w:val="lt-LT"/>
        </w:rPr>
      </w:pPr>
      <w:r w:rsidRPr="008B593D">
        <w:rPr>
          <w:lang w:val="lt-LT"/>
        </w:rPr>
        <w:t>- v</w:t>
      </w:r>
      <w:r w:rsidRPr="008B593D">
        <w:rPr>
          <w:bCs/>
          <w:lang w:val="lt-LT"/>
        </w:rPr>
        <w:t xml:space="preserve">airavimo mokymo paslaugoms teikti, t. y. </w:t>
      </w:r>
      <w:r w:rsidRPr="008B593D">
        <w:rPr>
          <w:lang w:val="lt-LT"/>
        </w:rPr>
        <w:t>jei lengvieji automobiliai naudojami vairavimo mokymo veikloje;</w:t>
      </w:r>
    </w:p>
    <w:p w14:paraId="53BA43D7" w14:textId="77777777" w:rsidR="006E6128" w:rsidRPr="008B593D" w:rsidRDefault="006E6128" w:rsidP="006E6128">
      <w:pPr>
        <w:ind w:firstLine="720"/>
        <w:jc w:val="both"/>
        <w:rPr>
          <w:lang w:val="lt-LT"/>
        </w:rPr>
      </w:pPr>
      <w:r w:rsidRPr="008B593D">
        <w:rPr>
          <w:b/>
          <w:bCs/>
          <w:lang w:val="lt-LT"/>
        </w:rPr>
        <w:t xml:space="preserve">- </w:t>
      </w:r>
      <w:r w:rsidRPr="008B593D">
        <w:rPr>
          <w:bCs/>
          <w:lang w:val="lt-LT"/>
        </w:rPr>
        <w:t>transporto paslaugoms teikti</w:t>
      </w:r>
      <w:r w:rsidRPr="008B593D">
        <w:rPr>
          <w:lang w:val="lt-LT"/>
        </w:rPr>
        <w:t>, pavyzdžiui įmonės, teikiančios keleivių vežimo paslaugas naudoja lengvuosius automobilius kaip pagrindinę veiklos priemonę arba įmonės, kurios veža keleivius tam tikrais maršrutais arba pagal užsakymus (maršrutiniai taksi ar užsakomieji keleivių pervežimai), kurjerių įmonės, kurios naudoja lengvuosius automobilius mažų siuntų ar prekių pervežimui ir pan.</w:t>
      </w:r>
    </w:p>
    <w:p w14:paraId="2BC97815" w14:textId="77777777" w:rsidR="006E6128" w:rsidRPr="006E6128" w:rsidRDefault="006E6128" w:rsidP="006E6128">
      <w:pPr>
        <w:ind w:firstLine="720"/>
        <w:jc w:val="both"/>
        <w:rPr>
          <w:lang w:val="lt-LT"/>
        </w:rPr>
      </w:pPr>
      <w:r w:rsidRPr="008B593D">
        <w:rPr>
          <w:lang w:val="lt-LT"/>
        </w:rPr>
        <w:t>Todėl vienetai, naudojantys lengvuosius automobilius tik aukščiau minėtoje veikloje, netaiko lengvųjų automobilių įsigijimo kainos ribojimų dėl išmetamo CO₂ kiekio, t. y. jie gali pagal PMĮ 18 straipsnyje nustatytą tvarką visą automobilio įsigijimo kainą priskirti ribojamų dydžių leidžiamiems atskaitymams dalimis per šio turto nusidėvėjimo laikotarpį.</w:t>
      </w:r>
    </w:p>
    <w:p w14:paraId="6B108376" w14:textId="77777777" w:rsidR="006E6128" w:rsidRPr="006E6128" w:rsidRDefault="006E6128" w:rsidP="006E6128">
      <w:pPr>
        <w:ind w:firstLine="720"/>
        <w:jc w:val="both"/>
        <w:rPr>
          <w:bCs/>
          <w:lang w:val="lt-LT"/>
        </w:rPr>
      </w:pPr>
      <w:r w:rsidRPr="008B593D">
        <w:rPr>
          <w:bCs/>
          <w:lang w:val="lt-LT"/>
        </w:rPr>
        <w:t>7 pavyzdys</w:t>
      </w:r>
    </w:p>
    <w:p w14:paraId="73902AC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7CC6A15B"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bCs/>
          <w:lang w:val="lt-LT"/>
        </w:rPr>
        <w:t xml:space="preserve">Vienetas, teikiantis </w:t>
      </w:r>
      <w:r w:rsidRPr="008B593D">
        <w:rPr>
          <w:lang w:val="lt-LT"/>
        </w:rPr>
        <w:t xml:space="preserve">keleivių vežimo paslaugas, taip pat teikia konsultacines paslaugas smulkaus ir vidutinio verslo klausimais, </w:t>
      </w:r>
      <w:r w:rsidRPr="008B593D">
        <w:rPr>
          <w:bCs/>
          <w:lang w:val="lt-LT"/>
        </w:rPr>
        <w:t xml:space="preserve">2025 metais įsigijo lengvąjį automobilį, kurį naudoja šiose vykdomose veiklose. </w:t>
      </w:r>
    </w:p>
    <w:p w14:paraId="6B292AC0"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PMĮ 30</w:t>
      </w:r>
      <w:r w:rsidRPr="008B593D">
        <w:rPr>
          <w:vertAlign w:val="superscript"/>
          <w:lang w:val="lt-LT"/>
        </w:rPr>
        <w:t>2</w:t>
      </w:r>
      <w:r w:rsidRPr="008B593D">
        <w:rPr>
          <w:lang w:val="lt-LT"/>
        </w:rPr>
        <w:t xml:space="preserve"> straipsnio 1 dalyje numatytas automobilio įsigijimo kainos ribojimas, siejamas su išmetamu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lang w:val="lt-LT"/>
        </w:rPr>
        <w:t xml:space="preserve"> kiekiu, netaikomas tik tuo atveju, jei įsigytas automobilis naudojamas tik toms veikloms, kurios išvardytos kaip išimtys - nuomai, vairavimo mokymui ar transporto paslaugoms. </w:t>
      </w:r>
    </w:p>
    <w:p w14:paraId="2559E9FC" w14:textId="77777777" w:rsidR="006E6128" w:rsidRPr="006E6128"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Taigi, atsižvelgiant į tai, kad lengvasis automobilis naudojamas minėtose vykdomose veiklose, - keleivių vežimo ir konsultacinėms paslaugoms teikti, tai automobilio įsigijimo kainos ribojimas dėl išmetamo CO₂ kiekio </w:t>
      </w:r>
      <w:r w:rsidRPr="0072161C">
        <w:rPr>
          <w:rStyle w:val="Grietas"/>
          <w:b w:val="0"/>
          <w:lang w:val="lt-LT"/>
        </w:rPr>
        <w:t>bus taikomas</w:t>
      </w:r>
      <w:r w:rsidRPr="008B593D">
        <w:rPr>
          <w:lang w:val="lt-LT"/>
        </w:rPr>
        <w:t xml:space="preserve"> ir atitinkama dalis automobilio įsigijimo kainos gali būti priskiriama neleidžiamiems atskaitymams, jei įsigyto lengvojo automobilio faktiška įsigijimo kaina bus didesnė nei nustatyta ribojanti suma, susijusi su išmetamu CO₂ kiekiu.</w:t>
      </w:r>
    </w:p>
    <w:p w14:paraId="0572211F" w14:textId="77777777" w:rsidR="006E6128" w:rsidRPr="006E6128" w:rsidRDefault="006E6128" w:rsidP="006E6128">
      <w:pPr>
        <w:ind w:firstLine="720"/>
        <w:jc w:val="both"/>
        <w:rPr>
          <w:lang w:val="lt-LT"/>
        </w:rPr>
      </w:pPr>
      <w:r w:rsidRPr="008B593D">
        <w:rPr>
          <w:lang w:val="lt-LT"/>
        </w:rPr>
        <w:t xml:space="preserve">8. Šioje dalyje įteisinti lengvųjų automobilių įsigijimo kainos atskaitymų ribojimai taikomi ir lengviesiems automobiliams, kuriais asmeniniais tikslais naudojasi darbuotojai, o  nauda, kurią jie </w:t>
      </w:r>
      <w:r w:rsidRPr="008B593D">
        <w:rPr>
          <w:lang w:val="lt-LT"/>
        </w:rPr>
        <w:lastRenderedPageBreak/>
        <w:t>gauna asmeniniais tikslais naudodami darbdaviui priklausantį automobilį, pripažįstama pajamomis natūra</w:t>
      </w:r>
      <w:r w:rsidRPr="008B593D">
        <w:rPr>
          <w:b/>
          <w:lang w:val="lt-LT"/>
        </w:rPr>
        <w:t xml:space="preserve"> </w:t>
      </w:r>
      <w:r w:rsidRPr="008B593D">
        <w:rPr>
          <w:lang w:val="lt-LT"/>
        </w:rPr>
        <w:t>pagal Lietuvos Respublikos gyventojų pajamų mokesčio įstatymą.</w:t>
      </w:r>
    </w:p>
    <w:p w14:paraId="066D5B10" w14:textId="77777777" w:rsidR="006E6128" w:rsidRPr="008B593D" w:rsidRDefault="006E6128" w:rsidP="006E6128">
      <w:pPr>
        <w:tabs>
          <w:tab w:val="left" w:pos="8280"/>
        </w:tabs>
        <w:ind w:firstLineChars="235" w:firstLine="566"/>
        <w:jc w:val="both"/>
        <w:rPr>
          <w:b/>
          <w:color w:val="000000"/>
          <w:lang w:val="lt-LT" w:eastAsia="lt-LT"/>
        </w:rPr>
      </w:pPr>
      <w:r w:rsidRPr="008B593D">
        <w:rPr>
          <w:b/>
          <w:color w:val="000000"/>
          <w:lang w:val="lt-LT" w:eastAsia="lt-LT"/>
        </w:rPr>
        <w:t>2. Lengvojo automobilio, kuris nelaikomas vieneto turtu, mėnesio nuomos sąnaudos iš pajamų atskaitomos neviršijant šio straipsnio 1 dalyje nustatytos ribos ir ilgalaikio turto grupei, kuriai turėtų būti priskirtas nuomojamas lengvasis automobilis, jeigu jis būtų laikomas vieneto turtu, taikomo šio Įstatymo 1 priedėlyje nustatyto nusidėvėjimo normatyvo (metais) santykio, padalyto iš 12. Šios dalies nuostatos netaikomos nuomos, kurios bendras laikotarpis ne ilgesnis kaip 30 dienų per mokestinį laikotarpį, taip pat nuomos naudojantis elektronine sąsaja – platforma, portalu ar kita tokio paties pobūdžio priemone – atvejais.</w:t>
      </w:r>
    </w:p>
    <w:p w14:paraId="2C4B1C27"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(Pagal 2024 m. birželio 20 d. įstatymo Nr. XIV-2774 redakciją; taikoma apskaičiuojant 2025 metais prasidėjusio ir vėlesnių mokestinių laikotarpių apmokestinamąjį pelną)</w:t>
      </w:r>
    </w:p>
    <w:p w14:paraId="5883C581" w14:textId="77777777" w:rsidR="006E6128" w:rsidRPr="008B593D" w:rsidRDefault="006E6128" w:rsidP="006E6128">
      <w:pPr>
        <w:tabs>
          <w:tab w:val="left" w:pos="720"/>
          <w:tab w:val="left" w:pos="1077"/>
          <w:tab w:val="left" w:pos="1418"/>
        </w:tabs>
        <w:ind w:right="-5" w:firstLine="709"/>
        <w:jc w:val="both"/>
        <w:rPr>
          <w:b/>
          <w:lang w:val="lt-LT"/>
        </w:rPr>
      </w:pPr>
      <w:r w:rsidRPr="008B593D">
        <w:rPr>
          <w:b/>
          <w:lang w:val="lt-LT"/>
        </w:rPr>
        <w:t>Komentaras</w:t>
      </w:r>
    </w:p>
    <w:p w14:paraId="523CCEB0" w14:textId="77777777" w:rsidR="006E6128" w:rsidRPr="008B593D" w:rsidRDefault="006E6128" w:rsidP="006E6128">
      <w:pPr>
        <w:ind w:firstLine="709"/>
        <w:jc w:val="both"/>
        <w:rPr>
          <w:lang w:val="lt-LT"/>
        </w:rPr>
      </w:pPr>
      <w:r w:rsidRPr="008B593D">
        <w:rPr>
          <w:lang w:val="lt-LT"/>
        </w:rPr>
        <w:t>1. Šios dalies nuostatos reglamentuoja lengvųjų automobilių, kurie nėra laikomi vieneto turtu, nuomos sąnaudų atskaitymo iš pajamų ribojimus, t. y. nustato, kaip ir kokia apimtimi šios nuomos sąnaudos gali būti priskiriamos leidžiamiems atskaitymams.  Šioje dalyje nustatyti ribojimai, taikomi lengvųjų automobilių nuomininkams (ne nuomotojams),</w:t>
      </w:r>
      <w:r w:rsidRPr="008B593D">
        <w:rPr>
          <w:b/>
          <w:lang w:val="lt-LT"/>
        </w:rPr>
        <w:t xml:space="preserve"> </w:t>
      </w:r>
      <w:r w:rsidRPr="008B593D">
        <w:rPr>
          <w:lang w:val="lt-LT"/>
        </w:rPr>
        <w:t>kurie automobilius nuomojasi iš ūkio subjektų ir / ar iš fizinių asmenų.</w:t>
      </w:r>
    </w:p>
    <w:p w14:paraId="01D21434" w14:textId="77777777" w:rsidR="006E6128" w:rsidRPr="008B593D" w:rsidRDefault="006E6128" w:rsidP="006E6128">
      <w:pPr>
        <w:ind w:firstLine="720"/>
        <w:jc w:val="both"/>
        <w:rPr>
          <w:lang w:val="lt-LT"/>
        </w:rPr>
      </w:pPr>
      <w:r w:rsidRPr="008B593D">
        <w:rPr>
          <w:lang w:val="lt-LT"/>
        </w:rPr>
        <w:t>Lengvųjų automobilių nuomos sąnaudų atskaitymo iš pajamų ribojimai taikomi automobilių nuomos sandoriams, sudarytiems ir / arba pratęstiems nuo 2025 m. sausio 1 d., apskaičiuojant ir deklaruojant 2025 metų ir vėlesnių mokestinių laikotarpių pelno mokestį.</w:t>
      </w:r>
    </w:p>
    <w:p w14:paraId="735DAF55" w14:textId="77777777" w:rsidR="006E6128" w:rsidRPr="008B593D" w:rsidRDefault="006E6128" w:rsidP="006E6128">
      <w:pPr>
        <w:ind w:firstLine="720"/>
        <w:jc w:val="both"/>
        <w:rPr>
          <w:lang w:val="lt-LT"/>
        </w:rPr>
      </w:pPr>
      <w:r w:rsidRPr="008B593D">
        <w:rPr>
          <w:lang w:val="lt-LT"/>
        </w:rPr>
        <w:t>Pavyzdžiui, jeigu yra patvirtintas kitas, nesutampantis su kalendoriniais metais, mokestinis laikotarpis, kuris prasideda liepos 1 d. ir baigiasi kitų metų birželio 30 d., tai vienetas lengvųjų automobilių nuomos sąnaudų atskaitymo ribojimus pradės taikyti nuo 2025 m. liepos 1 d. išsinuomotiems automobiliams, t. y. 2025 metais prasidėjusiam mokestiniam laikotarpiui.</w:t>
      </w:r>
    </w:p>
    <w:p w14:paraId="6C1C42AB" w14:textId="77777777" w:rsidR="006E6128" w:rsidRPr="008B593D" w:rsidRDefault="006E6128" w:rsidP="006E6128">
      <w:pPr>
        <w:ind w:right="-82" w:firstLine="720"/>
        <w:jc w:val="both"/>
        <w:rPr>
          <w:lang w:val="lt-LT"/>
        </w:rPr>
      </w:pPr>
      <w:r w:rsidRPr="008B593D">
        <w:rPr>
          <w:lang w:val="lt-LT"/>
        </w:rPr>
        <w:t>2. Lengvojo automobilio samprata šios dalies taikymo atžvilgiu yra pateikta PMĮ 30</w:t>
      </w:r>
      <w:r w:rsidRPr="008B593D">
        <w:rPr>
          <w:vertAlign w:val="superscript"/>
          <w:lang w:val="lt-LT"/>
        </w:rPr>
        <w:t>2</w:t>
      </w:r>
      <w:r w:rsidRPr="008B593D">
        <w:rPr>
          <w:lang w:val="lt-LT"/>
        </w:rPr>
        <w:t xml:space="preserve"> straipsnio 1 dalies komentaro 2 punkte (žr. 30</w:t>
      </w:r>
      <w:r w:rsidRPr="008B593D">
        <w:rPr>
          <w:vertAlign w:val="superscript"/>
          <w:lang w:val="lt-LT"/>
        </w:rPr>
        <w:t>2</w:t>
      </w:r>
      <w:r w:rsidRPr="008B593D">
        <w:rPr>
          <w:lang w:val="lt-LT"/>
        </w:rPr>
        <w:t xml:space="preserve"> str. 1 dalies komentaro 2 punktą).</w:t>
      </w:r>
    </w:p>
    <w:p w14:paraId="13369588" w14:textId="77777777" w:rsidR="006E6128" w:rsidRPr="008B593D" w:rsidRDefault="006E6128" w:rsidP="006E6128">
      <w:pPr>
        <w:ind w:firstLine="720"/>
        <w:jc w:val="both"/>
        <w:rPr>
          <w:lang w:val="lt-LT"/>
        </w:rPr>
      </w:pPr>
      <w:r w:rsidRPr="008B593D">
        <w:rPr>
          <w:lang w:val="lt-LT"/>
        </w:rPr>
        <w:t>3. Lengvųjų automobilių nuomos sąnaudoms yra nustatytas apribojimas,</w:t>
      </w:r>
      <w:r w:rsidRPr="008B593D">
        <w:rPr>
          <w:b/>
          <w:lang w:val="lt-LT"/>
        </w:rPr>
        <w:t xml:space="preserve"> </w:t>
      </w:r>
      <w:r w:rsidRPr="008B593D">
        <w:rPr>
          <w:lang w:val="lt-LT"/>
        </w:rPr>
        <w:t>taikant maksimalią atskaitomų mėnesio nuomos išlaidų ribą, paremtą nustatytos įsigijimo kainos atskaitymo ribos ir ilgalaikio turto grupės, kuriai turėtų būti priskirtas nuomojamas lengvasis automobilis, jeigu jis būtų laikomas vieneto turtu, nusidėvėjimo normatyvo, apskaičiuoto mėnesiui, santykiu.</w:t>
      </w:r>
    </w:p>
    <w:p w14:paraId="30133C2D" w14:textId="77777777" w:rsidR="006E6128" w:rsidRPr="008B593D" w:rsidRDefault="006E6128" w:rsidP="006E6128">
      <w:pPr>
        <w:ind w:firstLine="720"/>
        <w:jc w:val="both"/>
        <w:rPr>
          <w:lang w:val="lt-LT"/>
        </w:rPr>
      </w:pPr>
      <w:r w:rsidRPr="008B593D">
        <w:rPr>
          <w:lang w:val="lt-LT"/>
        </w:rPr>
        <w:t>Todėl, lengvojo automobilio nuomos išlaidų priskyrimui sąnaudoms, mažinančioms pajamas,  būtina įvertinti:</w:t>
      </w:r>
    </w:p>
    <w:p w14:paraId="6CF865E8" w14:textId="77777777" w:rsidR="006E6128" w:rsidRPr="008B593D" w:rsidRDefault="006E6128" w:rsidP="006E6128">
      <w:pPr>
        <w:ind w:firstLine="720"/>
        <w:jc w:val="both"/>
        <w:rPr>
          <w:lang w:val="lt-LT"/>
        </w:rPr>
      </w:pPr>
      <w:r w:rsidRPr="008B593D">
        <w:rPr>
          <w:lang w:val="lt-LT"/>
        </w:rPr>
        <w:t xml:space="preserve">- šio straipsnio 1 dalyje nustatytus išmetamo </w:t>
      </w:r>
      <w:r w:rsidRPr="008B593D">
        <w:rPr>
          <w:color w:val="000000"/>
          <w:lang w:val="lt-LT" w:eastAsia="lt-LT"/>
        </w:rPr>
        <w:t>C</w:t>
      </w:r>
      <w:r w:rsidRPr="008B593D">
        <w:rPr>
          <w:color w:val="000000"/>
          <w:lang w:val="lt-LT"/>
        </w:rPr>
        <w:t>O</w:t>
      </w:r>
      <w:r w:rsidRPr="008B593D">
        <w:rPr>
          <w:color w:val="000000"/>
          <w:vertAlign w:val="subscript"/>
          <w:lang w:val="lt-LT"/>
        </w:rPr>
        <w:t>2</w:t>
      </w:r>
      <w:r w:rsidRPr="008B593D">
        <w:rPr>
          <w:b/>
          <w:color w:val="000000"/>
          <w:vertAlign w:val="subscript"/>
          <w:lang w:val="lt-LT"/>
        </w:rPr>
        <w:t xml:space="preserve"> </w:t>
      </w:r>
      <w:r w:rsidRPr="008B593D">
        <w:rPr>
          <w:lang w:val="lt-LT"/>
        </w:rPr>
        <w:t>kiekio intervalus ir konkrečiam intervalui nustatytą, ribojamų dydžių leidžiamiems atskaitymams priskirti leidžiamą sąnaudų sumą (žr. 30</w:t>
      </w:r>
      <w:r w:rsidRPr="008B593D">
        <w:rPr>
          <w:vertAlign w:val="superscript"/>
          <w:lang w:val="lt-LT"/>
        </w:rPr>
        <w:t>2</w:t>
      </w:r>
      <w:r w:rsidRPr="008B593D">
        <w:rPr>
          <w:lang w:val="lt-LT"/>
        </w:rPr>
        <w:t xml:space="preserve"> str. 1 dalies komentaro 3 punktą) ir </w:t>
      </w:r>
    </w:p>
    <w:p w14:paraId="106A7423" w14:textId="77777777" w:rsidR="006E6128" w:rsidRPr="008B593D" w:rsidRDefault="006E6128" w:rsidP="00C46CEE">
      <w:pPr>
        <w:ind w:firstLine="720"/>
        <w:jc w:val="both"/>
        <w:rPr>
          <w:lang w:val="lt-LT"/>
        </w:rPr>
      </w:pPr>
      <w:r w:rsidRPr="008B593D">
        <w:rPr>
          <w:lang w:val="lt-LT"/>
        </w:rPr>
        <w:t xml:space="preserve">- </w:t>
      </w:r>
      <w:r w:rsidRPr="008B593D">
        <w:rPr>
          <w:color w:val="000000"/>
          <w:lang w:val="lt-LT" w:eastAsia="lt-LT"/>
        </w:rPr>
        <w:t>ilgalaikio turto grupei, kuriai turėtų būti priskirtas nuomojamas lengvasis automobilis, jeigu jis būtų laikomas vieneto turtu, taikomą šio Įstatymo 1 priedėlyje nustatytą nusidėvėjimo normatyvą (metais). N</w:t>
      </w:r>
      <w:r w:rsidRPr="008B593D">
        <w:rPr>
          <w:lang w:val="lt-LT"/>
        </w:rPr>
        <w:t>ustatant nusidėvėjimo normatyvą automobilio nuomininkas (vienetas) turės atsižvelgti į taikomą PMĮ 1 priedėlyje atitinkamai ilgalaikio turto grupei nustatytą nusidėvėjimo normatyvą (metais).</w:t>
      </w:r>
    </w:p>
    <w:p w14:paraId="5EF62A1F" w14:textId="77777777" w:rsidR="006E6128" w:rsidRPr="008B593D" w:rsidRDefault="006E6128" w:rsidP="00C46CEE">
      <w:pPr>
        <w:ind w:firstLine="720"/>
        <w:jc w:val="both"/>
        <w:rPr>
          <w:lang w:val="lt-LT"/>
        </w:rPr>
      </w:pPr>
      <w:r w:rsidRPr="008B593D">
        <w:rPr>
          <w:lang w:val="lt-LT"/>
        </w:rPr>
        <w:t>1-2 pavyzdžiai</w:t>
      </w:r>
    </w:p>
    <w:p w14:paraId="24BAC513"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Pavyzdžiuose mokestinis laikotarpis sutampa su kalendoriniais metais.</w:t>
      </w:r>
    </w:p>
    <w:p w14:paraId="2C272D4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lastRenderedPageBreak/>
        <w:t>1. Vienetas pagal 2024 m. lapkričio mėn. sudarytą nuomos sutartį savo vykdomai veiklai iš kito subjekto vieneriems metams išsinuomojo lengvąjį automobilį. Už automobilio nuomą 2025 metais mokama 200 Eur/mėn. Automobilis nenaujas. Nuomos sutartyje yra nurodytas išmetamas CO</w:t>
      </w:r>
      <w:r w:rsidRPr="008B593D">
        <w:rPr>
          <w:vertAlign w:val="subscript"/>
          <w:lang w:val="lt-LT"/>
        </w:rPr>
        <w:t>2</w:t>
      </w:r>
      <w:r w:rsidRPr="008B593D">
        <w:rPr>
          <w:lang w:val="lt-LT"/>
        </w:rPr>
        <w:t xml:space="preserve"> kiekis - 213 g/km.</w:t>
      </w:r>
    </w:p>
    <w:p w14:paraId="7600487D"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Kadangi lengvasis automobilis yra išsinuomotas 2024 metais pagal nuomos sutartį, sudarytą iki 2025 m. sausio 1 d., todėl nuo 2025 m. automobilio nuomos sąnaudų atskaitymui iš pajamų ribojimai netaikomi, t. y. šio automobilio nuomos sąnaudos į leidžiamus ir neleidžiamus atskaitymus neskirstomos, o visa nuomos sąnaudų suma, t. y. 200 Eur/mėn., gali būti priskiriama leidžiamiems atskaitymas.  </w:t>
      </w:r>
    </w:p>
    <w:p w14:paraId="03E9EBD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Tačiau, po metų, t. y. 2025 m. lapkričio mėn., ankstesnė nuomos sutartis yra pratęsiama dar trims metams, patikslinant joje nuomos sutarties terminą, t. y. iki 2028 m. lapkričio mėn. </w:t>
      </w:r>
    </w:p>
    <w:p w14:paraId="400A018E"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Pažymėtina, kad jeigu sudarytos nuomos sutartys po 2025 m. sausio 1 d. yra pratęsiamos, t. y. nuomos išlaidos yra patiriamos pagal po 2025 m. sausio 1 d. pratęstus nuomos sandorius, tai tokiu atveju taikomas PMĮ 30</w:t>
      </w:r>
      <w:r w:rsidRPr="008B593D">
        <w:rPr>
          <w:vertAlign w:val="superscript"/>
          <w:lang w:val="lt-LT"/>
        </w:rPr>
        <w:t>2</w:t>
      </w:r>
      <w:r w:rsidRPr="008B593D">
        <w:rPr>
          <w:lang w:val="lt-LT"/>
        </w:rPr>
        <w:t xml:space="preserve"> str. 2 dalyje nustatytas išsinuomotų automobilių nuomos išlaidų atskaitymo iš pajamų ribojimas. </w:t>
      </w:r>
    </w:p>
    <w:p w14:paraId="5AEA8BF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Atsižvelgiant į tai, kadangi šiuo atveju nuomos sutartis 2025 m. lapkričio mėn. yra pratęsiama, todėl nuo šios datos automobilio nuomos sąnaudų atskaitymui iš pajamų taikomas PMĮ 30</w:t>
      </w:r>
      <w:r w:rsidRPr="008B593D">
        <w:rPr>
          <w:vertAlign w:val="superscript"/>
          <w:lang w:val="lt-LT"/>
        </w:rPr>
        <w:t>2</w:t>
      </w:r>
      <w:r w:rsidRPr="008B593D">
        <w:rPr>
          <w:lang w:val="lt-LT"/>
        </w:rPr>
        <w:t xml:space="preserve"> str. 2 dalyje nustatytas ribojimas.</w:t>
      </w:r>
    </w:p>
    <w:p w14:paraId="730935DC"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Šio straipsnio 1 dalyje yra nurodyta, kad maksimali leidžiamų atskaitymų suma, kai lengvojo automobilio išmetamas CO2 kiekis didesnis kaip 201 g/km yra 10 000 Eur.</w:t>
      </w:r>
    </w:p>
    <w:p w14:paraId="436427AB"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Jeigu lengvasis automobilis yra senesnis nei 5 metų, tai </w:t>
      </w:r>
      <w:r w:rsidRPr="00EC473F">
        <w:rPr>
          <w:lang w:val="lt-LT"/>
        </w:rPr>
        <w:t xml:space="preserve">mėnesio </w:t>
      </w:r>
      <w:r w:rsidRPr="008B593D">
        <w:rPr>
          <w:lang w:val="lt-LT"/>
        </w:rPr>
        <w:t xml:space="preserve">nuomos sąnaudų (leidžiamų atskaitymų) suma apskaičiuojama taip: 10 000 Eur (nustatyta įsigijimo kainos riba) : 10 metų  (normatyvas metais) / 12 mėn. = 83,33 Eur. Likusi automobilio nuomos išlaidų dalis 117 Eur (200 Eur – 83 Eur), t. y. viršijanti leistiną atskaityti nuomos sąnaudų ribą, priskiriama neleidžiamiems atskaitymams. Neleidžiamiems atskaitymams priskirtina suma apskaičiuojama ir pripažįstama tuo pat metu, kaip ir pripažįstamos nuomos sąnaudos ribojamų dydžių leidžiamais atskaitymais.   </w:t>
      </w:r>
    </w:p>
    <w:p w14:paraId="74529094"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2. Vienetas pagal 2025 m. vasario mėn. sudarytą nuomos sutartį vykdomai veiklai iš kito subjekto išsinuomojo lengvąjį automobilį. Už automobilio nuomą 2025 metais mokama 300 Eur/mėn. Automobilis nenaujas, išmetamas CO</w:t>
      </w:r>
      <w:r w:rsidRPr="008B593D">
        <w:rPr>
          <w:vertAlign w:val="subscript"/>
          <w:lang w:val="lt-LT"/>
        </w:rPr>
        <w:t>2</w:t>
      </w:r>
      <w:r w:rsidRPr="008B593D">
        <w:rPr>
          <w:lang w:val="lt-LT"/>
        </w:rPr>
        <w:t xml:space="preserve"> kiekis yra 148 g/km.</w:t>
      </w:r>
    </w:p>
    <w:p w14:paraId="1E816638"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Šio straipsnio 1 dalyje yra nurodyta, kad maksimali ribojamų dydžių leidžiamų atskaitymų suma, kai lengvojo automobilio išmetamas CO</w:t>
      </w:r>
      <w:r w:rsidRPr="008B593D">
        <w:rPr>
          <w:vertAlign w:val="subscript"/>
          <w:lang w:val="lt-LT"/>
        </w:rPr>
        <w:t>2</w:t>
      </w:r>
      <w:r w:rsidRPr="008B593D">
        <w:rPr>
          <w:lang w:val="lt-LT"/>
        </w:rPr>
        <w:t xml:space="preserve"> kiekis didesnis kaip 130 g/km, tačiau ne didesnis kaip 200 g/km, yra 25 000 Eur.</w:t>
      </w:r>
    </w:p>
    <w:p w14:paraId="653B2DE9"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 xml:space="preserve">Taip pat vadovaujantis PMĮ 1 priedėliu privalu nustatyti turto grupę, kuriai priskiriamas turtas, ir skaičiavimams naudoti PMĮ 1 priedėlyje nurodytą nusidėvėjimo normatyvą (metais). </w:t>
      </w:r>
    </w:p>
    <w:p w14:paraId="2A5D2CFF" w14:textId="77777777" w:rsidR="006E6128" w:rsidRPr="008B593D" w:rsidRDefault="006E6128" w:rsidP="006E6128">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Sudarant nuomos sutartį turėtų būti nustatoma, kuriai turto grupei yra priskiriamas automobilis, ir jeigu tai yra senesnis nei 5 metų lengvasis automobilis, o išmetamas (CO2) kiekis didesnis kaip 130 g/km, tačiau ne didesnis kaip 200 g/km, tai mėnesio nuomos sąnaudų (leidžiamų atskaitymų) suma būtų apskaičiuojama taip: 25 000 Eur : 10 metų / 12 mėn. = 208,33 Eur / mėn.</w:t>
      </w:r>
    </w:p>
    <w:p w14:paraId="5393F4F3" w14:textId="77777777" w:rsidR="006E6128" w:rsidRPr="008B593D" w:rsidRDefault="006E6128" w:rsidP="00C46CEE">
      <w:pPr>
        <w:pBdr>
          <w:top w:val="single" w:sz="4" w:space="1" w:color="auto"/>
          <w:left w:val="single" w:sz="4" w:space="4" w:color="auto"/>
          <w:bottom w:val="single" w:sz="4" w:space="1" w:color="auto"/>
          <w:right w:val="single" w:sz="4" w:space="4" w:color="auto"/>
        </w:pBdr>
        <w:ind w:firstLine="720"/>
        <w:jc w:val="both"/>
        <w:rPr>
          <w:lang w:val="lt-LT"/>
        </w:rPr>
      </w:pPr>
      <w:r w:rsidRPr="008B593D">
        <w:rPr>
          <w:lang w:val="lt-LT"/>
        </w:rPr>
        <w:t>Likusi automobilio nuomos išlaidų dalis 92 Eur (300 Eur – 208 Eur), t. y. viršijanti leistiną atskaityti nuomos sąnaudų ribą, priskiriama neleidžiamiems atskaitymams.</w:t>
      </w:r>
    </w:p>
    <w:p w14:paraId="6E28DE99" w14:textId="77777777" w:rsidR="006E6128" w:rsidRPr="008B593D" w:rsidRDefault="006E6128" w:rsidP="006E6128">
      <w:pPr>
        <w:ind w:firstLine="720"/>
        <w:jc w:val="both"/>
        <w:rPr>
          <w:lang w:val="lt-LT"/>
        </w:rPr>
      </w:pPr>
      <w:r w:rsidRPr="008B593D">
        <w:rPr>
          <w:lang w:val="lt-LT"/>
        </w:rPr>
        <w:t>4. Lengvųjų automobilių nuomos sąnaudų atskaitymui iš pajamų netaikomi ribojimai nuomos atvejais:</w:t>
      </w:r>
    </w:p>
    <w:p w14:paraId="30F088FF" w14:textId="77777777" w:rsidR="006E6128" w:rsidRPr="008B593D" w:rsidRDefault="006E6128" w:rsidP="006E6128">
      <w:pPr>
        <w:ind w:firstLine="720"/>
        <w:jc w:val="both"/>
        <w:rPr>
          <w:bCs/>
          <w:lang w:val="lt-LT"/>
        </w:rPr>
      </w:pPr>
      <w:r w:rsidRPr="008B593D">
        <w:rPr>
          <w:bCs/>
          <w:lang w:val="lt-LT"/>
        </w:rPr>
        <w:lastRenderedPageBreak/>
        <w:t>4.1. kai bendras turto nuomos laikotarpis ne ilgesnis kaip 30 dienų per mokestinį laikotarpį.</w:t>
      </w:r>
    </w:p>
    <w:p w14:paraId="16C46A64" w14:textId="77777777" w:rsidR="006E6128" w:rsidRPr="008B593D" w:rsidRDefault="006E6128" w:rsidP="006E6128">
      <w:pPr>
        <w:ind w:firstLine="720"/>
        <w:jc w:val="both"/>
        <w:rPr>
          <w:lang w:val="lt-LT"/>
        </w:rPr>
      </w:pPr>
      <w:r w:rsidRPr="008B593D">
        <w:rPr>
          <w:lang w:val="lt-LT"/>
        </w:rPr>
        <w:t xml:space="preserve">Tai reiškia, kad jei vienetas per mokestinį laikotarpį nuomojasi tą patį lengvąjį automobilį trumpiau nei 30 dienų, tai tokioms to turto nuomos išlaidoms </w:t>
      </w:r>
      <w:r w:rsidRPr="008B593D">
        <w:rPr>
          <w:bCs/>
          <w:lang w:val="lt-LT"/>
        </w:rPr>
        <w:t>netaikomi jų atskaitymo ribojimai</w:t>
      </w:r>
      <w:r w:rsidRPr="008B593D">
        <w:rPr>
          <w:lang w:val="lt-LT"/>
        </w:rPr>
        <w:t>. Visa per mokestinį laikotarpį patirtų šių trumpalaikės nuomos išlaidų suma yra priskiriama nuomininko leidžiamiems atskaitymams, jeigu šios sąnaudos yra susijusios su pajamų uždirbimu ar ekonominės naudos gavimu.</w:t>
      </w:r>
    </w:p>
    <w:p w14:paraId="08324A4F" w14:textId="77777777" w:rsidR="006E6128" w:rsidRPr="008B593D" w:rsidRDefault="006E6128" w:rsidP="006E6128">
      <w:pPr>
        <w:ind w:firstLine="720"/>
        <w:jc w:val="both"/>
        <w:rPr>
          <w:lang w:val="lt-LT"/>
        </w:rPr>
      </w:pPr>
      <w:r w:rsidRPr="008B593D">
        <w:rPr>
          <w:lang w:val="lt-LT"/>
        </w:rPr>
        <w:t>Per mokestinį laikotarpį konkretaus lengvojo automobilio nuomos laikotarpiai  sumuojami ir, jeigu viršija  30 dienų, laikoma, kad šio automobilio nuomos atvejis neatitinka šioje dalyje nustatytos išimties ir visoms mokestinio laikotarpio nuomos išlaidoms (pradedant nuo mokestinio laikotarpio pradžios) taikomi atskaitymo ribojimai;</w:t>
      </w:r>
    </w:p>
    <w:p w14:paraId="0C597339" w14:textId="77777777" w:rsidR="006E6128" w:rsidRPr="008B593D" w:rsidRDefault="006E6128" w:rsidP="006E6128">
      <w:pPr>
        <w:ind w:firstLine="720"/>
        <w:jc w:val="both"/>
        <w:rPr>
          <w:lang w:val="lt-LT"/>
        </w:rPr>
      </w:pPr>
      <w:r w:rsidRPr="008B593D">
        <w:rPr>
          <w:bCs/>
          <w:lang w:val="lt-LT"/>
        </w:rPr>
        <w:t xml:space="preserve">4.2. kai </w:t>
      </w:r>
      <w:r w:rsidRPr="008B593D">
        <w:rPr>
          <w:lang w:val="lt-LT"/>
        </w:rPr>
        <w:t>naudojamasi elektronine sąsaja – platforma, portalu ar kita tokio paties pobūdžio priemone.</w:t>
      </w:r>
    </w:p>
    <w:p w14:paraId="5EA5FFDC" w14:textId="77777777" w:rsidR="006E6128" w:rsidRPr="008B593D" w:rsidRDefault="006E6128" w:rsidP="006E6128">
      <w:pPr>
        <w:ind w:firstLine="720"/>
        <w:jc w:val="both"/>
        <w:rPr>
          <w:lang w:val="lt-LT"/>
        </w:rPr>
      </w:pPr>
      <w:r w:rsidRPr="008B593D">
        <w:rPr>
          <w:lang w:val="lt-LT"/>
        </w:rPr>
        <w:t xml:space="preserve">Ši nuostata reiškia, kad jeigu lengvųjų automobilių nuoma yra vykdoma per internetines paslaugų teikimo priemones, - elektronines platformas, portalus ar kita tokio paties pobūdžio priemone, pavyzdžiui Bolt, Citybee platformas ir pan., tai tokioms nuomos išlaidoms </w:t>
      </w:r>
      <w:r w:rsidRPr="00EC473F">
        <w:rPr>
          <w:rStyle w:val="Grietas"/>
          <w:b w:val="0"/>
          <w:lang w:val="lt-LT"/>
        </w:rPr>
        <w:t>taip pat netaikomi nuomos sąnaudų atskaitymo ribojimai</w:t>
      </w:r>
      <w:r w:rsidRPr="00EC473F">
        <w:rPr>
          <w:b/>
          <w:lang w:val="lt-LT"/>
        </w:rPr>
        <w:t>,</w:t>
      </w:r>
      <w:r w:rsidRPr="008B593D">
        <w:rPr>
          <w:lang w:val="lt-LT"/>
        </w:rPr>
        <w:t xml:space="preserve"> o išlaidos, patirtos nuomojant automobilius per šias priemones, gali būti atskaitomos kaip leidžiami atskaitymai, netaikant joms papildomų apribojimų.</w:t>
      </w:r>
    </w:p>
    <w:p w14:paraId="215596EE" w14:textId="77777777" w:rsidR="006E6128" w:rsidRPr="008B593D" w:rsidRDefault="006E6128" w:rsidP="006E6128">
      <w:pPr>
        <w:ind w:firstLine="720"/>
        <w:jc w:val="both"/>
        <w:rPr>
          <w:lang w:val="lt-LT"/>
        </w:rPr>
      </w:pPr>
      <w:r w:rsidRPr="008B593D">
        <w:rPr>
          <w:lang w:val="lt-LT"/>
        </w:rPr>
        <w:t xml:space="preserve">5. Lengvųjų automobilių nuomos sąnaudų atskaitymo iš pajamų ribojimai pagal PMĮ 17 straipsnio 2 dalies 14 punkto nuostatas netaikomi tais atvejais, kai išsinuomojami automobiliai naudojami </w:t>
      </w:r>
      <w:r w:rsidRPr="00EC473F">
        <w:rPr>
          <w:lang w:val="lt-LT"/>
        </w:rPr>
        <w:t>tik</w:t>
      </w:r>
      <w:r w:rsidRPr="008B593D">
        <w:rPr>
          <w:lang w:val="lt-LT"/>
        </w:rPr>
        <w:t>:</w:t>
      </w:r>
    </w:p>
    <w:p w14:paraId="6B8BF389" w14:textId="77777777" w:rsidR="006E6128" w:rsidRPr="008B593D" w:rsidRDefault="006E6128" w:rsidP="006E6128">
      <w:pPr>
        <w:pStyle w:val="Porat"/>
        <w:tabs>
          <w:tab w:val="left" w:pos="720"/>
          <w:tab w:val="center" w:pos="4320"/>
          <w:tab w:val="right" w:pos="8640"/>
          <w:tab w:val="right" w:pos="9498"/>
        </w:tabs>
        <w:rPr>
          <w:lang w:val="lt-LT"/>
        </w:rPr>
      </w:pPr>
      <w:r w:rsidRPr="008B593D">
        <w:rPr>
          <w:lang w:val="lt-LT"/>
        </w:rPr>
        <w:tab/>
        <w:t xml:space="preserve">- šių automobilių </w:t>
      </w:r>
      <w:r w:rsidRPr="008B593D">
        <w:rPr>
          <w:bCs/>
          <w:lang w:val="lt-LT"/>
        </w:rPr>
        <w:t>nuomos veiklai vykdyti, neatsižvelgiant į tai, ar teikiamos ilgalaikės ar trumpalaikės nuomos paslaugos</w:t>
      </w:r>
      <w:r w:rsidRPr="008B593D">
        <w:rPr>
          <w:lang w:val="lt-LT"/>
        </w:rPr>
        <w:t>;</w:t>
      </w:r>
    </w:p>
    <w:p w14:paraId="730ACF1E" w14:textId="77777777" w:rsidR="006E6128" w:rsidRPr="008B593D" w:rsidRDefault="006E6128" w:rsidP="006E6128">
      <w:pPr>
        <w:ind w:firstLine="720"/>
        <w:jc w:val="both"/>
        <w:rPr>
          <w:lang w:val="lt-LT"/>
        </w:rPr>
      </w:pPr>
      <w:r w:rsidRPr="008B593D">
        <w:rPr>
          <w:lang w:val="lt-LT"/>
        </w:rPr>
        <w:t>- v</w:t>
      </w:r>
      <w:r w:rsidRPr="008B593D">
        <w:rPr>
          <w:bCs/>
          <w:lang w:val="lt-LT"/>
        </w:rPr>
        <w:t xml:space="preserve">airavimo mokymo paslaugoms teikti, t. y. </w:t>
      </w:r>
      <w:r w:rsidRPr="008B593D">
        <w:rPr>
          <w:lang w:val="lt-LT"/>
        </w:rPr>
        <w:t xml:space="preserve">jei išsinuomoti lengvieji automobiliai naudojami vairavimo mokymo veikloje; </w:t>
      </w:r>
    </w:p>
    <w:p w14:paraId="00B8B7F3" w14:textId="77777777" w:rsidR="006E6128" w:rsidRPr="008B593D" w:rsidRDefault="006E6128" w:rsidP="006E6128">
      <w:pPr>
        <w:ind w:firstLine="720"/>
        <w:jc w:val="both"/>
        <w:rPr>
          <w:lang w:val="lt-LT"/>
        </w:rPr>
      </w:pPr>
      <w:r w:rsidRPr="008B593D">
        <w:rPr>
          <w:b/>
          <w:bCs/>
          <w:lang w:val="lt-LT"/>
        </w:rPr>
        <w:t xml:space="preserve">- </w:t>
      </w:r>
      <w:r w:rsidRPr="008B593D">
        <w:rPr>
          <w:bCs/>
          <w:lang w:val="lt-LT"/>
        </w:rPr>
        <w:t>transporto paslaugoms teikti</w:t>
      </w:r>
      <w:r w:rsidRPr="008B593D">
        <w:rPr>
          <w:lang w:val="lt-LT"/>
        </w:rPr>
        <w:t>, pavyzdžiui įmonės, teikiančios keleivių vežimo paslaugas išsinuomoja lengvuosius automobilius kaip pagrindinę veiklos priemonę arba įmonės, kurios veža keleivius tam tikrais maršrutais arba pagal užsakymus (maršrutiniai taksi ar užsakomieji keleivių pervežimai), kurjerių įmonės, kurios naudoja išnuomotus lengvuosius automobilius mažų siuntų ar prekių pervežimui ir pan.</w:t>
      </w:r>
    </w:p>
    <w:p w14:paraId="4975971B" w14:textId="77777777" w:rsidR="006E6128" w:rsidRPr="006E6128" w:rsidRDefault="006E6128" w:rsidP="006E6128">
      <w:pPr>
        <w:ind w:firstLine="720"/>
        <w:jc w:val="both"/>
        <w:rPr>
          <w:lang w:val="lt-LT"/>
        </w:rPr>
      </w:pPr>
      <w:r w:rsidRPr="008B593D">
        <w:rPr>
          <w:lang w:val="lt-LT"/>
        </w:rPr>
        <w:t>Todėl vienetai, naudojantys turtą tik aukščiau minėtoje veikloje, netaiko tokio turto nuomos sąnaudų ribojimų, t. y. jie gali visas faktiškai patirtas lengvųjų automobilių nuomos išlaidas priskirti ribojamų dydžių leidžiamiems atskaitymams.</w:t>
      </w:r>
    </w:p>
    <w:p w14:paraId="3F32B8A2" w14:textId="77777777" w:rsidR="006E6128" w:rsidRPr="006E6128" w:rsidRDefault="006E6128" w:rsidP="006E6128">
      <w:pPr>
        <w:ind w:firstLine="720"/>
        <w:jc w:val="both"/>
        <w:rPr>
          <w:bCs/>
          <w:lang w:val="lt-LT"/>
        </w:rPr>
      </w:pPr>
      <w:r w:rsidRPr="008B593D">
        <w:rPr>
          <w:bCs/>
          <w:lang w:val="lt-LT"/>
        </w:rPr>
        <w:t>3 pavyzdys</w:t>
      </w:r>
    </w:p>
    <w:p w14:paraId="17E1EB48"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i/>
          <w:iCs/>
          <w:color w:val="000000"/>
          <w:lang w:val="lt-LT"/>
        </w:rPr>
      </w:pPr>
      <w:r w:rsidRPr="008B593D">
        <w:rPr>
          <w:i/>
          <w:iCs/>
          <w:color w:val="000000"/>
          <w:lang w:val="lt-LT"/>
        </w:rPr>
        <w:t>Pastaba. Pavyzdyje mokestinis laikotarpis sutampa su kalendoriniais metais.</w:t>
      </w:r>
    </w:p>
    <w:p w14:paraId="510BE71F"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lang w:val="lt-LT"/>
        </w:rPr>
      </w:pPr>
      <w:r w:rsidRPr="008B593D">
        <w:rPr>
          <w:bCs/>
          <w:lang w:val="lt-LT"/>
        </w:rPr>
        <w:t xml:space="preserve">Vienetas, teikiantis lengvųjų automobilių nuomos </w:t>
      </w:r>
      <w:r w:rsidRPr="008B593D">
        <w:rPr>
          <w:lang w:val="lt-LT"/>
        </w:rPr>
        <w:t xml:space="preserve">paslaugas, </w:t>
      </w:r>
      <w:r w:rsidRPr="008B593D">
        <w:rPr>
          <w:bCs/>
          <w:lang w:val="lt-LT"/>
        </w:rPr>
        <w:t xml:space="preserve">2025 metais papildomai išsinuomojo kelis naujus lengvuosius automobilius, kuriuos naudoja nuomos veiklai, t. y. šiuos automobilius išnuomojo kitiems subjektams. </w:t>
      </w:r>
    </w:p>
    <w:p w14:paraId="50AE726B" w14:textId="77777777" w:rsidR="006E6128" w:rsidRPr="008B593D" w:rsidRDefault="006E6128" w:rsidP="006E6128">
      <w:pPr>
        <w:pBdr>
          <w:top w:val="single" w:sz="4" w:space="0" w:color="auto"/>
          <w:left w:val="single" w:sz="4" w:space="4" w:color="auto"/>
          <w:bottom w:val="single" w:sz="4" w:space="1" w:color="auto"/>
          <w:right w:val="single" w:sz="4" w:space="4" w:color="auto"/>
        </w:pBdr>
        <w:ind w:firstLine="720"/>
        <w:jc w:val="both"/>
        <w:rPr>
          <w:lang w:val="lt-LT"/>
        </w:rPr>
      </w:pPr>
      <w:r w:rsidRPr="008B593D">
        <w:rPr>
          <w:lang w:val="lt-LT"/>
        </w:rPr>
        <w:t>PMĮ 30</w:t>
      </w:r>
      <w:r w:rsidRPr="008B593D">
        <w:rPr>
          <w:vertAlign w:val="superscript"/>
          <w:lang w:val="lt-LT"/>
        </w:rPr>
        <w:t>2</w:t>
      </w:r>
      <w:r w:rsidRPr="008B593D">
        <w:rPr>
          <w:lang w:val="lt-LT"/>
        </w:rPr>
        <w:t xml:space="preserve"> straipsnio 2 dalis numato, kad lengvojo automobilio nuomos sąnaudų ribojimas netaikomas tuo atveju, jei automobilis naudojamas tik toms veikloms, kurios išvardytos kaip išimtys - nuoma, vairavimo mokymas ar transporto paslaugos.</w:t>
      </w:r>
    </w:p>
    <w:p w14:paraId="4F684AC3" w14:textId="77777777" w:rsidR="006E6128" w:rsidRPr="008B593D" w:rsidRDefault="006E6128" w:rsidP="00C46CEE">
      <w:pPr>
        <w:pBdr>
          <w:top w:val="single" w:sz="4" w:space="0" w:color="auto"/>
          <w:left w:val="single" w:sz="4" w:space="4" w:color="auto"/>
          <w:bottom w:val="single" w:sz="4" w:space="1" w:color="auto"/>
          <w:right w:val="single" w:sz="4" w:space="4" w:color="auto"/>
        </w:pBdr>
        <w:spacing w:after="0"/>
        <w:ind w:firstLine="720"/>
        <w:jc w:val="both"/>
        <w:rPr>
          <w:lang w:val="lt-LT"/>
        </w:rPr>
      </w:pPr>
      <w:r w:rsidRPr="008B593D">
        <w:rPr>
          <w:lang w:val="lt-LT"/>
        </w:rPr>
        <w:lastRenderedPageBreak/>
        <w:t>Kadangi išnuomoti lengvieji automobiliai naudojami n</w:t>
      </w:r>
      <w:r w:rsidRPr="008B593D">
        <w:rPr>
          <w:bCs/>
          <w:lang w:val="lt-LT"/>
        </w:rPr>
        <w:t xml:space="preserve">uomos </w:t>
      </w:r>
      <w:r w:rsidRPr="008B593D">
        <w:rPr>
          <w:lang w:val="lt-LT"/>
        </w:rPr>
        <w:t>paslaugų teikimui, t. y. išnuomojami kitiems subjektams, tai šių automobilių nuomos sąnaudų ribojimas</w:t>
      </w:r>
      <w:r w:rsidR="00EC473F">
        <w:rPr>
          <w:lang w:val="lt-LT"/>
        </w:rPr>
        <w:t xml:space="preserve"> ne</w:t>
      </w:r>
      <w:r w:rsidRPr="00EC473F">
        <w:rPr>
          <w:rStyle w:val="Grietas"/>
          <w:b w:val="0"/>
          <w:lang w:val="lt-LT"/>
        </w:rPr>
        <w:t>taikomas</w:t>
      </w:r>
      <w:r w:rsidRPr="008B593D">
        <w:rPr>
          <w:lang w:val="lt-LT"/>
        </w:rPr>
        <w:t xml:space="preserve"> ir, atitinkamai, automobilių nuomos sąnaudos į leidžiamus ir neleidžiamus atskaitymus neskirstomos, o </w:t>
      </w:r>
    </w:p>
    <w:p w14:paraId="6F08F726" w14:textId="77777777" w:rsidR="006E6128" w:rsidRPr="008B593D" w:rsidRDefault="006E6128" w:rsidP="00C46CEE">
      <w:pPr>
        <w:pBdr>
          <w:top w:val="single" w:sz="4" w:space="0" w:color="auto"/>
          <w:left w:val="single" w:sz="4" w:space="4" w:color="auto"/>
          <w:bottom w:val="single" w:sz="4" w:space="1" w:color="auto"/>
          <w:right w:val="single" w:sz="4" w:space="4" w:color="auto"/>
        </w:pBdr>
        <w:spacing w:after="0"/>
        <w:jc w:val="both"/>
        <w:rPr>
          <w:lang w:val="lt-LT"/>
        </w:rPr>
      </w:pPr>
      <w:r w:rsidRPr="008B593D">
        <w:rPr>
          <w:lang w:val="lt-LT"/>
        </w:rPr>
        <w:t xml:space="preserve">visa automobilių nuomos sąnaudų suma priskiriama leidžiamiems atskaitymas. </w:t>
      </w:r>
    </w:p>
    <w:p w14:paraId="45FE649D" w14:textId="77777777" w:rsidR="006E6128" w:rsidRPr="008B593D" w:rsidRDefault="006E6128" w:rsidP="006E6128">
      <w:pPr>
        <w:ind w:firstLine="720"/>
        <w:jc w:val="both"/>
        <w:rPr>
          <w:lang w:val="lt-LT"/>
        </w:rPr>
      </w:pPr>
      <w:r w:rsidRPr="008B593D">
        <w:rPr>
          <w:lang w:val="lt-LT"/>
        </w:rPr>
        <w:t>6. Šioje dalyje įteisinti lengvųjų automobilių nuomos išlaidų ribojimai taikomi ir lengviesiems automobiliams, kuriais asmeniniais tikslais naudojasi darbuotojai, o nauda, kurią jie gauna asmeniniais tikslais naudodami automobilį, pripažįstama pajamomis natūra pagal Lietuvos Respublikos gyventojų pajamų mokesčio įstatymą.</w:t>
      </w:r>
    </w:p>
    <w:p w14:paraId="4B66C5F5" w14:textId="77777777" w:rsidR="006E6128" w:rsidRPr="008B593D" w:rsidRDefault="006E6128" w:rsidP="006E6128">
      <w:pPr>
        <w:ind w:firstLine="720"/>
        <w:jc w:val="both"/>
        <w:rPr>
          <w:b/>
          <w:lang w:val="lt-LT"/>
        </w:rPr>
      </w:pPr>
      <w:r w:rsidRPr="008B593D">
        <w:rPr>
          <w:b/>
          <w:color w:val="000000"/>
          <w:lang w:val="lt-LT"/>
        </w:rPr>
        <w:t>3. Lengvojo automobilio išmetamas anglies dioksido (CO</w:t>
      </w:r>
      <w:r w:rsidRPr="008B593D">
        <w:rPr>
          <w:b/>
          <w:color w:val="000000"/>
          <w:vertAlign w:val="subscript"/>
          <w:lang w:val="lt-LT"/>
        </w:rPr>
        <w:t>2</w:t>
      </w:r>
      <w:r w:rsidRPr="008B593D">
        <w:rPr>
          <w:b/>
          <w:color w:val="000000"/>
          <w:lang w:val="lt-LT"/>
        </w:rPr>
        <w:t>) kiekis nustatomas vadovaujantis Lietuvos Respublikos motorinių transporto priemonių registracijos mokesčio įstatyme nurodyta tvarka, taikoma nustatant Kelių transporto priemonių registre registruojamų motorinių transporto priemonių išmetamą anglies dioksido (CO</w:t>
      </w:r>
      <w:r w:rsidRPr="008B593D">
        <w:rPr>
          <w:b/>
          <w:color w:val="000000"/>
          <w:vertAlign w:val="subscript"/>
          <w:lang w:val="lt-LT"/>
        </w:rPr>
        <w:t>2</w:t>
      </w:r>
      <w:r w:rsidRPr="008B593D">
        <w:rPr>
          <w:b/>
          <w:color w:val="000000"/>
          <w:lang w:val="lt-LT"/>
        </w:rPr>
        <w:t>) kiekį.</w:t>
      </w:r>
    </w:p>
    <w:p w14:paraId="40C52990" w14:textId="77777777" w:rsidR="006E6128" w:rsidRPr="006E6128" w:rsidRDefault="006E6128" w:rsidP="006E6128">
      <w:pPr>
        <w:tabs>
          <w:tab w:val="left" w:pos="8280"/>
        </w:tabs>
        <w:ind w:firstLineChars="235" w:firstLine="564"/>
        <w:jc w:val="both"/>
        <w:rPr>
          <w:color w:val="000000"/>
          <w:lang w:val="lt-LT" w:eastAsia="lt-LT"/>
        </w:rPr>
      </w:pPr>
      <w:r w:rsidRPr="008B593D">
        <w:rPr>
          <w:color w:val="000000"/>
          <w:lang w:val="lt-LT" w:eastAsia="lt-LT"/>
        </w:rPr>
        <w:t xml:space="preserve"> (Pagal 2024 m. birželio 20 d. įstatymo Nr. XIV-2774 redakciją; taikoma apskaičiuojant 2025 metais prasidėjusio ir vėlesnių mokestinių laikotarpių apmokestinamąjį pelną)</w:t>
      </w:r>
    </w:p>
    <w:p w14:paraId="66D83FD1" w14:textId="77777777" w:rsidR="006E6128" w:rsidRPr="006E6128" w:rsidRDefault="006E6128" w:rsidP="006E6128">
      <w:pPr>
        <w:tabs>
          <w:tab w:val="left" w:pos="720"/>
          <w:tab w:val="left" w:pos="1077"/>
          <w:tab w:val="left" w:pos="1418"/>
        </w:tabs>
        <w:ind w:right="-5" w:firstLine="709"/>
        <w:jc w:val="both"/>
        <w:rPr>
          <w:b/>
          <w:lang w:val="lt-LT"/>
        </w:rPr>
      </w:pPr>
      <w:r w:rsidRPr="008B593D">
        <w:rPr>
          <w:b/>
          <w:lang w:val="lt-LT"/>
        </w:rPr>
        <w:t>Komentaras</w:t>
      </w:r>
    </w:p>
    <w:p w14:paraId="11153236" w14:textId="77777777" w:rsidR="006E6128" w:rsidRPr="008B593D" w:rsidRDefault="006E6128" w:rsidP="006E6128">
      <w:pPr>
        <w:ind w:firstLine="720"/>
        <w:jc w:val="both"/>
        <w:rPr>
          <w:lang w:val="lt-LT"/>
        </w:rPr>
      </w:pPr>
      <w:r w:rsidRPr="008B593D">
        <w:rPr>
          <w:lang w:val="lt-LT"/>
        </w:rPr>
        <w:t>Šioje dalyje yra nustatyta, kad lengvojo automobilio išmetamas CO</w:t>
      </w:r>
      <w:r w:rsidRPr="008B593D">
        <w:rPr>
          <w:vertAlign w:val="subscript"/>
          <w:lang w:val="lt-LT"/>
        </w:rPr>
        <w:t>2</w:t>
      </w:r>
      <w:r w:rsidRPr="008B593D">
        <w:rPr>
          <w:lang w:val="lt-LT"/>
        </w:rPr>
        <w:t xml:space="preserve"> kiekis yra nustatomas vadovaujantis Lietuvos Respublikos motorinių transporto priemonių registracijos mokesčio įstatyme (toliau – MTPRMĮ) nurodyta tvarka, taikoma nustatant Kelių transporto priemonių registre registruojamų motorinių transporto priemonių išmetamą (CO</w:t>
      </w:r>
      <w:r w:rsidRPr="008B593D">
        <w:rPr>
          <w:vertAlign w:val="subscript"/>
          <w:lang w:val="lt-LT"/>
        </w:rPr>
        <w:t>2</w:t>
      </w:r>
      <w:r w:rsidRPr="008B593D">
        <w:rPr>
          <w:lang w:val="lt-LT"/>
        </w:rPr>
        <w:t>) kiekį.</w:t>
      </w:r>
    </w:p>
    <w:p w14:paraId="7533E9B3" w14:textId="77777777" w:rsidR="006E6128" w:rsidRPr="008B593D" w:rsidRDefault="006E6128" w:rsidP="006E6128">
      <w:pPr>
        <w:ind w:firstLine="720"/>
        <w:jc w:val="both"/>
        <w:rPr>
          <w:lang w:val="lt-LT"/>
        </w:rPr>
      </w:pPr>
      <w:r w:rsidRPr="008B593D">
        <w:rPr>
          <w:lang w:val="lt-LT"/>
        </w:rPr>
        <w:t>Kelių transporto priemonių registre registruotos motorinės transporto priemonės išmetamas CO</w:t>
      </w:r>
      <w:r w:rsidRPr="008B593D">
        <w:rPr>
          <w:vertAlign w:val="subscript"/>
          <w:lang w:val="lt-LT"/>
        </w:rPr>
        <w:t>2</w:t>
      </w:r>
      <w:r w:rsidRPr="008B593D">
        <w:rPr>
          <w:lang w:val="lt-LT"/>
        </w:rPr>
        <w:t xml:space="preserve"> kiekis yra nustatomas šia prioriteto tvarka:</w:t>
      </w:r>
    </w:p>
    <w:p w14:paraId="63997F0C" w14:textId="77777777" w:rsidR="006E6128" w:rsidRPr="008B593D" w:rsidRDefault="006E6128" w:rsidP="006E6128">
      <w:pPr>
        <w:ind w:firstLine="720"/>
        <w:jc w:val="both"/>
        <w:rPr>
          <w:lang w:val="lt-LT"/>
        </w:rPr>
      </w:pPr>
      <w:r w:rsidRPr="008B593D">
        <w:rPr>
          <w:lang w:val="lt-LT"/>
        </w:rPr>
        <w:t>1) pagal Kelių transporto priemonių registro duomenų išraše, kilmės ir (ar) patvirtinimo dokumentuose pateiktą naujausią informaciją;</w:t>
      </w:r>
    </w:p>
    <w:p w14:paraId="12ABD57D" w14:textId="77777777" w:rsidR="006E6128" w:rsidRPr="008B593D" w:rsidRDefault="006E6128" w:rsidP="006E6128">
      <w:pPr>
        <w:ind w:firstLine="720"/>
        <w:jc w:val="both"/>
        <w:rPr>
          <w:lang w:val="lt-LT"/>
        </w:rPr>
      </w:pPr>
      <w:r w:rsidRPr="008B593D">
        <w:rPr>
          <w:lang w:val="lt-LT"/>
        </w:rPr>
        <w:t>2) pagal Kelių transporto priemonių registre registruotos lygiavertės motorinės transporto priemonės, priklausančios tam pačiam Europos Sąjungos patvirtintam tipui, variantui ir versijai, išmetamą CO</w:t>
      </w:r>
      <w:r w:rsidRPr="008B593D">
        <w:rPr>
          <w:vertAlign w:val="subscript"/>
          <w:lang w:val="lt-LT"/>
        </w:rPr>
        <w:t>2</w:t>
      </w:r>
      <w:r w:rsidRPr="008B593D">
        <w:rPr>
          <w:lang w:val="lt-LT"/>
        </w:rPr>
        <w:t xml:space="preserve"> kiekį;</w:t>
      </w:r>
    </w:p>
    <w:p w14:paraId="6529E5FD" w14:textId="77777777" w:rsidR="006E6128" w:rsidRPr="008B593D" w:rsidRDefault="006E6128" w:rsidP="006E6128">
      <w:pPr>
        <w:ind w:firstLine="720"/>
        <w:jc w:val="both"/>
        <w:rPr>
          <w:lang w:val="lt-LT"/>
        </w:rPr>
      </w:pPr>
      <w:r w:rsidRPr="008B593D">
        <w:rPr>
          <w:lang w:val="lt-LT"/>
        </w:rPr>
        <w:t>3) pagal formules, patvirtintas MTPRMĮ 2 priede, vadovaujantis Kelių transporto priemonių registro duomenų išraše, kilmės ir (ar) patvirtinimo dokumentuose pateikta naujausia informacija;</w:t>
      </w:r>
    </w:p>
    <w:p w14:paraId="136902FD" w14:textId="77777777" w:rsidR="006E6128" w:rsidRPr="00D878EC" w:rsidRDefault="006E6128" w:rsidP="006E6128">
      <w:pPr>
        <w:ind w:firstLine="720"/>
        <w:jc w:val="both"/>
        <w:rPr>
          <w:lang w:val="lt-LT"/>
        </w:rPr>
      </w:pPr>
      <w:r w:rsidRPr="008B593D">
        <w:rPr>
          <w:lang w:val="lt-LT"/>
        </w:rPr>
        <w:t>4) pagal formules, patvirtintas MTPRMĮ 2 priede, vadovaujantis Kelių transporto priemonių registre registruotos lygiavertės transporto priemonės, priklausančios tam pačiam Europos Sąjungoje patvirtintam tipui, variantui ir versijai, duomenimis.</w:t>
      </w:r>
    </w:p>
    <w:p w14:paraId="3EA462DA" w14:textId="77777777" w:rsidR="00C46CEE" w:rsidRDefault="00C46CEE" w:rsidP="00C46CEE">
      <w:pPr>
        <w:jc w:val="both"/>
        <w:rPr>
          <w:iCs/>
          <w:lang w:eastAsia="lt-LT"/>
        </w:rPr>
      </w:pPr>
      <w:r w:rsidRPr="00C46CEE">
        <w:rPr>
          <w:iCs/>
          <w:lang w:eastAsia="lt-LT"/>
        </w:rPr>
        <w:t xml:space="preserve">(PMĮ </w:t>
      </w:r>
      <w:r w:rsidRPr="00C46CEE">
        <w:t>30</w:t>
      </w:r>
      <w:r w:rsidRPr="00C46CEE">
        <w:rPr>
          <w:vertAlign w:val="superscript"/>
        </w:rPr>
        <w:t>2</w:t>
      </w:r>
      <w:r w:rsidRPr="00C46CEE">
        <w:rPr>
          <w:iCs/>
          <w:lang w:eastAsia="lt-LT"/>
        </w:rPr>
        <w:t xml:space="preserve"> straipsnio komentaras parengtas</w:t>
      </w:r>
      <w:r w:rsidRPr="00C46CEE">
        <w:rPr>
          <w:vertAlign w:val="superscript"/>
        </w:rPr>
        <w:t xml:space="preserve"> </w:t>
      </w:r>
      <w:r w:rsidRPr="00C46CEE">
        <w:rPr>
          <w:iCs/>
          <w:lang w:eastAsia="lt-LT"/>
        </w:rPr>
        <w:t xml:space="preserve"> pagal VMI prie FM 2025-01-21 raštą Nr. (18.32-31-1 Mr)-R-249)</w:t>
      </w:r>
    </w:p>
    <w:p w14:paraId="43710EDA" w14:textId="77777777" w:rsidR="0012530E" w:rsidRPr="00B64BD0" w:rsidRDefault="00B64BD0" w:rsidP="00B64BD0">
      <w:pPr>
        <w:pStyle w:val="Antrat1"/>
        <w:tabs>
          <w:tab w:val="left" w:pos="2898"/>
        </w:tabs>
        <w:jc w:val="left"/>
      </w:pPr>
      <w:bookmarkStart w:id="455" w:name="straipsnis303"/>
      <w:r w:rsidRPr="00651104">
        <w:rPr>
          <w:rFonts w:ascii="Times New Roman" w:hAnsi="Times New Roman" w:cs="Times New Roman"/>
          <w:color w:val="000000"/>
          <w:lang w:eastAsia="lt-LT"/>
        </w:rPr>
        <w:t>30</w:t>
      </w:r>
      <w:r w:rsidRPr="00651104">
        <w:rPr>
          <w:rFonts w:ascii="Times New Roman" w:hAnsi="Times New Roman" w:cs="Times New Roman"/>
          <w:color w:val="000000"/>
          <w:vertAlign w:val="superscript"/>
          <w:lang w:eastAsia="lt-LT"/>
        </w:rPr>
        <w:t>3</w:t>
      </w:r>
      <w:r w:rsidR="0012530E" w:rsidRPr="00B64BD0">
        <w:t xml:space="preserve"> </w:t>
      </w:r>
      <w:r w:rsidRPr="00B64BD0">
        <w:t>STRAIPSNIS</w:t>
      </w:r>
      <w:r w:rsidR="0012530E" w:rsidRPr="00B64BD0">
        <w:t>. Stipendijos</w:t>
      </w:r>
    </w:p>
    <w:bookmarkEnd w:id="455"/>
    <w:p w14:paraId="635389E0" w14:textId="77777777" w:rsidR="0012530E" w:rsidRPr="00651104" w:rsidRDefault="0012530E" w:rsidP="00B64BD0">
      <w:pPr>
        <w:tabs>
          <w:tab w:val="left" w:pos="2898"/>
        </w:tabs>
        <w:ind w:firstLine="709"/>
        <w:jc w:val="both"/>
        <w:rPr>
          <w:rFonts w:eastAsia="Calibri"/>
          <w:b/>
          <w:bCs/>
          <w:color w:val="000000"/>
        </w:rPr>
      </w:pPr>
      <w:r w:rsidRPr="00651104">
        <w:rPr>
          <w:rFonts w:eastAsia="Calibri"/>
          <w:b/>
          <w:bCs/>
          <w:color w:val="000000"/>
        </w:rPr>
        <w:t>Mokestiniu laikotarpiu iš pajamų gali būti atskaitomos vieneto tiesiogiai mokamos stipendijos:</w:t>
      </w:r>
    </w:p>
    <w:p w14:paraId="16DD378F" w14:textId="77777777" w:rsidR="0012530E" w:rsidRPr="00651104" w:rsidRDefault="0012530E" w:rsidP="00B64BD0">
      <w:pPr>
        <w:tabs>
          <w:tab w:val="left" w:pos="2898"/>
        </w:tabs>
        <w:ind w:firstLine="709"/>
        <w:jc w:val="both"/>
        <w:rPr>
          <w:rFonts w:eastAsia="Calibri"/>
          <w:b/>
          <w:bCs/>
          <w:color w:val="000000"/>
        </w:rPr>
      </w:pPr>
      <w:r w:rsidRPr="00651104">
        <w:rPr>
          <w:rFonts w:eastAsia="Calibri"/>
          <w:b/>
          <w:bCs/>
          <w:color w:val="000000"/>
        </w:rPr>
        <w:t xml:space="preserve">1) </w:t>
      </w:r>
      <w:bookmarkStart w:id="456" w:name="_Hlk204676493"/>
      <w:bookmarkStart w:id="457" w:name="_Hlk209176488"/>
      <w:bookmarkStart w:id="458" w:name="_Hlk209684229"/>
      <w:r w:rsidRPr="00651104">
        <w:rPr>
          <w:rFonts w:eastAsia="Calibri"/>
          <w:b/>
          <w:bCs/>
          <w:color w:val="000000"/>
        </w:rPr>
        <w:t>Europos ekonominės erdvės valstybių ar valstybių, su kuriomis Lietuvos Respublika yra sudariusi ir taiko dvigubo apmokestinimo išvengimo sutartis, aukštųjų mokyklų studentams</w:t>
      </w:r>
      <w:bookmarkEnd w:id="456"/>
      <w:r w:rsidRPr="00651104">
        <w:rPr>
          <w:rFonts w:eastAsia="Calibri"/>
          <w:b/>
          <w:bCs/>
          <w:color w:val="000000"/>
        </w:rPr>
        <w:t xml:space="preserve">, kurie </w:t>
      </w:r>
      <w:r w:rsidRPr="00651104">
        <w:rPr>
          <w:b/>
          <w:iCs/>
          <w:color w:val="000000"/>
        </w:rPr>
        <w:t xml:space="preserve">studijuoja pagal matematikos, gyvybės, inžinerijos ar technologijų mokslų studijų krypčių grupės studijų programas ir </w:t>
      </w:r>
      <w:bookmarkStart w:id="459" w:name="_Hlk204676592"/>
      <w:r w:rsidRPr="00651104">
        <w:rPr>
          <w:b/>
          <w:iCs/>
          <w:color w:val="000000"/>
        </w:rPr>
        <w:t>baigus šias studijų programas įgyjama aukštojo mokslo kvalifikacija  susijusi</w:t>
      </w:r>
      <w:r w:rsidRPr="00651104">
        <w:rPr>
          <w:color w:val="000000"/>
        </w:rPr>
        <w:t xml:space="preserve">  </w:t>
      </w:r>
      <w:r w:rsidRPr="00651104">
        <w:rPr>
          <w:rFonts w:eastAsia="Calibri"/>
          <w:b/>
          <w:bCs/>
          <w:color w:val="000000"/>
        </w:rPr>
        <w:t>su vieneto vykdoma veikla</w:t>
      </w:r>
      <w:bookmarkEnd w:id="459"/>
      <w:r w:rsidRPr="00651104">
        <w:rPr>
          <w:rFonts w:eastAsia="Calibri"/>
          <w:b/>
          <w:bCs/>
          <w:color w:val="000000"/>
        </w:rPr>
        <w:t xml:space="preserve">, ir </w:t>
      </w:r>
      <w:bookmarkEnd w:id="457"/>
      <w:r w:rsidRPr="00651104">
        <w:rPr>
          <w:rFonts w:eastAsia="Calibri"/>
          <w:b/>
          <w:bCs/>
          <w:color w:val="000000"/>
        </w:rPr>
        <w:t>jeigu:</w:t>
      </w:r>
    </w:p>
    <w:bookmarkEnd w:id="458"/>
    <w:p w14:paraId="3FA932FB" w14:textId="77777777" w:rsidR="0012530E" w:rsidRPr="00651104" w:rsidRDefault="0012530E" w:rsidP="00B64BD0">
      <w:pPr>
        <w:tabs>
          <w:tab w:val="left" w:pos="2898"/>
        </w:tabs>
        <w:ind w:firstLine="709"/>
        <w:jc w:val="both"/>
        <w:rPr>
          <w:b/>
          <w:bCs/>
          <w:color w:val="000000"/>
          <w:lang w:eastAsia="lt-LT"/>
        </w:rPr>
      </w:pPr>
      <w:r w:rsidRPr="00651104">
        <w:rPr>
          <w:rFonts w:eastAsia="Calibri"/>
          <w:b/>
          <w:bCs/>
          <w:color w:val="000000"/>
        </w:rPr>
        <w:lastRenderedPageBreak/>
        <w:t>a) stipendijos mokamos pagal</w:t>
      </w:r>
      <w:r w:rsidRPr="00651104">
        <w:rPr>
          <w:b/>
          <w:bCs/>
          <w:color w:val="000000"/>
          <w:lang w:eastAsia="lt-LT"/>
        </w:rPr>
        <w:t xml:space="preserve"> vieneto, aukštosios mokyklos ir studento pasirašytas trišales sutartis, ir</w:t>
      </w:r>
    </w:p>
    <w:p w14:paraId="59158C57" w14:textId="77777777" w:rsidR="0012530E" w:rsidRPr="00651104" w:rsidRDefault="0012530E" w:rsidP="00B64BD0">
      <w:pPr>
        <w:tabs>
          <w:tab w:val="left" w:pos="2898"/>
        </w:tabs>
        <w:ind w:firstLine="709"/>
        <w:jc w:val="both"/>
        <w:rPr>
          <w:b/>
          <w:bCs/>
          <w:color w:val="000000"/>
          <w:lang w:eastAsia="lt-LT"/>
        </w:rPr>
      </w:pPr>
      <w:r w:rsidRPr="00651104">
        <w:rPr>
          <w:b/>
          <w:bCs/>
          <w:color w:val="000000"/>
          <w:lang w:eastAsia="lt-LT"/>
        </w:rPr>
        <w:t xml:space="preserve">b) </w:t>
      </w:r>
      <w:bookmarkStart w:id="460" w:name="_Hlk204676714"/>
      <w:r w:rsidRPr="00651104">
        <w:rPr>
          <w:b/>
          <w:bCs/>
          <w:color w:val="000000"/>
          <w:lang w:eastAsia="lt-LT"/>
        </w:rPr>
        <w:t>stipendijos mokėjimo laikotarpiu stipendijos gavėjas nevaldo daugiau kaip 10 procentų stipendiją mokančio vieneto akcijų (dalių, pajų)</w:t>
      </w:r>
      <w:bookmarkEnd w:id="460"/>
      <w:r w:rsidRPr="00651104">
        <w:rPr>
          <w:b/>
          <w:bCs/>
          <w:color w:val="000000"/>
          <w:lang w:eastAsia="lt-LT"/>
        </w:rPr>
        <w:t xml:space="preserve">, nėra šio vieneto darbuotojas arba </w:t>
      </w:r>
      <w:bookmarkStart w:id="461" w:name="_Hlk204676918"/>
      <w:r w:rsidRPr="00651104">
        <w:rPr>
          <w:b/>
          <w:bCs/>
          <w:color w:val="000000"/>
          <w:lang w:eastAsia="lt-LT"/>
        </w:rPr>
        <w:t>stipendiją mokančio vieneto dalyvio, valdančio daugiau kaip 10 procentų akcijų (dalių, pajų), arba darbuotojo šeimos narys (sutuoktinis, vaikas (įvaikis)</w:t>
      </w:r>
      <w:bookmarkEnd w:id="461"/>
      <w:r w:rsidRPr="00651104">
        <w:rPr>
          <w:b/>
          <w:bCs/>
          <w:color w:val="000000"/>
          <w:lang w:eastAsia="lt-LT"/>
        </w:rPr>
        <w:t>, ir</w:t>
      </w:r>
    </w:p>
    <w:p w14:paraId="2AB5D88C" w14:textId="77777777" w:rsidR="0012530E" w:rsidRPr="00651104" w:rsidRDefault="0012530E" w:rsidP="00B64BD0">
      <w:pPr>
        <w:tabs>
          <w:tab w:val="left" w:pos="2898"/>
        </w:tabs>
        <w:ind w:firstLine="709"/>
        <w:jc w:val="both"/>
        <w:rPr>
          <w:b/>
          <w:bCs/>
          <w:color w:val="000000"/>
          <w:lang w:eastAsia="lt-LT"/>
        </w:rPr>
      </w:pPr>
      <w:r w:rsidRPr="00651104">
        <w:rPr>
          <w:b/>
          <w:bCs/>
          <w:color w:val="000000"/>
          <w:lang w:eastAsia="lt-LT"/>
        </w:rPr>
        <w:t>c) tokia stipendija nėra susijusi su stipendijos gavėjo šiam vienetui atliktais arba atliekamais darbais, suteiktomis arba teikiamomis paslaugomis, ir</w:t>
      </w:r>
    </w:p>
    <w:p w14:paraId="1D413EC4" w14:textId="77777777" w:rsidR="0012530E" w:rsidRPr="00B64BD0" w:rsidRDefault="0012530E" w:rsidP="00B64BD0">
      <w:pPr>
        <w:tabs>
          <w:tab w:val="left" w:pos="2898"/>
        </w:tabs>
        <w:ind w:firstLine="709"/>
        <w:jc w:val="both"/>
        <w:rPr>
          <w:rStyle w:val="normal-h"/>
          <w:b/>
          <w:bCs/>
          <w:color w:val="000000"/>
          <w:lang w:eastAsia="lt-LT"/>
        </w:rPr>
      </w:pPr>
      <w:r w:rsidRPr="00651104">
        <w:rPr>
          <w:b/>
          <w:bCs/>
          <w:color w:val="000000"/>
          <w:lang w:eastAsia="lt-LT"/>
        </w:rPr>
        <w:t xml:space="preserve">d) metinė stipendijos suma neviršija 2 500 eurų per mokestinį laikotarpį; </w:t>
      </w:r>
    </w:p>
    <w:p w14:paraId="6B1198C0" w14:textId="77777777" w:rsidR="0012530E" w:rsidRPr="00651104" w:rsidRDefault="0012530E" w:rsidP="00B64BD0">
      <w:pPr>
        <w:pStyle w:val="normal-p"/>
        <w:tabs>
          <w:tab w:val="left" w:pos="2898"/>
        </w:tabs>
        <w:spacing w:before="0" w:beforeAutospacing="0" w:after="0" w:afterAutospacing="0"/>
        <w:jc w:val="both"/>
        <w:rPr>
          <w:rStyle w:val="normal-h"/>
          <w:i/>
        </w:rPr>
      </w:pPr>
      <w:r w:rsidRPr="00651104">
        <w:rPr>
          <w:rStyle w:val="normal-h"/>
          <w:i/>
        </w:rPr>
        <w:t>KEISTA:</w:t>
      </w:r>
      <w:r>
        <w:rPr>
          <w:rStyle w:val="normal-h"/>
          <w:i/>
        </w:rPr>
        <w:t xml:space="preserve"> </w:t>
      </w:r>
      <w:r w:rsidRPr="00651104">
        <w:rPr>
          <w:rStyle w:val="normal-h"/>
          <w:i/>
        </w:rPr>
        <w:t>2025</w:t>
      </w:r>
      <w:r>
        <w:rPr>
          <w:rStyle w:val="normal-h"/>
          <w:i/>
        </w:rPr>
        <w:t>-</w:t>
      </w:r>
      <w:r w:rsidRPr="00651104">
        <w:rPr>
          <w:rStyle w:val="normal-h"/>
          <w:i/>
        </w:rPr>
        <w:t>06</w:t>
      </w:r>
      <w:r>
        <w:rPr>
          <w:rStyle w:val="normal-h"/>
          <w:i/>
        </w:rPr>
        <w:t>-</w:t>
      </w:r>
      <w:r w:rsidRPr="00651104">
        <w:rPr>
          <w:rStyle w:val="normal-h"/>
          <w:i/>
        </w:rPr>
        <w:t>17 įstatymu Nr. XV-285 (nuo 2026</w:t>
      </w:r>
      <w:r>
        <w:rPr>
          <w:rStyle w:val="normal-h"/>
          <w:i/>
        </w:rPr>
        <w:t>-</w:t>
      </w:r>
      <w:r w:rsidRPr="00651104">
        <w:rPr>
          <w:rStyle w:val="normal-h"/>
          <w:i/>
        </w:rPr>
        <w:t>01</w:t>
      </w:r>
      <w:r>
        <w:rPr>
          <w:rStyle w:val="normal-h"/>
          <w:i/>
        </w:rPr>
        <w:t>-</w:t>
      </w:r>
      <w:r w:rsidRPr="00651104">
        <w:rPr>
          <w:rStyle w:val="normal-h"/>
          <w:i/>
        </w:rPr>
        <w:t>01)</w:t>
      </w:r>
      <w:r>
        <w:rPr>
          <w:rStyle w:val="normal-h"/>
          <w:i/>
        </w:rPr>
        <w:t xml:space="preserve">, </w:t>
      </w:r>
      <w:r w:rsidRPr="00651104">
        <w:rPr>
          <w:rStyle w:val="normal-h"/>
          <w:i/>
        </w:rPr>
        <w:t>nuostatos taikomos apskaičiuojant ir deklaruojant 2026 metų ir vėlesnių mokestinių laikotarpių pelno mokestį</w:t>
      </w:r>
      <w:r>
        <w:rPr>
          <w:rStyle w:val="normal-h"/>
          <w:i/>
        </w:rPr>
        <w:t>.</w:t>
      </w:r>
    </w:p>
    <w:p w14:paraId="1D1DFCC2" w14:textId="77777777" w:rsidR="0012530E" w:rsidRDefault="0012530E" w:rsidP="00B64BD0">
      <w:pPr>
        <w:tabs>
          <w:tab w:val="left" w:pos="720"/>
          <w:tab w:val="left" w:pos="1080"/>
          <w:tab w:val="left" w:pos="2898"/>
        </w:tabs>
        <w:jc w:val="both"/>
        <w:rPr>
          <w:b/>
          <w:bCs/>
          <w:color w:val="000000"/>
          <w:lang w:eastAsia="lt-LT"/>
        </w:rPr>
      </w:pPr>
    </w:p>
    <w:p w14:paraId="22764D75" w14:textId="77777777" w:rsidR="0012530E" w:rsidRDefault="0012530E" w:rsidP="00B64BD0">
      <w:pPr>
        <w:tabs>
          <w:tab w:val="left" w:pos="720"/>
          <w:tab w:val="left" w:pos="1080"/>
          <w:tab w:val="left" w:pos="2898"/>
        </w:tabs>
        <w:jc w:val="both"/>
        <w:rPr>
          <w:b/>
          <w:bCs/>
          <w:color w:val="000000"/>
          <w:lang w:eastAsia="lt-LT"/>
        </w:rPr>
      </w:pPr>
      <w:r>
        <w:rPr>
          <w:b/>
          <w:bCs/>
          <w:color w:val="000000"/>
          <w:lang w:eastAsia="lt-LT"/>
        </w:rPr>
        <w:t>Komentaras</w:t>
      </w:r>
    </w:p>
    <w:p w14:paraId="2F865713" w14:textId="77777777" w:rsidR="0012530E" w:rsidRPr="000B4C8B" w:rsidRDefault="0012530E" w:rsidP="00B64BD0">
      <w:pPr>
        <w:pStyle w:val="Sraopastraipa"/>
        <w:numPr>
          <w:ilvl w:val="0"/>
          <w:numId w:val="96"/>
        </w:numPr>
        <w:tabs>
          <w:tab w:val="left" w:pos="426"/>
          <w:tab w:val="left" w:pos="1080"/>
          <w:tab w:val="left" w:pos="2898"/>
        </w:tabs>
        <w:spacing w:line="360" w:lineRule="atLeast"/>
        <w:ind w:hanging="720"/>
        <w:jc w:val="both"/>
        <w:rPr>
          <w:bCs/>
          <w:color w:val="000000"/>
          <w:lang w:eastAsia="lt-LT"/>
        </w:rPr>
      </w:pPr>
      <w:r w:rsidRPr="000B4C8B">
        <w:rPr>
          <w:rFonts w:eastAsia="Calibri"/>
          <w:bCs/>
          <w:color w:val="000000"/>
        </w:rPr>
        <w:t>Mokestiniu laikotarpiu iš pajamų gali būti atskaitomos vieneto tiesiogiai mokamos stipendijos</w:t>
      </w:r>
      <w:bookmarkStart w:id="462" w:name="_Hlk204677051"/>
      <w:r w:rsidRPr="000B4C8B">
        <w:rPr>
          <w:bCs/>
          <w:color w:val="000000"/>
          <w:lang w:eastAsia="lt-LT"/>
        </w:rPr>
        <w:t xml:space="preserve">:  </w:t>
      </w:r>
      <w:bookmarkEnd w:id="462"/>
    </w:p>
    <w:p w14:paraId="4FC73803" w14:textId="77777777" w:rsidR="0012530E" w:rsidRPr="000B4C8B" w:rsidRDefault="0012530E" w:rsidP="00B64BD0">
      <w:pPr>
        <w:tabs>
          <w:tab w:val="left" w:pos="720"/>
          <w:tab w:val="left" w:pos="1080"/>
          <w:tab w:val="left" w:pos="2898"/>
        </w:tabs>
        <w:jc w:val="both"/>
        <w:rPr>
          <w:bCs/>
          <w:color w:val="000000"/>
          <w:lang w:eastAsia="lt-LT"/>
        </w:rPr>
      </w:pPr>
      <w:r w:rsidRPr="000B4C8B">
        <w:rPr>
          <w:rFonts w:eastAsia="Calibri"/>
          <w:bCs/>
          <w:color w:val="000000"/>
        </w:rPr>
        <w:t xml:space="preserve">Europos ekonominės erdvės valstybių ar valstybių, su kuriomis Lietuvos Respublika yra sudariusi ir taiko dvigubo apmokestinimo išvengimo sutartis, aukštųjų mokyklų studentams, kurie </w:t>
      </w:r>
      <w:r w:rsidRPr="000B4C8B">
        <w:rPr>
          <w:iCs/>
          <w:color w:val="000000"/>
        </w:rPr>
        <w:t>studijuoja pagal matematikos, gyvybės, inžinerijos ar technologijų mokslų studijų krypčių grupės studijų programas ir baigus šias studijų programas įgyjama aukštojo mokslo kvalifikacija  susijusi</w:t>
      </w:r>
      <w:r w:rsidRPr="000B4C8B">
        <w:rPr>
          <w:color w:val="000000"/>
        </w:rPr>
        <w:t xml:space="preserve">  </w:t>
      </w:r>
      <w:r w:rsidRPr="000B4C8B">
        <w:rPr>
          <w:rFonts w:eastAsia="Calibri"/>
          <w:bCs/>
          <w:color w:val="000000"/>
        </w:rPr>
        <w:t>su vieneto vykdoma veikla, ir jeigu:</w:t>
      </w:r>
    </w:p>
    <w:p w14:paraId="28BCA934" w14:textId="77777777" w:rsidR="0012530E" w:rsidRPr="000B4C8B" w:rsidRDefault="0012530E" w:rsidP="00B64BD0">
      <w:pPr>
        <w:pStyle w:val="Sraopastraipa"/>
        <w:numPr>
          <w:ilvl w:val="0"/>
          <w:numId w:val="97"/>
        </w:numPr>
        <w:tabs>
          <w:tab w:val="left" w:pos="720"/>
          <w:tab w:val="left" w:pos="1080"/>
          <w:tab w:val="left" w:pos="2898"/>
        </w:tabs>
        <w:ind w:hanging="720"/>
        <w:jc w:val="both"/>
        <w:rPr>
          <w:bCs/>
          <w:color w:val="000000"/>
          <w:lang w:eastAsia="lt-LT"/>
        </w:rPr>
      </w:pPr>
      <w:r w:rsidRPr="000B4C8B">
        <w:rPr>
          <w:bCs/>
          <w:color w:val="000000"/>
          <w:lang w:eastAsia="lt-LT"/>
        </w:rPr>
        <w:t>tarp vieneto, aukštosios mokyklos ir studento sudaroma trišalė sutartis, ir</w:t>
      </w:r>
    </w:p>
    <w:p w14:paraId="68B3E8C2" w14:textId="77777777" w:rsidR="0012530E" w:rsidRPr="000B4C8B" w:rsidRDefault="0012530E" w:rsidP="00B64BD0">
      <w:pPr>
        <w:pStyle w:val="Sraopastraipa"/>
        <w:numPr>
          <w:ilvl w:val="0"/>
          <w:numId w:val="97"/>
        </w:numPr>
        <w:tabs>
          <w:tab w:val="left" w:pos="720"/>
          <w:tab w:val="left" w:pos="1080"/>
          <w:tab w:val="left" w:pos="2898"/>
        </w:tabs>
        <w:ind w:hanging="720"/>
        <w:jc w:val="both"/>
        <w:rPr>
          <w:bCs/>
          <w:color w:val="000000"/>
          <w:lang w:eastAsia="lt-LT"/>
        </w:rPr>
      </w:pPr>
      <w:r w:rsidRPr="000B4C8B">
        <w:rPr>
          <w:bCs/>
          <w:color w:val="000000"/>
          <w:lang w:eastAsia="lt-LT"/>
        </w:rPr>
        <w:t xml:space="preserve">stipendijos mokėjimo laikotarpiu stipendijos gavėjas (studentas) </w:t>
      </w:r>
      <w:bookmarkStart w:id="463" w:name="_Hlk209177081"/>
      <w:r w:rsidRPr="000B4C8B">
        <w:rPr>
          <w:bCs/>
          <w:color w:val="000000"/>
          <w:lang w:eastAsia="lt-LT"/>
        </w:rPr>
        <w:t>nevaldo daugiau kaip 10 procentų stipendiją mokančio vieneto akcijų (dalių, pajų)</w:t>
      </w:r>
      <w:bookmarkEnd w:id="463"/>
      <w:r w:rsidRPr="000B4C8B">
        <w:rPr>
          <w:bCs/>
          <w:color w:val="000000"/>
          <w:lang w:eastAsia="lt-LT"/>
        </w:rPr>
        <w:t>, ir</w:t>
      </w:r>
    </w:p>
    <w:p w14:paraId="58F55582" w14:textId="77777777" w:rsidR="0012530E" w:rsidRPr="000B4C8B" w:rsidRDefault="0012530E" w:rsidP="00B64BD0">
      <w:pPr>
        <w:pStyle w:val="Sraopastraipa"/>
        <w:numPr>
          <w:ilvl w:val="0"/>
          <w:numId w:val="97"/>
        </w:numPr>
        <w:tabs>
          <w:tab w:val="left" w:pos="720"/>
          <w:tab w:val="left" w:pos="1080"/>
          <w:tab w:val="left" w:pos="2898"/>
        </w:tabs>
        <w:ind w:hanging="720"/>
        <w:jc w:val="both"/>
        <w:rPr>
          <w:bCs/>
          <w:color w:val="000000"/>
          <w:lang w:eastAsia="lt-LT"/>
        </w:rPr>
      </w:pPr>
      <w:r w:rsidRPr="000B4C8B">
        <w:rPr>
          <w:bCs/>
          <w:color w:val="000000"/>
          <w:lang w:eastAsia="lt-LT"/>
        </w:rPr>
        <w:t>studentas nėra šio vieneto darbuotojas, ir</w:t>
      </w:r>
    </w:p>
    <w:p w14:paraId="56DE3FCE" w14:textId="77777777" w:rsidR="0012530E" w:rsidRPr="000B4C8B" w:rsidRDefault="0012530E" w:rsidP="00B64BD0">
      <w:pPr>
        <w:pStyle w:val="Sraopastraipa"/>
        <w:numPr>
          <w:ilvl w:val="0"/>
          <w:numId w:val="97"/>
        </w:numPr>
        <w:tabs>
          <w:tab w:val="left" w:pos="709"/>
          <w:tab w:val="left" w:pos="2898"/>
        </w:tabs>
        <w:ind w:left="709" w:hanging="349"/>
        <w:jc w:val="both"/>
        <w:rPr>
          <w:bCs/>
          <w:color w:val="000000"/>
          <w:lang w:eastAsia="lt-LT"/>
        </w:rPr>
      </w:pPr>
      <w:r w:rsidRPr="000B4C8B">
        <w:rPr>
          <w:bCs/>
          <w:color w:val="000000"/>
          <w:lang w:eastAsia="lt-LT"/>
        </w:rPr>
        <w:t xml:space="preserve">studentas nėra stipendiją mokančio vieneto </w:t>
      </w:r>
      <w:bookmarkStart w:id="464" w:name="_Hlk209177280"/>
      <w:r w:rsidRPr="000B4C8B">
        <w:rPr>
          <w:bCs/>
          <w:color w:val="000000"/>
          <w:lang w:eastAsia="lt-LT"/>
        </w:rPr>
        <w:t xml:space="preserve">dalyvio, </w:t>
      </w:r>
      <w:bookmarkStart w:id="465" w:name="_Hlk209177176"/>
      <w:r w:rsidRPr="000B4C8B">
        <w:rPr>
          <w:bCs/>
          <w:color w:val="000000"/>
          <w:lang w:eastAsia="lt-LT"/>
        </w:rPr>
        <w:t>valdančio daugiau kaip 10 procentų akcijų (dalių, pajų), arba darbuotojo šeimos narys (sutuoktinis, vaikas (įvaikis)</w:t>
      </w:r>
      <w:bookmarkEnd w:id="464"/>
      <w:r w:rsidRPr="000B4C8B">
        <w:rPr>
          <w:bCs/>
          <w:color w:val="000000"/>
          <w:lang w:eastAsia="lt-LT"/>
        </w:rPr>
        <w:t>, ir</w:t>
      </w:r>
      <w:bookmarkEnd w:id="465"/>
    </w:p>
    <w:p w14:paraId="2742AB09" w14:textId="77777777" w:rsidR="0012530E" w:rsidRPr="000B4C8B" w:rsidRDefault="0012530E" w:rsidP="00B64BD0">
      <w:pPr>
        <w:pStyle w:val="Sraopastraipa"/>
        <w:numPr>
          <w:ilvl w:val="0"/>
          <w:numId w:val="97"/>
        </w:numPr>
        <w:tabs>
          <w:tab w:val="left" w:pos="709"/>
          <w:tab w:val="left" w:pos="2898"/>
        </w:tabs>
        <w:ind w:left="709" w:hanging="349"/>
        <w:jc w:val="both"/>
        <w:rPr>
          <w:bCs/>
          <w:color w:val="000000"/>
          <w:lang w:eastAsia="lt-LT"/>
        </w:rPr>
      </w:pPr>
      <w:r w:rsidRPr="000B4C8B">
        <w:rPr>
          <w:bCs/>
          <w:color w:val="000000"/>
          <w:lang w:eastAsia="lt-LT"/>
        </w:rPr>
        <w:t>stipendija nesusijusi su stipendiją mokančiam vienetui atliktais darbais ar paslaugomis, ir</w:t>
      </w:r>
    </w:p>
    <w:p w14:paraId="43A85302" w14:textId="77777777" w:rsidR="0012530E" w:rsidRPr="000B4C8B" w:rsidRDefault="0012530E" w:rsidP="00B64BD0">
      <w:pPr>
        <w:pStyle w:val="Sraopastraipa"/>
        <w:numPr>
          <w:ilvl w:val="0"/>
          <w:numId w:val="97"/>
        </w:numPr>
        <w:tabs>
          <w:tab w:val="left" w:pos="720"/>
          <w:tab w:val="left" w:pos="1080"/>
          <w:tab w:val="left" w:pos="2898"/>
        </w:tabs>
        <w:ind w:hanging="720"/>
        <w:jc w:val="both"/>
        <w:rPr>
          <w:bCs/>
          <w:color w:val="000000"/>
          <w:lang w:eastAsia="lt-LT"/>
        </w:rPr>
      </w:pPr>
      <w:r w:rsidRPr="000B4C8B">
        <w:rPr>
          <w:bCs/>
          <w:color w:val="000000"/>
          <w:lang w:eastAsia="lt-LT"/>
        </w:rPr>
        <w:t>metinė stipendijos suma neviršija 2 500 eurų.</w:t>
      </w:r>
    </w:p>
    <w:p w14:paraId="2B854C4B" w14:textId="77777777" w:rsidR="0012530E" w:rsidRPr="000B4C8B" w:rsidRDefault="0012530E" w:rsidP="00B64BD0">
      <w:pPr>
        <w:pStyle w:val="Sraopastraipa"/>
        <w:numPr>
          <w:ilvl w:val="0"/>
          <w:numId w:val="96"/>
        </w:numPr>
        <w:tabs>
          <w:tab w:val="left" w:pos="720"/>
          <w:tab w:val="left" w:pos="1080"/>
          <w:tab w:val="left" w:pos="2898"/>
        </w:tabs>
        <w:ind w:left="360" w:hanging="720"/>
        <w:jc w:val="both"/>
        <w:rPr>
          <w:bCs/>
          <w:color w:val="000000"/>
          <w:lang w:eastAsia="lt-LT"/>
        </w:rPr>
      </w:pPr>
      <w:bookmarkStart w:id="466" w:name="_Hlk204678004"/>
      <w:r w:rsidRPr="000B4C8B">
        <w:rPr>
          <w:bCs/>
          <w:color w:val="000000"/>
          <w:lang w:eastAsia="lt-LT"/>
        </w:rPr>
        <w:t>Aukštųjų mokyklų studentams mokamas stipendijas priskiriant konkretaus mokestinio laikotarpio leidžiamiems atskaitymams, turi būti įvertinama, ar jos tą mokestinį laikotarpį atitinka minėtame punkte įtvirtintus reikalavimus, t. y. reikalavimų atitikimas vertinamas  kiekvieną mokestinį laikotarpį.</w:t>
      </w:r>
    </w:p>
    <w:p w14:paraId="33CCA78C" w14:textId="77777777" w:rsidR="0012530E" w:rsidRPr="000B4C8B" w:rsidRDefault="0012530E" w:rsidP="00B64BD0">
      <w:pPr>
        <w:pStyle w:val="Sraopastraipa"/>
        <w:numPr>
          <w:ilvl w:val="0"/>
          <w:numId w:val="96"/>
        </w:numPr>
        <w:tabs>
          <w:tab w:val="left" w:pos="720"/>
          <w:tab w:val="left" w:pos="1080"/>
          <w:tab w:val="left" w:pos="2898"/>
        </w:tabs>
        <w:ind w:left="360" w:hanging="720"/>
        <w:jc w:val="both"/>
        <w:rPr>
          <w:bCs/>
          <w:color w:val="000000"/>
          <w:lang w:eastAsia="lt-LT"/>
        </w:rPr>
      </w:pPr>
      <w:r w:rsidRPr="000B4C8B">
        <w:t xml:space="preserve">Studijų programų, kurias baigus </w:t>
      </w:r>
      <w:r w:rsidRPr="000B4C8B">
        <w:rPr>
          <w:iCs/>
          <w:color w:val="000000"/>
        </w:rPr>
        <w:t xml:space="preserve">įgyjama aukštojo mokslo kvalifikacija, </w:t>
      </w:r>
      <w:r w:rsidRPr="000B4C8B">
        <w:rPr>
          <w:bCs/>
        </w:rPr>
        <w:t>turinys turi tiesiogiai atitikti</w:t>
      </w:r>
      <w:r w:rsidRPr="000B4C8B">
        <w:t xml:space="preserve"> konkretaus vieneto vykdomos veiklos specifiką. D</w:t>
      </w:r>
      <w:r w:rsidRPr="000B4C8B">
        <w:rPr>
          <w:rFonts w:eastAsia="MS Mincho"/>
          <w:noProof/>
          <w:lang w:eastAsia="ja-JP"/>
        </w:rPr>
        <w:t xml:space="preserve">okumentais, patvirtinančiais studijų programų turinį, galėtų būti </w:t>
      </w:r>
      <w:r w:rsidRPr="000B4C8B">
        <w:rPr>
          <w:bCs/>
          <w:color w:val="000000"/>
          <w:lang w:eastAsia="lt-LT"/>
        </w:rPr>
        <w:t xml:space="preserve">studijų programų aprašai,  planai ar kiti aukštosios mokyklos dokumentai. </w:t>
      </w:r>
      <w:bookmarkEnd w:id="466"/>
      <w:r w:rsidRPr="000B4C8B">
        <w:rPr>
          <w:bCs/>
          <w:color w:val="000000"/>
          <w:lang w:eastAsia="lt-LT"/>
        </w:rPr>
        <w:tab/>
      </w:r>
    </w:p>
    <w:p w14:paraId="4D447894" w14:textId="77777777" w:rsidR="0012530E" w:rsidRPr="000B4C8B" w:rsidRDefault="0012530E" w:rsidP="00B64BD0">
      <w:pPr>
        <w:pStyle w:val="Sraopastraipa"/>
        <w:tabs>
          <w:tab w:val="left" w:pos="2898"/>
        </w:tabs>
        <w:rPr>
          <w:bCs/>
          <w:color w:val="000000"/>
          <w:lang w:eastAsia="lt-LT"/>
        </w:rPr>
      </w:pPr>
    </w:p>
    <w:p w14:paraId="56D2B3FC" w14:textId="77777777" w:rsidR="0012530E" w:rsidRPr="000B4C8B" w:rsidRDefault="0012530E" w:rsidP="00B64BD0">
      <w:pPr>
        <w:pStyle w:val="Sraopastraipa"/>
        <w:tabs>
          <w:tab w:val="left" w:pos="720"/>
          <w:tab w:val="left" w:pos="1080"/>
          <w:tab w:val="left" w:pos="2898"/>
        </w:tabs>
        <w:ind w:left="360"/>
        <w:jc w:val="both"/>
        <w:rPr>
          <w:bCs/>
          <w:color w:val="000000"/>
          <w:lang w:eastAsia="lt-LT"/>
        </w:rPr>
      </w:pPr>
      <w:r w:rsidRPr="000B4C8B">
        <w:rPr>
          <w:bCs/>
          <w:color w:val="000000"/>
          <w:lang w:eastAsia="lt-LT"/>
        </w:rPr>
        <w:t>Pavyzdys</w:t>
      </w:r>
    </w:p>
    <w:p w14:paraId="6C4FABCD" w14:textId="77777777" w:rsidR="0012530E" w:rsidRPr="000B4C8B" w:rsidRDefault="0012530E" w:rsidP="00B64BD0">
      <w:pPr>
        <w:tabs>
          <w:tab w:val="left" w:pos="720"/>
          <w:tab w:val="left" w:pos="1080"/>
          <w:tab w:val="left" w:pos="2898"/>
        </w:tabs>
        <w:ind w:left="360"/>
        <w:jc w:val="both"/>
        <w:rPr>
          <w:bCs/>
          <w:color w:val="000000"/>
          <w:lang w:eastAsia="lt-LT"/>
        </w:rPr>
      </w:pPr>
    </w:p>
    <w:p w14:paraId="477ECED5"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bookmarkStart w:id="467" w:name="_Hlk209176904"/>
      <w:bookmarkStart w:id="468" w:name="_Hlk214353956"/>
      <w:r w:rsidRPr="000B4C8B">
        <w:rPr>
          <w:bCs/>
          <w:color w:val="000000"/>
          <w:lang w:eastAsia="lt-LT"/>
        </w:rPr>
        <w:t>UAB „X“</w:t>
      </w:r>
      <w:bookmarkEnd w:id="467"/>
      <w:r w:rsidRPr="000B4C8B">
        <w:rPr>
          <w:bCs/>
          <w:color w:val="000000"/>
          <w:lang w:eastAsia="lt-LT"/>
        </w:rPr>
        <w:t xml:space="preserve">, užsiima naujų technologijų kūrimu ir inžineriniais sprendimais. Siekdama pritraukti perspektyvių talentų, UAB „X“ nusprendžia skirti stipendiją jaunajai inžinierių kartai ir šį siekį skirti stipendiją </w:t>
      </w:r>
      <w:r>
        <w:rPr>
          <w:bCs/>
          <w:color w:val="000000"/>
          <w:lang w:eastAsia="lt-LT"/>
        </w:rPr>
        <w:t xml:space="preserve">studentui </w:t>
      </w:r>
      <w:r w:rsidRPr="000B4C8B">
        <w:rPr>
          <w:bCs/>
          <w:color w:val="000000"/>
          <w:lang w:eastAsia="lt-LT"/>
        </w:rPr>
        <w:t>įformina įsakymu.</w:t>
      </w:r>
    </w:p>
    <w:p w14:paraId="66D1A8DA"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1447AD7B"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lastRenderedPageBreak/>
        <w:t>Tarkime, kad</w:t>
      </w:r>
      <w:r>
        <w:rPr>
          <w:bCs/>
          <w:color w:val="000000"/>
          <w:lang w:eastAsia="lt-LT"/>
        </w:rPr>
        <w:t xml:space="preserve"> stipendija skiriama</w:t>
      </w:r>
      <w:r w:rsidRPr="000B4C8B">
        <w:rPr>
          <w:bCs/>
          <w:color w:val="000000"/>
          <w:lang w:eastAsia="lt-LT"/>
        </w:rPr>
        <w:t xml:space="preserve"> student</w:t>
      </w:r>
      <w:r>
        <w:rPr>
          <w:bCs/>
          <w:color w:val="000000"/>
          <w:lang w:eastAsia="lt-LT"/>
        </w:rPr>
        <w:t>ui</w:t>
      </w:r>
      <w:r w:rsidRPr="000B4C8B">
        <w:rPr>
          <w:bCs/>
          <w:color w:val="000000"/>
          <w:lang w:eastAsia="lt-LT"/>
        </w:rPr>
        <w:t xml:space="preserve"> - Gyventojas A, kuris studijuoja Vilniaus Gedimino technikos universitete (VILNIUS TECH) pagal „Mechatronikos inžinerijos“ studijų programą</w:t>
      </w:r>
      <w:r>
        <w:rPr>
          <w:bCs/>
          <w:color w:val="000000"/>
          <w:lang w:eastAsia="lt-LT"/>
        </w:rPr>
        <w:t xml:space="preserve"> (</w:t>
      </w:r>
      <w:r w:rsidRPr="000B4C8B">
        <w:rPr>
          <w:bCs/>
          <w:color w:val="000000"/>
          <w:lang w:eastAsia="lt-LT"/>
        </w:rPr>
        <w:t>inžinerijos mokslų studijų kryptis</w:t>
      </w:r>
      <w:r>
        <w:rPr>
          <w:bCs/>
          <w:color w:val="000000"/>
          <w:lang w:eastAsia="lt-LT"/>
        </w:rPr>
        <w:t>)</w:t>
      </w:r>
      <w:r w:rsidRPr="000B4C8B">
        <w:rPr>
          <w:bCs/>
          <w:color w:val="000000"/>
          <w:lang w:eastAsia="lt-LT"/>
        </w:rPr>
        <w:t>.</w:t>
      </w:r>
    </w:p>
    <w:p w14:paraId="1CD70BF2"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00F2089A"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t xml:space="preserve">UAB „X“, kurios veikla susijusi su mechatronika, robotika ir automatizavimu, sudarė trišalę sutartį: 2026 m. rugsėjo 1 d. pasirašoma trišalė sutartis tarp UAB „X“, VILNIUS TECH ir studento Gyventojo A. Sutartyje numatoma, kad </w:t>
      </w:r>
      <w:r>
        <w:rPr>
          <w:bCs/>
          <w:color w:val="000000"/>
          <w:lang w:eastAsia="lt-LT"/>
        </w:rPr>
        <w:t xml:space="preserve">bendrovė </w:t>
      </w:r>
      <w:r w:rsidRPr="000B4C8B">
        <w:rPr>
          <w:bCs/>
          <w:color w:val="000000"/>
          <w:lang w:eastAsia="lt-LT"/>
        </w:rPr>
        <w:t xml:space="preserve">mokės Gyventojui A stipendiją. Sudarytoje sutartyje įvardinamos stipendijos sąlygos: stipendija mokama 10 mėnesių (rugsėjo – birželio mėn.) po 200 eurų kas mėnesį; bendra metinė suma – 2 000 eurų; stipendija mokama ne už atliktus darbus ar suteiktas paslaugas, o siekiant remti studijas; Gyventojas A nėra </w:t>
      </w:r>
      <w:bookmarkStart w:id="469" w:name="_Hlk209177120"/>
      <w:r w:rsidRPr="000B4C8B">
        <w:rPr>
          <w:bCs/>
          <w:color w:val="000000"/>
          <w:lang w:eastAsia="lt-LT"/>
        </w:rPr>
        <w:t>UAB „X“</w:t>
      </w:r>
      <w:bookmarkEnd w:id="469"/>
      <w:r w:rsidRPr="000B4C8B">
        <w:rPr>
          <w:bCs/>
          <w:color w:val="000000"/>
          <w:lang w:eastAsia="lt-LT"/>
        </w:rPr>
        <w:t xml:space="preserve"> darbuotojas; nevaldo daugiau kaip 10 procentų UAB „X“  akcijų ir nėra UAB „X“ dalyvio, valdančio daugiau kaip 10 procentų akcijų (dalių, pajų), arba darbuotojo šeimos narys (sutuoktinis, vaikas (įvaikis); laikotarpi</w:t>
      </w:r>
      <w:r>
        <w:rPr>
          <w:bCs/>
          <w:color w:val="000000"/>
          <w:lang w:eastAsia="lt-LT"/>
        </w:rPr>
        <w:t>u</w:t>
      </w:r>
      <w:r w:rsidRPr="000B4C8B">
        <w:rPr>
          <w:bCs/>
          <w:color w:val="000000"/>
          <w:lang w:eastAsia="lt-LT"/>
        </w:rPr>
        <w:t xml:space="preserve"> 2026 - 2030 m.</w:t>
      </w:r>
      <w:r>
        <w:rPr>
          <w:bCs/>
          <w:color w:val="000000"/>
          <w:lang w:eastAsia="lt-LT"/>
        </w:rPr>
        <w:t xml:space="preserve"> bendrovė</w:t>
      </w:r>
      <w:r w:rsidRPr="000B4C8B">
        <w:rPr>
          <w:bCs/>
          <w:color w:val="000000"/>
          <w:lang w:eastAsia="lt-LT"/>
        </w:rPr>
        <w:t xml:space="preserve"> sumokės Gyventojui A 2 000 eurų stipendiją kiekvienais mokymosi metais.</w:t>
      </w:r>
    </w:p>
    <w:p w14:paraId="6040AC92"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p>
    <w:p w14:paraId="2C2958D3"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720"/>
          <w:tab w:val="left" w:pos="1080"/>
          <w:tab w:val="left" w:pos="2898"/>
        </w:tabs>
        <w:ind w:left="360"/>
        <w:jc w:val="both"/>
        <w:rPr>
          <w:bCs/>
          <w:color w:val="000000"/>
          <w:lang w:eastAsia="lt-LT"/>
        </w:rPr>
      </w:pPr>
      <w:r w:rsidRPr="000B4C8B">
        <w:rPr>
          <w:bCs/>
          <w:color w:val="000000"/>
          <w:lang w:eastAsia="lt-LT"/>
        </w:rPr>
        <w:t xml:space="preserve">Įvertinus kiekvieną mokestinį laikotarpį reikalavimų atitikimą ir nustačius, kad visos sąlygos yra įvykdytos, UAB „X“ turi teisę konkrečiam mokestiniam laikotarpiui tenkančią  stipendijos įmokų sumą įtraukti į leidžiamus atskaitymus. </w:t>
      </w:r>
    </w:p>
    <w:bookmarkEnd w:id="468"/>
    <w:p w14:paraId="4941584A" w14:textId="77777777" w:rsidR="0012530E" w:rsidRPr="000B4C8B" w:rsidRDefault="0012530E" w:rsidP="00B64BD0">
      <w:pPr>
        <w:tabs>
          <w:tab w:val="left" w:pos="720"/>
          <w:tab w:val="left" w:pos="1080"/>
          <w:tab w:val="left" w:pos="2898"/>
        </w:tabs>
        <w:ind w:left="360"/>
        <w:jc w:val="both"/>
        <w:rPr>
          <w:bCs/>
          <w:color w:val="000000"/>
          <w:lang w:eastAsia="lt-LT"/>
        </w:rPr>
      </w:pPr>
    </w:p>
    <w:p w14:paraId="6AE4ED37" w14:textId="77777777" w:rsidR="0012530E" w:rsidRDefault="0012530E" w:rsidP="00B64BD0">
      <w:pPr>
        <w:tabs>
          <w:tab w:val="left" w:pos="720"/>
          <w:tab w:val="left" w:pos="1080"/>
          <w:tab w:val="left" w:pos="2898"/>
        </w:tabs>
        <w:jc w:val="both"/>
        <w:rPr>
          <w:b/>
          <w:bCs/>
          <w:color w:val="000000"/>
          <w:lang w:eastAsia="lt-LT"/>
        </w:rPr>
      </w:pPr>
      <w:r w:rsidRPr="00651104">
        <w:rPr>
          <w:b/>
          <w:bCs/>
          <w:color w:val="000000"/>
          <w:lang w:eastAsia="lt-LT"/>
        </w:rPr>
        <w:t xml:space="preserve">2) tyrėjams, kaip jie apibrėžiami Lietuvos Respublikos mokslo ir studijų įstatyme, vykdantiems mokslinių tyrimų ir eksperimentinės plėtros projektą, kai yra pasirašyta trišalė sutartis tarp vieneto, </w:t>
      </w:r>
      <w:bookmarkStart w:id="470" w:name="_Hlk204677757"/>
      <w:r w:rsidRPr="00651104">
        <w:rPr>
          <w:rFonts w:eastAsia="Calibri"/>
          <w:b/>
          <w:bCs/>
          <w:color w:val="000000"/>
        </w:rPr>
        <w:t>Europos ekonominės erdvės valstybių ar valstybių, su kuriomis Lietuvos Respublika yra sudariusi ir taiko dvigubo apmokestinimo išvengimo sutartis, a</w:t>
      </w:r>
      <w:r w:rsidRPr="00651104">
        <w:rPr>
          <w:b/>
          <w:bCs/>
          <w:color w:val="000000"/>
          <w:lang w:eastAsia="lt-LT"/>
        </w:rPr>
        <w:t xml:space="preserve">ukštosios mokyklos ar mokslinių tyrimų instituto </w:t>
      </w:r>
      <w:bookmarkEnd w:id="470"/>
      <w:r w:rsidRPr="00651104">
        <w:rPr>
          <w:b/>
          <w:bCs/>
          <w:color w:val="000000"/>
          <w:lang w:eastAsia="lt-LT"/>
        </w:rPr>
        <w:t>ir tyrėjo.</w:t>
      </w:r>
    </w:p>
    <w:p w14:paraId="6B6D4B1E" w14:textId="77777777" w:rsidR="0012530E" w:rsidRPr="00651104" w:rsidRDefault="0012530E" w:rsidP="00B64BD0">
      <w:pPr>
        <w:pStyle w:val="normal-p"/>
        <w:tabs>
          <w:tab w:val="left" w:pos="2898"/>
        </w:tabs>
        <w:spacing w:before="0" w:beforeAutospacing="0" w:after="0" w:afterAutospacing="0"/>
        <w:jc w:val="both"/>
        <w:rPr>
          <w:rStyle w:val="normal-h"/>
          <w:i/>
        </w:rPr>
      </w:pPr>
      <w:r w:rsidRPr="00651104">
        <w:rPr>
          <w:rStyle w:val="normal-h"/>
          <w:i/>
        </w:rPr>
        <w:t>KEISTA:</w:t>
      </w:r>
      <w:r>
        <w:rPr>
          <w:rStyle w:val="normal-h"/>
          <w:i/>
        </w:rPr>
        <w:t xml:space="preserve"> </w:t>
      </w:r>
      <w:r w:rsidRPr="00651104">
        <w:rPr>
          <w:rStyle w:val="normal-h"/>
          <w:i/>
        </w:rPr>
        <w:t>2025</w:t>
      </w:r>
      <w:r>
        <w:rPr>
          <w:rStyle w:val="normal-h"/>
          <w:i/>
        </w:rPr>
        <w:t>-</w:t>
      </w:r>
      <w:r w:rsidRPr="00651104">
        <w:rPr>
          <w:rStyle w:val="normal-h"/>
          <w:i/>
        </w:rPr>
        <w:t>06</w:t>
      </w:r>
      <w:r>
        <w:rPr>
          <w:rStyle w:val="normal-h"/>
          <w:i/>
        </w:rPr>
        <w:t>-</w:t>
      </w:r>
      <w:r w:rsidRPr="00651104">
        <w:rPr>
          <w:rStyle w:val="normal-h"/>
          <w:i/>
        </w:rPr>
        <w:t>17 įstatymu Nr. XV-285 (nuo 2026</w:t>
      </w:r>
      <w:r>
        <w:rPr>
          <w:rStyle w:val="normal-h"/>
          <w:i/>
        </w:rPr>
        <w:t>-</w:t>
      </w:r>
      <w:r w:rsidRPr="00651104">
        <w:rPr>
          <w:rStyle w:val="normal-h"/>
          <w:i/>
        </w:rPr>
        <w:t>01</w:t>
      </w:r>
      <w:r>
        <w:rPr>
          <w:rStyle w:val="normal-h"/>
          <w:i/>
        </w:rPr>
        <w:t>-</w:t>
      </w:r>
      <w:r w:rsidRPr="00651104">
        <w:rPr>
          <w:rStyle w:val="normal-h"/>
          <w:i/>
        </w:rPr>
        <w:t>01)</w:t>
      </w:r>
      <w:r>
        <w:rPr>
          <w:rStyle w:val="normal-h"/>
          <w:i/>
        </w:rPr>
        <w:t xml:space="preserve">, </w:t>
      </w:r>
      <w:r w:rsidRPr="00651104">
        <w:rPr>
          <w:rStyle w:val="normal-h"/>
          <w:i/>
        </w:rPr>
        <w:t>nuostatos taikomos apskaičiuojant ir deklaruojant 2026 metų ir vėlesnių mokestinių laikotarpių pelno mokestį</w:t>
      </w:r>
      <w:r>
        <w:rPr>
          <w:rStyle w:val="normal-h"/>
          <w:i/>
        </w:rPr>
        <w:t>.</w:t>
      </w:r>
    </w:p>
    <w:p w14:paraId="5AE7ACB7" w14:textId="77777777" w:rsidR="0012530E" w:rsidRDefault="0012530E" w:rsidP="00B64BD0">
      <w:pPr>
        <w:tabs>
          <w:tab w:val="left" w:pos="720"/>
          <w:tab w:val="left" w:pos="1080"/>
          <w:tab w:val="left" w:pos="2898"/>
        </w:tabs>
        <w:jc w:val="both"/>
        <w:rPr>
          <w:b/>
        </w:rPr>
      </w:pPr>
    </w:p>
    <w:p w14:paraId="04D9DB33" w14:textId="77777777" w:rsidR="0012530E" w:rsidRDefault="0012530E" w:rsidP="00B64BD0">
      <w:pPr>
        <w:tabs>
          <w:tab w:val="left" w:pos="720"/>
          <w:tab w:val="left" w:pos="1080"/>
          <w:tab w:val="left" w:pos="2898"/>
        </w:tabs>
        <w:jc w:val="both"/>
        <w:rPr>
          <w:b/>
        </w:rPr>
      </w:pPr>
      <w:r>
        <w:rPr>
          <w:b/>
        </w:rPr>
        <w:t>Komentaras</w:t>
      </w:r>
    </w:p>
    <w:p w14:paraId="34BAEA87" w14:textId="77777777" w:rsidR="0012530E" w:rsidRPr="000B4C8B" w:rsidRDefault="0012530E" w:rsidP="00B64BD0">
      <w:pPr>
        <w:pStyle w:val="prastasiniatinklio"/>
        <w:numPr>
          <w:ilvl w:val="0"/>
          <w:numId w:val="98"/>
        </w:numPr>
        <w:tabs>
          <w:tab w:val="clear" w:pos="720"/>
          <w:tab w:val="num" w:pos="426"/>
          <w:tab w:val="left" w:pos="993"/>
          <w:tab w:val="left" w:pos="2898"/>
        </w:tabs>
        <w:spacing w:line="240" w:lineRule="auto"/>
        <w:ind w:left="0" w:firstLine="0"/>
        <w:jc w:val="both"/>
      </w:pPr>
      <w:r w:rsidRPr="000B4C8B">
        <w:t xml:space="preserve">Skatinant mokslinius tyrimus ir eksperimentinę plėtrą (MTEP), </w:t>
      </w:r>
      <w:r w:rsidRPr="000B4C8B">
        <w:rPr>
          <w:bCs/>
        </w:rPr>
        <w:t>vienetai gali atskaityti iš savo apmokestinamųjų pajamų tiesiogiai tyrėjams mokamas stipendijas</w:t>
      </w:r>
      <w:r w:rsidRPr="000B4C8B">
        <w:t>, jei tenkinamos šios sąlygos:</w:t>
      </w:r>
    </w:p>
    <w:p w14:paraId="01C3FCF6" w14:textId="77777777" w:rsidR="0012530E" w:rsidRPr="000B4C8B" w:rsidRDefault="0012530E" w:rsidP="00B64BD0">
      <w:pPr>
        <w:pStyle w:val="prastasiniatinklio"/>
        <w:numPr>
          <w:ilvl w:val="1"/>
          <w:numId w:val="99"/>
        </w:numPr>
        <w:tabs>
          <w:tab w:val="clear" w:pos="1440"/>
          <w:tab w:val="num" w:pos="426"/>
          <w:tab w:val="num" w:pos="993"/>
          <w:tab w:val="left" w:pos="2898"/>
        </w:tabs>
        <w:spacing w:line="240" w:lineRule="auto"/>
        <w:ind w:left="993" w:hanging="273"/>
        <w:jc w:val="both"/>
      </w:pPr>
      <w:r w:rsidRPr="000B4C8B">
        <w:rPr>
          <w:bCs/>
        </w:rPr>
        <w:t>tyrėjai</w:t>
      </w:r>
      <w:r w:rsidRPr="000B4C8B">
        <w:t xml:space="preserve"> atitinka apibrėžimą, nustatytą Lietuvos Respublikos mokslo ir studijų įstatyme; ir</w:t>
      </w:r>
    </w:p>
    <w:p w14:paraId="56CC1A85" w14:textId="77777777" w:rsidR="0012530E" w:rsidRPr="000B4C8B" w:rsidRDefault="0012530E" w:rsidP="00B64BD0">
      <w:pPr>
        <w:pStyle w:val="prastasiniatinklio"/>
        <w:numPr>
          <w:ilvl w:val="1"/>
          <w:numId w:val="99"/>
        </w:numPr>
        <w:tabs>
          <w:tab w:val="clear" w:pos="1440"/>
          <w:tab w:val="num" w:pos="426"/>
          <w:tab w:val="num" w:pos="993"/>
          <w:tab w:val="left" w:pos="2898"/>
        </w:tabs>
        <w:spacing w:line="240" w:lineRule="auto"/>
        <w:ind w:left="993" w:hanging="273"/>
        <w:jc w:val="both"/>
      </w:pPr>
      <w:r w:rsidRPr="000B4C8B">
        <w:rPr>
          <w:bCs/>
          <w:color w:val="000000"/>
        </w:rPr>
        <w:t xml:space="preserve">tarp vieneto, </w:t>
      </w:r>
      <w:r w:rsidRPr="000B4C8B">
        <w:rPr>
          <w:rFonts w:eastAsia="Calibri"/>
          <w:bCs/>
          <w:color w:val="000000"/>
        </w:rPr>
        <w:t>Europos ekonominės erdvės valstybių ar valstybių, su kuriomis Lietuvos Respublika yra sudariusi ir taiko dvigubo apmokestinimo išvengimo sutartis, a</w:t>
      </w:r>
      <w:r w:rsidRPr="000B4C8B">
        <w:rPr>
          <w:bCs/>
          <w:color w:val="000000"/>
        </w:rPr>
        <w:t xml:space="preserve">ukštosios mokyklos ar mokslinių tyrimų instituto ir tyrėjo </w:t>
      </w:r>
      <w:r w:rsidRPr="000B4C8B">
        <w:rPr>
          <w:bCs/>
        </w:rPr>
        <w:t xml:space="preserve">pasirašyta trišalė sutartis. </w:t>
      </w:r>
    </w:p>
    <w:p w14:paraId="6F224026" w14:textId="77777777" w:rsidR="0012530E" w:rsidRPr="000B4C8B" w:rsidRDefault="0012530E" w:rsidP="00B64BD0">
      <w:pPr>
        <w:pStyle w:val="Sraopastraipa"/>
        <w:numPr>
          <w:ilvl w:val="0"/>
          <w:numId w:val="99"/>
        </w:numPr>
        <w:tabs>
          <w:tab w:val="clear" w:pos="720"/>
          <w:tab w:val="num" w:pos="426"/>
          <w:tab w:val="left" w:pos="993"/>
          <w:tab w:val="left" w:pos="2898"/>
        </w:tabs>
        <w:ind w:left="0" w:firstLine="0"/>
        <w:jc w:val="both"/>
        <w:rPr>
          <w:lang w:eastAsia="lt-LT"/>
        </w:rPr>
      </w:pPr>
      <w:r w:rsidRPr="000B4C8B">
        <w:rPr>
          <w:lang w:eastAsia="lt-LT"/>
        </w:rPr>
        <w:t>Tyrėjui mokamas stipendijas priskiriant konkretaus mokestinio laikotarpio leidžiamiems atskaitymams, turi būti įvertinama, ar jos tą mokestinį laikotarpį atitinka minėtame punkte įtvirtintus reikalavimus, t. y. reikalavimų atitikimas vertinamas  kiekvieną mokestinį laikotarpį.</w:t>
      </w:r>
    </w:p>
    <w:p w14:paraId="1003EEDD" w14:textId="77777777" w:rsidR="0012530E" w:rsidRPr="000B4C8B" w:rsidRDefault="0012530E" w:rsidP="00B64BD0">
      <w:pPr>
        <w:pStyle w:val="prastasiniatinklio"/>
        <w:tabs>
          <w:tab w:val="left" w:pos="2898"/>
        </w:tabs>
        <w:ind w:left="720"/>
        <w:jc w:val="both"/>
      </w:pPr>
      <w:r w:rsidRPr="000B4C8B">
        <w:t>Pavyzdys</w:t>
      </w:r>
    </w:p>
    <w:p w14:paraId="01EF4DE9"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bookmarkStart w:id="471" w:name="_Hlk208823015"/>
      <w:r w:rsidRPr="000B4C8B">
        <w:rPr>
          <w:lang w:eastAsia="lt-LT"/>
        </w:rPr>
        <w:t>UAB „AQ“</w:t>
      </w:r>
      <w:bookmarkEnd w:id="471"/>
      <w:r w:rsidRPr="000B4C8B">
        <w:rPr>
          <w:lang w:eastAsia="lt-LT"/>
        </w:rPr>
        <w:t>, užsiimanti medicinos prietaisų ir biotechnologijų tyrimais bei plėtra sudarė sutartį su t</w:t>
      </w:r>
      <w:r w:rsidRPr="000B4C8B">
        <w:rPr>
          <w:bCs/>
          <w:lang w:eastAsia="lt-LT"/>
        </w:rPr>
        <w:t>yrėja</w:t>
      </w:r>
      <w:r w:rsidRPr="000B4C8B">
        <w:rPr>
          <w:lang w:eastAsia="lt-LT"/>
        </w:rPr>
        <w:t xml:space="preserve">, pripažinta mokslo darbuotoja, dirbančia </w:t>
      </w:r>
      <w:bookmarkStart w:id="472" w:name="_Hlk209177607"/>
      <w:r w:rsidRPr="000B4C8B">
        <w:rPr>
          <w:lang w:eastAsia="lt-LT"/>
        </w:rPr>
        <w:t>Vilniaus universiteto Gyvybės mokslų centre</w:t>
      </w:r>
      <w:bookmarkEnd w:id="472"/>
      <w:r w:rsidRPr="000B4C8B">
        <w:rPr>
          <w:lang w:eastAsia="lt-LT"/>
        </w:rPr>
        <w:t xml:space="preserve">. </w:t>
      </w:r>
      <w:r w:rsidRPr="000B4C8B">
        <w:rPr>
          <w:bCs/>
          <w:lang w:eastAsia="lt-LT"/>
        </w:rPr>
        <w:t xml:space="preserve"> Vilniaus universiteto Gyvybės mokslų centras vykdo projektą - </w:t>
      </w:r>
      <w:r w:rsidRPr="000B4C8B">
        <w:rPr>
          <w:lang w:eastAsia="lt-LT"/>
        </w:rPr>
        <w:t xml:space="preserve"> pradeda naują mokslinių tyrimų ir </w:t>
      </w:r>
      <w:r w:rsidRPr="000B4C8B">
        <w:rPr>
          <w:lang w:eastAsia="lt-LT"/>
        </w:rPr>
        <w:lastRenderedPageBreak/>
        <w:t xml:space="preserve">eksperimentinės plėtros (MTEP) projektą, skirtą naujos kartos diagnostikos įrenginio kūrimui. Šiame projekte dalyvauja ir minėta tyrėja. </w:t>
      </w:r>
    </w:p>
    <w:p w14:paraId="548C8AE8"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r w:rsidRPr="000B4C8B">
        <w:rPr>
          <w:lang w:eastAsia="lt-LT"/>
        </w:rPr>
        <w:t xml:space="preserve">2026 m. kovo 17 d. tarp UAB „AQ“, Vilniaus universiteto ir tyrėjos pasirašoma </w:t>
      </w:r>
      <w:r w:rsidRPr="000B4C8B">
        <w:rPr>
          <w:bCs/>
          <w:lang w:eastAsia="lt-LT"/>
        </w:rPr>
        <w:t>trišalė sutartis</w:t>
      </w:r>
      <w:r w:rsidRPr="000B4C8B">
        <w:rPr>
          <w:lang w:eastAsia="lt-LT"/>
        </w:rPr>
        <w:t xml:space="preserve">. Sutartyje numatoma, kad: tyrėja dalyvaus ir prisidės prie MTEP projekto, naudodamasi savo tyrimų patirtimi ir moksline baze; UAB „AQ“ mokės tyrėjai </w:t>
      </w:r>
      <w:r w:rsidRPr="000B4C8B">
        <w:rPr>
          <w:bCs/>
          <w:lang w:eastAsia="lt-LT"/>
        </w:rPr>
        <w:t>stipendiją</w:t>
      </w:r>
      <w:r w:rsidRPr="000B4C8B">
        <w:rPr>
          <w:lang w:eastAsia="lt-LT"/>
        </w:rPr>
        <w:t xml:space="preserve"> už dalyvavimą projekte; stipendija nėra atlyginimas už atliktus darbus, o </w:t>
      </w:r>
      <w:r w:rsidRPr="000B4C8B">
        <w:rPr>
          <w:bCs/>
          <w:lang w:eastAsia="lt-LT"/>
        </w:rPr>
        <w:t>papildoma finansinė parama</w:t>
      </w:r>
      <w:r w:rsidRPr="000B4C8B">
        <w:rPr>
          <w:lang w:eastAsia="lt-LT"/>
        </w:rPr>
        <w:t>, skirta skatinti tyrėją aktyviai dalyvauti ir prisidėti prie MTEP projekto sėkmės.</w:t>
      </w:r>
    </w:p>
    <w:p w14:paraId="2EB9C704" w14:textId="77777777" w:rsidR="0012530E" w:rsidRPr="000B4C8B" w:rsidRDefault="0012530E" w:rsidP="00B64BD0">
      <w:pPr>
        <w:pBdr>
          <w:top w:val="single" w:sz="4" w:space="1" w:color="auto"/>
          <w:left w:val="single" w:sz="4" w:space="4" w:color="auto"/>
          <w:bottom w:val="single" w:sz="4" w:space="1" w:color="auto"/>
          <w:right w:val="single" w:sz="4" w:space="4" w:color="auto"/>
        </w:pBdr>
        <w:tabs>
          <w:tab w:val="left" w:pos="2898"/>
        </w:tabs>
        <w:spacing w:before="100" w:beforeAutospacing="1" w:after="100" w:afterAutospacing="1"/>
        <w:jc w:val="both"/>
        <w:rPr>
          <w:lang w:eastAsia="lt-LT"/>
        </w:rPr>
      </w:pPr>
      <w:bookmarkStart w:id="473" w:name="_Hlk214354073"/>
      <w:r w:rsidRPr="000B4C8B">
        <w:rPr>
          <w:lang w:eastAsia="lt-LT"/>
        </w:rPr>
        <w:t xml:space="preserve">UAB „AQ“ įsipareigoja mokėti tyrėjai </w:t>
      </w:r>
      <w:r w:rsidRPr="000B4C8B">
        <w:rPr>
          <w:bCs/>
          <w:lang w:eastAsia="lt-LT"/>
        </w:rPr>
        <w:t>1500 eurų</w:t>
      </w:r>
      <w:r w:rsidRPr="000B4C8B">
        <w:rPr>
          <w:lang w:eastAsia="lt-LT"/>
        </w:rPr>
        <w:t xml:space="preserve"> stipendiją kiekvieną mėnesį, kol vyks projektas</w:t>
      </w:r>
      <w:r>
        <w:rPr>
          <w:lang w:eastAsia="lt-LT"/>
        </w:rPr>
        <w:t>, bet ne ilgiau nei iki 2026-12-31</w:t>
      </w:r>
      <w:r w:rsidRPr="000B4C8B">
        <w:rPr>
          <w:lang w:eastAsia="lt-LT"/>
        </w:rPr>
        <w:t>.</w:t>
      </w:r>
    </w:p>
    <w:p w14:paraId="2814C20A" w14:textId="77777777" w:rsidR="0012530E" w:rsidRPr="0012530E" w:rsidRDefault="0012530E" w:rsidP="00E5187F">
      <w:pPr>
        <w:pBdr>
          <w:top w:val="single" w:sz="4" w:space="1" w:color="auto"/>
          <w:left w:val="single" w:sz="4" w:space="4" w:color="auto"/>
          <w:bottom w:val="single" w:sz="4" w:space="1" w:color="auto"/>
          <w:right w:val="single" w:sz="4" w:space="4" w:color="auto"/>
        </w:pBdr>
        <w:tabs>
          <w:tab w:val="left" w:pos="2898"/>
        </w:tabs>
        <w:jc w:val="both"/>
        <w:rPr>
          <w:lang w:eastAsia="lt-LT"/>
        </w:rPr>
      </w:pPr>
      <w:r w:rsidRPr="000B4C8B">
        <w:rPr>
          <w:lang w:eastAsia="lt-LT"/>
        </w:rPr>
        <w:t xml:space="preserve"> Kadangi yra tenkinamos įstatyme nustatytos sąlygos, UAB „AQ“ turi teisę </w:t>
      </w:r>
      <w:r w:rsidRPr="000B4C8B">
        <w:rPr>
          <w:bCs/>
          <w:lang w:eastAsia="lt-LT"/>
        </w:rPr>
        <w:t xml:space="preserve">tyrėjai sumokėtą stipendiją atskaityti iš savo </w:t>
      </w:r>
      <w:r>
        <w:rPr>
          <w:bCs/>
          <w:lang w:eastAsia="lt-LT"/>
        </w:rPr>
        <w:t xml:space="preserve">2026 m. </w:t>
      </w:r>
      <w:r w:rsidRPr="000B4C8B">
        <w:rPr>
          <w:bCs/>
          <w:lang w:eastAsia="lt-LT"/>
        </w:rPr>
        <w:t xml:space="preserve">pajamų. </w:t>
      </w:r>
      <w:bookmarkEnd w:id="473"/>
    </w:p>
    <w:p w14:paraId="3F64CE74" w14:textId="77777777" w:rsidR="00E5187F" w:rsidRDefault="00E5187F" w:rsidP="00E5187F">
      <w:r>
        <w:rPr>
          <w:lang w:val="lt-LT"/>
        </w:rPr>
        <w:t xml:space="preserve"> (Pakeista pagal </w:t>
      </w:r>
      <w:r w:rsidRPr="0051529C">
        <w:t>VMI prie FM 2025-11-19 rašt</w:t>
      </w:r>
      <w:r>
        <w:t>ą</w:t>
      </w:r>
      <w:r w:rsidRPr="0051529C">
        <w:t xml:space="preserve"> Nr. (18.10-31-1 Mr) RM-51420</w:t>
      </w:r>
      <w:r>
        <w:t>)</w:t>
      </w:r>
    </w:p>
    <w:p w14:paraId="1951034C" w14:textId="77777777" w:rsidR="0012530E" w:rsidRDefault="0012530E" w:rsidP="00E5187F">
      <w:pPr>
        <w:tabs>
          <w:tab w:val="left" w:pos="2898"/>
        </w:tabs>
        <w:jc w:val="center"/>
        <w:rPr>
          <w:b/>
          <w:lang w:val="lt-LT"/>
        </w:rPr>
      </w:pPr>
    </w:p>
    <w:p w14:paraId="53F83534" w14:textId="77777777" w:rsidR="00093845" w:rsidRDefault="000D779E" w:rsidP="00C46CEE">
      <w:pPr>
        <w:jc w:val="center"/>
        <w:rPr>
          <w:b/>
          <w:lang w:val="lt-LT"/>
        </w:rPr>
      </w:pPr>
      <w:r>
        <w:rPr>
          <w:b/>
          <w:lang w:val="lt-LT"/>
        </w:rPr>
        <w:t>VI SKYRIUS</w:t>
      </w:r>
    </w:p>
    <w:p w14:paraId="741DE760" w14:textId="77777777" w:rsidR="00093845" w:rsidRDefault="000D779E">
      <w:pPr>
        <w:jc w:val="center"/>
        <w:rPr>
          <w:b/>
          <w:lang w:val="lt-LT"/>
        </w:rPr>
      </w:pPr>
      <w:r>
        <w:rPr>
          <w:b/>
          <w:lang w:val="lt-LT"/>
        </w:rPr>
        <w:t>NELEIDŽIAMI ATSKAITYMAI</w:t>
      </w:r>
    </w:p>
    <w:p w14:paraId="3A4245C3" w14:textId="77777777" w:rsidR="00D54082" w:rsidRDefault="00D54082">
      <w:pPr>
        <w:pStyle w:val="Antrat1"/>
        <w:jc w:val="both"/>
        <w:rPr>
          <w:bCs w:val="0"/>
          <w:lang w:val="lt-LT"/>
        </w:rPr>
      </w:pPr>
      <w:bookmarkStart w:id="474" w:name="_31_straipsnis._Neleidžiami"/>
      <w:bookmarkEnd w:id="474"/>
    </w:p>
    <w:p w14:paraId="1B7B154C" w14:textId="77777777" w:rsidR="00093845" w:rsidRDefault="000D779E">
      <w:pPr>
        <w:pStyle w:val="Antrat1"/>
        <w:jc w:val="both"/>
        <w:rPr>
          <w:bCs w:val="0"/>
          <w:szCs w:val="20"/>
          <w:lang w:val="lt-LT"/>
        </w:rPr>
      </w:pPr>
      <w:r>
        <w:rPr>
          <w:bCs w:val="0"/>
          <w:lang w:val="lt-LT"/>
        </w:rPr>
        <w:t>31 STRAIPSNIS. Neleidžiami atskaitymai</w:t>
      </w:r>
    </w:p>
    <w:p w14:paraId="5BECB4B6" w14:textId="77777777" w:rsidR="00093845" w:rsidRDefault="000D779E">
      <w:pPr>
        <w:tabs>
          <w:tab w:val="left" w:pos="720"/>
          <w:tab w:val="left" w:pos="1077"/>
          <w:tab w:val="left" w:pos="1418"/>
        </w:tabs>
        <w:ind w:firstLine="720"/>
        <w:jc w:val="both"/>
        <w:rPr>
          <w:b/>
          <w:szCs w:val="20"/>
          <w:lang w:val="lt-LT"/>
        </w:rPr>
      </w:pPr>
      <w:r>
        <w:rPr>
          <w:b/>
          <w:szCs w:val="20"/>
          <w:lang w:val="lt-LT"/>
        </w:rPr>
        <w:t>Komentaras</w:t>
      </w:r>
    </w:p>
    <w:p w14:paraId="22DD9B7C" w14:textId="77777777" w:rsidR="00093845" w:rsidRDefault="000D779E">
      <w:pPr>
        <w:tabs>
          <w:tab w:val="left" w:pos="720"/>
          <w:tab w:val="left" w:pos="1077"/>
          <w:tab w:val="left" w:pos="1418"/>
        </w:tabs>
        <w:ind w:firstLine="720"/>
        <w:jc w:val="both"/>
        <w:rPr>
          <w:bCs/>
          <w:szCs w:val="20"/>
          <w:lang w:val="lt-LT"/>
        </w:rPr>
      </w:pPr>
      <w:r>
        <w:rPr>
          <w:bCs/>
          <w:szCs w:val="20"/>
          <w:lang w:val="lt-LT"/>
        </w:rPr>
        <w:t>Šis straipsnis nustato, kokios vieneto patirtos sąnaudos, apskaičiuojant apmokestinamąjį pelną, negali būti atimamos iš pajamų, t.y. turi būti priskiriamos neleidžiamiems atskaitymams.</w:t>
      </w:r>
    </w:p>
    <w:p w14:paraId="2AA2B712" w14:textId="77777777" w:rsidR="00093845" w:rsidRDefault="000D779E">
      <w:pPr>
        <w:tabs>
          <w:tab w:val="left" w:pos="720"/>
          <w:tab w:val="left" w:pos="1077"/>
          <w:tab w:val="left" w:pos="1418"/>
        </w:tabs>
        <w:jc w:val="both"/>
        <w:rPr>
          <w:b/>
          <w:szCs w:val="20"/>
          <w:lang w:val="lt-LT"/>
        </w:rPr>
      </w:pPr>
      <w:r>
        <w:rPr>
          <w:b/>
          <w:lang w:val="lt-LT"/>
        </w:rPr>
        <w:t xml:space="preserve">            1. Iš pajamų negali būti atskaitoma:</w:t>
      </w:r>
    </w:p>
    <w:p w14:paraId="3F55EAE8" w14:textId="77777777" w:rsidR="00093845" w:rsidRDefault="000D779E">
      <w:pPr>
        <w:tabs>
          <w:tab w:val="left" w:pos="720"/>
          <w:tab w:val="left" w:pos="1077"/>
          <w:tab w:val="left" w:pos="1418"/>
        </w:tabs>
        <w:ind w:firstLine="720"/>
        <w:jc w:val="both"/>
        <w:rPr>
          <w:b/>
          <w:szCs w:val="20"/>
          <w:lang w:val="lt-LT"/>
        </w:rPr>
      </w:pPr>
      <w:r>
        <w:rPr>
          <w:b/>
          <w:lang w:val="lt-LT"/>
        </w:rPr>
        <w:t>1)</w:t>
      </w:r>
      <w:r>
        <w:rPr>
          <w:b/>
          <w:lang w:val="lt-LT"/>
        </w:rPr>
        <w:tab/>
        <w:t>pridėtinės vertės mokestis, mokamas į biudžetą, ir pelno mokestis, nustatytas šio Įstatymo;</w:t>
      </w:r>
    </w:p>
    <w:p w14:paraId="5E21970D"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9ACC695" w14:textId="77777777" w:rsidR="00093845" w:rsidRDefault="000D779E">
      <w:pPr>
        <w:tabs>
          <w:tab w:val="left" w:pos="720"/>
          <w:tab w:val="left" w:pos="1077"/>
          <w:tab w:val="left" w:pos="1418"/>
        </w:tabs>
        <w:ind w:firstLine="720"/>
        <w:jc w:val="both"/>
        <w:rPr>
          <w:lang w:val="lt-LT"/>
        </w:rPr>
      </w:pPr>
      <w:r>
        <w:rPr>
          <w:lang w:val="lt-LT"/>
        </w:rPr>
        <w:t>Iš pajamų negali būti atskaitomi šie mokesčiai:</w:t>
      </w:r>
    </w:p>
    <w:p w14:paraId="044B1B73" w14:textId="77777777" w:rsidR="00093845" w:rsidRDefault="000D779E">
      <w:pPr>
        <w:tabs>
          <w:tab w:val="left" w:pos="720"/>
          <w:tab w:val="left" w:pos="1077"/>
          <w:tab w:val="left" w:pos="1418"/>
        </w:tabs>
        <w:ind w:firstLine="720"/>
        <w:jc w:val="both"/>
        <w:rPr>
          <w:lang w:val="lt-LT"/>
        </w:rPr>
      </w:pPr>
      <w:r>
        <w:rPr>
          <w:lang w:val="lt-LT"/>
        </w:rPr>
        <w:t>1)</w:t>
      </w:r>
      <w:r>
        <w:rPr>
          <w:lang w:val="lt-LT"/>
        </w:rPr>
        <w:tab/>
        <w:t>pridėtinės vertės mokestis, mokamas į biudžetą, išskyrus PMĮ 24 straipsnyje numatytus atvejus;</w:t>
      </w:r>
    </w:p>
    <w:p w14:paraId="5068ABAC" w14:textId="77777777" w:rsidR="00093845" w:rsidRDefault="000D779E">
      <w:pPr>
        <w:tabs>
          <w:tab w:val="left" w:pos="720"/>
          <w:tab w:val="left" w:pos="1077"/>
          <w:tab w:val="left" w:pos="1418"/>
        </w:tabs>
        <w:ind w:firstLine="720"/>
        <w:jc w:val="both"/>
        <w:rPr>
          <w:lang w:val="lt-LT"/>
        </w:rPr>
      </w:pPr>
      <w:r>
        <w:rPr>
          <w:lang w:val="lt-LT"/>
        </w:rPr>
        <w:t xml:space="preserve">PMĮ 24 straipsnyje numatyta, kad iš pajamų gali būti atskaitomos pirkimo ir sumokėto importo pridėtinės vertės mokesčio sumos, kurios neatskaitomos pagal </w:t>
      </w:r>
      <w:r w:rsidR="00833521" w:rsidRPr="00BF5DD1">
        <w:rPr>
          <w:rStyle w:val="Hipersaitas"/>
          <w:rFonts w:ascii="Times New Roman" w:hAnsi="Times New Roman" w:cs="Times New Roman"/>
          <w:b w:val="0"/>
          <w:bCs w:val="0"/>
          <w:kern w:val="0"/>
          <w:lang w:val="lt-LT"/>
        </w:rPr>
        <w:t>Pridėtinės vertės mokesčio įstatymo</w:t>
      </w:r>
      <w:r>
        <w:rPr>
          <w:lang w:val="lt-LT"/>
        </w:rPr>
        <w:t xml:space="preserve"> nuostatas, tais atvejais, kai šios sumos apskaičiuotos nuo PMĮ nustatytų leidžiamų atskaitymų. Pirkimo ir sumokėto importo pridėtinės vertės atskaitymo iš pajamų atvejai ir tvarka paaiškinti PMĮ 24 straipsnio komentare.</w:t>
      </w:r>
    </w:p>
    <w:p w14:paraId="5A8EB55B"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PMĮ nustatytas pelno mokestis.</w:t>
      </w:r>
    </w:p>
    <w:p w14:paraId="2FD05607" w14:textId="77777777" w:rsidR="00093845" w:rsidRPr="00480C1E" w:rsidRDefault="000D779E">
      <w:pPr>
        <w:ind w:firstLine="720"/>
        <w:jc w:val="both"/>
        <w:rPr>
          <w:b/>
          <w:color w:val="000000"/>
          <w:lang w:eastAsia="lt-LT"/>
        </w:rPr>
      </w:pPr>
      <w:r w:rsidRPr="00BF5DD1">
        <w:rPr>
          <w:b/>
          <w:bCs/>
          <w:color w:val="000000"/>
          <w:lang w:eastAsia="lt-LT"/>
        </w:rPr>
        <w:t>2</w:t>
      </w:r>
      <w:r w:rsidR="00BB0CFE">
        <w:rPr>
          <w:b/>
          <w:bCs/>
          <w:color w:val="000000"/>
          <w:lang w:eastAsia="lt-LT"/>
        </w:rPr>
        <w:t>)</w:t>
      </w:r>
      <w:r w:rsidRPr="00BF5DD1">
        <w:rPr>
          <w:b/>
          <w:bCs/>
          <w:color w:val="000000"/>
          <w:lang w:eastAsia="lt-LT"/>
        </w:rPr>
        <w:t xml:space="preserve">  </w:t>
      </w:r>
      <w:r w:rsidRPr="00BF5DD1">
        <w:rPr>
          <w:b/>
          <w:bCs/>
          <w:iCs/>
          <w:color w:val="000000"/>
          <w:lang w:eastAsia="lt-LT"/>
        </w:rPr>
        <w:t>NETEKO GALIOS</w:t>
      </w:r>
      <w:r w:rsidR="00BE5120" w:rsidRPr="00480C1E">
        <w:rPr>
          <w:b/>
          <w:bCs/>
          <w:iCs/>
          <w:color w:val="000000"/>
          <w:lang w:eastAsia="lt-LT"/>
        </w:rPr>
        <w:t>:</w:t>
      </w:r>
      <w:r w:rsidRPr="00480C1E">
        <w:rPr>
          <w:b/>
          <w:iCs/>
          <w:color w:val="000000"/>
          <w:lang w:eastAsia="lt-LT"/>
        </w:rPr>
        <w:t xml:space="preserve"> 2003 07 01 įstatymu Nr. IX-1659 (nuo 2003 07 25)</w:t>
      </w:r>
    </w:p>
    <w:p w14:paraId="66810895" w14:textId="77777777" w:rsidR="00093845" w:rsidRDefault="000D779E">
      <w:pPr>
        <w:tabs>
          <w:tab w:val="left" w:pos="720"/>
          <w:tab w:val="left" w:pos="1077"/>
          <w:tab w:val="left" w:pos="1418"/>
        </w:tabs>
        <w:ind w:firstLine="720"/>
        <w:jc w:val="both"/>
        <w:rPr>
          <w:b/>
          <w:szCs w:val="20"/>
          <w:lang w:val="lt-LT"/>
        </w:rPr>
      </w:pPr>
      <w:r>
        <w:rPr>
          <w:b/>
          <w:lang w:val="lt-LT"/>
        </w:rPr>
        <w:t>3)</w:t>
      </w:r>
      <w:r>
        <w:rPr>
          <w:b/>
          <w:lang w:val="lt-LT"/>
        </w:rPr>
        <w:tab/>
        <w:t>netesybos, į biudžetą ir valstybės fondus sumokėtos baudos, delspinigiai ir kitos sankcijos už Lietuvos Respublikos teisės aktų pažeidimus;</w:t>
      </w:r>
    </w:p>
    <w:p w14:paraId="7F332540"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68290262" w14:textId="77777777" w:rsidR="00093845" w:rsidRDefault="000D779E">
      <w:pPr>
        <w:tabs>
          <w:tab w:val="left" w:pos="720"/>
          <w:tab w:val="left" w:pos="1077"/>
          <w:tab w:val="left" w:pos="1418"/>
        </w:tabs>
        <w:ind w:firstLine="720"/>
        <w:jc w:val="both"/>
        <w:rPr>
          <w:lang w:val="lt-LT"/>
        </w:rPr>
      </w:pPr>
      <w:r>
        <w:rPr>
          <w:lang w:val="lt-LT"/>
        </w:rPr>
        <w:lastRenderedPageBreak/>
        <w:t xml:space="preserve">Netesybų samprata pateikta </w:t>
      </w:r>
      <w:r w:rsidR="00833521" w:rsidRPr="009C0219">
        <w:rPr>
          <w:rStyle w:val="Hipersaitas"/>
          <w:rFonts w:ascii="Times New Roman" w:hAnsi="Times New Roman" w:cs="Times New Roman"/>
          <w:b w:val="0"/>
          <w:bCs w:val="0"/>
          <w:kern w:val="0"/>
          <w:lang w:val="lt-LT"/>
        </w:rPr>
        <w:t>Civilinio kodekso</w:t>
      </w:r>
      <w:r w:rsidRPr="00A53D32">
        <w:rPr>
          <w:lang w:val="lt-LT"/>
        </w:rPr>
        <w:t xml:space="preserve"> </w:t>
      </w:r>
      <w:r>
        <w:rPr>
          <w:lang w:val="lt-LT"/>
        </w:rPr>
        <w:t>6.71 straipsnyje – tai įstatymų, sutarties ar teismo nustatyta pinigų suma, kurią skolininkas privalo sumokėti kreditoriui, jeigu prievolė neįvykdyta arba netinkamai įvykdyta (dažniausiai tai yra bauda arba delspinigiai). Sutartyje ši pinigų suma gali būti pavadinta ir kitaip, pvz., kompensacija, tačiau tuo atveju, jeigu ji atitinka Civilinio kodekso 6.71 straipsnyje išvardytus požymius, ji laikoma delspinigiais. Civilinio kodekso 6.1 straipsnyje nurodyta, kad prievolė – tai teisinis santykis, kurio viena šalis (skolininkas) privalo atlikti kitos šalies (kreditoriaus) naudai tam tikrą veiksmą arba susilaikyti nuo tam tikro veiksmo, o kreditorius turi teisę reikalauti iš skolininko, kad šis įvykdytų savo pareigą.</w:t>
      </w:r>
    </w:p>
    <w:p w14:paraId="084D4671" w14:textId="77777777" w:rsidR="00093845" w:rsidRDefault="000D779E">
      <w:pPr>
        <w:tabs>
          <w:tab w:val="left" w:pos="720"/>
          <w:tab w:val="left" w:pos="1077"/>
          <w:tab w:val="left" w:pos="1418"/>
        </w:tabs>
        <w:ind w:firstLine="720"/>
        <w:jc w:val="both"/>
        <w:rPr>
          <w:szCs w:val="20"/>
          <w:lang w:val="lt-LT"/>
        </w:rPr>
      </w:pPr>
      <w:r>
        <w:rPr>
          <w:lang w:val="lt-LT"/>
        </w:rPr>
        <w:t>Dėl netesybų šalys turi susitarti rašytine sutartimi. Netesybos taip pat gali būti numatytos įstatymu.</w:t>
      </w:r>
    </w:p>
    <w:p w14:paraId="1794128D" w14:textId="77777777" w:rsidR="00093845" w:rsidRDefault="000D779E">
      <w:pPr>
        <w:tabs>
          <w:tab w:val="left" w:pos="720"/>
          <w:tab w:val="left" w:pos="1077"/>
          <w:tab w:val="left" w:pos="1418"/>
        </w:tabs>
        <w:ind w:firstLine="720"/>
        <w:jc w:val="both"/>
        <w:rPr>
          <w:szCs w:val="20"/>
          <w:lang w:val="lt-LT"/>
        </w:rPr>
      </w:pPr>
      <w:r>
        <w:rPr>
          <w:lang w:val="lt-LT"/>
        </w:rPr>
        <w:t>Pateikiame pavyzdį, kai vienas vienetas (ieškovas) teisme pateikė ieškinį kitam vienetui (atsakovui), sutartyje nustatytu laiku neįvykdžiusius savo įsipareigojimų, ir teismas priėmė sprendimą patenkinti ieškinį ieškovo naudai.</w:t>
      </w:r>
    </w:p>
    <w:p w14:paraId="2698793A" w14:textId="77777777" w:rsidR="00093845" w:rsidRDefault="000D779E">
      <w:pPr>
        <w:tabs>
          <w:tab w:val="left" w:pos="720"/>
          <w:tab w:val="left" w:pos="1077"/>
          <w:tab w:val="left" w:pos="1418"/>
        </w:tabs>
        <w:ind w:firstLine="720"/>
        <w:jc w:val="both"/>
        <w:rPr>
          <w:szCs w:val="20"/>
          <w:lang w:val="lt-LT"/>
        </w:rPr>
      </w:pPr>
      <w:r>
        <w:rPr>
          <w:szCs w:val="20"/>
          <w:lang w:val="lt-LT"/>
        </w:rPr>
        <w:t>Pavyzdys</w:t>
      </w:r>
    </w:p>
    <w:p w14:paraId="426F5CE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szCs w:val="20"/>
          <w:lang w:val="lt-LT"/>
        </w:rPr>
      </w:pPr>
      <w:r>
        <w:rPr>
          <w:lang w:val="lt-LT"/>
        </w:rPr>
        <w:t>Vienetas A ir vienetas B sudarė sutartį, pagal kurią vienetui B paimant banko paskolą, suteikiama teisė bankui įkeisti vieneto A turtą. Sutartyje taip pat numatyta, kad vienetui B nepanaikinus vieneto A turto įkeitimo banke nustatytu laiku, vienetas B per metus turės sumokėti vienetui A 10 proc. kompensaciją nuo banko paskolos sumos. Vienetas B sutartyje numatytų įsipareigojimų vienetui A neįvykdė. Vienetas A pateikė ieškinį vienetui B dėl sutartyje nustatytų 10 proc. metinės kompensacijos sumokėjimo už tai, kad vienetas B sutartyje nustatytu laiku neįvykdė savo įsipareigojimų vienetui A dėl pastarojo turto įkeitimo bankui panaikinimo. Teismo sprendimu buvo priteista, kad vienetas B už prievolės neįvykdymą privalo sumokėti vienetui A netesybų sumą. Teismo priteista netesybų suma priskiriama vieneto B neleidžiamiems atskaitymams. Be to, pagal PMĮ 31 str. 1 d. 13 punktą neleidžiamiems atskaitymams būtų priskiriamos ir teismo priteistos sumokėti teismo išlaidos.</w:t>
      </w:r>
    </w:p>
    <w:p w14:paraId="454C7BB6" w14:textId="77777777" w:rsidR="00590BE5" w:rsidRPr="00BE7209" w:rsidRDefault="000D779E" w:rsidP="007130EA">
      <w:pPr>
        <w:tabs>
          <w:tab w:val="left" w:pos="720"/>
          <w:tab w:val="left" w:pos="1077"/>
          <w:tab w:val="left" w:pos="1418"/>
        </w:tabs>
        <w:spacing w:after="0"/>
        <w:ind w:firstLine="720"/>
        <w:jc w:val="both"/>
        <w:rPr>
          <w:b/>
          <w:lang w:val="lt-LT"/>
        </w:rPr>
      </w:pPr>
      <w:r>
        <w:rPr>
          <w:bCs/>
          <w:szCs w:val="20"/>
          <w:lang w:val="lt-LT"/>
        </w:rPr>
        <w:t>Pagal šį straipsnį neleidžiamiems atskaitymams taip pat priskiriamos į biudžetą ir valstybės fondus sumokėtos baudos, delspinigiai ir kitos sankcijos už Lietuvos Respublikos teisės aktų pažeidimus.</w:t>
      </w:r>
      <w:r w:rsidR="00590BE5">
        <w:rPr>
          <w:bCs/>
          <w:szCs w:val="20"/>
          <w:lang w:val="lt-LT"/>
        </w:rPr>
        <w:t xml:space="preserve"> </w:t>
      </w:r>
      <w:r w:rsidR="00590BE5" w:rsidRPr="00590BE5">
        <w:rPr>
          <w:iCs/>
          <w:color w:val="000000"/>
          <w:lang w:val="lt-LT"/>
        </w:rPr>
        <w:t xml:space="preserve">Pavyzdžiui, </w:t>
      </w:r>
      <w:r w:rsidR="00590BE5" w:rsidRPr="00590BE5">
        <w:rPr>
          <w:bCs/>
          <w:lang w:val="lt-LT"/>
        </w:rPr>
        <w:t xml:space="preserve">neleidžiamiems atskaitymams yra priskiriamos </w:t>
      </w:r>
      <w:r w:rsidR="00590BE5" w:rsidRPr="00590BE5">
        <w:rPr>
          <w:iCs/>
          <w:color w:val="000000"/>
          <w:lang w:val="lt-LT"/>
        </w:rPr>
        <w:t xml:space="preserve">pagal </w:t>
      </w:r>
      <w:r w:rsidR="00590BE5" w:rsidRPr="00590BE5">
        <w:rPr>
          <w:bCs/>
          <w:lang w:val="lt-LT"/>
        </w:rPr>
        <w:t xml:space="preserve">nuo 2023 m. liepos 1 d. galiojančias </w:t>
      </w:r>
      <w:r w:rsidR="00590BE5" w:rsidRPr="00590BE5">
        <w:rPr>
          <w:iCs/>
          <w:color w:val="000000"/>
          <w:lang w:val="lt-LT"/>
        </w:rPr>
        <w:t xml:space="preserve">Lietuvos Respublikos mokesčio už gamtos išteklių įstatymo (toliau – MGIĮ) </w:t>
      </w:r>
      <w:r w:rsidR="00590BE5" w:rsidRPr="00590BE5">
        <w:rPr>
          <w:bCs/>
          <w:iCs/>
          <w:lang w:val="lt-LT"/>
        </w:rPr>
        <w:t xml:space="preserve">6 straipsnio 2 dalies </w:t>
      </w:r>
      <w:r w:rsidR="00590BE5" w:rsidRPr="00590BE5">
        <w:rPr>
          <w:iCs/>
          <w:color w:val="000000"/>
          <w:lang w:val="lt-LT"/>
        </w:rPr>
        <w:t>nuostatas u</w:t>
      </w:r>
      <w:r w:rsidR="00590BE5" w:rsidRPr="00590BE5">
        <w:rPr>
          <w:lang w:val="lt-LT"/>
        </w:rPr>
        <w:t>ž nedeklaruotą ar deklaruotą mažesnį, negu išgautas, gamtos išteklių kiekį ir (ar) be leidimo išgautą gamtos išteklių kiekį mokamos įmokos, apskaičiuotos taikant ekonominės sankcijos koeficientus ir pagal MGIĮ laikomos ekonomine sankcija.</w:t>
      </w:r>
    </w:p>
    <w:p w14:paraId="2232D4E1" w14:textId="77777777" w:rsidR="00093845" w:rsidRDefault="00590BE5" w:rsidP="007130EA">
      <w:pPr>
        <w:tabs>
          <w:tab w:val="left" w:pos="720"/>
          <w:tab w:val="left" w:pos="1077"/>
          <w:tab w:val="left" w:pos="1418"/>
        </w:tabs>
        <w:spacing w:after="0"/>
        <w:ind w:firstLine="720"/>
        <w:jc w:val="both"/>
        <w:rPr>
          <w:bCs/>
          <w:szCs w:val="20"/>
          <w:lang w:val="lt-LT"/>
        </w:rPr>
      </w:pPr>
      <w:r>
        <w:rPr>
          <w:iCs/>
          <w:lang w:eastAsia="lt-LT"/>
        </w:rPr>
        <w:t>(PMĮ 31 straipsnio 1 d. 3 p. komentaro 4 pastraipa  papildyta  pagal VMI prie FM 2025-02-05 raštą Nr. (18.32-31-1 Mr) R-503)</w:t>
      </w:r>
    </w:p>
    <w:p w14:paraId="131D7476" w14:textId="77777777" w:rsidR="00093845" w:rsidRDefault="000D779E">
      <w:pPr>
        <w:pStyle w:val="prastasiniatinklio"/>
        <w:spacing w:before="0" w:beforeAutospacing="0" w:after="0" w:afterAutospacing="0"/>
        <w:ind w:firstLine="709"/>
        <w:jc w:val="both"/>
        <w:rPr>
          <w:rStyle w:val="normal-h"/>
          <w:color w:val="000000"/>
        </w:rPr>
      </w:pPr>
      <w:r>
        <w:t>Netesybomis nelaikomos transporto prastovų sąnaudos</w:t>
      </w:r>
      <w:r>
        <w:rPr>
          <w:rStyle w:val="normal-h"/>
          <w:color w:val="000000"/>
        </w:rPr>
        <w:t xml:space="preserve"> (žr. PMĮ 17 str. 1 d. komentaro 6.31 punktą).</w:t>
      </w:r>
    </w:p>
    <w:p w14:paraId="6C099999" w14:textId="77777777" w:rsidR="00093845" w:rsidRPr="00397F2A" w:rsidRDefault="00397F2A">
      <w:pPr>
        <w:pStyle w:val="normal-p"/>
        <w:shd w:val="clear" w:color="auto" w:fill="FFFFFF"/>
        <w:spacing w:before="0" w:beforeAutospacing="0" w:after="0" w:afterAutospacing="0" w:line="300" w:lineRule="atLeast"/>
        <w:jc w:val="both"/>
        <w:rPr>
          <w:rStyle w:val="normal-h"/>
          <w:b/>
          <w:color w:val="000000"/>
        </w:rPr>
      </w:pPr>
      <w:r>
        <w:rPr>
          <w:sz w:val="22"/>
          <w:szCs w:val="22"/>
        </w:rPr>
        <w:t xml:space="preserve">           </w:t>
      </w:r>
      <w:r w:rsidRPr="00397F2A">
        <w:t>(</w:t>
      </w:r>
      <w:r w:rsidR="000D779E" w:rsidRPr="00397F2A">
        <w:t xml:space="preserve">Pagal VMI prie FM </w:t>
      </w:r>
      <w:r w:rsidR="000D779E" w:rsidRPr="00397F2A">
        <w:rPr>
          <w:color w:val="000000"/>
        </w:rPr>
        <w:t xml:space="preserve">2016-10-20 rašte Nr. </w:t>
      </w:r>
      <w:r w:rsidR="000D779E" w:rsidRPr="00397F2A">
        <w:t>(18.10-31-1E) RM-28892)</w:t>
      </w:r>
    </w:p>
    <w:p w14:paraId="47566E67" w14:textId="77777777" w:rsidR="00093845" w:rsidRDefault="00093845">
      <w:pPr>
        <w:tabs>
          <w:tab w:val="left" w:pos="720"/>
          <w:tab w:val="left" w:pos="1077"/>
          <w:tab w:val="left" w:pos="1418"/>
        </w:tabs>
        <w:ind w:firstLine="720"/>
        <w:jc w:val="both"/>
        <w:rPr>
          <w:bCs/>
          <w:szCs w:val="20"/>
          <w:lang w:val="lt-LT"/>
        </w:rPr>
      </w:pPr>
    </w:p>
    <w:p w14:paraId="59D64DF1" w14:textId="77777777" w:rsidR="00093845" w:rsidRDefault="000D779E">
      <w:pPr>
        <w:tabs>
          <w:tab w:val="left" w:pos="720"/>
          <w:tab w:val="left" w:pos="1077"/>
          <w:tab w:val="left" w:pos="1418"/>
        </w:tabs>
        <w:ind w:firstLine="720"/>
        <w:jc w:val="both"/>
        <w:rPr>
          <w:b/>
          <w:szCs w:val="20"/>
          <w:lang w:val="lt-LT"/>
        </w:rPr>
      </w:pPr>
      <w:r>
        <w:rPr>
          <w:b/>
          <w:lang w:val="lt-LT"/>
        </w:rPr>
        <w:t>4)</w:t>
      </w:r>
      <w:r>
        <w:rPr>
          <w:b/>
          <w:lang w:val="lt-LT"/>
        </w:rPr>
        <w:tab/>
        <w:t>palūkanos ar kitokios išmokos už susijusių asmenų sutartinių įsipareigojimų nevykdymą;</w:t>
      </w:r>
    </w:p>
    <w:p w14:paraId="0D78FF4E"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75E70443" w14:textId="77777777" w:rsidR="00093845" w:rsidRDefault="000D779E">
      <w:pPr>
        <w:tabs>
          <w:tab w:val="left" w:pos="720"/>
          <w:tab w:val="left" w:pos="1077"/>
          <w:tab w:val="left" w:pos="1418"/>
        </w:tabs>
        <w:ind w:firstLine="720"/>
        <w:jc w:val="both"/>
        <w:rPr>
          <w:lang w:val="lt-LT"/>
        </w:rPr>
      </w:pPr>
      <w:r>
        <w:rPr>
          <w:lang w:val="lt-LT"/>
        </w:rPr>
        <w:t>Šiame straipsnyje papildomai akcentuojama, kad neleidžiamiems atskaitymams priskiriamos už</w:t>
      </w:r>
      <w:r>
        <w:rPr>
          <w:i/>
          <w:iCs/>
          <w:lang w:val="lt-LT"/>
        </w:rPr>
        <w:t xml:space="preserve"> </w:t>
      </w:r>
      <w:r>
        <w:rPr>
          <w:lang w:val="lt-LT"/>
        </w:rPr>
        <w:t xml:space="preserve">susijusių asmenų tarpusavio sutartinių įsipareigojimų nevykdymą numatytos sankcijos (palūkanos, delspinigiai ar kitokios išmokos). Susijusių asmenų sąvoka paaiškinta PMĮ 2 str. 20 punkto komentare. </w:t>
      </w:r>
    </w:p>
    <w:p w14:paraId="3A9B6FA2" w14:textId="77777777" w:rsidR="00093845" w:rsidRDefault="000D779E">
      <w:pPr>
        <w:tabs>
          <w:tab w:val="left" w:pos="720"/>
          <w:tab w:val="left" w:pos="1077"/>
          <w:tab w:val="left" w:pos="1418"/>
        </w:tabs>
        <w:ind w:firstLine="720"/>
        <w:jc w:val="both"/>
        <w:rPr>
          <w:szCs w:val="20"/>
          <w:lang w:val="lt-LT"/>
        </w:rPr>
      </w:pPr>
      <w:r>
        <w:rPr>
          <w:lang w:val="lt-LT"/>
        </w:rPr>
        <w:lastRenderedPageBreak/>
        <w:t>Straipsnio nuostatos pradedamos taikyti nuo 2002 m. prasidėjusio mokestinio laikotarpio pradžios sudarytiems susijusių asmenų sandoriams.</w:t>
      </w:r>
    </w:p>
    <w:p w14:paraId="781665E7" w14:textId="77777777" w:rsidR="00093845" w:rsidRDefault="000D779E">
      <w:pPr>
        <w:tabs>
          <w:tab w:val="left" w:pos="720"/>
          <w:tab w:val="left" w:pos="1077"/>
          <w:tab w:val="left" w:pos="1418"/>
        </w:tabs>
        <w:ind w:firstLine="720"/>
        <w:jc w:val="both"/>
        <w:rPr>
          <w:b/>
          <w:szCs w:val="20"/>
          <w:lang w:val="lt-LT"/>
        </w:rPr>
      </w:pPr>
      <w:r>
        <w:rPr>
          <w:b/>
          <w:lang w:val="lt-LT"/>
        </w:rPr>
        <w:t>5)</w:t>
      </w:r>
      <w:r>
        <w:rPr>
          <w:b/>
          <w:lang w:val="lt-LT"/>
        </w:rPr>
        <w:tab/>
        <w:t>ribojamų dydžių atskaitymų dalis, viršijanti nustatytus dydžius;</w:t>
      </w:r>
    </w:p>
    <w:p w14:paraId="0E5036C6" w14:textId="77777777" w:rsidR="00093845" w:rsidRDefault="000D779E">
      <w:pPr>
        <w:tabs>
          <w:tab w:val="left" w:pos="720"/>
          <w:tab w:val="left" w:pos="1077"/>
          <w:tab w:val="left" w:pos="1418"/>
        </w:tabs>
        <w:ind w:firstLine="720"/>
        <w:jc w:val="both"/>
        <w:rPr>
          <w:b/>
          <w:lang w:val="lt-LT"/>
        </w:rPr>
      </w:pPr>
      <w:r>
        <w:rPr>
          <w:b/>
          <w:lang w:val="lt-LT"/>
        </w:rPr>
        <w:t>Komentaras</w:t>
      </w:r>
    </w:p>
    <w:p w14:paraId="3651F41E" w14:textId="77777777" w:rsidR="00093845" w:rsidRDefault="000D779E" w:rsidP="008B793C">
      <w:pPr>
        <w:pStyle w:val="Pagrindiniotekstotrauka"/>
        <w:tabs>
          <w:tab w:val="left" w:pos="720"/>
          <w:tab w:val="left" w:pos="1077"/>
          <w:tab w:val="left" w:pos="1418"/>
        </w:tabs>
        <w:spacing w:after="0" w:line="240" w:lineRule="auto"/>
        <w:rPr>
          <w:rFonts w:ascii="Times New Roman" w:hAnsi="Times New Roman" w:cs="Times New Roman"/>
          <w:bCs/>
          <w:szCs w:val="20"/>
          <w:lang w:val="lt-LT"/>
        </w:rPr>
      </w:pPr>
      <w:r>
        <w:rPr>
          <w:rFonts w:ascii="Times New Roman" w:hAnsi="Times New Roman" w:cs="Times New Roman"/>
          <w:bCs/>
          <w:szCs w:val="20"/>
          <w:lang w:val="lt-LT"/>
        </w:rPr>
        <w:t>PMĮ 17 str. 2 dalyje nustatyta, kad ribojamų dydžių leidžiamiems atskaitymams gali būti priskiriama:</w:t>
      </w:r>
    </w:p>
    <w:p w14:paraId="010EE07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w:t>
      </w:r>
      <w:r>
        <w:rPr>
          <w:bCs/>
          <w:szCs w:val="20"/>
          <w:lang w:val="lt-LT"/>
        </w:rPr>
        <w:tab/>
        <w:t>ilgalaikio turto nusidėvėjimo arba amortizacijos sąnaudos (žr. PMĮ 18 - 19 straipsnio komentarą);</w:t>
      </w:r>
    </w:p>
    <w:p w14:paraId="32C70117"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2)</w:t>
      </w:r>
      <w:r>
        <w:rPr>
          <w:bCs/>
          <w:szCs w:val="20"/>
          <w:lang w:val="lt-LT"/>
        </w:rPr>
        <w:tab/>
        <w:t>ilgalaikio materialiojo turto eksploatavimo, remonto ir rekonstravimo sąnaudos (žr. PMĮ 20 straipsnio komentarą);</w:t>
      </w:r>
    </w:p>
    <w:p w14:paraId="1781957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3)</w:t>
      </w:r>
      <w:r>
        <w:rPr>
          <w:bCs/>
          <w:szCs w:val="20"/>
          <w:lang w:val="lt-LT"/>
        </w:rPr>
        <w:tab/>
        <w:t>komandiruočių sąnaudos (žr. PMĮ 21 straipsnio komentarą);</w:t>
      </w:r>
    </w:p>
    <w:p w14:paraId="6150C259"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4)</w:t>
      </w:r>
      <w:r>
        <w:rPr>
          <w:bCs/>
          <w:szCs w:val="20"/>
          <w:lang w:val="lt-LT"/>
        </w:rPr>
        <w:tab/>
        <w:t>reklamos ir reprezentacijos sąnaudos (žr. PMĮ 22 straipsnio komentarą);</w:t>
      </w:r>
    </w:p>
    <w:p w14:paraId="723CC208"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5)</w:t>
      </w:r>
      <w:r>
        <w:rPr>
          <w:bCs/>
          <w:szCs w:val="20"/>
          <w:lang w:val="lt-LT"/>
        </w:rPr>
        <w:tab/>
        <w:t>natūraliosios netekties nuostoliai (žr. PMĮ 23 straipsnio komentarą);</w:t>
      </w:r>
    </w:p>
    <w:p w14:paraId="1FECB26E"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6)</w:t>
      </w:r>
      <w:r>
        <w:rPr>
          <w:bCs/>
          <w:szCs w:val="20"/>
          <w:lang w:val="lt-LT"/>
        </w:rPr>
        <w:tab/>
        <w:t>mokesčiai (žr. PMĮ 24 straipsnio komentarą);</w:t>
      </w:r>
    </w:p>
    <w:p w14:paraId="5685F3CF"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7)</w:t>
      </w:r>
      <w:r>
        <w:rPr>
          <w:bCs/>
          <w:szCs w:val="20"/>
          <w:lang w:val="lt-LT"/>
        </w:rPr>
        <w:tab/>
        <w:t>beviltiškos skolos (žr. PMĮ 25 straipsnio komentarą);</w:t>
      </w:r>
    </w:p>
    <w:p w14:paraId="6BE741D6"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8)</w:t>
      </w:r>
      <w:r>
        <w:rPr>
          <w:bCs/>
          <w:szCs w:val="20"/>
          <w:lang w:val="lt-LT"/>
        </w:rPr>
        <w:tab/>
        <w:t>įmokos darbuotojų naudai (žr. PMĮ 26 straipsnio komentarą);</w:t>
      </w:r>
    </w:p>
    <w:p w14:paraId="21D58F54"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9)</w:t>
      </w:r>
      <w:r>
        <w:rPr>
          <w:bCs/>
          <w:szCs w:val="20"/>
          <w:lang w:val="lt-LT"/>
        </w:rPr>
        <w:tab/>
        <w:t>specialieji kredito įstaigų ir draudimo įmonių atidėjimai (žr. PMĮ 27 straipsnio komentarą);</w:t>
      </w:r>
    </w:p>
    <w:p w14:paraId="18E8423D"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10)</w:t>
      </w:r>
      <w:r>
        <w:rPr>
          <w:bCs/>
          <w:szCs w:val="20"/>
          <w:lang w:val="lt-LT"/>
        </w:rPr>
        <w:tab/>
        <w:t>parama (žr. PMĮ 28 straipsnio komentarą);</w:t>
      </w:r>
    </w:p>
    <w:p w14:paraId="2141E4E5"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11)</w:t>
      </w:r>
      <w:r>
        <w:rPr>
          <w:bCs/>
          <w:szCs w:val="20"/>
          <w:lang w:val="lt-LT"/>
        </w:rPr>
        <w:tab/>
        <w:t>narių mokesčiai, įnašai ir įmokos (žr. PMĮ 29 straipsnio komentarą);</w:t>
      </w:r>
    </w:p>
    <w:p w14:paraId="77F6EAA6" w14:textId="77777777" w:rsidR="00093845" w:rsidRDefault="000D779E" w:rsidP="008B793C">
      <w:pPr>
        <w:tabs>
          <w:tab w:val="left" w:pos="720"/>
          <w:tab w:val="left" w:pos="1077"/>
          <w:tab w:val="left" w:pos="1418"/>
        </w:tabs>
        <w:spacing w:after="0" w:line="240" w:lineRule="auto"/>
        <w:ind w:firstLine="720"/>
        <w:jc w:val="both"/>
        <w:rPr>
          <w:bCs/>
          <w:szCs w:val="20"/>
          <w:lang w:val="lt-LT"/>
        </w:rPr>
      </w:pPr>
      <w:r>
        <w:rPr>
          <w:bCs/>
          <w:szCs w:val="20"/>
          <w:lang w:val="lt-LT"/>
        </w:rPr>
        <w:t>12)</w:t>
      </w:r>
      <w:r>
        <w:rPr>
          <w:bCs/>
          <w:szCs w:val="20"/>
          <w:lang w:val="lt-LT"/>
        </w:rPr>
        <w:tab/>
        <w:t>mokestinio laikotarpio nuostoliai (žr. PMĮ 30 straipsnio komentarą).</w:t>
      </w:r>
    </w:p>
    <w:p w14:paraId="5694CAC1" w14:textId="77777777" w:rsidR="00093845" w:rsidRDefault="000D779E" w:rsidP="008B793C">
      <w:pPr>
        <w:tabs>
          <w:tab w:val="left" w:pos="720"/>
          <w:tab w:val="left" w:pos="1077"/>
          <w:tab w:val="left" w:pos="1418"/>
        </w:tabs>
        <w:spacing w:after="0" w:line="240" w:lineRule="auto"/>
        <w:ind w:firstLine="720"/>
        <w:jc w:val="both"/>
        <w:rPr>
          <w:szCs w:val="20"/>
          <w:lang w:val="lt-LT"/>
        </w:rPr>
      </w:pPr>
      <w:r>
        <w:rPr>
          <w:szCs w:val="20"/>
          <w:lang w:val="lt-LT"/>
        </w:rPr>
        <w:t>Sumos, didesnės už PMĮ ir kitais teisės aktais nustatytus ribojamų dydžių atskaitymus, priskiriamos neleidžiamiems atskaitymams.</w:t>
      </w:r>
    </w:p>
    <w:p w14:paraId="2533300C" w14:textId="77777777" w:rsidR="00223D0D" w:rsidRDefault="00223D0D" w:rsidP="008B793C">
      <w:pPr>
        <w:tabs>
          <w:tab w:val="left" w:pos="720"/>
          <w:tab w:val="left" w:pos="1077"/>
          <w:tab w:val="left" w:pos="1418"/>
        </w:tabs>
        <w:spacing w:after="0" w:line="240" w:lineRule="auto"/>
        <w:ind w:firstLine="720"/>
        <w:jc w:val="both"/>
        <w:rPr>
          <w:szCs w:val="20"/>
          <w:lang w:val="lt-LT"/>
        </w:rPr>
      </w:pPr>
    </w:p>
    <w:p w14:paraId="37C6FF59" w14:textId="77777777" w:rsidR="00093845" w:rsidRPr="00480C1E" w:rsidRDefault="000D779E">
      <w:pPr>
        <w:ind w:firstLine="720"/>
        <w:jc w:val="both"/>
        <w:rPr>
          <w:b/>
          <w:iCs/>
          <w:color w:val="000000"/>
          <w:lang w:eastAsia="lt-LT"/>
        </w:rPr>
      </w:pPr>
      <w:r w:rsidRPr="008B793C">
        <w:rPr>
          <w:b/>
          <w:color w:val="000000"/>
          <w:lang w:eastAsia="lt-LT"/>
        </w:rPr>
        <w:t>6</w:t>
      </w:r>
      <w:r w:rsidR="00F1571A">
        <w:rPr>
          <w:b/>
          <w:color w:val="000000"/>
          <w:lang w:eastAsia="lt-LT"/>
        </w:rPr>
        <w:t>)</w:t>
      </w:r>
      <w:r>
        <w:rPr>
          <w:color w:val="000000"/>
          <w:lang w:eastAsia="lt-LT"/>
        </w:rPr>
        <w:t xml:space="preserve"> </w:t>
      </w:r>
      <w:r w:rsidRPr="00B672FC">
        <w:rPr>
          <w:b/>
          <w:bCs/>
          <w:iCs/>
          <w:color w:val="000000"/>
          <w:lang w:eastAsia="lt-LT"/>
        </w:rPr>
        <w:t>NETEKO GALIOS</w:t>
      </w:r>
      <w:r w:rsidR="001D15E6" w:rsidRPr="00480C1E">
        <w:rPr>
          <w:b/>
          <w:bCs/>
          <w:iCs/>
          <w:color w:val="000000"/>
          <w:lang w:eastAsia="lt-LT"/>
        </w:rPr>
        <w:t>:</w:t>
      </w:r>
      <w:r w:rsidRPr="00480C1E">
        <w:rPr>
          <w:b/>
          <w:iCs/>
          <w:color w:val="000000"/>
          <w:lang w:eastAsia="lt-LT"/>
        </w:rPr>
        <w:t xml:space="preserve"> 2004 01 22 įstatymu Nr. IX-1972 (nuo 2004 02 14)</w:t>
      </w:r>
    </w:p>
    <w:p w14:paraId="683EBBA4" w14:textId="77777777" w:rsidR="00093845" w:rsidRPr="00480C1E" w:rsidRDefault="000D779E">
      <w:pPr>
        <w:ind w:firstLine="720"/>
        <w:jc w:val="both"/>
        <w:rPr>
          <w:b/>
          <w:iCs/>
          <w:color w:val="000000"/>
        </w:rPr>
      </w:pPr>
      <w:r w:rsidRPr="008B793C">
        <w:rPr>
          <w:b/>
          <w:iCs/>
          <w:color w:val="000000"/>
        </w:rPr>
        <w:t>7</w:t>
      </w:r>
      <w:r w:rsidR="00F1571A">
        <w:rPr>
          <w:b/>
          <w:iCs/>
          <w:color w:val="000000"/>
        </w:rPr>
        <w:t>)</w:t>
      </w:r>
      <w:r w:rsidRPr="009B63B7">
        <w:rPr>
          <w:iCs/>
          <w:color w:val="000000"/>
        </w:rPr>
        <w:t xml:space="preserve"> </w:t>
      </w:r>
      <w:r w:rsidRPr="00B672FC">
        <w:rPr>
          <w:b/>
          <w:bCs/>
          <w:iCs/>
          <w:color w:val="000000"/>
        </w:rPr>
        <w:t>NETEKO GALIOS</w:t>
      </w:r>
      <w:r w:rsidR="001D15E6">
        <w:rPr>
          <w:b/>
          <w:bCs/>
          <w:iCs/>
          <w:color w:val="000000"/>
        </w:rPr>
        <w:t>:</w:t>
      </w:r>
      <w:r w:rsidRPr="00B672FC">
        <w:rPr>
          <w:iCs/>
          <w:color w:val="000000"/>
          <w:lang w:val="lt-LT"/>
        </w:rPr>
        <w:t xml:space="preserve"> </w:t>
      </w:r>
      <w:r w:rsidRPr="00480C1E">
        <w:rPr>
          <w:b/>
          <w:iCs/>
          <w:color w:val="000000"/>
        </w:rPr>
        <w:t>2008 04 10 įstatymu Nr. X-1484 (nuo 2008 04 24)</w:t>
      </w:r>
    </w:p>
    <w:p w14:paraId="49B17944" w14:textId="77777777" w:rsidR="00093845" w:rsidRDefault="000D779E">
      <w:pPr>
        <w:tabs>
          <w:tab w:val="left" w:pos="720"/>
          <w:tab w:val="left" w:pos="1077"/>
          <w:tab w:val="left" w:pos="1418"/>
        </w:tabs>
        <w:jc w:val="both"/>
        <w:rPr>
          <w:b/>
          <w:szCs w:val="20"/>
          <w:lang w:val="lt-LT"/>
        </w:rPr>
      </w:pPr>
      <w:r>
        <w:rPr>
          <w:b/>
          <w:szCs w:val="20"/>
          <w:lang w:val="lt-LT"/>
        </w:rPr>
        <w:tab/>
      </w:r>
      <w:r>
        <w:rPr>
          <w:b/>
          <w:lang w:val="lt-LT"/>
        </w:rPr>
        <w:t>8)</w:t>
      </w:r>
      <w:r>
        <w:rPr>
          <w:b/>
          <w:lang w:val="lt-LT"/>
        </w:rPr>
        <w:tab/>
        <w:t>sąnaudos, kurios buvo įtrauktos į leidžiamus atskaitymus daugiau kaip prieš 18 mėnesių, tačiau faktiškai iš vienetų, įregistruotų ar kitaip organizuotų tikslinėse teritorijose, gautos prekės ar suteiktos paslaugos neapmokėtos;</w:t>
      </w:r>
    </w:p>
    <w:p w14:paraId="3885F4C1"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060B5BCB" w14:textId="77777777" w:rsidR="00093845" w:rsidRDefault="000D779E">
      <w:pPr>
        <w:tabs>
          <w:tab w:val="left" w:pos="720"/>
          <w:tab w:val="left" w:pos="1077"/>
          <w:tab w:val="left" w:pos="1418"/>
        </w:tabs>
        <w:ind w:firstLine="720"/>
        <w:jc w:val="both"/>
        <w:rPr>
          <w:lang w:val="lt-LT"/>
        </w:rPr>
      </w:pPr>
      <w:r>
        <w:rPr>
          <w:lang w:val="lt-LT"/>
        </w:rPr>
        <w:t>Šio straipsnio 1 dalies 8 punkte nustatyta, kad tuo atveju, kai vienetas iš tikslinėje teritorijoje įregistruoto vieneto gavo prekių arba jam buvo suteikta paslaugų ir už tai vienetas mokėtinas sumas priskyrė sąnaudoms, kurios buvo įtrauktos į leidžiamus atskaitymus, tačiau praėjus 18 mėnesių po mokėtinų sumų priskyrimo sąnaudoms už gautas prekes ar suteiktas paslaugas tas vienetas nesumokėjo, tai tikslinėje teritorijoje įregistruotam vienetui nesumokėta suma priskiriama vieneto pajamoms tą mokestinį laikotarpį, kurį pasibaigė 18 mėnesių laikotarpis.</w:t>
      </w:r>
    </w:p>
    <w:p w14:paraId="7CCD3FC0" w14:textId="77777777" w:rsidR="00093845" w:rsidRDefault="000D779E">
      <w:pPr>
        <w:tabs>
          <w:tab w:val="left" w:pos="720"/>
          <w:tab w:val="left" w:pos="1077"/>
          <w:tab w:val="left" w:pos="1418"/>
        </w:tabs>
        <w:ind w:firstLine="720"/>
        <w:jc w:val="both"/>
        <w:rPr>
          <w:lang w:val="lt-LT"/>
        </w:rPr>
      </w:pPr>
      <w:r>
        <w:rPr>
          <w:lang w:val="lt-LT"/>
        </w:rPr>
        <w:t>Pavyzdys</w:t>
      </w:r>
    </w:p>
    <w:p w14:paraId="6913B41D"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Vienetas iš Angilijoje įregistruoto vieneto 2002 metų vasario mėnesį įsigijo 23 000 Lt vertės prekių, kurias realizavo 2002 metų gegužės mėnesį. Vienetas pelno mokesčio deklaracijoje realizuotų prekių vertę priskyrė 2002 mokestinių metų pajamoms, o Angilijoje įregistruotam vienetui už prekes mokėtiną sumą – 2002 mokestinių metų leidžiamiems atskaitymams. Tačiau vienetas iki 2003-12-01 Angilijoje įregistruotam vienetui už prekes neapmokėjo, todėl 2002 mokestiniais metais leidžiamiems atskaitymams priskirta Angilijos vienetui sumokėtina suma didinamos vieneto 2003 mokestinių metų pajamos.</w:t>
      </w:r>
    </w:p>
    <w:p w14:paraId="33F1B70B" w14:textId="77777777" w:rsidR="00093845" w:rsidRDefault="000D779E">
      <w:pPr>
        <w:tabs>
          <w:tab w:val="left" w:pos="720"/>
          <w:tab w:val="left" w:pos="1077"/>
          <w:tab w:val="left" w:pos="1418"/>
        </w:tabs>
        <w:ind w:firstLine="720"/>
        <w:jc w:val="both"/>
        <w:rPr>
          <w:szCs w:val="20"/>
          <w:lang w:val="lt-LT"/>
        </w:rPr>
      </w:pPr>
      <w:r>
        <w:rPr>
          <w:lang w:val="lt-LT"/>
        </w:rPr>
        <w:lastRenderedPageBreak/>
        <w:t>Ši nuostata taikoma tik tų sąnaudų atveju, kurios buvo įtrauktos į leidžiamus atskaitymus nuo 2002 m. prasidėjusio mokestinio laikotarpio pradžios. Tikslinių teritorijų sąvoka paaiškinta šio PMĮ 2 straipsnio komentare.</w:t>
      </w:r>
    </w:p>
    <w:p w14:paraId="5B07FA29" w14:textId="77777777" w:rsidR="00093845" w:rsidRDefault="000D779E">
      <w:pPr>
        <w:tabs>
          <w:tab w:val="left" w:pos="720"/>
          <w:tab w:val="left" w:pos="1077"/>
          <w:tab w:val="left" w:pos="1418"/>
        </w:tabs>
        <w:ind w:firstLine="720"/>
        <w:jc w:val="both"/>
        <w:rPr>
          <w:szCs w:val="20"/>
          <w:lang w:val="lt-LT"/>
        </w:rPr>
      </w:pPr>
      <w:r>
        <w:rPr>
          <w:szCs w:val="20"/>
          <w:lang w:val="lt-LT"/>
        </w:rPr>
        <w:t>Tuo atveju, jeigu vienetas už prekes (suteiktas paslaugas) sumoka tikslinėje teritorijoje įregistruotam vienetui po to, kai vienetas už prekes ar paslaugas tikslinėje teritorijoje įregistruotam vienetui sumokėtas sumas, vadovaudamasis PMĮ 31 str. 1 d. 8 punkto nuostata, priskyrė neleidžiamiems atskaitymams, didinamos vieneto sąnaudos tą laikotarpį, kurį vienetas sumoka skolą tikslinėje teritorijoje įregistruotam ar kitaip organizuotam vienetui.</w:t>
      </w:r>
    </w:p>
    <w:p w14:paraId="5C14D694" w14:textId="77777777" w:rsidR="00093845" w:rsidRDefault="000D779E" w:rsidP="00EC4E29">
      <w:pPr>
        <w:pStyle w:val="Pagrindinistekstas"/>
        <w:numPr>
          <w:ilvl w:val="0"/>
          <w:numId w:val="34"/>
        </w:numPr>
        <w:ind w:firstLine="720"/>
        <w:rPr>
          <w:rFonts w:ascii="Times New Roman" w:hAnsi="Times New Roman" w:cs="Times New Roman"/>
          <w:lang w:eastAsia="lt-LT"/>
        </w:rPr>
      </w:pPr>
      <w:r w:rsidRPr="00FA6ED9">
        <w:rPr>
          <w:rFonts w:ascii="Times New Roman" w:hAnsi="Times New Roman" w:cs="Times New Roman"/>
          <w:b/>
        </w:rPr>
        <w:t>par</w:t>
      </w:r>
      <w:r>
        <w:rPr>
          <w:rFonts w:ascii="Times New Roman" w:hAnsi="Times New Roman" w:cs="Times New Roman"/>
          <w:b/>
        </w:rPr>
        <w:t>ama, išskyrus šio Įstatymo 28 straipsnyje nustatytus atvejus, ir dovanos, išskyrus dovanas darbuotojams;</w:t>
      </w:r>
      <w:r>
        <w:rPr>
          <w:rFonts w:ascii="Times New Roman" w:hAnsi="Times New Roman" w:cs="Times New Roman"/>
          <w:lang w:eastAsia="lt-LT"/>
        </w:rPr>
        <w:t xml:space="preserve"> </w:t>
      </w:r>
    </w:p>
    <w:p w14:paraId="2678C3E2" w14:textId="77777777" w:rsidR="00093845" w:rsidRPr="00891526" w:rsidRDefault="000D779E" w:rsidP="00B672FC">
      <w:pPr>
        <w:rPr>
          <w:bCs/>
          <w:i/>
        </w:rPr>
      </w:pPr>
      <w:r w:rsidRPr="00891526">
        <w:rPr>
          <w:i/>
        </w:rPr>
        <w:t>(</w:t>
      </w:r>
      <w:r w:rsidRPr="00891526">
        <w:rPr>
          <w:i/>
          <w:iCs/>
        </w:rPr>
        <w:t>KEISTA:</w:t>
      </w:r>
      <w:r w:rsidRPr="00891526">
        <w:rPr>
          <w:i/>
          <w:iCs/>
          <w:lang w:val="lt-LT"/>
        </w:rPr>
        <w:t xml:space="preserve"> </w:t>
      </w:r>
      <w:r w:rsidRPr="00891526">
        <w:rPr>
          <w:i/>
          <w:iCs/>
        </w:rPr>
        <w:t xml:space="preserve">2009 12 09 įstatymu Nr. XI-539 (nuo 2009 12 28)) </w:t>
      </w:r>
    </w:p>
    <w:p w14:paraId="01FF7FF6" w14:textId="77777777" w:rsidR="00093845" w:rsidRDefault="000D779E">
      <w:pPr>
        <w:pStyle w:val="Pagrindiniotekstotrauka"/>
        <w:tabs>
          <w:tab w:val="left" w:pos="720"/>
          <w:tab w:val="left" w:pos="1077"/>
          <w:tab w:val="left" w:pos="1418"/>
          <w:tab w:val="left" w:pos="9356"/>
        </w:tabs>
        <w:ind w:right="-5" w:firstLine="709"/>
        <w:rPr>
          <w:rFonts w:ascii="Times New Roman" w:hAnsi="Times New Roman" w:cs="Times New Roman"/>
          <w:b/>
          <w:bCs/>
          <w:lang w:val="lt-LT"/>
        </w:rPr>
      </w:pPr>
      <w:r w:rsidRPr="00B672FC">
        <w:rPr>
          <w:rFonts w:ascii="Times New Roman" w:hAnsi="Times New Roman" w:cs="Times New Roman"/>
          <w:b/>
          <w:bCs/>
          <w:lang w:val="lt-LT"/>
        </w:rPr>
        <w:t>K</w:t>
      </w:r>
      <w:r>
        <w:rPr>
          <w:rFonts w:ascii="Times New Roman" w:hAnsi="Times New Roman" w:cs="Times New Roman"/>
          <w:b/>
          <w:bCs/>
          <w:lang w:val="lt-LT"/>
        </w:rPr>
        <w:t>omentaras</w:t>
      </w:r>
    </w:p>
    <w:p w14:paraId="41DC9F17" w14:textId="77777777" w:rsidR="00093845" w:rsidRDefault="000D779E">
      <w:pPr>
        <w:pStyle w:val="Pagrindiniotekstotrauka"/>
        <w:tabs>
          <w:tab w:val="left" w:pos="720"/>
          <w:tab w:val="left" w:pos="1077"/>
          <w:tab w:val="left" w:pos="1418"/>
          <w:tab w:val="left" w:pos="9356"/>
        </w:tabs>
        <w:ind w:right="-5" w:firstLine="709"/>
        <w:rPr>
          <w:rFonts w:ascii="Times New Roman" w:hAnsi="Times New Roman" w:cs="Times New Roman"/>
        </w:rPr>
      </w:pPr>
      <w:r>
        <w:rPr>
          <w:rFonts w:ascii="Times New Roman" w:hAnsi="Times New Roman" w:cs="Times New Roman"/>
        </w:rPr>
        <w:t xml:space="preserve">Paramos ir labdaros teikimo tvarka, kai parama ir labdara priskiriama leidžiamiems atskaitymams, paaiškinta šio įstatymo 28 straipsnio komentare. Jeigu parama teikiama ne PMĮ 28 straipsnyje nustatyta tvarka, jos vertė priskiriama neleidžiamiems atskaitymams. Neleidžiamiems atskaitymams taip pat priskiriamos kitam vienetui arba gyventojui, išskyrus darbuotojus, neatlygintinai (be atlygio) perleistos lėšos, perduoto turto ar suteiktų paslaugų vertė. </w:t>
      </w:r>
    </w:p>
    <w:p w14:paraId="47CFFAF7" w14:textId="77777777" w:rsidR="00093845" w:rsidRDefault="000D779E">
      <w:pPr>
        <w:ind w:firstLine="720"/>
        <w:jc w:val="both"/>
      </w:pPr>
      <w:r>
        <w:t>Vienetui nemokamai gavusiam turtą jo įsigijimo kainos nustatymo tvarka paaiškinta PMĮ 14 straipsnio komentare.</w:t>
      </w:r>
    </w:p>
    <w:p w14:paraId="10DBBCC3" w14:textId="77777777" w:rsidR="00093845" w:rsidRDefault="000D779E">
      <w:pPr>
        <w:ind w:firstLine="720"/>
        <w:jc w:val="both"/>
      </w:pPr>
      <w:r>
        <w:t>Darbuotojams įteiktų dovanų vertė, kuri pagal Lietuvos Respublikos gyventojų pajamų mokesčio įstatymo nuostatas yra gyventojų pajamų mokesčio objektas, apskaičiuojant apmokestinamąjį pelną, yra priskiriama leidžiamiems atskaitymams (žr. PMĮ 17 straipsnio 1 dalies komentarą).</w:t>
      </w:r>
    </w:p>
    <w:p w14:paraId="58E52EF3" w14:textId="77777777" w:rsidR="00093845" w:rsidRDefault="000D779E">
      <w:pPr>
        <w:ind w:firstLine="720"/>
        <w:jc w:val="both"/>
      </w:pPr>
      <w:r>
        <w:t xml:space="preserve">Kadangi dovanojimo veiksmas, kaip ir bet kuris kitas teisinis veiksmas, yra motyvuotas, todėl kilus pagrįstoms abejonėms dėl dovanojimo sutartį sudariusios šalies tikrosios valios turinio, mokesčių administratorius remiantis Lietuvos Respublikos </w:t>
      </w:r>
      <w:hyperlink r:id="rId89" w:history="1">
        <w:r>
          <w:t>mokesčių administravimo įstatymo</w:t>
        </w:r>
      </w:hyperlink>
      <w:r>
        <w:t xml:space="preserve"> 10 straipsniu gali apibūdinti tokį sandorį pagal jo turinį, neatsižvelgiant į formaliąją sandorio pusę. Minėtu atveju </w:t>
      </w:r>
      <w:bookmarkStart w:id="475" w:name="OLE_LINK1"/>
      <w:bookmarkStart w:id="476" w:name="OLE_LINK2"/>
      <w:r>
        <w:t>toks turto perleidimas laikomas jo pardavimu ir apmokestinamas PMĮ nustatyta tvarka.</w:t>
      </w:r>
    </w:p>
    <w:bookmarkEnd w:id="475"/>
    <w:bookmarkEnd w:id="476"/>
    <w:p w14:paraId="6B46FD43" w14:textId="77777777" w:rsidR="00093845" w:rsidRDefault="000D779E">
      <w:pPr>
        <w:ind w:firstLine="720"/>
        <w:jc w:val="both"/>
      </w:pPr>
      <w:r>
        <w:t>Pavyzdys</w:t>
      </w:r>
    </w:p>
    <w:p w14:paraId="1D6EDD24"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Lietuvos vienetas pagal dovanojimo sutartį neatlygintinai perleidžia užsienio valstybės  pelno siekiančiam vienetui  ilgalaikį turtą - patalpas. </w:t>
      </w:r>
    </w:p>
    <w:p w14:paraId="412673D6"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Nors formaliai turto perleidimo sandoris bus įformintas kaip dovana, tačiau iš esmės toks sandoris neatitinka dovanojimo sutarties sąvokos (ekonomiškai nepagrįstos dovanojimo priežastys (motyvai), didelė turto vertė), todėl PMĮ prasme laikomas jo pardavimu ir apmokestinamas PMĮ nustatyta tvarka.</w:t>
      </w:r>
    </w:p>
    <w:p w14:paraId="7B36B6B3" w14:textId="77777777" w:rsidR="00093845" w:rsidRDefault="00093845">
      <w:pPr>
        <w:pBdr>
          <w:top w:val="single" w:sz="4" w:space="1" w:color="auto"/>
          <w:left w:val="single" w:sz="4" w:space="4" w:color="auto"/>
          <w:bottom w:val="single" w:sz="4" w:space="1" w:color="auto"/>
          <w:right w:val="single" w:sz="4" w:space="4" w:color="auto"/>
        </w:pBdr>
        <w:jc w:val="both"/>
        <w:rPr>
          <w:rFonts w:ascii="Trebuchet MS" w:hAnsi="Trebuchet MS"/>
        </w:rPr>
      </w:pPr>
    </w:p>
    <w:p w14:paraId="7D0BE8AF" w14:textId="77777777" w:rsidR="00093845" w:rsidRDefault="000D779E">
      <w:pPr>
        <w:ind w:firstLine="720"/>
        <w:jc w:val="both"/>
      </w:pPr>
      <w:r>
        <w:t>Atkreipiame dėmesį į tai, kad reprezentacijos ir reklamos tikslais įteiktų dovanų ir suvenyrų vertė yra priskiriama ribojamų dydžių leidžiamiems atskaitymams vadovaujantis PMĮ 22 straipsnio nuostatomis. Reklamos ir reprezentacijos sąnaudų pripažinimo tvarka paaiškinta PMĮ 22 straipsnio komentare.</w:t>
      </w:r>
    </w:p>
    <w:p w14:paraId="4CEA84EC" w14:textId="77777777" w:rsidR="00093845" w:rsidRDefault="00891526">
      <w:pPr>
        <w:tabs>
          <w:tab w:val="left" w:pos="720"/>
          <w:tab w:val="left" w:pos="1077"/>
        </w:tabs>
        <w:jc w:val="both"/>
        <w:rPr>
          <w:bCs/>
        </w:rPr>
      </w:pPr>
      <w:r>
        <w:rPr>
          <w:bCs/>
        </w:rPr>
        <w:t xml:space="preserve">            </w:t>
      </w:r>
      <w:r w:rsidR="000D779E">
        <w:rPr>
          <w:bCs/>
        </w:rPr>
        <w:t>(Pakeista pagal 2015-04-21 VMI prie FM raštą Nr. (32.42-31-1)RM-7785</w:t>
      </w:r>
    </w:p>
    <w:p w14:paraId="5BFA3B9B" w14:textId="77777777" w:rsidR="00093845" w:rsidRDefault="00093845">
      <w:pPr>
        <w:ind w:firstLine="720"/>
        <w:jc w:val="both"/>
      </w:pPr>
    </w:p>
    <w:p w14:paraId="29CD9C66" w14:textId="77777777" w:rsidR="00093845" w:rsidRDefault="000D779E" w:rsidP="00EC4E29">
      <w:pPr>
        <w:pStyle w:val="Pagrindiniotekstotrauka2"/>
        <w:numPr>
          <w:ilvl w:val="0"/>
          <w:numId w:val="34"/>
        </w:numPr>
        <w:tabs>
          <w:tab w:val="left" w:pos="720"/>
          <w:tab w:val="left" w:pos="1077"/>
          <w:tab w:val="left" w:pos="1418"/>
        </w:tabs>
        <w:spacing w:line="240" w:lineRule="auto"/>
        <w:rPr>
          <w:bCs w:val="0"/>
          <w:szCs w:val="20"/>
        </w:rPr>
      </w:pPr>
      <w:r>
        <w:rPr>
          <w:bCs w:val="0"/>
        </w:rPr>
        <w:t>išmokos, nepagrįstos šio straipsnio 2 dalyje nustatytais įrodymais, bei išmokos, neapmokestintos šio Įstatymo 37 straipsnyje nustatyta tvarka;</w:t>
      </w:r>
    </w:p>
    <w:p w14:paraId="4FF5CEE5"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240EF8DE" w14:textId="77777777" w:rsidR="00093845" w:rsidRDefault="000D779E">
      <w:pPr>
        <w:tabs>
          <w:tab w:val="left" w:pos="720"/>
          <w:tab w:val="left" w:pos="1077"/>
          <w:tab w:val="left" w:pos="1418"/>
        </w:tabs>
        <w:ind w:firstLine="720"/>
        <w:jc w:val="both"/>
        <w:rPr>
          <w:bCs/>
          <w:szCs w:val="20"/>
          <w:lang w:val="lt-LT"/>
        </w:rPr>
      </w:pPr>
      <w:r>
        <w:rPr>
          <w:bCs/>
          <w:szCs w:val="20"/>
          <w:lang w:val="lt-LT"/>
        </w:rPr>
        <w:t>Šio straipsnio 1 dalies 10 punkte nustatyta, kad neleidžiamiems atskaitymams priskiriamos:</w:t>
      </w:r>
    </w:p>
    <w:p w14:paraId="6D6E0FAC" w14:textId="77777777" w:rsidR="00093845" w:rsidRDefault="000D779E">
      <w:pPr>
        <w:tabs>
          <w:tab w:val="left" w:pos="1080"/>
        </w:tabs>
        <w:ind w:right="-5" w:firstLine="720"/>
        <w:jc w:val="both"/>
        <w:rPr>
          <w:bCs/>
          <w:szCs w:val="20"/>
          <w:lang w:val="lt-LT"/>
        </w:rPr>
      </w:pPr>
      <w:r>
        <w:rPr>
          <w:bCs/>
          <w:szCs w:val="20"/>
          <w:lang w:val="lt-LT"/>
        </w:rPr>
        <w:t>1.</w:t>
      </w:r>
      <w:r>
        <w:rPr>
          <w:bCs/>
          <w:szCs w:val="20"/>
          <w:lang w:val="lt-LT"/>
        </w:rPr>
        <w:tab/>
        <w:t>Bet kokios išmokos tikslinėse teritorijose įregistruotiems arba kitaip organizuotiems vienetams (išskyrus išmokas už materialines vertybes, jeigu Lietuvos vienetas arba nuolatinė buveinė turi dokumentus, patvirtinančius šių vertybių įvežimą), jei jas išmokantis Lietuvos vienetas ar nuolatinė buveinė negali pagrįsti, kad tokios išmokos yra susijusios su Lietuvos vieneto ar nuolatinės buveinės vykdoma įprastine veikla. Įrodymų pateikimo tvarka paaiškinta šio straipsnio 2 dalies komentare.</w:t>
      </w:r>
    </w:p>
    <w:p w14:paraId="325C2E13" w14:textId="77777777" w:rsidR="00093845" w:rsidRDefault="000D779E">
      <w:pPr>
        <w:tabs>
          <w:tab w:val="left" w:pos="720"/>
          <w:tab w:val="left" w:pos="1077"/>
          <w:tab w:val="left" w:pos="1418"/>
        </w:tabs>
        <w:ind w:firstLine="720"/>
        <w:jc w:val="both"/>
        <w:rPr>
          <w:bCs/>
          <w:szCs w:val="20"/>
          <w:lang w:val="lt-LT"/>
        </w:rPr>
      </w:pPr>
      <w:r>
        <w:rPr>
          <w:bCs/>
          <w:szCs w:val="20"/>
          <w:lang w:val="lt-LT"/>
        </w:rPr>
        <w:t>2.</w:t>
      </w:r>
      <w:r>
        <w:rPr>
          <w:bCs/>
          <w:szCs w:val="20"/>
          <w:lang w:val="lt-LT"/>
        </w:rPr>
        <w:tab/>
        <w:t>Išmokos užsienio vienetams, gaunantiems pajamas ne per nuolatines buveines Lietuvos teritorijoje, jeigu jos turėjo būti, bet nebuvo apmokestintos PMĮ 37 straipsnyje nustatyta tvarka.</w:t>
      </w:r>
    </w:p>
    <w:p w14:paraId="15605AA8" w14:textId="77777777" w:rsidR="00093845" w:rsidRDefault="000D779E">
      <w:pPr>
        <w:tabs>
          <w:tab w:val="left" w:pos="720"/>
          <w:tab w:val="left" w:pos="1077"/>
          <w:tab w:val="left" w:pos="1418"/>
        </w:tabs>
        <w:ind w:firstLine="720"/>
        <w:jc w:val="both"/>
        <w:rPr>
          <w:lang w:val="lt-LT"/>
        </w:rPr>
      </w:pPr>
      <w:r>
        <w:rPr>
          <w:lang w:val="lt-LT"/>
        </w:rPr>
        <w:t>Pelno mokesčio prie pajamų šaltinio apmokestinimo atvejai ir tvarka paaiškinta PMĮ 37 straipsnio komentare.</w:t>
      </w:r>
    </w:p>
    <w:p w14:paraId="2C82AB03" w14:textId="77777777" w:rsidR="00093845" w:rsidRDefault="000D779E">
      <w:pPr>
        <w:tabs>
          <w:tab w:val="left" w:pos="720"/>
          <w:tab w:val="left" w:pos="1077"/>
          <w:tab w:val="left" w:pos="1418"/>
        </w:tabs>
        <w:ind w:firstLine="720"/>
        <w:jc w:val="both"/>
        <w:rPr>
          <w:bCs/>
          <w:szCs w:val="20"/>
          <w:lang w:val="lt-LT"/>
        </w:rPr>
      </w:pPr>
      <w:r>
        <w:rPr>
          <w:bCs/>
          <w:szCs w:val="20"/>
          <w:lang w:val="lt-LT"/>
        </w:rPr>
        <w:t xml:space="preserve">Tuo atveju, kai vienetas PMĮ 37 straipsnyje nustatyta tvarka neišskaičiuoja pelno mokesčio prie pajamų šaltinio iš užsienio vienetui mokamų sumų, tačiau mokestį sumoka iš savo lėšų, užsienio vienetui išmokėtos sumos laikomos leidžiamais atskaitymais. </w:t>
      </w:r>
    </w:p>
    <w:p w14:paraId="2BE74C9C" w14:textId="77777777" w:rsidR="00093845" w:rsidRDefault="000D779E">
      <w:pPr>
        <w:tabs>
          <w:tab w:val="left" w:pos="720"/>
          <w:tab w:val="left" w:pos="1077"/>
          <w:tab w:val="left" w:pos="1418"/>
        </w:tabs>
        <w:ind w:firstLine="720"/>
        <w:jc w:val="both"/>
        <w:rPr>
          <w:b/>
          <w:szCs w:val="20"/>
          <w:lang w:val="lt-LT"/>
        </w:rPr>
      </w:pPr>
      <w:r>
        <w:rPr>
          <w:b/>
          <w:lang w:val="lt-LT"/>
        </w:rPr>
        <w:t>11)</w:t>
      </w:r>
      <w:r>
        <w:rPr>
          <w:b/>
          <w:lang w:val="lt-LT"/>
        </w:rPr>
        <w:tab/>
        <w:t>vieneto padarytos žalos atlyginimas;</w:t>
      </w:r>
    </w:p>
    <w:p w14:paraId="6372D130"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6D01A72" w14:textId="77777777" w:rsidR="00093845" w:rsidRDefault="000D779E">
      <w:pPr>
        <w:tabs>
          <w:tab w:val="left" w:pos="720"/>
          <w:tab w:val="left" w:pos="1077"/>
          <w:tab w:val="left" w:pos="1418"/>
        </w:tabs>
        <w:ind w:firstLine="720"/>
        <w:jc w:val="both"/>
        <w:rPr>
          <w:lang w:val="lt-LT"/>
        </w:rPr>
      </w:pPr>
      <w:r>
        <w:rPr>
          <w:lang w:val="lt-LT"/>
        </w:rPr>
        <w:t>Kai vienetas pats (ne draudimo įmonė) kompensuoja kitam asmeniui padarytą žalą (savo noru arba teismo sprendimu) išmokėta žalos atlyginimo suma priskiriama neleidžiamiems atskaitymams. Neleidžiamiems atskaitymams taip pat priskiriama darbuotojui išmokėta žalos atlyginimo suma, įvykus nelaimingam atsitikimui darbe dėl vieneto kaltės.</w:t>
      </w:r>
    </w:p>
    <w:p w14:paraId="3893527E" w14:textId="77777777" w:rsidR="00093845" w:rsidRDefault="000D779E">
      <w:pPr>
        <w:ind w:firstLine="720"/>
        <w:jc w:val="both"/>
        <w:rPr>
          <w:b/>
          <w:lang w:val="lt-LT" w:eastAsia="lt-LT"/>
        </w:rPr>
      </w:pPr>
      <w:r>
        <w:rPr>
          <w:b/>
          <w:lang w:val="lt-LT" w:eastAsia="lt-LT"/>
        </w:rPr>
        <w:t xml:space="preserve">12)  dividendai  ar  kitaip  paskirstytas  pelnas (pelno dalis, paskirta </w:t>
      </w:r>
      <w:r>
        <w:rPr>
          <w:b/>
          <w:bCs/>
          <w:lang w:val="lt-LT" w:eastAsia="lt-LT"/>
        </w:rPr>
        <w:t xml:space="preserve">metinėms išmokoms (tantjemoms) už valdybos ar stebėtojų tarybos narių veiklą, </w:t>
      </w:r>
      <w:r>
        <w:rPr>
          <w:b/>
          <w:lang w:val="lt-LT" w:eastAsia="lt-LT"/>
        </w:rPr>
        <w:t>darbuotojų naudai ar šio Įstatymo 26 straipsnio 2 dalyje nurodytai naudai teikti, nelaikoma paskirstytu pelnu);</w:t>
      </w:r>
    </w:p>
    <w:p w14:paraId="06D085C4" w14:textId="77777777" w:rsidR="00093845" w:rsidRPr="00891526" w:rsidRDefault="000D779E" w:rsidP="00B672FC">
      <w:pPr>
        <w:jc w:val="both"/>
        <w:rPr>
          <w:b/>
          <w:i/>
          <w:lang w:val="lt-LT"/>
        </w:rPr>
      </w:pPr>
      <w:r w:rsidRPr="00891526">
        <w:rPr>
          <w:i/>
          <w:lang w:val="lt-LT"/>
        </w:rPr>
        <w:t xml:space="preserve">(KEISTA: </w:t>
      </w:r>
      <w:r w:rsidRPr="00891526">
        <w:rPr>
          <w:i/>
        </w:rPr>
        <w:t>2010 11 23 įstatymu Nr. XI-1156 (nuo 2010 12 11)</w:t>
      </w:r>
      <w:r w:rsidR="00A32EA8" w:rsidRPr="00891526">
        <w:rPr>
          <w:i/>
        </w:rPr>
        <w:t>,</w:t>
      </w:r>
      <w:r w:rsidR="00AF3797" w:rsidRPr="00891526">
        <w:rPr>
          <w:i/>
        </w:rPr>
        <w:t xml:space="preserve"> taikoma apskaičiuojant 2010 metų ir vėlesnių metų mokestinių laikotarpių pelno mokestį</w:t>
      </w:r>
      <w:r w:rsidRPr="00891526">
        <w:rPr>
          <w:i/>
          <w:lang w:val="lt-LT"/>
        </w:rPr>
        <w:t>)</w:t>
      </w:r>
    </w:p>
    <w:p w14:paraId="08A86974" w14:textId="77777777" w:rsidR="00093845" w:rsidRPr="00B672FC" w:rsidRDefault="000D779E">
      <w:pPr>
        <w:pStyle w:val="Antrat1"/>
        <w:ind w:firstLine="720"/>
        <w:jc w:val="both"/>
        <w:rPr>
          <w:color w:val="000000"/>
          <w:lang w:val="lt-LT"/>
        </w:rPr>
      </w:pPr>
      <w:r w:rsidRPr="00B672FC">
        <w:rPr>
          <w:color w:val="000000"/>
          <w:lang w:val="lt-LT"/>
        </w:rPr>
        <w:t>Komentaras</w:t>
      </w:r>
    </w:p>
    <w:p w14:paraId="3FE231ED" w14:textId="77777777" w:rsidR="00093845" w:rsidRDefault="000D779E">
      <w:pPr>
        <w:tabs>
          <w:tab w:val="left" w:pos="720"/>
          <w:tab w:val="left" w:pos="1080"/>
        </w:tabs>
        <w:jc w:val="both"/>
        <w:rPr>
          <w:strike/>
          <w:lang w:val="lt-LT"/>
        </w:rPr>
      </w:pPr>
      <w:r>
        <w:rPr>
          <w:bCs/>
          <w:color w:val="000000"/>
          <w:lang w:val="lt-LT"/>
        </w:rPr>
        <w:tab/>
        <w:t>1. Neleidžiamiems atskaitymams priskiriami vieneto dalyviams išmokami dividendai ar kitos pajamos iš paskirstytojo pelno.</w:t>
      </w:r>
    </w:p>
    <w:p w14:paraId="63A22012" w14:textId="77777777" w:rsidR="00093845" w:rsidRDefault="000D779E">
      <w:pPr>
        <w:tabs>
          <w:tab w:val="left" w:pos="720"/>
          <w:tab w:val="left" w:pos="1080"/>
        </w:tabs>
        <w:jc w:val="both"/>
        <w:rPr>
          <w:strike/>
          <w:lang w:val="lt-LT"/>
        </w:rPr>
      </w:pPr>
      <w:r>
        <w:rPr>
          <w:b/>
          <w:bCs/>
          <w:color w:val="000000"/>
          <w:lang w:val="lt-LT"/>
        </w:rPr>
        <w:tab/>
      </w:r>
      <w:r>
        <w:rPr>
          <w:bCs/>
          <w:color w:val="000000"/>
          <w:lang w:val="lt-LT"/>
        </w:rPr>
        <w:t>2. Paskirstytuoju pelnu nelaikoma</w:t>
      </w:r>
      <w:r>
        <w:rPr>
          <w:lang w:val="lt-LT"/>
        </w:rPr>
        <w:t xml:space="preserve"> ir apskaičiuojant 2010 metų ir vėlesnių mokestinių laikotarpių pelno mokestį leidžiamiems atskaitymams priskiriama</w:t>
      </w:r>
      <w:r>
        <w:rPr>
          <w:bCs/>
          <w:color w:val="000000"/>
          <w:lang w:val="lt-LT"/>
        </w:rPr>
        <w:t>:</w:t>
      </w:r>
    </w:p>
    <w:p w14:paraId="5DB53D9C" w14:textId="77777777" w:rsidR="00093845" w:rsidRDefault="000D779E" w:rsidP="00EC4E29">
      <w:pPr>
        <w:numPr>
          <w:ilvl w:val="0"/>
          <w:numId w:val="35"/>
        </w:numPr>
        <w:tabs>
          <w:tab w:val="left" w:pos="0"/>
          <w:tab w:val="left" w:pos="720"/>
          <w:tab w:val="left" w:pos="1080"/>
        </w:tabs>
        <w:ind w:left="0" w:firstLine="720"/>
        <w:jc w:val="both"/>
        <w:rPr>
          <w:bCs/>
          <w:lang w:val="lt-LT" w:eastAsia="lt-LT"/>
        </w:rPr>
      </w:pPr>
      <w:r>
        <w:rPr>
          <w:color w:val="000000"/>
          <w:lang w:val="lt-LT" w:eastAsia="lt-LT"/>
        </w:rPr>
        <w:t>pelno</w:t>
      </w:r>
      <w:r>
        <w:rPr>
          <w:lang w:val="lt-LT" w:eastAsia="lt-LT"/>
        </w:rPr>
        <w:t xml:space="preserve"> dalis, paskirta </w:t>
      </w:r>
      <w:r>
        <w:rPr>
          <w:bCs/>
          <w:lang w:val="lt-LT" w:eastAsia="lt-LT"/>
        </w:rPr>
        <w:t xml:space="preserve">metinėms išmokoms (tantjemoms) už valdybos ar stebėtojų tarybos narių veiklą, </w:t>
      </w:r>
    </w:p>
    <w:p w14:paraId="0D09792B" w14:textId="77777777" w:rsidR="00093845" w:rsidRDefault="000D779E" w:rsidP="00EC4E29">
      <w:pPr>
        <w:numPr>
          <w:ilvl w:val="0"/>
          <w:numId w:val="35"/>
        </w:numPr>
        <w:tabs>
          <w:tab w:val="left" w:pos="0"/>
          <w:tab w:val="left" w:pos="720"/>
          <w:tab w:val="left" w:pos="1080"/>
        </w:tabs>
        <w:ind w:left="0" w:firstLine="720"/>
        <w:jc w:val="both"/>
        <w:rPr>
          <w:bCs/>
          <w:lang w:eastAsia="lt-LT"/>
        </w:rPr>
      </w:pPr>
      <w:r>
        <w:rPr>
          <w:lang w:val="lt-LT"/>
        </w:rPr>
        <w:t>vieneto pelno dalis, paskirta išlaidoms darbuotojų naudai, jei ši darbuotojų gauta nauda pagal Lietuvos Respublikos gyventojų pajamų mokesčio įstatymo nuostatas yra gyventojų pajamų mokesčio objektas (nauda priskiriama gyventojų apmokestinamosioms arba neapmokestinamosioms pajamoms)</w:t>
      </w:r>
      <w:r>
        <w:rPr>
          <w:bCs/>
          <w:lang w:val="lt-LT" w:eastAsia="lt-LT"/>
        </w:rPr>
        <w:t xml:space="preserve"> </w:t>
      </w:r>
      <w:r>
        <w:rPr>
          <w:lang w:val="lt-LT" w:eastAsia="lt-LT"/>
        </w:rPr>
        <w:t xml:space="preserve">(žr. </w:t>
      </w:r>
      <w:r>
        <w:rPr>
          <w:lang w:eastAsia="lt-LT"/>
        </w:rPr>
        <w:t>PMĮ 17 str. komentarą).</w:t>
      </w:r>
    </w:p>
    <w:p w14:paraId="3F7A24E3" w14:textId="77777777" w:rsidR="00093845" w:rsidRDefault="000D779E">
      <w:pPr>
        <w:ind w:firstLine="720"/>
        <w:jc w:val="both"/>
      </w:pPr>
      <w:r>
        <w:lastRenderedPageBreak/>
        <w:t xml:space="preserve">3. </w:t>
      </w:r>
      <w:r>
        <w:rPr>
          <w:bCs/>
          <w:color w:val="000000"/>
        </w:rPr>
        <w:t>Paskirstytuoju pelnu nelaikoma</w:t>
      </w:r>
      <w:r>
        <w:t xml:space="preserve"> ir apskaičiuojant 2010 metų ir vėlesnių mokestinių laikotarpių pelno mokestį ribojamų dydžių leidžiamiems atskaitymams priskiriama vieneto pelno dalis, paskirta išlaidoms </w:t>
      </w:r>
      <w:r>
        <w:rPr>
          <w:bCs/>
        </w:rPr>
        <w:t>darbuotojų ir (arba) jų šeimos narių naudai</w:t>
      </w:r>
      <w:r>
        <w:t xml:space="preserve"> pagal </w:t>
      </w:r>
      <w:r>
        <w:rPr>
          <w:lang w:eastAsia="lt-LT"/>
        </w:rPr>
        <w:t>PMĮ 26 str. 2 dalyje nustatytą tvarką (žr. PMĮ 26 str. 2 dalies komentarą).</w:t>
      </w:r>
    </w:p>
    <w:p w14:paraId="4BE5F021" w14:textId="77777777" w:rsidR="00093845" w:rsidRDefault="000D779E">
      <w:pPr>
        <w:tabs>
          <w:tab w:val="left" w:pos="720"/>
          <w:tab w:val="left" w:pos="1077"/>
        </w:tabs>
        <w:jc w:val="both"/>
      </w:pPr>
      <w:r>
        <w:tab/>
        <w:t xml:space="preserve">4. Vieneto pelno dalis, skirta tantjemoms, darbuotojų naudai </w:t>
      </w:r>
      <w:r>
        <w:rPr>
          <w:lang w:eastAsia="lt-LT"/>
        </w:rPr>
        <w:t xml:space="preserve">ar šio Įstatymo 26 straipsnio 2 dalyje nurodytai naudai teikti leidžiamiems atskaitymams </w:t>
      </w:r>
      <w:r>
        <w:t>gali būti priskiriamos tokia pačia tvarka, kaip jos priskiriamos sąnaudoms apskaitoje.</w:t>
      </w:r>
    </w:p>
    <w:p w14:paraId="4F3A0FC2" w14:textId="77777777" w:rsidR="00093845" w:rsidRDefault="000D779E">
      <w:pPr>
        <w:tabs>
          <w:tab w:val="left" w:pos="720"/>
          <w:tab w:val="left" w:pos="1080"/>
        </w:tabs>
        <w:jc w:val="both"/>
      </w:pPr>
      <w:r>
        <w:rPr>
          <w:lang w:eastAsia="lt-LT"/>
        </w:rPr>
        <w:tab/>
      </w:r>
    </w:p>
    <w:p w14:paraId="017B634A" w14:textId="77777777" w:rsidR="00093845" w:rsidRDefault="000D779E">
      <w:pPr>
        <w:pStyle w:val="Pagrindinistekstas"/>
        <w:tabs>
          <w:tab w:val="left" w:pos="720"/>
          <w:tab w:val="left" w:pos="1077"/>
          <w:tab w:val="left" w:pos="1134"/>
          <w:tab w:val="left" w:pos="1418"/>
        </w:tabs>
        <w:ind w:right="-85"/>
        <w:rPr>
          <w:bCs/>
        </w:rPr>
      </w:pPr>
      <w:r>
        <w:rPr>
          <w:bCs/>
        </w:rPr>
        <w:tab/>
        <w:t>1 Pavyzdys</w:t>
      </w:r>
    </w:p>
    <w:p w14:paraId="759CD13E"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80"/>
        </w:tabs>
        <w:jc w:val="both"/>
        <w:rPr>
          <w:rStyle w:val="Grietas"/>
          <w:bCs w:val="0"/>
        </w:rPr>
      </w:pPr>
      <w:r>
        <w:rPr>
          <w:lang w:eastAsia="lt-LT"/>
        </w:rPr>
        <w:tab/>
      </w:r>
      <w:r>
        <w:t xml:space="preserve">AB „ABC“ akcininkų susirinkimas 2011 m. kovo 15 d. skirstė pelną ir </w:t>
      </w:r>
      <w:r>
        <w:rPr>
          <w:rStyle w:val="Grietas"/>
          <w:b w:val="0"/>
        </w:rPr>
        <w:t xml:space="preserve">nutarė iš 2010 metų pelno tantjemoms skirti 20 000 Lt, kurie </w:t>
      </w:r>
      <w:r>
        <w:t>buvo priskirti bendrovės 2011 metų sąnaudoms ir valdybos nariams išmokėti 2011 m. balandžio 10 d. AB „ABC“, apskaičiuodama apmokestinamąjį pelną, šias išmokas priskirs 2011 metų leidžiamiems atskaitymams.</w:t>
      </w:r>
    </w:p>
    <w:p w14:paraId="1C141CAE" w14:textId="77777777" w:rsidR="00093845" w:rsidRDefault="00891526">
      <w:pPr>
        <w:tabs>
          <w:tab w:val="left" w:pos="720"/>
          <w:tab w:val="left" w:pos="1077"/>
        </w:tabs>
        <w:jc w:val="both"/>
        <w:rPr>
          <w:bCs/>
        </w:rPr>
      </w:pPr>
      <w:r>
        <w:rPr>
          <w:bCs/>
        </w:rPr>
        <w:t xml:space="preserve">            </w:t>
      </w:r>
      <w:r w:rsidR="000D779E">
        <w:rPr>
          <w:bCs/>
        </w:rPr>
        <w:t xml:space="preserve">(Pakeista pagal 2011-04-29 VMI prie FM raštą Nr.(18.10-31-1)-R-4292) </w:t>
      </w:r>
    </w:p>
    <w:p w14:paraId="4A9D0678" w14:textId="77777777" w:rsidR="00093845" w:rsidRDefault="000D779E">
      <w:pPr>
        <w:tabs>
          <w:tab w:val="left" w:pos="720"/>
          <w:tab w:val="left" w:pos="1077"/>
        </w:tabs>
        <w:ind w:firstLine="540"/>
        <w:jc w:val="both"/>
        <w:rPr>
          <w:b/>
          <w:szCs w:val="20"/>
        </w:rPr>
      </w:pPr>
      <w:r>
        <w:rPr>
          <w:iCs/>
          <w:lang w:val="lt-LT"/>
        </w:rPr>
        <w:t xml:space="preserve">   </w:t>
      </w:r>
      <w:r>
        <w:rPr>
          <w:b/>
        </w:rPr>
        <w:t>13) kitos nesusiję su pajamų uždirbimu ir neįprastinės vieneto vykdomai veiklai sąnaudos bei sąnaudos, nelaikomos leidžiamais atskaitymais pagal šį Įstatymą;</w:t>
      </w:r>
    </w:p>
    <w:p w14:paraId="050DF979" w14:textId="77777777" w:rsidR="00093845" w:rsidRDefault="000D779E">
      <w:pPr>
        <w:tabs>
          <w:tab w:val="left" w:pos="720"/>
          <w:tab w:val="left" w:pos="1077"/>
          <w:tab w:val="left" w:pos="1418"/>
        </w:tabs>
        <w:ind w:firstLine="540"/>
        <w:jc w:val="both"/>
        <w:rPr>
          <w:b/>
        </w:rPr>
      </w:pPr>
      <w:r>
        <w:rPr>
          <w:b/>
        </w:rPr>
        <w:t>Komentaras</w:t>
      </w:r>
    </w:p>
    <w:p w14:paraId="04283C33" w14:textId="77777777" w:rsidR="00093845" w:rsidRDefault="000D779E">
      <w:pPr>
        <w:pStyle w:val="Pagrindiniotekstotrauka"/>
        <w:tabs>
          <w:tab w:val="left" w:pos="720"/>
          <w:tab w:val="left" w:pos="1077"/>
          <w:tab w:val="left" w:pos="1418"/>
        </w:tabs>
        <w:ind w:firstLine="540"/>
        <w:rPr>
          <w:iCs/>
        </w:rPr>
      </w:pPr>
      <w:r>
        <w:rPr>
          <w:iCs/>
        </w:rPr>
        <w:t>1. Šio str. 1 d. 13 punkte nustatyta, kad su pajamų uždirbimu nesusijusios sąnaudos priskiriamos neleidžiamiems atskaitymams.</w:t>
      </w:r>
    </w:p>
    <w:p w14:paraId="169A2E92" w14:textId="77777777" w:rsidR="00093845" w:rsidRDefault="000D779E">
      <w:pPr>
        <w:tabs>
          <w:tab w:val="left" w:pos="720"/>
          <w:tab w:val="left" w:pos="1077"/>
          <w:tab w:val="left" w:pos="1418"/>
        </w:tabs>
        <w:ind w:right="-5" w:firstLine="709"/>
        <w:jc w:val="both"/>
        <w:rPr>
          <w:b/>
        </w:rPr>
      </w:pPr>
      <w:r>
        <w:rPr>
          <w:b/>
        </w:rPr>
        <w:t>Su pajamų uždirbimu nesusijusioms sąnaudoms priskiriamos ir laikomos neleidžiamais atskaitymais pramogų, poilsio, iškylavimo ar kitos sąnaudos, kurios nesiejamos su vieneto įprastine veikla.</w:t>
      </w:r>
    </w:p>
    <w:p w14:paraId="33F959CD" w14:textId="77777777" w:rsidR="00093845" w:rsidRDefault="000D779E">
      <w:pPr>
        <w:tabs>
          <w:tab w:val="left" w:pos="720"/>
          <w:tab w:val="left" w:pos="1077"/>
          <w:tab w:val="left" w:pos="1418"/>
        </w:tabs>
        <w:ind w:firstLine="540"/>
        <w:jc w:val="both"/>
        <w:rPr>
          <w:iCs/>
        </w:rPr>
      </w:pPr>
      <w:r>
        <w:rPr>
          <w:iCs/>
        </w:rPr>
        <w:t>1 pavyzdys</w:t>
      </w:r>
    </w:p>
    <w:p w14:paraId="7FF6E13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540"/>
        <w:jc w:val="both"/>
        <w:rPr>
          <w:szCs w:val="20"/>
        </w:rPr>
      </w:pPr>
      <w:r>
        <w:t>Vieneto veikla – prekyba automobiliais. Tačiau šis vienetas yra įsigijęs žirgyną, kurio paslaugomis nemokamai naudojasi vieneto dalyviai ir svečiai. Žirgyno išlaikymo išlaidos per mokestinį laikotarpį sudaro 80 tūkst. Lt. Šios išlaidos priskiriamos neleidžiamiems atskaitymams, nes jos nėra įprastinės vieneto vykdomai veiklai patirtos sąnaudos ir yra nesusijusios su pajamų uždirbimu.</w:t>
      </w:r>
    </w:p>
    <w:p w14:paraId="3D2BE436" w14:textId="77777777" w:rsidR="00093845" w:rsidRDefault="000D779E">
      <w:pPr>
        <w:ind w:firstLine="540"/>
        <w:jc w:val="both"/>
      </w:pPr>
      <w:r>
        <w:t>2 pavyzdys</w:t>
      </w:r>
    </w:p>
    <w:p w14:paraId="57DEB99E" w14:textId="77777777" w:rsidR="00093845" w:rsidRDefault="000D779E">
      <w:pPr>
        <w:pBdr>
          <w:top w:val="single" w:sz="4" w:space="1" w:color="auto"/>
          <w:left w:val="single" w:sz="4" w:space="4" w:color="auto"/>
          <w:bottom w:val="single" w:sz="4" w:space="1" w:color="auto"/>
          <w:right w:val="single" w:sz="4" w:space="4" w:color="auto"/>
        </w:pBdr>
        <w:ind w:firstLine="540"/>
        <w:jc w:val="both"/>
      </w:pPr>
      <w:r>
        <w:t>Vienetas įsigijo patalpas ir baldus. Patalpos bei baldai nėra naudojami vieneto vykdomoje veikloje. Jais neatlygintinai naudojasi vieneto dalyvis, kuris nėra vieneto darbuotojas. Vienetas papildomai apmoka visas išlaidas, susijusias su patalpų eksploatacija.</w:t>
      </w:r>
    </w:p>
    <w:p w14:paraId="1683BF9D" w14:textId="77777777" w:rsidR="00093845" w:rsidRDefault="000D779E">
      <w:pPr>
        <w:pBdr>
          <w:top w:val="single" w:sz="4" w:space="1" w:color="auto"/>
          <w:left w:val="single" w:sz="4" w:space="4" w:color="auto"/>
          <w:bottom w:val="single" w:sz="4" w:space="1" w:color="auto"/>
          <w:right w:val="single" w:sz="4" w:space="4" w:color="auto"/>
        </w:pBdr>
        <w:ind w:firstLine="540"/>
        <w:jc w:val="both"/>
        <w:rPr>
          <w:strike/>
        </w:rPr>
      </w:pPr>
      <w:r>
        <w:t>Vieneto patirtos išlaidos (patalpų ir baldų nusidėvėjimas, eksploatacinės išlaidos) priskiriamos neleidžiamiems atskaitymams, nes jos nėra įprastinės vieneto vykdomai veiklai patirtos sąnaudos ir yra nesusijusios su pajamų uždirbimu.</w:t>
      </w:r>
    </w:p>
    <w:p w14:paraId="575A9C03" w14:textId="77777777" w:rsidR="00093845" w:rsidRDefault="00891526">
      <w:pPr>
        <w:tabs>
          <w:tab w:val="left" w:pos="720"/>
          <w:tab w:val="left" w:pos="1077"/>
        </w:tabs>
        <w:jc w:val="both"/>
        <w:rPr>
          <w:bCs/>
        </w:rPr>
      </w:pPr>
      <w:r>
        <w:rPr>
          <w:bCs/>
        </w:rPr>
        <w:t xml:space="preserve">           </w:t>
      </w:r>
      <w:r w:rsidR="004454B8">
        <w:rPr>
          <w:bCs/>
        </w:rPr>
        <w:t xml:space="preserve"> </w:t>
      </w:r>
      <w:r>
        <w:rPr>
          <w:bCs/>
        </w:rPr>
        <w:t xml:space="preserve"> </w:t>
      </w:r>
      <w:r w:rsidR="000D779E">
        <w:rPr>
          <w:bCs/>
        </w:rPr>
        <w:t xml:space="preserve">(Pakeista pagal 2011-12-06 VMI prie FM raštą Nr.(18.18-31-1)-R-11429) </w:t>
      </w:r>
    </w:p>
    <w:p w14:paraId="4A1FFED9" w14:textId="77777777" w:rsidR="00093845" w:rsidRDefault="000D779E">
      <w:pPr>
        <w:tabs>
          <w:tab w:val="left" w:pos="720"/>
          <w:tab w:val="left" w:pos="1077"/>
          <w:tab w:val="left" w:pos="1418"/>
        </w:tabs>
        <w:ind w:firstLine="720"/>
        <w:jc w:val="both"/>
        <w:rPr>
          <w:szCs w:val="20"/>
          <w:lang w:val="lt-LT"/>
        </w:rPr>
      </w:pPr>
      <w:r>
        <w:rPr>
          <w:szCs w:val="20"/>
          <w:lang w:val="lt-LT"/>
        </w:rPr>
        <w:t>2. Neleidžiamiems atskaitymams taip pat priskiriamos neįprastinės vieneto vykdomai veiklai sąnaudos.</w:t>
      </w:r>
    </w:p>
    <w:p w14:paraId="4880A9EA" w14:textId="77777777" w:rsidR="00093845" w:rsidRDefault="000D779E">
      <w:pPr>
        <w:tabs>
          <w:tab w:val="left" w:pos="720"/>
          <w:tab w:val="left" w:pos="1077"/>
          <w:tab w:val="left" w:pos="1418"/>
        </w:tabs>
        <w:ind w:firstLine="720"/>
        <w:jc w:val="both"/>
        <w:rPr>
          <w:szCs w:val="20"/>
          <w:lang w:val="lt-LT"/>
        </w:rPr>
      </w:pPr>
      <w:r>
        <w:rPr>
          <w:szCs w:val="20"/>
          <w:lang w:val="lt-LT"/>
        </w:rPr>
        <w:t>Pavyzdys</w:t>
      </w:r>
    </w:p>
    <w:p w14:paraId="0B03631B" w14:textId="77777777" w:rsidR="00093845" w:rsidRDefault="000D779E">
      <w:pPr>
        <w:pStyle w:val="Pagrindinistekstas"/>
        <w:pBdr>
          <w:top w:val="single" w:sz="4" w:space="1" w:color="auto"/>
          <w:left w:val="single" w:sz="4" w:space="4" w:color="auto"/>
          <w:right w:val="single" w:sz="4" w:space="4" w:color="auto"/>
        </w:pBdr>
        <w:tabs>
          <w:tab w:val="left" w:pos="720"/>
          <w:tab w:val="left" w:pos="1077"/>
          <w:tab w:val="left" w:pos="1418"/>
        </w:tabs>
        <w:ind w:firstLine="720"/>
        <w:rPr>
          <w:bCs/>
          <w:caps/>
          <w:lang w:val="lt-LT"/>
        </w:rPr>
      </w:pPr>
      <w:r>
        <w:rPr>
          <w:bCs/>
          <w:lang w:val="lt-LT"/>
        </w:rPr>
        <w:lastRenderedPageBreak/>
        <w:t>Vienetas A, kurio įprastinė veikla yra prekyba, vienetui B pardavė prekes ir išrašė PVM sąskaitą faktūrą, kurioje nurodyta, kad prekių vertė – 10000 lt, PVM – 1800 lt, o visa prekių kaina – 11800 lt.</w:t>
      </w:r>
    </w:p>
    <w:p w14:paraId="1BFDC845"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Išrašytoje PVM sąskaitoje faktūroje nurodytą prekių kainą vienetas A, apskaičiuodamas apmokestinamąjį pelną, priskyrė pajamoms, o tų prekių įsigijimo kainą – sąnaudoms.</w:t>
      </w:r>
    </w:p>
    <w:p w14:paraId="71F8C127"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Buhalterinėje apskaitoje prekes skolon pardavęs vienetas A debetuoja 24 sąskaitą ,,Prekybos skolos“ (11800Lt) ir kredituoja 4701 sąskaitą ,,Mokėtinas pridėtinės vertės mokestis“ (1800 Lt) bei 50 sąskaitą ,,Pardavimai ir paslaugos“ (10000 Lt).</w:t>
      </w:r>
    </w:p>
    <w:p w14:paraId="6F16D6F2"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Vienetas B jai išrašytos pirktų prekių PVM sąskaitos faktūros sutartyje numatytu laiku neapmokėjo.</w:t>
      </w:r>
    </w:p>
    <w:p w14:paraId="5A4103C3"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Vadovaudamasis Civilinio kodekso 6.101 straipsniu, vienetas A su vienetu C, kuris tuo metu turėjo laisvų lėšų, sudarė atlygintino reikalavimo teisės perleidimo už 8000 Lt sutartį. Vienetas C, remdamasis minėta sutartimi, iš vieneto B išieškojo 7500 Lt.</w:t>
      </w:r>
    </w:p>
    <w:p w14:paraId="0B3A47CE"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Vienetas A reikalavimo teisės perleidimą vienetui C į apskaitą įtraukia debetuodamas 25 sąskaitą ,,Kitos per vienerius metus gautinos sumos“ (8000 Lt) ir kredituodamas 24 sąskaitą ,,Prekybos skolos“ (8000 Lt), likusi skolos dalis (3800 Lt) nurodoma kaip su skolomis susijusios sąnaudos debetuojant 63 sąskaitą ,,Finansinės ir investicinės veiklos sąnaudos“.</w:t>
      </w:r>
    </w:p>
    <w:p w14:paraId="55E155E5" w14:textId="77777777" w:rsidR="00093845" w:rsidRDefault="000D779E">
      <w:pPr>
        <w:pBdr>
          <w:left w:val="single" w:sz="4" w:space="4" w:color="auto"/>
          <w:right w:val="single" w:sz="4" w:space="4" w:color="auto"/>
        </w:pBdr>
        <w:tabs>
          <w:tab w:val="left" w:pos="720"/>
          <w:tab w:val="left" w:pos="1077"/>
          <w:tab w:val="left" w:pos="1418"/>
        </w:tabs>
        <w:ind w:firstLine="720"/>
        <w:jc w:val="both"/>
        <w:rPr>
          <w:lang w:val="lt-LT"/>
        </w:rPr>
      </w:pPr>
      <w:r>
        <w:rPr>
          <w:lang w:val="lt-LT"/>
        </w:rPr>
        <w:t>Vieneto A dėl reikalavimo teisės išieškoti skolą perleidimo metu atsiradę nuostoliai nėra įprastinės šios įmonės vykdomai veiklai sąnaudos, todėl nuostolių suma priskiriama neleidžiamiems atskaitymams.</w:t>
      </w:r>
    </w:p>
    <w:p w14:paraId="40A9048A" w14:textId="77777777" w:rsidR="00093845" w:rsidRDefault="000D779E">
      <w:pPr>
        <w:pBdr>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Įsigyta reikalavimo teisė į vieneto C apskaitą įtraukiama debetuojant 25 sąskaitą ,,Kitos mokėtinos sumos ir trumpalaikiai įsipareigojimai“ (8000 Lt) ir kredituojant 48 sąskaitą ,,Kitos per vienerius metus gautinos sumos“ (8000 Lt). Sumokant vienetui A už reikalavimo teisės perleidimą, debetuojama 48 sąskaita ,,Kitos mokėtinos sumos ir trumpalaikiai įsipareigojimai“ (8000 Lt) ir kredituojama 27 sąskaita ,,Pinigai banke ir kasoje“ (8000 Lt). Išieškota iš vieneto B skolos dalis (7 500 Lt) priskiriama vieneto C pajamoms ir į vieneto C apskaitą įtraukiama debetuojant 27 sąskaitą ,,Pinigai banke ir kasoje“ (7500 Lt) bei kredituojant 25 sąskaitą ,,Kitos per vienerius metus gautinos sumos“ (7500 Lt). Likusi neišieškota skolos dalis (500 Lt), kurios nebesitikima gauti, priskiriama su skolomis susijusioms sąnaudoms debetuojant 63 sąskaitą ,,Finansinės ir investicinės veiklos sąnaudos“ (500 Lt). Reikalavimo teisės perėmimo metu vieneto C, kurio pagrindinė veikla yra ne skolų išieškojimas, patirtas nuostolis registruojamas sąnaudų sąskaitoje. Apskaičiuojant apmokestinamąjį pelną, šis nuostolis priskiriamas neleidžiamiems atskaitymams.</w:t>
      </w:r>
    </w:p>
    <w:p w14:paraId="2F1FED83" w14:textId="77777777" w:rsidR="00093845" w:rsidRDefault="000D779E">
      <w:pPr>
        <w:pStyle w:val="Pagrindiniotekstotrauka"/>
        <w:tabs>
          <w:tab w:val="left" w:pos="720"/>
          <w:tab w:val="left" w:pos="1077"/>
          <w:tab w:val="left" w:pos="1418"/>
        </w:tabs>
        <w:ind w:right="-5"/>
        <w:rPr>
          <w:b/>
          <w:lang w:val="lt-LT"/>
        </w:rPr>
      </w:pPr>
      <w:r>
        <w:rPr>
          <w:lang w:val="lt-LT"/>
        </w:rPr>
        <w:t>3. Neleidžiamiems atskaitymams priskiriamos sąnaudos, kurios nelaikomos leidžiamais atskaitymais pagal kitus PMĮ straipsnius.</w:t>
      </w:r>
    </w:p>
    <w:p w14:paraId="76E78A16" w14:textId="77777777" w:rsidR="00093845" w:rsidRDefault="000D779E">
      <w:pPr>
        <w:tabs>
          <w:tab w:val="left" w:pos="720"/>
          <w:tab w:val="left" w:pos="1077"/>
          <w:tab w:val="left" w:pos="1418"/>
        </w:tabs>
        <w:jc w:val="both"/>
        <w:rPr>
          <w:iCs/>
          <w:lang w:val="lt-LT"/>
        </w:rPr>
      </w:pPr>
      <w:r>
        <w:rPr>
          <w:i/>
          <w:iCs/>
          <w:sz w:val="22"/>
          <w:lang w:val="lt-LT"/>
        </w:rPr>
        <w:t xml:space="preserve">      </w:t>
      </w:r>
      <w:r w:rsidR="00891526">
        <w:rPr>
          <w:i/>
          <w:iCs/>
          <w:sz w:val="22"/>
          <w:lang w:val="lt-LT"/>
        </w:rPr>
        <w:t xml:space="preserve">       </w:t>
      </w:r>
      <w:r w:rsidR="00891526">
        <w:rPr>
          <w:iCs/>
          <w:lang w:val="lt-LT"/>
        </w:rPr>
        <w:t>(</w:t>
      </w:r>
      <w:r>
        <w:rPr>
          <w:iCs/>
          <w:lang w:val="lt-LT"/>
        </w:rPr>
        <w:t>Papildyta pagal VMI prie FM 2006-06-21 raštą Nr. (18.9-31-1)-R-5547)</w:t>
      </w:r>
    </w:p>
    <w:p w14:paraId="2BA9637B" w14:textId="77777777" w:rsidR="00D54082" w:rsidRDefault="00D54082">
      <w:pPr>
        <w:tabs>
          <w:tab w:val="left" w:pos="720"/>
          <w:tab w:val="left" w:pos="1077"/>
          <w:tab w:val="left" w:pos="1418"/>
        </w:tabs>
        <w:jc w:val="both"/>
        <w:rPr>
          <w:iCs/>
          <w:lang w:val="lt-LT"/>
        </w:rPr>
      </w:pPr>
    </w:p>
    <w:p w14:paraId="1C5A3855" w14:textId="77777777" w:rsidR="00D54082" w:rsidRPr="00EC18FD" w:rsidRDefault="000D779E" w:rsidP="00D54082">
      <w:pPr>
        <w:tabs>
          <w:tab w:val="left" w:pos="720"/>
          <w:tab w:val="left" w:pos="1077"/>
          <w:tab w:val="left" w:pos="1418"/>
        </w:tabs>
        <w:ind w:firstLine="720"/>
        <w:jc w:val="both"/>
        <w:rPr>
          <w:b/>
          <w:szCs w:val="20"/>
          <w:lang w:val="lt-LT"/>
        </w:rPr>
      </w:pPr>
      <w:r>
        <w:rPr>
          <w:b/>
          <w:lang w:val="lt-LT"/>
        </w:rPr>
        <w:t>14)</w:t>
      </w:r>
      <w:r>
        <w:rPr>
          <w:b/>
          <w:lang w:val="lt-LT"/>
        </w:rPr>
        <w:tab/>
      </w:r>
      <w:r w:rsidR="00D54082" w:rsidRPr="00EC18FD">
        <w:rPr>
          <w:b/>
          <w:szCs w:val="20"/>
          <w:lang w:val="lt-LT"/>
        </w:rPr>
        <w:t>praėjusių mokestinių laikotarpių klaidų ir netikslumų taisymai pagal finansinės apskaitos tvarkymą reglamentuojančius teisės aktus;</w:t>
      </w:r>
    </w:p>
    <w:p w14:paraId="4C2FD5C4" w14:textId="77777777" w:rsidR="00D54082" w:rsidRPr="00D54082" w:rsidRDefault="00D54082" w:rsidP="00D54082">
      <w:pPr>
        <w:tabs>
          <w:tab w:val="left" w:pos="720"/>
          <w:tab w:val="left" w:pos="1077"/>
          <w:tab w:val="left" w:pos="1418"/>
        </w:tabs>
        <w:ind w:firstLine="720"/>
        <w:jc w:val="both"/>
        <w:rPr>
          <w:bCs/>
          <w:i/>
          <w:szCs w:val="20"/>
          <w:lang w:val="lt-LT"/>
        </w:rPr>
      </w:pPr>
      <w:r w:rsidRPr="00D54082">
        <w:rPr>
          <w:bCs/>
          <w:i/>
          <w:szCs w:val="20"/>
          <w:lang w:val="lt-LT"/>
        </w:rPr>
        <w:t>(pagal2021 m. lapkričio 23 d. įstatymo Nr. XIV-686 redakciją; taikoma nuo 2022 m. gegužės 1 d.)</w:t>
      </w:r>
    </w:p>
    <w:p w14:paraId="6228A594" w14:textId="77777777" w:rsidR="00093845" w:rsidRDefault="000D779E">
      <w:pPr>
        <w:tabs>
          <w:tab w:val="left" w:pos="720"/>
          <w:tab w:val="left" w:pos="1077"/>
          <w:tab w:val="left" w:pos="1418"/>
        </w:tabs>
        <w:ind w:firstLine="720"/>
        <w:jc w:val="both"/>
        <w:rPr>
          <w:b/>
          <w:szCs w:val="20"/>
          <w:lang w:val="lt-LT"/>
        </w:rPr>
      </w:pPr>
      <w:r>
        <w:rPr>
          <w:b/>
          <w:lang w:val="lt-LT"/>
        </w:rPr>
        <w:t>Komentaras</w:t>
      </w:r>
    </w:p>
    <w:p w14:paraId="4C6515C0" w14:textId="77777777" w:rsidR="00D54082" w:rsidRPr="00D54082" w:rsidRDefault="00D54082" w:rsidP="00D54082">
      <w:pPr>
        <w:tabs>
          <w:tab w:val="left" w:pos="720"/>
          <w:tab w:val="left" w:pos="1077"/>
          <w:tab w:val="left" w:pos="1418"/>
        </w:tabs>
        <w:ind w:firstLine="720"/>
        <w:jc w:val="both"/>
        <w:rPr>
          <w:lang w:val="lt-LT"/>
        </w:rPr>
      </w:pPr>
      <w:r w:rsidRPr="00D54082">
        <w:rPr>
          <w:color w:val="000000"/>
          <w:lang w:val="lt-LT"/>
        </w:rPr>
        <w:lastRenderedPageBreak/>
        <w:t>P</w:t>
      </w:r>
      <w:r w:rsidRPr="00D54082">
        <w:rPr>
          <w:szCs w:val="20"/>
          <w:lang w:val="lt-LT"/>
        </w:rPr>
        <w:t xml:space="preserve">raėjusių mokestinių laikotarpių klaidų ir netikslumų taisymai atliekami pagal finansinės apskaitos tvarkymą reglamentuojančius teisės aktus. </w:t>
      </w:r>
    </w:p>
    <w:p w14:paraId="5D0051AC" w14:textId="77777777" w:rsidR="00D54082" w:rsidRPr="00D54082" w:rsidRDefault="00D54082" w:rsidP="00D54082">
      <w:pPr>
        <w:pStyle w:val="Pagrindiniotekstotrauka2"/>
        <w:tabs>
          <w:tab w:val="left" w:pos="720"/>
          <w:tab w:val="left" w:pos="1077"/>
          <w:tab w:val="left" w:pos="1418"/>
        </w:tabs>
        <w:spacing w:line="240" w:lineRule="auto"/>
        <w:ind w:right="26"/>
        <w:rPr>
          <w:b w:val="0"/>
          <w:bCs w:val="0"/>
        </w:rPr>
      </w:pPr>
      <w:r w:rsidRPr="00D54082">
        <w:rPr>
          <w:b w:val="0"/>
          <w:bCs w:val="0"/>
        </w:rPr>
        <w:t xml:space="preserve">Jeigu dėl įsivėlusios klaidos buvo padidintos vieneto praėjusio mokestinio laikotarpio sąnaudos (leidžiami ir ribojamo dydžio leidžiami atskaitymai), ir vienetas, taisydamas klaidą, kitų metų finansinėse ataskaitose įregistravo praėjusio laikotarpio sąnaudas, tai tokios sąnaudos priskiriamos neleidžiamiems atskaitymams (apskaičiuojant kitų metų apmokestinamąjį pelną, iš pajamų neatimamos). Tačiau, jei dėl praėjusio mokestinio laikotarpio klaidų ir netikslumų vieneto pelno mokesčio deklaracijoje buvo pateikti netikslūs duomenys ir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 </w:t>
      </w:r>
    </w:p>
    <w:p w14:paraId="704A150A" w14:textId="77777777" w:rsidR="00D54082" w:rsidRPr="00D54082" w:rsidRDefault="00D54082" w:rsidP="00D54082">
      <w:pPr>
        <w:tabs>
          <w:tab w:val="left" w:pos="720"/>
          <w:tab w:val="left" w:pos="1077"/>
          <w:tab w:val="left" w:pos="1418"/>
        </w:tabs>
        <w:ind w:right="26" w:firstLine="720"/>
        <w:jc w:val="both"/>
        <w:rPr>
          <w:lang w:val="lt-LT"/>
        </w:rPr>
      </w:pPr>
      <w:r w:rsidRPr="00D54082">
        <w:rPr>
          <w:lang w:val="lt-LT"/>
        </w:rPr>
        <w:t>Vienetai, kurie, tvarkydami finansinę apskaitą ir rengdami</w:t>
      </w:r>
      <w:r w:rsidRPr="00D54082">
        <w:rPr>
          <w:color w:val="000000"/>
          <w:lang w:val="lt-LT"/>
        </w:rPr>
        <w:t xml:space="preserve"> metinių finansinių ataskaitų rinkinius</w:t>
      </w:r>
      <w:r w:rsidRPr="00D54082">
        <w:rPr>
          <w:lang w:val="lt-LT"/>
        </w:rPr>
        <w:t>, privalo vadovautis arba vadovaujasi VAS, po metinių finansinių ataskaitų rinkinio patvirtinimo paaiškėjusias klaidas taiso 7 VAS ,,Apskaitos politikos, apskaitinių įvertinimų keitimas ir klaidų taisymas“ nustatyta tvarka. Pagal šiame standarte nustatytą tvarka, praėjusių ataskaitinių laikotarpių klaidos gali būti taisomos dviem būdais:</w:t>
      </w:r>
    </w:p>
    <w:p w14:paraId="65160D80" w14:textId="77777777" w:rsidR="00D54082" w:rsidRPr="00D54082" w:rsidRDefault="00D54082" w:rsidP="00D54082">
      <w:pPr>
        <w:pStyle w:val="Pagrindiniotekstotrauka"/>
        <w:tabs>
          <w:tab w:val="left" w:pos="720"/>
          <w:tab w:val="left" w:pos="1077"/>
          <w:tab w:val="left" w:pos="1418"/>
        </w:tabs>
        <w:ind w:firstLine="840"/>
        <w:rPr>
          <w:lang w:val="lt-LT"/>
        </w:rPr>
      </w:pPr>
      <w:r w:rsidRPr="00D54082">
        <w:rPr>
          <w:lang w:val="lt-LT"/>
        </w:rPr>
        <w:t>- perspektyviniu būdu, kai pakeitimai ir patikslinimai atliekami nuo sprendimo juos taikyti priėmimo dienos ir būsimais ataskaitiniais laikotarpiais;</w:t>
      </w:r>
    </w:p>
    <w:p w14:paraId="1A10E4DC" w14:textId="77777777" w:rsidR="00D54082" w:rsidRPr="00D54082" w:rsidRDefault="00D54082" w:rsidP="00D54082">
      <w:pPr>
        <w:pStyle w:val="Pagrindiniotekstotrauka"/>
        <w:tabs>
          <w:tab w:val="left" w:pos="720"/>
          <w:tab w:val="left" w:pos="1077"/>
          <w:tab w:val="left" w:pos="1418"/>
        </w:tabs>
        <w:ind w:firstLine="840"/>
        <w:rPr>
          <w:i/>
          <w:iCs/>
          <w:szCs w:val="20"/>
          <w:lang w:val="lt-LT"/>
        </w:rPr>
      </w:pPr>
      <w:r w:rsidRPr="00D54082">
        <w:rPr>
          <w:szCs w:val="20"/>
          <w:lang w:val="lt-LT"/>
        </w:rPr>
        <w:t>- retrospektyviniu būdu, kai pakeitimai ir patikslinimai atliekami ne tik nuo sprendimo juos taikyti priėmimo dienos ir būsimais ataskaitiniais laikotarpiais, bet ir ankstesniais laikotarpiais.</w:t>
      </w:r>
      <w:r w:rsidRPr="00D54082">
        <w:rPr>
          <w:i/>
          <w:iCs/>
          <w:szCs w:val="20"/>
          <w:lang w:val="lt-LT"/>
        </w:rPr>
        <w:t xml:space="preserve"> </w:t>
      </w:r>
    </w:p>
    <w:p w14:paraId="15287AFB" w14:textId="77777777" w:rsidR="00D54082" w:rsidRPr="00D54082" w:rsidRDefault="00D54082" w:rsidP="00D54082">
      <w:pPr>
        <w:pStyle w:val="Pagrindiniotekstotrauka2"/>
        <w:tabs>
          <w:tab w:val="left" w:pos="720"/>
          <w:tab w:val="left" w:pos="1077"/>
          <w:tab w:val="left" w:pos="1418"/>
        </w:tabs>
        <w:spacing w:line="240" w:lineRule="auto"/>
        <w:ind w:right="26"/>
        <w:rPr>
          <w:b w:val="0"/>
          <w:bCs w:val="0"/>
          <w:color w:val="000000"/>
        </w:rPr>
      </w:pPr>
      <w:r w:rsidRPr="00D54082">
        <w:rPr>
          <w:b w:val="0"/>
          <w:bCs w:val="0"/>
        </w:rPr>
        <w:t xml:space="preserve">Tačiau neatsižvelgiant į tai, kokiu būdu – perspektyviniu (kai klaidos taisomos kitų metų finansinėje atskaitomybėje ar retrospektyviniu (kai koreguojamas nepaskirstytojo pelno (nuostolių) likutis, buvęs ataskaitinio laikotarpio pradžioje) vienetas taisė klaidas, </w:t>
      </w:r>
      <w:r w:rsidRPr="00D54082">
        <w:rPr>
          <w:b w:val="0"/>
          <w:bCs w:val="0"/>
          <w:color w:val="000000"/>
        </w:rPr>
        <w:t>jei praėjusio mokestinio laikotarpio klaidų ir netikslumų vieneto pelno mokesčio deklaracijoje buvo pateikti netikslūs duomenys ir/ar neteisingai apskaičiuotas pelno mokestis, tai praėjusio mokestinio laikotarpio netikslumus vienetas turi ištaisyti, pateikdamas patikslintą praėjusio mokestinio laikotarpio pelno mokesčio deklaraciją (arba atitinkamų praėjusių mokestinių laikotarpių pelno mokesčio deklaracijas, jei taisomos ne vieną mokestinį laikotarpį pastebėtos klaidos ar netikslumai), ir sumokėti pelno mokestį bei delspinigius, jei padidėjo apmokestinamasis pelnas.</w:t>
      </w:r>
    </w:p>
    <w:p w14:paraId="4D02A55B" w14:textId="77777777" w:rsidR="00D54082" w:rsidRPr="00D54082" w:rsidRDefault="00D54082" w:rsidP="00D54082">
      <w:r w:rsidRPr="00D54082">
        <w:rPr>
          <w:i/>
          <w:color w:val="000000" w:themeColor="text1"/>
        </w:rPr>
        <w:t xml:space="preserve">(Pakeistas pagal VMI prie FM 2022-04-07 </w:t>
      </w:r>
      <w:r w:rsidRPr="00D54082">
        <w:rPr>
          <w:rStyle w:val="Hipersaitas"/>
          <w:b w:val="0"/>
          <w:i/>
          <w:color w:val="000000" w:themeColor="text1"/>
        </w:rPr>
        <w:t>raštą</w:t>
      </w:r>
      <w:r w:rsidRPr="00D54082">
        <w:rPr>
          <w:i/>
          <w:color w:val="000000" w:themeColor="text1"/>
        </w:rPr>
        <w:t xml:space="preserve"> Nr. (18.10-31-1)-RM-12183)</w:t>
      </w:r>
    </w:p>
    <w:p w14:paraId="798E7A68" w14:textId="77777777" w:rsidR="00FA6ED9" w:rsidRPr="00D54082" w:rsidRDefault="00FA6ED9" w:rsidP="00FA6ED9">
      <w:pPr>
        <w:pStyle w:val="Pagrindiniotekstotrauka"/>
        <w:rPr>
          <w:rFonts w:ascii="Times New Roman" w:hAnsi="Times New Roman" w:cs="Times New Roman"/>
          <w:b/>
          <w:bCs/>
          <w:lang w:val="lt-LT"/>
        </w:rPr>
      </w:pPr>
      <w:r w:rsidRPr="00D54082">
        <w:rPr>
          <w:rFonts w:ascii="Times New Roman" w:hAnsi="Times New Roman" w:cs="Times New Roman"/>
          <w:b/>
          <w:bCs/>
          <w:lang w:val="lt-LT"/>
        </w:rPr>
        <w:t>15)  sąnaudos dėl turto ir įsipareigojimų, išskyrus išvestinių finansinių priemonių, įsigytų rizikai apdrausti, perkainojimo, atlikto teisės aktų nustatyta tvarka.</w:t>
      </w:r>
    </w:p>
    <w:p w14:paraId="69FAECA0" w14:textId="77777777" w:rsidR="00FA6ED9" w:rsidRPr="008E4DF8" w:rsidRDefault="00FA6ED9" w:rsidP="00FA6ED9">
      <w:pPr>
        <w:pStyle w:val="Pagrindiniotekstotrauka"/>
        <w:rPr>
          <w:rFonts w:ascii="Times New Roman" w:hAnsi="Times New Roman" w:cs="Times New Roman"/>
          <w:b/>
          <w:lang w:val="lt-LT"/>
        </w:rPr>
      </w:pPr>
      <w:r>
        <w:rPr>
          <w:rFonts w:ascii="Times New Roman" w:hAnsi="Times New Roman" w:cs="Times New Roman"/>
          <w:b/>
          <w:lang w:val="lt-LT"/>
        </w:rPr>
        <w:t xml:space="preserve"> </w:t>
      </w:r>
      <w:r w:rsidRPr="008E4DF8">
        <w:rPr>
          <w:rFonts w:ascii="Times New Roman" w:hAnsi="Times New Roman" w:cs="Times New Roman"/>
          <w:b/>
          <w:lang w:val="lt-LT"/>
        </w:rPr>
        <w:t>Komentaras</w:t>
      </w:r>
    </w:p>
    <w:p w14:paraId="5A54B846" w14:textId="77777777" w:rsidR="00FA6ED9" w:rsidRPr="008E4DF8" w:rsidRDefault="00FA6ED9" w:rsidP="00FA6ED9">
      <w:pPr>
        <w:pStyle w:val="Pagrindiniotekstotrauka"/>
        <w:rPr>
          <w:rFonts w:ascii="Times New Roman" w:hAnsi="Times New Roman" w:cs="Times New Roman"/>
          <w:lang w:val="lt-LT"/>
        </w:rPr>
      </w:pPr>
      <w:r w:rsidRPr="008E4DF8">
        <w:rPr>
          <w:rFonts w:ascii="Times New Roman" w:hAnsi="Times New Roman" w:cs="Times New Roman"/>
          <w:lang w:val="lt-LT"/>
        </w:rPr>
        <w:t>1. Teisės aktų nustatyta tvarka vienetai turi teisę perkainoti turtą ir įsipareigojimus. Jeigu toks turto ir įsipareigojimų perkainojimas yra atliktas turto perkainojimą reguliuojančių teisės aktų nustatyta tvarka, tai turto ir įsipareigojimų vertės padidėjimas priskiriamas neapmokestinamoms pajamoms, o minėto turto vertės sumažėjimas – neleidžiamiems atskaitymams.</w:t>
      </w:r>
    </w:p>
    <w:p w14:paraId="7F2E42D2" w14:textId="77777777" w:rsidR="00FA6ED9" w:rsidRPr="00D85FFE" w:rsidRDefault="00FA6ED9" w:rsidP="00FA6ED9">
      <w:pPr>
        <w:pStyle w:val="Pagrindiniotekstotrauka"/>
        <w:rPr>
          <w:rFonts w:ascii="Times New Roman" w:hAnsi="Times New Roman" w:cs="Times New Roman"/>
          <w:lang w:val="lt-LT"/>
        </w:rPr>
      </w:pPr>
      <w:r w:rsidRPr="008E4DF8">
        <w:rPr>
          <w:rFonts w:ascii="Times New Roman" w:hAnsi="Times New Roman" w:cs="Times New Roman"/>
          <w:lang w:val="lt-LT"/>
        </w:rPr>
        <w:t xml:space="preserve">2. </w:t>
      </w:r>
      <w:r w:rsidRPr="00D85FFE">
        <w:rPr>
          <w:rFonts w:ascii="Times New Roman" w:hAnsi="Times New Roman" w:cs="Times New Roman"/>
          <w:lang w:val="lt-LT"/>
        </w:rPr>
        <w:t xml:space="preserve">Lietuvos Respublikos </w:t>
      </w:r>
      <w:r w:rsidRPr="00D85FFE">
        <w:rPr>
          <w:rStyle w:val="Hipersaitas"/>
          <w:rFonts w:ascii="Times New Roman" w:hAnsi="Times New Roman"/>
          <w:lang w:val="lt-LT"/>
        </w:rPr>
        <w:t>turto ir verslo vertinimo pagrindų įstatyme</w:t>
      </w:r>
      <w:r w:rsidRPr="00D85FFE">
        <w:rPr>
          <w:rFonts w:ascii="Times New Roman" w:hAnsi="Times New Roman" w:cs="Times New Roman"/>
          <w:lang w:val="lt-LT"/>
        </w:rPr>
        <w:t xml:space="preserve"> nustatyti turto ir verslo vertinimo principai, vertės nustatymo metodai bei jų taikymas konkrečioms turtinių santykių sritims, turto ir verslo vertinimo būdai, turto ir verslo vertintojų veikos pagrindai, teisės pareigos bei atsakomybė. Lietuvos Respublikos finansų ministro 2012 m. balandžio 27 d. įsakymu Nr. 1K-159 „Dėl turto ir verslo vertinimo metodikos patvirtinimo“ patvirtinta Turto ir verslo vertinimo metodika.</w:t>
      </w:r>
    </w:p>
    <w:p w14:paraId="2CC679FC" w14:textId="77777777" w:rsidR="00FA6ED9" w:rsidRPr="00D85FFE" w:rsidRDefault="00FA6ED9" w:rsidP="00FA6ED9">
      <w:pPr>
        <w:pStyle w:val="Pagrindiniotekstotrauka"/>
        <w:rPr>
          <w:rFonts w:ascii="Times New Roman" w:hAnsi="Times New Roman" w:cs="Times New Roman"/>
          <w:lang w:val="lt-LT"/>
        </w:rPr>
      </w:pPr>
      <w:r w:rsidRPr="00D85FFE">
        <w:rPr>
          <w:rFonts w:ascii="Times New Roman" w:hAnsi="Times New Roman" w:cs="Times New Roman"/>
          <w:lang w:val="lt-LT"/>
        </w:rPr>
        <w:lastRenderedPageBreak/>
        <w:t xml:space="preserve">3. Prekybos tikslais naudojamų išvestinių finansinių priemonių perkainojimo (įvertinimo pagal tikrąją vertę), atliekamo teisės aktų nustatyta tvarka, sąnaudos priskiriamos neleidžiamiems atskaitymams. </w:t>
      </w:r>
    </w:p>
    <w:p w14:paraId="55429096" w14:textId="77777777" w:rsidR="00FA6ED9" w:rsidRDefault="00FA6ED9" w:rsidP="00FA6ED9">
      <w:pPr>
        <w:pStyle w:val="Pagrindiniotekstotrauka"/>
        <w:rPr>
          <w:rFonts w:ascii="Times New Roman" w:hAnsi="Times New Roman" w:cs="Times New Roman"/>
          <w:lang w:val="lt-LT"/>
        </w:rPr>
      </w:pPr>
      <w:r w:rsidRPr="00D85FFE">
        <w:rPr>
          <w:rFonts w:ascii="Times New Roman" w:hAnsi="Times New Roman" w:cs="Times New Roman"/>
          <w:lang w:val="lt-LT"/>
        </w:rPr>
        <w:t xml:space="preserve">Išvestinių finansinių priemonių, naudojamų rizikai drausti, perkainojimo (įvertinimo pagal tikrąją vertę), atliekamo teisės aktų nustatyta tvarka, sąnaudos priskiriamos leidžiamiems atskaitymams. </w:t>
      </w:r>
    </w:p>
    <w:p w14:paraId="75B1B4BD" w14:textId="77777777" w:rsidR="00FA6ED9" w:rsidRDefault="00FA6ED9" w:rsidP="00FA6ED9">
      <w:pPr>
        <w:pStyle w:val="Pagrindiniotekstotrauka"/>
        <w:tabs>
          <w:tab w:val="left" w:pos="720"/>
          <w:tab w:val="left" w:pos="1077"/>
          <w:tab w:val="left" w:pos="1418"/>
        </w:tabs>
        <w:rPr>
          <w:szCs w:val="20"/>
          <w:lang w:val="nb-NO"/>
        </w:rPr>
      </w:pPr>
      <w:r>
        <w:rPr>
          <w:lang w:val="lt-LT"/>
        </w:rPr>
        <w:t>(VMI prie FM 2019-11-29 raštas Nr.</w:t>
      </w:r>
      <w:r>
        <w:rPr>
          <w:color w:val="000000"/>
          <w:lang w:val="nb-NO"/>
        </w:rPr>
        <w:t xml:space="preserve"> (18.10-31-1E)-RM-35405)</w:t>
      </w:r>
    </w:p>
    <w:p w14:paraId="3D6FA63B" w14:textId="77777777" w:rsidR="00093845" w:rsidRPr="00E91DD1" w:rsidRDefault="000D779E" w:rsidP="00E91DD1">
      <w:pPr>
        <w:spacing w:after="0"/>
        <w:ind w:firstLine="720"/>
        <w:jc w:val="both"/>
        <w:rPr>
          <w:b/>
          <w:iCs/>
        </w:rPr>
      </w:pPr>
      <w:r w:rsidRPr="0010244B">
        <w:rPr>
          <w:b/>
          <w:bCs/>
          <w:lang w:val="lt-LT"/>
        </w:rPr>
        <w:t xml:space="preserve">16) </w:t>
      </w:r>
      <w:r w:rsidR="00A33F93" w:rsidRPr="0010244B">
        <w:rPr>
          <w:b/>
          <w:bCs/>
          <w:iCs/>
          <w:color w:val="000000"/>
          <w:lang w:eastAsia="lt-LT"/>
        </w:rPr>
        <w:t>NETEKO GALIOS:</w:t>
      </w:r>
      <w:r w:rsidR="00A33F93" w:rsidRPr="0010244B">
        <w:rPr>
          <w:b/>
          <w:iCs/>
          <w:color w:val="000000"/>
          <w:lang w:eastAsia="lt-LT"/>
        </w:rPr>
        <w:t xml:space="preserve"> 2022 12</w:t>
      </w:r>
      <w:r w:rsidR="00E91DD1" w:rsidRPr="0010244B">
        <w:rPr>
          <w:b/>
          <w:iCs/>
          <w:color w:val="000000"/>
          <w:lang w:eastAsia="lt-LT"/>
        </w:rPr>
        <w:t xml:space="preserve"> 1</w:t>
      </w:r>
      <w:r w:rsidR="00A33F93" w:rsidRPr="0010244B">
        <w:rPr>
          <w:b/>
          <w:iCs/>
          <w:color w:val="000000"/>
          <w:lang w:eastAsia="lt-LT"/>
        </w:rPr>
        <w:t xml:space="preserve">3 įstatymu Nr. </w:t>
      </w:r>
      <w:hyperlink r:id="rId90" w:tgtFrame="_parent" w:history="1">
        <w:r w:rsidR="00A33F93" w:rsidRPr="0010244B">
          <w:rPr>
            <w:rStyle w:val="Hipersaitas"/>
            <w:rFonts w:ascii="Times New Roman" w:hAnsi="Times New Roman" w:cs="Times New Roman"/>
            <w:iCs/>
            <w:kern w:val="0"/>
            <w:lang w:val="lt-LT" w:eastAsia="lt-LT"/>
          </w:rPr>
          <w:t>XIV-1664</w:t>
        </w:r>
      </w:hyperlink>
      <w:r w:rsidR="00A33F93" w:rsidRPr="0010244B">
        <w:rPr>
          <w:iCs/>
          <w:color w:val="000000"/>
          <w:lang w:eastAsia="lt-LT"/>
        </w:rPr>
        <w:t xml:space="preserve"> </w:t>
      </w:r>
      <w:r w:rsidR="00E91DD1" w:rsidRPr="0010244B">
        <w:rPr>
          <w:b/>
          <w:iCs/>
          <w:color w:val="000000"/>
          <w:lang w:eastAsia="lt-LT"/>
        </w:rPr>
        <w:t>(nuo 2022 12 23</w:t>
      </w:r>
      <w:r w:rsidR="00A33F93" w:rsidRPr="0010244B">
        <w:rPr>
          <w:b/>
          <w:iCs/>
          <w:color w:val="000000"/>
          <w:lang w:eastAsia="lt-LT"/>
        </w:rPr>
        <w:t>)</w:t>
      </w:r>
    </w:p>
    <w:p w14:paraId="7F48EABD" w14:textId="77777777" w:rsidR="00FA6ED9" w:rsidRPr="00E91DD1" w:rsidRDefault="00FA6ED9" w:rsidP="00D367C2">
      <w:pPr>
        <w:spacing w:after="0" w:line="240" w:lineRule="auto"/>
        <w:ind w:firstLine="720"/>
        <w:rPr>
          <w:b/>
          <w:iCs/>
        </w:rPr>
      </w:pPr>
    </w:p>
    <w:p w14:paraId="2B62558A" w14:textId="77777777" w:rsidR="00093845" w:rsidRDefault="000D779E" w:rsidP="00D367C2">
      <w:pPr>
        <w:spacing w:after="0"/>
        <w:ind w:firstLine="720"/>
        <w:jc w:val="both"/>
        <w:rPr>
          <w:b/>
          <w:bCs/>
          <w:lang w:val="lt-LT"/>
        </w:rPr>
      </w:pPr>
      <w:r>
        <w:rPr>
          <w:b/>
          <w:bCs/>
          <w:lang w:val="lt-LT"/>
        </w:rPr>
        <w:t>17) neapmokestinamosioms pajamoms tenkantys leidžiami atskaitymai ir ribojamų dydžių leidžiami atskaitymai.</w:t>
      </w:r>
    </w:p>
    <w:p w14:paraId="767852CA" w14:textId="77777777" w:rsidR="00093845" w:rsidRPr="00891526" w:rsidRDefault="000D779E" w:rsidP="00891526">
      <w:pPr>
        <w:spacing w:after="0"/>
        <w:jc w:val="both"/>
        <w:rPr>
          <w:bCs/>
          <w:i/>
          <w:lang w:val="lt-LT"/>
        </w:rPr>
      </w:pPr>
      <w:r w:rsidRPr="00891526">
        <w:rPr>
          <w:bCs/>
          <w:i/>
          <w:lang w:val="lt-LT"/>
        </w:rPr>
        <w:t xml:space="preserve">(KEISTA: </w:t>
      </w:r>
      <w:r w:rsidRPr="00891526">
        <w:rPr>
          <w:i/>
          <w:color w:val="000000"/>
          <w:lang w:eastAsia="lt-LT"/>
        </w:rPr>
        <w:t>2005 12 20 įstatymu Nr. X-456 (nuo 2006 01 01)</w:t>
      </w:r>
      <w:r w:rsidR="00A32EA8" w:rsidRPr="00891526">
        <w:rPr>
          <w:i/>
          <w:color w:val="000000"/>
          <w:lang w:eastAsia="lt-LT"/>
        </w:rPr>
        <w:t>,</w:t>
      </w:r>
      <w:r w:rsidR="008A0CDD" w:rsidRPr="00891526">
        <w:rPr>
          <w:i/>
        </w:rPr>
        <w:t xml:space="preserve"> </w:t>
      </w:r>
      <w:r w:rsidR="008A0CDD" w:rsidRPr="00891526">
        <w:rPr>
          <w:i/>
          <w:color w:val="000000"/>
          <w:lang w:eastAsia="lt-LT"/>
        </w:rPr>
        <w:t>nuostatos taikomos apskaičiuojant 2006 metais prasidėjusio ir vėlesnių mokestinių laikotarpių apmokestinamąjį pelną</w:t>
      </w:r>
      <w:r w:rsidRPr="00891526">
        <w:rPr>
          <w:bCs/>
          <w:i/>
          <w:lang w:val="lt-LT"/>
        </w:rPr>
        <w:t>)</w:t>
      </w:r>
    </w:p>
    <w:p w14:paraId="010D106A" w14:textId="77777777" w:rsidR="00FA6ED9" w:rsidRDefault="00FA6ED9" w:rsidP="00A32EA8">
      <w:pPr>
        <w:spacing w:after="0"/>
        <w:ind w:firstLine="720"/>
        <w:jc w:val="both"/>
        <w:rPr>
          <w:bCs/>
          <w:lang w:val="lt-LT"/>
        </w:rPr>
      </w:pPr>
    </w:p>
    <w:p w14:paraId="6D3B5DE4" w14:textId="77777777" w:rsidR="00093845" w:rsidRDefault="000D779E">
      <w:pPr>
        <w:pStyle w:val="Pagrindinistekstas2"/>
        <w:ind w:firstLine="720"/>
        <w:jc w:val="both"/>
        <w:rPr>
          <w:bCs w:val="0"/>
          <w:sz w:val="24"/>
        </w:rPr>
      </w:pPr>
      <w:r>
        <w:rPr>
          <w:bCs w:val="0"/>
          <w:sz w:val="24"/>
        </w:rPr>
        <w:t>Komentaras</w:t>
      </w:r>
    </w:p>
    <w:p w14:paraId="198DD431" w14:textId="77777777" w:rsidR="00093845" w:rsidRDefault="000D779E">
      <w:pPr>
        <w:ind w:firstLine="720"/>
        <w:jc w:val="both"/>
        <w:rPr>
          <w:lang w:val="lt-LT"/>
        </w:rPr>
      </w:pPr>
      <w:r>
        <w:rPr>
          <w:lang w:val="lt-LT"/>
        </w:rPr>
        <w:t>1. Iki 2006 metų prasidėjusio mokestinio laikotarpio, apskaičiuojant apmokestinamąjį pelną, iš pajamų buvo atimamos tiek apmokestinamosioms, tiek ir neapmokestinamosioms pajamoms tenkantys leidžiami ir ribojamų dydžių leidžiami atskaitymai (toliau – sąnaudos).</w:t>
      </w:r>
    </w:p>
    <w:p w14:paraId="71120B14" w14:textId="77777777" w:rsidR="00093845" w:rsidRDefault="000D779E">
      <w:pPr>
        <w:ind w:firstLine="720"/>
        <w:jc w:val="both"/>
        <w:rPr>
          <w:lang w:val="lt-LT"/>
        </w:rPr>
      </w:pPr>
      <w:r>
        <w:rPr>
          <w:lang w:val="lt-LT"/>
        </w:rPr>
        <w:t xml:space="preserve">2. Apskaičiuojant 2006 metais prasidėjusio ir vėlesnių mokestinių laikotarpių apmokestinamąjį pelną, sąnaudoms priskiriamos tik apmokestinamosioms pajamoms tenkančios sąnaudos. Sąnaudos, patirtos uždirbant neapmokestinamąsias pajamas, nurodytas PMĮ 12 straipsnyje, priskiriamos neleidžiamiems atskaitymams. </w:t>
      </w:r>
    </w:p>
    <w:p w14:paraId="5C3FEFB5" w14:textId="77777777" w:rsidR="00093845" w:rsidRDefault="000D779E">
      <w:pPr>
        <w:ind w:firstLine="720"/>
        <w:jc w:val="both"/>
        <w:rPr>
          <w:lang w:val="lt-LT"/>
        </w:rPr>
      </w:pPr>
      <w:r>
        <w:rPr>
          <w:lang w:val="lt-LT"/>
        </w:rPr>
        <w:t>Pavyzdys</w:t>
      </w:r>
    </w:p>
    <w:p w14:paraId="1BDBCCE5"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Vienetas X atidavė į metalo laužą laivą, kurio nenudėvėtoji įsigijimo kainos dalis – 1 600 000 Lt ir pagal Europos Sąjungos finansinės paramos Lietuvos programas jam buvo išmokėta  1 800 000 Lt kompensacija.</w:t>
      </w:r>
    </w:p>
    <w:p w14:paraId="5A50345F" w14:textId="77777777" w:rsidR="00093845" w:rsidRDefault="000D779E">
      <w:pPr>
        <w:pBdr>
          <w:top w:val="single" w:sz="4" w:space="1" w:color="auto"/>
          <w:left w:val="single" w:sz="4" w:space="4" w:color="auto"/>
          <w:bottom w:val="single" w:sz="4" w:space="1" w:color="auto"/>
          <w:right w:val="single" w:sz="4" w:space="4" w:color="auto"/>
        </w:pBdr>
        <w:jc w:val="both"/>
        <w:rPr>
          <w:highlight w:val="lightGray"/>
          <w:lang w:val="lt-LT"/>
        </w:rPr>
      </w:pPr>
      <w:r>
        <w:rPr>
          <w:lang w:val="lt-LT"/>
        </w:rPr>
        <w:t>Vadovaujantis PMĮ 12 str. 1 d. 14 punktu 1 800 000 Lt kompensacija priskiriama neapmokestinamosioms pajamoms, todėl į metalo laužą perduoto laivo likusi nenudėvėta l 600 000 Lt vertė priskiriama neleidžiamiems atskaitymams</w:t>
      </w:r>
      <w:r>
        <w:rPr>
          <w:highlight w:val="lightGray"/>
          <w:lang w:val="lt-LT"/>
        </w:rPr>
        <w:t>.</w:t>
      </w:r>
    </w:p>
    <w:p w14:paraId="51F60FC8" w14:textId="77777777" w:rsidR="00093845" w:rsidRDefault="000D779E">
      <w:pPr>
        <w:ind w:firstLine="720"/>
        <w:jc w:val="both"/>
        <w:rPr>
          <w:lang w:val="lt-LT"/>
        </w:rPr>
      </w:pPr>
      <w:r>
        <w:rPr>
          <w:lang w:val="lt-LT"/>
        </w:rPr>
        <w:t xml:space="preserve">3. Vieneto neapmokestinamosioms pajamoms tenkančioms sąnaudoms priskiriamos tiesioginės tokių pajamų uždirbimo išlaidos. Netiesiogiai su neapmokestinamųjų pajamų uždirbimu susijusių sąnaudų dalis nustatoma pagal paties vieneto apskaitos politikoje nusistatytą tvarką. </w:t>
      </w:r>
    </w:p>
    <w:p w14:paraId="67C83B61" w14:textId="77777777" w:rsidR="00093845" w:rsidRDefault="000D779E">
      <w:pPr>
        <w:ind w:firstLine="720"/>
        <w:jc w:val="both"/>
        <w:rPr>
          <w:lang w:val="lt-LT"/>
        </w:rPr>
      </w:pPr>
      <w:r>
        <w:rPr>
          <w:lang w:val="lt-LT"/>
        </w:rPr>
        <w:t>Pavyzdys</w:t>
      </w:r>
    </w:p>
    <w:p w14:paraId="079ADC4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2006 metais viešoji sveikatos priežiūros įstaiga iš viso uždirbo 2 500 000 Lt pajamų, iš kurių 1 800 000 Lt pajamų už suteiktas paslaugas, finansuojamas iš Privalomojo sveikatos draudimo fondo lėšų, kurios pagal PMĮ 12 str. 1 d. 6 punkto nuostatas priskiriamos neapmokestinamosioms pajamoms.</w:t>
      </w:r>
    </w:p>
    <w:p w14:paraId="5B01095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Leidžiami ir ribojamų dydžių leidžiami atskaitymai sudarė 1 900 000 Lt.</w:t>
      </w:r>
    </w:p>
    <w:p w14:paraId="51D083B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 xml:space="preserve">Viešoji sveikatos priežiūros įstaiga apskaičiavo, kad pelno mokesčiu neapmokestinamoms pajamoms, kurios buvo finansuojamos iš Privalomojo sveikatos draudimo lėšų, tenka                    1 300 000 Lt leidžiamų ir ribojamų dydžių leidžiamų atskaitymų. </w:t>
      </w:r>
    </w:p>
    <w:p w14:paraId="47599191"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lastRenderedPageBreak/>
        <w:t>Apskaičiuojant apmokestinamąjį pelną, iš viešosios sveikatos priežiūros įstaigų pajamų atimamos neapmokestinamosios pajamos ir apmokestinamosioms pajamoms tenkantys leidžiami atskaitymai ir ribojamų dydžių leidžiami atskaitymai.</w:t>
      </w:r>
    </w:p>
    <w:p w14:paraId="5232473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Pavyzdyje pateiktu atveju apmokestinamasis pelnas yra:</w:t>
      </w:r>
    </w:p>
    <w:p w14:paraId="6DE2ACCB"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2 500 000 Lt – 1 800 000 Lt – (1 900 000 Lt – 1 300 000 Lt)</w:t>
      </w:r>
      <w:r>
        <w:rPr>
          <w:lang w:val="de-DE"/>
        </w:rPr>
        <w:t>=</w:t>
      </w:r>
      <w:r>
        <w:rPr>
          <w:lang w:val="lt-LT"/>
        </w:rPr>
        <w:t>100 000 Lt.</w:t>
      </w:r>
    </w:p>
    <w:p w14:paraId="2C0BE135"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Pajamos už paslaugas, apmokėtas iš Privalomojo sveikatos draudimo fondo lėšų, yra ūkinės komercinės veiklos pajamos, todėl viešosios sveikatos priežiūros įstaigos visas apmokestinamasis pelnas apmokestinamas taikant 15 proc. pelno mokesčio tarifą, nes ūkinės komercinės veiklos pajamos didesnės kaip 1 mln. litų.</w:t>
      </w:r>
    </w:p>
    <w:p w14:paraId="5ECB72A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Viešoji įstaiga privalo sumokėti 15 000 Lt (100 000 Lt x 15/100) pelno mokestį.</w:t>
      </w:r>
    </w:p>
    <w:p w14:paraId="3DFAB761" w14:textId="77777777" w:rsidR="00093845" w:rsidRDefault="00397F2A">
      <w:pPr>
        <w:pStyle w:val="Pagrindiniotekstotrauka2"/>
        <w:tabs>
          <w:tab w:val="left" w:pos="720"/>
          <w:tab w:val="left" w:pos="1077"/>
          <w:tab w:val="left" w:pos="1418"/>
        </w:tabs>
        <w:spacing w:line="240" w:lineRule="auto"/>
        <w:rPr>
          <w:b w:val="0"/>
          <w:bCs w:val="0"/>
          <w:iCs/>
        </w:rPr>
      </w:pPr>
      <w:r>
        <w:rPr>
          <w:b w:val="0"/>
          <w:bCs w:val="0"/>
          <w:i/>
          <w:iCs/>
        </w:rPr>
        <w:t xml:space="preserve">  </w:t>
      </w:r>
      <w:r w:rsidR="000D779E">
        <w:rPr>
          <w:b w:val="0"/>
          <w:bCs w:val="0"/>
          <w:i/>
          <w:iCs/>
        </w:rPr>
        <w:t xml:space="preserve"> </w:t>
      </w:r>
      <w:r w:rsidR="00891526">
        <w:rPr>
          <w:b w:val="0"/>
          <w:bCs w:val="0"/>
          <w:iCs/>
        </w:rPr>
        <w:t xml:space="preserve">(Papildyta </w:t>
      </w:r>
      <w:r w:rsidR="000D779E">
        <w:rPr>
          <w:b w:val="0"/>
          <w:bCs w:val="0"/>
          <w:iCs/>
        </w:rPr>
        <w:t>pagal VMI prie FM 2006-08-03 raštą Nr. (18.10-31-1)-R-6876)</w:t>
      </w:r>
    </w:p>
    <w:p w14:paraId="5659D2FD" w14:textId="77777777" w:rsidR="00093845" w:rsidRDefault="000D779E">
      <w:pPr>
        <w:tabs>
          <w:tab w:val="left" w:pos="720"/>
          <w:tab w:val="left" w:pos="1077"/>
          <w:tab w:val="left" w:pos="1418"/>
        </w:tabs>
        <w:ind w:firstLine="900"/>
        <w:jc w:val="both"/>
        <w:rPr>
          <w:lang w:val="lt-LT"/>
        </w:rPr>
      </w:pPr>
      <w:r>
        <w:rPr>
          <w:lang w:val="lt-LT"/>
        </w:rPr>
        <w:t xml:space="preserve">4. Jeigu vienetas gauna ir/ar uždirba pasyvios veiklos neapmokestinamųjų pajamų, kurios sudaro nereikšmingą visų pajamų dalį, arba jei vieneto sudaromi sandoriai yra atsitiktiniai (pvz., vienkartiniai akcijų, kurių vertės padidėjimo pajamos neapmokestinamos, perleidimo sandoriai, gautos baudų, delspinigių, žalos atlyginimo sumos ar pan.), tai, apskaičiuojant pelno mokestį, visos vieneto veiklos sąnaudos, tiesiogiai nesietinos su tomis gautomis neapmokestinamosiomis pajamomis, gali būti priskiriamos leidžiamiems atskaitymams. </w:t>
      </w:r>
    </w:p>
    <w:p w14:paraId="4F000A14" w14:textId="77777777" w:rsidR="00093845" w:rsidRDefault="000D779E">
      <w:pPr>
        <w:ind w:firstLine="900"/>
        <w:jc w:val="both"/>
        <w:rPr>
          <w:lang w:val="lt-LT"/>
        </w:rPr>
      </w:pPr>
      <w:r>
        <w:rPr>
          <w:lang w:val="lt-LT"/>
        </w:rPr>
        <w:t>5. Jeigu vienetas perkainoja turtą pagal apskaitos politikos reikalavimus arba perkainoja atskirus turto vienetus, ketindamas juos parduoti, investuoti ar pan., tai patirtos turto vertinimo ir kitos su perkainavimo procedūra susijusios sąnaudos gali būti priskiriamos leidžiamiems atskaitymams.</w:t>
      </w:r>
    </w:p>
    <w:p w14:paraId="4F8F76C2" w14:textId="77777777" w:rsidR="00093845" w:rsidRDefault="00AD632F">
      <w:pPr>
        <w:pStyle w:val="Pagrindiniotekstotrauka2"/>
        <w:tabs>
          <w:tab w:val="left" w:pos="720"/>
          <w:tab w:val="left" w:pos="1077"/>
          <w:tab w:val="left" w:pos="1418"/>
        </w:tabs>
        <w:spacing w:line="240" w:lineRule="auto"/>
        <w:rPr>
          <w:b w:val="0"/>
          <w:bCs w:val="0"/>
        </w:rPr>
      </w:pPr>
      <w:r>
        <w:rPr>
          <w:b w:val="0"/>
          <w:bCs w:val="0"/>
        </w:rPr>
        <w:t xml:space="preserve"> (P</w:t>
      </w:r>
      <w:r w:rsidR="000D779E">
        <w:rPr>
          <w:b w:val="0"/>
          <w:bCs w:val="0"/>
        </w:rPr>
        <w:t xml:space="preserve">apildyta pagal VMI prie FM raštą </w:t>
      </w:r>
      <w:r w:rsidR="000D779E">
        <w:rPr>
          <w:b w:val="0"/>
          <w:color w:val="000000"/>
        </w:rPr>
        <w:t>2007-09-12 Nr. (18.10-31-1)-R-9149)</w:t>
      </w:r>
    </w:p>
    <w:p w14:paraId="4DCBD3FB" w14:textId="77777777" w:rsidR="00093845" w:rsidRDefault="000D779E" w:rsidP="00FA6ED9">
      <w:pPr>
        <w:jc w:val="both"/>
        <w:rPr>
          <w:b/>
          <w:iCs/>
        </w:rPr>
      </w:pPr>
      <w:r>
        <w:rPr>
          <w:b/>
          <w:bCs/>
          <w:lang w:val="lt-LT"/>
        </w:rPr>
        <w:t xml:space="preserve">            </w:t>
      </w:r>
      <w:r>
        <w:rPr>
          <w:b/>
          <w:iCs/>
        </w:rPr>
        <w:t>18) sąnaudos, susijusios su pajamomis iš tarptautinio vežimo jūrų laivais arba tarptautinio vežimo jūrų laivais ir su juo tiesiogiai susijusios veiklos, jei laivybos vieneto pasirinkimu pajamoms iš tarptautinio vežimo jūrų laivais arba tarptautinio vežimo jūrų laivais ir su juo tiesiogiai susijusios veiklos pagal šio Įstatymo 38</w:t>
      </w:r>
      <w:r>
        <w:rPr>
          <w:b/>
          <w:iCs/>
          <w:vertAlign w:val="superscript"/>
        </w:rPr>
        <w:t>1</w:t>
      </w:r>
      <w:r>
        <w:rPr>
          <w:b/>
          <w:iCs/>
        </w:rPr>
        <w:t xml:space="preserve"> straipsnio nuostatas taikomas fiksuotas pelno mokestis.</w:t>
      </w:r>
    </w:p>
    <w:p w14:paraId="1F90266B" w14:textId="77777777" w:rsidR="00093845" w:rsidRPr="00AD632F" w:rsidRDefault="000D779E" w:rsidP="00841411">
      <w:pPr>
        <w:pStyle w:val="tajtip"/>
        <w:spacing w:before="0" w:beforeAutospacing="0" w:after="0" w:afterAutospacing="0"/>
        <w:jc w:val="both"/>
        <w:rPr>
          <w:i/>
          <w:iCs/>
        </w:rPr>
      </w:pPr>
      <w:r w:rsidRPr="00AD632F">
        <w:rPr>
          <w:i/>
          <w:iCs/>
        </w:rPr>
        <w:t>(KEISTA: 2017 06 01 įstatymu Nr. XIII-405 (nuo 2017 06 10)</w:t>
      </w:r>
      <w:r w:rsidR="00F33038" w:rsidRPr="00AD632F">
        <w:rPr>
          <w:i/>
          <w:iCs/>
        </w:rPr>
        <w:t>,</w:t>
      </w:r>
      <w:r w:rsidRPr="00AD632F">
        <w:rPr>
          <w:i/>
          <w:iCs/>
        </w:rPr>
        <w:t xml:space="preserve"> taikoma apskaičiuojant 2017 metais prasidėjusio mokestinio laikotarpio ir vėlesnių mokestinių laikotarpių apmokestinamąjį pelną)</w:t>
      </w:r>
    </w:p>
    <w:p w14:paraId="781E8F5D" w14:textId="77777777" w:rsidR="00093845" w:rsidRDefault="00093845">
      <w:pPr>
        <w:pStyle w:val="tajtip"/>
        <w:spacing w:before="0" w:beforeAutospacing="0" w:after="0" w:afterAutospacing="0"/>
        <w:ind w:firstLine="567"/>
        <w:jc w:val="both"/>
        <w:rPr>
          <w:b/>
          <w:iCs/>
        </w:rPr>
      </w:pPr>
    </w:p>
    <w:p w14:paraId="476EE157" w14:textId="77777777" w:rsidR="00093845" w:rsidRDefault="000D779E">
      <w:pPr>
        <w:pStyle w:val="tajtip"/>
        <w:spacing w:before="0" w:beforeAutospacing="0" w:after="0" w:afterAutospacing="0"/>
        <w:ind w:firstLine="567"/>
        <w:jc w:val="both"/>
        <w:rPr>
          <w:b/>
          <w:iCs/>
        </w:rPr>
      </w:pPr>
      <w:r>
        <w:rPr>
          <w:b/>
          <w:iCs/>
        </w:rPr>
        <w:t>Komentaras</w:t>
      </w:r>
    </w:p>
    <w:p w14:paraId="03C79882" w14:textId="77777777" w:rsidR="00093845" w:rsidRDefault="00093845">
      <w:pPr>
        <w:pStyle w:val="tajtip"/>
        <w:spacing w:before="0" w:beforeAutospacing="0" w:after="0" w:afterAutospacing="0"/>
        <w:ind w:firstLine="567"/>
        <w:jc w:val="both"/>
        <w:rPr>
          <w:b/>
          <w:iCs/>
        </w:rPr>
      </w:pPr>
    </w:p>
    <w:p w14:paraId="1B3254CC" w14:textId="77777777" w:rsidR="00093845" w:rsidRDefault="000D779E">
      <w:pPr>
        <w:pStyle w:val="tajtip"/>
        <w:spacing w:before="0" w:beforeAutospacing="0" w:after="0" w:afterAutospacing="0"/>
        <w:ind w:firstLine="567"/>
        <w:jc w:val="both"/>
        <w:rPr>
          <w:iCs/>
        </w:rPr>
      </w:pPr>
      <w:r>
        <w:rPr>
          <w:iCs/>
        </w:rPr>
        <w:t>Jeigu laivybos vieneto pasirinkimu pajamoms iš PMĮ 2 str. 34 ir 35 dalyse nurodytos tarptautinio vežimo jūrų laivais arba tarptautinio vežimo jūrų laivais ir su tuo tiesiogiai susijusios veiklos taikomas fiksuotas pelno mokestis, su šių pajamų uždirbimu susijusios sąnaudos priskiriamos neleidžiamiems atskaitymams, apskaičiuojant apmokestinamąjį pelną pagal PMĮ 11 straipsnio nuostatas.</w:t>
      </w:r>
    </w:p>
    <w:p w14:paraId="74EBD7F8" w14:textId="77777777" w:rsidR="00093845" w:rsidRDefault="000D779E">
      <w:pPr>
        <w:pStyle w:val="tajtip"/>
        <w:spacing w:before="0" w:beforeAutospacing="0" w:after="0" w:afterAutospacing="0"/>
        <w:ind w:firstLine="567"/>
        <w:jc w:val="both"/>
        <w:rPr>
          <w:iCs/>
        </w:rPr>
      </w:pPr>
      <w:r>
        <w:rPr>
          <w:iCs/>
        </w:rPr>
        <w:t>Tuo atveju, kai laivybos vienetas pasirinko pajamoms iš tarptautinio vežimo jūrų laivais arba tarptautinio vežimo jūrų laivais ir su tuo tiesiogiai susijusios veiklos taikyti fiksuotą pelno mokestį, tačiau uždirba pajamų iš veiklos, kuri nepriskiriama tarptautinio vežimo jūrų laivais arba tarptautinio vežimo jūrų laivais ir su juo tiesiogiai susijusiai veiklai, tokios pajamos priskiriamos PMĮ 4 str. 1 dalies mokesčio bazei, nuo kurios apskaičiuojamas apmokestinamasis pelnas PMĮ 11 straipsnyje nustatyta tvarka, todėl su šių pajamų uždirbimu susijusios sąnaudos priskiriamos leidžiamiems atskaitymams PMĮ nustatyta tvarka.</w:t>
      </w:r>
    </w:p>
    <w:p w14:paraId="16C93856" w14:textId="77777777" w:rsidR="00093845" w:rsidRDefault="00AD632F">
      <w:pPr>
        <w:rPr>
          <w:sz w:val="22"/>
          <w:szCs w:val="22"/>
          <w:lang w:val="lt-LT"/>
        </w:rPr>
      </w:pPr>
      <w:r>
        <w:rPr>
          <w:bCs/>
        </w:rPr>
        <w:t xml:space="preserve">            (P</w:t>
      </w:r>
      <w:r w:rsidR="000D779E">
        <w:rPr>
          <w:bCs/>
        </w:rPr>
        <w:t xml:space="preserve">agal 2017-09-22 VMI prie FM raštą Nr. </w:t>
      </w:r>
      <w:r w:rsidR="000D779E">
        <w:t xml:space="preserve">(32.42-31-1E) </w:t>
      </w:r>
      <w:r w:rsidR="000D779E">
        <w:rPr>
          <w:bCs/>
        </w:rPr>
        <w:t>-</w:t>
      </w:r>
      <w:r w:rsidR="000D779E">
        <w:t xml:space="preserve"> RM-29627</w:t>
      </w:r>
      <w:r w:rsidR="000D779E">
        <w:rPr>
          <w:bCs/>
        </w:rPr>
        <w:t>)</w:t>
      </w:r>
    </w:p>
    <w:p w14:paraId="4082FCCE" w14:textId="77777777" w:rsidR="00093845" w:rsidRDefault="000D779E" w:rsidP="00D367C2">
      <w:pPr>
        <w:pStyle w:val="Pagrindinistekstas"/>
        <w:tabs>
          <w:tab w:val="left" w:pos="720"/>
          <w:tab w:val="left" w:pos="1077"/>
          <w:tab w:val="left" w:pos="1134"/>
          <w:tab w:val="left" w:pos="1418"/>
        </w:tabs>
        <w:spacing w:after="0"/>
        <w:ind w:right="-85" w:firstLine="720"/>
        <w:rPr>
          <w:b/>
          <w:bCs/>
          <w:lang w:val="lt-LT"/>
        </w:rPr>
      </w:pPr>
      <w:r>
        <w:rPr>
          <w:b/>
          <w:bCs/>
          <w:lang w:val="lt-LT"/>
        </w:rPr>
        <w:lastRenderedPageBreak/>
        <w:t>19) leidžiami atskaitymai ir ribojamų dydžių leidžiami atskaitymai, tenkantys per Lietuvos vieneto nuolatines buveines, esančias Europos ekonominės erdvės valstybėse arba valstybėse, su kuriomis Lietuvos Respublika yra sudariusi ir taiko dvigubo apmokestinimo išvengimo sutartis, vykdomos veiklos pajamoms, jeigu per šias nuolatines buveines vykdomos veiklos pajamos nustatyta tvarka apmokestinamos pelno mokesčiu ar jam tapačiu mokesčiu tose valstybėse.</w:t>
      </w:r>
    </w:p>
    <w:p w14:paraId="7C294233" w14:textId="77777777" w:rsidR="00093845" w:rsidRPr="00AD632F" w:rsidRDefault="000D779E" w:rsidP="00D367C2">
      <w:pPr>
        <w:tabs>
          <w:tab w:val="left" w:pos="720"/>
          <w:tab w:val="left" w:pos="1077"/>
          <w:tab w:val="left" w:pos="1134"/>
          <w:tab w:val="left" w:pos="1418"/>
        </w:tabs>
        <w:spacing w:after="0"/>
        <w:ind w:right="-85"/>
        <w:rPr>
          <w:i/>
          <w:iCs/>
          <w:lang w:val="lt-LT"/>
        </w:rPr>
      </w:pPr>
      <w:r w:rsidRPr="00AD632F">
        <w:rPr>
          <w:i/>
          <w:lang w:val="lt-LT"/>
        </w:rPr>
        <w:t>(</w:t>
      </w:r>
      <w:r w:rsidRPr="00AD632F">
        <w:rPr>
          <w:i/>
          <w:iCs/>
        </w:rPr>
        <w:t>KEISTA:</w:t>
      </w:r>
      <w:r w:rsidRPr="00AD632F">
        <w:rPr>
          <w:i/>
          <w:iCs/>
          <w:lang w:val="lt-LT"/>
        </w:rPr>
        <w:t xml:space="preserve"> </w:t>
      </w:r>
      <w:r w:rsidRPr="00AD632F">
        <w:rPr>
          <w:i/>
          <w:iCs/>
        </w:rPr>
        <w:t>2009 12 09 įstatymu Nr. XI-539 (nuo 2009 12 28)</w:t>
      </w:r>
      <w:r w:rsidR="00F33038" w:rsidRPr="00AD632F">
        <w:rPr>
          <w:i/>
          <w:iCs/>
        </w:rPr>
        <w:t>,</w:t>
      </w:r>
      <w:r w:rsidR="001F2033" w:rsidRPr="00AD632F">
        <w:rPr>
          <w:i/>
        </w:rPr>
        <w:t xml:space="preserve"> </w:t>
      </w:r>
      <w:r w:rsidR="001F2033" w:rsidRPr="00AD632F">
        <w:rPr>
          <w:i/>
          <w:iCs/>
        </w:rPr>
        <w:t>nuostatos taikomos apskaičiuojant 2010 metais prasidėjusio mokestinio laikotarpio ir vėlesnių mokestinių laikotarpių pelno mokestį</w:t>
      </w:r>
      <w:r w:rsidRPr="00AD632F">
        <w:rPr>
          <w:i/>
          <w:iCs/>
          <w:lang w:val="lt-LT"/>
        </w:rPr>
        <w:t>)</w:t>
      </w:r>
    </w:p>
    <w:p w14:paraId="55DD96C9" w14:textId="77777777" w:rsidR="00FA6ED9" w:rsidRDefault="00FA6ED9" w:rsidP="00D367C2">
      <w:pPr>
        <w:tabs>
          <w:tab w:val="left" w:pos="720"/>
          <w:tab w:val="left" w:pos="1077"/>
          <w:tab w:val="left" w:pos="1134"/>
          <w:tab w:val="left" w:pos="1418"/>
        </w:tabs>
        <w:spacing w:after="0"/>
        <w:ind w:right="-85"/>
        <w:rPr>
          <w:iCs/>
          <w:lang w:val="lt-LT"/>
        </w:rPr>
      </w:pPr>
    </w:p>
    <w:p w14:paraId="30EE8B64" w14:textId="77777777" w:rsidR="00093845" w:rsidRDefault="000D779E">
      <w:pPr>
        <w:pStyle w:val="Pagrindinistekstas"/>
        <w:tabs>
          <w:tab w:val="left" w:pos="720"/>
          <w:tab w:val="left" w:pos="1077"/>
          <w:tab w:val="left" w:pos="1134"/>
          <w:tab w:val="left" w:pos="1418"/>
        </w:tabs>
        <w:ind w:right="-85" w:firstLine="720"/>
        <w:rPr>
          <w:b/>
          <w:bCs/>
          <w:lang w:val="lt-LT"/>
        </w:rPr>
      </w:pPr>
      <w:r>
        <w:rPr>
          <w:b/>
          <w:bCs/>
          <w:lang w:val="lt-LT"/>
        </w:rPr>
        <w:t>Komentaras</w:t>
      </w:r>
    </w:p>
    <w:p w14:paraId="4A664428" w14:textId="77777777" w:rsidR="00093845" w:rsidRDefault="000D779E">
      <w:pPr>
        <w:pStyle w:val="Pagrindinistekstas"/>
        <w:tabs>
          <w:tab w:val="left" w:pos="720"/>
          <w:tab w:val="left" w:pos="851"/>
          <w:tab w:val="left" w:pos="1134"/>
          <w:tab w:val="left" w:pos="1418"/>
        </w:tabs>
        <w:ind w:right="-85" w:firstLine="720"/>
        <w:rPr>
          <w:lang w:val="lt-LT"/>
        </w:rPr>
      </w:pPr>
      <w:r>
        <w:rPr>
          <w:bCs/>
          <w:lang w:val="lt-LT"/>
        </w:rPr>
        <w:t xml:space="preserve">1. </w:t>
      </w:r>
      <w:r>
        <w:rPr>
          <w:lang w:val="lt-LT"/>
        </w:rPr>
        <w:t xml:space="preserve">Lietuvos vienetas </w:t>
      </w:r>
      <w:r>
        <w:rPr>
          <w:bCs/>
          <w:lang w:val="lt-LT"/>
        </w:rPr>
        <w:t>Europos ekonominės erdvės valstybėse arba valstybėse, su kuriomis Lietuvos Respublika yra sudariusi ir taiko dvigubo apmokestinimo išvengimo sutartis</w:t>
      </w:r>
      <w:r>
        <w:rPr>
          <w:lang w:val="lt-LT"/>
        </w:rPr>
        <w:t xml:space="preserve"> per nuolatinę buveinę uždirbtas pajamas (apmokestinamąsias ir neapmokestinamąsias pagal PMĮ nuostatas) bei patirtas sąnaudas (ribojamų dydžių leidžiamus atskaitymus, leidžiamus atskaitymus bei neleidžiamus atskaitymus pagal PMĮ nuostatas) turi eliminuoti iš įmonės mokestinio laikotarpio metų pelno mokesčio bazės. </w:t>
      </w:r>
    </w:p>
    <w:p w14:paraId="5051A1A6" w14:textId="77777777" w:rsidR="00093845" w:rsidRDefault="000D779E">
      <w:pPr>
        <w:pStyle w:val="Pagrindinistekstas"/>
        <w:tabs>
          <w:tab w:val="left" w:pos="720"/>
          <w:tab w:val="left" w:pos="851"/>
          <w:tab w:val="left" w:pos="1134"/>
          <w:tab w:val="left" w:pos="1418"/>
        </w:tabs>
        <w:ind w:right="-85" w:firstLine="720"/>
        <w:rPr>
          <w:bCs/>
          <w:lang w:val="lt-LT"/>
        </w:rPr>
      </w:pPr>
      <w:r>
        <w:rPr>
          <w:lang w:val="lt-LT"/>
        </w:rPr>
        <w:t>2. Lietuvos vieneto nuolatinės buveinės užsienio valstybėje išlaidos, susijusios su pajamų uždirbimu, galėjo būti priskiriamos leidžiamiems atskaitymams iki 2010 metais prasidėjusio mokestinio laikotarpio pradžios.</w:t>
      </w:r>
    </w:p>
    <w:p w14:paraId="66B34574" w14:textId="77777777" w:rsidR="00093845" w:rsidRDefault="000D779E">
      <w:pPr>
        <w:pStyle w:val="Pagrindinistekstas"/>
        <w:tabs>
          <w:tab w:val="left" w:pos="720"/>
          <w:tab w:val="left" w:pos="851"/>
          <w:tab w:val="left" w:pos="1134"/>
          <w:tab w:val="left" w:pos="1418"/>
        </w:tabs>
        <w:ind w:right="-85" w:firstLine="720"/>
        <w:rPr>
          <w:lang w:val="lt-LT"/>
        </w:rPr>
      </w:pPr>
      <w:r>
        <w:rPr>
          <w:bCs/>
          <w:lang w:val="lt-LT"/>
        </w:rPr>
        <w:t xml:space="preserve">Įmonė turi apskaičiuoti kokią sumą sudaro su jos nuolatinės buveinės užsienyje pajamų uždirbimu susijusios </w:t>
      </w:r>
      <w:r>
        <w:rPr>
          <w:lang w:val="lt-LT"/>
        </w:rPr>
        <w:t xml:space="preserve">sąnaudos (ribojamų dydžių leidžiamus atskaitymai, leidžiami atskaitymai bei neleidžiami atskaitymai pagal PMĮ nuostatas) ir šias sąnaudas priskirti neleidžiamiems atskaitymams.  </w:t>
      </w:r>
    </w:p>
    <w:p w14:paraId="067C5F6A" w14:textId="77777777" w:rsidR="00093845" w:rsidRDefault="000D779E">
      <w:pPr>
        <w:pStyle w:val="Pagrindinistekstas"/>
        <w:tabs>
          <w:tab w:val="left" w:pos="720"/>
          <w:tab w:val="left" w:pos="851"/>
          <w:tab w:val="left" w:pos="1134"/>
          <w:tab w:val="left" w:pos="1418"/>
        </w:tabs>
        <w:ind w:right="-85" w:firstLine="720"/>
        <w:rPr>
          <w:lang w:val="lt-LT"/>
        </w:rPr>
      </w:pPr>
      <w:r>
        <w:rPr>
          <w:lang w:val="lt-LT"/>
        </w:rPr>
        <w:t xml:space="preserve">3. Darbuotojų, kurie dirba Lietuvos vieneto nuolatinėje buveinėje užsienio valstybėje, darbo užmokestis bei valstybinio socialinio draudimo įmokos, mokamos nuo darbuotojų, dirbančių nuolatinėje buveinėje darbo užmokesčio yra susiję su tos nuolatinės buveinės pajamų uždirbimu. Kadangi tokios pajamos nėra įtraukiamos į Lietuvos vieneto pelno mokesčio bazę Lietuvoje, tai ir sąnaudos, susijusios su šių pajamų uždirbimu, negali būti priskiriamos Lietuvos vieneto leidžiamiems atskaitymams. </w:t>
      </w:r>
    </w:p>
    <w:p w14:paraId="6C652B0A" w14:textId="77777777" w:rsidR="00093845" w:rsidRDefault="000D779E">
      <w:pPr>
        <w:pStyle w:val="Pagrindinistekstas"/>
        <w:tabs>
          <w:tab w:val="left" w:pos="720"/>
          <w:tab w:val="left" w:pos="851"/>
          <w:tab w:val="left" w:pos="1134"/>
          <w:tab w:val="left" w:pos="1418"/>
        </w:tabs>
        <w:ind w:right="-85" w:firstLine="720"/>
        <w:rPr>
          <w:b/>
          <w:lang w:val="lt-LT"/>
        </w:rPr>
      </w:pPr>
      <w:r>
        <w:rPr>
          <w:b/>
          <w:lang w:val="lt-LT"/>
        </w:rPr>
        <w:t>Pavyzdžiai</w:t>
      </w:r>
    </w:p>
    <w:p w14:paraId="00310E0E"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142"/>
          <w:tab w:val="left" w:pos="851"/>
          <w:tab w:val="left" w:pos="1418"/>
        </w:tabs>
        <w:ind w:right="-85"/>
        <w:rPr>
          <w:bCs/>
          <w:lang w:val="lt-LT"/>
        </w:rPr>
      </w:pPr>
      <w:r>
        <w:rPr>
          <w:b/>
          <w:bCs/>
          <w:lang w:val="lt-LT"/>
        </w:rPr>
        <w:tab/>
      </w:r>
      <w:r>
        <w:rPr>
          <w:b/>
          <w:bCs/>
          <w:lang w:val="lt-LT"/>
        </w:rPr>
        <w:tab/>
      </w:r>
      <w:r>
        <w:rPr>
          <w:bCs/>
          <w:lang w:val="lt-LT"/>
        </w:rPr>
        <w:t xml:space="preserve">1. Lietuvos vienetas turi nuolatinę buveinę Rusijoje. Lietuvos vieneto darbuotojai dirba nuolatinėje buveinėje. Šių darbuotojų darbo užmokestis negali būti priskiriamas Lietuvos vieneto leidžiamiems atskaitymams. </w:t>
      </w:r>
    </w:p>
    <w:p w14:paraId="74F4E674"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0"/>
          <w:tab w:val="left" w:pos="142"/>
          <w:tab w:val="left" w:pos="851"/>
          <w:tab w:val="left" w:pos="1418"/>
        </w:tabs>
        <w:ind w:right="-85"/>
        <w:rPr>
          <w:lang w:val="lt-LT"/>
        </w:rPr>
      </w:pPr>
      <w:r>
        <w:rPr>
          <w:bCs/>
          <w:lang w:val="lt-LT"/>
        </w:rPr>
        <w:tab/>
      </w:r>
      <w:r>
        <w:rPr>
          <w:bCs/>
          <w:lang w:val="lt-LT"/>
        </w:rPr>
        <w:tab/>
        <w:t xml:space="preserve">2. Lietuvos vienetas turi nuolatinę buveinę Rusijoje. Lietuvos vieneto darbuotojai dirba nuolatinėje buveinėje. </w:t>
      </w:r>
      <w:r>
        <w:rPr>
          <w:lang w:val="lt-LT"/>
        </w:rPr>
        <w:t xml:space="preserve">Valstybinio socialinio draudimo įmokos, mokamos nuo šių darbuotojų darbo užmokesčio negali būti priskiriamos Lietuvos vieneto leidžiamiems atskaitymams. </w:t>
      </w:r>
    </w:p>
    <w:p w14:paraId="7239F942"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851"/>
          <w:tab w:val="left" w:pos="1134"/>
          <w:tab w:val="left" w:pos="1418"/>
        </w:tabs>
        <w:ind w:right="-85"/>
        <w:rPr>
          <w:lang w:val="lt-LT"/>
        </w:rPr>
      </w:pPr>
      <w:r>
        <w:rPr>
          <w:lang w:val="lt-LT"/>
        </w:rPr>
        <w:tab/>
        <w:t xml:space="preserve">3. </w:t>
      </w:r>
      <w:r>
        <w:rPr>
          <w:bCs/>
          <w:lang w:val="lt-LT"/>
        </w:rPr>
        <w:t xml:space="preserve">Lietuvos vienetas turi nuolatinę buveinę Londone. Lietuvos vieneto darbuotojai dalį laiko dirba Lietuvos vienete, dalį laiko nuolatinėje buveinėje. </w:t>
      </w:r>
      <w:r>
        <w:rPr>
          <w:lang w:val="lt-LT"/>
        </w:rPr>
        <w:t>Vienetas pats pasirenka kriterijus (labiausiai atitinkančius realią padėtį), kuriais remiantis nustato, kuri dalis darbuotojų darbo laiko skiriama Lietuvos vienetui, kuri nuolatinei buveinei. D</w:t>
      </w:r>
      <w:r>
        <w:rPr>
          <w:bCs/>
          <w:lang w:val="lt-LT"/>
        </w:rPr>
        <w:t xml:space="preserve">arbuotojų darbo užmokestis už darbą nuolatinės buveinės tikslams negali būti priskiriamas Lietuvos vieneto leidžiamiems atskaitymams. </w:t>
      </w:r>
    </w:p>
    <w:p w14:paraId="351C50A3" w14:textId="77777777" w:rsidR="00093845" w:rsidRDefault="00093845">
      <w:pPr>
        <w:pStyle w:val="Pagrindinistekstas"/>
        <w:tabs>
          <w:tab w:val="left" w:pos="720"/>
          <w:tab w:val="left" w:pos="851"/>
          <w:tab w:val="left" w:pos="1134"/>
          <w:tab w:val="left" w:pos="1418"/>
        </w:tabs>
        <w:ind w:right="-85" w:firstLine="720"/>
        <w:rPr>
          <w:bCs/>
          <w:lang w:val="lt-LT"/>
        </w:rPr>
      </w:pPr>
    </w:p>
    <w:p w14:paraId="1A4E5A34" w14:textId="77777777" w:rsidR="00093845" w:rsidRDefault="000D779E">
      <w:pPr>
        <w:pStyle w:val="Pagrindinistekstas"/>
        <w:tabs>
          <w:tab w:val="left" w:pos="720"/>
          <w:tab w:val="left" w:pos="851"/>
          <w:tab w:val="left" w:pos="1134"/>
          <w:tab w:val="left" w:pos="1418"/>
        </w:tabs>
        <w:ind w:right="-85"/>
        <w:rPr>
          <w:bCs/>
          <w:lang w:val="lt-LT"/>
        </w:rPr>
      </w:pPr>
      <w:r>
        <w:rPr>
          <w:b/>
          <w:lang w:val="lt-LT"/>
        </w:rPr>
        <w:tab/>
      </w:r>
      <w:r>
        <w:rPr>
          <w:lang w:val="lt-LT"/>
        </w:rPr>
        <w:t xml:space="preserve">4. </w:t>
      </w:r>
      <w:r>
        <w:rPr>
          <w:bCs/>
          <w:lang w:val="lt-LT"/>
        </w:rPr>
        <w:t xml:space="preserve">Tuo atveju, kai Lietuvos vieneto darbuotojai siunčiami į komandiruotes į nuolatinę buveinę užsienio valstybėje, tai išlaidos susijusios su tokio darbuotojo darbu nuolatinės buveinės tikslams, yra susijusios su nuolatinės buveinės užsienio valstybėje pajamų uždirbimu, ir darbo užmokestis už </w:t>
      </w:r>
      <w:r>
        <w:rPr>
          <w:bCs/>
          <w:lang w:val="lt-LT"/>
        </w:rPr>
        <w:lastRenderedPageBreak/>
        <w:t xml:space="preserve">komandiruotės laiką bei komandiruotės išlaidos negali būti priskiriamos Lietuvos vieneto leidžiamiems atskaitymams. </w:t>
      </w:r>
    </w:p>
    <w:p w14:paraId="4AE74053" w14:textId="77777777" w:rsidR="00093845" w:rsidRDefault="000D779E">
      <w:pPr>
        <w:pStyle w:val="Pagrindinistekstas"/>
        <w:tabs>
          <w:tab w:val="left" w:pos="720"/>
          <w:tab w:val="left" w:pos="851"/>
          <w:tab w:val="left" w:pos="1134"/>
          <w:tab w:val="left" w:pos="1418"/>
        </w:tabs>
        <w:ind w:right="-85"/>
        <w:rPr>
          <w:b/>
          <w:bCs/>
          <w:lang w:val="lt-LT"/>
        </w:rPr>
      </w:pPr>
      <w:r>
        <w:rPr>
          <w:b/>
          <w:bCs/>
          <w:lang w:val="lt-LT"/>
        </w:rPr>
        <w:tab/>
        <w:t>Pavyzdžiai</w:t>
      </w:r>
    </w:p>
    <w:p w14:paraId="249B9C47" w14:textId="77777777" w:rsidR="00093845" w:rsidRDefault="000D779E">
      <w:pPr>
        <w:pStyle w:val="Pagrindinistekstas"/>
        <w:pBdr>
          <w:top w:val="single" w:sz="4" w:space="1" w:color="auto"/>
          <w:left w:val="single" w:sz="4" w:space="7" w:color="auto"/>
          <w:bottom w:val="single" w:sz="4" w:space="1" w:color="auto"/>
          <w:right w:val="single" w:sz="4" w:space="4" w:color="auto"/>
        </w:pBdr>
        <w:tabs>
          <w:tab w:val="left" w:pos="720"/>
          <w:tab w:val="left" w:pos="851"/>
          <w:tab w:val="left" w:pos="1134"/>
          <w:tab w:val="left" w:pos="1418"/>
        </w:tabs>
        <w:ind w:right="-85" w:firstLine="720"/>
        <w:rPr>
          <w:bCs/>
          <w:lang w:val="lt-LT"/>
        </w:rPr>
      </w:pPr>
      <w:r>
        <w:rPr>
          <w:bCs/>
          <w:lang w:val="lt-LT"/>
        </w:rPr>
        <w:t xml:space="preserve">1. Lietuvos vienetas turi nuolatinę buveinę Rusijoje. Lietuvos vieneto darbuotojai (Lietuvos nuolatiniai gyventojai) siunčiami į komandiruotes į nuolatinę buveinę Rusijoje. Šių komandiruočių metu darbuotojai atlieka statybos darbus Rusijoje. Komandiruotės metu darbuotojai dirba tik nuolatinės buveinės tikslams. Šių darbuotojų darbo užmokestis už komandiruotės laiką bei komandiruotės išlaidos negali būti priskiriamos Lietuvos vieneto leidžiamiems atskaitymams. </w:t>
      </w:r>
    </w:p>
    <w:p w14:paraId="00C70765" w14:textId="77777777" w:rsidR="00093845" w:rsidRDefault="000D779E">
      <w:pPr>
        <w:pStyle w:val="Pagrindinistekstas"/>
        <w:pBdr>
          <w:top w:val="single" w:sz="4" w:space="1" w:color="auto"/>
          <w:left w:val="single" w:sz="4" w:space="7" w:color="auto"/>
          <w:bottom w:val="single" w:sz="4" w:space="1" w:color="auto"/>
          <w:right w:val="single" w:sz="4" w:space="4" w:color="auto"/>
        </w:pBdr>
        <w:tabs>
          <w:tab w:val="left" w:pos="720"/>
          <w:tab w:val="left" w:pos="851"/>
          <w:tab w:val="left" w:pos="1134"/>
          <w:tab w:val="left" w:pos="1418"/>
        </w:tabs>
        <w:ind w:right="-85" w:firstLine="720"/>
        <w:rPr>
          <w:bCs/>
          <w:lang w:val="lt-LT"/>
        </w:rPr>
      </w:pPr>
      <w:r>
        <w:rPr>
          <w:bCs/>
          <w:lang w:val="lt-LT"/>
        </w:rPr>
        <w:t xml:space="preserve">2. Lietuvos vienetas turi nuolatinę buveinę Vokietijoje. Lietuvos vieneto administracijos darbuotojai siunčiami į komandiruotes į nuolatinę buveinę. Šių komandiruočių metu administracijos darbuotojai atlieka dalį užduočių Lietuvos vieneto naudai, dalį užduočių nuolatinės buveinės naudai. Lietuvos vieneto leidžiamiems atskaitymams gali būti priskiriamos šių darbuotojų darbo užmokestis už komandiruotės laiką bei komandiruotės išlaidos ta dalim, kiek tai susiję su Lietuvos vieneto naudai atliktais veiksmais, užduotimis. </w:t>
      </w:r>
    </w:p>
    <w:p w14:paraId="6E73589F" w14:textId="77777777" w:rsidR="00093845" w:rsidRDefault="000D779E">
      <w:pPr>
        <w:pStyle w:val="Pagrindinistekstas"/>
        <w:tabs>
          <w:tab w:val="left" w:pos="720"/>
          <w:tab w:val="left" w:pos="851"/>
          <w:tab w:val="left" w:pos="1134"/>
          <w:tab w:val="left" w:pos="1418"/>
        </w:tabs>
        <w:ind w:right="-85"/>
        <w:rPr>
          <w:lang w:val="lt-LT"/>
        </w:rPr>
      </w:pPr>
      <w:r>
        <w:rPr>
          <w:lang w:val="lt-LT"/>
        </w:rPr>
        <w:tab/>
        <w:t xml:space="preserve">5. Tais atvejais, kai Lietuvos vienetas naudoja turtą tiek savo veikloje, tiek nuolatinės buveinės, kuri yra įsikūrusi </w:t>
      </w:r>
      <w:r>
        <w:rPr>
          <w:bCs/>
          <w:lang w:val="lt-LT"/>
        </w:rPr>
        <w:t>EEE valstybėse arba valstybėse, su kuriomis Lietuvos Respublika yra sudariusi ir taiko dvigubo apmokestinimo išvengimo sutartis</w:t>
      </w:r>
      <w:r>
        <w:rPr>
          <w:lang w:val="lt-LT"/>
        </w:rPr>
        <w:t xml:space="preserve">, veikloje, tai toks Lietuvos vienetas leidžiamiems atskaitymams gali priskirti tik tą išlaidų (nusidėvėjimo ir kitų) dalį, kuri susijusi su Lietuvos vieneto veikla. </w:t>
      </w:r>
    </w:p>
    <w:p w14:paraId="5A1BCF09" w14:textId="77777777" w:rsidR="00093845" w:rsidRDefault="000D779E">
      <w:pPr>
        <w:pStyle w:val="Pagrindinistekstas"/>
        <w:tabs>
          <w:tab w:val="left" w:pos="720"/>
          <w:tab w:val="left" w:pos="851"/>
          <w:tab w:val="left" w:pos="1134"/>
          <w:tab w:val="left" w:pos="1418"/>
        </w:tabs>
        <w:ind w:right="-85"/>
        <w:rPr>
          <w:lang w:val="lt-LT"/>
        </w:rPr>
      </w:pPr>
      <w:r>
        <w:rPr>
          <w:lang w:val="lt-LT"/>
        </w:rPr>
        <w:tab/>
        <w:t xml:space="preserve">Tais atvejais, kai patiriamos išlaidos tiek nuolatinės buveinės, tiek Lietuvos vieneto veiklai vykdyti, pvz.: valdymo išlaidos, nematerialaus turto įsigijimo išlaidos, tai Lietuvos vienetas leidžiamiems atskaitymams gali priskirti tik tą išlaidų dalį, kuri susijusi su Lietuvos vieneto veikla. </w:t>
      </w:r>
    </w:p>
    <w:p w14:paraId="77E27AA3" w14:textId="77777777" w:rsidR="00093845" w:rsidRDefault="000D779E">
      <w:pPr>
        <w:pStyle w:val="Pagrindinistekstas"/>
        <w:tabs>
          <w:tab w:val="left" w:pos="720"/>
          <w:tab w:val="left" w:pos="851"/>
          <w:tab w:val="left" w:pos="1134"/>
          <w:tab w:val="left" w:pos="1418"/>
        </w:tabs>
        <w:ind w:right="-85"/>
        <w:rPr>
          <w:b/>
          <w:lang w:val="lt-LT"/>
        </w:rPr>
      </w:pPr>
      <w:r>
        <w:rPr>
          <w:b/>
          <w:lang w:val="lt-LT"/>
        </w:rPr>
        <w:tab/>
        <w:t>Pavyzdžiai</w:t>
      </w:r>
    </w:p>
    <w:p w14:paraId="4687AE69"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709"/>
          <w:tab w:val="left" w:pos="1418"/>
        </w:tabs>
        <w:ind w:right="-85" w:firstLine="284"/>
        <w:rPr>
          <w:lang w:val="lt-LT"/>
        </w:rPr>
      </w:pPr>
      <w:r>
        <w:rPr>
          <w:lang w:val="lt-LT"/>
        </w:rPr>
        <w:tab/>
        <w:t xml:space="preserve">1. Lietuvos vienetas vykdo veiklą per nuolatinę buveinę Belgijoje. Vienetas tiek savo veikloje, tiek nuolatinės buveinės veikloje naudoja bendrą turtą. Leidžiamiems atskaitymams gali būti priskirta tik ta išlaidų, susijusių su turto naudojimu (nusidėvėjimo, draudimo ir kt.), dalis, kokia dalimi šis turtas naudojamas Lietuvos vieneto pajamoms uždirbti. Vienetas pats pasirenka kriterijus (labiausiai atitinkančius realią padėtį), kuriais remiantis nustato, kuri dalis turto naudojama jo veikloje, kuri - nuolatinės buveinės. Išlaidų, susijusių su turto naudojimu (nusidėvėjimo, draudimo ir kt.) dalis, tenkanti nuolatinės buveinės veiklai, turi būti priskiriama neleidžiamiems atskaitymams. </w:t>
      </w:r>
    </w:p>
    <w:p w14:paraId="5E3ABAE6"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284"/>
          <w:tab w:val="left" w:pos="709"/>
          <w:tab w:val="left" w:pos="1134"/>
          <w:tab w:val="left" w:pos="1418"/>
        </w:tabs>
        <w:ind w:right="-85" w:firstLine="284"/>
        <w:rPr>
          <w:lang w:val="lt-LT"/>
        </w:rPr>
      </w:pPr>
      <w:r>
        <w:rPr>
          <w:lang w:val="lt-LT"/>
        </w:rPr>
        <w:tab/>
        <w:t xml:space="preserve">2. Lietuvos vienetas vykdo veiklą per nuolatinę buveinę Vokietijoje. Vieneto veiklai ir nuolatinės buveinės veiklai vykdyti reikalinga frančizė. Vienetas kiekvienais metais moka frančizės mokestį. Dalis frančizės mokesčio sąnaudų, tenkančių nuolatinės buveinės veiklai, turi būti priskiriama neleidžiamiems atskaitymams. </w:t>
      </w:r>
    </w:p>
    <w:p w14:paraId="0E20F1B5" w14:textId="77777777" w:rsidR="00093845" w:rsidRDefault="000D779E">
      <w:pPr>
        <w:pStyle w:val="Pagrindinistekstas"/>
        <w:pBdr>
          <w:top w:val="single" w:sz="4" w:space="1" w:color="auto"/>
          <w:left w:val="single" w:sz="4" w:space="1" w:color="auto"/>
          <w:bottom w:val="single" w:sz="4" w:space="0" w:color="auto"/>
          <w:right w:val="single" w:sz="4" w:space="4" w:color="auto"/>
        </w:pBdr>
        <w:tabs>
          <w:tab w:val="left" w:pos="0"/>
          <w:tab w:val="left" w:pos="284"/>
          <w:tab w:val="left" w:pos="709"/>
          <w:tab w:val="left" w:pos="851"/>
          <w:tab w:val="left" w:pos="1134"/>
          <w:tab w:val="left" w:pos="1418"/>
        </w:tabs>
        <w:ind w:right="-85" w:firstLine="284"/>
        <w:rPr>
          <w:bCs/>
          <w:lang w:val="lt-LT"/>
        </w:rPr>
      </w:pPr>
      <w:r>
        <w:rPr>
          <w:lang w:val="lt-LT"/>
        </w:rPr>
        <w:tab/>
        <w:t xml:space="preserve">3. Lietuvos vienetas vykdo veiklą per nuolatinę buveinę Rusijoje. Nuolatinė buveinė patiria išlaidas, kurios pagal Rusijos teisės aktus negali būti priskiriamos nuolatinės buveinės leidžiamiems atskaitymams. Lietuvos vienetas taip pat negali leidžiamiems atskaitymams priskirti šių išlaidų.  </w:t>
      </w:r>
    </w:p>
    <w:p w14:paraId="20E572AA" w14:textId="77777777" w:rsidR="00093845" w:rsidRDefault="000D779E">
      <w:pPr>
        <w:pStyle w:val="Pagrindiniotekstotrauka2"/>
        <w:tabs>
          <w:tab w:val="left" w:pos="720"/>
          <w:tab w:val="left" w:pos="1077"/>
          <w:tab w:val="left" w:pos="1418"/>
        </w:tabs>
        <w:spacing w:line="240" w:lineRule="auto"/>
        <w:rPr>
          <w:b w:val="0"/>
          <w:color w:val="000000"/>
        </w:rPr>
      </w:pPr>
      <w:r>
        <w:rPr>
          <w:iCs/>
        </w:rPr>
        <w:t xml:space="preserve"> (</w:t>
      </w:r>
      <w:r w:rsidR="00AD632F">
        <w:rPr>
          <w:b w:val="0"/>
        </w:rPr>
        <w:t>P</w:t>
      </w:r>
      <w:r>
        <w:rPr>
          <w:b w:val="0"/>
        </w:rPr>
        <w:t xml:space="preserve">agal VMI prie FM raštą </w:t>
      </w:r>
      <w:r>
        <w:rPr>
          <w:b w:val="0"/>
          <w:color w:val="000000"/>
        </w:rPr>
        <w:t>2012-03-05 Nr. (18.10-31-1)-R-2152)</w:t>
      </w:r>
    </w:p>
    <w:p w14:paraId="1D6CA94B" w14:textId="77777777" w:rsidR="00093845" w:rsidRDefault="00093845">
      <w:pPr>
        <w:pStyle w:val="Pagrindiniotekstotrauka2"/>
        <w:tabs>
          <w:tab w:val="left" w:pos="720"/>
          <w:tab w:val="left" w:pos="1077"/>
          <w:tab w:val="left" w:pos="1418"/>
        </w:tabs>
        <w:spacing w:line="240" w:lineRule="auto"/>
        <w:rPr>
          <w:b w:val="0"/>
        </w:rPr>
      </w:pPr>
    </w:p>
    <w:p w14:paraId="6CA76B4C" w14:textId="77777777" w:rsidR="00093845" w:rsidRDefault="000D779E" w:rsidP="00D367C2">
      <w:pPr>
        <w:spacing w:after="0"/>
        <w:ind w:firstLine="720"/>
        <w:jc w:val="both"/>
        <w:rPr>
          <w:b/>
        </w:rPr>
      </w:pPr>
      <w:r>
        <w:rPr>
          <w:b/>
        </w:rPr>
        <w:t>20) sąnaudos, patirtos darant Baudžiamojo kodekso uždraustą veiką, įskaitant kyšius.</w:t>
      </w:r>
    </w:p>
    <w:p w14:paraId="6DCC46A1" w14:textId="77777777" w:rsidR="00093845" w:rsidRPr="00AD632F" w:rsidRDefault="000D779E" w:rsidP="00AD632F">
      <w:pPr>
        <w:spacing w:after="0"/>
        <w:jc w:val="both"/>
        <w:rPr>
          <w:bCs/>
          <w:i/>
        </w:rPr>
      </w:pPr>
      <w:r w:rsidRPr="00AD632F">
        <w:rPr>
          <w:i/>
        </w:rPr>
        <w:t>(KEISTA:</w:t>
      </w:r>
      <w:r w:rsidRPr="00AD632F">
        <w:rPr>
          <w:i/>
          <w:lang w:val="lt-LT"/>
        </w:rPr>
        <w:t xml:space="preserve"> </w:t>
      </w:r>
      <w:r w:rsidRPr="00AD632F">
        <w:rPr>
          <w:i/>
        </w:rPr>
        <w:t>2014 12 18 įstatymu Nr. XII-1466 (nuo 2015 01 01)</w:t>
      </w:r>
      <w:r w:rsidRPr="00AD632F">
        <w:rPr>
          <w:bCs/>
          <w:i/>
        </w:rPr>
        <w:t>)</w:t>
      </w:r>
    </w:p>
    <w:p w14:paraId="50BE90CA" w14:textId="77777777" w:rsidR="00FA6ED9" w:rsidRDefault="00FA6ED9" w:rsidP="00D367C2">
      <w:pPr>
        <w:spacing w:after="0"/>
        <w:ind w:firstLine="720"/>
        <w:jc w:val="both"/>
        <w:rPr>
          <w:b/>
        </w:rPr>
      </w:pPr>
    </w:p>
    <w:p w14:paraId="39C56A6D" w14:textId="77777777" w:rsidR="00093845" w:rsidRDefault="000D779E">
      <w:pPr>
        <w:ind w:firstLine="720"/>
        <w:jc w:val="both"/>
        <w:rPr>
          <w:b/>
        </w:rPr>
      </w:pPr>
      <w:r>
        <w:rPr>
          <w:b/>
        </w:rPr>
        <w:t>Komentaras</w:t>
      </w:r>
    </w:p>
    <w:p w14:paraId="6590B7A7" w14:textId="77777777" w:rsidR="00093845" w:rsidRPr="00841411" w:rsidRDefault="000D779E" w:rsidP="00EC4E29">
      <w:pPr>
        <w:pStyle w:val="Sraopastraipa"/>
        <w:numPr>
          <w:ilvl w:val="0"/>
          <w:numId w:val="36"/>
        </w:numPr>
        <w:tabs>
          <w:tab w:val="left" w:pos="993"/>
        </w:tabs>
        <w:ind w:left="0" w:firstLine="720"/>
        <w:jc w:val="both"/>
      </w:pPr>
      <w:r w:rsidRPr="00841411">
        <w:lastRenderedPageBreak/>
        <w:t>Šiame punkte naudojama Baudžiamojo kodekso uždraustos veikos, įskaitant kyšius, sąvoka suprantama taip, kaip ji apibrėžta Baudžiamajame kodekse (toliau – BK).</w:t>
      </w:r>
    </w:p>
    <w:p w14:paraId="7BE27C9F" w14:textId="77777777" w:rsidR="00093845" w:rsidRPr="00841411" w:rsidRDefault="000D779E">
      <w:pPr>
        <w:ind w:firstLine="720"/>
        <w:jc w:val="both"/>
      </w:pPr>
      <w:r w:rsidRPr="00841411">
        <w:t>Vienetų sąnaudos, patirtos darant BK uždraustą veiką, įskaitant kyšius, priskiriamos neleidžiamiems atskaitymams.</w:t>
      </w:r>
    </w:p>
    <w:p w14:paraId="3AD3E2BD" w14:textId="77777777" w:rsidR="00093845" w:rsidRPr="008B793C" w:rsidRDefault="000D779E" w:rsidP="00EC4E29">
      <w:pPr>
        <w:pStyle w:val="Sraopastraipa"/>
        <w:numPr>
          <w:ilvl w:val="0"/>
          <w:numId w:val="36"/>
        </w:numPr>
        <w:tabs>
          <w:tab w:val="left" w:pos="993"/>
        </w:tabs>
        <w:ind w:left="0" w:firstLine="720"/>
        <w:jc w:val="both"/>
      </w:pPr>
      <w:r w:rsidRPr="008B793C">
        <w:t>Vieneto patirtos sąnaudos dėl kyšininkavimo, priskiriamos neleidžiamiems atskaitymams nepriklausomai nuo to, ar vienetas pasiekia tikslus, dėl kurių jis davė kyšį, ir nepriklausomai nuo to, kokia forma buvo duotas kyšis (tiesiogiai ar netiesiogiai per kitus veikiančius ar fiktyvius asmenis sumokant lėšas už tariamai atliktas paslaugas ar pirktas prekes, suteikiant paramą, dirbtinai padidinant prekių ir paslaugų kainas, patiriant reprezentacines išlaidas, mokant fiktyvų arba dirbtinai padidintą darbo užmokestį ir pan.).</w:t>
      </w:r>
    </w:p>
    <w:p w14:paraId="6DAE339D" w14:textId="77777777" w:rsidR="00093845" w:rsidRPr="008B793C" w:rsidRDefault="000D779E">
      <w:pPr>
        <w:ind w:firstLine="720"/>
        <w:jc w:val="both"/>
      </w:pPr>
      <w:r w:rsidRPr="008B793C">
        <w:t>1 Pavyzdys</w:t>
      </w:r>
    </w:p>
    <w:p w14:paraId="4EFF0EC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Aplinkos inspektorius įmonės teritorijoje aptiko didelį kiekį pavojingų ir netinkamai saugomų atliekų, už ką jai grėsė didelė administracinė nuobauda. Siekdamas išvengti gresiančios didelės baudos, įmonės direktorius inspektoriui davė kyšį - įteikė 200 EUR dovanų kuponą, kad įmonėje aptiktos atliekos administracinės teisės pažeidimo protokole būtų įvardintos kaip nepavojingos, kas užtraukė jam ženkliai mažesnę atsakomybę. Kyšis įmonės apskaitoje įtrauktas kaip reprezentacinės išlaidos, tačiau esant minėtai situacijai priskiriamas neleidžiamiems atskaitymams.</w:t>
      </w:r>
    </w:p>
    <w:p w14:paraId="29E62B14" w14:textId="77777777" w:rsidR="00093845" w:rsidRPr="00F15E3F" w:rsidRDefault="000D779E">
      <w:pPr>
        <w:ind w:firstLine="720"/>
        <w:jc w:val="both"/>
      </w:pPr>
      <w:r w:rsidRPr="00F15E3F">
        <w:t>2 Pavyzdys</w:t>
      </w:r>
    </w:p>
    <w:p w14:paraId="7E0F68BE"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Įmonė, siekdama jai palankių valstybės tarnautojo sprendimų statybų leidimų išdavimo srityje, suteikė 50 000 EUR paramą pelno nesiekiančiai organizacijai, kurios vadovybės nare yra minėto valstybės tarnautojo sutuoktinė. Kadangi parama buvo teikiama siekiant palankių valstybės tarnautojo sprendimų, visa paramos suma priskiriama neleidžiamiems atskaitymams, netaikant PMĮ 28 straipsnio 2 d. nuostatų.</w:t>
      </w:r>
    </w:p>
    <w:p w14:paraId="30322FFE" w14:textId="77777777" w:rsidR="00093845" w:rsidRPr="00F15E3F" w:rsidRDefault="000D779E">
      <w:pPr>
        <w:ind w:firstLine="720"/>
        <w:jc w:val="both"/>
      </w:pPr>
      <w:r w:rsidRPr="00F15E3F">
        <w:t>3 Pavyzdys</w:t>
      </w:r>
    </w:p>
    <w:p w14:paraId="1067FD91"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Mokesčių administratorius gavo informaciją, kad įmonė X dalyvauja viešuosiuose pirkimuose ir įmonės X darbuotojas davė įmonės Y darbuotojui, esančiam viešųjų pirkimų komisijos nariu, 3 000 Eur vertės kyšį, siekdamas, kad viešųjų pirkimų komisija priimtų būtent įmonei X palankų sprendimą. </w:t>
      </w:r>
    </w:p>
    <w:p w14:paraId="0077526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Šiuo atveju įmonė X siekė laimėti viešojo pirkimo konkursą, nurodydama gerokai didesnę viešojo pirkimo paslaugos sumą palyginti su tikrąja rinkos paslaugos kaina, o dalį skirtumo tarp gautos sumos ir įprastos kainos sumokėjo įmonės Y darbuotojui už palankų įmonei X sprendimo priėmimą. </w:t>
      </w:r>
    </w:p>
    <w:p w14:paraId="7CA22CFC"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Esant minėtai situacijai, šis 3 000 Eur vertės kyšis priskiriamas įmonės X neleidžiamiems atskaitymams.</w:t>
      </w:r>
    </w:p>
    <w:p w14:paraId="74A4B662" w14:textId="77777777" w:rsidR="00093845" w:rsidRPr="00F15E3F" w:rsidRDefault="000D779E">
      <w:pPr>
        <w:ind w:firstLine="720"/>
        <w:jc w:val="both"/>
      </w:pPr>
      <w:r w:rsidRPr="00F15E3F">
        <w:t>4 Pavyzdys</w:t>
      </w:r>
    </w:p>
    <w:p w14:paraId="6DF5B620" w14:textId="77777777" w:rsidR="00093845" w:rsidRDefault="000D779E">
      <w:pPr>
        <w:pBdr>
          <w:top w:val="single" w:sz="4" w:space="1" w:color="auto"/>
          <w:left w:val="single" w:sz="4" w:space="4" w:color="auto"/>
          <w:bottom w:val="single" w:sz="4" w:space="1" w:color="auto"/>
          <w:right w:val="single" w:sz="4" w:space="4" w:color="auto"/>
        </w:pBdr>
        <w:ind w:firstLine="709"/>
        <w:jc w:val="both"/>
      </w:pPr>
      <w:r>
        <w:t>Mokesčių administratorius gavo informaciją, kad statybų bendrovė A, siekdama palankių valstybės tarnautojo veiksmų, patyrė valstybės tarnautojui asmenine nuosavybės teise priklausančio namo statybos / remonto išlaidas. Šios Bendrovės A statybų / remonto išlaidos priskiriamos neleidžiamiems atskaitymams.</w:t>
      </w:r>
    </w:p>
    <w:p w14:paraId="0658D274" w14:textId="77777777" w:rsidR="00093845" w:rsidRPr="00F15E3F" w:rsidRDefault="000D779E">
      <w:pPr>
        <w:ind w:firstLine="720"/>
        <w:jc w:val="both"/>
      </w:pPr>
      <w:r w:rsidRPr="00F15E3F">
        <w:t>5 Pavyzdys</w:t>
      </w:r>
    </w:p>
    <w:p w14:paraId="188E641D"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Mokesčių administratorius gavo informaciją, kad tarptautinę prekybą vykdanti bendrovė B davė kyšį užsienio šalies pareigūnui. Bendrovės B patikrinimo metu nustatyta, kad ji į leidžiamus atskaitymus įtraukė sumas už konsultavimo paslaugas konsultavimo įmonei užsienyje, tačiau taip pat </w:t>
      </w:r>
      <w:r>
        <w:lastRenderedPageBreak/>
        <w:t xml:space="preserve">buvo nustatyta, kad tokiu būdu buvo išmokėtos užsienio valstybės pareigūnui papirkti panaudotos piniginės lėšos. Šios užsienio įmonei išmokėtos užsienio valstybės pareigūnui papirkti panaudotos piniginės lėšos priskiriamos neleidžiamiems atskaitymams. </w:t>
      </w:r>
    </w:p>
    <w:p w14:paraId="29A37A50" w14:textId="77777777" w:rsidR="00093845" w:rsidRDefault="000D779E">
      <w:pPr>
        <w:ind w:firstLine="720"/>
        <w:jc w:val="both"/>
      </w:pPr>
      <w:r>
        <w:t>Pažymėtina, kad kilus įtarimams dėl mokesčio mokėtojo galimos nusikalstamos veikos mokesčių administratorius informaciją perduoda teisėsaugos institucijoms.</w:t>
      </w:r>
    </w:p>
    <w:p w14:paraId="7F98175D" w14:textId="77777777" w:rsidR="00093845" w:rsidRDefault="000D779E">
      <w:pPr>
        <w:ind w:firstLine="720"/>
        <w:jc w:val="both"/>
        <w:rPr>
          <w:bCs/>
          <w:lang w:val="lt-LT"/>
        </w:rPr>
      </w:pPr>
      <w:r>
        <w:rPr>
          <w:bCs/>
          <w:lang w:val="lt-LT"/>
        </w:rPr>
        <w:t>(</w:t>
      </w:r>
      <w:r w:rsidR="00AD632F">
        <w:rPr>
          <w:bCs/>
          <w:lang w:val="lt-LT"/>
        </w:rPr>
        <w:t>P</w:t>
      </w:r>
      <w:r>
        <w:rPr>
          <w:bCs/>
          <w:lang w:val="lt-LT"/>
        </w:rPr>
        <w:t>agal 2017-06-23 VMI prie FM raštą Nr. (18.-10-31-1E)-RM-20175)</w:t>
      </w:r>
    </w:p>
    <w:p w14:paraId="08C555DB" w14:textId="77777777" w:rsidR="000E2937" w:rsidRPr="008F3CF4" w:rsidRDefault="000E2937">
      <w:pPr>
        <w:ind w:firstLine="720"/>
        <w:jc w:val="both"/>
        <w:rPr>
          <w:b/>
          <w:bCs/>
          <w:lang w:val="lt-LT"/>
        </w:rPr>
      </w:pPr>
      <w:r w:rsidRPr="008F3CF4">
        <w:rPr>
          <w:b/>
          <w:bCs/>
          <w:lang w:val="lt-LT"/>
        </w:rPr>
        <w:t>21) solidarumo įnašas, sumokėtas Lietuvos Respublikos įstatymo „Dėl Reglamento (ES) 2022/1854 įgyvendinimo“ nustatyta tvarka.</w:t>
      </w:r>
    </w:p>
    <w:p w14:paraId="157B6AD5" w14:textId="77777777" w:rsidR="000E2937" w:rsidRPr="008F3CF4" w:rsidRDefault="000E2937" w:rsidP="00D523FF">
      <w:pPr>
        <w:ind w:firstLine="720"/>
        <w:jc w:val="both"/>
        <w:rPr>
          <w:bCs/>
          <w:i/>
          <w:lang w:val="lt-LT"/>
        </w:rPr>
      </w:pPr>
      <w:r w:rsidRPr="008F3CF4">
        <w:rPr>
          <w:b/>
          <w:bCs/>
          <w:i/>
          <w:iCs/>
        </w:rPr>
        <w:t>(</w:t>
      </w:r>
      <w:r w:rsidRPr="008F3CF4">
        <w:rPr>
          <w:bCs/>
          <w:i/>
          <w:iCs/>
        </w:rPr>
        <w:t xml:space="preserve">Papildyta 2022-12-15, </w:t>
      </w:r>
      <w:r w:rsidRPr="008F3CF4">
        <w:rPr>
          <w:bCs/>
          <w:i/>
          <w:lang w:val="lt-LT"/>
        </w:rPr>
        <w:t xml:space="preserve">įstatymu </w:t>
      </w:r>
      <w:r w:rsidRPr="008F3CF4">
        <w:rPr>
          <w:bCs/>
          <w:i/>
          <w:iCs/>
        </w:rPr>
        <w:t xml:space="preserve">Nr. XIV-1681 </w:t>
      </w:r>
      <w:r w:rsidRPr="008F3CF4">
        <w:rPr>
          <w:bCs/>
          <w:i/>
          <w:lang w:val="lt-LT"/>
        </w:rPr>
        <w:t>(nuo 2023 01 01))</w:t>
      </w:r>
    </w:p>
    <w:p w14:paraId="3ABE30AA" w14:textId="77777777" w:rsidR="00D523FF" w:rsidRPr="008F3CF4" w:rsidRDefault="00D523FF" w:rsidP="00D523FF">
      <w:pPr>
        <w:ind w:firstLine="720"/>
        <w:jc w:val="both"/>
        <w:rPr>
          <w:b/>
        </w:rPr>
      </w:pPr>
      <w:r w:rsidRPr="008F3CF4">
        <w:rPr>
          <w:b/>
        </w:rPr>
        <w:t>Komentaras</w:t>
      </w:r>
    </w:p>
    <w:p w14:paraId="2D5DC7F2" w14:textId="77777777" w:rsidR="00DB0E1D" w:rsidRDefault="00DB0E1D" w:rsidP="00DB0E1D">
      <w:pPr>
        <w:spacing w:after="0"/>
        <w:ind w:firstLine="567"/>
        <w:jc w:val="both"/>
        <w:rPr>
          <w:lang w:eastAsia="lt-LT"/>
        </w:rPr>
      </w:pPr>
      <w:r>
        <w:t xml:space="preserve">1. Nuo 2023 m. sausio 1 d. Lietuvos Respublikos įstatymo „Dėl Reglamento (ES) 2022/1854 įgyvendinimo“ Nr. XIV-1680  15 straipsniu solidarumo įnašo subjektams nustatoma prievolė mokėti solidarumo įnašą. Solidarumo įnašo subjektai yra Reglamento (ES) 2022/1854 2 straipsnio 17 punkte apibrėžtos Europos Sąjungos įmonės ir nuolatinės buveinės, vykdančios veiklą žalios naftos, gamtinių dujų, anglių ir naftos perdirbimo sektoriuose, </w:t>
      </w:r>
      <w:r w:rsidRPr="00C71616">
        <w:t>kurių pelnas viršija nustatytą ribą</w:t>
      </w:r>
      <w:r>
        <w:t xml:space="preserve">. </w:t>
      </w:r>
    </w:p>
    <w:p w14:paraId="01CC4EC2" w14:textId="77777777" w:rsidR="00DB0E1D" w:rsidRPr="005513F6" w:rsidRDefault="00DB0E1D" w:rsidP="00DB0E1D">
      <w:pPr>
        <w:spacing w:after="0"/>
        <w:ind w:firstLine="567"/>
        <w:jc w:val="both"/>
      </w:pPr>
      <w:r>
        <w:rPr>
          <w:lang w:eastAsia="lt-LT"/>
        </w:rPr>
        <w:t xml:space="preserve">2. </w:t>
      </w:r>
      <w:r w:rsidRPr="005513F6">
        <w:t xml:space="preserve">Laikydamiesi </w:t>
      </w:r>
      <w:r>
        <w:t xml:space="preserve">PMĮ </w:t>
      </w:r>
      <w:r w:rsidRPr="005513F6">
        <w:t xml:space="preserve">nustatytų pelno mokesčio deklaravimo ir sumokėjimo terminų, solidarumo įnašo subjektai </w:t>
      </w:r>
      <w:r>
        <w:t>l</w:t>
      </w:r>
      <w:r w:rsidRPr="005513F6">
        <w:t>ėšų, surinktų įgyvendinant Reglamentą (ES) 2022/1854, administravimo, šio reglamento įgyvendinimo priemonių ir jų finansavimo tvarkos apraše</w:t>
      </w:r>
      <w:r>
        <w:t xml:space="preserve">, patvirtintame Lietuvos Respublikos Vyriausybės </w:t>
      </w:r>
      <w:r w:rsidRPr="005513F6">
        <w:t xml:space="preserve">2023 m. kovo 22 d. nutarimu Nr. 187 </w:t>
      </w:r>
      <w:r>
        <w:t xml:space="preserve">„Dėl </w:t>
      </w:r>
      <w:r w:rsidRPr="002708CB">
        <w:t>lėšų, surinktų įgyvendinant Reglamentą (ES) 2022/1854, administravimo, šio reglamento įgyvendinimo priemonių ir jų finansavimo tvarkos aprašo patvirtinimo“</w:t>
      </w:r>
      <w:r w:rsidRPr="005513F6">
        <w:t xml:space="preserve"> nustatyta tvarka ir terminais privalo lėšų administratoriui </w:t>
      </w:r>
      <w:r>
        <w:rPr>
          <w:color w:val="000000"/>
        </w:rPr>
        <w:t xml:space="preserve">BALTPOOL UAB (kodas Juridinių asmenų registre Nr. 302464881; 2012 m. lapkričio </w:t>
      </w:r>
      <w:r w:rsidRPr="00FF59E8">
        <w:t>7 d.</w:t>
      </w:r>
      <w:r>
        <w:t xml:space="preserve"> LRV</w:t>
      </w:r>
      <w:r w:rsidRPr="00FF59E8">
        <w:t xml:space="preserve"> nutarimas Nr.</w:t>
      </w:r>
      <w:r>
        <w:t xml:space="preserve"> </w:t>
      </w:r>
      <w:r w:rsidRPr="00FF59E8">
        <w:t>1338 „Dėl viešuosius interesus atitinkančių paslaugų elektros energetikos sektoriuje lėšų administratoriaus paskyrimo“)</w:t>
      </w:r>
      <w:r w:rsidRPr="005513F6">
        <w:t xml:space="preserve"> pateikti šiame apraše nurodytus duomenis ir (ar) dokumentus solidarumo įnašui apskaičiuoti ir sumokėti solidarumo įnašą į lėšų administratoriaus nurodytą sąskaitą.</w:t>
      </w:r>
    </w:p>
    <w:p w14:paraId="15F612AA" w14:textId="77777777" w:rsidR="00DB0E1D" w:rsidRPr="005513F6" w:rsidRDefault="00DB0E1D" w:rsidP="00DB0E1D">
      <w:pPr>
        <w:spacing w:after="0"/>
        <w:ind w:firstLine="567"/>
        <w:jc w:val="both"/>
      </w:pPr>
      <w:r>
        <w:t>3</w:t>
      </w:r>
      <w:r w:rsidRPr="005513F6">
        <w:t xml:space="preserve">. </w:t>
      </w:r>
      <w:r>
        <w:t xml:space="preserve">Mokesčių administratorius </w:t>
      </w:r>
      <w:r w:rsidRPr="005513F6">
        <w:t>tikrina, prižiūri ir kontroliuoja, ar solidarumo įnašo subjektai tinkamai įgyvendina Reglamente (ES) 2022/1854 ir šiame įstatyme nustatytus reikalavimus, susijusius su apmokestinamojo pelno, pelno perviršio ir (ar) solidarumo įnašo apskaičiavimu.</w:t>
      </w:r>
    </w:p>
    <w:p w14:paraId="1C36C15B" w14:textId="77777777" w:rsidR="00093845" w:rsidRPr="00CA3AEB" w:rsidRDefault="00CA3AEB">
      <w:pPr>
        <w:pStyle w:val="Pagrindiniotekstotrauka2"/>
        <w:tabs>
          <w:tab w:val="left" w:pos="720"/>
          <w:tab w:val="left" w:pos="1077"/>
          <w:tab w:val="left" w:pos="1418"/>
        </w:tabs>
        <w:spacing w:line="240" w:lineRule="auto"/>
        <w:rPr>
          <w:b w:val="0"/>
          <w:bCs w:val="0"/>
        </w:rPr>
      </w:pPr>
      <w:r>
        <w:t>(</w:t>
      </w:r>
      <w:r w:rsidRPr="00CA3AEB">
        <w:rPr>
          <w:b w:val="0"/>
        </w:rPr>
        <w:t>PMĮ 31 straipsnio 1 dalies 21 punkto komentaras parengtas pagal VMI prie FM 2024-05-21 raštą Nr. (18.32-31-1 E) R-1857)</w:t>
      </w:r>
    </w:p>
    <w:p w14:paraId="7BA47002" w14:textId="77777777" w:rsidR="00093845" w:rsidRDefault="000D779E" w:rsidP="00D367C2">
      <w:pPr>
        <w:pStyle w:val="Pagrindiniotekstotrauka2"/>
        <w:tabs>
          <w:tab w:val="left" w:pos="720"/>
          <w:tab w:val="left" w:pos="900"/>
          <w:tab w:val="left" w:pos="1077"/>
        </w:tabs>
        <w:spacing w:after="0" w:line="240" w:lineRule="auto"/>
        <w:ind w:right="-5"/>
      </w:pPr>
      <w:r>
        <w:t>2.</w:t>
      </w:r>
      <w:r>
        <w:tab/>
        <w:t>Lietuvos vieneto arba nuolatinės buveinės išmokos (išskyrus išmokas už materialias vertybes, jeigu Lietuvos vienetas arba nuolatinė buveinė turi dokumentus, patvirtinančius šių vertybių įvežimą) užsienio vienetams, kurie įregistruoti ar kitaip organizuoti tikslinėse teritorijose, laikomos neleidžiamais atskaitymais, jei jas išmokantis Lietuvos vienetas ar nuolatinė buveinė centrinio mokesčio administratoriaus nustatyta tvarka nepateikia įrodymų vietos mokesčių administratoriui, kad:</w:t>
      </w:r>
    </w:p>
    <w:p w14:paraId="6E6A0684" w14:textId="77777777" w:rsidR="00093845" w:rsidRDefault="000D779E" w:rsidP="00D367C2">
      <w:pPr>
        <w:tabs>
          <w:tab w:val="left" w:pos="720"/>
          <w:tab w:val="left" w:pos="1077"/>
        </w:tabs>
        <w:spacing w:after="0"/>
        <w:ind w:right="-5" w:firstLine="720"/>
        <w:jc w:val="both"/>
        <w:rPr>
          <w:b/>
          <w:szCs w:val="20"/>
          <w:lang w:val="lt-LT"/>
        </w:rPr>
      </w:pPr>
      <w:r>
        <w:rPr>
          <w:b/>
          <w:lang w:val="lt-LT"/>
        </w:rPr>
        <w:t>1)</w:t>
      </w:r>
      <w:r>
        <w:rPr>
          <w:b/>
          <w:lang w:val="lt-LT"/>
        </w:rPr>
        <w:tab/>
        <w:t>šios išmokos yra susijusios su jas išmokančio ir gaunančio vieneto įprastine veikla;</w:t>
      </w:r>
    </w:p>
    <w:p w14:paraId="7488F7A7" w14:textId="77777777" w:rsidR="00093845" w:rsidRDefault="000D779E" w:rsidP="00D367C2">
      <w:pPr>
        <w:tabs>
          <w:tab w:val="left" w:pos="720"/>
          <w:tab w:val="left" w:pos="1077"/>
        </w:tabs>
        <w:spacing w:after="0"/>
        <w:ind w:right="-5" w:firstLine="720"/>
        <w:jc w:val="both"/>
        <w:rPr>
          <w:b/>
          <w:szCs w:val="20"/>
          <w:lang w:val="lt-LT"/>
        </w:rPr>
      </w:pPr>
      <w:r>
        <w:rPr>
          <w:b/>
          <w:lang w:val="lt-LT"/>
        </w:rPr>
        <w:t>2)</w:t>
      </w:r>
      <w:r>
        <w:rPr>
          <w:b/>
          <w:lang w:val="lt-LT"/>
        </w:rPr>
        <w:tab/>
        <w:t>išmokas gaunantis užsienio vienetas valdo turtą, reikalingą tokiai įprastinei veiklai vykdyti;</w:t>
      </w:r>
    </w:p>
    <w:p w14:paraId="4591ABB1" w14:textId="77777777" w:rsidR="00093845" w:rsidRDefault="000D779E" w:rsidP="00D367C2">
      <w:pPr>
        <w:pStyle w:val="Pagrindiniotekstotrauka2"/>
        <w:tabs>
          <w:tab w:val="left" w:pos="720"/>
          <w:tab w:val="left" w:pos="1077"/>
        </w:tabs>
        <w:spacing w:after="0" w:line="240" w:lineRule="auto"/>
        <w:ind w:right="-5"/>
      </w:pPr>
      <w:r>
        <w:t>3)</w:t>
      </w:r>
      <w:r>
        <w:tab/>
        <w:t>tarp išmokos ir ekonomiškai pagrįstos ūkinės operacijos yra ryšys.</w:t>
      </w:r>
    </w:p>
    <w:p w14:paraId="0074800B" w14:textId="77777777" w:rsidR="00093845" w:rsidRPr="00AD632F" w:rsidRDefault="000D779E" w:rsidP="00D367C2">
      <w:pPr>
        <w:spacing w:after="0"/>
        <w:jc w:val="both"/>
        <w:rPr>
          <w:i/>
          <w:lang w:val="lt-LT"/>
        </w:rPr>
      </w:pPr>
      <w:r w:rsidRPr="00AD632F">
        <w:rPr>
          <w:i/>
          <w:szCs w:val="20"/>
          <w:lang w:val="lt-LT"/>
        </w:rPr>
        <w:t>(</w:t>
      </w:r>
      <w:r w:rsidRPr="00AD632F">
        <w:rPr>
          <w:i/>
          <w:color w:val="000000"/>
          <w:lang w:eastAsia="lt-LT"/>
        </w:rPr>
        <w:t>KEISTA: 2003 07 01 įstatymu Nr. IX-1659 (nuo 2003 07 25)</w:t>
      </w:r>
      <w:r w:rsidR="00F33038" w:rsidRPr="00AD632F">
        <w:rPr>
          <w:i/>
          <w:color w:val="000000"/>
          <w:lang w:eastAsia="lt-LT"/>
        </w:rPr>
        <w:t>,</w:t>
      </w:r>
      <w:r w:rsidR="004147FA" w:rsidRPr="00AD632F">
        <w:rPr>
          <w:i/>
        </w:rPr>
        <w:t xml:space="preserve"> </w:t>
      </w:r>
      <w:r w:rsidR="004147FA" w:rsidRPr="00AD632F">
        <w:rPr>
          <w:i/>
          <w:color w:val="000000"/>
          <w:lang w:eastAsia="lt-LT"/>
        </w:rPr>
        <w:t>taikoma apskaičiuojant 2002 metais prasidėjusio ir vėlesnių mokestinių laikotarpių apmokestinamąjį pelną</w:t>
      </w:r>
      <w:r w:rsidRPr="00AD632F">
        <w:rPr>
          <w:i/>
          <w:lang w:val="lt-LT"/>
        </w:rPr>
        <w:t>)</w:t>
      </w:r>
    </w:p>
    <w:p w14:paraId="1060D834" w14:textId="77777777" w:rsidR="00FA6ED9" w:rsidRDefault="00FA6ED9" w:rsidP="00D367C2">
      <w:pPr>
        <w:spacing w:after="0"/>
        <w:jc w:val="both"/>
        <w:rPr>
          <w:szCs w:val="20"/>
          <w:lang w:val="lt-LT"/>
        </w:rPr>
      </w:pPr>
    </w:p>
    <w:p w14:paraId="6E52EAD3" w14:textId="77777777" w:rsidR="00093845" w:rsidRDefault="000D779E">
      <w:pPr>
        <w:ind w:firstLine="720"/>
        <w:jc w:val="both"/>
        <w:rPr>
          <w:b/>
          <w:bCs/>
          <w:lang w:val="lt-LT"/>
        </w:rPr>
      </w:pPr>
      <w:r>
        <w:rPr>
          <w:b/>
          <w:bCs/>
          <w:lang w:val="lt-LT"/>
        </w:rPr>
        <w:t>Komentaras</w:t>
      </w:r>
    </w:p>
    <w:p w14:paraId="7E07A53C" w14:textId="77777777" w:rsidR="00093845" w:rsidRDefault="000D779E">
      <w:pPr>
        <w:pStyle w:val="Pagrindiniotekstotrauka3"/>
        <w:rPr>
          <w:rFonts w:ascii="Times New Roman" w:hAnsi="Times New Roman"/>
        </w:rPr>
      </w:pPr>
      <w:r>
        <w:rPr>
          <w:rFonts w:ascii="Times New Roman" w:hAnsi="Times New Roman"/>
        </w:rPr>
        <w:t xml:space="preserve">Išmokos tikslinėse teritorijose įregistruotiems arba kitaip organizuotiems vienetams pagal PMĮ 31 straipsnio 2 dalį turi būti pagrįstos įrodymais, kuriuos vietos valstybinei mokesčių inspekcijai </w:t>
      </w:r>
      <w:r>
        <w:rPr>
          <w:rFonts w:ascii="Times New Roman" w:hAnsi="Times New Roman"/>
        </w:rPr>
        <w:lastRenderedPageBreak/>
        <w:t xml:space="preserve">pateikia išmokas išmokantis asmuo. Įrodymų pateikimo taisyklės nustatytos Valstybinės mokesčių inspekcijos prie Finansų ministerijos viršininko 2002-09-04 įsakymu Nr. 258 ,,Dėl Lietuvos vieneto arba per nuolatinę buveinę veikiančio užsienio vieneto tikslinėse teritorijose įregistruotiems ar kitaip organizuotiems užsienio vienetams išmokamų išmokų (išskyrus išmokas už materialines vertybes, jeigu Lietuvos vienetas arba nuolatinė buveinė turi dokumentus, patvirtinančius šių vertybių įvežimą) pripažinimo leidžiamiems atskaitymais įrodymų pateikimo vietos mokesčių administratoriui taisyklių patvirtinimo“. Minėtas įsakymas pakeistas Valstybinės mokesčių inspekcijos prie Finansų ministerijos viršininko 2003-09-01 įsakymu Nr. V-242 ,,Dėl Valstybinės mokesčių inspekcijos prie Finansų ministerijos viršininko 2002 m. rugsėjo 4 d. įsakymo Nr. 258 ,,Dėl Lietuvos vieneto arba per nuolatinę buveinę veikiančio užsienio vieneto tikslinėse teritorijose įregistruotiems ar kitaip organizuotiems užsienio vienetams išmokamų išmokų (išskyrus išmokas už materialines vertybes, jeigu Lietuvos vienetas arba nuolatinė buveinė turi dokumentus, patvirtinančius šių vertybių įvežimą) pripažinimo leidžiamiems atskaitymais įrodymų pateikimo vietos mokesčių administratoriui taisyklių patvirtinimo“ pakeitimo“, nes vadovaujantis Pelno mokesčio įstatymo 2, 4, 5, 12, 13, 18, 19, 20, 27, 31, 33, 35, 38, 41, 55, 57, 58, 59 straipsnių </w:t>
      </w:r>
      <w:r w:rsidR="00833521" w:rsidRPr="009C0219">
        <w:rPr>
          <w:rStyle w:val="Hipersaitas"/>
          <w:rFonts w:ascii="Times New Roman" w:hAnsi="Times New Roman" w:cs="Times New Roman"/>
          <w:b w:val="0"/>
          <w:bCs w:val="0"/>
          <w:kern w:val="0"/>
          <w:lang w:val="lt-LT"/>
        </w:rPr>
        <w:t>pakeitimo ir papildymo įstatymu</w:t>
      </w:r>
      <w:r>
        <w:rPr>
          <w:rFonts w:ascii="Times New Roman" w:hAnsi="Times New Roman"/>
        </w:rPr>
        <w:t>, Lietuvos vieneto arba per nuolatinę buveinę veikiančio užsienio vieneto išmokos tikslinėse teritorijose įregistruotiems ar kitaip organizuotiems užsienio vienetams už materialias vertybes gali būti pripažįstamos leidžiamiems atskaitymams nepateikiant šiame straipsnyje nurodytų įrodymų.</w:t>
      </w:r>
    </w:p>
    <w:p w14:paraId="065AEBB5" w14:textId="77777777" w:rsidR="00093845" w:rsidRDefault="000D779E">
      <w:pPr>
        <w:pStyle w:val="Pagrindiniotekstotrauka"/>
        <w:rPr>
          <w:rFonts w:ascii="Times New Roman" w:hAnsi="Times New Roman" w:cs="Times New Roman"/>
          <w:lang w:val="lt-LT"/>
        </w:rPr>
      </w:pPr>
      <w:r>
        <w:rPr>
          <w:rFonts w:ascii="Times New Roman" w:hAnsi="Times New Roman" w:cs="Times New Roman"/>
          <w:lang w:val="lt-LT"/>
        </w:rPr>
        <w:t>Lietuvos vieneto arba per nuolatinę buveinę veikiančio užsienio vieneto išmokos tikslinėse teritorijose įregistruotiems ar kitaip organizuotiems užsienio vienetams už materialias vertybes gali būti pripažįstamos leidžiamiems atskaitymams bendra įstatymo nustatyta tvarka, jeigu Lietuvos vienetas arba nuolatinė buveinė turi šių materialių vertybių įvežimą patvirtinančius dokumentus (sąskaitas, muitinės deklaracijas ir pan.).</w:t>
      </w:r>
    </w:p>
    <w:p w14:paraId="69112A6F" w14:textId="77777777" w:rsidR="00093845" w:rsidRDefault="000D779E">
      <w:pPr>
        <w:ind w:firstLine="720"/>
        <w:jc w:val="both"/>
        <w:rPr>
          <w:color w:val="000000"/>
          <w:lang w:val="lt-LT"/>
        </w:rPr>
      </w:pPr>
      <w:r>
        <w:rPr>
          <w:color w:val="000000"/>
          <w:lang w:val="lt-LT"/>
        </w:rPr>
        <w:t>Šio straipsnio 2 dalies 1, 2 ir 3 punktų nuostatos galioja nuo 2002 metais prasidėjusio mokestinio laikotarpio pradžios.</w:t>
      </w:r>
    </w:p>
    <w:p w14:paraId="5295E08E" w14:textId="77777777" w:rsidR="00E71D76" w:rsidRPr="00E71D76" w:rsidRDefault="00E71D76" w:rsidP="00E71D76">
      <w:pPr>
        <w:spacing w:before="100" w:beforeAutospacing="1" w:after="100" w:afterAutospacing="1"/>
        <w:ind w:firstLine="720"/>
        <w:jc w:val="both"/>
        <w:rPr>
          <w:b/>
          <w:lang w:val="lt-LT" w:eastAsia="lt-LT"/>
        </w:rPr>
      </w:pPr>
      <w:r w:rsidRPr="00E71D76">
        <w:rPr>
          <w:b/>
        </w:rPr>
        <w:t xml:space="preserve">3. Kai yra mokestinės tvarkos </w:t>
      </w:r>
      <w:r w:rsidRPr="00E71D76">
        <w:rPr>
          <w:b/>
          <w:color w:val="000000"/>
        </w:rPr>
        <w:t>neatitikimas, kurio pasekmė yra dvigubas mokėjimo sumos atskaitymas iš pajamų dviejose valstybėse, neleidžiamiems atskaitymams priskiriama vieneto mokėjimo suma, atskaitoma iš pajamų užsienio valstybėje. Pagal šią dalį neleidžiamiems atskaitymams priskirta mokėjimo suma sumažinama dėl mokestinės tvarkos neatitikimo į apmokestinamąsias pajamas dvigubai (dviejose valstybėse) įtrauktų pajamų suma. Likusi dėl mokestinės tvarkos neatitikimo neatskaityta mokėjimo suma perkeliama į kitus mokestinius laikotarpius ir ja mažinama kitais mokestiniais laikotarpiais į apmokestinamąsias pajamas dvigubai (dviejose valstybėse) įtrauktų pajamų suma.</w:t>
      </w:r>
      <w:r w:rsidRPr="00E71D76">
        <w:rPr>
          <w:b/>
          <w:bCs/>
          <w:color w:val="000000"/>
        </w:rPr>
        <w:t xml:space="preserve"> </w:t>
      </w:r>
    </w:p>
    <w:p w14:paraId="5AD48791" w14:textId="77777777" w:rsidR="00E71D76" w:rsidRDefault="00E71D76" w:rsidP="00E71D76">
      <w:pPr>
        <w:spacing w:before="100" w:beforeAutospacing="1" w:after="100" w:afterAutospacing="1"/>
        <w:jc w:val="both"/>
        <w:rPr>
          <w:i/>
          <w:iCs/>
          <w:color w:val="000000"/>
        </w:rPr>
      </w:pPr>
      <w:r w:rsidRPr="00E71D76">
        <w:rPr>
          <w:b/>
          <w:bCs/>
          <w:i/>
          <w:iCs/>
          <w:color w:val="000000"/>
        </w:rPr>
        <w:t>TAR pastaba.</w:t>
      </w:r>
      <w:r w:rsidRPr="00E71D76">
        <w:rPr>
          <w:i/>
          <w:iCs/>
          <w:color w:val="000000"/>
        </w:rPr>
        <w:t xml:space="preserve"> 3 dalies nuostatos taikomos apskaičiuojant ir deklaruojant 2020 metų ir vėlesnių mokestinių laikotarpių pelno mokestį.</w:t>
      </w:r>
    </w:p>
    <w:p w14:paraId="2661B9AB" w14:textId="77777777" w:rsidR="00E71D76" w:rsidRPr="00AD632F" w:rsidRDefault="00E71D76" w:rsidP="00E71D76">
      <w:pPr>
        <w:spacing w:before="100" w:beforeAutospacing="1" w:after="100" w:afterAutospacing="1"/>
        <w:jc w:val="both"/>
        <w:rPr>
          <w:i/>
        </w:rPr>
      </w:pPr>
      <w:r w:rsidRPr="00AD632F">
        <w:rPr>
          <w:i/>
          <w:iCs/>
        </w:rPr>
        <w:t xml:space="preserve">(Papildyta 2019-12-17, </w:t>
      </w:r>
      <w:r w:rsidRPr="00AD632F">
        <w:rPr>
          <w:i/>
          <w:lang w:val="lt-LT"/>
        </w:rPr>
        <w:t xml:space="preserve">įstatymu </w:t>
      </w:r>
      <w:r w:rsidRPr="00AD632F">
        <w:rPr>
          <w:i/>
          <w:iCs/>
        </w:rPr>
        <w:t xml:space="preserve">Nr. </w:t>
      </w:r>
      <w:hyperlink r:id="rId91" w:tgtFrame="_parent" w:history="1">
        <w:r w:rsidRPr="00AD632F">
          <w:rPr>
            <w:rStyle w:val="Hipersaitas"/>
            <w:rFonts w:ascii="Times New Roman" w:hAnsi="Times New Roman" w:cs="Times New Roman"/>
            <w:b w:val="0"/>
            <w:i/>
            <w:iCs/>
          </w:rPr>
          <w:t>XIII-2694</w:t>
        </w:r>
      </w:hyperlink>
      <w:r w:rsidRPr="00AD632F">
        <w:rPr>
          <w:i/>
          <w:iCs/>
        </w:rPr>
        <w:t xml:space="preserve"> </w:t>
      </w:r>
      <w:r w:rsidRPr="00AD632F">
        <w:rPr>
          <w:i/>
          <w:lang w:val="lt-LT"/>
        </w:rPr>
        <w:t>(nuo 2020 01 01))</w:t>
      </w:r>
    </w:p>
    <w:p w14:paraId="0E1C8F7E" w14:textId="77777777" w:rsidR="00E71D76" w:rsidRPr="00E71D76" w:rsidRDefault="00E71D76" w:rsidP="00E71D76">
      <w:pPr>
        <w:spacing w:before="100" w:beforeAutospacing="1" w:after="100" w:afterAutospacing="1"/>
        <w:jc w:val="both"/>
        <w:rPr>
          <w:b/>
        </w:rPr>
      </w:pPr>
      <w:r w:rsidRPr="00E71D76">
        <w:rPr>
          <w:b/>
        </w:rPr>
        <w:t> </w:t>
      </w:r>
      <w:bookmarkStart w:id="477" w:name="part_6de0340afa88498d9de21b6863b3497a"/>
      <w:bookmarkEnd w:id="477"/>
      <w:r w:rsidRPr="00E71D76">
        <w:rPr>
          <w:b/>
        </w:rPr>
        <w:t xml:space="preserve">      </w:t>
      </w:r>
      <w:r w:rsidRPr="00E71D76">
        <w:rPr>
          <w:b/>
          <w:color w:val="000000"/>
        </w:rPr>
        <w:t>4. Kai yra mokestinės tvarkos neatitikimas, kurio pasekmė yra mokėjimo sumos atskaitymas iš pajamų vienoje valstybėje, kai mokėjimo suma neįtraukiama į apmokestinamąsias pajamas kitoje valstybėje, vieneto atlikto mokėjimo suma priskiriama neleidžiamiems atskaitymams.</w:t>
      </w:r>
      <w:r w:rsidRPr="00E71D76">
        <w:rPr>
          <w:b/>
        </w:rPr>
        <w:t xml:space="preserve"> </w:t>
      </w:r>
    </w:p>
    <w:p w14:paraId="78B99B5A" w14:textId="77777777" w:rsidR="00E71D76" w:rsidRPr="004454B8" w:rsidRDefault="00E71D76" w:rsidP="00E71D76">
      <w:pPr>
        <w:spacing w:before="100" w:beforeAutospacing="1" w:after="100" w:afterAutospacing="1"/>
        <w:jc w:val="both"/>
        <w:rPr>
          <w:i/>
        </w:rPr>
      </w:pPr>
      <w:r w:rsidRPr="004454B8">
        <w:rPr>
          <w:b/>
          <w:bCs/>
          <w:i/>
          <w:iCs/>
          <w:color w:val="000000"/>
        </w:rPr>
        <w:t>TAR pastaba.</w:t>
      </w:r>
      <w:r w:rsidRPr="004454B8">
        <w:rPr>
          <w:i/>
          <w:iCs/>
          <w:color w:val="000000"/>
        </w:rPr>
        <w:t xml:space="preserve"> 4 dalies nuostatos taikomos apskaičiuojant ir deklaruojant 2020 metų ir vėlesnių mokestinių laikotarpių pelno mokestį.</w:t>
      </w:r>
    </w:p>
    <w:p w14:paraId="0389CFF3" w14:textId="77777777" w:rsidR="00E71D76" w:rsidRPr="004454B8" w:rsidRDefault="00E71D76" w:rsidP="00E71D76">
      <w:pPr>
        <w:spacing w:before="100" w:beforeAutospacing="1" w:after="100" w:afterAutospacing="1"/>
        <w:jc w:val="both"/>
        <w:rPr>
          <w:i/>
        </w:rPr>
      </w:pPr>
      <w:r w:rsidRPr="004454B8">
        <w:rPr>
          <w:i/>
          <w:iCs/>
        </w:rPr>
        <w:t xml:space="preserve">(Papildyta 2019-12-17, </w:t>
      </w:r>
      <w:r w:rsidRPr="004454B8">
        <w:rPr>
          <w:i/>
          <w:lang w:val="lt-LT"/>
        </w:rPr>
        <w:t xml:space="preserve">įstatymu </w:t>
      </w:r>
      <w:r w:rsidRPr="004454B8">
        <w:rPr>
          <w:i/>
          <w:iCs/>
        </w:rPr>
        <w:t xml:space="preserve">Nr. </w:t>
      </w:r>
      <w:hyperlink r:id="rId92" w:tgtFrame="_parent" w:history="1">
        <w:r w:rsidRPr="004454B8">
          <w:rPr>
            <w:rStyle w:val="Hipersaitas"/>
            <w:rFonts w:ascii="Times New Roman" w:hAnsi="Times New Roman" w:cs="Times New Roman"/>
            <w:b w:val="0"/>
            <w:i/>
            <w:iCs/>
          </w:rPr>
          <w:t>XIII-2694</w:t>
        </w:r>
      </w:hyperlink>
      <w:r w:rsidRPr="004454B8">
        <w:rPr>
          <w:i/>
          <w:iCs/>
        </w:rPr>
        <w:t xml:space="preserve"> </w:t>
      </w:r>
      <w:r w:rsidRPr="004454B8">
        <w:rPr>
          <w:i/>
          <w:lang w:val="lt-LT"/>
        </w:rPr>
        <w:t>(nuo 2020 01 01))</w:t>
      </w:r>
    </w:p>
    <w:p w14:paraId="58FB4151" w14:textId="77777777" w:rsidR="00E71D76" w:rsidRPr="00E71D76" w:rsidRDefault="00E71D76" w:rsidP="00FE3551">
      <w:pPr>
        <w:spacing w:before="100" w:beforeAutospacing="1" w:after="100" w:afterAutospacing="1"/>
        <w:rPr>
          <w:b/>
        </w:rPr>
      </w:pPr>
      <w:r w:rsidRPr="004454B8">
        <w:rPr>
          <w:i/>
        </w:rPr>
        <w:lastRenderedPageBreak/>
        <w:t> </w:t>
      </w:r>
      <w:bookmarkStart w:id="478" w:name="part_ab1929cd249846e7ac33b9a2e6adc026"/>
      <w:bookmarkEnd w:id="478"/>
      <w:r w:rsidR="00FE3551">
        <w:rPr>
          <w:i/>
        </w:rPr>
        <w:t xml:space="preserve">       </w:t>
      </w:r>
      <w:r w:rsidRPr="00E71D76">
        <w:rPr>
          <w:b/>
        </w:rPr>
        <w:t xml:space="preserve">5. Tuo atveju, kai Lietuvos vienetas tuo pačiu metu laikomas pelno mokesčio ar jam tapataus mokesčio mokėtoju vienoje ar keliose užsienio valstybėse ir dėl šios priežasties Lietuvos vieneto atliekamo mokėjimo suma atskaitoma iš pajamų dviejose ar daugiau valstybių, toks Lietuvos vieneto atliktas mokėjimas priskiriamas neleidžiamiems atskaitymams. Ši nuostata taikoma tik tuo atveju, jeigu Lietuvos vieneto atliekamo mokėjimo suma atskaitoma iš pajamų, kurios pajamomis nelaikomos bet kurioje užsienio valstybėje, kurioje Lietuvos vienetas laikomas pelno mokesčio ar jam tapataus mokesčio mokėtoju. Jeigu Lietuvos vienetas tuo pačiu metu laikomas pelno mokesčio ar jam tapataus mokesčio mokėtoju užsienio valstybėje, su kuria Lietuvos Respublika yra sudariusi ir taiko dvigubo apmokestinimo išvengimo sutartį, šios dalies nuostatos taikomos tik tuo atveju, jeigu pagal dvigubo apmokestinimo išvengimo sutartį su ta užsienio valstybe Lietuvos vienetas laikomas pelno mokesčio ar jam tapataus mokesčio mokėtoju toje užsienio valstybėje. </w:t>
      </w:r>
    </w:p>
    <w:p w14:paraId="3A05A86D" w14:textId="77777777" w:rsidR="00E71D76" w:rsidRPr="001A6988" w:rsidRDefault="00E71D76" w:rsidP="00E71D76">
      <w:pPr>
        <w:spacing w:before="100" w:beforeAutospacing="1" w:after="100" w:afterAutospacing="1"/>
        <w:jc w:val="both"/>
        <w:rPr>
          <w:i/>
        </w:rPr>
      </w:pPr>
      <w:r w:rsidRPr="001A6988">
        <w:rPr>
          <w:b/>
          <w:bCs/>
          <w:i/>
          <w:iCs/>
          <w:color w:val="000000"/>
        </w:rPr>
        <w:t>TAR pastaba.</w:t>
      </w:r>
      <w:r w:rsidRPr="001A6988">
        <w:rPr>
          <w:i/>
          <w:iCs/>
          <w:color w:val="000000"/>
        </w:rPr>
        <w:t xml:space="preserve"> 5 dalies nuostatos taikomos apskaičiuojant ir deklaruojant 2020 metų ir vėlesnių mokestinių laikotarpių pelno mokestį.</w:t>
      </w:r>
    </w:p>
    <w:p w14:paraId="061B3BF0" w14:textId="77777777" w:rsidR="00E71D76" w:rsidRPr="001A6988" w:rsidRDefault="00E71D76" w:rsidP="00E71D76">
      <w:pPr>
        <w:spacing w:before="100" w:beforeAutospacing="1" w:after="100" w:afterAutospacing="1"/>
        <w:jc w:val="both"/>
        <w:rPr>
          <w:i/>
        </w:rPr>
      </w:pPr>
      <w:r w:rsidRPr="001A6988">
        <w:rPr>
          <w:i/>
          <w:iCs/>
        </w:rPr>
        <w:t xml:space="preserve">(Papildyta 2019-12-17, </w:t>
      </w:r>
      <w:r w:rsidRPr="001A6988">
        <w:rPr>
          <w:i/>
          <w:lang w:val="lt-LT"/>
        </w:rPr>
        <w:t xml:space="preserve">įstatymu </w:t>
      </w:r>
      <w:r w:rsidRPr="001A6988">
        <w:rPr>
          <w:i/>
          <w:iCs/>
        </w:rPr>
        <w:t xml:space="preserve">Nr. </w:t>
      </w:r>
      <w:hyperlink r:id="rId93" w:tgtFrame="_parent" w:history="1">
        <w:r w:rsidRPr="001A6988">
          <w:rPr>
            <w:rStyle w:val="Hipersaitas"/>
            <w:rFonts w:ascii="Times New Roman" w:hAnsi="Times New Roman" w:cs="Times New Roman"/>
            <w:b w:val="0"/>
            <w:i/>
            <w:iCs/>
          </w:rPr>
          <w:t>XIII-2694</w:t>
        </w:r>
      </w:hyperlink>
      <w:r w:rsidRPr="001A6988">
        <w:rPr>
          <w:i/>
          <w:iCs/>
        </w:rPr>
        <w:t xml:space="preserve"> </w:t>
      </w:r>
      <w:r w:rsidRPr="001A6988">
        <w:rPr>
          <w:i/>
          <w:lang w:val="lt-LT"/>
        </w:rPr>
        <w:t>(nuo 2020 01 01))</w:t>
      </w:r>
    </w:p>
    <w:p w14:paraId="5DD70D99" w14:textId="77777777" w:rsidR="00E71D76" w:rsidRPr="00E71D76" w:rsidRDefault="00E71D76" w:rsidP="00E71D76">
      <w:pPr>
        <w:spacing w:before="100" w:beforeAutospacing="1" w:after="100" w:afterAutospacing="1"/>
        <w:jc w:val="both"/>
        <w:rPr>
          <w:b/>
        </w:rPr>
      </w:pPr>
      <w:r w:rsidRPr="00E71D76">
        <w:t> </w:t>
      </w:r>
      <w:bookmarkStart w:id="479" w:name="part_070e50bd978949b2bd5e5cffcdcf9ca8"/>
      <w:bookmarkEnd w:id="479"/>
      <w:r w:rsidRPr="00E71D76">
        <w:rPr>
          <w:b/>
        </w:rPr>
        <w:t xml:space="preserve">6. Vieneto mokėjimas, kuriuo tiesiogiai arba netiesiogiai, sudarant asocijuotų asmenų tarpusavio sandorį ar kelis sandorius, arba pagal struktūrinį susitarimą finansuojamos užsienio valstybėje atskaitomos išlaidos ir tai lemia mokestinės tvarkos neatitikimą, priskiriamas neleidžiamiems atskaitymams, išskyrus atvejus, kai vienoje iš valstybių, susijusių su asocijuotų asmenų tarpusavio sandoriu ar keliais sandoriais arba struktūriniu susitarimu, panaikinamos mokestinės tvarkos neatitikimo pasekmės neleidžiant atskaityti mokėjimo sumos arba ją įtraukiant į apmokestinamąsias pajamas. </w:t>
      </w:r>
    </w:p>
    <w:p w14:paraId="1E319541" w14:textId="77777777" w:rsidR="00E71D76" w:rsidRPr="00397F2A" w:rsidRDefault="00E71D76" w:rsidP="00E71D76">
      <w:pPr>
        <w:spacing w:before="100" w:beforeAutospacing="1" w:after="100" w:afterAutospacing="1"/>
        <w:jc w:val="both"/>
        <w:rPr>
          <w:i/>
        </w:rPr>
      </w:pPr>
      <w:r w:rsidRPr="00397F2A">
        <w:rPr>
          <w:b/>
          <w:bCs/>
          <w:i/>
          <w:iCs/>
          <w:color w:val="000000"/>
        </w:rPr>
        <w:t>TAR pastaba.</w:t>
      </w:r>
      <w:r w:rsidRPr="00397F2A">
        <w:rPr>
          <w:i/>
          <w:iCs/>
          <w:color w:val="000000"/>
        </w:rPr>
        <w:t xml:space="preserve"> 6 dalies nuostatos taikomos apskaičiuojant ir deklaruojant 2020 metų ir vėlesnių mokestinių laikotarpių pelno mokestį.</w:t>
      </w:r>
    </w:p>
    <w:p w14:paraId="6F379CF3" w14:textId="77777777" w:rsidR="00E71D76" w:rsidRPr="00397F2A" w:rsidRDefault="00E71D76" w:rsidP="00E71D76">
      <w:pPr>
        <w:spacing w:before="100" w:beforeAutospacing="1" w:after="100" w:afterAutospacing="1"/>
        <w:jc w:val="both"/>
        <w:rPr>
          <w:i/>
        </w:rPr>
      </w:pPr>
      <w:r w:rsidRPr="00397F2A">
        <w:rPr>
          <w:i/>
          <w:iCs/>
        </w:rPr>
        <w:t xml:space="preserve">(Papildyta 2019-12-17, </w:t>
      </w:r>
      <w:r w:rsidRPr="00397F2A">
        <w:rPr>
          <w:i/>
          <w:lang w:val="lt-LT"/>
        </w:rPr>
        <w:t xml:space="preserve">įstatymu </w:t>
      </w:r>
      <w:r w:rsidRPr="00397F2A">
        <w:rPr>
          <w:i/>
          <w:iCs/>
        </w:rPr>
        <w:t xml:space="preserve">Nr. </w:t>
      </w:r>
      <w:hyperlink r:id="rId94" w:tgtFrame="_parent" w:history="1">
        <w:r w:rsidRPr="00397F2A">
          <w:rPr>
            <w:rStyle w:val="Hipersaitas"/>
            <w:rFonts w:ascii="Times New Roman" w:hAnsi="Times New Roman" w:cs="Times New Roman"/>
            <w:b w:val="0"/>
            <w:i/>
            <w:iCs/>
          </w:rPr>
          <w:t>XIII-2694</w:t>
        </w:r>
      </w:hyperlink>
      <w:r w:rsidRPr="00397F2A">
        <w:rPr>
          <w:i/>
          <w:iCs/>
        </w:rPr>
        <w:t xml:space="preserve"> </w:t>
      </w:r>
      <w:r w:rsidRPr="00397F2A">
        <w:rPr>
          <w:i/>
          <w:lang w:val="lt-LT"/>
        </w:rPr>
        <w:t>(nuo 2020 01 01))</w:t>
      </w:r>
    </w:p>
    <w:p w14:paraId="438D1B46" w14:textId="77777777" w:rsidR="00093845" w:rsidRDefault="00E71D76" w:rsidP="00E71D76">
      <w:pPr>
        <w:spacing w:before="100" w:beforeAutospacing="1" w:after="100" w:afterAutospacing="1"/>
        <w:rPr>
          <w:b/>
          <w:bCs/>
          <w:lang w:val="lt-LT"/>
        </w:rPr>
      </w:pPr>
      <w:r>
        <w:t> </w:t>
      </w:r>
    </w:p>
    <w:p w14:paraId="175C3628" w14:textId="77777777" w:rsidR="00093845" w:rsidRPr="00125234" w:rsidRDefault="000D779E">
      <w:pPr>
        <w:jc w:val="center"/>
        <w:rPr>
          <w:b/>
          <w:bCs/>
          <w:lang w:val="lt-LT"/>
        </w:rPr>
      </w:pPr>
      <w:r w:rsidRPr="00125234">
        <w:rPr>
          <w:b/>
          <w:bCs/>
          <w:lang w:val="lt-LT"/>
        </w:rPr>
        <w:t>VII SKYRIUS</w:t>
      </w:r>
    </w:p>
    <w:p w14:paraId="47965B52" w14:textId="77777777" w:rsidR="00093845" w:rsidRPr="00125234" w:rsidRDefault="00093845">
      <w:pPr>
        <w:jc w:val="center"/>
        <w:rPr>
          <w:b/>
          <w:bCs/>
          <w:szCs w:val="20"/>
          <w:lang w:val="lt-LT"/>
        </w:rPr>
      </w:pPr>
    </w:p>
    <w:p w14:paraId="6E3A3ADE" w14:textId="77777777" w:rsidR="00093845" w:rsidRPr="00125234" w:rsidRDefault="000D779E">
      <w:pPr>
        <w:jc w:val="center"/>
        <w:rPr>
          <w:szCs w:val="20"/>
          <w:lang w:val="lt-LT"/>
        </w:rPr>
      </w:pPr>
      <w:r w:rsidRPr="00125234">
        <w:rPr>
          <w:b/>
          <w:bCs/>
          <w:lang w:val="lt-LT"/>
        </w:rPr>
        <w:t>DIVIDENDŲ IR KITO PASKIRSTYTOJO PELNO APMOKESTINIMO TVARKA</w:t>
      </w:r>
    </w:p>
    <w:p w14:paraId="4AF14DEF" w14:textId="77777777" w:rsidR="00093845" w:rsidRPr="00125234" w:rsidRDefault="00093845">
      <w:pPr>
        <w:tabs>
          <w:tab w:val="left" w:pos="720"/>
          <w:tab w:val="left" w:pos="1077"/>
          <w:tab w:val="left" w:pos="1418"/>
        </w:tabs>
        <w:jc w:val="both"/>
        <w:rPr>
          <w:b/>
          <w:bCs/>
          <w:szCs w:val="20"/>
          <w:lang w:val="lt-LT"/>
        </w:rPr>
      </w:pPr>
    </w:p>
    <w:p w14:paraId="2647AA42" w14:textId="77777777" w:rsidR="00093845" w:rsidRPr="00125234" w:rsidRDefault="000D779E">
      <w:pPr>
        <w:pStyle w:val="Antrat1"/>
        <w:jc w:val="both"/>
        <w:rPr>
          <w:szCs w:val="20"/>
          <w:lang w:val="lt-LT"/>
        </w:rPr>
      </w:pPr>
      <w:bookmarkStart w:id="480" w:name="_32_straipsnis._Dividendai"/>
      <w:bookmarkEnd w:id="480"/>
      <w:r w:rsidRPr="00125234">
        <w:rPr>
          <w:lang w:val="lt-LT"/>
        </w:rPr>
        <w:t>32 STRAIPSNIS. Dividendai ir paskirstytasis pelnas</w:t>
      </w:r>
    </w:p>
    <w:p w14:paraId="265B770D" w14:textId="77777777" w:rsidR="00093845" w:rsidRPr="00125234" w:rsidRDefault="000D779E">
      <w:pPr>
        <w:tabs>
          <w:tab w:val="left" w:pos="720"/>
          <w:tab w:val="left" w:pos="1077"/>
          <w:tab w:val="left" w:pos="1418"/>
        </w:tabs>
        <w:ind w:firstLine="720"/>
        <w:jc w:val="both"/>
        <w:rPr>
          <w:b/>
          <w:bCs/>
          <w:szCs w:val="20"/>
          <w:lang w:val="lt-LT"/>
        </w:rPr>
      </w:pPr>
      <w:r w:rsidRPr="00125234">
        <w:rPr>
          <w:b/>
          <w:bCs/>
          <w:lang w:val="lt-LT"/>
        </w:rPr>
        <w:t>1.</w:t>
      </w:r>
      <w:r w:rsidRPr="00125234">
        <w:rPr>
          <w:b/>
          <w:bCs/>
          <w:lang w:val="lt-LT"/>
        </w:rPr>
        <w:tab/>
        <w:t xml:space="preserve">Šis skyrius nustato vieneto išmokėtų dividendų ir kito paskirstytojo pelno apmokestinimo tvarką. Visos nuostatos, kurios yra taikomos dividendams, taip pat taikomos ir paskirstytajam pelnui, nors paskirstytasis pelnas ir nėra teisiškai įformintas kaip vieneto dividendai Lietuvos Respublikos akcinių bendrovių įstatymo, Lietuvos Respublikos kooperatinių bendrovių (kooperatyvų) įstatymo ir Lietuvos Respublikos žemės ūkio bendrovių įstatymo nustatyta tvarka, jeigu šis Įstatymas nenustato kitaip. </w:t>
      </w:r>
    </w:p>
    <w:p w14:paraId="1DF2F5BB" w14:textId="77777777" w:rsidR="00093845" w:rsidRPr="00125234" w:rsidRDefault="000D779E">
      <w:pPr>
        <w:ind w:firstLine="720"/>
        <w:jc w:val="both"/>
        <w:rPr>
          <w:b/>
          <w:bCs/>
          <w:lang w:val="lt-LT"/>
        </w:rPr>
      </w:pPr>
      <w:r w:rsidRPr="00125234">
        <w:rPr>
          <w:b/>
          <w:bCs/>
          <w:lang w:val="lt-LT"/>
        </w:rPr>
        <w:t>Komentaras</w:t>
      </w:r>
    </w:p>
    <w:p w14:paraId="0CC9CFC4" w14:textId="77777777" w:rsidR="00093845" w:rsidRPr="00125234" w:rsidRDefault="000D779E">
      <w:pPr>
        <w:pStyle w:val="Style1"/>
        <w:tabs>
          <w:tab w:val="left" w:pos="720"/>
          <w:tab w:val="left" w:pos="1077"/>
          <w:tab w:val="left" w:pos="1418"/>
        </w:tabs>
        <w:rPr>
          <w:rFonts w:ascii="Times New Roman" w:hAnsi="Times New Roman"/>
        </w:rPr>
      </w:pPr>
      <w:r w:rsidRPr="00125234">
        <w:rPr>
          <w:rFonts w:ascii="Times New Roman" w:hAnsi="Times New Roman"/>
        </w:rPr>
        <w:lastRenderedPageBreak/>
        <w:t>1.</w:t>
      </w:r>
      <w:r w:rsidRPr="00125234">
        <w:rPr>
          <w:rFonts w:ascii="Times New Roman" w:hAnsi="Times New Roman"/>
        </w:rPr>
        <w:tab/>
        <w:t xml:space="preserve">Pagal šio straipsnio 1 dalies nuostatas pelno paskirstymo procese vieneto dalyviams išmokamos pajamos apmokestinamos taip pat kaip dividendai, neatsižvelgiant į tai, kad išmokamos sumos nėra teisiškai įformintos kaip dividendai, jeigu PMĮ nenustato kitaip. </w:t>
      </w:r>
    </w:p>
    <w:p w14:paraId="35345AF6" w14:textId="77777777" w:rsidR="00093845" w:rsidRPr="00125234" w:rsidRDefault="000D779E">
      <w:pPr>
        <w:pStyle w:val="Style1"/>
        <w:tabs>
          <w:tab w:val="left" w:pos="720"/>
          <w:tab w:val="left" w:pos="1077"/>
          <w:tab w:val="left" w:pos="1418"/>
        </w:tabs>
        <w:rPr>
          <w:rFonts w:ascii="Times New Roman" w:hAnsi="Times New Roman"/>
        </w:rPr>
      </w:pPr>
      <w:r w:rsidRPr="00125234">
        <w:rPr>
          <w:rFonts w:ascii="Times New Roman" w:hAnsi="Times New Roman"/>
        </w:rPr>
        <w:t xml:space="preserve">Pavyzdžiui, pagal Lietuvos Respublikos </w:t>
      </w:r>
      <w:r w:rsidR="00C67408" w:rsidRPr="00125234">
        <w:rPr>
          <w:rStyle w:val="Hipersaitas"/>
          <w:rFonts w:ascii="Times New Roman" w:hAnsi="Times New Roman" w:cs="Times New Roman"/>
          <w:b w:val="0"/>
          <w:bCs w:val="0"/>
          <w:kern w:val="0"/>
          <w:szCs w:val="20"/>
          <w:lang w:val="lt-LT"/>
        </w:rPr>
        <w:t>kooperatinių bendrovių įstatymo</w:t>
      </w:r>
      <w:r w:rsidRPr="00125234">
        <w:rPr>
          <w:rFonts w:ascii="Times New Roman" w:hAnsi="Times New Roman"/>
        </w:rPr>
        <w:t xml:space="preserve"> 14 straipsnį bendrovės per finansinius  metus uždirbtas grynasis pelnas bendrovės nariams skirstomas dividendams </w:t>
      </w:r>
      <w:r w:rsidRPr="00125234">
        <w:rPr>
          <w:rFonts w:ascii="Times New Roman" w:hAnsi="Times New Roman"/>
          <w:shd w:val="clear" w:color="auto" w:fill="FFFFFF"/>
        </w:rPr>
        <w:t>(pelno daliai, skirstomai proporcingai kiekvieno nario turimo pajaus dydžiui)</w:t>
      </w:r>
      <w:r w:rsidRPr="00125234">
        <w:rPr>
          <w:rFonts w:ascii="Times New Roman" w:hAnsi="Times New Roman"/>
        </w:rPr>
        <w:t xml:space="preserve"> ir apyvartai proporcingoms išmokoms (t.y. išmokoms iš pelno, mokamoms proporcingai kooperatinės bendrovės narių prekių ir paslaugų apyvartai su kooperatine bendrove), išmokėti. Remiantis šios dalies nuostata, bendrovės nariams - juridiniams asmenims išmokama pelno dalis, proporcinga prekių ir paslaugų apyvartai</w:t>
      </w:r>
      <w:r w:rsidRPr="00125234">
        <w:rPr>
          <w:rFonts w:ascii="Times New Roman" w:hAnsi="Times New Roman"/>
          <w:b/>
          <w:bCs/>
        </w:rPr>
        <w:t xml:space="preserve"> </w:t>
      </w:r>
      <w:r w:rsidRPr="00125234">
        <w:rPr>
          <w:rFonts w:ascii="Times New Roman" w:hAnsi="Times New Roman"/>
        </w:rPr>
        <w:t>su kooperatine bendrove dydžiui, apmokestinama kaip dividendai.</w:t>
      </w:r>
    </w:p>
    <w:p w14:paraId="34925128" w14:textId="77777777" w:rsidR="00093845" w:rsidRPr="00125234" w:rsidRDefault="000D779E">
      <w:pPr>
        <w:tabs>
          <w:tab w:val="left" w:pos="720"/>
          <w:tab w:val="left" w:pos="1077"/>
          <w:tab w:val="left" w:pos="1418"/>
        </w:tabs>
        <w:ind w:firstLine="720"/>
        <w:jc w:val="both"/>
        <w:rPr>
          <w:b/>
          <w:bCs/>
          <w:szCs w:val="20"/>
          <w:lang w:val="lt-LT"/>
        </w:rPr>
      </w:pPr>
      <w:r w:rsidRPr="00125234">
        <w:rPr>
          <w:lang w:val="lt-LT"/>
        </w:rPr>
        <w:t>2.</w:t>
      </w:r>
      <w:r w:rsidRPr="00125234">
        <w:rPr>
          <w:lang w:val="lt-LT"/>
        </w:rPr>
        <w:tab/>
        <w:t xml:space="preserve">Gali pasitaikyti atvejų, kai Lietuvos vienetas perleis turtą ar išmokės pajamas susijusiam asmeniui ir, nors formaliai turto perleidimo ar tam asmeniui išmokamų pajamų sandoris nebus įformintas kaip dividendai, tačiau iš esmės toks sandoris tarp susijusių asmenų faktiškai bus vieneto pelno paskirstymas. Tada, remiantis Lietuvos Respublikos </w:t>
      </w:r>
      <w:r w:rsidR="00C67408" w:rsidRPr="00125234">
        <w:rPr>
          <w:rStyle w:val="Hipersaitas"/>
          <w:rFonts w:ascii="Times New Roman" w:hAnsi="Times New Roman" w:cs="Times New Roman"/>
          <w:b w:val="0"/>
          <w:bCs w:val="0"/>
          <w:kern w:val="0"/>
          <w:lang w:val="lt-LT"/>
        </w:rPr>
        <w:t>mokesčių administravimo įstatymo</w:t>
      </w:r>
      <w:r w:rsidRPr="00125234">
        <w:rPr>
          <w:lang w:val="lt-LT"/>
        </w:rPr>
        <w:t xml:space="preserve"> 10 straipsniu mokesčių administratorius gali apibūdinti tokį sandorį pagal jo turinį, neatsižvelgiant į formaliąją sandorio pusę. </w:t>
      </w:r>
    </w:p>
    <w:p w14:paraId="6C403170" w14:textId="77777777" w:rsidR="00093845" w:rsidRPr="00125234" w:rsidRDefault="000D779E">
      <w:pPr>
        <w:pStyle w:val="Style1"/>
        <w:tabs>
          <w:tab w:val="left" w:pos="720"/>
          <w:tab w:val="left" w:pos="1077"/>
          <w:tab w:val="left" w:pos="1418"/>
        </w:tabs>
        <w:ind w:firstLine="709"/>
        <w:rPr>
          <w:rFonts w:ascii="Times New Roman" w:hAnsi="Times New Roman"/>
          <w:szCs w:val="24"/>
        </w:rPr>
      </w:pPr>
      <w:r w:rsidRPr="00125234">
        <w:rPr>
          <w:rFonts w:ascii="Times New Roman" w:hAnsi="Times New Roman"/>
          <w:szCs w:val="24"/>
        </w:rPr>
        <w:t>3.</w:t>
      </w:r>
      <w:r w:rsidRPr="00125234">
        <w:rPr>
          <w:rFonts w:ascii="Times New Roman" w:hAnsi="Times New Roman"/>
          <w:szCs w:val="24"/>
        </w:rPr>
        <w:tab/>
        <w:t>Vieneto dalyviams (savininkams) paskirstytasis pelnas ne visais atvejais laikomas dividendais. PMĮ 2 str. 25 dalyje nustatyta, kad tuo atveju, k</w:t>
      </w:r>
      <w:r w:rsidRPr="00125234">
        <w:rPr>
          <w:rFonts w:ascii="Times New Roman" w:hAnsi="Times New Roman"/>
          <w:color w:val="000000"/>
          <w:szCs w:val="24"/>
          <w:shd w:val="clear" w:color="auto" w:fill="FFFFFF"/>
        </w:rPr>
        <w:t xml:space="preserve">ai neribotos civilinės atsakomybės vieneto pelnas apmokestinamas pelno mokesčiu pagal šį įstatymą, šio vieneto dalyvio gautos pajamos ar jam priklausančio turto paėmimas iš vieneto nelaikomas pelno paskirstymu. </w:t>
      </w:r>
      <w:r w:rsidRPr="00125234">
        <w:rPr>
          <w:rFonts w:ascii="Times New Roman" w:hAnsi="Times New Roman"/>
          <w:szCs w:val="24"/>
        </w:rPr>
        <w:t>Todėl ūkinės bendrijos nario (jei narys yra kitas vienetas) iš bendrijos, kurios</w:t>
      </w:r>
      <w:r w:rsidRPr="00125234">
        <w:rPr>
          <w:rFonts w:ascii="Times New Roman" w:hAnsi="Times New Roman"/>
          <w:color w:val="000000"/>
          <w:szCs w:val="24"/>
          <w:shd w:val="clear" w:color="auto" w:fill="FFFFFF"/>
        </w:rPr>
        <w:t xml:space="preserve"> pelnas apmokestinamas pelno mokesčiu pagal šį įstatymą, </w:t>
      </w:r>
      <w:r w:rsidRPr="00125234">
        <w:rPr>
          <w:rFonts w:ascii="Times New Roman" w:hAnsi="Times New Roman"/>
          <w:szCs w:val="24"/>
        </w:rPr>
        <w:t xml:space="preserve">veiklos gautos pajamos nėra laikomos dividendais ir nėra apmokestinamos šiame PMĮ skyriuje nustatyta tvarka. </w:t>
      </w:r>
    </w:p>
    <w:p w14:paraId="75B58195" w14:textId="06BABDB4" w:rsidR="00093845" w:rsidRDefault="000D779E">
      <w:pPr>
        <w:tabs>
          <w:tab w:val="left" w:pos="709"/>
          <w:tab w:val="left" w:pos="1077"/>
          <w:tab w:val="left" w:pos="1418"/>
        </w:tabs>
        <w:ind w:firstLine="709"/>
        <w:jc w:val="both"/>
        <w:rPr>
          <w:color w:val="000000"/>
          <w:shd w:val="clear" w:color="auto" w:fill="FFFFFF"/>
        </w:rPr>
      </w:pPr>
      <w:r w:rsidRPr="00125234">
        <w:rPr>
          <w:color w:val="000000"/>
          <w:shd w:val="clear" w:color="auto" w:fill="FFFFFF"/>
        </w:rPr>
        <w:t>Neribotos civilinės atsakomybės kolektyvinio investavimo subjekto, neribotos civilinės atsakomybės rizikos ir privataus kapitalo subjekto dalyvio gautos pajamos ar jam priklausančio turto paėmimas iš tokio vieneto taip pat nelaikomas pelno paskirstymu, išskyrus atvejus, kai iš neribotos civilinės atsakomybės kolektyvinio investavimo subjekto, neribotos civilinės atsakomybės rizikos ir privataus kapitalo subjekto tokias pajamas gauna ar turtą taip paima užsienio vienetas, įregistruotas ar kitaip organizuotas tikslinėje teritorijoje.</w:t>
      </w:r>
    </w:p>
    <w:p w14:paraId="450C64DA" w14:textId="1419017E" w:rsidR="006D2EF5" w:rsidRDefault="006D2EF5">
      <w:pPr>
        <w:tabs>
          <w:tab w:val="left" w:pos="709"/>
          <w:tab w:val="left" w:pos="1077"/>
          <w:tab w:val="left" w:pos="1418"/>
        </w:tabs>
        <w:ind w:firstLine="709"/>
        <w:jc w:val="both"/>
      </w:pPr>
      <w:r w:rsidRPr="008821C9">
        <w:t>3</w:t>
      </w:r>
      <w:r w:rsidRPr="008821C9">
        <w:rPr>
          <w:vertAlign w:val="superscript"/>
        </w:rPr>
        <w:t>1</w:t>
      </w:r>
      <w:r w:rsidRPr="008821C9">
        <w:t>. Lietuvos neribotos civilinės atsakomybės juridinio asmens gauti ir savo dalyviams (vienetams) perskirstyti dividendai laikomi dividendais, kuriems taikomos PMĮ VII skyriaus nuostatos. Pelno mokesčio apskaičiavimo tikslais dalyvio gauti dividendai į jo pajamas neįtraukiami. Išmokėdamas tokius dividendus Lietuvos neribotos civilinės atsakomybės juridinis asmuo turi užtikrinti gautų dividendų lėšų kilmės atsekamumą.</w:t>
      </w:r>
    </w:p>
    <w:p w14:paraId="1E5AFCBE" w14:textId="574E8086" w:rsidR="006D2EF5" w:rsidRPr="00125234" w:rsidRDefault="007B1148" w:rsidP="007B1148">
      <w:bookmarkStart w:id="481" w:name="_Hlk224718670"/>
      <w:r>
        <w:rPr>
          <w:lang w:val="lt-LT"/>
        </w:rPr>
        <w:tab/>
      </w:r>
      <w:r w:rsidR="006D2EF5">
        <w:rPr>
          <w:lang w:val="lt-LT"/>
        </w:rPr>
        <w:t xml:space="preserve">(Pagal </w:t>
      </w:r>
      <w:r w:rsidR="006D2EF5" w:rsidRPr="0051529C">
        <w:t xml:space="preserve">VMI prie FM </w:t>
      </w:r>
      <w:r w:rsidR="006D2EF5" w:rsidRPr="00057D24">
        <w:t xml:space="preserve">2026-03-18 </w:t>
      </w:r>
      <w:r w:rsidR="006D2EF5">
        <w:t xml:space="preserve">raštą </w:t>
      </w:r>
      <w:r w:rsidR="006D2EF5" w:rsidRPr="00057D24">
        <w:t>Nr. (18.10-31-1 Mr) R-700</w:t>
      </w:r>
      <w:r w:rsidR="006D2EF5">
        <w:t>)</w:t>
      </w:r>
      <w:bookmarkEnd w:id="481"/>
    </w:p>
    <w:p w14:paraId="4F39208C" w14:textId="77777777" w:rsidR="00093845" w:rsidRPr="00125234" w:rsidRDefault="000D779E">
      <w:pPr>
        <w:tabs>
          <w:tab w:val="left" w:pos="709"/>
          <w:tab w:val="left" w:pos="1077"/>
          <w:tab w:val="left" w:pos="1418"/>
        </w:tabs>
        <w:ind w:firstLine="709"/>
        <w:jc w:val="both"/>
        <w:rPr>
          <w:strike/>
        </w:rPr>
      </w:pPr>
      <w:r w:rsidRPr="00125234">
        <w:t xml:space="preserve">4. PMĮ VII skyriaus nuostatos taikomos vienetų, pelno mokesčio mokėtojų, gaunamiems dividendams apmokestinti. </w:t>
      </w:r>
    </w:p>
    <w:p w14:paraId="5DA27898"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5. Pagal PMĮ 12 str. 5 punktą neapmokestinamosioms pajamoms priskiriamos visos kolektyvinio investavimo subjektų, rizikos ir privataus kapitalo subjektų pajamos, įskaitant dividendus ir kitą paskirstytąjį pelną, išskyrus iš užsienio vienetų, įregistruotų ar kitaip organizuotų tikslinėse teritorijose, ar iš tų teritorijų gyventojų gautas bet kokias pajamas ir su investicijomis į tikslines teritorijas susijusias pajamas. </w:t>
      </w:r>
    </w:p>
    <w:p w14:paraId="3CF941FA" w14:textId="77777777" w:rsidR="00093845" w:rsidRPr="00125234" w:rsidRDefault="000D779E">
      <w:pPr>
        <w:pStyle w:val="Pagrindiniotekstotrauka"/>
        <w:tabs>
          <w:tab w:val="left" w:pos="709"/>
        </w:tabs>
        <w:ind w:firstLine="709"/>
        <w:rPr>
          <w:rFonts w:ascii="Times New Roman" w:hAnsi="Times New Roman"/>
        </w:rPr>
      </w:pPr>
      <w:r w:rsidRPr="00125234">
        <w:rPr>
          <w:rFonts w:ascii="Times New Roman" w:hAnsi="Times New Roman" w:cs="Times New Roman"/>
        </w:rPr>
        <w:t xml:space="preserve">Todėl Lietuvos kolektyvinio investavimo subjektams, rizikos ir privataus kapitalo subjektams išmokami dividendai ir kitas paskirstytasis pelnas neapmokestinami, tačiau tokių subjektų iš užsienio </w:t>
      </w:r>
      <w:r w:rsidRPr="00125234">
        <w:rPr>
          <w:rFonts w:ascii="Times New Roman" w:hAnsi="Times New Roman" w:cs="Times New Roman"/>
        </w:rPr>
        <w:lastRenderedPageBreak/>
        <w:t>vienetų, įregistruotų ar kitaip organizuotų tikslinėse teritorijose gauti dividendai ir kitas paskirstytasis pelnas apmokestinami šio Įstatymo 35 str. nustatyta tvarka.</w:t>
      </w:r>
      <w:r w:rsidRPr="00125234">
        <w:rPr>
          <w:rFonts w:ascii="Times New Roman" w:hAnsi="Times New Roman"/>
        </w:rPr>
        <w:t xml:space="preserve"> </w:t>
      </w:r>
    </w:p>
    <w:p w14:paraId="4164D6BB"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6. Jeigu Lietuvos vienetas išmoka dividendus (ar kitą paskirstytąjį pelną) užsienio valstybėje įsteigtam ar kitaip organizuotam kolektyvinio investavimo subjektui, mutatis mutandis atitinkančiam Lietuvos Respublikos </w:t>
      </w:r>
      <w:hyperlink r:id="rId95" w:tgtFrame="_blank" w:tooltip="Lietuvos Respublikos kolektyvinio investavimo subjektų įstatymas" w:history="1">
        <w:r w:rsidRPr="00125234">
          <w:rPr>
            <w:rFonts w:ascii="Times New Roman" w:hAnsi="Times New Roman" w:cs="Times New Roman"/>
          </w:rPr>
          <w:t>kolektyvinio investavimo subjektų įstatym</w:t>
        </w:r>
      </w:hyperlink>
      <w:r w:rsidRPr="00125234">
        <w:rPr>
          <w:rFonts w:ascii="Times New Roman" w:hAnsi="Times New Roman" w:cs="Times New Roman"/>
        </w:rPr>
        <w:t>e, Lietuvos Respublikos </w:t>
      </w:r>
      <w:hyperlink r:id="rId96" w:tgtFrame="_blank" w:tooltip="Lietuvos Respublikos informuotiesiems investuotojams skirtų kolektyvinio investavimo subjektų įstatymas" w:history="1">
        <w:r w:rsidRPr="00125234">
          <w:rPr>
            <w:rFonts w:ascii="Times New Roman" w:hAnsi="Times New Roman" w:cs="Times New Roman"/>
          </w:rPr>
          <w:t>informuotiesiems investuotojams skirtų kolektyvinio investavimo subjektų įstatym</w:t>
        </w:r>
      </w:hyperlink>
      <w:r w:rsidRPr="00125234">
        <w:rPr>
          <w:rFonts w:ascii="Times New Roman" w:hAnsi="Times New Roman" w:cs="Times New Roman"/>
        </w:rPr>
        <w:t>e,  Lietuvos Respublikos </w:t>
      </w:r>
      <w:hyperlink r:id="rId97" w:tgtFrame="_blank" w:tooltip="Lietuvos Respublikos profesionaliesiems investuotojams skirtų kolektyvinio investavimo subjektų valdymo įmonių įstatymas" w:history="1">
        <w:r w:rsidRPr="00125234">
          <w:rPr>
            <w:rFonts w:ascii="Times New Roman" w:hAnsi="Times New Roman" w:cs="Times New Roman"/>
          </w:rPr>
          <w:t>profesionaliesiems investuotojams skirtų kolektyvinio investavimo subjektų valdymo įmonių įstatym</w:t>
        </w:r>
      </w:hyperlink>
      <w:r w:rsidRPr="00125234">
        <w:rPr>
          <w:rFonts w:ascii="Times New Roman" w:hAnsi="Times New Roman" w:cs="Times New Roman"/>
        </w:rPr>
        <w:t>e atitinkamus kolektyvinio investavimo subjektams nustatytus reikalavimus, tai nuo tokių dividendų pelno mokestis PMĮ 34 straipsnyje nustatyta tvarka neturi būti išskaičiuojamas ir sumokamas į biudžetą, išskyrus atvejus, kai kolektyvinio investavimo subjektas įregistruotas ar kitaip organizuotas tikslinėje teritorijoje.</w:t>
      </w:r>
    </w:p>
    <w:p w14:paraId="548EA5A4"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7. Pagal PMĮ 12 str. 18 punktą neapmokestinamosioms pajamoms priskiriamos pajamos, įskaitant dividendus ir kitą paskirstytąjį pelną, gautos iš kolektyvinio investavimo subjektų, kurie nėra įregistruoti ar kitaip organizuoti tikslinėse teritorijose, investicinių vienetų, akcijų ar įnašų turėjimo. Todėl kolektyvinio investavimo subjekto dalyvių – Lietuvos vienetų </w:t>
      </w:r>
      <w:r w:rsidRPr="00125234">
        <w:rPr>
          <w:rFonts w:ascii="Times New Roman" w:hAnsi="Times New Roman" w:cs="Times New Roman"/>
        </w:rPr>
        <w:softHyphen/>
        <w:t>– iš kolektyvinio investavimo subjektų, kurie nėra įregistruoti ar kitaip organizuoti tikslinėse teritorijose, gauti dividendai ir kitas paskirstytais pelnas neapmokestinami ir į pajamas neįtraukiami.</w:t>
      </w:r>
    </w:p>
    <w:p w14:paraId="7F755905"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 xml:space="preserve">8. Jeigu Lietuvos kolektyvinio investavimo subjektas išmoka dividendus (ar kitą paskirstytąjį pelną)  ne tikslinėje teritorijoje įregistruotam ar kitaip organizuotam užsienio vienetui, šios dalyvio iš paskirstytojo pelno gaunamos pajamos pelno mokesčio bazei nepriskiriamos.  </w:t>
      </w:r>
    </w:p>
    <w:p w14:paraId="53E509DB" w14:textId="77777777" w:rsidR="00093845" w:rsidRPr="00125234" w:rsidRDefault="000D779E">
      <w:pPr>
        <w:pStyle w:val="Pagrindiniotekstotrauka"/>
        <w:tabs>
          <w:tab w:val="left" w:pos="709"/>
        </w:tabs>
        <w:ind w:firstLine="709"/>
        <w:rPr>
          <w:rFonts w:ascii="Times New Roman" w:hAnsi="Times New Roman" w:cs="Times New Roman"/>
        </w:rPr>
      </w:pPr>
      <w:r w:rsidRPr="00125234">
        <w:rPr>
          <w:rFonts w:ascii="Times New Roman" w:hAnsi="Times New Roman" w:cs="Times New Roman"/>
        </w:rPr>
        <w:t>9. Jei Lietuvos vienetas kontroliuoja užsienio valstybėje įsteigtą kolektyvinio investavimo subjektą, tai gali būti taikomos PMĮ 39 straipsnio nuostatos (žr. PMĮ 39 straipsnio komentarą).</w:t>
      </w:r>
    </w:p>
    <w:p w14:paraId="14B7E5E9" w14:textId="79A57256" w:rsidR="00093845" w:rsidRDefault="000D779E">
      <w:pPr>
        <w:pStyle w:val="Pagrindiniotekstotrauka"/>
        <w:tabs>
          <w:tab w:val="left" w:pos="709"/>
        </w:tabs>
        <w:ind w:firstLine="709"/>
        <w:rPr>
          <w:rFonts w:ascii="Times New Roman" w:hAnsi="Times New Roman"/>
          <w:color w:val="000000"/>
        </w:rPr>
      </w:pPr>
      <w:r w:rsidRPr="00125234">
        <w:rPr>
          <w:rFonts w:ascii="Times New Roman" w:hAnsi="Times New Roman" w:cs="Times New Roman"/>
        </w:rPr>
        <w:t>(Pagal VMI prie FM 2018-07-17 raštą Nr. (</w:t>
      </w:r>
      <w:r w:rsidRPr="00125234">
        <w:rPr>
          <w:rFonts w:ascii="Times New Roman" w:hAnsi="Times New Roman" w:cs="Times New Roman"/>
          <w:color w:val="000000"/>
        </w:rPr>
        <w:t>32.42-31-1E) RM-25937</w:t>
      </w:r>
      <w:r w:rsidRPr="00125234">
        <w:rPr>
          <w:rFonts w:ascii="Times New Roman" w:hAnsi="Times New Roman"/>
          <w:color w:val="000000"/>
        </w:rPr>
        <w:t>)</w:t>
      </w:r>
    </w:p>
    <w:p w14:paraId="4BBEA22E" w14:textId="77777777" w:rsidR="000606FD" w:rsidRPr="008821C9" w:rsidRDefault="000606FD" w:rsidP="000606FD">
      <w:pPr>
        <w:tabs>
          <w:tab w:val="left" w:pos="709"/>
          <w:tab w:val="left" w:pos="1077"/>
          <w:tab w:val="left" w:pos="1418"/>
        </w:tabs>
        <w:ind w:firstLine="709"/>
        <w:jc w:val="both"/>
      </w:pPr>
      <w:r w:rsidRPr="008821C9">
        <w:t xml:space="preserve">10. Lietuvoje įregistruotas juridinio asmens statuso neturintis pensijų fondas pagal PMĮ nuostatas nelaikomas Lietuvos apmokestinamuoju vienetu. Vienetų, nesančių apmokestinamaisiais asmenimis, už į vertybinius popierius (akcijas) investuotą turtą </w:t>
      </w:r>
      <w:r w:rsidRPr="008821C9">
        <w:rPr>
          <w:bCs/>
          <w:color w:val="000000"/>
        </w:rPr>
        <w:t>gaunamų dividendų ar paskirstytojo pelno apmokestinimui PMĮ VII skyriaus nuostatos netaikomos.</w:t>
      </w:r>
      <w:r w:rsidRPr="008821C9">
        <w:t xml:space="preserve"> Analogiškos dividendų </w:t>
      </w:r>
      <w:r w:rsidRPr="008821C9">
        <w:rPr>
          <w:bCs/>
          <w:color w:val="000000"/>
        </w:rPr>
        <w:t xml:space="preserve">ar paskirstytojo pelno </w:t>
      </w:r>
      <w:r w:rsidRPr="008821C9">
        <w:t xml:space="preserve">neapmokestinimo nuostatos taikomos ir užsienio pensijų fondams, kurie  nėra apmokestinamieji vienetai užsienio valstybėje. </w:t>
      </w:r>
    </w:p>
    <w:p w14:paraId="6B608E6F" w14:textId="77777777" w:rsidR="000606FD" w:rsidRPr="008821C9" w:rsidRDefault="000606FD" w:rsidP="000606FD">
      <w:pPr>
        <w:tabs>
          <w:tab w:val="left" w:pos="709"/>
          <w:tab w:val="left" w:pos="1077"/>
          <w:tab w:val="left" w:pos="1418"/>
        </w:tabs>
        <w:ind w:firstLine="709"/>
        <w:jc w:val="both"/>
        <w:rPr>
          <w:bCs/>
          <w:color w:val="000000"/>
        </w:rPr>
      </w:pPr>
      <w:r w:rsidRPr="008821C9">
        <w:rPr>
          <w:bCs/>
          <w:color w:val="000000"/>
        </w:rPr>
        <w:t>Lietuvos vienetas, išmokėdamas dividendus (ar kitą paskirstytąjį pelną) pensijų fondui, kuris nėra apmokestinamasis vienetas, nuo tokių dividendų pelno mokesčio PMĮ 33 straipsnyje nustatyta tvarka neturi išskaičiuoti ir sumokėti į biudžetą. Taip pat toks pensijų fondas nuo iš užsienio vienetų gautų dividendų neturi apskaičiuoti ir sumokėti į biudžetą pelno mokesčio PMĮ 35 straipsnyje nustatyta tvarka bei neturi pateikti dividendų pelno mokesčio deklaracijos pagal PMĮ 36 straipsnio nuostatas.</w:t>
      </w:r>
    </w:p>
    <w:p w14:paraId="5B204F64" w14:textId="605D956A" w:rsidR="000606FD" w:rsidRPr="000606FD" w:rsidRDefault="000606FD" w:rsidP="000606FD">
      <w:pPr>
        <w:tabs>
          <w:tab w:val="left" w:pos="709"/>
          <w:tab w:val="left" w:pos="1077"/>
          <w:tab w:val="left" w:pos="1418"/>
        </w:tabs>
        <w:ind w:firstLine="709"/>
        <w:jc w:val="both"/>
      </w:pPr>
      <w:r w:rsidRPr="008821C9">
        <w:t>Tuo atveju, kai užsienio pensijų fondas, kuriam išmokami dividendai, yra laikomas apmokestinamuoju vienetu užsienio valstybėje pagal tos valstybės teisės aktus, toks pensijų fondas bus pripažįstamas užsienio apmokestinamuoju vienetu Lietuvoje. Nuo tokiam užsienio pensijų fondui išmokamų dividendų, kurie laikomi užsienio vieneto pelno mokesčio baze pagal PMĮ 4 straipsnį, yra prievolė išskaičiuoti pelno mokestį pagal PMĮ 34 straipsnį.</w:t>
      </w:r>
    </w:p>
    <w:p w14:paraId="2366BAAF" w14:textId="1C3E6F9C" w:rsidR="000606FD" w:rsidRDefault="000606FD" w:rsidP="000606FD">
      <w:r>
        <w:rPr>
          <w:lang w:val="lt-LT"/>
        </w:rPr>
        <w:tab/>
        <w:t xml:space="preserve">(Pagal </w:t>
      </w:r>
      <w:r w:rsidRPr="0051529C">
        <w:t xml:space="preserve">VMI prie FM </w:t>
      </w:r>
      <w:r w:rsidRPr="00057D24">
        <w:t xml:space="preserve">2026-03-18 </w:t>
      </w:r>
      <w:r>
        <w:t xml:space="preserve">raštą </w:t>
      </w:r>
      <w:r w:rsidRPr="00057D24">
        <w:t>Nr. (18.10-31-1 Mr) R-700</w:t>
      </w:r>
      <w:r>
        <w:t>)</w:t>
      </w:r>
    </w:p>
    <w:p w14:paraId="224C6E7E" w14:textId="41C9A337" w:rsidR="000606FD" w:rsidRDefault="000606FD" w:rsidP="000606FD">
      <w:pPr>
        <w:tabs>
          <w:tab w:val="left" w:pos="709"/>
          <w:tab w:val="left" w:pos="1077"/>
          <w:tab w:val="left" w:pos="1418"/>
        </w:tabs>
        <w:ind w:firstLine="709"/>
        <w:jc w:val="both"/>
      </w:pPr>
      <w:r w:rsidRPr="008821C9">
        <w:t xml:space="preserve">11. Pagal Civilinio kodekso 6.953 straipsnio nuostatas,  turto patikėjimo sutartimi viena šalis (patikėtojas) gali perduoti kitai šaliai (patikėtiniui) savo turtą patikėjimo teise tam tikram laikui, o kita šalis įsipareigoja tą turtą valdyti, naudoti ir juo disponuoti patikėtojo ar jo nurodyto asmens (naudos gavėjo) interesais.  Toks turto perdavimas kitam asmeniui patikėjimo teise nepakeičia turto </w:t>
      </w:r>
      <w:r w:rsidRPr="008821C9">
        <w:lastRenderedPageBreak/>
        <w:t xml:space="preserve">nuosavybės teisės, t. y. perduoto turto savininku ir toliau lieka patikėtojas. Tuo atveju, kai </w:t>
      </w:r>
      <w:bookmarkStart w:id="482" w:name="_Hlk223342434"/>
      <w:r w:rsidRPr="008821C9">
        <w:t>Lietuvos vienetas pagal patikėjimo sutartį išmoka dividendus</w:t>
      </w:r>
      <w:bookmarkEnd w:id="482"/>
      <w:r w:rsidRPr="008821C9">
        <w:t xml:space="preserve"> perduoto turto patikėtiniui - subjektui</w:t>
      </w:r>
      <w:r w:rsidRPr="008821C9">
        <w:rPr>
          <w:i/>
        </w:rPr>
        <w:t>,</w:t>
      </w:r>
      <w:r w:rsidRPr="008821C9">
        <w:t xml:space="preserve"> kurio steigėjai yra fiziniai asmenys, pvz. patikos fondui  (angl. </w:t>
      </w:r>
      <w:r w:rsidRPr="008821C9">
        <w:rPr>
          <w:i/>
        </w:rPr>
        <w:t>trust fund),</w:t>
      </w:r>
      <w:r w:rsidRPr="008821C9">
        <w:t xml:space="preserve"> Lietuvos vieneto išmokamiems dividendams netaikomos PMĮ VII skyriaus nuostatos. </w:t>
      </w:r>
    </w:p>
    <w:p w14:paraId="0C974CB7" w14:textId="6F8740E1" w:rsidR="000606FD" w:rsidRPr="000606FD" w:rsidRDefault="000606FD" w:rsidP="000606FD">
      <w:r>
        <w:rPr>
          <w:lang w:val="lt-LT"/>
        </w:rPr>
        <w:tab/>
        <w:t xml:space="preserve">(Pagal </w:t>
      </w:r>
      <w:r w:rsidRPr="0051529C">
        <w:t xml:space="preserve">VMI prie FM </w:t>
      </w:r>
      <w:r w:rsidRPr="00057D24">
        <w:t xml:space="preserve">2026-03-18 </w:t>
      </w:r>
      <w:r>
        <w:t xml:space="preserve">raštą </w:t>
      </w:r>
      <w:r w:rsidRPr="00057D24">
        <w:t>Nr. (18.10-31-1 Mr) R-700</w:t>
      </w:r>
      <w:r>
        <w:t>)</w:t>
      </w:r>
    </w:p>
    <w:p w14:paraId="6DFBDCD4" w14:textId="77777777" w:rsidR="00093845" w:rsidRPr="00125234" w:rsidRDefault="000D779E">
      <w:pPr>
        <w:tabs>
          <w:tab w:val="left" w:pos="720"/>
          <w:tab w:val="left" w:pos="1077"/>
          <w:tab w:val="left" w:pos="1418"/>
        </w:tabs>
        <w:jc w:val="both"/>
        <w:rPr>
          <w:b/>
          <w:bCs/>
          <w:szCs w:val="20"/>
          <w:lang w:val="lt-LT"/>
        </w:rPr>
      </w:pPr>
      <w:r w:rsidRPr="00125234">
        <w:rPr>
          <w:lang w:val="lt-LT"/>
        </w:rPr>
        <w:tab/>
      </w:r>
      <w:r w:rsidRPr="00125234">
        <w:rPr>
          <w:b/>
          <w:bCs/>
          <w:lang w:val="lt-LT"/>
        </w:rPr>
        <w:t>2.</w:t>
      </w:r>
      <w:r w:rsidRPr="00125234">
        <w:rPr>
          <w:b/>
          <w:bCs/>
          <w:lang w:val="lt-LT"/>
        </w:rPr>
        <w:tab/>
        <w:t>Iš vieneto lėšų arba dėl turto vertės padidėjimo vieneto dalyviams proporcingai jų turimų akcijų (dalių, pajų) skaičiui nemokamai išduotos akcijos (dalys, pajai) arba anksčiau išduotų akcijų nominalios vertės arba pajų vertės padidinimo suma nelaikomos dividendais ar paskirstytuoju pelnu.</w:t>
      </w:r>
    </w:p>
    <w:p w14:paraId="7253B244" w14:textId="77777777" w:rsidR="00093845" w:rsidRPr="00125234" w:rsidRDefault="000D779E" w:rsidP="00F15E3F">
      <w:pPr>
        <w:tabs>
          <w:tab w:val="left" w:pos="720"/>
          <w:tab w:val="left" w:pos="1077"/>
          <w:tab w:val="left" w:pos="1418"/>
        </w:tabs>
        <w:jc w:val="both"/>
      </w:pPr>
      <w:r w:rsidRPr="00125234">
        <w:rPr>
          <w:lang w:val="lt-LT"/>
        </w:rPr>
        <w:tab/>
      </w:r>
      <w:r w:rsidRPr="00125234">
        <w:t xml:space="preserve">Komentaras </w:t>
      </w:r>
    </w:p>
    <w:p w14:paraId="0FEAC149" w14:textId="77777777" w:rsidR="00093845" w:rsidRPr="00125234" w:rsidRDefault="000D779E">
      <w:pPr>
        <w:tabs>
          <w:tab w:val="left" w:pos="720"/>
          <w:tab w:val="left" w:pos="1077"/>
          <w:tab w:val="left" w:pos="1134"/>
          <w:tab w:val="left" w:pos="1418"/>
        </w:tabs>
        <w:ind w:firstLine="720"/>
        <w:jc w:val="both"/>
        <w:rPr>
          <w:szCs w:val="20"/>
          <w:lang w:val="lt-LT"/>
        </w:rPr>
      </w:pPr>
      <w:r w:rsidRPr="00125234">
        <w:rPr>
          <w:lang w:val="lt-LT"/>
        </w:rPr>
        <w:t xml:space="preserve">Pagal šios dalies nuostatas neapmokestinamos akcininko ar pajininko turto vertės padidėjimo pajamos, atsiradusios tais atvejais, kai: </w:t>
      </w:r>
    </w:p>
    <w:p w14:paraId="3C05B442" w14:textId="77777777" w:rsidR="00093845" w:rsidRPr="00125234" w:rsidRDefault="000D779E">
      <w:pPr>
        <w:tabs>
          <w:tab w:val="left" w:pos="720"/>
          <w:tab w:val="left" w:pos="1077"/>
          <w:tab w:val="left" w:pos="1134"/>
          <w:tab w:val="left" w:pos="1418"/>
        </w:tabs>
        <w:ind w:firstLine="720"/>
        <w:jc w:val="both"/>
        <w:rPr>
          <w:szCs w:val="20"/>
          <w:lang w:val="lt-LT"/>
        </w:rPr>
      </w:pPr>
      <w:r w:rsidRPr="00125234">
        <w:rPr>
          <w:lang w:val="lt-LT"/>
        </w:rPr>
        <w:t>-</w:t>
      </w:r>
      <w:r w:rsidRPr="00125234">
        <w:rPr>
          <w:lang w:val="lt-LT"/>
        </w:rPr>
        <w:tab/>
        <w:t xml:space="preserve">bendrovė iš nepaskirstytojo pelno, akcijų priedų ar rezervų įstatinį kapitalą didina Lietuvos Respublikos </w:t>
      </w:r>
      <w:r w:rsidR="00C67408" w:rsidRPr="00125234">
        <w:rPr>
          <w:rStyle w:val="Hipersaitas"/>
          <w:rFonts w:ascii="Times New Roman" w:hAnsi="Times New Roman" w:cs="Times New Roman"/>
          <w:b w:val="0"/>
          <w:bCs w:val="0"/>
          <w:kern w:val="0"/>
          <w:lang w:val="lt-LT"/>
        </w:rPr>
        <w:t>akcinių bendrovių įstatyme</w:t>
      </w:r>
      <w:r w:rsidRPr="00125234">
        <w:rPr>
          <w:lang w:val="lt-LT"/>
        </w:rPr>
        <w:t xml:space="preserve"> nustatyta tvarka ir akcininkams nemokamai išduoda akcijas (arba didina anksčiau išleistų akcijų nominalią vertę), arba</w:t>
      </w:r>
    </w:p>
    <w:p w14:paraId="41E11E4B" w14:textId="77777777" w:rsidR="00093845" w:rsidRPr="00125234" w:rsidRDefault="000D779E">
      <w:pPr>
        <w:pStyle w:val="Style1"/>
        <w:tabs>
          <w:tab w:val="left" w:pos="720"/>
          <w:tab w:val="left" w:pos="1077"/>
          <w:tab w:val="left" w:pos="1134"/>
          <w:tab w:val="left" w:pos="1418"/>
        </w:tabs>
        <w:rPr>
          <w:rFonts w:ascii="Times New Roman" w:hAnsi="Times New Roman"/>
          <w:szCs w:val="24"/>
        </w:rPr>
      </w:pPr>
      <w:r w:rsidRPr="00125234">
        <w:rPr>
          <w:rFonts w:ascii="Times New Roman" w:hAnsi="Times New Roman"/>
          <w:szCs w:val="24"/>
        </w:rPr>
        <w:t>-</w:t>
      </w:r>
      <w:r w:rsidRPr="00125234">
        <w:rPr>
          <w:rFonts w:ascii="Times New Roman" w:hAnsi="Times New Roman"/>
          <w:szCs w:val="24"/>
        </w:rPr>
        <w:tab/>
        <w:t xml:space="preserve">didinama žemės ūkio bendrovių pajininkų pajų vertė, kai didinamas bendrovės pagrindinis kapitalas iš bendrovės lėšų, įskaitant pajų vertės padidėjimą dėl bendrovės turto perkainojimo Lietuvos Respublikos </w:t>
      </w:r>
      <w:r w:rsidR="00C67408" w:rsidRPr="00125234">
        <w:rPr>
          <w:rStyle w:val="Hipersaitas"/>
          <w:rFonts w:ascii="Times New Roman" w:hAnsi="Times New Roman" w:cs="Times New Roman"/>
          <w:b w:val="0"/>
          <w:bCs w:val="0"/>
          <w:kern w:val="0"/>
          <w:lang w:val="lt-LT"/>
        </w:rPr>
        <w:t>žemės ūkio bendrovių įstatyme</w:t>
      </w:r>
      <w:r w:rsidRPr="00125234">
        <w:rPr>
          <w:rFonts w:ascii="Times New Roman" w:hAnsi="Times New Roman"/>
          <w:szCs w:val="24"/>
        </w:rPr>
        <w:t xml:space="preserve"> nustatyta tvarka.</w:t>
      </w:r>
    </w:p>
    <w:p w14:paraId="745406AC" w14:textId="77777777" w:rsidR="00093845" w:rsidRPr="00125234" w:rsidRDefault="00062580">
      <w:pPr>
        <w:pStyle w:val="Style1"/>
        <w:tabs>
          <w:tab w:val="left" w:pos="720"/>
          <w:tab w:val="left" w:pos="1077"/>
          <w:tab w:val="left" w:pos="1418"/>
        </w:tabs>
        <w:ind w:firstLine="0"/>
        <w:rPr>
          <w:rFonts w:ascii="Times New Roman" w:hAnsi="Times New Roman"/>
          <w:iCs/>
        </w:rPr>
      </w:pPr>
      <w:r w:rsidRPr="00125234">
        <w:rPr>
          <w:rFonts w:ascii="Times New Roman" w:hAnsi="Times New Roman"/>
          <w:iCs/>
        </w:rPr>
        <w:t xml:space="preserve">            (P</w:t>
      </w:r>
      <w:r w:rsidR="000D779E" w:rsidRPr="00125234">
        <w:rPr>
          <w:rFonts w:ascii="Times New Roman" w:hAnsi="Times New Roman"/>
          <w:iCs/>
        </w:rPr>
        <w:t xml:space="preserve">agal VMI prie FM 2005-12-07 raštą Nr. </w:t>
      </w:r>
      <w:r w:rsidR="000D779E" w:rsidRPr="00125234">
        <w:rPr>
          <w:iCs/>
          <w:szCs w:val="24"/>
        </w:rPr>
        <w:t>(18.10-31-1)-R-10818</w:t>
      </w:r>
      <w:r w:rsidR="000D779E" w:rsidRPr="00125234">
        <w:rPr>
          <w:rFonts w:ascii="Times New Roman" w:hAnsi="Times New Roman"/>
          <w:iCs/>
        </w:rPr>
        <w:t>)</w:t>
      </w:r>
    </w:p>
    <w:p w14:paraId="5690F61C" w14:textId="77777777" w:rsidR="00093845" w:rsidRPr="00125234" w:rsidRDefault="000D779E">
      <w:pPr>
        <w:pStyle w:val="Pagrindiniotekstotrauka3"/>
        <w:tabs>
          <w:tab w:val="left" w:pos="720"/>
          <w:tab w:val="left" w:pos="1077"/>
          <w:tab w:val="left" w:pos="1418"/>
        </w:tabs>
        <w:rPr>
          <w:rFonts w:ascii="Times New Roman" w:hAnsi="Times New Roman"/>
          <w:b/>
        </w:rPr>
      </w:pPr>
      <w:r w:rsidRPr="00125234">
        <w:rPr>
          <w:rFonts w:ascii="Times New Roman" w:hAnsi="Times New Roman"/>
          <w:b/>
        </w:rPr>
        <w:t>3.</w:t>
      </w:r>
      <w:r w:rsidRPr="00125234">
        <w:rPr>
          <w:rFonts w:ascii="Times New Roman" w:hAnsi="Times New Roman"/>
          <w:b/>
        </w:rPr>
        <w:tab/>
        <w:t>Vieneto dalyvio turto, kuris yra perleistas jam kaip vieneto paskirstytasis pelnas, įsigijimo kaina yra to turto tikroji rinkos kaina, nustatyta tą dieną, kurią turtas buvo perleistas vieneto dalyviui.</w:t>
      </w:r>
    </w:p>
    <w:p w14:paraId="123E734E" w14:textId="77777777" w:rsidR="00093845" w:rsidRPr="00125234" w:rsidRDefault="000D779E">
      <w:pPr>
        <w:ind w:firstLine="720"/>
        <w:jc w:val="both"/>
        <w:rPr>
          <w:b/>
          <w:bCs/>
          <w:lang w:val="lt-LT"/>
        </w:rPr>
      </w:pPr>
      <w:r w:rsidRPr="00125234">
        <w:rPr>
          <w:b/>
          <w:bCs/>
          <w:lang w:val="lt-LT"/>
        </w:rPr>
        <w:t>Komentaras</w:t>
      </w:r>
    </w:p>
    <w:p w14:paraId="00DA36BB" w14:textId="77777777" w:rsidR="00093845" w:rsidRPr="00125234" w:rsidRDefault="000D779E">
      <w:pPr>
        <w:tabs>
          <w:tab w:val="left" w:pos="720"/>
          <w:tab w:val="left" w:pos="1077"/>
          <w:tab w:val="left" w:pos="1418"/>
        </w:tabs>
        <w:ind w:firstLine="720"/>
        <w:jc w:val="both"/>
        <w:rPr>
          <w:szCs w:val="20"/>
          <w:lang w:val="lt-LT"/>
        </w:rPr>
      </w:pPr>
      <w:r w:rsidRPr="00125234">
        <w:rPr>
          <w:lang w:val="lt-LT"/>
        </w:rPr>
        <w:t>Šioje dalyje numatoma, kad jei pelno paskirstymo procese vienetas savo dalyviui perleidžia turtą, tai toks turtas turi būti perleidžiamas pagal tikrąją rinkos kainą, nustatytą tą dieną, kurią turtas buvo perleistas vieneto dalyviui. Vieneto dalyvis perleistą turtą į apskaitą įtraukia įsigijimo kaina, t.y. tikrąja rinkos kaina.</w:t>
      </w:r>
    </w:p>
    <w:p w14:paraId="4E724AAC" w14:textId="77777777" w:rsidR="00093845" w:rsidRPr="00125234" w:rsidRDefault="000D779E">
      <w:pPr>
        <w:pStyle w:val="Pagrindiniotekstotrauka"/>
        <w:tabs>
          <w:tab w:val="left" w:pos="720"/>
          <w:tab w:val="left" w:pos="1077"/>
          <w:tab w:val="left" w:pos="1418"/>
        </w:tabs>
        <w:rPr>
          <w:rFonts w:ascii="Times New Roman" w:hAnsi="Times New Roman"/>
          <w:b/>
          <w:bCs/>
          <w:lang w:val="lt-LT"/>
        </w:rPr>
      </w:pPr>
      <w:r w:rsidRPr="00125234">
        <w:rPr>
          <w:rFonts w:ascii="Times New Roman" w:hAnsi="Times New Roman"/>
          <w:b/>
          <w:bCs/>
          <w:lang w:val="lt-LT"/>
        </w:rPr>
        <w:t>4.</w:t>
      </w:r>
      <w:r w:rsidRPr="00125234">
        <w:rPr>
          <w:rFonts w:ascii="Times New Roman" w:hAnsi="Times New Roman"/>
          <w:b/>
          <w:bCs/>
          <w:lang w:val="lt-LT"/>
        </w:rPr>
        <w:tab/>
        <w:t xml:space="preserve">Jei vienetas paskirsto pelną turtu, o ne pinigais ir šio perleisto turto tikroji rinkos kaina, nustatyta tą dieną, kurią turtas vieneto dalyviui perleistas, yra didesnė už šio turto įsigijimo kainą, tai šis skirtumas yra turto vertės padidėjimo pajamos, jeigu šiame Įstatyme nenustatyta kitaip. </w:t>
      </w:r>
    </w:p>
    <w:p w14:paraId="11A77ECE" w14:textId="77777777" w:rsidR="00093845" w:rsidRPr="00125234" w:rsidRDefault="000D779E">
      <w:pPr>
        <w:ind w:firstLine="720"/>
        <w:jc w:val="both"/>
        <w:rPr>
          <w:b/>
          <w:bCs/>
          <w:lang w:val="lt-LT"/>
        </w:rPr>
      </w:pPr>
      <w:r w:rsidRPr="00125234">
        <w:rPr>
          <w:b/>
          <w:bCs/>
          <w:lang w:val="lt-LT"/>
        </w:rPr>
        <w:t xml:space="preserve">Komentaras </w:t>
      </w:r>
    </w:p>
    <w:p w14:paraId="61B86D5D" w14:textId="77777777" w:rsidR="00093845" w:rsidRPr="00125234" w:rsidRDefault="000D779E">
      <w:pPr>
        <w:pStyle w:val="Pagrindiniotekstotrauka"/>
        <w:tabs>
          <w:tab w:val="left" w:pos="720"/>
          <w:tab w:val="left" w:pos="1077"/>
          <w:tab w:val="left" w:pos="1418"/>
        </w:tabs>
        <w:rPr>
          <w:rFonts w:ascii="Times New Roman" w:hAnsi="Times New Roman"/>
          <w:lang w:val="lt-LT"/>
        </w:rPr>
      </w:pPr>
      <w:r w:rsidRPr="00125234">
        <w:rPr>
          <w:rFonts w:ascii="Times New Roman" w:hAnsi="Times New Roman"/>
          <w:lang w:val="lt-LT"/>
        </w:rPr>
        <w:t>Remiantis šios dalies nuostatomis, kai vienetas savo dalyviui perleidžia turtą kaip paskirstytinąjį pelną, tai turtas turi būti perleidžiamas pagal rinkos kainą, ir, jei perleidžiamo turto rinkos kaina yra didesnė už to turto įsigijimo kainą, tai turto perleidimo kainos ir įsigijimo kainos skirtumas yra turtą perleidusio vieneto turto vertės padidėjimo pajamos, apmokestinamos PMĮ nustatyta tvarka. Jei perleidžiamas ilgalaikis materialusis turtas, tai, apskaičiuojant turto vertės padidėjimo pajamas, to turto įsigijimo kaina mažinama nusidėvėjimo suma, įtraukta į ribojamų dydžių leidžiamus atskaitymus (PMĮ 16 str. 2 dalis).</w:t>
      </w:r>
    </w:p>
    <w:p w14:paraId="7B488264" w14:textId="77777777" w:rsidR="00093845" w:rsidRPr="00125234" w:rsidRDefault="000D779E">
      <w:pPr>
        <w:tabs>
          <w:tab w:val="left" w:pos="720"/>
          <w:tab w:val="left" w:pos="1077"/>
          <w:tab w:val="left" w:pos="1418"/>
        </w:tabs>
        <w:ind w:firstLine="720"/>
        <w:jc w:val="both"/>
        <w:rPr>
          <w:szCs w:val="20"/>
          <w:lang w:val="lt-LT"/>
        </w:rPr>
      </w:pPr>
      <w:r w:rsidRPr="00125234">
        <w:rPr>
          <w:lang w:val="lt-LT"/>
        </w:rPr>
        <w:t xml:space="preserve">Pavyzdžiui, Lietuvos Respublikos </w:t>
      </w:r>
      <w:r w:rsidR="00C67408" w:rsidRPr="00125234">
        <w:rPr>
          <w:rStyle w:val="Hipersaitas"/>
          <w:rFonts w:ascii="Times New Roman" w:hAnsi="Times New Roman" w:cs="Times New Roman"/>
          <w:b w:val="0"/>
          <w:bCs w:val="0"/>
          <w:kern w:val="0"/>
          <w:lang w:val="lt-LT"/>
        </w:rPr>
        <w:t>žemės ūkio bendrovių įstatymo</w:t>
      </w:r>
      <w:r w:rsidRPr="00125234">
        <w:rPr>
          <w:lang w:val="lt-LT"/>
        </w:rPr>
        <w:t xml:space="preserve"> 17 straipsnyje nustatyta, kad bendrovės narių susirinkimui nutarus, jei pajininkai pageidauja, dividendai gali būti mokami materialinėmis vertybėmis arba paslaugomis. Todėl, jei žemės ūkio bendrovė tokiu būdu perleistų turtą </w:t>
      </w:r>
      <w:r w:rsidRPr="00125234">
        <w:rPr>
          <w:lang w:val="lt-LT"/>
        </w:rPr>
        <w:lastRenderedPageBreak/>
        <w:t xml:space="preserve">pajininko nuosavybėn, tai turtas turėtų būti perleidžiamas pagal tikrąją to turto rinkos kainą, o turto vertės padidėjimo pajamas bendrovė turi apmokestinti šio straipsnio 4 dalyje ir PMĮ 16 straipsnyje nustatyta tvarka. Nuo turtu (pagal tikrąją rinkos kainą) išmokamos dividendų sumos bendrovė turi išskaičiuoti pelno mokestį, taikydama PMĮ įstatymo 33 str. 1 dalyje arba 34 str. 1 dalyje nustatytą pelno mokesčio tarifą, jei pajininkas yra Lietuvos ar užsienio vienetas. </w:t>
      </w:r>
    </w:p>
    <w:p w14:paraId="27BF2EF7" w14:textId="77777777" w:rsidR="00093845" w:rsidRPr="00125234" w:rsidRDefault="000D779E">
      <w:pPr>
        <w:pStyle w:val="Pagrindiniotekstotrauka"/>
        <w:tabs>
          <w:tab w:val="left" w:pos="720"/>
          <w:tab w:val="left" w:pos="1077"/>
          <w:tab w:val="left" w:pos="1418"/>
        </w:tabs>
        <w:rPr>
          <w:rFonts w:ascii="Times New Roman" w:hAnsi="Times New Roman"/>
          <w:lang w:val="lt-LT"/>
        </w:rPr>
      </w:pPr>
      <w:r w:rsidRPr="00125234">
        <w:rPr>
          <w:rFonts w:ascii="Times New Roman" w:hAnsi="Times New Roman"/>
          <w:lang w:val="lt-LT"/>
        </w:rPr>
        <w:t xml:space="preserve">Pavyzdys </w:t>
      </w:r>
    </w:p>
    <w:p w14:paraId="6C797E4A" w14:textId="77777777" w:rsidR="00093845" w:rsidRPr="00125234" w:rsidRDefault="000D779E">
      <w:pPr>
        <w:pStyle w:val="Pagrindiniotekstotrauka"/>
        <w:pBdr>
          <w:top w:val="single" w:sz="4" w:space="2" w:color="auto"/>
          <w:left w:val="single" w:sz="4" w:space="4" w:color="auto"/>
          <w:right w:val="single" w:sz="4" w:space="4" w:color="auto"/>
        </w:pBdr>
        <w:tabs>
          <w:tab w:val="left" w:pos="720"/>
          <w:tab w:val="left" w:pos="1077"/>
          <w:tab w:val="left" w:pos="1418"/>
        </w:tabs>
        <w:ind w:right="71"/>
        <w:rPr>
          <w:rFonts w:ascii="Times New Roman" w:hAnsi="Times New Roman"/>
          <w:lang w:val="lt-LT"/>
        </w:rPr>
      </w:pPr>
      <w:r w:rsidRPr="00125234">
        <w:rPr>
          <w:rFonts w:ascii="Times New Roman" w:hAnsi="Times New Roman"/>
          <w:lang w:val="lt-LT"/>
        </w:rPr>
        <w:t>Tarkim, žemės ūkio bendrovė už 2001 finansinių metų rezultatus pajininkui – Lietuvos vienetui (kurio pajus sudaro 7 proc. bendrovės pagrindinio kapitalo) 2002 metais apskaičiuota 10 000 Lt dividendų. Dividendai pajininko prašymu išmokėti ilgalaikiu materialiuoju turtu. 2002 m. balandžio mėnesį bendrovė su vienetu atsiskaitė, perduodama jo nuosavybėn ilgalaikį materialųjį turtą. Šio turto rinkos kaina yra 10 000 Lt, likutinė vertė 6 000 Lt (įsigijimo kainos ir nusidėvėjimo sumų, apskaičiuojant apmokestinamąjį pelną įtrauktų į sąnaudas, skirtumas). Bendrovė, už dividendus atsiskaičiusi turtu, turi pripažinti 4 000 Lt (10 000 Lt – 6 000 Lt) turto vertės padidėjimo pajamas, t.y., apskaičiuojant apmokestinamąjį pelną, ši turto vertės padidėjimo pajamų suma į bendrovės uždirbtas pajamas įtraukiama ta pačia tvarka kaip ir turto pardavimo atveju.</w:t>
      </w:r>
    </w:p>
    <w:p w14:paraId="0BEEBE71" w14:textId="77777777" w:rsidR="00093845" w:rsidRPr="00125234"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sidRPr="00125234">
        <w:rPr>
          <w:rFonts w:ascii="Times New Roman" w:hAnsi="Times New Roman"/>
          <w:lang w:val="lt-LT"/>
        </w:rPr>
        <w:t>Vienetui turtu išmokami dividendai turi būti apmokestinami PMĮ nustatyta tvarka.</w:t>
      </w:r>
    </w:p>
    <w:p w14:paraId="610CBBB5" w14:textId="77777777" w:rsidR="00093845" w:rsidRPr="00125234" w:rsidRDefault="000D779E">
      <w:pPr>
        <w:pStyle w:val="Pagrindiniotekstotrauka"/>
        <w:tabs>
          <w:tab w:val="left" w:pos="720"/>
          <w:tab w:val="left" w:pos="1077"/>
          <w:tab w:val="left" w:pos="1418"/>
        </w:tabs>
        <w:rPr>
          <w:rFonts w:ascii="Times New Roman" w:hAnsi="Times New Roman"/>
          <w:bCs/>
          <w:lang w:val="lt-LT"/>
        </w:rPr>
      </w:pPr>
      <w:r w:rsidRPr="00125234">
        <w:rPr>
          <w:rFonts w:ascii="Times New Roman" w:hAnsi="Times New Roman"/>
          <w:bCs/>
          <w:lang w:val="lt-LT"/>
        </w:rPr>
        <w:t>(Pakeista VMI prie FM 2003-12-23 raštu Nr. (18.11-08-2)-R-11658.)</w:t>
      </w:r>
    </w:p>
    <w:p w14:paraId="4089F39C" w14:textId="77777777" w:rsidR="00093845" w:rsidRPr="00125234" w:rsidRDefault="00093845">
      <w:pPr>
        <w:pStyle w:val="Pagrindiniotekstotrauka"/>
        <w:tabs>
          <w:tab w:val="left" w:pos="720"/>
          <w:tab w:val="left" w:pos="1077"/>
          <w:tab w:val="left" w:pos="1418"/>
        </w:tabs>
        <w:rPr>
          <w:rFonts w:ascii="Times New Roman" w:hAnsi="Times New Roman"/>
          <w:bCs/>
          <w:lang w:val="lt-LT"/>
        </w:rPr>
      </w:pPr>
    </w:p>
    <w:p w14:paraId="07536DE2" w14:textId="77777777" w:rsidR="00093845" w:rsidRPr="00125234" w:rsidRDefault="000D779E" w:rsidP="00D367C2">
      <w:pPr>
        <w:pStyle w:val="Pagrindiniotekstotrauka2"/>
        <w:spacing w:after="0" w:line="240" w:lineRule="auto"/>
        <w:ind w:firstLine="0"/>
      </w:pPr>
      <w:r w:rsidRPr="00125234">
        <w:rPr>
          <w:bCs w:val="0"/>
        </w:rPr>
        <w:t xml:space="preserve">       </w:t>
      </w:r>
      <w:r w:rsidRPr="00125234">
        <w:t>5</w:t>
      </w:r>
      <w:r w:rsidRPr="00125234">
        <w:rPr>
          <w:b w:val="0"/>
        </w:rPr>
        <w:t xml:space="preserve">. </w:t>
      </w:r>
      <w:r w:rsidRPr="00125234">
        <w:t>Mažinant vieneto įstatinį kapitalą, vieneto dalyviams išmokamos lėšos ar jų dalis, tenkančios įstatinio kapitalo, sudaryto ne iš vieneto dalyvių įnašų, sumažinimo daliai, laikomos dividendais ir apmokestinamos šio Įstatymo 33 ir 34 straipsniuose nustatyta tvarka. Mažinant vieneto įstatinį kapitalą, laikoma, kad pirma vieneto dalyviams išmokama ta įstatinio kapitalo dalis, kuri buvo sudaryta ne iš vieneto dalyvių įnašų, o didinant įstatinį kapitalą iš vieneto lėšų. Dėl įstatinio kapitalo dalies, sudarytos ne iš vieneto dalyvių įnašų, sumažinimo anuliuotų akcijų įsigijimo kainos ir šioje dalyje nurodytų išmokamų lėšų sumos teigiamą skirtumą vieneto dalyvis gali priskirti nuostoliams dėl vertybinių popierių perleidimo.</w:t>
      </w:r>
    </w:p>
    <w:p w14:paraId="26AB3226" w14:textId="77777777" w:rsidR="00093845" w:rsidRPr="00125234" w:rsidRDefault="000D779E" w:rsidP="00D367C2">
      <w:pPr>
        <w:spacing w:after="0"/>
        <w:jc w:val="both"/>
        <w:rPr>
          <w:bCs/>
          <w:i/>
          <w:lang w:val="lt-LT"/>
        </w:rPr>
      </w:pPr>
      <w:r w:rsidRPr="00125234">
        <w:rPr>
          <w:bCs/>
          <w:i/>
          <w:lang w:val="lt-LT"/>
        </w:rPr>
        <w:t xml:space="preserve">(KEISTA: </w:t>
      </w:r>
      <w:r w:rsidRPr="00125234">
        <w:rPr>
          <w:i/>
        </w:rPr>
        <w:t>2010 11 23 įstatymu Nr. XI-1156 (nuo 2010 12 11)</w:t>
      </w:r>
      <w:r w:rsidR="00F33038" w:rsidRPr="00125234">
        <w:rPr>
          <w:i/>
        </w:rPr>
        <w:t>,</w:t>
      </w:r>
      <w:r w:rsidR="004147FA" w:rsidRPr="00125234">
        <w:rPr>
          <w:i/>
        </w:rPr>
        <w:t xml:space="preserve"> taikoma apskaičiuojant 2011 metų ir vėlesnių metų mokestinių laikotarpių pelno mokestį</w:t>
      </w:r>
      <w:r w:rsidRPr="00125234">
        <w:rPr>
          <w:bCs/>
          <w:i/>
          <w:lang w:val="lt-LT"/>
        </w:rPr>
        <w:t xml:space="preserve">) </w:t>
      </w:r>
    </w:p>
    <w:p w14:paraId="10AF9461" w14:textId="77777777" w:rsidR="00093845" w:rsidRPr="00125234" w:rsidRDefault="000D779E">
      <w:pPr>
        <w:tabs>
          <w:tab w:val="left" w:pos="709"/>
        </w:tabs>
        <w:ind w:firstLine="720"/>
        <w:jc w:val="both"/>
        <w:rPr>
          <w:b/>
          <w:bCs/>
          <w:lang w:val="lt-LT"/>
        </w:rPr>
      </w:pPr>
      <w:r w:rsidRPr="00125234">
        <w:rPr>
          <w:b/>
          <w:bCs/>
          <w:lang w:val="lt-LT"/>
        </w:rPr>
        <w:t>Komentaras</w:t>
      </w:r>
    </w:p>
    <w:p w14:paraId="3ADC0609" w14:textId="77777777" w:rsidR="00093845" w:rsidRPr="00125234" w:rsidRDefault="000D779E">
      <w:pPr>
        <w:tabs>
          <w:tab w:val="left" w:pos="709"/>
        </w:tabs>
        <w:ind w:firstLine="720"/>
        <w:jc w:val="both"/>
        <w:rPr>
          <w:bCs/>
          <w:lang w:val="lt-LT"/>
        </w:rPr>
      </w:pPr>
      <w:r w:rsidRPr="00125234">
        <w:rPr>
          <w:lang w:val="lt-LT"/>
        </w:rPr>
        <w:t>1. Pagal PMĮ 32 str. 2 dalies nuostatas iš vieneto lėšų arba dėl turto vertės padidėjimo vieneto dalyviams proporcingai jų turimų akcijų (dalių, pajų) skaičiui nemokamai išduotos akcijos (dalys, pajai) arba anksčiau išduotų akcijų nominalios vertės, arba pajų vertės padidinimo sumos nelaikomos dividendais ar paskirstytuoju pelnu, t.y. tokios turto vertės padidėjimo pajamos neapmokestinamos kaip dividendai. Tačiau, jei po įstatinio kapitalo padidinimo jis vėliau sumažinamas ir vieneto dalyviams išmokamos lėšos, tai tokiu atveju pagal šio straipsnio 5 dalies nuostatas laikoma, kad pirmiausia vieneto dalyviams išmokama ta įstatinio kapitalo dalis, kuri buvo sudaryta ne iš vieneto dalyvių įnašų, o iš vieneto lėšų (pelno, rezervų ir akcijų priedų) didinant įstatinį kapitalą. Vieneto dalyviams išmokamos lėšos ar jų dalis, tenkanti įstatinio kapitalo, sudaryto ne iš vieneto dalyvių įnašų, sumažinimo daliai, laikoma dividendais ir apmokestinama PMĮ 33 ir 34 straipsniuose nustatyta tvarka, t.y. tokie dividendai apmokestinami pagal PMĮ 33 str. 1 dalyje ir 34 str. 1 dalyje nustatytą pelno mokesčio nuo dividendų tarifą arba neapmokestinami pagal dividendų neapmokestinimo išimtį, nustatytą PMĮ 33 str. 2 dalyje ir 34 str. 2 dalyje, jei vienetas ir jo dalyviai atitinka šiose dalyse nustatytas sąlygas (žr. PMĮ 33 str. 2 dalies ir 34 str. 2 dalies komentarus).</w:t>
      </w:r>
      <w:r w:rsidRPr="00125234">
        <w:rPr>
          <w:bCs/>
          <w:lang w:val="lt-LT"/>
        </w:rPr>
        <w:t xml:space="preserve"> </w:t>
      </w:r>
    </w:p>
    <w:p w14:paraId="25E054F9" w14:textId="77777777" w:rsidR="00093845" w:rsidRPr="00125234" w:rsidRDefault="000D779E">
      <w:pPr>
        <w:tabs>
          <w:tab w:val="left" w:pos="709"/>
        </w:tabs>
        <w:jc w:val="both"/>
        <w:rPr>
          <w:lang w:val="lt-LT"/>
        </w:rPr>
      </w:pPr>
      <w:r w:rsidRPr="00125234">
        <w:rPr>
          <w:color w:val="0000FF"/>
          <w:lang w:val="lt-LT"/>
        </w:rPr>
        <w:tab/>
      </w:r>
      <w:r w:rsidRPr="00125234">
        <w:rPr>
          <w:color w:val="0000FF"/>
          <w:lang w:val="lt-LT"/>
        </w:rPr>
        <w:tab/>
      </w:r>
      <w:r w:rsidRPr="00125234">
        <w:rPr>
          <w:lang w:val="lt-LT"/>
        </w:rPr>
        <w:t xml:space="preserve">1 pavyzdys </w:t>
      </w:r>
    </w:p>
    <w:p w14:paraId="2A2895CC"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lastRenderedPageBreak/>
        <w:tab/>
        <w:t xml:space="preserve">1. 2005 metais įsteigta akcinė bendrovė (toliau - Bendrovė) išleido 10 000 paprastųjų 50 Lt nominalios vertės akcijų ir suformavo 500 000 Lt įstatinį kapitalą. </w:t>
      </w:r>
    </w:p>
    <w:p w14:paraId="72077591"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tab/>
        <w:t>2006 metais Bendrovė 100 000 Lt padidino įstatinį kapitalą, išleisdama naują akcijų emisiją – 2 000 paprastųjų 50 Lt nominalios vertės akcijų, kurių emisijos kaina 60 Lt. Akcininkai sumokėjo įsigytų akcijų emisijos kainą.</w:t>
      </w:r>
    </w:p>
    <w:p w14:paraId="2336404D" w14:textId="77777777" w:rsidR="00093845" w:rsidRPr="00125234" w:rsidRDefault="000D779E">
      <w:pPr>
        <w:pBdr>
          <w:top w:val="single" w:sz="4" w:space="1" w:color="auto"/>
          <w:left w:val="single" w:sz="4" w:space="4" w:color="auto"/>
          <w:right w:val="single" w:sz="4" w:space="4" w:color="auto"/>
        </w:pBdr>
        <w:tabs>
          <w:tab w:val="left" w:pos="709"/>
        </w:tabs>
        <w:jc w:val="both"/>
        <w:rPr>
          <w:lang w:val="lt-LT"/>
        </w:rPr>
      </w:pPr>
      <w:r w:rsidRPr="00125234">
        <w:rPr>
          <w:lang w:val="lt-LT"/>
        </w:rPr>
        <w:tab/>
        <w:t xml:space="preserve">2007 metais Bendrovė 250 000 Lt padidino įstatinį kapitalą iš savo lėšų (nepaskirstytojo pelno, akcijų priedų ir rezervų, išleisdama 5 000 paprastųjų 50 Lt nominalios vertės akcijų. Išleistas akcijas Bendrovės akcininkai (proporcingai jiems nuosavybės teise priklausančių akcijų nominaliai vertei) gavo nemokamai. Bendrovė Juridinių asmenų registre įregistravo 850 000 Lt įstatinį kapitalą (17 000 akcijų po 50 Lt). </w:t>
      </w:r>
    </w:p>
    <w:p w14:paraId="734D90ED" w14:textId="77777777" w:rsidR="00093845" w:rsidRPr="00125234" w:rsidRDefault="000D779E">
      <w:pPr>
        <w:pBdr>
          <w:top w:val="single" w:sz="4" w:space="1" w:color="auto"/>
          <w:left w:val="single" w:sz="4" w:space="4" w:color="auto"/>
          <w:right w:val="single" w:sz="4" w:space="4" w:color="auto"/>
        </w:pBdr>
        <w:tabs>
          <w:tab w:val="left" w:pos="709"/>
        </w:tabs>
        <w:ind w:firstLine="720"/>
        <w:jc w:val="both"/>
        <w:rPr>
          <w:lang w:val="lt-LT"/>
        </w:rPr>
      </w:pPr>
      <w:r w:rsidRPr="00125234">
        <w:rPr>
          <w:lang w:val="lt-LT"/>
        </w:rPr>
        <w:t xml:space="preserve">2011 metais Bendrovė 300 000 Lt sumažino įstatinį kapitalą, anuliuodama 6 000 nominalios vertės akcijų, ir šias lėšas išmokėjo akcininkams proporcingai nuosavybės teise jiems priklausančių akcijų nominaliai vertei. </w:t>
      </w:r>
    </w:p>
    <w:p w14:paraId="01BDD4D4" w14:textId="77777777" w:rsidR="00093845" w:rsidRPr="00125234" w:rsidRDefault="000D779E">
      <w:pPr>
        <w:pBdr>
          <w:top w:val="single" w:sz="4" w:space="1" w:color="auto"/>
          <w:left w:val="single" w:sz="4" w:space="4" w:color="auto"/>
          <w:right w:val="single" w:sz="4" w:space="4" w:color="auto"/>
        </w:pBdr>
        <w:tabs>
          <w:tab w:val="left" w:pos="709"/>
        </w:tabs>
        <w:ind w:firstLine="720"/>
        <w:jc w:val="both"/>
        <w:rPr>
          <w:lang w:val="lt-LT"/>
        </w:rPr>
      </w:pPr>
      <w:r w:rsidRPr="00125234">
        <w:rPr>
          <w:lang w:val="lt-LT"/>
        </w:rPr>
        <w:t xml:space="preserve">Kadangi Bendrovė 300 000 Lt sumažino įstatinį kapitalą, o prieš sumažinimą jį buvo padidinusi iš Bendrovės lėšų ir Bendrovės akcininkai nemokamai gavo 250 000 Lt nominalios vertės akcijų, todėl akcininkams išmokama laisvų lėšų dalis (250 000 Lt), tenkanti įstatinio kapitalo daliai, kuri buvo padidinta iš Bendrovės lėšų, apmokestinama kaip ir dividendai: </w:t>
      </w:r>
    </w:p>
    <w:p w14:paraId="6A9A7EE3" w14:textId="77777777" w:rsidR="00093845" w:rsidRPr="00125234" w:rsidRDefault="000D779E">
      <w:pPr>
        <w:pStyle w:val="Pagrindiniotekstotrauka2"/>
        <w:pBdr>
          <w:top w:val="single" w:sz="4" w:space="1" w:color="auto"/>
          <w:left w:val="single" w:sz="4" w:space="4" w:color="auto"/>
          <w:right w:val="single" w:sz="4" w:space="4" w:color="auto"/>
        </w:pBdr>
        <w:tabs>
          <w:tab w:val="left" w:pos="709"/>
        </w:tabs>
        <w:spacing w:line="240" w:lineRule="auto"/>
        <w:rPr>
          <w:b w:val="0"/>
          <w:bCs w:val="0"/>
        </w:rPr>
      </w:pPr>
      <w:r w:rsidRPr="00125234">
        <w:rPr>
          <w:b w:val="0"/>
          <w:bCs w:val="0"/>
        </w:rPr>
        <w:t>1.1. Bendrovės akcininkė UAB ,,A“ iš viso turėjo 170 (1 proc.) šios Bendrovės akcijų (100 akcijų, už kurias, steigiant bendrovę, sumokėjo 5 000 Lt, 20 akcijų nupirko antrinėje rinkoje, mokėdama po 52 Lt už akciją, ir 50 akcijų, kurių nominali vertė 2 500 Lt, gavo nemokamai, kai buvo didinamas įstatinis kapitalas iš Bendrovės lėšų). Sumažinusi įstatinį kapitalą, Bendrovė apskaičiavo UAB ,,A“ mokėtiną 3 000 Lt (proporcingai jos turimų akcijų nominaliai vertei) lėšų sumą, anuliuodama jai priklausančių 60 akcijų, kurių nominali vertė 3 000 Lt.</w:t>
      </w:r>
    </w:p>
    <w:p w14:paraId="4402BB4F" w14:textId="77777777" w:rsidR="00093845" w:rsidRPr="00125234" w:rsidRDefault="000D779E">
      <w:pPr>
        <w:pStyle w:val="Pagrindiniotekstotrauka2"/>
        <w:pBdr>
          <w:top w:val="single" w:sz="4" w:space="1" w:color="auto"/>
          <w:left w:val="single" w:sz="4" w:space="4" w:color="auto"/>
          <w:right w:val="single" w:sz="4" w:space="4" w:color="auto"/>
        </w:pBdr>
        <w:tabs>
          <w:tab w:val="left" w:pos="709"/>
        </w:tabs>
        <w:spacing w:line="240" w:lineRule="auto"/>
        <w:rPr>
          <w:b w:val="0"/>
          <w:bCs w:val="0"/>
        </w:rPr>
      </w:pPr>
      <w:r w:rsidRPr="00125234">
        <w:rPr>
          <w:b w:val="0"/>
          <w:bCs w:val="0"/>
        </w:rPr>
        <w:t xml:space="preserve">Šiuo atveju Bendrovės UAB ,,A“ išmokama lėšų dalis, tenkanti įstatinio kapitalo daliai, kuri buvo padidinta iš Bendrovės lėšų, apmokestinama kaip dividendai, taikant PMĮ 33 str. 1 dalyje nustatytą 15 proc. pelno mokesčio tarifą. </w:t>
      </w:r>
    </w:p>
    <w:p w14:paraId="37D8A54F"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Apskaičiuota UAB ,,A“ tenkanti apmokestinama lėšų dalis sudarys 2 500 Lt (250 000/300 000 x 3000) sumą, o pelno mokestis, išskaičiuojamas iš šios sumos, taikant 15 proc. pelno mokesčio tarifą – 375 Lt (2 500 x 15/100). UAB ,,A“ išmokama po apmokestinimo suma sudarys 2625 Lt (3 000 - 375).</w:t>
      </w:r>
    </w:p>
    <w:p w14:paraId="0D4A98DA"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1.2. Kita Bendrovės akcininkė UAB ,,B“ iš viso turėjo 2040 (12 proc.) šios bendrovės balsavimo teisę suteikiančių akcijų (1000 akcijų įsigijo steigiant bendrovę, 440 akcijų įsigijo, sumokėdama naujų išleistų akcijų emisijos kainą, o kitas 600 akcijų gavo nemokamai, didinant įstatinį kapitalą iš bendrovės lėšų). Sumažinusi įstatinį kapitalą, Bendrovė apskaičiavo UAB ,,B“ mokėtiną 36 000 Lt (proporcingai jos turimų akcijų nominaliai vertei) lėšų sumą, anuliuodama jai priklausančių 720 akcijų, kurių nominali vertė 36 000 Lt.</w:t>
      </w:r>
    </w:p>
    <w:p w14:paraId="01D68BD0" w14:textId="77777777" w:rsidR="00093845" w:rsidRPr="00125234" w:rsidRDefault="000D779E">
      <w:pPr>
        <w:pStyle w:val="Pagrindiniotekstotrauka2"/>
        <w:pBdr>
          <w:left w:val="single" w:sz="4" w:space="4" w:color="auto"/>
          <w:bottom w:val="single" w:sz="4" w:space="1" w:color="auto"/>
          <w:right w:val="single" w:sz="4" w:space="4" w:color="auto"/>
        </w:pBdr>
        <w:tabs>
          <w:tab w:val="left" w:pos="709"/>
        </w:tabs>
        <w:spacing w:line="240" w:lineRule="auto"/>
        <w:rPr>
          <w:b w:val="0"/>
          <w:bCs w:val="0"/>
        </w:rPr>
      </w:pPr>
      <w:r w:rsidRPr="00125234">
        <w:rPr>
          <w:b w:val="0"/>
          <w:bCs w:val="0"/>
        </w:rPr>
        <w:t>Šiuo atveju Bendrovės UAB ,,B“ išmokama apmokestinamų lėšų dalis, tenkanti įstatinio kapitalo daliai, kuri buvo padidinta iš Bendrovės lėšų, sudarys 30 000 Lt (250 000/300 000 x 36000) sumą. Tačiau, atsižvelgiant į tai, kad Bendrovė ir jos dalyvis – UAB ,,B“ atitinka PMĮ 33 str. 2 dalyje nustatytas sąlygas (UAB ,,B“ ilgiau kaip 12 mėnesių (nuo 2005 metų) be pertraukų, įskaitant lėšų išmokėjimo momentą, valdė ne mažiau kaip 10 procentų UAB „A“ balsus suteikiančių akcijų), todėl UAB ,,B“ išmokama 30 000 Lt suma, tenkanti įstatinio kapitalo, sudaryto ne iš vieneto dalyvių įnašų, sumažinimo daliai, neapmokestinama pagal šioje dalyje nustatytą dividendų neapmokestinimo išimtį.</w:t>
      </w:r>
    </w:p>
    <w:p w14:paraId="1EBE48E9" w14:textId="77777777" w:rsidR="00093845" w:rsidRPr="00125234" w:rsidRDefault="000D779E">
      <w:pPr>
        <w:pStyle w:val="Antrat1"/>
        <w:jc w:val="both"/>
      </w:pPr>
      <w:r w:rsidRPr="00125234">
        <w:rPr>
          <w:lang w:val="lt-LT"/>
        </w:rPr>
        <w:tab/>
      </w:r>
      <w:r w:rsidRPr="00125234">
        <w:rPr>
          <w:b w:val="0"/>
          <w:bCs w:val="0"/>
        </w:rPr>
        <w:t xml:space="preserve">2. Dėl įstatinio kapitalo dalies, sudarytos ne iš vieneto dalyvių įnašų (t.y. tos dalies, kuri buvo padidinta iš vieneto lėšų ir kuri ją išmokant apmokestinama kaip dividendai), sumažinimo anuliuotų akcijų įsigijimo kainos ir išmokamų lėšų sumos teigiamą skirtumą (kai anuliuotų akcijų įsigijimo kaina </w:t>
      </w:r>
      <w:r w:rsidRPr="00125234">
        <w:rPr>
          <w:b w:val="0"/>
          <w:bCs w:val="0"/>
        </w:rPr>
        <w:lastRenderedPageBreak/>
        <w:t>yra didesnė už išmokamų lėšų sumą) vieneto dalyvis gali priskirti nuostoliams dėl vertybinių popierių perleidimo</w:t>
      </w:r>
      <w:r w:rsidRPr="00125234">
        <w:t xml:space="preserve">. </w:t>
      </w:r>
    </w:p>
    <w:p w14:paraId="04FFDBC8" w14:textId="77777777" w:rsidR="00093845" w:rsidRPr="00125234" w:rsidRDefault="000D779E">
      <w:pPr>
        <w:tabs>
          <w:tab w:val="left" w:pos="709"/>
        </w:tabs>
        <w:ind w:firstLine="720"/>
        <w:jc w:val="both"/>
        <w:rPr>
          <w:bCs/>
          <w:lang w:val="lt-LT"/>
        </w:rPr>
      </w:pPr>
      <w:r w:rsidRPr="00125234">
        <w:rPr>
          <w:lang w:val="lt-LT"/>
        </w:rPr>
        <w:t xml:space="preserve">Šios nuostatos taikomos apskaičiuojant 2011 metų ir vėlesnių metų mokestinių laikotarpių pelno mokestį. Vieneto dalyvis vertybinių popierių perleidimo nuostolius pripažįsta tą mokestinį laikotarpį, kurį dėl įstatinio kapitalo sumažinimo anuliuojamos to vieneto akcijos (nurašomos nuo vieneto dalyvio asmeninės vertybinių popierių sąskaitos ar padaromi atitinkami įrašai akcininkų registravimo žurnale). </w:t>
      </w:r>
    </w:p>
    <w:p w14:paraId="669F368F" w14:textId="77777777" w:rsidR="00093845" w:rsidRPr="00125234" w:rsidRDefault="000D779E">
      <w:pPr>
        <w:tabs>
          <w:tab w:val="left" w:pos="709"/>
        </w:tabs>
        <w:ind w:firstLine="720"/>
        <w:jc w:val="both"/>
        <w:rPr>
          <w:bCs/>
          <w:lang w:val="lt-LT"/>
        </w:rPr>
      </w:pPr>
      <w:r w:rsidRPr="00125234">
        <w:rPr>
          <w:bCs/>
          <w:lang w:val="lt-LT"/>
        </w:rPr>
        <w:t>2 pavyzdys</w:t>
      </w:r>
    </w:p>
    <w:p w14:paraId="04FD00EB"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bCs/>
          <w:lang w:val="lt-LT"/>
        </w:rPr>
      </w:pPr>
      <w:r w:rsidRPr="00125234">
        <w:rPr>
          <w:bCs/>
          <w:lang w:val="lt-LT"/>
        </w:rPr>
        <w:t>1. Bendrovės įstatinis kapitalas - 500 000 Lt (jį sudaro 5000 paprastųjų 100 Lt nominalios vertės akcijų; įstatinis kapitalas buvo suformuotas iš 300 000 Lt akcininkų įnašų ir vėliau padidintas 200 000 Lt iš bendrovės lėšų). Siekiant akcininkams išmokėti dalį bendrovės lėšų, 2011 mokestiniais metais bendrovės įstatinis kapitalas buvo sumažintas 200 000 Lt, anuliuojant 2000 akcijų. Atsižvelgiant į PMĮ 32 str. 5 dalies nuostatas, bendrovės akcininkams išmokama 200 000 Lt suma apmokestinama kaip dividendai. Bendrovės akcininkės UAB „X“ ir UAB „Y“ dėl akcijų anuliavimo patyrė nuostolių:</w:t>
      </w:r>
    </w:p>
    <w:p w14:paraId="7918D93C"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lang w:val="lt-LT"/>
        </w:rPr>
      </w:pPr>
      <w:r w:rsidRPr="00125234">
        <w:rPr>
          <w:lang w:val="lt-LT"/>
        </w:rPr>
        <w:t>1.1. UAB „X“, daugiau kaip 12 mėnesių be pertraukų valdančiai 500 (10 proc.) bendrovės balsų teisę suteikiančių akcijų, dėl įstatinio kapitalo sumažinimo buvo išmokėta 20 000 Lt bendrovės lėšų (pagal PMĮ 32 str. 5 dalį - dividendų, kurie vadovaujantis PMĮ 33 str. 2 dalimi pelno mokesčiu neapmokestinami), anuliavus 200 jai priklausančių paprastųjų bendrovės akcijų. UAB „X“ visas turimas bendrovės akcijas įsigijo iš trečiųjų asmenų (vienos akcijos įsigijimo kaina 102 Lt). Dėl šių akcijų anuliavimo UAB „X“ patyrė 400 Lt [20 000 Lt – (200*102 Lt)] nuostolių, kurių suma priskiriama nuostoliams iš vertybinių popierių perleidimo.</w:t>
      </w:r>
    </w:p>
    <w:p w14:paraId="4952D6E5" w14:textId="77777777" w:rsidR="00093845" w:rsidRPr="00125234" w:rsidRDefault="000D779E">
      <w:pPr>
        <w:pBdr>
          <w:top w:val="single" w:sz="4" w:space="3" w:color="auto"/>
          <w:left w:val="single" w:sz="4" w:space="4" w:color="auto"/>
          <w:bottom w:val="single" w:sz="4" w:space="1" w:color="auto"/>
          <w:right w:val="single" w:sz="4" w:space="0" w:color="auto"/>
        </w:pBdr>
        <w:tabs>
          <w:tab w:val="left" w:pos="709"/>
        </w:tabs>
        <w:ind w:firstLine="720"/>
        <w:jc w:val="both"/>
        <w:rPr>
          <w:lang w:val="lt-LT"/>
        </w:rPr>
      </w:pPr>
      <w:r w:rsidRPr="00125234">
        <w:rPr>
          <w:lang w:val="lt-LT"/>
        </w:rPr>
        <w:t>1.2. UAB „Y“ , valdančiai 250 (5 proc.) bendrovės balsų teisę suteikiančių akcijų, dėl įstatinio kapitalo sumažinimo išmokėtina suma sudarė 10 000 Lt bendrovės lėšų (pagal PMĮ 32 str. 5 dalį - dividendų, iš kurių, vadovaujantis PMĮ 33 str. 1 dalimi, išskaičiuota 1500 Lt pelno mokesčio), anuliavus jai priklausančių 100 vnt. paprastųjų bendrovės akcijų. UAB „Y“ visas turimas bendrovės akcijas įsigijo iš trečiųjų asmenų (vienos akcijos įsigijimo kaina 102 Lt). Dėl šių akcijų anuliavimo UAB „Y“ patirta 200 Lt [(10 000 Lt – (100*102 Lt)] nuostolių suma yra priskiriama nuostoliams iš vertybinių popierių perleidimo.</w:t>
      </w:r>
    </w:p>
    <w:p w14:paraId="0A0AF207" w14:textId="77777777" w:rsidR="00093845" w:rsidRPr="00125234" w:rsidRDefault="000D779E">
      <w:pPr>
        <w:pStyle w:val="Pagrindiniotekstotrauka2"/>
        <w:spacing w:line="240" w:lineRule="auto"/>
        <w:ind w:firstLine="709"/>
        <w:rPr>
          <w:b w:val="0"/>
        </w:rPr>
      </w:pPr>
      <w:r w:rsidRPr="00125234">
        <w:rPr>
          <w:b w:val="0"/>
        </w:rPr>
        <w:t xml:space="preserve">Apskaičiuojant vertybinių popierių perleidimo nuostolių sumą, imama visa vieneto dalyviui dėl įstatinio kapitalo sumažinimo išmokama suma – (anuliuotų akcijų nominali vertė), neatėmus iš jos išskaičiuoto dividendų pelno mokesčio (žr. 2 pavyzdžio 1.2 punktą). </w:t>
      </w:r>
    </w:p>
    <w:p w14:paraId="60F39A0F" w14:textId="77777777" w:rsidR="00093845" w:rsidRPr="00125234" w:rsidRDefault="000D779E">
      <w:pPr>
        <w:pStyle w:val="HTMLiankstoformatuotas"/>
        <w:tabs>
          <w:tab w:val="clear" w:pos="916"/>
          <w:tab w:val="left" w:pos="709"/>
        </w:tabs>
        <w:jc w:val="both"/>
        <w:rPr>
          <w:rFonts w:ascii="Times New Roman" w:hAnsi="Times New Roman" w:cs="Times New Roman"/>
          <w:sz w:val="24"/>
          <w:szCs w:val="24"/>
          <w:lang w:val="lt-LT" w:eastAsia="lt-LT"/>
        </w:rPr>
      </w:pPr>
      <w:r w:rsidRPr="00125234">
        <w:rPr>
          <w:rFonts w:ascii="Times New Roman" w:hAnsi="Times New Roman" w:cs="Times New Roman"/>
          <w:b/>
          <w:sz w:val="24"/>
          <w:szCs w:val="24"/>
          <w:lang w:val="lt-LT" w:eastAsia="lt-LT"/>
        </w:rPr>
        <w:tab/>
      </w:r>
      <w:r w:rsidRPr="00125234">
        <w:rPr>
          <w:rFonts w:ascii="Times New Roman" w:hAnsi="Times New Roman" w:cs="Times New Roman"/>
          <w:sz w:val="24"/>
          <w:szCs w:val="24"/>
          <w:lang w:val="lt-LT" w:eastAsia="lt-LT"/>
        </w:rPr>
        <w:t xml:space="preserve">Tuo atveju, kai dėl įstatinio kapitalo sumažinimo bendrovės akcininkui išmokama lėšų suma yra didesnė už jo įsigytų anuliuojamų akcijų įsigijimo kainą, tai apskaičiuotas pelnas taip pat yra laikomas vertybinių popierių perleidimo rezultatu - turto vertės padidėjimo pajamomis už perleistas akcijas.  </w:t>
      </w:r>
    </w:p>
    <w:p w14:paraId="7C6A0F08" w14:textId="77777777" w:rsidR="00093845" w:rsidRPr="00125234" w:rsidRDefault="000D779E">
      <w:pPr>
        <w:pStyle w:val="HTMLiankstoformatuotas"/>
        <w:tabs>
          <w:tab w:val="clear" w:pos="916"/>
          <w:tab w:val="left" w:pos="709"/>
        </w:tabs>
        <w:jc w:val="both"/>
        <w:rPr>
          <w:rFonts w:ascii="Times New Roman" w:hAnsi="Times New Roman" w:cs="Times New Roman"/>
          <w:sz w:val="24"/>
          <w:szCs w:val="24"/>
          <w:lang w:val="lt-LT" w:eastAsia="lt-LT"/>
        </w:rPr>
      </w:pPr>
      <w:r w:rsidRPr="00125234">
        <w:rPr>
          <w:rFonts w:ascii="Times New Roman" w:hAnsi="Times New Roman" w:cs="Times New Roman"/>
          <w:sz w:val="24"/>
          <w:szCs w:val="24"/>
          <w:lang w:val="lt-LT"/>
        </w:rPr>
        <w:tab/>
        <w:t xml:space="preserve">Komentuojamos dalies nuostatos dėl anuliuotų akcijų pripažinimo vertybinių popierių perleidimo nuostoliais, taikomos tik tuo atveju, kai įstatinis kapitalas mažinamas </w:t>
      </w:r>
      <w:r w:rsidRPr="00125234">
        <w:rPr>
          <w:rFonts w:ascii="Times New Roman" w:hAnsi="Times New Roman" w:cs="Times New Roman"/>
          <w:sz w:val="24"/>
          <w:szCs w:val="24"/>
          <w:lang w:val="lt-LT" w:eastAsia="lt-LT"/>
        </w:rPr>
        <w:t>siekiant vieneto dalyviams (akcininkams) išmokėti bendrovės lėšų. Šios nuostatos netaikomos, kai įstatinis kapitalas mažinamas kitais Akcinių bendrovių įstatyme nustatytais atvejais.</w:t>
      </w:r>
    </w:p>
    <w:p w14:paraId="0BCFA118" w14:textId="77777777" w:rsidR="00093845" w:rsidRPr="00125234" w:rsidRDefault="00062580" w:rsidP="00062580">
      <w:pPr>
        <w:pStyle w:val="Pagrindiniotekstotrauka"/>
        <w:tabs>
          <w:tab w:val="left" w:pos="720"/>
          <w:tab w:val="left" w:pos="1077"/>
          <w:tab w:val="left" w:pos="1418"/>
        </w:tabs>
        <w:ind w:firstLine="0"/>
      </w:pPr>
      <w:r w:rsidRPr="00125234">
        <w:t xml:space="preserve">       </w:t>
      </w:r>
      <w:r w:rsidR="000D779E" w:rsidRPr="00125234">
        <w:t>(Papildyta VMI prie FM 2011-12-05 raštu Nr. (18.10-31-1)-R-11393)</w:t>
      </w:r>
    </w:p>
    <w:p w14:paraId="3763BA82" w14:textId="77777777" w:rsidR="00093845" w:rsidRPr="00125234" w:rsidRDefault="000D779E" w:rsidP="00AF4003">
      <w:pPr>
        <w:tabs>
          <w:tab w:val="left" w:pos="720"/>
          <w:tab w:val="left" w:pos="1077"/>
          <w:tab w:val="left" w:pos="1418"/>
        </w:tabs>
        <w:autoSpaceDE w:val="0"/>
        <w:autoSpaceDN w:val="0"/>
        <w:spacing w:after="0"/>
        <w:ind w:right="-6"/>
        <w:jc w:val="both"/>
        <w:rPr>
          <w:rStyle w:val="normal-h"/>
          <w:b/>
        </w:rPr>
      </w:pPr>
      <w:r w:rsidRPr="00125234">
        <w:rPr>
          <w:rStyle w:val="normal-h"/>
          <w:b/>
        </w:rPr>
        <w:t xml:space="preserve">       6. Šio skyriaus 34 straipsnio 2 dalies, 35 straipsnio 2 ir 3 dalių nuostatos dėl dividendų neapmokestinimo netaikomos dariniui ar keliems dariniams, jeigu jų nustatymo pagrindinis tikslas arba vienas iš pagrindinių tikslų buvo gauti mokestinės naudos, kuri prieštarauja 2011 </w:t>
      </w:r>
      <w:r w:rsidRPr="00125234">
        <w:rPr>
          <w:rStyle w:val="normal-h"/>
          <w:b/>
        </w:rPr>
        <w:lastRenderedPageBreak/>
        <w:t>m. lapkričio 30 d. Tarybos direktyvos 2011/96/ES dėl bendrosios mokesčių sistemos, taikomos įvairių valstybių narių patronuojančioms ir dukterinėms bendrovėms, dalykui ar tikslui, ir todėl jie yra apsimestiniai atsižvelgus į visus susijusius faktus ir aplinkybes. Darinys gali apimti daugiau negu vieną etapą ar dalį. Darinys arba keli dariniai laikomi apsimestiniais tiek, kiek jie nebuvo nustatyti dėl svarių komercinių priežasčių, atspindinčių ekonominę realybę.</w:t>
      </w:r>
    </w:p>
    <w:p w14:paraId="07F6EE30" w14:textId="77777777" w:rsidR="00093845" w:rsidRPr="00125234" w:rsidRDefault="000D779E" w:rsidP="00AF4003">
      <w:pPr>
        <w:tabs>
          <w:tab w:val="left" w:pos="720"/>
          <w:tab w:val="left" w:pos="1077"/>
          <w:tab w:val="left" w:pos="1418"/>
        </w:tabs>
        <w:autoSpaceDE w:val="0"/>
        <w:autoSpaceDN w:val="0"/>
        <w:spacing w:after="0"/>
        <w:ind w:right="-6"/>
        <w:jc w:val="both"/>
        <w:rPr>
          <w:rFonts w:ascii="TimesLT" w:hAnsi="TimesLT"/>
          <w:bCs/>
          <w:i/>
          <w:iCs/>
          <w:lang w:val="lt-LT"/>
        </w:rPr>
      </w:pPr>
      <w:r w:rsidRPr="00125234">
        <w:rPr>
          <w:rFonts w:ascii="TimesLT" w:hAnsi="TimesLT"/>
          <w:i/>
          <w:iCs/>
          <w:lang w:val="lt-LT"/>
        </w:rPr>
        <w:t>(</w:t>
      </w:r>
      <w:r w:rsidRPr="00125234">
        <w:rPr>
          <w:i/>
          <w:iCs/>
        </w:rPr>
        <w:t>KEISTA:</w:t>
      </w:r>
      <w:r w:rsidRPr="00125234">
        <w:rPr>
          <w:i/>
          <w:iCs/>
          <w:lang w:val="lt-LT"/>
        </w:rPr>
        <w:t xml:space="preserve"> </w:t>
      </w:r>
      <w:r w:rsidRPr="00125234">
        <w:rPr>
          <w:i/>
          <w:iCs/>
        </w:rPr>
        <w:t>2016 03 22 įstatymu Nr. XII-2262 (nuo 2016 03 26)</w:t>
      </w:r>
      <w:r w:rsidRPr="00125234">
        <w:rPr>
          <w:rFonts w:ascii="TimesLT" w:hAnsi="TimesLT"/>
          <w:bCs/>
          <w:i/>
          <w:iCs/>
          <w:lang w:val="lt-LT"/>
        </w:rPr>
        <w:t>)</w:t>
      </w:r>
    </w:p>
    <w:p w14:paraId="271C5C90" w14:textId="77777777" w:rsidR="005E1525" w:rsidRPr="00125234" w:rsidRDefault="005E1525" w:rsidP="00AF4003">
      <w:pPr>
        <w:tabs>
          <w:tab w:val="left" w:pos="720"/>
          <w:tab w:val="left" w:pos="1077"/>
          <w:tab w:val="left" w:pos="1418"/>
        </w:tabs>
        <w:autoSpaceDE w:val="0"/>
        <w:autoSpaceDN w:val="0"/>
        <w:spacing w:after="0"/>
        <w:ind w:right="-6"/>
        <w:jc w:val="both"/>
        <w:rPr>
          <w:rFonts w:ascii="TimesLT" w:hAnsi="TimesLT"/>
          <w:bCs/>
          <w:i/>
          <w:iCs/>
          <w:lang w:val="lt-LT"/>
        </w:rPr>
      </w:pPr>
    </w:p>
    <w:p w14:paraId="0617D1D7" w14:textId="77777777" w:rsidR="00093845" w:rsidRPr="00125234" w:rsidRDefault="000D779E">
      <w:pPr>
        <w:ind w:firstLine="720"/>
        <w:jc w:val="both"/>
        <w:rPr>
          <w:b/>
          <w:lang w:val="lt-LT"/>
        </w:rPr>
      </w:pPr>
      <w:r w:rsidRPr="00125234">
        <w:rPr>
          <w:b/>
          <w:lang w:val="lt-LT"/>
        </w:rPr>
        <w:t>Komentaras</w:t>
      </w:r>
    </w:p>
    <w:p w14:paraId="5AD9CA32"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1. Tarybos Direktyvoje 2011/96/ES dėl bendrosios mokesčių sistemos, taikomos įvairių valstybių narių patronuojančioms ir dukterinėms bendrovėms (toliau – 2011/96/ES Direktyva), įtvirtinamos taisyklės, kuriomis siekiama išvengti keliose valstybėse veikiančių (toliau - tarpvalstybinių) įmonių pelno dvigubo apmokestinimo situacijų, užtikrinant dukterinių įmonių patronuojančioms įmonėms išmokamų dividendų ir kito paskirstyto pelno neapmokestinimą prie šaltinio bei panaikinant tokių pajamų dvigubą apmokestinimą patronuojančios įmonės lygiu. Šiuo tikslu PMĮ 34 straipsnio ir 35 straipsnio nuostatose buvo įtvirtinta „dalyvavimo išimties“ taisyklė, pagal kurią ne trumpiau kaip 12 mėnesių be pertraukų, įskaitant dividendų paskirstymo momentą, valdant ne mažiau kaip 10 procentų balsų suteikiančių akcijų (dalių, pajų), išmokami dividendai tarp Lietuvos vienetų arba Lietuvos ir užsienio vienetų (išskyrus tikslines teritorijas) yra neapmokestinami.</w:t>
      </w:r>
    </w:p>
    <w:p w14:paraId="702EB6A1"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Tačiau, pasinaudojant 2011/96/ES Direktyvos teikiama nauda ir nacionalinių mokesčių sistemų skirtumais bei spragomis, gali susidaryti galimybės piktnaudžiauti dividendų neapmokestinimo taisyklėmis, todėl 2015 m. sausio 27 d. Tarybos Direktyva (ES) 2015/121, iš dalies pakeitusia Tarybos direktyvą 2011/96/ES, siekiama užtikrinti, kad 2011/96/ES Direktyvos nuostatomis, reglamentuojančiomis dividendų neapmokestinimo pelno mokesčiu atvejus, nebūtų piktnaudžiaujama.  </w:t>
      </w:r>
    </w:p>
    <w:p w14:paraId="4B212FDB"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Atitinkamai PMĮ VII skyriuje įtvirtinti dividendų neapmokestinimo netaikymo atvejai, t. y. dividendų apmokestinimo pelno mokesčiu atvejai, esant piktnaudžiavimui.</w:t>
      </w:r>
    </w:p>
    <w:p w14:paraId="5335B7A7"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2. Pagal šios dalies nuostatas, PMĮ 34 straipsnio 2 dalies (dėl dividendų neapmokestinimo, t. y. dėl „dalyvavimo išimties“ taisyklės taikymo Lietuvos vienetui išmokant dividendus užsienio vienetui, žr. PMĮ 34 str. 2 dalies komentarą) ir 35 straipsnio 2 ir 3 dalių (dėl dividendų neapmokestinimo, Lietuvos vienetui gaunant dividendus iš Europos ekonominės erdvės valstybės narės, žr. PMĮ 35 str. 2 dalies komentarą, gaunant dividendus iš kitų užsienio vienetų, pritaikius „dalyvavimo išimties“ taisyklę - žr. PMĮ 35 str. 3 dalies komentarą) nuostatos, dėl užsienio vienetams išmokamų ir iš jų gaunamų dividendų neapmokestinimo, netaikomos </w:t>
      </w:r>
      <w:r w:rsidRPr="00125234">
        <w:rPr>
          <w:i/>
          <w:iCs/>
          <w:lang w:val="lt-LT"/>
        </w:rPr>
        <w:t>darinio</w:t>
      </w:r>
      <w:r w:rsidRPr="00125234">
        <w:rPr>
          <w:iCs/>
          <w:lang w:val="lt-LT"/>
        </w:rPr>
        <w:t xml:space="preserve"> ar </w:t>
      </w:r>
      <w:r w:rsidRPr="00125234">
        <w:rPr>
          <w:i/>
          <w:iCs/>
          <w:lang w:val="lt-LT"/>
        </w:rPr>
        <w:t>kelių darinių</w:t>
      </w:r>
      <w:r w:rsidRPr="00125234">
        <w:rPr>
          <w:iCs/>
          <w:lang w:val="lt-LT"/>
        </w:rPr>
        <w:t xml:space="preserve"> atžvilgiu, jeigu:</w:t>
      </w:r>
    </w:p>
    <w:p w14:paraId="4ED36C5E" w14:textId="77777777" w:rsidR="00093845" w:rsidRPr="00125234" w:rsidRDefault="000D779E">
      <w:pPr>
        <w:pStyle w:val="Sraopastraipa"/>
        <w:autoSpaceDE w:val="0"/>
        <w:autoSpaceDN w:val="0"/>
        <w:ind w:left="0" w:right="-5" w:firstLine="709"/>
        <w:jc w:val="both"/>
        <w:rPr>
          <w:iCs/>
        </w:rPr>
      </w:pPr>
      <w:r w:rsidRPr="00125234">
        <w:rPr>
          <w:iCs/>
        </w:rPr>
        <w:t>- jų pagrindinis tikslas arba vienas iš pagrindinių tikslų – gauti mokestinę naudą, ir</w:t>
      </w:r>
    </w:p>
    <w:p w14:paraId="1FF11ECD" w14:textId="77777777" w:rsidR="00093845" w:rsidRPr="00125234" w:rsidRDefault="000D779E">
      <w:pPr>
        <w:pStyle w:val="Sraopastraipa"/>
        <w:autoSpaceDE w:val="0"/>
        <w:autoSpaceDN w:val="0"/>
        <w:ind w:left="0" w:right="-5" w:firstLine="709"/>
        <w:jc w:val="both"/>
        <w:rPr>
          <w:iCs/>
        </w:rPr>
      </w:pPr>
      <w:r w:rsidRPr="00125234">
        <w:rPr>
          <w:iCs/>
        </w:rPr>
        <w:t>- tokios mokestinės naudos gavimas prieštarauja 2011/96/ES Direktyvos dalykui ar tikslui, ir</w:t>
      </w:r>
    </w:p>
    <w:p w14:paraId="00377159" w14:textId="77777777" w:rsidR="00093845" w:rsidRPr="00125234" w:rsidRDefault="000D779E">
      <w:pPr>
        <w:pStyle w:val="Sraopastraipa"/>
        <w:autoSpaceDE w:val="0"/>
        <w:autoSpaceDN w:val="0"/>
        <w:ind w:left="0" w:right="-5" w:firstLine="709"/>
        <w:jc w:val="both"/>
        <w:rPr>
          <w:iCs/>
        </w:rPr>
      </w:pPr>
      <w:r w:rsidRPr="00125234">
        <w:rPr>
          <w:iCs/>
        </w:rPr>
        <w:t xml:space="preserve">- darinys ar keli dariniai yra apsimestiniai atsižvelgus į visus susijusius faktus ir aplinkybes, t. y. jie nebuvo nustatyti dėl svarių komercinių priežasčių, atspindinčių ekonominę realybę. </w:t>
      </w:r>
    </w:p>
    <w:p w14:paraId="6A0412C2"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Tuo atveju, jei atsižvelgus į visus susijusius faktus ir aplinkybes identifikuojama, kad vienas iš darinio etapų gali būti apsimestinis, t. y. nebuvo nustatytas dėl svarių komercinių priežasčių, atspindinčių ekonominę realybę, tačiau tokio darinio egzistavimas nesusijęs su mokestinės naudos, kuri prieštarauja 2011/96/ES Direktyvos dalykui ar tikslui, gavimu (t. y. prievolė sumokėti mokestį ir mokesčio suma, pašalinus apsimestinį darinį, išlieka nepakitę), tai prieš mokesčių piktnaudžiavimą nukreipta priemonė nebus taikoma.</w:t>
      </w:r>
    </w:p>
    <w:p w14:paraId="39509BDB" w14:textId="77777777" w:rsidR="00093845" w:rsidRPr="00125234" w:rsidRDefault="000D779E">
      <w:pPr>
        <w:tabs>
          <w:tab w:val="left" w:pos="720"/>
          <w:tab w:val="left" w:pos="1077"/>
          <w:tab w:val="left" w:pos="1418"/>
        </w:tabs>
        <w:autoSpaceDE w:val="0"/>
        <w:autoSpaceDN w:val="0"/>
        <w:ind w:right="-5" w:firstLine="720"/>
        <w:jc w:val="both"/>
        <w:rPr>
          <w:i/>
          <w:iCs/>
          <w:color w:val="FF0000"/>
          <w:lang w:val="lt-LT"/>
        </w:rPr>
      </w:pPr>
      <w:r w:rsidRPr="00125234">
        <w:rPr>
          <w:iCs/>
          <w:lang w:val="lt-LT"/>
        </w:rPr>
        <w:t xml:space="preserve">3. Nors PMĮ nėra įtvirtinta </w:t>
      </w:r>
      <w:r w:rsidRPr="00125234">
        <w:rPr>
          <w:i/>
          <w:iCs/>
          <w:lang w:val="lt-LT"/>
        </w:rPr>
        <w:t>„darinio“</w:t>
      </w:r>
      <w:r w:rsidRPr="00125234">
        <w:rPr>
          <w:iCs/>
          <w:lang w:val="lt-LT"/>
        </w:rPr>
        <w:t xml:space="preserve"> sąvoka, tačiau sistemiškai vertinant įtvirtinamų nuostatų kontekstą ir tikslus, tai gali būti transakcija, sandoris, schema, operacija, įsipareigojimas ar kitokio </w:t>
      </w:r>
      <w:r w:rsidRPr="00125234">
        <w:rPr>
          <w:iCs/>
          <w:lang w:val="lt-LT"/>
        </w:rPr>
        <w:lastRenderedPageBreak/>
        <w:t xml:space="preserve">pobūdžio susitarimas, kurio pagrindu vienetai arba vienetų grupės sukuria struktūrą agresyviam mokesčių planavimui įgyvendinti. </w:t>
      </w:r>
    </w:p>
    <w:p w14:paraId="647800B1" w14:textId="77777777" w:rsidR="00093845" w:rsidRPr="00125234" w:rsidRDefault="000D779E">
      <w:pPr>
        <w:tabs>
          <w:tab w:val="left" w:pos="720"/>
          <w:tab w:val="left" w:pos="1077"/>
          <w:tab w:val="left" w:pos="1418"/>
        </w:tabs>
        <w:autoSpaceDE w:val="0"/>
        <w:autoSpaceDN w:val="0"/>
        <w:ind w:right="-5" w:firstLine="720"/>
        <w:jc w:val="both"/>
        <w:rPr>
          <w:rFonts w:eastAsia="Calibri"/>
          <w:bCs/>
          <w:i/>
          <w:iCs/>
          <w:lang w:val="lt-LT"/>
        </w:rPr>
      </w:pPr>
      <w:r w:rsidRPr="00125234">
        <w:rPr>
          <w:iCs/>
          <w:lang w:val="lt-LT"/>
        </w:rPr>
        <w:t xml:space="preserve">Darinys ar keli dariniai laikomi apsimestiniais </w:t>
      </w:r>
      <w:r w:rsidRPr="00125234">
        <w:rPr>
          <w:i/>
          <w:iCs/>
          <w:lang w:val="lt-LT"/>
        </w:rPr>
        <w:t>tokia apimtimi, kiek</w:t>
      </w:r>
      <w:r w:rsidRPr="00125234">
        <w:rPr>
          <w:iCs/>
          <w:lang w:val="lt-LT"/>
        </w:rPr>
        <w:t xml:space="preserve"> jie nebuvo nustatyti dėl svarių komercinių priežasčių, atspindinčių ekonominę realybę. Kaip nurodoma 2011/96/ES Direktyvoje, </w:t>
      </w:r>
      <w:r w:rsidRPr="00125234">
        <w:rPr>
          <w:rFonts w:eastAsia="Calibri"/>
          <w:bCs/>
          <w:iCs/>
          <w:lang w:val="lt-LT"/>
        </w:rPr>
        <w:t>požiūris, kurio laikantis vartojama formuluotė „tokia apimtimi, kiek“, gali būti veiksmingas tais atvejais, kai patys atitinkami subjektai yra neapsimestiniai, tačiau, pavyzdžiui, akcijos, kuriomis remiantis paskirstomas pelnas, yra apsimestinai priskirtos valstybėje narėje įsisteigusiam mokesčių mokėtojui, t. y., jeigu pagal tam tikrą darinį, remiantis jo teisine forma, perduodamos akcijų nuosavybės teisės, tačiau jo savybės neatspindi ekonominės realybės, t. y. nebuvo jokių komercinių priežasčių, atspindinčių ekonominę realybę, tokiam akcijų nuosavybės teisės perleidimui.</w:t>
      </w:r>
    </w:p>
    <w:p w14:paraId="6ABF61DC"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bCs/>
          <w:lang w:val="lt-LT"/>
        </w:rPr>
        <w:t>Darinys gali apimti daugiau negu vieną etapą ar dalį. Tačiau, j</w:t>
      </w:r>
      <w:r w:rsidRPr="00125234">
        <w:rPr>
          <w:iCs/>
          <w:lang w:val="lt-LT"/>
        </w:rPr>
        <w:t xml:space="preserve">ei atskiri, pavieniai darinio etapai arba tik atskiros jų dalys yra apsimestiniai, tai „dalyvavimo išimties“ taisyklė netaikoma tik tiems konkretiems apsimestiniams etapams ar dalims, nedarant poveikio likusiems tam tikro darinio etapams ar dalims, tokiu būdu užtikrinant, kad prieš mokesčių piktnaudžiavimą nukreipta priemonė būtų taikoma proporcingai. </w:t>
      </w:r>
    </w:p>
    <w:p w14:paraId="4B1A33C6" w14:textId="77777777" w:rsidR="00093845" w:rsidRPr="00125234" w:rsidRDefault="000D779E">
      <w:pPr>
        <w:tabs>
          <w:tab w:val="left" w:pos="720"/>
          <w:tab w:val="left" w:pos="1077"/>
          <w:tab w:val="left" w:pos="1418"/>
        </w:tabs>
        <w:autoSpaceDE w:val="0"/>
        <w:autoSpaceDN w:val="0"/>
        <w:ind w:right="-5" w:firstLine="720"/>
        <w:jc w:val="both"/>
        <w:rPr>
          <w:lang w:val="lt-LT"/>
        </w:rPr>
      </w:pPr>
      <w:r w:rsidRPr="00125234">
        <w:rPr>
          <w:iCs/>
          <w:lang w:val="lt-LT"/>
        </w:rPr>
        <w:t>4.</w:t>
      </w:r>
      <w:r w:rsidRPr="00125234">
        <w:rPr>
          <w:lang w:val="lt-LT"/>
        </w:rPr>
        <w:t xml:space="preserve"> Pagal </w:t>
      </w:r>
      <w:r w:rsidRPr="00125234">
        <w:rPr>
          <w:iCs/>
          <w:lang w:val="lt-LT"/>
        </w:rPr>
        <w:t>Lietuvos Respublikos mokesčių administravimo įstatymo 69 str. 1 dalyje apibrėžtą mokestinės naudos sąvoką, mokestinė nauda susidaro, kai siekiama</w:t>
      </w:r>
      <w:r w:rsidRPr="00125234">
        <w:rPr>
          <w:bCs/>
          <w:lang w:val="lt-LT"/>
        </w:rPr>
        <w:t xml:space="preserve"> tiesiogiai ar netiesiogiai nukelti mokesčio mokėjimo terminus, sumažinti mokėtiną mokesčio sumą arba visiškai išvengti mokesčio mokėjimo, arba padidinti grąžintiną (įskaitytiną) mokesčio permoką (skirtumą), arba sutrumpinti mokesčio permokos (skirtumo) grąžinimo terminus.  </w:t>
      </w:r>
    </w:p>
    <w:p w14:paraId="474120A0"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5. Užsienio vienetams išmokami ir iš jų gaunami dividendai gali būti apmokestinti ne tik tais atvejais, kai nustatoma, kad darinio ar kelių darinių tikslas yra vienintelis – gauti mokestinę naudą, bet ir tais atvejais, kai vienas iš pagrindinių tikslų buvo gauti mokestinės naudos. Mokesčių administratoriui įvertinus konkrečių situacijų visus faktus ir aplinkybes ir nustačius, jog darinys ar keli dariniai verslo struktūroje naudojami ne dėl svarių komercinių priežasčių, atspindinčių ekonominę realybę, o siekiant gauti mokestinės naudos, kuri yra pagrindinis tikslas arba vienas iš pagrindinių tikslų, jie bus laikomi apsimestiniais ir dividendų neapmokestinimo lengvata taikoma nebus.</w:t>
      </w:r>
    </w:p>
    <w:p w14:paraId="288D70F8"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Mokesčių administratorius, vertindamas ar vieneto (vienetų grupės) darinys nėra apsimestinis, atsižvelgia ir kompleksiškai įvertina tokias aplinkybes:</w:t>
      </w:r>
    </w:p>
    <w:p w14:paraId="5533A193" w14:textId="77777777" w:rsidR="00093845" w:rsidRPr="00125234" w:rsidRDefault="000D779E">
      <w:pPr>
        <w:tabs>
          <w:tab w:val="left" w:pos="720"/>
          <w:tab w:val="left" w:pos="1077"/>
          <w:tab w:val="left" w:pos="1418"/>
        </w:tabs>
        <w:autoSpaceDE w:val="0"/>
        <w:autoSpaceDN w:val="0"/>
        <w:ind w:left="1134" w:right="-5" w:hanging="425"/>
        <w:jc w:val="both"/>
        <w:rPr>
          <w:iCs/>
          <w:lang w:val="lt-LT"/>
        </w:rPr>
      </w:pPr>
      <w:r w:rsidRPr="00125234">
        <w:rPr>
          <w:iCs/>
          <w:lang w:val="lt-LT"/>
        </w:rPr>
        <w:t>-</w:t>
      </w:r>
      <w:r w:rsidRPr="00125234">
        <w:rPr>
          <w:iCs/>
          <w:lang w:val="lt-LT"/>
        </w:rPr>
        <w:tab/>
        <w:t>vieneto vadovai ar valdymo organai neturi tinkamos kvalifikacijos eiti tokias pareigas;</w:t>
      </w:r>
    </w:p>
    <w:p w14:paraId="38CA692F"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hanging="425"/>
        <w:jc w:val="both"/>
        <w:rPr>
          <w:iCs/>
        </w:rPr>
      </w:pPr>
      <w:r w:rsidRPr="00125234">
        <w:rPr>
          <w:iCs/>
        </w:rPr>
        <w:t xml:space="preserve">vienete nėra darbuotojų arba jų yra per mažai deklaruojamai veiklai vykdyti; </w:t>
      </w:r>
    </w:p>
    <w:p w14:paraId="4831EF50" w14:textId="77777777" w:rsidR="00093845" w:rsidRPr="00125234" w:rsidRDefault="000D779E" w:rsidP="00EC4E29">
      <w:pPr>
        <w:pStyle w:val="Sraopastraipa"/>
        <w:numPr>
          <w:ilvl w:val="0"/>
          <w:numId w:val="37"/>
        </w:numPr>
        <w:tabs>
          <w:tab w:val="left" w:pos="1080"/>
        </w:tabs>
        <w:ind w:hanging="425"/>
        <w:jc w:val="both"/>
        <w:rPr>
          <w:iCs/>
        </w:rPr>
      </w:pPr>
      <w:r w:rsidRPr="00125234">
        <w:rPr>
          <w:iCs/>
        </w:rPr>
        <w:t xml:space="preserve">vieneto darbuotojai neturi tinkamų įgaliojimų sutartoms funkcijoms atlikti; </w:t>
      </w:r>
    </w:p>
    <w:p w14:paraId="3EB6B597" w14:textId="77777777" w:rsidR="00093845" w:rsidRPr="00125234" w:rsidRDefault="000D779E" w:rsidP="00EC4E29">
      <w:pPr>
        <w:pStyle w:val="Sraopastraipa"/>
        <w:numPr>
          <w:ilvl w:val="0"/>
          <w:numId w:val="37"/>
        </w:numPr>
        <w:rPr>
          <w:iCs/>
        </w:rPr>
      </w:pPr>
      <w:r w:rsidRPr="00125234">
        <w:rPr>
          <w:iCs/>
        </w:rPr>
        <w:t>vieneto darbuotojų patirtis, kompetencijos, darbo funkcijų vykdymui skiriamas laikas neatitinka vieneto veiklos pobūdžio ir / ar minimalių reikalavimų;</w:t>
      </w:r>
    </w:p>
    <w:p w14:paraId="0261406B"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svarbiausi vieneto sprendimai nėra priimami to vieneto vadovų ar valdymo organų;</w:t>
      </w:r>
    </w:p>
    <w:p w14:paraId="67F10530"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vieneto valdybos narių susirinkimai vyksta ne įsisteigimo (įregistravimo) valstybėje;</w:t>
      </w:r>
    </w:p>
    <w:p w14:paraId="2460E4BF"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vienetas nevykdo realios aktyvios veiklos (pvz., nėra produkcijos);</w:t>
      </w:r>
    </w:p>
    <w:p w14:paraId="343449DB"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vieneto pajamos yra tik pasyvios veiklos pajamos;</w:t>
      </w:r>
    </w:p>
    <w:p w14:paraId="55022190"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įsisteigimo valstybėje nėra faktinio vieneto būvimo (nėra patalpų, įrangos ir pan.), jei jos reikalingos veiklos vykdymui;</w:t>
      </w:r>
    </w:p>
    <w:p w14:paraId="4DCE6455"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vienetas neturi banko sąskaitos jurisdikcijoje, kurioje yra įregistruotas;</w:t>
      </w:r>
    </w:p>
    <w:p w14:paraId="01EBF49D"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vieneto veikimo laikas trumpas arba jis įsteigiamas prieš pat dividendų mokėjimą;</w:t>
      </w:r>
    </w:p>
    <w:p w14:paraId="5413D572" w14:textId="77777777" w:rsidR="00093845" w:rsidRPr="00125234" w:rsidRDefault="000D779E" w:rsidP="00EC4E29">
      <w:pPr>
        <w:pStyle w:val="Sraopastraipa"/>
        <w:numPr>
          <w:ilvl w:val="0"/>
          <w:numId w:val="37"/>
        </w:numPr>
        <w:tabs>
          <w:tab w:val="left" w:pos="720"/>
          <w:tab w:val="left" w:pos="1080"/>
          <w:tab w:val="left" w:pos="1418"/>
        </w:tabs>
        <w:autoSpaceDE w:val="0"/>
        <w:autoSpaceDN w:val="0"/>
        <w:ind w:right="-5"/>
        <w:jc w:val="both"/>
        <w:rPr>
          <w:iCs/>
        </w:rPr>
      </w:pPr>
      <w:r w:rsidRPr="00125234">
        <w:rPr>
          <w:iCs/>
        </w:rPr>
        <w:t>kt.</w:t>
      </w:r>
      <w:r w:rsidRPr="00125234">
        <w:t xml:space="preserve"> </w:t>
      </w:r>
    </w:p>
    <w:p w14:paraId="17F048EA"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lastRenderedPageBreak/>
        <w:t>Vien tai, kad vienetas turi aukščiau nurodytų požymių, dar nereiškia, kad jis yra apsimestinis, kadangi vertinant ar darinys apsimestinis, atsižvelgiama į visus susijusius faktus ir aplinkybes, t. y. vertinami ne tik išmokėti dividendai, bet ir verslo struktūros pasirinkimas, akcijų priskyrimo priežastys, reorganizavimo tikslingumas ir kitos individualios aplinkybės.</w:t>
      </w:r>
    </w:p>
    <w:p w14:paraId="782A02F5"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Mokesčių administratorius, vertindamas, ar tam tikram dariniui arba keliems dariniams taikyti prieš mokesčių piktnaudžiavimą nukreiptą priemonę, kiekvienu konkrečiu atveju atlieka visų susijusių faktų ir aplinkybių analizę, kurios pagrindu identifikuoja objektyvius pagrindus dividendų apmokestinimui.</w:t>
      </w:r>
    </w:p>
    <w:p w14:paraId="7EC07BEB" w14:textId="77777777" w:rsidR="00093845" w:rsidRPr="00125234" w:rsidRDefault="000D779E">
      <w:pPr>
        <w:tabs>
          <w:tab w:val="left" w:pos="720"/>
          <w:tab w:val="left" w:pos="1077"/>
          <w:tab w:val="left" w:pos="1418"/>
        </w:tabs>
        <w:autoSpaceDE w:val="0"/>
        <w:autoSpaceDN w:val="0"/>
        <w:ind w:right="-5" w:firstLine="720"/>
        <w:jc w:val="both"/>
        <w:rPr>
          <w:iCs/>
          <w:strike/>
          <w:lang w:val="lt-LT"/>
        </w:rPr>
      </w:pPr>
      <w:r w:rsidRPr="00125234">
        <w:rPr>
          <w:iCs/>
          <w:lang w:val="lt-LT"/>
        </w:rPr>
        <w:t xml:space="preserve">6. Šios dalies nuostatos, įtvirtinančios „dalyvavimo išimties“ taisyklės netaikymo atvejus, galioja ir taikomos nuo 2016 m. kovo 26 d. </w:t>
      </w:r>
    </w:p>
    <w:p w14:paraId="395EDD95" w14:textId="77777777" w:rsidR="00093845" w:rsidRPr="00125234" w:rsidRDefault="00245E6F">
      <w:pPr>
        <w:pStyle w:val="Pagrindiniotekstotrauka"/>
        <w:tabs>
          <w:tab w:val="left" w:pos="720"/>
          <w:tab w:val="left" w:pos="1077"/>
          <w:tab w:val="left" w:pos="1418"/>
        </w:tabs>
      </w:pPr>
      <w:r w:rsidRPr="00125234">
        <w:t xml:space="preserve"> (Pakeista</w:t>
      </w:r>
      <w:r w:rsidR="000D779E" w:rsidRPr="00125234">
        <w:t xml:space="preserve"> VMI prie FM 2017-11-14 raštu Nr. (32.42-31-1E)-RM-34608)</w:t>
      </w:r>
    </w:p>
    <w:p w14:paraId="076776AC" w14:textId="77777777" w:rsidR="00EB4807" w:rsidRPr="00125234" w:rsidRDefault="00EB4807" w:rsidP="00EB4807">
      <w:pPr>
        <w:pStyle w:val="Pagrindiniotekstotrauka"/>
        <w:tabs>
          <w:tab w:val="left" w:pos="720"/>
          <w:tab w:val="left" w:pos="1077"/>
          <w:tab w:val="left" w:pos="1418"/>
        </w:tabs>
        <w:ind w:firstLine="0"/>
      </w:pPr>
    </w:p>
    <w:p w14:paraId="27405A49" w14:textId="77777777" w:rsidR="00093845" w:rsidRPr="00125234" w:rsidRDefault="000D779E">
      <w:pPr>
        <w:pStyle w:val="normal-p"/>
        <w:ind w:firstLine="720"/>
        <w:jc w:val="both"/>
        <w:rPr>
          <w:b/>
        </w:rPr>
      </w:pPr>
      <w:bookmarkStart w:id="483" w:name="straipsnis33"/>
      <w:bookmarkEnd w:id="483"/>
      <w:r w:rsidRPr="00125234">
        <w:rPr>
          <w:b/>
        </w:rPr>
        <w:t>33 STRAIPSNIS</w:t>
      </w:r>
      <w:r w:rsidRPr="00125234">
        <w:t xml:space="preserve">. </w:t>
      </w:r>
      <w:r w:rsidRPr="00125234">
        <w:rPr>
          <w:b/>
        </w:rPr>
        <w:t xml:space="preserve"> Dividendų, išmokamų Lietuvos vienetams, apmokestinimo tvarka</w:t>
      </w:r>
    </w:p>
    <w:p w14:paraId="6AD46607" w14:textId="77777777" w:rsidR="004A5087" w:rsidRPr="00125234" w:rsidRDefault="004A5087" w:rsidP="004A5087">
      <w:pPr>
        <w:pStyle w:val="tajtip"/>
        <w:rPr>
          <w:b/>
          <w:iCs/>
        </w:rPr>
      </w:pPr>
      <w:bookmarkStart w:id="484" w:name="_Hlk212528331"/>
      <w:r w:rsidRPr="00125234">
        <w:rPr>
          <w:b/>
          <w:iCs/>
        </w:rPr>
        <w:t xml:space="preserve">Iki 2026 metų mokestinio laikotarpio galiojanti </w:t>
      </w:r>
      <w:r w:rsidR="00993713" w:rsidRPr="00125234">
        <w:rPr>
          <w:b/>
        </w:rPr>
        <w:t>PMĮ 33 straipsnio 1 dalies</w:t>
      </w:r>
      <w:r w:rsidR="00993713" w:rsidRPr="00125234">
        <w:rPr>
          <w:b/>
          <w:iCs/>
        </w:rPr>
        <w:t xml:space="preserve"> </w:t>
      </w:r>
      <w:r w:rsidRPr="00125234">
        <w:rPr>
          <w:b/>
          <w:iCs/>
        </w:rPr>
        <w:t>redacija:</w:t>
      </w:r>
    </w:p>
    <w:bookmarkEnd w:id="484"/>
    <w:p w14:paraId="715B0DA1" w14:textId="77777777" w:rsidR="00CE301A" w:rsidRPr="00125234" w:rsidRDefault="00CE301A" w:rsidP="00CE301A">
      <w:pPr>
        <w:pStyle w:val="normal-p"/>
        <w:tabs>
          <w:tab w:val="left" w:pos="284"/>
        </w:tabs>
        <w:spacing w:before="0" w:beforeAutospacing="0" w:after="0" w:afterAutospacing="0"/>
        <w:ind w:firstLine="284"/>
        <w:jc w:val="both"/>
        <w:rPr>
          <w:b/>
        </w:rPr>
      </w:pPr>
      <w:r w:rsidRPr="00125234">
        <w:rPr>
          <w:rStyle w:val="normal-h"/>
          <w:b/>
        </w:rPr>
        <w:t xml:space="preserve">      1. </w:t>
      </w:r>
      <w:r w:rsidRPr="00125234">
        <w:rPr>
          <w:b/>
        </w:rPr>
        <w:t xml:space="preserve">Lietuvos vieneto gaunami dividendai už turimas Lietuvos vienetų akcijas, kapitalo dalį ar kitų teisių turėjimą apmokestinami taikant 16 procentų pelno mokesčio tarifą. Mokestį apskaičiuoja, išskaito ir sumoka į biudžetą dividendus išmokantis Lietuvos vienetas ne vėliau kaip iki mėnesio, einančio po mėnesio, kurį dividendai buvo išmokėti, penkioliktos dienos. </w:t>
      </w:r>
    </w:p>
    <w:p w14:paraId="4D26D9B1" w14:textId="77777777" w:rsidR="00CE301A" w:rsidRPr="00125234" w:rsidRDefault="00CE301A" w:rsidP="00CE301A">
      <w:pPr>
        <w:pStyle w:val="normal-p"/>
        <w:spacing w:before="0" w:beforeAutospacing="0" w:after="0" w:afterAutospacing="0"/>
        <w:ind w:left="360"/>
        <w:jc w:val="both"/>
        <w:rPr>
          <w:b/>
        </w:rPr>
      </w:pPr>
    </w:p>
    <w:p w14:paraId="667A2D0C" w14:textId="77777777" w:rsidR="00CE301A" w:rsidRPr="00125234" w:rsidRDefault="00CE301A" w:rsidP="00CE301A">
      <w:pPr>
        <w:pStyle w:val="normal-p"/>
        <w:spacing w:before="0" w:beforeAutospacing="0" w:after="0" w:afterAutospacing="0"/>
        <w:jc w:val="both"/>
        <w:rPr>
          <w:bCs/>
          <w:i/>
        </w:rPr>
      </w:pPr>
      <w:r w:rsidRPr="00125234">
        <w:rPr>
          <w:i/>
        </w:rPr>
        <w:t>(KEISTA: 2024 06 20 įstatymu Nr. XIV-2774 (nuo 2025 01 01)</w:t>
      </w:r>
      <w:r w:rsidRPr="00125234">
        <w:rPr>
          <w:bCs/>
          <w:i/>
        </w:rPr>
        <w:t>)</w:t>
      </w:r>
    </w:p>
    <w:p w14:paraId="781F05B7" w14:textId="77777777" w:rsidR="00CE301A" w:rsidRPr="00125234" w:rsidRDefault="00CE301A" w:rsidP="00CE301A">
      <w:pPr>
        <w:pStyle w:val="normal-p"/>
        <w:spacing w:before="0" w:beforeAutospacing="0" w:after="0" w:afterAutospacing="0"/>
        <w:jc w:val="both"/>
        <w:rPr>
          <w:bCs/>
          <w:i/>
        </w:rPr>
      </w:pPr>
    </w:p>
    <w:p w14:paraId="592B2DF2" w14:textId="77777777" w:rsidR="00CE301A" w:rsidRPr="00125234" w:rsidRDefault="00CE301A" w:rsidP="00CE301A">
      <w:pPr>
        <w:ind w:firstLine="720"/>
        <w:jc w:val="both"/>
        <w:rPr>
          <w:b/>
        </w:rPr>
      </w:pPr>
      <w:r w:rsidRPr="00125234">
        <w:rPr>
          <w:b/>
        </w:rPr>
        <w:t>Komentaras</w:t>
      </w:r>
    </w:p>
    <w:p w14:paraId="688E8F7A" w14:textId="77777777" w:rsidR="00CE301A" w:rsidRPr="00125234" w:rsidRDefault="00CE301A" w:rsidP="00CE301A">
      <w:pPr>
        <w:tabs>
          <w:tab w:val="left" w:pos="709"/>
          <w:tab w:val="left" w:pos="1077"/>
          <w:tab w:val="left" w:pos="1418"/>
        </w:tabs>
        <w:ind w:firstLine="720"/>
        <w:jc w:val="both"/>
      </w:pPr>
      <w:r w:rsidRPr="00125234">
        <w:t>1.</w:t>
      </w:r>
      <w:r w:rsidRPr="00125234">
        <w:tab/>
        <w:t>Šioje dalyje nustatyta Lietuvos vienetų už turimas kito Lietuvos vieneto akcijas, kapitalo dalį ar kitokias teises gaunamų dividendų apmokestinimo tvarka. A</w:t>
      </w:r>
      <w:r w:rsidRPr="00125234">
        <w:rPr>
          <w:color w:val="000000"/>
        </w:rPr>
        <w:t xml:space="preserve">tsižvelgiant į PMĮ 34 str. 3 dalį (žr. PMĮ 34 str. 3 dalies komentarą), komentuojamos dalies nuostatos taip pat taikomos </w:t>
      </w:r>
      <w:r w:rsidRPr="00125234">
        <w:t>apmokestinant</w:t>
      </w:r>
      <w:r w:rsidRPr="00125234">
        <w:rPr>
          <w:color w:val="000000"/>
        </w:rPr>
        <w:t xml:space="preserve"> nuolatinių buveinių gaunamus dividendus už joms užsienio vienetų priskirtas Lietuvos vieneto akcijas, kapitalo dalis ar kitas teises.</w:t>
      </w:r>
    </w:p>
    <w:p w14:paraId="4023311C" w14:textId="77777777" w:rsidR="00CE301A" w:rsidRPr="00125234" w:rsidRDefault="00CE301A" w:rsidP="00CE301A">
      <w:pPr>
        <w:tabs>
          <w:tab w:val="left" w:pos="709"/>
          <w:tab w:val="left" w:pos="1077"/>
          <w:tab w:val="left" w:pos="1418"/>
        </w:tabs>
        <w:ind w:firstLine="720"/>
        <w:jc w:val="both"/>
        <w:rPr>
          <w:strike/>
        </w:rPr>
      </w:pPr>
      <w:r w:rsidRPr="00125234">
        <w:t xml:space="preserve">2. Nuo 2025 m. sausio 1 d. Lietuvos vienetų (ar nuolatinių buveinių) už turimas kitų Lietuvos vienetų akcijas, kapitalo dalį ar kitokias teises gaunami dividendai apmokestinami 16 proc. dydžio pelno mokesčiu (iki 2024 m. gruodžio 31 d. 15 proc. dydžio pelno mokesčiu). </w:t>
      </w:r>
    </w:p>
    <w:p w14:paraId="211FC754" w14:textId="77777777" w:rsidR="00CE301A" w:rsidRPr="00125234" w:rsidRDefault="00CE301A" w:rsidP="00CE301A">
      <w:pPr>
        <w:tabs>
          <w:tab w:val="left" w:pos="709"/>
          <w:tab w:val="left" w:pos="1077"/>
          <w:tab w:val="left" w:pos="1418"/>
        </w:tabs>
        <w:ind w:firstLine="720"/>
        <w:jc w:val="both"/>
      </w:pPr>
      <w:r w:rsidRPr="00125234">
        <w:t>3.</w:t>
      </w:r>
      <w:r w:rsidRPr="00125234">
        <w:tab/>
        <w:t>Prievolė išskaičiuoti ir sumokėti į biudžetą mokestį nuo Lietuvos vienetams (ar nuolatinėms buveinėms) išmokamų dividendų nustatyta dividendus išmokančiam Lietuvos vienetui. Mokestis į biudžetą privalo būti sumokėtas ne vėliau kaip iki penkioliktos dienos kito mėnesio, einančio po mėnesio, kurį dividendai buvo išmokėti. Pavyzdžiui, jei akcinė bendrovė savo akcininkams (Lietuvos vienetams) išmokėjo dividendus 2025 m. balandžio 9</w:t>
      </w:r>
      <w:r w:rsidRPr="00125234">
        <w:rPr>
          <w:b/>
        </w:rPr>
        <w:t xml:space="preserve"> </w:t>
      </w:r>
      <w:r w:rsidRPr="00125234">
        <w:t xml:space="preserve">dieną, tai nuo išmokėtų dividendų išskaičiuotą pelno mokestį ji turi sumokėti į biudžetą iki 2025 m. gegužės 15 dienos. </w:t>
      </w:r>
    </w:p>
    <w:p w14:paraId="5B2EB848" w14:textId="77777777" w:rsidR="00093845" w:rsidRPr="00125234" w:rsidRDefault="001062C9" w:rsidP="001062C9">
      <w:pPr>
        <w:pStyle w:val="normal-p"/>
        <w:spacing w:before="0" w:beforeAutospacing="0" w:after="160" w:afterAutospacing="0"/>
        <w:jc w:val="both"/>
      </w:pPr>
      <w:r w:rsidRPr="00125234">
        <w:t xml:space="preserve">           </w:t>
      </w:r>
      <w:r w:rsidR="00CE301A" w:rsidRPr="00125234">
        <w:t>4. Jeigu Lietuvos vieneto dalyviams dividendai buvo paskirstyti, bet neišmokėti iki 2024</w:t>
      </w:r>
      <w:r w:rsidR="00CE301A" w:rsidRPr="00125234">
        <w:rPr>
          <w:b/>
        </w:rPr>
        <w:t xml:space="preserve"> </w:t>
      </w:r>
      <w:r w:rsidR="00CE301A" w:rsidRPr="00125234">
        <w:t>m. gruodžio 31 d., tai juos išmokant nuo 2025 m. sausio 1 d. taikomas 16</w:t>
      </w:r>
      <w:r w:rsidR="00CE301A" w:rsidRPr="00125234">
        <w:rPr>
          <w:b/>
        </w:rPr>
        <w:t xml:space="preserve"> </w:t>
      </w:r>
      <w:r w:rsidR="00CE301A" w:rsidRPr="00125234">
        <w:t>proc. pelno mokesčio tarifas.</w:t>
      </w:r>
    </w:p>
    <w:p w14:paraId="2A608909" w14:textId="77777777" w:rsidR="001062C9" w:rsidRPr="00125234" w:rsidRDefault="001062C9" w:rsidP="001062C9">
      <w:pPr>
        <w:jc w:val="both"/>
        <w:rPr>
          <w:iCs/>
          <w:lang w:eastAsia="lt-LT"/>
        </w:rPr>
      </w:pPr>
      <w:r w:rsidRPr="00125234">
        <w:rPr>
          <w:iCs/>
          <w:lang w:eastAsia="lt-LT"/>
        </w:rPr>
        <w:t xml:space="preserve">(PMĮ </w:t>
      </w:r>
      <w:r w:rsidRPr="00125234">
        <w:t>33</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5475E0CE" w14:textId="77777777" w:rsidR="00993713" w:rsidRPr="00125234" w:rsidRDefault="00993713" w:rsidP="001062C9">
      <w:pPr>
        <w:jc w:val="both"/>
        <w:rPr>
          <w:b/>
          <w:iCs/>
        </w:rPr>
      </w:pPr>
      <w:bookmarkStart w:id="485" w:name="_Hlk212528350"/>
      <w:r w:rsidRPr="00125234">
        <w:rPr>
          <w:b/>
          <w:iCs/>
        </w:rPr>
        <w:t xml:space="preserve">Nuo 2026 metų mokestinio laikotarpio galiojanti </w:t>
      </w:r>
      <w:r w:rsidRPr="00125234">
        <w:rPr>
          <w:b/>
        </w:rPr>
        <w:t>PMĮ 33 straipsnio 1 dalies</w:t>
      </w:r>
      <w:r w:rsidRPr="00125234">
        <w:rPr>
          <w:b/>
          <w:iCs/>
        </w:rPr>
        <w:t xml:space="preserve"> redacija:</w:t>
      </w:r>
    </w:p>
    <w:bookmarkEnd w:id="485"/>
    <w:p w14:paraId="493E2410" w14:textId="77777777" w:rsidR="00993713" w:rsidRPr="00125234" w:rsidRDefault="00993713" w:rsidP="00993713">
      <w:pPr>
        <w:pStyle w:val="normal-p"/>
        <w:tabs>
          <w:tab w:val="left" w:pos="709"/>
        </w:tabs>
        <w:spacing w:before="0" w:beforeAutospacing="0" w:after="0" w:afterAutospacing="0"/>
        <w:jc w:val="both"/>
        <w:rPr>
          <w:b/>
        </w:rPr>
      </w:pPr>
      <w:r w:rsidRPr="00125234">
        <w:rPr>
          <w:b/>
        </w:rPr>
        <w:lastRenderedPageBreak/>
        <w:tab/>
        <w:t xml:space="preserve">1.Lietuvos vieneto gaunami dividendai už turimas Lietuvos vienetų akcijas, kapitalo dalį ar kitų teisių turėjimą apmokestinami taikant 17 procentų pelno mokesčio tarifą. Mokestį apskaičiuoja, išskaito ir sumoka į biudžetą dividendus išmokantis Lietuvos vienetas ne vėliau kaip iki mėnesio, einančio po mėnesio, kurį dividendai buvo išmokėti, penkioliktos dienos. </w:t>
      </w:r>
    </w:p>
    <w:p w14:paraId="6FFA62DC" w14:textId="77777777" w:rsidR="00993713" w:rsidRPr="00125234" w:rsidRDefault="00993713" w:rsidP="00993713">
      <w:pPr>
        <w:pStyle w:val="normal-p"/>
        <w:spacing w:before="0" w:beforeAutospacing="0" w:after="0" w:afterAutospacing="0"/>
        <w:ind w:left="360"/>
        <w:jc w:val="both"/>
        <w:rPr>
          <w:b/>
        </w:rPr>
      </w:pPr>
    </w:p>
    <w:p w14:paraId="73AF8515" w14:textId="77777777" w:rsidR="00993713" w:rsidRPr="00125234" w:rsidRDefault="00993713" w:rsidP="00993713">
      <w:pPr>
        <w:pStyle w:val="normal-p"/>
        <w:spacing w:before="0" w:beforeAutospacing="0" w:after="0" w:afterAutospacing="0"/>
        <w:jc w:val="both"/>
        <w:rPr>
          <w:bCs/>
          <w:i/>
        </w:rPr>
      </w:pPr>
      <w:r w:rsidRPr="00125234">
        <w:rPr>
          <w:i/>
        </w:rPr>
        <w:t xml:space="preserve">(KEISTA: </w:t>
      </w:r>
      <w:bookmarkStart w:id="486" w:name="_Hlk203985475"/>
      <w:r w:rsidRPr="00125234">
        <w:rPr>
          <w:i/>
        </w:rPr>
        <w:t>2025 06 17 įstatymu Nr. XV-285 (nuo 2026-01-01</w:t>
      </w:r>
      <w:bookmarkEnd w:id="486"/>
      <w:r w:rsidRPr="00125234">
        <w:rPr>
          <w:i/>
        </w:rPr>
        <w:t>)</w:t>
      </w:r>
      <w:r w:rsidRPr="00125234">
        <w:rPr>
          <w:bCs/>
          <w:i/>
        </w:rPr>
        <w:t>)</w:t>
      </w:r>
    </w:p>
    <w:p w14:paraId="2F917DE0" w14:textId="77777777" w:rsidR="00993713" w:rsidRPr="00125234" w:rsidRDefault="00993713" w:rsidP="00993713">
      <w:pPr>
        <w:pStyle w:val="normal-p"/>
        <w:spacing w:before="0" w:beforeAutospacing="0" w:after="0" w:afterAutospacing="0"/>
        <w:jc w:val="both"/>
        <w:rPr>
          <w:bCs/>
          <w:i/>
        </w:rPr>
      </w:pPr>
    </w:p>
    <w:p w14:paraId="7B96CEF7" w14:textId="77777777" w:rsidR="00993713" w:rsidRPr="00125234" w:rsidRDefault="00993713" w:rsidP="00993713">
      <w:pPr>
        <w:ind w:firstLine="720"/>
        <w:jc w:val="both"/>
        <w:rPr>
          <w:b/>
        </w:rPr>
      </w:pPr>
      <w:r w:rsidRPr="00125234">
        <w:rPr>
          <w:b/>
        </w:rPr>
        <w:t>Komentaras</w:t>
      </w:r>
    </w:p>
    <w:p w14:paraId="638EDCB4" w14:textId="77777777" w:rsidR="00993713" w:rsidRPr="00125234" w:rsidRDefault="00993713" w:rsidP="00993713">
      <w:pPr>
        <w:tabs>
          <w:tab w:val="left" w:pos="709"/>
          <w:tab w:val="left" w:pos="1077"/>
          <w:tab w:val="left" w:pos="1418"/>
        </w:tabs>
        <w:ind w:firstLine="720"/>
        <w:jc w:val="both"/>
      </w:pPr>
      <w:r w:rsidRPr="00125234">
        <w:t>1.</w:t>
      </w:r>
      <w:r w:rsidRPr="00125234">
        <w:tab/>
        <w:t>Šioje dalyje nustatyta Lietuvos vienetų už turimas kito Lietuvos vieneto akcijas, kapitalo dalį ar kitokias teises gaunamų dividendų apmokestinimo tvarka. A</w:t>
      </w:r>
      <w:r w:rsidRPr="00125234">
        <w:rPr>
          <w:color w:val="000000"/>
        </w:rPr>
        <w:t xml:space="preserve">tsižvelgiant į PMĮ 34 str. 3 dalį (žr. PMĮ 34 str. 3 dalies komentarą), komentuojamos dalies nuostatos taip pat taikomos </w:t>
      </w:r>
      <w:r w:rsidRPr="00125234">
        <w:t>apmokestinant</w:t>
      </w:r>
      <w:r w:rsidRPr="00125234">
        <w:rPr>
          <w:color w:val="000000"/>
        </w:rPr>
        <w:t xml:space="preserve"> nuolatinių buveinių gaunamus dividendus už joms užsienio vienetų priskirtas Lietuvos vieneto akcijas, kapitalo dalis ar kitas teises.</w:t>
      </w:r>
    </w:p>
    <w:p w14:paraId="7AB5D2B5" w14:textId="77777777" w:rsidR="00993713" w:rsidRPr="00125234" w:rsidRDefault="00993713" w:rsidP="00993713">
      <w:pPr>
        <w:tabs>
          <w:tab w:val="left" w:pos="709"/>
          <w:tab w:val="left" w:pos="1077"/>
          <w:tab w:val="left" w:pos="1418"/>
        </w:tabs>
        <w:ind w:firstLine="720"/>
        <w:jc w:val="both"/>
        <w:rPr>
          <w:strike/>
        </w:rPr>
      </w:pPr>
      <w:r w:rsidRPr="00125234">
        <w:t>2. Nuo 2026 m. sausio 1 d. Lietuvos vienetų (ar nuolatinių buveinių) už turimas kitų Lietuvos vienetų akcijas, kapitalo dalį ar kitokias teises gaunami dividendai apmokestinami 17</w:t>
      </w:r>
      <w:r w:rsidRPr="00125234">
        <w:rPr>
          <w:b/>
        </w:rPr>
        <w:t xml:space="preserve"> </w:t>
      </w:r>
      <w:r w:rsidRPr="00125234">
        <w:t xml:space="preserve">proc. dydžio pelno mokesčiu (iki 2024 m. gruodžio 31 d. 15 proc. dydžio pelno mokesčiu, </w:t>
      </w:r>
      <w:bookmarkStart w:id="487" w:name="_Hlk203985554"/>
      <w:r w:rsidRPr="00125234">
        <w:t>2025 metais - 16 proc. dydžio pelno mokesčiu</w:t>
      </w:r>
      <w:bookmarkEnd w:id="487"/>
      <w:r w:rsidRPr="00125234">
        <w:t xml:space="preserve">). </w:t>
      </w:r>
    </w:p>
    <w:p w14:paraId="2C616A7B" w14:textId="77777777" w:rsidR="00993713" w:rsidRPr="00125234" w:rsidRDefault="00993713" w:rsidP="00993713">
      <w:pPr>
        <w:tabs>
          <w:tab w:val="left" w:pos="709"/>
          <w:tab w:val="left" w:pos="1077"/>
          <w:tab w:val="left" w:pos="1418"/>
        </w:tabs>
        <w:ind w:firstLine="720"/>
        <w:jc w:val="both"/>
      </w:pPr>
      <w:r w:rsidRPr="00125234">
        <w:t>3.</w:t>
      </w:r>
      <w:r w:rsidRPr="00125234">
        <w:tab/>
        <w:t>Prievolė išskaičiuoti ir sumokėti į biudžetą mokestį nuo Lietuvos vienetams (ar nuolatinėms buveinėms) išmokamų dividendų nustatyta dividendus išmokančiam Lietuvos vienetui. Mokestis į biudžetą privalo būti sumokėtas ne vėliau kaip iki penkioliktos dienos kito mėnesio, einančio po mėnesio, kurį dividendai buvo išmokėti. Pavyzdžiui, jei akcinė bendrovė savo akcininkams (Lietuvos vienetams) išmokėjo dividendus 2026 m. balandžio 9</w:t>
      </w:r>
      <w:r w:rsidRPr="00125234">
        <w:rPr>
          <w:b/>
        </w:rPr>
        <w:t xml:space="preserve"> </w:t>
      </w:r>
      <w:r w:rsidRPr="00125234">
        <w:t xml:space="preserve">dieną, tai nuo išmokėtų dividendų išskaičiuotą pelno mokestį ji turi sumokėti į biudžetą iki 2026 m. gegužės 15 dienos. </w:t>
      </w:r>
    </w:p>
    <w:p w14:paraId="303ECCEC" w14:textId="77777777" w:rsidR="00993713" w:rsidRPr="00125234" w:rsidRDefault="00993713" w:rsidP="00993713">
      <w:pPr>
        <w:tabs>
          <w:tab w:val="left" w:pos="709"/>
          <w:tab w:val="left" w:pos="1077"/>
          <w:tab w:val="left" w:pos="1418"/>
        </w:tabs>
        <w:ind w:firstLine="720"/>
        <w:jc w:val="both"/>
      </w:pPr>
      <w:r w:rsidRPr="00125234">
        <w:t xml:space="preserve">4. Jeigu Lietuvos vieneto dalyviams dividendai </w:t>
      </w:r>
      <w:bookmarkStart w:id="488" w:name="_Hlk203984722"/>
      <w:r w:rsidRPr="00125234">
        <w:t xml:space="preserve">buvo paskirstyti, bet neišmokėti </w:t>
      </w:r>
      <w:bookmarkEnd w:id="488"/>
      <w:r w:rsidRPr="00125234">
        <w:t>iki 2025 m. gruodžio 31 d., tai juos išmokant nuo 2026 m. sausio 1 d. taikomas 17</w:t>
      </w:r>
      <w:r w:rsidRPr="00125234">
        <w:rPr>
          <w:b/>
        </w:rPr>
        <w:t xml:space="preserve"> </w:t>
      </w:r>
      <w:r w:rsidRPr="00125234">
        <w:t>proc. pelno mokesčio tarifas.</w:t>
      </w:r>
    </w:p>
    <w:p w14:paraId="74484436" w14:textId="77777777" w:rsidR="00993713" w:rsidRPr="00125234" w:rsidRDefault="00993713" w:rsidP="00993713">
      <w:pPr>
        <w:tabs>
          <w:tab w:val="left" w:pos="720"/>
          <w:tab w:val="left" w:pos="1080"/>
        </w:tabs>
        <w:rPr>
          <w:b/>
          <w:bCs/>
        </w:rPr>
      </w:pPr>
      <w:r w:rsidRPr="00125234">
        <w:t>(Pakeista pagal VMI prie FM 2025-10-24 raštą Nr. (18.10-31-1 Mr) R-3976)</w:t>
      </w:r>
    </w:p>
    <w:p w14:paraId="136DBA97" w14:textId="77777777" w:rsidR="00093845" w:rsidRPr="00125234" w:rsidRDefault="000D779E" w:rsidP="00AF4003">
      <w:pPr>
        <w:tabs>
          <w:tab w:val="left" w:pos="709"/>
        </w:tabs>
        <w:spacing w:after="0"/>
        <w:jc w:val="both"/>
        <w:rPr>
          <w:b/>
          <w:lang w:val="lt-LT"/>
        </w:rPr>
      </w:pPr>
      <w:r w:rsidRPr="00125234">
        <w:rPr>
          <w:b/>
          <w:lang w:val="lt-LT"/>
        </w:rPr>
        <w:t xml:space="preserve">         2. Lietuvos vieneto gaunami dividendai iš Lietuvos vienetų, kuriuose dividendus gaunantis Lietuvos vienetas ne trumpiau kaip 12 mėnesių be pertraukų, įskaitant dividendų paskirstymo momentą, valdo ne mažiau kaip 10 procentų balsus suteikiančių akcijų (dalių, pajų), </w:t>
      </w:r>
      <w:r w:rsidRPr="00125234">
        <w:rPr>
          <w:b/>
          <w:color w:val="000000"/>
          <w:lang w:val="lt-LT"/>
        </w:rPr>
        <w:t>pelno</w:t>
      </w:r>
      <w:r w:rsidRPr="00125234">
        <w:rPr>
          <w:b/>
          <w:lang w:val="lt-LT"/>
        </w:rPr>
        <w:t xml:space="preserve"> mokesčiu neapmokestinami ir neįtraukiami į juos gaunančio vieneto pajamas.</w:t>
      </w:r>
    </w:p>
    <w:p w14:paraId="739BE6C7" w14:textId="77777777" w:rsidR="00093845" w:rsidRPr="00125234" w:rsidRDefault="000D779E" w:rsidP="00AF4003">
      <w:pPr>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2009 12 09 įstatymu Nr. XI-539 (nuo 2009 12 28)</w:t>
      </w:r>
      <w:r w:rsidRPr="00125234">
        <w:rPr>
          <w:i/>
          <w:color w:val="000000"/>
          <w:lang w:val="lt-LT"/>
        </w:rPr>
        <w:t>)</w:t>
      </w:r>
    </w:p>
    <w:p w14:paraId="3EF15BC6" w14:textId="77777777" w:rsidR="005E1525" w:rsidRPr="00125234" w:rsidRDefault="005E1525" w:rsidP="00AF4003">
      <w:pPr>
        <w:spacing w:after="0"/>
        <w:jc w:val="both"/>
        <w:rPr>
          <w:i/>
          <w:color w:val="000000"/>
          <w:lang w:val="lt-LT"/>
        </w:rPr>
      </w:pPr>
    </w:p>
    <w:p w14:paraId="4C5AA1F5" w14:textId="77777777" w:rsidR="00093845" w:rsidRPr="00125234" w:rsidRDefault="000D779E">
      <w:pPr>
        <w:tabs>
          <w:tab w:val="left" w:pos="709"/>
        </w:tabs>
        <w:ind w:firstLine="720"/>
        <w:jc w:val="both"/>
        <w:rPr>
          <w:b/>
          <w:bCs/>
          <w:lang w:val="lt-LT"/>
        </w:rPr>
      </w:pPr>
      <w:r w:rsidRPr="00125234">
        <w:rPr>
          <w:b/>
          <w:bCs/>
          <w:lang w:val="lt-LT"/>
        </w:rPr>
        <w:t>Komentaras</w:t>
      </w:r>
    </w:p>
    <w:p w14:paraId="4C04047A" w14:textId="77777777" w:rsidR="00093845" w:rsidRPr="00125234" w:rsidRDefault="000D779E">
      <w:pPr>
        <w:pStyle w:val="Style1"/>
        <w:tabs>
          <w:tab w:val="left" w:pos="709"/>
          <w:tab w:val="left" w:pos="1077"/>
          <w:tab w:val="left" w:pos="1418"/>
        </w:tabs>
        <w:ind w:right="128"/>
        <w:rPr>
          <w:rFonts w:ascii="Times New Roman" w:hAnsi="Times New Roman"/>
          <w:szCs w:val="24"/>
        </w:rPr>
      </w:pPr>
      <w:r w:rsidRPr="00125234">
        <w:rPr>
          <w:rFonts w:ascii="Times New Roman" w:hAnsi="Times New Roman"/>
          <w:szCs w:val="24"/>
        </w:rPr>
        <w:t>1. Pagal šioje dalyje nustatytą „dalyvavimo išimtį“ investuotojų - Lietuvos vienetų, iš kitų Lietuvos vienetų gaunami</w:t>
      </w:r>
      <w:r w:rsidRPr="00125234">
        <w:rPr>
          <w:rFonts w:ascii="Times New Roman" w:hAnsi="Times New Roman"/>
          <w:b/>
          <w:szCs w:val="24"/>
        </w:rPr>
        <w:t xml:space="preserve"> </w:t>
      </w:r>
      <w:r w:rsidRPr="00125234">
        <w:rPr>
          <w:rFonts w:ascii="Times New Roman" w:hAnsi="Times New Roman"/>
          <w:szCs w:val="24"/>
        </w:rPr>
        <w:t>dividendai pelno mokesčiu neapmokestinami, jeigu Lietuvos vienetas (investuotojas) ne trumpiau kaip dvylika mėnesių be pertraukų, įskaitant dividendų paskirstymo momentą, valdo ne mažiau kaip 10 procentų dividendus išmokančio Lietuvos</w:t>
      </w:r>
      <w:r w:rsidRPr="00125234">
        <w:rPr>
          <w:rFonts w:ascii="Times New Roman" w:hAnsi="Times New Roman"/>
          <w:b/>
          <w:szCs w:val="24"/>
        </w:rPr>
        <w:t xml:space="preserve"> </w:t>
      </w:r>
      <w:r w:rsidRPr="00125234">
        <w:rPr>
          <w:rFonts w:ascii="Times New Roman" w:hAnsi="Times New Roman"/>
          <w:szCs w:val="24"/>
        </w:rPr>
        <w:t>vieneto balsus suteikiančių akcijų (dalių, pajų).</w:t>
      </w:r>
    </w:p>
    <w:p w14:paraId="512C994E"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 xml:space="preserve">2. Lietuvos vieneto dalyviams nustatytas minimalus 12 mėnesių balsus suteikiančių akcijų (dalių, pajų) valdymo laikotarpis, kuris suteikia teisę neapmokestinti tiems dalyviams (kitiems Lietuvos vienetams) išmokamų dividendų, nebūtinai turi būti suėjęs dividendų paskirstymo datą. Vieneto dalyviui (kitam Lietuvos vienetui) išmokami dividendai gali būti neapmokestinami, jei dividendų </w:t>
      </w:r>
      <w:r w:rsidRPr="00125234">
        <w:rPr>
          <w:rFonts w:ascii="Times New Roman" w:hAnsi="Times New Roman"/>
          <w:szCs w:val="24"/>
        </w:rPr>
        <w:t>paskirstymo</w:t>
      </w:r>
      <w:r w:rsidRPr="00125234">
        <w:rPr>
          <w:rFonts w:ascii="Times New Roman" w:hAnsi="Times New Roman"/>
          <w:color w:val="FF6600"/>
          <w:szCs w:val="24"/>
        </w:rPr>
        <w:t xml:space="preserve"> </w:t>
      </w:r>
      <w:r w:rsidRPr="00125234">
        <w:rPr>
          <w:rFonts w:ascii="Times New Roman" w:hAnsi="Times New Roman"/>
          <w:color w:val="000000"/>
          <w:szCs w:val="24"/>
        </w:rPr>
        <w:t xml:space="preserve">momentu dar nėra suėjęs 12 mėnesių akcijų (dalių, pajų) valdymo laikotarpis, bet tas dalyvis turi tikslą išlaikyti tas akcijas (dalis, pajus) ne trumpiau kaip 12 mėnesių. </w:t>
      </w:r>
    </w:p>
    <w:p w14:paraId="37022F23" w14:textId="77777777" w:rsidR="00093845" w:rsidRPr="00125234" w:rsidRDefault="000D779E">
      <w:pPr>
        <w:pStyle w:val="Style1"/>
        <w:tabs>
          <w:tab w:val="left" w:pos="709"/>
          <w:tab w:val="left" w:pos="1077"/>
          <w:tab w:val="left" w:pos="1418"/>
        </w:tabs>
        <w:ind w:right="128"/>
        <w:rPr>
          <w:rFonts w:ascii="Times New Roman" w:hAnsi="Times New Roman"/>
          <w:szCs w:val="24"/>
        </w:rPr>
      </w:pPr>
      <w:r w:rsidRPr="00125234">
        <w:rPr>
          <w:rFonts w:ascii="Times New Roman" w:hAnsi="Times New Roman"/>
          <w:szCs w:val="24"/>
        </w:rPr>
        <w:lastRenderedPageBreak/>
        <w:t xml:space="preserve">Paaiškėjus kad Lietuvos vieneto dalyvis, nepasibaigus balsus suteikiančių akcijų (dalių, pajų) 12 mėnesių valdymo laikotarpiui, tas akcijas (dalis, pajus) perleidžia ar kitaip nustoja jas valdyti (arba perleidžia dalį akcijų (dalių, pajų) ir dėl to jo valdomos balsus suteikiančios akcijos (dalys, pajai) nesudarys 10 proc. dividendus išmokėjusiame Lietuvos vienete), tai neapmokestinamus dividendus išmokėjęs Lietuvos vienetas turi apskaičiuoti mokestį nuo tų išmokėtų dividendų ir sumokėti jį į biudžetą. Delspinigiai už ne laiku sumokėtą mokestį sumokami Mokesčių administravimo įstatymo nustatyta tvarka. </w:t>
      </w:r>
    </w:p>
    <w:p w14:paraId="69D71779" w14:textId="77777777" w:rsidR="00093845" w:rsidRPr="00125234" w:rsidRDefault="000D779E">
      <w:pPr>
        <w:pStyle w:val="Pagrindiniotekstotrauka"/>
        <w:tabs>
          <w:tab w:val="left" w:pos="709"/>
          <w:tab w:val="left" w:pos="1077"/>
          <w:tab w:val="left" w:pos="1418"/>
        </w:tabs>
        <w:rPr>
          <w:rFonts w:ascii="Times New Roman" w:hAnsi="Times New Roman"/>
          <w:color w:val="000000"/>
          <w:lang w:val="lt-LT"/>
        </w:rPr>
      </w:pPr>
      <w:r w:rsidRPr="00125234">
        <w:rPr>
          <w:rFonts w:ascii="Times New Roman" w:hAnsi="Times New Roman"/>
          <w:color w:val="000000"/>
          <w:lang w:val="lt-LT"/>
        </w:rPr>
        <w:t>3.</w:t>
      </w:r>
      <w:r w:rsidRPr="00125234">
        <w:rPr>
          <w:rFonts w:ascii="Times New Roman" w:hAnsi="Times New Roman"/>
          <w:lang w:val="lt-LT"/>
        </w:rPr>
        <w:t xml:space="preserve"> Iš Lietuvos vienetų gaunami pelno mokesčiu neapmokestinami dividendai į juos gaunančių Lietuvos vienetų pajamas neįtraukiami. </w:t>
      </w:r>
    </w:p>
    <w:p w14:paraId="7BAC5AEA"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4. Remiantis PMĮ 34 str. 3 dalimi (žr. PMĮ 34 str. 3 dalies komentarą), komentuojamos dalies nuostatos taikomos ta pačia tvarka, kai dividendai išmokami nuolatinei buveinei už jai užsienio vieneto priskirtas balsus suteikiančias Lietuvos vieneto akcijas (dalis, pajus).</w:t>
      </w:r>
    </w:p>
    <w:p w14:paraId="1E28BAAC" w14:textId="77777777" w:rsidR="00993713" w:rsidRPr="00125234" w:rsidRDefault="00016DBB" w:rsidP="00DC58CC">
      <w:pPr>
        <w:tabs>
          <w:tab w:val="left" w:pos="709"/>
        </w:tabs>
        <w:jc w:val="both"/>
        <w:rPr>
          <w:lang w:val="lt-LT"/>
        </w:rPr>
      </w:pPr>
      <w:r w:rsidRPr="00125234">
        <w:rPr>
          <w:lang w:val="lt-LT"/>
        </w:rPr>
        <w:t xml:space="preserve">        (P</w:t>
      </w:r>
      <w:r w:rsidR="000D779E" w:rsidRPr="00125234">
        <w:rPr>
          <w:lang w:val="lt-LT"/>
        </w:rPr>
        <w:t xml:space="preserve">akeista pagal VMI prie FM raštą 2011-08-04 Nr. </w:t>
      </w:r>
      <w:r w:rsidR="000D779E" w:rsidRPr="00125234">
        <w:t>(18.10-31-1)-R-7412)</w:t>
      </w:r>
    </w:p>
    <w:p w14:paraId="1B8E0F1C" w14:textId="77777777" w:rsidR="00093845" w:rsidRPr="00125234" w:rsidRDefault="000D779E" w:rsidP="00AF4003">
      <w:pPr>
        <w:pStyle w:val="Pagrindiniotekstotrauka"/>
        <w:tabs>
          <w:tab w:val="left" w:pos="709"/>
        </w:tabs>
        <w:spacing w:after="0"/>
        <w:ind w:firstLine="540"/>
        <w:rPr>
          <w:rFonts w:ascii="Times New Roman" w:hAnsi="Times New Roman" w:cs="Times New Roman"/>
          <w:b/>
          <w:lang w:val="lt-LT"/>
        </w:rPr>
      </w:pPr>
      <w:r w:rsidRPr="00125234">
        <w:rPr>
          <w:rFonts w:ascii="Times New Roman" w:hAnsi="Times New Roman" w:cs="Times New Roman"/>
          <w:b/>
          <w:lang w:val="lt-LT"/>
        </w:rPr>
        <w:t xml:space="preserve">3. Jeigu vienetas paskirsto pelną išmokėdamas dividendus pinigais Lietuvos Respublikos </w:t>
      </w:r>
      <w:bookmarkStart w:id="489" w:name="P41419_2"/>
      <w:r w:rsidRPr="00125234">
        <w:rPr>
          <w:rFonts w:ascii="Times New Roman" w:hAnsi="Times New Roman" w:cs="Times New Roman"/>
          <w:b/>
          <w:color w:val="000000"/>
          <w:lang w:val="lt-LT"/>
        </w:rPr>
        <w:t>akcinių bendrovių įstatymo</w:t>
      </w:r>
      <w:bookmarkEnd w:id="489"/>
      <w:r w:rsidRPr="00125234">
        <w:rPr>
          <w:rFonts w:ascii="Times New Roman" w:hAnsi="Times New Roman" w:cs="Times New Roman"/>
          <w:b/>
          <w:lang w:val="lt-LT"/>
        </w:rPr>
        <w:t xml:space="preserve">, Lietuvos Respublikos </w:t>
      </w:r>
      <w:bookmarkStart w:id="490" w:name="P7704_2"/>
      <w:r w:rsidRPr="00125234">
        <w:rPr>
          <w:rFonts w:ascii="Times New Roman" w:hAnsi="Times New Roman" w:cs="Times New Roman"/>
          <w:b/>
          <w:color w:val="000000"/>
          <w:lang w:val="lt-LT"/>
        </w:rPr>
        <w:t>kooperatinių bendrovių (kooperatyvų) įstatymo</w:t>
      </w:r>
      <w:bookmarkEnd w:id="490"/>
      <w:r w:rsidRPr="00125234">
        <w:rPr>
          <w:rFonts w:ascii="Times New Roman" w:hAnsi="Times New Roman" w:cs="Times New Roman"/>
          <w:b/>
          <w:lang w:val="lt-LT"/>
        </w:rPr>
        <w:t xml:space="preserve"> ir Lietuvos Respublikos </w:t>
      </w:r>
      <w:bookmarkStart w:id="491" w:name="P2872_2"/>
      <w:r w:rsidRPr="00125234">
        <w:rPr>
          <w:rFonts w:ascii="Times New Roman" w:hAnsi="Times New Roman" w:cs="Times New Roman"/>
          <w:b/>
          <w:color w:val="000000"/>
          <w:lang w:val="lt-LT"/>
        </w:rPr>
        <w:t>žemės ūkio bendrovių įstatymo</w:t>
      </w:r>
      <w:bookmarkEnd w:id="491"/>
      <w:r w:rsidRPr="00125234">
        <w:rPr>
          <w:rFonts w:ascii="Times New Roman" w:hAnsi="Times New Roman" w:cs="Times New Roman"/>
          <w:b/>
          <w:lang w:val="lt-LT"/>
        </w:rPr>
        <w:t xml:space="preserve"> nustatyta tvarka, išskaityto </w:t>
      </w:r>
      <w:bookmarkStart w:id="492" w:name="118z"/>
      <w:bookmarkEnd w:id="492"/>
      <w:r w:rsidRPr="00125234">
        <w:rPr>
          <w:rFonts w:ascii="Times New Roman" w:hAnsi="Times New Roman" w:cs="Times New Roman"/>
          <w:b/>
          <w:color w:val="000000"/>
          <w:lang w:val="lt-LT"/>
        </w:rPr>
        <w:t>pelno</w:t>
      </w:r>
      <w:r w:rsidRPr="00125234">
        <w:rPr>
          <w:rFonts w:ascii="Times New Roman" w:hAnsi="Times New Roman" w:cs="Times New Roman"/>
          <w:b/>
          <w:lang w:val="lt-LT"/>
        </w:rPr>
        <w:t xml:space="preserve"> </w:t>
      </w:r>
      <w:bookmarkStart w:id="493" w:name="119z"/>
      <w:bookmarkEnd w:id="493"/>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suma yra užskaitoma ir sumažina dividendus gaunančio Lietuvos vieneto mokėtino </w:t>
      </w:r>
      <w:bookmarkStart w:id="494" w:name="120z"/>
      <w:bookmarkEnd w:id="494"/>
      <w:r w:rsidRPr="00125234">
        <w:rPr>
          <w:rFonts w:ascii="Times New Roman" w:hAnsi="Times New Roman" w:cs="Times New Roman"/>
          <w:b/>
          <w:color w:val="000000"/>
          <w:lang w:val="lt-LT"/>
        </w:rPr>
        <w:t>pelno</w:t>
      </w:r>
      <w:bookmarkStart w:id="495" w:name="121z"/>
      <w:bookmarkEnd w:id="495"/>
      <w:r w:rsidRPr="00125234">
        <w:rPr>
          <w:rFonts w:ascii="Times New Roman" w:hAnsi="Times New Roman" w:cs="Times New Roman"/>
          <w:b/>
          <w:color w:val="000000"/>
          <w:lang w:val="lt-LT"/>
        </w:rPr>
        <w:t xml:space="preserve"> mokesčio</w:t>
      </w:r>
      <w:r w:rsidRPr="00125234">
        <w:rPr>
          <w:rFonts w:ascii="Times New Roman" w:hAnsi="Times New Roman" w:cs="Times New Roman"/>
          <w:b/>
          <w:lang w:val="lt-LT"/>
        </w:rPr>
        <w:t xml:space="preserve"> sumą tą mokestinį laikotarpį, kurį buvo išskaitytas mokestis iš jam išmokėtų dividendų. Jei dividendus gaunančio Lietuvos vieneto užskaitomo išskaityto </w:t>
      </w:r>
      <w:bookmarkStart w:id="496" w:name="124z"/>
      <w:bookmarkEnd w:id="496"/>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suma viršija to vieneto mokėtino</w:t>
      </w:r>
      <w:bookmarkStart w:id="497" w:name="125z"/>
      <w:bookmarkEnd w:id="497"/>
      <w:r w:rsidRPr="00125234">
        <w:rPr>
          <w:rFonts w:ascii="Times New Roman" w:hAnsi="Times New Roman" w:cs="Times New Roman"/>
          <w:b/>
          <w:color w:val="000000"/>
          <w:lang w:val="lt-LT"/>
        </w:rPr>
        <w:t xml:space="preserve"> pelno</w:t>
      </w:r>
      <w:r w:rsidRPr="00125234">
        <w:rPr>
          <w:rFonts w:ascii="Times New Roman" w:hAnsi="Times New Roman" w:cs="Times New Roman"/>
          <w:b/>
          <w:lang w:val="lt-LT"/>
        </w:rPr>
        <w:t xml:space="preserve"> </w:t>
      </w:r>
      <w:bookmarkStart w:id="498" w:name="126z"/>
      <w:bookmarkEnd w:id="498"/>
      <w:r w:rsidRPr="00125234">
        <w:rPr>
          <w:rFonts w:ascii="Times New Roman" w:hAnsi="Times New Roman" w:cs="Times New Roman"/>
          <w:b/>
          <w:color w:val="000000"/>
          <w:lang w:val="lt-LT"/>
        </w:rPr>
        <w:t>mokesčio</w:t>
      </w:r>
      <w:r w:rsidRPr="00125234">
        <w:rPr>
          <w:rFonts w:ascii="Times New Roman" w:hAnsi="Times New Roman" w:cs="Times New Roman"/>
          <w:b/>
          <w:lang w:val="lt-LT"/>
        </w:rPr>
        <w:t xml:space="preserve"> sumą tuo mokestiniu laikotarpiu, kada buvo iš išmokamų dividendų išskaitytas mokestis, šis skirtumas dividendus gaunančiam vienetui grąžinamas (įskaitomas) taikant Lietuvos Respublikos </w:t>
      </w:r>
      <w:bookmarkStart w:id="499" w:name="P14751_4"/>
      <w:r w:rsidRPr="00125234">
        <w:rPr>
          <w:rFonts w:ascii="Times New Roman" w:hAnsi="Times New Roman" w:cs="Times New Roman"/>
          <w:b/>
          <w:color w:val="000000"/>
          <w:lang w:val="lt-LT"/>
        </w:rPr>
        <w:t>mokesčių administravimo įstatyme</w:t>
      </w:r>
      <w:bookmarkEnd w:id="499"/>
      <w:r w:rsidRPr="00125234">
        <w:rPr>
          <w:rFonts w:ascii="Times New Roman" w:hAnsi="Times New Roman" w:cs="Times New Roman"/>
          <w:b/>
          <w:lang w:val="lt-LT"/>
        </w:rPr>
        <w:t xml:space="preserve"> nustatytą mokesčių permokos grąžinimo (įskaitymo) tvarką.</w:t>
      </w:r>
    </w:p>
    <w:p w14:paraId="33E6689C" w14:textId="77777777" w:rsidR="00093845" w:rsidRPr="00125234" w:rsidRDefault="000D779E" w:rsidP="00AF4003">
      <w:pPr>
        <w:tabs>
          <w:tab w:val="left" w:pos="709"/>
        </w:tabs>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2009 12 09 įstatymu Nr. XI-539 (nuo 2009 12 28)</w:t>
      </w:r>
      <w:r w:rsidRPr="00125234">
        <w:rPr>
          <w:i/>
          <w:color w:val="000000"/>
          <w:lang w:val="lt-LT"/>
        </w:rPr>
        <w:t>)</w:t>
      </w:r>
    </w:p>
    <w:p w14:paraId="2947EE6F" w14:textId="77777777" w:rsidR="005E1525" w:rsidRPr="00125234" w:rsidRDefault="005E1525" w:rsidP="00AF4003">
      <w:pPr>
        <w:tabs>
          <w:tab w:val="left" w:pos="709"/>
        </w:tabs>
        <w:spacing w:after="0"/>
        <w:jc w:val="both"/>
        <w:rPr>
          <w:i/>
          <w:lang w:val="lt-LT"/>
        </w:rPr>
      </w:pPr>
    </w:p>
    <w:p w14:paraId="4792CFEC" w14:textId="77777777" w:rsidR="00093845" w:rsidRPr="00125234" w:rsidRDefault="000D779E">
      <w:pPr>
        <w:pStyle w:val="Pagrindiniotekstotrauka"/>
        <w:tabs>
          <w:tab w:val="left" w:pos="709"/>
          <w:tab w:val="left" w:pos="1077"/>
          <w:tab w:val="left" w:pos="1418"/>
        </w:tabs>
        <w:rPr>
          <w:rFonts w:ascii="Times New Roman" w:hAnsi="Times New Roman"/>
          <w:b/>
          <w:bCs/>
          <w:lang w:val="lt-LT"/>
        </w:rPr>
      </w:pPr>
      <w:r w:rsidRPr="00125234">
        <w:rPr>
          <w:rFonts w:ascii="Times New Roman" w:hAnsi="Times New Roman"/>
          <w:b/>
          <w:bCs/>
          <w:lang w:val="lt-LT"/>
        </w:rPr>
        <w:t xml:space="preserve">Komentaras </w:t>
      </w:r>
    </w:p>
    <w:p w14:paraId="663F6208" w14:textId="77777777" w:rsidR="00093845" w:rsidRPr="00125234" w:rsidRDefault="000D779E">
      <w:pPr>
        <w:pStyle w:val="Pagrindiniotekstotrauka"/>
        <w:tabs>
          <w:tab w:val="left" w:pos="709"/>
        </w:tabs>
        <w:rPr>
          <w:rFonts w:ascii="Times New Roman" w:hAnsi="Times New Roman"/>
          <w:lang w:val="lt-LT"/>
        </w:rPr>
      </w:pPr>
      <w:r w:rsidRPr="00125234">
        <w:rPr>
          <w:rFonts w:ascii="Times New Roman" w:hAnsi="Times New Roman"/>
          <w:lang w:val="lt-LT"/>
        </w:rPr>
        <w:t xml:space="preserve">1. Pagal šios dalies nuostatas </w:t>
      </w:r>
      <w:r w:rsidRPr="00125234">
        <w:rPr>
          <w:rFonts w:ascii="Times New Roman" w:hAnsi="Times New Roman"/>
          <w:iCs/>
          <w:lang w:val="lt-LT"/>
        </w:rPr>
        <w:t xml:space="preserve">iš Lietuvos vieneto gaunamų dividendų už jo turimas kitų Lietuvos vienetų akcijas (dalis, pajus) PMĮ 33 str. 1 dalyje nustatyta tvarka išskaityto pelno mokesčio suma </w:t>
      </w:r>
      <w:r w:rsidRPr="00125234">
        <w:rPr>
          <w:rFonts w:ascii="Times New Roman" w:hAnsi="Times New Roman"/>
          <w:lang w:val="lt-LT"/>
        </w:rPr>
        <w:t xml:space="preserve">yra įskaitoma ir ja sumažinama dividendus gaunančio Lietuvos vieneto mokėtino pelno mokesčio suma tą mokestinį laikotarpį, kurį buvo išskaitytas mokestis iš jam išmokėtų dividendų. </w:t>
      </w:r>
    </w:p>
    <w:p w14:paraId="28A0A9D2" w14:textId="77777777" w:rsidR="00093845" w:rsidRPr="00125234" w:rsidRDefault="000D779E">
      <w:pPr>
        <w:tabs>
          <w:tab w:val="left" w:pos="709"/>
        </w:tabs>
        <w:jc w:val="both"/>
        <w:rPr>
          <w:lang w:val="lt-LT"/>
        </w:rPr>
      </w:pPr>
      <w:r w:rsidRPr="00125234">
        <w:rPr>
          <w:iCs/>
          <w:lang w:val="lt-LT"/>
        </w:rPr>
        <w:tab/>
        <w:t>Iš</w:t>
      </w:r>
      <w:r w:rsidRPr="00125234">
        <w:rPr>
          <w:lang w:val="lt-LT"/>
        </w:rPr>
        <w:t xml:space="preserve"> Lietuvos vieneto gaunamų dividendų išskaitytas pelno mokestis užskaitomas šioje dalyje nustatyta tvarka, jeigu dividendus išmokantis Lietuvos vienetas paskirsto pelną, išmokėdamas dividendus </w:t>
      </w:r>
      <w:r w:rsidRPr="00125234">
        <w:rPr>
          <w:bCs/>
          <w:lang w:val="lt-LT"/>
        </w:rPr>
        <w:t>pinigais</w:t>
      </w:r>
      <w:r w:rsidRPr="00125234">
        <w:rPr>
          <w:lang w:val="lt-LT"/>
        </w:rPr>
        <w:t xml:space="preserve"> Lietuvos Respublikos </w:t>
      </w:r>
      <w:r w:rsidR="00C67408" w:rsidRPr="00125234">
        <w:rPr>
          <w:rStyle w:val="Hipersaitas"/>
          <w:rFonts w:ascii="Times New Roman" w:hAnsi="Times New Roman" w:cs="Times New Roman"/>
          <w:b w:val="0"/>
          <w:bCs w:val="0"/>
          <w:kern w:val="0"/>
          <w:lang w:val="lt-LT"/>
        </w:rPr>
        <w:t>akcinių bendrovių</w:t>
      </w:r>
      <w:r w:rsidRPr="00125234">
        <w:rPr>
          <w:lang w:val="lt-LT"/>
        </w:rPr>
        <w:t xml:space="preserve"> įstatyme, Lietuvos Respublikos </w:t>
      </w:r>
      <w:r w:rsidR="00C67408" w:rsidRPr="00125234">
        <w:rPr>
          <w:rStyle w:val="Hipersaitas"/>
          <w:rFonts w:ascii="Times New Roman" w:hAnsi="Times New Roman" w:cs="Times New Roman"/>
          <w:b w:val="0"/>
          <w:bCs w:val="0"/>
          <w:kern w:val="0"/>
          <w:lang w:val="lt-LT"/>
        </w:rPr>
        <w:t>kooperatinių bendrovių (kooperatyvų</w:t>
      </w:r>
      <w:r w:rsidRPr="00125234">
        <w:rPr>
          <w:u w:val="single"/>
          <w:lang w:val="lt-LT"/>
        </w:rPr>
        <w:t>)</w:t>
      </w:r>
      <w:r w:rsidRPr="00125234">
        <w:rPr>
          <w:lang w:val="lt-LT"/>
        </w:rPr>
        <w:t xml:space="preserve"> įstatyme ir Lietuvos Respublikos </w:t>
      </w:r>
      <w:r w:rsidR="00C67408" w:rsidRPr="00125234">
        <w:rPr>
          <w:rStyle w:val="Hipersaitas"/>
          <w:rFonts w:ascii="Times New Roman" w:hAnsi="Times New Roman" w:cs="Times New Roman"/>
          <w:b w:val="0"/>
          <w:bCs w:val="0"/>
          <w:kern w:val="0"/>
          <w:lang w:val="lt-LT"/>
        </w:rPr>
        <w:t>žemės ūkio bendrovių</w:t>
      </w:r>
      <w:r w:rsidRPr="00125234">
        <w:rPr>
          <w:lang w:val="lt-LT"/>
        </w:rPr>
        <w:t xml:space="preserve"> įstatyme nustatyta tvarka. </w:t>
      </w:r>
    </w:p>
    <w:p w14:paraId="369F99C2" w14:textId="77777777" w:rsidR="00093845" w:rsidRPr="00125234" w:rsidRDefault="000D779E">
      <w:pPr>
        <w:tabs>
          <w:tab w:val="left" w:pos="709"/>
        </w:tabs>
        <w:jc w:val="both"/>
        <w:rPr>
          <w:lang w:val="lt-LT"/>
        </w:rPr>
      </w:pPr>
      <w:r w:rsidRPr="00125234">
        <w:rPr>
          <w:b/>
          <w:lang w:val="lt-LT"/>
        </w:rPr>
        <w:tab/>
      </w:r>
      <w:r w:rsidRPr="00125234">
        <w:rPr>
          <w:lang w:val="lt-LT"/>
        </w:rPr>
        <w:t>Jeigu dėl Lietuvos vieneto įstatinio kapitalo mažinimo jo dalyviui – kitam Lietuvos vienetui išmokamos lėšos, kurios pagal PMĮ 32 str. 5 dalies nuostatas laikomos dividendais, tai to vieneto dalyviui iš taip gaunamų apmokestinamų dividendų išskaičiuotas pelno mokestis įskaitomas šioje dalyje nustatyta tvarka.</w:t>
      </w:r>
      <w:r w:rsidRPr="00125234">
        <w:rPr>
          <w:lang w:val="lt-LT"/>
        </w:rPr>
        <w:tab/>
      </w:r>
    </w:p>
    <w:p w14:paraId="23DA715C" w14:textId="77777777" w:rsidR="00093845" w:rsidRPr="00125234" w:rsidRDefault="000D779E">
      <w:pPr>
        <w:tabs>
          <w:tab w:val="left" w:pos="709"/>
        </w:tabs>
        <w:ind w:firstLine="720"/>
        <w:jc w:val="both"/>
        <w:rPr>
          <w:lang w:val="lt-LT"/>
        </w:rPr>
      </w:pPr>
      <w:r w:rsidRPr="00125234">
        <w:rPr>
          <w:lang w:val="lt-LT"/>
        </w:rPr>
        <w:t>2. Jeigu iš Lietuvos vieneto gautų dividendų mokestiniu laikotarpiu išskaityto įskaitomo pelno mokesčio suma yra didesnė už šio vieneto mokėtino pelno mokesčio sumą tuo mokestiniu laikotarpiu, kada buvo iš išmokamų dividendų išskaitytas mokestis, tai šis skirtumas dividendus gavusiam vienetui grąžinamas (įskaitomas) taikant Lietuvos Respublikos mokesčių administravimo įstatyme (toliau – MAĮ) nustatytą mokesčių permokos grąžinimo (įskaitymo) tvarką.</w:t>
      </w:r>
    </w:p>
    <w:p w14:paraId="0E3B8DA6" w14:textId="77777777" w:rsidR="00093845" w:rsidRPr="00125234" w:rsidRDefault="000D779E">
      <w:pPr>
        <w:tabs>
          <w:tab w:val="left" w:pos="709"/>
        </w:tabs>
        <w:jc w:val="both"/>
        <w:rPr>
          <w:lang w:val="lt-LT"/>
        </w:rPr>
      </w:pPr>
      <w:r w:rsidRPr="00125234">
        <w:rPr>
          <w:b/>
          <w:lang w:val="lt-LT"/>
        </w:rPr>
        <w:lastRenderedPageBreak/>
        <w:tab/>
      </w:r>
      <w:r w:rsidRPr="00125234">
        <w:rPr>
          <w:lang w:val="lt-LT"/>
        </w:rPr>
        <w:t>3. Nuo Lietuvos vienetui išmokėtų dividendų „prie pajamų šaltinio“ mokestiniu laikotarpiu išskaitytas pelno mokestis yra laikomas tuos dividendus gavusio Lietuvos vieneto sumokėtu pelno mokesčiu, todėl ir tuo atveju, kai dividendus gavęs Lietuvos vienetas apskaičiuoja mokestinį nuostolį arba jo nemoka dėl jam taikomų pelno mokesčio lengvatų (pvz., investicinė bendrovė, gyvybės draudimo įmonė, laisvosios ekonominės zonos įmonė ar pelno nesiekiantis vienetas), tai iš dividendų išskaityto užskaitomo pelno mokesčio suma laikoma mokesčio permoka, kuri grąžinama (įskaitoma) MAĮ nustatyta tvarka.</w:t>
      </w:r>
    </w:p>
    <w:p w14:paraId="1DB5C7C3" w14:textId="77777777" w:rsidR="00093845" w:rsidRPr="00125234" w:rsidRDefault="000D779E">
      <w:pPr>
        <w:pStyle w:val="Pagrindiniotekstotrauka"/>
        <w:tabs>
          <w:tab w:val="left" w:pos="709"/>
          <w:tab w:val="left" w:pos="1077"/>
          <w:tab w:val="left" w:pos="1418"/>
        </w:tabs>
        <w:rPr>
          <w:rFonts w:ascii="Times New Roman" w:hAnsi="Times New Roman"/>
          <w:lang w:val="lt-LT"/>
        </w:rPr>
      </w:pPr>
      <w:r w:rsidRPr="00125234">
        <w:rPr>
          <w:rFonts w:ascii="Times New Roman" w:hAnsi="Times New Roman"/>
          <w:lang w:val="lt-LT"/>
        </w:rPr>
        <w:t>4. Nuo Lietuvos vieneto gautų dividendų išskaitytu įskaitomu pelno mokesčiu gali būti sumažinama mokėtino pelno mokesčio suma ir/arba mokėtino pelno mokesčio sumą viršijanti dalis - permoka grąžinama (įskaitoma) MAĮ nustatyta tvarka tik pateikus mokestinio laikotarpio metinę pelno mokesčio deklaraciją. Nuo gautų dividendų mokestiniu laikotarpiu išskaitytas pelno mokestis negali būti įskaitomas einamais mokestiniais metais mokėtinam avansiniam pelno mokesčiui sumažinti.</w:t>
      </w:r>
    </w:p>
    <w:p w14:paraId="61BD4EFE" w14:textId="77777777" w:rsidR="00093845" w:rsidRPr="00125234" w:rsidRDefault="000D779E">
      <w:pPr>
        <w:tabs>
          <w:tab w:val="left" w:pos="709"/>
        </w:tabs>
        <w:ind w:firstLine="720"/>
        <w:jc w:val="both"/>
        <w:rPr>
          <w:lang w:val="lt-LT"/>
        </w:rPr>
      </w:pPr>
      <w:r w:rsidRPr="00125234">
        <w:rPr>
          <w:lang w:val="lt-LT"/>
        </w:rPr>
        <w:t>1-3 pavyzdžiai</w:t>
      </w:r>
    </w:p>
    <w:p w14:paraId="368C473B" w14:textId="77777777" w:rsidR="008D52D5" w:rsidRPr="00125234" w:rsidRDefault="008D52D5" w:rsidP="008D52D5">
      <w:pPr>
        <w:tabs>
          <w:tab w:val="left" w:pos="709"/>
          <w:tab w:val="left" w:pos="1080"/>
        </w:tabs>
        <w:jc w:val="both"/>
        <w:rPr>
          <w:b/>
        </w:rPr>
      </w:pPr>
      <w:r w:rsidRPr="00125234">
        <w:rPr>
          <w:b/>
          <w:iCs/>
        </w:rPr>
        <w:t xml:space="preserve">Iki 2026 metų mokestinio laikotarpio galiojanti </w:t>
      </w:r>
      <w:r w:rsidRPr="00125234">
        <w:rPr>
          <w:b/>
        </w:rPr>
        <w:t>PMĮ 33 straipsnio 3 dalies apibendrinto paaiškinimo (komentaro) 4 punkte pateiktų pavyzdžių  galiojanti redakija:</w:t>
      </w:r>
    </w:p>
    <w:p w14:paraId="3E957DEC"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1. Bendrovė 2025 m. gegužės mėnesį Lietuvos vienetui – UAB „Z“ išmokėjo 10 000 EUR dividendų, iš kurių, taikydama 16 proc. tarifą, išskaičiavo 1 600 EUR pelno mokesčio. UAB „Z“ apskaičiuota 2024 mokestinių metų mokėtina pelno mokesčio suma sudarė 15 000 EUR. 2025 metais mokėtiną 2024 mokestinių metų pelno mokesčio sumą UAB „Z“ gali sumažinti nuo jai 2025</w:t>
      </w:r>
      <w:r w:rsidRPr="00125234">
        <w:rPr>
          <w:b/>
        </w:rPr>
        <w:t xml:space="preserve"> </w:t>
      </w:r>
      <w:r w:rsidRPr="00125234">
        <w:t>m. gegužės mėn. išmokėtų dividendų išskaičiuota 1600 EUR</w:t>
      </w:r>
      <w:r w:rsidRPr="00125234">
        <w:rPr>
          <w:b/>
        </w:rPr>
        <w:t xml:space="preserve"> </w:t>
      </w:r>
      <w:r w:rsidRPr="00125234">
        <w:t xml:space="preserve">mokesčio suma. </w:t>
      </w:r>
      <w:r w:rsidRPr="00125234">
        <w:rPr>
          <w:bCs/>
        </w:rPr>
        <w:t xml:space="preserve">Įskaitoma </w:t>
      </w:r>
      <w:r w:rsidRPr="00125234">
        <w:t xml:space="preserve">1600 EUR </w:t>
      </w:r>
      <w:r w:rsidRPr="00125234">
        <w:rPr>
          <w:bCs/>
        </w:rPr>
        <w:t xml:space="preserve">dividendų pelno mokesčio suma turi būti įrašoma į </w:t>
      </w:r>
      <w:r w:rsidRPr="00125234">
        <w:t xml:space="preserve">UAB „Z“ </w:t>
      </w:r>
      <w:r w:rsidRPr="00125234">
        <w:rPr>
          <w:bCs/>
        </w:rPr>
        <w:t xml:space="preserve">2024 mokestinių metų pelno mokesčio deklaraciją. </w:t>
      </w:r>
      <w:r w:rsidRPr="00125234">
        <w:t>UAB „Z“</w:t>
      </w:r>
      <w:r w:rsidRPr="00125234">
        <w:rPr>
          <w:bCs/>
        </w:rPr>
        <w:t xml:space="preserve"> 2024</w:t>
      </w:r>
      <w:r w:rsidRPr="00125234">
        <w:rPr>
          <w:b/>
          <w:bCs/>
        </w:rPr>
        <w:t xml:space="preserve"> </w:t>
      </w:r>
      <w:r w:rsidRPr="00125234">
        <w:rPr>
          <w:bCs/>
        </w:rPr>
        <w:t>mokestinių metų pelno mokesčio deklaracijoje apskaičiuota mokėtina pelno mokesčio suma, įskaičius nuo gautų dividendų išskaitytą pelno mokestį, sudarys 13 400 EUR (15 000 EUR - 1 600 EUR).</w:t>
      </w:r>
    </w:p>
    <w:p w14:paraId="080C9843"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2. </w:t>
      </w:r>
      <w:r w:rsidRPr="00125234">
        <w:t>Situacija ta pati kaip 1 pavyzdyje, išskyrus tai, kad UAB „Z“ apskaičiavo 15 000 </w:t>
      </w:r>
      <w:r w:rsidRPr="00125234">
        <w:rPr>
          <w:bCs/>
        </w:rPr>
        <w:t xml:space="preserve">EUR </w:t>
      </w:r>
      <w:r w:rsidRPr="00125234">
        <w:t xml:space="preserve"> 2024 mokestinių metų nuostolių. UAB „Z“ </w:t>
      </w:r>
      <w:r w:rsidRPr="00125234">
        <w:rPr>
          <w:bCs/>
        </w:rPr>
        <w:t xml:space="preserve">2024 mokestinių metų pelno mokesčio deklaracijoje įrašius įskaitomą 1 600 EUR dividendų pelno mokesčio sumą, susidarys 1 600 EUR mokesčio permoka, kuri grąžinama MAĮ nustatyta tvarka. </w:t>
      </w:r>
    </w:p>
    <w:p w14:paraId="6639E76D"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3. Situacija ta pati kaip 1 pavyzdyje, išskyrus tai, kad dividendai UAB „Z“ buvo išmokėti ir mokestis nuo jų išskaičiuotas 2025</w:t>
      </w:r>
      <w:r w:rsidRPr="00125234">
        <w:rPr>
          <w:b/>
        </w:rPr>
        <w:t xml:space="preserve"> </w:t>
      </w:r>
      <w:r w:rsidRPr="00125234">
        <w:t>m. liepos mėn., šiai bendrovei jau pateikus 2024</w:t>
      </w:r>
      <w:r w:rsidRPr="00125234">
        <w:rPr>
          <w:b/>
        </w:rPr>
        <w:t xml:space="preserve"> </w:t>
      </w:r>
      <w:r w:rsidRPr="00125234">
        <w:t xml:space="preserve">mokestinių metų pelno mokesčio deklaraciją. Tokiu </w:t>
      </w:r>
      <w:r w:rsidRPr="00125234">
        <w:rPr>
          <w:bCs/>
        </w:rPr>
        <w:t xml:space="preserve">atveju </w:t>
      </w:r>
      <w:r w:rsidRPr="00125234">
        <w:t xml:space="preserve">UAB „Z“ </w:t>
      </w:r>
      <w:r w:rsidRPr="00125234">
        <w:rPr>
          <w:bCs/>
        </w:rPr>
        <w:t>2024 mokestinių metų mokėtiną pelno mokestį gali sumažinti 1 600 EUR dividendų pelno mokesčio suma, pateikdama patikslintą 2024 mokestinių metų pelno mokesčio deklaraciją arba šio mokesčio sumą įskaityti, deklaruodama 2025</w:t>
      </w:r>
      <w:r w:rsidRPr="00125234">
        <w:rPr>
          <w:b/>
          <w:bCs/>
        </w:rPr>
        <w:t xml:space="preserve"> </w:t>
      </w:r>
      <w:r w:rsidRPr="00125234">
        <w:rPr>
          <w:bCs/>
        </w:rPr>
        <w:t xml:space="preserve">mokestinių metų mokėtiną pelno mokestį (t. y. sumažinti mokėtiną į biudžetą pelno mokestį tų mokestinių metų, kuriais buvo išskaitytas pelno mokestis iš jai išmokėtų dividendų). </w:t>
      </w:r>
    </w:p>
    <w:p w14:paraId="56703D6D" w14:textId="77777777" w:rsidR="001062C9" w:rsidRPr="00125234" w:rsidRDefault="001062C9" w:rsidP="001062C9">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Pastaba: visuose pavyzdžiuose mokestiniai metai sutampa su kalendoriniais metais. </w:t>
      </w:r>
    </w:p>
    <w:p w14:paraId="2AF16FF7" w14:textId="77777777" w:rsidR="001062C9" w:rsidRPr="00125234" w:rsidRDefault="001062C9" w:rsidP="00AD72C6">
      <w:pPr>
        <w:jc w:val="both"/>
        <w:rPr>
          <w:iCs/>
          <w:lang w:eastAsia="lt-LT"/>
        </w:rPr>
      </w:pPr>
      <w:r w:rsidRPr="00125234">
        <w:rPr>
          <w:iCs/>
          <w:lang w:eastAsia="lt-LT"/>
        </w:rPr>
        <w:t xml:space="preserve">(PMĮ </w:t>
      </w:r>
      <w:r w:rsidRPr="00125234">
        <w:t>33</w:t>
      </w:r>
      <w:r w:rsidRPr="00125234">
        <w:rPr>
          <w:iCs/>
          <w:lang w:eastAsia="lt-LT"/>
        </w:rPr>
        <w:t xml:space="preserve"> straipsnio 3 d. 4 p. komentaro pavyzdžiai parengti</w:t>
      </w:r>
      <w:r w:rsidRPr="00125234">
        <w:rPr>
          <w:vertAlign w:val="superscript"/>
        </w:rPr>
        <w:t xml:space="preserve"> </w:t>
      </w:r>
      <w:r w:rsidRPr="00125234">
        <w:rPr>
          <w:iCs/>
          <w:lang w:eastAsia="lt-LT"/>
        </w:rPr>
        <w:t xml:space="preserve"> pagal VMI prie FM 2025-01-21 raštą Nr. (18.32-31-1 Mr)-R-270)</w:t>
      </w:r>
    </w:p>
    <w:p w14:paraId="0B6129C1" w14:textId="77777777" w:rsidR="00DC311F" w:rsidRPr="00125234" w:rsidRDefault="00DC311F" w:rsidP="00DC311F">
      <w:pPr>
        <w:tabs>
          <w:tab w:val="left" w:pos="720"/>
          <w:tab w:val="left" w:pos="1080"/>
        </w:tabs>
        <w:jc w:val="both"/>
        <w:rPr>
          <w:b/>
        </w:rPr>
      </w:pPr>
      <w:bookmarkStart w:id="500" w:name="_Hlk212528611"/>
      <w:r w:rsidRPr="00125234">
        <w:rPr>
          <w:b/>
          <w:iCs/>
        </w:rPr>
        <w:t xml:space="preserve">Nuo 2026 metų mokestinio laikotarpio galiojanti </w:t>
      </w:r>
      <w:r w:rsidRPr="00125234">
        <w:rPr>
          <w:b/>
        </w:rPr>
        <w:t>PMĮ 33 straipsnio 3 dalies apibendrinto paaiškinimo (komentaro) 4 punkte pateiktų pavyzdžių  galiojanti redakija:</w:t>
      </w:r>
    </w:p>
    <w:bookmarkEnd w:id="500"/>
    <w:p w14:paraId="298B8E7B"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1. Bendrovė 2026 m. gegužės mėnesį Lietuvos vienetui – UAB „A“ išmokėjo 10 000 EUR dividendų, iš kurių, taikydama 17 proc. tarifą, išskaičiavo 1 700 EUR pelno mokesčio. UAB „A“ apskaičiuota 2025 mokestinių metų mokėtina pelno mokesčio suma sudarė 15 000 EUR. 2026 metais mokėtiną 2025 mokestinių metų pelno mokesčio sumą UAB „A“ gali sumažinti nuo jai 2026</w:t>
      </w:r>
      <w:r w:rsidRPr="00125234">
        <w:rPr>
          <w:b/>
        </w:rPr>
        <w:t xml:space="preserve"> </w:t>
      </w:r>
      <w:r w:rsidRPr="00125234">
        <w:t xml:space="preserve">m. </w:t>
      </w:r>
      <w:r w:rsidRPr="00125234">
        <w:lastRenderedPageBreak/>
        <w:t>gegužės mėn. išmokėtų dividendų išskaičiuota 1 700 EUR</w:t>
      </w:r>
      <w:r w:rsidRPr="00125234">
        <w:rPr>
          <w:b/>
        </w:rPr>
        <w:t xml:space="preserve"> </w:t>
      </w:r>
      <w:r w:rsidRPr="00125234">
        <w:t xml:space="preserve">mokesčio suma. </w:t>
      </w:r>
      <w:r w:rsidRPr="00125234">
        <w:rPr>
          <w:bCs/>
        </w:rPr>
        <w:t xml:space="preserve">Įskaitoma </w:t>
      </w:r>
      <w:r w:rsidRPr="00125234">
        <w:t xml:space="preserve">1 700 EUR </w:t>
      </w:r>
      <w:r w:rsidRPr="00125234">
        <w:rPr>
          <w:bCs/>
        </w:rPr>
        <w:t xml:space="preserve">dividendų pelno mokesčio suma turi būti įrašoma į </w:t>
      </w:r>
      <w:r w:rsidRPr="00125234">
        <w:t xml:space="preserve">UAB „A“ </w:t>
      </w:r>
      <w:r w:rsidRPr="00125234">
        <w:rPr>
          <w:bCs/>
        </w:rPr>
        <w:t xml:space="preserve">2025 mokestinių metų pelno mokesčio deklaraciją. </w:t>
      </w:r>
      <w:r w:rsidRPr="00125234">
        <w:t>UAB „A“</w:t>
      </w:r>
      <w:r w:rsidRPr="00125234">
        <w:rPr>
          <w:bCs/>
        </w:rPr>
        <w:t xml:space="preserve"> 2025 mokestinių metų pelno mokesčio deklaracijoje apskaičiuota mokėtina pelno mokesčio suma, įskaičius nuo gautų dividendų išskaitytą pelno mokestį, sudarys 13 300 EUR (15 000 EUR - 1 700 EUR).</w:t>
      </w:r>
    </w:p>
    <w:p w14:paraId="69E5D574"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2. </w:t>
      </w:r>
      <w:r w:rsidRPr="00125234">
        <w:t>Situacija ta pati kaip 1 pavyzdyje, išskyrus tai, kad UAB „A“ apskaičiavo 15 000 </w:t>
      </w:r>
      <w:r w:rsidRPr="00125234">
        <w:rPr>
          <w:bCs/>
        </w:rPr>
        <w:t xml:space="preserve">EUR </w:t>
      </w:r>
      <w:r w:rsidRPr="00125234">
        <w:t xml:space="preserve"> 2025 mokestinių metų nuostolių. UAB „A“ </w:t>
      </w:r>
      <w:r w:rsidRPr="00125234">
        <w:rPr>
          <w:bCs/>
        </w:rPr>
        <w:t xml:space="preserve">2025 mokestinių metų pelno mokesčio deklaracijoje įrašius įskaitomą 1 700 EUR dividendų pelno mokesčio sumą, susidarys 1 700 EUR mokesčio permoka, kuri grąžinama MAĮ nustatyta tvarka. </w:t>
      </w:r>
    </w:p>
    <w:p w14:paraId="313ABC00"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t>3. Situacija ta pati kaip 1 pavyzdyje, išskyrus tai, kad dividendai UAB „A“ buvo išmokėti ir mokestis nuo jų išskaičiuotas 2026</w:t>
      </w:r>
      <w:r w:rsidRPr="00125234">
        <w:rPr>
          <w:b/>
        </w:rPr>
        <w:t xml:space="preserve"> </w:t>
      </w:r>
      <w:r w:rsidRPr="00125234">
        <w:t>m. liepos mėn., šiai bendrovei jau pateikus 2025</w:t>
      </w:r>
      <w:r w:rsidRPr="00125234">
        <w:rPr>
          <w:b/>
        </w:rPr>
        <w:t xml:space="preserve"> </w:t>
      </w:r>
      <w:r w:rsidRPr="00125234">
        <w:t xml:space="preserve">mokestinių metų pelno mokesčio deklaraciją. Tokiu </w:t>
      </w:r>
      <w:r w:rsidRPr="00125234">
        <w:rPr>
          <w:bCs/>
        </w:rPr>
        <w:t xml:space="preserve">atveju </w:t>
      </w:r>
      <w:r w:rsidRPr="00125234">
        <w:t xml:space="preserve">UAB „A“ </w:t>
      </w:r>
      <w:r w:rsidRPr="00125234">
        <w:rPr>
          <w:bCs/>
        </w:rPr>
        <w:t>2025 mokestinių metų mokėtiną pelno mokestį gali sumažinti 1 700 EUR dividendų pelno mokesčio suma, pateikdama patikslintą 2025 mokestinių metų pelno mokesčio deklaraciją arba šio mokesčio sumą įskaityti, deklaruodama 2026</w:t>
      </w:r>
      <w:r w:rsidRPr="00125234">
        <w:rPr>
          <w:b/>
          <w:bCs/>
        </w:rPr>
        <w:t xml:space="preserve"> </w:t>
      </w:r>
      <w:r w:rsidRPr="00125234">
        <w:rPr>
          <w:bCs/>
        </w:rPr>
        <w:t xml:space="preserve">mokestinių metų mokėtiną pelno mokestį (t. y. sumažinti mokėtiną į biudžetą pelno mokestį tų mokestinių metų, kuriais buvo išskaitytas pelno mokestis iš jai išmokėtų dividendų). </w:t>
      </w:r>
    </w:p>
    <w:p w14:paraId="354B2551" w14:textId="77777777" w:rsidR="00DC311F" w:rsidRPr="00125234" w:rsidRDefault="00DC311F" w:rsidP="00DC311F">
      <w:pPr>
        <w:pBdr>
          <w:top w:val="single" w:sz="4" w:space="1" w:color="auto"/>
          <w:left w:val="single" w:sz="4" w:space="4" w:color="auto"/>
          <w:bottom w:val="single" w:sz="4" w:space="1" w:color="auto"/>
          <w:right w:val="single" w:sz="4" w:space="4" w:color="auto"/>
        </w:pBdr>
        <w:tabs>
          <w:tab w:val="left" w:pos="709"/>
        </w:tabs>
        <w:ind w:firstLine="720"/>
        <w:jc w:val="both"/>
        <w:rPr>
          <w:bCs/>
        </w:rPr>
      </w:pPr>
      <w:r w:rsidRPr="00125234">
        <w:rPr>
          <w:bCs/>
        </w:rPr>
        <w:t xml:space="preserve">Pastaba: visuose pavyzdžiuose mokestiniai metai sutampa su kalendoriniais metais. </w:t>
      </w:r>
    </w:p>
    <w:p w14:paraId="1EE35BAF" w14:textId="77777777" w:rsidR="00DC311F" w:rsidRPr="00125234" w:rsidRDefault="008D52D5" w:rsidP="00AD72C6">
      <w:pPr>
        <w:jc w:val="both"/>
        <w:rPr>
          <w:sz w:val="20"/>
          <w:szCs w:val="22"/>
          <w:lang w:val="lt-LT"/>
        </w:rPr>
      </w:pPr>
      <w:r w:rsidRPr="00125234">
        <w:t>(Pakeista pagal VMI prie FM 2025-10-24 raštą Nr. (18.10-31-1 Mr) R-3976)</w:t>
      </w:r>
    </w:p>
    <w:p w14:paraId="13411873" w14:textId="77777777" w:rsidR="00093845" w:rsidRPr="00125234" w:rsidRDefault="000D779E">
      <w:pPr>
        <w:tabs>
          <w:tab w:val="left" w:pos="709"/>
        </w:tabs>
        <w:ind w:firstLine="709"/>
        <w:jc w:val="both"/>
        <w:rPr>
          <w:lang w:val="lt-LT"/>
        </w:rPr>
      </w:pPr>
      <w:r w:rsidRPr="00125234">
        <w:rPr>
          <w:lang w:val="lt-LT"/>
        </w:rPr>
        <w:t>5. Komentuojamoje dalyje nenustatytas reikalavimas dividendų gavėjui turėti įrodymus, kad juos išmokėjęs Lietuvos vienetas nuo dividendų sumos išskaičiuotą pelno mokestį sumokėjo į biudžetą.</w:t>
      </w:r>
    </w:p>
    <w:p w14:paraId="4353BF61" w14:textId="77777777" w:rsidR="00093845" w:rsidRPr="00125234" w:rsidRDefault="000D779E">
      <w:pPr>
        <w:pStyle w:val="Pagrindiniotekstotrauka"/>
        <w:tabs>
          <w:tab w:val="left" w:pos="709"/>
        </w:tabs>
        <w:rPr>
          <w:lang w:val="lt-LT"/>
        </w:rPr>
      </w:pPr>
      <w:r w:rsidRPr="00125234">
        <w:rPr>
          <w:lang w:val="lt-LT"/>
        </w:rPr>
        <w:t xml:space="preserve">6. PMĮ 33 str. 3 dalies nuostatos dėl iš dividendų išskaityto mokesčio įskaitymo taip pat taikomos nuolatinėms buveinėms, gaunančioms dividendus iš Lietuvos vienetų, už joms užsienio vieneto priskirtas tų Lietuvos vienetų akcijas, kapitalo dalį ar kitas teises (žr. PMĮ 34 str. 3 dalies komentarą). </w:t>
      </w:r>
    </w:p>
    <w:p w14:paraId="7EE1D0A4" w14:textId="77777777" w:rsidR="00093845" w:rsidRPr="00125234" w:rsidRDefault="000D779E">
      <w:pPr>
        <w:tabs>
          <w:tab w:val="left" w:pos="709"/>
        </w:tabs>
        <w:jc w:val="both"/>
        <w:rPr>
          <w:lang w:val="lt-LT"/>
        </w:rPr>
      </w:pPr>
      <w:r w:rsidRPr="00125234">
        <w:rPr>
          <w:lang w:val="lt-LT"/>
        </w:rPr>
        <w:t xml:space="preserve">         (</w:t>
      </w:r>
      <w:r w:rsidR="00016DBB" w:rsidRPr="00125234">
        <w:rPr>
          <w:lang w:val="lt-LT"/>
        </w:rPr>
        <w:t>P</w:t>
      </w:r>
      <w:r w:rsidRPr="00125234">
        <w:rPr>
          <w:lang w:val="lt-LT"/>
        </w:rPr>
        <w:t xml:space="preserve">akeista pagal VMI prie FM raštą 2011-08-04 Nr. </w:t>
      </w:r>
      <w:r w:rsidRPr="00125234">
        <w:t>(18.10-31-1)-R-7412)</w:t>
      </w:r>
    </w:p>
    <w:p w14:paraId="380E0CB4" w14:textId="77777777" w:rsidR="00093845" w:rsidRPr="00125234" w:rsidRDefault="000D779E" w:rsidP="006C759B">
      <w:pPr>
        <w:pStyle w:val="tajtip"/>
        <w:spacing w:before="0" w:beforeAutospacing="0" w:after="0" w:afterAutospacing="0"/>
        <w:jc w:val="both"/>
        <w:rPr>
          <w:b/>
        </w:rPr>
      </w:pPr>
      <w:r w:rsidRPr="00125234">
        <w:rPr>
          <w:b/>
        </w:rPr>
        <w:t xml:space="preserve">           4.   Jeigu Lietuvos vienetas gauna dividendus Lietuvos Respublikos </w:t>
      </w:r>
      <w:bookmarkStart w:id="501" w:name="n1_727"/>
      <w:r w:rsidRPr="00125234">
        <w:fldChar w:fldCharType="begin"/>
      </w:r>
      <w:r w:rsidRPr="00125234">
        <w:instrText xml:space="preserve"> HYPERLINK "http://www.infolex.lt/ta/54758" \o "Lietuvos Respublikos akcinių bendrovių įstatymas" \t "_blank" </w:instrText>
      </w:r>
      <w:r w:rsidRPr="00125234">
        <w:fldChar w:fldCharType="separate"/>
      </w:r>
      <w:r w:rsidRPr="00125234">
        <w:rPr>
          <w:rStyle w:val="Hipersaitas"/>
        </w:rPr>
        <w:t>akcinių bendrovių įstatymo</w:t>
      </w:r>
      <w:r w:rsidRPr="00125234">
        <w:fldChar w:fldCharType="end"/>
      </w:r>
      <w:bookmarkStart w:id="502" w:name="pn1_727"/>
      <w:bookmarkEnd w:id="501"/>
      <w:bookmarkEnd w:id="502"/>
      <w:r w:rsidRPr="00125234">
        <w:t>,</w:t>
      </w:r>
      <w:r w:rsidRPr="00125234">
        <w:rPr>
          <w:b/>
        </w:rPr>
        <w:t xml:space="preserve"> Lietuvos Respublikos </w:t>
      </w:r>
      <w:bookmarkStart w:id="503" w:name="n1_728"/>
      <w:r w:rsidRPr="00125234">
        <w:fldChar w:fldCharType="begin"/>
      </w:r>
      <w:r w:rsidRPr="00125234">
        <w:instrText xml:space="preserve"> HYPERLINK "http://www.infolex.lt/ta/31084" \o "Lietuvos Respublikos kooperatinių bendrovių (kooperatyvų) įstatymas" \t "_blank" </w:instrText>
      </w:r>
      <w:r w:rsidRPr="00125234">
        <w:fldChar w:fldCharType="separate"/>
      </w:r>
      <w:r w:rsidRPr="00125234">
        <w:rPr>
          <w:rStyle w:val="Hipersaitas"/>
        </w:rPr>
        <w:t>kooperatinių bendrovių (kooperatyvų) įstatymo</w:t>
      </w:r>
      <w:r w:rsidRPr="00125234">
        <w:fldChar w:fldCharType="end"/>
      </w:r>
      <w:bookmarkStart w:id="504" w:name="pn1_728"/>
      <w:bookmarkEnd w:id="503"/>
      <w:bookmarkEnd w:id="504"/>
      <w:r w:rsidRPr="00125234">
        <w:t>,</w:t>
      </w:r>
      <w:r w:rsidRPr="00125234">
        <w:rPr>
          <w:b/>
        </w:rPr>
        <w:t xml:space="preserve"> Lietuvos Respublikos </w:t>
      </w:r>
      <w:bookmarkStart w:id="505" w:name="n1_729"/>
      <w:r w:rsidRPr="00125234">
        <w:fldChar w:fldCharType="begin"/>
      </w:r>
      <w:r w:rsidRPr="00125234">
        <w:instrText xml:space="preserve"> HYPERLINK "http://www.infolex.lt/ta/85252" \o "Lietuvos Respublikos kolektyvinio investavimo subjektų įstatymas" \t "_blank" </w:instrText>
      </w:r>
      <w:r w:rsidRPr="00125234">
        <w:fldChar w:fldCharType="separate"/>
      </w:r>
      <w:r w:rsidRPr="00125234">
        <w:rPr>
          <w:rStyle w:val="Hipersaitas"/>
        </w:rPr>
        <w:t>kolektyvinio investavimo subjektų įstatymo</w:t>
      </w:r>
      <w:r w:rsidRPr="00125234">
        <w:fldChar w:fldCharType="end"/>
      </w:r>
      <w:bookmarkStart w:id="506" w:name="pn1_729"/>
      <w:bookmarkEnd w:id="505"/>
      <w:bookmarkEnd w:id="506"/>
      <w:r w:rsidRPr="00125234">
        <w:rPr>
          <w:b/>
        </w:rPr>
        <w:t xml:space="preserve">, Lietuvos Respublikos informuotiesiems investuotojams skirtų kolektyvinio investavimo subjektų įstatymo ir Lietuvos Respublikos </w:t>
      </w:r>
      <w:bookmarkStart w:id="507" w:name="n1_731"/>
      <w:r w:rsidRPr="00125234">
        <w:fldChar w:fldCharType="begin"/>
      </w:r>
      <w:r w:rsidRPr="00125234">
        <w:instrText xml:space="preserve"> HYPERLINK "http://www.infolex.lt/ta/83268" \o "Lietuvos Respublikos žemės ūkio bendrovių įstatymas" \t "_blank" </w:instrText>
      </w:r>
      <w:r w:rsidRPr="00125234">
        <w:fldChar w:fldCharType="separate"/>
      </w:r>
      <w:r w:rsidRPr="00125234">
        <w:rPr>
          <w:rStyle w:val="Hipersaitas"/>
        </w:rPr>
        <w:t>žemės ūkio bendrovių įstatymo</w:t>
      </w:r>
      <w:r w:rsidRPr="00125234">
        <w:fldChar w:fldCharType="end"/>
      </w:r>
      <w:bookmarkStart w:id="508" w:name="pn1_731"/>
      <w:bookmarkEnd w:id="507"/>
      <w:bookmarkEnd w:id="508"/>
      <w:r w:rsidRPr="00125234">
        <w:rPr>
          <w:b/>
        </w:rPr>
        <w:t xml:space="preserve"> nustatyta tvarka, šis vienetas į pajamas iš kito Lietuvos vieneto gautų dividendų neįtraukia.</w:t>
      </w:r>
    </w:p>
    <w:p w14:paraId="0E0A293D" w14:textId="77777777" w:rsidR="00093845" w:rsidRPr="00125234" w:rsidRDefault="000D779E" w:rsidP="006C759B">
      <w:pPr>
        <w:pStyle w:val="tajtip"/>
        <w:spacing w:before="0" w:beforeAutospacing="0" w:after="0" w:afterAutospacing="0"/>
        <w:rPr>
          <w:bCs/>
          <w:i/>
          <w:iCs/>
        </w:rPr>
      </w:pPr>
      <w:r w:rsidRPr="00125234">
        <w:rPr>
          <w:bCs/>
          <w:i/>
        </w:rPr>
        <w:t>(</w:t>
      </w:r>
      <w:r w:rsidRPr="00125234">
        <w:rPr>
          <w:i/>
          <w:iCs/>
        </w:rPr>
        <w:t>KEISTA: 2017 12 07 įstatymu Nr. XIII-842 (nuo 2017 12 23)</w:t>
      </w:r>
      <w:r w:rsidR="00F33038" w:rsidRPr="00125234">
        <w:rPr>
          <w:i/>
          <w:iCs/>
        </w:rPr>
        <w:t>,</w:t>
      </w:r>
      <w:r w:rsidR="006C759B" w:rsidRPr="00125234">
        <w:rPr>
          <w:i/>
        </w:rPr>
        <w:t xml:space="preserve"> </w:t>
      </w:r>
      <w:r w:rsidR="006C759B" w:rsidRPr="00125234">
        <w:rPr>
          <w:i/>
          <w:iCs/>
        </w:rPr>
        <w:t>taikoma apskaičiuojant 2018 metais prasidėjusio ir vėlesnių mokestinių laikotarpių apmokestinamąjį pelną</w:t>
      </w:r>
      <w:r w:rsidRPr="00125234">
        <w:rPr>
          <w:bCs/>
          <w:i/>
          <w:iCs/>
        </w:rPr>
        <w:t>)</w:t>
      </w:r>
    </w:p>
    <w:p w14:paraId="36DCC674" w14:textId="77777777" w:rsidR="005E1525" w:rsidRPr="00125234" w:rsidRDefault="005E1525" w:rsidP="006C759B">
      <w:pPr>
        <w:pStyle w:val="tajtip"/>
        <w:spacing w:before="0" w:beforeAutospacing="0" w:after="0" w:afterAutospacing="0"/>
        <w:rPr>
          <w:bCs/>
          <w:i/>
          <w:iCs/>
        </w:rPr>
      </w:pPr>
    </w:p>
    <w:p w14:paraId="4EB619F2" w14:textId="77777777" w:rsidR="00093845" w:rsidRPr="00125234" w:rsidRDefault="000D779E">
      <w:pPr>
        <w:tabs>
          <w:tab w:val="left" w:pos="720"/>
          <w:tab w:val="left" w:pos="1077"/>
          <w:tab w:val="left" w:pos="1418"/>
        </w:tabs>
        <w:ind w:right="-5" w:firstLine="709"/>
        <w:jc w:val="both"/>
        <w:rPr>
          <w:b/>
        </w:rPr>
      </w:pPr>
      <w:r w:rsidRPr="00125234">
        <w:rPr>
          <w:b/>
        </w:rPr>
        <w:t>Komentaras</w:t>
      </w:r>
    </w:p>
    <w:p w14:paraId="3B0E2F88" w14:textId="77777777" w:rsidR="00093845" w:rsidRPr="00125234" w:rsidRDefault="000D779E">
      <w:pPr>
        <w:pStyle w:val="prastasiniatinklio"/>
        <w:spacing w:before="0" w:beforeAutospacing="0" w:after="0" w:afterAutospacing="0"/>
        <w:ind w:firstLine="709"/>
        <w:jc w:val="both"/>
      </w:pPr>
      <w:r w:rsidRPr="00125234">
        <w:t xml:space="preserve">Dividendai, išmokami Lietuvos vienetų veiklą reglamentuojančiuose įstatymuose nustatyta tvarka, į tuos dividendus gaunančių Lietuvos vienetų pajamas neįtraukiami. </w:t>
      </w:r>
    </w:p>
    <w:p w14:paraId="2A424D59" w14:textId="77777777" w:rsidR="00093845" w:rsidRPr="00125234" w:rsidRDefault="000D779E">
      <w:pPr>
        <w:pStyle w:val="prastasiniatinklio"/>
        <w:spacing w:before="0" w:beforeAutospacing="0" w:after="0" w:afterAutospacing="0"/>
        <w:ind w:firstLine="709"/>
        <w:jc w:val="both"/>
      </w:pPr>
      <w:r w:rsidRPr="00125234">
        <w:t>Remiantis PMĮ 34 str. 3 dalimi, į nuolatinių buveinių pajamas neįtraukiami iš Lietuvos vienetų gaunami dividendai už joms užsienio vieneto priskirtas tų Lietuvos vienetų akcijas, kapitalo dalį ar kitas teises.</w:t>
      </w:r>
    </w:p>
    <w:p w14:paraId="4C9E1A1C" w14:textId="77777777" w:rsidR="00FB6B62" w:rsidRPr="00125234" w:rsidRDefault="000D779E" w:rsidP="002F4FA8">
      <w:pPr>
        <w:pStyle w:val="prastasiniatinklio"/>
        <w:spacing w:before="0" w:beforeAutospacing="0" w:after="0" w:afterAutospacing="0"/>
        <w:ind w:firstLine="709"/>
        <w:jc w:val="both"/>
        <w:rPr>
          <w:color w:val="000000"/>
        </w:rPr>
      </w:pPr>
      <w:r w:rsidRPr="00125234">
        <w:t>(Pagal VMI prie FM 2018-07-17 raštą Nr. (</w:t>
      </w:r>
      <w:r w:rsidRPr="00125234">
        <w:rPr>
          <w:color w:val="000000"/>
        </w:rPr>
        <w:t>32.42-31-1E) RM-25937)</w:t>
      </w:r>
    </w:p>
    <w:p w14:paraId="685C88A6" w14:textId="77777777" w:rsidR="002F4FA8" w:rsidRPr="00125234" w:rsidRDefault="002F4FA8" w:rsidP="002F4FA8">
      <w:pPr>
        <w:pStyle w:val="prastasiniatinklio"/>
        <w:spacing w:before="0" w:beforeAutospacing="0" w:after="0" w:afterAutospacing="0"/>
        <w:ind w:firstLine="709"/>
        <w:jc w:val="both"/>
        <w:rPr>
          <w:color w:val="000000"/>
        </w:rPr>
      </w:pPr>
    </w:p>
    <w:p w14:paraId="40F33866" w14:textId="77777777" w:rsidR="00FB6B62" w:rsidRPr="00125234" w:rsidRDefault="00FB6B62" w:rsidP="00AE73A8">
      <w:pPr>
        <w:pStyle w:val="prastasiniatinklio"/>
        <w:spacing w:before="0" w:beforeAutospacing="0" w:after="0" w:afterAutospacing="0"/>
        <w:ind w:firstLine="709"/>
        <w:jc w:val="both"/>
      </w:pPr>
    </w:p>
    <w:p w14:paraId="4DC770B4" w14:textId="77777777" w:rsidR="00093845" w:rsidRPr="00125234" w:rsidRDefault="000D779E">
      <w:pPr>
        <w:pStyle w:val="Antrat1"/>
        <w:tabs>
          <w:tab w:val="left" w:pos="709"/>
        </w:tabs>
        <w:jc w:val="both"/>
        <w:rPr>
          <w:rFonts w:ascii="Times New Roman" w:hAnsi="Times New Roman"/>
        </w:rPr>
      </w:pPr>
      <w:r w:rsidRPr="00125234">
        <w:rPr>
          <w:rFonts w:ascii="Times New Roman" w:hAnsi="Times New Roman"/>
        </w:rPr>
        <w:lastRenderedPageBreak/>
        <w:t xml:space="preserve">           </w:t>
      </w:r>
      <w:bookmarkStart w:id="509" w:name="straipsnis34"/>
      <w:r w:rsidRPr="00125234">
        <w:rPr>
          <w:rFonts w:ascii="Times New Roman" w:hAnsi="Times New Roman"/>
        </w:rPr>
        <w:t>34 STRAIPSNIS</w:t>
      </w:r>
      <w:bookmarkEnd w:id="509"/>
      <w:r w:rsidRPr="00125234">
        <w:rPr>
          <w:rFonts w:ascii="Times New Roman" w:hAnsi="Times New Roman"/>
        </w:rPr>
        <w:t>. Dividendai, išmokami užsienio vienetams</w:t>
      </w:r>
    </w:p>
    <w:p w14:paraId="773B8673" w14:textId="77777777" w:rsidR="00DC311F" w:rsidRPr="00125234" w:rsidRDefault="00DC311F" w:rsidP="00DC311F">
      <w:pPr>
        <w:pStyle w:val="tajtip"/>
        <w:rPr>
          <w:b/>
          <w:iCs/>
        </w:rPr>
      </w:pPr>
      <w:bookmarkStart w:id="510" w:name="_Hlk212528403"/>
      <w:r w:rsidRPr="00125234">
        <w:rPr>
          <w:b/>
          <w:iCs/>
        </w:rPr>
        <w:t xml:space="preserve">Iki 2026 metų mokestinio laikotarpio galiojanti </w:t>
      </w:r>
      <w:r w:rsidRPr="00125234">
        <w:rPr>
          <w:b/>
        </w:rPr>
        <w:t>PMĮ 34 straipsnio 1 dalies</w:t>
      </w:r>
      <w:r w:rsidRPr="00125234">
        <w:rPr>
          <w:b/>
          <w:iCs/>
        </w:rPr>
        <w:t xml:space="preserve"> redacija:</w:t>
      </w:r>
      <w:bookmarkEnd w:id="510"/>
    </w:p>
    <w:p w14:paraId="41A1DA8B" w14:textId="77777777" w:rsidR="00AE73A8" w:rsidRPr="00125234" w:rsidRDefault="00AE73A8" w:rsidP="00AE73A8">
      <w:pPr>
        <w:jc w:val="both"/>
        <w:rPr>
          <w:b/>
        </w:rPr>
      </w:pPr>
      <w:r w:rsidRPr="00125234">
        <w:t xml:space="preserve">            </w:t>
      </w:r>
      <w:r w:rsidRPr="00125234">
        <w:rPr>
          <w:b/>
        </w:rPr>
        <w:t xml:space="preserve">1. </w:t>
      </w:r>
      <w:r w:rsidRPr="00125234">
        <w:rPr>
          <w:b/>
          <w:lang w:eastAsia="lt-LT"/>
        </w:rPr>
        <w:t>Užsienio vienetų gaunami už turimas Lietuvos vieneto akcijas,</w:t>
      </w:r>
      <w:r w:rsidRPr="00125234">
        <w:rPr>
          <w:b/>
        </w:rPr>
        <w:t xml:space="preserve"> </w:t>
      </w:r>
      <w:r w:rsidRPr="00125234">
        <w:rPr>
          <w:b/>
          <w:lang w:eastAsia="lt-LT"/>
        </w:rPr>
        <w:t>kapitalo dalį ar kitų teisių turėjimą dividendai apmokestinami</w:t>
      </w:r>
      <w:r w:rsidRPr="00125234">
        <w:rPr>
          <w:b/>
        </w:rPr>
        <w:t xml:space="preserve"> </w:t>
      </w:r>
      <w:r w:rsidRPr="00125234">
        <w:rPr>
          <w:b/>
          <w:lang w:eastAsia="lt-LT"/>
        </w:rPr>
        <w:t>taikant 16 procentų pelno mokesčio tarifą. Mokestį apskaičiuoja,</w:t>
      </w:r>
      <w:r w:rsidRPr="00125234">
        <w:rPr>
          <w:b/>
        </w:rPr>
        <w:t xml:space="preserve"> </w:t>
      </w:r>
      <w:r w:rsidRPr="00125234">
        <w:rPr>
          <w:b/>
          <w:lang w:eastAsia="lt-LT"/>
        </w:rPr>
        <w:t>išskaito ir sumoka į biudžetą dividendus išmokantis Lietuvos</w:t>
      </w:r>
      <w:r w:rsidRPr="00125234">
        <w:rPr>
          <w:b/>
        </w:rPr>
        <w:t xml:space="preserve"> </w:t>
      </w:r>
      <w:r w:rsidRPr="00125234">
        <w:rPr>
          <w:b/>
          <w:lang w:eastAsia="lt-LT"/>
        </w:rPr>
        <w:t>vienetas ne vėliau kaip iki mėnesio, einančio po mėnesio, kurį</w:t>
      </w:r>
      <w:r w:rsidRPr="00125234">
        <w:rPr>
          <w:b/>
        </w:rPr>
        <w:t xml:space="preserve"> </w:t>
      </w:r>
      <w:r w:rsidRPr="00125234">
        <w:rPr>
          <w:b/>
          <w:lang w:eastAsia="lt-LT"/>
        </w:rPr>
        <w:t>dividendai buvo išmokėti, penkioliktos dienos.</w:t>
      </w:r>
    </w:p>
    <w:p w14:paraId="7949EE91" w14:textId="77777777" w:rsidR="00AE73A8" w:rsidRPr="00125234" w:rsidRDefault="00AE73A8" w:rsidP="00AE73A8">
      <w:pPr>
        <w:jc w:val="both"/>
        <w:rPr>
          <w:bCs/>
          <w:i/>
        </w:rPr>
      </w:pPr>
      <w:r w:rsidRPr="00125234">
        <w:rPr>
          <w:i/>
        </w:rPr>
        <w:t>(KEISTA: 2024 06 20 įstatymu Nr. XIV-2774 (nuo 2025 01 01)</w:t>
      </w:r>
      <w:r w:rsidRPr="00125234">
        <w:rPr>
          <w:bCs/>
          <w:i/>
        </w:rPr>
        <w:t>)</w:t>
      </w:r>
    </w:p>
    <w:p w14:paraId="24523C58" w14:textId="77777777" w:rsidR="00AE73A8" w:rsidRPr="00125234" w:rsidRDefault="00AE73A8" w:rsidP="00AE73A8">
      <w:pPr>
        <w:tabs>
          <w:tab w:val="left" w:pos="709"/>
        </w:tabs>
        <w:ind w:firstLine="720"/>
        <w:jc w:val="both"/>
        <w:rPr>
          <w:b/>
          <w:bCs/>
        </w:rPr>
      </w:pPr>
      <w:r w:rsidRPr="00125234">
        <w:rPr>
          <w:b/>
          <w:bCs/>
        </w:rPr>
        <w:t>Komentaras</w:t>
      </w:r>
    </w:p>
    <w:p w14:paraId="01E1C5A1" w14:textId="77777777" w:rsidR="00AE73A8" w:rsidRPr="00125234" w:rsidRDefault="00AE73A8" w:rsidP="00AE73A8">
      <w:pPr>
        <w:tabs>
          <w:tab w:val="left" w:pos="709"/>
          <w:tab w:val="left" w:pos="1077"/>
          <w:tab w:val="left" w:pos="1418"/>
        </w:tabs>
        <w:ind w:firstLine="720"/>
        <w:jc w:val="both"/>
        <w:rPr>
          <w:strike/>
        </w:rPr>
      </w:pPr>
      <w:r w:rsidRPr="00125234">
        <w:t>1. Nuo 2025 m. sausio 1 d.</w:t>
      </w:r>
      <w:r w:rsidRPr="00125234">
        <w:rPr>
          <w:b/>
        </w:rPr>
        <w:t xml:space="preserve"> </w:t>
      </w:r>
      <w:r w:rsidRPr="00125234">
        <w:t xml:space="preserve">užsienio vienetų už turimas Lietuvos vienetų akcijas, kapitalo dalį ar kitokias teises gaunami dividendai apmokestinami </w:t>
      </w:r>
      <w:r w:rsidRPr="00125234">
        <w:rPr>
          <w:color w:val="000000"/>
        </w:rPr>
        <w:t xml:space="preserve">16 </w:t>
      </w:r>
      <w:r w:rsidRPr="00125234">
        <w:t xml:space="preserve">proc. dydžio pelno mokesčiu (iki 2024 m. gruodžio 31 d. 15 proc. dydžio pelno mokesčiu). </w:t>
      </w:r>
    </w:p>
    <w:p w14:paraId="4D6753CE" w14:textId="77777777" w:rsidR="00AE73A8" w:rsidRPr="00125234" w:rsidRDefault="00AE73A8" w:rsidP="00AE73A8">
      <w:pPr>
        <w:tabs>
          <w:tab w:val="left" w:pos="709"/>
          <w:tab w:val="left" w:pos="1077"/>
          <w:tab w:val="left" w:pos="1418"/>
        </w:tabs>
        <w:ind w:firstLine="720"/>
        <w:jc w:val="both"/>
      </w:pPr>
      <w:r w:rsidRPr="00125234">
        <w:t>2.</w:t>
      </w:r>
      <w:r w:rsidRPr="00125234">
        <w:rPr>
          <w:b/>
        </w:rPr>
        <w:t xml:space="preserve"> </w:t>
      </w:r>
      <w:r w:rsidRPr="00125234">
        <w:t>Prievolė išskaičiuoti ir sumokėti į biudžetą mokestį nuo užsienio vienetams išmokamų dividendų nustatyta dividendus išmokančiam Lietuvos</w:t>
      </w:r>
      <w:r w:rsidRPr="00125234">
        <w:rPr>
          <w:b/>
        </w:rPr>
        <w:t xml:space="preserve"> </w:t>
      </w:r>
      <w:r w:rsidRPr="00125234">
        <w:t>vienetui. Mokestis į biudžetą privalo būti sumokėtas ne vėliau kaip iki penkioliktos dienos kito mėnesio, einančio po mėnesio, kurį dividendai buvo išmokėti. Pavyzdžiui, jei akcinė bendrovė savo akcininkams (užsienio vienetams) išmokėjo dividendus 2025 m. balandžio 9 dieną, tai nuo išmokėtų dividendų išskaičiuotą pelno mokestį ji turi sumokėti į biudžetą iki 2025</w:t>
      </w:r>
      <w:r w:rsidRPr="00125234">
        <w:rPr>
          <w:b/>
        </w:rPr>
        <w:t xml:space="preserve"> </w:t>
      </w:r>
      <w:r w:rsidRPr="00125234">
        <w:t xml:space="preserve">m. gegužės 15 dienos. </w:t>
      </w:r>
    </w:p>
    <w:p w14:paraId="1006E706" w14:textId="77777777" w:rsidR="00AE73A8" w:rsidRPr="00125234" w:rsidRDefault="00AE73A8" w:rsidP="00AE73A8">
      <w:pPr>
        <w:tabs>
          <w:tab w:val="left" w:pos="709"/>
          <w:tab w:val="left" w:pos="1077"/>
          <w:tab w:val="left" w:pos="1418"/>
        </w:tabs>
        <w:ind w:firstLine="720"/>
        <w:jc w:val="both"/>
      </w:pPr>
      <w:r w:rsidRPr="00125234">
        <w:t>3. Jeigu Lietuvos vieneto dalyviams dividendai buvo paskirstyti</w:t>
      </w:r>
      <w:r w:rsidRPr="00125234">
        <w:rPr>
          <w:b/>
        </w:rPr>
        <w:t>,</w:t>
      </w:r>
      <w:r w:rsidRPr="00125234">
        <w:t xml:space="preserve"> bet neišmokėti iki 2024</w:t>
      </w:r>
      <w:r w:rsidRPr="00125234">
        <w:rPr>
          <w:b/>
        </w:rPr>
        <w:t xml:space="preserve"> </w:t>
      </w:r>
      <w:r w:rsidRPr="00125234">
        <w:t>m. gruodžio 31 d., tai juos išmokant nuo 2025</w:t>
      </w:r>
      <w:r w:rsidRPr="00125234">
        <w:rPr>
          <w:b/>
        </w:rPr>
        <w:t xml:space="preserve"> </w:t>
      </w:r>
      <w:r w:rsidRPr="00125234">
        <w:t>m. sausio 1 d. taikomas 16 proc. pelno mokesčio tarifas.</w:t>
      </w:r>
    </w:p>
    <w:p w14:paraId="73D98BD9" w14:textId="77777777" w:rsidR="00AE73A8" w:rsidRPr="00125234" w:rsidRDefault="00AE73A8" w:rsidP="00AE73A8">
      <w:pPr>
        <w:tabs>
          <w:tab w:val="left" w:pos="709"/>
          <w:tab w:val="left" w:pos="1077"/>
          <w:tab w:val="left" w:pos="1418"/>
        </w:tabs>
        <w:ind w:firstLine="720"/>
        <w:jc w:val="both"/>
      </w:pPr>
      <w:r w:rsidRPr="00125234">
        <w:t>4.</w:t>
      </w:r>
      <w:r w:rsidRPr="00125234">
        <w:tab/>
        <w:t>Jeigu tarp Lietuvos ir užsienio valstybės, kurios rezidentui (juridiniam ar fiziniam asmeniui) išmokami dividendai, yra sudaryta ir taikoma dvigubo apmokestinimo išvengimo sutartis (toliau – DAIS) ir jei šios sutarties nuostatos riboja Lietuvos teisę pagal vidaus įstatymus apmokestinti išmokamus dividendus, tai taikomos sutartyse nustatytos apmokestinimo taisyklės (remiantis Mokesčių administravimo įstatymo 5 straipsniu).</w:t>
      </w:r>
    </w:p>
    <w:p w14:paraId="7BD6E649" w14:textId="77777777" w:rsidR="00AE73A8" w:rsidRPr="00125234" w:rsidRDefault="00AE73A8" w:rsidP="00AE73A8">
      <w:pPr>
        <w:suppressAutoHyphens/>
        <w:autoSpaceDE w:val="0"/>
        <w:autoSpaceDN w:val="0"/>
        <w:adjustRightInd w:val="0"/>
        <w:ind w:firstLine="709"/>
        <w:jc w:val="both"/>
        <w:textAlignment w:val="center"/>
        <w:rPr>
          <w:color w:val="000000"/>
        </w:rPr>
      </w:pPr>
      <w:r w:rsidRPr="00125234">
        <w:rPr>
          <w:color w:val="000000"/>
        </w:rPr>
        <w:t xml:space="preserve">Taikant konkrečių DAIS nuostatas, Lietuvos vienetas, išmokėdamas dividendus užsienio valstybės rezidentui (juridiniam ar fiziniam asmeniui), mokestį išskaičiuoti pagal dvigubo apmokestinimo išvengimo sutartyje nustatytą mažesnį nei PMĮ nustatytą tarifą gali tik tuo atveju, jei turi to asmens prašymą sumažinti išskaičiuojamą mokestį. Užsienio valstybės rezidento prašymo sumažinti išskaičiuojamą mokestį </w:t>
      </w:r>
      <w:hyperlink r:id="rId98" w:history="1">
        <w:r w:rsidRPr="00125234">
          <w:t>FR0021</w:t>
        </w:r>
      </w:hyperlink>
      <w:r w:rsidRPr="00125234">
        <w:t xml:space="preserve"> (DAS-1)</w:t>
      </w:r>
      <w:r w:rsidRPr="00125234">
        <w:rPr>
          <w:color w:val="000000"/>
        </w:rPr>
        <w:t xml:space="preserve"> forma (toliau – DAS-1 forma) patvirtinta Valstybinės mokesčių inspekcijos prie Lietuvos Respublikos finansų ministerijos (toliau – VMI prie FM) viršininko 2001 m. birželio 27 d. </w:t>
      </w:r>
      <w:hyperlink r:id="rId99" w:history="1">
        <w:r w:rsidRPr="00125234">
          <w:t>įsakymu Nr. 159</w:t>
        </w:r>
      </w:hyperlink>
      <w:r w:rsidRPr="00125234">
        <w:rPr>
          <w:color w:val="000000"/>
        </w:rPr>
        <w:t>, toliau – įsakymas). Užsienio valstybės rezidentui (juridiniam ar fiziniam asmeniui) dividendus išmokėjęs ir nuo jų pagal taikomoje tarptautinėje DAIS nustatytą sumažintą mokesčio tarifą išskaičiavęs mokestį Lietuvos vienetas užpildytą DAS-1 formos egzempliorių turi pateikti mokesčių administratoriui jam pareikalavus.</w:t>
      </w:r>
    </w:p>
    <w:p w14:paraId="7E4D726E" w14:textId="77777777" w:rsidR="00AE73A8" w:rsidRPr="00125234" w:rsidRDefault="00AE73A8" w:rsidP="00AE73A8">
      <w:pPr>
        <w:tabs>
          <w:tab w:val="left" w:pos="709"/>
          <w:tab w:val="left" w:pos="1077"/>
          <w:tab w:val="left" w:pos="1418"/>
        </w:tabs>
        <w:ind w:firstLine="720"/>
        <w:jc w:val="both"/>
        <w:rPr>
          <w:strike/>
        </w:rPr>
      </w:pPr>
      <w:r w:rsidRPr="00125234">
        <w:t xml:space="preserve">Jeigu Lietuvos vienetas, išmokėdamas dividendus užsienio valstybės rezidentui (juridiniam ar fiziniam asmeniui), neturėjo užsienio rezidento prašymo sumažinti išskaičiuojamą mokestį (DAS-1 formos) ir mokestį išskaičiavo pagal įstatymuose nustatytą pelno (pajamų) mokesčio tarifą, tai užsienio valstybės rezidentas arba jo įgaliotas asmuo, norėdamas susigrąžinti permokėtą mokesčio dalį, gali pateikti prašymą (įsakymu patvirtintą Užsienio valstybės rezidento prašymo grąžinti išskaičiuotą mokestį </w:t>
      </w:r>
      <w:hyperlink r:id="rId100" w:history="1">
        <w:r w:rsidRPr="00125234">
          <w:t>FR0022</w:t>
        </w:r>
      </w:hyperlink>
      <w:r w:rsidRPr="00125234">
        <w:t xml:space="preserve"> (DAS-2) formą) grąžinti išskaičiuotąjį mokestį. </w:t>
      </w:r>
    </w:p>
    <w:p w14:paraId="7C2BE629" w14:textId="77777777" w:rsidR="00AE73A8" w:rsidRPr="00125234" w:rsidRDefault="00AE73A8" w:rsidP="00AE73A8">
      <w:pPr>
        <w:tabs>
          <w:tab w:val="left" w:pos="709"/>
          <w:tab w:val="left" w:pos="1077"/>
          <w:tab w:val="left" w:pos="1418"/>
        </w:tabs>
        <w:ind w:firstLine="720"/>
        <w:jc w:val="both"/>
      </w:pPr>
      <w:r w:rsidRPr="00125234">
        <w:t xml:space="preserve">Pateikiame pavyzdį, kaip turi būti apskaičiuojamas mokestis nuo Slovakijos rezidentui (juridiniam asmeniui) išmokėtų dividendų taikant Lietuvos ir Slovakijos DAIS. </w:t>
      </w:r>
    </w:p>
    <w:p w14:paraId="3B29AB01" w14:textId="77777777" w:rsidR="00AE73A8" w:rsidRPr="00125234" w:rsidRDefault="00AE73A8" w:rsidP="00AE73A8">
      <w:pPr>
        <w:tabs>
          <w:tab w:val="left" w:pos="709"/>
          <w:tab w:val="left" w:pos="1077"/>
          <w:tab w:val="left" w:pos="1418"/>
        </w:tabs>
        <w:ind w:firstLine="720"/>
        <w:jc w:val="both"/>
      </w:pPr>
      <w:r w:rsidRPr="00125234">
        <w:lastRenderedPageBreak/>
        <w:t xml:space="preserve">Pavyzdys </w:t>
      </w:r>
    </w:p>
    <w:p w14:paraId="489225CC" w14:textId="77777777" w:rsidR="00AE73A8" w:rsidRPr="00125234" w:rsidRDefault="00AE73A8" w:rsidP="00AE73A8">
      <w:pPr>
        <w:pBdr>
          <w:top w:val="single" w:sz="4" w:space="1" w:color="auto"/>
          <w:left w:val="single" w:sz="4" w:space="4" w:color="auto"/>
          <w:right w:val="single" w:sz="4" w:space="4" w:color="auto"/>
        </w:pBdr>
        <w:tabs>
          <w:tab w:val="left" w:pos="709"/>
          <w:tab w:val="left" w:pos="1077"/>
          <w:tab w:val="left" w:pos="1418"/>
        </w:tabs>
        <w:ind w:firstLine="720"/>
        <w:jc w:val="both"/>
      </w:pPr>
      <w:r w:rsidRPr="00125234">
        <w:t>Slovakijos rezidentams išmokamų dividendų apmokestinimas.</w:t>
      </w:r>
    </w:p>
    <w:p w14:paraId="29C0D42F"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 xml:space="preserve">Pagal Lietuvos ir Slovakijos DAIS, dividendus išmokėjusios bendrovės rezidavimo valstybė turi teisę apmokestinti šiuos dividendus, tačiau jei tikrasis dividendų savininkas yra Slovakijos rezidentas, toks mokestis negali būti didesnis kaip 10 proc. bendros dividendų sumos. </w:t>
      </w:r>
    </w:p>
    <w:p w14:paraId="6598D714"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rPr>
          <w:strike/>
        </w:rPr>
      </w:pPr>
      <w:r w:rsidRPr="00125234">
        <w:t xml:space="preserve">2025 m. balandžio mėnesį Lietuvos akcinė bendrovė išmokėjo 100 000 EUR dividendų įmonei - Slovakijos rezidentei, turinčiai 8 proc. šios Lietuvos bendrovės akcijų. Išmokėdama dividendus, Lietuvos akcinė bendrovė turėjo Slovakijos rezidento tinkamai užpildytą DAS-1 formą (prašymą sumažinti išskaičiuojamą mokestį). </w:t>
      </w:r>
    </w:p>
    <w:p w14:paraId="33800976" w14:textId="77777777" w:rsidR="00AE73A8" w:rsidRPr="00125234" w:rsidRDefault="00AE73A8" w:rsidP="00AE73A8">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Remdamosi DAIS su Slovakija nuostatomis, iš Slovakijos rezidentui mokamos 100 000 EUR dividendų sumos Lietuvos akcinė bendrovė turi išskaičiuoti pelno mokestį, taikydama sutartyje nustatytą 10 proc. mokesčio tarifą, ir į biudžetą sumokėti 10 000 EUR [(100 000 x 10)/100].</w:t>
      </w:r>
    </w:p>
    <w:p w14:paraId="51F7BC9F" w14:textId="77777777" w:rsidR="007B6A33" w:rsidRPr="00C80111" w:rsidRDefault="00AE73A8" w:rsidP="007B6A33">
      <w:pPr>
        <w:tabs>
          <w:tab w:val="left" w:pos="709"/>
          <w:tab w:val="left" w:pos="1077"/>
          <w:tab w:val="left" w:pos="1418"/>
        </w:tabs>
        <w:ind w:firstLine="720"/>
        <w:jc w:val="both"/>
        <w:rPr>
          <w:bCs/>
          <w:color w:val="000000" w:themeColor="text1"/>
        </w:rPr>
      </w:pPr>
      <w:r w:rsidRPr="00C80111">
        <w:rPr>
          <w:color w:val="000000" w:themeColor="text1"/>
        </w:rPr>
        <w:t>Lietuvoje taikom</w:t>
      </w:r>
      <w:r w:rsidR="008A670F" w:rsidRPr="00C80111">
        <w:rPr>
          <w:color w:val="000000" w:themeColor="text1"/>
        </w:rPr>
        <w:t>as</w:t>
      </w:r>
      <w:r w:rsidRPr="00C80111">
        <w:rPr>
          <w:color w:val="000000" w:themeColor="text1"/>
        </w:rPr>
        <w:t xml:space="preserve"> </w:t>
      </w:r>
      <w:r w:rsidR="007B6A33" w:rsidRPr="00C80111">
        <w:rPr>
          <w:color w:val="000000" w:themeColor="text1"/>
        </w:rPr>
        <w:t>dvigubo apmokestinimo išvengimo sutartis gali</w:t>
      </w:r>
      <w:r w:rsidR="008A670F" w:rsidRPr="00C80111">
        <w:rPr>
          <w:color w:val="000000" w:themeColor="text1"/>
        </w:rPr>
        <w:t>t</w:t>
      </w:r>
      <w:r w:rsidR="007B6A33" w:rsidRPr="00C80111">
        <w:rPr>
          <w:color w:val="000000" w:themeColor="text1"/>
        </w:rPr>
        <w:t xml:space="preserve">e rasti: </w:t>
      </w:r>
      <w:r w:rsidRPr="00C80111">
        <w:rPr>
          <w:color w:val="000000" w:themeColor="text1"/>
        </w:rPr>
        <w:t>VMI prie FM interneto svetainėje (http://www.vmi.lt) skyrelyje</w:t>
      </w:r>
      <w:r w:rsidR="007B6A33" w:rsidRPr="00C80111">
        <w:rPr>
          <w:color w:val="000000" w:themeColor="text1"/>
        </w:rPr>
        <w:t xml:space="preserve"> </w:t>
      </w:r>
      <w:r w:rsidRPr="00C80111">
        <w:rPr>
          <w:color w:val="000000" w:themeColor="text1"/>
        </w:rPr>
        <w:t>Mokesči</w:t>
      </w:r>
      <w:r w:rsidR="007B6A33" w:rsidRPr="00C80111">
        <w:rPr>
          <w:color w:val="000000" w:themeColor="text1"/>
        </w:rPr>
        <w:t>ų žinynas</w:t>
      </w:r>
      <w:r w:rsidRPr="00C80111">
        <w:rPr>
          <w:color w:val="000000" w:themeColor="text1"/>
        </w:rPr>
        <w:t xml:space="preserve"> &gt; Tarptautinės dvigubo apmokestinimo išvengimo sutartys</w:t>
      </w:r>
      <w:r w:rsidR="007B6A33" w:rsidRPr="00C80111">
        <w:rPr>
          <w:color w:val="000000" w:themeColor="text1"/>
        </w:rPr>
        <w:t>.</w:t>
      </w:r>
    </w:p>
    <w:p w14:paraId="280C07EA" w14:textId="77777777" w:rsidR="00AE73A8" w:rsidRPr="00125234" w:rsidRDefault="00AE73A8" w:rsidP="00AE73A8">
      <w:pPr>
        <w:jc w:val="both"/>
        <w:rPr>
          <w:iCs/>
          <w:lang w:eastAsia="lt-LT"/>
        </w:rPr>
      </w:pPr>
      <w:r w:rsidRPr="00125234">
        <w:rPr>
          <w:iCs/>
          <w:lang w:eastAsia="lt-LT"/>
        </w:rPr>
        <w:t xml:space="preserve">(PMĮ </w:t>
      </w:r>
      <w:r w:rsidRPr="00125234">
        <w:t>34</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709861EA" w14:textId="77777777" w:rsidR="00DC311F" w:rsidRPr="00125234" w:rsidRDefault="00DC311F" w:rsidP="008D52D5">
      <w:pPr>
        <w:pStyle w:val="tajtip"/>
        <w:rPr>
          <w:b/>
          <w:iCs/>
        </w:rPr>
      </w:pPr>
      <w:r w:rsidRPr="00125234">
        <w:rPr>
          <w:b/>
          <w:iCs/>
        </w:rPr>
        <w:t xml:space="preserve">Nuo 2026 metų mokestinio laikotarpio galiojanti </w:t>
      </w:r>
      <w:r w:rsidRPr="00125234">
        <w:rPr>
          <w:b/>
        </w:rPr>
        <w:t>PMĮ 3</w:t>
      </w:r>
      <w:r w:rsidR="008D52D5" w:rsidRPr="00125234">
        <w:rPr>
          <w:b/>
        </w:rPr>
        <w:t>4</w:t>
      </w:r>
      <w:r w:rsidRPr="00125234">
        <w:rPr>
          <w:b/>
        </w:rPr>
        <w:t xml:space="preserve"> straipsnio </w:t>
      </w:r>
      <w:r w:rsidR="008D52D5" w:rsidRPr="00125234">
        <w:rPr>
          <w:b/>
        </w:rPr>
        <w:t>1</w:t>
      </w:r>
      <w:r w:rsidRPr="00125234">
        <w:rPr>
          <w:b/>
        </w:rPr>
        <w:t xml:space="preserve"> dalies</w:t>
      </w:r>
      <w:r w:rsidRPr="00125234">
        <w:rPr>
          <w:b/>
          <w:iCs/>
        </w:rPr>
        <w:t xml:space="preserve"> redacija:</w:t>
      </w:r>
    </w:p>
    <w:p w14:paraId="20F139E8" w14:textId="77777777" w:rsidR="008D52D5" w:rsidRPr="00125234" w:rsidRDefault="008D52D5" w:rsidP="008D52D5">
      <w:pPr>
        <w:jc w:val="both"/>
        <w:rPr>
          <w:b/>
        </w:rPr>
      </w:pPr>
      <w:r w:rsidRPr="00125234">
        <w:rPr>
          <w:b/>
        </w:rPr>
        <w:t xml:space="preserve">1. </w:t>
      </w:r>
      <w:r w:rsidRPr="00125234">
        <w:rPr>
          <w:b/>
          <w:lang w:eastAsia="lt-LT"/>
        </w:rPr>
        <w:t>Užsienio vienetų gaunami už turimas Lietuvos vieneto akcijas,</w:t>
      </w:r>
      <w:r w:rsidRPr="00125234">
        <w:rPr>
          <w:b/>
        </w:rPr>
        <w:t xml:space="preserve"> </w:t>
      </w:r>
      <w:r w:rsidRPr="00125234">
        <w:rPr>
          <w:b/>
          <w:lang w:eastAsia="lt-LT"/>
        </w:rPr>
        <w:t>kapitalo dalį ar kitų teisių turėjimą dividendai apmokestinami</w:t>
      </w:r>
      <w:r w:rsidRPr="00125234">
        <w:rPr>
          <w:b/>
        </w:rPr>
        <w:t xml:space="preserve"> </w:t>
      </w:r>
      <w:r w:rsidRPr="00125234">
        <w:rPr>
          <w:b/>
          <w:lang w:eastAsia="lt-LT"/>
        </w:rPr>
        <w:t>taikant 17 procentų pelno mokesčio tarifą. Mokestį apskaičiuoja,</w:t>
      </w:r>
      <w:r w:rsidRPr="00125234">
        <w:rPr>
          <w:b/>
        </w:rPr>
        <w:t xml:space="preserve"> </w:t>
      </w:r>
      <w:r w:rsidRPr="00125234">
        <w:rPr>
          <w:b/>
          <w:lang w:eastAsia="lt-LT"/>
        </w:rPr>
        <w:t>išskaito ir sumoka į biudžetą dividendus išmokantis Lietuvos</w:t>
      </w:r>
      <w:r w:rsidRPr="00125234">
        <w:rPr>
          <w:b/>
        </w:rPr>
        <w:t xml:space="preserve"> </w:t>
      </w:r>
      <w:r w:rsidRPr="00125234">
        <w:rPr>
          <w:b/>
          <w:lang w:eastAsia="lt-LT"/>
        </w:rPr>
        <w:t>vienetas ne vėliau kaip iki mėnesio, einančio po mėnesio, kurį</w:t>
      </w:r>
      <w:r w:rsidRPr="00125234">
        <w:rPr>
          <w:b/>
        </w:rPr>
        <w:t xml:space="preserve"> </w:t>
      </w:r>
      <w:r w:rsidRPr="00125234">
        <w:rPr>
          <w:b/>
          <w:lang w:eastAsia="lt-LT"/>
        </w:rPr>
        <w:t>dividendai buvo išmokėti, penkioliktos dienos.</w:t>
      </w:r>
    </w:p>
    <w:p w14:paraId="61474256" w14:textId="77777777" w:rsidR="008D52D5" w:rsidRPr="00125234" w:rsidRDefault="008D52D5" w:rsidP="008D52D5">
      <w:pPr>
        <w:jc w:val="both"/>
        <w:rPr>
          <w:bCs/>
          <w:i/>
        </w:rPr>
      </w:pPr>
      <w:r w:rsidRPr="00125234">
        <w:rPr>
          <w:i/>
        </w:rPr>
        <w:t xml:space="preserve">(KEISTA: </w:t>
      </w:r>
      <w:bookmarkStart w:id="511" w:name="_Hlk203985913"/>
      <w:r w:rsidRPr="00125234">
        <w:rPr>
          <w:i/>
        </w:rPr>
        <w:t>2025 06 17 įstatymu Nr. XV-285 (nuo 2026-01-01</w:t>
      </w:r>
      <w:bookmarkEnd w:id="511"/>
      <w:r w:rsidRPr="00125234">
        <w:rPr>
          <w:i/>
        </w:rPr>
        <w:t>)</w:t>
      </w:r>
      <w:r w:rsidRPr="00125234">
        <w:rPr>
          <w:bCs/>
          <w:i/>
        </w:rPr>
        <w:t>)</w:t>
      </w:r>
    </w:p>
    <w:p w14:paraId="05C8BAE8" w14:textId="77777777" w:rsidR="008D52D5" w:rsidRPr="00125234" w:rsidRDefault="008D52D5" w:rsidP="008D52D5">
      <w:pPr>
        <w:tabs>
          <w:tab w:val="left" w:pos="709"/>
        </w:tabs>
        <w:ind w:firstLine="720"/>
        <w:jc w:val="both"/>
        <w:rPr>
          <w:b/>
          <w:bCs/>
        </w:rPr>
      </w:pPr>
      <w:r w:rsidRPr="00125234">
        <w:rPr>
          <w:b/>
          <w:bCs/>
        </w:rPr>
        <w:t>Komentaras</w:t>
      </w:r>
    </w:p>
    <w:p w14:paraId="00B70BB6" w14:textId="77777777" w:rsidR="008D52D5" w:rsidRPr="00125234" w:rsidRDefault="008D52D5" w:rsidP="008D52D5">
      <w:pPr>
        <w:tabs>
          <w:tab w:val="left" w:pos="709"/>
          <w:tab w:val="left" w:pos="1077"/>
          <w:tab w:val="left" w:pos="1418"/>
        </w:tabs>
        <w:ind w:firstLine="720"/>
        <w:jc w:val="both"/>
        <w:rPr>
          <w:strike/>
        </w:rPr>
      </w:pPr>
      <w:r w:rsidRPr="00125234">
        <w:t>1. Nuo 2026 m. sausio 1 d.</w:t>
      </w:r>
      <w:r w:rsidRPr="00125234">
        <w:rPr>
          <w:b/>
        </w:rPr>
        <w:t xml:space="preserve"> </w:t>
      </w:r>
      <w:r w:rsidRPr="00125234">
        <w:t xml:space="preserve">užsienio vienetų už turimas Lietuvos vienetų akcijas, kapitalo dalį ar kitokias teises gaunami dividendai apmokestinami 17 proc. dydžio pelno mokesčiu (iki 2024 m. gruodžio 31 d. 15 proc. dydžio pelno mokesčio tarifu, </w:t>
      </w:r>
      <w:bookmarkStart w:id="512" w:name="_Hlk203986028"/>
      <w:r w:rsidRPr="00125234">
        <w:t>2025 metais - 16 proc. dydžio pelno mokesči</w:t>
      </w:r>
      <w:bookmarkEnd w:id="512"/>
      <w:r w:rsidRPr="00125234">
        <w:t xml:space="preserve">o tarifu). </w:t>
      </w:r>
    </w:p>
    <w:p w14:paraId="0948E5CA" w14:textId="77777777" w:rsidR="008D52D5" w:rsidRPr="00125234" w:rsidRDefault="008D52D5" w:rsidP="008D52D5">
      <w:pPr>
        <w:tabs>
          <w:tab w:val="left" w:pos="709"/>
          <w:tab w:val="left" w:pos="1077"/>
          <w:tab w:val="left" w:pos="1418"/>
        </w:tabs>
        <w:ind w:firstLine="720"/>
        <w:jc w:val="both"/>
      </w:pPr>
      <w:r w:rsidRPr="00125234">
        <w:t>2.</w:t>
      </w:r>
      <w:r w:rsidRPr="00125234">
        <w:rPr>
          <w:b/>
        </w:rPr>
        <w:t xml:space="preserve"> </w:t>
      </w:r>
      <w:r w:rsidRPr="00125234">
        <w:t>Prievolė išskaičiuoti ir sumokėti į biudžetą mokestį nuo užsienio vienetams išmokamų dividendų nustatyta dividendus išmokančiam Lietuvos</w:t>
      </w:r>
      <w:r w:rsidRPr="00125234">
        <w:rPr>
          <w:b/>
        </w:rPr>
        <w:t xml:space="preserve"> </w:t>
      </w:r>
      <w:r w:rsidRPr="00125234">
        <w:t>vienetui. Mokestis į biudžetą privalo būti sumokėtas ne vėliau kaip iki penkioliktos dienos kito mėnesio, einančio po mėnesio, kurį dividendai buvo išmokėti. Pavyzdžiui, jei akcinė bendrovė savo akcininkams (užsienio vienetams) išmokėjo dividendus 2026 m. balandžio 9 dieną, tai nuo išmokėtų dividendų išskaičiuotą pelno mokestį ji turi sumokėti į biudžetą iki 2026</w:t>
      </w:r>
      <w:r w:rsidRPr="00125234">
        <w:rPr>
          <w:b/>
        </w:rPr>
        <w:t xml:space="preserve"> </w:t>
      </w:r>
      <w:r w:rsidRPr="00125234">
        <w:t xml:space="preserve">m. gegužės 15 dienos. </w:t>
      </w:r>
    </w:p>
    <w:p w14:paraId="4CA4315A" w14:textId="77777777" w:rsidR="008D52D5" w:rsidRPr="00125234" w:rsidRDefault="008D52D5" w:rsidP="008D52D5">
      <w:pPr>
        <w:tabs>
          <w:tab w:val="left" w:pos="709"/>
          <w:tab w:val="left" w:pos="1077"/>
          <w:tab w:val="left" w:pos="1418"/>
        </w:tabs>
        <w:ind w:firstLine="720"/>
        <w:jc w:val="both"/>
      </w:pPr>
      <w:r w:rsidRPr="00125234">
        <w:t>3. Jeigu Lietuvos vieneto dalyviams dividendai buvo paskirstyti</w:t>
      </w:r>
      <w:r w:rsidRPr="00125234">
        <w:rPr>
          <w:b/>
        </w:rPr>
        <w:t>,</w:t>
      </w:r>
      <w:r w:rsidRPr="00125234">
        <w:t xml:space="preserve"> bet neišmokėti iki 2025 m. gruodžio 31 d., tai juos išmokant nuo 2026</w:t>
      </w:r>
      <w:r w:rsidRPr="00125234">
        <w:rPr>
          <w:b/>
        </w:rPr>
        <w:t xml:space="preserve"> </w:t>
      </w:r>
      <w:r w:rsidRPr="00125234">
        <w:t>m. sausio 1 d. taikomas 17 proc. pelno mokesčio tarifas.</w:t>
      </w:r>
    </w:p>
    <w:p w14:paraId="52062D29" w14:textId="77777777" w:rsidR="008D52D5" w:rsidRPr="00125234" w:rsidRDefault="008D52D5" w:rsidP="008D52D5">
      <w:pPr>
        <w:tabs>
          <w:tab w:val="left" w:pos="709"/>
          <w:tab w:val="left" w:pos="1077"/>
          <w:tab w:val="left" w:pos="1418"/>
        </w:tabs>
        <w:ind w:firstLine="720"/>
        <w:jc w:val="both"/>
      </w:pPr>
      <w:r w:rsidRPr="00125234">
        <w:t>4.</w:t>
      </w:r>
      <w:r w:rsidRPr="00125234">
        <w:tab/>
        <w:t>Jeigu tarp Lietuvos ir užsienio valstybės, kurios rezidentui (juridiniam ar fiziniam asmeniui) išmokami dividendai, yra sudaryta ir taikoma dvigubo apmokestinimo išvengimo sutartis (toliau – DAIS) ir jei šios sutarties nuostatos riboja Lietuvos teisę pagal vidaus įstatymus apmokestinti išmokamus dividendus, tai taikomos sutartyse nustatytos apmokestinimo taisyklės (remiantis Mokesčių administravimo įstatymo 5 straipsniu).</w:t>
      </w:r>
    </w:p>
    <w:p w14:paraId="51FF6FC9" w14:textId="77777777" w:rsidR="008D52D5" w:rsidRPr="00125234" w:rsidRDefault="008D52D5" w:rsidP="008D52D5">
      <w:pPr>
        <w:suppressAutoHyphens/>
        <w:autoSpaceDE w:val="0"/>
        <w:autoSpaceDN w:val="0"/>
        <w:adjustRightInd w:val="0"/>
        <w:ind w:firstLine="709"/>
        <w:jc w:val="both"/>
        <w:textAlignment w:val="center"/>
        <w:rPr>
          <w:color w:val="000000"/>
        </w:rPr>
      </w:pPr>
      <w:r w:rsidRPr="00125234">
        <w:rPr>
          <w:color w:val="000000"/>
        </w:rPr>
        <w:lastRenderedPageBreak/>
        <w:t xml:space="preserve">Taikant konkrečių DAIS nuostatas, Lietuvos vienetas, išmokėdamas dividendus užsienio valstybės rezidentui (juridiniam ar fiziniam asmeniui), mokestį išskaičiuoti pagal dvigubo apmokestinimo išvengimo sutartyje nustatytą mažesnį nei PMĮ nustatytą tarifą gali tik tuo atveju, jei turi to asmens prašymą sumažinti išskaičiuojamą mokestį. Užsienio valstybės rezidento prašymo sumažinti išskaičiuojamą mokestį </w:t>
      </w:r>
      <w:hyperlink r:id="rId101" w:history="1">
        <w:r w:rsidRPr="00125234">
          <w:t>FR0021</w:t>
        </w:r>
      </w:hyperlink>
      <w:r w:rsidRPr="00125234">
        <w:t xml:space="preserve"> (DAS-1)</w:t>
      </w:r>
      <w:r w:rsidRPr="00125234">
        <w:rPr>
          <w:color w:val="000000"/>
        </w:rPr>
        <w:t xml:space="preserve"> forma (toliau – DAS-1 forma) patvirtinta Valstybinės mokesčių inspekcijos prie Lietuvos Respublikos finansų ministerijos (toliau – VMI prie FM) viršininko 2001 m. birželio 27 d. </w:t>
      </w:r>
      <w:hyperlink r:id="rId102" w:history="1">
        <w:r w:rsidRPr="00125234">
          <w:t>įsakymu Nr. 159</w:t>
        </w:r>
      </w:hyperlink>
      <w:r w:rsidRPr="00125234">
        <w:rPr>
          <w:color w:val="000000"/>
        </w:rPr>
        <w:t>, toliau – įsakymas). Užsienio valstybės rezidentui (juridiniam ar fiziniam asmeniui) dividendus išmokėjęs ir nuo jų pagal taikomoje tarptautinėje DAIS nustatytą sumažintą mokesčio tarifą išskaičiavęs mokestį Lietuvos vienetas užpildytą DAS-1 formos egzempliorių turi pateikti mokesčių administratoriui jam pareikalavus.</w:t>
      </w:r>
    </w:p>
    <w:p w14:paraId="4F704F74" w14:textId="77777777" w:rsidR="008D52D5" w:rsidRPr="00125234" w:rsidRDefault="008D52D5" w:rsidP="008D52D5">
      <w:pPr>
        <w:tabs>
          <w:tab w:val="left" w:pos="709"/>
          <w:tab w:val="left" w:pos="1077"/>
          <w:tab w:val="left" w:pos="1418"/>
        </w:tabs>
        <w:ind w:firstLine="720"/>
        <w:jc w:val="both"/>
        <w:rPr>
          <w:strike/>
        </w:rPr>
      </w:pPr>
      <w:r w:rsidRPr="00125234">
        <w:t xml:space="preserve">Jeigu Lietuvos vienetas, išmokėdamas dividendus užsienio valstybės rezidentui (juridiniam ar fiziniam asmeniui), neturėjo užsienio rezidento prašymo sumažinti išskaičiuojamą mokestį (DAS-1 formos) ir mokestį išskaičiavo pagal įstatymuose nustatytą pelno (pajamų) mokesčio tarifą, tai užsienio valstybės rezidentas arba jo įgaliotas asmuo, norėdamas susigrąžinti permokėtą mokesčio dalį, gali pateikti prašymą (įsakymu patvirtintą Užsienio valstybės rezidento prašymo grąžinti išskaičiuotą mokestį </w:t>
      </w:r>
      <w:hyperlink r:id="rId103" w:history="1">
        <w:r w:rsidRPr="00125234">
          <w:t>FR0022</w:t>
        </w:r>
      </w:hyperlink>
      <w:r w:rsidRPr="00125234">
        <w:t xml:space="preserve"> (DAS-2) formą) grąžinti išskaičiuotąjį mokestį. </w:t>
      </w:r>
    </w:p>
    <w:p w14:paraId="22A50263" w14:textId="77777777" w:rsidR="008D52D5" w:rsidRPr="00125234" w:rsidRDefault="008D52D5" w:rsidP="008D52D5">
      <w:pPr>
        <w:tabs>
          <w:tab w:val="left" w:pos="709"/>
          <w:tab w:val="left" w:pos="1077"/>
          <w:tab w:val="left" w:pos="1418"/>
        </w:tabs>
        <w:ind w:firstLine="720"/>
        <w:jc w:val="both"/>
      </w:pPr>
      <w:r w:rsidRPr="00125234">
        <w:t xml:space="preserve">Pateikiame pavyzdį, kaip turi būti apskaičiuojamas mokestis nuo Slovakijos rezidentui (juridiniam asmeniui) išmokėtų dividendų taikant Lietuvos ir Slovakijos DAIS. </w:t>
      </w:r>
    </w:p>
    <w:p w14:paraId="2F59635D" w14:textId="77777777" w:rsidR="008D52D5" w:rsidRPr="00125234" w:rsidRDefault="008D52D5" w:rsidP="008D52D5">
      <w:pPr>
        <w:tabs>
          <w:tab w:val="left" w:pos="709"/>
          <w:tab w:val="left" w:pos="1077"/>
          <w:tab w:val="left" w:pos="1418"/>
        </w:tabs>
        <w:ind w:firstLine="720"/>
        <w:jc w:val="both"/>
      </w:pPr>
      <w:r w:rsidRPr="00125234">
        <w:t xml:space="preserve">Pavyzdys </w:t>
      </w:r>
    </w:p>
    <w:p w14:paraId="1345A0A2" w14:textId="77777777" w:rsidR="008D52D5" w:rsidRPr="00125234" w:rsidRDefault="008D52D5" w:rsidP="008D52D5">
      <w:pPr>
        <w:pBdr>
          <w:top w:val="single" w:sz="4" w:space="1" w:color="auto"/>
          <w:left w:val="single" w:sz="4" w:space="4" w:color="auto"/>
          <w:right w:val="single" w:sz="4" w:space="4" w:color="auto"/>
        </w:pBdr>
        <w:tabs>
          <w:tab w:val="left" w:pos="709"/>
          <w:tab w:val="left" w:pos="1077"/>
          <w:tab w:val="left" w:pos="1418"/>
        </w:tabs>
        <w:ind w:firstLine="720"/>
        <w:jc w:val="both"/>
      </w:pPr>
      <w:r w:rsidRPr="00125234">
        <w:t>Slovakijos rezidentams išmokamų dividendų apmokestinimas.</w:t>
      </w:r>
    </w:p>
    <w:p w14:paraId="71302304"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 xml:space="preserve">Pagal Lietuvos ir Slovakijos DAIS, dividendus išmokėjusios bendrovės rezidavimo valstybė turi teisę apmokestinti šiuos dividendus, tačiau jei tikrasis dividendų savininkas yra Slovakijos rezidentas, toks mokestis negali būti didesnis kaip 10 proc. bendros dividendų sumos. </w:t>
      </w:r>
    </w:p>
    <w:p w14:paraId="5EBC4B2F"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rPr>
          <w:strike/>
        </w:rPr>
      </w:pPr>
      <w:r w:rsidRPr="00125234">
        <w:t xml:space="preserve">2026 m. balandžio mėnesį Lietuvos akcinė bendrovė išmokėjo 100 000 EUR dividendų įmonei - Slovakijos rezidentei, turinčiai 8 proc. šios Lietuvos bendrovės akcijų. Išmokėdama dividendus, Lietuvos akcinė bendrovė turėjo Slovakijos rezidento tinkamai užpildytą DAS-1 formą (prašymą sumažinti išskaičiuojamą mokestį). </w:t>
      </w:r>
    </w:p>
    <w:p w14:paraId="789D384A" w14:textId="77777777" w:rsidR="008D52D5" w:rsidRPr="00125234" w:rsidRDefault="008D52D5" w:rsidP="008D52D5">
      <w:pPr>
        <w:pBdr>
          <w:left w:val="single" w:sz="4" w:space="4" w:color="auto"/>
          <w:bottom w:val="single" w:sz="4" w:space="1" w:color="auto"/>
          <w:right w:val="single" w:sz="4" w:space="4" w:color="auto"/>
        </w:pBdr>
        <w:tabs>
          <w:tab w:val="left" w:pos="709"/>
          <w:tab w:val="left" w:pos="1077"/>
          <w:tab w:val="left" w:pos="1418"/>
        </w:tabs>
        <w:ind w:firstLine="720"/>
        <w:jc w:val="both"/>
      </w:pPr>
      <w:r w:rsidRPr="00125234">
        <w:t>Remdamosi DAIS su Slovakija nuostatomis, iš Slovakijos rezidentui mokamos 100 000 EUR dividendų sumos Lietuvos akcinė bendrovė turi išskaičiuoti pelno mokestį, taikydama sutartyje nustatytą 10 proc. mokesčio tarifą, ir į biudžetą sumokėti 10 000 EUR [(100 000 x 10)/100].</w:t>
      </w:r>
    </w:p>
    <w:p w14:paraId="42857681" w14:textId="77777777" w:rsidR="008A670F" w:rsidRPr="00125234" w:rsidRDefault="008A670F" w:rsidP="008A670F">
      <w:pPr>
        <w:tabs>
          <w:tab w:val="left" w:pos="709"/>
          <w:tab w:val="left" w:pos="1077"/>
          <w:tab w:val="left" w:pos="1418"/>
        </w:tabs>
        <w:ind w:firstLine="720"/>
        <w:jc w:val="both"/>
        <w:rPr>
          <w:bCs/>
        </w:rPr>
      </w:pPr>
      <w:bookmarkStart w:id="513" w:name="_Hlk212472257"/>
      <w:r w:rsidRPr="00C80111">
        <w:t>Lietuvoje taikomas dvigubo apmokestinimo išvengimo sutartis galite rasti: VMI prie FM interneto svetainėje (http://www.vmi.lt) skyrelyje Mokesčių žinynas &gt; Tarptautinės dvigubo apmokestinimo išvengimo sutartys.</w:t>
      </w:r>
    </w:p>
    <w:p w14:paraId="15200403" w14:textId="77777777" w:rsidR="008D52D5" w:rsidRPr="00125234" w:rsidRDefault="008D52D5" w:rsidP="008A670F">
      <w:pPr>
        <w:tabs>
          <w:tab w:val="left" w:pos="709"/>
          <w:tab w:val="left" w:pos="1077"/>
          <w:tab w:val="left" w:pos="1418"/>
        </w:tabs>
        <w:jc w:val="both"/>
        <w:rPr>
          <w:bCs/>
        </w:rPr>
      </w:pPr>
      <w:r w:rsidRPr="00125234">
        <w:t>(Pakeista pagal VMI prie FM 2025-10-24 raštą Nr. (18.10-31-1 Mr) R-397</w:t>
      </w:r>
      <w:r w:rsidRPr="00D36BDF">
        <w:t>6</w:t>
      </w:r>
      <w:bookmarkEnd w:id="513"/>
      <w:r w:rsidR="00D36BDF" w:rsidRPr="00D36BDF">
        <w:t>)</w:t>
      </w:r>
    </w:p>
    <w:p w14:paraId="0846B611" w14:textId="77777777" w:rsidR="00093845" w:rsidRPr="00125234" w:rsidRDefault="000D779E" w:rsidP="00AF4003">
      <w:pPr>
        <w:pStyle w:val="Antrat1"/>
        <w:spacing w:after="0"/>
        <w:jc w:val="both"/>
        <w:rPr>
          <w:lang w:val="lt-LT"/>
        </w:rPr>
      </w:pPr>
      <w:r w:rsidRPr="00125234">
        <w:rPr>
          <w:lang w:val="lt-LT"/>
        </w:rPr>
        <w:t xml:space="preserve">            2. Lietuvos vieneto, kuriame dividendus gaunantis užsienio vienetas ne trumpiau kaip 12 mėnesių be pertraukų, įskaitant dividendų paskirstymo momentą, valdo ne mažiau kaip 10 procentų balsus suteikiančių akcijų (dalių, pajų), tam užsienio vienetui išmokami dividendai neapmokestinami, išskyrus atvejus, kai dividendus gaunantis užsienio vienetas įregistruotas ar kitaip organizuotas tikslinėse teritorijose.</w:t>
      </w:r>
    </w:p>
    <w:p w14:paraId="1BC36EE3" w14:textId="77777777" w:rsidR="00093845" w:rsidRPr="00125234" w:rsidRDefault="000D779E" w:rsidP="00AF4003">
      <w:pPr>
        <w:spacing w:after="0"/>
        <w:jc w:val="both"/>
        <w:rPr>
          <w:b/>
          <w:i/>
          <w:lang w:val="lt-LT"/>
        </w:rPr>
      </w:pPr>
      <w:r w:rsidRPr="00125234">
        <w:rPr>
          <w:i/>
          <w:color w:val="000000"/>
          <w:lang w:val="lt-LT"/>
        </w:rPr>
        <w:t xml:space="preserve">(KEISTA: </w:t>
      </w:r>
      <w:r w:rsidRPr="00125234">
        <w:rPr>
          <w:i/>
        </w:rPr>
        <w:t>2009 12 09 įstatymu Nr. XI-539 (nuo 2009 12 28)</w:t>
      </w:r>
      <w:r w:rsidRPr="00125234">
        <w:rPr>
          <w:i/>
          <w:color w:val="000000"/>
          <w:lang w:val="lt-LT"/>
        </w:rPr>
        <w:t>)</w:t>
      </w:r>
      <w:r w:rsidRPr="00125234">
        <w:rPr>
          <w:b/>
          <w:i/>
          <w:lang w:val="lt-LT"/>
        </w:rPr>
        <w:t xml:space="preserve"> </w:t>
      </w:r>
    </w:p>
    <w:p w14:paraId="3381C399" w14:textId="77777777" w:rsidR="005E1525" w:rsidRPr="00125234" w:rsidRDefault="005E1525" w:rsidP="00AF4003">
      <w:pPr>
        <w:spacing w:after="0"/>
        <w:jc w:val="both"/>
        <w:rPr>
          <w:b/>
          <w:i/>
          <w:lang w:val="lt-LT"/>
        </w:rPr>
      </w:pPr>
    </w:p>
    <w:p w14:paraId="143982DA" w14:textId="77777777" w:rsidR="00093845" w:rsidRPr="00125234" w:rsidRDefault="000D779E">
      <w:pPr>
        <w:tabs>
          <w:tab w:val="left" w:pos="709"/>
          <w:tab w:val="left" w:pos="1077"/>
          <w:tab w:val="left" w:pos="1418"/>
        </w:tabs>
        <w:jc w:val="both"/>
        <w:rPr>
          <w:b/>
          <w:lang w:val="lt-LT"/>
        </w:rPr>
      </w:pPr>
      <w:r w:rsidRPr="00125234">
        <w:rPr>
          <w:b/>
          <w:lang w:val="lt-LT"/>
        </w:rPr>
        <w:t xml:space="preserve">             Komentaras</w:t>
      </w:r>
    </w:p>
    <w:p w14:paraId="7D5D967F" w14:textId="77777777" w:rsidR="00093845" w:rsidRPr="00125234" w:rsidRDefault="000D779E">
      <w:pPr>
        <w:pStyle w:val="Style1"/>
        <w:tabs>
          <w:tab w:val="left" w:pos="709"/>
          <w:tab w:val="left" w:pos="1077"/>
          <w:tab w:val="left" w:pos="1418"/>
        </w:tabs>
        <w:ind w:right="128"/>
        <w:rPr>
          <w:rFonts w:ascii="Times New Roman" w:hAnsi="Times New Roman"/>
        </w:rPr>
      </w:pPr>
      <w:r w:rsidRPr="00125234">
        <w:rPr>
          <w:rFonts w:ascii="Times New Roman" w:hAnsi="Times New Roman"/>
          <w:szCs w:val="24"/>
        </w:rPr>
        <w:lastRenderedPageBreak/>
        <w:t xml:space="preserve">1. </w:t>
      </w:r>
      <w:r w:rsidRPr="00125234">
        <w:rPr>
          <w:rFonts w:ascii="Times New Roman" w:hAnsi="Times New Roman"/>
        </w:rPr>
        <w:t>Pagal šioje dalyje nustatytą „dalyvavimo išimtį“ investuotojų - užsienio vienetų, iš Lietuvos vienetų gaunami dividendai pelno mokesčiu neapmokestinami, jeigu:</w:t>
      </w:r>
    </w:p>
    <w:p w14:paraId="0A6373E9" w14:textId="77777777" w:rsidR="00093845" w:rsidRPr="00125234" w:rsidRDefault="000D779E">
      <w:pPr>
        <w:pStyle w:val="Pagrindinistekstas"/>
        <w:tabs>
          <w:tab w:val="left" w:pos="709"/>
        </w:tabs>
        <w:ind w:firstLine="720"/>
        <w:rPr>
          <w:b/>
          <w:lang w:val="lt-LT"/>
        </w:rPr>
      </w:pPr>
      <w:r w:rsidRPr="00125234">
        <w:rPr>
          <w:lang w:val="lt-LT"/>
        </w:rPr>
        <w:t xml:space="preserve">- dividendus gaunantis užsienio vienetas ne trumpiau kaip dvylika mėnesių be pertraukų, įskaitant dividendų paskirstymo momentą, valdo ne mažiau kaip 10 proc. balsus suteikiančių akcijų (dalių, pajų) </w:t>
      </w:r>
      <w:r w:rsidRPr="00125234">
        <w:rPr>
          <w:b/>
          <w:lang w:val="lt-LT"/>
        </w:rPr>
        <w:t>ir</w:t>
      </w:r>
    </w:p>
    <w:p w14:paraId="2462692B" w14:textId="77777777" w:rsidR="00093845" w:rsidRPr="00125234" w:rsidRDefault="000D779E">
      <w:pPr>
        <w:pStyle w:val="Pagrindinistekstas"/>
        <w:tabs>
          <w:tab w:val="left" w:pos="709"/>
        </w:tabs>
        <w:ind w:firstLine="720"/>
        <w:rPr>
          <w:strike/>
          <w:lang w:val="lt-LT"/>
        </w:rPr>
      </w:pPr>
      <w:r w:rsidRPr="00125234">
        <w:rPr>
          <w:lang w:val="lt-LT"/>
        </w:rPr>
        <w:t>- užsienio vienetas nėra įregistruotas ar kitaip organizuotas tikslinėse teritorijose (tikslinių teritorijų sąrašas patvirtintas Lietuvos Respublikos finansų ministro 2001 m. gruodžio 22 d</w:t>
      </w:r>
      <w:r w:rsidRPr="00125234">
        <w:rPr>
          <w:color w:val="0000FF"/>
          <w:lang w:val="lt-LT"/>
        </w:rPr>
        <w:t xml:space="preserve">. </w:t>
      </w:r>
      <w:r w:rsidR="00C67408" w:rsidRPr="00125234">
        <w:rPr>
          <w:lang w:val="lt-LT"/>
        </w:rPr>
        <w:t>įsakymu Nr. 344</w:t>
      </w:r>
      <w:r w:rsidRPr="00125234">
        <w:rPr>
          <w:lang w:val="lt-LT"/>
        </w:rPr>
        <w:t>).</w:t>
      </w:r>
      <w:r w:rsidRPr="00125234">
        <w:rPr>
          <w:strike/>
          <w:lang w:val="lt-LT"/>
        </w:rPr>
        <w:t xml:space="preserve"> </w:t>
      </w:r>
    </w:p>
    <w:p w14:paraId="6E6960F3" w14:textId="77777777" w:rsidR="00093845" w:rsidRPr="00125234" w:rsidRDefault="000D779E">
      <w:pPr>
        <w:pStyle w:val="Pagrindinistekstas"/>
        <w:tabs>
          <w:tab w:val="left" w:pos="709"/>
        </w:tabs>
        <w:ind w:firstLine="720"/>
        <w:rPr>
          <w:lang w:val="lt-LT"/>
        </w:rPr>
      </w:pPr>
      <w:r w:rsidRPr="00125234">
        <w:rPr>
          <w:lang w:val="lt-LT"/>
        </w:rPr>
        <w:t xml:space="preserve">2. Dividendų neapmokestinimo lengvatos taikymas siejamas su dividendų išmokėjimo momentu, todėl nesvarbu, kurių finansinių metų dividendai išmokami. </w:t>
      </w:r>
    </w:p>
    <w:p w14:paraId="5BB92B4F" w14:textId="77777777" w:rsidR="00093845" w:rsidRPr="00125234" w:rsidRDefault="000D779E">
      <w:pPr>
        <w:pStyle w:val="Pagrindinistekstas"/>
        <w:tabs>
          <w:tab w:val="left" w:pos="709"/>
        </w:tabs>
        <w:ind w:firstLine="720"/>
        <w:rPr>
          <w:lang w:val="lt-LT"/>
        </w:rPr>
      </w:pPr>
      <w:r w:rsidRPr="00125234">
        <w:rPr>
          <w:lang w:val="lt-LT"/>
        </w:rPr>
        <w:t xml:space="preserve">3. Nustatytas minimalus 12 mėnesių balsus suteikiančių akcijų (dalių, pajų) valdymo laikotarpis, kuris suteikia teisę neapmokestinti Lietuvos vieneto dalyviui - užsienio vienetui išmokamų dividendų, nebūtinai turi būti suėjęs dividendų paskirstymo datą. Užsienio vienetui išmokami dividendai gali būti neapmokestinami, jei dividendų paskirstymo momentu dar nėra suėjęs 12 mėnesių akcijų (dalių, pajų) valdymo laikotarpis, bet tas dalyvis turi tikslą išlaikyti tas akcijas (dalis, pajus) ne trumpiau kaip 12 mėnesių. </w:t>
      </w:r>
    </w:p>
    <w:p w14:paraId="69BF583A" w14:textId="77777777" w:rsidR="00093845" w:rsidRPr="00125234" w:rsidRDefault="000D779E">
      <w:pPr>
        <w:pStyle w:val="Pagrindinistekstas"/>
        <w:tabs>
          <w:tab w:val="left" w:pos="709"/>
        </w:tabs>
        <w:ind w:firstLine="720"/>
        <w:rPr>
          <w:lang w:val="lt-LT"/>
        </w:rPr>
      </w:pPr>
      <w:r w:rsidRPr="00125234">
        <w:rPr>
          <w:lang w:val="lt-LT"/>
        </w:rPr>
        <w:t>Paaiškėjus, kad užsienio vienetas, nepasibaigus balsus suteikiančių akcijų (dalių, pajų) 12 mėnesių valdymo laikotarpiui, tas akcijas (dalis, pajus) perleidžia ar kitaip nustoja valdyti (arba dalį jų perleidžia ir todėl jo valdomos balsus suteikiančios akcijos (dalys, pajai) nesudarys 10 proc. dividendus išmokėjusiame Lietuvos vienete), tai neapmokestinamus dividendus išmokėjęs Lietuvos vienetas turi apskaičiuoti mokestį nuo išmokėtų dividendų ir jį sumokėti į biudžetą. Delspinigiai už ne laiku sumokėtą mokestį sumokami Mokesčių administravimo įstatymo nustatyta tvarka.</w:t>
      </w:r>
    </w:p>
    <w:p w14:paraId="6CA8A3CD" w14:textId="77777777" w:rsidR="00093845" w:rsidRPr="00125234" w:rsidRDefault="000D779E">
      <w:pPr>
        <w:pStyle w:val="Pagrindinistekstas"/>
        <w:tabs>
          <w:tab w:val="left" w:pos="709"/>
        </w:tabs>
        <w:ind w:firstLine="720"/>
        <w:rPr>
          <w:lang w:val="lt-LT"/>
        </w:rPr>
      </w:pPr>
      <w:r w:rsidRPr="00125234">
        <w:rPr>
          <w:lang w:val="lt-LT"/>
        </w:rPr>
        <w:t xml:space="preserve">4. Kai neapmokestinami dividendai išmokami rezidentui (juridiniam asmeniui) užsienio valstybės, su kuria Lietuvoje taikoma DAIS, tai nuo išmokamų dividendų mokestis neišskaičiuojamas, jei įvykdytos šioje dalyje nustatytos sąlygos dėl dividendų neapmokestinimo, neatsižvelgiant į taikomos DAIS nuostatas. </w:t>
      </w:r>
    </w:p>
    <w:p w14:paraId="1CA0DD8B" w14:textId="77777777" w:rsidR="00093845" w:rsidRPr="00125234" w:rsidRDefault="000D779E">
      <w:pPr>
        <w:pStyle w:val="Pagrindinistekstas"/>
        <w:tabs>
          <w:tab w:val="left" w:pos="709"/>
        </w:tabs>
        <w:ind w:firstLine="720"/>
        <w:rPr>
          <w:lang w:val="lt-LT"/>
        </w:rPr>
      </w:pPr>
      <w:r w:rsidRPr="00125234">
        <w:rPr>
          <w:lang w:val="lt-LT"/>
        </w:rPr>
        <w:t xml:space="preserve">Pavyzdys </w:t>
      </w:r>
    </w:p>
    <w:p w14:paraId="625FF0E4" w14:textId="77777777" w:rsidR="008D52D5" w:rsidRPr="00125234" w:rsidRDefault="008D52D5" w:rsidP="008D52D5">
      <w:pPr>
        <w:tabs>
          <w:tab w:val="left" w:pos="720"/>
          <w:tab w:val="left" w:pos="1080"/>
        </w:tabs>
        <w:jc w:val="both"/>
        <w:rPr>
          <w:b/>
        </w:rPr>
      </w:pPr>
      <w:r w:rsidRPr="00125234">
        <w:rPr>
          <w:b/>
          <w:iCs/>
        </w:rPr>
        <w:t xml:space="preserve">Iki 2026 metų mokestinio laikotarpio galiojanti </w:t>
      </w:r>
      <w:r w:rsidRPr="00125234">
        <w:rPr>
          <w:b/>
        </w:rPr>
        <w:t>PMĮ 34 straipsnio 2 dalies apibendrinto paaiškinimo (komentaro) 4 punkte pateiktų pavyzdžių  galiojanti redakija:</w:t>
      </w:r>
    </w:p>
    <w:p w14:paraId="15A93B0A" w14:textId="77777777" w:rsidR="00CD2A16" w:rsidRPr="00125234" w:rsidRDefault="00CD2A16" w:rsidP="00CD2A16">
      <w:pPr>
        <w:pStyle w:val="Pagrindinistekstas"/>
        <w:pBdr>
          <w:top w:val="single" w:sz="4" w:space="1" w:color="auto"/>
          <w:left w:val="single" w:sz="4" w:space="4" w:color="auto"/>
          <w:bottom w:val="single" w:sz="4" w:space="1" w:color="auto"/>
          <w:right w:val="single" w:sz="4" w:space="4" w:color="auto"/>
        </w:pBdr>
        <w:tabs>
          <w:tab w:val="left" w:pos="709"/>
        </w:tabs>
        <w:rPr>
          <w:lang w:val="lt-LT"/>
        </w:rPr>
      </w:pPr>
      <w:r w:rsidRPr="00125234">
        <w:rPr>
          <w:lang w:val="lt-LT"/>
        </w:rPr>
        <w:t xml:space="preserve">2025 m. balandžio mėnesį Lietuvos akcinė bendrovė išmokėjo 100 000 EUR dividendų juridiniam asmeniui - Danijos rezidentui, nuo 2000 metų be pertraukų valdančiam 18 proc. suteikiančių balsavimo teisę šio Lietuvos juridinio asmens įstatinio kapitalo akcijų. </w:t>
      </w:r>
    </w:p>
    <w:p w14:paraId="184AAACE" w14:textId="77777777" w:rsidR="00CD2A16" w:rsidRPr="00125234" w:rsidRDefault="00CD2A16" w:rsidP="00CD2A16">
      <w:pPr>
        <w:pBdr>
          <w:top w:val="single" w:sz="4" w:space="1" w:color="auto"/>
          <w:left w:val="single" w:sz="4" w:space="4" w:color="auto"/>
          <w:bottom w:val="single" w:sz="4" w:space="1" w:color="auto"/>
          <w:right w:val="single" w:sz="4" w:space="4" w:color="auto"/>
        </w:pBdr>
        <w:spacing w:line="254" w:lineRule="auto"/>
        <w:jc w:val="both"/>
      </w:pPr>
      <w:r w:rsidRPr="00125234">
        <w:t>Lietuvos – Danijos DAIS</w:t>
      </w:r>
      <w:r w:rsidRPr="00125234">
        <w:rPr>
          <w:b/>
        </w:rPr>
        <w:t xml:space="preserve"> </w:t>
      </w:r>
      <w:r w:rsidRPr="00125234">
        <w:t xml:space="preserve">nustatyta, kad dividendai, kuriuos išmoka Lietuvos vienetas ir kurių faktiškasis savininkas yra Danijos rezidentas (juridinis asmuo), apmokestinami taikant 5 proc. mokesčio tarifą, jeigu šis Danijos juridinis asmuo (bet ne bendrija) tiesiogiai turi ne mažiau kaip 25 proc. dividendus mokančio Lietuvos juridinio asmens kapitalo, arba taikant 15 proc. mokesčio tarifą - kitais atvejais. </w:t>
      </w:r>
    </w:p>
    <w:p w14:paraId="03874ED9" w14:textId="77777777" w:rsidR="00CD2A16" w:rsidRPr="00125234" w:rsidRDefault="00CD2A16" w:rsidP="00CD2A16">
      <w:pPr>
        <w:pBdr>
          <w:top w:val="single" w:sz="4" w:space="1" w:color="auto"/>
          <w:left w:val="single" w:sz="4" w:space="4" w:color="auto"/>
          <w:bottom w:val="single" w:sz="4" w:space="1" w:color="auto"/>
          <w:right w:val="single" w:sz="4" w:space="4" w:color="auto"/>
        </w:pBdr>
        <w:spacing w:line="254" w:lineRule="auto"/>
        <w:jc w:val="both"/>
        <w:rPr>
          <w:b/>
        </w:rPr>
      </w:pPr>
      <w:r w:rsidRPr="00125234">
        <w:t>Remiantis šios tarptautinės sutarties nuostatomis, iš Danijos rezidentui mokamos 100 000 EUR dividendų sumos Lietuvos akcinė bendrovė galėtų išskaičiuoti pelno mokestį, taikydama sutartyje nustatytą 15 proc. mokesčio tarifą. Tačiau, atsižvelgiant į tai, kad Danijos rezidentas ne trumpiau kaip 12 mėnesių be pertraukų (įskaitant dividendų paskirstymo momentą), valdė ne mažiau kaip 10 proc. balsavimo teisę suteikiančių Lietuvos vieneto akcijų, bendrovė neturi nuo Danijos vienetui išmokamų dividendų išskaičiuoti pelno mokesčio.</w:t>
      </w:r>
    </w:p>
    <w:p w14:paraId="78E87C2C" w14:textId="77777777" w:rsidR="008D52D5" w:rsidRPr="00125234" w:rsidRDefault="00CD2A16" w:rsidP="00CD2A16">
      <w:pPr>
        <w:jc w:val="both"/>
        <w:rPr>
          <w:iCs/>
          <w:lang w:eastAsia="lt-LT"/>
        </w:rPr>
      </w:pPr>
      <w:r w:rsidRPr="00125234">
        <w:rPr>
          <w:iCs/>
          <w:lang w:eastAsia="lt-LT"/>
        </w:rPr>
        <w:lastRenderedPageBreak/>
        <w:t xml:space="preserve">(PMĮ </w:t>
      </w:r>
      <w:r w:rsidRPr="00125234">
        <w:t>34</w:t>
      </w:r>
      <w:r w:rsidRPr="00125234">
        <w:rPr>
          <w:iCs/>
          <w:lang w:eastAsia="lt-LT"/>
        </w:rPr>
        <w:t xml:space="preserve"> straipsnio 2 d. 4 p. komentaro pavyzdys parengtas</w:t>
      </w:r>
      <w:r w:rsidRPr="00125234">
        <w:rPr>
          <w:vertAlign w:val="superscript"/>
        </w:rPr>
        <w:t xml:space="preserve"> </w:t>
      </w:r>
      <w:r w:rsidRPr="00125234">
        <w:rPr>
          <w:iCs/>
          <w:lang w:eastAsia="lt-LT"/>
        </w:rPr>
        <w:t xml:space="preserve"> pagal VMI prie FM 2025-01-21 raštą Nr. (18.32-31-1 Mr)-R-270)</w:t>
      </w:r>
    </w:p>
    <w:p w14:paraId="09F09DAC" w14:textId="77777777" w:rsidR="008D52D5" w:rsidRPr="00125234" w:rsidRDefault="008D52D5" w:rsidP="008D52D5">
      <w:pPr>
        <w:tabs>
          <w:tab w:val="left" w:pos="720"/>
          <w:tab w:val="left" w:pos="1080"/>
        </w:tabs>
        <w:jc w:val="both"/>
        <w:rPr>
          <w:b/>
        </w:rPr>
      </w:pPr>
      <w:r w:rsidRPr="00125234">
        <w:rPr>
          <w:b/>
          <w:iCs/>
        </w:rPr>
        <w:t xml:space="preserve">Nuo 2026 metų mokestinio laikotarpio galiojanti </w:t>
      </w:r>
      <w:r w:rsidRPr="00125234">
        <w:rPr>
          <w:b/>
        </w:rPr>
        <w:t>PMĮ 34 straipsnio 2 dalies apibendrinto paaiškinimo (komentaro) 4 punkte pateiktų pavyzdžių  galiojanti redakija:</w:t>
      </w:r>
    </w:p>
    <w:p w14:paraId="6EDD825C" w14:textId="77777777" w:rsidR="008D52D5" w:rsidRPr="00125234" w:rsidRDefault="008D52D5" w:rsidP="008D52D5">
      <w:pPr>
        <w:pStyle w:val="Pagrindinistekstas"/>
        <w:pBdr>
          <w:top w:val="single" w:sz="4" w:space="1" w:color="auto"/>
          <w:left w:val="single" w:sz="4" w:space="4" w:color="auto"/>
          <w:bottom w:val="single" w:sz="4" w:space="1" w:color="auto"/>
          <w:right w:val="single" w:sz="4" w:space="4" w:color="auto"/>
        </w:pBdr>
        <w:tabs>
          <w:tab w:val="left" w:pos="709"/>
        </w:tabs>
        <w:rPr>
          <w:lang w:val="lt-LT"/>
        </w:rPr>
      </w:pPr>
      <w:r w:rsidRPr="00125234">
        <w:rPr>
          <w:lang w:val="lt-LT"/>
        </w:rPr>
        <w:t xml:space="preserve">2026 m. balandžio mėnesį Lietuvos akcinė bendrovė išmokėjo 100 000 EUR dividendų juridiniam asmeniui - Danijos rezidentui, nuo 2000 metų be pertraukų valdančiam 18 proc. suteikiančių balsavimo teisę šio Lietuvos juridinio asmens įstatinio kapitalo akcijų. </w:t>
      </w:r>
    </w:p>
    <w:p w14:paraId="42DEEA13" w14:textId="77777777" w:rsidR="008D52D5" w:rsidRPr="00125234" w:rsidRDefault="008D52D5" w:rsidP="008D52D5">
      <w:pPr>
        <w:pBdr>
          <w:top w:val="single" w:sz="4" w:space="1" w:color="auto"/>
          <w:left w:val="single" w:sz="4" w:space="4" w:color="auto"/>
          <w:bottom w:val="single" w:sz="4" w:space="1" w:color="auto"/>
          <w:right w:val="single" w:sz="4" w:space="4" w:color="auto"/>
        </w:pBdr>
        <w:spacing w:line="254" w:lineRule="auto"/>
        <w:jc w:val="both"/>
      </w:pPr>
      <w:r w:rsidRPr="00125234">
        <w:t>Lietuvos - Danijos DAIS</w:t>
      </w:r>
      <w:r w:rsidRPr="00125234">
        <w:rPr>
          <w:b/>
        </w:rPr>
        <w:t xml:space="preserve"> </w:t>
      </w:r>
      <w:r w:rsidRPr="00125234">
        <w:t xml:space="preserve">nustatyta, kad dividendai, kuriuos išmoka Lietuvos vienetas ir kurių faktiškasis savininkas yra Danijos rezidentas (juridinis asmuo), apmokestinami taikant 5 proc. mokesčio tarifą, jeigu šis Danijos juridinis asmuo (bet ne bendrija) tiesiogiai turi ne mažiau kaip 25 proc. dividendus mokančio Lietuvos juridinio asmens kapitalo, arba taikant 15 proc. mokesčio tarifą - kitais atvejais. </w:t>
      </w:r>
    </w:p>
    <w:p w14:paraId="7CC6AF0B" w14:textId="77777777" w:rsidR="008D52D5" w:rsidRPr="00125234" w:rsidRDefault="008D52D5" w:rsidP="008D52D5">
      <w:pPr>
        <w:pBdr>
          <w:top w:val="single" w:sz="4" w:space="1" w:color="auto"/>
          <w:left w:val="single" w:sz="4" w:space="4" w:color="auto"/>
          <w:bottom w:val="single" w:sz="4" w:space="1" w:color="auto"/>
          <w:right w:val="single" w:sz="4" w:space="4" w:color="auto"/>
        </w:pBdr>
        <w:spacing w:line="254" w:lineRule="auto"/>
        <w:jc w:val="both"/>
        <w:rPr>
          <w:b/>
        </w:rPr>
      </w:pPr>
      <w:r w:rsidRPr="00125234">
        <w:t>Remiantis šios tarptautinės sutarties nuostatomis, iš Danijos rezidentui mokamos 100 000 EUR dividendų sumos Lietuvos akcinė bendrovė galėtų išskaičiuoti pelno mokestį, taikydama sutartyje nustatytą 15 proc. mokesčio tarifą. Tačiau, atsižvelgiant į tai, kad Danijos rezidentas ne trumpiau kaip 12 mėnesių be pertraukų (įskaitant dividendų paskirstymo momentą), valdė ne mažiau kaip 10 proc. balsavimo teisę suteikiančių Lietuvos vieneto akcijų, bendrovė neturi nuo Danijos vienetui išmokamų dividendų išskaičiuoti pelno mokesčio.</w:t>
      </w:r>
    </w:p>
    <w:p w14:paraId="6D363886" w14:textId="77777777" w:rsidR="008D52D5" w:rsidRPr="00125234" w:rsidRDefault="008D52D5" w:rsidP="008D52D5">
      <w:pPr>
        <w:tabs>
          <w:tab w:val="left" w:pos="720"/>
          <w:tab w:val="left" w:pos="1077"/>
          <w:tab w:val="left" w:pos="1418"/>
        </w:tabs>
        <w:ind w:right="-5"/>
        <w:jc w:val="both"/>
        <w:rPr>
          <w:iCs/>
        </w:rPr>
      </w:pPr>
      <w:r w:rsidRPr="00125234">
        <w:t xml:space="preserve">(Pakeista pagal VMI prie FM 2025-10-24 raštą Nr. (18.10-31-1 Mr) R-3976)              </w:t>
      </w:r>
    </w:p>
    <w:p w14:paraId="54234C83" w14:textId="77777777" w:rsidR="008D52D5" w:rsidRPr="00125234" w:rsidRDefault="008D52D5" w:rsidP="00CD2A16">
      <w:pPr>
        <w:jc w:val="both"/>
        <w:rPr>
          <w:sz w:val="20"/>
          <w:szCs w:val="22"/>
          <w:lang w:val="lt-LT"/>
        </w:rPr>
      </w:pPr>
    </w:p>
    <w:p w14:paraId="693B23B7" w14:textId="77777777" w:rsidR="00093845" w:rsidRPr="00125234" w:rsidRDefault="000D779E" w:rsidP="00AF4003">
      <w:pPr>
        <w:tabs>
          <w:tab w:val="left" w:pos="709"/>
        </w:tabs>
        <w:spacing w:after="0"/>
        <w:ind w:firstLine="720"/>
        <w:jc w:val="both"/>
        <w:rPr>
          <w:b/>
          <w:bCs/>
          <w:lang w:val="lt-LT"/>
        </w:rPr>
      </w:pPr>
      <w:r w:rsidRPr="00125234">
        <w:rPr>
          <w:b/>
          <w:lang w:val="lt-LT"/>
        </w:rPr>
        <w:t>3. Nuolatinės buveinės už jai priskirtas Lietuvos vienetų akcijas, kapitalo dalį ar kitų teisių turėjimą gaunami dividendai apmokestinami taikant Lietuvos vieneto gaunamiems dividendams už turimas Lietuvos vienetų akcijas, kapitalo dalį ar kitų teisių turėjimą taikomą apmokestinimo tvarką.</w:t>
      </w:r>
    </w:p>
    <w:p w14:paraId="1CD6136D" w14:textId="77777777" w:rsidR="00093845" w:rsidRPr="00125234" w:rsidRDefault="000D779E" w:rsidP="00AF4003">
      <w:pPr>
        <w:spacing w:after="0"/>
        <w:jc w:val="both"/>
        <w:rPr>
          <w:i/>
          <w:color w:val="000000"/>
          <w:lang w:val="lt-LT"/>
        </w:rPr>
      </w:pPr>
      <w:r w:rsidRPr="00125234">
        <w:rPr>
          <w:i/>
          <w:color w:val="000000"/>
          <w:lang w:val="lt-LT"/>
        </w:rPr>
        <w:t>(</w:t>
      </w:r>
      <w:r w:rsidRPr="00125234">
        <w:rPr>
          <w:i/>
        </w:rPr>
        <w:t>KEISTA:</w:t>
      </w:r>
      <w:r w:rsidRPr="00125234">
        <w:rPr>
          <w:i/>
          <w:lang w:val="lt-LT"/>
        </w:rPr>
        <w:t xml:space="preserve"> </w:t>
      </w:r>
      <w:r w:rsidRPr="00125234">
        <w:rPr>
          <w:i/>
        </w:rPr>
        <w:t>2008 04 08 įstatymu Nr. X-1481 (nuo 2009 01 01)</w:t>
      </w:r>
      <w:r w:rsidRPr="00125234">
        <w:rPr>
          <w:i/>
          <w:color w:val="000000"/>
          <w:lang w:val="lt-LT"/>
        </w:rPr>
        <w:t>)</w:t>
      </w:r>
    </w:p>
    <w:p w14:paraId="5BB3FE4F" w14:textId="77777777" w:rsidR="005E1525" w:rsidRPr="00125234" w:rsidRDefault="005E1525" w:rsidP="00AF4003">
      <w:pPr>
        <w:spacing w:after="0"/>
        <w:jc w:val="both"/>
        <w:rPr>
          <w:i/>
          <w:color w:val="000000"/>
          <w:lang w:val="lt-LT"/>
        </w:rPr>
      </w:pPr>
    </w:p>
    <w:p w14:paraId="23300201" w14:textId="77777777" w:rsidR="00093845" w:rsidRPr="00125234" w:rsidRDefault="000D779E">
      <w:pPr>
        <w:tabs>
          <w:tab w:val="left" w:pos="709"/>
          <w:tab w:val="left" w:pos="1077"/>
          <w:tab w:val="left" w:pos="1418"/>
        </w:tabs>
        <w:ind w:firstLine="720"/>
        <w:jc w:val="both"/>
        <w:rPr>
          <w:b/>
          <w:bCs/>
          <w:lang w:val="lt-LT"/>
        </w:rPr>
      </w:pPr>
      <w:r w:rsidRPr="00125234">
        <w:rPr>
          <w:b/>
          <w:bCs/>
          <w:lang w:val="lt-LT"/>
        </w:rPr>
        <w:t xml:space="preserve">Komentaras </w:t>
      </w:r>
    </w:p>
    <w:p w14:paraId="03C9AA06"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 xml:space="preserve">Nuolatinių buveinių iš Lietuvos vienetų gaunami dividendai už joms užsienio vienetų priskirtas Lietuvos vienetų akcijas, kapitalo dalį ar kitas teises apmokestinami analogiškai kaip ir Lietuvos vienetų, gaunančių dividendus iš kitų Lietuvos vienetų </w:t>
      </w:r>
      <w:r w:rsidRPr="00125234">
        <w:rPr>
          <w:lang w:val="lt-LT"/>
        </w:rPr>
        <w:t>už turimas Lietuvos vienetų akcijas, kapitalo dalį ar kitas teises.</w:t>
      </w:r>
      <w:r w:rsidRPr="00125234">
        <w:rPr>
          <w:color w:val="000000"/>
          <w:lang w:val="lt-LT"/>
        </w:rPr>
        <w:t xml:space="preserve"> </w:t>
      </w:r>
    </w:p>
    <w:p w14:paraId="6A8C4A7F"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 xml:space="preserve">Nuolatinei buveinei priskirtomis Lietuvos vienetų akcijomis laikomos akcijos, kurias užsienio vienetas priskyrė (perdavė valdyti) savo nuolatinei buveinei, nesvarbu, ar tokias akcijas įsigijo pats užsienio vienetas ar jo nuolatinė buveinė, jei investicijų į akcijas veikla yra susijusi su nuolatinės buveinės Lietuvoje vykdoma veikla. </w:t>
      </w:r>
    </w:p>
    <w:p w14:paraId="2312CB52" w14:textId="77777777" w:rsidR="00093845" w:rsidRPr="00125234" w:rsidRDefault="000D779E">
      <w:pPr>
        <w:tabs>
          <w:tab w:val="left" w:pos="709"/>
          <w:tab w:val="left" w:pos="1077"/>
          <w:tab w:val="left" w:pos="1418"/>
        </w:tabs>
        <w:ind w:firstLine="720"/>
        <w:jc w:val="both"/>
        <w:rPr>
          <w:color w:val="000000"/>
          <w:lang w:val="lt-LT"/>
        </w:rPr>
      </w:pPr>
      <w:r w:rsidRPr="00125234">
        <w:rPr>
          <w:color w:val="000000"/>
          <w:lang w:val="lt-LT"/>
        </w:rPr>
        <w:t>Nuolatinių buveinių iš Lietuvos vienetų gaunamiems dividendams apmokestinti taikomos PMĮ 32 str. 1, 2, 3 ir 5 dalies bei PMĮ 33 straipsnio nuostatos (žr. PMĮ 33 straipsnio komentarą).</w:t>
      </w:r>
    </w:p>
    <w:p w14:paraId="230ED2D2" w14:textId="77777777" w:rsidR="00093845" w:rsidRPr="00125234" w:rsidRDefault="00062580" w:rsidP="002F4FA8">
      <w:pPr>
        <w:rPr>
          <w:lang w:val="lt-LT"/>
        </w:rPr>
      </w:pPr>
      <w:r w:rsidRPr="00125234">
        <w:rPr>
          <w:bCs/>
          <w:lang w:val="lt-LT"/>
        </w:rPr>
        <w:t xml:space="preserve">         </w:t>
      </w:r>
      <w:r w:rsidR="000D779E" w:rsidRPr="00125234">
        <w:rPr>
          <w:bCs/>
          <w:lang w:val="lt-LT"/>
        </w:rPr>
        <w:t>(</w:t>
      </w:r>
      <w:r w:rsidRPr="00125234">
        <w:rPr>
          <w:lang w:val="lt-LT"/>
        </w:rPr>
        <w:t>P</w:t>
      </w:r>
      <w:r w:rsidR="000D779E" w:rsidRPr="00125234">
        <w:rPr>
          <w:lang w:val="lt-LT"/>
        </w:rPr>
        <w:t>agal VMI prie FM raštą 2010-06-23 Nr. (18.10-31-1)-R-6299)</w:t>
      </w:r>
    </w:p>
    <w:p w14:paraId="0ABA8774" w14:textId="77777777" w:rsidR="002F4FA8" w:rsidRPr="00125234" w:rsidRDefault="002F4FA8" w:rsidP="002F4FA8">
      <w:pPr>
        <w:rPr>
          <w:lang w:val="lt-LT"/>
        </w:rPr>
      </w:pPr>
    </w:p>
    <w:p w14:paraId="30EB135B" w14:textId="77777777" w:rsidR="00093845" w:rsidRPr="00125234" w:rsidRDefault="000D779E">
      <w:pPr>
        <w:pStyle w:val="HTMLiankstoformatuotas"/>
        <w:jc w:val="both"/>
        <w:rPr>
          <w:rFonts w:ascii="Times New Roman" w:hAnsi="Times New Roman" w:cs="Times New Roman"/>
          <w:b/>
          <w:bCs/>
          <w:color w:val="000000"/>
          <w:sz w:val="24"/>
          <w:lang w:val="lt-LT"/>
        </w:rPr>
      </w:pPr>
      <w:r w:rsidRPr="00125234">
        <w:rPr>
          <w:rFonts w:ascii="Times New Roman" w:hAnsi="Times New Roman" w:cs="Times New Roman"/>
          <w:b/>
          <w:bCs/>
          <w:color w:val="000000"/>
          <w:sz w:val="24"/>
          <w:lang w:val="lt-LT"/>
        </w:rPr>
        <w:t xml:space="preserve">        </w:t>
      </w:r>
      <w:bookmarkStart w:id="514" w:name="straipsnis35"/>
      <w:r w:rsidRPr="00125234">
        <w:rPr>
          <w:rFonts w:ascii="Times New Roman" w:hAnsi="Times New Roman" w:cs="Times New Roman"/>
          <w:b/>
          <w:bCs/>
          <w:color w:val="000000"/>
          <w:sz w:val="24"/>
          <w:lang w:val="lt-LT"/>
        </w:rPr>
        <w:t xml:space="preserve">  35 STRAIPSNIS</w:t>
      </w:r>
      <w:bookmarkEnd w:id="514"/>
      <w:r w:rsidRPr="00125234">
        <w:rPr>
          <w:rFonts w:ascii="Times New Roman" w:hAnsi="Times New Roman" w:cs="Times New Roman"/>
          <w:b/>
          <w:bCs/>
          <w:color w:val="000000"/>
          <w:sz w:val="24"/>
          <w:lang w:val="lt-LT"/>
        </w:rPr>
        <w:t>. Užsienio vienetų dividendai</w:t>
      </w:r>
    </w:p>
    <w:p w14:paraId="455255F6" w14:textId="77777777" w:rsidR="008D52D5" w:rsidRPr="00125234" w:rsidRDefault="008D52D5">
      <w:pPr>
        <w:pStyle w:val="HTMLiankstoformatuotas"/>
        <w:jc w:val="both"/>
        <w:rPr>
          <w:rFonts w:ascii="Times New Roman" w:hAnsi="Times New Roman" w:cs="Times New Roman"/>
          <w:b/>
          <w:bCs/>
          <w:color w:val="000000"/>
          <w:sz w:val="24"/>
          <w:lang w:val="lt-LT"/>
        </w:rPr>
      </w:pPr>
      <w:r w:rsidRPr="00125234">
        <w:rPr>
          <w:rFonts w:ascii="Times New Roman" w:hAnsi="Times New Roman" w:cs="Times New Roman"/>
          <w:b/>
          <w:iCs/>
          <w:sz w:val="24"/>
          <w:szCs w:val="24"/>
          <w:lang w:val="lt-LT" w:eastAsia="lt-LT"/>
        </w:rPr>
        <w:t xml:space="preserve">Iki 2026 metų mokestinio laikotarpio galiojanti </w:t>
      </w:r>
      <w:r w:rsidRPr="00125234">
        <w:rPr>
          <w:rFonts w:ascii="Times New Roman" w:hAnsi="Times New Roman" w:cs="Times New Roman"/>
          <w:b/>
          <w:sz w:val="24"/>
          <w:szCs w:val="24"/>
          <w:lang w:val="lt-LT" w:eastAsia="lt-LT"/>
        </w:rPr>
        <w:t>PMĮ 3</w:t>
      </w:r>
      <w:r w:rsidR="00DC58CC" w:rsidRPr="00125234">
        <w:rPr>
          <w:rFonts w:ascii="Times New Roman" w:hAnsi="Times New Roman" w:cs="Times New Roman"/>
          <w:b/>
          <w:sz w:val="24"/>
          <w:szCs w:val="24"/>
          <w:lang w:val="lt-LT" w:eastAsia="lt-LT"/>
        </w:rPr>
        <w:t>5</w:t>
      </w:r>
      <w:r w:rsidRPr="00125234">
        <w:rPr>
          <w:rFonts w:ascii="Times New Roman" w:hAnsi="Times New Roman" w:cs="Times New Roman"/>
          <w:b/>
          <w:sz w:val="24"/>
          <w:szCs w:val="24"/>
          <w:lang w:val="lt-LT" w:eastAsia="lt-LT"/>
        </w:rPr>
        <w:t xml:space="preserve"> straipsnio 1 dalies</w:t>
      </w:r>
      <w:r w:rsidRPr="00125234">
        <w:rPr>
          <w:rFonts w:ascii="Times New Roman" w:hAnsi="Times New Roman" w:cs="Times New Roman"/>
          <w:b/>
          <w:iCs/>
          <w:sz w:val="24"/>
          <w:szCs w:val="24"/>
          <w:lang w:val="lt-LT" w:eastAsia="lt-LT"/>
        </w:rPr>
        <w:t xml:space="preserve"> redacija:</w:t>
      </w:r>
    </w:p>
    <w:p w14:paraId="02B89849" w14:textId="77777777" w:rsidR="00E22713" w:rsidRPr="00125234" w:rsidRDefault="00E22713" w:rsidP="00E22713">
      <w:pPr>
        <w:jc w:val="both"/>
        <w:rPr>
          <w:b/>
          <w:lang w:eastAsia="lt-LT"/>
        </w:rPr>
      </w:pPr>
      <w:r w:rsidRPr="00125234">
        <w:rPr>
          <w:b/>
          <w:bCs/>
          <w:color w:val="000000"/>
          <w:lang w:val="lt-LT"/>
        </w:rPr>
        <w:lastRenderedPageBreak/>
        <w:t xml:space="preserve">          </w:t>
      </w:r>
      <w:r w:rsidRPr="00125234">
        <w:rPr>
          <w:b/>
          <w:lang w:eastAsia="lt-LT"/>
        </w:rPr>
        <w:t xml:space="preserve">1. Lietuvos vieneto už turimas ar nuolatinės buveinės už jai priskirtas užsienio vienetų akcijas, kapitalo dalį ar kitų teisių turėjimą gaunami dividendai apmokestinami taikant 16 procentų pelno mokesčio tarifą, išskyrus šio straipsnio 2 ir 3 dalyse nustatytus atvejus. Mokestį apskaičiuoja ir sumoka į biudžetą dividendus gaunantis Lietuvos vienetas ar nuolatinė buveinė ne vėliau kaip iki mėnesio, einančio po mėnesio, kurį dividendai buvo gauti, penkioliktos dienos. </w:t>
      </w:r>
    </w:p>
    <w:p w14:paraId="7EB6DACB" w14:textId="77777777" w:rsidR="00E22713" w:rsidRPr="00125234" w:rsidRDefault="00E22713" w:rsidP="00E22713">
      <w:pPr>
        <w:jc w:val="both"/>
        <w:rPr>
          <w:bCs/>
          <w:i/>
          <w:lang w:eastAsia="lt-LT"/>
        </w:rPr>
      </w:pPr>
      <w:r w:rsidRPr="00125234">
        <w:rPr>
          <w:i/>
          <w:lang w:eastAsia="lt-LT"/>
        </w:rPr>
        <w:t xml:space="preserve">(KEISTA: </w:t>
      </w:r>
      <w:r w:rsidRPr="00125234">
        <w:rPr>
          <w:i/>
        </w:rPr>
        <w:t>2024 06 20 įstatymu Nr. XIV-2774 (nuo 2025 01 01)</w:t>
      </w:r>
      <w:r w:rsidRPr="00125234">
        <w:rPr>
          <w:bCs/>
          <w:i/>
          <w:lang w:eastAsia="lt-LT"/>
        </w:rPr>
        <w:t>)</w:t>
      </w:r>
    </w:p>
    <w:p w14:paraId="47F49961" w14:textId="77777777" w:rsidR="00E22713" w:rsidRPr="00125234" w:rsidRDefault="00E22713" w:rsidP="00E22713">
      <w:pPr>
        <w:jc w:val="both"/>
        <w:rPr>
          <w:bCs/>
          <w:i/>
          <w:lang w:eastAsia="lt-LT"/>
        </w:rPr>
      </w:pPr>
    </w:p>
    <w:p w14:paraId="0DAD03EB" w14:textId="77777777" w:rsidR="00E22713" w:rsidRPr="00125234" w:rsidRDefault="00E22713" w:rsidP="00E2271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125234">
        <w:rPr>
          <w:b/>
          <w:bCs/>
          <w:color w:val="000000"/>
        </w:rPr>
        <w:t xml:space="preserve">            Komentaras</w:t>
      </w:r>
    </w:p>
    <w:p w14:paraId="417C1481" w14:textId="77777777" w:rsidR="00E22713" w:rsidRPr="00125234" w:rsidRDefault="00E22713" w:rsidP="00E22713">
      <w:pPr>
        <w:tabs>
          <w:tab w:val="left" w:pos="709"/>
          <w:tab w:val="left" w:pos="1077"/>
          <w:tab w:val="left" w:pos="1418"/>
        </w:tabs>
        <w:ind w:firstLine="709"/>
        <w:jc w:val="both"/>
        <w:rPr>
          <w:color w:val="000000"/>
        </w:rPr>
      </w:pPr>
      <w:r w:rsidRPr="00125234">
        <w:rPr>
          <w:color w:val="000000"/>
        </w:rPr>
        <w:t xml:space="preserve">1. Nuo 2025 m. sausio 1 d. pagal šioje dalyje nustatytą 16 proc. dydžio pelno mokesčio tarifą </w:t>
      </w:r>
      <w:r w:rsidRPr="00125234">
        <w:t>(iki 2024 m. gruodžio 31 d. 15 proc. dydžio pelno mokesčiu)</w:t>
      </w:r>
      <w:r w:rsidRPr="00125234">
        <w:rPr>
          <w:b/>
        </w:rPr>
        <w:t xml:space="preserve"> </w:t>
      </w:r>
      <w:r w:rsidRPr="00125234">
        <w:rPr>
          <w:color w:val="000000"/>
        </w:rPr>
        <w:t>apmokestinami iš užsienio vienetų (išskyrus PMĮ 35 str. 2 ir 3 dalyse nustatytus atvejus) Lietuvos vieneto už turimas užsienio vienetų akcijas, kapitalo dalis ar kitokias teises ir nuolatinės buveinės už jai priskirtas užsienio vienetų akcijas, kapitalo dalį ar kitokias teises gaunami dividendai.</w:t>
      </w:r>
    </w:p>
    <w:p w14:paraId="502B734D"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 xml:space="preserve">Nuolatinei buveinei priskirtomis užsienio vienetų akcijomis laikomos akcijos, kurias užsienio vienetas priskyrė (perdavė valdyti) savo nuolatinei buveinei, nesvarbu ar tokias akcijas įsigijo pats užsienio vienetas, ar jo nuolatinė buveinė, jei investicijų į akcijas veikla yra susijusi su nuolatinės buveinės vykdoma veikla Lietuvoje. </w:t>
      </w:r>
    </w:p>
    <w:p w14:paraId="2DF33407" w14:textId="77777777" w:rsidR="00E22713" w:rsidRPr="00125234" w:rsidRDefault="00E22713" w:rsidP="00E22713">
      <w:pPr>
        <w:tabs>
          <w:tab w:val="left" w:pos="709"/>
          <w:tab w:val="left" w:pos="1077"/>
          <w:tab w:val="left" w:pos="1418"/>
        </w:tabs>
        <w:ind w:firstLine="720"/>
        <w:jc w:val="both"/>
      </w:pPr>
      <w:r w:rsidRPr="00125234">
        <w:rPr>
          <w:color w:val="000000"/>
        </w:rPr>
        <w:t xml:space="preserve">2. Remiantis šios dalies nuostatomis, prievolė apskaičiuoti ir sumokėti į biudžetą pelno mokestį nuo iš užsienio vienetų gautų dividendų nustatyta Lietuvos vienetui ar nuolatinei buveinei, gaunančiai dividendus. Dividendus gaunantis Lietuvos vienetas ar nuolatinė buveinė pelno mokestį privalo apskaičiuoti ir sumokėti į biudžetą ne vėliau kaip iki penkioliktos dienos kito mėnesio, einančio po mėnesio, kurį dividendai buvo gauti. </w:t>
      </w:r>
    </w:p>
    <w:p w14:paraId="661FCF53" w14:textId="77777777" w:rsidR="00E22713" w:rsidRPr="00125234" w:rsidRDefault="00E22713" w:rsidP="00E22713">
      <w:pPr>
        <w:tabs>
          <w:tab w:val="left" w:pos="709"/>
          <w:tab w:val="left" w:pos="1077"/>
          <w:tab w:val="left" w:pos="1418"/>
        </w:tabs>
        <w:ind w:right="-1"/>
        <w:jc w:val="both"/>
      </w:pPr>
      <w:r w:rsidRPr="00125234">
        <w:rPr>
          <w:color w:val="000000"/>
        </w:rPr>
        <w:tab/>
        <w:t xml:space="preserve">3. </w:t>
      </w:r>
      <w:r w:rsidRPr="00125234">
        <w:tab/>
        <w:t>Lietuvos vienetai iš užsienio vienetų – rezidentų tų užsienio valstybių, su kuriomis Lietuvoje taikomos</w:t>
      </w:r>
      <w:r w:rsidRPr="00125234">
        <w:rPr>
          <w:color w:val="000000"/>
        </w:rPr>
        <w:t xml:space="preserve"> dvigubo apmokestinimo išvengimo sutartys (toliau – </w:t>
      </w:r>
      <w:r w:rsidRPr="00125234">
        <w:t xml:space="preserve">DAIS), gavę dividendus, kurie Lietuvoje apmokestinami pelno mokesčiu ir nuo kurių užsienio valstybėje prie pajamų šaltinio buvo išskaičiuotas pelno mokestis (ar jam tapatus mokestis), gali naikinti dividendų dvigubą apmokestinimą. Naikindamas dividendų dvigubą apmokestinimą, Lietuvos vienetas iš pelno mokesčio sumos, apskaičiuotos nuo gautų dividendų taikant 16 proc. mokesčio tarifą (iki 2024 m. gruodžio 31 d. 15 proc. dydžio pelno mokesčio tarifą), gali atskaityti tokią užsienio valstybėje sumokėtą pelno mokesčio (ar jam tapataus mokesčio) sumą, kurią ta užsienio valstybė turėjo teisę imti pagal DAIS nuostatas (remdamosi DAIS nustatyta teise apmokestinti dividendus pagal vidaus mokesčių įstatymą, bet taikant ne didesnį nei DAIS nustatytą maksimalų dividendų mokesčio tarifą). </w:t>
      </w:r>
    </w:p>
    <w:p w14:paraId="6D619ABC"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Norėdamas sumažinti mokestį nuo dividendų, Lietuvos vienetas privalo turėti užsienio valstybės mokesčių administratoriaus patvirtintą pažymą, o jei užsienio administratorius tokių pažymų neišduoda, kitokius dokumentus,</w:t>
      </w:r>
      <w:r w:rsidRPr="00125234">
        <w:rPr>
          <w:b/>
          <w:color w:val="000000"/>
        </w:rPr>
        <w:t xml:space="preserve"> </w:t>
      </w:r>
      <w:r w:rsidRPr="00125234">
        <w:rPr>
          <w:color w:val="000000"/>
        </w:rPr>
        <w:t xml:space="preserve">kuriuose būtų nurodyti tokie duomenys: kas, kada ir kokią dividendų sumą išmokėjo Lietuvos rezidentui bei kokią mokesčio sumą išskaičiavo nuo išmokėtosios dividendų sumos. </w:t>
      </w:r>
    </w:p>
    <w:p w14:paraId="547A1A9A" w14:textId="77777777" w:rsidR="00E22713" w:rsidRPr="00125234" w:rsidRDefault="00E22713" w:rsidP="00E22713">
      <w:pPr>
        <w:tabs>
          <w:tab w:val="left" w:pos="709"/>
          <w:tab w:val="left" w:pos="1077"/>
          <w:tab w:val="left" w:pos="1418"/>
        </w:tabs>
        <w:ind w:firstLine="720"/>
        <w:jc w:val="both"/>
        <w:rPr>
          <w:color w:val="000000"/>
        </w:rPr>
      </w:pPr>
      <w:r w:rsidRPr="00125234">
        <w:rPr>
          <w:color w:val="000000"/>
        </w:rPr>
        <w:t>Jeigu pagal DAIS nuo dividendų išskaičiuojamo mokesčio tarifas priklauso nuo Lietuvos vieneto (faktiškojo dividendų savininko), turimo užsienio vieneto, mokančio dividendus, kapitalo dydžio ir balsų skaičiaus, tai pažymoje, atsižvelgiant į konkrečias dvigubo apmokestinimo išvengimo sutartis, turi būti nurodomi dividendų faktiškojo savininko turimo užsienio vieneto kapitalo dydžio ir balsų skaičiaus duomenys procentais.</w:t>
      </w:r>
    </w:p>
    <w:p w14:paraId="6B5B6CF8" w14:textId="77777777" w:rsidR="00E22713" w:rsidRPr="00125234" w:rsidRDefault="00E22713" w:rsidP="00E22713">
      <w:pPr>
        <w:tabs>
          <w:tab w:val="left" w:pos="709"/>
          <w:tab w:val="left" w:pos="1077"/>
          <w:tab w:val="left" w:pos="1418"/>
        </w:tabs>
        <w:ind w:firstLine="720"/>
        <w:jc w:val="both"/>
        <w:rPr>
          <w:iCs/>
          <w:color w:val="000000"/>
        </w:rPr>
      </w:pPr>
      <w:r w:rsidRPr="00125234">
        <w:rPr>
          <w:iCs/>
          <w:color w:val="000000"/>
        </w:rPr>
        <w:t>Pavyzdys</w:t>
      </w:r>
    </w:p>
    <w:p w14:paraId="2D705CEE" w14:textId="77777777" w:rsidR="00E22713" w:rsidRPr="00125234" w:rsidRDefault="00E22713" w:rsidP="00E22713">
      <w:pPr>
        <w:pBdr>
          <w:top w:val="single" w:sz="4" w:space="1" w:color="auto"/>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lastRenderedPageBreak/>
        <w:t xml:space="preserve">Ukrainoje nuo dividendų sumokėto pelno mokesčio atskaitymas taikant Lietuvos ir Ukrainos DAIS. </w:t>
      </w:r>
    </w:p>
    <w:p w14:paraId="4AA9F399" w14:textId="77777777" w:rsidR="00E22713" w:rsidRPr="00125234" w:rsidRDefault="00E22713" w:rsidP="00E22713">
      <w:pPr>
        <w:pBdr>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Iš pelno mokesčio sumos, kurią pagal PMĮ turi sumokėti Lietuvos vienetas nuo iš Ukrainos rezidento (vieneto) gautų dividendų, atskaitoma mokesčio suma, kurią prie pajamų šaltinio išskaičiavo Ukrainos vienetas, išmokėdamas Lietuvos vienetui dividendus. Tačiau, jeigu šis Lietuvos vienetas yra faktiškasis dividendų savininkas, imamo mokesčio suma negali viršyti 5 proc. bendros tokių dividendų sumos, kai šis Lietuvos vienetas (bet ne bendrija) tiesiogiai turi ne mažiau kaip 25 proc. dividendus mokančio vieneto kapitalo, arba negali viršyti 15 proc. bendros tokių dividendų sumos - kitais atvejais. </w:t>
      </w:r>
    </w:p>
    <w:p w14:paraId="74F305F4" w14:textId="77777777" w:rsidR="00E22713" w:rsidRPr="00125234" w:rsidRDefault="00E22713" w:rsidP="00E22713">
      <w:pPr>
        <w:pBdr>
          <w:left w:val="single" w:sz="4" w:space="4" w:color="auto"/>
          <w:right w:val="single" w:sz="4" w:space="4" w:color="auto"/>
        </w:pBdr>
        <w:shd w:val="clear" w:color="auto" w:fill="FFFFFF"/>
        <w:tabs>
          <w:tab w:val="left" w:pos="709"/>
          <w:tab w:val="left" w:pos="1077"/>
          <w:tab w:val="left" w:pos="1418"/>
        </w:tabs>
        <w:ind w:firstLine="720"/>
        <w:jc w:val="both"/>
        <w:rPr>
          <w:color w:val="000000"/>
        </w:rPr>
      </w:pPr>
      <w:r w:rsidRPr="00125234">
        <w:rPr>
          <w:color w:val="000000"/>
        </w:rPr>
        <w:t>Lietuvos vienetas 2025 metais iš Ukrainos rezidento (vieneto) gavo 42 500 EUR (paskirti dividendai sudarė 50 000 EUR, tačiau buvo išskaičiuotas mokestis prie pajamų šaltinio) dividendų. Šiuos dividendus gavusiam Lietuvos vienetui priklauso dividendus mokančio Ukrainos vieneto akcijų, kurioms tenka tik 3 proc. kapitalo. Išmokėdamas dividendus Lietuvos vienetui, Ukrainos vienetas iš tų dividendų mokestį išskaičiavo pagal DAIS nuostatas, taikydamas 15 proc. tarifą, t. y. išskaičiavo 7 500 EUR [(50 000 x 15)/100]. Išskaičiavus mokestį iš dividendų, Lietuvos vienetas gavo 42 500 EUR (50 000 – 7 500) dividendų. Lietuvos vienetas, gavęs 42 500 EUR dividendų iš Ukrainos, turi Ukrainos mokesčių administracijos patvirtintą pažymą, kurioje nurodyta, kad Ukrainos vienetas nurodytu laikotarpiu Lietuvos vienetui išmokėjo 42 500 EUR dividendų, prieš tai išskaičiavęs 7 500 EUR mokestį [(50 000 x 15)/100]. Naikindamas dvigubą apmokestinimą, Lietuvos vienetas iš mokesčio sumos, kurią nuo iš Ukrainos gautų dividendų turi sumokėti Lietuvoje, gali atskaityti nuo dividendų Ukrainoje išskaičiuotą 7 500 EUR mokestį.</w:t>
      </w:r>
    </w:p>
    <w:p w14:paraId="2A384586" w14:textId="77777777" w:rsidR="00E22713" w:rsidRPr="00125234" w:rsidRDefault="00E22713" w:rsidP="00E22713">
      <w:pPr>
        <w:pBdr>
          <w:left w:val="single" w:sz="4" w:space="4" w:color="auto"/>
          <w:bottom w:val="single" w:sz="4" w:space="1" w:color="auto"/>
          <w:right w:val="single" w:sz="4" w:space="4" w:color="auto"/>
        </w:pBdr>
        <w:tabs>
          <w:tab w:val="left" w:pos="709"/>
          <w:tab w:val="left" w:pos="1077"/>
          <w:tab w:val="left" w:pos="1418"/>
        </w:tabs>
        <w:ind w:firstLine="720"/>
        <w:jc w:val="both"/>
        <w:rPr>
          <w:color w:val="000000"/>
        </w:rPr>
      </w:pPr>
      <w:r w:rsidRPr="00125234">
        <w:rPr>
          <w:color w:val="000000"/>
        </w:rPr>
        <w:t>Apskaičiuodamas Lietuvoje sumokėtiną mokestį, Lietuvos vienetas iš Ukrainos gautus 42 500 EUR dividendų padidina 7 500 EUR Ukrainoje išskaičiuoto mokesčio suma ir nuo 50 000 EUR dividendų sumos apskaičiuoja PMĮ nustatytą 16 proc. mokestį – 8000 EUR [(50 000 x 16)/100] bei iš šios sumos atskaito Ukrainoje nuo tų dividendų sumokėtą 7500</w:t>
      </w:r>
      <w:r w:rsidRPr="00125234">
        <w:rPr>
          <w:b/>
          <w:color w:val="000000"/>
        </w:rPr>
        <w:t xml:space="preserve"> </w:t>
      </w:r>
      <w:r w:rsidRPr="00125234">
        <w:rPr>
          <w:color w:val="000000"/>
        </w:rPr>
        <w:t>EUR mokestį. Mokesčio skirtumą, 500 EUR (8000 – 7500),</w:t>
      </w:r>
      <w:r w:rsidRPr="00125234">
        <w:rPr>
          <w:b/>
          <w:color w:val="000000"/>
        </w:rPr>
        <w:t xml:space="preserve"> </w:t>
      </w:r>
      <w:r w:rsidRPr="00125234">
        <w:rPr>
          <w:color w:val="000000"/>
        </w:rPr>
        <w:t>Lietuvos vienetas nuo iš Ukrainos gautų dividendų Lietuvoje pelno mokesčio turi</w:t>
      </w:r>
      <w:r w:rsidRPr="00125234">
        <w:rPr>
          <w:b/>
          <w:color w:val="000000"/>
        </w:rPr>
        <w:t xml:space="preserve"> </w:t>
      </w:r>
      <w:r w:rsidRPr="00125234">
        <w:rPr>
          <w:color w:val="000000"/>
        </w:rPr>
        <w:t>sumokėti ir mokesčių administratoriui</w:t>
      </w:r>
      <w:r w:rsidRPr="00125234">
        <w:rPr>
          <w:b/>
          <w:color w:val="000000"/>
        </w:rPr>
        <w:t xml:space="preserve"> </w:t>
      </w:r>
      <w:r w:rsidRPr="00125234">
        <w:rPr>
          <w:color w:val="000000"/>
        </w:rPr>
        <w:t>privalo pateikti dividendų pelno mokesčio deklaraciją (žr. PMĮ 36 str. komentarą).</w:t>
      </w:r>
    </w:p>
    <w:p w14:paraId="4BCFDE1A" w14:textId="77777777" w:rsidR="00E22713" w:rsidRPr="00125234" w:rsidRDefault="00E22713" w:rsidP="00E22713">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125234">
        <w:t xml:space="preserve">           4.</w:t>
      </w:r>
      <w:r w:rsidRPr="00125234">
        <w:rPr>
          <w:b/>
        </w:rPr>
        <w:t xml:space="preserve"> </w:t>
      </w:r>
      <w:r w:rsidRPr="00125234">
        <w:t xml:space="preserve">Jeigu Lietuvos vienetas iš užsienio vieneto – rezidento tos užsienio valstybės, su kuria nesudaryta ir Lietuvoje netaikoma DAIS, gauna pagal PMĮ apmokestinamų dividendų, tai naikinant dvigubą apmokestinimą, nuo toje užsienio valstybėje gautų pajamų, įskaitant dividendus, sumokėto pelno mokesčio (ar jam tapataus mokesčio) suma iš mokestinio laikotarpio mokėtinos į biudžetą pelno mokesčio sumos atskaitoma, vadovaujantis PMĮ 55 straipsnio nuostatomis. </w:t>
      </w:r>
    </w:p>
    <w:p w14:paraId="00885CAC" w14:textId="77777777" w:rsidR="00E22713" w:rsidRPr="00125234" w:rsidRDefault="00E22713" w:rsidP="00E22713">
      <w:pPr>
        <w:tabs>
          <w:tab w:val="left" w:pos="709"/>
          <w:tab w:val="left" w:pos="1077"/>
          <w:tab w:val="left" w:pos="1418"/>
          <w:tab w:val="center" w:pos="4153"/>
          <w:tab w:val="right" w:pos="8306"/>
        </w:tabs>
        <w:autoSpaceDE w:val="0"/>
        <w:autoSpaceDN w:val="0"/>
        <w:ind w:firstLine="720"/>
        <w:jc w:val="both"/>
        <w:rPr>
          <w:color w:val="000000"/>
          <w:position w:val="2"/>
        </w:rPr>
      </w:pPr>
      <w:r w:rsidRPr="00125234">
        <w:rPr>
          <w:color w:val="000000"/>
          <w:position w:val="2"/>
        </w:rPr>
        <w:t>5.</w:t>
      </w:r>
      <w:r w:rsidRPr="00125234">
        <w:rPr>
          <w:b/>
          <w:color w:val="000000"/>
          <w:position w:val="2"/>
        </w:rPr>
        <w:t xml:space="preserve"> </w:t>
      </w:r>
      <w:r w:rsidRPr="00125234">
        <w:rPr>
          <w:color w:val="000000"/>
          <w:position w:val="2"/>
        </w:rPr>
        <w:t>Lietuvos kontroliuojančių vienetų iš kontroliuojamųjų užsienio vienetų gauti dividendai apmokestinami, atsižvelgiant į Lietuvos Respublikos Vyriausybės 2002 m. balandžio 12 d</w:t>
      </w:r>
      <w:r w:rsidRPr="00125234">
        <w:rPr>
          <w:position w:val="2"/>
        </w:rPr>
        <w:t xml:space="preserve">. </w:t>
      </w:r>
      <w:hyperlink r:id="rId104" w:history="1">
        <w:r w:rsidRPr="00125234">
          <w:rPr>
            <w:position w:val="2"/>
          </w:rPr>
          <w:t>nutarimo Nr. 517</w:t>
        </w:r>
      </w:hyperlink>
      <w:r w:rsidRPr="00125234">
        <w:rPr>
          <w:position w:val="2"/>
        </w:rPr>
        <w:t xml:space="preserve"> ,,Dėl pozityviųjų pajamų apskaičiavimo, įtraukimo į kontroliuojančio Lietuvos apmokestinamojo</w:t>
      </w:r>
      <w:r w:rsidRPr="00125234">
        <w:rPr>
          <w:color w:val="000000"/>
          <w:position w:val="2"/>
        </w:rPr>
        <w:t xml:space="preserve"> vieneto pajamas tvarkos ir pajamų, neįtraukiamų į pozityviąsias pajamas, rūšių patvirtinimo“ nuostatas.</w:t>
      </w:r>
    </w:p>
    <w:p w14:paraId="0A57E211" w14:textId="77777777" w:rsidR="00E22713" w:rsidRPr="00125234" w:rsidRDefault="00E22713" w:rsidP="00E22713">
      <w:pPr>
        <w:tabs>
          <w:tab w:val="left" w:pos="709"/>
          <w:tab w:val="left" w:pos="1077"/>
          <w:tab w:val="left" w:pos="1418"/>
        </w:tabs>
        <w:ind w:right="128" w:firstLine="720"/>
        <w:jc w:val="both"/>
        <w:rPr>
          <w:color w:val="000000"/>
        </w:rPr>
      </w:pPr>
      <w:r w:rsidRPr="00125234">
        <w:rPr>
          <w:color w:val="000000"/>
        </w:rPr>
        <w:t xml:space="preserve">6. Jeigu kontroliuojamasis užsienio vienetas kontroliuojančiam Lietuvos vienetui išmoka dividendų sumą, didesnę už tą pajamų sumą, kurios pagrindu šie dividendai išmokėti ir kuri buvo įtraukta į šio kontroliuojančio Lietuvos vieneto mokestinio laikotarpio, buvusio prieš tą mokestinį laikotarpį, kurį buvo gauti dividendai iš užsienio kontroliuojamojo vieneto, pajamas kaip pozityviųjų pajamų suma, tai dividendų dalis, viršijanti tą pozityviųjų pajamų sumą, apmokestinama šioje dalyje nustatyta tvarka (arba neapmokestinama tais atvejais, kai taikomos PMĮ 35 str. 2 ar 3 dalies nuostatos (žr. PMĮ 35 str. 2 ir 3 dalies komentarus), jei kontroliuojamasis užsienio vienetas nėra įregistruotas ar kitaip organizuotas tikslinėse teritorijose). </w:t>
      </w:r>
    </w:p>
    <w:p w14:paraId="688866C3" w14:textId="77777777" w:rsidR="00E22713" w:rsidRPr="00125234" w:rsidRDefault="00E22713" w:rsidP="00E22713">
      <w:pPr>
        <w:tabs>
          <w:tab w:val="left" w:pos="709"/>
          <w:tab w:val="left" w:pos="1077"/>
          <w:tab w:val="left" w:pos="1418"/>
        </w:tabs>
        <w:ind w:right="128" w:firstLine="720"/>
        <w:jc w:val="both"/>
        <w:rPr>
          <w:color w:val="000000"/>
        </w:rPr>
      </w:pPr>
      <w:r w:rsidRPr="00125234">
        <w:rPr>
          <w:color w:val="000000"/>
        </w:rPr>
        <w:lastRenderedPageBreak/>
        <w:t xml:space="preserve">Pavyzdys </w:t>
      </w:r>
    </w:p>
    <w:p w14:paraId="53DB4235"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Lietuvos vienetas A, apskaičiuodamas 2024 mokestinių metų apmokestinamąjį pelną, į pajamas įtraukė kontroliuojamojo užsienio vieneto B 40 000 EUR apskaičiuotą pozityviųjų pajamų sumą (užsienio vienetas B įsteigtas tikslinėje teritorijoje (Bahamų salose), jo mokestinis laikotarpis – kalendoriniai metai). Į 2025</w:t>
      </w:r>
      <w:r w:rsidRPr="00125234">
        <w:rPr>
          <w:b/>
          <w:color w:val="000000"/>
        </w:rPr>
        <w:t xml:space="preserve"> </w:t>
      </w:r>
      <w:r w:rsidRPr="00125234">
        <w:rPr>
          <w:color w:val="000000"/>
        </w:rPr>
        <w:t>mokestinių metų pajamas Lietuvos vienetas A įtraukė kontroliuojamojo užsienio vieneto B 50 000 EUR apskaičiuotą pozityviųjų pajamų sumą.</w:t>
      </w:r>
    </w:p>
    <w:p w14:paraId="1D87DB0D"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2025 m. kovo 25</w:t>
      </w:r>
      <w:r w:rsidRPr="00125234">
        <w:rPr>
          <w:b/>
          <w:color w:val="000000"/>
        </w:rPr>
        <w:t xml:space="preserve"> </w:t>
      </w:r>
      <w:r w:rsidRPr="00125234">
        <w:rPr>
          <w:color w:val="000000"/>
        </w:rPr>
        <w:t>d. kontroliuojamasis užsienio vienetas B paskirstė 2024 metų pelną. Dividendams išmokėti buvo paskirta 300 000 EUR, iš kurių Lietuvos vienetui A, atsižvelgiant į jo valdomų akcijų skaičių, paskirta 45 000 EUR. Ši dividendų suma Lietuvos vienetui A išmokama 2025 metais.</w:t>
      </w:r>
    </w:p>
    <w:p w14:paraId="7FEB357F"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Apmokestinant iš kontroliuojamojo užsienio vieneto B 2025 metais gautus dividendus, jų suma palyginama su ta į Lietuvos vieneto A pajamas įtraukta užsienio kontroliuojamojo vieneto B apskaičiuotų pozityviųjų pajamų suma, kurios pagrindu šie dividendai išmokėti. Kadangi Lietuvos vienetas A 2025 metais gavo dividendus, paskirstytus iš užsienio kontroliuojamojo vieneto B 2024</w:t>
      </w:r>
      <w:r w:rsidRPr="00125234">
        <w:rPr>
          <w:b/>
          <w:color w:val="000000"/>
        </w:rPr>
        <w:t xml:space="preserve"> </w:t>
      </w:r>
      <w:r w:rsidRPr="00125234">
        <w:rPr>
          <w:color w:val="000000"/>
        </w:rPr>
        <w:t>metų pelno, tai gauta dividendų suma palyginama su ta užsienio kontroliuojamojo vieneto B 2024 metų apskaičiuotų pozityviųjų pajamų suma, kuri įtraukta į Lietuvos vieneto A 2024</w:t>
      </w:r>
      <w:r w:rsidRPr="00125234">
        <w:rPr>
          <w:b/>
          <w:color w:val="000000"/>
        </w:rPr>
        <w:t xml:space="preserve"> </w:t>
      </w:r>
      <w:r w:rsidRPr="00125234">
        <w:rPr>
          <w:color w:val="000000"/>
        </w:rPr>
        <w:t xml:space="preserve">mokestinių metų pajamas. </w:t>
      </w:r>
    </w:p>
    <w:p w14:paraId="7D7036AE" w14:textId="77777777" w:rsidR="00E22713" w:rsidRPr="00125234" w:rsidRDefault="00E22713" w:rsidP="00E22713">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 xml:space="preserve">Pavyzdyje pateiktu atveju, Lietuvos vienetas 2025 metais iš kontroliuojamojo užsienio vieneto B gavo 45 000 EUR dividendų, o į 2024 mokestinių metų pajamas jis įtraukė 40 000 EUR to užsienio vieneto apskaičiuotų pozityviųjų pajamų. Pozityviąsias pajamas viršijančią 5 000 EUR (45 000 EUR – 40 000 EUR) dividendų sumą Lietuvos vienetas A turi apmokestinti PMĮ 35 str. 1 dalyje nustatyta tvarka, taikant 16 proc. dydžio pelno mokesčio tarifą. </w:t>
      </w:r>
    </w:p>
    <w:p w14:paraId="54EEA0A1" w14:textId="77777777" w:rsidR="00E22713" w:rsidRPr="00125234" w:rsidRDefault="00E22713" w:rsidP="00E22713">
      <w:pPr>
        <w:tabs>
          <w:tab w:val="left" w:pos="709"/>
          <w:tab w:val="left" w:pos="1077"/>
          <w:tab w:val="left" w:pos="1418"/>
        </w:tabs>
        <w:ind w:right="128" w:firstLine="720"/>
        <w:jc w:val="both"/>
      </w:pPr>
      <w:r w:rsidRPr="00125234">
        <w:t>Jei Lietuvos vienetas iš savo kontroliuojamojo užsienio vieneto gauna dividendų, kurie buvo paskirstyti ir išmokami už tuos kontroliuojamojo užsienio vieneto mokestinius laikotarpius, kuriais pozityviųjų pajamų nereikėjo įtraukti į Lietuvos vieneto pajamas (pvz., iš kontroliuojamojo užsienio vieneto Lietuvos vienetas 2025 metais gavo dividendus, paskirstytus 2024 mokestiniais metais uždirbtų pajamų pagrindu, tačiau pozityviosios pajamos į Lietuvos kontroliuojančio vieneto pajamas 2024</w:t>
      </w:r>
      <w:r w:rsidRPr="00125234">
        <w:rPr>
          <w:b/>
        </w:rPr>
        <w:t xml:space="preserve"> </w:t>
      </w:r>
      <w:r w:rsidRPr="00125234">
        <w:t>mokestiniais metais įtrauktos nebuvo (kontroliuojamojo užsienio vieneto pajamos neatitiko</w:t>
      </w:r>
      <w:r w:rsidRPr="00125234">
        <w:rPr>
          <w:b/>
        </w:rPr>
        <w:t xml:space="preserve"> </w:t>
      </w:r>
      <w:r w:rsidRPr="00125234">
        <w:t>PMĮ 39 straipsnio nuostatų), tai tokie dividendai apmokestinami bendra PMĮ 35 str. 1 dalyje nustatyta tvarka (arba neapmokestinami tais atvejais, kai taikomos PMĮ 35 str. 2 ar 3 dalies nuostatos, jei kontroliuojamasis užsienio vienetas nėra įregistruotas ar kitaip organizuotas tikslinėse teritorijose, žr. PMĮ 35 str. 2 ir 3 dalies komentarus).</w:t>
      </w:r>
    </w:p>
    <w:p w14:paraId="61951E39" w14:textId="77777777" w:rsidR="00E22713" w:rsidRPr="00125234" w:rsidRDefault="00E22713" w:rsidP="00E22713">
      <w:pPr>
        <w:tabs>
          <w:tab w:val="left" w:pos="709"/>
          <w:tab w:val="left" w:pos="1077"/>
          <w:tab w:val="left" w:pos="1418"/>
        </w:tabs>
        <w:ind w:right="128"/>
        <w:jc w:val="both"/>
        <w:rPr>
          <w:iCs/>
          <w:lang w:eastAsia="lt-LT"/>
        </w:rPr>
      </w:pPr>
      <w:r w:rsidRPr="00125234">
        <w:rPr>
          <w:iCs/>
          <w:lang w:eastAsia="lt-LT"/>
        </w:rPr>
        <w:t xml:space="preserve">(PMĮ </w:t>
      </w:r>
      <w:r w:rsidRPr="00125234">
        <w:t>35</w:t>
      </w:r>
      <w:r w:rsidRPr="00125234">
        <w:rPr>
          <w:iCs/>
          <w:lang w:eastAsia="lt-LT"/>
        </w:rPr>
        <w:t xml:space="preserve"> straipsnio 1 d. komentaras parengtas</w:t>
      </w:r>
      <w:r w:rsidRPr="00125234">
        <w:rPr>
          <w:vertAlign w:val="superscript"/>
        </w:rPr>
        <w:t xml:space="preserve"> </w:t>
      </w:r>
      <w:r w:rsidRPr="00125234">
        <w:rPr>
          <w:iCs/>
          <w:lang w:eastAsia="lt-LT"/>
        </w:rPr>
        <w:t xml:space="preserve"> pagal VMI prie FM 2025-01-21 raštą Nr. (18.32-31-1 Mr)-R-270)</w:t>
      </w:r>
    </w:p>
    <w:p w14:paraId="30B55377" w14:textId="77777777" w:rsidR="00DC58CC" w:rsidRPr="00125234" w:rsidRDefault="00DC58CC" w:rsidP="00DC58CC">
      <w:pPr>
        <w:jc w:val="both"/>
        <w:rPr>
          <w:b/>
          <w:iCs/>
        </w:rPr>
      </w:pPr>
      <w:bookmarkStart w:id="515" w:name="_Hlk212528496"/>
      <w:r w:rsidRPr="00125234">
        <w:rPr>
          <w:b/>
          <w:iCs/>
        </w:rPr>
        <w:t xml:space="preserve">Nuo 2026 metų mokestinio laikotarpio galiojanti </w:t>
      </w:r>
      <w:r w:rsidRPr="00125234">
        <w:rPr>
          <w:b/>
        </w:rPr>
        <w:t>PMĮ 35 straipsnio 1 dalies</w:t>
      </w:r>
      <w:r w:rsidRPr="00125234">
        <w:rPr>
          <w:b/>
          <w:iCs/>
        </w:rPr>
        <w:t xml:space="preserve"> redacija:</w:t>
      </w:r>
      <w:bookmarkEnd w:id="515"/>
    </w:p>
    <w:p w14:paraId="374FBF24" w14:textId="77777777" w:rsidR="00DC58CC" w:rsidRPr="00125234" w:rsidRDefault="00DC58CC" w:rsidP="00DC58CC">
      <w:pPr>
        <w:ind w:firstLine="720"/>
        <w:jc w:val="both"/>
        <w:rPr>
          <w:b/>
          <w:lang w:eastAsia="lt-LT"/>
        </w:rPr>
      </w:pPr>
      <w:r w:rsidRPr="00125234">
        <w:rPr>
          <w:b/>
          <w:lang w:eastAsia="lt-LT"/>
        </w:rPr>
        <w:t xml:space="preserve">1. Lietuvos vieneto už turimas ar nuolatinės buveinės už jai priskirtas užsienio vienetų akcijas, kapitalo dalį ar kitų teisių turėjimą gaunami dividendai apmokestinami taikant 17 procentų pelno mokesčio tarifą, išskyrus šio straipsnio 2 ir 3 dalyse nustatytus atvejus. Mokestį apskaičiuoja ir sumoka į biudžetą dividendus gaunantis Lietuvos vienetas ar nuolatinė buveinė ne vėliau kaip iki mėnesio, einančio po mėnesio, kurį dividendai buvo gauti, penkioliktos dienos. </w:t>
      </w:r>
    </w:p>
    <w:p w14:paraId="0964A9CA" w14:textId="77777777" w:rsidR="00DC58CC" w:rsidRPr="00125234" w:rsidRDefault="00DC58CC" w:rsidP="00DC58CC">
      <w:pPr>
        <w:jc w:val="both"/>
        <w:rPr>
          <w:bCs/>
          <w:i/>
          <w:lang w:eastAsia="lt-LT"/>
        </w:rPr>
      </w:pPr>
      <w:r w:rsidRPr="00125234">
        <w:rPr>
          <w:i/>
          <w:lang w:eastAsia="lt-LT"/>
        </w:rPr>
        <w:t xml:space="preserve">(KEISTA: </w:t>
      </w:r>
      <w:r w:rsidRPr="00125234">
        <w:rPr>
          <w:i/>
        </w:rPr>
        <w:t>2025 06 17 įstatymu Nr. XV-285 (nuo 2026-01-01)</w:t>
      </w:r>
      <w:r w:rsidRPr="00125234">
        <w:rPr>
          <w:bCs/>
          <w:i/>
          <w:lang w:eastAsia="lt-LT"/>
        </w:rPr>
        <w:t>)</w:t>
      </w:r>
    </w:p>
    <w:p w14:paraId="75D25876" w14:textId="77777777" w:rsidR="00DC58CC" w:rsidRPr="00125234" w:rsidRDefault="00DC58CC" w:rsidP="00DC58C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125234">
        <w:rPr>
          <w:b/>
          <w:bCs/>
          <w:color w:val="000000"/>
        </w:rPr>
        <w:t xml:space="preserve">            Komentaras</w:t>
      </w:r>
    </w:p>
    <w:p w14:paraId="21989BE8" w14:textId="77777777" w:rsidR="00DC58CC" w:rsidRPr="00125234" w:rsidRDefault="00DC58CC" w:rsidP="00DC58CC">
      <w:pPr>
        <w:tabs>
          <w:tab w:val="left" w:pos="709"/>
          <w:tab w:val="left" w:pos="1077"/>
          <w:tab w:val="left" w:pos="1418"/>
        </w:tabs>
        <w:ind w:firstLine="709"/>
        <w:jc w:val="both"/>
        <w:rPr>
          <w:color w:val="000000"/>
        </w:rPr>
      </w:pPr>
      <w:r w:rsidRPr="00125234">
        <w:rPr>
          <w:color w:val="000000"/>
        </w:rPr>
        <w:lastRenderedPageBreak/>
        <w:t xml:space="preserve">1. Nuo 2026  m. sausio 1 d. pagal šioje dalyje nustatytą 17 proc. dydžio pelno mokesčio tarifą </w:t>
      </w:r>
      <w:r w:rsidRPr="00125234">
        <w:t>(iki 2024 m. gruodžio 31 d. 15 proc. dydžio pelno mokesčio tarifą, 2025 metais - 16 proc. dydžio pelno mokesčio tarifą)</w:t>
      </w:r>
      <w:r w:rsidRPr="00125234">
        <w:rPr>
          <w:b/>
        </w:rPr>
        <w:t xml:space="preserve"> </w:t>
      </w:r>
      <w:r w:rsidRPr="00125234">
        <w:rPr>
          <w:color w:val="000000"/>
        </w:rPr>
        <w:t>apmokestinami iš užsienio vienetų (išskyrus PMĮ 35 str. 2 ir 3 dalyse nustatytus atvejus) Lietuvos vieneto už turimas užsienio vienetų akcijas, kapitalo dalis ar kitokias teises ir nuolatinės buveinės už jai priskirtas užsienio vienetų akcijas, kapitalo dalį ar kitokias teises gaunami dividendai.</w:t>
      </w:r>
    </w:p>
    <w:p w14:paraId="76A1E2A1" w14:textId="77777777" w:rsidR="00DC58CC" w:rsidRPr="00125234" w:rsidRDefault="00DC58CC" w:rsidP="00DC58CC">
      <w:pPr>
        <w:tabs>
          <w:tab w:val="left" w:pos="709"/>
          <w:tab w:val="left" w:pos="1077"/>
          <w:tab w:val="left" w:pos="1418"/>
        </w:tabs>
        <w:ind w:firstLine="720"/>
        <w:jc w:val="both"/>
        <w:rPr>
          <w:color w:val="000000"/>
        </w:rPr>
      </w:pPr>
      <w:r w:rsidRPr="00125234">
        <w:rPr>
          <w:color w:val="000000"/>
        </w:rPr>
        <w:t xml:space="preserve">Nuolatinei buveinei priskirtomis užsienio vienetų akcijomis laikomos akcijos, kurias užsienio vienetas priskyrė (perdavė valdyti) savo nuolatinei buveinei, nesvarbu ar tokias akcijas įsigijo pats užsienio vienetas, ar jo nuolatinė buveinė, jei investicijų į akcijas veikla yra susijusi su nuolatinės buveinės vykdoma veikla Lietuvoje. </w:t>
      </w:r>
    </w:p>
    <w:p w14:paraId="3B80220A" w14:textId="77777777" w:rsidR="00DC58CC" w:rsidRPr="00125234" w:rsidRDefault="00DC58CC" w:rsidP="00DC58CC">
      <w:pPr>
        <w:tabs>
          <w:tab w:val="left" w:pos="709"/>
          <w:tab w:val="left" w:pos="1077"/>
          <w:tab w:val="left" w:pos="1418"/>
        </w:tabs>
        <w:ind w:firstLine="720"/>
        <w:jc w:val="both"/>
      </w:pPr>
      <w:r w:rsidRPr="00125234">
        <w:rPr>
          <w:color w:val="000000"/>
        </w:rPr>
        <w:t xml:space="preserve">2. Remiantis šios dalies nuostatomis, prievolė apskaičiuoti ir sumokėti į biudžetą pelno mokestį nuo iš užsienio vienetų gautų dividendų nustatyta Lietuvos vienetui ar nuolatinei buveinei, gaunančiai dividendus. Dividendus gaunantis Lietuvos vienetas ar nuolatinė buveinė pelno mokestį privalo apskaičiuoti ir sumokėti į biudžetą ne vėliau kaip iki penkioliktos dienos kito mėnesio, einančio po mėnesio, kurį dividendai buvo gauti. </w:t>
      </w:r>
    </w:p>
    <w:p w14:paraId="3DA6B4AC" w14:textId="77777777" w:rsidR="00DC58CC" w:rsidRPr="00125234" w:rsidRDefault="00DC58CC" w:rsidP="00DC58CC">
      <w:pPr>
        <w:tabs>
          <w:tab w:val="left" w:pos="709"/>
          <w:tab w:val="left" w:pos="1077"/>
          <w:tab w:val="left" w:pos="1418"/>
        </w:tabs>
        <w:ind w:right="-1"/>
        <w:jc w:val="both"/>
      </w:pPr>
      <w:r w:rsidRPr="00125234">
        <w:rPr>
          <w:color w:val="000000"/>
        </w:rPr>
        <w:tab/>
        <w:t xml:space="preserve">3. </w:t>
      </w:r>
      <w:r w:rsidRPr="00125234">
        <w:tab/>
        <w:t>Lietuvos vienetai iš užsienio vienetų – rezidentų tų užsienio valstybių, su kuriomis Lietuvoje taikomos</w:t>
      </w:r>
      <w:r w:rsidRPr="00125234">
        <w:rPr>
          <w:color w:val="000000"/>
        </w:rPr>
        <w:t xml:space="preserve"> dvigubo apmokestinimo išvengimo sutartys (toliau – </w:t>
      </w:r>
      <w:r w:rsidRPr="00125234">
        <w:t xml:space="preserve">DAIS), gavę dividendus, kurie Lietuvoje apmokestinami pelno mokesčiu ir nuo kurių užsienio valstybėje prie pajamų šaltinio buvo išskaičiuotas pelno mokestis (ar jam tapatus mokestis), gali naikinti dividendų dvigubą apmokestinimą. Naikindamas dividendų dvigubą apmokestinimą, Lietuvos vienetas iš pelno mokesčio sumos, apskaičiuotos nuo gautų dividendų taikant 17  proc. mokesčio tarifą (iki 2024 m. gruodžio 31 d. 15 proc. dydžio pelno mokesčio tarifą, 2025 metais - 16 proc. dydžio pelno mokesčio tarifą), gali atskaityti tokią užsienio valstybėje sumokėtą pelno mokesčio (ar jam tapataus mokesčio) sumą, kurią ta užsienio valstybė turėjo teisę imti pagal DAIS nuostatas (remdamosi DAIS nustatyta teise apmokestinti dividendus pagal vidaus mokesčių įstatymą, bet taikant ne didesnį nei DAIS nustatytą maksimalų dividendų mokesčio tarifą). </w:t>
      </w:r>
    </w:p>
    <w:p w14:paraId="3F6DF88F" w14:textId="77777777" w:rsidR="00DC58CC" w:rsidRPr="00125234" w:rsidRDefault="00DC58CC" w:rsidP="00DC58CC">
      <w:pPr>
        <w:tabs>
          <w:tab w:val="left" w:pos="709"/>
          <w:tab w:val="left" w:pos="1077"/>
          <w:tab w:val="left" w:pos="1418"/>
        </w:tabs>
        <w:ind w:firstLine="720"/>
        <w:jc w:val="both"/>
        <w:rPr>
          <w:color w:val="000000"/>
        </w:rPr>
      </w:pPr>
      <w:r w:rsidRPr="00125234">
        <w:rPr>
          <w:color w:val="000000"/>
        </w:rPr>
        <w:t>Norėdamas sumažinti mokestį nuo dividendų, Lietuvos vienetas privalo turėti užsienio valstybės mokesčių administratoriaus patvirtintą pažymą, o jei užsienio administratorius tokių pažymų neišduoda, kitokius dokumentus,</w:t>
      </w:r>
      <w:r w:rsidRPr="00125234">
        <w:rPr>
          <w:b/>
          <w:color w:val="000000"/>
        </w:rPr>
        <w:t xml:space="preserve"> </w:t>
      </w:r>
      <w:r w:rsidRPr="00125234">
        <w:rPr>
          <w:color w:val="000000"/>
        </w:rPr>
        <w:t xml:space="preserve">kuriuose būtų nurodyti tokie duomenys: kas, kada ir kokią dividendų sumą išmokėjo Lietuvos rezidentui bei kokią mokesčio sumą išskaičiavo nuo išmokėtosios dividendų sumos. </w:t>
      </w:r>
    </w:p>
    <w:p w14:paraId="78E56A20" w14:textId="77777777" w:rsidR="00DC58CC" w:rsidRPr="00125234" w:rsidRDefault="00DC58CC" w:rsidP="00125234">
      <w:pPr>
        <w:tabs>
          <w:tab w:val="left" w:pos="709"/>
          <w:tab w:val="left" w:pos="1077"/>
          <w:tab w:val="left" w:pos="1418"/>
        </w:tabs>
        <w:ind w:firstLine="720"/>
        <w:jc w:val="both"/>
        <w:rPr>
          <w:color w:val="000000"/>
        </w:rPr>
      </w:pPr>
      <w:r w:rsidRPr="00125234">
        <w:rPr>
          <w:color w:val="000000"/>
        </w:rPr>
        <w:t>Jeigu pagal DAIS nuo dividendų išskaičiuojamo mokesčio tarifas priklauso nuo Lietuvos vieneto (faktiškojo dividendų savininko), turimo užsienio vieneto, mokančio dividendus, kapitalo dydžio ir balsų skaičiaus, tai pažymoje, atsižvelgiant į konkrečias dvigubo apmokestinimo išvengimo sutartis, turi būti nurodomi dividendų faktiškojo savininko turimo užsienio vieneto kapitalo dydžio ir balsų skaičiaus duomenys procentais.</w:t>
      </w:r>
    </w:p>
    <w:p w14:paraId="14254836" w14:textId="77777777" w:rsidR="00DC58CC" w:rsidRPr="00125234" w:rsidRDefault="00DC58CC" w:rsidP="00125234">
      <w:pPr>
        <w:tabs>
          <w:tab w:val="left" w:pos="709"/>
          <w:tab w:val="left" w:pos="1077"/>
          <w:tab w:val="left" w:pos="1418"/>
        </w:tabs>
        <w:ind w:firstLine="720"/>
        <w:jc w:val="both"/>
        <w:rPr>
          <w:iCs/>
          <w:color w:val="000000"/>
        </w:rPr>
      </w:pPr>
      <w:r w:rsidRPr="00125234">
        <w:rPr>
          <w:iCs/>
          <w:color w:val="000000"/>
        </w:rPr>
        <w:t>Pavyzdys</w:t>
      </w:r>
    </w:p>
    <w:p w14:paraId="754FF962" w14:textId="77777777" w:rsidR="00DC58CC" w:rsidRPr="00125234" w:rsidRDefault="00DC58CC" w:rsidP="00DC58CC">
      <w:pPr>
        <w:pBdr>
          <w:top w:val="single" w:sz="4" w:space="1" w:color="auto"/>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Ukrainoje nuo dividendų sumokėto pelno mokesčio atskaitymas taikant Lietuvos ir Ukrainos DAIS. </w:t>
      </w:r>
    </w:p>
    <w:p w14:paraId="181F2688" w14:textId="77777777" w:rsidR="00DC58CC" w:rsidRPr="00125234" w:rsidRDefault="00DC58CC" w:rsidP="00DC58CC">
      <w:pPr>
        <w:pBdr>
          <w:left w:val="single" w:sz="4" w:space="4" w:color="auto"/>
          <w:right w:val="single" w:sz="4" w:space="4" w:color="auto"/>
        </w:pBdr>
        <w:tabs>
          <w:tab w:val="left" w:pos="709"/>
          <w:tab w:val="left" w:pos="1077"/>
          <w:tab w:val="left" w:pos="1418"/>
        </w:tabs>
        <w:ind w:firstLine="720"/>
        <w:jc w:val="both"/>
        <w:rPr>
          <w:color w:val="000000"/>
        </w:rPr>
      </w:pPr>
      <w:r w:rsidRPr="00125234">
        <w:rPr>
          <w:color w:val="000000"/>
        </w:rPr>
        <w:t xml:space="preserve">Iš pelno mokesčio sumos, kurią pagal PMĮ turi sumokėti Lietuvos vienetas nuo iš Ukrainos rezidento (vieneto) gautų dividendų, atskaitoma mokesčio suma, kurią prie pajamų šaltinio išskaičiavo Ukrainos vienetas, išmokėdamas Lietuvos vienetui dividendus. Tačiau, jeigu šis Lietuvos vienetas yra faktiškasis dividendų savininkas, imamo mokesčio suma negali viršyti 5 proc. bendros tokių dividendų sumos, kai šis Lietuvos vienetas (bet ne bendrija) tiesiogiai turi ne mažiau kaip 25 proc. dividendus mokančio vieneto kapitalo, arba negali viršyti 15 proc. bendros tokių dividendų sumos - kitais atvejais. </w:t>
      </w:r>
    </w:p>
    <w:p w14:paraId="7E15E1AE" w14:textId="77777777" w:rsidR="00DC58CC" w:rsidRPr="00125234" w:rsidRDefault="00DC58CC" w:rsidP="00DC58CC">
      <w:pPr>
        <w:pBdr>
          <w:left w:val="single" w:sz="4" w:space="4" w:color="auto"/>
          <w:right w:val="single" w:sz="4" w:space="4" w:color="auto"/>
        </w:pBdr>
        <w:shd w:val="clear" w:color="auto" w:fill="FFFFFF"/>
        <w:tabs>
          <w:tab w:val="left" w:pos="709"/>
          <w:tab w:val="left" w:pos="1077"/>
          <w:tab w:val="left" w:pos="1418"/>
        </w:tabs>
        <w:ind w:firstLine="720"/>
        <w:jc w:val="both"/>
        <w:rPr>
          <w:color w:val="000000"/>
        </w:rPr>
      </w:pPr>
      <w:r w:rsidRPr="00125234">
        <w:rPr>
          <w:color w:val="000000"/>
        </w:rPr>
        <w:lastRenderedPageBreak/>
        <w:t>Lietuvos vienetas 2026 metais iš Ukrainos rezidento (vieneto) gavo 42 500 EUR (paskirti dividendai sudarė 50 000 EUR, tačiau buvo išskaičiuotas mokestis prie pajamų šaltinio) dividendų. Šiuos dividendus gavusiam Lietuvos vienetui priklauso dividendus mokančio Ukrainos vieneto akcijų, kurioms tenka tik 3 proc. kapitalo. Išmokėdamas dividendus Lietuvos vienetui, Ukrainos vienetas iš tų dividendų mokestį išskaičiavo pagal DAIS nuostatas, taikydamas 15 proc. tarifą, t. y. išskaičiavo 7 500 EUR [(50 000 x 15)/100]. Išskaičiavus mokestį iš dividendų, Lietuvos vienetas gavo 42 500 EUR (50 000 – 7 500) dividendų. Lietuvos vienetas, gavęs 42 500 EUR dividendų iš Ukrainos, turi Ukrainos mokesčių administracijos patvirtintą pažymą, kurioje nurodyta, kad Ukrainos vienetas nurodytu laikotarpiu Lietuvos vienetui išmokėjo 42 500 EUR dividendų, prieš tai išskaičiavęs 7 500 EUR mokestį [(50 000 x 15)/100]. Naikindamas dvigubą apmokestinimą, Lietuvos vienetas iš mokesčio sumos, kurią nuo iš Ukrainos gautų dividendų turi sumokėti Lietuvoje, gali atskaityti nuo dividendų Ukrainoje išskaičiuotą 7 500 EUR mokestį.</w:t>
      </w:r>
    </w:p>
    <w:p w14:paraId="287FCBD8" w14:textId="77777777" w:rsidR="00DC58CC" w:rsidRPr="007B6A33" w:rsidRDefault="00DC58CC" w:rsidP="007B6A33">
      <w:pPr>
        <w:pBdr>
          <w:left w:val="single" w:sz="4" w:space="4" w:color="auto"/>
          <w:bottom w:val="single" w:sz="4" w:space="1" w:color="auto"/>
          <w:right w:val="single" w:sz="4" w:space="4" w:color="auto"/>
        </w:pBdr>
        <w:tabs>
          <w:tab w:val="left" w:pos="709"/>
          <w:tab w:val="left" w:pos="1077"/>
          <w:tab w:val="left" w:pos="1418"/>
        </w:tabs>
        <w:ind w:firstLine="720"/>
        <w:jc w:val="both"/>
        <w:rPr>
          <w:color w:val="000000"/>
        </w:rPr>
      </w:pPr>
      <w:r w:rsidRPr="00125234">
        <w:rPr>
          <w:color w:val="000000"/>
        </w:rPr>
        <w:t>Apskaičiuodamas Lietuvoje sumokėtiną mokestį, Lietuvos vienetas iš Ukrainos gautus 42 500 EUR dividendų padidina 7 500 EUR Ukrainoje išskaičiuoto mokesčio suma ir nuo 50 000 EUR dividendų sumos apskaičiuoja PMĮ nustatytą 17 proc. mokestį – 8500 EUR [(50 000 x 17)/100] bei iš šios sumos atskaito Ukrainoje nuo tų dividendų sumokėtą 7500</w:t>
      </w:r>
      <w:r w:rsidRPr="00125234">
        <w:rPr>
          <w:b/>
          <w:color w:val="000000"/>
        </w:rPr>
        <w:t xml:space="preserve"> </w:t>
      </w:r>
      <w:r w:rsidRPr="00125234">
        <w:rPr>
          <w:color w:val="000000"/>
        </w:rPr>
        <w:t>EUR mokestį. Mokesčio skirtumą, 1 000 EUR (8 500 – 7 500),</w:t>
      </w:r>
      <w:r w:rsidRPr="00125234">
        <w:rPr>
          <w:b/>
          <w:color w:val="000000"/>
        </w:rPr>
        <w:t xml:space="preserve"> </w:t>
      </w:r>
      <w:r w:rsidRPr="00125234">
        <w:rPr>
          <w:color w:val="000000"/>
        </w:rPr>
        <w:t>Lietuvos vienetas nuo iš Ukrainos gautų dividendų Lietuvoje pelno mokesčio turi</w:t>
      </w:r>
      <w:r w:rsidRPr="00125234">
        <w:rPr>
          <w:b/>
          <w:color w:val="000000"/>
        </w:rPr>
        <w:t xml:space="preserve"> </w:t>
      </w:r>
      <w:r w:rsidRPr="00125234">
        <w:rPr>
          <w:color w:val="000000"/>
        </w:rPr>
        <w:t>sumokėti ir mokesčių administratoriui</w:t>
      </w:r>
      <w:r w:rsidRPr="00125234">
        <w:rPr>
          <w:b/>
          <w:color w:val="000000"/>
        </w:rPr>
        <w:t xml:space="preserve"> </w:t>
      </w:r>
      <w:r w:rsidRPr="00125234">
        <w:rPr>
          <w:color w:val="000000"/>
        </w:rPr>
        <w:t>privalo pateikti dividendų pelno mokesčio deklaraciją (žr. PMĮ 36 str. komentarą).</w:t>
      </w:r>
    </w:p>
    <w:p w14:paraId="49BBEC38" w14:textId="77777777" w:rsidR="00DC58CC" w:rsidRPr="00125234" w:rsidRDefault="00DC58CC" w:rsidP="00DC58CC">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125234">
        <w:t xml:space="preserve">           4.</w:t>
      </w:r>
      <w:r w:rsidRPr="00125234">
        <w:rPr>
          <w:b/>
        </w:rPr>
        <w:t xml:space="preserve"> </w:t>
      </w:r>
      <w:r w:rsidRPr="00125234">
        <w:t xml:space="preserve">Jeigu Lietuvos vienetas iš užsienio vieneto – rezidento tos užsienio valstybės, su kuria nesudaryta ir Lietuvoje netaikoma DAIS, gauna pagal PMĮ apmokestinamų dividendų, tai naikinant dvigubą apmokestinimą, nuo toje užsienio valstybėje gautų pajamų, įskaitant dividendus, sumokėto pelno mokesčio (ar jam tapataus mokesčio) suma iš mokestinio laikotarpio mokėtinos į biudžetą pelno mokesčio sumos atskaitoma, vadovaujantis PMĮ 55 straipsnio nuostatomis. </w:t>
      </w:r>
    </w:p>
    <w:p w14:paraId="4961F683" w14:textId="77777777" w:rsidR="00DC58CC" w:rsidRPr="00125234" w:rsidRDefault="00DC58CC" w:rsidP="00DC58CC">
      <w:pPr>
        <w:tabs>
          <w:tab w:val="left" w:pos="709"/>
          <w:tab w:val="left" w:pos="1077"/>
          <w:tab w:val="left" w:pos="1418"/>
          <w:tab w:val="center" w:pos="4153"/>
          <w:tab w:val="right" w:pos="8306"/>
        </w:tabs>
        <w:autoSpaceDE w:val="0"/>
        <w:autoSpaceDN w:val="0"/>
        <w:ind w:firstLine="720"/>
        <w:jc w:val="both"/>
        <w:rPr>
          <w:color w:val="000000"/>
          <w:position w:val="2"/>
        </w:rPr>
      </w:pPr>
      <w:r w:rsidRPr="00125234">
        <w:rPr>
          <w:color w:val="000000"/>
          <w:position w:val="2"/>
        </w:rPr>
        <w:t>5.</w:t>
      </w:r>
      <w:r w:rsidRPr="00125234">
        <w:rPr>
          <w:b/>
          <w:color w:val="000000"/>
          <w:position w:val="2"/>
        </w:rPr>
        <w:t xml:space="preserve"> </w:t>
      </w:r>
      <w:r w:rsidRPr="00125234">
        <w:rPr>
          <w:color w:val="000000"/>
          <w:position w:val="2"/>
        </w:rPr>
        <w:t>Lietuvos kontroliuojančių vienetų iš kontroliuojamųjų užsienio vienetų gauti dividendai apmokestinami, atsižvelgiant į Lietuvos Respublikos Vyriausybės 2002 m. balandžio 12 d</w:t>
      </w:r>
      <w:r w:rsidRPr="00125234">
        <w:rPr>
          <w:position w:val="2"/>
        </w:rPr>
        <w:t xml:space="preserve">. </w:t>
      </w:r>
      <w:hyperlink r:id="rId105" w:history="1">
        <w:r w:rsidRPr="00125234">
          <w:rPr>
            <w:position w:val="2"/>
          </w:rPr>
          <w:t>nutarimo Nr. 517</w:t>
        </w:r>
      </w:hyperlink>
      <w:r w:rsidRPr="00125234">
        <w:rPr>
          <w:position w:val="2"/>
        </w:rPr>
        <w:t xml:space="preserve"> ,,Dėl pozityviųjų pajamų apskaičiavimo, įtraukimo į kontroliuojančio Lietuvos apmokestinamojo</w:t>
      </w:r>
      <w:r w:rsidRPr="00125234">
        <w:rPr>
          <w:color w:val="000000"/>
          <w:position w:val="2"/>
        </w:rPr>
        <w:t xml:space="preserve"> vieneto pajamas tvarkos ir pajamų, neįtraukiamų į pozityviąsias pajamas, rūšių patvirtinimo“ nuostatas.</w:t>
      </w:r>
    </w:p>
    <w:p w14:paraId="4E3AD515" w14:textId="77777777" w:rsidR="00DC58CC" w:rsidRPr="00125234" w:rsidRDefault="00DC58CC" w:rsidP="00DC58CC">
      <w:pPr>
        <w:tabs>
          <w:tab w:val="left" w:pos="709"/>
          <w:tab w:val="left" w:pos="1077"/>
          <w:tab w:val="left" w:pos="1418"/>
        </w:tabs>
        <w:ind w:right="128" w:firstLine="720"/>
        <w:jc w:val="both"/>
        <w:rPr>
          <w:color w:val="000000"/>
        </w:rPr>
      </w:pPr>
      <w:r w:rsidRPr="00125234">
        <w:rPr>
          <w:color w:val="000000"/>
        </w:rPr>
        <w:t xml:space="preserve">6. Jeigu kontroliuojamasis užsienio vienetas kontroliuojančiam Lietuvos vienetui išmoka dividendų sumą, didesnę už tą pajamų sumą, kurios pagrindu šie dividendai išmokėti ir kuri buvo įtraukta į šio kontroliuojančio Lietuvos vieneto mokestinio laikotarpio, buvusio prieš tą mokestinį laikotarpį, kurį buvo gauti dividendai iš užsienio kontroliuojamojo vieneto, pajamas kaip pozityviųjų pajamų suma, tai dividendų dalis, viršijanti tą pozityviųjų pajamų sumą, apmokestinama šioje dalyje nustatyta tvarka (arba neapmokestinama tais atvejais, kai taikomos PMĮ 35 str. 2 ar 3 dalies nuostatos (žr. PMĮ 35 str. 2 ir 3 dalies komentarus), jei kontroliuojamasis užsienio vienetas nėra įregistruotas ar kitaip organizuotas tikslinėse teritorijose). </w:t>
      </w:r>
    </w:p>
    <w:p w14:paraId="420D6A22" w14:textId="77777777" w:rsidR="00DC58CC" w:rsidRPr="00125234" w:rsidRDefault="00DC58CC" w:rsidP="00DC58CC">
      <w:pPr>
        <w:tabs>
          <w:tab w:val="left" w:pos="709"/>
          <w:tab w:val="left" w:pos="1077"/>
          <w:tab w:val="left" w:pos="1418"/>
        </w:tabs>
        <w:ind w:right="128" w:firstLine="720"/>
        <w:jc w:val="both"/>
        <w:rPr>
          <w:color w:val="000000"/>
        </w:rPr>
      </w:pPr>
      <w:r w:rsidRPr="00125234">
        <w:rPr>
          <w:color w:val="000000"/>
        </w:rPr>
        <w:t xml:space="preserve">Pavyzdys </w:t>
      </w:r>
    </w:p>
    <w:p w14:paraId="17AD7C96"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Lietuvos vienetas A, apskaičiuodamas 2025 mokestinių metų apmokestinamąjį pelną, į pajamas įtraukė kontroliuojamojo užsienio vieneto B 40 000 EUR apskaičiuotą pozityviųjų pajamų sumą (užsienio vienetas B įsteigtas tikslinėje teritorijoje (Bahamų salose), jo mokestinis laikotarpis – kalendoriniai metai). Į 2026</w:t>
      </w:r>
      <w:r w:rsidRPr="00125234">
        <w:rPr>
          <w:b/>
          <w:color w:val="000000"/>
        </w:rPr>
        <w:t xml:space="preserve"> </w:t>
      </w:r>
      <w:r w:rsidRPr="00125234">
        <w:rPr>
          <w:color w:val="000000"/>
        </w:rPr>
        <w:t>mokestinių metų pajamas Lietuvos vienetas A įtraukė kontroliuojamojo užsienio vieneto B 50 000 EUR apskaičiuotą pozityviųjų pajamų sumą.</w:t>
      </w:r>
    </w:p>
    <w:p w14:paraId="75913EFC"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2026 m. kovo 25</w:t>
      </w:r>
      <w:r w:rsidRPr="00125234">
        <w:rPr>
          <w:b/>
          <w:color w:val="000000"/>
        </w:rPr>
        <w:t xml:space="preserve"> </w:t>
      </w:r>
      <w:r w:rsidRPr="00125234">
        <w:rPr>
          <w:color w:val="000000"/>
        </w:rPr>
        <w:t xml:space="preserve">d. kontroliuojamasis užsienio vienetas B paskirstė 2025 metų pelną. Dividendams išmokėti buvo paskirta 300 000 EUR, iš kurių Lietuvos vienetui A, atsižvelgiant į jo </w:t>
      </w:r>
      <w:r w:rsidRPr="00125234">
        <w:rPr>
          <w:color w:val="000000"/>
        </w:rPr>
        <w:lastRenderedPageBreak/>
        <w:t>valdomų akcijų skaičių, paskirta 45 000 EUR. Ši dividendų suma Lietuvos vienetui A išmokama 2026 metais.</w:t>
      </w:r>
    </w:p>
    <w:p w14:paraId="602A4819"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Apmokestinant iš kontroliuojamojo užsienio vieneto B 2026 metais gautus dividendus, jų suma palyginama su ta į Lietuvos vieneto A pajamas įtraukta užsienio kontroliuojamojo vieneto B apskaičiuotų pozityviųjų pajamų suma, kurios pagrindu šie dividendai išmokėti. Kadangi Lietuvos vienetas A 2026 metais gavo dividendus, paskirstytus iš užsienio kontroliuojamojo vieneto B 2025</w:t>
      </w:r>
      <w:r w:rsidRPr="00125234">
        <w:rPr>
          <w:b/>
          <w:color w:val="000000"/>
        </w:rPr>
        <w:t xml:space="preserve"> </w:t>
      </w:r>
      <w:r w:rsidRPr="00125234">
        <w:rPr>
          <w:color w:val="000000"/>
        </w:rPr>
        <w:t>metų pelno, tai gauta dividendų suma palyginama su ta užsienio kontroliuojamojo vieneto B 2025 metų apskaičiuotų pozityviųjų pajamų suma, kuri įtraukta į Lietuvos vieneto A 2025</w:t>
      </w:r>
      <w:r w:rsidRPr="00125234">
        <w:rPr>
          <w:b/>
          <w:color w:val="000000"/>
        </w:rPr>
        <w:t xml:space="preserve"> </w:t>
      </w:r>
      <w:r w:rsidRPr="00125234">
        <w:rPr>
          <w:color w:val="000000"/>
        </w:rPr>
        <w:t xml:space="preserve">mokestinių metų pajamas. </w:t>
      </w:r>
    </w:p>
    <w:p w14:paraId="511CDF57" w14:textId="77777777" w:rsidR="00DC58CC" w:rsidRPr="00125234" w:rsidRDefault="00DC58CC" w:rsidP="00DC58CC">
      <w:pPr>
        <w:pBdr>
          <w:top w:val="single" w:sz="4" w:space="1" w:color="auto"/>
          <w:left w:val="single" w:sz="4" w:space="4" w:color="auto"/>
          <w:bottom w:val="single" w:sz="4" w:space="1" w:color="auto"/>
          <w:right w:val="single" w:sz="4" w:space="4" w:color="auto"/>
        </w:pBdr>
        <w:tabs>
          <w:tab w:val="left" w:pos="709"/>
          <w:tab w:val="left" w:pos="1077"/>
          <w:tab w:val="left" w:pos="1418"/>
        </w:tabs>
        <w:ind w:right="128" w:firstLine="720"/>
        <w:jc w:val="both"/>
        <w:rPr>
          <w:color w:val="000000"/>
        </w:rPr>
      </w:pPr>
      <w:r w:rsidRPr="00125234">
        <w:rPr>
          <w:color w:val="000000"/>
        </w:rPr>
        <w:t xml:space="preserve">Pavyzdyje pateiktu atveju, Lietuvos vienetas 2026 metais iš kontroliuojamojo užsienio vieneto B gavo 45 000 EUR dividendų, o į 2025 mokestinių metų pajamas jis įtraukė 40 000 EUR to užsienio vieneto apskaičiuotų pozityviųjų pajamų. Pozityviąsias pajamas viršijančią 5 000 EUR (45 000 EUR – 40 000 EUR) dividendų sumą Lietuvos vienetas A turi apmokestinti PMĮ 35 str. 1 dalyje nustatyta tvarka, taikant 17 proc. dydžio pelno mokesčio tarifą. </w:t>
      </w:r>
    </w:p>
    <w:p w14:paraId="5BB0FAE6" w14:textId="77777777" w:rsidR="00DC58CC" w:rsidRPr="00125234" w:rsidRDefault="00DC58CC" w:rsidP="00DC58CC">
      <w:pPr>
        <w:tabs>
          <w:tab w:val="left" w:pos="709"/>
          <w:tab w:val="left" w:pos="1077"/>
          <w:tab w:val="left" w:pos="1418"/>
        </w:tabs>
        <w:ind w:right="128" w:firstLine="720"/>
        <w:jc w:val="both"/>
        <w:rPr>
          <w:iCs/>
          <w:strike/>
        </w:rPr>
      </w:pPr>
      <w:r w:rsidRPr="00125234">
        <w:t>Jei Lietuvos vienetas iš savo kontroliuojamojo užsienio vieneto gauna dividendų, kurie buvo paskirstyti ir išmokami už tuos kontroliuojamojo užsienio vieneto mokestinius laikotarpius, kuriais pozityviųjų pajamų nereikėjo įtraukti į Lietuvos vieneto pajamas (pvz., iš kontroliuojamojo užsienio vieneto Lietuvos vienetas 2025 metais gavo dividendus, paskirstytus 2024 mokestiniais metais uždirbtų pajamų pagrindu, tačiau pozityviosios pajamos į Lietuvos kontroliuojančio vieneto pajamas 2024</w:t>
      </w:r>
      <w:r w:rsidRPr="00125234">
        <w:rPr>
          <w:b/>
        </w:rPr>
        <w:t xml:space="preserve"> </w:t>
      </w:r>
      <w:r w:rsidRPr="00125234">
        <w:t>mokestiniais metais įtrauktos nebuvo (kontroliuojamojo užsienio vieneto pajamos neatitiko</w:t>
      </w:r>
      <w:r w:rsidRPr="00125234">
        <w:rPr>
          <w:b/>
        </w:rPr>
        <w:t xml:space="preserve"> </w:t>
      </w:r>
      <w:r w:rsidRPr="00125234">
        <w:t>PMĮ 39 straipsnio nuostatų), tai tokie dividendai apmokestinami bendra PMĮ 35 str. 1 dalyje nustatyta tvarka (arba neapmokestinami tais atvejais, kai taikomos PMĮ 35 str. 2 ar 3 dalies nuostatos, jei kontroliuojamasis užsienio vienetas nėra įregistruotas ar kitaip organizuotas tikslinėse teritorijose, žr. PMĮ 35 str. 2 ir 3 dalies komentarus).</w:t>
      </w:r>
    </w:p>
    <w:p w14:paraId="2F9631C8" w14:textId="77777777" w:rsidR="008D52D5" w:rsidRPr="00125234" w:rsidRDefault="00DC58CC" w:rsidP="00E22713">
      <w:pPr>
        <w:tabs>
          <w:tab w:val="left" w:pos="709"/>
          <w:tab w:val="left" w:pos="1077"/>
          <w:tab w:val="left" w:pos="1418"/>
        </w:tabs>
        <w:ind w:right="128"/>
        <w:jc w:val="both"/>
        <w:rPr>
          <w:iCs/>
          <w:strike/>
        </w:rPr>
      </w:pPr>
      <w:r w:rsidRPr="00125234">
        <w:t xml:space="preserve">(Pakeista pagal VMI prie FM 2025-10-24 raštą Nr. (18.10-31-1 Mr) R-3976)   </w:t>
      </w:r>
    </w:p>
    <w:p w14:paraId="30009289" w14:textId="77777777" w:rsidR="00093845" w:rsidRPr="00125234" w:rsidRDefault="000D779E" w:rsidP="00AF4003">
      <w:pPr>
        <w:spacing w:after="0"/>
        <w:ind w:firstLine="720"/>
        <w:jc w:val="both"/>
        <w:rPr>
          <w:b/>
          <w:lang w:val="lt-LT" w:eastAsia="lt-LT"/>
        </w:rPr>
      </w:pPr>
      <w:r w:rsidRPr="00125234">
        <w:rPr>
          <w:b/>
          <w:lang w:val="lt-LT" w:eastAsia="lt-LT"/>
        </w:rPr>
        <w:t xml:space="preserve">2. Lietuvos vieneto už turimas ar nuolatinės buveinės už jai priskirtas užsienio vienetų, kurie įregistruoti ar kitaip organizuoti Europos ekonominės erdvės valstybėje ir kurių pelnas yra apmokestinamas </w:t>
      </w:r>
      <w:r w:rsidRPr="00125234">
        <w:rPr>
          <w:b/>
          <w:color w:val="000000"/>
          <w:lang w:val="lt-LT" w:eastAsia="lt-LT"/>
        </w:rPr>
        <w:t>pelno</w:t>
      </w:r>
      <w:r w:rsidRPr="00125234">
        <w:rPr>
          <w:b/>
          <w:lang w:val="lt-LT" w:eastAsia="lt-LT"/>
        </w:rPr>
        <w:t xml:space="preserve"> mokesčiu arba jam tapačiu mokesčiu, akcijas, kapitalo dalį ar kitų teisių turėjimą gaunami dividendai neapmokestinami.</w:t>
      </w:r>
    </w:p>
    <w:p w14:paraId="2102532F" w14:textId="77777777" w:rsidR="00093845" w:rsidRPr="00125234" w:rsidRDefault="000D779E" w:rsidP="00AF4003">
      <w:pPr>
        <w:spacing w:after="0"/>
        <w:jc w:val="both"/>
        <w:rPr>
          <w:i/>
          <w:color w:val="000000"/>
          <w:lang w:val="lt-LT"/>
        </w:rPr>
      </w:pPr>
      <w:r w:rsidRPr="00125234">
        <w:rPr>
          <w:i/>
          <w:color w:val="000000"/>
          <w:lang w:val="lt-LT"/>
        </w:rPr>
        <w:t>(</w:t>
      </w:r>
      <w:r w:rsidRPr="00125234">
        <w:rPr>
          <w:i/>
          <w:iCs/>
        </w:rPr>
        <w:t>KEISTA:</w:t>
      </w:r>
      <w:r w:rsidRPr="00125234">
        <w:rPr>
          <w:i/>
          <w:iCs/>
          <w:lang w:val="lt-LT"/>
        </w:rPr>
        <w:t xml:space="preserve"> </w:t>
      </w:r>
      <w:r w:rsidRPr="00125234">
        <w:rPr>
          <w:i/>
          <w:iCs/>
        </w:rPr>
        <w:t>2009 12 09 įstatymu Nr. XI-539 (nuo 2009 12 28)</w:t>
      </w:r>
      <w:r w:rsidRPr="00125234">
        <w:rPr>
          <w:i/>
          <w:color w:val="000000"/>
          <w:lang w:val="lt-LT"/>
        </w:rPr>
        <w:t>)</w:t>
      </w:r>
    </w:p>
    <w:p w14:paraId="713DFB80" w14:textId="77777777" w:rsidR="005E1525" w:rsidRPr="00125234" w:rsidRDefault="005E1525" w:rsidP="00AF4003">
      <w:pPr>
        <w:spacing w:after="0"/>
        <w:jc w:val="both"/>
        <w:rPr>
          <w:i/>
          <w:color w:val="000000"/>
          <w:lang w:val="lt-LT"/>
        </w:rPr>
      </w:pPr>
    </w:p>
    <w:p w14:paraId="71E65E00" w14:textId="77777777" w:rsidR="00093845" w:rsidRPr="00125234"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firstLine="720"/>
        <w:jc w:val="both"/>
        <w:rPr>
          <w:rFonts w:ascii="Times New Roman" w:hAnsi="Times New Roman" w:cs="Times New Roman"/>
          <w:b/>
          <w:sz w:val="24"/>
          <w:szCs w:val="24"/>
          <w:lang w:val="lt-LT"/>
        </w:rPr>
      </w:pPr>
      <w:r w:rsidRPr="00125234">
        <w:rPr>
          <w:rFonts w:ascii="Times New Roman" w:hAnsi="Times New Roman" w:cs="Times New Roman"/>
          <w:b/>
          <w:sz w:val="24"/>
          <w:szCs w:val="24"/>
          <w:lang w:val="lt-LT"/>
        </w:rPr>
        <w:t>Komentaras</w:t>
      </w:r>
    </w:p>
    <w:p w14:paraId="2DB1139F" w14:textId="77777777" w:rsidR="00093845" w:rsidRPr="00125234" w:rsidRDefault="000D779E">
      <w:pPr>
        <w:pStyle w:val="Pagrindiniotekstotrauka"/>
        <w:tabs>
          <w:tab w:val="left" w:pos="709"/>
        </w:tabs>
        <w:rPr>
          <w:rFonts w:ascii="Times New Roman" w:hAnsi="Times New Roman"/>
          <w:lang w:val="lt-LT"/>
        </w:rPr>
      </w:pPr>
      <w:r w:rsidRPr="00125234">
        <w:rPr>
          <w:rFonts w:ascii="Times New Roman" w:hAnsi="Times New Roman"/>
          <w:color w:val="000000"/>
          <w:lang w:val="lt-LT"/>
        </w:rPr>
        <w:t xml:space="preserve">1. Pagal šios dalies nuostatas Lietuvos vienetų už turimas </w:t>
      </w:r>
      <w:r w:rsidRPr="00125234">
        <w:rPr>
          <w:rFonts w:ascii="Times New Roman" w:hAnsi="Times New Roman"/>
          <w:lang w:val="lt-LT"/>
        </w:rPr>
        <w:t>ar nuolatinės buveinės už jai priskirtas EEE valstybėse įregistruotų ar kitaip organizuotų vienetų (toliau – EEE valstybės vienetai) akcijas, kapitalo dalį ar kitų teisų turėjimą gaunami dividendai neapmokestinami</w:t>
      </w:r>
      <w:r w:rsidRPr="00125234">
        <w:rPr>
          <w:rFonts w:ascii="Times New Roman" w:eastAsia="MS Mincho" w:hAnsi="Times New Roman"/>
          <w:i/>
          <w:iCs/>
          <w:lang w:val="lt-LT"/>
        </w:rPr>
        <w:t>,</w:t>
      </w:r>
      <w:r w:rsidRPr="00125234">
        <w:rPr>
          <w:rFonts w:ascii="Times New Roman" w:hAnsi="Times New Roman"/>
          <w:lang w:val="lt-LT"/>
        </w:rPr>
        <w:t xml:space="preserve"> jeigu dividendus išmokėjo EEE valstybės vienetas, kurio pelnas yra apmokestinamas pelno mokesčiu arba jam tapačiu mokesčiu.</w:t>
      </w:r>
    </w:p>
    <w:p w14:paraId="7D4A8AB5" w14:textId="77777777" w:rsidR="00093845" w:rsidRPr="00125234" w:rsidRDefault="000D779E">
      <w:pPr>
        <w:tabs>
          <w:tab w:val="left" w:pos="709"/>
        </w:tabs>
        <w:jc w:val="both"/>
        <w:rPr>
          <w:lang w:val="lt-LT"/>
        </w:rPr>
      </w:pPr>
      <w:r w:rsidRPr="00125234">
        <w:rPr>
          <w:lang w:val="lt-LT"/>
        </w:rPr>
        <w:tab/>
        <w:t xml:space="preserve">2. </w:t>
      </w:r>
      <w:r w:rsidRPr="00125234">
        <w:rPr>
          <w:color w:val="000000"/>
          <w:lang w:val="lt-LT"/>
        </w:rPr>
        <w:t xml:space="preserve">Taikant šios dalies nuostatas dėl iš EEE </w:t>
      </w:r>
      <w:r w:rsidRPr="00125234">
        <w:rPr>
          <w:lang w:val="lt-LT"/>
        </w:rPr>
        <w:t>valstybės</w:t>
      </w:r>
      <w:r w:rsidRPr="00125234">
        <w:rPr>
          <w:color w:val="000000"/>
          <w:lang w:val="lt-LT"/>
        </w:rPr>
        <w:t xml:space="preserve"> vienetų gaunamų dividendų neapmokestinimo, Lietuvos vienetas ar nuolatinė buveinė </w:t>
      </w:r>
      <w:r w:rsidRPr="00125234">
        <w:rPr>
          <w:lang w:val="lt-LT"/>
        </w:rPr>
        <w:t>turi turėti (ir mokesčių administratoriaus reikalavimu pateikti):</w:t>
      </w:r>
    </w:p>
    <w:p w14:paraId="2FB83AB1" w14:textId="77777777" w:rsidR="00093845" w:rsidRPr="00125234" w:rsidRDefault="000D779E">
      <w:pPr>
        <w:tabs>
          <w:tab w:val="left" w:pos="709"/>
        </w:tabs>
        <w:jc w:val="both"/>
        <w:rPr>
          <w:lang w:val="lt-LT"/>
        </w:rPr>
      </w:pPr>
      <w:r w:rsidRPr="00125234">
        <w:rPr>
          <w:lang w:val="lt-LT"/>
        </w:rPr>
        <w:tab/>
        <w:t xml:space="preserve">1) EEE valstybės mokesčių administratoriaus patvirtintą dokumentą, kad toje valstybėje įregistruotas ar kitaip organizuotas vienetas, iš kurio gauti dividendai, yra pelno mokesčio (ar jam tapataus mokesčio) mokėtojas (toliau – pelno mokesčio mokėtojas), arba </w:t>
      </w:r>
    </w:p>
    <w:p w14:paraId="49B0525F" w14:textId="77777777" w:rsidR="00093845" w:rsidRPr="00125234" w:rsidRDefault="000D779E">
      <w:pPr>
        <w:pStyle w:val="prastasiniatinklio"/>
        <w:spacing w:before="0" w:beforeAutospacing="0" w:after="0" w:afterAutospacing="0"/>
        <w:jc w:val="both"/>
      </w:pPr>
      <w:r w:rsidRPr="00125234">
        <w:lastRenderedPageBreak/>
        <w:tab/>
      </w:r>
      <w:r w:rsidRPr="00125234">
        <w:rPr>
          <w:bCs/>
        </w:rPr>
        <w:t>2) kitus aukščiau minėtą faktą įrodančius dokumentus,</w:t>
      </w:r>
      <w:r w:rsidRPr="00125234">
        <w:t xml:space="preserve"> pavyzdžiui, EEE valstybės vieneto atsakingų asmenų parašais patvirtintą dokumentą, kad toje valstybėje įregistruotas ar kitaip organizuotas vienetas, iš kurio gauti dividendai, yra pelno mokesčio mokėtojas, ar kitą dokumentą, kuris įrodo, kad dividendus išmokėjo pelno mokesčio mokėtojas.</w:t>
      </w:r>
      <w:r w:rsidRPr="00125234">
        <w:rPr>
          <w:bCs/>
        </w:rPr>
        <w:t xml:space="preserve"> </w:t>
      </w:r>
      <w:r w:rsidRPr="00125234">
        <w:t>Šiuose dokumentuose turi būti nurodoma</w:t>
      </w:r>
      <w:r w:rsidRPr="00125234">
        <w:rPr>
          <w:bCs/>
        </w:rPr>
        <w:t xml:space="preserve"> </w:t>
      </w:r>
      <w:r w:rsidRPr="00125234">
        <w:t>užsienio valstybės vienet</w:t>
      </w:r>
      <w:r w:rsidRPr="00125234">
        <w:rPr>
          <w:bCs/>
        </w:rPr>
        <w:t>ą</w:t>
      </w:r>
      <w:r w:rsidRPr="00125234">
        <w:t>, išmokėjus</w:t>
      </w:r>
      <w:r w:rsidRPr="00125234">
        <w:rPr>
          <w:bCs/>
        </w:rPr>
        <w:t>į</w:t>
      </w:r>
      <w:r w:rsidRPr="00125234">
        <w:t xml:space="preserve"> dividendus, </w:t>
      </w:r>
      <w:r w:rsidRPr="00125234">
        <w:rPr>
          <w:bCs/>
        </w:rPr>
        <w:t>identifikuojanti informacija, pavyzdžiui,</w:t>
      </w:r>
      <w:r w:rsidRPr="00125234">
        <w:t xml:space="preserve"> pavadinimas, identifikacinis numeris, adresas, valstybė ir komercinis ar kitas registras, kuriame tas vienetas įregistruotas.</w:t>
      </w:r>
    </w:p>
    <w:p w14:paraId="0C54D796" w14:textId="77777777" w:rsidR="00093845" w:rsidRPr="00125234" w:rsidRDefault="000D779E">
      <w:pPr>
        <w:pStyle w:val="prastasiniatinklio"/>
        <w:spacing w:before="0" w:beforeAutospacing="0" w:after="0" w:afterAutospacing="0"/>
        <w:jc w:val="both"/>
        <w:rPr>
          <w:b/>
          <w:color w:val="000000"/>
        </w:rPr>
      </w:pPr>
      <w:r w:rsidRPr="00125234">
        <w:tab/>
        <w:t xml:space="preserve">Tuo atveju, jei užsienio valstybių vienetai dividendus Lietuvos vienetui išmoka per jų rezidavimo šalyse ar kitose šalyse įsisteigusius tarpininkus (bankus, finansų maklerių įmones, depozitoriumus), tai Lietuvos vienetas gali neapmokestinti dividendų tik tuo atveju, jei jis turi užsienio tarpininkų pateiktą dokumentą, identifikuojantį faktiškuosius dividendų mokėtojus bei minėtus įrodymus, kad jie yra pelno mokesčio mokėtojai. </w:t>
      </w:r>
    </w:p>
    <w:p w14:paraId="2DDF5D80" w14:textId="77777777" w:rsidR="00093845" w:rsidRPr="00125234" w:rsidRDefault="00062580">
      <w:pPr>
        <w:rPr>
          <w:iCs/>
          <w:lang w:val="lt-LT"/>
        </w:rPr>
      </w:pPr>
      <w:r w:rsidRPr="00125234">
        <w:rPr>
          <w:lang w:val="lt-LT"/>
        </w:rPr>
        <w:t xml:space="preserve">         </w:t>
      </w:r>
      <w:r w:rsidR="000D779E" w:rsidRPr="00125234">
        <w:rPr>
          <w:lang w:val="lt-LT"/>
        </w:rPr>
        <w:t>(</w:t>
      </w:r>
      <w:r w:rsidR="00016DBB" w:rsidRPr="00125234">
        <w:rPr>
          <w:lang w:val="lt-LT"/>
        </w:rPr>
        <w:t>P</w:t>
      </w:r>
      <w:r w:rsidR="000D779E" w:rsidRPr="00125234">
        <w:rPr>
          <w:lang w:val="lt-LT"/>
        </w:rPr>
        <w:t>akeista pagal VMI prie FM raštą 2011-08-04 Nr. (18.10-31-1)-R-7412)</w:t>
      </w:r>
    </w:p>
    <w:p w14:paraId="6D12C054" w14:textId="77777777" w:rsidR="00093845" w:rsidRPr="00125234" w:rsidRDefault="000D779E" w:rsidP="00AF4003">
      <w:pPr>
        <w:spacing w:after="0"/>
        <w:jc w:val="both"/>
        <w:rPr>
          <w:b/>
          <w:lang w:val="lt-LT"/>
        </w:rPr>
      </w:pPr>
      <w:r w:rsidRPr="00125234">
        <w:rPr>
          <w:iCs/>
          <w:lang w:val="lt-LT"/>
        </w:rPr>
        <w:t xml:space="preserve">        </w:t>
      </w:r>
      <w:r w:rsidRPr="00125234">
        <w:rPr>
          <w:b/>
          <w:lang w:val="lt-LT"/>
        </w:rPr>
        <w:t xml:space="preserve">3. Lietuvos vieneto ar nuolatinės buveinės gaunami dividendai iš užsienio vienetų, nenurodytų šio straipsnio 2 dalyje, kuriuose dividendus gaunantis Lietuvos vienetas ar užsienio vienetas, kurio nuolatinė buveinė (kai jai priskirtos akcijos, kapitalo dalis ar kitos teisės, už kurių turėjimą mokami šie dividendai) gauna šiuos dividendus, ne trumpiau kaip 12 mėnesių be pertraukų, įskaitant dividendų paskirstymo momentą, valdo ne mažiau kaip 10 procentų balsus suteikiančių akcijų (dalių, pajų), neapmokestinami, jei dividendai gaunami iš užsienio vieneto, kurio pelnas yra apmokestinamas </w:t>
      </w:r>
      <w:r w:rsidRPr="00125234">
        <w:rPr>
          <w:b/>
          <w:color w:val="000000"/>
          <w:lang w:val="lt-LT"/>
        </w:rPr>
        <w:t>pelno</w:t>
      </w:r>
      <w:r w:rsidRPr="00125234">
        <w:rPr>
          <w:b/>
          <w:lang w:val="lt-LT"/>
        </w:rPr>
        <w:t xml:space="preserve"> mokesčiu arba jam tapačiu mokesčiu ir kuris nėra įregistruotas ar kitaip organizuotas tikslinėse teritorijose.</w:t>
      </w:r>
    </w:p>
    <w:p w14:paraId="036945A3" w14:textId="77777777" w:rsidR="00093845" w:rsidRPr="00125234" w:rsidRDefault="000D779E" w:rsidP="00AF4003">
      <w:pPr>
        <w:pStyle w:val="HTMLiankstoformatuotas"/>
        <w:tabs>
          <w:tab w:val="left" w:pos="709"/>
        </w:tabs>
        <w:spacing w:after="0"/>
        <w:jc w:val="both"/>
        <w:rPr>
          <w:rFonts w:ascii="Times New Roman" w:hAnsi="Times New Roman" w:cs="Times New Roman"/>
          <w:i/>
          <w:color w:val="000000"/>
          <w:sz w:val="24"/>
          <w:szCs w:val="24"/>
          <w:lang w:val="lt-LT"/>
        </w:rPr>
      </w:pPr>
      <w:r w:rsidRPr="00125234">
        <w:rPr>
          <w:rFonts w:ascii="Times New Roman" w:hAnsi="Times New Roman" w:cs="Times New Roman"/>
          <w:i/>
          <w:color w:val="000000"/>
          <w:sz w:val="24"/>
          <w:szCs w:val="24"/>
          <w:lang w:val="lt-LT"/>
        </w:rPr>
        <w:t>(</w:t>
      </w:r>
      <w:r w:rsidRPr="00125234">
        <w:rPr>
          <w:rFonts w:ascii="Times New Roman" w:hAnsi="Times New Roman" w:cs="Times New Roman"/>
          <w:i/>
          <w:iCs/>
          <w:sz w:val="24"/>
          <w:szCs w:val="24"/>
        </w:rPr>
        <w:t>KEISTA:</w:t>
      </w:r>
      <w:r w:rsidRPr="00125234">
        <w:rPr>
          <w:rFonts w:ascii="Times New Roman" w:hAnsi="Times New Roman" w:cs="Times New Roman"/>
          <w:i/>
          <w:iCs/>
          <w:sz w:val="24"/>
          <w:szCs w:val="24"/>
          <w:lang w:val="lt-LT"/>
        </w:rPr>
        <w:t xml:space="preserve"> </w:t>
      </w:r>
      <w:r w:rsidRPr="00125234">
        <w:rPr>
          <w:rFonts w:ascii="Times New Roman" w:hAnsi="Times New Roman" w:cs="Times New Roman"/>
          <w:i/>
          <w:iCs/>
          <w:sz w:val="24"/>
          <w:szCs w:val="24"/>
        </w:rPr>
        <w:t>2009 12 09 įstatymu Nr. XI-539 (nuo 2009 12 28)</w:t>
      </w:r>
      <w:r w:rsidRPr="00125234">
        <w:rPr>
          <w:rFonts w:ascii="Times New Roman" w:hAnsi="Times New Roman" w:cs="Times New Roman"/>
          <w:i/>
          <w:color w:val="000000"/>
          <w:sz w:val="24"/>
          <w:szCs w:val="24"/>
          <w:lang w:val="lt-LT"/>
        </w:rPr>
        <w:t>)</w:t>
      </w:r>
    </w:p>
    <w:p w14:paraId="78A14013" w14:textId="77777777" w:rsidR="005E1525" w:rsidRPr="00125234" w:rsidRDefault="005E1525" w:rsidP="00AF4003">
      <w:pPr>
        <w:pStyle w:val="HTMLiankstoformatuotas"/>
        <w:tabs>
          <w:tab w:val="left" w:pos="709"/>
        </w:tabs>
        <w:spacing w:after="0"/>
        <w:jc w:val="both"/>
        <w:rPr>
          <w:rFonts w:ascii="Times New Roman" w:hAnsi="Times New Roman" w:cs="Times New Roman"/>
          <w:bCs/>
          <w:i/>
          <w:color w:val="000000"/>
          <w:sz w:val="24"/>
          <w:szCs w:val="24"/>
          <w:lang w:val="lt-LT"/>
        </w:rPr>
      </w:pPr>
    </w:p>
    <w:p w14:paraId="5D240C24" w14:textId="77777777" w:rsidR="00093845" w:rsidRPr="00125234" w:rsidRDefault="000D779E">
      <w:pPr>
        <w:pStyle w:val="HTMLiankstoformatuotas"/>
        <w:tabs>
          <w:tab w:val="left" w:pos="709"/>
        </w:tabs>
        <w:jc w:val="both"/>
        <w:rPr>
          <w:rFonts w:ascii="Times New Roman" w:hAnsi="Times New Roman" w:cs="Times New Roman"/>
          <w:b/>
          <w:bCs/>
          <w:color w:val="000000"/>
          <w:sz w:val="24"/>
          <w:szCs w:val="24"/>
          <w:lang w:val="lt-LT"/>
        </w:rPr>
      </w:pPr>
      <w:r w:rsidRPr="00125234">
        <w:rPr>
          <w:rFonts w:ascii="Times New Roman" w:hAnsi="Times New Roman" w:cs="Times New Roman"/>
          <w:bCs/>
          <w:color w:val="000000"/>
          <w:sz w:val="24"/>
          <w:szCs w:val="24"/>
          <w:lang w:val="lt-LT"/>
        </w:rPr>
        <w:tab/>
      </w:r>
      <w:r w:rsidRPr="00125234">
        <w:rPr>
          <w:rFonts w:ascii="Times New Roman" w:hAnsi="Times New Roman" w:cs="Times New Roman"/>
          <w:b/>
          <w:bCs/>
          <w:color w:val="000000"/>
          <w:sz w:val="24"/>
          <w:szCs w:val="24"/>
          <w:lang w:val="lt-LT"/>
        </w:rPr>
        <w:tab/>
        <w:t>Komentaras</w:t>
      </w:r>
    </w:p>
    <w:p w14:paraId="4AF2A901" w14:textId="77777777" w:rsidR="00093845" w:rsidRPr="00125234" w:rsidRDefault="000D779E">
      <w:pPr>
        <w:pStyle w:val="Style1"/>
        <w:tabs>
          <w:tab w:val="left" w:pos="709"/>
          <w:tab w:val="left" w:pos="1418"/>
        </w:tabs>
        <w:rPr>
          <w:rFonts w:ascii="Times New Roman" w:hAnsi="Times New Roman"/>
        </w:rPr>
      </w:pPr>
      <w:r w:rsidRPr="00125234">
        <w:rPr>
          <w:rFonts w:ascii="Times New Roman" w:hAnsi="Times New Roman"/>
          <w:color w:val="000000"/>
          <w:szCs w:val="24"/>
        </w:rPr>
        <w:t xml:space="preserve">1. </w:t>
      </w:r>
      <w:r w:rsidRPr="00125234">
        <w:rPr>
          <w:rFonts w:ascii="Times New Roman" w:hAnsi="Times New Roman"/>
        </w:rPr>
        <w:t xml:space="preserve">Pagal šioje dalyje nustatytą „dalyvavimo išimtį“ investuotojų - Lietuvos vienetų ar nuolatinių buveinių iš užsienio vienetų </w:t>
      </w:r>
      <w:r w:rsidRPr="00125234">
        <w:rPr>
          <w:rFonts w:ascii="Times New Roman" w:hAnsi="Times New Roman"/>
          <w:color w:val="000000"/>
          <w:szCs w:val="24"/>
        </w:rPr>
        <w:t xml:space="preserve">(išskyrus užsienio vienetus nurodytus PMĮ 35 str. 2 dalyje) </w:t>
      </w:r>
      <w:r w:rsidRPr="00125234">
        <w:rPr>
          <w:rFonts w:ascii="Times New Roman" w:hAnsi="Times New Roman"/>
        </w:rPr>
        <w:t>gaunami dividendai pelno mokesčiu neapmokestinami, jeigu:</w:t>
      </w:r>
    </w:p>
    <w:p w14:paraId="5A4A62BA" w14:textId="77777777" w:rsidR="00093845" w:rsidRPr="00125234" w:rsidRDefault="000D779E">
      <w:pPr>
        <w:pStyle w:val="Style1"/>
        <w:tabs>
          <w:tab w:val="left" w:pos="709"/>
          <w:tab w:val="left" w:pos="1077"/>
          <w:tab w:val="left" w:pos="1134"/>
          <w:tab w:val="left" w:pos="1418"/>
        </w:tabs>
        <w:rPr>
          <w:rFonts w:ascii="Times New Roman" w:hAnsi="Times New Roman"/>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Lietuvos vienetas (investuotojas) ar nuolatinė buveinė (kai jai priskirtos akcijos, kapitalo dalys ar kitos teisės, už kurias mokami dividendai) ne trumpiau kaip dvylika mėnesių be pertraukų, įskaitant dividendų paskirstymo momentą, užsienio vienete valdo ne mažiau kaip 10 procentų balsus suteikiančių akcijų (dalių, pajų) ir</w:t>
      </w:r>
    </w:p>
    <w:p w14:paraId="72BA71D4" w14:textId="77777777" w:rsidR="00093845" w:rsidRPr="00125234" w:rsidRDefault="000D779E">
      <w:pPr>
        <w:pStyle w:val="Style1"/>
        <w:tabs>
          <w:tab w:val="left" w:pos="709"/>
          <w:tab w:val="left" w:pos="1077"/>
          <w:tab w:val="left" w:pos="1134"/>
          <w:tab w:val="left" w:pos="1418"/>
        </w:tabs>
        <w:rPr>
          <w:rFonts w:ascii="Times New Roman" w:hAnsi="Times New Roman"/>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 xml:space="preserve">to užsienio vieneto pelnas apmokestinamas pelno mokesčiu ar jam tapačiu mokesčiu, </w:t>
      </w:r>
      <w:r w:rsidRPr="00125234">
        <w:rPr>
          <w:rFonts w:ascii="Times New Roman" w:hAnsi="Times New Roman"/>
          <w:b/>
          <w:color w:val="000000"/>
          <w:szCs w:val="24"/>
        </w:rPr>
        <w:t>ir</w:t>
      </w:r>
      <w:r w:rsidRPr="00125234">
        <w:rPr>
          <w:rFonts w:ascii="Times New Roman" w:hAnsi="Times New Roman"/>
          <w:color w:val="000000"/>
          <w:szCs w:val="24"/>
        </w:rPr>
        <w:t xml:space="preserve"> </w:t>
      </w:r>
    </w:p>
    <w:p w14:paraId="75ADC04F" w14:textId="77777777" w:rsidR="00093845" w:rsidRPr="00125234" w:rsidRDefault="000D779E">
      <w:pPr>
        <w:pStyle w:val="Style1"/>
        <w:tabs>
          <w:tab w:val="left" w:pos="709"/>
          <w:tab w:val="left" w:pos="1077"/>
          <w:tab w:val="left" w:pos="1134"/>
          <w:tab w:val="left" w:pos="1418"/>
        </w:tabs>
        <w:rPr>
          <w:rFonts w:ascii="Times New Roman" w:hAnsi="Times New Roman"/>
          <w:strike/>
          <w:color w:val="000000"/>
          <w:szCs w:val="24"/>
        </w:rPr>
      </w:pPr>
      <w:r w:rsidRPr="00125234">
        <w:rPr>
          <w:rFonts w:ascii="Times New Roman" w:hAnsi="Times New Roman"/>
          <w:color w:val="000000"/>
          <w:szCs w:val="24"/>
        </w:rPr>
        <w:t>-</w:t>
      </w:r>
      <w:r w:rsidRPr="00125234">
        <w:rPr>
          <w:rFonts w:ascii="Times New Roman" w:hAnsi="Times New Roman"/>
          <w:color w:val="000000"/>
          <w:szCs w:val="24"/>
        </w:rPr>
        <w:tab/>
        <w:t xml:space="preserve">užsienio vienetas, išmokantis dividendus, nėra įregistruotas ar kitaip organizuotas tikslinėse teritorijose. </w:t>
      </w:r>
    </w:p>
    <w:p w14:paraId="25B77EED" w14:textId="77777777" w:rsidR="00093845" w:rsidRPr="00125234" w:rsidRDefault="000D779E">
      <w:pPr>
        <w:pStyle w:val="prastasiniatinklio"/>
        <w:spacing w:before="0" w:beforeAutospacing="0" w:after="0" w:afterAutospacing="0"/>
        <w:ind w:firstLine="720"/>
        <w:jc w:val="both"/>
      </w:pPr>
      <w:r w:rsidRPr="00125234">
        <w:t xml:space="preserve">2. </w:t>
      </w:r>
      <w:r w:rsidRPr="00125234">
        <w:rPr>
          <w:color w:val="000000"/>
        </w:rPr>
        <w:t xml:space="preserve">Taikant šios dalies nuostatas dėl iš užsienio vienetų gaunamų dividendų neapmokestinimo, Lietuvos vienetas </w:t>
      </w:r>
      <w:r w:rsidRPr="00125234">
        <w:t xml:space="preserve">turi turėti (ir mokesčių administratoriaus reikalavimu pateikti): </w:t>
      </w:r>
    </w:p>
    <w:p w14:paraId="0B8D170D" w14:textId="77777777" w:rsidR="00093845" w:rsidRPr="00125234" w:rsidRDefault="000D779E">
      <w:pPr>
        <w:pStyle w:val="prastasiniatinklio"/>
        <w:spacing w:before="0" w:beforeAutospacing="0" w:after="0" w:afterAutospacing="0"/>
        <w:ind w:firstLine="720"/>
        <w:jc w:val="both"/>
      </w:pPr>
      <w:r w:rsidRPr="00125234">
        <w:t>1) užsienio valstybės mokesčių administratoriaus patvirtintą dokumentą, kad toje valstybėje įregistruotas ar kitaip organizuotas vienetas, iš kurio gauti dividendai, yra pelno mokesčio ar jam tapataus mokesčio mokėtojas (toliau – pelno mokesčio mokėtojas), arba</w:t>
      </w:r>
    </w:p>
    <w:p w14:paraId="3EBA161B" w14:textId="77777777" w:rsidR="00093845" w:rsidRPr="00125234" w:rsidRDefault="000D779E">
      <w:pPr>
        <w:pStyle w:val="prastasiniatinklio"/>
        <w:spacing w:before="0" w:beforeAutospacing="0" w:after="0" w:afterAutospacing="0"/>
        <w:jc w:val="both"/>
      </w:pPr>
      <w:r w:rsidRPr="00125234">
        <w:rPr>
          <w:bCs/>
        </w:rPr>
        <w:tab/>
        <w:t>2) kitus aukščiau minėtą faktą įrodančius dokumentus,</w:t>
      </w:r>
      <w:r w:rsidRPr="00125234">
        <w:t xml:space="preserve"> pavyzdžiui, užsienio valstybės vieneto atsakingų asmenų parašais patvirtintą dokumentą, kad toje valstybėje įregistruotas ar kitaip organizuotas vienetas, iš kurio gauti dividendai, yra pelno mokesčio mokėtojas, ar kitą dokumentą, kuris įrodo, kad dividendus išmokėjo pelno mokesčio mokėtojas.</w:t>
      </w:r>
      <w:r w:rsidRPr="00125234">
        <w:rPr>
          <w:bCs/>
        </w:rPr>
        <w:t xml:space="preserve"> </w:t>
      </w:r>
      <w:r w:rsidRPr="00125234">
        <w:t>Šiuose dokumentuose turi būti nurodoma</w:t>
      </w:r>
      <w:r w:rsidRPr="00125234">
        <w:rPr>
          <w:bCs/>
        </w:rPr>
        <w:t xml:space="preserve"> </w:t>
      </w:r>
      <w:r w:rsidRPr="00125234">
        <w:t>užsienio valstybės vienet</w:t>
      </w:r>
      <w:r w:rsidRPr="00125234">
        <w:rPr>
          <w:bCs/>
        </w:rPr>
        <w:t>ą</w:t>
      </w:r>
      <w:r w:rsidRPr="00125234">
        <w:t>, išmokėjus</w:t>
      </w:r>
      <w:r w:rsidRPr="00125234">
        <w:rPr>
          <w:bCs/>
        </w:rPr>
        <w:t>į</w:t>
      </w:r>
      <w:r w:rsidRPr="00125234">
        <w:t xml:space="preserve"> dividendus, </w:t>
      </w:r>
      <w:r w:rsidRPr="00125234">
        <w:rPr>
          <w:bCs/>
        </w:rPr>
        <w:t>identifikuojanti informacija, pavyzdžiui,</w:t>
      </w:r>
      <w:r w:rsidRPr="00125234">
        <w:t xml:space="preserve"> pavadinimas, identifikacinis numeris, adresas, valstybė ir komercinis ar kitas registras, kuriame tas vienetas įregistruotas.</w:t>
      </w:r>
    </w:p>
    <w:p w14:paraId="03EECF1F" w14:textId="77777777" w:rsidR="00093845" w:rsidRPr="00125234" w:rsidRDefault="000D779E">
      <w:pPr>
        <w:pStyle w:val="prastasiniatinklio"/>
        <w:spacing w:before="0" w:beforeAutospacing="0" w:after="0" w:afterAutospacing="0"/>
        <w:jc w:val="both"/>
      </w:pPr>
      <w:r w:rsidRPr="00125234">
        <w:lastRenderedPageBreak/>
        <w:tab/>
        <w:t xml:space="preserve">Tuo atveju, jei užsienio valstybių vienetai dividendus Lietuvos vienetui išmoka per jų rezidavimo šalyse ar kitose šalyse įsisteigusius tarpininkus (bankus, finansų maklerių įmones, depozitoriumus), tai Lietuvos vienetas gali neapmokestinti dividendų tik tuo atveju, jei jis turi užsienio tarpininkų pateiktą dokumentą, identifikuojantį faktiškuosius dividendų mokėtojus bei minėtus įrodymus, kad jie yra pelno mokesčio mokėtojai. </w:t>
      </w:r>
    </w:p>
    <w:p w14:paraId="7B8C8C69"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 xml:space="preserve">3. Nustatytas minimalus 12 mėnesių balsus suteikiančių akcijų (dalių, pajų) valdymo laikotarpis, kuris suteikia Lietuvos vienetui ar nuolatinei buveinei teisę neapmokestinti iš užsienio vieneto gaunamų dividendų, nebūtinai turi būti suėjęs dividendų paskirstymo datą. Iš užsienio vieneto gaunami dividendai gali būti neapmokestinami, jei dividendų paskirstymo momentu dar nėra suėjęs 12 mėnesių to užsienio vieneto akcijų (dalių, pajų) valdymo laikotarpis, bet Lietuvos vienetas - to užsienio vieneto dalyvis, turi tikslą išlaikyti tas akcijas (dalis, pajus) ne trumpiau kaip 12 mėnesių arba tokį tikslą turi užsienio vienetas, priskyręs savo nuolatinei buveinei akcijas, kapitalo dalis ar kitas teises, už kurių turėjimą mokami dividendai. </w:t>
      </w:r>
    </w:p>
    <w:p w14:paraId="59F3822B" w14:textId="77777777" w:rsidR="00093845" w:rsidRPr="00125234" w:rsidRDefault="000D779E">
      <w:pPr>
        <w:pStyle w:val="Style1"/>
        <w:tabs>
          <w:tab w:val="left" w:pos="709"/>
          <w:tab w:val="left" w:pos="1077"/>
          <w:tab w:val="left" w:pos="1418"/>
        </w:tabs>
        <w:ind w:right="128"/>
        <w:rPr>
          <w:rFonts w:ascii="Times New Roman" w:hAnsi="Times New Roman"/>
          <w:color w:val="000000"/>
          <w:szCs w:val="24"/>
        </w:rPr>
      </w:pPr>
      <w:r w:rsidRPr="00125234">
        <w:rPr>
          <w:rFonts w:ascii="Times New Roman" w:hAnsi="Times New Roman"/>
          <w:color w:val="000000"/>
          <w:szCs w:val="24"/>
        </w:rPr>
        <w:t>Paaiškėjus, kad nepasibaigus užsienio vieneto balsus suteikiančių akcijų (dalių, pajų) 12 mėnesių valdymo laikotarpiui, Lietuvos vienetas tas akcijas (dalis, pajus) perleidžia ar kitaip nustoja jas valdyti (arba perleidžia dalį akcijų (dalių, pajų) ir dėl to jo valdomos balsus suteikiančios akcijos (dalys, pajai) nesudarys 10 proc. dividendus išmokėjusiame užsienio vienete), tai Lietuvos vienetas nuo gautų neapmokestintų dividendų turi apskaičiuoti mokestį ir sumokėti jį į biudžetą. Analogiškos nuostatos taikomos, kai užsienio vienetas perleidžia (ar kitaip nustoja valdyti) savo nuolatinei buveinei priskirtas kito užsienio vieneto akcijas (kapitalo dalis ar kitas teises), nepasibaigus tokių akcijų (kapitalo dalių ar kitų teisių) 12 mėnesių valdymo laikotarpiui arba perleidžia dalį akcijų (kapitalo dalių ar kitų teisių) ir dėl to nuolatinei buveinei priskirtos jos užsienio vieneto valdomos balsus suteikiančios akcijos (kapitalo dalys ar kitos teisės) nesudarys 10 proc. dividendus išmokėjusiame užsienio vienete).</w:t>
      </w:r>
    </w:p>
    <w:p w14:paraId="6DD5865B" w14:textId="77777777" w:rsidR="00093845" w:rsidRPr="00125234" w:rsidRDefault="000D779E">
      <w:pPr>
        <w:pStyle w:val="Style1"/>
        <w:tabs>
          <w:tab w:val="left" w:pos="709"/>
          <w:tab w:val="left" w:pos="1077"/>
          <w:tab w:val="left" w:pos="1418"/>
        </w:tabs>
        <w:ind w:right="128"/>
        <w:rPr>
          <w:b/>
        </w:rPr>
      </w:pPr>
      <w:r w:rsidRPr="00125234">
        <w:t>Delspinigiai už ne laiku sumokėtą mokestį sumokami Mokesčių administravimo įstatymo nustatyta tvarka.</w:t>
      </w:r>
    </w:p>
    <w:p w14:paraId="33904FFD" w14:textId="77777777" w:rsidR="00093845" w:rsidRPr="00125234" w:rsidRDefault="00016DBB">
      <w:r w:rsidRPr="00125234">
        <w:rPr>
          <w:lang w:val="lt-LT"/>
        </w:rPr>
        <w:t xml:space="preserve">            (P</w:t>
      </w:r>
      <w:r w:rsidR="000D779E" w:rsidRPr="00125234">
        <w:rPr>
          <w:lang w:val="lt-LT"/>
        </w:rPr>
        <w:t xml:space="preserve">akeista pagal VMI prie FM raštą 2011-08-04 Nr. </w:t>
      </w:r>
      <w:r w:rsidR="000D779E" w:rsidRPr="00125234">
        <w:t>(18.10-31-1)-R-7412)</w:t>
      </w:r>
    </w:p>
    <w:p w14:paraId="42596B5C" w14:textId="77777777" w:rsidR="00093845" w:rsidRPr="00125234" w:rsidRDefault="000D779E">
      <w:pPr>
        <w:tabs>
          <w:tab w:val="left" w:pos="709"/>
        </w:tabs>
        <w:ind w:firstLine="720"/>
        <w:jc w:val="both"/>
        <w:rPr>
          <w:b/>
          <w:lang w:val="lt-LT"/>
        </w:rPr>
      </w:pPr>
      <w:r w:rsidRPr="00125234">
        <w:rPr>
          <w:b/>
          <w:lang w:val="lt-LT"/>
        </w:rPr>
        <w:t>4. Lietuvos vienetas į pajamas neįtraukia iš užsienio vieneto gautų dividendų.</w:t>
      </w:r>
    </w:p>
    <w:p w14:paraId="7B788913" w14:textId="77777777" w:rsidR="00093845" w:rsidRPr="00125234" w:rsidRDefault="000D779E">
      <w:pPr>
        <w:pStyle w:val="Antrats"/>
        <w:tabs>
          <w:tab w:val="left" w:pos="709"/>
          <w:tab w:val="left" w:pos="1077"/>
          <w:tab w:val="left" w:pos="1418"/>
          <w:tab w:val="left" w:pos="9348"/>
        </w:tabs>
        <w:ind w:right="128" w:firstLine="720"/>
        <w:jc w:val="both"/>
        <w:rPr>
          <w:b/>
          <w:color w:val="000000"/>
          <w:sz w:val="24"/>
          <w:szCs w:val="24"/>
          <w:lang w:val="lt-LT"/>
        </w:rPr>
      </w:pPr>
      <w:r w:rsidRPr="00125234">
        <w:rPr>
          <w:b/>
          <w:color w:val="000000"/>
          <w:sz w:val="24"/>
          <w:szCs w:val="24"/>
          <w:lang w:val="lt-LT"/>
        </w:rPr>
        <w:t>Komentaras</w:t>
      </w:r>
    </w:p>
    <w:p w14:paraId="5A2FAA3E" w14:textId="77777777" w:rsidR="00093845" w:rsidRPr="00125234" w:rsidRDefault="000D779E">
      <w:pPr>
        <w:pStyle w:val="Antrats"/>
        <w:tabs>
          <w:tab w:val="left" w:pos="709"/>
          <w:tab w:val="left" w:pos="1077"/>
          <w:tab w:val="left" w:pos="1418"/>
        </w:tabs>
        <w:jc w:val="both"/>
        <w:rPr>
          <w:color w:val="000000"/>
          <w:sz w:val="24"/>
          <w:szCs w:val="24"/>
          <w:lang w:val="lt-LT"/>
        </w:rPr>
      </w:pPr>
      <w:r w:rsidRPr="00125234">
        <w:rPr>
          <w:color w:val="000000"/>
          <w:sz w:val="24"/>
          <w:szCs w:val="24"/>
          <w:lang w:val="lt-LT"/>
        </w:rPr>
        <w:tab/>
        <w:t xml:space="preserve">1. Lietuvos vienetai </w:t>
      </w:r>
      <w:r w:rsidRPr="00125234">
        <w:rPr>
          <w:sz w:val="24"/>
          <w:szCs w:val="24"/>
          <w:lang w:val="lt-LT"/>
        </w:rPr>
        <w:t xml:space="preserve">už turimas ar nuolatinės buveinės už jai priskirtas užsienio vienetų akcijas, kapitalo dalį ar kitas teises </w:t>
      </w:r>
      <w:r w:rsidRPr="00125234">
        <w:rPr>
          <w:color w:val="000000"/>
          <w:sz w:val="24"/>
          <w:szCs w:val="24"/>
          <w:lang w:val="lt-LT"/>
        </w:rPr>
        <w:t>iš užsienio vienetų</w:t>
      </w:r>
      <w:r w:rsidRPr="00125234">
        <w:rPr>
          <w:sz w:val="24"/>
          <w:szCs w:val="24"/>
          <w:lang w:val="lt-LT"/>
        </w:rPr>
        <w:t xml:space="preserve"> gaunamų dividendų</w:t>
      </w:r>
      <w:r w:rsidRPr="00125234">
        <w:rPr>
          <w:color w:val="000000"/>
          <w:sz w:val="24"/>
          <w:szCs w:val="24"/>
          <w:lang w:val="lt-LT"/>
        </w:rPr>
        <w:t xml:space="preserve"> (apmokestinamų pagal šio straipsnio 1 dalies nuostatas ir neapmokestinamų pagal šio straipsnio 2 ir 3 dalyse nustatytas išimtis) apskaičiuodami apmokestinamąjį pelną, į pajamas neįtraukia. </w:t>
      </w:r>
    </w:p>
    <w:p w14:paraId="71A2EE9A" w14:textId="77777777" w:rsidR="00093845" w:rsidRPr="00125234" w:rsidRDefault="000D779E">
      <w:pPr>
        <w:rPr>
          <w:lang w:val="nb-NO"/>
        </w:rPr>
      </w:pPr>
      <w:r w:rsidRPr="00125234">
        <w:rPr>
          <w:lang w:val="nb-NO"/>
        </w:rPr>
        <w:t xml:space="preserve">           (Pagal VMI prie FM raštą 2010-06-23 Nr. (18.10-31-1)-R-6299)</w:t>
      </w:r>
    </w:p>
    <w:p w14:paraId="12A8813C" w14:textId="77777777" w:rsidR="00093845" w:rsidRPr="00125234" w:rsidRDefault="00093845">
      <w:pPr>
        <w:rPr>
          <w:lang w:val="nb-NO"/>
        </w:rPr>
      </w:pPr>
    </w:p>
    <w:p w14:paraId="657294DD" w14:textId="77777777" w:rsidR="00093845" w:rsidRPr="00125234" w:rsidRDefault="000D779E" w:rsidP="00AF4003">
      <w:pPr>
        <w:spacing w:after="0"/>
        <w:ind w:firstLine="709"/>
        <w:jc w:val="both"/>
        <w:rPr>
          <w:b/>
          <w:iCs/>
          <w:strike/>
          <w:lang w:val="lt-LT"/>
        </w:rPr>
      </w:pPr>
      <w:r w:rsidRPr="00125234">
        <w:rPr>
          <w:b/>
          <w:lang w:val="lt-LT"/>
        </w:rPr>
        <w:t>5. Šio straipsnio 2 ir 3 dalių nuostatos dėl iš užsienio vienetų gaunamų dividendų neapmokestinimo netaikomos dividendams, kuriais užsienio vienetai sumažina pelną, apmokestinamą pelno mokesčiu ar jam tapačiu mokesčiu.</w:t>
      </w:r>
    </w:p>
    <w:p w14:paraId="77C5D9B8" w14:textId="77777777" w:rsidR="00093845" w:rsidRPr="00125234" w:rsidRDefault="000D779E" w:rsidP="00AF4003">
      <w:pPr>
        <w:spacing w:after="0"/>
        <w:jc w:val="both"/>
        <w:rPr>
          <w:rFonts w:ascii="TimesLT" w:hAnsi="TimesLT"/>
          <w:bCs/>
          <w:i/>
          <w:iCs/>
          <w:lang w:val="lt-LT"/>
        </w:rPr>
      </w:pPr>
      <w:r w:rsidRPr="00125234">
        <w:rPr>
          <w:rFonts w:ascii="TimesLT" w:hAnsi="TimesLT"/>
          <w:i/>
          <w:iCs/>
          <w:lang w:val="lt-LT"/>
        </w:rPr>
        <w:t>(</w:t>
      </w:r>
      <w:r w:rsidRPr="00125234">
        <w:rPr>
          <w:i/>
          <w:iCs/>
        </w:rPr>
        <w:t>KEISTA:</w:t>
      </w:r>
      <w:r w:rsidRPr="00125234">
        <w:rPr>
          <w:i/>
          <w:iCs/>
          <w:lang w:val="lt-LT"/>
        </w:rPr>
        <w:t xml:space="preserve"> </w:t>
      </w:r>
      <w:r w:rsidRPr="00125234">
        <w:rPr>
          <w:i/>
          <w:iCs/>
        </w:rPr>
        <w:t>2016 03 22 įstatymu Nr. XII-2262 (nuo 2016 03 26)</w:t>
      </w:r>
      <w:r w:rsidRPr="00125234">
        <w:rPr>
          <w:rFonts w:ascii="TimesLT" w:hAnsi="TimesLT"/>
          <w:bCs/>
          <w:i/>
          <w:iCs/>
          <w:lang w:val="lt-LT"/>
        </w:rPr>
        <w:t>)</w:t>
      </w:r>
    </w:p>
    <w:p w14:paraId="7C3E5636" w14:textId="77777777" w:rsidR="005E1525" w:rsidRPr="00125234" w:rsidRDefault="005E1525" w:rsidP="00AF4003">
      <w:pPr>
        <w:spacing w:after="0"/>
        <w:jc w:val="both"/>
        <w:rPr>
          <w:rFonts w:ascii="TimesLT" w:hAnsi="TimesLT"/>
          <w:bCs/>
          <w:i/>
          <w:iCs/>
          <w:lang w:val="lt-LT"/>
        </w:rPr>
      </w:pPr>
    </w:p>
    <w:p w14:paraId="7E7E44E2" w14:textId="77777777" w:rsidR="00093845" w:rsidRPr="00125234" w:rsidRDefault="000D779E">
      <w:pPr>
        <w:ind w:firstLine="720"/>
        <w:jc w:val="both"/>
        <w:rPr>
          <w:b/>
          <w:lang w:val="lt-LT"/>
        </w:rPr>
      </w:pPr>
      <w:r w:rsidRPr="00125234">
        <w:rPr>
          <w:b/>
          <w:lang w:val="lt-LT"/>
        </w:rPr>
        <w:t>Komentaras</w:t>
      </w:r>
    </w:p>
    <w:p w14:paraId="4D258843"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Įgyvendinant 2014 m. liepos 8 d. Tarybos direktyvos 2014/86/ES (iš dalies pakeitusios Tarybos Direktyvą 2011/96/ES dėl bendrosios mokesčių sistemos, taikomos įvairių valstybių narių patronuojančioms ir dukterinėms bendrovėms,  nuostatas, PMĮ 35 straipsnis papildytas nauja dalimi, </w:t>
      </w:r>
      <w:r w:rsidRPr="00125234">
        <w:rPr>
          <w:iCs/>
          <w:lang w:val="lt-LT"/>
        </w:rPr>
        <w:lastRenderedPageBreak/>
        <w:t>kuria siekiama išvengti paskirstytojo pelno dvigubo neapmokestinimo atvejų, kurie susidaro pasinaudojant valstybių mokesčių sistemų skirtumais ar skirtingomis apmokestinimo tvarkomis.</w:t>
      </w:r>
    </w:p>
    <w:p w14:paraId="33E95D6A"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Nors PMĮ 35 straipsnio nuostatomis siekiama neapmokestinti iš dukterinių vienetų patronuojantiems vienetams išmokamų dividendų prie šaltinio išskaičiuojamais mokesčiais ir taip išvengti įmonių pelno dvigubo apmokestinimo situacijų, tačiau pasinaudojant neapmokestinimo lengvatomis bei pelno paskirstymo apmokestinimo tvarkos skirtumais skirtingose valstybėse, gali susidaryti dvigubo neapmokestinimo situacijos, kada ne tik nemokami pelno paskirstymo mokesčiai, bet ir paskirstytojo pelno išmokomis susimažinamas apmokestinamasis pelnas, taip sumažinant mokėtiną pelno mokesčio dydį. </w:t>
      </w:r>
    </w:p>
    <w:p w14:paraId="1AB174A4" w14:textId="77777777" w:rsidR="00093845" w:rsidRPr="00125234" w:rsidRDefault="000D779E">
      <w:pPr>
        <w:tabs>
          <w:tab w:val="left" w:pos="720"/>
          <w:tab w:val="left" w:pos="1077"/>
          <w:tab w:val="left" w:pos="1418"/>
        </w:tabs>
        <w:autoSpaceDE w:val="0"/>
        <w:autoSpaceDN w:val="0"/>
        <w:ind w:right="-5" w:firstLine="720"/>
        <w:jc w:val="both"/>
        <w:rPr>
          <w:iCs/>
          <w:lang w:val="lt-LT"/>
        </w:rPr>
      </w:pPr>
      <w:r w:rsidRPr="00125234">
        <w:rPr>
          <w:iCs/>
          <w:lang w:val="lt-LT"/>
        </w:rPr>
        <w:t xml:space="preserve">Įgyvendinant šios dalies nuostatas, patronuojančio vieneto valstybė narė ir / arba šio vieneto nuolatinės buveinės valstybė narė neturėtų leisti bendrovėms gauto paskirstytojo pelno neapmokestinti tiek, kiek toks pelnas atskaitomas patronuojančio vieneto dukterinėje bendrovėje. </w:t>
      </w:r>
      <w:r w:rsidRPr="00125234">
        <w:t xml:space="preserve"> </w:t>
      </w:r>
      <w:r w:rsidRPr="00125234">
        <w:rPr>
          <w:iCs/>
          <w:lang w:val="lt-LT"/>
        </w:rPr>
        <w:t xml:space="preserve">Todėl </w:t>
      </w:r>
      <w:r w:rsidRPr="00125234">
        <w:rPr>
          <w:color w:val="000000"/>
          <w:lang w:val="lt-LT"/>
        </w:rPr>
        <w:t xml:space="preserve">Lietuvos vienetų </w:t>
      </w:r>
      <w:r w:rsidRPr="00125234">
        <w:rPr>
          <w:lang w:val="lt-LT"/>
        </w:rPr>
        <w:t>ar nuolatinių buveinių iš EEE valstybėse įregistruotų ar kitaip organizuotų vienetų gaunami dividendai bei pagal „dalyvavimo išimtį“ investuotojų - Lietuvos vienetų ar nuolatinių buveinių iš užsienio vienetų (išskyrus užsienio vienetus, įsteigtus tikslinėse teritorijose) gaunami dividendai pelno mokesčiu apmokestinami, jei išmokamais dividendais užsienio vienetai susimažina pelną, apmokestinamą pelno mokesčiu ar jam tapačiu mokesčiu.</w:t>
      </w:r>
    </w:p>
    <w:p w14:paraId="24D475D8" w14:textId="77777777" w:rsidR="00093845" w:rsidRPr="00125234" w:rsidRDefault="000D779E">
      <w:pPr>
        <w:tabs>
          <w:tab w:val="left" w:pos="720"/>
          <w:tab w:val="left" w:pos="1077"/>
          <w:tab w:val="left" w:pos="1418"/>
        </w:tabs>
        <w:autoSpaceDE w:val="0"/>
        <w:autoSpaceDN w:val="0"/>
        <w:ind w:right="-5" w:firstLine="720"/>
        <w:jc w:val="both"/>
        <w:rPr>
          <w:rFonts w:ascii="TimesLT" w:hAnsi="TimesLT"/>
          <w:iCs/>
          <w:lang w:val="lt-LT"/>
        </w:rPr>
      </w:pPr>
      <w:r w:rsidRPr="00125234">
        <w:rPr>
          <w:rFonts w:ascii="TimesLT" w:hAnsi="TimesLT"/>
          <w:iCs/>
          <w:lang w:val="lt-LT"/>
        </w:rPr>
        <w:t xml:space="preserve">Kadangi PMĮ 35 straipsnyje nustatytos dividendų neapmokestinimo lengvatos taikomos ne tik iš ES valstybių narių gaunamiems dividendams, šios dalies nuostatos taip pat taikomos ne tik iš ES valstybių narių vienetų, bet ir iš kitų valstybių vienetų gaunamiems dividendams. </w:t>
      </w:r>
    </w:p>
    <w:p w14:paraId="05B9B724" w14:textId="77777777" w:rsidR="00093845" w:rsidRPr="00125234" w:rsidRDefault="000D779E" w:rsidP="002F4FA8">
      <w:pPr>
        <w:rPr>
          <w:iCs/>
          <w:lang w:val="lt-LT"/>
        </w:rPr>
      </w:pPr>
      <w:r w:rsidRPr="00125234">
        <w:t xml:space="preserve">           (Pa</w:t>
      </w:r>
      <w:r w:rsidR="00130B12" w:rsidRPr="00125234">
        <w:t>keista</w:t>
      </w:r>
      <w:r w:rsidRPr="00125234">
        <w:t xml:space="preserve"> VMI prie FM 2017-11-14 raštu Nr. (32.42-31-1E)-RM-34608</w:t>
      </w:r>
    </w:p>
    <w:p w14:paraId="40B3811F" w14:textId="77777777" w:rsidR="00FB6B62" w:rsidRPr="00125234" w:rsidRDefault="00FB6B62">
      <w:pPr>
        <w:jc w:val="both"/>
        <w:rPr>
          <w:color w:val="FF0000"/>
          <w:lang w:val="lt-LT"/>
        </w:rPr>
      </w:pPr>
    </w:p>
    <w:p w14:paraId="416D6012" w14:textId="77777777" w:rsidR="00FF31B5" w:rsidRPr="00125234" w:rsidRDefault="00FF31B5" w:rsidP="00FF31B5">
      <w:pPr>
        <w:tabs>
          <w:tab w:val="left" w:pos="720"/>
          <w:tab w:val="left" w:pos="1077"/>
          <w:tab w:val="left" w:pos="1418"/>
        </w:tabs>
        <w:jc w:val="both"/>
        <w:rPr>
          <w:b/>
          <w:bCs/>
          <w:color w:val="000000"/>
          <w:lang w:val="lt-LT"/>
        </w:rPr>
      </w:pPr>
      <w:r w:rsidRPr="00125234">
        <w:rPr>
          <w:b/>
          <w:bCs/>
          <w:color w:val="000000"/>
          <w:lang w:val="lt-LT"/>
        </w:rPr>
        <w:t xml:space="preserve">            36 STRAIPSNIS. Dividendų deklaracija</w:t>
      </w:r>
    </w:p>
    <w:p w14:paraId="1C0B7C44" w14:textId="77777777" w:rsidR="00FF31B5" w:rsidRPr="00125234" w:rsidRDefault="00FF31B5" w:rsidP="00FF31B5">
      <w:pPr>
        <w:tabs>
          <w:tab w:val="left" w:pos="720"/>
          <w:tab w:val="left" w:pos="1077"/>
          <w:tab w:val="left" w:pos="1418"/>
        </w:tabs>
        <w:spacing w:after="0"/>
        <w:jc w:val="both"/>
        <w:rPr>
          <w:b/>
          <w:lang w:val="lt-LT" w:eastAsia="lt-LT"/>
        </w:rPr>
      </w:pPr>
      <w:r w:rsidRPr="00125234">
        <w:rPr>
          <w:b/>
          <w:bCs/>
          <w:color w:val="000000"/>
          <w:lang w:val="lt-LT"/>
        </w:rPr>
        <w:t xml:space="preserve"> </w:t>
      </w:r>
      <w:r w:rsidRPr="00125234">
        <w:rPr>
          <w:b/>
          <w:bCs/>
          <w:color w:val="000000"/>
          <w:lang w:val="lt-LT"/>
        </w:rPr>
        <w:tab/>
      </w:r>
      <w:r w:rsidRPr="00125234">
        <w:rPr>
          <w:b/>
          <w:lang w:val="lt-LT" w:eastAsia="lt-LT"/>
        </w:rPr>
        <w:t>Deklaracija apie dividendų išmokėjimą vienetui ar dividendų gavimą iš vieneto ir pelno mokesčio apskaičiavimą pateikiama tam vietos mokesčio administratoriui, kurio veiklos teritorijoje įregistruotas pelno mokestį apskaičiuojantis ir sumokantis vienetas ar nuolatinė buveinė, iki mėnesio, einančio po mėnesio, kurį dividendai buvo išmokėti arba gauti, penkioliktos dienos.</w:t>
      </w:r>
    </w:p>
    <w:p w14:paraId="7FAAFB7D" w14:textId="77777777" w:rsidR="00FF31B5" w:rsidRPr="00125234" w:rsidRDefault="00FF31B5" w:rsidP="00FF31B5">
      <w:pPr>
        <w:spacing w:after="0"/>
        <w:jc w:val="both"/>
        <w:rPr>
          <w:bCs/>
          <w:i/>
          <w:iCs/>
          <w:lang w:val="lt-LT" w:eastAsia="lt-LT"/>
        </w:rPr>
      </w:pPr>
      <w:r w:rsidRPr="00125234">
        <w:rPr>
          <w:i/>
          <w:lang w:val="lt-LT" w:eastAsia="lt-LT"/>
        </w:rPr>
        <w:t>(</w:t>
      </w:r>
      <w:r w:rsidRPr="00125234">
        <w:rPr>
          <w:i/>
          <w:lang w:eastAsia="lt-LT"/>
        </w:rPr>
        <w:t xml:space="preserve">KEISTA: </w:t>
      </w:r>
      <w:r w:rsidRPr="00125234">
        <w:rPr>
          <w:i/>
          <w:iCs/>
        </w:rPr>
        <w:t>2016 03 22 įstatymu Nr. XII-2262 (nuo 2017 01 01)</w:t>
      </w:r>
      <w:r w:rsidRPr="00125234">
        <w:rPr>
          <w:bCs/>
          <w:i/>
          <w:iCs/>
          <w:lang w:val="lt-LT" w:eastAsia="lt-LT"/>
        </w:rPr>
        <w:t>)</w:t>
      </w:r>
    </w:p>
    <w:p w14:paraId="5D7EF2DA" w14:textId="77777777" w:rsidR="00FF31B5" w:rsidRPr="00125234" w:rsidRDefault="00FF31B5" w:rsidP="00FF31B5">
      <w:pPr>
        <w:spacing w:after="0"/>
        <w:jc w:val="both"/>
        <w:rPr>
          <w:bCs/>
          <w:i/>
          <w:lang w:val="lt-LT" w:eastAsia="lt-LT"/>
        </w:rPr>
      </w:pPr>
    </w:p>
    <w:p w14:paraId="6A378C8E" w14:textId="77777777" w:rsidR="00FF31B5" w:rsidRPr="00125234" w:rsidRDefault="00FF31B5" w:rsidP="00FF31B5">
      <w:pPr>
        <w:tabs>
          <w:tab w:val="left" w:pos="720"/>
          <w:tab w:val="left" w:pos="1077"/>
          <w:tab w:val="left" w:pos="1418"/>
        </w:tabs>
        <w:ind w:firstLine="720"/>
        <w:jc w:val="both"/>
        <w:rPr>
          <w:b/>
          <w:color w:val="000000"/>
          <w:szCs w:val="20"/>
          <w:lang w:val="lt-LT"/>
        </w:rPr>
      </w:pPr>
      <w:r w:rsidRPr="00125234">
        <w:rPr>
          <w:b/>
          <w:color w:val="000000"/>
          <w:lang w:val="lt-LT"/>
        </w:rPr>
        <w:t>Komentaras</w:t>
      </w:r>
    </w:p>
    <w:p w14:paraId="70180AFC" w14:textId="77777777" w:rsidR="00FF31B5" w:rsidRPr="00125234" w:rsidRDefault="00FF31B5" w:rsidP="00FF31B5">
      <w:pPr>
        <w:tabs>
          <w:tab w:val="left" w:pos="720"/>
          <w:tab w:val="left" w:pos="1077"/>
          <w:tab w:val="left" w:pos="1418"/>
        </w:tabs>
        <w:ind w:firstLine="720"/>
        <w:jc w:val="both"/>
        <w:rPr>
          <w:rFonts w:cs="Arial Unicode MS"/>
          <w:strike/>
          <w:color w:val="000000"/>
          <w:lang w:val="lt-LT"/>
        </w:rPr>
      </w:pPr>
      <w:r w:rsidRPr="00125234">
        <w:rPr>
          <w:rFonts w:cs="Arial Unicode MS"/>
          <w:color w:val="000000"/>
          <w:lang w:val="lt-LT"/>
        </w:rPr>
        <w:t>1.</w:t>
      </w:r>
      <w:r w:rsidRPr="00125234">
        <w:rPr>
          <w:rFonts w:cs="Arial Unicode MS"/>
          <w:color w:val="000000"/>
          <w:lang w:val="lt-LT"/>
        </w:rPr>
        <w:tab/>
        <w:t>Šiame straipsnyje nustatyta išmokėtų ir gautų dividendų deklaravimo tvarka. Remiantis šio straipsnio nuostatomis, Lietuvos vienetams ir užsienio vienetams išmokėtų dividendų bei iš šių vienetų gautų dividendų ir nuo jų išskaičiuoto pelno mokesčio deklaracijos turi būti pateikiamos iki kito mėnesio, einančio po mėnesio, kurį dividendai buvo išmokėti arba gauti, penkioliktos dienos</w:t>
      </w:r>
      <w:r w:rsidRPr="00125234">
        <w:rPr>
          <w:rFonts w:cs="Arial Unicode MS"/>
          <w:b/>
          <w:color w:val="000000"/>
          <w:lang w:val="lt-LT"/>
        </w:rPr>
        <w:t>.</w:t>
      </w:r>
      <w:r w:rsidRPr="00125234">
        <w:rPr>
          <w:rFonts w:cs="Arial Unicode MS"/>
          <w:color w:val="000000"/>
          <w:lang w:val="lt-LT"/>
        </w:rPr>
        <w:t xml:space="preserve"> </w:t>
      </w:r>
    </w:p>
    <w:p w14:paraId="656A58DC" w14:textId="77777777" w:rsidR="00FF31B5" w:rsidRPr="00125234" w:rsidRDefault="00FF31B5" w:rsidP="00FF31B5">
      <w:pPr>
        <w:tabs>
          <w:tab w:val="left" w:pos="720"/>
          <w:tab w:val="left" w:pos="1077"/>
          <w:tab w:val="left" w:pos="1418"/>
        </w:tabs>
        <w:ind w:firstLine="720"/>
        <w:jc w:val="both"/>
        <w:rPr>
          <w:rFonts w:cs="Arial Unicode MS"/>
          <w:b/>
          <w:bCs/>
          <w:color w:val="000000"/>
          <w:lang w:val="lt-LT"/>
        </w:rPr>
      </w:pPr>
      <w:r w:rsidRPr="00125234">
        <w:rPr>
          <w:rFonts w:cs="Arial Unicode MS"/>
          <w:color w:val="000000"/>
          <w:lang w:val="lt-LT"/>
        </w:rPr>
        <w:t xml:space="preserve">2. Nuo </w:t>
      </w:r>
      <w:r w:rsidRPr="00125234">
        <w:rPr>
          <w:rFonts w:cs="Arial Unicode MS"/>
          <w:bCs/>
          <w:color w:val="000000"/>
          <w:lang w:val="lt-LT"/>
        </w:rPr>
        <w:t>2004-07-01</w:t>
      </w:r>
      <w:r w:rsidRPr="00125234">
        <w:rPr>
          <w:rFonts w:cs="Arial Unicode MS"/>
          <w:color w:val="000000"/>
          <w:lang w:val="lt-LT"/>
        </w:rPr>
        <w:t xml:space="preserve"> Lietuvos vienetai, kitiems Lietuvos ir/ar užsienio vienetams išmokėję apmokestinamus dividendus ir/ar juos gavę iš užsienio vienetų, mokesčių administratoriui turi teikti </w:t>
      </w:r>
      <w:r w:rsidRPr="00125234">
        <w:rPr>
          <w:rFonts w:cs="Arial Unicode MS"/>
          <w:bCs/>
          <w:color w:val="000000"/>
          <w:lang w:val="lt-LT"/>
        </w:rPr>
        <w:t>Valstybinės mokesčių inspekcijos prie Lietuvos Respublikos finansų ministerijos</w:t>
      </w:r>
      <w:r w:rsidRPr="00125234">
        <w:rPr>
          <w:rFonts w:cs="Arial Unicode MS"/>
          <w:b/>
          <w:bCs/>
          <w:color w:val="000000"/>
          <w:lang w:val="lt-LT"/>
        </w:rPr>
        <w:t xml:space="preserve"> </w:t>
      </w:r>
      <w:r w:rsidRPr="00125234">
        <w:rPr>
          <w:rFonts w:cs="Arial Unicode MS"/>
          <w:color w:val="000000"/>
          <w:lang w:val="lt-LT"/>
        </w:rPr>
        <w:t xml:space="preserve">viršininko 2004 m. gegužės 20 d. </w:t>
      </w:r>
      <w:r w:rsidRPr="00125234">
        <w:rPr>
          <w:rFonts w:cs="Arial Unicode MS"/>
          <w:lang w:val="lt-LT"/>
        </w:rPr>
        <w:t>įsakymu Nr. VA-101</w:t>
      </w:r>
      <w:r w:rsidRPr="00125234">
        <w:rPr>
          <w:rFonts w:cs="Arial Unicode MS"/>
          <w:color w:val="000000"/>
          <w:lang w:val="lt-LT"/>
        </w:rPr>
        <w:t xml:space="preserve"> ,,Dėl dividendų pelno mokesčio deklaracijos FR0640 formos, jos priedų pildymo ir teikimo taisyklių patvirtinimo“ patvirtintą Dividendų pelno mokesčio deklaracijos FR0640 formą ir jos priedus (FR0640U priedą ,,II. Užsienio vienetams išmokėti apmokestinami dividendai ir nuo jų išskaičiuotas pelno mokestis“ ir/ar FR0640G priedą ,,III. Iš užsienio vienetų gauti apmokestinami dividendai ir nuo jų apskaičiuotas pelno mokestis“), pritaikytus elektroniniam deklaravimui ir duomenų apdorojimui. “</w:t>
      </w:r>
    </w:p>
    <w:p w14:paraId="3BDFDEBE" w14:textId="77777777" w:rsidR="00FF31B5" w:rsidRPr="00125234" w:rsidRDefault="00FF31B5" w:rsidP="00FF31B5">
      <w:pPr>
        <w:tabs>
          <w:tab w:val="left" w:pos="720"/>
          <w:tab w:val="left" w:pos="1077"/>
          <w:tab w:val="left" w:pos="1418"/>
        </w:tabs>
        <w:ind w:firstLine="720"/>
        <w:jc w:val="both"/>
        <w:rPr>
          <w:color w:val="000000"/>
          <w:lang w:val="lt-LT"/>
        </w:rPr>
      </w:pPr>
      <w:r w:rsidRPr="00125234">
        <w:rPr>
          <w:color w:val="000000"/>
          <w:lang w:val="lt-LT"/>
        </w:rPr>
        <w:lastRenderedPageBreak/>
        <w:t xml:space="preserve">3. Nuo </w:t>
      </w:r>
      <w:r w:rsidRPr="00125234">
        <w:rPr>
          <w:bCs/>
          <w:color w:val="000000"/>
          <w:lang w:val="lt-LT"/>
        </w:rPr>
        <w:t>2005-01-01</w:t>
      </w:r>
      <w:r w:rsidRPr="00125234">
        <w:rPr>
          <w:color w:val="000000"/>
          <w:lang w:val="lt-LT"/>
        </w:rPr>
        <w:t xml:space="preserve"> nuolatinės buveinės, gavusios PMĮ 35 str. 1 dalyje nustatytus apmokestinamus dividendus, taip pat turi mokesčių administratoriui teikti minėtą Dividendų pelno mokesčio deklaracijos FR0640 formą ir jos FR0640G priedą.“</w:t>
      </w:r>
    </w:p>
    <w:p w14:paraId="1670EB4E" w14:textId="77777777" w:rsidR="00DC58CC" w:rsidRPr="00125234" w:rsidRDefault="00DC58CC" w:rsidP="00FF31B5">
      <w:pPr>
        <w:tabs>
          <w:tab w:val="left" w:pos="720"/>
          <w:tab w:val="left" w:pos="1077"/>
          <w:tab w:val="left" w:pos="1418"/>
        </w:tabs>
        <w:ind w:firstLine="720"/>
        <w:jc w:val="both"/>
        <w:rPr>
          <w:rFonts w:cs="Arial Unicode MS"/>
          <w:b/>
          <w:bCs/>
          <w:color w:val="000000"/>
          <w:lang w:val="lt-LT"/>
        </w:rPr>
      </w:pPr>
      <w:bookmarkStart w:id="516" w:name="_Hlk212529317"/>
      <w:r w:rsidRPr="00125234">
        <w:rPr>
          <w:b/>
          <w:iCs/>
        </w:rPr>
        <w:t xml:space="preserve">Iki 2026 metų mokestinio laikotarpio galiojanti </w:t>
      </w:r>
      <w:r w:rsidRPr="00125234">
        <w:rPr>
          <w:b/>
        </w:rPr>
        <w:t>PMĮ 36 straipsnio 4 punkto</w:t>
      </w:r>
      <w:r w:rsidRPr="00125234">
        <w:rPr>
          <w:b/>
          <w:iCs/>
        </w:rPr>
        <w:t xml:space="preserve"> redacija:</w:t>
      </w:r>
      <w:bookmarkEnd w:id="516"/>
    </w:p>
    <w:p w14:paraId="04FFBF5E" w14:textId="77777777" w:rsidR="00FF31B5" w:rsidRPr="00125234" w:rsidRDefault="00FF31B5" w:rsidP="00FF31B5">
      <w:pPr>
        <w:jc w:val="both"/>
        <w:rPr>
          <w:rFonts w:cs="Arial Unicode MS"/>
          <w:bCs/>
          <w:color w:val="000000"/>
          <w:lang w:val="lt-LT"/>
        </w:rPr>
      </w:pPr>
      <w:r w:rsidRPr="00125234">
        <w:rPr>
          <w:color w:val="000000"/>
          <w:lang w:val="lt-LT"/>
        </w:rPr>
        <w:tab/>
      </w:r>
      <w:r w:rsidRPr="00125234">
        <w:rPr>
          <w:rFonts w:cs="Arial Unicode MS"/>
          <w:color w:val="000000"/>
          <w:lang w:val="lt-LT"/>
        </w:rPr>
        <w:t xml:space="preserve">4. Lietuvos vienetams ir užsienio vienetams išmokėtų dividendų bei iš šių vienetų gautų dividendų ir nuo jų išskaičiuoto pelno mokesčio deklaracijos teikiamos </w:t>
      </w:r>
      <w:r w:rsidRPr="00125234">
        <w:rPr>
          <w:rFonts w:cs="Arial Unicode MS"/>
          <w:bCs/>
          <w:color w:val="000000"/>
          <w:lang w:val="lt-LT"/>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taisyklių patvirtinimo“ nustatyta tvarka.</w:t>
      </w:r>
    </w:p>
    <w:p w14:paraId="625D3D2E" w14:textId="77777777" w:rsidR="00FF31B5" w:rsidRPr="00125234" w:rsidRDefault="00FF31B5" w:rsidP="00FF31B5">
      <w:pPr>
        <w:tabs>
          <w:tab w:val="left" w:pos="720"/>
          <w:tab w:val="left" w:pos="1077"/>
          <w:tab w:val="left" w:pos="1418"/>
        </w:tabs>
        <w:ind w:firstLine="720"/>
        <w:jc w:val="both"/>
        <w:rPr>
          <w:rFonts w:cs="Arial Unicode MS"/>
          <w:bCs/>
          <w:color w:val="000000"/>
          <w:lang w:val="lt-LT"/>
        </w:rPr>
      </w:pPr>
      <w:r w:rsidRPr="00125234">
        <w:rPr>
          <w:rFonts w:cs="Arial Unicode MS"/>
          <w:bCs/>
          <w:color w:val="000000"/>
          <w:lang w:val="lt-LT"/>
        </w:rPr>
        <w:t>Nuo 2016 m. spalio 1 d. Lietuvos vienetams ir užsienio vienetams išmokėtų dividendų bei iš šių vienetų gautų dividendų ir nuo jų išskaičiuoto pelno mokesčio deklaracijos teikiamos tik elektroniniu būdu, vadovaujantis Dokumentų teikimo elektroniniu būdu taisyklėmis, patvirtintomis Valstybinės mokesčių inspekcijos prie Lietuvos Respublikos finansų ministerijos viršininko 2010 m. liepos 21 d. įsakymu Nr. VA-83 ,,Dėl Dokumentų teikimo elektroniniu būdu taisyklių patvirtinimo“.</w:t>
      </w:r>
    </w:p>
    <w:p w14:paraId="2E010B38" w14:textId="77777777" w:rsidR="00DC58CC" w:rsidRPr="00125234" w:rsidRDefault="00DC58CC" w:rsidP="00DC58CC">
      <w:pPr>
        <w:ind w:firstLine="720"/>
        <w:jc w:val="both"/>
        <w:rPr>
          <w:color w:val="000000"/>
        </w:rPr>
      </w:pPr>
      <w:r w:rsidRPr="00125234">
        <w:rPr>
          <w:b/>
          <w:iCs/>
        </w:rPr>
        <w:t xml:space="preserve">Nuo 2026 metų mokestinio laikotarpio galiojanti </w:t>
      </w:r>
      <w:r w:rsidRPr="00125234">
        <w:rPr>
          <w:b/>
        </w:rPr>
        <w:t>PMĮ 36 straipsnio 4 punkto</w:t>
      </w:r>
      <w:r w:rsidRPr="00125234">
        <w:rPr>
          <w:b/>
          <w:iCs/>
        </w:rPr>
        <w:t xml:space="preserve"> redacija:</w:t>
      </w:r>
    </w:p>
    <w:p w14:paraId="79182055" w14:textId="77777777" w:rsidR="00DC58CC" w:rsidRPr="00125234" w:rsidRDefault="00DC58CC" w:rsidP="00DC58CC">
      <w:pPr>
        <w:ind w:firstLine="720"/>
        <w:jc w:val="both"/>
        <w:rPr>
          <w:bCs/>
          <w:color w:val="000000"/>
        </w:rPr>
      </w:pPr>
      <w:r w:rsidRPr="00125234">
        <w:rPr>
          <w:color w:val="000000"/>
        </w:rPr>
        <w:t xml:space="preserve">4. Lietuvos vienetams ir užsienio vienetams išmokėtų dividendų bei iš šių vienetų gautų dividendų ir nuo jų išskaičiuoto pelno mokesčio deklaracijos teikiamos </w:t>
      </w:r>
      <w:r w:rsidRPr="00125234">
        <w:rPr>
          <w:bCs/>
          <w:color w:val="000000"/>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jų pateikimo termino pratęsimo ir mokesčių mokėtojų laikino atleidimo nuo mokesčių deklaracijų ir (arba) kitų teisės aktuose nurodytų dokumentų pateikimo taisyklių patvirtinimo“ nustatyta tvarka.</w:t>
      </w:r>
    </w:p>
    <w:p w14:paraId="2D9D578A" w14:textId="77777777" w:rsidR="00DC58CC" w:rsidRPr="00125234" w:rsidRDefault="00DC58CC" w:rsidP="00DC58CC">
      <w:pPr>
        <w:tabs>
          <w:tab w:val="left" w:pos="720"/>
          <w:tab w:val="left" w:pos="1077"/>
          <w:tab w:val="left" w:pos="1418"/>
        </w:tabs>
        <w:ind w:firstLine="720"/>
        <w:jc w:val="both"/>
        <w:rPr>
          <w:bCs/>
          <w:color w:val="000000"/>
        </w:rPr>
      </w:pPr>
      <w:r w:rsidRPr="00125234">
        <w:rPr>
          <w:bCs/>
          <w:color w:val="000000"/>
        </w:rPr>
        <w:t>Deklaracija elektroniniu būdu teikiama per Valstybinės mokesčių inspekcijos prie Lietuvos Respublikos finansų ministerijos elektroninio deklaravimo sistemą (http://deklaravimas.vmi.lt), vadovaujantis Valstybinės mokesčių inspekcijos Elektroninio deklaravimo informacinės sistemos naudojimo taisyklėmis, patvirtintomis Valstybinės mokesčių inspekcijos prie Lietuvos Respublikos finansų ministerijos viršininko 2021 m. spalio 26 d. įsakymu Nr. VA-72 „Dėl Valstybinės mokesčių inspekcijos elektroninio deklaravimo informacinės sistemos naudojimo taisyklių patvirtinimo“.</w:t>
      </w:r>
    </w:p>
    <w:p w14:paraId="083409F3" w14:textId="77777777" w:rsidR="00DC58CC" w:rsidRPr="00125234" w:rsidRDefault="00DC58CC" w:rsidP="00DC58CC">
      <w:pPr>
        <w:tabs>
          <w:tab w:val="left" w:pos="720"/>
          <w:tab w:val="left" w:pos="1077"/>
          <w:tab w:val="left" w:pos="1418"/>
        </w:tabs>
        <w:ind w:right="-5"/>
        <w:jc w:val="both"/>
        <w:rPr>
          <w:iCs/>
        </w:rPr>
      </w:pPr>
      <w:bookmarkStart w:id="517" w:name="_Hlk212529420"/>
      <w:bookmarkStart w:id="518" w:name="_Hlk212529265"/>
      <w:r w:rsidRPr="00125234">
        <w:t xml:space="preserve">(Pakeista pagal VMI prie FM 2025-10-24 raštą Nr. (18.10-31-1 Mr) R-3976)   </w:t>
      </w:r>
      <w:bookmarkEnd w:id="517"/>
      <w:r w:rsidRPr="00125234">
        <w:t xml:space="preserve">           </w:t>
      </w:r>
      <w:bookmarkEnd w:id="518"/>
    </w:p>
    <w:p w14:paraId="4F6E6753" w14:textId="77777777" w:rsidR="00FF31B5" w:rsidRPr="00125234" w:rsidRDefault="00FF31B5" w:rsidP="00FF31B5">
      <w:pPr>
        <w:ind w:firstLine="709"/>
        <w:jc w:val="both"/>
        <w:rPr>
          <w:lang w:val="lt-LT"/>
        </w:rPr>
      </w:pPr>
      <w:r w:rsidRPr="00125234">
        <w:rPr>
          <w:lang w:val="lt-LT"/>
        </w:rPr>
        <w:t xml:space="preserve">5. Apskaičiuojant ir deklaruojant pelno mokestį </w:t>
      </w:r>
      <w:r w:rsidRPr="00125234">
        <w:rPr>
          <w:u w:val="single"/>
          <w:lang w:val="lt-LT"/>
        </w:rPr>
        <w:t>nuo 2017 m. sausio 1 d.</w:t>
      </w:r>
      <w:r w:rsidRPr="00125234">
        <w:rPr>
          <w:lang w:val="lt-LT"/>
        </w:rPr>
        <w:t xml:space="preserve">, Lietuvos vienetai, kitiems Lietuvos ir / ar užsienio vienetams ir / ar nuolatinei buveinei išmokėję apmokestinamus dividendus ir juos gavę iš užsienio vienetų, taip pat nuolatinės buveinės, iš užsienio vienetų gavusios apmokestinamus dividendus už joms priskirtas užsienio vienetų akcijas, kapitalo dalis ar kitų teisių turėjimą, deklaracijos 02 versijos FR0640 formą mokesčių administratoriui privalo pateikti ne vėliau kaip iki mėnesio, einančio po to mėnesio, kurį buvo išmokėti ir / arba gauti dividendai, </w:t>
      </w:r>
      <w:r w:rsidRPr="00125234">
        <w:rPr>
          <w:u w:val="single"/>
          <w:lang w:val="lt-LT"/>
        </w:rPr>
        <w:t>15 dienos.</w:t>
      </w:r>
    </w:p>
    <w:p w14:paraId="597EAFE5" w14:textId="77777777" w:rsidR="00FF31B5" w:rsidRDefault="00FF31B5" w:rsidP="00FF31B5">
      <w:pPr>
        <w:jc w:val="both"/>
        <w:rPr>
          <w:color w:val="000000"/>
          <w:lang w:val="lt-LT"/>
        </w:rPr>
      </w:pPr>
      <w:r w:rsidRPr="00125234">
        <w:t>(Pakeista VMI prie FM 2017-11-14 raštu Nr. (32.42-31-1E)-RM-34608)</w:t>
      </w:r>
      <w:r>
        <w:t xml:space="preserve"> </w:t>
      </w:r>
    </w:p>
    <w:p w14:paraId="6C2ECEBD" w14:textId="77777777" w:rsidR="00093845" w:rsidRDefault="00093845">
      <w:pPr>
        <w:jc w:val="both"/>
        <w:rPr>
          <w:lang w:val="lt-LT"/>
        </w:rPr>
      </w:pPr>
    </w:p>
    <w:p w14:paraId="5ABE0DBD" w14:textId="77777777" w:rsidR="00093845" w:rsidRDefault="000D779E">
      <w:pPr>
        <w:jc w:val="center"/>
        <w:rPr>
          <w:b/>
          <w:lang w:val="lt-LT"/>
        </w:rPr>
      </w:pPr>
      <w:r>
        <w:rPr>
          <w:b/>
          <w:lang w:val="lt-LT"/>
        </w:rPr>
        <w:t>VIII SKYRIUS</w:t>
      </w:r>
    </w:p>
    <w:p w14:paraId="4821E6D9" w14:textId="77777777" w:rsidR="00093845" w:rsidRDefault="00093845">
      <w:pPr>
        <w:pStyle w:val="Antrat1"/>
        <w:keepNext w:val="0"/>
        <w:tabs>
          <w:tab w:val="left" w:pos="720"/>
          <w:tab w:val="left" w:pos="1080"/>
        </w:tabs>
        <w:rPr>
          <w:rFonts w:ascii="Times New Roman" w:hAnsi="Times New Roman" w:cs="Times New Roman"/>
          <w:lang w:val="lt-LT"/>
        </w:rPr>
      </w:pPr>
    </w:p>
    <w:p w14:paraId="57A1EED8" w14:textId="77777777" w:rsidR="00093845" w:rsidRDefault="000D779E">
      <w:pPr>
        <w:jc w:val="center"/>
        <w:rPr>
          <w:b/>
          <w:lang w:val="lt-LT"/>
        </w:rPr>
      </w:pPr>
      <w:r>
        <w:rPr>
          <w:b/>
          <w:lang w:val="lt-LT"/>
        </w:rPr>
        <w:lastRenderedPageBreak/>
        <w:t>SPECIALIOS PAJAMŲ APMOKESTINIMO SĄLYGOS</w:t>
      </w:r>
    </w:p>
    <w:p w14:paraId="7A54B067" w14:textId="77777777" w:rsidR="00093845" w:rsidRDefault="00093845">
      <w:pPr>
        <w:tabs>
          <w:tab w:val="left" w:pos="720"/>
          <w:tab w:val="left" w:pos="1077"/>
          <w:tab w:val="left" w:pos="1418"/>
        </w:tabs>
        <w:ind w:firstLine="720"/>
        <w:jc w:val="both"/>
        <w:rPr>
          <w:strike/>
          <w:lang w:val="lt-LT"/>
        </w:rPr>
      </w:pPr>
    </w:p>
    <w:p w14:paraId="1E005AC1" w14:textId="77777777" w:rsidR="00093845" w:rsidRDefault="000D779E">
      <w:pPr>
        <w:pStyle w:val="Antrat1"/>
        <w:jc w:val="left"/>
        <w:rPr>
          <w:rFonts w:ascii="Times New Roman" w:hAnsi="Times New Roman" w:cs="Times New Roman"/>
          <w:lang w:val="lt-LT"/>
        </w:rPr>
      </w:pPr>
      <w:bookmarkStart w:id="519" w:name="_*_37_STRAIPSNIS."/>
      <w:bookmarkEnd w:id="519"/>
      <w:r>
        <w:rPr>
          <w:rFonts w:ascii="Times New Roman" w:hAnsi="Times New Roman" w:cs="Times New Roman"/>
          <w:lang w:val="lt-LT"/>
        </w:rPr>
        <w:t xml:space="preserve">          37 STRAIPSNIS. Užsienio vieneto apmokestinimas</w:t>
      </w:r>
    </w:p>
    <w:p w14:paraId="0EA650FE" w14:textId="77777777" w:rsidR="00093845" w:rsidRDefault="000D779E">
      <w:pPr>
        <w:ind w:firstLine="720"/>
        <w:jc w:val="both"/>
        <w:rPr>
          <w:b/>
          <w:bCs/>
          <w:lang w:val="lt-LT"/>
        </w:rPr>
      </w:pPr>
      <w:r>
        <w:rPr>
          <w:b/>
          <w:bCs/>
          <w:lang w:val="lt-LT"/>
        </w:rPr>
        <w:t>Pelno mokestį prie pajamų šaltinio nuo 4 straipsnio 4 dalyje nurodytų pajamų (sumų), išskyrus šio Įstatymo 37</w:t>
      </w:r>
      <w:r>
        <w:rPr>
          <w:b/>
          <w:bCs/>
          <w:vertAlign w:val="superscript"/>
          <w:lang w:val="lt-LT"/>
        </w:rPr>
        <w:t>(1)</w:t>
      </w:r>
      <w:r>
        <w:rPr>
          <w:b/>
          <w:bCs/>
          <w:lang w:val="lt-LT"/>
        </w:rPr>
        <w:t xml:space="preserve"> straipsnyje nustatytą atvejį, išskaičiuoja ir sumoka į biudžetą išmokas išmokėjęs asmuo – Lietuvos vienetas, nuolatinė buveinė arba nuolatinis Lietuvos gyventojas. Šiuo atveju užsienio vieneto pajamos pripažįstamos taikant šio Įstatymo 8 straipsnio 1 dalyje nustatytą principą.</w:t>
      </w:r>
    </w:p>
    <w:p w14:paraId="1D7DE090" w14:textId="77777777" w:rsidR="00093845" w:rsidRPr="005E1525" w:rsidRDefault="000D779E">
      <w:pPr>
        <w:jc w:val="both"/>
        <w:rPr>
          <w:bCs/>
          <w:i/>
          <w:iCs/>
          <w:lang w:val="lt-LT"/>
        </w:rPr>
      </w:pPr>
      <w:r w:rsidRPr="005E1525">
        <w:rPr>
          <w:bCs/>
          <w:i/>
          <w:iCs/>
          <w:lang w:val="lt-LT"/>
        </w:rPr>
        <w:t>(</w:t>
      </w:r>
      <w:r w:rsidRPr="005E1525">
        <w:rPr>
          <w:rStyle w:val="statymonr"/>
          <w:bCs/>
          <w:i/>
          <w:iCs/>
          <w:lang w:val="lt-LT"/>
        </w:rPr>
        <w:t>Ši s</w:t>
      </w:r>
      <w:r w:rsidRPr="005E1525">
        <w:rPr>
          <w:bCs/>
          <w:i/>
          <w:iCs/>
          <w:lang w:val="lt-LT"/>
        </w:rPr>
        <w:t xml:space="preserve">traipsnio redakcija praėjus šešeriems kalendoriniams metams nuo 2003 m. birželio 3 d. Tarybos direktyvos 2003/48/EB dėl palūkanų, gautų iš taupymo pajamų, apmokestinimo taikymo pradžios. Pagal </w:t>
      </w:r>
      <w:r w:rsidRPr="005E1525">
        <w:rPr>
          <w:rStyle w:val="datametai"/>
          <w:bCs/>
          <w:i/>
          <w:iCs/>
          <w:lang w:val="lt-LT"/>
        </w:rPr>
        <w:t>2004</w:t>
      </w:r>
      <w:r w:rsidRPr="005E1525">
        <w:rPr>
          <w:bCs/>
          <w:i/>
          <w:iCs/>
          <w:lang w:val="lt-LT"/>
        </w:rPr>
        <w:t xml:space="preserve"> m. </w:t>
      </w:r>
      <w:r w:rsidRPr="005E1525">
        <w:rPr>
          <w:rStyle w:val="datamnuo"/>
          <w:bCs/>
          <w:i/>
          <w:iCs/>
          <w:lang w:val="lt-LT"/>
        </w:rPr>
        <w:t xml:space="preserve">balandžio </w:t>
      </w:r>
      <w:r w:rsidRPr="005E1525">
        <w:rPr>
          <w:rStyle w:val="datadiena"/>
          <w:bCs/>
          <w:i/>
          <w:iCs/>
          <w:lang w:val="lt-LT"/>
        </w:rPr>
        <w:t>29</w:t>
      </w:r>
      <w:r w:rsidRPr="005E1525">
        <w:rPr>
          <w:bCs/>
          <w:i/>
          <w:iCs/>
          <w:lang w:val="lt-LT"/>
        </w:rPr>
        <w:t xml:space="preserve"> d. įstatymo Nr. </w:t>
      </w:r>
      <w:r w:rsidRPr="005E1525">
        <w:rPr>
          <w:rStyle w:val="statymonr"/>
          <w:bCs/>
          <w:i/>
          <w:iCs/>
          <w:lang w:val="lt-LT"/>
        </w:rPr>
        <w:t>IX-2201 redakciją</w:t>
      </w:r>
      <w:r w:rsidRPr="005E1525">
        <w:rPr>
          <w:bCs/>
          <w:i/>
          <w:iCs/>
          <w:lang w:val="lt-LT"/>
        </w:rPr>
        <w:t>)</w:t>
      </w:r>
    </w:p>
    <w:p w14:paraId="011CC850" w14:textId="77777777" w:rsidR="00093845" w:rsidRDefault="000D779E">
      <w:pPr>
        <w:pStyle w:val="Paprastasistekstas"/>
        <w:jc w:val="both"/>
        <w:rPr>
          <w:rFonts w:ascii="Times New Roman" w:hAnsi="Times New Roman" w:cs="Times New Roman"/>
          <w:lang w:val="lt-LT"/>
        </w:rPr>
      </w:pPr>
      <w:r>
        <w:rPr>
          <w:rFonts w:ascii="Times New Roman" w:hAnsi="Times New Roman" w:cs="Times New Roman"/>
          <w:b/>
          <w:bCs/>
          <w:lang w:val="lt-LT"/>
        </w:rPr>
        <w:t xml:space="preserve">Pastaba: </w:t>
      </w:r>
      <w:r>
        <w:rPr>
          <w:rFonts w:ascii="Times New Roman" w:hAnsi="Times New Roman" w:cs="Times New Roman"/>
          <w:bCs/>
          <w:lang w:val="lt-LT"/>
        </w:rPr>
        <w:t xml:space="preserve">valstybės narės taiko ES Tarybos direktyvos </w:t>
      </w:r>
      <w:r w:rsidR="00766D22" w:rsidRPr="003F429C">
        <w:rPr>
          <w:rStyle w:val="Hipersaitas"/>
          <w:rFonts w:ascii="Times New Roman" w:hAnsi="Times New Roman" w:cs="Times New Roman"/>
          <w:b w:val="0"/>
          <w:kern w:val="0"/>
          <w:lang w:val="lt-LT"/>
        </w:rPr>
        <w:t>2003/48/EB</w:t>
      </w:r>
      <w:r w:rsidRPr="003F429C">
        <w:rPr>
          <w:rFonts w:ascii="Times New Roman" w:hAnsi="Times New Roman" w:cs="Times New Roman"/>
          <w:bCs/>
          <w:lang w:val="lt-LT"/>
        </w:rPr>
        <w:t xml:space="preserve"> </w:t>
      </w:r>
      <w:r>
        <w:rPr>
          <w:rFonts w:ascii="Times New Roman" w:hAnsi="Times New Roman" w:cs="Times New Roman"/>
          <w:bCs/>
          <w:lang w:val="lt-LT"/>
        </w:rPr>
        <w:t>nuostatas nuo 2005 m. sausio 1 d. (yra sąlygos)</w:t>
      </w:r>
    </w:p>
    <w:p w14:paraId="483D49ED" w14:textId="77777777" w:rsidR="00093845" w:rsidRDefault="000D779E">
      <w:pPr>
        <w:pStyle w:val="Paprastasistekstas"/>
        <w:spacing w:before="0" w:beforeAutospacing="0" w:after="0" w:afterAutospacing="0"/>
        <w:jc w:val="both"/>
        <w:rPr>
          <w:rFonts w:ascii="Times New Roman" w:hAnsi="Times New Roman" w:cs="Times New Roman"/>
          <w:bCs/>
          <w:lang w:val="lt-LT"/>
        </w:rPr>
      </w:pPr>
      <w:r>
        <w:rPr>
          <w:rFonts w:ascii="Times New Roman" w:hAnsi="Times New Roman" w:cs="Times New Roman"/>
          <w:bCs/>
          <w:lang w:val="lt-LT"/>
        </w:rPr>
        <w:t xml:space="preserve">Lietuvai direktyvos </w:t>
      </w:r>
      <w:hyperlink r:id="rId106" w:tooltip="http://www3.lrs.lt/c-bin/eu/preps2?Condition1=44379&amp;Condition2=" w:history="1">
        <w:r>
          <w:rPr>
            <w:rStyle w:val="Hipersaitas"/>
            <w:rFonts w:ascii="Times New Roman" w:hAnsi="Times New Roman" w:cs="Times New Roman"/>
            <w:b w:val="0"/>
            <w:bCs w:val="0"/>
            <w:kern w:val="0"/>
            <w:u w:val="single"/>
            <w:lang w:val="lt-LT"/>
          </w:rPr>
          <w:t>2003/48/EB</w:t>
        </w:r>
      </w:hyperlink>
      <w:r>
        <w:rPr>
          <w:rFonts w:ascii="Times New Roman" w:hAnsi="Times New Roman" w:cs="Times New Roman"/>
          <w:bCs/>
          <w:lang w:val="lt-LT"/>
        </w:rPr>
        <w:t xml:space="preserve"> nuostatos taikomos nuo 2005 m. liepos 1 d.</w:t>
      </w:r>
    </w:p>
    <w:p w14:paraId="7249F106" w14:textId="77777777" w:rsidR="00093845" w:rsidRDefault="00093845">
      <w:pPr>
        <w:pStyle w:val="Paprastasistekstas"/>
        <w:spacing w:before="0" w:beforeAutospacing="0" w:after="0" w:afterAutospacing="0"/>
        <w:jc w:val="both"/>
        <w:rPr>
          <w:rFonts w:ascii="Times New Roman" w:hAnsi="Times New Roman" w:cs="Times New Roman"/>
          <w:bCs/>
          <w:lang w:val="lt-LT"/>
        </w:rPr>
      </w:pPr>
    </w:p>
    <w:p w14:paraId="19B05603" w14:textId="77777777" w:rsidR="001E0C26" w:rsidRDefault="00EC07A8" w:rsidP="001E0C26">
      <w:pPr>
        <w:pStyle w:val="Antrat1"/>
        <w:tabs>
          <w:tab w:val="left" w:pos="709"/>
        </w:tabs>
        <w:ind w:left="284"/>
        <w:jc w:val="both"/>
        <w:rPr>
          <w:rFonts w:ascii="Times New Roman" w:hAnsi="Times New Roman"/>
        </w:rPr>
      </w:pPr>
      <w:bookmarkStart w:id="520" w:name="_371_STRAIPSNIS._Pajamų"/>
      <w:bookmarkStart w:id="521" w:name="straipsnis37_1p_2"/>
      <w:bookmarkEnd w:id="520"/>
      <w:r>
        <w:rPr>
          <w:rFonts w:ascii="Times New Roman" w:hAnsi="Times New Roman" w:cs="Times New Roman"/>
          <w:b w:val="0"/>
          <w:bCs w:val="0"/>
          <w:color w:val="000000"/>
          <w:lang w:val="lt-LT"/>
        </w:rPr>
        <w:t xml:space="preserve">  </w:t>
      </w:r>
      <w:r w:rsidR="000D779E">
        <w:rPr>
          <w:rFonts w:ascii="Times New Roman" w:hAnsi="Times New Roman" w:cs="Times New Roman"/>
          <w:b w:val="0"/>
          <w:bCs w:val="0"/>
          <w:color w:val="000000"/>
          <w:lang w:val="lt-LT"/>
        </w:rPr>
        <w:t xml:space="preserve">  </w:t>
      </w:r>
      <w:r>
        <w:rPr>
          <w:rFonts w:ascii="Times New Roman" w:hAnsi="Times New Roman" w:cs="Times New Roman"/>
          <w:bCs w:val="0"/>
          <w:color w:val="000000"/>
          <w:lang w:val="lt-LT"/>
        </w:rPr>
        <w:t>37</w:t>
      </w:r>
      <w:r>
        <w:rPr>
          <w:rFonts w:ascii="Times New Roman" w:hAnsi="Times New Roman" w:cs="Times New Roman"/>
          <w:bCs w:val="0"/>
          <w:color w:val="000000"/>
          <w:vertAlign w:val="superscript"/>
          <w:lang w:val="lt-LT"/>
        </w:rPr>
        <w:t>1</w:t>
      </w:r>
      <w:r w:rsidR="000D779E" w:rsidRPr="00EC07A8">
        <w:rPr>
          <w:rFonts w:ascii="Times New Roman" w:hAnsi="Times New Roman" w:cs="Times New Roman"/>
          <w:bCs w:val="0"/>
          <w:color w:val="000000"/>
          <w:lang w:val="lt-LT"/>
        </w:rPr>
        <w:t xml:space="preserve"> </w:t>
      </w:r>
      <w:r w:rsidR="000D779E" w:rsidRPr="00EC07A8">
        <w:rPr>
          <w:rFonts w:ascii="Times New Roman" w:hAnsi="Times New Roman" w:cs="Times New Roman"/>
          <w:lang w:val="lt-LT"/>
        </w:rPr>
        <w:t>STRAIPSNIS.</w:t>
      </w:r>
      <w:r w:rsidR="000D779E" w:rsidRPr="00EC07A8">
        <w:rPr>
          <w:rFonts w:ascii="Times New Roman" w:hAnsi="Times New Roman" w:cs="Times New Roman"/>
          <w:bCs w:val="0"/>
          <w:color w:val="000000"/>
          <w:lang w:val="lt-LT"/>
        </w:rPr>
        <w:t xml:space="preserve"> </w:t>
      </w:r>
      <w:bookmarkEnd w:id="521"/>
      <w:r w:rsidR="001E0C26">
        <w:rPr>
          <w:rFonts w:ascii="Times New Roman" w:hAnsi="Times New Roman"/>
          <w:color w:val="000000"/>
        </w:rPr>
        <w:t>Pajamų (sumų), išmokamų užsienio vienetui ar jo nuolatinei buveinei, neapmokestinimo prie pajamų šaltinio kriterijai ir reikalavimai</w:t>
      </w:r>
      <w:r w:rsidR="001E0C26">
        <w:rPr>
          <w:rFonts w:ascii="Times New Roman" w:hAnsi="Times New Roman"/>
        </w:rPr>
        <w:t xml:space="preserve"> </w:t>
      </w:r>
    </w:p>
    <w:p w14:paraId="1CE07B0C" w14:textId="77777777" w:rsidR="001E0C26" w:rsidRPr="00423AFF" w:rsidRDefault="001E0C26" w:rsidP="001E0C26">
      <w:pPr>
        <w:pStyle w:val="Antrat1"/>
        <w:tabs>
          <w:tab w:val="left" w:pos="709"/>
        </w:tabs>
        <w:ind w:left="284"/>
        <w:jc w:val="both"/>
        <w:rPr>
          <w:rFonts w:ascii="Times New Roman" w:hAnsi="Times New Roman"/>
          <w:b w:val="0"/>
          <w:i/>
        </w:rPr>
      </w:pPr>
      <w:r w:rsidRPr="00423AFF">
        <w:rPr>
          <w:rFonts w:ascii="Times New Roman" w:hAnsi="Times New Roman"/>
          <w:b w:val="0"/>
          <w:i/>
        </w:rPr>
        <w:t>KEISTA: 2004 04 29 įstatymu Nr. IX-2201 (nuo 2011 07 01 – remiantis 2005 12 20 įstatymu Nr. X-456 (Žin., 2005, Nr. 153-5635))</w:t>
      </w:r>
    </w:p>
    <w:p w14:paraId="6ADD398C" w14:textId="77777777" w:rsidR="001E0C26" w:rsidRDefault="001E0C26" w:rsidP="001E0C26">
      <w:pPr>
        <w:pStyle w:val="Pagrindinistekstas"/>
        <w:tabs>
          <w:tab w:val="left" w:pos="709"/>
          <w:tab w:val="left" w:pos="1073"/>
        </w:tabs>
        <w:ind w:left="284" w:hanging="1721"/>
        <w:rPr>
          <w:b/>
          <w:bCs/>
        </w:rPr>
      </w:pPr>
      <w:r>
        <w:tab/>
      </w:r>
      <w:r>
        <w:tab/>
      </w:r>
      <w:r w:rsidRPr="00D834B7">
        <w:rPr>
          <w:b/>
          <w:bCs/>
        </w:rPr>
        <w:t xml:space="preserve">1. Lietuvos vieneto arba užsienio vieneto Europos Sąjungos valstybėje narėje nuolatinės buveinės išmokamos Įstatymo 4 straipsnio 4 dalies 3 ir 5 punktuose nurodytos sumos neapmokestinamos </w:t>
      </w:r>
      <w:bookmarkStart w:id="522" w:name="11z"/>
      <w:bookmarkEnd w:id="522"/>
      <w:r w:rsidRPr="00D834B7">
        <w:rPr>
          <w:b/>
          <w:bCs/>
          <w:color w:val="000000"/>
        </w:rPr>
        <w:t>pelno</w:t>
      </w:r>
      <w:r w:rsidRPr="00D834B7">
        <w:rPr>
          <w:b/>
          <w:bCs/>
        </w:rPr>
        <w:t xml:space="preserve"> mokesčiu prie pajamų šaltinio, kai išmokėtų sumų gavėjas (faktiškasis savininkas) yra užsienio vienetas – tik Europos Sąjungos valstybės narės rezidentas mokesčių tikslais (toliau – ES valstybės narės vienetas) arba šio ES valstybės narės vieneto nuolatinė buveinė yra kitoje Europos Sąjungos valstybėje narėje.</w:t>
      </w:r>
    </w:p>
    <w:p w14:paraId="43F5A6EC" w14:textId="77777777" w:rsidR="001E0C26" w:rsidRDefault="001E0C26" w:rsidP="001E0C26">
      <w:pPr>
        <w:pStyle w:val="Pagrindinistekstas"/>
        <w:tabs>
          <w:tab w:val="left" w:pos="709"/>
        </w:tabs>
        <w:spacing w:after="0"/>
        <w:ind w:left="284" w:hanging="1721"/>
        <w:rPr>
          <w:b/>
          <w:bCs/>
        </w:rPr>
      </w:pPr>
      <w:r>
        <w:rPr>
          <w:b/>
          <w:bCs/>
        </w:rPr>
        <w:t>K</w:t>
      </w:r>
      <w:r>
        <w:rPr>
          <w:b/>
          <w:bCs/>
        </w:rPr>
        <w:tab/>
      </w:r>
      <w:r>
        <w:rPr>
          <w:b/>
          <w:bCs/>
        </w:rPr>
        <w:tab/>
        <w:t>Komentaras</w:t>
      </w:r>
    </w:p>
    <w:p w14:paraId="42117756" w14:textId="77777777" w:rsidR="001E0C26" w:rsidRPr="00DE47F6" w:rsidRDefault="001E0C26" w:rsidP="001E0C26">
      <w:pPr>
        <w:pStyle w:val="Pagrindinistekstas"/>
        <w:tabs>
          <w:tab w:val="left" w:pos="709"/>
        </w:tabs>
        <w:spacing w:after="0"/>
        <w:ind w:left="284" w:firstLine="283"/>
        <w:rPr>
          <w:bCs/>
        </w:rPr>
      </w:pPr>
      <w:r w:rsidRPr="00D834B7">
        <w:rPr>
          <w:bCs/>
        </w:rPr>
        <w:t xml:space="preserve">1. </w:t>
      </w:r>
      <w:r>
        <w:rPr>
          <w:bCs/>
        </w:rPr>
        <w:t xml:space="preserve">Komentuojamoji dalis nustato, kad  </w:t>
      </w:r>
      <w:r w:rsidRPr="00D834B7">
        <w:rPr>
          <w:bCs/>
        </w:rPr>
        <w:t>Lietuvos vieneto arba Europos Sąjungos</w:t>
      </w:r>
      <w:r>
        <w:rPr>
          <w:bCs/>
        </w:rPr>
        <w:t xml:space="preserve"> </w:t>
      </w:r>
      <w:r w:rsidRPr="00D834B7">
        <w:rPr>
          <w:bCs/>
        </w:rPr>
        <w:t>valstybė</w:t>
      </w:r>
      <w:r>
        <w:rPr>
          <w:bCs/>
        </w:rPr>
        <w:t>s</w:t>
      </w:r>
      <w:r w:rsidRPr="00D834B7">
        <w:rPr>
          <w:bCs/>
        </w:rPr>
        <w:t xml:space="preserve">  </w:t>
      </w:r>
      <w:r>
        <w:rPr>
          <w:bCs/>
        </w:rPr>
        <w:t xml:space="preserve">narės </w:t>
      </w:r>
      <w:r w:rsidRPr="00D834B7">
        <w:rPr>
          <w:bCs/>
        </w:rPr>
        <w:t xml:space="preserve">vieneto </w:t>
      </w:r>
      <w:r>
        <w:rPr>
          <w:bCs/>
        </w:rPr>
        <w:t xml:space="preserve">Lietuvoje įsteigtos </w:t>
      </w:r>
      <w:r w:rsidRPr="00D834B7">
        <w:rPr>
          <w:bCs/>
        </w:rPr>
        <w:t xml:space="preserve">nuolatinės buveinės išmokamos </w:t>
      </w:r>
      <w:r>
        <w:rPr>
          <w:bCs/>
        </w:rPr>
        <w:t>PMĮ</w:t>
      </w:r>
      <w:r w:rsidRPr="00D834B7">
        <w:rPr>
          <w:bCs/>
        </w:rPr>
        <w:t xml:space="preserve"> 4 straipsnio 4 dalies 3 ir 5 punktuose nurodytos sumos neapmokestinamos pelno mokesčiu prie pajamų šaltinio, kai išmokėtų sumų gavėjas (faktiškasis savininkas) yra užsienio vienetas </w:t>
      </w:r>
      <w:r>
        <w:rPr>
          <w:bCs/>
        </w:rPr>
        <w:t>-</w:t>
      </w:r>
      <w:r w:rsidRPr="00D834B7">
        <w:rPr>
          <w:bCs/>
        </w:rPr>
        <w:t xml:space="preserve"> tik Europos Sąjungos valstybės narės rezidentas mokesčių tikslais (toliau </w:t>
      </w:r>
      <w:r>
        <w:rPr>
          <w:bCs/>
        </w:rPr>
        <w:t>-</w:t>
      </w:r>
      <w:r w:rsidRPr="00D834B7">
        <w:rPr>
          <w:bCs/>
        </w:rPr>
        <w:t xml:space="preserve"> ES valstybės narės vienetas) arba šio ES valstybės narės vieneto nuolatinė buveinė</w:t>
      </w:r>
      <w:r>
        <w:rPr>
          <w:bCs/>
        </w:rPr>
        <w:t>, įsteigta</w:t>
      </w:r>
      <w:r w:rsidRPr="00D834B7">
        <w:rPr>
          <w:bCs/>
        </w:rPr>
        <w:t xml:space="preserve"> kitoje Europos Sąjungos valstybėje </w:t>
      </w:r>
      <w:r w:rsidRPr="00DE47F6">
        <w:rPr>
          <w:bCs/>
        </w:rPr>
        <w:t>narėje (žr. PMĮ 37(1) straipsnio 2 dalies komentarą).</w:t>
      </w:r>
    </w:p>
    <w:p w14:paraId="331C02A6" w14:textId="77777777" w:rsidR="001E0C26" w:rsidRDefault="001E0C26" w:rsidP="001E0C26">
      <w:pPr>
        <w:pStyle w:val="Pagrindinistekstas"/>
        <w:tabs>
          <w:tab w:val="left" w:pos="709"/>
        </w:tabs>
        <w:ind w:left="284" w:firstLine="283"/>
        <w:rPr>
          <w:bCs/>
        </w:rPr>
      </w:pPr>
      <w:r>
        <w:rPr>
          <w:bCs/>
        </w:rPr>
        <w:t xml:space="preserve">2. Neapmokestinamos pelno mokesčiu prie pajamų šaltinio sumos apima </w:t>
      </w:r>
      <w:r w:rsidRPr="002641E3">
        <w:rPr>
          <w:bCs/>
        </w:rPr>
        <w:t>PMĮ 4 stra</w:t>
      </w:r>
      <w:r>
        <w:rPr>
          <w:bCs/>
        </w:rPr>
        <w:t>ipsnio 4 dalies 3 ir 5 punktuose nurodytas išmokas:</w:t>
      </w:r>
    </w:p>
    <w:p w14:paraId="549E5D11" w14:textId="77777777" w:rsidR="001E0C26" w:rsidRPr="00166736" w:rsidRDefault="001E0C26" w:rsidP="001E0C26">
      <w:pPr>
        <w:pStyle w:val="Pagrindinistekstas"/>
        <w:tabs>
          <w:tab w:val="left" w:pos="709"/>
        </w:tabs>
        <w:spacing w:after="0"/>
        <w:ind w:left="284" w:firstLine="284"/>
        <w:rPr>
          <w:bCs/>
        </w:rPr>
      </w:pPr>
      <w:r>
        <w:rPr>
          <w:bCs/>
        </w:rPr>
        <w:t xml:space="preserve">a) </w:t>
      </w:r>
      <w:r w:rsidRPr="002641E3">
        <w:rPr>
          <w:bCs/>
        </w:rPr>
        <w:t>honorar</w:t>
      </w:r>
      <w:r>
        <w:rPr>
          <w:bCs/>
        </w:rPr>
        <w:t>us</w:t>
      </w:r>
      <w:r w:rsidRPr="002641E3">
        <w:rPr>
          <w:bCs/>
        </w:rPr>
        <w:t xml:space="preserve">, įskaitant </w:t>
      </w:r>
      <w:r>
        <w:rPr>
          <w:bCs/>
        </w:rPr>
        <w:t xml:space="preserve">PMĮ 4 straipsnio </w:t>
      </w:r>
      <w:r w:rsidRPr="002641E3">
        <w:rPr>
          <w:bCs/>
        </w:rPr>
        <w:t>5 dalyje nustatytus atvejus</w:t>
      </w:r>
      <w:r>
        <w:rPr>
          <w:bCs/>
        </w:rPr>
        <w:t xml:space="preserve"> (PMĮ </w:t>
      </w:r>
      <w:r w:rsidRPr="002641E3">
        <w:rPr>
          <w:bCs/>
        </w:rPr>
        <w:t>4 straipsnio 4 dalies 3</w:t>
      </w:r>
      <w:r>
        <w:rPr>
          <w:bCs/>
        </w:rPr>
        <w:t xml:space="preserve"> punktas). </w:t>
      </w:r>
      <w:r w:rsidRPr="00166736">
        <w:rPr>
          <w:bCs/>
        </w:rPr>
        <w:t>PMĮ 4 str</w:t>
      </w:r>
      <w:r>
        <w:rPr>
          <w:bCs/>
        </w:rPr>
        <w:t>aipsnio 5 dalis nustato, kad t</w:t>
      </w:r>
      <w:r w:rsidRPr="00166736">
        <w:rPr>
          <w:bCs/>
        </w:rPr>
        <w:t>uo atveju, kai perleidžiama kompiuterio programa, šio straipsnio 4 dalies 3 punkto nuostatos taikomos, jei yra perleidžiamas ne autorių teisėmis apsaugotas daiktas, o kompiuterio programoje yra suteikiamos šios teisės:</w:t>
      </w:r>
    </w:p>
    <w:p w14:paraId="5A6528F2" w14:textId="77777777" w:rsidR="001E0C26" w:rsidRPr="00166736" w:rsidRDefault="001E0C26" w:rsidP="001E0C26">
      <w:pPr>
        <w:pStyle w:val="Pagrindinistekstas"/>
        <w:tabs>
          <w:tab w:val="left" w:pos="709"/>
        </w:tabs>
        <w:spacing w:after="0"/>
        <w:ind w:left="284" w:firstLine="709"/>
        <w:rPr>
          <w:bCs/>
        </w:rPr>
      </w:pPr>
      <w:r w:rsidRPr="00166736">
        <w:rPr>
          <w:bCs/>
        </w:rPr>
        <w:t>1) teisė daryti kompiuterio programos kopijas, turint tikslą jas viešai platinti ar kitaip perduoti nuosavybėn, išnuomoti arba paskolinti, arba</w:t>
      </w:r>
    </w:p>
    <w:p w14:paraId="75E0A899" w14:textId="77777777" w:rsidR="001E0C26" w:rsidRPr="00166736" w:rsidRDefault="001E0C26" w:rsidP="001E0C26">
      <w:pPr>
        <w:pStyle w:val="Pagrindinistekstas"/>
        <w:tabs>
          <w:tab w:val="left" w:pos="709"/>
        </w:tabs>
        <w:spacing w:after="0"/>
        <w:ind w:left="284" w:firstLine="709"/>
        <w:rPr>
          <w:bCs/>
        </w:rPr>
      </w:pPr>
      <w:r w:rsidRPr="00166736">
        <w:rPr>
          <w:bCs/>
        </w:rPr>
        <w:t>2) teisė rengti išvestines kompiuterio programas, kurios remiasi autorių teisėmis apsaugota kompiuterio programa, arba</w:t>
      </w:r>
    </w:p>
    <w:p w14:paraId="46B0E9DF" w14:textId="77777777" w:rsidR="001E0C26" w:rsidRDefault="001E0C26" w:rsidP="001E0C26">
      <w:pPr>
        <w:pStyle w:val="Pagrindinistekstas"/>
        <w:tabs>
          <w:tab w:val="left" w:pos="709"/>
        </w:tabs>
        <w:spacing w:after="0"/>
        <w:ind w:left="284" w:firstLine="709"/>
        <w:rPr>
          <w:bCs/>
        </w:rPr>
      </w:pPr>
      <w:r w:rsidRPr="00166736">
        <w:rPr>
          <w:bCs/>
        </w:rPr>
        <w:lastRenderedPageBreak/>
        <w:t>3) teisė viešai demonstruoti kompiuterio programą</w:t>
      </w:r>
      <w:r>
        <w:rPr>
          <w:bCs/>
        </w:rPr>
        <w:t>;</w:t>
      </w:r>
    </w:p>
    <w:p w14:paraId="0C08E642" w14:textId="77777777" w:rsidR="001E0C26" w:rsidRDefault="001E0C26" w:rsidP="001E0C26">
      <w:pPr>
        <w:pStyle w:val="Pagrindinistekstas"/>
        <w:tabs>
          <w:tab w:val="left" w:pos="709"/>
        </w:tabs>
        <w:spacing w:after="0"/>
        <w:ind w:left="284" w:firstLine="284"/>
        <w:rPr>
          <w:bCs/>
        </w:rPr>
      </w:pPr>
      <w:r>
        <w:rPr>
          <w:bCs/>
        </w:rPr>
        <w:t xml:space="preserve">b) </w:t>
      </w:r>
      <w:r w:rsidRPr="002641E3">
        <w:rPr>
          <w:bCs/>
        </w:rPr>
        <w:t>kompensacijų už autorių arba gretutinių teisių pažeidimą pajamos</w:t>
      </w:r>
      <w:r>
        <w:rPr>
          <w:bCs/>
        </w:rPr>
        <w:t xml:space="preserve"> (</w:t>
      </w:r>
      <w:r w:rsidRPr="002641E3">
        <w:rPr>
          <w:bCs/>
        </w:rPr>
        <w:t xml:space="preserve">PMĮ 4 straipsnio 4 dalies </w:t>
      </w:r>
      <w:r>
        <w:rPr>
          <w:bCs/>
        </w:rPr>
        <w:t>5</w:t>
      </w:r>
      <w:r w:rsidRPr="002641E3">
        <w:rPr>
          <w:bCs/>
        </w:rPr>
        <w:t xml:space="preserve"> punktas</w:t>
      </w:r>
      <w:r>
        <w:rPr>
          <w:bCs/>
        </w:rPr>
        <w:t>).</w:t>
      </w:r>
    </w:p>
    <w:p w14:paraId="4C762813" w14:textId="77777777" w:rsidR="001E0C26" w:rsidRPr="00D834B7" w:rsidRDefault="001E0C26" w:rsidP="001E0C26">
      <w:pPr>
        <w:ind w:firstLine="567"/>
        <w:jc w:val="both"/>
        <w:rPr>
          <w:b/>
          <w:bCs/>
        </w:rPr>
      </w:pPr>
      <w:r>
        <w:rPr>
          <w:b/>
          <w:bCs/>
        </w:rPr>
        <w:t xml:space="preserve">       </w:t>
      </w:r>
      <w:r w:rsidRPr="00D834B7">
        <w:rPr>
          <w:b/>
          <w:bCs/>
        </w:rPr>
        <w:t>2. Pajamų faktiškuoju savininku laikoma:</w:t>
      </w:r>
    </w:p>
    <w:p w14:paraId="6BEC4049" w14:textId="77777777" w:rsidR="001E0C26" w:rsidRPr="00D834B7" w:rsidRDefault="001E0C26" w:rsidP="001E0C26">
      <w:pPr>
        <w:ind w:left="284" w:firstLine="709"/>
        <w:jc w:val="both"/>
        <w:rPr>
          <w:b/>
          <w:bCs/>
        </w:rPr>
      </w:pPr>
      <w:r w:rsidRPr="00D834B7">
        <w:rPr>
          <w:b/>
          <w:bCs/>
        </w:rPr>
        <w:t>1) ES valstybės narės vienetas, turintis verslo organizavimo formą, nurodytą 2003 m. birželio 3 d. Tarybos direktyvos 2003/49/EB dėl bendros apmokestinimo sistemos, taikomos palūkanų ir autorinių atlyginimų mokėjimams tarp skirtingų valstybių narių asocijuotų bendrovių (toliau – Direktyva 2003/49/EB) priede, ir esantis Direktyvos 2003/49/EB 3 straipsnio a dalies iii punkte nustatytų mokesčių mokėtojas, neatleistas nuo šių mokesčių mokėjimo, jeigu jis gauna pajamas savo naudai, o ne kaip kito asmens agentas, patikėtinis, pasirašyti įgaliotas asmuo ir pan.;</w:t>
      </w:r>
    </w:p>
    <w:p w14:paraId="616B1320" w14:textId="77777777" w:rsidR="001E0C26" w:rsidRDefault="001E0C26" w:rsidP="001E0C26">
      <w:pPr>
        <w:ind w:left="284" w:firstLine="720"/>
        <w:jc w:val="both"/>
        <w:rPr>
          <w:b/>
          <w:bCs/>
        </w:rPr>
      </w:pPr>
      <w:r w:rsidRPr="00D834B7">
        <w:rPr>
          <w:b/>
          <w:bCs/>
        </w:rPr>
        <w:t>2) ES valstybės narės vieneto, kuris turi verslo organizavimo formą, nurodytą Direktyvos 2003/49/EB priede, ir yra Direktyvos 2003/49/EB 3 straipsnio a dalies iii punkte nustatytų mokesčių mokėtojas, neatleistas nuo šių mokesčių mokėjimo, nuolatinė buveinė kitoje Europos Sąjungos valstybėje narėje, jeigu suteikimas naudotis ar teisė naudotis, už kuriuos mokamos Įstatymo 4 straipsnio 4 dalies 3 ir 5 punktuose nurodytos sumos, yra faktiškai susiję su šia nuolatine buveine ir Įstatymo 4 straipsnio 4 dalies 3 ir 5 punktuose nurodytos sumos pripažįstamos pajamomis, dėl kurių ji tampa Direktyvos 2003/49/EB 3 straipsnio a dalies iii punkte nustatyto</w:t>
      </w:r>
      <w:bookmarkStart w:id="523" w:name="12z"/>
      <w:bookmarkEnd w:id="523"/>
      <w:r w:rsidRPr="00D834B7">
        <w:rPr>
          <w:b/>
          <w:bCs/>
          <w:color w:val="000000"/>
        </w:rPr>
        <w:t xml:space="preserve"> mokesčio</w:t>
      </w:r>
      <w:r w:rsidRPr="00D834B7">
        <w:rPr>
          <w:b/>
          <w:bCs/>
        </w:rPr>
        <w:t xml:space="preserve"> arba „impot des non-residents/belasting der niet-verblijfhouders“ Belgijos Karalystėje, arba „Impuesto sobre la Renta de no Residentes“ Ispanijos Karalystėje, arba kurio nors kito identiško </w:t>
      </w:r>
      <w:bookmarkStart w:id="524" w:name="13z"/>
      <w:bookmarkEnd w:id="524"/>
      <w:r w:rsidRPr="00D834B7">
        <w:rPr>
          <w:b/>
          <w:bCs/>
          <w:color w:val="000000"/>
        </w:rPr>
        <w:t>mokesčio</w:t>
      </w:r>
      <w:r w:rsidRPr="00D834B7">
        <w:rPr>
          <w:b/>
          <w:bCs/>
        </w:rPr>
        <w:t>, atsiradusio vėliau ar vietoj buvusio, mokėtoja.</w:t>
      </w:r>
    </w:p>
    <w:p w14:paraId="63C98DF6" w14:textId="77777777" w:rsidR="001E0C26" w:rsidRDefault="001E0C26" w:rsidP="001E0C26">
      <w:pPr>
        <w:ind w:left="284" w:firstLine="720"/>
        <w:jc w:val="both"/>
        <w:rPr>
          <w:b/>
          <w:bCs/>
        </w:rPr>
      </w:pPr>
      <w:r>
        <w:rPr>
          <w:b/>
          <w:bCs/>
        </w:rPr>
        <w:t>Komentaras</w:t>
      </w:r>
    </w:p>
    <w:p w14:paraId="46580051" w14:textId="77777777" w:rsidR="001E0C26" w:rsidRPr="00C825F1" w:rsidRDefault="001E0C26" w:rsidP="001E0C26">
      <w:pPr>
        <w:ind w:left="284" w:firstLine="720"/>
        <w:jc w:val="both"/>
        <w:rPr>
          <w:bCs/>
        </w:rPr>
      </w:pPr>
      <w:r w:rsidRPr="00C825F1">
        <w:rPr>
          <w:bCs/>
        </w:rPr>
        <w:t xml:space="preserve">1. </w:t>
      </w:r>
      <w:r w:rsidRPr="00B75FBD">
        <w:rPr>
          <w:bCs/>
        </w:rPr>
        <w:t>Komentuojamoji dalis įvardina, kad pajamų faktiškuoju savininku laikomas tas, kuris tiesiogiai gauna pajamas savo naudai ir yra atsakingas už mokesčių mokėjimą nuo tų pajamų.</w:t>
      </w:r>
      <w:r w:rsidRPr="00660285">
        <w:rPr>
          <w:bCs/>
        </w:rPr>
        <w:t xml:space="preserve"> </w:t>
      </w:r>
      <w:r>
        <w:rPr>
          <w:bCs/>
        </w:rPr>
        <w:t>Komentuojamoje dalyje p</w:t>
      </w:r>
      <w:r w:rsidRPr="00C825F1">
        <w:rPr>
          <w:bCs/>
        </w:rPr>
        <w:t>ajamų faktiškuoju savininku laikomas:</w:t>
      </w:r>
    </w:p>
    <w:p w14:paraId="3910F71F" w14:textId="77777777" w:rsidR="001E0C26" w:rsidRPr="00C825F1" w:rsidRDefault="001E0C26" w:rsidP="001E0C26">
      <w:pPr>
        <w:ind w:left="284" w:firstLine="720"/>
        <w:jc w:val="both"/>
        <w:rPr>
          <w:bCs/>
        </w:rPr>
      </w:pPr>
      <w:r w:rsidRPr="00C825F1">
        <w:rPr>
          <w:bCs/>
        </w:rPr>
        <w:t>1</w:t>
      </w:r>
      <w:r>
        <w:rPr>
          <w:bCs/>
        </w:rPr>
        <w:t>.1.</w:t>
      </w:r>
      <w:r w:rsidRPr="00C825F1">
        <w:rPr>
          <w:bCs/>
        </w:rPr>
        <w:t xml:space="preserve"> ES valstybės narės vienetas:</w:t>
      </w:r>
    </w:p>
    <w:p w14:paraId="5AE535FA" w14:textId="77777777" w:rsidR="001E0C26" w:rsidRPr="00442964" w:rsidRDefault="001E0C26" w:rsidP="001E0C26">
      <w:pPr>
        <w:tabs>
          <w:tab w:val="left" w:pos="1418"/>
        </w:tabs>
        <w:ind w:left="284" w:firstLine="1134"/>
        <w:jc w:val="both"/>
        <w:rPr>
          <w:bCs/>
        </w:rPr>
      </w:pPr>
      <w:r>
        <w:rPr>
          <w:bCs/>
        </w:rPr>
        <w:t>a) t</w:t>
      </w:r>
      <w:r w:rsidRPr="00C825F1">
        <w:rPr>
          <w:bCs/>
        </w:rPr>
        <w:t xml:space="preserve">urintis verslo organizavimo formą, nurodytą Direktyvos 2003/49/EB priede </w:t>
      </w:r>
      <w:r>
        <w:rPr>
          <w:bCs/>
        </w:rPr>
        <w:t>(š</w:t>
      </w:r>
      <w:r w:rsidRPr="00C825F1">
        <w:rPr>
          <w:bCs/>
        </w:rPr>
        <w:t xml:space="preserve">iame priede pateikiamas išsamus verslo organizavimo formų, atitinkančių šį kriterijų, sąrašas. Pavyzdžiui, tai apima akcines bendroves, ribotos atsakomybės bendroves ir </w:t>
      </w:r>
      <w:r w:rsidRPr="00442964">
        <w:rPr>
          <w:bCs/>
        </w:rPr>
        <w:t>komanditines bendroves), taip pat sąraše nesančiai verslo organizavimo formai šios nuostatos galėtų būti taikomos, jeigu ES valstybės narės vienetu Direktyvos 2003/49/EB priedo taikymo tikslais tokios verslo organizavimo formos laikomos Europos bendrovės (SE) bei Europos kooperatinės bendrovės (SCE) ( Europos bendrovėms suteikta teisė naudotis Direktyvos 2003/49/EB privalumais, nes valstybė narė, kurioje yra jos registruota buveinė, privalo suteikti tokias pačias lengvatas kaip ir atitinkamam nacionaliniam akcinės bendrovės tipui) ir</w:t>
      </w:r>
    </w:p>
    <w:p w14:paraId="2654B03B" w14:textId="77777777" w:rsidR="001E0C26" w:rsidRPr="00C825F1" w:rsidRDefault="001E0C26" w:rsidP="001E0C26">
      <w:pPr>
        <w:tabs>
          <w:tab w:val="left" w:pos="1418"/>
        </w:tabs>
        <w:ind w:left="284" w:firstLine="1134"/>
        <w:jc w:val="both"/>
        <w:rPr>
          <w:bCs/>
        </w:rPr>
      </w:pPr>
      <w:r>
        <w:rPr>
          <w:bCs/>
        </w:rPr>
        <w:t>b) e</w:t>
      </w:r>
      <w:r w:rsidRPr="00C825F1">
        <w:rPr>
          <w:bCs/>
        </w:rPr>
        <w:t>santis Direktyvos 2003/49/EB 3 straipsnio a dalies iii punkte nustatytų mokesčių</w:t>
      </w:r>
      <w:r>
        <w:rPr>
          <w:bCs/>
        </w:rPr>
        <w:t xml:space="preserve"> </w:t>
      </w:r>
      <w:r w:rsidRPr="00442964">
        <w:rPr>
          <w:bCs/>
        </w:rPr>
        <w:t xml:space="preserve">(taip pat, identiškų ar iš esmės panašių mokesčių į sąraše išvardintus) </w:t>
      </w:r>
      <w:r w:rsidRPr="00C825F1">
        <w:rPr>
          <w:bCs/>
        </w:rPr>
        <w:t>mokėtojas, neatleistas nuo šių mokesčių mokėjimo</w:t>
      </w:r>
      <w:r>
        <w:rPr>
          <w:bCs/>
        </w:rPr>
        <w:t xml:space="preserve"> (t</w:t>
      </w:r>
      <w:r w:rsidRPr="00C825F1">
        <w:rPr>
          <w:bCs/>
        </w:rPr>
        <w:t>ai reiškia, kad vienetas turi mokėti mokesčius nuo gaunamų pajamų ES valstybėje narėje, kurioje jis yra rezidentas</w:t>
      </w:r>
      <w:r>
        <w:rPr>
          <w:bCs/>
        </w:rPr>
        <w:t>) ir</w:t>
      </w:r>
    </w:p>
    <w:p w14:paraId="19F99D4E" w14:textId="77777777" w:rsidR="001E0C26" w:rsidRDefault="001E0C26" w:rsidP="001E0C26">
      <w:pPr>
        <w:tabs>
          <w:tab w:val="left" w:pos="1418"/>
        </w:tabs>
        <w:ind w:left="284" w:firstLine="1134"/>
        <w:jc w:val="both"/>
        <w:rPr>
          <w:bCs/>
        </w:rPr>
      </w:pPr>
      <w:r>
        <w:rPr>
          <w:bCs/>
        </w:rPr>
        <w:t xml:space="preserve">c) pagal ES </w:t>
      </w:r>
      <w:r w:rsidRPr="00953AEF">
        <w:rPr>
          <w:lang w:eastAsia="lt-LT"/>
        </w:rPr>
        <w:t>valstybės narės mokesčių teisės aktus turi būti laikoma</w:t>
      </w:r>
      <w:r>
        <w:rPr>
          <w:lang w:eastAsia="lt-LT"/>
        </w:rPr>
        <w:t>s</w:t>
      </w:r>
      <w:r w:rsidRPr="00953AEF">
        <w:rPr>
          <w:lang w:eastAsia="lt-LT"/>
        </w:rPr>
        <w:t xml:space="preserve"> rezident</w:t>
      </w:r>
      <w:r>
        <w:rPr>
          <w:lang w:eastAsia="lt-LT"/>
        </w:rPr>
        <w:t>u</w:t>
      </w:r>
      <w:r w:rsidRPr="00953AEF">
        <w:rPr>
          <w:lang w:eastAsia="lt-LT"/>
        </w:rPr>
        <w:t xml:space="preserve"> mokesčių tikslais ir, remiantis dvigubo apmokestinimo išvengimo sutartimi, neturi būti laikoma</w:t>
      </w:r>
      <w:r>
        <w:rPr>
          <w:lang w:eastAsia="lt-LT"/>
        </w:rPr>
        <w:t>s</w:t>
      </w:r>
      <w:r w:rsidRPr="00953AEF">
        <w:rPr>
          <w:lang w:eastAsia="lt-LT"/>
        </w:rPr>
        <w:t xml:space="preserve"> rezident</w:t>
      </w:r>
      <w:r>
        <w:rPr>
          <w:lang w:eastAsia="lt-LT"/>
        </w:rPr>
        <w:t>u</w:t>
      </w:r>
      <w:r w:rsidRPr="00953AEF">
        <w:rPr>
          <w:lang w:eastAsia="lt-LT"/>
        </w:rPr>
        <w:t xml:space="preserve"> mokesčių tikslais už </w:t>
      </w:r>
      <w:r>
        <w:rPr>
          <w:lang w:eastAsia="lt-LT"/>
        </w:rPr>
        <w:t>ES ribų ir</w:t>
      </w:r>
    </w:p>
    <w:p w14:paraId="181472F5" w14:textId="77777777" w:rsidR="001E0C26" w:rsidRPr="00442964" w:rsidRDefault="001E0C26" w:rsidP="001E0C26">
      <w:pPr>
        <w:tabs>
          <w:tab w:val="left" w:pos="1418"/>
        </w:tabs>
        <w:ind w:left="284" w:firstLine="1134"/>
        <w:jc w:val="both"/>
        <w:rPr>
          <w:bCs/>
        </w:rPr>
      </w:pPr>
      <w:r>
        <w:rPr>
          <w:bCs/>
        </w:rPr>
        <w:lastRenderedPageBreak/>
        <w:t>d) g</w:t>
      </w:r>
      <w:r w:rsidRPr="00C825F1">
        <w:rPr>
          <w:bCs/>
        </w:rPr>
        <w:t>aunantis pajamas savo naudai, o ne kaip kito asmens agentas, patikėtinis, pasirašyti įgaliotas asmuo ir pan.</w:t>
      </w:r>
      <w:r>
        <w:rPr>
          <w:bCs/>
        </w:rPr>
        <w:t>,</w:t>
      </w:r>
      <w:r>
        <w:rPr>
          <w:b/>
          <w:bCs/>
        </w:rPr>
        <w:t xml:space="preserve"> t. y.</w:t>
      </w:r>
      <w:r w:rsidRPr="00C825F1">
        <w:rPr>
          <w:bCs/>
        </w:rPr>
        <w:t xml:space="preserve"> </w:t>
      </w:r>
      <w:r>
        <w:rPr>
          <w:bCs/>
        </w:rPr>
        <w:t>p</w:t>
      </w:r>
      <w:r w:rsidRPr="00C825F1">
        <w:rPr>
          <w:bCs/>
        </w:rPr>
        <w:t>ajamos turi būti gaunamos vienet</w:t>
      </w:r>
      <w:r>
        <w:rPr>
          <w:bCs/>
        </w:rPr>
        <w:t>o</w:t>
      </w:r>
      <w:r w:rsidRPr="00C825F1">
        <w:rPr>
          <w:bCs/>
        </w:rPr>
        <w:t xml:space="preserve"> tiesiogiai, o ne per tarpininką</w:t>
      </w:r>
      <w:r>
        <w:rPr>
          <w:bCs/>
        </w:rPr>
        <w:t xml:space="preserve">, </w:t>
      </w:r>
      <w:r w:rsidRPr="00442964">
        <w:rPr>
          <w:bCs/>
        </w:rPr>
        <w:t>veikiantį kitų asmenų interesais.</w:t>
      </w:r>
    </w:p>
    <w:p w14:paraId="638AEEA1" w14:textId="77777777" w:rsidR="001E0C26" w:rsidRPr="00C825F1" w:rsidRDefault="001E0C26" w:rsidP="001E0C26">
      <w:pPr>
        <w:ind w:left="284" w:firstLine="720"/>
        <w:jc w:val="both"/>
        <w:rPr>
          <w:bCs/>
        </w:rPr>
      </w:pPr>
      <w:r w:rsidRPr="00442964">
        <w:rPr>
          <w:bCs/>
        </w:rPr>
        <w:t>1.2. ES valstybės narės vieneto nuolatinė buveinė kitoje Europos Sąjungos valstybėje narėje (žemiau išvardintos sąlygos kumul</w:t>
      </w:r>
      <w:r>
        <w:rPr>
          <w:bCs/>
        </w:rPr>
        <w:t>iatyvios, t. y. taikomos kartu)</w:t>
      </w:r>
      <w:r w:rsidRPr="00C825F1">
        <w:rPr>
          <w:bCs/>
        </w:rPr>
        <w:t>:</w:t>
      </w:r>
    </w:p>
    <w:p w14:paraId="63F17738" w14:textId="77777777" w:rsidR="001E0C26" w:rsidRDefault="001E0C26" w:rsidP="001E0C26">
      <w:pPr>
        <w:ind w:left="284" w:firstLine="1134"/>
        <w:jc w:val="both"/>
        <w:rPr>
          <w:bCs/>
        </w:rPr>
      </w:pPr>
      <w:r>
        <w:rPr>
          <w:bCs/>
        </w:rPr>
        <w:t>a) v</w:t>
      </w:r>
      <w:r w:rsidRPr="00C825F1">
        <w:rPr>
          <w:bCs/>
        </w:rPr>
        <w:t xml:space="preserve">ieneto, kuris turi verslo organizavimo formą, nurodytą Direktyvos 2003/49/EB priede, ir </w:t>
      </w:r>
    </w:p>
    <w:p w14:paraId="41778C4A" w14:textId="77777777" w:rsidR="001E0C26" w:rsidRDefault="001E0C26" w:rsidP="001E0C26">
      <w:pPr>
        <w:ind w:left="284" w:firstLine="1134"/>
        <w:jc w:val="both"/>
        <w:rPr>
          <w:bCs/>
        </w:rPr>
      </w:pPr>
      <w:r>
        <w:rPr>
          <w:bCs/>
        </w:rPr>
        <w:t xml:space="preserve">b) </w:t>
      </w:r>
      <w:r w:rsidRPr="00C825F1">
        <w:rPr>
          <w:bCs/>
        </w:rPr>
        <w:t>yra Direktyvos 2003/49/EB 3 straipsnio a dalies iii punkte nustatytų mokesčių mokėtojas, neatleistas nuo šių mokesčių mokėjimo</w:t>
      </w:r>
      <w:r>
        <w:rPr>
          <w:bCs/>
        </w:rPr>
        <w:t xml:space="preserve"> ir </w:t>
      </w:r>
    </w:p>
    <w:p w14:paraId="224DD0C5" w14:textId="77777777" w:rsidR="001E0C26" w:rsidRPr="00C825F1" w:rsidRDefault="001E0C26" w:rsidP="001E0C26">
      <w:pPr>
        <w:ind w:left="284" w:firstLine="1134"/>
        <w:jc w:val="both"/>
        <w:rPr>
          <w:bCs/>
        </w:rPr>
      </w:pPr>
      <w:r>
        <w:rPr>
          <w:bCs/>
        </w:rPr>
        <w:t xml:space="preserve">c) </w:t>
      </w:r>
      <w:r w:rsidRPr="0064076D">
        <w:rPr>
          <w:bCs/>
        </w:rPr>
        <w:t>savo naudai gaunamų pajamų sumos</w:t>
      </w:r>
      <w:r w:rsidRPr="00C825F1">
        <w:rPr>
          <w:bCs/>
        </w:rPr>
        <w:t xml:space="preserve">, yra faktiškai susiję su šia nuolatine buveine: </w:t>
      </w:r>
      <w:r>
        <w:rPr>
          <w:bCs/>
        </w:rPr>
        <w:t>t</w:t>
      </w:r>
      <w:r w:rsidRPr="00C825F1">
        <w:rPr>
          <w:bCs/>
        </w:rPr>
        <w:t>ai reiškia, kad suteikimas naudotis ar teisė naudotis turi būti tiesiogiai susiję su nuolatinės buveinės veikla</w:t>
      </w:r>
      <w:r>
        <w:rPr>
          <w:bCs/>
        </w:rPr>
        <w:t xml:space="preserve"> ir</w:t>
      </w:r>
    </w:p>
    <w:p w14:paraId="1E4EDFE6" w14:textId="77777777" w:rsidR="001E0C26" w:rsidRPr="001E0C26" w:rsidRDefault="001E0C26" w:rsidP="001E0C26">
      <w:pPr>
        <w:ind w:left="284" w:firstLine="1134"/>
        <w:jc w:val="both"/>
        <w:rPr>
          <w:bCs/>
        </w:rPr>
      </w:pPr>
      <w:r>
        <w:rPr>
          <w:bCs/>
        </w:rPr>
        <w:t>d) gaunamos PMĮ</w:t>
      </w:r>
      <w:r w:rsidRPr="00C825F1">
        <w:rPr>
          <w:bCs/>
        </w:rPr>
        <w:t xml:space="preserve"> 4 straipsnio 4 dalies 3 ir 5 punktuose nurodytos sumos pripažįstamos pajamomis, dėl kurių ji tampa Direktyvos 2003/49/EB 3 straipsnio a dalies iii punkte nustatyto mokesčio arba „impot des non-residents/belasting der niet-verblijfhouders“ Belgijos Karalystėje, arba „Impuesto sobre la Renta de no Residentes“ Ispanijos Karalystėje, arba kurio nors kito identiško mokesčio, atsiradusio vėliau ar vietoj buvusio, mokėtoja: </w:t>
      </w:r>
      <w:r>
        <w:rPr>
          <w:bCs/>
        </w:rPr>
        <w:t>t</w:t>
      </w:r>
      <w:r w:rsidRPr="00C825F1">
        <w:rPr>
          <w:bCs/>
        </w:rPr>
        <w:t>ai reiškia, kad nuolatinės buveinės gaunamos pajamos turi būti apmokestinamos mokesčiais ES valstybėje narėje, kurioje ji yra įsikūrusi.</w:t>
      </w:r>
      <w:r>
        <w:rPr>
          <w:bCs/>
        </w:rPr>
        <w:t xml:space="preserve"> </w:t>
      </w:r>
    </w:p>
    <w:p w14:paraId="52F03539" w14:textId="77777777" w:rsidR="001E0C26" w:rsidRPr="00D834B7" w:rsidRDefault="001E0C26" w:rsidP="001E0C26">
      <w:pPr>
        <w:ind w:firstLine="720"/>
        <w:jc w:val="both"/>
        <w:rPr>
          <w:b/>
          <w:bCs/>
        </w:rPr>
      </w:pPr>
      <w:r w:rsidRPr="00D834B7">
        <w:rPr>
          <w:b/>
          <w:bCs/>
        </w:rPr>
        <w:t>3. Šio straipsnio nuostatos taikomos, kai sumų išmokėjimo ES valstybės narės vienetui ar jo nuolatinei buveinei momentu ir ne mažiau kaip 2 metus iki šio išmokėjimo be pertraukų ES valstybių narių vienetai atitinka vieną iš šių kriterijų:</w:t>
      </w:r>
    </w:p>
    <w:p w14:paraId="6436AE29" w14:textId="77777777" w:rsidR="001E0C26" w:rsidRPr="00D834B7" w:rsidRDefault="001E0C26" w:rsidP="001E0C26">
      <w:pPr>
        <w:ind w:firstLine="720"/>
        <w:jc w:val="both"/>
        <w:rPr>
          <w:b/>
          <w:bCs/>
        </w:rPr>
      </w:pPr>
      <w:r w:rsidRPr="00D834B7">
        <w:rPr>
          <w:b/>
          <w:bCs/>
        </w:rPr>
        <w:t>1) šias sumas išmokantis Lietuvos vienetas arba ES valstybės narės vienetas, kurio nuolatinė buveinė Lietuvos Respublikoje išmoka šias sumas, tiesiogiai valdo ne mažiau kaip 25 procentus akcijų (dalių, pajų) šias pajamas gaunančio ES valstybės narės vieneto arba ES valstybės narės vieneto, kurio nuolatinė buveinė gauna šias pajamas, arba</w:t>
      </w:r>
    </w:p>
    <w:p w14:paraId="20C44EA9" w14:textId="77777777" w:rsidR="001E0C26" w:rsidRPr="00D834B7" w:rsidRDefault="001E0C26" w:rsidP="001E0C26">
      <w:pPr>
        <w:ind w:firstLine="720"/>
        <w:jc w:val="both"/>
        <w:rPr>
          <w:b/>
          <w:bCs/>
        </w:rPr>
      </w:pPr>
      <w:r w:rsidRPr="00D834B7">
        <w:rPr>
          <w:b/>
          <w:bCs/>
        </w:rPr>
        <w:t>2) šias pajamas gaunantis ES valstybės narės vienetas arba ES valstybės narės vienetas, kurio nuolatinė buveinė gauna šias pajamas, tiesiogiai valdo ne mažiau kaip 25 procentus akcijų (dalių, pajų) šias sumas išmokančiame Lietuvos vienete arba ES valstybės narės vienete, kurio nuolatinė buveinė Lietuvos Respublikoje išmoka šias sumas, arba</w:t>
      </w:r>
    </w:p>
    <w:p w14:paraId="260A7539" w14:textId="77777777" w:rsidR="001E0C26" w:rsidRDefault="001E0C26" w:rsidP="001E0C26">
      <w:pPr>
        <w:ind w:firstLine="720"/>
        <w:jc w:val="both"/>
        <w:rPr>
          <w:b/>
          <w:bCs/>
        </w:rPr>
      </w:pPr>
      <w:r w:rsidRPr="00D834B7">
        <w:rPr>
          <w:b/>
          <w:bCs/>
        </w:rPr>
        <w:t>3) kitas ES valstybės narės vienetas tiesiogiai valdo ne mažiau kaip 25 procentus akcijų (dalių, pajų) šias pajamas gaunančiame ES valstybės narės vienete arba ES valstybės narės vienete, kurio nuolatinė buveinė gauna šias pajamas, ir šias sumas išmokančiame Lietuvos vienete arba ES valstybės narės vienete, kurio nuolatinė buveinė Lietuvos Respublikoje išmoka šias sumas.</w:t>
      </w:r>
    </w:p>
    <w:p w14:paraId="7A3FDEA6" w14:textId="77777777" w:rsidR="001E0C26" w:rsidRDefault="001E0C26" w:rsidP="001E0C26">
      <w:pPr>
        <w:ind w:firstLine="720"/>
        <w:jc w:val="both"/>
        <w:rPr>
          <w:b/>
          <w:bCs/>
        </w:rPr>
      </w:pPr>
      <w:r>
        <w:rPr>
          <w:b/>
          <w:bCs/>
        </w:rPr>
        <w:t>Komentaras</w:t>
      </w:r>
    </w:p>
    <w:p w14:paraId="7F4D896D" w14:textId="77777777" w:rsidR="001E0C26" w:rsidRPr="0097691C" w:rsidRDefault="001E0C26" w:rsidP="001E0C26">
      <w:pPr>
        <w:ind w:firstLine="709"/>
        <w:jc w:val="both"/>
        <w:rPr>
          <w:bCs/>
        </w:rPr>
      </w:pPr>
      <w:r w:rsidRPr="0097691C">
        <w:rPr>
          <w:bCs/>
        </w:rPr>
        <w:t>1. PMĮ 37(1) str. įtvirtinta „dalyvavimo išimties“ taisyklė honorarams bei kompensacijoms už autorių arba gretutinių teisių pažeidimus. Pagal šią taisyklę, pelno mokesčiu prie pajamų šaltinio Lietuvoje neapmokestinamos minėtos išmokos, išmokamos užsienio vienetui, kuris yra tik ES valstybės narės rezidentas mokesčių tikslais (arba kurio buveinė yra kitoje ES valstybėje narėje) su sąlyga, kad, pirma, gavėjas yra faktiškasis gaunamų sumų savininkas (o ne tiesiog tarpininkas, veikiantis kitų asmenų interesais), ir, antra, jei sumų mokėtojas 2 m. iki išmokėjimo nepertraukiamai ir išmokėjimo metu tiesiogiai valdo ne mažiau kaip 25 proc</w:t>
      </w:r>
      <w:r>
        <w:rPr>
          <w:bCs/>
        </w:rPr>
        <w:t>entus</w:t>
      </w:r>
      <w:r w:rsidRPr="0097691C">
        <w:rPr>
          <w:bCs/>
        </w:rPr>
        <w:t xml:space="preserve"> gavėjo akcijų (dalių, pajų), arba atvirkščiai, gavėjas valdo minėtą dalį mokėtojo kapitale (t. y. patronuojanti ir dukterinė įmonės), arba </w:t>
      </w:r>
      <w:r w:rsidRPr="0097691C">
        <w:rPr>
          <w:bCs/>
        </w:rPr>
        <w:lastRenderedPageBreak/>
        <w:t>abu - tiek mokėtojas, tiek gavėjas, tokia pat kapitalo dalimi yra tiesiogiai valdomi kito vieneto (pvz., abu yra seserinės įmonės).</w:t>
      </w:r>
    </w:p>
    <w:p w14:paraId="5C9E1601" w14:textId="77777777" w:rsidR="001E0C26" w:rsidRPr="00A77814" w:rsidRDefault="001E0C26" w:rsidP="001E0C26">
      <w:pPr>
        <w:ind w:firstLine="709"/>
        <w:jc w:val="both"/>
        <w:rPr>
          <w:bCs/>
        </w:rPr>
      </w:pPr>
      <w:r>
        <w:rPr>
          <w:bCs/>
        </w:rPr>
        <w:t>2</w:t>
      </w:r>
      <w:r w:rsidRPr="00A77814">
        <w:rPr>
          <w:bCs/>
        </w:rPr>
        <w:t xml:space="preserve">. </w:t>
      </w:r>
      <w:r>
        <w:rPr>
          <w:bCs/>
        </w:rPr>
        <w:t xml:space="preserve">Komentuojamoji dalis nustato, kad </w:t>
      </w:r>
      <w:r w:rsidRPr="00A77814">
        <w:rPr>
          <w:bCs/>
        </w:rPr>
        <w:t>Lietuvos vieneto ar E</w:t>
      </w:r>
      <w:r>
        <w:rPr>
          <w:bCs/>
        </w:rPr>
        <w:t>S</w:t>
      </w:r>
      <w:r w:rsidRPr="00A77814">
        <w:rPr>
          <w:bCs/>
        </w:rPr>
        <w:t xml:space="preserve"> valstybė</w:t>
      </w:r>
      <w:r>
        <w:rPr>
          <w:bCs/>
        </w:rPr>
        <w:t>s</w:t>
      </w:r>
      <w:r w:rsidRPr="00A77814">
        <w:rPr>
          <w:bCs/>
        </w:rPr>
        <w:t xml:space="preserve"> narė</w:t>
      </w:r>
      <w:r>
        <w:rPr>
          <w:bCs/>
        </w:rPr>
        <w:t xml:space="preserve">s vieneto </w:t>
      </w:r>
      <w:r w:rsidRPr="00A77814">
        <w:rPr>
          <w:bCs/>
        </w:rPr>
        <w:t>nuolatin</w:t>
      </w:r>
      <w:r>
        <w:rPr>
          <w:bCs/>
        </w:rPr>
        <w:t>ės</w:t>
      </w:r>
      <w:r w:rsidRPr="00A77814">
        <w:rPr>
          <w:bCs/>
        </w:rPr>
        <w:t xml:space="preserve"> buvein</w:t>
      </w:r>
      <w:r>
        <w:rPr>
          <w:bCs/>
        </w:rPr>
        <w:t>ės Lietuvoje</w:t>
      </w:r>
      <w:r w:rsidRPr="00A77814">
        <w:rPr>
          <w:bCs/>
        </w:rPr>
        <w:t xml:space="preserve"> išmokamos </w:t>
      </w:r>
      <w:r>
        <w:rPr>
          <w:bCs/>
        </w:rPr>
        <w:t>PMĮ</w:t>
      </w:r>
      <w:r w:rsidRPr="00A77814">
        <w:rPr>
          <w:bCs/>
        </w:rPr>
        <w:t xml:space="preserve"> 4 straipsnio 4 dalies 3 ir 5 punktuose nurodytos sumos neapmokestinamos pelno mokesčiu prie pajamų šaltinio,</w:t>
      </w:r>
      <w:r>
        <w:rPr>
          <w:bCs/>
        </w:rPr>
        <w:t xml:space="preserve"> </w:t>
      </w:r>
      <w:r w:rsidRPr="00A77814">
        <w:rPr>
          <w:bCs/>
        </w:rPr>
        <w:t xml:space="preserve">kai išmokėtų sumų gavėjas (faktiškasis savininkas) yra užsienio vienetas </w:t>
      </w:r>
      <w:r>
        <w:rPr>
          <w:bCs/>
        </w:rPr>
        <w:t>-</w:t>
      </w:r>
      <w:r w:rsidRPr="00A77814">
        <w:rPr>
          <w:bCs/>
        </w:rPr>
        <w:t xml:space="preserve"> tik Europos Sąjungos valstybės narės rezidentas mokesčių tikslais (toliau - ES valstybės narės vienetas) arba šio ES valstybės narės vieneto nuolatinė buveinė</w:t>
      </w:r>
      <w:r>
        <w:rPr>
          <w:bCs/>
        </w:rPr>
        <w:t>, kuri gauna minėtas pajamas</w:t>
      </w:r>
      <w:r w:rsidRPr="00A77814">
        <w:rPr>
          <w:bCs/>
        </w:rPr>
        <w:t xml:space="preserve"> yra kitoje Europos Sąjungos valstybėje narėje</w:t>
      </w:r>
      <w:r>
        <w:rPr>
          <w:bCs/>
        </w:rPr>
        <w:t xml:space="preserve">, </w:t>
      </w:r>
      <w:r w:rsidRPr="0002049F">
        <w:rPr>
          <w:bCs/>
        </w:rPr>
        <w:t xml:space="preserve">jei išmokėjimo momentu ir ne mažiau kaip 2 metus iki išmokėjimo be pertraukų </w:t>
      </w:r>
      <w:r>
        <w:rPr>
          <w:bCs/>
        </w:rPr>
        <w:t xml:space="preserve"> tenkinamos PMĮ 37(1) straipsnio 2 dalyje</w:t>
      </w:r>
      <w:r w:rsidRPr="0002049F">
        <w:rPr>
          <w:bCs/>
        </w:rPr>
        <w:t xml:space="preserve"> įvardintos sąlygos.</w:t>
      </w:r>
    </w:p>
    <w:p w14:paraId="37BF047F" w14:textId="77777777" w:rsidR="001E0C26" w:rsidRDefault="001E0C26" w:rsidP="001E0C26">
      <w:pPr>
        <w:ind w:firstLine="709"/>
        <w:jc w:val="both"/>
        <w:rPr>
          <w:bCs/>
        </w:rPr>
      </w:pPr>
      <w:r>
        <w:rPr>
          <w:bCs/>
        </w:rPr>
        <w:t>3. V</w:t>
      </w:r>
      <w:r w:rsidRPr="0064076D">
        <w:rPr>
          <w:bCs/>
        </w:rPr>
        <w:t>iena iš išmokamų sumų neapmokestinimo sąlygų</w:t>
      </w:r>
      <w:r w:rsidRPr="0064076D" w:rsidDel="0064076D">
        <w:rPr>
          <w:bCs/>
        </w:rPr>
        <w:t xml:space="preserve"> </w:t>
      </w:r>
      <w:r>
        <w:rPr>
          <w:bCs/>
        </w:rPr>
        <w:t>- t</w:t>
      </w:r>
      <w:r w:rsidRPr="00A77814">
        <w:rPr>
          <w:bCs/>
        </w:rPr>
        <w:t>iesioginis</w:t>
      </w:r>
      <w:r>
        <w:rPr>
          <w:bCs/>
        </w:rPr>
        <w:t xml:space="preserve"> 25 procentus ar daugiau akcijų </w:t>
      </w:r>
      <w:r w:rsidRPr="0097691C">
        <w:rPr>
          <w:bCs/>
        </w:rPr>
        <w:t>(dalių, pajų)</w:t>
      </w:r>
      <w:r>
        <w:rPr>
          <w:bCs/>
        </w:rPr>
        <w:t xml:space="preserve"> valdymas: </w:t>
      </w:r>
    </w:p>
    <w:p w14:paraId="361C57B3" w14:textId="77777777" w:rsidR="001E0C26" w:rsidRDefault="001E0C26" w:rsidP="001E0C26">
      <w:pPr>
        <w:ind w:firstLine="993"/>
        <w:jc w:val="both"/>
        <w:rPr>
          <w:bCs/>
        </w:rPr>
      </w:pPr>
      <w:r>
        <w:rPr>
          <w:bCs/>
        </w:rPr>
        <w:t xml:space="preserve">a) </w:t>
      </w:r>
      <w:r w:rsidRPr="00A77814">
        <w:rPr>
          <w:bCs/>
        </w:rPr>
        <w:t>sumas</w:t>
      </w:r>
      <w:r>
        <w:rPr>
          <w:bCs/>
        </w:rPr>
        <w:t xml:space="preserve"> i</w:t>
      </w:r>
      <w:r w:rsidRPr="00A77814">
        <w:rPr>
          <w:bCs/>
        </w:rPr>
        <w:t xml:space="preserve">šmokantis Lietuvos vienetas arba ES valstybės narės vienetas, kurio nuolatinė buveinė Lietuvoje išmoka </w:t>
      </w:r>
      <w:r>
        <w:rPr>
          <w:bCs/>
        </w:rPr>
        <w:t xml:space="preserve">šias </w:t>
      </w:r>
      <w:r w:rsidRPr="00A77814">
        <w:rPr>
          <w:bCs/>
        </w:rPr>
        <w:t>sumas, turi tiesiogiai valdyti ne mažiau kaip 25</w:t>
      </w:r>
      <w:r>
        <w:rPr>
          <w:bCs/>
        </w:rPr>
        <w:t xml:space="preserve"> procentus</w:t>
      </w:r>
      <w:r w:rsidRPr="00A77814">
        <w:rPr>
          <w:bCs/>
        </w:rPr>
        <w:t xml:space="preserve"> akcijų (dalių, pajų) </w:t>
      </w:r>
      <w:r w:rsidRPr="00211B6A">
        <w:rPr>
          <w:bCs/>
        </w:rPr>
        <w:t xml:space="preserve">PMĮ 4 straipsnio 4 dalies 3 ir 5 punktuose </w:t>
      </w:r>
      <w:r>
        <w:rPr>
          <w:bCs/>
        </w:rPr>
        <w:t>įvardintų</w:t>
      </w:r>
      <w:r w:rsidRPr="00211B6A">
        <w:rPr>
          <w:bCs/>
        </w:rPr>
        <w:t xml:space="preserve"> pajamų </w:t>
      </w:r>
      <w:r w:rsidRPr="007A5C23">
        <w:rPr>
          <w:bCs/>
        </w:rPr>
        <w:t>gaunančio ES valstybės narės vieneto arba ES valstybės narės vieneto, kurio nuolatinė buveinė gauna šias pajamas</w:t>
      </w:r>
      <w:r>
        <w:rPr>
          <w:bCs/>
        </w:rPr>
        <w:t>.</w:t>
      </w:r>
    </w:p>
    <w:p w14:paraId="785D4684" w14:textId="77777777" w:rsidR="001E0C26" w:rsidRPr="00A77814" w:rsidRDefault="001E0C26" w:rsidP="001E0C26">
      <w:pPr>
        <w:ind w:firstLine="993"/>
        <w:jc w:val="both"/>
        <w:rPr>
          <w:bCs/>
        </w:rPr>
      </w:pPr>
      <w:r w:rsidRPr="00A77814">
        <w:rPr>
          <w:bCs/>
        </w:rPr>
        <w:t>Pavyzdys</w:t>
      </w:r>
    </w:p>
    <w:p w14:paraId="2D6723A6" w14:textId="77777777" w:rsidR="001E0C26" w:rsidRDefault="001E0C26" w:rsidP="001E0C26">
      <w:pPr>
        <w:pBdr>
          <w:top w:val="single" w:sz="4" w:space="1" w:color="auto"/>
          <w:left w:val="single" w:sz="4" w:space="4" w:color="auto"/>
          <w:bottom w:val="single" w:sz="4" w:space="1" w:color="auto"/>
          <w:right w:val="single" w:sz="4" w:space="4" w:color="auto"/>
        </w:pBdr>
        <w:jc w:val="both"/>
        <w:rPr>
          <w:bCs/>
        </w:rPr>
      </w:pPr>
      <w:r w:rsidRPr="00A77814">
        <w:rPr>
          <w:bCs/>
        </w:rPr>
        <w:t xml:space="preserve">Lietuvos įmonė </w:t>
      </w:r>
      <w:r>
        <w:rPr>
          <w:bCs/>
        </w:rPr>
        <w:t>„</w:t>
      </w:r>
      <w:r w:rsidRPr="00A77814">
        <w:rPr>
          <w:bCs/>
        </w:rPr>
        <w:t>A</w:t>
      </w:r>
      <w:r>
        <w:rPr>
          <w:bCs/>
        </w:rPr>
        <w:t>“</w:t>
      </w:r>
      <w:r w:rsidRPr="00A77814">
        <w:rPr>
          <w:bCs/>
        </w:rPr>
        <w:t xml:space="preserve"> išmoka </w:t>
      </w:r>
      <w:r>
        <w:rPr>
          <w:bCs/>
        </w:rPr>
        <w:t>honorarą (pagal PMĮ 4 str. 4 d. 3 p.)</w:t>
      </w:r>
      <w:r w:rsidRPr="00A77814">
        <w:rPr>
          <w:bCs/>
        </w:rPr>
        <w:t xml:space="preserve"> savo dukterinei įmonei </w:t>
      </w:r>
      <w:r>
        <w:rPr>
          <w:bCs/>
        </w:rPr>
        <w:t>„</w:t>
      </w:r>
      <w:r w:rsidRPr="00A77814">
        <w:rPr>
          <w:bCs/>
        </w:rPr>
        <w:t>B</w:t>
      </w:r>
      <w:r>
        <w:rPr>
          <w:bCs/>
        </w:rPr>
        <w:t>“</w:t>
      </w:r>
      <w:r w:rsidRPr="00A77814">
        <w:rPr>
          <w:bCs/>
        </w:rPr>
        <w:t xml:space="preserve">, kuri yra įsikūrusi kitoje ES valstybėje narėje. </w:t>
      </w:r>
      <w:r>
        <w:rPr>
          <w:bCs/>
        </w:rPr>
        <w:t>Lietuvos įmonė „</w:t>
      </w:r>
      <w:r w:rsidRPr="00A77814">
        <w:rPr>
          <w:bCs/>
        </w:rPr>
        <w:t>A</w:t>
      </w:r>
      <w:r>
        <w:rPr>
          <w:bCs/>
        </w:rPr>
        <w:t>“</w:t>
      </w:r>
      <w:r w:rsidRPr="00A77814">
        <w:rPr>
          <w:bCs/>
        </w:rPr>
        <w:t xml:space="preserve"> valdo 100</w:t>
      </w:r>
      <w:r>
        <w:rPr>
          <w:bCs/>
        </w:rPr>
        <w:t xml:space="preserve"> procentų</w:t>
      </w:r>
      <w:r w:rsidRPr="00A77814">
        <w:rPr>
          <w:bCs/>
        </w:rPr>
        <w:t xml:space="preserve"> </w:t>
      </w:r>
      <w:r>
        <w:rPr>
          <w:bCs/>
        </w:rPr>
        <w:t>dukterinės įmonės „</w:t>
      </w:r>
      <w:r w:rsidRPr="00A77814">
        <w:rPr>
          <w:bCs/>
        </w:rPr>
        <w:t>B</w:t>
      </w:r>
      <w:r>
        <w:rPr>
          <w:bCs/>
        </w:rPr>
        <w:t>“</w:t>
      </w:r>
      <w:r w:rsidRPr="00A77814">
        <w:rPr>
          <w:bCs/>
        </w:rPr>
        <w:t xml:space="preserve"> akcijų. Šiuo atveju sąlyga</w:t>
      </w:r>
      <w:r>
        <w:rPr>
          <w:bCs/>
        </w:rPr>
        <w:t xml:space="preserve"> - t</w:t>
      </w:r>
      <w:r w:rsidRPr="005E1FB7">
        <w:rPr>
          <w:bCs/>
        </w:rPr>
        <w:t>iesioginis 25</w:t>
      </w:r>
      <w:r>
        <w:rPr>
          <w:bCs/>
        </w:rPr>
        <w:t xml:space="preserve"> procentų</w:t>
      </w:r>
      <w:r w:rsidRPr="005E1FB7">
        <w:rPr>
          <w:bCs/>
        </w:rPr>
        <w:t xml:space="preserve"> ar daugiau akcijų valdymas</w:t>
      </w:r>
      <w:r>
        <w:rPr>
          <w:bCs/>
        </w:rPr>
        <w:t>,</w:t>
      </w:r>
      <w:r w:rsidRPr="005E1FB7">
        <w:rPr>
          <w:bCs/>
        </w:rPr>
        <w:t xml:space="preserve"> </w:t>
      </w:r>
      <w:r w:rsidRPr="00A77814">
        <w:rPr>
          <w:bCs/>
        </w:rPr>
        <w:t xml:space="preserve">yra įvykdyta, nes </w:t>
      </w:r>
      <w:r>
        <w:rPr>
          <w:bCs/>
        </w:rPr>
        <w:t>„</w:t>
      </w:r>
      <w:r w:rsidRPr="00A77814">
        <w:rPr>
          <w:bCs/>
        </w:rPr>
        <w:t>A</w:t>
      </w:r>
      <w:r>
        <w:rPr>
          <w:bCs/>
        </w:rPr>
        <w:t>“</w:t>
      </w:r>
      <w:r w:rsidRPr="00A77814">
        <w:rPr>
          <w:bCs/>
        </w:rPr>
        <w:t xml:space="preserve"> tiesiogiai valdo daugiau nei 25</w:t>
      </w:r>
      <w:r>
        <w:rPr>
          <w:bCs/>
        </w:rPr>
        <w:t xml:space="preserve"> procentus</w:t>
      </w:r>
      <w:r w:rsidRPr="00A77814">
        <w:rPr>
          <w:bCs/>
        </w:rPr>
        <w:t xml:space="preserve"> </w:t>
      </w:r>
      <w:r>
        <w:rPr>
          <w:bCs/>
        </w:rPr>
        <w:t>„</w:t>
      </w:r>
      <w:r w:rsidRPr="00A77814">
        <w:rPr>
          <w:bCs/>
        </w:rPr>
        <w:t>B</w:t>
      </w:r>
      <w:r>
        <w:rPr>
          <w:bCs/>
        </w:rPr>
        <w:t>“</w:t>
      </w:r>
      <w:r w:rsidRPr="00A77814">
        <w:rPr>
          <w:bCs/>
        </w:rPr>
        <w:t xml:space="preserve"> akcijų.</w:t>
      </w:r>
    </w:p>
    <w:p w14:paraId="68CF6E25" w14:textId="77777777" w:rsidR="001E0C26" w:rsidRPr="00A77814" w:rsidRDefault="001E0C26" w:rsidP="001E0C26">
      <w:pPr>
        <w:jc w:val="both"/>
        <w:rPr>
          <w:bCs/>
        </w:rPr>
      </w:pPr>
    </w:p>
    <w:p w14:paraId="78C16F48" w14:textId="77777777" w:rsidR="001E0C26" w:rsidRPr="00FF59E8" w:rsidRDefault="001E0C26" w:rsidP="001E0C26">
      <w:pPr>
        <w:jc w:val="both"/>
        <w:rPr>
          <w:bCs/>
        </w:rPr>
      </w:pPr>
      <w:r>
        <w:rPr>
          <w:bCs/>
        </w:rPr>
        <w:t xml:space="preserve">           b) arba išmokas g</w:t>
      </w:r>
      <w:r w:rsidRPr="00A77814">
        <w:rPr>
          <w:bCs/>
        </w:rPr>
        <w:t>aunantis ES valstybės narės vienetas arba ES valstybės narės vienetas, kurio nuolatinė buveinė gauna pajamas, turi tiesiogiai valdyti ne mažiau kaip 25</w:t>
      </w:r>
      <w:r>
        <w:rPr>
          <w:bCs/>
        </w:rPr>
        <w:t xml:space="preserve"> procentus</w:t>
      </w:r>
      <w:r w:rsidRPr="00A77814">
        <w:rPr>
          <w:bCs/>
        </w:rPr>
        <w:t xml:space="preserve"> akcijų (dalių, pajų) </w:t>
      </w:r>
      <w:r>
        <w:rPr>
          <w:bCs/>
        </w:rPr>
        <w:t xml:space="preserve">sumas </w:t>
      </w:r>
      <w:r w:rsidRPr="00A77814">
        <w:rPr>
          <w:bCs/>
        </w:rPr>
        <w:t xml:space="preserve">išmokančiame </w:t>
      </w:r>
      <w:r>
        <w:rPr>
          <w:bCs/>
        </w:rPr>
        <w:t xml:space="preserve">Lietuvos </w:t>
      </w:r>
      <w:r w:rsidRPr="00FF59E8">
        <w:rPr>
          <w:bCs/>
        </w:rPr>
        <w:t xml:space="preserve">vienete arba ES valstybės narės vienete, kurio nuolatinė buveinė Lietuvos Respublikoje išmoka šias sumas. </w:t>
      </w:r>
    </w:p>
    <w:p w14:paraId="2FD7284D" w14:textId="77777777" w:rsidR="001E0C26" w:rsidRPr="00FF59E8" w:rsidRDefault="001E0C26" w:rsidP="001E0C26">
      <w:pPr>
        <w:ind w:firstLine="720"/>
        <w:jc w:val="both"/>
        <w:rPr>
          <w:bCs/>
        </w:rPr>
      </w:pPr>
      <w:r w:rsidRPr="00FF59E8">
        <w:rPr>
          <w:bCs/>
        </w:rPr>
        <w:t xml:space="preserve">c) </w:t>
      </w:r>
      <w:r>
        <w:rPr>
          <w:bCs/>
        </w:rPr>
        <w:t xml:space="preserve">arba </w:t>
      </w:r>
      <w:r w:rsidRPr="00FF59E8">
        <w:rPr>
          <w:bCs/>
        </w:rPr>
        <w:t>kitas ES valstybės narės vienetas tiesiogiai valdo ne mažiau kaip 25</w:t>
      </w:r>
      <w:r>
        <w:rPr>
          <w:bCs/>
        </w:rPr>
        <w:t xml:space="preserve"> procentus</w:t>
      </w:r>
      <w:r w:rsidRPr="00FF59E8">
        <w:rPr>
          <w:bCs/>
        </w:rPr>
        <w:t xml:space="preserve"> akcijų (dalių, pajų) </w:t>
      </w:r>
      <w:r>
        <w:rPr>
          <w:bCs/>
        </w:rPr>
        <w:t xml:space="preserve">pajamas </w:t>
      </w:r>
      <w:r w:rsidRPr="00FF59E8">
        <w:rPr>
          <w:bCs/>
        </w:rPr>
        <w:t>gaunančiame ES valstybės narės vienete arba ES valstybės narės vienete, kurio nuolatinė buveinė</w:t>
      </w:r>
      <w:r w:rsidRPr="00D834B7">
        <w:rPr>
          <w:b/>
          <w:bCs/>
        </w:rPr>
        <w:t xml:space="preserve"> gauna </w:t>
      </w:r>
      <w:r w:rsidRPr="00FF59E8">
        <w:rPr>
          <w:bCs/>
        </w:rPr>
        <w:t>šias pajamas, ir šias sumas išmokančiame Lietuvos vienete arba ES valstybės narės vienete, kurio nuolatinė buveinė Lietuvos Respublikoje išmoka šias sumas.</w:t>
      </w:r>
    </w:p>
    <w:p w14:paraId="6C31D149" w14:textId="77777777" w:rsidR="001E0C26" w:rsidRDefault="001E0C26" w:rsidP="001E0C26">
      <w:pPr>
        <w:ind w:firstLine="720"/>
        <w:jc w:val="both"/>
        <w:rPr>
          <w:bCs/>
        </w:rPr>
      </w:pPr>
      <w:r>
        <w:rPr>
          <w:bCs/>
        </w:rPr>
        <w:t>4</w:t>
      </w:r>
      <w:r w:rsidRPr="00A77814">
        <w:rPr>
          <w:bCs/>
        </w:rPr>
        <w:t xml:space="preserve">. </w:t>
      </w:r>
      <w:r>
        <w:rPr>
          <w:bCs/>
        </w:rPr>
        <w:t xml:space="preserve">Komentuojamoji dalis yra taikoma, jei </w:t>
      </w:r>
      <w:r w:rsidRPr="00A77814">
        <w:rPr>
          <w:bCs/>
        </w:rPr>
        <w:t>yra įvykdyt</w:t>
      </w:r>
      <w:r>
        <w:rPr>
          <w:bCs/>
        </w:rPr>
        <w:t>i</w:t>
      </w:r>
      <w:r w:rsidRPr="009B2BE8">
        <w:rPr>
          <w:bCs/>
        </w:rPr>
        <w:t xml:space="preserve"> </w:t>
      </w:r>
      <w:r>
        <w:rPr>
          <w:bCs/>
        </w:rPr>
        <w:t xml:space="preserve"> PMĮ 37(1) straipsnio 3 dalies </w:t>
      </w:r>
      <w:r w:rsidRPr="009B2BE8">
        <w:rPr>
          <w:bCs/>
        </w:rPr>
        <w:t>kriterijai</w:t>
      </w:r>
      <w:r>
        <w:rPr>
          <w:bCs/>
        </w:rPr>
        <w:t xml:space="preserve">. </w:t>
      </w:r>
    </w:p>
    <w:p w14:paraId="4E36CA04" w14:textId="77777777" w:rsidR="001E0C26" w:rsidRPr="009B2BE8" w:rsidRDefault="001E0C26" w:rsidP="001E0C26">
      <w:pPr>
        <w:ind w:firstLine="720"/>
        <w:jc w:val="both"/>
        <w:rPr>
          <w:bCs/>
        </w:rPr>
      </w:pPr>
      <w:r>
        <w:rPr>
          <w:bCs/>
        </w:rPr>
        <w:t xml:space="preserve">5. </w:t>
      </w:r>
      <w:r w:rsidRPr="009B2BE8">
        <w:rPr>
          <w:bCs/>
        </w:rPr>
        <w:t>Tuo atveju, jei nėra tenkinami PMĮ 37(1) straipsnio 3 dalies kriterijai, išmokamos sumos apmokestinamos PMĮ nustatyta tvarka (žr. PMĮ 5 straipsnio 1 dalies 2 punkto komentarą). Tuo atveju, kai tarptautinėse dvigubo apmokestinimo išvengimo sutartyse</w:t>
      </w:r>
      <w:r>
        <w:rPr>
          <w:bCs/>
        </w:rPr>
        <w:t>, kurios sudarytos</w:t>
      </w:r>
      <w:r w:rsidRPr="009B2BE8">
        <w:rPr>
          <w:bCs/>
        </w:rPr>
        <w:t xml:space="preserve"> tarp Lietuvos ir atitinkamos užsienio valstybės yra numatyti mažesni </w:t>
      </w:r>
      <w:r>
        <w:rPr>
          <w:bCs/>
        </w:rPr>
        <w:t xml:space="preserve">negu PMĮ nustatyti </w:t>
      </w:r>
      <w:r w:rsidRPr="009B2BE8">
        <w:rPr>
          <w:bCs/>
        </w:rPr>
        <w:t>pelno mokesčio tarifai honorarams arba atskiroms pajamų rūšims</w:t>
      </w:r>
      <w:r>
        <w:rPr>
          <w:bCs/>
        </w:rPr>
        <w:t>, pvz. honorarai</w:t>
      </w:r>
      <w:r w:rsidRPr="009B2BE8">
        <w:rPr>
          <w:bCs/>
        </w:rPr>
        <w:t xml:space="preserve"> neapmokestinam</w:t>
      </w:r>
      <w:r>
        <w:rPr>
          <w:bCs/>
        </w:rPr>
        <w:t>i</w:t>
      </w:r>
      <w:r w:rsidRPr="009B2BE8">
        <w:rPr>
          <w:bCs/>
        </w:rPr>
        <w:t xml:space="preserve"> pelno mokesčiu, tai taikomi tokiose sutartyse numatyti tarifai ar palankesnis apmokestinimo režimas.</w:t>
      </w:r>
    </w:p>
    <w:p w14:paraId="26F0D5E5" w14:textId="77777777" w:rsidR="001E0C26" w:rsidRPr="00A77814" w:rsidRDefault="001E0C26" w:rsidP="001E0C26">
      <w:pPr>
        <w:ind w:firstLine="720"/>
        <w:jc w:val="both"/>
        <w:rPr>
          <w:bCs/>
        </w:rPr>
      </w:pPr>
    </w:p>
    <w:p w14:paraId="004A6EE3" w14:textId="77777777" w:rsidR="001E0C26" w:rsidRDefault="001E0C26" w:rsidP="001E0C26">
      <w:pPr>
        <w:ind w:firstLine="720"/>
        <w:jc w:val="both"/>
        <w:rPr>
          <w:b/>
          <w:bCs/>
        </w:rPr>
      </w:pPr>
      <w:r w:rsidRPr="00D834B7">
        <w:rPr>
          <w:b/>
          <w:bCs/>
        </w:rPr>
        <w:t>4. Jei nuolatinė buveinė laikoma Įstatymo 4 straipsnio 4 dalies 3 ir 5 punktuose nurodytų sumų mokėtoja ar faktiškąja savininke, tai jokia kita šio užsienio vieneto dalis nelaikoma šių sumų mokėtoja ar faktiškąja savininke.</w:t>
      </w:r>
    </w:p>
    <w:p w14:paraId="428CB2E3" w14:textId="77777777" w:rsidR="001E0C26" w:rsidRDefault="001E0C26" w:rsidP="001E0C26">
      <w:pPr>
        <w:ind w:firstLine="720"/>
        <w:jc w:val="both"/>
        <w:rPr>
          <w:b/>
          <w:bCs/>
        </w:rPr>
      </w:pPr>
      <w:r>
        <w:rPr>
          <w:b/>
          <w:bCs/>
        </w:rPr>
        <w:t>Komentaras</w:t>
      </w:r>
    </w:p>
    <w:p w14:paraId="2AB77FB1" w14:textId="77777777" w:rsidR="001E0C26" w:rsidRDefault="001E0C26" w:rsidP="001E0C26">
      <w:pPr>
        <w:ind w:firstLine="720"/>
        <w:jc w:val="both"/>
        <w:rPr>
          <w:bCs/>
        </w:rPr>
      </w:pPr>
      <w:r>
        <w:rPr>
          <w:bCs/>
        </w:rPr>
        <w:lastRenderedPageBreak/>
        <w:t xml:space="preserve">Komentuojamoji dalis </w:t>
      </w:r>
      <w:r w:rsidRPr="00A72F69">
        <w:rPr>
          <w:bCs/>
        </w:rPr>
        <w:t xml:space="preserve">reiškia, kad jei nuolatinė buveinė yra laikoma mokėtoja ar faktiškąja savininke </w:t>
      </w:r>
      <w:r>
        <w:rPr>
          <w:bCs/>
        </w:rPr>
        <w:t>sumų, nurodytų</w:t>
      </w:r>
      <w:r w:rsidRPr="00A72F69">
        <w:rPr>
          <w:bCs/>
        </w:rPr>
        <w:t xml:space="preserve"> </w:t>
      </w:r>
      <w:r>
        <w:rPr>
          <w:bCs/>
        </w:rPr>
        <w:t>PMĮ</w:t>
      </w:r>
      <w:r w:rsidRPr="00A72F69">
        <w:rPr>
          <w:bCs/>
        </w:rPr>
        <w:t xml:space="preserve"> 4 straipsnio 4 dalies 3 ir 5 punkt</w:t>
      </w:r>
      <w:r>
        <w:rPr>
          <w:bCs/>
        </w:rPr>
        <w:t>uose</w:t>
      </w:r>
      <w:r w:rsidRPr="00A72F69">
        <w:rPr>
          <w:bCs/>
        </w:rPr>
        <w:t>, tai jokia kita to užsienio vieneto dalis negali būti laikoma šių sumų mokėtoja ar faktiškąja savininke.</w:t>
      </w:r>
      <w:r>
        <w:rPr>
          <w:bCs/>
        </w:rPr>
        <w:t xml:space="preserve"> Tokiu būdu, j</w:t>
      </w:r>
      <w:r w:rsidRPr="00A72F69">
        <w:rPr>
          <w:bCs/>
        </w:rPr>
        <w:t xml:space="preserve">ei nuolatinė buveinė gauna pajamas </w:t>
      </w:r>
      <w:r>
        <w:rPr>
          <w:bCs/>
        </w:rPr>
        <w:t xml:space="preserve">ar yra tokių pajamų faktiškoji savininkė </w:t>
      </w:r>
      <w:r w:rsidRPr="00A72F69">
        <w:rPr>
          <w:bCs/>
        </w:rPr>
        <w:t>ir yra atsakinga už mokesčių mokėjimą nuo tų pajamų, tai jokia kita to užsienio vieneto dalis (pvz., jo būstinė ar kitos nuolatinės buveinės) negali būti laikoma tų pačių pajamų faktiškąja savininke.</w:t>
      </w:r>
      <w:r>
        <w:rPr>
          <w:bCs/>
        </w:rPr>
        <w:t xml:space="preserve"> Taip pat, jeigu </w:t>
      </w:r>
      <w:r w:rsidRPr="00A72F69">
        <w:rPr>
          <w:bCs/>
        </w:rPr>
        <w:t>nuolatinė buveinė</w:t>
      </w:r>
      <w:r>
        <w:rPr>
          <w:bCs/>
        </w:rPr>
        <w:t xml:space="preserve"> yra sumų, nurodytų</w:t>
      </w:r>
      <w:r w:rsidRPr="00A72F69">
        <w:rPr>
          <w:bCs/>
        </w:rPr>
        <w:t xml:space="preserve"> </w:t>
      </w:r>
      <w:r>
        <w:rPr>
          <w:bCs/>
        </w:rPr>
        <w:t>PMĮ</w:t>
      </w:r>
      <w:r w:rsidRPr="00A72F69">
        <w:rPr>
          <w:bCs/>
        </w:rPr>
        <w:t xml:space="preserve"> 4 straipsnio 4 dalies 3 ir 5 punkt</w:t>
      </w:r>
      <w:r>
        <w:rPr>
          <w:bCs/>
        </w:rPr>
        <w:t xml:space="preserve">uose, mokėtoja, tai </w:t>
      </w:r>
      <w:r w:rsidRPr="00FF59E8">
        <w:rPr>
          <w:bCs/>
        </w:rPr>
        <w:t>jokia kita šio užsienio vieneto dalis nelaikoma šių sumų mokėtoja</w:t>
      </w:r>
      <w:r>
        <w:rPr>
          <w:bCs/>
        </w:rPr>
        <w:t>.</w:t>
      </w:r>
    </w:p>
    <w:p w14:paraId="5CAA6744" w14:textId="77777777" w:rsidR="001E0C26" w:rsidRPr="00A72F69" w:rsidRDefault="001E0C26" w:rsidP="001E0C26">
      <w:pPr>
        <w:ind w:firstLine="720"/>
        <w:jc w:val="both"/>
        <w:rPr>
          <w:bCs/>
        </w:rPr>
      </w:pPr>
      <w:r w:rsidRPr="00A72F69">
        <w:rPr>
          <w:bCs/>
        </w:rPr>
        <w:t>Pavyzdys:</w:t>
      </w:r>
    </w:p>
    <w:p w14:paraId="10487DDD" w14:textId="77777777" w:rsidR="001E0C26" w:rsidRPr="00D834B7" w:rsidRDefault="001E0C26" w:rsidP="001E0C26">
      <w:pPr>
        <w:pBdr>
          <w:top w:val="single" w:sz="4" w:space="1" w:color="auto"/>
          <w:left w:val="single" w:sz="4" w:space="4" w:color="auto"/>
          <w:bottom w:val="single" w:sz="4" w:space="1" w:color="auto"/>
          <w:right w:val="single" w:sz="4" w:space="4" w:color="auto"/>
        </w:pBdr>
        <w:jc w:val="both"/>
        <w:rPr>
          <w:b/>
          <w:bCs/>
        </w:rPr>
      </w:pPr>
      <w:r w:rsidRPr="00A72F69">
        <w:rPr>
          <w:bCs/>
        </w:rPr>
        <w:t xml:space="preserve">Lietuvos įmonė </w:t>
      </w:r>
      <w:r>
        <w:rPr>
          <w:bCs/>
        </w:rPr>
        <w:t>„</w:t>
      </w:r>
      <w:r w:rsidRPr="00A72F69">
        <w:rPr>
          <w:bCs/>
        </w:rPr>
        <w:t>A</w:t>
      </w:r>
      <w:r>
        <w:rPr>
          <w:bCs/>
        </w:rPr>
        <w:t>“</w:t>
      </w:r>
      <w:r w:rsidRPr="00A72F69">
        <w:rPr>
          <w:bCs/>
        </w:rPr>
        <w:t xml:space="preserve"> turi nuolatinę buveinę kitoje ES valstybėje narėje. Nuolatinė buveinė gauna pajamas iš licencijos sutarties su trečiąja šalimi. Šiuo atveju nuolatinė buveinė laikoma faktiškąja savininke. Tai reiškia, kad pajamos bus apmokestinamos toje ES valstybėje narėje, kurioje yra įsikūrusi nuolatinė buveinė. </w:t>
      </w:r>
      <w:r>
        <w:rPr>
          <w:bCs/>
        </w:rPr>
        <w:t>Lietuvos įmonės „</w:t>
      </w:r>
      <w:r w:rsidRPr="00A72F69">
        <w:rPr>
          <w:bCs/>
        </w:rPr>
        <w:t>A</w:t>
      </w:r>
      <w:r>
        <w:rPr>
          <w:bCs/>
        </w:rPr>
        <w:t>“ būstinė (įsteigimo vieta – Lietuva)</w:t>
      </w:r>
      <w:r w:rsidRPr="00A72F69">
        <w:rPr>
          <w:bCs/>
        </w:rPr>
        <w:t xml:space="preserve"> ar kitos </w:t>
      </w:r>
      <w:r>
        <w:rPr>
          <w:bCs/>
        </w:rPr>
        <w:t xml:space="preserve">jos </w:t>
      </w:r>
      <w:r w:rsidRPr="00A72F69">
        <w:rPr>
          <w:bCs/>
        </w:rPr>
        <w:t>nuolatinės buveinės nebus laikomos šių pajamų faktiškosiomis savininkėmis</w:t>
      </w:r>
      <w:r w:rsidRPr="00166736">
        <w:rPr>
          <w:b/>
          <w:bCs/>
        </w:rPr>
        <w:t>.</w:t>
      </w:r>
    </w:p>
    <w:p w14:paraId="481138D0" w14:textId="77777777" w:rsidR="001E0C26" w:rsidRDefault="001E0C26" w:rsidP="001E0C26">
      <w:pPr>
        <w:ind w:firstLine="720"/>
        <w:jc w:val="both"/>
        <w:rPr>
          <w:b/>
          <w:bCs/>
        </w:rPr>
      </w:pPr>
      <w:r w:rsidRPr="00D834B7">
        <w:rPr>
          <w:b/>
          <w:bCs/>
        </w:rPr>
        <w:t>5. Šio straipsnio nuostatos taikomos nuolatinei buveinei, išmokančiai Įstatymo 4 straipsnio 4 dalies 3 ir 5 punktuose nurodytas sumas, jei šias sumas yra leidžiama atskaityti iš nuolatinės buveinės pajamų pagal šio Įstatymo ir kitų teisės aktų nuostatas.</w:t>
      </w:r>
    </w:p>
    <w:p w14:paraId="57BD5FDF" w14:textId="77777777" w:rsidR="001E0C26" w:rsidRDefault="001E0C26" w:rsidP="001E0C26">
      <w:pPr>
        <w:ind w:firstLine="720"/>
        <w:jc w:val="both"/>
        <w:rPr>
          <w:b/>
          <w:bCs/>
        </w:rPr>
      </w:pPr>
      <w:r>
        <w:rPr>
          <w:b/>
          <w:bCs/>
        </w:rPr>
        <w:t>Komentaras</w:t>
      </w:r>
    </w:p>
    <w:p w14:paraId="1713E5D3" w14:textId="77777777" w:rsidR="001E0C26" w:rsidRPr="00FF59E8" w:rsidRDefault="001E0C26" w:rsidP="001E0C26">
      <w:pPr>
        <w:ind w:firstLine="720"/>
        <w:jc w:val="both"/>
        <w:rPr>
          <w:bCs/>
        </w:rPr>
      </w:pPr>
      <w:r>
        <w:rPr>
          <w:bCs/>
        </w:rPr>
        <w:t xml:space="preserve">Pagal komentuojamąją dalį, </w:t>
      </w:r>
      <w:r w:rsidRPr="008F4C55">
        <w:rPr>
          <w:bCs/>
        </w:rPr>
        <w:t xml:space="preserve">jei nuolatinė buveinė išmoka </w:t>
      </w:r>
      <w:r>
        <w:rPr>
          <w:bCs/>
        </w:rPr>
        <w:t>PMĮ</w:t>
      </w:r>
      <w:r w:rsidRPr="008F4C55">
        <w:rPr>
          <w:bCs/>
        </w:rPr>
        <w:t xml:space="preserve"> 4 straipsnio 4 dalies 3 ir 5 punktuose nurodytas sumas</w:t>
      </w:r>
      <w:r>
        <w:rPr>
          <w:bCs/>
        </w:rPr>
        <w:t xml:space="preserve"> ir </w:t>
      </w:r>
      <w:r w:rsidRPr="008F4C55">
        <w:rPr>
          <w:bCs/>
        </w:rPr>
        <w:t xml:space="preserve">tos sumos gali būti atskaitytos iš nuolatinės buveinės pajamų pagal </w:t>
      </w:r>
      <w:r>
        <w:rPr>
          <w:bCs/>
        </w:rPr>
        <w:t>PMĮ</w:t>
      </w:r>
      <w:r w:rsidRPr="008F4C55">
        <w:rPr>
          <w:bCs/>
        </w:rPr>
        <w:t xml:space="preserve"> ir kitų teisės aktų nuostatas, tai </w:t>
      </w:r>
      <w:r>
        <w:rPr>
          <w:bCs/>
        </w:rPr>
        <w:t xml:space="preserve">tokios išmokos gali būti neapmokestinamos (jei yra </w:t>
      </w:r>
      <w:r w:rsidRPr="00FF59E8">
        <w:rPr>
          <w:bCs/>
        </w:rPr>
        <w:t xml:space="preserve">tenkinamos PMĮ </w:t>
      </w:r>
      <w:r>
        <w:rPr>
          <w:bCs/>
        </w:rPr>
        <w:t>37(1)</w:t>
      </w:r>
      <w:r w:rsidRPr="00FF59E8">
        <w:rPr>
          <w:bCs/>
        </w:rPr>
        <w:t xml:space="preserve"> straipsnio 1-3 dalyse nustatytos sąlygos)</w:t>
      </w:r>
      <w:r>
        <w:rPr>
          <w:bCs/>
        </w:rPr>
        <w:t>.</w:t>
      </w:r>
    </w:p>
    <w:p w14:paraId="71649422" w14:textId="77777777" w:rsidR="001E0C26" w:rsidRDefault="001E0C26" w:rsidP="001E0C26">
      <w:pPr>
        <w:ind w:firstLine="720"/>
        <w:jc w:val="both"/>
        <w:rPr>
          <w:bCs/>
        </w:rPr>
      </w:pPr>
      <w:r w:rsidRPr="00FF59E8">
        <w:rPr>
          <w:bCs/>
        </w:rPr>
        <w:t>Pavyzdys:</w:t>
      </w:r>
    </w:p>
    <w:p w14:paraId="3A93DD4E" w14:textId="77777777" w:rsidR="00706D52" w:rsidRDefault="00706D52" w:rsidP="00706D52">
      <w:pPr>
        <w:pBdr>
          <w:top w:val="single" w:sz="4" w:space="0" w:color="auto"/>
          <w:left w:val="single" w:sz="4" w:space="4" w:color="auto"/>
          <w:bottom w:val="single" w:sz="4" w:space="1" w:color="auto"/>
          <w:right w:val="single" w:sz="4" w:space="4" w:color="auto"/>
        </w:pBdr>
        <w:jc w:val="both"/>
        <w:rPr>
          <w:b/>
          <w:bCs/>
        </w:rPr>
      </w:pPr>
      <w:r>
        <w:t xml:space="preserve">ES valstybėje narėje įsikūrusi užsienio įmonė, </w:t>
      </w:r>
      <w:r w:rsidRPr="00DB568D">
        <w:rPr>
          <w:bCs/>
        </w:rPr>
        <w:t>priklausanti įmonių grupei</w:t>
      </w:r>
      <w:r w:rsidRPr="00DB568D">
        <w:t>,</w:t>
      </w:r>
      <w:r>
        <w:t xml:space="preserve"> įsteigė nuolatinę buveinę Lietuvoje. Nuolatinė buveinė išmoka honorarą už įmonės atvaizdo naudojimą (pagal PMĮ 4 str. 4 d. 3 p.) ES valstybėje </w:t>
      </w:r>
      <w:r w:rsidRPr="00DB568D">
        <w:t xml:space="preserve">narėje </w:t>
      </w:r>
      <w:r w:rsidRPr="00DB568D">
        <w:rPr>
          <w:bCs/>
        </w:rPr>
        <w:t>įsikūrusiai grupės įmonei</w:t>
      </w:r>
      <w:r>
        <w:t xml:space="preserve">. Pagal PMĮ tokios faktiškai patirtos nuolatinės buveinės išlaidos gali būti atskaitytos iš nuolatinės buveinės pajamų, </w:t>
      </w:r>
      <w:r w:rsidRPr="001B682A">
        <w:rPr>
          <w:bCs/>
        </w:rPr>
        <w:t>todėl išmokamos sumos gali būti neapmokestinamos Lietuvoje prie pajamų šaltinio, jeigu išmokų gavėjas tenkina PMĮ 37(1) straipsnyje nurodytas sąlygas.</w:t>
      </w:r>
      <w:r>
        <w:rPr>
          <w:b/>
          <w:bCs/>
        </w:rPr>
        <w:t xml:space="preserve"> </w:t>
      </w:r>
    </w:p>
    <w:p w14:paraId="559DC40A" w14:textId="77777777" w:rsidR="00F66820" w:rsidRPr="00811832" w:rsidRDefault="00F66820" w:rsidP="00F66820">
      <w:pPr>
        <w:jc w:val="both"/>
        <w:rPr>
          <w:rFonts w:ascii="Trebuchet MS" w:hAnsi="Trebuchet MS"/>
          <w:sz w:val="20"/>
          <w:szCs w:val="22"/>
          <w:lang w:val="lt-LT"/>
        </w:rPr>
      </w:pPr>
      <w:r>
        <w:t>(PMĮ 37-1 straipsnio 5 dalies komentaro pavyzdys pakeistas pagal VMI prie FM 2024-06-19 raštą Nr. (18.32-31-1 E) R-2237)</w:t>
      </w:r>
    </w:p>
    <w:p w14:paraId="20769125" w14:textId="77777777" w:rsidR="00706D52" w:rsidRPr="00FF59E8" w:rsidRDefault="00706D52" w:rsidP="001E0C26">
      <w:pPr>
        <w:ind w:firstLine="720"/>
        <w:jc w:val="both"/>
        <w:rPr>
          <w:bCs/>
        </w:rPr>
      </w:pPr>
    </w:p>
    <w:p w14:paraId="7FAB064A" w14:textId="77777777" w:rsidR="001E0C26" w:rsidRDefault="001E0C26" w:rsidP="001E0C26">
      <w:pPr>
        <w:ind w:firstLine="720"/>
        <w:jc w:val="both"/>
        <w:rPr>
          <w:b/>
          <w:bCs/>
        </w:rPr>
      </w:pPr>
      <w:r w:rsidRPr="00D834B7">
        <w:rPr>
          <w:b/>
          <w:bCs/>
        </w:rPr>
        <w:t>6. Įstatymo 4 straipsnio 4 dalies 3 ir 5 punktuose nurodytas sumas išmokantis Lietuvos vienetas ar nuolatinė buveinė turi turėti dokumentus, įrodančius, kad tenkinami šio straipsnio 1, 2 ir 3 dalyse nustatyti kriterijai. Reikalavimus šiems dokumentams nustato centrinis mokesčių administratorius.</w:t>
      </w:r>
    </w:p>
    <w:p w14:paraId="5F1D3A85" w14:textId="77777777" w:rsidR="001E0C26" w:rsidRDefault="001E0C26" w:rsidP="001E0C26">
      <w:pPr>
        <w:ind w:firstLine="720"/>
        <w:jc w:val="both"/>
        <w:rPr>
          <w:b/>
          <w:bCs/>
        </w:rPr>
      </w:pPr>
      <w:r>
        <w:rPr>
          <w:b/>
          <w:bCs/>
        </w:rPr>
        <w:t>Komentaras</w:t>
      </w:r>
    </w:p>
    <w:p w14:paraId="7F5AE10C" w14:textId="77777777" w:rsidR="001E0C26" w:rsidRPr="00FF59E8" w:rsidRDefault="001E0C26" w:rsidP="001E0C26">
      <w:pPr>
        <w:ind w:firstLine="720"/>
        <w:jc w:val="both"/>
        <w:rPr>
          <w:bCs/>
        </w:rPr>
      </w:pPr>
      <w:r>
        <w:rPr>
          <w:bCs/>
        </w:rPr>
        <w:t xml:space="preserve">Komentuojamoje dalyje nustatyta, kad </w:t>
      </w:r>
      <w:r w:rsidRPr="004E3940">
        <w:rPr>
          <w:bCs/>
        </w:rPr>
        <w:t xml:space="preserve">Lietuvos vienetas ar nuolatinė buveinė, išmokantys </w:t>
      </w:r>
      <w:r>
        <w:rPr>
          <w:bCs/>
        </w:rPr>
        <w:t>PMĮ</w:t>
      </w:r>
      <w:r w:rsidRPr="004E3940">
        <w:rPr>
          <w:bCs/>
        </w:rPr>
        <w:t xml:space="preserve"> 4 straipsnio 4 dalies 3 ir 5 punktuose nurodytas sumas</w:t>
      </w:r>
      <w:r>
        <w:rPr>
          <w:bCs/>
        </w:rPr>
        <w:t xml:space="preserve"> </w:t>
      </w:r>
      <w:r w:rsidRPr="006478A7">
        <w:rPr>
          <w:bCs/>
        </w:rPr>
        <w:t>ir siekiantys jų neapmokestinti pelno</w:t>
      </w:r>
      <w:r w:rsidRPr="00660CCB">
        <w:rPr>
          <w:b/>
          <w:bCs/>
        </w:rPr>
        <w:t xml:space="preserve"> </w:t>
      </w:r>
      <w:r w:rsidRPr="00FF59E8">
        <w:rPr>
          <w:bCs/>
        </w:rPr>
        <w:t xml:space="preserve">mokesčiu prie pajamų šaltinio, privalo turėti dokumentus, įrodančius, kad atitinka šio straipsnio 1, 2 ir 3 dalyse nustatytus kriterijus. </w:t>
      </w:r>
      <w:r>
        <w:rPr>
          <w:bCs/>
        </w:rPr>
        <w:t>V</w:t>
      </w:r>
      <w:r w:rsidRPr="00FF59E8">
        <w:rPr>
          <w:bCs/>
        </w:rPr>
        <w:t>ienetas ar nuolatinė buveinė, išmokantys minėtame straipsnyje įvardintas sumas turi įrodyti, kad jie ir išmokas gaunantis vienetas ar nuolatinė buveinė atitinka šiame straipsnyje nustatytus reikalavimus ir sąlygas. Dokumentais, įrodančiais pasiektus kriterijus</w:t>
      </w:r>
      <w:r>
        <w:rPr>
          <w:bCs/>
        </w:rPr>
        <w:t xml:space="preserve">, </w:t>
      </w:r>
      <w:r w:rsidRPr="006478A7">
        <w:rPr>
          <w:b/>
          <w:bCs/>
        </w:rPr>
        <w:t>laikomi</w:t>
      </w:r>
      <w:r w:rsidRPr="00FF59E8">
        <w:rPr>
          <w:bCs/>
        </w:rPr>
        <w:t>:</w:t>
      </w:r>
    </w:p>
    <w:p w14:paraId="5C78764E" w14:textId="77777777" w:rsidR="001E0C26" w:rsidRPr="00FF59E8" w:rsidRDefault="001E0C26" w:rsidP="001E0C26">
      <w:pPr>
        <w:ind w:firstLine="709"/>
        <w:jc w:val="both"/>
        <w:rPr>
          <w:bCs/>
        </w:rPr>
      </w:pPr>
      <w:r w:rsidRPr="00FF59E8">
        <w:rPr>
          <w:bCs/>
        </w:rPr>
        <w:lastRenderedPageBreak/>
        <w:t xml:space="preserve">a) </w:t>
      </w:r>
      <w:r>
        <w:rPr>
          <w:bCs/>
        </w:rPr>
        <w:t xml:space="preserve">išmokas </w:t>
      </w:r>
      <w:r w:rsidRPr="00FF59E8">
        <w:rPr>
          <w:bCs/>
        </w:rPr>
        <w:t>gaunanči</w:t>
      </w:r>
      <w:r>
        <w:rPr>
          <w:bCs/>
        </w:rPr>
        <w:t>ų</w:t>
      </w:r>
      <w:r w:rsidRPr="00FF59E8">
        <w:rPr>
          <w:bCs/>
        </w:rPr>
        <w:t xml:space="preserve"> vienet</w:t>
      </w:r>
      <w:r>
        <w:rPr>
          <w:bCs/>
        </w:rPr>
        <w:t>ų</w:t>
      </w:r>
      <w:r w:rsidRPr="00FF59E8">
        <w:rPr>
          <w:bCs/>
        </w:rPr>
        <w:t xml:space="preserve"> ar nuolatinės buveinės mokesčių rezidento pažyma, kurią išduoda gaunančio vieneto ar nuolatinės buveinės rezidento valstybės narės mokesčių institucija;</w:t>
      </w:r>
    </w:p>
    <w:p w14:paraId="145F6C60" w14:textId="77777777" w:rsidR="001E0C26" w:rsidRDefault="001E0C26" w:rsidP="001E0C26">
      <w:pPr>
        <w:ind w:firstLine="709"/>
        <w:jc w:val="both"/>
        <w:rPr>
          <w:bCs/>
        </w:rPr>
      </w:pPr>
      <w:r w:rsidRPr="00FF59E8">
        <w:rPr>
          <w:bCs/>
        </w:rPr>
        <w:t>b) dokumentai, patvirtinantys, kad išmokantis ir gaunantis vienetas yra asocijuoti asmenys</w:t>
      </w:r>
      <w:r>
        <w:rPr>
          <w:bCs/>
        </w:rPr>
        <w:t>.</w:t>
      </w:r>
      <w:r w:rsidRPr="00FF59E8">
        <w:rPr>
          <w:bCs/>
        </w:rPr>
        <w:t xml:space="preserve"> </w:t>
      </w:r>
      <w:r>
        <w:rPr>
          <w:bCs/>
        </w:rPr>
        <w:t xml:space="preserve">Pavyzdžiui, šie dokumentai gali apimti </w:t>
      </w:r>
      <w:r w:rsidRPr="00FF59E8">
        <w:rPr>
          <w:bCs/>
        </w:rPr>
        <w:t>akcininkų sąraš</w:t>
      </w:r>
      <w:r>
        <w:rPr>
          <w:bCs/>
        </w:rPr>
        <w:t>us</w:t>
      </w:r>
      <w:r w:rsidRPr="00FF59E8">
        <w:rPr>
          <w:bCs/>
        </w:rPr>
        <w:t>, valdymo struktūros</w:t>
      </w:r>
      <w:r w:rsidRPr="004E3940">
        <w:rPr>
          <w:bCs/>
        </w:rPr>
        <w:t xml:space="preserve"> schem</w:t>
      </w:r>
      <w:r>
        <w:rPr>
          <w:bCs/>
        </w:rPr>
        <w:t>a</w:t>
      </w:r>
      <w:r w:rsidRPr="004E3940">
        <w:rPr>
          <w:bCs/>
        </w:rPr>
        <w:t>s</w:t>
      </w:r>
      <w:r>
        <w:rPr>
          <w:bCs/>
        </w:rPr>
        <w:t xml:space="preserve">, </w:t>
      </w:r>
      <w:r w:rsidRPr="004E3940">
        <w:rPr>
          <w:bCs/>
        </w:rPr>
        <w:t>akcijų pirkimo-pardavimo sutart</w:t>
      </w:r>
      <w:r>
        <w:rPr>
          <w:bCs/>
        </w:rPr>
        <w:t>i</w:t>
      </w:r>
      <w:r w:rsidRPr="004E3940">
        <w:rPr>
          <w:bCs/>
        </w:rPr>
        <w:t>s, akcininkų susirinkimų protokol</w:t>
      </w:r>
      <w:r>
        <w:rPr>
          <w:bCs/>
        </w:rPr>
        <w:t>us</w:t>
      </w:r>
      <w:r w:rsidRPr="004E3940">
        <w:rPr>
          <w:bCs/>
        </w:rPr>
        <w:t xml:space="preserve"> ir kt.</w:t>
      </w:r>
    </w:p>
    <w:p w14:paraId="2BCD50C7" w14:textId="77777777" w:rsidR="001E0C26" w:rsidRDefault="001E0C26" w:rsidP="001E0C26">
      <w:pPr>
        <w:ind w:firstLine="720"/>
        <w:jc w:val="both"/>
        <w:rPr>
          <w:b/>
          <w:bCs/>
        </w:rPr>
      </w:pPr>
      <w:r w:rsidRPr="00D834B7">
        <w:rPr>
          <w:b/>
          <w:bCs/>
        </w:rPr>
        <w:t>7. Šio straipsnio nuostatos taikomos taip pat valstybėms ir Europos Sąjungos valstybėms narėms priklausomoms teritorijoms, jeigu toks taikymas numatytas Europos Sąjungos teisės aktuose.</w:t>
      </w:r>
    </w:p>
    <w:p w14:paraId="7EA0BB14" w14:textId="77777777" w:rsidR="001E0C26" w:rsidRDefault="001E0C26" w:rsidP="001E0C26">
      <w:pPr>
        <w:pStyle w:val="Paprastasistekstas"/>
        <w:spacing w:before="0" w:beforeAutospacing="0" w:after="0" w:afterAutospacing="0"/>
        <w:ind w:firstLine="720"/>
        <w:jc w:val="both"/>
        <w:rPr>
          <w:rFonts w:ascii="Times New Roman" w:hAnsi="Times New Roman" w:cs="Times New Roman"/>
          <w:b/>
          <w:bCs/>
        </w:rPr>
      </w:pPr>
      <w:r>
        <w:rPr>
          <w:rFonts w:ascii="Times New Roman" w:hAnsi="Times New Roman" w:cs="Times New Roman"/>
          <w:b/>
          <w:bCs/>
        </w:rPr>
        <w:t>Komentaras</w:t>
      </w:r>
    </w:p>
    <w:p w14:paraId="7735F7D5" w14:textId="77777777" w:rsidR="001E0C26" w:rsidRPr="004D0D10" w:rsidRDefault="001E0C26" w:rsidP="001E0C26">
      <w:pPr>
        <w:pStyle w:val="Paprastasistekstas"/>
        <w:spacing w:before="0" w:beforeAutospacing="0" w:after="0" w:afterAutospacing="0"/>
        <w:ind w:firstLine="720"/>
        <w:jc w:val="both"/>
        <w:rPr>
          <w:rFonts w:ascii="Times New Roman" w:hAnsi="Times New Roman" w:cs="Times New Roman"/>
          <w:bCs/>
        </w:rPr>
      </w:pPr>
      <w:r w:rsidRPr="004D0D10">
        <w:rPr>
          <w:rFonts w:ascii="Times New Roman" w:hAnsi="Times New Roman" w:cs="Times New Roman"/>
          <w:bCs/>
        </w:rPr>
        <w:t>Šio straipsnio nuostatos taikomos ne tik Europos Sąjungos valstybėms narėms, bet ir teritorijoms, priklausančioms Europos Sąjungos valstybėms narėms, jeigu toks taikymas numatytas Europos Sąjungos teisės aktuose.</w:t>
      </w:r>
      <w:r>
        <w:rPr>
          <w:rFonts w:ascii="Times New Roman" w:hAnsi="Times New Roman" w:cs="Times New Roman"/>
          <w:bCs/>
        </w:rPr>
        <w:t xml:space="preserve"> Tokiu būdu, j</w:t>
      </w:r>
      <w:r w:rsidRPr="004D0D10">
        <w:rPr>
          <w:rFonts w:ascii="Times New Roman" w:hAnsi="Times New Roman" w:cs="Times New Roman"/>
          <w:bCs/>
        </w:rPr>
        <w:t xml:space="preserve">ei Europos Sąjungos teisės aktai numato, kad mokestis </w:t>
      </w:r>
      <w:r>
        <w:rPr>
          <w:rFonts w:ascii="Times New Roman" w:hAnsi="Times New Roman" w:cs="Times New Roman"/>
          <w:bCs/>
        </w:rPr>
        <w:t xml:space="preserve">prie pajamų šaltinio </w:t>
      </w:r>
      <w:r w:rsidRPr="004D0D10">
        <w:rPr>
          <w:rFonts w:ascii="Times New Roman" w:hAnsi="Times New Roman" w:cs="Times New Roman"/>
          <w:bCs/>
        </w:rPr>
        <w:t>netaikomas išmokamoms PMĮ 4 straipsnio 4 dalies 3 ir 5 punktuose nurodyt</w:t>
      </w:r>
      <w:r>
        <w:rPr>
          <w:rFonts w:ascii="Times New Roman" w:hAnsi="Times New Roman" w:cs="Times New Roman"/>
          <w:bCs/>
        </w:rPr>
        <w:t>oms sumom</w:t>
      </w:r>
      <w:r w:rsidRPr="004D0D10">
        <w:rPr>
          <w:rFonts w:ascii="Times New Roman" w:hAnsi="Times New Roman" w:cs="Times New Roman"/>
          <w:bCs/>
        </w:rPr>
        <w:t xml:space="preserve">s tam tikroje teritorijoje, priklausančioje Europos Sąjungos valstybei narei, tai </w:t>
      </w:r>
      <w:r>
        <w:rPr>
          <w:rFonts w:ascii="Times New Roman" w:hAnsi="Times New Roman" w:cs="Times New Roman"/>
          <w:bCs/>
        </w:rPr>
        <w:t xml:space="preserve">išmokant nurodytas sumas Lietuvoje, jos gali būti neapmokestinamos, jei </w:t>
      </w:r>
      <w:r w:rsidRPr="00FF59E8">
        <w:rPr>
          <w:rFonts w:ascii="Times New Roman" w:hAnsi="Times New Roman" w:cs="Times New Roman"/>
          <w:bCs/>
        </w:rPr>
        <w:t xml:space="preserve">atitinka komentuojamojo straipsnio 1-5 dalių nuostatas (žr. PMĮ </w:t>
      </w:r>
      <w:r>
        <w:rPr>
          <w:rFonts w:ascii="Times New Roman" w:hAnsi="Times New Roman" w:cs="Times New Roman"/>
          <w:bCs/>
        </w:rPr>
        <w:t>37(1)</w:t>
      </w:r>
      <w:r w:rsidRPr="00FF59E8">
        <w:rPr>
          <w:rFonts w:ascii="Times New Roman" w:hAnsi="Times New Roman" w:cs="Times New Roman"/>
          <w:bCs/>
        </w:rPr>
        <w:t xml:space="preserve"> straipsnio 1-5 dalių komentarą).</w:t>
      </w:r>
    </w:p>
    <w:p w14:paraId="6C719319" w14:textId="77777777" w:rsidR="00093845" w:rsidRPr="00A54974" w:rsidRDefault="000B11C2" w:rsidP="00A54974">
      <w:pPr>
        <w:jc w:val="both"/>
        <w:rPr>
          <w:sz w:val="22"/>
          <w:szCs w:val="22"/>
          <w:lang w:val="lt-LT"/>
        </w:rPr>
      </w:pPr>
      <w:r w:rsidRPr="000B11C2">
        <w:t>(PMĮ 37-1 straipsnio komentaras pakeistas pagal VMI prie FM 2024-05-21 raštą Nr. (18.32-31-1 E) R-1856).</w:t>
      </w:r>
    </w:p>
    <w:p w14:paraId="5C251580" w14:textId="77777777" w:rsidR="00EC07A8" w:rsidRPr="00480C1E" w:rsidRDefault="00EC07A8" w:rsidP="00EC07A8">
      <w:pPr>
        <w:pStyle w:val="Antrat1"/>
        <w:jc w:val="both"/>
        <w:rPr>
          <w:bCs w:val="0"/>
          <w:szCs w:val="22"/>
          <w:lang w:val="lt-LT"/>
        </w:rPr>
      </w:pPr>
      <w:bookmarkStart w:id="525" w:name="_*37(2)_straipsnis._Užsienio"/>
      <w:bookmarkEnd w:id="525"/>
      <w:r w:rsidRPr="00EC07A8">
        <w:rPr>
          <w:bCs w:val="0"/>
          <w:szCs w:val="22"/>
          <w:lang w:val="lt-LT"/>
        </w:rPr>
        <w:t>37</w:t>
      </w:r>
      <w:r>
        <w:rPr>
          <w:bCs w:val="0"/>
          <w:szCs w:val="22"/>
          <w:vertAlign w:val="superscript"/>
          <w:lang w:val="lt-LT"/>
        </w:rPr>
        <w:t>2</w:t>
      </w:r>
      <w:r w:rsidRPr="00EC07A8">
        <w:rPr>
          <w:bCs w:val="0"/>
          <w:szCs w:val="22"/>
          <w:lang w:val="lt-LT"/>
        </w:rPr>
        <w:t xml:space="preserve"> STRAIPSNIS. Užsienio vieneto pajamų, gautų ne per jo nuolatines buveines Lietuvos Respublikoje, išvardytų šio Įstatymo 4 straipsnio 4 dalies 1 punkte, specialios apmokestinimo sąlygos.  NETEKO GALIOS</w:t>
      </w:r>
      <w:r w:rsidRPr="00480C1E">
        <w:rPr>
          <w:bCs w:val="0"/>
          <w:szCs w:val="22"/>
          <w:lang w:val="lt-LT"/>
        </w:rPr>
        <w:t>: 2004 04 29 įstatymu Nr. IX-2201 (nuo 2010 01 01 – remiantis 2009 07 22 įstatymu Nr. XI-388)</w:t>
      </w:r>
    </w:p>
    <w:p w14:paraId="15B6AD3D" w14:textId="77777777" w:rsidR="00EC07A8" w:rsidRDefault="00EC07A8" w:rsidP="00EC07A8">
      <w:pPr>
        <w:pStyle w:val="Antrat1"/>
        <w:keepNext w:val="0"/>
        <w:tabs>
          <w:tab w:val="left" w:pos="720"/>
          <w:tab w:val="left" w:pos="1080"/>
        </w:tabs>
        <w:jc w:val="both"/>
        <w:rPr>
          <w:rFonts w:ascii="Times New Roman" w:hAnsi="Times New Roman" w:cs="Times New Roman"/>
          <w:kern w:val="0"/>
          <w:lang w:val="lt-LT"/>
        </w:rPr>
      </w:pPr>
    </w:p>
    <w:p w14:paraId="1C20B98E" w14:textId="77777777" w:rsidR="00EC07A8" w:rsidRDefault="00EC07A8" w:rsidP="00EC07A8">
      <w:pPr>
        <w:pStyle w:val="Antrat1"/>
        <w:keepNext w:val="0"/>
        <w:tabs>
          <w:tab w:val="left" w:pos="720"/>
          <w:tab w:val="left" w:pos="1080"/>
        </w:tabs>
        <w:jc w:val="both"/>
        <w:rPr>
          <w:rFonts w:ascii="Times New Roman" w:hAnsi="Times New Roman" w:cs="Times New Roman"/>
          <w:kern w:val="0"/>
          <w:lang w:val="lt-LT"/>
        </w:rPr>
      </w:pPr>
      <w:r w:rsidRPr="00EC07A8">
        <w:t xml:space="preserve"> </w:t>
      </w:r>
      <w:r w:rsidRPr="00EC07A8">
        <w:rPr>
          <w:rFonts w:ascii="Times New Roman" w:hAnsi="Times New Roman" w:cs="Times New Roman"/>
          <w:kern w:val="0"/>
          <w:lang w:val="lt-LT"/>
        </w:rPr>
        <w:t>37</w:t>
      </w:r>
      <w:r>
        <w:rPr>
          <w:rFonts w:ascii="Times New Roman" w:hAnsi="Times New Roman" w:cs="Times New Roman"/>
          <w:kern w:val="0"/>
          <w:vertAlign w:val="superscript"/>
          <w:lang w:val="lt-LT"/>
        </w:rPr>
        <w:t>3</w:t>
      </w:r>
      <w:r w:rsidRPr="00EC07A8">
        <w:rPr>
          <w:rFonts w:ascii="Times New Roman" w:hAnsi="Times New Roman" w:cs="Times New Roman"/>
          <w:kern w:val="0"/>
          <w:lang w:val="lt-LT"/>
        </w:rPr>
        <w:t xml:space="preserve"> STRAIPSNIS. Gautos paramos, panaudotos ne pagal Lietuvos Respublikos labdaros įstatyme nustatytą paramos paskirtį, ir grynais pinigais gautos paramos apmokestinimas</w:t>
      </w:r>
    </w:p>
    <w:p w14:paraId="2E7B3F80" w14:textId="77777777" w:rsidR="00093845" w:rsidRDefault="000D779E" w:rsidP="00EC07A8">
      <w:pPr>
        <w:jc w:val="both"/>
        <w:rPr>
          <w:b/>
          <w:bCs/>
          <w:lang w:val="lt-LT"/>
        </w:rPr>
      </w:pPr>
      <w:bookmarkStart w:id="526" w:name="_*37(3)_straipsnis._Gautos"/>
      <w:bookmarkEnd w:id="526"/>
      <w:r w:rsidRPr="00EC07A8">
        <w:rPr>
          <w:rFonts w:ascii="TimesLT" w:hAnsi="TimesLT" w:cs="Arial Unicode MS"/>
          <w:b/>
          <w:kern w:val="36"/>
          <w:szCs w:val="22"/>
          <w:lang w:val="lt-LT"/>
        </w:rPr>
        <w:t xml:space="preserve">         </w:t>
      </w:r>
      <w:r>
        <w:rPr>
          <w:b/>
          <w:bCs/>
          <w:lang w:val="lt-LT"/>
        </w:rPr>
        <w:t>Vienetas nuo gautos paramos, panaudotos ne pagal Lietuvos Respublikos labdaros ir paramos įstatyme nustatytą paramos paskirtį, taip pat nuo iš vieno paramos teikėjo per mokestinį laikotarpį grynais pinigais gautos paramos dalies, viršijančios 250 MGL dydžio sumą, apskaičiuoja ir sumoka į biudžetą pelno mokestį šio Įstatymo nustatyta tvarka.</w:t>
      </w:r>
    </w:p>
    <w:p w14:paraId="493FCCD8" w14:textId="77777777" w:rsidR="00093845" w:rsidRPr="00062580" w:rsidRDefault="000D779E" w:rsidP="003F429C">
      <w:pPr>
        <w:jc w:val="both"/>
        <w:rPr>
          <w:bCs/>
          <w:i/>
          <w:iCs/>
          <w:lang w:val="lt-LT"/>
        </w:rPr>
      </w:pPr>
      <w:r w:rsidRPr="00062580">
        <w:rPr>
          <w:bCs/>
          <w:i/>
          <w:lang w:val="lt-LT"/>
        </w:rPr>
        <w:t>(</w:t>
      </w:r>
      <w:r w:rsidRPr="00062580">
        <w:rPr>
          <w:i/>
          <w:iCs/>
          <w:color w:val="000000"/>
          <w:lang w:eastAsia="lt-LT"/>
        </w:rPr>
        <w:t>KEISTA: 2005 12 20 įstatymu Nr. X-456 (nuo 2006 01 01)</w:t>
      </w:r>
      <w:r w:rsidR="00F33038" w:rsidRPr="00062580">
        <w:rPr>
          <w:i/>
          <w:iCs/>
          <w:color w:val="000000"/>
          <w:lang w:eastAsia="lt-LT"/>
        </w:rPr>
        <w:t>,</w:t>
      </w:r>
      <w:r w:rsidR="00B90985" w:rsidRPr="00062580">
        <w:rPr>
          <w:i/>
        </w:rPr>
        <w:t xml:space="preserve"> </w:t>
      </w:r>
      <w:r w:rsidR="00B90985" w:rsidRPr="00062580">
        <w:rPr>
          <w:i/>
          <w:iCs/>
          <w:color w:val="000000"/>
          <w:lang w:eastAsia="lt-LT"/>
        </w:rPr>
        <w:t>nuostatos taikomos apskaičiuojant 2006 metais prasidėjusio ir vėlesnių mokestinių laikotarpių apmokestinamąjį pelną</w:t>
      </w:r>
      <w:r w:rsidRPr="00062580">
        <w:rPr>
          <w:bCs/>
          <w:i/>
          <w:iCs/>
          <w:lang w:val="lt-LT"/>
        </w:rPr>
        <w:t>)</w:t>
      </w:r>
    </w:p>
    <w:p w14:paraId="2FA24EEA" w14:textId="77777777" w:rsidR="00093845" w:rsidRDefault="00093845">
      <w:pPr>
        <w:jc w:val="both"/>
        <w:rPr>
          <w:bCs/>
          <w:lang w:val="lt-LT"/>
        </w:rPr>
      </w:pPr>
    </w:p>
    <w:p w14:paraId="00BA35B0" w14:textId="77777777" w:rsidR="00093845" w:rsidRDefault="000D779E">
      <w:pPr>
        <w:ind w:firstLine="720"/>
        <w:jc w:val="both"/>
        <w:rPr>
          <w:b/>
          <w:bCs/>
          <w:lang w:val="lt-LT"/>
        </w:rPr>
      </w:pPr>
      <w:r>
        <w:rPr>
          <w:b/>
          <w:bCs/>
          <w:lang w:val="lt-LT"/>
        </w:rPr>
        <w:t>Komentaras</w:t>
      </w:r>
    </w:p>
    <w:p w14:paraId="02AA49C7" w14:textId="77777777" w:rsidR="00093845" w:rsidRDefault="000D779E">
      <w:pPr>
        <w:ind w:firstLine="720"/>
        <w:jc w:val="both"/>
        <w:rPr>
          <w:lang w:val="lt-LT"/>
        </w:rPr>
      </w:pPr>
      <w:r>
        <w:rPr>
          <w:lang w:val="lt-LT"/>
        </w:rPr>
        <w:t xml:space="preserve">Pagal </w:t>
      </w:r>
      <w:r>
        <w:rPr>
          <w:u w:val="single"/>
          <w:lang w:val="lt-LT"/>
        </w:rPr>
        <w:t>PMĮ 4 str. 6 dalį</w:t>
      </w:r>
      <w:r>
        <w:rPr>
          <w:lang w:val="lt-LT"/>
        </w:rPr>
        <w:t xml:space="preserve"> nuo 2006 metais prasidėjusio mokestinio laikotarpio nustatoma atskira pelno mokesčio bazė paramai, panaudotai ne pagal Lietuvos Respublikos labdaros ir paramos įstatyme nustatytą paramos panaudojimo paskirtį ir grynais pinigais gautos paramos daliai, viršijančiai 250 MGL.</w:t>
      </w:r>
    </w:p>
    <w:p w14:paraId="59DD0A8B" w14:textId="77777777" w:rsidR="00093845" w:rsidRDefault="000D779E">
      <w:pPr>
        <w:ind w:firstLine="720"/>
        <w:jc w:val="both"/>
        <w:rPr>
          <w:lang w:val="lt-LT"/>
        </w:rPr>
      </w:pPr>
      <w:r>
        <w:rPr>
          <w:lang w:val="lt-LT"/>
        </w:rPr>
        <w:t xml:space="preserve">Vieneto mokesčio bazei pagal </w:t>
      </w:r>
      <w:r>
        <w:rPr>
          <w:u w:val="single"/>
          <w:lang w:val="lt-LT"/>
        </w:rPr>
        <w:t>PMĮ 4 str. 6 dalį</w:t>
      </w:r>
      <w:r>
        <w:rPr>
          <w:lang w:val="lt-LT"/>
        </w:rPr>
        <w:t xml:space="preserve"> priskirta parama apmokestinama  taikant </w:t>
      </w:r>
      <w:r>
        <w:rPr>
          <w:u w:val="single"/>
          <w:lang w:val="lt-LT"/>
        </w:rPr>
        <w:t>PMĮ 5 str. 1 d. 4 punkto</w:t>
      </w:r>
      <w:r>
        <w:rPr>
          <w:lang w:val="lt-LT"/>
        </w:rPr>
        <w:t xml:space="preserve"> nuostatas. Mokestis apskaičiuojamas už visą mokestinį laikotarpį ir sumokamas ta pačia tvarka ir terminais, kaip ir pelno mokestis nuo apmokestinamojo pelno (žr. </w:t>
      </w:r>
      <w:r>
        <w:rPr>
          <w:u w:val="single"/>
          <w:lang w:val="lt-LT"/>
        </w:rPr>
        <w:t>PMĮ 51 str. 2 dalies komentarą).</w:t>
      </w:r>
    </w:p>
    <w:p w14:paraId="0FEA6521" w14:textId="77777777" w:rsidR="00093845" w:rsidRDefault="00093845">
      <w:pPr>
        <w:tabs>
          <w:tab w:val="left" w:pos="720"/>
          <w:tab w:val="left" w:pos="1077"/>
          <w:tab w:val="left" w:pos="1418"/>
        </w:tabs>
        <w:jc w:val="both"/>
        <w:rPr>
          <w:lang w:val="lt-LT"/>
        </w:rPr>
      </w:pPr>
    </w:p>
    <w:p w14:paraId="2E365A10" w14:textId="77777777" w:rsidR="00093845" w:rsidRDefault="000D779E">
      <w:pPr>
        <w:pStyle w:val="Pagrindiniotekstotrauka"/>
        <w:ind w:firstLine="0"/>
        <w:jc w:val="center"/>
        <w:rPr>
          <w:rFonts w:ascii="Times New Roman" w:hAnsi="Times New Roman"/>
          <w:b/>
          <w:bCs/>
          <w:color w:val="000000"/>
          <w:lang w:val="lt-LT"/>
        </w:rPr>
      </w:pPr>
      <w:r>
        <w:rPr>
          <w:rFonts w:ascii="Times New Roman" w:hAnsi="Times New Roman"/>
          <w:b/>
          <w:bCs/>
          <w:color w:val="000000"/>
          <w:lang w:val="lt-LT"/>
        </w:rPr>
        <w:lastRenderedPageBreak/>
        <w:t>VIII SKYRIUS</w:t>
      </w:r>
    </w:p>
    <w:p w14:paraId="7629DEB1" w14:textId="77777777" w:rsidR="00093845" w:rsidRDefault="00093845">
      <w:pPr>
        <w:pStyle w:val="Pagrindiniotekstotrauka"/>
        <w:ind w:firstLine="0"/>
        <w:jc w:val="center"/>
        <w:rPr>
          <w:rFonts w:ascii="Times New Roman" w:hAnsi="Times New Roman"/>
          <w:b/>
          <w:bCs/>
          <w:color w:val="000000"/>
          <w:lang w:val="lt-LT"/>
        </w:rPr>
      </w:pPr>
    </w:p>
    <w:p w14:paraId="3F51260F" w14:textId="77777777" w:rsidR="00093845" w:rsidRDefault="000D779E">
      <w:pPr>
        <w:jc w:val="center"/>
        <w:rPr>
          <w:b/>
          <w:bCs/>
          <w:lang w:val="lt-LT"/>
        </w:rPr>
      </w:pPr>
      <w:r>
        <w:rPr>
          <w:b/>
          <w:bCs/>
          <w:lang w:val="lt-LT"/>
        </w:rPr>
        <w:t>SPECIALIOS PAJAMŲ APMOKESTINIMO SĄLYGOS</w:t>
      </w:r>
    </w:p>
    <w:p w14:paraId="272DEDBC" w14:textId="77777777" w:rsidR="00093845" w:rsidRDefault="000D779E">
      <w:pPr>
        <w:pStyle w:val="Antrat4"/>
        <w:ind w:hanging="567"/>
      </w:pPr>
      <w:r>
        <w:t xml:space="preserve">38 STRAIPSNIS. Turto ar turtinio komplekso nuomos apmokestinimo atvejai </w:t>
      </w:r>
    </w:p>
    <w:p w14:paraId="2806086F" w14:textId="77777777" w:rsidR="00093845" w:rsidRDefault="000D779E" w:rsidP="00333488">
      <w:pPr>
        <w:pStyle w:val="Pagrindiniotekstotrauka2"/>
        <w:tabs>
          <w:tab w:val="left" w:pos="720"/>
          <w:tab w:val="left" w:pos="1077"/>
          <w:tab w:val="left" w:pos="1418"/>
        </w:tabs>
        <w:spacing w:after="0" w:line="240" w:lineRule="auto"/>
      </w:pPr>
      <w:r>
        <w:t>1.</w:t>
      </w:r>
      <w:r>
        <w:tab/>
        <w:t>Jei vieneto turtas arba turtinis kompleksas yra perduotas pagal nuomos sandorį, apskaičiuojant pelno mokestį toks turto arba turtinio komplekso perdavimas mokesčio administratoriaus sprendimu gali būti apmokestinamas kaip pardavimas, jei nuomos sandoris atitinka nors vieną iš šių kriterijų:</w:t>
      </w:r>
    </w:p>
    <w:p w14:paraId="0A7E5A93" w14:textId="77777777" w:rsidR="00093845" w:rsidRDefault="000D779E" w:rsidP="00333488">
      <w:pPr>
        <w:spacing w:after="0"/>
        <w:jc w:val="both"/>
        <w:rPr>
          <w:bCs/>
          <w:i/>
          <w:lang w:val="fr-FR"/>
        </w:rPr>
      </w:pPr>
      <w:r w:rsidRPr="00062580">
        <w:rPr>
          <w:bCs/>
          <w:i/>
          <w:lang w:val="fr-FR"/>
        </w:rPr>
        <w:t>(</w:t>
      </w:r>
      <w:r w:rsidRPr="00062580">
        <w:rPr>
          <w:i/>
          <w:iCs/>
          <w:color w:val="000000"/>
          <w:lang w:eastAsia="lt-LT"/>
        </w:rPr>
        <w:t>KEISTA: 2003 07 01 įstatymu Nr. IX-1659 (nuo 2003 07 25)</w:t>
      </w:r>
      <w:r w:rsidR="00F33038" w:rsidRPr="00062580">
        <w:rPr>
          <w:i/>
          <w:iCs/>
          <w:color w:val="000000"/>
          <w:lang w:eastAsia="lt-LT"/>
        </w:rPr>
        <w:t>,</w:t>
      </w:r>
      <w:r w:rsidR="00B90985" w:rsidRPr="00062580">
        <w:rPr>
          <w:i/>
        </w:rPr>
        <w:t xml:space="preserve"> </w:t>
      </w:r>
      <w:r w:rsidR="00B90985" w:rsidRPr="00062580">
        <w:rPr>
          <w:i/>
          <w:iCs/>
          <w:color w:val="000000"/>
          <w:lang w:eastAsia="lt-LT"/>
        </w:rPr>
        <w:t>nuostatos taikomos apskaičiuojant 2002 metais prasidėjusio ir vėlesnių mokestinių laikotarpių apmokestinamąjį pelną</w:t>
      </w:r>
      <w:r w:rsidRPr="00062580">
        <w:rPr>
          <w:bCs/>
          <w:i/>
          <w:lang w:val="fr-FR"/>
        </w:rPr>
        <w:t xml:space="preserve">) </w:t>
      </w:r>
    </w:p>
    <w:p w14:paraId="2C65817C" w14:textId="77777777" w:rsidR="005E1525" w:rsidRPr="00062580" w:rsidRDefault="005E1525" w:rsidP="00333488">
      <w:pPr>
        <w:spacing w:after="0"/>
        <w:jc w:val="both"/>
        <w:rPr>
          <w:bCs/>
          <w:i/>
          <w:lang w:val="fr-FR"/>
        </w:rPr>
      </w:pPr>
    </w:p>
    <w:p w14:paraId="4D2541D8" w14:textId="77777777" w:rsidR="00093845" w:rsidRDefault="000D779E">
      <w:pPr>
        <w:ind w:firstLine="720"/>
        <w:jc w:val="both"/>
        <w:rPr>
          <w:b/>
          <w:bCs/>
          <w:lang w:val="lt-LT"/>
        </w:rPr>
      </w:pPr>
      <w:r>
        <w:rPr>
          <w:b/>
          <w:bCs/>
          <w:lang w:val="lt-LT"/>
        </w:rPr>
        <w:t>Komentaras</w:t>
      </w:r>
    </w:p>
    <w:p w14:paraId="295BE678"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 xml:space="preserve">PMĮ 38 straipsnis nereglamentuoja turto ar turtinio komplekso, t.y. ilgalaikio turto (toliau komentare – turtas) nuomos sandorio sudarymo tvarkos: šiame straipsnyje tik pelno mokesčio apskaičiavimo tikslais toks sandoris gali būti apibrėžiamas kaip pardavimo sandoris ir nustatomas pajamų pripažinimo momentas. Mokesčių administratoriui suteikta teisė jo sprendimu pripažinti tokį nuomos sandorį pardavimu. Todėl, jeigu nuomos sandoris atitinka nors vieną iš 38 str. 1 dalyje nustatytą kriterijų ir bus pakankamai pagrindo manyti, kad sudarytu nuomos sandoriu realiai buvo siekiama ,,paslėpti” pardavimą, mokesčių administratorius gali priimti sprendimą tokį sandorį apmokestinti kaip pardavimą. Vertinant sandorius, turėtų būti atsižvelgta į tarpusavio ryšius tarp sandorio šalių, numatytas nuomotojo ir nuomininko teises perduoto turto atžvilgiu, šalių įsipareigojimus, veiklos pobūdį, vyraujančias rinkos sąlygas ir į kitas aplinkybes. </w:t>
      </w:r>
    </w:p>
    <w:p w14:paraId="45A54BC1" w14:textId="77777777" w:rsidR="00093845" w:rsidRDefault="000D779E">
      <w:pPr>
        <w:tabs>
          <w:tab w:val="left" w:pos="720"/>
          <w:tab w:val="left" w:pos="1077"/>
          <w:tab w:val="left" w:pos="1418"/>
        </w:tabs>
        <w:ind w:firstLine="720"/>
        <w:jc w:val="both"/>
        <w:rPr>
          <w:lang w:val="lt-LT"/>
        </w:rPr>
      </w:pPr>
      <w:r>
        <w:rPr>
          <w:lang w:val="lt-LT"/>
        </w:rPr>
        <w:t>2.</w:t>
      </w:r>
      <w:r>
        <w:rPr>
          <w:lang w:val="lt-LT"/>
        </w:rPr>
        <w:tab/>
        <w:t>Pažymėtina, kad mokesčių mokėtojai turto perdavimą pagal tokį nuomos sandorį, kuris akivaizdžiai atitinka 38 str. 1 dalyje nustatytus kriterijus ir sudarytas</w:t>
      </w:r>
      <w:r>
        <w:rPr>
          <w:b/>
          <w:bCs/>
          <w:lang w:val="lt-LT"/>
        </w:rPr>
        <w:t xml:space="preserve"> </w:t>
      </w:r>
      <w:r>
        <w:rPr>
          <w:lang w:val="lt-LT"/>
        </w:rPr>
        <w:t xml:space="preserve">siekiant turtą parduoti, o ne nuomoti, kaip pardavimą gali apmokestinti patys. </w:t>
      </w:r>
    </w:p>
    <w:p w14:paraId="715813DC"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Šios straipsnio nuostatos taikomos turtui, perduotam po PMĮ įsigaliojimo, t.y. po 2002 m. sausio 1 dienos. Jeigu nuomos sutartis sudaryta iki 2002 m. sausio 1 dienos, tačiau pagal šią sutartį nuomininkui turtas perduotas po šios datos, tai toks turto perdavimas tai pat gali būti apmokestinamas kaip pardavimas, o į nuomos terminą įskaičiuojamas ir iki šios datos praėjęs laikotarpis. </w:t>
      </w:r>
    </w:p>
    <w:p w14:paraId="5AFEDC93" w14:textId="77777777" w:rsidR="00093845" w:rsidRDefault="000D779E">
      <w:pPr>
        <w:tabs>
          <w:tab w:val="left" w:pos="720"/>
          <w:tab w:val="left" w:pos="1077"/>
          <w:tab w:val="left" w:pos="1418"/>
        </w:tabs>
        <w:ind w:firstLine="720"/>
        <w:jc w:val="both"/>
        <w:rPr>
          <w:lang w:val="lt-LT"/>
        </w:rPr>
      </w:pPr>
      <w:r>
        <w:rPr>
          <w:lang w:val="lt-LT"/>
        </w:rPr>
        <w:t xml:space="preserve">Jeigu vieneto mokestinis laikotarpis nesutampa su kalendoriniais metais, tai šis straipsnis taikomas nuo 2002 m. prasidedančio mokestinio laikotarpio pradžios. </w:t>
      </w:r>
    </w:p>
    <w:p w14:paraId="7E60E4C4"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Turto perdavimas pagal nuomos sandorį gali būti apmokestinamas kaip pardavimas tuo mokestiniu laikotarpiu, kurį šis turtas buvo perduotas nuomininkui. </w:t>
      </w:r>
    </w:p>
    <w:p w14:paraId="66352C9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5.</w:t>
      </w:r>
      <w:r>
        <w:rPr>
          <w:b w:val="0"/>
          <w:bCs w:val="0"/>
        </w:rPr>
        <w:tab/>
        <w:t>Tam, kad šio straipsnio normos būtų taikomos nuomos sandoriui, pakanka, kad toks sandoris atitiktų nors vieną iš šio straipsnio 1 dalyje nurodytų 4 kriterijų.</w:t>
      </w:r>
    </w:p>
    <w:p w14:paraId="20FC5A39"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 xml:space="preserve">Šio straipsnio normos netaikomos pagal panaudos sutartis ar patikėjimo teise perduotam turtui. </w:t>
      </w:r>
    </w:p>
    <w:p w14:paraId="0C1E0D7C" w14:textId="77777777" w:rsidR="00093845" w:rsidRDefault="000D779E">
      <w:pPr>
        <w:tabs>
          <w:tab w:val="left" w:pos="720"/>
          <w:tab w:val="left" w:pos="1077"/>
          <w:tab w:val="left" w:pos="1418"/>
        </w:tabs>
        <w:ind w:firstLine="720"/>
        <w:jc w:val="both"/>
        <w:rPr>
          <w:b/>
          <w:bCs/>
          <w:lang w:val="lt-LT"/>
        </w:rPr>
      </w:pPr>
      <w:r>
        <w:rPr>
          <w:b/>
          <w:bCs/>
          <w:lang w:val="lt-LT"/>
        </w:rPr>
        <w:t>1)</w:t>
      </w:r>
      <w:r>
        <w:rPr>
          <w:b/>
          <w:bCs/>
          <w:lang w:val="lt-LT"/>
        </w:rPr>
        <w:tab/>
        <w:t>nuomos terminas ilgesnis kaip 30 metų, išskyrus atvejus, kai Lietuvos Respublikos įstatymų nustatyta tvarka išnuomojama žemė arba turto nuomininkas yra nustatytas šio Įstatymo 3 straipsnio 2 dalyje;</w:t>
      </w:r>
    </w:p>
    <w:p w14:paraId="77F7FA2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7F459006" w14:textId="77777777" w:rsidR="00093845" w:rsidRDefault="000D779E">
      <w:pPr>
        <w:tabs>
          <w:tab w:val="left" w:pos="720"/>
          <w:tab w:val="left" w:pos="1077"/>
          <w:tab w:val="left" w:pos="1418"/>
        </w:tabs>
        <w:ind w:firstLine="720"/>
        <w:jc w:val="both"/>
        <w:rPr>
          <w:lang w:val="lt-LT"/>
        </w:rPr>
      </w:pPr>
      <w:r>
        <w:rPr>
          <w:lang w:val="lt-LT"/>
        </w:rPr>
        <w:lastRenderedPageBreak/>
        <w:t>1.</w:t>
      </w:r>
      <w:r>
        <w:rPr>
          <w:lang w:val="lt-LT"/>
        </w:rPr>
        <w:tab/>
        <w:t xml:space="preserve">Jeigu vieneto turtas perduodamas pagal nuomos sandorį, kuriame nustatytas nuomos terminas ilgesnis kaip 30 metų, tai apskaičiuojant pelno mokestį, toks turto perdavimas gali būti apmokestintas kaip pardavimas. </w:t>
      </w:r>
    </w:p>
    <w:p w14:paraId="2AB323CD"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Šio punkto nuostatos gali būti taikomos ir toms turto nuomos sutartims, kuriose nuomos terminas nenustatytas, t.y. neterminuotoms sutartims. </w:t>
      </w:r>
    </w:p>
    <w:p w14:paraId="35713F6C"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Šio punkto nuostatos netaikomos tais atvejais, kai Lietuvos Respublikos įstatymų nustatyta tvarka išnuomojama žemė arba turto nuomininkas pagal šio įstatymo 3 straipsnio 2 dalį nėra pelno mokesčio mokėtojas (t.y. biudžetinės įstaigos, Lietuvos bankas, pelno nesiekiantys vienetai, valstybės ir vietos savivaldos institucijos, įstaigos, tarnybos ar organizacijos, valstybės įmonė Indėlių draudimo fondas). </w:t>
      </w:r>
    </w:p>
    <w:p w14:paraId="549AE4CE" w14:textId="77777777" w:rsidR="00093845" w:rsidRDefault="000D779E">
      <w:pPr>
        <w:pStyle w:val="Pagrindiniotekstotrauka2"/>
        <w:tabs>
          <w:tab w:val="left" w:pos="720"/>
          <w:tab w:val="left" w:pos="1077"/>
          <w:tab w:val="left" w:pos="1418"/>
        </w:tabs>
        <w:spacing w:line="240" w:lineRule="auto"/>
      </w:pPr>
      <w:r>
        <w:t>2)</w:t>
      </w:r>
      <w:r>
        <w:tab/>
        <w:t xml:space="preserve">nuomos mokesčio periodinių įmokų tvarkaraštyje numatyta, kad per trumpesnę nuomos laikotarpio dalį sumokama didesnė dalis išnuomoto vieneto ilgalaikio turto tikrosios rinkos kainos; </w:t>
      </w:r>
    </w:p>
    <w:p w14:paraId="5548931E" w14:textId="77777777" w:rsidR="00093845" w:rsidRDefault="000D779E">
      <w:pPr>
        <w:pStyle w:val="Pagrindiniotekstotrauka2"/>
        <w:tabs>
          <w:tab w:val="left" w:pos="720"/>
          <w:tab w:val="left" w:pos="1077"/>
          <w:tab w:val="left" w:pos="1418"/>
        </w:tabs>
        <w:spacing w:line="240" w:lineRule="auto"/>
      </w:pPr>
      <w:r>
        <w:t>Komentaras</w:t>
      </w:r>
    </w:p>
    <w:p w14:paraId="5C40CF65"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 xml:space="preserve">Turto perdavimas pagal nuomos sandorį gali būti apmokestinamas kaip pardavimas taip pat ir tuo atveju, jeigu per trumpesnę nuomos laikotarpio dalį, sumokama didesnė dalis išnuomoto vieneto turto tikrosios rinkos kainos (nesvarbu ar laikotarpis, per kurį išmokama didesnė šios sumos dalis, yra įmokų tvarkaraščio pradžioje, viduryje ar pabaigoje). </w:t>
      </w:r>
    </w:p>
    <w:p w14:paraId="3D614C4E" w14:textId="77777777" w:rsidR="00093845" w:rsidRDefault="000D779E">
      <w:pPr>
        <w:tabs>
          <w:tab w:val="left" w:pos="720"/>
          <w:tab w:val="left" w:pos="1077"/>
          <w:tab w:val="left" w:pos="1418"/>
        </w:tabs>
        <w:ind w:firstLine="720"/>
        <w:jc w:val="both"/>
        <w:rPr>
          <w:lang w:val="lt-LT"/>
        </w:rPr>
      </w:pPr>
      <w:r>
        <w:rPr>
          <w:lang w:val="lt-LT"/>
        </w:rPr>
        <w:t xml:space="preserve">Sprendžiant, ar nuomos sandoris atitinka šiame punkte nustatytą kriterijų, per trumpesnę nuomos laikotarpio dalį sumokėta nuomos mokesčio periodinių įmokų suma turi būti lyginama su išnuomoto vieneto turto tikrąja rinkos kaina nuomos sandorio sudarymo momentu. </w:t>
      </w:r>
    </w:p>
    <w:p w14:paraId="58B9146A"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Pavyzdys</w:t>
      </w:r>
    </w:p>
    <w:p w14:paraId="4F511CAB" w14:textId="77777777" w:rsidR="00093845" w:rsidRDefault="000D779E">
      <w:pPr>
        <w:pBdr>
          <w:top w:val="single" w:sz="4" w:space="1" w:color="auto"/>
          <w:left w:val="single" w:sz="4" w:space="0" w:color="auto"/>
          <w:bottom w:val="single" w:sz="4" w:space="0" w:color="auto"/>
          <w:right w:val="single" w:sz="4" w:space="0" w:color="auto"/>
        </w:pBdr>
        <w:tabs>
          <w:tab w:val="left" w:pos="720"/>
          <w:tab w:val="left" w:pos="1077"/>
          <w:tab w:val="left" w:pos="1418"/>
        </w:tabs>
        <w:ind w:firstLine="720"/>
        <w:jc w:val="both"/>
        <w:rPr>
          <w:lang w:val="lt-LT"/>
        </w:rPr>
      </w:pPr>
      <w:r>
        <w:rPr>
          <w:lang w:val="lt-LT"/>
        </w:rPr>
        <w:t xml:space="preserve">2003 m. sausio mėn. vienetas A perdavė pastatą, įsigytą 1997 m., vienetui B pagal sudarytą 3 metų nuomos sutartį. Pastato įsigijimo kainą, atėmus nusidėvėjimą - 50 000 Lt, tikroji rinkos kaina sutarties sudarymo metu - 70 000 Lt. Nuomos sutartyje numatyta, kad vienetas B vienetui A už visą nuomos laikotarpį privalės sumokėti 80 000 Lt nuomos mokesčio, pirmus metus mokant 60 000 Lt, o kitus du – po 10 000 Lt. </w:t>
      </w:r>
    </w:p>
    <w:p w14:paraId="75C5B71E" w14:textId="77777777" w:rsidR="00093845" w:rsidRDefault="000D779E">
      <w:pPr>
        <w:pBdr>
          <w:top w:val="single" w:sz="4" w:space="1" w:color="auto"/>
          <w:left w:val="single" w:sz="4" w:space="0" w:color="auto"/>
          <w:bottom w:val="single" w:sz="4" w:space="0" w:color="auto"/>
          <w:right w:val="single" w:sz="4" w:space="0" w:color="auto"/>
        </w:pBdr>
        <w:tabs>
          <w:tab w:val="left" w:pos="720"/>
          <w:tab w:val="left" w:pos="1077"/>
          <w:tab w:val="left" w:pos="1418"/>
        </w:tabs>
        <w:ind w:firstLine="720"/>
        <w:jc w:val="both"/>
        <w:rPr>
          <w:lang w:val="lt-LT"/>
        </w:rPr>
      </w:pPr>
      <w:r>
        <w:rPr>
          <w:lang w:val="lt-LT"/>
        </w:rPr>
        <w:t xml:space="preserve">Mokesčio administratorius, įvertinęs visas sutarties sudarymo aplinkybes ir atsižvelgdamas į tai, kad pastato nuomos sutartis atitinka PMĮ 38 str. 1 dalies 2 punkte nustatytą kriterijų, t.y. sutartyje numatyta, kad vienetas B per trumpesnę nuomos laikotarpio dalį privalo sumokėti vienetui A didesnę išnuomoto pastato tikrosios rinkos kainos dalį (60 000 Lt), apskaičiuodamas vieneto A 2003 metų pelno mokestį, pajamomis gali pripažinti skirtumą tarp to pastato įsigijimo kainos atėmus nusidėvėjimą ir to turto tikrosios rinkos kainos - 20 000 Lt. </w:t>
      </w:r>
    </w:p>
    <w:p w14:paraId="3D0EE26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2.</w:t>
      </w:r>
      <w:r>
        <w:rPr>
          <w:b w:val="0"/>
          <w:bCs w:val="0"/>
        </w:rPr>
        <w:tab/>
        <w:t xml:space="preserve">Jeigu turtas išnuomojamas atskirai dalimis skirtingiems nuomininkams, skirtingais terminais ir (ar) skirtinga kaina, tai šiame punkte nustatyti kriterijai, apskaičiuojant nuomos laikotarpį ar nuomos mokesčio sumą, gali būti taikomi kiekvienam nuomos atvejui atskirai. Taip pat atskirai kiekvienai turto daliai nustatoma turto tikroji rinkos kaina. </w:t>
      </w:r>
    </w:p>
    <w:p w14:paraId="7F11320E"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t>3)</w:t>
      </w:r>
      <w:r>
        <w:rPr>
          <w:rFonts w:ascii="Times New Roman" w:hAnsi="Times New Roman"/>
          <w:b/>
          <w:bCs/>
        </w:rPr>
        <w:tab/>
        <w:t>nuomos sutartis apriboja ilgalaikio turto ar turtinio komplekso nuomotojo teises skolintis ir (arba) skirstyti pelną ar mokėti dividendus;</w:t>
      </w:r>
    </w:p>
    <w:p w14:paraId="51BA47B5" w14:textId="77777777" w:rsidR="00093845" w:rsidRDefault="000D779E">
      <w:pPr>
        <w:tabs>
          <w:tab w:val="left" w:pos="720"/>
          <w:tab w:val="left" w:pos="1077"/>
          <w:tab w:val="left" w:pos="1418"/>
        </w:tabs>
        <w:ind w:firstLine="720"/>
        <w:jc w:val="both"/>
        <w:rPr>
          <w:b/>
          <w:bCs/>
          <w:lang w:val="lt-LT"/>
        </w:rPr>
      </w:pPr>
      <w:r>
        <w:rPr>
          <w:b/>
          <w:bCs/>
          <w:lang w:val="fy-NL"/>
        </w:rPr>
        <w:t xml:space="preserve">Komentaras </w:t>
      </w:r>
    </w:p>
    <w:p w14:paraId="725DD812" w14:textId="77777777" w:rsidR="00093845" w:rsidRDefault="000D779E">
      <w:pPr>
        <w:tabs>
          <w:tab w:val="left" w:pos="720"/>
          <w:tab w:val="left" w:pos="1077"/>
          <w:tab w:val="left" w:pos="1418"/>
        </w:tabs>
        <w:ind w:firstLine="720"/>
        <w:jc w:val="both"/>
        <w:rPr>
          <w:lang w:val="lt-LT"/>
        </w:rPr>
      </w:pPr>
      <w:r>
        <w:rPr>
          <w:lang w:val="lt-LT"/>
        </w:rPr>
        <w:t xml:space="preserve">Jeigu vieneto turtas yra perduotas pagal nuomos sutartį ir ši sutartis apriboja to turto nuomotojo teises skolintis ir (arba) skirstyti pelną ar mokėti dividendus, tai apskaičiuojant nuomotojo pelno mokestį, toks turto perdavimas gali būti apmokestintas kaip pardavimas. </w:t>
      </w:r>
    </w:p>
    <w:p w14:paraId="15372B45" w14:textId="77777777" w:rsidR="00093845" w:rsidRDefault="000D779E">
      <w:pPr>
        <w:pStyle w:val="Pagrindiniotekstotrauka2"/>
        <w:tabs>
          <w:tab w:val="left" w:pos="720"/>
          <w:tab w:val="left" w:pos="1077"/>
          <w:tab w:val="left" w:pos="1418"/>
        </w:tabs>
        <w:spacing w:line="240" w:lineRule="auto"/>
      </w:pPr>
      <w:r>
        <w:lastRenderedPageBreak/>
        <w:t>4)</w:t>
      </w:r>
      <w:r>
        <w:tab/>
        <w:t>nuostatos dėl išnuomoto turto rekonstravimo nėra susijusios su nuomininko ar nuomotojo ūkine komercine veikla ir (arba) turto rekonstravimo vertė neatitinka turto tikrosios rinkos kainos.</w:t>
      </w:r>
    </w:p>
    <w:p w14:paraId="0083ABF2" w14:textId="77777777" w:rsidR="00093845" w:rsidRDefault="000D779E">
      <w:pPr>
        <w:pStyle w:val="Pagrindiniotekstotrauka2"/>
        <w:tabs>
          <w:tab w:val="left" w:pos="720"/>
          <w:tab w:val="left" w:pos="1077"/>
          <w:tab w:val="left" w:pos="1418"/>
        </w:tabs>
        <w:spacing w:line="240" w:lineRule="auto"/>
      </w:pPr>
      <w:r>
        <w:t>Komentaras</w:t>
      </w:r>
    </w:p>
    <w:p w14:paraId="56680707" w14:textId="77777777" w:rsidR="00093845" w:rsidRDefault="000D779E">
      <w:pPr>
        <w:tabs>
          <w:tab w:val="left" w:pos="720"/>
          <w:tab w:val="left" w:pos="1077"/>
          <w:tab w:val="left" w:pos="1418"/>
        </w:tabs>
        <w:ind w:firstLine="720"/>
        <w:jc w:val="both"/>
        <w:rPr>
          <w:lang w:val="lt-LT"/>
        </w:rPr>
      </w:pPr>
      <w:r>
        <w:rPr>
          <w:lang w:val="lt-LT"/>
        </w:rPr>
        <w:t xml:space="preserve">Jeigu vieneto turtas, perduotas pagal nuomos sutartį, rekonstruojamas, tačiau šis rekonstravimas nėra susijęs su nuomininko ar nuomotojo ūkine komercine veikla ir (arba) šio turto rekonstravimo vertė neatitinka turto tikrosios rinkos kainos, tai apskaičiuojant nuomotojo pelno mokestį, toks turto perdavimas gali būti apmokestintas kaip pardavimas tą mokestinį laikotarpį, kurį šis turtas buvo perduotas nuomininkui. </w:t>
      </w:r>
    </w:p>
    <w:p w14:paraId="6FE28683" w14:textId="77777777" w:rsidR="00093845" w:rsidRDefault="000D779E">
      <w:pPr>
        <w:pStyle w:val="Pagrindiniotekstotrauka2"/>
        <w:tabs>
          <w:tab w:val="left" w:pos="720"/>
          <w:tab w:val="left" w:pos="1077"/>
          <w:tab w:val="left" w:pos="1418"/>
        </w:tabs>
        <w:spacing w:line="240" w:lineRule="auto"/>
      </w:pPr>
      <w:r>
        <w:t>2.</w:t>
      </w:r>
      <w:r>
        <w:tab/>
        <w:t xml:space="preserve">Šio straipsnio 1 dalyje nurodyto turto pardavimo pajamos įskaitomos į pajamas to mokestinio laikotarpio, kurį šis turtas buvo perduotas nuomininkui to turto tikrąja rinkos kaina. </w:t>
      </w:r>
    </w:p>
    <w:p w14:paraId="604F3544" w14:textId="77777777" w:rsidR="00093845" w:rsidRDefault="000D779E">
      <w:pPr>
        <w:pStyle w:val="Pagrindiniotekstotrauka2"/>
        <w:tabs>
          <w:tab w:val="left" w:pos="720"/>
          <w:tab w:val="left" w:pos="1077"/>
          <w:tab w:val="left" w:pos="1418"/>
        </w:tabs>
        <w:spacing w:line="240" w:lineRule="auto"/>
      </w:pPr>
      <w:r>
        <w:t xml:space="preserve">Komentaras </w:t>
      </w:r>
    </w:p>
    <w:p w14:paraId="59BB5E4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1.</w:t>
      </w:r>
      <w:r>
        <w:rPr>
          <w:b w:val="0"/>
          <w:bCs w:val="0"/>
        </w:rPr>
        <w:tab/>
        <w:t>Jeigu turto nuoma pagal šio straipsnio nuostatas apmokestinama kaip pardavimas, tai to turto pardavimo pajamos įskaitomos į nuomotojo pajamas tą mokestinį laikotarpį, kurį turtas buvo perduotas nuomininkui. Turto pardavimo pajamomis pripažįstamas tik skirtumas tarp turto pardavimo kainos (tikrosios rinkos kainos) ir jo įsigijimo kainos.</w:t>
      </w:r>
    </w:p>
    <w:p w14:paraId="041C84D7"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Jeigu perduodamas vieneto turtas, kuriam buvo skaičiuojamas nusidėvėjimas pelno mokesčiui apskaičiuoti, įsigijimo kaina tam turtui mažinama nusidėvėjimo suma, įtraukta į ribojamų dydžių leidžiamus atskaitymus. </w:t>
      </w:r>
    </w:p>
    <w:p w14:paraId="5520E4A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Turto tikroji rinkos kaina – tai suma, už kurią gali būti apsikeista turtu arba kuria, sudarius tiesioginį sandorį, gali būti įskaitytas nepriklausomų ir ketinančių pirkti arba parduoti asmenų tarpusavio įsipareigojimai. Palaipsniui įdiegiant sandorio vertės koregavimo metodus, vienetai turės galimybę sandorių kainas pasitikrinti tokiais ,,metodais”. </w:t>
      </w:r>
    </w:p>
    <w:p w14:paraId="69F1A001"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2.</w:t>
      </w:r>
      <w:r>
        <w:rPr>
          <w:b w:val="0"/>
          <w:bCs w:val="0"/>
        </w:rPr>
        <w:tab/>
        <w:t>PMĮ 38 straipsnis nereglamentuoja turto nuomos sandorio sudarymo tvarkos, šiame straipsnyje pelno mokesčio apskaičiavimo tikslais yra apibrėžiamas tik pajamų pripažinimo momentas</w:t>
      </w:r>
      <w:r>
        <w:rPr>
          <w:b w:val="0"/>
          <w:bCs w:val="0"/>
          <w:i/>
          <w:iCs/>
        </w:rPr>
        <w:t xml:space="preserve"> </w:t>
      </w:r>
      <w:r>
        <w:rPr>
          <w:b w:val="0"/>
          <w:bCs w:val="0"/>
        </w:rPr>
        <w:t xml:space="preserve">bei mokestinės pasekmės, skaičiuojant nusidėvėjimą. Todėl jeigu vieneto turto perdavimas pagal nuomos sutartį apmokestinamas kaip pardavimas, tačiau vienetas ir toliau tą turtą nuomoja ir gauna nuomos pajamas, tai šios pajamos, apskaičiuojant pelno mokestį, ir toliau turi būti pripažįstamos vieneto pajamomis. </w:t>
      </w:r>
    </w:p>
    <w:p w14:paraId="75943A6D"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3.</w:t>
      </w:r>
      <w:r>
        <w:rPr>
          <w:b w:val="0"/>
          <w:bCs w:val="0"/>
        </w:rPr>
        <w:tab/>
        <w:t xml:space="preserve">Taip pat tokio turto nusidėvėjimo sąnaudos nepriskiriamos turto savininko (nuomotojo) ribojamų dydžių leidžiamiems atskaitymams. Jeigu turto savininkas (kuris tam turtui taikė pusmetinį nusidėvėjimo skaičiavimo būdą) šį turtą išnuomoja šio straipsnio nustatytomis sąlygomis iki mokestinio laikotarpio šešto mėnesio paskutinės dienos, tai turto nusidėvėjimas per mokestinį laikotarpį visai neskaičiuojamas (nepriskiriamas leidžiamiems atskaitymams). Jeigu turto savininkas išnuomoja turtą po mokestinio laikotarpio šešto mėnesio paskutinės dienos, tai tuo mokestiniu laikotarpiu į turto savininko sąnaudas perkeliama ½ metinės nusidėvėjimo sumos, apskaičiuotos pagal nustatytus normatyvus. </w:t>
      </w:r>
    </w:p>
    <w:p w14:paraId="52924F4C"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w:t>
      </w:r>
      <w:r>
        <w:rPr>
          <w:b w:val="0"/>
          <w:bCs w:val="0"/>
        </w:rPr>
        <w:tab/>
        <w:t xml:space="preserve">Išsinuomoto turto eksploatavimo, remonto arba rekonstravimo sąnaudos nuomininko ribojamų dydžių leidžiamiems atskaitymas priskiriamos tokia tvarka: </w:t>
      </w:r>
    </w:p>
    <w:p w14:paraId="51F8FF6F"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4.1.</w:t>
      </w:r>
      <w:r>
        <w:rPr>
          <w:b w:val="0"/>
          <w:bCs w:val="0"/>
        </w:rPr>
        <w:tab/>
        <w:t>jeigu nuomininkas atlieka išsinuomoto turto remontą, kurio vertė neviršija 50 proc. to turto įsigijimo kainos, tai tokio remonto išlaidos priskiriamos nuomininko ribojamų dydžių leidžiamiems atskaitymams lygiomis dalimis per nuomos laikotarpį;</w:t>
      </w:r>
    </w:p>
    <w:p w14:paraId="586C2395"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4.2.</w:t>
      </w:r>
      <w:r>
        <w:rPr>
          <w:b w:val="0"/>
          <w:bCs w:val="0"/>
        </w:rPr>
        <w:tab/>
        <w:t xml:space="preserve">jeigu nuomininkas atlieka tokio turto rekonstravimą arba remontą, kurio vertė didesnė kaip 50 proc. remontuojamo turto įsigijimo kainos, tai turto remonto arba rekonstravimo sąnaudos atskaitoms iš nuomininko pajamų lygiomis dalimis per nuomos laikotarpį. Tačiau tokio remonto arba rekonstravimo verte nuomotojas (savininkas) privalo padidinti to turto įsigijimo kainą tuo mokestiniu </w:t>
      </w:r>
      <w:r>
        <w:rPr>
          <w:b w:val="0"/>
          <w:bCs w:val="0"/>
        </w:rPr>
        <w:lastRenderedPageBreak/>
        <w:t xml:space="preserve">laikotarpiu, kuriuo remontas arba rekonstravimas buvo atliktas ir apmokestinti PMĮ nustatyta tvarka. Be to, turto nuomotojas (savininkas) tokio remonto (kurio vertė didesnė kaip 50 proc. remontuojamo turto įsigijimo kainos) ar rekonstravimo vertę gali nudėvėti ir nusidėvėjimo sąnaudas priskirti ribojamų dydžių leidžiamiems atskaitymams (jeigu tai numatyta nusidėvėjimo skaičiavimą reglamentuojančiuose PMĮ straipsniuose) kaip atskirą turto vienetą, taikant tokius normatyvus ir metodus, kokie būtų taikomi ir tam turtui, kuris buvo perleistas pagal nuomos sandorį; </w:t>
      </w:r>
    </w:p>
    <w:p w14:paraId="479DF84D"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4.3.</w:t>
      </w:r>
      <w:r>
        <w:rPr>
          <w:rFonts w:ascii="Times New Roman" w:hAnsi="Times New Roman" w:cs="Times New Roman"/>
          <w:lang w:val="lt-LT"/>
        </w:rPr>
        <w:tab/>
        <w:t xml:space="preserve">jeigu išnuomoto turto remontą ar rekonstravimą atlieka to turto savininkas, tai šių darbų sąnaudos jo ribojamų dydžių leidžiamiems atskaitymas taip pat priskiriamos PMĮ 20 straipsnio nustatyta tvarka. </w:t>
      </w:r>
    </w:p>
    <w:p w14:paraId="124B6E67" w14:textId="77777777" w:rsidR="00093845" w:rsidRDefault="000D779E">
      <w:pPr>
        <w:tabs>
          <w:tab w:val="left" w:pos="720"/>
          <w:tab w:val="left" w:pos="1077"/>
          <w:tab w:val="left" w:pos="1418"/>
        </w:tabs>
        <w:ind w:firstLine="720"/>
        <w:jc w:val="both"/>
        <w:rPr>
          <w:lang w:val="lt-LT"/>
        </w:rPr>
      </w:pPr>
      <w:r>
        <w:rPr>
          <w:lang w:val="lt-LT"/>
        </w:rPr>
        <w:t>5.</w:t>
      </w:r>
      <w:r>
        <w:rPr>
          <w:lang w:val="lt-LT"/>
        </w:rPr>
        <w:tab/>
        <w:t xml:space="preserve">Jeigu turtas, kuris buvo išnuomotas ir apmokestintas kaip pardavimas, grąžinamas ir vėliau parduodamas, tai pardavėjo pajamos, apskaičiuojant pelno mokestį, pripažįstamos PMĮ 16 straipsnyje nustatyta tvarka. </w:t>
      </w:r>
    </w:p>
    <w:p w14:paraId="72D72362" w14:textId="77777777" w:rsidR="00093845" w:rsidRDefault="000D779E">
      <w:pPr>
        <w:tabs>
          <w:tab w:val="left" w:pos="720"/>
          <w:tab w:val="left" w:pos="1077"/>
          <w:tab w:val="left" w:pos="1418"/>
        </w:tabs>
        <w:ind w:firstLine="720"/>
        <w:jc w:val="both"/>
        <w:rPr>
          <w:b/>
          <w:bCs/>
          <w:lang w:val="lt-LT"/>
        </w:rPr>
      </w:pPr>
      <w:r>
        <w:rPr>
          <w:b/>
          <w:bCs/>
          <w:lang w:val="lt-LT"/>
        </w:rPr>
        <w:t>3.</w:t>
      </w:r>
      <w:r>
        <w:rPr>
          <w:b/>
          <w:bCs/>
          <w:lang w:val="lt-LT"/>
        </w:rPr>
        <w:tab/>
        <w:t xml:space="preserve">Šio straipsnio 1 dalies 2 punkto nuostatos netaikomos lizingo (finansinės nuomos) sandoriams. </w:t>
      </w:r>
    </w:p>
    <w:p w14:paraId="427548C2" w14:textId="77777777" w:rsidR="00093845" w:rsidRDefault="000D779E">
      <w:pPr>
        <w:ind w:firstLine="720"/>
        <w:jc w:val="both"/>
        <w:rPr>
          <w:b/>
          <w:bCs/>
          <w:lang w:val="lt-LT"/>
        </w:rPr>
      </w:pPr>
      <w:r>
        <w:rPr>
          <w:b/>
          <w:bCs/>
          <w:lang w:val="lt-LT"/>
        </w:rPr>
        <w:t>Komentaras</w:t>
      </w:r>
    </w:p>
    <w:p w14:paraId="28751285" w14:textId="77777777" w:rsidR="00093845" w:rsidRDefault="000D779E">
      <w:pPr>
        <w:tabs>
          <w:tab w:val="left" w:pos="720"/>
          <w:tab w:val="left" w:pos="1077"/>
          <w:tab w:val="left" w:pos="1418"/>
        </w:tabs>
        <w:ind w:firstLine="720"/>
        <w:jc w:val="both"/>
        <w:rPr>
          <w:lang w:val="lt-LT"/>
        </w:rPr>
      </w:pPr>
      <w:r>
        <w:rPr>
          <w:lang w:val="lt-LT"/>
        </w:rPr>
        <w:t xml:space="preserve">Šio straipsnio 1 dalies 2 punkto nuostatos, numatančios, kad turto perdavimas pagal nuomos sandorį gali būti apmokestinamas kaip pardavimas taip pat ir tuo atveju, jeigu per trumpesnę nuomos laikotarpio dalį sumokama didesnė dalis išnuomoto vieneto turto tikrosios rinkos kainos, netaikomos lizingo (finansinės nuomos) sandoriams – tai yra tokiems sandoriams, pagal kuriuos sumokėjus visą lizingo sutartyje numatytą kainą daiktas pereina lizingo gavėjui. </w:t>
      </w:r>
    </w:p>
    <w:p w14:paraId="2E543C34" w14:textId="77777777" w:rsidR="003E38A1" w:rsidRDefault="003E38A1" w:rsidP="003E38A1">
      <w:pPr>
        <w:jc w:val="both"/>
        <w:rPr>
          <w:b/>
          <w:bCs/>
          <w:lang w:val="lt-LT"/>
        </w:rPr>
      </w:pPr>
      <w:bookmarkStart w:id="527" w:name="_39_straipsnis._Kontroliuojamųjų"/>
      <w:bookmarkEnd w:id="527"/>
    </w:p>
    <w:p w14:paraId="70966018" w14:textId="77777777" w:rsidR="00093845" w:rsidRPr="003E38A1" w:rsidRDefault="003E38A1" w:rsidP="003E38A1">
      <w:pPr>
        <w:pStyle w:val="Antrat4"/>
        <w:ind w:hanging="567"/>
      </w:pPr>
      <w:bookmarkStart w:id="528" w:name="_38_straipsnis._Turto"/>
      <w:bookmarkStart w:id="529" w:name="_381_STRAIPSNIS._"/>
      <w:bookmarkEnd w:id="528"/>
      <w:bookmarkEnd w:id="529"/>
      <w:r>
        <w:t xml:space="preserve">   </w:t>
      </w:r>
      <w:r w:rsidR="000D779E" w:rsidRPr="003E38A1">
        <w:rPr>
          <w:bCs w:val="0"/>
        </w:rPr>
        <w:t>38</w:t>
      </w:r>
      <w:r>
        <w:rPr>
          <w:bCs w:val="0"/>
          <w:vertAlign w:val="superscript"/>
        </w:rPr>
        <w:t>1</w:t>
      </w:r>
      <w:r w:rsidR="000D779E" w:rsidRPr="003E38A1">
        <w:rPr>
          <w:bCs w:val="0"/>
        </w:rPr>
        <w:t xml:space="preserve"> STRAIPSNIS.</w:t>
      </w:r>
      <w:r w:rsidR="000D779E" w:rsidRPr="003E38A1">
        <w:rPr>
          <w:bCs w:val="0"/>
          <w:vertAlign w:val="superscript"/>
        </w:rPr>
        <w:t xml:space="preserve">  </w:t>
      </w:r>
      <w:r w:rsidR="000D779E" w:rsidRPr="003E38A1">
        <w:t xml:space="preserve">Tarptautinio vežimo jūrų laivais arba tarptautinio vežimo jūrų laivais ir su </w:t>
      </w:r>
      <w:r w:rsidR="005E1525">
        <w:t>juo</w:t>
      </w:r>
      <w:r w:rsidR="000D779E" w:rsidRPr="003E38A1">
        <w:t>uo tiesiogiai susijusios veiklos pajamų apmokestinimas.</w:t>
      </w:r>
    </w:p>
    <w:p w14:paraId="53F16451" w14:textId="77777777" w:rsidR="00093845" w:rsidRPr="0065344A" w:rsidRDefault="000D779E" w:rsidP="00333488">
      <w:pPr>
        <w:spacing w:after="0"/>
        <w:ind w:firstLine="567"/>
        <w:jc w:val="both"/>
        <w:rPr>
          <w:b/>
          <w:lang w:val="lt-LT"/>
        </w:rPr>
      </w:pPr>
      <w:r w:rsidRPr="0065344A">
        <w:rPr>
          <w:b/>
          <w:lang w:val="lt-LT"/>
        </w:rPr>
        <w:t>1. Laivybos vieneto pajamos iš tarptautinio vežimo jūrų laivais arba tarptautinio vežimo jūrų laivais ir su juo tiesiogiai susijusios veiklos gali būti apmokestinamos pagal šio straipsnio nuostatas, jeigu visą Lietuvos apmokestinamojo vieneto mokestinį laikotarpį arba užsienio apmokestinamojo vieneto, įregistruoto ar organizuoto Europos ekonominės erdvės valstybėje, vykdančio veiklą Lietuvos Respublikos teritorijoje per nuolatinę buveinę, mokestinį laikotarpį laivybos vienetas atitinka šiuos kriterijus:</w:t>
      </w:r>
    </w:p>
    <w:p w14:paraId="6EA24AF8"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22FA3D" w14:textId="77777777" w:rsidR="00093845" w:rsidRPr="00062580" w:rsidRDefault="00093845">
      <w:pPr>
        <w:ind w:firstLine="567"/>
        <w:jc w:val="both"/>
        <w:rPr>
          <w:b/>
          <w:i/>
          <w:lang w:val="lt-LT"/>
        </w:rPr>
      </w:pPr>
    </w:p>
    <w:p w14:paraId="4FE6D099" w14:textId="77777777" w:rsidR="00093845" w:rsidRPr="0065344A" w:rsidRDefault="000D779E">
      <w:pPr>
        <w:ind w:firstLine="567"/>
        <w:jc w:val="both"/>
        <w:rPr>
          <w:b/>
          <w:lang w:val="lt-LT"/>
        </w:rPr>
      </w:pPr>
      <w:r w:rsidRPr="0065344A">
        <w:rPr>
          <w:b/>
          <w:lang w:val="lt-LT"/>
        </w:rPr>
        <w:t xml:space="preserve">Komentaras </w:t>
      </w:r>
    </w:p>
    <w:p w14:paraId="64DD60A3" w14:textId="77777777" w:rsidR="00093845" w:rsidRPr="0065344A" w:rsidRDefault="000D779E">
      <w:pPr>
        <w:ind w:firstLine="567"/>
        <w:jc w:val="both"/>
        <w:rPr>
          <w:lang w:val="lt-LT"/>
        </w:rPr>
      </w:pPr>
      <w:r w:rsidRPr="0065344A">
        <w:rPr>
          <w:lang w:val="lt-LT"/>
        </w:rPr>
        <w:t>1. Laivybos vieneto pajamoms iš tarptautinio vežimo jūrų laivais arba tarptautinio vežimo jūrų laivais ir su juo tiesiogiai susijusios veiklos gali būti taikoma apmokestinimo fiksuotu pelno mokesčiu tvarka tik tuo atveju, jeigu laivybos vienetas visą be pertraukų mokestinį laikotarpį atitinka šiame straipsnyje išvardintus kriterijus. Atsižvelgiant į tai, kad pagal šio straipsnio 5 dalį, apmokestinimo fiksuotu pelno mokesčiu tvarka laivybos vienetui, atitinkančiam nustatytus kriterijus ir pasirinkusiam mokėti fiksuotą pelno mokestį, taikoma iki 2026 m. gruodžio 31 d., laivybos vienetai, įgiję teisę ir pasirinkę mokėti fiksuotą pelno mokestį ir siekiantys šios teisės neprarasti, nustatytus kriterijus turi atitikti be pertraukų iki minėtos datos.</w:t>
      </w:r>
    </w:p>
    <w:p w14:paraId="1BD12C00" w14:textId="77777777" w:rsidR="00093845" w:rsidRDefault="000D779E">
      <w:pPr>
        <w:ind w:firstLine="567"/>
        <w:jc w:val="both"/>
      </w:pPr>
      <w:r w:rsidRPr="0065344A">
        <w:rPr>
          <w:lang w:val="lt-LT"/>
        </w:rPr>
        <w:t xml:space="preserve">2. Tai, kad atitinka žemiau išvardintas sąlygas, laivybos vienetas, pasirinkęs mokėti fiksuotą pelno mokestį, patvirtina mokesčių administratoriui pateikdamas Valstybinės mokesčių inspekcijos prie Lietuvos Respublikos finansų ministerijos viršininko 2007 m. birželio 8 d. </w:t>
      </w:r>
      <w:hyperlink r:id="rId107" w:history="1">
        <w:r>
          <w:rPr>
            <w:rStyle w:val="Hipersaitas"/>
          </w:rPr>
          <w:t>įsakymu Nr. VA-42</w:t>
        </w:r>
      </w:hyperlink>
      <w:r>
        <w:t xml:space="preserve"> </w:t>
      </w:r>
      <w:r>
        <w:lastRenderedPageBreak/>
        <w:t>„Dėl Pranešimo apie pasirinkimą mokėti fiksuotą pelno mokestį rengimo ir teikimo taisyklių patvirtinimo“ nustatyto turinio pranešimą apie pasirinkimą mokėti fiksuotą pelno mokestį nuo pajamų iš tarptautinio vežimo jūrų laivais arba</w:t>
      </w:r>
      <w:r>
        <w:rPr>
          <w:b/>
        </w:rPr>
        <w:t xml:space="preserve"> </w:t>
      </w:r>
      <w:r>
        <w:t>tarptautinio vežimo jūrų laivais ir su tuo tiesiogiai susijusios veiklos. Pats laivybos vienetas, pasirinkęs mokėti fiksuotą pelno mokestį, visą apmokestinimo fiksuotu pelno mokesčiu tvarkos taikymo laikotarpį privalo stebėti, kad jis atitiktų nustatytus kriterijus, ir neįpareigojamas teikti jokių periodinių ataskaitų, patvirtinimų ar pranešimų (išskyrus fiksuoto pelno mokesčio deklaraciją), tačiau minėtu įsakymu jam yra nustatyta prievolė informuoti mokesčių administratorių apie esminius pasikeitimus, dėl kurių atsisakoma teisės mokėti fiksuotą pelno mokestį, kai ši teisė prarandama ar ištinka nenugalimos jėgos (</w:t>
      </w:r>
      <w:r>
        <w:rPr>
          <w:i/>
        </w:rPr>
        <w:t>force majeure</w:t>
      </w:r>
      <w:r>
        <w:t>) aplinkybes.</w:t>
      </w:r>
    </w:p>
    <w:p w14:paraId="4291CD39" w14:textId="77777777" w:rsidR="00093845" w:rsidRDefault="000D779E">
      <w:pPr>
        <w:ind w:firstLine="567"/>
        <w:jc w:val="both"/>
      </w:pPr>
      <w:r>
        <w:t>3. PMĮ nuostatos, kuriomis nustatyta apmokestinimo fiksuotu pelno mokesčiu tvarka, yra taikomos už visą mokestinį laikotarpį, todėl laivybos vienetai, pasirinkę mokėti fiksuotą pelno mokestį, žemiau nustatytus kriterijus turi atitikti nuo pat mokestinio laikotarpio pradžios.</w:t>
      </w:r>
    </w:p>
    <w:p w14:paraId="6E7AD9A6" w14:textId="77777777" w:rsidR="00093845" w:rsidRDefault="000D779E">
      <w:pPr>
        <w:ind w:firstLine="567"/>
        <w:jc w:val="both"/>
      </w:pPr>
      <w:r>
        <w:t>4. Naujai įregistruotų laivybos vienetų pirmasis mokestinis laikotarpis prasideda nuo jų įregistravimo datos. Šie vienetai pajamoms iš tarptautinio vežimo jūrų laivais arba</w:t>
      </w:r>
      <w:r>
        <w:rPr>
          <w:b/>
        </w:rPr>
        <w:t xml:space="preserve"> </w:t>
      </w:r>
      <w:r>
        <w:t>tarptautinio vežimo jūrų laivais ir su tuo tiesiogiai susijusios veiklos pirmuoju mokestiniu laikotarpiu galės taikyti apmokestinimo fiksuotu pelno mokesčiu tvarką tik tuo atveju, jeigu nuo pirmos įregistravimo dienos atitiks visus šioje straipsnio dalyje išvardintus kriterijus. Laivybos vienetai, nuo pirmos įsteigimo dienos neturintys atitinkamų jūrų laivų, neteikiantys strateginio, komercinio, techninio vadovavimo paslaugų ar neatitinkantys kitų būtinų kriterijų, pirmą mokestinį laikotarpį negali pasirinkti mokėti fiksuoto pelno mokesčio.</w:t>
      </w:r>
    </w:p>
    <w:p w14:paraId="79FC9C41" w14:textId="77777777" w:rsidR="00093845" w:rsidRDefault="000D779E">
      <w:pPr>
        <w:ind w:firstLine="567"/>
        <w:jc w:val="both"/>
        <w:rPr>
          <w:bCs/>
        </w:rPr>
      </w:pPr>
      <w:r>
        <w:t xml:space="preserve">5. </w:t>
      </w:r>
      <w:r>
        <w:rPr>
          <w:bCs/>
        </w:rPr>
        <w:t>Laivybos vienetas, kuriam pasirinktu fiksuoto pelno mokesčio mokėjimo laikotarpiu suteikiamas likviduojamos įmonės statusas arba įsiteisėja teismo nutartis dėl bankroto ar restruktūrizavimo bylos iškėlimo, paprastai laikytinas nebeatitinkančiu kriterijų, suteikiančių jam teisę mokėti fiksuotą pelno mokestį. Vienetas nuo mokestinio laikotarpio, kurio metu įsigalioja teismo nutartis dėl bankroto ar restruktūrizavimo bylos iškėlimo, pradžios, praranda teisę mokėti fiksuotą pelno mokestį ir nuo to mokestinio laikotarpio pradžios iki išregistravimo iš viešojo registro momento turi mokėti pelno mokestį bendra tvarka. Tačiau ši nuostata netaikytina tais atvejais, kai:</w:t>
      </w:r>
    </w:p>
    <w:p w14:paraId="6B0359A1" w14:textId="77777777" w:rsidR="00093845" w:rsidRDefault="000D779E">
      <w:pPr>
        <w:ind w:firstLine="567"/>
        <w:jc w:val="both"/>
        <w:rPr>
          <w:bCs/>
        </w:rPr>
      </w:pPr>
      <w:r>
        <w:rPr>
          <w:bCs/>
        </w:rPr>
        <w:t>1) minėtos procedūros tęsiasi ilgiau kaip vieną mokestinį laikotarpį ir kai laivybos vienetas gali įrodyti, kad visais tais laikotarpiais, neįskaitant paskutiniojo, jis atitiko visus  fiksuoto pelno mokesčio taikymo reikalavimus arba</w:t>
      </w:r>
    </w:p>
    <w:p w14:paraId="7A92649B" w14:textId="77777777" w:rsidR="00093845" w:rsidRDefault="000D779E">
      <w:pPr>
        <w:ind w:firstLine="567"/>
        <w:jc w:val="both"/>
        <w:rPr>
          <w:bCs/>
        </w:rPr>
      </w:pPr>
      <w:r>
        <w:rPr>
          <w:bCs/>
        </w:rPr>
        <w:t xml:space="preserve">2) kai laivybos vienetas, esantis fiksuoto pelno mokesčio mokėtoju, restruktūrizuojamas pagal Lietuvos Respublikos įmonių restruktūrizavimo įstatymą, parengtą restruktūrizavimo planą, kuriame numatyta, kad vienetas ir toliau vykdys </w:t>
      </w:r>
      <w:r>
        <w:t>tarptautinio vežimo jūrų laivais arba</w:t>
      </w:r>
      <w:r>
        <w:rPr>
          <w:b/>
        </w:rPr>
        <w:t xml:space="preserve"> </w:t>
      </w:r>
      <w:r>
        <w:rPr>
          <w:bCs/>
        </w:rPr>
        <w:t xml:space="preserve">tarptautinio vežimo jūrų laivais ir su tuo tiesiogiai susijusią veiklą bei atitiks nustatytus kriterijus. Pažymėtina, kad vien restruktūrizavimo planas, kuriame numatyta, jog laivybos vienetas ir toliau atitiks nustatytus kriterijus, laivybos vieneto, siekiančio išsaugoti teisę mokėti fiksuotą pelno mokestį, neatleidžia nuo pareigos faktiškai šiuos reikalavimus atitikti.  </w:t>
      </w:r>
    </w:p>
    <w:p w14:paraId="5D2A7688" w14:textId="77777777" w:rsidR="00093845" w:rsidRDefault="000D779E">
      <w:pPr>
        <w:ind w:firstLine="567"/>
        <w:jc w:val="both"/>
        <w:rPr>
          <w:bCs/>
        </w:rPr>
      </w:pPr>
      <w:r>
        <w:rPr>
          <w:bCs/>
        </w:rPr>
        <w:t>Jei laivybos vienetas, įgijęs teisę ir pasirinkęs mokėti fiksuotą pelno mokestį, reorganizuojamas prijungimo būdu, šios teisės jis nepraranda, jeigu be pertraukų viso reorganizavimo metu ir po reorganizavimo, t. y. perėmęs prijungiamo juridinio asmens teises bei pareigas (neatsižvelgiant į tai, ar prijungiamas juridinis asmuo buvo fiksuoto pelno mokesčio mokėtojas, ar ne), jis atitinka šiame straipsnyje nustatytus reikalavimus.</w:t>
      </w:r>
    </w:p>
    <w:p w14:paraId="411232B9" w14:textId="77777777" w:rsidR="00093845" w:rsidRDefault="000D779E">
      <w:pPr>
        <w:ind w:firstLine="567"/>
        <w:jc w:val="both"/>
      </w:pPr>
      <w:r>
        <w:t xml:space="preserve">Kai laivybos vienetas, fiksuoto pelno mokesčio mokėtojas, Lietuvos Respublikos civilinio kodekso ir kitų teisės aktų nustatyta tvarka yra pertvarkomas, t. y., kai keičiama jo teisinė forma, tai iš anksto negali būti laikoma, kad jis prarado teisę mokėti fiksuotą pelno mokestį, jeigu vienetas faktiškai atitinka šiame PMĮ straipsnyje nustatytus kriterijus.  </w:t>
      </w:r>
    </w:p>
    <w:p w14:paraId="7230AB96" w14:textId="77777777" w:rsidR="00093845" w:rsidRDefault="000D779E" w:rsidP="00333488">
      <w:pPr>
        <w:spacing w:after="0"/>
        <w:ind w:firstLine="567"/>
        <w:jc w:val="both"/>
        <w:rPr>
          <w:b/>
        </w:rPr>
      </w:pPr>
      <w:r>
        <w:rPr>
          <w:b/>
        </w:rPr>
        <w:lastRenderedPageBreak/>
        <w:t>1) valdo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b/>
          <w:i/>
          <w:iCs/>
        </w:rPr>
        <w:t>bareboat charter</w:t>
      </w:r>
      <w:r>
        <w:rPr>
          <w:b/>
        </w:rPr>
        <w:t>) arba naudoja pagal laivo frachtavimo sutartį (laivo frachtavimo sutartį laivo reisui (</w:t>
      </w:r>
      <w:r>
        <w:rPr>
          <w:b/>
          <w:i/>
        </w:rPr>
        <w:t>voyage charter</w:t>
      </w:r>
      <w:r>
        <w:rPr>
          <w:b/>
        </w:rPr>
        <w:t>) arba terminuotą frachtavimo sutartį (</w:t>
      </w:r>
      <w:r>
        <w:rPr>
          <w:b/>
          <w:i/>
        </w:rPr>
        <w:t>time</w:t>
      </w:r>
      <w:r>
        <w:rPr>
          <w:b/>
        </w:rPr>
        <w:t xml:space="preserve"> </w:t>
      </w:r>
      <w:r>
        <w:rPr>
          <w:b/>
          <w:i/>
        </w:rPr>
        <w:t xml:space="preserve">charter in </w:t>
      </w:r>
      <w:r>
        <w:rPr>
          <w:b/>
        </w:rPr>
        <w:t xml:space="preserve">arba </w:t>
      </w:r>
      <w:r>
        <w:rPr>
          <w:b/>
          <w:i/>
        </w:rPr>
        <w:t>time charter out</w:t>
      </w:r>
      <w:r>
        <w:rPr>
          <w:b/>
        </w:rPr>
        <w:t>), kaip numatyta Lietuvos Respublikos prekybinės laivybos įstatymo 2 straipsnyje, jūrų laivus (krovininius, konteinerinius, tanklaivius, keleivinius įvažiuojamuosius, keleivinius, kruizinius), kurie plaukioja su Lietuvos Respublikos arba kitos Europos ekonominės erdvės valstybės vėliava ir yra naudojami tarptautiniam vežimui jūrų laivais arba tarptautiniam vežimui jūrų laivais ar su juo tiesiogiai susijusiai veiklai;</w:t>
      </w:r>
    </w:p>
    <w:p w14:paraId="5033852A"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8876D8" w14:textId="77777777" w:rsidR="00093845" w:rsidRDefault="00093845">
      <w:pPr>
        <w:ind w:firstLine="567"/>
        <w:jc w:val="both"/>
        <w:rPr>
          <w:b/>
        </w:rPr>
      </w:pPr>
    </w:p>
    <w:p w14:paraId="05442D77" w14:textId="77777777" w:rsidR="00093845" w:rsidRDefault="000D779E">
      <w:pPr>
        <w:ind w:firstLine="567"/>
        <w:jc w:val="both"/>
        <w:rPr>
          <w:b/>
        </w:rPr>
      </w:pPr>
      <w:r>
        <w:rPr>
          <w:b/>
        </w:rPr>
        <w:t>Komentaras</w:t>
      </w:r>
    </w:p>
    <w:p w14:paraId="2390DE69" w14:textId="77777777" w:rsidR="00093845" w:rsidRDefault="000D779E">
      <w:pPr>
        <w:ind w:firstLine="567"/>
        <w:jc w:val="both"/>
      </w:pPr>
      <w:r>
        <w:t xml:space="preserve">1. Viena iš sąlygų laivybos vienetui, siekiančiam pajamoms iš tarptautinio vežimo jūrų laivais ir su tuo tiesiogiai susijusios veiklos taikyti apmokestinimo fiksuotu pelno mokesčiu tvarką, yra </w:t>
      </w:r>
      <w:r>
        <w:rPr>
          <w:u w:val="single"/>
        </w:rPr>
        <w:t>visą mokestinį laikotarpį</w:t>
      </w:r>
      <w:r>
        <w:t xml:space="preserve"> ar laikotarpius, už kuriuos mokamas fiksuotas pelno mokestis, valdyti laivus, kurie plaukioja su Lietuvos Respublikos arba kitos Europos ekonominės erdvės valstybės vėliava ir yra naudojami tarptautiniam vežimui jūrų laivais arba tarptautiniam vežimui jūrų laivais ar su juo tiesiogiai susijusiai veiklai, išvardintai PMĮ 2 straipsnio 34 dalyje. </w:t>
      </w:r>
    </w:p>
    <w:p w14:paraId="07B1341F" w14:textId="77777777" w:rsidR="00093845" w:rsidRDefault="000D779E">
      <w:pPr>
        <w:ind w:firstLine="567"/>
        <w:jc w:val="both"/>
      </w:pPr>
      <w:r>
        <w:t>Fiksuotu pelno mokesčiu gali būti apmokestinamos  jūrų laivais (krovininiais, konteineriniais, tanklaiviais,  keleiviniais įvažiuojamaisiais bei kruiziniais) vykdomo tarptautinio vežimo arba</w:t>
      </w:r>
      <w:r>
        <w:rPr>
          <w:b/>
        </w:rPr>
        <w:t xml:space="preserve"> </w:t>
      </w:r>
      <w:r>
        <w:t>tarptautinio vežimo ir su tuo tiesiogiai susijusios veiklos pajamos. Šiuos laivus laivybos vienetas privalo:</w:t>
      </w:r>
    </w:p>
    <w:p w14:paraId="342931CD" w14:textId="77777777" w:rsidR="00093845" w:rsidRDefault="000D779E">
      <w:pPr>
        <w:ind w:firstLine="567"/>
        <w:jc w:val="both"/>
      </w:pPr>
      <w:r>
        <w:t>- turėti nuosavybės teise, arba</w:t>
      </w:r>
    </w:p>
    <w:p w14:paraId="2B684337" w14:textId="77777777" w:rsidR="00093845" w:rsidRDefault="000D779E">
      <w:pPr>
        <w:ind w:firstLine="567"/>
        <w:jc w:val="both"/>
      </w:pPr>
      <w:r>
        <w:t>- valdyti pagal finansinės nuomos sutartį, kurioje numatytas nuosavybės teisės perėjimas, arba</w:t>
      </w:r>
    </w:p>
    <w:p w14:paraId="59E7623B" w14:textId="77777777" w:rsidR="00093845" w:rsidRDefault="000D779E">
      <w:pPr>
        <w:ind w:firstLine="567"/>
        <w:jc w:val="both"/>
      </w:pPr>
      <w:r>
        <w:t>- valdyti pirkimo-pardavimo ar nuomos sutarties, kurioje numatytas nuosavybės teisės perėjimas, pagrindu, arba</w:t>
      </w:r>
    </w:p>
    <w:p w14:paraId="1CB055B1" w14:textId="77777777" w:rsidR="00093845" w:rsidRDefault="000D779E">
      <w:pPr>
        <w:ind w:firstLine="567"/>
        <w:jc w:val="both"/>
      </w:pPr>
      <w:r>
        <w:t>- nuomotis laivo nuomos be įgulos sutarties (bareboat charter) pagrindu, arba</w:t>
      </w:r>
    </w:p>
    <w:p w14:paraId="33D41C20" w14:textId="77777777" w:rsidR="00093845" w:rsidRDefault="000D779E">
      <w:pPr>
        <w:ind w:firstLine="567"/>
        <w:jc w:val="both"/>
      </w:pPr>
      <w:r>
        <w:t>- naudotis pagal laivo frachtavimo sutartį (laivo frachtavimo sutartį laivo reisui (</w:t>
      </w:r>
      <w:r>
        <w:rPr>
          <w:i/>
        </w:rPr>
        <w:t>voyage charter</w:t>
      </w:r>
      <w:r>
        <w:t>) arba  terminuotą laivo frachtavimo sutartį (</w:t>
      </w:r>
      <w:r>
        <w:rPr>
          <w:i/>
        </w:rPr>
        <w:t>time charter in</w:t>
      </w:r>
      <w:r>
        <w:t xml:space="preserve"> arba </w:t>
      </w:r>
      <w:r>
        <w:rPr>
          <w:i/>
        </w:rPr>
        <w:t>time charter out</w:t>
      </w:r>
      <w:r>
        <w:t>).</w:t>
      </w:r>
    </w:p>
    <w:p w14:paraId="6B47D3A2" w14:textId="77777777" w:rsidR="00093845" w:rsidRDefault="000D779E">
      <w:pPr>
        <w:ind w:firstLine="567"/>
        <w:jc w:val="both"/>
      </w:pPr>
      <w:r>
        <w:t>2. Šiame punkte nustatytas reikalavimas visą mokestinį laikotarpį valdyti atitinkamus jūrų laivus taikomas laivybos vienetui, o ne konkretiems jo vienu ar kitu aukščiau paminėtu pagrindu turimiems jūrų laivams. Todėl net ir perleisdamas turimus, nors ir ne visą mokestinį laikotarpį valdytus, jūrų laivus ar per mokestinį laikotarpį įsigydamas naujus jūrų laivus, laivybos vienetas nebus laikomas neatitinkančiu aptariamo kriterijaus, jei per visą mokestinį laikotarpį šiame punkte nustatytais pagrindais jis valdys laivus, kurie plaukioja su Lietuvos Respublikos arba kitos Europos ekonominės erdvės valstybės vėliava ir yra naudojami tarptautiniam vežimui jūrų laivais arba tarptautiniam vežimui jūrų laivais ar su juo tiesiogiai susijusiai veiklai.</w:t>
      </w:r>
    </w:p>
    <w:p w14:paraId="3D8EF027" w14:textId="77777777" w:rsidR="00093845" w:rsidRDefault="000D779E">
      <w:pPr>
        <w:ind w:firstLine="567"/>
        <w:jc w:val="both"/>
      </w:pPr>
      <w:r>
        <w:t>Taigi ir fiksuoto pelno mokesčio bazė, atsižvelgiant į PMĮ 38</w:t>
      </w:r>
      <w:r>
        <w:rPr>
          <w:vertAlign w:val="superscript"/>
        </w:rPr>
        <w:t>(2)</w:t>
      </w:r>
      <w:r>
        <w:t xml:space="preserve"> straipsnio nuostatas, bus apskaičiuojama ne tik nuo visą mokestinį laikotarpį laivybos vieneto nuosavybės teise, pagal finansinės nuomos sutartį, kurioje numatytas nuosavybės teisės perėjimas, pagal pirkimo - pardavimo ar nuomos sutartį, kurioje numatytas nuosavybės teisės perėjimas ar laivo nuomos be įgulos sutarties pagrindu, ar pagal laivo frachtavimo sutartį (laivo frachtavimo sutartį laivo reisui (</w:t>
      </w:r>
      <w:r>
        <w:rPr>
          <w:i/>
        </w:rPr>
        <w:t>voyage charter)</w:t>
      </w:r>
      <w:r>
        <w:t xml:space="preserve"> </w:t>
      </w:r>
      <w:r>
        <w:lastRenderedPageBreak/>
        <w:t>arba pagal terminuotą laivo frachtavimo sutartį (</w:t>
      </w:r>
      <w:r>
        <w:rPr>
          <w:i/>
        </w:rPr>
        <w:t xml:space="preserve">time charter in </w:t>
      </w:r>
      <w:r>
        <w:t xml:space="preserve">arba </w:t>
      </w:r>
      <w:r>
        <w:rPr>
          <w:i/>
        </w:rPr>
        <w:t>time charter out</w:t>
      </w:r>
      <w:r>
        <w:t>) valdytų jūrų laivų  naudingosios talpos (toliau – NT), bet ir nuo minėtais pagrindais laivybos vieneto dalį mokestinio laikotarpio valdytų jūrų laivų, kurie plaukioja su Lietuvos Respublikos arba kitos Europos ekonominės erdvės valstybės vėliava ir yra naudojami tarptautiniam vežimui jūrų laivais arba tarptautiniam vežimui jūrų laivais ar su juo tiesiogiai susijusiai veiklai</w:t>
      </w:r>
      <w:r>
        <w:rPr>
          <w:b/>
        </w:rPr>
        <w:t xml:space="preserve"> </w:t>
      </w:r>
      <w:r>
        <w:t xml:space="preserve">laivų NT. </w:t>
      </w:r>
    </w:p>
    <w:p w14:paraId="2F9FDD37" w14:textId="77777777" w:rsidR="00093845" w:rsidRDefault="000D779E" w:rsidP="00333488">
      <w:pPr>
        <w:spacing w:after="0"/>
        <w:ind w:firstLine="567"/>
        <w:jc w:val="both"/>
        <w:rPr>
          <w:b/>
          <w:strike/>
          <w:lang w:eastAsia="lt-LT"/>
        </w:rPr>
      </w:pPr>
      <w:r>
        <w:rPr>
          <w:b/>
          <w:lang w:eastAsia="lt-LT"/>
        </w:rPr>
        <w:t>2) laivybos vieneto nuosavybės teise valdomų jūrų laivų NT yra ne mažesnė kaip 10 procentų laivybos vieneto visų valdomų jūrų laivų NT;</w:t>
      </w:r>
    </w:p>
    <w:p w14:paraId="22F640AD"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5C1C0171" w14:textId="77777777" w:rsidR="00093845" w:rsidRDefault="00093845">
      <w:pPr>
        <w:ind w:firstLine="567"/>
        <w:jc w:val="both"/>
        <w:rPr>
          <w:b/>
        </w:rPr>
      </w:pPr>
    </w:p>
    <w:p w14:paraId="397028AA" w14:textId="77777777" w:rsidR="00093845" w:rsidRDefault="000D779E">
      <w:pPr>
        <w:ind w:firstLine="567"/>
        <w:jc w:val="both"/>
        <w:rPr>
          <w:b/>
        </w:rPr>
      </w:pPr>
      <w:r>
        <w:rPr>
          <w:b/>
        </w:rPr>
        <w:t>Komentaras</w:t>
      </w:r>
    </w:p>
    <w:p w14:paraId="1ED4C8B8" w14:textId="77777777" w:rsidR="00093845" w:rsidRDefault="000D779E">
      <w:pPr>
        <w:ind w:firstLine="567"/>
        <w:jc w:val="both"/>
      </w:pPr>
      <w:r>
        <w:t xml:space="preserve">Laivybos vienetas, siekiantis įgyti ir/ar išlaikyti teisę mokėti fiksuotą pelno mokestį, turi užtikrinti, kad visą apmokestinimo fiksuotu pelno mokesčiu tvarkos taikymo laikotarpį jo nuosavybės teise valdomų jūrų laivų, kurie plaukioja su Lietuvos Respublikos arba kitos Europos ekonominės erdvės valstybės vėliava, NT sudarytų ne mažiau kaip 10 procentų (iki 2017 metų mokestinio laikotarpio -  25 procentus) visų to vieneto valdomų jūrų laivų, kurie plaukioja su Lietuvos Respublikos arba kitos Europos ekonominės erdvės valstybės vėliava, NT. Todėl, jei pasikeičia laivybos vieneto valdomų jūrų laivų NT (įsigyjamas naujas laivas, prarandamas ar perleidžiamas valdytas laivas), jis turi perskaičiuoti nuosavybės teise valdomų jūrų laivų, kurie plaukioja su Lietuvos Respublikos arba kitos Europos ekonominės erdvės valstybės vėliava,  NT santykį visame to laivybos vieneto valdomų jūrų laivų, kurie plaukioja su Lietuvos Respublikos arba kitos Europos ekonominės erdvės valstybės vėliava,  NT. Jeigu šis santykis tampa mažesnis už nustatytą 10 procentų (iki 2017 metų mokestinio laikotarpio -  25 procentų) ribą, laivybos vienetas, atsižvelgdamas į tokio pasikeitimo priežastis, turi atitinkamai mokesčių administratoriui pateikti minėtose Pranešimo apie pasirinkimą mokėti fiksuotą pelno mokestį rengimo ir teikimo taisyklėse (patvirtintose Valstybinės mokesčių inspekcijos prie Lietuvos Respublikos finansų ministerijos viršininko 2007 m. birželio 8 d. </w:t>
      </w:r>
      <w:hyperlink r:id="rId108" w:history="1">
        <w:r>
          <w:rPr>
            <w:rStyle w:val="Hipersaitas"/>
          </w:rPr>
          <w:t>įsakymu Nr. VA-42</w:t>
        </w:r>
      </w:hyperlink>
      <w:r>
        <w:t>) nustatyto turinio pranešimą (apie ištikusias nenugalimos jėgos aplinkybes, atsisakymą mokėti ar teisės mokėti fiksuotą pelno mokestį praradimą).</w:t>
      </w:r>
    </w:p>
    <w:p w14:paraId="6424EED8" w14:textId="77777777" w:rsidR="00093845" w:rsidRDefault="000D779E">
      <w:pPr>
        <w:ind w:firstLine="567"/>
        <w:jc w:val="both"/>
      </w:pPr>
      <w:r>
        <w:t>Pavyzdys</w:t>
      </w:r>
    </w:p>
    <w:tbl>
      <w:tblPr>
        <w:tblW w:w="9732" w:type="dxa"/>
        <w:tblLayout w:type="fixed"/>
        <w:tblLook w:val="04A0" w:firstRow="1" w:lastRow="0" w:firstColumn="1" w:lastColumn="0" w:noHBand="0" w:noVBand="1"/>
      </w:tblPr>
      <w:tblGrid>
        <w:gridCol w:w="9732"/>
      </w:tblGrid>
      <w:tr w:rsidR="00093845" w14:paraId="1003C13B" w14:textId="77777777">
        <w:tc>
          <w:tcPr>
            <w:tcW w:w="9732" w:type="dxa"/>
            <w:tcBorders>
              <w:top w:val="single" w:sz="4" w:space="0" w:color="auto"/>
              <w:left w:val="single" w:sz="4" w:space="0" w:color="auto"/>
              <w:bottom w:val="single" w:sz="4" w:space="0" w:color="auto"/>
              <w:right w:val="single" w:sz="4" w:space="0" w:color="auto"/>
            </w:tcBorders>
          </w:tcPr>
          <w:p w14:paraId="77EBB08D" w14:textId="77777777" w:rsidR="00093845" w:rsidRDefault="000D779E">
            <w:pPr>
              <w:ind w:firstLine="567"/>
              <w:jc w:val="both"/>
            </w:pPr>
            <w:r>
              <w:t>Laivybos vienetas valdo bendros 50 000 NT vienetų laivyną. Nuosavybės teise šiam verslo subjektui priklausančių laivų, kurie plaukioja su Lietuvos Respublikos arba kitos Europos ekonominės erdvės valstybės vėliava, bendra NT sudaro 15 000 vienetų, bendros 10 000 NT vienetų talpos jūrų laivų, įsigytų pagal finansinės nuomos sutartį, kurioje numatytas nuosavybės teisės perėjimas, plaukioja su Panamos vėliava, o likę bendros 25 000 NT jūrų laivai, valdomi nuomos be įgulos sutarčių pagrindu, plaukioja su Latvijos vėliava.</w:t>
            </w:r>
          </w:p>
          <w:p w14:paraId="27E11A7E" w14:textId="77777777" w:rsidR="00093845" w:rsidRDefault="000D779E">
            <w:pPr>
              <w:ind w:firstLine="567"/>
              <w:jc w:val="both"/>
            </w:pPr>
            <w:r>
              <w:t>Šio laivybos subjekto nuosavybės teise valdomų jūrų laivų, kurie plaukioja su Lietuvos Respublikos arba kitos Europos ekonominės erdvės valstybės vėliava,   NT sudaro 37,5 procentų visų laivybos vieneto valdomų jūrų laivų, kurie plaukioja su Lietuvos Respublikos arba kitos Europos ekonominės erdvės valstybės vėliava, NT, vadinasi, jis atitinka nustatytą 10 procentų (iki 2017 metų mokestinio laikotarpio</w:t>
            </w:r>
            <w:r>
              <w:rPr>
                <w:b/>
              </w:rPr>
              <w:t xml:space="preserve"> -</w:t>
            </w:r>
            <w:r>
              <w:t xml:space="preserve">  25 procentų</w:t>
            </w:r>
            <w:r>
              <w:rPr>
                <w:b/>
              </w:rPr>
              <w:t>)</w:t>
            </w:r>
            <w:r>
              <w:t xml:space="preserve"> ribos kriterijų [15 000 /40 000 * 100 proc.]. </w:t>
            </w:r>
          </w:p>
          <w:p w14:paraId="01C224A0" w14:textId="77777777" w:rsidR="00093845" w:rsidRDefault="000D779E">
            <w:pPr>
              <w:ind w:firstLine="567"/>
              <w:jc w:val="both"/>
            </w:pPr>
            <w:r>
              <w:t xml:space="preserve">      </w:t>
            </w:r>
          </w:p>
        </w:tc>
      </w:tr>
    </w:tbl>
    <w:p w14:paraId="7B18A343" w14:textId="77777777" w:rsidR="00093845" w:rsidRDefault="00093845">
      <w:pPr>
        <w:jc w:val="both"/>
        <w:rPr>
          <w:b/>
        </w:rPr>
      </w:pPr>
    </w:p>
    <w:p w14:paraId="7B3C4656" w14:textId="77777777" w:rsidR="00093845" w:rsidRDefault="000D779E" w:rsidP="00333488">
      <w:pPr>
        <w:spacing w:after="0"/>
        <w:ind w:firstLine="567"/>
        <w:jc w:val="both"/>
        <w:rPr>
          <w:b/>
        </w:rPr>
      </w:pPr>
      <w:r>
        <w:rPr>
          <w:b/>
        </w:rPr>
        <w:t>3) laivybos vieneto pagal frachtavimo sutartis (laivo frachtavimo sutartis laivo reisui (</w:t>
      </w:r>
      <w:r>
        <w:rPr>
          <w:b/>
          <w:i/>
        </w:rPr>
        <w:t>voyage charter</w:t>
      </w:r>
      <w:r>
        <w:rPr>
          <w:b/>
        </w:rPr>
        <w:t>) arba terminuotas frachtavimo sutartis (</w:t>
      </w:r>
      <w:r>
        <w:rPr>
          <w:b/>
          <w:i/>
        </w:rPr>
        <w:t>time</w:t>
      </w:r>
      <w:r>
        <w:rPr>
          <w:b/>
        </w:rPr>
        <w:t xml:space="preserve"> </w:t>
      </w:r>
      <w:r>
        <w:rPr>
          <w:b/>
          <w:i/>
        </w:rPr>
        <w:t>charter in</w:t>
      </w:r>
      <w:r>
        <w:rPr>
          <w:b/>
        </w:rPr>
        <w:t xml:space="preserve">), kaip numatyta Lietuvos Respublikos prekybinės laivybos įstatymo 2 straipsnyje, naudojamų jūrų laivų NT yra ne </w:t>
      </w:r>
      <w:r>
        <w:rPr>
          <w:b/>
        </w:rPr>
        <w:lastRenderedPageBreak/>
        <w:t>didesnė kaip 75 procentai visų laivybos vieneto valdomų jūrų laivų NT, o pagal laivo nuomos be įgulos sutartis (</w:t>
      </w:r>
      <w:r>
        <w:rPr>
          <w:b/>
          <w:i/>
        </w:rPr>
        <w:t>bareboat charter out</w:t>
      </w:r>
      <w:r>
        <w:rPr>
          <w:b/>
        </w:rPr>
        <w:t>) išnuomotų jūrų laivų, turimų nuosavybės teise, NT yra ne didesnė kaip 30 procentų visų laivybos vieneto valdomų jūrų laivų NT;</w:t>
      </w:r>
    </w:p>
    <w:p w14:paraId="52633AF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3D9FAF5" w14:textId="77777777" w:rsidR="00093845" w:rsidRDefault="00093845">
      <w:pPr>
        <w:ind w:firstLine="567"/>
        <w:jc w:val="both"/>
      </w:pPr>
    </w:p>
    <w:p w14:paraId="1C7D720E" w14:textId="77777777" w:rsidR="00093845" w:rsidRDefault="000D779E">
      <w:pPr>
        <w:ind w:firstLine="567"/>
        <w:jc w:val="both"/>
        <w:rPr>
          <w:b/>
        </w:rPr>
      </w:pPr>
      <w:r>
        <w:rPr>
          <w:b/>
        </w:rPr>
        <w:t>Komentaras</w:t>
      </w:r>
    </w:p>
    <w:p w14:paraId="138D4FE4" w14:textId="77777777" w:rsidR="00093845" w:rsidRDefault="000D779E">
      <w:pPr>
        <w:ind w:firstLine="567"/>
        <w:jc w:val="both"/>
      </w:pPr>
      <w:r>
        <w:t>Laivybos vienetas, siekiantis įgyti ir/ar išlaikyti teisę mokėti fiksuotą pelno mokestį, turi užtikrinti, kad visą apmokestinimo fiksuotu pelno mokesčiu tvarkos taikymo laikotarpį jo:</w:t>
      </w:r>
    </w:p>
    <w:p w14:paraId="2F3E9846" w14:textId="77777777" w:rsidR="00093845" w:rsidRDefault="000D779E" w:rsidP="00EC4E29">
      <w:pPr>
        <w:pStyle w:val="Sraopastraipa"/>
        <w:numPr>
          <w:ilvl w:val="0"/>
          <w:numId w:val="38"/>
        </w:numPr>
        <w:tabs>
          <w:tab w:val="left" w:pos="709"/>
        </w:tabs>
        <w:ind w:left="0" w:firstLine="567"/>
        <w:jc w:val="both"/>
      </w:pPr>
      <w:r>
        <w:t xml:space="preserve">pagal laivo frachtavimo sutartis, kaip numatyta Lietuvos Respublikos prekybinės laivybos įstatymo </w:t>
      </w:r>
      <w:r>
        <w:rPr>
          <w:lang w:val="en-US"/>
        </w:rPr>
        <w:t>2</w:t>
      </w:r>
      <w:r>
        <w:t xml:space="preserve"> straipsnyje, laivo reisui (</w:t>
      </w:r>
      <w:r>
        <w:rPr>
          <w:i/>
        </w:rPr>
        <w:t>voyage charter</w:t>
      </w:r>
      <w:r>
        <w:t xml:space="preserve">) ir terminuotam frachtavimui </w:t>
      </w:r>
      <w:r>
        <w:rPr>
          <w:i/>
        </w:rPr>
        <w:t>(time charter in</w:t>
      </w:r>
      <w:r>
        <w:t xml:space="preserve">) naudojamų jūrų laivų, kurie plaukioja su Lietuvos Respublikos arba kitos Europos ekonominės erdvės valstybės vėliava, NT turi būti ne didesnė kaip </w:t>
      </w:r>
      <w:r>
        <w:rPr>
          <w:lang w:val="en-US"/>
        </w:rPr>
        <w:t>75 procentai vis</w:t>
      </w:r>
      <w:r>
        <w:t xml:space="preserve">ų laivybos vieneto valdomų jūrų laivų, kurie plaukioja su Lietuvos Respublikos arba kitos Europos ekonominės erdvės valstybės vėliava, NT, </w:t>
      </w:r>
      <w:r>
        <w:rPr>
          <w:i/>
        </w:rPr>
        <w:t>arba</w:t>
      </w:r>
      <w:r>
        <w:t xml:space="preserve">  </w:t>
      </w:r>
    </w:p>
    <w:p w14:paraId="0F6482FC" w14:textId="77777777" w:rsidR="00093845" w:rsidRDefault="000D779E" w:rsidP="00EC4E29">
      <w:pPr>
        <w:pStyle w:val="Sraopastraipa"/>
        <w:numPr>
          <w:ilvl w:val="0"/>
          <w:numId w:val="38"/>
        </w:numPr>
        <w:tabs>
          <w:tab w:val="left" w:pos="709"/>
        </w:tabs>
        <w:ind w:left="0" w:firstLine="567"/>
        <w:jc w:val="both"/>
      </w:pPr>
      <w:r>
        <w:t>pagal laivo nuomos be įgulos sutartis (</w:t>
      </w:r>
      <w:r>
        <w:rPr>
          <w:i/>
        </w:rPr>
        <w:t>bareboat charter out</w:t>
      </w:r>
      <w:r>
        <w:t>) išnuomotų jūrų laivų, turimų nuosavybės teise, kurie plaukioja su Lietuvos Respublikos arba kitos Europos ekonominės erdvės valstybės vėliava, NT yra ne didesnė kaip 30 procentų visų laivybos vieneto valdomų jūrų laivų, kurie plaukioja su Lietuvos Respublikos arba kitos Europos ekonominės erdvės valstybės vėliava, NT.</w:t>
      </w:r>
    </w:p>
    <w:p w14:paraId="1E01B0F3" w14:textId="77777777" w:rsidR="00093845" w:rsidRPr="0065344A" w:rsidRDefault="000D779E" w:rsidP="00333488">
      <w:pPr>
        <w:spacing w:after="0"/>
        <w:ind w:firstLine="567"/>
        <w:jc w:val="both"/>
        <w:rPr>
          <w:b/>
          <w:lang w:val="lt-LT"/>
        </w:rPr>
      </w:pPr>
      <w:r w:rsidRPr="0065344A">
        <w:rPr>
          <w:b/>
          <w:lang w:val="lt-LT"/>
        </w:rPr>
        <w:t>4) teikia Europos ekonominės erdvės valstybėje strateginio, komercinio, techninio vadovavimo paslaugas jūrų laivams, kuriais atliekamas tarptautinis vežimas jūrų laivais, išskyrus atvejus, kai jūrų laivai naudojami pagal laivo frachtavimo sutartį (laivo frachtavimo sutartį laivo reisui (</w:t>
      </w:r>
      <w:r w:rsidRPr="0065344A">
        <w:rPr>
          <w:b/>
          <w:i/>
          <w:lang w:val="lt-LT"/>
        </w:rPr>
        <w:t>voyage charter</w:t>
      </w:r>
      <w:r w:rsidRPr="0065344A">
        <w:rPr>
          <w:b/>
          <w:lang w:val="lt-LT"/>
        </w:rPr>
        <w:t>)</w:t>
      </w:r>
      <w:r w:rsidRPr="0065344A">
        <w:rPr>
          <w:b/>
          <w:i/>
          <w:lang w:val="lt-LT"/>
        </w:rPr>
        <w:t xml:space="preserve"> </w:t>
      </w:r>
      <w:r w:rsidRPr="0065344A">
        <w:rPr>
          <w:b/>
          <w:lang w:val="lt-LT"/>
        </w:rPr>
        <w:t>arba terminuotą frachtavimo sutartį (</w:t>
      </w:r>
      <w:r w:rsidRPr="0065344A">
        <w:rPr>
          <w:b/>
          <w:i/>
          <w:lang w:val="lt-LT"/>
        </w:rPr>
        <w:t>time</w:t>
      </w:r>
      <w:r w:rsidRPr="0065344A">
        <w:rPr>
          <w:b/>
          <w:lang w:val="lt-LT"/>
        </w:rPr>
        <w:t xml:space="preserve"> </w:t>
      </w:r>
      <w:r w:rsidRPr="0065344A">
        <w:rPr>
          <w:b/>
          <w:i/>
          <w:lang w:val="lt-LT"/>
        </w:rPr>
        <w:t>charter in</w:t>
      </w:r>
      <w:r w:rsidRPr="0065344A">
        <w:rPr>
          <w:b/>
          <w:lang w:val="lt-LT"/>
        </w:rPr>
        <w:t>), kaip numatyta Lietuvos Respublikos prekybinės laivybos įstatymo 2 straipsnyje, ir kai laivybos vieneto jūrų laivai (valdomi nuosavybės teise) išnuomojami pagal laivo nuomos be įgulos sutartį (</w:t>
      </w:r>
      <w:r w:rsidRPr="0065344A">
        <w:rPr>
          <w:b/>
          <w:i/>
          <w:lang w:val="lt-LT"/>
        </w:rPr>
        <w:t>bareboat charter out</w:t>
      </w:r>
      <w:r w:rsidRPr="0065344A">
        <w:rPr>
          <w:b/>
          <w:lang w:val="lt-LT"/>
        </w:rPr>
        <w:t>);</w:t>
      </w:r>
    </w:p>
    <w:p w14:paraId="41EE24FB"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80D8EB1" w14:textId="77777777" w:rsidR="00093845" w:rsidRPr="00062580" w:rsidRDefault="00093845">
      <w:pPr>
        <w:ind w:firstLine="567"/>
        <w:jc w:val="both"/>
        <w:rPr>
          <w:b/>
          <w:i/>
          <w:lang w:val="lt-LT"/>
        </w:rPr>
      </w:pPr>
    </w:p>
    <w:p w14:paraId="6B281083" w14:textId="77777777" w:rsidR="00093845" w:rsidRPr="0065344A" w:rsidRDefault="000D779E">
      <w:pPr>
        <w:ind w:firstLine="567"/>
        <w:jc w:val="both"/>
        <w:rPr>
          <w:b/>
          <w:lang w:val="lt-LT"/>
        </w:rPr>
      </w:pPr>
      <w:r w:rsidRPr="0065344A">
        <w:rPr>
          <w:b/>
          <w:lang w:val="lt-LT"/>
        </w:rPr>
        <w:t>Komentaras</w:t>
      </w:r>
    </w:p>
    <w:p w14:paraId="7B0E6739" w14:textId="77777777" w:rsidR="00093845" w:rsidRPr="0065344A" w:rsidRDefault="000D779E">
      <w:pPr>
        <w:ind w:firstLine="567"/>
        <w:jc w:val="both"/>
        <w:rPr>
          <w:lang w:val="lt-LT"/>
        </w:rPr>
      </w:pPr>
      <w:r w:rsidRPr="0065344A">
        <w:rPr>
          <w:lang w:val="lt-LT"/>
        </w:rPr>
        <w:t>1. Laivybos vienetas, pasirinkęs mokėti fiksuotą pelno mokestį, turi ne tik valdyti jūrų laivus, kurie plaukioja su Lietuvos Respublikos arba kitos Europos ekonominės erdvės valstybės vėliava ir yra naudojami tarptautiniam vežimui jūrų laivais arba tarptautiniam vežimui jūrų laivais ar su juo tiesiogiai susijusiai veiklai, bet per veiklavietę teikti Europos ekonominės erdvės valstybėje strateginio, komercinio ir techninio vadovavimo paslaugas</w:t>
      </w:r>
      <w:r w:rsidRPr="0065344A">
        <w:rPr>
          <w:b/>
          <w:lang w:val="lt-LT"/>
        </w:rPr>
        <w:t xml:space="preserve"> </w:t>
      </w:r>
      <w:r w:rsidRPr="0065344A">
        <w:rPr>
          <w:lang w:val="lt-LT"/>
        </w:rPr>
        <w:t>jūrų laivams, kuriais atliekamas tarptautinis vežimas jūrų laivais, išskyrus atvejus, kai jūrų laivai naudojami pagal laivo frachtavimo sutartį (laivo frachtavimo sutartį laivo reisui (</w:t>
      </w:r>
      <w:r w:rsidRPr="0065344A">
        <w:rPr>
          <w:i/>
          <w:lang w:val="lt-LT"/>
        </w:rPr>
        <w:t>voyage charter</w:t>
      </w:r>
      <w:r w:rsidRPr="0065344A">
        <w:rPr>
          <w:lang w:val="lt-LT"/>
        </w:rPr>
        <w:t>)</w:t>
      </w:r>
      <w:r w:rsidRPr="0065344A">
        <w:rPr>
          <w:i/>
          <w:lang w:val="lt-LT"/>
        </w:rPr>
        <w:t xml:space="preserve"> </w:t>
      </w:r>
      <w:r w:rsidRPr="0065344A">
        <w:rPr>
          <w:lang w:val="lt-LT"/>
        </w:rPr>
        <w:t>arba terminuotą frachtavimo sutartį (</w:t>
      </w:r>
      <w:r w:rsidRPr="0065344A">
        <w:rPr>
          <w:i/>
          <w:lang w:val="lt-LT"/>
        </w:rPr>
        <w:t>time</w:t>
      </w:r>
      <w:r w:rsidRPr="0065344A">
        <w:rPr>
          <w:lang w:val="lt-LT"/>
        </w:rPr>
        <w:t xml:space="preserve"> </w:t>
      </w:r>
      <w:r w:rsidRPr="0065344A">
        <w:rPr>
          <w:i/>
          <w:lang w:val="lt-LT"/>
        </w:rPr>
        <w:t>charter in</w:t>
      </w:r>
      <w:r w:rsidRPr="0065344A">
        <w:rPr>
          <w:lang w:val="lt-LT"/>
        </w:rPr>
        <w:t>), kaip numatyta Lietuvos Respublikos prekybinės laivybos įstatymo 2 straipsnyje, ir kai laivybos vieneto jūrų laivai (valdomi nuosavybės teise) išnuomojami pagal laivo nuomos be įgulos sutartį (</w:t>
      </w:r>
      <w:r w:rsidRPr="0065344A">
        <w:rPr>
          <w:i/>
          <w:lang w:val="lt-LT"/>
        </w:rPr>
        <w:t>bareboat charter out</w:t>
      </w:r>
      <w:r w:rsidRPr="0065344A">
        <w:rPr>
          <w:lang w:val="lt-LT"/>
        </w:rPr>
        <w:t xml:space="preserve">). </w:t>
      </w:r>
    </w:p>
    <w:p w14:paraId="729AFCCD" w14:textId="77777777" w:rsidR="00093845" w:rsidRPr="0065344A" w:rsidRDefault="000D779E">
      <w:pPr>
        <w:ind w:firstLine="567"/>
        <w:jc w:val="both"/>
        <w:rPr>
          <w:lang w:val="lt-LT"/>
        </w:rPr>
      </w:pPr>
      <w:r w:rsidRPr="0065344A">
        <w:rPr>
          <w:lang w:val="lt-LT"/>
        </w:rPr>
        <w:t>2. Strateginio, vadovavimo paslaugų teikimo vieta šio straipsnio požiūriu suprantama kaip laivybos vieneto aukščiausių valdymo organų (valdybos, stebėtojų tarybos), paties vieneto ar už šią veiklą atsakingo padalinio aukščiausios vadovybės (administracijos), priimančios sprendimus dėl laivybos verslo plėtros krypties, investicijų (jūrų laivų įsigijimo ir perleidimo), ilgalaikių įsipareigojimų prisiėmimo ir pan., veiklos vieta.</w:t>
      </w:r>
    </w:p>
    <w:p w14:paraId="3EE1317E" w14:textId="77777777" w:rsidR="00093845" w:rsidRPr="0065344A" w:rsidRDefault="000D779E">
      <w:pPr>
        <w:ind w:firstLine="567"/>
        <w:jc w:val="both"/>
        <w:rPr>
          <w:lang w:val="lt-LT"/>
        </w:rPr>
      </w:pPr>
      <w:r w:rsidRPr="0065344A">
        <w:rPr>
          <w:lang w:val="lt-LT"/>
        </w:rPr>
        <w:lastRenderedPageBreak/>
        <w:t>3. Komercinio vadovavimo paslaugų teikimo vieta šio straipsnio požiūriu suprantama kaip laivybos vieneto struktūrinių padalinių ar pavienių darbuotojų, atsakingų už jūrų laivų maršrutų planavimą, užsakymų priėmimą ir bilietų pardavimą, jūrų laivų aprūpinimą būtinomis atsargomis, tų laivų personalo valdymą ir pan., veiklos vieta. Laivybos vienetas, neprarasdamas kontrolės, šių funkcijų vykdymą gali deleguoti kitiems asmenims.</w:t>
      </w:r>
    </w:p>
    <w:p w14:paraId="603493B3" w14:textId="77777777" w:rsidR="00093845" w:rsidRPr="0065344A" w:rsidRDefault="000D779E">
      <w:pPr>
        <w:ind w:firstLine="567"/>
        <w:jc w:val="both"/>
        <w:rPr>
          <w:lang w:val="lt-LT"/>
        </w:rPr>
      </w:pPr>
      <w:r w:rsidRPr="0065344A">
        <w:rPr>
          <w:lang w:val="lt-LT"/>
        </w:rPr>
        <w:t>4. Techninio vadovavimo paslaugų teikimo vieta šio straipsnio požiūriu suprantama kaip laivybos vieneto struktūrinių padalinių ar pavienių darbuotojų, atsakingų ar tiesiogiai atliekančių laivybos vieneto jūrų laivų techninę priežiūrą, remontą, klasifikavimą ir/ar sertifikavimą, atitinkamų darbuotojų apmokymus ir pan., veiklos vieta. Laivybos vienetas, neprarasdamas kontrolės, šių funkcijų vykdymą gali deleguoti kitiems asmenims.</w:t>
      </w:r>
    </w:p>
    <w:p w14:paraId="5C132D91" w14:textId="77777777" w:rsidR="00093845" w:rsidRPr="0065344A" w:rsidRDefault="000D779E">
      <w:pPr>
        <w:ind w:firstLine="567"/>
        <w:jc w:val="both"/>
        <w:rPr>
          <w:lang w:val="lt-LT"/>
        </w:rPr>
      </w:pPr>
      <w:r w:rsidRPr="0065344A">
        <w:rPr>
          <w:lang w:val="lt-LT"/>
        </w:rPr>
        <w:t xml:space="preserve">5. Tam, kad visiškai atitiktų aptariamą kriterijų, laivybos vienetui nepakanka teikti tik vienos rūšies paslaugų (strateginio vadovavimo, komercinio vadovavimo ar techninio vadovavimo). Vienetas turi teikti visų anksčiau minėtų paslaugų rūšių kompleksą. </w:t>
      </w:r>
    </w:p>
    <w:p w14:paraId="66C7F0F6" w14:textId="77777777" w:rsidR="00093845" w:rsidRPr="0065344A" w:rsidRDefault="000D779E" w:rsidP="00333488">
      <w:pPr>
        <w:spacing w:after="0"/>
        <w:ind w:firstLine="567"/>
        <w:jc w:val="both"/>
        <w:rPr>
          <w:b/>
          <w:lang w:val="lt-LT"/>
        </w:rPr>
      </w:pPr>
      <w:r w:rsidRPr="0065344A">
        <w:rPr>
          <w:b/>
          <w:lang w:val="lt-LT"/>
        </w:rPr>
        <w:t>5)  laivybos vieneto valdomi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sidRPr="0065344A">
        <w:rPr>
          <w:b/>
          <w:i/>
          <w:iCs/>
          <w:lang w:val="lt-LT"/>
        </w:rPr>
        <w:t>bareboat charter</w:t>
      </w:r>
      <w:r w:rsidRPr="0065344A">
        <w:rPr>
          <w:b/>
          <w:lang w:val="lt-LT"/>
        </w:rPr>
        <w:t>) arba naudojami pagal laivo frachtavimo sutartį (laivo frachtavimo sutartį laivo reisui (</w:t>
      </w:r>
      <w:r w:rsidRPr="0065344A">
        <w:rPr>
          <w:b/>
          <w:i/>
          <w:iCs/>
          <w:lang w:val="lt-LT"/>
        </w:rPr>
        <w:t>voyage charter</w:t>
      </w:r>
      <w:r w:rsidRPr="0065344A">
        <w:rPr>
          <w:b/>
          <w:lang w:val="lt-LT"/>
        </w:rPr>
        <w:t>) arba terminuotą frachtavimo sutartį (</w:t>
      </w:r>
      <w:r w:rsidRPr="0065344A">
        <w:rPr>
          <w:b/>
          <w:i/>
          <w:iCs/>
          <w:lang w:val="lt-LT"/>
        </w:rPr>
        <w:t>time charter in</w:t>
      </w:r>
      <w:r w:rsidRPr="0065344A">
        <w:rPr>
          <w:b/>
          <w:lang w:val="lt-LT"/>
        </w:rPr>
        <w:t>),</w:t>
      </w:r>
      <w:r w:rsidRPr="0065344A">
        <w:rPr>
          <w:b/>
          <w:bCs/>
          <w:lang w:val="lt-LT"/>
        </w:rPr>
        <w:t xml:space="preserve"> </w:t>
      </w:r>
      <w:r w:rsidRPr="0065344A">
        <w:rPr>
          <w:b/>
          <w:lang w:val="lt-LT"/>
        </w:rPr>
        <w:t xml:space="preserve">kaip numatyta Lietuvos Respublikos prekybinės laivybos įstatymo 2 straipsnyje, jūrų laivai, kurie naudojami tarptautiniam vežimui jūrų laivais ir su juo tiesiogiai susijusiai veiklai vykdyti, atitinka Lietuvos Respublikos ir Europos Bendrijų teisės aktų nustatytus saugumo reikalavimus. </w:t>
      </w:r>
    </w:p>
    <w:p w14:paraId="1F73ECAE"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3D4B847C" w14:textId="77777777" w:rsidR="00093845" w:rsidRPr="0065344A" w:rsidRDefault="00093845">
      <w:pPr>
        <w:ind w:firstLine="567"/>
        <w:jc w:val="both"/>
        <w:rPr>
          <w:b/>
          <w:lang w:val="lt-LT"/>
        </w:rPr>
      </w:pPr>
    </w:p>
    <w:p w14:paraId="15266882" w14:textId="77777777" w:rsidR="00093845" w:rsidRPr="0065344A" w:rsidRDefault="000D779E">
      <w:pPr>
        <w:ind w:firstLine="567"/>
        <w:jc w:val="both"/>
        <w:rPr>
          <w:b/>
          <w:lang w:val="lt-LT"/>
        </w:rPr>
      </w:pPr>
      <w:r w:rsidRPr="0065344A">
        <w:rPr>
          <w:b/>
          <w:lang w:val="lt-LT"/>
        </w:rPr>
        <w:t>Komentaras</w:t>
      </w:r>
    </w:p>
    <w:p w14:paraId="7D84066F" w14:textId="77777777" w:rsidR="00093845" w:rsidRDefault="000D779E">
      <w:pPr>
        <w:ind w:firstLine="567"/>
        <w:jc w:val="both"/>
      </w:pPr>
      <w:r w:rsidRPr="0065344A">
        <w:rPr>
          <w:lang w:val="lt-LT"/>
        </w:rPr>
        <w:t xml:space="preserve">Jūrų laivai, kuriais laivybos vienetas vykdo tarptautinio vežimo jūrų laivais arba tarptautinio vežimo jūrų laivais ir su tuo tiesiogiai susijusią veiklą ir nuo kurių NT apskaičiuojama fiksuoto pelno mokesčio bazė, turi atitikti Lietuvos Respublikos, Europos Bendrijų ir kitus tarptautiniu lygiu nustatytus saugumo reikalavimus, tiek bendruosius, tiek ir specialiuosius pagal konkrečius jūrų laivų tipus ir/ar gabenamų krovinių rūšis, įskaitant su saugiomis laivų įgulų darbo sąlygomis bei aplinkos apsauga susijusius reikalavimus. Laivų, plaukiojančių su Lietuvos valstybės vėliava, ir užsienio laivų, įplaukiančių į Lietuvos Respublikos jūrų uostus, saugios laivybos reikalavimus nustato </w:t>
      </w:r>
      <w:hyperlink r:id="rId109" w:history="1">
        <w:r w:rsidRPr="0065344A">
          <w:rPr>
            <w:rStyle w:val="Hipersaitas"/>
            <w:lang w:val="lt-LT"/>
          </w:rPr>
          <w:t>Lietuvos Respublikos saugios laivybos įstatymas</w:t>
        </w:r>
      </w:hyperlink>
      <w:r w:rsidRPr="0065344A">
        <w:rPr>
          <w:lang w:val="lt-LT"/>
        </w:rPr>
        <w:t xml:space="preserve">, </w:t>
      </w:r>
      <w:hyperlink r:id="rId110" w:history="1">
        <w:r w:rsidRPr="0065344A">
          <w:rPr>
            <w:rStyle w:val="Hipersaitas"/>
            <w:lang w:val="lt-LT"/>
          </w:rPr>
          <w:t>Lietuvos Respublikos prekybinės laivybos įstatymas</w:t>
        </w:r>
      </w:hyperlink>
      <w:r w:rsidRPr="0065344A">
        <w:rPr>
          <w:lang w:val="lt-LT"/>
        </w:rPr>
        <w:t xml:space="preserve">, kiti įstatymai ir jų lydimieji teisės aktai, 1974 m. </w:t>
      </w:r>
      <w:hyperlink r:id="rId111" w:history="1">
        <w:r>
          <w:rPr>
            <w:rStyle w:val="Hipersaitas"/>
          </w:rPr>
          <w:t>Tarptautinė konvencija dėl žmogaus gyvybės apsaugos jūroje</w:t>
        </w:r>
      </w:hyperlink>
      <w:r>
        <w:t xml:space="preserve"> (SOLAS 74), kiti tarptautiniai (Tarptautinės jūrų organizacijos, JTO, Tarptautinės darbo organizacijos) ir Europos Bendrijos teisės aktai. Išsamų minėtų teisės aktų sąrašą galima rasti Lietuvos saugios laivybos administracijos interneto svetainėje (</w:t>
      </w:r>
      <w:hyperlink r:id="rId112" w:history="1">
        <w:r>
          <w:rPr>
            <w:rStyle w:val="Hipersaitas"/>
          </w:rPr>
          <w:t>www.msa.lt</w:t>
        </w:r>
      </w:hyperlink>
      <w:r>
        <w:t xml:space="preserve">). </w:t>
      </w:r>
    </w:p>
    <w:p w14:paraId="4CF7CDE7" w14:textId="77777777" w:rsidR="00093845" w:rsidRDefault="000D779E" w:rsidP="00333488">
      <w:pPr>
        <w:spacing w:after="0"/>
        <w:ind w:firstLine="567"/>
        <w:jc w:val="both"/>
        <w:rPr>
          <w:b/>
        </w:rPr>
      </w:pPr>
      <w:r>
        <w:rPr>
          <w:b/>
        </w:rPr>
        <w:t>2. Laivybos vienetui įgijus teisę ir pasirinkus mokėti fiksuotą pelno mokestį, apmokestinimo fiksuotu pelno mokesčiu tvarka taikoma ne trumpiau kaip iki šio straipsnio 5 dalyje nurodytos datos, išskyrus atvejus, kai laivybos vienetas nebeatitinka šio straipsnio 1 dalyje nustatytų kriterijų. Apmokestinimo fiksuotu pelno mokesčiu tvarka turi būti taikoma visiems laivybos vieneto, įskaitant patronuojamąsias bendroves, jūrų laivams, atitinkantiems šio straipsnio 1 dalies 1 punkte nustatytus kriterijus ir naudojamiems tarptautiniam vežimui jūrų laivais arba tarptautiniam vežimui jūrų laivais ir su juo tiesiogiai susijusiai veiklai.</w:t>
      </w:r>
    </w:p>
    <w:p w14:paraId="59A3013D" w14:textId="77777777" w:rsidR="00093845" w:rsidRPr="00062580" w:rsidRDefault="000D779E" w:rsidP="00333488">
      <w:pPr>
        <w:pStyle w:val="tajtip"/>
        <w:spacing w:before="0" w:beforeAutospacing="0" w:after="0" w:afterAutospacing="0"/>
        <w:jc w:val="both"/>
        <w:rPr>
          <w:i/>
          <w:iCs/>
        </w:rPr>
      </w:pPr>
      <w:r w:rsidRPr="00062580">
        <w:rPr>
          <w:i/>
          <w:iCs/>
        </w:rPr>
        <w:lastRenderedPageBreak/>
        <w:t>(KEISTA: 2017 06 01 įstatymu Nr. XIII-405 (nuo 2017 06 10), taikoma apskaičiuojant 2017 metais prasidėjusio mokestinio laikotarpio ir vėlesnių mokestinių laikotarpių apmokestinamąjį pelną)</w:t>
      </w:r>
    </w:p>
    <w:p w14:paraId="5D7377B2" w14:textId="77777777" w:rsidR="00093845" w:rsidRDefault="00093845">
      <w:pPr>
        <w:ind w:firstLine="567"/>
        <w:jc w:val="both"/>
        <w:rPr>
          <w:b/>
        </w:rPr>
      </w:pPr>
    </w:p>
    <w:p w14:paraId="31C3CF24" w14:textId="77777777" w:rsidR="00093845" w:rsidRDefault="000D779E">
      <w:pPr>
        <w:ind w:firstLine="567"/>
        <w:jc w:val="both"/>
        <w:rPr>
          <w:b/>
        </w:rPr>
      </w:pPr>
      <w:r>
        <w:rPr>
          <w:b/>
        </w:rPr>
        <w:t>Komentaras</w:t>
      </w:r>
    </w:p>
    <w:p w14:paraId="3FEE6C00" w14:textId="77777777" w:rsidR="00093845" w:rsidRDefault="000D779E">
      <w:pPr>
        <w:ind w:firstLine="567"/>
        <w:jc w:val="both"/>
      </w:pPr>
      <w:r>
        <w:t>Laivybos vienetui, įgijusiam teisę ir pasirinkusiam mokėti fiksuotą pelno mokestį nuo pajamų iš tarptautinio vežimo jūrų laivais arba tarptautinio vežimo jūrų laivais ir su tuo tiesiogiai susijusios veiklos, ši apmokestinimo tvarka jam gali būti taikoma iki 2026 m. gruodžio 31 d., išskyrus atvejus, kai dėl kitų negu nenugalimos jėgos (</w:t>
      </w:r>
      <w:r>
        <w:rPr>
          <w:i/>
        </w:rPr>
        <w:t>force majeure</w:t>
      </w:r>
      <w:r>
        <w:t>) aplinkybių laivybos vienetas nebeatitinka šio straipsnio 1 dalyje išvardintų kriterijų, savanoriškai atsisako teisės mokėti fiksuotą pelno mokestį arba dėl nenugalimos jėgos (</w:t>
      </w:r>
      <w:r>
        <w:rPr>
          <w:i/>
        </w:rPr>
        <w:t>force majeure</w:t>
      </w:r>
      <w:r>
        <w:t>) aplinkybių nebeatitinka šio straipsnio 1 dalyje išvardintų kriterijų ir neįvykdo šio straipsnio 4 dalyje nustatytos sąlygos, t. y. iki kito mokestinio laikotarpio, einančio po mokestinio laikotarpio, kurį dėl nenugalimos jėgos (</w:t>
      </w:r>
      <w:r>
        <w:rPr>
          <w:i/>
          <w:iCs/>
        </w:rPr>
        <w:t>force majeure</w:t>
      </w:r>
      <w:r>
        <w:t>) aplinkybių laivybos vienetas prarado teisę mokėti fiksuotą pelno mokestį, pabaigos laivybos vienetas imasi būtinų priemonių ir atitinka šio straipsnio 1 dalyje nustatytus kriterijus.</w:t>
      </w:r>
    </w:p>
    <w:p w14:paraId="38B20043" w14:textId="77777777" w:rsidR="00093845" w:rsidRDefault="000D779E" w:rsidP="00333488">
      <w:pPr>
        <w:spacing w:after="0"/>
        <w:ind w:firstLine="567"/>
        <w:jc w:val="both"/>
        <w:rPr>
          <w:b/>
        </w:rPr>
      </w:pPr>
      <w:r>
        <w:rPr>
          <w:b/>
        </w:rPr>
        <w:t xml:space="preserve">3. Jei laivybos vienetas pasirinktu fiksuoto pelno mokesčio mokėjimo laikotarpiu (šis laikotarpis pradedamas skaičiuoti nuo mokestinio laikotarpio, kurį laivybos vienetas pirmą kartą įgijo teisę ir pasirinko mokėti fiksuotą pelno mokestį) praranda teisę mokėti fiksuotą pelno mokestį (t. y. nebeatitinka šio straipsnio 1 dalyje nustatytų kriterijų) arba atsisako teisės mokėti fiksuotą pelno mokestį nuo pajamų iš tarptautinio vežimo jūrų laivais arba tarptautinio vežimo jūrų laivais ir su juo tiesiogiai susijusios veiklos, tai pradedant mokestiniu laikotarpiu, kurį buvo prarasta ši teisė (išskyrus šio straipsnio 4 dalyje numatytus atvejus) arba kurį buvo atsisakyta šios teisės, šioms laivybos vieneto pajamoms taikomos bendros pelno mokesčio apskaičiavimo nuostatos ir tokiam laivybos vienetui nebesuteikiama teisė pasirinkti mokėti fiksuotą pelno mokestį visus likusius mokestinius laikotarpius 10 metų periodu (šis periodas pradedamas skaičiuoti nuo mokestinio laikotarpio, kurį laivybos vienetas pirmą kartą įgijo teisę ir pasirinko mokėti fiksuotą pelno mokestį). </w:t>
      </w:r>
    </w:p>
    <w:p w14:paraId="1FC0D00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2F94D2C" w14:textId="77777777" w:rsidR="00093845" w:rsidRPr="00062580" w:rsidRDefault="00093845">
      <w:pPr>
        <w:ind w:firstLine="567"/>
        <w:jc w:val="both"/>
        <w:rPr>
          <w:b/>
          <w:i/>
        </w:rPr>
      </w:pPr>
    </w:p>
    <w:p w14:paraId="71126666" w14:textId="77777777" w:rsidR="00093845" w:rsidRDefault="000D779E">
      <w:pPr>
        <w:ind w:firstLine="567"/>
        <w:jc w:val="both"/>
        <w:rPr>
          <w:b/>
        </w:rPr>
      </w:pPr>
      <w:r>
        <w:rPr>
          <w:b/>
        </w:rPr>
        <w:t>Komentaras</w:t>
      </w:r>
    </w:p>
    <w:p w14:paraId="69EF59F4" w14:textId="77777777" w:rsidR="00093845" w:rsidRDefault="000D779E">
      <w:pPr>
        <w:ind w:firstLine="567"/>
        <w:jc w:val="both"/>
        <w:rPr>
          <w:strike/>
        </w:rPr>
      </w:pPr>
      <w:r>
        <w:t xml:space="preserve">1. Fiksuoto pelno mokesčio mokėjimo laikotarpis – tai laikotarpis nuo tų mokestinių metų, kuriais laivybos vienetas, įgijęs teisę mokėti fiksuotą pelno mokestį, t. y. atitinkantis šio straipsnio 1 dalyje nustatytus kriterijus, pirmą kartą pasirinko taikyti apmokestinimo fiksuotu pelno mokesčiu tvarką, pradžios iki 2026 m. gruodžio 31 d. Bet kuriuo atveju, pagal esamą šios komentuojamo straipsnio dalies redakciją, paskutinysis mokestinis laikotarpis, kuriuo atitinkami laivybos vienetai galės taikyti apmokestinimo fiksuotu pelno mokesčiu tvarką, yra 2026 m. pasibaigsiantis mokestinis laikotarpis. </w:t>
      </w:r>
    </w:p>
    <w:p w14:paraId="1E5ACC12" w14:textId="77777777" w:rsidR="00093845" w:rsidRDefault="000D779E">
      <w:pPr>
        <w:ind w:firstLine="567"/>
        <w:jc w:val="both"/>
      </w:pPr>
      <w:r>
        <w:t>2. Laivybos vienetai fiksuoto pelno mokesčio mokėjimo laikotarpiu dėl kitų negu nenugalimos jėgos (</w:t>
      </w:r>
      <w:r>
        <w:rPr>
          <w:i/>
        </w:rPr>
        <w:t>force majeure</w:t>
      </w:r>
      <w:r>
        <w:t xml:space="preserve">) aplinkybių nebeatitinkantys šio straipsnio 1 dalyje nustatytų kriterijų arba atsisakantys teisės taikyti apmokestinimo fiksuotu pelno mokesčiu tvarką, praranda teisę mokėti fiksuotą pelno mokestį nuo pajamų iš tarptautinio vežimo jūrų laivais arba tarptautinio vežimo jūrų laivais ir su tuo tiesiogiai susijusios veiklos. Šios teisės netenkama nuo to mokestinio laikotarpio, kurį laivybos vienetas nebeatitinka šio straipsnio 1 dalyje nustatytų kriterijų, arba kurį atsisako teisės mokėti fiksuotą pelno mokestį, pradžios, todėl apmokestinant to ir visų vėlesnių mokestinių laikotarpių pajamas iš tarptautinio vežimo jūrų laivais arba tarptautinio vežimo jūrų laivais ir su tuo tiesiogiai </w:t>
      </w:r>
      <w:r>
        <w:lastRenderedPageBreak/>
        <w:t>susijusios veiklos, atsižvelgiant į PMĮ 38</w:t>
      </w:r>
      <w:r>
        <w:rPr>
          <w:vertAlign w:val="superscript"/>
        </w:rPr>
        <w:t>2</w:t>
      </w:r>
      <w:r>
        <w:t xml:space="preserve"> straipsnio 3 dalį, taikoma bendra apmokestinimo pelno mokesčiu tvarka.</w:t>
      </w:r>
    </w:p>
    <w:p w14:paraId="1C538DA2" w14:textId="77777777" w:rsidR="00093845" w:rsidRDefault="000D779E">
      <w:pPr>
        <w:ind w:firstLine="567"/>
        <w:jc w:val="both"/>
      </w:pPr>
      <w:r>
        <w:t xml:space="preserve">3. Laivybos vienetai, kurie pasirinktu fiksuoto pelno mokesčio mokėjimo laikotarpiu mokėjo ir pelno mokestį bendra tvarka (t. y. vykdė ne tik tarptautinio vežimo jūrų laivais arba tarptautinio vežimo jūrų laivais ir su tuo tiesiogiai susijusią veiklą), avansinį pelno mokestį ir toliau skaičiuoja taikydami pasirinktą avansinio pelno mokesčio apskaičiavimo tvarką. O laivybos vienetai, avansinį pelno mokestį skaičiuojantys pagal numatomą mokestinio laikotarpio pelno mokesčio sumą, atsižvelgdami į pelno mokesčio bazės pasikeitimus, t. y. į prievolės pelno mokestį skaičiuoti ir nuo tarptautinio vežimo jūrų laivais arba tarptautinio vežimo jūrų laivais ir su tuo tiesiogiai susijusios veiklos pajamų atsiradimą, praradę ar atsisakę teisės mokėti fiksuotą pelno mokestį, turėtų atitinkamai perskaičiuoti to mokestinio laikotarpio avansinį pelno mokestį ir patikslinti pateiktas avansinio pelno mokesčio deklaracijas. </w:t>
      </w:r>
    </w:p>
    <w:p w14:paraId="4C6D3114" w14:textId="77777777" w:rsidR="00093845" w:rsidRDefault="000D779E">
      <w:pPr>
        <w:ind w:firstLine="567"/>
        <w:jc w:val="both"/>
      </w:pPr>
      <w:r>
        <w:t>4. Laivybos vienetas, praradęs teisę mokėti fiksuotą pelno mokestį ar tos teisės atsisakęs, nebegali pakartotinai pasirinkti taikyti apmokestinimo fiksuotu pelno mokesčiu tvarkos 10 metų laikotarpiu (skaičiuojant nuo tų metų, kuriais jis buvo įgijęs teisę ir pasirinko taikyti apmokestinimo fiksuotu pelno mokesčiu tvarką).</w:t>
      </w:r>
    </w:p>
    <w:p w14:paraId="1400B312" w14:textId="77777777" w:rsidR="00093845" w:rsidRDefault="000D779E">
      <w:pPr>
        <w:ind w:firstLine="567"/>
        <w:jc w:val="both"/>
        <w:rPr>
          <w:b/>
        </w:rPr>
      </w:pPr>
      <w:r>
        <w:rPr>
          <w:b/>
        </w:rPr>
        <w:t>Pavyzdys</w:t>
      </w:r>
    </w:p>
    <w:tbl>
      <w:tblPr>
        <w:tblW w:w="9628" w:type="dxa"/>
        <w:tblLayout w:type="fixed"/>
        <w:tblLook w:val="04A0" w:firstRow="1" w:lastRow="0" w:firstColumn="1" w:lastColumn="0" w:noHBand="0" w:noVBand="1"/>
      </w:tblPr>
      <w:tblGrid>
        <w:gridCol w:w="9628"/>
      </w:tblGrid>
      <w:tr w:rsidR="00093845" w14:paraId="22C8C55C" w14:textId="77777777">
        <w:tc>
          <w:tcPr>
            <w:tcW w:w="9628" w:type="dxa"/>
            <w:tcBorders>
              <w:top w:val="single" w:sz="4" w:space="0" w:color="auto"/>
              <w:left w:val="single" w:sz="4" w:space="0" w:color="auto"/>
              <w:bottom w:val="single" w:sz="4" w:space="0" w:color="auto"/>
              <w:right w:val="single" w:sz="4" w:space="0" w:color="auto"/>
            </w:tcBorders>
          </w:tcPr>
          <w:p w14:paraId="79E2751B" w14:textId="77777777" w:rsidR="00093845" w:rsidRDefault="000D779E">
            <w:pPr>
              <w:jc w:val="both"/>
            </w:pPr>
            <w:r>
              <w:t xml:space="preserve">       Laivybos vienetas, kurio mokestinis laikotarpis sutampa su kalendoriniais metais, 2018 m. </w:t>
            </w:r>
            <w:r>
              <w:rPr>
                <w:strike/>
              </w:rPr>
              <w:t xml:space="preserve"> </w:t>
            </w:r>
            <w:r>
              <w:t>liepos mėn. mokesčių administratoriui pateikė pranešimą apie pasirinkimą mokėti fiksuotą pelno mokestį. Dėl verslo sąlygų laivybos sektoriuje pasikeitimų, 2021 m. šis vienetas pardavė visus nuosavybės teise valdytus jūrų laivus ir nebeatitinka PMĮ 38</w:t>
            </w:r>
            <w:r>
              <w:rPr>
                <w:vertAlign w:val="superscript"/>
              </w:rPr>
              <w:t>1</w:t>
            </w:r>
            <w:r>
              <w:t xml:space="preserve"> straipsnio 1 dalies 2 punkte nustatyto kriterijaus, todėl nuo  2021 m. prasidėjusio mokestinio laikotarpio jo pajamos iš tarptautinio vežimo jūrų laivais arba tarptautinio vežimo jūrų laivais ir su tuo tiesiogiai susijusios veiklos pelno mokesčiu apmokestinamos bendra tvarka.</w:t>
            </w:r>
          </w:p>
          <w:p w14:paraId="7FB37627" w14:textId="77777777" w:rsidR="00093845" w:rsidRDefault="000D779E">
            <w:pPr>
              <w:jc w:val="both"/>
            </w:pPr>
            <w:r>
              <w:t xml:space="preserve">       Šis laivybos vienetas nuo 2021-01-01 iki 2026-12-31 nebegalės pakartotinai pasirinkti mokėti fiksuoto pelno mokesčio.</w:t>
            </w:r>
          </w:p>
        </w:tc>
      </w:tr>
    </w:tbl>
    <w:p w14:paraId="0B481266" w14:textId="77777777" w:rsidR="00093845" w:rsidRDefault="00093845">
      <w:pPr>
        <w:ind w:firstLine="567"/>
        <w:jc w:val="both"/>
        <w:rPr>
          <w:b/>
        </w:rPr>
      </w:pPr>
    </w:p>
    <w:p w14:paraId="66F67A77" w14:textId="77777777" w:rsidR="00093845" w:rsidRDefault="000D779E" w:rsidP="00333488">
      <w:pPr>
        <w:spacing w:after="0"/>
        <w:ind w:firstLine="567"/>
        <w:jc w:val="both"/>
        <w:rPr>
          <w:b/>
          <w:lang w:eastAsia="lt-LT"/>
        </w:rPr>
      </w:pPr>
      <w:r>
        <w:rPr>
          <w:b/>
          <w:lang w:eastAsia="lt-LT"/>
        </w:rPr>
        <w:t>4. Kai laivybos vienetas, atitinkantis šio straipsnio 1 dalyje nustatytus kriterijus, pasirinktu fiksuoto pelno mokesčio mokėjimo laikotarpiu (šis laikotarpis pradedamas skaičiuoti nuo mokestinio laikotarpio, kurį laivybos vienetas pirmą kartą įgijo teisę ir pasirinko mokėti fiksuotą pelno mokestį) nebeatitinka šio straipsnio 1 dalyje nustatytų kriterijų dėl nenugalimos jėgos (</w:t>
      </w:r>
      <w:r>
        <w:rPr>
          <w:b/>
          <w:i/>
          <w:iCs/>
          <w:lang w:eastAsia="lt-LT"/>
        </w:rPr>
        <w:t>force majeure</w:t>
      </w:r>
      <w:r>
        <w:rPr>
          <w:b/>
          <w:lang w:eastAsia="lt-LT"/>
        </w:rPr>
        <w:t>) (t. y. dėl nuo laivybos vieneto nepriklausančių priežasčių), teisės naudotis apmokestinimo fiksuotu pelno mokesčiu tvarka toks laivybos vienetas nepraranda, jei iki kito mokestinio laikotarpio, einančio po mokestinio laikotarpio, kurį dėl nenugalimos jėgos (</w:t>
      </w:r>
      <w:r>
        <w:rPr>
          <w:b/>
          <w:i/>
          <w:iCs/>
          <w:lang w:eastAsia="lt-LT"/>
        </w:rPr>
        <w:t>force majeure</w:t>
      </w:r>
      <w:r>
        <w:rPr>
          <w:b/>
          <w:lang w:eastAsia="lt-LT"/>
        </w:rPr>
        <w:t>) laivybos vienetas prarado teisę mokėti fiksuotą pelno mokestį nuo pajamų iš tarptautinio vežimo jūrų laivais arba tarptautinio vežimo jūrų laivais ir su juo tiesiogiai susijusios veiklos, pabaigos laivybos vienetas atitinka šio straipsnio 1 dalyje nustatytus kriterijus.</w:t>
      </w:r>
    </w:p>
    <w:p w14:paraId="18C515E7"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5BE5FD42" w14:textId="77777777" w:rsidR="00093845" w:rsidRPr="00062580" w:rsidRDefault="00093845">
      <w:pPr>
        <w:ind w:firstLine="567"/>
        <w:jc w:val="both"/>
        <w:rPr>
          <w:b/>
          <w:i/>
        </w:rPr>
      </w:pPr>
    </w:p>
    <w:p w14:paraId="2131AB9D" w14:textId="77777777" w:rsidR="00093845" w:rsidRDefault="000D779E">
      <w:pPr>
        <w:ind w:firstLine="567"/>
        <w:jc w:val="both"/>
        <w:rPr>
          <w:b/>
        </w:rPr>
      </w:pPr>
      <w:r>
        <w:rPr>
          <w:b/>
        </w:rPr>
        <w:t>Komentaras</w:t>
      </w:r>
    </w:p>
    <w:p w14:paraId="09916953" w14:textId="77777777" w:rsidR="00093845" w:rsidRDefault="000D779E">
      <w:pPr>
        <w:ind w:firstLine="567"/>
        <w:jc w:val="both"/>
      </w:pPr>
      <w:r>
        <w:t>1. Laivybos vienetas, kuris pasirinktu fiksuoto pelno mokesčio mokėjimo laikotarpiu (plačiau žr. 38</w:t>
      </w:r>
      <w:r>
        <w:rPr>
          <w:vertAlign w:val="superscript"/>
        </w:rPr>
        <w:t>1</w:t>
      </w:r>
      <w:r>
        <w:t xml:space="preserve"> straipsnio 3 dalies komentaro 1 punktą) nebeatitinka šio straipsnio 1 dalyje nustatytų kriterijų dėl jį ištikusių nenugalimos jėgos (</w:t>
      </w:r>
      <w:r>
        <w:rPr>
          <w:i/>
        </w:rPr>
        <w:t>force majeure</w:t>
      </w:r>
      <w:r>
        <w:t xml:space="preserve">) aplinkybių (kurios nepriklauso nuo to laivybos </w:t>
      </w:r>
      <w:r>
        <w:lastRenderedPageBreak/>
        <w:t>vieneto valios, yra neišvengiamos, negali būti laivybos vieneto kontroliuojamos ir atsirado ne dėl paties vieneto prisiimtos rizikos), nepraranda teisės mokėti fiksuotą pelno mokestį, jeigu iki pabaigos kito mokestinio laikotarpio, einančio po to, kurį atsirado nenugalimos jėgos aplinkybės, pašalina šių aplinkybių sukeltas pasekmes ir vėl atitinka PMĮ 38</w:t>
      </w:r>
      <w:r>
        <w:rPr>
          <w:vertAlign w:val="superscript"/>
        </w:rPr>
        <w:t>1</w:t>
      </w:r>
      <w:r>
        <w:t xml:space="preserve"> straipsnio 1 dalyje nustatytus kriterijus. Tokiu atveju apmokestinimo fiksuotu pelno mokesčiu tvarka šiam laivybos vienetui taikoma ir tą (tuos) mokestinį (ius) laikotarpį (ius), kurį laivybos vienetas dėl nenugalimos jėgos aplinkybių šio straipsnio 1 dalyje nustatytų kriterijų neatitiko.</w:t>
      </w:r>
    </w:p>
    <w:p w14:paraId="2A824CFA" w14:textId="77777777" w:rsidR="00093845" w:rsidRDefault="000D779E">
      <w:pPr>
        <w:ind w:firstLine="567"/>
        <w:jc w:val="both"/>
      </w:pPr>
      <w:r>
        <w:t xml:space="preserve"> 2. Jeigu laivybos vienetas iki nustatyto termino, t. y. kito mokestinio laikotarpio pabaigos, nepašalina nenugalimos jėgos aplinkybių sukeltų padarinių ir neatitinka šio straipsnio 1 dalyje nustatytų kriterijų, jis praranda teisę mokėti fiksuotą pelno mokestį ir ši teisė jam nebesuteikiama 10 metų, skaičiuojant nuo to mokestinio laikotarpio, kurį šis vienetas įgijo teisę ir pasirinko mokėti fiksuotą pelno mokestį. </w:t>
      </w:r>
    </w:p>
    <w:p w14:paraId="63CFD2A8" w14:textId="77777777" w:rsidR="00093845" w:rsidRDefault="000D779E">
      <w:pPr>
        <w:ind w:firstLine="567"/>
        <w:jc w:val="both"/>
      </w:pPr>
      <w:r>
        <w:t>Laivybos vienetas, dėl nenugalimos jėgos (</w:t>
      </w:r>
      <w:r>
        <w:rPr>
          <w:i/>
        </w:rPr>
        <w:t>force majeure</w:t>
      </w:r>
      <w:r>
        <w:t xml:space="preserve">) aplinkybių nebeatitinkantis šio straipsnio 1 dalyje nustatytų kriterijų, atitinkamai mokesčių administratoriui turi pateikti minėtose Pranešimo apie pasirinkimą mokėti fiksuotą pelno mokestį rengimo ir teikimo taisyklėse (patvirtintose Valstybinės mokesčių inspekcijos prie Lietuvos Respublikos finansų ministerijos viršininko 2007 m. birželio 8 d. </w:t>
      </w:r>
      <w:hyperlink r:id="rId113" w:history="1">
        <w:r w:rsidRPr="00CE6C73">
          <w:rPr>
            <w:rStyle w:val="Hipersaitas"/>
            <w:b w:val="0"/>
          </w:rPr>
          <w:t>įsakymu Nr. VA-42</w:t>
        </w:r>
      </w:hyperlink>
      <w:r w:rsidRPr="00CE6C73">
        <w:rPr>
          <w:b/>
        </w:rPr>
        <w:t>)</w:t>
      </w:r>
      <w:r>
        <w:t xml:space="preserve"> nustatytą pranešimą apie jį ištikusias nenugalimos jėgos (</w:t>
      </w:r>
      <w:r>
        <w:rPr>
          <w:i/>
        </w:rPr>
        <w:t>force majeure</w:t>
      </w:r>
      <w:r>
        <w:t>) aplinkybes. Laivybos vienetas, kuris dėl nenugalimos jėgos aplinkybių nebeatitinka šio straipsnio 1 dalyje nustatytų kriterijų ir nusprendžia, kad nesiims priemonių atkurti ankstesnę padėtį, vietoj pranešimo apie nenugalimos jėgos aplinkybes mokesčių administratoriui turėtų pateikti pranešimą apie atsisakymą mokėti fiksuotą pelno mokestį. Vienoks ar kitoks pranešimas mokesčių administratoriui turi būti pateiktas iki mokestinio laikotarpio, kurį atsirado nenugalimos jėgos aplinkybės, metinės pelno mokesčio deklaracijos ir/ar fiksuoto pelno mokesčio deklaracijos pateikimo termino pabaigos, bet ne vėliau, negu pateikiama to mokestinio laikotarpio pelno mokesčio deklaracija, t. y. vėliausiai - kartu su atitinkamo mokestinio laikotarpio fiksuoto pelno mokesčio ar/ir pelno mokesčio deklaracija.</w:t>
      </w:r>
    </w:p>
    <w:p w14:paraId="36D16DF1" w14:textId="77777777" w:rsidR="00093845" w:rsidRDefault="000D779E">
      <w:pPr>
        <w:ind w:firstLine="567"/>
        <w:jc w:val="both"/>
      </w:pPr>
      <w:r>
        <w:t>Atkreipiame dėmesį į tai, kad pranešimas apie ištikusias nenugalimos jėgos (</w:t>
      </w:r>
      <w:r>
        <w:rPr>
          <w:i/>
        </w:rPr>
        <w:t>force majeure</w:t>
      </w:r>
      <w:r>
        <w:t>) aplinkybes, taip pat pranešimas apie atsisakymą ar praradimą teisės mokėti fiksuotą pelno mokestį, skirtingai nei pranešimas apie pasirinkimą mokėti fiksuotą pelno mokestį, yra tik mokesčių mokėtojo ir mokesčių administratoriaus bendradarbiavimo forma, todėl jų pateikimas nei mokėtojui, nei administratoriui nesukuria ir nepanaikina nei teisių, nei pareigų. Teisės mokėti fiksuotą pelno mokestį netekimas (jos atsisakius ar nebeatitinkant kriterijų) ir jos išsaugojimas (kilus nenugalimos jėgos aplinkybėms) pirmiausia siejamas su PMĮ nustatytomis sąlygomis, o ne su minėtų pranešimų pateikimu ar nepateikimu. Tuo tarpu pranešimas apie pasirinkimą mokėti fiksuotą pelno mokestį, atsižvelgiant į šio straipsnio 5 dalį, yra būtina teisės mokėti fiksuotą pelno mokestį įgijimo prielaida.</w:t>
      </w:r>
    </w:p>
    <w:p w14:paraId="1B739A82" w14:textId="77777777" w:rsidR="00093845" w:rsidRDefault="000D779E">
      <w:pPr>
        <w:ind w:firstLine="567"/>
        <w:jc w:val="both"/>
      </w:pPr>
      <w:r>
        <w:t>3. Šioje straipsnio dalyje nustatytu pagrindu praradus teisę mokėti fiksuotą pelno mokestį ir pelno mokestį pradėjus skaičiuoti bendra tvarka, avansiniai pelno mokesčiai turi būti mokami taip pat kaip šio straipsnio 3 dalyje nustatytais atvejais (žr. PMĮ 38</w:t>
      </w:r>
      <w:r>
        <w:rPr>
          <w:vertAlign w:val="superscript"/>
        </w:rPr>
        <w:t>1</w:t>
      </w:r>
      <w:r>
        <w:t xml:space="preserve"> straipsnio 3 dalies komentaro 3 punktą). </w:t>
      </w:r>
    </w:p>
    <w:p w14:paraId="3CFB2C8B" w14:textId="77777777" w:rsidR="00093845" w:rsidRDefault="000D779E" w:rsidP="00333488">
      <w:pPr>
        <w:spacing w:after="0"/>
        <w:ind w:firstLine="567"/>
        <w:jc w:val="both"/>
        <w:rPr>
          <w:b/>
          <w:lang w:eastAsia="lt-LT"/>
        </w:rPr>
      </w:pPr>
      <w:r>
        <w:rPr>
          <w:b/>
          <w:lang w:eastAsia="lt-LT"/>
        </w:rPr>
        <w:t xml:space="preserve">5. </w:t>
      </w:r>
      <w:r>
        <w:rPr>
          <w:b/>
          <w:bCs/>
          <w:lang w:eastAsia="lt-LT"/>
        </w:rPr>
        <w:t>Apmokestinimo fiksuotu pelno mokesčiu tvarka laivybos vienetui, atitinkančiam šio straipsnio 1 dalyje nustatytus kriterijus, taikoma iki 2026 m. gruodžio 31 d. Laivybos vienetas, atitinkantis šio straipsnio 1 dalyje nustatytus kriterijus ir pasirinkęs taikyti apmokestinimo fiksuotu pelno mokesčiu tvarką, apie pasirinkimą taikyti apmokestinimo fiksuotu pelno mokesčiu tvarką centrinio mokesčių administratoriaus nustatyta tvarka informuoja vietos mokesčių administratorių iki mokestinio laikotarpio, kurį pirmą kartą laivybos vienetas įgijo teisę ir pasirinko mokėti fiksuotą pelno mokestį, pirmojo ketvirčio paskutinės dienos.</w:t>
      </w:r>
    </w:p>
    <w:p w14:paraId="0AE896A2" w14:textId="77777777" w:rsidR="00093845" w:rsidRPr="00062580" w:rsidRDefault="000D779E" w:rsidP="00333488">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17E778EE" w14:textId="77777777" w:rsidR="00093845" w:rsidRPr="00062580" w:rsidRDefault="00093845">
      <w:pPr>
        <w:ind w:firstLine="567"/>
        <w:jc w:val="both"/>
        <w:rPr>
          <w:b/>
          <w:i/>
        </w:rPr>
      </w:pPr>
    </w:p>
    <w:p w14:paraId="2616FF28" w14:textId="77777777" w:rsidR="00093845" w:rsidRDefault="000D779E">
      <w:pPr>
        <w:ind w:firstLine="567"/>
        <w:jc w:val="both"/>
        <w:rPr>
          <w:b/>
        </w:rPr>
      </w:pPr>
      <w:r>
        <w:rPr>
          <w:b/>
        </w:rPr>
        <w:t>Komentaras</w:t>
      </w:r>
    </w:p>
    <w:p w14:paraId="5B4759F3" w14:textId="77777777" w:rsidR="00093845" w:rsidRDefault="000D779E">
      <w:pPr>
        <w:ind w:firstLine="567"/>
        <w:jc w:val="both"/>
      </w:pPr>
      <w:r>
        <w:t xml:space="preserve">1. Apmokestinimo fiksuotu pelno mokesčiu tvarka laivybos vienetams, atitinkantiems nustatytus kriterijus ir pasirinkusiems mokėti fiksuotą pelno mokestį nuo pajamų iš tarptautinio vežimo jūrų laivais ir su tuo tiesiogiai susijusios veiklos taikoma iki 2026 m. pasibaigsiančio mokestinio laikotarpio. </w:t>
      </w:r>
    </w:p>
    <w:p w14:paraId="5B52B6DD" w14:textId="77777777" w:rsidR="00093845" w:rsidRDefault="000D779E">
      <w:pPr>
        <w:ind w:firstLine="567"/>
        <w:jc w:val="both"/>
      </w:pPr>
      <w:r>
        <w:t>2. Laivybos vienetai, atitinkantys šio straipsnio 1 dalyje nustatytus kriterijus, apie savo pasirinkimą mokėti fiksuotą pelno mokestį atitinkamai mokesčių administratoriui privalo pranešti iki mokestinio laikotarpio, nuo kurio laivybos vienetas nori pradėti mokėti fiksuotą pelno mokestį, pirmojo ketvirčio paskutinės dienos, pateikdamas nustatytą pranešimą, kurio pateikimas yra būtina teisės mokėti fiksuotą pelno mokestį įgijimo sąlyga.</w:t>
      </w:r>
    </w:p>
    <w:p w14:paraId="0F3E123B" w14:textId="77777777" w:rsidR="00093845" w:rsidRDefault="000D779E">
      <w:pPr>
        <w:pStyle w:val="Pagrindiniotekstotrauka"/>
        <w:ind w:firstLine="567"/>
        <w:rPr>
          <w:rFonts w:ascii="Times New Roman" w:hAnsi="Times New Roman" w:cs="Times New Roman"/>
          <w:lang w:val="lt-LT"/>
        </w:rPr>
      </w:pPr>
      <w:r>
        <w:rPr>
          <w:rFonts w:ascii="Times New Roman" w:hAnsi="Times New Roman" w:cs="Times New Roman"/>
          <w:lang w:val="lt-LT"/>
        </w:rPr>
        <w:t xml:space="preserve">3. Pranešimo apie pasirinkimą mokėti fiksuotą pelno mokestį turinio reikalavimai ir pateikimo tvarka nustatyti Valstybinės mokesčių inspekcijos prie Lietuvos Respublikos finansų ministerijos viršininko 2007 m. birželio 8 d. </w:t>
      </w:r>
      <w:hyperlink r:id="rId114" w:history="1">
        <w:r>
          <w:rPr>
            <w:rStyle w:val="Hipersaitas"/>
            <w:rFonts w:ascii="Times New Roman" w:hAnsi="Times New Roman" w:cs="Times New Roman"/>
            <w:lang w:val="lt-LT"/>
          </w:rPr>
          <w:t>įsakymu Nr. VA-42</w:t>
        </w:r>
      </w:hyperlink>
      <w:r>
        <w:rPr>
          <w:rFonts w:ascii="Times New Roman" w:hAnsi="Times New Roman" w:cs="Times New Roman"/>
          <w:lang w:val="lt-LT"/>
        </w:rPr>
        <w:t xml:space="preserve"> „Dėl Pranešimo apie pasirinkimą mokėti fiksuotą pelno mokestį taisyklių patvirtinimo“. Pranešime turi būti nurodytas to laivybos vieneto mokesčių mokėtojo kodas, pavadinimas, buveinės adresas, taip pat licencijos verstis keleivių ir krovinių vežimu tarptautiniais maršrutais jūra numeris ir išdavimo data (jeigu tokia licencija pagal teisės aktus būtina), informacija apie laivybos vieneto pranešimo pateikimo dieną valdomus jūrų laivus, nuo kurių NT skaičiuojamas fiksuotas pelno mokestis (tipai, pavadinimai, registracijos numeriai, vėliavos, su kuriomis plaukioja laivai, registrai, laivų valdymo forma, naudingoji (grynoji) talpa) ir pagrindiniai duomenys apie laivybos vieneto vykdomą veiklą - jo teikiamas strateginio, komercinio, techninio vadovavimo paslaugas, patvirtinančias, kad tas laivybos vienetas atitinka PMĮ 38</w:t>
      </w:r>
      <w:r>
        <w:rPr>
          <w:rFonts w:ascii="Times New Roman" w:hAnsi="Times New Roman" w:cs="Times New Roman"/>
          <w:vertAlign w:val="superscript"/>
          <w:lang w:val="lt-LT"/>
        </w:rPr>
        <w:t>1</w:t>
      </w:r>
      <w:r>
        <w:rPr>
          <w:rFonts w:ascii="Times New Roman" w:hAnsi="Times New Roman" w:cs="Times New Roman"/>
          <w:lang w:val="lt-LT"/>
        </w:rPr>
        <w:t xml:space="preserve"> straipsnio 1 dalies 4</w:t>
      </w:r>
      <w:r>
        <w:rPr>
          <w:rFonts w:ascii="Times New Roman" w:hAnsi="Times New Roman" w:cs="Times New Roman"/>
          <w:b/>
          <w:lang w:val="lt-LT"/>
        </w:rPr>
        <w:t xml:space="preserve"> </w:t>
      </w:r>
      <w:r>
        <w:rPr>
          <w:rFonts w:ascii="Times New Roman" w:hAnsi="Times New Roman" w:cs="Times New Roman"/>
          <w:lang w:val="lt-LT"/>
        </w:rPr>
        <w:t xml:space="preserve">punkto reikalavimus. </w:t>
      </w:r>
    </w:p>
    <w:p w14:paraId="5B4E2205" w14:textId="77777777" w:rsidR="00093845" w:rsidRPr="0065344A" w:rsidRDefault="000D779E">
      <w:pPr>
        <w:ind w:firstLine="567"/>
        <w:jc w:val="both"/>
        <w:rPr>
          <w:lang w:val="lt-LT"/>
        </w:rPr>
      </w:pPr>
      <w:r w:rsidRPr="0065344A">
        <w:rPr>
          <w:lang w:val="lt-LT"/>
        </w:rPr>
        <w:t>4. Laivybos vienetas, Lietuvos Respublikos pelno mokesčio įstatymo nustatyta tvarka pasirinkęs 2017 metais prasidėjusiu mokestiniu laikotarpiu apmokestinimo fiksuotu pelno mokesčiu tvarkos taikymą, apie pasirinkimą taikyti apmokestinimo fiksuotu pelno mokesčiu tvarką centrinio mokesčių administratoriaus nustatyta tvarka informuoja vietos mokesčių administratorių iki 2017 metų prasidėjusio mokestinio laikotarpio antrojo ketvirčio paskutinės dienos.</w:t>
      </w:r>
    </w:p>
    <w:p w14:paraId="5F7C09AF" w14:textId="77777777" w:rsidR="00093845" w:rsidRDefault="000D779E">
      <w:pPr>
        <w:rPr>
          <w:sz w:val="22"/>
          <w:szCs w:val="22"/>
          <w:lang w:val="lt-LT"/>
        </w:rPr>
      </w:pPr>
      <w:r w:rsidRPr="0065344A">
        <w:rPr>
          <w:bCs/>
          <w:lang w:val="lt-LT"/>
        </w:rPr>
        <w:t xml:space="preserve">          </w:t>
      </w:r>
      <w:r>
        <w:rPr>
          <w:bCs/>
        </w:rPr>
        <w:t xml:space="preserve">(pagal 2017-09-22 VMI prie FM raštą Nr. </w:t>
      </w:r>
      <w:r>
        <w:t xml:space="preserve">(32.42-31-1E) </w:t>
      </w:r>
      <w:r>
        <w:rPr>
          <w:bCs/>
        </w:rPr>
        <w:t>-</w:t>
      </w:r>
      <w:r>
        <w:t xml:space="preserve"> RM-29627</w:t>
      </w:r>
      <w:r>
        <w:rPr>
          <w:bCs/>
        </w:rPr>
        <w:t>)</w:t>
      </w:r>
    </w:p>
    <w:p w14:paraId="348C5FAF" w14:textId="77777777" w:rsidR="00093845" w:rsidRDefault="00093845">
      <w:pPr>
        <w:ind w:firstLine="720"/>
        <w:jc w:val="both"/>
        <w:rPr>
          <w:b/>
          <w:lang w:val="lt-LT"/>
        </w:rPr>
      </w:pPr>
    </w:p>
    <w:p w14:paraId="083F7FA4" w14:textId="77777777" w:rsidR="00FF110A" w:rsidRDefault="00FF110A">
      <w:pPr>
        <w:ind w:firstLine="720"/>
        <w:jc w:val="both"/>
        <w:rPr>
          <w:b/>
          <w:lang w:val="lt-LT"/>
        </w:rPr>
      </w:pPr>
    </w:p>
    <w:p w14:paraId="07105980" w14:textId="77777777" w:rsidR="00FF110A" w:rsidRDefault="00FF110A">
      <w:pPr>
        <w:ind w:firstLine="720"/>
        <w:jc w:val="both"/>
        <w:rPr>
          <w:b/>
          <w:lang w:val="lt-LT"/>
        </w:rPr>
      </w:pPr>
    </w:p>
    <w:p w14:paraId="19462957" w14:textId="77777777" w:rsidR="00093845" w:rsidRDefault="000D779E">
      <w:pPr>
        <w:tabs>
          <w:tab w:val="left" w:pos="8280"/>
        </w:tabs>
        <w:ind w:firstLineChars="235" w:firstLine="566"/>
        <w:jc w:val="both"/>
        <w:rPr>
          <w:b/>
          <w:bCs/>
        </w:rPr>
      </w:pPr>
      <w:bookmarkStart w:id="530" w:name="straipsnis38_2p"/>
      <w:bookmarkStart w:id="531" w:name="straipsnis38_2p2"/>
      <w:bookmarkEnd w:id="530"/>
      <w:bookmarkEnd w:id="531"/>
      <w:r>
        <w:rPr>
          <w:b/>
          <w:bCs/>
        </w:rPr>
        <w:t>38</w:t>
      </w:r>
      <w:r w:rsidR="00694676">
        <w:rPr>
          <w:b/>
          <w:bCs/>
          <w:vertAlign w:val="superscript"/>
        </w:rPr>
        <w:t>2</w:t>
      </w:r>
      <w:r>
        <w:rPr>
          <w:b/>
          <w:bCs/>
          <w:vertAlign w:val="superscript"/>
        </w:rPr>
        <w:t xml:space="preserve">  </w:t>
      </w:r>
      <w:r>
        <w:rPr>
          <w:b/>
        </w:rPr>
        <w:t>STRAIPSNIS</w:t>
      </w:r>
      <w:r>
        <w:rPr>
          <w:b/>
          <w:bCs/>
        </w:rPr>
        <w:t>.  Fiksuoto pelno mokesčio apskaičiavimas.</w:t>
      </w:r>
    </w:p>
    <w:p w14:paraId="33ACBE08" w14:textId="77777777" w:rsidR="00093845" w:rsidRDefault="000D779E" w:rsidP="00333273">
      <w:pPr>
        <w:spacing w:after="0"/>
        <w:ind w:firstLineChars="235" w:firstLine="566"/>
        <w:jc w:val="both"/>
        <w:rPr>
          <w:b/>
        </w:rPr>
      </w:pPr>
      <w:r>
        <w:rPr>
          <w:b/>
        </w:rPr>
        <w:t>1. Jei laivybos vieneto pasirinkimu pajamoms iš tarptautinio vežimo jūrų laivais arba tarptautinio vežimo jūrų laivais ir su juo tiesiogiai susijusios veiklos pagal šio Įstatymo 38</w:t>
      </w:r>
      <w:r>
        <w:rPr>
          <w:b/>
          <w:vertAlign w:val="superscript"/>
        </w:rPr>
        <w:t>1 </w:t>
      </w:r>
      <w:r>
        <w:rPr>
          <w:b/>
        </w:rPr>
        <w:t>straipsnio nuostatas taikomas fiksuotas pelno mokestis, tai fiksuoto pelno mokesčio bazė apskaičiuojama kiekvienam 100 jūrų laivo NT vienetų taikant fiksuotą dienos sumą ir gautą dydį dauginant iš laivybos vieneto mokestinio laikotarpio dienų skaičiaus. Fiksuota suma:</w:t>
      </w:r>
    </w:p>
    <w:p w14:paraId="05030111" w14:textId="77777777" w:rsidR="00093845" w:rsidRDefault="000D779E" w:rsidP="00333273">
      <w:pPr>
        <w:spacing w:after="0"/>
        <w:ind w:firstLineChars="235" w:firstLine="566"/>
        <w:jc w:val="both"/>
        <w:rPr>
          <w:b/>
        </w:rPr>
      </w:pPr>
      <w:r>
        <w:rPr>
          <w:b/>
        </w:rPr>
        <w:t>1) kiekvienam 100 jūrų laivo NT vienetų iki 1 000 jūrų laivo NT vienetų - 0,93 euro per dieną;</w:t>
      </w:r>
    </w:p>
    <w:p w14:paraId="5F4C9994" w14:textId="77777777" w:rsidR="00093845" w:rsidRDefault="000D779E" w:rsidP="00333273">
      <w:pPr>
        <w:spacing w:after="0"/>
        <w:ind w:firstLineChars="235" w:firstLine="566"/>
        <w:jc w:val="both"/>
        <w:rPr>
          <w:b/>
        </w:rPr>
      </w:pPr>
      <w:r>
        <w:rPr>
          <w:b/>
        </w:rPr>
        <w:t>2) kiekvienam 100 jūrų laivo NT vienetų nuo 1 001 jūrų laivo NT vieneto iki 10 000 jūrų laivo NT vienetų - 0,67 euro per dieną;</w:t>
      </w:r>
    </w:p>
    <w:p w14:paraId="18ACA9A5" w14:textId="77777777" w:rsidR="00093845" w:rsidRDefault="000D779E" w:rsidP="00333273">
      <w:pPr>
        <w:spacing w:after="0"/>
        <w:ind w:firstLineChars="235" w:firstLine="566"/>
        <w:jc w:val="both"/>
        <w:rPr>
          <w:b/>
        </w:rPr>
      </w:pPr>
      <w:r>
        <w:rPr>
          <w:b/>
        </w:rPr>
        <w:t>3) kiekvienam 100 jūrų laivo NT vienetų nuo 10 001 jūrų laivo NT vieneto iki 25 000 jūrų laivo NT vienetų - 0,43 euro per dieną;</w:t>
      </w:r>
    </w:p>
    <w:p w14:paraId="32F4E17B" w14:textId="77777777" w:rsidR="00093845" w:rsidRDefault="000D779E" w:rsidP="00333273">
      <w:pPr>
        <w:spacing w:after="0"/>
        <w:ind w:firstLineChars="235" w:firstLine="566"/>
        <w:jc w:val="both"/>
        <w:rPr>
          <w:b/>
        </w:rPr>
      </w:pPr>
      <w:r>
        <w:rPr>
          <w:b/>
        </w:rPr>
        <w:lastRenderedPageBreak/>
        <w:t>4) kiekvienam 100 jūrų laivo NT vienetų nuo 25 001 jūrų laivo NT vieneto - 0,27 euro per dieną.</w:t>
      </w:r>
    </w:p>
    <w:p w14:paraId="777AEA8C" w14:textId="77777777" w:rsidR="00093845" w:rsidRPr="00062580" w:rsidRDefault="000D779E" w:rsidP="0033327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4184E5E9" w14:textId="77777777" w:rsidR="00093845" w:rsidRPr="00062580" w:rsidRDefault="00093845">
      <w:pPr>
        <w:tabs>
          <w:tab w:val="left" w:pos="8280"/>
        </w:tabs>
        <w:ind w:firstLineChars="235" w:firstLine="566"/>
        <w:jc w:val="both"/>
        <w:rPr>
          <w:b/>
          <w:bCs/>
          <w:i/>
        </w:rPr>
      </w:pPr>
    </w:p>
    <w:p w14:paraId="2274E899" w14:textId="77777777" w:rsidR="00093845" w:rsidRDefault="000D779E">
      <w:pPr>
        <w:tabs>
          <w:tab w:val="left" w:pos="8280"/>
        </w:tabs>
        <w:ind w:firstLineChars="235" w:firstLine="566"/>
        <w:jc w:val="both"/>
        <w:rPr>
          <w:b/>
          <w:bCs/>
        </w:rPr>
      </w:pPr>
      <w:r>
        <w:rPr>
          <w:b/>
          <w:bCs/>
        </w:rPr>
        <w:t>Komentaras</w:t>
      </w:r>
    </w:p>
    <w:p w14:paraId="7A0BFDF6" w14:textId="77777777" w:rsidR="00093845" w:rsidRDefault="000D779E">
      <w:pPr>
        <w:tabs>
          <w:tab w:val="left" w:pos="8280"/>
        </w:tabs>
        <w:ind w:firstLineChars="235" w:firstLine="564"/>
        <w:jc w:val="both"/>
      </w:pPr>
      <w:r>
        <w:t>1. Jei laivybos vieneto, atitinkančio 38</w:t>
      </w:r>
      <w:r>
        <w:rPr>
          <w:vertAlign w:val="superscript"/>
        </w:rPr>
        <w:t>1</w:t>
      </w:r>
      <w:r>
        <w:t xml:space="preserve"> straipsnio 1 dalyje nustatytus kriterijus, pajamos iš tarptautinio vežimo jūrų laivais arba tarptautinio vežimo jūrų laivais ir su tuo tiesiogiai susijusios veiklos apmokestinamos taikant fiksuotą pelno mokestį, tai mokesčio bazė apskaičiuojama kiekvienam 100 jūrų laivo NT vienetų taikant pastovią dienos sumą ir gautą dydį dauginant iš laivybos vieneto mokestinio laikotarpio dienų skaičiaus. </w:t>
      </w:r>
    </w:p>
    <w:p w14:paraId="391AB20A" w14:textId="77777777" w:rsidR="00093845" w:rsidRDefault="000D779E">
      <w:pPr>
        <w:tabs>
          <w:tab w:val="left" w:pos="8280"/>
        </w:tabs>
        <w:ind w:firstLineChars="235" w:firstLine="564"/>
        <w:jc w:val="both"/>
      </w:pPr>
      <w:r>
        <w:t>Fiksuota dienos suma:</w:t>
      </w:r>
    </w:p>
    <w:p w14:paraId="502D0438" w14:textId="77777777" w:rsidR="00093845" w:rsidRDefault="000D779E">
      <w:pPr>
        <w:tabs>
          <w:tab w:val="left" w:pos="8280"/>
        </w:tabs>
        <w:ind w:firstLineChars="235" w:firstLine="564"/>
        <w:jc w:val="both"/>
      </w:pPr>
      <w:r>
        <w:t xml:space="preserve">1) kiekvienam 100 jūrų laivo NT vienetų iki 1 000 jūrų laivo NT vienetų - </w:t>
      </w:r>
      <w:r>
        <w:rPr>
          <w:bCs/>
        </w:rPr>
        <w:t>0,93 Eur</w:t>
      </w:r>
      <w:r>
        <w:rPr>
          <w:b/>
          <w:bCs/>
        </w:rPr>
        <w:t xml:space="preserve"> </w:t>
      </w:r>
      <w:r>
        <w:t>per dieną,</w:t>
      </w:r>
    </w:p>
    <w:p w14:paraId="6A07C955" w14:textId="77777777" w:rsidR="00093845" w:rsidRDefault="000D779E">
      <w:pPr>
        <w:tabs>
          <w:tab w:val="left" w:pos="8280"/>
        </w:tabs>
        <w:ind w:firstLineChars="235" w:firstLine="564"/>
        <w:jc w:val="both"/>
      </w:pPr>
      <w:r>
        <w:t xml:space="preserve">2) kiekvienam 100 jūrų laivo NT vienetų nuo 1 001 jūrų laivo NT vieneto iki 10 000 jūrų laivo NT vienetų - </w:t>
      </w:r>
      <w:r>
        <w:rPr>
          <w:bCs/>
        </w:rPr>
        <w:t>0,67 Eur</w:t>
      </w:r>
      <w:r>
        <w:t xml:space="preserve"> per dieną,</w:t>
      </w:r>
    </w:p>
    <w:p w14:paraId="47C3BEC9" w14:textId="77777777" w:rsidR="00093845" w:rsidRDefault="000D779E">
      <w:pPr>
        <w:tabs>
          <w:tab w:val="left" w:pos="8280"/>
        </w:tabs>
        <w:ind w:firstLineChars="235" w:firstLine="564"/>
        <w:jc w:val="both"/>
      </w:pPr>
      <w:r>
        <w:t xml:space="preserve">3) kiekvienam 100 jūrų laivo NT vienetų nuo 10 001 jūrų laivo NT vieneto iki 25 000 jūrų laivo NT vienetų - </w:t>
      </w:r>
      <w:r>
        <w:rPr>
          <w:bCs/>
        </w:rPr>
        <w:t xml:space="preserve">0,43 Eur </w:t>
      </w:r>
      <w:r>
        <w:t>per dieną,</w:t>
      </w:r>
    </w:p>
    <w:p w14:paraId="3B7AF6FE" w14:textId="77777777" w:rsidR="00093845" w:rsidRDefault="000D779E">
      <w:pPr>
        <w:tabs>
          <w:tab w:val="left" w:pos="8280"/>
        </w:tabs>
        <w:ind w:firstLineChars="235" w:firstLine="564"/>
        <w:jc w:val="both"/>
      </w:pPr>
      <w:r>
        <w:t xml:space="preserve">4) kiekvienam 100 jūrų laivo NT vienetų nuo 25 001 jūrų laivo NT vienetų - </w:t>
      </w:r>
      <w:r>
        <w:rPr>
          <w:bCs/>
        </w:rPr>
        <w:t xml:space="preserve">0,27 Eur </w:t>
      </w:r>
      <w:r>
        <w:t>per dieną.</w:t>
      </w:r>
    </w:p>
    <w:p w14:paraId="77623D2B" w14:textId="77777777" w:rsidR="00093845" w:rsidRDefault="000D779E">
      <w:pPr>
        <w:tabs>
          <w:tab w:val="left" w:pos="8280"/>
        </w:tabs>
        <w:ind w:firstLineChars="235" w:firstLine="566"/>
        <w:jc w:val="both"/>
        <w:rPr>
          <w:b/>
        </w:rPr>
      </w:pPr>
      <w:r>
        <w:rPr>
          <w:b/>
        </w:rPr>
        <w:t>Pavyzdys</w:t>
      </w:r>
    </w:p>
    <w:p w14:paraId="0ED1A518"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Jūrų laivo vieneto NT yra 24 000 t. Laivas visą mokestinį laikotarpį (365 dienas) priklausė bendrovei ir buvo naudojamas tarptautiniams krovinių pervežimams. Laivo fiksuoto pelno mokesčio bazė apskaičiuojama taip:</w:t>
      </w:r>
    </w:p>
    <w:p w14:paraId="1BB7309C"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iki 1 000 jūrų laivo NT vienetų - </w:t>
      </w:r>
      <w:r>
        <w:rPr>
          <w:bCs/>
        </w:rPr>
        <w:t>0,93 </w:t>
      </w:r>
      <w:r>
        <w:t>x (1000 /100) x 365 = 3 394,5 Eur;</w:t>
      </w:r>
    </w:p>
    <w:p w14:paraId="5DD08E90"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nuo 1 001 iki 10 000 jūrų laivo NT vienetų - </w:t>
      </w:r>
      <w:r>
        <w:rPr>
          <w:bCs/>
        </w:rPr>
        <w:t xml:space="preserve">0,67 </w:t>
      </w:r>
      <w:r>
        <w:t>x (9000 /100) x 365 = 22 009,5 Eur;</w:t>
      </w:r>
    </w:p>
    <w:p w14:paraId="24FA0581"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 xml:space="preserve">- nuo 10 001 iki 24 000 jūrų laivo NT vienetų - </w:t>
      </w:r>
      <w:r>
        <w:rPr>
          <w:bCs/>
        </w:rPr>
        <w:t xml:space="preserve">0,43 </w:t>
      </w:r>
      <w:r>
        <w:t>x (14 000 /100) x 365 = 21 973 Eur.</w:t>
      </w:r>
    </w:p>
    <w:p w14:paraId="26B1DB84"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Visa fiksuoto pelno mokesčio bazė yra 47 377 Eur (3 394,5 Eur + 22 009,5 Eur + 21 973 Eur).</w:t>
      </w:r>
    </w:p>
    <w:p w14:paraId="103F0C88" w14:textId="77777777" w:rsidR="00093845" w:rsidRDefault="00093845">
      <w:pPr>
        <w:tabs>
          <w:tab w:val="left" w:pos="8280"/>
        </w:tabs>
        <w:ind w:firstLineChars="235" w:firstLine="566"/>
        <w:jc w:val="both"/>
        <w:rPr>
          <w:b/>
        </w:rPr>
      </w:pPr>
    </w:p>
    <w:p w14:paraId="5DD06C03" w14:textId="77777777" w:rsidR="00093845" w:rsidRDefault="000D779E">
      <w:pPr>
        <w:tabs>
          <w:tab w:val="left" w:pos="8280"/>
        </w:tabs>
        <w:ind w:firstLineChars="235" w:firstLine="564"/>
        <w:jc w:val="both"/>
      </w:pPr>
      <w:r>
        <w:t>2. Fiksuoto pelno mokesčio bazė apskaičiuojama kiekvienam 100 jūrų laivo vienetų taikant fiksuotą dienos sumą, tačiau jūrų laivo NT gali būti skaičius, kuris nesidalija iš 100. Tokiu atveju laivo NT mažinamas iki pirmo iš 100 dalinamo dydžio. Pvz., krovininio laivo NT yra 51 280 t. Apskaičiuojant fiksuotą pelno mokesčio bazę, laikoma, kad laivo NT yra 51 200 t.</w:t>
      </w:r>
    </w:p>
    <w:p w14:paraId="1FCC882F" w14:textId="77777777" w:rsidR="00093845" w:rsidRDefault="000D779E">
      <w:pPr>
        <w:tabs>
          <w:tab w:val="left" w:pos="8280"/>
        </w:tabs>
        <w:ind w:firstLineChars="235" w:firstLine="564"/>
        <w:jc w:val="both"/>
      </w:pPr>
      <w:r>
        <w:t>3. Laivybos vieneto valdomų jūrų laivų, kurie valdomi nuosavybės teise arba pagal finansinės nuomos sutartį, kurioje numatytas nuosavybės teisės perėjimas, arba pagal pirkimo–pardavimo ar nuomos sutartį, kurioje numatytas nuosavybės teisės perėjimas laivybos vienetui apmokėjus visą turto vertę, arba pagal laivo nuomos be įgulos sutartį (</w:t>
      </w:r>
      <w:r>
        <w:rPr>
          <w:i/>
          <w:iCs/>
        </w:rPr>
        <w:t>bareboat charter</w:t>
      </w:r>
      <w:r>
        <w:t>) arba jūrų laivą naudojant pagal laivo frachtavimo sutartį (laivo frachtavimo sutartį laivo reisui (</w:t>
      </w:r>
      <w:r>
        <w:rPr>
          <w:i/>
        </w:rPr>
        <w:t>voyage charter</w:t>
      </w:r>
      <w:r>
        <w:t>) arba terminuotą frachtavimo sutartį (</w:t>
      </w:r>
      <w:r>
        <w:rPr>
          <w:i/>
        </w:rPr>
        <w:t>time</w:t>
      </w:r>
      <w:r>
        <w:t xml:space="preserve"> </w:t>
      </w:r>
      <w:r>
        <w:rPr>
          <w:i/>
        </w:rPr>
        <w:t xml:space="preserve">charter in </w:t>
      </w:r>
      <w:r>
        <w:t xml:space="preserve">arba </w:t>
      </w:r>
      <w:r>
        <w:rPr>
          <w:i/>
        </w:rPr>
        <w:t>time charter out</w:t>
      </w:r>
      <w:r>
        <w:t>)) dienų skaičius pradedamas skaičiuoti nuo jo įsigijimo arba išsinuomojimo arba kito valdymo dienos. Parduoto arba pasibaigusio nuomos, arba kito valdymo termino jūrų laivo dienų skaičius nebeskaičiuojamas nuo jo pardavimo arba nuomos, arba kito valdymo pabaigos dienos.</w:t>
      </w:r>
    </w:p>
    <w:p w14:paraId="0491256E" w14:textId="77777777" w:rsidR="00093845" w:rsidRDefault="000D779E">
      <w:pPr>
        <w:tabs>
          <w:tab w:val="left" w:pos="8280"/>
        </w:tabs>
        <w:ind w:firstLineChars="235" w:firstLine="566"/>
        <w:jc w:val="both"/>
        <w:rPr>
          <w:b/>
        </w:rPr>
      </w:pPr>
      <w:r>
        <w:rPr>
          <w:b/>
        </w:rPr>
        <w:lastRenderedPageBreak/>
        <w:t>Pavyzdys</w:t>
      </w:r>
    </w:p>
    <w:p w14:paraId="4F55A2D5" w14:textId="77777777" w:rsidR="00093845" w:rsidRPr="00AE2A42" w:rsidRDefault="000D779E" w:rsidP="00AE2A42">
      <w:pPr>
        <w:pBdr>
          <w:top w:val="single" w:sz="4" w:space="1" w:color="auto"/>
          <w:left w:val="single" w:sz="4" w:space="4" w:color="auto"/>
          <w:bottom w:val="single" w:sz="4" w:space="1" w:color="auto"/>
          <w:right w:val="single" w:sz="4" w:space="4" w:color="auto"/>
        </w:pBdr>
        <w:tabs>
          <w:tab w:val="left" w:pos="8280"/>
        </w:tabs>
        <w:ind w:firstLineChars="235" w:firstLine="564"/>
        <w:jc w:val="both"/>
      </w:pPr>
      <w:r>
        <w:t>Bendrovė 2018 m. kovo 4 d. išsinuomojo jūrų laivą be įgulos (</w:t>
      </w:r>
      <w:r>
        <w:rPr>
          <w:i/>
          <w:iCs/>
        </w:rPr>
        <w:t>bareboat charter</w:t>
      </w:r>
      <w:r>
        <w:t xml:space="preserve"> sutarties būdu). Pasibaigus sutarties terminui, 2018</w:t>
      </w:r>
      <w:r>
        <w:rPr>
          <w:b/>
        </w:rPr>
        <w:t xml:space="preserve"> </w:t>
      </w:r>
      <w:r>
        <w:t>m. gegužės 10 d. tas jūrų laivas grąžintas savininkui. Apskaičiuojant fiksuotą pajamų mokestį, laivo naudojimo bendrovės veikloje dienų skaičius nustatomas įskaitant kovo 4 dieną ir neįskaitant gegužės 10 dienos.</w:t>
      </w:r>
    </w:p>
    <w:p w14:paraId="2354B639" w14:textId="77777777" w:rsidR="00AE2A42" w:rsidRDefault="00AE2A42" w:rsidP="00BC5224">
      <w:pPr>
        <w:tabs>
          <w:tab w:val="left" w:pos="8280"/>
        </w:tabs>
        <w:ind w:firstLineChars="235" w:firstLine="566"/>
        <w:jc w:val="both"/>
        <w:rPr>
          <w:b/>
          <w:lang w:val="lt-LT"/>
        </w:rPr>
      </w:pPr>
      <w:r w:rsidRPr="00525CB0">
        <w:rPr>
          <w:b/>
          <w:lang w:val="lt-LT"/>
        </w:rPr>
        <w:t xml:space="preserve">2. Fiksuoto pelno mokesčio bazei be jokių atskaitymų taikomas </w:t>
      </w:r>
      <w:r w:rsidRPr="00D65719">
        <w:rPr>
          <w:b/>
          <w:lang w:val="lt-LT"/>
        </w:rPr>
        <w:t>1</w:t>
      </w:r>
      <w:r w:rsidR="00BC5224">
        <w:rPr>
          <w:b/>
          <w:lang w:val="lt-LT"/>
        </w:rPr>
        <w:t>7</w:t>
      </w:r>
      <w:r w:rsidRPr="00D65719">
        <w:rPr>
          <w:lang w:val="lt-LT"/>
        </w:rPr>
        <w:t xml:space="preserve"> </w:t>
      </w:r>
      <w:r w:rsidRPr="00525CB0">
        <w:rPr>
          <w:b/>
          <w:lang w:val="lt-LT"/>
        </w:rPr>
        <w:t>procentų tarifas.</w:t>
      </w:r>
    </w:p>
    <w:p w14:paraId="03DF7151" w14:textId="77777777" w:rsidR="00BC5224" w:rsidRPr="007B7CEA" w:rsidRDefault="00BC5224" w:rsidP="00BC5224">
      <w:pPr>
        <w:tabs>
          <w:tab w:val="left" w:pos="720"/>
          <w:tab w:val="left" w:pos="1077"/>
          <w:tab w:val="left" w:pos="1418"/>
        </w:tabs>
        <w:jc w:val="both"/>
        <w:rPr>
          <w:bCs/>
          <w:i/>
          <w:szCs w:val="20"/>
          <w:lang w:val="lt-LT"/>
        </w:rPr>
      </w:pPr>
      <w:r>
        <w:rPr>
          <w:bCs/>
          <w:i/>
          <w:szCs w:val="20"/>
          <w:lang w:val="lt-LT"/>
        </w:rPr>
        <w:tab/>
      </w:r>
      <w:r w:rsidRPr="007B7CEA">
        <w:rPr>
          <w:bCs/>
          <w:i/>
          <w:szCs w:val="20"/>
          <w:lang w:val="lt-LT"/>
        </w:rPr>
        <w:t xml:space="preserve">(Pagal 2025 m. birželio 17 d. įstatymo Nr.  </w:t>
      </w:r>
      <w:r w:rsidRPr="007B7CEA">
        <w:rPr>
          <w:i/>
        </w:rPr>
        <w:t>XV-285</w:t>
      </w:r>
      <w:r w:rsidRPr="007B7CEA">
        <w:rPr>
          <w:bCs/>
          <w:i/>
          <w:szCs w:val="20"/>
          <w:lang w:val="lt-LT"/>
        </w:rPr>
        <w:t xml:space="preserve"> redakciją; taikoma apskaičiuojant 2026 metais prasidėjusio ir vėlesnių mokestinių laikotarpių apmokestinamąjį pelną)</w:t>
      </w:r>
    </w:p>
    <w:p w14:paraId="2E0AE447" w14:textId="77777777" w:rsidR="00BC5224" w:rsidRPr="00BC5224" w:rsidRDefault="00BC5224" w:rsidP="00BC5224">
      <w:pPr>
        <w:tabs>
          <w:tab w:val="left" w:pos="8280"/>
        </w:tabs>
        <w:ind w:firstLineChars="235" w:firstLine="566"/>
        <w:jc w:val="both"/>
        <w:rPr>
          <w:b/>
          <w:lang w:val="lt-LT"/>
        </w:rPr>
      </w:pPr>
    </w:p>
    <w:p w14:paraId="72E445F1" w14:textId="77777777" w:rsidR="00AE2A42" w:rsidRPr="00525CB0" w:rsidRDefault="00AE2A42" w:rsidP="00AE2A42">
      <w:pPr>
        <w:tabs>
          <w:tab w:val="left" w:pos="8280"/>
        </w:tabs>
        <w:ind w:firstLineChars="235" w:firstLine="566"/>
        <w:jc w:val="both"/>
        <w:rPr>
          <w:b/>
          <w:lang w:val="lt-LT"/>
        </w:rPr>
      </w:pPr>
      <w:r w:rsidRPr="00525CB0">
        <w:rPr>
          <w:b/>
          <w:lang w:val="lt-LT"/>
        </w:rPr>
        <w:t>Komentaras</w:t>
      </w:r>
    </w:p>
    <w:p w14:paraId="2419F13C" w14:textId="77777777" w:rsidR="00AE03E0" w:rsidRDefault="00AE03E0" w:rsidP="00AE03E0">
      <w:pPr>
        <w:ind w:firstLine="720"/>
        <w:jc w:val="both"/>
        <w:rPr>
          <w:lang w:val="lt-LT"/>
        </w:rPr>
      </w:pPr>
      <w:r>
        <w:rPr>
          <w:lang w:val="lt-LT"/>
        </w:rPr>
        <w:t>Jeigu laivybos vieneto pasirinkimu pajamos iš tarptautinio vežimo jūrų laivais arba tarptautinio vežimo jūrų laivais ir su tuo tiesiogiai susijusios veiklos taikomas fiksuotas pelno mokestis, tai apmokestinant visą apskaičiuotą to mokesčio bazę be jokių atskaitymų taikomas 17 procentų tarifas.</w:t>
      </w:r>
    </w:p>
    <w:p w14:paraId="7A52B846" w14:textId="77777777" w:rsidR="00AE2A42" w:rsidRPr="00525CB0" w:rsidRDefault="00AE2A42" w:rsidP="00AE2A42">
      <w:pPr>
        <w:tabs>
          <w:tab w:val="left" w:pos="8280"/>
        </w:tabs>
        <w:jc w:val="both"/>
        <w:rPr>
          <w:lang w:val="lt-LT"/>
        </w:rPr>
      </w:pPr>
    </w:p>
    <w:p w14:paraId="527443E0" w14:textId="77777777" w:rsidR="00AE2A42" w:rsidRDefault="00AE2A42" w:rsidP="00AE2A42">
      <w:pPr>
        <w:tabs>
          <w:tab w:val="left" w:pos="8280"/>
        </w:tabs>
        <w:ind w:firstLineChars="235" w:firstLine="566"/>
        <w:jc w:val="both"/>
        <w:rPr>
          <w:b/>
          <w:lang w:val="lt-LT"/>
        </w:rPr>
      </w:pPr>
      <w:r w:rsidRPr="00525CB0">
        <w:rPr>
          <w:b/>
          <w:lang w:val="lt-LT"/>
        </w:rPr>
        <w:t>Pavyzdys</w:t>
      </w:r>
    </w:p>
    <w:p w14:paraId="515CB853" w14:textId="77777777" w:rsidR="00BC5224" w:rsidRPr="00D65719" w:rsidRDefault="00BC5224" w:rsidP="00BC5224">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Pr>
          <w:lang w:val="lt-LT"/>
        </w:rPr>
        <w:t xml:space="preserve">  </w:t>
      </w:r>
      <w:r w:rsidRPr="00A86BBD">
        <w:rPr>
          <w:lang w:val="lt-LT"/>
        </w:rPr>
        <w:t>Vienetas už 2026 metais prasidėjusį mokestinį laikotarpį apskaičiavo 122 000 Eur fiksuoto pelno mokesčio mokestinę bazę. Per mokestinį laikotarpį vienetas Labdaros ir paramos įstatymo nustatyta tvarka suteikė 20 000 Eur paramos. Vienetas privalo sumokėti 20 740 Eur pelno mokesčio (122 000 Eur x 17 / 100), neatsižvelgiant į paramai patirtas išlaidas.</w:t>
      </w:r>
    </w:p>
    <w:p w14:paraId="6D181AB9" w14:textId="77777777" w:rsidR="00BC5224" w:rsidRDefault="00BC5224" w:rsidP="00BC5224">
      <w:pPr>
        <w:jc w:val="both"/>
        <w:rPr>
          <w:rFonts w:ascii="Trebuchet MS" w:hAnsi="Trebuchet MS"/>
          <w:sz w:val="20"/>
          <w:szCs w:val="22"/>
          <w:lang w:val="lt-LT"/>
        </w:rPr>
      </w:pPr>
      <w:r>
        <w:rPr>
          <w:lang w:val="lt-LT"/>
        </w:rPr>
        <w:t xml:space="preserve">(Pakeista pagal </w:t>
      </w:r>
      <w:r w:rsidRPr="0051529C">
        <w:t>VMI prie FM 202</w:t>
      </w:r>
      <w:r>
        <w:t>6</w:t>
      </w:r>
      <w:r w:rsidRPr="0051529C">
        <w:t>-</w:t>
      </w:r>
      <w:r>
        <w:t>01</w:t>
      </w:r>
      <w:r w:rsidRPr="0051529C">
        <w:t>-</w:t>
      </w:r>
      <w:r>
        <w:t>06</w:t>
      </w:r>
      <w:r w:rsidRPr="0051529C">
        <w:t xml:space="preserve"> rašt</w:t>
      </w:r>
      <w:r>
        <w:t>ą</w:t>
      </w:r>
      <w:r w:rsidRPr="0051529C">
        <w:t xml:space="preserve"> Nr.</w:t>
      </w:r>
      <w:r>
        <w:rPr>
          <w:iCs/>
          <w:lang w:eastAsia="lt-LT"/>
        </w:rPr>
        <w:t xml:space="preserve"> (18.32-31-1 Mr)-R-270)</w:t>
      </w:r>
    </w:p>
    <w:p w14:paraId="50C60B7D" w14:textId="77777777" w:rsidR="00BC5224" w:rsidRPr="00BC5224" w:rsidRDefault="00BC5224" w:rsidP="00BC5224">
      <w:pPr>
        <w:jc w:val="both"/>
        <w:rPr>
          <w:rFonts w:ascii="Trebuchet MS" w:hAnsi="Trebuchet MS"/>
          <w:sz w:val="20"/>
          <w:szCs w:val="22"/>
          <w:lang w:val="lt-LT"/>
        </w:rPr>
      </w:pPr>
    </w:p>
    <w:p w14:paraId="58B3A3FC" w14:textId="77777777" w:rsidR="00093845" w:rsidRDefault="000D779E">
      <w:pPr>
        <w:ind w:firstLineChars="235" w:firstLine="566"/>
        <w:jc w:val="both"/>
        <w:rPr>
          <w:b/>
        </w:rPr>
      </w:pPr>
      <w:r>
        <w:rPr>
          <w:b/>
        </w:rPr>
        <w:t>3. Nusidėvėjimo ar amortizacijos skaičiavimo apribojimai:</w:t>
      </w:r>
    </w:p>
    <w:p w14:paraId="7EA6D1C3" w14:textId="77777777" w:rsidR="00093845" w:rsidRDefault="000D779E">
      <w:pPr>
        <w:ind w:firstLineChars="235" w:firstLine="566"/>
        <w:jc w:val="both"/>
        <w:rPr>
          <w:b/>
        </w:rPr>
      </w:pPr>
      <w:r>
        <w:rPr>
          <w:b/>
        </w:rPr>
        <w:t>1) jei laivybos vieneto pasirinkimu pagal šio Įstatymo 38</w:t>
      </w:r>
      <w:r>
        <w:rPr>
          <w:b/>
          <w:vertAlign w:val="superscript"/>
        </w:rPr>
        <w:t>1</w:t>
      </w:r>
      <w:r>
        <w:rPr>
          <w:b/>
        </w:rPr>
        <w:t xml:space="preserve"> straipsnio nuostatas pajamoms iš tarptautinio vežimo jūrų laivais arba tarptautinio vežimo jūrų laivais ir su juo tiesiogiai susijusios veiklos buvo taikomos fiksuoto pelno mokesčio apskaičiavimo nuostatos, tai, šioms pajamoms pradėjus taikyti bendras pelno mokesčio apskaičiavimo nuostatas, turto, naudoto šioje veikloje, nusidėvėjimas ar amortizacija neskaičiuojami, jeigu nuo šio turto naudojimo pradžios iki fiksuoto pelno mokesčio mokėjimo laikotarpio pabaigos šis turtas būtų buvęs nudėvėtas ar amortizuotas pagal šio Įstatymo 1 priedėlyje nustatytus normatyvus;</w:t>
      </w:r>
    </w:p>
    <w:p w14:paraId="60CA1029" w14:textId="77777777" w:rsidR="00093845" w:rsidRDefault="000D779E" w:rsidP="00333273">
      <w:pPr>
        <w:tabs>
          <w:tab w:val="left" w:pos="8280"/>
        </w:tabs>
        <w:spacing w:after="0"/>
        <w:ind w:firstLineChars="235" w:firstLine="566"/>
        <w:jc w:val="both"/>
        <w:rPr>
          <w:b/>
        </w:rPr>
      </w:pPr>
      <w:r>
        <w:rPr>
          <w:b/>
        </w:rPr>
        <w:t>2) jei laivybos vienetas pagal šio Įstatymo 38</w:t>
      </w:r>
      <w:r>
        <w:rPr>
          <w:b/>
          <w:vertAlign w:val="superscript"/>
        </w:rPr>
        <w:t>1</w:t>
      </w:r>
      <w:r>
        <w:rPr>
          <w:b/>
        </w:rPr>
        <w:t xml:space="preserve"> straipsnio nuostatas pasirinktu fiksuoto pelno mokesčio mokėjimo laikotarpiu (šis laikotarpis pradedamas skaičiuoti nuo mokestinio laikotarpio, kurį laivybos vienetas pirmą kartą įgijo teisę ir pasirinko mokėti fiksuotą pelno mokestį) praranda teisę mokėti fiksuotą pelno mokestį (t. y. nebeatitinka šio Įstatymo 38</w:t>
      </w:r>
      <w:r>
        <w:rPr>
          <w:b/>
          <w:vertAlign w:val="superscript"/>
        </w:rPr>
        <w:t>1</w:t>
      </w:r>
      <w:r>
        <w:rPr>
          <w:b/>
        </w:rPr>
        <w:t> straipsnio 1 dalyje nustatytų kriterijų) arba atsisako teisės mokėti fiksuotą pelno mokestį, tai pradedant mokestiniu laikotarpiu, kurį buvo prarasta ši teisė (išskyrus šio Įstatymo 38</w:t>
      </w:r>
      <w:r>
        <w:rPr>
          <w:b/>
          <w:vertAlign w:val="superscript"/>
        </w:rPr>
        <w:t>1</w:t>
      </w:r>
      <w:r>
        <w:rPr>
          <w:b/>
        </w:rPr>
        <w:t xml:space="preserve"> straipsnio 4 dalyje numatytus atvejus) arba kurį buvo atsisakyta šios teisės, turto, naudojamo tarptautiniam vežimui jūrų laivais arba tarptautinio vežimo jūrų laivais ir su juo tiesiogiai susijusiai veiklai, nusidėvėjimas ar amortizacija skaičiuojami nuo turto įsigijimo kainos, sumažintos nusidėvėjimo ar amortizacijos suma, kuri būtų apskaičiuota, jeigu laivybos vienetas visą laiką būtų taikęs bendras pelno mokesčio apskaičiavimo nuostatas. Tokiu atveju šio turto nusidėvėjimas ar amortizacija skaičiuojami pagal normatyvus, ne mažesnius, negu nustatyta šio </w:t>
      </w:r>
      <w:r>
        <w:rPr>
          <w:b/>
        </w:rPr>
        <w:lastRenderedPageBreak/>
        <w:t>Įstatymo 1 priedėlyje, įskaitant mokestinį (mokestinius) laikotarpį (laikotarpius), kurį (kuriais) tas turtas jau buvo naudotas šiame laivybos vienete.</w:t>
      </w:r>
    </w:p>
    <w:p w14:paraId="42DAEB82" w14:textId="77777777" w:rsidR="00093845" w:rsidRPr="00062580" w:rsidRDefault="000D779E" w:rsidP="0033327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6389A24E" w14:textId="77777777" w:rsidR="00093845" w:rsidRDefault="00093845">
      <w:pPr>
        <w:pStyle w:val="tajtip"/>
        <w:spacing w:before="0" w:beforeAutospacing="0" w:after="0" w:afterAutospacing="0"/>
        <w:ind w:firstLineChars="235" w:firstLine="564"/>
        <w:jc w:val="both"/>
        <w:rPr>
          <w:iCs/>
        </w:rPr>
      </w:pPr>
    </w:p>
    <w:p w14:paraId="32248080" w14:textId="77777777" w:rsidR="00093845" w:rsidRPr="0065344A" w:rsidRDefault="000D779E">
      <w:pPr>
        <w:tabs>
          <w:tab w:val="left" w:pos="8280"/>
        </w:tabs>
        <w:ind w:firstLineChars="235" w:firstLine="566"/>
        <w:jc w:val="both"/>
        <w:rPr>
          <w:b/>
          <w:bCs/>
          <w:lang w:val="lt-LT"/>
        </w:rPr>
      </w:pPr>
      <w:r w:rsidRPr="0065344A">
        <w:rPr>
          <w:b/>
          <w:bCs/>
          <w:lang w:val="lt-LT"/>
        </w:rPr>
        <w:t>Komentaras</w:t>
      </w:r>
    </w:p>
    <w:p w14:paraId="3D627323" w14:textId="77777777" w:rsidR="00093845" w:rsidRPr="0065344A" w:rsidRDefault="000D779E">
      <w:pPr>
        <w:tabs>
          <w:tab w:val="left" w:pos="8280"/>
        </w:tabs>
        <w:ind w:firstLineChars="235" w:firstLine="564"/>
        <w:jc w:val="both"/>
        <w:rPr>
          <w:lang w:val="lt-LT"/>
        </w:rPr>
      </w:pPr>
      <w:r w:rsidRPr="0065344A">
        <w:rPr>
          <w:lang w:val="lt-LT"/>
        </w:rPr>
        <w:t>1. Laivybos vieneto pajamoms iš tarptautinio vežimo jūrų laivais arba tarptautinio vežimo jūrų laivais ir su tuo tiesiogiai susijusios veiklos taikant fiksuotą pelno mokestį, šioje veikloje naudojamo turto nusidėvėjimas ar amortizacija, kaip ir kitos su šia veikla susijusios sąnaudos, pagal PMĮ 31 str. 1 d. 18 punktą neleidžiamiems atskaitymams priskiriami nuo mokestinio laikotarpio, kurį pradėtas taikyti fiksuotas pelno mokestis, pradžios. Jeigu laivybos vienetas prarado teisę taikyti fiksuotą pelno mokestį arba pats šios teisės atsisakė, tai nuo mokestinio laikotarpio, kurį jis prarado teisę, pradžios leidžiamiems atskaitymams, apskaičiuojant apmokestinamąjį pelną, gali būti priskirta ilgalaikio turto nusidėvėjimo arba amortizacijos suma, apskaičiuota nuo to turto įsigijimo kainos, sumažintos nusidėvėjimo ar amortizacijos suma, kuri būtų apskaičiuota, jeigu laivybos vienetas visą laiką būtų taikęs bendras pelno mokesčio apskaičiavimo nuostatas. Ilgalaikio turto nusidėvėjimas arba amortizacija turi būti apskaičiuoti pagal normatyvus, ne mažesnius, negu nustatyta šio įstatymo I priedėlyje, įskaitant laikotarpį, kurį šis turtas buvo naudotas šiame laivybos vienete.</w:t>
      </w:r>
    </w:p>
    <w:p w14:paraId="04E7C7E1" w14:textId="77777777" w:rsidR="00093845" w:rsidRPr="0065344A" w:rsidRDefault="000D779E">
      <w:pPr>
        <w:tabs>
          <w:tab w:val="left" w:pos="8280"/>
        </w:tabs>
        <w:ind w:firstLineChars="235" w:firstLine="564"/>
        <w:jc w:val="both"/>
        <w:rPr>
          <w:lang w:val="lt-LT"/>
        </w:rPr>
      </w:pPr>
      <w:r w:rsidRPr="0065344A">
        <w:rPr>
          <w:lang w:val="lt-LT"/>
        </w:rPr>
        <w:t>2. Ilgalaikio turto nusidėvėjimo arba amortizacijos sumos leidžiamiems atskaitymams gali būti priskiriamos pradedant mokestiniu laikotarpiu, kurį laivybos vienetas praranda arba pats atsisako teisės taikyti fiksuotą pelno mokestį.</w:t>
      </w:r>
    </w:p>
    <w:p w14:paraId="4AEBC520" w14:textId="77777777" w:rsidR="00093845" w:rsidRPr="0065344A" w:rsidRDefault="000D779E">
      <w:pPr>
        <w:tabs>
          <w:tab w:val="left" w:pos="8280"/>
        </w:tabs>
        <w:ind w:firstLineChars="235" w:firstLine="564"/>
        <w:jc w:val="both"/>
        <w:rPr>
          <w:lang w:val="lt-LT"/>
        </w:rPr>
      </w:pPr>
      <w:r w:rsidRPr="0065344A">
        <w:rPr>
          <w:lang w:val="lt-LT"/>
        </w:rPr>
        <w:t>Pavyzdys</w:t>
      </w:r>
    </w:p>
    <w:p w14:paraId="51F633EA"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sidRPr="0065344A">
        <w:rPr>
          <w:lang w:val="lt-LT"/>
        </w:rPr>
        <w:t xml:space="preserve">Bendrovė  2018 m. kovo 4 d. įsigijo už 15 000 000 EUR jūrų laivą ir tą patį mėnesį pradėjo jį naudoti. Bendrovė, vadovaudamasi PMĮ 1 priedėliu nustatė, kad šio laivo nusidėvėjimas bus skaičiuojamas tiesiniu metodu taikant 8 metų nusidėvėjimo normatyvą (t. y. maksimalų Įstatymo 1 priedėlio ilgalaikio turto grupei ,,Geležinkelio riedmenys (šilumvežiai, vagonai, cisternos), laivai“ nusidėvėjimo normatyvą), likvidacinė kaina – 100 000 EUR. </w:t>
      </w:r>
    </w:p>
    <w:p w14:paraId="6D32894C" w14:textId="77777777" w:rsidR="00093845" w:rsidRPr="0065344A"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lt-LT"/>
        </w:rPr>
      </w:pPr>
      <w:r w:rsidRPr="0065344A">
        <w:rPr>
          <w:lang w:val="lt-LT"/>
        </w:rPr>
        <w:t>2018  –2020 m. bendrovės apskaičiuotos laivo nusidėvėjimo sumos yra priskiriamos ribojamų dydžių leidžiamiems atskaitymams:</w:t>
      </w:r>
    </w:p>
    <w:p w14:paraId="46CA1B0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2018 m. – [(15 000 000 – 100 000) : 8: 12] x 9 = 1 396 875 (EUR)</w:t>
      </w:r>
    </w:p>
    <w:p w14:paraId="527B9D1B"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2019 m. – (15 000 000 – 100 000) : 8 = 1 862 500 (EUR)</w:t>
      </w:r>
    </w:p>
    <w:p w14:paraId="6B46EC2C"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2020 m. – (15 000 000 – 100 000) : 8 = 1 862 500 (EUR)</w:t>
      </w:r>
    </w:p>
    <w:p w14:paraId="1ADF4C3F"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Nuo 2021-03-04 bendrovės pasirinkimu pajamos iš tarptautinio vežimo jūrų laivais ir su juo tiesiogiai susijusios veiklos apmokestinamos fiksuotu pelno mokesčiu, todėl, apskaičiuojant apmokestinamąjį pelną, nuo 2021 m. mokestinio laikotarpio pradžios šio laivo nusidėvėjimo suma priskiriama neleidžiamiems atskaitymams:</w:t>
      </w:r>
    </w:p>
    <w:p w14:paraId="037CD4E6"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2021 m. – (15 000 000 – 100 000) : 8 = 1 862 500 (EUR</w:t>
      </w:r>
      <w:r>
        <w:t>)</w:t>
      </w:r>
      <w:r>
        <w:rPr>
          <w:lang w:val="nb-NO"/>
        </w:rPr>
        <w:t>.</w:t>
      </w:r>
    </w:p>
    <w:p w14:paraId="67001E05"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2022 m. – (15 000 000 – 100 000) : 8 = 1 862 500 (EUR).</w:t>
      </w:r>
    </w:p>
    <w:p w14:paraId="0A8C94F0"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2023 m. – (15 000 000 – 100 000) : 8 = 1 862 500 (EUR).</w:t>
      </w:r>
    </w:p>
    <w:p w14:paraId="4E3A7CF9"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2024 m. gegužės 10 d. laivybos bendrovė prarado teisę taikyti fiksuotą pelno mokestį, todėl, apskaičiuojant apmokestinamąjį pelną, nuo 2024 m. mokestinio laikotarpio pradžios šio laivo nusidėvėjimo sumos vėl gali būti priskirtos ribojamų dydžių leidžiamiems atskaitymams:</w:t>
      </w:r>
    </w:p>
    <w:p w14:paraId="34D948BB"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lastRenderedPageBreak/>
        <w:t>2024 m. – (15 000 000 – 100 000) : 8 = 1 862 500 (EUR).</w:t>
      </w:r>
    </w:p>
    <w:p w14:paraId="0EC7F378"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lang w:val="nb-NO"/>
        </w:rPr>
      </w:pPr>
      <w:r>
        <w:rPr>
          <w:lang w:val="nb-NO"/>
        </w:rPr>
        <w:t>2025 m. - (15 000 000 – 100 000) : 8 = 1 862 500 (EUR)</w:t>
      </w:r>
    </w:p>
    <w:p w14:paraId="27D40BA7" w14:textId="77777777" w:rsidR="00093845" w:rsidRDefault="000D779E">
      <w:pPr>
        <w:pBdr>
          <w:top w:val="single" w:sz="4" w:space="1" w:color="auto"/>
          <w:left w:val="single" w:sz="4" w:space="4" w:color="auto"/>
          <w:bottom w:val="single" w:sz="4" w:space="1" w:color="auto"/>
          <w:right w:val="single" w:sz="4" w:space="4" w:color="auto"/>
        </w:pBdr>
        <w:tabs>
          <w:tab w:val="left" w:pos="8280"/>
        </w:tabs>
        <w:ind w:firstLineChars="235" w:firstLine="564"/>
        <w:jc w:val="both"/>
        <w:rPr>
          <w:b/>
          <w:lang w:val="nb-NO"/>
        </w:rPr>
      </w:pPr>
      <w:r>
        <w:rPr>
          <w:lang w:val="nb-NO"/>
        </w:rPr>
        <w:t>2026 m. - [(15 000 000 – 100 000) : 8 : 12] x3 = 465 625 (EUR</w:t>
      </w:r>
      <w:r>
        <w:rPr>
          <w:b/>
          <w:lang w:val="nb-NO"/>
        </w:rPr>
        <w:t>)</w:t>
      </w:r>
    </w:p>
    <w:p w14:paraId="0CCFBCF8" w14:textId="77777777" w:rsidR="00093845" w:rsidRPr="0065344A" w:rsidRDefault="000D779E" w:rsidP="00F77D43">
      <w:pPr>
        <w:spacing w:after="0"/>
        <w:ind w:firstLineChars="235" w:firstLine="566"/>
        <w:jc w:val="both"/>
        <w:rPr>
          <w:b/>
          <w:lang w:val="nb-NO"/>
        </w:rPr>
      </w:pPr>
      <w:r w:rsidRPr="0065344A">
        <w:rPr>
          <w:b/>
          <w:lang w:val="nb-NO"/>
        </w:rPr>
        <w:t>4. Jei laivybos vieneto pasirinkimu pagal šio straipsnio nuostatas pajamos iš tarptautinio vežimo jūrų laivais arba tarptautinio vežimo jūrų laivais ir su juo tiesiogiai susijusios veiklos apmokestinamos fiksuotu pelno mokesčiu, avansinis fiksuotas pelno mokestis nemokamas.</w:t>
      </w:r>
    </w:p>
    <w:p w14:paraId="18912B85" w14:textId="77777777" w:rsidR="00093845" w:rsidRPr="00062580" w:rsidRDefault="000D779E" w:rsidP="00F77D4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143F545A" w14:textId="77777777" w:rsidR="00093845" w:rsidRDefault="00093845">
      <w:pPr>
        <w:tabs>
          <w:tab w:val="left" w:pos="8280"/>
        </w:tabs>
        <w:ind w:firstLineChars="235" w:firstLine="566"/>
        <w:jc w:val="both"/>
        <w:rPr>
          <w:b/>
          <w:lang w:val="nb-NO"/>
        </w:rPr>
      </w:pPr>
    </w:p>
    <w:p w14:paraId="5C93BBAA" w14:textId="77777777" w:rsidR="00093845" w:rsidRDefault="000D779E">
      <w:pPr>
        <w:tabs>
          <w:tab w:val="left" w:pos="8280"/>
        </w:tabs>
        <w:ind w:firstLineChars="235" w:firstLine="566"/>
        <w:jc w:val="both"/>
        <w:rPr>
          <w:b/>
          <w:lang w:val="nb-NO"/>
        </w:rPr>
      </w:pPr>
      <w:r>
        <w:rPr>
          <w:b/>
          <w:lang w:val="nb-NO"/>
        </w:rPr>
        <w:t>Komentaras</w:t>
      </w:r>
    </w:p>
    <w:p w14:paraId="2A9340BA" w14:textId="77777777" w:rsidR="00093845" w:rsidRDefault="000D779E">
      <w:pPr>
        <w:tabs>
          <w:tab w:val="left" w:pos="8280"/>
        </w:tabs>
        <w:ind w:firstLineChars="235" w:firstLine="564"/>
        <w:jc w:val="both"/>
        <w:rPr>
          <w:lang w:val="nb-NO"/>
        </w:rPr>
      </w:pPr>
      <w:r>
        <w:rPr>
          <w:lang w:val="nb-NO"/>
        </w:rPr>
        <w:t xml:space="preserve">1. Laivybos vienetui pasirinkus pajamas iš tarptautinio vežimo laivais </w:t>
      </w:r>
      <w:r w:rsidRPr="0065344A">
        <w:rPr>
          <w:lang w:val="nb-NO"/>
        </w:rPr>
        <w:t xml:space="preserve">arba tarptautinio vežimo jūrų laivais </w:t>
      </w:r>
      <w:r>
        <w:rPr>
          <w:lang w:val="nb-NO"/>
        </w:rPr>
        <w:t xml:space="preserve">ir su juo tiesiogiai susijusios veiklos apmokestinti fiksuotu pelno mokesčiu, avansinis pelno mokestis nemokamas. </w:t>
      </w:r>
    </w:p>
    <w:p w14:paraId="6E26DC7C" w14:textId="77777777" w:rsidR="00093845" w:rsidRPr="0065344A" w:rsidRDefault="000D779E">
      <w:pPr>
        <w:ind w:firstLineChars="235" w:firstLine="564"/>
        <w:jc w:val="both"/>
        <w:rPr>
          <w:b/>
          <w:lang w:val="nb-NO"/>
        </w:rPr>
      </w:pPr>
      <w:r w:rsidRPr="0065344A">
        <w:rPr>
          <w:lang w:val="nb-NO"/>
        </w:rPr>
        <w:t>Laivybos vienetas, pasirinkęs 2017 metais prasidėjusiu mokestiniu laikotarpiu taikyti fiksuoto pelno mokesčio apmokestinimo tvarką, sumokėtas 2017 metais prasidėjusio mokestinio laikotarpio avansinis pelno mokestis grąžinamas (įskaitomas) Lietuvos Respublikos mokesčių administravimo įstatymo nustatyta tvarka</w:t>
      </w:r>
      <w:r w:rsidRPr="0065344A">
        <w:rPr>
          <w:b/>
          <w:lang w:val="nb-NO"/>
        </w:rPr>
        <w:t>.</w:t>
      </w:r>
    </w:p>
    <w:p w14:paraId="63E574BC" w14:textId="77777777" w:rsidR="00093845" w:rsidRPr="0065344A" w:rsidRDefault="000D779E" w:rsidP="00F77D43">
      <w:pPr>
        <w:tabs>
          <w:tab w:val="left" w:pos="993"/>
        </w:tabs>
        <w:spacing w:after="0"/>
        <w:ind w:firstLineChars="235" w:firstLine="566"/>
        <w:jc w:val="both"/>
        <w:rPr>
          <w:b/>
          <w:lang w:val="nb-NO"/>
        </w:rPr>
      </w:pPr>
      <w:r w:rsidRPr="0065344A">
        <w:rPr>
          <w:rFonts w:eastAsia="Calibri"/>
          <w:b/>
          <w:lang w:val="nb-NO"/>
        </w:rPr>
        <w:t>5. Lietuvos Respublikos Vyriausybės įgaliota institucija nustato</w:t>
      </w:r>
      <w:r w:rsidRPr="0065344A">
        <w:rPr>
          <w:b/>
          <w:i/>
          <w:lang w:val="nb-NO"/>
        </w:rPr>
        <w:t xml:space="preserve"> </w:t>
      </w:r>
      <w:r w:rsidRPr="0065344A">
        <w:rPr>
          <w:b/>
          <w:lang w:val="nb-NO"/>
        </w:rPr>
        <w:t xml:space="preserve">eksploatuojamo turto, kuris priskiriamas jūrų transportui, perleidimo pajamų priskyrimo </w:t>
      </w:r>
      <w:r w:rsidRPr="0065344A">
        <w:rPr>
          <w:rFonts w:eastAsia="Calibri"/>
          <w:b/>
          <w:lang w:val="nb-NO"/>
        </w:rPr>
        <w:t>tarptautinio vežimo jūrų laivais ir su juo tiesiogiai susijusios veiklos pajamoms tvarką.</w:t>
      </w:r>
      <w:r w:rsidRPr="0065344A">
        <w:rPr>
          <w:b/>
          <w:lang w:val="nb-NO"/>
        </w:rPr>
        <w:t xml:space="preserve"> </w:t>
      </w:r>
    </w:p>
    <w:p w14:paraId="74BC3B84" w14:textId="77777777" w:rsidR="00093845" w:rsidRPr="00062580" w:rsidRDefault="000D779E" w:rsidP="00F77D43">
      <w:pPr>
        <w:pStyle w:val="tajtip"/>
        <w:spacing w:before="0" w:beforeAutospacing="0" w:after="0" w:afterAutospacing="0"/>
        <w:jc w:val="both"/>
        <w:rPr>
          <w:i/>
          <w:iCs/>
        </w:rPr>
      </w:pPr>
      <w:r w:rsidRPr="00062580">
        <w:rPr>
          <w:i/>
          <w:iCs/>
        </w:rPr>
        <w:t>(KEISTA: 2017 06 01 įstatymu Nr. XIII-405 (nuo 2017 06 10), taikoma apskaičiuojant 2017 metais prasidėjusio mokestinio laikotarpio ir vėlesnių mokestinių laikotarpių apmokestinamąjį pelną)</w:t>
      </w:r>
    </w:p>
    <w:p w14:paraId="74443461" w14:textId="77777777" w:rsidR="00093845" w:rsidRPr="0065344A" w:rsidRDefault="00093845">
      <w:pPr>
        <w:ind w:firstLineChars="235" w:firstLine="566"/>
        <w:jc w:val="both"/>
        <w:rPr>
          <w:b/>
          <w:lang w:val="nb-NO"/>
        </w:rPr>
      </w:pPr>
    </w:p>
    <w:p w14:paraId="779A7023" w14:textId="77777777" w:rsidR="00093845" w:rsidRPr="0065344A" w:rsidRDefault="000D779E">
      <w:pPr>
        <w:ind w:firstLineChars="235" w:firstLine="566"/>
        <w:jc w:val="both"/>
        <w:rPr>
          <w:b/>
          <w:lang w:val="nb-NO"/>
        </w:rPr>
      </w:pPr>
      <w:r w:rsidRPr="0065344A">
        <w:rPr>
          <w:b/>
          <w:lang w:val="nb-NO"/>
        </w:rPr>
        <w:t>Komentaras</w:t>
      </w:r>
    </w:p>
    <w:p w14:paraId="7ACCD523" w14:textId="77777777" w:rsidR="00093845" w:rsidRPr="0065344A" w:rsidRDefault="000D779E">
      <w:pPr>
        <w:ind w:firstLineChars="235" w:firstLine="564"/>
        <w:jc w:val="both"/>
        <w:rPr>
          <w:b/>
          <w:lang w:val="nb-NO"/>
        </w:rPr>
      </w:pPr>
      <w:r w:rsidRPr="0065344A">
        <w:rPr>
          <w:lang w:val="nb-NO"/>
        </w:rPr>
        <w:t>Šioje straipsnio dalyje Lietuvos Respublikos Vyriausybės įgaliota institucija nustato eksploatuojamo turto, kuris priskiriamas jūrų transportui, perleidimo pajamų priskyrimo tarptautinio vežimo jūrų laivais ir su juo tiesiogiai susijusios veiklos pajamoms tvarką</w:t>
      </w:r>
      <w:r w:rsidRPr="0065344A">
        <w:rPr>
          <w:b/>
          <w:lang w:val="nb-NO"/>
        </w:rPr>
        <w:t>.</w:t>
      </w:r>
    </w:p>
    <w:p w14:paraId="1F19AB9C" w14:textId="77777777" w:rsidR="00093845" w:rsidRDefault="000D779E">
      <w:pPr>
        <w:rPr>
          <w:bCs/>
        </w:rPr>
      </w:pPr>
      <w:r w:rsidRPr="0065344A">
        <w:rPr>
          <w:bCs/>
          <w:lang w:val="nb-NO"/>
        </w:rPr>
        <w:t xml:space="preserve">         </w:t>
      </w:r>
      <w:r w:rsidR="00062580">
        <w:rPr>
          <w:bCs/>
          <w:lang w:val="nb-NO"/>
        </w:rPr>
        <w:t xml:space="preserve">    </w:t>
      </w:r>
      <w:r w:rsidRPr="0065344A">
        <w:rPr>
          <w:bCs/>
          <w:lang w:val="nb-NO"/>
        </w:rPr>
        <w:t xml:space="preserve"> </w:t>
      </w:r>
      <w:r>
        <w:rPr>
          <w:bCs/>
        </w:rPr>
        <w:t>(</w:t>
      </w:r>
      <w:r w:rsidR="00FC238C">
        <w:rPr>
          <w:bCs/>
        </w:rPr>
        <w:t>P</w:t>
      </w:r>
      <w:r>
        <w:rPr>
          <w:bCs/>
        </w:rPr>
        <w:t xml:space="preserve">agal 2017-09-22 VMI prie FM raštą Nr. </w:t>
      </w:r>
      <w:r>
        <w:t xml:space="preserve">(32.42-31-1E) </w:t>
      </w:r>
      <w:r>
        <w:rPr>
          <w:bCs/>
        </w:rPr>
        <w:t>-</w:t>
      </w:r>
      <w:r>
        <w:t xml:space="preserve"> RM-29627</w:t>
      </w:r>
      <w:r>
        <w:rPr>
          <w:bCs/>
        </w:rPr>
        <w:t>)</w:t>
      </w:r>
    </w:p>
    <w:p w14:paraId="36D937F2" w14:textId="77777777" w:rsidR="00FC238C" w:rsidRDefault="00FC238C">
      <w:pPr>
        <w:rPr>
          <w:bCs/>
        </w:rPr>
      </w:pPr>
    </w:p>
    <w:p w14:paraId="46440233" w14:textId="77777777" w:rsidR="00FF110A" w:rsidRDefault="00FF110A">
      <w:pPr>
        <w:rPr>
          <w:bCs/>
        </w:rPr>
      </w:pPr>
    </w:p>
    <w:p w14:paraId="3A153CB7" w14:textId="77777777" w:rsidR="00FF110A" w:rsidRDefault="00FF110A">
      <w:pPr>
        <w:rPr>
          <w:bCs/>
        </w:rPr>
      </w:pPr>
    </w:p>
    <w:p w14:paraId="5BC6F851" w14:textId="77777777" w:rsidR="00FC238C" w:rsidRPr="00AB28FB" w:rsidRDefault="00FC238C" w:rsidP="00FC238C">
      <w:pPr>
        <w:ind w:firstLine="851"/>
        <w:jc w:val="both"/>
        <w:rPr>
          <w:rFonts w:eastAsiaTheme="minorHAnsi"/>
          <w:b/>
          <w:color w:val="000000"/>
          <w:shd w:val="clear" w:color="auto" w:fill="FFFFFF"/>
        </w:rPr>
      </w:pPr>
      <w:bookmarkStart w:id="532" w:name="part_e4a3f8694efd4bae8e6f29e5ddb990c8"/>
      <w:bookmarkStart w:id="533" w:name="part_e6de5a897d634e5aa26a1f0a6c958428"/>
      <w:bookmarkStart w:id="534" w:name="part_9b93fa3f2d7d4b95b52439f753ce199d"/>
      <w:bookmarkStart w:id="535" w:name="part_f029b82815fc4ff0905546fe2610f30f"/>
      <w:bookmarkStart w:id="536" w:name="part_dc1824e577264a668fde4b5130d99480"/>
      <w:bookmarkStart w:id="537" w:name="part_160639b8b97e451ab93bad3cb4a1cb29"/>
      <w:bookmarkEnd w:id="532"/>
      <w:bookmarkEnd w:id="533"/>
      <w:bookmarkEnd w:id="534"/>
      <w:bookmarkEnd w:id="535"/>
      <w:bookmarkEnd w:id="536"/>
      <w:bookmarkEnd w:id="537"/>
      <w:r w:rsidRPr="00AB28FB">
        <w:rPr>
          <w:rFonts w:eastAsiaTheme="minorHAnsi"/>
          <w:b/>
          <w:color w:val="000000"/>
          <w:shd w:val="clear" w:color="auto" w:fill="FFFFFF"/>
        </w:rPr>
        <w:t>38</w:t>
      </w:r>
      <w:r w:rsidRPr="00AB28FB">
        <w:rPr>
          <w:rFonts w:eastAsiaTheme="minorHAnsi"/>
          <w:b/>
          <w:color w:val="000000"/>
          <w:shd w:val="clear" w:color="auto" w:fill="FFFFFF"/>
          <w:vertAlign w:val="superscript"/>
        </w:rPr>
        <w:t>3</w:t>
      </w:r>
      <w:r w:rsidRPr="00AB28FB">
        <w:rPr>
          <w:rFonts w:eastAsiaTheme="minorHAnsi"/>
          <w:b/>
          <w:color w:val="000000"/>
          <w:shd w:val="clear" w:color="auto" w:fill="FFFFFF"/>
        </w:rPr>
        <w:t xml:space="preserve"> straipsnis. Papildomo kredito įstaigų pelno mokesčio apskaičiavimas, deklaravimas ir sumokėjimas</w:t>
      </w:r>
    </w:p>
    <w:p w14:paraId="7B313255" w14:textId="77777777" w:rsidR="004E443A" w:rsidRPr="004E443A" w:rsidRDefault="004E443A" w:rsidP="004E443A">
      <w:pPr>
        <w:ind w:firstLine="720"/>
        <w:jc w:val="both"/>
        <w:rPr>
          <w:b/>
          <w:lang w:val="lt-LT"/>
        </w:rPr>
      </w:pPr>
      <w:r w:rsidRPr="004E443A">
        <w:rPr>
          <w:b/>
          <w:lang w:val="lt-LT"/>
        </w:rPr>
        <w:t>1. Pagal Bankų įstatymą veikiantys bankai, tarp jų užsienio komercinių bankų filialai, pagal Kredito unijų įstatymą veikiančios kredito unijos ir pagal Lietuvos Respublikos centrinių kredito unijų įstatymą veikiančios centrinės kredito unijos papildomą kredito įstaigų pelno mokestį apskaičiuoja, deklaruoja ir sumoka šiame straipsnyje nustatyta tvarka.</w:t>
      </w:r>
    </w:p>
    <w:p w14:paraId="2964F133"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2085F0FE"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D7B1458" w14:textId="77777777" w:rsidR="00FC238C" w:rsidRPr="00AB28FB" w:rsidRDefault="00FC238C" w:rsidP="00FC238C">
      <w:pPr>
        <w:tabs>
          <w:tab w:val="left" w:pos="720"/>
          <w:tab w:val="left" w:pos="1077"/>
          <w:tab w:val="left" w:pos="1418"/>
        </w:tabs>
        <w:ind w:firstLine="720"/>
        <w:jc w:val="both"/>
        <w:rPr>
          <w:rFonts w:eastAsiaTheme="minorHAnsi"/>
          <w:color w:val="000000"/>
          <w:shd w:val="clear" w:color="auto" w:fill="FFFFFF"/>
        </w:rPr>
      </w:pPr>
      <w:r w:rsidRPr="00AB28FB">
        <w:rPr>
          <w:rFonts w:eastAsiaTheme="minorHAnsi"/>
          <w:color w:val="000000"/>
          <w:shd w:val="clear" w:color="auto" w:fill="FFFFFF"/>
        </w:rPr>
        <w:lastRenderedPageBreak/>
        <w:t>Papildomą kredito įstaigų pelno mokestį šiame straipsnyje nustatyta tvarka apskaičiuoja, deklaruoja ir sumoka:</w:t>
      </w:r>
    </w:p>
    <w:p w14:paraId="05C8462B" w14:textId="77777777" w:rsidR="00FC238C" w:rsidRPr="00AB28FB" w:rsidRDefault="00FC238C" w:rsidP="00EC4E29">
      <w:pPr>
        <w:numPr>
          <w:ilvl w:val="0"/>
          <w:numId w:val="58"/>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bankų įstatymą veikiantys bankai, tarp jų užsienio komercinių bankų filialai (toliau – kredito įstaigos);</w:t>
      </w:r>
    </w:p>
    <w:p w14:paraId="6F389D0F" w14:textId="77777777" w:rsidR="00FC238C" w:rsidRPr="00AB28FB" w:rsidRDefault="00FC238C" w:rsidP="00EC4E29">
      <w:pPr>
        <w:numPr>
          <w:ilvl w:val="0"/>
          <w:numId w:val="58"/>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kredito unijų įstatymą veikiančios kredito unijos (toliau – kredito įstaigos);</w:t>
      </w:r>
    </w:p>
    <w:p w14:paraId="69EE468D" w14:textId="77777777" w:rsidR="00FC238C" w:rsidRDefault="00FC238C" w:rsidP="00EC4E29">
      <w:pPr>
        <w:numPr>
          <w:ilvl w:val="0"/>
          <w:numId w:val="58"/>
        </w:numPr>
        <w:tabs>
          <w:tab w:val="left" w:pos="720"/>
          <w:tab w:val="left" w:pos="1077"/>
          <w:tab w:val="left" w:pos="1418"/>
        </w:tabs>
        <w:contextualSpacing/>
        <w:jc w:val="both"/>
        <w:rPr>
          <w:rFonts w:eastAsiaTheme="minorHAnsi"/>
          <w:color w:val="000000"/>
          <w:shd w:val="clear" w:color="auto" w:fill="FFFFFF"/>
        </w:rPr>
      </w:pPr>
      <w:r w:rsidRPr="00AB28FB">
        <w:rPr>
          <w:rFonts w:eastAsiaTheme="minorHAnsi"/>
          <w:color w:val="000000"/>
          <w:shd w:val="clear" w:color="auto" w:fill="FFFFFF"/>
        </w:rPr>
        <w:t>pagal Lietuvos Respublikos centrinių kredito unijų įstatymą veikiančios centrinės kredito unijos (toliau – kredito įstaigos).</w:t>
      </w:r>
    </w:p>
    <w:p w14:paraId="75158408" w14:textId="77777777" w:rsidR="004E443A" w:rsidRPr="00AB28FB" w:rsidRDefault="004E443A" w:rsidP="004E443A">
      <w:pPr>
        <w:tabs>
          <w:tab w:val="left" w:pos="720"/>
          <w:tab w:val="left" w:pos="1077"/>
          <w:tab w:val="left" w:pos="1418"/>
        </w:tabs>
        <w:contextualSpacing/>
        <w:jc w:val="both"/>
        <w:rPr>
          <w:rFonts w:eastAsiaTheme="minorHAnsi"/>
          <w:color w:val="000000"/>
          <w:shd w:val="clear" w:color="auto" w:fill="FFFFFF"/>
        </w:rPr>
      </w:pPr>
    </w:p>
    <w:p w14:paraId="55772DED" w14:textId="77777777" w:rsidR="004E443A" w:rsidRPr="004E443A" w:rsidRDefault="004E443A" w:rsidP="004E443A">
      <w:pPr>
        <w:ind w:firstLine="720"/>
        <w:jc w:val="both"/>
        <w:rPr>
          <w:b/>
        </w:rPr>
      </w:pPr>
      <w:r w:rsidRPr="004E443A">
        <w:rPr>
          <w:b/>
        </w:rPr>
        <w:t>2. Kredito įstaigų apmokestinamasis pelnas, apskaičiuotas iš pajamų atėmus neapmokestinamąsias pajamas, leidžiamus ir ribojamų dydžių leidžiamus atskaitymus (išskyrus</w:t>
      </w:r>
      <w:r w:rsidRPr="004E443A">
        <w:rPr>
          <w:b/>
          <w:color w:val="000000"/>
        </w:rPr>
        <w:t xml:space="preserve"> mokslinių tyrimų ir eksperimentinės plėtros darbų sąnaudų padidintų atskaitymų sumą, apmokestinamųjų pajamų sumažinimo dėl filmo arba jo dalies gamybai neatlygintinai suteiktų lėšų sumą, atskaitomą suteiktos paramos sumą ir praėjusių mokestinių laikotarpių nuostolių, atskaitomų iš mokestinio laikotarpio pajamų, sumą)</w:t>
      </w:r>
      <w:r w:rsidRPr="004E443A">
        <w:rPr>
          <w:b/>
        </w:rPr>
        <w:t>, apmokestinamas taikant 5 procentų papildomo kredito įstaigų pelno mokesčio tarifą.</w:t>
      </w:r>
    </w:p>
    <w:p w14:paraId="5829C339" w14:textId="77777777" w:rsidR="004E443A" w:rsidRPr="004E443A" w:rsidRDefault="004E443A" w:rsidP="004E443A">
      <w:pPr>
        <w:jc w:val="both"/>
        <w:rPr>
          <w:sz w:val="20"/>
          <w:szCs w:val="20"/>
        </w:rPr>
      </w:pPr>
      <w:r w:rsidRPr="004E443A">
        <w:t>(2021 12 07 įstatymu Nr. XIV-726 (nuo 2022 07 01; taikoma apskaičiuojant ir deklaruojant 2022 metų ir vėlesnių mokestinių laikotarpių apmokestinamąjį pelną)</w:t>
      </w:r>
    </w:p>
    <w:p w14:paraId="553351A6"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2CD03562" w14:textId="77777777" w:rsidR="00FC238C" w:rsidRPr="00AB28FB" w:rsidRDefault="00FC238C" w:rsidP="00FC238C">
      <w:pPr>
        <w:tabs>
          <w:tab w:val="left" w:pos="720"/>
          <w:tab w:val="left" w:pos="1077"/>
          <w:tab w:val="left" w:pos="1418"/>
        </w:tabs>
        <w:ind w:firstLine="720"/>
        <w:jc w:val="both"/>
        <w:rPr>
          <w:rFonts w:eastAsiaTheme="minorHAnsi"/>
        </w:rPr>
      </w:pPr>
      <w:r w:rsidRPr="00AB28FB">
        <w:rPr>
          <w:rFonts w:eastAsiaTheme="minorHAnsi"/>
        </w:rPr>
        <w:t>1. Šio straipsnio 2 dalis nustato kredito įstaigų apmokestinamojo pelno, apmokestinamo papildomu kredito įstaigų pelno mokesčiu, apskaičiavimo tvarką. Kreditų įstaigų apmokestinamasis pelnas apskaičiuojamas pagal tokią formulę:</w:t>
      </w:r>
    </w:p>
    <w:p w14:paraId="4A9CAF8A" w14:textId="77777777" w:rsidR="00FC238C" w:rsidRPr="00AB28FB" w:rsidRDefault="00FC238C" w:rsidP="00FC238C">
      <w:pPr>
        <w:tabs>
          <w:tab w:val="left" w:pos="720"/>
          <w:tab w:val="left" w:pos="1077"/>
          <w:tab w:val="left" w:pos="1418"/>
        </w:tabs>
        <w:ind w:firstLine="720"/>
        <w:jc w:val="both"/>
        <w:rPr>
          <w:rFonts w:eastAsiaTheme="minorHAnsi"/>
        </w:rPr>
      </w:pPr>
      <w:r w:rsidRPr="00AB28FB">
        <w:rPr>
          <w:rFonts w:eastAsiaTheme="minorHAnsi"/>
        </w:rPr>
        <w:t>Pajamos, įtrauktos į pelno mokesčio bazę (išskyrus pozityvias pajamas) - Neapmokestinamosios pajamos - Leidžiami atskaitymai - Ribojamų dydžių leidžiami atskaitymai (</w:t>
      </w:r>
      <w:r w:rsidRPr="00AB28FB">
        <w:rPr>
          <w:rFonts w:eastAsiaTheme="minorHAnsi"/>
          <w:color w:val="000000"/>
          <w:shd w:val="clear" w:color="auto" w:fill="FFFFFF"/>
        </w:rPr>
        <w:t>išskyrus mokslinių tyrimų ir eksperimentinės plėtros darbų sąnaudų padidintų atskaitymų sumą, apmokestinamųjų pajamų sumažinimo dėl filmo arba jo dalies gamybai neatlygintinai suteiktų lėšų sumą, atskaitomą suteiktos paramos sumą ir praėjusių mokestinių laikotarpių nuostolių, atskaitomų iš mokestinio laikotarpio pajamų, sumą)</w:t>
      </w:r>
      <w:r w:rsidRPr="00AB28FB">
        <w:rPr>
          <w:rFonts w:eastAsiaTheme="minorHAnsi"/>
        </w:rPr>
        <w:t xml:space="preserve"> = Papildomu kredito įstaigų pelno mokesčiu apmokestinamas apmokestinamasis pelnas</w:t>
      </w:r>
    </w:p>
    <w:p w14:paraId="78073126" w14:textId="77777777" w:rsidR="00FC238C" w:rsidRPr="00AB28FB" w:rsidRDefault="00FC238C" w:rsidP="00FC238C">
      <w:pPr>
        <w:ind w:firstLine="720"/>
        <w:jc w:val="both"/>
        <w:rPr>
          <w:color w:val="000000"/>
          <w:shd w:val="clear" w:color="auto" w:fill="FFFFFF"/>
          <w:lang w:eastAsia="lt-LT"/>
        </w:rPr>
      </w:pPr>
      <w:r w:rsidRPr="00AB28FB">
        <w:rPr>
          <w:noProof/>
          <w:color w:val="000000"/>
          <w:lang w:val="lt-LT" w:eastAsia="lt-LT"/>
        </w:rPr>
        <mc:AlternateContent>
          <mc:Choice Requires="wps">
            <w:drawing>
              <wp:anchor distT="45720" distB="45720" distL="114300" distR="114300" simplePos="0" relativeHeight="251781120" behindDoc="0" locked="0" layoutInCell="1" allowOverlap="1" wp14:anchorId="4BE164C7" wp14:editId="20E3F7AB">
                <wp:simplePos x="0" y="0"/>
                <wp:positionH relativeFrom="column">
                  <wp:posOffset>-60960</wp:posOffset>
                </wp:positionH>
                <wp:positionV relativeFrom="paragraph">
                  <wp:posOffset>177165</wp:posOffset>
                </wp:positionV>
                <wp:extent cx="2276475" cy="2514600"/>
                <wp:effectExtent l="0" t="0" r="9525" b="0"/>
                <wp:wrapSquare wrapText="bothSides"/>
                <wp:docPr id="320"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514600"/>
                        </a:xfrm>
                        <a:prstGeom prst="rect">
                          <a:avLst/>
                        </a:prstGeom>
                        <a:solidFill>
                          <a:sysClr val="window" lastClr="FFFFFF"/>
                        </a:solidFill>
                        <a:ln w="9525">
                          <a:noFill/>
                          <a:miter lim="800000"/>
                          <a:headEnd/>
                          <a:tailEnd/>
                        </a:ln>
                        <a:effectLst/>
                      </wps:spPr>
                      <wps:txbx>
                        <w:txbxContent>
                          <w:p w14:paraId="67572180" w14:textId="77777777" w:rsidR="007B24A1" w:rsidRDefault="007B24A1" w:rsidP="00FC238C"/>
                          <w:p w14:paraId="14AD29AF" w14:textId="77777777" w:rsidR="007B24A1" w:rsidRDefault="007B24A1" w:rsidP="00FC238C"/>
                          <w:p w14:paraId="5224D904" w14:textId="77777777" w:rsidR="007B24A1" w:rsidRPr="00F3132A" w:rsidRDefault="007B24A1" w:rsidP="00FC238C">
                            <w:pPr>
                              <w:tabs>
                                <w:tab w:val="left" w:pos="720"/>
                                <w:tab w:val="left" w:pos="1077"/>
                                <w:tab w:val="left" w:pos="1418"/>
                              </w:tabs>
                              <w:jc w:val="both"/>
                            </w:pPr>
                            <w:r w:rsidRPr="006273BB">
                              <w:t>Papildomu kredito įstaigų pelno mokesčiu apmokestinamas apmokestinamasis pelnas</w:t>
                            </w:r>
                            <w:r w:rsidRPr="00F3132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164C7" id="_x0000_s1108" type="#_x0000_t202" style="position:absolute;left:0;text-align:left;margin-left:-4.8pt;margin-top:13.95pt;width:179.25pt;height:198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avPAIAAEkEAAAOAAAAZHJzL2Uyb0RvYy54bWysVNuO2yAQfa/Uf0C8N068SXbXirPaZpuq&#10;0vYibfsBE8AxCmZcILHTr++AkzTavlX1AwIGDmfOmfHioW8MOyjnNdqST0ZjzpQVKLXdlvzH9/W7&#10;O858ACvBoFUlPyrPH5Zv3yy6tlA51mikcoxArC+6tuR1CG2RZV7UqgE/wlZZClboGgi0dNtMOugI&#10;vTFZPh7Psw6dbB0K5T3tPg1Bvkz4VaVE+FpVXgVmSk7cQhpdGjdxzJYLKLYO2lqLEw34BxYNaEuP&#10;XqCeIADbO/0XVKOFQ49VGAlsMqwqLVTKgbKZjF9l81JDq1IuJI5vLzL5/wcrvhy+OaZlyW9y0sdC&#10;QyblLKidD8gM7Hfgo0hd6ws6+9LS6dC/x57MTgn79hnFzjOLqxrsVj06h12tQBLJSbyZXV0dcHwE&#10;2XSfUdJbsA+YgPrKNVFB0oQROpE5XgxSfWCCNvP8dj69nXEmKJbPJtP5OFmYQXG+3jofPipsWJyU&#10;3FEFJHg4PPsQ6UBxPhJf82i0XGtj0uLoV8axA1CxUI1J7DhJ4ANtlnydvpTRq2vGsq7k97N8ll6y&#10;GPFSYTU6UHUb3ZT8bhy/od6iPB+sTEcCaDPMiZmxkYZKdXuiG9WLgg3ShX7TJ7fmN2dXNiiPpKfD&#10;obapF2lSo/vFWUd1XXL/cw9OUSafLHlyP5lOYyOkxXR2G11315HNdQSsIKiSB86G6Sqk5ok0LT6S&#10;d5VOqkaaA5OT41SvSexTb8WGuF6nU3/+AMvfAAAA//8DAFBLAwQUAAYACAAAACEAUx+CmOAAAAAJ&#10;AQAADwAAAGRycy9kb3ducmV2LnhtbEyPwU7DMBBE70j8g7VIXFDrkFalCdlUCMShcEBNOXB04yWO&#10;iO0odtLw9ywnuM1qRjNvi91sOzHREFrvEG6XCQhytdetaxDej8+LLYgQldOq844QvinArry8KFSu&#10;/dkdaKpiI7jEhVwhmBj7XMpQG7IqLH1Pjr1PP1gV+RwaqQd15nLbyTRJNtKq1vGCUT09Gqq/qtEi&#10;PKmbuUrM/uNQv2YvchrlUe7fEK+v5od7EJHm+BeGX3xGh5KZTn50OogOYZFtOImQ3mUg2F+ttyxO&#10;COt0lYEsC/n/g/IHAAD//wMAUEsBAi0AFAAGAAgAAAAhALaDOJL+AAAA4QEAABMAAAAAAAAAAAAA&#10;AAAAAAAAAFtDb250ZW50X1R5cGVzXS54bWxQSwECLQAUAAYACAAAACEAOP0h/9YAAACUAQAACwAA&#10;AAAAAAAAAAAAAAAvAQAAX3JlbHMvLnJlbHNQSwECLQAUAAYACAAAACEAsLMmrzwCAABJBAAADgAA&#10;AAAAAAAAAAAAAAAuAgAAZHJzL2Uyb0RvYy54bWxQSwECLQAUAAYACAAAACEAUx+CmOAAAAAJAQAA&#10;DwAAAAAAAAAAAAAAAACWBAAAZHJzL2Rvd25yZXYueG1sUEsFBgAAAAAEAAQA8wAAAKMFAAAAAA==&#10;" fillcolor="window" stroked="f">
                <v:textbox>
                  <w:txbxContent>
                    <w:p w14:paraId="67572180" w14:textId="77777777" w:rsidR="007B24A1" w:rsidRDefault="007B24A1" w:rsidP="00FC238C"/>
                    <w:p w14:paraId="14AD29AF" w14:textId="77777777" w:rsidR="007B24A1" w:rsidRDefault="007B24A1" w:rsidP="00FC238C"/>
                    <w:p w14:paraId="5224D904" w14:textId="77777777" w:rsidR="007B24A1" w:rsidRPr="00F3132A" w:rsidRDefault="007B24A1" w:rsidP="00FC238C">
                      <w:pPr>
                        <w:tabs>
                          <w:tab w:val="left" w:pos="720"/>
                          <w:tab w:val="left" w:pos="1077"/>
                          <w:tab w:val="left" w:pos="1418"/>
                        </w:tabs>
                        <w:jc w:val="both"/>
                      </w:pPr>
                      <w:r w:rsidRPr="006273BB">
                        <w:t>Papildomu kredito įstaigų pelno mokesčiu apmokestinamas apmokestinamasis pelnas</w:t>
                      </w:r>
                      <w:r w:rsidRPr="00F3132A">
                        <w:t xml:space="preserve"> =</w:t>
                      </w:r>
                    </w:p>
                  </w:txbxContent>
                </v:textbox>
                <w10:wrap type="square"/>
              </v:shape>
            </w:pict>
          </mc:Fallback>
        </mc:AlternateContent>
      </w:r>
    </w:p>
    <w:p w14:paraId="46F56DD9" w14:textId="77777777" w:rsidR="00FC238C" w:rsidRPr="00AB28FB" w:rsidRDefault="00FC238C" w:rsidP="00FC238C">
      <w:pPr>
        <w:ind w:left="3119"/>
        <w:rPr>
          <w:lang w:eastAsia="lt-LT"/>
        </w:rPr>
      </w:pPr>
      <w:r w:rsidRPr="00AB28FB">
        <w:rPr>
          <w:noProof/>
          <w:color w:val="000000"/>
          <w:lang w:val="lt-LT" w:eastAsia="lt-LT"/>
        </w:rPr>
        <mc:AlternateContent>
          <mc:Choice Requires="wps">
            <w:drawing>
              <wp:anchor distT="0" distB="0" distL="114300" distR="114300" simplePos="0" relativeHeight="251782144" behindDoc="0" locked="0" layoutInCell="1" allowOverlap="1" wp14:anchorId="64A118A3" wp14:editId="133B03ED">
                <wp:simplePos x="0" y="0"/>
                <wp:positionH relativeFrom="column">
                  <wp:posOffset>2212340</wp:posOffset>
                </wp:positionH>
                <wp:positionV relativeFrom="paragraph">
                  <wp:posOffset>13335</wp:posOffset>
                </wp:positionV>
                <wp:extent cx="142875" cy="2276475"/>
                <wp:effectExtent l="152400" t="19050" r="9525" b="28575"/>
                <wp:wrapNone/>
                <wp:docPr id="321" name="Kairysis riestinis skliaustas 321"/>
                <wp:cNvGraphicFramePr/>
                <a:graphic xmlns:a="http://schemas.openxmlformats.org/drawingml/2006/main">
                  <a:graphicData uri="http://schemas.microsoft.com/office/word/2010/wordprocessingShape">
                    <wps:wsp>
                      <wps:cNvSpPr/>
                      <wps:spPr>
                        <a:xfrm>
                          <a:off x="0" y="0"/>
                          <a:ext cx="142875" cy="2276475"/>
                        </a:xfrm>
                        <a:prstGeom prst="leftBrac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E288" id="Kairysis riestinis skliaustas 321" o:spid="_x0000_s1026" type="#_x0000_t87" style="position:absolute;margin-left:174.2pt;margin-top:1.05pt;width:11.25pt;height:179.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1FgwIAAPkEAAAOAAAAZHJzL2Uyb0RvYy54bWysVF1P2zAUfZ+0/2D5faTNCnQRKepATNMQ&#10;IMHE88VxWmuO7dlu0+7X79gJ0H08TeuDe7997/G5OTvfdZptpQ/KmppPjyacSSNso8yq5l8frt7N&#10;OQuRTEPaGlnzvQz8fPH2zVnvKlnatdWN9AxFTKh6V/N1jK4qiiDWsqNwZJ00cLbWdxSh+lXReOpR&#10;vdNFOZmcFL31jfNWyBBgvRycfJHrt60U8bZtg4xM1xy9xXz6fD6ls1icUbXy5NZKjG3QP3TRkTK4&#10;9KXUJUViG6/+KNUp4W2wbTwStits2yoh8wyYZjr5bZr7NTmZZwE4wb3AFP5fWXGzvfNMNTV/X045&#10;M9Thkb6Q8vugAvNKhqgMpPBNK9rgJQNLgYCtd6FC9r2786MWICYMdq3v0j+mY7sM9f4FarmLTMA4&#10;nZXz02POBFxleXoyg4IyxWu28yF+krZjSai5lm386EkkPKii7XWIQ/xzXDIbe6W0hp0qbViPoebT&#10;CZ5dEKjVaooQO4dhg1lxRnoFzoroc8lgtWpSesoO+3ChPdsSaAO2NbZ/QOecaQoRDoyTf2PLv6Sm&#10;fi4prIfk7EphVHUqgupadTWfH2Zrk7wyk3WcKmE7oJmkJ9vs8UjeDuwNTlwpXHKNXu7Ig66YECsY&#10;b3G02mJsO0qcra3/8Td7igeL4OWsB/0ByfcNeYkRPxvw68N0Nkv7kpXZ8WkJxR96ng49ZtNdWEAF&#10;BqG7LKb4qJ/F1tvuEZu6TLfCRUbg7gH8UbmIw1pi14VcLnMYdsRRvDb3TqTiCacE78PukbwbiRHx&#10;MDf2eVX+oMYQmzKNXW6ibVXmzSuuIF1SsF+ZfuO3IC3woZ6jXr9Yi58AAAD//wMAUEsDBBQABgAI&#10;AAAAIQAMBIrT4AAAAAkBAAAPAAAAZHJzL2Rvd25yZXYueG1sTI/NTsMwEITvSLyDtUjcqN0fQglx&#10;qgqpwKmI0gO9OfGSRMTrELtt8vYsJ7jNakYz32arwbXihH1oPGmYThQIpNLbhioN+/fNzRJEiIas&#10;aT2hhhEDrPLLi8yk1p/pDU+7WAkuoZAaDXWMXSplKGt0Jkx8h8Tep++diXz2lbS9OXO5a+VMqUQ6&#10;0xAv1KbDxxrLr93RaXgZx+1h/2xf10/F9+Z2ix/BH7zW11fD+gFExCH+heEXn9EhZ6bCH8kG0WqY&#10;L5YLjmqYTUGwP79T9yAKFolKQOaZ/P9B/gMAAP//AwBQSwECLQAUAAYACAAAACEAtoM4kv4AAADh&#10;AQAAEwAAAAAAAAAAAAAAAAAAAAAAW0NvbnRlbnRfVHlwZXNdLnhtbFBLAQItABQABgAIAAAAIQA4&#10;/SH/1gAAAJQBAAALAAAAAAAAAAAAAAAAAC8BAABfcmVscy8ucmVsc1BLAQItABQABgAIAAAAIQCL&#10;hw1FgwIAAPkEAAAOAAAAAAAAAAAAAAAAAC4CAABkcnMvZTJvRG9jLnhtbFBLAQItABQABgAIAAAA&#10;IQAMBIrT4AAAAAkBAAAPAAAAAAAAAAAAAAAAAN0EAABkcnMvZG93bnJldi54bWxQSwUGAAAAAAQA&#10;BADzAAAA6gUAAAAA&#10;" adj="113" strokecolor="windowText" strokeweight="3pt">
                <v:stroke joinstyle="miter"/>
              </v:shape>
            </w:pict>
          </mc:Fallback>
        </mc:AlternateContent>
      </w:r>
      <w:r w:rsidRPr="00AB28FB">
        <w:rPr>
          <w:lang w:eastAsia="lt-LT"/>
        </w:rPr>
        <w:t xml:space="preserve">Pajamos (įtrauktos į pelno mokesčio bazę) </w:t>
      </w:r>
    </w:p>
    <w:p w14:paraId="5083FF2A" w14:textId="77777777" w:rsidR="00FC238C" w:rsidRPr="00AB28FB" w:rsidRDefault="00FC238C" w:rsidP="00FC238C">
      <w:pPr>
        <w:ind w:left="3119"/>
        <w:rPr>
          <w:lang w:eastAsia="lt-LT"/>
        </w:rPr>
      </w:pPr>
      <w:r w:rsidRPr="00AB28FB">
        <w:rPr>
          <w:lang w:eastAsia="lt-LT"/>
        </w:rPr>
        <w:t>– Pozityviosios pajamos</w:t>
      </w:r>
    </w:p>
    <w:p w14:paraId="72E0C639" w14:textId="77777777" w:rsidR="00FC238C" w:rsidRPr="00AB28FB" w:rsidRDefault="00FC238C" w:rsidP="00EC4E29">
      <w:pPr>
        <w:numPr>
          <w:ilvl w:val="0"/>
          <w:numId w:val="60"/>
        </w:numPr>
        <w:rPr>
          <w:lang w:eastAsia="lt-LT"/>
        </w:rPr>
      </w:pPr>
      <w:r w:rsidRPr="00AB28FB">
        <w:rPr>
          <w:lang w:eastAsia="lt-LT"/>
        </w:rPr>
        <w:t xml:space="preserve">Neapmokestinamosios pajamos </w:t>
      </w:r>
    </w:p>
    <w:p w14:paraId="34215BFD" w14:textId="77777777" w:rsidR="00FC238C" w:rsidRPr="00AB28FB" w:rsidRDefault="00FC238C" w:rsidP="00FC238C">
      <w:pPr>
        <w:ind w:left="3119"/>
        <w:rPr>
          <w:lang w:eastAsia="lt-LT"/>
        </w:rPr>
      </w:pPr>
      <w:r w:rsidRPr="00AB28FB">
        <w:rPr>
          <w:lang w:eastAsia="lt-LT"/>
        </w:rPr>
        <w:t xml:space="preserve">– Leidžiami atskaitymai </w:t>
      </w:r>
    </w:p>
    <w:p w14:paraId="7ED2C64F" w14:textId="77777777" w:rsidR="00FC238C" w:rsidRPr="00AB28FB" w:rsidRDefault="00FC238C" w:rsidP="00FC238C">
      <w:pPr>
        <w:ind w:left="3119"/>
        <w:rPr>
          <w:lang w:eastAsia="lt-LT"/>
        </w:rPr>
      </w:pPr>
      <w:r w:rsidRPr="00AB28FB">
        <w:rPr>
          <w:lang w:eastAsia="lt-LT"/>
        </w:rPr>
        <w:t xml:space="preserve">– Ribojamų dydžių leidžiami atskaitymai </w:t>
      </w:r>
    </w:p>
    <w:p w14:paraId="770EB6E3" w14:textId="77777777" w:rsidR="00FC238C" w:rsidRPr="00AB28FB" w:rsidRDefault="00FC238C" w:rsidP="00FC238C">
      <w:pPr>
        <w:ind w:left="3119"/>
        <w:rPr>
          <w:color w:val="000000"/>
          <w:shd w:val="clear" w:color="auto" w:fill="FFFFFF"/>
          <w:lang w:eastAsia="lt-LT"/>
        </w:rPr>
      </w:pPr>
      <w:r w:rsidRPr="00AB28FB">
        <w:rPr>
          <w:color w:val="000000"/>
          <w:shd w:val="clear" w:color="auto" w:fill="FFFFFF"/>
          <w:lang w:eastAsia="lt-LT"/>
        </w:rPr>
        <w:t xml:space="preserve"> </w:t>
      </w:r>
    </w:p>
    <w:p w14:paraId="0A8B1BC7" w14:textId="77777777" w:rsidR="00FC238C" w:rsidRPr="00AB28FB" w:rsidRDefault="00FC238C" w:rsidP="00FC238C">
      <w:pPr>
        <w:ind w:left="3119"/>
        <w:rPr>
          <w:color w:val="000000"/>
          <w:lang w:eastAsia="lt-LT"/>
        </w:rPr>
      </w:pPr>
      <w:r w:rsidRPr="00AB28FB">
        <w:rPr>
          <w:color w:val="000000"/>
          <w:lang w:eastAsia="lt-LT"/>
        </w:rPr>
        <w:t xml:space="preserve"> + Mokslinių tyrimų ir eksperimentinės plėtros darbų sąnaudų  padidintų atskaitymų suma</w:t>
      </w:r>
    </w:p>
    <w:p w14:paraId="15B557C5" w14:textId="77777777" w:rsidR="00FC238C" w:rsidRPr="00AB28FB" w:rsidRDefault="00FC238C" w:rsidP="00FC238C">
      <w:pPr>
        <w:ind w:left="3119"/>
        <w:rPr>
          <w:color w:val="000000"/>
          <w:lang w:eastAsia="lt-LT"/>
        </w:rPr>
      </w:pPr>
      <w:r w:rsidRPr="00AB28FB">
        <w:rPr>
          <w:color w:val="000000"/>
          <w:lang w:eastAsia="lt-LT"/>
        </w:rPr>
        <w:t xml:space="preserve"> + Apmokestinamųjų pajamų sumažinimo dėl filmo arba jo dalies gamybai neatlygintinai suteiktų lėšų suma </w:t>
      </w:r>
    </w:p>
    <w:p w14:paraId="68F4D610" w14:textId="77777777" w:rsidR="00FC238C" w:rsidRPr="00AB28FB" w:rsidRDefault="00FC238C" w:rsidP="00FC238C">
      <w:pPr>
        <w:ind w:left="3119"/>
        <w:rPr>
          <w:color w:val="000000"/>
          <w:lang w:eastAsia="lt-LT"/>
        </w:rPr>
      </w:pPr>
      <w:r w:rsidRPr="00AB28FB">
        <w:rPr>
          <w:color w:val="000000"/>
          <w:lang w:eastAsia="lt-LT"/>
        </w:rPr>
        <w:t xml:space="preserve"> + Atskaitoma suteiktos paramos suma </w:t>
      </w:r>
    </w:p>
    <w:p w14:paraId="13C5182E" w14:textId="77777777" w:rsidR="00FC238C" w:rsidRPr="00AB28FB" w:rsidRDefault="00FC238C" w:rsidP="00FC238C">
      <w:pPr>
        <w:ind w:left="3119"/>
        <w:rPr>
          <w:color w:val="000000"/>
          <w:lang w:eastAsia="lt-LT"/>
        </w:rPr>
      </w:pPr>
      <w:r w:rsidRPr="00AB28FB">
        <w:rPr>
          <w:color w:val="000000"/>
          <w:lang w:eastAsia="lt-LT"/>
        </w:rPr>
        <w:lastRenderedPageBreak/>
        <w:t xml:space="preserve"> + Praėjusių mokestinių laikotarpių nuostolių, atskaitomų iš mokestinio laikotarpio pajamų, suma </w:t>
      </w:r>
    </w:p>
    <w:p w14:paraId="0B3D5390" w14:textId="77777777" w:rsidR="00FC238C" w:rsidRPr="00AB28FB" w:rsidRDefault="00FC238C" w:rsidP="00FC238C">
      <w:pPr>
        <w:ind w:firstLine="851"/>
        <w:jc w:val="both"/>
        <w:rPr>
          <w:rFonts w:eastAsiaTheme="minorHAnsi"/>
          <w:color w:val="000000"/>
          <w:shd w:val="clear" w:color="auto" w:fill="FFFFFF"/>
        </w:rPr>
      </w:pPr>
      <w:r w:rsidRPr="00AB28FB">
        <w:rPr>
          <w:rFonts w:eastAsiaTheme="minorHAnsi"/>
          <w:color w:val="000000"/>
          <w:shd w:val="clear" w:color="auto" w:fill="FFFFFF"/>
        </w:rPr>
        <w:t>2. Kredito įstaigų apmokestinamasis pelnas, apskaičiuotas šioje dalyje nustatyta tvarka, apmokestinamas taikant 5 procentų papildomo kredito įstaigų pelno mokesčio tarifą.</w:t>
      </w:r>
    </w:p>
    <w:p w14:paraId="4ABB6D4A" w14:textId="77777777" w:rsidR="004E443A" w:rsidRPr="004E443A" w:rsidRDefault="004E443A" w:rsidP="004E443A">
      <w:pPr>
        <w:ind w:firstLine="720"/>
        <w:jc w:val="both"/>
        <w:rPr>
          <w:b/>
          <w:sz w:val="20"/>
          <w:lang w:val="lt-LT"/>
        </w:rPr>
      </w:pPr>
      <w:r w:rsidRPr="004E443A">
        <w:rPr>
          <w:b/>
          <w:lang w:val="lt-LT"/>
        </w:rPr>
        <w:t>3. Apskaičiuojant pagal šį straipsnį apmokestinamą kredito įstaigų apmokestinamąjį pelną, į šio Įstatymo IX</w:t>
      </w:r>
      <w:r w:rsidRPr="004E443A">
        <w:rPr>
          <w:b/>
          <w:vertAlign w:val="superscript"/>
          <w:lang w:val="lt-LT"/>
        </w:rPr>
        <w:t>1</w:t>
      </w:r>
      <w:r w:rsidRPr="004E443A">
        <w:rPr>
          <w:b/>
          <w:lang w:val="lt-LT"/>
        </w:rPr>
        <w:t xml:space="preserve"> ir X</w:t>
      </w:r>
      <w:r w:rsidRPr="004E443A">
        <w:rPr>
          <w:b/>
          <w:vertAlign w:val="superscript"/>
          <w:lang w:val="lt-LT"/>
        </w:rPr>
        <w:t>1</w:t>
      </w:r>
      <w:r w:rsidRPr="004E443A">
        <w:rPr>
          <w:b/>
          <w:lang w:val="lt-LT"/>
        </w:rPr>
        <w:t xml:space="preserve"> skyrių nuostatas neatsižvelgiama. </w:t>
      </w:r>
    </w:p>
    <w:p w14:paraId="135C8FA5"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60FF65A9"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0EBF17E" w14:textId="77777777" w:rsidR="00FC238C" w:rsidRPr="00AB28FB"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Apskaičiuojant pagal šį straipsnį papildomu kredito įstaigų pelno mokesčiu apmokestinamą pelną, neatsižvelgiama į apmokestinamojo pelno ir pelno mokesčio sumažinimą dėl:</w:t>
      </w:r>
    </w:p>
    <w:p w14:paraId="369C343C" w14:textId="77777777" w:rsidR="00FC238C" w:rsidRPr="00AB28FB" w:rsidRDefault="00FC238C" w:rsidP="00EC4E29">
      <w:pPr>
        <w:numPr>
          <w:ilvl w:val="0"/>
          <w:numId w:val="59"/>
        </w:numPr>
        <w:tabs>
          <w:tab w:val="left" w:pos="993"/>
        </w:tabs>
        <w:ind w:left="0" w:firstLine="709"/>
        <w:contextualSpacing/>
        <w:jc w:val="both"/>
        <w:rPr>
          <w:rFonts w:eastAsiaTheme="minorHAnsi"/>
          <w:color w:val="000000"/>
          <w:shd w:val="clear" w:color="auto" w:fill="FFFFFF"/>
        </w:rPr>
      </w:pPr>
      <w:r w:rsidRPr="00AB28FB">
        <w:rPr>
          <w:rFonts w:eastAsiaTheme="minorHAnsi"/>
          <w:color w:val="000000"/>
          <w:shd w:val="clear" w:color="auto" w:fill="FFFFFF"/>
        </w:rPr>
        <w:t>vykdomo investicinio projekto (PMĮ 46</w:t>
      </w:r>
      <w:r w:rsidRPr="00AB28FB">
        <w:rPr>
          <w:rFonts w:eastAsiaTheme="minorHAnsi"/>
          <w:color w:val="000000"/>
          <w:shd w:val="clear" w:color="auto" w:fill="FFFFFF"/>
          <w:vertAlign w:val="superscript"/>
        </w:rPr>
        <w:t>1</w:t>
      </w:r>
      <w:r w:rsidRPr="00AB28FB">
        <w:rPr>
          <w:rFonts w:eastAsiaTheme="minorHAnsi"/>
          <w:color w:val="000000"/>
          <w:shd w:val="clear" w:color="auto" w:fill="FFFFFF"/>
        </w:rPr>
        <w:t xml:space="preserve"> str.);</w:t>
      </w:r>
    </w:p>
    <w:p w14:paraId="218CA3E3" w14:textId="77777777" w:rsidR="00FC238C" w:rsidRPr="00AB28FB" w:rsidRDefault="00FC238C" w:rsidP="00EC4E29">
      <w:pPr>
        <w:numPr>
          <w:ilvl w:val="0"/>
          <w:numId w:val="59"/>
        </w:numPr>
        <w:tabs>
          <w:tab w:val="left" w:pos="993"/>
        </w:tabs>
        <w:ind w:left="0" w:firstLine="709"/>
        <w:contextualSpacing/>
        <w:jc w:val="both"/>
        <w:rPr>
          <w:rFonts w:eastAsiaTheme="minorHAnsi"/>
          <w:color w:val="000000"/>
          <w:shd w:val="clear" w:color="auto" w:fill="FFFFFF"/>
        </w:rPr>
      </w:pPr>
      <w:r w:rsidRPr="00AB28FB">
        <w:rPr>
          <w:rFonts w:eastAsiaTheme="minorHAnsi"/>
          <w:color w:val="000000"/>
          <w:shd w:val="clear" w:color="auto" w:fill="FFFFFF"/>
        </w:rPr>
        <w:t>filmo ar jo dalies gamybai neatlygintinai suteiktų lėšų (PMĮ 46</w:t>
      </w:r>
      <w:r w:rsidRPr="00AB28FB">
        <w:rPr>
          <w:rFonts w:eastAsiaTheme="minorHAnsi"/>
          <w:color w:val="000000"/>
          <w:shd w:val="clear" w:color="auto" w:fill="FFFFFF"/>
          <w:vertAlign w:val="superscript"/>
        </w:rPr>
        <w:t>2</w:t>
      </w:r>
      <w:r w:rsidRPr="00AB28FB">
        <w:rPr>
          <w:rFonts w:eastAsiaTheme="minorHAnsi"/>
          <w:color w:val="000000"/>
          <w:shd w:val="clear" w:color="auto" w:fill="FFFFFF"/>
        </w:rPr>
        <w:t xml:space="preserve"> str.); </w:t>
      </w:r>
    </w:p>
    <w:p w14:paraId="2B77F6E2" w14:textId="77777777" w:rsidR="00FC238C" w:rsidRPr="00AB28FB" w:rsidRDefault="00FC238C" w:rsidP="00EC4E29">
      <w:pPr>
        <w:numPr>
          <w:ilvl w:val="0"/>
          <w:numId w:val="59"/>
        </w:numPr>
        <w:tabs>
          <w:tab w:val="left" w:pos="993"/>
        </w:tabs>
        <w:ind w:left="0" w:firstLine="709"/>
        <w:contextualSpacing/>
        <w:rPr>
          <w:rFonts w:eastAsiaTheme="minorHAnsi"/>
        </w:rPr>
      </w:pPr>
      <w:r w:rsidRPr="00AB28FB">
        <w:rPr>
          <w:rFonts w:eastAsiaTheme="minorHAnsi"/>
        </w:rPr>
        <w:t xml:space="preserve">mokestinių nuostolių perėmimo iš vienetų grupės vienetų </w:t>
      </w:r>
      <w:r w:rsidRPr="00AB28FB">
        <w:rPr>
          <w:rFonts w:eastAsiaTheme="minorHAnsi"/>
          <w:color w:val="000000"/>
          <w:shd w:val="clear" w:color="auto" w:fill="FFFFFF"/>
        </w:rPr>
        <w:t>(PMĮ 56</w:t>
      </w:r>
      <w:r w:rsidRPr="00AB28FB">
        <w:rPr>
          <w:rFonts w:eastAsiaTheme="minorHAnsi"/>
          <w:color w:val="000000"/>
          <w:shd w:val="clear" w:color="auto" w:fill="FFFFFF"/>
          <w:vertAlign w:val="superscript"/>
        </w:rPr>
        <w:t>1</w:t>
      </w:r>
      <w:r w:rsidRPr="00AB28FB">
        <w:rPr>
          <w:rFonts w:eastAsiaTheme="minorHAnsi"/>
          <w:color w:val="000000"/>
          <w:shd w:val="clear" w:color="auto" w:fill="FFFFFF"/>
        </w:rPr>
        <w:t xml:space="preserve"> str.)</w:t>
      </w:r>
      <w:r w:rsidRPr="00AB28FB">
        <w:rPr>
          <w:rFonts w:eastAsiaTheme="minorHAnsi"/>
        </w:rPr>
        <w:t>;</w:t>
      </w:r>
    </w:p>
    <w:p w14:paraId="34471784" w14:textId="77777777" w:rsidR="00FC238C" w:rsidRPr="00AB28FB" w:rsidRDefault="00FC238C" w:rsidP="00EC4E29">
      <w:pPr>
        <w:numPr>
          <w:ilvl w:val="0"/>
          <w:numId w:val="59"/>
        </w:numPr>
        <w:tabs>
          <w:tab w:val="left" w:pos="993"/>
        </w:tabs>
        <w:ind w:left="0" w:firstLine="709"/>
        <w:contextualSpacing/>
        <w:rPr>
          <w:rFonts w:eastAsiaTheme="minorHAnsi"/>
        </w:rPr>
      </w:pPr>
      <w:r w:rsidRPr="00AB28FB">
        <w:rPr>
          <w:rFonts w:eastAsiaTheme="minorHAnsi"/>
        </w:rPr>
        <w:t xml:space="preserve">nuolatinės buveinės mokestinių nuostolių perėmimo </w:t>
      </w:r>
      <w:r w:rsidRPr="00AB28FB">
        <w:rPr>
          <w:rFonts w:eastAsiaTheme="minorHAnsi"/>
          <w:color w:val="000000"/>
          <w:shd w:val="clear" w:color="auto" w:fill="FFFFFF"/>
        </w:rPr>
        <w:t>(PMĮ 56</w:t>
      </w:r>
      <w:r w:rsidRPr="00AB28FB">
        <w:rPr>
          <w:rFonts w:eastAsiaTheme="minorHAnsi"/>
          <w:color w:val="000000"/>
          <w:shd w:val="clear" w:color="auto" w:fill="FFFFFF"/>
          <w:vertAlign w:val="superscript"/>
        </w:rPr>
        <w:t>2</w:t>
      </w:r>
      <w:r w:rsidRPr="00AB28FB">
        <w:rPr>
          <w:rFonts w:eastAsiaTheme="minorHAnsi"/>
          <w:color w:val="000000"/>
          <w:shd w:val="clear" w:color="auto" w:fill="FFFFFF"/>
        </w:rPr>
        <w:t xml:space="preserve"> str.)</w:t>
      </w:r>
      <w:r w:rsidRPr="00AB28FB">
        <w:rPr>
          <w:rFonts w:eastAsiaTheme="minorHAnsi"/>
        </w:rPr>
        <w:t>.</w:t>
      </w:r>
    </w:p>
    <w:p w14:paraId="265DED82" w14:textId="77777777" w:rsidR="00FC238C" w:rsidRPr="00AB28FB" w:rsidRDefault="00FC238C" w:rsidP="00FC238C">
      <w:pPr>
        <w:jc w:val="both"/>
        <w:rPr>
          <w:rFonts w:eastAsiaTheme="minorHAnsi"/>
          <w:color w:val="000000"/>
          <w:shd w:val="clear" w:color="auto" w:fill="FFFFFF"/>
        </w:rPr>
      </w:pPr>
    </w:p>
    <w:p w14:paraId="7C6D63CC" w14:textId="77777777" w:rsidR="004E443A" w:rsidRPr="004E443A" w:rsidRDefault="004E443A" w:rsidP="004E443A">
      <w:pPr>
        <w:ind w:firstLine="709"/>
        <w:jc w:val="both"/>
        <w:rPr>
          <w:b/>
          <w:lang w:val="lt-LT"/>
        </w:rPr>
      </w:pPr>
      <w:r w:rsidRPr="004E443A">
        <w:rPr>
          <w:b/>
          <w:lang w:val="lt-LT"/>
        </w:rPr>
        <w:t>4. Šio straipsnio taikymo tikslais į kredito įstaigos pajamas neįtraukiamos pozityviosios pajamos ir gauti dividendai.</w:t>
      </w:r>
    </w:p>
    <w:p w14:paraId="0B9A8592"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4202DA47"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027C9E07" w14:textId="77777777" w:rsidR="00FC238C"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Nustatant papildomo kredito įstaigų pelno mokesčio bazę, į kredito įstaigos pajamas neįtraukiamos pozityviosios pajamos ir gauti dividendai.</w:t>
      </w:r>
    </w:p>
    <w:p w14:paraId="01C729EB" w14:textId="77777777" w:rsidR="004E443A" w:rsidRDefault="004E443A" w:rsidP="00FC238C">
      <w:pPr>
        <w:tabs>
          <w:tab w:val="left" w:pos="720"/>
          <w:tab w:val="left" w:pos="1077"/>
          <w:tab w:val="left" w:pos="1418"/>
        </w:tabs>
        <w:ind w:firstLine="720"/>
        <w:jc w:val="both"/>
        <w:rPr>
          <w:rFonts w:eastAsiaTheme="minorHAnsi"/>
          <w:b/>
          <w:color w:val="000000"/>
          <w:shd w:val="clear" w:color="auto" w:fill="FFFFFF"/>
        </w:rPr>
      </w:pPr>
    </w:p>
    <w:p w14:paraId="509FD8C4" w14:textId="77777777" w:rsidR="004E443A" w:rsidRPr="004E443A" w:rsidRDefault="004E443A" w:rsidP="004E443A">
      <w:pPr>
        <w:tabs>
          <w:tab w:val="left" w:pos="720"/>
          <w:tab w:val="left" w:pos="1077"/>
          <w:tab w:val="left" w:pos="1418"/>
        </w:tabs>
        <w:jc w:val="both"/>
        <w:rPr>
          <w:b/>
          <w:lang w:val="lt-LT"/>
        </w:rPr>
      </w:pPr>
      <w:r w:rsidRPr="004E443A">
        <w:rPr>
          <w:b/>
          <w:lang w:val="lt-LT"/>
        </w:rPr>
        <w:tab/>
        <w:t>5. Papildomu kredito įstaigų pelno mokesčiu neapmokestinama šio straipsnio 2, 3 ir 4 dalyse nustatyta tvarka apskaičiuoto pelno dalis, neviršijanti 2 000 000 eurų.</w:t>
      </w:r>
    </w:p>
    <w:p w14:paraId="1F4BB11D"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35D67689"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7F8E26CE" w14:textId="77777777" w:rsidR="00FC238C" w:rsidRPr="00AB28FB" w:rsidRDefault="00FC238C" w:rsidP="00FC238C">
      <w:pPr>
        <w:ind w:firstLine="709"/>
        <w:jc w:val="both"/>
        <w:rPr>
          <w:rFonts w:eastAsiaTheme="minorHAnsi"/>
          <w:color w:val="000000"/>
        </w:rPr>
      </w:pPr>
      <w:r w:rsidRPr="00AB28FB">
        <w:rPr>
          <w:rFonts w:eastAsiaTheme="minorHAnsi"/>
          <w:color w:val="000000"/>
        </w:rPr>
        <w:t xml:space="preserve">Pagal  šios dalies nuostatas papildomu kredito įstaigų pelno mokesčiu apmokestinama tik šiame straipsnyje nustatyta tvarka apskaičiuota papildomu kredito įstaigų pelno mokesčiu apmokestinama pelno dalis, viršijanti 2 000 000 eurų sumą. </w:t>
      </w:r>
    </w:p>
    <w:p w14:paraId="0B73A027" w14:textId="77777777" w:rsidR="004E443A" w:rsidRPr="004E443A" w:rsidRDefault="004E443A" w:rsidP="004E443A">
      <w:pPr>
        <w:ind w:firstLine="709"/>
        <w:jc w:val="both"/>
        <w:rPr>
          <w:b/>
          <w:sz w:val="20"/>
          <w:lang w:val="lt-LT"/>
        </w:rPr>
      </w:pPr>
      <w:r w:rsidRPr="004E443A">
        <w:rPr>
          <w:b/>
          <w:lang w:val="lt-LT"/>
        </w:rPr>
        <w:t xml:space="preserve">6. Kredito įstaigos moka avansinį papildomą kredito įstaigų pelno mokestį. Pirmųjų dviejų mokestinio laikotarpio ketvirčių avansinis papildomas kredito įstaigų pelno mokestis sudaro po 1/4 už mokestinį laikotarpį, buvusį prieš praėjusį mokestinį laikotarpį, šiame straipsnyje nustatyta tvarka apskaičiuojamo papildomo kredito įstaigų pelno mokesčio sumos. Trečiojo ir ketvirtojo mokestinio laikotarpio ketvirčių avansinis papildomas kredito įstaigų pelno mokestis sudaro po 1/4 už praėjusį mokestinį laikotarpį šiame straipsnyje nustatyta tvarka apskaičiuojamo papildomo kredito įstaigų pelno mokesčio sumos. Pirmųjų dviejų mokestinio laikotarpio ketvirčių avansinio papildomo kredito įstaigų pelno mokesčio deklaracija pateikiama mokesčių administratoriui ne vėliau kaip mokestinio laikotarpio trečio mėnesio </w:t>
      </w:r>
      <w:r w:rsidRPr="004E443A">
        <w:rPr>
          <w:b/>
          <w:lang w:val="lt-LT"/>
        </w:rPr>
        <w:lastRenderedPageBreak/>
        <w:t>penkioliktą dieną. Trečiojo ir ketvirtojo mokestinio laikotarpio ketvirčių avansinio papildomo kredito įstaigų pelno mokesčio deklaracija pateikiama mokesčių administratoriui ne vėliau kaip mokestinio laikotarpio devinto mėnesio penkioliktą dieną. Avansinis papildomas kredito įstaigų pelno mokestis turi būti sumokėtas į valstybės biudžetą ne vėliau kaip kiekvieno mokestinio laikotarpio ketvirčio paskutinio mėnesio penkioliktą dieną.</w:t>
      </w:r>
    </w:p>
    <w:p w14:paraId="6DD3C09F" w14:textId="77777777" w:rsidR="004E443A" w:rsidRPr="00163F1E" w:rsidRDefault="004E443A" w:rsidP="004E443A">
      <w:pPr>
        <w:jc w:val="both"/>
        <w:rPr>
          <w:sz w:val="20"/>
          <w:szCs w:val="20"/>
          <w:lang w:val="lt-LT"/>
        </w:rPr>
      </w:pPr>
      <w:r w:rsidRPr="004E443A">
        <w:rPr>
          <w:lang w:val="lt-LT"/>
        </w:rPr>
        <w:t>(2021 12 07 įstatymu Nr. XIV-726 (nuo 2022 07 01; taikoma apskaičiuojant ir deklaruojant 2022 metų ir vėlesnių mokestinių laikotarpių apmokestinamąjį pelną)</w:t>
      </w:r>
    </w:p>
    <w:p w14:paraId="6F918666"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3CDDF3F6" w14:textId="77777777" w:rsidR="00FC238C" w:rsidRPr="00AB28FB" w:rsidRDefault="004E443A" w:rsidP="00FC238C">
      <w:pPr>
        <w:ind w:firstLine="720"/>
        <w:jc w:val="both"/>
        <w:rPr>
          <w:rFonts w:eastAsiaTheme="minorHAnsi"/>
        </w:rPr>
      </w:pPr>
      <w:r>
        <w:rPr>
          <w:rFonts w:eastAsiaTheme="minorHAnsi"/>
        </w:rPr>
        <w:t>1.    K</w:t>
      </w:r>
      <w:r w:rsidR="00FC238C" w:rsidRPr="00AB28FB">
        <w:rPr>
          <w:rFonts w:eastAsiaTheme="minorHAnsi"/>
        </w:rPr>
        <w:t xml:space="preserve">redito įstaigos </w:t>
      </w:r>
      <w:r w:rsidR="00FC238C" w:rsidRPr="00AB28FB">
        <w:rPr>
          <w:rFonts w:eastAsiaTheme="minorHAnsi"/>
          <w:color w:val="000000"/>
          <w:shd w:val="clear" w:color="auto" w:fill="FFFFFF"/>
        </w:rPr>
        <w:t>moka avansinį papildomą kredito įstaigų pelno mokestį</w:t>
      </w:r>
      <w:r w:rsidR="00FC238C" w:rsidRPr="00AB28FB">
        <w:rPr>
          <w:rFonts w:eastAsiaTheme="minorHAnsi"/>
        </w:rPr>
        <w:t>. Apskaičiuojamos einamųjų mokestinių metų I – II ketvirčių (pirmųjų šešių mėnesių) ir III-IV ketvirčių (septinto – dvylikto mėnesių) avansinės papildomo kredito įstaigų pelno mokesčio sumos.</w:t>
      </w:r>
    </w:p>
    <w:p w14:paraId="29E4F66A" w14:textId="77777777" w:rsidR="00FC238C" w:rsidRPr="00AB28FB" w:rsidRDefault="00FC238C" w:rsidP="00FC238C">
      <w:pPr>
        <w:ind w:firstLine="720"/>
        <w:jc w:val="both"/>
        <w:rPr>
          <w:rFonts w:eastAsiaTheme="minorHAnsi"/>
        </w:rPr>
      </w:pPr>
      <w:r w:rsidRPr="00AB28FB">
        <w:rPr>
          <w:rFonts w:eastAsiaTheme="minorHAnsi"/>
        </w:rPr>
        <w:t xml:space="preserve">1.1.    </w:t>
      </w:r>
      <w:r w:rsidRPr="00AB28FB">
        <w:rPr>
          <w:rFonts w:eastAsiaTheme="minorHAnsi"/>
          <w:color w:val="000000"/>
          <w:shd w:val="clear" w:color="auto" w:fill="FFFFFF"/>
        </w:rPr>
        <w:t xml:space="preserve">Pirmųjų dviejų mokestinio laikotarpio ketvirčių avansinis papildomas kredito įstaigų pelno mokestis sudaro po 1/4 už mokestinį laikotarpį, buvusį prieš praėjusį mokestinį laikotarpį, šiame straipsnyje nustatyta tvarka apskaičiuojamo papildomo kredito įstaigų pelno mokesčio sumos. </w:t>
      </w:r>
    </w:p>
    <w:p w14:paraId="4FCE1660"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 xml:space="preserve">Pirmųjų dviejų mokestinio laikotarpio ketvirčių avansinio papildomo kredito įstaigų pelno mokesčio deklaracija PLN211 pateikiama mokesčių administratoriui ne vėliau kaip mokestinio laikotarpio trečio mėnesio penkioliktą dieną. </w:t>
      </w:r>
    </w:p>
    <w:p w14:paraId="303D40DC"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rPr>
        <w:t xml:space="preserve">1.2.    </w:t>
      </w:r>
      <w:r w:rsidRPr="00AB28FB">
        <w:rPr>
          <w:rFonts w:eastAsiaTheme="minorHAnsi"/>
          <w:color w:val="000000"/>
          <w:shd w:val="clear" w:color="auto" w:fill="FFFFFF"/>
        </w:rPr>
        <w:t xml:space="preserve">Trečiojo ir ketvirtojo mokestinio laikotarpio ketvirčių avansinis papildomas kredito įstaigų pelno mokestis sudaro po 1/4 už praėjusį mokestinį laikotarpį šiame straipsnyje nustatyta tvarka apskaičiuojamo papildomo kredito įstaigų pelno mokesčio sumos. </w:t>
      </w:r>
    </w:p>
    <w:p w14:paraId="38EE058C"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 xml:space="preserve">Trečiojo ir ketvirtojo mokestinio laikotarpio ketvirčių avansinio papildomo kredito įstaigų pelno mokesčio deklaracija PLN211 pateikiama mokesčių administratoriui ne vėliau kaip mokestinio laikotarpio devinto mėnesio penkioliktą dieną. </w:t>
      </w:r>
    </w:p>
    <w:p w14:paraId="1E57AC98" w14:textId="77777777" w:rsidR="00FC238C" w:rsidRPr="00AB28FB" w:rsidRDefault="00FC238C" w:rsidP="00FC238C">
      <w:pPr>
        <w:ind w:firstLine="720"/>
        <w:jc w:val="both"/>
        <w:rPr>
          <w:rFonts w:eastAsiaTheme="minorHAnsi"/>
        </w:rPr>
      </w:pPr>
      <w:r w:rsidRPr="00AB28FB">
        <w:rPr>
          <w:rFonts w:eastAsiaTheme="minorHAnsi"/>
        </w:rPr>
        <w:t xml:space="preserve">2. Jeigu kredito įstaiga užpraėjusiais arba/ir praėjusiais mokestiniais metais neapskaičiavo papildomo pelno mokesčio sumos (apmokestinamojo papildomu pelno mokesčiu </w:t>
      </w:r>
      <w:r w:rsidRPr="00AB28FB">
        <w:rPr>
          <w:rFonts w:eastAsiaTheme="minorHAnsi"/>
          <w:color w:val="000000"/>
          <w:shd w:val="clear" w:color="auto" w:fill="FFFFFF"/>
        </w:rPr>
        <w:t>pelno dalis neviršijo 2 000 000 eurų; apskaičiuotas mokestinis nuostolis</w:t>
      </w:r>
      <w:r w:rsidRPr="00AB28FB">
        <w:rPr>
          <w:rFonts w:eastAsiaTheme="minorHAnsi"/>
        </w:rPr>
        <w:t xml:space="preserve">), tai ji einamųjų mokestinių metų I – II ketvirčių (pirmųjų šešių mėnesių) arba/ ir III-IV ketvirčių (septinto – dvylikto mėnesių) avansinio papildomo kredito įstaigų pelno mokesčio nemoka ir deklaracijos PLN211 neteikia. </w:t>
      </w:r>
    </w:p>
    <w:p w14:paraId="248509CE" w14:textId="77777777" w:rsidR="00FC238C" w:rsidRPr="00AB28FB" w:rsidRDefault="00FC238C" w:rsidP="00FC238C">
      <w:pPr>
        <w:ind w:firstLine="709"/>
        <w:jc w:val="both"/>
        <w:rPr>
          <w:rFonts w:eastAsiaTheme="minorHAnsi"/>
          <w:color w:val="000000"/>
          <w:shd w:val="clear" w:color="auto" w:fill="FFFFFF"/>
        </w:rPr>
      </w:pPr>
      <w:r w:rsidRPr="00AB28FB">
        <w:rPr>
          <w:rFonts w:eastAsiaTheme="minorHAnsi"/>
          <w:color w:val="000000"/>
          <w:shd w:val="clear" w:color="auto" w:fill="FFFFFF"/>
        </w:rPr>
        <w:t>3. Avansinis papildomas kredito įstaigų pelno mokestis turi būti sumokėtas į valstybės biudžetą ne vėliau kaip kiekvieno mokestinio laikotarpio ketvirčio paskutinio mėnesio penkioliktą dieną:</w:t>
      </w:r>
    </w:p>
    <w:p w14:paraId="1ED5DB5C"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 ketvirčio avansinis papildomas kredito įstaigų pelno mokestis turi būti sumokėtas iki kovo 15 dienos (jei mokestiniai metai nesutampa su kalendoriniais – iki trečiojo mokestinių metų mėnesio 15 dienos);</w:t>
      </w:r>
    </w:p>
    <w:p w14:paraId="0D4D22C1"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II ketvirčio – iki birželio 15 dienos (jei mokestiniai metai nesutampa su kalendoriniais – iki šeštojo mokestinių metų mėnesio 15 dienos);</w:t>
      </w:r>
    </w:p>
    <w:p w14:paraId="633B00C8" w14:textId="77777777" w:rsidR="00FC238C" w:rsidRPr="00AB28FB" w:rsidRDefault="00FC238C" w:rsidP="00FC238C">
      <w:pPr>
        <w:tabs>
          <w:tab w:val="left" w:pos="720"/>
          <w:tab w:val="left" w:pos="1077"/>
          <w:tab w:val="left" w:pos="1418"/>
        </w:tabs>
        <w:ind w:firstLine="709"/>
        <w:jc w:val="both"/>
        <w:rPr>
          <w:rFonts w:eastAsiaTheme="minorHAnsi"/>
          <w:color w:val="000000"/>
        </w:rPr>
      </w:pPr>
      <w:r w:rsidRPr="00AB28FB">
        <w:rPr>
          <w:rFonts w:eastAsiaTheme="minorHAnsi"/>
          <w:color w:val="000000"/>
        </w:rPr>
        <w:t>III ketvirčio – iki rugsėjo 15 dienos (jei mokestiniai metai nesutampa su kalendoriniais – iki devintojo mokestinių metų mėnesio 15 dienos);</w:t>
      </w:r>
    </w:p>
    <w:p w14:paraId="6999DB1C" w14:textId="77777777" w:rsidR="00FC238C" w:rsidRPr="00AB28FB" w:rsidRDefault="00FC238C" w:rsidP="00FC238C">
      <w:pPr>
        <w:tabs>
          <w:tab w:val="left" w:pos="720"/>
          <w:tab w:val="left" w:pos="1077"/>
          <w:tab w:val="left" w:pos="1418"/>
        </w:tabs>
        <w:ind w:firstLine="709"/>
        <w:jc w:val="both"/>
        <w:rPr>
          <w:rFonts w:eastAsiaTheme="minorHAnsi"/>
          <w:color w:val="C0C0C0"/>
        </w:rPr>
      </w:pPr>
      <w:r w:rsidRPr="00AB28FB">
        <w:rPr>
          <w:rFonts w:eastAsiaTheme="minorHAnsi"/>
          <w:color w:val="000000"/>
        </w:rPr>
        <w:t xml:space="preserve">IV ketvirčio – iki gruodžio 15 dienos (jei mokestiniai metai nesutampa su kalendoriniais – iki paskutiniojo (dvyliktojo) mokestinių metų mėnesio 15 dienos). </w:t>
      </w:r>
    </w:p>
    <w:p w14:paraId="4E77B4EF" w14:textId="77777777" w:rsidR="00FC238C" w:rsidRPr="00AB28FB" w:rsidRDefault="00FC238C" w:rsidP="00FC238C">
      <w:pPr>
        <w:tabs>
          <w:tab w:val="left" w:pos="720"/>
          <w:tab w:val="left" w:pos="1077"/>
          <w:tab w:val="left" w:pos="1418"/>
        </w:tabs>
        <w:ind w:firstLine="709"/>
        <w:jc w:val="both"/>
        <w:rPr>
          <w:rFonts w:eastAsiaTheme="minorHAnsi"/>
        </w:rPr>
      </w:pPr>
      <w:r w:rsidRPr="00AB28FB">
        <w:rPr>
          <w:rFonts w:eastAsiaTheme="minorHAnsi"/>
        </w:rPr>
        <w:tab/>
        <w:t xml:space="preserve">Jeigu paskutinė avansinio </w:t>
      </w:r>
      <w:r w:rsidRPr="00AB28FB">
        <w:rPr>
          <w:rFonts w:eastAsiaTheme="minorHAnsi"/>
          <w:color w:val="000000"/>
        </w:rPr>
        <w:t xml:space="preserve">papildomo kredito įstaigų </w:t>
      </w:r>
      <w:r w:rsidRPr="00AB28FB">
        <w:rPr>
          <w:rFonts w:eastAsiaTheme="minorHAnsi"/>
        </w:rPr>
        <w:t>pelno mokesčio mokėjimo diena mokesčio administratoriui yra ne darbo diena, šis mokestis turi būti sumokėtas kitą darbo dieną po nedarbo dienos (Lietuvos Respublikos mokesčių administravimo įstatymo 162 straipsnio 6 dalis).</w:t>
      </w:r>
    </w:p>
    <w:p w14:paraId="61652703" w14:textId="77777777" w:rsidR="00985E8C" w:rsidRPr="00985E8C" w:rsidRDefault="00985E8C" w:rsidP="00985E8C">
      <w:pPr>
        <w:ind w:firstLine="709"/>
        <w:jc w:val="both"/>
        <w:rPr>
          <w:b/>
          <w:sz w:val="20"/>
          <w:lang w:val="lt-LT"/>
        </w:rPr>
      </w:pPr>
      <w:r w:rsidRPr="00985E8C">
        <w:rPr>
          <w:b/>
          <w:lang w:val="lt-LT"/>
        </w:rPr>
        <w:lastRenderedPageBreak/>
        <w:t>7. Kredito įstaigos atleidžiamos nuo avansinio papildomo kredito įstaigų pelno mokesčio mokėjimo už pirmąjį mokestinį laikotarpį, kaip jis suprantamas pagal šio Įstatymo 6 straipsnio 3 dalį, o antrąjį mokestinį laikotarpį avansinis papildomas kredito įstaigų pelno mokestis pradedamas mokėti nuo trečiojo ketvirčio. Jeigu mokestinis laikotarpis, buvęs prieš praėjusį mokestinį laikotarpį, buvo trumpesnis negu dvylika mėnesių, apskaičiuojant avansinį papildomą kredito įstaigų pelno mokestį už tą mokestinį laikotarpį šiame straipsnyje nustatyta tvarka apskaičiuojamo papildomo kredito įstaigų pelno mokesčio suma dalijama iš to mokestinio laikotarpio mėnesių skaičiaus ir dauginama iš dvylikos.</w:t>
      </w:r>
    </w:p>
    <w:p w14:paraId="00969767"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2C3B00D1"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6E9B26D1" w14:textId="77777777" w:rsidR="00FC238C" w:rsidRPr="00AB28FB" w:rsidRDefault="00FC238C" w:rsidP="00FC238C">
      <w:pPr>
        <w:ind w:firstLine="720"/>
        <w:jc w:val="both"/>
        <w:rPr>
          <w:rFonts w:eastAsiaTheme="minorHAnsi"/>
          <w:color w:val="000000"/>
          <w:shd w:val="clear" w:color="auto" w:fill="FFFFFF"/>
        </w:rPr>
      </w:pPr>
      <w:r w:rsidRPr="00985E8C">
        <w:rPr>
          <w:rFonts w:eastAsiaTheme="minorHAnsi"/>
          <w:color w:val="000000"/>
          <w:sz w:val="22"/>
          <w:szCs w:val="22"/>
        </w:rPr>
        <w:t>1</w:t>
      </w:r>
      <w:r w:rsidRPr="00985E8C">
        <w:rPr>
          <w:rFonts w:eastAsiaTheme="minorHAnsi"/>
          <w:color w:val="000000"/>
          <w:shd w:val="clear" w:color="auto" w:fill="FFFFFF"/>
        </w:rPr>
        <w:t>.</w:t>
      </w:r>
      <w:r w:rsidR="00985E8C">
        <w:rPr>
          <w:rFonts w:eastAsiaTheme="minorHAnsi"/>
          <w:color w:val="000000"/>
          <w:shd w:val="clear" w:color="auto" w:fill="FFFFFF"/>
        </w:rPr>
        <w:t xml:space="preserve"> </w:t>
      </w:r>
      <w:r w:rsidRPr="00AB28FB">
        <w:rPr>
          <w:rFonts w:eastAsiaTheme="minorHAnsi"/>
          <w:color w:val="000000"/>
          <w:shd w:val="clear" w:color="auto" w:fill="FFFFFF"/>
        </w:rPr>
        <w:t>Einamaisiais mokestiniais metais įregistruotos naujos kredito įstaigos avansinio papildomo pelno mokesčio mokėti neprivalo. Taip pat nemoka ir antrųjų mokestinių metų (einančių po mokestinių metų, kuriais kredito įstaiga buvo įregistruota) I - II ketvirčių avansinio papildomo pelno mokesčio. Antrąjį mokestinį laikotarpį avansinis papildomas kredito įstaigų pelno mokestis pradedamas mokėti nuo trečiojo ketvirčio.</w:t>
      </w:r>
    </w:p>
    <w:p w14:paraId="512D23E9" w14:textId="77777777" w:rsidR="00FC238C" w:rsidRPr="00AB28FB" w:rsidRDefault="00FC238C" w:rsidP="00FC238C">
      <w:pPr>
        <w:ind w:firstLine="720"/>
        <w:jc w:val="both"/>
        <w:rPr>
          <w:rFonts w:eastAsiaTheme="minorHAnsi"/>
          <w:color w:val="000000"/>
          <w:shd w:val="clear" w:color="auto" w:fill="FFFFFF"/>
        </w:rPr>
      </w:pPr>
      <w:r w:rsidRPr="00AB28FB">
        <w:rPr>
          <w:rFonts w:eastAsiaTheme="minorHAnsi"/>
          <w:color w:val="000000"/>
          <w:shd w:val="clear" w:color="auto" w:fill="FFFFFF"/>
        </w:rPr>
        <w:t>2. Jeigu mokestinis laikotarpis, buvęs prieš praėjusį mokestinį laikotarpį, buvo trumpesnis negu 12 mėnesių, apskaičiuojant avansinį papildomą kredito įstaigų pelno mokestį už tą mokestinį laikotarpį šiame straipsnyje nustatyta tvarka apskaičiuojamo papildomo kredito įstaigų pelno mokesčio suma padalijama iš to mokestinio laikotarpio mėnesių skaičiaus ir padauginama iš dvylikos.</w:t>
      </w:r>
    </w:p>
    <w:p w14:paraId="4BC78D2B" w14:textId="77777777" w:rsidR="00985E8C" w:rsidRPr="00985E8C" w:rsidRDefault="00985E8C" w:rsidP="00985E8C">
      <w:pPr>
        <w:ind w:firstLine="720"/>
        <w:jc w:val="both"/>
        <w:rPr>
          <w:b/>
          <w:sz w:val="20"/>
          <w:lang w:val="lt-LT"/>
        </w:rPr>
      </w:pPr>
      <w:r w:rsidRPr="00985E8C">
        <w:rPr>
          <w:b/>
          <w:lang w:val="lt-LT"/>
        </w:rPr>
        <w:t>8. Metinė papildomo kredito įstaigų pelno mokesčio deklaracija pateikiama mokesčių administratoriui iki kito mokestinio laikotarpio šešto mėnesio penkioliktos dienos. Jeigu metinėje mokestinio laikotarpio papildomo kredito įstaigų pelno mokesčio deklaracijoje nurodyta pelno mokesčio suma viršija sumokėtą to mokestinio laikotarpio avansinio papildomo kredito įstaigų pelno mokesčio sumą, apskaičiuotas skirtumas sumokamas į valstybės biudžetą iki kito mokestinio laikotarpio šešto mėnesio penkioliktos dienos. Mokesčio permoka grąžinama Mokesčių administravimo įstatymo nustatyta tvarka. Paskutinio mokestinio laikotarpio papildomo kredito įstaigų pelno mokesčio deklaracija pateikiama ir mokestis sumokamas per 30 dienų nuo veiklos pabaigos.</w:t>
      </w:r>
    </w:p>
    <w:p w14:paraId="417F7733"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520CAB6E"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4B1974E0" w14:textId="77777777" w:rsidR="00FC238C" w:rsidRPr="00AB28FB" w:rsidRDefault="00FC238C" w:rsidP="00FC238C">
      <w:pPr>
        <w:ind w:right="-79" w:firstLine="720"/>
        <w:jc w:val="both"/>
        <w:rPr>
          <w:rFonts w:eastAsiaTheme="minorHAnsi"/>
        </w:rPr>
      </w:pPr>
      <w:r w:rsidRPr="00AB28FB">
        <w:rPr>
          <w:rFonts w:eastAsiaTheme="minorHAnsi"/>
        </w:rPr>
        <w:t xml:space="preserve">1. Metiniam papildomam kredito įstaigų pelno mokesčiui deklaruoti naudojama VMI prie FM viršininko 2007 m. sausio 15 d. įsakymu Nr. VA-2 patvirtinta metinė pelno mokesčio deklaracijos PLN204 forma. </w:t>
      </w:r>
    </w:p>
    <w:p w14:paraId="2AA58E04" w14:textId="77777777" w:rsidR="00FC238C" w:rsidRPr="00AB28FB" w:rsidRDefault="00FC238C" w:rsidP="00FC238C">
      <w:pPr>
        <w:ind w:right="-79" w:firstLine="720"/>
        <w:jc w:val="both"/>
        <w:rPr>
          <w:rFonts w:eastAsiaTheme="minorHAnsi"/>
          <w:color w:val="000000"/>
          <w:shd w:val="clear" w:color="auto" w:fill="FFFFFF"/>
        </w:rPr>
      </w:pPr>
      <w:r w:rsidRPr="00AB28FB">
        <w:rPr>
          <w:rFonts w:eastAsiaTheme="minorHAnsi"/>
        </w:rPr>
        <w:t xml:space="preserve">2. </w:t>
      </w:r>
      <w:r w:rsidRPr="00AB28FB">
        <w:rPr>
          <w:rFonts w:eastAsiaTheme="minorHAnsi"/>
          <w:color w:val="000000"/>
          <w:shd w:val="clear" w:color="auto" w:fill="FFFFFF"/>
        </w:rPr>
        <w:t xml:space="preserve">Jeigu metinėje mokestinio laikotarpio pelno mokesčio deklaracijoje apskaičiuota papildomo kredito įstaigų pelno mokesčio suma viršija sumokėtą to mokestinio laikotarpio avansinio papildomo kredito įstaigų pelno mokesčio sumą, apskaičiuotas skirtumas sumokamas į valstybės biudžetą iki kito mokestinio laikotarpio šešto mėnesio penkioliktos dienos </w:t>
      </w:r>
      <w:r w:rsidRPr="00AB28FB">
        <w:rPr>
          <w:rFonts w:eastAsiaTheme="minorHAnsi"/>
        </w:rPr>
        <w:t>(jei mokestinis laikotarpis sutampa su kalendoriniais metais, tai ši diena bus birželio 15 diena).</w:t>
      </w:r>
      <w:r w:rsidRPr="00AB28FB">
        <w:rPr>
          <w:rFonts w:eastAsiaTheme="minorHAnsi"/>
          <w:color w:val="000000"/>
          <w:shd w:val="clear" w:color="auto" w:fill="FFFFFF"/>
        </w:rPr>
        <w:t xml:space="preserve"> </w:t>
      </w:r>
    </w:p>
    <w:p w14:paraId="2C4604B9" w14:textId="77777777" w:rsidR="00FC238C" w:rsidRPr="00AB28FB" w:rsidRDefault="00FC238C" w:rsidP="00FC238C">
      <w:pPr>
        <w:ind w:right="-79" w:firstLine="720"/>
        <w:jc w:val="both"/>
        <w:rPr>
          <w:rFonts w:eastAsiaTheme="minorHAnsi"/>
        </w:rPr>
      </w:pPr>
      <w:r w:rsidRPr="00AB28FB">
        <w:rPr>
          <w:rFonts w:eastAsiaTheme="minorHAnsi"/>
        </w:rPr>
        <w:t xml:space="preserve">3. Tuo atveju, kai kredito įstaiga pasibaigus mokestiniam laikotarpiui apskaičiuoja, kad sumokėta avansinio papildomo pelno mokesčio suma yra didesnė už to mokestinio laikotarpio apskaičiuotą papildomo pelno mokesčio sumą, tai pagal Mokesčių administravimo įstatymo 87 </w:t>
      </w:r>
      <w:r w:rsidRPr="00AB28FB">
        <w:rPr>
          <w:rFonts w:eastAsiaTheme="minorHAnsi"/>
        </w:rPr>
        <w:lastRenderedPageBreak/>
        <w:t xml:space="preserve">straipsnį ši kredito įstaiga gali kreiptis į mokesčių administratorių, kad sumokėtoji per didelė avansinio papildomo pelno mokesčio suma jam būtų grąžinta. </w:t>
      </w:r>
    </w:p>
    <w:p w14:paraId="152FFBCF" w14:textId="77777777" w:rsidR="00FC238C" w:rsidRPr="00AB28FB" w:rsidRDefault="00FC238C" w:rsidP="00FC238C">
      <w:pPr>
        <w:ind w:right="-79" w:firstLine="720"/>
        <w:jc w:val="both"/>
        <w:rPr>
          <w:rFonts w:eastAsiaTheme="minorHAnsi"/>
          <w:color w:val="000000"/>
          <w:shd w:val="clear" w:color="auto" w:fill="FFFFFF"/>
        </w:rPr>
      </w:pPr>
      <w:r w:rsidRPr="00AB28FB">
        <w:rPr>
          <w:rFonts w:eastAsiaTheme="minorHAnsi"/>
          <w:color w:val="000000"/>
          <w:shd w:val="clear" w:color="auto" w:fill="FFFFFF"/>
        </w:rPr>
        <w:t>4. Veiklą baigiančių kredito įstaigų papildomas pelno mokestis pagal paskutinio mokestinio laikotarpio metines pelno mokesčio deklaracijas turi būti sumokėtas ne vėliau kaip paskutinę metinės pelno mokesčio deklaracijos pateikimo dieną, t. y. per 30 dienų nuo veiklos pabaigos.</w:t>
      </w:r>
    </w:p>
    <w:p w14:paraId="6CDBFC6D" w14:textId="77777777" w:rsidR="00985E8C" w:rsidRPr="00985E8C" w:rsidRDefault="00985E8C" w:rsidP="00985E8C">
      <w:pPr>
        <w:suppressAutoHyphens/>
        <w:ind w:firstLine="720"/>
        <w:jc w:val="both"/>
        <w:rPr>
          <w:b/>
          <w:sz w:val="20"/>
          <w:szCs w:val="20"/>
          <w:lang w:val="lt-LT"/>
        </w:rPr>
      </w:pPr>
      <w:r w:rsidRPr="00985E8C">
        <w:rPr>
          <w:b/>
          <w:lang w:val="lt-LT"/>
        </w:rPr>
        <w:t xml:space="preserve">9. Papildomo </w:t>
      </w:r>
      <w:r w:rsidRPr="00985E8C">
        <w:rPr>
          <w:b/>
          <w:color w:val="000000"/>
          <w:lang w:val="lt-LT"/>
        </w:rPr>
        <w:t>kredito įstaigų pelno mokesčio ir avansinio papildomo kredito įstaigų pelno mokesčio deklaracijų formas, jų pildymo tvarką, kartu su deklaracijomis reikalaujamus pateikti kitus duomenis nustato centrinis mokesčių administratorius.</w:t>
      </w:r>
    </w:p>
    <w:p w14:paraId="4E6FE5B2" w14:textId="77777777" w:rsidR="00985E8C" w:rsidRPr="00163F1E" w:rsidRDefault="00985E8C" w:rsidP="00985E8C">
      <w:pPr>
        <w:jc w:val="both"/>
        <w:rPr>
          <w:sz w:val="20"/>
          <w:szCs w:val="20"/>
          <w:lang w:val="lt-LT"/>
        </w:rPr>
      </w:pPr>
      <w:r w:rsidRPr="00985E8C">
        <w:rPr>
          <w:lang w:val="lt-LT"/>
        </w:rPr>
        <w:t>(2021 12 07 įstatymu Nr. XIV-726 (nuo 2022 07 01; taikoma apskaičiuojant ir deklaruojant 2022 metų ir vėlesnių mokestinių laikotarpių apmokestinamąjį pelną)</w:t>
      </w:r>
    </w:p>
    <w:p w14:paraId="35CBC07F" w14:textId="77777777" w:rsidR="00FC238C" w:rsidRPr="00AB28FB" w:rsidRDefault="00FC238C" w:rsidP="00FC238C">
      <w:pPr>
        <w:tabs>
          <w:tab w:val="left" w:pos="720"/>
          <w:tab w:val="left" w:pos="1077"/>
          <w:tab w:val="left" w:pos="1418"/>
        </w:tabs>
        <w:ind w:firstLine="720"/>
        <w:jc w:val="both"/>
        <w:rPr>
          <w:rFonts w:eastAsiaTheme="minorHAnsi"/>
          <w:b/>
          <w:color w:val="000000"/>
          <w:shd w:val="clear" w:color="auto" w:fill="FFFFFF"/>
        </w:rPr>
      </w:pPr>
      <w:r w:rsidRPr="00AB28FB">
        <w:rPr>
          <w:rFonts w:eastAsiaTheme="minorHAnsi"/>
          <w:b/>
          <w:color w:val="000000"/>
          <w:shd w:val="clear" w:color="auto" w:fill="FFFFFF"/>
        </w:rPr>
        <w:t>Komentaras</w:t>
      </w:r>
    </w:p>
    <w:p w14:paraId="64A49204" w14:textId="77777777" w:rsidR="00FC238C" w:rsidRPr="00AB28FB" w:rsidRDefault="00FC238C" w:rsidP="00FC238C">
      <w:pPr>
        <w:tabs>
          <w:tab w:val="left" w:pos="720"/>
          <w:tab w:val="left" w:pos="1077"/>
          <w:tab w:val="left" w:pos="1418"/>
        </w:tabs>
        <w:ind w:firstLine="720"/>
        <w:jc w:val="both"/>
        <w:rPr>
          <w:rFonts w:eastAsiaTheme="minorHAnsi"/>
        </w:rPr>
      </w:pPr>
      <w:r w:rsidRPr="00144FDF">
        <w:rPr>
          <w:rFonts w:eastAsiaTheme="minorHAnsi"/>
          <w:sz w:val="22"/>
          <w:szCs w:val="22"/>
        </w:rPr>
        <w:t>1</w:t>
      </w:r>
      <w:r w:rsidRPr="00AB28FB">
        <w:rPr>
          <w:rFonts w:eastAsiaTheme="minorHAnsi"/>
        </w:rPr>
        <w:t xml:space="preserve">. Avansiniam papildomam kredito įstaigų pelno mokesčiui deklaruoti naudojama VMI prie FM viršininko 2020 m. vasario 12 d. </w:t>
      </w:r>
      <w:r w:rsidRPr="00AB28FB">
        <w:rPr>
          <w:rFonts w:eastAsiaTheme="minorHAnsi"/>
          <w:b/>
          <w:bCs/>
          <w:kern w:val="36"/>
        </w:rPr>
        <w:t>įsakymu Nr. VA-14</w:t>
      </w:r>
      <w:r w:rsidRPr="00AB28FB">
        <w:rPr>
          <w:rFonts w:eastAsiaTheme="minorHAnsi"/>
        </w:rPr>
        <w:t xml:space="preserve"> patvirtinta Avansinio papildomo kredito įstaigų pelno mokesčio deklaracijos PLN211 forma. </w:t>
      </w:r>
    </w:p>
    <w:p w14:paraId="1882810B" w14:textId="77777777" w:rsidR="00FC238C" w:rsidRPr="00AB28FB" w:rsidRDefault="00FC238C" w:rsidP="00FC238C">
      <w:pPr>
        <w:ind w:right="-79" w:firstLine="720"/>
        <w:jc w:val="both"/>
        <w:rPr>
          <w:rFonts w:eastAsiaTheme="minorHAnsi"/>
        </w:rPr>
      </w:pPr>
      <w:r w:rsidRPr="00AB28FB">
        <w:rPr>
          <w:rFonts w:eastAsiaTheme="minorHAnsi"/>
        </w:rPr>
        <w:t xml:space="preserve">2. Papildomam kredito įstaigų pelno mokesčiui deklaruoti naudojama VMI prie FM viršininko 2007 m. sausio 15 d. įsakymu Nr. VA-2 patvirtinta metinė pelno mokesčio deklaracijos PLN204 forma. </w:t>
      </w:r>
    </w:p>
    <w:p w14:paraId="619D3173" w14:textId="77777777" w:rsidR="00985E8C" w:rsidRDefault="00985E8C" w:rsidP="00266BE3">
      <w:pPr>
        <w:pStyle w:val="Antrat1"/>
        <w:spacing w:after="0"/>
        <w:jc w:val="both"/>
        <w:rPr>
          <w:rFonts w:ascii="Times New Roman" w:hAnsi="Times New Roman"/>
          <w:bCs w:val="0"/>
          <w:lang w:val="lt-LT"/>
        </w:rPr>
      </w:pPr>
      <w:bookmarkStart w:id="538" w:name="_39_straipsnis._Kontroliuojamųjų_"/>
      <w:bookmarkEnd w:id="538"/>
    </w:p>
    <w:p w14:paraId="667EFA4B" w14:textId="77777777" w:rsidR="00093845" w:rsidRDefault="000D779E" w:rsidP="00266BE3">
      <w:pPr>
        <w:pStyle w:val="Antrat1"/>
        <w:spacing w:after="0"/>
        <w:jc w:val="both"/>
        <w:rPr>
          <w:rFonts w:ascii="Times New Roman" w:hAnsi="Times New Roman"/>
          <w:bCs w:val="0"/>
          <w:lang w:val="lt-LT"/>
        </w:rPr>
      </w:pPr>
      <w:r>
        <w:rPr>
          <w:rFonts w:ascii="Times New Roman" w:hAnsi="Times New Roman"/>
          <w:bCs w:val="0"/>
          <w:lang w:val="lt-LT"/>
        </w:rPr>
        <w:t xml:space="preserve">           39 STRAIPSNIS. Kontroliuojamųjų užsienio vienetų pajamų apmokestinimas</w:t>
      </w:r>
    </w:p>
    <w:p w14:paraId="3054F034" w14:textId="77777777" w:rsidR="00266BE3" w:rsidRPr="0014647B" w:rsidRDefault="00266BE3" w:rsidP="00266BE3">
      <w:pPr>
        <w:spacing w:after="0"/>
        <w:rPr>
          <w:i/>
          <w:lang w:val="lt-LT"/>
        </w:rPr>
      </w:pPr>
      <w:r w:rsidRPr="0014647B">
        <w:rPr>
          <w:i/>
          <w:lang w:val="lt-LT"/>
        </w:rPr>
        <w:t>(KEISTA: 2018 12 06 įstatymu Nr. XIII-1697 (nuo 2019 01 01))</w:t>
      </w:r>
    </w:p>
    <w:p w14:paraId="458FD661" w14:textId="77777777" w:rsidR="00266BE3" w:rsidRPr="0014647B" w:rsidRDefault="00266BE3" w:rsidP="001D16EE">
      <w:pPr>
        <w:spacing w:after="0"/>
        <w:jc w:val="both"/>
        <w:rPr>
          <w:b/>
          <w:bCs/>
          <w:i/>
        </w:rPr>
      </w:pPr>
    </w:p>
    <w:p w14:paraId="3A2018C3" w14:textId="77777777" w:rsidR="00093845" w:rsidRPr="00CE6C73" w:rsidRDefault="000D779E" w:rsidP="00266BE3">
      <w:pPr>
        <w:spacing w:after="0"/>
        <w:ind w:firstLine="720"/>
        <w:jc w:val="both"/>
        <w:rPr>
          <w:b/>
          <w:bCs/>
          <w:color w:val="000000"/>
          <w:lang w:eastAsia="lt-LT"/>
        </w:rPr>
      </w:pPr>
      <w:r w:rsidRPr="00CE6C73">
        <w:rPr>
          <w:b/>
          <w:bCs/>
        </w:rPr>
        <w:t xml:space="preserve">1. </w:t>
      </w:r>
      <w:r w:rsidRPr="00CE6C73">
        <w:rPr>
          <w:b/>
          <w:bCs/>
          <w:color w:val="000000"/>
          <w:lang w:eastAsia="lt-LT"/>
        </w:rPr>
        <w:t>Pozityviosios pajamos yra apmokestinamos pagal šio straipsnio nuostatas, jeigu:</w:t>
      </w:r>
    </w:p>
    <w:p w14:paraId="7C62BC4A"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1) kontroliuojamasis užsienio vienetas yra įregistruotas ar kitaip organizuotas tikslinėje teritorijoje arba</w:t>
      </w:r>
    </w:p>
    <w:p w14:paraId="72DE5FB6"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2) kontroliuojamojo užsienio subjekto pasyviosios pajamos viršija 1/3 visų to kontroliuojamojo užsienio subjekto mokestinio laikotarpio pajamų ir</w:t>
      </w:r>
    </w:p>
    <w:p w14:paraId="580ABAA2"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3) kontroliuojamojo užsienio subjekto</w:t>
      </w:r>
      <w:r w:rsidRPr="00CE6C73">
        <w:rPr>
          <w:b/>
          <w:bCs/>
          <w:lang w:eastAsia="lt-LT"/>
        </w:rPr>
        <w:t xml:space="preserve"> </w:t>
      </w:r>
      <w:r w:rsidRPr="00CE6C73">
        <w:rPr>
          <w:b/>
          <w:bCs/>
          <w:color w:val="000000"/>
          <w:lang w:eastAsia="lt-LT"/>
        </w:rPr>
        <w:t>faktinis pelno mokestis, apskaičiuotas nuo to kontroliuojamojo užsienio subjekto pajamų pagal toje užsienio valstybėje taikomas pelno mokesčio ar jam tapataus mokesčio taisykles, yra mažesnis negu 50 procentų faktinio pelno mokesčio, kuris būtų apskaičiuotas nuo to kontroliuojamojo užsienio subjekto pajamų pagal šio Įstatymo nuostatas. Taikant šį punktą, neatsižvelgiama į kontroliuojamojo užsienio vieneto per nuolatinę buveinę kitoje užsienio valstybėje uždirbtas pajamas, kurios nėra apmokestinamos užsienio valstybėje, kurioje įregistruotas ar kitaip organizuotas kontroliuojamasis užsienio vienetas. Taikant šį punktą, į pozityviąsias pajamas įtraukiamos tik kontroliuojamojo užsienio subjekto</w:t>
      </w:r>
      <w:r w:rsidRPr="00CE6C73">
        <w:rPr>
          <w:b/>
          <w:bCs/>
          <w:lang w:eastAsia="lt-LT"/>
        </w:rPr>
        <w:t xml:space="preserve"> pasyviosios pajamos.</w:t>
      </w:r>
    </w:p>
    <w:p w14:paraId="2EA6B9E3" w14:textId="77777777" w:rsidR="00093845" w:rsidRPr="00CE6C73" w:rsidRDefault="000D779E" w:rsidP="001D16EE">
      <w:pPr>
        <w:spacing w:after="0"/>
        <w:ind w:firstLine="720"/>
        <w:jc w:val="both"/>
        <w:rPr>
          <w:b/>
          <w:bCs/>
          <w:lang w:eastAsia="lt-LT"/>
        </w:rPr>
      </w:pPr>
      <w:r w:rsidRPr="00CE6C73">
        <w:rPr>
          <w:b/>
          <w:bCs/>
          <w:color w:val="000000"/>
          <w:lang w:eastAsia="lt-LT"/>
        </w:rPr>
        <w:t xml:space="preserve">2. </w:t>
      </w:r>
      <w:r w:rsidRPr="00CE6C73">
        <w:rPr>
          <w:b/>
          <w:bCs/>
          <w:lang w:eastAsia="lt-LT"/>
        </w:rPr>
        <w:t xml:space="preserve">Šio straipsnio nuostatos netaikomos tais atvejais, kai </w:t>
      </w:r>
      <w:r w:rsidRPr="00CE6C73">
        <w:rPr>
          <w:b/>
          <w:bCs/>
          <w:color w:val="000000"/>
          <w:lang w:eastAsia="lt-LT"/>
        </w:rPr>
        <w:t>kontroliuojamasis užsienio subjektas, atitinkantis šio straipsnio 1 dalies 2 ir 3 punktuose nurodytas sąlygas,</w:t>
      </w:r>
      <w:r w:rsidRPr="00CE6C73">
        <w:rPr>
          <w:b/>
          <w:bCs/>
          <w:lang w:eastAsia="lt-LT"/>
        </w:rPr>
        <w:t xml:space="preserve"> </w:t>
      </w:r>
      <w:r w:rsidRPr="00CE6C73">
        <w:rPr>
          <w:b/>
          <w:bCs/>
          <w:color w:val="000000"/>
          <w:lang w:eastAsia="lt-LT"/>
        </w:rPr>
        <w:t>turi darbuotojų ir naudoja turtą faktinei ekonominei veiklai užtikrinti valstybėje, kurioje šis kontroliuojamasis užsienio subjektas įregistruotas ar kitaip organizuotas.</w:t>
      </w:r>
    </w:p>
    <w:p w14:paraId="4D35F58F"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 xml:space="preserve">3. Pasyviosiomis pajamomis pagal šį straipsnį laikoma: </w:t>
      </w:r>
    </w:p>
    <w:p w14:paraId="2A1A3C5A"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1) palūkanos ir kitos iš finansinio turto gaunamos pajamos;</w:t>
      </w:r>
    </w:p>
    <w:p w14:paraId="4B8A1486"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2) honorarai ir bet kurios kitos pajamos iš intelektinės nuosavybės;</w:t>
      </w:r>
    </w:p>
    <w:p w14:paraId="0B422BA1"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3) pajamos iš paskirstytinojo pelno (įskaitant iš kitų vienetų gautus dividendus ir Lietuvos vienetui paskirstytus, bet neišmokėtus dividendus) ir turto vertės padidėjimo pajamos iš akcijų (dalių, pajų), balsavimo teisių ar teisių į paskirstytinojo pelno dalį arba išimtinių teisių jas įsigyti perleidimo;</w:t>
      </w:r>
    </w:p>
    <w:p w14:paraId="049075E4" w14:textId="77777777" w:rsidR="00093845" w:rsidRPr="00CE6C73" w:rsidRDefault="000D779E" w:rsidP="001D16EE">
      <w:pPr>
        <w:spacing w:after="0"/>
        <w:ind w:firstLine="720"/>
        <w:jc w:val="both"/>
        <w:rPr>
          <w:b/>
          <w:bCs/>
          <w:color w:val="000000"/>
          <w:lang w:eastAsia="lt-LT"/>
        </w:rPr>
      </w:pPr>
      <w:r w:rsidRPr="00CE6C73">
        <w:rPr>
          <w:b/>
          <w:bCs/>
          <w:color w:val="000000"/>
          <w:lang w:eastAsia="lt-LT"/>
        </w:rPr>
        <w:t>4) pajamos iš draudimo ir finansinių paslaugų teikimo veiklos;</w:t>
      </w:r>
    </w:p>
    <w:p w14:paraId="35075A5C" w14:textId="77777777" w:rsidR="00093845" w:rsidRPr="00CE6C73" w:rsidRDefault="000D779E" w:rsidP="001D16EE">
      <w:pPr>
        <w:spacing w:after="0"/>
        <w:ind w:firstLine="720"/>
        <w:jc w:val="both"/>
        <w:rPr>
          <w:b/>
          <w:bCs/>
          <w:lang w:eastAsia="lt-LT"/>
        </w:rPr>
      </w:pPr>
      <w:r w:rsidRPr="00CE6C73">
        <w:rPr>
          <w:b/>
          <w:bCs/>
          <w:lang w:eastAsia="lt-LT"/>
        </w:rPr>
        <w:lastRenderedPageBreak/>
        <w:t>5) vienetų, kurie gauna su prekių tiekimu ir paslaugų teikimu susijusių pajamų iš prekių ir paslaugų, įsigytų iš susijusių asmenų ir jiems parduotų, nesukurdami pridėtinės ekonominės vertės arba sukurdami nedidelę pridėtinę ekonominę vertę, pajamos.</w:t>
      </w:r>
    </w:p>
    <w:p w14:paraId="76224D8A" w14:textId="77777777" w:rsidR="00093845" w:rsidRPr="00CE6C73" w:rsidRDefault="000D779E" w:rsidP="001D16EE">
      <w:pPr>
        <w:spacing w:after="0"/>
        <w:ind w:firstLine="720"/>
        <w:jc w:val="both"/>
        <w:rPr>
          <w:b/>
          <w:bCs/>
          <w:lang w:eastAsia="lt-LT"/>
        </w:rPr>
      </w:pPr>
      <w:r w:rsidRPr="00CE6C73">
        <w:rPr>
          <w:b/>
          <w:bCs/>
          <w:color w:val="000000"/>
          <w:lang w:eastAsia="lt-LT"/>
        </w:rPr>
        <w:t xml:space="preserve">4. </w:t>
      </w:r>
      <w:r w:rsidRPr="00CE6C73">
        <w:rPr>
          <w:b/>
          <w:bCs/>
          <w:lang w:eastAsia="lt-LT"/>
        </w:rPr>
        <w:t>Į pozityviąsias pajamas neįtraukiama:</w:t>
      </w:r>
    </w:p>
    <w:p w14:paraId="1D05AA56" w14:textId="77777777" w:rsidR="00093845" w:rsidRPr="00CE6C73" w:rsidRDefault="000D779E" w:rsidP="001D16EE">
      <w:pPr>
        <w:spacing w:after="0"/>
        <w:ind w:firstLine="720"/>
        <w:jc w:val="both"/>
        <w:rPr>
          <w:b/>
          <w:bCs/>
          <w:color w:val="000000"/>
          <w:lang w:eastAsia="lt-LT"/>
        </w:rPr>
      </w:pPr>
      <w:r w:rsidRPr="00CE6C73">
        <w:rPr>
          <w:b/>
          <w:bCs/>
          <w:lang w:eastAsia="lt-LT"/>
        </w:rPr>
        <w:t xml:space="preserve">1) </w:t>
      </w:r>
      <w:r w:rsidRPr="00CE6C73">
        <w:rPr>
          <w:b/>
          <w:bCs/>
          <w:color w:val="000000"/>
          <w:lang w:eastAsia="lt-LT"/>
        </w:rPr>
        <w:t>išmokos, kurios laikomos neleidžiamais atskaitymais pagal šio Įstatymo 31 straipsnio 1 dalį ir kurias kontroliuojamasis užsienio subjektas</w:t>
      </w:r>
      <w:r w:rsidRPr="00CE6C73">
        <w:rPr>
          <w:b/>
          <w:bCs/>
          <w:lang w:eastAsia="lt-LT"/>
        </w:rPr>
        <w:t xml:space="preserve"> </w:t>
      </w:r>
      <w:r w:rsidRPr="00CE6C73">
        <w:rPr>
          <w:b/>
          <w:bCs/>
          <w:color w:val="000000"/>
          <w:lang w:eastAsia="lt-LT"/>
        </w:rPr>
        <w:t>yra gavęs iš Lietuvos vieneto;</w:t>
      </w:r>
    </w:p>
    <w:p w14:paraId="7D645AD0" w14:textId="77777777" w:rsidR="00093845" w:rsidRPr="00CE6C73" w:rsidRDefault="000D779E" w:rsidP="001D16EE">
      <w:pPr>
        <w:spacing w:after="0"/>
        <w:ind w:firstLine="720"/>
        <w:jc w:val="both"/>
        <w:rPr>
          <w:b/>
          <w:bCs/>
          <w:color w:val="000000"/>
          <w:lang w:eastAsia="lt-LT"/>
        </w:rPr>
      </w:pPr>
      <w:r w:rsidRPr="00CE6C73">
        <w:rPr>
          <w:b/>
          <w:bCs/>
          <w:lang w:eastAsia="lt-LT"/>
        </w:rPr>
        <w:t xml:space="preserve">2) </w:t>
      </w:r>
      <w:r w:rsidRPr="00CE6C73">
        <w:rPr>
          <w:b/>
          <w:bCs/>
          <w:color w:val="000000"/>
          <w:lang w:eastAsia="lt-LT"/>
        </w:rPr>
        <w:t>paskirstyti proporcingai Lietuvos vieneto valdomų akcijų (dalių, pajų), balsavimo teisių ar teisių į paskirstytinojo pelno dalį arba išimtinių teisių jas įsigyti skaičiui, tačiau neišmokėti šiam Lietuvos vienetui dividendai, kurie neviršija prieš tai buvusio mokestinio laikotarpio pozityviųjų pajamų sumos, apskaičiuotos pagal šio straipsnio 5 dalį, ir išmokami per penkis vienas po kito einančius mokestinius laikotarpius. Jeigu šie dividendai per penkis vienas po kito einančius mokestinius laikotarpius neišmokami, visi per tą laiką apskaičiuoti dividendai įtraukiami į pozityviąsias pajamas.</w:t>
      </w:r>
    </w:p>
    <w:p w14:paraId="0DFCD8E6" w14:textId="77777777" w:rsidR="00093845" w:rsidRPr="00CE6C73" w:rsidRDefault="000D779E" w:rsidP="001D16EE">
      <w:pPr>
        <w:spacing w:after="0"/>
        <w:ind w:firstLine="720"/>
        <w:jc w:val="both"/>
        <w:rPr>
          <w:b/>
          <w:bCs/>
          <w:color w:val="000000"/>
          <w:lang w:eastAsia="lt-LT"/>
        </w:rPr>
      </w:pPr>
      <w:r w:rsidRPr="00CE6C73">
        <w:rPr>
          <w:b/>
          <w:bCs/>
          <w:lang w:eastAsia="lt-LT"/>
        </w:rPr>
        <w:t xml:space="preserve">5. Apskaičiuojant pozityviąsias pajamas, </w:t>
      </w:r>
      <w:r w:rsidRPr="00CE6C73">
        <w:rPr>
          <w:b/>
          <w:bCs/>
          <w:color w:val="000000"/>
          <w:lang w:eastAsia="lt-LT"/>
        </w:rPr>
        <w:t>gali būti atimamos neapmokestinamosios pajamos, atskaitomi leidžiami atskaitymai ir ribojamų dydžių leidžiami atskaitymai, susiję su tų</w:t>
      </w:r>
      <w:r w:rsidRPr="00CE6C73">
        <w:rPr>
          <w:b/>
          <w:bCs/>
          <w:lang w:eastAsia="lt-LT"/>
        </w:rPr>
        <w:t xml:space="preserve"> </w:t>
      </w:r>
      <w:r w:rsidRPr="00CE6C73">
        <w:rPr>
          <w:b/>
          <w:bCs/>
          <w:color w:val="000000"/>
          <w:lang w:eastAsia="lt-LT"/>
        </w:rPr>
        <w:t>pajamų uždirbimu, pagal šio Įstatymo 11 straipsnio nuostatas. Jeigu apskaičiuojama neigiama suma, ši suma nemažina Lietuvos vieneto pajamų.</w:t>
      </w:r>
    </w:p>
    <w:p w14:paraId="3819A26F" w14:textId="77777777" w:rsidR="00093845" w:rsidRPr="00CE6C73" w:rsidRDefault="000D779E" w:rsidP="001D16EE">
      <w:pPr>
        <w:spacing w:after="0"/>
        <w:ind w:firstLine="720"/>
        <w:jc w:val="both"/>
        <w:rPr>
          <w:b/>
          <w:bCs/>
          <w:lang w:eastAsia="lt-LT"/>
        </w:rPr>
      </w:pPr>
      <w:r w:rsidRPr="00CE6C73">
        <w:rPr>
          <w:b/>
          <w:bCs/>
          <w:color w:val="000000"/>
          <w:lang w:eastAsia="lt-LT"/>
        </w:rPr>
        <w:t xml:space="preserve">6. Jeigu Lietuvos vienetas turi daugiau kaip vieną kontroliuojamąjį užsienio subjektą, kiekvieno iš jų pozityviosios pajamos apskaičiuojamos atskirai. </w:t>
      </w:r>
    </w:p>
    <w:p w14:paraId="4A793C9D" w14:textId="77777777" w:rsidR="00093845" w:rsidRPr="00CE6C73" w:rsidRDefault="000D779E" w:rsidP="001D16EE">
      <w:pPr>
        <w:spacing w:after="0"/>
        <w:ind w:firstLine="720"/>
        <w:jc w:val="both"/>
        <w:rPr>
          <w:b/>
          <w:bCs/>
          <w:lang w:eastAsia="lt-LT"/>
        </w:rPr>
      </w:pPr>
      <w:r w:rsidRPr="00CE6C73">
        <w:rPr>
          <w:b/>
          <w:bCs/>
          <w:lang w:eastAsia="lt-LT"/>
        </w:rPr>
        <w:t>7. Apskaičiuotos pozityviosios pajamos įtraukiamos į tą Lietuvos vieneto mokestinį laikotarpį, kurį baigiasi kontroliuojamojo užsienio subjekto mokestinis laikotarpis. Jeigu kontroliuojamojo užsienio subjekto mokestinis laikotarpis nenustatomas, laikoma, kad kontroliuojamojo užsienio subjekto mokestinis laikotarpis sutampa su Lietuvos vieneto mokestiniu laikotarpiu.</w:t>
      </w:r>
    </w:p>
    <w:p w14:paraId="28172708" w14:textId="77777777" w:rsidR="00093845" w:rsidRPr="00CE6C73" w:rsidRDefault="000D779E" w:rsidP="001D16EE">
      <w:pPr>
        <w:spacing w:after="0"/>
        <w:ind w:firstLine="720"/>
        <w:jc w:val="both"/>
        <w:rPr>
          <w:b/>
          <w:bCs/>
          <w:lang w:eastAsia="lt-LT"/>
        </w:rPr>
      </w:pPr>
      <w:r w:rsidRPr="00CE6C73">
        <w:rPr>
          <w:b/>
          <w:bCs/>
          <w:lang w:eastAsia="lt-LT"/>
        </w:rPr>
        <w:t>8. Tos pačios kontroliuojamojo užsienio subjekto pajamos šiame straipsnyje nustatyta tvarka gali būti apmokestinamos Lietuvos Respublikoje tik vieną kartą.</w:t>
      </w:r>
    </w:p>
    <w:p w14:paraId="1B412923" w14:textId="77777777" w:rsidR="00093845" w:rsidRPr="00CE6C73" w:rsidRDefault="000D779E" w:rsidP="001D16EE">
      <w:pPr>
        <w:spacing w:after="0"/>
        <w:ind w:firstLine="720"/>
        <w:jc w:val="both"/>
        <w:rPr>
          <w:b/>
          <w:bCs/>
          <w:color w:val="000000"/>
          <w:lang w:eastAsia="lt-LT"/>
        </w:rPr>
      </w:pPr>
      <w:r w:rsidRPr="00CE6C73">
        <w:rPr>
          <w:b/>
          <w:bCs/>
          <w:lang w:eastAsia="lt-LT"/>
        </w:rPr>
        <w:t>9.</w:t>
      </w:r>
      <w:r w:rsidRPr="00CE6C73">
        <w:rPr>
          <w:b/>
          <w:bCs/>
          <w:color w:val="000000"/>
          <w:lang w:eastAsia="lt-LT"/>
        </w:rPr>
        <w:t xml:space="preserve"> Kontroliuojamojo užsienio vieneto Lietuvos vienetui išmokėti dividendai neapmokestinami, jeigu pajamos, kurių pagrindu šie dividendai išmokėti, buvo įtrauktos į šio Lietuvos vieneto pajamas kaip pozityviosios pajamos. Tačiau jeigu kontroliuojamojo užsienio vieneto Lietuvos vienetui išmokėti dividendai viršija pajamas, kurios buvo įtrauktos į šio Lietuvos vieneto pajamas kaip pozityviosios pajamos, išmokėtų dividendų dalis, viršijanti Lietuvos vieneto pozityviąsias pajamas, apmokestinama pagal šio Įstatymo 35 straipsnį.</w:t>
      </w:r>
    </w:p>
    <w:p w14:paraId="2DD3E547" w14:textId="77777777" w:rsidR="00093845" w:rsidRPr="00CE6C73" w:rsidRDefault="000D779E" w:rsidP="001D16EE">
      <w:pPr>
        <w:spacing w:after="0"/>
        <w:ind w:firstLine="720"/>
        <w:jc w:val="both"/>
        <w:rPr>
          <w:b/>
          <w:bCs/>
          <w:strike/>
          <w:lang w:eastAsia="lt-LT"/>
        </w:rPr>
      </w:pPr>
      <w:r w:rsidRPr="00CE6C73">
        <w:rPr>
          <w:b/>
          <w:bCs/>
          <w:lang w:eastAsia="lt-LT"/>
        </w:rPr>
        <w:t>10. Kai Lietuvos vienetas perleidžia savo turimą kontroliuojamojo užsienio vieneto dalį arba per nuolatinę buveinę, nurodytą šio Įstatymo 2 straipsnio 4</w:t>
      </w:r>
      <w:r w:rsidRPr="00CE6C73">
        <w:rPr>
          <w:b/>
          <w:bCs/>
          <w:vertAlign w:val="superscript"/>
          <w:lang w:eastAsia="lt-LT"/>
        </w:rPr>
        <w:t>1</w:t>
      </w:r>
      <w:r w:rsidRPr="00CE6C73">
        <w:rPr>
          <w:b/>
          <w:bCs/>
          <w:lang w:eastAsia="lt-LT"/>
        </w:rPr>
        <w:t xml:space="preserve"> dalies 2 punkte, vykdomą veiklą ir bet kuri iš perleidimo gautų pajamų dalis anksčiau buvo įtraukta į pozityviąsias pajamas, apskaičiuojant už šias pajamas mokėtino pelno mokesčio sumą, ta pajamų dalis neįtraukiama į Lietuvos vieneto pelno mokesčio bazę.</w:t>
      </w:r>
    </w:p>
    <w:p w14:paraId="350FAC29" w14:textId="77777777" w:rsidR="00093845" w:rsidRPr="00CE6C73" w:rsidRDefault="000D779E" w:rsidP="001D16EE">
      <w:pPr>
        <w:spacing w:after="0"/>
        <w:ind w:firstLine="720"/>
        <w:jc w:val="both"/>
        <w:rPr>
          <w:b/>
          <w:bCs/>
          <w:lang w:eastAsia="lt-LT"/>
        </w:rPr>
      </w:pPr>
      <w:r w:rsidRPr="00CE6C73">
        <w:rPr>
          <w:b/>
          <w:bCs/>
          <w:lang w:eastAsia="lt-LT"/>
        </w:rPr>
        <w:t xml:space="preserve">11. Lietuvos vienetas turi teisę nuo pozityviųjų pajamų toje valstybėje arba zonoje, kurioje įregistruotas arba kitaip organizuotas kontroliuojamasis užsienio subjektas, sumokėto pelno mokesčio ar jam tapataus mokesčio dydžiu (jeigu tai kontroliuojamasis užsienio vienetas, proporcingai Lietuvos vieneto turimų akcijų (dalių, pajų), balsavimo teisių </w:t>
      </w:r>
      <w:r w:rsidRPr="00CE6C73">
        <w:rPr>
          <w:b/>
          <w:bCs/>
          <w:color w:val="000000"/>
          <w:lang w:eastAsia="lt-LT"/>
        </w:rPr>
        <w:t>ar teisių į paskirstytinojo pelno dalį arba išimtinių teisių jas įsigyti</w:t>
      </w:r>
      <w:r w:rsidRPr="00CE6C73">
        <w:rPr>
          <w:b/>
          <w:bCs/>
          <w:lang w:eastAsia="lt-LT"/>
        </w:rPr>
        <w:t xml:space="preserve"> skaičiui) šio Įstatymo 55 straipsnio 6 dalyje nustatyta tvarka sumažinti į biudžetą mokėtiną pagal šį Įstatymą nuo pozityviųjų pajamų apskaičiuotą pelno mokestį. Jei toje valstybėje arba zonoje mokesčio sumokėta daugiau, negu tai numatyta tos valstybės arba zonos įstatymuose, Lietuvos vienetas turi teisę sumažinti į biudžetą mokėtiną pagal šį Įstatymą nuo pozityviųjų pajamų apskaičiuotą pelno mokestį mokesčio, kuris turėjo būti sumokėtas nuo pozityviųjų pajamų toje valstybėje arba zonoje, kurioje įregistruotas arba kitaip organizuotas kontroliuojamasis užsienio subjektas, dydžiu. </w:t>
      </w:r>
    </w:p>
    <w:p w14:paraId="354C72CB" w14:textId="77777777" w:rsidR="00093845" w:rsidRPr="00CE6C73" w:rsidRDefault="000D779E" w:rsidP="001D16EE">
      <w:pPr>
        <w:spacing w:after="0"/>
        <w:ind w:firstLine="720"/>
        <w:jc w:val="both"/>
        <w:rPr>
          <w:b/>
          <w:bCs/>
        </w:rPr>
      </w:pPr>
      <w:r w:rsidRPr="00CE6C73">
        <w:rPr>
          <w:b/>
          <w:bCs/>
          <w:lang w:eastAsia="lt-LT"/>
        </w:rPr>
        <w:lastRenderedPageBreak/>
        <w:t>12. Lietuvos vienetas turi teisę nuo pozityviųjų pajamų Europos ekonominės erdvės valstybėje arba valstybėje, su kuria Lietuvos Respublika yra sudariusi ir taiko dvigubo apmokestinimo išvengimo sutartį ir pagal kurios atitinkamą įstatymą kontroliuojamojo užsienio subjekto pajamos yra įtrauktos į tos valstybės vieneto pozityviąsias pajamas ir apmokestintos pagal taisykles, analogiškas šiame straipsnyje nustatytoms taisyklėms, sumokėto pelno mokesčio ar jam tapataus mokesčio dydžiu šio Įstatymo 55 straipsnio 6 dalyje nustatyta tvarka sumažinti į biudžetą mokėtiną pagal šį Įstatymą nuo pozityviųjų pajamų apskaičiuotą pelno mokestį</w:t>
      </w:r>
      <w:r w:rsidRPr="00CE6C73">
        <w:rPr>
          <w:b/>
          <w:bCs/>
        </w:rPr>
        <w:t>.</w:t>
      </w:r>
    </w:p>
    <w:p w14:paraId="50DC9DAD" w14:textId="77777777" w:rsidR="00093845" w:rsidRDefault="00093845" w:rsidP="00CE6C73">
      <w:pPr>
        <w:tabs>
          <w:tab w:val="left" w:pos="720"/>
          <w:tab w:val="left" w:pos="1077"/>
          <w:tab w:val="left" w:pos="1134"/>
          <w:tab w:val="left" w:pos="1418"/>
        </w:tabs>
        <w:jc w:val="both"/>
        <w:rPr>
          <w:b/>
          <w:bCs/>
          <w:szCs w:val="20"/>
          <w:lang w:val="lt-LT"/>
        </w:rPr>
      </w:pPr>
    </w:p>
    <w:p w14:paraId="3A99DE13" w14:textId="77777777" w:rsidR="00FF110A" w:rsidRDefault="0014647B" w:rsidP="00CE6C73">
      <w:pPr>
        <w:tabs>
          <w:tab w:val="left" w:pos="720"/>
          <w:tab w:val="left" w:pos="1077"/>
          <w:tab w:val="left" w:pos="1134"/>
          <w:tab w:val="left" w:pos="1418"/>
        </w:tabs>
        <w:jc w:val="both"/>
        <w:rPr>
          <w:b/>
          <w:szCs w:val="20"/>
          <w:lang w:val="lt-LT"/>
        </w:rPr>
      </w:pPr>
      <w:r>
        <w:rPr>
          <w:szCs w:val="20"/>
          <w:lang w:val="lt-LT"/>
        </w:rPr>
        <w:t xml:space="preserve">              </w:t>
      </w:r>
      <w:r w:rsidR="000D779E" w:rsidRPr="0014647B">
        <w:rPr>
          <w:b/>
          <w:szCs w:val="20"/>
          <w:lang w:val="lt-LT"/>
        </w:rPr>
        <w:t xml:space="preserve">Komentaras </w:t>
      </w:r>
    </w:p>
    <w:p w14:paraId="3BE94BC8" w14:textId="77777777" w:rsidR="00093845" w:rsidRPr="00FF110A" w:rsidRDefault="00FF110A" w:rsidP="00CE6C73">
      <w:pPr>
        <w:tabs>
          <w:tab w:val="left" w:pos="720"/>
          <w:tab w:val="left" w:pos="1077"/>
          <w:tab w:val="left" w:pos="1134"/>
          <w:tab w:val="left" w:pos="1418"/>
        </w:tabs>
        <w:jc w:val="both"/>
        <w:rPr>
          <w:szCs w:val="20"/>
          <w:lang w:val="lt-LT"/>
        </w:rPr>
      </w:pPr>
      <w:r>
        <w:rPr>
          <w:szCs w:val="20"/>
          <w:lang w:val="lt-LT"/>
        </w:rPr>
        <w:t xml:space="preserve">              </w:t>
      </w:r>
      <w:r w:rsidRPr="00FF110A">
        <w:rPr>
          <w:szCs w:val="20"/>
          <w:lang w:val="lt-LT"/>
        </w:rPr>
        <w:t xml:space="preserve">Komentaras </w:t>
      </w:r>
      <w:r w:rsidR="000D779E" w:rsidRPr="00FF110A">
        <w:rPr>
          <w:szCs w:val="20"/>
          <w:lang w:val="lt-LT"/>
        </w:rPr>
        <w:t>rengiamas</w:t>
      </w:r>
    </w:p>
    <w:p w14:paraId="000CF913" w14:textId="77777777" w:rsidR="00093845" w:rsidRDefault="00093845">
      <w:pPr>
        <w:pStyle w:val="Pagrindiniotekstotrauka"/>
        <w:ind w:firstLine="0"/>
        <w:rPr>
          <w:rFonts w:ascii="Times New Roman" w:hAnsi="Times New Roman" w:cs="Times New Roman"/>
          <w:lang w:val="lt-LT"/>
        </w:rPr>
      </w:pPr>
    </w:p>
    <w:p w14:paraId="0CBBF0F9" w14:textId="77777777" w:rsidR="00093845" w:rsidRDefault="000D779E" w:rsidP="00C92CB9">
      <w:pPr>
        <w:pStyle w:val="Antrat3"/>
        <w:spacing w:after="0"/>
        <w:ind w:firstLine="0"/>
        <w:rPr>
          <w:szCs w:val="22"/>
        </w:rPr>
      </w:pPr>
      <w:bookmarkStart w:id="539" w:name="_39-1_straipsnis._Europos"/>
      <w:bookmarkEnd w:id="539"/>
      <w:r>
        <w:rPr>
          <w:szCs w:val="22"/>
        </w:rPr>
        <w:t>39</w:t>
      </w:r>
      <w:r w:rsidR="004E5483">
        <w:rPr>
          <w:szCs w:val="22"/>
          <w:vertAlign w:val="superscript"/>
        </w:rPr>
        <w:t>1</w:t>
      </w:r>
      <w:r>
        <w:rPr>
          <w:szCs w:val="22"/>
        </w:rPr>
        <w:t xml:space="preserve"> STR</w:t>
      </w:r>
      <w:bookmarkStart w:id="540" w:name="P65951_45"/>
      <w:bookmarkEnd w:id="540"/>
      <w:r>
        <w:rPr>
          <w:szCs w:val="22"/>
        </w:rPr>
        <w:t>AI</w:t>
      </w:r>
      <w:bookmarkStart w:id="541" w:name="P65951_46"/>
      <w:bookmarkEnd w:id="541"/>
      <w:r>
        <w:rPr>
          <w:szCs w:val="22"/>
        </w:rPr>
        <w:t>PSNIS. Europos ekonominių interesų grupės pajamų bei sąnaudų priskyrimas jos dalyviams ir apmokestinimas</w:t>
      </w:r>
    </w:p>
    <w:p w14:paraId="2118343C" w14:textId="77777777" w:rsidR="00093845" w:rsidRDefault="000D779E" w:rsidP="00C92CB9">
      <w:pPr>
        <w:spacing w:after="0"/>
        <w:jc w:val="both"/>
        <w:rPr>
          <w:bCs/>
          <w:i/>
          <w:iCs/>
          <w:lang w:val="lt-LT"/>
        </w:rPr>
      </w:pPr>
      <w:r w:rsidRPr="0014647B">
        <w:rPr>
          <w:bCs/>
          <w:i/>
          <w:iCs/>
          <w:lang w:val="lt-LT"/>
        </w:rPr>
        <w:t>(</w:t>
      </w:r>
      <w:r w:rsidRPr="0014647B">
        <w:rPr>
          <w:i/>
        </w:rPr>
        <w:t>KEISTA:</w:t>
      </w:r>
      <w:r w:rsidRPr="0014647B">
        <w:rPr>
          <w:i/>
          <w:lang w:val="lt-LT"/>
        </w:rPr>
        <w:t xml:space="preserve"> </w:t>
      </w:r>
      <w:r w:rsidRPr="0014647B">
        <w:rPr>
          <w:i/>
        </w:rPr>
        <w:t>2004 04 08 įstatymu Nr. IX-2102 (nuo 2004 05 01)</w:t>
      </w:r>
      <w:r w:rsidRPr="0014647B">
        <w:rPr>
          <w:bCs/>
          <w:i/>
          <w:iCs/>
          <w:lang w:val="lt-LT"/>
        </w:rPr>
        <w:t>)</w:t>
      </w:r>
    </w:p>
    <w:p w14:paraId="3898B6A3" w14:textId="77777777" w:rsidR="004B188B" w:rsidRPr="0014647B" w:rsidRDefault="004B188B" w:rsidP="00C92CB9">
      <w:pPr>
        <w:spacing w:after="0"/>
        <w:jc w:val="both"/>
        <w:rPr>
          <w:bCs/>
          <w:i/>
          <w:lang w:val="lt-LT"/>
        </w:rPr>
      </w:pPr>
    </w:p>
    <w:p w14:paraId="55A34E80" w14:textId="77777777" w:rsidR="00093845" w:rsidRPr="00E34925" w:rsidRDefault="000D779E">
      <w:pPr>
        <w:ind w:left="2340" w:hanging="1620"/>
        <w:jc w:val="both"/>
        <w:rPr>
          <w:b/>
          <w:bCs/>
          <w:szCs w:val="22"/>
          <w:lang w:val="lt-LT"/>
        </w:rPr>
      </w:pPr>
      <w:r w:rsidRPr="00E34925">
        <w:rPr>
          <w:b/>
          <w:bCs/>
          <w:szCs w:val="22"/>
          <w:lang w:val="lt-LT"/>
        </w:rPr>
        <w:t>Komentaras</w:t>
      </w:r>
    </w:p>
    <w:p w14:paraId="750762AF" w14:textId="77777777" w:rsidR="00093845" w:rsidRDefault="000D779E">
      <w:pPr>
        <w:pStyle w:val="Antrat8"/>
        <w:keepNext w:val="0"/>
        <w:keepLines w:val="0"/>
        <w:tabs>
          <w:tab w:val="left" w:pos="720"/>
          <w:tab w:val="left" w:pos="1077"/>
          <w:tab w:val="left" w:pos="1418"/>
        </w:tabs>
      </w:pPr>
      <w:r>
        <w:t>Pagal PMĮ 3 str. 2 d. 6 punktą, EEIG, kaip vienetas, pelno mokesčio nemoka, tačiau, pagal PMĮ 4 str. 2 dalį, kiekvienas EEIG dalyvis, apskaičiuodamas apmokestinamąjį pelną, turi savo pajamoms priskirti EEIG pajamas, kurių priskyrimo tvarka nustatyta 39-1 straipsnyje. Šiame straipsnyje taip pat nustatyta EEIG sąnaudų priskyrimo jos dalyviams tvarka. Šio straipsnio nuostatos taikomos Lietuvos vienetams, EEIG dalyviams, neatsižvelgiant į EEIG įregistravimo vietą, t. y. nesvarbu, ar EEIG registruota Lietuvoje, ar Europos ekonominės erdvės valstybėje. Lietuvos Respublikoje registruotų EEIG dalyviams – užsienio vienetams priskiriamos pajamos Lietuvoje apmokestinamos tais atvejais, kai pagal Lietuvos teisės aktus laikoma, kad užsienio vieneto – EEIG dalyvio Lietuvoje vykdoma veikla atitinka veiklos, vykdomos per nuolatinę buveinę, požymius. Tokiu atveju šis vienetas savo nuolatinei buveinei turėtų priskirti jam tenkančią, pagal šio straipsnio nuostatas apskaičiuotą, EEIG pajamų ir sąnaudų dalį bei apmokestinti PMĮ nustatyta tvarka.</w:t>
      </w:r>
    </w:p>
    <w:p w14:paraId="3761B9C7" w14:textId="77777777" w:rsidR="00093845" w:rsidRDefault="00093845">
      <w:pPr>
        <w:rPr>
          <w:rFonts w:eastAsia="Arial Unicode MS"/>
          <w:lang w:val="lt-LT"/>
        </w:rPr>
      </w:pPr>
    </w:p>
    <w:p w14:paraId="3B20D7D7" w14:textId="77777777" w:rsidR="00093845" w:rsidRDefault="000D779E">
      <w:pPr>
        <w:ind w:firstLine="720"/>
        <w:jc w:val="both"/>
        <w:rPr>
          <w:b/>
          <w:bCs/>
          <w:szCs w:val="22"/>
          <w:lang w:val="lt-LT"/>
        </w:rPr>
      </w:pPr>
      <w:r>
        <w:rPr>
          <w:b/>
          <w:bCs/>
          <w:szCs w:val="22"/>
          <w:lang w:val="lt-LT"/>
        </w:rPr>
        <w:t>1. Europos ekonominių interesų grupės pajamos jos dalyviams priskiriamos pagal Europos ekonominių interesų grupės steigimo sutartyje nustatytas dalis, o jeigu tokios dalys sutartyje nenustatytos, – lygiomis dalimis.</w:t>
      </w:r>
    </w:p>
    <w:p w14:paraId="7605370F" w14:textId="77777777" w:rsidR="00093845" w:rsidRDefault="000D779E">
      <w:pPr>
        <w:ind w:firstLine="720"/>
        <w:jc w:val="both"/>
        <w:rPr>
          <w:b/>
          <w:bCs/>
          <w:szCs w:val="22"/>
          <w:lang w:val="lt-LT"/>
        </w:rPr>
      </w:pPr>
      <w:r>
        <w:rPr>
          <w:b/>
          <w:bCs/>
          <w:szCs w:val="22"/>
          <w:lang w:val="lt-LT"/>
        </w:rPr>
        <w:t>Komentaras</w:t>
      </w:r>
    </w:p>
    <w:p w14:paraId="411E2021" w14:textId="77777777" w:rsidR="00093845" w:rsidRDefault="000D779E">
      <w:pPr>
        <w:pStyle w:val="Antrat8"/>
        <w:keepNext w:val="0"/>
        <w:keepLines w:val="0"/>
        <w:tabs>
          <w:tab w:val="left" w:pos="720"/>
          <w:tab w:val="left" w:pos="1077"/>
          <w:tab w:val="left" w:pos="1418"/>
        </w:tabs>
      </w:pPr>
      <w:r>
        <w:t>EEIG steigimo sutartyje gali būti nustatytos dalys, pagal kurias paskirstomas EEIG uždirbtas pelnas jos nariams, o jei dalys nenustatytos, tai pelnas EEIG dalyviams turi būti paskirstomas lygiomis dalimis. Pagal šias dalis, apmokestinimo tikslais, EEIG pajamos priskiriamos jos dalyviams - Lietuvos vienetams ir užsienio vienetams.</w:t>
      </w:r>
    </w:p>
    <w:p w14:paraId="3BC35832" w14:textId="77777777" w:rsidR="00093845" w:rsidRDefault="000D779E">
      <w:pPr>
        <w:pStyle w:val="Antrat8"/>
        <w:keepNext w:val="0"/>
        <w:keepLines w:val="0"/>
        <w:tabs>
          <w:tab w:val="left" w:pos="720"/>
          <w:tab w:val="left" w:pos="1077"/>
          <w:tab w:val="left" w:pos="1418"/>
        </w:tabs>
      </w:pPr>
      <w:r>
        <w:t>Jeigu EEIG dalyvių dalys grupėje keitėsi, tai Lietuvos vienetui ir užsienio vienetams pajamos priskiriamos pagal jų dalį šioje grupėje paskutinę EEIG finansinio laikotarpio dieną.</w:t>
      </w:r>
    </w:p>
    <w:p w14:paraId="501B5792" w14:textId="77777777" w:rsidR="00093845" w:rsidRDefault="00093845">
      <w:pPr>
        <w:ind w:firstLine="720"/>
        <w:jc w:val="both"/>
        <w:rPr>
          <w:b/>
          <w:bCs/>
          <w:szCs w:val="22"/>
          <w:lang w:val="lt-LT"/>
        </w:rPr>
      </w:pPr>
    </w:p>
    <w:p w14:paraId="43FB5AF9" w14:textId="77777777" w:rsidR="00093845" w:rsidRDefault="000D779E">
      <w:pPr>
        <w:ind w:firstLine="720"/>
        <w:jc w:val="both"/>
        <w:rPr>
          <w:b/>
          <w:bCs/>
          <w:szCs w:val="22"/>
          <w:lang w:val="lt-LT"/>
        </w:rPr>
      </w:pPr>
      <w:r>
        <w:rPr>
          <w:b/>
          <w:bCs/>
          <w:szCs w:val="22"/>
          <w:lang w:val="lt-LT"/>
        </w:rPr>
        <w:t>2. Europos ekonominių interesų grupės dalyvis Europos ekonominių interesų grupės pajamas priskiria savo pajamoms paskutinę Europos ekonominių interesų grupės finansinio laikotarpio, kurį tas pajamas ji uždirbo ir (arba) gavo, dieną.</w:t>
      </w:r>
    </w:p>
    <w:p w14:paraId="1CDDE19E" w14:textId="77777777" w:rsidR="00093845" w:rsidRDefault="000D779E">
      <w:pPr>
        <w:ind w:firstLine="720"/>
        <w:jc w:val="both"/>
        <w:rPr>
          <w:b/>
          <w:bCs/>
          <w:szCs w:val="22"/>
          <w:lang w:val="lt-LT"/>
        </w:rPr>
      </w:pPr>
      <w:r>
        <w:rPr>
          <w:b/>
          <w:bCs/>
          <w:szCs w:val="22"/>
          <w:lang w:val="lt-LT"/>
        </w:rPr>
        <w:lastRenderedPageBreak/>
        <w:t>Komentaras</w:t>
      </w:r>
    </w:p>
    <w:p w14:paraId="0725381A" w14:textId="77777777" w:rsidR="00093845" w:rsidRDefault="000D779E">
      <w:pPr>
        <w:ind w:firstLine="720"/>
        <w:jc w:val="both"/>
        <w:rPr>
          <w:lang w:val="lt-LT"/>
        </w:rPr>
      </w:pPr>
      <w:r>
        <w:rPr>
          <w:lang w:val="lt-LT"/>
        </w:rPr>
        <w:t xml:space="preserve">Pasibaigus EEIG finansiniam laikotarpiui, šio laikotarpio pajamos priskiriamos jos dalyviams. EEIG dalyvis savo pajamoms EEIG pajamas priskiria tą mokestinio laikotarpio dieną, kurią pasibaigia EEIG finansinis laikotarpis. </w:t>
      </w:r>
    </w:p>
    <w:p w14:paraId="39E5FEC9" w14:textId="77777777" w:rsidR="00093845" w:rsidRDefault="000D779E">
      <w:pPr>
        <w:ind w:firstLine="720"/>
        <w:jc w:val="both"/>
        <w:rPr>
          <w:lang w:val="lt-LT"/>
        </w:rPr>
      </w:pPr>
      <w:r>
        <w:rPr>
          <w:lang w:val="lt-LT"/>
        </w:rPr>
        <w:t>Pavyzdys</w:t>
      </w:r>
    </w:p>
    <w:p w14:paraId="476C277B"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EEIG dalyvio, Lietuvos apmokestinamojo vieneto, mokestinis laikotarpis yra kalendoriniai metai, kurie prasideda 2015-01-01 ir baigiasi 2015-12-31.</w:t>
      </w:r>
    </w:p>
    <w:p w14:paraId="1B3377F2"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EEIG, kuri yra įregistruota Europos ekonominės erdvės valstybėje, finansinis laikotarpis prasideda 2014-06-01 ir baigiasi 2015-05-31.</w:t>
      </w:r>
    </w:p>
    <w:p w14:paraId="208D45B9" w14:textId="77777777" w:rsidR="00093845" w:rsidRDefault="000D779E">
      <w:pPr>
        <w:pBdr>
          <w:top w:val="single" w:sz="4" w:space="1" w:color="auto"/>
          <w:left w:val="single" w:sz="4" w:space="4" w:color="auto"/>
          <w:bottom w:val="single" w:sz="4" w:space="1" w:color="auto"/>
          <w:right w:val="single" w:sz="4" w:space="4" w:color="auto"/>
        </w:pBdr>
        <w:ind w:firstLine="720"/>
        <w:jc w:val="both"/>
        <w:rPr>
          <w:lang w:val="lt-LT"/>
        </w:rPr>
      </w:pPr>
      <w:r>
        <w:rPr>
          <w:lang w:val="lt-LT"/>
        </w:rPr>
        <w:t>Lietuvos vienetas, apskaičiuodamas 2015 metų apmokestinamąjį pelną, šio mokestinio laikotarpio, t. y. 2015 m. gegužės 31 dienai, pajamoms turi priskirti atitinkamai apskaičiuotas EEIG finansinio laikotarpio (nuo 2014</w:t>
      </w:r>
      <w:r>
        <w:rPr>
          <w:lang w:val="lt-LT"/>
        </w:rPr>
        <w:noBreakHyphen/>
        <w:t>06</w:t>
      </w:r>
      <w:r>
        <w:rPr>
          <w:lang w:val="lt-LT"/>
        </w:rPr>
        <w:noBreakHyphen/>
        <w:t>01 iki 2015-05-31) pajamas.</w:t>
      </w:r>
    </w:p>
    <w:p w14:paraId="66B896A2" w14:textId="77777777" w:rsidR="00093845" w:rsidRDefault="00093845">
      <w:pPr>
        <w:ind w:firstLine="720"/>
        <w:jc w:val="both"/>
        <w:rPr>
          <w:lang w:val="lt-LT"/>
        </w:rPr>
      </w:pPr>
    </w:p>
    <w:p w14:paraId="5277A92E" w14:textId="77777777" w:rsidR="00093845" w:rsidRDefault="000D779E">
      <w:pPr>
        <w:ind w:firstLine="720"/>
        <w:jc w:val="both"/>
        <w:rPr>
          <w:b/>
          <w:bCs/>
          <w:szCs w:val="22"/>
          <w:lang w:val="lt-LT"/>
        </w:rPr>
      </w:pPr>
      <w:r>
        <w:rPr>
          <w:b/>
          <w:bCs/>
          <w:szCs w:val="22"/>
          <w:lang w:val="lt-LT"/>
        </w:rPr>
        <w:t>3. Europos ekonominių interesų grupės dalyvis jam priklausančią Europos ekonominių interesų grupės pajamų dalį priskiria savo pajamoms, nesvarbu, ar Europos ekonominių interesų grupės pelnas dalyviui išmokėtas, ar ne, ir apmokestina šio Įstatymo nustatyta tvarka.</w:t>
      </w:r>
    </w:p>
    <w:p w14:paraId="53A22BDE" w14:textId="77777777" w:rsidR="00093845" w:rsidRDefault="000D779E">
      <w:pPr>
        <w:ind w:firstLine="720"/>
        <w:jc w:val="both"/>
        <w:rPr>
          <w:b/>
          <w:bCs/>
          <w:szCs w:val="22"/>
          <w:lang w:val="lt-LT"/>
        </w:rPr>
      </w:pPr>
      <w:r>
        <w:rPr>
          <w:b/>
          <w:bCs/>
          <w:szCs w:val="22"/>
          <w:lang w:val="lt-LT"/>
        </w:rPr>
        <w:t>Komentaras</w:t>
      </w:r>
    </w:p>
    <w:p w14:paraId="0F79BB8B" w14:textId="77777777" w:rsidR="00093845" w:rsidRDefault="000D779E">
      <w:pPr>
        <w:pStyle w:val="Antrat8"/>
        <w:keepNext w:val="0"/>
        <w:keepLines w:val="0"/>
        <w:tabs>
          <w:tab w:val="left" w:pos="720"/>
          <w:tab w:val="left" w:pos="1077"/>
          <w:tab w:val="left" w:pos="1418"/>
        </w:tabs>
      </w:pPr>
      <w:r>
        <w:t>EEIG pajamų dalis, apskaičiuota pagal šio straipsnio 1 dalies nuostatas, turi būti įskaitoma į EEIG dalyvio – Lietuvos vieneto ar užsienio vieneto – mokesčio bazę, neatsižvelgiant į tai, ar jos dalyviui EEIG pelnas ar jo dalis buvo išmokėta, ar ne.</w:t>
      </w:r>
    </w:p>
    <w:p w14:paraId="4C1C7972"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 xml:space="preserve">Pavyzdys </w:t>
      </w:r>
    </w:p>
    <w:p w14:paraId="7B6BDBDC"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 Eur pajamų ir 80 000 Eur sąnaudų. EEIG 2015 finansinių metų rezultato dalyviams nepaskirstė ir neišmokėjo. Lietuvos vienetas, apskaičiuodamas 2015 m. apmokestinamąjį pelną, jam tenkančią EEIG pajamų dalį – 20 000</w:t>
      </w:r>
      <w:r>
        <w:rPr>
          <w:rFonts w:ascii="Times New Roman" w:hAnsi="Times New Roman" w:cs="Times New Roman"/>
          <w:lang w:val="lt-LT"/>
        </w:rPr>
        <w:t xml:space="preserve"> </w:t>
      </w:r>
      <w:r>
        <w:rPr>
          <w:rFonts w:ascii="Times New Roman" w:hAnsi="Times New Roman"/>
          <w:lang w:val="lt-LT"/>
        </w:rPr>
        <w:t>Eur (100 000</w:t>
      </w:r>
      <w:r>
        <w:rPr>
          <w:rFonts w:ascii="Times New Roman" w:hAnsi="Times New Roman" w:cs="Times New Roman"/>
          <w:lang w:val="lt-LT"/>
        </w:rPr>
        <w:t xml:space="preserve"> </w:t>
      </w:r>
      <w:r>
        <w:rPr>
          <w:rFonts w:ascii="Times New Roman" w:hAnsi="Times New Roman"/>
          <w:lang w:val="lt-LT"/>
        </w:rPr>
        <w:t>Eur x 20%), turi įtraukti į savo pajamas ir apmokestinti PMĮ nustatyta tvarka.</w:t>
      </w:r>
    </w:p>
    <w:p w14:paraId="73DE71C4" w14:textId="77777777" w:rsidR="00093845" w:rsidRDefault="00093845">
      <w:pPr>
        <w:jc w:val="both"/>
        <w:rPr>
          <w:lang w:val="lt-LT"/>
        </w:rPr>
      </w:pPr>
    </w:p>
    <w:p w14:paraId="37BF6D4E" w14:textId="77777777" w:rsidR="00093845" w:rsidRDefault="000D779E">
      <w:pPr>
        <w:pStyle w:val="Pagrindiniotekstotrauka2"/>
        <w:spacing w:line="240" w:lineRule="auto"/>
        <w:rPr>
          <w:szCs w:val="22"/>
        </w:rPr>
      </w:pPr>
      <w:r>
        <w:rPr>
          <w:szCs w:val="22"/>
        </w:rPr>
        <w:t>4. Europos ekonominių interesų grupės patirtos sąnaudos jos dalyviams priskiriamos vadovaujantis šio straipsnio 1 dalyje nustatytais principais.</w:t>
      </w:r>
    </w:p>
    <w:p w14:paraId="45D121FA" w14:textId="77777777" w:rsidR="00093845" w:rsidRDefault="000D779E">
      <w:pPr>
        <w:ind w:firstLine="720"/>
        <w:jc w:val="both"/>
        <w:rPr>
          <w:b/>
          <w:bCs/>
          <w:szCs w:val="22"/>
          <w:lang w:val="lt-LT"/>
        </w:rPr>
      </w:pPr>
      <w:r>
        <w:rPr>
          <w:b/>
          <w:bCs/>
          <w:szCs w:val="22"/>
          <w:lang w:val="lt-LT"/>
        </w:rPr>
        <w:t>Komentaras</w:t>
      </w:r>
    </w:p>
    <w:p w14:paraId="03114918" w14:textId="77777777" w:rsidR="00093845" w:rsidRDefault="000D779E">
      <w:pPr>
        <w:ind w:firstLine="720"/>
        <w:jc w:val="both"/>
        <w:rPr>
          <w:lang w:val="lt-LT"/>
        </w:rPr>
      </w:pPr>
      <w:r>
        <w:rPr>
          <w:lang w:val="lt-LT"/>
        </w:rPr>
        <w:t>EEIG patirtos sąnaudos dalyviams priskiriamos kaip ir pajamos, kurių priskyrimo principai aptarti šio straipsnio 1 ir 2 dalies komentaruose. Sąnaudos dalyviams priskiriamos neatsižvelgiant į tai, kad EEIG sąnaudos viršija pajamas.</w:t>
      </w:r>
    </w:p>
    <w:p w14:paraId="492DC5F4" w14:textId="77777777" w:rsidR="00093845" w:rsidRDefault="00093845">
      <w:pPr>
        <w:pStyle w:val="Pagrindiniotekstotrauka"/>
        <w:tabs>
          <w:tab w:val="left" w:pos="720"/>
          <w:tab w:val="left" w:pos="1077"/>
          <w:tab w:val="left" w:pos="1418"/>
        </w:tabs>
        <w:rPr>
          <w:rFonts w:ascii="Times New Roman" w:hAnsi="Times New Roman"/>
          <w:lang w:val="lt-LT"/>
        </w:rPr>
      </w:pPr>
    </w:p>
    <w:p w14:paraId="7C10103C" w14:textId="77777777" w:rsidR="00093845" w:rsidRDefault="000D779E">
      <w:pPr>
        <w:pStyle w:val="Pagrindiniotekstotrauka"/>
        <w:tabs>
          <w:tab w:val="left" w:pos="720"/>
          <w:tab w:val="left" w:pos="1077"/>
          <w:tab w:val="left" w:pos="1418"/>
        </w:tabs>
        <w:ind w:firstLine="0"/>
        <w:rPr>
          <w:rFonts w:ascii="Times New Roman" w:hAnsi="Times New Roman"/>
          <w:lang w:val="lt-LT"/>
        </w:rPr>
      </w:pPr>
      <w:r>
        <w:rPr>
          <w:rFonts w:ascii="Times New Roman" w:hAnsi="Times New Roman"/>
          <w:lang w:val="lt-LT"/>
        </w:rPr>
        <w:tab/>
        <w:t>Pavyzdys</w:t>
      </w:r>
    </w:p>
    <w:p w14:paraId="0F4BC28A"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w:t>
      </w:r>
      <w:r>
        <w:rPr>
          <w:rFonts w:ascii="Times New Roman" w:hAnsi="Times New Roman" w:cs="Times New Roman"/>
          <w:lang w:val="lt-LT"/>
        </w:rPr>
        <w:t xml:space="preserve"> </w:t>
      </w:r>
      <w:r>
        <w:rPr>
          <w:rFonts w:ascii="Times New Roman" w:hAnsi="Times New Roman"/>
          <w:lang w:val="lt-LT"/>
        </w:rPr>
        <w:t xml:space="preserve">Eur pajamų ir 80 000 Eur sąnaudų. Lietuvos vienetas, </w:t>
      </w:r>
      <w:r>
        <w:rPr>
          <w:rFonts w:ascii="Times New Roman" w:hAnsi="Times New Roman"/>
          <w:lang w:val="lt-LT"/>
        </w:rPr>
        <w:lastRenderedPageBreak/>
        <w:t>apskaičiuodamas 2015 m. apmokestinamąjį pelną, jam tenkančią EEIG sąnaudų dalį – 16 000</w:t>
      </w:r>
      <w:r>
        <w:rPr>
          <w:rFonts w:ascii="Times New Roman" w:hAnsi="Times New Roman" w:cs="Times New Roman"/>
          <w:lang w:val="lt-LT"/>
        </w:rPr>
        <w:t xml:space="preserve"> </w:t>
      </w:r>
      <w:r>
        <w:rPr>
          <w:rFonts w:ascii="Times New Roman" w:hAnsi="Times New Roman"/>
          <w:lang w:val="lt-LT"/>
        </w:rPr>
        <w:t>Eur (80 000</w:t>
      </w:r>
      <w:r>
        <w:rPr>
          <w:rFonts w:ascii="Times New Roman" w:hAnsi="Times New Roman" w:cs="Times New Roman"/>
          <w:lang w:val="lt-LT"/>
        </w:rPr>
        <w:t xml:space="preserve"> </w:t>
      </w:r>
      <w:r>
        <w:rPr>
          <w:rFonts w:ascii="Times New Roman" w:hAnsi="Times New Roman"/>
          <w:lang w:val="lt-LT"/>
        </w:rPr>
        <w:t>Eur x 20%), gali priskirti savo sąnaudoms PMĮ 39-1 str. 5 dalyje nustatyta tvarka.</w:t>
      </w:r>
    </w:p>
    <w:p w14:paraId="6872DB9B" w14:textId="77777777" w:rsidR="00093845" w:rsidRDefault="00093845">
      <w:pPr>
        <w:ind w:firstLine="720"/>
        <w:jc w:val="both"/>
        <w:rPr>
          <w:lang w:val="lt-LT"/>
        </w:rPr>
      </w:pPr>
    </w:p>
    <w:p w14:paraId="195FC159" w14:textId="77777777" w:rsidR="00093845" w:rsidRDefault="000D779E">
      <w:pPr>
        <w:ind w:firstLine="720"/>
        <w:jc w:val="both"/>
        <w:rPr>
          <w:b/>
          <w:bCs/>
          <w:szCs w:val="22"/>
          <w:lang w:val="lt-LT"/>
        </w:rPr>
      </w:pPr>
      <w:r>
        <w:rPr>
          <w:b/>
          <w:bCs/>
          <w:szCs w:val="22"/>
          <w:lang w:val="lt-LT"/>
        </w:rPr>
        <w:t>5. Europos ekonominių interesų grupės dalyvis iš savo pajamų atskaito tas Europos ekonominių interesų grupės sąnaudas, kurios pagal šio Įstatymo nuostatas priskiriamos leidžiamiems atskaitymams ir ribojamų dydžių leidžiamiems atskaitymams.</w:t>
      </w:r>
    </w:p>
    <w:p w14:paraId="0989265D" w14:textId="77777777" w:rsidR="00093845" w:rsidRDefault="000D779E">
      <w:pPr>
        <w:ind w:firstLine="720"/>
        <w:jc w:val="both"/>
        <w:rPr>
          <w:b/>
          <w:bCs/>
          <w:szCs w:val="22"/>
          <w:lang w:val="lt-LT"/>
        </w:rPr>
      </w:pPr>
      <w:r>
        <w:rPr>
          <w:b/>
          <w:bCs/>
          <w:szCs w:val="22"/>
          <w:lang w:val="lt-LT"/>
        </w:rPr>
        <w:t>Komentaras</w:t>
      </w:r>
    </w:p>
    <w:p w14:paraId="6D9165A5" w14:textId="77777777" w:rsidR="00093845" w:rsidRDefault="000D779E">
      <w:pPr>
        <w:ind w:firstLine="720"/>
        <w:jc w:val="both"/>
        <w:rPr>
          <w:lang w:val="lt-LT"/>
        </w:rPr>
      </w:pPr>
      <w:r>
        <w:rPr>
          <w:lang w:val="lt-LT"/>
        </w:rPr>
        <w:t>EEIG dalyvis iš savo pajamų gali atskaityti tik tas jam tenkančias EEIG sąnaudas, kurios pagal PMĮ 17 straipsnį gali būti priskiriamos leidžiamiems atskaitymams ar ribojamų dydžių leidžiamiems atskaitymams.</w:t>
      </w:r>
    </w:p>
    <w:p w14:paraId="7DF55D0E" w14:textId="77777777" w:rsidR="00093845" w:rsidRDefault="000D779E">
      <w:pPr>
        <w:pStyle w:val="Pagrindiniotekstotrauka2"/>
        <w:tabs>
          <w:tab w:val="left" w:pos="720"/>
          <w:tab w:val="left" w:pos="1077"/>
          <w:tab w:val="left" w:pos="1134"/>
          <w:tab w:val="left" w:pos="1418"/>
        </w:tabs>
        <w:spacing w:line="240" w:lineRule="auto"/>
        <w:rPr>
          <w:b w:val="0"/>
        </w:rPr>
      </w:pPr>
      <w:r>
        <w:rPr>
          <w:b w:val="0"/>
        </w:rPr>
        <w:t>Atsižvelgiant į PMĮ 11 str. 4 – 6 dalių nuostatas (žr. PMĮ 11  str. 4 – 6 dalių komentarą), minėtos sąnaudos turi būti pagrįstos juridinę galią turinčiais dokumentais. Kadangi šie dokumentai išrašomi EEIG vardu, tai sąnaudas galima pagrįsti EEIG savo dalyviams išduotu dokumentu, kuriame detalizuojamos EEIG sąnaudos, priskiriamos jos dalyviui, patvirtintu EEIG atsakingų asmenų parašais. Esant reikalui mokesčių administratorius turi teisę pareikalauti pateikti sąnaudas patvirtinančius dokumentus arba jų kopijas.</w:t>
      </w:r>
    </w:p>
    <w:p w14:paraId="48FFD480"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Pavyzdys</w:t>
      </w:r>
    </w:p>
    <w:p w14:paraId="19881A6E"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Tarkime, kad Lietuvos vienetas yra EEIG dalyvis, o jo dalis šioje grupėje sudaro 20 proc., EEIG finansinis laikotarpis ir Lietuvos vieneto mokestinis laikotarpis sutampa. EEIG už 2015 finansinius metus apskaičiavo 100 000 Eur pajamų ir 80 000 Eur sąnaudų. Lietuvos vienetui, EEIG dalyviui, tenkanti sąnaudų dalis 16 000 Eur (80 000 Eur x 20%).</w:t>
      </w:r>
    </w:p>
    <w:p w14:paraId="156A9EF8"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lang w:val="lt-LT"/>
        </w:rPr>
      </w:pPr>
      <w:r>
        <w:rPr>
          <w:rFonts w:ascii="Times New Roman" w:hAnsi="Times New Roman"/>
          <w:lang w:val="lt-LT"/>
        </w:rPr>
        <w:t>EEIG sąnaudose išmokėtos netesybos sudaro 2 000</w:t>
      </w:r>
      <w:r>
        <w:rPr>
          <w:rFonts w:ascii="Times New Roman" w:hAnsi="Times New Roman" w:cs="Times New Roman"/>
          <w:lang w:val="lt-LT"/>
        </w:rPr>
        <w:t xml:space="preserve"> </w:t>
      </w:r>
      <w:r>
        <w:rPr>
          <w:rFonts w:ascii="Times New Roman" w:hAnsi="Times New Roman"/>
          <w:lang w:val="lt-LT"/>
        </w:rPr>
        <w:t>Eur, o reprezentacinės išlaidos – 1000</w:t>
      </w:r>
      <w:r>
        <w:rPr>
          <w:rFonts w:ascii="Times New Roman" w:hAnsi="Times New Roman" w:cs="Times New Roman"/>
          <w:lang w:val="lt-LT"/>
        </w:rPr>
        <w:t xml:space="preserve"> </w:t>
      </w:r>
      <w:r>
        <w:rPr>
          <w:rFonts w:ascii="Times New Roman" w:hAnsi="Times New Roman"/>
          <w:lang w:val="lt-LT"/>
        </w:rPr>
        <w:t>Eur. Lietuvos vienetui atitinkamai tenka 400</w:t>
      </w:r>
      <w:r>
        <w:rPr>
          <w:rFonts w:ascii="Times New Roman" w:hAnsi="Times New Roman" w:cs="Times New Roman"/>
          <w:lang w:val="lt-LT"/>
        </w:rPr>
        <w:t xml:space="preserve"> </w:t>
      </w:r>
      <w:r>
        <w:rPr>
          <w:rFonts w:ascii="Times New Roman" w:hAnsi="Times New Roman"/>
          <w:lang w:val="lt-LT"/>
        </w:rPr>
        <w:t>Eur (2000</w:t>
      </w:r>
      <w:r>
        <w:rPr>
          <w:rFonts w:ascii="Times New Roman" w:hAnsi="Times New Roman" w:cs="Times New Roman"/>
          <w:lang w:val="lt-LT"/>
        </w:rPr>
        <w:t xml:space="preserve"> </w:t>
      </w:r>
      <w:r>
        <w:rPr>
          <w:rFonts w:ascii="Times New Roman" w:hAnsi="Times New Roman"/>
          <w:lang w:val="lt-LT"/>
        </w:rPr>
        <w:t>Eur x 20%) netesybų ir 200</w:t>
      </w:r>
      <w:r>
        <w:rPr>
          <w:rFonts w:ascii="Times New Roman" w:hAnsi="Times New Roman" w:cs="Times New Roman"/>
          <w:lang w:val="lt-LT"/>
        </w:rPr>
        <w:t xml:space="preserve"> </w:t>
      </w:r>
      <w:r>
        <w:rPr>
          <w:rFonts w:ascii="Times New Roman" w:hAnsi="Times New Roman"/>
          <w:lang w:val="lt-LT"/>
        </w:rPr>
        <w:t>Eur (1000 Eur x 20%) reprezentacinių išlaidų. Kadangi Lietuvos vienetas iš savo pajamų gali atskaityti tik tas jam tenkančias EEIG sąnaudas, kurios pagal PMĮ 17 straipsnį gali būti priskiriamos leidžiamiems atskaitymams ar ribojamų dydžių leidžiamiems atskaitymams, tai remiantis PMĮ 31 str. 1 d. 3 punkto nuostatomis, leidžiamiems atskaitymams jis negalės priskirti netesybų, o pagal PMĮ 22 str. 3 dalies nuostatas iš pajamų galės atskaityti ne daugiau kaip 75 procentus reprezentacinių sąnaudų. Taigi, Lietuvos vienetas, apskaičiuodamas 2015 m. apmokestinamąjį pelną, leidžiamiems atskaitymams galėtų priskirti 15 550</w:t>
      </w:r>
      <w:r>
        <w:rPr>
          <w:rFonts w:ascii="Times New Roman" w:hAnsi="Times New Roman" w:cs="Times New Roman"/>
          <w:lang w:val="lt-LT"/>
        </w:rPr>
        <w:t xml:space="preserve"> </w:t>
      </w:r>
      <w:r>
        <w:rPr>
          <w:rFonts w:ascii="Times New Roman" w:hAnsi="Times New Roman"/>
          <w:lang w:val="lt-LT"/>
        </w:rPr>
        <w:t>Eur [16 000 Eur – 400 Eur – (200</w:t>
      </w:r>
      <w:r>
        <w:rPr>
          <w:rFonts w:ascii="Times New Roman" w:hAnsi="Times New Roman" w:cs="Times New Roman"/>
          <w:lang w:val="lt-LT"/>
        </w:rPr>
        <w:t xml:space="preserve"> </w:t>
      </w:r>
      <w:r>
        <w:rPr>
          <w:rFonts w:ascii="Times New Roman" w:hAnsi="Times New Roman"/>
          <w:lang w:val="lt-LT"/>
        </w:rPr>
        <w:t>Eur x 25%)] EEIG sąnaudų.</w:t>
      </w:r>
    </w:p>
    <w:p w14:paraId="36613BA1" w14:textId="77777777" w:rsidR="00093845" w:rsidRDefault="00093845">
      <w:pPr>
        <w:jc w:val="both"/>
        <w:rPr>
          <w:b/>
          <w:bCs/>
          <w:szCs w:val="22"/>
          <w:lang w:val="lt-LT"/>
        </w:rPr>
      </w:pPr>
    </w:p>
    <w:p w14:paraId="4B39576B" w14:textId="77777777" w:rsidR="000F0839" w:rsidRDefault="000D779E">
      <w:pPr>
        <w:ind w:firstLine="720"/>
        <w:jc w:val="both"/>
        <w:rPr>
          <w:b/>
          <w:bCs/>
          <w:szCs w:val="22"/>
          <w:lang w:val="lt-LT"/>
        </w:rPr>
      </w:pPr>
      <w:r>
        <w:rPr>
          <w:b/>
          <w:bCs/>
          <w:szCs w:val="22"/>
          <w:lang w:val="lt-LT"/>
        </w:rPr>
        <w:t>6.</w:t>
      </w:r>
      <w:r w:rsidR="000F0839">
        <w:rPr>
          <w:b/>
          <w:bCs/>
          <w:szCs w:val="22"/>
          <w:lang w:val="lt-LT"/>
        </w:rPr>
        <w:t xml:space="preserve">  </w:t>
      </w:r>
      <w:r w:rsidR="000F0839" w:rsidRPr="00EC18FD">
        <w:rPr>
          <w:b/>
          <w:lang w:val="lt-LT"/>
        </w:rPr>
        <w:t xml:space="preserve">Priskiriamos Europos ekonominių interesų grupės pajamos ir sąnaudos išreiškiamos eurais taikant euro ir užsienio valiutos santykį, nustatytą pagal </w:t>
      </w:r>
      <w:r w:rsidR="000F0839">
        <w:rPr>
          <w:b/>
          <w:lang w:val="lt-LT"/>
        </w:rPr>
        <w:t>Lietuvos Respublikos f</w:t>
      </w:r>
      <w:r w:rsidR="000F0839" w:rsidRPr="00EC18FD">
        <w:rPr>
          <w:b/>
          <w:lang w:val="lt-LT"/>
        </w:rPr>
        <w:t>inansinės apskaitos įstatymą pajamų ir sąnaudų priskyrimo dieną.</w:t>
      </w:r>
      <w:r>
        <w:rPr>
          <w:b/>
          <w:bCs/>
          <w:szCs w:val="22"/>
          <w:lang w:val="lt-LT"/>
        </w:rPr>
        <w:t xml:space="preserve"> </w:t>
      </w:r>
    </w:p>
    <w:p w14:paraId="71DB8C18" w14:textId="77777777" w:rsidR="000F0839" w:rsidRPr="000F0839" w:rsidRDefault="000F0839" w:rsidP="000F0839">
      <w:pPr>
        <w:tabs>
          <w:tab w:val="left" w:pos="720"/>
          <w:tab w:val="left" w:pos="1077"/>
          <w:tab w:val="left" w:pos="1418"/>
        </w:tabs>
        <w:jc w:val="both"/>
        <w:rPr>
          <w:bCs/>
          <w:i/>
          <w:szCs w:val="20"/>
          <w:lang w:val="lt-LT"/>
        </w:rPr>
      </w:pPr>
      <w:r w:rsidRPr="000F0839">
        <w:rPr>
          <w:bCs/>
          <w:i/>
          <w:szCs w:val="20"/>
          <w:lang w:val="lt-LT"/>
        </w:rPr>
        <w:t>(pagal 2021 m. lapkričio 23 d. įstatymo Nr. XIV-686 redakciją; taikoma nuo 2022 m. gegužės 1 d.  )</w:t>
      </w:r>
    </w:p>
    <w:p w14:paraId="0E9A67F6" w14:textId="77777777" w:rsidR="00093845" w:rsidRDefault="000D779E">
      <w:pPr>
        <w:ind w:firstLine="720"/>
        <w:jc w:val="both"/>
        <w:rPr>
          <w:b/>
          <w:bCs/>
          <w:szCs w:val="22"/>
          <w:lang w:val="lt-LT"/>
        </w:rPr>
      </w:pPr>
      <w:r>
        <w:rPr>
          <w:b/>
          <w:bCs/>
          <w:szCs w:val="22"/>
          <w:lang w:val="lt-LT"/>
        </w:rPr>
        <w:t>Komentaras</w:t>
      </w:r>
    </w:p>
    <w:p w14:paraId="549309EE" w14:textId="77777777" w:rsidR="000646C8" w:rsidRPr="000646C8" w:rsidRDefault="000646C8" w:rsidP="000646C8">
      <w:pPr>
        <w:pStyle w:val="Pagrindiniotekstotrauka3"/>
        <w:rPr>
          <w:bCs/>
        </w:rPr>
      </w:pPr>
      <w:r w:rsidRPr="000646C8">
        <w:rPr>
          <w:rFonts w:ascii="Times New Roman" w:hAnsi="Times New Roman"/>
        </w:rPr>
        <w:t xml:space="preserve">Lietuvos vienetui tenkančios ne Lietuvoje registruotos EEIG pajamos ir sąnaudos turi būti nurodomos </w:t>
      </w:r>
      <w:r w:rsidRPr="000646C8">
        <w:rPr>
          <w:rFonts w:ascii="Times New Roman" w:hAnsi="Times New Roman"/>
          <w:bCs/>
        </w:rPr>
        <w:t>eurais taikant euro ir užsienio valiutos santykį, nustatytą pagal Lietuvos Respublikos finansinės apskaitos įstatymą pajamų ir sąnaudų priskyrimo dieną</w:t>
      </w:r>
      <w:r w:rsidRPr="000646C8">
        <w:rPr>
          <w:rFonts w:ascii="Times New Roman" w:hAnsi="Times New Roman"/>
        </w:rPr>
        <w:t xml:space="preserve">, t. y. EEIG finansinio laikotarpio paskutinę dieną. </w:t>
      </w:r>
    </w:p>
    <w:p w14:paraId="27F0C6D4" w14:textId="77777777" w:rsidR="000646C8" w:rsidRPr="000646C8" w:rsidRDefault="000646C8" w:rsidP="000646C8">
      <w:pPr>
        <w:ind w:firstLine="720"/>
        <w:jc w:val="both"/>
        <w:rPr>
          <w:lang w:val="lt-LT"/>
        </w:rPr>
      </w:pPr>
      <w:r w:rsidRPr="000646C8">
        <w:rPr>
          <w:lang w:val="lt-LT"/>
        </w:rPr>
        <w:t>Pavyzdys</w:t>
      </w:r>
    </w:p>
    <w:p w14:paraId="5B0884E9" w14:textId="77777777" w:rsidR="000646C8" w:rsidRPr="000646C8" w:rsidRDefault="000646C8" w:rsidP="000646C8">
      <w:pPr>
        <w:pBdr>
          <w:top w:val="single" w:sz="4" w:space="1" w:color="auto"/>
          <w:left w:val="single" w:sz="4" w:space="4" w:color="auto"/>
          <w:bottom w:val="single" w:sz="4" w:space="1" w:color="auto"/>
          <w:right w:val="single" w:sz="4" w:space="4" w:color="auto"/>
        </w:pBdr>
        <w:ind w:firstLine="720"/>
        <w:jc w:val="both"/>
        <w:rPr>
          <w:lang w:val="lt-LT"/>
        </w:rPr>
      </w:pPr>
      <w:r w:rsidRPr="000646C8">
        <w:rPr>
          <w:lang w:val="lt-LT"/>
        </w:rPr>
        <w:lastRenderedPageBreak/>
        <w:t>Lietuvos vieneto, EEIG, įsteigtos vienoje iš ES ne euro zonos valstybių narių, dalyvio, mokestinis laikotarpis yra kalendoriniai metai, kuris sutampa su tos EEIG finansiniu laikotarpiu.</w:t>
      </w:r>
    </w:p>
    <w:p w14:paraId="70DFCCF0" w14:textId="77777777" w:rsidR="000646C8" w:rsidRPr="000646C8" w:rsidRDefault="000646C8" w:rsidP="000646C8">
      <w:pPr>
        <w:pBdr>
          <w:top w:val="single" w:sz="4" w:space="1" w:color="auto"/>
          <w:left w:val="single" w:sz="4" w:space="4" w:color="auto"/>
          <w:bottom w:val="single" w:sz="4" w:space="1" w:color="auto"/>
          <w:right w:val="single" w:sz="4" w:space="4" w:color="auto"/>
        </w:pBdr>
        <w:ind w:firstLine="720"/>
        <w:jc w:val="both"/>
        <w:rPr>
          <w:lang w:val="lt-LT"/>
        </w:rPr>
      </w:pPr>
      <w:r w:rsidRPr="000646C8">
        <w:rPr>
          <w:lang w:val="lt-LT"/>
        </w:rPr>
        <w:t xml:space="preserve">Lietuvos vienetas, apskaičiuodamas 2022 mokestinių metų apmokestinamąjį pelną, į šio mokestinio laikotarpio pajamas įtrauks ir atitinkamai apskaičiuotas EEIG 2022 metų pajamas bei sąnaudas, apskaičiuotas pagal </w:t>
      </w:r>
      <w:r w:rsidRPr="000646C8">
        <w:rPr>
          <w:bCs/>
          <w:lang w:val="lt-LT"/>
        </w:rPr>
        <w:t>euro ir užsienio valiutos santykį (pagal Lietuvos Respublikos  finansinės apskaitos įstatymą)</w:t>
      </w:r>
      <w:r w:rsidRPr="000646C8">
        <w:rPr>
          <w:lang w:val="lt-LT"/>
        </w:rPr>
        <w:t>, nustatytą 2022-12-31.</w:t>
      </w:r>
    </w:p>
    <w:p w14:paraId="54C5FB69" w14:textId="77777777" w:rsidR="000646C8" w:rsidRPr="00A53581" w:rsidRDefault="000646C8" w:rsidP="000646C8">
      <w:r w:rsidRPr="00A53581">
        <w:rPr>
          <w:i/>
          <w:color w:val="000000" w:themeColor="text1"/>
        </w:rPr>
        <w:t>(Pakeistas pagal</w:t>
      </w:r>
      <w:r w:rsidRPr="009F1C95">
        <w:rPr>
          <w:i/>
          <w:color w:val="000000" w:themeColor="text1"/>
        </w:rPr>
        <w:t xml:space="preserve"> VMI prie FM 2022-04-</w:t>
      </w:r>
      <w:r w:rsidRPr="000646C8">
        <w:rPr>
          <w:i/>
          <w:color w:val="000000" w:themeColor="text1"/>
        </w:rPr>
        <w:t>07</w:t>
      </w:r>
      <w:r w:rsidRPr="000646C8">
        <w:rPr>
          <w:b/>
          <w:i/>
          <w:color w:val="000000" w:themeColor="text1"/>
        </w:rPr>
        <w:t xml:space="preserve"> </w:t>
      </w:r>
      <w:r w:rsidRPr="000646C8">
        <w:rPr>
          <w:rStyle w:val="Hipersaitas"/>
          <w:b w:val="0"/>
          <w:i/>
          <w:color w:val="000000" w:themeColor="text1"/>
        </w:rPr>
        <w:t>raštą</w:t>
      </w:r>
      <w:r w:rsidRPr="009F1C95">
        <w:rPr>
          <w:i/>
          <w:color w:val="000000" w:themeColor="text1"/>
        </w:rPr>
        <w:t xml:space="preserve"> Nr. (18.10-31-1)-RM-12183)</w:t>
      </w:r>
    </w:p>
    <w:p w14:paraId="4A4ADE75" w14:textId="77777777" w:rsidR="00093845" w:rsidRDefault="00093845">
      <w:pPr>
        <w:pStyle w:val="Pagrindiniotekstotrauka3"/>
        <w:autoSpaceDE/>
        <w:autoSpaceDN/>
        <w:ind w:firstLine="0"/>
        <w:rPr>
          <w:rFonts w:ascii="Times New Roman" w:hAnsi="Times New Roman"/>
        </w:rPr>
      </w:pPr>
    </w:p>
    <w:p w14:paraId="35451D40" w14:textId="77777777" w:rsidR="00093845" w:rsidRDefault="000D779E">
      <w:pPr>
        <w:ind w:firstLine="720"/>
        <w:jc w:val="both"/>
        <w:rPr>
          <w:rFonts w:ascii="Arial Unicode MS" w:hAnsi="Arial Unicode MS" w:cs="Arial Unicode MS"/>
          <w:b/>
          <w:bCs/>
          <w:lang w:val="lt-LT"/>
        </w:rPr>
      </w:pPr>
      <w:r>
        <w:rPr>
          <w:b/>
          <w:bCs/>
          <w:szCs w:val="22"/>
          <w:lang w:val="lt-LT"/>
        </w:rPr>
        <w:t>7. Europos ekonominių interesų grupės dalyvis į savo pajamas neįtraukia iš Europos ekonominių interesų grupės gauto pelno ar jo dalies.</w:t>
      </w:r>
    </w:p>
    <w:p w14:paraId="377FE58F" w14:textId="77777777" w:rsidR="00093845" w:rsidRDefault="000D779E">
      <w:pPr>
        <w:tabs>
          <w:tab w:val="left" w:pos="720"/>
          <w:tab w:val="left" w:pos="1077"/>
          <w:tab w:val="left" w:pos="1418"/>
        </w:tabs>
        <w:autoSpaceDE w:val="0"/>
        <w:autoSpaceDN w:val="0"/>
        <w:ind w:firstLine="720"/>
        <w:jc w:val="both"/>
        <w:rPr>
          <w:b/>
          <w:bCs/>
          <w:lang w:val="lt-LT"/>
        </w:rPr>
      </w:pPr>
      <w:r>
        <w:rPr>
          <w:b/>
          <w:bCs/>
          <w:lang w:val="lt-LT"/>
        </w:rPr>
        <w:t>Komentaras</w:t>
      </w:r>
    </w:p>
    <w:p w14:paraId="40967976" w14:textId="77777777" w:rsidR="00093845" w:rsidRDefault="000D779E">
      <w:pPr>
        <w:pStyle w:val="Pagrindiniotekstotrauka3"/>
        <w:autoSpaceDE/>
        <w:autoSpaceDN/>
        <w:rPr>
          <w:rFonts w:ascii="Times New Roman" w:hAnsi="Times New Roman"/>
        </w:rPr>
      </w:pPr>
      <w:r>
        <w:rPr>
          <w:rFonts w:ascii="Times New Roman" w:hAnsi="Times New Roman"/>
        </w:rPr>
        <w:t>Lietuvos vienetas, EEIG dalyvis, apskaičiuodamas savo apmokestinamąjį pelną, į pajamas neįtraukia iš EEIG gauto paskirstyto ir išmokėto pelno ar jo dalies.</w:t>
      </w:r>
    </w:p>
    <w:p w14:paraId="67BE8DE3" w14:textId="77777777" w:rsidR="00093845" w:rsidRDefault="000D779E" w:rsidP="00F15E3F">
      <w:pPr>
        <w:pStyle w:val="Pagrindiniotekstotrauka3"/>
        <w:autoSpaceDE/>
        <w:autoSpaceDN/>
        <w:rPr>
          <w:rFonts w:ascii="Times New Roman" w:hAnsi="Times New Roman"/>
        </w:rPr>
      </w:pPr>
      <w:r>
        <w:rPr>
          <w:rFonts w:ascii="Times New Roman" w:hAnsi="Times New Roman"/>
        </w:rPr>
        <w:t xml:space="preserve"> Pavyzdys </w:t>
      </w:r>
    </w:p>
    <w:p w14:paraId="14563E7F" w14:textId="77777777" w:rsidR="00093845" w:rsidRDefault="000D779E">
      <w:pPr>
        <w:pStyle w:val="Pagrindiniotekstotrauka"/>
        <w:pBdr>
          <w:top w:val="single" w:sz="4" w:space="2" w:color="auto"/>
          <w:left w:val="single" w:sz="4" w:space="4" w:color="auto"/>
          <w:bottom w:val="single" w:sz="4" w:space="1" w:color="auto"/>
          <w:right w:val="single" w:sz="4" w:space="4" w:color="auto"/>
        </w:pBdr>
        <w:tabs>
          <w:tab w:val="left" w:pos="720"/>
          <w:tab w:val="left" w:pos="1077"/>
          <w:tab w:val="left" w:pos="1418"/>
        </w:tabs>
        <w:ind w:right="71"/>
        <w:rPr>
          <w:rFonts w:ascii="Times New Roman" w:hAnsi="Times New Roman" w:cs="Times New Roman"/>
          <w:lang w:val="lt-LT"/>
        </w:rPr>
      </w:pPr>
      <w:r>
        <w:rPr>
          <w:rFonts w:ascii="Times New Roman" w:hAnsi="Times New Roman" w:cs="Times New Roman"/>
          <w:lang w:val="lt-LT"/>
        </w:rPr>
        <w:t>Tarkime, kad EEIG per 2015 m. finansinį laikotarpį uždirbo 100 000 Eur pajamų ir patyrė 80 000 Eur sąnaudų. Lietuvos vieneto, šios EEIG dalyvio, dalis šioje grupėje sudaro 10 proc. 2016 metais EEIG dalyviams paskirsto 2015 finansinių metų rezultatą ir Lietuvos vienetui 2016 metais išmoka 2 000 Eur [(100 000 Eur</w:t>
      </w:r>
      <w:r>
        <w:rPr>
          <w:rFonts w:ascii="Times New Roman" w:hAnsi="Times New Roman"/>
          <w:lang w:val="lt-LT"/>
        </w:rPr>
        <w:t xml:space="preserve"> – 80 000 Eur) x 10 %]. Šių pajamų (iš </w:t>
      </w:r>
      <w:r>
        <w:rPr>
          <w:rFonts w:ascii="Times New Roman" w:hAnsi="Times New Roman" w:cs="Times New Roman"/>
          <w:lang w:val="lt-LT"/>
        </w:rPr>
        <w:t xml:space="preserve">EEIG gauto paskirstyto pelno dalies), Lietuvos vienetas, apskaičiuodamas savo apmokestinamąjį pelną, į pajamas neįtraukia. </w:t>
      </w:r>
    </w:p>
    <w:p w14:paraId="4BA8395F" w14:textId="77777777" w:rsidR="00093845" w:rsidRDefault="000D779E">
      <w:r>
        <w:t>(PMĮ 39-1 str. komentaras pakeistas pagal VMI prie FM 2015-05-20 raštą Nr. (32-42-31-1)-RM-11238)).</w:t>
      </w:r>
    </w:p>
    <w:p w14:paraId="0FADC3F0" w14:textId="77777777" w:rsidR="00093845" w:rsidRDefault="00093845">
      <w:pPr>
        <w:pStyle w:val="Pagrindiniotekstotrauka2"/>
        <w:tabs>
          <w:tab w:val="left" w:pos="720"/>
          <w:tab w:val="left" w:pos="1077"/>
          <w:tab w:val="left" w:pos="1134"/>
          <w:tab w:val="left" w:pos="1418"/>
        </w:tabs>
        <w:spacing w:line="240" w:lineRule="auto"/>
        <w:ind w:firstLine="0"/>
        <w:rPr>
          <w:b w:val="0"/>
          <w:bCs w:val="0"/>
        </w:rPr>
      </w:pPr>
    </w:p>
    <w:p w14:paraId="18427A2C" w14:textId="77777777" w:rsidR="00093845" w:rsidRDefault="000D779E" w:rsidP="00CE6C73">
      <w:pPr>
        <w:pStyle w:val="Antrat3"/>
        <w:rPr>
          <w:szCs w:val="18"/>
        </w:rPr>
      </w:pPr>
      <w:bookmarkStart w:id="542" w:name="_40_STRAIPSNIS._Sandorių"/>
      <w:bookmarkEnd w:id="542"/>
      <w:r>
        <w:rPr>
          <w:szCs w:val="18"/>
        </w:rPr>
        <w:t>40 STRAIPSNIS. Sandorių arba ūkinių operacijų vertės koregavimas ir pajamų ar išmokų apibūdinimas iš naujo</w:t>
      </w:r>
    </w:p>
    <w:p w14:paraId="4955B55D" w14:textId="77777777" w:rsidR="00093845" w:rsidRPr="0014647B" w:rsidRDefault="000D779E" w:rsidP="005547F6">
      <w:pPr>
        <w:pStyle w:val="Antrat3"/>
        <w:tabs>
          <w:tab w:val="left" w:pos="720"/>
          <w:tab w:val="left" w:pos="1077"/>
          <w:tab w:val="left" w:pos="1134"/>
          <w:tab w:val="left" w:pos="1418"/>
        </w:tabs>
        <w:spacing w:line="240" w:lineRule="auto"/>
        <w:ind w:firstLine="0"/>
        <w:rPr>
          <w:b w:val="0"/>
          <w:bCs w:val="0"/>
          <w:i/>
          <w:color w:val="000000"/>
          <w:lang w:eastAsia="lt-LT"/>
        </w:rPr>
      </w:pPr>
      <w:r w:rsidRPr="0014647B">
        <w:rPr>
          <w:i/>
        </w:rPr>
        <w:t>(</w:t>
      </w:r>
      <w:r w:rsidRPr="0014647B">
        <w:rPr>
          <w:b w:val="0"/>
          <w:i/>
          <w:color w:val="000000"/>
          <w:lang w:eastAsia="lt-LT"/>
        </w:rPr>
        <w:t>KEISTA:</w:t>
      </w:r>
      <w:r w:rsidRPr="0014647B">
        <w:rPr>
          <w:b w:val="0"/>
          <w:bCs w:val="0"/>
          <w:i/>
          <w:color w:val="000000"/>
          <w:lang w:val="en-US" w:eastAsia="lt-LT"/>
        </w:rPr>
        <w:t xml:space="preserve"> </w:t>
      </w:r>
      <w:r w:rsidRPr="0014647B">
        <w:rPr>
          <w:b w:val="0"/>
          <w:bCs w:val="0"/>
          <w:i/>
          <w:color w:val="000000"/>
          <w:lang w:eastAsia="lt-LT"/>
        </w:rPr>
        <w:t>2004 01 22 įstatymu Nr. IX-1972 (nuo 2004 02 14)</w:t>
      </w:r>
      <w:r w:rsidR="00E34925" w:rsidRPr="0014647B">
        <w:rPr>
          <w:b w:val="0"/>
          <w:bCs w:val="0"/>
          <w:i/>
          <w:color w:val="000000"/>
          <w:lang w:eastAsia="lt-LT"/>
        </w:rPr>
        <w:t>,</w:t>
      </w:r>
      <w:r w:rsidR="00D63B56" w:rsidRPr="0014647B">
        <w:rPr>
          <w:i/>
        </w:rPr>
        <w:t xml:space="preserve"> </w:t>
      </w:r>
      <w:r w:rsidR="00D63B56" w:rsidRPr="0014647B">
        <w:rPr>
          <w:b w:val="0"/>
          <w:bCs w:val="0"/>
          <w:i/>
          <w:color w:val="000000"/>
          <w:lang w:eastAsia="lt-LT"/>
        </w:rPr>
        <w:t>nuostatos taikomos nuo 2004 metais prasidėjusio mokestinio laikotarpio pradžios)</w:t>
      </w:r>
    </w:p>
    <w:p w14:paraId="781B8048" w14:textId="77777777" w:rsidR="00A14D2D" w:rsidRDefault="00A14D2D" w:rsidP="00A1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
          <w:bCs/>
          <w:szCs w:val="20"/>
        </w:rPr>
      </w:pPr>
      <w:r>
        <w:rPr>
          <w:lang w:val="lt-LT"/>
        </w:rPr>
        <w:t xml:space="preserve">              </w:t>
      </w:r>
      <w:r>
        <w:rPr>
          <w:b/>
          <w:bCs/>
          <w:szCs w:val="20"/>
        </w:rPr>
        <w:t xml:space="preserve">1. Vienetai, šio Įstatymo nustatyta tvarka apskaičiuodami apmokestinamąjį pelną, pajamomis iš bet kokio sandorio arba bet kokios ūkinės operacijos turi pripažinti sumą, atitinkančią tokio sandorio arba tokios ūkinės operacijos tikrąją rinkos kainą, o leidžiamais atskaitymais arba ribojamų dydžių leidžiamais atskaitymais turi pripažinti bet kokio sandorio arba bet kokios ūkinės operacijos sąnaudų sumą, atitinkančią tokio sandorio arba tokios ūkinės operacijos tikrąją rinkos kainą. </w:t>
      </w:r>
    </w:p>
    <w:p w14:paraId="52153FA5" w14:textId="77777777" w:rsidR="00A14D2D" w:rsidRDefault="00A14D2D" w:rsidP="00A14D2D">
      <w:pPr>
        <w:tabs>
          <w:tab w:val="left" w:pos="720"/>
          <w:tab w:val="left" w:pos="1077"/>
          <w:tab w:val="left" w:pos="1418"/>
        </w:tabs>
        <w:spacing w:line="254" w:lineRule="auto"/>
        <w:ind w:firstLine="720"/>
        <w:jc w:val="both"/>
        <w:rPr>
          <w:b/>
          <w:bCs/>
        </w:rPr>
      </w:pPr>
      <w:r>
        <w:t xml:space="preserve"> </w:t>
      </w:r>
      <w:r>
        <w:rPr>
          <w:b/>
          <w:bCs/>
        </w:rPr>
        <w:t>Komentaras</w:t>
      </w:r>
    </w:p>
    <w:p w14:paraId="14376F97" w14:textId="77777777" w:rsidR="00A14D2D" w:rsidRDefault="00A14D2D" w:rsidP="00A14D2D">
      <w:pPr>
        <w:tabs>
          <w:tab w:val="left" w:pos="720"/>
        </w:tabs>
        <w:ind w:firstLine="540"/>
        <w:jc w:val="both"/>
      </w:pPr>
      <w:r>
        <w:rPr>
          <w:rFonts w:ascii="TimesLT" w:hAnsi="TimesLT" w:cs="Arial Unicode MS"/>
        </w:rPr>
        <w:t xml:space="preserve">  </w:t>
      </w:r>
      <w:r>
        <w:t xml:space="preserve">1. Pagal šio straipsnio nuostatas, vienetai, apskaičiuodami apmokestinamąjį pelną, pajamomis arba sąnaudomis (leidžiamais atskaitymais ir ribojamų dydžių leidžiamais atskaitymais) iš bet kokio sandorio arba bet kokios ūkinės operacijos turi pripažinti sumą, atitinkančią tokio sandorio arba tokios ūkinės operacijos tikrąją rinkos kainą. </w:t>
      </w:r>
    </w:p>
    <w:p w14:paraId="2DC0B4BF" w14:textId="77777777" w:rsidR="00A14D2D" w:rsidRDefault="00A14D2D" w:rsidP="00A14D2D">
      <w:pPr>
        <w:tabs>
          <w:tab w:val="left" w:pos="1080"/>
        </w:tabs>
        <w:spacing w:line="254" w:lineRule="auto"/>
        <w:jc w:val="both"/>
      </w:pPr>
      <w:r>
        <w:t>Tikrosios rinkos kainos sąvoka apibrėžta PMĮ 2 straipsnio 3</w:t>
      </w:r>
      <w:r w:rsidRPr="00CC34A9">
        <w:t>7</w:t>
      </w:r>
      <w:r>
        <w:t xml:space="preserve"> dalyje. </w:t>
      </w:r>
    </w:p>
    <w:p w14:paraId="54E2C267" w14:textId="77777777" w:rsidR="00A14D2D" w:rsidRDefault="00A14D2D" w:rsidP="00A14D2D">
      <w:pPr>
        <w:tabs>
          <w:tab w:val="left" w:pos="1080"/>
        </w:tabs>
        <w:spacing w:line="254" w:lineRule="auto"/>
        <w:ind w:firstLine="720"/>
        <w:jc w:val="both"/>
      </w:pPr>
      <w:r>
        <w:t xml:space="preserve">2. </w:t>
      </w:r>
      <w:r w:rsidRPr="00E03065">
        <w:t>Jei sandoriuose</w:t>
      </w:r>
      <w:r w:rsidRPr="00CC34A9">
        <w:t xml:space="preserve">, sudarytuose tarp asocijuotų asmenų, </w:t>
      </w:r>
      <w:r w:rsidRPr="00E03065">
        <w:t>nustatytos kainos neatitinka tikrosios rinkos kainos ir šioje dalyje nustatyta prievolė nevykdoma, tai tuomet taikoma šio straipsnio 2 dalis.</w:t>
      </w:r>
      <w:r>
        <w:t xml:space="preserve">  </w:t>
      </w:r>
      <w:r w:rsidRPr="00566E2F">
        <w:rPr>
          <w:color w:val="FF0000"/>
        </w:rPr>
        <w:t xml:space="preserve"> </w:t>
      </w:r>
      <w:r>
        <w:t xml:space="preserve"> </w:t>
      </w:r>
    </w:p>
    <w:p w14:paraId="1A48BA0B" w14:textId="77777777" w:rsidR="00A14D2D" w:rsidRPr="00A14D2D" w:rsidRDefault="00A14D2D" w:rsidP="00A14D2D">
      <w:pPr>
        <w:jc w:val="both"/>
        <w:rPr>
          <w:sz w:val="22"/>
          <w:szCs w:val="22"/>
          <w:lang w:val="lt-LT"/>
        </w:rPr>
      </w:pPr>
      <w:r w:rsidRPr="00A14D2D">
        <w:lastRenderedPageBreak/>
        <w:t>(PMĮ 40 straipsnio 1 d. komentaras pakeistas pagal VMI prie FM 2024-01-23 raštą Nr. (32.42-31-1-Mr) R-293).</w:t>
      </w:r>
    </w:p>
    <w:p w14:paraId="7315FC8D" w14:textId="77777777" w:rsidR="00560A96" w:rsidRDefault="00560A96" w:rsidP="00560A96">
      <w:pPr>
        <w:tabs>
          <w:tab w:val="left" w:pos="720"/>
          <w:tab w:val="left" w:pos="1134"/>
        </w:tabs>
        <w:spacing w:line="254" w:lineRule="auto"/>
        <w:jc w:val="both"/>
        <w:rPr>
          <w:bCs/>
        </w:rPr>
      </w:pPr>
      <w:r>
        <w:rPr>
          <w:b/>
          <w:bCs/>
        </w:rPr>
        <w:t xml:space="preserve">2. Jei asocijuotų asmenų tarpusavio sandoriuose arba ūkinėse operacijose sudaromos arba nustatomos kitokios sąlygos, negu būtų sudaromos ar nustatomos neasocijuotų asmenų tarpusavio sandoriu arba ūkine operacija, tada bet koks pelnas (pajamos), kuris, jei tokių sąlygų nebūtų, būtų priskiriamas vienam iš tų asmenų, bet dėl tokių sąlygų jam nepriskiriamas, gali būti įtraukiamas į to asmens pajamas ir atitinkamai apmokestinamas. Finansų ministras nustato šios dalies įgyvendinimo taisykles. </w:t>
      </w:r>
    </w:p>
    <w:p w14:paraId="2D86B525" w14:textId="77777777" w:rsidR="00560A96" w:rsidRDefault="00560A96" w:rsidP="00560A96">
      <w:pPr>
        <w:tabs>
          <w:tab w:val="left" w:pos="720"/>
          <w:tab w:val="left" w:pos="1134"/>
          <w:tab w:val="left" w:pos="1418"/>
        </w:tabs>
        <w:autoSpaceDE w:val="0"/>
        <w:autoSpaceDN w:val="0"/>
        <w:spacing w:line="254" w:lineRule="auto"/>
        <w:ind w:firstLine="720"/>
        <w:jc w:val="both"/>
        <w:outlineLvl w:val="4"/>
        <w:rPr>
          <w:b/>
          <w:bCs/>
        </w:rPr>
      </w:pPr>
      <w:r>
        <w:rPr>
          <w:b/>
          <w:bCs/>
        </w:rPr>
        <w:t>Komentaras</w:t>
      </w:r>
    </w:p>
    <w:p w14:paraId="23E0131A" w14:textId="77777777" w:rsidR="00560A96" w:rsidRDefault="00D935D5" w:rsidP="00560A96">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1. </w:t>
      </w:r>
      <w:r w:rsidR="00560A96">
        <w:rPr>
          <w:szCs w:val="20"/>
        </w:rPr>
        <w:t>Asocijuotų asmenų sąvoka apibrėžta PMĮ 2 str. 8 dalyje (žr. šios dalies komentarą).</w:t>
      </w:r>
    </w:p>
    <w:p w14:paraId="66498AEF" w14:textId="77777777" w:rsidR="00560A96" w:rsidRDefault="00D935D5" w:rsidP="00560A96">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2. </w:t>
      </w:r>
      <w:r w:rsidR="00560A96">
        <w:rPr>
          <w:szCs w:val="20"/>
        </w:rPr>
        <w:t xml:space="preserve">PMĮ 40 str. 2 dalies įgyvendinimo taisyklės patvirtintos Finansų ministro 2004-04-09 </w:t>
      </w:r>
      <w:r w:rsidR="00560A96" w:rsidRPr="00CC34A9">
        <w:rPr>
          <w:rFonts w:ascii="TimesLT" w:hAnsi="TimesLT" w:cs="Arial Unicode MS"/>
          <w:bCs/>
          <w:kern w:val="36"/>
        </w:rPr>
        <w:t>įsakymu Nr. 1K-123</w:t>
      </w:r>
      <w:r w:rsidR="00560A96" w:rsidRPr="00CC34A9">
        <w:rPr>
          <w:szCs w:val="20"/>
        </w:rPr>
        <w:t xml:space="preserve"> „</w:t>
      </w:r>
      <w:r w:rsidR="00560A96">
        <w:rPr>
          <w:szCs w:val="20"/>
        </w:rPr>
        <w:t>Dėl Lietuvos Respublikos pelno mokesčio įstatymo 40 straipsnio 2 dalies ir Lietuvos Respublikos gyventojų pajamų mokesčio įstatymo 15 straipsnio 2 dalies įgyvendinimo taisyklių” (toliau - Taisyklės).</w:t>
      </w:r>
    </w:p>
    <w:p w14:paraId="2E63DF66" w14:textId="77777777" w:rsidR="00D935D5" w:rsidRDefault="00D935D5" w:rsidP="00D935D5">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Pr>
          <w:szCs w:val="20"/>
        </w:rPr>
        <w:t xml:space="preserve">Kadangi asocijuoti asmenys tarpusavio sandoriams ar operacijoms (toliau - </w:t>
      </w:r>
      <w:r w:rsidR="00560A96" w:rsidRPr="00CC34A9">
        <w:rPr>
          <w:szCs w:val="20"/>
        </w:rPr>
        <w:t>kontroliuojamieji sandoriai</w:t>
      </w:r>
      <w:r w:rsidR="00560A96">
        <w:rPr>
          <w:szCs w:val="20"/>
        </w:rPr>
        <w:t>) gali nustatyti kainą neatsižvelgdami į rinkos dėsnius, jų nustatyta kaina gali neatitikti tikrosios rinkos kainos. Todėl šios Taisyklės skirtos sandorio ar ūkinės operacijos tikrajai rinkos kainai apskaičiuoti.</w:t>
      </w:r>
      <w:r>
        <w:rPr>
          <w:szCs w:val="20"/>
        </w:rPr>
        <w:t xml:space="preserve"> </w:t>
      </w:r>
      <w:r w:rsidR="00560A96">
        <w:rPr>
          <w:szCs w:val="20"/>
        </w:rPr>
        <w:tab/>
      </w:r>
    </w:p>
    <w:p w14:paraId="487E0719" w14:textId="77777777" w:rsidR="00560A96" w:rsidRPr="00D935D5" w:rsidRDefault="00D935D5" w:rsidP="00D935D5">
      <w:pPr>
        <w:tabs>
          <w:tab w:val="left" w:pos="720"/>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rPr>
      </w:pPr>
      <w:r>
        <w:rPr>
          <w:szCs w:val="20"/>
        </w:rPr>
        <w:t xml:space="preserve">   3.</w:t>
      </w:r>
      <w:r w:rsidR="00560A96" w:rsidRPr="00D935D5">
        <w:rPr>
          <w:szCs w:val="20"/>
        </w:rPr>
        <w:t>Taisyklėse nustatyta tvarka tikrąją rinkos kainą apskaičiuoja:</w:t>
      </w:r>
    </w:p>
    <w:p w14:paraId="25E32905" w14:textId="77777777" w:rsidR="00560A96" w:rsidRDefault="00560A96" w:rsidP="00D935D5">
      <w:pPr>
        <w:numPr>
          <w:ilvl w:val="0"/>
          <w:numId w:val="39"/>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mokėtojas, nustatydamas kainą </w:t>
      </w:r>
      <w:r w:rsidRPr="00CC34A9">
        <w:rPr>
          <w:szCs w:val="20"/>
        </w:rPr>
        <w:t xml:space="preserve">kontroliuojamajam </w:t>
      </w:r>
      <w:r>
        <w:rPr>
          <w:szCs w:val="20"/>
        </w:rPr>
        <w:t>sandoriui;</w:t>
      </w:r>
    </w:p>
    <w:p w14:paraId="16A95D9D" w14:textId="77777777" w:rsidR="00560A96" w:rsidRDefault="00560A96" w:rsidP="00D935D5">
      <w:pPr>
        <w:numPr>
          <w:ilvl w:val="0"/>
          <w:numId w:val="39"/>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mokėtojas, </w:t>
      </w:r>
      <w:r w:rsidRPr="00CC34A9">
        <w:rPr>
          <w:szCs w:val="20"/>
        </w:rPr>
        <w:t>vertindamas,</w:t>
      </w:r>
      <w:r>
        <w:rPr>
          <w:szCs w:val="20"/>
        </w:rPr>
        <w:t xml:space="preserve"> ar </w:t>
      </w:r>
      <w:r w:rsidRPr="00CC34A9">
        <w:rPr>
          <w:szCs w:val="20"/>
        </w:rPr>
        <w:t>kontroliuojamojo</w:t>
      </w:r>
      <w:r w:rsidRPr="00DD3202">
        <w:rPr>
          <w:b/>
          <w:szCs w:val="20"/>
        </w:rPr>
        <w:t xml:space="preserve"> </w:t>
      </w:r>
      <w:r>
        <w:rPr>
          <w:szCs w:val="20"/>
        </w:rPr>
        <w:t xml:space="preserve">sandorio kaina </w:t>
      </w:r>
      <w:r w:rsidRPr="00CC34A9">
        <w:rPr>
          <w:szCs w:val="20"/>
        </w:rPr>
        <w:t>atitinka</w:t>
      </w:r>
      <w:r>
        <w:rPr>
          <w:szCs w:val="20"/>
        </w:rPr>
        <w:t xml:space="preserve"> tikrąją rinkos kainą;</w:t>
      </w:r>
    </w:p>
    <w:p w14:paraId="7A791DBC" w14:textId="77777777" w:rsidR="00560A96" w:rsidRDefault="00560A96" w:rsidP="00D935D5">
      <w:pPr>
        <w:numPr>
          <w:ilvl w:val="0"/>
          <w:numId w:val="39"/>
        </w:numPr>
        <w:tabs>
          <w:tab w:val="left" w:pos="1134"/>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96"/>
        <w:jc w:val="both"/>
        <w:rPr>
          <w:szCs w:val="20"/>
        </w:rPr>
      </w:pPr>
      <w:r>
        <w:rPr>
          <w:szCs w:val="20"/>
        </w:rPr>
        <w:t xml:space="preserve">mokesčių administratorius, nustatydamas </w:t>
      </w:r>
      <w:r w:rsidRPr="00CC34A9">
        <w:rPr>
          <w:szCs w:val="20"/>
        </w:rPr>
        <w:t>(tikrindamas),</w:t>
      </w:r>
      <w:r>
        <w:rPr>
          <w:szCs w:val="20"/>
        </w:rPr>
        <w:t xml:space="preserve"> ar mokesčių mokėtojo </w:t>
      </w:r>
      <w:r w:rsidRPr="00CC34A9">
        <w:rPr>
          <w:szCs w:val="20"/>
        </w:rPr>
        <w:t>kontroliuojamojo</w:t>
      </w:r>
      <w:r w:rsidRPr="00DD3202">
        <w:rPr>
          <w:b/>
          <w:szCs w:val="20"/>
        </w:rPr>
        <w:t xml:space="preserve"> </w:t>
      </w:r>
      <w:r>
        <w:rPr>
          <w:szCs w:val="20"/>
        </w:rPr>
        <w:t>sandorio kaina atitinka tikrąją rinkos kainą.</w:t>
      </w:r>
    </w:p>
    <w:p w14:paraId="13769D00" w14:textId="77777777" w:rsidR="00560A96" w:rsidRDefault="00560A96" w:rsidP="00560A96">
      <w:pPr>
        <w:tabs>
          <w:tab w:val="left" w:pos="916"/>
          <w:tab w:val="left" w:pos="1080"/>
          <w:tab w:val="left" w:pos="1276"/>
          <w:tab w:val="left" w:pos="198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jc w:val="both"/>
        <w:rPr>
          <w:szCs w:val="20"/>
        </w:rPr>
      </w:pPr>
    </w:p>
    <w:p w14:paraId="4871CB76"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4. </w:t>
      </w:r>
      <w:r w:rsidR="00560A96">
        <w:rPr>
          <w:szCs w:val="20"/>
        </w:rPr>
        <w:t xml:space="preserve">Ir mokesčių mokėtojas, ir mokesčių administratorius, apskaičiuodamas </w:t>
      </w:r>
      <w:r w:rsidR="00560A96" w:rsidRPr="00CC34A9">
        <w:rPr>
          <w:szCs w:val="20"/>
        </w:rPr>
        <w:t>kontroliuojamojo</w:t>
      </w:r>
      <w:r w:rsidR="00896486">
        <w:rPr>
          <w:b/>
          <w:szCs w:val="20"/>
        </w:rPr>
        <w:t xml:space="preserve"> </w:t>
      </w:r>
      <w:r w:rsidR="00560A96">
        <w:rPr>
          <w:szCs w:val="20"/>
        </w:rPr>
        <w:t xml:space="preserve">sandorio kainą, privalo laikytis Taisyklėse apibrėžto ištiestosios rankos principo. Ištiestosios rankos principas – tai principas, pagal kurį kontroliuojamųjų </w:t>
      </w:r>
      <w:r w:rsidR="00560A96" w:rsidRPr="00CC34A9">
        <w:rPr>
          <w:szCs w:val="20"/>
        </w:rPr>
        <w:t>sandorių</w:t>
      </w:r>
      <w:r w:rsidR="00560A96" w:rsidRPr="00DD3202">
        <w:rPr>
          <w:b/>
          <w:szCs w:val="20"/>
        </w:rPr>
        <w:t xml:space="preserve"> </w:t>
      </w:r>
      <w:r w:rsidR="00560A96">
        <w:rPr>
          <w:szCs w:val="20"/>
        </w:rPr>
        <w:t>kainos</w:t>
      </w:r>
      <w:r w:rsidR="00560A96" w:rsidRPr="00DD3202">
        <w:rPr>
          <w:b/>
          <w:szCs w:val="20"/>
        </w:rPr>
        <w:t xml:space="preserve">, </w:t>
      </w:r>
      <w:r w:rsidR="00560A96" w:rsidRPr="00CC34A9">
        <w:rPr>
          <w:szCs w:val="20"/>
        </w:rPr>
        <w:t>įvertinus visas reikšmingą poveikį kainai turinčias sandorio sąlygas,</w:t>
      </w:r>
      <w:r w:rsidR="00560A96" w:rsidRPr="00DD3202">
        <w:rPr>
          <w:b/>
          <w:szCs w:val="20"/>
        </w:rPr>
        <w:t xml:space="preserve"> </w:t>
      </w:r>
      <w:r w:rsidR="00560A96">
        <w:rPr>
          <w:szCs w:val="20"/>
        </w:rPr>
        <w:t xml:space="preserve"> neturi skirtis nuo tikrosios rinkos kainos, o </w:t>
      </w:r>
      <w:r w:rsidR="00560A96" w:rsidRPr="00CC34A9">
        <w:rPr>
          <w:szCs w:val="20"/>
        </w:rPr>
        <w:t>iš</w:t>
      </w:r>
      <w:r w:rsidR="00560A96">
        <w:rPr>
          <w:szCs w:val="20"/>
        </w:rPr>
        <w:t xml:space="preserve"> kontroliuojam</w:t>
      </w:r>
      <w:r w:rsidR="00560A96" w:rsidRPr="00CC34A9">
        <w:rPr>
          <w:szCs w:val="20"/>
        </w:rPr>
        <w:t>ųjų</w:t>
      </w:r>
      <w:r w:rsidR="00560A96">
        <w:rPr>
          <w:szCs w:val="20"/>
        </w:rPr>
        <w:t xml:space="preserve"> </w:t>
      </w:r>
      <w:r w:rsidR="00560A96" w:rsidRPr="00CC34A9">
        <w:rPr>
          <w:szCs w:val="20"/>
        </w:rPr>
        <w:t>sandorių</w:t>
      </w:r>
      <w:r w:rsidR="00560A96" w:rsidRPr="00DD3202">
        <w:rPr>
          <w:b/>
          <w:szCs w:val="20"/>
        </w:rPr>
        <w:t xml:space="preserve"> </w:t>
      </w:r>
      <w:r w:rsidR="00560A96">
        <w:rPr>
          <w:szCs w:val="20"/>
        </w:rPr>
        <w:t xml:space="preserve">uždirbtas pelnas arba gautos pajamos neturi skirtis nuo </w:t>
      </w:r>
      <w:r w:rsidR="00560A96" w:rsidRPr="00CC34A9">
        <w:rPr>
          <w:szCs w:val="20"/>
        </w:rPr>
        <w:t xml:space="preserve">iš tikrąją rinkos kaina atlikto sandorio galimo uždirbti pelno arba galimų gauti pajamų. </w:t>
      </w:r>
      <w:r w:rsidR="00560A96">
        <w:rPr>
          <w:szCs w:val="20"/>
        </w:rPr>
        <w:t>Ištiestosios rankos principas grindžiamas kontroliuojamo</w:t>
      </w:r>
      <w:r w:rsidR="00560A96" w:rsidRPr="00CC34A9">
        <w:rPr>
          <w:szCs w:val="20"/>
        </w:rPr>
        <w:t>jo</w:t>
      </w:r>
      <w:r w:rsidR="00560A96" w:rsidRPr="00DD3202">
        <w:rPr>
          <w:b/>
          <w:szCs w:val="20"/>
        </w:rPr>
        <w:t xml:space="preserve"> </w:t>
      </w:r>
      <w:r w:rsidR="00560A96" w:rsidRPr="00CC34A9">
        <w:rPr>
          <w:szCs w:val="20"/>
        </w:rPr>
        <w:t>sandorio</w:t>
      </w:r>
      <w:r w:rsidR="00560A96" w:rsidRPr="00DD3202">
        <w:rPr>
          <w:b/>
          <w:szCs w:val="20"/>
        </w:rPr>
        <w:t xml:space="preserve"> </w:t>
      </w:r>
      <w:r w:rsidR="00560A96">
        <w:rPr>
          <w:szCs w:val="20"/>
        </w:rPr>
        <w:t>sąlygų palyginimu su</w:t>
      </w:r>
      <w:r w:rsidR="00560A96" w:rsidRPr="00DD3202">
        <w:rPr>
          <w:b/>
          <w:szCs w:val="20"/>
        </w:rPr>
        <w:t xml:space="preserve"> </w:t>
      </w:r>
      <w:r w:rsidR="00560A96" w:rsidRPr="00CC34A9">
        <w:rPr>
          <w:szCs w:val="20"/>
        </w:rPr>
        <w:t>palyginamuoju sandoriu ar sandoriais</w:t>
      </w:r>
      <w:r w:rsidR="00560A96">
        <w:rPr>
          <w:szCs w:val="20"/>
        </w:rPr>
        <w:t>.</w:t>
      </w:r>
    </w:p>
    <w:p w14:paraId="50974C20"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5. </w:t>
      </w:r>
      <w:r w:rsidR="00560A96">
        <w:rPr>
          <w:szCs w:val="20"/>
        </w:rPr>
        <w:t>Norėdamas nustatyti ištiestosios rankos principą atitinkančią kontroliuojamo</w:t>
      </w:r>
      <w:r w:rsidR="00560A96" w:rsidRPr="00CC34A9">
        <w:rPr>
          <w:szCs w:val="20"/>
        </w:rPr>
        <w:t>jo</w:t>
      </w:r>
      <w:r w:rsidR="00560A96">
        <w:rPr>
          <w:szCs w:val="20"/>
        </w:rPr>
        <w:t xml:space="preserve"> </w:t>
      </w:r>
      <w:r w:rsidR="00560A96" w:rsidRPr="00CC34A9">
        <w:rPr>
          <w:szCs w:val="20"/>
        </w:rPr>
        <w:t>sandorio</w:t>
      </w:r>
      <w:r w:rsidR="00560A96">
        <w:rPr>
          <w:szCs w:val="20"/>
        </w:rPr>
        <w:t xml:space="preserve"> kainą, mokesčių mokėtojas:</w:t>
      </w:r>
    </w:p>
    <w:p w14:paraId="575054CB"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1) </w:t>
      </w:r>
      <w:r w:rsidR="00560A96" w:rsidRPr="00CC34A9">
        <w:rPr>
          <w:szCs w:val="20"/>
        </w:rPr>
        <w:t>vadovaudamasis</w:t>
      </w:r>
      <w:r w:rsidR="00560A96" w:rsidRPr="00692AB6">
        <w:rPr>
          <w:b/>
          <w:szCs w:val="20"/>
        </w:rPr>
        <w:t xml:space="preserve"> </w:t>
      </w:r>
      <w:r w:rsidR="00560A96" w:rsidRPr="00CC34A9">
        <w:rPr>
          <w:szCs w:val="20"/>
        </w:rPr>
        <w:t>Taisyklių 7-13 punktais</w:t>
      </w:r>
      <w:r w:rsidR="00560A96" w:rsidRPr="00692AB6">
        <w:rPr>
          <w:b/>
          <w:szCs w:val="20"/>
        </w:rPr>
        <w:t xml:space="preserve"> </w:t>
      </w:r>
      <w:r w:rsidR="00560A96">
        <w:rPr>
          <w:szCs w:val="20"/>
        </w:rPr>
        <w:t xml:space="preserve">įvertina </w:t>
      </w:r>
      <w:r w:rsidR="00560A96" w:rsidRPr="00CC34A9">
        <w:rPr>
          <w:szCs w:val="20"/>
        </w:rPr>
        <w:t>kontroliuojamąjį sandorį</w:t>
      </w:r>
      <w:r w:rsidR="00560A96">
        <w:rPr>
          <w:szCs w:val="20"/>
        </w:rPr>
        <w:t xml:space="preserve">; </w:t>
      </w:r>
    </w:p>
    <w:p w14:paraId="3FD1E289"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2) </w:t>
      </w:r>
      <w:r w:rsidR="00560A96">
        <w:rPr>
          <w:szCs w:val="20"/>
        </w:rPr>
        <w:t xml:space="preserve">remdamasis </w:t>
      </w:r>
      <w:r w:rsidR="00560A96" w:rsidRPr="00CC34A9">
        <w:rPr>
          <w:szCs w:val="20"/>
        </w:rPr>
        <w:t>vertinimo metu</w:t>
      </w:r>
      <w:r w:rsidR="00560A96">
        <w:rPr>
          <w:szCs w:val="20"/>
        </w:rPr>
        <w:t xml:space="preserve"> gauta informacija</w:t>
      </w:r>
      <w:r w:rsidR="00560A96" w:rsidRPr="00692AB6">
        <w:rPr>
          <w:b/>
          <w:szCs w:val="20"/>
        </w:rPr>
        <w:t xml:space="preserve"> </w:t>
      </w:r>
      <w:r w:rsidR="00560A96" w:rsidRPr="00CC34A9">
        <w:rPr>
          <w:szCs w:val="20"/>
        </w:rPr>
        <w:t>apie kontroliuojamąjį sandorį</w:t>
      </w:r>
      <w:r w:rsidR="00560A96">
        <w:rPr>
          <w:szCs w:val="20"/>
        </w:rPr>
        <w:t xml:space="preserve">, parenka </w:t>
      </w:r>
      <w:r w:rsidR="00560A96" w:rsidRPr="00CC34A9">
        <w:rPr>
          <w:szCs w:val="20"/>
        </w:rPr>
        <w:t>nekontroliuojamąjį sandorį</w:t>
      </w:r>
      <w:r w:rsidR="00560A96" w:rsidRPr="00692AB6">
        <w:rPr>
          <w:b/>
          <w:szCs w:val="20"/>
        </w:rPr>
        <w:t xml:space="preserve"> (</w:t>
      </w:r>
      <w:r w:rsidR="00560A96">
        <w:rPr>
          <w:szCs w:val="20"/>
        </w:rPr>
        <w:t>tarp neasocijuotų asmenų sudaryt</w:t>
      </w:r>
      <w:r w:rsidR="00560A96" w:rsidRPr="00CC34A9">
        <w:rPr>
          <w:szCs w:val="20"/>
        </w:rPr>
        <w:t>ą</w:t>
      </w:r>
      <w:r w:rsidR="00560A96" w:rsidRPr="00692AB6">
        <w:rPr>
          <w:b/>
          <w:szCs w:val="20"/>
        </w:rPr>
        <w:t xml:space="preserve"> (</w:t>
      </w:r>
      <w:r w:rsidR="00560A96">
        <w:rPr>
          <w:szCs w:val="20"/>
        </w:rPr>
        <w:t>us</w:t>
      </w:r>
      <w:r w:rsidR="00560A96" w:rsidRPr="00692AB6">
        <w:rPr>
          <w:b/>
          <w:szCs w:val="20"/>
        </w:rPr>
        <w:t>)</w:t>
      </w:r>
      <w:r w:rsidR="00560A96">
        <w:rPr>
          <w:szCs w:val="20"/>
        </w:rPr>
        <w:t xml:space="preserve"> sandor</w:t>
      </w:r>
      <w:r w:rsidR="00560A96" w:rsidRPr="00CC34A9">
        <w:rPr>
          <w:szCs w:val="20"/>
        </w:rPr>
        <w:t>į</w:t>
      </w:r>
      <w:r w:rsidR="00560A96" w:rsidRPr="00692AB6">
        <w:rPr>
          <w:b/>
          <w:szCs w:val="20"/>
        </w:rPr>
        <w:t xml:space="preserve"> (</w:t>
      </w:r>
      <w:r w:rsidR="00560A96">
        <w:rPr>
          <w:szCs w:val="20"/>
        </w:rPr>
        <w:t>ius</w:t>
      </w:r>
      <w:r w:rsidR="00560A96" w:rsidRPr="00692AB6">
        <w:rPr>
          <w:b/>
          <w:szCs w:val="20"/>
        </w:rPr>
        <w:t>))</w:t>
      </w:r>
      <w:r w:rsidR="00560A96">
        <w:rPr>
          <w:szCs w:val="20"/>
        </w:rPr>
        <w:t>, kuri</w:t>
      </w:r>
      <w:r w:rsidR="00560A96" w:rsidRPr="00692AB6">
        <w:rPr>
          <w:b/>
          <w:szCs w:val="20"/>
        </w:rPr>
        <w:t>s</w:t>
      </w:r>
      <w:r w:rsidR="00560A96">
        <w:rPr>
          <w:szCs w:val="20"/>
        </w:rPr>
        <w:t xml:space="preserve"> galėtų būti naudojam</w:t>
      </w:r>
      <w:r w:rsidR="00560A96" w:rsidRPr="00CC34A9">
        <w:rPr>
          <w:szCs w:val="20"/>
        </w:rPr>
        <w:t>as</w:t>
      </w:r>
      <w:r w:rsidR="00560A96">
        <w:rPr>
          <w:szCs w:val="20"/>
        </w:rPr>
        <w:t xml:space="preserve"> palyginimui su kontroliuojam</w:t>
      </w:r>
      <w:r w:rsidR="00560A96" w:rsidRPr="00CC34A9">
        <w:rPr>
          <w:szCs w:val="20"/>
        </w:rPr>
        <w:t>uoju</w:t>
      </w:r>
      <w:r w:rsidR="00560A96" w:rsidRPr="00692AB6">
        <w:rPr>
          <w:b/>
          <w:szCs w:val="20"/>
        </w:rPr>
        <w:t xml:space="preserve"> </w:t>
      </w:r>
      <w:r w:rsidR="00560A96" w:rsidRPr="00CC34A9">
        <w:rPr>
          <w:szCs w:val="20"/>
        </w:rPr>
        <w:t>sandoriu</w:t>
      </w:r>
      <w:r w:rsidR="00560A96">
        <w:rPr>
          <w:szCs w:val="20"/>
        </w:rPr>
        <w:t xml:space="preserve"> nustatant ištiestosios rankos principą atitinkančią kainą; </w:t>
      </w:r>
    </w:p>
    <w:p w14:paraId="71EC8619" w14:textId="77777777" w:rsidR="00560A96"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3) </w:t>
      </w:r>
      <w:r w:rsidR="00560A96">
        <w:rPr>
          <w:szCs w:val="20"/>
        </w:rPr>
        <w:t>parinkt</w:t>
      </w:r>
      <w:r w:rsidR="00560A96" w:rsidRPr="00CC34A9">
        <w:rPr>
          <w:szCs w:val="20"/>
        </w:rPr>
        <w:t>ą</w:t>
      </w:r>
      <w:r w:rsidR="00560A96">
        <w:rPr>
          <w:szCs w:val="20"/>
        </w:rPr>
        <w:t xml:space="preserve"> nekontroliuojam</w:t>
      </w:r>
      <w:r w:rsidR="00560A96" w:rsidRPr="00CC34A9">
        <w:rPr>
          <w:szCs w:val="20"/>
        </w:rPr>
        <w:t>ąjį</w:t>
      </w:r>
      <w:r w:rsidR="00560A96">
        <w:rPr>
          <w:szCs w:val="20"/>
        </w:rPr>
        <w:t xml:space="preserve"> </w:t>
      </w:r>
      <w:r w:rsidR="00560A96" w:rsidRPr="00CC34A9">
        <w:rPr>
          <w:szCs w:val="20"/>
        </w:rPr>
        <w:t xml:space="preserve">sandorį </w:t>
      </w:r>
      <w:r w:rsidR="00560A96">
        <w:rPr>
          <w:szCs w:val="20"/>
        </w:rPr>
        <w:t>įvertina vadovaudamasis ta pačia tvarka</w:t>
      </w:r>
      <w:r w:rsidR="00560A96" w:rsidRPr="00692AB6">
        <w:rPr>
          <w:b/>
          <w:szCs w:val="20"/>
        </w:rPr>
        <w:t xml:space="preserve"> </w:t>
      </w:r>
      <w:r w:rsidR="00560A96" w:rsidRPr="00CC34A9">
        <w:rPr>
          <w:szCs w:val="20"/>
        </w:rPr>
        <w:t>(Taisyklių 7-13 punktais)</w:t>
      </w:r>
      <w:r w:rsidR="00560A96">
        <w:rPr>
          <w:szCs w:val="20"/>
        </w:rPr>
        <w:t>, kaip ir kontroliuojamąj</w:t>
      </w:r>
      <w:r w:rsidR="00560A96" w:rsidRPr="00CC34A9">
        <w:rPr>
          <w:szCs w:val="20"/>
        </w:rPr>
        <w:t>į</w:t>
      </w:r>
      <w:r w:rsidR="00560A96" w:rsidRPr="00692AB6">
        <w:rPr>
          <w:b/>
          <w:szCs w:val="20"/>
        </w:rPr>
        <w:t xml:space="preserve"> </w:t>
      </w:r>
      <w:r w:rsidR="00560A96" w:rsidRPr="00CC34A9">
        <w:rPr>
          <w:szCs w:val="20"/>
        </w:rPr>
        <w:t>sandorį</w:t>
      </w:r>
      <w:r w:rsidR="00560A96">
        <w:rPr>
          <w:szCs w:val="20"/>
        </w:rPr>
        <w:t>, kuri</w:t>
      </w:r>
      <w:r w:rsidR="00560A96" w:rsidRPr="00CC34A9">
        <w:rPr>
          <w:szCs w:val="20"/>
        </w:rPr>
        <w:t>am</w:t>
      </w:r>
      <w:r w:rsidR="00560A96">
        <w:rPr>
          <w:szCs w:val="20"/>
        </w:rPr>
        <w:t xml:space="preserve"> mokesčių mokėtojas nori nustatyti ištiestosios rankos principą atitinkančią kainą;</w:t>
      </w:r>
    </w:p>
    <w:p w14:paraId="19E14F3E" w14:textId="77777777" w:rsidR="00560A96" w:rsidRPr="0064433E" w:rsidRDefault="00D935D5"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lastRenderedPageBreak/>
        <w:t xml:space="preserve">       4) </w:t>
      </w:r>
      <w:r w:rsidR="00560A96">
        <w:rPr>
          <w:szCs w:val="20"/>
        </w:rPr>
        <w:t xml:space="preserve">remdamasis </w:t>
      </w:r>
      <w:r w:rsidR="00560A96" w:rsidRPr="0064433E">
        <w:rPr>
          <w:szCs w:val="20"/>
        </w:rPr>
        <w:t>informacija</w:t>
      </w:r>
      <w:r w:rsidR="00560A96">
        <w:rPr>
          <w:szCs w:val="20"/>
        </w:rPr>
        <w:t>,</w:t>
      </w:r>
      <w:r w:rsidR="00560A96" w:rsidRPr="0064433E">
        <w:rPr>
          <w:szCs w:val="20"/>
        </w:rPr>
        <w:t xml:space="preserve"> gauta įvertinus</w:t>
      </w:r>
      <w:r w:rsidR="00560A96" w:rsidRPr="00692AB6">
        <w:rPr>
          <w:b/>
          <w:szCs w:val="20"/>
        </w:rPr>
        <w:t xml:space="preserve"> </w:t>
      </w:r>
      <w:r w:rsidR="00560A96" w:rsidRPr="0064433E">
        <w:rPr>
          <w:szCs w:val="20"/>
        </w:rPr>
        <w:t>kontroliuojamąjį ir nekontroliuojamąjį</w:t>
      </w:r>
      <w:r w:rsidR="00560A96" w:rsidRPr="00692AB6">
        <w:rPr>
          <w:b/>
          <w:szCs w:val="20"/>
        </w:rPr>
        <w:t xml:space="preserve"> </w:t>
      </w:r>
      <w:r w:rsidR="00560A96" w:rsidRPr="0064433E">
        <w:rPr>
          <w:szCs w:val="20"/>
        </w:rPr>
        <w:t>sandorius</w:t>
      </w:r>
      <w:r w:rsidR="00560A96">
        <w:rPr>
          <w:szCs w:val="20"/>
        </w:rPr>
        <w:t>,</w:t>
      </w:r>
      <w:r w:rsidR="00560A96" w:rsidRPr="00692AB6">
        <w:rPr>
          <w:b/>
          <w:szCs w:val="20"/>
        </w:rPr>
        <w:t xml:space="preserve"> </w:t>
      </w:r>
      <w:r w:rsidR="00560A96" w:rsidRPr="0064433E">
        <w:rPr>
          <w:szCs w:val="20"/>
        </w:rPr>
        <w:t>vadovaudamasis</w:t>
      </w:r>
      <w:r w:rsidR="00560A96" w:rsidRPr="00692AB6">
        <w:rPr>
          <w:b/>
          <w:szCs w:val="20"/>
        </w:rPr>
        <w:t xml:space="preserve"> </w:t>
      </w:r>
      <w:r w:rsidR="00560A96">
        <w:rPr>
          <w:szCs w:val="20"/>
        </w:rPr>
        <w:t>Taisykl</w:t>
      </w:r>
      <w:r w:rsidR="00560A96" w:rsidRPr="0064433E">
        <w:rPr>
          <w:szCs w:val="20"/>
        </w:rPr>
        <w:t>ių</w:t>
      </w:r>
      <w:r w:rsidR="00560A96">
        <w:rPr>
          <w:szCs w:val="20"/>
        </w:rPr>
        <w:t xml:space="preserve"> </w:t>
      </w:r>
      <w:r w:rsidR="00560A96" w:rsidRPr="0064433E">
        <w:rPr>
          <w:szCs w:val="20"/>
        </w:rPr>
        <w:t>II skyriuje</w:t>
      </w:r>
      <w:r w:rsidR="00560A96" w:rsidRPr="00692AB6">
        <w:rPr>
          <w:b/>
          <w:szCs w:val="20"/>
        </w:rPr>
        <w:t xml:space="preserve"> </w:t>
      </w:r>
      <w:r w:rsidR="00560A96">
        <w:rPr>
          <w:szCs w:val="20"/>
        </w:rPr>
        <w:t>nustatyt</w:t>
      </w:r>
      <w:r w:rsidR="00560A96" w:rsidRPr="0064433E">
        <w:rPr>
          <w:szCs w:val="20"/>
        </w:rPr>
        <w:t>ais</w:t>
      </w:r>
      <w:r w:rsidR="00560A96">
        <w:rPr>
          <w:szCs w:val="20"/>
        </w:rPr>
        <w:t xml:space="preserve"> reikalavim</w:t>
      </w:r>
      <w:r w:rsidR="00560A96" w:rsidRPr="0064433E">
        <w:rPr>
          <w:szCs w:val="20"/>
        </w:rPr>
        <w:t>ais</w:t>
      </w:r>
      <w:r w:rsidR="00560A96">
        <w:rPr>
          <w:szCs w:val="20"/>
        </w:rPr>
        <w:t>, kontroliuojamaja</w:t>
      </w:r>
      <w:r w:rsidR="00560A96" w:rsidRPr="0064433E">
        <w:rPr>
          <w:szCs w:val="20"/>
        </w:rPr>
        <w:t>m</w:t>
      </w:r>
      <w:r w:rsidR="00560A96">
        <w:rPr>
          <w:szCs w:val="20"/>
        </w:rPr>
        <w:t xml:space="preserve"> </w:t>
      </w:r>
      <w:r w:rsidR="00560A96" w:rsidRPr="0064433E">
        <w:rPr>
          <w:szCs w:val="20"/>
        </w:rPr>
        <w:t>sandoriui</w:t>
      </w:r>
      <w:r w:rsidR="00560A96" w:rsidRPr="00F335C5">
        <w:rPr>
          <w:b/>
          <w:szCs w:val="20"/>
        </w:rPr>
        <w:t xml:space="preserve"> </w:t>
      </w:r>
      <w:r w:rsidR="00560A96">
        <w:rPr>
          <w:szCs w:val="20"/>
        </w:rPr>
        <w:t>parenka ir pritaiko kainodaros metodą. Pritaikius kainodaros metodą nustatoma ištiestosios rankos principą atitinkanti kaina</w:t>
      </w:r>
      <w:r w:rsidR="00560A96" w:rsidRPr="00F335C5">
        <w:rPr>
          <w:b/>
          <w:szCs w:val="20"/>
        </w:rPr>
        <w:t xml:space="preserve"> </w:t>
      </w:r>
      <w:r w:rsidR="00560A96" w:rsidRPr="0064433E">
        <w:rPr>
          <w:szCs w:val="20"/>
        </w:rPr>
        <w:t>arba koreguojama</w:t>
      </w:r>
      <w:r w:rsidR="00560A96" w:rsidRPr="00F335C5">
        <w:rPr>
          <w:b/>
          <w:szCs w:val="20"/>
        </w:rPr>
        <w:t xml:space="preserve"> </w:t>
      </w:r>
      <w:r w:rsidR="00560A96" w:rsidRPr="0064433E">
        <w:rPr>
          <w:szCs w:val="20"/>
        </w:rPr>
        <w:t xml:space="preserve">ištiestosios rankos principo neatitinkanti kaina. </w:t>
      </w:r>
    </w:p>
    <w:p w14:paraId="73A9AF33" w14:textId="77777777" w:rsidR="00560A96" w:rsidRDefault="000F1C9E"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Tuos pačius Taisyklėse nustatytus veiksmus atlieka ir mokesčių administratorius</w:t>
      </w:r>
      <w:r w:rsidR="00560A96">
        <w:rPr>
          <w:szCs w:val="20"/>
        </w:rPr>
        <w:t>,</w:t>
      </w:r>
      <w:r w:rsidR="00560A96" w:rsidRPr="0064433E">
        <w:rPr>
          <w:szCs w:val="20"/>
        </w:rPr>
        <w:t xml:space="preserve"> vertindamas (tikrindamas) mokesčių mokėtojo kontroliuojamojo sandorio kainų atitiktį ištiestosios rankos principui.</w:t>
      </w:r>
      <w:r w:rsidR="00560A96" w:rsidRPr="00F335C5">
        <w:rPr>
          <w:b/>
          <w:szCs w:val="20"/>
        </w:rPr>
        <w:t xml:space="preserve"> </w:t>
      </w:r>
      <w:r w:rsidR="00560A96" w:rsidRPr="0064433E">
        <w:rPr>
          <w:szCs w:val="20"/>
        </w:rPr>
        <w:t>M</w:t>
      </w:r>
      <w:r w:rsidR="00560A96">
        <w:rPr>
          <w:szCs w:val="20"/>
        </w:rPr>
        <w:t xml:space="preserve">okesčių administratorius, </w:t>
      </w:r>
      <w:r w:rsidR="00560A96" w:rsidRPr="0064433E">
        <w:rPr>
          <w:szCs w:val="20"/>
        </w:rPr>
        <w:t>vertindamas (tikrindamas) kontroliuojamojo sandorio kainų atitiktį ištiestosios rankos principui turi naudoti</w:t>
      </w:r>
      <w:r w:rsidR="00560A96" w:rsidRPr="00F335C5">
        <w:rPr>
          <w:b/>
          <w:szCs w:val="20"/>
        </w:rPr>
        <w:t xml:space="preserve"> </w:t>
      </w:r>
      <w:r w:rsidR="00560A96">
        <w:rPr>
          <w:szCs w:val="20"/>
        </w:rPr>
        <w:t xml:space="preserve">mokesčių </w:t>
      </w:r>
      <w:r w:rsidR="00560A96" w:rsidRPr="0064433E">
        <w:rPr>
          <w:szCs w:val="20"/>
        </w:rPr>
        <w:t>mokėtojo pateiktą ir kitą mokesčių mokėtojui prieinamą informaciją. Ši nuostata netaikoma, kai vertinamas sunkiai nustatomos vertės nematerialus turtas (Taisyklių 67</w:t>
      </w:r>
      <w:r w:rsidR="00560A96" w:rsidRPr="0064433E">
        <w:rPr>
          <w:szCs w:val="20"/>
          <w:vertAlign w:val="superscript"/>
        </w:rPr>
        <w:t xml:space="preserve">1 </w:t>
      </w:r>
      <w:r w:rsidR="00560A96" w:rsidRPr="0064433E">
        <w:rPr>
          <w:szCs w:val="20"/>
        </w:rPr>
        <w:t>punktas)</w:t>
      </w:r>
      <w:r w:rsidR="00560A96">
        <w:rPr>
          <w:szCs w:val="20"/>
        </w:rPr>
        <w:t>.</w:t>
      </w:r>
    </w:p>
    <w:p w14:paraId="4FB321C6" w14:textId="77777777" w:rsidR="00560A96" w:rsidRPr="00F335C5" w:rsidRDefault="000F1C9E" w:rsidP="00560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
          <w:szCs w:val="20"/>
        </w:rPr>
      </w:pPr>
      <w:r>
        <w:rPr>
          <w:rFonts w:ascii="Arial Unicode MS" w:hAnsi="Arial Unicode MS" w:cs="Arial Unicode MS" w:hint="eastAsia"/>
          <w:sz w:val="20"/>
          <w:szCs w:val="20"/>
        </w:rPr>
        <w:t xml:space="preserve">          </w:t>
      </w:r>
      <w:r>
        <w:rPr>
          <w:szCs w:val="20"/>
        </w:rPr>
        <w:t>6.</w:t>
      </w:r>
      <w:r w:rsidR="00560A96" w:rsidRPr="0064433E">
        <w:rPr>
          <w:szCs w:val="20"/>
        </w:rPr>
        <w:t>Taisyklių V skyrius</w:t>
      </w:r>
      <w:r w:rsidR="00560A96" w:rsidRPr="00F335C5">
        <w:rPr>
          <w:b/>
          <w:szCs w:val="20"/>
        </w:rPr>
        <w:t xml:space="preserve"> </w:t>
      </w:r>
      <w:r w:rsidR="00560A96" w:rsidRPr="0064433E">
        <w:rPr>
          <w:szCs w:val="20"/>
        </w:rPr>
        <w:t>nustato kontroliuojamųjų sandorių kainų pagrindimo dokumentavimo reikalavimus, kriterijus, kuriuos atitinkantys</w:t>
      </w:r>
      <w:r w:rsidR="00560A96" w:rsidRPr="00F335C5">
        <w:rPr>
          <w:b/>
          <w:szCs w:val="20"/>
        </w:rPr>
        <w:t xml:space="preserve"> </w:t>
      </w:r>
      <w:r w:rsidR="00560A96">
        <w:rPr>
          <w:szCs w:val="20"/>
        </w:rPr>
        <w:t xml:space="preserve">mokesčių mokėtojai privalo </w:t>
      </w:r>
      <w:r w:rsidR="00560A96" w:rsidRPr="0064433E">
        <w:rPr>
          <w:szCs w:val="20"/>
        </w:rPr>
        <w:t>rengti pagrindinę ir / ar šalies bylas, dokumentų pateikimo ir saugojimo tvarką</w:t>
      </w:r>
      <w:r w:rsidR="00560A96">
        <w:rPr>
          <w:szCs w:val="20"/>
        </w:rPr>
        <w:t>.</w:t>
      </w:r>
    </w:p>
    <w:p w14:paraId="262398A6"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 xml:space="preserve">Kontroliuojamųjų sandorių kainodaros dokumentai (įskaitant pagrindinę ir /ar šalies bylas) turi būti parengti iki kito mokestinio laikotarpio, nei buvo vykdytas kontroliuojamasis sandoris, šešto mėnesio 15 dienos. </w:t>
      </w:r>
    </w:p>
    <w:p w14:paraId="3EA3EB7A"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bCs/>
          <w:lang w:eastAsia="lt-LT"/>
        </w:rPr>
      </w:pPr>
      <w:r>
        <w:rPr>
          <w:szCs w:val="20"/>
        </w:rPr>
        <w:t xml:space="preserve">           </w:t>
      </w:r>
      <w:r w:rsidR="00560A96" w:rsidRPr="0064433E">
        <w:rPr>
          <w:szCs w:val="20"/>
        </w:rPr>
        <w:t>Parengti kontroliuojamųjų sandorių kainų atitikimą ištiestosios rankos principui pagrindžiantys dokumentai Taisyklėse nustatytais terminais saugomi mokesčių mokėtoj</w:t>
      </w:r>
      <w:r w:rsidR="00560A96">
        <w:rPr>
          <w:szCs w:val="20"/>
        </w:rPr>
        <w:t>o</w:t>
      </w:r>
      <w:r w:rsidR="00560A96" w:rsidRPr="0064433E">
        <w:rPr>
          <w:szCs w:val="20"/>
        </w:rPr>
        <w:t xml:space="preserve"> ir mokesčių administratoriui yra teikiami tik jam nurodžius juos pateikti. Kontroliuojamųjų sandorių kainodaros dokumentų (pagrindinės ir šalies bylos) pateikimo mokesčių administratoriui terminas – 30 dienų nuo nurodymo gavimo</w:t>
      </w:r>
      <w:r w:rsidR="00560A96" w:rsidRPr="0064433E">
        <w:rPr>
          <w:bCs/>
          <w:lang w:eastAsia="lt-LT"/>
        </w:rPr>
        <w:t>.</w:t>
      </w:r>
    </w:p>
    <w:p w14:paraId="318D72A0" w14:textId="77777777" w:rsidR="00560A96" w:rsidRPr="0064433E" w:rsidRDefault="00095C83" w:rsidP="00095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4" w:lineRule="auto"/>
        <w:jc w:val="both"/>
        <w:rPr>
          <w:szCs w:val="20"/>
        </w:rPr>
      </w:pPr>
      <w:r>
        <w:rPr>
          <w:szCs w:val="20"/>
        </w:rPr>
        <w:t xml:space="preserve">           </w:t>
      </w:r>
      <w:r w:rsidR="00560A96" w:rsidRPr="0064433E">
        <w:rPr>
          <w:szCs w:val="20"/>
        </w:rPr>
        <w:t>Mokesčių mokėtojai, neatitinkantys Taisyklių 84-85 punktuose nustatytų kriterijų ir dėl to neprivalantys rengti nustatytus reikalavimus atitinkančių kainodaros dokumentų (pagrindinės ir šalies bylos), kontroliuojamųjų sandorių kainų atitiktį ištiestosios rankos principui gali pagrįsti laisvos formos dokumentais, kurie pateikiami mokesčių administratoriui pareikalavus.</w:t>
      </w:r>
    </w:p>
    <w:p w14:paraId="1A732CA9" w14:textId="77777777" w:rsidR="00560A96" w:rsidRPr="00560A96" w:rsidRDefault="00095C83" w:rsidP="00560A96">
      <w:pPr>
        <w:spacing w:line="360" w:lineRule="atLeast"/>
        <w:ind w:firstLine="720"/>
        <w:jc w:val="both"/>
        <w:rPr>
          <w:lang w:eastAsia="lt-LT"/>
        </w:rPr>
      </w:pPr>
      <w:r>
        <w:t>7.</w:t>
      </w:r>
      <w:r w:rsidR="00560A96" w:rsidRPr="0064433E">
        <w:rPr>
          <w:lang w:eastAsia="lt-LT"/>
        </w:rPr>
        <w:t xml:space="preserve">Taikant Taisykles, rekomenduojama naudotis Ekonominio bendradarbiavimo ir plėtros organizacijos sandorių kainodaros gairėmis tarptautinėms įmonėms ir mokesčių institucijoms (angl. </w:t>
      </w:r>
      <w:r w:rsidR="00560A96" w:rsidRPr="0064433E">
        <w:rPr>
          <w:i/>
          <w:lang w:eastAsia="lt-LT"/>
        </w:rPr>
        <w:t>OECD Transfer Pricing Guidelines for Multinational Enterprises and Tax Administrations</w:t>
      </w:r>
      <w:r w:rsidR="00560A96" w:rsidRPr="0064433E">
        <w:rPr>
          <w:lang w:eastAsia="lt-LT"/>
        </w:rPr>
        <w:t>) tiek, kiek jų nuostatos neprieštarauja Taisyklių nuostatoms.</w:t>
      </w:r>
    </w:p>
    <w:p w14:paraId="4F84FC47" w14:textId="77777777" w:rsidR="00560A96" w:rsidRDefault="00560A96" w:rsidP="00560A96">
      <w:pPr>
        <w:tabs>
          <w:tab w:val="left" w:pos="720"/>
          <w:tab w:val="left" w:pos="1077"/>
          <w:tab w:val="left" w:pos="1134"/>
          <w:tab w:val="left" w:pos="1418"/>
        </w:tabs>
        <w:spacing w:line="254" w:lineRule="auto"/>
        <w:ind w:right="240" w:firstLine="720"/>
        <w:jc w:val="both"/>
        <w:rPr>
          <w:bCs/>
          <w:iCs/>
        </w:rPr>
      </w:pPr>
      <w:r>
        <w:t xml:space="preserve">8. Tuo atveju, kai vienetas suteikia ilgalaikes ar trumpalaikes paskolas, nenustatydamas palūkanų, asocijuotiems asmenims (juridiniams ir fiziniams, pvz.: akcininkams), tai vadovaudamasis PMĮ 40 straipsnio 2 dalies nuostatomis, </w:t>
      </w:r>
      <w:r w:rsidRPr="0064433E">
        <w:t>paskolą be palūkanų suteikęs vienetas</w:t>
      </w:r>
      <w:r w:rsidRPr="0023433F">
        <w:t xml:space="preserve"> </w:t>
      </w:r>
      <w:r>
        <w:t xml:space="preserve">negautas palūkanas turi įtraukti į apmokestinamąsias pajamas. </w:t>
      </w:r>
      <w:r>
        <w:rPr>
          <w:bCs/>
          <w:iCs/>
        </w:rPr>
        <w:t xml:space="preserve">Tuo atveju, kai asocijuotas asmuo teikia paskolą nenustatydamas </w:t>
      </w:r>
      <w:r w:rsidRPr="0064433E">
        <w:rPr>
          <w:bCs/>
          <w:iCs/>
        </w:rPr>
        <w:t>palūkanų</w:t>
      </w:r>
      <w:r w:rsidRPr="0064433E">
        <w:t xml:space="preserve"> </w:t>
      </w:r>
      <w:r w:rsidRPr="0064433E">
        <w:rPr>
          <w:bCs/>
          <w:iCs/>
        </w:rPr>
        <w:t>kitam asocijuotam vienetui</w:t>
      </w:r>
      <w:r>
        <w:rPr>
          <w:bCs/>
          <w:iCs/>
        </w:rPr>
        <w:t xml:space="preserve">, </w:t>
      </w:r>
      <w:r w:rsidRPr="0064433E">
        <w:rPr>
          <w:bCs/>
          <w:iCs/>
        </w:rPr>
        <w:t>paskolą gavęs asocijuotas vienetas</w:t>
      </w:r>
      <w:r w:rsidRPr="0023433F">
        <w:rPr>
          <w:bCs/>
          <w:iCs/>
        </w:rPr>
        <w:t xml:space="preserve"> </w:t>
      </w:r>
      <w:r>
        <w:rPr>
          <w:bCs/>
          <w:iCs/>
        </w:rPr>
        <w:t>„menamas“ palūkanas leidžiamiems atskaitymams gali priskirti tik tokiu atveju, jeigu asocijuotas asmuo, kuris suteikė paskolą, „menamas“ palūkanas įtraukė į gautas pajamas. Šiuo atveju paskolos gavėjas (juridinis ar fizinis asmuo) turėtų turėti ir mokesčių administratoriui pareikalavus pateikti įrodymus (dokumentus), kad asocijuotas asmuo, kuris jam suteikė paskolą, „menamas“ palūkanas įtraukė į gautas pajamas.</w:t>
      </w:r>
    </w:p>
    <w:p w14:paraId="3BCF0211" w14:textId="77777777" w:rsidR="00560A96" w:rsidRDefault="00560A96" w:rsidP="00560A96">
      <w:pPr>
        <w:tabs>
          <w:tab w:val="left" w:pos="720"/>
          <w:tab w:val="left" w:pos="1077"/>
          <w:tab w:val="left" w:pos="1134"/>
          <w:tab w:val="left" w:pos="1418"/>
        </w:tabs>
        <w:spacing w:line="254" w:lineRule="auto"/>
        <w:ind w:right="240" w:firstLine="720"/>
        <w:jc w:val="both"/>
        <w:rPr>
          <w:bCs/>
          <w:iCs/>
        </w:rPr>
      </w:pPr>
      <w:r>
        <w:rPr>
          <w:bCs/>
          <w:iCs/>
        </w:rPr>
        <w:t xml:space="preserve">Tuo atveju, kai gyventojas, vykdantis individualią veiklą (ją įregistravęs) bei pajamas pripažįstantis pagal kaupimo apskaitos principą, suteikia paskolas asocijuotam asmeniui, nenustatydamas palūkanų (pvz.: įmonei, kurios akcininkas jis yra), toks gyventojas turi pripažinti „menamų“ palūkanų pajamas. Paskolos gavėjas </w:t>
      </w:r>
      <w:r w:rsidRPr="0064433E">
        <w:rPr>
          <w:bCs/>
          <w:iCs/>
        </w:rPr>
        <w:t>(vienetas)</w:t>
      </w:r>
      <w:r>
        <w:rPr>
          <w:bCs/>
          <w:iCs/>
        </w:rPr>
        <w:t xml:space="preserve"> „menamas“ palūkanas leidžiamiems atskaitymams gali priskirti tik tokiu atveju, jeigu asocijuotas asmuo</w:t>
      </w:r>
      <w:r w:rsidRPr="002B7494">
        <w:t xml:space="preserve"> </w:t>
      </w:r>
      <w:r w:rsidRPr="0064433E">
        <w:t>(</w:t>
      </w:r>
      <w:r w:rsidRPr="0064433E">
        <w:rPr>
          <w:bCs/>
          <w:iCs/>
        </w:rPr>
        <w:t>individualią veiklą vykdantis gyventojas)</w:t>
      </w:r>
      <w:r>
        <w:rPr>
          <w:bCs/>
          <w:iCs/>
        </w:rPr>
        <w:t xml:space="preserve">, kuris suteikė paskolą, „menamas“ palūkanas įtraukė į gautas pajamas. Šiuo atveju </w:t>
      </w:r>
      <w:r>
        <w:rPr>
          <w:bCs/>
          <w:iCs/>
        </w:rPr>
        <w:lastRenderedPageBreak/>
        <w:t>paskolos gavėjas turėtų turėti ir mokesčių administratoriui pareikalavus pateikti įrodymus (dokumentus), kad asocijuotas asmuo, kuris jam suteikė paskolą, „menamas“ palūkanas įtraukė į gautas pajamas.</w:t>
      </w:r>
    </w:p>
    <w:p w14:paraId="0F8F0A97" w14:textId="77777777" w:rsidR="00560A96" w:rsidRDefault="00560A96" w:rsidP="00560A96">
      <w:pPr>
        <w:tabs>
          <w:tab w:val="left" w:pos="9720"/>
        </w:tabs>
        <w:spacing w:line="254" w:lineRule="auto"/>
        <w:ind w:right="240" w:firstLine="720"/>
        <w:jc w:val="both"/>
        <w:rPr>
          <w:bCs/>
        </w:rPr>
      </w:pPr>
      <w:r>
        <w:rPr>
          <w:bCs/>
          <w:iCs/>
        </w:rPr>
        <w:t xml:space="preserve">Jeigu gyventojas pajamas pripažįsta taikant pinigų apskaitos principą (taip pat ir gyventojas, vykdantis individualią veiklą (ją įregistravęs), suteikia paskolas nenustatydamas palūkanų asocijuotam asmeniui, tai toks gyventojas apskaičiuoti ir į pajamas įtraukti palūkanų neturi. Šiuo atveju paskolos gavėjas </w:t>
      </w:r>
      <w:r w:rsidRPr="0064433E">
        <w:rPr>
          <w:bCs/>
          <w:iCs/>
        </w:rPr>
        <w:t>(vienetas)</w:t>
      </w:r>
      <w:r>
        <w:rPr>
          <w:bCs/>
          <w:iCs/>
        </w:rPr>
        <w:t xml:space="preserve"> „menamų“ palūkanų priskirti leidžiamiems atskaitymams negali, nes </w:t>
      </w:r>
      <w:r>
        <w:rPr>
          <w:bCs/>
        </w:rPr>
        <w:t>asocijuotas asmuo, kuris suteikė paskolą, „menamų“ palūkanų į gautas pajamas neįtraukė.</w:t>
      </w:r>
    </w:p>
    <w:p w14:paraId="7D95F01C" w14:textId="77777777" w:rsidR="00560A96" w:rsidRDefault="00560A96" w:rsidP="00560A96">
      <w:pPr>
        <w:tabs>
          <w:tab w:val="left" w:pos="720"/>
          <w:tab w:val="left" w:pos="1134"/>
          <w:tab w:val="left" w:pos="1418"/>
        </w:tabs>
        <w:spacing w:line="254" w:lineRule="auto"/>
        <w:ind w:firstLine="720"/>
        <w:jc w:val="both"/>
      </w:pPr>
      <w:r>
        <w:t>Nustačius atvejus, kad neatlygintinos paskolos vienetams suteikiamos už jų atliktus darbus, suteiktas paslaugas ar kitų interesų bei sandorių įtakoje, neatlygintinis paskolos suteikimas būtų vertinamas kitaip, atsižvelgus į konkrečias sandorių sudarymo ir kitas reikšmingas aplinkybes.</w:t>
      </w:r>
    </w:p>
    <w:p w14:paraId="7C295748" w14:textId="77777777" w:rsidR="00093845" w:rsidRPr="00537C68" w:rsidRDefault="00537C68" w:rsidP="00537C68">
      <w:pPr>
        <w:jc w:val="both"/>
        <w:rPr>
          <w:sz w:val="22"/>
          <w:szCs w:val="22"/>
          <w:lang w:val="lt-LT"/>
        </w:rPr>
      </w:pPr>
      <w:r>
        <w:t xml:space="preserve">(PMĮ 40 straipsnio 2 d. komentaras pakeistas pagal VMI prie FM 2024-01-23 raštą Nr. </w:t>
      </w:r>
      <w:r>
        <w:rPr>
          <w:rFonts w:ascii="Trebuchet MS" w:hAnsi="Trebuchet MS"/>
        </w:rPr>
        <w:t>(</w:t>
      </w:r>
      <w:r>
        <w:t>32.42-31-1-Mr) R-293).</w:t>
      </w:r>
    </w:p>
    <w:p w14:paraId="590661C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b/>
          <w:sz w:val="24"/>
          <w:szCs w:val="24"/>
          <w:lang w:val="lt-LT"/>
        </w:rPr>
        <w:t>3.</w:t>
      </w:r>
      <w:r>
        <w:rPr>
          <w:rFonts w:ascii="Times New Roman" w:hAnsi="Times New Roman" w:cs="Times New Roman"/>
          <w:b/>
          <w:sz w:val="24"/>
          <w:szCs w:val="24"/>
          <w:lang w:val="lt-LT"/>
        </w:rPr>
        <w:tab/>
        <w:t>Vienetai, šio Įstatymo nustatyta tvarka apskaičiuodami apmokestinamąjį pelną, Lietuvos Respublikos Vyriausybės ar jos įgaliotos institucijos nustatytais atvejais ir tvarka turi iš naujo apibūdinti pajamas ar išmokas</w:t>
      </w:r>
      <w:r>
        <w:rPr>
          <w:rFonts w:ascii="Times New Roman" w:hAnsi="Times New Roman" w:cs="Times New Roman"/>
          <w:sz w:val="24"/>
          <w:szCs w:val="24"/>
          <w:lang w:val="lt-LT"/>
        </w:rPr>
        <w:t>.</w:t>
      </w:r>
    </w:p>
    <w:p w14:paraId="64E15260" w14:textId="77777777" w:rsidR="00093845" w:rsidRDefault="003046E0">
      <w:pPr>
        <w:tabs>
          <w:tab w:val="left" w:pos="720"/>
          <w:tab w:val="left" w:pos="1077"/>
          <w:tab w:val="left" w:pos="1418"/>
        </w:tabs>
        <w:jc w:val="both"/>
        <w:rPr>
          <w:b/>
          <w:bCs/>
          <w:lang w:val="lt-LT"/>
        </w:rPr>
      </w:pPr>
      <w:r>
        <w:rPr>
          <w:b/>
          <w:bCs/>
          <w:lang w:val="lt-LT"/>
        </w:rPr>
        <w:tab/>
        <w:t>Komentaras</w:t>
      </w:r>
    </w:p>
    <w:p w14:paraId="3322133A" w14:textId="77777777" w:rsidR="00093845" w:rsidRDefault="000D779E">
      <w:pPr>
        <w:pStyle w:val="Pagrindiniotekstotrauka2"/>
        <w:spacing w:line="240" w:lineRule="auto"/>
        <w:rPr>
          <w:b w:val="0"/>
          <w:bCs w:val="0"/>
        </w:rPr>
      </w:pPr>
      <w:r>
        <w:rPr>
          <w:b w:val="0"/>
          <w:bCs w:val="0"/>
        </w:rPr>
        <w:t xml:space="preserve">1. Vienetai, apskaičiuodami apmokestinamąjį pelną PMĮ nustatyta tvarka, Lietuvos Respublikos Vyriausybės ar jos įgaliotos institucijos nustatytais atvejais ir tvarka turi iš naujo apibūdinti pajamas ar išmokas.  </w:t>
      </w:r>
    </w:p>
    <w:p w14:paraId="3D48768E" w14:textId="77777777" w:rsidR="00093845" w:rsidRDefault="000D779E">
      <w:pPr>
        <w:pStyle w:val="Pagrindiniotekstotrauka2"/>
        <w:spacing w:line="240" w:lineRule="auto"/>
        <w:rPr>
          <w:b w:val="0"/>
          <w:bCs w:val="0"/>
          <w:u w:val="single"/>
        </w:rPr>
      </w:pPr>
      <w:r>
        <w:rPr>
          <w:b w:val="0"/>
          <w:bCs w:val="0"/>
        </w:rPr>
        <w:t xml:space="preserve">Pajamų arba išmokų apibūdinimo iš naujo taisyklės yra patvirtintos  Vyriausybės 2003 m.  gruodžio 9 d. </w:t>
      </w:r>
      <w:r w:rsidR="00E84AC1" w:rsidRPr="009C0219">
        <w:rPr>
          <w:rStyle w:val="Hipersaitas"/>
          <w:rFonts w:ascii="Times New Roman" w:hAnsi="Times New Roman" w:cs="Times New Roman"/>
          <w:kern w:val="0"/>
          <w:lang w:val="lt-LT"/>
        </w:rPr>
        <w:t>nutarimu Nr. 1575</w:t>
      </w:r>
      <w:r>
        <w:rPr>
          <w:b w:val="0"/>
          <w:bCs w:val="0"/>
        </w:rPr>
        <w:t xml:space="preserve"> ,,Dėl Pajamų arba išmokų apibūdinimo iš naujo                  taisyklių patvirtinimo” (toliau - Taisyklės). Taisyklės pradedamos taikyti, apskaičiuojant 2004 m. prasidėjusio ir vėlesnių mokestinių laikotarpių apmokestinamąjį  pelną. Taip pat Taisyklių nuostatos taikomos ir mokamoms palūkanoms ir (ar) nuomos mokesčiui pagal paskolų ar  nuomos sutartis, sudarytas iki 2004 m. prasidėjusio mokestinio laikotarpio, jei jos vis dar galioja 2004 metais  prasidėjusiu  bei vėlesniais mokestiniais laikotarpiais ir pagal jas yra mokamos palūkanos ir (ar) nuomos mokestis. </w:t>
      </w:r>
      <w:r>
        <w:rPr>
          <w:b w:val="0"/>
          <w:bCs w:val="0"/>
          <w:u w:val="single"/>
        </w:rPr>
        <w:t xml:space="preserve">     </w:t>
      </w:r>
    </w:p>
    <w:p w14:paraId="1FF9014D" w14:textId="77777777" w:rsidR="00093845" w:rsidRDefault="000D779E">
      <w:pPr>
        <w:jc w:val="both"/>
        <w:rPr>
          <w:lang w:val="lt-LT"/>
        </w:rPr>
      </w:pPr>
      <w:r>
        <w:rPr>
          <w:b/>
          <w:lang w:val="lt-LT"/>
        </w:rPr>
        <w:t xml:space="preserve">   </w:t>
      </w:r>
      <w:r>
        <w:rPr>
          <w:lang w:val="lt-LT"/>
        </w:rPr>
        <w:t xml:space="preserve">         2. Taisyklės nustato atvejus, kuriais pajamos arba išmokos apibūdinamos iš naujo. Pajamos arba išmokos, apibūdintos iš naujo pagal šias Taisykles, apmokestinamos PMĮ nustatyta tvarka  atsižvelgiant  į  šių  iš naujo  apibūdintų  pajamų arba  išmokų  pobūdį.</w:t>
      </w:r>
    </w:p>
    <w:p w14:paraId="2EB3A70A" w14:textId="77777777" w:rsidR="00093845" w:rsidRDefault="000D779E">
      <w:pPr>
        <w:jc w:val="both"/>
        <w:rPr>
          <w:lang w:val="lt-LT"/>
        </w:rPr>
      </w:pPr>
      <w:r>
        <w:rPr>
          <w:lang w:val="lt-LT"/>
        </w:rPr>
        <w:t xml:space="preserve">     </w:t>
      </w:r>
      <w:r>
        <w:rPr>
          <w:lang w:val="lt-LT"/>
        </w:rPr>
        <w:tab/>
        <w:t>3. Apskaičiuojant apmokestinamąjį pelną, pagal Taisyklių nuostatas apibūdinamos iš naujo:</w:t>
      </w:r>
    </w:p>
    <w:p w14:paraId="3D1BE9B9" w14:textId="77777777" w:rsidR="00093845" w:rsidRDefault="000D779E">
      <w:pPr>
        <w:ind w:firstLine="720"/>
        <w:jc w:val="both"/>
        <w:rPr>
          <w:lang w:val="lt-LT"/>
        </w:rPr>
      </w:pPr>
      <w:r>
        <w:rPr>
          <w:lang w:val="lt-LT"/>
        </w:rPr>
        <w:t xml:space="preserve">-  palūkanos, mokamos už  kontroliuojamo skolinto kapitalo naudojimą; </w:t>
      </w:r>
    </w:p>
    <w:p w14:paraId="72E235CC" w14:textId="77777777" w:rsidR="00093845" w:rsidRDefault="000D779E">
      <w:pPr>
        <w:ind w:firstLine="720"/>
        <w:jc w:val="both"/>
        <w:rPr>
          <w:lang w:val="lt-LT"/>
        </w:rPr>
      </w:pPr>
      <w:r>
        <w:rPr>
          <w:lang w:val="lt-LT"/>
        </w:rPr>
        <w:t xml:space="preserve">-  palūkanos, mokamos pagal skolinius reikalavimus, kurie suteikia skolintojui teisę pakeisti  </w:t>
      </w:r>
    </w:p>
    <w:p w14:paraId="6B36B9E9" w14:textId="77777777" w:rsidR="00093845" w:rsidRDefault="000D779E">
      <w:pPr>
        <w:jc w:val="both"/>
        <w:rPr>
          <w:lang w:val="lt-LT"/>
        </w:rPr>
      </w:pPr>
      <w:r>
        <w:rPr>
          <w:lang w:val="lt-LT"/>
        </w:rPr>
        <w:t xml:space="preserve">jo teisę į palūkanas teise į skolininko pelną arba jo dalį;  </w:t>
      </w:r>
    </w:p>
    <w:p w14:paraId="2D870194" w14:textId="77777777" w:rsidR="00093845" w:rsidRDefault="000D779E">
      <w:pPr>
        <w:ind w:firstLine="720"/>
        <w:jc w:val="both"/>
        <w:rPr>
          <w:lang w:val="lt-LT"/>
        </w:rPr>
      </w:pPr>
      <w:r>
        <w:rPr>
          <w:lang w:val="lt-LT"/>
        </w:rPr>
        <w:t xml:space="preserve">- su Lietuvos vieneto pelnu, pajamų ar panašiu veiklos kriterijaus dydžiu susijusios mokamos palūkanos ir nuomos mokestis.  </w:t>
      </w:r>
    </w:p>
    <w:p w14:paraId="2F544DD4" w14:textId="77777777" w:rsidR="00093845" w:rsidRDefault="000D779E">
      <w:pPr>
        <w:ind w:firstLine="720"/>
        <w:jc w:val="both"/>
        <w:rPr>
          <w:lang w:val="lt-LT"/>
        </w:rPr>
      </w:pPr>
      <w:r>
        <w:rPr>
          <w:lang w:val="lt-LT"/>
        </w:rPr>
        <w:t xml:space="preserve">Taisyklių nuostatos dėl apibūdinimo iš naujo taikomos, jei tokios palūkanos ar nuomos mokestis mokamas kontroliuojančiam asmeniui.  </w:t>
      </w:r>
    </w:p>
    <w:p w14:paraId="503A874B" w14:textId="77777777" w:rsidR="00093845" w:rsidRDefault="000D779E">
      <w:pPr>
        <w:jc w:val="both"/>
        <w:rPr>
          <w:lang w:val="lt-LT"/>
        </w:rPr>
      </w:pPr>
      <w:r>
        <w:rPr>
          <w:lang w:val="lt-LT"/>
        </w:rPr>
        <w:t xml:space="preserve">     </w:t>
      </w:r>
      <w:r>
        <w:rPr>
          <w:lang w:val="lt-LT"/>
        </w:rPr>
        <w:tab/>
        <w:t xml:space="preserve">4. Palūkanų už kontroliuojamą skolintą kapitalą apibūdinimas:      </w:t>
      </w:r>
    </w:p>
    <w:p w14:paraId="70653ACF" w14:textId="77777777" w:rsidR="00093845" w:rsidRDefault="000D779E">
      <w:pPr>
        <w:pStyle w:val="Pagrindinistekstas3"/>
        <w:jc w:val="both"/>
        <w:rPr>
          <w:rFonts w:ascii="Times New Roman" w:hAnsi="Times New Roman"/>
        </w:rPr>
      </w:pPr>
      <w:r>
        <w:t xml:space="preserve">            </w:t>
      </w:r>
      <w:r>
        <w:rPr>
          <w:bCs/>
        </w:rPr>
        <w:t>4</w:t>
      </w:r>
      <w:r>
        <w:rPr>
          <w:rFonts w:ascii="Times New Roman" w:hAnsi="Times New Roman"/>
        </w:rPr>
        <w:t xml:space="preserve">.1. Kontroliuojantis skolintojas – tai Lietuvos vienetui suteikęs skolinto kapitalo už atlygį Lietuvos vienetą kontroliuojantis apmokestinamasis vienetas arba  gyventojas (t.y. Lietuvos ar </w:t>
      </w:r>
      <w:r>
        <w:rPr>
          <w:rFonts w:ascii="Times New Roman" w:hAnsi="Times New Roman"/>
        </w:rPr>
        <w:lastRenderedPageBreak/>
        <w:t xml:space="preserve">užsienio apmokestinamasis vienetas arba Lietuvos nuolatinis gyventojas ar Lietuvos nenuolatinis gyventojas), kuris: </w:t>
      </w:r>
    </w:p>
    <w:p w14:paraId="768E0CFC" w14:textId="77777777" w:rsidR="00093845" w:rsidRDefault="000D779E">
      <w:pPr>
        <w:ind w:left="720" w:hanging="720"/>
        <w:jc w:val="both"/>
        <w:rPr>
          <w:lang w:val="lt-LT"/>
        </w:rPr>
      </w:pPr>
      <w:r>
        <w:rPr>
          <w:lang w:val="lt-LT"/>
        </w:rPr>
        <w:t xml:space="preserve">            - kontroliuoja Lietuvos vienetą  paskutinę šio Lietuvos  vieneto mokestinio laikotarpio dieną </w:t>
      </w:r>
    </w:p>
    <w:p w14:paraId="42950E11" w14:textId="77777777" w:rsidR="00093845" w:rsidRDefault="000D779E">
      <w:pPr>
        <w:ind w:left="720" w:hanging="720"/>
        <w:jc w:val="both"/>
        <w:rPr>
          <w:lang w:val="lt-LT"/>
        </w:rPr>
      </w:pPr>
      <w:r>
        <w:rPr>
          <w:lang w:val="lt-LT"/>
        </w:rPr>
        <w:t>ir</w:t>
      </w:r>
    </w:p>
    <w:p w14:paraId="6B497904" w14:textId="77777777" w:rsidR="00093845" w:rsidRDefault="000D779E">
      <w:pPr>
        <w:pStyle w:val="Style1"/>
        <w:ind w:left="720" w:firstLine="0"/>
        <w:rPr>
          <w:rFonts w:ascii="Times New Roman" w:hAnsi="Times New Roman"/>
        </w:rPr>
      </w:pPr>
      <w:r>
        <w:rPr>
          <w:rFonts w:ascii="Times New Roman" w:hAnsi="Times New Roman"/>
        </w:rPr>
        <w:t xml:space="preserve">-  tiesiogiai ar netiesiogiai valdo daugiau kaip 50 procentų Lietuvos  vieneto  akcijų  (dalių,  pajų)  ar  kitų  teisių  į  paskirstytinojo pelno dalį arba  išimtinių teisių jas įsigyti, arba </w:t>
      </w:r>
    </w:p>
    <w:p w14:paraId="7CB47C4B" w14:textId="77777777" w:rsidR="00093845" w:rsidRDefault="000D779E">
      <w:pPr>
        <w:pStyle w:val="Style1"/>
        <w:rPr>
          <w:rFonts w:ascii="Times New Roman" w:hAnsi="Times New Roman"/>
        </w:rPr>
      </w:pPr>
      <w:r>
        <w:rPr>
          <w:rFonts w:ascii="Times New Roman" w:hAnsi="Times New Roman"/>
          <w:szCs w:val="24"/>
        </w:rPr>
        <w:t xml:space="preserve">-  kartu  su  susijusiais  asmenimis  valdo daugiau  kaip 50  procentų  Lietuvos vieneto akcijų  </w:t>
      </w:r>
      <w:r>
        <w:rPr>
          <w:rFonts w:ascii="Times New Roman" w:hAnsi="Times New Roman"/>
        </w:rPr>
        <w:t xml:space="preserve">(dalių, pajų) ar  kitų   teisių   į   paskirstytinojo pelno dalį arba  išimtinių  teisių  jas įsigyti ir            </w:t>
      </w:r>
    </w:p>
    <w:p w14:paraId="3311548A" w14:textId="77777777" w:rsidR="00093845" w:rsidRDefault="000D779E">
      <w:pPr>
        <w:pStyle w:val="Style1"/>
        <w:rPr>
          <w:rFonts w:ascii="Times New Roman" w:hAnsi="Times New Roman"/>
        </w:rPr>
      </w:pPr>
      <w:r>
        <w:rPr>
          <w:rFonts w:ascii="Times New Roman" w:hAnsi="Times New Roman"/>
        </w:rPr>
        <w:t>kontroliuojančio  asmens valdoma dalis  yra ne mažesnė kaip 10  procentų akcijų  (dalių, pajų)  ar  kitų  teisių  į paskirstytinojo pelno dalį arba išimtinių teisių jas įsigyti.</w:t>
      </w:r>
    </w:p>
    <w:p w14:paraId="3AE4FF62" w14:textId="77777777" w:rsidR="00093845" w:rsidRDefault="000D779E">
      <w:pPr>
        <w:ind w:firstLine="720"/>
        <w:jc w:val="both"/>
        <w:rPr>
          <w:lang w:val="lt-LT"/>
        </w:rPr>
      </w:pPr>
      <w:r>
        <w:rPr>
          <w:lang w:val="lt-LT"/>
        </w:rPr>
        <w:t>Kontroliuojančio skolintojo sąvoka taip pat apima:</w:t>
      </w:r>
    </w:p>
    <w:p w14:paraId="7E2636DA" w14:textId="77777777" w:rsidR="00093845" w:rsidRDefault="000D779E">
      <w:pPr>
        <w:ind w:firstLine="720"/>
        <w:jc w:val="both"/>
        <w:rPr>
          <w:lang w:val="lt-LT"/>
        </w:rPr>
      </w:pPr>
      <w:r>
        <w:rPr>
          <w:lang w:val="lt-LT"/>
        </w:rPr>
        <w:t>- vienetų grupės, kurios narys yra ir Lietuvos vienetas, narį,</w:t>
      </w:r>
    </w:p>
    <w:p w14:paraId="1B134AC0" w14:textId="77777777" w:rsidR="00093845" w:rsidRDefault="000D779E">
      <w:pPr>
        <w:jc w:val="both"/>
        <w:rPr>
          <w:lang w:val="lt-LT"/>
        </w:rPr>
      </w:pPr>
      <w:r>
        <w:rPr>
          <w:lang w:val="lt-LT"/>
        </w:rPr>
        <w:t xml:space="preserve">            - kontroliuojančio gyventojo sutuoktinį,  sužadėtinį,  sugyventinį  ir  asmenį, susijusį su kontroliuojančiu gyventoju giminystės ryšiais iki  pirmojo laipsnio įskaitytinai, kurie yra  Lietuvos  vienetui suteikę skolinto kapitalo už atlygį.</w:t>
      </w:r>
    </w:p>
    <w:p w14:paraId="4E275D79" w14:textId="77777777" w:rsidR="00093845" w:rsidRDefault="000D779E">
      <w:pPr>
        <w:ind w:firstLine="720"/>
        <w:jc w:val="both"/>
        <w:rPr>
          <w:lang w:val="lt-LT"/>
        </w:rPr>
      </w:pPr>
      <w:r>
        <w:rPr>
          <w:lang w:val="lt-LT"/>
        </w:rPr>
        <w:t xml:space="preserve">4.2. </w:t>
      </w:r>
      <w:r>
        <w:rPr>
          <w:bCs/>
          <w:lang w:val="lt-LT"/>
        </w:rPr>
        <w:t>F</w:t>
      </w:r>
      <w:r>
        <w:rPr>
          <w:lang w:val="lt-LT"/>
        </w:rPr>
        <w:t>iksuotas kapitalas - tai paskutinę mokestinio laikotarpio dieną apskaičiuotas Lietuvos apmokestinamojo vieneto nuosavas kapitalas, neįskaitant:</w:t>
      </w:r>
    </w:p>
    <w:p w14:paraId="5739CDDC" w14:textId="77777777" w:rsidR="00093845" w:rsidRDefault="000D779E">
      <w:pPr>
        <w:ind w:firstLine="720"/>
        <w:jc w:val="both"/>
        <w:rPr>
          <w:lang w:val="lt-LT"/>
        </w:rPr>
      </w:pPr>
      <w:r>
        <w:rPr>
          <w:lang w:val="lt-LT"/>
        </w:rPr>
        <w:t>- to mokestinio laikotarpio finansinio rezultato (pelno/nuostolio) ir</w:t>
      </w:r>
    </w:p>
    <w:p w14:paraId="5F9B6822" w14:textId="77777777" w:rsidR="00093845" w:rsidRDefault="000D779E">
      <w:pPr>
        <w:ind w:firstLine="720"/>
        <w:jc w:val="both"/>
        <w:rPr>
          <w:lang w:val="lt-LT"/>
        </w:rPr>
      </w:pPr>
      <w:r>
        <w:rPr>
          <w:lang w:val="lt-LT"/>
        </w:rPr>
        <w:t xml:space="preserve">- kontroliuojančio skolintojo Lietuvos vienetui perleisto turto perkainojimo rezultato, jeigu šį turtą tas vienetas naudoja trumpiau kaip dvejus metus. </w:t>
      </w:r>
    </w:p>
    <w:p w14:paraId="67F6B9D0" w14:textId="77777777" w:rsidR="00093845" w:rsidRDefault="000D779E">
      <w:pPr>
        <w:pStyle w:val="Pagrindiniotekstotrauka2"/>
        <w:spacing w:line="240" w:lineRule="auto"/>
        <w:rPr>
          <w:b w:val="0"/>
          <w:bCs w:val="0"/>
        </w:rPr>
      </w:pPr>
      <w:r>
        <w:rPr>
          <w:b w:val="0"/>
          <w:bCs w:val="0"/>
        </w:rPr>
        <w:t xml:space="preserve">Turto naudojimo Lietuvos vienete dviejų metų laikotarpis skaičiuojamas mėnesiais.  </w:t>
      </w:r>
    </w:p>
    <w:p w14:paraId="7F435C1E" w14:textId="77777777" w:rsidR="00093845" w:rsidRDefault="000D779E">
      <w:pPr>
        <w:ind w:firstLine="720"/>
        <w:jc w:val="both"/>
        <w:rPr>
          <w:lang w:val="lt-LT"/>
        </w:rPr>
      </w:pPr>
      <w:r>
        <w:rPr>
          <w:lang w:val="lt-LT"/>
        </w:rPr>
        <w:t xml:space="preserve">Mokestinio laikotarpio finansinis rezultatas (pelnas/nuostolis), kuris neįskaitomas, apskaičiuojant vieneto  fiksuotą  kapitalą,  yra to vieneto pelnas/nuostolis prieš apmokestinimą.         </w:t>
      </w:r>
    </w:p>
    <w:p w14:paraId="5631D8E4" w14:textId="77777777" w:rsidR="00093845" w:rsidRDefault="000D779E">
      <w:pPr>
        <w:pStyle w:val="Pagrindiniotekstotrauka2"/>
        <w:spacing w:line="240" w:lineRule="auto"/>
        <w:rPr>
          <w:b w:val="0"/>
          <w:bCs w:val="0"/>
        </w:rPr>
      </w:pPr>
      <w:r>
        <w:rPr>
          <w:b w:val="0"/>
          <w:bCs w:val="0"/>
        </w:rPr>
        <w:t>Tais atvejais, kai  Lietuvos vienetas yra individuali įmonė  arba ūkinė bendrija ir netvarko apskaitos kaip  ribotos  civilinės atsakomybės vienetas, laikoma, kad jo nuosavą kapitalą sudaro:    10 000 litų ir ilgalaikio materialaus turto, nuosavybės teise priklausančio individualiai įmonei arba ūkinei bendrijai, naudojamo ilgiau kaip metus šios įmonės pajamoms uždirbti ar įmonės ekonominei naudai gauti, įsigijimo kaina, sumažinta to turto nusidėvėjimo suma, įtraukta į  ribojamų dydžių leidžiamus atskaitymus.</w:t>
      </w:r>
    </w:p>
    <w:p w14:paraId="515A958B" w14:textId="77777777" w:rsidR="00093845" w:rsidRDefault="000D779E" w:rsidP="00550B60">
      <w:pPr>
        <w:pStyle w:val="Pagrindinistekstas3"/>
        <w:spacing w:after="0"/>
        <w:rPr>
          <w:rFonts w:ascii="Times New Roman" w:hAnsi="Times New Roman"/>
        </w:rPr>
      </w:pPr>
      <w:r>
        <w:rPr>
          <w:rFonts w:ascii="Times New Roman" w:hAnsi="Times New Roman"/>
          <w:bCs/>
        </w:rPr>
        <w:t xml:space="preserve">            4.3. Skolintas kapitalas už atlygį yra:</w:t>
      </w:r>
    </w:p>
    <w:p w14:paraId="1B27D2DC" w14:textId="77777777" w:rsidR="00093845" w:rsidRDefault="000D779E" w:rsidP="00550B60">
      <w:pPr>
        <w:spacing w:after="0"/>
        <w:jc w:val="both"/>
        <w:rPr>
          <w:lang w:val="lt-LT"/>
        </w:rPr>
      </w:pPr>
      <w:r>
        <w:rPr>
          <w:lang w:val="lt-LT"/>
        </w:rPr>
        <w:t xml:space="preserve">            -  visas Lietuvos vieneto iš kontroliuojančio (-ių) skolintojo (-ų) skolintas kapitalas;  </w:t>
      </w:r>
    </w:p>
    <w:p w14:paraId="61D101D5" w14:textId="77777777" w:rsidR="00093845" w:rsidRDefault="000D779E" w:rsidP="00550B60">
      <w:pPr>
        <w:tabs>
          <w:tab w:val="left" w:pos="900"/>
        </w:tabs>
        <w:spacing w:after="0"/>
        <w:ind w:firstLine="720"/>
        <w:jc w:val="both"/>
        <w:rPr>
          <w:lang w:val="lt-LT"/>
        </w:rPr>
      </w:pPr>
      <w:r>
        <w:rPr>
          <w:lang w:val="lt-LT"/>
        </w:rPr>
        <w:t xml:space="preserve">- Lietuvos vieneto išleistos ir kontroliuojančio(-ių) skolintojo(-ų) įsigytos konvertuojamosios obligacijos už tam tikras sutartas palūkanas arba kitokį atlyginimą; </w:t>
      </w:r>
    </w:p>
    <w:p w14:paraId="2A404643" w14:textId="77777777" w:rsidR="00093845" w:rsidRDefault="000D779E" w:rsidP="00EC4E29">
      <w:pPr>
        <w:numPr>
          <w:ilvl w:val="0"/>
          <w:numId w:val="40"/>
        </w:numPr>
        <w:tabs>
          <w:tab w:val="left" w:pos="900"/>
        </w:tabs>
        <w:spacing w:after="0"/>
        <w:jc w:val="both"/>
        <w:rPr>
          <w:lang w:val="lt-LT"/>
        </w:rPr>
      </w:pPr>
      <w:r>
        <w:rPr>
          <w:lang w:val="lt-LT"/>
        </w:rPr>
        <w:t xml:space="preserve"> paskolos iš trečiųjų asmenų, garantuotos kontroliuojančio (-ių) skolintojo (-ų), </w:t>
      </w:r>
    </w:p>
    <w:p w14:paraId="7ED431CE" w14:textId="77777777" w:rsidR="00093845" w:rsidRDefault="000D779E" w:rsidP="00EC4E29">
      <w:pPr>
        <w:pStyle w:val="Style1"/>
        <w:numPr>
          <w:ilvl w:val="0"/>
          <w:numId w:val="40"/>
        </w:numPr>
        <w:tabs>
          <w:tab w:val="left" w:pos="900"/>
        </w:tabs>
        <w:spacing w:after="0"/>
        <w:ind w:left="0" w:firstLine="720"/>
        <w:rPr>
          <w:rFonts w:ascii="Times New Roman" w:hAnsi="Times New Roman"/>
          <w:szCs w:val="24"/>
        </w:rPr>
      </w:pPr>
      <w:r>
        <w:rPr>
          <w:rFonts w:ascii="Times New Roman" w:hAnsi="Times New Roman"/>
          <w:szCs w:val="24"/>
        </w:rPr>
        <w:t xml:space="preserve"> paskolos Lietuvos vienetui, garantuotos trečiųjų asmenų, kuriems kontroliuojantis (-ys) skolintojas (-ai) tuo pat metu yra garantavęs (-ę) tokią paskolą.</w:t>
      </w:r>
    </w:p>
    <w:p w14:paraId="2D87B841" w14:textId="77777777" w:rsidR="00093845" w:rsidRDefault="000D779E">
      <w:pPr>
        <w:ind w:firstLine="720"/>
        <w:jc w:val="both"/>
        <w:rPr>
          <w:lang w:val="lt-LT"/>
        </w:rPr>
      </w:pPr>
      <w:r>
        <w:rPr>
          <w:lang w:val="lt-LT"/>
        </w:rPr>
        <w:t>Skaičiuojant skolintą kapitalą, nėra įskaitoma tuo mokestiniu laikotarpiu, už kurį skaičiuojamas fiksuoto ir skolinto kapitalo santykis, jau sugrąžinta šiam mokestiniam laikotarpiui tenkanti skolinto kapitalo dalis</w:t>
      </w:r>
    </w:p>
    <w:p w14:paraId="4AB45860" w14:textId="77777777" w:rsidR="00093845" w:rsidRDefault="000D779E">
      <w:pPr>
        <w:ind w:firstLine="720"/>
        <w:jc w:val="both"/>
        <w:rPr>
          <w:lang w:val="lt-LT"/>
        </w:rPr>
      </w:pPr>
      <w:r>
        <w:rPr>
          <w:lang w:val="lt-LT"/>
        </w:rPr>
        <w:lastRenderedPageBreak/>
        <w:t xml:space="preserve">5. Lietuvos vieneto iš kontroliuojančio (-ių) skolintojo (-ų) skolinto kapitalo už atlygį dalis, viršijanti šio skolinto kapitalo už atlygį ir fiksuoto kapitalo santykį 4:1, laikoma kontroliuojamu skolintu kapitalu. </w:t>
      </w:r>
    </w:p>
    <w:p w14:paraId="03AF2EA6" w14:textId="77777777" w:rsidR="00093845" w:rsidRDefault="000D779E">
      <w:pPr>
        <w:pStyle w:val="Pagrindiniotekstotrauka2"/>
        <w:spacing w:line="240" w:lineRule="auto"/>
        <w:rPr>
          <w:b w:val="0"/>
          <w:bCs w:val="0"/>
        </w:rPr>
      </w:pPr>
      <w:r>
        <w:rPr>
          <w:b w:val="0"/>
          <w:bCs w:val="0"/>
        </w:rPr>
        <w:t xml:space="preserve">Skolinto kapitalo už atlygį ir fiksuoto kapitalo santykis apskaičiuojamas Lietuvos vieneto kiekvieno mokestinio laikotarpio paskutinę dieną. Ar Lietuvos vienetui paskolą suteikęs kitas vienetas arba gyventojas kontroliuoja šį Lietuvos vienetą ir yra kontroliuojantis skolintojas taip pat nustatoma kiekvieno mokestinio laikotarpio paskutinę dieną. </w:t>
      </w:r>
    </w:p>
    <w:p w14:paraId="729D4CA0" w14:textId="77777777" w:rsidR="00093845" w:rsidRDefault="000D779E">
      <w:pPr>
        <w:pStyle w:val="Pagrindiniotekstotrauka2"/>
        <w:spacing w:line="240" w:lineRule="auto"/>
        <w:ind w:firstLine="0"/>
        <w:rPr>
          <w:b w:val="0"/>
          <w:bCs w:val="0"/>
        </w:rPr>
      </w:pPr>
      <w:r>
        <w:t xml:space="preserve">           </w:t>
      </w:r>
      <w:r>
        <w:rPr>
          <w:b w:val="0"/>
          <w:bCs w:val="0"/>
        </w:rPr>
        <w:t xml:space="preserve">5.1. Jeigu paskolos sutartis buvo sudaryta iki 2004 m. prasidėjusio mokestinio laikotarpio ir ji vis dar galioja 2004 metais prasidėjusiu mokestiniu laikotarpiu, tai apie kontroliavimą sprendžiama bei skolinto ir fiksuoto kapitalo santykis apskaičiuojamas Lietuvos vieneto 2004 m. prasidėjusio mokestinio laikotarpio paskutinę dieną. Taip pat tokiu atveju Lietuvos vieneto mokamos palūkanos už kontroliuojamą skolintą kapitalą apibūdinamos iš naujo tik nuo 2004 metais prasidėjusio mokestinio laikotarpio.  </w:t>
      </w:r>
    </w:p>
    <w:p w14:paraId="17918A6B" w14:textId="77777777" w:rsidR="00093845" w:rsidRDefault="000D779E">
      <w:pPr>
        <w:pStyle w:val="Pagrindiniotekstotrauka2"/>
        <w:spacing w:line="240" w:lineRule="auto"/>
        <w:rPr>
          <w:b w:val="0"/>
          <w:bCs w:val="0"/>
        </w:rPr>
      </w:pPr>
      <w:r>
        <w:rPr>
          <w:b w:val="0"/>
          <w:bCs w:val="0"/>
        </w:rPr>
        <w:t>Jei skolintas kapitalas yra užsienio valiuta, tai apskaičiuojant skolinto ir fiksuoto kapitalo santykį, skolintas kapitalas turi būti išreikštas litais pagal Lietuvos banko skelbiamą oficialų lito ir užsienio valiutos santykį, nustatytą paskutinę mokestinio laikotarpio dieną.</w:t>
      </w:r>
    </w:p>
    <w:p w14:paraId="4577DAC0" w14:textId="77777777" w:rsidR="00093845" w:rsidRDefault="000D779E">
      <w:pPr>
        <w:ind w:firstLine="720"/>
        <w:jc w:val="both"/>
        <w:rPr>
          <w:lang w:val="lt-LT"/>
        </w:rPr>
      </w:pPr>
      <w:r>
        <w:rPr>
          <w:lang w:val="lt-LT"/>
        </w:rPr>
        <w:t xml:space="preserve">5.2. Už kontroliuojamo skolinto kapitalo naudojimą mokamos palūkanos laikomos nesusijusiomis su pajamų uždirbimu ir apskaičiuojant kontroliuojamo Lietuvos vieneto apmokestinamąjį pelną šių palūkanų dalis neatskaitoma iš Lietuvos vieneto pajamų.  </w:t>
      </w:r>
    </w:p>
    <w:p w14:paraId="220FD437" w14:textId="77777777" w:rsidR="00093845" w:rsidRDefault="000D779E" w:rsidP="00F15E3F">
      <w:pPr>
        <w:jc w:val="both"/>
        <w:rPr>
          <w:lang w:val="lt-LT"/>
        </w:rPr>
      </w:pPr>
      <w:r>
        <w:rPr>
          <w:lang w:val="lt-LT"/>
        </w:rPr>
        <w:t xml:space="preserve">        Pavyzdys</w:t>
      </w:r>
    </w:p>
    <w:p w14:paraId="544CFB00" w14:textId="77777777" w:rsidR="00093845" w:rsidRDefault="000D779E">
      <w:pPr>
        <w:pBdr>
          <w:top w:val="single" w:sz="4" w:space="1" w:color="auto"/>
          <w:left w:val="single" w:sz="4" w:space="4" w:color="auto"/>
          <w:bottom w:val="single" w:sz="4" w:space="1" w:color="auto"/>
          <w:right w:val="single" w:sz="4" w:space="4" w:color="auto"/>
        </w:pBdr>
        <w:ind w:firstLine="540"/>
        <w:jc w:val="both"/>
        <w:rPr>
          <w:lang w:val="lt-LT"/>
        </w:rPr>
      </w:pPr>
      <w:r>
        <w:rPr>
          <w:lang w:val="lt-LT"/>
        </w:rPr>
        <w:t xml:space="preserve">Lietuvos vienetas A pagal 2003 m. birželio 30 d. paskolos sutartį iš užsienio vieneto B gavo 160 000 Lt paskolą 4 metų laikotarpiui, paskolą grąžinant lygiomis dalimis kas ketvirtį ir mokant  7 proc. metines palūkanas. Vieneto A mokestinis laikotarpis sutampa su kalendoriniais metais. Vieneto A 2004 m. mokestinio laikotarpio paskutinę dieną (2004-12-31) apskaičiuotas fiksuotas kapitalas, t.y. nuosavas kapitalas, neįskaitant tų metų finansinio rezultato, sudarė 20 000 Lt. </w:t>
      </w:r>
    </w:p>
    <w:p w14:paraId="2846119B"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 xml:space="preserve">         Vienetas B paskutinę vieneto A mokestinio laikotarpio dieną (2004-12-31) valdė 63 proc. jo akcijų, todėl vienetas B yra laikomas kontroliuojančiu vienetą A.</w:t>
      </w:r>
    </w:p>
    <w:p w14:paraId="231E42A6"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 xml:space="preserve">          Vienetas A vienetui B nuo paskolos sutarties sudarymo (2003-06-30) iki 2003-12-31 vienetui B jau grąžino 50 000 Lt paskolos (ir už šią paskolos dalį priklausančias palūkanas). Todėl vienetas A vienetui B 2004-12-31 yra skolingas 110 000 Lt (160 000 Lt - 50 000 Lt). Į per mokestinį laikotarpį (2004 m.) sugražintą paskolos dalį apskaičiuojant skolintą kapitalą neatsižvelgiama.     </w:t>
      </w:r>
    </w:p>
    <w:p w14:paraId="5AEF9DE4"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 xml:space="preserve">         Vadinasi, vieneto A iš kontroliuojančio skolintojo - vieneto B skolinto kapitalo už atlygį dalis, viršijanti šio skolinto kapitalo už atlygį (110 000 Lt) ir fiksuoto kapitalo (20 000 Lt) santykį 4:1 2004 - 12 -31 yra 30 000 Lt (110 000 Lt - 4 x 20 000 Lt). Ši suma yra laikoma kontroliuojamu skolintu kapitalu. Todėl vienetas A, apskaičiuodamas 2004 metų pelno mokestį, tais metais už šią paskolos sumą (30 000 Lt) mokėtinų palūkanų negalės priskirti leidžiamiems atskaitymams.</w:t>
      </w:r>
    </w:p>
    <w:p w14:paraId="35890786" w14:textId="77777777" w:rsidR="00093845" w:rsidRDefault="000D779E">
      <w:pPr>
        <w:pBdr>
          <w:top w:val="single" w:sz="4" w:space="1" w:color="auto"/>
          <w:left w:val="single" w:sz="4" w:space="4" w:color="auto"/>
          <w:bottom w:val="single" w:sz="4" w:space="1" w:color="auto"/>
          <w:right w:val="single" w:sz="4" w:space="4" w:color="auto"/>
        </w:pBdr>
        <w:jc w:val="both"/>
        <w:rPr>
          <w:lang w:val="lt-LT"/>
        </w:rPr>
      </w:pPr>
      <w:r>
        <w:rPr>
          <w:lang w:val="lt-LT"/>
        </w:rPr>
        <w:t xml:space="preserve">          Tarkime, kad vieneto A fiksuotas kapitalas 2005 - 12- 31 bus nepasikeitęs ir sudarys            20 000 Lt, o vienetas B 2005-12-31 valdys 63 proc. vieneto A akcijų ir bus laikomas kontroliuojančiu vienetą A (kaip ir 2004-12-31). Taip pat tarkime, kad vienetas A nuo paskolos sudarymo dienos (2003-06-30) iki 2004 m. mokestinio laikotarpio paskutinės dienos (2004 -12 -31) vienetui B jau bus grąžinęs 90 000 Lt paskolos (ir už šią paskolos dalį priklausančias palūkanas) ir todėl vienetas A vienetui B bus skolingas 70 000 Lt (160 000 Lt – 90 000 Lt). Vadinasi, vieneto A iš kontroliuojančio skolintojo – vieneto B skolintas kapitalas už atlygį pakutinę vieneto A mokestinio laikotarpio dieną (2005-12-31) sudarys 70 000 Lt (neįskaitant 2005 metais grąžintos paskolos sumos) ir neviršys skolinto kapitalo už atlygį (70 000 Lt) ir fiksuoto kapitalo (20 000 Lt) santykio 4:1 (20 000 Lt x 4 = 80 000 Lt). Todėl </w:t>
      </w:r>
      <w:r>
        <w:rPr>
          <w:lang w:val="lt-LT"/>
        </w:rPr>
        <w:lastRenderedPageBreak/>
        <w:t>vieneto A vienetui B 2005 metais ir kitais metais (jeigu iš vieneto B nebus paimta papildoma paskola bei skolinto ir fiksuoto kapitalo santykis neviršys 4:1) mokamos palūkanos už paskolą nebus apibūdinamos iš naujo.</w:t>
      </w:r>
    </w:p>
    <w:p w14:paraId="64F27565" w14:textId="77777777" w:rsidR="00093845" w:rsidRDefault="000D779E">
      <w:pPr>
        <w:pStyle w:val="Pagrindiniotekstotrauka2"/>
        <w:spacing w:line="240" w:lineRule="auto"/>
        <w:ind w:right="98"/>
        <w:outlineLvl w:val="0"/>
        <w:rPr>
          <w:b w:val="0"/>
          <w:bCs w:val="0"/>
        </w:rPr>
      </w:pPr>
      <w:r>
        <w:rPr>
          <w:b w:val="0"/>
          <w:bCs w:val="0"/>
        </w:rPr>
        <w:t xml:space="preserve">Jei vienetui kontroliuojantis vienetas suteikia kelias paskolas, kurioms nustatytos skirtingos palūkanų normos, </w:t>
      </w:r>
      <w:r>
        <w:rPr>
          <w:b w:val="0"/>
        </w:rPr>
        <w:t xml:space="preserve">ir šių paskolų suma viršija skolinto kapitalo už atlygį ir fiksuoto kapitalo santykį 4:1, </w:t>
      </w:r>
      <w:r>
        <w:rPr>
          <w:b w:val="0"/>
          <w:bCs w:val="0"/>
        </w:rPr>
        <w:t>tai neleidžiamiems atskaitymams priskiriama palūkanų suma turi būti apskaičiuojama nuo visų suteiktų paskolų sumos (neatsižvelgiant į paskolų suteikimo eiliškumą).</w:t>
      </w:r>
    </w:p>
    <w:p w14:paraId="448E9C1A" w14:textId="77777777" w:rsidR="00093845" w:rsidRDefault="000D779E">
      <w:pPr>
        <w:pStyle w:val="Pagrindiniotekstotrauka2"/>
        <w:spacing w:line="240" w:lineRule="auto"/>
        <w:outlineLvl w:val="0"/>
        <w:rPr>
          <w:b w:val="0"/>
          <w:bCs w:val="0"/>
        </w:rPr>
      </w:pPr>
      <w:r>
        <w:rPr>
          <w:b w:val="0"/>
          <w:bCs w:val="0"/>
        </w:rPr>
        <w:t>Pavyzdys</w:t>
      </w:r>
    </w:p>
    <w:p w14:paraId="2E076751" w14:textId="77777777" w:rsidR="00093845" w:rsidRDefault="000D779E">
      <w:pPr>
        <w:pStyle w:val="Pagrindiniotekstotrauka2"/>
        <w:pBdr>
          <w:top w:val="single" w:sz="4" w:space="1" w:color="auto"/>
          <w:left w:val="single" w:sz="4" w:space="4" w:color="auto"/>
          <w:bottom w:val="single" w:sz="4" w:space="1" w:color="auto"/>
          <w:right w:val="single" w:sz="4" w:space="4" w:color="auto"/>
        </w:pBdr>
        <w:spacing w:line="240" w:lineRule="auto"/>
        <w:ind w:right="98"/>
        <w:rPr>
          <w:b w:val="0"/>
          <w:bCs w:val="0"/>
        </w:rPr>
      </w:pPr>
      <w:r>
        <w:rPr>
          <w:b w:val="0"/>
          <w:bCs w:val="0"/>
        </w:rPr>
        <w:t xml:space="preserve">Lietuvos vienetas X pasiskolino pagal paskolos sutartis iš kontroliuojančio vieneto Y: 2010-06-20 50 000 Lt (sutartyje numatytos 8 proc. metinės palūkanos), 2011-12-15 60 000 Lt (sutartyje numatytos 6 proc. metinės palūkanos) bei 2012-06-20 dar 100 000 Lt (sutartyje numatytos 4 proc. metinės palūkanos). </w:t>
      </w:r>
      <w:r>
        <w:rPr>
          <w:b w:val="0"/>
        </w:rPr>
        <w:t xml:space="preserve">Vienetas X 2012-12-31 apskaičiavo, kad dėl paimtos paskutinės paskolos 20 procentų </w:t>
      </w:r>
      <w:r>
        <w:rPr>
          <w:b w:val="0"/>
          <w:bCs w:val="0"/>
        </w:rPr>
        <w:t xml:space="preserve">buvo viršytas </w:t>
      </w:r>
      <w:r>
        <w:rPr>
          <w:b w:val="0"/>
        </w:rPr>
        <w:t xml:space="preserve">skolinto ir fiksuoto kapitalo santykis 4:1.  Bendra palūkanų suma, apskaičiuota 2012 metais nuo visų paskolų sumos yra 9 726 Lt. Vienetas, apskaičiuodamas apmokestinamąjį pelną, už 2012 metus. 20 proc. palūkanų, apskaičiuotų nuo visų paskolų sumos (1 945 Lt), turi priskirti neleidžiamiems atskaitymams </w:t>
      </w:r>
    </w:p>
    <w:p w14:paraId="6D13480B" w14:textId="77777777" w:rsidR="00093845" w:rsidRDefault="000D779E">
      <w:pPr>
        <w:pStyle w:val="Pagrindiniotekstotrauka2"/>
        <w:spacing w:line="240" w:lineRule="auto"/>
        <w:ind w:right="98"/>
        <w:rPr>
          <w:b w:val="0"/>
          <w:bCs w:val="0"/>
        </w:rPr>
      </w:pPr>
      <w:r>
        <w:rPr>
          <w:b w:val="0"/>
        </w:rPr>
        <w:t>Jei vienetui</w:t>
      </w:r>
      <w:r>
        <w:rPr>
          <w:b w:val="0"/>
          <w:bCs w:val="0"/>
        </w:rPr>
        <w:t xml:space="preserve"> keli kontroliuojantys vienetai suteikia paskolas, kurioms nustatytos skirtingos palūkanų normos </w:t>
      </w:r>
      <w:r>
        <w:rPr>
          <w:b w:val="0"/>
        </w:rPr>
        <w:t xml:space="preserve">ir šių paskolų suma viršija skolinto kapitalo už atlygį ir fiksuoto kapitalo santykį 4:1, </w:t>
      </w:r>
      <w:r>
        <w:rPr>
          <w:b w:val="0"/>
          <w:bCs w:val="0"/>
        </w:rPr>
        <w:t>tai neleidžiamiems atskaitymams priskiriama palūkanų suma turi būti apskaičiuojama nuo visų suteiktų paskolų sumos (neatsižvelgiant į paskolų suteikimo eiliškumą).</w:t>
      </w:r>
    </w:p>
    <w:p w14:paraId="17BFC1FD" w14:textId="77777777" w:rsidR="00093845" w:rsidRDefault="000D779E">
      <w:pPr>
        <w:pStyle w:val="Pagrindiniotekstotrauka2"/>
        <w:spacing w:line="240" w:lineRule="auto"/>
        <w:outlineLvl w:val="0"/>
        <w:rPr>
          <w:b w:val="0"/>
          <w:bCs w:val="0"/>
        </w:rPr>
      </w:pPr>
      <w:r>
        <w:rPr>
          <w:b w:val="0"/>
          <w:bCs w:val="0"/>
        </w:rPr>
        <w:t>Pavyzdys</w:t>
      </w:r>
    </w:p>
    <w:p w14:paraId="3281C148" w14:textId="77777777" w:rsidR="00093845" w:rsidRDefault="000D779E">
      <w:pPr>
        <w:pStyle w:val="Pagrindiniotekstotrauka2"/>
        <w:pBdr>
          <w:top w:val="single" w:sz="4" w:space="1" w:color="auto"/>
          <w:left w:val="single" w:sz="4" w:space="4" w:color="auto"/>
          <w:bottom w:val="single" w:sz="4" w:space="1" w:color="auto"/>
          <w:right w:val="single" w:sz="4" w:space="4" w:color="auto"/>
        </w:pBdr>
        <w:spacing w:line="240" w:lineRule="auto"/>
        <w:ind w:right="98"/>
        <w:rPr>
          <w:b w:val="0"/>
          <w:bCs w:val="0"/>
        </w:rPr>
      </w:pPr>
      <w:r>
        <w:rPr>
          <w:b w:val="0"/>
          <w:bCs w:val="0"/>
        </w:rPr>
        <w:t xml:space="preserve">Lietuvos vienetas X pasiskolino pagal paskolos sutartis iš kontroliuojančio vieneto A: 2010-08-15 40 000 Lt (sutartyje numatytos 9 proc. metinės palūkanos), 2011-08-13 45 000 Lt (sutartyje numatytos 6,5 proc. metinės palūkanos) bei iš kontroliuojančio vieneto B 2012-09-20 dar 90 000 Lt (sutartyje numatytos 5 proc. metinės palūkanos). </w:t>
      </w:r>
      <w:r>
        <w:rPr>
          <w:b w:val="0"/>
        </w:rPr>
        <w:t xml:space="preserve">Vienetas X 2012-12-31 apskaičiavo, kad dėl paimtos paskutinės paskolos 30 procentų </w:t>
      </w:r>
      <w:r>
        <w:rPr>
          <w:b w:val="0"/>
          <w:bCs w:val="0"/>
        </w:rPr>
        <w:t xml:space="preserve">buvo viršytas </w:t>
      </w:r>
      <w:r>
        <w:rPr>
          <w:b w:val="0"/>
        </w:rPr>
        <w:t>skolinto ir fiksuoto kapitalo santykis 4:1. Bendra palūkanų suma, apskaičiuota 2012 metais nuo visų paskolų sumos yra 7 783 Lt. Vienetas, apskaičiuodamas apmokestinamąjį pelną, už 2012 metus, 30 proc. palūkanų, apskaičiuotų nuo visų paskolų sumos (2 335 Lt), turi priskirti neleidžiamiems atskaitymams.</w:t>
      </w:r>
    </w:p>
    <w:p w14:paraId="36E0ADBD" w14:textId="77777777" w:rsidR="00093845" w:rsidRDefault="000D779E">
      <w:pPr>
        <w:jc w:val="both"/>
        <w:rPr>
          <w:lang w:val="lt-LT"/>
        </w:rPr>
      </w:pPr>
      <w:r>
        <w:rPr>
          <w:lang w:val="lt-LT"/>
        </w:rPr>
        <w:t xml:space="preserve">          5.3. Užsienio valiutos keitimo nuostoliai, susiję su kontroliuojamu skolintu kapitalu, neatskaitomi iš Lietuvos vieneto pajamų. </w:t>
      </w:r>
    </w:p>
    <w:p w14:paraId="6476098B" w14:textId="77777777" w:rsidR="00093845" w:rsidRDefault="000D779E">
      <w:pPr>
        <w:ind w:firstLine="720"/>
        <w:jc w:val="both"/>
        <w:outlineLvl w:val="0"/>
        <w:rPr>
          <w:lang w:val="lt-LT"/>
        </w:rPr>
      </w:pPr>
      <w:r>
        <w:rPr>
          <w:lang w:val="lt-LT"/>
        </w:rPr>
        <w:t xml:space="preserve">Pavyzdys </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6"/>
      </w:tblGrid>
      <w:tr w:rsidR="00093845" w:rsidRPr="0065344A" w14:paraId="3B60420D" w14:textId="77777777">
        <w:tc>
          <w:tcPr>
            <w:tcW w:w="9746" w:type="dxa"/>
          </w:tcPr>
          <w:p w14:paraId="1F590A31" w14:textId="77777777" w:rsidR="00093845" w:rsidRDefault="000D779E">
            <w:pPr>
              <w:jc w:val="both"/>
              <w:rPr>
                <w:lang w:val="lt-LT"/>
              </w:rPr>
            </w:pPr>
            <w:r>
              <w:rPr>
                <w:lang w:val="lt-LT"/>
              </w:rPr>
              <w:t xml:space="preserve">      Tarkime, kad kaip ir nurodyta 5.2. punkto pavyzdyje, vieneto A kontroliuojamas skolintas kapitalas 2004 -12-31 yra 30 000 Lt. 2004 metais vienetas A vienetui B grąžino 20 000 Lt  ir už šią dalį taip pat sumokėjo priklausančias palūkanas. Todėl vienetas A, skaičiuodamas 2004 metų apmokestinamąjį pelną, iš pajamų negalės atimti užsienio valiutos keitimo nuostolių (t.y. išlaidų, patirtų keičiant valiutą), susidariusių dėl tais metais grąžintos paskolos dalies (20 000 Lt) ir už šią dalį sumokėtų  palūkanų. </w:t>
            </w:r>
          </w:p>
          <w:p w14:paraId="35E8B478" w14:textId="77777777" w:rsidR="00093845" w:rsidRDefault="000D779E">
            <w:pPr>
              <w:jc w:val="both"/>
              <w:rPr>
                <w:color w:val="FF0000"/>
                <w:lang w:val="lt-LT"/>
              </w:rPr>
            </w:pPr>
            <w:r>
              <w:rPr>
                <w:lang w:val="lt-LT"/>
              </w:rPr>
              <w:t xml:space="preserve">      Jeigu vienetas A vienetui B 2004 metais gražintų ne 20 000 Lt, o 40 000 Lt ir sumokėtų už šią paskolos dalį priklausančias palūkanas, tai apskaičiuodamas 2004 metų apmokestinamąjį pelną, iš pajamų negalėtų atimti užsienio valiutos keitimo nuostolių, susidariusių dėl tais metais grąžintos paskolos dalies, neviršijančios kontroliuojamo skolinto kapitalo dydžio (30 000 Lt) ir už šią dalį sumokėtų palūkanų.</w:t>
            </w:r>
            <w:r>
              <w:rPr>
                <w:color w:val="FF0000"/>
                <w:lang w:val="lt-LT"/>
              </w:rPr>
              <w:t xml:space="preserve"> </w:t>
            </w:r>
            <w:r>
              <w:rPr>
                <w:lang w:val="lt-LT"/>
              </w:rPr>
              <w:t xml:space="preserve">Neleidžiamiems atskaitymams priskiriami tik realizuoti valiutos keitimo nuostoliai. Nuostoliai dėl negrąžintos paskolos dalies pervertinimo gali būti priskiriami leidžiamiems atskaitymams. </w:t>
            </w:r>
          </w:p>
        </w:tc>
      </w:tr>
    </w:tbl>
    <w:p w14:paraId="76D2BA1F" w14:textId="77777777" w:rsidR="00093845" w:rsidRDefault="00093845">
      <w:pPr>
        <w:ind w:firstLine="720"/>
        <w:jc w:val="both"/>
        <w:rPr>
          <w:lang w:val="lt-LT"/>
        </w:rPr>
      </w:pPr>
    </w:p>
    <w:p w14:paraId="0D3B2975" w14:textId="77777777" w:rsidR="00093845" w:rsidRDefault="000D779E">
      <w:pPr>
        <w:ind w:firstLine="540"/>
        <w:jc w:val="both"/>
        <w:rPr>
          <w:lang w:val="lt-LT"/>
        </w:rPr>
      </w:pPr>
      <w:r>
        <w:rPr>
          <w:lang w:val="lt-LT"/>
        </w:rPr>
        <w:t xml:space="preserve"> 5.4. Lietuvos vieneto kontroliuojančiam užsienio vienetui ar nenuolatiniam Lietuvos gyventojui mokamos palūkanos už kontroliuojamo skolinto kapitalo naudojimą apmokestinamos  prie pajamų šaltinio PMĮ ir GPMĮ  nustatyta tvarka, neatsižvelgiant į tai, ar minėtos išmokos yra apibūdintos iš naujo, ar ne. </w:t>
      </w:r>
    </w:p>
    <w:p w14:paraId="31B21A16" w14:textId="77777777" w:rsidR="00093845" w:rsidRDefault="000D779E">
      <w:pPr>
        <w:jc w:val="both"/>
        <w:rPr>
          <w:lang w:val="lt-LT"/>
        </w:rPr>
      </w:pPr>
      <w:r>
        <w:rPr>
          <w:lang w:val="lt-LT"/>
        </w:rPr>
        <w:t xml:space="preserve">          5.5.  Šių Taisyklių nuostatos dėl palūkanų už kontroliuojamą skolintą kapitalą apibūdinimo iš naujo  netaikomos:</w:t>
      </w:r>
    </w:p>
    <w:p w14:paraId="189F9AC2" w14:textId="77777777" w:rsidR="00093845" w:rsidRDefault="000D779E" w:rsidP="00EC4E29">
      <w:pPr>
        <w:pStyle w:val="Pagrindinistekstas3"/>
        <w:numPr>
          <w:ilvl w:val="0"/>
          <w:numId w:val="40"/>
        </w:numPr>
        <w:rPr>
          <w:rFonts w:ascii="Times New Roman" w:hAnsi="Times New Roman"/>
          <w:bCs/>
        </w:rPr>
      </w:pPr>
      <w:r>
        <w:rPr>
          <w:rFonts w:ascii="Times New Roman" w:hAnsi="Times New Roman"/>
          <w:bCs/>
        </w:rPr>
        <w:t xml:space="preserve">jeigu Lietuvos vienetas įrodo, kad tokia pati paskola tokiomis pačiomis paskolos suteikimo sąlygomis būtų suteikta tarp nepriklausomų (nesusijusių) asmenų; </w:t>
      </w:r>
    </w:p>
    <w:p w14:paraId="3E00B302" w14:textId="77777777" w:rsidR="00093845" w:rsidRDefault="000D779E" w:rsidP="00EC4E29">
      <w:pPr>
        <w:numPr>
          <w:ilvl w:val="0"/>
          <w:numId w:val="41"/>
        </w:numPr>
        <w:jc w:val="both"/>
        <w:rPr>
          <w:lang w:val="lt-LT"/>
        </w:rPr>
      </w:pPr>
      <w:r>
        <w:rPr>
          <w:lang w:val="lt-LT"/>
        </w:rPr>
        <w:t>finansinėms įstaigoms, teikiančioms finansinės nuomos (lizingo) paslaugas.</w:t>
      </w:r>
    </w:p>
    <w:p w14:paraId="3BE025D9" w14:textId="77777777" w:rsidR="00093845" w:rsidRDefault="000D779E">
      <w:pPr>
        <w:ind w:firstLine="720"/>
        <w:jc w:val="both"/>
        <w:rPr>
          <w:lang w:val="lt-LT"/>
        </w:rPr>
      </w:pPr>
      <w:r>
        <w:rPr>
          <w:lang w:val="lt-LT"/>
        </w:rPr>
        <w:t>Vieneto turimi įrodymai turi būti pakankami, kad mokesčių administratorius galėtų nustatyti, kokios yra paskolų teikimo sąlygos, jei šiam vienetui paskolą suteiktų nepriklausomi asmenys. Pažymėtina, kad šiuo atveju vienetas turi pagrįsti ne tik faktą, kad palūkanos už paskolą atitinka rinkos kainą, bet ir faktą, kad vienetas tokią pačią paskolą tokiomis pačiomis paskolos suteikimo sąlygomis (terminas, užstatas, suma, paskolos išdavimo, grąžinimo sąlygos, numatytos netesybos, palūkanų norma ir t.t.) gautų iš nepriklausomų (nesusijusių) asmenų.</w:t>
      </w:r>
    </w:p>
    <w:p w14:paraId="2118D2AC" w14:textId="77777777" w:rsidR="00093845" w:rsidRPr="0065344A" w:rsidRDefault="000D779E">
      <w:pPr>
        <w:ind w:firstLine="720"/>
        <w:jc w:val="both"/>
        <w:rPr>
          <w:lang w:val="lt-LT"/>
        </w:rPr>
      </w:pPr>
      <w:r w:rsidRPr="0065344A">
        <w:rPr>
          <w:lang w:val="lt-LT"/>
        </w:rPr>
        <w:t>Raštiškas banko ar kitos įmonės atsakymas dėl paskolos suteikimo sąlygų konkrečiai įmonei konkrečiomis paskolos suteikimo sąlygomis gali būti laikomas vienu iš įrodymu, kuriuo remiantis gali būti sprendžiama, ar paskola iš kontroliuojančio vieneto suteikta analogiškomis sąlygomis. Kelių bankų ar įmonių atsakymai būtų dar labiau pagrįstas įrodymas ir leistų susidaryti aiškesnę nuomonę apie paskolos iš nepriklausomų asmenų suteikimo sąlygas.</w:t>
      </w:r>
    </w:p>
    <w:p w14:paraId="5056C5FC" w14:textId="77777777" w:rsidR="00093845" w:rsidRDefault="0014647B" w:rsidP="004B188B">
      <w:pPr>
        <w:pStyle w:val="Pagrindiniotekstotrauka2"/>
        <w:tabs>
          <w:tab w:val="left" w:pos="720"/>
          <w:tab w:val="left" w:pos="1077"/>
          <w:tab w:val="left" w:pos="1134"/>
          <w:tab w:val="left" w:pos="1418"/>
        </w:tabs>
        <w:spacing w:line="240" w:lineRule="auto"/>
        <w:rPr>
          <w:b w:val="0"/>
          <w:bCs w:val="0"/>
        </w:rPr>
      </w:pPr>
      <w:r>
        <w:rPr>
          <w:b w:val="0"/>
          <w:bCs w:val="0"/>
        </w:rPr>
        <w:t>(P</w:t>
      </w:r>
      <w:r w:rsidR="000D779E">
        <w:rPr>
          <w:b w:val="0"/>
          <w:bCs w:val="0"/>
        </w:rPr>
        <w:t>apildyta pagal VMI prie FM 2013-12-16 raštą Nr.</w:t>
      </w:r>
      <w:r w:rsidR="000D779E">
        <w:rPr>
          <w:sz w:val="22"/>
          <w:lang w:val="fr-FR"/>
        </w:rPr>
        <w:t xml:space="preserve"> </w:t>
      </w:r>
      <w:r w:rsidR="000D779E">
        <w:rPr>
          <w:b w:val="0"/>
          <w:bCs w:val="0"/>
          <w:lang w:val="fr-FR"/>
        </w:rPr>
        <w:t>(32.42-31-1)-RM-9267)</w:t>
      </w:r>
      <w:r w:rsidR="000D779E">
        <w:rPr>
          <w:b w:val="0"/>
          <w:bCs w:val="0"/>
        </w:rPr>
        <w:t xml:space="preserve"> </w:t>
      </w:r>
    </w:p>
    <w:p w14:paraId="2BF6228C" w14:textId="77777777" w:rsidR="004B188B" w:rsidRPr="004B188B" w:rsidRDefault="004B188B" w:rsidP="004B188B">
      <w:pPr>
        <w:pStyle w:val="Pagrindiniotekstotrauka2"/>
        <w:tabs>
          <w:tab w:val="left" w:pos="720"/>
          <w:tab w:val="left" w:pos="1077"/>
          <w:tab w:val="left" w:pos="1134"/>
          <w:tab w:val="left" w:pos="1418"/>
        </w:tabs>
        <w:spacing w:line="240" w:lineRule="auto"/>
        <w:rPr>
          <w:b w:val="0"/>
          <w:bCs w:val="0"/>
        </w:rPr>
      </w:pPr>
    </w:p>
    <w:p w14:paraId="1C983213" w14:textId="77777777" w:rsidR="00093845" w:rsidRDefault="000D779E">
      <w:pPr>
        <w:jc w:val="both"/>
        <w:rPr>
          <w:lang w:val="lt-LT"/>
        </w:rPr>
      </w:pPr>
      <w:r>
        <w:rPr>
          <w:b/>
          <w:lang w:val="lt-LT"/>
        </w:rPr>
        <w:t xml:space="preserve">          </w:t>
      </w:r>
      <w:r>
        <w:rPr>
          <w:lang w:val="lt-LT"/>
        </w:rPr>
        <w:t>6. Su Lietuvos vieneto pelno, pajamų ar  panašiu veiklos kriterijaus  dydžiu susijusių  mokamų palūkanų ir nuomos mokesčio apibūdinimas:</w:t>
      </w:r>
    </w:p>
    <w:p w14:paraId="15C5B4E2" w14:textId="77777777" w:rsidR="00093845" w:rsidRDefault="000D779E">
      <w:pPr>
        <w:ind w:firstLine="540"/>
        <w:jc w:val="both"/>
        <w:rPr>
          <w:lang w:val="lt-LT"/>
        </w:rPr>
      </w:pPr>
      <w:r>
        <w:rPr>
          <w:lang w:val="lt-LT"/>
        </w:rPr>
        <w:t xml:space="preserve">  6.1. Nelaikomos susijusiomis su pajamų uždirbimu Lietuvos vieneto jį kontroliuojančiam asmeniui (Lietuvos arba užsienio vienetui ir Lietuvos nuolatiniam ar nenuolatiniam gyventojui) mokamos: </w:t>
      </w:r>
    </w:p>
    <w:p w14:paraId="5CB8FB7F" w14:textId="77777777" w:rsidR="00093845" w:rsidRDefault="000D779E">
      <w:pPr>
        <w:ind w:firstLine="540"/>
        <w:jc w:val="both"/>
        <w:rPr>
          <w:lang w:val="lt-LT"/>
        </w:rPr>
      </w:pPr>
      <w:r>
        <w:rPr>
          <w:lang w:val="lt-LT"/>
        </w:rPr>
        <w:t xml:space="preserve">- palūkanos,  susijusios  su  Lietuvos  vieneto  pelno,  pajamų ar panašiu veiklos kriterijaus  </w:t>
      </w:r>
    </w:p>
    <w:p w14:paraId="3F951639" w14:textId="77777777" w:rsidR="00093845" w:rsidRDefault="000D779E">
      <w:pPr>
        <w:jc w:val="both"/>
        <w:rPr>
          <w:lang w:val="lt-LT"/>
        </w:rPr>
      </w:pPr>
      <w:r>
        <w:rPr>
          <w:lang w:val="lt-LT"/>
        </w:rPr>
        <w:t xml:space="preserve">dydžiu (pavyzdžiui, apyvarta); </w:t>
      </w:r>
    </w:p>
    <w:p w14:paraId="55824F70" w14:textId="77777777" w:rsidR="00093845" w:rsidRDefault="000D779E">
      <w:pPr>
        <w:ind w:firstLine="540"/>
        <w:jc w:val="both"/>
        <w:rPr>
          <w:lang w:val="lt-LT"/>
        </w:rPr>
      </w:pPr>
      <w:r>
        <w:rPr>
          <w:lang w:val="lt-LT"/>
        </w:rPr>
        <w:t xml:space="preserve">- palūkanos, mokamos pagal skolinius reikalavimus, kurie suteikia skolintojui teisę pakeisti jo teisę į  palūkanas teise  į skolininko pelną arba jo dalį;   </w:t>
      </w:r>
    </w:p>
    <w:p w14:paraId="032E6783" w14:textId="77777777" w:rsidR="00093845" w:rsidRDefault="000D779E">
      <w:pPr>
        <w:ind w:firstLine="540"/>
        <w:jc w:val="both"/>
        <w:rPr>
          <w:lang w:val="lt-LT"/>
        </w:rPr>
      </w:pPr>
      <w:r>
        <w:rPr>
          <w:lang w:val="lt-LT"/>
        </w:rPr>
        <w:t xml:space="preserve">- nuomos mokestis, susijęs su  Lietuvos vieneto pelno, pajamų ar panašiu veiklos kriterijaus </w:t>
      </w:r>
    </w:p>
    <w:p w14:paraId="2645CEAE" w14:textId="77777777" w:rsidR="00093845" w:rsidRDefault="000D779E">
      <w:pPr>
        <w:jc w:val="both"/>
        <w:rPr>
          <w:lang w:val="lt-LT"/>
        </w:rPr>
      </w:pPr>
      <w:r>
        <w:rPr>
          <w:lang w:val="lt-LT"/>
        </w:rPr>
        <w:t xml:space="preserve"> dydžiu.  </w:t>
      </w:r>
    </w:p>
    <w:p w14:paraId="5F16A4A1" w14:textId="77777777" w:rsidR="00093845" w:rsidRDefault="000D779E">
      <w:pPr>
        <w:ind w:firstLine="540"/>
        <w:jc w:val="both"/>
        <w:rPr>
          <w:lang w:val="lt-LT"/>
        </w:rPr>
      </w:pPr>
      <w:r>
        <w:rPr>
          <w:lang w:val="lt-LT"/>
        </w:rPr>
        <w:t xml:space="preserve">Apskaičiuojant kontroliuojamo Lietuvos vieneto apmokestinamąjį pelną tokios palūkanos ar  nuomos mokestis neatskaitomi iš Lietuvos vieneto pajamų. </w:t>
      </w:r>
    </w:p>
    <w:p w14:paraId="02B6A6E8" w14:textId="77777777" w:rsidR="00093845" w:rsidRDefault="000D779E">
      <w:pPr>
        <w:ind w:firstLine="540"/>
        <w:jc w:val="both"/>
        <w:rPr>
          <w:lang w:val="lt-LT"/>
        </w:rPr>
      </w:pPr>
      <w:r>
        <w:rPr>
          <w:lang w:val="lt-LT"/>
        </w:rPr>
        <w:t xml:space="preserve">Pagal šias nuostatas apibūdinamos palūkanos ir nuomos mokestis, kurį Lietuvos vienetas moka jį kontroliuojančiam kitam  Lietuvos arba užsienio vienetui ir Lietuvos nuolatiniam ar nenuolatiniam gyventojui. </w:t>
      </w:r>
    </w:p>
    <w:p w14:paraId="342DD3C5" w14:textId="77777777" w:rsidR="00093845" w:rsidRDefault="000D779E">
      <w:pPr>
        <w:pStyle w:val="Pagrindiniotekstotrauka2"/>
        <w:spacing w:line="240" w:lineRule="auto"/>
        <w:rPr>
          <w:b w:val="0"/>
          <w:bCs w:val="0"/>
        </w:rPr>
      </w:pPr>
      <w:r>
        <w:rPr>
          <w:b w:val="0"/>
          <w:bCs w:val="0"/>
        </w:rPr>
        <w:lastRenderedPageBreak/>
        <w:t xml:space="preserve">Ar Lietuvos vienetui paskolą suteikęs kitas vienetas arba gyventojas kontroliuoja šį Lietuvos vienetą, nustatoma Lietuvos vieneto kiekvieno mokestinio laikotarpio paskutinę dieną.    </w:t>
      </w:r>
    </w:p>
    <w:p w14:paraId="5D21FCF7" w14:textId="77777777" w:rsidR="00093845" w:rsidRDefault="000D779E">
      <w:pPr>
        <w:pStyle w:val="Pagrindiniotekstotrauka2"/>
        <w:spacing w:line="240" w:lineRule="auto"/>
        <w:ind w:firstLine="0"/>
        <w:rPr>
          <w:b w:val="0"/>
          <w:bCs w:val="0"/>
        </w:rPr>
      </w:pPr>
      <w:r>
        <w:rPr>
          <w:b w:val="0"/>
          <w:bCs w:val="0"/>
        </w:rPr>
        <w:t xml:space="preserve">          6.2. Jeigu paskolos ar nuomos sutartis sudaryta iki 2004 m. prasidėjusio mokestinio laikotarpio ir ji vis dar galioja 2004 metais prasidėjusiu mokestiniu laikotarpiu, tai apie kontroliavimą sprendžiama Lietuvos vieneto 2004 m. prasidėjusio mokestinio laikotarpio paskutinę dieną. Taip pat tokiu atveju Lietuvos vieneto 2004 metais mokamos palūkanos ar nuomos mokestis apibūdinamas iš naujo tik nuo 2004 metais prasidėjusio mokestinio laikotarpio.  </w:t>
      </w:r>
    </w:p>
    <w:p w14:paraId="7BF27CBF" w14:textId="77777777" w:rsidR="00093845" w:rsidRDefault="000D779E">
      <w:pPr>
        <w:ind w:firstLine="540"/>
        <w:jc w:val="both"/>
        <w:rPr>
          <w:lang w:val="lt-LT"/>
        </w:rPr>
      </w:pPr>
      <w:r>
        <w:rPr>
          <w:lang w:val="lt-LT"/>
        </w:rPr>
        <w:t xml:space="preserve"> 6.3. Lietuvos vieneto mokamos palūkanos ir nuomos mokestis kontroliuojančiam užsienio vienetui ar Lietuvos nenuolatiniam gyventojui apmokestinami prie pajamų šaltinio PMĮ ir GPMĮ  nustatyta  tvarka, neatsižvelgiant į tai, ar minėtos išmokos yra apibūdintos iš naujo, ar ne. </w:t>
      </w:r>
    </w:p>
    <w:p w14:paraId="20A8B69B" w14:textId="77777777" w:rsidR="00093845" w:rsidRDefault="000D779E">
      <w:pPr>
        <w:ind w:firstLine="720"/>
        <w:jc w:val="both"/>
        <w:rPr>
          <w:lang w:val="lt-LT"/>
        </w:rPr>
      </w:pPr>
      <w:r>
        <w:rPr>
          <w:lang w:val="lt-LT"/>
        </w:rPr>
        <w:t xml:space="preserve">Pavyzdys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093845" w14:paraId="0F21CDCA" w14:textId="77777777">
        <w:tc>
          <w:tcPr>
            <w:tcW w:w="9854" w:type="dxa"/>
          </w:tcPr>
          <w:p w14:paraId="03721EAC" w14:textId="77777777" w:rsidR="00093845" w:rsidRDefault="000D779E">
            <w:pPr>
              <w:jc w:val="both"/>
              <w:rPr>
                <w:lang w:val="lt-LT"/>
              </w:rPr>
            </w:pPr>
            <w:r>
              <w:rPr>
                <w:lang w:val="lt-LT"/>
              </w:rPr>
              <w:t xml:space="preserve">       Lietuvos vienetas A 2003 m. kovo 1 d. sudarė paskolos sutartį su užsienio vienetu B, kurioje  numatyta, kad vienetas B suteiks vienetui A  200 000 Lt paskolą  5 metų laikotarpiui. Vienetas B paskutinę vieneto A 2004 metais prasidėjusio mokestinio laikotarpio dieną (2004-12-31) valdė        75 proc. jo akcijų, todėl vienetas B yra  laikomas kontroliuojančiu vienetą A.</w:t>
            </w:r>
          </w:p>
          <w:p w14:paraId="4C0F4F1A" w14:textId="77777777" w:rsidR="00093845" w:rsidRDefault="000D779E">
            <w:pPr>
              <w:jc w:val="both"/>
              <w:rPr>
                <w:lang w:val="lt-LT"/>
              </w:rPr>
            </w:pPr>
            <w:r>
              <w:rPr>
                <w:lang w:val="lt-LT"/>
              </w:rPr>
              <w:t xml:space="preserve">       Sutartyje numatyta, kad vieneto A vienetui  B už paskolą mokamų metinių palūkanų dydis priklausys nuo vieneto A apyvartos dydžio ir galės svyruoti nuo 7 iki 20 proc. Jeigu vieneto A metinė apyvarta bus iki 100 000 Lt, metinių palūkanų dydis bus 7 proc., jeigu metinė apyvarta bus nuo 100 000 Lt iki  2000 000 Lt, palūkanų dydis bus 13 proc. ir t. t. </w:t>
            </w:r>
          </w:p>
          <w:p w14:paraId="025A6F24" w14:textId="77777777" w:rsidR="00093845" w:rsidRDefault="000D779E">
            <w:pPr>
              <w:jc w:val="both"/>
              <w:rPr>
                <w:lang w:val="lt-LT"/>
              </w:rPr>
            </w:pPr>
            <w:r>
              <w:rPr>
                <w:lang w:val="lt-LT"/>
              </w:rPr>
              <w:t xml:space="preserve">      Vadinasi, vienetas A, apskaičiuodamas 2004 metų pelno mokestį, tais metais mokėtinų palūkanų sumos negalės priskirti leidžiamiems atskaitymams. Tačiau vieneto A vienetui B mokamos palūkanos bus apmokestinamos prie pajamų šaltinio PMĮ  nustatyta tvarka.     </w:t>
            </w:r>
          </w:p>
          <w:p w14:paraId="6266719F" w14:textId="77777777" w:rsidR="00093845" w:rsidRDefault="00093845">
            <w:pPr>
              <w:jc w:val="both"/>
              <w:rPr>
                <w:lang w:val="lt-LT"/>
              </w:rPr>
            </w:pPr>
          </w:p>
        </w:tc>
      </w:tr>
    </w:tbl>
    <w:p w14:paraId="1EE06D84" w14:textId="77777777" w:rsidR="00093845" w:rsidRDefault="00093845">
      <w:pPr>
        <w:jc w:val="both"/>
        <w:rPr>
          <w:lang w:val="lt-LT"/>
        </w:rPr>
      </w:pPr>
    </w:p>
    <w:p w14:paraId="22D61E19" w14:textId="77777777" w:rsidR="00093845" w:rsidRDefault="000D779E">
      <w:pPr>
        <w:ind w:firstLine="720"/>
        <w:jc w:val="both"/>
        <w:rPr>
          <w:lang w:val="lt-LT"/>
        </w:rPr>
      </w:pPr>
      <w:r>
        <w:rPr>
          <w:lang w:val="lt-LT"/>
        </w:rPr>
        <w:t>Pavyzdys</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093845" w:rsidRPr="0065344A" w14:paraId="20D95DC6" w14:textId="77777777">
        <w:tc>
          <w:tcPr>
            <w:tcW w:w="9854" w:type="dxa"/>
          </w:tcPr>
          <w:p w14:paraId="0B4D60F4" w14:textId="77777777" w:rsidR="00093845" w:rsidRDefault="000D779E">
            <w:pPr>
              <w:jc w:val="both"/>
              <w:rPr>
                <w:lang w:val="lt-LT"/>
              </w:rPr>
            </w:pPr>
            <w:r>
              <w:t xml:space="preserve">         </w:t>
            </w:r>
            <w:r>
              <w:rPr>
                <w:lang w:val="lt-LT"/>
              </w:rPr>
              <w:t xml:space="preserve">2003 m. kovo mėn. Lietuvos vienetas A iš kito Lietuvos vieneto B 3 metų laikotarpiui išsinuomavo sandėliavimo patalpas. Nuomos sutartyje numatyta, kad vieneto A vienetui B mokamas nuomos mokestis priklausys nuo vieneto A pajamų, gaunamų iš sandėliavimo veiklos ir galės svyruoti nuo 1000 iki 5000 Lt per mėnesį (jeigu vieneto A mėnesio pajamos bus iki 200 000 Lt, tai nuomos mokestis bus 1000 Lt per mėnesį, jeigu minėtos pajamos bus nuo 200 000 Lt iki    400 000 Lt, tai nuomos mokestis bus 2 000 Lt per mėnesį ir t.t. ). </w:t>
            </w:r>
          </w:p>
          <w:p w14:paraId="328D2923" w14:textId="77777777" w:rsidR="00093845" w:rsidRDefault="000D779E">
            <w:pPr>
              <w:jc w:val="both"/>
              <w:rPr>
                <w:lang w:val="lt-LT"/>
              </w:rPr>
            </w:pPr>
            <w:r>
              <w:rPr>
                <w:lang w:val="lt-LT"/>
              </w:rPr>
              <w:t xml:space="preserve">        Vienetas, B paskutinę vieneto A mokestinio laikotarpio dieną (2004-12-31) valdė 90 proc. jo akcijų, todėl vienetas B yra  laikomas kontroliuojančiu vienetą A.</w:t>
            </w:r>
          </w:p>
          <w:p w14:paraId="6C6FFBE7" w14:textId="77777777" w:rsidR="00093845" w:rsidRDefault="000D779E">
            <w:pPr>
              <w:jc w:val="both"/>
              <w:rPr>
                <w:lang w:val="lt-LT"/>
              </w:rPr>
            </w:pPr>
            <w:r>
              <w:rPr>
                <w:lang w:val="lt-LT"/>
              </w:rPr>
              <w:t xml:space="preserve">        Vadinasi vienetas A, apskaičiuodamas 2004 ir kitų metų (jeigu ir kitų metų paskutinę mokestinio laikotarpio dieną vienetas B kontroliuos vienetą A) pelno mokestį, atitinkamais  metais vienetui B mokėtino nuomos mokesčio sumos negalės  priskirti leidžiamiems atskaitymams.  </w:t>
            </w:r>
          </w:p>
          <w:p w14:paraId="1F1FC51B" w14:textId="77777777" w:rsidR="00093845" w:rsidRDefault="000D779E">
            <w:pPr>
              <w:jc w:val="both"/>
              <w:rPr>
                <w:lang w:val="lt-LT"/>
              </w:rPr>
            </w:pPr>
            <w:r>
              <w:rPr>
                <w:lang w:val="lt-LT"/>
              </w:rPr>
              <w:t xml:space="preserve">   </w:t>
            </w:r>
          </w:p>
        </w:tc>
      </w:tr>
    </w:tbl>
    <w:p w14:paraId="4DEF3AEA" w14:textId="77777777" w:rsidR="00093845" w:rsidRDefault="000D779E">
      <w:pPr>
        <w:ind w:right="98" w:firstLine="720"/>
        <w:jc w:val="both"/>
        <w:rPr>
          <w:lang w:val="lt-LT"/>
        </w:rPr>
      </w:pPr>
      <w:bookmarkStart w:id="543" w:name="straipsnis40_1p"/>
      <w:r>
        <w:rPr>
          <w:bCs/>
          <w:lang w:val="lt-LT"/>
        </w:rPr>
        <w:t>7.</w:t>
      </w:r>
      <w:r>
        <w:rPr>
          <w:b/>
          <w:bCs/>
          <w:lang w:val="lt-LT"/>
        </w:rPr>
        <w:t xml:space="preserve"> </w:t>
      </w:r>
      <w:r>
        <w:rPr>
          <w:lang w:val="lt-LT"/>
        </w:rPr>
        <w:t xml:space="preserve">Pagal PMĮ 17 str. 1 dalies  nuostatas, apskaičiuojant 2010 metų ir vėlesnių metų pelno mokestį, leidžiamiems atskaitymams priskiriamos visos išlaidos darbuotojų naudai, jeigu ši darbuotojų gauta nauda pagal GPMĮ nuostatas yra gyventojų pajamų mokesčio objektas (plačiau – žr. PMĮ 17 straipsnio 1 dalies komentaro 6.3. punkte). Tačiau PMĮ 40 straipsnio 3 dalis nustato specialias apmokestinimo nuostatas tais atvejais, kai paskolą teikia kontroliuojantys asmenys, todėl </w:t>
      </w:r>
      <w:r>
        <w:rPr>
          <w:lang w:val="lt-LT"/>
        </w:rPr>
        <w:lastRenderedPageBreak/>
        <w:t xml:space="preserve">ir tais atvejais, kai fizinio asmens gaunamos palūkanos už paskolą, suteiktą kontroliuojamam vienetui, yra gyventojų pajamų mokesčio objektas, vis tiek palūkanos už kontroliuojamąjį skolintą kapitalą turi būti priskiriamos neleidžiamiems atskaitymams. </w:t>
      </w:r>
    </w:p>
    <w:p w14:paraId="6DB3EF82" w14:textId="77777777" w:rsidR="00093845" w:rsidRDefault="000D779E">
      <w:pPr>
        <w:pStyle w:val="Pagrindinistekstas"/>
        <w:tabs>
          <w:tab w:val="left" w:pos="720"/>
          <w:tab w:val="left" w:pos="1077"/>
          <w:tab w:val="left" w:pos="1134"/>
          <w:tab w:val="left" w:pos="1418"/>
        </w:tabs>
        <w:ind w:right="-85" w:firstLine="720"/>
        <w:rPr>
          <w:rFonts w:ascii="Times New Roman" w:hAnsi="Times New Roman" w:cs="Times New Roman"/>
          <w:bCs/>
          <w:lang w:val="lt-LT"/>
        </w:rPr>
      </w:pPr>
      <w:r>
        <w:rPr>
          <w:rFonts w:ascii="Times New Roman" w:hAnsi="Times New Roman" w:cs="Times New Roman"/>
          <w:bCs/>
          <w:lang w:val="lt-LT"/>
        </w:rPr>
        <w:t>Pavyzdys</w:t>
      </w:r>
    </w:p>
    <w:p w14:paraId="2AF83987" w14:textId="77777777" w:rsidR="00093845" w:rsidRDefault="000D779E">
      <w:pPr>
        <w:pStyle w:val="Pagrindinistekstas"/>
        <w:pBdr>
          <w:top w:val="single" w:sz="4" w:space="1" w:color="auto"/>
          <w:left w:val="single" w:sz="4" w:space="4" w:color="auto"/>
          <w:bottom w:val="single" w:sz="4" w:space="0" w:color="auto"/>
          <w:right w:val="single" w:sz="4" w:space="5" w:color="auto"/>
        </w:pBdr>
        <w:tabs>
          <w:tab w:val="left" w:pos="720"/>
          <w:tab w:val="left" w:pos="1077"/>
          <w:tab w:val="left" w:pos="1134"/>
          <w:tab w:val="left" w:pos="1418"/>
        </w:tabs>
        <w:ind w:right="199" w:firstLine="720"/>
        <w:rPr>
          <w:rFonts w:ascii="Times New Roman" w:hAnsi="Times New Roman" w:cs="Times New Roman"/>
          <w:bCs/>
          <w:lang w:val="lt-LT"/>
        </w:rPr>
      </w:pPr>
      <w:r>
        <w:rPr>
          <w:rFonts w:ascii="Times New Roman" w:hAnsi="Times New Roman" w:cs="Times New Roman"/>
          <w:bCs/>
          <w:lang w:val="lt-LT"/>
        </w:rPr>
        <w:t xml:space="preserve">Vieneto akcininkas (kuris yra ir įmonės darbuotojas) suteikė vienetui paskolą. Paskola viršijo </w:t>
      </w:r>
      <w:r>
        <w:rPr>
          <w:rFonts w:ascii="Times New Roman" w:hAnsi="Times New Roman" w:cs="Times New Roman"/>
          <w:lang w:val="lt-LT"/>
        </w:rPr>
        <w:t xml:space="preserve">skolinto kapitalo už atlygį ir fiksuoto kapitalo santykį 4:1. Akcininko gautos palūkanos priskiriamos apmokestinamosioms pajamoms. Apskaičiuojant vieneto pelno mokestį, taikomos PMĮ 40 straipsnio 3 dalies ir Taisyklių nuostatos, todėl palūkanos, mokamos už kontroliuojamąjį skolintą kapitalą, turi būti priskiriamos neleidžiamiems atskaitymams. </w:t>
      </w:r>
    </w:p>
    <w:p w14:paraId="0FC3A7B8" w14:textId="77777777" w:rsidR="00093845" w:rsidRDefault="0014647B" w:rsidP="004969AF">
      <w:pPr>
        <w:pStyle w:val="Pagrindiniotekstotrauka2"/>
        <w:tabs>
          <w:tab w:val="left" w:pos="720"/>
          <w:tab w:val="left" w:pos="1077"/>
          <w:tab w:val="left" w:pos="1134"/>
          <w:tab w:val="left" w:pos="1418"/>
        </w:tabs>
        <w:spacing w:line="240" w:lineRule="auto"/>
        <w:ind w:firstLine="0"/>
        <w:rPr>
          <w:b w:val="0"/>
          <w:bCs w:val="0"/>
        </w:rPr>
      </w:pPr>
      <w:r>
        <w:rPr>
          <w:b w:val="0"/>
          <w:bCs w:val="0"/>
        </w:rPr>
        <w:t>(P</w:t>
      </w:r>
      <w:r w:rsidR="000D779E">
        <w:rPr>
          <w:b w:val="0"/>
          <w:bCs w:val="0"/>
        </w:rPr>
        <w:t>apildyta pagal VMI prie FM 2012-02-17 raštą Nr.</w:t>
      </w:r>
      <w:r w:rsidR="000D779E">
        <w:rPr>
          <w:sz w:val="22"/>
          <w:lang w:val="fr-FR"/>
        </w:rPr>
        <w:t xml:space="preserve"> </w:t>
      </w:r>
      <w:r w:rsidR="000D779E">
        <w:rPr>
          <w:b w:val="0"/>
          <w:bCs w:val="0"/>
          <w:lang w:val="fr-FR"/>
        </w:rPr>
        <w:t>(18.10-31-1)-R-1638)</w:t>
      </w:r>
      <w:r w:rsidR="000D779E">
        <w:rPr>
          <w:b w:val="0"/>
          <w:bCs w:val="0"/>
        </w:rPr>
        <w:t xml:space="preserve"> </w:t>
      </w:r>
    </w:p>
    <w:p w14:paraId="6005EFBF" w14:textId="77777777" w:rsidR="004969AF" w:rsidRDefault="004969AF" w:rsidP="004969AF">
      <w:pPr>
        <w:pStyle w:val="Pagrindiniotekstotrauka2"/>
        <w:tabs>
          <w:tab w:val="left" w:pos="720"/>
          <w:tab w:val="left" w:pos="1077"/>
          <w:tab w:val="left" w:pos="1134"/>
          <w:tab w:val="left" w:pos="1418"/>
        </w:tabs>
        <w:spacing w:line="240" w:lineRule="auto"/>
        <w:ind w:firstLine="0"/>
        <w:rPr>
          <w:b w:val="0"/>
          <w:bCs w:val="0"/>
        </w:rPr>
      </w:pPr>
    </w:p>
    <w:p w14:paraId="5ECB4B2D" w14:textId="77777777" w:rsidR="00093845" w:rsidRDefault="003D1F4D" w:rsidP="009C0219">
      <w:pPr>
        <w:spacing w:before="100" w:beforeAutospacing="1" w:after="100" w:afterAutospacing="1"/>
        <w:jc w:val="both"/>
        <w:outlineLvl w:val="3"/>
        <w:rPr>
          <w:lang w:val="lt-LT"/>
        </w:rPr>
      </w:pPr>
      <w:r>
        <w:rPr>
          <w:b/>
          <w:bCs/>
          <w:color w:val="000000"/>
          <w:lang w:val="lt-LT" w:eastAsia="lt-LT"/>
        </w:rPr>
        <w:t xml:space="preserve">         </w:t>
      </w:r>
      <w:r w:rsidR="000D779E">
        <w:rPr>
          <w:b/>
          <w:bCs/>
          <w:color w:val="000000"/>
          <w:lang w:val="lt-LT" w:eastAsia="lt-LT"/>
        </w:rPr>
        <w:t>40</w:t>
      </w:r>
      <w:r w:rsidR="000D779E">
        <w:rPr>
          <w:b/>
          <w:bCs/>
          <w:color w:val="000000"/>
          <w:vertAlign w:val="superscript"/>
          <w:lang w:eastAsia="lt-LT"/>
        </w:rPr>
        <w:t>1</w:t>
      </w:r>
      <w:r w:rsidR="00E65994">
        <w:rPr>
          <w:b/>
          <w:bCs/>
          <w:color w:val="000000"/>
          <w:lang w:val="lt-LT" w:eastAsia="lt-LT"/>
        </w:rPr>
        <w:t xml:space="preserve"> straipsnis</w:t>
      </w:r>
      <w:r w:rsidR="000D779E">
        <w:rPr>
          <w:b/>
          <w:bCs/>
          <w:color w:val="000000"/>
          <w:lang w:val="lt-LT" w:eastAsia="lt-LT"/>
        </w:rPr>
        <w:t>. Fiziniams asmenims paskirstyto pelno apmokestinimas pelno mokesčiu</w:t>
      </w:r>
      <w:r w:rsidR="000D779E">
        <w:rPr>
          <w:b/>
          <w:bCs/>
          <w:color w:val="000000"/>
          <w:lang w:eastAsia="lt-LT"/>
        </w:rPr>
        <w:t xml:space="preserve">.  </w:t>
      </w:r>
      <w:r w:rsidR="000D779E" w:rsidRPr="00CE6C73">
        <w:rPr>
          <w:b/>
          <w:bCs/>
        </w:rPr>
        <w:t>NETEKO GALIOS</w:t>
      </w:r>
      <w:r w:rsidR="000D779E" w:rsidRPr="00480C1E">
        <w:rPr>
          <w:b/>
          <w:bCs/>
        </w:rPr>
        <w:t>:</w:t>
      </w:r>
      <w:r w:rsidR="000D779E" w:rsidRPr="00480C1E">
        <w:rPr>
          <w:b/>
          <w:bCs/>
          <w:lang w:val="lt-LT"/>
        </w:rPr>
        <w:t xml:space="preserve"> </w:t>
      </w:r>
      <w:r w:rsidR="000D779E" w:rsidRPr="00480C1E">
        <w:rPr>
          <w:b/>
        </w:rPr>
        <w:t>2016 12 13 įstatymu Nr. XIII-88 (nuo 2016 12 24)</w:t>
      </w:r>
      <w:r w:rsidR="000D779E" w:rsidRPr="00480C1E">
        <w:rPr>
          <w:lang w:val="lt-LT"/>
        </w:rPr>
        <w:t>.</w:t>
      </w:r>
    </w:p>
    <w:p w14:paraId="380FE08E" w14:textId="77777777" w:rsidR="00E65994" w:rsidRDefault="00806B68" w:rsidP="00E65994">
      <w:pPr>
        <w:pStyle w:val="Antrat4"/>
      </w:pPr>
      <w:bookmarkStart w:id="544" w:name="straipsnis40_2p"/>
      <w:r w:rsidRPr="0065344A">
        <w:t>40</w:t>
      </w:r>
      <w:r w:rsidRPr="0065344A">
        <w:rPr>
          <w:vertAlign w:val="superscript"/>
        </w:rPr>
        <w:t>2</w:t>
      </w:r>
      <w:bookmarkEnd w:id="544"/>
      <w:r w:rsidRPr="0065344A">
        <w:t xml:space="preserve"> straipsnis. Turto perkėlimo apmokestinimas</w:t>
      </w:r>
    </w:p>
    <w:p w14:paraId="54266DF1" w14:textId="77777777" w:rsidR="00E65994" w:rsidRPr="00E65994" w:rsidRDefault="00E65994" w:rsidP="00E65994">
      <w:pPr>
        <w:pStyle w:val="Antrat4"/>
        <w:ind w:left="0"/>
        <w:rPr>
          <w:b w:val="0"/>
          <w:i/>
        </w:rPr>
      </w:pPr>
      <w:r w:rsidRPr="00E65994">
        <w:rPr>
          <w:rFonts w:eastAsia="Calibri"/>
          <w:b w:val="0"/>
          <w:i/>
        </w:rPr>
        <w:t>(Papildyta 2019-12-17, įstatymu Nr. XIII-2694 (nuo 2020 01 01))</w:t>
      </w:r>
    </w:p>
    <w:p w14:paraId="6154A5E4" w14:textId="77777777" w:rsidR="00806B68" w:rsidRDefault="00806B68" w:rsidP="00806B68">
      <w:pPr>
        <w:spacing w:before="100" w:beforeAutospacing="1" w:after="100" w:afterAutospacing="1"/>
        <w:ind w:firstLine="720"/>
        <w:jc w:val="both"/>
        <w:rPr>
          <w:b/>
          <w:lang w:val="lt-LT"/>
        </w:rPr>
      </w:pPr>
      <w:bookmarkStart w:id="545" w:name="part_fc505fb2808d44709df566396065dc30"/>
      <w:bookmarkEnd w:id="545"/>
      <w:r w:rsidRPr="003D1F4D">
        <w:rPr>
          <w:b/>
          <w:lang w:val="lt-LT"/>
        </w:rPr>
        <w:t xml:space="preserve">1. Turto perkėlimas iš Lietuvos Respublikos apmokestinamas šiame straipsnyje nustatyta tvarka, jeigu yra viena iš šių aplinkybių: </w:t>
      </w:r>
    </w:p>
    <w:p w14:paraId="076D18E3" w14:textId="77777777" w:rsidR="00A71E39" w:rsidRPr="002B3D21" w:rsidRDefault="00A71E39" w:rsidP="00A71E39">
      <w:pPr>
        <w:ind w:firstLine="567"/>
        <w:jc w:val="both"/>
        <w:rPr>
          <w:rFonts w:eastAsia="Calibri"/>
          <w:b/>
        </w:rPr>
      </w:pPr>
      <w:r w:rsidRPr="002B3D21">
        <w:rPr>
          <w:rFonts w:eastAsia="Calibri"/>
          <w:b/>
        </w:rPr>
        <w:t>Komentaras</w:t>
      </w:r>
    </w:p>
    <w:p w14:paraId="7F607602" w14:textId="77777777" w:rsidR="00A71E39" w:rsidRPr="002B3D21" w:rsidRDefault="00A71E39" w:rsidP="00A71E39">
      <w:pPr>
        <w:ind w:firstLine="567"/>
        <w:jc w:val="both"/>
        <w:rPr>
          <w:rFonts w:eastAsia="Calibri"/>
        </w:rPr>
      </w:pPr>
      <w:r w:rsidRPr="002B3D21">
        <w:rPr>
          <w:rFonts w:eastAsia="Calibri"/>
        </w:rPr>
        <w:t>Turto perkėlimu laikoma operacija, kai vieneto turtas, naudojamas vieneto Lietuvos Respublikoje vykdomai veiklai, perkeliamas į užsienio valstybę ir pradedamas naudoti to vieneto užsienio valstybėje vykdomai veiklai.</w:t>
      </w:r>
      <w:r w:rsidRPr="002B3D21">
        <w:t xml:space="preserve"> </w:t>
      </w:r>
      <w:r w:rsidRPr="002B3D21">
        <w:rPr>
          <w:rFonts w:eastAsia="Calibri"/>
        </w:rPr>
        <w:t>Plačiau apie turto perkėlimo sąvoką yra paaiškinta PMĮ 2 str. 39</w:t>
      </w:r>
      <w:r w:rsidRPr="002B3D21">
        <w:rPr>
          <w:rFonts w:eastAsia="Calibri"/>
          <w:vertAlign w:val="superscript"/>
        </w:rPr>
        <w:t>1</w:t>
      </w:r>
      <w:r w:rsidRPr="002B3D21">
        <w:rPr>
          <w:rFonts w:eastAsia="Calibri"/>
        </w:rPr>
        <w:t xml:space="preserve"> punkto komentare.</w:t>
      </w:r>
    </w:p>
    <w:p w14:paraId="329C17C0" w14:textId="77777777" w:rsidR="00806B68" w:rsidRDefault="00806B68" w:rsidP="00EC4E29">
      <w:pPr>
        <w:pStyle w:val="Sraopastraipa"/>
        <w:numPr>
          <w:ilvl w:val="0"/>
          <w:numId w:val="62"/>
        </w:numPr>
        <w:spacing w:before="100" w:beforeAutospacing="1" w:after="100" w:afterAutospacing="1"/>
        <w:jc w:val="both"/>
        <w:rPr>
          <w:b/>
          <w:color w:val="000000"/>
        </w:rPr>
      </w:pPr>
      <w:bookmarkStart w:id="546" w:name="part_1b9bedcee9344e05b0385ba1bee0e6e0"/>
      <w:bookmarkEnd w:id="546"/>
      <w:r w:rsidRPr="00A71E39">
        <w:rPr>
          <w:b/>
          <w:color w:val="000000"/>
        </w:rPr>
        <w:t>Lietuvos vienetas priskiria turtą užsienio valstybėje per nuolatinę buveinę vykdomai veiklai, o turto savininkas nesikeičia;</w:t>
      </w:r>
    </w:p>
    <w:p w14:paraId="2947DF51" w14:textId="77777777" w:rsidR="00E65994" w:rsidRDefault="00E65994" w:rsidP="0022363F">
      <w:pPr>
        <w:pStyle w:val="Sraopastraipa"/>
        <w:ind w:left="1080"/>
        <w:jc w:val="both"/>
        <w:rPr>
          <w:rFonts w:eastAsia="Calibri"/>
          <w:b/>
        </w:rPr>
      </w:pPr>
    </w:p>
    <w:p w14:paraId="454EF39A" w14:textId="77777777" w:rsidR="0022363F" w:rsidRPr="0022363F" w:rsidRDefault="0022363F" w:rsidP="0022363F">
      <w:pPr>
        <w:pStyle w:val="Sraopastraipa"/>
        <w:ind w:left="1080"/>
        <w:jc w:val="both"/>
        <w:rPr>
          <w:rFonts w:eastAsia="Calibri"/>
          <w:b/>
        </w:rPr>
      </w:pPr>
      <w:r w:rsidRPr="0022363F">
        <w:rPr>
          <w:rFonts w:eastAsia="Calibri"/>
          <w:b/>
        </w:rPr>
        <w:t>Komentaras</w:t>
      </w:r>
    </w:p>
    <w:p w14:paraId="00E4383C" w14:textId="77777777" w:rsidR="00A71E39" w:rsidRDefault="0022363F" w:rsidP="0022363F">
      <w:pPr>
        <w:spacing w:before="100" w:beforeAutospacing="1" w:after="100" w:afterAutospacing="1"/>
        <w:ind w:firstLine="720"/>
        <w:jc w:val="both"/>
        <w:rPr>
          <w:rFonts w:eastAsia="Calibri"/>
        </w:rPr>
      </w:pPr>
      <w:r w:rsidRPr="0022363F">
        <w:rPr>
          <w:rFonts w:eastAsia="Calibri"/>
        </w:rPr>
        <w:t>Turto perkėlimo apmokestinimo atvejis, kai Lietuvos vienetas priskiria turtą užsienio valstybėje per nuolatinę buveinę vykdomai veiklai. Šiuo atveju turto savininkas nesikeičia.</w:t>
      </w:r>
    </w:p>
    <w:p w14:paraId="4E4E0EBE" w14:textId="77777777" w:rsidR="00E65994" w:rsidRDefault="00E65994" w:rsidP="0022363F">
      <w:pPr>
        <w:spacing w:before="100" w:beforeAutospacing="1" w:after="100" w:afterAutospacing="1"/>
        <w:ind w:firstLine="720"/>
        <w:jc w:val="both"/>
        <w:rPr>
          <w:rFonts w:eastAsia="Calibri"/>
        </w:rPr>
      </w:pPr>
    </w:p>
    <w:p w14:paraId="23986AAA" w14:textId="77777777" w:rsidR="00E65994" w:rsidRPr="002B3D21" w:rsidRDefault="00E65994" w:rsidP="00E65994">
      <w:pPr>
        <w:ind w:firstLine="567"/>
        <w:jc w:val="both"/>
        <w:rPr>
          <w:rFonts w:eastAsia="Calibri"/>
        </w:rPr>
      </w:pPr>
      <w:r w:rsidRPr="002B3D21">
        <w:rPr>
          <w:rFonts w:eastAsia="Calibri"/>
        </w:rPr>
        <w:t>Pavyzdžiai</w:t>
      </w:r>
    </w:p>
    <w:p w14:paraId="2940C052"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rPr>
        <w:t>1.</w:t>
      </w:r>
      <w:r w:rsidRPr="002B3D21">
        <w:rPr>
          <w:rFonts w:eastAsia="Calibri"/>
        </w:rPr>
        <w:tab/>
        <w:t>Lietuvos vieneto veikla yra prekyba. Vystydamas veiklą Lietuvos vienetas įregistravo užsienio valstybėje nuolatinę buveinę. Lietuvos vienetas nuolatinės buveinės užsienio valstybėje veiklos vykdymui perkėlė materialųjį turtą (automobilius). Tokiam turto perkėlimui iš Lietuvos Respublikos taikomos turto perkėlimo apmokestinimo taisyklės.</w:t>
      </w:r>
      <w:r w:rsidRPr="002B3D21" w:rsidDel="00985089">
        <w:rPr>
          <w:rFonts w:eastAsia="Calibri"/>
        </w:rPr>
        <w:t xml:space="preserve"> </w:t>
      </w:r>
    </w:p>
    <w:p w14:paraId="341EC4FC"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rPr>
        <w:t>2. Lietuvos vienetas įregistravo užsienio valstybėje nuolatinę buveinę ir jai perdavė valdyti savo įmonės ženklą. Atsižvelgiant į tai, kad įmonės ženklo – nematerialiojo turto, valdymo teisės buvo perduotos valdyti Lietuvos vieneto nuolatinei buveinei, tokiam turto perkėlimui iš Lietuvos Respublikos taikomos turto perkėlimo apmokestinimo taisyklės</w:t>
      </w:r>
      <w:r w:rsidRPr="002B3D21" w:rsidDel="00985089">
        <w:rPr>
          <w:rFonts w:eastAsia="Calibri"/>
        </w:rPr>
        <w:t xml:space="preserve"> </w:t>
      </w:r>
    </w:p>
    <w:p w14:paraId="1B77BE0F"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bCs/>
        </w:rPr>
      </w:pPr>
      <w:r w:rsidRPr="002B3D21">
        <w:rPr>
          <w:rFonts w:eastAsia="Calibri"/>
          <w:bCs/>
        </w:rPr>
        <w:lastRenderedPageBreak/>
        <w:t>3. Lietuvos vienetas įregistravo užsienio valstybėje nuolatinę buveinę ir per nuolatinę buveinę vykdomai veiklai priskyrė serverius, esančius (fiziškai) Lietuvoje. Neatsižvelgiant į tai, kad nuolatinei buveinei priskirti serveriai fiziškai yra Lietuvoje, toks turto priskyrimas laikomas turto perkėlimu iš Lietuvos Respublikos (Lietuvos vienetas priskiria turtą užsienio valstybėje per nuolatinę buveinę vykdomai veiklai, o turto savininkas nesikeičia), kuriam taikomos turto perkėlimo apmokestinimo taisyklės.</w:t>
      </w:r>
    </w:p>
    <w:p w14:paraId="5BC2F600" w14:textId="77777777" w:rsidR="00E65994" w:rsidRPr="002B3D21" w:rsidRDefault="00E65994" w:rsidP="00E65994">
      <w:pPr>
        <w:pBdr>
          <w:top w:val="single" w:sz="4" w:space="1" w:color="auto"/>
          <w:left w:val="single" w:sz="4" w:space="4" w:color="auto"/>
          <w:bottom w:val="single" w:sz="4" w:space="1" w:color="auto"/>
          <w:right w:val="single" w:sz="4" w:space="4" w:color="auto"/>
        </w:pBdr>
        <w:tabs>
          <w:tab w:val="left" w:pos="851"/>
        </w:tabs>
        <w:ind w:firstLine="567"/>
        <w:jc w:val="both"/>
        <w:rPr>
          <w:rFonts w:eastAsia="Calibri"/>
        </w:rPr>
      </w:pPr>
      <w:r w:rsidRPr="002B3D21">
        <w:rPr>
          <w:rFonts w:eastAsia="Calibri"/>
          <w:bCs/>
        </w:rPr>
        <w:t>4. Lietuvos vieneto veikla yra įrengimų nuoma</w:t>
      </w:r>
      <w:r w:rsidRPr="002B3D21">
        <w:rPr>
          <w:rFonts w:eastAsia="Calibri"/>
        </w:rPr>
        <w:t>. Vystydamas veiklą Lietuvos vienetas įregistravo Latvijos Respublikoje nuolatinę buveinę, kurios veikla taip pat įrengimų nuoma. Tarkime 2020 metų spalio mėn. Latvijos Respublikoje registruotai nuolatinei buveinei, pritrūkus įrengimų nuomai, Lietuvos vienetas laikinai perkėlė 3 traktorius (vieną savaitei, antrą – mėnesiui ir trečią – pusei metų) Latvijos Respublikoje registruotos nuolatinės buveinei vykdomai veiklai.  Minėti traktoriai bus naudojami Latvijos Respublikoje registruotos nuolatinės buveinės pajamų uždirbimui. Tokiam turto perkėlimui iš Lietuvos Respublikos, neatsižvelgiant į perkėlimo laikotarpį, taikomos turto perkėlimo apmokestinimo taisyklės. Kai aukščiau minėtas turtas bus grąžintas Lietuvos vienetui, t. y. kai turtas bus perduotas atgal Lietuvos vienetui, tai bus taikomos PMĮ 14 str. 7 d. ir Lietuvos vienetui grąžinto turto įsigijimo kaina bus laikoma tikroji rinkos kaina, pripažinta turto perkėlimo į Lietuvos Respubliką momentu, ir nuo šios kainos Lietuvos vienetas pelno mokesčio apskaičiavimo tikslais skaičiuos grąžinto turto nusidėvėjimą vadovaujantis PMĮ 18 str. nuostatomis.</w:t>
      </w:r>
    </w:p>
    <w:p w14:paraId="616452D0" w14:textId="77777777" w:rsidR="00806B68" w:rsidRDefault="00806B68" w:rsidP="00806B68">
      <w:pPr>
        <w:spacing w:before="100" w:beforeAutospacing="1" w:after="100" w:afterAutospacing="1"/>
        <w:ind w:firstLine="720"/>
        <w:jc w:val="both"/>
        <w:rPr>
          <w:b/>
        </w:rPr>
      </w:pPr>
      <w:bookmarkStart w:id="547" w:name="part_e8590d56a8cf40688bef44a8d7cd9cc0"/>
      <w:bookmarkEnd w:id="547"/>
      <w:r w:rsidRPr="00A71E39">
        <w:rPr>
          <w:b/>
          <w:color w:val="000000"/>
        </w:rPr>
        <w:t xml:space="preserve">2) užsienio </w:t>
      </w:r>
      <w:r w:rsidRPr="00A71E39">
        <w:rPr>
          <w:b/>
        </w:rPr>
        <w:t>vienetas, vykdantis veiklą Lietuvos Respublikoje per nuolatinę buveinę, priskiria turtą savo vykdomai veiklai kitoje užsienio valstybėje, o turto savininkas nesikeičia;</w:t>
      </w:r>
    </w:p>
    <w:p w14:paraId="60C9D638" w14:textId="77777777" w:rsidR="00E65994" w:rsidRPr="002B3D21" w:rsidRDefault="00E65994" w:rsidP="00E65994">
      <w:pPr>
        <w:ind w:firstLine="567"/>
        <w:jc w:val="both"/>
        <w:rPr>
          <w:rFonts w:eastAsia="Calibri"/>
          <w:b/>
        </w:rPr>
      </w:pPr>
      <w:r w:rsidRPr="002B3D21">
        <w:rPr>
          <w:rFonts w:eastAsia="Calibri"/>
          <w:b/>
        </w:rPr>
        <w:t>Komentaras</w:t>
      </w:r>
    </w:p>
    <w:p w14:paraId="3A2C0852"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užsienio vienetas, vykdantis veiklą Lietuvos Respublikoje per nuolatinę buveinę, priskiria nuolatinės buveinės turtą savo vykdomai veiklai kitoje užsienio valstybėje ir lieka to turto savininku.</w:t>
      </w:r>
    </w:p>
    <w:p w14:paraId="464813CC" w14:textId="77777777" w:rsidR="00E65994" w:rsidRPr="002B3D21" w:rsidRDefault="00E65994" w:rsidP="00E65994">
      <w:pPr>
        <w:ind w:firstLine="567"/>
        <w:jc w:val="both"/>
        <w:rPr>
          <w:rFonts w:eastAsia="Calibri"/>
        </w:rPr>
      </w:pPr>
      <w:r w:rsidRPr="002B3D21">
        <w:rPr>
          <w:rFonts w:eastAsia="Calibri"/>
        </w:rPr>
        <w:t>Pavyzdys</w:t>
      </w:r>
    </w:p>
    <w:p w14:paraId="562C4310"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contextualSpacing/>
        <w:jc w:val="both"/>
        <w:rPr>
          <w:rFonts w:eastAsia="Calibri"/>
        </w:rPr>
      </w:pPr>
      <w:r w:rsidRPr="002B3D21">
        <w:rPr>
          <w:rFonts w:eastAsia="Calibri"/>
        </w:rPr>
        <w:t>Užsienio vienetas, vykdantis veiklą Lietuvos Respublikoje per nuolatinę buveinę, Lietuvos Respublikoje 2018 metais įregistravo prekinį ženklą. 2021 metais buvo priimtas sprendimas, kad prekinio ženklo valdymą perims užsienio vienetas, o ne užsienio vienetas, vykdantis veiklą Lietuvos Respublikoje per nuolatinę buveinę (kas buvo vykdoma 2018, 2019 ir 2020 metais). Šiuo atveju tokiam turto perkėlimui iš Lietuvos Respublikos taikomos turto perkėlimo apmokestinimo taisyklės nuo teisių į prekinį ženklą perdavimo užsienio vienetui momento.</w:t>
      </w:r>
    </w:p>
    <w:p w14:paraId="7B15A15D" w14:textId="77777777" w:rsidR="00806B68" w:rsidRDefault="00806B68" w:rsidP="00806B68">
      <w:pPr>
        <w:spacing w:before="100" w:beforeAutospacing="1" w:after="100" w:afterAutospacing="1"/>
        <w:ind w:firstLine="720"/>
        <w:jc w:val="both"/>
        <w:rPr>
          <w:b/>
        </w:rPr>
      </w:pPr>
      <w:bookmarkStart w:id="548" w:name="part_f12080f4ac00454abb5c34ec419e04f0"/>
      <w:bookmarkEnd w:id="548"/>
      <w:r w:rsidRPr="00A71E39">
        <w:rPr>
          <w:b/>
        </w:rPr>
        <w:t>3) Lietuvos vienetas perkelia Lietuvos Respublikoje vykdomą veiklą į užsienio valstybę, išskyrus atvejus, kai turtas, kuris buvo naudojamas Lietuvos Respublikoje vykdomai veiklai, toliau naudojamas užsienio vieneto per nuolatinę buveinę vykdomai veiklai Lietuvos Respublikoje;</w:t>
      </w:r>
    </w:p>
    <w:p w14:paraId="07DC63DA" w14:textId="77777777" w:rsidR="00E65994" w:rsidRPr="002B3D21" w:rsidRDefault="00E65994" w:rsidP="00E65994">
      <w:pPr>
        <w:ind w:firstLine="567"/>
        <w:jc w:val="both"/>
        <w:rPr>
          <w:rFonts w:eastAsia="Calibri"/>
          <w:b/>
        </w:rPr>
      </w:pPr>
      <w:r w:rsidRPr="002B3D21">
        <w:rPr>
          <w:rFonts w:eastAsia="Calibri"/>
          <w:b/>
        </w:rPr>
        <w:t>Komentaras</w:t>
      </w:r>
    </w:p>
    <w:p w14:paraId="2CEF4770"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Lietuvos vienetas perkelia Lietuvos Respublikoje vykdomą veiklą kaip kompleksą į užsienio valstybę, išskyrus atvejus, kai turtas, kuris buvo naudojamas Lietuvos Respublikoje vykdomai veiklai, toliau naudojamas užsienio vieneto per nuolatinę buveinę vykdomai veiklai Lietuvos Respublikoje.</w:t>
      </w:r>
    </w:p>
    <w:p w14:paraId="729451BA" w14:textId="77777777" w:rsidR="00E65994" w:rsidRPr="002B3D21" w:rsidRDefault="00E65994" w:rsidP="00E65994">
      <w:pPr>
        <w:ind w:firstLine="567"/>
        <w:jc w:val="both"/>
        <w:rPr>
          <w:rFonts w:eastAsia="Calibri"/>
        </w:rPr>
      </w:pPr>
      <w:r w:rsidRPr="002B3D21">
        <w:rPr>
          <w:rFonts w:eastAsia="Calibri"/>
        </w:rPr>
        <w:t xml:space="preserve">Jeigu turto perkėlimo operacija atitinka aukščiau nurodytą turto perkėlimo apmokestinimo atvejį, pelno mokesčio apskaičiavimo tikslais tokiam turto iškėlimui netaikomos Pelno mokesčio įstatymo 14 straipsnio 4 ir 5 dalys ir IX skyriuje „Reorganizavimo, perleidimo, likvidavimo paskirų atvejų </w:t>
      </w:r>
      <w:r w:rsidRPr="002B3D21">
        <w:rPr>
          <w:rFonts w:eastAsia="Calibri"/>
        </w:rPr>
        <w:lastRenderedPageBreak/>
        <w:t xml:space="preserve">apmokestinimas, turto vertės pajamų bei nuostolių pripažinimas tam tikrais reorganizavimo, likvidavimo, perleidimo atvejais“ įtvirtintos nuostatos. </w:t>
      </w:r>
    </w:p>
    <w:p w14:paraId="3F1035B2" w14:textId="77777777" w:rsidR="00E65994" w:rsidRPr="002B3D21" w:rsidRDefault="00E65994" w:rsidP="00E65994">
      <w:pPr>
        <w:ind w:firstLine="567"/>
        <w:jc w:val="both"/>
        <w:rPr>
          <w:rFonts w:eastAsia="Calibri"/>
        </w:rPr>
      </w:pPr>
      <w:r w:rsidRPr="002B3D21">
        <w:rPr>
          <w:rFonts w:eastAsia="Calibri"/>
        </w:rPr>
        <w:t>Pavyzdžiai</w:t>
      </w:r>
    </w:p>
    <w:p w14:paraId="6BE8C182" w14:textId="77777777" w:rsidR="00E65994" w:rsidRPr="002B3D21" w:rsidRDefault="00E65994" w:rsidP="00EC4E29">
      <w:pPr>
        <w:numPr>
          <w:ilvl w:val="0"/>
          <w:numId w:val="63"/>
        </w:numPr>
        <w:pBdr>
          <w:top w:val="single" w:sz="4" w:space="1" w:color="auto"/>
          <w:left w:val="single" w:sz="4" w:space="4" w:color="auto"/>
          <w:bottom w:val="single" w:sz="4" w:space="1" w:color="auto"/>
          <w:right w:val="single" w:sz="4" w:space="4" w:color="auto"/>
        </w:pBdr>
        <w:spacing w:after="0" w:line="240" w:lineRule="auto"/>
        <w:ind w:left="0" w:firstLine="851"/>
        <w:contextualSpacing/>
        <w:jc w:val="both"/>
        <w:rPr>
          <w:rFonts w:eastAsia="Calibri"/>
        </w:rPr>
      </w:pPr>
      <w:r w:rsidRPr="002B3D21">
        <w:rPr>
          <w:rFonts w:eastAsia="Calibri"/>
        </w:rPr>
        <w:t>Lietuvos Respublikoje įregistruota įmonė vykdo transporto paslaugų ir remonto veiklą. 2020 metais įmonė nusprendė vykdomą transporto paslaugų veiklą perkelti į Lenkiją. Įgyvendindama šį numatytą veiksmą, 2020-02-23 Lietuvos Respublikoje įregistruota įmonė įsteigė juridinį asmenį Lenkijoje. Įsteigto Lenkijoje juridinio asmens kapitalo formavimui Lietuvos įmonė perkelia su paslaugų vykdymu susijusį turtą (transporto priemones). Tokiam turto perkėlimui iš Lietuvos Respublikos taikomos turto perkėlimo apmokestinimo taisyklės, nes užsienio vienetas – Lenkijoje įregistruota įmonė - nevykdo veiklos Lietuvos Respublikoje per nuolatinę buveinę, kuriai naudotų minėtas transporto priemones.</w:t>
      </w:r>
      <w:bookmarkStart w:id="549" w:name="_Hlk39063382"/>
    </w:p>
    <w:p w14:paraId="5B547BE1" w14:textId="77777777" w:rsidR="00E65994" w:rsidRPr="002B3D21" w:rsidRDefault="00E65994" w:rsidP="00EC4E29">
      <w:pPr>
        <w:numPr>
          <w:ilvl w:val="0"/>
          <w:numId w:val="63"/>
        </w:numPr>
        <w:pBdr>
          <w:top w:val="single" w:sz="4" w:space="1" w:color="auto"/>
          <w:left w:val="single" w:sz="4" w:space="4" w:color="auto"/>
          <w:bottom w:val="single" w:sz="4" w:space="1" w:color="auto"/>
          <w:right w:val="single" w:sz="4" w:space="4" w:color="auto"/>
        </w:pBdr>
        <w:spacing w:after="0" w:line="240" w:lineRule="auto"/>
        <w:ind w:left="0" w:firstLine="709"/>
        <w:contextualSpacing/>
        <w:jc w:val="both"/>
        <w:rPr>
          <w:rFonts w:eastAsia="Calibri"/>
        </w:rPr>
      </w:pPr>
      <w:r w:rsidRPr="002B3D21">
        <w:rPr>
          <w:rFonts w:eastAsia="Calibri"/>
        </w:rPr>
        <w:t xml:space="preserve">Lietuvos Respublikoje įregistruota įmonė </w:t>
      </w:r>
      <w:bookmarkEnd w:id="549"/>
      <w:r w:rsidRPr="002B3D21">
        <w:rPr>
          <w:rFonts w:eastAsia="Calibri"/>
        </w:rPr>
        <w:t xml:space="preserve">yra dukterinė užsienio vieneto įmonė. Užsienio vienetas nusprendė prisijungti Lietuvos Respublikoje įregistruotą įmonę be likvidavimo procedūros ir toliau vykdyti Lietuvos Respublikoje vykdomą veiklą per užsienio vieneto nuolatinę buveinę Lietuvoje. Visas Lietuvos Respublikoje planuojamos likviduoti įmonės turtas bus perduotas užsienio vieneto per nuolatinę buveinę Lietuvos Respublikoje vykdomai veiklai. Tokiam turto perkėlimui  netaikomos turto perkėlimo apmokestinimo taisyklės, nes turtas perduodamas ir toliau naudojamas užsienio vieneto per nuolatinę buveinę Lietuvos Respublikoje vykdomai veiklai (taikomos PMĮ 41 str. 3 d. nuostatos). </w:t>
      </w:r>
    </w:p>
    <w:p w14:paraId="5321570E" w14:textId="77777777" w:rsidR="00E65994" w:rsidRPr="002B3D21" w:rsidRDefault="00E65994" w:rsidP="00EC4E29">
      <w:pPr>
        <w:numPr>
          <w:ilvl w:val="0"/>
          <w:numId w:val="63"/>
        </w:numPr>
        <w:pBdr>
          <w:top w:val="single" w:sz="4" w:space="1" w:color="auto"/>
          <w:left w:val="single" w:sz="4" w:space="4" w:color="auto"/>
          <w:bottom w:val="single" w:sz="4" w:space="1" w:color="auto"/>
          <w:right w:val="single" w:sz="4" w:space="4" w:color="auto"/>
        </w:pBdr>
        <w:spacing w:after="0" w:line="240" w:lineRule="auto"/>
        <w:ind w:left="0" w:firstLine="851"/>
        <w:contextualSpacing/>
        <w:jc w:val="both"/>
        <w:rPr>
          <w:rFonts w:eastAsia="Calibri"/>
        </w:rPr>
      </w:pPr>
      <w:r w:rsidRPr="002B3D21">
        <w:rPr>
          <w:rFonts w:eastAsia="Calibri"/>
        </w:rPr>
        <w:t xml:space="preserve">Lietuvos Respublikoje įregistruota įmonė „X“ prijungiama prie užsienio įmonės (t. y. Lietuvos įmonė baigia veiklą Lietuvoje be likvidavimo procedūros), o dalį veiklos, kurią vykdė Lietuvos įmonė „X“ iki prijungimo, Lietuvoje toliau vykdys užsienio įmonė per nuolatinę buveinę.  Atsižvelgiant į tai, kad užsienio įmonė Lietuvoje vykdys tik dalį iki prijungimo Lietuvos įmonės vykdytos veiklos, o likusi turto dalis, nesusijusi su Lietuvoje per nuolatinę buveinę tęsiama veikla, perkeliama į užsienio valstybę, kurioje užsienio įmonė yra rezidentė mokesčių tikslais, </w:t>
      </w:r>
      <w:r w:rsidRPr="002B3D21">
        <w:t>t</w:t>
      </w:r>
      <w:r w:rsidRPr="002B3D21">
        <w:rPr>
          <w:rFonts w:eastAsia="Calibri"/>
        </w:rPr>
        <w:t>okiam turto perkėlimui iš Lietuvos Respublikos taikomos turto perkėlimo apmokestinimo taisyklės.</w:t>
      </w:r>
    </w:p>
    <w:p w14:paraId="411598A4" w14:textId="77777777" w:rsidR="00806B68" w:rsidRDefault="00806B68" w:rsidP="00806B68">
      <w:pPr>
        <w:spacing w:before="100" w:beforeAutospacing="1" w:after="100" w:afterAutospacing="1"/>
        <w:ind w:firstLine="720"/>
        <w:jc w:val="both"/>
        <w:rPr>
          <w:b/>
        </w:rPr>
      </w:pPr>
      <w:bookmarkStart w:id="550" w:name="part_5140e178fa6b4b2e8c8b0051805193a8"/>
      <w:bookmarkEnd w:id="550"/>
      <w:r w:rsidRPr="00A71E39">
        <w:rPr>
          <w:b/>
        </w:rPr>
        <w:t>4) užsienio vienetas, vykdantis veiklą Lietuvos Respublikoje per nuolatinę buveinę, perkelia vykdomą veiklą į užsienio valstybę.</w:t>
      </w:r>
    </w:p>
    <w:p w14:paraId="748D9C46" w14:textId="77777777" w:rsidR="00E65994" w:rsidRPr="002B3D21" w:rsidRDefault="00E65994" w:rsidP="00E65994">
      <w:pPr>
        <w:ind w:firstLine="567"/>
        <w:jc w:val="both"/>
        <w:rPr>
          <w:rFonts w:eastAsia="Calibri"/>
          <w:b/>
        </w:rPr>
      </w:pPr>
      <w:r w:rsidRPr="002B3D21">
        <w:rPr>
          <w:rFonts w:eastAsia="Calibri"/>
          <w:b/>
        </w:rPr>
        <w:t>Komentaras</w:t>
      </w:r>
    </w:p>
    <w:p w14:paraId="77B11B51" w14:textId="77777777" w:rsidR="00E65994" w:rsidRPr="002B3D21" w:rsidRDefault="00E65994" w:rsidP="00E65994">
      <w:pPr>
        <w:ind w:firstLine="567"/>
        <w:jc w:val="both"/>
        <w:rPr>
          <w:rFonts w:eastAsia="Calibri"/>
        </w:rPr>
      </w:pPr>
      <w:r w:rsidRPr="002B3D21">
        <w:rPr>
          <w:rFonts w:eastAsia="Calibri"/>
        </w:rPr>
        <w:t>Turto perkėlimo apmokestinimo taisyklės taikomos atveju, kai užsienio vienetas, vykdantis veiklą Lietuvos Respublikoje per nuolatinę buveinę, perkelia Lietuvos Respublikoje vykdomą veiklą į užsienio valstybę.</w:t>
      </w:r>
    </w:p>
    <w:p w14:paraId="6071F639" w14:textId="77777777" w:rsidR="00E65994" w:rsidRPr="002B3D21" w:rsidRDefault="00E65994" w:rsidP="00E65994">
      <w:pPr>
        <w:ind w:firstLine="567"/>
        <w:jc w:val="both"/>
        <w:rPr>
          <w:rFonts w:eastAsia="Calibri"/>
        </w:rPr>
      </w:pPr>
    </w:p>
    <w:p w14:paraId="0EFFD608" w14:textId="77777777" w:rsidR="00E65994" w:rsidRPr="002B3D21" w:rsidRDefault="00E65994" w:rsidP="00E65994">
      <w:pPr>
        <w:ind w:firstLine="567"/>
        <w:jc w:val="both"/>
        <w:rPr>
          <w:rFonts w:eastAsia="Calibri"/>
        </w:rPr>
      </w:pPr>
      <w:r w:rsidRPr="002B3D21">
        <w:rPr>
          <w:rFonts w:eastAsia="Calibri"/>
        </w:rPr>
        <w:t>Pavyzdžiai</w:t>
      </w:r>
    </w:p>
    <w:p w14:paraId="07C2A4E9"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709"/>
        <w:jc w:val="both"/>
        <w:rPr>
          <w:rFonts w:eastAsia="Calibri"/>
        </w:rPr>
      </w:pPr>
      <w:r w:rsidRPr="002B3D21">
        <w:rPr>
          <w:rFonts w:eastAsia="Calibri"/>
        </w:rPr>
        <w:t>1. Užsienio vienetas, vykdantis veiklą Lietuvos Respublikoje per nuolatinę buveinę, nusprendė 2022 metais baigti veiklą Lietuvos Respublikoje ir visą užsienio vieneto per nuolatinę buveinę Lietuvos Respublikoje vykdomai veiklą priskirtą turtą (ilgalaikį, trumpalaikį, finansinį) perkelti į užsienio valstybę, kurioje užsienio vienetas yra rezidentas mokesčių tikslais. Tokiam turto perkėlimui iš Lietuvos Respublikos taikomos turto perkėlimo apmokestinimo taisyklės.</w:t>
      </w:r>
    </w:p>
    <w:p w14:paraId="513D345E"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709"/>
        <w:jc w:val="both"/>
        <w:rPr>
          <w:rFonts w:eastAsia="Calibri"/>
        </w:rPr>
      </w:pPr>
      <w:r w:rsidRPr="002B3D21">
        <w:rPr>
          <w:rFonts w:eastAsia="Calibri"/>
        </w:rPr>
        <w:t>2. Skandinavijos šalies užsienio banko Lietuvoje registruotas filialas,</w:t>
      </w:r>
      <w:r w:rsidRPr="002B3D21">
        <w:t xml:space="preserve"> </w:t>
      </w:r>
      <w:r w:rsidRPr="002B3D21">
        <w:rPr>
          <w:rFonts w:eastAsia="Calibri"/>
        </w:rPr>
        <w:t>vykdantis veiklą Lietuvos Respublikoje per nuolatinę buveinę, baigia veiklą Lietuvos Respublikoje ir yra išregistruojamas iš Lietuvos Mokesčių mokėtojų registro, o visa užsienio banko Lietuvoje registruoto filialo veikla perkeliama į Estijos Respubliką.</w:t>
      </w:r>
      <w:r w:rsidRPr="002B3D21">
        <w:t xml:space="preserve"> </w:t>
      </w:r>
      <w:r w:rsidRPr="002B3D21">
        <w:rPr>
          <w:rFonts w:eastAsia="Calibri"/>
        </w:rPr>
        <w:t>Tokiam turto perkėlimui iš Lietuvos Respublikos taikomos turto perkėlimo apmokestinimo taisyklės.</w:t>
      </w:r>
    </w:p>
    <w:p w14:paraId="340EDD0E" w14:textId="77777777" w:rsidR="00806B68" w:rsidRDefault="00806B68" w:rsidP="00806B68">
      <w:pPr>
        <w:spacing w:before="100" w:beforeAutospacing="1" w:after="100" w:afterAutospacing="1"/>
        <w:ind w:firstLine="720"/>
        <w:jc w:val="both"/>
        <w:rPr>
          <w:b/>
        </w:rPr>
      </w:pPr>
      <w:bookmarkStart w:id="551" w:name="part_a6055ca1443f43cea25a7e89d6f24690"/>
      <w:bookmarkEnd w:id="551"/>
      <w:r w:rsidRPr="003D1F4D">
        <w:rPr>
          <w:b/>
        </w:rPr>
        <w:lastRenderedPageBreak/>
        <w:t xml:space="preserve">2. Turto perkėlimo momentu vienetas pripažįsta turto vertės padidėjimo pajamas, kurias sudaro perkelto turto tikrosios rinkos kainos perkėlimo momentu ir turto įsigijimo kainos skirtumas. </w:t>
      </w:r>
    </w:p>
    <w:p w14:paraId="394332EF" w14:textId="77777777" w:rsidR="00E65994" w:rsidRPr="002B3D21" w:rsidRDefault="00E65994" w:rsidP="00E65994">
      <w:pPr>
        <w:ind w:firstLine="567"/>
        <w:jc w:val="both"/>
        <w:rPr>
          <w:rFonts w:eastAsia="Calibri"/>
          <w:b/>
        </w:rPr>
      </w:pPr>
      <w:r w:rsidRPr="002B3D21">
        <w:rPr>
          <w:rFonts w:eastAsia="Calibri"/>
          <w:b/>
        </w:rPr>
        <w:t>Komentaras</w:t>
      </w:r>
    </w:p>
    <w:p w14:paraId="6205D449" w14:textId="77777777" w:rsidR="00E65994" w:rsidRPr="002B3D21" w:rsidRDefault="00E65994" w:rsidP="00E65994">
      <w:pPr>
        <w:ind w:firstLine="567"/>
        <w:jc w:val="both"/>
        <w:rPr>
          <w:rFonts w:eastAsia="Calibri"/>
        </w:rPr>
      </w:pPr>
      <w:r w:rsidRPr="002B3D21">
        <w:rPr>
          <w:rFonts w:eastAsia="Calibri"/>
        </w:rPr>
        <w:t>Pajamos iš turto perkėlimo apskaičiuojamos tokiu pačiu principu, kaip ir pajamos iš turto pardavimo ar kitokio perleidimo, t. y. turto perkėlimo momentu pripažįstamos turto vertės padidėjimo pajamos, kurias sudaro perkelto turto tikrosios rinkos kainos perkėlimo momentu ir įsigijimo kainos skirtumas (žr. PMĮ 16 straipsnio 1 dalies komentarą).</w:t>
      </w:r>
    </w:p>
    <w:p w14:paraId="14ADF014" w14:textId="77777777" w:rsidR="00E65994" w:rsidRPr="002B3D21" w:rsidRDefault="00E65994" w:rsidP="00E65994">
      <w:pPr>
        <w:ind w:firstLine="567"/>
        <w:jc w:val="both"/>
        <w:rPr>
          <w:rFonts w:eastAsia="Calibri"/>
        </w:rPr>
      </w:pPr>
      <w:r w:rsidRPr="002B3D21">
        <w:rPr>
          <w:rFonts w:eastAsia="Calibri"/>
        </w:rPr>
        <w:t>Jeigu turto perkėlimo momentu apskaičiuojamas neigiamas turto vertės padidėjimo pajamų rezultatas, t. y. perkelto turto tikrosios rinkos kaina perkėlimo momentu yra žemesnė nei perkeliamo turto įsigijimo kaina, tai  susidaręs turto perkėlimo už rinkos kainą ir įsigijimo kainos skirtumas (nuostolis), apskaičiuojant apmokestinamąjį pelną, įtraukiamas į mokestinio laikotarpio rezultato (pelno / nuostolio) apskaičiavimą.</w:t>
      </w:r>
    </w:p>
    <w:p w14:paraId="6FDFF6E5" w14:textId="77777777" w:rsidR="00E65994" w:rsidRPr="002B3D21" w:rsidRDefault="00E65994" w:rsidP="00E65994">
      <w:pPr>
        <w:ind w:firstLine="567"/>
        <w:jc w:val="both"/>
        <w:rPr>
          <w:rFonts w:eastAsia="Calibri"/>
        </w:rPr>
      </w:pPr>
      <w:r w:rsidRPr="002B3D21">
        <w:rPr>
          <w:rFonts w:eastAsia="Calibri"/>
        </w:rPr>
        <w:t>Pavyzdys</w:t>
      </w:r>
    </w:p>
    <w:p w14:paraId="7E0FA1E7"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Lietuvos vieneto veikla yra prekyba. Vystydamas veiklą Lietuvos vienetas įregistravo užsienio valstybėje nuolatinę buveinę. Lietuvos vienetas nuolatinės buveinės užsienio valstybėje veiklos vykdymui perkėlė materialųjį turtą – krovininį automobilį, kurio perkėlimo momentu tikroji rinkos kaina sudaro 23 000 Eur, o perkėlimo momentu įsigijimo kaina -  35 000 Eur. Tokiam materialaus turto perkėlimui iš Lietuvos Respublikos taikomos turto perkėlimo apmokestinimo taisyklės. Šiuo atveju, apskaičiuojant apmokestinamąjį pelną, apskaičiuotas 12 000 Eur nuostolis įtraukiamas į mokestinio laikotarpio rezultato (pelno / nuostolio) apskaičiavimą.</w:t>
      </w:r>
    </w:p>
    <w:p w14:paraId="38C31EB8" w14:textId="77777777" w:rsidR="00806B68" w:rsidRDefault="00806B68" w:rsidP="00806B68">
      <w:pPr>
        <w:spacing w:before="100" w:beforeAutospacing="1" w:after="100" w:afterAutospacing="1"/>
        <w:ind w:firstLine="720"/>
        <w:jc w:val="both"/>
        <w:rPr>
          <w:b/>
        </w:rPr>
      </w:pPr>
      <w:bookmarkStart w:id="552" w:name="part_133a7714fc044caeb008a906ed774508"/>
      <w:bookmarkEnd w:id="552"/>
      <w:r w:rsidRPr="003D1F4D">
        <w:rPr>
          <w:b/>
        </w:rPr>
        <w:t>3. Jeigu perkeliamas vieneto turtas, kurio nusidėvėjimas arba amortizacija buvo skaičiuojami pelno mokesčiui apskaičiuoti, apskaičiuojant turto vertės padidėjimo pajamas, to turto įsigijimo kaina mažinama jo nusidėvėjimo ar amortizacijos suma, įtraukta į ribojamų dydžių leidžiamus atskaitymus.</w:t>
      </w:r>
    </w:p>
    <w:p w14:paraId="307E3FCD" w14:textId="77777777" w:rsidR="00E65994" w:rsidRPr="002B3D21" w:rsidRDefault="00E65994" w:rsidP="00E65994">
      <w:pPr>
        <w:ind w:firstLine="567"/>
        <w:jc w:val="both"/>
        <w:rPr>
          <w:rFonts w:eastAsia="Calibri"/>
          <w:b/>
        </w:rPr>
      </w:pPr>
      <w:r w:rsidRPr="002B3D21">
        <w:rPr>
          <w:rFonts w:eastAsia="Calibri"/>
          <w:b/>
        </w:rPr>
        <w:t>Komentaras</w:t>
      </w:r>
    </w:p>
    <w:p w14:paraId="766275D5" w14:textId="77777777" w:rsidR="00E65994" w:rsidRPr="002B3D21" w:rsidRDefault="00E65994" w:rsidP="00E65994">
      <w:pPr>
        <w:ind w:firstLine="567"/>
        <w:jc w:val="both"/>
        <w:rPr>
          <w:rFonts w:eastAsia="Calibri"/>
        </w:rPr>
      </w:pPr>
      <w:r w:rsidRPr="002B3D21">
        <w:rPr>
          <w:rFonts w:eastAsia="Calibri"/>
        </w:rPr>
        <w:t>Jeigu perkeliamas vieneto turtas, kurio nusidėvėjimas arba amortizacija buvo skaičiuojami pelno mokesčiui apskaičiuoti, apskaičiuojant turto vertės padidėjimo pajamas, to turto įsigijimo kaina mažinama jo nusidėvėjimo ar amortizacijos suma, įtraukta į ribojamų dydžių leidžiamus atskaitymus (žr. PMĮ 16 straipsnio 2 dalies komentarą).</w:t>
      </w:r>
    </w:p>
    <w:p w14:paraId="3A4F6ED4" w14:textId="77777777" w:rsidR="00E65994" w:rsidRPr="002B3D21" w:rsidRDefault="00E65994" w:rsidP="00E65994">
      <w:pPr>
        <w:ind w:firstLine="567"/>
        <w:jc w:val="both"/>
        <w:rPr>
          <w:rFonts w:eastAsia="Calibri"/>
        </w:rPr>
      </w:pPr>
      <w:r w:rsidRPr="002B3D21">
        <w:rPr>
          <w:rFonts w:eastAsia="Calibri"/>
        </w:rPr>
        <w:t>Pavyzdys</w:t>
      </w:r>
    </w:p>
    <w:p w14:paraId="145B9E00" w14:textId="77777777" w:rsidR="00E65994" w:rsidRPr="002B3D21" w:rsidRDefault="00E65994" w:rsidP="00E65994">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Lietuvos vieneto veikla yra prekyba. Vystydamas veiklą Lietuvos vienetas įregistravo užsienio valstybėje nuolatinę buveinę. Lietuvos vienetas nuolatinės buveinės užsienio valstybėje veiklos vykdymui perkėlė materialųjį turtą - lengvąjį automobilį, kurio perkėlimo momentu tikroji rinkos kaina sudaro 13 000 Eur, o perkėlimo momentu įsigijimo kaina -  15 000 Eur (Automobilio įsigijimo kaina 18 000 Eur ir apskaičiuota nusidėvėjimo suma 3 000 Eur). Tokiam materialaus turto perkėlimui iš Lietuvos Respublikos taikomos turto perkėlimo apmokestinimo taisyklės. Šiuo atveju, apskaičiuojant apmokestinamąjį pelną, apskaičiuotas 2000 Eur nuostolis įtraukiamas į mokestinio laikotarpio rezultato (pelno / nuostolio) apskaičiavimą.</w:t>
      </w:r>
    </w:p>
    <w:p w14:paraId="19C91775" w14:textId="77777777" w:rsidR="004969AF" w:rsidRDefault="00806B68" w:rsidP="00806B68">
      <w:pPr>
        <w:spacing w:before="100" w:beforeAutospacing="1" w:after="100" w:afterAutospacing="1"/>
        <w:ind w:firstLine="720"/>
        <w:jc w:val="both"/>
        <w:rPr>
          <w:b/>
        </w:rPr>
      </w:pPr>
      <w:bookmarkStart w:id="553" w:name="part_543b76bae25a46f88f7afb56df756902"/>
      <w:bookmarkEnd w:id="553"/>
      <w:r w:rsidRPr="003D1F4D">
        <w:rPr>
          <w:b/>
        </w:rPr>
        <w:t xml:space="preserve">4. Tais atvejais, kai turtas perkeliamas į kitas Europos ekonominės erdvės valstybes, kurios su Lietuvos Respublika arba Europos Sąjunga yra sudariusios susitarimą dėl savitarpio </w:t>
      </w:r>
      <w:r w:rsidRPr="003D1F4D">
        <w:rPr>
          <w:b/>
        </w:rPr>
        <w:lastRenderedPageBreak/>
        <w:t>pagalbos išieškant mokesčius, kuri yra lygiavertė 2010 m. kovo 16 d. Tarybos direktyvoje 2010/24/ES dėl savitarpio pagalbos vykdant reikalavimus, susijusius su mokesčiais, muitais ir kitomis priemonėmis (OL 2010 L 84, p. 1) (toliau – Direktyva 2010/24/ES), numatytai savitarpio pagalbai, vienetas pagal šį straipsnį apskaičiuotas pajamas į mokesčių bazę gali įtraukti lygiomis dalimis per 5 metus, skaičiuojamus nuo turto perkėlimo pradžios. Pajamų išdėstymas</w:t>
      </w:r>
      <w:r w:rsidRPr="003D1F4D">
        <w:rPr>
          <w:b/>
          <w:bCs/>
        </w:rPr>
        <w:t xml:space="preserve"> </w:t>
      </w:r>
      <w:r w:rsidRPr="003D1F4D">
        <w:rPr>
          <w:b/>
        </w:rPr>
        <w:t>dalimis nutraukiamas ir likusi neįtraukta pajamų dalis įtraukiama į to mokestinio laikotarpio pajamas, kurį paaiškėja, kad:</w:t>
      </w:r>
      <w:bookmarkStart w:id="554" w:name="part_3ae9a0876e1a48eb8be58d67e28bf47c"/>
      <w:bookmarkEnd w:id="554"/>
    </w:p>
    <w:p w14:paraId="5295927C" w14:textId="77777777" w:rsidR="004969AF" w:rsidRPr="002B3D21" w:rsidRDefault="004969AF" w:rsidP="004969AF">
      <w:pPr>
        <w:spacing w:line="240" w:lineRule="auto"/>
        <w:ind w:firstLine="567"/>
        <w:jc w:val="both"/>
        <w:rPr>
          <w:rFonts w:eastAsia="Calibri"/>
          <w:b/>
        </w:rPr>
      </w:pPr>
      <w:r w:rsidRPr="002B3D21">
        <w:rPr>
          <w:rFonts w:eastAsia="Calibri"/>
          <w:b/>
        </w:rPr>
        <w:t>1) perkeltas turtas yra parduodamas ar kitaip perleidžiamas nuosavybėn arba</w:t>
      </w:r>
    </w:p>
    <w:p w14:paraId="4F21749D" w14:textId="77777777" w:rsidR="004969AF" w:rsidRPr="002B3D21" w:rsidRDefault="004969AF" w:rsidP="004969AF">
      <w:pPr>
        <w:spacing w:line="240" w:lineRule="auto"/>
        <w:ind w:firstLine="567"/>
        <w:jc w:val="both"/>
        <w:rPr>
          <w:rFonts w:eastAsia="Calibri"/>
          <w:b/>
        </w:rPr>
      </w:pPr>
      <w:r w:rsidRPr="002B3D21">
        <w:rPr>
          <w:rFonts w:eastAsia="Calibri"/>
          <w:b/>
        </w:rPr>
        <w:t>2) perkeltas turtas per 5 metus nuo jo perkėlimo perkeliamas į ne Europos ekonominės erdvės valstybę arba Europos ekonominės erdvės valstybę, su kuria Lietuvos Respublika arba Europos Sąjunga nėra sudariusi susitarimo dėl savitarpio pagalbos išieškant mokesčius, kuri yra lygiavertė Direktyvoje 2010/24/ES numatytai savitarpio pagalbai, arba</w:t>
      </w:r>
    </w:p>
    <w:p w14:paraId="51839582" w14:textId="77777777" w:rsidR="004969AF" w:rsidRPr="002B3D21" w:rsidRDefault="004969AF" w:rsidP="004969AF">
      <w:pPr>
        <w:spacing w:line="240" w:lineRule="auto"/>
        <w:ind w:firstLine="567"/>
        <w:jc w:val="both"/>
        <w:rPr>
          <w:rFonts w:eastAsia="Calibri"/>
          <w:b/>
        </w:rPr>
      </w:pPr>
      <w:r w:rsidRPr="002B3D21">
        <w:rPr>
          <w:rFonts w:eastAsia="Calibri"/>
          <w:b/>
        </w:rPr>
        <w:t>3) vienetui pradedama bankroto arba likvidavimo procedūra, arba</w:t>
      </w:r>
    </w:p>
    <w:p w14:paraId="400B7A56" w14:textId="77777777" w:rsidR="004969AF" w:rsidRDefault="004969AF" w:rsidP="004969AF">
      <w:pPr>
        <w:spacing w:line="240" w:lineRule="auto"/>
        <w:ind w:firstLine="567"/>
        <w:jc w:val="both"/>
        <w:rPr>
          <w:rFonts w:eastAsia="Calibri"/>
          <w:b/>
        </w:rPr>
      </w:pPr>
      <w:r w:rsidRPr="002B3D21">
        <w:rPr>
          <w:rFonts w:eastAsia="Calibri"/>
          <w:b/>
        </w:rPr>
        <w:t>4) vienetas neįvykdo pelno mokesčio prievolių per 12 mėnesių nuo šio Įstatymo 53 straipsnyje nustatytų pelno mokesčio sumokėjimo terminų pabaigos.</w:t>
      </w:r>
    </w:p>
    <w:p w14:paraId="1361147B" w14:textId="77777777" w:rsidR="004969AF" w:rsidRPr="002B3D21" w:rsidRDefault="004969AF" w:rsidP="004969AF">
      <w:pPr>
        <w:ind w:firstLine="567"/>
        <w:jc w:val="both"/>
        <w:rPr>
          <w:rFonts w:eastAsia="Calibri"/>
          <w:b/>
        </w:rPr>
      </w:pPr>
      <w:r w:rsidRPr="002B3D21">
        <w:rPr>
          <w:rFonts w:eastAsia="Calibri"/>
          <w:b/>
        </w:rPr>
        <w:t>Komentaras</w:t>
      </w:r>
    </w:p>
    <w:p w14:paraId="0E5B60FE" w14:textId="77777777" w:rsidR="004969AF" w:rsidRPr="002B3D21" w:rsidRDefault="004969AF" w:rsidP="004969AF">
      <w:pPr>
        <w:ind w:firstLine="567"/>
        <w:jc w:val="both"/>
        <w:rPr>
          <w:rFonts w:eastAsia="Calibri"/>
        </w:rPr>
      </w:pPr>
      <w:r w:rsidRPr="002B3D21">
        <w:rPr>
          <w:rFonts w:eastAsia="Calibri"/>
        </w:rPr>
        <w:t>Komentuojamasis straipsnis taikomas, ir vienetas pagal šį straipsnį apskaičiuotas pajamas į mokesčių bazę gali įtraukti lygiomis dalimis per 5 metus, skaičiuojamus nuo turto perkėlimo pradžios, kai turtas perkeliamas į kitas Europos ekonominės erdvės valstybes, kurios su Lietuvos Respublika arba Europos Sąjunga yra sudariusios susitarimą dėl savitarpio pagalbos išieškant mokesčius, kuri yra lygiavertė 2010 m. kovo 16 d. Tarybos direktyvoje 2010/24/ES dėl savitarpio pagalbos vykdant reikalavimus, susijusius su mokesčiais, muitais ir kitomis priemonėmis (OL 2010 L 84, p. 1), numatytai savitarpio pagalbai. 2020-01-01 aukščiau minėtas susitarimas nėra sudarytas tik su  Lichtenšteino kunigaikštyste.</w:t>
      </w:r>
    </w:p>
    <w:p w14:paraId="62A4AD7D" w14:textId="77777777" w:rsidR="004969AF" w:rsidRPr="002B3D21" w:rsidRDefault="004969AF" w:rsidP="004969AF">
      <w:pPr>
        <w:ind w:firstLine="567"/>
        <w:jc w:val="both"/>
        <w:rPr>
          <w:rFonts w:eastAsia="Calibri"/>
        </w:rPr>
      </w:pPr>
      <w:r w:rsidRPr="002B3D21">
        <w:rPr>
          <w:rFonts w:eastAsia="Calibri"/>
        </w:rPr>
        <w:t>Šio straipsnio nuostatomis mokesčių mokėtojams įtvirtinama galimybė į mokesčių bazę pajamas iš turto perkėlimo įtraukti keliais būdais, t. y. mokesčių mokėtojas gali:</w:t>
      </w:r>
    </w:p>
    <w:p w14:paraId="62A07D9C" w14:textId="77777777" w:rsidR="004969AF" w:rsidRPr="002B3D21" w:rsidRDefault="004969AF" w:rsidP="00EC4E29">
      <w:pPr>
        <w:numPr>
          <w:ilvl w:val="0"/>
          <w:numId w:val="64"/>
        </w:numPr>
        <w:spacing w:after="0" w:line="240" w:lineRule="auto"/>
        <w:contextualSpacing/>
        <w:jc w:val="both"/>
        <w:rPr>
          <w:rFonts w:eastAsia="Calibri"/>
        </w:rPr>
      </w:pPr>
      <w:r w:rsidRPr="002B3D21">
        <w:rPr>
          <w:rFonts w:eastAsia="Calibri"/>
        </w:rPr>
        <w:t>į mokesčių bazę įtraukti visas pajamas iš turto perkėlimo tą mokestinį laikotarpį, kai įvyko turto perkėlimo momentas, arba</w:t>
      </w:r>
    </w:p>
    <w:p w14:paraId="41FFA469" w14:textId="77777777" w:rsidR="004969AF" w:rsidRPr="002B3D21" w:rsidRDefault="004969AF" w:rsidP="00EC4E29">
      <w:pPr>
        <w:numPr>
          <w:ilvl w:val="0"/>
          <w:numId w:val="64"/>
        </w:numPr>
        <w:spacing w:after="0" w:line="240" w:lineRule="auto"/>
        <w:contextualSpacing/>
        <w:jc w:val="both"/>
        <w:rPr>
          <w:rFonts w:eastAsia="Calibri"/>
        </w:rPr>
      </w:pPr>
      <w:r w:rsidRPr="002B3D21">
        <w:rPr>
          <w:rFonts w:eastAsia="Calibri"/>
        </w:rPr>
        <w:t xml:space="preserve"> pajamas iš turto perkėlimo į mokesčių bazę įtraukti dalimis per 5 metus. </w:t>
      </w:r>
    </w:p>
    <w:p w14:paraId="075328B7" w14:textId="77777777" w:rsidR="004969AF" w:rsidRPr="002B3D21" w:rsidRDefault="004969AF" w:rsidP="004969AF">
      <w:pPr>
        <w:ind w:firstLine="567"/>
        <w:jc w:val="both"/>
        <w:rPr>
          <w:rFonts w:eastAsia="Calibri"/>
        </w:rPr>
      </w:pPr>
      <w:r w:rsidRPr="002B3D21">
        <w:rPr>
          <w:rFonts w:eastAsia="Calibri"/>
        </w:rPr>
        <w:t xml:space="preserve">Pasirinkusiems pajamas iš turto perkėlimo išdėstyti dalimis, nustatyta, kad pajamos išdėstomos lygiomis dalimis per 5 metų laikotarpį, skaičiuojant nuo turto perkėlimo pradžios. </w:t>
      </w:r>
    </w:p>
    <w:p w14:paraId="1C4D9C6B" w14:textId="77777777" w:rsidR="004969AF" w:rsidRPr="002B3D21" w:rsidRDefault="004969AF" w:rsidP="004969AF">
      <w:pPr>
        <w:ind w:firstLine="567"/>
        <w:jc w:val="both"/>
        <w:rPr>
          <w:rFonts w:eastAsia="Calibri"/>
        </w:rPr>
      </w:pPr>
      <w:r w:rsidRPr="002B3D21">
        <w:rPr>
          <w:rFonts w:eastAsia="Calibri"/>
        </w:rPr>
        <w:t>Pajamų išdėstymas dalimis nutraukiamas ir likusi neįtraukta pajamų dalis įtraukiama į to mokestinio laikotarpio pajamas, kai paaiškėja, kad:</w:t>
      </w:r>
    </w:p>
    <w:p w14:paraId="68768797" w14:textId="77777777" w:rsidR="004969AF" w:rsidRPr="002B3D21" w:rsidRDefault="004969AF" w:rsidP="004969AF">
      <w:pPr>
        <w:ind w:firstLine="567"/>
        <w:jc w:val="both"/>
        <w:rPr>
          <w:rFonts w:eastAsia="Calibri"/>
        </w:rPr>
      </w:pPr>
      <w:r w:rsidRPr="002B3D21">
        <w:rPr>
          <w:rFonts w:eastAsia="Calibri"/>
        </w:rPr>
        <w:t>1) perkeltas turtas yra parduodamas ar kitaip perleidžiamas nuosavybėn arba</w:t>
      </w:r>
    </w:p>
    <w:p w14:paraId="263C9A14" w14:textId="77777777" w:rsidR="004969AF" w:rsidRPr="002B3D21" w:rsidRDefault="004969AF" w:rsidP="004969AF">
      <w:pPr>
        <w:ind w:firstLine="567"/>
        <w:jc w:val="both"/>
        <w:rPr>
          <w:rFonts w:eastAsia="Calibri"/>
        </w:rPr>
      </w:pPr>
      <w:r w:rsidRPr="002B3D21">
        <w:rPr>
          <w:rFonts w:eastAsia="Calibri"/>
        </w:rPr>
        <w:t>2) perkeltas turtas per 5 metus nuo jo perkėlimo perkeliamas į ne Europos ekonominės erdvės valstybę arba Europos ekonominės erdvės valstybę, su kuria Lietuvos Respublika arba Europos Sąjunga nėra sudariusi susitarimo dėl savitarpio pagalbos išieškant mokesčius, kuri yra lygiavertė 2010 m. kovo 16 d. Tarybos direktyvoje 2010/24/ES dėl savitarpio pagalbos vykdant reikalavimus, susijusius su mokesčiais, muitais ir kitomis priemonėmis, numatytai savitarpio pagalbai, arba</w:t>
      </w:r>
    </w:p>
    <w:p w14:paraId="7DEFAC28" w14:textId="77777777" w:rsidR="004969AF" w:rsidRPr="002B3D21" w:rsidRDefault="004969AF" w:rsidP="004969AF">
      <w:pPr>
        <w:ind w:firstLine="567"/>
        <w:jc w:val="both"/>
        <w:rPr>
          <w:rFonts w:eastAsia="Calibri"/>
        </w:rPr>
      </w:pPr>
      <w:r w:rsidRPr="002B3D21">
        <w:rPr>
          <w:rFonts w:eastAsia="Calibri"/>
        </w:rPr>
        <w:t>3) turtą perkėlusiam vienetui pradėta bankroto arba likvidavimo procedūra. Taip pat tuo atveju, kai vienetas perkelia savo rezidavimo vietą, t. y. turto perkėlimas atitinka PMĮ 40</w:t>
      </w:r>
      <w:r w:rsidRPr="002B3D21">
        <w:rPr>
          <w:rFonts w:eastAsia="Calibri"/>
          <w:vertAlign w:val="superscript"/>
        </w:rPr>
        <w:t>2</w:t>
      </w:r>
      <w:r w:rsidRPr="002B3D21">
        <w:rPr>
          <w:rFonts w:eastAsia="Calibri"/>
        </w:rPr>
        <w:t xml:space="preserve"> straipsnio 1 dalies 3 punkte nustatytą turto perkėlimo atvejį, pajamų išdėstymas dalimis taip pat turi būti nutraukiamas, </w:t>
      </w:r>
      <w:r w:rsidRPr="002B3D21">
        <w:rPr>
          <w:rFonts w:eastAsia="Calibri"/>
        </w:rPr>
        <w:lastRenderedPageBreak/>
        <w:t>kai užsienio vienetui, kuriam turtą perdavė savo rezidavimo vietą perkėlęs Lietuvos vienetas, yra pradėta bankroto ar likvidavimo procedūra, arba</w:t>
      </w:r>
    </w:p>
    <w:p w14:paraId="6EAC71E4" w14:textId="77777777" w:rsidR="004969AF" w:rsidRPr="002B3D21" w:rsidRDefault="004969AF" w:rsidP="004969AF">
      <w:pPr>
        <w:ind w:firstLine="567"/>
        <w:jc w:val="both"/>
        <w:rPr>
          <w:rFonts w:eastAsia="Calibri"/>
        </w:rPr>
      </w:pPr>
      <w:r w:rsidRPr="002B3D21">
        <w:rPr>
          <w:rFonts w:eastAsia="Calibri"/>
        </w:rPr>
        <w:t>4) turtą perkėlęs vienetas neįvykdo pelno mokesčio prievolių per 12 mėnesių nuo Pelno mokesčio įstatymo 53 straipsnyje nustatytų pelno mokesčio sumokėjimo terminų.</w:t>
      </w:r>
    </w:p>
    <w:p w14:paraId="689A1F4D" w14:textId="77777777" w:rsidR="004969AF" w:rsidRPr="002B3D21" w:rsidRDefault="004969AF" w:rsidP="004969AF">
      <w:pPr>
        <w:ind w:firstLine="567"/>
        <w:jc w:val="both"/>
        <w:rPr>
          <w:rFonts w:eastAsia="Calibri"/>
        </w:rPr>
      </w:pPr>
      <w:r w:rsidRPr="002B3D21">
        <w:rPr>
          <w:bCs/>
        </w:rPr>
        <w:t>K</w:t>
      </w:r>
      <w:r w:rsidRPr="002B3D21">
        <w:t xml:space="preserve">ai mokesčių mokėtojas baigia veiklą Lietuvos Respublikoje perkeldamas turtą į užsienio valstybę </w:t>
      </w:r>
      <w:r w:rsidRPr="002B3D21">
        <w:rPr>
          <w:bCs/>
        </w:rPr>
        <w:t>PMĮ 40</w:t>
      </w:r>
      <w:r w:rsidRPr="002B3D21">
        <w:rPr>
          <w:bCs/>
          <w:vertAlign w:val="superscript"/>
        </w:rPr>
        <w:t>2</w:t>
      </w:r>
      <w:r w:rsidRPr="002B3D21">
        <w:rPr>
          <w:bCs/>
        </w:rPr>
        <w:t xml:space="preserve"> straipsnio 1 dalies 3-4 punktuose nustatytais atvejais</w:t>
      </w:r>
      <w:r w:rsidRPr="002B3D21">
        <w:t>, tai</w:t>
      </w:r>
      <w:r w:rsidRPr="002B3D21">
        <w:rPr>
          <w:rFonts w:eastAsia="Calibri"/>
        </w:rPr>
        <w:t xml:space="preserve"> mokesčių mokėtojo pasirinkimu, pajamų išdėstymas dalimis gali būti nutraukiamas, likusią neįtrauktą pajamų dalį įtraukiant į pasirinkto  mokestinio laikotarpio (sutampančio su veiklos Lietuvos Respublikoje pabaiga ar kito, neperžengiant PMĮ </w:t>
      </w:r>
      <w:r w:rsidRPr="002B3D21">
        <w:rPr>
          <w:bCs/>
        </w:rPr>
        <w:t>40</w:t>
      </w:r>
      <w:r w:rsidRPr="002B3D21">
        <w:rPr>
          <w:bCs/>
          <w:vertAlign w:val="superscript"/>
        </w:rPr>
        <w:t>2</w:t>
      </w:r>
      <w:r w:rsidRPr="002B3D21">
        <w:rPr>
          <w:bCs/>
        </w:rPr>
        <w:t xml:space="preserve"> straipsnio 4 dalyje nustatyto 5 metų termino)</w:t>
      </w:r>
      <w:r w:rsidRPr="002B3D21">
        <w:rPr>
          <w:rFonts w:eastAsia="Calibri"/>
        </w:rPr>
        <w:t xml:space="preserve"> pajamas,</w:t>
      </w:r>
      <w:r w:rsidRPr="002B3D21">
        <w:rPr>
          <w:rFonts w:eastAsia="Calibri"/>
          <w:b/>
        </w:rPr>
        <w:t xml:space="preserve"> </w:t>
      </w:r>
      <w:r w:rsidRPr="002B3D21">
        <w:rPr>
          <w:rFonts w:eastAsia="Calibri"/>
        </w:rPr>
        <w:t xml:space="preserve">arba pajamų išdėstymas dalimis gali būti tęsiamas visu 5 metų laikotarpiu iki kol visa turto perkėlimo pajamų suma bus įtraukta į pajamas ir atitinkamai apmokestinta. </w:t>
      </w:r>
    </w:p>
    <w:p w14:paraId="7BAFC754" w14:textId="77777777" w:rsidR="004969AF" w:rsidRPr="002B3D21" w:rsidRDefault="004969AF" w:rsidP="004969AF">
      <w:pPr>
        <w:ind w:firstLine="567"/>
        <w:jc w:val="both"/>
        <w:rPr>
          <w:rFonts w:eastAsia="Calibri"/>
        </w:rPr>
      </w:pPr>
      <w:r w:rsidRPr="002B3D21">
        <w:rPr>
          <w:rFonts w:eastAsia="Calibri"/>
        </w:rPr>
        <w:t>Mokesčių mokėtojui pasirinkus pajamas iš turto perkėlimo į mokesčių bazę įtraukti dalimis per trumpesnį nei 5 metų laikotarpį, neatsižvelgiant į pasirinktą trumpesnį laikotarpį, pajamos išdėstomos lygiomis dalimis 5 metų laikotarpiui, su galimybe likusią neįtrauktą pajamų dalį įtraukti į paskutinio planuojamo (pasirinkto) trumpesnio nei 5 metai mokestinio laikotarpio pajamas.</w:t>
      </w:r>
    </w:p>
    <w:p w14:paraId="217ED31C" w14:textId="77777777" w:rsidR="004969AF" w:rsidRPr="002B3D21" w:rsidRDefault="004969AF" w:rsidP="004969AF">
      <w:pPr>
        <w:ind w:firstLine="567"/>
        <w:jc w:val="both"/>
        <w:rPr>
          <w:rFonts w:eastAsia="Calibri"/>
          <w:bCs/>
        </w:rPr>
      </w:pPr>
      <w:r w:rsidRPr="002B3D21">
        <w:rPr>
          <w:rFonts w:eastAsia="Calibri"/>
          <w:bCs/>
        </w:rPr>
        <w:t>Mokesčių mokėtojas, pildydamas metinę pelno mokesčio deklaraciją, atitinkamame  laukelyje pažymi pasirinktą turto perkėlimo pajamų įtraukimo į mokesčių bazę būdą: visos turto perkėlimo pajamos įtraukiamos į deklaruojamas mokestinio laikotarpio pajamas arba pajamos įtraukiamos į mokestinio laikotarpio pajamas lygiomis dalimis per 5 metus, arba pasirinkus mokėti lygiomis dalimis per 5 metus, toks mokėjimas nutraukiamas.</w:t>
      </w:r>
    </w:p>
    <w:p w14:paraId="19759ABD" w14:textId="77777777" w:rsidR="004969AF" w:rsidRPr="002B3D21" w:rsidRDefault="004969AF" w:rsidP="004969AF">
      <w:pPr>
        <w:ind w:firstLine="567"/>
        <w:jc w:val="both"/>
        <w:rPr>
          <w:rFonts w:eastAsia="Calibri"/>
        </w:rPr>
      </w:pPr>
      <w:r w:rsidRPr="002B3D21">
        <w:rPr>
          <w:rFonts w:eastAsia="Calibri"/>
        </w:rPr>
        <w:t>Pavyzdžiai</w:t>
      </w:r>
    </w:p>
    <w:p w14:paraId="4FBDF5AA"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 xml:space="preserve">1. Lietuvos vieneto veikla yra prekyba. Vystydamas veiklą Lietuvos vienetas 2020-01-23 įregistravo užsienio valstybėje nuolatinę buveinę. Lietuvos vienetas nuolatinės buveinės užsienio valstybėje veiklos vykdymui perkėlė materialųjį turtą (automobilius). Atsižvelgiant į tai, kad toks materialaus turto perkėlimas yra laikomas turto perkėlimu iš Lietuvos Respublikos, o pajamos iš tokio turto perkėlimo apmokestinamos pelno mokesčiu, Lietuvos vienetas turto perkėlimo momentu, t. y. tarkime 2020-02-27,  apskaičiavo 100 000 eurų turto vertės padidėjimo pajamų kaip turto perkėlimo pajamas. </w:t>
      </w:r>
    </w:p>
    <w:p w14:paraId="45864CA8"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Tuo atveju, jeigu Lietuvos vienetas, pateikdamas pelno mokesčio deklaraciją už 2020 mokestinius metus, nepasirinks galimybės išdėstyti turto perkėlimo pajamas dalimis, tai visa turto perkėlimo pajamų suma, t. y. 100 000 eurų įtraukiama į 2020 mokestinių metų pelno mokesčio bazę.</w:t>
      </w:r>
    </w:p>
    <w:p w14:paraId="4C3790F6"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r w:rsidRPr="002B3D21">
        <w:rPr>
          <w:rFonts w:eastAsia="Calibri"/>
        </w:rPr>
        <w:t>Jeigu Lietuvos vienetas, pateikdamas pelno mokesčio deklaraciją už 2020 mokestinius metus, pasirinks galimybę išdėstyti turto perkėlimo pajamas dalimis per 5 metus, tai apskaičiuota 100 000 eurų turto vertės padidėjimo pajamų suma bus įtraukiama į 2020-2024 mokestinių metų pelno mokesčio bazę lygiomis dalimis, t. y. po 20 000 eurų.</w:t>
      </w:r>
      <w:r w:rsidRPr="002B3D21">
        <w:t xml:space="preserve"> </w:t>
      </w:r>
    </w:p>
    <w:p w14:paraId="0AC11599"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Tarkime, kad 2022-02-18 Lietuvos vienetui suteiktas likviduojamos įmonės statusas. Šiuo atveju, (tuo mokestiniu laikotarpiu kai vienetui suteiktas likviduojamos įmonės statusas), turto vertės padidėjimo pajamų išdėstymas dalimis nutraukiamas ir likusi neįtraukta pajamų dalis įtraukiama į to mokestinio laikotarpio, kai paaiškėjo šis faktas, pajamas, t. y. į 2022 mokestinių metų pelno mokesčio bazę įtraukiama 60 000 eurų turto perkėlimo pajamų.</w:t>
      </w:r>
    </w:p>
    <w:p w14:paraId="2C663519"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 xml:space="preserve">2. Užsienio vienetas, vykdantis veiklą Lietuvos Respublikoje per nuolatinę buveinę, nusprendė 2021 metais baigti veiklą Lietuvos Respublikoje ir visą esantį turtą perkelti į užsienio valstybę, kurioje užsienio vienetas yra </w:t>
      </w:r>
      <w:r w:rsidRPr="002B3D21">
        <w:rPr>
          <w:bCs/>
        </w:rPr>
        <w:t>rezidentas mokesčių tikslais.</w:t>
      </w:r>
      <w:r w:rsidRPr="002B3D21">
        <w:rPr>
          <w:rFonts w:eastAsia="Calibri"/>
        </w:rPr>
        <w:t xml:space="preserve"> Toks turto perkėlimas yra laikomas turto perkėlimu iš Lietuvos Respublikos ir apmokestinamas pelno mokesčiu. Dalis turto (tarkime pastatas, </w:t>
      </w:r>
      <w:r w:rsidRPr="002B3D21">
        <w:rPr>
          <w:rFonts w:eastAsia="Calibri"/>
        </w:rPr>
        <w:lastRenderedPageBreak/>
        <w:t>kompiuteriai, baldai ir dalis prekių) buvo parduota Lietuvoje (minėto turto pardavimo pajamos apmokestinamos bendra PMĮ nustatyta tvarka), o kita likusi dalis 2021-10-06 buvo perkelta į užsienio valstybę. Užsienio vienetas, vykdantis veiklą Lietuvos Respublikoje per nuolatinę buveinę nusprendė visas turto perkėlimo pajamas į mokesčio bazę įtraukti turto perkėlimo momentu (2021 metais). Pateikdamas paskutinio mokestinio laikotarpio metinę pelno mokesčio deklaraciją už 2021 metus, užsienio vienetas, vykdantis veiklą Lietuvos Respublikoje per nuolatinę buveinę visą turto perkėlimo sumą turi deklaruoti pateikiamoje paskutinio mokestinio laikotarpio metinėje pelno mokesčio deklaracijoje (pateikiama PMĮ 51 str. nustatytais terminais (per 30 dienų nuo veiklos pabaigos) ir sumokėti pelno mokestį PMĮ 53 str. nustatyta tvarka (ne vėliau kaip deklaracijos pateikimo termino pabaigos dieną).</w:t>
      </w:r>
    </w:p>
    <w:p w14:paraId="680FC17E"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567"/>
        </w:tabs>
        <w:ind w:firstLine="567"/>
        <w:jc w:val="both"/>
        <w:rPr>
          <w:rFonts w:eastAsia="Calibri"/>
        </w:rPr>
      </w:pPr>
      <w:r w:rsidRPr="002B3D21">
        <w:rPr>
          <w:rFonts w:eastAsia="Calibri"/>
        </w:rPr>
        <w:t>3. Jeigu 2 pavyzdžio atveju užsienio vienetas, vykdantis veiklą Lietuvos Respublikoje per nuolatinę buveinę nuspręstų pasirinkti turto perkėlimo pajamas išdėstyti lygiomis dalimis per 5 metų laikotarpį, tai jis privalėtų pateikti pelno mokesčio deklaracijas už ateinančius 5 metus (2021, 2022, 2023, 2024, 2025), kiekvienais metais į mokesčio bazę įtraukiant atitinkamą turto perkėlimo pajamų dalį. Iš Mokesčių mokėtojų registro toks užsienio vienetas galės būti išregistruotas tik tada, kai jam nebebus taikomos Lietuvos Respublikos pelno mokesčio įstatymo nuostatos, t. y.  ne anksčiau kaip 2025 metais.</w:t>
      </w:r>
    </w:p>
    <w:p w14:paraId="3F7EEE91" w14:textId="77777777" w:rsidR="004969AF" w:rsidRPr="002B3D21" w:rsidRDefault="004969AF" w:rsidP="004969AF">
      <w:pPr>
        <w:pBdr>
          <w:top w:val="single" w:sz="4" w:space="1" w:color="auto"/>
          <w:left w:val="single" w:sz="4" w:space="4" w:color="auto"/>
          <w:bottom w:val="single" w:sz="4" w:space="1" w:color="auto"/>
          <w:right w:val="single" w:sz="4" w:space="4" w:color="auto"/>
        </w:pBdr>
        <w:tabs>
          <w:tab w:val="left" w:pos="784"/>
        </w:tabs>
        <w:ind w:firstLine="567"/>
        <w:jc w:val="both"/>
        <w:rPr>
          <w:rFonts w:eastAsia="Calibri"/>
        </w:rPr>
      </w:pPr>
      <w:r w:rsidRPr="002B3D21">
        <w:rPr>
          <w:rFonts w:eastAsia="Calibri"/>
        </w:rPr>
        <w:t xml:space="preserve">4. Tarkime, mokesčių mokėtojas 2020 metais apskaičiavo pajamas iš turto perkėlimo, kurias nusprendė į mokesčių bazę įtraukti per 3 mokestinius laikotarpius. Šiuo atveju, deklaruodamas apmokestinamąjį pelną už 2020 mokestinius metus, deklaruos 1/5; už 2021 metus – 1/5 ir už 2022 metus – 3/5 turto perkėlimo pajamų.  </w:t>
      </w:r>
    </w:p>
    <w:p w14:paraId="03930AD2" w14:textId="77777777" w:rsidR="004969AF" w:rsidRPr="002B3D21" w:rsidRDefault="004969AF" w:rsidP="004969AF">
      <w:pPr>
        <w:pBdr>
          <w:top w:val="single" w:sz="4" w:space="1" w:color="auto"/>
          <w:left w:val="single" w:sz="4" w:space="4" w:color="auto"/>
          <w:bottom w:val="single" w:sz="4" w:space="1" w:color="auto"/>
          <w:right w:val="single" w:sz="4" w:space="4" w:color="auto"/>
        </w:pBdr>
        <w:ind w:firstLine="567"/>
        <w:jc w:val="both"/>
        <w:rPr>
          <w:rFonts w:eastAsia="Calibri"/>
        </w:rPr>
      </w:pPr>
    </w:p>
    <w:p w14:paraId="3B12BB1C" w14:textId="77777777" w:rsidR="00806B68" w:rsidRDefault="00806B68" w:rsidP="00806B68">
      <w:pPr>
        <w:spacing w:before="100" w:beforeAutospacing="1" w:after="100" w:afterAutospacing="1"/>
        <w:ind w:firstLine="720"/>
        <w:jc w:val="both"/>
        <w:rPr>
          <w:b/>
        </w:rPr>
      </w:pPr>
      <w:bookmarkStart w:id="555" w:name="part_27f51b6d3b524a99a710765ce4f71892"/>
      <w:bookmarkEnd w:id="555"/>
      <w:r w:rsidRPr="004969AF">
        <w:rPr>
          <w:b/>
        </w:rPr>
        <w:t xml:space="preserve">5. Šio straipsnio nuostatos netaikomos turto perkėlimui trumpesniam kaip 12 mėnesių laikotarpiui, kai turtas perkeliamas vertybiniams popieriams finansuoti arba kaip užstatas (avansas), arba siekiant įvykdyti kapitalo reikalavimus dėl rizikos ribojimo, arba likvidumo valdymo tikslais. </w:t>
      </w:r>
    </w:p>
    <w:p w14:paraId="58A0EA13" w14:textId="77777777" w:rsidR="004969AF" w:rsidRPr="002B3D21" w:rsidRDefault="004969AF" w:rsidP="004969AF">
      <w:pPr>
        <w:ind w:firstLine="567"/>
        <w:jc w:val="both"/>
        <w:rPr>
          <w:rFonts w:eastAsia="Calibri"/>
          <w:b/>
        </w:rPr>
      </w:pPr>
      <w:r w:rsidRPr="002B3D21">
        <w:rPr>
          <w:rFonts w:eastAsia="Calibri"/>
          <w:b/>
        </w:rPr>
        <w:t>Komentaras</w:t>
      </w:r>
    </w:p>
    <w:p w14:paraId="3040D0FE" w14:textId="77777777" w:rsidR="004969AF" w:rsidRDefault="004969AF" w:rsidP="004969AF">
      <w:pPr>
        <w:spacing w:before="100" w:beforeAutospacing="1" w:after="100" w:afterAutospacing="1"/>
        <w:ind w:firstLine="720"/>
        <w:jc w:val="both"/>
      </w:pPr>
      <w:r w:rsidRPr="002B3D21">
        <w:rPr>
          <w:lang w:eastAsia="lt-LT"/>
        </w:rPr>
        <w:t>Turto perkėlimo apmokestinimo taisyklės netaikomos tais atvejais, kai perkėlimas yra laikinas, t. y. trumpesniam kaip 12 mėnesių laikotarpiui, tačiau tik tais atvejais, kai turtas perkeliamas vertybiniams popieriams finansuoti arba kaip užstatas, arba siekiant įvykdyti kapitalo reikalavimus dėl rizikos ribojimo, arba likvidumo valdymo tikslai</w:t>
      </w:r>
      <w:r w:rsidRPr="004969AF">
        <w:rPr>
          <w:lang w:eastAsia="lt-LT"/>
        </w:rPr>
        <w:t>s</w:t>
      </w:r>
      <w:r w:rsidRPr="004969AF">
        <w:t>.</w:t>
      </w:r>
    </w:p>
    <w:p w14:paraId="419E5DF1" w14:textId="77777777" w:rsidR="004969AF" w:rsidRDefault="004969AF" w:rsidP="004969AF">
      <w:pPr>
        <w:spacing w:before="100" w:beforeAutospacing="1" w:after="100" w:afterAutospacing="1"/>
        <w:jc w:val="both"/>
      </w:pPr>
      <w:r>
        <w:t>(Papildyta pagal VMI prie FM 2020-11-11 raštą Nr. (18.10-31-1E) RM-57235</w:t>
      </w:r>
      <w:r w:rsidR="003F6371">
        <w:t>)</w:t>
      </w:r>
    </w:p>
    <w:p w14:paraId="7386ACD5" w14:textId="77777777" w:rsidR="004969AF" w:rsidRPr="004969AF" w:rsidRDefault="004969AF" w:rsidP="004969AF">
      <w:pPr>
        <w:spacing w:before="100" w:beforeAutospacing="1" w:after="100" w:afterAutospacing="1"/>
        <w:ind w:firstLine="720"/>
        <w:jc w:val="both"/>
        <w:rPr>
          <w:b/>
        </w:rPr>
      </w:pPr>
    </w:p>
    <w:bookmarkEnd w:id="543"/>
    <w:p w14:paraId="10A14FC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r>
        <w:rPr>
          <w:rFonts w:ascii="Times New Roman" w:hAnsi="Times New Roman"/>
          <w:b/>
          <w:bCs/>
          <w:sz w:val="24"/>
          <w:lang w:val="lt-LT"/>
        </w:rPr>
        <w:t>IX SKYRIUS</w:t>
      </w:r>
    </w:p>
    <w:p w14:paraId="177D7A01"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p>
    <w:p w14:paraId="43BE388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4"/>
          <w:lang w:val="lt-LT"/>
        </w:rPr>
      </w:pPr>
      <w:r>
        <w:rPr>
          <w:rFonts w:ascii="Times New Roman" w:hAnsi="Times New Roman"/>
          <w:b/>
          <w:bCs/>
          <w:sz w:val="24"/>
          <w:lang w:val="lt-LT"/>
        </w:rPr>
        <w:t>REORGANIZAVIMO, PERLEIDIMO, LIKVIDAVIMO PASKIRŲ ATVEJŲ APMOKESTINIMAS, TURTO VERTĖS PAJAMŲ BEI NUOSTOLIŲ PRIPAŽINIMAS TAM TIKRAIS REORGANIZAVIMO, LIKVIDAVIMO, PERLEIDIMO ATVEJAIS</w:t>
      </w:r>
    </w:p>
    <w:p w14:paraId="738A72E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sz w:val="24"/>
          <w:lang w:val="lt-LT"/>
        </w:rPr>
      </w:pPr>
    </w:p>
    <w:p w14:paraId="21679B35" w14:textId="77777777" w:rsidR="00093845" w:rsidRDefault="000D779E" w:rsidP="008D4A3C">
      <w:pPr>
        <w:pStyle w:val="Antrat1"/>
        <w:spacing w:after="0"/>
        <w:jc w:val="both"/>
        <w:rPr>
          <w:rFonts w:ascii="Times New Roman" w:hAnsi="Times New Roman" w:cs="Times New Roman"/>
          <w:bCs w:val="0"/>
          <w:lang w:val="lt-LT"/>
        </w:rPr>
      </w:pPr>
      <w:bookmarkStart w:id="556" w:name="_41_straipsnis._Reorganizavimo"/>
      <w:bookmarkEnd w:id="556"/>
      <w:r>
        <w:rPr>
          <w:rFonts w:ascii="Times New Roman" w:hAnsi="Times New Roman" w:cs="Times New Roman"/>
          <w:bCs w:val="0"/>
          <w:lang w:val="lt-LT"/>
        </w:rPr>
        <w:lastRenderedPageBreak/>
        <w:t>41 STRAIPSNIS. Reorganizavimo ir perleidimo dalyviai ir atvejai</w:t>
      </w:r>
    </w:p>
    <w:p w14:paraId="1EBA0138" w14:textId="77777777" w:rsidR="002A1636" w:rsidRDefault="002A1636" w:rsidP="002A1636">
      <w:pPr>
        <w:rPr>
          <w:lang w:val="lt-LT"/>
        </w:rPr>
      </w:pPr>
    </w:p>
    <w:p w14:paraId="20B319E9" w14:textId="77777777" w:rsidR="005D2C41" w:rsidRPr="0031383F" w:rsidRDefault="005D2C41" w:rsidP="005D2C41">
      <w:pPr>
        <w:pStyle w:val="tajtip"/>
        <w:spacing w:before="0" w:beforeAutospacing="0" w:after="0" w:afterAutospacing="0"/>
        <w:jc w:val="both"/>
        <w:rPr>
          <w:b/>
        </w:rPr>
      </w:pPr>
      <w:r w:rsidRPr="0031383F">
        <w:rPr>
          <w:b/>
        </w:rPr>
        <w:t xml:space="preserve">1. Vienetų, jų dalyvių pajamos bei nuostoliai kituose šio skyriaus straipsniuose nustatyta tvarka pripažįstami šiame straipsnyje nustatytais reorganizavimo ar perleidimo atvejais, kai: </w:t>
      </w:r>
    </w:p>
    <w:p w14:paraId="11F5C7CE" w14:textId="385F8F9E" w:rsidR="005D2C41" w:rsidRPr="007E08F1" w:rsidRDefault="007E08F1" w:rsidP="005D2C41">
      <w:pPr>
        <w:tabs>
          <w:tab w:val="left" w:pos="720"/>
          <w:tab w:val="left" w:pos="1077"/>
          <w:tab w:val="left" w:pos="1418"/>
        </w:tabs>
        <w:spacing w:after="0"/>
        <w:jc w:val="both"/>
        <w:rPr>
          <w:bCs/>
          <w:i/>
          <w:lang w:val="lt-LT"/>
        </w:rPr>
      </w:pPr>
      <w:r>
        <w:rPr>
          <w:bCs/>
          <w:i/>
          <w:lang w:val="lt-LT"/>
        </w:rPr>
        <w:tab/>
      </w:r>
      <w:r w:rsidR="005D2C41" w:rsidRPr="007E08F1">
        <w:rPr>
          <w:bCs/>
          <w:i/>
          <w:lang w:val="lt-LT"/>
        </w:rPr>
        <w:t xml:space="preserve">(Pagal 2025 m. birželio 17  d. įstatymo Nr.  </w:t>
      </w:r>
      <w:r w:rsidR="005D2C41" w:rsidRPr="007E08F1">
        <w:rPr>
          <w:i/>
          <w:color w:val="000000"/>
          <w:lang w:val="lt-LT"/>
        </w:rPr>
        <w:t>XV-285</w:t>
      </w:r>
      <w:r w:rsidR="005D2C41" w:rsidRPr="007E08F1">
        <w:rPr>
          <w:i/>
          <w:lang w:val="lt-LT"/>
        </w:rPr>
        <w:t xml:space="preserve"> </w:t>
      </w:r>
      <w:r w:rsidR="005D2C41" w:rsidRPr="007E08F1">
        <w:rPr>
          <w:bCs/>
          <w:i/>
          <w:lang w:val="lt-LT"/>
        </w:rPr>
        <w:t>redakciją; taikoma apskaičiuojant 2026 metais prasidėjusio ir vėlesnių mokestinių laikotarpių apmokestinamąjį pelną)</w:t>
      </w:r>
    </w:p>
    <w:p w14:paraId="33A3925F" w14:textId="25330B4C" w:rsidR="007E08F1" w:rsidRPr="007E08F1" w:rsidRDefault="007E08F1" w:rsidP="005D2C41">
      <w:pPr>
        <w:tabs>
          <w:tab w:val="left" w:pos="720"/>
          <w:tab w:val="left" w:pos="1077"/>
          <w:tab w:val="left" w:pos="1418"/>
        </w:tabs>
        <w:spacing w:after="0"/>
        <w:jc w:val="both"/>
        <w:rPr>
          <w:bCs/>
          <w:i/>
          <w:lang w:val="lt-LT"/>
        </w:rPr>
      </w:pPr>
    </w:p>
    <w:p w14:paraId="324532B5" w14:textId="23B72A43" w:rsidR="007E08F1" w:rsidRPr="0031383F" w:rsidRDefault="007E08F1" w:rsidP="005D2C41">
      <w:pPr>
        <w:tabs>
          <w:tab w:val="left" w:pos="720"/>
          <w:tab w:val="left" w:pos="1077"/>
          <w:tab w:val="left" w:pos="1418"/>
        </w:tabs>
        <w:spacing w:after="0"/>
        <w:jc w:val="both"/>
        <w:rPr>
          <w:b/>
          <w:bCs/>
          <w:i/>
          <w:lang w:val="lt-LT"/>
        </w:rPr>
      </w:pPr>
      <w:r w:rsidRPr="00964542">
        <w:rPr>
          <w:b/>
          <w:bCs/>
        </w:rPr>
        <w:t>Komentaras</w:t>
      </w:r>
    </w:p>
    <w:p w14:paraId="78073D09" w14:textId="451565B5" w:rsidR="005D2C41" w:rsidRPr="007E08F1" w:rsidRDefault="005D2C41" w:rsidP="007E08F1">
      <w:pPr>
        <w:pStyle w:val="tajtip"/>
        <w:rPr>
          <w:i/>
        </w:rPr>
      </w:pPr>
      <w:r w:rsidRPr="0031383F">
        <w:t> </w:t>
      </w:r>
      <w:r w:rsidR="007E08F1">
        <w:tab/>
      </w:r>
      <w:r w:rsidRPr="0031383F">
        <w:rPr>
          <w:b/>
        </w:rPr>
        <w:t>1) vienetų turtas, teisės ir pareigos perleidžiamos tarp Lietuvos vienetų, kurių apmokestinamasis pelnas yra apmokestinamas taikant šio Įstatymo 5 straipsnyje nustatytus 17 arba 7 procentų mokesčio tarifus, arba tarp užsienio vienetų – Europos Sąjungos valstybių narių rezidentų mokesčių tikslais, Europos Sąjungos valstybėse narėse turinčių verslo organizavimo formą, nurodytą 1990 m. liepos 23 d. Tarybos direktyvos 90/434/EB dėl bendros mokesčių sistemos, taikomos įvairių valstybių narių įmonių jungimui, skaidymui, turto perleidimui ir keitimuisi akcijomis, (toliau – Direktyva 90/434/EB) priede, ir esančių Direktyvos 90/434/EB 3 straipsnio c punkte nustatytų mokesčių mokėtojais, arba</w:t>
      </w:r>
      <w:r w:rsidRPr="0031383F">
        <w:rPr>
          <w:b/>
          <w:bCs/>
          <w:i/>
        </w:rPr>
        <w:t xml:space="preserve">(Pagal </w:t>
      </w:r>
      <w:r w:rsidR="007E08F1">
        <w:rPr>
          <w:b/>
          <w:bCs/>
          <w:i/>
        </w:rPr>
        <w:tab/>
      </w:r>
      <w:r w:rsidRPr="007E08F1">
        <w:rPr>
          <w:bCs/>
          <w:i/>
        </w:rPr>
        <w:t xml:space="preserve">2025 m. birželio 17  d. įstatymo Nr.  </w:t>
      </w:r>
      <w:r w:rsidRPr="007E08F1">
        <w:rPr>
          <w:i/>
          <w:color w:val="000000"/>
        </w:rPr>
        <w:t>XV-285</w:t>
      </w:r>
      <w:r w:rsidRPr="007E08F1">
        <w:rPr>
          <w:i/>
        </w:rPr>
        <w:t xml:space="preserve"> </w:t>
      </w:r>
      <w:r w:rsidRPr="007E08F1">
        <w:rPr>
          <w:bCs/>
          <w:i/>
        </w:rPr>
        <w:t>redakciją; taikoma apskaičiuojant 2026 metais prasidėjusio ir vėlesnių mokestinių laikotarpių apmokestinamąjį pelną)</w:t>
      </w:r>
    </w:p>
    <w:p w14:paraId="48BD6B2B" w14:textId="77777777" w:rsidR="005D2C41" w:rsidRPr="0031383F" w:rsidRDefault="005D2C41" w:rsidP="005D2C41">
      <w:pPr>
        <w:pStyle w:val="Pagrindiniotekstotrauka2"/>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rPr>
      </w:pPr>
      <w:r w:rsidRPr="0031383F">
        <w:rPr>
          <w:bCs w:val="0"/>
        </w:rPr>
        <w:t xml:space="preserve">Pastaba. </w:t>
      </w:r>
      <w:r w:rsidRPr="0031383F">
        <w:rPr>
          <w:b w:val="0"/>
        </w:rPr>
        <w:t xml:space="preserve">Direktyva 90/434/EB buvo keletą kartų iš esmės keičiama todėl, remiantis Europos Komisijos pasiūlymu, ji buvo kodifikuota, integruojant visus pakeitimus į vientisą dokumentą. </w:t>
      </w:r>
      <w:r w:rsidRPr="0031383F">
        <w:rPr>
          <w:b w:val="0"/>
          <w:bCs w:val="0"/>
          <w:color w:val="333333"/>
          <w:sz w:val="27"/>
          <w:szCs w:val="27"/>
          <w:shd w:val="clear" w:color="auto" w:fill="FFFFFF"/>
        </w:rPr>
        <w:t>2009 m. spalio 19 d.</w:t>
      </w:r>
      <w:r w:rsidRPr="0031383F">
        <w:rPr>
          <w:b w:val="0"/>
        </w:rPr>
        <w:t xml:space="preserve"> priimta nauja Tarybos direktyva 2009/133/EB dėl bendros mokesčių sistemos, taikomos įvairių valstybių narių įmonių jungimui, skaidymui, daliniam skaidymui, turto perleidimui bei keitimuisi akcijomis, ir SE arba SCE registruotos buveinės perkėlimui iš vienos valstybės narės į kitą (kodifikuota redakcija). Naujoji direktyva nepakeitė Direktyvos 90/434/EB ir jos vėlesnių pakeitimų turinio (atlikti tik kodifikavimui būtini formos pakeitimai). Nuorodos į Direktyvą 90/434/EB laikomos nuorodomis į Direktyvą 2009/133/EB ir turi būti vertinamos pagal jos III priede pateiktą atitikmenų lentelę (dėl kodifikacijos pasikeitė kai kurių Direktyvos 2009/133/EB straipsnių, jų dalių ir punktų numeracija). </w:t>
      </w:r>
    </w:p>
    <w:p w14:paraId="25C535DA" w14:textId="77777777" w:rsidR="005D2C41" w:rsidRPr="0031383F" w:rsidRDefault="005D2C41" w:rsidP="005D2C41">
      <w:pPr>
        <w:pStyle w:val="Pagrindiniotekstotrauka2"/>
      </w:pPr>
      <w:r w:rsidRPr="0031383F">
        <w:t>Komentaras</w:t>
      </w:r>
    </w:p>
    <w:p w14:paraId="19AFAEE2"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1. PMĮ IX skyriaus nuostatos taip pat taikomos, kai turto, teisių ar pareigų perleidimas PMĮ 41 str. 2 dalyje išvardytais reorganizavimo ir perleidimo atvejais vykdomas tarp užsienio vienetų. </w:t>
      </w:r>
    </w:p>
    <w:p w14:paraId="03D4E0E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2. Vienetų ir jų dalyvių turto vertės padidėjimo pajamos bei nuostoliai PMĮ IX skyriuje nustatyta tvarka pripažįstami PMĮ 41 str. 2 dalyje išvardytais reorganizavimo ir perleidimo atvejais, kai turto, teisių ar pareigų perleidimas vyksta:</w:t>
      </w:r>
    </w:p>
    <w:p w14:paraId="18C4DEBA"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w:t>
      </w:r>
      <w:r w:rsidRPr="0031383F">
        <w:rPr>
          <w:rFonts w:ascii="Times New Roman" w:hAnsi="Times New Roman" w:cs="Times New Roman"/>
          <w:bCs/>
          <w:sz w:val="24"/>
          <w:szCs w:val="24"/>
          <w:lang w:val="lt-LT"/>
        </w:rPr>
        <w:t>tarp</w:t>
      </w:r>
      <w:r w:rsidRPr="0031383F">
        <w:rPr>
          <w:rFonts w:ascii="Times New Roman" w:hAnsi="Times New Roman" w:cs="Times New Roman"/>
          <w:sz w:val="24"/>
          <w:szCs w:val="24"/>
          <w:lang w:val="lt-LT"/>
        </w:rPr>
        <w:t xml:space="preserve"> </w:t>
      </w:r>
      <w:r w:rsidRPr="0031383F">
        <w:rPr>
          <w:rFonts w:ascii="Times New Roman" w:hAnsi="Times New Roman" w:cs="Times New Roman"/>
          <w:bCs/>
          <w:sz w:val="24"/>
          <w:szCs w:val="24"/>
          <w:lang w:val="lt-LT"/>
        </w:rPr>
        <w:t>Lietuvos vienetų</w:t>
      </w:r>
      <w:r w:rsidRPr="0031383F">
        <w:rPr>
          <w:rFonts w:ascii="Times New Roman" w:hAnsi="Times New Roman" w:cs="Times New Roman"/>
          <w:sz w:val="24"/>
          <w:szCs w:val="24"/>
          <w:lang w:val="lt-LT"/>
        </w:rPr>
        <w:t xml:space="preserve">, kurių apmokestinamasis pelnas, remiantis PMĮ 5 straipsniu, apmokestinamas taikant </w:t>
      </w:r>
      <w:r w:rsidRPr="0031383F">
        <w:rPr>
          <w:rFonts w:ascii="Times New Roman" w:hAnsi="Times New Roman" w:cs="Times New Roman"/>
          <w:bCs/>
          <w:sz w:val="24"/>
          <w:szCs w:val="24"/>
          <w:lang w:val="lt-LT"/>
        </w:rPr>
        <w:t>17 arba 7 procentų</w:t>
      </w:r>
      <w:r w:rsidRPr="0031383F">
        <w:rPr>
          <w:rFonts w:ascii="Times New Roman" w:hAnsi="Times New Roman" w:cs="Times New Roman"/>
          <w:sz w:val="24"/>
          <w:szCs w:val="24"/>
          <w:lang w:val="lt-LT"/>
        </w:rPr>
        <w:t xml:space="preserve"> mokesčio tarifą, arba</w:t>
      </w:r>
    </w:p>
    <w:p w14:paraId="53A1531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tarp užsienio vienetų – ES valstybių narių rezidentų mokesčių tikslais, ES valstybėse narėse turinčių </w:t>
      </w:r>
      <w:r w:rsidRPr="0031383F">
        <w:rPr>
          <w:rFonts w:ascii="Times New Roman" w:hAnsi="Times New Roman" w:cs="Times New Roman"/>
          <w:bCs/>
          <w:sz w:val="24"/>
          <w:szCs w:val="24"/>
          <w:lang w:val="lt-LT"/>
        </w:rPr>
        <w:t>Direktyvos 90/434/EB</w:t>
      </w:r>
      <w:r w:rsidRPr="0031383F">
        <w:rPr>
          <w:rFonts w:ascii="Times New Roman" w:hAnsi="Times New Roman" w:cs="Times New Roman"/>
          <w:sz w:val="24"/>
          <w:szCs w:val="24"/>
          <w:lang w:val="lt-LT"/>
        </w:rPr>
        <w:t xml:space="preserve"> priede nurodytą verslo organizavimo formą, ir kurie yra Direktyvos 90/434/EB 3 straipsnio c punkte nustatytų mokesčių mokėtojai.</w:t>
      </w:r>
    </w:p>
    <w:p w14:paraId="6EFEA606"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Šio punkto nuostatos taikomos:</w:t>
      </w:r>
    </w:p>
    <w:p w14:paraId="3A34253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i/>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Lietuvos vienetams</w:t>
      </w:r>
      <w:r w:rsidRPr="0031383F">
        <w:rPr>
          <w:rFonts w:ascii="Times New Roman" w:hAnsi="Times New Roman" w:cs="Times New Roman"/>
          <w:sz w:val="24"/>
          <w:szCs w:val="24"/>
          <w:lang w:val="lt-LT"/>
        </w:rPr>
        <w:t>, kurie yra PMĮ nustatyto pelno mokesčio mokėtojai ir kurių apmokestinamasis pelnas, remiantis PMĮ 5 straipsniu, apmokestinamas taikant 17 arba 7</w:t>
      </w:r>
      <w:r w:rsidRPr="0031383F">
        <w:rPr>
          <w:rFonts w:ascii="Times New Roman" w:hAnsi="Times New Roman" w:cs="Times New Roman"/>
          <w:b/>
          <w:sz w:val="24"/>
          <w:szCs w:val="24"/>
          <w:lang w:val="lt-LT"/>
        </w:rPr>
        <w:t xml:space="preserve"> </w:t>
      </w:r>
      <w:r w:rsidRPr="0031383F">
        <w:rPr>
          <w:rFonts w:ascii="Times New Roman" w:hAnsi="Times New Roman" w:cs="Times New Roman"/>
          <w:sz w:val="24"/>
          <w:szCs w:val="24"/>
          <w:lang w:val="lt-LT"/>
        </w:rPr>
        <w:t xml:space="preserve">procentų mokesčio tarifą. Šie mokesčio tarifai turi būti taikomi apmokestinant reorganizuojamų,  </w:t>
      </w:r>
      <w:r w:rsidRPr="0031383F">
        <w:rPr>
          <w:rFonts w:ascii="Times New Roman" w:hAnsi="Times New Roman" w:cs="Times New Roman"/>
          <w:sz w:val="24"/>
          <w:szCs w:val="24"/>
          <w:lang w:val="lt-LT"/>
        </w:rPr>
        <w:lastRenderedPageBreak/>
        <w:t xml:space="preserve">reorganizavime ar perleidime dalyvaujančių Lietuvos vienetų, visą per tą mokestinį laikotarpį, kurį toks reorganizavimas ar perleidimas įvyko, gautą apmokestinamąjį pelną. Nuostata taikoma ir tuo atveju, jeigu atitinkamu mokestiniu laikotarpiu Lietuvos vienetas patyrė mokestinį nuostolį ir dėl to pelno mokesčio nemoka, tačiau jeigu mokėtų, tai, apmokestindamas savo pelną, taikytų 17 arba 7 procentų mokesčio tarifą, arba </w:t>
      </w:r>
    </w:p>
    <w:p w14:paraId="7D85BF7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užsienio vienetams</w:t>
      </w:r>
      <w:r w:rsidRPr="0031383F">
        <w:rPr>
          <w:rFonts w:ascii="Times New Roman" w:hAnsi="Times New Roman" w:cs="Times New Roman"/>
          <w:sz w:val="24"/>
          <w:szCs w:val="24"/>
          <w:lang w:val="lt-LT"/>
        </w:rPr>
        <w:t>, kurie:</w:t>
      </w:r>
    </w:p>
    <w:p w14:paraId="0F0F59C7"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ab/>
        <w:t>a)</w:t>
      </w:r>
      <w:r w:rsidRPr="0031383F">
        <w:rPr>
          <w:rFonts w:ascii="Times New Roman" w:hAnsi="Times New Roman" w:cs="Times New Roman"/>
          <w:sz w:val="24"/>
          <w:szCs w:val="24"/>
          <w:lang w:val="lt-LT"/>
        </w:rPr>
        <w:tab/>
        <w:t xml:space="preserve">yra ES valstybių narių rezidentai mokesčių tikslais </w:t>
      </w:r>
      <w:r w:rsidRPr="0031383F">
        <w:rPr>
          <w:rFonts w:ascii="Times New Roman" w:hAnsi="Times New Roman" w:cs="Times New Roman"/>
          <w:bCs/>
          <w:sz w:val="24"/>
          <w:szCs w:val="24"/>
          <w:lang w:val="lt-LT"/>
        </w:rPr>
        <w:t>ir</w:t>
      </w:r>
    </w:p>
    <w:p w14:paraId="5AF3F272"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b)</w:t>
      </w:r>
      <w:r w:rsidRPr="0031383F">
        <w:rPr>
          <w:rFonts w:ascii="Times New Roman" w:hAnsi="Times New Roman" w:cs="Times New Roman"/>
          <w:sz w:val="24"/>
          <w:szCs w:val="24"/>
          <w:lang w:val="lt-LT"/>
        </w:rPr>
        <w:tab/>
        <w:t xml:space="preserve">ES valstybėse narėse turi verslo organizavimo formą, nurodytą Direktyvos 90/434/EB priede, </w:t>
      </w:r>
      <w:r w:rsidRPr="0031383F">
        <w:rPr>
          <w:rFonts w:ascii="Times New Roman" w:hAnsi="Times New Roman" w:cs="Times New Roman"/>
          <w:bCs/>
          <w:sz w:val="24"/>
          <w:szCs w:val="24"/>
          <w:lang w:val="lt-LT"/>
        </w:rPr>
        <w:t>ir</w:t>
      </w:r>
      <w:r w:rsidRPr="0031383F">
        <w:rPr>
          <w:rFonts w:ascii="Times New Roman" w:hAnsi="Times New Roman" w:cs="Times New Roman"/>
          <w:sz w:val="24"/>
          <w:szCs w:val="24"/>
          <w:lang w:val="lt-LT"/>
        </w:rPr>
        <w:t xml:space="preserve"> </w:t>
      </w:r>
    </w:p>
    <w:p w14:paraId="5BA8E05F"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
          <w:sz w:val="24"/>
          <w:szCs w:val="24"/>
          <w:lang w:val="lt-LT"/>
        </w:rPr>
      </w:pPr>
      <w:r w:rsidRPr="0031383F">
        <w:rPr>
          <w:rFonts w:ascii="Times New Roman" w:hAnsi="Times New Roman" w:cs="Times New Roman"/>
          <w:sz w:val="24"/>
          <w:szCs w:val="24"/>
          <w:lang w:val="lt-LT"/>
        </w:rPr>
        <w:tab/>
        <w:t>c)</w:t>
      </w:r>
      <w:r w:rsidRPr="0031383F">
        <w:rPr>
          <w:rFonts w:ascii="Times New Roman" w:hAnsi="Times New Roman" w:cs="Times New Roman"/>
          <w:sz w:val="24"/>
          <w:szCs w:val="24"/>
          <w:lang w:val="lt-LT"/>
        </w:rPr>
        <w:tab/>
        <w:t xml:space="preserve">yra Direktyvos 90/434/EB 3 straipsnio c punkte nustatytų mokesčių mokėtojai. </w:t>
      </w:r>
    </w:p>
    <w:p w14:paraId="78B477F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4. ES valstybės narės vienetas laikomas tos valstybės narės rezidentu mokesčių tikslais, jei jis tokiu laikomas pagal tos valstybės narės mokesčių įstatymus ir pagal sudarytas dvigubo apmokestinimo išvengimo sutartis.</w:t>
      </w:r>
    </w:p>
    <w:p w14:paraId="3E6C6986" w14:textId="77777777" w:rsidR="005D2C41" w:rsidRPr="0031383F" w:rsidRDefault="005D2C41" w:rsidP="005D2C41">
      <w:pPr>
        <w:pStyle w:val="HTMLiankstoformatuota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5. Užsienio vienetas turi būti ES valstybės narės vienetas, kurio forma minima Direktyvos 90/434/EB priede ir kuris yra šios direktyvos 3 straipsnio c punkte nustatytų mokesčių mokėtojas:</w:t>
      </w:r>
    </w:p>
    <w:p w14:paraId="60190521" w14:textId="77777777" w:rsidR="005D2C41" w:rsidRPr="0031383F" w:rsidRDefault="005D2C41" w:rsidP="005D2C41">
      <w:pPr>
        <w:pStyle w:val="HTMLiankstoformatuota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5.1. Direktyvos 90/434/EB</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priede</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(atsižvelgiant į jį papildžiusių vėlesnių teisės aktų nuostatas)</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yra išvardytos tokios vienetų formos:</w:t>
      </w:r>
    </w:p>
    <w:p w14:paraId="3AE6BFD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xml:space="preserve">- įmonės, įsteigtos pagal 2001 m. spalio 8 d. Tarybos reglamentą (EB) Nr. 2157/2001 dėl Europos bendrovės (SE) statuto ir 2001 m. spalio 8 d. Tarybos direktyvą 2001/86/EB, papildančią Europos bendrovės statutą dėl darbuotojų dalyvavimo; </w:t>
      </w:r>
    </w:p>
    <w:p w14:paraId="4159A64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kooperatinės bendrovės, įsteigtos pagal 2003 m. liepos 22 d. Tarybos reglamentą (EB) Nr. 1435/2003 dėl Europos kooperatinės bendrovės (SCE) statuto ir 2003 m. liepos 22 d. Tarybos direktyvą 2003/72/EB, papildančią Europos kooperatinės bendrovės statutą dėl darbuotojų dalyvavimo;</w:t>
      </w:r>
    </w:p>
    <w:p w14:paraId="274D5E45"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įsteigtos arba veikiančios pagal Airijos įstatymus, įstaigos, įregistruotos pagal „Industrial and Provident Societies Act“, arba „building societies“, įregistruotos pagal „Building Societies Acts“ bei patikos bankai, kaip apibrėžta 1989 m. „Trustee Savings Banks Act“;</w:t>
      </w:r>
    </w:p>
    <w:p w14:paraId="5E263A6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Austrijos teisę žinomos kaip: „Aktiengesellschaft“, „Gesellschaft mit beschränkter Haftung“, „Erwerbs-und Wirtschaftsgenossenschaften“;</w:t>
      </w:r>
    </w:p>
    <w:p w14:paraId="7B9C851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Belgijos teisę žinomos kaip „société anonyme“/„naamloze vennootschap“, „société en commandite par actions“/„commanditaire vennootschap op aandelen“, „société privée à responsabilité limitée“/„besloten vennootschap met beperkte aansprakelijkheid“, „société coopérative à responsabilité limitée“/„coöperatieve vennootschap metbeperkte aansprakelijkheid“, „société coopérative à responsabilité illimitée“/„coöperatieve vennootschap met onbeperkte aansprakelijkheid“, „société en nom collectif“/„vennootschap onder firma“, „société en commandite simple“/„gewone commanditaire vennootschap“, valstybės įmonės, kurios pasirinko vieną iš pirmiau nurodytų teisinių formų, bei kitos įmonės, įsteigtos pagal Belgijos teisę, kurios apmokestinamos Belgijos įmonių pelno mokesčiu;</w:t>
      </w:r>
    </w:p>
    <w:p w14:paraId="3EAAE294" w14:textId="77777777" w:rsidR="005D2C41" w:rsidRPr="0031383F" w:rsidRDefault="005D2C41" w:rsidP="005D2C41">
      <w:pPr>
        <w:pStyle w:val="prastasiniatinklio"/>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lang w:eastAsia="en-US"/>
        </w:rPr>
      </w:pPr>
      <w:r w:rsidRPr="0031383F">
        <w:t xml:space="preserve">- </w:t>
      </w:r>
      <w:r w:rsidRPr="0031383F">
        <w:rPr>
          <w:bCs/>
          <w:lang w:eastAsia="en-US"/>
        </w:rPr>
        <w:t>bendrovės, pagal Bulgarijos įstatymus žinomos kaip: "събирателното дружество", "командитното дружество", "дружеството с ограничена отговорност", "акционерното дружество", "командитното дружество с акции", "кооперации", "кооперативни съюзи", "държавни предприятия", įsteigtos pagal Bulgarijos įstatymus ir vykdančios komercinę veiklą;</w:t>
      </w:r>
    </w:p>
    <w:p w14:paraId="3CC3212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lastRenderedPageBreak/>
        <w:t>- įmonės, pagal Čekijos teisę žinomos kaip: „akciová společnost“, „společnost s ručením omezeným“;</w:t>
      </w:r>
    </w:p>
    <w:p w14:paraId="24DBC9C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Danijos teisę žinomos kaip „aktieselskab“ ir „anpartsselskab“. Kitos įmonės, apmokestinamos pagal Įmonių pelno mokesčio įstatymą tiek, kiek jų apmokestinamosios pajamos yra apskaičiuojamos ir apmokestinamos pagal bendrąsias mokesčių teisės aktų normas, taikomas „aktieselskaber“;</w:t>
      </w:r>
    </w:p>
    <w:p w14:paraId="1ED7E33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Estijos teisę žinomos kaip: „täisühing“, „usaldusühing“, „osaühing“, „aktsiaselts“, „tulundusühistu“;</w:t>
      </w:r>
    </w:p>
    <w:p w14:paraId="5B351A69"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Graikijos teisę žinomos kaip „αvώvυμη εταιρεία“, „εταιρεία περιoρισμέvης ευθύvης (Ε.Π.Ε.)“;</w:t>
      </w:r>
    </w:p>
    <w:p w14:paraId="1F430F07"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Ispanijos teisę žinomos kaip „sociedad anónima“, „sociedad comanditaria por acciones“, „sociedad de responsabilidad limitada“, ir viešosios teisės subjektai, kurie veikia pagal privatinę teisę;</w:t>
      </w:r>
    </w:p>
    <w:p w14:paraId="6AA4540F"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Italijos teisę žinomos kaip: „società per azioni“, „società in accomandita per azioni“, „società a responsabilità limitata“, „società cooperative“, „società di mutua assicurazione“, ir valstybės bei privačios įmonės, kurių veikla yra visiškai arba iš esmės komercinio pobūdžio;</w:t>
      </w:r>
    </w:p>
    <w:p w14:paraId="3D39BF75"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pagal Kipro teisę: „εταιρείες“, kaip apibrėžta pajamų mokesčio įstatymuose;</w:t>
      </w:r>
    </w:p>
    <w:p w14:paraId="6B72B694"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Latvijos teisę žinomos kaip: „akciju sabiedrība“, „sabiedrība ar ierobežotu atbildību“;</w:t>
      </w:r>
    </w:p>
    <w:p w14:paraId="2AD34C1F"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Lenkijos teisę žinomos kaip: „spółka akcyjna“, „spółka z ograniczoną odpowiedzialnością“;</w:t>
      </w:r>
    </w:p>
    <w:p w14:paraId="071BFA96"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Liuksemburgo teisę žinomos kaip: „société anonyme“, „société en commandite par actions“, „société 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 morales de droit public“, ir kitos įmonės, įsteigtos pagal Liuksemburgo teisę, kurios apmokestinamos Liuksemburgo įmonių pelno mokesčiu;</w:t>
      </w:r>
    </w:p>
    <w:p w14:paraId="5768FE3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Nyderlandų Karalystės teisę žinomos kaip: „naamloze vennnootschap“,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ir kitos įmonės, įsteigtos</w:t>
      </w:r>
      <w:r w:rsidRPr="0031383F">
        <w:rPr>
          <w:b/>
          <w:lang w:val="lt-LT"/>
        </w:rPr>
        <w:t xml:space="preserve"> </w:t>
      </w:r>
      <w:r w:rsidRPr="0031383F">
        <w:rPr>
          <w:lang w:val="lt-LT"/>
        </w:rPr>
        <w:t>pagal Nyderlandų Karalystės teisę, kurios apmokestinamos Nyderlandų Karalystės įmonių pelno mokesčiu;</w:t>
      </w:r>
    </w:p>
    <w:p w14:paraId="71EE81BD"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Maltos teisę žinomos kaip: „Kumpaniji ta“ Responsabilita „Limitata“, „Soċjetajiet en commandite li l- kapital tagħhom maqsum f’azzjonijiet“;</w:t>
      </w:r>
    </w:p>
    <w:p w14:paraId="65F41B1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komercinės įmonės arba komercinės formos įmonės pagal civilinę teisę, taip pat kiti juridiniai asmenys, užsiimantys komercine arba pramonine veikla, įsteigti pagal Portugalijos teisę;</w:t>
      </w:r>
    </w:p>
    <w:p w14:paraId="60C0C6EE"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xml:space="preserve">- įmonės, pagal Prancūzijos teisę žinomos kaip: „société anonyme“, „société en commandite par actions“, „société à responsabilité limitée“, „sociétés par actions simplifiées“, „sociétés d’assurances mutuelles“, „caisses d’épargne et de prévoyance“, „sociétés civiles“, kurios automatiškai apmokestinamos įmonių pelno mokesčiu, „coopératives“, „unions de coopératives“, pramoninio bei </w:t>
      </w:r>
      <w:r w:rsidRPr="0031383F">
        <w:rPr>
          <w:lang w:val="lt-LT"/>
        </w:rPr>
        <w:lastRenderedPageBreak/>
        <w:t>komercinio pobūdžio valstybės įstaigos ir įmonės bei kitos įmonės, įsteigtos pagal Prancūzijos teisę, kurios apmokestinamos Prancūzijos įmonių pelno mokesčiu;</w:t>
      </w:r>
    </w:p>
    <w:p w14:paraId="5E9C766B" w14:textId="77777777" w:rsidR="005D2C41" w:rsidRPr="0031383F" w:rsidRDefault="005D2C41" w:rsidP="005D2C41">
      <w:pPr>
        <w:pStyle w:val="HTMLiankstoformatuotas"/>
        <w:tabs>
          <w:tab w:val="clear" w:pos="916"/>
          <w:tab w:val="clear" w:pos="1832"/>
          <w:tab w:val="left" w:pos="0"/>
          <w:tab w:val="left" w:pos="709"/>
        </w:tabs>
        <w:jc w:val="both"/>
        <w:rPr>
          <w:rFonts w:ascii="Times New Roman" w:hAnsi="Times New Roman" w:cs="Times New Roman"/>
          <w:sz w:val="24"/>
          <w:szCs w:val="24"/>
          <w:lang w:val="lt-LT"/>
        </w:rPr>
      </w:pPr>
      <w:r w:rsidRPr="0031383F">
        <w:rPr>
          <w:rFonts w:ascii="Times New Roman" w:hAnsi="Times New Roman" w:cs="Times New Roman"/>
          <w:b/>
          <w:sz w:val="24"/>
          <w:szCs w:val="24"/>
          <w:lang w:val="lt-LT"/>
        </w:rPr>
        <w:tab/>
      </w:r>
      <w:r w:rsidRPr="0031383F">
        <w:rPr>
          <w:rFonts w:ascii="Times New Roman" w:hAnsi="Times New Roman" w:cs="Times New Roman"/>
          <w:sz w:val="24"/>
          <w:szCs w:val="24"/>
          <w:lang w:val="lt-LT"/>
        </w:rPr>
        <w:t>- bendrovės, pagal Kroatijos teisę žinomos kaip „dioničko društvo“, „društvo sograničenom odgovornošću“ ir kitos pagal Kroatijos įstatymus įsteigtos bendrovės, kurios apmokestinamos Kroatijos bendrovių pelno mokesčiu;</w:t>
      </w:r>
    </w:p>
    <w:p w14:paraId="3377DE88"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lang w:val="lt-LT"/>
        </w:rPr>
      </w:pPr>
      <w:r w:rsidRPr="0031383F">
        <w:rPr>
          <w:rStyle w:val="Grietas"/>
          <w:lang w:val="lt-LT"/>
        </w:rPr>
        <w:t>- bendrovės, pagal Rumunijos įstatymus žinomos kaip:"societăţi pe acţiuni", "societăţi în comandită pe acţiuni", "societăţi cu răspundere limitată“;</w:t>
      </w:r>
    </w:p>
    <w:p w14:paraId="18A0E452"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Slovakijos teisę žinomos kaip: „akciová spoločnosť “, „spoločnosť s ručením obmedzeným“, „komanditná spoločnosť “;</w:t>
      </w:r>
    </w:p>
    <w:p w14:paraId="6F63DA41"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Slovėnijos teisę žinomos kaip: „delniška družba“, „komanditna družba“, „družba z omejeno odgovornostjo“;</w:t>
      </w:r>
    </w:p>
    <w:p w14:paraId="64B8DFDB"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Suomijos teisę žinomos kaip: „osakeyhtiö“/„aktiebolag“, „osuuskunta“/„andelslag“, „säästöpankki“/„sparbank“ ir „vakuutusyhtiö“/„försäkringsbolag“;</w:t>
      </w:r>
    </w:p>
    <w:p w14:paraId="2370B24C"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Švedijos teisę žinomos kaip: „aktiebolag“, „försäkringsaktiebolag“, „ekonomiska föreningar“, „sparbanker“, „ömsesidiga försäkringsbolag“;</w:t>
      </w:r>
    </w:p>
    <w:p w14:paraId="3574CA01"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Vengrijos teisę žinomos kaip: „közkereseti társaság“, „betéti társaság“, „közös vállalat“, „korlátolt felelősségű társaság“, „részvénytársaság“, „egyesülés“, „közhasznú társaság“, „szövetkezet“;</w:t>
      </w:r>
    </w:p>
    <w:p w14:paraId="5C764B46" w14:textId="77777777" w:rsidR="005D2C41" w:rsidRPr="0031383F" w:rsidRDefault="005D2C41" w:rsidP="005D2C41">
      <w:pPr>
        <w:tabs>
          <w:tab w:val="left" w:pos="720"/>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1383F">
        <w:rPr>
          <w:lang w:val="lt-LT"/>
        </w:rPr>
        <w:t>- įmonės, pagal Vokietijos teisę žinomos kaip „Aktiengesellschaft“, „Kommanditgesellschaft auf Aktien“, „Gesellschaft mit beschränkter Haftung“, „Versicherungsverein auf Gegenseitigkeit“, „Erwerbs und  Wirtschaftsgenossenschaft“, „Betriebe gewerblicher Art von juristischen Personen des öffentlichen Rechts“, ir kitos įmonės, įsteigtos pagal Vokietijos teisę, kurios apmokestinamos Vokietijos įmonių pelno mokesčiu.</w:t>
      </w:r>
    </w:p>
    <w:p w14:paraId="41329E23" w14:textId="77777777" w:rsidR="005D2C41" w:rsidRPr="0031383F" w:rsidRDefault="005D2C41" w:rsidP="005D2C41">
      <w:pPr>
        <w:pStyle w:val="HTMLiankstoformatuotas"/>
        <w:tabs>
          <w:tab w:val="clear" w:pos="916"/>
          <w:tab w:val="clear" w:pos="1832"/>
          <w:tab w:val="left" w:pos="0"/>
          <w:tab w:val="left" w:pos="709"/>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5.2. Direktyvos 90/434/EB</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(atsižvelgiant į ją papildžiusių vėlesnių teisės aktų nuostatas)</w:t>
      </w:r>
      <w:r w:rsidRPr="0031383F">
        <w:rPr>
          <w:rFonts w:ascii="Times New Roman" w:hAnsi="Times New Roman" w:cs="Times New Roman"/>
          <w:bCs/>
          <w:sz w:val="24"/>
          <w:szCs w:val="24"/>
          <w:lang w:val="lt-LT"/>
        </w:rPr>
        <w:t xml:space="preserve"> </w:t>
      </w:r>
      <w:r w:rsidRPr="0031383F">
        <w:rPr>
          <w:rFonts w:ascii="Times New Roman" w:hAnsi="Times New Roman" w:cs="Times New Roman"/>
          <w:sz w:val="24"/>
          <w:szCs w:val="24"/>
          <w:lang w:val="lt-LT"/>
        </w:rPr>
        <w:t>3 straipsnio c punkte yra išvardyti tokie mokesčiai:</w:t>
      </w:r>
    </w:p>
    <w:p w14:paraId="4DE97929"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corporation tax Airijoje; </w:t>
      </w:r>
    </w:p>
    <w:p w14:paraId="10D9E893"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Körperschaftsteuer Austrijos Respublikoje;</w:t>
      </w:r>
    </w:p>
    <w:p w14:paraId="12BBF83E"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impôt des sociétés/vennootschapsbelasting Belgijos Karalystėje; </w:t>
      </w:r>
    </w:p>
    <w:p w14:paraId="502F15C6"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b/>
          <w:sz w:val="24"/>
          <w:szCs w:val="24"/>
          <w:lang w:val="lt-LT"/>
        </w:rPr>
      </w:pPr>
      <w:r w:rsidRPr="0031383F">
        <w:rPr>
          <w:rStyle w:val="Grietas"/>
          <w:sz w:val="24"/>
          <w:szCs w:val="24"/>
          <w:lang w:val="lt-LT"/>
        </w:rPr>
        <w:t>корпоративен данък Bulgarijoje</w:t>
      </w:r>
      <w:r w:rsidRPr="0031383F">
        <w:rPr>
          <w:rFonts w:ascii="Times New Roman" w:hAnsi="Times New Roman" w:cs="Times New Roman"/>
          <w:b/>
          <w:sz w:val="24"/>
          <w:szCs w:val="24"/>
          <w:lang w:val="lt-LT"/>
        </w:rPr>
        <w:t>;</w:t>
      </w:r>
    </w:p>
    <w:p w14:paraId="3963300F"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daň z přijmů právnických osobin Čekijos Respublikoje;</w:t>
      </w:r>
    </w:p>
    <w:p w14:paraId="2D379534"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selskabsskat Danijos Karalystėje; </w:t>
      </w:r>
    </w:p>
    <w:p w14:paraId="4863B8FE"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tulumaks Estijos Respublikoje;</w:t>
      </w:r>
    </w:p>
    <w:p w14:paraId="34BCBE98" w14:textId="77777777" w:rsidR="005D2C41" w:rsidRPr="0031383F" w:rsidRDefault="005D2C41" w:rsidP="005D2C41">
      <w:pPr>
        <w:pStyle w:val="HTMLiankstoformatuotas"/>
        <w:spacing w:after="0"/>
        <w:ind w:left="1073" w:hanging="353"/>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φόρος εισοδήματος νομικών προσώπων κερδοσκοπικού χαρακτήρα Graikijos Respublikoje; </w:t>
      </w:r>
    </w:p>
    <w:p w14:paraId="47E88A49"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impuesto sobre sociedades Ispanijos Karalystėje; </w:t>
      </w:r>
    </w:p>
    <w:p w14:paraId="3F0DEDC8"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imposta sul reddito delle società Italijos Respublikoje; </w:t>
      </w:r>
    </w:p>
    <w:p w14:paraId="1467F4A4"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Φóρoς Eισoδήματoς Kipro Respublikoje;</w:t>
      </w:r>
    </w:p>
    <w:p w14:paraId="7320E907"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uzņēmumu ienākuma nodoklis Latvijos Respublikoje;</w:t>
      </w:r>
    </w:p>
    <w:p w14:paraId="5098AD40"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Podatek dochodowy od osób prawnych Lenkijos Respublikoje;</w:t>
      </w:r>
    </w:p>
    <w:p w14:paraId="0C3B45E6"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impôt sur le revenu des collectivités Liuksemburgo Didžiojoje Hercogystėje; </w:t>
      </w:r>
    </w:p>
    <w:p w14:paraId="58F52D45"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Taxxa fuq l-</w:t>
      </w:r>
      <w:r w:rsidRPr="0031383F">
        <w:rPr>
          <w:rFonts w:ascii="Times New Roman" w:hAnsi="Times New Roman" w:cs="Times New Roman"/>
          <w:i/>
          <w:iCs/>
          <w:sz w:val="24"/>
          <w:szCs w:val="24"/>
          <w:lang w:val="lt-LT"/>
        </w:rPr>
        <w:t xml:space="preserve">income </w:t>
      </w:r>
      <w:r w:rsidRPr="0031383F">
        <w:rPr>
          <w:rFonts w:ascii="Times New Roman" w:hAnsi="Times New Roman" w:cs="Times New Roman"/>
          <w:sz w:val="24"/>
          <w:szCs w:val="24"/>
          <w:lang w:val="lt-LT"/>
        </w:rPr>
        <w:t>Maltos Respublikoje;</w:t>
      </w:r>
    </w:p>
    <w:p w14:paraId="50D68A0E"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vennootschapsbelasting Nyderlandų Karalystėje; </w:t>
      </w:r>
    </w:p>
    <w:p w14:paraId="517B1AB2" w14:textId="77777777" w:rsidR="005D2C41" w:rsidRPr="0031383F" w:rsidRDefault="005D2C41" w:rsidP="005D2C41">
      <w:pPr>
        <w:pStyle w:val="HTMLiankstoformatuotas"/>
        <w:spacing w:after="0"/>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w:t>
      </w:r>
      <w:r w:rsidRPr="0031383F">
        <w:rPr>
          <w:rFonts w:ascii="Times New Roman" w:hAnsi="Times New Roman" w:cs="Times New Roman"/>
          <w:sz w:val="24"/>
          <w:szCs w:val="24"/>
          <w:lang w:val="lt-LT"/>
        </w:rPr>
        <w:tab/>
        <w:t xml:space="preserve">imposto sobre o rendimento das pessoas colectivas Portugalijos Respublikoje; </w:t>
      </w:r>
    </w:p>
    <w:p w14:paraId="7ABBEFCF"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impôt sur les sociétés Prancuzijos Respublikoje;</w:t>
      </w:r>
    </w:p>
    <w:p w14:paraId="16EBCD8A"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porez na dobit Kroatijoje;</w:t>
      </w:r>
    </w:p>
    <w:p w14:paraId="6F38EBFD"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b/>
          <w:sz w:val="24"/>
          <w:szCs w:val="24"/>
          <w:lang w:val="lt-LT"/>
        </w:rPr>
      </w:pPr>
      <w:r w:rsidRPr="0031383F">
        <w:rPr>
          <w:rStyle w:val="Grietas"/>
          <w:sz w:val="24"/>
          <w:szCs w:val="24"/>
          <w:lang w:val="lt-LT"/>
        </w:rPr>
        <w:lastRenderedPageBreak/>
        <w:t>impozit pe profit Rumunijoje;</w:t>
      </w:r>
    </w:p>
    <w:p w14:paraId="75C24656"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Daň z príjmov právnických osôb Slovakijos Respublikoje;</w:t>
      </w:r>
    </w:p>
    <w:p w14:paraId="39115425"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davek od dobička pravnih oseb Slovėnijos Respublikoje;</w:t>
      </w:r>
    </w:p>
    <w:p w14:paraId="68D5CF81"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yhteisöjen tulovero/inkomstskatten för samfund Suomijos Respublikoje;</w:t>
      </w:r>
    </w:p>
    <w:p w14:paraId="6D866D50"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statlig inkomstskatt Švedijos Karalystėje;</w:t>
      </w:r>
    </w:p>
    <w:p w14:paraId="591C9404" w14:textId="77777777" w:rsidR="005D2C41" w:rsidRPr="0031383F" w:rsidRDefault="005D2C41" w:rsidP="005D2C41">
      <w:pPr>
        <w:pStyle w:val="HTMLiankstoformatuotas"/>
        <w:numPr>
          <w:ilvl w:val="0"/>
          <w:numId w:val="42"/>
        </w:numPr>
        <w:tabs>
          <w:tab w:val="clear" w:pos="1080"/>
        </w:tabs>
        <w:spacing w:after="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Társasági adó Vengrijos Respublikoje;</w:t>
      </w:r>
    </w:p>
    <w:p w14:paraId="38674455" w14:textId="77777777" w:rsidR="005D2C41" w:rsidRPr="0031383F" w:rsidRDefault="005D2C41" w:rsidP="005D2C41">
      <w:pPr>
        <w:pStyle w:val="prastasiniatinklio"/>
        <w:numPr>
          <w:ilvl w:val="0"/>
          <w:numId w:val="42"/>
        </w:numPr>
        <w:tabs>
          <w:tab w:val="clear" w:pos="1080"/>
          <w:tab w:val="left" w:pos="993"/>
        </w:tabs>
        <w:spacing w:before="0" w:beforeAutospacing="0" w:after="0" w:afterAutospacing="0"/>
        <w:jc w:val="both"/>
      </w:pPr>
      <w:r w:rsidRPr="0031383F">
        <w:t>Körperschaftsteuer Vokietijos Federacinėje Respublikoje.</w:t>
      </w:r>
    </w:p>
    <w:p w14:paraId="6CB5336A"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7E824EB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6. Jei PMĮ 41 str. 2 dalyje nustatytais reorganizavimo ir perleidimo atvejais turtas, teisės ir pareigos perleidžiamos tarp užsienio vienetų, tai Lietuvos vienetams – tų užsienio vienetų dalyviams, taip pat užsienio vienetų nuolatinėms buveinėms PMĮ IX skyriaus nuostatos taikomos, apskaičiuojant 2008-ųjų metų ir vėlesnių metų mokestinių laikotarpių apmokestinamąjį pelną.</w:t>
      </w:r>
    </w:p>
    <w:p w14:paraId="68136B6B"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Pavyzdžiui, jei sujungus du užsienio vienetus, sukuriamas naujas užsienio vienetas, ir Lietuvos vienetas – vieno ar abiejų tų sujungtų užsienio vienetų akcininkas</w:t>
      </w:r>
      <w:r w:rsidRPr="0031383F">
        <w:rPr>
          <w:rFonts w:ascii="Times New Roman" w:hAnsi="Times New Roman" w:cs="Times New Roman"/>
          <w:bCs/>
          <w:sz w:val="24"/>
          <w:szCs w:val="24"/>
          <w:lang w:val="lt-LT"/>
        </w:rPr>
        <w:t xml:space="preserve"> už turimas šio vieneto akcijas mainais gauna naujo sukurto užsienio vieneto akcijų, tai turto vertės padidėjimas nelaikomas Lietuvos vieneto, mainais gavusio naujas akcijas, pajamomis. Taip mainais gautų naujų akcijų įsigijimo kaina yra šio Lietuvos vieneto išmainytų akcijų įsigijimo kaina, (žr. PMĮ 42 str. 1 dalies komentarą). </w:t>
      </w:r>
    </w:p>
    <w:p w14:paraId="4C0CE214" w14:textId="46D4168A" w:rsidR="005D2C41"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Jeigu užsienio vienetas, vykdantis veiklą per nuolatinę buveinę Lietuvoje, tos nuolatinės buveinės veiklą perleidžia kitam užsienio vienetui PMĮ 41 str. 2 dalyje nustatytais reorganizavimo ar perleidimo atvejais, ir jei tas kitas užsienio vienetas tą veiklą tęsia per įsteigtą naują nuolatinę buveinę, tai apmokestinant tų nuolatinių buveinių apmokestinamąjį pelną atitinkamai taikomos PMĮ 42 str. 3 ir 8 dalies bei 43 straipsnio nuostatos (žr. PMĮ 42 str. 3 ir 8 dalies ir 43 str. 1-3 dalių komentarą).</w:t>
      </w:r>
    </w:p>
    <w:p w14:paraId="09058BF7" w14:textId="1D63AA7D" w:rsidR="007E08F1" w:rsidRDefault="007E08F1" w:rsidP="007E08F1">
      <w:r>
        <w:rPr>
          <w:lang w:val="lt-LT"/>
        </w:rPr>
        <w:t xml:space="preserve">(Pakeista pagal </w:t>
      </w:r>
      <w:r w:rsidRPr="0051529C">
        <w:t xml:space="preserve">VMI prie FM </w:t>
      </w:r>
      <w:r w:rsidRPr="005E14CD">
        <w:t>2026-02-</w:t>
      </w:r>
      <w:r>
        <w:t>12 raštą</w:t>
      </w:r>
      <w:r w:rsidRPr="005E14CD">
        <w:t xml:space="preserve"> Nr. (18.10-31-1 Mr)</w:t>
      </w:r>
      <w:r>
        <w:t xml:space="preserve"> R-381)</w:t>
      </w:r>
    </w:p>
    <w:p w14:paraId="51717796" w14:textId="77777777" w:rsidR="007E08F1" w:rsidRPr="0031383F" w:rsidRDefault="007E08F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0B8C8BC1" w14:textId="77777777" w:rsidR="005D2C41" w:rsidRPr="0031383F" w:rsidRDefault="005D2C41" w:rsidP="005D2C41">
      <w:pPr>
        <w:spacing w:after="0"/>
        <w:ind w:firstLine="720"/>
        <w:jc w:val="both"/>
        <w:rPr>
          <w:b/>
          <w:lang w:val="lt-LT"/>
        </w:rPr>
      </w:pPr>
      <w:r w:rsidRPr="0031383F">
        <w:rPr>
          <w:b/>
          <w:lang w:val="lt-LT"/>
        </w:rPr>
        <w:t>2) vienetų turtas, teisės ir pareigos perleidžiamos tarp Lietuvos vienetų, kurių apmokestinamasis pelnas yra apmokestinamas taikant šio Įstatymo 5 straipsnyje nustatytus 1</w:t>
      </w:r>
      <w:r>
        <w:rPr>
          <w:b/>
          <w:lang w:val="lt-LT"/>
        </w:rPr>
        <w:t>7</w:t>
      </w:r>
      <w:r w:rsidRPr="0031383F">
        <w:rPr>
          <w:b/>
          <w:lang w:val="lt-LT"/>
        </w:rPr>
        <w:t xml:space="preserve"> arba </w:t>
      </w:r>
      <w:r>
        <w:rPr>
          <w:b/>
          <w:lang w:val="lt-LT"/>
        </w:rPr>
        <w:t>7</w:t>
      </w:r>
      <w:r w:rsidRPr="0031383F">
        <w:rPr>
          <w:b/>
          <w:lang w:val="lt-LT"/>
        </w:rPr>
        <w:t xml:space="preserve"> procentų mokesčio tarifus, ir užsienio vienetų – Europos Sąjungos valstybių narių rezidentų mokesčių tikslais, Europos Sąjungos valstybėse narėse turinčių verslo organizavimo formą, nurodytą Direktyvos 90/434/EB priede, ir esančių Direktyvos 90/ 434/EB 3 straipsnio c punkte nustatytų mokesčių mokėtojais, arba</w:t>
      </w:r>
    </w:p>
    <w:p w14:paraId="29DA1DB1" w14:textId="60CD80D3" w:rsidR="005D2C41" w:rsidRPr="007E08F1" w:rsidRDefault="007E08F1" w:rsidP="005D2C41">
      <w:pPr>
        <w:tabs>
          <w:tab w:val="left" w:pos="720"/>
          <w:tab w:val="left" w:pos="1077"/>
          <w:tab w:val="left" w:pos="1418"/>
        </w:tabs>
        <w:spacing w:after="0"/>
        <w:jc w:val="both"/>
        <w:rPr>
          <w:bCs/>
          <w:i/>
          <w:lang w:val="lt-LT"/>
        </w:rPr>
      </w:pPr>
      <w:r>
        <w:rPr>
          <w:bCs/>
          <w:i/>
          <w:lang w:val="lt-LT"/>
        </w:rPr>
        <w:tab/>
      </w:r>
      <w:r w:rsidR="005D2C41" w:rsidRPr="007E08F1">
        <w:rPr>
          <w:bCs/>
          <w:i/>
          <w:lang w:val="lt-LT"/>
        </w:rPr>
        <w:t xml:space="preserve">(Pagal 2025 m. birželio 17  d. įstatymo Nr.  </w:t>
      </w:r>
      <w:r w:rsidR="005D2C41" w:rsidRPr="007E08F1">
        <w:rPr>
          <w:i/>
          <w:color w:val="000000"/>
          <w:lang w:val="lt-LT"/>
        </w:rPr>
        <w:t>XV-285</w:t>
      </w:r>
      <w:r w:rsidR="005D2C41" w:rsidRPr="007E08F1">
        <w:rPr>
          <w:i/>
          <w:lang w:val="lt-LT"/>
        </w:rPr>
        <w:t xml:space="preserve"> </w:t>
      </w:r>
      <w:r w:rsidR="005D2C41" w:rsidRPr="007E08F1">
        <w:rPr>
          <w:bCs/>
          <w:i/>
          <w:lang w:val="lt-LT"/>
        </w:rPr>
        <w:t>redakciją; taikoma apskaičiuojant 2026 metais prasidėjusio ir vėlesnių mokestinių laikotarpių apmokestinamąjį pelną)</w:t>
      </w:r>
    </w:p>
    <w:p w14:paraId="550815BE" w14:textId="77777777" w:rsidR="005D2C41" w:rsidRPr="0031383F" w:rsidRDefault="005D2C41" w:rsidP="005D2C41">
      <w:pPr>
        <w:tabs>
          <w:tab w:val="left" w:pos="720"/>
          <w:tab w:val="left" w:pos="1077"/>
          <w:tab w:val="left" w:pos="1418"/>
        </w:tabs>
        <w:spacing w:after="0"/>
        <w:jc w:val="both"/>
        <w:rPr>
          <w:b/>
          <w:bCs/>
          <w:i/>
          <w:lang w:val="lt-LT"/>
        </w:rPr>
      </w:pPr>
    </w:p>
    <w:p w14:paraId="712DA6C4" w14:textId="77777777" w:rsidR="00D02F4E" w:rsidRPr="00964542" w:rsidRDefault="00D02F4E" w:rsidP="00D02F4E">
      <w:pPr>
        <w:ind w:firstLine="720"/>
        <w:rPr>
          <w:b/>
          <w:bCs/>
          <w:lang w:val="lt-LT"/>
        </w:rPr>
      </w:pPr>
      <w:r w:rsidRPr="00964542">
        <w:rPr>
          <w:b/>
          <w:bCs/>
          <w:lang w:val="lt-LT"/>
        </w:rPr>
        <w:t>Komentaras</w:t>
      </w:r>
    </w:p>
    <w:p w14:paraId="083241DF"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1. PMĮ 41 str. 1 d. 2 punkto nuostatos dėl reorganizavimo ar perleidimo taikomos tokiems Lietuvos vienetams, kurių apmokestinamasis pelnas apmokestinamas taikant PMĮ 5 straipsnyje nustatytus  17  arba 7 proc. mokesčio tarifus</w:t>
      </w:r>
    </w:p>
    <w:p w14:paraId="0B15CEA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2. Remiantis šio punkto nuostata, vienetų ir jų dalyvių turto vertės padidėjimo pajamos bei nuostoliai PMĮ IX skyriuje nustatyta tvarka pripažįstami PMĮ 41 str. 2 dalyje išvardytais reorganizavimo ir perleidimo atvejais, kai turto, teisių ar pareigų perleidimas vyksta </w:t>
      </w:r>
      <w:r w:rsidRPr="0031383F">
        <w:rPr>
          <w:rFonts w:ascii="Times New Roman" w:hAnsi="Times New Roman" w:cs="Times New Roman"/>
          <w:bCs/>
          <w:sz w:val="24"/>
          <w:szCs w:val="24"/>
          <w:lang w:val="lt-LT"/>
        </w:rPr>
        <w:t>tarp Lietuvos vienetų ir užsienio vienetų</w:t>
      </w:r>
      <w:r w:rsidRPr="0031383F">
        <w:rPr>
          <w:rFonts w:ascii="Times New Roman" w:hAnsi="Times New Roman" w:cs="Times New Roman"/>
          <w:sz w:val="24"/>
          <w:szCs w:val="24"/>
          <w:lang w:val="lt-LT"/>
        </w:rPr>
        <w:t xml:space="preserve">. </w:t>
      </w:r>
    </w:p>
    <w:p w14:paraId="5EA65AF9"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Šio punkto nuostatos taikomos:</w:t>
      </w:r>
    </w:p>
    <w:p w14:paraId="2EFCEF08"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lastRenderedPageBreak/>
        <w:t xml:space="preserve">- tokiems </w:t>
      </w:r>
      <w:r w:rsidRPr="0031383F">
        <w:rPr>
          <w:rFonts w:ascii="Times New Roman" w:hAnsi="Times New Roman" w:cs="Times New Roman"/>
          <w:bCs/>
          <w:sz w:val="24"/>
          <w:szCs w:val="24"/>
          <w:lang w:val="lt-LT"/>
        </w:rPr>
        <w:t>Lietuvos vienetams</w:t>
      </w:r>
      <w:r w:rsidRPr="0031383F">
        <w:rPr>
          <w:rFonts w:ascii="Times New Roman" w:hAnsi="Times New Roman" w:cs="Times New Roman"/>
          <w:sz w:val="24"/>
          <w:szCs w:val="24"/>
          <w:lang w:val="lt-LT"/>
        </w:rPr>
        <w:t xml:space="preserve">, kurie yra PMĮ nustatyto pelno mokesčio mokėtojai ir kurių apmokestinamasis pelnas, remiantis PMĮ 5 straipsniu, apmokestinamas taikant 17 arba 7 procentų mokesčio tarifą, </w:t>
      </w:r>
      <w:r w:rsidRPr="0031383F">
        <w:rPr>
          <w:rFonts w:ascii="Times New Roman" w:hAnsi="Times New Roman" w:cs="Times New Roman"/>
          <w:bCs/>
          <w:sz w:val="24"/>
          <w:szCs w:val="24"/>
          <w:lang w:val="lt-LT"/>
        </w:rPr>
        <w:t>ir</w:t>
      </w:r>
    </w:p>
    <w:p w14:paraId="386AC0F3" w14:textId="77777777" w:rsidR="005D2C41" w:rsidRPr="0031383F" w:rsidRDefault="005D2C41" w:rsidP="005D2C41">
      <w:pPr>
        <w:pStyle w:val="HTMLiankstoformatuotas"/>
        <w:tabs>
          <w:tab w:val="clear" w:pos="916"/>
          <w:tab w:val="left" w:pos="720"/>
          <w:tab w:val="left" w:pos="1418"/>
        </w:tabs>
        <w:ind w:left="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 tokiems </w:t>
      </w:r>
      <w:r w:rsidRPr="0031383F">
        <w:rPr>
          <w:rFonts w:ascii="Times New Roman" w:hAnsi="Times New Roman" w:cs="Times New Roman"/>
          <w:bCs/>
          <w:sz w:val="24"/>
          <w:szCs w:val="24"/>
          <w:lang w:val="lt-LT"/>
        </w:rPr>
        <w:t>užsienio vienetams</w:t>
      </w:r>
      <w:r w:rsidRPr="0031383F">
        <w:rPr>
          <w:rFonts w:ascii="Times New Roman" w:hAnsi="Times New Roman" w:cs="Times New Roman"/>
          <w:sz w:val="24"/>
          <w:szCs w:val="24"/>
          <w:lang w:val="lt-LT"/>
        </w:rPr>
        <w:t>, kurie:</w:t>
      </w:r>
    </w:p>
    <w:p w14:paraId="72790935"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bCs/>
          <w:sz w:val="24"/>
          <w:szCs w:val="24"/>
          <w:lang w:val="lt-LT"/>
        </w:rPr>
      </w:pPr>
      <w:r w:rsidRPr="0031383F">
        <w:rPr>
          <w:rFonts w:ascii="Times New Roman" w:hAnsi="Times New Roman" w:cs="Times New Roman"/>
          <w:sz w:val="24"/>
          <w:szCs w:val="24"/>
          <w:lang w:val="lt-LT"/>
        </w:rPr>
        <w:tab/>
        <w:t>a)</w:t>
      </w:r>
      <w:r w:rsidRPr="0031383F">
        <w:rPr>
          <w:rFonts w:ascii="Times New Roman" w:hAnsi="Times New Roman" w:cs="Times New Roman"/>
          <w:sz w:val="24"/>
          <w:szCs w:val="24"/>
          <w:lang w:val="lt-LT"/>
        </w:rPr>
        <w:tab/>
        <w:t xml:space="preserve">yra ES valstybių narių rezidentai mokesčių tikslais </w:t>
      </w:r>
      <w:r w:rsidRPr="0031383F">
        <w:rPr>
          <w:rFonts w:ascii="Times New Roman" w:hAnsi="Times New Roman" w:cs="Times New Roman"/>
          <w:bCs/>
          <w:sz w:val="24"/>
          <w:szCs w:val="24"/>
          <w:lang w:val="lt-LT"/>
        </w:rPr>
        <w:t>ir</w:t>
      </w:r>
    </w:p>
    <w:p w14:paraId="28633BC7"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b)</w:t>
      </w:r>
      <w:r w:rsidRPr="0031383F">
        <w:rPr>
          <w:rFonts w:ascii="Times New Roman" w:hAnsi="Times New Roman" w:cs="Times New Roman"/>
          <w:sz w:val="24"/>
          <w:szCs w:val="24"/>
          <w:lang w:val="lt-LT"/>
        </w:rPr>
        <w:tab/>
        <w:t xml:space="preserve">ES valstybėse narėse turi verslo organizavimo formą, nurodytą Direktyvos 90/434/EB priede, </w:t>
      </w:r>
      <w:r w:rsidRPr="0031383F">
        <w:rPr>
          <w:rFonts w:ascii="Times New Roman" w:hAnsi="Times New Roman" w:cs="Times New Roman"/>
          <w:bCs/>
          <w:sz w:val="24"/>
          <w:szCs w:val="24"/>
          <w:lang w:val="lt-LT"/>
        </w:rPr>
        <w:t>ir</w:t>
      </w:r>
      <w:r w:rsidRPr="0031383F">
        <w:rPr>
          <w:rFonts w:ascii="Times New Roman" w:hAnsi="Times New Roman" w:cs="Times New Roman"/>
          <w:sz w:val="24"/>
          <w:szCs w:val="24"/>
          <w:lang w:val="lt-LT"/>
        </w:rPr>
        <w:t xml:space="preserve"> </w:t>
      </w:r>
    </w:p>
    <w:p w14:paraId="01F90F26" w14:textId="77777777" w:rsidR="005D2C41" w:rsidRPr="0031383F" w:rsidRDefault="005D2C41" w:rsidP="005D2C41">
      <w:pPr>
        <w:pStyle w:val="HTMLiankstoformatuotas"/>
        <w:tabs>
          <w:tab w:val="clear" w:pos="916"/>
          <w:tab w:val="left" w:pos="720"/>
          <w:tab w:val="left" w:pos="1077"/>
          <w:tab w:val="left" w:pos="1418"/>
        </w:tab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c)</w:t>
      </w:r>
      <w:r w:rsidRPr="0031383F">
        <w:rPr>
          <w:rFonts w:ascii="Times New Roman" w:hAnsi="Times New Roman" w:cs="Times New Roman"/>
          <w:sz w:val="24"/>
          <w:szCs w:val="24"/>
          <w:lang w:val="lt-LT"/>
        </w:rPr>
        <w:tab/>
        <w:t>yra Direktyvos 90/434/EB 3 straipsnio c punkte nustatytų mokesčių mokėtojai.</w:t>
      </w:r>
    </w:p>
    <w:p w14:paraId="4AC6CDB7" w14:textId="77777777" w:rsidR="005D2C41" w:rsidRPr="0031383F" w:rsidRDefault="005D2C41" w:rsidP="005D2C41">
      <w:pPr>
        <w:pStyle w:val="HTMLiankstoformatuotas"/>
        <w:tabs>
          <w:tab w:val="clear" w:pos="916"/>
          <w:tab w:val="left" w:pos="720"/>
          <w:tab w:val="left" w:pos="1077"/>
          <w:tab w:val="left" w:pos="1418"/>
        </w:tabs>
        <w:ind w:firstLine="709"/>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4. Komentuojamame punkte Lietuvos ir užsienio vienetams nustatyti reikalavimai atitinka PMĮ 41 str. 1 d. 1 punkte Lietuvos ir užsienio vienetams nustatytus reikalavimus (plačiau apie Lietuvos ir užsienio vienetus, kurie atitinka PMĮ 41 str. 1 dalies nuostatas, paaiškinta PMĮ 41 str. 1 d. 1 punkto komentare).</w:t>
      </w:r>
    </w:p>
    <w:p w14:paraId="47CEC611" w14:textId="77777777" w:rsidR="005D2C41" w:rsidRPr="0031383F" w:rsidRDefault="005D2C41" w:rsidP="005D2C41">
      <w:pPr>
        <w:pStyle w:val="Antrat1"/>
        <w:ind w:firstLine="709"/>
        <w:jc w:val="both"/>
        <w:rPr>
          <w:rFonts w:ascii="Times New Roman" w:hAnsi="Times New Roman" w:cs="Times New Roman"/>
          <w:b w:val="0"/>
          <w:lang w:val="lt-LT"/>
        </w:rPr>
      </w:pPr>
      <w:r w:rsidRPr="0031383F">
        <w:rPr>
          <w:rFonts w:ascii="Times New Roman" w:hAnsi="Times New Roman" w:cs="Times New Roman"/>
          <w:b w:val="0"/>
          <w:lang w:val="lt-LT"/>
        </w:rPr>
        <w:t xml:space="preserve">5. Lietuvos ir užsienio vienetų tarpusavio jungimosi tvarką nustato Lietuvos Respublikos vienos valstybės ribas peržengiančio ribotos atsakomybės bendrovių </w:t>
      </w:r>
      <w:r w:rsidRPr="0031383F">
        <w:rPr>
          <w:rFonts w:ascii="Times New Roman" w:hAnsi="Times New Roman" w:cs="Times New Roman"/>
          <w:b w:val="0"/>
          <w:bCs w:val="0"/>
          <w:color w:val="000000"/>
          <w:shd w:val="clear" w:color="auto" w:fill="FFFFFF"/>
          <w:lang w:val="lt-LT"/>
        </w:rPr>
        <w:t>pertvarkymo</w:t>
      </w:r>
      <w:r w:rsidRPr="0031383F">
        <w:rPr>
          <w:rFonts w:ascii="Arial" w:hAnsi="Arial" w:cs="Arial"/>
          <w:b w:val="0"/>
          <w:bCs w:val="0"/>
          <w:color w:val="000000"/>
          <w:sz w:val="20"/>
          <w:szCs w:val="20"/>
          <w:shd w:val="clear" w:color="auto" w:fill="FFFFFF"/>
          <w:lang w:val="lt-LT"/>
        </w:rPr>
        <w:t xml:space="preserve">, </w:t>
      </w:r>
      <w:r w:rsidRPr="0031383F">
        <w:rPr>
          <w:rFonts w:ascii="Times New Roman" w:hAnsi="Times New Roman" w:cs="Times New Roman"/>
          <w:b w:val="0"/>
          <w:lang w:val="lt-LT"/>
        </w:rPr>
        <w:t xml:space="preserve">jungimosi </w:t>
      </w:r>
      <w:r w:rsidRPr="0031383F">
        <w:rPr>
          <w:rFonts w:ascii="Times New Roman" w:hAnsi="Times New Roman" w:cs="Times New Roman"/>
          <w:b w:val="0"/>
          <w:bCs w:val="0"/>
          <w:color w:val="000000"/>
          <w:shd w:val="clear" w:color="auto" w:fill="FFFFFF"/>
          <w:lang w:val="lt-LT"/>
        </w:rPr>
        <w:t>ar skaidymo</w:t>
      </w:r>
      <w:r w:rsidRPr="0031383F">
        <w:rPr>
          <w:rFonts w:ascii="Arial" w:hAnsi="Arial" w:cs="Arial"/>
          <w:b w:val="0"/>
          <w:bCs w:val="0"/>
          <w:color w:val="000000"/>
          <w:sz w:val="20"/>
          <w:szCs w:val="20"/>
          <w:shd w:val="clear" w:color="auto" w:fill="FFFFFF"/>
          <w:lang w:val="lt-LT"/>
        </w:rPr>
        <w:t xml:space="preserve"> </w:t>
      </w:r>
      <w:r w:rsidRPr="0031383F">
        <w:rPr>
          <w:rFonts w:ascii="Times New Roman" w:hAnsi="Times New Roman" w:cs="Times New Roman"/>
          <w:b w:val="0"/>
          <w:lang w:val="lt-LT"/>
        </w:rPr>
        <w:t>įstatymas.</w:t>
      </w:r>
    </w:p>
    <w:p w14:paraId="629149D3" w14:textId="77777777" w:rsidR="005D2C41" w:rsidRPr="0031383F" w:rsidRDefault="005D2C41" w:rsidP="005D2C41">
      <w:pPr>
        <w:pStyle w:val="HTMLiankstoformatuotas"/>
        <w:spacing w:after="0" w:line="240" w:lineRule="auto"/>
        <w:ind w:firstLine="720"/>
        <w:jc w:val="both"/>
        <w:rPr>
          <w:rFonts w:ascii="Times New Roman" w:hAnsi="Times New Roman" w:cs="Times New Roman"/>
          <w:b/>
          <w:bCs/>
          <w:sz w:val="24"/>
          <w:szCs w:val="24"/>
          <w:lang w:val="lt-LT"/>
        </w:rPr>
      </w:pPr>
      <w:r w:rsidRPr="0031383F">
        <w:rPr>
          <w:rFonts w:ascii="Times New Roman" w:hAnsi="Times New Roman" w:cs="Times New Roman"/>
          <w:b/>
          <w:bCs/>
          <w:sz w:val="24"/>
          <w:szCs w:val="24"/>
          <w:lang w:val="lt-LT"/>
        </w:rPr>
        <w:t>3) perkeliama vieneto (Europos bendrovės ar Europos kooperatinės bendrovės) registruota buveinė.</w:t>
      </w:r>
    </w:p>
    <w:p w14:paraId="7ACA00B6" w14:textId="3AC06E63" w:rsidR="005D2C41" w:rsidRPr="00852EEE" w:rsidRDefault="007E08F1" w:rsidP="00852EEE">
      <w:r>
        <w:rPr>
          <w:bCs/>
          <w:i/>
          <w:lang w:val="lt-LT"/>
        </w:rPr>
        <w:tab/>
      </w:r>
      <w:r w:rsidR="00852EEE">
        <w:rPr>
          <w:lang w:val="lt-LT"/>
        </w:rPr>
        <w:t xml:space="preserve">(Pakeista pagal </w:t>
      </w:r>
      <w:r w:rsidR="00852EEE" w:rsidRPr="0051529C">
        <w:t xml:space="preserve">VMI prie FM </w:t>
      </w:r>
      <w:r w:rsidR="00852EEE" w:rsidRPr="005E14CD">
        <w:t>2026-02-</w:t>
      </w:r>
      <w:r w:rsidR="00852EEE">
        <w:t>12 raštą</w:t>
      </w:r>
      <w:r w:rsidR="00852EEE" w:rsidRPr="005E14CD">
        <w:t xml:space="preserve"> Nr. (18.10-31-1 Mr)</w:t>
      </w:r>
      <w:r w:rsidR="00852EEE">
        <w:t xml:space="preserve"> R-381)</w:t>
      </w:r>
    </w:p>
    <w:p w14:paraId="328A36E3" w14:textId="77777777" w:rsidR="005D2C41" w:rsidRPr="0031383F" w:rsidRDefault="005D2C41" w:rsidP="005D2C41">
      <w:pPr>
        <w:pStyle w:val="HTMLiankstoformatuotas"/>
        <w:ind w:firstLine="720"/>
        <w:jc w:val="both"/>
        <w:rPr>
          <w:rFonts w:ascii="Times New Roman" w:hAnsi="Times New Roman" w:cs="Times New Roman"/>
          <w:b/>
          <w:bCs/>
          <w:sz w:val="24"/>
          <w:szCs w:val="24"/>
          <w:lang w:val="lt-LT"/>
        </w:rPr>
      </w:pPr>
    </w:p>
    <w:p w14:paraId="7B68642C"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b/>
          <w:bCs/>
          <w:sz w:val="24"/>
          <w:szCs w:val="24"/>
          <w:lang w:val="lt-LT"/>
        </w:rPr>
      </w:pPr>
      <w:r w:rsidRPr="0031383F">
        <w:rPr>
          <w:rFonts w:ascii="Times New Roman" w:hAnsi="Times New Roman" w:cs="Times New Roman"/>
          <w:b/>
          <w:bCs/>
          <w:sz w:val="24"/>
          <w:szCs w:val="24"/>
          <w:lang w:val="lt-LT"/>
        </w:rPr>
        <w:t xml:space="preserve">Komentaras </w:t>
      </w:r>
    </w:p>
    <w:p w14:paraId="6ED7F7A6" w14:textId="77777777" w:rsidR="005D2C41" w:rsidRPr="0031383F"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1.</w:t>
      </w:r>
      <w:r w:rsidRPr="0031383F">
        <w:rPr>
          <w:rFonts w:ascii="Times New Roman" w:hAnsi="Times New Roman" w:cs="Times New Roman"/>
          <w:sz w:val="24"/>
          <w:szCs w:val="24"/>
          <w:lang w:val="lt-LT"/>
        </w:rPr>
        <w:tab/>
        <w:t>2001 m. spalio 8 d. Tarybos reglamentu (EB) Nr. 2157/2001 dėl Europos bendrovės (SE) statuto bei su juo susijusia Tarybos direktyva 2001/86/EB, papildančia Europos bendrovės įstatus dėl darbuotojų dalyvavimo priimant sprendimus, ir 2003 m. liepos 22 d. Tarybos reglamentu (EB) Nr. 1435/2003 dėl Europos kooperatinės bendrovės (SCE) statuto bei su juo susijusia Tarybos direktyva 2003/72/EB, papildančia Europos kooperatinės bendrovės statutą dėl darbuotojų dalyvavimo, įtvirtintos naujos įmonių formos – Europos bendrovė ir Europos kooperatinė bendrovė, kurių vienas iš išskirtinių bruožų yra tas, kad vienoje ES valstybėje narėje įsteigta tokia bendrovė gali perkelti toje valstybėje registruotą savo buveinę į kitą ES valstybę narę. Toks perkėlimas nereiškia, kad Europos bendrovė ar Europos kooperatinė bendrovė yra likviduojama ar kad steigiamas naujas juridinis asmuo.</w:t>
      </w:r>
    </w:p>
    <w:p w14:paraId="6E448B52" w14:textId="77777777" w:rsidR="005D2C41" w:rsidRPr="0031383F" w:rsidRDefault="005D2C41" w:rsidP="005D2C41">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 xml:space="preserve">2. Lietuvoje Europos bendrovės steigimą, buveinės perkėlimą, valdymą ir pertvarkymą reglamentuoja Lietuvos Respublikos Europos bendrovių įstatymas, įgyvendinantis minėtą 2001 m. spalio 8 d. Tarybos reglamentą (EB) Nr. 2157/2001 dėl Europos bendrovės (SE) statuto </w:t>
      </w:r>
      <w:r w:rsidRPr="0031383F">
        <w:rPr>
          <w:rFonts w:ascii="Times New Roman" w:hAnsi="Times New Roman" w:cs="Times New Roman"/>
          <w:color w:val="000000"/>
          <w:sz w:val="24"/>
          <w:szCs w:val="24"/>
          <w:shd w:val="clear" w:color="auto" w:fill="FFFFFF"/>
          <w:lang w:val="lt-LT"/>
        </w:rPr>
        <w:t>su paskutiniais pakeitimais, padarytais 2013 m. gegužės 13 d. Tarybos reglamentu (ES) Nr</w:t>
      </w:r>
      <w:r w:rsidRPr="0031383F">
        <w:rPr>
          <w:rFonts w:ascii="Times New Roman" w:hAnsi="Times New Roman" w:cs="Times New Roman"/>
          <w:b/>
          <w:color w:val="000000"/>
          <w:sz w:val="24"/>
          <w:szCs w:val="24"/>
          <w:shd w:val="clear" w:color="auto" w:fill="FFFFFF"/>
          <w:lang w:val="lt-LT"/>
        </w:rPr>
        <w:t xml:space="preserve">. </w:t>
      </w:r>
      <w:r w:rsidRPr="0031383F">
        <w:rPr>
          <w:rFonts w:ascii="Times New Roman" w:hAnsi="Times New Roman" w:cs="Times New Roman"/>
          <w:color w:val="000000"/>
          <w:sz w:val="24"/>
          <w:szCs w:val="24"/>
          <w:shd w:val="clear" w:color="auto" w:fill="FFFFFF"/>
          <w:lang w:val="lt-LT"/>
        </w:rPr>
        <w:t>517/2013</w:t>
      </w:r>
      <w:r w:rsidRPr="0031383F">
        <w:rPr>
          <w:rFonts w:ascii="Times New Roman" w:hAnsi="Times New Roman" w:cs="Times New Roman"/>
          <w:sz w:val="24"/>
          <w:szCs w:val="24"/>
          <w:lang w:val="lt-LT"/>
        </w:rPr>
        <w:t xml:space="preserve"> (toliau – Reglamentas </w:t>
      </w:r>
      <w:r w:rsidRPr="0031383F">
        <w:rPr>
          <w:rFonts w:ascii="Times New Roman" w:hAnsi="Times New Roman" w:cs="Times New Roman"/>
          <w:color w:val="000000"/>
          <w:sz w:val="24"/>
          <w:szCs w:val="24"/>
          <w:shd w:val="clear" w:color="auto" w:fill="FFFFFF"/>
          <w:lang w:val="lt-LT"/>
        </w:rPr>
        <w:t>(ES) Nr. 517/2013</w:t>
      </w:r>
      <w:r w:rsidRPr="0031383F">
        <w:rPr>
          <w:rFonts w:ascii="Times New Roman" w:hAnsi="Times New Roman" w:cs="Times New Roman"/>
          <w:sz w:val="24"/>
          <w:szCs w:val="24"/>
          <w:lang w:val="lt-LT"/>
        </w:rPr>
        <w:t xml:space="preserve">). Europos bendrovėms, kurių buveinė yra Lietuvoje, </w:t>
      </w:r>
      <w:r w:rsidRPr="0031383F">
        <w:rPr>
          <w:rFonts w:ascii="Times New Roman" w:hAnsi="Times New Roman" w:cs="Times New Roman"/>
          <w:i/>
          <w:color w:val="000000"/>
          <w:sz w:val="24"/>
          <w:szCs w:val="24"/>
          <w:shd w:val="clear" w:color="auto" w:fill="FFFFFF"/>
          <w:lang w:val="lt-LT"/>
        </w:rPr>
        <w:t>mutatis mutandis</w:t>
      </w:r>
      <w:r w:rsidRPr="0031383F">
        <w:rPr>
          <w:rFonts w:ascii="Arial" w:hAnsi="Arial" w:cs="Arial"/>
          <w:color w:val="000000"/>
          <w:sz w:val="26"/>
          <w:szCs w:val="26"/>
          <w:shd w:val="clear" w:color="auto" w:fill="FFFFFF"/>
          <w:lang w:val="lt-LT"/>
        </w:rPr>
        <w:t xml:space="preserve"> </w:t>
      </w:r>
      <w:r w:rsidRPr="0031383F">
        <w:rPr>
          <w:rFonts w:ascii="Times New Roman" w:hAnsi="Times New Roman" w:cs="Times New Roman"/>
          <w:sz w:val="24"/>
          <w:szCs w:val="24"/>
          <w:lang w:val="lt-LT"/>
        </w:rPr>
        <w:t>taikomos Lietuvos Respublikos akcinių bendrovių įstatymo normos, kiek tai leidžia Reglamentas ir kiek kitaip nenumatyta Reglamente ir kituose teisės aktuose, reglamentuojančiuose Europos bendroves.</w:t>
      </w:r>
    </w:p>
    <w:p w14:paraId="56A1B7E8" w14:textId="77777777" w:rsidR="005D2C41" w:rsidRPr="0031383F" w:rsidRDefault="005D2C41" w:rsidP="005D2C41">
      <w:pPr>
        <w:pStyle w:val="HTMLiankstoformatuotas"/>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ab/>
        <w:t xml:space="preserve">Juridinių asmenų, kurių teisinė forma yra Europos kooperatinė bendrovė, steigimą, valdymą, pertvarkymą ir buveinės perkėlimą Lietuvoje reglamentuoja Lietuvos Respublikos </w:t>
      </w:r>
      <w:r w:rsidRPr="0031383F">
        <w:rPr>
          <w:rStyle w:val="Hipersaitas"/>
          <w:lang w:val="lt-LT"/>
        </w:rPr>
        <w:t>Europos kooperatinių bendrovių įstatymas</w:t>
      </w:r>
      <w:r w:rsidRPr="0031383F">
        <w:rPr>
          <w:rFonts w:ascii="Times New Roman" w:hAnsi="Times New Roman" w:cs="Times New Roman"/>
          <w:b/>
          <w:sz w:val="24"/>
          <w:szCs w:val="24"/>
          <w:lang w:val="lt-LT"/>
        </w:rPr>
        <w:t>.</w:t>
      </w:r>
      <w:r w:rsidRPr="0031383F">
        <w:rPr>
          <w:rFonts w:ascii="Times New Roman" w:hAnsi="Times New Roman" w:cs="Times New Roman"/>
          <w:sz w:val="24"/>
          <w:szCs w:val="24"/>
          <w:lang w:val="lt-LT"/>
        </w:rPr>
        <w:t xml:space="preserve"> </w:t>
      </w:r>
      <w:r w:rsidRPr="0031383F">
        <w:rPr>
          <w:rFonts w:ascii="Times New Roman" w:hAnsi="Times New Roman" w:cs="Times New Roman"/>
          <w:color w:val="000000"/>
          <w:sz w:val="24"/>
          <w:szCs w:val="24"/>
          <w:shd w:val="clear" w:color="auto" w:fill="FFFFFF"/>
          <w:lang w:val="lt-LT"/>
        </w:rPr>
        <w:t xml:space="preserve">Europos kooperatinėms bendrovėms, kurių buveinė yra Lietuvos Respublikoje, </w:t>
      </w:r>
      <w:r w:rsidRPr="0031383F">
        <w:rPr>
          <w:rFonts w:ascii="Times New Roman" w:hAnsi="Times New Roman" w:cs="Times New Roman"/>
          <w:i/>
          <w:color w:val="000000"/>
          <w:sz w:val="24"/>
          <w:szCs w:val="24"/>
          <w:shd w:val="clear" w:color="auto" w:fill="FFFFFF"/>
          <w:lang w:val="lt-LT"/>
        </w:rPr>
        <w:t>mutatis mutandis</w:t>
      </w:r>
      <w:r w:rsidRPr="0031383F">
        <w:rPr>
          <w:rFonts w:ascii="Times New Roman" w:hAnsi="Times New Roman" w:cs="Times New Roman"/>
          <w:color w:val="000000"/>
          <w:sz w:val="24"/>
          <w:szCs w:val="24"/>
          <w:shd w:val="clear" w:color="auto" w:fill="FFFFFF"/>
          <w:lang w:val="lt-LT"/>
        </w:rPr>
        <w:t xml:space="preserve"> taikomi Lietuvos Respublikos kooperatinių bendrovių (kooperatyvų) įstatymas, reglamentuojantis kooperatines bendroves (kooperatyvus), ir Lietuvos Respublikos akcinių bendrovių įstatymas, reglamentuojantis akcines bendroves, kiek tai leidžia Reglamentas (EB) Nr. </w:t>
      </w:r>
      <w:r w:rsidRPr="0031383F">
        <w:rPr>
          <w:rFonts w:ascii="Times New Roman" w:hAnsi="Times New Roman" w:cs="Times New Roman"/>
          <w:color w:val="000000"/>
          <w:sz w:val="24"/>
          <w:szCs w:val="24"/>
          <w:shd w:val="clear" w:color="auto" w:fill="FFFFFF"/>
          <w:lang w:val="lt-LT"/>
        </w:rPr>
        <w:lastRenderedPageBreak/>
        <w:t>1435/2003 ir kiek kitaip nenustatyta jame, šiame įstatyme ir kituose teisės aktuose, reglamentuojančiuose Europos kooperatines bendroves.</w:t>
      </w:r>
    </w:p>
    <w:p w14:paraId="15192782" w14:textId="60EBAB44" w:rsidR="005D2C41" w:rsidRDefault="005D2C41" w:rsidP="005D2C41">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sidRPr="0031383F">
        <w:rPr>
          <w:rFonts w:ascii="Times New Roman" w:hAnsi="Times New Roman" w:cs="Times New Roman"/>
          <w:sz w:val="24"/>
          <w:szCs w:val="24"/>
          <w:lang w:val="lt-LT"/>
        </w:rPr>
        <w:t>3. Pagal šio punkto nuostatą, kai Lietuvoje registruota Europos bendrovė ar Europos kooperatinė bendrovė, perkelia savo registruotą buveinę į kitą ES valstybę narę, tai dėl tokio perkėlimo susidariusios šio Lietuvos vieneto turto vertės padidėjimo pajamos bei nuostoliai pripažįstami PMĮ IX skyriaus kituose straipsniuose nustatyta tvarka.</w:t>
      </w:r>
    </w:p>
    <w:p w14:paraId="56FD0AE3" w14:textId="54748EA6" w:rsidR="007E08F1" w:rsidRDefault="007E08F1" w:rsidP="007E08F1">
      <w:r>
        <w:rPr>
          <w:lang w:val="lt-LT"/>
        </w:rPr>
        <w:tab/>
        <w:t xml:space="preserve">(Pakeista pagal </w:t>
      </w:r>
      <w:r w:rsidRPr="0051529C">
        <w:t xml:space="preserve">VMI prie FM </w:t>
      </w:r>
      <w:r w:rsidRPr="005E14CD">
        <w:t>2026-02-</w:t>
      </w:r>
      <w:r>
        <w:t>12 raštą</w:t>
      </w:r>
      <w:r w:rsidRPr="005E14CD">
        <w:t xml:space="preserve"> Nr. (18.10-31-1 Mr)</w:t>
      </w:r>
      <w:r>
        <w:t xml:space="preserve"> R-381)</w:t>
      </w:r>
    </w:p>
    <w:p w14:paraId="010D731B" w14:textId="77777777" w:rsidR="005D2C41" w:rsidRPr="0031383F" w:rsidRDefault="005D2C41" w:rsidP="005D2C41">
      <w:pPr>
        <w:jc w:val="both"/>
        <w:rPr>
          <w:strike/>
          <w:lang w:val="lt-LT"/>
        </w:rPr>
      </w:pPr>
      <w:r w:rsidRPr="0031383F">
        <w:rPr>
          <w:iCs/>
          <w:lang w:val="lt-LT" w:eastAsia="lt-LT"/>
        </w:rPr>
        <w:t xml:space="preserve">            </w:t>
      </w:r>
    </w:p>
    <w:p w14:paraId="3473BDBA" w14:textId="77777777" w:rsidR="00093845" w:rsidRDefault="000D779E">
      <w:pPr>
        <w:pStyle w:val="HTMLiankstoformatuotas"/>
        <w:jc w:val="both"/>
        <w:rPr>
          <w:rFonts w:ascii="Times New Roman" w:hAnsi="Times New Roman" w:cs="Times New Roman"/>
          <w:b/>
          <w:sz w:val="24"/>
          <w:szCs w:val="24"/>
          <w:lang w:val="lt-LT"/>
        </w:rPr>
      </w:pPr>
      <w:r>
        <w:rPr>
          <w:rFonts w:ascii="Times New Roman" w:hAnsi="Times New Roman" w:cs="Times New Roman"/>
          <w:b/>
          <w:sz w:val="24"/>
          <w:szCs w:val="24"/>
          <w:lang w:val="lt-LT"/>
        </w:rPr>
        <w:t>2. Reorganizavimo ar perleidimo atvejai:</w:t>
      </w:r>
    </w:p>
    <w:p w14:paraId="57426807"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299DBE1E" w14:textId="77777777" w:rsidR="00093845" w:rsidRDefault="000D779E">
      <w:pPr>
        <w:pStyle w:val="Pagrindiniotekstotrauka2"/>
        <w:spacing w:line="240" w:lineRule="auto"/>
        <w:rPr>
          <w:b w:val="0"/>
          <w:bCs w:val="0"/>
        </w:rPr>
      </w:pPr>
      <w:r>
        <w:rPr>
          <w:b w:val="0"/>
          <w:bCs w:val="0"/>
        </w:rPr>
        <w:t>1. Šioje dalyje apibrėžti reorganizavimo ir perleidimo atvejai (1-4 punktuose - reorganizavimas (jungimas ir skaidymas), 5-6 punktuose - veiklos dalies ar veiklos kaip komplekso perleidimas, 7 punkte – keitimasis akcijomis, 8 punkte - vieneto dalies atskyrimas, 9 punkte - Europos bendrovės bei Europos kooperatinės bendrovės registruotų buveinių perkėlimas), kuriais vienetų ir jų dalyvių pajamos bei nuostoliai pripažįstami PMĮ IX skyriaus straipsniuose nustatyta tvarka, jei reorganizavimo ar perleidimo dalyviai yra PMĮ 41 str. 1 dalies 1-3 punktuose apibrėžti vienetai.</w:t>
      </w:r>
    </w:p>
    <w:p w14:paraId="23935C1E" w14:textId="77777777" w:rsidR="00093845" w:rsidRDefault="000D779E">
      <w:pPr>
        <w:pStyle w:val="Pagrindiniotekstotrauka"/>
        <w:tabs>
          <w:tab w:val="left" w:pos="720"/>
        </w:tabs>
        <w:rPr>
          <w:lang w:val="lt-LT"/>
        </w:rPr>
      </w:pPr>
      <w:r>
        <w:rPr>
          <w:lang w:val="lt-LT"/>
        </w:rPr>
        <w:t xml:space="preserve">Vienetai gali būti reorganizuojami jungimo arba skaidymo būdu. </w:t>
      </w:r>
    </w:p>
    <w:p w14:paraId="6741AEDB" w14:textId="77777777" w:rsidR="00093845" w:rsidRDefault="000D779E">
      <w:pPr>
        <w:pStyle w:val="Pagrindiniotekstotrauka"/>
        <w:tabs>
          <w:tab w:val="left" w:pos="720"/>
        </w:tabs>
        <w:rPr>
          <w:lang w:val="lt-LT"/>
        </w:rPr>
      </w:pPr>
      <w:r>
        <w:rPr>
          <w:lang w:val="lt-LT"/>
        </w:rPr>
        <w:t>Reorganizavimas jungimo būdu gali būti atliekamas dviem būdais prijungimo arba sujungimo. Prijungimas - tai vieno ar daugiau juridinių asmenų prijungimas prie kito juridinio asmens, kuriam pereina visos reorganizuojamo juridinio asmens teisės ir pareigos. Sujungimas - tai</w:t>
      </w:r>
      <w:r>
        <w:rPr>
          <w:b/>
          <w:bCs/>
          <w:lang w:val="lt-LT"/>
        </w:rPr>
        <w:t xml:space="preserve"> </w:t>
      </w:r>
      <w:r>
        <w:rPr>
          <w:lang w:val="lt-LT"/>
        </w:rPr>
        <w:t xml:space="preserve">dviejų ar daugiau juridinių asmenų susivienijimas į naują juridinį asmenį, kuriam pereina visos reorganizuotų juridinių asmenų teisės ir pareigos. </w:t>
      </w:r>
    </w:p>
    <w:p w14:paraId="5DDDFE18" w14:textId="77777777" w:rsidR="00093845" w:rsidRDefault="000D779E">
      <w:pPr>
        <w:pStyle w:val="Pagrindiniotekstotrauka"/>
        <w:tabs>
          <w:tab w:val="left" w:pos="720"/>
        </w:tabs>
        <w:rPr>
          <w:lang w:val="lt-LT"/>
        </w:rPr>
      </w:pPr>
      <w:r>
        <w:rPr>
          <w:lang w:val="lt-LT"/>
        </w:rPr>
        <w:t>Vienetus reorganizuojami skaidymo būdu, atliekamas jų išdalijimas arba padalijimas. Padalijimas - tai vieno reorganizuojamo juridinio asmens pagrindu įsteigimas dviejų ar daugiau juridinių asmenų, kuriems tam tikromis dalimis pereina reorganizuoto juridinio asmens teisės ir pareigos. Išdalijimas - tai reorganizuojamo juridinio asmens teisių ir pareigų išdalijimas kitiems veikiantiems juridiniams asmenims.</w:t>
      </w:r>
    </w:p>
    <w:p w14:paraId="2869C63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iCs/>
          <w:sz w:val="24"/>
          <w:szCs w:val="24"/>
          <w:lang w:val="lt-LT"/>
        </w:rPr>
      </w:pPr>
      <w:r>
        <w:rPr>
          <w:rFonts w:ascii="Times New Roman" w:hAnsi="Times New Roman"/>
          <w:iCs/>
          <w:sz w:val="24"/>
          <w:szCs w:val="24"/>
          <w:lang w:val="lt-LT"/>
        </w:rPr>
        <w:t xml:space="preserve">Sąvoka ,,likvidavimo procedūra“ reiškia veiksmus, kuriais nustatomas vieneto turtas bei įsipareigojimai, tas turtas atitinkamai paskirstomas, ir šitaip nutraukiama vieneto veikla. Šioje dalyje vartojama sąvoka ,,be likvidavimo procedūros“ reiškia, kad vienetus reorganizuojant likvidavimo procedūra neatliekama, nes reorganizuojamų vienetų veikla nesibaigia – jų turtas, teisės ir pareigos pereina kitiems vienetams. </w:t>
      </w:r>
    </w:p>
    <w:p w14:paraId="7CE54015"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iCs/>
          <w:color w:val="000080"/>
          <w:sz w:val="22"/>
          <w:szCs w:val="22"/>
          <w:lang w:val="lt-LT"/>
        </w:rPr>
      </w:pPr>
    </w:p>
    <w:p w14:paraId="01D85042"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1) vienetai reorganizuojami prijungiant, t. y. vienas ar keli vienetai, baigę veiklą be likvidavimo procedūros (toliau – įsigyjamieji vienetai), prijungiami prie kito, jau esančio, vieneto (toliau – įsigyjantysis vienetas) ir prijungimo momentu visas įsigyjamųjų vienetų turtas, teisės ir pareigos pereina įsigyjančiajam vienetui, įsigyjamojo vieneto dalyviai vietoj turėtų įsigyjamojo vieneto akcijų (dalių, pajų) mainais gauna išleistų įsigyjančiojo vieneto, kuriam pereina įsigyjamojo vieneto turtas, teisės ir pareigos, akcijų (dalių, pajų); jei, keičiant įsigyjamųjų vienetų akcijas į įsigyjančiojo vieneto akcijas, akcijų kainų skirtumas apmokamas pinigais – tai ne daugiau kaip 10 procentų akcijų nominalios vertės arba, kai nominalios vertės nėra, ne daugiau kaip 10 procentų balansinės akcijų vertės; </w:t>
      </w:r>
    </w:p>
    <w:p w14:paraId="628B935F"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1FA1817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lastRenderedPageBreak/>
        <w:t xml:space="preserve">1. Šiame punkte numatytas reorganizavimas, atliekant prijungimą, kai </w:t>
      </w:r>
      <w:r>
        <w:rPr>
          <w:rFonts w:ascii="Times New Roman" w:hAnsi="Times New Roman"/>
          <w:b/>
          <w:sz w:val="24"/>
          <w:lang w:val="lt-LT"/>
        </w:rPr>
        <w:t xml:space="preserve">prie jau esančio vieneto </w:t>
      </w:r>
      <w:r>
        <w:rPr>
          <w:rFonts w:ascii="Times New Roman" w:hAnsi="Times New Roman"/>
          <w:sz w:val="24"/>
          <w:lang w:val="lt-LT"/>
        </w:rPr>
        <w:t xml:space="preserve">(t.y. įsigyjančiojo vieneto), kuris tęsia veiklą, </w:t>
      </w:r>
      <w:r>
        <w:rPr>
          <w:rFonts w:ascii="Times New Roman" w:hAnsi="Times New Roman"/>
          <w:b/>
          <w:sz w:val="24"/>
          <w:lang w:val="lt-LT"/>
        </w:rPr>
        <w:t>prijungiamas</w:t>
      </w:r>
      <w:r>
        <w:rPr>
          <w:rFonts w:ascii="Times New Roman" w:hAnsi="Times New Roman"/>
          <w:sz w:val="24"/>
          <w:lang w:val="lt-LT"/>
        </w:rPr>
        <w:t xml:space="preserve"> kitas vienetas ar keli kiti vienetai (t.y. įsigyjamieji vienetai), kurie baigia savo veiklą be likvidavimo procedūros, ir kai tokio prijungimo momentu išpildomos šios dvi sąlygos:</w:t>
      </w:r>
    </w:p>
    <w:p w14:paraId="11F0E743"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lang w:val="lt-LT"/>
        </w:rPr>
      </w:pPr>
      <w:r>
        <w:rPr>
          <w:rFonts w:ascii="Times New Roman" w:hAnsi="Times New Roman"/>
          <w:sz w:val="24"/>
          <w:lang w:val="lt-LT"/>
        </w:rPr>
        <w:t xml:space="preserve">įsigyjamųjų vienetų visas turtas, teisės ir pareigos perduodamos įsigyjančiajam vienetui, </w:t>
      </w:r>
      <w:r>
        <w:rPr>
          <w:rFonts w:ascii="Times New Roman" w:hAnsi="Times New Roman"/>
          <w:b/>
          <w:bCs/>
          <w:sz w:val="24"/>
          <w:lang w:val="lt-LT"/>
        </w:rPr>
        <w:t>ir</w:t>
      </w:r>
    </w:p>
    <w:p w14:paraId="61E4A2D2"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iCs/>
          <w:sz w:val="24"/>
          <w:szCs w:val="24"/>
          <w:lang w:val="lt-LT"/>
        </w:rPr>
      </w:pPr>
      <w:r>
        <w:rPr>
          <w:rFonts w:ascii="Times New Roman" w:hAnsi="Times New Roman"/>
          <w:sz w:val="24"/>
          <w:lang w:val="lt-LT"/>
        </w:rPr>
        <w:t xml:space="preserve">įsigyjamųjų vienetų dalyviai </w:t>
      </w:r>
      <w:r>
        <w:rPr>
          <w:rFonts w:ascii="Times New Roman" w:hAnsi="Times New Roman" w:cs="Times New Roman"/>
          <w:sz w:val="24"/>
          <w:szCs w:val="24"/>
          <w:lang w:val="lt-LT"/>
        </w:rPr>
        <w:t>vietoj turėtų įsigyjamojo vieneto akcijų (dalių, pajų) mainais gauna išleistų įsigyjančiojo vieneto, kuriam pereina įsigyjamojo vieneto turtas, teisės ir pareigos, akcijų (dalių, pajų).</w:t>
      </w:r>
    </w:p>
    <w:p w14:paraId="1B4735F2"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sz w:val="24"/>
          <w:lang w:val="lt-LT"/>
        </w:rPr>
        <w:t>2. J</w:t>
      </w:r>
      <w:r>
        <w:rPr>
          <w:rFonts w:ascii="Times New Roman" w:hAnsi="Times New Roman" w:cs="Times New Roman"/>
          <w:sz w:val="24"/>
          <w:szCs w:val="24"/>
          <w:lang w:val="lt-LT"/>
        </w:rPr>
        <w:t xml:space="preserve">ei, keičiant įsigyjamųjų vienetų akcijas į įsigyjančiojo vieneto akcijas pagal reorganizavimo sąlygose numatytą akcijų keitimo santykį susidaręs akcijų kainų skirtumas apmokamas pinigais, </w:t>
      </w:r>
      <w:r>
        <w:rPr>
          <w:rFonts w:ascii="Times New Roman" w:hAnsi="Times New Roman"/>
          <w:sz w:val="24"/>
          <w:lang w:val="lt-LT"/>
        </w:rPr>
        <w:t xml:space="preserve">tai turi būti išpildoma papildoma sąlyga, kad įsigyjamojo vieneto (t.y. po reorganizavimo pasibaigsiančio vieneto) akcininkams taip išmokama suma negali būti didesnė kaip 10 procentų įsigyjančiojo vieneto naujai išleistų akcijų nominalios vertės arba, jei nominalios vertės nėra, - </w:t>
      </w:r>
      <w:r>
        <w:rPr>
          <w:rFonts w:ascii="Times New Roman" w:hAnsi="Times New Roman" w:cs="Times New Roman"/>
          <w:sz w:val="24"/>
          <w:szCs w:val="24"/>
          <w:lang w:val="lt-LT"/>
        </w:rPr>
        <w:t xml:space="preserve">balansinės akcijų vertės. </w:t>
      </w:r>
    </w:p>
    <w:p w14:paraId="15ED4EB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4BF1BF7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3.</w:t>
      </w:r>
      <w:r>
        <w:rPr>
          <w:rFonts w:ascii="Times New Roman" w:hAnsi="Times New Roman"/>
          <w:iCs/>
          <w:sz w:val="24"/>
          <w:szCs w:val="24"/>
          <w:lang w:val="lt-LT"/>
        </w:rPr>
        <w:tab/>
        <w:t>Šis punktas taikomas ir tuo atveju, kai įsigyjantysis vienetas iki įsigyjamojo vieneto prijungimo jau turėjo įsigyjamojo vieneto akcijų arba įsigyjamasis vienetas turėjo supirkęs savo akcijų. Tačiau tokios įsigyjančiojo vieneto turimos įsigyjamojo vieneto akcijos ir įsigyjamojo vieneto supirktos savo akcijos (įskaitant akcijas įgytas asmens, veikiančio savo vardu, bet dėl įsigyjamojo vieneto interesų ir jo lėšomis), atsižvelgiant į Lietuvos Respublikos akcinių bendrovių įstatymo 67 str. 4 dalį į įsigyjančiojo vieneto akcijas nekeičiamos.</w:t>
      </w:r>
    </w:p>
    <w:p w14:paraId="144AEACF"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4. Jei įsigyjantysis vienetas yra užsienio vienetas, nurodytas PMĮ 41 str. 1 d. 2 punkte, tai  turi būti įvykdyti papildomi reikalavimai, nustatyti PMĮ 41 str. 3 dalyje (žr. PMĮ 41 str. 3 dalies komentarą). </w:t>
      </w:r>
    </w:p>
    <w:p w14:paraId="191ED1FB" w14:textId="77777777" w:rsidR="00093845" w:rsidRDefault="000D779E">
      <w:pPr>
        <w:pStyle w:val="Pagrindiniotekstotrauka2"/>
        <w:tabs>
          <w:tab w:val="left" w:pos="720"/>
          <w:tab w:val="left" w:pos="1080"/>
        </w:tabs>
        <w:spacing w:line="240" w:lineRule="auto"/>
        <w:ind w:firstLine="0"/>
        <w:rPr>
          <w:b w:val="0"/>
          <w:bCs w:val="0"/>
        </w:rPr>
      </w:pPr>
      <w:r>
        <w:rPr>
          <w:b w:val="0"/>
          <w:bCs w:val="0"/>
        </w:rPr>
        <w:tab/>
      </w:r>
    </w:p>
    <w:p w14:paraId="4E6A484C" w14:textId="77777777" w:rsidR="004B188B" w:rsidRDefault="004B188B">
      <w:pPr>
        <w:pStyle w:val="Pagrindiniotekstotrauka2"/>
        <w:tabs>
          <w:tab w:val="left" w:pos="720"/>
          <w:tab w:val="left" w:pos="1080"/>
        </w:tabs>
        <w:spacing w:line="240" w:lineRule="auto"/>
        <w:ind w:firstLine="0"/>
        <w:rPr>
          <w:b w:val="0"/>
          <w:bCs w:val="0"/>
        </w:rPr>
      </w:pPr>
    </w:p>
    <w:p w14:paraId="5E647BB3" w14:textId="77777777" w:rsidR="004B188B" w:rsidRDefault="004B188B">
      <w:pPr>
        <w:pStyle w:val="Pagrindiniotekstotrauka2"/>
        <w:tabs>
          <w:tab w:val="left" w:pos="720"/>
          <w:tab w:val="left" w:pos="1080"/>
        </w:tabs>
        <w:spacing w:line="240" w:lineRule="auto"/>
        <w:ind w:firstLine="0"/>
        <w:rPr>
          <w:b w:val="0"/>
          <w:bCs w:val="0"/>
        </w:rPr>
      </w:pPr>
    </w:p>
    <w:p w14:paraId="4FEA780A" w14:textId="77777777" w:rsidR="004B188B" w:rsidRDefault="004B188B">
      <w:pPr>
        <w:pStyle w:val="Pagrindiniotekstotrauka2"/>
        <w:tabs>
          <w:tab w:val="left" w:pos="720"/>
          <w:tab w:val="left" w:pos="1080"/>
        </w:tabs>
        <w:spacing w:line="240" w:lineRule="auto"/>
        <w:ind w:firstLine="0"/>
        <w:rPr>
          <w:b w:val="0"/>
          <w:bCs w:val="0"/>
        </w:rPr>
      </w:pPr>
    </w:p>
    <w:p w14:paraId="710BF4B1" w14:textId="77777777" w:rsidR="004B188B" w:rsidRDefault="004B188B">
      <w:pPr>
        <w:pStyle w:val="Pagrindiniotekstotrauka2"/>
        <w:tabs>
          <w:tab w:val="left" w:pos="720"/>
          <w:tab w:val="left" w:pos="1080"/>
        </w:tabs>
        <w:spacing w:line="240" w:lineRule="auto"/>
        <w:ind w:firstLine="0"/>
        <w:rPr>
          <w:b w:val="0"/>
          <w:bCs w:val="0"/>
        </w:rPr>
      </w:pPr>
    </w:p>
    <w:p w14:paraId="72B71B11" w14:textId="77777777" w:rsidR="00093845" w:rsidRDefault="000D779E">
      <w:pPr>
        <w:pStyle w:val="Pagrindiniotekstotrauka2"/>
        <w:tabs>
          <w:tab w:val="left" w:pos="720"/>
          <w:tab w:val="left" w:pos="1080"/>
        </w:tabs>
        <w:ind w:firstLine="0"/>
        <w:rPr>
          <w:bCs w:val="0"/>
        </w:rPr>
      </w:pPr>
      <w:r>
        <w:rPr>
          <w:b w:val="0"/>
          <w:bCs w:val="0"/>
        </w:rPr>
        <w:tab/>
      </w:r>
      <w:r>
        <w:rPr>
          <w:bCs w:val="0"/>
        </w:rPr>
        <w:t>Schema.</w:t>
      </w:r>
    </w:p>
    <w:p w14:paraId="7596434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jc w:val="both"/>
        <w:rPr>
          <w:rFonts w:ascii="Times New Roman" w:hAnsi="Times New Roman"/>
          <w:b/>
          <w:bCs/>
          <w:sz w:val="24"/>
          <w:lang w:val="lt-LT"/>
        </w:rPr>
      </w:pPr>
      <w:r>
        <w:rPr>
          <w:rFonts w:ascii="Times New Roman" w:hAnsi="Times New Roman"/>
          <w:b/>
          <w:bCs/>
          <w:noProof/>
          <w:sz w:val="24"/>
          <w:lang w:val="lt-LT" w:eastAsia="lt-LT"/>
        </w:rPr>
        <mc:AlternateContent>
          <mc:Choice Requires="wpc">
            <w:drawing>
              <wp:inline distT="0" distB="0" distL="0" distR="0" wp14:anchorId="5A12655A" wp14:editId="0EC707C3">
                <wp:extent cx="5666740" cy="2399030"/>
                <wp:effectExtent l="0" t="0" r="0" b="3810"/>
                <wp:docPr id="103" name="Drobė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1" name="AutoShape 105"/>
                        <wps:cNvCnPr/>
                        <wps:spPr bwMode="auto">
                          <a:xfrm flipH="1">
                            <a:off x="1962311" y="608783"/>
                            <a:ext cx="2928086" cy="1497343"/>
                          </a:xfrm>
                          <a:prstGeom prst="straightConnector1">
                            <a:avLst/>
                          </a:prstGeom>
                          <a:noFill/>
                          <a:ln w="19050">
                            <a:solidFill>
                              <a:srgbClr val="000000"/>
                            </a:solidFill>
                            <a:round/>
                            <a:tailEnd type="triangle" w="med" len="med"/>
                          </a:ln>
                        </wps:spPr>
                        <wps:bodyPr/>
                      </wps:wsp>
                      <wps:wsp>
                        <wps:cNvPr id="132" name="AutoShape 106"/>
                        <wps:cNvSpPr>
                          <a:spLocks noChangeArrowheads="1"/>
                        </wps:cNvSpPr>
                        <wps:spPr bwMode="auto">
                          <a:xfrm>
                            <a:off x="19429" y="1818143"/>
                            <a:ext cx="1942882" cy="575964"/>
                          </a:xfrm>
                          <a:prstGeom prst="flowChartProcess">
                            <a:avLst/>
                          </a:prstGeom>
                          <a:solidFill>
                            <a:srgbClr val="FFFFFF"/>
                          </a:solidFill>
                          <a:ln w="9525">
                            <a:solidFill>
                              <a:srgbClr val="000000"/>
                            </a:solidFill>
                            <a:miter lim="800000"/>
                          </a:ln>
                        </wps:spPr>
                        <wps:txbx>
                          <w:txbxContent>
                            <w:p w14:paraId="0C1889EB" w14:textId="77777777" w:rsidR="007B24A1" w:rsidRDefault="007B24A1">
                              <w:pPr>
                                <w:jc w:val="center"/>
                                <w:rPr>
                                  <w:sz w:val="20"/>
                                  <w:szCs w:val="20"/>
                                  <w:lang w:val="lt-LT"/>
                                </w:rPr>
                              </w:pPr>
                            </w:p>
                            <w:p w14:paraId="246FA0B7" w14:textId="77777777" w:rsidR="007B24A1" w:rsidRDefault="007B24A1">
                              <w:pPr>
                                <w:jc w:val="center"/>
                                <w:rPr>
                                  <w:sz w:val="20"/>
                                  <w:szCs w:val="20"/>
                                  <w:lang w:val="lt-LT"/>
                                </w:rPr>
                              </w:pPr>
                              <w:r>
                                <w:rPr>
                                  <w:lang w:val="lt-LT"/>
                                </w:rPr>
                                <w:t>Įsigyjamojo vieneto dalyviai</w:t>
                              </w:r>
                            </w:p>
                          </w:txbxContent>
                        </wps:txbx>
                        <wps:bodyPr rot="0" vert="horz" wrap="square" lIns="91440" tIns="45720" rIns="91440" bIns="45720" anchor="t" anchorCtr="0" upright="1">
                          <a:noAutofit/>
                        </wps:bodyPr>
                      </wps:wsp>
                      <wps:wsp>
                        <wps:cNvPr id="133" name="AutoShape 107"/>
                        <wps:cNvSpPr>
                          <a:spLocks noChangeArrowheads="1"/>
                        </wps:cNvSpPr>
                        <wps:spPr bwMode="auto">
                          <a:xfrm>
                            <a:off x="19429" y="904149"/>
                            <a:ext cx="1942882" cy="575964"/>
                          </a:xfrm>
                          <a:prstGeom prst="flowChartProcess">
                            <a:avLst/>
                          </a:prstGeom>
                          <a:solidFill>
                            <a:srgbClr val="FFFFFF"/>
                          </a:solidFill>
                          <a:ln w="9525">
                            <a:solidFill>
                              <a:srgbClr val="000000"/>
                            </a:solidFill>
                            <a:miter lim="800000"/>
                          </a:ln>
                        </wps:spPr>
                        <wps:txbx>
                          <w:txbxContent>
                            <w:p w14:paraId="52B04557"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wps:wsp>
                        <wps:cNvPr id="134" name="AutoShape 108"/>
                        <wps:cNvSpPr>
                          <a:spLocks noChangeArrowheads="1"/>
                        </wps:cNvSpPr>
                        <wps:spPr bwMode="auto">
                          <a:xfrm>
                            <a:off x="19429" y="28716"/>
                            <a:ext cx="1942073" cy="575144"/>
                          </a:xfrm>
                          <a:prstGeom prst="flowChartProcess">
                            <a:avLst/>
                          </a:prstGeom>
                          <a:solidFill>
                            <a:srgbClr val="FFFFFF"/>
                          </a:solidFill>
                          <a:ln w="28575">
                            <a:solidFill>
                              <a:srgbClr val="000000"/>
                            </a:solidFill>
                            <a:miter lim="800000"/>
                          </a:ln>
                        </wps:spPr>
                        <wps:txbx>
                          <w:txbxContent>
                            <w:p w14:paraId="53F93D52" w14:textId="77777777" w:rsidR="007B24A1" w:rsidRDefault="007B24A1">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wps:txbx>
                        <wps:bodyPr rot="0" vert="horz" wrap="square" lIns="91440" tIns="45720" rIns="91440" bIns="45720" anchor="t" anchorCtr="0" upright="1">
                          <a:noAutofit/>
                        </wps:bodyPr>
                      </wps:wsp>
                      <wps:wsp>
                        <wps:cNvPr id="135" name="AutoShape 109"/>
                        <wps:cNvSpPr>
                          <a:spLocks noChangeArrowheads="1"/>
                        </wps:cNvSpPr>
                        <wps:spPr bwMode="auto">
                          <a:xfrm>
                            <a:off x="2312030" y="23793"/>
                            <a:ext cx="1511401" cy="575964"/>
                          </a:xfrm>
                          <a:prstGeom prst="flowChartProcess">
                            <a:avLst/>
                          </a:prstGeom>
                          <a:solidFill>
                            <a:srgbClr val="FFFFFF"/>
                          </a:solidFill>
                          <a:ln w="9525">
                            <a:solidFill>
                              <a:srgbClr val="000000"/>
                            </a:solidFill>
                            <a:miter lim="800000"/>
                          </a:ln>
                        </wps:spPr>
                        <wps:txbx>
                          <w:txbxContent>
                            <w:p w14:paraId="22F8E53D"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136" name="AutoShape 110"/>
                        <wps:cNvSpPr>
                          <a:spLocks noChangeArrowheads="1"/>
                        </wps:cNvSpPr>
                        <wps:spPr bwMode="auto">
                          <a:xfrm>
                            <a:off x="4133482" y="18871"/>
                            <a:ext cx="1513829" cy="575964"/>
                          </a:xfrm>
                          <a:prstGeom prst="flowChartProcess">
                            <a:avLst/>
                          </a:prstGeom>
                          <a:solidFill>
                            <a:srgbClr val="FFFFFF"/>
                          </a:solidFill>
                          <a:ln w="28575">
                            <a:solidFill>
                              <a:srgbClr val="000000"/>
                            </a:solidFill>
                            <a:miter lim="800000"/>
                          </a:ln>
                        </wps:spPr>
                        <wps:txbx>
                          <w:txbxContent>
                            <w:p w14:paraId="44CB20BC" w14:textId="77777777" w:rsidR="007B24A1" w:rsidRDefault="007B24A1">
                              <w:pPr>
                                <w:jc w:val="center"/>
                                <w:rPr>
                                  <w:sz w:val="20"/>
                                  <w:szCs w:val="20"/>
                                  <w:lang w:val="lt-LT"/>
                                </w:rPr>
                              </w:pPr>
                            </w:p>
                            <w:p w14:paraId="3FB3B19A" w14:textId="77777777" w:rsidR="007B24A1" w:rsidRDefault="007B24A1">
                              <w:pPr>
                                <w:jc w:val="center"/>
                                <w:rPr>
                                  <w:sz w:val="20"/>
                                  <w:szCs w:val="20"/>
                                  <w:lang w:val="lt-LT"/>
                                </w:rPr>
                              </w:pPr>
                              <w:r>
                                <w:rPr>
                                  <w:lang w:val="lt-LT"/>
                                </w:rPr>
                                <w:t xml:space="preserve">Įsigyjantysis vienetas </w:t>
                              </w:r>
                              <w:r>
                                <w:rPr>
                                  <w:b/>
                                  <w:bCs/>
                                  <w:sz w:val="20"/>
                                  <w:szCs w:val="20"/>
                                  <w:lang w:val="lt-LT"/>
                                </w:rPr>
                                <w:t>B</w:t>
                              </w:r>
                            </w:p>
                          </w:txbxContent>
                        </wps:txbx>
                        <wps:bodyPr rot="0" vert="horz" wrap="square" lIns="91440" tIns="45720" rIns="91440" bIns="45720" anchor="t" anchorCtr="0" upright="1">
                          <a:noAutofit/>
                        </wps:bodyPr>
                      </wps:wsp>
                      <wps:wsp>
                        <wps:cNvPr id="137" name="AutoShape 111"/>
                        <wps:cNvSpPr>
                          <a:spLocks noChangeArrowheads="1"/>
                        </wps:cNvSpPr>
                        <wps:spPr bwMode="auto">
                          <a:xfrm>
                            <a:off x="2335506" y="904149"/>
                            <a:ext cx="3311805" cy="575144"/>
                          </a:xfrm>
                          <a:prstGeom prst="flowChartProcess">
                            <a:avLst/>
                          </a:prstGeom>
                          <a:solidFill>
                            <a:srgbClr val="FFFFFF"/>
                          </a:solidFill>
                          <a:ln w="9525">
                            <a:solidFill>
                              <a:srgbClr val="000000"/>
                            </a:solidFill>
                            <a:miter lim="800000"/>
                          </a:ln>
                        </wps:spPr>
                        <wps:txbx>
                          <w:txbxContent>
                            <w:p w14:paraId="06BC1EA1" w14:textId="77777777" w:rsidR="007B24A1" w:rsidRDefault="007B24A1">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naujai išleistos akcijos</w:t>
                              </w:r>
                            </w:p>
                            <w:p w14:paraId="79EFC174" w14:textId="77777777" w:rsidR="007B24A1" w:rsidRDefault="007B24A1">
                              <w:pPr>
                                <w:jc w:val="center"/>
                                <w:rPr>
                                  <w:sz w:val="20"/>
                                  <w:szCs w:val="20"/>
                                  <w:lang w:val="lt-LT"/>
                                </w:rPr>
                              </w:pPr>
                              <w:r>
                                <w:rPr>
                                  <w:sz w:val="20"/>
                                  <w:szCs w:val="20"/>
                                  <w:lang w:val="lt-LT"/>
                                </w:rPr>
                                <w:t>(akcijų kainų skirtumas (ne daugiau kaip 10 %) gali būti išmokamas pinigais)</w:t>
                              </w:r>
                            </w:p>
                          </w:txbxContent>
                        </wps:txbx>
                        <wps:bodyPr rot="0" vert="horz" wrap="square" lIns="91440" tIns="45720" rIns="91440" bIns="45720" anchor="t" anchorCtr="0" upright="1">
                          <a:noAutofit/>
                        </wps:bodyPr>
                      </wps:wsp>
                      <wps:wsp>
                        <wps:cNvPr id="138" name="AutoShape 112"/>
                        <wps:cNvCnPr/>
                        <wps:spPr bwMode="auto">
                          <a:xfrm flipV="1">
                            <a:off x="1975264" y="311775"/>
                            <a:ext cx="336766" cy="4102"/>
                          </a:xfrm>
                          <a:prstGeom prst="straightConnector1">
                            <a:avLst/>
                          </a:prstGeom>
                          <a:noFill/>
                          <a:ln w="19050">
                            <a:solidFill>
                              <a:srgbClr val="000000"/>
                            </a:solidFill>
                            <a:prstDash val="sysDot"/>
                            <a:round/>
                          </a:ln>
                        </wps:spPr>
                        <wps:bodyPr/>
                      </wps:wsp>
                      <wps:wsp>
                        <wps:cNvPr id="139" name="AutoShape 113"/>
                        <wps:cNvCnPr/>
                        <wps:spPr bwMode="auto">
                          <a:xfrm flipV="1">
                            <a:off x="3823430" y="307673"/>
                            <a:ext cx="295480" cy="4102"/>
                          </a:xfrm>
                          <a:prstGeom prst="straightConnector1">
                            <a:avLst/>
                          </a:prstGeom>
                          <a:noFill/>
                          <a:ln w="9525">
                            <a:solidFill>
                              <a:srgbClr val="000000"/>
                            </a:solidFill>
                            <a:prstDash val="sysDot"/>
                            <a:round/>
                          </a:ln>
                        </wps:spPr>
                        <wps:bodyPr/>
                      </wps:wsp>
                      <wps:wsp>
                        <wps:cNvPr id="141" name="AutoShape 114"/>
                        <wps:cNvCnPr/>
                        <wps:spPr bwMode="auto">
                          <a:xfrm flipV="1">
                            <a:off x="3823430" y="307673"/>
                            <a:ext cx="295480" cy="4102"/>
                          </a:xfrm>
                          <a:prstGeom prst="straightConnector1">
                            <a:avLst/>
                          </a:prstGeom>
                          <a:noFill/>
                          <a:ln w="19050">
                            <a:solidFill>
                              <a:srgbClr val="000000"/>
                            </a:solidFill>
                            <a:prstDash val="sysDot"/>
                            <a:round/>
                            <a:tailEnd type="triangle" w="med" len="med"/>
                          </a:ln>
                        </wps:spPr>
                        <wps:bodyPr/>
                      </wps:wsp>
                      <wps:wsp>
                        <wps:cNvPr id="142" name="AutoShape 115"/>
                        <wps:cNvCnPr/>
                        <wps:spPr bwMode="auto">
                          <a:xfrm>
                            <a:off x="990870" y="617808"/>
                            <a:ext cx="810" cy="286341"/>
                          </a:xfrm>
                          <a:prstGeom prst="straightConnector1">
                            <a:avLst/>
                          </a:prstGeom>
                          <a:noFill/>
                          <a:ln w="19050">
                            <a:solidFill>
                              <a:srgbClr val="000000"/>
                            </a:solidFill>
                            <a:prstDash val="sysDot"/>
                            <a:round/>
                          </a:ln>
                        </wps:spPr>
                        <wps:bodyPr/>
                      </wps:wsp>
                      <wps:wsp>
                        <wps:cNvPr id="143" name="AutoShape 116"/>
                        <wps:cNvCnPr/>
                        <wps:spPr bwMode="auto">
                          <a:xfrm>
                            <a:off x="990870" y="1480113"/>
                            <a:ext cx="810" cy="338030"/>
                          </a:xfrm>
                          <a:prstGeom prst="straightConnector1">
                            <a:avLst/>
                          </a:prstGeom>
                          <a:noFill/>
                          <a:ln w="19050">
                            <a:solidFill>
                              <a:srgbClr val="000000"/>
                            </a:solidFill>
                            <a:prstDash val="sysDot"/>
                            <a:round/>
                          </a:ln>
                        </wps:spPr>
                        <wps:bodyPr/>
                      </wps:wsp>
                    </wpc:wpc>
                  </a:graphicData>
                </a:graphic>
              </wp:inline>
            </w:drawing>
          </mc:Choice>
          <mc:Fallback>
            <w:pict>
              <v:group w14:anchorId="5A12655A" id="Drobė 103" o:spid="_x0000_s1109" editas="canvas" style="width:446.2pt;height:188.9pt;mso-position-horizontal-relative:char;mso-position-vertical-relative:line" coordsize="56667,2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I0mAQAAN8dAAAOAAAAZHJzL2Uyb0RvYy54bWzsWWtv2zYU/T5g/0HQ98Wi3hLiFIWzbAO6&#10;LUC3fqf1sIVJpEbSj/TX75BSFCtR0CJpnXS1AyiiRJGX9xweXl6ev9k3tbUthKw4m9vkzLGtgmU8&#10;r9hqbv/919VPsW1JRVlOa86KuX1TSPvNxY8/nO/atHD5mtd5ISw0wmS6a+f2Wqk2nc1kti4aKs94&#10;WzC8LLloqEJRrGa5oDu03tQz13HC2Y6LvBU8K6TE08vupX1h2i/LIlN/lqUslFXPbdimzFWY61Jf&#10;ZxfnNF0J2q6rrDeDPsGKhlYMnQ5NXVJFrY2oHjTVVJngkpfqLOPNjJdllRVmDBgNce6NZkHZlkoz&#10;mAzeuTUQd1+w3eVK2834VVXX8MYMraf6mf6/Az4FHu5aoCPbASf5vP7fr2lbmGHJNPtjey2sKgd5&#10;PGJbjDZgyduN4qaSRZxAY6QNQM0FuxZ9Sbb4bLn7neeoT1HfuH9fisYq66r9Fe2ZJ3CxtUchCV2P&#10;oIObuR06cRR7HfTFXlkZ3ruJGztxaFsZKhA/iTzf1JjRVLepXdQKqX4peGPpm7ktlaDVaq0WnDHQ&#10;jIuuP7p9J5X2490HI//StGbWThvkBI6xUPK6yrX3dT0pVstFLawt1YQ1P20oWhtVE3zDcjynqaJV&#10;/TPLLXXTwhFKVJSt6sLWXTRFblt1gXmp77pWamYglqn2X+fXJc9vjFsBvYH5aHi7U3iH2tIe7/fG&#10;SIy9fcezf6TF+GKN8RVvheC7dUFzEJGYkY0+0IXH+aG9NrDCdxPDCRLjr4OcprekIInvxjGs1KQI&#10;oiAJ/d6Nj3CirPkOFgp13SmSwfcRRozwHMF+ZX59T6NqHXWSwA2ezJymUhDcumrmdnxIrwliqP1y&#10;b2ZmN2zt1Y4rluCdkEL4cbPm4iMIBxHFrPh3QwXoV//GgE1CfF+rrin4QeSiIA7fLA/fUJahKZDY&#10;trrbheqUetMKPdM01t1c0vpQVmaa3VnVExs6dTQCe1MEjl6EwInjQ7Z01yf+9sJ2x99hDTnxd7Tg&#10;+lP8jV+Ev24cESP9Y/o6EeZYL78Qk14UX1R+3RhLwXH1d1gTT/wd8TeY4q8RwVE88PUCCMSUruNh&#10;VUOA4HpRci+qJAEhvoOo83sPIIY18UTgEYGx4Xiw4yFmV3okAvvE83wd4uptTwwNvhdBBMSLdYj8&#10;ugj8AhI8rIonBo8YHE0x2LDoSAx2PS8IHEwkMHgqCPaw7Y+RRbil8CuJIo6/iRvWxRODRwxGhvKh&#10;BrsHQfDnZ50+3G5Rh/xCFLjYPWtugoYR4sbRBs3zwijsk04+cUynrzTjpJNel1Suu8yUvJGXXHWD&#10;uc1FwfCJJEJHNp180npwzM05Vq2HuJoArVemp+OKNRH5wS7s85woxCZlhKubBH6M13rV/Oq4PktJ&#10;vjlY/akkMTEbw/8XrM9LEH8a1286dexPpY7JkOb53KOCg1RwkuBUoJvRIYlwFjCe0TGicjOd3Tj0&#10;wEEtaK/zaODTyL8yoUbWfUKoh5TH87Ak0GFC7snzAKbnxXr3/l2AaQ72cKhniNufeOpjysOyWaXv&#10;zmUv/gMAAP//AwBQSwMEFAAGAAgAAAAhAKAktyzcAAAABQEAAA8AAABkcnMvZG93bnJldi54bWxM&#10;j0FLw0AQhe+C/2EZwZvdWKVJYzalKFJEerC19+nuNAlmZ0N2k0Z/vasXvQw83uO9b4rVZFsxUu8b&#10;xwpuZwkIYu1Mw5WC9/3zTQbCB2SDrWNS8EkeVuXlRYG5cWd+o3EXKhFL2OeooA6hy6X0uiaLfuY6&#10;4uidXG8xRNlX0vR4juW2lfMkWUiLDceFGjt6rEl/7AarAMf1qO3pZfGqh8MXp0+bfbfdKHV9Na0f&#10;QASawl8YfvAjOpSR6egGNl60CuIj4fdGL1vO70EcFdylaQayLOR/+vIbAAD//wMAUEsBAi0AFAAG&#10;AAgAAAAhALaDOJL+AAAA4QEAABMAAAAAAAAAAAAAAAAAAAAAAFtDb250ZW50X1R5cGVzXS54bWxQ&#10;SwECLQAUAAYACAAAACEAOP0h/9YAAACUAQAACwAAAAAAAAAAAAAAAAAvAQAAX3JlbHMvLnJlbHNQ&#10;SwECLQAUAAYACAAAACEA/KoCNJgEAADfHQAADgAAAAAAAAAAAAAAAAAuAgAAZHJzL2Uyb0RvYy54&#10;bWxQSwECLQAUAAYACAAAACEAoCS3LNwAAAAFAQAADwAAAAAAAAAAAAAAAADyBgAAZHJzL2Rvd25y&#10;ZXYueG1sUEsFBgAAAAAEAAQA8wAAAP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width:56667;height:23990;visibility:visible;mso-wrap-style:square">
                  <v:fill o:detectmouseclick="t"/>
                  <v:path o:connecttype="none"/>
                </v:shape>
                <v:shapetype id="_x0000_t32" coordsize="21600,21600" o:spt="32" o:oned="t" path="m,l21600,21600e" filled="f">
                  <v:path arrowok="t" fillok="f" o:connecttype="none"/>
                  <o:lock v:ext="edit" shapetype="t"/>
                </v:shapetype>
                <v:shape id="AutoShape 105" o:spid="_x0000_s1111" type="#_x0000_t32" style="position:absolute;left:19623;top:6087;width:29280;height:149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pVwwAAANwAAAAPAAAAZHJzL2Rvd25yZXYueG1sRE9LawIx&#10;EL4X/A9hhF6KZn0gdjWKVAo9tmsP7W3YjJvVZLJuUnf775uC4G0+vuest72z4kptqD0rmIwzEMSl&#10;1zVXCj4Pr6MliBCRNVrPpOCXAmw3g4c15tp3/EHXIlYihXDIUYGJscmlDKUhh2HsG+LEHX3rMCbY&#10;VlK32KVwZ+U0yxbSYc2pwWBDL4bKc/HjFLz7r/l+/0zWd8WlN6fZ09R+k1KPw363AhGpj3fxzf2m&#10;0/zZBP6fSRfIzR8AAAD//wMAUEsBAi0AFAAGAAgAAAAhANvh9svuAAAAhQEAABMAAAAAAAAAAAAA&#10;AAAAAAAAAFtDb250ZW50X1R5cGVzXS54bWxQSwECLQAUAAYACAAAACEAWvQsW78AAAAVAQAACwAA&#10;AAAAAAAAAAAAAAAfAQAAX3JlbHMvLnJlbHNQSwECLQAUAAYACAAAACEA5e36VcMAAADcAAAADwAA&#10;AAAAAAAAAAAAAAAHAgAAZHJzL2Rvd25yZXYueG1sUEsFBgAAAAADAAMAtwAAAPcCAAAAAA==&#10;" strokeweight="1.5pt">
                  <v:stroke endarrow="block"/>
                </v:shape>
                <v:shapetype id="_x0000_t109" coordsize="21600,21600" o:spt="109" path="m,l,21600r21600,l21600,xe">
                  <v:stroke joinstyle="miter"/>
                  <v:path gradientshapeok="t" o:connecttype="rect"/>
                </v:shapetype>
                <v:shape id="AutoShape 106" o:spid="_x0000_s1112" type="#_x0000_t109" style="position:absolute;left:194;top:18181;width:1942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tzxAAAANwAAAAPAAAAZHJzL2Rvd25yZXYueG1sRE9Na8JA&#10;EL0L/Q/LFHoR3RitSHQTSiFFDx4avXgbs2MSmp0N2W1M/323UPA2j/c5u2w0rRiod41lBYt5BIK4&#10;tLrhSsH5lM82IJxH1thaJgU/5CBLnyY7TLS98ycNha9ECGGXoILa+y6R0pU1GXRz2xEH7mZ7gz7A&#10;vpK6x3sIN62Mo2gtDTYcGmrs6L2m8qv4NgrizbT44GO+X10POsfXxWWYLg9KvTyPb1sQnkb/EP+7&#10;9zrMX8bw90y4QKa/AAAA//8DAFBLAQItABQABgAIAAAAIQDb4fbL7gAAAIUBAAATAAAAAAAAAAAA&#10;AAAAAAAAAABbQ29udGVudF9UeXBlc10ueG1sUEsBAi0AFAAGAAgAAAAhAFr0LFu/AAAAFQEAAAsA&#10;AAAAAAAAAAAAAAAAHwEAAF9yZWxzLy5yZWxzUEsBAi0AFAAGAAgAAAAhAEmq+3PEAAAA3AAAAA8A&#10;AAAAAAAAAAAAAAAABwIAAGRycy9kb3ducmV2LnhtbFBLBQYAAAAAAwADALcAAAD4AgAAAAA=&#10;">
                  <v:textbox>
                    <w:txbxContent>
                      <w:p w14:paraId="0C1889EB" w14:textId="77777777" w:rsidR="007B24A1" w:rsidRDefault="007B24A1">
                        <w:pPr>
                          <w:jc w:val="center"/>
                          <w:rPr>
                            <w:sz w:val="20"/>
                            <w:szCs w:val="20"/>
                            <w:lang w:val="lt-LT"/>
                          </w:rPr>
                        </w:pPr>
                      </w:p>
                      <w:p w14:paraId="246FA0B7" w14:textId="77777777" w:rsidR="007B24A1" w:rsidRDefault="007B24A1">
                        <w:pPr>
                          <w:jc w:val="center"/>
                          <w:rPr>
                            <w:sz w:val="20"/>
                            <w:szCs w:val="20"/>
                            <w:lang w:val="lt-LT"/>
                          </w:rPr>
                        </w:pPr>
                        <w:r>
                          <w:rPr>
                            <w:lang w:val="lt-LT"/>
                          </w:rPr>
                          <w:t>Įsigyjamojo vieneto dalyviai</w:t>
                        </w:r>
                      </w:p>
                    </w:txbxContent>
                  </v:textbox>
                </v:shape>
                <v:shape id="AutoShape 107" o:spid="_x0000_s1113" type="#_x0000_t109" style="position:absolute;left:194;top:9041;width:1942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l7oxAAAANwAAAAPAAAAZHJzL2Rvd25yZXYueG1sRE9Na8JA&#10;EL0L/Q/LFHoR3WishOgmFCFFDx6a9tLbNDsmodnZkF1j+u+7hYK3ebzP2eeT6cRIg2stK1gtIxDE&#10;ldUt1wo+3otFAsJ5ZI2dZVLwQw7y7GG2x1TbG7/RWPpahBB2KSpovO9TKV3VkEG3tD1x4C52MOgD&#10;HGqpB7yFcNPJdRRtpcGWQ0ODPR0aqr7Lq1GwTublK5+L4+brpAt8Xn2O8/ik1NPj9LID4Wnyd/G/&#10;+6jD/DiGv2fCBTL7BQAA//8DAFBLAQItABQABgAIAAAAIQDb4fbL7gAAAIUBAAATAAAAAAAAAAAA&#10;AAAAAAAAAABbQ29udGVudF9UeXBlc10ueG1sUEsBAi0AFAAGAAgAAAAhAFr0LFu/AAAAFQEAAAsA&#10;AAAAAAAAAAAAAAAAHwEAAF9yZWxzLy5yZWxzUEsBAi0AFAAGAAgAAAAhACbmXujEAAAA3AAAAA8A&#10;AAAAAAAAAAAAAAAABwIAAGRycy9kb3ducmV2LnhtbFBLBQYAAAAAAwADALcAAAD4AgAAAAA=&#10;">
                  <v:textbox>
                    <w:txbxContent>
                      <w:p w14:paraId="52B04557"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v:textbox>
                </v:shape>
                <v:shape id="AutoShape 108" o:spid="_x0000_s1114" type="#_x0000_t109" style="position:absolute;left:194;top:287;width:19421;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0R/wgAAANwAAAAPAAAAZHJzL2Rvd25yZXYueG1sRE/basJA&#10;EH0v+A/LCL7pRk1Fo6ukLYIIhXoBX4fsmASzszG71fj3bkHo2xzOdRar1lTiRo0rLSsYDiIQxJnV&#10;JecKjod1fwrCeWSNlWVS8CAHq2XnbYGJtnfe0W3vcxFC2CWooPC+TqR0WUEG3cDWxIE728agD7DJ&#10;pW7wHsJNJUdRNJEGSw4NBdb0WVB22f8aBe8f162cfZXf69hdThTnKf9wqlSv26ZzEJ5a/y9+uTc6&#10;zB/H8PdMuEAunwAAAP//AwBQSwECLQAUAAYACAAAACEA2+H2y+4AAACFAQAAEwAAAAAAAAAAAAAA&#10;AAAAAAAAW0NvbnRlbnRfVHlwZXNdLnhtbFBLAQItABQABgAIAAAAIQBa9CxbvwAAABUBAAALAAAA&#10;AAAAAAAAAAAAAB8BAABfcmVscy8ucmVsc1BLAQItABQABgAIAAAAIQA2a0R/wgAAANwAAAAPAAAA&#10;AAAAAAAAAAAAAAcCAABkcnMvZG93bnJldi54bWxQSwUGAAAAAAMAAwC3AAAA9gIAAAAA&#10;" strokeweight="2.25pt">
                  <v:textbox>
                    <w:txbxContent>
                      <w:p w14:paraId="53F93D52" w14:textId="77777777" w:rsidR="007B24A1" w:rsidRDefault="007B24A1">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v:textbox>
                </v:shape>
                <v:shape id="AutoShape 109" o:spid="_x0000_s1115" type="#_x0000_t109" style="position:absolute;left:23120;top:237;width:15114;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2MHxAAAANwAAAAPAAAAZHJzL2Rvd25yZXYueG1sRE9Na8JA&#10;EL0L/odlhF6k2Wi0hNRVSiESDz0Ye+ltmp0modnZkN3G+O+7hYK3ebzP2R0m04mRBtdaVrCKYhDE&#10;ldUt1wreL/ljCsJ5ZI2dZVJwIweH/Xy2w0zbK59pLH0tQgi7DBU03veZlK5qyKCLbE8cuC87GPQB&#10;DrXUA15DuOnkOo6fpMGWQ0ODPb02VH2XP0bBOl2WR37Li83nSee4XX2My+Sk1MNienkG4Wnyd/G/&#10;u9BhfrKFv2fCBXL/CwAA//8DAFBLAQItABQABgAIAAAAIQDb4fbL7gAAAIUBAAATAAAAAAAAAAAA&#10;AAAAAAAAAABbQ29udGVudF9UeXBlc10ueG1sUEsBAi0AFAAGAAgAAAAhAFr0LFu/AAAAFQEAAAsA&#10;AAAAAAAAAAAAAAAAHwEAAF9yZWxzLy5yZWxzUEsBAi0AFAAGAAgAAAAhAMZDYwfEAAAA3AAAAA8A&#10;AAAAAAAAAAAAAAAABwIAAGRycy9kb3ducmV2LnhtbFBLBQYAAAAAAwADALcAAAD4AgAAAAA=&#10;">
                  <v:textbox>
                    <w:txbxContent>
                      <w:p w14:paraId="22F8E53D"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turtas, teisės ir pareigos</w:t>
                        </w:r>
                      </w:p>
                    </w:txbxContent>
                  </v:textbox>
                </v:shape>
                <v:shape id="AutoShape 110" o:spid="_x0000_s1116" type="#_x0000_t109" style="position:absolute;left:41334;top:188;width:15139;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X+TwwAAANwAAAAPAAAAZHJzL2Rvd25yZXYueG1sRE9Na8JA&#10;EL0X/A/LCN6ajdZKm7pKrARKQbBR6HXITpNgdjZmVxP/fbdQ8DaP9znL9WAacaXO1ZYVTKMYBHFh&#10;dc2lguMhe3wB4TyyxsYyKbiRg/Vq9LDERNuev+ia+1KEEHYJKqi8bxMpXVGRQRfZljhwP7Yz6APs&#10;Sqk77EO4aeQsjhfSYM2hocKW3isqTvnFKHjenD/l67beZXN3+qZ5mfKeU6Um4yF9A+Fp8Hfxv/tD&#10;h/lPC/h7JlwgV78AAAD//wMAUEsBAi0AFAAGAAgAAAAhANvh9svuAAAAhQEAABMAAAAAAAAAAAAA&#10;AAAAAAAAAFtDb250ZW50X1R5cGVzXS54bWxQSwECLQAUAAYACAAAACEAWvQsW78AAAAVAQAACwAA&#10;AAAAAAAAAAAAAAAfAQAAX3JlbHMvLnJlbHNQSwECLQAUAAYACAAAACEAqfV/k8MAAADcAAAADwAA&#10;AAAAAAAAAAAAAAAHAgAAZHJzL2Rvd25yZXYueG1sUEsFBgAAAAADAAMAtwAAAPcCAAAAAA==&#10;" strokeweight="2.25pt">
                  <v:textbox>
                    <w:txbxContent>
                      <w:p w14:paraId="44CB20BC" w14:textId="77777777" w:rsidR="007B24A1" w:rsidRDefault="007B24A1">
                        <w:pPr>
                          <w:jc w:val="center"/>
                          <w:rPr>
                            <w:sz w:val="20"/>
                            <w:szCs w:val="20"/>
                            <w:lang w:val="lt-LT"/>
                          </w:rPr>
                        </w:pPr>
                      </w:p>
                      <w:p w14:paraId="3FB3B19A" w14:textId="77777777" w:rsidR="007B24A1" w:rsidRDefault="007B24A1">
                        <w:pPr>
                          <w:jc w:val="center"/>
                          <w:rPr>
                            <w:sz w:val="20"/>
                            <w:szCs w:val="20"/>
                            <w:lang w:val="lt-LT"/>
                          </w:rPr>
                        </w:pPr>
                        <w:r>
                          <w:rPr>
                            <w:lang w:val="lt-LT"/>
                          </w:rPr>
                          <w:t xml:space="preserve">Įsigyjantysis vienetas </w:t>
                        </w:r>
                        <w:r>
                          <w:rPr>
                            <w:b/>
                            <w:bCs/>
                            <w:sz w:val="20"/>
                            <w:szCs w:val="20"/>
                            <w:lang w:val="lt-LT"/>
                          </w:rPr>
                          <w:t>B</w:t>
                        </w:r>
                      </w:p>
                    </w:txbxContent>
                  </v:textbox>
                </v:shape>
                <v:shape id="AutoShape 111" o:spid="_x0000_s1117" type="#_x0000_t109" style="position:absolute;left:23355;top:9041;width:33118;height:5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jrxAAAANwAAAAPAAAAZHJzL2Rvd25yZXYueG1sRE9La8JA&#10;EL4X/A/LCL1I3fioDdFVREjRg4fGXnobs2MSzM6G7Dam/94VhN7m43vOatObWnTUusqygsk4AkGc&#10;W11xoeD7lL7FIJxH1lhbJgV/5GCzHrysMNH2xl/UZb4QIYRdggpK75tESpeXZNCNbUMcuIttDfoA&#10;20LqFm8h3NRyGkULabDi0FBiQ7uS8mv2axRM41H2ycd0Pz8fdIrvk59uNDso9Trst0sQnnr/L366&#10;9zrMn33A45lwgVzfAQAA//8DAFBLAQItABQABgAIAAAAIQDb4fbL7gAAAIUBAAATAAAAAAAAAAAA&#10;AAAAAAAAAABbQ29udGVudF9UeXBlc10ueG1sUEsBAi0AFAAGAAgAAAAhAFr0LFu/AAAAFQEAAAsA&#10;AAAAAAAAAAAAAAAAHwEAAF9yZWxzLy5yZWxzUEsBAi0AFAAGAAgAAAAhAFndWOvEAAAA3AAAAA8A&#10;AAAAAAAAAAAAAAAABwIAAGRycy9kb3ducmV2LnhtbFBLBQYAAAAAAwADALcAAAD4AgAAAAA=&#10;">
                  <v:textbox>
                    <w:txbxContent>
                      <w:p w14:paraId="06BC1EA1" w14:textId="77777777" w:rsidR="007B24A1" w:rsidRDefault="007B24A1">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naujai išleistos akcijos</w:t>
                        </w:r>
                      </w:p>
                      <w:p w14:paraId="79EFC174" w14:textId="77777777" w:rsidR="007B24A1" w:rsidRDefault="007B24A1">
                        <w:pPr>
                          <w:jc w:val="center"/>
                          <w:rPr>
                            <w:sz w:val="20"/>
                            <w:szCs w:val="20"/>
                            <w:lang w:val="lt-LT"/>
                          </w:rPr>
                        </w:pPr>
                        <w:r>
                          <w:rPr>
                            <w:sz w:val="20"/>
                            <w:szCs w:val="20"/>
                            <w:lang w:val="lt-LT"/>
                          </w:rPr>
                          <w:t>(akcijų kainų skirtumas (ne daugiau kaip 10 %) gali būti išmokamas pinigais)</w:t>
                        </w:r>
                      </w:p>
                    </w:txbxContent>
                  </v:textbox>
                </v:shape>
                <v:shape id="AutoShape 112" o:spid="_x0000_s1118" type="#_x0000_t32" style="position:absolute;left:19752;top:3117;width:3368;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hxgAAANwAAAAPAAAAZHJzL2Rvd25yZXYueG1sRI9LawJB&#10;EITvAf/D0EIuQWcTH8jqKBII5GTwcfHW7rS7izs9685EJ/8+fRC8dVPVVV8vVsk16kZdqD0beB9m&#10;oIgLb2suDRz2X4MZqBCRLTaeycAfBVgtey8LzK2/85Zuu1gqCeGQo4EqxjbXOhQVOQxD3xKLdvad&#10;wyhrV2rb4V3CXaM/smyqHdYsDRW29FlRcdn9OgPX8fHNJV8n7c7jSRz9bLbr08aY135az0FFSvFp&#10;flx/W8EfCa08IxPo5T8AAAD//wMAUEsBAi0AFAAGAAgAAAAhANvh9svuAAAAhQEAABMAAAAAAAAA&#10;AAAAAAAAAAAAAFtDb250ZW50X1R5cGVzXS54bWxQSwECLQAUAAYACAAAACEAWvQsW78AAAAVAQAA&#10;CwAAAAAAAAAAAAAAAAAfAQAAX3JlbHMvLnJlbHNQSwECLQAUAAYACAAAACEAP1MU4cYAAADcAAAA&#10;DwAAAAAAAAAAAAAAAAAHAgAAZHJzL2Rvd25yZXYueG1sUEsFBgAAAAADAAMAtwAAAPoCAAAAAA==&#10;" strokeweight="1.5pt">
                  <v:stroke dashstyle="1 1"/>
                </v:shape>
                <v:shape id="AutoShape 113" o:spid="_x0000_s1119" type="#_x0000_t32" style="position:absolute;left:38234;top:3076;width:2955;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0xAAAANwAAAAPAAAAZHJzL2Rvd25yZXYueG1sRE9Na8JA&#10;EL0L/odlBG+6MRa1aTZSC0pFLNSW9jpkxyQ0O5tmtxr/fVcQvM3jfU667EwtTtS6yrKCyTgCQZxb&#10;XXGh4PNjPVqAcB5ZY22ZFFzIwTLr91JMtD3zO50OvhAhhF2CCkrvm0RKl5dk0I1tQxy4o20N+gDb&#10;QuoWzyHc1DKOopk0WHFoKLGhl5Lyn8OfUbD4XT3sN7tLtZ0303jlNl/0/RYrNRx0z08gPHX+Lr65&#10;X3WYP32E6zPhApn9AwAA//8DAFBLAQItABQABgAIAAAAIQDb4fbL7gAAAIUBAAATAAAAAAAAAAAA&#10;AAAAAAAAAABbQ29udGVudF9UeXBlc10ueG1sUEsBAi0AFAAGAAgAAAAhAFr0LFu/AAAAFQEAAAsA&#10;AAAAAAAAAAAAAAAAHwEAAF9yZWxzLy5yZWxzUEsBAi0AFAAGAAgAAAAhAJz5HHTEAAAA3AAAAA8A&#10;AAAAAAAAAAAAAAAABwIAAGRycy9kb3ducmV2LnhtbFBLBQYAAAAAAwADALcAAAD4AgAAAAA=&#10;">
                  <v:stroke dashstyle="1 1"/>
                </v:shape>
                <v:shape id="AutoShape 114" o:spid="_x0000_s1120" type="#_x0000_t32" style="position:absolute;left:38234;top:3076;width:2955;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8YwQAAANwAAAAPAAAAZHJzL2Rvd25yZXYueG1sRE9NawIx&#10;EL0L/Q9hCt40qxaR1SilUPEiorZQb8Nm3KzdTNYk6vbfG0HobR7vc2aL1tbiSj5UjhUM+hkI4sLp&#10;iksFX/vP3gREiMgaa8ek4I8CLOYvnRnm2t14S9ddLEUK4ZCjAhNjk0sZCkMWQ981xIk7Om8xJuhL&#10;qT3eUrit5TDLxtJixanBYEMfhorf3cUq2NOIJyd9WPtiOT4vN/qHv41Tqvvavk9BRGrjv/jpXuk0&#10;/20Aj2fSBXJ+BwAA//8DAFBLAQItABQABgAIAAAAIQDb4fbL7gAAAIUBAAATAAAAAAAAAAAAAAAA&#10;AAAAAABbQ29udGVudF9UeXBlc10ueG1sUEsBAi0AFAAGAAgAAAAhAFr0LFu/AAAAFQEAAAsAAAAA&#10;AAAAAAAAAAAAHwEAAF9yZWxzLy5yZWxzUEsBAi0AFAAGAAgAAAAhAGSZ7xjBAAAA3AAAAA8AAAAA&#10;AAAAAAAAAAAABwIAAGRycy9kb3ducmV2LnhtbFBLBQYAAAAAAwADALcAAAD1AgAAAAA=&#10;" strokeweight="1.5pt">
                  <v:stroke dashstyle="1 1" endarrow="block"/>
                </v:shape>
                <v:shape id="AutoShape 115" o:spid="_x0000_s1121" type="#_x0000_t32" style="position:absolute;left:9908;top:6178;width:8;height:28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0bWwwAAANwAAAAPAAAAZHJzL2Rvd25yZXYueG1sRE9LawIx&#10;EL4X/A9hBC+iWR9I2RrFVgWPVQt6nG5mH7qZrJuo6783hYK3+fieM503phQ3ql1hWcGgH4EgTqwu&#10;OFPws1/33kE4j6yxtEwKHuRgPmu9TTHW9s5buu18JkIIuxgV5N5XsZQuycmg69uKOHCprQ36AOtM&#10;6hrvIdyUchhFE2mw4NCQY0VfOSXn3dUoGK9+u9/FNh19npZHvJzSQ3cwOSjVaTeLDxCeGv8S/7s3&#10;OswfD+HvmXCBnD0BAAD//wMAUEsBAi0AFAAGAAgAAAAhANvh9svuAAAAhQEAABMAAAAAAAAAAAAA&#10;AAAAAAAAAFtDb250ZW50X1R5cGVzXS54bWxQSwECLQAUAAYACAAAACEAWvQsW78AAAAVAQAACwAA&#10;AAAAAAAAAAAAAAAfAQAAX3JlbHMvLnJlbHNQSwECLQAUAAYACAAAACEA/KdG1sMAAADcAAAADwAA&#10;AAAAAAAAAAAAAAAHAgAAZHJzL2Rvd25yZXYueG1sUEsFBgAAAAADAAMAtwAAAPcCAAAAAA==&#10;" strokeweight="1.5pt">
                  <v:stroke dashstyle="1 1"/>
                </v:shape>
                <v:shape id="AutoShape 116" o:spid="_x0000_s1122" type="#_x0000_t32" style="position:absolute;left:9908;top:14801;width:8;height:3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NNxAAAANwAAAAPAAAAZHJzL2Rvd25yZXYueG1sRE9La8JA&#10;EL4L/odlhF7EbGxESppV7EPw6KOgx2l28tDsbJrdavrvu4WCt/n4npMte9OIK3WutqxgGsUgiHOr&#10;ay4VfBzWkycQziNrbCyTgh9ysFwMBxmm2t54R9e9L0UIYZeigsr7NpXS5RUZdJFtiQNX2M6gD7Ar&#10;pe7wFsJNIx/jeC4N1hwaKmzptaL8sv82Cmbvn+NtvSuSl/PbCb/OxXE8nR+Vehj1q2cQnnp/F/+7&#10;NzrMnyXw90y4QC5+AQAA//8DAFBLAQItABQABgAIAAAAIQDb4fbL7gAAAIUBAAATAAAAAAAAAAAA&#10;AAAAAAAAAABbQ29udGVudF9UeXBlc10ueG1sUEsBAi0AFAAGAAgAAAAhAFr0LFu/AAAAFQEAAAsA&#10;AAAAAAAAAAAAAAAAHwEAAF9yZWxzLy5yZWxzUEsBAi0AFAAGAAgAAAAhAJPr403EAAAA3AAAAA8A&#10;AAAAAAAAAAAAAAAABwIAAGRycy9kb3ducmV2LnhtbFBLBQYAAAAAAwADALcAAAD4AgAAAAA=&#10;" strokeweight="1.5pt">
                  <v:stroke dashstyle="1 1"/>
                </v:shape>
                <w10:anchorlock/>
              </v:group>
            </w:pict>
          </mc:Fallback>
        </mc:AlternateContent>
      </w:r>
    </w:p>
    <w:p w14:paraId="209ED3A1" w14:textId="77777777" w:rsidR="00093845" w:rsidRDefault="00093845">
      <w:pPr>
        <w:pStyle w:val="HTMLiankstoformatuotas"/>
        <w:ind w:firstLine="720"/>
        <w:jc w:val="both"/>
        <w:rPr>
          <w:lang w:val="lt-LT"/>
        </w:rPr>
      </w:pPr>
    </w:p>
    <w:p w14:paraId="08299831"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2) vienetai reorganizuojami sujungiant, t. y. du ar daugiau vienetų, baigę veiklą be likvidavimo procedūros (toliau – įsigyjamieji vienetai), sujungiami į naują vienetą (toliau – įsigyjantysis vienetas) ir sujungimo momentu įsigyjamųjų vienetų turtas, teisės ir pareigos pereina įsigyjančiajam vienetui, įsigyjamojo vieneto dalyviai vietoj turėtų įsigyjamojo vieneto akcijų (dalių, pajų) mainais gauna išleistų įsigyjančiojo vieneto, kuriam pereina įsigyjamojo vieneto turtas, teisės ir pareigos, akcijų (dalių, pajų); jei, keičiant įsigyjamųjų vienetų akcijas į įsigyjančiojo vieneto akcijas, akcijų kainų skirtumas apmokamas pinigais – tai ne daugiau kaip 10 procentų akcijų nominalios vertės arba, kai nominalios vertės nėra, ne daugiau kaip 10 procentų balansinės akcijų vertės; </w:t>
      </w:r>
    </w:p>
    <w:p w14:paraId="3EC034F7"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sz w:val="24"/>
          <w:lang w:val="lt-LT"/>
        </w:rPr>
      </w:pPr>
      <w:r>
        <w:rPr>
          <w:rFonts w:ascii="Times New Roman" w:hAnsi="Times New Roman"/>
          <w:b/>
          <w:bCs/>
          <w:sz w:val="24"/>
          <w:lang w:val="lt-LT"/>
        </w:rPr>
        <w:t>Komentaras</w:t>
      </w:r>
    </w:p>
    <w:p w14:paraId="6EBCC52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 xml:space="preserve">1. Šiame punkte numatytas reorganizavimas, atliekant sujungimą, kai du ar daugiau vienetų (t.y. įsigyjamieji vienetai), kurie baigia savo veiklą, be likvidavimo procedūros </w:t>
      </w:r>
      <w:r>
        <w:rPr>
          <w:rFonts w:ascii="Times New Roman" w:hAnsi="Times New Roman"/>
          <w:b/>
          <w:sz w:val="24"/>
          <w:lang w:val="lt-LT"/>
        </w:rPr>
        <w:t>sujungiami į</w:t>
      </w:r>
      <w:r>
        <w:rPr>
          <w:rFonts w:ascii="Times New Roman" w:hAnsi="Times New Roman"/>
          <w:sz w:val="24"/>
          <w:lang w:val="lt-LT"/>
        </w:rPr>
        <w:t xml:space="preserve"> </w:t>
      </w:r>
      <w:r>
        <w:rPr>
          <w:rFonts w:ascii="Times New Roman" w:hAnsi="Times New Roman"/>
          <w:b/>
          <w:sz w:val="24"/>
          <w:lang w:val="lt-LT"/>
        </w:rPr>
        <w:t>naują vienetą</w:t>
      </w:r>
      <w:r>
        <w:rPr>
          <w:rFonts w:ascii="Times New Roman" w:hAnsi="Times New Roman"/>
          <w:sz w:val="24"/>
          <w:lang w:val="lt-LT"/>
        </w:rPr>
        <w:t xml:space="preserve"> (t.y. įsigyjantįjį vienetą), ir kai tokio sujungimo momentu išpildomos šios dvi sąlygos:</w:t>
      </w:r>
    </w:p>
    <w:p w14:paraId="5AE4C981"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b/>
          <w:bCs/>
          <w:sz w:val="24"/>
          <w:lang w:val="lt-LT"/>
        </w:rPr>
      </w:pPr>
      <w:r>
        <w:rPr>
          <w:rFonts w:ascii="Times New Roman" w:hAnsi="Times New Roman"/>
          <w:sz w:val="24"/>
          <w:lang w:val="lt-LT"/>
        </w:rPr>
        <w:t xml:space="preserve">įsigyjamųjų vienetų visas turtas, teisės ir pareigos perduodamos įsigyjančiajam vienetui, </w:t>
      </w:r>
      <w:r>
        <w:rPr>
          <w:rFonts w:ascii="Times New Roman" w:hAnsi="Times New Roman"/>
          <w:b/>
          <w:bCs/>
          <w:sz w:val="24"/>
          <w:lang w:val="lt-LT"/>
        </w:rPr>
        <w:t>ir</w:t>
      </w:r>
    </w:p>
    <w:p w14:paraId="16132D69"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lang w:val="lt-LT"/>
        </w:rPr>
      </w:pPr>
      <w:r>
        <w:rPr>
          <w:rFonts w:ascii="Times New Roman" w:hAnsi="Times New Roman"/>
          <w:sz w:val="24"/>
          <w:lang w:val="lt-LT"/>
        </w:rPr>
        <w:t xml:space="preserve">įsigyjamųjų vienetų dalyviai vietoj </w:t>
      </w:r>
      <w:r>
        <w:rPr>
          <w:rFonts w:ascii="Times New Roman" w:hAnsi="Times New Roman" w:cs="Times New Roman"/>
          <w:sz w:val="24"/>
          <w:szCs w:val="24"/>
          <w:lang w:val="lt-LT"/>
        </w:rPr>
        <w:t>turėtų įsigyjamojo vieneto akcijų (dalių, pajų) mainais gauna išleistų įsigyjančiojo vieneto, kuriam pereina įsigyjamojo vieneto turtas, teisės ir pareigos, akcijų (dalių, pajų).</w:t>
      </w:r>
    </w:p>
    <w:p w14:paraId="78C1DCEC"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sz w:val="24"/>
          <w:lang w:val="lt-LT"/>
        </w:rPr>
        <w:t>2. J</w:t>
      </w:r>
      <w:r>
        <w:rPr>
          <w:rFonts w:ascii="Times New Roman" w:hAnsi="Times New Roman" w:cs="Times New Roman"/>
          <w:sz w:val="24"/>
          <w:szCs w:val="24"/>
          <w:lang w:val="lt-LT"/>
        </w:rPr>
        <w:t xml:space="preserve">ei, keičiant įsigyjamųjų vienetų akcijas į įsigyjančiojo vieneto steigimo metu išleistas akcijas pagal reorganizavimo sąlygose numatytą akcijų keitimo santykį, susidaręs akcijų kainų skirtumas apmokamas pinigais, </w:t>
      </w:r>
      <w:r>
        <w:rPr>
          <w:rFonts w:ascii="Times New Roman" w:hAnsi="Times New Roman"/>
          <w:sz w:val="24"/>
          <w:lang w:val="lt-LT"/>
        </w:rPr>
        <w:t xml:space="preserve">tai turi būti išpildoma papildoma sąlyga, kad įsigyjamųjų vienetų (t.y. po reorganizavimo pasibaigsiančių vienetų) akcininkams taip išmokama suma negali būti didesnė kaip 10 procentų įsigyjančiojo vieneto naujai išleistų akcijų nominalios vertės arba, jei nominalios vertės nėra, - </w:t>
      </w:r>
      <w:r>
        <w:rPr>
          <w:rFonts w:ascii="Times New Roman" w:hAnsi="Times New Roman" w:cs="Times New Roman"/>
          <w:sz w:val="24"/>
          <w:szCs w:val="24"/>
          <w:lang w:val="lt-LT"/>
        </w:rPr>
        <w:t xml:space="preserve">balansinės akcijų vertės. </w:t>
      </w:r>
    </w:p>
    <w:p w14:paraId="40454A6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3D438D29"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3. Jei įsigyjantysis vienetas yra užsienio vienetas, nurodytas PMĮ 41 str. 1 d. 2 punkte, tai  turi būti įvykdyti papildomi reikalavimai, nustatyti PMĮ 41 str. 3 dalyje (žr. PMĮ 41 str. 3 dalies komentarą). </w:t>
      </w:r>
    </w:p>
    <w:p w14:paraId="638B2586" w14:textId="77777777" w:rsidR="00093845" w:rsidRDefault="00093845">
      <w:pPr>
        <w:pStyle w:val="HTMLiankstoformatuotas"/>
        <w:ind w:firstLine="720"/>
        <w:jc w:val="both"/>
        <w:rPr>
          <w:rFonts w:ascii="Times New Roman" w:hAnsi="Times New Roman" w:cs="Times New Roman"/>
          <w:sz w:val="24"/>
          <w:szCs w:val="24"/>
          <w:lang w:val="lt-LT"/>
        </w:rPr>
      </w:pPr>
    </w:p>
    <w:p w14:paraId="6C2B786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Schema.</w:t>
      </w:r>
    </w:p>
    <w:p w14:paraId="5AB6980D"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p>
    <w:p w14:paraId="29F41127"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p>
    <w:p w14:paraId="1342C443" w14:textId="77777777" w:rsidR="00093845" w:rsidRDefault="000D779E">
      <w:pPr>
        <w:pStyle w:val="Pagrindiniotekstotrauka2"/>
        <w:tabs>
          <w:tab w:val="left" w:pos="1080"/>
        </w:tabs>
        <w:ind w:firstLine="0"/>
      </w:pPr>
      <w:r>
        <w:rPr>
          <w:noProof/>
          <w:lang w:eastAsia="lt-LT"/>
        </w:rPr>
        <mc:AlternateContent>
          <mc:Choice Requires="wpg">
            <w:drawing>
              <wp:anchor distT="0" distB="0" distL="114300" distR="114300" simplePos="0" relativeHeight="251638784" behindDoc="0" locked="0" layoutInCell="1" allowOverlap="1" wp14:anchorId="0481840F" wp14:editId="77B3DA1C">
                <wp:simplePos x="0" y="0"/>
                <wp:positionH relativeFrom="column">
                  <wp:posOffset>0</wp:posOffset>
                </wp:positionH>
                <wp:positionV relativeFrom="paragraph">
                  <wp:posOffset>-571500</wp:posOffset>
                </wp:positionV>
                <wp:extent cx="5852160" cy="2811145"/>
                <wp:effectExtent l="14605" t="18415" r="10160" b="8890"/>
                <wp:wrapNone/>
                <wp:docPr id="300" name="Group 117"/>
                <wp:cNvGraphicFramePr/>
                <a:graphic xmlns:a="http://schemas.openxmlformats.org/drawingml/2006/main">
                  <a:graphicData uri="http://schemas.microsoft.com/office/word/2010/wordprocessingGroup">
                    <wpg:wgp>
                      <wpg:cNvGrpSpPr/>
                      <wpg:grpSpPr>
                        <a:xfrm>
                          <a:off x="0" y="0"/>
                          <a:ext cx="5852160" cy="2811145"/>
                          <a:chOff x="1701" y="9132"/>
                          <a:chExt cx="9216" cy="4418"/>
                        </a:xfrm>
                      </wpg:grpSpPr>
                      <wps:wsp>
                        <wps:cNvPr id="301" name="AutoShape 118"/>
                        <wps:cNvSpPr>
                          <a:spLocks noChangeAspect="1" noChangeArrowheads="1" noTextEdit="1"/>
                        </wps:cNvSpPr>
                        <wps:spPr bwMode="auto">
                          <a:xfrm>
                            <a:off x="1701" y="9132"/>
                            <a:ext cx="9216" cy="4250"/>
                          </a:xfrm>
                          <a:prstGeom prst="rect">
                            <a:avLst/>
                          </a:prstGeom>
                          <a:noFill/>
                        </wps:spPr>
                        <wps:bodyPr rot="0" vert="horz" wrap="square" lIns="91440" tIns="45720" rIns="91440" bIns="45720" anchor="t" anchorCtr="0" upright="1">
                          <a:noAutofit/>
                        </wps:bodyPr>
                      </wps:wsp>
                      <wps:wsp>
                        <wps:cNvPr id="302" name="AutoShape 119"/>
                        <wps:cNvCnPr/>
                        <wps:spPr bwMode="auto">
                          <a:xfrm>
                            <a:off x="6308" y="10439"/>
                            <a:ext cx="2617" cy="2595"/>
                          </a:xfrm>
                          <a:prstGeom prst="straightConnector1">
                            <a:avLst/>
                          </a:prstGeom>
                          <a:noFill/>
                          <a:ln w="19050">
                            <a:solidFill>
                              <a:srgbClr val="000000"/>
                            </a:solidFill>
                            <a:round/>
                            <a:tailEnd type="triangle" w="med" len="med"/>
                          </a:ln>
                        </wps:spPr>
                        <wps:bodyPr/>
                      </wps:wsp>
                      <wps:wsp>
                        <wps:cNvPr id="303" name="AutoShape 120"/>
                        <wps:cNvCnPr/>
                        <wps:spPr bwMode="auto">
                          <a:xfrm flipH="1">
                            <a:off x="3693" y="10439"/>
                            <a:ext cx="2615" cy="2595"/>
                          </a:xfrm>
                          <a:prstGeom prst="straightConnector1">
                            <a:avLst/>
                          </a:prstGeom>
                          <a:noFill/>
                          <a:ln w="19050">
                            <a:solidFill>
                              <a:srgbClr val="000000"/>
                            </a:solidFill>
                            <a:round/>
                            <a:tailEnd type="triangle" w="med" len="med"/>
                          </a:ln>
                        </wps:spPr>
                        <wps:bodyPr/>
                      </wps:wsp>
                      <wps:wsp>
                        <wps:cNvPr id="304" name="Rectangle 121"/>
                        <wps:cNvSpPr>
                          <a:spLocks noChangeArrowheads="1"/>
                        </wps:cNvSpPr>
                        <wps:spPr bwMode="auto">
                          <a:xfrm>
                            <a:off x="1701" y="9132"/>
                            <a:ext cx="1984" cy="1215"/>
                          </a:xfrm>
                          <a:prstGeom prst="rect">
                            <a:avLst/>
                          </a:prstGeom>
                          <a:solidFill>
                            <a:srgbClr val="FFFFFF"/>
                          </a:solidFill>
                          <a:ln w="28575">
                            <a:solidFill>
                              <a:srgbClr val="000000"/>
                            </a:solidFill>
                            <a:miter lim="800000"/>
                          </a:ln>
                        </wps:spPr>
                        <wps:txbx>
                          <w:txbxContent>
                            <w:p w14:paraId="35234806" w14:textId="77777777" w:rsidR="007B24A1" w:rsidRDefault="007B24A1">
                              <w:pPr>
                                <w:pStyle w:val="Pagrindinistekstas2"/>
                              </w:pPr>
                              <w:r>
                                <w:rPr>
                                  <w:b w:val="0"/>
                                  <w:bCs w:val="0"/>
                                  <w:sz w:val="20"/>
                                </w:rPr>
                                <w:t xml:space="preserve">Įsigyjamasis vienetas </w:t>
                              </w:r>
                              <w:r>
                                <w:rPr>
                                  <w:sz w:val="20"/>
                                </w:rPr>
                                <w:t>A</w:t>
                              </w:r>
                              <w:r>
                                <w:rPr>
                                  <w:b w:val="0"/>
                                  <w:bCs w:val="0"/>
                                  <w:sz w:val="20"/>
                                </w:rPr>
                                <w:t>, kurio veikla nutraukiama</w:t>
                              </w:r>
                              <w:r>
                                <w:t xml:space="preserve"> </w:t>
                              </w:r>
                            </w:p>
                          </w:txbxContent>
                        </wps:txbx>
                        <wps:bodyPr rot="0" vert="horz" wrap="square" lIns="91440" tIns="45720" rIns="91440" bIns="45720" anchor="t" anchorCtr="0" upright="1">
                          <a:noAutofit/>
                        </wps:bodyPr>
                      </wps:wsp>
                      <wps:wsp>
                        <wps:cNvPr id="305" name="Rectangle 122"/>
                        <wps:cNvSpPr>
                          <a:spLocks noChangeArrowheads="1"/>
                        </wps:cNvSpPr>
                        <wps:spPr bwMode="auto">
                          <a:xfrm>
                            <a:off x="5599" y="9140"/>
                            <a:ext cx="1418" cy="1215"/>
                          </a:xfrm>
                          <a:prstGeom prst="rect">
                            <a:avLst/>
                          </a:prstGeom>
                          <a:solidFill>
                            <a:srgbClr val="FFFFFF"/>
                          </a:solidFill>
                          <a:ln w="28575">
                            <a:solidFill>
                              <a:srgbClr val="000000"/>
                            </a:solidFill>
                            <a:miter lim="800000"/>
                          </a:ln>
                        </wps:spPr>
                        <wps:txbx>
                          <w:txbxContent>
                            <w:p w14:paraId="76A156E6" w14:textId="77777777" w:rsidR="007B24A1" w:rsidRDefault="007B24A1">
                              <w:pPr>
                                <w:jc w:val="center"/>
                                <w:rPr>
                                  <w:sz w:val="20"/>
                                  <w:szCs w:val="20"/>
                                  <w:lang w:val="lt-LT"/>
                                </w:rPr>
                              </w:pPr>
                              <w:r>
                                <w:rPr>
                                  <w:b/>
                                  <w:bCs/>
                                  <w:sz w:val="20"/>
                                  <w:szCs w:val="20"/>
                                </w:rPr>
                                <w:t xml:space="preserve">Naujai sukurtas įsigyjantysis vienetas </w:t>
                              </w:r>
                              <w:r>
                                <w:rPr>
                                  <w:b/>
                                  <w:bCs/>
                                  <w:sz w:val="20"/>
                                  <w:szCs w:val="20"/>
                                  <w:lang w:val="lt-LT"/>
                                </w:rPr>
                                <w:t>C</w:t>
                              </w:r>
                            </w:p>
                          </w:txbxContent>
                        </wps:txbx>
                        <wps:bodyPr rot="0" vert="horz" wrap="square" lIns="91440" tIns="45720" rIns="91440" bIns="45720" anchor="t" anchorCtr="0" upright="1">
                          <a:noAutofit/>
                        </wps:bodyPr>
                      </wps:wsp>
                      <wps:wsp>
                        <wps:cNvPr id="306" name="Rectangle 123"/>
                        <wps:cNvSpPr>
                          <a:spLocks noChangeArrowheads="1"/>
                        </wps:cNvSpPr>
                        <wps:spPr bwMode="auto">
                          <a:xfrm>
                            <a:off x="3941" y="9140"/>
                            <a:ext cx="1417" cy="1215"/>
                          </a:xfrm>
                          <a:prstGeom prst="rect">
                            <a:avLst/>
                          </a:prstGeom>
                          <a:solidFill>
                            <a:srgbClr val="FFFFFF"/>
                          </a:solidFill>
                          <a:ln w="9525">
                            <a:solidFill>
                              <a:srgbClr val="000000"/>
                            </a:solidFill>
                            <a:miter lim="800000"/>
                          </a:ln>
                        </wps:spPr>
                        <wps:txbx>
                          <w:txbxContent>
                            <w:p w14:paraId="7150EFD3" w14:textId="77777777" w:rsidR="007B24A1" w:rsidRDefault="007B24A1">
                              <w:pPr>
                                <w:jc w:val="center"/>
                                <w:rPr>
                                  <w:lang w:val="fr-FR"/>
                                </w:rPr>
                              </w:pPr>
                              <w:r>
                                <w:rPr>
                                  <w:b/>
                                  <w:bCs/>
                                  <w:sz w:val="20"/>
                                  <w:szCs w:val="20"/>
                                </w:rPr>
                                <w:t xml:space="preserve">Įsigyjamojo vieneto </w:t>
                              </w:r>
                              <w:r>
                                <w:rPr>
                                  <w:b/>
                                  <w:bCs/>
                                  <w:sz w:val="20"/>
                                  <w:szCs w:val="20"/>
                                  <w:lang w:val="lt-LT"/>
                                </w:rPr>
                                <w:t>A</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307" name="Rectangle 124"/>
                        <wps:cNvSpPr>
                          <a:spLocks noChangeArrowheads="1"/>
                        </wps:cNvSpPr>
                        <wps:spPr bwMode="auto">
                          <a:xfrm>
                            <a:off x="7295" y="9140"/>
                            <a:ext cx="1419" cy="1215"/>
                          </a:xfrm>
                          <a:prstGeom prst="rect">
                            <a:avLst/>
                          </a:prstGeom>
                          <a:solidFill>
                            <a:srgbClr val="FFFFFF"/>
                          </a:solidFill>
                          <a:ln w="9525">
                            <a:solidFill>
                              <a:srgbClr val="000000"/>
                            </a:solidFill>
                            <a:miter lim="800000"/>
                          </a:ln>
                        </wps:spPr>
                        <wps:txbx>
                          <w:txbxContent>
                            <w:p w14:paraId="23B611A8" w14:textId="77777777" w:rsidR="007B24A1" w:rsidRDefault="007B24A1">
                              <w:pPr>
                                <w:jc w:val="center"/>
                              </w:pPr>
                              <w:r>
                                <w:rPr>
                                  <w:b/>
                                  <w:bCs/>
                                  <w:sz w:val="20"/>
                                  <w:szCs w:val="20"/>
                                </w:rPr>
                                <w:t xml:space="preserve">Įsigyjamojo vieneto </w:t>
                              </w:r>
                              <w:r>
                                <w:rPr>
                                  <w:b/>
                                  <w:bCs/>
                                  <w:sz w:val="20"/>
                                  <w:szCs w:val="20"/>
                                  <w:lang w:val="lt-LT"/>
                                </w:rPr>
                                <w:t>B</w:t>
                              </w:r>
                              <w:r>
                                <w:rPr>
                                  <w:sz w:val="20"/>
                                  <w:szCs w:val="20"/>
                                  <w:lang w:val="lt-LT"/>
                                </w:rPr>
                                <w:t xml:space="preserve"> turtas, teisės ir pareigos</w:t>
                              </w:r>
                            </w:p>
                          </w:txbxContent>
                        </wps:txbx>
                        <wps:bodyPr rot="0" vert="horz" wrap="square" lIns="91440" tIns="45720" rIns="91440" bIns="45720" anchor="t" anchorCtr="0" upright="1">
                          <a:noAutofit/>
                        </wps:bodyPr>
                      </wps:wsp>
                      <wps:wsp>
                        <wps:cNvPr id="308" name="Rectangle 125"/>
                        <wps:cNvSpPr>
                          <a:spLocks noChangeArrowheads="1"/>
                        </wps:cNvSpPr>
                        <wps:spPr bwMode="auto">
                          <a:xfrm>
                            <a:off x="8925" y="9140"/>
                            <a:ext cx="1984" cy="1215"/>
                          </a:xfrm>
                          <a:prstGeom prst="rect">
                            <a:avLst/>
                          </a:prstGeom>
                          <a:solidFill>
                            <a:srgbClr val="FFFFFF"/>
                          </a:solidFill>
                          <a:ln w="28575">
                            <a:solidFill>
                              <a:srgbClr val="000000"/>
                            </a:solidFill>
                            <a:miter lim="800000"/>
                          </a:ln>
                        </wps:spPr>
                        <wps:txbx>
                          <w:txbxContent>
                            <w:p w14:paraId="3B9D1AA6" w14:textId="77777777" w:rsidR="007B24A1" w:rsidRDefault="007B24A1">
                              <w:pPr>
                                <w:jc w:val="center"/>
                              </w:pPr>
                              <w:r>
                                <w:rPr>
                                  <w:b/>
                                  <w:bCs/>
                                  <w:sz w:val="20"/>
                                  <w:szCs w:val="20"/>
                                </w:rPr>
                                <w:t xml:space="preserve">Įsigyjamasis vienetas </w:t>
                              </w:r>
                              <w:r>
                                <w:rPr>
                                  <w:b/>
                                  <w:bCs/>
                                  <w:sz w:val="20"/>
                                  <w:szCs w:val="20"/>
                                  <w:lang w:val="lt-LT"/>
                                </w:rPr>
                                <w:t>B</w:t>
                              </w:r>
                              <w:r>
                                <w:rPr>
                                  <w:sz w:val="20"/>
                                  <w:szCs w:val="20"/>
                                  <w:lang w:val="lt-LT"/>
                                </w:rPr>
                                <w:t>, kurio veikla nutraukiama</w:t>
                              </w:r>
                            </w:p>
                          </w:txbxContent>
                        </wps:txbx>
                        <wps:bodyPr rot="0" vert="horz" wrap="square" lIns="91440" tIns="45720" rIns="91440" bIns="45720" anchor="t" anchorCtr="0" upright="1">
                          <a:noAutofit/>
                        </wps:bodyPr>
                      </wps:wsp>
                      <wps:wsp>
                        <wps:cNvPr id="309" name="Rectangle 126"/>
                        <wps:cNvSpPr>
                          <a:spLocks noChangeArrowheads="1"/>
                        </wps:cNvSpPr>
                        <wps:spPr bwMode="auto">
                          <a:xfrm>
                            <a:off x="1709" y="10940"/>
                            <a:ext cx="1984" cy="1215"/>
                          </a:xfrm>
                          <a:prstGeom prst="rect">
                            <a:avLst/>
                          </a:prstGeom>
                          <a:solidFill>
                            <a:srgbClr val="FFFFFF"/>
                          </a:solidFill>
                          <a:ln w="9525">
                            <a:solidFill>
                              <a:srgbClr val="000000"/>
                            </a:solidFill>
                            <a:miter lim="800000"/>
                          </a:ln>
                        </wps:spPr>
                        <wps:txbx>
                          <w:txbxContent>
                            <w:p w14:paraId="3FE050C8" w14:textId="77777777" w:rsidR="007B24A1" w:rsidRDefault="007B24A1">
                              <w:pPr>
                                <w:jc w:val="center"/>
                                <w:rPr>
                                  <w:sz w:val="20"/>
                                  <w:szCs w:val="20"/>
                                  <w:lang w:val="lt-LT"/>
                                </w:rPr>
                              </w:pPr>
                            </w:p>
                            <w:p w14:paraId="1B87D4F0"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wps:wsp>
                        <wps:cNvPr id="310" name="Rectangle 127"/>
                        <wps:cNvSpPr>
                          <a:spLocks noChangeArrowheads="1"/>
                        </wps:cNvSpPr>
                        <wps:spPr bwMode="auto">
                          <a:xfrm>
                            <a:off x="3861" y="10932"/>
                            <a:ext cx="2257" cy="1542"/>
                          </a:xfrm>
                          <a:prstGeom prst="rect">
                            <a:avLst/>
                          </a:prstGeom>
                          <a:solidFill>
                            <a:srgbClr val="FFFFFF"/>
                          </a:solidFill>
                          <a:ln w="9525">
                            <a:solidFill>
                              <a:srgbClr val="000000"/>
                            </a:solidFill>
                            <a:miter lim="800000"/>
                          </a:ln>
                        </wps:spPr>
                        <wps:txbx>
                          <w:txbxContent>
                            <w:p w14:paraId="45B54761" w14:textId="77777777" w:rsidR="007B24A1" w:rsidRDefault="007B24A1">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56802B61" w14:textId="77777777" w:rsidR="007B24A1" w:rsidRDefault="007B24A1">
                              <w:pPr>
                                <w:jc w:val="center"/>
                                <w:rPr>
                                  <w:lang w:val="lt-LT"/>
                                </w:rPr>
                              </w:pPr>
                              <w:r>
                                <w:rPr>
                                  <w:sz w:val="20"/>
                                  <w:szCs w:val="20"/>
                                  <w:lang w:val="lt-LT"/>
                                </w:rPr>
                                <w:t>(akcijų kainų skirtumas (ne daugiau kaip 10%) gali būti išmokamas pinigais)</w:t>
                              </w:r>
                            </w:p>
                          </w:txbxContent>
                        </wps:txbx>
                        <wps:bodyPr rot="0" vert="horz" wrap="square" lIns="91440" tIns="45720" rIns="91440" bIns="45720" anchor="t" anchorCtr="0" upright="1">
                          <a:noAutofit/>
                        </wps:bodyPr>
                      </wps:wsp>
                      <wps:wsp>
                        <wps:cNvPr id="311" name="Rectangle 128"/>
                        <wps:cNvSpPr>
                          <a:spLocks noChangeArrowheads="1"/>
                        </wps:cNvSpPr>
                        <wps:spPr bwMode="auto">
                          <a:xfrm>
                            <a:off x="6501" y="10932"/>
                            <a:ext cx="2280" cy="1542"/>
                          </a:xfrm>
                          <a:prstGeom prst="rect">
                            <a:avLst/>
                          </a:prstGeom>
                          <a:solidFill>
                            <a:srgbClr val="FFFFFF"/>
                          </a:solidFill>
                          <a:ln w="9525">
                            <a:solidFill>
                              <a:srgbClr val="000000"/>
                            </a:solidFill>
                            <a:miter lim="800000"/>
                          </a:ln>
                        </wps:spPr>
                        <wps:txbx>
                          <w:txbxContent>
                            <w:p w14:paraId="25829A84" w14:textId="77777777" w:rsidR="007B24A1" w:rsidRDefault="007B24A1">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1E6E7AB2" w14:textId="77777777" w:rsidR="007B24A1" w:rsidRDefault="007B24A1">
                              <w:pPr>
                                <w:jc w:val="center"/>
                                <w:rPr>
                                  <w:lang w:val="lt-LT"/>
                                </w:rPr>
                              </w:pPr>
                              <w:r>
                                <w:rPr>
                                  <w:sz w:val="20"/>
                                  <w:szCs w:val="20"/>
                                  <w:lang w:val="lt-LT"/>
                                </w:rPr>
                                <w:t>(akcijų kainų skirtumas (ne daugiau kaip 10%) gali būti išmokamas pinigais)</w:t>
                              </w:r>
                            </w:p>
                          </w:txbxContent>
                        </wps:txbx>
                        <wps:bodyPr rot="0" vert="horz" wrap="square" lIns="91440" tIns="45720" rIns="91440" bIns="45720" anchor="t" anchorCtr="0" upright="1">
                          <a:noAutofit/>
                        </wps:bodyPr>
                      </wps:wsp>
                      <wps:wsp>
                        <wps:cNvPr id="312" name="Rectangle 129"/>
                        <wps:cNvSpPr>
                          <a:spLocks noChangeArrowheads="1"/>
                        </wps:cNvSpPr>
                        <wps:spPr bwMode="auto">
                          <a:xfrm>
                            <a:off x="8925" y="10940"/>
                            <a:ext cx="1984" cy="1215"/>
                          </a:xfrm>
                          <a:prstGeom prst="rect">
                            <a:avLst/>
                          </a:prstGeom>
                          <a:solidFill>
                            <a:srgbClr val="FFFFFF"/>
                          </a:solidFill>
                          <a:ln w="9525">
                            <a:solidFill>
                              <a:srgbClr val="000000"/>
                            </a:solidFill>
                            <a:miter lim="800000"/>
                          </a:ln>
                        </wps:spPr>
                        <wps:txbx>
                          <w:txbxContent>
                            <w:p w14:paraId="4B13E4E3" w14:textId="77777777" w:rsidR="007B24A1" w:rsidRDefault="007B24A1">
                              <w:pPr>
                                <w:jc w:val="center"/>
                                <w:rPr>
                                  <w:sz w:val="20"/>
                                  <w:szCs w:val="20"/>
                                  <w:lang w:val="lt-LT"/>
                                </w:rPr>
                              </w:pPr>
                            </w:p>
                            <w:p w14:paraId="5540C2A3"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akcijos anuliuojamos</w:t>
                              </w:r>
                            </w:p>
                          </w:txbxContent>
                        </wps:txbx>
                        <wps:bodyPr rot="0" vert="horz" wrap="square" lIns="91440" tIns="45720" rIns="91440" bIns="45720" anchor="t" anchorCtr="0" upright="1">
                          <a:noAutofit/>
                        </wps:bodyPr>
                      </wps:wsp>
                      <wps:wsp>
                        <wps:cNvPr id="313" name="Rectangle 130"/>
                        <wps:cNvSpPr>
                          <a:spLocks noChangeArrowheads="1"/>
                        </wps:cNvSpPr>
                        <wps:spPr bwMode="auto">
                          <a:xfrm>
                            <a:off x="1709" y="12742"/>
                            <a:ext cx="1984" cy="808"/>
                          </a:xfrm>
                          <a:prstGeom prst="rect">
                            <a:avLst/>
                          </a:prstGeom>
                          <a:solidFill>
                            <a:srgbClr val="FFFFFF"/>
                          </a:solidFill>
                          <a:ln w="9525">
                            <a:solidFill>
                              <a:srgbClr val="000000"/>
                            </a:solidFill>
                            <a:miter lim="800000"/>
                          </a:ln>
                        </wps:spPr>
                        <wps:txbx>
                          <w:txbxContent>
                            <w:p w14:paraId="7F6C4E47"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dalyviai</w:t>
                              </w:r>
                            </w:p>
                          </w:txbxContent>
                        </wps:txbx>
                        <wps:bodyPr rot="0" vert="horz" wrap="square" lIns="91440" tIns="45720" rIns="91440" bIns="45720" anchor="t" anchorCtr="0" upright="1">
                          <a:noAutofit/>
                        </wps:bodyPr>
                      </wps:wsp>
                      <wps:wsp>
                        <wps:cNvPr id="314" name="Rectangle 131"/>
                        <wps:cNvSpPr>
                          <a:spLocks noChangeArrowheads="1"/>
                        </wps:cNvSpPr>
                        <wps:spPr bwMode="auto">
                          <a:xfrm>
                            <a:off x="8925" y="12742"/>
                            <a:ext cx="1984" cy="808"/>
                          </a:xfrm>
                          <a:prstGeom prst="rect">
                            <a:avLst/>
                          </a:prstGeom>
                          <a:solidFill>
                            <a:srgbClr val="FFFFFF"/>
                          </a:solidFill>
                          <a:ln w="9525">
                            <a:solidFill>
                              <a:srgbClr val="000000"/>
                            </a:solidFill>
                            <a:miter lim="800000"/>
                          </a:ln>
                        </wps:spPr>
                        <wps:txbx>
                          <w:txbxContent>
                            <w:p w14:paraId="279AA8F8"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dalyviai</w:t>
                              </w:r>
                            </w:p>
                          </w:txbxContent>
                        </wps:txbx>
                        <wps:bodyPr rot="0" vert="horz" wrap="square" lIns="91440" tIns="45720" rIns="91440" bIns="45720" anchor="t" anchorCtr="0" upright="1">
                          <a:noAutofit/>
                        </wps:bodyPr>
                      </wps:wsp>
                      <wps:wsp>
                        <wps:cNvPr id="315" name="AutoShape 132"/>
                        <wps:cNvCnPr/>
                        <wps:spPr bwMode="auto">
                          <a:xfrm>
                            <a:off x="3707" y="9771"/>
                            <a:ext cx="234" cy="179"/>
                          </a:xfrm>
                          <a:prstGeom prst="straightConnector1">
                            <a:avLst/>
                          </a:prstGeom>
                          <a:noFill/>
                          <a:ln w="19050">
                            <a:solidFill>
                              <a:srgbClr val="000000"/>
                            </a:solidFill>
                            <a:prstDash val="sysDot"/>
                            <a:round/>
                          </a:ln>
                        </wps:spPr>
                        <wps:bodyPr/>
                      </wps:wsp>
                      <wps:wsp>
                        <wps:cNvPr id="316" name="AutoShape 133"/>
                        <wps:cNvCnPr/>
                        <wps:spPr bwMode="auto">
                          <a:xfrm>
                            <a:off x="5358" y="9779"/>
                            <a:ext cx="219" cy="179"/>
                          </a:xfrm>
                          <a:prstGeom prst="straightConnector1">
                            <a:avLst/>
                          </a:prstGeom>
                          <a:noFill/>
                          <a:ln w="19050">
                            <a:solidFill>
                              <a:srgbClr val="000000"/>
                            </a:solidFill>
                            <a:prstDash val="sysDot"/>
                            <a:round/>
                            <a:tailEnd type="triangle" w="med" len="med"/>
                          </a:ln>
                        </wps:spPr>
                        <wps:bodyPr/>
                      </wps:wsp>
                      <wps:wsp>
                        <wps:cNvPr id="317" name="AutoShape 134"/>
                        <wps:cNvCnPr/>
                        <wps:spPr bwMode="auto">
                          <a:xfrm flipH="1">
                            <a:off x="8714" y="9779"/>
                            <a:ext cx="189" cy="179"/>
                          </a:xfrm>
                          <a:prstGeom prst="straightConnector1">
                            <a:avLst/>
                          </a:prstGeom>
                          <a:noFill/>
                          <a:ln w="19050">
                            <a:solidFill>
                              <a:srgbClr val="000000"/>
                            </a:solidFill>
                            <a:prstDash val="sysDot"/>
                            <a:round/>
                          </a:ln>
                        </wps:spPr>
                        <wps:bodyPr/>
                      </wps:wsp>
                      <wps:wsp>
                        <wps:cNvPr id="318" name="AutoShape 135"/>
                        <wps:cNvCnPr/>
                        <wps:spPr bwMode="auto">
                          <a:xfrm flipH="1">
                            <a:off x="7039" y="9779"/>
                            <a:ext cx="256" cy="179"/>
                          </a:xfrm>
                          <a:prstGeom prst="straightConnector1">
                            <a:avLst/>
                          </a:prstGeom>
                          <a:noFill/>
                          <a:ln w="19050">
                            <a:solidFill>
                              <a:srgbClr val="000000"/>
                            </a:solidFill>
                            <a:prstDash val="sysDot"/>
                            <a:round/>
                            <a:tailEnd type="triangle" w="med" len="med"/>
                          </a:ln>
                        </wps:spPr>
                        <wps:bodyPr/>
                      </wps:wsp>
                      <wps:wsp>
                        <wps:cNvPr id="319" name="AutoShape 136"/>
                        <wps:cNvCnPr/>
                        <wps:spPr bwMode="auto">
                          <a:xfrm>
                            <a:off x="2693" y="10431"/>
                            <a:ext cx="8" cy="484"/>
                          </a:xfrm>
                          <a:prstGeom prst="straightConnector1">
                            <a:avLst/>
                          </a:prstGeom>
                          <a:noFill/>
                          <a:ln w="19050">
                            <a:solidFill>
                              <a:srgbClr val="000000"/>
                            </a:solidFill>
                            <a:prstDash val="sysDot"/>
                            <a:round/>
                          </a:ln>
                        </wps:spPr>
                        <wps:bodyPr/>
                      </wps:wsp>
                      <wps:wsp>
                        <wps:cNvPr id="128" name="AutoShape 137"/>
                        <wps:cNvCnPr/>
                        <wps:spPr bwMode="auto">
                          <a:xfrm>
                            <a:off x="2701" y="12217"/>
                            <a:ext cx="1" cy="499"/>
                          </a:xfrm>
                          <a:prstGeom prst="straightConnector1">
                            <a:avLst/>
                          </a:prstGeom>
                          <a:noFill/>
                          <a:ln w="19050">
                            <a:solidFill>
                              <a:srgbClr val="000000"/>
                            </a:solidFill>
                            <a:prstDash val="sysDot"/>
                            <a:round/>
                          </a:ln>
                        </wps:spPr>
                        <wps:bodyPr/>
                      </wps:wsp>
                      <wps:wsp>
                        <wps:cNvPr id="129" name="AutoShape 138"/>
                        <wps:cNvCnPr/>
                        <wps:spPr bwMode="auto">
                          <a:xfrm>
                            <a:off x="9917" y="10439"/>
                            <a:ext cx="1" cy="477"/>
                          </a:xfrm>
                          <a:prstGeom prst="straightConnector1">
                            <a:avLst/>
                          </a:prstGeom>
                          <a:noFill/>
                          <a:ln w="19050">
                            <a:solidFill>
                              <a:srgbClr val="000000"/>
                            </a:solidFill>
                            <a:prstDash val="sysDot"/>
                            <a:round/>
                          </a:ln>
                        </wps:spPr>
                        <wps:bodyPr/>
                      </wps:wsp>
                      <wps:wsp>
                        <wps:cNvPr id="130" name="AutoShape 139"/>
                        <wps:cNvCnPr/>
                        <wps:spPr bwMode="auto">
                          <a:xfrm>
                            <a:off x="9917" y="12217"/>
                            <a:ext cx="2" cy="499"/>
                          </a:xfrm>
                          <a:prstGeom prst="straightConnector1">
                            <a:avLst/>
                          </a:prstGeom>
                          <a:noFill/>
                          <a:ln w="19050">
                            <a:solidFill>
                              <a:srgbClr val="000000"/>
                            </a:solidFill>
                            <a:prstDash val="sysDot"/>
                            <a:round/>
                          </a:ln>
                        </wps:spPr>
                        <wps:bodyPr/>
                      </wps:wsp>
                    </wpg:wgp>
                  </a:graphicData>
                </a:graphic>
              </wp:anchor>
            </w:drawing>
          </mc:Choice>
          <mc:Fallback>
            <w:pict>
              <v:group w14:anchorId="0481840F" id="Group 117" o:spid="_x0000_s1123" style="position:absolute;left:0;text-align:left;margin-left:0;margin-top:-45pt;width:460.8pt;height:221.35pt;z-index:251638784;mso-position-horizontal-relative:text;mso-position-vertical-relative:text" coordorigin="1701,9132" coordsize="9216,4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FDBAYAALY0AAAOAAAAZHJzL2Uyb0RvYy54bWzsW9tyo0YQfU9V/oHiPRbDRVzK8taWb0nV&#10;JtnKbj5gxEVQAYbMYEvO16dnBkYgUNbW2ng3xg+yEGjU0+f0maanOX+3K3LtPqYsI+VKR2eGrsVl&#10;SKKs3Kz0Pz/f/OTpGqtxGeGclPFKf4iZ/u7ixx/Ot1UQmyQleRRTDQYpWbCtVnpa11WwWLAwjQvM&#10;zkgVl3AyIbTANRzSzSKieAujF/nCNIzlYktoVFESxozBp1fypH4hxk+SOKx/TxIW11q+0sG2WrxS&#10;8brmr4uLcxxsKK7SLGzMwCdYUeCshB9VQ13hGmt3NBsMVWQhJYwk9VlIigVJkiyMxRxgNsg4mM0t&#10;JXeVmMsm2G4q5SZw7YGfTh42/O3+I9WyaKVbBvinxAWAJH5XQ8jl7tlWmwCuuqXVp+ojbT7YyCM+&#10;411CC/4f5qLthGMflGPjXa2F8KHjOSZawvghnDM9hJDtSNeHKeDDv4dcA+kanPaRZbbnrpvv+/Bt&#10;+WXbRh4/u2h/eMHtU+ZsK6AR23uKfZ2nPqW4igUAjPtAeQoslZ56f1cTcRF4S9jFDYAruau4U1j1&#10;gYR/Ma0klykuN/F7VgElYbYwQPsRpWSbxjgCW8XHn8Fr11EmruIz7Q3JDxgMrq23v5IIsMJggWDe&#10;AQ4j/mzR6HjTdEQIKG/ioKKsvo1JofE3K52CuWJ4fP+B1dLx7SV8giW5yfK8NZNbxhnDgjWJHsBK&#10;SmAMwB0UAt6khP6ja1uItpXO/r7DNNa1/JcSJu4j2+bhKQ5sxzXhgHbPrLtncBnCUCu91jX59rKW&#10;IX1X0WyTCs9J4zg+SSbs3lvV+BR4Im2dgDDmGGF8TuQG3cuyia1Hwru0DFBWCBdk2JYYCActvuYS&#10;IleGmuOLODuOL6sp5i67JGUJUBOKHoU2DvJS28Kv+wYwSDCd5FnEuSAO6GZ9mVPtHnPZFX9N0LLu&#10;ZSBvZQQ+wEGNs/y6jLT6oQJO1zSDYMmBHfATRRwBS2JYXfg7ycC8bDA8JFxLxCmxtUawBf4+EVst&#10;ybPqZy4B3B+NmFpLH0Y/irIzozxZBNstyn9AmAh2ashEHZSPSn5P31uCqjXiOQQd+R6Yx9dWMOkL&#10;Af8lQe8FKOvG8Y34G4tjqQWm57jOyVpQZDUkgnlWrHSvKxgjoV7v1juRsrgqyublppefgDDI/KRL&#10;VpFVNcvNS5PVcXy/yeZgXQfS71cnxDO4t0hWJRYzWXtkhcx+SFZrQmW1fLu99Rgha5NKvaay+o45&#10;sbAqrZi52uMqkGHIVXtCrromZPTyNnmEq6C5r50FTM9VJRUzV3tchVV2yFWRHU6UBHg+yNYRrr7V&#10;jFVpxUzWHllBuYZkXU4orFAvkxkrMvyBsn4TbJ1eWZVYzGTtkhVBcXJI1qZY/t/l32eqBVjeUmas&#10;QNa2Wq6qf6bTpqyOLfK449W/lysGTE9WJRYzWXtk5XsKYlenWwt41F7FM5F16TQ7O6Nk9SCYRM76&#10;psiqxGIma4+sap+kS9buPslLF65UzjqnAarKqsRiJmuPrGrjp0NWS5WkVYV/ZBf4mZR1n7Oarlzq&#10;O2VWlbN6sFPItx3aHfMn7/GeviUwfRagtGLmao+rY9tXlqpIT8DVvbDOXJW7V5D5NHvEM1d7XFW7&#10;V53uGnmXc2KzhOUacEvEe4tcV3B+L5Om1e6cukI6jqvkq3ZK8JabK8xS2VHBHtgVqTl7cND2UIDh&#10;I1ulkllc/bnrJuyK4P1a8rajC6Iq1YLgPLXjxbEc2fECIB42vKC28P2dg/hdN8LwpqMh5Krg+VjI&#10;RxthPBdBnMoIPgAfef8T8L+1CFb7B90IViXBr4LTNaBnbRxO02k6PdEcy00X5WvIN8AzjGVVYnss&#10;+J1WNrPbynawCDf9IDZ0MfG5Hr1RmZfgaKxNfLxLGZmjAawqT6dg2PZoI9OUzeH7RArKjLyMZ0Pf&#10;z4yheHbhST35xzAcjUNVkDkBQ9/n6zRvFRw2DrcYuoIkcxyys+fAEEpCI1oqwuTE+5k9hsM4hArq&#10;m4pD8fwHPBwj1o3mQR7+9E33WNz+7B83uvgXAAD//wMAUEsDBBQABgAIAAAAIQAQSUFj4AAAAAgB&#10;AAAPAAAAZHJzL2Rvd25yZXYueG1sTI9Ba8JAEIXvhf6HZQq96SYRbY3ZiEjbkxTUQvE2ZsckmN0N&#10;2TWJ/77TU3t7wxve+162Hk0jeup87ayCeBqBIFs4XdtSwdfxffIKwge0GhtnScGdPKzzx4cMU+0G&#10;u6f+EErBIdanqKAKoU2l9EVFBv3UtWTZu7jOYOCzK6XucOBw08gkihbSYG25ocKWthUV18PNKPgY&#10;cNjM4rd+d71s76fj/PN7F5NSz0/jZgUi0Bj+nuEXn9EhZ6azu1ntRaOAhwQFk2XEgu1lEi9AnBXM&#10;5skLyDyT/wfkPwAAAP//AwBQSwECLQAUAAYACAAAACEAtoM4kv4AAADhAQAAEwAAAAAAAAAAAAAA&#10;AAAAAAAAW0NvbnRlbnRfVHlwZXNdLnhtbFBLAQItABQABgAIAAAAIQA4/SH/1gAAAJQBAAALAAAA&#10;AAAAAAAAAAAAAC8BAABfcmVscy8ucmVsc1BLAQItABQABgAIAAAAIQBCqrFDBAYAALY0AAAOAAAA&#10;AAAAAAAAAAAAAC4CAABkcnMvZTJvRG9jLnhtbFBLAQItABQABgAIAAAAIQAQSUFj4AAAAAgBAAAP&#10;AAAAAAAAAAAAAAAAAF4IAABkcnMvZG93bnJldi54bWxQSwUGAAAAAAQABADzAAAAawkAAAAA&#10;">
                <v:rect id="AutoShape 118" o:spid="_x0000_s1124" style="position:absolute;left:1701;top:9132;width:9216;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oxQAAANwAAAAPAAAAZHJzL2Rvd25yZXYueG1sRI9Ba8JA&#10;FITvhf6H5RV6KbpRQUrMRopQGoogxur5kX0modm3Mbsm8d+7hYLHYWa+YZL1aBrRU+dqywpm0wgE&#10;cWF1zaWCn8Pn5B2E88gaG8uk4EYO1unzU4KxtgPvqc99KQKEXYwKKu/bWEpXVGTQTW1LHLyz7Qz6&#10;ILtS6g6HADeNnEfRUhqsOSxU2NKmouI3vxoFQ7HrT4ftl9y9nTLLl+yyyY/fSr2+jB8rEJ5G/wj/&#10;tzOtYBHN4O9MOAIyvQMAAP//AwBQSwECLQAUAAYACAAAACEA2+H2y+4AAACFAQAAEwAAAAAAAAAA&#10;AAAAAAAAAAAAW0NvbnRlbnRfVHlwZXNdLnhtbFBLAQItABQABgAIAAAAIQBa9CxbvwAAABUBAAAL&#10;AAAAAAAAAAAAAAAAAB8BAABfcmVscy8ucmVsc1BLAQItABQABgAIAAAAIQDs+lBoxQAAANwAAAAP&#10;AAAAAAAAAAAAAAAAAAcCAABkcnMvZG93bnJldi54bWxQSwUGAAAAAAMAAwC3AAAA+QIAAAAA&#10;" filled="f" stroked="f">
                  <o:lock v:ext="edit" aspectratio="t" text="t"/>
                </v:rect>
                <v:shape id="AutoShape 119" o:spid="_x0000_s1125" type="#_x0000_t32" style="position:absolute;left:6308;top:10439;width:2617;height:25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pMwgAAANwAAAAPAAAAZHJzL2Rvd25yZXYueG1sRI9Bi8Iw&#10;FITvgv8hPGFvmuqCLNUoKgp6tNuDx2fzbIvNS2lirf56Iwgeh5n5hpkvO1OJlhpXWlYwHkUgiDOr&#10;S84VpP+74R8I55E1VpZJwYMcLBf93hxjbe98pDbxuQgQdjEqKLyvYyldVpBBN7I1cfAutjHog2xy&#10;qRu8B7ip5CSKptJgyWGhwJo2BWXX5GYUbNJbm67bpN4e16dxXh22+/MzVepn0K1mIDx1/hv+tPda&#10;wW80gfeZcATk4gUAAP//AwBQSwECLQAUAAYACAAAACEA2+H2y+4AAACFAQAAEwAAAAAAAAAAAAAA&#10;AAAAAAAAW0NvbnRlbnRfVHlwZXNdLnhtbFBLAQItABQABgAIAAAAIQBa9CxbvwAAABUBAAALAAAA&#10;AAAAAAAAAAAAAB8BAABfcmVscy8ucmVsc1BLAQItABQABgAIAAAAIQCNYQpMwgAAANwAAAAPAAAA&#10;AAAAAAAAAAAAAAcCAABkcnMvZG93bnJldi54bWxQSwUGAAAAAAMAAwC3AAAA9gIAAAAA&#10;" strokeweight="1.5pt">
                  <v:stroke endarrow="block"/>
                </v:shape>
                <v:shape id="AutoShape 120" o:spid="_x0000_s1126" type="#_x0000_t32" style="position:absolute;left:3693;top:10439;width:2615;height:25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2XlxQAAANwAAAAPAAAAZHJzL2Rvd25yZXYueG1sRI9BawIx&#10;FITvBf9DeIKXotm6UtqtUUQRemzXHurtsXndbE1etpvobv99UxA8DjPzDbNcD86KC3Wh8azgYZaB&#10;IK68brhW8HHYT59AhIis0XomBb8UYL0a3S2x0L7nd7qUsRYJwqFABSbGtpAyVIYchplviZP35TuH&#10;McmulrrDPsGdlfMse5QOG04LBlvaGqpO5dkpePOfi93umazvy5/BfOf3c3skpSbjYfMCItIQb+Fr&#10;+1UryLMc/s+kIyBXfwAAAP//AwBQSwECLQAUAAYACAAAACEA2+H2y+4AAACFAQAAEwAAAAAAAAAA&#10;AAAAAAAAAAAAW0NvbnRlbnRfVHlwZXNdLnhtbFBLAQItABQABgAIAAAAIQBa9CxbvwAAABUBAAAL&#10;AAAAAAAAAAAAAAAAAB8BAABfcmVscy8ucmVsc1BLAQItABQABgAIAAAAIQAZ22XlxQAAANwAAAAP&#10;AAAAAAAAAAAAAAAAAAcCAABkcnMvZG93bnJldi54bWxQSwUGAAAAAAMAAwC3AAAA+QIAAAAA&#10;" strokeweight="1.5pt">
                  <v:stroke endarrow="block"/>
                </v:shape>
                <v:rect id="Rectangle 121" o:spid="_x0000_s1127" style="position:absolute;left:1701;top:9132;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6rexgAAANwAAAAPAAAAZHJzL2Rvd25yZXYueG1sRI9Pa8JA&#10;FMTvgt9heQUvUjf+aWlTVymhQvXURi+9PbKvSWj2bZq31fTbu4LgcZiZ3zDLde8adaROas8GppME&#10;FHHhbc2lgcN+c/8ESgKyxcYzGfgngfVqOFhiav2JP+mYh1JFCEuKBqoQ2lRrKSpyKBPfEkfv23cO&#10;Q5RdqW2Hpwh3jZ4lyaN2WHNcqLClrKLiJ/9zBtBty8X293mXy0HeHvbj7EO+MmNGd/3rC6hAfbiF&#10;r+13a2CeLOByJh4BvToDAAD//wMAUEsBAi0AFAAGAAgAAAAhANvh9svuAAAAhQEAABMAAAAAAAAA&#10;AAAAAAAAAAAAAFtDb250ZW50X1R5cGVzXS54bWxQSwECLQAUAAYACAAAACEAWvQsW78AAAAVAQAA&#10;CwAAAAAAAAAAAAAAAAAfAQAAX3JlbHMvLnJlbHNQSwECLQAUAAYACAAAACEAj4eq3sYAAADcAAAA&#10;DwAAAAAAAAAAAAAAAAAHAgAAZHJzL2Rvd25yZXYueG1sUEsFBgAAAAADAAMAtwAAAPoCAAAAAA==&#10;" strokeweight="2.25pt">
                  <v:textbox>
                    <w:txbxContent>
                      <w:p w14:paraId="35234806" w14:textId="77777777" w:rsidR="007B24A1" w:rsidRDefault="007B24A1">
                        <w:pPr>
                          <w:pStyle w:val="Pagrindinistekstas2"/>
                        </w:pPr>
                        <w:r>
                          <w:rPr>
                            <w:b w:val="0"/>
                            <w:bCs w:val="0"/>
                            <w:sz w:val="20"/>
                          </w:rPr>
                          <w:t xml:space="preserve">Įsigyjamasis vienetas </w:t>
                        </w:r>
                        <w:r>
                          <w:rPr>
                            <w:sz w:val="20"/>
                          </w:rPr>
                          <w:t>A</w:t>
                        </w:r>
                        <w:r>
                          <w:rPr>
                            <w:b w:val="0"/>
                            <w:bCs w:val="0"/>
                            <w:sz w:val="20"/>
                          </w:rPr>
                          <w:t>, kurio veikla nutraukiama</w:t>
                        </w:r>
                        <w:r>
                          <w:t xml:space="preserve"> </w:t>
                        </w:r>
                      </w:p>
                    </w:txbxContent>
                  </v:textbox>
                </v:rect>
                <v:rect id="Rectangle 122" o:spid="_x0000_s1128" style="position:absolute;left:5599;top:9140;width:1418;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9FxgAAANwAAAAPAAAAZHJzL2Rvd25yZXYueG1sRI9Ba8JA&#10;FITvgv9heYIXqRttLW3qKiVYUE9t9NLbI/uaBLNv07xV47/vFgo9DjPzDbNc965RF+qk9mxgNk1A&#10;ERfe1lwaOB7e7p5ASUC22HgmAzcSWK+GgyWm1l/5gy55KFWEsKRooAqhTbWWoiKHMvUtcfS+fOcw&#10;RNmV2nZ4jXDX6HmSPGqHNceFClvKKipO+dkZQLcrH3bfz/tcjrJZHCbZu3xmxoxH/esLqEB9+A//&#10;tbfWwH2ygN8z8Qjo1Q8AAAD//wMAUEsBAi0AFAAGAAgAAAAhANvh9svuAAAAhQEAABMAAAAAAAAA&#10;AAAAAAAAAAAAAFtDb250ZW50X1R5cGVzXS54bWxQSwECLQAUAAYACAAAACEAWvQsW78AAAAVAQAA&#10;CwAAAAAAAAAAAAAAAAAfAQAAX3JlbHMvLnJlbHNQSwECLQAUAAYACAAAACEA4MsPRcYAAADcAAAA&#10;DwAAAAAAAAAAAAAAAAAHAgAAZHJzL2Rvd25yZXYueG1sUEsFBgAAAAADAAMAtwAAAPoCAAAAAA==&#10;" strokeweight="2.25pt">
                  <v:textbox>
                    <w:txbxContent>
                      <w:p w14:paraId="76A156E6" w14:textId="77777777" w:rsidR="007B24A1" w:rsidRDefault="007B24A1">
                        <w:pPr>
                          <w:jc w:val="center"/>
                          <w:rPr>
                            <w:sz w:val="20"/>
                            <w:szCs w:val="20"/>
                            <w:lang w:val="lt-LT"/>
                          </w:rPr>
                        </w:pPr>
                        <w:r>
                          <w:rPr>
                            <w:b/>
                            <w:bCs/>
                            <w:sz w:val="20"/>
                            <w:szCs w:val="20"/>
                          </w:rPr>
                          <w:t xml:space="preserve">Naujai sukurtas įsigyjantysis vienetas </w:t>
                        </w:r>
                        <w:r>
                          <w:rPr>
                            <w:b/>
                            <w:bCs/>
                            <w:sz w:val="20"/>
                            <w:szCs w:val="20"/>
                            <w:lang w:val="lt-LT"/>
                          </w:rPr>
                          <w:t>C</w:t>
                        </w:r>
                      </w:p>
                    </w:txbxContent>
                  </v:textbox>
                </v:rect>
                <v:rect id="Rectangle 123" o:spid="_x0000_s1129" style="position:absolute;left:3941;top:9140;width:1417;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ycxQAAANwAAAAPAAAAZHJzL2Rvd25yZXYueG1sRI9BawIx&#10;FITvhf6H8AreaqKCtFujiKK0x9314u25ed1Nu3lZNlG3/fVGKPQ4zMw3zGI1uFZcqA/Ws4bJWIEg&#10;rryxXGs4lLvnFxAhIhtsPZOGHwqwWj4+LDAz/so5XYpYiwThkKGGJsYukzJUDTkMY98RJ+/T9w5j&#10;kn0tTY/XBHetnCo1lw4tp4UGO9o0VH0XZ6fhZKcH/M3LvXKvu1n8GMqv83Gr9ehpWL+BiDTE//Bf&#10;+91omKk53M+kIyCXNwAAAP//AwBQSwECLQAUAAYACAAAACEA2+H2y+4AAACFAQAAEwAAAAAAAAAA&#10;AAAAAAAAAAAAW0NvbnRlbnRfVHlwZXNdLnhtbFBLAQItABQABgAIAAAAIQBa9CxbvwAAABUBAAAL&#10;AAAAAAAAAAAAAAAAAB8BAABfcmVscy8ucmVsc1BLAQItABQABgAIAAAAIQALziycxQAAANwAAAAP&#10;AAAAAAAAAAAAAAAAAAcCAABkcnMvZG93bnJldi54bWxQSwUGAAAAAAMAAwC3AAAA+QIAAAAA&#10;">
                  <v:textbox>
                    <w:txbxContent>
                      <w:p w14:paraId="7150EFD3" w14:textId="77777777" w:rsidR="007B24A1" w:rsidRDefault="007B24A1">
                        <w:pPr>
                          <w:jc w:val="center"/>
                          <w:rPr>
                            <w:lang w:val="fr-FR"/>
                          </w:rPr>
                        </w:pPr>
                        <w:r>
                          <w:rPr>
                            <w:b/>
                            <w:bCs/>
                            <w:sz w:val="20"/>
                            <w:szCs w:val="20"/>
                          </w:rPr>
                          <w:t xml:space="preserve">Įsigyjamojo vieneto </w:t>
                        </w:r>
                        <w:r>
                          <w:rPr>
                            <w:b/>
                            <w:bCs/>
                            <w:sz w:val="20"/>
                            <w:szCs w:val="20"/>
                            <w:lang w:val="lt-LT"/>
                          </w:rPr>
                          <w:t>A</w:t>
                        </w:r>
                        <w:r>
                          <w:rPr>
                            <w:sz w:val="20"/>
                            <w:szCs w:val="20"/>
                            <w:lang w:val="lt-LT"/>
                          </w:rPr>
                          <w:t xml:space="preserve"> turtas, teisės ir pareigos</w:t>
                        </w:r>
                      </w:p>
                    </w:txbxContent>
                  </v:textbox>
                </v:rect>
                <v:rect id="Rectangle 124" o:spid="_x0000_s1130" style="position:absolute;left:7295;top:9140;width:1419;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kHxAAAANwAAAAPAAAAZHJzL2Rvd25yZXYueG1sRI9BawIx&#10;FITvBf9DeIK3mlSh1dUooij1qOvF23Pz3F27eVk2Udf++kYoeBxm5htmOm9tJW7U+NKxho++AkGc&#10;OVNyruGQrt9HIHxANlg5Jg0P8jCfdd6mmBh35x3d9iEXEcI+QQ1FCHUipc8Ksuj7riaO3tk1FkOU&#10;TS5Ng/cIt5UcKPUpLZYcFwqsaVlQ9rO/Wg2ncnDA3126UXa8HoZtm16ux5XWvW67mIAI1IZX+L/9&#10;bTQM1Rc8z8QjIGd/AAAA//8DAFBLAQItABQABgAIAAAAIQDb4fbL7gAAAIUBAAATAAAAAAAAAAAA&#10;AAAAAAAAAABbQ29udGVudF9UeXBlc10ueG1sUEsBAi0AFAAGAAgAAAAhAFr0LFu/AAAAFQEAAAsA&#10;AAAAAAAAAAAAAAAAHwEAAF9yZWxzLy5yZWxzUEsBAi0AFAAGAAgAAAAhAGSCiQfEAAAA3AAAAA8A&#10;AAAAAAAAAAAAAAAABwIAAGRycy9kb3ducmV2LnhtbFBLBQYAAAAAAwADALcAAAD4AgAAAAA=&#10;">
                  <v:textbox>
                    <w:txbxContent>
                      <w:p w14:paraId="23B611A8" w14:textId="77777777" w:rsidR="007B24A1" w:rsidRDefault="007B24A1">
                        <w:pPr>
                          <w:jc w:val="center"/>
                        </w:pPr>
                        <w:r>
                          <w:rPr>
                            <w:b/>
                            <w:bCs/>
                            <w:sz w:val="20"/>
                            <w:szCs w:val="20"/>
                          </w:rPr>
                          <w:t xml:space="preserve">Įsigyjamojo vieneto </w:t>
                        </w:r>
                        <w:r>
                          <w:rPr>
                            <w:b/>
                            <w:bCs/>
                            <w:sz w:val="20"/>
                            <w:szCs w:val="20"/>
                            <w:lang w:val="lt-LT"/>
                          </w:rPr>
                          <w:t>B</w:t>
                        </w:r>
                        <w:r>
                          <w:rPr>
                            <w:sz w:val="20"/>
                            <w:szCs w:val="20"/>
                            <w:lang w:val="lt-LT"/>
                          </w:rPr>
                          <w:t xml:space="preserve"> turtas, teisės ir pareigos</w:t>
                        </w:r>
                      </w:p>
                    </w:txbxContent>
                  </v:textbox>
                </v:rect>
                <v:rect id="Rectangle 125" o:spid="_x0000_s1131" style="position:absolute;left:8925;top:91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DbwgAAANwAAAAPAAAAZHJzL2Rvd25yZXYueG1sRE9Na8JA&#10;EL0L/Q/LFLyIbqq22NRVSlContropbchO01Cs7NpZtX037sHwePjfS/XvWvUmTqpPRt4miSgiAtv&#10;ay4NHA/b8QKUBGSLjWcy8E8C69XDYImp9Rf+onMeShVDWFI0UIXQplpLUZFDmfiWOHI/vnMYIuxK&#10;bTu8xHDX6GmSvGiHNceGClvKKip+85MzgG5Xznd/r/tcjrJ5PoyyT/nOjBk+9u9voAL14S6+uT+s&#10;gVkS18Yz8Qjo1RUAAP//AwBQSwECLQAUAAYACAAAACEA2+H2y+4AAACFAQAAEwAAAAAAAAAAAAAA&#10;AAAAAAAAW0NvbnRlbnRfVHlwZXNdLnhtbFBLAQItABQABgAIAAAAIQBa9CxbvwAAABUBAAALAAAA&#10;AAAAAAAAAAAAAB8BAABfcmVscy8ucmVsc1BLAQItABQABgAIAAAAIQAOyqDbwgAAANwAAAAPAAAA&#10;AAAAAAAAAAAAAAcCAABkcnMvZG93bnJldi54bWxQSwUGAAAAAAMAAwC3AAAA9gIAAAAA&#10;" strokeweight="2.25pt">
                  <v:textbox>
                    <w:txbxContent>
                      <w:p w14:paraId="3B9D1AA6" w14:textId="77777777" w:rsidR="007B24A1" w:rsidRDefault="007B24A1">
                        <w:pPr>
                          <w:jc w:val="center"/>
                        </w:pPr>
                        <w:r>
                          <w:rPr>
                            <w:b/>
                            <w:bCs/>
                            <w:sz w:val="20"/>
                            <w:szCs w:val="20"/>
                          </w:rPr>
                          <w:t xml:space="preserve">Įsigyjamasis vienetas </w:t>
                        </w:r>
                        <w:r>
                          <w:rPr>
                            <w:b/>
                            <w:bCs/>
                            <w:sz w:val="20"/>
                            <w:szCs w:val="20"/>
                            <w:lang w:val="lt-LT"/>
                          </w:rPr>
                          <w:t>B</w:t>
                        </w:r>
                        <w:r>
                          <w:rPr>
                            <w:sz w:val="20"/>
                            <w:szCs w:val="20"/>
                            <w:lang w:val="lt-LT"/>
                          </w:rPr>
                          <w:t>, kurio veikla nutraukiama</w:t>
                        </w:r>
                      </w:p>
                    </w:txbxContent>
                  </v:textbox>
                </v:rect>
                <v:rect id="Rectangle 126" o:spid="_x0000_s1132" style="position:absolute;left:1709;top:109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juxQAAANwAAAAPAAAAZHJzL2Rvd25yZXYueG1sRI9Ba8JA&#10;FITvBf/D8oTe6q4RiqauIpaU9qjx0ttr9plEs29DdhPT/vpuQehxmJlvmPV2tI0YqPO1Yw3zmQJB&#10;XDhTc6nhlGdPSxA+IBtsHJOGb/Kw3Uwe1pgad+MDDcdQighhn6KGKoQ2ldIXFVn0M9cSR+/sOosh&#10;yq6UpsNbhNtGJko9S4s1x4UKW9pXVFyPvdXwVScn/Dnkb8quskX4GPNL//mq9eN03L2ACDSG//C9&#10;/W40LNQK/s7EIyA3vwAAAP//AwBQSwECLQAUAAYACAAAACEA2+H2y+4AAACFAQAAEwAAAAAAAAAA&#10;AAAAAAAAAAAAW0NvbnRlbnRfVHlwZXNdLnhtbFBLAQItABQABgAIAAAAIQBa9CxbvwAAABUBAAAL&#10;AAAAAAAAAAAAAAAAAB8BAABfcmVscy8ucmVsc1BLAQItABQABgAIAAAAIQB6UbjuxQAAANwAAAAP&#10;AAAAAAAAAAAAAAAAAAcCAABkcnMvZG93bnJldi54bWxQSwUGAAAAAAMAAwC3AAAA+QIAAAAA&#10;">
                  <v:textbox>
                    <w:txbxContent>
                      <w:p w14:paraId="3FE050C8" w14:textId="77777777" w:rsidR="007B24A1" w:rsidRDefault="007B24A1">
                        <w:pPr>
                          <w:jc w:val="center"/>
                          <w:rPr>
                            <w:sz w:val="20"/>
                            <w:szCs w:val="20"/>
                            <w:lang w:val="lt-LT"/>
                          </w:rPr>
                        </w:pPr>
                      </w:p>
                      <w:p w14:paraId="1B87D4F0"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akcijos anuliuojamos</w:t>
                        </w:r>
                      </w:p>
                    </w:txbxContent>
                  </v:textbox>
                </v:rect>
                <v:rect id="Rectangle 127" o:spid="_x0000_s1133" style="position:absolute;left:3861;top:10932;width:2257;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euwgAAANwAAAAPAAAAZHJzL2Rvd25yZXYueG1sRE89b4Mw&#10;EN0j5T9YV6lbMBCpaghOVCVK1I4Elm5XfAFafEbYCbS/vh4qdXx63/l+Nr240+g6ywqSKAZBXFvd&#10;caOgKk+rZxDOI2vsLZOCb3Kw3y0XOWbaTlzQ/eIbEULYZaig9X7IpHR1SwZdZAfiwF3taNAHODZS&#10;jziFcNPLNI6fpMGOQ0OLAx1aqr8uN6Pgo0sr/CnKc2w2p7V/m8vP2/tRqceH+WULwtPs/8V/7let&#10;YJ2E+eFMOAJy9wsAAP//AwBQSwECLQAUAAYACAAAACEA2+H2y+4AAACFAQAAEwAAAAAAAAAAAAAA&#10;AAAAAAAAW0NvbnRlbnRfVHlwZXNdLnhtbFBLAQItABQABgAIAAAAIQBa9CxbvwAAABUBAAALAAAA&#10;AAAAAAAAAAAAAB8BAABfcmVscy8ucmVsc1BLAQItABQABgAIAAAAIQBusoeuwgAAANwAAAAPAAAA&#10;AAAAAAAAAAAAAAcCAABkcnMvZG93bnJldi54bWxQSwUGAAAAAAMAAwC3AAAA9gIAAAAA&#10;">
                  <v:textbox>
                    <w:txbxContent>
                      <w:p w14:paraId="45B54761" w14:textId="77777777" w:rsidR="007B24A1" w:rsidRDefault="007B24A1">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56802B61" w14:textId="77777777" w:rsidR="007B24A1" w:rsidRDefault="007B24A1">
                        <w:pPr>
                          <w:jc w:val="center"/>
                          <w:rPr>
                            <w:lang w:val="lt-LT"/>
                          </w:rPr>
                        </w:pPr>
                        <w:r>
                          <w:rPr>
                            <w:sz w:val="20"/>
                            <w:szCs w:val="20"/>
                            <w:lang w:val="lt-LT"/>
                          </w:rPr>
                          <w:t>(akcijų kainų skirtumas (ne daugiau kaip 10%) gali būti išmokamas pinigais)</w:t>
                        </w:r>
                      </w:p>
                    </w:txbxContent>
                  </v:textbox>
                </v:rect>
                <v:rect id="Rectangle 128" o:spid="_x0000_s1134" style="position:absolute;left:6501;top:10932;width:2280;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1xQAAANwAAAAPAAAAZHJzL2Rvd25yZXYueG1sRI9Pa8JA&#10;FMTvQr/D8oTedBMDpaauIhWlPWpy8fbMviZps29DdvOn/fTdQsHjMDO/YTa7yTRioM7VlhXEywgE&#10;cWF1zaWCPDsunkE4j6yxsUwKvsnBbvsw22Cq7chnGi6+FAHCLkUFlfdtKqUrKjLolrYlDt6H7Qz6&#10;ILtS6g7HADeNXEXRkzRYc1iosKXXioqvS28U3OpVjj/n7BSZ9THx71P22V8PSj3Op/0LCE+Tv4f/&#10;229aQRLH8HcmHAG5/QUAAP//AwBQSwECLQAUAAYACAAAACEA2+H2y+4AAACFAQAAEwAAAAAAAAAA&#10;AAAAAAAAAAAAW0NvbnRlbnRfVHlwZXNdLnhtbFBLAQItABQABgAIAAAAIQBa9CxbvwAAABUBAAAL&#10;AAAAAAAAAAAAAAAAAB8BAABfcmVscy8ucmVsc1BLAQItABQABgAIAAAAIQAB/iI1xQAAANwAAAAP&#10;AAAAAAAAAAAAAAAAAAcCAABkcnMvZG93bnJldi54bWxQSwUGAAAAAAMAAwC3AAAA+QIAAAAA&#10;">
                  <v:textbox>
                    <w:txbxContent>
                      <w:p w14:paraId="25829A84" w14:textId="77777777" w:rsidR="007B24A1" w:rsidRDefault="007B24A1">
                        <w:pPr>
                          <w:jc w:val="center"/>
                          <w:rPr>
                            <w:sz w:val="20"/>
                            <w:szCs w:val="20"/>
                            <w:lang w:val="lt-LT"/>
                          </w:rPr>
                        </w:pPr>
                        <w:r>
                          <w:rPr>
                            <w:b/>
                            <w:bCs/>
                            <w:sz w:val="20"/>
                            <w:szCs w:val="20"/>
                          </w:rPr>
                          <w:t xml:space="preserve">Įsigyjančiojo vieneto </w:t>
                        </w:r>
                        <w:r>
                          <w:rPr>
                            <w:b/>
                            <w:bCs/>
                            <w:sz w:val="20"/>
                            <w:szCs w:val="20"/>
                            <w:lang w:val="lt-LT"/>
                          </w:rPr>
                          <w:t xml:space="preserve">C </w:t>
                        </w:r>
                        <w:r>
                          <w:rPr>
                            <w:sz w:val="20"/>
                            <w:szCs w:val="20"/>
                            <w:lang w:val="lt-LT"/>
                          </w:rPr>
                          <w:t>naujai išleistos akcijos</w:t>
                        </w:r>
                      </w:p>
                      <w:p w14:paraId="1E6E7AB2" w14:textId="77777777" w:rsidR="007B24A1" w:rsidRDefault="007B24A1">
                        <w:pPr>
                          <w:jc w:val="center"/>
                          <w:rPr>
                            <w:lang w:val="lt-LT"/>
                          </w:rPr>
                        </w:pPr>
                        <w:r>
                          <w:rPr>
                            <w:sz w:val="20"/>
                            <w:szCs w:val="20"/>
                            <w:lang w:val="lt-LT"/>
                          </w:rPr>
                          <w:t>(akcijų kainų skirtumas (ne daugiau kaip 10%) gali būti išmokamas pinigais)</w:t>
                        </w:r>
                      </w:p>
                    </w:txbxContent>
                  </v:textbox>
                </v:rect>
                <v:rect id="Rectangle 129" o:spid="_x0000_s1135" style="position:absolute;left:8925;top:10940;width:1984;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xCxQAAANwAAAAPAAAAZHJzL2Rvd25yZXYueG1sRI9Ba8JA&#10;FITvgv9heYXedJMIpaauUpRIe9Tk0ttr9jVJm30bspsY/fXdQsHjMDPfMJvdZFoxUu8aywriZQSC&#10;uLS64UpBkWeLZxDOI2tsLZOCKznYbeezDabaXvhE49lXIkDYpaig9r5LpXRlTQbd0nbEwfuyvUEf&#10;ZF9J3eMlwE0rkyh6kgYbDgs1drSvqfw5D0bBZ5MUeDvlx8iss5V/n/Lv4eOg1OPD9PoCwtPk7+H/&#10;9ptWsIoT+DsTjoDc/gIAAP//AwBQSwECLQAUAAYACAAAACEA2+H2y+4AAACFAQAAEwAAAAAAAAAA&#10;AAAAAAAAAAAAW0NvbnRlbnRfVHlwZXNdLnhtbFBLAQItABQABgAIAAAAIQBa9CxbvwAAABUBAAAL&#10;AAAAAAAAAAAAAAAAAB8BAABfcmVscy8ucmVsc1BLAQItABQABgAIAAAAIQDxLLxCxQAAANwAAAAP&#10;AAAAAAAAAAAAAAAAAAcCAABkcnMvZG93bnJldi54bWxQSwUGAAAAAAMAAwC3AAAA+QIAAAAA&#10;">
                  <v:textbox>
                    <w:txbxContent>
                      <w:p w14:paraId="4B13E4E3" w14:textId="77777777" w:rsidR="007B24A1" w:rsidRDefault="007B24A1">
                        <w:pPr>
                          <w:jc w:val="center"/>
                          <w:rPr>
                            <w:sz w:val="20"/>
                            <w:szCs w:val="20"/>
                            <w:lang w:val="lt-LT"/>
                          </w:rPr>
                        </w:pPr>
                      </w:p>
                      <w:p w14:paraId="5540C2A3"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akcijos anuliuojamos</w:t>
                        </w:r>
                      </w:p>
                    </w:txbxContent>
                  </v:textbox>
                </v:rect>
                <v:rect id="Rectangle 130" o:spid="_x0000_s1136" style="position:absolute;left:1709;top:12742;width:198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nZwwAAANwAAAAPAAAAZHJzL2Rvd25yZXYueG1sRI9Bi8Iw&#10;FITvC/6H8IS9rakWxK1GEUVZj9pevD2bZ1ttXkoTtbu/3gjCHoeZ+YaZLTpTizu1rrKsYDiIQBDn&#10;VldcKMjSzdcEhPPIGmvLpOCXHCzmvY8ZJto+eE/3gy9EgLBLUEHpfZNI6fKSDLqBbYiDd7atQR9k&#10;W0jd4iPATS1HUTSWBisOCyU2tCopvx5uRsGpGmX4t0+3kfnexH7XpZfbca3UZ79bTkF46vx/+N3+&#10;0QriYQyvM+EIyPkTAAD//wMAUEsBAi0AFAAGAAgAAAAhANvh9svuAAAAhQEAABMAAAAAAAAAAAAA&#10;AAAAAAAAAFtDb250ZW50X1R5cGVzXS54bWxQSwECLQAUAAYACAAAACEAWvQsW78AAAAVAQAACwAA&#10;AAAAAAAAAAAAAAAfAQAAX3JlbHMvLnJlbHNQSwECLQAUAAYACAAAACEAnmAZ2cMAAADcAAAADwAA&#10;AAAAAAAAAAAAAAAHAgAAZHJzL2Rvd25yZXYueG1sUEsFBgAAAAADAAMAtwAAAPcCAAAAAA==&#10;">
                  <v:textbox>
                    <w:txbxContent>
                      <w:p w14:paraId="7F6C4E47"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A</w:t>
                        </w:r>
                        <w:r>
                          <w:rPr>
                            <w:sz w:val="20"/>
                            <w:szCs w:val="20"/>
                            <w:lang w:val="lt-LT"/>
                          </w:rPr>
                          <w:t xml:space="preserve"> dalyviai</w:t>
                        </w:r>
                      </w:p>
                    </w:txbxContent>
                  </v:textbox>
                </v:rect>
                <v:rect id="Rectangle 131" o:spid="_x0000_s1137" style="position:absolute;left:8925;top:12742;width:198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GtxgAAANwAAAAPAAAAZHJzL2Rvd25yZXYueG1sRI/NasMw&#10;EITvhbyD2EBvjZwfSuNECSHFJT3G9qW3jbWx3VorYym226evCoUch5n5htnuR9OInjpXW1Ywn0Ug&#10;iAuray4V5Fny9ALCeWSNjWVS8E0O9rvJwxZjbQc+U5/6UgQIuxgVVN63sZSuqMigm9mWOHhX2xn0&#10;QXal1B0OAW4auYiiZ2mw5rBQYUvHioqv9GYUXOpFjj/n7C0y62Tp38fs8/bxqtTjdDxsQHga/T38&#10;3z5pBcv5Cv7OhCMgd78AAAD//wMAUEsBAi0AFAAGAAgAAAAhANvh9svuAAAAhQEAABMAAAAAAAAA&#10;AAAAAAAAAAAAAFtDb250ZW50X1R5cGVzXS54bWxQSwECLQAUAAYACAAAACEAWvQsW78AAAAVAQAA&#10;CwAAAAAAAAAAAAAAAAAfAQAAX3JlbHMvLnJlbHNQSwECLQAUAAYACAAAACEAEYmBrcYAAADcAAAA&#10;DwAAAAAAAAAAAAAAAAAHAgAAZHJzL2Rvd25yZXYueG1sUEsFBgAAAAADAAMAtwAAAPoCAAAAAA==&#10;">
                  <v:textbox>
                    <w:txbxContent>
                      <w:p w14:paraId="279AA8F8" w14:textId="77777777" w:rsidR="007B24A1" w:rsidRDefault="007B24A1">
                        <w:pPr>
                          <w:jc w:val="center"/>
                          <w:rPr>
                            <w:sz w:val="20"/>
                            <w:szCs w:val="20"/>
                            <w:lang w:val="lt-LT"/>
                          </w:rPr>
                        </w:pPr>
                        <w:r>
                          <w:rPr>
                            <w:b/>
                            <w:bCs/>
                            <w:sz w:val="20"/>
                            <w:szCs w:val="20"/>
                          </w:rPr>
                          <w:t xml:space="preserve">Įsigyjamojo vieneto </w:t>
                        </w:r>
                        <w:r>
                          <w:rPr>
                            <w:b/>
                            <w:bCs/>
                            <w:sz w:val="20"/>
                            <w:szCs w:val="20"/>
                            <w:lang w:val="lt-LT"/>
                          </w:rPr>
                          <w:t>B</w:t>
                        </w:r>
                        <w:r>
                          <w:rPr>
                            <w:sz w:val="20"/>
                            <w:szCs w:val="20"/>
                            <w:lang w:val="lt-LT"/>
                          </w:rPr>
                          <w:t xml:space="preserve"> dalyviai</w:t>
                        </w:r>
                      </w:p>
                    </w:txbxContent>
                  </v:textbox>
                </v:rect>
                <v:shape id="AutoShape 132" o:spid="_x0000_s1138" type="#_x0000_t32" style="position:absolute;left:3707;top:9771;width:234;height: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9exwAAANwAAAAPAAAAZHJzL2Rvd25yZXYueG1sRI9ba8JA&#10;FITfBf/DcgRfpG7iJZToKlpb6GO1Bft4mj25aPZsmt1q+u/dQsHHYWa+YZbrztTiQq2rLCuIxxEI&#10;4szqigsFH+8vD48gnEfWWFsmBb/kYL3q95aYanvlPV0OvhABwi5FBaX3TSqly0oy6Ma2IQ5ebluD&#10;Psi2kLrFa4CbWk6iKJEGKw4LJTb0VFJ2PvwYBbPnr9Fbtc+n29PuE79P+XEUJ0elhoNuswDhqfP3&#10;8H/7VSuYxnP4OxOOgFzdAAAA//8DAFBLAQItABQABgAIAAAAIQDb4fbL7gAAAIUBAAATAAAAAAAA&#10;AAAAAAAAAAAAAABbQ29udGVudF9UeXBlc10ueG1sUEsBAi0AFAAGAAgAAAAhAFr0LFu/AAAAFQEA&#10;AAsAAAAAAAAAAAAAAAAAHwEAAF9yZWxzLy5yZWxzUEsBAi0AFAAGAAgAAAAhAM05n17HAAAA3AAA&#10;AA8AAAAAAAAAAAAAAAAABwIAAGRycy9kb3ducmV2LnhtbFBLBQYAAAAAAwADALcAAAD7AgAAAAA=&#10;" strokeweight="1.5pt">
                  <v:stroke dashstyle="1 1"/>
                </v:shape>
                <v:shape id="AutoShape 133" o:spid="_x0000_s1139" type="#_x0000_t32" style="position:absolute;left:5358;top:9779;width:219;height: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C9HxAAAANwAAAAPAAAAZHJzL2Rvd25yZXYueG1sRI/RagIx&#10;FETfC/5DuIJvNWsFKatRpFhwX6xd/YDr5rpZurlZk6jr3zdCoY/DzJxhFqvetuJGPjSOFUzGGQji&#10;yumGawXHw+frO4gQkTW2jknBgwKsloOXBeba3fmbbmWsRYJwyFGBibHLpQyVIYth7Dri5J2dtxiT&#10;9LXUHu8Jblv5lmUzabHhtGCwow9D1U95tQpo9yg25yorTbHzX8V6j6fr9qLUaNiv5yAi9fE//Nfe&#10;agXTyQyeZ9IRkMtfAAAA//8DAFBLAQItABQABgAIAAAAIQDb4fbL7gAAAIUBAAATAAAAAAAAAAAA&#10;AAAAAAAAAABbQ29udGVudF9UeXBlc10ueG1sUEsBAi0AFAAGAAgAAAAhAFr0LFu/AAAAFQEAAAsA&#10;AAAAAAAAAAAAAAAAHwEAAF9yZWxzLy5yZWxzUEsBAi0AFAAGAAgAAAAhAHLkL0fEAAAA3AAAAA8A&#10;AAAAAAAAAAAAAAAABwIAAGRycy9kb3ducmV2LnhtbFBLBQYAAAAAAwADALcAAAD4AgAAAAA=&#10;" strokeweight="1.5pt">
                  <v:stroke dashstyle="1 1" endarrow="block"/>
                </v:shape>
                <v:shape id="AutoShape 134" o:spid="_x0000_s1140" type="#_x0000_t32" style="position:absolute;left:8714;top:9779;width:189;height: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ISxgAAANwAAAAPAAAAZHJzL2Rvd25yZXYueG1sRI9Ba8JA&#10;FITvQv/D8gpeRDea1Ep0FSkUekqJeuntmX0mwezbNLvV7b/vFgo9DjPzDbPZBdOJGw2utaxgPktA&#10;EFdWt1wrOB1fpysQziNr7CyTgm9ysNs+jDaYa3vnkm4HX4sIYZejgsb7PpfSVQ0ZdDPbE0fvYgeD&#10;PsqhlnrAe4SbTi6SZCkNthwXGuzppaHqevgyCj6zj4kJtg3SXLInn74X5f5cKDV+DPs1CE/B/4f/&#10;2m9aQTp/ht8z8QjI7Q8AAAD//wMAUEsBAi0AFAAGAAgAAAAhANvh9svuAAAAhQEAABMAAAAAAAAA&#10;AAAAAAAAAAAAAFtDb250ZW50X1R5cGVzXS54bWxQSwECLQAUAAYACAAAACEAWvQsW78AAAAVAQAA&#10;CwAAAAAAAAAAAAAAAAAfAQAAX3JlbHMvLnJlbHNQSwECLQAUAAYACAAAACEAqL2yEsYAAADcAAAA&#10;DwAAAAAAAAAAAAAAAAAHAgAAZHJzL2Rvd25yZXYueG1sUEsFBgAAAAADAAMAtwAAAPoCAAAAAA==&#10;" strokeweight="1.5pt">
                  <v:stroke dashstyle="1 1"/>
                </v:shape>
                <v:shape id="AutoShape 135" o:spid="_x0000_s1141" type="#_x0000_t32" style="position:absolute;left:7039;top:9779;width:256;height:1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Ad5wAAAANwAAAAPAAAAZHJzL2Rvd25yZXYueG1sRE/LisIw&#10;FN0L/kO4A7PTVAWRjlGGAcXNIL7A2V2aa1OnualJ1Pr3ZiG4PJz3dN7aWtzIh8qxgkE/A0FcOF1x&#10;qWC/W/QmIEJE1lg7JgUPCjCfdTtTzLW784Zu21iKFMIhRwUmxiaXMhSGLIa+a4gTd3LeYkzQl1J7&#10;vKdwW8thlo2lxYpTg8GGfgwV/9urVbCjEU/O+u/XF8vxZbnWRz4Yp9TnR/v9BSJSG9/il3ulFYwG&#10;aW06k46AnD0BAAD//wMAUEsBAi0AFAAGAAgAAAAhANvh9svuAAAAhQEAABMAAAAAAAAAAAAAAAAA&#10;AAAAAFtDb250ZW50X1R5cGVzXS54bWxQSwECLQAUAAYACAAAACEAWvQsW78AAAAVAQAACwAAAAAA&#10;AAAAAAAAAAAfAQAAX3JlbHMvLnJlbHNQSwECLQAUAAYACAAAACEAS9QHecAAAADcAAAADwAAAAAA&#10;AAAAAAAAAAAHAgAAZHJzL2Rvd25yZXYueG1sUEsFBgAAAAADAAMAtwAAAPQCAAAAAA==&#10;" strokeweight="1.5pt">
                  <v:stroke dashstyle="1 1" endarrow="block"/>
                </v:shape>
                <v:shape id="AutoShape 136" o:spid="_x0000_s1142" type="#_x0000_t32" style="position:absolute;left:2693;top:10431;width:8;height: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VbxgAAANwAAAAPAAAAZHJzL2Rvd25yZXYueG1sRI9LawJB&#10;EITvAf/D0IIXibOrQZLVUXxCjtEEzLHd6X3oTs+6M+rm3zuBQI5FVX1FTeetqcSNGldaVhAPIhDE&#10;qdUl5wq+PrfPryCcR9ZYWSYFP+RgPus8TTHR9s47uu19LgKEXYIKCu/rREqXFmTQDWxNHLzMNgZ9&#10;kE0udYP3ADeVHEbRWBosOSwUWNOqoPS8vxoFL5tj/6PcZaPlaf2Nl1N26Mfjg1K9bruYgPDU+v/w&#10;X/tdKxjFb/B7JhwBOXsAAAD//wMAUEsBAi0AFAAGAAgAAAAhANvh9svuAAAAhQEAABMAAAAAAAAA&#10;AAAAAAAAAAAAAFtDb250ZW50X1R5cGVzXS54bWxQSwECLQAUAAYACAAAACEAWvQsW78AAAAVAQAA&#10;CwAAAAAAAAAAAAAAAAAfAQAAX3JlbHMvLnJlbHNQSwECLQAUAAYACAAAACEATHSVW8YAAADcAAAA&#10;DwAAAAAAAAAAAAAAAAAHAgAAZHJzL2Rvd25yZXYueG1sUEsFBgAAAAADAAMAtwAAAPoCAAAAAA==&#10;" strokeweight="1.5pt">
                  <v:stroke dashstyle="1 1"/>
                </v:shape>
                <v:shape id="AutoShape 137" o:spid="_x0000_s1143" type="#_x0000_t32" style="position:absolute;left:2701;top:12217;width:1;height: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JScxwAAANwAAAAPAAAAZHJzL2Rvd25yZXYueG1sRI9LbwIx&#10;DITvlfofIlfqBZUsUKFqS0AtBalHXhI9uhvvg26cZRNg++/xAYmbrRnPfJ7MOlerM7Wh8mxg0E9A&#10;EWfeVlwY2G2XL2+gQkS2WHsmA/8UYDZ9fJhgav2F13TexEJJCIcUDZQxNqnWISvJYej7hli03LcO&#10;o6xtoW2LFwl3tR4myVg7rFgaSmxoXlL2tzk5A6+L396qWuejz8PXDx4P+b43GO+NeX7qPt5BReri&#10;3Xy7/raCPxRaeUYm0NMrAAAA//8DAFBLAQItABQABgAIAAAAIQDb4fbL7gAAAIUBAAATAAAAAAAA&#10;AAAAAAAAAAAAAABbQ29udGVudF9UeXBlc10ueG1sUEsBAi0AFAAGAAgAAAAhAFr0LFu/AAAAFQEA&#10;AAsAAAAAAAAAAAAAAAAAHwEAAF9yZWxzLy5yZWxzUEsBAi0AFAAGAAgAAAAhAECQlJzHAAAA3AAA&#10;AA8AAAAAAAAAAAAAAAAABwIAAGRycy9kb3ducmV2LnhtbFBLBQYAAAAAAwADALcAAAD7AgAAAAA=&#10;" strokeweight="1.5pt">
                  <v:stroke dashstyle="1 1"/>
                </v:shape>
                <v:shape id="AutoShape 138" o:spid="_x0000_s1144" type="#_x0000_t32" style="position:absolute;left:9917;top:10439;width:1;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EHwwAAANwAAAAPAAAAZHJzL2Rvd25yZXYueG1sRE9LawIx&#10;EL4X/A9hBC+iWbWIbo1SX9BjfYAep5vZh91M1k3U7b83hUJv8/E9Z7ZoTCnuVLvCsoJBPwJBnFhd&#10;cKbgeNj2JiCcR9ZYWiYFP+RgMW+9zDDW9sE7uu99JkIIuxgV5N5XsZQuycmg69uKOHCprQ36AOtM&#10;6hofIdyUchhFY2mw4NCQY0WrnJLv/c0oeN18dT+LXTpaXtZnvF7SU3cwPinVaTfvbyA8Nf5f/Of+&#10;0GH+cAq/z4QL5PwJAAD//wMAUEsBAi0AFAAGAAgAAAAhANvh9svuAAAAhQEAABMAAAAAAAAAAAAA&#10;AAAAAAAAAFtDb250ZW50X1R5cGVzXS54bWxQSwECLQAUAAYACAAAACEAWvQsW78AAAAVAQAACwAA&#10;AAAAAAAAAAAAAAAfAQAAX3JlbHMvLnJlbHNQSwECLQAUAAYACAAAACEAL9wxB8MAAADcAAAADwAA&#10;AAAAAAAAAAAAAAAHAgAAZHJzL2Rvd25yZXYueG1sUEsFBgAAAAADAAMAtwAAAPcCAAAAAA==&#10;" strokeweight="1.5pt">
                  <v:stroke dashstyle="1 1"/>
                </v:shape>
                <v:shape id="AutoShape 139" o:spid="_x0000_s1145" type="#_x0000_t32" style="position:absolute;left:9917;top:12217;width:2;height: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5HxwAAANwAAAAPAAAAZHJzL2Rvd25yZXYueG1sRI9LbwIx&#10;DITvlfofIiP1giBLqRBaCKilrcSRl0SP7sb7oBtn2aSw/Ht8qNSbrRnPfJ4vO1erC7Wh8mxgNExA&#10;EWfeVlwYOOw/B1NQISJbrD2TgRsFWC4eH+aYWn/lLV12sVASwiFFA2WMTap1yEpyGIa+IRYt963D&#10;KGtbaNviVcJdrZ+TZKIdViwNJTa0Kin72f06Ay8f3/1Ntc3Hb6f3Lzyf8mN/NDka89TrXmegInXx&#10;3/x3vbaCPxZ8eUYm0Is7AAAA//8DAFBLAQItABQABgAIAAAAIQDb4fbL7gAAAIUBAAATAAAAAAAA&#10;AAAAAAAAAAAAAABbQ29udGVudF9UeXBlc10ueG1sUEsBAi0AFAAGAAgAAAAhAFr0LFu/AAAAFQEA&#10;AAsAAAAAAAAAAAAAAAAAHwEAAF9yZWxzLy5yZWxzUEsBAi0AFAAGAAgAAAAhADs/DkfHAAAA3AAA&#10;AA8AAAAAAAAAAAAAAAAABwIAAGRycy9kb3ducmV2LnhtbFBLBQYAAAAAAwADALcAAAD7AgAAAAA=&#10;" strokeweight="1.5pt">
                  <v:stroke dashstyle="1 1"/>
                </v:shape>
              </v:group>
            </w:pict>
          </mc:Fallback>
        </mc:AlternateContent>
      </w:r>
    </w:p>
    <w:p w14:paraId="036FEF92" w14:textId="77777777" w:rsidR="00093845" w:rsidRDefault="00093845">
      <w:pPr>
        <w:pStyle w:val="Pagrindiniotekstotrauka2"/>
        <w:tabs>
          <w:tab w:val="left" w:pos="1080"/>
        </w:tabs>
        <w:ind w:firstLine="0"/>
      </w:pPr>
    </w:p>
    <w:p w14:paraId="78467479" w14:textId="77777777" w:rsidR="00093845" w:rsidRDefault="00093845">
      <w:pPr>
        <w:pStyle w:val="Pagrindiniotekstotrauka2"/>
        <w:tabs>
          <w:tab w:val="left" w:pos="1080"/>
        </w:tabs>
        <w:ind w:firstLine="0"/>
      </w:pPr>
    </w:p>
    <w:p w14:paraId="41EF4E40" w14:textId="77777777" w:rsidR="00093845" w:rsidRDefault="00093845">
      <w:pPr>
        <w:pStyle w:val="Pagrindiniotekstotrauka2"/>
        <w:tabs>
          <w:tab w:val="left" w:pos="1080"/>
        </w:tabs>
        <w:ind w:firstLine="0"/>
      </w:pPr>
    </w:p>
    <w:p w14:paraId="1499D6AD" w14:textId="77777777" w:rsidR="00093845" w:rsidRDefault="00093845">
      <w:pPr>
        <w:pStyle w:val="Pagrindiniotekstotrauka2"/>
        <w:tabs>
          <w:tab w:val="left" w:pos="1080"/>
        </w:tabs>
        <w:ind w:firstLine="0"/>
      </w:pPr>
    </w:p>
    <w:p w14:paraId="6CCD7420" w14:textId="77777777" w:rsidR="00093845" w:rsidRDefault="00093845">
      <w:pPr>
        <w:pStyle w:val="Pagrindiniotekstotrauka2"/>
        <w:tabs>
          <w:tab w:val="left" w:pos="1080"/>
        </w:tabs>
        <w:ind w:firstLine="0"/>
      </w:pPr>
    </w:p>
    <w:p w14:paraId="20ECE231" w14:textId="77777777" w:rsidR="00093845" w:rsidRDefault="00093845">
      <w:pPr>
        <w:pStyle w:val="Pagrindiniotekstotrauka2"/>
        <w:tabs>
          <w:tab w:val="left" w:pos="1080"/>
        </w:tabs>
        <w:ind w:firstLine="0"/>
      </w:pPr>
    </w:p>
    <w:p w14:paraId="3AAE414D" w14:textId="77777777" w:rsidR="00093845" w:rsidRDefault="00093845">
      <w:pPr>
        <w:pStyle w:val="Pagrindiniotekstotrauka2"/>
        <w:tabs>
          <w:tab w:val="left" w:pos="1080"/>
        </w:tabs>
        <w:ind w:firstLine="0"/>
      </w:pPr>
    </w:p>
    <w:p w14:paraId="4A0BF619" w14:textId="77777777" w:rsidR="00093845" w:rsidRDefault="000D779E">
      <w:pPr>
        <w:pStyle w:val="Pagrindiniotekstotrauka2"/>
        <w:spacing w:line="240" w:lineRule="auto"/>
        <w:rPr>
          <w:i/>
          <w:iCs/>
        </w:rPr>
      </w:pPr>
      <w:r>
        <w:t xml:space="preserve">3) vieneto, baigiančio veiklą be likvidavimo procedūros (toliau – įsigyjamasis vienetas), visas turtas, teisės ir prievolės pereina kitam vienetui, valdančiam 100 procentų jo įstatinio kapitalo (100 procentų akcijų, atspindinčių jo kapitalą) (toliau – įsigyjantysis vienetas); </w:t>
      </w:r>
    </w:p>
    <w:p w14:paraId="47ECEFBA"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b/>
          <w:bCs/>
          <w:sz w:val="24"/>
          <w:lang w:val="lt-LT"/>
        </w:rPr>
      </w:pPr>
    </w:p>
    <w:p w14:paraId="67B599D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b/>
          <w:bCs/>
          <w:sz w:val="24"/>
          <w:szCs w:val="24"/>
          <w:lang w:val="lt-LT"/>
        </w:rPr>
      </w:pPr>
      <w:r>
        <w:rPr>
          <w:rFonts w:ascii="Times New Roman" w:hAnsi="Times New Roman"/>
          <w:b/>
          <w:bCs/>
          <w:sz w:val="24"/>
          <w:szCs w:val="24"/>
          <w:lang w:val="lt-LT"/>
        </w:rPr>
        <w:t>Komentaras</w:t>
      </w:r>
    </w:p>
    <w:p w14:paraId="3CDAF2AB" w14:textId="77777777" w:rsidR="00093845" w:rsidRDefault="000D779E">
      <w:pPr>
        <w:pStyle w:val="Pagrindiniotekstotrauka"/>
        <w:tabs>
          <w:tab w:val="left" w:pos="720"/>
        </w:tabs>
        <w:ind w:firstLine="0"/>
        <w:rPr>
          <w:lang w:val="lt-LT"/>
        </w:rPr>
      </w:pPr>
      <w:r>
        <w:rPr>
          <w:rFonts w:ascii="Times New Roman" w:hAnsi="Times New Roman"/>
          <w:lang w:val="lt-LT"/>
        </w:rPr>
        <w:tab/>
      </w:r>
      <w:r>
        <w:rPr>
          <w:lang w:val="lt-LT"/>
        </w:rPr>
        <w:t>1. Šiame punkte numatytas reorganizavimas atliekant prijungimą, kai prie jau esančio vieneto, kuris tęsia veiklą, be likvidavimo procedūros prijungiamas kitas vienetas, kuris baigia savo veiklą, ir kai išpildomos šios dvi sąlygos:</w:t>
      </w:r>
    </w:p>
    <w:p w14:paraId="369C5ABF"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įsigyjamas visas vieneto turtas, teisės ir pareigos, </w:t>
      </w:r>
      <w:r>
        <w:rPr>
          <w:rFonts w:ascii="Times New Roman" w:hAnsi="Times New Roman"/>
          <w:b/>
          <w:bCs/>
          <w:sz w:val="24"/>
          <w:szCs w:val="24"/>
          <w:lang w:val="lt-LT"/>
        </w:rPr>
        <w:t>ir</w:t>
      </w:r>
    </w:p>
    <w:p w14:paraId="275215F3"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vienetas, kuris taip įsigyja turtą, teises ir pareigas, valdo 100 procentų įsigyjamojo vieneto įstatinio kapitalo arba 100 procentų akcijų, atspindinčių jo kapitalą, t.y. jis yra įsigyjamojo vieneto patronuojantis vienetas.</w:t>
      </w:r>
    </w:p>
    <w:p w14:paraId="1320C67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24"/>
        <w:jc w:val="both"/>
        <w:rPr>
          <w:rFonts w:ascii="Times New Roman" w:hAnsi="Times New Roman"/>
          <w:iCs/>
          <w:sz w:val="24"/>
          <w:szCs w:val="24"/>
          <w:lang w:val="lt-LT"/>
        </w:rPr>
      </w:pPr>
      <w:r>
        <w:rPr>
          <w:rFonts w:ascii="Times New Roman" w:hAnsi="Times New Roman"/>
          <w:iCs/>
          <w:sz w:val="24"/>
          <w:szCs w:val="24"/>
          <w:lang w:val="lt-LT"/>
        </w:rPr>
        <w:t>2. Šio punkto nuostatos taikomos tokiems Lietuvos vienetams, kurių teisinė forma yra akcinė bendrovė, uždaroji akcinė bendrovė ar Europos bendrovė.</w:t>
      </w:r>
    </w:p>
    <w:p w14:paraId="6B6AD676"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p>
    <w:p w14:paraId="7CB26A25"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p>
    <w:p w14:paraId="639F024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jc w:val="both"/>
        <w:rPr>
          <w:rFonts w:ascii="Times New Roman" w:hAnsi="Times New Roman"/>
          <w:iCs/>
          <w:sz w:val="24"/>
          <w:szCs w:val="24"/>
          <w:lang w:val="lt-LT"/>
        </w:rPr>
      </w:pPr>
      <w:r>
        <w:rPr>
          <w:rFonts w:ascii="Times New Roman" w:hAnsi="Times New Roman"/>
          <w:iCs/>
          <w:sz w:val="24"/>
          <w:szCs w:val="24"/>
          <w:lang w:val="lt-LT"/>
        </w:rPr>
        <w:t>Schema</w:t>
      </w:r>
    </w:p>
    <w:p w14:paraId="66265858" w14:textId="77777777" w:rsidR="00093845" w:rsidRDefault="000D779E">
      <w:pPr>
        <w:pStyle w:val="HTMLiankstoformatuotas"/>
        <w:ind w:firstLine="720"/>
        <w:jc w:val="both"/>
        <w:rPr>
          <w:lang w:val="lt-LT"/>
        </w:rPr>
      </w:pPr>
      <w:r>
        <w:rPr>
          <w:noProof/>
          <w:lang w:val="lt-LT" w:eastAsia="lt-LT"/>
        </w:rPr>
        <mc:AlternateContent>
          <mc:Choice Requires="wpc">
            <w:drawing>
              <wp:inline distT="0" distB="0" distL="0" distR="0" wp14:anchorId="49C359E2" wp14:editId="665C1ABA">
                <wp:extent cx="4032885" cy="2301240"/>
                <wp:effectExtent l="5080" t="14605" r="635" b="17780"/>
                <wp:docPr id="140" name="Drobė 1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2" name="Rectangle 142"/>
                        <wps:cNvSpPr>
                          <a:spLocks noChangeArrowheads="1"/>
                        </wps:cNvSpPr>
                        <wps:spPr bwMode="auto">
                          <a:xfrm>
                            <a:off x="1057408" y="4921"/>
                            <a:ext cx="1943978" cy="575720"/>
                          </a:xfrm>
                          <a:prstGeom prst="rect">
                            <a:avLst/>
                          </a:prstGeom>
                          <a:solidFill>
                            <a:srgbClr val="FFFFFF"/>
                          </a:solidFill>
                          <a:ln w="28575">
                            <a:solidFill>
                              <a:srgbClr val="000000"/>
                            </a:solidFill>
                            <a:miter lim="800000"/>
                          </a:ln>
                        </wps:spPr>
                        <wps:txbx>
                          <w:txbxContent>
                            <w:p w14:paraId="06C52731" w14:textId="77777777" w:rsidR="007B24A1" w:rsidRDefault="007B24A1">
                              <w:pPr>
                                <w:jc w:val="center"/>
                                <w:rPr>
                                  <w:sz w:val="20"/>
                                  <w:szCs w:val="20"/>
                                  <w:lang w:val="lt-LT"/>
                                </w:rPr>
                              </w:pPr>
                            </w:p>
                            <w:p w14:paraId="547D2B7C" w14:textId="77777777" w:rsidR="007B24A1" w:rsidRDefault="007B24A1">
                              <w:pPr>
                                <w:jc w:val="center"/>
                                <w:rPr>
                                  <w:sz w:val="20"/>
                                  <w:szCs w:val="20"/>
                                  <w:lang w:val="lt-LT"/>
                                </w:rPr>
                              </w:pPr>
                              <w:r>
                                <w:rPr>
                                  <w:lang w:val="lt-LT"/>
                                </w:rPr>
                                <w:t>Patronuojantis vienetas</w:t>
                              </w:r>
                            </w:p>
                          </w:txbxContent>
                        </wps:txbx>
                        <wps:bodyPr rot="0" vert="horz" wrap="square" lIns="91440" tIns="45720" rIns="91440" bIns="45720" anchor="t" anchorCtr="0" upright="1">
                          <a:noAutofit/>
                        </wps:bodyPr>
                      </wps:wsp>
                      <wps:wsp>
                        <wps:cNvPr id="293" name="Rectangle 143"/>
                        <wps:cNvSpPr>
                          <a:spLocks noChangeArrowheads="1"/>
                        </wps:cNvSpPr>
                        <wps:spPr bwMode="auto">
                          <a:xfrm>
                            <a:off x="2486446" y="861120"/>
                            <a:ext cx="1541581" cy="576540"/>
                          </a:xfrm>
                          <a:prstGeom prst="rect">
                            <a:avLst/>
                          </a:prstGeom>
                          <a:solidFill>
                            <a:srgbClr val="FFFFFF"/>
                          </a:solidFill>
                          <a:ln w="9525">
                            <a:solidFill>
                              <a:srgbClr val="000000"/>
                            </a:solidFill>
                            <a:miter lim="800000"/>
                          </a:ln>
                        </wps:spPr>
                        <wps:txbx>
                          <w:txbxContent>
                            <w:p w14:paraId="7794055D" w14:textId="77777777" w:rsidR="007B24A1" w:rsidRDefault="007B24A1">
                              <w:pPr>
                                <w:jc w:val="center"/>
                                <w:rPr>
                                  <w:sz w:val="20"/>
                                  <w:szCs w:val="20"/>
                                  <w:lang w:val="lt-LT"/>
                                </w:rPr>
                              </w:pPr>
                            </w:p>
                            <w:p w14:paraId="049EA5CB" w14:textId="77777777" w:rsidR="007B24A1" w:rsidRDefault="007B24A1">
                              <w:pPr>
                                <w:jc w:val="center"/>
                              </w:pPr>
                              <w:r>
                                <w:rPr>
                                  <w:lang w:val="lt-LT"/>
                                </w:rPr>
                                <w:t>Dukterinio vieneto turtas, teisės ir pareigos</w:t>
                              </w:r>
                            </w:p>
                          </w:txbxContent>
                        </wps:txbx>
                        <wps:bodyPr rot="0" vert="horz" wrap="square" lIns="91440" tIns="45720" rIns="91440" bIns="45720" anchor="t" anchorCtr="0" upright="1">
                          <a:noAutofit/>
                        </wps:bodyPr>
                      </wps:wsp>
                      <wps:wsp>
                        <wps:cNvPr id="294" name="Rectangle 144"/>
                        <wps:cNvSpPr>
                          <a:spLocks noChangeArrowheads="1"/>
                        </wps:cNvSpPr>
                        <wps:spPr bwMode="auto">
                          <a:xfrm>
                            <a:off x="4858" y="861120"/>
                            <a:ext cx="1656551" cy="576540"/>
                          </a:xfrm>
                          <a:prstGeom prst="rect">
                            <a:avLst/>
                          </a:prstGeom>
                          <a:solidFill>
                            <a:srgbClr val="FFFFFF"/>
                          </a:solidFill>
                          <a:ln w="9525">
                            <a:solidFill>
                              <a:srgbClr val="000000"/>
                            </a:solidFill>
                            <a:miter lim="800000"/>
                          </a:ln>
                        </wps:spPr>
                        <wps:txbx>
                          <w:txbxContent>
                            <w:p w14:paraId="3ADFB635" w14:textId="77777777" w:rsidR="007B24A1" w:rsidRDefault="007B24A1">
                              <w:pPr>
                                <w:jc w:val="center"/>
                                <w:rPr>
                                  <w:sz w:val="20"/>
                                  <w:szCs w:val="20"/>
                                  <w:lang w:val="lt-LT"/>
                                </w:rPr>
                              </w:pPr>
                            </w:p>
                            <w:p w14:paraId="335DEEF0" w14:textId="77777777" w:rsidR="007B24A1" w:rsidRDefault="007B24A1">
                              <w:pPr>
                                <w:jc w:val="center"/>
                                <w:rPr>
                                  <w:sz w:val="20"/>
                                  <w:szCs w:val="20"/>
                                  <w:lang w:val="lt-LT"/>
                                </w:rPr>
                              </w:pPr>
                              <w:r>
                                <w:rPr>
                                  <w:lang w:val="lt-LT"/>
                                </w:rPr>
                                <w:t>Dukterinio vieneto akcijos anuliuojamos</w:t>
                              </w:r>
                            </w:p>
                          </w:txbxContent>
                        </wps:txbx>
                        <wps:bodyPr rot="0" vert="horz" wrap="square" lIns="91440" tIns="45720" rIns="91440" bIns="45720" anchor="t" anchorCtr="0" upright="1">
                          <a:noAutofit/>
                        </wps:bodyPr>
                      </wps:wsp>
                      <wps:wsp>
                        <wps:cNvPr id="295" name="Rectangle 145"/>
                        <wps:cNvSpPr>
                          <a:spLocks noChangeArrowheads="1"/>
                        </wps:cNvSpPr>
                        <wps:spPr bwMode="auto">
                          <a:xfrm>
                            <a:off x="1058217" y="1718959"/>
                            <a:ext cx="1943169" cy="576540"/>
                          </a:xfrm>
                          <a:prstGeom prst="rect">
                            <a:avLst/>
                          </a:prstGeom>
                          <a:solidFill>
                            <a:srgbClr val="FFFFFF"/>
                          </a:solidFill>
                          <a:ln w="28575">
                            <a:solidFill>
                              <a:srgbClr val="000000"/>
                            </a:solidFill>
                            <a:miter lim="800000"/>
                          </a:ln>
                        </wps:spPr>
                        <wps:txbx>
                          <w:txbxContent>
                            <w:p w14:paraId="7A038C30" w14:textId="77777777" w:rsidR="007B24A1" w:rsidRDefault="007B24A1">
                              <w:pPr>
                                <w:jc w:val="center"/>
                                <w:rPr>
                                  <w:sz w:val="20"/>
                                  <w:szCs w:val="20"/>
                                  <w:lang w:val="lt-LT"/>
                                </w:rPr>
                              </w:pPr>
                              <w:r>
                                <w:rPr>
                                  <w:lang w:val="lt-LT"/>
                                </w:rPr>
                                <w:t>Dukterinis vienetas, kurio veikla nutraukiama</w:t>
                              </w:r>
                            </w:p>
                          </w:txbxContent>
                        </wps:txbx>
                        <wps:bodyPr rot="0" vert="horz" wrap="square" lIns="91440" tIns="45720" rIns="91440" bIns="45720" anchor="t" anchorCtr="0" upright="1">
                          <a:noAutofit/>
                        </wps:bodyPr>
                      </wps:wsp>
                      <wps:wsp>
                        <wps:cNvPr id="296" name="AutoShape 146"/>
                        <wps:cNvCnPr/>
                        <wps:spPr bwMode="auto">
                          <a:xfrm flipH="1">
                            <a:off x="833134" y="292781"/>
                            <a:ext cx="210510" cy="568339"/>
                          </a:xfrm>
                          <a:prstGeom prst="straightConnector1">
                            <a:avLst/>
                          </a:prstGeom>
                          <a:noFill/>
                          <a:ln w="19050">
                            <a:solidFill>
                              <a:srgbClr val="000000"/>
                            </a:solidFill>
                            <a:prstDash val="sysDot"/>
                            <a:round/>
                          </a:ln>
                        </wps:spPr>
                        <wps:bodyPr/>
                      </wps:wsp>
                      <wps:wsp>
                        <wps:cNvPr id="297" name="AutoShape 147"/>
                        <wps:cNvCnPr/>
                        <wps:spPr bwMode="auto">
                          <a:xfrm>
                            <a:off x="833134" y="1437660"/>
                            <a:ext cx="210510" cy="569979"/>
                          </a:xfrm>
                          <a:prstGeom prst="straightConnector1">
                            <a:avLst/>
                          </a:prstGeom>
                          <a:noFill/>
                          <a:ln w="19050">
                            <a:solidFill>
                              <a:srgbClr val="000000"/>
                            </a:solidFill>
                            <a:prstDash val="sysDot"/>
                            <a:round/>
                          </a:ln>
                        </wps:spPr>
                        <wps:bodyPr/>
                      </wps:wsp>
                      <wps:wsp>
                        <wps:cNvPr id="298" name="AutoShape 148"/>
                        <wps:cNvCnPr/>
                        <wps:spPr bwMode="auto">
                          <a:xfrm flipH="1" flipV="1">
                            <a:off x="3015960" y="292781"/>
                            <a:ext cx="241277" cy="568339"/>
                          </a:xfrm>
                          <a:prstGeom prst="straightConnector1">
                            <a:avLst/>
                          </a:prstGeom>
                          <a:noFill/>
                          <a:ln w="19050">
                            <a:solidFill>
                              <a:srgbClr val="000000"/>
                            </a:solidFill>
                            <a:round/>
                            <a:tailEnd type="triangle" w="med" len="med"/>
                          </a:ln>
                        </wps:spPr>
                        <wps:bodyPr/>
                      </wps:wsp>
                      <wps:wsp>
                        <wps:cNvPr id="299" name="AutoShape 149"/>
                        <wps:cNvCnPr/>
                        <wps:spPr bwMode="auto">
                          <a:xfrm flipV="1">
                            <a:off x="3015960" y="1437660"/>
                            <a:ext cx="241277" cy="569979"/>
                          </a:xfrm>
                          <a:prstGeom prst="straightConnector1">
                            <a:avLst/>
                          </a:prstGeom>
                          <a:noFill/>
                          <a:ln w="19050">
                            <a:solidFill>
                              <a:srgbClr val="000000"/>
                            </a:solidFill>
                            <a:round/>
                          </a:ln>
                        </wps:spPr>
                        <wps:bodyPr/>
                      </wps:wsp>
                    </wpc:wpc>
                  </a:graphicData>
                </a:graphic>
              </wp:inline>
            </w:drawing>
          </mc:Choice>
          <mc:Fallback>
            <w:pict>
              <v:group w14:anchorId="49C359E2" id="Drobė 140" o:spid="_x0000_s1146" editas="canvas" style="width:317.55pt;height:181.2pt;mso-position-horizontal-relative:char;mso-position-vertical-relative:line" coordsize="40328,2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OV7QMAAFMUAAAOAAAAZHJzL2Uyb0RvYy54bWzsWF1v2zYUfS/Q/0DwfZEo6xtRisJZ2gLt&#10;Fqzb3mmJsohKpEbSlt1f30vKduTGKZpu8DIsfpApkbq8vOfcq0Nevtp0LVozpbkUBSYXPkZMlLLi&#10;YlngP36/+SnFSBsqKtpKwQq8ZRq/unr54nLocxbIRrYVUwiMCJ0PfYEbY/rc83TZsI7qC9kzAZ21&#10;VB01cKuWXqXoANa71gt8P/YGqapeyZJpDU+vx0585ezXNSvNr3WtmUFtgcE3467KXRf26l1d0nyp&#10;aN/wcucG/QEvOsoFTHowdU0NRSvF75nqeKmklrW5KGXnybrmJXNrgNUQ/6vVzKlYU+0WU0J09g5C&#10;6x+0u1hav4W84W0L0fDAem6f2f8B8GHwcOgBHd0fcNJ/b/6PDe2ZW5bOy1/WtwrxqsBBFmAkaAcs&#10;+Q1wo2LZMkTCwGJkHYCRH/tbZb3V/XtZftJIyHkD49hrpeTQMFqBY8SOh1VMXrA3Gl5Fi+GDrMA+&#10;XRnp4NrUqrMGAQi0gXf9KAl9oOy2wGEWOFM0ZxuDStubhbMsgd4SuqMkSgLHH4/mezO90uYNkx2y&#10;jQIrWIabhq7fa2Pdovl+iFuGbHll4+5u1HIxbxVaU6Dqjfu5lcBqp8NagQaIVQrzO9NHnXpqw3e/&#10;UzY6biDpWt4VOJ0OasUucjZYY9DNZrFx6KQuGDaSC1ltIZZKjskEyQ+NRqrPGA2QSAXWf62oYhi1&#10;7wTgkZEwtJnnbkIXNKSmPYtpDxUlmCqwwWhszs2Yrate8WUDMxG3bCFfA4Y1d1G982rnP3D1bKSd&#10;nSLt7IykDcI0DsPYkTaNCRlZOaFtFJII4NvRNo4AjpGLZ6dtFgVnZu2hejyz9qjUhqdYG56RtWEa&#10;jXX2JGXjKI6i/yllD7XjmbJHlI1OUTY6I2VBHaQBSVyhJQlJsyizs08qLQgEEmdPodL+CwLhUD2e&#10;eXvEW/gyj6rWKhYnfUHVxhPezsWtAh59W6WiuuX927382enVdDYjMyjloEdBPSejRrvjYwCMJaC9&#10;nF6NYbDj68N6VRtFrciaSyFAuko1aq0H1Othy0DzUZSSzI/8HxalVhhfU92MAlhv9bU0Y3opuRLV&#10;qFhOKNSRbbbbBvCcyg8qwX1gk8cCO9l+TOAk4SyJ493+dL8BOcYzy5JnPHfnBI/aVj+0/QQ9ch/P&#10;9LF43iWqa/35VcrOfBJlAOyDORuSIAFm/Sdydp+ZNDeUtz+LCpltD/tro7jbvsOOsMAdq2AvyOB4&#10;yLaeYB7DB/s+7i61bEWBY4fvL9DfQvt0Sh/B/cRTeg83fEG+rxC7wyQ4SHInH7tTNns0Nr13hfvu&#10;LPDqCwAAAP//AwBQSwMEFAAGAAgAAAAhAPmPNJrcAAAABQEAAA8AAABkcnMvZG93bnJldi54bWxM&#10;j09PhDAQxe8mfodmTLy5ZVmtBikbNFkP3sR/8TZLRyDSKaGFRT+91YteJnl5L+/9Jt8uthczjb5z&#10;rGG9SkAQ18503Gh4etydXYHwAdlg75g0fJKHbXF8lGNm3IEfaK5CI2IJ+ww1tCEMmZS+bsmiX7mB&#10;OHrvbrQYohwbaUY8xHLbyzRJlLTYcVxocaDbluqParIaXtO5UuVz86XUy1t5dzn1eH+z0/r0ZCmv&#10;QQRawl8YfvAjOhSRae8mNl70GuIj4fdGT20u1iD2GjYqPQdZ5PI/ffENAAD//wMAUEsBAi0AFAAG&#10;AAgAAAAhALaDOJL+AAAA4QEAABMAAAAAAAAAAAAAAAAAAAAAAFtDb250ZW50X1R5cGVzXS54bWxQ&#10;SwECLQAUAAYACAAAACEAOP0h/9YAAACUAQAACwAAAAAAAAAAAAAAAAAvAQAAX3JlbHMvLnJlbHNQ&#10;SwECLQAUAAYACAAAACEANAWzle0DAABTFAAADgAAAAAAAAAAAAAAAAAuAgAAZHJzL2Uyb0RvYy54&#10;bWxQSwECLQAUAAYACAAAACEA+Y80mtwAAAAFAQAADwAAAAAAAAAAAAAAAABHBgAAZHJzL2Rvd25y&#10;ZXYueG1sUEsFBgAAAAAEAAQA8wAAAFAHAAAAAA==&#10;">
                <v:shape id="_x0000_s1147" type="#_x0000_t75" style="position:absolute;width:40328;height:23012;visibility:visible;mso-wrap-style:square">
                  <v:fill o:detectmouseclick="t"/>
                  <v:path o:connecttype="none"/>
                </v:shape>
                <v:rect id="Rectangle 142" o:spid="_x0000_s1148" style="position:absolute;left:10574;top:49;width:19439;height: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Q0rxQAAANwAAAAPAAAAZHJzL2Rvd25yZXYueG1sRI9Ba8JA&#10;FITvhf6H5RW8lLox2FKjq0hoofZkoxdvj+xrEpp9m+atGv+9KxR6HGbmG2axGlyrTtRL49nAZJyA&#10;Ii69bbgysN+9P72CkoBssfVMBi4ksFre3y0ws/7MX3QqQqUihCVDA3UIXaa1lDU5lLHviKP37XuH&#10;Icq+0rbHc4S7VqdJ8qIdNhwXauwor6n8KY7OALpNNd38zj4L2cvb8+4x38ohN2b0MKznoAIN4T/8&#10;1/6wBtJZCrcz8Qjo5RUAAP//AwBQSwECLQAUAAYACAAAACEA2+H2y+4AAACFAQAAEwAAAAAAAAAA&#10;AAAAAAAAAAAAW0NvbnRlbnRfVHlwZXNdLnhtbFBLAQItABQABgAIAAAAIQBa9CxbvwAAABUBAAAL&#10;AAAAAAAAAAAAAAAAAB8BAABfcmVscy8ucmVsc1BLAQItABQABgAIAAAAIQDxyQ0rxQAAANwAAAAP&#10;AAAAAAAAAAAAAAAAAAcCAABkcnMvZG93bnJldi54bWxQSwUGAAAAAAMAAwC3AAAA+QIAAAAA&#10;" strokeweight="2.25pt">
                  <v:textbox>
                    <w:txbxContent>
                      <w:p w14:paraId="06C52731" w14:textId="77777777" w:rsidR="007B24A1" w:rsidRDefault="007B24A1">
                        <w:pPr>
                          <w:jc w:val="center"/>
                          <w:rPr>
                            <w:sz w:val="20"/>
                            <w:szCs w:val="20"/>
                            <w:lang w:val="lt-LT"/>
                          </w:rPr>
                        </w:pPr>
                      </w:p>
                      <w:p w14:paraId="547D2B7C" w14:textId="77777777" w:rsidR="007B24A1" w:rsidRDefault="007B24A1">
                        <w:pPr>
                          <w:jc w:val="center"/>
                          <w:rPr>
                            <w:sz w:val="20"/>
                            <w:szCs w:val="20"/>
                            <w:lang w:val="lt-LT"/>
                          </w:rPr>
                        </w:pPr>
                        <w:r>
                          <w:rPr>
                            <w:lang w:val="lt-LT"/>
                          </w:rPr>
                          <w:t>Patronuojantis vienetas</w:t>
                        </w:r>
                      </w:p>
                    </w:txbxContent>
                  </v:textbox>
                </v:rect>
                <v:rect id="Rectangle 143" o:spid="_x0000_s1149" style="position:absolute;left:24864;top:8611;width:15416;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UexQAAANwAAAAPAAAAZHJzL2Rvd25yZXYueG1sRI9Ba8JA&#10;FITvBf/D8gq9NZsmIDW6SrFY6lGTS2/P7DOJzb4N2dVEf70rFHocZuYbZrEaTSsu1LvGsoK3KAZB&#10;XFrdcKWgyDev7yCcR9bYWiYFV3KwWk6eFphpO/COLntfiQBhl6GC2vsuk9KVNRl0ke2Ig3e0vUEf&#10;ZF9J3eMQ4KaVSRxPpcGGw0KNHa1rKn/3Z6Pg0CQF3nb5V2xmm9Rvx/x0/vlU6uV5/JiD8DT6//Bf&#10;+1srSGYpPM6EIyCXdwAAAP//AwBQSwECLQAUAAYACAAAACEA2+H2y+4AAACFAQAAEwAAAAAAAAAA&#10;AAAAAAAAAAAAW0NvbnRlbnRfVHlwZXNdLnhtbFBLAQItABQABgAIAAAAIQBa9CxbvwAAABUBAAAL&#10;AAAAAAAAAAAAAAAAAB8BAABfcmVscy8ucmVsc1BLAQItABQABgAIAAAAIQCFUhUexQAAANwAAAAP&#10;AAAAAAAAAAAAAAAAAAcCAABkcnMvZG93bnJldi54bWxQSwUGAAAAAAMAAwC3AAAA+QIAAAAA&#10;">
                  <v:textbox>
                    <w:txbxContent>
                      <w:p w14:paraId="7794055D" w14:textId="77777777" w:rsidR="007B24A1" w:rsidRDefault="007B24A1">
                        <w:pPr>
                          <w:jc w:val="center"/>
                          <w:rPr>
                            <w:sz w:val="20"/>
                            <w:szCs w:val="20"/>
                            <w:lang w:val="lt-LT"/>
                          </w:rPr>
                        </w:pPr>
                      </w:p>
                      <w:p w14:paraId="049EA5CB" w14:textId="77777777" w:rsidR="007B24A1" w:rsidRDefault="007B24A1">
                        <w:pPr>
                          <w:jc w:val="center"/>
                        </w:pPr>
                        <w:r>
                          <w:rPr>
                            <w:lang w:val="lt-LT"/>
                          </w:rPr>
                          <w:t>Dukterinio vieneto turtas, teisės ir pareigos</w:t>
                        </w:r>
                      </w:p>
                    </w:txbxContent>
                  </v:textbox>
                </v:rect>
                <v:rect id="Rectangle 144" o:spid="_x0000_s1150" style="position:absolute;left:48;top:8611;width:16566;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1qxAAAANwAAAAPAAAAZHJzL2Rvd25yZXYueG1sRI9Bi8Iw&#10;FITvgv8hvIW9abpdWbQaRRRFj1ov3p7Ns+1u81KaqNVfb4QFj8PMfMNMZq2pxJUaV1pW8NWPQBBn&#10;VpecKzikq94QhPPIGivLpOBODmbTbmeCibY33tF173MRIOwSVFB4XydSuqwgg65va+LgnW1j0AfZ&#10;5FI3eAtwU8k4in6kwZLDQoE1LQrK/vYXo+BUxgd87NJ1ZEarb79t09/LcanU50c7H4Pw1Pp3+L+9&#10;0Qri0QBeZ8IRkNMnAAAA//8DAFBLAQItABQABgAIAAAAIQDb4fbL7gAAAIUBAAATAAAAAAAAAAAA&#10;AAAAAAAAAABbQ29udGVudF9UeXBlc10ueG1sUEsBAi0AFAAGAAgAAAAhAFr0LFu/AAAAFQEAAAsA&#10;AAAAAAAAAAAAAAAAHwEAAF9yZWxzLy5yZWxzUEsBAi0AFAAGAAgAAAAhAAq7jWrEAAAA3AAAAA8A&#10;AAAAAAAAAAAAAAAABwIAAGRycy9kb3ducmV2LnhtbFBLBQYAAAAAAwADALcAAAD4AgAAAAA=&#10;">
                  <v:textbox>
                    <w:txbxContent>
                      <w:p w14:paraId="3ADFB635" w14:textId="77777777" w:rsidR="007B24A1" w:rsidRDefault="007B24A1">
                        <w:pPr>
                          <w:jc w:val="center"/>
                          <w:rPr>
                            <w:sz w:val="20"/>
                            <w:szCs w:val="20"/>
                            <w:lang w:val="lt-LT"/>
                          </w:rPr>
                        </w:pPr>
                      </w:p>
                      <w:p w14:paraId="335DEEF0" w14:textId="77777777" w:rsidR="007B24A1" w:rsidRDefault="007B24A1">
                        <w:pPr>
                          <w:jc w:val="center"/>
                          <w:rPr>
                            <w:sz w:val="20"/>
                            <w:szCs w:val="20"/>
                            <w:lang w:val="lt-LT"/>
                          </w:rPr>
                        </w:pPr>
                        <w:r>
                          <w:rPr>
                            <w:lang w:val="lt-LT"/>
                          </w:rPr>
                          <w:t>Dukterinio vieneto akcijos anuliuojamos</w:t>
                        </w:r>
                      </w:p>
                    </w:txbxContent>
                  </v:textbox>
                </v:rect>
                <v:rect id="Rectangle 145" o:spid="_x0000_s1151" style="position:absolute;left:10582;top:17189;width:19431;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fxQAAANwAAAAPAAAAZHJzL2Rvd25yZXYueG1sRI9Ba8JA&#10;FITvgv9heYKXUjeVKpq6igQLtac2euntkX1Ngtm3ad5W4793CwWPw8x8w6w2vWvUmTqpPRt4miSg&#10;iAtvay4NHA+vjwtQEpAtNp7JwJUENuvhYIWp9Rf+pHMeShUhLCkaqEJoU62lqMihTHxLHL1v3zkM&#10;UXalth1eItw1epokc+2w5rhQYUtZRcUp/3UG0O3L5/3P8j2Xo+xmh4fsQ74yY8ajfvsCKlAf7uH/&#10;9ps1MF3O4O9MPAJ6fQMAAP//AwBQSwECLQAUAAYACAAAACEA2+H2y+4AAACFAQAAEwAAAAAAAAAA&#10;AAAAAAAAAAAAW0NvbnRlbnRfVHlwZXNdLnhtbFBLAQItABQABgAIAAAAIQBa9CxbvwAAABUBAAAL&#10;AAAAAAAAAAAAAAAAAB8BAABfcmVscy8ucmVsc1BLAQItABQABgAIAAAAIQB+IJVfxQAAANwAAAAP&#10;AAAAAAAAAAAAAAAAAAcCAABkcnMvZG93bnJldi54bWxQSwUGAAAAAAMAAwC3AAAA+QIAAAAA&#10;" strokeweight="2.25pt">
                  <v:textbox>
                    <w:txbxContent>
                      <w:p w14:paraId="7A038C30" w14:textId="77777777" w:rsidR="007B24A1" w:rsidRDefault="007B24A1">
                        <w:pPr>
                          <w:jc w:val="center"/>
                          <w:rPr>
                            <w:sz w:val="20"/>
                            <w:szCs w:val="20"/>
                            <w:lang w:val="lt-LT"/>
                          </w:rPr>
                        </w:pPr>
                        <w:r>
                          <w:rPr>
                            <w:lang w:val="lt-LT"/>
                          </w:rPr>
                          <w:t>Dukterinis vienetas, kurio veikla nutraukiama</w:t>
                        </w:r>
                      </w:p>
                    </w:txbxContent>
                  </v:textbox>
                </v:rect>
                <v:shape id="AutoShape 146" o:spid="_x0000_s1152" type="#_x0000_t32" style="position:absolute;left:8331;top:2927;width:2105;height:5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tOxgAAANwAAAAPAAAAZHJzL2Rvd25yZXYueG1sRI9Ba8JA&#10;FITvBf/D8gQvpW5MrdToKlIo9GSJeuntNftMgtm3aXZNtv/eFQo9DjPzDbPeBtOInjpXW1YwmyYg&#10;iAuray4VnI7vT68gnEfW2FgmBb/kYLsZPawx03bgnPqDL0WEsMtQQeV9m0npiooMuqltiaN3tp1B&#10;H2VXSt3hEOGmkWmSLKTBmuNChS29VVRcDlej4Gf+9WiCrYM05/mLf/7c57vvvVKTcditQHgK/j/8&#10;1/7QCtLlAu5n4hGQmxsAAAD//wMAUEsBAi0AFAAGAAgAAAAhANvh9svuAAAAhQEAABMAAAAAAAAA&#10;AAAAAAAAAAAAAFtDb250ZW50X1R5cGVzXS54bWxQSwECLQAUAAYACAAAACEAWvQsW78AAAAVAQAA&#10;CwAAAAAAAAAAAAAAAAAfAQAAX3JlbHMvLnJlbHNQSwECLQAUAAYACAAAACEA3MMbTsYAAADcAAAA&#10;DwAAAAAAAAAAAAAAAAAHAgAAZHJzL2Rvd25yZXYueG1sUEsFBgAAAAADAAMAtwAAAPoCAAAAAA==&#10;" strokeweight="1.5pt">
                  <v:stroke dashstyle="1 1"/>
                </v:shape>
                <v:shape id="AutoShape 147" o:spid="_x0000_s1153" type="#_x0000_t32" style="position:absolute;left:8331;top:14376;width:2105;height:5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h1xgAAANwAAAAPAAAAZHJzL2Rvd25yZXYueG1sRI9LawJB&#10;EITvgv9haMGL6KxGjNk4SjQJePQF5tjZ6X2YnZ51Z6Lrv3eEQI5FVX1FzRaNKcWFaldYVjAcRCCI&#10;E6sLzhQc9p/9KQjnkTWWlknBjRws5u3WDGNtr7yly85nIkDYxagg976KpXRJTgbdwFbEwUttbdAH&#10;WWdS13gNcFPKURRNpMGCw0KOFa1ySn52v0bB+OO7tym26dPy9P6F51N67A0nR6W6nebtFYSnxv+H&#10;/9prrWD08gyPM+EIyPkdAAD//wMAUEsBAi0AFAAGAAgAAAAhANvh9svuAAAAhQEAABMAAAAAAAAA&#10;AAAAAAAAAAAAAFtDb250ZW50X1R5cGVzXS54bWxQSwECLQAUAAYACAAAACEAWvQsW78AAAAVAQAA&#10;CwAAAAAAAAAAAAAAAAAfAQAAX3JlbHMvLnJlbHNQSwECLQAUAAYACAAAACEASZWodcYAAADcAAAA&#10;DwAAAAAAAAAAAAAAAAAHAgAAZHJzL2Rvd25yZXYueG1sUEsFBgAAAAADAAMAtwAAAPoCAAAAAA==&#10;" strokeweight="1.5pt">
                  <v:stroke dashstyle="1 1"/>
                </v:shape>
                <v:shape id="AutoShape 148" o:spid="_x0000_s1154" type="#_x0000_t32" style="position:absolute;left:30159;top:2927;width:2413;height:56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yzwgAAANwAAAAPAAAAZHJzL2Rvd25yZXYueG1sRE/Pa8Iw&#10;FL4L/g/hCV5kpnrYXDWKCKJjKKyuOz+aZxtsXkoTtfrXL4fBjh/f78Wqs7W4UeuNYwWTcQKCuHDa&#10;cKng+7R9mYHwAVlj7ZgUPMjDatnvLTDV7s5fdMtCKWII+xQVVCE0qZS+qMiiH7uGOHJn11oMEbal&#10;1C3eY7it5TRJXqVFw7GhwoY2FRWX7GoVjMwx+9Rmkr/tpPN5dzz8fDwPSg0H3XoOIlAX/sV/7r1W&#10;MH2Pa+OZeATk8hcAAP//AwBQSwECLQAUAAYACAAAACEA2+H2y+4AAACFAQAAEwAAAAAAAAAAAAAA&#10;AAAAAAAAW0NvbnRlbnRfVHlwZXNdLnhtbFBLAQItABQABgAIAAAAIQBa9CxbvwAAABUBAAALAAAA&#10;AAAAAAAAAAAAAB8BAABfcmVscy8ucmVsc1BLAQItABQABgAIAAAAIQCCmOyzwgAAANwAAAAPAAAA&#10;AAAAAAAAAAAAAAcCAABkcnMvZG93bnJldi54bWxQSwUGAAAAAAMAAwC3AAAA9gIAAAAA&#10;" strokeweight="1.5pt">
                  <v:stroke endarrow="block"/>
                </v:shape>
                <v:shape id="AutoShape 149" o:spid="_x0000_s1155" type="#_x0000_t32" style="position:absolute;left:30159;top:14376;width:2413;height:57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bS+wgAAANwAAAAPAAAAZHJzL2Rvd25yZXYueG1sRI9Bi8Iw&#10;FITvwv6H8ARvmqqwajXKIihetwpeH82zqTYvbRO1++83guBxmJlvmNWms5V4UOtLxwrGowQEce50&#10;yYWC03E3nIPwAVlj5ZgU/JGHzfqrt8JUuyf/0iMLhYgQ9ikqMCHUqZQ+N2TRj1xNHL2Lay2GKNtC&#10;6hafEW4rOUmSb2mx5LhgsKatofyW3a2C6enaHJPzbHzeN6bZ490fsmau1KDf/SxBBOrCJ/xuH7SC&#10;yWIBrzPxCMj1PwAAAP//AwBQSwECLQAUAAYACAAAACEA2+H2y+4AAACFAQAAEwAAAAAAAAAAAAAA&#10;AAAAAAAAW0NvbnRlbnRfVHlwZXNdLnhtbFBLAQItABQABgAIAAAAIQBa9CxbvwAAABUBAAALAAAA&#10;AAAAAAAAAAAAAB8BAABfcmVscy8ucmVsc1BLAQItABQABgAIAAAAIQDsmbS+wgAAANwAAAAPAAAA&#10;AAAAAAAAAAAAAAcCAABkcnMvZG93bnJldi54bWxQSwUGAAAAAAMAAwC3AAAA9gIAAAAA&#10;" strokeweight="1.5pt"/>
                <w10:anchorlock/>
              </v:group>
            </w:pict>
          </mc:Fallback>
        </mc:AlternateContent>
      </w:r>
    </w:p>
    <w:p w14:paraId="681814EA" w14:textId="77777777" w:rsidR="00093845" w:rsidRDefault="000D779E">
      <w:pPr>
        <w:pStyle w:val="Pagrindiniotekstotrauka2"/>
        <w:tabs>
          <w:tab w:val="left" w:pos="720"/>
        </w:tabs>
        <w:ind w:right="-20" w:firstLine="0"/>
      </w:pPr>
      <w:r>
        <w:tab/>
      </w:r>
    </w:p>
    <w:p w14:paraId="7EE732E4"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3. Jei įsigyjantysis vienetas yra užsienio vienetas, nurodytas PMĮ 41 str. 1 d. 2 punkte, tai  turi būti įvykdyti papildomi reikalavimai, nustatyti šio straipsnio 3 dalyje (žr. PMĮ 41 str. 3 dalies komentarą). </w:t>
      </w:r>
    </w:p>
    <w:p w14:paraId="06984586" w14:textId="77777777" w:rsidR="00093845" w:rsidRDefault="000D779E">
      <w:pPr>
        <w:pStyle w:val="Pagrindiniotekstotrauka2"/>
        <w:tabs>
          <w:tab w:val="left" w:pos="720"/>
        </w:tabs>
        <w:spacing w:line="240" w:lineRule="auto"/>
        <w:ind w:right="-20" w:firstLine="0"/>
      </w:pPr>
      <w:r>
        <w:tab/>
      </w:r>
    </w:p>
    <w:p w14:paraId="1AAFE05A" w14:textId="77777777" w:rsidR="00093845" w:rsidRDefault="000D779E">
      <w:pPr>
        <w:pStyle w:val="Pagrindiniotekstotrauka2"/>
        <w:tabs>
          <w:tab w:val="left" w:pos="720"/>
        </w:tabs>
        <w:spacing w:line="240" w:lineRule="auto"/>
        <w:ind w:right="-20" w:firstLine="0"/>
      </w:pPr>
      <w:r>
        <w:tab/>
        <w:t xml:space="preserve">4) vienetai reorganizuojami išdalijant arba padalijant, t. y. vienetas, baigiantis veiklą be likvidavimo procedūros (toliau – įsigyjamasis vienetas), išdalija ar išskaido savo turtą, teises ir pareigas į dvi ar daugiau dalių ir tuo pačiu momentu jos pereina dviem ar daugiau jau esančių ar naujai kuriamų vienetų (toliau – įsigyjantieji vienetai), įsigyjamojo vieneto dalyviai vietoj </w:t>
      </w:r>
      <w:r>
        <w:lastRenderedPageBreak/>
        <w:t xml:space="preserve">turėtų įsigyjamojo vieneto akcijų (dalių, pajų) proporcingai mainais gauna išleistų įsigyjančiųjų vienetų akcijų (dalių, pajų); jei, keičiant įsigyjamojo vieneto akcijas į įsigyjančiųjų vienetų akcijas, akcijų kainų skirtumas apmokamas pinigais – tai ne daugiau kaip 10 procentų akcijų nominalios vertės arba, kai nominalios vertės nėra, ne daugiau kaip 10 procentų balansinės akcijų vertės; </w:t>
      </w:r>
    </w:p>
    <w:p w14:paraId="683E98C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b/>
          <w:bCs/>
          <w:sz w:val="24"/>
          <w:szCs w:val="24"/>
          <w:lang w:val="lt-LT"/>
        </w:rPr>
      </w:pPr>
      <w:r>
        <w:rPr>
          <w:rFonts w:ascii="Times New Roman" w:hAnsi="Times New Roman"/>
          <w:b/>
          <w:bCs/>
          <w:sz w:val="24"/>
          <w:szCs w:val="24"/>
          <w:lang w:val="lt-LT"/>
        </w:rPr>
        <w:t>Komentaras</w:t>
      </w:r>
    </w:p>
    <w:p w14:paraId="44784AC9" w14:textId="77777777" w:rsidR="00093845" w:rsidRDefault="000D779E">
      <w:pPr>
        <w:pStyle w:val="Pagrindiniotekstotrauka"/>
        <w:tabs>
          <w:tab w:val="left" w:pos="720"/>
        </w:tabs>
        <w:ind w:firstLine="0"/>
        <w:rPr>
          <w:lang w:val="lt-LT"/>
        </w:rPr>
      </w:pPr>
      <w:r>
        <w:rPr>
          <w:rFonts w:ascii="Times New Roman" w:hAnsi="Times New Roman"/>
          <w:lang w:val="lt-LT"/>
        </w:rPr>
        <w:tab/>
      </w:r>
      <w:r>
        <w:rPr>
          <w:lang w:val="lt-LT"/>
        </w:rPr>
        <w:t xml:space="preserve">1. Išdalijimo atveju šiame punkte vartojama sąvoka ,,įsigyjamasis vienetas“ – tai vienetas, kuris išdalija savo turtą, teises ir pareigas į dvi ar daugiau dalių ir </w:t>
      </w:r>
      <w:r>
        <w:rPr>
          <w:b/>
          <w:lang w:val="lt-LT"/>
        </w:rPr>
        <w:t>perduoda jas dviem ar daugiau</w:t>
      </w:r>
      <w:r>
        <w:rPr>
          <w:lang w:val="lt-LT"/>
        </w:rPr>
        <w:t xml:space="preserve"> </w:t>
      </w:r>
      <w:r>
        <w:rPr>
          <w:b/>
          <w:lang w:val="lt-LT"/>
        </w:rPr>
        <w:t>jau esančių vienetų</w:t>
      </w:r>
      <w:r>
        <w:rPr>
          <w:lang w:val="lt-LT"/>
        </w:rPr>
        <w:t xml:space="preserve">, o sąvoka ,,įsigyjantieji vienetai“ – tai du ar daugiau jau esantys vienetai, kuriems perduodamas </w:t>
      </w:r>
      <w:r>
        <w:rPr>
          <w:iCs/>
          <w:lang w:val="lt-LT"/>
        </w:rPr>
        <w:t xml:space="preserve">įsigyjamojo </w:t>
      </w:r>
      <w:r>
        <w:rPr>
          <w:lang w:val="lt-LT"/>
        </w:rPr>
        <w:t>vieneto išdalytas turtas, teisės ir pareigos.</w:t>
      </w:r>
    </w:p>
    <w:p w14:paraId="55D9CCD9" w14:textId="77777777" w:rsidR="00093845" w:rsidRDefault="000D779E">
      <w:pPr>
        <w:ind w:firstLine="720"/>
        <w:jc w:val="both"/>
        <w:rPr>
          <w:lang w:val="lt-LT"/>
        </w:rPr>
      </w:pPr>
      <w:r>
        <w:rPr>
          <w:lang w:val="lt-LT"/>
        </w:rPr>
        <w:t>Pagal šį punktą vienetai reorganizuojami išdalijant, kai vienetas (t.y. įsigyjamasis vienetas), kuris baigia savo veiklą, be likvidavimo procedūros išdalija savo turtą, teises ir pareigas į dvi ar daugiau dalių ir tuo pačiu momentu perduoda jas dviems ar daugiau jau esančių vienetų (t.y. įsigyjantiesiems vienetams) ir kai tokio padalijimo momentu išpildomos šios dvi sąlygos:</w:t>
      </w:r>
    </w:p>
    <w:p w14:paraId="1F9473C8"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įsigyjamojo vieneto visas turtas, teisės ir pareigos perduodamos įsigyjantiesiems vienetams, </w:t>
      </w:r>
      <w:r>
        <w:rPr>
          <w:rFonts w:ascii="Times New Roman" w:hAnsi="Times New Roman"/>
          <w:b/>
          <w:bCs/>
          <w:sz w:val="24"/>
          <w:szCs w:val="24"/>
          <w:lang w:val="lt-LT"/>
        </w:rPr>
        <w:t>ir</w:t>
      </w:r>
    </w:p>
    <w:p w14:paraId="1D2A760F"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20"/>
        <w:jc w:val="both"/>
        <w:rPr>
          <w:rFonts w:ascii="Times New Roman" w:hAnsi="Times New Roman"/>
          <w:sz w:val="24"/>
          <w:szCs w:val="24"/>
          <w:lang w:val="lt-LT"/>
        </w:rPr>
      </w:pPr>
      <w:r>
        <w:rPr>
          <w:rFonts w:ascii="Times New Roman" w:hAnsi="Times New Roman"/>
          <w:sz w:val="24"/>
          <w:szCs w:val="24"/>
          <w:lang w:val="lt-LT"/>
        </w:rPr>
        <w:t xml:space="preserve"> </w:t>
      </w:r>
      <w:r>
        <w:rPr>
          <w:rFonts w:ascii="Times New Roman" w:hAnsi="Times New Roman" w:cs="Times New Roman"/>
          <w:sz w:val="24"/>
          <w:szCs w:val="24"/>
          <w:lang w:val="lt-LT"/>
        </w:rPr>
        <w:t xml:space="preserve">įsigyjamojo vieneto dalyviai vietoj turėtų įsigyjamojo vieneto akcijų (dalių, pajų) </w:t>
      </w:r>
      <w:r>
        <w:rPr>
          <w:rFonts w:ascii="Times New Roman" w:hAnsi="Times New Roman" w:cs="Times New Roman"/>
          <w:b/>
          <w:sz w:val="24"/>
          <w:szCs w:val="24"/>
          <w:lang w:val="lt-LT"/>
        </w:rPr>
        <w:t>proporcingai</w:t>
      </w:r>
      <w:r>
        <w:rPr>
          <w:rFonts w:ascii="Times New Roman" w:hAnsi="Times New Roman" w:cs="Times New Roman"/>
          <w:sz w:val="24"/>
          <w:szCs w:val="24"/>
          <w:lang w:val="lt-LT"/>
        </w:rPr>
        <w:t xml:space="preserve"> mainais gauna naujai išleistų įsigyjančiųjų vienetų akcijų (dalių, pajų).</w:t>
      </w:r>
    </w:p>
    <w:p w14:paraId="00FFCBFC"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lang w:val="lt-LT"/>
        </w:rPr>
      </w:pPr>
    </w:p>
    <w:p w14:paraId="70412E4D"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4"/>
          <w:szCs w:val="24"/>
          <w:lang w:val="lt-LT"/>
        </w:rPr>
      </w:pPr>
      <w:r>
        <w:rPr>
          <w:rFonts w:ascii="Times New Roman" w:hAnsi="Times New Roman"/>
          <w:sz w:val="24"/>
          <w:szCs w:val="24"/>
          <w:lang w:val="lt-LT"/>
        </w:rPr>
        <w:t>Schema</w:t>
      </w:r>
    </w:p>
    <w:p w14:paraId="0F9A432D" w14:textId="77777777" w:rsidR="00093845" w:rsidRDefault="00B52970">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60"/>
        </w:tabs>
        <w:jc w:val="both"/>
        <w:rPr>
          <w:rFonts w:ascii="Times New Roman" w:hAnsi="Times New Roman"/>
          <w:sz w:val="24"/>
          <w:lang w:val="lt-LT"/>
        </w:rPr>
      </w:pPr>
      <w:r>
        <w:rPr>
          <w:noProof/>
          <w:lang w:val="lt-LT" w:eastAsia="lt-LT"/>
        </w:rPr>
        <mc:AlternateContent>
          <mc:Choice Requires="wps">
            <w:drawing>
              <wp:anchor distT="0" distB="0" distL="114300" distR="114300" simplePos="0" relativeHeight="251652096" behindDoc="0" locked="0" layoutInCell="1" allowOverlap="1" wp14:anchorId="767A336C" wp14:editId="4913BEFA">
                <wp:simplePos x="0" y="0"/>
                <wp:positionH relativeFrom="margin">
                  <wp:align>left</wp:align>
                </wp:positionH>
                <wp:positionV relativeFrom="paragraph">
                  <wp:posOffset>1106170</wp:posOffset>
                </wp:positionV>
                <wp:extent cx="1752600" cy="990600"/>
                <wp:effectExtent l="0" t="0" r="19050" b="19050"/>
                <wp:wrapNone/>
                <wp:docPr id="286"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990600"/>
                        </a:xfrm>
                        <a:prstGeom prst="rect">
                          <a:avLst/>
                        </a:prstGeom>
                        <a:solidFill>
                          <a:srgbClr val="FFFFFF"/>
                        </a:solidFill>
                        <a:ln w="9525">
                          <a:solidFill>
                            <a:srgbClr val="000000"/>
                          </a:solidFill>
                          <a:miter lim="800000"/>
                        </a:ln>
                      </wps:spPr>
                      <wps:txbx>
                        <w:txbxContent>
                          <w:p w14:paraId="4CC9E239" w14:textId="77777777" w:rsidR="007B24A1" w:rsidRDefault="007B24A1">
                            <w:pPr>
                              <w:jc w:val="center"/>
                            </w:pPr>
                            <w:r>
                              <w:rPr>
                                <w:lang w:val="lt-LT"/>
                              </w:rPr>
                              <w:t xml:space="preserve">Įsigyjančiojo vieneto </w:t>
                            </w:r>
                            <w:r>
                              <w:rPr>
                                <w:b/>
                                <w:bCs/>
                                <w:sz w:val="20"/>
                                <w:szCs w:val="20"/>
                                <w:lang w:val="lt-LT"/>
                              </w:rPr>
                              <w:t xml:space="preserve">B </w:t>
                            </w:r>
                            <w:r>
                              <w:rPr>
                                <w:sz w:val="20"/>
                                <w:szCs w:val="20"/>
                                <w:lang w:val="lt-LT"/>
                              </w:rPr>
                              <w:t>išleistos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67A336C" id="Rectangle 155" o:spid="_x0000_s1156" style="position:absolute;left:0;text-align:left;margin-left:0;margin-top:87.1pt;width:138pt;height:78pt;z-index:2516520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T0RGwIAADsEAAAOAAAAZHJzL2Uyb0RvYy54bWysU9uO0zAQfUfiHyy/0yRV022rpqtVV0VI&#10;C6x24QNcx2ksfGPsNilfz9jplizwhPCD5fGMj2fOmVnf9lqRkwAvraloMckpEYbbWppDRb9+2b1b&#10;UOIDMzVT1oiKnoWnt5u3b9adW4mpba2qBRAEMX7VuYq2IbhVlnneCs38xDph0NlY0CygCYesBtYh&#10;ulbZNM/nWWehdmC58B5v7wcn3ST8phE8fG4aLwJRFcXcQtoh7fu4Z5s1Wx2AuVbySxrsH7LQTBr8&#10;9Ap1zwIjR5B/QGnJwXrbhAm3OrNNI7lINWA1Rf5bNc8tcyLVguR4d6XJ/z9Y/un0CETWFZ0u5pQY&#10;plGkJ6SNmYMSpCjLSFHn/Aojn90jxCK9e7D8myfGbluME3cAtmsFqzGxIsZnrx5Ew+NTsu8+2hrx&#10;2THYxFbfgI6AyAPpkyjnqyiiD4TjZXFTTuc5asfRt1zm8Ry/YKuX1w58eC+sJvFQUcDsEzo7Pfgw&#10;hL6EpOytkvVOKpUMOOy3CsiJYYPs0rqg+3GYMqTD38tpmZBf+fwYIk/rbxBaBux0JXVFF+MgZS58&#10;RYoGqkO/75Mmiyv7e1ufkUGwQwfjxOGhtfCDkg67t6L++5GBoER9MKjCspjNYrsnY1beTNGAsWc/&#10;9jDDEaqigZLhuA3DiBwdyEOLPxWpbGPvULlGJlKjqkNWl/yxQ5Msl2mKIzC2U9Svmd/8BAAA//8D&#10;AFBLAwQUAAYACAAAACEAJw702t0AAAAIAQAADwAAAGRycy9kb3ducmV2LnhtbEyPwU7DMBBE70j8&#10;g7VI3KhNglpI41QIVCSObXrh5sTbJBCvo9hpA1/PcirHnRnNvsk3s+vFCcfQedJwv1AgkGpvO2o0&#10;HMrt3SOIEA1Z03tCDd8YYFNcX+Ums/5MOzztYyO4hEJmNLQxDpmUoW7RmbDwAxJ7Rz86E/kcG2lH&#10;c+Zy18tEqaV0piP+0JoBX1qsv/aT01B1ycH87Mo35Z62aXyfy8/p41Xr25v5eQ0i4hwvYfjDZ3Qo&#10;mKnyE9kgeg08JLK6ekhAsJ2slqxUGtJUJSCLXP4fUPwCAAD//wMAUEsBAi0AFAAGAAgAAAAhALaD&#10;OJL+AAAA4QEAABMAAAAAAAAAAAAAAAAAAAAAAFtDb250ZW50X1R5cGVzXS54bWxQSwECLQAUAAYA&#10;CAAAACEAOP0h/9YAAACUAQAACwAAAAAAAAAAAAAAAAAvAQAAX3JlbHMvLnJlbHNQSwECLQAUAAYA&#10;CAAAACEAeOU9ERsCAAA7BAAADgAAAAAAAAAAAAAAAAAuAgAAZHJzL2Uyb0RvYy54bWxQSwECLQAU&#10;AAYACAAAACEAJw702t0AAAAIAQAADwAAAAAAAAAAAAAAAAB1BAAAZHJzL2Rvd25yZXYueG1sUEsF&#10;BgAAAAAEAAQA8wAAAH8FAAAAAA==&#10;">
                <v:textbox>
                  <w:txbxContent>
                    <w:p w14:paraId="4CC9E239" w14:textId="77777777" w:rsidR="007B24A1" w:rsidRDefault="007B24A1">
                      <w:pPr>
                        <w:jc w:val="center"/>
                      </w:pPr>
                      <w:r>
                        <w:rPr>
                          <w:lang w:val="lt-LT"/>
                        </w:rPr>
                        <w:t xml:space="preserve">Įsigyjančiojo vieneto </w:t>
                      </w:r>
                      <w:r>
                        <w:rPr>
                          <w:b/>
                          <w:bCs/>
                          <w:sz w:val="20"/>
                          <w:szCs w:val="20"/>
                          <w:lang w:val="lt-LT"/>
                        </w:rPr>
                        <w:t xml:space="preserve">B </w:t>
                      </w:r>
                      <w:r>
                        <w:rPr>
                          <w:sz w:val="20"/>
                          <w:szCs w:val="20"/>
                          <w:lang w:val="lt-LT"/>
                        </w:rPr>
                        <w:t>išleistos akcijos</w:t>
                      </w:r>
                      <w:r>
                        <w:rPr>
                          <w:lang w:val="lt-LT"/>
                        </w:rPr>
                        <w:t xml:space="preserve"> </w:t>
                      </w:r>
                      <w:r>
                        <w:rPr>
                          <w:sz w:val="20"/>
                          <w:szCs w:val="20"/>
                          <w:lang w:val="lt-LT"/>
                        </w:rPr>
                        <w:t>(akcijų kainų skirtumas (ne daugiau kaip 10%) gali būti išmokėtas pinigais)</w:t>
                      </w:r>
                    </w:p>
                  </w:txbxContent>
                </v:textbox>
                <w10:wrap anchorx="margin"/>
              </v:rect>
            </w:pict>
          </mc:Fallback>
        </mc:AlternateContent>
      </w:r>
      <w:r>
        <w:rPr>
          <w:noProof/>
          <w:lang w:val="lt-LT" w:eastAsia="lt-LT"/>
        </w:rPr>
        <mc:AlternateContent>
          <mc:Choice Requires="wps">
            <w:drawing>
              <wp:anchor distT="0" distB="0" distL="114300" distR="114300" simplePos="0" relativeHeight="251654144" behindDoc="0" locked="0" layoutInCell="1" allowOverlap="1" wp14:anchorId="159269B2" wp14:editId="2CED8238">
                <wp:simplePos x="0" y="0"/>
                <wp:positionH relativeFrom="column">
                  <wp:posOffset>4119245</wp:posOffset>
                </wp:positionH>
                <wp:positionV relativeFrom="paragraph">
                  <wp:posOffset>1144270</wp:posOffset>
                </wp:positionV>
                <wp:extent cx="1745615" cy="933450"/>
                <wp:effectExtent l="0" t="0" r="26035" b="19050"/>
                <wp:wrapNone/>
                <wp:docPr id="28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933450"/>
                        </a:xfrm>
                        <a:prstGeom prst="rect">
                          <a:avLst/>
                        </a:prstGeom>
                        <a:solidFill>
                          <a:srgbClr val="FFFFFF"/>
                        </a:solidFill>
                        <a:ln w="9525">
                          <a:solidFill>
                            <a:srgbClr val="000000"/>
                          </a:solidFill>
                          <a:miter lim="800000"/>
                        </a:ln>
                      </wps:spPr>
                      <wps:txbx>
                        <w:txbxContent>
                          <w:p w14:paraId="13BC8B4B" w14:textId="77777777" w:rsidR="007B24A1" w:rsidRDefault="007B24A1">
                            <w:pPr>
                              <w:jc w:val="center"/>
                            </w:pPr>
                            <w:r>
                              <w:rPr>
                                <w:lang w:val="lt-LT"/>
                              </w:rPr>
                              <w:t xml:space="preserve">Įsigyjančiojo vieneto </w:t>
                            </w:r>
                            <w:r>
                              <w:rPr>
                                <w:b/>
                                <w:bCs/>
                                <w:sz w:val="20"/>
                                <w:szCs w:val="20"/>
                                <w:lang w:val="lt-LT"/>
                              </w:rPr>
                              <w:t xml:space="preserve">C </w:t>
                            </w:r>
                            <w:r>
                              <w:rPr>
                                <w:sz w:val="20"/>
                                <w:szCs w:val="20"/>
                                <w:lang w:val="lt-LT"/>
                              </w:rPr>
                              <w:t>išleistos akcijos</w:t>
                            </w:r>
                            <w:r>
                              <w:rPr>
                                <w:lang w:val="lt-LT"/>
                              </w:rPr>
                              <w:t xml:space="preserve"> </w:t>
                            </w:r>
                            <w:r>
                              <w:rPr>
                                <w:sz w:val="20"/>
                                <w:szCs w:val="20"/>
                                <w:lang w:val="lt-LT"/>
                              </w:rPr>
                              <w:t>(akcijų kainų skirtumas (ne daugiau kaip 10%) gali būti išmokėtas pinigais)</w:t>
                            </w:r>
                          </w:p>
                          <w:p w14:paraId="43386ED3" w14:textId="77777777" w:rsidR="007B24A1" w:rsidRDefault="007B24A1">
                            <w:pPr>
                              <w:jc w:val="center"/>
                              <w:rPr>
                                <w:sz w:val="20"/>
                                <w:szCs w:val="20"/>
                                <w:lang w:val="lt-LT"/>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59269B2" id="Rectangle 154" o:spid="_x0000_s1157" style="position:absolute;left:0;text-align:left;margin-left:324.35pt;margin-top:90.1pt;width:137.45pt;height:73.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FgIQIAADsEAAAOAAAAZHJzL2Uyb0RvYy54bWysU8GO0zAQvSPxD5bvNE03abtR09WqqyKk&#10;hV2x8AGO4yQWjm3GbpPy9UyctmSBE8IHy+MZP795M7O561tFjgKcNDqn8WxOidDclFLXOf36Zf9u&#10;TYnzTJdMGS1yehKO3m3fvtl0NhML0xhVCiAIol3W2Zw23tssihxvRMvczFih0VkZaJlHE+qoBNYh&#10;equixXy+jDoDpQXDhXN4+zA66TbgV5Xg/qmqnPBE5RS5+bBD2Ithj7YbltXAbCP5mQb7BxYtkxo/&#10;vUI9MM/IAeQfUK3kYJyp/IybNjJVJbkIOWA28fy3bF4aZkXIBcVx9iqT+3+w/NPxGYgsc7pYryjR&#10;rMUifUbZmK6VIHGaDBJ11mUY+WKfYUjS2UfDvzmiza7BOHEPYLpGsBKJxUN89OrBYDh8SoruoykR&#10;nx28CWr1FbQDIOpA+lCU07UooveE42W8StJlnFLC0Xd7c5OkoWoRyy6vLTj/XpiWDIecArIP6Oz4&#10;6PzAhmWXkMDeKFnupVLBgLrYKSBHhg2yDyskgElOw5QmHf6eLtKA/MrnphDzsP4G0UqPna5km9P1&#10;NEjps16DRKPUvi/6UJP18qJ+YcoTKghm7GCcODw0Bn5Q0mH35tR9PzAQlKgPGqtwGyfJ0O7BSNLV&#10;Ag2Yeoqph2mOUDn1lIzHnR9H5GBB1g3+FIe0tbnHylUyiDpUdWR15o8dGrQ+T9MwAlM7RP2a+e1P&#10;AAAA//8DAFBLAwQUAAYACAAAACEAbBuiwOAAAAALAQAADwAAAGRycy9kb3ducmV2LnhtbEyPwU7D&#10;MBBE70j8g7VI3KiNg9I0xKkQqEgc2/TCzYmXJBDbUey0ga9nOZXjap5m3hbbxQ7shFPovVNwvxLA&#10;0DXe9K5VcKx2dxmwELUzevAOFXxjgG15fVXo3Piz2+PpEFtGJS7kWkEX45hzHpoOrQ4rP6Kj7MNP&#10;Vkc6p5abSZ+p3A5cCpFyq3tHC50e8bnD5uswWwV1L4/6Z1+9CrvZJfFtqT7n9xelbm+Wp0dgEZd4&#10;geFPn9ShJKfaz84ENihIH7I1oRRkQgIjYiOTFFitIJFrCbws+P8fyl8AAAD//wMAUEsBAi0AFAAG&#10;AAgAAAAhALaDOJL+AAAA4QEAABMAAAAAAAAAAAAAAAAAAAAAAFtDb250ZW50X1R5cGVzXS54bWxQ&#10;SwECLQAUAAYACAAAACEAOP0h/9YAAACUAQAACwAAAAAAAAAAAAAAAAAvAQAAX3JlbHMvLnJlbHNQ&#10;SwECLQAUAAYACAAAACEA6kLxYCECAAA7BAAADgAAAAAAAAAAAAAAAAAuAgAAZHJzL2Uyb0RvYy54&#10;bWxQSwECLQAUAAYACAAAACEAbBuiwOAAAAALAQAADwAAAAAAAAAAAAAAAAB7BAAAZHJzL2Rvd25y&#10;ZXYueG1sUEsFBgAAAAAEAAQA8wAAAIgFAAAAAA==&#10;">
                <v:textbox>
                  <w:txbxContent>
                    <w:p w14:paraId="13BC8B4B" w14:textId="77777777" w:rsidR="007B24A1" w:rsidRDefault="007B24A1">
                      <w:pPr>
                        <w:jc w:val="center"/>
                      </w:pPr>
                      <w:r>
                        <w:rPr>
                          <w:lang w:val="lt-LT"/>
                        </w:rPr>
                        <w:t xml:space="preserve">Įsigyjančiojo vieneto </w:t>
                      </w:r>
                      <w:r>
                        <w:rPr>
                          <w:b/>
                          <w:bCs/>
                          <w:sz w:val="20"/>
                          <w:szCs w:val="20"/>
                          <w:lang w:val="lt-LT"/>
                        </w:rPr>
                        <w:t xml:space="preserve">C </w:t>
                      </w:r>
                      <w:r>
                        <w:rPr>
                          <w:sz w:val="20"/>
                          <w:szCs w:val="20"/>
                          <w:lang w:val="lt-LT"/>
                        </w:rPr>
                        <w:t>išleistos akcijos</w:t>
                      </w:r>
                      <w:r>
                        <w:rPr>
                          <w:lang w:val="lt-LT"/>
                        </w:rPr>
                        <w:t xml:space="preserve"> </w:t>
                      </w:r>
                      <w:r>
                        <w:rPr>
                          <w:sz w:val="20"/>
                          <w:szCs w:val="20"/>
                          <w:lang w:val="lt-LT"/>
                        </w:rPr>
                        <w:t>(akcijų kainų skirtumas (ne daugiau kaip 10%) gali būti išmokėtas pinigais)</w:t>
                      </w:r>
                    </w:p>
                    <w:p w14:paraId="43386ED3" w14:textId="77777777" w:rsidR="007B24A1" w:rsidRDefault="007B24A1">
                      <w:pPr>
                        <w:jc w:val="center"/>
                        <w:rPr>
                          <w:sz w:val="20"/>
                          <w:szCs w:val="20"/>
                          <w:lang w:val="lt-LT"/>
                        </w:rPr>
                      </w:pPr>
                    </w:p>
                  </w:txbxContent>
                </v:textbox>
              </v:rect>
            </w:pict>
          </mc:Fallback>
        </mc:AlternateContent>
      </w:r>
      <w:r>
        <w:rPr>
          <w:noProof/>
          <w:lang w:val="lt-LT" w:eastAsia="lt-LT"/>
        </w:rPr>
        <mc:AlternateContent>
          <mc:Choice Requires="wps">
            <w:drawing>
              <wp:anchor distT="0" distB="0" distL="114300" distR="114300" simplePos="0" relativeHeight="251646976" behindDoc="0" locked="0" layoutInCell="1" allowOverlap="1" wp14:anchorId="2EA96CCC" wp14:editId="34BF8868">
                <wp:simplePos x="0" y="0"/>
                <wp:positionH relativeFrom="column">
                  <wp:posOffset>2214245</wp:posOffset>
                </wp:positionH>
                <wp:positionV relativeFrom="paragraph">
                  <wp:posOffset>1106169</wp:posOffset>
                </wp:positionV>
                <wp:extent cx="1440180" cy="809625"/>
                <wp:effectExtent l="0" t="0" r="26670" b="28575"/>
                <wp:wrapNone/>
                <wp:docPr id="28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809625"/>
                        </a:xfrm>
                        <a:prstGeom prst="rect">
                          <a:avLst/>
                        </a:prstGeom>
                        <a:solidFill>
                          <a:srgbClr val="FFFFFF"/>
                        </a:solidFill>
                        <a:ln w="9525">
                          <a:solidFill>
                            <a:srgbClr val="000000"/>
                          </a:solidFill>
                          <a:miter lim="800000"/>
                        </a:ln>
                      </wps:spPr>
                      <wps:txbx>
                        <w:txbxContent>
                          <w:p w14:paraId="1459E371" w14:textId="77777777" w:rsidR="007B24A1" w:rsidRDefault="007B24A1">
                            <w:pPr>
                              <w:jc w:val="center"/>
                              <w:rPr>
                                <w:sz w:val="20"/>
                                <w:szCs w:val="20"/>
                                <w:lang w:val="lt-LT"/>
                              </w:rPr>
                            </w:pPr>
                          </w:p>
                          <w:p w14:paraId="57772FC7"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EA96CCC" id="Rectangle 160" o:spid="_x0000_s1158" style="position:absolute;left:0;text-align:left;margin-left:174.35pt;margin-top:87.1pt;width:113.4pt;height:63.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1gJHAIAADsEAAAOAAAAZHJzL2Uyb0RvYy54bWysU9uO0zAQfUfiHyy/0yRV222jpqtVV0VI&#10;C6xY+ADHcRIL3xi7TcvXM3az3XIRDwg/WB7P+PjMmZn17VErchDgpTUVLSY5JcJw20jTVfTL592b&#10;JSU+MNMwZY2o6El4ert5/Wo9uFJMbW9VI4AgiPHl4Crah+DKLPO8F5r5iXXCoLO1oFlAE7qsATYg&#10;ulbZNM8X2WChcWC58B5v789Oukn4bSt4+Ni2XgSiKorcQtoh7XXcs82alR0w10s+0mD/wEIzafDT&#10;C9Q9C4zsQf4GpSUH620bJtzqzLat5CLlgNkU+S/ZPPXMiZQLiuPdRSb//2D5h8MjENlUdLosKDFM&#10;Y5E+oWzMdEqQYpEkGpwvMfLJPUJM0rsHy796Yuy2xzhxB2CHXrAGiRVR0uynB9Hw+JTUw3vbID7b&#10;B5vUOragIyDqQI6pKKdLUcQxEI6XxWyWF0usHUffMl8tpvP0BSufXzvw4a2wmsRDRQHZJ3R2ePAh&#10;smHlc0hib5VsdlKpZEBXbxWQA8MG2aU1ovvrMGXIUNHVHP/+O0Se1p8gtAzY6UrqmEVcY5Ayo15R&#10;oti3vgzH+phqsryJQfGqts0JFQR77mCcODz0Fr5TMmD3VtR/2zMQlKh3BquwiqphuydjNr+ZogHX&#10;nvrawwxHqIoGSs7HbTiPyN6B7Hr8qUhpG3uHlWtlEvWF1cgfOzRpPU5THIFrO0W9zPzmBwAAAP//&#10;AwBQSwMEFAAGAAgAAAAhAGZQPSPgAAAACwEAAA8AAABkcnMvZG93bnJldi54bWxMj0FPg0AQhe8m&#10;/ofNmHizS2mRiiyN0dTEY0sv3gZ2BJTdJezSor/e8VSPk+/lvW/y7Wx6caLRd84qWC4iEGRrpzvb&#10;KDiWu7sNCB/QauydJQXf5GFbXF/lmGl3tns6HUIjuMT6DBW0IQyZlL5uyaBfuIEssw83Ggx8jo3U&#10;I5653PQyjqJ7abCzvNDiQM8t1V+HySiouviIP/vyNTIPu1V4m8vP6f1Fqdub+ekRRKA5XMLwp8/q&#10;ULBT5SarvegVrNablKMM0nUMghNJmiQgKkbRMgVZ5PL/D8UvAAAA//8DAFBLAQItABQABgAIAAAA&#10;IQC2gziS/gAAAOEBAAATAAAAAAAAAAAAAAAAAAAAAABbQ29udGVudF9UeXBlc10ueG1sUEsBAi0A&#10;FAAGAAgAAAAhADj9If/WAAAAlAEAAAsAAAAAAAAAAAAAAAAALwEAAF9yZWxzLy5yZWxzUEsBAi0A&#10;FAAGAAgAAAAhAKBDWAkcAgAAOwQAAA4AAAAAAAAAAAAAAAAALgIAAGRycy9lMm9Eb2MueG1sUEsB&#10;Ai0AFAAGAAgAAAAhAGZQPSPgAAAACwEAAA8AAAAAAAAAAAAAAAAAdgQAAGRycy9kb3ducmV2Lnht&#10;bFBLBQYAAAAABAAEAPMAAACDBQAAAAA=&#10;">
                <v:textbox>
                  <w:txbxContent>
                    <w:p w14:paraId="1459E371" w14:textId="77777777" w:rsidR="007B24A1" w:rsidRDefault="007B24A1">
                      <w:pPr>
                        <w:jc w:val="center"/>
                        <w:rPr>
                          <w:sz w:val="20"/>
                          <w:szCs w:val="20"/>
                          <w:lang w:val="lt-LT"/>
                        </w:rPr>
                      </w:pPr>
                    </w:p>
                    <w:p w14:paraId="57772FC7" w14:textId="77777777" w:rsidR="007B24A1" w:rsidRDefault="007B24A1">
                      <w:pPr>
                        <w:jc w:val="center"/>
                        <w:rPr>
                          <w:sz w:val="20"/>
                          <w:szCs w:val="20"/>
                          <w:lang w:val="lt-LT"/>
                        </w:rPr>
                      </w:pPr>
                      <w:r>
                        <w:rPr>
                          <w:lang w:val="lt-LT"/>
                        </w:rPr>
                        <w:t xml:space="preserve">Įsigyjamojo vieneto </w:t>
                      </w:r>
                      <w:r>
                        <w:rPr>
                          <w:b/>
                          <w:bCs/>
                          <w:sz w:val="20"/>
                          <w:szCs w:val="20"/>
                          <w:lang w:val="lt-LT"/>
                        </w:rPr>
                        <w:t>A</w:t>
                      </w:r>
                      <w:r>
                        <w:rPr>
                          <w:sz w:val="20"/>
                          <w:szCs w:val="20"/>
                          <w:lang w:val="lt-LT"/>
                        </w:rPr>
                        <w:t xml:space="preserve"> akcijos anuliuojamos</w:t>
                      </w:r>
                    </w:p>
                  </w:txbxContent>
                </v:textbox>
              </v:rect>
            </w:pict>
          </mc:Fallback>
        </mc:AlternateContent>
      </w:r>
      <w:r>
        <w:rPr>
          <w:noProof/>
          <w:lang w:val="lt-LT" w:eastAsia="lt-LT"/>
        </w:rPr>
        <mc:AlternateContent>
          <mc:Choice Requires="wps">
            <w:drawing>
              <wp:anchor distT="0" distB="0" distL="114300" distR="114300" simplePos="0" relativeHeight="251648000" behindDoc="0" locked="0" layoutInCell="1" allowOverlap="1" wp14:anchorId="32E0BD66" wp14:editId="72CEADB2">
                <wp:simplePos x="0" y="0"/>
                <wp:positionH relativeFrom="column">
                  <wp:posOffset>2214245</wp:posOffset>
                </wp:positionH>
                <wp:positionV relativeFrom="paragraph">
                  <wp:posOffset>2058670</wp:posOffset>
                </wp:positionV>
                <wp:extent cx="1440180" cy="661670"/>
                <wp:effectExtent l="0" t="0" r="26670" b="24130"/>
                <wp:wrapNone/>
                <wp:docPr id="28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61670"/>
                        </a:xfrm>
                        <a:prstGeom prst="rect">
                          <a:avLst/>
                        </a:prstGeom>
                        <a:solidFill>
                          <a:srgbClr val="FFFFFF"/>
                        </a:solidFill>
                        <a:ln w="9525">
                          <a:solidFill>
                            <a:srgbClr val="000000"/>
                          </a:solidFill>
                          <a:miter lim="800000"/>
                        </a:ln>
                      </wps:spPr>
                      <wps:txbx>
                        <w:txbxContent>
                          <w:p w14:paraId="0E9A1C66" w14:textId="77777777" w:rsidR="007B24A1" w:rsidRDefault="007B24A1">
                            <w:pPr>
                              <w:jc w:val="center"/>
                              <w:rPr>
                                <w:sz w:val="20"/>
                                <w:szCs w:val="20"/>
                                <w:lang w:val="lt-LT"/>
                              </w:rPr>
                            </w:pPr>
                          </w:p>
                          <w:p w14:paraId="49403F75" w14:textId="77777777" w:rsidR="007B24A1" w:rsidRDefault="007B24A1">
                            <w:pPr>
                              <w:jc w:val="center"/>
                              <w:rPr>
                                <w:sz w:val="20"/>
                                <w:szCs w:val="20"/>
                                <w:lang w:val="lt-LT"/>
                              </w:rPr>
                            </w:pPr>
                            <w:r>
                              <w:rPr>
                                <w:lang w:val="lt-LT"/>
                              </w:rPr>
                              <w:t xml:space="preserve">Įsigyjamojo vieneto </w:t>
                            </w:r>
                            <w:r>
                              <w:rPr>
                                <w:b/>
                                <w:bCs/>
                                <w:sz w:val="20"/>
                                <w:szCs w:val="20"/>
                                <w:lang w:val="lt-LT"/>
                              </w:rPr>
                              <w:t xml:space="preserve">A </w:t>
                            </w:r>
                            <w:r>
                              <w:rPr>
                                <w:sz w:val="20"/>
                                <w:szCs w:val="20"/>
                                <w:lang w:val="lt-LT"/>
                              </w:rPr>
                              <w:t>dalyviai</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32E0BD66" id="Rectangle 161" o:spid="_x0000_s1159" style="position:absolute;left:0;text-align:left;margin-left:174.35pt;margin-top:162.1pt;width:113.4pt;height:52.1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EHQIAADsEAAAOAAAAZHJzL2Uyb0RvYy54bWysU9uO0zAQfUfiHyy/0yRV2+1GTVerroqQ&#10;Fljtwgc4jpNY+MbYbVK+nonTlizwhPCD5fGMj8+cmdnc9VqRowAvrSloNkspEYbbSpqmoF+/7N+t&#10;KfGBmYopa0RBT8LTu+3bN5vO5WJuW6sqAQRBjM87V9A2BJcnieet0MzPrBMGnbUFzQKa0CQVsA7R&#10;tUrmabpKOguVA8uF93j7MDrpNuLXteDhc117EYgqKHILcYe4l8OebDcsb4C5VvIzDfYPLDSTBj+9&#10;Qj2wwMgB5B9QWnKw3tZhxq1ObF1LLmIOmE2W/pbNS8uciLmgON5dZfL/D5Z/Oj4BkVVB52vUxzCN&#10;RXpG2ZhplCDZKhsk6pzPMfLFPcGQpHePln/zxNhdi3HiHsB2rWAVEovxyasHg+HxKSm7j7ZCfHYI&#10;NqrV16AHQNSB9LEop2tRRB8Ix8tssUizgRtH32qVrW5i1RKWX1478OG9sJoMh4ICso/o7PjoA7LH&#10;0EtIZG+VrPZSqWhAU+4UkCPDBtnHNSSMT/w0TBnSFfR2OV9G5Fc+P4VI4/obhJYBO11JXdD1NEgZ&#10;/O4i0Sh16Ms+1mS9vqhf2uqECoIdOxgnDg+thR+UdNi9BfXfDwwEJeqDwSrcDqphu0djsbyZowFT&#10;Tzn1MMMRqqCBkvG4C+OIHBzIpsWfspi2sfdYuVpGUQfKI6szf+zQKNx5moYRmNox6tfMb38CAAD/&#10;/wMAUEsDBBQABgAIAAAAIQCFBe7T4AAAAAsBAAAPAAAAZHJzL2Rvd25yZXYueG1sTI/BToNAEIbv&#10;Jr7DZky82UUKFpGlMZqaeGzpxdvAjoCyu4RdWvTpHU96m8l8+ef7i+1iBnGiyffOKrhdRSDINk73&#10;tlVwrHY3GQgf0GocnCUFX+RhW15eFJhrd7Z7Oh1CKzjE+hwVdCGMuZS+6cigX7mRLN/e3WQw8Dq1&#10;Uk945nAzyDiK7qTB3vKHDkd66qj5PMxGQd3HR/zeVy+Rud+tw+tSfcxvz0pdXy2PDyACLeEPhl99&#10;VoeSnWo3W+3FoGCdZBtGeYiTGAQT6SZNQdQKkjhLQJaF/N+h/AEAAP//AwBQSwECLQAUAAYACAAA&#10;ACEAtoM4kv4AAADhAQAAEwAAAAAAAAAAAAAAAAAAAAAAW0NvbnRlbnRfVHlwZXNdLnhtbFBLAQIt&#10;ABQABgAIAAAAIQA4/SH/1gAAAJQBAAALAAAAAAAAAAAAAAAAAC8BAABfcmVscy8ucmVsc1BLAQIt&#10;ABQABgAIAAAAIQD+JIoEHQIAADsEAAAOAAAAAAAAAAAAAAAAAC4CAABkcnMvZTJvRG9jLnhtbFBL&#10;AQItABQABgAIAAAAIQCFBe7T4AAAAAsBAAAPAAAAAAAAAAAAAAAAAHcEAABkcnMvZG93bnJldi54&#10;bWxQSwUGAAAAAAQABADzAAAAhAUAAAAA&#10;">
                <v:textbox>
                  <w:txbxContent>
                    <w:p w14:paraId="0E9A1C66" w14:textId="77777777" w:rsidR="007B24A1" w:rsidRDefault="007B24A1">
                      <w:pPr>
                        <w:jc w:val="center"/>
                        <w:rPr>
                          <w:sz w:val="20"/>
                          <w:szCs w:val="20"/>
                          <w:lang w:val="lt-LT"/>
                        </w:rPr>
                      </w:pPr>
                    </w:p>
                    <w:p w14:paraId="49403F75" w14:textId="77777777" w:rsidR="007B24A1" w:rsidRDefault="007B24A1">
                      <w:pPr>
                        <w:jc w:val="center"/>
                        <w:rPr>
                          <w:sz w:val="20"/>
                          <w:szCs w:val="20"/>
                          <w:lang w:val="lt-LT"/>
                        </w:rPr>
                      </w:pPr>
                      <w:r>
                        <w:rPr>
                          <w:lang w:val="lt-LT"/>
                        </w:rPr>
                        <w:t xml:space="preserve">Įsigyjamojo vieneto </w:t>
                      </w:r>
                      <w:r>
                        <w:rPr>
                          <w:b/>
                          <w:bCs/>
                          <w:sz w:val="20"/>
                          <w:szCs w:val="20"/>
                          <w:lang w:val="lt-LT"/>
                        </w:rPr>
                        <w:t xml:space="preserve">A </w:t>
                      </w:r>
                      <w:r>
                        <w:rPr>
                          <w:sz w:val="20"/>
                          <w:szCs w:val="20"/>
                          <w:lang w:val="lt-LT"/>
                        </w:rPr>
                        <w:t>dalyviai</w:t>
                      </w:r>
                    </w:p>
                  </w:txbxContent>
                </v:textbox>
              </v:rect>
            </w:pict>
          </mc:Fallback>
        </mc:AlternateContent>
      </w:r>
      <w:r w:rsidR="000D779E">
        <w:rPr>
          <w:noProof/>
          <w:lang w:val="lt-LT" w:eastAsia="lt-LT"/>
        </w:rPr>
        <mc:AlternateContent>
          <mc:Choice Requires="wps">
            <w:drawing>
              <wp:anchor distT="0" distB="0" distL="114300" distR="114300" simplePos="0" relativeHeight="251639808" behindDoc="0" locked="0" layoutInCell="1" allowOverlap="1" wp14:anchorId="7DEA75FA" wp14:editId="26BD02D0">
                <wp:simplePos x="0" y="0"/>
                <wp:positionH relativeFrom="column">
                  <wp:posOffset>-114300</wp:posOffset>
                </wp:positionH>
                <wp:positionV relativeFrom="paragraph">
                  <wp:posOffset>0</wp:posOffset>
                </wp:positionV>
                <wp:extent cx="1259840" cy="810895"/>
                <wp:effectExtent l="14605" t="14605" r="20955" b="22225"/>
                <wp:wrapNone/>
                <wp:docPr id="29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810895"/>
                        </a:xfrm>
                        <a:prstGeom prst="rect">
                          <a:avLst/>
                        </a:prstGeom>
                        <a:solidFill>
                          <a:srgbClr val="FFFFFF"/>
                        </a:solidFill>
                        <a:ln w="28575">
                          <a:solidFill>
                            <a:srgbClr val="000000"/>
                          </a:solidFill>
                          <a:miter lim="800000"/>
                        </a:ln>
                      </wps:spPr>
                      <wps:txbx>
                        <w:txbxContent>
                          <w:p w14:paraId="6CC35A32" w14:textId="77777777" w:rsidR="007B24A1" w:rsidRDefault="007B24A1">
                            <w:pPr>
                              <w:pStyle w:val="Pagrindinistekstas2"/>
                              <w:rPr>
                                <w:sz w:val="20"/>
                              </w:rPr>
                            </w:pPr>
                            <w:r>
                              <w:rPr>
                                <w:sz w:val="20"/>
                              </w:rPr>
                              <w:t>Įsigyjantysis vienetas B</w:t>
                            </w:r>
                          </w:p>
                        </w:txbxContent>
                      </wps:txbx>
                      <wps:bodyPr rot="0" vert="horz" wrap="square" lIns="91440" tIns="45720" rIns="91440" bIns="45720" anchor="t" anchorCtr="0" upright="1">
                        <a:noAutofit/>
                      </wps:bodyPr>
                    </wps:wsp>
                  </a:graphicData>
                </a:graphic>
              </wp:anchor>
            </w:drawing>
          </mc:Choice>
          <mc:Fallback>
            <w:pict>
              <v:rect w14:anchorId="7DEA75FA" id="Rectangle 150" o:spid="_x0000_s1160" style="position:absolute;left:0;text-align:left;margin-left:-9pt;margin-top:0;width:99.2pt;height:63.8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9uHgIAADwEAAAOAAAAZHJzL2Uyb0RvYy54bWysU1Fv0zAQfkfiP1h+p0mqhqVR02nqVIQ0&#10;YNrgBziOk1g4tjm7Tcav5+x2XQY8Ifxg+Xznz999d7e5ngZFjgKcNLqi2SKlRGhuGqm7in77un9X&#10;UOI80w1TRouKPglHr7dv32xGW4ql6Y1qBBAE0a4cbUV7722ZJI73YmBuYazQ6GwNDMyjCV3SABsR&#10;fVDJMk3fJ6OBxoLhwjm8vT056Tbit63g/kvbOuGJqihy83GHuNdhT7YbVnbAbC/5mQb7BxYDkxo/&#10;vUDdMs/IAeQfUIPkYJxp/YKbITFtK7mIOWA2WfpbNo89syLmguI4e5HJ/T9Y/vl4D0Q2FV2uM0o0&#10;G7BIDygb050SJMujRKN1JUY+2nsISTp7Z/h3R7TZ9RgnbgDM2AvWILEsSJq8ehAMh09JPX4yDeKz&#10;gzdRramFIQCiDmSKRXm6FEVMnnC8zJb5ulhh7Tj6iiwt1nn8gpXPry04/0GYgYRDRQHZR3R2vHM+&#10;sGHlc0hkb5Rs9lKpaEBX7xSQI8MG2cd1RnfzMKXJiBIV+VUeoV853RwjjetvGIP02OpKDpjGPEjp&#10;s2BBo9C4rvRTPcWiFOuAFK5q0zyhhGBOLYwjh4fewE9KRmzfirofBwaCEvVRYxnW2Spo5qOxyq+W&#10;aMDcU889THOEqqin5HTc+dOMHCzIrsefspi2NjdYulZGVV9Ynflji0axz+MUZmBux6iXod/+AgAA&#10;//8DAFBLAwQUAAYACAAAACEA2ce5DN8AAAAIAQAADwAAAGRycy9kb3ducmV2LnhtbEyPQU/CQBCF&#10;7yb+h82YeDGwhaCU2i0xjR7whIWLt6Ud2sbubO0sUP+9w0kvk5m8lzffS9ej69QZB249GZhNI1BI&#10;pa9aqg3sd2+TGBQHS5XtPKGBH2RYZ7c3qU0qf6EPPBehVhJCnFgDTQh9ojWXDTrLU98jiXb0g7NB&#10;zqHW1WAvEu46PY+iJ+1sS/KhsT3mDZZfxckZsG5TLzbfq/eC9/z6uHvIt/yZG3N/N748gwo4hj8z&#10;XPEFHTJhOvgTVaw6A5NZLF2CAZlXOY4WoA6yzJdL0Fmq/xfIfgEAAP//AwBQSwECLQAUAAYACAAA&#10;ACEAtoM4kv4AAADhAQAAEwAAAAAAAAAAAAAAAAAAAAAAW0NvbnRlbnRfVHlwZXNdLnhtbFBLAQIt&#10;ABQABgAIAAAAIQA4/SH/1gAAAJQBAAALAAAAAAAAAAAAAAAAAC8BAABfcmVscy8ucmVsc1BLAQIt&#10;ABQABgAIAAAAIQDlCa9uHgIAADwEAAAOAAAAAAAAAAAAAAAAAC4CAABkcnMvZTJvRG9jLnhtbFBL&#10;AQItABQABgAIAAAAIQDZx7kM3wAAAAgBAAAPAAAAAAAAAAAAAAAAAHgEAABkcnMvZG93bnJldi54&#10;bWxQSwUGAAAAAAQABADzAAAAhAUAAAAA&#10;" strokeweight="2.25pt">
                <v:textbox>
                  <w:txbxContent>
                    <w:p w14:paraId="6CC35A32" w14:textId="77777777" w:rsidR="007B24A1" w:rsidRDefault="007B24A1">
                      <w:pPr>
                        <w:pStyle w:val="Pagrindinistekstas2"/>
                        <w:rPr>
                          <w:sz w:val="20"/>
                        </w:rPr>
                      </w:pPr>
                      <w:r>
                        <w:rPr>
                          <w:sz w:val="20"/>
                        </w:rPr>
                        <w:t>Įsigyjantysis vienetas B</w:t>
                      </w:r>
                    </w:p>
                  </w:txbxContent>
                </v:textbox>
              </v:rect>
            </w:pict>
          </mc:Fallback>
        </mc:AlternateContent>
      </w:r>
      <w:r w:rsidR="000D779E">
        <w:rPr>
          <w:noProof/>
          <w:lang w:val="lt-LT" w:eastAsia="lt-LT"/>
        </w:rPr>
        <mc:AlternateContent>
          <mc:Choice Requires="wps">
            <w:drawing>
              <wp:anchor distT="0" distB="0" distL="114300" distR="114300" simplePos="0" relativeHeight="251644928" behindDoc="0" locked="0" layoutInCell="1" allowOverlap="1" wp14:anchorId="3C21BD4E" wp14:editId="756827B5">
                <wp:simplePos x="0" y="0"/>
                <wp:positionH relativeFrom="column">
                  <wp:posOffset>1159510</wp:posOffset>
                </wp:positionH>
                <wp:positionV relativeFrom="paragraph">
                  <wp:posOffset>405765</wp:posOffset>
                </wp:positionV>
                <wp:extent cx="260350" cy="0"/>
                <wp:effectExtent l="12065" t="10795" r="13335" b="17780"/>
                <wp:wrapNone/>
                <wp:docPr id="290"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0" cy="0"/>
                        </a:xfrm>
                        <a:prstGeom prst="straightConnector1">
                          <a:avLst/>
                        </a:prstGeom>
                        <a:noFill/>
                        <a:ln w="19050">
                          <a:solidFill>
                            <a:srgbClr val="000000"/>
                          </a:solidFill>
                          <a:prstDash val="sysDot"/>
                          <a:round/>
                        </a:ln>
                      </wps:spPr>
                      <wps:bodyPr/>
                    </wps:wsp>
                  </a:graphicData>
                </a:graphic>
              </wp:anchor>
            </w:drawing>
          </mc:Choice>
          <mc:Fallback>
            <w:pict>
              <v:shape w14:anchorId="4D9AFE35" id="AutoShape 151" o:spid="_x0000_s1026" type="#_x0000_t32" style="position:absolute;margin-left:91.3pt;margin-top:31.95pt;width:20.5pt;height:0;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orzQEAAIIDAAAOAAAAZHJzL2Uyb0RvYy54bWysU8Fu2zAMvQ/YPwi6L3YytFiNOMWQoLt0&#10;W4B2H6DIsi1MFgVSieO/HyU36brdhvkgmCLfI/lIre/PgxMng2TB13K5KKUwXkNjfVfLH88PHz5J&#10;QVH5RjnwppaTIXm/ef9uPYbKrKAH1xgUTOKpGkMt+xhDVRSkezMoWkAwnp0t4KAim9gVDaqR2QdX&#10;rMrythgBm4CgDRHf7man3GT+tjU6fm9bMlG4WnJtMZ+Yz0M6i81aVR2q0Fv9Uob6hyoGZT0nvVLt&#10;VFTiiPYvqsFqBII2LjQMBbSt1Sb3wN0syz+6eepVMLkXFofCVSb6f7T622mPwja1XN2xPl4NPKTP&#10;xwg5t1jeLJNEY6CKI7d+j6lJffZP4RH0TxIetr3yncnhz1NgdEYUbyDJoMCJDuNXaDhGcYas17nF&#10;IVGyEuKcxzJdx2LOUWi+XN2WH2+4OH1xFaq64AJS/GJgEOmnlhRR2a6PW/CeZw+4zFnU6ZEi98HA&#10;CyAl9fBgncsr4LwYufS7khMlF4GzTfJmA7vD1qE4qbRF+UuqMNubsES9U9TPcTTRDuK8YAhH38wI&#10;5xl40WNW9gDNtMfkTvc86Ez9spRpk363c9Tr09n8AgAA//8DAFBLAwQUAAYACAAAACEAztObS94A&#10;AAAJAQAADwAAAGRycy9kb3ducmV2LnhtbEyPzU7DMBCE70i8g7VI3KhDiqIS4lQUhMQNpS0SRzfe&#10;/IC9DrHbhj49izjAcWY/zc4Uy8lZccAx9J4UXM8SEEi1Nz21Crabp6sFiBA1GW09oYIvDLAsz88K&#10;nRt/pAoP69gKDqGQawVdjEMuZag7dDrM/IDEt8aPTkeWYyvNqI8c7qxMkySTTvfEHzo94EOH9cd6&#10;7xR8vpqbZjM1b/bUblen9+fq5bFaKXV5Md3fgYg4xT8YfupzdSi5087vyQRhWS/SjFEF2fwWBANp&#10;Omdj92vIspD/F5TfAAAA//8DAFBLAQItABQABgAIAAAAIQC2gziS/gAAAOEBAAATAAAAAAAAAAAA&#10;AAAAAAAAAABbQ29udGVudF9UeXBlc10ueG1sUEsBAi0AFAAGAAgAAAAhADj9If/WAAAAlAEAAAsA&#10;AAAAAAAAAAAAAAAALwEAAF9yZWxzLy5yZWxzUEsBAi0AFAAGAAgAAAAhAK83eivNAQAAggMAAA4A&#10;AAAAAAAAAAAAAAAALgIAAGRycy9lMm9Eb2MueG1sUEsBAi0AFAAGAAgAAAAhAM7Tm0veAAAACQEA&#10;AA8AAAAAAAAAAAAAAAAAJwQAAGRycy9kb3ducmV2LnhtbFBLBQYAAAAABAAEAPMAAAAyBQ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45952" behindDoc="0" locked="0" layoutInCell="1" allowOverlap="1" wp14:anchorId="37C84ACF" wp14:editId="19EAAB03">
                <wp:simplePos x="0" y="0"/>
                <wp:positionH relativeFrom="column">
                  <wp:posOffset>1159510</wp:posOffset>
                </wp:positionH>
                <wp:positionV relativeFrom="paragraph">
                  <wp:posOffset>405765</wp:posOffset>
                </wp:positionV>
                <wp:extent cx="260350" cy="0"/>
                <wp:effectExtent l="21590" t="58420" r="13335" b="55880"/>
                <wp:wrapNone/>
                <wp:docPr id="289"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0"/>
                        </a:xfrm>
                        <a:prstGeom prst="straightConnector1">
                          <a:avLst/>
                        </a:prstGeom>
                        <a:noFill/>
                        <a:ln w="9525">
                          <a:solidFill>
                            <a:srgbClr val="000000"/>
                          </a:solidFill>
                          <a:prstDash val="sysDot"/>
                          <a:round/>
                          <a:tailEnd type="triangle" w="med" len="med"/>
                        </a:ln>
                      </wps:spPr>
                      <wps:bodyPr/>
                    </wps:wsp>
                  </a:graphicData>
                </a:graphic>
              </wp:anchor>
            </w:drawing>
          </mc:Choice>
          <mc:Fallback>
            <w:pict>
              <v:shape w14:anchorId="5D9B6106" id="AutoShape 152" o:spid="_x0000_s1026" type="#_x0000_t32" style="position:absolute;margin-left:91.3pt;margin-top:31.95pt;width:20.5pt;height:0;flip:x;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oY8AEAALkDAAAOAAAAZHJzL2Uyb0RvYy54bWysU8FuGyEQvVfqPyDu9dpbOUpWXkeV3bSH&#10;tLWU9AMwsLuowCAGe+2/78C6TtreqnJAwLx5M/NmWN2fnGVHHdGAb/liNudMewnK+L7l358f3t1y&#10;hkl4JSx43fKzRn6/fvtmNYZG1zCAVToyIvHYjKHlQ0qhqSqUg3YCZxC0J2MH0YlE19hXKoqR2J2t&#10;6vn8phohqhBBakR63U5Gvi78Xadl+tZ1qBOzLafcUtlj2fd5r9Yr0fRRhMHISxriH7JwwngKeqXa&#10;iiTYIZq/qJyRERC6NJPgKug6I3WpgapZzP+o5mkQQZdaSBwMV5nw/9HKr8ddZEa1vL6948wLR036&#10;cEhQYrPFss4SjQEbQm78LuYi5ck/hUeQP5B52AzC97rAn8+BvBfZo/rNJV8wUKD9+AUUYQRFKHqd&#10;uuhYZ034nB0zOWnCTqVB52uD9CkxSY/1zfz9ktoof5kq0WSG7Bcipk8aHMuHlmOKwvRD2oD3NAUQ&#10;J3ZxfMSU83txyM4eHoy1ZRisZ2PL75b1sqSDYI3KxgzD2O83NrKjyONUVimWLK9hOYOtwGHC4Rm3&#10;kKZJi3DwqoRJwtiPXrFUNEvRkIpW8xzbacWZ1fSf8mlK1vqLplnGqSF7UOddzOYsL81Hqeoyy3kA&#10;X98L6uXHrX8CAAD//wMAUEsDBBQABgAIAAAAIQCpH5+B3QAAAAkBAAAPAAAAZHJzL2Rvd25yZXYu&#10;eG1sTI9BS8NAEIXvgv9hGcGb3TSFGNNsipT2JFSsIj1us2MSmp0Nu9s0/ntHPNjje/N475tyNdle&#10;jOhD50jBfJaAQKqd6ahR8PG+fchBhKjJ6N4RKvjGAKvq9qbUhXEXesNxHxvBJRQKraCNcSikDHWL&#10;VoeZG5D49uW81ZGlb6Tx+sLltpdpkmTS6o54odUDrlusT/uz5d1DWG+2pynLX7wf56+fu0ez2Sl1&#10;fzc9L0FEnOJ/GH7xGR0qZjq6M5kgetZ5mnFUQbZ4AsGBNF2wcfwzZFXK6w+qHwAAAP//AwBQSwEC&#10;LQAUAAYACAAAACEAtoM4kv4AAADhAQAAEwAAAAAAAAAAAAAAAAAAAAAAW0NvbnRlbnRfVHlwZXNd&#10;LnhtbFBLAQItABQABgAIAAAAIQA4/SH/1gAAAJQBAAALAAAAAAAAAAAAAAAAAC8BAABfcmVscy8u&#10;cmVsc1BLAQItABQABgAIAAAAIQANXPoY8AEAALkDAAAOAAAAAAAAAAAAAAAAAC4CAABkcnMvZTJv&#10;RG9jLnhtbFBLAQItABQABgAIAAAAIQCpH5+B3QAAAAkBAAAPAAAAAAAAAAAAAAAAAEoEAABkcnMv&#10;ZG93bnJldi54bWxQSwUGAAAAAAQABADzAAAAVAUAAAAA&#10;">
                <v:stroke dashstyle="1 1" endarrow="block"/>
              </v:shape>
            </w:pict>
          </mc:Fallback>
        </mc:AlternateContent>
      </w:r>
      <w:r w:rsidR="000D779E">
        <w:rPr>
          <w:noProof/>
          <w:lang w:val="lt-LT" w:eastAsia="lt-LT"/>
        </w:rPr>
        <mc:AlternateContent>
          <mc:Choice Requires="wps">
            <w:drawing>
              <wp:anchor distT="0" distB="0" distL="114300" distR="114300" simplePos="0" relativeHeight="251651072" behindDoc="0" locked="0" layoutInCell="1" allowOverlap="1" wp14:anchorId="5AAF5453" wp14:editId="1342E3E0">
                <wp:simplePos x="0" y="0"/>
                <wp:positionH relativeFrom="column">
                  <wp:posOffset>685800</wp:posOffset>
                </wp:positionH>
                <wp:positionV relativeFrom="paragraph">
                  <wp:posOffset>800100</wp:posOffset>
                </wp:positionV>
                <wp:extent cx="1587500" cy="1583690"/>
                <wp:effectExtent l="14605" t="14605" r="55245" b="59055"/>
                <wp:wrapNone/>
                <wp:docPr id="28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1583690"/>
                        </a:xfrm>
                        <a:prstGeom prst="straightConnector1">
                          <a:avLst/>
                        </a:prstGeom>
                        <a:noFill/>
                        <a:ln w="19050">
                          <a:solidFill>
                            <a:srgbClr val="000000"/>
                          </a:solidFill>
                          <a:round/>
                          <a:tailEnd type="triangle" w="med" len="med"/>
                        </a:ln>
                      </wps:spPr>
                      <wps:bodyPr/>
                    </wps:wsp>
                  </a:graphicData>
                </a:graphic>
              </wp:anchor>
            </w:drawing>
          </mc:Choice>
          <mc:Fallback>
            <w:pict>
              <v:shape w14:anchorId="724E7F3F" id="AutoShape 153" o:spid="_x0000_s1026" type="#_x0000_t32" style="position:absolute;margin-left:54pt;margin-top:63pt;width:125pt;height:124.7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W/5AEAAJ0DAAAOAAAAZHJzL2Uyb0RvYy54bWysU8Fu2zAMvQ/YPwi6L7ZTpGuNOMWQrrt0&#10;W4B2H6BIsi1MEgVKiZO/H6WkabfdhvkgmCL5HvlILe8OzrK9xmjAd7yZ1ZxpL0EZP3T8x/PDhxvO&#10;YhJeCQted/yoI79bvX+3nEKr5zCCVRoZgfjYTqHjY0qhraooR+1EnEHQnpw9oBOJTBwqhWIidGer&#10;eV1fVxOgCghSx0i39ycnXxX8vtcyfe/7qBOzHafaUjmxnNt8VqulaAcUYTTyXIb4hyqcMJ5IL1D3&#10;Igm2Q/MXlDMSIUKfZhJcBX1vpC49UDdN/Uc3T6MIuvRC4sRwkSn+P1j5bb9BZlTH5zc0Ki8cDenT&#10;LkHhZs3iKks0hdhS5NpvMDcpD/4pPIL8GZmH9Sj8oEv48zFQdpMzqt9SshEDEW2nr6AoRhBD0evQ&#10;o8uQpAQ7lLEcL2PRh8QkXTaLm4+LmqYnyUfG1fVtGVwl2pf0gDF90eBY/ul4TCjMMKY1eE8rANgU&#10;MrF/jCkXJ9qXhMzt4cFYWzbBejYRx229qEtGBGtU9ua4iMN2bZHtRV6m8pVWyfM2DGHnVUFLwtjP&#10;XrFUdEloSCmreaZwWnFmNb2Z/Heqyfqzblmqk+hbUMcNZneWkHagFH/e17xkb+0S9fqqVr8AAAD/&#10;/wMAUEsDBBQABgAIAAAAIQCs77Ia3gAAAAsBAAAPAAAAZHJzL2Rvd25yZXYueG1sTE/BTsJAFLyb&#10;+A+bR+JNtqAgKd2SxsSDeBIFr0v30Ra7b2t3oevf+zjJbebNZN5Mtoq2FWfsfeNIwWScgEAqnWmo&#10;UvD58XK/AOGDJqNbR6jgFz2s8tubTKfGDfSO502oBIeQT7WCOoQuldKXNVrtx65DYu3geqsD076S&#10;ptcDh9tWTpNkLq1uiD/UusPnGsvvzckqsLu31+J4jEOx3q1/Dl/bbXRmotTdKBZLEAFj+DfDpT5X&#10;h5w77d2JjBct82TBWwKD6ZwBOx5ml8uewdPsEWSeyesN+R8AAAD//wMAUEsBAi0AFAAGAAgAAAAh&#10;ALaDOJL+AAAA4QEAABMAAAAAAAAAAAAAAAAAAAAAAFtDb250ZW50X1R5cGVzXS54bWxQSwECLQAU&#10;AAYACAAAACEAOP0h/9YAAACUAQAACwAAAAAAAAAAAAAAAAAvAQAAX3JlbHMvLnJlbHNQSwECLQAU&#10;AAYACAAAACEAWeL1v+QBAACdAwAADgAAAAAAAAAAAAAAAAAuAgAAZHJzL2Uyb0RvYy54bWxQSwEC&#10;LQAUAAYACAAAACEArO+yGt4AAAALAQAADwAAAAAAAAAAAAAAAAA+BAAAZHJzL2Rvd25yZXYueG1s&#10;UEsFBgAAAAAEAAQA8wAAAEkFAAAAAA==&#10;" strokeweight="1.5pt">
                <v:stroke endarrow="block"/>
              </v:shape>
            </w:pict>
          </mc:Fallback>
        </mc:AlternateContent>
      </w:r>
      <w:r w:rsidR="000D779E">
        <w:rPr>
          <w:noProof/>
          <w:lang w:val="lt-LT" w:eastAsia="lt-LT"/>
        </w:rPr>
        <mc:AlternateContent>
          <mc:Choice Requires="wps">
            <w:drawing>
              <wp:anchor distT="0" distB="0" distL="114300" distR="114300" simplePos="0" relativeHeight="251640832" behindDoc="0" locked="0" layoutInCell="1" allowOverlap="1" wp14:anchorId="082CB530" wp14:editId="362F9761">
                <wp:simplePos x="0" y="0"/>
                <wp:positionH relativeFrom="column">
                  <wp:posOffset>2479040</wp:posOffset>
                </wp:positionH>
                <wp:positionV relativeFrom="paragraph">
                  <wp:posOffset>0</wp:posOffset>
                </wp:positionV>
                <wp:extent cx="899795" cy="810895"/>
                <wp:effectExtent l="17145" t="14605" r="16510" b="22225"/>
                <wp:wrapNone/>
                <wp:docPr id="28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10895"/>
                        </a:xfrm>
                        <a:prstGeom prst="rect">
                          <a:avLst/>
                        </a:prstGeom>
                        <a:solidFill>
                          <a:srgbClr val="FFFFFF"/>
                        </a:solidFill>
                        <a:ln w="28575">
                          <a:solidFill>
                            <a:srgbClr val="000000"/>
                          </a:solidFill>
                          <a:miter lim="800000"/>
                        </a:ln>
                      </wps:spPr>
                      <wps:txbx>
                        <w:txbxContent>
                          <w:p w14:paraId="3F458CCB" w14:textId="77777777" w:rsidR="007B24A1" w:rsidRDefault="007B24A1">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wps:txbx>
                      <wps:bodyPr rot="0" vert="horz" wrap="square" lIns="91440" tIns="45720" rIns="91440" bIns="45720" anchor="t" anchorCtr="0" upright="1">
                        <a:noAutofit/>
                      </wps:bodyPr>
                    </wps:wsp>
                  </a:graphicData>
                </a:graphic>
              </wp:anchor>
            </w:drawing>
          </mc:Choice>
          <mc:Fallback>
            <w:pict>
              <v:rect w14:anchorId="082CB530" id="Rectangle 156" o:spid="_x0000_s1161" style="position:absolute;left:0;text-align:left;margin-left:195.2pt;margin-top:0;width:70.85pt;height:63.8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KVGgIAADsEAAAOAAAAZHJzL2Uyb0RvYy54bWysU8GO0zAQvSPxD5bvNEnVbtuo6WrVVRHS&#10;AisWPsBxnMTCsc3YbVK+nrHT7WaBE8IHy+MZP795M7O9HTpFTgKcNLqg2SylRGhuKqmbgn77eni3&#10;psR5piumjBYFPQtHb3dv32x7m4u5aY2qBBAE0S7vbUFb722eJI63omNuZqzQ6KwNdMyjCU1SAesR&#10;vVPJPE1vkt5AZcFw4Rze3o9Ouov4dS24/1zXTniiCorcfNwh7mXYk92W5Q0w20p+ocH+gUXHpMZP&#10;r1D3zDNyBPkHVCc5GGdqP+OmS0xdSy5iDphNlv6WzVPLrIi5oDjOXmVy/w+Wfzo9ApFVQefrJSWa&#10;dVikLygb040SJFveBIl663KMfLKPEJJ09sHw745os28xTtwBmL4VrEJiWYhPXj0IhsOnpOw/mgrx&#10;2dGbqNZQQxcAUQcyxKKcr0URgyccL9ebzWqD1Di61lm6xnP4geXPjy04/16YjoRDQQHJR3B2enB+&#10;DH0OieSNktVBKhUNaMq9AnJi2B+HuC7obhqmNOmjQqtlhH7ldFOMNK6/YXTSY6cr2WEa0yClL3oF&#10;iUap/VAOsSab2KBBv9JUZ1QQzNjBOHF4aA38pKTH7i2o+3FkIChRHzRWYZMtFqHdo7FYruZowNRT&#10;Tj1Mc4QqqKdkPO79OCJHC7Jp8acspq3NHVaullHVF1YX/tihsS6XaQojMLVj1MvM734BAAD//wMA&#10;UEsDBBQABgAIAAAAIQD7gkPZ3wAAAAgBAAAPAAAAZHJzL2Rvd25yZXYueG1sTI+7TsNAEEV7JP5h&#10;NUg0KFnHeRHjdYQsKEIFThq6ib3YFt5Z49kk5u8ZKihH9+jOuel2dJ0624FbTwZm0wiUpdJXLdUG&#10;DvvnyT0oDkgVdp6sgW/LsM2ur1JMKn+hN3suQq2khDhBA00IfaI1l411yFPfW5Lsww8Og5xDrasB&#10;L1LuOh1H0Uo7bEk+NNjbvLHlZ3FyBtDt6sXua/NS8IGflvu7/JXfc2Nub8bHB1DBjuEPhl99UYdM&#10;nI7+RBWrzsB8Ey0ENSCLJF7O4xmoo3Dxeg06S/X/AdkPAAAA//8DAFBLAQItABQABgAIAAAAIQC2&#10;gziS/gAAAOEBAAATAAAAAAAAAAAAAAAAAAAAAABbQ29udGVudF9UeXBlc10ueG1sUEsBAi0AFAAG&#10;AAgAAAAhADj9If/WAAAAlAEAAAsAAAAAAAAAAAAAAAAALwEAAF9yZWxzLy5yZWxzUEsBAi0AFAAG&#10;AAgAAAAhAHQsYpUaAgAAOwQAAA4AAAAAAAAAAAAAAAAALgIAAGRycy9lMm9Eb2MueG1sUEsBAi0A&#10;FAAGAAgAAAAhAPuCQ9nfAAAACAEAAA8AAAAAAAAAAAAAAAAAdAQAAGRycy9kb3ducmV2LnhtbFBL&#10;BQYAAAAABAAEAPMAAACABQAAAAA=&#10;" strokeweight="2.25pt">
                <v:textbox>
                  <w:txbxContent>
                    <w:p w14:paraId="3F458CCB" w14:textId="77777777" w:rsidR="007B24A1" w:rsidRDefault="007B24A1">
                      <w:pPr>
                        <w:jc w:val="center"/>
                        <w:rPr>
                          <w:sz w:val="20"/>
                          <w:szCs w:val="20"/>
                          <w:lang w:val="lt-LT"/>
                        </w:rPr>
                      </w:pPr>
                      <w:r>
                        <w:rPr>
                          <w:lang w:val="lt-LT"/>
                        </w:rPr>
                        <w:t xml:space="preserve">Įsigyjamasis vienetas </w:t>
                      </w:r>
                      <w:r>
                        <w:rPr>
                          <w:b/>
                          <w:bCs/>
                          <w:sz w:val="20"/>
                          <w:szCs w:val="20"/>
                          <w:lang w:val="lt-LT"/>
                        </w:rPr>
                        <w:t>A</w:t>
                      </w:r>
                      <w:r>
                        <w:rPr>
                          <w:sz w:val="20"/>
                          <w:szCs w:val="20"/>
                          <w:lang w:val="lt-LT"/>
                        </w:rPr>
                        <w:t>, kurio veikla nutraukiama</w:t>
                      </w:r>
                    </w:p>
                  </w:txbxContent>
                </v:textbox>
              </v:rect>
            </w:pict>
          </mc:Fallback>
        </mc:AlternateContent>
      </w:r>
      <w:r w:rsidR="000D779E">
        <w:rPr>
          <w:noProof/>
          <w:lang w:val="lt-LT" w:eastAsia="lt-LT"/>
        </w:rPr>
        <mc:AlternateContent>
          <mc:Choice Requires="wps">
            <w:drawing>
              <wp:anchor distT="0" distB="0" distL="114300" distR="114300" simplePos="0" relativeHeight="251641856" behindDoc="0" locked="0" layoutInCell="1" allowOverlap="1" wp14:anchorId="5ACF2CC4" wp14:editId="58F554CF">
                <wp:simplePos x="0" y="0"/>
                <wp:positionH relativeFrom="column">
                  <wp:posOffset>1419860</wp:posOffset>
                </wp:positionH>
                <wp:positionV relativeFrom="paragraph">
                  <wp:posOffset>0</wp:posOffset>
                </wp:positionV>
                <wp:extent cx="899160" cy="810895"/>
                <wp:effectExtent l="5715" t="5080" r="9525" b="12700"/>
                <wp:wrapNone/>
                <wp:docPr id="28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810895"/>
                        </a:xfrm>
                        <a:prstGeom prst="rect">
                          <a:avLst/>
                        </a:prstGeom>
                        <a:solidFill>
                          <a:srgbClr val="FFFFFF"/>
                        </a:solidFill>
                        <a:ln w="9525">
                          <a:solidFill>
                            <a:srgbClr val="000000"/>
                          </a:solidFill>
                          <a:miter lim="800000"/>
                        </a:ln>
                      </wps:spPr>
                      <wps:txbx>
                        <w:txbxContent>
                          <w:p w14:paraId="5E080092" w14:textId="77777777" w:rsidR="007B24A1" w:rsidRDefault="007B24A1">
                            <w:pPr>
                              <w:jc w:val="center"/>
                              <w:rPr>
                                <w:lang w:val="fr-FR"/>
                              </w:rPr>
                            </w:pPr>
                            <w:r>
                              <w:rPr>
                                <w:lang w:val="lt-LT"/>
                              </w:rPr>
                              <w:t xml:space="preserve">Įsigyjamojo vieneto </w:t>
                            </w:r>
                            <w:r>
                              <w:rPr>
                                <w:b/>
                                <w:bCs/>
                                <w:sz w:val="20"/>
                                <w:szCs w:val="20"/>
                                <w:lang w:val="lt-LT"/>
                              </w:rPr>
                              <w:t xml:space="preserve">A </w:t>
                            </w:r>
                            <w:r>
                              <w:rPr>
                                <w:sz w:val="20"/>
                                <w:szCs w:val="20"/>
                                <w:lang w:val="lt-LT"/>
                              </w:rPr>
                              <w:t>turtas, teisės ir pareigos</w:t>
                            </w:r>
                          </w:p>
                        </w:txbxContent>
                      </wps:txbx>
                      <wps:bodyPr rot="0" vert="horz" wrap="square" lIns="91440" tIns="45720" rIns="91440" bIns="45720" anchor="t" anchorCtr="0" upright="1">
                        <a:noAutofit/>
                      </wps:bodyPr>
                    </wps:wsp>
                  </a:graphicData>
                </a:graphic>
              </wp:anchor>
            </w:drawing>
          </mc:Choice>
          <mc:Fallback>
            <w:pict>
              <v:rect w14:anchorId="5ACF2CC4" id="Rectangle 157" o:spid="_x0000_s1162" style="position:absolute;left:0;text-align:left;margin-left:111.8pt;margin-top:0;width:70.8pt;height:63.8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QpHQIAADoEAAAOAAAAZHJzL2Uyb0RvYy54bWysU9tu2zAMfR+wfxD0vtgOkjY24hRFigwD&#10;uq1Ytw+QZdkWptsoJU739aOUNHW3PQ3TgyCK1NHhIbm+OWpFDgK8tKamxSynRBhuW2n6mn77unu3&#10;osQHZlqmrBE1fRKe3mzevlmPrhJzO1jVCiAIYnw1upoOIbgqyzwfhGZ+Zp0w6OwsaBbQhD5rgY2I&#10;rlU2z/OrbLTQOrBceI+3dycn3ST8rhM8fO46LwJRNUVuIe2Q9ibu2WbNqh6YGyQ/02D/wEIzafDT&#10;C9QdC4zsQf4BpSUH620XZtzqzHad5CLlgNkU+W/ZPA7MiZQLiuPdRSb//2D5p8MDENnWdL5aUGKY&#10;xiJ9QdmY6ZUgxfI6SjQ6X2Hko3uAmKR395Z/98TY7YBx4hbAjoNgLRIrYnz26kE0PD4lzfjRtojP&#10;9sEmtY4d6AiIOpBjKsrTpSjiGAjHy1VZFldYOo6uVZGvymX6gVXPjx348F5YTeKhpoDkEzg73PsQ&#10;ybDqOSSRt0q2O6lUMqBvtgrIgWF/7NI6o/tpmDJkrGm5nC8T8iufn0Lkaf0NQsuAja6kxiymQcqc&#10;5YoKnZQOx+aYSlImMaN8jW2fUECwpwbGgcPDYOEnJSM2b039jz0DQYn6YLAIZbFYxG5PxmJ5PUcD&#10;pp5m6mGGI1RNAyWn4zacJmTvQPYD/lSktI29xcJ1Mon6wurMHxs0aX0epjgBUztFvYz85hcAAAD/&#10;/wMAUEsDBBQABgAIAAAAIQBqC4623QAAAAgBAAAPAAAAZHJzL2Rvd25yZXYueG1sTI/BTsMwEETv&#10;SPyDtUjcqIMjUghxKgQqEsc2vXBz4iUJxOsodtrA17OcynE1T7Nvis3iBnHEKfSeNNyuEhBIjbc9&#10;tRoO1fbmHkSIhqwZPKGGbwywKS8vCpNbf6IdHvexFVxCITcauhjHXMrQdOhMWPkRibMPPzkT+Zxa&#10;aSdz4nI3SJUkmXSmJ/7QmRGfO2y+9rPTUPfqYH521WviHrZpfFuqz/n9Revrq+XpEUTEJZ5h+NNn&#10;dSjZqfYz2SAGDUqlGaMaeBHHaXanQNTMqfUaZFnI/wPKXwAAAP//AwBQSwECLQAUAAYACAAAACEA&#10;toM4kv4AAADhAQAAEwAAAAAAAAAAAAAAAAAAAAAAW0NvbnRlbnRfVHlwZXNdLnhtbFBLAQItABQA&#10;BgAIAAAAIQA4/SH/1gAAAJQBAAALAAAAAAAAAAAAAAAAAC8BAABfcmVscy8ucmVsc1BLAQItABQA&#10;BgAIAAAAIQBwNpQpHQIAADoEAAAOAAAAAAAAAAAAAAAAAC4CAABkcnMvZTJvRG9jLnhtbFBLAQIt&#10;ABQABgAIAAAAIQBqC4623QAAAAgBAAAPAAAAAAAAAAAAAAAAAHcEAABkcnMvZG93bnJldi54bWxQ&#10;SwUGAAAAAAQABADzAAAAgQUAAAAA&#10;">
                <v:textbox>
                  <w:txbxContent>
                    <w:p w14:paraId="5E080092" w14:textId="77777777" w:rsidR="007B24A1" w:rsidRDefault="007B24A1">
                      <w:pPr>
                        <w:jc w:val="center"/>
                        <w:rPr>
                          <w:lang w:val="fr-FR"/>
                        </w:rPr>
                      </w:pPr>
                      <w:r>
                        <w:rPr>
                          <w:lang w:val="lt-LT"/>
                        </w:rPr>
                        <w:t xml:space="preserve">Įsigyjamojo vieneto </w:t>
                      </w:r>
                      <w:r>
                        <w:rPr>
                          <w:b/>
                          <w:bCs/>
                          <w:sz w:val="20"/>
                          <w:szCs w:val="20"/>
                          <w:lang w:val="lt-LT"/>
                        </w:rPr>
                        <w:t xml:space="preserve">A </w:t>
                      </w:r>
                      <w:r>
                        <w:rPr>
                          <w:sz w:val="20"/>
                          <w:szCs w:val="20"/>
                          <w:lang w:val="lt-LT"/>
                        </w:rPr>
                        <w:t>turtas, teisės ir pareigos</w:t>
                      </w:r>
                    </w:p>
                  </w:txbxContent>
                </v:textbox>
              </v:rect>
            </w:pict>
          </mc:Fallback>
        </mc:AlternateContent>
      </w:r>
      <w:r w:rsidR="000D779E">
        <w:rPr>
          <w:noProof/>
          <w:lang w:val="lt-LT" w:eastAsia="lt-LT"/>
        </w:rPr>
        <mc:AlternateContent>
          <mc:Choice Requires="wps">
            <w:drawing>
              <wp:anchor distT="0" distB="0" distL="114300" distR="114300" simplePos="0" relativeHeight="251642880" behindDoc="0" locked="0" layoutInCell="1" allowOverlap="1" wp14:anchorId="56C381D5" wp14:editId="2558B327">
                <wp:simplePos x="0" y="0"/>
                <wp:positionH relativeFrom="column">
                  <wp:posOffset>3538855</wp:posOffset>
                </wp:positionH>
                <wp:positionV relativeFrom="paragraph">
                  <wp:posOffset>0</wp:posOffset>
                </wp:positionV>
                <wp:extent cx="901700" cy="810895"/>
                <wp:effectExtent l="10160" t="5080" r="12065" b="12700"/>
                <wp:wrapNone/>
                <wp:docPr id="28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0" cy="810895"/>
                        </a:xfrm>
                        <a:prstGeom prst="rect">
                          <a:avLst/>
                        </a:prstGeom>
                        <a:solidFill>
                          <a:srgbClr val="FFFFFF"/>
                        </a:solidFill>
                        <a:ln w="9525">
                          <a:solidFill>
                            <a:srgbClr val="000000"/>
                          </a:solidFill>
                          <a:miter lim="800000"/>
                        </a:ln>
                      </wps:spPr>
                      <wps:txbx>
                        <w:txbxContent>
                          <w:p w14:paraId="5D2B5ED4" w14:textId="77777777" w:rsidR="007B24A1" w:rsidRDefault="007B24A1">
                            <w:pPr>
                              <w:jc w:val="center"/>
                            </w:pPr>
                            <w:r>
                              <w:rPr>
                                <w:lang w:val="lt-LT"/>
                              </w:rPr>
                              <w:t xml:space="preserve">Įsigyjamojo vieneto </w:t>
                            </w:r>
                            <w:r>
                              <w:rPr>
                                <w:b/>
                                <w:bCs/>
                                <w:sz w:val="20"/>
                                <w:szCs w:val="20"/>
                                <w:lang w:val="lt-LT"/>
                              </w:rPr>
                              <w:t>A</w:t>
                            </w:r>
                            <w:r>
                              <w:rPr>
                                <w:sz w:val="20"/>
                                <w:szCs w:val="20"/>
                                <w:lang w:val="lt-LT"/>
                              </w:rPr>
                              <w:t xml:space="preserve"> turtas, teisės ir prievolės</w:t>
                            </w:r>
                          </w:p>
                        </w:txbxContent>
                      </wps:txbx>
                      <wps:bodyPr rot="0" vert="horz" wrap="square" lIns="91440" tIns="45720" rIns="91440" bIns="45720" anchor="t" anchorCtr="0" upright="1">
                        <a:noAutofit/>
                      </wps:bodyPr>
                    </wps:wsp>
                  </a:graphicData>
                </a:graphic>
              </wp:anchor>
            </w:drawing>
          </mc:Choice>
          <mc:Fallback>
            <w:pict>
              <v:rect w14:anchorId="56C381D5" id="Rectangle 158" o:spid="_x0000_s1163" style="position:absolute;left:0;text-align:left;margin-left:278.65pt;margin-top:0;width:71pt;height:63.8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NSHAIAADoEAAAOAAAAZHJzL2Uyb0RvYy54bWysU9tuEzEQfUfiHyy/k72Q0GSVTVWlCkIq&#10;UFH4AMfr3bXwjbGT3fL1jJ003QJPCD9YHs/4+MyZmfX1qBU5CvDSmpoWs5wSYbhtpOlq+u3r7s2S&#10;Eh+YaZiyRtT0UXh6vXn9aj24SpS2t6oRQBDE+GpwNe1DcFWWed4LzfzMOmHQ2VrQLKAJXdYAGxBd&#10;q6zM83fZYKFxYLnwHm9vT066SfhtK3j43LZeBKJqitxC2iHt+7hnmzWrOmCul/xMg/0DC82kwU8v&#10;ULcsMHIA+QeUlhyst22Ycasz27aSi5QDZlPkv2Xz0DMnUi4ojncXmfz/g+WfjvdAZFPTcvmWEsM0&#10;FukLysZMpwQpFsso0eB8hZEP7h5ikt7dWf7dE2O3PcaJGwA79II1SKyI8dmLB9Hw+JTsh4+2QXx2&#10;CDapNbagIyDqQMZUlMdLUcQYCMfLVV5c5Vg6jq5lkS9Xi/QDq54eO/DhvbCaxENNAckncHa88yGS&#10;YdVTSCJvlWx2UqlkQLffKiBHhv2xS+uM7qdhypABmSzKRUJ+4fNTiDytv0FoGbDRldSYxTRImbNc&#10;UaGT0mHcj6kkqzIiRfn2tnlEAcGeGhgHDg+9hZ+UDNi8NfU/DgwEJeqDwSKsivk8dnsy5ourEg2Y&#10;evZTDzMcoWoaKDkdt+E0IQcHsuvxpyKlbewNFq6VSdRnVmf+2KBJ6/MwxQmY2inqeeQ3vwAAAP//&#10;AwBQSwMEFAAGAAgAAAAhAKh2JabdAAAACAEAAA8AAABkcnMvZG93bnJldi54bWxMj0FPg0AUhO8m&#10;/ofNM/FmF2lahLI0RlMTjy29eFvYJ1DZt4RdWvTX+zzV42QmM9/k29n24oyj7xwpeFxEIJBqZzpq&#10;FBzL3cMTCB80Gd07QgXf6GFb3N7kOjPuQns8H0IjuIR8phW0IQyZlL5u0Wq/cAMSe59utDqwHBtp&#10;Rn3hctvLOIrW0uqOeKHVA760WH8dJqug6uKj/tmXb5FNd8vwPpen6eNVqfu7+XkDIuAcrmH4w2d0&#10;KJipchMZL3oFq1Wy5KgCfsT2Ok1ZVpyLkwRkkcv/B4pfAAAA//8DAFBLAQItABQABgAIAAAAIQC2&#10;gziS/gAAAOEBAAATAAAAAAAAAAAAAAAAAAAAAABbQ29udGVudF9UeXBlc10ueG1sUEsBAi0AFAAG&#10;AAgAAAAhADj9If/WAAAAlAEAAAsAAAAAAAAAAAAAAAAALwEAAF9yZWxzLy5yZWxzUEsBAi0AFAAG&#10;AAgAAAAhAERFc1IcAgAAOgQAAA4AAAAAAAAAAAAAAAAALgIAAGRycy9lMm9Eb2MueG1sUEsBAi0A&#10;FAAGAAgAAAAhAKh2JabdAAAACAEAAA8AAAAAAAAAAAAAAAAAdgQAAGRycy9kb3ducmV2LnhtbFBL&#10;BQYAAAAABAAEAPMAAACABQAAAAA=&#10;">
                <v:textbox>
                  <w:txbxContent>
                    <w:p w14:paraId="5D2B5ED4" w14:textId="77777777" w:rsidR="007B24A1" w:rsidRDefault="007B24A1">
                      <w:pPr>
                        <w:jc w:val="center"/>
                      </w:pPr>
                      <w:r>
                        <w:rPr>
                          <w:lang w:val="lt-LT"/>
                        </w:rPr>
                        <w:t xml:space="preserve">Įsigyjamojo vieneto </w:t>
                      </w:r>
                      <w:r>
                        <w:rPr>
                          <w:b/>
                          <w:bCs/>
                          <w:sz w:val="20"/>
                          <w:szCs w:val="20"/>
                          <w:lang w:val="lt-LT"/>
                        </w:rPr>
                        <w:t>A</w:t>
                      </w:r>
                      <w:r>
                        <w:rPr>
                          <w:sz w:val="20"/>
                          <w:szCs w:val="20"/>
                          <w:lang w:val="lt-LT"/>
                        </w:rPr>
                        <w:t xml:space="preserve"> turtas, teisės ir prievolės</w:t>
                      </w:r>
                    </w:p>
                  </w:txbxContent>
                </v:textbox>
              </v:rect>
            </w:pict>
          </mc:Fallback>
        </mc:AlternateContent>
      </w:r>
      <w:r w:rsidR="000D779E">
        <w:rPr>
          <w:noProof/>
          <w:lang w:val="lt-LT" w:eastAsia="lt-LT"/>
        </w:rPr>
        <mc:AlternateContent>
          <mc:Choice Requires="wps">
            <w:drawing>
              <wp:anchor distT="0" distB="0" distL="114300" distR="114300" simplePos="0" relativeHeight="251643904" behindDoc="0" locked="0" layoutInCell="1" allowOverlap="1" wp14:anchorId="56DDB2C9" wp14:editId="1220BE23">
                <wp:simplePos x="0" y="0"/>
                <wp:positionH relativeFrom="column">
                  <wp:posOffset>4600575</wp:posOffset>
                </wp:positionH>
                <wp:positionV relativeFrom="paragraph">
                  <wp:posOffset>0</wp:posOffset>
                </wp:positionV>
                <wp:extent cx="1259840" cy="810895"/>
                <wp:effectExtent l="14605" t="14605" r="20955" b="22225"/>
                <wp:wrapNone/>
                <wp:docPr id="28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810895"/>
                        </a:xfrm>
                        <a:prstGeom prst="rect">
                          <a:avLst/>
                        </a:prstGeom>
                        <a:solidFill>
                          <a:srgbClr val="FFFFFF"/>
                        </a:solidFill>
                        <a:ln w="28575">
                          <a:solidFill>
                            <a:srgbClr val="000000"/>
                          </a:solidFill>
                          <a:miter lim="800000"/>
                        </a:ln>
                      </wps:spPr>
                      <wps:txbx>
                        <w:txbxContent>
                          <w:p w14:paraId="68B9C6AD" w14:textId="77777777" w:rsidR="007B24A1" w:rsidRDefault="007B24A1">
                            <w:pPr>
                              <w:jc w:val="center"/>
                              <w:rPr>
                                <w:sz w:val="20"/>
                                <w:szCs w:val="20"/>
                                <w:lang w:val="lt-LT"/>
                              </w:rPr>
                            </w:pPr>
                          </w:p>
                          <w:p w14:paraId="3A07BDD4" w14:textId="77777777" w:rsidR="007B24A1" w:rsidRDefault="007B24A1">
                            <w:pPr>
                              <w:jc w:val="center"/>
                              <w:rPr>
                                <w:b/>
                                <w:bCs/>
                              </w:rPr>
                            </w:pPr>
                            <w:r>
                              <w:rPr>
                                <w:b/>
                                <w:bCs/>
                                <w:sz w:val="20"/>
                                <w:szCs w:val="20"/>
                                <w:lang w:val="lt-LT"/>
                              </w:rPr>
                              <w:t>Įsigyjantysis vienetas C</w:t>
                            </w:r>
                          </w:p>
                        </w:txbxContent>
                      </wps:txbx>
                      <wps:bodyPr rot="0" vert="horz" wrap="square" lIns="91440" tIns="45720" rIns="91440" bIns="45720" anchor="t" anchorCtr="0" upright="1">
                        <a:noAutofit/>
                      </wps:bodyPr>
                    </wps:wsp>
                  </a:graphicData>
                </a:graphic>
              </wp:anchor>
            </w:drawing>
          </mc:Choice>
          <mc:Fallback>
            <w:pict>
              <v:rect w14:anchorId="56DDB2C9" id="Rectangle 159" o:spid="_x0000_s1164" style="position:absolute;left:0;text-align:left;margin-left:362.25pt;margin-top:0;width:99.2pt;height:63.8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p9HgIAADwEAAAOAAAAZHJzL2Uyb0RvYy54bWysU9uO0zAQfUfiHyy/01xo2DZqulp1VYS0&#10;wIqFD3AcJ7FwbDN2myxfz9jtdrPAE8IPlsczPj5zZmZzPQ2KHAU4aXRFs0VKidDcNFJ3Ff32df9m&#10;RYnzTDdMGS0q+igcvd6+frUZbSly0xvVCCAIol052or23tsySRzvxcDcwlih0dkaGJhHE7qkATYi&#10;+qCSPE3fJaOBxoLhwjm8vT056Tbit63g/nPbOuGJqihy83GHuNdhT7YbVnbAbC/5mQb7BxYDkxo/&#10;vUDdMs/IAeQfUIPkYJxp/YKbITFtK7mIOWA2WfpbNg89syLmguI4e5HJ/T9Y/ul4D0Q2Fc1XOSWa&#10;DVikLygb050SJCvWQaLRuhIjH+w9hCSdvTP8uyPa7HqMEzcAZuwFa5BYFuKTFw+C4fApqcePpkF8&#10;dvAmqjW1MARA1IFMsSiPl6KIyROOl1lerFdLrB1H3ypLV+sifsHKp9cWnH8vzEDCoaKA7CM6O945&#10;H9iw8ikksjdKNnupVDSgq3cKyJFhg+zjOqO7eZjSZAwSFVdFhH7hdHOMNK6/YQzSY6srOWAa8yCl&#10;z4IFjU5a+6meYlHWbwNSELA2zSNKCObUwjhyeOgN/KRkxPatqPtxYCAoUR80lmGdLYNmPhrL4ipH&#10;A+aeeu5hmiNURT0lp+POn2bkYEF2Pf6UxbS1ucHStTKq+szqzB9bNIp9HqcwA3M7Rj0P/fYXAAAA&#10;//8DAFBLAwQUAAYACAAAACEAmzzlTN4AAAAIAQAADwAAAGRycy9kb3ducmV2LnhtbEyPMU/DMBCF&#10;dyT+g3VILIg6WC0hIU6FIhjKVNIubG5skoj4HHJuG/49xwTj6X16971iPftBnNxEfUANd4sEhMMm&#10;2B5bDfvdy+0DCIoGrRkCOg3fjmBdXl4UJrfhjG/uVMdWcAlSbjR0MY65lNR0zhtahNEhZx9h8iby&#10;ObXSTubM5X6QKknupTc98ofOjK7qXPNZH70G4zftcvOVvda0p+fV7qba0nul9fXV/PQIIro5/sHw&#10;q8/qULLTIRzRkhg0pGq5YlQDL+I4UyoDcWBOpSnIspD/B5Q/AAAA//8DAFBLAQItABQABgAIAAAA&#10;IQC2gziS/gAAAOEBAAATAAAAAAAAAAAAAAAAAAAAAABbQ29udGVudF9UeXBlc10ueG1sUEsBAi0A&#10;FAAGAAgAAAAhADj9If/WAAAAlAEAAAsAAAAAAAAAAAAAAAAALwEAAF9yZWxzLy5yZWxzUEsBAi0A&#10;FAAGAAgAAAAhABUkyn0eAgAAPAQAAA4AAAAAAAAAAAAAAAAALgIAAGRycy9lMm9Eb2MueG1sUEsB&#10;Ai0AFAAGAAgAAAAhAJs85UzeAAAACAEAAA8AAAAAAAAAAAAAAAAAeAQAAGRycy9kb3ducmV2Lnht&#10;bFBLBQYAAAAABAAEAPMAAACDBQAAAAA=&#10;" strokeweight="2.25pt">
                <v:textbox>
                  <w:txbxContent>
                    <w:p w14:paraId="68B9C6AD" w14:textId="77777777" w:rsidR="007B24A1" w:rsidRDefault="007B24A1">
                      <w:pPr>
                        <w:jc w:val="center"/>
                        <w:rPr>
                          <w:sz w:val="20"/>
                          <w:szCs w:val="20"/>
                          <w:lang w:val="lt-LT"/>
                        </w:rPr>
                      </w:pPr>
                    </w:p>
                    <w:p w14:paraId="3A07BDD4" w14:textId="77777777" w:rsidR="007B24A1" w:rsidRDefault="007B24A1">
                      <w:pPr>
                        <w:jc w:val="center"/>
                        <w:rPr>
                          <w:b/>
                          <w:bCs/>
                        </w:rPr>
                      </w:pPr>
                      <w:r>
                        <w:rPr>
                          <w:b/>
                          <w:bCs/>
                          <w:sz w:val="20"/>
                          <w:szCs w:val="20"/>
                          <w:lang w:val="lt-LT"/>
                        </w:rPr>
                        <w:t>Įsigyjantysis vienetas C</w:t>
                      </w:r>
                    </w:p>
                  </w:txbxContent>
                </v:textbox>
              </v:rect>
            </w:pict>
          </mc:Fallback>
        </mc:AlternateContent>
      </w:r>
      <w:r w:rsidR="000D779E">
        <w:rPr>
          <w:noProof/>
          <w:lang w:val="lt-LT" w:eastAsia="lt-LT"/>
        </w:rPr>
        <mc:AlternateContent>
          <mc:Choice Requires="wps">
            <w:drawing>
              <wp:anchor distT="0" distB="0" distL="114300" distR="114300" simplePos="0" relativeHeight="251649024" behindDoc="0" locked="0" layoutInCell="1" allowOverlap="1" wp14:anchorId="0D2AF486" wp14:editId="43F367CF">
                <wp:simplePos x="0" y="0"/>
                <wp:positionH relativeFrom="column">
                  <wp:posOffset>2929255</wp:posOffset>
                </wp:positionH>
                <wp:positionV relativeFrom="paragraph">
                  <wp:posOffset>824865</wp:posOffset>
                </wp:positionV>
                <wp:extent cx="635" cy="287655"/>
                <wp:effectExtent l="10160" t="10795" r="17780" b="15875"/>
                <wp:wrapNone/>
                <wp:docPr id="279"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
                        </a:xfrm>
                        <a:prstGeom prst="straightConnector1">
                          <a:avLst/>
                        </a:prstGeom>
                        <a:noFill/>
                        <a:ln w="19050">
                          <a:solidFill>
                            <a:srgbClr val="000000"/>
                          </a:solidFill>
                          <a:prstDash val="sysDot"/>
                          <a:round/>
                        </a:ln>
                      </wps:spPr>
                      <wps:bodyPr/>
                    </wps:wsp>
                  </a:graphicData>
                </a:graphic>
              </wp:anchor>
            </w:drawing>
          </mc:Choice>
          <mc:Fallback>
            <w:pict>
              <v:shape w14:anchorId="510AD5E0" id="AutoShape 162" o:spid="_x0000_s1026" type="#_x0000_t32" style="position:absolute;margin-left:230.65pt;margin-top:64.95pt;width:.05pt;height:22.65pt;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S1AEAAIQDAAAOAAAAZHJzL2Uyb0RvYy54bWysU8Fu2zAMvQ/YPwi6L3YyJG2NOMWQoLt0&#10;W4B2H8DIsi1MFgVRiZO/H6Wk2brdiuYgROLj4+Mjvbw/DlYcdCCDrpbTSSmFdgob47pa/nx++HQr&#10;BUVwDVh0upYnTfJ+9fHDcvSVnmGPttFBMImjavS17GP0VVGQ6vUANEGvHQdbDANEvoauaAKMzD7Y&#10;YlaWi2LE0PiAShPx6+YclKvM37ZaxR9tSzoKW0vWFvMZ8rlLZ7FaQtUF8L1RFxnwBhUDGMdFr1Qb&#10;iCD2wfxHNRgVkLCNE4VDgW1rlM49cDfT8p9unnrwOvfC5pC/2kTvR6u+H7ZBmKaWs5s7KRwMPKQv&#10;+4i5tpguZsmi0VPFyLXbhtSkOron/4jqFwmH6x5cpzP8+eQ5e5oyilcp6UKeC+3Gb9gwBrhC9uvY&#10;hiFRshPimMdyuo5FH6NQ/Lj4PJdC8fvs9mYxn2d6qF4yfaD4VeMg0p9aUgxguj6u0TmePoZprgOH&#10;R4pJF1QvCamswwdjbV4C68TI4u/KeZkzCK1pUjThKHS7tQ3iAGmP8u8i4xUsUW+A+jOOTrTBmHBQ&#10;Bdy75lzfuos9yZGztztsTtuQwskpHnUWelnLtEt/3zPqz8ez+g0AAP//AwBQSwMEFAAGAAgAAAAh&#10;ALbh9hDhAAAACwEAAA8AAABkcnMvZG93bnJldi54bWxMj0tPwzAQhO9I/AdrkbhRpyG0NMSpKAiJ&#10;G0ofEkc33jwgXofYbUN/PcsJjjvzaXYmW462E0ccfOtIwXQSgUAqnWmpVrDdvNzcg/BBk9GdI1Tw&#10;jR6W+eVFplPjTlTgcR1qwSHkU62gCaFPpfRlg1b7ieuR2KvcYHXgc6ilGfSJw20n4yiaSatb4g+N&#10;7vGpwfJzfbAKvnYmqTZj9d6d6+3q/PFavD0XK6Wur8bHBxABx/AHw299rg45d9q7AxkvOgXJbHrL&#10;KBvxYgGCCVYSEHtW5ncxyDyT/zfkPwAAAP//AwBQSwECLQAUAAYACAAAACEAtoM4kv4AAADhAQAA&#10;EwAAAAAAAAAAAAAAAAAAAAAAW0NvbnRlbnRfVHlwZXNdLnhtbFBLAQItABQABgAIAAAAIQA4/SH/&#10;1gAAAJQBAAALAAAAAAAAAAAAAAAAAC8BAABfcmVscy8ucmVsc1BLAQItABQABgAIAAAAIQBS+FnS&#10;1AEAAIQDAAAOAAAAAAAAAAAAAAAAAC4CAABkcnMvZTJvRG9jLnhtbFBLAQItABQABgAIAAAAIQC2&#10;4fYQ4QAAAAsBAAAPAAAAAAAAAAAAAAAAAC4EAABkcnMvZG93bnJldi54bWxQSwUGAAAAAAQABADz&#10;AAAAPAU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50048" behindDoc="0" locked="0" layoutInCell="1" allowOverlap="1" wp14:anchorId="6BE253B4" wp14:editId="64B2029F">
                <wp:simplePos x="0" y="0"/>
                <wp:positionH relativeFrom="column">
                  <wp:posOffset>2929890</wp:posOffset>
                </wp:positionH>
                <wp:positionV relativeFrom="paragraph">
                  <wp:posOffset>1756410</wp:posOffset>
                </wp:positionV>
                <wp:extent cx="7620" cy="300990"/>
                <wp:effectExtent l="10795" t="18415" r="10160" b="13970"/>
                <wp:wrapNone/>
                <wp:docPr id="27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0990"/>
                        </a:xfrm>
                        <a:prstGeom prst="straightConnector1">
                          <a:avLst/>
                        </a:prstGeom>
                        <a:noFill/>
                        <a:ln w="19050">
                          <a:solidFill>
                            <a:srgbClr val="000000"/>
                          </a:solidFill>
                          <a:prstDash val="sysDot"/>
                          <a:round/>
                        </a:ln>
                      </wps:spPr>
                      <wps:bodyPr/>
                    </wps:wsp>
                  </a:graphicData>
                </a:graphic>
              </wp:anchor>
            </w:drawing>
          </mc:Choice>
          <mc:Fallback>
            <w:pict>
              <v:shape w14:anchorId="5D06024B" id="AutoShape 163" o:spid="_x0000_s1026" type="#_x0000_t32" style="position:absolute;margin-left:230.7pt;margin-top:138.3pt;width:.6pt;height:23.7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MDK1AEAAIUDAAAOAAAAZHJzL2Uyb0RvYy54bWysU01v2zAMvQ/YfxB0X+ykWLoYcYohQXfp&#10;tgDtfgAjy7YwWRREJU7+/Sjlo912G+aDYJl8j+R79PLhOFhx0IEMulpOJ6UU2ilsjOtq+ePl8cMn&#10;KSiCa8Ci07U8aZIPq/fvlqOv9Ax7tI0OgkkcVaOvZR+jr4qCVK8HoAl67TjYYhgg8jV0RRNgZPbB&#10;FrOynBcjhsYHVJqIv27OQbnK/G2rVfzetqSjsLXk3mI+Qz536SxWS6i6AL436tIG/EMXAxjHRW9U&#10;G4gg9sH8RTUYFZCwjROFQ4Fta5TOM/A00/KPaZ578DrPwuKQv8lE/49WfTtsgzBNLWf3bJWDgU36&#10;vI+Ya4vp/C5JNHqqOHPttiENqY7u2T+h+knC4boH1+mc/nLyjJ4mRPEbJF3Ic6Hd+BUbzgGukPU6&#10;tmFIlKyEOGZbTjdb9DEKxR/v5zO2TnHgriwXi2xaAdUV6gPFLxoHkV5qSTGA6fq4RufYfgzTXAgO&#10;TxRTY1BdAamuw0djbd4C68TI3S/Kj2VGEFrTpGjKo9Dt1jaIA6RFyk8ekyNv0xL1Bqg/59GJNhjP&#10;OxZw75pzfesu+iRJzuLusDltw1U39jo3etnLtExv7xn9+vesfgEAAP//AwBQSwMEFAAGAAgAAAAh&#10;AJWX9WziAAAACwEAAA8AAABkcnMvZG93bnJldi54bWxMj8tOwzAQRfdI/IM1SOyo02AFlGZSURAS&#10;O5S2SF26sfMAexxitw39etwV7GY0R3fOLZaTNeyoR987QpjPEmCaaqd6ahG2m9e7R2A+SFLSONII&#10;P9rDsry+KmSu3IkqfVyHlsUQ8rlE6EIYcs593Wkr/cwNmuKtcaOVIa5jy9UoTzHcGp4mScat7Cl+&#10;6OSgnztdf60PFuH7Q4lmMzU7c263q/PnW/X+Uq0Qb2+mpwWwoKfwB8NFP6pDGZ327kDKM4MgsrmI&#10;KEL6kGXAIiGyNA57hPtUJMDLgv/vUP4CAAD//wMAUEsBAi0AFAAGAAgAAAAhALaDOJL+AAAA4QEA&#10;ABMAAAAAAAAAAAAAAAAAAAAAAFtDb250ZW50X1R5cGVzXS54bWxQSwECLQAUAAYACAAAACEAOP0h&#10;/9YAAACUAQAACwAAAAAAAAAAAAAAAAAvAQAAX3JlbHMvLnJlbHNQSwECLQAUAAYACAAAACEA/JjA&#10;ytQBAACFAwAADgAAAAAAAAAAAAAAAAAuAgAAZHJzL2Uyb0RvYy54bWxQSwECLQAUAAYACAAAACEA&#10;lZf1bOIAAAALAQAADwAAAAAAAAAAAAAAAAAuBAAAZHJzL2Rvd25yZXYueG1sUEsFBgAAAAAEAAQA&#10;8wAAAD0FAAAAAA==&#10;" strokeweight="1.5pt">
                <v:stroke dashstyle="1 1"/>
              </v:shape>
            </w:pict>
          </mc:Fallback>
        </mc:AlternateContent>
      </w:r>
      <w:r w:rsidR="000D779E">
        <w:rPr>
          <w:noProof/>
          <w:lang w:val="lt-LT" w:eastAsia="lt-LT"/>
        </w:rPr>
        <mc:AlternateContent>
          <mc:Choice Requires="wps">
            <w:drawing>
              <wp:anchor distT="0" distB="0" distL="114300" distR="114300" simplePos="0" relativeHeight="251653120" behindDoc="0" locked="0" layoutInCell="1" allowOverlap="1" wp14:anchorId="1C1B6CB3" wp14:editId="6325C7D2">
                <wp:simplePos x="0" y="0"/>
                <wp:positionH relativeFrom="column">
                  <wp:posOffset>3657600</wp:posOffset>
                </wp:positionH>
                <wp:positionV relativeFrom="paragraph">
                  <wp:posOffset>824865</wp:posOffset>
                </wp:positionV>
                <wp:extent cx="1572895" cy="1556385"/>
                <wp:effectExtent l="52705" t="10795" r="12700" b="52070"/>
                <wp:wrapNone/>
                <wp:docPr id="277"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2895" cy="1556385"/>
                        </a:xfrm>
                        <a:prstGeom prst="straightConnector1">
                          <a:avLst/>
                        </a:prstGeom>
                        <a:noFill/>
                        <a:ln w="19050">
                          <a:solidFill>
                            <a:srgbClr val="000000"/>
                          </a:solidFill>
                          <a:round/>
                          <a:tailEnd type="triangle" w="med" len="med"/>
                        </a:ln>
                      </wps:spPr>
                      <wps:bodyPr/>
                    </wps:wsp>
                  </a:graphicData>
                </a:graphic>
              </wp:anchor>
            </w:drawing>
          </mc:Choice>
          <mc:Fallback>
            <w:pict>
              <v:shape w14:anchorId="127BC738" id="AutoShape 164" o:spid="_x0000_s1026" type="#_x0000_t32" style="position:absolute;margin-left:4in;margin-top:64.95pt;width:123.85pt;height:122.55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226wEAAKcDAAAOAAAAZHJzL2Uyb0RvYy54bWysU8GO0zAQvSPxD5bvNEkh3W7UdIW6LBwW&#10;qLTLB7i2k1g4HmvsNu3fM3arLgs3RA5W7Jl5783zeHV3HC07aAwGXMurWcmZdhKUcX3Lfzw/vFty&#10;FqJwSlhwuuUnHfjd+u2b1eQbPYcBrNLICMSFZvItH2L0TVEEOehRhBl47SjYAY4i0hb7QqGYCH20&#10;xbwsF8UEqDyC1CHQ6f05yNcZv+u0jN+7LujIbMtJW8wr5nWX1mK9Ek2Pwg9GXmSIf1AxCuOI9Ap1&#10;L6JgezR/QY1GIgTo4kzCWEDXGalzD9RNVf7RzdMgvM69kDnBX20K/w9WfjtskRnV8vnNDWdOjHRJ&#10;H/cRMjerFh+SRZMPDWVu3BZTk/LonvwjyJ+BOdgMwvU6pz+fPFVXqaJ4VZI2wRPRbvoKinIEMWS/&#10;jh2OrLPGf0mFCZw8Ycd8QafrBeljZJIOq/pmvrytOZMUq+p68X5ZZzbRJKBU7jHEzxpGln5aHiIK&#10;0w9xA87RMACeScThMcQk86UgFTt4MNbmmbCOTcRxW9ZllhXAGpWiKS9gv9tYZAeRxip/Fxmv0hD2&#10;TmW0KIz95BSL2aGIhjyzmieKUSvOrKbXk/7Omqy7OJhMO9u/A3XaYgonM2kasvjL5KZx+32fs17e&#10;1/oXAAAA//8DAFBLAwQUAAYACAAAACEAT3ASb98AAAALAQAADwAAAGRycy9kb3ducmV2LnhtbEyP&#10;zU7DMBCE70i8g7VI3KhNoiZtiFMVBCcEEoEHcOPND8TryHaa8PaYExxHM5r5pjysZmRndH6wJOF2&#10;I4AhNVYP1En4eH+62QHzQZFWoyWU8I0eDtXlRakKbRd6w3MdOhZLyBdKQh/CVHDumx6N8hs7IUWv&#10;tc6oEKXruHZqieVm5IkQGTdqoLjQqwkfemy+6tlImOtnzN1L1op0eWzv3evAj5+1lNdX6/EOWMA1&#10;/IXhFz+iQxWZTnYm7dkoYZtn8UuIRrLfA4uJXZLmwE4S0nwrgFcl//+h+gEAAP//AwBQSwECLQAU&#10;AAYACAAAACEAtoM4kv4AAADhAQAAEwAAAAAAAAAAAAAAAAAAAAAAW0NvbnRlbnRfVHlwZXNdLnht&#10;bFBLAQItABQABgAIAAAAIQA4/SH/1gAAAJQBAAALAAAAAAAAAAAAAAAAAC8BAABfcmVscy8ucmVs&#10;c1BLAQItABQABgAIAAAAIQCxrw226wEAAKcDAAAOAAAAAAAAAAAAAAAAAC4CAABkcnMvZTJvRG9j&#10;LnhtbFBLAQItABQABgAIAAAAIQBPcBJv3wAAAAsBAAAPAAAAAAAAAAAAAAAAAEUEAABkcnMvZG93&#10;bnJldi54bWxQSwUGAAAAAAQABADzAAAAUQUAAAAA&#10;" strokeweight="1.5pt">
                <v:stroke endarrow="block"/>
              </v:shape>
            </w:pict>
          </mc:Fallback>
        </mc:AlternateContent>
      </w:r>
      <w:r w:rsidR="000D779E">
        <w:rPr>
          <w:rFonts w:ascii="Times New Roman" w:hAnsi="Times New Roman"/>
          <w:noProof/>
          <w:sz w:val="24"/>
          <w:lang w:val="lt-LT" w:eastAsia="lt-LT"/>
        </w:rPr>
        <w:drawing>
          <wp:inline distT="0" distB="0" distL="0" distR="0" wp14:anchorId="3B6FB75B" wp14:editId="47D9DF65">
            <wp:extent cx="111125" cy="271907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a:picLocks noChangeAspect="1" noChangeArrowheads="1"/>
                    </pic:cNvPicPr>
                  </pic:nvPicPr>
                  <pic:blipFill>
                    <a:blip r:embed="rId115">
                      <a:extLst>
                        <a:ext uri="{28A0092B-C50C-407E-A947-70E740481C1C}">
                          <a14:useLocalDpi xmlns:a14="http://schemas.microsoft.com/office/drawing/2010/main" val="0"/>
                        </a:ext>
                      </a:extLst>
                    </a:blip>
                    <a:srcRect t="-99977" b="99977"/>
                    <a:stretch>
                      <a:fillRect/>
                    </a:stretch>
                  </pic:blipFill>
                  <pic:spPr>
                    <a:xfrm flipH="1">
                      <a:off x="0" y="0"/>
                      <a:ext cx="111125" cy="2719070"/>
                    </a:xfrm>
                    <a:prstGeom prst="rect">
                      <a:avLst/>
                    </a:prstGeom>
                    <a:noFill/>
                    <a:ln>
                      <a:noFill/>
                    </a:ln>
                  </pic:spPr>
                </pic:pic>
              </a:graphicData>
            </a:graphic>
          </wp:inline>
        </w:drawing>
      </w:r>
    </w:p>
    <w:p w14:paraId="2C0FD676" w14:textId="77777777" w:rsidR="00093845" w:rsidRDefault="000D779E" w:rsidP="00B52970">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60"/>
        </w:tabs>
        <w:spacing w:after="0"/>
        <w:ind w:firstLine="709"/>
        <w:jc w:val="both"/>
        <w:rPr>
          <w:rFonts w:ascii="Times New Roman" w:hAnsi="Times New Roman"/>
          <w:sz w:val="24"/>
          <w:lang w:val="lt-LT"/>
        </w:rPr>
      </w:pPr>
      <w:r>
        <w:rPr>
          <w:rFonts w:ascii="Times New Roman" w:hAnsi="Times New Roman"/>
          <w:iCs/>
          <w:sz w:val="24"/>
          <w:szCs w:val="24"/>
          <w:lang w:val="lt-LT"/>
        </w:rPr>
        <w:t>2 Šis punktas taikomas ir tuo atveju, kai įsigyjantysis vienetas iki įsigyjamojo vieneto išdalijimo jau turėjo įsigyjamojo vieneto akcijų arba įsigyjamasis vienetas turėjo supirkęs savo akcijų. Tačiau tokios įsigyjančiojo vieneto turimos įsigyjamojo vieneto akcijos ir įsigyjamojo vieneto supirktos savo akcijos (įskaitant akcijas įgytas asmens, veikiančio savo vardu, bet dėl įsigyjančiojo vieneto interesų ir jo lėšomis), atsižvelgiant į Lietuvos Respublikos akcinių bendrovių įstatymo 67 str. 4 dalį į įsigyjančiojo vieneto akcijas nekeičiamos.</w:t>
      </w:r>
    </w:p>
    <w:p w14:paraId="76A340C9" w14:textId="77777777" w:rsidR="00093845" w:rsidRDefault="000D779E" w:rsidP="00B52970">
      <w:pPr>
        <w:pStyle w:val="Pagrindiniotekstotrauka2"/>
        <w:tabs>
          <w:tab w:val="left" w:pos="720"/>
        </w:tabs>
        <w:spacing w:after="0" w:line="240" w:lineRule="auto"/>
        <w:ind w:right="-20" w:firstLine="0"/>
        <w:rPr>
          <w:b w:val="0"/>
          <w:bCs w:val="0"/>
        </w:rPr>
      </w:pPr>
      <w:r>
        <w:tab/>
      </w:r>
      <w:r>
        <w:rPr>
          <w:b w:val="0"/>
          <w:bCs w:val="0"/>
        </w:rPr>
        <w:t xml:space="preserve">3. Padalijimo atveju šiame punkte vartojama sąvoka ,,įsigyjamasis vienetas“ – tai vienetas, kuris išskaido savo turtą, teises ir pareigas į dvi ar daugiau dalių ir perduoda jas dviem ar daugiau naujai kuriamų vienetų, o sąvoka ,,įsigyjantieji vienetai“ – tai du ar daugiau naujai įsteigti vienetai, kuriems perduodamas </w:t>
      </w:r>
      <w:r>
        <w:rPr>
          <w:b w:val="0"/>
          <w:bCs w:val="0"/>
          <w:iCs/>
        </w:rPr>
        <w:t xml:space="preserve">įsigyjamojo </w:t>
      </w:r>
      <w:r>
        <w:rPr>
          <w:b w:val="0"/>
          <w:bCs w:val="0"/>
        </w:rPr>
        <w:t>vieneto išskaidytas turtas, teisės ir pareigos.</w:t>
      </w:r>
    </w:p>
    <w:p w14:paraId="6FF949A4" w14:textId="77777777" w:rsidR="00093845" w:rsidRDefault="000D779E" w:rsidP="00B52970">
      <w:pPr>
        <w:spacing w:after="0"/>
        <w:ind w:firstLine="720"/>
        <w:jc w:val="both"/>
        <w:rPr>
          <w:lang w:val="lt-LT"/>
        </w:rPr>
      </w:pPr>
      <w:r>
        <w:rPr>
          <w:lang w:val="lt-LT"/>
        </w:rPr>
        <w:lastRenderedPageBreak/>
        <w:t>Pagal šį punktą vienetai reorganizuojami padalijant, kai vienetas (t.y. įsigyjamasis vienetas), kuris baigia savo veiklą, be likvidavimo procedūros išskaido savo turtą, teises ir pareigas į dvi ar daugiau dalių ir tuo pačiu momentu perduoda jas dviems ar daugiau naujai kuriamų vienetų (t.y. įsigyjantiesiems vienetams) ir kai tokio padalijimo momentu išpildomos šios dvi sąlygos:</w:t>
      </w:r>
    </w:p>
    <w:p w14:paraId="498B04B3" w14:textId="77777777" w:rsidR="00093845"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ind w:left="0" w:firstLine="720"/>
        <w:jc w:val="both"/>
        <w:rPr>
          <w:rFonts w:ascii="Times New Roman" w:hAnsi="Times New Roman" w:cs="Times New Roman"/>
          <w:sz w:val="24"/>
          <w:lang w:val="lt-LT"/>
        </w:rPr>
      </w:pPr>
      <w:r>
        <w:rPr>
          <w:rFonts w:ascii="Times New Roman" w:hAnsi="Times New Roman" w:cs="Times New Roman"/>
          <w:sz w:val="24"/>
          <w:lang w:val="lt-LT"/>
        </w:rPr>
        <w:t xml:space="preserve">įsigyjamojo vieneto visas turtas, teisės ir pareigos perduodamos įsigyjantiesiems vienetams, </w:t>
      </w:r>
      <w:r>
        <w:rPr>
          <w:rFonts w:ascii="Times New Roman" w:hAnsi="Times New Roman" w:cs="Times New Roman"/>
          <w:b/>
          <w:bCs/>
          <w:sz w:val="24"/>
          <w:lang w:val="lt-LT"/>
        </w:rPr>
        <w:t>ir</w:t>
      </w:r>
    </w:p>
    <w:p w14:paraId="7540250F" w14:textId="77777777" w:rsidR="00093845" w:rsidRPr="004826FA" w:rsidRDefault="000D779E" w:rsidP="00EC4E29">
      <w:pPr>
        <w:pStyle w:val="HTMLiankstoformatuotas"/>
        <w:numPr>
          <w:ilvl w:val="0"/>
          <w:numId w:val="4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ind w:left="0" w:firstLine="720"/>
        <w:jc w:val="both"/>
        <w:rPr>
          <w:rFonts w:ascii="Times New Roman" w:hAnsi="Times New Roman"/>
          <w:sz w:val="24"/>
          <w:lang w:val="lt-LT"/>
        </w:rPr>
      </w:pPr>
      <w:r>
        <w:rPr>
          <w:rFonts w:ascii="Times New Roman" w:hAnsi="Times New Roman" w:cs="Times New Roman"/>
          <w:sz w:val="24"/>
          <w:szCs w:val="24"/>
          <w:lang w:val="lt-LT"/>
        </w:rPr>
        <w:t xml:space="preserve">įsigyjamojo vieneto dalyviai vietoj turėtų įsigyjamojo vieneto akcijų (dalių, pajų) </w:t>
      </w:r>
      <w:r>
        <w:rPr>
          <w:rFonts w:ascii="Times New Roman" w:hAnsi="Times New Roman" w:cs="Times New Roman"/>
          <w:b/>
          <w:bCs/>
          <w:sz w:val="24"/>
          <w:szCs w:val="24"/>
          <w:lang w:val="lt-LT"/>
        </w:rPr>
        <w:t>proporcingai</w:t>
      </w:r>
      <w:r>
        <w:rPr>
          <w:rFonts w:ascii="Times New Roman" w:hAnsi="Times New Roman" w:cs="Times New Roman"/>
          <w:sz w:val="24"/>
          <w:szCs w:val="24"/>
          <w:lang w:val="lt-LT"/>
        </w:rPr>
        <w:t xml:space="preserve"> mainais gauna įsigyjančiųjų vienetų steigimo metu išleistų akcijų (dalių, pajų).</w:t>
      </w:r>
    </w:p>
    <w:p w14:paraId="38DAAF14" w14:textId="77777777" w:rsidR="004826FA" w:rsidRDefault="004826FA" w:rsidP="004826F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spacing w:after="0"/>
        <w:jc w:val="both"/>
        <w:rPr>
          <w:rFonts w:ascii="Times New Roman" w:hAnsi="Times New Roman" w:cs="Times New Roman"/>
          <w:sz w:val="24"/>
          <w:szCs w:val="24"/>
          <w:lang w:val="lt-LT"/>
        </w:rPr>
      </w:pPr>
    </w:p>
    <w:p w14:paraId="387B6B35" w14:textId="77777777" w:rsidR="004826FA" w:rsidRDefault="004826FA" w:rsidP="004826FA">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spacing w:after="0"/>
        <w:jc w:val="both"/>
        <w:rPr>
          <w:rFonts w:ascii="Times New Roman" w:hAnsi="Times New Roman"/>
          <w:sz w:val="24"/>
          <w:lang w:val="lt-LT"/>
        </w:rPr>
      </w:pPr>
    </w:p>
    <w:p w14:paraId="71CC9B08"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r>
        <w:rPr>
          <w:noProof/>
          <w:lang w:val="lt-LT" w:eastAsia="lt-LT"/>
        </w:rPr>
        <mc:AlternateContent>
          <mc:Choice Requires="wpg">
            <w:drawing>
              <wp:anchor distT="0" distB="0" distL="114300" distR="114300" simplePos="0" relativeHeight="251655168" behindDoc="0" locked="0" layoutInCell="1" allowOverlap="1" wp14:anchorId="0C5C0E85" wp14:editId="42A5BC37">
                <wp:simplePos x="0" y="0"/>
                <wp:positionH relativeFrom="column">
                  <wp:posOffset>271145</wp:posOffset>
                </wp:positionH>
                <wp:positionV relativeFrom="paragraph">
                  <wp:posOffset>57150</wp:posOffset>
                </wp:positionV>
                <wp:extent cx="5875020" cy="2971800"/>
                <wp:effectExtent l="19050" t="19050" r="11430" b="0"/>
                <wp:wrapNone/>
                <wp:docPr id="257" name="Group 165"/>
                <wp:cNvGraphicFramePr/>
                <a:graphic xmlns:a="http://schemas.openxmlformats.org/drawingml/2006/main">
                  <a:graphicData uri="http://schemas.microsoft.com/office/word/2010/wordprocessingGroup">
                    <wpg:wgp>
                      <wpg:cNvGrpSpPr/>
                      <wpg:grpSpPr>
                        <a:xfrm>
                          <a:off x="0" y="0"/>
                          <a:ext cx="5875020" cy="2971800"/>
                          <a:chOff x="1701" y="1686"/>
                          <a:chExt cx="9252" cy="4291"/>
                        </a:xfrm>
                      </wpg:grpSpPr>
                      <wps:wsp>
                        <wps:cNvPr id="258" name="AutoShape 166"/>
                        <wps:cNvSpPr>
                          <a:spLocks noChangeAspect="1" noChangeArrowheads="1" noTextEdit="1"/>
                        </wps:cNvSpPr>
                        <wps:spPr bwMode="auto">
                          <a:xfrm>
                            <a:off x="1701" y="1686"/>
                            <a:ext cx="9252" cy="4291"/>
                          </a:xfrm>
                          <a:prstGeom prst="rect">
                            <a:avLst/>
                          </a:prstGeom>
                          <a:noFill/>
                        </wps:spPr>
                        <wps:bodyPr rot="0" vert="horz" wrap="square" lIns="91440" tIns="45720" rIns="91440" bIns="45720" anchor="t" anchorCtr="0" upright="1">
                          <a:noAutofit/>
                        </wps:bodyPr>
                      </wps:wsp>
                      <wps:wsp>
                        <wps:cNvPr id="259" name="Rectangle 167"/>
                        <wps:cNvSpPr>
                          <a:spLocks noChangeArrowheads="1"/>
                        </wps:cNvSpPr>
                        <wps:spPr bwMode="auto">
                          <a:xfrm>
                            <a:off x="1701" y="1686"/>
                            <a:ext cx="1984" cy="1277"/>
                          </a:xfrm>
                          <a:prstGeom prst="rect">
                            <a:avLst/>
                          </a:prstGeom>
                          <a:solidFill>
                            <a:srgbClr val="FFFFFF"/>
                          </a:solidFill>
                          <a:ln w="28575">
                            <a:solidFill>
                              <a:srgbClr val="000000"/>
                            </a:solidFill>
                            <a:miter lim="800000"/>
                          </a:ln>
                        </wps:spPr>
                        <wps:txbx>
                          <w:txbxContent>
                            <w:p w14:paraId="6325D1B8" w14:textId="77777777" w:rsidR="007B24A1" w:rsidRDefault="007B24A1">
                              <w:pPr>
                                <w:pStyle w:val="Pagrindinistekstas2"/>
                                <w:rPr>
                                  <w:b w:val="0"/>
                                  <w:bCs w:val="0"/>
                                  <w:sz w:val="20"/>
                                </w:rPr>
                              </w:pPr>
                              <w:r>
                                <w:rPr>
                                  <w:b w:val="0"/>
                                  <w:bCs w:val="0"/>
                                  <w:sz w:val="20"/>
                                </w:rPr>
                                <w:t xml:space="preserve">Naujai sukurtas įsigyjantysis vienetas </w:t>
                              </w:r>
                              <w:r>
                                <w:rPr>
                                  <w:sz w:val="20"/>
                                </w:rPr>
                                <w:t>A</w:t>
                              </w:r>
                            </w:p>
                          </w:txbxContent>
                        </wps:txbx>
                        <wps:bodyPr rot="0" vert="horz" wrap="square" lIns="91440" tIns="45720" rIns="91440" bIns="45720" anchor="t" anchorCtr="0" upright="1">
                          <a:noAutofit/>
                        </wps:bodyPr>
                      </wps:wsp>
                      <wps:wsp>
                        <wps:cNvPr id="260" name="Rectangle 168"/>
                        <wps:cNvSpPr>
                          <a:spLocks noChangeArrowheads="1"/>
                        </wps:cNvSpPr>
                        <wps:spPr bwMode="auto">
                          <a:xfrm>
                            <a:off x="5605" y="1686"/>
                            <a:ext cx="1417" cy="1277"/>
                          </a:xfrm>
                          <a:prstGeom prst="rect">
                            <a:avLst/>
                          </a:prstGeom>
                          <a:solidFill>
                            <a:srgbClr val="FFFFFF"/>
                          </a:solidFill>
                          <a:ln w="28575">
                            <a:solidFill>
                              <a:srgbClr val="000000"/>
                            </a:solidFill>
                            <a:miter lim="800000"/>
                          </a:ln>
                        </wps:spPr>
                        <wps:txbx>
                          <w:txbxContent>
                            <w:p w14:paraId="30F84567" w14:textId="77777777" w:rsidR="007B24A1" w:rsidRDefault="007B24A1">
                              <w:pPr>
                                <w:jc w:val="center"/>
                                <w:rPr>
                                  <w:sz w:val="20"/>
                                  <w:szCs w:val="20"/>
                                  <w:lang w:val="lt-LT"/>
                                </w:rPr>
                              </w:pPr>
                              <w:r>
                                <w:rPr>
                                  <w:lang w:val="lt-LT"/>
                                </w:rPr>
                                <w:t xml:space="preserve">Įsigyjamasis vienetas </w:t>
                              </w:r>
                              <w:r>
                                <w:rPr>
                                  <w:b/>
                                  <w:bCs/>
                                  <w:sz w:val="20"/>
                                  <w:szCs w:val="20"/>
                                  <w:lang w:val="lt-LT"/>
                                </w:rPr>
                                <w:t>C,</w:t>
                              </w:r>
                              <w:r>
                                <w:rPr>
                                  <w:sz w:val="20"/>
                                  <w:szCs w:val="20"/>
                                  <w:lang w:val="lt-LT"/>
                                </w:rPr>
                                <w:t xml:space="preserve"> kurio veikla nutraukiama</w:t>
                              </w:r>
                            </w:p>
                          </w:txbxContent>
                        </wps:txbx>
                        <wps:bodyPr rot="0" vert="horz" wrap="square" lIns="91440" tIns="45720" rIns="91440" bIns="45720" anchor="t" anchorCtr="0" upright="1">
                          <a:noAutofit/>
                        </wps:bodyPr>
                      </wps:wsp>
                      <wps:wsp>
                        <wps:cNvPr id="261" name="Rectangle 169"/>
                        <wps:cNvSpPr>
                          <a:spLocks noChangeArrowheads="1"/>
                        </wps:cNvSpPr>
                        <wps:spPr bwMode="auto">
                          <a:xfrm>
                            <a:off x="3937" y="1686"/>
                            <a:ext cx="1416" cy="1277"/>
                          </a:xfrm>
                          <a:prstGeom prst="rect">
                            <a:avLst/>
                          </a:prstGeom>
                          <a:solidFill>
                            <a:srgbClr val="FFFFFF"/>
                          </a:solidFill>
                          <a:ln w="9525">
                            <a:solidFill>
                              <a:srgbClr val="000000"/>
                            </a:solidFill>
                            <a:miter lim="800000"/>
                          </a:ln>
                        </wps:spPr>
                        <wps:txbx>
                          <w:txbxContent>
                            <w:p w14:paraId="60B64046" w14:textId="77777777" w:rsidR="007B24A1" w:rsidRDefault="007B24A1">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wps:txbx>
                        <wps:bodyPr rot="0" vert="horz" wrap="square" lIns="91440" tIns="45720" rIns="91440" bIns="45720" anchor="t" anchorCtr="0" upright="1">
                          <a:noAutofit/>
                        </wps:bodyPr>
                      </wps:wsp>
                      <wps:wsp>
                        <wps:cNvPr id="262" name="Rectangle 170"/>
                        <wps:cNvSpPr>
                          <a:spLocks noChangeArrowheads="1"/>
                        </wps:cNvSpPr>
                        <wps:spPr bwMode="auto">
                          <a:xfrm>
                            <a:off x="7274" y="1686"/>
                            <a:ext cx="1420" cy="1277"/>
                          </a:xfrm>
                          <a:prstGeom prst="rect">
                            <a:avLst/>
                          </a:prstGeom>
                          <a:solidFill>
                            <a:srgbClr val="FFFFFF"/>
                          </a:solidFill>
                          <a:ln w="9525">
                            <a:solidFill>
                              <a:srgbClr val="000000"/>
                            </a:solidFill>
                            <a:miter lim="800000"/>
                          </a:ln>
                        </wps:spPr>
                        <wps:txbx>
                          <w:txbxContent>
                            <w:p w14:paraId="2ACD6A73" w14:textId="77777777" w:rsidR="007B24A1" w:rsidRDefault="007B24A1">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wps:txbx>
                        <wps:bodyPr rot="0" vert="horz" wrap="square" lIns="91440" tIns="45720" rIns="91440" bIns="45720" anchor="t" anchorCtr="0" upright="1">
                          <a:noAutofit/>
                        </wps:bodyPr>
                      </wps:wsp>
                      <wps:wsp>
                        <wps:cNvPr id="263" name="Rectangle 171"/>
                        <wps:cNvSpPr>
                          <a:spLocks noChangeArrowheads="1"/>
                        </wps:cNvSpPr>
                        <wps:spPr bwMode="auto">
                          <a:xfrm>
                            <a:off x="8946" y="1686"/>
                            <a:ext cx="1984" cy="1277"/>
                          </a:xfrm>
                          <a:prstGeom prst="rect">
                            <a:avLst/>
                          </a:prstGeom>
                          <a:solidFill>
                            <a:srgbClr val="FFFFFF"/>
                          </a:solidFill>
                          <a:ln w="28575">
                            <a:solidFill>
                              <a:srgbClr val="000000"/>
                            </a:solidFill>
                            <a:miter lim="800000"/>
                          </a:ln>
                        </wps:spPr>
                        <wps:txbx>
                          <w:txbxContent>
                            <w:p w14:paraId="4147E1C6" w14:textId="77777777" w:rsidR="007B24A1" w:rsidRDefault="007B24A1">
                              <w:pPr>
                                <w:jc w:val="center"/>
                                <w:rPr>
                                  <w:b/>
                                  <w:bCs/>
                                </w:rPr>
                              </w:pPr>
                              <w:r>
                                <w:rPr>
                                  <w:lang w:val="lt-LT"/>
                                </w:rPr>
                                <w:t xml:space="preserve">Naujai sukurtas įsigyjantysis vienetas </w:t>
                              </w:r>
                              <w:r>
                                <w:rPr>
                                  <w:b/>
                                  <w:bCs/>
                                  <w:sz w:val="20"/>
                                  <w:szCs w:val="20"/>
                                  <w:lang w:val="lt-LT"/>
                                </w:rPr>
                                <w:t>B</w:t>
                              </w:r>
                            </w:p>
                          </w:txbxContent>
                        </wps:txbx>
                        <wps:bodyPr rot="0" vert="horz" wrap="square" lIns="91440" tIns="45720" rIns="91440" bIns="45720" anchor="t" anchorCtr="0" upright="1">
                          <a:noAutofit/>
                        </wps:bodyPr>
                      </wps:wsp>
                      <wps:wsp>
                        <wps:cNvPr id="264" name="AutoShape 172"/>
                        <wps:cNvCnPr/>
                        <wps:spPr bwMode="auto">
                          <a:xfrm>
                            <a:off x="3707" y="2325"/>
                            <a:ext cx="230" cy="2"/>
                          </a:xfrm>
                          <a:prstGeom prst="straightConnector1">
                            <a:avLst/>
                          </a:prstGeom>
                          <a:noFill/>
                          <a:ln w="19050">
                            <a:solidFill>
                              <a:srgbClr val="000000"/>
                            </a:solidFill>
                            <a:prstDash val="sysDot"/>
                            <a:round/>
                          </a:ln>
                        </wps:spPr>
                        <wps:bodyPr/>
                      </wps:wsp>
                      <wps:wsp>
                        <wps:cNvPr id="265" name="AutoShape 173"/>
                        <wps:cNvCnPr/>
                        <wps:spPr bwMode="auto">
                          <a:xfrm flipH="1">
                            <a:off x="3707" y="2325"/>
                            <a:ext cx="230" cy="2"/>
                          </a:xfrm>
                          <a:prstGeom prst="straightConnector1">
                            <a:avLst/>
                          </a:prstGeom>
                          <a:noFill/>
                          <a:ln w="9525">
                            <a:solidFill>
                              <a:srgbClr val="000000"/>
                            </a:solidFill>
                            <a:prstDash val="sysDot"/>
                            <a:round/>
                            <a:tailEnd type="triangle" w="med" len="med"/>
                          </a:ln>
                        </wps:spPr>
                        <wps:bodyPr/>
                      </wps:wsp>
                      <wps:wsp>
                        <wps:cNvPr id="266" name="AutoShape 174"/>
                        <wps:cNvCnPr/>
                        <wps:spPr bwMode="auto">
                          <a:xfrm>
                            <a:off x="8694" y="2325"/>
                            <a:ext cx="230" cy="2"/>
                          </a:xfrm>
                          <a:prstGeom prst="straightConnector1">
                            <a:avLst/>
                          </a:prstGeom>
                          <a:noFill/>
                          <a:ln w="19050">
                            <a:solidFill>
                              <a:srgbClr val="000000"/>
                            </a:solidFill>
                            <a:prstDash val="sysDot"/>
                            <a:round/>
                            <a:tailEnd type="triangle" w="med" len="med"/>
                          </a:ln>
                        </wps:spPr>
                        <wps:bodyPr/>
                      </wps:wsp>
                      <wps:wsp>
                        <wps:cNvPr id="267" name="AutoShape 175"/>
                        <wps:cNvCnPr/>
                        <wps:spPr bwMode="auto">
                          <a:xfrm>
                            <a:off x="5353" y="2325"/>
                            <a:ext cx="231" cy="2"/>
                          </a:xfrm>
                          <a:prstGeom prst="straightConnector1">
                            <a:avLst/>
                          </a:prstGeom>
                          <a:noFill/>
                          <a:ln w="19050">
                            <a:solidFill>
                              <a:srgbClr val="000000"/>
                            </a:solidFill>
                            <a:prstDash val="sysDot"/>
                            <a:round/>
                          </a:ln>
                        </wps:spPr>
                        <wps:bodyPr/>
                      </wps:wsp>
                      <wps:wsp>
                        <wps:cNvPr id="268" name="AutoShape 176"/>
                        <wps:cNvCnPr/>
                        <wps:spPr bwMode="auto">
                          <a:xfrm>
                            <a:off x="7044" y="2325"/>
                            <a:ext cx="230" cy="2"/>
                          </a:xfrm>
                          <a:prstGeom prst="straightConnector1">
                            <a:avLst/>
                          </a:prstGeom>
                          <a:noFill/>
                          <a:ln w="19050">
                            <a:solidFill>
                              <a:srgbClr val="000000"/>
                            </a:solidFill>
                            <a:prstDash val="sysDot"/>
                            <a:round/>
                          </a:ln>
                        </wps:spPr>
                        <wps:bodyPr/>
                      </wps:wsp>
                      <wps:wsp>
                        <wps:cNvPr id="269" name="Rectangle 177"/>
                        <wps:cNvSpPr>
                          <a:spLocks noChangeArrowheads="1"/>
                        </wps:cNvSpPr>
                        <wps:spPr bwMode="auto">
                          <a:xfrm>
                            <a:off x="5181" y="3438"/>
                            <a:ext cx="2268" cy="1014"/>
                          </a:xfrm>
                          <a:prstGeom prst="rect">
                            <a:avLst/>
                          </a:prstGeom>
                          <a:solidFill>
                            <a:srgbClr val="FFFFFF"/>
                          </a:solidFill>
                          <a:ln w="9525">
                            <a:solidFill>
                              <a:srgbClr val="000000"/>
                            </a:solidFill>
                            <a:miter lim="800000"/>
                          </a:ln>
                        </wps:spPr>
                        <wps:txbx>
                          <w:txbxContent>
                            <w:p w14:paraId="7AB6736F" w14:textId="77777777" w:rsidR="007B24A1" w:rsidRDefault="007B24A1">
                              <w:pPr>
                                <w:jc w:val="center"/>
                                <w:rPr>
                                  <w:sz w:val="20"/>
                                  <w:szCs w:val="20"/>
                                  <w:lang w:val="lt-LT"/>
                                </w:rPr>
                              </w:pPr>
                            </w:p>
                            <w:p w14:paraId="4477627C" w14:textId="77777777" w:rsidR="007B24A1" w:rsidRDefault="007B24A1">
                              <w:pPr>
                                <w:jc w:val="center"/>
                                <w:rPr>
                                  <w:sz w:val="20"/>
                                  <w:szCs w:val="20"/>
                                  <w:lang w:val="lt-LT"/>
                                </w:rPr>
                              </w:pPr>
                              <w:r>
                                <w:rPr>
                                  <w:lang w:val="lt-LT"/>
                                </w:rPr>
                                <w:t xml:space="preserve">Įsigyjamojo vieneto </w:t>
                              </w:r>
                              <w:r>
                                <w:rPr>
                                  <w:b/>
                                  <w:bCs/>
                                  <w:sz w:val="20"/>
                                  <w:szCs w:val="20"/>
                                  <w:lang w:val="lt-LT"/>
                                </w:rPr>
                                <w:t>C</w:t>
                              </w:r>
                              <w:r>
                                <w:rPr>
                                  <w:sz w:val="20"/>
                                  <w:szCs w:val="20"/>
                                  <w:lang w:val="lt-LT"/>
                                </w:rPr>
                                <w:t xml:space="preserve"> akcijos anuliuojamos</w:t>
                              </w:r>
                            </w:p>
                          </w:txbxContent>
                        </wps:txbx>
                        <wps:bodyPr rot="0" vert="horz" wrap="square" lIns="91440" tIns="45720" rIns="91440" bIns="45720" anchor="t" anchorCtr="0" upright="1">
                          <a:noAutofit/>
                        </wps:bodyPr>
                      </wps:wsp>
                      <wps:wsp>
                        <wps:cNvPr id="270" name="Rectangle 178"/>
                        <wps:cNvSpPr>
                          <a:spLocks noChangeArrowheads="1"/>
                        </wps:cNvSpPr>
                        <wps:spPr bwMode="auto">
                          <a:xfrm>
                            <a:off x="5193" y="4926"/>
                            <a:ext cx="2268" cy="1020"/>
                          </a:xfrm>
                          <a:prstGeom prst="rect">
                            <a:avLst/>
                          </a:prstGeom>
                          <a:solidFill>
                            <a:srgbClr val="FFFFFF"/>
                          </a:solidFill>
                          <a:ln w="9525">
                            <a:solidFill>
                              <a:srgbClr val="000000"/>
                            </a:solidFill>
                            <a:miter lim="800000"/>
                          </a:ln>
                        </wps:spPr>
                        <wps:txbx>
                          <w:txbxContent>
                            <w:p w14:paraId="21601105" w14:textId="77777777" w:rsidR="007B24A1" w:rsidRDefault="007B24A1">
                              <w:pPr>
                                <w:jc w:val="center"/>
                                <w:rPr>
                                  <w:sz w:val="20"/>
                                  <w:szCs w:val="20"/>
                                  <w:lang w:val="lt-LT"/>
                                </w:rPr>
                              </w:pPr>
                            </w:p>
                            <w:p w14:paraId="7D79BA10" w14:textId="77777777" w:rsidR="007B24A1" w:rsidRDefault="007B24A1">
                              <w:pPr>
                                <w:jc w:val="center"/>
                                <w:rPr>
                                  <w:sz w:val="20"/>
                                  <w:szCs w:val="20"/>
                                  <w:lang w:val="lt-LT"/>
                                </w:rPr>
                              </w:pPr>
                              <w:r>
                                <w:rPr>
                                  <w:lang w:val="lt-LT"/>
                                </w:rPr>
                                <w:t xml:space="preserve">Įsigyjamojo vieneto </w:t>
                              </w:r>
                              <w:r>
                                <w:rPr>
                                  <w:b/>
                                  <w:bCs/>
                                  <w:sz w:val="20"/>
                                  <w:szCs w:val="20"/>
                                  <w:lang w:val="lt-LT"/>
                                </w:rPr>
                                <w:t xml:space="preserve">C </w:t>
                              </w:r>
                              <w:r>
                                <w:rPr>
                                  <w:sz w:val="20"/>
                                  <w:szCs w:val="20"/>
                                  <w:lang w:val="lt-LT"/>
                                </w:rPr>
                                <w:t>dalyviai</w:t>
                              </w:r>
                            </w:p>
                          </w:txbxContent>
                        </wps:txbx>
                        <wps:bodyPr rot="0" vert="horz" wrap="square" lIns="91440" tIns="45720" rIns="91440" bIns="45720" anchor="t" anchorCtr="0" upright="1">
                          <a:noAutofit/>
                        </wps:bodyPr>
                      </wps:wsp>
                      <wps:wsp>
                        <wps:cNvPr id="271" name="AutoShape 179"/>
                        <wps:cNvCnPr/>
                        <wps:spPr bwMode="auto">
                          <a:xfrm>
                            <a:off x="6314" y="2985"/>
                            <a:ext cx="2" cy="453"/>
                          </a:xfrm>
                          <a:prstGeom prst="straightConnector1">
                            <a:avLst/>
                          </a:prstGeom>
                          <a:noFill/>
                          <a:ln w="19050">
                            <a:solidFill>
                              <a:srgbClr val="000000"/>
                            </a:solidFill>
                            <a:prstDash val="sysDot"/>
                            <a:round/>
                          </a:ln>
                        </wps:spPr>
                        <wps:bodyPr/>
                      </wps:wsp>
                      <wps:wsp>
                        <wps:cNvPr id="272" name="AutoShape 180"/>
                        <wps:cNvCnPr/>
                        <wps:spPr bwMode="auto">
                          <a:xfrm>
                            <a:off x="6315" y="4452"/>
                            <a:ext cx="12" cy="474"/>
                          </a:xfrm>
                          <a:prstGeom prst="straightConnector1">
                            <a:avLst/>
                          </a:prstGeom>
                          <a:noFill/>
                          <a:ln w="19050">
                            <a:solidFill>
                              <a:srgbClr val="000000"/>
                            </a:solidFill>
                            <a:prstDash val="sysDot"/>
                            <a:round/>
                          </a:ln>
                        </wps:spPr>
                        <wps:bodyPr/>
                      </wps:wsp>
                      <wps:wsp>
                        <wps:cNvPr id="273" name="AutoShape 181"/>
                        <wps:cNvCnPr/>
                        <wps:spPr bwMode="auto">
                          <a:xfrm>
                            <a:off x="2693" y="2985"/>
                            <a:ext cx="2500" cy="2451"/>
                          </a:xfrm>
                          <a:prstGeom prst="straightConnector1">
                            <a:avLst/>
                          </a:prstGeom>
                          <a:noFill/>
                          <a:ln w="19050">
                            <a:solidFill>
                              <a:srgbClr val="000000"/>
                            </a:solidFill>
                            <a:round/>
                            <a:tailEnd type="triangle" w="med" len="med"/>
                          </a:ln>
                        </wps:spPr>
                        <wps:bodyPr/>
                      </wps:wsp>
                      <wps:wsp>
                        <wps:cNvPr id="274" name="Rectangle 182"/>
                        <wps:cNvSpPr>
                          <a:spLocks noChangeArrowheads="1"/>
                        </wps:cNvSpPr>
                        <wps:spPr bwMode="auto">
                          <a:xfrm>
                            <a:off x="1701" y="3438"/>
                            <a:ext cx="2835" cy="1116"/>
                          </a:xfrm>
                          <a:prstGeom prst="rect">
                            <a:avLst/>
                          </a:prstGeom>
                          <a:solidFill>
                            <a:srgbClr val="FFFFFF"/>
                          </a:solidFill>
                          <a:ln w="9525">
                            <a:solidFill>
                              <a:srgbClr val="000000"/>
                            </a:solidFill>
                            <a:miter lim="800000"/>
                          </a:ln>
                        </wps:spPr>
                        <wps:txbx>
                          <w:txbxContent>
                            <w:p w14:paraId="633E114C" w14:textId="77777777" w:rsidR="007B24A1" w:rsidRDefault="007B24A1">
                              <w:pPr>
                                <w:jc w:val="center"/>
                              </w:pPr>
                              <w:r>
                                <w:rPr>
                                  <w:lang w:val="lt-LT"/>
                                </w:rPr>
                                <w:t xml:space="preserve">Įsigyjančiojo vieneto </w:t>
                              </w:r>
                              <w:r>
                                <w:rPr>
                                  <w:b/>
                                  <w:bCs/>
                                  <w:sz w:val="20"/>
                                  <w:szCs w:val="20"/>
                                  <w:lang w:val="lt-LT"/>
                                </w:rPr>
                                <w:t>A</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wps:wsp>
                        <wps:cNvPr id="275" name="AutoShape 183"/>
                        <wps:cNvCnPr/>
                        <wps:spPr bwMode="auto">
                          <a:xfrm flipH="1">
                            <a:off x="7461" y="2985"/>
                            <a:ext cx="2477" cy="2451"/>
                          </a:xfrm>
                          <a:prstGeom prst="straightConnector1">
                            <a:avLst/>
                          </a:prstGeom>
                          <a:noFill/>
                          <a:ln w="19050">
                            <a:solidFill>
                              <a:srgbClr val="000000"/>
                            </a:solidFill>
                            <a:round/>
                            <a:tailEnd type="triangle" w="med" len="med"/>
                          </a:ln>
                        </wps:spPr>
                        <wps:bodyPr/>
                      </wps:wsp>
                      <wps:wsp>
                        <wps:cNvPr id="276" name="Rectangle 184"/>
                        <wps:cNvSpPr>
                          <a:spLocks noChangeArrowheads="1"/>
                        </wps:cNvSpPr>
                        <wps:spPr bwMode="auto">
                          <a:xfrm>
                            <a:off x="8094" y="3438"/>
                            <a:ext cx="2836" cy="1116"/>
                          </a:xfrm>
                          <a:prstGeom prst="rect">
                            <a:avLst/>
                          </a:prstGeom>
                          <a:solidFill>
                            <a:srgbClr val="FFFFFF"/>
                          </a:solidFill>
                          <a:ln w="9525">
                            <a:solidFill>
                              <a:srgbClr val="000000"/>
                            </a:solidFill>
                            <a:miter lim="800000"/>
                          </a:ln>
                        </wps:spPr>
                        <wps:txbx>
                          <w:txbxContent>
                            <w:p w14:paraId="7BAC93A4" w14:textId="77777777" w:rsidR="007B24A1" w:rsidRDefault="007B24A1">
                              <w:pPr>
                                <w:jc w:val="center"/>
                                <w:rPr>
                                  <w:sz w:val="20"/>
                                  <w:szCs w:val="20"/>
                                  <w:lang w:val="lt-LT"/>
                                </w:rPr>
                              </w:pPr>
                              <w:r>
                                <w:rPr>
                                  <w:lang w:val="lt-LT"/>
                                </w:rPr>
                                <w:t xml:space="preserve">Įsigyjančiojo vieneto </w:t>
                              </w:r>
                              <w:r>
                                <w:rPr>
                                  <w:b/>
                                  <w:bCs/>
                                  <w:sz w:val="20"/>
                                  <w:szCs w:val="20"/>
                                  <w:lang w:val="lt-LT"/>
                                </w:rPr>
                                <w:t>B</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C5C0E85" id="Group 165" o:spid="_x0000_s1165" style="position:absolute;left:0;text-align:left;margin-left:21.35pt;margin-top:4.5pt;width:462.6pt;height:234pt;z-index:251655168;mso-position-horizontal-relative:text;mso-position-vertical-relative:text;mso-height-relative:margin" coordorigin="1701,1686" coordsize="9252,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eEugUAAIItAAAOAAAAZHJzL2Uyb0RvYy54bWzsWltzozYUfu9M/wPDe2PuF0+cnZ3c2plt&#10;u9Pd/gAFsGEKiEokdvrr+0kCgmOcxE7W2Wzwg20Qlo/O+c7tk44/rIpcu0kYz2g5080jQ9eSMqJx&#10;Vi5m+t9fL34JdI3XpIxJTstkpt8mXP9w8vNPx8tqmlg0pXmcMA2TlHy6rGZ6WtfVdDLhUZoUhB/R&#10;KikxOKesIDUu2WISM7LE7EU+sQzDmywpiytGo4Rz3D1Tg/qJnH8+T6L6z/mcJ7WWz3TIVst3Jt+v&#10;xPvk5JhMF4xUaRY1YpA9pChIVuJPu6nOSE20a5ZtTFVkEaOczuujiBYTOp9nUSLXgNWYxr3VXDJ6&#10;Xcm1LKbLRdWpCaq9p6e9p43+uPnMtCye6Zbr61pJChhJ/q9meq5Qz7JaTPHUJau+VJ9Zc2OhrsSK&#10;V3NWiE+sRVtJxd52ik1WtRbhphv4rmFB/xHGrNA3A6NRfZTCPuJ3pm+YuoZh0ws8ZZYoPW9+H1qu&#10;pX7sWKEpRiftH0+EfJ04ywow4nea4s/T1JeUVIk0ABc66DQFUCtNfbyuqXwI2pJSCwHwpFCVUAqv&#10;PtHoH66V9DQl5SL5yCtAEovEBO0txugyTUgMWeXtr9DaeZzJp8RK16YUFxyTa1fL32kMWxFIIJF3&#10;zw4D+myt8YA2ybRivL5MaKGJLzOdQVw5Pbn5xGul+PYRscCSXmR53oopJBOI4dMrGt9CSkYxB+yO&#10;CIEvKWX/6doS3jbT+b/XhCW6lv9WYuGh6TjCPeWF4/oCK6w/ctUfIWWEqWZ6rWvq62mtXPq6Ytki&#10;lZpTwgn7zDMp951UjU6BEyXrAQATtoD5C/oEEPIEgPGVez0MmDV0tHruEPYScDDDwFHOZVq+lKlz&#10;rp3hwGmexQIREvxscXWaM+2GIPheyFfjumuP5aW2RFQIXN+VSFsb5P05DPkamqPIaqSRPCtmOkIL&#10;Xs1DedkY+w6Z9epqJQNe6LT6H8Haj24efE9Ftz5Yg1ZZHfYGotsLgdX1DPdeLmhjl+mYSFMijbwz&#10;sDa5eIysKsG2qdgTKVMWLX2whgcEqx3aQORa4dIDq/f6YA1d68CBtauExsC6FlhRw25g1ZepSuTx&#10;AwRW3/KR6rdgta3PXzOwHh6rXRE2YnUNq/YQVmXrdSCsBqGD4DmM1fdasXZF2AjWNbAiqG30477V&#10;KwJOy4a6eGL3bPuGSuqWjeSJtotM26Ru2aiPJY8h7m9vlXjNiGhGT2lZoumjzHxSH02mqh8yQ8M1&#10;9u6HRIt+Rniqei9+y89orZYBSqmMleADzZHCVdtmHrBDBtc0YEJ7VxNq8zyrfhVEijBZQ0m9vjGf&#10;ldYetyWZ1iTLz8tYq28rcEI1yyTHAK5lphdJDJYlATsrvn2HlkeU33TerjdHVbSr8wYeWnuROX5Y&#10;533bBu945h57Cu4H0GxKi10N7touypUtBkeDOEbr3pbKTlsFWwhwb4gA97u2bw+f9Q3nB/dZVArf&#10;VcIdoqQV/XugAt81A/gmvNZ2bFnY9mosSyBMsnyGKVPB9jrrsR2K7XTyY5T0s7L2Xox0x1uN9X2/&#10;vgdHMkCcdM3QAYgT1wxVhnFCq9md7PqBHlZBoagCq92Ma7fKnrib9oawaqo9FhErRrCugbVjpPvl&#10;TefZe+RGz0YMlOVNGNxvRlWUdFD/PAi8sRmNhw5YbClvQB1stiRBn6jdtUKFCdWOluPgJANMdZfr&#10;zPZkA6jZ0Yby1M9LlKh+R2D23BAFB1S8Z5dheU0OsDbd0EU0VG2G466fT9nYQn9VV2zZnzfdQIo9&#10;jI19lKBP9209fvNCG9Td4ZqB0jWw4emydDVNWSq8i9LVxOmtxrXGcmCtHBgiNoOXITZ9R2x/C95j&#10;MyI56OXGiCRj/bc/3wXqYyAi9TnMbx2RAqPhPAcjUnsK4X1FpC4jvJWIJM+y4qCv3FZqDiWLk8T9&#10;a3me7e7o9Mn/AAAA//8DAFBLAwQUAAYACAAAACEAH7u2WuAAAAAIAQAADwAAAGRycy9kb3ducmV2&#10;LnhtbEyPwU7DMBBE70j8g7VI3KiTAk0T4lRVBZwqJFqkits23iZRYzuK3ST9e5YTHHdmNPsmX02m&#10;FQP1vnFWQTyLQJAtnW5speBr//awBOEDWo2ts6TgSh5Wxe1Njpl2o/2kYRcqwSXWZ6igDqHLpPRl&#10;TQb9zHVk2Tu53mDgs6+k7nHkctPKeRQtpMHG8ocaO9rUVJ53F6PgfcRx/Ri/DtvzaXP93j9/HLYx&#10;KXV/N61fQASawl8YfvEZHQpmOrqL1V60Cp7mCScVpLyI7XSRpCCOrCdJBLLI5f8BxQ8AAAD//wMA&#10;UEsBAi0AFAAGAAgAAAAhALaDOJL+AAAA4QEAABMAAAAAAAAAAAAAAAAAAAAAAFtDb250ZW50X1R5&#10;cGVzXS54bWxQSwECLQAUAAYACAAAACEAOP0h/9YAAACUAQAACwAAAAAAAAAAAAAAAAAvAQAAX3Jl&#10;bHMvLnJlbHNQSwECLQAUAAYACAAAACEAp9rXhLoFAACCLQAADgAAAAAAAAAAAAAAAAAuAgAAZHJz&#10;L2Uyb0RvYy54bWxQSwECLQAUAAYACAAAACEAH7u2WuAAAAAIAQAADwAAAAAAAAAAAAAAAAAUCAAA&#10;ZHJzL2Rvd25yZXYueG1sUEsFBgAAAAAEAAQA8wAAACEJAAAAAA==&#10;">
                <v:rect id="AutoShape 166" o:spid="_x0000_s1166" style="position:absolute;left:1701;top:1686;width:9252;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l1wwAAANwAAAAPAAAAZHJzL2Rvd25yZXYueG1sRE9Na4NA&#10;EL0X8h+WCfRSkjVCSz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GJLZdcMAAADcAAAADwAA&#10;AAAAAAAAAAAAAAAHAgAAZHJzL2Rvd25yZXYueG1sUEsFBgAAAAADAAMAtwAAAPcCAAAAAA==&#10;" filled="f" stroked="f">
                  <o:lock v:ext="edit" aspectratio="t" text="t"/>
                </v:rect>
                <v:rect id="Rectangle 167" o:spid="_x0000_s1167" style="position:absolute;left:1701;top:1686;width:1984;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XAxQAAANwAAAAPAAAAZHJzL2Rvd25yZXYueG1sRI9Ba8JA&#10;FITvgv9heYKXUjeVKpq6igQLtac2euntkX1Ngtm3ad5W4793CwWPw8x8w6w2vWvUmTqpPRt4miSg&#10;iAtvay4NHA+vjwtQEpAtNp7JwJUENuvhYIWp9Rf+pHMeShUhLCkaqEJoU62lqMihTHxLHL1v3zkM&#10;UXalth1eItw1epokc+2w5rhQYUtZRcUp/3UG0O3L5/3P8j2Xo+xmh4fsQ74yY8ajfvsCKlAf7uH/&#10;9ps1MJ0t4e9MPAJ6fQMAAP//AwBQSwECLQAUAAYACAAAACEA2+H2y+4AAACFAQAAEwAAAAAAAAAA&#10;AAAAAAAAAAAAW0NvbnRlbnRfVHlwZXNdLnhtbFBLAQItABQABgAIAAAAIQBa9CxbvwAAABUBAAAL&#10;AAAAAAAAAAAAAAAAAB8BAABfcmVscy8ucmVsc1BLAQItABQABgAIAAAAIQAE1CXAxQAAANwAAAAP&#10;AAAAAAAAAAAAAAAAAAcCAABkcnMvZG93bnJldi54bWxQSwUGAAAAAAMAAwC3AAAA+QIAAAAA&#10;" strokeweight="2.25pt">
                  <v:textbox>
                    <w:txbxContent>
                      <w:p w14:paraId="6325D1B8" w14:textId="77777777" w:rsidR="007B24A1" w:rsidRDefault="007B24A1">
                        <w:pPr>
                          <w:pStyle w:val="Pagrindinistekstas2"/>
                          <w:rPr>
                            <w:b w:val="0"/>
                            <w:bCs w:val="0"/>
                            <w:sz w:val="20"/>
                          </w:rPr>
                        </w:pPr>
                        <w:r>
                          <w:rPr>
                            <w:b w:val="0"/>
                            <w:bCs w:val="0"/>
                            <w:sz w:val="20"/>
                          </w:rPr>
                          <w:t xml:space="preserve">Naujai sukurtas įsigyjantysis vienetas </w:t>
                        </w:r>
                        <w:r>
                          <w:rPr>
                            <w:sz w:val="20"/>
                          </w:rPr>
                          <w:t>A</w:t>
                        </w:r>
                      </w:p>
                    </w:txbxContent>
                  </v:textbox>
                </v:rect>
                <v:rect id="Rectangle 168" o:spid="_x0000_s1168" style="position:absolute;left:5605;top:1686;width:1417;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kbgwgAAANwAAAAPAAAAZHJzL2Rvd25yZXYueG1sRE9Na8JA&#10;EL0X/A/LCL2UulFaqamrSGihetLoxduQnSbB7GzMbDX+e/cg9Ph43/Nl7xp1oU5qzwbGowQUceFt&#10;zaWBw/779QOUBGSLjWcycCOB5WLwNMfU+ivv6JKHUsUQlhQNVCG0qdZSVORQRr4ljtyv7xyGCLtS&#10;2w6vMdw1epIkU+2w5thQYUtZRcUp/3MG0K3Lt/V5tsnlIF/v+5dsK8fMmOdhv/oEFagP/+KH+8ca&#10;mEzj/HgmHgG9uAMAAP//AwBQSwECLQAUAAYACAAAACEA2+H2y+4AAACFAQAAEwAAAAAAAAAAAAAA&#10;AAAAAAAAW0NvbnRlbnRfVHlwZXNdLnhtbFBLAQItABQABgAIAAAAIQBa9CxbvwAAABUBAAALAAAA&#10;AAAAAAAAAAAAAB8BAABfcmVscy8ucmVsc1BLAQItABQABgAIAAAAIQBbgkbgwgAAANwAAAAPAAAA&#10;AAAAAAAAAAAAAAcCAABkcnMvZG93bnJldi54bWxQSwUGAAAAAAMAAwC3AAAA9gIAAAAA&#10;" strokeweight="2.25pt">
                  <v:textbox>
                    <w:txbxContent>
                      <w:p w14:paraId="30F84567" w14:textId="77777777" w:rsidR="007B24A1" w:rsidRDefault="007B24A1">
                        <w:pPr>
                          <w:jc w:val="center"/>
                          <w:rPr>
                            <w:sz w:val="20"/>
                            <w:szCs w:val="20"/>
                            <w:lang w:val="lt-LT"/>
                          </w:rPr>
                        </w:pPr>
                        <w:r>
                          <w:rPr>
                            <w:lang w:val="lt-LT"/>
                          </w:rPr>
                          <w:t xml:space="preserve">Įsigyjamasis vienetas </w:t>
                        </w:r>
                        <w:r>
                          <w:rPr>
                            <w:b/>
                            <w:bCs/>
                            <w:sz w:val="20"/>
                            <w:szCs w:val="20"/>
                            <w:lang w:val="lt-LT"/>
                          </w:rPr>
                          <w:t>C,</w:t>
                        </w:r>
                        <w:r>
                          <w:rPr>
                            <w:sz w:val="20"/>
                            <w:szCs w:val="20"/>
                            <w:lang w:val="lt-LT"/>
                          </w:rPr>
                          <w:t xml:space="preserve"> kurio veikla nutraukiama</w:t>
                        </w:r>
                      </w:p>
                    </w:txbxContent>
                  </v:textbox>
                </v:rect>
                <v:rect id="Rectangle 169" o:spid="_x0000_s1169" style="position:absolute;left:3937;top:1686;width:141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7VwwAAANwAAAAPAAAAZHJzL2Rvd25yZXYueG1sRI9Bi8Iw&#10;FITvC/6H8ARva2oFcatRxMVFj1ov3p7Ns602L6WJWv31RhD2OMzMN8x03ppK3KhxpWUFg34Egjiz&#10;uuRcwT5dfY9BOI+ssbJMCh7kYD7rfE0x0fbOW7rtfC4ChF2CCgrv60RKlxVk0PVtTRy8k20M+iCb&#10;XOoG7wFuKhlH0UgaLDksFFjTsqDssrsaBccy3uNzm/5F5mc19Js2PV8Pv0r1uu1iAsJT6//Dn/Za&#10;K4hHA3ifCUdAzl4AAAD//wMAUEsBAi0AFAAGAAgAAAAhANvh9svuAAAAhQEAABMAAAAAAAAAAAAA&#10;AAAAAAAAAFtDb250ZW50X1R5cGVzXS54bWxQSwECLQAUAAYACAAAACEAWvQsW78AAAAVAQAACwAA&#10;AAAAAAAAAAAAAAAfAQAAX3JlbHMvLnJlbHNQSwECLQAUAAYACAAAACEALxle1cMAAADcAAAADwAA&#10;AAAAAAAAAAAAAAAHAgAAZHJzL2Rvd25yZXYueG1sUEsFBgAAAAADAAMAtwAAAPcCAAAAAA==&#10;">
                  <v:textbox>
                    <w:txbxContent>
                      <w:p w14:paraId="60B64046" w14:textId="77777777" w:rsidR="007B24A1" w:rsidRDefault="007B24A1">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v:textbox>
                </v:rect>
                <v:rect id="Rectangle 170" o:spid="_x0000_s1170" style="position:absolute;left:7274;top:1686;width:1420;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CiwwAAANwAAAAPAAAAZHJzL2Rvd25yZXYueG1sRI9Bi8Iw&#10;FITvgv8hPMGbplYQ7RpFXFz0qPXi7W3ztu3avJQmavXXG0HwOMzMN8x82ZpKXKlxpWUFo2EEgjiz&#10;uuRcwTHdDKYgnEfWWFkmBXdysFx0O3NMtL3xnq4Hn4sAYZeggsL7OpHSZQUZdENbEwfvzzYGfZBN&#10;LnWDtwA3lYyjaCINlhwWCqxpXVB2PlyMgt8yPuJjn/5EZrYZ+12b/l9O30r1e+3qC4Sn1n/C7/ZW&#10;K4gnMbzOhCMgF08AAAD//wMAUEsBAi0AFAAGAAgAAAAhANvh9svuAAAAhQEAABMAAAAAAAAAAAAA&#10;AAAAAAAAAFtDb250ZW50X1R5cGVzXS54bWxQSwECLQAUAAYACAAAACEAWvQsW78AAAAVAQAACwAA&#10;AAAAAAAAAAAAAAAfAQAAX3JlbHMvLnJlbHNQSwECLQAUAAYACAAAACEA38vAosMAAADcAAAADwAA&#10;AAAAAAAAAAAAAAAHAgAAZHJzL2Rvd25yZXYueG1sUEsFBgAAAAADAAMAtwAAAPcCAAAAAA==&#10;">
                  <v:textbox>
                    <w:txbxContent>
                      <w:p w14:paraId="2ACD6A73" w14:textId="77777777" w:rsidR="007B24A1" w:rsidRDefault="007B24A1">
                        <w:pPr>
                          <w:jc w:val="center"/>
                        </w:pPr>
                        <w:r>
                          <w:rPr>
                            <w:lang w:val="lt-LT"/>
                          </w:rPr>
                          <w:t xml:space="preserve">Įsigyjamojo vieneto </w:t>
                        </w:r>
                        <w:r>
                          <w:rPr>
                            <w:b/>
                            <w:bCs/>
                            <w:sz w:val="20"/>
                            <w:szCs w:val="20"/>
                            <w:lang w:val="lt-LT"/>
                          </w:rPr>
                          <w:t xml:space="preserve">C </w:t>
                        </w:r>
                        <w:r>
                          <w:rPr>
                            <w:sz w:val="20"/>
                            <w:szCs w:val="20"/>
                            <w:lang w:val="lt-LT"/>
                          </w:rPr>
                          <w:t>turtas, teisės ir pareigos</w:t>
                        </w:r>
                      </w:p>
                    </w:txbxContent>
                  </v:textbox>
                </v:rect>
                <v:rect id="Rectangle 171" o:spid="_x0000_s1171" style="position:absolute;left:8946;top:1686;width:1984;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NiXxgAAANwAAAAPAAAAZHJzL2Rvd25yZXYueG1sRI9Ba8JA&#10;FITvhf6H5QleSt3UVmmjq0hooXrS6KW3R/aZBLNvY96q6b/vFgo9DjPzDTNf9q5RV+qk9mzgaZSA&#10;Ii68rbk0cNh/PL6CkoBssfFMBr5JYLm4v5tjav2Nd3TNQ6kihCVFA1UIbaq1FBU5lJFviaN39J3D&#10;EGVXatvhLcJdo8dJMtUOa44LFbaUVVSc8oszgG5dvqzPb5tcDvI+2T9kW/nKjBkO+tUMVKA+/If/&#10;2p/WwHj6DL9n4hHQix8AAAD//wMAUEsBAi0AFAAGAAgAAAAhANvh9svuAAAAhQEAABMAAAAAAAAA&#10;AAAAAAAAAAAAAFtDb250ZW50X1R5cGVzXS54bWxQSwECLQAUAAYACAAAACEAWvQsW78AAAAVAQAA&#10;CwAAAAAAAAAAAAAAAAAfAQAAX3JlbHMvLnJlbHNQSwECLQAUAAYACAAAACEAq1DYl8YAAADcAAAA&#10;DwAAAAAAAAAAAAAAAAAHAgAAZHJzL2Rvd25yZXYueG1sUEsFBgAAAAADAAMAtwAAAPoCAAAAAA==&#10;" strokeweight="2.25pt">
                  <v:textbox>
                    <w:txbxContent>
                      <w:p w14:paraId="4147E1C6" w14:textId="77777777" w:rsidR="007B24A1" w:rsidRDefault="007B24A1">
                        <w:pPr>
                          <w:jc w:val="center"/>
                          <w:rPr>
                            <w:b/>
                            <w:bCs/>
                          </w:rPr>
                        </w:pPr>
                        <w:r>
                          <w:rPr>
                            <w:lang w:val="lt-LT"/>
                          </w:rPr>
                          <w:t xml:space="preserve">Naujai sukurtas įsigyjantysis vienetas </w:t>
                        </w:r>
                        <w:r>
                          <w:rPr>
                            <w:b/>
                            <w:bCs/>
                            <w:sz w:val="20"/>
                            <w:szCs w:val="20"/>
                            <w:lang w:val="lt-LT"/>
                          </w:rPr>
                          <w:t>B</w:t>
                        </w:r>
                      </w:p>
                    </w:txbxContent>
                  </v:textbox>
                </v:rect>
                <v:shape id="AutoShape 172" o:spid="_x0000_s1172" type="#_x0000_t32" style="position:absolute;left:3707;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kYlxwAAANwAAAAPAAAAZHJzL2Rvd25yZXYueG1sRI9ba8JA&#10;FITfC/6H5Qh9kbrxQihpNqK2go9VC/bxNHty0ezZNLtq+u+7hYKPw8x8w6SL3jTiSp2rLSuYjCMQ&#10;xLnVNZcKPg6bp2cQziNrbCyTgh9ysMgGDykm2t54R9e9L0WAsEtQQeV9m0jp8ooMurFtiYNX2M6g&#10;D7Irpe7wFuCmkdMoiqXBmsNChS2tK8rP+4tRMH/7Gr3Xu2K2Or1+4vepOI4m8VGpx2G/fAHhqff3&#10;8H97qxVM4zn8nQlHQGa/AAAA//8DAFBLAQItABQABgAIAAAAIQDb4fbL7gAAAIUBAAATAAAAAAAA&#10;AAAAAAAAAAAAAABbQ29udGVudF9UeXBlc10ueG1sUEsBAi0AFAAGAAgAAAAhAFr0LFu/AAAAFQEA&#10;AAsAAAAAAAAAAAAAAAAAHwEAAF9yZWxzLy5yZWxzUEsBAi0AFAAGAAgAAAAhAIySRiXHAAAA3AAA&#10;AA8AAAAAAAAAAAAAAAAABwIAAGRycy9kb3ducmV2LnhtbFBLBQYAAAAAAwADALcAAAD7AgAAAAA=&#10;" strokeweight="1.5pt">
                  <v:stroke dashstyle="1 1"/>
                </v:shape>
                <v:shape id="AutoShape 173" o:spid="_x0000_s1173" type="#_x0000_t32" style="position:absolute;left:3707;top:2325;width:230;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NewwAAANwAAAAPAAAAZHJzL2Rvd25yZXYueG1sRI9Ba8JA&#10;FITvBf/D8gRvddPFqKSuIQii19pSPD6yr0ls9m3Irkn8991CocdhZr5hdvlkWzFQ7xvHGl6WCQji&#10;0pmGKw0f78fnLQgfkA22jknDgzzk+9nTDjPjRn6j4RIqESHsM9RQh9BlUvqyJot+6Tri6H253mKI&#10;sq+k6XGMcNtKlSRrabHhuFBjR4eayu/L3Wr4vG+uStmuuJWno7mp6Tr6dKX1Yj4VryACTeE//Nc+&#10;Gw1qncLvmXgE5P4HAAD//wMAUEsBAi0AFAAGAAgAAAAhANvh9svuAAAAhQEAABMAAAAAAAAAAAAA&#10;AAAAAAAAAFtDb250ZW50X1R5cGVzXS54bWxQSwECLQAUAAYACAAAACEAWvQsW78AAAAVAQAACwAA&#10;AAAAAAAAAAAAAAAfAQAAX3JlbHMvLnJlbHNQSwECLQAUAAYACAAAACEAR0TzXsMAAADcAAAADwAA&#10;AAAAAAAAAAAAAAAHAgAAZHJzL2Rvd25yZXYueG1sUEsFBgAAAAADAAMAtwAAAPcCAAAAAA==&#10;">
                  <v:stroke dashstyle="1 1" endarrow="block"/>
                </v:shape>
                <v:shape id="AutoShape 174" o:spid="_x0000_s1174" type="#_x0000_t32" style="position:absolute;left:8694;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1OnxAAAANwAAAAPAAAAZHJzL2Rvd25yZXYueG1sRI/BbsIw&#10;EETvlfoP1iL1Vhw4RCjFIISoRC4UQj9giZc4Il6ntoHw93WlShxHM/NGM18OthM38qF1rGAyzkAQ&#10;10633Cj4Pn6+z0CEiKyxc0wKHhRguXh9mWOh3Z0PdKtiIxKEQ4EKTIx9IWWoDVkMY9cTJ+/svMWY&#10;pG+k9nhPcNvJaZbl0mLLacFgT2tD9aW6WgW0e5Sbc51Vptz5r3K1x9N1+6PU22hYfYCINMRn+L+9&#10;1QqmeQ5/Z9IRkItfAAAA//8DAFBLAQItABQABgAIAAAAIQDb4fbL7gAAAIUBAAATAAAAAAAAAAAA&#10;AAAAAAAAAABbQ29udGVudF9UeXBlc10ueG1sUEsBAi0AFAAGAAgAAAAhAFr0LFu/AAAAFQEAAAsA&#10;AAAAAAAAAAAAAAAAHwEAAF9yZWxzLy5yZWxzUEsBAi0AFAAGAAgAAAAhAFwDU6fEAAAA3AAAAA8A&#10;AAAAAAAAAAAAAAAABwIAAGRycy9kb3ducmV2LnhtbFBLBQYAAAAAAwADALcAAAD4AgAAAAA=&#10;" strokeweight="1.5pt">
                  <v:stroke dashstyle="1 1" endarrow="block"/>
                </v:shape>
                <v:shape id="AutoShape 175" o:spid="_x0000_s1175" type="#_x0000_t32" style="position:absolute;left:5353;top:2325;width:231;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NhSxgAAANwAAAAPAAAAZHJzL2Rvd25yZXYueG1sRI9ba8JA&#10;FITfhf6H5RT6IrrRSpToKr2Cj/UC8fGYPbnY7Nk0u9X477sFwcdhZr5hFqvO1OJMrassKxgNIxDE&#10;mdUVFwr2u8/BDITzyBpry6TgSg5Wy4feAhNtL7yh89YXIkDYJaig9L5JpHRZSQbd0DbEwctta9AH&#10;2RZSt3gJcFPLcRTF0mDFYaHEht5Kyr63v0bB5OPY/6o2+fPr6f2AP6c87Y/iVKmnx+5lDsJT5+/h&#10;W3utFYzjKfyfCUdALv8AAAD//wMAUEsBAi0AFAAGAAgAAAAhANvh9svuAAAAhQEAABMAAAAAAAAA&#10;AAAAAAAAAAAAAFtDb250ZW50X1R5cGVzXS54bWxQSwECLQAUAAYACAAAACEAWvQsW78AAAAVAQAA&#10;CwAAAAAAAAAAAAAAAAAfAQAAX3JlbHMvLnJlbHNQSwECLQAUAAYACAAAACEAfEDYUsYAAADcAAAA&#10;DwAAAAAAAAAAAAAAAAAHAgAAZHJzL2Rvd25yZXYueG1sUEsFBgAAAAADAAMAtwAAAPoCAAAAAA==&#10;" strokeweight="1.5pt">
                  <v:stroke dashstyle="1 1"/>
                </v:shape>
                <v:shape id="AutoShape 176" o:spid="_x0000_s1176" type="#_x0000_t32" style="position:absolute;left:7044;top:2325;width:23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0wgwwAAANwAAAAPAAAAZHJzL2Rvd25yZXYueG1sRE/LasJA&#10;FN0X+g/DFboRnaglSMxEtK3gUm1Bl9fMzcNm7qSZqca/dxaFLg/nnS5704grda62rGAyjkAQ51bX&#10;XCr4+tyM5iCcR9bYWCYFd3KwzJ6fUky0vfGergdfihDCLkEFlfdtIqXLKzLoxrYlDlxhO4M+wK6U&#10;usNbCDeNnEZRLA3WHBoqbOmtovz78GsUvH6ch7t6X8zWl/cT/lyK43ASH5V6GfSrBQhPvf8X/7m3&#10;WsE0DmvDmXAEZPYAAAD//wMAUEsBAi0AFAAGAAgAAAAhANvh9svuAAAAhQEAABMAAAAAAAAAAAAA&#10;AAAAAAAAAFtDb250ZW50X1R5cGVzXS54bWxQSwECLQAUAAYACAAAACEAWvQsW78AAAAVAQAACwAA&#10;AAAAAAAAAAAAAAAfAQAAX3JlbHMvLnJlbHNQSwECLQAUAAYACAAAACEADd9MIMMAAADcAAAADwAA&#10;AAAAAAAAAAAAAAAHAgAAZHJzL2Rvd25yZXYueG1sUEsFBgAAAAADAAMAtwAAAPcCAAAAAA==&#10;" strokeweight="1.5pt">
                  <v:stroke dashstyle="1 1"/>
                </v:shape>
                <v:rect id="Rectangle 177" o:spid="_x0000_s1177" style="position:absolute;left:5181;top:3438;width:2268;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1LTxQAAANwAAAAPAAAAZHJzL2Rvd25yZXYueG1sRI9Ba8JA&#10;FITvBf/D8gRvdWOEUKOriMXSHpN46e2ZfU1Ss29DdjVpf70rFHocZuYbZrMbTStu1LvGsoLFPAJB&#10;XFrdcKXgVByfX0A4j6yxtUwKfsjBbjt52mCq7cAZ3XJfiQBhl6KC2vsuldKVNRl0c9sRB+/L9gZ9&#10;kH0ldY9DgJtWxlGUSIMNh4UaOzrUVF7yq1FwbuIT/mbFW2RWx6X/GIvv6+erUrPpuF+D8DT6//Bf&#10;+10riJMVPM6EIyC3dwAAAP//AwBQSwECLQAUAAYACAAAACEA2+H2y+4AAACFAQAAEwAAAAAAAAAA&#10;AAAAAAAAAAAAW0NvbnRlbnRfVHlwZXNdLnhtbFBLAQItABQABgAIAAAAIQBa9CxbvwAAABUBAAAL&#10;AAAAAAAAAAAAAAAAAB8BAABfcmVscy8ucmVsc1BLAQItABQABgAIAAAAIQDRb1LTxQAAANwAAAAP&#10;AAAAAAAAAAAAAAAAAAcCAABkcnMvZG93bnJldi54bWxQSwUGAAAAAAMAAwC3AAAA+QIAAAAA&#10;">
                  <v:textbox>
                    <w:txbxContent>
                      <w:p w14:paraId="7AB6736F" w14:textId="77777777" w:rsidR="007B24A1" w:rsidRDefault="007B24A1">
                        <w:pPr>
                          <w:jc w:val="center"/>
                          <w:rPr>
                            <w:sz w:val="20"/>
                            <w:szCs w:val="20"/>
                            <w:lang w:val="lt-LT"/>
                          </w:rPr>
                        </w:pPr>
                      </w:p>
                      <w:p w14:paraId="4477627C" w14:textId="77777777" w:rsidR="007B24A1" w:rsidRDefault="007B24A1">
                        <w:pPr>
                          <w:jc w:val="center"/>
                          <w:rPr>
                            <w:sz w:val="20"/>
                            <w:szCs w:val="20"/>
                            <w:lang w:val="lt-LT"/>
                          </w:rPr>
                        </w:pPr>
                        <w:r>
                          <w:rPr>
                            <w:lang w:val="lt-LT"/>
                          </w:rPr>
                          <w:t xml:space="preserve">Įsigyjamojo vieneto </w:t>
                        </w:r>
                        <w:r>
                          <w:rPr>
                            <w:b/>
                            <w:bCs/>
                            <w:sz w:val="20"/>
                            <w:szCs w:val="20"/>
                            <w:lang w:val="lt-LT"/>
                          </w:rPr>
                          <w:t>C</w:t>
                        </w:r>
                        <w:r>
                          <w:rPr>
                            <w:sz w:val="20"/>
                            <w:szCs w:val="20"/>
                            <w:lang w:val="lt-LT"/>
                          </w:rPr>
                          <w:t xml:space="preserve"> akcijos anuliuojamos</w:t>
                        </w:r>
                      </w:p>
                    </w:txbxContent>
                  </v:textbox>
                </v:rect>
                <v:rect id="Rectangle 178" o:spid="_x0000_s1178" style="position:absolute;left:5193;top:4926;width:226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G2TwgAAANwAAAAPAAAAZHJzL2Rvd25yZXYueG1sRE9Nb4JA&#10;EL2b9D9spklvukgTbdGFNG1o6lHh0tvIToHKzhJ2Ueqvdw8mPb687202mU6caXCtZQXLRQSCuLK6&#10;5VpBWeTzFxDOI2vsLJOCP3KQpQ+zLSbaXnhP54OvRQhhl6CCxvs+kdJVDRl0C9sTB+7HDgZ9gEMt&#10;9YCXEG46GUfRShpsOTQ02NN7Q9XpMBoFxzYu8bovPiPzmj/73VT8jt8fSj09Tm8bEJ4m/y++u7+0&#10;gngd5ocz4QjI9AYAAP//AwBQSwECLQAUAAYACAAAACEA2+H2y+4AAACFAQAAEwAAAAAAAAAAAAAA&#10;AAAAAAAAW0NvbnRlbnRfVHlwZXNdLnhtbFBLAQItABQABgAIAAAAIQBa9CxbvwAAABUBAAALAAAA&#10;AAAAAAAAAAAAAB8BAABfcmVscy8ucmVsc1BLAQItABQABgAIAAAAIQDFjG2TwgAAANwAAAAPAAAA&#10;AAAAAAAAAAAAAAcCAABkcnMvZG93bnJldi54bWxQSwUGAAAAAAMAAwC3AAAA9gIAAAAA&#10;">
                  <v:textbox>
                    <w:txbxContent>
                      <w:p w14:paraId="21601105" w14:textId="77777777" w:rsidR="007B24A1" w:rsidRDefault="007B24A1">
                        <w:pPr>
                          <w:jc w:val="center"/>
                          <w:rPr>
                            <w:sz w:val="20"/>
                            <w:szCs w:val="20"/>
                            <w:lang w:val="lt-LT"/>
                          </w:rPr>
                        </w:pPr>
                      </w:p>
                      <w:p w14:paraId="7D79BA10" w14:textId="77777777" w:rsidR="007B24A1" w:rsidRDefault="007B24A1">
                        <w:pPr>
                          <w:jc w:val="center"/>
                          <w:rPr>
                            <w:sz w:val="20"/>
                            <w:szCs w:val="20"/>
                            <w:lang w:val="lt-LT"/>
                          </w:rPr>
                        </w:pPr>
                        <w:r>
                          <w:rPr>
                            <w:lang w:val="lt-LT"/>
                          </w:rPr>
                          <w:t xml:space="preserve">Įsigyjamojo vieneto </w:t>
                        </w:r>
                        <w:r>
                          <w:rPr>
                            <w:b/>
                            <w:bCs/>
                            <w:sz w:val="20"/>
                            <w:szCs w:val="20"/>
                            <w:lang w:val="lt-LT"/>
                          </w:rPr>
                          <w:t xml:space="preserve">C </w:t>
                        </w:r>
                        <w:r>
                          <w:rPr>
                            <w:sz w:val="20"/>
                            <w:szCs w:val="20"/>
                            <w:lang w:val="lt-LT"/>
                          </w:rPr>
                          <w:t>dalyviai</w:t>
                        </w:r>
                      </w:p>
                    </w:txbxContent>
                  </v:textbox>
                </v:rect>
                <v:shape id="AutoShape 179" o:spid="_x0000_s1179" type="#_x0000_t32" style="position:absolute;left:6314;top:2985;width:2;height: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NgxwAAANwAAAAPAAAAZHJzL2Rvd25yZXYueG1sRI9Pa8JA&#10;FMTvgt9heUIvUjdRsSV1FW0VelRbSI+v2Zc/mn0bs6um374rFHocZuY3zHzZmVpcqXWVZQXxKAJB&#10;nFldcaHg82P7+AzCeWSNtWVS8EMOlot+b46Jtjfe0/XgCxEg7BJUUHrfJFK6rCSDbmQb4uDltjXo&#10;g2wLqVu8Bbip5TiKZtJgxWGhxIZeS8pOh4tRMN18D3fVPp+sj29feD7m6TCepUo9DLrVCwhPnf8P&#10;/7XftYLxUwz3M+EIyMUvAAAA//8DAFBLAQItABQABgAIAAAAIQDb4fbL7gAAAIUBAAATAAAAAAAA&#10;AAAAAAAAAAAAAABbQ29udGVudF9UeXBlc10ueG1sUEsBAi0AFAAGAAgAAAAhAFr0LFu/AAAAFQEA&#10;AAsAAAAAAAAAAAAAAAAAHwEAAF9yZWxzLy5yZWxzUEsBAi0AFAAGAAgAAAAhABk8c2DHAAAA3AAA&#10;AA8AAAAAAAAAAAAAAAAABwIAAGRycy9kb3ducmV2LnhtbFBLBQYAAAAAAwADALcAAAD7AgAAAAA=&#10;" strokeweight="1.5pt">
                  <v:stroke dashstyle="1 1"/>
                </v:shape>
                <v:shape id="AutoShape 180" o:spid="_x0000_s1180" type="#_x0000_t32" style="position:absolute;left:6315;top:4452;width:12;height: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u0XxwAAANwAAAAPAAAAZHJzL2Rvd25yZXYueG1sRI9ba8JA&#10;FITfBf/DcoS+iG5MRUvqKrZa6GO9QPp4mj25aPZsml01/fduodDHYWa+YRarztTiSq2rLCuYjCMQ&#10;xJnVFRcKjoe30RMI55E11pZJwQ85WC37vQUm2t54R9e9L0SAsEtQQel9k0jpspIMurFtiIOX29ag&#10;D7ItpG7xFuCmlnEUzaTBisNCiQ29lpSd9xejYLr9Gn5Uu/zx5bT5xO9Tng4ns1Sph0G3fgbhqfP/&#10;4b/2u1YQz2P4PROOgFzeAQAA//8DAFBLAQItABQABgAIAAAAIQDb4fbL7gAAAIUBAAATAAAAAAAA&#10;AAAAAAAAAAAAAABbQ29udGVudF9UeXBlc10ueG1sUEsBAi0AFAAGAAgAAAAhAFr0LFu/AAAAFQEA&#10;AAsAAAAAAAAAAAAAAAAAHwEAAF9yZWxzLy5yZWxzUEsBAi0AFAAGAAgAAAAhAOnu7RfHAAAA3AAA&#10;AA8AAAAAAAAAAAAAAAAABwIAAGRycy9kb3ducmV2LnhtbFBLBQYAAAAAAwADALcAAAD7AgAAAAA=&#10;" strokeweight="1.5pt">
                  <v:stroke dashstyle="1 1"/>
                </v:shape>
                <v:shape id="AutoShape 181" o:spid="_x0000_s1181" type="#_x0000_t32" style="position:absolute;left:2693;top:2985;width:250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M3xQAAANwAAAAPAAAAZHJzL2Rvd25yZXYueG1sRI9Ba8JA&#10;FITvQv/D8gq96SYWtMRsQhULejTNocfX7DMJzb4N2TWm/fVdQfA4zMw3TJpPphMjDa61rCBeRCCI&#10;K6tbrhWUnx/zNxDOI2vsLJOCX3KQZ0+zFBNtr3yisfC1CBB2CSpovO8TKV3VkEG3sD1x8M52MOiD&#10;HGqpB7wGuOnkMopW0mDLYaHBnnYNVT/FxSjYlZex3I5Fvz9tv+K6O+4P33+lUi/P0/sGhKfJP8L3&#10;9kErWK5f4XYmHAGZ/QMAAP//AwBQSwECLQAUAAYACAAAACEA2+H2y+4AAACFAQAAEwAAAAAAAAAA&#10;AAAAAAAAAAAAW0NvbnRlbnRfVHlwZXNdLnhtbFBLAQItABQABgAIAAAAIQBa9CxbvwAAABUBAAAL&#10;AAAAAAAAAAAAAAAAAB8BAABfcmVscy8ucmVsc1BLAQItABQABgAIAAAAIQDMytM3xQAAANwAAAAP&#10;AAAAAAAAAAAAAAAAAAcCAABkcnMvZG93bnJldi54bWxQSwUGAAAAAAMAAwC3AAAA+QIAAAAA&#10;" strokeweight="1.5pt">
                  <v:stroke endarrow="block"/>
                </v:shape>
                <v:rect id="Rectangle 182" o:spid="_x0000_s1182" style="position:absolute;left:1701;top:3438;width:2835;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2uQxQAAANwAAAAPAAAAZHJzL2Rvd25yZXYueG1sRI9Ba8JA&#10;FITvQv/D8gq96ca0tDVmI2Kx2KMmF2/P7GuSmn0bsqum/npXKPQ4zMw3TLoYTCvO1LvGsoLpJAJB&#10;XFrdcKWgyNfjdxDOI2tsLZOCX3KwyB5GKSbaXnhL552vRICwS1BB7X2XSOnKmgy6ie2Ig/dte4M+&#10;yL6SusdLgJtWxlH0Kg02HBZq7GhVU3ncnYyCQxMXeN3mn5GZrZ/915D/nPYfSj09Dss5CE+D/w//&#10;tTdaQfz2Avcz4QjI7AYAAP//AwBQSwECLQAUAAYACAAAACEA2+H2y+4AAACFAQAAEwAAAAAAAAAA&#10;AAAAAAAAAAAAW0NvbnRlbnRfVHlwZXNdLnhtbFBLAQItABQABgAIAAAAIQBa9CxbvwAAABUBAAAL&#10;AAAAAAAAAAAAAAAAAB8BAABfcmVscy8ucmVsc1BLAQItABQABgAIAAAAIQC6t2uQxQAAANwAAAAP&#10;AAAAAAAAAAAAAAAAAAcCAABkcnMvZG93bnJldi54bWxQSwUGAAAAAAMAAwC3AAAA+QIAAAAA&#10;">
                  <v:textbox>
                    <w:txbxContent>
                      <w:p w14:paraId="633E114C" w14:textId="77777777" w:rsidR="007B24A1" w:rsidRDefault="007B24A1">
                        <w:pPr>
                          <w:jc w:val="center"/>
                        </w:pPr>
                        <w:r>
                          <w:rPr>
                            <w:lang w:val="lt-LT"/>
                          </w:rPr>
                          <w:t xml:space="preserve">Įsigyjančiojo vieneto </w:t>
                        </w:r>
                        <w:r>
                          <w:rPr>
                            <w:b/>
                            <w:bCs/>
                            <w:sz w:val="20"/>
                            <w:szCs w:val="20"/>
                            <w:lang w:val="lt-LT"/>
                          </w:rPr>
                          <w:t>A</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v:textbox>
                </v:rect>
                <v:shape id="AutoShape 183" o:spid="_x0000_s1183" type="#_x0000_t32" style="position:absolute;left:7461;top:2985;width:2477;height:24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STqxQAAANwAAAAPAAAAZHJzL2Rvd25yZXYueG1sRI9BTwIx&#10;FITvJvyH5pF4MdJlVYSFQozExCMuHuT2sn1sF9rXdVvZ9d9bExOPk5n5JrPaDM6KC3Wh8axgOslA&#10;EFdeN1wreN+/3M5BhIis0XomBd8UYLMeXa2w0L7nN7qUsRYJwqFABSbGtpAyVIYcholviZN39J3D&#10;mGRXS91hn+DOyjzLZtJhw2nBYEvPhqpz+eUU7PzH/Xa7IOv78nMwp7ub3B5Iqevx8LQEEWmI/+G/&#10;9qtWkD8+wO+ZdATk+gcAAP//AwBQSwECLQAUAAYACAAAACEA2+H2y+4AAACFAQAAEwAAAAAAAAAA&#10;AAAAAAAAAAAAW0NvbnRlbnRfVHlwZXNdLnhtbFBLAQItABQABgAIAAAAIQBa9CxbvwAAABUBAAAL&#10;AAAAAAAAAAAAAAAAAB8BAABfcmVscy8ucmVsc1BLAQItABQABgAIAAAAIQDXmSTqxQAAANwAAAAP&#10;AAAAAAAAAAAAAAAAAAcCAABkcnMvZG93bnJldi54bWxQSwUGAAAAAAMAAwC3AAAA+QIAAAAA&#10;" strokeweight="1.5pt">
                  <v:stroke endarrow="block"/>
                </v:shape>
                <v:rect id="Rectangle 184" o:spid="_x0000_s1184" style="position:absolute;left:8094;top:3438;width:2836;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B8xQAAANwAAAAPAAAAZHJzL2Rvd25yZXYueG1sRI9Ba8JA&#10;FITvhf6H5RV6qxtTiG2aVcRi0aPGS2+v2dckNfs2ZNck+utdQehxmJlvmGwxmkb01LnasoLpJAJB&#10;XFhdc6ngkK9f3kA4j6yxsUwKzuRgMX98yDDVduAd9XtfigBhl6KCyvs2ldIVFRl0E9sSB+/XdgZ9&#10;kF0pdYdDgJtGxlGUSIM1h4UKW1pVVBz3J6Pgp44PeNnlX5F5X7/67Zj/nb4/lXp+GpcfIDyN/j98&#10;b2+0gniWwO1MOAJyfgUAAP//AwBQSwECLQAUAAYACAAAACEA2+H2y+4AAACFAQAAEwAAAAAAAAAA&#10;AAAAAAAAAAAAW0NvbnRlbnRfVHlwZXNdLnhtbFBLAQItABQABgAIAAAAIQBa9CxbvwAAABUBAAAL&#10;AAAAAAAAAAAAAAAAAB8BAABfcmVscy8ucmVsc1BLAQItABQABgAIAAAAIQAlKVB8xQAAANwAAAAP&#10;AAAAAAAAAAAAAAAAAAcCAABkcnMvZG93bnJldi54bWxQSwUGAAAAAAMAAwC3AAAA+QIAAAAA&#10;">
                  <v:textbox>
                    <w:txbxContent>
                      <w:p w14:paraId="7BAC93A4" w14:textId="77777777" w:rsidR="007B24A1" w:rsidRDefault="007B24A1">
                        <w:pPr>
                          <w:jc w:val="center"/>
                          <w:rPr>
                            <w:sz w:val="20"/>
                            <w:szCs w:val="20"/>
                            <w:lang w:val="lt-LT"/>
                          </w:rPr>
                        </w:pPr>
                        <w:r>
                          <w:rPr>
                            <w:lang w:val="lt-LT"/>
                          </w:rPr>
                          <w:t xml:space="preserve">Įsigyjančiojo vieneto </w:t>
                        </w:r>
                        <w:r>
                          <w:rPr>
                            <w:b/>
                            <w:bCs/>
                            <w:sz w:val="20"/>
                            <w:szCs w:val="20"/>
                            <w:lang w:val="lt-LT"/>
                          </w:rPr>
                          <w:t>B</w:t>
                        </w:r>
                        <w:r>
                          <w:rPr>
                            <w:sz w:val="20"/>
                            <w:szCs w:val="20"/>
                            <w:lang w:val="lt-LT"/>
                          </w:rPr>
                          <w:t xml:space="preserve"> akcijos</w:t>
                        </w:r>
                        <w:r>
                          <w:rPr>
                            <w:lang w:val="lt-LT"/>
                          </w:rPr>
                          <w:t xml:space="preserve"> </w:t>
                        </w:r>
                        <w:r>
                          <w:rPr>
                            <w:sz w:val="20"/>
                            <w:szCs w:val="20"/>
                            <w:lang w:val="lt-LT"/>
                          </w:rPr>
                          <w:t>(akcijų kainų skirtumas (ne daugiau kaip 10%) gali būti išmokėtas pinigais)</w:t>
                        </w:r>
                      </w:p>
                    </w:txbxContent>
                  </v:textbox>
                </v:rect>
              </v:group>
            </w:pict>
          </mc:Fallback>
        </mc:AlternateContent>
      </w:r>
    </w:p>
    <w:p w14:paraId="51646662"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13B8ADC6"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2EEF352F"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29D82504"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6410D53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cs="Times New Roman"/>
          <w:bCs/>
          <w:sz w:val="24"/>
          <w:lang w:val="lt-LT"/>
        </w:rPr>
      </w:pPr>
    </w:p>
    <w:p w14:paraId="74D11CE9" w14:textId="77777777" w:rsidR="00093845" w:rsidRDefault="000D779E">
      <w:pPr>
        <w:pStyle w:val="Pagrindiniotekstotrauka2"/>
        <w:tabs>
          <w:tab w:val="left" w:pos="720"/>
        </w:tabs>
        <w:spacing w:line="240" w:lineRule="auto"/>
        <w:ind w:right="-20" w:firstLine="0"/>
      </w:pPr>
      <w:r>
        <w:tab/>
      </w:r>
    </w:p>
    <w:p w14:paraId="154F06BD" w14:textId="77777777" w:rsidR="00093845" w:rsidRDefault="00093845">
      <w:pPr>
        <w:pStyle w:val="Pagrindiniotekstotrauka2"/>
        <w:tabs>
          <w:tab w:val="left" w:pos="720"/>
        </w:tabs>
        <w:spacing w:line="240" w:lineRule="auto"/>
        <w:ind w:right="-20" w:firstLine="0"/>
      </w:pPr>
    </w:p>
    <w:p w14:paraId="13C25050" w14:textId="77777777" w:rsidR="00093845" w:rsidRDefault="00093845">
      <w:pPr>
        <w:pStyle w:val="Pagrindiniotekstotrauka2"/>
        <w:tabs>
          <w:tab w:val="left" w:pos="720"/>
        </w:tabs>
        <w:spacing w:line="240" w:lineRule="auto"/>
        <w:ind w:right="-20" w:firstLine="0"/>
      </w:pPr>
    </w:p>
    <w:p w14:paraId="208FC3C3" w14:textId="77777777" w:rsidR="00093845" w:rsidRDefault="00093845">
      <w:pPr>
        <w:pStyle w:val="Pagrindiniotekstotrauka2"/>
        <w:tabs>
          <w:tab w:val="left" w:pos="720"/>
        </w:tabs>
        <w:spacing w:line="240" w:lineRule="auto"/>
        <w:ind w:right="-20" w:firstLine="0"/>
      </w:pPr>
    </w:p>
    <w:p w14:paraId="4655DA3E" w14:textId="77777777" w:rsidR="00093845" w:rsidRDefault="00093845">
      <w:pPr>
        <w:pStyle w:val="Pagrindiniotekstotrauka2"/>
        <w:tabs>
          <w:tab w:val="left" w:pos="720"/>
        </w:tabs>
        <w:spacing w:line="240" w:lineRule="auto"/>
        <w:ind w:right="-20" w:firstLine="0"/>
      </w:pPr>
    </w:p>
    <w:p w14:paraId="66A26486" w14:textId="77777777" w:rsidR="00093845" w:rsidRDefault="00093845">
      <w:pPr>
        <w:pStyle w:val="Pagrindiniotekstotrauka2"/>
        <w:tabs>
          <w:tab w:val="left" w:pos="720"/>
        </w:tabs>
        <w:spacing w:line="240" w:lineRule="auto"/>
        <w:ind w:right="-20" w:firstLine="0"/>
      </w:pPr>
    </w:p>
    <w:p w14:paraId="7EF74703" w14:textId="77777777" w:rsidR="00093845" w:rsidRDefault="00093845">
      <w:pPr>
        <w:pStyle w:val="Pagrindiniotekstotrauka2"/>
        <w:tabs>
          <w:tab w:val="left" w:pos="720"/>
        </w:tabs>
        <w:spacing w:line="240" w:lineRule="auto"/>
        <w:ind w:right="-20" w:firstLine="0"/>
      </w:pPr>
    </w:p>
    <w:p w14:paraId="6F6C323A" w14:textId="77777777" w:rsidR="00093845" w:rsidRDefault="000D779E">
      <w:pPr>
        <w:pStyle w:val="Pagrindiniotekstotrauka2"/>
        <w:tabs>
          <w:tab w:val="left" w:pos="720"/>
        </w:tabs>
        <w:spacing w:line="240" w:lineRule="auto"/>
        <w:ind w:right="-20" w:firstLine="0"/>
        <w:rPr>
          <w:b w:val="0"/>
          <w:bCs w:val="0"/>
        </w:rPr>
      </w:pPr>
      <w:r>
        <w:rPr>
          <w:b w:val="0"/>
          <w:bCs w:val="0"/>
        </w:rPr>
        <w:tab/>
        <w:t xml:space="preserve">4. Jei, keičiant įsigyjamųjų vienetų akcijas į įsigyjančiojo vieneto akcijas pagal reorganizavimo sąlygose numatytą akcijų keitimo santykį, susidaręs akcijų kainų skirtumas apmokamas pinigais, tai turi būti išpildoma papildoma sąlyga, kad įsigyjamųjų vienetų (t.y. po reorganizavimo pasibaigsiančių vienetų) akcininkams taip išmokama suma negali būti didesnė kaip 10 procentų įsigyjančiojo vieneto naujai išleistų akcijų nominalios vertės arba, jei nominalios vertės nėra, - balansinės akcijų vertės. </w:t>
      </w:r>
    </w:p>
    <w:p w14:paraId="24CFC9E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5280FC2E" w14:textId="77777777" w:rsidR="00093845" w:rsidRDefault="000D779E">
      <w:pPr>
        <w:pStyle w:val="Pagrindiniotekstotrauka2"/>
        <w:tabs>
          <w:tab w:val="left" w:pos="720"/>
        </w:tabs>
        <w:spacing w:line="240" w:lineRule="auto"/>
        <w:ind w:right="-20" w:firstLine="0"/>
        <w:rPr>
          <w:b w:val="0"/>
          <w:bCs w:val="0"/>
        </w:rPr>
      </w:pPr>
      <w:r>
        <w:rPr>
          <w:b w:val="0"/>
          <w:bCs w:val="0"/>
        </w:rPr>
        <w:tab/>
        <w:t xml:space="preserve">5. Jei įsigyjantieji vienetai (arba vienas iš jų) yra užsienio vienetai, nurodyti PMĮ 41 str. 1 d. 2 punkte, tai turi būti įvykdyti papildomi reikalavimai, nustatyti šio straipsnio 3 dalyje (žr. PMĮ 41 str. 3 dalies komentarą). </w:t>
      </w:r>
    </w:p>
    <w:p w14:paraId="39574E13" w14:textId="77777777" w:rsidR="00093845" w:rsidRDefault="00093845">
      <w:pPr>
        <w:pStyle w:val="HTMLiankstoformatuotas"/>
        <w:ind w:firstLine="720"/>
        <w:jc w:val="both"/>
        <w:rPr>
          <w:rFonts w:ascii="Times New Roman" w:hAnsi="Times New Roman" w:cs="Times New Roman"/>
          <w:color w:val="000080"/>
          <w:sz w:val="22"/>
          <w:szCs w:val="22"/>
          <w:lang w:val="lt-LT"/>
        </w:rPr>
      </w:pPr>
    </w:p>
    <w:p w14:paraId="655AEED0"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t xml:space="preserve">5) vienetas, toliau tęsiantis veiklą (toliau – perleidžiantysis vienetas), perleidžia vieną ar kelias savo veiklos dalis kaip turto, teisių ir pareigų visumą, kuri organizaciniu požiūriu sudaro autonomišką ekonominį vienetą, vykdantį veiklą ir galintį atlikti savo funkcijas savo nuožiūra (toliau – veiklos dalis), vienam ar keliems naujai kuriamiems ar jau esantiems vienetams (toliau – įsigyjantieji vienetai) kartu sumažindamas įstatinį kapitalą, perleidžiančiojo vieneto dalyviai vietoj turėtų perleidžiančiojo vieneto akcijų (dalių, pajų) proporcingai mainais gauna išleistų įsigyjančiųjų vienetų akcijų (dalių, pajų); jei, keičiant veiklos dalis perleidžiančio vieneto akcijas </w:t>
      </w:r>
      <w:r>
        <w:rPr>
          <w:rFonts w:ascii="Times New Roman" w:hAnsi="Times New Roman" w:cs="Times New Roman"/>
          <w:b/>
          <w:sz w:val="24"/>
          <w:szCs w:val="24"/>
          <w:lang w:val="lt-LT"/>
        </w:rPr>
        <w:lastRenderedPageBreak/>
        <w:t xml:space="preserve">į įsigyjančiųjų vienetų akcijas, akcijų kainų skirtumas apmokamas pinigais – tai ne daugiau kaip 10 procentų akcijų nominalios vertės arba, kai nominalios vertės nėra, ne daugiau kaip 10 procentų balansinės akcijų vertės; </w:t>
      </w:r>
    </w:p>
    <w:p w14:paraId="6C889F7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b/>
          <w:bCs/>
          <w:sz w:val="24"/>
          <w:lang w:val="lt-LT"/>
        </w:rPr>
        <w:t>Komentaras</w:t>
      </w:r>
    </w:p>
    <w:p w14:paraId="505991E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b/>
          <w:sz w:val="24"/>
          <w:szCs w:val="24"/>
          <w:lang w:val="lt-LT"/>
        </w:rPr>
      </w:pPr>
      <w:r>
        <w:rPr>
          <w:rFonts w:ascii="Times New Roman" w:hAnsi="Times New Roman"/>
          <w:sz w:val="24"/>
          <w:lang w:val="lt-LT"/>
        </w:rPr>
        <w:t>1.</w:t>
      </w:r>
      <w:r>
        <w:rPr>
          <w:rFonts w:ascii="Times New Roman" w:hAnsi="Times New Roman"/>
          <w:sz w:val="24"/>
          <w:lang w:val="lt-LT"/>
        </w:rPr>
        <w:tab/>
        <w:t xml:space="preserve">Šiame punkte nustatytas perleidimo atvejis, kai </w:t>
      </w:r>
      <w:r>
        <w:rPr>
          <w:rFonts w:ascii="Times New Roman" w:hAnsi="Times New Roman" w:cs="Times New Roman"/>
          <w:bCs/>
          <w:sz w:val="24"/>
          <w:szCs w:val="24"/>
          <w:lang w:val="lt-LT"/>
        </w:rPr>
        <w:t xml:space="preserve">vienetas, toliau tęsiantis veiklą, perleidžia vieną ar kelias </w:t>
      </w:r>
      <w:r>
        <w:rPr>
          <w:rFonts w:ascii="Times New Roman" w:hAnsi="Times New Roman"/>
          <w:sz w:val="24"/>
          <w:lang w:val="lt-LT"/>
        </w:rPr>
        <w:t>veiklos dalis, kaip teisių ir prievolių visumą, kuri organizaciniu požiūriu sudaro autonomišką ekonominį vienetą, vykdantį veiklą ir galintį atlikti savo funkcijas savo nuožiūra</w:t>
      </w:r>
      <w:r>
        <w:rPr>
          <w:rFonts w:ascii="Times New Roman" w:hAnsi="Times New Roman" w:cs="Times New Roman"/>
          <w:bCs/>
          <w:sz w:val="24"/>
          <w:szCs w:val="24"/>
          <w:lang w:val="lt-LT"/>
        </w:rPr>
        <w:t xml:space="preserve"> (toliau – veiklos dalis). </w:t>
      </w:r>
    </w:p>
    <w:p w14:paraId="173E713B"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2.</w:t>
      </w:r>
      <w:r>
        <w:rPr>
          <w:rFonts w:ascii="Times New Roman" w:hAnsi="Times New Roman"/>
          <w:sz w:val="24"/>
          <w:lang w:val="lt-LT"/>
        </w:rPr>
        <w:tab/>
        <w:t xml:space="preserve">Pagal šį punktą vienetas (toliau – perleidžiantysis vienetas), kuris toliau tęsia veiklą, perleidžia savo veiklos dalį (ar dalis) kitam </w:t>
      </w:r>
      <w:r>
        <w:rPr>
          <w:rFonts w:ascii="Times New Roman" w:hAnsi="Times New Roman"/>
          <w:b/>
          <w:bCs/>
          <w:sz w:val="24"/>
          <w:lang w:val="lt-LT"/>
        </w:rPr>
        <w:t>jau esančiam ar naujai kuriamam vienetui</w:t>
      </w:r>
      <w:r>
        <w:rPr>
          <w:rFonts w:ascii="Times New Roman" w:hAnsi="Times New Roman"/>
          <w:sz w:val="24"/>
          <w:lang w:val="lt-LT"/>
        </w:rPr>
        <w:t xml:space="preserve"> (toliau – įsigyjantysis vienetas), ir tokio perleidimo metu išpildomos šios dvi sąlygos:</w:t>
      </w:r>
    </w:p>
    <w:p w14:paraId="518AAE0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perleidžiantysis vienetas mažina savo įstatinį kapitalą suma, atitinkančia įsigyjančiajam vienetui perleistą vieneto veiklos dalį, ir</w:t>
      </w:r>
    </w:p>
    <w:p w14:paraId="5042912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w:t>
      </w:r>
      <w:r>
        <w:rPr>
          <w:rFonts w:ascii="Times New Roman" w:hAnsi="Times New Roman"/>
          <w:sz w:val="24"/>
          <w:lang w:val="lt-LT"/>
        </w:rPr>
        <w:tab/>
      </w:r>
      <w:r>
        <w:rPr>
          <w:rFonts w:ascii="Times New Roman" w:hAnsi="Times New Roman" w:cs="Times New Roman"/>
          <w:sz w:val="24"/>
          <w:szCs w:val="24"/>
          <w:lang w:val="lt-LT"/>
        </w:rPr>
        <w:t xml:space="preserve">perleidžiančiojo vieneto dalyviai vietoj turėtų šio vieneto akcijų (dalių, pajų) </w:t>
      </w:r>
      <w:r>
        <w:rPr>
          <w:rFonts w:ascii="Times New Roman" w:hAnsi="Times New Roman" w:cs="Times New Roman"/>
          <w:b/>
          <w:bCs/>
          <w:sz w:val="24"/>
          <w:szCs w:val="24"/>
          <w:lang w:val="lt-LT"/>
        </w:rPr>
        <w:t>proporcingai</w:t>
      </w:r>
      <w:r>
        <w:rPr>
          <w:rFonts w:ascii="Times New Roman" w:hAnsi="Times New Roman" w:cs="Times New Roman"/>
          <w:sz w:val="24"/>
          <w:szCs w:val="24"/>
          <w:lang w:val="lt-LT"/>
        </w:rPr>
        <w:t xml:space="preserve"> mainais gauna įsigyjančiojo vieneto išleistų akcijų (dalių, pajų). </w:t>
      </w:r>
    </w:p>
    <w:p w14:paraId="24C7DD9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 xml:space="preserve">3. </w:t>
      </w:r>
      <w:r>
        <w:rPr>
          <w:rFonts w:ascii="Times New Roman" w:hAnsi="Times New Roman" w:cs="Times New Roman"/>
          <w:sz w:val="24"/>
          <w:szCs w:val="24"/>
          <w:lang w:val="lt-LT"/>
        </w:rPr>
        <w:t xml:space="preserve">Šio punkto nuostatos tenkinamos, kai įsigyjančiajam vienetui perleidžiamas vieneto vykdomos veiklos dalies padalinio, sudarančio atskirą organizaciniu požiūriu savarankišką ekonominį vienetą, visas turtas, teisės ir pareigos (pvz., vienetas, </w:t>
      </w:r>
      <w:r>
        <w:rPr>
          <w:rFonts w:ascii="Times New Roman" w:hAnsi="Times New Roman" w:cs="Times New Roman"/>
          <w:sz w:val="24"/>
          <w:lang w:val="lt-LT"/>
        </w:rPr>
        <w:t>užsiimantis gamybos ir prekybos veikla, kitam vienetui perleidžia prekybos veiklos padalinį, su prekybos veikla susijusį ilgalaikį ir trumpalaikį turtą (prekes), intelektinę nuosavybę, šio verslo tiekėjus bei pirkėjus ir pan.). Todėl vertinant veiklos dalies savarankiškumą neturi būti atsižvelgiama vien tik į formalius kriterijus (pvz., ar iki perleidimo ta veiklos dalis buvo vykdoma per atskirą vieneto filialą, skyrių, ar pan.).</w:t>
      </w:r>
    </w:p>
    <w:p w14:paraId="228BA6F8"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Veiklos dalimi laikoma visuma materialaus ir nematerialaus turto, su tuo turtu susiję įsipareigojimai, teisės ir pareigos (pvz., įsipareigojimai tiekėjams, įsipareigojimai darbuotojams, įvairūs leidimai, licencijos, technologijos, rinka (tiekėjų ir pirkėjų sąrašai) ir pan.), t.y. visa tai, kas leidžia tokią veiklos dalį identifikuoti ir išskirti iš visos įmonės veiklos kaip savarankišką ekonominį vienetą ir sudaro sąlygas tolesniam savarankiškam tokios veiklos vykdymui įsigyjančiajame vienete. </w:t>
      </w:r>
    </w:p>
    <w:p w14:paraId="629140C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Todėl veiklos dalies (veikos padalinio) perleidimu nelaikomas pavienio materialaus turto, tegul ir sudarančio perleidžiamos veiklos dalies materialųjį pagrindą, perleidimas (pvz., veiklos perleidimu nelaikoma, kai perleidžiamos tik tam tikrai veiklos daliai (veiklos padaliniui) priskiriamos atsargos ir toje veikloje naudojama įranga, tegul ir sudaranti veiklos dalies materialųjį pagrindą, tuo tarpu kiti egzistuojantys tos veiklos elementai neperleidžiami). Šio punkto nuostatos netenkinamos taip pat ir tuo atveju, kai nors formaliai veiklos dalies perleidimas ir atitiko šio punkto reikalavimus, tačiau įsigyjantysis vienetas neketino vykdyti įsigytosios veiklos dalies ir įsigytą turtą pardavė. Tokie perleidimai abiem minėtais atvejais laikomi turto pardavimu ir apmokestinami PMĮ nustatyta tvarka.</w:t>
      </w:r>
    </w:p>
    <w:p w14:paraId="796ECD1C"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 xml:space="preserve">4. Šio punkto nuostatos netaikomos, kai vienetas perleidžia visą savo veiklą kaip kompleksą, t.y. perleidžia visus savo veiklos padalinius. Tačiau toks perleidimas gali būti atliekamas pagal PMĮ 41 str. 2 dalies 6 punktą. </w:t>
      </w:r>
    </w:p>
    <w:p w14:paraId="2ABF9B9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sz w:val="24"/>
          <w:lang w:val="lt-LT"/>
        </w:rPr>
        <w:t xml:space="preserve">5. Įstatinis kapitalas mažinamas anuliuojant perleidžiančio vieneto akcijas arba mažinant jų nominalias vertes. Jei </w:t>
      </w:r>
      <w:r>
        <w:rPr>
          <w:rFonts w:ascii="Times New Roman" w:hAnsi="Times New Roman" w:cs="Times New Roman"/>
          <w:sz w:val="24"/>
          <w:szCs w:val="24"/>
          <w:lang w:val="lt-LT"/>
        </w:rPr>
        <w:t>keičiant perleidžiančio vieneto akcijas į įsigyjančiojo vieneto akcijas, susidaręs akcijų kainų skirtumas apmokamas pinigais</w:t>
      </w:r>
      <w:r>
        <w:rPr>
          <w:rFonts w:ascii="Times New Roman" w:hAnsi="Times New Roman"/>
          <w:sz w:val="24"/>
          <w:lang w:val="lt-LT"/>
        </w:rPr>
        <w:t xml:space="preserve">, tai turi būti išpildoma papildoma sąlyga, kad taip išmokama suma negali būti didesnė kaip 10 procentų įsigyjančiųjų vienetų naujai išleistų akcijų nominalios vertės arba, jei nominalios vertės nėra, - </w:t>
      </w:r>
      <w:r>
        <w:rPr>
          <w:rFonts w:ascii="Times New Roman" w:hAnsi="Times New Roman" w:cs="Times New Roman"/>
          <w:sz w:val="24"/>
          <w:szCs w:val="24"/>
          <w:lang w:val="lt-LT"/>
        </w:rPr>
        <w:t xml:space="preserve">ne daugiau kaip 10 procentų balansinės akcijų vertės. </w:t>
      </w:r>
    </w:p>
    <w:p w14:paraId="13BFCED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sz w:val="24"/>
          <w:lang w:val="lt-LT"/>
        </w:rPr>
        <w:lastRenderedPageBreak/>
        <w:t xml:space="preserve">Pagal Lietuvos Respublikos akcinių bendrovių įstatymo nuostatas, visos bendrovių akcijos </w:t>
      </w:r>
      <w:r>
        <w:rPr>
          <w:rFonts w:ascii="Times New Roman" w:hAnsi="Times New Roman"/>
          <w:iCs/>
          <w:sz w:val="24"/>
          <w:szCs w:val="24"/>
          <w:lang w:val="lt-LT"/>
        </w:rPr>
        <w:t xml:space="preserve">turi nominalią vertę. </w:t>
      </w:r>
    </w:p>
    <w:p w14:paraId="406EB452"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p>
    <w:p w14:paraId="720879B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r>
        <w:rPr>
          <w:rFonts w:ascii="Times New Roman" w:hAnsi="Times New Roman"/>
          <w:sz w:val="24"/>
          <w:lang w:val="lt-LT"/>
        </w:rPr>
        <w:t>Schema.</w:t>
      </w:r>
    </w:p>
    <w:p w14:paraId="4A315537"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Times New Roman" w:hAnsi="Times New Roman"/>
          <w:sz w:val="24"/>
          <w:lang w:val="lt-LT"/>
        </w:rPr>
      </w:pPr>
    </w:p>
    <w:p w14:paraId="619EF79E" w14:textId="77777777" w:rsidR="00093845" w:rsidRDefault="000D779E">
      <w:pPr>
        <w:pStyle w:val="HTMLiankstoformatuotas"/>
        <w:jc w:val="both"/>
        <w:rPr>
          <w:lang w:val="lt-LT"/>
        </w:rPr>
      </w:pPr>
      <w:r>
        <w:rPr>
          <w:noProof/>
          <w:lang w:val="lt-LT" w:eastAsia="lt-LT"/>
        </w:rPr>
        <mc:AlternateContent>
          <mc:Choice Requires="wpg">
            <w:drawing>
              <wp:anchor distT="0" distB="0" distL="114300" distR="114300" simplePos="0" relativeHeight="251656192" behindDoc="0" locked="0" layoutInCell="1" allowOverlap="1" wp14:anchorId="6B3250C9" wp14:editId="045221D0">
                <wp:simplePos x="0" y="0"/>
                <wp:positionH relativeFrom="column">
                  <wp:posOffset>23495</wp:posOffset>
                </wp:positionH>
                <wp:positionV relativeFrom="paragraph">
                  <wp:posOffset>-17145</wp:posOffset>
                </wp:positionV>
                <wp:extent cx="6111240" cy="2514600"/>
                <wp:effectExtent l="0" t="0" r="22860" b="19050"/>
                <wp:wrapNone/>
                <wp:docPr id="243" name="Group 185"/>
                <wp:cNvGraphicFramePr/>
                <a:graphic xmlns:a="http://schemas.openxmlformats.org/drawingml/2006/main">
                  <a:graphicData uri="http://schemas.microsoft.com/office/word/2010/wordprocessingGroup">
                    <wpg:wgp>
                      <wpg:cNvGrpSpPr/>
                      <wpg:grpSpPr>
                        <a:xfrm>
                          <a:off x="0" y="0"/>
                          <a:ext cx="6111240" cy="2514600"/>
                          <a:chOff x="1738" y="1111"/>
                          <a:chExt cx="9624" cy="3223"/>
                        </a:xfrm>
                      </wpg:grpSpPr>
                      <wps:wsp>
                        <wps:cNvPr id="244" name="AutoShape 186"/>
                        <wps:cNvSpPr>
                          <a:spLocks noChangeAspect="1" noChangeArrowheads="1" noTextEdit="1"/>
                        </wps:cNvSpPr>
                        <wps:spPr bwMode="auto">
                          <a:xfrm>
                            <a:off x="1738" y="1111"/>
                            <a:ext cx="9047" cy="3223"/>
                          </a:xfrm>
                          <a:prstGeom prst="rect">
                            <a:avLst/>
                          </a:prstGeom>
                          <a:noFill/>
                          <a:ln w="9525" cap="rnd">
                            <a:solidFill>
                              <a:srgbClr val="FFFFFF"/>
                            </a:solidFill>
                            <a:prstDash val="sysDot"/>
                            <a:miter lim="800000"/>
                          </a:ln>
                        </wps:spPr>
                        <wps:bodyPr rot="0" vert="horz" wrap="square" lIns="91440" tIns="45720" rIns="91440" bIns="45720" anchor="t" anchorCtr="0" upright="1">
                          <a:noAutofit/>
                        </wps:bodyPr>
                      </wps:wsp>
                      <wps:wsp>
                        <wps:cNvPr id="245" name="Rectangle 187"/>
                        <wps:cNvSpPr>
                          <a:spLocks noChangeArrowheads="1"/>
                        </wps:cNvSpPr>
                        <wps:spPr bwMode="auto">
                          <a:xfrm>
                            <a:off x="8301" y="1134"/>
                            <a:ext cx="3061" cy="2154"/>
                          </a:xfrm>
                          <a:prstGeom prst="rect">
                            <a:avLst/>
                          </a:prstGeom>
                          <a:solidFill>
                            <a:srgbClr val="FFFFFF"/>
                          </a:solidFill>
                          <a:ln w="28575">
                            <a:solidFill>
                              <a:srgbClr val="000000"/>
                            </a:solidFill>
                            <a:miter lim="800000"/>
                          </a:ln>
                        </wps:spPr>
                        <wps:txbx>
                          <w:txbxContent>
                            <w:p w14:paraId="3B0B8371" w14:textId="77777777" w:rsidR="007B24A1" w:rsidRDefault="007B24A1">
                              <w:pPr>
                                <w:jc w:val="center"/>
                                <w:rPr>
                                  <w:b/>
                                  <w:bCs/>
                                  <w:sz w:val="18"/>
                                  <w:szCs w:val="18"/>
                                  <w:lang w:val="lt-LT"/>
                                </w:rPr>
                              </w:pPr>
                              <w:r>
                                <w:rPr>
                                  <w:sz w:val="18"/>
                                  <w:szCs w:val="18"/>
                                  <w:lang w:val="lt-LT"/>
                                </w:rPr>
                                <w:t xml:space="preserve">Įsigyjantysis vienetas </w:t>
                              </w:r>
                              <w:r>
                                <w:rPr>
                                  <w:b/>
                                  <w:bCs/>
                                  <w:sz w:val="18"/>
                                  <w:szCs w:val="18"/>
                                  <w:lang w:val="lt-LT"/>
                                </w:rPr>
                                <w:t>B</w:t>
                              </w:r>
                            </w:p>
                          </w:txbxContent>
                        </wps:txbx>
                        <wps:bodyPr rot="0" vert="horz" wrap="square" lIns="91440" tIns="45720" rIns="91440" bIns="45720" anchor="t" anchorCtr="0" upright="1">
                          <a:noAutofit/>
                        </wps:bodyPr>
                      </wps:wsp>
                      <wps:wsp>
                        <wps:cNvPr id="246" name="Rectangle 188"/>
                        <wps:cNvSpPr>
                          <a:spLocks noChangeArrowheads="1"/>
                        </wps:cNvSpPr>
                        <wps:spPr bwMode="auto">
                          <a:xfrm>
                            <a:off x="2157" y="3646"/>
                            <a:ext cx="2268" cy="680"/>
                          </a:xfrm>
                          <a:prstGeom prst="rect">
                            <a:avLst/>
                          </a:prstGeom>
                          <a:solidFill>
                            <a:srgbClr val="FFFFFF"/>
                          </a:solidFill>
                          <a:ln w="9525">
                            <a:solidFill>
                              <a:srgbClr val="000000"/>
                            </a:solidFill>
                            <a:miter lim="800000"/>
                          </a:ln>
                        </wps:spPr>
                        <wps:txbx>
                          <w:txbxContent>
                            <w:p w14:paraId="78D9265A" w14:textId="77777777" w:rsidR="007B24A1" w:rsidRDefault="007B24A1">
                              <w:pPr>
                                <w:jc w:val="center"/>
                                <w:rPr>
                                  <w:sz w:val="20"/>
                                  <w:szCs w:val="20"/>
                                  <w:lang w:val="lt-LT"/>
                                </w:rPr>
                              </w:pPr>
                              <w:r>
                                <w:rPr>
                                  <w:lang w:val="lt-LT"/>
                                </w:rPr>
                                <w:t xml:space="preserve">Perleidžiančio vieneto </w:t>
                              </w:r>
                              <w:r>
                                <w:rPr>
                                  <w:b/>
                                  <w:bCs/>
                                  <w:sz w:val="20"/>
                                  <w:szCs w:val="20"/>
                                  <w:lang w:val="lt-LT"/>
                                </w:rPr>
                                <w:t>A</w:t>
                              </w:r>
                              <w:r>
                                <w:rPr>
                                  <w:sz w:val="20"/>
                                  <w:szCs w:val="20"/>
                                  <w:lang w:val="lt-LT"/>
                                </w:rPr>
                                <w:t xml:space="preserve"> dalyviai</w:t>
                              </w:r>
                            </w:p>
                          </w:txbxContent>
                        </wps:txbx>
                        <wps:bodyPr rot="0" vert="horz" wrap="square" lIns="91440" tIns="45720" rIns="91440" bIns="45720" anchor="t" anchorCtr="0" upright="1">
                          <a:noAutofit/>
                        </wps:bodyPr>
                      </wps:wsp>
                      <wps:wsp>
                        <wps:cNvPr id="247" name="Rectangle 189"/>
                        <wps:cNvSpPr>
                          <a:spLocks noChangeArrowheads="1"/>
                        </wps:cNvSpPr>
                        <wps:spPr bwMode="auto">
                          <a:xfrm>
                            <a:off x="1761" y="1134"/>
                            <a:ext cx="3060" cy="2154"/>
                          </a:xfrm>
                          <a:prstGeom prst="rect">
                            <a:avLst/>
                          </a:prstGeom>
                          <a:solidFill>
                            <a:srgbClr val="FFFFFF"/>
                          </a:solidFill>
                          <a:ln w="28575">
                            <a:solidFill>
                              <a:srgbClr val="000000"/>
                            </a:solidFill>
                            <a:miter lim="800000"/>
                          </a:ln>
                        </wps:spPr>
                        <wps:txbx>
                          <w:txbxContent>
                            <w:p w14:paraId="6DEEA04E" w14:textId="77777777" w:rsidR="007B24A1" w:rsidRDefault="007B24A1">
                              <w:pPr>
                                <w:jc w:val="center"/>
                                <w:rPr>
                                  <w:b/>
                                  <w:bCs/>
                                  <w:sz w:val="20"/>
                                  <w:szCs w:val="20"/>
                                  <w:lang w:val="lt-LT"/>
                                </w:rPr>
                              </w:pPr>
                              <w:r>
                                <w:rPr>
                                  <w:lang w:val="lt-LT"/>
                                </w:rPr>
                                <w:t xml:space="preserve">Perleidžiantysis vienetas </w:t>
                              </w:r>
                              <w:r>
                                <w:rPr>
                                  <w:b/>
                                  <w:bCs/>
                                  <w:sz w:val="20"/>
                                  <w:szCs w:val="20"/>
                                  <w:lang w:val="lt-LT"/>
                                </w:rPr>
                                <w:t>A</w:t>
                              </w:r>
                            </w:p>
                          </w:txbxContent>
                        </wps:txbx>
                        <wps:bodyPr rot="0" vert="horz" wrap="square" lIns="91440" tIns="45720" rIns="91440" bIns="45720" anchor="t" anchorCtr="0" upright="1">
                          <a:noAutofit/>
                        </wps:bodyPr>
                      </wps:wsp>
                      <wps:wsp>
                        <wps:cNvPr id="248" name="Rectangle 190"/>
                        <wps:cNvSpPr>
                          <a:spLocks noChangeArrowheads="1"/>
                        </wps:cNvSpPr>
                        <wps:spPr bwMode="auto">
                          <a:xfrm>
                            <a:off x="2121" y="2394"/>
                            <a:ext cx="2268" cy="680"/>
                          </a:xfrm>
                          <a:prstGeom prst="rect">
                            <a:avLst/>
                          </a:prstGeom>
                          <a:solidFill>
                            <a:srgbClr val="FFFFFF"/>
                          </a:solidFill>
                          <a:ln w="9525">
                            <a:solidFill>
                              <a:srgbClr val="000000"/>
                            </a:solidFill>
                            <a:miter lim="800000"/>
                          </a:ln>
                        </wps:spPr>
                        <wps:txbx>
                          <w:txbxContent>
                            <w:p w14:paraId="76D25130" w14:textId="77777777" w:rsidR="007B24A1" w:rsidRDefault="007B24A1">
                              <w:pPr>
                                <w:jc w:val="center"/>
                                <w:rPr>
                                  <w:sz w:val="20"/>
                                  <w:szCs w:val="20"/>
                                  <w:lang w:val="lt-LT"/>
                                </w:rPr>
                              </w:pPr>
                              <w:r>
                                <w:rPr>
                                  <w:lang w:val="lt-LT"/>
                                </w:rPr>
                                <w:t xml:space="preserve">Mažinamas įstatinis kapitalas </w:t>
                              </w:r>
                            </w:p>
                          </w:txbxContent>
                        </wps:txbx>
                        <wps:bodyPr rot="0" vert="horz" wrap="square" lIns="91440" tIns="45720" rIns="91440" bIns="45720" anchor="t" anchorCtr="0" upright="1">
                          <a:noAutofit/>
                        </wps:bodyPr>
                      </wps:wsp>
                      <wps:wsp>
                        <wps:cNvPr id="249" name="AutoShape 191"/>
                        <wps:cNvCnPr/>
                        <wps:spPr bwMode="auto">
                          <a:xfrm>
                            <a:off x="3255" y="2181"/>
                            <a:ext cx="1" cy="213"/>
                          </a:xfrm>
                          <a:prstGeom prst="straightConnector1">
                            <a:avLst/>
                          </a:prstGeom>
                          <a:noFill/>
                          <a:ln w="9525" cap="rnd">
                            <a:solidFill>
                              <a:srgbClr val="000000"/>
                            </a:solidFill>
                            <a:prstDash val="sysDot"/>
                            <a:round/>
                          </a:ln>
                        </wps:spPr>
                        <wps:bodyPr/>
                      </wps:wsp>
                      <wps:wsp>
                        <wps:cNvPr id="250" name="AutoShape 192"/>
                        <wps:cNvCnPr/>
                        <wps:spPr bwMode="auto">
                          <a:xfrm>
                            <a:off x="3255" y="2181"/>
                            <a:ext cx="1" cy="213"/>
                          </a:xfrm>
                          <a:prstGeom prst="straightConnector1">
                            <a:avLst/>
                          </a:prstGeom>
                          <a:noFill/>
                          <a:ln w="9525">
                            <a:solidFill>
                              <a:srgbClr val="000000"/>
                            </a:solidFill>
                            <a:round/>
                            <a:tailEnd type="triangle" w="med" len="med"/>
                          </a:ln>
                        </wps:spPr>
                        <wps:bodyPr/>
                      </wps:wsp>
                      <wps:wsp>
                        <wps:cNvPr id="251" name="Rectangle 193"/>
                        <wps:cNvSpPr>
                          <a:spLocks noChangeArrowheads="1"/>
                        </wps:cNvSpPr>
                        <wps:spPr bwMode="auto">
                          <a:xfrm>
                            <a:off x="8601" y="1591"/>
                            <a:ext cx="2340" cy="623"/>
                          </a:xfrm>
                          <a:prstGeom prst="rect">
                            <a:avLst/>
                          </a:prstGeom>
                          <a:solidFill>
                            <a:srgbClr val="FFFFFF"/>
                          </a:solidFill>
                          <a:ln w="9525" cap="rnd">
                            <a:solidFill>
                              <a:srgbClr val="000000"/>
                            </a:solidFill>
                            <a:prstDash val="sysDot"/>
                            <a:miter lim="800000"/>
                          </a:ln>
                        </wps:spPr>
                        <wps:txbx>
                          <w:txbxContent>
                            <w:p w14:paraId="70764DE9" w14:textId="77777777" w:rsidR="007B24A1" w:rsidRDefault="007B24A1">
                              <w:pPr>
                                <w:jc w:val="center"/>
                                <w:rPr>
                                  <w:sz w:val="20"/>
                                  <w:szCs w:val="20"/>
                                  <w:lang w:val="lt-LT"/>
                                </w:rPr>
                              </w:pPr>
                              <w:r>
                                <w:rPr>
                                  <w:lang w:val="lt-LT"/>
                                </w:rPr>
                                <w:t>Įsigyta veiklos dalis</w:t>
                              </w:r>
                            </w:p>
                          </w:txbxContent>
                        </wps:txbx>
                        <wps:bodyPr rot="0" vert="horz" wrap="square" lIns="91440" tIns="45720" rIns="91440" bIns="45720" anchor="t" anchorCtr="0" upright="1">
                          <a:noAutofit/>
                        </wps:bodyPr>
                      </wps:wsp>
                      <wps:wsp>
                        <wps:cNvPr id="252" name="AutoShape 194"/>
                        <wps:cNvCnPr/>
                        <wps:spPr bwMode="auto">
                          <a:xfrm>
                            <a:off x="3291" y="3310"/>
                            <a:ext cx="1" cy="336"/>
                          </a:xfrm>
                          <a:prstGeom prst="straightConnector1">
                            <a:avLst/>
                          </a:prstGeom>
                          <a:noFill/>
                          <a:ln w="19050">
                            <a:solidFill>
                              <a:srgbClr val="000000"/>
                            </a:solidFill>
                            <a:prstDash val="sysDot"/>
                            <a:round/>
                          </a:ln>
                        </wps:spPr>
                        <wps:bodyPr/>
                      </wps:wsp>
                      <wps:wsp>
                        <wps:cNvPr id="253" name="AutoShape 195"/>
                        <wps:cNvCnPr/>
                        <wps:spPr bwMode="auto">
                          <a:xfrm flipH="1">
                            <a:off x="4425" y="2034"/>
                            <a:ext cx="3876" cy="1952"/>
                          </a:xfrm>
                          <a:prstGeom prst="straightConnector1">
                            <a:avLst/>
                          </a:prstGeom>
                          <a:noFill/>
                          <a:ln w="19050">
                            <a:solidFill>
                              <a:srgbClr val="000000"/>
                            </a:solidFill>
                            <a:round/>
                            <a:tailEnd type="triangle" w="med" len="med"/>
                          </a:ln>
                        </wps:spPr>
                        <wps:bodyPr/>
                      </wps:wsp>
                      <wps:wsp>
                        <wps:cNvPr id="254" name="Rectangle 196"/>
                        <wps:cNvSpPr>
                          <a:spLocks noChangeArrowheads="1"/>
                        </wps:cNvSpPr>
                        <wps:spPr bwMode="auto">
                          <a:xfrm>
                            <a:off x="5061" y="2394"/>
                            <a:ext cx="3000" cy="1252"/>
                          </a:xfrm>
                          <a:prstGeom prst="rect">
                            <a:avLst/>
                          </a:prstGeom>
                          <a:solidFill>
                            <a:srgbClr val="FFFFFF"/>
                          </a:solidFill>
                          <a:ln w="9525">
                            <a:solidFill>
                              <a:srgbClr val="000000"/>
                            </a:solidFill>
                            <a:miter lim="800000"/>
                          </a:ln>
                        </wps:spPr>
                        <wps:txbx>
                          <w:txbxContent>
                            <w:p w14:paraId="2B247A96" w14:textId="77777777" w:rsidR="007B24A1" w:rsidRDefault="007B24A1">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akcijos (akcijų kainų skirtumas ( ne daugiau kaip 10%) gali būti</w:t>
                              </w:r>
                              <w:r>
                                <w:rPr>
                                  <w:lang w:val="lt-LT"/>
                                </w:rPr>
                                <w:t xml:space="preserve"> </w:t>
                              </w:r>
                              <w:r>
                                <w:rPr>
                                  <w:sz w:val="20"/>
                                  <w:szCs w:val="20"/>
                                  <w:lang w:val="lt-LT"/>
                                </w:rPr>
                                <w:t>išmokama pinigais)</w:t>
                              </w:r>
                            </w:p>
                          </w:txbxContent>
                        </wps:txbx>
                        <wps:bodyPr rot="0" vert="horz" wrap="square" lIns="91440" tIns="45720" rIns="91440" bIns="45720" anchor="t" anchorCtr="0" upright="1">
                          <a:noAutofit/>
                        </wps:bodyPr>
                      </wps:wsp>
                      <wps:wsp>
                        <wps:cNvPr id="255" name="Line 197"/>
                        <wps:cNvCnPr/>
                        <wps:spPr bwMode="auto">
                          <a:xfrm flipV="1">
                            <a:off x="4368" y="1850"/>
                            <a:ext cx="4230" cy="5"/>
                          </a:xfrm>
                          <a:prstGeom prst="line">
                            <a:avLst/>
                          </a:prstGeom>
                          <a:noFill/>
                          <a:ln w="19050">
                            <a:solidFill>
                              <a:srgbClr val="000000"/>
                            </a:solidFill>
                            <a:prstDash val="sysDot"/>
                            <a:round/>
                            <a:tailEnd type="triangle" w="med" len="med"/>
                          </a:ln>
                        </wps:spPr>
                        <wps:bodyPr/>
                      </wps:wsp>
                      <wps:wsp>
                        <wps:cNvPr id="256" name="Rectangle 198"/>
                        <wps:cNvSpPr>
                          <a:spLocks noChangeArrowheads="1"/>
                        </wps:cNvSpPr>
                        <wps:spPr bwMode="auto">
                          <a:xfrm>
                            <a:off x="2121" y="1556"/>
                            <a:ext cx="2268" cy="625"/>
                          </a:xfrm>
                          <a:prstGeom prst="rect">
                            <a:avLst/>
                          </a:prstGeom>
                          <a:solidFill>
                            <a:srgbClr val="C0C0C0"/>
                          </a:solidFill>
                          <a:ln w="9525">
                            <a:solidFill>
                              <a:srgbClr val="000000"/>
                            </a:solidFill>
                            <a:miter lim="800000"/>
                          </a:ln>
                        </wps:spPr>
                        <wps:txbx>
                          <w:txbxContent>
                            <w:p w14:paraId="068A9A2C" w14:textId="77777777" w:rsidR="007B24A1" w:rsidRDefault="007B24A1">
                              <w:pPr>
                                <w:jc w:val="center"/>
                                <w:rPr>
                                  <w:sz w:val="20"/>
                                  <w:szCs w:val="20"/>
                                  <w:lang w:val="lt-LT"/>
                                </w:rPr>
                              </w:pPr>
                              <w:r>
                                <w:rPr>
                                  <w:lang w:val="lt-LT"/>
                                </w:rPr>
                                <w:t>Perleidžiama veiklos dalis įsipareigojimai</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B3250C9" id="Group 185" o:spid="_x0000_s1185" style="position:absolute;left:0;text-align:left;margin-left:1.85pt;margin-top:-1.35pt;width:481.2pt;height:198pt;z-index:251656192;mso-position-horizontal-relative:text;mso-position-vertical-relative:text;mso-height-relative:margin" coordorigin="1738,1111" coordsize="9624,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9uRAUAAIohAAAOAAAAZHJzL2Uyb0RvYy54bWzsWltzozYUfu9M/wPDe2MQFwMTsrPjXNqZ&#10;tN3pbvsuczFMQaKSEjv99T0SIGM7TGxn4zZdOzMOICGkcz5953wHX35Y1ZXxmDFeUhKb9oVlGhlJ&#10;aFqSRWz+/uX2h8A0uMAkxRUlWWw+Zdz8cPX9d5fLJsoQLWiVZsyAQQiPlk1sFkI00WTCkyKrMb+g&#10;TUagMaesxgJO2WKSMryE0etqgizLnywpSxtGk4xzuHrdNppXavw8zxLxa57zTBhVbMLchPpm6nsu&#10;vydXlzhaMNwUZdJNAx8xixqXBB6qh7rGAhsPrNwZqi4TRjnNxUVC6wnN8zLJ1BpgNba1tZo7Rh8a&#10;tZZFtFw02kxg2i07HT1s8svjJ2aUaWwi1zENgmtwknquYQeeNM+yWUTQ6441n5tPrLuwaM/kilc5&#10;q+V/WIuxUoZ90obNVsJI4KJv2zZywf4JtCHPdn2rM31SgH/kffbUAahAM3S1W7ckxU13f+gjt73Z&#10;QciRrZP+wRM5Pz2dZQMw4mtL8ddZ6nOBm0w5gEsbaEvBZFpLfXwQVHUCa/mttVRPaSppFN7c0+RP&#10;bhA6KzBZZB95A5CERcIA/SXG6LLIcApzVZe/gNVu0lL1kiuVa4KHt0PKEw6DG/PlzzQFX2GYgULe&#10;lh+esWfvjdBypyPWxFHDuLjLaG3Ig9hkMF01PH6856I1fN9FLpDQ27Kq4DqOKmIsYzP0kAeDY9jL&#10;jKTqVk6rMpXdlEXYYj6rmPGIYUfeqk/nz41u8hnXmBdtP/7Er6loUVGXAhijKuvYDCz56W6vSGcr&#10;aR4JWx7NafoEpmIUFgLgA5qCg4Kyv01jCVs+NvlfD5hlplH9RMD6oe1KjAp14npTBCds2DIftmCS&#10;wFCxKUyjPZyJllceGlYuCuW+1kISJHmpjLeeVTdZAGs71xOgFvzSovY3cCqgscoAtdN9ULsB0eMx&#10;GTgWIFztccdtvdlj0rF8aFL0YHuqTe/wgzG5ASS+H95a8KLAm3ovYFZhrgfdxqMOQKZYzVeKdW1L&#10;0dkaF2e0dtHIfw6twQnRimwPaBLQ6viu4nYc9WhFyIdgJdHqBz0Uev7t2XFPAt1A0EFgVUyrKHWU&#10;X782VtXGPGNVBZdhPgA42WXW8IRYtaeSPseYtU+8vjFm7dLXcx7QJpA6ewXq2kFrqGhMbm2daj6T&#10;vX6lPADZqEUrcsKtPOBbZVYtHs4564bSCnusDpRWqPRhh9UZ6UTpnrrIQR7kwcCUyA46ndlHdZ2A&#10;birMnfyTC4Zlhj+jhEAmTZn9dgppPIKPKySoGpC0lWqjoqhP4k+oPzwIQzuqOUSDKPlOfXlsDtb7&#10;CUcCl9UNSQ3x1ICkF6xU6gxUamzWWQr6NIPimjz6D3oVds1uNNGi5gTRJPB7Vem1zDDI052+6ORv&#10;lY12NvVLhY5X5un7VkSO2e/H6U4t/M8RZxhxPNTjeRhxtPABPB/OUgBLpSMdW2VZa3x2EcdxVPgf&#10;r3i8MuLYoQXkeyxNvb9AowvZQxdqNbCvC428KpsfZVFWWq4rb7uuLG/K9MHaKWEFU6hZyKKADdK8&#10;o+qRqsC/6tD/R9zRNfhBNTPUafQJ4o6nSpYSCjsqxgEa76CAXoLCGweeY3f9cUFF1+fOQWUjqOjS&#10;+31JoOoe6uB7EBn9sU1GjixDSsIJgN8hN1xHFhc5HQIV742HlgomdJB8eetg8r6z4eeq1qHeFSdg&#10;JV1bsT1vvGoNQayVEiPx6XhSmlnyrxt9I2kevB88LSnpQux7ISX1Thte+KvX3N2PE+QvCobn6v3h&#10;+icUV/8AAAD//wMAUEsDBBQABgAIAAAAIQDnlBsa4AAAAAgBAAAPAAAAZHJzL2Rvd25yZXYueG1s&#10;TI9BS8NAEIXvgv9hGcFbu0mD0cZsSinqqQi2Qultm50modnZkN0m6b93POlpmHmPN9/LV5NtxYC9&#10;bxwpiOcRCKTSmYYqBd/799kLCB80Gd06QgU39LAq7u9ynRk30hcOu1AJDiGfaQV1CF0mpS9rtNrP&#10;XYfE2tn1Vgde+0qaXo8cblu5iKJUWt0Qf6h1h5say8vuahV8jHpcJ/HbsL2cN7fj/unzsI1RqceH&#10;af0KIuAU/szwi8/oUDDTyV3JeNEqSJ7ZqGC24MnyMk1jECe+L5MEZJHL/wWKHwAAAP//AwBQSwEC&#10;LQAUAAYACAAAACEAtoM4kv4AAADhAQAAEwAAAAAAAAAAAAAAAAAAAAAAW0NvbnRlbnRfVHlwZXNd&#10;LnhtbFBLAQItABQABgAIAAAAIQA4/SH/1gAAAJQBAAALAAAAAAAAAAAAAAAAAC8BAABfcmVscy8u&#10;cmVsc1BLAQItABQABgAIAAAAIQC4lc9uRAUAAIohAAAOAAAAAAAAAAAAAAAAAC4CAABkcnMvZTJv&#10;RG9jLnhtbFBLAQItABQABgAIAAAAIQDnlBsa4AAAAAgBAAAPAAAAAAAAAAAAAAAAAJ4HAABkcnMv&#10;ZG93bnJldi54bWxQSwUGAAAAAAQABADzAAAAqwgAAAAA&#10;">
                <v:rect id="AutoShape 186" o:spid="_x0000_s1186" style="position:absolute;left:1738;top:1111;width:9047;height: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ZwwAAANwAAAAPAAAAZHJzL2Rvd25yZXYueG1sRI9Bi8Iw&#10;FITvwv6H8IS9aWoRka6xFEF3b4tV8fpo3rbF5qU20Xb/vREEj8PMfMOs0sE04k6dqy0rmE0jEMSF&#10;1TWXCo6H7WQJwnlkjY1lUvBPDtL1x2iFibY97+me+1IECLsEFVTet4mUrqjIoJvaljh4f7Yz6IPs&#10;Sqk77APcNDKOooU0WHNYqLClTUXFJb8ZBdvz7vdkXe3z6ybeHd01m92+e6U+x0P2BcLT4N/hV/tH&#10;K4jnc3ieCUdArh8AAAD//wMAUEsBAi0AFAAGAAgAAAAhANvh9svuAAAAhQEAABMAAAAAAAAAAAAA&#10;AAAAAAAAAFtDb250ZW50X1R5cGVzXS54bWxQSwECLQAUAAYACAAAACEAWvQsW78AAAAVAQAACwAA&#10;AAAAAAAAAAAAAAAfAQAAX3JlbHMvLnJlbHNQSwECLQAUAAYACAAAACEAXbByWcMAAADcAAAADwAA&#10;AAAAAAAAAAAAAAAHAgAAZHJzL2Rvd25yZXYueG1sUEsFBgAAAAADAAMAtwAAAPcCAAAAAA==&#10;" filled="f" strokecolor="white">
                  <v:stroke dashstyle="1 1" endcap="round"/>
                  <o:lock v:ext="edit" aspectratio="t" text="t"/>
                </v:rect>
                <v:rect id="Rectangle 187" o:spid="_x0000_s1187" style="position:absolute;left:8301;top:1134;width:3061;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kYxQAAANwAAAAPAAAAZHJzL2Rvd25yZXYueG1sRI9Ba8JA&#10;FITvBf/D8oRepG4ULW3qKhIs1J40euntkX1NQrNvY95W4793C0KPw8x8wyxWvWvUmTqpPRuYjBNQ&#10;xIW3NZcGjof3pxdQEpAtNp7JwJUEVsvBwwJT6y+8p3MeShUhLCkaqEJoU62lqMihjH1LHL1v3zkM&#10;UXalth1eItw1epokz9phzXGhwpayioqf/NcZQLctZ9vT62cuR9nMD6NsJ1+ZMY/Dfv0GKlAf/sP3&#10;9oc1MJ3N4e9MPAJ6eQMAAP//AwBQSwECLQAUAAYACAAAACEA2+H2y+4AAACFAQAAEwAAAAAAAAAA&#10;AAAAAAAAAAAAW0NvbnRlbnRfVHlwZXNdLnhtbFBLAQItABQABgAIAAAAIQBa9CxbvwAAABUBAAAL&#10;AAAAAAAAAAAAAAAAAB8BAABfcmVscy8ucmVsc1BLAQItABQABgAIAAAAIQAAQLkYxQAAANwAAAAP&#10;AAAAAAAAAAAAAAAAAAcCAABkcnMvZG93bnJldi54bWxQSwUGAAAAAAMAAwC3AAAA+QIAAAAA&#10;" strokeweight="2.25pt">
                  <v:textbox>
                    <w:txbxContent>
                      <w:p w14:paraId="3B0B8371" w14:textId="77777777" w:rsidR="007B24A1" w:rsidRDefault="007B24A1">
                        <w:pPr>
                          <w:jc w:val="center"/>
                          <w:rPr>
                            <w:b/>
                            <w:bCs/>
                            <w:sz w:val="18"/>
                            <w:szCs w:val="18"/>
                            <w:lang w:val="lt-LT"/>
                          </w:rPr>
                        </w:pPr>
                        <w:r>
                          <w:rPr>
                            <w:sz w:val="18"/>
                            <w:szCs w:val="18"/>
                            <w:lang w:val="lt-LT"/>
                          </w:rPr>
                          <w:t xml:space="preserve">Įsigyjantysis vienetas </w:t>
                        </w:r>
                        <w:r>
                          <w:rPr>
                            <w:b/>
                            <w:bCs/>
                            <w:sz w:val="18"/>
                            <w:szCs w:val="18"/>
                            <w:lang w:val="lt-LT"/>
                          </w:rPr>
                          <w:t>B</w:t>
                        </w:r>
                      </w:p>
                    </w:txbxContent>
                  </v:textbox>
                </v:rect>
                <v:rect id="Rectangle 188" o:spid="_x0000_s1188" style="position:absolute;left:2157;top:3646;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textbox>
                    <w:txbxContent>
                      <w:p w14:paraId="78D9265A" w14:textId="77777777" w:rsidR="007B24A1" w:rsidRDefault="007B24A1">
                        <w:pPr>
                          <w:jc w:val="center"/>
                          <w:rPr>
                            <w:sz w:val="20"/>
                            <w:szCs w:val="20"/>
                            <w:lang w:val="lt-LT"/>
                          </w:rPr>
                        </w:pPr>
                        <w:r>
                          <w:rPr>
                            <w:lang w:val="lt-LT"/>
                          </w:rPr>
                          <w:t xml:space="preserve">Perleidžiančio vieneto </w:t>
                        </w:r>
                        <w:r>
                          <w:rPr>
                            <w:b/>
                            <w:bCs/>
                            <w:sz w:val="20"/>
                            <w:szCs w:val="20"/>
                            <w:lang w:val="lt-LT"/>
                          </w:rPr>
                          <w:t>A</w:t>
                        </w:r>
                        <w:r>
                          <w:rPr>
                            <w:sz w:val="20"/>
                            <w:szCs w:val="20"/>
                            <w:lang w:val="lt-LT"/>
                          </w:rPr>
                          <w:t xml:space="preserve"> dalyviai</w:t>
                        </w:r>
                      </w:p>
                    </w:txbxContent>
                  </v:textbox>
                </v:rect>
                <v:rect id="Rectangle 189" o:spid="_x0000_s1189" style="position:absolute;left:1761;top:1134;width:3060;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oL0xgAAANwAAAAPAAAAZHJzL2Rvd25yZXYueG1sRI9Ba8JA&#10;FITvQv/D8gq9FN1UbNXUVUpoQT3Z6MXbI/tMQrNv07ytpv/eLRQ8DjPzDbNY9a5RZ+qk9mzgaZSA&#10;Ii68rbk0cNh/DGegJCBbbDyTgV8SWC3vBgtMrb/wJ53zUKoIYUnRQBVCm2otRUUOZeRb4uidfOcw&#10;RNmV2nZ4iXDX6HGSvGiHNceFClvKKiq+8h9nAN2mnGy+59tcDvL+vH/MdnLMjHm4799eQQXqwy38&#10;315bA+PJFP7OxCOgl1cAAAD//wMAUEsBAi0AFAAGAAgAAAAhANvh9svuAAAAhQEAABMAAAAAAAAA&#10;AAAAAAAAAAAAAFtDb250ZW50X1R5cGVzXS54bWxQSwECLQAUAAYACAAAACEAWvQsW78AAAAVAQAA&#10;CwAAAAAAAAAAAAAAAAAfAQAAX3JlbHMvLnJlbHNQSwECLQAUAAYACAAAACEAn96C9MYAAADcAAAA&#10;DwAAAAAAAAAAAAAAAAAHAgAAZHJzL2Rvd25yZXYueG1sUEsFBgAAAAADAAMAtwAAAPoCAAAAAA==&#10;" strokeweight="2.25pt">
                  <v:textbox>
                    <w:txbxContent>
                      <w:p w14:paraId="6DEEA04E" w14:textId="77777777" w:rsidR="007B24A1" w:rsidRDefault="007B24A1">
                        <w:pPr>
                          <w:jc w:val="center"/>
                          <w:rPr>
                            <w:b/>
                            <w:bCs/>
                            <w:sz w:val="20"/>
                            <w:szCs w:val="20"/>
                            <w:lang w:val="lt-LT"/>
                          </w:rPr>
                        </w:pPr>
                        <w:r>
                          <w:rPr>
                            <w:lang w:val="lt-LT"/>
                          </w:rPr>
                          <w:t xml:space="preserve">Perleidžiantysis vienetas </w:t>
                        </w:r>
                        <w:r>
                          <w:rPr>
                            <w:b/>
                            <w:bCs/>
                            <w:sz w:val="20"/>
                            <w:szCs w:val="20"/>
                            <w:lang w:val="lt-LT"/>
                          </w:rPr>
                          <w:t>A</w:t>
                        </w:r>
                      </w:p>
                    </w:txbxContent>
                  </v:textbox>
                </v:rect>
                <v:rect id="Rectangle 190" o:spid="_x0000_s1190" style="position:absolute;left:2121;top:2394;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sowgAAANwAAAAPAAAAZHJzL2Rvd25yZXYueG1sRE9Nb4JA&#10;EL2b9D9spklvukiN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D1lqsowgAAANwAAAAPAAAA&#10;AAAAAAAAAAAAAAcCAABkcnMvZG93bnJldi54bWxQSwUGAAAAAAMAAwC3AAAA9gIAAAAA&#10;">
                  <v:textbox>
                    <w:txbxContent>
                      <w:p w14:paraId="76D25130" w14:textId="77777777" w:rsidR="007B24A1" w:rsidRDefault="007B24A1">
                        <w:pPr>
                          <w:jc w:val="center"/>
                          <w:rPr>
                            <w:sz w:val="20"/>
                            <w:szCs w:val="20"/>
                            <w:lang w:val="lt-LT"/>
                          </w:rPr>
                        </w:pPr>
                        <w:r>
                          <w:rPr>
                            <w:lang w:val="lt-LT"/>
                          </w:rPr>
                          <w:t xml:space="preserve">Mažinamas įstatinis kapitalas </w:t>
                        </w:r>
                      </w:p>
                    </w:txbxContent>
                  </v:textbox>
                </v:rect>
                <v:shape id="AutoShape 191" o:spid="_x0000_s1191" type="#_x0000_t32" style="position:absolute;left:3255;top:2181;width:1;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nxQAAANwAAAAPAAAAZHJzL2Rvd25yZXYueG1sRI9Pa8JA&#10;FMTvhX6H5RW81Y1Bio2uooIoeJCm0vNr9uUPZt/G7KpJP71bEDwOM/MbZrboTC2u1LrKsoLRMAJB&#10;nFldcaHg+L15n4BwHlljbZkU9ORgMX99mWGi7Y2/6Jr6QgQIuwQVlN43iZQuK8mgG9qGOHi5bQ36&#10;INtC6hZvAW5qGUfRhzRYcVgosaF1SdkpvRgF+eov/tnyfn9Ml795f3Lp5nDulRq8dcspCE+df4Yf&#10;7Z1WEI8/4f9MOAJyfgcAAP//AwBQSwECLQAUAAYACAAAACEA2+H2y+4AAACFAQAAEwAAAAAAAAAA&#10;AAAAAAAAAAAAW0NvbnRlbnRfVHlwZXNdLnhtbFBLAQItABQABgAIAAAAIQBa9CxbvwAAABUBAAAL&#10;AAAAAAAAAAAAAAAAAB8BAABfcmVscy8ucmVsc1BLAQItABQABgAIAAAAIQADM+lnxQAAANwAAAAP&#10;AAAAAAAAAAAAAAAAAAcCAABkcnMvZG93bnJldi54bWxQSwUGAAAAAAMAAwC3AAAA+QIAAAAA&#10;">
                  <v:stroke dashstyle="1 1" endcap="round"/>
                </v:shape>
                <v:shape id="AutoShape 192" o:spid="_x0000_s1192" type="#_x0000_t32" style="position:absolute;left:3255;top:2181;width:1;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1wgAAANwAAAAPAAAAZHJzL2Rvd25yZXYueG1sRE9Ni8Iw&#10;EL0v+B/CCN7WVEFZq1FEUETxsLoUvQ3N2BabSUmi1v31m4Owx8f7ni1aU4sHOV9ZVjDoJyCIc6sr&#10;LhT8nNafXyB8QNZYWyYFL/KwmHc+Zphq++RvehxDIWII+xQVlCE0qZQ+L8mg79uGOHJX6wyGCF0h&#10;tcNnDDe1HCbJWBqsODaU2NCqpPx2vBsF5/3knr2yA+2ywWR3QWf872mjVK/bLqcgArXhX/x2b7WC&#10;4SjOj2fiEZDzPwAAAP//AwBQSwECLQAUAAYACAAAACEA2+H2y+4AAACFAQAAEwAAAAAAAAAAAAAA&#10;AAAAAAAAW0NvbnRlbnRfVHlwZXNdLnhtbFBLAQItABQABgAIAAAAIQBa9CxbvwAAABUBAAALAAAA&#10;AAAAAAAAAAAAAB8BAABfcmVscy8ucmVsc1BLAQItABQABgAIAAAAIQA/KWD1wgAAANwAAAAPAAAA&#10;AAAAAAAAAAAAAAcCAABkcnMvZG93bnJldi54bWxQSwUGAAAAAAMAAwC3AAAA9gIAAAAA&#10;">
                  <v:stroke endarrow="block"/>
                </v:shape>
                <v:rect id="Rectangle 193" o:spid="_x0000_s1193" style="position:absolute;left:8601;top:1591;width:234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nXxgAAANwAAAAPAAAAZHJzL2Rvd25yZXYueG1sRI9Pa8JA&#10;FMTvBb/D8oReSt1oqC1pVhGhEuilxkI9PrIvf0j2bchuY/rtu4LgcZiZ3zDpdjKdGGlwjWUFy0UE&#10;griwuuFKwffp4/kNhPPIGjvLpOCPHGw3s4cUE20vfKQx95UIEHYJKqi97xMpXVGTQbewPXHwSjsY&#10;9EEOldQDXgLcdHIVRWtpsOGwUGNP+5qKNv81CvIsPp/LI8rx6/DTHpry88nFr0o9zqfdOwhPk7+H&#10;b+1MK1i9LOF6JhwBufkHAAD//wMAUEsBAi0AFAAGAAgAAAAhANvh9svuAAAAhQEAABMAAAAAAAAA&#10;AAAAAAAAAAAAAFtDb250ZW50X1R5cGVzXS54bWxQSwECLQAUAAYACAAAACEAWvQsW78AAAAVAQAA&#10;CwAAAAAAAAAAAAAAAAAfAQAAX3JlbHMvLnJlbHNQSwECLQAUAAYACAAAACEAuw1J18YAAADcAAAA&#10;DwAAAAAAAAAAAAAAAAAHAgAAZHJzL2Rvd25yZXYueG1sUEsFBgAAAAADAAMAtwAAAPoCAAAAAA==&#10;">
                  <v:stroke dashstyle="1 1" endcap="round"/>
                  <v:textbox>
                    <w:txbxContent>
                      <w:p w14:paraId="70764DE9" w14:textId="77777777" w:rsidR="007B24A1" w:rsidRDefault="007B24A1">
                        <w:pPr>
                          <w:jc w:val="center"/>
                          <w:rPr>
                            <w:sz w:val="20"/>
                            <w:szCs w:val="20"/>
                            <w:lang w:val="lt-LT"/>
                          </w:rPr>
                        </w:pPr>
                        <w:r>
                          <w:rPr>
                            <w:lang w:val="lt-LT"/>
                          </w:rPr>
                          <w:t>Įsigyta veiklos dalis</w:t>
                        </w:r>
                      </w:p>
                    </w:txbxContent>
                  </v:textbox>
                </v:rect>
                <v:shape id="AutoShape 194" o:spid="_x0000_s1194" type="#_x0000_t32" style="position:absolute;left:3291;top:3310;width:1;height: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F3xgAAANwAAAAPAAAAZHJzL2Rvd25yZXYueG1sRI9PawIx&#10;FMTvhX6H8IRepGbdVimrUdS24FFtQY/Pzds/dvOybqKu394UBI/DzPyGGU9bU4kzNa60rKDfi0AQ&#10;p1aXnCv4/fl+/QDhPLLGyjIpuJKD6eT5aYyJthde03njcxEg7BJUUHhfJ1K6tCCDrmdr4uBltjHo&#10;g2xyqRu8BLipZBxFQ2mw5LBQYE2LgtK/zckoeP/ad1flOnubHz53eDxk225/uFXqpdPORiA8tf4R&#10;vreXWkE8iOH/TDgCcnIDAAD//wMAUEsBAi0AFAAGAAgAAAAhANvh9svuAAAAhQEAABMAAAAAAAAA&#10;AAAAAAAAAAAAAFtDb250ZW50X1R5cGVzXS54bWxQSwECLQAUAAYACAAAACEAWvQsW78AAAAVAQAA&#10;CwAAAAAAAAAAAAAAAAAfAQAAX3JlbHMvLnJlbHNQSwECLQAUAAYACAAAACEAoluxd8YAAADcAAAA&#10;DwAAAAAAAAAAAAAAAAAHAgAAZHJzL2Rvd25yZXYueG1sUEsFBgAAAAADAAMAtwAAAPoCAAAAAA==&#10;" strokeweight="1.5pt">
                  <v:stroke dashstyle="1 1"/>
                </v:shape>
                <v:shape id="AutoShape 195" o:spid="_x0000_s1195" type="#_x0000_t32" style="position:absolute;left:4425;top:2034;width:3876;height:1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VlxQAAANwAAAAPAAAAZHJzL2Rvd25yZXYueG1sRI9BTwIx&#10;FITvJP6H5pl4IdJ1EaMLhRCIiUdZOOjtZfvYLrSv67ay67+3JiYcJzPzTWaxGpwVF+pC41nBwyQD&#10;QVx53XCt4LB/vX8GESKyRuuZFPxQgNXyZrTAQvued3QpYy0ShEOBCkyMbSFlqAw5DBPfEifv6DuH&#10;McmulrrDPsGdlXmWPUmHDacFgy1tDFXn8tspePcfj9vtC1nfl1+DOU3Huf0kpe5uh/UcRKQhXsP/&#10;7TetIJ9N4e9MOgJy+QsAAP//AwBQSwECLQAUAAYACAAAACEA2+H2y+4AAACFAQAAEwAAAAAAAAAA&#10;AAAAAAAAAAAAW0NvbnRlbnRfVHlwZXNdLnhtbFBLAQItABQABgAIAAAAIQBa9CxbvwAAABUBAAAL&#10;AAAAAAAAAAAAAAAAAB8BAABfcmVscy8ucmVsc1BLAQItABQABgAIAAAAIQB8iUVlxQAAANwAAAAP&#10;AAAAAAAAAAAAAAAAAAcCAABkcnMvZG93bnJldi54bWxQSwUGAAAAAAMAAwC3AAAA+QIAAAAA&#10;" strokeweight="1.5pt">
                  <v:stroke endarrow="block"/>
                </v:shape>
                <v:rect id="Rectangle 196" o:spid="_x0000_s1196" style="position:absolute;left:5061;top:2394;width:300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xQAAANwAAAAPAAAAZHJzL2Rvd25yZXYueG1sRI/NbsIw&#10;EITvSH0Hayv1Bg7pj0qIgxAVFT1CcuG2xNskJV5HsYGUp8dIlXoczcw3mnQxmFacqXeNZQXTSQSC&#10;uLS64UpBka/H7yCcR9bYWiYFv+RgkT2MUky0vfCWzjtfiQBhl6CC2vsukdKVNRl0E9sRB+/b9gZ9&#10;kH0ldY+XADetjKPoTRpsOCzU2NGqpvK4OxkFhyYu8LrNPyMzWz/7ryH/Oe0/lHp6HJZzEJ4G/x/+&#10;a2+0gvj1Be5nwhGQ2Q0AAP//AwBQSwECLQAUAAYACAAAACEA2+H2y+4AAACFAQAAEwAAAAAAAAAA&#10;AAAAAAAAAAAAW0NvbnRlbnRfVHlwZXNdLnhtbFBLAQItABQABgAIAAAAIQBa9CxbvwAAABUBAAAL&#10;AAAAAAAAAAAAAAAAAB8BAABfcmVscy8ucmVsc1BLAQItABQABgAIAAAAIQDxAjfwxQAAANwAAAAP&#10;AAAAAAAAAAAAAAAAAAcCAABkcnMvZG93bnJldi54bWxQSwUGAAAAAAMAAwC3AAAA+QIAAAAA&#10;">
                  <v:textbox>
                    <w:txbxContent>
                      <w:p w14:paraId="2B247A96" w14:textId="77777777" w:rsidR="007B24A1" w:rsidRDefault="007B24A1">
                        <w:pPr>
                          <w:jc w:val="center"/>
                          <w:rPr>
                            <w:sz w:val="20"/>
                            <w:szCs w:val="20"/>
                            <w:lang w:val="lt-LT"/>
                          </w:rPr>
                        </w:pPr>
                        <w:r>
                          <w:rPr>
                            <w:lang w:val="lt-LT"/>
                          </w:rPr>
                          <w:t xml:space="preserve">Įsigyjančiojo vieneto </w:t>
                        </w:r>
                        <w:r>
                          <w:rPr>
                            <w:b/>
                            <w:bCs/>
                            <w:sz w:val="20"/>
                            <w:szCs w:val="20"/>
                            <w:lang w:val="lt-LT"/>
                          </w:rPr>
                          <w:t xml:space="preserve">B </w:t>
                        </w:r>
                        <w:r>
                          <w:rPr>
                            <w:sz w:val="20"/>
                            <w:szCs w:val="20"/>
                            <w:lang w:val="lt-LT"/>
                          </w:rPr>
                          <w:t>akcijos (akcijų kainų skirtumas ( ne daugiau kaip 10%) gali būti</w:t>
                        </w:r>
                        <w:r>
                          <w:rPr>
                            <w:lang w:val="lt-LT"/>
                          </w:rPr>
                          <w:t xml:space="preserve"> </w:t>
                        </w:r>
                        <w:r>
                          <w:rPr>
                            <w:sz w:val="20"/>
                            <w:szCs w:val="20"/>
                            <w:lang w:val="lt-LT"/>
                          </w:rPr>
                          <w:t>išmokama pinigais)</w:t>
                        </w:r>
                      </w:p>
                    </w:txbxContent>
                  </v:textbox>
                </v:rect>
                <v:line id="Line 197" o:spid="_x0000_s1197" style="position:absolute;flip:y;visibility:visible;mso-wrap-style:square" from="4368,1850" to="8598,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P5wwAAANwAAAAPAAAAZHJzL2Rvd25yZXYueG1sRI9fa8JA&#10;EMTfC36HYwXf6kXBUqKn+IdKC740iuRxya1JMLcXsleTfvteodDHYeY3w6w2g2vUgzqpPRuYTRNQ&#10;xIW3NZcGLue351dQEpAtNp7JwDcJbNajpxWm1vf8SY8slCqWsKRooAqhTbWWoiKHMvUtcfRuvnMY&#10;ouxKbTvsY7lr9DxJXrTDmuNChS3tKyru2ZczMD99ZIdjntcnK73gLi+ovYoxk/GwXYIKNIT/8B/9&#10;biO3WMDvmXgE9PoHAAD//wMAUEsBAi0AFAAGAAgAAAAhANvh9svuAAAAhQEAABMAAAAAAAAAAAAA&#10;AAAAAAAAAFtDb250ZW50X1R5cGVzXS54bWxQSwECLQAUAAYACAAAACEAWvQsW78AAAAVAQAACwAA&#10;AAAAAAAAAAAAAAAfAQAAX3JlbHMvLnJlbHNQSwECLQAUAAYACAAAACEA7CyD+cMAAADcAAAADwAA&#10;AAAAAAAAAAAAAAAHAgAAZHJzL2Rvd25yZXYueG1sUEsFBgAAAAADAAMAtwAAAPcCAAAAAA==&#10;" strokeweight="1.5pt">
                  <v:stroke dashstyle="1 1" endarrow="block"/>
                </v:line>
                <v:rect id="Rectangle 198" o:spid="_x0000_s1198" style="position:absolute;left:2121;top:1556;width:2268;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ZxQAAANwAAAAPAAAAZHJzL2Rvd25yZXYueG1sRI9Ba8JA&#10;FITvBf/D8gRvdaMQaaOriLSiUCjVgNfH7jMJZt+G7MbE/vpuodDjMDPfMKvNYGtxp9ZXjhXMpgkI&#10;Yu1MxYWC/Pz+/ALCB2SDtWNS8CAPm/XoaYWZcT1/0f0UChEh7DNUUIbQZFJ6XZJFP3UNcfSurrUY&#10;omwLaVrsI9zWcp4kC2mx4rhQYkO7kvTt1FkF+rU79gUfP/E79+n+0r3pjzRXajIetksQgYbwH/5r&#10;H4yCebqA3zPxCMj1DwAAAP//AwBQSwECLQAUAAYACAAAACEA2+H2y+4AAACFAQAAEwAAAAAAAAAA&#10;AAAAAAAAAAAAW0NvbnRlbnRfVHlwZXNdLnhtbFBLAQItABQABgAIAAAAIQBa9CxbvwAAABUBAAAL&#10;AAAAAAAAAAAAAAAAAB8BAABfcmVscy8ucmVsc1BLAQItABQABgAIAAAAIQANhw+ZxQAAANwAAAAP&#10;AAAAAAAAAAAAAAAAAAcCAABkcnMvZG93bnJldi54bWxQSwUGAAAAAAMAAwC3AAAA+QIAAAAA&#10;" fillcolor="silver">
                  <v:textbox>
                    <w:txbxContent>
                      <w:p w14:paraId="068A9A2C" w14:textId="77777777" w:rsidR="007B24A1" w:rsidRDefault="007B24A1">
                        <w:pPr>
                          <w:jc w:val="center"/>
                          <w:rPr>
                            <w:sz w:val="20"/>
                            <w:szCs w:val="20"/>
                            <w:lang w:val="lt-LT"/>
                          </w:rPr>
                        </w:pPr>
                        <w:r>
                          <w:rPr>
                            <w:lang w:val="lt-LT"/>
                          </w:rPr>
                          <w:t>Perleidžiama veiklos dalis įsipareigojimai</w:t>
                        </w:r>
                      </w:p>
                    </w:txbxContent>
                  </v:textbox>
                </v:rect>
              </v:group>
            </w:pict>
          </mc:Fallback>
        </mc:AlternateContent>
      </w:r>
      <w:r>
        <w:rPr>
          <w:rFonts w:ascii="Times New Roman" w:hAnsi="Times New Roman"/>
          <w:noProof/>
          <w:sz w:val="24"/>
          <w:lang w:val="lt-LT" w:eastAsia="lt-LT"/>
        </w:rPr>
        <w:drawing>
          <wp:inline distT="0" distB="0" distL="0" distR="0" wp14:anchorId="5DE7E687" wp14:editId="2483AB33">
            <wp:extent cx="5732780" cy="202755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noChangeArrowheads="1"/>
                    </pic:cNvPicPr>
                  </pic:nvPicPr>
                  <pic:blipFill>
                    <a:blip r:embed="rId116">
                      <a:extLst>
                        <a:ext uri="{28A0092B-C50C-407E-A947-70E740481C1C}">
                          <a14:useLocalDpi xmlns:a14="http://schemas.microsoft.com/office/drawing/2010/main" val="0"/>
                        </a:ext>
                      </a:extLst>
                    </a:blip>
                    <a:srcRect t="-99977" b="99977"/>
                    <a:stretch>
                      <a:fillRect/>
                    </a:stretch>
                  </pic:blipFill>
                  <pic:spPr>
                    <a:xfrm>
                      <a:off x="0" y="0"/>
                      <a:ext cx="5732780" cy="2027555"/>
                    </a:xfrm>
                    <a:prstGeom prst="rect">
                      <a:avLst/>
                    </a:prstGeom>
                    <a:noFill/>
                    <a:ln>
                      <a:noFill/>
                    </a:ln>
                  </pic:spPr>
                </pic:pic>
              </a:graphicData>
            </a:graphic>
          </wp:inline>
        </w:drawing>
      </w:r>
    </w:p>
    <w:p w14:paraId="2A8E6408" w14:textId="77777777" w:rsidR="00093845" w:rsidRDefault="00093845">
      <w:pPr>
        <w:tabs>
          <w:tab w:val="left" w:pos="1086"/>
        </w:tabs>
        <w:ind w:firstLine="720"/>
        <w:jc w:val="both"/>
        <w:rPr>
          <w:lang w:val="lt-LT"/>
        </w:rPr>
      </w:pPr>
    </w:p>
    <w:p w14:paraId="33A05582" w14:textId="77777777" w:rsidR="00093845" w:rsidRDefault="00093845">
      <w:pPr>
        <w:tabs>
          <w:tab w:val="left" w:pos="1086"/>
        </w:tabs>
        <w:ind w:firstLine="720"/>
        <w:jc w:val="both"/>
        <w:rPr>
          <w:lang w:val="lt-LT"/>
        </w:rPr>
      </w:pPr>
    </w:p>
    <w:p w14:paraId="28FD2476" w14:textId="77777777" w:rsidR="00093845" w:rsidRDefault="000D779E">
      <w:pPr>
        <w:tabs>
          <w:tab w:val="left" w:pos="1086"/>
        </w:tabs>
        <w:ind w:firstLine="720"/>
        <w:jc w:val="both"/>
        <w:rPr>
          <w:lang w:val="lt-LT"/>
        </w:rPr>
      </w:pPr>
      <w:r>
        <w:rPr>
          <w:lang w:val="lt-LT"/>
        </w:rPr>
        <w:t>6.</w:t>
      </w:r>
      <w:r>
        <w:rPr>
          <w:lang w:val="lt-LT"/>
        </w:rPr>
        <w:tab/>
        <w:t xml:space="preserve">Atkreipiame dėmesį, kad šis punktas nėra taikomas tuo atveju, kai perleidžiantysis vienetas šiame punkte nustatyta tvarka savo veiklos dalį perleidžia jau esančiam ar naujai kuriamam vienetui, kartu sumažindamas savo įstatinį kapitalą suma, atitinkančia įsigyjančiajam vienetui perleistą vieneto veiklos dalį, tačiau už tokią įsigytą veiklos dalį įsigyjantysis vienetas mainais savo akcijas išduoda </w:t>
      </w:r>
      <w:r>
        <w:rPr>
          <w:b/>
          <w:bCs/>
          <w:lang w:val="lt-LT"/>
        </w:rPr>
        <w:t>ne</w:t>
      </w:r>
      <w:r>
        <w:rPr>
          <w:lang w:val="lt-LT"/>
        </w:rPr>
        <w:t xml:space="preserve"> </w:t>
      </w:r>
      <w:r>
        <w:rPr>
          <w:b/>
          <w:bCs/>
          <w:lang w:val="lt-LT"/>
        </w:rPr>
        <w:t>visiems</w:t>
      </w:r>
      <w:r>
        <w:rPr>
          <w:lang w:val="lt-LT"/>
        </w:rPr>
        <w:t xml:space="preserve"> perleidžiančiojo vieneto dalyviams, proporcingai jų turimų akcijų skaičiui, o tik vienam ar keliems jo dalyviams.</w:t>
      </w:r>
    </w:p>
    <w:p w14:paraId="126C7A3E" w14:textId="77777777" w:rsidR="00093845" w:rsidRDefault="000D779E">
      <w:pPr>
        <w:ind w:firstLine="720"/>
        <w:jc w:val="both"/>
        <w:rPr>
          <w:lang w:val="lt-LT"/>
        </w:rPr>
      </w:pPr>
      <w:r>
        <w:rPr>
          <w:lang w:val="lt-LT"/>
        </w:rPr>
        <w:t>Pavyzdys</w:t>
      </w:r>
    </w:p>
    <w:p w14:paraId="669A58EA"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 xml:space="preserve">Vienetas X, kurio dalyviai yra A, B, C, perleidžia savo veiklos dalį (gamybos padalinį), su jai priklausančiu turtu, teisėmis ir pareigomis, kurios pagrindu sukuriamas naujas vienetas. </w:t>
      </w:r>
    </w:p>
    <w:p w14:paraId="4A51F24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s>
        <w:rPr>
          <w:lang w:val="lt-LT"/>
        </w:rPr>
      </w:pPr>
      <w:r>
        <w:rPr>
          <w:lang w:val="lt-LT"/>
        </w:rPr>
        <w:tab/>
        <w:t>Tuo pačiu vienetas X sumažina įstatinį kapitalą, anuliuodamas dalį akcijų, t.y. dalyviui C priklausiusių akcijų.</w:t>
      </w:r>
    </w:p>
    <w:p w14:paraId="44C895DD"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Atskirta vieneto X veiklos dalis perduodama naujai steigiamam vienetui Y, kurio visos akcijos priklauso vieneto Y dalyviui C, t.y. buvusiam vieneto X dalyviui.</w:t>
      </w:r>
    </w:p>
    <w:p w14:paraId="5E2A13BA" w14:textId="77777777" w:rsidR="00093845" w:rsidRDefault="000D779E">
      <w:pPr>
        <w:pBdr>
          <w:top w:val="single" w:sz="4" w:space="1" w:color="auto"/>
          <w:left w:val="single" w:sz="4" w:space="4" w:color="auto"/>
          <w:bottom w:val="single" w:sz="4" w:space="1" w:color="auto"/>
          <w:right w:val="single" w:sz="4" w:space="4" w:color="auto"/>
        </w:pBdr>
        <w:tabs>
          <w:tab w:val="left" w:pos="1086"/>
        </w:tabs>
        <w:ind w:firstLine="720"/>
        <w:jc w:val="both"/>
        <w:rPr>
          <w:lang w:val="lt-LT"/>
        </w:rPr>
      </w:pPr>
      <w:r>
        <w:rPr>
          <w:lang w:val="lt-LT"/>
        </w:rPr>
        <w:t>Taigi, perleidimo metu vieneto X dalyvių mainais gautos vieneto Y akcijos nebuvo paskirstytos visiems jo dalyviams, t.y. A, B ir C, proporcingai jų turėtų akcijų skaičiui. Vadinasi, tai nėra atvejis, numatytas PMĮ 41 str. 2 d. 5 punkte.</w:t>
      </w:r>
    </w:p>
    <w:p w14:paraId="0F43BB9D" w14:textId="77777777" w:rsidR="00093845" w:rsidRDefault="00093845">
      <w:pPr>
        <w:pStyle w:val="HTMLiankstoformatuotas"/>
        <w:ind w:firstLine="720"/>
        <w:jc w:val="both"/>
        <w:rPr>
          <w:rFonts w:ascii="Times New Roman" w:hAnsi="Times New Roman" w:cs="Times New Roman"/>
          <w:sz w:val="24"/>
          <w:szCs w:val="24"/>
          <w:lang w:val="lt-LT"/>
        </w:rPr>
      </w:pPr>
    </w:p>
    <w:p w14:paraId="34811EDF"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7. Jei įsigyjantysis vienetas yra užsienio vienetas, nurodytas PMĮ 41 str. 1 d. 2 punkte, tai turi būti įvykdyti papildomi reikalavimai, nustatyti šio straipsnio 3 dalyje (žr. PMĮ 41 str. 3 dalies komentarą). </w:t>
      </w:r>
    </w:p>
    <w:p w14:paraId="588A2AA0" w14:textId="77777777" w:rsidR="00093845" w:rsidRDefault="000D779E">
      <w:pPr>
        <w:pStyle w:val="Pagrindiniotekstotrauka2"/>
        <w:tabs>
          <w:tab w:val="left" w:pos="720"/>
        </w:tabs>
        <w:spacing w:line="240" w:lineRule="auto"/>
        <w:ind w:right="-20" w:firstLine="0"/>
        <w:rPr>
          <w:b w:val="0"/>
          <w:bCs w:val="0"/>
          <w:color w:val="000080"/>
          <w:sz w:val="22"/>
          <w:szCs w:val="22"/>
        </w:rPr>
      </w:pPr>
      <w:r>
        <w:rPr>
          <w:b w:val="0"/>
          <w:bCs w:val="0"/>
          <w:color w:val="000080"/>
          <w:sz w:val="22"/>
          <w:szCs w:val="22"/>
        </w:rPr>
        <w:tab/>
      </w:r>
    </w:p>
    <w:p w14:paraId="47921F41" w14:textId="77777777" w:rsidR="00093845" w:rsidRDefault="000D779E">
      <w:pPr>
        <w:pStyle w:val="HTMLiankstoformatuotas"/>
        <w:ind w:firstLine="720"/>
        <w:jc w:val="both"/>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6) vienetas, toliau tęsiantis veiklą (toliau – perleidžiantysis vienetas), perleidžia veiklą kaip kompleksą arba vieną ar daugiau veiklos dalių kitam vienetui (toliau – įsigyjantysis vienetas) mainais už įsigyjančiojo vieneto akcijas (dalis, pajus); </w:t>
      </w:r>
    </w:p>
    <w:p w14:paraId="4BC5E65E"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b/>
          <w:bCs/>
          <w:sz w:val="24"/>
          <w:lang w:val="lt-LT"/>
        </w:rPr>
        <w:t>Komentaras</w:t>
      </w:r>
    </w:p>
    <w:p w14:paraId="0223714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1.</w:t>
      </w:r>
      <w:r>
        <w:rPr>
          <w:rFonts w:ascii="Times New Roman" w:hAnsi="Times New Roman"/>
          <w:sz w:val="24"/>
          <w:lang w:val="lt-LT"/>
        </w:rPr>
        <w:tab/>
        <w:t xml:space="preserve">Šiame punkte nustatytas perleidimo atvejis, kai vienetas (toliau – perleidžiantysis vienetas), kuris toliau tęsia veiklą, perleidžia </w:t>
      </w:r>
      <w:r>
        <w:rPr>
          <w:rFonts w:ascii="Times New Roman" w:hAnsi="Times New Roman" w:cs="Times New Roman"/>
          <w:sz w:val="24"/>
          <w:szCs w:val="24"/>
          <w:lang w:val="lt-LT"/>
        </w:rPr>
        <w:t xml:space="preserve">veiklą kaip kompleksą, arba vieną ar daugiau veiklos dalių, t.y perleidžia visus, vieną ar keletą savo veiklos padalinių, kitam </w:t>
      </w:r>
      <w:r>
        <w:rPr>
          <w:rFonts w:ascii="Times New Roman" w:hAnsi="Times New Roman"/>
          <w:b/>
          <w:bCs/>
          <w:sz w:val="24"/>
          <w:lang w:val="lt-LT"/>
        </w:rPr>
        <w:t>jau esančiam vienetui</w:t>
      </w:r>
      <w:r>
        <w:rPr>
          <w:rFonts w:ascii="Times New Roman" w:hAnsi="Times New Roman"/>
          <w:sz w:val="24"/>
          <w:lang w:val="lt-LT"/>
        </w:rPr>
        <w:t xml:space="preserve"> (toliau – įsigyjantysis vienetas), ir tokio perleidimo metu išpildomos šios dvi sąlygos:</w:t>
      </w:r>
    </w:p>
    <w:p w14:paraId="24BC7A92"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 xml:space="preserve">perleidžiančiajam vienetui išduodamos įsigyjančiojo vieneto išleistos akcijos (dalys, pajai), atitinkančios perleistą vieneto veiklą kaip kompleksą arba vieną ar daugiau veiklos dalių, ir </w:t>
      </w:r>
    </w:p>
    <w:p w14:paraId="6DB6F01B"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w:t>
      </w:r>
      <w:r>
        <w:rPr>
          <w:rFonts w:ascii="Times New Roman" w:hAnsi="Times New Roman"/>
          <w:sz w:val="24"/>
          <w:lang w:val="lt-LT"/>
        </w:rPr>
        <w:tab/>
        <w:t>susidaręs kainų skirtumas nėra apmokamas pinigais.</w:t>
      </w:r>
    </w:p>
    <w:p w14:paraId="1E262E1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2. Šiame punkte vartojama sąvoka ,,veiklos dalis</w:t>
      </w:r>
      <w:r>
        <w:rPr>
          <w:rFonts w:ascii="Times New Roman" w:hAnsi="Times New Roman" w:cs="Times New Roman"/>
          <w:iCs/>
          <w:sz w:val="24"/>
          <w:szCs w:val="24"/>
          <w:lang w:val="lt-LT"/>
        </w:rPr>
        <w:t>“</w:t>
      </w:r>
      <w:r>
        <w:rPr>
          <w:rFonts w:ascii="Times New Roman" w:hAnsi="Times New Roman"/>
          <w:iCs/>
          <w:sz w:val="24"/>
          <w:szCs w:val="24"/>
          <w:lang w:val="lt-LT"/>
        </w:rPr>
        <w:t xml:space="preserve"> suprantama </w:t>
      </w:r>
      <w:r>
        <w:rPr>
          <w:rFonts w:ascii="Times New Roman" w:hAnsi="Times New Roman" w:cs="Times New Roman"/>
          <w:sz w:val="24"/>
          <w:szCs w:val="24"/>
          <w:lang w:val="lt-LT"/>
        </w:rPr>
        <w:t>kaip turto, teisių ir pareigų visuma, kuri organizaciniu požiūriu sudaro autonomišką ekonominį vienetą, vykdantį veiklą ir galintį atlikti savo funkcijas savo nuožiūra</w:t>
      </w:r>
      <w:r>
        <w:rPr>
          <w:rFonts w:ascii="Times New Roman" w:hAnsi="Times New Roman"/>
          <w:iCs/>
          <w:sz w:val="24"/>
          <w:szCs w:val="24"/>
          <w:lang w:val="lt-LT"/>
        </w:rPr>
        <w:t xml:space="preserve"> (žr. PMĮ 41 str. 2 d. 5 punkto komentarą). </w:t>
      </w:r>
    </w:p>
    <w:p w14:paraId="39C268E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iCs/>
          <w:sz w:val="24"/>
          <w:szCs w:val="24"/>
          <w:lang w:val="lt-LT"/>
        </w:rPr>
      </w:pPr>
      <w:r>
        <w:rPr>
          <w:rFonts w:ascii="Times New Roman" w:hAnsi="Times New Roman"/>
          <w:iCs/>
          <w:sz w:val="24"/>
          <w:szCs w:val="24"/>
          <w:lang w:val="lt-LT"/>
        </w:rPr>
        <w:t>3. Veiklos kaip komplekso perleidimas suprantamas kaip visos vieneto veiklos (t.y. vieneto viso turto, teisių ir pareigų) perleidimas, nepaliekant vienete nė vieno veiklos padalinio, tačiau vienetas toliau tęsia veiklą.</w:t>
      </w:r>
    </w:p>
    <w:p w14:paraId="723ED26F"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p>
    <w:p w14:paraId="6F1BE3D5"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r>
        <w:rPr>
          <w:rFonts w:ascii="Times New Roman" w:hAnsi="Times New Roman"/>
          <w:sz w:val="24"/>
          <w:lang w:val="lt-LT"/>
        </w:rPr>
        <w:t>Schema.</w:t>
      </w:r>
    </w:p>
    <w:p w14:paraId="1C0057CB" w14:textId="77777777" w:rsidR="00093845" w:rsidRDefault="00093845">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sz w:val="24"/>
          <w:lang w:val="lt-LT"/>
        </w:rPr>
      </w:pPr>
    </w:p>
    <w:p w14:paraId="5434D27F" w14:textId="77777777" w:rsidR="00093845" w:rsidRDefault="000D779E">
      <w:pPr>
        <w:pStyle w:val="HTMLiankstoformatuotas"/>
        <w:jc w:val="both"/>
        <w:rPr>
          <w:lang w:val="lt-LT"/>
        </w:rPr>
      </w:pPr>
      <w:r>
        <w:rPr>
          <w:noProof/>
          <w:lang w:val="lt-LT" w:eastAsia="lt-LT"/>
        </w:rPr>
        <mc:AlternateContent>
          <mc:Choice Requires="wps">
            <w:drawing>
              <wp:anchor distT="0" distB="0" distL="114300" distR="114300" simplePos="0" relativeHeight="251628544" behindDoc="0" locked="1" layoutInCell="1" allowOverlap="1" wp14:anchorId="6A4B9B6A" wp14:editId="7196342E">
                <wp:simplePos x="0" y="0"/>
                <wp:positionH relativeFrom="column">
                  <wp:posOffset>14605</wp:posOffset>
                </wp:positionH>
                <wp:positionV relativeFrom="paragraph">
                  <wp:posOffset>14605</wp:posOffset>
                </wp:positionV>
                <wp:extent cx="1656080" cy="1511935"/>
                <wp:effectExtent l="19685" t="17780" r="19685" b="22860"/>
                <wp:wrapNone/>
                <wp:docPr id="24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1511935"/>
                        </a:xfrm>
                        <a:prstGeom prst="rect">
                          <a:avLst/>
                        </a:prstGeom>
                        <a:solidFill>
                          <a:srgbClr val="FFFFFF"/>
                        </a:solidFill>
                        <a:ln w="28575">
                          <a:solidFill>
                            <a:srgbClr val="000000"/>
                          </a:solidFill>
                          <a:miter lim="800000"/>
                        </a:ln>
                      </wps:spPr>
                      <wps:txbx>
                        <w:txbxContent>
                          <w:p w14:paraId="286924D4" w14:textId="77777777" w:rsidR="007B24A1" w:rsidRDefault="007B24A1">
                            <w:pPr>
                              <w:jc w:val="center"/>
                              <w:rPr>
                                <w:sz w:val="20"/>
                                <w:szCs w:val="20"/>
                                <w:lang w:val="lt-LT"/>
                              </w:rPr>
                            </w:pPr>
                            <w:r>
                              <w:rPr>
                                <w:lang w:val="lt-LT"/>
                              </w:rPr>
                              <w:t xml:space="preserve">Perleidžiantysis vienetas </w:t>
                            </w:r>
                            <w:r>
                              <w:rPr>
                                <w:b/>
                                <w:bCs/>
                                <w:sz w:val="20"/>
                                <w:szCs w:val="20"/>
                                <w:lang w:val="lt-LT"/>
                              </w:rPr>
                              <w:t>A</w:t>
                            </w:r>
                          </w:p>
                        </w:txbxContent>
                      </wps:txbx>
                      <wps:bodyPr rot="0" vert="horz" wrap="square" lIns="91440" tIns="45720" rIns="91440" bIns="45720" anchor="t" anchorCtr="0" upright="1">
                        <a:noAutofit/>
                      </wps:bodyPr>
                    </wps:wsp>
                  </a:graphicData>
                </a:graphic>
              </wp:anchor>
            </w:drawing>
          </mc:Choice>
          <mc:Fallback>
            <w:pict>
              <v:rect w14:anchorId="6A4B9B6A" id="Rectangle 199" o:spid="_x0000_s1199" style="position:absolute;left:0;text-align:left;margin-left:1.15pt;margin-top:1.15pt;width:130.4pt;height:119.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oIQIAAD4EAAAOAAAAZHJzL2Uyb0RvYy54bWysU1Fv0zAQfkfiP1h+p0lK07VR02nqVIQ0&#10;2MTgBziOk1g4tjm7Tcav5+x2XQY8Ifxg+Xznz999d7e5HntFjgKcNLqk2SylRGhuaqnbkn77un+3&#10;osR5pmumjBYlfRKOXm/fvtkMthBz0xlVCyAIol0x2JJ23tsiSRzvRM/czFih0dkY6JlHE9qkBjYg&#10;eq+SeZouk8FAbcFw4Rze3p6cdBvxm0Zwf980TniiSorcfNwh7lXYk+2GFS0w20l+psH+gUXPpMZP&#10;L1C3zDNyAPkHVC85GGcaP+OmT0zTSC5iDphNlv6WzWPHrIi5oDjOXmRy/w+Wfz4+AJF1SeeLOSWa&#10;9VikLygb060SJFuvg0SDdQVGPtoHCEk6e2f4d0e02XUYJ24AzNAJViOxLMQnrx4Ew+FTUg2fTI34&#10;7OBNVGtsoA+AqAMZY1GeLkURoyccL7NlvkxXWDuOvizPsvX7PP7BiufnFpz/IExPwqGkgPQjPDve&#10;OR/osOI5JNI3StZ7qVQ0oK12CsiRYYfs4zqju2mY0mRAjVb5VR6hXzndFCON628YvfTY60r2JV1N&#10;g5Q+KxZEOontx2qMVcmy2KNBwsrUTygimFMT49DhoTPwk5IBG7ik7seBgaBEfdRYiHW2WISOj8Yi&#10;v5qjAVNPNfUwzRGqpJ6S03HnT1NysCDbDn/KYt7a3GDxGhllfWF1TgCbNKp9HqgwBVM7Rr2M/fYX&#10;AAAA//8DAFBLAwQUAAYACAAAACEAYxdF1dwAAAAHAQAADwAAAGRycy9kb3ducmV2LnhtbEyOQU+D&#10;QBCF7yb+h82YeDF2KcVGkaUxRA/tSWkv3qYwApHdRWbb4r93TA96evPyXt582WqyvTrSyJ13Buaz&#10;CBS5ytedawzsti+396A4oKux944MfBPDKr+8yDCt/cm90bEMjZIRxykaaEMYUq25askiz/xATrIP&#10;P1oMYsdG1yOeZNz2Oo6ipbbYOfnQ4kBFS9VnebAG0K6bZP31sCl5x89325vild8LY66vpqdHUIGm&#10;8FeGX3xBh1yY9v7gala9gXghxbNIGi8Xc1B7OZIoAZ1n+j9//gMAAP//AwBQSwECLQAUAAYACAAA&#10;ACEAtoM4kv4AAADhAQAAEwAAAAAAAAAAAAAAAAAAAAAAW0NvbnRlbnRfVHlwZXNdLnhtbFBLAQIt&#10;ABQABgAIAAAAIQA4/SH/1gAAAJQBAAALAAAAAAAAAAAAAAAAAC8BAABfcmVscy8ucmVsc1BLAQIt&#10;ABQABgAIAAAAIQDH+EvoIQIAAD4EAAAOAAAAAAAAAAAAAAAAAC4CAABkcnMvZTJvRG9jLnhtbFBL&#10;AQItABQABgAIAAAAIQBjF0XV3AAAAAcBAAAPAAAAAAAAAAAAAAAAAHsEAABkcnMvZG93bnJldi54&#10;bWxQSwUGAAAAAAQABADzAAAAhAUAAAAA&#10;" strokeweight="2.25pt">
                <v:textbox>
                  <w:txbxContent>
                    <w:p w14:paraId="286924D4" w14:textId="77777777" w:rsidR="007B24A1" w:rsidRDefault="007B24A1">
                      <w:pPr>
                        <w:jc w:val="center"/>
                        <w:rPr>
                          <w:sz w:val="20"/>
                          <w:szCs w:val="20"/>
                          <w:lang w:val="lt-LT"/>
                        </w:rPr>
                      </w:pPr>
                      <w:r>
                        <w:rPr>
                          <w:lang w:val="lt-LT"/>
                        </w:rPr>
                        <w:t xml:space="preserve">Perleidžiantysis vienetas </w:t>
                      </w:r>
                      <w:r>
                        <w:rPr>
                          <w:b/>
                          <w:bCs/>
                          <w:sz w:val="20"/>
                          <w:szCs w:val="20"/>
                          <w:lang w:val="lt-LT"/>
                        </w:rPr>
                        <w:t>A</w:t>
                      </w:r>
                    </w:p>
                  </w:txbxContent>
                </v:textbox>
                <w10:anchorlock/>
              </v:rect>
            </w:pict>
          </mc:Fallback>
        </mc:AlternateContent>
      </w:r>
      <w:r>
        <w:rPr>
          <w:noProof/>
          <w:lang w:val="lt-LT" w:eastAsia="lt-LT"/>
        </w:rPr>
        <mc:AlternateContent>
          <mc:Choice Requires="wps">
            <w:drawing>
              <wp:anchor distT="0" distB="0" distL="114300" distR="114300" simplePos="0" relativeHeight="251626496" behindDoc="0" locked="1" layoutInCell="1" allowOverlap="1" wp14:anchorId="2A5CC086" wp14:editId="4352993D">
                <wp:simplePos x="0" y="0"/>
                <wp:positionH relativeFrom="column">
                  <wp:posOffset>0</wp:posOffset>
                </wp:positionH>
                <wp:positionV relativeFrom="paragraph">
                  <wp:posOffset>0</wp:posOffset>
                </wp:positionV>
                <wp:extent cx="5685790" cy="1550670"/>
                <wp:effectExtent l="14605" t="22225" r="5080" b="8255"/>
                <wp:wrapNone/>
                <wp:docPr id="241" name="AutoShap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685790" cy="1550670"/>
                        </a:xfrm>
                        <a:prstGeom prst="rect">
                          <a:avLst/>
                        </a:prstGeom>
                        <a:noFill/>
                        <a:ln w="9525" cap="rnd">
                          <a:solidFill>
                            <a:srgbClr val="FFFFFF"/>
                          </a:solidFill>
                          <a:prstDash val="sysDot"/>
                          <a:miter lim="800000"/>
                        </a:ln>
                      </wps:spPr>
                      <wps:bodyPr rot="0" vert="horz" wrap="square" lIns="91440" tIns="45720" rIns="91440" bIns="45720" anchor="t" anchorCtr="0" upright="1">
                        <a:noAutofit/>
                      </wps:bodyPr>
                    </wps:wsp>
                  </a:graphicData>
                </a:graphic>
              </wp:anchor>
            </w:drawing>
          </mc:Choice>
          <mc:Fallback>
            <w:pict>
              <v:rect w14:anchorId="72859608" id="AutoShape 200" o:spid="_x0000_s1026" style="position:absolute;margin-left:0;margin-top:0;width:447.7pt;height:122.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j8NgIAAEYEAAAOAAAAZHJzL2Uyb0RvYy54bWysU8GO2jAQvVfqP1i+lwAisESE1QpKVWnb&#10;XWm3H2Ach1h1PO7YEOjXd+wAZdtbVR8sjz1+8+bNzOL+2Bp2UOg12JKPBkPOlJVQabsr+bfXzYc7&#10;znwQthIGrCr5SXl+v3z/btG5Qo2hAVMpZARifdG5kjchuCLLvGxUK/wAnLL0WAO2IpCJu6xC0RF6&#10;a7LxcDjNOsDKIUjlPd2u+0e+TPh1rWR4qmuvAjMlJ24h7Zj2bdyz5UIUOxSu0fJMQ/wDi1ZoS0Gv&#10;UGsRBNuj/guq1RLBQx0GEtoM6lpLlXKgbEbDP7J5aYRTKRcSx7urTP7/wcqvh2dkuir5eDLizIqW&#10;ivSwD5BiM5I4StQ5X5Dni3vGmKR3jyC/e2Zh1Qi7Uw/ekdBUfgK4XCFC1yhREdd0/aqO4WOlkxch&#10;Zm8go+EJnG27L1ARA0EMkp7HGtsYkpRix1S207VshMgkXebTu3w2p+pKehvl+XA6S6wzUVy+O/Th&#10;k4KWxUPJkegmeHF49CHSEcXFJUazsNHGpN4wlnUln+fjnPAFdSjaKn31YHQV3ZIiuNuuDLKDoD7b&#10;pBV1I9g3bjHGWvim9/Mnv4bQt2CrA82B0W3J74Zxnb8be9YqytMXYgvViaRCoEQoaRo+OjSAPznr&#10;qJFL7n/sBSrOzGdL6s9Hk0ns/GRM8tmYDLx92d6+CCsJquSBs/64Cv207B3qXZPK1ysUm6TWSbxY&#10;vp7VmSw1a0r+PFhxGm7t5PV7/Je/AAAA//8DAFBLAwQUAAYACAAAACEAqprZJtwAAAAFAQAADwAA&#10;AGRycy9kb3ducmV2LnhtbEyPQUvDQBCF7wX/wzKCt3bTEKXGbEoptB7FtMXrNjsmwexsmtk08d+7&#10;erGXgcd7vPdNtp5sK67Yc+NIwXIRgUAqnWmoUnA87OYrEOw1Gd06QgXfyLDO72aZTo0b6R2vha9E&#10;KCFOtYLa+y6VkssareaF65CC9+l6q32QfSVNr8dQblsZR9GTtLqhsFDrDrc1ll/FYBXsPvZvJ8eN&#10;Ly7beH/ky2Y5vI5KPdxPmxcQHif/H4Zf/IAOeWA6u4EMi1ZBeMT/3eCtnh8TEGcFcZLEIPNM3tLn&#10;PwAAAP//AwBQSwECLQAUAAYACAAAACEAtoM4kv4AAADhAQAAEwAAAAAAAAAAAAAAAAAAAAAAW0Nv&#10;bnRlbnRfVHlwZXNdLnhtbFBLAQItABQABgAIAAAAIQA4/SH/1gAAAJQBAAALAAAAAAAAAAAAAAAA&#10;AC8BAABfcmVscy8ucmVsc1BLAQItABQABgAIAAAAIQDDajj8NgIAAEYEAAAOAAAAAAAAAAAAAAAA&#10;AC4CAABkcnMvZTJvRG9jLnhtbFBLAQItABQABgAIAAAAIQCqmtkm3AAAAAUBAAAPAAAAAAAAAAAA&#10;AAAAAJAEAABkcnMvZG93bnJldi54bWxQSwUGAAAAAAQABADzAAAAmQUAAAAA&#10;" filled="f" strokecolor="white">
                <v:stroke dashstyle="1 1" endcap="round"/>
                <o:lock v:ext="edit" aspectratio="t" text="t"/>
                <w10:anchorlock/>
              </v:rect>
            </w:pict>
          </mc:Fallback>
        </mc:AlternateContent>
      </w:r>
      <w:r>
        <w:rPr>
          <w:noProof/>
          <w:lang w:val="lt-LT" w:eastAsia="lt-LT"/>
        </w:rPr>
        <mc:AlternateContent>
          <mc:Choice Requires="wps">
            <w:drawing>
              <wp:anchor distT="0" distB="0" distL="114300" distR="114300" simplePos="0" relativeHeight="251627520" behindDoc="0" locked="1" layoutInCell="1" allowOverlap="1" wp14:anchorId="52CD9AB7" wp14:editId="34B54B5A">
                <wp:simplePos x="0" y="0"/>
                <wp:positionH relativeFrom="column">
                  <wp:posOffset>4015105</wp:posOffset>
                </wp:positionH>
                <wp:positionV relativeFrom="paragraph">
                  <wp:posOffset>14605</wp:posOffset>
                </wp:positionV>
                <wp:extent cx="1656080" cy="1511935"/>
                <wp:effectExtent l="19685" t="17780" r="19685" b="22860"/>
                <wp:wrapNone/>
                <wp:docPr id="239"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080" cy="1511935"/>
                        </a:xfrm>
                        <a:prstGeom prst="rect">
                          <a:avLst/>
                        </a:prstGeom>
                        <a:solidFill>
                          <a:srgbClr val="FFFFFF"/>
                        </a:solidFill>
                        <a:ln w="28575">
                          <a:solidFill>
                            <a:srgbClr val="000000"/>
                          </a:solidFill>
                          <a:miter lim="800000"/>
                        </a:ln>
                      </wps:spPr>
                      <wps:txbx>
                        <w:txbxContent>
                          <w:p w14:paraId="4DFB841F" w14:textId="77777777" w:rsidR="007B24A1" w:rsidRDefault="007B24A1">
                            <w:pPr>
                              <w:jc w:val="center"/>
                              <w:rPr>
                                <w:sz w:val="18"/>
                                <w:szCs w:val="18"/>
                                <w:lang w:val="lt-LT"/>
                              </w:rPr>
                            </w:pPr>
                            <w:r>
                              <w:rPr>
                                <w:sz w:val="18"/>
                                <w:szCs w:val="18"/>
                                <w:lang w:val="lt-LT"/>
                              </w:rPr>
                              <w:t xml:space="preserve">Įsigyjantysis vienetas </w:t>
                            </w:r>
                            <w:r>
                              <w:rPr>
                                <w:b/>
                                <w:bCs/>
                                <w:sz w:val="18"/>
                                <w:szCs w:val="18"/>
                                <w:lang w:val="lt-LT"/>
                              </w:rPr>
                              <w:t>B</w:t>
                            </w:r>
                          </w:p>
                        </w:txbxContent>
                      </wps:txbx>
                      <wps:bodyPr rot="0" vert="horz" wrap="square" lIns="91440" tIns="45720" rIns="91440" bIns="45720" anchor="t" anchorCtr="0" upright="1">
                        <a:noAutofit/>
                      </wps:bodyPr>
                    </wps:wsp>
                  </a:graphicData>
                </a:graphic>
              </wp:anchor>
            </w:drawing>
          </mc:Choice>
          <mc:Fallback>
            <w:pict>
              <v:rect w14:anchorId="52CD9AB7" id="Rectangle 201" o:spid="_x0000_s1200" style="position:absolute;left:0;text-align:left;margin-left:316.15pt;margin-top:1.15pt;width:130.4pt;height:119.0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fpHgIAAD4EAAAOAAAAZHJzL2Uyb0RvYy54bWysU8GO0zAQvSPxD5bvNEm36bZR09WqqyKk&#10;hV2x8AGO4yQWjm3GbpPy9UyctmSBE8IHy+MZP795M7O561tFjgKcNDqnySymRGhuSqnrnH79sn+3&#10;osR5pkumjBY5PQlH77Zv32w6m4m5aYwqBRAE0S7rbE4b720WRY43omVuZqzQ6KwMtMyjCXVUAusQ&#10;vVXRPI6XUWegtGC4cA5vH0Yn3Qb8qhLcP1WVE56onCI3H3YIezHs0XbDshqYbSQ/02D/wKJlUuOn&#10;V6gH5hk5gPwDqpUcjDOVn3HTRqaqJBchB8wmiX/L5qVhVoRcUBxnrzK5/wfLPx2fgcgyp/ObNSWa&#10;tVikzygb07USBEkNEnXWZRj5Yp9hSNLZR8O/OaLNrsE4cQ9gukawEomF+OjVg8Fw+JQU3UdTIj47&#10;eBPU6itoB0DUgfShKKdrUUTvCcfLZJku4xXWjqMvSZNkfZMOnCKWXZ5bcP69MC0ZDjkFpB/g2fHR&#10;+TH0EhLoGyXLvVQqGFAXOwXkyLBD9mGd0d00TGnSoUar9DYN0K+cbooRh/U3jFZ67HUl25yupkFK&#10;YzYXkUaxfV/0oSpJci1AYcoTighmbGIcOjw0Bn5Q0mED59R9PzAQlKgPGguxThaLoeODsUhv52jA&#10;1FNMPUxzhMqpp2Q87vw4JQcLsm7wpyTkrc09Fq+SQdaB88jqnAA2aSjMeaCGKZjaIerX2G9/AgAA&#10;//8DAFBLAwQUAAYACAAAACEAaZjZsN8AAAAJAQAADwAAAGRycy9kb3ducmV2LnhtbEyPQU+DQBCF&#10;7yb+h82YeDF2acGmRZbGED3Uk9JevE1hBCK7i8y2xX/v9KSnyct7efO9bDPZXp1o5M47A/NZBIpc&#10;5evONQb2u5f7FSgO6GrsvSMDP8Swya+vMkxrf3bvdCpDo6TEcYoG2hCGVGuuWrLIMz+QE+/TjxaD&#10;yLHR9YhnKbe9XkTRUlvsnHxocaCipeqrPFoDaLdNsv1ev5a85+eH3V3xxh+FMbc309MjqEBT+AvD&#10;BV/QIRemgz+6mlVvYBkvYokauBzxV+t4DuogOokS0Hmm/y/IfwEAAP//AwBQSwECLQAUAAYACAAA&#10;ACEAtoM4kv4AAADhAQAAEwAAAAAAAAAAAAAAAAAAAAAAW0NvbnRlbnRfVHlwZXNdLnhtbFBLAQIt&#10;ABQABgAIAAAAIQA4/SH/1gAAAJQBAAALAAAAAAAAAAAAAAAAAC8BAABfcmVscy8ucmVsc1BLAQIt&#10;ABQABgAIAAAAIQCoY3fpHgIAAD4EAAAOAAAAAAAAAAAAAAAAAC4CAABkcnMvZTJvRG9jLnhtbFBL&#10;AQItABQABgAIAAAAIQBpmNmw3wAAAAkBAAAPAAAAAAAAAAAAAAAAAHgEAABkcnMvZG93bnJldi54&#10;bWxQSwUGAAAAAAQABADzAAAAhAUAAAAA&#10;" strokeweight="2.25pt">
                <v:textbox>
                  <w:txbxContent>
                    <w:p w14:paraId="4DFB841F" w14:textId="77777777" w:rsidR="007B24A1" w:rsidRDefault="007B24A1">
                      <w:pPr>
                        <w:jc w:val="center"/>
                        <w:rPr>
                          <w:sz w:val="18"/>
                          <w:szCs w:val="18"/>
                          <w:lang w:val="lt-LT"/>
                        </w:rPr>
                      </w:pPr>
                      <w:r>
                        <w:rPr>
                          <w:sz w:val="18"/>
                          <w:szCs w:val="18"/>
                          <w:lang w:val="lt-LT"/>
                        </w:rPr>
                        <w:t xml:space="preserve">Įsigyjantysis vienetas </w:t>
                      </w:r>
                      <w:r>
                        <w:rPr>
                          <w:b/>
                          <w:bCs/>
                          <w:sz w:val="18"/>
                          <w:szCs w:val="18"/>
                          <w:lang w:val="lt-LT"/>
                        </w:rPr>
                        <w:t>B</w:t>
                      </w:r>
                    </w:p>
                  </w:txbxContent>
                </v:textbox>
                <w10:anchorlock/>
              </v:rect>
            </w:pict>
          </mc:Fallback>
        </mc:AlternateContent>
      </w:r>
      <w:r>
        <w:rPr>
          <w:noProof/>
          <w:lang w:val="lt-LT" w:eastAsia="lt-LT"/>
        </w:rPr>
        <mc:AlternateContent>
          <mc:Choice Requires="wps">
            <w:drawing>
              <wp:anchor distT="0" distB="0" distL="114300" distR="114300" simplePos="0" relativeHeight="251629568" behindDoc="0" locked="1" layoutInCell="1" allowOverlap="1" wp14:anchorId="2A18929D" wp14:editId="0BBD5F7D">
                <wp:simplePos x="0" y="0"/>
                <wp:positionH relativeFrom="column">
                  <wp:posOffset>128905</wp:posOffset>
                </wp:positionH>
                <wp:positionV relativeFrom="paragraph">
                  <wp:posOffset>929005</wp:posOffset>
                </wp:positionV>
                <wp:extent cx="1440180" cy="431800"/>
                <wp:effectExtent l="10160" t="8255" r="6985" b="7620"/>
                <wp:wrapNone/>
                <wp:docPr id="238"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rect">
                          <a:avLst/>
                        </a:prstGeom>
                        <a:solidFill>
                          <a:srgbClr val="FFFFFF"/>
                        </a:solidFill>
                        <a:ln w="9525">
                          <a:solidFill>
                            <a:srgbClr val="000000"/>
                          </a:solidFill>
                          <a:miter lim="800000"/>
                        </a:ln>
                      </wps:spPr>
                      <wps:txbx>
                        <w:txbxContent>
                          <w:p w14:paraId="70375DFC" w14:textId="77777777" w:rsidR="007B24A1" w:rsidRDefault="007B24A1">
                            <w:pPr>
                              <w:jc w:val="center"/>
                              <w:rPr>
                                <w:sz w:val="20"/>
                                <w:szCs w:val="20"/>
                                <w:lang w:val="lt-LT"/>
                              </w:rPr>
                            </w:pPr>
                            <w:r>
                              <w:rPr>
                                <w:lang w:val="lt-LT"/>
                              </w:rPr>
                              <w:t>Įstatinis kapitalas</w:t>
                            </w:r>
                          </w:p>
                          <w:p w14:paraId="171D882E" w14:textId="77777777" w:rsidR="007B24A1" w:rsidRDefault="007B24A1">
                            <w:pPr>
                              <w:jc w:val="center"/>
                              <w:rPr>
                                <w:sz w:val="20"/>
                                <w:szCs w:val="20"/>
                                <w:lang w:val="lt-LT"/>
                              </w:rPr>
                            </w:pPr>
                            <w:r>
                              <w:rPr>
                                <w:lang w:val="lt-LT"/>
                              </w:rPr>
                              <w:t>nėra mažinamas</w:t>
                            </w:r>
                          </w:p>
                        </w:txbxContent>
                      </wps:txbx>
                      <wps:bodyPr rot="0" vert="horz" wrap="square" lIns="91440" tIns="45720" rIns="91440" bIns="45720" anchor="t" anchorCtr="0" upright="1">
                        <a:noAutofit/>
                      </wps:bodyPr>
                    </wps:wsp>
                  </a:graphicData>
                </a:graphic>
              </wp:anchor>
            </w:drawing>
          </mc:Choice>
          <mc:Fallback>
            <w:pict>
              <v:rect w14:anchorId="2A18929D" id="Rectangle 202" o:spid="_x0000_s1201" style="position:absolute;left:0;text-align:left;margin-left:10.15pt;margin-top:73.15pt;width:113.4pt;height:34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CXCHwIAADwEAAAOAAAAZHJzL2Uyb0RvYy54bWysU9tu1DAQfUfiHyy/s7l0F9pos1W11SKk&#10;QisKH+A4TmLhG2PvJuXrGTvbZQs8IfxgeTLjkznnjNfXk1bkIMBLa2paLHJKhOG2laav6dcvuzeX&#10;lPjATMuUNaKmT8LT683rV+vRVaK0g1WtAIIgxlejq+kQgquyzPNBaOYX1gmDyc6CZgFD6LMW2Ijo&#10;WmVlnr/NRgutA8uF9/j1dk7STcLvOsHDfdd5EYiqKfYW0g5pb+Kebdas6oG5QfJjG+wfutBMGvzp&#10;CeqWBUb2IP+A0pKD9bYLC251ZrtOcpE4IJsi/43N48CcSFxQHO9OMvn/B8s/HR6AyLam5QVaZZhG&#10;kz6jbMz0SpAyL6NEo/MVVj66B4gkvbuz/Jsnxm4HrBM3AHYcBGuxsSLWZy8uxMDjVdKMH22L+Gwf&#10;bFJr6kBHQNSBTMmUp5MpYgqE48diucyLS/SOY255gcfkWsaq59sOfHgvrCbxUFPA7hM6O9z5ELth&#10;1XNJ6t4q2e6kUimAvtkqIAeGA7JLKxFAkudlypCxplercpWQX+T8OUSe1t8gtAw46UrqmiIFXMci&#10;ZY56RYlmqcPUTMmTojjJ39j2CSUEO48wPjk8DBZ+UDLi+NbUf98zEJSoDwZtuIqy4bynYLl6V2IA&#10;55nmPMMMR6iaBkrm4zbMb2TvQPYD/qlIvI29Qes6mVSNts5dHQngiCaxj88pvoHzOFX9evSbnwAA&#10;AP//AwBQSwMEFAAGAAgAAAAhAMifzbXeAAAACgEAAA8AAABkcnMvZG93bnJldi54bWxMj81OwzAQ&#10;hO9IvIO1SNyo86dCQ5wKgYrEsU0v3DaxmwTidRQ7beDpWU5wm90ZzX5bbBc7iLOZfO9IQbyKQBhq&#10;nO6pVXCsdncPIHxA0jg4Mgq+jIdteX1VYK7dhfbmfAit4BLyOSroQhhzKX3TGYt+5UZD7J3cZDHw&#10;OLVST3jhcjvIJIrW0mJPfKHD0Tx3pvk8zFZB3SdH/N5Xr5Hd7NLwtlQf8/uLUrc3y9MjiGCW8BeG&#10;X3xGh5KZajeT9mJQkEQpJ3mfrVlwIMnuYxA1izhLQZaF/P9C+QMAAP//AwBQSwECLQAUAAYACAAA&#10;ACEAtoM4kv4AAADhAQAAEwAAAAAAAAAAAAAAAAAAAAAAW0NvbnRlbnRfVHlwZXNdLnhtbFBLAQIt&#10;ABQABgAIAAAAIQA4/SH/1gAAAJQBAAALAAAAAAAAAAAAAAAAAC8BAABfcmVscy8ucmVsc1BLAQIt&#10;ABQABgAIAAAAIQAX7CXCHwIAADwEAAAOAAAAAAAAAAAAAAAAAC4CAABkcnMvZTJvRG9jLnhtbFBL&#10;AQItABQABgAIAAAAIQDIn8213gAAAAoBAAAPAAAAAAAAAAAAAAAAAHkEAABkcnMvZG93bnJldi54&#10;bWxQSwUGAAAAAAQABADzAAAAhAUAAAAA&#10;">
                <v:textbox>
                  <w:txbxContent>
                    <w:p w14:paraId="70375DFC" w14:textId="77777777" w:rsidR="007B24A1" w:rsidRDefault="007B24A1">
                      <w:pPr>
                        <w:jc w:val="center"/>
                        <w:rPr>
                          <w:sz w:val="20"/>
                          <w:szCs w:val="20"/>
                          <w:lang w:val="lt-LT"/>
                        </w:rPr>
                      </w:pPr>
                      <w:r>
                        <w:rPr>
                          <w:lang w:val="lt-LT"/>
                        </w:rPr>
                        <w:t>Įstatinis kapitalas</w:t>
                      </w:r>
                    </w:p>
                    <w:p w14:paraId="171D882E" w14:textId="77777777" w:rsidR="007B24A1" w:rsidRDefault="007B24A1">
                      <w:pPr>
                        <w:jc w:val="center"/>
                        <w:rPr>
                          <w:sz w:val="20"/>
                          <w:szCs w:val="20"/>
                          <w:lang w:val="lt-LT"/>
                        </w:rPr>
                      </w:pPr>
                      <w:r>
                        <w:rPr>
                          <w:lang w:val="lt-LT"/>
                        </w:rPr>
                        <w:t>nėra mažinamas</w:t>
                      </w:r>
                    </w:p>
                  </w:txbxContent>
                </v:textbox>
                <w10:anchorlock/>
              </v:rect>
            </w:pict>
          </mc:Fallback>
        </mc:AlternateContent>
      </w:r>
      <w:r>
        <w:rPr>
          <w:noProof/>
          <w:lang w:val="lt-LT" w:eastAsia="lt-LT"/>
        </w:rPr>
        <mc:AlternateContent>
          <mc:Choice Requires="wps">
            <w:drawing>
              <wp:anchor distT="0" distB="0" distL="114300" distR="114300" simplePos="0" relativeHeight="251630592" behindDoc="0" locked="1" layoutInCell="1" allowOverlap="1" wp14:anchorId="7B04F8B3" wp14:editId="08C5F75F">
                <wp:simplePos x="0" y="0"/>
                <wp:positionH relativeFrom="column">
                  <wp:posOffset>147320</wp:posOffset>
                </wp:positionH>
                <wp:positionV relativeFrom="paragraph">
                  <wp:posOffset>459105</wp:posOffset>
                </wp:positionV>
                <wp:extent cx="1421130" cy="409575"/>
                <wp:effectExtent l="0" t="0" r="26670" b="28575"/>
                <wp:wrapNone/>
                <wp:docPr id="237"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409575"/>
                        </a:xfrm>
                        <a:prstGeom prst="rect">
                          <a:avLst/>
                        </a:prstGeom>
                        <a:solidFill>
                          <a:srgbClr val="C0C0C0"/>
                        </a:solidFill>
                        <a:ln w="9525">
                          <a:solidFill>
                            <a:srgbClr val="000000"/>
                          </a:solidFill>
                          <a:miter lim="800000"/>
                        </a:ln>
                      </wps:spPr>
                      <wps:txbx>
                        <w:txbxContent>
                          <w:p w14:paraId="49705409" w14:textId="77777777" w:rsidR="007B24A1" w:rsidRPr="001D56A5" w:rsidRDefault="007B24A1">
                            <w:pPr>
                              <w:jc w:val="center"/>
                              <w:rPr>
                                <w:sz w:val="20"/>
                                <w:szCs w:val="20"/>
                                <w:lang w:val="lt-LT"/>
                              </w:rPr>
                            </w:pPr>
                            <w:r w:rsidRPr="001D56A5">
                              <w:rPr>
                                <w:sz w:val="20"/>
                                <w:szCs w:val="20"/>
                                <w:lang w:val="lt-LT"/>
                              </w:rPr>
                              <w:t>Perleidžiamas veiklos kompleksas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04F8B3" id="Rectangle 203" o:spid="_x0000_s1202" style="position:absolute;left:0;text-align:left;margin-left:11.6pt;margin-top:36.15pt;width:111.9pt;height:3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v1IAIAADwEAAAOAAAAZHJzL2Uyb0RvYy54bWysU21v0zAQ/o7Ef7D8nealLV2jptPUaQhp&#10;sInBD3AcJ7FwbHN2m5Rfz9ntugz4hEgky+c7P37uubvN9dgrchDgpNElzWYpJUJzU0vdlvTb17t3&#10;V5Q4z3TNlNGipEfh6PX27ZvNYAuRm86oWgBBEO2KwZa0894WSeJ4J3rmZsYKjc7GQM88mtAmNbAB&#10;0XuV5Gn6PhkM1BYMF87h6e3JSbcRv2kE9w9N44QnqqTIzccV4lqFNdluWNECs53kZxrsH1j0TGp8&#10;9AJ1yzwje5B/QPWSg3Gm8TNu+sQ0jeQi5oDZZOlv2Tx1zIqYC4rj7EUm9/9g+efDIxBZlzSfryjR&#10;rMcifUHZmG6VIHk6DxIN1hUY+WQfISTp7L3h3x3RZtdhnLgBMEMnWI3EshCfvLoQDIdXSTV8MjXi&#10;s703Ua2xgT4Aog5kjEU5XooiRk84HmaLPMvmWDuOvkW6Xq6W8QlWPN+24PwHYXoSNiUFZB/R2eHe&#10;+cCGFc8hkb1Rsr6TSkUD2mqngBwYNsguDf8Z3U3DlCZDSdfLfBmRX/ncFCKN398geumx05XsS3o1&#10;DVL6rFeQ6CS1H6sx1gQTD1BBwMrUR5QQzKmFceRw0xn4ScmA7VtS92PPQFCiPmoswzpbLEK/R2Ox&#10;XOVowNRTTT1Mc4QqqafktN3504zsLci2w5eymLc2N1i6RkZVX1idE8AWjWKfxynMwNSOUS9Dv/0F&#10;AAD//wMAUEsDBBQABgAIAAAAIQBwB4Ta3wAAAAkBAAAPAAAAZHJzL2Rvd25yZXYueG1sTI9dS8Qw&#10;EEXfBf9DGME3NzV1P6xNFxEVFhbEteBrNh3bYjMpTbqt/nrHJ30c7uHOufl2dp044RBaTxquFwkI&#10;JOurlmoN5dvT1QZEiIYq03lCDV8YYFucn+Umq/xEr3g6xFpwCYXMaGhi7DMpg23QmbDwPRJnH35w&#10;JvI51LIazMTlrpMqSVbSmZb4Q2N6fGjQfh5Gp8Hejruppt2L+S7D8vl9fLT7Zan15cV8fwci4hz/&#10;YPjVZ3Uo2OnoR6qC6DSoVDGpYa1SEJyrmzVvOzKYrjYgi1z+X1D8AAAA//8DAFBLAQItABQABgAI&#10;AAAAIQC2gziS/gAAAOEBAAATAAAAAAAAAAAAAAAAAAAAAABbQ29udGVudF9UeXBlc10ueG1sUEsB&#10;Ai0AFAAGAAgAAAAhADj9If/WAAAAlAEAAAsAAAAAAAAAAAAAAAAALwEAAF9yZWxzLy5yZWxzUEsB&#10;Ai0AFAAGAAgAAAAhACo9y/UgAgAAPAQAAA4AAAAAAAAAAAAAAAAALgIAAGRycy9lMm9Eb2MueG1s&#10;UEsBAi0AFAAGAAgAAAAhAHAHhNrfAAAACQEAAA8AAAAAAAAAAAAAAAAAegQAAGRycy9kb3ducmV2&#10;LnhtbFBLBQYAAAAABAAEAPMAAACGBQAAAAA=&#10;" fillcolor="silver">
                <v:textbox>
                  <w:txbxContent>
                    <w:p w14:paraId="49705409" w14:textId="77777777" w:rsidR="007B24A1" w:rsidRPr="001D56A5" w:rsidRDefault="007B24A1">
                      <w:pPr>
                        <w:jc w:val="center"/>
                        <w:rPr>
                          <w:sz w:val="20"/>
                          <w:szCs w:val="20"/>
                          <w:lang w:val="lt-LT"/>
                        </w:rPr>
                      </w:pPr>
                      <w:r w:rsidRPr="001D56A5">
                        <w:rPr>
                          <w:sz w:val="20"/>
                          <w:szCs w:val="20"/>
                          <w:lang w:val="lt-LT"/>
                        </w:rPr>
                        <w:t>Perleidžiamas veiklos kompleksas</w:t>
                      </w:r>
                    </w:p>
                  </w:txbxContent>
                </v:textbox>
                <w10:anchorlock/>
              </v:rect>
            </w:pict>
          </mc:Fallback>
        </mc:AlternateContent>
      </w:r>
      <w:r>
        <w:rPr>
          <w:noProof/>
          <w:lang w:val="lt-LT" w:eastAsia="lt-LT"/>
        </w:rPr>
        <mc:AlternateContent>
          <mc:Choice Requires="wps">
            <w:drawing>
              <wp:anchor distT="0" distB="0" distL="114300" distR="114300" simplePos="0" relativeHeight="251631616" behindDoc="0" locked="1" layoutInCell="1" allowOverlap="1" wp14:anchorId="2DAFB33B" wp14:editId="487BAF5B">
                <wp:simplePos x="0" y="0"/>
                <wp:positionH relativeFrom="column">
                  <wp:posOffset>848995</wp:posOffset>
                </wp:positionH>
                <wp:positionV relativeFrom="paragraph">
                  <wp:posOffset>789305</wp:posOffset>
                </wp:positionV>
                <wp:extent cx="0" cy="139700"/>
                <wp:effectExtent l="6350" t="11430" r="12700" b="10795"/>
                <wp:wrapNone/>
                <wp:docPr id="236"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cap="rnd">
                          <a:solidFill>
                            <a:srgbClr val="000000"/>
                          </a:solidFill>
                          <a:prstDash val="sysDot"/>
                          <a:round/>
                        </a:ln>
                      </wps:spPr>
                      <wps:bodyPr/>
                    </wps:wsp>
                  </a:graphicData>
                </a:graphic>
              </wp:anchor>
            </w:drawing>
          </mc:Choice>
          <mc:Fallback>
            <w:pict>
              <v:shape w14:anchorId="486B7EDF" id="AutoShape 204" o:spid="_x0000_s1026" type="#_x0000_t32" style="position:absolute;margin-left:66.85pt;margin-top:62.15pt;width:0;height:11pt;z-index:25163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2Wy1wEAAIsDAAAOAAAAZHJzL2Uyb0RvYy54bWysU8GO0zAQvSPxD5bvNGmXXdio6Qq1Wi4L&#10;VNrlA6aOk1g4HmvGbdq/x3bassANkYMV2/Pem3kzXj4cBysOmtigq+V8VkqhncLGuK6W318e332U&#10;ggO4Biw6XcuTZvmwevtmOfpKL7BH22gSkcRxNfpa9iH4qihY9XoAnqHXLl62SAOEuKWuaAjGyD7Y&#10;YlGWd8WI1HhCpZnj6Wa6lKvM37ZahW9tyzoIW8uYW8gr5XWX1mK1hKoj8L1R5zTgH7IYwLgoeqXa&#10;QACxJ/MX1WAUIWMbZgqHAtvWKJ1riNXMyz+qee7B61xLNIf91Sb+f7Tq62FLwjS1XNzcSeFgiE36&#10;tA+YtcWifJ8sGj1XMXLttpSKVEf37J9Q/WDhcN2D63QOfzn5iJ4nRPEbJG3YR6Hd+AWbGANRIft1&#10;bGlIlNEJccxtOV3boo9BqOlQxdP5zf2HMnesgOqC88Ths8ZBpJ9aciAwXR/W6FzsPdI8q8DhiUPK&#10;CqoLIIk6fDTW5hGwToy1vL9d3EqhIA4iuSZDGa1pUlgCMHW7tSVxgDRO+cvFxpvXYUljA9xPcXzi&#10;DYZp0gj3rpkSse7sUjJmsniHzWlLF/dix3PG5+lMI/V6n9G/3tDqJwAAAP//AwBQSwMEFAAGAAgA&#10;AAAhANzSySneAAAACwEAAA8AAABkcnMvZG93bnJldi54bWxMj0FPwzAMhe9I/IfISNxYyjqNUZpO&#10;gAQHxIRoxz1rTFvROCVJt8Kvx+MCt/fsp+fP+XqyvdijD50jBZezBARS7UxHjYJt9XCxAhGiJqN7&#10;R6jgCwOsi9OTXGfGHegV92VsBJdQyLSCNsYhkzLULVodZm5A4t2781ZHtr6RxusDl9tezpNkKa3u&#10;iC+0esD7FuuPcrQKNi9jdff8eG3K6o2axH9rTD+flDo/m25vQESc4l8YjviMDgUz7dxIJoiefZpe&#10;cZTFfJGCOCZ+JzsWi2UKssjl/x+KHwAAAP//AwBQSwECLQAUAAYACAAAACEAtoM4kv4AAADhAQAA&#10;EwAAAAAAAAAAAAAAAAAAAAAAW0NvbnRlbnRfVHlwZXNdLnhtbFBLAQItABQABgAIAAAAIQA4/SH/&#10;1gAAAJQBAAALAAAAAAAAAAAAAAAAAC8BAABfcmVscy8ucmVsc1BLAQItABQABgAIAAAAIQBHn2Wy&#10;1wEAAIsDAAAOAAAAAAAAAAAAAAAAAC4CAABkcnMvZTJvRG9jLnhtbFBLAQItABQABgAIAAAAIQDc&#10;0skp3gAAAAsBAAAPAAAAAAAAAAAAAAAAADEEAABkcnMvZG93bnJldi54bWxQSwUGAAAAAAQABADz&#10;AAAAPAUAAAAA&#10;">
                <v:stroke dashstyle="1 1" endcap="round"/>
                <w10:anchorlock/>
              </v:shape>
            </w:pict>
          </mc:Fallback>
        </mc:AlternateContent>
      </w:r>
      <w:r>
        <w:rPr>
          <w:noProof/>
          <w:lang w:val="lt-LT" w:eastAsia="lt-LT"/>
        </w:rPr>
        <mc:AlternateContent>
          <mc:Choice Requires="wps">
            <w:drawing>
              <wp:anchor distT="0" distB="0" distL="114300" distR="114300" simplePos="0" relativeHeight="251632640" behindDoc="0" locked="1" layoutInCell="1" allowOverlap="1" wp14:anchorId="4C03167E" wp14:editId="2D82B0D9">
                <wp:simplePos x="0" y="0"/>
                <wp:positionH relativeFrom="column">
                  <wp:posOffset>848995</wp:posOffset>
                </wp:positionH>
                <wp:positionV relativeFrom="paragraph">
                  <wp:posOffset>789305</wp:posOffset>
                </wp:positionV>
                <wp:extent cx="0" cy="139700"/>
                <wp:effectExtent l="53975" t="11430" r="60325" b="20320"/>
                <wp:wrapNone/>
                <wp:docPr id="235"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tailEnd type="triangle" w="med" len="med"/>
                        </a:ln>
                      </wps:spPr>
                      <wps:bodyPr/>
                    </wps:wsp>
                  </a:graphicData>
                </a:graphic>
              </wp:anchor>
            </w:drawing>
          </mc:Choice>
          <mc:Fallback>
            <w:pict>
              <v:shape w14:anchorId="5140AFDE" id="AutoShape 205" o:spid="_x0000_s1026" type="#_x0000_t32" style="position:absolute;margin-left:66.85pt;margin-top:62.15pt;width:0;height:11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Wp3QEAAJUDAAAOAAAAZHJzL2Uyb0RvYy54bWysU8FuGyEQvVfqPyDu9e46ctusvI4qp+kl&#10;bS0l+QAM7C4qMGjAXvvvO2DHSZtbVQ4ImJn3Zt4My5uDs2yvMRrwHW9mNWfaS1DGDx1/erz78Jmz&#10;mIRXwoLXHT/qyG9W798tp9DqOYxglUZGID62U+j4mFJoqyrKUTsRZxC0J2MP6ESiKw6VQjERurPV&#10;vK4/VhOgCghSx0ivtycjXxX8vtcy/ez7qBOzHafcUtmx7Nu8V6ulaAcUYTTynIb4hyycMJ5IL1C3&#10;Igm2Q/MGyhmJEKFPMwmugr43UpcaqJqm/quah1EEXWohcWK4yBT/H6z8sd8gM6rj86sFZ144atKX&#10;XYLCzeb1Iks0hdiS59pvMBcpD/4h3IP8FZmH9Sj8oIv74zFQdJMjqj9C8iUGItpO30GRjyCGoteh&#10;R5chSQl2KG05XtqiD4nJ06Ok1+bq+lNdOlaJ9jkuYEzfNDiWDx2PCYUZxrQG76n3gE1hEfv7mHJW&#10;on0OyKQe7oy1ZQSsZ1PHrxfzRQmIYI3KxuwWcdiuLbK9yENUVimRLK/dEHZeFbAkjP3qFUtFj4SG&#10;FLKaZwanFWdW01/Jp1NK1p/1yhKdxN6COm4wm7N01PuS+3lO83C9vhevl9+0+g0AAP//AwBQSwME&#10;FAAGAAgAAAAhABQchYngAAAACwEAAA8AAABkcnMvZG93bnJldi54bWxMj0FPwzAMhe9I/IfISNxY&#10;yjqVUZpOwIToBaRtCHHMGtNGNE7VZFvHr8fjArf37Kfnz8VidJ3Y4xCsJwXXkwQEUu2NpUbB2+bp&#10;ag4iRE1Gd55QwREDLMrzs0Lnxh9ohft1bASXUMi1gjbGPpcy1C06HSa+R+Ldpx+cjmyHRppBH7jc&#10;dXKaJJl02hJfaHWPjy3WX+udUxCXH8c2e68fbu3r5vkls99VVS2VurwY7+9ARBzjXxhO+IwOJTNt&#10;/Y5MEB37NL3hKIvpLAVxSvxOtixmWQqyLOT/H8ofAAAA//8DAFBLAQItABQABgAIAAAAIQC2gziS&#10;/gAAAOEBAAATAAAAAAAAAAAAAAAAAAAAAABbQ29udGVudF9UeXBlc10ueG1sUEsBAi0AFAAGAAgA&#10;AAAhADj9If/WAAAAlAEAAAsAAAAAAAAAAAAAAAAALwEAAF9yZWxzLy5yZWxzUEsBAi0AFAAGAAgA&#10;AAAhANxutandAQAAlQMAAA4AAAAAAAAAAAAAAAAALgIAAGRycy9lMm9Eb2MueG1sUEsBAi0AFAAG&#10;AAgAAAAhABQchYngAAAACwEAAA8AAAAAAAAAAAAAAAAANwQAAGRycy9kb3ducmV2LnhtbFBLBQYA&#10;AAAABAAEAPMAAABEBQAAAAA=&#10;">
                <v:stroke endarrow="block"/>
                <w10:anchorlock/>
              </v:shape>
            </w:pict>
          </mc:Fallback>
        </mc:AlternateContent>
      </w:r>
      <w:r>
        <w:rPr>
          <w:noProof/>
          <w:lang w:val="lt-LT" w:eastAsia="lt-LT"/>
        </w:rPr>
        <mc:AlternateContent>
          <mc:Choice Requires="wps">
            <w:drawing>
              <wp:anchor distT="0" distB="0" distL="114300" distR="114300" simplePos="0" relativeHeight="251633664" behindDoc="0" locked="1" layoutInCell="1" allowOverlap="1" wp14:anchorId="09C73CD7" wp14:editId="3B75CCF0">
                <wp:simplePos x="0" y="0"/>
                <wp:positionH relativeFrom="column">
                  <wp:posOffset>4129405</wp:posOffset>
                </wp:positionH>
                <wp:positionV relativeFrom="paragraph">
                  <wp:posOffset>357505</wp:posOffset>
                </wp:positionV>
                <wp:extent cx="1440180" cy="431800"/>
                <wp:effectExtent l="10160" t="8255" r="6985" b="7620"/>
                <wp:wrapNone/>
                <wp:docPr id="23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rect">
                          <a:avLst/>
                        </a:prstGeom>
                        <a:solidFill>
                          <a:srgbClr val="FFFFFF"/>
                        </a:solidFill>
                        <a:ln w="9525" cap="rnd">
                          <a:solidFill>
                            <a:srgbClr val="000000"/>
                          </a:solidFill>
                          <a:prstDash val="sysDot"/>
                          <a:miter lim="800000"/>
                        </a:ln>
                      </wps:spPr>
                      <wps:txbx>
                        <w:txbxContent>
                          <w:p w14:paraId="4D5AC658" w14:textId="77777777" w:rsidR="007B24A1" w:rsidRDefault="007B24A1">
                            <w:pPr>
                              <w:jc w:val="center"/>
                              <w:rPr>
                                <w:sz w:val="20"/>
                                <w:szCs w:val="20"/>
                                <w:lang w:val="lt-LT"/>
                              </w:rPr>
                            </w:pPr>
                            <w:r>
                              <w:rPr>
                                <w:lang w:val="lt-LT"/>
                              </w:rPr>
                              <w:t>Įsigytasis veiklos kompleksas</w:t>
                            </w:r>
                          </w:p>
                        </w:txbxContent>
                      </wps:txbx>
                      <wps:bodyPr rot="0" vert="horz" wrap="square" lIns="91440" tIns="45720" rIns="91440" bIns="45720" anchor="t" anchorCtr="0" upright="1">
                        <a:noAutofit/>
                      </wps:bodyPr>
                    </wps:wsp>
                  </a:graphicData>
                </a:graphic>
              </wp:anchor>
            </w:drawing>
          </mc:Choice>
          <mc:Fallback>
            <w:pict>
              <v:rect w14:anchorId="09C73CD7" id="Rectangle 206" o:spid="_x0000_s1203" style="position:absolute;left:0;text-align:left;margin-left:325.15pt;margin-top:28.15pt;width:113.4pt;height:34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fcNgIAAGAEAAAOAAAAZHJzL2Uyb0RvYy54bWysVMFu2zAMvQ/YPwi6r7bTtGuNOkXRoMOA&#10;bi3W7QMYWY6FyaJGKXGyrx+lpGm67TRMB0E0qSfyPdJX15vBirWmYNA1sjoppdBOYWvcspHfvt69&#10;u5AiRHAtWHS6kVsd5PXs7Zur0dd6gj3aVpNgEBfq0Teyj9HXRRFUrwcIJ+i1Y2eHNEBkk5ZFSzAy&#10;+mCLSVmeFyNS6wmVDoG/zndOOcv4XadVfOi6oKOwjeTcYt4p74u0F7MrqJcEvjdqnwb8QxYDGMeP&#10;HqDmEEGsyPwBNRhFGLCLJwqHArvOKJ1r4Gqq8rdqnnrwOtfC5AR/oCn8P1j1ef1IwrSNnJxOpXAw&#10;sEhfmDZwS6vFpDxPFI0+1Bz55B8pFRn8ParvQTi87TlO3xDh2GtoObEqxRevLiQj8FWxGD9hy/iw&#10;ipjZ2nQ0JEDmQWyyKNuDKHoTheKP1XRaVhesnWLf9JSPWbUC6ufbnkL8oHEQ6dBI4uwzOqzvQ0zZ&#10;QP0ckrNHa9o7Y202aLm4tSTWwA1yl1cugIs8DrNOjI28PJuccR7AfUquzW+8igrHYGVefwNLycwh&#10;9LtHwzbMMaY4qAcTeRqsGRrJZfLaX7duz2micSdH3Cw2WbeqmqaoRPIC2y3TTLhrcx5LPvRIP6UY&#10;ucUbGX6sgLQU9qNjqS4TtTwT2ZievZ+wQceexbEHnGKoRkYpdsfbuJujlSez7PmlKjPi8Ibl7Uxm&#10;/iWrfQHcxlmQ/cilOTm2c9TLj2H2CwAA//8DAFBLAwQUAAYACAAAACEAbmF4OuEAAAAKAQAADwAA&#10;AGRycy9kb3ducmV2LnhtbEyPTUvDQBCG74L/YRnBi9hNG5uUmE0RwSJ4sVGwx2l280GzsyG7TeO/&#10;dzzpaRjm4Z3nzbez7cVkRt85UrBcRCAMVU531Cj4/Hi534DwAUlj78go+DYetsX1VY6Zdhfam6kM&#10;jeAQ8hkqaEMYMil91RqLfuEGQ3yr3Wgx8Do2Uo944XDby1UUJdJiR/yhxcE8t6Y6lWeroHyND4d6&#10;j3J6332ddl39dufjVKnbm/npEUQwc/iD4Vef1aFgp6M7k/aiV5Cso5hRBeuEJwObNF2CODK5eohB&#10;Frn8X6H4AQAA//8DAFBLAQItABQABgAIAAAAIQC2gziS/gAAAOEBAAATAAAAAAAAAAAAAAAAAAAA&#10;AABbQ29udGVudF9UeXBlc10ueG1sUEsBAi0AFAAGAAgAAAAhADj9If/WAAAAlAEAAAsAAAAAAAAA&#10;AAAAAAAALwEAAF9yZWxzLy5yZWxzUEsBAi0AFAAGAAgAAAAhAKyR59w2AgAAYAQAAA4AAAAAAAAA&#10;AAAAAAAALgIAAGRycy9lMm9Eb2MueG1sUEsBAi0AFAAGAAgAAAAhAG5heDrhAAAACgEAAA8AAAAA&#10;AAAAAAAAAAAAkAQAAGRycy9kb3ducmV2LnhtbFBLBQYAAAAABAAEAPMAAACeBQAAAAA=&#10;">
                <v:stroke dashstyle="1 1" endcap="round"/>
                <v:textbox>
                  <w:txbxContent>
                    <w:p w14:paraId="4D5AC658" w14:textId="77777777" w:rsidR="007B24A1" w:rsidRDefault="007B24A1">
                      <w:pPr>
                        <w:jc w:val="center"/>
                        <w:rPr>
                          <w:sz w:val="20"/>
                          <w:szCs w:val="20"/>
                          <w:lang w:val="lt-LT"/>
                        </w:rPr>
                      </w:pPr>
                      <w:r>
                        <w:rPr>
                          <w:lang w:val="lt-LT"/>
                        </w:rPr>
                        <w:t>Įsigytasis veiklos kompleksas</w:t>
                      </w:r>
                    </w:p>
                  </w:txbxContent>
                </v:textbox>
                <w10:anchorlock/>
              </v:rect>
            </w:pict>
          </mc:Fallback>
        </mc:AlternateContent>
      </w:r>
      <w:r>
        <w:rPr>
          <w:noProof/>
          <w:lang w:val="lt-LT" w:eastAsia="lt-LT"/>
        </w:rPr>
        <mc:AlternateContent>
          <mc:Choice Requires="wps">
            <w:drawing>
              <wp:anchor distT="0" distB="0" distL="114300" distR="114300" simplePos="0" relativeHeight="251634688" behindDoc="0" locked="1" layoutInCell="1" allowOverlap="1" wp14:anchorId="3143DBF2" wp14:editId="135994B4">
                <wp:simplePos x="0" y="0"/>
                <wp:positionH relativeFrom="column">
                  <wp:posOffset>1569085</wp:posOffset>
                </wp:positionH>
                <wp:positionV relativeFrom="paragraph">
                  <wp:posOffset>573405</wp:posOffset>
                </wp:positionV>
                <wp:extent cx="2560320" cy="0"/>
                <wp:effectExtent l="12065" t="62230" r="27940" b="61595"/>
                <wp:wrapNone/>
                <wp:docPr id="233"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straightConnector1">
                          <a:avLst/>
                        </a:prstGeom>
                        <a:noFill/>
                        <a:ln w="19050">
                          <a:solidFill>
                            <a:srgbClr val="000000"/>
                          </a:solidFill>
                          <a:prstDash val="sysDot"/>
                          <a:round/>
                          <a:tailEnd type="triangle" w="med" len="med"/>
                        </a:ln>
                      </wps:spPr>
                      <wps:bodyPr/>
                    </wps:wsp>
                  </a:graphicData>
                </a:graphic>
              </wp:anchor>
            </w:drawing>
          </mc:Choice>
          <mc:Fallback>
            <w:pict>
              <v:shape w14:anchorId="49186990" id="AutoShape 207" o:spid="_x0000_s1026" type="#_x0000_t32" style="position:absolute;margin-left:123.55pt;margin-top:45.15pt;width:201.6pt;height:0;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Xe6wEAALEDAAAOAAAAZHJzL2Uyb0RvYy54bWysU01vGyEQvVfqf0Dcm12vlbRdeR1VdtNL&#10;2lpK+gMwsLuowCAGe+1/3wF/JG1vVTkgYGbem3kzLO4PzrK9jmjAd3x2U3OmvQRl/NDxH88P7z5w&#10;hkl4JSx43fGjRn6/fPtmMYVWNzCCVToyAvHYTqHjY0qhrSqUo3YCbyBoT8YeohOJrnGoVBQToTtb&#10;NXV9V00QVYggNSK9rk9Gviz4fa9l+t73qBOzHafcUtlj2bd5r5YL0Q5RhNHIcxriH7JwwngivUKt&#10;RRJsF81fUM7ICAh9upHgKuh7I3WpgaqZ1X9U8zSKoEstJA6Gq0z4/2Dlt/0mMqM63sznnHnhqEmf&#10;dgkKN2vq91miKWBLniu/iblIefBP4RHkT2QeVqPwgy7uz8dA0bMcUf0Wki8YiGg7fQVFPoIYil6H&#10;ProMSUqwQ2nL8doWfUhM0mNze1fPG+qevNgq0V4CQ8T0RYNj+dBxTFGYYUwr8J6aD3FWaMT+EVNO&#10;S7SXgMzq4cFYW2bAejZR7h/r27pEIFijsjX7YRy2KxvZXuQxKqsUSZbXbhl6LXA8+eER15BOExZh&#10;51XhScLYz16xVLRK0ZB6VvNM7rTizGr6R/l0ytb6s5ZZvlMjtqCOm5jNWVaai1LWeYbz4L2+F6+X&#10;n7b8BQAA//8DAFBLAwQUAAYACAAAACEAsqiieOAAAAAJAQAADwAAAGRycy9kb3ducmV2LnhtbEyP&#10;TUvDQBCG74L/YRnBm90ktrWN2RQpCFYEMSribZsdk9DsbMhum/TfO8VDvc3HwzvPZKvRtuKAvW8c&#10;KYgnEQik0pmGKgUf7483CxA+aDK6dYQKjuhhlV9eZDo1bqA3PBShEhxCPtUK6hC6VEpf1mi1n7gO&#10;iXc/rrc6cNtX0vR64HDbyiSK5tLqhvhCrTtc11juir1VMG6O6zgpvqa77+Xn6/BkyufF5kWp66vx&#10;4R5EwDGcYTjpszrk7LR1ezJetAqS6V3MqIJldAuCgfnsVGz/BjLP5P8P8l8AAAD//wMAUEsBAi0A&#10;FAAGAAgAAAAhALaDOJL+AAAA4QEAABMAAAAAAAAAAAAAAAAAAAAAAFtDb250ZW50X1R5cGVzXS54&#10;bWxQSwECLQAUAAYACAAAACEAOP0h/9YAAACUAQAACwAAAAAAAAAAAAAAAAAvAQAAX3JlbHMvLnJl&#10;bHNQSwECLQAUAAYACAAAACEAOzUl3usBAACxAwAADgAAAAAAAAAAAAAAAAAuAgAAZHJzL2Uyb0Rv&#10;Yy54bWxQSwECLQAUAAYACAAAACEAsqiieOAAAAAJAQAADwAAAAAAAAAAAAAAAABFBAAAZHJzL2Rv&#10;d25yZXYueG1sUEsFBgAAAAAEAAQA8wAAAFIFAAAAAA==&#10;" strokeweight="1.5pt">
                <v:stroke dashstyle="1 1" endarrow="block"/>
                <w10:anchorlock/>
              </v:shape>
            </w:pict>
          </mc:Fallback>
        </mc:AlternateContent>
      </w:r>
      <w:r>
        <w:rPr>
          <w:noProof/>
          <w:lang w:val="lt-LT" w:eastAsia="lt-LT"/>
        </w:rPr>
        <mc:AlternateContent>
          <mc:Choice Requires="wps">
            <w:drawing>
              <wp:anchor distT="0" distB="0" distL="114300" distR="114300" simplePos="0" relativeHeight="251635712" behindDoc="0" locked="1" layoutInCell="1" allowOverlap="1" wp14:anchorId="6EAA834C" wp14:editId="1E7BE682">
                <wp:simplePos x="0" y="0"/>
                <wp:positionH relativeFrom="column">
                  <wp:posOffset>1981200</wp:posOffset>
                </wp:positionH>
                <wp:positionV relativeFrom="paragraph">
                  <wp:posOffset>741680</wp:posOffset>
                </wp:positionV>
                <wp:extent cx="1752600" cy="457200"/>
                <wp:effectExtent l="5080" t="11430" r="13970" b="7620"/>
                <wp:wrapNone/>
                <wp:docPr id="23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457200"/>
                        </a:xfrm>
                        <a:prstGeom prst="rect">
                          <a:avLst/>
                        </a:prstGeom>
                        <a:solidFill>
                          <a:srgbClr val="FFFFFF"/>
                        </a:solidFill>
                        <a:ln w="9525">
                          <a:solidFill>
                            <a:srgbClr val="000000"/>
                          </a:solidFill>
                          <a:miter lim="800000"/>
                        </a:ln>
                      </wps:spPr>
                      <wps:txbx>
                        <w:txbxContent>
                          <w:p w14:paraId="4CAC8363" w14:textId="77777777" w:rsidR="007B24A1" w:rsidRDefault="007B24A1">
                            <w:pPr>
                              <w:jc w:val="center"/>
                              <w:rPr>
                                <w:lang w:val="lt-LT"/>
                              </w:rPr>
                            </w:pPr>
                            <w:r>
                              <w:rPr>
                                <w:lang w:val="lt-LT"/>
                              </w:rPr>
                              <w:t>Įsigyjančiojo vieneto B akcijos</w:t>
                            </w:r>
                          </w:p>
                        </w:txbxContent>
                      </wps:txbx>
                      <wps:bodyPr rot="0" vert="horz" wrap="square" lIns="91440" tIns="45720" rIns="91440" bIns="45720" anchor="t" anchorCtr="0" upright="1">
                        <a:noAutofit/>
                      </wps:bodyPr>
                    </wps:wsp>
                  </a:graphicData>
                </a:graphic>
              </wp:anchor>
            </w:drawing>
          </mc:Choice>
          <mc:Fallback>
            <w:pict>
              <v:rect w14:anchorId="6EAA834C" id="Rectangle 208" o:spid="_x0000_s1204" style="position:absolute;left:0;text-align:left;margin-left:156pt;margin-top:58.4pt;width:138pt;height:36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9TpHQIAADwEAAAOAAAAZHJzL2Uyb0RvYy54bWysU9tuEzEQfUfiHyy/k72QtOkqm6pKFYRU&#10;aEXhAxyvd9fCN8ZOdsvXM3bSdAs8IfxgeTzj45lzZlbXo1bkIMBLa2pazHJKhOG2kaar6bev23dL&#10;SnxgpmHKGlHTJ+Hp9frtm9XgKlHa3qpGAEEQ46vB1bQPwVVZ5nkvNPMz64RBZ2tBs4AmdFkDbEB0&#10;rbIyzy+ywULjwHLhPd7eHp10nfDbVvBw37ZeBKJqirmFtEPad3HP1itWdcBcL/kpDfYPWWgmDX56&#10;hrplgZE9yD+gtORgvW3DjFud2baVXKQasJoi/62ax545kWpBcrw70+T/Hyz/fHgAIpualu9LSgzT&#10;KNIXpI2ZTglS5stI0eB8hZGP7gFikd7dWf7dE2M3PcaJGwA79II1mFgR47NXD6Lh8SnZDZ9sg/hs&#10;H2xia2xBR0DkgYxJlKezKGIMhONlcbkoL3LUjqNvvrhE1dMXrHp+7cCHD8JqEg81Bcw+obPDnQ8x&#10;G1Y9h6TsrZLNViqVDOh2GwXkwLBBtmmd0P00TBky1PRqUS4S8iufn0Lkaf0NQsuAna6krulyGqTM&#10;ia9I0ZHqMO7GpElRLCJUJHBnmyekEOyxhXHk8NBb+EnJgO1bU/9jz0BQoj4alOGqmM9jvycjsUYJ&#10;TD27qYcZjlA1DZQcj5twnJG9A9n1+FOR6jb2BqVrZWL1JatTAdiiiezTOMUZmNop6mXo178AAAD/&#10;/wMAUEsDBBQABgAIAAAAIQDqtox53gAAAAsBAAAPAAAAZHJzL2Rvd25yZXYueG1sTI/BTsMwEETv&#10;SPyDtUjcqJNUVCbEqRCoSBzb9MJtEy9JILaj2GkDX89yosedGc3OK7aLHcSJptB7pyFdJSDINd70&#10;rtVwrHZ3CkSI6AwO3pGGbwqwLa+vCsyNP7s9nQ6xFVziQo4auhjHXMrQdGQxrPxIjr0PP1mMfE6t&#10;NBOeudwOMkuSjbTYO/7Q4UjPHTVfh9lqqPvsiD/76jWxD7t1fFuqz/n9Revbm+XpEUSkJf6H4W8+&#10;T4eSN9V+diaIQcM6zZglspFumIET90qxUrOilAJZFvKSofwFAAD//wMAUEsBAi0AFAAGAAgAAAAh&#10;ALaDOJL+AAAA4QEAABMAAAAAAAAAAAAAAAAAAAAAAFtDb250ZW50X1R5cGVzXS54bWxQSwECLQAU&#10;AAYACAAAACEAOP0h/9YAAACUAQAACwAAAAAAAAAAAAAAAAAvAQAAX3JlbHMvLnJlbHNQSwECLQAU&#10;AAYACAAAACEAtYvU6R0CAAA8BAAADgAAAAAAAAAAAAAAAAAuAgAAZHJzL2Uyb0RvYy54bWxQSwEC&#10;LQAUAAYACAAAACEA6raMed4AAAALAQAADwAAAAAAAAAAAAAAAAB3BAAAZHJzL2Rvd25yZXYueG1s&#10;UEsFBgAAAAAEAAQA8wAAAIIFAAAAAA==&#10;">
                <v:textbox>
                  <w:txbxContent>
                    <w:p w14:paraId="4CAC8363" w14:textId="77777777" w:rsidR="007B24A1" w:rsidRDefault="007B24A1">
                      <w:pPr>
                        <w:jc w:val="center"/>
                        <w:rPr>
                          <w:lang w:val="lt-LT"/>
                        </w:rPr>
                      </w:pPr>
                      <w:r>
                        <w:rPr>
                          <w:lang w:val="lt-LT"/>
                        </w:rPr>
                        <w:t>Įsigyjančiojo vieneto B akcijos</w:t>
                      </w:r>
                    </w:p>
                  </w:txbxContent>
                </v:textbox>
                <w10:anchorlock/>
              </v:rect>
            </w:pict>
          </mc:Fallback>
        </mc:AlternateContent>
      </w:r>
      <w:r>
        <w:rPr>
          <w:noProof/>
          <w:lang w:val="lt-LT" w:eastAsia="lt-LT"/>
        </w:rPr>
        <mc:AlternateContent>
          <mc:Choice Requires="wps">
            <w:drawing>
              <wp:anchor distT="0" distB="0" distL="114300" distR="114300" simplePos="0" relativeHeight="251636736" behindDoc="0" locked="1" layoutInCell="1" allowOverlap="1" wp14:anchorId="1246D249" wp14:editId="41FDF1D1">
                <wp:simplePos x="0" y="0"/>
                <wp:positionH relativeFrom="column">
                  <wp:posOffset>3733800</wp:posOffset>
                </wp:positionH>
                <wp:positionV relativeFrom="paragraph">
                  <wp:posOffset>970280</wp:posOffset>
                </wp:positionV>
                <wp:extent cx="304800" cy="0"/>
                <wp:effectExtent l="14605" t="20955" r="23495" b="17145"/>
                <wp:wrapNone/>
                <wp:docPr id="231"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28575">
                          <a:solidFill>
                            <a:srgbClr val="000000"/>
                          </a:solidFill>
                          <a:round/>
                        </a:ln>
                      </wps:spPr>
                      <wps:bodyPr/>
                    </wps:wsp>
                  </a:graphicData>
                </a:graphic>
              </wp:anchor>
            </w:drawing>
          </mc:Choice>
          <mc:Fallback>
            <w:pict>
              <v:line w14:anchorId="0A3056EA" id="Line 209" o:spid="_x0000_s1026" style="position:absolute;flip:x;z-index:251636736;visibility:visible;mso-wrap-style:square;mso-wrap-distance-left:9pt;mso-wrap-distance-top:0;mso-wrap-distance-right:9pt;mso-wrap-distance-bottom:0;mso-position-horizontal:absolute;mso-position-horizontal-relative:text;mso-position-vertical:absolute;mso-position-vertical-relative:text" from="294pt,76.4pt" to="318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tVvgEAAF8DAAAOAAAAZHJzL2Uyb0RvYy54bWysU02P0zAUvCPxHyzfqdMuCyVquoeuFg4F&#10;Ku3yA1x/JBa2n2W7TfrveXa73QVuiBysOO/NeGaes7qbnCVHFZMB39H5rKFEeQHS+L6jP54e3i0p&#10;SZl7yS141dGTSvRu/fbNagytWsAAVqpIkMSndgwdHXIOLWNJDMrxNIOgPBY1RMczbmPPZOQjsjvL&#10;Fk3zgY0QZYggVEr49f5cpOvKr7US+bvWSWViO4racl1jXfdlZesVb/vIw2DERQb/BxWOG4+HXqnu&#10;eebkEM1fVM6ICAl0nglwDLQ2QlUP6Gbe/OHmceBBVS8YTgrXmNL/oxXfjrtIjOzo4mZOiecOh7Q1&#10;XpFF86mkM4bUYtPG72LxJyb/GLYgfibiYTNw36uq8ukUEDgvCPYbpGxSwDP241eQ2MMPGWpUk46O&#10;aGvClwIs5BgHmepsTtfZqCkTgR9vmvfLBiconkuMt4Wh4EJM+bMCR8pLRy3Kr3z8uE25KHppKe0e&#10;Hoy1dfLWkxGtL28/3lZEAmtkqZa+FPv9xkZy5OXy1Kf6w8rrtggHL8+nWH+xXxyfs9uDPO3icyw4&#10;xSrncuPKNXm9r+iX/2L9CwAA//8DAFBLAwQUAAYACAAAACEA+R5Aad0AAAALAQAADwAAAGRycy9k&#10;b3ducmV2LnhtbEyPQUvDQBCF74L/YRnBi9iNlYYQsykiKB68NPUHTLJjEszOxuy2SfvrHUHQ47z3&#10;ePO+Yru4QR1pCr1nA3erBBRx423PrYH3/fNtBipEZIuDZzJwogDb8vKiwNz6mXd0rGKrpIRDjga6&#10;GMdc69B05DCs/Egs3oefHEY5p1bbCWcpd4NeJ0mqHfYsHzoc6amj5rM6OAO7OsO31+Sr8idOz/O5&#10;Ci83Y2PM9dXy+AAq0hL/wvAzX6ZDKZtqf2Ab1GBgk2XCEsXYrIVBEul9Kkr9q+iy0P8Zym8AAAD/&#10;/wMAUEsBAi0AFAAGAAgAAAAhALaDOJL+AAAA4QEAABMAAAAAAAAAAAAAAAAAAAAAAFtDb250ZW50&#10;X1R5cGVzXS54bWxQSwECLQAUAAYACAAAACEAOP0h/9YAAACUAQAACwAAAAAAAAAAAAAAAAAvAQAA&#10;X3JlbHMvLnJlbHNQSwECLQAUAAYACAAAACEAmXTLVb4BAABfAwAADgAAAAAAAAAAAAAAAAAuAgAA&#10;ZHJzL2Uyb0RvYy54bWxQSwECLQAUAAYACAAAACEA+R5Aad0AAAALAQAADwAAAAAAAAAAAAAAAAAY&#10;BAAAZHJzL2Rvd25yZXYueG1sUEsFBgAAAAAEAAQA8wAAACIFAAAAAA==&#10;" strokeweight="2.25pt">
                <w10:anchorlock/>
              </v:line>
            </w:pict>
          </mc:Fallback>
        </mc:AlternateContent>
      </w:r>
      <w:r>
        <w:rPr>
          <w:noProof/>
          <w:lang w:val="lt-LT" w:eastAsia="lt-LT"/>
        </w:rPr>
        <mc:AlternateContent>
          <mc:Choice Requires="wps">
            <w:drawing>
              <wp:anchor distT="0" distB="0" distL="114300" distR="114300" simplePos="0" relativeHeight="251637760" behindDoc="0" locked="1" layoutInCell="1" allowOverlap="1" wp14:anchorId="4632BAB6" wp14:editId="2331C584">
                <wp:simplePos x="0" y="0"/>
                <wp:positionH relativeFrom="column">
                  <wp:posOffset>1676400</wp:posOffset>
                </wp:positionH>
                <wp:positionV relativeFrom="paragraph">
                  <wp:posOffset>970280</wp:posOffset>
                </wp:positionV>
                <wp:extent cx="304800" cy="0"/>
                <wp:effectExtent l="24130" t="68580" r="23495" b="74295"/>
                <wp:wrapNone/>
                <wp:docPr id="230"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0"/>
                        </a:xfrm>
                        <a:prstGeom prst="line">
                          <a:avLst/>
                        </a:prstGeom>
                        <a:noFill/>
                        <a:ln w="28575">
                          <a:solidFill>
                            <a:srgbClr val="000000"/>
                          </a:solidFill>
                          <a:round/>
                          <a:tailEnd type="triangle" w="med" len="med"/>
                        </a:ln>
                      </wps:spPr>
                      <wps:bodyPr/>
                    </wps:wsp>
                  </a:graphicData>
                </a:graphic>
              </wp:anchor>
            </w:drawing>
          </mc:Choice>
          <mc:Fallback>
            <w:pict>
              <v:line w14:anchorId="5B622803" id="Line 210" o:spid="_x0000_s1026" style="position:absolute;flip:x y;z-index:251637760;visibility:visible;mso-wrap-style:square;mso-wrap-distance-left:9pt;mso-wrap-distance-top:0;mso-wrap-distance-right:9pt;mso-wrap-distance-bottom:0;mso-position-horizontal:absolute;mso-position-horizontal-relative:text;mso-position-vertical:absolute;mso-position-vertical-relative:text" from="132pt,76.4pt" to="156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003AEAAJcDAAAOAAAAZHJzL2Uyb0RvYy54bWysU8Fu2zAMvQ/YPwi6L3bSdQuMOD2k63bI&#10;tgDtdlck2RYmiYKkxM7fj1SztFtvxXwQRJN8fHykVjeTs+yoYzLgWz6f1ZxpL0EZ37f8x8PduyVn&#10;KQuvhAWvW37Sid+s375ZjaHRCxjAKh0ZgvjUjKHlQ86hqaokB+1EmkHQHp0dRCcymrGvVBQjojtb&#10;Ler6QzVCVCGC1Cnh39tHJ18X/K7TMn/vuqQzsy1HbrmcsZx7Oqv1SjR9FGEw8kxDvIKFE8Zj0QvU&#10;rciCHaJ5AeWMjJCgyzMJroKuM1KXHrCbef1PN/eDCLr0guKkcJEp/T9Y+e24i8yoli+uUB8vHA5p&#10;a7xmi3lRZwypwaCN30XqT07+PmxB/krMw2YQvteF5cMpYOKc9Kz+SiEjBayxH7+CwhhxyFCkmrro&#10;WGdN+EKJ5faTblQGhWFTmdLpMiU9ZSbx51X9flkjV/nHVYmGsCgvxJQ/a3CMLi232EjBE8dtysTt&#10;KYTCPdwZa8sOWM9GFGF5/fG6ZCSwRpGX4lLs9xsb2VHQGpWvdIqe52ERDl4VtCyM/eQVy0WWHA0K&#10;ZTWnEk4rzqzG10K3R07Wn2UjpWh3U7MHddpFcpOF0y/kz5tK6/XcLlFP72n9GwAA//8DAFBLAwQU&#10;AAYACAAAACEAlbKAK94AAAALAQAADwAAAGRycy9kb3ducmV2LnhtbEyPzU7DMBCE70i8g7VI3KhT&#10;90dViFNVRXDKhcIlNzfeJlHjdRS7aejTs0hIcNyZ0ex82XZynRhxCK0nDfNZAgKp8ralWsPnx+vT&#10;BkSIhqzpPKGGLwywze/vMpNaf6V3HA+xFlxCITUamhj7VMpQNehMmPkeib2TH5yJfA61tIO5crnr&#10;pEqStXSmJf7QmB73DVbnw8Vp2JmxLJe3RVG8jSssNv5F7cub1o8P0+4ZRMQp/oXhZz5Ph5w3Hf2F&#10;bBCdBrVeMktkY6WYgROLuWLl+KvIPJP/GfJvAAAA//8DAFBLAQItABQABgAIAAAAIQC2gziS/gAA&#10;AOEBAAATAAAAAAAAAAAAAAAAAAAAAABbQ29udGVudF9UeXBlc10ueG1sUEsBAi0AFAAGAAgAAAAh&#10;ADj9If/WAAAAlAEAAAsAAAAAAAAAAAAAAAAALwEAAF9yZWxzLy5yZWxzUEsBAi0AFAAGAAgAAAAh&#10;AHBNzTTcAQAAlwMAAA4AAAAAAAAAAAAAAAAALgIAAGRycy9lMm9Eb2MueG1sUEsBAi0AFAAGAAgA&#10;AAAhAJWygCveAAAACwEAAA8AAAAAAAAAAAAAAAAANgQAAGRycy9kb3ducmV2LnhtbFBLBQYAAAAA&#10;BAAEAPMAAABBBQAAAAA=&#10;" strokeweight="2.25pt">
                <v:stroke endarrow="block"/>
                <w10:anchorlock/>
              </v:line>
            </w:pict>
          </mc:Fallback>
        </mc:AlternateContent>
      </w:r>
      <w:r>
        <w:rPr>
          <w:rFonts w:ascii="Times New Roman" w:hAnsi="Times New Roman"/>
          <w:noProof/>
          <w:sz w:val="24"/>
          <w:lang w:val="lt-LT" w:eastAsia="lt-LT"/>
        </w:rPr>
        <w:drawing>
          <wp:inline distT="0" distB="0" distL="0" distR="0" wp14:anchorId="477313EC" wp14:editId="24D01CB4">
            <wp:extent cx="5677535" cy="1534795"/>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pic:cNvPicPr>
                      <a:picLocks noChangeAspect="1" noChangeArrowheads="1"/>
                    </pic:cNvPicPr>
                  </pic:nvPicPr>
                  <pic:blipFill>
                    <a:blip r:embed="rId117">
                      <a:extLst>
                        <a:ext uri="{28A0092B-C50C-407E-A947-70E740481C1C}">
                          <a14:useLocalDpi xmlns:a14="http://schemas.microsoft.com/office/drawing/2010/main" val="0"/>
                        </a:ext>
                      </a:extLst>
                    </a:blip>
                    <a:srcRect t="-99977" b="99977"/>
                    <a:stretch>
                      <a:fillRect/>
                    </a:stretch>
                  </pic:blipFill>
                  <pic:spPr>
                    <a:xfrm>
                      <a:off x="0" y="0"/>
                      <a:ext cx="5677535" cy="1534795"/>
                    </a:xfrm>
                    <a:prstGeom prst="rect">
                      <a:avLst/>
                    </a:prstGeom>
                    <a:noFill/>
                    <a:ln>
                      <a:noFill/>
                    </a:ln>
                  </pic:spPr>
                </pic:pic>
              </a:graphicData>
            </a:graphic>
          </wp:inline>
        </w:drawing>
      </w:r>
    </w:p>
    <w:p w14:paraId="097C447B" w14:textId="77777777" w:rsidR="00093845" w:rsidRDefault="00093845">
      <w:pPr>
        <w:ind w:firstLine="720"/>
        <w:jc w:val="both"/>
        <w:rPr>
          <w:lang w:val="lt-LT"/>
        </w:rPr>
      </w:pPr>
    </w:p>
    <w:p w14:paraId="7F5BDD33" w14:textId="77777777" w:rsidR="00093845" w:rsidRDefault="00093845">
      <w:pPr>
        <w:ind w:firstLine="720"/>
        <w:jc w:val="both"/>
        <w:rPr>
          <w:lang w:val="lt-LT"/>
        </w:rPr>
      </w:pPr>
    </w:p>
    <w:p w14:paraId="0241E86A" w14:textId="77777777" w:rsidR="00093845" w:rsidRDefault="000D779E">
      <w:pPr>
        <w:pStyle w:val="Pagrindiniotekstotrauka2"/>
        <w:tabs>
          <w:tab w:val="left" w:pos="720"/>
        </w:tabs>
        <w:spacing w:line="240" w:lineRule="auto"/>
        <w:ind w:right="-20" w:firstLine="0"/>
        <w:rPr>
          <w:b w:val="0"/>
          <w:bCs w:val="0"/>
        </w:rPr>
      </w:pPr>
      <w:r>
        <w:tab/>
      </w:r>
      <w:r>
        <w:rPr>
          <w:b w:val="0"/>
          <w:bCs w:val="0"/>
        </w:rPr>
        <w:t xml:space="preserve">4. Jei įsigyjantysis vienetas yra užsienio vienetas, nurodytas PMĮ 41 str. 1 d. 2 punkte, tai turi būti įvykdyti papildomi reikalavimai, nustatyti šio straipsnio 3 dalyje (žr. PMĮ 41 str. 3 dalies komentarą). </w:t>
      </w:r>
    </w:p>
    <w:p w14:paraId="357DD9CA" w14:textId="77777777" w:rsidR="00093845" w:rsidRPr="0065344A" w:rsidRDefault="000D779E" w:rsidP="00DB7D41">
      <w:pPr>
        <w:spacing w:after="0"/>
        <w:ind w:firstLine="720"/>
        <w:jc w:val="both"/>
        <w:rPr>
          <w:b/>
          <w:lang w:val="lt-LT"/>
        </w:rPr>
      </w:pPr>
      <w:r w:rsidRPr="0065344A">
        <w:rPr>
          <w:b/>
          <w:lang w:val="lt-LT"/>
        </w:rPr>
        <w:t xml:space="preserve">7) vienetas, siekdamas visiškai kontroliuoti kitą vienetą įsigyjant daugumą balsų (t. y. turėti </w:t>
      </w:r>
      <w:r w:rsidRPr="0065344A">
        <w:rPr>
          <w:b/>
          <w:bCs/>
          <w:lang w:val="lt-LT"/>
        </w:rPr>
        <w:t>daugiau</w:t>
      </w:r>
      <w:r w:rsidRPr="0065344A">
        <w:rPr>
          <w:b/>
          <w:lang w:val="lt-LT"/>
        </w:rPr>
        <w:t xml:space="preserve"> kaip 1/2 to vieneto akcijų suteikiamų balsų) (toliau – įsigyjantysis vienetas) ar turėdamas daugumą balsų (t. y. </w:t>
      </w:r>
      <w:r w:rsidRPr="0065344A">
        <w:rPr>
          <w:b/>
          <w:bCs/>
          <w:lang w:val="lt-LT"/>
        </w:rPr>
        <w:t>daugiau</w:t>
      </w:r>
      <w:r w:rsidRPr="0065344A">
        <w:rPr>
          <w:b/>
          <w:lang w:val="lt-LT"/>
        </w:rPr>
        <w:t xml:space="preserve"> kaip 1/2 to vieneto akcijų suteikiamų balsų) ir siekdamas įsigyti daugiau to vieneto akcijų, perleidžia išleidžiamas savo akcijas (dalis, pajus) mainais įsigyjamojo vieneto dalyviams už jų turimas įsigyjamojo vieneto akcijas; jei, keičiant įsigyjamojo vieneto dalyvių turimas įsigyjamojo vieneto akcijas į įsigyjančiojo vieneto akcijas, akcijų kainų skirtumas apmokamas pinigais – tai ne daugiau kaip 10 procentų akcijų nominalios vertės arba, kai nominalios vertės nėra, ne daugiau kaip 10 procentų balansinės akcijų vertės;</w:t>
      </w:r>
    </w:p>
    <w:p w14:paraId="3818E577" w14:textId="77777777" w:rsidR="00093845" w:rsidRDefault="000D779E" w:rsidP="00DB7D41">
      <w:pPr>
        <w:spacing w:after="0"/>
        <w:jc w:val="both"/>
        <w:rPr>
          <w:i/>
          <w:iCs/>
          <w:lang w:val="lt-LT"/>
        </w:rPr>
      </w:pPr>
      <w:r w:rsidRPr="0014647B">
        <w:rPr>
          <w:i/>
          <w:color w:val="000000"/>
          <w:lang w:val="lt-LT"/>
        </w:rPr>
        <w:t>(</w:t>
      </w:r>
      <w:r w:rsidRPr="0014647B">
        <w:rPr>
          <w:i/>
          <w:iCs/>
        </w:rPr>
        <w:t>KEISTA:</w:t>
      </w:r>
      <w:r w:rsidRPr="0014647B">
        <w:rPr>
          <w:i/>
          <w:iCs/>
          <w:lang w:val="lt-LT"/>
        </w:rPr>
        <w:t xml:space="preserve"> </w:t>
      </w:r>
      <w:r w:rsidRPr="0014647B">
        <w:rPr>
          <w:i/>
          <w:iCs/>
        </w:rPr>
        <w:t>2008 12 18 įstatymu Nr. XI-73 (nuo 2009 01 01)</w:t>
      </w:r>
      <w:r w:rsidRPr="0014647B">
        <w:rPr>
          <w:i/>
          <w:iCs/>
          <w:lang w:val="lt-LT"/>
        </w:rPr>
        <w:t>)</w:t>
      </w:r>
    </w:p>
    <w:p w14:paraId="2E27D0DC" w14:textId="77777777" w:rsidR="0014647B" w:rsidRPr="0014647B" w:rsidRDefault="0014647B" w:rsidP="00DB7D41">
      <w:pPr>
        <w:spacing w:after="0"/>
        <w:jc w:val="both"/>
        <w:rPr>
          <w:i/>
          <w:lang w:val="lt-LT"/>
        </w:rPr>
      </w:pPr>
    </w:p>
    <w:p w14:paraId="48845E77" w14:textId="77777777" w:rsidR="00093845" w:rsidRDefault="000D779E">
      <w:pPr>
        <w:pStyle w:val="HTMLiankstoformatuotas"/>
        <w:jc w:val="both"/>
        <w:rPr>
          <w:rFonts w:ascii="Times New Roman" w:hAnsi="Times New Roman" w:cs="Times New Roman"/>
          <w:sz w:val="24"/>
          <w:szCs w:val="24"/>
          <w:lang w:val="lt-LT" w:eastAsia="lt-LT"/>
        </w:rPr>
      </w:pPr>
      <w:r>
        <w:rPr>
          <w:rFonts w:ascii="Times New Roman" w:hAnsi="Times New Roman" w:cs="Times New Roman"/>
          <w:b/>
          <w:sz w:val="24"/>
          <w:szCs w:val="24"/>
          <w:lang w:val="lt-LT" w:eastAsia="lt-LT"/>
        </w:rPr>
        <w:tab/>
        <w:t>Komentaras</w:t>
      </w:r>
    </w:p>
    <w:p w14:paraId="1928CD34"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Šiame punkte nustatytas akcijų (dalių, pajų) mainų atvejis, kai įsigyjantysis vienetas perleidžia savo išleistas akcijas (dalis, pajus) mainais už kito </w:t>
      </w:r>
      <w:r>
        <w:rPr>
          <w:rFonts w:ascii="Times New Roman" w:hAnsi="Times New Roman" w:cs="Times New Roman"/>
          <w:b/>
          <w:sz w:val="24"/>
          <w:szCs w:val="24"/>
          <w:lang w:val="lt-LT"/>
        </w:rPr>
        <w:t>į</w:t>
      </w:r>
      <w:r>
        <w:rPr>
          <w:rFonts w:ascii="Times New Roman" w:hAnsi="Times New Roman" w:cs="Times New Roman"/>
          <w:sz w:val="24"/>
          <w:szCs w:val="24"/>
          <w:lang w:val="lt-LT"/>
        </w:rPr>
        <w:t>sigyjamojo vieneto dalyvių turimas įsigyjamojo vieneto akcijas. Taip mainant akcijas (dalis, pajus) turi būti išpildomos tokios dvi sąlygos:</w:t>
      </w:r>
    </w:p>
    <w:p w14:paraId="4D5512CA"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w:t>
      </w:r>
      <w:r>
        <w:rPr>
          <w:rFonts w:ascii="Times New Roman" w:hAnsi="Times New Roman" w:cs="Times New Roman"/>
          <w:sz w:val="24"/>
          <w:szCs w:val="24"/>
          <w:lang w:val="lt-LT"/>
        </w:rPr>
        <w:tab/>
        <w:t xml:space="preserve">savo akcijas (dalis, pajus) perleidžiantis įsigyjantysis vienetas įgyja visišką teisę kontroliuoti įsigyjamąjį vienetą, t.y. įsigyja daugiau kaip 1/2 to vieneto akcijų suteikiamų balsų, ir dėl to įgyja daugumą jo balsų, </w:t>
      </w:r>
      <w:r>
        <w:rPr>
          <w:rFonts w:ascii="Times New Roman" w:hAnsi="Times New Roman" w:cs="Times New Roman"/>
          <w:bCs/>
          <w:sz w:val="24"/>
          <w:szCs w:val="24"/>
          <w:lang w:val="lt-LT"/>
        </w:rPr>
        <w:t>ir</w:t>
      </w:r>
    </w:p>
    <w:p w14:paraId="53BEB37C"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w:t>
      </w:r>
      <w:r>
        <w:rPr>
          <w:rFonts w:ascii="Times New Roman" w:hAnsi="Times New Roman" w:cs="Times New Roman"/>
          <w:sz w:val="24"/>
          <w:szCs w:val="24"/>
          <w:lang w:val="lt-LT"/>
        </w:rPr>
        <w:tab/>
        <w:t>įsigyjamojo vieneto dalyviams išduodamos išleidžiamos įsigyjančiojo vieneto akcijos (dalys, pajai).</w:t>
      </w:r>
    </w:p>
    <w:p w14:paraId="55F88FA9" w14:textId="77777777" w:rsidR="00093845" w:rsidRDefault="000D779E">
      <w:pPr>
        <w:pStyle w:val="HTMLiankstoformatuota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Pagal šio punkto nuostatas įsigyjančiojo vieneto išleistos akcijos (dalys, pajai) gali būti keičiamos tik į įsigyjamojo vieneto dalyvių turimas akcijas. </w:t>
      </w:r>
    </w:p>
    <w:p w14:paraId="3BAC2AA6" w14:textId="77777777" w:rsidR="00093845" w:rsidRDefault="000D779E">
      <w:pPr>
        <w:pStyle w:val="Pagrindiniotekstotrauka2"/>
        <w:spacing w:line="240" w:lineRule="auto"/>
        <w:rPr>
          <w:b w:val="0"/>
          <w:bCs w:val="0"/>
        </w:rPr>
      </w:pPr>
      <w:r>
        <w:rPr>
          <w:b w:val="0"/>
          <w:bCs w:val="0"/>
        </w:rPr>
        <w:t>3. Jeigu, keičiant įsigyjamojo vieneto dalyvių turimas įsigyjamojo vieneto akcijas į įsigyjančiojo vieneto akcijas, akcijų kainų skirtumas sumokamas pinigais, turi būti įvykdoma papildoma sąlyga, kad taip išmokama suma negali būti didesnė kaip 10 procentų įsigyjančiojo vieneto akcijų nominalios vertės arba, jei nominalios vertės nėra, - akcijų balansinės vertės.</w:t>
      </w:r>
    </w:p>
    <w:p w14:paraId="56ECFD7E" w14:textId="77777777" w:rsidR="00093845" w:rsidRPr="0065344A" w:rsidRDefault="000D779E">
      <w:pPr>
        <w:ind w:firstLine="720"/>
        <w:jc w:val="both"/>
        <w:rPr>
          <w:lang w:val="lt-LT"/>
        </w:rPr>
      </w:pPr>
      <w:r w:rsidRPr="0065344A">
        <w:rPr>
          <w:lang w:val="lt-LT"/>
        </w:rPr>
        <w:t>4. Šio punkto nuostatos taip pat taikomos, kai įsigyjantysis vienetas, jau turėdamas įsigyjamojo vieneto daugumą balsų (t.y. daugiau kaip 1/2 to vieneto akcijų suteikiamų balsų), papildomai įsigyja daugiau to vieneto akcijų.</w:t>
      </w:r>
    </w:p>
    <w:p w14:paraId="5CC5A6C9" w14:textId="77777777" w:rsidR="00093845" w:rsidRDefault="000D779E">
      <w:pPr>
        <w:pStyle w:val="Pagrindiniotekstotrauka2"/>
        <w:tabs>
          <w:tab w:val="left" w:pos="720"/>
        </w:tabs>
        <w:spacing w:line="240" w:lineRule="auto"/>
        <w:ind w:right="-20" w:firstLine="0"/>
        <w:rPr>
          <w:b w:val="0"/>
          <w:bCs w:val="0"/>
        </w:rPr>
      </w:pPr>
      <w:r>
        <w:rPr>
          <w:b w:val="0"/>
        </w:rPr>
        <w:t xml:space="preserve">            5. Nuo 2009 m. sausio 1 d. pagal komentuojamo punkto nuostatas, pakanka įsigyti daugiau kaip 1/2 (daugiau kaip 50 proc.) įsigyjamojo vieneto akcijų suteikiamų balsų, kad įsigyjantysis vienetas būtų laikomas kontroliuojančiu įsigyjamąjį vienetą (iki 2008 m. gruodžio 31 d. reikėjo įsigyti ne mažiau kaip 2/3 akcijų suteikiamų balsų, kad įsigyjantysis vienetas būtų laikomas kontroliuojančiu įsigyjamąjį vienetą)</w:t>
      </w:r>
    </w:p>
    <w:p w14:paraId="259C48F5" w14:textId="77777777" w:rsidR="00093845" w:rsidRDefault="000D779E">
      <w:pPr>
        <w:tabs>
          <w:tab w:val="left" w:pos="709"/>
        </w:tabs>
        <w:jc w:val="both"/>
        <w:rPr>
          <w:lang w:val="fr-FR"/>
        </w:rPr>
      </w:pPr>
      <w:r>
        <w:rPr>
          <w:lang w:val="fr-FR"/>
        </w:rPr>
        <w:t xml:space="preserve"> </w:t>
      </w:r>
      <w:r w:rsidR="0014647B">
        <w:rPr>
          <w:lang w:val="fr-FR"/>
        </w:rPr>
        <w:t xml:space="preserve">            </w:t>
      </w:r>
      <w:r>
        <w:rPr>
          <w:lang w:val="fr-FR"/>
        </w:rPr>
        <w:t>(Pagal VMI prie FM 2012-12-19 raštą Nr.(32.42-31-1)-RM-7062)</w:t>
      </w:r>
    </w:p>
    <w:p w14:paraId="77A7B3F8" w14:textId="77777777" w:rsidR="00093845" w:rsidRPr="0065344A" w:rsidRDefault="000D779E" w:rsidP="00DB7D41">
      <w:pPr>
        <w:spacing w:after="0"/>
        <w:ind w:firstLine="720"/>
        <w:jc w:val="both"/>
        <w:rPr>
          <w:b/>
          <w:lang w:val="fr-FR"/>
        </w:rPr>
      </w:pPr>
      <w:r w:rsidRPr="0065344A">
        <w:rPr>
          <w:b/>
          <w:lang w:val="fr-FR"/>
        </w:rPr>
        <w:t>8) vienetas, toliau tęsiantis veiklą, (toliau – perleidžiantysis vienetas) atskiria dalį, kuriai proporcingai priskirtų turto, nuosavo kapitalo ir įsipareigojimų pagrindu</w:t>
      </w:r>
      <w:r w:rsidRPr="0065344A">
        <w:rPr>
          <w:b/>
          <w:highlight w:val="lightGray"/>
          <w:lang w:val="fr-FR"/>
        </w:rPr>
        <w:t xml:space="preserve"> </w:t>
      </w:r>
      <w:r w:rsidRPr="0065344A">
        <w:rPr>
          <w:b/>
          <w:lang w:val="fr-FR"/>
        </w:rPr>
        <w:t>sukuriamas vienas ar keli nauji vienetai (toliau – įsigyjantieji vienetai);</w:t>
      </w:r>
    </w:p>
    <w:p w14:paraId="77B0308B" w14:textId="77777777" w:rsidR="00093845" w:rsidRDefault="000D779E" w:rsidP="00DB7D41">
      <w:pPr>
        <w:pStyle w:val="HTMLiankstoformatuotas"/>
        <w:spacing w:after="0"/>
        <w:jc w:val="both"/>
        <w:rPr>
          <w:rFonts w:ascii="Times New Roman" w:hAnsi="Times New Roman" w:cs="Times New Roman"/>
          <w:i/>
          <w:sz w:val="24"/>
          <w:szCs w:val="24"/>
          <w:lang w:val="lt-LT" w:eastAsia="lt-LT"/>
        </w:rPr>
      </w:pPr>
      <w:r w:rsidRPr="0014647B">
        <w:rPr>
          <w:rFonts w:ascii="Times New Roman" w:hAnsi="Times New Roman" w:cs="Times New Roman"/>
          <w:i/>
          <w:color w:val="000000"/>
          <w:sz w:val="24"/>
          <w:szCs w:val="24"/>
          <w:lang w:val="lt-LT"/>
        </w:rPr>
        <w:t>(</w:t>
      </w:r>
      <w:r w:rsidRPr="0014647B">
        <w:rPr>
          <w:rFonts w:ascii="Times New Roman" w:hAnsi="Times New Roman" w:cs="Times New Roman"/>
          <w:i/>
          <w:iCs/>
          <w:sz w:val="24"/>
          <w:szCs w:val="24"/>
        </w:rPr>
        <w:t>KEISTA:</w:t>
      </w:r>
      <w:r w:rsidRPr="0014647B">
        <w:rPr>
          <w:rFonts w:ascii="Times New Roman" w:hAnsi="Times New Roman" w:cs="Times New Roman"/>
          <w:i/>
          <w:iCs/>
          <w:sz w:val="24"/>
          <w:szCs w:val="24"/>
          <w:lang w:val="lt-LT"/>
        </w:rPr>
        <w:t xml:space="preserve"> </w:t>
      </w:r>
      <w:r w:rsidRPr="0014647B">
        <w:rPr>
          <w:rFonts w:ascii="Times New Roman" w:hAnsi="Times New Roman" w:cs="Times New Roman"/>
          <w:i/>
          <w:iCs/>
          <w:sz w:val="24"/>
          <w:szCs w:val="24"/>
        </w:rPr>
        <w:t>2008 12 18 įstatymu Nr. XI-73 (nuo 2009 01 01)</w:t>
      </w:r>
      <w:r w:rsidRPr="0014647B">
        <w:rPr>
          <w:rFonts w:ascii="Times New Roman" w:hAnsi="Times New Roman" w:cs="Times New Roman"/>
          <w:i/>
          <w:sz w:val="24"/>
          <w:szCs w:val="24"/>
          <w:lang w:val="lt-LT" w:eastAsia="lt-LT"/>
        </w:rPr>
        <w:t>)</w:t>
      </w:r>
    </w:p>
    <w:p w14:paraId="3D4343A6" w14:textId="77777777" w:rsidR="0014647B" w:rsidRPr="0014647B" w:rsidRDefault="0014647B" w:rsidP="00DB7D41">
      <w:pPr>
        <w:pStyle w:val="HTMLiankstoformatuotas"/>
        <w:spacing w:after="0"/>
        <w:jc w:val="both"/>
        <w:rPr>
          <w:rFonts w:ascii="Times New Roman" w:hAnsi="Times New Roman" w:cs="Times New Roman"/>
          <w:i/>
          <w:sz w:val="24"/>
          <w:szCs w:val="24"/>
          <w:lang w:val="lt-LT" w:eastAsia="lt-LT"/>
        </w:rPr>
      </w:pPr>
    </w:p>
    <w:p w14:paraId="58871A95" w14:textId="77777777" w:rsidR="00093845" w:rsidRPr="0065344A" w:rsidRDefault="000D779E">
      <w:pPr>
        <w:ind w:firstLine="720"/>
        <w:rPr>
          <w:b/>
          <w:lang w:val="lt-LT" w:eastAsia="lt-LT"/>
        </w:rPr>
      </w:pPr>
      <w:r w:rsidRPr="0065344A">
        <w:rPr>
          <w:b/>
          <w:lang w:val="lt-LT" w:eastAsia="lt-LT"/>
        </w:rPr>
        <w:t>Komentaras</w:t>
      </w:r>
    </w:p>
    <w:p w14:paraId="5213B9D1"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0"/>
        </w:tabs>
        <w:ind w:firstLine="720"/>
        <w:jc w:val="both"/>
        <w:rPr>
          <w:rFonts w:ascii="Times New Roman" w:hAnsi="Times New Roman" w:cs="Times New Roman"/>
          <w:strike/>
          <w:sz w:val="24"/>
          <w:szCs w:val="24"/>
          <w:lang w:val="lt-LT"/>
        </w:rPr>
      </w:pPr>
      <w:r>
        <w:rPr>
          <w:rFonts w:ascii="Times New Roman" w:hAnsi="Times New Roman" w:cs="Times New Roman"/>
          <w:sz w:val="24"/>
          <w:szCs w:val="24"/>
          <w:lang w:val="lt-LT"/>
        </w:rPr>
        <w:t xml:space="preserve">1. Šiame punkte nustatytas vieneto dalies perleidimo atvejis, kai iš toliau veiklą tęsiančio vieneto atskiriama jo dalis ir jai proporcingai priskirtų turto, nuosavo kapitalo bei įsipareigojimų pagrindu sukuriamas vienas ar keli </w:t>
      </w:r>
      <w:r>
        <w:rPr>
          <w:rFonts w:ascii="Times New Roman" w:hAnsi="Times New Roman" w:cs="Times New Roman"/>
          <w:bCs/>
          <w:sz w:val="24"/>
          <w:szCs w:val="24"/>
          <w:lang w:val="lt-LT"/>
        </w:rPr>
        <w:t>nauji vienetai</w:t>
      </w:r>
      <w:r>
        <w:rPr>
          <w:rFonts w:ascii="Times New Roman" w:hAnsi="Times New Roman" w:cs="Times New Roman"/>
          <w:sz w:val="24"/>
          <w:szCs w:val="24"/>
          <w:lang w:val="lt-LT"/>
        </w:rPr>
        <w:t xml:space="preserve"> (toliau – įsigyjantieji vienetai). Taip atskiriant vieneto dalį, susidaręs akcijų kainų skirtumas negali būti sumokamas pinigais. </w:t>
      </w:r>
    </w:p>
    <w:p w14:paraId="59CC722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2. Iš perleidžiančiojo vieneto atskiriamai daliai to vieneto turtas, nuosavas kapitalas ir įsipareigojimai turi būti priskiriami proporcingai atskiriamos dalies dydžiui. Pagal šio punkto nuostatas neprivaloma atskiriamai daliai proporcingai padalinti kiekvieną to vieneto turto, nuosavo kapitalo ir įsipareigojimų balansinį straipsnį. Įsigyjančiajam vienetui perduodamų įsipareigojimų dalis gali būti neproporcinga perduodamo turto daliai, jei toks vieneto dalies atskyrimas yra ekonomiškai pagrįstas.</w:t>
      </w:r>
    </w:p>
    <w:p w14:paraId="1343F2E0"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Atskiriant dalį, sumažinamas tai daliai priskiriamas turtas ir įsipareigojimai bei nuosavas kapitalas. Perleidžiančiojo vieneto nuosavo kapitalo straipsniai koreguojami perduoto turto, įsipareigojimų verčių ir įstatinio kapitalo mažinimo verčių skirtumu.</w:t>
      </w:r>
    </w:p>
    <w:p w14:paraId="30C93166"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Laikoma, kad vieneto dalies atskyrimas atliekamas pagal šio punkto reikalavimus, jeigu iš perleidžiančiojo vieneto atskiriama dalis, kurios pagrindu sukuriamas naujas vienetas (vienetai), atsiskiriantys perleidžiančiojo vieneto dalyviai neatlygintinai gauna to naujo vieneto (vienetų) akcijų mainais už panaikinamas perleidžiančiojo vieneto akcijas ir sumažinamas šio vieneto įstatinis kapitalas. </w:t>
      </w:r>
    </w:p>
    <w:p w14:paraId="3178EE79"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Jei iš veikiančio vieneto atskirtos dalies pagrindu sukuriamas naujas vienetas (vienetai) ir perleidžiantysis vienetas pagal atskyrimo sąlygas už perduotą dalį pats mainais gauna to naujo vieneto akcijų, tai apmokestinant tokią investiciją, komentuojamo punkto nuostatos netaikomos. </w:t>
      </w:r>
    </w:p>
    <w:p w14:paraId="07615853" w14:textId="77777777" w:rsidR="00093845"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Pavyzdys</w:t>
      </w:r>
    </w:p>
    <w:p w14:paraId="3C861CC1" w14:textId="77777777" w:rsidR="00093845" w:rsidRDefault="000D779E">
      <w:pPr>
        <w:pStyle w:val="HTMLiankstoformatuotas"/>
        <w:pBdr>
          <w:top w:val="single" w:sz="4" w:space="1" w:color="auto"/>
          <w:left w:val="single" w:sz="4" w:space="4"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1. Vadovaudamiesi Akcinių bendrovių įstatymo (toliau – ABĮ) 71 straipsnio nuostatomis, 2009 metais UAB ,,A“ akcininkai priėmė sprendimą atskirti UAB ,,A“ turto, nuosavo kapitalo ir įsipareigojimų dalį ir iš atskirtos dalies įsteigti dvi naujas bendroves – UAB „B“ ir UAB „C“. UAB „A“ įstatinis kapitalas yra 200 000 Lt (2000 paprastųjų vardinių akcijų po 100 Lt). UAB ,,A“ (toliau – bendrovė) valdo trys akcininkai - Z, kuriam priklauso 1000 akcijų ir X bei Y, kuriems priklauso po 500 akcijų. Pagal atskyrimo sąlygas UAB „B“ atskiriama dalis sudarys 25 proc. (25 proc. UAB „A“ turto, nuosavo kapitalo ir įsipareigojimų). UAB „C“ atskiriama dalis taip pat sudarys 25 proc. (25 proc. UAB „A“ turto, nuosavo kapitalo ir įsipareigojimų). Po bendrovės dalies atskyrimo, akcininkas Z liktų veiklą tęsiančios bendrovės akcininku (jam priklausytų 100 proc. šios bendrovės akcijų), o akcininkai X ir Y taptų naujai įsteigtų bendrovių akcininkais, kuriems kartu priklausytų po 100 proc. šių bendrovių akcijų. Pagal atskyrimo sąlygas bendrovės įstatinis kapitalas buvo sumažintas panaikintų 1000 paprastųjų vardinių akcijų, priklausiusių akcininkams X ir Y, nominalia verte.</w:t>
      </w:r>
    </w:p>
    <w:p w14:paraId="0009DF39" w14:textId="77777777" w:rsidR="00093845" w:rsidRDefault="000D779E">
      <w:pPr>
        <w:pStyle w:val="HTMLiankstoformatuotas"/>
        <w:pBdr>
          <w:top w:val="single" w:sz="4" w:space="1" w:color="auto"/>
          <w:left w:val="single" w:sz="4" w:space="4"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UAB „A“ turtas, nuosavas kapitalas ir įsipareigojimai buvo priskirti proporcingai atskiriamai daliai ir atitinka PMĮ 41 str. 2 d. 8 punkto reikalavimus.</w:t>
      </w:r>
    </w:p>
    <w:p w14:paraId="15C54FA6"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UAB ,,A“ vykdo švietimo veiklą. UAB „A“ valdomo turto vertė 120 000 Lt, iš kurių 80 000 Lt yra nekilnojamasis turtas. UAB „A“ turi 30 000 Lt įsipareigojimų, iš kurių įsipareigojimai, susiję su švietimo veikla, sudaro 22 000 Lt, su nekilnojamuoju turtu susijusių įsipareigojimų vertė sudaro 8 000 Lt. UAB „A“ nuosavo kapitalo vertė 90 000 Lt, iš kurių 50 000 Lt yra įstatinis kapitalas. Bendrovės įstatinis kapitalas yra padalintas į 500 paprastųjų vardinių akcijų, kurių vienos nominali vertė yra lygi 100 Lt. Vadovaudamasis ABĮ 71 straipsnio nuostatomis, 2012 metais UAB ,,A“ vienintelis akcininkas priėmė sprendimą atskirti su nekilnojamu turtu susijusią veiklą, atskiriant UAB ,,A“ turto, nuosavo kapitalo ir įsipareigojimų dalį ir iš atskirtos dalies įsteigti naują bendrovę – UAB „B“.  </w:t>
      </w:r>
    </w:p>
    <w:p w14:paraId="4D8D40C9"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Didžioji dalis UAB „A“ įsipareigojimų yra susiję išimtinai su vykdoma švietimo veikla, todėl proporcingas atskirų turto, nuosavo kapitalo ir įsipareigojimų balansinių straipsnių padalijimas būtų ekonomiškai nepagrįstas. Tokiu atveju atskiriamos dalies dydį galima apskaičiuoti įvertinant atskiriamos dalies grynojo turto ir viso UAB „A“ grynojo turto santykį.</w:t>
      </w:r>
    </w:p>
    <w:p w14:paraId="3EFB5055"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UAB „A“ apskaičiavo UAB „B“ perduodamo grynojo turto vertę 72 000 Lt (80 000 Lt – 8 000 Lt). Kadangi iki atskyrimo UAB “A” grynojo turto vertė buvo 90 000 Lt (120 000 Lt – 30 000 Lt), apskaičiuotas atskiriamos grynojo turto dalies santykis sudaro 80% (72 000 Lt / 90 000 Lt * 100%). Pagal šią proporciją buvo apskaičiuotas UAB “B” priskiriamo nuosavo kapitalo dydis 72 000 Lt (90 000 Lt * 80%).</w:t>
      </w:r>
    </w:p>
    <w:p w14:paraId="4A459110"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UAB „B“ įstatinis kapitalas suformuojamas atskiriant UAB „A“ įstatinio kapitalo dalį pagal nustatytą atskiriamo grynojo turto vertės proporciją. Tokiu būdu suformuoto UAB „B“ įstatinio kapitalo vertė yra lygi 40 000 Lt (50 000 Lt * 80%). Atitinkamu dydžiu sumažinamas UAB “A” įstatinis kapitalas. UAB “A” vienintelis akcininkas vietoje anuliuotų UAB “A” 400 vnt. akcijų mainais įgyja 400 vnt. paprastųjų vardinių UAB “B” akcijų, kurių vienos nominali vertė 100 Lt. </w:t>
      </w:r>
    </w:p>
    <w:p w14:paraId="69DAF7E3"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Po atskyrimo UAB “A” turto vertė yra 40 000 Lt, įsipareigojimai 22 000 Lt, nuosavas kapitalas sudaro 18 000 Lt (tame skaičiuje įstatinis kapitalas lygus 10 000 Lt). Nuo UAB “A” atskirtos dalies pagrindu suformuotos UAB “B” turto vertė yra 80 000 Lt, jam priskirti įsipareigojimai sudaro 8 000 Lt. UAB “B” nuosavas kapitalas lygus 72 000 Lt, iš kurių 40 000 Lt yra įstatinis kapitalas.</w:t>
      </w:r>
    </w:p>
    <w:p w14:paraId="1064C0F2"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Toks bendrovės dalies atskyrimas užtikrina proporcingą UAB „A“ turto, nuosavo kapitalo ir įsipareigojimų atskyrimą, todėl jis atitinka PMĮ 41 str. 2 d. 8 punkto reikalavimus.</w:t>
      </w:r>
    </w:p>
    <w:p w14:paraId="044AB299"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2009 metais UAB ,,A“ (toliau – bendrovė) akcininkai nutarė atskirti bendrovės dalį (50 proc.) ir šiai daliai priskirto turto ir įsipareigojimų bei nuosavo kapitalo pagrindu sukurti naują bendrovę – UAB „B“. </w:t>
      </w:r>
    </w:p>
    <w:p w14:paraId="40B25147" w14:textId="77777777" w:rsidR="00093845" w:rsidRDefault="000D779E">
      <w:pPr>
        <w:pStyle w:val="HTMLiankstoformatuotas"/>
        <w:pBdr>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Pr>
          <w:rFonts w:ascii="Times New Roman" w:hAnsi="Times New Roman" w:cs="Times New Roman"/>
          <w:sz w:val="24"/>
          <w:szCs w:val="24"/>
          <w:lang w:val="lt-LT"/>
        </w:rPr>
        <w:t>Po atkyrimo bendrovė tapo UAB „B“ akcijų savininke (įgijo 100 proc. UAB „B“  akcijų). Toks bendrovės dalies atskyrimas neatitinka PMĮ 41 str. 2 d. 8 punkto reikalavimų, nes perdavę dalį bendrovės turto ir įsipareigojimų naujai sukurtam vienetui, bendrovės dalyviai mainais negavo naujo vieneto akcijų. Tokio bendrovės dalies atskyrimo atveju gali būti taikomos PMĮ 41 str. 2 d. 6 punkto nuostatos (veiklos kaip komplekso ar veiklos dalies perleidimas mainais už tą veiklą įsigyjančio vieneto akcijas), jei tenkinamos šio punkto sąlygos (žr. PMĮ 41 str. 2 d. 6 punkto komentarą).</w:t>
      </w:r>
    </w:p>
    <w:p w14:paraId="13E4E564" w14:textId="77777777" w:rsidR="00093845" w:rsidRPr="0065344A" w:rsidRDefault="000D779E">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lang w:val="lt-LT"/>
        </w:rPr>
      </w:pPr>
      <w:r>
        <w:rPr>
          <w:rFonts w:ascii="Times New Roman" w:hAnsi="Times New Roman" w:cs="Times New Roman"/>
          <w:sz w:val="24"/>
          <w:szCs w:val="24"/>
          <w:lang w:val="lt-LT"/>
        </w:rPr>
        <w:t>3. Remiantis Lietuvos Respublikos akcinių bendrovių įstatymo 71 str. 1 dalimi, iš bendrovės atskirtai daliai priskirtų turto, teisių ir pareigų pagrindu gali būti kuriama viena ar kelios tik tos pačios teisinės formos bendrovės.</w:t>
      </w:r>
      <w:r w:rsidRPr="0065344A">
        <w:rPr>
          <w:lang w:val="lt-LT"/>
        </w:rPr>
        <w:t xml:space="preserve"> </w:t>
      </w:r>
    </w:p>
    <w:p w14:paraId="4F40E393" w14:textId="77777777" w:rsidR="00093845" w:rsidRDefault="0014647B">
      <w:pPr>
        <w:tabs>
          <w:tab w:val="left" w:pos="709"/>
        </w:tabs>
        <w:jc w:val="both"/>
        <w:rPr>
          <w:lang w:val="lt-LT"/>
        </w:rPr>
      </w:pPr>
      <w:r>
        <w:rPr>
          <w:lang w:val="fr-FR"/>
        </w:rPr>
        <w:t xml:space="preserve">           </w:t>
      </w:r>
      <w:r w:rsidR="000D779E">
        <w:rPr>
          <w:lang w:val="fr-FR"/>
        </w:rPr>
        <w:t xml:space="preserve"> (Pagal VMI prie FM 2012-12-19 raštą Nr.(32.42-31-1)-RM-7062)</w:t>
      </w:r>
    </w:p>
    <w:p w14:paraId="07676BBA" w14:textId="77777777" w:rsidR="00093845" w:rsidRDefault="000D779E">
      <w:pPr>
        <w:ind w:firstLine="720"/>
        <w:jc w:val="both"/>
        <w:rPr>
          <w:b/>
          <w:bCs/>
          <w:lang w:val="lt-LT"/>
        </w:rPr>
      </w:pPr>
      <w:r>
        <w:rPr>
          <w:b/>
          <w:bCs/>
          <w:lang w:val="lt-LT"/>
        </w:rPr>
        <w:t>9) vienetas (Europos bendrovė ar Europos kooperatinė bendrovė), kuris nėra likviduojamas ar nėra sukuriamas naujas vienetas, perkelia registruotą buveinę į kitą Europos Sąjungos valstybę narę.</w:t>
      </w:r>
    </w:p>
    <w:p w14:paraId="259C7293" w14:textId="77777777" w:rsidR="00093845" w:rsidRDefault="00093845">
      <w:pPr>
        <w:ind w:firstLine="720"/>
        <w:jc w:val="both"/>
        <w:rPr>
          <w:b/>
          <w:bCs/>
          <w:lang w:val="lt-LT"/>
        </w:rPr>
      </w:pPr>
    </w:p>
    <w:p w14:paraId="7DE4271F" w14:textId="77777777" w:rsidR="00093845" w:rsidRDefault="000D779E">
      <w:pPr>
        <w:ind w:firstLine="720"/>
        <w:jc w:val="both"/>
        <w:rPr>
          <w:rFonts w:ascii="Arial Unicode MS" w:hAnsi="Arial Unicode MS" w:cs="Arial Unicode MS"/>
          <w:b/>
          <w:bCs/>
          <w:lang w:val="lt-LT"/>
        </w:rPr>
      </w:pPr>
      <w:r>
        <w:rPr>
          <w:b/>
          <w:bCs/>
          <w:lang w:val="lt-LT"/>
        </w:rPr>
        <w:t xml:space="preserve">Komentaras </w:t>
      </w:r>
    </w:p>
    <w:p w14:paraId="34BDD988" w14:textId="77777777" w:rsidR="00093845" w:rsidRDefault="0014647B" w:rsidP="009C0219">
      <w:pPr>
        <w:pStyle w:val="HTMLiankstoformatuotas"/>
        <w:tabs>
          <w:tab w:val="clear" w:pos="916"/>
          <w:tab w:val="clear" w:pos="1832"/>
          <w:tab w:val="left" w:pos="0"/>
          <w:tab w:val="left" w:pos="840"/>
        </w:tabs>
        <w:jc w:val="both"/>
        <w:rPr>
          <w:rFonts w:ascii="Times New Roman" w:hAnsi="Times New Roman" w:cs="Times New Roman"/>
          <w:sz w:val="24"/>
          <w:lang w:val="lt-LT"/>
        </w:rPr>
      </w:pPr>
      <w:r>
        <w:rPr>
          <w:rFonts w:ascii="Times New Roman" w:hAnsi="Times New Roman" w:cs="Times New Roman"/>
          <w:sz w:val="24"/>
          <w:lang w:val="lt-LT"/>
        </w:rPr>
        <w:t xml:space="preserve">            </w:t>
      </w:r>
      <w:r w:rsidR="000D779E">
        <w:rPr>
          <w:rFonts w:ascii="Times New Roman" w:hAnsi="Times New Roman" w:cs="Times New Roman"/>
          <w:sz w:val="24"/>
          <w:lang w:val="lt-LT"/>
        </w:rPr>
        <w:t xml:space="preserve">1. Šiame punkte nustatytas atvejis, kai Lietuvos vienetas - Europos bendrovė ar Europos kooperatinė bendrovė (žr. PMĮ 41 str. 1 d. 3 punkto komentarą) perkelia savo registruotą buveinę į kitą ES valstybę narę. </w:t>
      </w:r>
    </w:p>
    <w:p w14:paraId="724F0740" w14:textId="77777777" w:rsidR="00093845" w:rsidRDefault="000D779E">
      <w:pPr>
        <w:tabs>
          <w:tab w:val="left" w:pos="0"/>
          <w:tab w:val="left" w:pos="720"/>
        </w:tabs>
        <w:ind w:firstLine="720"/>
        <w:jc w:val="both"/>
        <w:rPr>
          <w:lang w:val="lt-LT"/>
        </w:rPr>
      </w:pPr>
      <w:r>
        <w:rPr>
          <w:lang w:val="lt-LT"/>
        </w:rPr>
        <w:t>2. Šis punktas taikomas tik tokiai Europos bendrovės ar Europos kooperatinės bendrovės registruotos buveinės perkėlimo į kitą ES valstybę narę operacijai, kai tokia bendrovė:</w:t>
      </w:r>
    </w:p>
    <w:p w14:paraId="5CD62214" w14:textId="77777777" w:rsidR="00093845" w:rsidRDefault="000D779E">
      <w:pPr>
        <w:tabs>
          <w:tab w:val="left" w:pos="0"/>
          <w:tab w:val="left" w:pos="720"/>
        </w:tabs>
        <w:ind w:firstLine="720"/>
        <w:jc w:val="both"/>
        <w:rPr>
          <w:lang w:val="lt-LT"/>
        </w:rPr>
      </w:pPr>
      <w:r>
        <w:rPr>
          <w:lang w:val="lt-LT"/>
        </w:rPr>
        <w:t xml:space="preserve">- nėra likviduojama ir </w:t>
      </w:r>
    </w:p>
    <w:p w14:paraId="1DE62E9D" w14:textId="77777777" w:rsidR="00093845" w:rsidRDefault="000D779E">
      <w:pPr>
        <w:tabs>
          <w:tab w:val="left" w:pos="0"/>
          <w:tab w:val="left" w:pos="720"/>
        </w:tabs>
        <w:ind w:firstLine="720"/>
        <w:jc w:val="both"/>
        <w:rPr>
          <w:lang w:val="lt-LT"/>
        </w:rPr>
      </w:pPr>
      <w:r>
        <w:rPr>
          <w:lang w:val="lt-LT"/>
        </w:rPr>
        <w:t xml:space="preserve">- nėra sukuriama kaip naujas vienetas. </w:t>
      </w:r>
    </w:p>
    <w:p w14:paraId="2296EC3E" w14:textId="77777777" w:rsidR="00093845" w:rsidRDefault="000D779E">
      <w:pPr>
        <w:tabs>
          <w:tab w:val="left" w:pos="0"/>
          <w:tab w:val="left" w:pos="720"/>
        </w:tabs>
        <w:ind w:firstLine="720"/>
        <w:jc w:val="both"/>
        <w:rPr>
          <w:lang w:val="lt-LT"/>
        </w:rPr>
      </w:pPr>
      <w:r>
        <w:rPr>
          <w:lang w:val="lt-LT"/>
        </w:rPr>
        <w:t xml:space="preserve">3. Naujų vienetų - Europos bendrovių ar Europos kooperatinių bendrovių, kurių dalyviai yra Lietuvos vienetai, steigimuisi jungimo būdu taikomos šios dalies 1-3 punkto nuostatos. </w:t>
      </w:r>
    </w:p>
    <w:p w14:paraId="12F1CAA3" w14:textId="77777777" w:rsidR="00093845" w:rsidRDefault="00093845">
      <w:pPr>
        <w:tabs>
          <w:tab w:val="left" w:pos="0"/>
          <w:tab w:val="left" w:pos="720"/>
        </w:tabs>
        <w:ind w:firstLine="720"/>
        <w:jc w:val="both"/>
        <w:rPr>
          <w:b/>
          <w:bCs/>
          <w:lang w:val="lt-LT"/>
        </w:rPr>
      </w:pPr>
    </w:p>
    <w:p w14:paraId="60F786F6" w14:textId="77777777" w:rsidR="00093845" w:rsidRDefault="000D779E">
      <w:pPr>
        <w:tabs>
          <w:tab w:val="left" w:pos="0"/>
          <w:tab w:val="left" w:pos="720"/>
        </w:tabs>
        <w:ind w:firstLine="720"/>
        <w:jc w:val="both"/>
        <w:rPr>
          <w:lang w:val="lt-LT"/>
        </w:rPr>
      </w:pPr>
      <w:r>
        <w:rPr>
          <w:b/>
          <w:bCs/>
          <w:lang w:val="lt-LT"/>
        </w:rPr>
        <w:t xml:space="preserve">3. Kai šio straipsnio 2 dalyje nustatytais atvejais įsigyjantysis vienetas yra šio straipsnio 1 dalies 2 punkte nurodytas užsienio vienetas, tai šio skyriaus nuostatos taikomos, jei po reorganizavimo ar perleidimo, nustatyto šio straipsnio 2 dalyje, išskyrus šio straipsnio 2 dalies 7 ir 9 punktus, tas užsienio vienetas gauto turto, teisių ir pareigų pagrindu toliau vykdo veiklą per nuolatinę buveinę Lietuvos Respublikos teritorijoje. Kai šio straipsnio 2 dalies 9 punkte nustatytu atveju šio straipsnio 1 dalies 3 punkte nurodytas vienetas (Europos bendrovė ar Europos kooperatinė bendrovė) perkelia registruotą buveinę, tai šio skyriaus nuostatos </w:t>
      </w:r>
      <w:r>
        <w:rPr>
          <w:b/>
          <w:bCs/>
          <w:lang w:val="lt-LT"/>
        </w:rPr>
        <w:lastRenderedPageBreak/>
        <w:t>taikomos, jei po registruotos buveinės perkėlimo šis vienetas buvusių Lietuvos vienetui priskiriamų turto, teisių ir pareigų pagrindu toliau vykdo veiklą per nuolatinę buveinę Lietuvos Respublikos teritorijoje</w:t>
      </w:r>
      <w:r>
        <w:rPr>
          <w:lang w:val="lt-LT"/>
        </w:rPr>
        <w:t>.</w:t>
      </w:r>
    </w:p>
    <w:p w14:paraId="13016A9B" w14:textId="77777777" w:rsidR="00093845" w:rsidRDefault="000D779E">
      <w:pPr>
        <w:pStyle w:val="Antrat1"/>
        <w:ind w:firstLine="720"/>
        <w:jc w:val="both"/>
        <w:rPr>
          <w:lang w:val="lt-LT"/>
        </w:rPr>
      </w:pPr>
      <w:r>
        <w:rPr>
          <w:lang w:val="lt-LT"/>
        </w:rPr>
        <w:t>Komentaras</w:t>
      </w:r>
    </w:p>
    <w:p w14:paraId="38636A9D" w14:textId="77777777" w:rsidR="00093845" w:rsidRDefault="000D779E">
      <w:pPr>
        <w:pStyle w:val="Pagrindiniotekstotrauka2"/>
        <w:spacing w:line="240" w:lineRule="auto"/>
        <w:rPr>
          <w:b w:val="0"/>
          <w:bCs w:val="0"/>
        </w:rPr>
      </w:pPr>
      <w:r>
        <w:rPr>
          <w:b w:val="0"/>
          <w:bCs w:val="0"/>
        </w:rPr>
        <w:t xml:space="preserve">1. Šioje dalyje nustatytos papildomos sąlygos dėl PMĮ IX skyriaus nuostatų taikymo PMĮ 41 str. 2 dalyje numatytais reorganizavimo ar perleidimo atvejais, kai tokių reorganizavimų ar perleidimų dalyviai yra ES valstybių narių vienetai (taip kaip jie apibrėžti PMĮ 41 str. 1 dalies 2 punkte), arba, kai Europos bendrovė ar Europos kooperatinė bendrovė perkelia Lietuvoje registruotą buveinę į kitą ES valstybę narę. </w:t>
      </w:r>
    </w:p>
    <w:p w14:paraId="58FDEC9D" w14:textId="77777777" w:rsidR="00CF245A" w:rsidRPr="003B2D52" w:rsidRDefault="00CF245A" w:rsidP="00CF245A">
      <w:pPr>
        <w:pStyle w:val="Style1"/>
        <w:rPr>
          <w:b/>
        </w:rPr>
      </w:pPr>
      <w:r>
        <w:rPr>
          <w:rFonts w:ascii="Times New Roman" w:hAnsi="Times New Roman"/>
          <w:szCs w:val="24"/>
        </w:rPr>
        <w:t xml:space="preserve">2. </w:t>
      </w:r>
      <w:r w:rsidRPr="002577B8">
        <w:rPr>
          <w:rFonts w:ascii="Times New Roman" w:hAnsi="Times New Roman"/>
          <w:szCs w:val="24"/>
        </w:rPr>
        <w:t>Jei PMĮ 41 str. 2 dalyje nustatytų reorganizavimo ar perleidimo atvejų dalyviai yra ES valstybių narių vienetai, tai PMĮ IX skyriaus nuostatos taikomos tik tuo atveju, jei po reorganizavimo ar perleidimo, atliekamo šio straipsnio 2 dalies 1-6 ir 8 punktuose nustatytais atvejais</w:t>
      </w:r>
      <w:r>
        <w:rPr>
          <w:rFonts w:ascii="Times New Roman" w:hAnsi="Times New Roman"/>
          <w:szCs w:val="24"/>
        </w:rPr>
        <w:t xml:space="preserve"> </w:t>
      </w:r>
      <w:r w:rsidRPr="002577B8">
        <w:t xml:space="preserve">  </w:t>
      </w:r>
      <w:r w:rsidRPr="009B5078">
        <w:t>tas</w:t>
      </w:r>
      <w:r w:rsidRPr="00901FA7">
        <w:t xml:space="preserve"> </w:t>
      </w:r>
      <w:r w:rsidRPr="002577B8">
        <w:t xml:space="preserve">ES valstybės narės vienetas gauto turto, teisių ir pareigų pagrindu toliau vykdo veiklą per nuolatinę buveinę Lietuvos Respublikos teritorijoje. </w:t>
      </w:r>
      <w:r w:rsidRPr="003B2D52">
        <w:rPr>
          <w:b/>
        </w:rPr>
        <w:t>Veiklos per nuolatinę buveinę Lietuvos Respublikos teritorijoje vykdymas gauto turto, teisių ir pareigų pagrindu turi būti siejamas su to turto, teisių</w:t>
      </w:r>
      <w:r>
        <w:rPr>
          <w:b/>
        </w:rPr>
        <w:t xml:space="preserve"> ir</w:t>
      </w:r>
      <w:r w:rsidRPr="003B2D52">
        <w:rPr>
          <w:b/>
        </w:rPr>
        <w:t xml:space="preserve"> įsipareigojimų efektyviu dalyvavimu gaunant pelną ar patiriant nuostolius Lietuvo</w:t>
      </w:r>
      <w:r>
        <w:rPr>
          <w:b/>
        </w:rPr>
        <w:t>s Respublikoje</w:t>
      </w:r>
      <w:r w:rsidRPr="003B2D52">
        <w:rPr>
          <w:b/>
        </w:rPr>
        <w:t>.</w:t>
      </w:r>
    </w:p>
    <w:p w14:paraId="206B2C3D" w14:textId="77777777" w:rsidR="00CF245A" w:rsidRDefault="00CF245A" w:rsidP="00CF245A">
      <w:pPr>
        <w:pStyle w:val="Style1"/>
        <w:rPr>
          <w:rFonts w:ascii="Times New Roman" w:hAnsi="Times New Roman"/>
          <w:b/>
          <w:szCs w:val="24"/>
        </w:rPr>
      </w:pPr>
      <w:r w:rsidRPr="002577B8">
        <w:rPr>
          <w:rFonts w:ascii="Times New Roman" w:hAnsi="Times New Roman"/>
          <w:b/>
          <w:szCs w:val="24"/>
        </w:rPr>
        <w:t>Tais atvejais, kai iš Lietuvos iškeliama tik dalis turto, teisių ir įsipareigojimų, nesudarančių vykd</w:t>
      </w:r>
      <w:r>
        <w:rPr>
          <w:rFonts w:ascii="Times New Roman" w:hAnsi="Times New Roman"/>
          <w:b/>
          <w:szCs w:val="24"/>
        </w:rPr>
        <w:t>ytos ir tęsiamos</w:t>
      </w:r>
      <w:r w:rsidRPr="002577B8">
        <w:rPr>
          <w:rFonts w:ascii="Times New Roman" w:hAnsi="Times New Roman"/>
          <w:b/>
          <w:szCs w:val="24"/>
        </w:rPr>
        <w:t xml:space="preserve"> veiklos pagrindo, </w:t>
      </w:r>
      <w:r w:rsidRPr="0088603E">
        <w:rPr>
          <w:rFonts w:ascii="Times New Roman" w:hAnsi="Times New Roman"/>
          <w:b/>
          <w:szCs w:val="24"/>
        </w:rPr>
        <w:t>PMĮ nustatyta tvarka</w:t>
      </w:r>
      <w:r>
        <w:rPr>
          <w:rFonts w:ascii="Times New Roman" w:hAnsi="Times New Roman"/>
          <w:b/>
          <w:szCs w:val="24"/>
        </w:rPr>
        <w:t xml:space="preserve"> apmokestinamo</w:t>
      </w:r>
      <w:r w:rsidRPr="002577B8">
        <w:rPr>
          <w:rFonts w:ascii="Times New Roman" w:hAnsi="Times New Roman"/>
          <w:b/>
          <w:szCs w:val="24"/>
        </w:rPr>
        <w:t xml:space="preserve">s </w:t>
      </w:r>
      <w:r>
        <w:rPr>
          <w:rFonts w:ascii="Times New Roman" w:hAnsi="Times New Roman"/>
          <w:b/>
          <w:szCs w:val="24"/>
        </w:rPr>
        <w:t xml:space="preserve">iškelto </w:t>
      </w:r>
      <w:r w:rsidRPr="002577B8">
        <w:rPr>
          <w:rFonts w:ascii="Times New Roman" w:hAnsi="Times New Roman"/>
          <w:b/>
          <w:szCs w:val="24"/>
        </w:rPr>
        <w:t xml:space="preserve">turto </w:t>
      </w:r>
      <w:r w:rsidRPr="0088603E">
        <w:rPr>
          <w:rFonts w:ascii="Times New Roman" w:hAnsi="Times New Roman"/>
          <w:b/>
          <w:szCs w:val="24"/>
        </w:rPr>
        <w:t>vertės padidėjimo pajamos</w:t>
      </w:r>
      <w:r>
        <w:rPr>
          <w:rFonts w:ascii="Times New Roman" w:hAnsi="Times New Roman"/>
          <w:b/>
          <w:szCs w:val="24"/>
        </w:rPr>
        <w:t>.</w:t>
      </w:r>
    </w:p>
    <w:p w14:paraId="4A8CD489" w14:textId="77777777" w:rsidR="00CF245A" w:rsidRPr="00CF245A" w:rsidRDefault="00CF245A" w:rsidP="00CF245A">
      <w:pPr>
        <w:pStyle w:val="Style1"/>
        <w:rPr>
          <w:rFonts w:ascii="Times New Roman" w:hAnsi="Times New Roman"/>
          <w:szCs w:val="24"/>
        </w:rPr>
      </w:pPr>
      <w:r w:rsidRPr="00CF245A">
        <w:rPr>
          <w:rFonts w:ascii="Times New Roman" w:hAnsi="Times New Roman"/>
          <w:szCs w:val="24"/>
        </w:rPr>
        <w:t>Pavyzdys</w:t>
      </w:r>
    </w:p>
    <w:p w14:paraId="17C26456"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 xml:space="preserve">PMĮ 41 straipsnio 2 dalies 1 punkte nustatytu būdu Lietuvos vienetas prijungiamas prie ES valstybės narės vieneto ir baigia veiklą be likvidavimo procedūros. Prijungimo metu, vietoje turėtų Lietuvos vieneto akcijų, ES valstybės narės vienetas mainais gauna visą Lietuvos vieneto turtą, teises ir pareigas. Lietuvos vienetas perduoda ir paties vieneto veikloje susikurtą nematerialųjį turtą – intelektinę nuosavybę (įskaitant know-how). </w:t>
      </w:r>
    </w:p>
    <w:p w14:paraId="1790058C"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Po prijungimo ES valstybės narės vienetas taps juridiniu iš Lietuvos vieneto perimto turto (įskaitant intelektinę nuosavybę ir know-how) teisių valdytoju. Nors  ES valstybės narės vienetas numato toliau vykdyti veiklą per nuolatinę buveinę Lietuvos Respublikos teritorijoje, tačiau faktiškai perleistas nematerialusis turtas (intelektinė nuosavybė, sukurta perleidžiančiojo vieneto) nebus efektyviai susijęs su nuolatine buveine Lietuvoje ir generuos pajamas ne tik nuolatinei buveinei Lietuvoje, bet ir (arba tik) šį turtą perimančiam vienetui ES valstybėje.</w:t>
      </w:r>
    </w:p>
    <w:p w14:paraId="0B317838" w14:textId="77777777" w:rsidR="00CF245A" w:rsidRPr="00CF245A" w:rsidRDefault="00CF245A" w:rsidP="00CF245A">
      <w:pPr>
        <w:pStyle w:val="Style1"/>
        <w:pBdr>
          <w:top w:val="single" w:sz="4" w:space="1" w:color="auto"/>
          <w:left w:val="single" w:sz="4" w:space="4" w:color="auto"/>
          <w:bottom w:val="single" w:sz="4" w:space="1" w:color="auto"/>
          <w:right w:val="single" w:sz="4" w:space="4" w:color="auto"/>
        </w:pBdr>
        <w:rPr>
          <w:rFonts w:ascii="Times New Roman" w:hAnsi="Times New Roman"/>
          <w:szCs w:val="24"/>
        </w:rPr>
      </w:pPr>
      <w:r w:rsidRPr="00CF245A">
        <w:rPr>
          <w:rFonts w:ascii="Times New Roman" w:hAnsi="Times New Roman"/>
          <w:szCs w:val="24"/>
        </w:rPr>
        <w:t>Atsižvelgiant į tai, kad perleistas vieneto turtas (įskaitant intelektinę nuosavybę, kuri sudaro vykdomos vieneto veiklos pagrindą)  po prijungimo nebus efektyviai susijęs su Lietuvos nuolatine buveine bei generuos pajamas turtą perėmusiam užsienio vienetui, laikoma, kad minėtam prijungimui PMĮ IX skyriaus nuostatos netaikomos ir iškelto iš Lietuvos Respublikos turto vertės padidėjimo pajamos turi būti apmokestinamos vadovaujantis bendrosiomis PMĮ nuostatomis.</w:t>
      </w:r>
    </w:p>
    <w:p w14:paraId="03DDC434" w14:textId="77777777" w:rsidR="00CF245A" w:rsidRPr="00CF245A" w:rsidRDefault="0014647B" w:rsidP="00CF245A">
      <w:pPr>
        <w:ind w:firstLine="567"/>
        <w:jc w:val="both"/>
        <w:rPr>
          <w:lang w:val="lt-LT"/>
        </w:rPr>
      </w:pPr>
      <w:r>
        <w:rPr>
          <w:bCs/>
          <w:lang w:val="lt-LT"/>
        </w:rPr>
        <w:t xml:space="preserve">   </w:t>
      </w:r>
      <w:r w:rsidR="00CF245A" w:rsidRPr="00CF245A">
        <w:rPr>
          <w:bCs/>
          <w:lang w:val="lt-LT"/>
        </w:rPr>
        <w:t xml:space="preserve">(Pagal VMI prie FM </w:t>
      </w:r>
      <w:r w:rsidR="00CF245A" w:rsidRPr="00CF245A">
        <w:rPr>
          <w:lang w:val="lt-LT"/>
        </w:rPr>
        <w:t xml:space="preserve">2019-02-18 raštą </w:t>
      </w:r>
      <w:r w:rsidR="00CF245A" w:rsidRPr="00CF245A">
        <w:rPr>
          <w:color w:val="000000"/>
        </w:rPr>
        <w:t xml:space="preserve">Nr. </w:t>
      </w:r>
      <w:r w:rsidR="00CF245A" w:rsidRPr="00CF245A">
        <w:t>(</w:t>
      </w:r>
      <w:r w:rsidR="00CF245A" w:rsidRPr="00CF245A">
        <w:rPr>
          <w:color w:val="000000"/>
        </w:rPr>
        <w:t>32.42-31-1E) RM-5478)</w:t>
      </w:r>
    </w:p>
    <w:p w14:paraId="6DBCB9C8" w14:textId="77777777" w:rsidR="00093845" w:rsidRDefault="000D779E">
      <w:pPr>
        <w:pStyle w:val="Style1"/>
        <w:rPr>
          <w:rFonts w:ascii="Times New Roman" w:hAnsi="Times New Roman"/>
        </w:rPr>
      </w:pPr>
      <w:r>
        <w:rPr>
          <w:rFonts w:ascii="Times New Roman" w:hAnsi="Times New Roman"/>
        </w:rPr>
        <w:t>3. Tais atvejais, kai Europos bendrovė ar Europos kooperatinė bendrovė (kuri nėra likviduojama ir nesukuriamas naujas vienetas) perkelia Lietuvoje registruotą buveinę į kitą ES valstybę narę, tai PMĮ IX skyriaus nuostatos taikomos tik tuo atveju, jei po registruotos buveinės perkėlimo tokia bendrovė buvusių Lietuvos vienetui (t.y. Lietuvoje registruotai Europos bendrovei ar Europos kooperatinei bendrovei) priskiriamų turto, teisių ir pareigų pagrindu toliau vykdo veiklą per nuolatinę buveinę Lietuvos Respublikos teritorijoje.</w:t>
      </w:r>
    </w:p>
    <w:p w14:paraId="7C302504" w14:textId="77777777" w:rsidR="00093845" w:rsidRDefault="000D779E">
      <w:pPr>
        <w:pStyle w:val="Style1"/>
        <w:rPr>
          <w:rFonts w:ascii="Times New Roman" w:hAnsi="Times New Roman"/>
        </w:rPr>
      </w:pPr>
      <w:r>
        <w:rPr>
          <w:rFonts w:ascii="Times New Roman" w:hAnsi="Times New Roman"/>
        </w:rPr>
        <w:lastRenderedPageBreak/>
        <w:t>4. Nuolatinių buveinių mokestiniai laikotarpiai nustatomi pagal PMĮ 6 str. 3 dalį (žr. PMĮ 6 str. 3 dalies komentarą).</w:t>
      </w:r>
    </w:p>
    <w:p w14:paraId="5E08F1ED" w14:textId="77777777" w:rsidR="00093845" w:rsidRDefault="0014647B">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 (P</w:t>
      </w:r>
      <w:r w:rsidR="000D779E">
        <w:rPr>
          <w:rFonts w:ascii="Times New Roman" w:hAnsi="Times New Roman" w:cs="Times New Roman"/>
          <w:sz w:val="24"/>
          <w:lang w:val="lt-LT"/>
        </w:rPr>
        <w:t xml:space="preserve">ateikta naujai pagal VMI prie FM 2006-10-11 raštą Nr. </w:t>
      </w:r>
      <w:r w:rsidR="000D779E">
        <w:rPr>
          <w:rFonts w:ascii="Times New Roman" w:hAnsi="Times New Roman" w:cs="Times New Roman"/>
          <w:sz w:val="24"/>
          <w:szCs w:val="24"/>
          <w:lang w:val="lt-LT"/>
        </w:rPr>
        <w:t>(18.10-31-1)-R-8798)</w:t>
      </w:r>
    </w:p>
    <w:p w14:paraId="18360B75" w14:textId="77777777" w:rsidR="00093845" w:rsidRDefault="00093845">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p>
    <w:p w14:paraId="6C6252BB" w14:textId="77777777" w:rsidR="00093845" w:rsidRPr="007447B6" w:rsidRDefault="000D779E" w:rsidP="007447B6">
      <w:pPr>
        <w:pStyle w:val="Antrat1"/>
        <w:spacing w:after="0"/>
        <w:jc w:val="both"/>
        <w:rPr>
          <w:rFonts w:ascii="Arial Unicode MS" w:hAnsi="Arial Unicode MS"/>
          <w:lang w:val="lt-LT"/>
        </w:rPr>
      </w:pPr>
      <w:bookmarkStart w:id="557" w:name="_42_STRAIPSNIS._Turto"/>
      <w:bookmarkEnd w:id="557"/>
      <w:r w:rsidRPr="007447B6">
        <w:rPr>
          <w:bCs w:val="0"/>
          <w:lang w:val="lt-LT"/>
        </w:rPr>
        <w:t>42 STRAIPSNIS. Turto vertės padidėjimo pajamos reorganizavimo ir perleidimo atvejais</w:t>
      </w:r>
    </w:p>
    <w:p w14:paraId="130CB7DD" w14:textId="77777777" w:rsidR="00093845" w:rsidRPr="0014647B" w:rsidRDefault="000D779E" w:rsidP="00744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lang w:val="lt-LT"/>
        </w:rPr>
      </w:pPr>
      <w:r w:rsidRPr="0014647B">
        <w:rPr>
          <w:bCs/>
          <w:i/>
          <w:lang w:val="lt-LT"/>
        </w:rPr>
        <w:t>(</w:t>
      </w:r>
      <w:r w:rsidRPr="0014647B">
        <w:rPr>
          <w:i/>
          <w:color w:val="000000"/>
          <w:lang w:val="lt-LT" w:eastAsia="lt-LT"/>
        </w:rPr>
        <w:t>KEISTA: 2005 12 20 įstatymu Nr. X-456 (nuo 2006 01 01)</w:t>
      </w:r>
      <w:r w:rsidR="00E34925" w:rsidRPr="0014647B">
        <w:rPr>
          <w:i/>
          <w:color w:val="000000"/>
          <w:lang w:val="lt-LT" w:eastAsia="lt-LT"/>
        </w:rPr>
        <w:t>,</w:t>
      </w:r>
      <w:r w:rsidR="004D26D0" w:rsidRPr="0014647B">
        <w:rPr>
          <w:i/>
          <w:lang w:val="lt-LT"/>
        </w:rPr>
        <w:t xml:space="preserve"> </w:t>
      </w:r>
      <w:r w:rsidR="004D26D0" w:rsidRPr="0014647B">
        <w:rPr>
          <w:i/>
          <w:color w:val="000000"/>
          <w:lang w:val="lt-LT" w:eastAsia="lt-LT"/>
        </w:rPr>
        <w:t>taikoma nuo 2006 metais prasidėjusio ir vėlesniais mokestiniais laikotarpiais</w:t>
      </w:r>
      <w:r w:rsidRPr="0014647B">
        <w:rPr>
          <w:bCs/>
          <w:i/>
          <w:lang w:val="lt-LT"/>
        </w:rPr>
        <w:t>)</w:t>
      </w:r>
    </w:p>
    <w:p w14:paraId="69F64A5C" w14:textId="77777777" w:rsidR="00093845" w:rsidRDefault="00093845">
      <w:pPr>
        <w:ind w:firstLine="720"/>
        <w:jc w:val="both"/>
        <w:rPr>
          <w:bCs/>
          <w:lang w:val="lt-LT"/>
        </w:rPr>
      </w:pPr>
    </w:p>
    <w:p w14:paraId="288FAAA7" w14:textId="77777777" w:rsidR="00093845" w:rsidRDefault="000D779E">
      <w:pPr>
        <w:ind w:firstLine="720"/>
        <w:jc w:val="both"/>
        <w:rPr>
          <w:b/>
          <w:bCs/>
          <w:lang w:val="lt-LT"/>
        </w:rPr>
      </w:pPr>
      <w:r>
        <w:rPr>
          <w:b/>
          <w:bCs/>
          <w:lang w:val="lt-LT"/>
        </w:rPr>
        <w:t>1. Kai šio Įstatymo 41 straipsnyje nustatytais atvejais vieneto dalyviai už turimas šio vieneto akcijas (dalis, pajus) mainais gauna kito vieneto akcijų (dalių, pajų), tai turto vertės padidėjimas nelaikomas tų dalyvių, mainais gavusių naujas akcijas (dalis, pajus), pajamomis. Tokiu atveju vieneto dalyvių mainais gautų naujų akcijų (dalių, pajų) įsigijimo kaina yra šių dalyvių išmainytų akcijų (dalių, pajų) įsigijimo kaina, buvusi iki šių akcijų (dalių, pajų) perdavimo mainais.</w:t>
      </w:r>
    </w:p>
    <w:p w14:paraId="2A928C7B" w14:textId="77777777" w:rsidR="00093845" w:rsidRDefault="000D779E">
      <w:pPr>
        <w:ind w:firstLine="720"/>
        <w:jc w:val="both"/>
        <w:rPr>
          <w:b/>
          <w:bCs/>
          <w:lang w:val="lt-LT"/>
        </w:rPr>
      </w:pPr>
      <w:r>
        <w:rPr>
          <w:b/>
          <w:bCs/>
          <w:lang w:val="lt-LT"/>
        </w:rPr>
        <w:t>Komentaras</w:t>
      </w:r>
    </w:p>
    <w:p w14:paraId="53240CEB" w14:textId="77777777" w:rsidR="00093845" w:rsidRDefault="000D779E">
      <w:pPr>
        <w:pStyle w:val="Pagrindiniotekstotrauka"/>
        <w:tabs>
          <w:tab w:val="left" w:pos="720"/>
          <w:tab w:val="left" w:pos="1077"/>
          <w:tab w:val="left" w:pos="1418"/>
        </w:tabs>
        <w:rPr>
          <w:lang w:val="lt-LT"/>
        </w:rPr>
      </w:pPr>
      <w:r>
        <w:rPr>
          <w:lang w:val="lt-LT"/>
        </w:rPr>
        <w:t>1.</w:t>
      </w:r>
      <w:r>
        <w:rPr>
          <w:lang w:val="lt-LT"/>
        </w:rPr>
        <w:tab/>
        <w:t xml:space="preserve">Šios dalies nuostatos taikomos PMĮ 41 str. 2 dalyje nustatytais reorganizavimo ar perleidimo atvejais, kai tokiame reorganizavime ar perleidime dalyvaujančių Lietuvos vienetų ar užsienio vienetų dalyviai už turimas vieno vieneto akcijas (dalis, pajus) mainais gauna kito vieneto akcijų (dalių, pajų). </w:t>
      </w:r>
    </w:p>
    <w:p w14:paraId="29108317"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reorganizavimo ar perleidimo metu vieno vieneto dalyviai už turimas šio vieneto akcijas (dalis, pajaus) mainais gauna kito vieneto akcijas (dalis, pajus), tuo būdu patys tapdami to kito vieneto dalyviais, tai turto vertės padidėjimas nelaikomas tų dalyvių, mainais gavusių naujas akcijas (dalis, pajus), pajamomis (išskyrus išimtį, nustatytą PMĮ 42 str. 10 dalyje).</w:t>
      </w:r>
    </w:p>
    <w:p w14:paraId="7981DC86" w14:textId="77777777" w:rsidR="00093845" w:rsidRDefault="000D779E">
      <w:pPr>
        <w:pStyle w:val="Pagrindiniotekstotrauka"/>
        <w:tabs>
          <w:tab w:val="left" w:pos="720"/>
          <w:tab w:val="left" w:pos="1077"/>
          <w:tab w:val="left" w:pos="1418"/>
        </w:tabs>
        <w:rPr>
          <w:lang w:val="lt-LT"/>
        </w:rPr>
      </w:pPr>
      <w:r>
        <w:rPr>
          <w:lang w:val="lt-LT"/>
        </w:rPr>
        <w:tab/>
        <w:t xml:space="preserve">Tokiu atveju vienetų dalyvių mainais gautų naujų akcijų (dalių, pajų) įsigijimo kaina yra ta pati kaina, už kurią šie dalyviai buvo įsigiję mainais perduotas akcijas (dalis, pajus). </w:t>
      </w:r>
    </w:p>
    <w:p w14:paraId="05F5F25A" w14:textId="77777777" w:rsidR="00093845" w:rsidRDefault="000D779E">
      <w:pPr>
        <w:pStyle w:val="Pagrindiniotekstotrauka"/>
        <w:tabs>
          <w:tab w:val="left" w:pos="720"/>
          <w:tab w:val="left" w:pos="1077"/>
          <w:tab w:val="left" w:pos="1418"/>
        </w:tabs>
        <w:rPr>
          <w:lang w:val="lt-LT"/>
        </w:rPr>
      </w:pPr>
      <w:r>
        <w:rPr>
          <w:lang w:val="lt-LT"/>
        </w:rPr>
        <w:t>3. Jei atliekami akcijų mainai PMĮ 41 str. 2 d. 7 punkte aprašytu atveju, t.y., kai Lietuvos vienetas, siekdamas kontroliuoti kitą Lietuvos ar užsienio vienetą, įsigyja to kito vieneto akcijas iš jo dalyvio, mainais už jas perleisdamas savo naujai išleistas akcijas, tai to Lietuvos vieneto taip mainais gautų akcijų įsigijimo kaina yra jo išleistų akcijų emisijos kaina</w:t>
      </w:r>
      <w:r>
        <w:rPr>
          <w:b/>
          <w:bCs/>
          <w:lang w:val="lt-LT"/>
        </w:rPr>
        <w:t xml:space="preserve"> (</w:t>
      </w:r>
      <w:r>
        <w:rPr>
          <w:lang w:val="lt-LT"/>
        </w:rPr>
        <w:t xml:space="preserve">įskaitant tiesiogines išlaidas, susijusias su mainais gautų akcijų įsigijimu). </w:t>
      </w:r>
    </w:p>
    <w:p w14:paraId="475F08F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4. Kai PMĮ 41 str. 2 d. 6 punkte numatytu atveju Lietuvos vienetas perleidžia veiklą kaip kompleksą arba veiklos dalį, mainais gaudamas įsigyjančiojo Lietuvos ar užsienio vieneto naujai išleistas akcijas, tai to Lietuvos vieneto taip gautų akcijų įsigijimo kaina yra su ta veikla ar jos dalimi perleisto turto įsigijimo kainos ir įsipareigojimų vertės, buvusių prieš pat perleidimą, skirtumas. </w:t>
      </w:r>
    </w:p>
    <w:p w14:paraId="23E6B967"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Šiuo atveju turto įsigijimo kaina yra kaina, už kurią tą turtą įsigijo jį perleidęs vienetas, atsižvelgiant į PMĮ 16 str. 2 dalies nuostatą (žr. PMĮ 14 straipsnio ir 16 str. 2 dalies komentarus). Įsipareigojimų verte yra laikoma jų pradinė vertė (pradine verte yra laikoma pirmą kartą gavus turtą ar paslaugas jų įsigijimo kaina įvertinta vertė (atsižvelgiant į vėlesnius (iki įsipareigojimų perleidimo) šios vertės pokyčius, kurie pripažįstami, apskaičiuojant apmokestinamąjį pelną). </w:t>
      </w:r>
    </w:p>
    <w:p w14:paraId="65637291" w14:textId="77777777" w:rsidR="00093845" w:rsidRDefault="000D779E">
      <w:pPr>
        <w:pStyle w:val="Pagrindiniotekstotrauka"/>
        <w:tabs>
          <w:tab w:val="left" w:pos="720"/>
          <w:tab w:val="left" w:pos="1077"/>
          <w:tab w:val="left" w:pos="1418"/>
        </w:tabs>
        <w:rPr>
          <w:lang w:val="lt-LT"/>
        </w:rPr>
      </w:pPr>
      <w:r>
        <w:rPr>
          <w:color w:val="339966"/>
          <w:lang w:val="lt-LT"/>
        </w:rPr>
        <w:tab/>
      </w:r>
      <w:r>
        <w:rPr>
          <w:lang w:val="lt-LT"/>
        </w:rPr>
        <w:t xml:space="preserve">5. Jeigu teisingam pelno mokesčio apskaičiavimui reikalingi akcijas perleidusio užsienio vieneto apskaitos duomenys, šie duomenys turi būti pagrindžiami dokumentais arba jų kopijomis, patvirtintomis to užsienio vieneto atsakingo asmens parašu. </w:t>
      </w:r>
    </w:p>
    <w:p w14:paraId="332F0FD3" w14:textId="77777777" w:rsidR="00093845" w:rsidRDefault="000D779E" w:rsidP="004B188B">
      <w:pPr>
        <w:pStyle w:val="Pagrindiniotekstotrauka"/>
        <w:tabs>
          <w:tab w:val="left" w:pos="720"/>
          <w:tab w:val="left" w:pos="1077"/>
          <w:tab w:val="left" w:pos="1418"/>
        </w:tabs>
        <w:rPr>
          <w:b/>
          <w:bCs/>
          <w:lang w:val="lt-LT"/>
        </w:rPr>
      </w:pPr>
      <w:r>
        <w:rPr>
          <w:lang w:val="lt-LT"/>
        </w:rPr>
        <w:lastRenderedPageBreak/>
        <w:tab/>
      </w:r>
      <w:r>
        <w:rPr>
          <w:b/>
          <w:bCs/>
          <w:lang w:val="lt-LT"/>
        </w:rPr>
        <w:t xml:space="preserve">2. Kai šio Įstatymo 41 straipsnyje nustatytais atvejais vienetas perleidžia turtą kitam vienetui, tai turto vertės padidėjimas nelaikomas turtą perleidusio vieneto pajamomis. Tokiu atveju vienetui, gavusiam nuosavybėn turtą, šio turto įsigijimo kaina yra šio turto įsigijimo kaina, buvusi iki turto perleidimo nuosavybėn turtą perdavusiame vienete. </w:t>
      </w:r>
    </w:p>
    <w:p w14:paraId="2F7EE1C1" w14:textId="77777777" w:rsidR="00093845" w:rsidRDefault="000D779E">
      <w:pPr>
        <w:ind w:firstLine="720"/>
        <w:jc w:val="both"/>
        <w:rPr>
          <w:b/>
          <w:bCs/>
          <w:lang w:val="lt-LT"/>
        </w:rPr>
      </w:pPr>
      <w:r>
        <w:rPr>
          <w:b/>
          <w:bCs/>
          <w:lang w:val="lt-LT"/>
        </w:rPr>
        <w:t>Komentaras</w:t>
      </w:r>
    </w:p>
    <w:p w14:paraId="31A76342" w14:textId="77777777" w:rsidR="00093845" w:rsidRDefault="000D779E">
      <w:pPr>
        <w:pStyle w:val="Pagrindiniotekstotrauka"/>
        <w:tabs>
          <w:tab w:val="left" w:pos="720"/>
          <w:tab w:val="left" w:pos="1077"/>
          <w:tab w:val="left" w:pos="1418"/>
        </w:tabs>
        <w:rPr>
          <w:lang w:val="lt-LT"/>
        </w:rPr>
      </w:pPr>
      <w:r>
        <w:rPr>
          <w:lang w:val="lt-LT"/>
        </w:rPr>
        <w:t>1.</w:t>
      </w:r>
      <w:r>
        <w:rPr>
          <w:lang w:val="lt-LT"/>
        </w:rPr>
        <w:tab/>
        <w:t>Šios dalies nuostatos taikomos, kai PMĮ 41 str. 2 dalyje nustatytais reorganizavimo ar perleidimo atvejais perleidžiamas turtas tarp Lietuvos vienetų ar Lietuvos ir užsienio vienetų.</w:t>
      </w:r>
    </w:p>
    <w:p w14:paraId="7D97B304"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reorganizavimo ar perleidimo procese vienas vienetas perleidžia turtą kitam vienetui, tai atsiradęs turto vertės padidėjimas nelaikomas turtą perleidusio vieneto pajamomis.</w:t>
      </w:r>
    </w:p>
    <w:p w14:paraId="3FBB8AB4" w14:textId="77777777" w:rsidR="00093845" w:rsidRDefault="000D779E">
      <w:pPr>
        <w:ind w:firstLine="720"/>
        <w:jc w:val="both"/>
        <w:rPr>
          <w:lang w:val="lt-LT"/>
        </w:rPr>
      </w:pPr>
      <w:r>
        <w:rPr>
          <w:lang w:val="lt-LT"/>
        </w:rPr>
        <w:t xml:space="preserve">Tokiu atveju vienetui, gavusiam nuosavybėn turtą, šio turto įsigijimo kaina, yra ta kaina, už kurią tą turtą įsigijo jį perleidęs vienetas, atsižvelgiant į PMĮ 16 str. 2 dalies nuostatą (žr. PMĮ 14 straipsnio ir 16 str. 2 dalies komentarus). </w:t>
      </w:r>
    </w:p>
    <w:p w14:paraId="18C4E4C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3. </w:t>
      </w:r>
      <w:r>
        <w:rPr>
          <w:rFonts w:ascii="Times New Roman" w:hAnsi="Times New Roman" w:cs="Times New Roman"/>
          <w:sz w:val="24"/>
          <w:szCs w:val="24"/>
          <w:lang w:val="lt-LT"/>
        </w:rPr>
        <w:t>Turtas laikomas perduotu įsigyjančiajam vienetui, kai pasirašomas perdavimo – priėmimo aktas.</w:t>
      </w:r>
    </w:p>
    <w:p w14:paraId="5488468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4. Jei</w:t>
      </w:r>
      <w:r>
        <w:rPr>
          <w:rFonts w:ascii="Times New Roman" w:hAnsi="Times New Roman" w:cs="Times New Roman"/>
          <w:sz w:val="24"/>
          <w:lang w:val="lt-LT"/>
        </w:rPr>
        <w:t xml:space="preserve"> Lietuvos vienetas reorganizavimo ar kitokio perleidimo procese kitam Lietuvos vienetui perleidžia ilgalaikį turtą, kuriam iki PMĮ įsigaliojimo buvo taikomas Juridinių asmenų pelno mokesčio įstatymo 21 str. 1 d. 2 punkte nustatytas investicijų būdas (sąnaudų būdas), tai turtą įsigijusiam vienetui to turto įsigijimo kaina yra įsigijimo kainos dalis, kuriai nebuvo taikyta investicijų lengvata (arba yra lygi nuliui, jei investicijų lengvata buvo pritaikyta visai turto įsigijimo kainai).</w:t>
      </w:r>
      <w:r>
        <w:rPr>
          <w:rFonts w:ascii="Times New Roman" w:hAnsi="Times New Roman" w:cs="Times New Roman"/>
          <w:sz w:val="24"/>
          <w:szCs w:val="24"/>
          <w:lang w:val="lt-LT"/>
        </w:rPr>
        <w:t xml:space="preserve"> </w:t>
      </w:r>
    </w:p>
    <w:p w14:paraId="0B07A741"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 xml:space="preserve">5. Jei </w:t>
      </w:r>
      <w:r>
        <w:rPr>
          <w:rFonts w:ascii="Times New Roman" w:hAnsi="Times New Roman" w:cs="Times New Roman"/>
          <w:sz w:val="24"/>
          <w:lang w:val="lt-LT"/>
        </w:rPr>
        <w:t>reorganizavimo ar kitokio perleidimo procese Lietuvos vienetas</w:t>
      </w:r>
      <w:r>
        <w:rPr>
          <w:rFonts w:ascii="Times New Roman" w:hAnsi="Times New Roman" w:cs="Times New Roman"/>
          <w:sz w:val="24"/>
          <w:szCs w:val="24"/>
          <w:lang w:val="lt-LT"/>
        </w:rPr>
        <w:t xml:space="preserve"> turtą įsigijo </w:t>
      </w:r>
      <w:r>
        <w:rPr>
          <w:rFonts w:ascii="Times New Roman" w:hAnsi="Times New Roman" w:cs="Times New Roman"/>
          <w:sz w:val="24"/>
          <w:lang w:val="lt-LT"/>
        </w:rPr>
        <w:t>iš užsienio vieneto, tai jo įsigijimo kaina</w:t>
      </w:r>
      <w:r>
        <w:rPr>
          <w:rFonts w:ascii="Times New Roman" w:hAnsi="Times New Roman" w:cs="Times New Roman"/>
          <w:sz w:val="24"/>
          <w:szCs w:val="24"/>
          <w:lang w:val="lt-LT"/>
        </w:rPr>
        <w:t xml:space="preserve"> </w:t>
      </w:r>
      <w:r>
        <w:rPr>
          <w:rFonts w:ascii="Times New Roman" w:hAnsi="Times New Roman" w:cs="Times New Roman"/>
          <w:sz w:val="24"/>
          <w:lang w:val="lt-LT"/>
        </w:rPr>
        <w:t>turi būti nurodoma litais pagal oficialų lito ir euro kursą arba Lietuvos banko to turto perleidimo Lietuvos vienetui dienai nustatytą oficialų lito ir užsienio valiutos santykį.</w:t>
      </w:r>
    </w:p>
    <w:p w14:paraId="3FA83125"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6. Jei teisingam pelno mokesčio apskaičiavimui reikalingi turtą perleidusio užsienio vieneto apskaitos duomenys, šie duomenys turi būti pagrindžiami dokumentais arba jų kopijomis, patvirtintomis to užsienio vieneto atsakingo asmens parašu.</w:t>
      </w:r>
    </w:p>
    <w:p w14:paraId="32722BB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7</w:t>
      </w:r>
      <w:r>
        <w:rPr>
          <w:rFonts w:ascii="Times New Roman" w:hAnsi="Times New Roman" w:cs="Times New Roman"/>
          <w:b/>
          <w:bCs/>
          <w:sz w:val="24"/>
          <w:lang w:val="lt-LT"/>
        </w:rPr>
        <w:t xml:space="preserve">. </w:t>
      </w:r>
      <w:r>
        <w:rPr>
          <w:rFonts w:ascii="Times New Roman" w:hAnsi="Times New Roman" w:cs="Times New Roman"/>
          <w:sz w:val="24"/>
          <w:lang w:val="lt-LT"/>
        </w:rPr>
        <w:t xml:space="preserve">Vienetui, perėmusiam įsipareigojimus, jų verte yra laikoma įsipareigojimus perdavusiame vienete buvusi jų pradinė vertė (pradine verte yra laikoma pirmą kartą gavus turtą ar paslaugas jų įsigijimo kaina įvertinta vertė (atsižvelgiant į vėlesnius (iki įsipareigojimų perdavimo) šios vertės pokyčius, kurie pripažįstami, apskaičiuojant apmokestinamąjį pelną). </w:t>
      </w:r>
    </w:p>
    <w:p w14:paraId="6102D135" w14:textId="77777777" w:rsidR="00093845" w:rsidRDefault="000D779E">
      <w:pPr>
        <w:ind w:firstLine="720"/>
        <w:jc w:val="both"/>
        <w:rPr>
          <w:rFonts w:ascii="Arial Unicode MS" w:hAnsi="Arial Unicode MS" w:cs="Arial Unicode MS"/>
          <w:b/>
          <w:bCs/>
          <w:lang w:val="lt-LT"/>
        </w:rPr>
      </w:pPr>
      <w:r>
        <w:rPr>
          <w:b/>
          <w:bCs/>
          <w:lang w:val="lt-LT"/>
        </w:rPr>
        <w:t>3. Kai šio Įstatymo 41 straipsnyje nustatytais atvejais užsienio vienetas perleidžia Lietuvoje esančią nuolatinę buveinę kitam vienetui, tai šiai nuolatinei buveinei tenkantis turto vertės padidėjimas nelaikomas šios nuolatinės buveinės pajamomis. Tokiu atveju vienetui, gavusiam nuosavybėn turtą, šio turto įsigijimo kaina yra šio turto įsigijimo kaina, buvusi iki turto perleidimo nuosavybėn turtą perdavusiame vienete.</w:t>
      </w:r>
    </w:p>
    <w:p w14:paraId="4420C907" w14:textId="77777777" w:rsidR="00093845" w:rsidRDefault="000D779E">
      <w:pPr>
        <w:pStyle w:val="Antrat1"/>
        <w:ind w:firstLine="720"/>
        <w:jc w:val="both"/>
        <w:rPr>
          <w:lang w:val="lt-LT"/>
        </w:rPr>
      </w:pPr>
      <w:bookmarkStart w:id="558" w:name="_Komentaras"/>
      <w:bookmarkEnd w:id="558"/>
      <w:r>
        <w:rPr>
          <w:lang w:val="lt-LT"/>
        </w:rPr>
        <w:t xml:space="preserve">Komentaras </w:t>
      </w:r>
    </w:p>
    <w:p w14:paraId="38CCE52A" w14:textId="77777777" w:rsidR="00093845" w:rsidRDefault="000D779E">
      <w:pPr>
        <w:pStyle w:val="Pagrindiniotekstotrauka"/>
        <w:tabs>
          <w:tab w:val="left" w:pos="720"/>
          <w:tab w:val="left" w:pos="1077"/>
          <w:tab w:val="left" w:pos="1418"/>
        </w:tabs>
        <w:ind w:firstLine="180"/>
        <w:rPr>
          <w:lang w:val="lt-LT"/>
        </w:rPr>
      </w:pPr>
      <w:r>
        <w:rPr>
          <w:lang w:val="lt-LT"/>
        </w:rPr>
        <w:tab/>
      </w:r>
      <w:r>
        <w:rPr>
          <w:lang w:val="lt-LT"/>
        </w:rPr>
        <w:tab/>
        <w:t>1.</w:t>
      </w:r>
      <w:r>
        <w:rPr>
          <w:lang w:val="lt-LT"/>
        </w:rPr>
        <w:tab/>
        <w:t>Ši dalis taikoma, kai perleidžiant nuolatinę buveinę pagal 41 str. 2 d. 5 ir 6 punktų nuostatas, užsienio vienetas perleidžia Lietuvos Respublikoje esančią savo nuolatinę buveinę Lietuvos vienetui arba kitam užsienio vienetui.</w:t>
      </w:r>
    </w:p>
    <w:p w14:paraId="27804B02" w14:textId="77777777" w:rsidR="00093845" w:rsidRDefault="000D779E">
      <w:pPr>
        <w:pStyle w:val="Pagrindiniotekstotrauka"/>
        <w:tabs>
          <w:tab w:val="left" w:pos="720"/>
          <w:tab w:val="left" w:pos="1077"/>
          <w:tab w:val="left" w:pos="1418"/>
        </w:tabs>
        <w:rPr>
          <w:lang w:val="lt-LT"/>
        </w:rPr>
      </w:pPr>
      <w:r>
        <w:rPr>
          <w:lang w:val="lt-LT"/>
        </w:rPr>
        <w:tab/>
        <w:t>2.</w:t>
      </w:r>
      <w:r>
        <w:rPr>
          <w:lang w:val="lt-LT"/>
        </w:rPr>
        <w:tab/>
        <w:t xml:space="preserve">Kai užsienio vienetas perleidžia Lietuvos vienetui arba kitam užsienio vienetui  Lietuvos Respublikos teritorijoje esančią savo nuolatinę buveinę, tai dėl tokio perleidimo tai nuolatinei buveinei tenkančio Lietuvos Respublikos teritorijoje esančio turto atsiradęs turto vertės padidėjimas nelaikomas nuolatinės buveinės pajamomis. </w:t>
      </w:r>
    </w:p>
    <w:p w14:paraId="7FCA61E4"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3. Tokiu atveju Lietuvos vieneto arba kito užsienio vieneto nuosavybėn gauto (t.y. įsigyto) tai </w:t>
      </w:r>
      <w:r>
        <w:rPr>
          <w:rFonts w:ascii="Times New Roman" w:hAnsi="Times New Roman" w:cs="Times New Roman"/>
          <w:sz w:val="24"/>
          <w:lang w:val="lt-LT"/>
        </w:rPr>
        <w:t xml:space="preserve">nuolatinei buveinei tenkančio Lietuvos Respublikos teritorijoje esančio turto </w:t>
      </w:r>
      <w:r>
        <w:rPr>
          <w:rFonts w:ascii="Times New Roman" w:hAnsi="Times New Roman" w:cs="Times New Roman"/>
          <w:sz w:val="24"/>
          <w:szCs w:val="24"/>
          <w:lang w:val="lt-LT"/>
        </w:rPr>
        <w:t xml:space="preserve">įsigijimo kaina yra ta kaina, nuo kurios nusidėvėjimą (arba amortizaciją) skaičiavo nuolatinė buveinė iki tol, kol užsienio vienetas ją perleido Lietuvos vienetui ar kitam užsienio vienetui, atsižvelgiant į </w:t>
      </w:r>
      <w:r>
        <w:rPr>
          <w:rFonts w:ascii="Times New Roman" w:hAnsi="Times New Roman" w:cs="Times New Roman"/>
          <w:sz w:val="24"/>
          <w:lang w:val="lt-LT"/>
        </w:rPr>
        <w:t>PMĮ 16 str. 2 dalies nuostatą (žr. PMĮ 14 straipsnio ir 16 str. 2 dalies komentarus)</w:t>
      </w:r>
      <w:r>
        <w:rPr>
          <w:rFonts w:ascii="Times New Roman" w:hAnsi="Times New Roman" w:cs="Times New Roman"/>
          <w:sz w:val="24"/>
          <w:szCs w:val="24"/>
          <w:lang w:val="lt-LT"/>
        </w:rPr>
        <w:t xml:space="preserve">. </w:t>
      </w:r>
    </w:p>
    <w:p w14:paraId="121A63B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Nuolatinę buveinę įsigijęs Lietuvos arba kitas užsienio vienetas kartu su ja perduotus įsipareigojimus turi apskaityti ta verte, kuria jie, remiantis PMĮ nuostatomis, buvo apskaityti nuolatinę buveinę perleidusiame užsienio vienete prieš pat jų perdavimą.</w:t>
      </w:r>
    </w:p>
    <w:p w14:paraId="196F1428" w14:textId="77777777" w:rsidR="00093845" w:rsidRDefault="000D779E">
      <w:pPr>
        <w:pStyle w:val="Pagrindiniotekstotrauka"/>
        <w:tabs>
          <w:tab w:val="left" w:pos="720"/>
          <w:tab w:val="left" w:pos="1077"/>
          <w:tab w:val="left" w:pos="1134"/>
          <w:tab w:val="left" w:pos="1418"/>
        </w:tabs>
        <w:rPr>
          <w:lang w:val="lt-LT"/>
        </w:rPr>
      </w:pPr>
      <w:r>
        <w:rPr>
          <w:lang w:val="lt-LT"/>
        </w:rPr>
        <w:t>4. Jeigu teisingam pelno mokesčio apskaičiavimui reikalingi nuolatinę buveinę perleidusio užsienio vieneto apskaitos duomenys, šie duomenys turi būti pagrindžiami dokumentais arba jų kopijomis, patvirtintomis to užsienio vieneto atsakingo asmens parašu.</w:t>
      </w:r>
    </w:p>
    <w:p w14:paraId="5565055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5</w:t>
      </w:r>
      <w:r>
        <w:rPr>
          <w:rFonts w:ascii="Times New Roman" w:hAnsi="Times New Roman" w:cs="Times New Roman"/>
          <w:sz w:val="24"/>
          <w:lang w:val="lt-LT"/>
        </w:rPr>
        <w:t xml:space="preserve">. Vienetui, perėmusiam įsipareigojimus, jų verte yra laikoma įsipareigojimus perdavusiame vienete buvusi jų pradinė vertė (pradine verte yra laikoma pirmą kartą gavus turtą ar paslaugas jų įsigijimo kaina įvertinta vertė (atsižvelgiant į vėlesnius (iki įsipareigojimų perdavimo) šios vertės pokyčius, kurie pripažįstami, apskaičiuojant apmokestinamąjį pelną). </w:t>
      </w:r>
    </w:p>
    <w:p w14:paraId="1F8BC1E4" w14:textId="77777777" w:rsidR="00093845" w:rsidRDefault="000D779E">
      <w:pPr>
        <w:ind w:firstLine="720"/>
        <w:jc w:val="both"/>
        <w:rPr>
          <w:b/>
          <w:bCs/>
          <w:lang w:val="lt-LT"/>
        </w:rPr>
      </w:pPr>
      <w:r>
        <w:rPr>
          <w:b/>
          <w:bCs/>
          <w:lang w:val="lt-LT"/>
        </w:rPr>
        <w:t xml:space="preserve">4. Kai šio Įstatymo 41 straipsnyje nustatytais atvejais Lietuvos vienetas perleidžia veiklos dalį, esančią Europos Sąjungos valstybėje narėje, užsienio vienetui, tai turto vertės padidėjimas nelaikomas turtą perleidusio vieneto pajamomis. </w:t>
      </w:r>
    </w:p>
    <w:p w14:paraId="4F99FA08" w14:textId="77777777" w:rsidR="00093845" w:rsidRDefault="00093845">
      <w:pPr>
        <w:ind w:firstLine="720"/>
        <w:jc w:val="both"/>
        <w:rPr>
          <w:b/>
          <w:bCs/>
          <w:lang w:val="lt-LT"/>
        </w:rPr>
      </w:pPr>
    </w:p>
    <w:p w14:paraId="6119D334" w14:textId="77777777" w:rsidR="00093845" w:rsidRDefault="000D779E">
      <w:pPr>
        <w:ind w:firstLine="720"/>
        <w:jc w:val="both"/>
        <w:rPr>
          <w:b/>
          <w:bCs/>
          <w:lang w:val="lt-LT"/>
        </w:rPr>
      </w:pPr>
      <w:r>
        <w:rPr>
          <w:b/>
          <w:bCs/>
          <w:lang w:val="lt-LT"/>
        </w:rPr>
        <w:t>Komentaras</w:t>
      </w:r>
    </w:p>
    <w:p w14:paraId="36C86AFA" w14:textId="77777777" w:rsidR="00093845" w:rsidRDefault="000D779E">
      <w:pPr>
        <w:pStyle w:val="Pagrindiniotekstotrauka"/>
        <w:tabs>
          <w:tab w:val="left" w:pos="720"/>
          <w:tab w:val="left" w:pos="1077"/>
          <w:tab w:val="left" w:pos="1418"/>
        </w:tabs>
        <w:rPr>
          <w:lang w:val="lt-LT"/>
        </w:rPr>
      </w:pPr>
      <w:r>
        <w:rPr>
          <w:lang w:val="lt-LT"/>
        </w:rPr>
        <w:t>1.</w:t>
      </w:r>
      <w:r>
        <w:rPr>
          <w:lang w:val="lt-LT"/>
        </w:rPr>
        <w:tab/>
        <w:t>Šios dalies nuostatos taikomos atliekant perleidimą pagal 41 str. 2 d. 5 ir 6 punktų nuostatas, kai Lietuvos vienetas perleidžia veiklos dalį (veiklos padalinį), esančią ES valstybėje  narėje, užsienio vienetui.</w:t>
      </w:r>
    </w:p>
    <w:p w14:paraId="41BCC0AD" w14:textId="77777777" w:rsidR="00093845" w:rsidRDefault="000D779E">
      <w:pPr>
        <w:pStyle w:val="Pagrindiniotekstotrauka"/>
        <w:tabs>
          <w:tab w:val="left" w:pos="720"/>
          <w:tab w:val="left" w:pos="1077"/>
          <w:tab w:val="left" w:pos="1418"/>
        </w:tabs>
        <w:rPr>
          <w:lang w:val="lt-LT"/>
        </w:rPr>
      </w:pPr>
      <w:r>
        <w:rPr>
          <w:lang w:val="lt-LT"/>
        </w:rPr>
        <w:t>2.</w:t>
      </w:r>
      <w:r>
        <w:rPr>
          <w:i/>
          <w:iCs/>
          <w:lang w:val="lt-LT"/>
        </w:rPr>
        <w:tab/>
      </w:r>
      <w:r>
        <w:rPr>
          <w:lang w:val="lt-LT"/>
        </w:rPr>
        <w:t>Kai Lietuvos vienetas perleidžia savo veiklos dalį, esančią užsienio valstybėje – ES valstybėje narėje, užsienio vienetui (kuris yra vienetas tos valstybės, kurioje ta nuolatinė buveinė yra, arba bet kurios kitos valstybės, kuri yra ES valstybė narė, vienetas), tai dėl to atsiradęs turto vertės padidėjimas nelaikomas turtą perleidusio Lietuvos vieneto pajamomis.</w:t>
      </w:r>
    </w:p>
    <w:p w14:paraId="01388E1C"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3.</w:t>
      </w:r>
      <w:r>
        <w:rPr>
          <w:rFonts w:ascii="Times New Roman" w:hAnsi="Times New Roman" w:cs="Times New Roman"/>
          <w:sz w:val="24"/>
          <w:lang w:val="lt-LT"/>
        </w:rPr>
        <w:tab/>
        <w:t>Jeigu teisingam pelno mokesčio apskaičiavimui reikalingi veiklos dalį įsigijusio užsienio vieneto apskaitos duomenys, šie duomenys turi būti pagrindžiami dokumentais arba jų kopijomis, patvirtintomis to užsienio vieneto atsakingo asmens parašu.</w:t>
      </w:r>
    </w:p>
    <w:p w14:paraId="71B072CE" w14:textId="77777777" w:rsidR="00093845" w:rsidRDefault="000D779E">
      <w:pPr>
        <w:ind w:firstLine="720"/>
        <w:jc w:val="both"/>
        <w:rPr>
          <w:b/>
          <w:bCs/>
          <w:lang w:val="lt-LT"/>
        </w:rPr>
      </w:pPr>
      <w:r>
        <w:rPr>
          <w:b/>
          <w:bCs/>
          <w:lang w:val="lt-LT"/>
        </w:rPr>
        <w:t>5. Kai šio Įstatymo 41 straipsnyje nustatytais atvejais Lietuvos vienetas perleidžia veiklos dalį kitam Lietuvos vienetui, tai turto vertės padidėjimas nelaikomas turtą perleidusio vieneto pajamomis. Tokiu atveju vienetui, gavusiam nuosavybėn turtą, šio turto įsigijimo kaina yra šio turto įsigijimo kaina, buvusi iki turto perleidimo nuosavybėn turtą perdavusiame vienete.</w:t>
      </w:r>
    </w:p>
    <w:p w14:paraId="1931303E" w14:textId="77777777" w:rsidR="00093845" w:rsidRDefault="00093845">
      <w:pPr>
        <w:ind w:firstLine="720"/>
        <w:jc w:val="both"/>
        <w:rPr>
          <w:b/>
          <w:bCs/>
          <w:lang w:val="lt-LT"/>
        </w:rPr>
      </w:pPr>
    </w:p>
    <w:p w14:paraId="0F146CA7" w14:textId="77777777" w:rsidR="00093845" w:rsidRDefault="000D779E">
      <w:pPr>
        <w:ind w:firstLine="720"/>
        <w:jc w:val="both"/>
        <w:rPr>
          <w:b/>
          <w:bCs/>
          <w:lang w:val="lt-LT"/>
        </w:rPr>
      </w:pPr>
      <w:r>
        <w:rPr>
          <w:b/>
          <w:bCs/>
          <w:lang w:val="lt-LT"/>
        </w:rPr>
        <w:t xml:space="preserve">Komentaras </w:t>
      </w:r>
    </w:p>
    <w:p w14:paraId="1D990A01" w14:textId="77777777" w:rsidR="00093845" w:rsidRDefault="000D779E">
      <w:pPr>
        <w:pStyle w:val="Pagrindiniotekstotrauka"/>
        <w:tabs>
          <w:tab w:val="left" w:pos="720"/>
          <w:tab w:val="left" w:pos="1077"/>
          <w:tab w:val="left" w:pos="1418"/>
        </w:tabs>
        <w:rPr>
          <w:lang w:val="lt-LT"/>
        </w:rPr>
      </w:pPr>
      <w:r>
        <w:rPr>
          <w:lang w:val="lt-LT"/>
        </w:rPr>
        <w:t>1.</w:t>
      </w:r>
      <w:r>
        <w:rPr>
          <w:lang w:val="lt-LT"/>
        </w:rPr>
        <w:tab/>
        <w:t xml:space="preserve">Šios dalies nuostatos taikomos, kai Lietuvos vienetas pagal 41 str. 2 d. 5 ir 6 punktų nuostatas perleidžia veiklos dalį, esančią arba Lietuvoje, arba užsienio valstybėje, kuri yra ES valstybė narė, arba bet kurioje kitoje valstybėje, kuri nėra ES valstybė narė, kitam Lietuvos vienetui. </w:t>
      </w:r>
    </w:p>
    <w:p w14:paraId="132178D8" w14:textId="77777777" w:rsidR="00093845" w:rsidRDefault="000D779E">
      <w:pPr>
        <w:pStyle w:val="Pagrindiniotekstotrauka"/>
        <w:tabs>
          <w:tab w:val="left" w:pos="720"/>
          <w:tab w:val="left" w:pos="1077"/>
          <w:tab w:val="left" w:pos="1418"/>
        </w:tabs>
        <w:rPr>
          <w:lang w:val="lt-LT"/>
        </w:rPr>
      </w:pPr>
      <w:r>
        <w:rPr>
          <w:lang w:val="lt-LT"/>
        </w:rPr>
        <w:t>2.</w:t>
      </w:r>
      <w:r>
        <w:rPr>
          <w:lang w:val="lt-LT"/>
        </w:rPr>
        <w:tab/>
        <w:t>Kai Lietuvos vienetas perleidžia veiklos dalį (veiklos padalinį) kitam Lietuvos vienetui, tai dėl to atsiradęs turto vertės padidėjimas nelaikomas tą turtą perleidusio Lietuvos vieneto pajamomis.</w:t>
      </w:r>
    </w:p>
    <w:p w14:paraId="0625BDF4"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3. Tokiu atveju kito Lietuvos vieneto nuosavybėn gauto (t.y. įsigyto) turto kaina yra to turto įsigijimo kaina, už kurią tą turtą įsigijo jį perleidęs Lietuvos vienetas, atsižvelgiant į </w:t>
      </w:r>
      <w:r>
        <w:rPr>
          <w:rFonts w:ascii="Times New Roman" w:hAnsi="Times New Roman" w:cs="Times New Roman"/>
          <w:sz w:val="24"/>
          <w:lang w:val="lt-LT"/>
        </w:rPr>
        <w:t>PMĮ 16 str. 2 dalies nuostatą (žr. PMĮ 14 straipsnio ir 16 str. 2 dalies komentarus)</w:t>
      </w:r>
      <w:r>
        <w:rPr>
          <w:rFonts w:ascii="Times New Roman" w:hAnsi="Times New Roman" w:cs="Times New Roman"/>
          <w:sz w:val="24"/>
          <w:szCs w:val="24"/>
          <w:lang w:val="lt-LT"/>
        </w:rPr>
        <w:t xml:space="preserve">. </w:t>
      </w:r>
    </w:p>
    <w:p w14:paraId="70F4F80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Veiklos dalį </w:t>
      </w:r>
      <w:r>
        <w:rPr>
          <w:rFonts w:ascii="Times New Roman" w:hAnsi="Times New Roman" w:cs="Times New Roman"/>
          <w:sz w:val="24"/>
          <w:szCs w:val="24"/>
          <w:lang w:val="lt-LT"/>
        </w:rPr>
        <w:t>įsigijęs Lietuvos vienetas kartu su ja perduotus įsipareigojimus turi apskaityti ta verte, kuria jie, remiantis PMĮ nuostatomis, buvo apskaityti šią veiklos dalį perleidusiame Lietuvos vienete prieš pat jų perdavimą.</w:t>
      </w:r>
    </w:p>
    <w:p w14:paraId="00DD16B1" w14:textId="77777777" w:rsidR="00093845" w:rsidRDefault="000D779E">
      <w:pPr>
        <w:ind w:firstLine="720"/>
        <w:jc w:val="both"/>
        <w:rPr>
          <w:b/>
          <w:bCs/>
          <w:lang w:val="lt-LT"/>
        </w:rPr>
      </w:pPr>
      <w:r>
        <w:rPr>
          <w:b/>
          <w:bCs/>
          <w:lang w:val="lt-LT"/>
        </w:rPr>
        <w:t xml:space="preserve">6. Kai šio Įstatymo 41 straipsnyje nustatytais atvejais užsienio vienetas perleidžia veiklos dalį, esančią Europos Sąjungos valstybėje narėje, Lietuvos vienetui, tai Lietuvos vienetui, gavusiam nuosavybėn turtą, šio turto įsigijimo kaina yra šio turto įsigijimo kaina, buvusi iki turto perleidimo nuosavybėn turtą perdavusiame vienete. </w:t>
      </w:r>
    </w:p>
    <w:p w14:paraId="3CBC4377" w14:textId="77777777" w:rsidR="00093845" w:rsidRDefault="000D779E">
      <w:pPr>
        <w:ind w:firstLine="720"/>
        <w:jc w:val="both"/>
        <w:rPr>
          <w:b/>
          <w:bCs/>
          <w:lang w:val="lt-LT"/>
        </w:rPr>
      </w:pPr>
      <w:r>
        <w:rPr>
          <w:b/>
          <w:bCs/>
          <w:lang w:val="lt-LT"/>
        </w:rPr>
        <w:t xml:space="preserve">Komentaras </w:t>
      </w:r>
    </w:p>
    <w:p w14:paraId="1D750ACB" w14:textId="77777777" w:rsidR="00093845" w:rsidRDefault="00112B41">
      <w:pPr>
        <w:pStyle w:val="Pagrindiniotekstotrauka"/>
        <w:tabs>
          <w:tab w:val="left" w:pos="720"/>
          <w:tab w:val="left" w:pos="1077"/>
          <w:tab w:val="left" w:pos="1418"/>
        </w:tabs>
        <w:ind w:firstLine="180"/>
        <w:rPr>
          <w:lang w:val="lt-LT"/>
        </w:rPr>
      </w:pPr>
      <w:r>
        <w:rPr>
          <w:lang w:val="lt-LT"/>
        </w:rPr>
        <w:tab/>
      </w:r>
      <w:r w:rsidR="000D779E">
        <w:rPr>
          <w:lang w:val="lt-LT"/>
        </w:rPr>
        <w:t>1.</w:t>
      </w:r>
      <w:r w:rsidR="000D779E">
        <w:rPr>
          <w:lang w:val="lt-LT"/>
        </w:rPr>
        <w:tab/>
        <w:t xml:space="preserve">Ši dalis taikoma, kai atliekant perleidimą pagal 41 str. 2 d. 5 ir 6 punktų nuostatas, užsienio vienetas – ES valstybės narės vienetas, perleidžia savo veiklos dalį, esančią toje užsienio valstybėje, kurios vienetas jis yra, arba bet kurioje kitoje valstybėje, kuri yra ES valstybė narė, Lietuvos vienetui. </w:t>
      </w:r>
    </w:p>
    <w:p w14:paraId="2E2BD587" w14:textId="77777777" w:rsidR="00093845" w:rsidRDefault="000D779E">
      <w:pPr>
        <w:pStyle w:val="Pagrindiniotekstotrauka"/>
        <w:tabs>
          <w:tab w:val="left" w:pos="720"/>
          <w:tab w:val="left" w:pos="1077"/>
          <w:tab w:val="left" w:pos="1418"/>
        </w:tabs>
        <w:ind w:firstLine="180"/>
        <w:rPr>
          <w:lang w:val="lt-LT"/>
        </w:rPr>
      </w:pPr>
      <w:r>
        <w:rPr>
          <w:lang w:val="lt-LT"/>
        </w:rPr>
        <w:tab/>
        <w:t>2. Tokiu atveju Lietuvos vieneto su įsigyta veiklos dalimi gauto (t.y. įsigyto) turto, esančio ES valstybės narės teritorijoje, įsigijimo kaina yra ta kaina, už kurią tą turtą įsigijo jį perleidęs užsienio vienetas, atsižvelgiant į PMĮ 16 str. 2 dalies nuostatą (žr. PMĮ 14 straipsnio ir 16 str. 2 dalies komentarus). Veiklos dalį įsigijęs Lietuvos vienetas kartu su ja perduotus įsipareigojimus turi apskaityti ta verte, kuria jie buvo apskaityti šią veiklos dalį perleidusiame užsienio vienete prieš pat jų perdavimą.</w:t>
      </w:r>
    </w:p>
    <w:p w14:paraId="62AB7654" w14:textId="77777777" w:rsidR="00093845" w:rsidRDefault="000D779E">
      <w:pPr>
        <w:pStyle w:val="Pagrindiniotekstotrauka"/>
        <w:tabs>
          <w:tab w:val="left" w:pos="720"/>
          <w:tab w:val="left" w:pos="1077"/>
          <w:tab w:val="left" w:pos="1134"/>
          <w:tab w:val="left" w:pos="1418"/>
        </w:tabs>
        <w:rPr>
          <w:lang w:val="lt-LT"/>
        </w:rPr>
      </w:pPr>
      <w:r>
        <w:rPr>
          <w:lang w:val="lt-LT"/>
        </w:rPr>
        <w:t>3.</w:t>
      </w:r>
      <w:r>
        <w:rPr>
          <w:lang w:val="lt-LT"/>
        </w:rPr>
        <w:tab/>
        <w:t>Lietuvos vieneto iš užsienio vieneto įsigytos veiklos dalies (o kartu ir viso įsigytojo komplekso sudedamųjų dalių (turto ir įsipareigojimų) įsigijimo kaina turi būti nurodoma litais pagal oficialų lito ir euro kursą arba Lietuvos banko tos veiklos dalies perleidimo Lietuvos vienetui dienai nustatytą oficialų lito ir užsienio valiutos santykį.</w:t>
      </w:r>
    </w:p>
    <w:p w14:paraId="66E76FFF"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4.</w:t>
      </w:r>
      <w:r>
        <w:rPr>
          <w:rFonts w:ascii="Times New Roman" w:hAnsi="Times New Roman" w:cs="Times New Roman"/>
          <w:sz w:val="24"/>
          <w:lang w:val="lt-LT"/>
        </w:rPr>
        <w:tab/>
        <w:t>Jeigu teisingam pelno mokesčio apskaičiavimui reikalingi veiklos dalį perleidusio užsienio vieneto apskaitos duomenys, šie duomenys turi būti pagrindžiami dokumentais arba jų kopijomis, patvirtintomis to užsienio vieneto atsakingo asmens parašu.</w:t>
      </w:r>
    </w:p>
    <w:p w14:paraId="57C070A9" w14:textId="77777777" w:rsidR="00093845" w:rsidRDefault="000D779E">
      <w:pPr>
        <w:ind w:firstLine="720"/>
        <w:jc w:val="both"/>
        <w:rPr>
          <w:b/>
          <w:bCs/>
          <w:lang w:val="lt-LT"/>
        </w:rPr>
      </w:pPr>
      <w:r>
        <w:rPr>
          <w:b/>
          <w:bCs/>
          <w:lang w:val="lt-LT"/>
        </w:rPr>
        <w:t xml:space="preserve">7. Kai šio Įstatymo 41 straipsnio 2 dalies 9 punkte nustatytu atveju Lietuvos vienetas perkelia registruotą buveinę, tai turto vertės padidėjimas nelaikomas Lietuvos vieneto pajamomis, o vieneto, toliau vykdančio veiklą Lietuvos Respublikoje per nuolatinę buveinę, šiai nuolatinei buveinei Lietuvos Respublikoje priskirto šio turto įsigijimo kaina yra šio turto įsigijimo kaina, buvusi Lietuvos vienete iki registruotos buveinės perkėlimo. </w:t>
      </w:r>
    </w:p>
    <w:p w14:paraId="0CAEFA3C" w14:textId="77777777" w:rsidR="00093845" w:rsidRDefault="000D779E">
      <w:pPr>
        <w:pStyle w:val="Style1"/>
        <w:rPr>
          <w:rFonts w:ascii="Times New Roman" w:hAnsi="Times New Roman"/>
          <w:b/>
          <w:bCs/>
        </w:rPr>
      </w:pPr>
      <w:r>
        <w:rPr>
          <w:rFonts w:ascii="Times New Roman" w:hAnsi="Times New Roman"/>
          <w:b/>
          <w:bCs/>
        </w:rPr>
        <w:t>Komentaras</w:t>
      </w:r>
    </w:p>
    <w:p w14:paraId="2FC2866C" w14:textId="77777777" w:rsidR="00093845" w:rsidRDefault="000D779E">
      <w:pPr>
        <w:pStyle w:val="Style1"/>
        <w:rPr>
          <w:rFonts w:ascii="Times New Roman" w:hAnsi="Times New Roman"/>
        </w:rPr>
      </w:pPr>
      <w:r>
        <w:rPr>
          <w:rFonts w:ascii="Times New Roman" w:hAnsi="Times New Roman"/>
        </w:rPr>
        <w:t>1. Ši dalis taikoma, kai pagal PMĮ 41 str. 2 d. 9 punkto nuostatas Europos bendrovė ar Europos kooperatinė bendrovė (žr. PMĮ 41 str. 1 d. 3 punkto komentarą) perkelia savo Lietuvoje registruotą buveinę į kitą ES valstybę narę ir toliau vykdo veiklą Lietuvos Respublikoje per nuolatinę buveinę.</w:t>
      </w:r>
    </w:p>
    <w:p w14:paraId="54ABA0AB" w14:textId="77777777" w:rsidR="00093845" w:rsidRDefault="000D779E">
      <w:pPr>
        <w:pStyle w:val="Style1"/>
        <w:rPr>
          <w:rFonts w:ascii="Times New Roman" w:hAnsi="Times New Roman"/>
        </w:rPr>
      </w:pPr>
      <w:r>
        <w:rPr>
          <w:rFonts w:ascii="Times New Roman" w:hAnsi="Times New Roman"/>
        </w:rPr>
        <w:t>2. Kai Lietuvoje registruota Europos bendrovė ar Europos kooperatinė bendrovė perkelia buveinę į kitą ES valstybę narę, tai dėl tokio perkėlimo atsiradusios turto vertės padidėjimo pajamos nelaikomos Lietuvos vieneto, t.y. Lietuvoje registruotos Europos bendrovės ar Europos kooperatinės bendrovės, pajamomis.</w:t>
      </w:r>
    </w:p>
    <w:p w14:paraId="573FAC3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lang w:val="lt-LT"/>
        </w:rPr>
        <w:t xml:space="preserve">3. Perkėlus Europos bendrovės ar Europos kooperatinės bendrovės Lietuvoje registruotą buveinę į kitą ES valstybę narę, tokia bendrovė nustoja būti Lietuvos vienetu ir tampa kitos ES valstybės narės vienetu. Šio kitos ES valstybės narės vieneto, buvusio Lietuvos vieneto turto, teisių ir </w:t>
      </w:r>
      <w:r>
        <w:rPr>
          <w:rFonts w:ascii="Times New Roman" w:hAnsi="Times New Roman" w:cs="Times New Roman"/>
          <w:sz w:val="24"/>
          <w:lang w:val="lt-LT"/>
        </w:rPr>
        <w:lastRenderedPageBreak/>
        <w:t xml:space="preserve">pareigų, kaip visumos pagrindu toliau vykdančio veiklą Lietuvos Respublikoje per nuolatinę buveinę, šiai nuolatinei buveinei Lietuvos Respublikoje priskirto turto įsigijimo kaina yra šio turto įsigijimo kaina buvusi Lietuvos vienete iki registruotos buveinės perkėlimo, </w:t>
      </w:r>
      <w:r>
        <w:rPr>
          <w:rFonts w:ascii="Times New Roman" w:hAnsi="Times New Roman" w:cs="Times New Roman"/>
          <w:sz w:val="24"/>
          <w:szCs w:val="24"/>
          <w:lang w:val="lt-LT"/>
        </w:rPr>
        <w:t xml:space="preserve">atsižvelgiant į </w:t>
      </w:r>
      <w:r>
        <w:rPr>
          <w:rFonts w:ascii="Times New Roman" w:hAnsi="Times New Roman" w:cs="Times New Roman"/>
          <w:sz w:val="24"/>
          <w:lang w:val="lt-LT"/>
        </w:rPr>
        <w:t>PMĮ 16 str. 2 dalies nuostatą (žr. PMĮ 14 straipsnio ir 16 str. 2 dalies komentarus). Nuolatinei buveinei perduotų buvusių Lietuvos vieneto įsipareigojimų vertė</w:t>
      </w:r>
      <w:r>
        <w:rPr>
          <w:rFonts w:ascii="Times New Roman" w:hAnsi="Times New Roman" w:cs="Times New Roman"/>
          <w:sz w:val="24"/>
          <w:szCs w:val="24"/>
          <w:lang w:val="lt-LT"/>
        </w:rPr>
        <w:t xml:space="preserve"> yra ta vertė, kokia ji, remiantis PMĮ nuostatomis, buvo Lietuvos vienete prieš registruotos buveinės perkėlimą.</w:t>
      </w:r>
    </w:p>
    <w:p w14:paraId="40BFA47C" w14:textId="77777777" w:rsidR="00093845" w:rsidRDefault="000D779E">
      <w:pPr>
        <w:ind w:firstLine="720"/>
        <w:jc w:val="both"/>
        <w:rPr>
          <w:rFonts w:ascii="Arial Unicode MS" w:hAnsi="Arial Unicode MS" w:cs="Arial Unicode MS"/>
          <w:b/>
          <w:bCs/>
          <w:lang w:val="lt-LT"/>
        </w:rPr>
      </w:pPr>
      <w:r>
        <w:rPr>
          <w:b/>
          <w:bCs/>
          <w:lang w:val="lt-LT"/>
        </w:rPr>
        <w:t xml:space="preserve">8. Kai šio Įstatymo 41 straipsnyje nustatytais atvejais vienetas perleidžia turtą kitam vienetui, tai vienetas, gavęs nuosavybėn turtą, tęsia to turto nusidėvėjimo arba amortizacijos skaičiavimą taip, kaip tai darė turtą perdavęs vienetas iki perdavimo. Kai šio Įstatymo 41 straipsnio 2 dalies 9 punkte nustatytu atveju Lietuvos vienetas perkelia registruotą buveinę, tai dėl registruotos buveinės perkėlimo nuolatinei buveinei Lietuvos Respublikoje priskirto šio turto nusidėvėjimas ar amortizacija tęsiami taip, kaip tai darė Lietuvos vienetas iki registruotos buveinės perkėlimo. </w:t>
      </w:r>
    </w:p>
    <w:p w14:paraId="1315FA59" w14:textId="77777777" w:rsidR="00093845" w:rsidRDefault="000D779E">
      <w:pPr>
        <w:pStyle w:val="Style1"/>
        <w:rPr>
          <w:rFonts w:ascii="Times New Roman" w:hAnsi="Times New Roman"/>
          <w:b/>
          <w:bCs/>
        </w:rPr>
      </w:pPr>
      <w:r>
        <w:rPr>
          <w:rFonts w:ascii="Times New Roman" w:hAnsi="Times New Roman"/>
          <w:b/>
          <w:bCs/>
        </w:rPr>
        <w:t xml:space="preserve">Komentaras </w:t>
      </w:r>
    </w:p>
    <w:p w14:paraId="4D31DEE1"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1. Šioje dalyje nustatyta PMĮ 41 str. 2 dalyje nustatytais reorganizavimo ar perleidimo atvejais įgyto bei </w:t>
      </w:r>
      <w:r>
        <w:rPr>
          <w:rFonts w:ascii="Times New Roman" w:hAnsi="Times New Roman"/>
          <w:sz w:val="24"/>
          <w:szCs w:val="24"/>
          <w:lang w:val="lt-LT"/>
        </w:rPr>
        <w:t>Europos bendrovei ar Europos kooperatinei bendrovei</w:t>
      </w:r>
      <w:r>
        <w:rPr>
          <w:rFonts w:ascii="Times New Roman" w:hAnsi="Times New Roman"/>
          <w:lang w:val="lt-LT"/>
        </w:rPr>
        <w:t xml:space="preserve"> </w:t>
      </w:r>
      <w:r>
        <w:rPr>
          <w:rFonts w:ascii="Times New Roman" w:hAnsi="Times New Roman" w:cs="Times New Roman"/>
          <w:sz w:val="24"/>
          <w:lang w:val="lt-LT"/>
        </w:rPr>
        <w:t>perkėlus savo Lietuvoje registruotą buveinę į kitą ES valstybę narę, nuolatinei buveinei Lietuvos Respublikoje priskirto ilgalaikio turto nusidėvėjimo ar amortizacijos skaičiavimo tvarka.</w:t>
      </w:r>
    </w:p>
    <w:p w14:paraId="0D404092"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szCs w:val="24"/>
          <w:lang w:val="lt-LT"/>
        </w:rPr>
        <w:t>2.</w:t>
      </w:r>
      <w:r>
        <w:rPr>
          <w:rFonts w:ascii="Times New Roman" w:hAnsi="Times New Roman" w:cs="Times New Roman"/>
          <w:sz w:val="24"/>
          <w:szCs w:val="24"/>
          <w:lang w:val="lt-LT"/>
        </w:rPr>
        <w:tab/>
        <w:t>Kai PMĮ 41 straipsnyje nustatytais reorganizavimo ir perleidimo atvejais Lietuvos vienetas perleidžia turtą kitam vienetui, tai tą t</w:t>
      </w:r>
      <w:r>
        <w:rPr>
          <w:rFonts w:ascii="Times New Roman" w:hAnsi="Times New Roman" w:cs="Times New Roman"/>
          <w:sz w:val="24"/>
          <w:lang w:val="lt-LT"/>
        </w:rPr>
        <w:t xml:space="preserve">urtą įsigijęs vienetas tęsia reorganizavimo ar perleidimo metu gauto ilgalaikio turto nusidėvėjimo (arba amortizacijos) skaičiavimą taip, kaip tai darė turtą perdavęs vienetas iki pat perdavimo, t.y. tuo pačiu nusidėvėjimo (arba amortizacijos) skaičiavimo būdu ir metodu. </w:t>
      </w:r>
    </w:p>
    <w:p w14:paraId="74F9EAEA"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 xml:space="preserve">Ta pati nusidėvėjimo (arba amortizacijos tvarka) taikoma nuolatinei buveinei Lietuvos Respublikoje priskirtam ilgalaikiam turtui, perkėlus </w:t>
      </w:r>
      <w:r>
        <w:rPr>
          <w:rFonts w:ascii="Times New Roman" w:hAnsi="Times New Roman"/>
          <w:sz w:val="24"/>
          <w:szCs w:val="24"/>
          <w:lang w:val="lt-LT"/>
        </w:rPr>
        <w:t xml:space="preserve">Europos bendrovės ar Europos kooperatinės bendrovės Lietuvoje registruotą </w:t>
      </w:r>
      <w:r>
        <w:rPr>
          <w:rFonts w:ascii="Times New Roman" w:hAnsi="Times New Roman" w:cs="Times New Roman"/>
          <w:sz w:val="24"/>
          <w:lang w:val="lt-LT"/>
        </w:rPr>
        <w:t>buveinę į kitą ES valstybę narę.</w:t>
      </w:r>
    </w:p>
    <w:p w14:paraId="32B616F5"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3.</w:t>
      </w:r>
      <w:r>
        <w:rPr>
          <w:rFonts w:ascii="Times New Roman" w:hAnsi="Times New Roman" w:cs="Times New Roman"/>
          <w:sz w:val="24"/>
          <w:lang w:val="lt-LT"/>
        </w:rPr>
        <w:tab/>
      </w:r>
      <w:r>
        <w:rPr>
          <w:rFonts w:ascii="Times New Roman" w:hAnsi="Times New Roman" w:cs="Times New Roman"/>
          <w:sz w:val="24"/>
          <w:szCs w:val="24"/>
          <w:lang w:val="lt-LT"/>
        </w:rPr>
        <w:t xml:space="preserve">Kai PMĮ 41 straipsnyje nustatytais reorganizavimo ar perleidimo atvejais Lietuvos vienetas įsigyja </w:t>
      </w:r>
      <w:r>
        <w:rPr>
          <w:rFonts w:ascii="Times New Roman" w:hAnsi="Times New Roman" w:cs="Times New Roman"/>
          <w:sz w:val="24"/>
          <w:lang w:val="lt-LT"/>
        </w:rPr>
        <w:t>turtą iš užsienio vieneto, tai jis pats nusistato reorganizavimo ar perleidimo metu gauto ilgalaikio turto nusidėvėjimo (arba amortizacijos) laikotarpį, kuris turi būti ne trumpesnis, negu PMĮ 1 priedėlyje nustatyti nusidėvėjimo (arba amortizacijos) normatyvai (metais), tačiau toks nusistatytas laikotarpis mažinamas atitinkamu mėnesių skaičiumi, kuriuo tas ilgalaikis turtas buvo naudojamas užsienio vienete iki jo perleidimo Lietuvos vienetui.</w:t>
      </w:r>
    </w:p>
    <w:p w14:paraId="0E9B89E7"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lang w:val="lt-LT"/>
        </w:rPr>
      </w:pPr>
      <w:r>
        <w:rPr>
          <w:rFonts w:ascii="Times New Roman" w:hAnsi="Times New Roman" w:cs="Times New Roman"/>
          <w:sz w:val="24"/>
          <w:lang w:val="lt-LT"/>
        </w:rPr>
        <w:t>Jeigu teisingam pelno mokesčio apskaičiavimui reikalingi turtą perleidusio užsienio vieneto apskaitos duomenys, šie duomenys turi būti pagrindžiami dokumentais arba jų kopijomis, patvirtintomis to užsienio vieneto atsakingo asmens parašu.</w:t>
      </w:r>
    </w:p>
    <w:p w14:paraId="00060EAE" w14:textId="77777777" w:rsidR="00093845" w:rsidRDefault="000D779E">
      <w:pPr>
        <w:pStyle w:val="Pagrindiniotekstotrauka"/>
        <w:tabs>
          <w:tab w:val="left" w:pos="720"/>
          <w:tab w:val="left" w:pos="1077"/>
          <w:tab w:val="left" w:pos="1418"/>
        </w:tabs>
        <w:ind w:firstLine="180"/>
        <w:rPr>
          <w:lang w:val="lt-LT"/>
        </w:rPr>
      </w:pPr>
      <w:r>
        <w:rPr>
          <w:lang w:val="lt-LT"/>
        </w:rPr>
        <w:tab/>
        <w:t>4. Kai PMĮ 41 straipsnyje nustatytais atvejais užsienio vienetas perleidžia Lietuvos Respublikoje esančią savo nuolatinę buveinę kitam vienetui, tai tą nuolatinę buveinę įsigijęs  vienetas tęsia perleidimo metu gauto ilgalaikio turto nusidėvėjimo (arba amortizacijos) skaičiavimą taip, kaip tai, remdamasis PMĮ nuostatomis, darė turtą perdavęs užsienio vienetas iki pat perdavimo.</w:t>
      </w:r>
    </w:p>
    <w:p w14:paraId="036DDFB0" w14:textId="77777777" w:rsidR="00093845" w:rsidRDefault="000D779E">
      <w:pPr>
        <w:pStyle w:val="Pagrindiniotekstotrauka"/>
        <w:tabs>
          <w:tab w:val="left" w:pos="720"/>
          <w:tab w:val="left" w:pos="1077"/>
          <w:tab w:val="left" w:pos="1418"/>
        </w:tabs>
        <w:rPr>
          <w:lang w:val="lt-LT"/>
        </w:rPr>
      </w:pPr>
      <w:r>
        <w:rPr>
          <w:lang w:val="lt-LT"/>
        </w:rPr>
        <w:t>5. Jei perleidžiamas turtas buvo perkainotas, tai po reorganizavimo ar perleidimo turtą įsigijęs vienetas tęsia to turto nusidėvėjimo skaičiavimą, neatsižvelgdamas į perkainojimo rezultatą.</w:t>
      </w:r>
    </w:p>
    <w:p w14:paraId="292B1870" w14:textId="77777777" w:rsidR="00093845" w:rsidRDefault="000D779E" w:rsidP="004B188B">
      <w:pPr>
        <w:pStyle w:val="Pagrindiniotekstotrauka"/>
        <w:tabs>
          <w:tab w:val="left" w:pos="720"/>
          <w:tab w:val="left" w:pos="1077"/>
          <w:tab w:val="left" w:pos="1418"/>
        </w:tabs>
        <w:ind w:firstLine="180"/>
        <w:rPr>
          <w:b/>
          <w:bCs/>
          <w:lang w:val="lt-LT"/>
        </w:rPr>
      </w:pPr>
      <w:r>
        <w:rPr>
          <w:color w:val="000080"/>
          <w:sz w:val="22"/>
          <w:szCs w:val="22"/>
          <w:lang w:val="lt-LT"/>
        </w:rPr>
        <w:tab/>
      </w:r>
      <w:r>
        <w:rPr>
          <w:b/>
          <w:bCs/>
          <w:lang w:val="lt-LT"/>
        </w:rPr>
        <w:t xml:space="preserve">9. Šio Įstatymo 41 straipsnyje nustatytais atvejais reorganizavimo ar perleidimo momentu susidaręs skirtumas (dydis, kuriuo įsigyjančiojo vieneto sumokėta kaina viršija įsigyto </w:t>
      </w:r>
      <w:r>
        <w:rPr>
          <w:b/>
          <w:bCs/>
          <w:lang w:val="lt-LT"/>
        </w:rPr>
        <w:lastRenderedPageBreak/>
        <w:t>grynojo turto vertę) iš pajamų neatskaitomas, o neigiamas skirtumas (dydis, kuriuo įsigyjančiojo vieneto sumokėta kaina mažesnė už įsigyto grynojo turto vertę) į pajamas neįtraukiamas.</w:t>
      </w:r>
    </w:p>
    <w:p w14:paraId="75555C57" w14:textId="77777777" w:rsidR="00093845" w:rsidRDefault="000D779E">
      <w:pPr>
        <w:ind w:firstLine="720"/>
        <w:jc w:val="both"/>
        <w:rPr>
          <w:b/>
          <w:bCs/>
          <w:lang w:val="lt-LT"/>
        </w:rPr>
      </w:pPr>
      <w:r>
        <w:rPr>
          <w:b/>
          <w:bCs/>
          <w:lang w:val="lt-LT"/>
        </w:rPr>
        <w:t xml:space="preserve">Komentaras </w:t>
      </w:r>
    </w:p>
    <w:p w14:paraId="66C4738F" w14:textId="77777777" w:rsidR="00093845" w:rsidRDefault="000D779E">
      <w:pPr>
        <w:pStyle w:val="Style1"/>
        <w:rPr>
          <w:rFonts w:ascii="Times New Roman" w:hAnsi="Times New Roman"/>
          <w:szCs w:val="24"/>
        </w:rPr>
      </w:pPr>
      <w:r>
        <w:rPr>
          <w:rFonts w:ascii="Times New Roman" w:hAnsi="Times New Roman"/>
          <w:szCs w:val="24"/>
        </w:rPr>
        <w:t xml:space="preserve">1. Šioje dalyje reglamentuojama skirtumo, kuris susidaro tarp reorganizavimo ar perleidimo momentu įsigyjančiojo vieneto išleidžiamų akcijų, perduodamų įsigyjamojo ar perleidžiančiojo vieneto dalyviams ar perleidžiančiajam vienetui, ir šio vieneto už šias akcijas gaunamo įsigyjamojo ar perleidžiančiojo vieneto grynojo turto vertės, pripažinimo pelno mokesčio tikslais tvarka. </w:t>
      </w:r>
    </w:p>
    <w:p w14:paraId="19921BD4" w14:textId="77777777" w:rsidR="00093845" w:rsidRDefault="000D779E">
      <w:pPr>
        <w:pStyle w:val="Style1"/>
        <w:rPr>
          <w:rFonts w:ascii="Times New Roman" w:hAnsi="Times New Roman"/>
          <w:szCs w:val="24"/>
        </w:rPr>
      </w:pPr>
      <w:r>
        <w:rPr>
          <w:rFonts w:ascii="Times New Roman" w:hAnsi="Times New Roman"/>
          <w:szCs w:val="24"/>
        </w:rPr>
        <w:t xml:space="preserve">Pagal šios dalies nuostatas, kai PMĮ 41 str. 2 dalyje nustatytais atvejais įsigyjančiojo vieneto išleidžiamų akcijų, kurios perduodamos įsigyjamojo ar perleidžiančio vieneto dalyviams ar perleidžiančiajam vienetui, kaina yra didesnė arba mažesnė už reorganizavimo ar perleidimo momentu už jas įsigyto grynojo turto vertę, tai, apskaičiuojant to vieneto apmokestinamąjį pelną, susidaręs teigiamas skirtumas iš pajamų neatskaitomas, o neigiamas į pajamas neįtraukiamas. </w:t>
      </w:r>
    </w:p>
    <w:p w14:paraId="1542568E" w14:textId="77777777" w:rsidR="00093845" w:rsidRDefault="000D779E">
      <w:pPr>
        <w:pStyle w:val="Style1"/>
        <w:rPr>
          <w:rFonts w:ascii="Times New Roman" w:hAnsi="Times New Roman"/>
        </w:rPr>
      </w:pPr>
      <w:r>
        <w:rPr>
          <w:rFonts w:ascii="Times New Roman" w:hAnsi="Times New Roman"/>
        </w:rPr>
        <w:t>2</w:t>
      </w:r>
      <w:r>
        <w:rPr>
          <w:rFonts w:ascii="Times New Roman" w:hAnsi="Times New Roman"/>
          <w:szCs w:val="24"/>
        </w:rPr>
        <w:t xml:space="preserve">. Taip pat pagal šios dalies nuostatas </w:t>
      </w:r>
      <w:r>
        <w:rPr>
          <w:rFonts w:ascii="Times New Roman" w:hAnsi="Times New Roman"/>
        </w:rPr>
        <w:t xml:space="preserve">akcijų įsigijimo kainos ir reorganizavimo momentu už jas gauto grynojo turto vertės matematinis skirtumas nelaikomas prestižu. </w:t>
      </w:r>
      <w:r>
        <w:rPr>
          <w:rFonts w:ascii="Times New Roman" w:hAnsi="Times New Roman"/>
          <w:szCs w:val="24"/>
        </w:rPr>
        <w:t>Atvejai, kuriais už akcijas sumokėtos kainos ir už jas įsigyto kito vieneto grynojo turto, įvertinto tikrąja rinkos kaina, skirtumas laikomas neigiamu prestižu ar prestižu, apibrėžti PMĮ 2 str. 16 ir 26 dalyse (žr. PMĮ 2 str. 16 ir 26 dalies komentarus), o jų pripažinimo tvarka pajamomis arba ribojamų dydžių leidžiamais atskaitymais nustatyta atitinkamai PMĮ 7 str. 3 dalyje ir 18 str. 10 dalyje (žr. PMĮ 7 str. 3 dalies ir PMĮ 18 str. 10 dalies komentarus).</w:t>
      </w:r>
    </w:p>
    <w:p w14:paraId="2CFF4474" w14:textId="77777777" w:rsidR="00093845" w:rsidRDefault="00093845">
      <w:pPr>
        <w:ind w:firstLine="720"/>
        <w:jc w:val="both"/>
        <w:rPr>
          <w:color w:val="000080"/>
          <w:sz w:val="22"/>
          <w:szCs w:val="22"/>
          <w:lang w:val="lt-LT"/>
        </w:rPr>
      </w:pPr>
    </w:p>
    <w:p w14:paraId="57F1D8D3" w14:textId="77777777" w:rsidR="00093845" w:rsidRDefault="000D779E">
      <w:pPr>
        <w:ind w:firstLine="720"/>
        <w:jc w:val="both"/>
        <w:rPr>
          <w:b/>
          <w:bCs/>
          <w:lang w:val="lt-LT"/>
        </w:rPr>
      </w:pPr>
      <w:r>
        <w:rPr>
          <w:b/>
          <w:bCs/>
          <w:lang w:val="lt-LT"/>
        </w:rPr>
        <w:t xml:space="preserve">10. Šio straipsnio nuostatos taikomos tik tuo atveju, kai šio Įstatymo 41 straipsnio 2 dalies 4, 5, 6 ir 7 punktuose nustatytais atvejais vienetas ar jo dalyviai, mainais gavę akcijų (dalių, pajų), jų neparduoda ar kitaip neperleidžia nuosavybėn trejus metus, išskyrus vėlesnius šio Įstatymo 41 straipsnio 2 dalies 4, 5, 6 ir 7 punktuose nustatytus atvejus. </w:t>
      </w:r>
    </w:p>
    <w:p w14:paraId="741809D0" w14:textId="77777777" w:rsidR="00093845" w:rsidRDefault="000D779E">
      <w:pPr>
        <w:ind w:firstLine="720"/>
        <w:jc w:val="both"/>
        <w:rPr>
          <w:b/>
          <w:bCs/>
          <w:lang w:val="lt-LT"/>
        </w:rPr>
      </w:pPr>
      <w:r>
        <w:rPr>
          <w:b/>
          <w:bCs/>
          <w:lang w:val="lt-LT"/>
        </w:rPr>
        <w:t xml:space="preserve">Komentaras </w:t>
      </w:r>
    </w:p>
    <w:p w14:paraId="593D77BB" w14:textId="77777777" w:rsidR="00093845" w:rsidRDefault="000D779E">
      <w:pPr>
        <w:pStyle w:val="Pagrindiniotekstotrauka"/>
        <w:tabs>
          <w:tab w:val="left" w:pos="720"/>
          <w:tab w:val="left" w:pos="1077"/>
          <w:tab w:val="left" w:pos="1418"/>
        </w:tabs>
      </w:pPr>
      <w:r>
        <w:t>1. Pagal šios dalies nuostatas, jei reorganizavimas ar perleidimas atliekamas PMĮ 41 str. 2 d. 4, 5, 6, ir 7 punktuose nustatytais atvejais, t.y.:</w:t>
      </w:r>
    </w:p>
    <w:p w14:paraId="262734D9" w14:textId="77777777" w:rsidR="00093845" w:rsidRDefault="000D779E" w:rsidP="00EC4E29">
      <w:pPr>
        <w:pStyle w:val="Pagrindiniotekstotrauka"/>
        <w:numPr>
          <w:ilvl w:val="0"/>
          <w:numId w:val="43"/>
        </w:numPr>
        <w:tabs>
          <w:tab w:val="left" w:pos="360"/>
          <w:tab w:val="left" w:pos="1418"/>
        </w:tabs>
        <w:spacing w:after="0"/>
        <w:ind w:left="1077" w:hanging="357"/>
      </w:pPr>
      <w:r>
        <w:t xml:space="preserve">vienetus reorganizuojant išdalijimo arba padalijimo būdu, </w:t>
      </w:r>
    </w:p>
    <w:p w14:paraId="49234299" w14:textId="77777777" w:rsidR="00093845" w:rsidRDefault="000D779E" w:rsidP="00EC4E29">
      <w:pPr>
        <w:pStyle w:val="Pagrindiniotekstotrauka"/>
        <w:numPr>
          <w:ilvl w:val="0"/>
          <w:numId w:val="43"/>
        </w:numPr>
        <w:tabs>
          <w:tab w:val="left" w:pos="360"/>
          <w:tab w:val="left" w:pos="1418"/>
        </w:tabs>
        <w:spacing w:after="0"/>
        <w:ind w:left="1077" w:hanging="357"/>
        <w:rPr>
          <w:lang w:val="nl-NL"/>
        </w:rPr>
      </w:pPr>
      <w:r>
        <w:rPr>
          <w:lang w:val="nl-NL"/>
        </w:rPr>
        <w:t>perleidžiant vieną ar kelias savo veiklos dalis,</w:t>
      </w:r>
    </w:p>
    <w:p w14:paraId="68BEB249" w14:textId="77777777" w:rsidR="00093845" w:rsidRDefault="000D779E" w:rsidP="00EC4E29">
      <w:pPr>
        <w:pStyle w:val="Pagrindiniotekstotrauka"/>
        <w:numPr>
          <w:ilvl w:val="0"/>
          <w:numId w:val="43"/>
        </w:numPr>
        <w:tabs>
          <w:tab w:val="left" w:pos="360"/>
          <w:tab w:val="left" w:pos="1418"/>
        </w:tabs>
        <w:spacing w:after="0"/>
        <w:ind w:left="1077" w:hanging="357"/>
        <w:rPr>
          <w:lang w:val="nl-NL"/>
        </w:rPr>
      </w:pPr>
      <w:r>
        <w:rPr>
          <w:lang w:val="nl-NL"/>
        </w:rPr>
        <w:t>perleidžiant veiklą kaip kompleksą arba vieną ar daugiau veiklos dalių,</w:t>
      </w:r>
    </w:p>
    <w:p w14:paraId="76CA7807" w14:textId="77777777" w:rsidR="00093845" w:rsidRDefault="000D779E" w:rsidP="00EC4E29">
      <w:pPr>
        <w:pStyle w:val="Pagrindiniotekstotrauka"/>
        <w:numPr>
          <w:ilvl w:val="0"/>
          <w:numId w:val="43"/>
        </w:numPr>
        <w:tabs>
          <w:tab w:val="left" w:pos="360"/>
          <w:tab w:val="left" w:pos="1418"/>
        </w:tabs>
        <w:spacing w:after="0"/>
        <w:ind w:left="1077" w:hanging="357"/>
        <w:rPr>
          <w:lang w:val="nl-NL"/>
        </w:rPr>
      </w:pPr>
      <w:r>
        <w:rPr>
          <w:lang w:val="nl-NL"/>
        </w:rPr>
        <w:t>mainant akcijas (dalis, pajus), kai siekiama kontroliuoti kitą vienetą,</w:t>
      </w:r>
    </w:p>
    <w:p w14:paraId="506B98C2" w14:textId="77777777" w:rsidR="00093845" w:rsidRDefault="000D779E">
      <w:pPr>
        <w:pStyle w:val="Pagrindiniotekstotrauka"/>
        <w:tabs>
          <w:tab w:val="left" w:pos="360"/>
          <w:tab w:val="left" w:pos="1418"/>
        </w:tabs>
        <w:ind w:firstLine="0"/>
        <w:rPr>
          <w:lang w:val="nl-NL"/>
        </w:rPr>
      </w:pPr>
      <w:r>
        <w:rPr>
          <w:lang w:val="nl-NL"/>
        </w:rPr>
        <w:t>tai PMĮ 42 str. 1 dalies nuostatos taikomos, jei šiais atvejais vienetas ar jo dalyviai, mainais gavę akcijų (dalių, pajų), jų neparduoda ar kitaip neperleidžia nuosavybėn trejus metus.</w:t>
      </w:r>
    </w:p>
    <w:p w14:paraId="4AD019D3" w14:textId="77777777" w:rsidR="00093845" w:rsidRDefault="000D779E">
      <w:pPr>
        <w:pStyle w:val="Pagrindiniotekstotrauka"/>
        <w:tabs>
          <w:tab w:val="left" w:pos="720"/>
          <w:tab w:val="left" w:pos="1077"/>
          <w:tab w:val="left" w:pos="1418"/>
        </w:tabs>
        <w:rPr>
          <w:lang w:val="nl-NL"/>
        </w:rPr>
      </w:pPr>
      <w:r>
        <w:rPr>
          <w:lang w:val="nl-NL"/>
        </w:rPr>
        <w:t xml:space="preserve">Akcijų (dalių, pajų) 3 metų išlaikymo terminas netaikomas tais atvejais, kai PMĮ 41 str. 2 d. 4, 5, 6 ir 7 punktuose nustatytais atvejais mainais gavus akcijų (dalių pajų) jos vėl mainomos atliekant vėlesnį reorganizavimą, perleidimą ar akcijų mainus pagal šių punktų nuostatas. </w:t>
      </w:r>
    </w:p>
    <w:p w14:paraId="2C7B9B34" w14:textId="77777777" w:rsidR="00093845" w:rsidRPr="0065344A" w:rsidRDefault="000D779E">
      <w:pPr>
        <w:pStyle w:val="Pagrindiniotekstotrauka"/>
        <w:tabs>
          <w:tab w:val="left" w:pos="360"/>
          <w:tab w:val="left" w:pos="1418"/>
        </w:tabs>
        <w:rPr>
          <w:lang w:val="nl-NL"/>
        </w:rPr>
      </w:pPr>
      <w:r w:rsidRPr="0065344A">
        <w:rPr>
          <w:lang w:val="nl-NL"/>
        </w:rPr>
        <w:t>Apskaičiuojant 2014 metų ir vėlesnių metų mokestinių laikotarpių pelno mokestį, akcijų (dalių, pajų) 3 metų išlaikymo terminas netaikomas, kai akcijos perleidžiamos dėl teisės aktų reikalavimų.</w:t>
      </w:r>
    </w:p>
    <w:p w14:paraId="1CFDF4C8" w14:textId="77777777" w:rsidR="00093845" w:rsidRDefault="000D779E">
      <w:pPr>
        <w:pStyle w:val="prastasiniatinklio"/>
        <w:spacing w:before="0" w:beforeAutospacing="0" w:after="0" w:afterAutospacing="0"/>
        <w:ind w:firstLine="720"/>
        <w:jc w:val="both"/>
      </w:pPr>
      <w:r>
        <w:rPr>
          <w:iCs/>
          <w:lang w:val="nb-NO"/>
        </w:rPr>
        <w:t xml:space="preserve">(Pagal </w:t>
      </w:r>
      <w:r>
        <w:t>VMI prie FM 2014-04-15 raštą Nr. (18.9-31-1)-RM-5298)</w:t>
      </w:r>
    </w:p>
    <w:p w14:paraId="55A45CCB" w14:textId="77777777" w:rsidR="00093845" w:rsidRDefault="000D779E">
      <w:pPr>
        <w:pStyle w:val="Pagrindiniotekstotrauka"/>
        <w:tabs>
          <w:tab w:val="left" w:pos="0"/>
          <w:tab w:val="left" w:pos="720"/>
        </w:tabs>
        <w:rPr>
          <w:lang w:val="nl-NL"/>
        </w:rPr>
      </w:pPr>
      <w:r>
        <w:rPr>
          <w:lang w:val="nl-NL"/>
        </w:rPr>
        <w:t xml:space="preserve">2. Šios dalies sąvoka ,,neparduoda ar kitaip neperleidžia nuosavybėn trejus metus“ apima ir tuos atvejus, kai akcijų emitentas yra likviduojamas (kai vienetas likviduojamas, atsižvelgiant į PMĮ </w:t>
      </w:r>
      <w:r>
        <w:rPr>
          <w:lang w:val="nl-NL"/>
        </w:rPr>
        <w:lastRenderedPageBreak/>
        <w:t>45 str. 2 dalį, laikoma, kad to vieneto dalyvis savo turėtas akcijas (dalis, pajus) perleidžia likviduojamam vienetui už pagal rinkos kainą iš likviduojamo vieneto gautą turtą).</w:t>
      </w:r>
    </w:p>
    <w:p w14:paraId="1D88C42B" w14:textId="77777777" w:rsidR="00093845" w:rsidRDefault="000D779E">
      <w:pPr>
        <w:pStyle w:val="Pagrindiniotekstotrauka"/>
        <w:tabs>
          <w:tab w:val="left" w:pos="720"/>
          <w:tab w:val="left" w:pos="1077"/>
          <w:tab w:val="left" w:pos="1418"/>
        </w:tabs>
        <w:rPr>
          <w:lang w:val="nl-NL"/>
        </w:rPr>
      </w:pPr>
      <w:r>
        <w:rPr>
          <w:lang w:val="nl-NL"/>
        </w:rPr>
        <w:t>3. Minėtais reorganizavimo ir perleidimo atvejais vieneto ar jo dalyvių mainais gautų akcijų (dalių, pajų) įsigijimo data, nuo kurios skaičiuojamas trejų metų (36 mėnesių) laikotarpis, yra laikoma data, kada įgyjama tų akcijų (dalių, pajų) nuosavybės teisė.</w:t>
      </w:r>
    </w:p>
    <w:p w14:paraId="22DA7918"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 Jei vienetas ar jo dalyviai minėtais reorganizavimo ir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14 ir 16 str. komentarus).</w:t>
      </w:r>
    </w:p>
    <w:p w14:paraId="32644E88"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Ši nuostata taikoma tik tokiam vienetui ar tokiam vieneto dalyviui, kuris mainais gautų akcijų (dalių, pajų) neišlaikė 3</w:t>
      </w:r>
      <w:r w:rsidRPr="0065344A">
        <w:rPr>
          <w:rFonts w:ascii="Times New Roman" w:hAnsi="Times New Roman" w:cs="Times New Roman"/>
          <w:b/>
          <w:lang w:val="nl-NL"/>
        </w:rPr>
        <w:t xml:space="preserve"> </w:t>
      </w:r>
      <w:r w:rsidRPr="0065344A">
        <w:rPr>
          <w:rFonts w:ascii="Times New Roman" w:hAnsi="Times New Roman" w:cs="Times New Roman"/>
          <w:lang w:val="nl-NL"/>
        </w:rPr>
        <w:t xml:space="preserve">metus ir tik tai akcijų daliai, kuri buvo parduota ar kitaip perleista. </w:t>
      </w:r>
    </w:p>
    <w:p w14:paraId="4D2595D1"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 xml:space="preserve">Jei vieneto dalyvis jau turėdamas kito vieneto akcijų (dalių, pajų) dėl reorganizavimo ar perleidimo įsigijo papildomai to vieneto akcijų, ir po kurio laiko dalį šio vieneto akcijų perleido, tai jis pats sprendžia, kurios akcijos (dalys, pajai), t.y. įsigytos iki reorganizavimo ar perleidimo, ar dėl šių procesų, buvo perleistos, jei tai nėra aptarta apskaitos politikoje. </w:t>
      </w:r>
    </w:p>
    <w:p w14:paraId="35F147AC"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1</w:t>
      </w:r>
      <w:r w:rsidRPr="0065344A">
        <w:rPr>
          <w:rFonts w:ascii="Times New Roman" w:hAnsi="Times New Roman" w:cs="Times New Roman"/>
          <w:lang w:val="nl-NL"/>
        </w:rPr>
        <w:t>. Tuo atveju, kai vienetas perleidžia veiklą (jos dalį) pagal PMĮ 41 str. 2 d. 5 punktą  ir to vieneto dalyviai vietoj turėtų akcijų mainais gauna kito vieneto akcijų (dalių, pajų) ir jų neišlaiko 3 metus, tai tokie mainai apmokestinami kaip akcijų (dalių, pajų) pardavimas. Kadangi PMĮ 42 str. 10 dalyje nustatyto reikalavimo nesilaiko vieneto dalyviai, tai jie privalo apmokestinti turto vertės padidėjimo pajamas už parduotas akcijas (dalis, pajus). O vienetui dėl veiklos perleidimo pagal PMĮ 41 str. 2 d. 5 punktą mokestinių prievolių neatsiranda (turto vertės padidėjimo pajamos dėl veiklos perleidimo nebus laikomos vieneto apmokestinamosiomis pajamomis).</w:t>
      </w:r>
    </w:p>
    <w:p w14:paraId="045755AC"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2</w:t>
      </w:r>
      <w:r w:rsidRPr="0065344A">
        <w:rPr>
          <w:rFonts w:ascii="Times New Roman" w:hAnsi="Times New Roman" w:cs="Times New Roman"/>
          <w:lang w:val="nl-NL"/>
        </w:rPr>
        <w:t>. Jeigu vienetas perleidžia veiklą kaip kompleksą (ar veiklos dalį) pagal PMĮ 41 str. 2 d. 6 punktą kitam vienetui ir mainais gautų akcijų (dalių, pajų) neišlaiko 3 metus, tai PMĮ 42 str. 5 dalies nuostatos netaikomos. Apskaičiuojant apmokestinamąjį pelną, veiklos perleidimo sandoris apmokestinamas kaip pardavimo sandoris tą mokestinį laikotarpį, kurį veikla buvo perleista. Šios nuostatos taikomos neatsižvelgiant į tai ar vienetas perleido visas ar dalį mainais už perleistą veiklą gautas akcijas (dalis, pajus).</w:t>
      </w:r>
    </w:p>
    <w:p w14:paraId="257E6634"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 xml:space="preserve">Turto vertės padidėjimo pajamos už perleistą veiklą apskaičiuojamos PMĮ 16 straipsnyje nustatyta tvarka ir negali būti perkvalifikuojamas į akcijų apmokėjimo turtu sandorį pagal PMĮ 14 str. 4 dalį. </w:t>
      </w:r>
    </w:p>
    <w:p w14:paraId="7D238DA3"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Vienetui pardavus akcijas (dalis, pajus), gautas mainais už perleistą veiklą, turto vertės padidėjimo pajamos apmokestinamos pagal PMĮ nuostatas tą mokestinį laikotarpį, kurį jos faktiškai buvo parduotos.</w:t>
      </w:r>
    </w:p>
    <w:p w14:paraId="57FDA19F"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4</w:t>
      </w:r>
      <w:r w:rsidRPr="0065344A">
        <w:rPr>
          <w:rFonts w:ascii="Times New Roman" w:hAnsi="Times New Roman" w:cs="Times New Roman"/>
          <w:vertAlign w:val="superscript"/>
          <w:lang w:val="nl-NL"/>
        </w:rPr>
        <w:t>3</w:t>
      </w:r>
      <w:r w:rsidRPr="0065344A">
        <w:rPr>
          <w:rFonts w:ascii="Times New Roman" w:hAnsi="Times New Roman" w:cs="Times New Roman"/>
          <w:lang w:val="nl-NL"/>
        </w:rPr>
        <w:t>. Kai atliekami akcijų mainai PMĮ 41 str. 2 d. 7 punkte aprašytu akcijų keitimo būdu, tai įsigyjančiojo Lietuvos vieneto (siekiančio kontroliuoti kitą vienetą) mainais už jo išleistas naujas akcijas gautų akcijų įsigijimo kaina yra laikoma jo išleistų akcijų emisijos kaina</w:t>
      </w:r>
      <w:r w:rsidRPr="0065344A">
        <w:rPr>
          <w:rFonts w:ascii="Times New Roman" w:hAnsi="Times New Roman" w:cs="Times New Roman"/>
          <w:bCs/>
          <w:lang w:val="nl-NL"/>
        </w:rPr>
        <w:t xml:space="preserve"> (</w:t>
      </w:r>
      <w:r w:rsidRPr="0065344A">
        <w:rPr>
          <w:rFonts w:ascii="Times New Roman" w:hAnsi="Times New Roman" w:cs="Times New Roman"/>
          <w:lang w:val="nl-NL"/>
        </w:rPr>
        <w:t xml:space="preserve">įskaitant tiesiogines išlaidas, susijusias su mainais gautų akcijų įsigijimu). Tačiau jei įsigyjantysis vienetas gautų akcijų neišlaiko 3 metus, tai gautų akcijų kainos nustatymo tikslais taikomos PMĮ 14 str. 4 dalies nuostatos (vieneto išleistas naujas akcijas jo dalyvis apmoka turtu (kitomis akcijomis). </w:t>
      </w:r>
    </w:p>
    <w:p w14:paraId="382E30E5" w14:textId="77777777" w:rsidR="00093845" w:rsidRPr="0065344A" w:rsidRDefault="000D779E">
      <w:pPr>
        <w:pStyle w:val="Pagrindiniotekstotrauka"/>
        <w:tabs>
          <w:tab w:val="left" w:pos="720"/>
          <w:tab w:val="left" w:pos="1077"/>
          <w:tab w:val="left" w:pos="1418"/>
        </w:tabs>
        <w:rPr>
          <w:rFonts w:ascii="Times New Roman" w:hAnsi="Times New Roman" w:cs="Times New Roman"/>
          <w:lang w:val="nl-NL"/>
        </w:rPr>
      </w:pPr>
      <w:r w:rsidRPr="0065344A">
        <w:rPr>
          <w:rFonts w:ascii="Times New Roman" w:hAnsi="Times New Roman" w:cs="Times New Roman"/>
          <w:lang w:val="nl-NL"/>
        </w:rPr>
        <w:t>1-6 pavyzdžiai</w:t>
      </w:r>
    </w:p>
    <w:p w14:paraId="5F169CC1" w14:textId="77777777" w:rsidR="00093845" w:rsidRDefault="000D779E">
      <w:pPr>
        <w:pBdr>
          <w:top w:val="single" w:sz="4" w:space="1" w:color="auto"/>
          <w:left w:val="single" w:sz="4" w:space="4" w:color="auto"/>
          <w:bottom w:val="single" w:sz="4" w:space="1" w:color="auto"/>
          <w:right w:val="single" w:sz="4" w:space="4" w:color="auto"/>
        </w:pBdr>
        <w:jc w:val="both"/>
      </w:pPr>
      <w:r w:rsidRPr="0065344A">
        <w:rPr>
          <w:lang w:val="nl-NL"/>
        </w:rPr>
        <w:lastRenderedPageBreak/>
        <w:tab/>
        <w:t xml:space="preserve">1. UAB „X“ dėl akcijų mainų pagal PMĮ 41 str. 2 d. 7 punktą, 2009 m. vasario mėn. vietoj turėtų dukterinės bendrovės „Y“ 75 proc. balsų teisę suteikiančių akcijų (UAB „X“ šias akcijas įsigijo 2007 metais) mainais gavo UAB „Z“ išleistų naujų akcijų. Pagal PMĮ 42 str. 1 dalies nuostatas, UAB „X“ mainais gautų UAB „Z“ akcijų įsigijimo kaina yra ta pati, kokia buvo išmainytų bendrovės „Y“ akcijų įsigijimo kaina. </w:t>
      </w:r>
      <w:r>
        <w:t xml:space="preserve">UAB „X“ mainais gautas UAB „Z“ akcijas 2011 metais pardavė kitam vienetui. </w:t>
      </w:r>
    </w:p>
    <w:p w14:paraId="0188709C"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UAB „X“ mainais gautų UAB „Z“ akcijų neišlaikė 3 metų, kaip tai nustatyta PMĮ 42 str. 10 dalyje, todėl tokie akcijų mainai apmokestinami kaip akcijų pardavimas tą mokestinį laikotarpį, kurį jie buvo atlikti. UAB „X“ už perleistas bendrovės „Y“ akcijas apskaičiuotas turto vertės padidėjimo pajamas (mainais perleistų bendrovės „Y“ akcijų įsigijimo kainos ir jų rinkos kainos skirtumą) turi priskirti 2009 mokestinių metų apmokestinamosioms pajamoms. </w:t>
      </w:r>
    </w:p>
    <w:p w14:paraId="6A54B1A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Kadangi minėti akcijų mainai 2009 metais buvo apmokestinti kaip akcijų pardavimas, tai UAB „X“ mainais gautų UAB „Z“ akcijų įsigijimo kaina yra išmainytų bendrovės „Y“ tikroji rinkos kaina. UAB „X“ perleidus UAB „Z“ akcijas kitam vienetui ar fiziniams asmeniui, turto vertės padidėjimo pajamos už perleistas akcijas apskaičiuojamos PMĮ 16 str. 1 dalyje nustatyta tvarka (t.y. 2009 metais pelno mokesčio apskaičiavimo tikslais nustatytos UAB „Z“ akcijų įsigijimo kainos ir jų pardavimo kainos skirtumas). Turto vertės padidėjimo pajamos už perleistas UAB „Z“ akcijas galėtų būti priskiriamos UAB „X“ 2011 mokestinių metų neapmokestinamosioms pajamoms, jei UAB „X“ ne trumpiau kaip 2 metus be pertraukų turėtų daugiau kaip 25 proc. UAB „Z“ balsų teisę suteikiančių akcijų iki jų pardavimo. </w:t>
      </w:r>
    </w:p>
    <w:p w14:paraId="4E2FB76C"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2. UAB „X“ 2005 metais įsigijo 75 proc. balsus suteikiančių UAB „Y“ akcijų, kurių įsigijimo kaina 100 000 Lt. 2009 metais dėl akcijų mainų pagal PMĮ 41 str. 2 d. 7 punktą, UAB „X“  už UAB „Y“ akcijas mainais gavo UAB „Z“ išleistų naujos emisijos akcijų. 2010 m. balandžio mėn. UAB „X“ UAB „Z“ akcijas pardavė kitam vienetui už 125 000 Lt. Kadangi UAB „X“ mainais gautų UAB „Z“ akcijų neišlaikė 3 metų, kaip tai nustatyta PMĮ 42 str. 10 dalyje, tai pelno mokesčio apskaičiavimo tikslais tokie akcijų mainai laikomi išmainytų akcijų (t.y. UAB „Y“ akcijų) pardavimu už jų tikrąją rinkos kainą mainais gautų UAB „Z“ akcijų įsigijimo nuosavybėn dieną (UAB „Y“ akcijų rinkos kaina akcijų mainų metu – 120 000 Lt). UAB „X“ 2009 metų apmokestinamosiomis turto vertės padidėjimo pajamomis turėtų pripažinti 20 000 Lt (UAB „Y“ akcijų įsigijimo kainos ir jų rinkos kainos skirtumą). Tačiau atsižvelgiant į tai, kad UAB „X“ iki akcijų mainų ne trumpiau kaip 3 metus be pertraukų (nuo 2005 metų) turėjo daugiau kaip 25 proc. balsus suteikiančių UAB „Y“ akcijų, todėl taikoma PMĮ 12 str. 15 punkte nustatyta lengvata - turto vertės padidėjimo pajamos už perleistas UAB „Y“ akcijas (mainais į UAB „Z“ akcijas) priskiriamos UAB „X“ 2009 mokestinių metų neapmokestinamosioms pajamoms. 2010 metais už parduotas UAB „Z“ akcijas apmokestinamosioms pajamoms turi būti priskiriama 5000 Lt (iš 125 000 Lt šių akcijų pardavimo kainos atėmus jų įsigijimo kainą – 120 000 Lt (t.y. apskaičiuotą UAB „Z“ akcijų tikrąją rinkos kainą, neatsižvelgiant į tai, kad 20 000 Lt turto vertės padidėjimo pajamų dėl akcijų kainų skirtumo 2009 metais nebuvo priskiriamos apmokestinamosioms pajamoms dėl PMĮ 12 str. 15 punkte nustatytos lengvatos).</w:t>
      </w:r>
    </w:p>
    <w:p w14:paraId="179C7D2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3. UAB „X“ 2010 m. perleido veiklos dalį pagal PMĮ 41 str. 2 d. 6 punktą savo                                                                                                                                                                                                                                                                                                                                                                                                                                                                                  dukterinei bendrovei - UAB „Y“, kurios 100 proc. paprastųjų balsus suteikiančių akcijų įsigijo daugiau kaip prieš 2 metus. Už perleistą veiklos dalį bendrovė mainais gavo papildomą skaičių balsus suteikiančių UAB „Y“ akcijų. 2010 metais bendrovė „X“ 70 proc. turimų akcijų (įskaitant dėl veiklos perleidimo papildomai gautų akcijų dalį) pardavė kitam vienetui.</w:t>
      </w:r>
    </w:p>
    <w:p w14:paraId="697B2A7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Kadangi bendrovė „X“ iki veiklos perleidimo ne trumpiau kaip 2 metus be pertraukų turėjo daugiau kaip 25 proc. balsus suteikiančių akcijų, tai PMĮ 12 str. 15 punkte nustatyta lengvata dėl turto vertės padidėjimo pajamų už perleistas akcijas neapmokestinimo taip pat taikoma dėl veiklos perleidimo papildomai įsigytoms UAB „Y“ akcijoms. Tačiau atsižvelgiant į tai, kad bendrovė „X“ neišlaikė už perleistą veiklą gautų akcijų 3 metus, kaip tai nustatyta PMĮ 42 str. 10 dalyje, nelaikoma, </w:t>
      </w:r>
      <w:r>
        <w:rPr>
          <w:rFonts w:ascii="Times New Roman" w:hAnsi="Times New Roman" w:cs="Times New Roman"/>
        </w:rPr>
        <w:lastRenderedPageBreak/>
        <w:t xml:space="preserve">kad veiklos perleidimas buvo atliktas pagal PMĮ 41 str. 2 d. 6 punktą ir PMĮ 42 str. 5 dalies nuostatos netaikomos. Pelno mokesčio apskaičiavimo tikslais laikoma, kad bendrovė „X“ pardavė veiklos dalį už jos tikrąją rinkos kainą mainais gautų UAB „Y“ akcijų įsigijimo nuosavybėn dieną. UAB „X“ gautų UAB „Y“ akcijų įsigijimo kaina yra perleistos veiklos tikroji rinkos kaina. Kadangi veiklos perleidimas apmokestinamas kaip pardavimo sandoris, tai UAB „Y“ gali netaikyti PMĮ 42 str. 5 dalies nuostatų kartu su veikla įsigytam turtui ir patikslinti to turto įsigijimo kainas. </w:t>
      </w:r>
    </w:p>
    <w:p w14:paraId="351938DA"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4. UAB „X“ įsigijo 5000 vnt. (100 proc.) UAB „Z“ balsus suteikiančių akcijų, už kurias sumokėjo 100 000 Lt. UAB „A“, siekdama kontroliuoti UAB „Z“, 2010 metais PMĮ 41 str. 2 d. 7 punkte nustatytu akcijų keitimo būdu iš UAB „X“ įsigijo visas UAB „Z“ akcijas, už 4000 vnt. savo išleistų naujų akcijų, kurių 115 000 Lt emisijos kaina atitiko gautų UAB „Z“ akcijų rinkos kainą. UAB „A“ 2010 metais įsigytų UAB „Z“ akcijų įsigijimo kaina – laikoma 115 000 Lt.</w:t>
      </w:r>
    </w:p>
    <w:p w14:paraId="23A6D552"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UAB „A“ įsigytų UAB „Z“ akcijų neišlaikė 3 metus - 2011 metais visas jas pardavė, todėl minėtas akcijų keitimas nelaikomas įvykusiu pagal PMĮ 41 str. 2 d. 7 punktą. Tokiu atveju UAB „A“ gautų UAB „Z“ akcijų įsigijimo kaina nustatoma taikant PMĮ 14 str. 4 dalies nuostatas, t.y. laikoma, kad UAB „A“ išleistas naujos emisijos akcijas UAB „X“ apmokėjo turtu (UAB „Z“ akcijomis). Remiantis PMĮ 14 str. 4 dalimi, UAB „A“ 2010 metais įsigytų UAB „Z“ akcijų įsigijimo kaina yra ta pati, už kurią tas akcijas įsigijo UAB „X“, t.y. 100 000 Lt. Todėl UAB „A“ 2011 metais pardavus UAB „Z“ akcijas už 116 000 Lt, apskaičiuojant turto vertės padidėjimo pajamas pagal PMĮ 16 str. 1 dalies nuostatas, iš 116 000 Lt pajamų atimama 100 000 Lt tų akcijų įsigijimo kaina. </w:t>
      </w:r>
    </w:p>
    <w:p w14:paraId="52526143"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nl-NL"/>
        </w:rPr>
      </w:pPr>
      <w:r>
        <w:rPr>
          <w:rFonts w:ascii="Times New Roman" w:hAnsi="Times New Roman" w:cs="Times New Roman"/>
        </w:rPr>
        <w:t>5. UAB „A“ 2 metus turėjo 35 proc. (1000 vnt.) UAB „B“ balsų teisę suteikiančių akcijų, kurių įsigijimo kaina 35 000 Lt. 2009 m. vasario mėn. UAB „B“ PMĮ 41 str. 2 d. 5 punkte nurodytu atveju perleido veiklos dalį UAB „C“. UAB „A“ vietoj turėtų 5 proc. (50 vnt.) UAB „B“ akcijų (jų įsigijimo kaina 1750 Lt) mainais gavo UAB „C“ akcijų, kurių įsigijimo kaina ta pati kaip UAB „B“ akcijų. 2010 m. balandžio mėn. UAB „C“ buvo reorganizuota PMĮ 41 str. 2 d. 4 punkte nustatytu padalijimo būdu ir UAB „A“ už turėtas UAB „C“ akcijas mainais gavo UAB „D“ ir UAB „E“ akcijų. UAB „A“ mainais gautų UAB „D“ ir UAB „E“ akcijų įsigijimo kaina -1750 Lt, t.y. ta pati kaip UAB „C“ akcijų. UAB „C“ akcijų rinkos kaina mainų metu - 2500 Lt.</w:t>
      </w:r>
    </w:p>
    <w:p w14:paraId="3D6A233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lang w:val="nl-NL"/>
        </w:rPr>
        <w:t xml:space="preserve">Kadangi </w:t>
      </w:r>
      <w:r>
        <w:rPr>
          <w:rFonts w:ascii="Times New Roman" w:hAnsi="Times New Roman" w:cs="Times New Roman"/>
        </w:rPr>
        <w:t xml:space="preserve">UAB „A“ mainais gautas UAB „C“ akcijas išmainė į UAB „D“ ir UAB „E“ akcijas dėl UAB „C“ reorganizavimo, todėl pagal PMĮ 42 str. 10 dalies nuostatas tokie mainai apmokestinamuoju sandoriu nelaikomi, neatsižvelgiant į tai, kad UAB „A“ mainais gautų UAB „C“ akcijų neišlaikė 3 metus. </w:t>
      </w:r>
    </w:p>
    <w:p w14:paraId="2BD54FE4"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Po metų nuo reorganizavimo UAB „A“ už 3000 Lt pardavė UAB „D“ ir UAB „E“ akcijas. Tokiu atveju laikoma, kad UAB „A“ 2010 m. balandžio mėn. už UAB „C“ akcijas mainais gautų UAB „D“ ir UAB „E“ akcijų neišlaikė 3 metus, kaip tai nustatyta 42 str. 10 dalyje. Todėl UAB „A“ 2010 m. balandžio mėn. atlikti akcijų mainai, laikomi išmainytų UAB „C” akcijų pardavimu už jų tikrąją rinkos kainą (2500 Lt). UAB „A“ 2010 metų apmokestinamosiomis turto vertės padidėjimo pajamomis turės pripažinti 750 Lt (UAB „C“ akcijų įsigijimo kainos ir jų rinkos kainos skirtumą).</w:t>
      </w:r>
    </w:p>
    <w:p w14:paraId="3166BB0A"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Už parduotas UAB „D“ ir UAB „E“ akcijas - 500 Lt turto vertės padidėjimo pajamų (iš 3000 Lt akcijų pardavimo kainos atėmus jų įsigijimo kainą - 2500 Lt) priskiriama 2011 metų apmokestinamosioms pajamoms.</w:t>
      </w:r>
    </w:p>
    <w:p w14:paraId="4D2246F9"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6. 2005 m. UAB „X“, Lietuvos vienetas, kartu su įmone X-1, užsienio vienetu, įsigijo 100 proc. bendrovės „Y“ balsų teisę suteikiančių akcijų, kurių įsigijimo kaina 100 000 Lt. UAB „X“ įsigijo 10 proc. akcijų, o įmonė X-1 – 90 proc. akcijų.</w:t>
      </w:r>
    </w:p>
    <w:p w14:paraId="37099E37"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lastRenderedPageBreak/>
        <w:t xml:space="preserve">UAB „Y“, taikydama PMĮ 41 str. 2 d. 5 punkto nuostatas, 2009 m. perleido veiklos dalį UAB „Z“. UAB „X“ ir įmonė X-1 už perleistą UAB „Y“ veiklos dalį mainais gavo UAB „Z“ akcijų: įmonė X-1 gavo 90%, o UAB „X“ - 10% UAB „Z“ akcijų. </w:t>
      </w:r>
    </w:p>
    <w:p w14:paraId="07078311"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2010 m. balandžio mėn. įmonė X-1 UAB „Z“ akcijas pardavė kitam vienetui už 250 000 Lt</w:t>
      </w:r>
      <w:r>
        <w:rPr>
          <w:rFonts w:ascii="Times New Roman" w:hAnsi="Times New Roman" w:cs="Times New Roman"/>
          <w:color w:val="FF0000"/>
        </w:rPr>
        <w:t>.</w:t>
      </w:r>
      <w:r>
        <w:rPr>
          <w:rFonts w:ascii="Times New Roman" w:hAnsi="Times New Roman" w:cs="Times New Roman"/>
        </w:rPr>
        <w:t xml:space="preserve"> UAB „X“ savo turimų UAB „Z“ akcijų neperleido.</w:t>
      </w:r>
    </w:p>
    <w:p w14:paraId="463BE9E8"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Įmonė X-1 mainais gautų UAB „Z“ akcijų neišlaikė 3 metus, kaip tai nustatyta PMĮ 42 str. 10 dalyje, todėl pelno mokesčio apskaičiavimo tikslu tokie akcijų mainai laikomi išmainytų akcijų (t.y. UAB „Y“ akcijų) pardavimu už jų tikrąją rinkos kainą mainais gautų UAB „Z“ akcijų įsigijimo nuosavybėn dieną. Tačiau, atsižvelgiant į tai, jog įmonė X-1 yra užsienio vienetas, įmonės X-1 turto vertės padidėjimo pajamos dėl anksčiau įvykusių akcijų mainų nėra apmokestinamos Lietuvos Respublikoje. UAB „X“ savo turimų UAB „Z“ akcijų nepardavė, todėl anksčiau įvykę akcijų mainai, šiai bendrovei nelaikomi akcijų pardavimu. </w:t>
      </w:r>
    </w:p>
    <w:p w14:paraId="0389551B"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rPr>
      </w:pPr>
      <w:r>
        <w:rPr>
          <w:rFonts w:ascii="Times New Roman" w:hAnsi="Times New Roman" w:cs="Times New Roman"/>
        </w:rPr>
        <w:t xml:space="preserve">Kadangi mainais gautas akcijas (dalis, pajus) jų neišlaikius 3 metus perleido vieneto dalyvis, tai vienetui dėl veiklos perleidimo pagal PMĮ 41 str. 2 d. 5 punktą mokestinių prievolių neatsiranda (turto vertės padidėjimo pajamos dėl veiklos perleidimo nebus laikomos UAB „Y“ apmokestinamosiomis pajamomis). </w:t>
      </w:r>
    </w:p>
    <w:p w14:paraId="4692AEE5" w14:textId="77777777" w:rsidR="00093845" w:rsidRDefault="000D779E">
      <w:pPr>
        <w:spacing w:before="100" w:beforeAutospacing="1" w:after="100" w:afterAutospacing="1"/>
        <w:ind w:firstLine="720"/>
        <w:jc w:val="both"/>
        <w:rPr>
          <w:lang w:val="lt-LT"/>
        </w:rPr>
      </w:pPr>
      <w:r>
        <w:rPr>
          <w:iCs/>
          <w:lang w:val="nb-NO"/>
        </w:rPr>
        <w:t xml:space="preserve">(Pagal </w:t>
      </w:r>
      <w:r>
        <w:rPr>
          <w:lang w:val="lt-LT"/>
        </w:rPr>
        <w:t>VMI prie FM 2012-05-29 raštą Nr. (18.10-31-1)-R-4687)</w:t>
      </w:r>
    </w:p>
    <w:p w14:paraId="044C68FA" w14:textId="77777777" w:rsidR="00093845" w:rsidRPr="0065344A" w:rsidRDefault="000D779E">
      <w:pPr>
        <w:pStyle w:val="Pagrindiniotekstotrauka"/>
        <w:tabs>
          <w:tab w:val="left" w:pos="720"/>
          <w:tab w:val="left" w:pos="1077"/>
          <w:tab w:val="left" w:pos="1418"/>
        </w:tabs>
        <w:rPr>
          <w:lang w:val="lt-LT"/>
        </w:rPr>
      </w:pPr>
      <w:r w:rsidRPr="0065344A">
        <w:rPr>
          <w:lang w:val="lt-LT"/>
        </w:rPr>
        <w:t>7 pavyzdys</w:t>
      </w:r>
    </w:p>
    <w:p w14:paraId="0263F3E0" w14:textId="77777777" w:rsidR="00093845" w:rsidRDefault="000D779E">
      <w:pPr>
        <w:pStyle w:val="prastasiniatinklio"/>
        <w:pBdr>
          <w:top w:val="single" w:sz="4" w:space="1" w:color="auto"/>
          <w:left w:val="single" w:sz="4" w:space="4" w:color="auto"/>
          <w:bottom w:val="single" w:sz="4" w:space="1" w:color="auto"/>
          <w:right w:val="single" w:sz="4" w:space="4" w:color="auto"/>
        </w:pBdr>
        <w:spacing w:before="0" w:beforeAutospacing="0" w:after="0" w:afterAutospacing="0"/>
        <w:ind w:firstLine="720"/>
        <w:jc w:val="both"/>
      </w:pPr>
      <w:r>
        <w:t xml:space="preserve">Bendrovė X, kurios 100 proc. akcijų valdo bendrovė Y, užsiima energijos gamyba. 2012 metais bendrovė X energijos perdavimo veiklos dalį perleido bendrovei Z pagal PMĮ 41 str. 2 d. 5 punktą. Dėl šio perleidimo bendrovė Y mainais gavo daugiau kaip 80 proc. bendrovės Z akcijų ir įgijo teisę kontroliuoti bendrovę Z (t.y. valdyti jos finansinę ir ūkinę veiklą siekiant gauti naudos). Pagal ES teisės aktų reikalavimus tas pats asmuo ar asmenys negali tiesiogiai ar netiesiogiai kontroliuoti įmonės, vykdančios energijos gamybą ir energijos perdavimo veiklą (t.y. bendrovė Y negali kontroliuoti bendrovės X, kuri gamina energiją ir bendrovės Z, kuri vykdo energijos perdavimo veiklą). Todėl bendrovė Y, siekdama įgyvendinti ES teisės aktų reikalavimus, Lietuvoje priimtų teisės aktų pagrindu turimas bendrovės Z akcijas 2014 metais pardavė trečiajam asmeniui. Bendrovė Y neturi apmokestinti turto vertės padidėjimo pajamų iš dukterinės bendrovės Z akcijų pardavimo, neatsižvelgiant į tai, kad jos nebuvo išlaikytos PMĮ 42 str. 10 dalyje nustatytą 3 metų laikotarpį, nes akcijos buvo perleistos dėl teisės aktų reikalavimų. </w:t>
      </w:r>
    </w:p>
    <w:p w14:paraId="4F8F7C91" w14:textId="77777777" w:rsidR="00093845" w:rsidRDefault="000D779E">
      <w:pPr>
        <w:pStyle w:val="prastasiniatinklio"/>
        <w:spacing w:before="0" w:beforeAutospacing="0" w:after="0" w:afterAutospacing="0"/>
        <w:ind w:firstLine="720"/>
        <w:jc w:val="both"/>
      </w:pPr>
      <w:r>
        <w:rPr>
          <w:iCs/>
          <w:lang w:val="nb-NO"/>
        </w:rPr>
        <w:t xml:space="preserve">(Pagal </w:t>
      </w:r>
      <w:r>
        <w:t>VMI prie FM 2014-04-15 raštą Nr. (18.9-31-1)-RM-5298)</w:t>
      </w:r>
    </w:p>
    <w:p w14:paraId="4EAA9640" w14:textId="77777777" w:rsidR="00093845" w:rsidRDefault="00093845">
      <w:pPr>
        <w:pStyle w:val="prastasiniatinklio"/>
        <w:spacing w:before="0" w:beforeAutospacing="0" w:after="0" w:afterAutospacing="0"/>
        <w:ind w:firstLine="720"/>
        <w:jc w:val="both"/>
      </w:pPr>
    </w:p>
    <w:p w14:paraId="0153025A" w14:textId="77777777" w:rsidR="00093845" w:rsidRDefault="000D779E">
      <w:pPr>
        <w:pStyle w:val="Pagrindiniotekstotrauka"/>
        <w:tabs>
          <w:tab w:val="left" w:pos="720"/>
          <w:tab w:val="left" w:pos="1077"/>
          <w:tab w:val="left" w:pos="1418"/>
        </w:tabs>
        <w:rPr>
          <w:lang w:val="nl-NL"/>
        </w:rPr>
      </w:pPr>
      <w:r>
        <w:rPr>
          <w:lang w:val="nl-NL"/>
        </w:rPr>
        <w:t xml:space="preserve">5. Šioje dalyje nustatytas reikalavimas trejus metus išlaikyti PMĮ 41 str. 2 d. 4, 5, 6 ir 7 punktuose nustatytais atvejais mainais gautas akcijas (dalis, pajus) netaikomas, jei taip mainais gavus akcijas, jos vėliau vėl mainomos atliekant vėlesnį reorganizavimą, perleidimą ar akcijų mainus pagal šių punktų nuostatas. </w:t>
      </w:r>
    </w:p>
    <w:p w14:paraId="688DD5CA" w14:textId="77777777" w:rsidR="00093845" w:rsidRDefault="000D779E" w:rsidP="00E12979">
      <w:pPr>
        <w:pStyle w:val="Pagrindiniotekstotrauka"/>
        <w:tabs>
          <w:tab w:val="left" w:pos="720"/>
          <w:tab w:val="left" w:pos="1077"/>
          <w:tab w:val="left" w:pos="1418"/>
        </w:tabs>
        <w:rPr>
          <w:lang w:val="nl-NL"/>
        </w:rPr>
      </w:pPr>
      <w:r>
        <w:rPr>
          <w:lang w:val="nl-NL"/>
        </w:rPr>
        <w:tab/>
        <w:t xml:space="preserve">Pavyzdys </w:t>
      </w:r>
      <w:r>
        <w:rPr>
          <w:lang w:val="nl-NL"/>
        </w:rPr>
        <w:tab/>
      </w:r>
    </w:p>
    <w:p w14:paraId="244F8ED6"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lang w:val="nl-NL"/>
        </w:rPr>
      </w:pPr>
      <w:r>
        <w:rPr>
          <w:lang w:val="nl-NL"/>
        </w:rPr>
        <w:tab/>
        <w:t xml:space="preserve">UAB ,,A“, siekdama kontroliuoti kitą vienetą, iš UAB ,,B“ PMĮ 41 str. 2 d. 7 punkte aprašytu būdu įsigijo daugiau kaip 2/3 to kito vieneto balsavimo teisę suteikiančių akcijų, mainais į savo išleistas naujos emisijos akcijas. Praėjus 2 metams, UAB ,,A“ buvo reorganizuota PMĮ 41 str. 2 d. 4 punkte numatytu padalijimo būdu (visas UAB ,,A“ turtas, teisės ir pareigos buvo padalinti ir perduoti dviem naujai sukurtiems vienetams - UAB ,,Y“ ir UAB ,,Z“). UAB ,,B“, kaip UAB ,,A“ dalyvė, vietoj turėtų šios bendrovės akcijų proporcingai mainais gavo UAB ,,Y“ ir UAB ,,Z“ akcijų. </w:t>
      </w:r>
    </w:p>
    <w:p w14:paraId="1B276EA0"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 w:val="left" w:pos="3360"/>
        </w:tabs>
        <w:rPr>
          <w:lang w:val="nl-NL"/>
        </w:rPr>
      </w:pPr>
      <w:r>
        <w:rPr>
          <w:lang w:val="nl-NL"/>
        </w:rPr>
        <w:lastRenderedPageBreak/>
        <w:tab/>
        <w:t>Atsižvelgiant į tai, kad UAB ,,B“ turėtos UAB ,,A“ akcijos buvo išmainytos dėl UAB ,,A“ reorganizavimo pagal PMĮ 41 str. 2 d. 4 punktą, UAB ,,B“ taikoma PMĮ 42 str. 10 dalyje nustatyta išimtis dėl UAB ,,A“ akcijų išlaikymo trejus metus. Tačiau mainais gautoms UAB ,,Y“ ir UAB ,,Z“ akcijoms PMĮ 42 str. 1 dalies nuostata dėl turto vertės padidėjimo pajamų neapmokestinimo galios tik tuo atveju, jei šios akcijos nuo jų perėjimo UAB ,,B“ nuosavybėn datos bus išlaikytos trejus metus.</w:t>
      </w:r>
    </w:p>
    <w:p w14:paraId="52CBC385" w14:textId="77777777" w:rsidR="00093845" w:rsidRDefault="000D779E">
      <w:pPr>
        <w:pStyle w:val="Pagrindiniotekstotrauka"/>
        <w:tabs>
          <w:tab w:val="left" w:pos="720"/>
          <w:tab w:val="left" w:pos="1077"/>
          <w:tab w:val="left" w:pos="1418"/>
        </w:tabs>
        <w:rPr>
          <w:lang w:val="nl-NL"/>
        </w:rPr>
      </w:pPr>
      <w:r>
        <w:rPr>
          <w:lang w:val="nl-NL"/>
        </w:rPr>
        <w:t xml:space="preserve">6. Šios dalies reikalavimas trejus metus išlaikyti PMĮ 41 str. 2 d. 4, 5, 6 ir 7 punktuose nustatytais atvejais mainais gautas akcijas netaikomas, kai šių akcijų emitentas mažina įstatinį kapitalą Lietuvos Respublikos akcinių bendrovių įstatyme nustatyta tvarka. </w:t>
      </w:r>
    </w:p>
    <w:p w14:paraId="6E18A586" w14:textId="77777777" w:rsidR="00093845" w:rsidRDefault="000D779E" w:rsidP="00CE6C73">
      <w:pPr>
        <w:spacing w:after="0"/>
        <w:ind w:firstLine="720"/>
        <w:jc w:val="both"/>
        <w:rPr>
          <w:b/>
          <w:lang w:val="lt-LT" w:eastAsia="lt-LT"/>
        </w:rPr>
      </w:pPr>
      <w:r>
        <w:rPr>
          <w:b/>
          <w:lang w:val="lt-LT" w:eastAsia="lt-LT"/>
        </w:rPr>
        <w:t>10. Šio straipsnio nuostatos taikomos tik tuo atveju, kai šio Įstatymo 41 straipsnio 2 dalies 4, 5, 6 ir 7 punktuose nustatytais atvejais vienetas ar jo dalyviai, mainais gavę akcijų (dalių, pajų), jų neparduoda ar kitaip neperleidžia nuosavybėn trejus metus, išskyrus atvejus, kai akcijos (dalys, pajai) perleidžiamos dėl teisės aktų reikalavimų, ar vėlesnius šio Įstatymo 41 straipsnio 2 dalies 4, 5, 6 ir 7 punktuose nustatytus atvejus.</w:t>
      </w:r>
    </w:p>
    <w:p w14:paraId="4292E836" w14:textId="77777777" w:rsidR="00093845" w:rsidRPr="0014647B" w:rsidRDefault="000D779E" w:rsidP="00CE6C73">
      <w:pPr>
        <w:jc w:val="both"/>
        <w:rPr>
          <w:i/>
          <w:lang w:val="lt-LT"/>
        </w:rPr>
      </w:pPr>
      <w:r w:rsidRPr="0014647B">
        <w:rPr>
          <w:i/>
          <w:lang w:val="lt-LT"/>
        </w:rPr>
        <w:t>(</w:t>
      </w:r>
      <w:r w:rsidRPr="0014647B">
        <w:rPr>
          <w:i/>
          <w:iCs/>
        </w:rPr>
        <w:t>KEISTA:</w:t>
      </w:r>
      <w:r w:rsidRPr="0014647B">
        <w:rPr>
          <w:i/>
          <w:iCs/>
          <w:lang w:val="lt-LT"/>
        </w:rPr>
        <w:t xml:space="preserve"> </w:t>
      </w:r>
      <w:r w:rsidRPr="0014647B">
        <w:rPr>
          <w:i/>
          <w:iCs/>
        </w:rPr>
        <w:t>2013 06 27 įstatymu Nr. XII-428 (nuo 2013 07 13)</w:t>
      </w:r>
      <w:r w:rsidRPr="0014647B">
        <w:rPr>
          <w:i/>
          <w:iCs/>
          <w:lang w:val="lt-LT"/>
        </w:rPr>
        <w:t>)</w:t>
      </w:r>
    </w:p>
    <w:p w14:paraId="18E33410" w14:textId="77777777" w:rsidR="00093845" w:rsidRDefault="000D779E" w:rsidP="00CE6C73">
      <w:pPr>
        <w:spacing w:after="0"/>
        <w:ind w:firstLine="720"/>
        <w:jc w:val="both"/>
        <w:rPr>
          <w:b/>
          <w:bCs/>
          <w:lang w:val="lt-LT"/>
        </w:rPr>
      </w:pPr>
      <w:r>
        <w:rPr>
          <w:b/>
          <w:bCs/>
          <w:lang w:val="lt-LT"/>
        </w:rPr>
        <w:t>Komentaras</w:t>
      </w:r>
    </w:p>
    <w:p w14:paraId="5F51187C" w14:textId="77777777" w:rsidR="00093845" w:rsidRDefault="00093845" w:rsidP="00CE6C73">
      <w:pPr>
        <w:spacing w:after="0"/>
        <w:ind w:firstLine="720"/>
        <w:jc w:val="both"/>
        <w:rPr>
          <w:lang w:val="lt-LT"/>
        </w:rPr>
      </w:pPr>
    </w:p>
    <w:p w14:paraId="4525429C" w14:textId="77777777" w:rsidR="003E272C" w:rsidRPr="003E272C" w:rsidRDefault="003E272C" w:rsidP="003E272C">
      <w:pPr>
        <w:tabs>
          <w:tab w:val="left" w:pos="720"/>
          <w:tab w:val="left" w:pos="1077"/>
          <w:tab w:val="left" w:pos="1418"/>
        </w:tabs>
        <w:ind w:firstLine="720"/>
        <w:jc w:val="both"/>
        <w:rPr>
          <w:rFonts w:ascii="TimesLT" w:hAnsi="TimesLT" w:cs="Arial Unicode MS"/>
        </w:rPr>
      </w:pPr>
      <w:r w:rsidRPr="003E272C">
        <w:rPr>
          <w:rFonts w:ascii="TimesLT" w:hAnsi="TimesLT" w:cs="Arial Unicode MS"/>
        </w:rPr>
        <w:t>1. Pagal šios dalies nuostatas, jei reorganizavimas ar perleidimas atliekamas PMĮ 41 str. 2 d. 4, 5, 6, ir 7 punktuose nustatytais atvejais, t.y.:</w:t>
      </w:r>
    </w:p>
    <w:p w14:paraId="41793449" w14:textId="77777777" w:rsidR="003E272C" w:rsidRPr="003E272C" w:rsidRDefault="003E272C" w:rsidP="00EC4E29">
      <w:pPr>
        <w:numPr>
          <w:ilvl w:val="0"/>
          <w:numId w:val="43"/>
        </w:numPr>
        <w:tabs>
          <w:tab w:val="left" w:pos="1418"/>
        </w:tabs>
        <w:spacing w:after="0" w:line="240" w:lineRule="auto"/>
        <w:ind w:left="1077" w:hanging="357"/>
        <w:jc w:val="both"/>
        <w:rPr>
          <w:rFonts w:ascii="TimesLT" w:hAnsi="TimesLT" w:cs="Arial Unicode MS"/>
        </w:rPr>
      </w:pPr>
      <w:r w:rsidRPr="003E272C">
        <w:rPr>
          <w:rFonts w:ascii="TimesLT" w:hAnsi="TimesLT" w:cs="Arial Unicode MS"/>
        </w:rPr>
        <w:t xml:space="preserve">vienetus reorganizuojant išdalijimo arba padalijimo būdu, </w:t>
      </w:r>
    </w:p>
    <w:p w14:paraId="61D7B7A6" w14:textId="77777777" w:rsidR="003E272C" w:rsidRPr="003E272C" w:rsidRDefault="003E272C" w:rsidP="00EC4E29">
      <w:pPr>
        <w:numPr>
          <w:ilvl w:val="0"/>
          <w:numId w:val="43"/>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perleidžiant vieną ar kelias savo veiklos dalis,</w:t>
      </w:r>
    </w:p>
    <w:p w14:paraId="2BAD410F" w14:textId="77777777" w:rsidR="003E272C" w:rsidRPr="003E272C" w:rsidRDefault="003E272C" w:rsidP="00EC4E29">
      <w:pPr>
        <w:numPr>
          <w:ilvl w:val="0"/>
          <w:numId w:val="43"/>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perleidžiant veiklą kaip kompleksą arba vieną ar daugiau veiklos dalių,</w:t>
      </w:r>
    </w:p>
    <w:p w14:paraId="30A5A98D" w14:textId="77777777" w:rsidR="003E272C" w:rsidRPr="003E272C" w:rsidRDefault="003E272C" w:rsidP="00EC4E29">
      <w:pPr>
        <w:numPr>
          <w:ilvl w:val="0"/>
          <w:numId w:val="43"/>
        </w:numPr>
        <w:tabs>
          <w:tab w:val="left" w:pos="1418"/>
        </w:tabs>
        <w:spacing w:after="0" w:line="240" w:lineRule="auto"/>
        <w:ind w:left="1077" w:hanging="357"/>
        <w:jc w:val="both"/>
        <w:rPr>
          <w:rFonts w:ascii="TimesLT" w:hAnsi="TimesLT" w:cs="Arial Unicode MS"/>
          <w:lang w:val="nl-NL"/>
        </w:rPr>
      </w:pPr>
      <w:r w:rsidRPr="003E272C">
        <w:rPr>
          <w:rFonts w:ascii="TimesLT" w:hAnsi="TimesLT" w:cs="Arial Unicode MS"/>
          <w:lang w:val="nl-NL"/>
        </w:rPr>
        <w:t>mainant akcijas (dalis, pajus), kai siekiama kontroliuoti kitą vienetą,</w:t>
      </w:r>
    </w:p>
    <w:p w14:paraId="5E665C8A" w14:textId="77777777" w:rsidR="003E272C" w:rsidRPr="003E272C" w:rsidRDefault="003E272C" w:rsidP="003E272C">
      <w:pPr>
        <w:tabs>
          <w:tab w:val="left" w:pos="360"/>
          <w:tab w:val="left" w:pos="1418"/>
        </w:tabs>
        <w:jc w:val="both"/>
        <w:rPr>
          <w:rFonts w:ascii="TimesLT" w:hAnsi="TimesLT" w:cs="Arial Unicode MS"/>
          <w:lang w:val="nl-NL"/>
        </w:rPr>
      </w:pPr>
      <w:r w:rsidRPr="003E272C">
        <w:rPr>
          <w:rFonts w:ascii="TimesLT" w:hAnsi="TimesLT" w:cs="Arial Unicode MS"/>
          <w:lang w:val="nl-NL"/>
        </w:rPr>
        <w:t>tai PMĮ 42 str. 1 dalies nuostatos taikomos, jei šiais atvejais vienetas ar jo dalyviai, mainais gavę akcijų (dalių, pajų), jų neparduoda ar kitaip neperleidžia nuosavybėn trejus metus.</w:t>
      </w:r>
    </w:p>
    <w:p w14:paraId="17F8FD91"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Akcijų (dalių, pajų) 3 metų išlaikymo terminas netaikomas tais atvejais, kai PMĮ 41 str. 2 d. 4, 5, 6 ir 7 punktuose nustatytais atvejais mainais gavus akcijų (dalių pajų) jos vėl mainomos atliekant vėlesnį reorganizavimą, perleidimą ar akcijų mainus pagal šių punktų nuostatas. </w:t>
      </w:r>
    </w:p>
    <w:p w14:paraId="46245893" w14:textId="77777777" w:rsidR="003E272C" w:rsidRPr="0065344A" w:rsidRDefault="003E272C" w:rsidP="003E272C">
      <w:pPr>
        <w:tabs>
          <w:tab w:val="left" w:pos="360"/>
          <w:tab w:val="left" w:pos="1418"/>
        </w:tabs>
        <w:ind w:firstLine="720"/>
        <w:jc w:val="both"/>
        <w:rPr>
          <w:rFonts w:ascii="TimesLT" w:hAnsi="TimesLT" w:cs="Arial Unicode MS"/>
          <w:lang w:val="nl-NL"/>
        </w:rPr>
      </w:pPr>
      <w:r w:rsidRPr="0065344A">
        <w:rPr>
          <w:rFonts w:ascii="TimesLT" w:hAnsi="TimesLT" w:cs="Arial Unicode MS"/>
          <w:lang w:val="nl-NL"/>
        </w:rPr>
        <w:t>Apskaičiuojant 2014 metų ir vėlesnių metų mokestinių laikotarpių pelno mokestį, akcijų (dalių, pajų) 3 metų išlaikymo terminas netaikomas, kai akcijos perleidžiamos dėl teisės aktų reikalavimų.</w:t>
      </w:r>
    </w:p>
    <w:p w14:paraId="7B66E261" w14:textId="77777777" w:rsidR="003E272C" w:rsidRPr="003E272C" w:rsidRDefault="003E272C" w:rsidP="003E272C">
      <w:pPr>
        <w:spacing w:after="0"/>
        <w:ind w:firstLine="720"/>
        <w:jc w:val="both"/>
        <w:rPr>
          <w:lang w:val="lt-LT" w:eastAsia="lt-LT"/>
        </w:rPr>
      </w:pPr>
      <w:r w:rsidRPr="003E272C">
        <w:rPr>
          <w:iCs/>
          <w:lang w:val="nb-NO" w:eastAsia="lt-LT"/>
        </w:rPr>
        <w:t xml:space="preserve">(Pagal </w:t>
      </w:r>
      <w:r w:rsidRPr="003E272C">
        <w:rPr>
          <w:lang w:val="lt-LT" w:eastAsia="lt-LT"/>
        </w:rPr>
        <w:t>VMI prie FM 2014-04-15 raštą Nr. (18.9-31-1)-RM-5298)</w:t>
      </w:r>
    </w:p>
    <w:p w14:paraId="3507A16B" w14:textId="77777777" w:rsidR="003E272C" w:rsidRPr="003E272C" w:rsidRDefault="003E272C" w:rsidP="003E272C">
      <w:pPr>
        <w:tabs>
          <w:tab w:val="left" w:pos="0"/>
          <w:tab w:val="left" w:pos="720"/>
        </w:tabs>
        <w:ind w:firstLine="720"/>
        <w:jc w:val="both"/>
        <w:rPr>
          <w:rFonts w:ascii="TimesLT" w:hAnsi="TimesLT" w:cs="Arial Unicode MS"/>
          <w:lang w:val="nl-NL"/>
        </w:rPr>
      </w:pPr>
      <w:r w:rsidRPr="003E272C">
        <w:rPr>
          <w:rFonts w:ascii="TimesLT" w:hAnsi="TimesLT" w:cs="Arial Unicode MS"/>
          <w:lang w:val="nl-NL"/>
        </w:rPr>
        <w:t>2. Šios dalies sąvoka ,,neparduoda ar kitaip neperleidžia nuosavybėn trejus metus“ apima ir tuos atvejus, kai akcijų emitentas yra likviduojamas (kai vienetas likviduojamas, atsižvelgiant į PMĮ 45 str. 2 dalį, laikoma, kad to vieneto dalyvis savo turėtas akcijas (dalis, pajus) perleidžia likviduojamam vienetui už pagal rinkos kainą iš likviduojamo vieneto gautą turtą).</w:t>
      </w:r>
    </w:p>
    <w:p w14:paraId="00C85B38"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3. Minėtais reorganizavimo ir perleidimo atvejais vieneto ar jo dalyvių mainais gautų akcijų (dalių, pajų) įsigijimo data, nuo kurios skaičiuojamas trejų metų (36 mėnesių) laikotarpis, yra laikoma data, kada įgyjama tų akcijų (dalių, pajų) nuosavybės teisė.</w:t>
      </w:r>
    </w:p>
    <w:p w14:paraId="2160228D"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 Jei vienetas ar jo dalyviai minėtais reorganizavimo ir perleidimo atvejais mainais gautų akcijų (dalių, pajų) neišlaiko 3 metus, tai tokie mainai laikomi išmainytų akcijų (dalių, pajų) pardavimu už išmainytų akcijų (dalių, pajų) tikrąją rinkos kainą tų mainais gautų akcijų (dalių, pajų) įsigijimo nuosavybėn dieną. Parduotų akcijų (dalių, pajų) turto vertės padidėjimo pajamos apskaičiuojamos PMĮ 16 str. 1 dalyje nustatyta tvarka (žr. PMĮ 14 ir 16 str. komentarus).</w:t>
      </w:r>
    </w:p>
    <w:p w14:paraId="001A3F56"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Ši nuostata taikoma tik tokiam vienetui ar tokiam vieneto dalyviui, kuris mainais gautų akcijų (dalių, pajų) neišlaikė 3</w:t>
      </w:r>
      <w:r w:rsidRPr="0065344A">
        <w:rPr>
          <w:b/>
          <w:lang w:val="nl-NL"/>
        </w:rPr>
        <w:t xml:space="preserve"> </w:t>
      </w:r>
      <w:r w:rsidRPr="0065344A">
        <w:rPr>
          <w:lang w:val="nl-NL"/>
        </w:rPr>
        <w:t xml:space="preserve">metus ir tik tai akcijų daliai, kuri buvo parduota ar kitaip perleista. </w:t>
      </w:r>
    </w:p>
    <w:p w14:paraId="09FC897E"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lastRenderedPageBreak/>
        <w:t xml:space="preserve">Jei vieneto dalyvis jau turėdamas kito vieneto akcijų (dalių, pajų) dėl reorganizavimo ar perleidimo įsigijo papildomai to vieneto akcijų, ir po kurio laiko dalį šio vieneto akcijų perleido, tai jis pats sprendžia, kurios akcijos (dalys, pajai), t.y. įsigytos iki reorganizavimo ar perleidimo, ar dėl šių procesų, buvo perleistos, jei tai nėra aptarta apskaitos politikoje. </w:t>
      </w:r>
    </w:p>
    <w:p w14:paraId="38336E4B"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1</w:t>
      </w:r>
      <w:r w:rsidRPr="0065344A">
        <w:rPr>
          <w:lang w:val="nl-NL"/>
        </w:rPr>
        <w:t>. Tuo atveju, kai vienetas perleidžia veiklą (jos dalį) pagal PMĮ 41 str. 2 d. 5 punktą  ir to vieneto dalyviai vietoj turėtų akcijų mainais gauna kito vieneto akcijų (dalių, pajų) ir jų neišlaiko 3 metus, tai tokie mainai apmokestinami kaip akcijų (dalių, pajų) pardavimas. Kadangi PMĮ 42 str. 10 dalyje nustatyto reikalavimo nesilaiko vieneto dalyviai, tai jie privalo apmokestinti turto vertės padidėjimo pajamas už parduotas akcijas (dalis, pajus). O vienetui dėl veiklos perleidimo pagal PMĮ 41 str. 2 d. 5 punktą mokestinių prievolių neatsiranda (turto vertės padidėjimo pajamos dėl veiklos perleidimo nebus laikomos vieneto apmokestinamosiomis pajamomis).</w:t>
      </w:r>
    </w:p>
    <w:p w14:paraId="281B16B5"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2</w:t>
      </w:r>
      <w:r w:rsidRPr="0065344A">
        <w:rPr>
          <w:lang w:val="nl-NL"/>
        </w:rPr>
        <w:t>. Jeigu vienetas perleidžia veiklą kaip kompleksą (ar veiklos dalį) pagal PMĮ 41 str. 2 d. 6 punktą kitam vienetui ir mainais gautų akcijų (dalių, pajų) neišlaiko 3 metus, tai PMĮ 42 str. 5 dalies nuostatos netaikomos. Apskaičiuojant apmokestinamąjį pelną, veiklos perleidimo sandoris apmokestinamas kaip pardavimo sandoris tą mokestinį laikotarpį, kurį veikla buvo perleista. Šios nuostatos taikomos neatsižvelgiant į tai ar vienetas perleido visas ar dalį mainais už perleistą veiklą gautas akcijas (dalis, pajus).</w:t>
      </w:r>
    </w:p>
    <w:p w14:paraId="3242DA13"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 xml:space="preserve">Turto vertės padidėjimo pajamos už perleistą veiklą apskaičiuojamos PMĮ 16 straipsnyje nustatyta tvarka ir negali būti perkvalifikuojamas į akcijų apmokėjimo turtu sandorį pagal PMĮ 14 str. 4 dalį. </w:t>
      </w:r>
    </w:p>
    <w:p w14:paraId="49B4C6D8"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Vienetui pardavus akcijas (dalis, pajus), gautas mainais už perleistą veiklą, turto vertės padidėjimo pajamos apmokestinamos pagal PMĮ nuostatas tą mokestinį laikotarpį, kurį jos faktiškai buvo parduotos.</w:t>
      </w:r>
    </w:p>
    <w:p w14:paraId="373D324C"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4</w:t>
      </w:r>
      <w:r w:rsidRPr="0065344A">
        <w:rPr>
          <w:vertAlign w:val="superscript"/>
          <w:lang w:val="nl-NL"/>
        </w:rPr>
        <w:t>3</w:t>
      </w:r>
      <w:r w:rsidRPr="0065344A">
        <w:rPr>
          <w:lang w:val="nl-NL"/>
        </w:rPr>
        <w:t>. Kai atliekami akcijų mainai PMĮ 41 str. 2 d. 7 punkte aprašytu akcijų keitimo būdu, tai įsigyjančiojo Lietuvos vieneto (siekiančio kontroliuoti kitą vienetą) mainais už jo išleistas naujas akcijas gautų akcijų įsigijimo kaina yra laikoma jo išleistų akcijų emisijos kaina</w:t>
      </w:r>
      <w:r w:rsidRPr="0065344A">
        <w:rPr>
          <w:bCs/>
          <w:lang w:val="nl-NL"/>
        </w:rPr>
        <w:t xml:space="preserve"> (</w:t>
      </w:r>
      <w:r w:rsidRPr="0065344A">
        <w:rPr>
          <w:lang w:val="nl-NL"/>
        </w:rPr>
        <w:t xml:space="preserve">įskaitant tiesiogines išlaidas, susijusias su mainais gautų akcijų įsigijimu). Tačiau jei įsigyjantysis vienetas gautų akcijų neišlaiko 3 metus, tai gautų akcijų kainos nustatymo tikslais taikomos PMĮ 14 str. 4 dalies nuostatos (vieneto išleistas naujas akcijas jo dalyvis apmoka turtu (kitomis akcijomis). </w:t>
      </w:r>
    </w:p>
    <w:p w14:paraId="41BF61AE" w14:textId="77777777" w:rsidR="003E272C" w:rsidRPr="0065344A" w:rsidRDefault="003E272C" w:rsidP="003E272C">
      <w:pPr>
        <w:tabs>
          <w:tab w:val="left" w:pos="720"/>
          <w:tab w:val="left" w:pos="1077"/>
          <w:tab w:val="left" w:pos="1418"/>
        </w:tabs>
        <w:ind w:firstLine="720"/>
        <w:jc w:val="both"/>
        <w:rPr>
          <w:lang w:val="nl-NL"/>
        </w:rPr>
      </w:pPr>
      <w:r w:rsidRPr="0065344A">
        <w:rPr>
          <w:lang w:val="nl-NL"/>
        </w:rPr>
        <w:t>1-6 pavyzdžiai</w:t>
      </w:r>
    </w:p>
    <w:p w14:paraId="66132268" w14:textId="77777777" w:rsidR="003E272C" w:rsidRPr="003E272C" w:rsidRDefault="003E272C" w:rsidP="003E272C">
      <w:pPr>
        <w:pBdr>
          <w:top w:val="single" w:sz="4" w:space="1" w:color="auto"/>
          <w:left w:val="single" w:sz="4" w:space="4" w:color="auto"/>
          <w:bottom w:val="single" w:sz="4" w:space="1" w:color="auto"/>
          <w:right w:val="single" w:sz="4" w:space="4" w:color="auto"/>
        </w:pBdr>
        <w:jc w:val="both"/>
      </w:pPr>
      <w:r w:rsidRPr="0065344A">
        <w:rPr>
          <w:lang w:val="nl-NL"/>
        </w:rPr>
        <w:tab/>
        <w:t xml:space="preserve">1. UAB „X“ dėl akcijų mainų pagal PMĮ 41 str. 2 d. 7 punktą, 2009 m. vasario mėn. vietoj turėtų dukterinės bendrovės „Y“ 75 proc. balsų teisę suteikiančių akcijų (UAB „X“ šias akcijas įsigijo 2007 metais) mainais gavo UAB „Z“ išleistų naujų akcijų. Pagal PMĮ 42 str. 1 dalies nuostatas, UAB „X“ mainais gautų UAB „Z“ akcijų įsigijimo kaina yra ta pati, kokia buvo išmainytų bendrovės „Y“ akcijų įsigijimo kaina. </w:t>
      </w:r>
      <w:r w:rsidRPr="003E272C">
        <w:t xml:space="preserve">UAB „X“ mainais gautas UAB „Z“ akcijas 2011 metais pardavė kitam vienetui. </w:t>
      </w:r>
    </w:p>
    <w:p w14:paraId="071BD397" w14:textId="77777777" w:rsidR="003E272C" w:rsidRPr="003E272C" w:rsidRDefault="003E272C" w:rsidP="003E272C">
      <w:pPr>
        <w:pBdr>
          <w:top w:val="single" w:sz="4" w:space="1" w:color="auto"/>
          <w:left w:val="single" w:sz="4" w:space="4" w:color="auto"/>
          <w:bottom w:val="single" w:sz="4" w:space="1" w:color="auto"/>
          <w:right w:val="single" w:sz="4" w:space="4" w:color="auto"/>
        </w:pBdr>
        <w:ind w:firstLine="720"/>
        <w:jc w:val="both"/>
      </w:pPr>
      <w:r w:rsidRPr="003E272C">
        <w:t xml:space="preserve">UAB „X“ mainais gautų UAB „Z“ akcijų neišlaikė 3 metų, kaip tai nustatyta PMĮ 42 str. 10 dalyje, todėl tokie akcijų mainai apmokestinami kaip akcijų pardavimas tą mokestinį laikotarpį, kurį jie buvo atlikti. UAB „X“ už perleistas bendrovės „Y“ akcijas apskaičiuotas turto vertės padidėjimo pajamas (mainais perleistų bendrovės „Y“ akcijų įsigijimo kainos ir jų rinkos kainos skirtumą) turi priskirti 2009 mokestinių metų apmokestinamosioms pajamoms. </w:t>
      </w:r>
    </w:p>
    <w:p w14:paraId="5190F93C" w14:textId="77777777" w:rsidR="003E272C" w:rsidRPr="003E272C" w:rsidRDefault="003E272C" w:rsidP="003E272C">
      <w:pPr>
        <w:pBdr>
          <w:top w:val="single" w:sz="4" w:space="1" w:color="auto"/>
          <w:left w:val="single" w:sz="4" w:space="4" w:color="auto"/>
          <w:bottom w:val="single" w:sz="4" w:space="1" w:color="auto"/>
          <w:right w:val="single" w:sz="4" w:space="4" w:color="auto"/>
        </w:pBdr>
        <w:ind w:firstLine="720"/>
        <w:jc w:val="both"/>
      </w:pPr>
      <w:r w:rsidRPr="003E272C">
        <w:t xml:space="preserve">Kadangi minėti akcijų mainai 2009 metais buvo apmokestinti kaip akcijų pardavimas, tai UAB „X“ mainais gautų UAB „Z“ akcijų įsigijimo kaina yra išmainytų bendrovės „Y“ tikroji rinkos kaina. UAB „X“ perleidus UAB „Z“ akcijas kitam vienetui ar fiziniams asmeniui, turto vertės padidėjimo pajamos už perleistas akcijas apskaičiuojamos PMĮ 16 str. 1 dalyje nustatyta tvarka (t.y. 2009 metais </w:t>
      </w:r>
      <w:r w:rsidRPr="003E272C">
        <w:lastRenderedPageBreak/>
        <w:t xml:space="preserve">pelno mokesčio apskaičiavimo tikslais nustatytos UAB „Z“ akcijų įsigijimo kainos ir jų pardavimo kainos skirtumas). Turto vertės padidėjimo pajamos už perleistas UAB „Z“ akcijas galėtų būti priskiriamos UAB „X“ 2011 mokestinių metų neapmokestinamosioms pajamoms, jei UAB „X“ ne trumpiau kaip 2 metus be pertraukų turėtų daugiau kaip 25 proc. UAB „Z“ balsų teisę suteikiančių akcijų iki jų pardavimo. </w:t>
      </w:r>
    </w:p>
    <w:p w14:paraId="41B6412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2. UAB „X“ 2005 metais įsigijo 75 proc. balsus suteikiančių UAB „Y“ akcijų, kurių įsigijimo kaina 100 000 Lt. 2009 metais dėl akcijų mainų pagal PMĮ 41 str. 2 d. 7 punktą, UAB „X“  už UAB „Y“ akcijas mainais gavo UAB „Z“ išleistų naujos emisijos akcijų. 2010 m. balandžio mėn. UAB „X“ UAB „Z“ akcijas pardavė kitam vienetui už 125 000 Lt. Kadangi UAB „X“ mainais gautų UAB „Z“ akcijų neišlaikė 3 metų, kaip tai nustatyta PMĮ 42 str. 10 dalyje, tai pelno mokesčio apskaičiavimo tikslais tokie akcijų mainai laikomi išmainytų akcijų (t.y. UAB „Y“ akcijų) pardavimu už jų tikrąją rinkos kainą mainais gautų UAB „Z“ akcijų įsigijimo nuosavybėn dieną (UAB „Y“ akcijų rinkos kaina akcijų mainų metu – 120 000 Lt). UAB „X“ 2009 metų apmokestinamosiomis turto vertės padidėjimo pajamomis turėtų pripažinti 20 000 Lt (UAB „Y“ akcijų įsigijimo kainos ir jų rinkos kainos skirtumą). Tačiau atsižvelgiant į tai, kad UAB „X“ iki akcijų mainų ne trumpiau kaip 3 metus be pertraukų (nuo 2005 metų) turėjo daugiau kaip 25 proc. balsus suteikiančių UAB „Y“ akcijų, todėl taikoma PMĮ 12 str. 15 punkte nustatyta lengvata - turto vertės padidėjimo pajamos už perleistas UAB „Y“ akcijas (mainais į UAB „Z“ akcijas) priskiriamos UAB „X“ 2009 mokestinių metų neapmokestinamosioms pajamoms. 2010 metais už parduotas UAB „Z“ akcijas apmokestinamosioms pajamoms turi būti priskiriama 5000 Lt (iš 125 000 Lt šių akcijų pardavimo kainos atėmus jų įsigijimo kainą – 120 000 Lt (t.y. apskaičiuotą UAB „Z“ akcijų tikrąją rinkos kainą, neatsižvelgiant į tai, kad 20 000 Lt turto vertės padidėjimo pajamų dėl akcijų kainų skirtumo 2009 metais nebuvo priskiriamos apmokestinamosioms pajamoms dėl PMĮ 12 str. 15 punkte nustatytos lengvatos).</w:t>
      </w:r>
    </w:p>
    <w:p w14:paraId="07EF0EAD"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3. UAB „X“ 2010 m. perleido veiklos dalį pagal PMĮ 41 str. 2 d. 6 punktą savo                                                                                                                                                                                                                                                                                                                                                                                                                                                                                  dukterinei bendrovei - UAB „Y“, kurios 100 proc. paprastųjų balsus suteikiančių akcijų įsigijo daugiau kaip prieš 2 metus. Už perleistą veiklos dalį bendrovė mainais gavo papildomą skaičių balsus suteikiančių UAB „Y“ akcijų. 2010 metais bendrovė „X“ 70 proc. turimų akcijų (įskaitant dėl veiklos perleidimo papildomai gautų akcijų dalį) pardavė kitam vienetui.</w:t>
      </w:r>
    </w:p>
    <w:p w14:paraId="7912C694"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Kadangi bendrovė „X“ iki veiklos perleidimo ne trumpiau kaip 2 metus be pertraukų turėjo daugiau kaip 25 proc. balsus suteikiančių akcijų, tai PMĮ 12 str. 15 punkte nustatyta lengvata dėl turto vertės padidėjimo pajamų už perleistas akcijas neapmokestinimo taip pat taikoma dėl veiklos perleidimo papildomai įsigytoms UAB „Y“ akcijoms. Tačiau atsižvelgiant į tai, kad bendrovė „X“ neišlaikė už perleistą veiklą gautų akcijų 3 metus, kaip tai nustatyta PMĮ 42 str. 10 dalyje, nelaikoma, kad veiklos perleidimas buvo atliktas pagal PMĮ 41 str. 2 d. 6 punktą ir PMĮ 42 str. 5 dalies nuostatos netaikomos. Pelno mokesčio apskaičiavimo tikslais laikoma, kad bendrovė „X“ pardavė veiklos dalį už jos tikrąją rinkos kainą mainais gautų UAB „Y“ akcijų įsigijimo nuosavybėn dieną. UAB „X“ gautų UAB „Y“ akcijų įsigijimo kaina yra perleistos veiklos tikroji rinkos kaina. Kadangi veiklos perleidimas apmokestinamas kaip pardavimo sandoris, tai UAB „Y“ gali netaikyti PMĮ 42 str. 5 dalies nuostatų kartu su veikla įsigytam turtui ir patikslinti to turto įsigijimo kainas. </w:t>
      </w:r>
    </w:p>
    <w:p w14:paraId="605923C2"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4. UAB „X“ įsigijo 5000 vnt. (100 proc.) UAB „Z“ balsus suteikiančių akcijų, už kurias sumokėjo 100 000 Lt. UAB „A“, siekdama kontroliuoti UAB „Z“, 2010 metais PMĮ 41 str. 2 d. 7 punkte nustatytu akcijų keitimo būdu iš UAB „X“ įsigijo visas UAB „Z“ akcijas, už 4000 vnt. savo išleistų naujų akcijų, kurių 115 000 Lt emisijos kaina atitiko gautų UAB „Z“ akcijų rinkos kainą. UAB „A“ 2010 metais įsigytų UAB „Z“ akcijų įsigijimo kaina – laikoma 115 000 Lt.</w:t>
      </w:r>
    </w:p>
    <w:p w14:paraId="56BDBD64"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UAB „A“ įsigytų UAB „Z“ akcijų neišlaikė 3 metus - 2011 metais visas jas pardavė, todėl minėtas akcijų keitimas nelaikomas įvykusiu pagal PMĮ 41 str. 2 d. 7 punktą. Tokiu atveju UAB „A“ gautų UAB „Z“ akcijų įsigijimo kaina nustatoma taikant PMĮ 14 str. 4 dalies nuostatas, t.y. laikoma, </w:t>
      </w:r>
      <w:r w:rsidRPr="003E272C">
        <w:lastRenderedPageBreak/>
        <w:t xml:space="preserve">kad UAB „A“ išleistas naujos emisijos akcijas UAB „X“ apmokėjo turtu (UAB „Z“ akcijomis). Remiantis PMĮ 14 str. 4 dalimi, UAB „A“ 2010 metais įsigytų UAB „Z“ akcijų įsigijimo kaina yra ta pati, už kurią tas akcijas įsigijo UAB „X“, t.y. 100 000 Lt. Todėl UAB „A“ 2011 metais pardavus UAB „Z“ akcijas už 116 000 Lt, apskaičiuojant turto vertės padidėjimo pajamas pagal PMĮ 16 str. 1 dalies nuostatas, iš 116 000 Lt pajamų atimama 100 000 Lt tų akcijų įsigijimo kaina. </w:t>
      </w:r>
    </w:p>
    <w:p w14:paraId="48177F18"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nl-NL"/>
        </w:rPr>
      </w:pPr>
      <w:r w:rsidRPr="003E272C">
        <w:t>5. UAB „A“ 2 metus turėjo 35 proc. (1000 vnt.) UAB „B“ balsų teisę suteikiančių akcijų, kurių įsigijimo kaina 35 000 Lt. 2009 m. vasario mėn. UAB „B“ PMĮ 41 str. 2 d. 5 punkte nurodytu atveju perleido veiklos dalį UAB „C“. UAB „A“ vietoj turėtų 5 proc. (50 vnt.) UAB „B“ akcijų (jų įsigijimo kaina 1750 Lt) mainais gavo UAB „C“ akcijų, kurių įsigijimo kaina ta pati kaip UAB „B“ akcijų. 2010 m. balandžio mėn. UAB „C“ buvo reorganizuota PMĮ 41 str. 2 d. 4 punkte nustatytu padalijimo būdu ir UAB „A“ už turėtas UAB „C“ akcijas mainais gavo UAB „D“ ir UAB „E“ akcijų. UAB „A“ mainais gautų UAB „D“ ir UAB „E“ akcijų įsigijimo kaina -1750 Lt, t.y. ta pati kaip UAB „C“ akcijų. UAB „C“ akcijų rinkos kaina mainų metu - 2500 Lt.</w:t>
      </w:r>
    </w:p>
    <w:p w14:paraId="4873866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rPr>
          <w:lang w:val="nl-NL"/>
        </w:rPr>
        <w:t xml:space="preserve">Kadangi </w:t>
      </w:r>
      <w:r w:rsidRPr="003E272C">
        <w:t xml:space="preserve">UAB „A“ mainais gautas UAB „C“ akcijas išmainė į UAB „D“ ir UAB „E“ akcijas dėl UAB „C“ reorganizavimo, todėl pagal PMĮ 42 str. 10 dalies nuostatas tokie mainai apmokestinamuoju sandoriu nelaikomi, neatsižvelgiant į tai, kad UAB „A“ mainais gautų UAB „C“ akcijų neišlaikė 3 metus. </w:t>
      </w:r>
    </w:p>
    <w:p w14:paraId="12F8BABF"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Po metų nuo reorganizavimo UAB „A“ už 3000 Lt pardavė UAB „D“ ir UAB „E“ akcijas. Tokiu atveju laikoma, kad UAB „A“ 2010 m. balandžio mėn. už UAB „C“ akcijas mainais gautų UAB „D“ ir UAB „E“ akcijų neišlaikė 3 metus, kaip tai nustatyta 42 str. 10 dalyje. Todėl UAB „A“ 2010 m. balandžio mėn. atlikti akcijų mainai, laikomi išmainytų UAB „C” akcijų pardavimu už jų tikrąją rinkos kainą (2500 Lt). UAB „A“ 2010 metų apmokestinamosiomis turto vertės padidėjimo pajamomis turės pripažinti 750 Lt (UAB „C“ akcijų įsigijimo kainos ir jų rinkos kainos skirtumą).</w:t>
      </w:r>
    </w:p>
    <w:p w14:paraId="6B20FF3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Už parduotas UAB „D“ ir UAB „E“ akcijas - 500 Lt turto vertės padidėjimo pajamų (iš 3000 Lt akcijų pardavimo kainos atėmus jų įsigijimo kainą - 2500 Lt) priskiriama 2011 metų apmokestinamosioms pajamoms.</w:t>
      </w:r>
    </w:p>
    <w:p w14:paraId="6BEC966F"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6. 2005 m. UAB „X“, Lietuvos vienetas, kartu su įmone X-1, užsienio vienetu, įsigijo 100 proc. bendrovės „Y“ balsų teisę suteikiančių akcijų, kurių įsigijimo kaina 100 000 Lt. UAB „X“ įsigijo 10 proc. akcijų, o įmonė X-1 – 90 proc. akcijų.</w:t>
      </w:r>
    </w:p>
    <w:p w14:paraId="6E54010E"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UAB „Y“, taikydama PMĮ 41 str. 2 d. 5 punkto nuostatas, 2009 m. perleido veiklos dalį UAB „Z“. UAB „X“ ir įmonė X-1 už perleistą UAB „Y“ veiklos dalį mainais gavo UAB „Z“ akcijų: įmonė X-1 gavo 90%, o UAB „X“ - 10% UAB „Z“ akcijų. </w:t>
      </w:r>
    </w:p>
    <w:p w14:paraId="27B9631C"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2010 m. balandžio mėn. įmonė X-1 UAB „Z“ akcijas pardavė kitam vienetui už 250 000 Lt</w:t>
      </w:r>
      <w:r w:rsidRPr="003E272C">
        <w:rPr>
          <w:color w:val="FF0000"/>
        </w:rPr>
        <w:t>.</w:t>
      </w:r>
      <w:r w:rsidRPr="003E272C">
        <w:t xml:space="preserve"> UAB „X“ savo turimų UAB „Z“ akcijų neperleido.</w:t>
      </w:r>
    </w:p>
    <w:p w14:paraId="0E1BE7BE"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Įmonė X-1 mainais gautų UAB „Z“ akcijų neišlaikė 3 metus, kaip tai nustatyta PMĮ 42 str. 10 dalyje, todėl pelno mokesčio apskaičiavimo tikslu tokie akcijų mainai laikomi išmainytų akcijų (t.y. UAB „Y“ akcijų) pardavimu už jų tikrąją rinkos kainą mainais gautų UAB „Z“ akcijų įsigijimo nuosavybėn dieną. Tačiau, atsižvelgiant į tai, jog įmonė X-1 yra užsienio vienetas, įmonės X-1 turto vertės padidėjimo pajamos dėl anksčiau įvykusių akcijų mainų nėra apmokestinamos Lietuvos Respublikoje. UAB „X“ savo turimų UAB „Z“ akcijų nepardavė, todėl anksčiau įvykę akcijų mainai, šiai bendrovei nelaikomi akcijų pardavimu. </w:t>
      </w:r>
    </w:p>
    <w:p w14:paraId="5F960AD6"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pPr>
      <w:r w:rsidRPr="003E272C">
        <w:t xml:space="preserve">Kadangi mainais gautas akcijas (dalis, pajus) jų neišlaikius 3 metus perleido vieneto dalyvis, tai vienetui dėl veiklos perleidimo pagal PMĮ 41 str. 2 d. 5 punktą mokestinių prievolių neatsiranda </w:t>
      </w:r>
      <w:r w:rsidRPr="003E272C">
        <w:lastRenderedPageBreak/>
        <w:t xml:space="preserve">(turto vertės padidėjimo pajamos dėl veiklos perleidimo nebus laikomos UAB „Y“ apmokestinamosiomis pajamomis). </w:t>
      </w:r>
    </w:p>
    <w:p w14:paraId="1A2A9108" w14:textId="77777777" w:rsidR="003E272C" w:rsidRPr="003E272C" w:rsidRDefault="003E272C" w:rsidP="003E272C">
      <w:pPr>
        <w:spacing w:before="100" w:beforeAutospacing="1" w:after="100" w:afterAutospacing="1"/>
        <w:ind w:firstLine="720"/>
        <w:jc w:val="both"/>
        <w:rPr>
          <w:lang w:val="lt-LT"/>
        </w:rPr>
      </w:pPr>
      <w:r w:rsidRPr="003E272C">
        <w:rPr>
          <w:iCs/>
          <w:lang w:val="nb-NO"/>
        </w:rPr>
        <w:t xml:space="preserve">(Pagal </w:t>
      </w:r>
      <w:r w:rsidRPr="003E272C">
        <w:rPr>
          <w:lang w:val="lt-LT"/>
        </w:rPr>
        <w:t>VMI prie FM 2012-05-29 raštą Nr. (18.10-31-1)-R-4687)</w:t>
      </w:r>
    </w:p>
    <w:p w14:paraId="6E0A98D9" w14:textId="77777777" w:rsidR="003E272C" w:rsidRPr="0065344A" w:rsidRDefault="003E272C" w:rsidP="003E272C">
      <w:pPr>
        <w:tabs>
          <w:tab w:val="left" w:pos="720"/>
          <w:tab w:val="left" w:pos="1077"/>
          <w:tab w:val="left" w:pos="1418"/>
        </w:tabs>
        <w:ind w:firstLine="720"/>
        <w:jc w:val="both"/>
        <w:rPr>
          <w:rFonts w:ascii="TimesLT" w:hAnsi="TimesLT" w:cs="Arial Unicode MS"/>
          <w:lang w:val="lt-LT"/>
        </w:rPr>
      </w:pPr>
      <w:r w:rsidRPr="0065344A">
        <w:rPr>
          <w:rFonts w:ascii="TimesLT" w:hAnsi="TimesLT" w:cs="Arial Unicode MS"/>
          <w:lang w:val="lt-LT"/>
        </w:rPr>
        <w:t>7 pavyzdys</w:t>
      </w:r>
    </w:p>
    <w:p w14:paraId="2796BED6" w14:textId="77777777" w:rsidR="003E272C" w:rsidRPr="003E272C" w:rsidRDefault="003E272C" w:rsidP="003E272C">
      <w:pPr>
        <w:pBdr>
          <w:top w:val="single" w:sz="4" w:space="1" w:color="auto"/>
          <w:left w:val="single" w:sz="4" w:space="4" w:color="auto"/>
          <w:bottom w:val="single" w:sz="4" w:space="1" w:color="auto"/>
          <w:right w:val="single" w:sz="4" w:space="4" w:color="auto"/>
        </w:pBdr>
        <w:spacing w:after="0"/>
        <w:ind w:firstLine="720"/>
        <w:jc w:val="both"/>
        <w:rPr>
          <w:lang w:val="lt-LT" w:eastAsia="lt-LT"/>
        </w:rPr>
      </w:pPr>
      <w:r w:rsidRPr="003E272C">
        <w:rPr>
          <w:lang w:val="lt-LT" w:eastAsia="lt-LT"/>
        </w:rPr>
        <w:t xml:space="preserve">Bendrovė X, kurios 100 proc. akcijų valdo bendrovė Y, užsiima energijos gamyba. 2012 metais bendrovė X energijos perdavimo veiklos dalį perleido bendrovei Z pagal PMĮ 41 str. 2 d. 5 punktą. Dėl šio perleidimo bendrovė Y mainais gavo daugiau kaip 80 proc. bendrovės Z akcijų ir įgijo teisę kontroliuoti bendrovę Z (t.y. valdyti jos finansinę ir ūkinę veiklą siekiant gauti naudos). Pagal ES teisės aktų reikalavimus tas pats asmuo ar asmenys negali tiesiogiai ar netiesiogiai kontroliuoti įmonės, vykdančios energijos gamybą ir energijos perdavimo veiklą (t.y. bendrovė Y negali kontroliuoti bendrovės X, kuri gamina energiją ir bendrovės Z, kuri vykdo energijos perdavimo veiklą). Todėl bendrovė Y, siekdama įgyvendinti ES teisės aktų reikalavimus, Lietuvoje priimtų teisės aktų pagrindu turimas bendrovės Z akcijas 2014 metais pardavė trečiajam asmeniui. Bendrovė Y neturi apmokestinti turto vertės padidėjimo pajamų iš dukterinės bendrovės Z akcijų pardavimo, neatsižvelgiant į tai, kad jos nebuvo išlaikytos PMĮ 42 str. 10 dalyje nustatytą 3 metų laikotarpį, nes akcijos buvo perleistos dėl teisės aktų reikalavimų. </w:t>
      </w:r>
    </w:p>
    <w:p w14:paraId="5D23D0E9" w14:textId="77777777" w:rsidR="003E272C" w:rsidRPr="003E272C" w:rsidRDefault="003E272C" w:rsidP="003E272C">
      <w:pPr>
        <w:spacing w:after="0"/>
        <w:ind w:firstLine="720"/>
        <w:jc w:val="both"/>
        <w:rPr>
          <w:lang w:val="lt-LT" w:eastAsia="lt-LT"/>
        </w:rPr>
      </w:pPr>
      <w:r w:rsidRPr="003E272C">
        <w:rPr>
          <w:iCs/>
          <w:lang w:val="nb-NO" w:eastAsia="lt-LT"/>
        </w:rPr>
        <w:t xml:space="preserve">(Pagal </w:t>
      </w:r>
      <w:r w:rsidRPr="003E272C">
        <w:rPr>
          <w:lang w:val="lt-LT" w:eastAsia="lt-LT"/>
        </w:rPr>
        <w:t>VMI prie FM 2014-04-15 raštą Nr. (18.9-31-1)-RM-5298)</w:t>
      </w:r>
    </w:p>
    <w:p w14:paraId="42126B30" w14:textId="77777777" w:rsidR="003E272C" w:rsidRPr="003E272C" w:rsidRDefault="003E272C" w:rsidP="003E272C">
      <w:pPr>
        <w:spacing w:after="0"/>
        <w:ind w:firstLine="720"/>
        <w:jc w:val="both"/>
        <w:rPr>
          <w:lang w:val="lt-LT" w:eastAsia="lt-LT"/>
        </w:rPr>
      </w:pPr>
    </w:p>
    <w:p w14:paraId="57A6E388"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5. Šioje dalyje nustatytas reikalavimas trejus metus išlaikyti PMĮ 41 str. 2 d. 4, 5, 6 ir 7 punktuose nustatytais atvejais mainais gautas akcijas (dalis, pajus) netaikomas, jei taip mainais gavus akcijas, jos vėliau vėl mainomos atliekant vėlesnį reorganizavimą, perleidimą ar akcijų mainus pagal šių punktų nuostatas. </w:t>
      </w:r>
    </w:p>
    <w:p w14:paraId="3873C31B"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Pavyzdys </w:t>
      </w:r>
    </w:p>
    <w:p w14:paraId="4C10AF76"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ab/>
        <w:t xml:space="preserve">UAB ,,A“, siekdama kontroliuoti kitą vienetą, iš UAB ,,B“ PMĮ 41 str. 2 d. 7 punkte aprašytu būdu įsigijo daugiau kaip 2/3 to kito vieneto balsavimo teisę suteikiančių akcijų, mainais į savo išleistas naujos emisijos akcijas. Praėjus 2 metams, UAB ,,A“ buvo reorganizuota PMĮ 41 str. 2 d. 4 punkte numatytu padalijimo būdu (visas UAB ,,A“ turtas, teisės ir pareigos buvo padalinti ir perduoti dviem naujai sukurtiems vienetams - UAB ,,Y“ ir UAB ,,Z“). UAB ,,B“, kaip UAB ,,A“ dalyvė, vietoj turėtų šios bendrovės akcijų proporcingai mainais gavo UAB ,,Y“ ir UAB ,,Z“ akcijų. </w:t>
      </w:r>
    </w:p>
    <w:p w14:paraId="372814BD" w14:textId="77777777" w:rsidR="003E272C" w:rsidRPr="003E272C" w:rsidRDefault="003E272C" w:rsidP="003E272C">
      <w:pPr>
        <w:pBdr>
          <w:top w:val="single" w:sz="4" w:space="1" w:color="auto"/>
          <w:left w:val="single" w:sz="4" w:space="4" w:color="auto"/>
          <w:bottom w:val="single" w:sz="4" w:space="1" w:color="auto"/>
          <w:right w:val="single" w:sz="4" w:space="4" w:color="auto"/>
        </w:pBdr>
        <w:tabs>
          <w:tab w:val="left" w:pos="720"/>
          <w:tab w:val="left" w:pos="1077"/>
          <w:tab w:val="left" w:pos="1418"/>
          <w:tab w:val="left" w:pos="3360"/>
        </w:tabs>
        <w:ind w:firstLine="720"/>
        <w:jc w:val="both"/>
        <w:rPr>
          <w:rFonts w:ascii="TimesLT" w:hAnsi="TimesLT" w:cs="Arial Unicode MS"/>
          <w:lang w:val="nl-NL"/>
        </w:rPr>
      </w:pPr>
      <w:r w:rsidRPr="003E272C">
        <w:rPr>
          <w:rFonts w:ascii="TimesLT" w:hAnsi="TimesLT" w:cs="Arial Unicode MS"/>
          <w:lang w:val="nl-NL"/>
        </w:rPr>
        <w:tab/>
        <w:t>Atsižvelgiant į tai, kad UAB ,,B“ turėtos UAB ,,A“ akcijos buvo išmainytos dėl UAB ,,A“ reorganizavimo pagal PMĮ 41 str. 2 d. 4 punktą, UAB ,,B“ taikoma PMĮ 42 str. 10 dalyje nustatyta išimtis dėl UAB ,,A“ akcijų išlaikymo trejus metus. Tačiau mainais gautoms UAB ,,Y“ ir UAB ,,Z“ akcijoms PMĮ 42 str. 1 dalies nuostata dėl turto vertės padidėjimo pajamų neapmokestinimo galios tik tuo atveju, jei šios akcijos nuo jų perėjimo UAB ,,B“ nuosavybėn datos bus išlaikytos trejus metus.</w:t>
      </w:r>
    </w:p>
    <w:p w14:paraId="17B06C75" w14:textId="77777777" w:rsidR="003E272C" w:rsidRPr="003E272C" w:rsidRDefault="003E272C" w:rsidP="003E272C">
      <w:pPr>
        <w:tabs>
          <w:tab w:val="left" w:pos="720"/>
          <w:tab w:val="left" w:pos="1077"/>
          <w:tab w:val="left" w:pos="1418"/>
        </w:tabs>
        <w:ind w:firstLine="720"/>
        <w:jc w:val="both"/>
        <w:rPr>
          <w:rFonts w:ascii="TimesLT" w:hAnsi="TimesLT" w:cs="Arial Unicode MS"/>
          <w:lang w:val="nl-NL"/>
        </w:rPr>
      </w:pPr>
      <w:r w:rsidRPr="003E272C">
        <w:rPr>
          <w:rFonts w:ascii="TimesLT" w:hAnsi="TimesLT" w:cs="Arial Unicode MS"/>
          <w:lang w:val="nl-NL"/>
        </w:rPr>
        <w:t xml:space="preserve">6. Šios dalies reikalavimas trejus metus išlaikyti PMĮ 41 str. 2 d. 4, 5, 6 ir 7 punktuose nustatytais atvejais mainais gautas akcijas netaikomas, kai šių akcijų emitentas mažina įstatinį kapitalą Lietuvos Respublikos akcinių bendrovių įstatyme nustatyta tvarka. </w:t>
      </w:r>
    </w:p>
    <w:p w14:paraId="663D7727" w14:textId="77777777" w:rsidR="00093845" w:rsidRDefault="000D779E" w:rsidP="00CE6C73">
      <w:pPr>
        <w:spacing w:after="0"/>
        <w:ind w:firstLine="720"/>
        <w:jc w:val="both"/>
        <w:rPr>
          <w:lang w:val="nl-NL"/>
        </w:rPr>
      </w:pPr>
      <w:r>
        <w:rPr>
          <w:lang w:val="nl-NL"/>
        </w:rPr>
        <w:tab/>
      </w:r>
    </w:p>
    <w:p w14:paraId="5F110B47" w14:textId="77777777" w:rsidR="00093845" w:rsidRDefault="000D779E">
      <w:pPr>
        <w:pStyle w:val="Style1"/>
        <w:rPr>
          <w:rFonts w:ascii="Times New Roman" w:hAnsi="Times New Roman"/>
          <w:b/>
          <w:bCs/>
        </w:rPr>
      </w:pPr>
      <w:r>
        <w:rPr>
          <w:rFonts w:ascii="Times New Roman" w:hAnsi="Times New Roman"/>
          <w:b/>
          <w:bCs/>
        </w:rPr>
        <w:t>11. Šio Įstatymo 41 straipsnyje nustatytais atvejais pinigais apmokėtas akcijų kainų skirtumas priskiriamas jį gavusio vieneto dalyvio pajamoms.</w:t>
      </w:r>
    </w:p>
    <w:p w14:paraId="2BEA8327" w14:textId="77777777" w:rsidR="00093845" w:rsidRDefault="000D779E">
      <w:pPr>
        <w:ind w:firstLine="720"/>
        <w:jc w:val="both"/>
        <w:rPr>
          <w:b/>
          <w:bCs/>
          <w:lang w:val="lt-LT"/>
        </w:rPr>
      </w:pPr>
      <w:r>
        <w:rPr>
          <w:b/>
          <w:bCs/>
          <w:lang w:val="lt-LT"/>
        </w:rPr>
        <w:t>Komentaras</w:t>
      </w:r>
    </w:p>
    <w:p w14:paraId="5EB63945" w14:textId="77777777" w:rsidR="0014647B" w:rsidRDefault="000D779E">
      <w:pPr>
        <w:pStyle w:val="Pagrindiniotekstotrauka2"/>
        <w:tabs>
          <w:tab w:val="left" w:pos="720"/>
          <w:tab w:val="left" w:pos="1077"/>
          <w:tab w:val="left" w:pos="1418"/>
        </w:tabs>
        <w:spacing w:line="240" w:lineRule="auto"/>
        <w:rPr>
          <w:b w:val="0"/>
        </w:rPr>
      </w:pPr>
      <w:r>
        <w:rPr>
          <w:b w:val="0"/>
        </w:rPr>
        <w:t xml:space="preserve">Kai PMĮ 41 str. 2 dalyje nustatytais reorganizavimo ar perleidimo atvejais keičiant įsigyjančiojo vieneto akcijas į įsigyjančiųjų vienetų akcijas, akcijų kainų skirtumas apmokamas </w:t>
      </w:r>
      <w:r>
        <w:rPr>
          <w:b w:val="0"/>
        </w:rPr>
        <w:lastRenderedPageBreak/>
        <w:t>pinigais (tačiau ne daugiau kaip 10 procentų įsigyjančiojo vieneto akcijų nominalios vertės, o jei nominalios vertės nėra, - akcijų balansinės vertės), tai pinigais apmokėtas akcijų kainų skirtumas priskiriamas jį gavusio vieneto dalyvio pajamoms.“</w:t>
      </w:r>
    </w:p>
    <w:p w14:paraId="53957C67" w14:textId="22565099" w:rsidR="00093845" w:rsidRDefault="0014647B" w:rsidP="007E08F1">
      <w:pPr>
        <w:pStyle w:val="Pagrindiniotekstotrauka2"/>
        <w:tabs>
          <w:tab w:val="left" w:pos="720"/>
          <w:tab w:val="left" w:pos="1077"/>
          <w:tab w:val="left" w:pos="1418"/>
        </w:tabs>
        <w:spacing w:line="240" w:lineRule="auto"/>
        <w:rPr>
          <w:b w:val="0"/>
          <w:iCs/>
        </w:rPr>
      </w:pPr>
      <w:r>
        <w:rPr>
          <w:b w:val="0"/>
          <w:iCs/>
        </w:rPr>
        <w:t>(P</w:t>
      </w:r>
      <w:r w:rsidR="000D779E">
        <w:rPr>
          <w:b w:val="0"/>
          <w:iCs/>
        </w:rPr>
        <w:t>agal VMI prie FM 2006-10-11 raštą Nr. (18.10-31-1)-R-8798)</w:t>
      </w:r>
      <w:bookmarkStart w:id="559" w:name="_43_straipsnis._Nuostoliai"/>
      <w:bookmarkStart w:id="560" w:name="straipsnis43_2"/>
      <w:bookmarkEnd w:id="559"/>
    </w:p>
    <w:p w14:paraId="645EC4D6" w14:textId="77777777" w:rsidR="007E08F1" w:rsidRPr="007E08F1" w:rsidRDefault="007E08F1" w:rsidP="007E08F1">
      <w:pPr>
        <w:pStyle w:val="Pagrindiniotekstotrauka2"/>
        <w:tabs>
          <w:tab w:val="left" w:pos="720"/>
          <w:tab w:val="left" w:pos="1077"/>
          <w:tab w:val="left" w:pos="1418"/>
        </w:tabs>
        <w:spacing w:line="240" w:lineRule="auto"/>
        <w:rPr>
          <w:b w:val="0"/>
          <w:bCs w:val="0"/>
        </w:rPr>
      </w:pPr>
    </w:p>
    <w:p w14:paraId="28D26E0F" w14:textId="77777777" w:rsidR="00093845" w:rsidRDefault="000D779E" w:rsidP="00DB7D41">
      <w:pPr>
        <w:pStyle w:val="Antrat1"/>
        <w:spacing w:after="0"/>
        <w:jc w:val="both"/>
        <w:rPr>
          <w:rFonts w:ascii="Times New Roman" w:hAnsi="Times New Roman" w:cs="Tahoma"/>
          <w:lang w:val="lt-LT"/>
        </w:rPr>
      </w:pPr>
      <w:r>
        <w:rPr>
          <w:rFonts w:ascii="Times New Roman" w:hAnsi="Times New Roman"/>
          <w:bCs w:val="0"/>
          <w:color w:val="000000"/>
          <w:lang w:val="lt-LT"/>
        </w:rPr>
        <w:t>43 STRAIPSNIS. Nuostoliai vienetų reorganizavimo, perleidimo, pertvarkymo atvejais</w:t>
      </w:r>
      <w:bookmarkEnd w:id="560"/>
    </w:p>
    <w:p w14:paraId="2BD50BD8" w14:textId="77777777" w:rsidR="00093845" w:rsidRPr="0014647B" w:rsidRDefault="000D779E" w:rsidP="00DB7D41">
      <w:pPr>
        <w:spacing w:after="0"/>
        <w:jc w:val="both"/>
        <w:rPr>
          <w:i/>
          <w:color w:val="000000"/>
          <w:lang w:val="lt-LT"/>
        </w:rPr>
      </w:pPr>
      <w:r w:rsidRPr="0014647B">
        <w:rPr>
          <w:i/>
          <w:lang w:val="lt-LT"/>
        </w:rPr>
        <w:t>(</w:t>
      </w:r>
      <w:r w:rsidRPr="0014647B">
        <w:rPr>
          <w:i/>
          <w:color w:val="000000"/>
          <w:lang w:eastAsia="lt-LT"/>
        </w:rPr>
        <w:t>KEISTA: 2007 05 03 įstatymu Nr. X-1110 (nuo 2007 05 19)</w:t>
      </w:r>
      <w:r w:rsidR="00E34925" w:rsidRPr="0014647B">
        <w:rPr>
          <w:i/>
          <w:color w:val="000000"/>
          <w:lang w:eastAsia="lt-LT"/>
        </w:rPr>
        <w:t>,</w:t>
      </w:r>
      <w:r w:rsidR="00775AFA" w:rsidRPr="0014647B">
        <w:rPr>
          <w:i/>
        </w:rPr>
        <w:t xml:space="preserve"> </w:t>
      </w:r>
      <w:r w:rsidR="00775AFA" w:rsidRPr="0014647B">
        <w:rPr>
          <w:i/>
          <w:color w:val="000000"/>
          <w:lang w:eastAsia="lt-LT"/>
        </w:rPr>
        <w:t>taikoma apskaičiuojant 2007 metais prasidėjusio mokestinio laikotarpio ir vėlesnių mokestinių laikotarpių apmokestinamąjį pelną</w:t>
      </w:r>
      <w:r w:rsidRPr="0014647B">
        <w:rPr>
          <w:i/>
          <w:color w:val="000000"/>
          <w:lang w:val="lt-LT"/>
        </w:rPr>
        <w:t>)</w:t>
      </w:r>
    </w:p>
    <w:p w14:paraId="27342181" w14:textId="77777777" w:rsidR="00093845" w:rsidRDefault="000D779E">
      <w:pPr>
        <w:pStyle w:val="Pagrindiniotekstotrauka"/>
        <w:ind w:firstLine="529"/>
        <w:rPr>
          <w:b/>
          <w:lang w:val="lt-LT"/>
        </w:rPr>
      </w:pPr>
      <w:r>
        <w:rPr>
          <w:b/>
          <w:lang w:val="lt-LT"/>
        </w:rPr>
        <w:t>1. Reorganizavimo ar perleidimo atvejais, jeigu šiame straipsnyje nenustatyta kitaip, įsigyjamojo ar perleidžiančiojo vieneto ar vienetų mokestinio laikotarpio nuostolius (išskyrus vienetų (ne finansų įstaigų) nuostolius dėl vertybinių popierių ir (arba) išvestinių finansinių priemonių perleidimo), susidariusius iki reorganizavimo ar perleidimo pabaigos ir šio Įstatymo nustatyta tvarka neperkeltus į kitus metus, tęsiant šių nuostolių perkėlimą, gali perkelti įsigyjantysis vienetas ar vienetai, jei įsigyjantysis vienetas ar vienetai tęsia perimtą veiklą ar veiklos dalį ne trumpesnį kaip 3 metų laikotarpį. Įsigyjančiajam vienetui ar vienetams gali būti perduodami tik su įsigyjamojo ar perleidžiančiojo vieneto ar vienetų perleista ir įsigyjančiajame vienete tęsiama veikla ar veiklos dalimi susiję mokestinių laikotarpių nuostoliai.</w:t>
      </w:r>
    </w:p>
    <w:p w14:paraId="15F62902" w14:textId="77777777" w:rsidR="00093845" w:rsidRDefault="000D779E" w:rsidP="00D75044">
      <w:pPr>
        <w:pStyle w:val="Pagrindiniotekstotrauka"/>
        <w:rPr>
          <w:b/>
          <w:lang w:val="lt-LT"/>
        </w:rPr>
      </w:pPr>
      <w:r>
        <w:rPr>
          <w:b/>
          <w:lang w:val="lt-LT"/>
        </w:rPr>
        <w:t>Komentaras</w:t>
      </w:r>
    </w:p>
    <w:p w14:paraId="1F8FEEB8"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i/>
          <w:sz w:val="24"/>
          <w:szCs w:val="24"/>
          <w:lang w:val="lt-LT"/>
        </w:rPr>
        <w:tab/>
      </w:r>
      <w:r>
        <w:rPr>
          <w:rFonts w:ascii="Times New Roman" w:hAnsi="Times New Roman" w:cs="Times New Roman"/>
          <w:sz w:val="24"/>
          <w:szCs w:val="24"/>
          <w:lang w:val="lt-LT"/>
        </w:rPr>
        <w:t xml:space="preserve">1. PMĮ 41 str. 2 d. 1-6 ir 8 punktuose numatytais reorganizavimo ar perleidimo atvejais, įsigyjamas ar perleidžiantysis vienetas ar vienetai mokestinio laikotarpio nuostolius, susidariusius iki reorganizavimo ar perleidimo pabaigos ir PMĮ 30 straipsnyje nustatyta tvarka neperkeltus į kitus metus, šioje dalyje nustatytomis sąlygomis gali perduoti įsigyjančiajam vienetui ar vienetams. Įsigyjantysis vienetas gali tęsti šių nuostolių perkėlimą, jeigu ne trumpiau kaip 3 metus tęsia iš įsigyto ar perleidžiančio vieneto ar vienetų perimtą veiklą ar veiklos dalį. </w:t>
      </w:r>
    </w:p>
    <w:p w14:paraId="6FC5DD23"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2. Įsigyjančiajam vienetui gali būti perduodami tik su įsigyjamo ar perleidžiančiojo vieneto ar vienetų įsigyjančiajam vienetui perleista ir šiame vienete tęsiama veikla ar veiklos dalimi susiję mokestinių laikotarpių nuostoliai. Šios nuostatos netaikomos mokestiniams nuostoliams, susidariusiems dėl vertybinių popierių ir (arba) išvestinių finansinių priemonių perleidimo, išskyrus atvejus, kai įsigyjamas ar perleidžiantysis vienetas - finansų įstaiga. Finansų įstaigos sąvoka apibrėžta Lietuvos Respublikos finansų įstaigų įstatyme.</w:t>
      </w:r>
    </w:p>
    <w:p w14:paraId="14C16ED2"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3. Vieneto veiklos ar veiklos dalies perleidimo data yra ta data, kurią įsigyjamas ar perleidžiantysis vienetas įsigyjančiajam vienetui perdavė su ta veikla ar veiklos dalimi susijusį turtą, teises ir pareigas, t.y., kai perdavė su šiuo turtu susijusią riziką, naudą ir prievolę vykdyti to vieneto įsipareigojimus, susijusius su įsigyjama veikla ar veiklos dalimi. </w:t>
      </w:r>
    </w:p>
    <w:p w14:paraId="5BC51F5E"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4. Šioje dalyje nustatytas 3 metų laikotarpis prasideda nuo kitos dienos po tos kalendorinės datos, kurią įsigyjantysis vienetas perėmė įsigyjamo ar perleidžiančiojo vieneto ar vienetų veiklos dalį, ir pasibaigia po trejų metų - atitinkamą mėnesį ir dieną.</w:t>
      </w:r>
    </w:p>
    <w:p w14:paraId="34513204" w14:textId="77777777" w:rsidR="00093845" w:rsidRDefault="000D779E">
      <w:pPr>
        <w:pStyle w:val="HTMLiankstoformatuotas"/>
        <w:tabs>
          <w:tab w:val="left" w:pos="360"/>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5. Įsigyjančiojo vieneto perimta įsigyto ar perleidžiančiojo vieneto ar vienetų mokestinio laikotarpio nuostolių suma, apskaičiuojant apmokestinamąjį pelną, gali būti atskaitoma iš įsigyjančiojo vieneto pajamų pradedant tuo mokestiniu laikotarpiu, kurį jis perėmė veiklą ar veiklos dalį ir su ta veikla ar veiklos dalimi susijusius mokestinius nuostolius, jei veikla ar jos dalis bus tęsiama ne trumpesnį kaip 3 metų laikotarpį. </w:t>
      </w:r>
    </w:p>
    <w:p w14:paraId="29F88744"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6. Jei įsigyjantysis vienetas, perėmęs su jam perleista veikla ar veiklos dalimi susijusius mokestinio laikotarpio nuostolius, kurį laiką (pvz., vienerius ar dvejus metus) tą veiklą ar veiklos dalį </w:t>
      </w:r>
      <w:r>
        <w:rPr>
          <w:rFonts w:ascii="Times New Roman" w:hAnsi="Times New Roman" w:cs="Times New Roman"/>
          <w:sz w:val="24"/>
          <w:szCs w:val="24"/>
          <w:lang w:val="lt-LT"/>
        </w:rPr>
        <w:lastRenderedPageBreak/>
        <w:t>tęsia ir, apskaičiuodamas atitinkamų mokestinių laikotarpių apmokestinamąjį pelną, šių nuostolių sumas atskaito iš pajamų, o trečiaisiais metais perimtos veiklos nebetęsia, tai šios dalies nuostatos netaikomos. Tokiu atveju įsigyjantysis vienetas turi perskaičiuoti atitinkamų mokestinių laikotarpių apmokestinamąjį pelną ir mokesčių administratoriui pateikti patikslintas tų mokestinių laikotarpių metines pelno mokesčio deklaracijas.</w:t>
      </w:r>
    </w:p>
    <w:p w14:paraId="3E69FDF1"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1 pavyzdys</w:t>
      </w:r>
    </w:p>
    <w:p w14:paraId="033FCFE9"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UAB „A“ 2007 m. lapkričio 5 d. UAB „Z“ perleido veiklos dalį PMĮ 41 str. 2 d. 5 punkte nustatytomis sąlygomis. UAB „Z“, kurios mokestinis laikotarpis sutampa su kalendoriniais metais, toliau tą veiklą tęsė ir perėmė su ta veiklos dalimi susijusius mokestinius nuostolius. </w:t>
      </w:r>
    </w:p>
    <w:p w14:paraId="4217CA7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PMĮ 43 str. 1 dalies nuostatos būtų taikomos, jei UAB „Z“ tęstų perimtos veiklos dalį nuo 2007 m. lapkričio 6 d. iki 2010 m. lapkričio 5 d. (t.y. 3 metus).</w:t>
      </w:r>
    </w:p>
    <w:p w14:paraId="25BE8F73"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Nuo 2010 m. gruodžio mėn. UAB „Z“ dėl veiklos reorganizavimo iš UAB „A“ perimtos veiklos toliau nebegalės tęsti. Taikant PMĮ 43 str. 1 d. nuostatas, UAB „Z“ iš UAB „A“ perimtus mokestinius nuostolius gali atskaityti, apskaičiuodama 2007, 2008 ir 2009 mokestinių metų apmokestinamąjį pelną, nes veikla buvo tęsiama 3 metus (skaičiuojant nuo 2007 m. lapkričio 6 d. iki 2010 m. lapkričio 5 d.). Apskaičiuojant 2010 mokestinių metų apmokestinamąjį pelną, nuostoliai negalės būti atskaitomi vadovaujantis PMĮ 43 str. 2 dalies nuostatomis.</w:t>
      </w:r>
    </w:p>
    <w:p w14:paraId="1A91E7F3"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2 pavyzdys </w:t>
      </w:r>
    </w:p>
    <w:p w14:paraId="6A7C1F74"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UAB „A“ 2007 m. lapkričio 5 d. UAB „Z“ perleido veiklos dalį (veiklos dalies perleidimas atitiko PMĮ 41 str. 2 d. 8 punkto sąlygas). UAB „Z“, kurios mokestinis laikotarpis sutampa su kalendoriniais metais, toliau tą veiklą tęsė ir perėmė su ta veiklos dalimi susijusius mokestinius nuostolius. </w:t>
      </w:r>
    </w:p>
    <w:p w14:paraId="36CF9E9A"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PMĮ 43 str. 1 dalies nuostatos būtų taikomos, jei UAB „Z“ tęstų perimtos veiklos dalį nuo 2007 m. lapkričio 6 d. iki 2010 m. lapkričio 5 d. (t.y. 3 metus).</w:t>
      </w:r>
    </w:p>
    <w:p w14:paraId="56043E47"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Tarkime, kad nuo 2010 m. spalio mėn. UAB „Z“ iš UAB „A“ perimtos veiklos dalies toliau nebetęsė, tačiau apskaičiuodama 2007 - 2009 mokestinių metų apmokestinamąjį pelną, iš pajamų atskaitė dalį su šia veikla susijusių mokestinių nuostolių, perimtų iš UAB „A“.  </w:t>
      </w:r>
    </w:p>
    <w:p w14:paraId="7BD61CCE"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Kadangi UAB „Z“ iš UAB „A“ perimtą veiklą vykdė trumpiau kaip 3 metus, PMĮ 43 str. 1 dalies nuostatos netaikomos. UAB „Z“ turi perskaičiuoti 2007, 2008 ir 2009 mokestinių metų apmokestinamąjį pelną ir pelno mokestį bei pateikti mokesčių administratoriui patikslintas šių mokestinių laikotarpių metines pelno mokesčio deklaracijas.</w:t>
      </w:r>
    </w:p>
    <w:p w14:paraId="601C0411"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t>7. Jei tenkinamos komentuojamame straipsnyje nustatytos sąlygos, tai reorganizavimo ir perleidimo atvejais įsigyjantysis vienetas, apskaičiuodamas apmokestinamąjį pelną, gali perkelti įsigyto ar perleidžiančiojo vieneto su jam perleista veikla susijusius mokestinius nuostolius, kurie susidarė:</w:t>
      </w:r>
    </w:p>
    <w:p w14:paraId="2DD4FC7C"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praėjusiais mokestiniais laikotarpiais ir dar nebuvo perkelti PMĮ 30 straipsnyje nustatyta tvarka, </w:t>
      </w:r>
      <w:r>
        <w:rPr>
          <w:rFonts w:ascii="Times New Roman" w:hAnsi="Times New Roman" w:cs="Times New Roman"/>
          <w:b/>
          <w:sz w:val="24"/>
          <w:szCs w:val="24"/>
          <w:lang w:val="lt-LT"/>
        </w:rPr>
        <w:t>ir</w:t>
      </w:r>
    </w:p>
    <w:p w14:paraId="5EE6E1A2" w14:textId="77777777" w:rsidR="00093845" w:rsidRDefault="000D779E">
      <w:pPr>
        <w:pStyle w:val="HTMLiankstoformatuotas"/>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 nuo mokestinio laikotarpio, kurį įvyko reorganizavimas ar perleidimas pradžios iki  reorganizavimo ar perleidimo pabaigos. </w:t>
      </w:r>
    </w:p>
    <w:p w14:paraId="5A6AF3B8"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Įsigyjančiajam vienetui negali būti perduodami su perleidžiama veikla ar veiklos dalimi susiję įsigyto ar perleidžiančiojo vieneto praėjusių laikotarpių mokestiniai nuostoliai, kurių perkėlimo į kitus metus terminas, pagal PMĮ 30 straipsnį, jau baigėsi. </w:t>
      </w:r>
    </w:p>
    <w:p w14:paraId="5414BAF3" w14:textId="77777777" w:rsidR="00093845" w:rsidRPr="0065344A" w:rsidRDefault="000D779E">
      <w:pPr>
        <w:pStyle w:val="HTMLiankstoformatuotas"/>
        <w:ind w:firstLine="709"/>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lastRenderedPageBreak/>
        <w:t>8. PMĮ 43 straipsnio norma dėl įsigyjamo ar perleidžiančiojo vieneto mokestinių nuostolių, susijusių su perleidžiama veikla ar veiklos dalimi, perdavimo įsigyjančiajam vienetui nėra privaloma. Jei perleidime dalyvaujantys vienetai susitaria, kad su perleidžiama veikla ar veiklos dalimi susiję mokestiniai nuostoliai įsigyjančiajam vienetui neperduodami, tai perleidžiantysis vienetas, apskaičiuodamas apmokestinamąjį pelną, mokestinio laikotarpio nuostolius gali perkelti į kitus metus bendra PMĮ 30 straipsnyje nustatyta tvarka. Bet, jei perleidžiantysis vienetas su perleidžiama veikla ar veiklos dalimi susijusius mokestinius nuostolius perduoda įsigyjančiajam vienetui, tai turi būti taikomos PMĮ 43 straipsnio nuostatos.</w:t>
      </w:r>
    </w:p>
    <w:p w14:paraId="3A54E5B4" w14:textId="77777777" w:rsidR="00093845" w:rsidRPr="0065344A" w:rsidRDefault="000D779E">
      <w:pPr>
        <w:pStyle w:val="HTMLiankstoformatuotas"/>
        <w:ind w:firstLine="709"/>
        <w:jc w:val="both"/>
        <w:rPr>
          <w:rFonts w:ascii="Times New Roman" w:hAnsi="Times New Roman" w:cs="Times New Roman"/>
          <w:sz w:val="24"/>
          <w:szCs w:val="24"/>
          <w:lang w:val="lt-LT"/>
        </w:rPr>
      </w:pPr>
      <w:r w:rsidRPr="0065344A">
        <w:rPr>
          <w:rFonts w:ascii="Times New Roman" w:hAnsi="Times New Roman" w:cs="Times New Roman"/>
          <w:sz w:val="24"/>
          <w:szCs w:val="24"/>
          <w:lang w:val="lt-LT"/>
        </w:rPr>
        <w:t xml:space="preserve">Įsigyjamojo ar perleidžiančiojo vieneto atitinkamais apskaičiavimais pagrįsti mokestiniai nuostoliai, tenkantys perleidžiamai veiklai, įsigyjančiajam vienetui perduodami pagal priėmimo – perdavimo aktą. </w:t>
      </w:r>
    </w:p>
    <w:p w14:paraId="65FCF3AB" w14:textId="77777777" w:rsidR="00093845" w:rsidRDefault="000D779E">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Pagal PMĮ 30 str. 4 dalies pakeitimą pagal 2008 m. balandžio 24 d. įstatymo Nr. X-1484 redakciją, nuo 2008 metais prasidėjusio mokestinio laikotarpio ir vėlesniais mokestiniais laikotarpiais taikoma nauja mokestinių nuostolių perkėlimo tvarka, kurios taikymo nuostatos paaiškintos PMĮ 30 str. 4 dalies komentare (žr. PMĮ 30 str. 4 dalies komentarą). </w:t>
      </w:r>
    </w:p>
    <w:p w14:paraId="341CD9B0"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rPr>
        <w:t>Jeigu perleidžiantysis vienetas PMĮ 41 str. 2 d. 5, 6 ar 8 punktuose nustatytais atvejais įsigyjančiajam vienetui perleidžia veiklos dalį ar veiklą kaip kompleksą nuo 2008 metais prasidėjusio mokestinio laikotarpio ar vėlesniais mokestiniais laikotarpiais, tai perleistai veiklai tenkančių dar neperkeltų mokestinių laikotarpių nuostolių perkėlimas į kitus mokestinius laikotarpius nutraukiamas (žr. PMĮ 30 str. 4 dalies komentarą).</w:t>
      </w:r>
    </w:p>
    <w:p w14:paraId="51D8045C" w14:textId="77777777" w:rsidR="00093845" w:rsidRDefault="0014647B">
      <w:pPr>
        <w:pStyle w:val="Tekstoblokas"/>
      </w:pPr>
      <w:r>
        <w:t xml:space="preserve">            </w:t>
      </w:r>
      <w:r w:rsidR="000D779E">
        <w:t xml:space="preserve">(Pakeista pagal 2012-12-10 VMI prie FM raštą </w:t>
      </w:r>
      <w:r w:rsidR="000D779E">
        <w:rPr>
          <w:bCs/>
        </w:rPr>
        <w:t>Nr. (32.42-31-1)-RM-6814)</w:t>
      </w:r>
    </w:p>
    <w:p w14:paraId="672C2BF0"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9. Jeigu perleidžiantysis vienetas nėra finansų įstaiga, tai jis įsigyjančiajam vienetui neperduodamus praėjusių mokestinių laikotarpių vertybinių popierių ir/ar išvestinių finansinių priemonių perleidimo nuostolius gali perkelti į kitus metus PMĮ 30 straipsnyje nustatyta tvarka.</w:t>
      </w:r>
    </w:p>
    <w:p w14:paraId="249E9352"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Jeigu įsigyjamas ar perleidžiantysis vienetas yra finansų įstaiga, tai jis gali įsigyjančiajam vienetui perduoti su perleidžiama finansine veikla ar veiklos dalimi susijusius mokestinio laikotarpio vertybinių popierių ir/ar išvestinių finansinių priemonių perleidimo nuostolius, susidariusius iki reorganizavimo ar perleidimo pabaigos ir neperkeltus į kitus metus, o įsigyjantysis vienetas gali tęsti šių nuostolių perkėlimą, jei perimta veikla ar veiklos dalis tęsiama ne trumpesnį kaip 3 metų laikotarpį. </w:t>
      </w:r>
    </w:p>
    <w:p w14:paraId="7286714D"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Taikant komentuojamo straipsnio nuostatas, įsigyjančiajam vienetui su finansų įstaigos perleidžiama veikla ar veiklos dalimi susiję vertybinių popierių ir/ar išvestinių finansinių priemonių perleidimo nuostoliai, gali būti atskaitomi tik iš vertybinių popierių ir/ar išvestinių finansinių priemonių perleidimo pajamų (pelno).</w:t>
      </w:r>
    </w:p>
    <w:p w14:paraId="2AB57FE0"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11.</w:t>
      </w:r>
      <w:r>
        <w:rPr>
          <w:rFonts w:ascii="Times New Roman" w:hAnsi="Times New Roman" w:cs="Times New Roman"/>
          <w:sz w:val="24"/>
          <w:szCs w:val="24"/>
          <w:lang w:val="lt-LT"/>
        </w:rPr>
        <w:tab/>
        <w:t xml:space="preserve"> Šioje dalyje nustatyta mokestinių nuostolių perkėlimo tvarka siejama su įsigyjamo ar perleidžiančiojo vieneto ar vienetų veiklos ar veiklos dalies tęsimu įsigyjančiajame vienete ir užtikrina bendrą komentuojamo straipsnio nuostatą, kad įsigyjamo ar perleidžiančiojo vieneto mokestiniai nuostoliai nepagrįstai nebūtų perkeliami į pelningą įsigyjantįjį vienetą, taip sumažinant šio vieneto mokesčio bazę. Todėl, taikant šios dalies nuostatas, sąvoka </w:t>
      </w:r>
      <w:r>
        <w:rPr>
          <w:rFonts w:ascii="Times New Roman" w:hAnsi="Times New Roman" w:cs="Times New Roman"/>
          <w:b/>
          <w:sz w:val="24"/>
          <w:szCs w:val="24"/>
          <w:lang w:val="lt-LT"/>
        </w:rPr>
        <w:t>veikla</w:t>
      </w:r>
      <w:r>
        <w:rPr>
          <w:rFonts w:ascii="Times New Roman" w:hAnsi="Times New Roman" w:cs="Times New Roman"/>
          <w:sz w:val="24"/>
          <w:szCs w:val="24"/>
          <w:lang w:val="lt-LT"/>
        </w:rPr>
        <w:t xml:space="preserve"> suprantama ne kaip veiklos pobūdis - paslaugų teikimas, prekyba, perdirbimas ar mišri veikla, bet kaip veiklos rūšis (pvz., didmeninė ir mažmeninė prekyba, prekyba maisto prekėmis, prekyba nekilnojamuoju turtu ir kt.). Todėl ir tais atvejais, kai vieneto reorganizavimas atliekamas PMĮ 41 str. 2 d. 1-3 punktuose numatytais prijungimo ir sujungimo būdais, įsigyjantysis vienetas gali perkelti ne visus iki reorganizavimo ar perleidimo pabaigos susidariusius ir neperkeltus įsigyjamo vieneto mokestinius nuostolius, bet tik susijusius su įsigyjančiajame vienete tęsiama veikla ar veiklos dalimi, neatsižvelgiant į tai, kad įsigyjančiajam vienetui perduodamas visas įsigyjamo vieneto turtas, teisės ir pareigos. </w:t>
      </w:r>
    </w:p>
    <w:p w14:paraId="0FF7733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Pavyzdžiui, jei įsigyjamasis vienetas, kurio veikla didmeninė ir mažmeninė prekyba ūkio prekėmis, PMĮ 41 str. 2 d. 1 punkte numatytu reorganizavimo būdu prijungiamas prie įsigyjančiojo vieneto, kuris tęsia tik didmeninės prekybos veiklą, tai komentuojamo straipsnio nuostatos dėl mokestinių nuostolių perkėlimo taikymo taikomos ne prekybos veiklos nuostoliams apskritai, bet tik su didmeninės prekybos veikla susijusiems įsigyjamo vieneto mokestiniams nuostoliams. </w:t>
      </w:r>
    </w:p>
    <w:p w14:paraId="230CD436" w14:textId="77777777" w:rsidR="00093845" w:rsidRDefault="000D779E">
      <w:pPr>
        <w:ind w:firstLine="720"/>
        <w:jc w:val="both"/>
        <w:rPr>
          <w:lang w:val="lt-LT"/>
        </w:rPr>
      </w:pPr>
      <w:r>
        <w:rPr>
          <w:lang w:val="lt-LT"/>
        </w:rPr>
        <w:t xml:space="preserve">12. Su perleidžiama veikla susiję mokestiniai nuostoliai gali būti apskaičiuojami pagal apskaitos politikoje (ir/ar valdymo apskaitoje) nusistatytus kriterijus (kas priskiriama atitinkamos veiklos pajamoms ir sąnaudoms, kaip tarp atskirų veiklos rūšių paskirstomos netiesioginės sąnaudos, koks turtas ir įsipareigojimai priskiriami tai veiklos rūšiai) tiek, kiek tai neprieštarauja PMĮ nuostatoms. </w:t>
      </w:r>
    </w:p>
    <w:p w14:paraId="3E35E86B" w14:textId="77777777" w:rsidR="00093845" w:rsidRDefault="000D779E">
      <w:pPr>
        <w:ind w:firstLine="720"/>
        <w:jc w:val="both"/>
        <w:rPr>
          <w:lang w:val="lt-LT"/>
        </w:rPr>
      </w:pPr>
      <w:r>
        <w:rPr>
          <w:lang w:val="lt-LT"/>
        </w:rPr>
        <w:t xml:space="preserve">Apskaičiuojant atitinkamos veiklos rezultatą, tai veiklai priskiriamos pajamos ir sąnaudos, kurias galima priskirti tiesiogiai. Kai kurios sąnaudos (leidžiami ir ribojamų dydžių leidžiami atskaitymai) gali būti priskiriamos vadovaujantis tam tikromis proporcijomis pagal vieneto nusistatytą tokių sąnaudų paskirstymo bazę. Pajamos ir sąnaudos (leidžiami ir ribojamų dydžių leidžiami atskaitymai) nepriskiriamos atitinkamos veiklos rūšiai, apskaičiuojant šios veiklos rezultatą, jei nėra pagrįsto tokių sąnaudų paskirstymo kriterijaus, pvz., tokios bendro pobūdžio vieneto pajamos ar sąnaudos, kaip ilgalaikio turto perleidimo pelnas ar nuostoliai, reprezentacinės sąnaudos, finansinės investicinės pajamos ar sąnaudos, kaip valiutos kurso pasikeitimo ar palūkanų, neturi būti įtraukiamos, apskaičiuojant perleidžiamos veiklos ar jos dalies rezultatą, nebent vienetas gali įrodyti, kad šios pajamos ar sąnaudos yra akivaizdžiai susijusios su perleidžiama veikla ir vienetas turi pagrįstus tokių pajamų ar sąnaudų priskyrimo vienai ar kitai veiklai kriterijus. </w:t>
      </w:r>
    </w:p>
    <w:p w14:paraId="352231AE" w14:textId="77777777" w:rsidR="00093845" w:rsidRDefault="000D779E">
      <w:pPr>
        <w:ind w:firstLine="720"/>
        <w:jc w:val="both"/>
        <w:rPr>
          <w:lang w:val="lt-LT"/>
        </w:rPr>
      </w:pPr>
      <w:r>
        <w:rPr>
          <w:lang w:val="lt-LT"/>
        </w:rPr>
        <w:t xml:space="preserve">13. Jei PMĮ 41 str. 2 d. 1-3 punktuose nustatytais reorganizavimo atvejais reorganizuojamas Lietuvos vienetas (įsigyjamasis vienetas) prijungiamas prie Europos Sąjungos (toliau – ES) valstybės narės vieneto (arba sujungiamas su ES valstybės narės vienetu), tai ES valstybės narės vienetui, tęsiančiam veiklą per nuolatinę buveinę Lietuvoje, šioje dalyje nustatytomis sąlygomis perduoti Lietuvos vieneto mokestinio laikotarpio nuostoliai, susidarę iki jo reorganizavimo pabaigos ir PMĮ 30 straipsnyje nustatyta tvarka neperkelti į kitus metus, gali būti atskaitomi iš nuolatinės buveinės pajamų (žr. PMĮ 41 str. 1 d. 2 punkto, 2 d. 1-3 punktų ir 3 dalies komentarus). </w:t>
      </w:r>
    </w:p>
    <w:p w14:paraId="7BD8ADC2" w14:textId="77777777" w:rsidR="00093845" w:rsidRDefault="000D779E">
      <w:pPr>
        <w:ind w:firstLine="720"/>
        <w:jc w:val="both"/>
        <w:rPr>
          <w:b/>
          <w:lang w:val="lt-LT"/>
        </w:rPr>
      </w:pPr>
      <w:r>
        <w:rPr>
          <w:b/>
          <w:lang w:val="lt-LT"/>
        </w:rPr>
        <w:t xml:space="preserve">2. Pasibaigus šio straipsnio 1 dalyje nurodytam 3 metų laikotarpiui, įsigyjančiajam vienetui perduoti su įsigyjamojo ar perleidžiančiojo vieneto ar vienetų perleista veikla ar veiklos dalimi susiję mokestinių laikotarpių nuostoliai, pradedant mokestiniu laikotarpiu, kurį įsigyjantysis vienetas nebetęsia perimtos veiklos ar veiklos dalies, nebeperkeliami.  </w:t>
      </w:r>
    </w:p>
    <w:p w14:paraId="428EEB9B"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b/>
          <w:sz w:val="24"/>
          <w:szCs w:val="24"/>
          <w:lang w:val="lt-LT"/>
        </w:rPr>
      </w:pPr>
      <w:r>
        <w:rPr>
          <w:rFonts w:ascii="Times New Roman" w:hAnsi="Times New Roman" w:cs="Times New Roman"/>
          <w:b/>
          <w:sz w:val="24"/>
          <w:szCs w:val="24"/>
          <w:lang w:val="lt-LT"/>
        </w:rPr>
        <w:t>Komentaras</w:t>
      </w:r>
    </w:p>
    <w:p w14:paraId="7FF16429" w14:textId="77777777" w:rsidR="00093845" w:rsidRDefault="000D779E">
      <w:pPr>
        <w:tabs>
          <w:tab w:val="left" w:pos="720"/>
          <w:tab w:val="left" w:pos="1077"/>
          <w:tab w:val="left" w:pos="1134"/>
          <w:tab w:val="left" w:pos="1418"/>
        </w:tabs>
        <w:ind w:firstLine="709"/>
        <w:jc w:val="both"/>
        <w:rPr>
          <w:b/>
          <w:lang w:val="lt-LT"/>
        </w:rPr>
      </w:pPr>
      <w:r>
        <w:rPr>
          <w:lang w:val="lt-LT"/>
        </w:rPr>
        <w:t>1. Pagal šios dalies nuostatas, įsigyjančiajam vienetui perduoti su įsigyjamo ar perleidžiančiojo vieneto perleista veikla ar veiklos dalimi susiję mokestinių laikotarpių nuostoliai, po 3 metų laikotarpio, pradedant mokestiniu laikotarpiu, kurį įsigyjantysis vienetas nebetęsia perimtos veiklos ar veiklos dalies, nebegali būti perkeliami į kitus metus</w:t>
      </w:r>
      <w:r>
        <w:rPr>
          <w:b/>
          <w:lang w:val="lt-LT"/>
        </w:rPr>
        <w:t xml:space="preserve">. </w:t>
      </w:r>
    </w:p>
    <w:p w14:paraId="6A9C6457"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Pavyzdys</w:t>
      </w:r>
    </w:p>
    <w:p w14:paraId="0CC249BB"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Įsigyjamas vienetas UAB „A“, kurio veikla - mažmeninė prekyba baldais, 2007 m. lapkričio 5 d. buvo prijungtas prie įsigyjančiojo vieneto UAB „Z“ (reorganizavimas pagal PMĮ 41 str. 2 d. 1 punktą). UAB „A“ perdavė UAB „Z“ su mažmenine prekybos baldais veikla  susijusius mokestinius nuostolius. </w:t>
      </w:r>
    </w:p>
    <w:p w14:paraId="14934289"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UAB „Z“ (šio vieneto mokestinis laikotarpis - kalendoriniai metai) tęsė perimtą veiklą iki 2010 m. gruodžio mėn. pradžios.</w:t>
      </w:r>
    </w:p>
    <w:p w14:paraId="706C2CB3"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b/>
        <w:t>Taikant PMĮ 43 str. 1 dalies nuostatas, UAB „Z“ iš UAB „A“ perimtus mokestinius nuostolius gali atskaityti, apskaičiuodama 2007, 2008 ir 2009 mokestinių metų apmokestinamąjį pelną, nes perimta veikla buvo tęsiama 3 metus (skaičiuojant nuo 2007 m. lapkričio 6 d. iki 2010 m. lapkričio 5 d.).</w:t>
      </w:r>
    </w:p>
    <w:p w14:paraId="00FBD24E"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Nuo 2010 mokestinių metų taikomos PMĮ 43 str. 2 dalies nuostatos ir UAB „Z“ iš UAB „A“ perimtų ir dar neperkeltų mokestinių nuostolių neturi atskaityti iš pajamų, apskaičiuodama 2010 ir vėlesnių mokestinių metų apmokestinamąjį pelną. </w:t>
      </w:r>
    </w:p>
    <w:p w14:paraId="57BFB6CD"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 Jei įsigyjantysis vienetas tęsia iš įsigyjamo ar perleidžiančiojo vieneto perimtą veiklą ar veiklos dalį, tai su šia veikla ar veiklos dalimi susiję perimti mokestinių laikotarpių nuostoliai gali būti perkeliami į kitus mokestinius laikotarpius netaikant PMĮ 30 straipsnyje nustatyto 5 metų termino veiklos mokestiniams nuostoliams perkelti (atitinkamai 3 metų - vertybinių popierių ir/ar išvestinių finansinių priemonių perleidimo nuostoliams perkelti, jei šiuos nuostolius perduoda finansų įstaiga, o įsigyjantysis vienetas tęsia perimtą finansinių paslaugų veiklą ar šios veiklos dalį).</w:t>
      </w:r>
    </w:p>
    <w:p w14:paraId="70D4C6B7" w14:textId="77777777" w:rsidR="00093845" w:rsidRDefault="000D779E">
      <w:pPr>
        <w:pStyle w:val="Pagrindinistekstas"/>
        <w:ind w:firstLine="720"/>
        <w:rPr>
          <w:b/>
          <w:lang w:val="lt-LT"/>
        </w:rPr>
      </w:pPr>
      <w:r>
        <w:rPr>
          <w:b/>
          <w:lang w:val="lt-LT"/>
        </w:rPr>
        <w:t xml:space="preserve">3. Perleidžiantysis vienetas mokestinio laikotarpio nuostolius, susidariusius iki </w:t>
      </w:r>
      <w:r>
        <w:rPr>
          <w:b/>
          <w:shd w:val="clear" w:color="auto" w:fill="FFFFFF"/>
          <w:lang w:val="lt-LT"/>
        </w:rPr>
        <w:t>perleidimo pabaigos</w:t>
      </w:r>
      <w:r>
        <w:rPr>
          <w:b/>
          <w:lang w:val="lt-LT"/>
        </w:rPr>
        <w:t xml:space="preserve"> ir šio Įstatymo nustatyta tvarka neperkeltus į kitus mokestinius metus, mažina įsigyjančiajam vienetui perleistai veiklai ar veiklos daliai tenkančia mokestinių nuostolių suma.</w:t>
      </w:r>
    </w:p>
    <w:p w14:paraId="2DD84388" w14:textId="77777777" w:rsidR="00093845" w:rsidRDefault="000D779E">
      <w:pPr>
        <w:pStyle w:val="Pagrindiniotekstotrauka"/>
        <w:ind w:firstLine="540"/>
        <w:rPr>
          <w:b/>
          <w:lang w:val="lt-LT"/>
        </w:rPr>
      </w:pPr>
      <w:r>
        <w:rPr>
          <w:b/>
          <w:lang w:val="lt-LT"/>
        </w:rPr>
        <w:t>Komentaras</w:t>
      </w:r>
    </w:p>
    <w:p w14:paraId="5CA3855B"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 Jei perleidžiantysis vienetas PMĮ 41 str. 2 d. 5, 6 ir 8 punktuose nustatytais atvejais perleidžia veiklą ar veiklos dalį ir įsigyjančiajam vienetui perduoda tai veiklai ar jos daliai tenkančius mokestinio laikotarpio nuostolius, susidariusius iki veiklos ar jos dalies perleidimo pabaigos ir PMĮ 30 straipsnyje nustatyta tvarka neperkeltus į kitus metus, tai šių perduotų nuostolių sumomis atitinkamai turi būti mažinami perleidžiančio vieneto įsigyjančiajam vienetui perduoti:</w:t>
      </w:r>
    </w:p>
    <w:p w14:paraId="083FE2CE"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praėjusių mokestinių laikotarpių mokestiniai nuostoliai, dar neperkelti PMĮ 30 straipsnyje nustatyta tvarka, </w:t>
      </w:r>
      <w:r>
        <w:rPr>
          <w:rFonts w:ascii="Times New Roman" w:hAnsi="Times New Roman" w:cs="Times New Roman"/>
          <w:b/>
          <w:sz w:val="24"/>
          <w:szCs w:val="24"/>
          <w:lang w:val="lt-LT"/>
        </w:rPr>
        <w:t xml:space="preserve">ir </w:t>
      </w:r>
    </w:p>
    <w:p w14:paraId="15ECBE26"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nuo mokestinio laikotarpio, kurį įvyko reorganizavimas ar perleidimas, pradžios iki reorganizavimo ar perleidimo pabaigos susidarę mokestiniai nuostoliai.</w:t>
      </w:r>
    </w:p>
    <w:p w14:paraId="36476BF5"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Perleidžiantysis vienetas negali perduoti įsigyjančiajam vienetui praėjusių laikotarpių mokestinių nuostolių sumų, tenkančių perleidžiamai veiklai ar veiklos daliai, kurių perkėlimo į kitus mokestinius laikotarpius terminas, pagal PMĮ 30 straipsnį, jau baigėsi. </w:t>
      </w:r>
    </w:p>
    <w:p w14:paraId="6D0559A9" w14:textId="77777777" w:rsidR="00093845" w:rsidRDefault="000D779E">
      <w:pPr>
        <w:pStyle w:val="HTMLiankstoformatuotas"/>
        <w:tabs>
          <w:tab w:val="left" w:pos="720"/>
          <w:tab w:val="left" w:pos="1077"/>
          <w:tab w:val="left" w:pos="1418"/>
        </w:tabs>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Kadangi vienetas, perleidžiantis veiklą ar veiklos dalį pagal PMĮ 41 str. 2 d. 5, 6 ar 8 punktus, tęsia veiklą toliau, tai įsigyjančiajam vienetui perduotos perleistai veiklai ar veiklos daliai tenkančios mokestinio laikotarpio, kurį įvyko veiklos ar veiklos dalies perleidimas, nuostolių sumos neturi būti įtraukiamos į to mokestinio laikotarpio perleidžiančiojo vieneto pelno mokesčio bazę. Perleidžiantysis vienetas, apskaičiuodamas mokestinio laikotarpio, kurį įvyko veiklos ar veiklos dalies perleidimas, apmokestinamąjį pelną, jį turi padidinti (mokestinį nuostolį sumažinti) įsigyjančiajam vienetui perduota mokestinio laikotarpio nuostolių suma (apskaičiuota nuo to mokestinio laikotarpio pradžios iki perleidimo pabaigos). </w:t>
      </w:r>
    </w:p>
    <w:p w14:paraId="014DA96D" w14:textId="77777777" w:rsidR="00093845" w:rsidRDefault="000D779E">
      <w:pPr>
        <w:pStyle w:val="Pagrindinistekstas"/>
        <w:ind w:firstLine="720"/>
        <w:rPr>
          <w:lang w:val="lt-LT"/>
        </w:rPr>
      </w:pPr>
      <w:r>
        <w:rPr>
          <w:lang w:val="lt-LT"/>
        </w:rPr>
        <w:t>Pavyzdys</w:t>
      </w:r>
    </w:p>
    <w:p w14:paraId="1B6965FC" w14:textId="77777777" w:rsidR="00DA4F7E"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jc w:val="both"/>
      </w:pPr>
      <w:r>
        <w:rPr>
          <w:lang w:val="lt-LT"/>
        </w:rPr>
        <w:t xml:space="preserve">           </w:t>
      </w:r>
      <w:r w:rsidRPr="003A2A56">
        <w:t xml:space="preserve">UAB „A“, kurios veikla – prekyba ir krovinių vežimas transporto priemonėmis, PMĮ 41 str. 2 d. 5 punkte nustatytomis sąlygomis </w:t>
      </w:r>
      <w:r w:rsidRPr="00616D01">
        <w:t>2025</w:t>
      </w:r>
      <w:r>
        <w:t xml:space="preserve"> </w:t>
      </w:r>
      <w:r w:rsidRPr="003A2A56">
        <w:t xml:space="preserve">m. lapkričio 5 d. perleido krovinių vežimo transporto priemonėmis veiklą UAB „Z“. </w:t>
      </w:r>
    </w:p>
    <w:p w14:paraId="357A2E8B" w14:textId="77777777" w:rsidR="00DA4F7E" w:rsidRPr="003A2A56"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jc w:val="both"/>
      </w:pPr>
      <w:r w:rsidRPr="003A2A56">
        <w:lastRenderedPageBreak/>
        <w:t xml:space="preserve">UAB „A“ </w:t>
      </w:r>
      <w:r w:rsidRPr="00616D01">
        <w:t>2023</w:t>
      </w:r>
      <w:r>
        <w:t xml:space="preserve"> </w:t>
      </w:r>
      <w:r w:rsidRPr="003A2A56">
        <w:t xml:space="preserve">m. deklaravo 30 000 </w:t>
      </w:r>
      <w:r w:rsidRPr="00F308F5">
        <w:t>EUR</w:t>
      </w:r>
      <w:r w:rsidRPr="003A2A56">
        <w:t xml:space="preserve">, </w:t>
      </w:r>
      <w:r w:rsidRPr="00F308F5">
        <w:t>2024</w:t>
      </w:r>
      <w:r>
        <w:t xml:space="preserve"> </w:t>
      </w:r>
      <w:r w:rsidRPr="003A2A56">
        <w:t xml:space="preserve">m. - 35000 </w:t>
      </w:r>
      <w:r w:rsidRPr="00F308F5">
        <w:t>EUR</w:t>
      </w:r>
      <w:r>
        <w:t xml:space="preserve"> </w:t>
      </w:r>
      <w:r w:rsidRPr="003A2A56">
        <w:t xml:space="preserve">veiklos mokestinių nuostolių (šios nuostolių sumos dar nebuvo perkeltos į kitus metus PMĮ 30 straipsnyje nustatyta tvarka). </w:t>
      </w:r>
    </w:p>
    <w:p w14:paraId="2B58601A" w14:textId="77777777" w:rsidR="00DA4F7E" w:rsidRPr="003A2A56" w:rsidRDefault="00DA4F7E" w:rsidP="00DA4F7E">
      <w:pPr>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jc w:val="both"/>
      </w:pPr>
      <w:r w:rsidRPr="003A2A56">
        <w:t xml:space="preserve">UAB „A“ nustatė, kad UAB „Z“ perleidžiamos krovinių vežimo veiklos dar neperkelti į kitus metus mokestiniai nuostoliai sudarė: </w:t>
      </w:r>
      <w:r w:rsidRPr="00F308F5">
        <w:t>2023</w:t>
      </w:r>
      <w:r>
        <w:t xml:space="preserve"> </w:t>
      </w:r>
      <w:r w:rsidRPr="003A2A56">
        <w:t xml:space="preserve">mokestinių metų - 12 000 </w:t>
      </w:r>
      <w:r w:rsidRPr="00F308F5">
        <w:t>EUR,</w:t>
      </w:r>
      <w:r w:rsidRPr="003A2A56">
        <w:t xml:space="preserve"> </w:t>
      </w:r>
      <w:r w:rsidRPr="00F308F5">
        <w:t>2024</w:t>
      </w:r>
      <w:r>
        <w:t xml:space="preserve"> </w:t>
      </w:r>
      <w:r w:rsidRPr="003A2A56">
        <w:t xml:space="preserve">– 14000 </w:t>
      </w:r>
      <w:r w:rsidRPr="00F308F5">
        <w:t>EUR</w:t>
      </w:r>
      <w:r w:rsidRPr="003A2A56">
        <w:t>.</w:t>
      </w:r>
      <w:r>
        <w:t xml:space="preserve"> </w:t>
      </w:r>
      <w:r w:rsidRPr="003A2A56">
        <w:t xml:space="preserve">Nuo </w:t>
      </w:r>
      <w:r w:rsidRPr="00F308F5">
        <w:t xml:space="preserve">2025 </w:t>
      </w:r>
      <w:r w:rsidRPr="003A2A56">
        <w:t xml:space="preserve">m. sausio 1 d. iki </w:t>
      </w:r>
      <w:r w:rsidRPr="00F308F5">
        <w:t>2025</w:t>
      </w:r>
      <w:r>
        <w:t xml:space="preserve"> </w:t>
      </w:r>
      <w:r w:rsidRPr="003A2A56">
        <w:t>m. lapkričio 5 d. (t.</w:t>
      </w:r>
      <w:r>
        <w:t xml:space="preserve"> </w:t>
      </w:r>
      <w:r w:rsidRPr="003A2A56">
        <w:t xml:space="preserve">y. nuo mokestinio laikotarpio, kurį įvyko veiklos perleidimas pradžios iki perleidimo pabaigos) apskaitoje apskaičiuoti krovinių pervežimo veiklos mokestiniai nuostoliai sudarė 8000 </w:t>
      </w:r>
      <w:r w:rsidRPr="00F308F5">
        <w:t>EUR</w:t>
      </w:r>
      <w:r w:rsidRPr="003A2A56">
        <w:t xml:space="preserve">. </w:t>
      </w:r>
    </w:p>
    <w:p w14:paraId="786BA041" w14:textId="77777777" w:rsidR="00DA4F7E" w:rsidRPr="003A2A56" w:rsidRDefault="00DA4F7E" w:rsidP="00DA4F7E">
      <w:pPr>
        <w:pStyle w:val="HTMLiankstoformatuotas"/>
        <w:pBdr>
          <w:top w:val="single" w:sz="4" w:space="1" w:color="auto"/>
          <w:left w:val="single" w:sz="4" w:space="4" w:color="auto"/>
          <w:bottom w:val="single" w:sz="4" w:space="1" w:color="auto"/>
          <w:right w:val="single" w:sz="4" w:space="4" w:color="auto"/>
        </w:pBd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086"/>
        </w:tabs>
        <w:ind w:firstLine="724"/>
        <w:jc w:val="both"/>
        <w:rPr>
          <w:rFonts w:ascii="Times New Roman" w:hAnsi="Times New Roman" w:cs="Times New Roman"/>
          <w:sz w:val="24"/>
          <w:szCs w:val="24"/>
          <w:lang w:val="lt-LT"/>
        </w:rPr>
      </w:pPr>
      <w:r w:rsidRPr="003A2A56">
        <w:rPr>
          <w:rFonts w:ascii="Times New Roman" w:hAnsi="Times New Roman" w:cs="Times New Roman"/>
          <w:sz w:val="24"/>
          <w:szCs w:val="24"/>
          <w:lang w:val="lt-LT"/>
        </w:rPr>
        <w:t>UAB „A“ iš viso perdavė UAB „Z“ 34</w:t>
      </w:r>
      <w:r>
        <w:rPr>
          <w:rFonts w:ascii="Times New Roman" w:hAnsi="Times New Roman" w:cs="Times New Roman"/>
          <w:sz w:val="24"/>
          <w:szCs w:val="24"/>
          <w:lang w:val="lt-LT"/>
        </w:rPr>
        <w:t xml:space="preserve"> </w:t>
      </w:r>
      <w:r w:rsidRPr="003A2A56">
        <w:rPr>
          <w:rFonts w:ascii="Times New Roman" w:hAnsi="Times New Roman" w:cs="Times New Roman"/>
          <w:sz w:val="24"/>
          <w:szCs w:val="24"/>
          <w:lang w:val="lt-LT"/>
        </w:rPr>
        <w:t>000</w:t>
      </w:r>
      <w:r>
        <w:rPr>
          <w:rFonts w:ascii="Times New Roman" w:hAnsi="Times New Roman" w:cs="Times New Roman"/>
          <w:sz w:val="24"/>
          <w:szCs w:val="24"/>
          <w:lang w:val="lt-LT"/>
        </w:rPr>
        <w:t xml:space="preserve">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xml:space="preserve"> (12 000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xml:space="preserve"> +14 0000 </w:t>
      </w:r>
      <w:r w:rsidRPr="00F308F5">
        <w:rPr>
          <w:rFonts w:ascii="Times New Roman" w:hAnsi="Times New Roman" w:cs="Times New Roman"/>
          <w:sz w:val="24"/>
          <w:szCs w:val="24"/>
          <w:lang w:val="lt-LT"/>
        </w:rPr>
        <w:t>EUR</w:t>
      </w:r>
      <w:r>
        <w:rPr>
          <w:rFonts w:ascii="Times New Roman" w:hAnsi="Times New Roman" w:cs="Times New Roman"/>
          <w:b/>
          <w:sz w:val="24"/>
          <w:szCs w:val="24"/>
          <w:lang w:val="lt-LT"/>
        </w:rPr>
        <w:t xml:space="preserve"> </w:t>
      </w:r>
      <w:r w:rsidRPr="003A2A56">
        <w:rPr>
          <w:rFonts w:ascii="Times New Roman" w:hAnsi="Times New Roman" w:cs="Times New Roman"/>
          <w:sz w:val="24"/>
          <w:szCs w:val="24"/>
          <w:lang w:val="lt-LT"/>
        </w:rPr>
        <w:t xml:space="preserve">+8000 </w:t>
      </w:r>
      <w:r w:rsidRPr="00F308F5">
        <w:rPr>
          <w:rFonts w:ascii="Times New Roman" w:hAnsi="Times New Roman" w:cs="Times New Roman"/>
          <w:sz w:val="24"/>
          <w:szCs w:val="24"/>
          <w:lang w:val="lt-LT"/>
        </w:rPr>
        <w:t>EUR</w:t>
      </w:r>
      <w:r w:rsidRPr="003A2A56">
        <w:rPr>
          <w:rFonts w:ascii="Times New Roman" w:hAnsi="Times New Roman" w:cs="Times New Roman"/>
          <w:sz w:val="24"/>
          <w:szCs w:val="24"/>
          <w:lang w:val="lt-LT"/>
        </w:rPr>
        <w:t>) krovinių vežimo veiklos mokestinių nuostolių.</w:t>
      </w:r>
    </w:p>
    <w:p w14:paraId="53EFE382" w14:textId="77777777" w:rsidR="00DA4F7E" w:rsidRDefault="00DA4F7E" w:rsidP="00DA4F7E">
      <w:pPr>
        <w:pBdr>
          <w:top w:val="single" w:sz="4" w:space="1" w:color="auto"/>
          <w:left w:val="single" w:sz="4" w:space="4" w:color="auto"/>
          <w:bottom w:val="single" w:sz="4" w:space="1" w:color="auto"/>
          <w:right w:val="single" w:sz="4" w:space="4" w:color="auto"/>
        </w:pBdr>
        <w:spacing w:line="254" w:lineRule="auto"/>
        <w:jc w:val="both"/>
      </w:pPr>
      <w:r>
        <w:t xml:space="preserve">            </w:t>
      </w:r>
      <w:r w:rsidRPr="003A2A56">
        <w:t xml:space="preserve">Apskaičiuodama </w:t>
      </w:r>
      <w:r w:rsidRPr="00F308F5">
        <w:t>2025</w:t>
      </w:r>
      <w:r>
        <w:t xml:space="preserve"> </w:t>
      </w:r>
      <w:r w:rsidRPr="003A2A56">
        <w:t xml:space="preserve">mokestinių metų apmokestinamąjį pelną, UAB „A“ į mokesčio bazę neturi įtraukti UAB „Z“ perduotų 8000 </w:t>
      </w:r>
      <w:r w:rsidRPr="00F308F5">
        <w:t>EUR</w:t>
      </w:r>
      <w:r w:rsidRPr="00202877">
        <w:rPr>
          <w:b/>
        </w:rPr>
        <w:t xml:space="preserve"> </w:t>
      </w:r>
      <w:r w:rsidRPr="003A2A56">
        <w:t xml:space="preserve">krovinių vežimo veiklos mokestinių nuostolių (šių nuostolių suma UAB „A“ turi padidinti </w:t>
      </w:r>
      <w:r w:rsidRPr="00F308F5">
        <w:t>2025</w:t>
      </w:r>
      <w:r>
        <w:t xml:space="preserve"> </w:t>
      </w:r>
      <w:r w:rsidRPr="003A2A56">
        <w:t xml:space="preserve">mokestinių metų apmokestinamąjį pelną). </w:t>
      </w:r>
    </w:p>
    <w:p w14:paraId="34F7E2D8" w14:textId="77777777" w:rsidR="00DA4F7E" w:rsidRDefault="00DA4F7E" w:rsidP="00DA4F7E">
      <w:pPr>
        <w:pBdr>
          <w:top w:val="single" w:sz="4" w:space="1" w:color="auto"/>
          <w:left w:val="single" w:sz="4" w:space="4" w:color="auto"/>
          <w:bottom w:val="single" w:sz="4" w:space="1" w:color="auto"/>
          <w:right w:val="single" w:sz="4" w:space="4" w:color="auto"/>
        </w:pBdr>
        <w:spacing w:line="254" w:lineRule="auto"/>
        <w:jc w:val="both"/>
        <w:rPr>
          <w:b/>
        </w:rPr>
      </w:pPr>
      <w:r>
        <w:t xml:space="preserve">            Taip pat UAB „A“ turi sumažinti PMĮ 30 straipsnyje nustatyta tvarka iš pajamų atskaitomas praėjusių laikotarpių veiklos mokestinių nuostolių sumas (</w:t>
      </w:r>
      <w:r w:rsidRPr="00F308F5">
        <w:t>2023</w:t>
      </w:r>
      <w:r>
        <w:t xml:space="preserve"> mokestinių metų veiklos mokestinius nuostolius sumažinti UAB „Z“ perduota 12 000 </w:t>
      </w:r>
      <w:r w:rsidRPr="00F308F5">
        <w:t>EUR</w:t>
      </w:r>
      <w:r>
        <w:t xml:space="preserve"> nuostolių suma, o </w:t>
      </w:r>
      <w:r w:rsidRPr="00F308F5">
        <w:t xml:space="preserve">2024 </w:t>
      </w:r>
      <w:r>
        <w:t xml:space="preserve">mokestinių metų – 14000 </w:t>
      </w:r>
      <w:r w:rsidRPr="00F308F5">
        <w:t>EUR</w:t>
      </w:r>
      <w:r w:rsidRPr="00202877">
        <w:rPr>
          <w:b/>
        </w:rPr>
        <w:t xml:space="preserve"> </w:t>
      </w:r>
      <w:r>
        <w:t>nuostolių suma).</w:t>
      </w:r>
    </w:p>
    <w:p w14:paraId="24C65289" w14:textId="77777777" w:rsidR="00093845" w:rsidRPr="000D310C" w:rsidRDefault="000D310C" w:rsidP="000D310C">
      <w:pPr>
        <w:jc w:val="both"/>
        <w:rPr>
          <w:iCs/>
          <w:sz w:val="22"/>
          <w:szCs w:val="22"/>
          <w:lang w:val="lt-LT" w:eastAsia="lt-LT"/>
        </w:rPr>
      </w:pPr>
      <w:r>
        <w:rPr>
          <w:iCs/>
          <w:lang w:eastAsia="lt-LT"/>
        </w:rPr>
        <w:t xml:space="preserve">(PMĮ </w:t>
      </w:r>
      <w:r>
        <w:t>43</w:t>
      </w:r>
      <w:r>
        <w:rPr>
          <w:iCs/>
          <w:lang w:eastAsia="lt-LT"/>
        </w:rPr>
        <w:t xml:space="preserve"> straipsnio 3 d. 2 p. komentaro pavyzdys parengtas</w:t>
      </w:r>
      <w:r>
        <w:rPr>
          <w:vertAlign w:val="superscript"/>
        </w:rPr>
        <w:t xml:space="preserve"> </w:t>
      </w:r>
      <w:r>
        <w:rPr>
          <w:iCs/>
          <w:lang w:eastAsia="lt-LT"/>
        </w:rPr>
        <w:t>pagal VMI prie FM 2025-01-21 raštą Nr. (18.32-31-1 Mr)-R-270)</w:t>
      </w:r>
    </w:p>
    <w:p w14:paraId="675911FB" w14:textId="77777777" w:rsidR="00093845" w:rsidRDefault="000D779E">
      <w:pPr>
        <w:pStyle w:val="Pagrindinistekstas"/>
        <w:ind w:firstLine="540"/>
        <w:rPr>
          <w:b/>
          <w:lang w:val="lt-LT"/>
        </w:rPr>
      </w:pPr>
      <w:r>
        <w:rPr>
          <w:b/>
          <w:lang w:val="lt-LT"/>
        </w:rPr>
        <w:t>4. Kai reorganizavimas vykdomas 41 straipsnio 2 dalies 7 punkte nurodytu atveju, vienetai nuostolių perkėlimą tęsia neatsižvelgdami į šio straipsnio 1, 2 ir 3 dalių nuostatas.</w:t>
      </w:r>
    </w:p>
    <w:p w14:paraId="5F13BD92" w14:textId="77777777" w:rsidR="00093845" w:rsidRDefault="000D779E">
      <w:pPr>
        <w:pStyle w:val="Pagrindiniotekstotrauka"/>
        <w:ind w:firstLine="540"/>
        <w:rPr>
          <w:b/>
          <w:lang w:val="lt-LT"/>
        </w:rPr>
      </w:pPr>
      <w:r>
        <w:rPr>
          <w:b/>
          <w:lang w:val="lt-LT"/>
        </w:rPr>
        <w:t xml:space="preserve">Komentaras </w:t>
      </w:r>
    </w:p>
    <w:p w14:paraId="135C7FC1" w14:textId="77777777" w:rsidR="00093845" w:rsidRDefault="000D779E">
      <w:pPr>
        <w:pStyle w:val="Pagrindiniotekstotrauka2"/>
        <w:spacing w:line="240" w:lineRule="auto"/>
        <w:rPr>
          <w:b w:val="0"/>
          <w:bCs w:val="0"/>
        </w:rPr>
      </w:pPr>
      <w:r>
        <w:rPr>
          <w:b w:val="0"/>
          <w:bCs w:val="0"/>
        </w:rPr>
        <w:t xml:space="preserve">Kai atliekami vienetų akcijų mainai PMĮ 41 str. 2 d. 7 punkte numatytu reorganizavimo atveju, tai šiame procese dalyvaujančių ir toliau veiklą tęsiančių vienetų mokestinių nuostolių perkėlimas į kitus metus tęsiamas PMĮ 30 straipsnyje nustatyta tvarka (žr. PMĮ 30 straipsnio komentarą). Šiuo atveju komentuojamo straipsnio 1, 2 ir 3 dalių nuostatos netaikomos. </w:t>
      </w:r>
    </w:p>
    <w:p w14:paraId="5E9DD04D" w14:textId="77777777" w:rsidR="00093845" w:rsidRDefault="000D779E" w:rsidP="00DB7D41">
      <w:pPr>
        <w:pStyle w:val="HTMLiankstoformatuotas"/>
        <w:tabs>
          <w:tab w:val="left" w:pos="720"/>
          <w:tab w:val="left" w:pos="1077"/>
          <w:tab w:val="left" w:pos="1418"/>
        </w:tabs>
        <w:spacing w:after="0"/>
        <w:ind w:firstLine="709"/>
        <w:jc w:val="both"/>
        <w:rPr>
          <w:rFonts w:ascii="Times New Roman" w:hAnsi="Times New Roman"/>
          <w:b/>
          <w:bCs/>
          <w:sz w:val="24"/>
          <w:lang w:val="lt-LT"/>
        </w:rPr>
      </w:pPr>
      <w:r>
        <w:rPr>
          <w:rFonts w:ascii="Times New Roman" w:hAnsi="Times New Roman"/>
          <w:b/>
          <w:bCs/>
          <w:sz w:val="24"/>
          <w:lang w:val="lt-LT"/>
        </w:rPr>
        <w:t>5. Jeigu mokestiniu laikotarpiu vienetas pertvarkomas, ankstesnių mokestinių laikotarpių mokestiniai nuostoliai perkeliami tik tais atvejais, jei dėl pertvarkymo nepasikeičia vieneto savininkai ir pertvarkytas vienetas 3 metus tęsia tą pačią veiklą kaip ir iki pertvarkymo.</w:t>
      </w:r>
    </w:p>
    <w:p w14:paraId="674CF4DC" w14:textId="77777777" w:rsidR="00093845" w:rsidRPr="007F735C" w:rsidRDefault="000D779E" w:rsidP="00DB7D41">
      <w:pPr>
        <w:spacing w:after="0"/>
        <w:jc w:val="both"/>
        <w:rPr>
          <w:iCs/>
          <w:lang w:val="fr-FR"/>
        </w:rPr>
      </w:pPr>
      <w:r>
        <w:rPr>
          <w:lang w:val="fr-FR"/>
        </w:rPr>
        <w:t>(</w:t>
      </w:r>
      <w:r w:rsidRPr="009C0219">
        <w:rPr>
          <w:iCs/>
        </w:rPr>
        <w:t>KEISTA:</w:t>
      </w:r>
      <w:r w:rsidRPr="009C0219">
        <w:rPr>
          <w:iCs/>
          <w:lang w:val="lt-LT"/>
        </w:rPr>
        <w:t xml:space="preserve"> </w:t>
      </w:r>
      <w:r w:rsidRPr="009C0219">
        <w:rPr>
          <w:iCs/>
        </w:rPr>
        <w:t>2008 07 14 įstatymu Nr. X-1697 (nuo 2009 01 01)</w:t>
      </w:r>
      <w:r w:rsidRPr="009B63B7">
        <w:rPr>
          <w:iCs/>
          <w:lang w:val="fr-FR"/>
        </w:rPr>
        <w:t>)</w:t>
      </w:r>
    </w:p>
    <w:p w14:paraId="0E5A826D" w14:textId="77777777" w:rsidR="00093845" w:rsidRDefault="000D779E">
      <w:pPr>
        <w:pStyle w:val="HTMLiankstoformatuotas"/>
        <w:tabs>
          <w:tab w:val="left" w:pos="720"/>
          <w:tab w:val="left" w:pos="1077"/>
          <w:tab w:val="left" w:pos="1418"/>
        </w:tabs>
        <w:ind w:firstLine="709"/>
        <w:jc w:val="both"/>
        <w:outlineLvl w:val="0"/>
        <w:rPr>
          <w:rFonts w:ascii="Times New Roman" w:hAnsi="Times New Roman"/>
          <w:sz w:val="24"/>
          <w:lang w:val="lt-LT"/>
        </w:rPr>
      </w:pPr>
      <w:r>
        <w:rPr>
          <w:rFonts w:ascii="Times New Roman" w:hAnsi="Times New Roman"/>
          <w:b/>
          <w:bCs/>
          <w:sz w:val="24"/>
          <w:lang w:val="lt-LT"/>
        </w:rPr>
        <w:t>Komentaras</w:t>
      </w:r>
    </w:p>
    <w:p w14:paraId="414A55A8" w14:textId="77777777" w:rsidR="00093845" w:rsidRDefault="000D779E">
      <w:pPr>
        <w:pStyle w:val="Tekstoblokas"/>
        <w:tabs>
          <w:tab w:val="left" w:pos="720"/>
          <w:tab w:val="left" w:pos="1077"/>
          <w:tab w:val="left" w:pos="1134"/>
          <w:tab w:val="left" w:pos="1418"/>
        </w:tabs>
        <w:ind w:left="0" w:right="0" w:firstLine="709"/>
        <w:rPr>
          <w:szCs w:val="20"/>
        </w:rPr>
      </w:pPr>
      <w:r>
        <w:t>1.</w:t>
      </w:r>
      <w:r>
        <w:tab/>
      </w:r>
      <w:r>
        <w:rPr>
          <w:szCs w:val="20"/>
        </w:rPr>
        <w:t xml:space="preserve">Pertvarkymas - tai vieneto teisinės formos pakeitimas, kai naujos teisinės formos vienetas perima visas pertvarkytojo vieneto teises ir pareigas. </w:t>
      </w:r>
    </w:p>
    <w:p w14:paraId="5BC4E180" w14:textId="77777777" w:rsidR="00093845" w:rsidRDefault="000D779E">
      <w:pPr>
        <w:pStyle w:val="HTMLiankstoformatuotas"/>
        <w:tabs>
          <w:tab w:val="clear" w:pos="916"/>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2.</w:t>
      </w:r>
      <w:r>
        <w:rPr>
          <w:rFonts w:ascii="Times New Roman" w:hAnsi="Times New Roman"/>
          <w:sz w:val="24"/>
          <w:lang w:val="lt-LT"/>
        </w:rPr>
        <w:tab/>
        <w:t>Šioje dalyje nustatyta, kad vienetų pertvarkymo atveju, kai keičiama tik jo teisinė forma, o po pertvarkymo nepasikeičia vieneto savininkai ir pertvarkytas vienetas ne trumpiau kaip 3 metus užsiima ta pačia veikla, tai toks pertvarkytas vienetas gali perkelti ankstesnių mokestinių laikotarpių mokestinius nuostolius, kuriuos patyrė iki pertvarkymo. Nuostatos taikomos nuo 2009-01-01 pertvarkytiems vienetams.</w:t>
      </w:r>
    </w:p>
    <w:p w14:paraId="2B0BD2AE"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Mokestinai nuostoliai perkeliami PMĮ 30 straipsnyje nustatyta tvarka (žr. šio straipsnio komentarą).</w:t>
      </w:r>
    </w:p>
    <w:p w14:paraId="7F9E1541" w14:textId="77777777" w:rsidR="00093845" w:rsidRDefault="000D779E">
      <w:pPr>
        <w:pStyle w:val="HTMLiankstoformatuotas"/>
        <w:tabs>
          <w:tab w:val="left" w:pos="720"/>
          <w:tab w:val="left" w:pos="1077"/>
          <w:tab w:val="left" w:pos="1418"/>
        </w:tabs>
        <w:ind w:firstLine="709"/>
        <w:outlineLvl w:val="0"/>
        <w:rPr>
          <w:rFonts w:ascii="Times New Roman" w:hAnsi="Times New Roman"/>
          <w:sz w:val="24"/>
          <w:lang w:val="lt-LT"/>
        </w:rPr>
      </w:pPr>
      <w:r>
        <w:rPr>
          <w:rFonts w:ascii="Times New Roman" w:hAnsi="Times New Roman"/>
          <w:sz w:val="24"/>
          <w:lang w:val="lt-LT"/>
        </w:rPr>
        <w:t>Pavyzdys</w:t>
      </w:r>
    </w:p>
    <w:p w14:paraId="6EA259B8" w14:textId="77777777" w:rsidR="00093845" w:rsidRDefault="000D779E">
      <w:pPr>
        <w:pStyle w:val="Pagrindinistekstas"/>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lastRenderedPageBreak/>
        <w:t xml:space="preserve">Vienetas X (individuali įmonė), vykdantis prekybą automobiliais, už 2008 metus deklaravo mokestinius nuostolius. 2009 metais vienetas X pertvarkytas į vienetą Y (uždarąją akcinę bendrovę). Vieneto Y steigėjas (vienintelis akcininkas) yra tas pats vieneto X savininkas, t.y. savininkas nepasikeičia. Vienetas Y vykdo tą pačią veiklą kaip ir vienetas X, t.y. prekiauja automobiliais. Vadinasi, pertvarkytas vienetas Y gali perkelti vieneto X 2008 metai susidariusius mokestinius nuostolius į 2009 ir vėlesnius mokestinius metus, jeigu vienetas Y 3 metus vykdo tą pačią veiklą. </w:t>
      </w:r>
    </w:p>
    <w:p w14:paraId="6558D277" w14:textId="77777777" w:rsidR="00093845" w:rsidRDefault="000D779E">
      <w:pPr>
        <w:pStyle w:val="Pagrindiniotekstotrauka"/>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3. Jeigu pertvarkymo metu pasikeičia vieneto savininkai, ankstesnių mokestinių laikotarpių mokestiniai nuostoliai negali būti perkeliami į kitus mokestinius laikotarpius.</w:t>
      </w:r>
    </w:p>
    <w:p w14:paraId="1B8F0B5B" w14:textId="77777777" w:rsidR="00093845" w:rsidRDefault="000D779E">
      <w:pPr>
        <w:pStyle w:val="Pagrindiniotekstotrauka"/>
        <w:tabs>
          <w:tab w:val="left" w:pos="720"/>
          <w:tab w:val="left" w:pos="1077"/>
          <w:tab w:val="left" w:pos="1134"/>
          <w:tab w:val="left" w:pos="1418"/>
        </w:tabs>
        <w:ind w:firstLine="709"/>
        <w:outlineLvl w:val="0"/>
        <w:rPr>
          <w:rFonts w:ascii="Times New Roman" w:hAnsi="Times New Roman"/>
          <w:lang w:val="lt-LT"/>
        </w:rPr>
      </w:pPr>
      <w:r>
        <w:rPr>
          <w:rFonts w:ascii="Times New Roman" w:hAnsi="Times New Roman"/>
          <w:lang w:val="lt-LT"/>
        </w:rPr>
        <w:t>Pavyzdys</w:t>
      </w:r>
    </w:p>
    <w:p w14:paraId="59B359A7" w14:textId="77777777" w:rsidR="00093845" w:rsidRDefault="000D779E">
      <w:pPr>
        <w:pStyle w:val="HTMLiankstoformatuotas"/>
        <w:pBdr>
          <w:top w:val="single" w:sz="4" w:space="1" w:color="auto"/>
          <w:left w:val="single" w:sz="4" w:space="4" w:color="auto"/>
          <w:bottom w:val="single" w:sz="4" w:space="0" w:color="auto"/>
          <w:right w:val="single" w:sz="4" w:space="4" w:color="auto"/>
        </w:pBdr>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Vienetas X (individuali įmonė), vykdantis krovinių pervežimo veiklą, už 2007 ir už 2008 metus deklaravo mokestinius nuostolius. 2009 metais vienetas X pertvarkytas į vienetą Y    (uždarąją akcinę bendrovę). Pertvarkymo metu akcijos buvo perduotos kitiems asmenims. Vienetas Y vykdo tą pačią krovinių pervežimo veiklą, tačiau pertvarkytas vienetas Y negali perkelti vieneto X ankstesnių mokestinių laikotarpių, t.y. 2007 ir 2008 metų, mokestinių nuostolių į 2009 ir vėlesnius mokestinius metus, nes pertvarkymo metu pasikeitė vienetų savininkai.</w:t>
      </w:r>
    </w:p>
    <w:p w14:paraId="50835354" w14:textId="77777777" w:rsidR="00093845" w:rsidRDefault="000D779E">
      <w:pPr>
        <w:pStyle w:val="HTMLiankstoformatuotas"/>
        <w:tabs>
          <w:tab w:val="left" w:pos="720"/>
          <w:tab w:val="left" w:pos="1077"/>
          <w:tab w:val="left" w:pos="1418"/>
        </w:tabs>
        <w:ind w:firstLine="709"/>
        <w:jc w:val="both"/>
        <w:rPr>
          <w:rFonts w:ascii="Times New Roman" w:hAnsi="Times New Roman"/>
          <w:bCs/>
          <w:sz w:val="24"/>
          <w:lang w:val="lt-LT"/>
        </w:rPr>
      </w:pPr>
      <w:r>
        <w:rPr>
          <w:rFonts w:ascii="Times New Roman" w:hAnsi="Times New Roman"/>
          <w:bCs/>
          <w:sz w:val="24"/>
          <w:lang w:val="lt-LT"/>
        </w:rPr>
        <w:t>4. Jeigu pertvarkytas vienetas kurį laiką tęsia pertvarkyto vieneto veiklą ir, apskaičiuodamas atitinkamų mokestinių laikotarpių apmokestinamąjį pelną, iš pajamų atskaito pertvarkyto vieneto patirtus mokestinius nuostolius, tačiau veiklos pobūdį pakeičia nepraėjus 3 metams, pertvarkytas vienetas turi perskaičiuoti atitinkamų mokestinių laikotarpių apmokestinamąjį pelną ir mokesčių administratoriui pateikti patikslintas tų mokestinių laikotarpių metines pelno mokesčio deklaracijas.</w:t>
      </w:r>
    </w:p>
    <w:p w14:paraId="59209A6D" w14:textId="77777777" w:rsidR="00093845" w:rsidRPr="0065344A" w:rsidRDefault="000D779E">
      <w:pPr>
        <w:rPr>
          <w:lang w:val="lt-LT"/>
        </w:rPr>
      </w:pPr>
      <w:r>
        <w:rPr>
          <w:lang w:val="lt-LT"/>
        </w:rPr>
        <w:t xml:space="preserve">           4</w:t>
      </w:r>
      <w:r>
        <w:rPr>
          <w:vertAlign w:val="superscript"/>
          <w:lang w:val="lt-LT"/>
        </w:rPr>
        <w:t>1</w:t>
      </w:r>
      <w:r>
        <w:rPr>
          <w:lang w:val="lt-LT"/>
        </w:rPr>
        <w:t>. Jeigu pertvarkytas vienetas nepraėjus 3 metams likviduojamas, tai perskaičiuoti atitinkamų mokestinių laikotarpių apmokestinamojo pelno ir patikslinti tų mokestinių laikotarpių metinių pelno mokesčio deklaracijų nereikia.</w:t>
      </w:r>
    </w:p>
    <w:p w14:paraId="52D12A6D" w14:textId="77777777" w:rsidR="00093845" w:rsidRDefault="000D779E">
      <w:pPr>
        <w:rPr>
          <w:bCs/>
          <w:lang w:val="lt-LT"/>
        </w:rPr>
      </w:pPr>
      <w:r w:rsidRPr="0065344A">
        <w:rPr>
          <w:lang w:val="lt-LT"/>
        </w:rPr>
        <w:t xml:space="preserve"> </w:t>
      </w:r>
      <w:r w:rsidR="0014647B">
        <w:rPr>
          <w:lang w:val="lt-LT"/>
        </w:rPr>
        <w:t xml:space="preserve">           </w:t>
      </w:r>
      <w:r>
        <w:t>(Papildyta pagal VMI prie FM raštą 2012-03-05 Nr. (18.18-31-1)-R-2118)</w:t>
      </w:r>
    </w:p>
    <w:p w14:paraId="3D5587D7" w14:textId="77777777" w:rsidR="00093845" w:rsidRDefault="000D779E">
      <w:pPr>
        <w:pStyle w:val="HTMLiankstoformatuotas"/>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5. Šioje dalyje nustatytas 3 metų laikotarpis prasideda nuo kitos dienos po tos kalendorinės datos, kurią vienetas buvo pertvarkytas. Pertvarkyto vieneto perimta mokestinių laikotarpių nuostolių suma gali būti atskaitoma iš pertvarkyto vieneto pajamų, pradedant tuo mokestiniu laikotarpiu, kurį įvyko pertvarkymas, jei perimta veikla bus tęsiama ne trumpesnį kaip 3 metų laikotarpį.</w:t>
      </w:r>
    </w:p>
    <w:p w14:paraId="154920B2" w14:textId="77777777" w:rsidR="00093845" w:rsidRDefault="000D779E">
      <w:pPr>
        <w:pStyle w:val="HTMLiankstoformatuotas"/>
        <w:tabs>
          <w:tab w:val="left" w:pos="720"/>
          <w:tab w:val="left" w:pos="1077"/>
          <w:tab w:val="left" w:pos="1418"/>
        </w:tabs>
        <w:ind w:firstLine="709"/>
        <w:rPr>
          <w:rFonts w:ascii="Times New Roman" w:hAnsi="Times New Roman"/>
          <w:bCs/>
          <w:sz w:val="24"/>
          <w:lang w:val="lt-LT"/>
        </w:rPr>
      </w:pPr>
      <w:r>
        <w:rPr>
          <w:rFonts w:ascii="Times New Roman" w:hAnsi="Times New Roman"/>
          <w:bCs/>
          <w:sz w:val="24"/>
          <w:lang w:val="lt-LT"/>
        </w:rPr>
        <w:t>1 pavyzdys</w:t>
      </w:r>
    </w:p>
    <w:p w14:paraId="3177FB1F"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bCs/>
          <w:sz w:val="24"/>
          <w:lang w:val="lt-LT"/>
        </w:rPr>
      </w:pPr>
      <w:r>
        <w:rPr>
          <w:rFonts w:ascii="Times New Roman" w:hAnsi="Times New Roman"/>
          <w:bCs/>
          <w:sz w:val="24"/>
          <w:lang w:val="lt-LT"/>
        </w:rPr>
        <w:t xml:space="preserve">Vienetas X prekiavo automobiliais. </w:t>
      </w:r>
      <w:r w:rsidRPr="00F308F5">
        <w:rPr>
          <w:rFonts w:ascii="Times New Roman" w:hAnsi="Times New Roman"/>
          <w:bCs/>
          <w:sz w:val="24"/>
          <w:lang w:val="lt-LT"/>
        </w:rPr>
        <w:t>2022</w:t>
      </w:r>
      <w:r>
        <w:rPr>
          <w:rFonts w:ascii="Times New Roman" w:hAnsi="Times New Roman"/>
          <w:bCs/>
          <w:sz w:val="24"/>
          <w:lang w:val="lt-LT"/>
        </w:rPr>
        <w:t xml:space="preserve"> metais jis patyrė 5 000 </w:t>
      </w:r>
      <w:r w:rsidRPr="00F308F5">
        <w:rPr>
          <w:rFonts w:ascii="Times New Roman" w:hAnsi="Times New Roman"/>
          <w:bCs/>
          <w:sz w:val="24"/>
          <w:lang w:val="lt-LT"/>
        </w:rPr>
        <w:t>EUR</w:t>
      </w:r>
      <w:r>
        <w:rPr>
          <w:rFonts w:ascii="Times New Roman" w:hAnsi="Times New Roman"/>
          <w:bCs/>
          <w:sz w:val="24"/>
          <w:lang w:val="lt-LT"/>
        </w:rPr>
        <w:t xml:space="preserve">, </w:t>
      </w:r>
      <w:r w:rsidRPr="00F308F5">
        <w:rPr>
          <w:rFonts w:ascii="Times New Roman" w:hAnsi="Times New Roman"/>
          <w:bCs/>
          <w:sz w:val="24"/>
          <w:lang w:val="lt-LT"/>
        </w:rPr>
        <w:t>2023</w:t>
      </w:r>
      <w:r>
        <w:rPr>
          <w:rFonts w:ascii="Times New Roman" w:hAnsi="Times New Roman"/>
          <w:bCs/>
          <w:sz w:val="24"/>
          <w:lang w:val="lt-LT"/>
        </w:rPr>
        <w:t xml:space="preserve"> metais – 10 000 </w:t>
      </w:r>
      <w:r w:rsidRPr="00F308F5">
        <w:rPr>
          <w:rFonts w:ascii="Times New Roman" w:hAnsi="Times New Roman"/>
          <w:bCs/>
          <w:sz w:val="24"/>
          <w:lang w:val="lt-LT"/>
        </w:rPr>
        <w:t>EUR</w:t>
      </w:r>
      <w:r>
        <w:rPr>
          <w:rFonts w:ascii="Times New Roman" w:hAnsi="Times New Roman"/>
          <w:bCs/>
          <w:sz w:val="24"/>
          <w:lang w:val="lt-LT"/>
        </w:rPr>
        <w:t xml:space="preserve">, o </w:t>
      </w:r>
      <w:r w:rsidRPr="00F308F5">
        <w:rPr>
          <w:rFonts w:ascii="Times New Roman" w:hAnsi="Times New Roman"/>
          <w:bCs/>
          <w:sz w:val="24"/>
          <w:lang w:val="lt-LT"/>
        </w:rPr>
        <w:t>2024</w:t>
      </w:r>
      <w:r>
        <w:rPr>
          <w:rFonts w:ascii="Times New Roman" w:hAnsi="Times New Roman"/>
          <w:bCs/>
          <w:sz w:val="24"/>
          <w:lang w:val="lt-LT"/>
        </w:rPr>
        <w:t xml:space="preserve"> metais – 5 000 EUR mokestinius nuostolius. </w:t>
      </w:r>
    </w:p>
    <w:p w14:paraId="62E99F6A"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sz w:val="24"/>
          <w:szCs w:val="24"/>
          <w:lang w:val="lt-LT"/>
        </w:rPr>
      </w:pPr>
      <w:r w:rsidRPr="00F308F5">
        <w:rPr>
          <w:rFonts w:ascii="Times New Roman" w:hAnsi="Times New Roman"/>
          <w:bCs/>
          <w:sz w:val="24"/>
          <w:lang w:val="lt-LT"/>
        </w:rPr>
        <w:t>2025</w:t>
      </w:r>
      <w:r>
        <w:rPr>
          <w:rFonts w:ascii="Times New Roman" w:hAnsi="Times New Roman"/>
          <w:bCs/>
          <w:sz w:val="24"/>
          <w:lang w:val="lt-LT"/>
        </w:rPr>
        <w:t xml:space="preserve"> metais vienetas X pertvarkytas į vienetą Y. Vieneto Y savininkas yra tas pats vieneto X savininkas, t. y. savininkas nepasikeičia</w:t>
      </w:r>
      <w:r>
        <w:rPr>
          <w:rFonts w:ascii="Times New Roman" w:hAnsi="Times New Roman"/>
          <w:bCs/>
          <w:sz w:val="24"/>
          <w:szCs w:val="24"/>
          <w:lang w:val="lt-LT"/>
        </w:rPr>
        <w:t xml:space="preserve">. </w:t>
      </w:r>
      <w:r>
        <w:rPr>
          <w:rFonts w:ascii="Times New Roman" w:hAnsi="Times New Roman"/>
          <w:sz w:val="24"/>
          <w:szCs w:val="24"/>
          <w:lang w:val="lt-LT"/>
        </w:rPr>
        <w:t xml:space="preserve">Vienetas Y vykdo tą pačią veiklą kaip ir vienetas X, t. y. prekiauja automobiliais. </w:t>
      </w:r>
      <w:r w:rsidRPr="00F308F5">
        <w:rPr>
          <w:rFonts w:ascii="Times New Roman" w:hAnsi="Times New Roman"/>
          <w:sz w:val="24"/>
          <w:szCs w:val="24"/>
          <w:lang w:val="lt-LT"/>
        </w:rPr>
        <w:t>2025</w:t>
      </w:r>
      <w:r>
        <w:rPr>
          <w:rFonts w:ascii="Times New Roman" w:hAnsi="Times New Roman"/>
          <w:sz w:val="24"/>
          <w:szCs w:val="24"/>
          <w:lang w:val="lt-LT"/>
        </w:rPr>
        <w:t xml:space="preserve"> metais vienetas Y gavo 8 000 </w:t>
      </w:r>
      <w:r w:rsidRPr="00F308F5">
        <w:rPr>
          <w:rFonts w:ascii="Times New Roman" w:hAnsi="Times New Roman"/>
          <w:sz w:val="24"/>
          <w:szCs w:val="24"/>
          <w:lang w:val="lt-LT"/>
        </w:rPr>
        <w:t>EUR</w:t>
      </w:r>
      <w:r>
        <w:rPr>
          <w:rFonts w:ascii="Times New Roman" w:hAnsi="Times New Roman"/>
          <w:sz w:val="24"/>
          <w:szCs w:val="24"/>
          <w:lang w:val="lt-LT"/>
        </w:rPr>
        <w:t xml:space="preserve"> pelną ir į </w:t>
      </w:r>
      <w:r w:rsidRPr="00F308F5">
        <w:rPr>
          <w:rFonts w:ascii="Times New Roman" w:hAnsi="Times New Roman"/>
          <w:sz w:val="24"/>
          <w:szCs w:val="24"/>
          <w:lang w:val="lt-LT"/>
        </w:rPr>
        <w:t>2025</w:t>
      </w:r>
      <w:r>
        <w:rPr>
          <w:rFonts w:ascii="Times New Roman" w:hAnsi="Times New Roman"/>
          <w:b/>
          <w:sz w:val="24"/>
          <w:szCs w:val="24"/>
          <w:lang w:val="lt-LT"/>
        </w:rPr>
        <w:t xml:space="preserve"> </w:t>
      </w:r>
      <w:r>
        <w:rPr>
          <w:rFonts w:ascii="Times New Roman" w:hAnsi="Times New Roman"/>
          <w:sz w:val="24"/>
          <w:szCs w:val="24"/>
          <w:lang w:val="lt-LT"/>
        </w:rPr>
        <w:t xml:space="preserve">mokestinius metus perkėlė 5 000 </w:t>
      </w:r>
      <w:r w:rsidRPr="00F308F5">
        <w:rPr>
          <w:rFonts w:ascii="Times New Roman" w:hAnsi="Times New Roman"/>
          <w:sz w:val="24"/>
          <w:szCs w:val="24"/>
          <w:lang w:val="lt-LT"/>
        </w:rPr>
        <w:t>EUR</w:t>
      </w:r>
      <w:r>
        <w:rPr>
          <w:rFonts w:ascii="Times New Roman" w:hAnsi="Times New Roman"/>
          <w:sz w:val="24"/>
          <w:szCs w:val="24"/>
          <w:lang w:val="lt-LT"/>
        </w:rPr>
        <w:t xml:space="preserve"> </w:t>
      </w:r>
      <w:r w:rsidRPr="00F308F5">
        <w:rPr>
          <w:rFonts w:ascii="Times New Roman" w:hAnsi="Times New Roman"/>
          <w:sz w:val="24"/>
          <w:szCs w:val="24"/>
          <w:lang w:val="lt-LT"/>
        </w:rPr>
        <w:t>2022</w:t>
      </w:r>
      <w:r w:rsidRPr="000066D5">
        <w:rPr>
          <w:rFonts w:ascii="Times New Roman" w:hAnsi="Times New Roman"/>
          <w:b/>
          <w:sz w:val="24"/>
          <w:szCs w:val="24"/>
          <w:lang w:val="lt-LT"/>
        </w:rPr>
        <w:t xml:space="preserve"> </w:t>
      </w:r>
      <w:r>
        <w:rPr>
          <w:rFonts w:ascii="Times New Roman" w:hAnsi="Times New Roman"/>
          <w:sz w:val="24"/>
          <w:szCs w:val="24"/>
          <w:lang w:val="lt-LT"/>
        </w:rPr>
        <w:t xml:space="preserve">mokestiniais metais ir 3 000 </w:t>
      </w:r>
      <w:r w:rsidRPr="00F308F5">
        <w:rPr>
          <w:rFonts w:ascii="Times New Roman" w:hAnsi="Times New Roman"/>
          <w:sz w:val="24"/>
          <w:szCs w:val="24"/>
          <w:lang w:val="lt-LT"/>
        </w:rPr>
        <w:t>EUR</w:t>
      </w:r>
      <w:r>
        <w:rPr>
          <w:rFonts w:ascii="Times New Roman" w:hAnsi="Times New Roman"/>
          <w:sz w:val="24"/>
          <w:szCs w:val="24"/>
          <w:lang w:val="lt-LT"/>
        </w:rPr>
        <w:t xml:space="preserve"> </w:t>
      </w:r>
      <w:r w:rsidRPr="00F308F5">
        <w:rPr>
          <w:rFonts w:ascii="Times New Roman" w:hAnsi="Times New Roman"/>
          <w:sz w:val="24"/>
          <w:szCs w:val="24"/>
          <w:lang w:val="lt-LT"/>
        </w:rPr>
        <w:t>2023</w:t>
      </w:r>
      <w:r>
        <w:rPr>
          <w:rFonts w:ascii="Times New Roman" w:hAnsi="Times New Roman"/>
          <w:sz w:val="24"/>
          <w:szCs w:val="24"/>
          <w:lang w:val="lt-LT"/>
        </w:rPr>
        <w:t xml:space="preserve"> mokestiniais metais susidariusių nuostolių dalį.</w:t>
      </w:r>
    </w:p>
    <w:p w14:paraId="37958677" w14:textId="77777777" w:rsidR="003B77CA" w:rsidRDefault="003B77CA" w:rsidP="003B77CA">
      <w:pPr>
        <w:pStyle w:val="HTMLiankstoformatuotas"/>
        <w:pBdr>
          <w:top w:val="single" w:sz="4" w:space="1" w:color="auto"/>
          <w:left w:val="single" w:sz="4" w:space="0" w:color="auto"/>
          <w:bottom w:val="single" w:sz="4" w:space="1" w:color="auto"/>
          <w:right w:val="single" w:sz="4" w:space="4" w:color="auto"/>
        </w:pBdr>
        <w:tabs>
          <w:tab w:val="left" w:pos="720"/>
          <w:tab w:val="left" w:pos="1077"/>
          <w:tab w:val="left" w:pos="1418"/>
        </w:tabs>
        <w:ind w:firstLine="709"/>
        <w:jc w:val="both"/>
        <w:rPr>
          <w:rFonts w:ascii="Times New Roman" w:hAnsi="Times New Roman"/>
          <w:bCs/>
          <w:sz w:val="24"/>
          <w:szCs w:val="24"/>
          <w:lang w:val="lt-LT"/>
        </w:rPr>
      </w:pPr>
      <w:r w:rsidRPr="00F308F5">
        <w:rPr>
          <w:rFonts w:ascii="Times New Roman" w:hAnsi="Times New Roman"/>
          <w:sz w:val="24"/>
          <w:szCs w:val="24"/>
          <w:lang w:val="lt-LT"/>
        </w:rPr>
        <w:t>2026</w:t>
      </w:r>
      <w:r>
        <w:rPr>
          <w:rFonts w:ascii="Times New Roman" w:hAnsi="Times New Roman"/>
          <w:sz w:val="24"/>
          <w:szCs w:val="24"/>
          <w:lang w:val="lt-LT"/>
        </w:rPr>
        <w:t xml:space="preserve"> metais vienetas Y pakeitė veiklos pobūdį ir pradėjo vykdyti nekilnojamo turto nuomos veiklą, iš kurios tais metais gavo 7 000 </w:t>
      </w:r>
      <w:r w:rsidRPr="00F308F5">
        <w:rPr>
          <w:rFonts w:ascii="Times New Roman" w:hAnsi="Times New Roman"/>
          <w:sz w:val="24"/>
          <w:szCs w:val="24"/>
          <w:lang w:val="lt-LT"/>
        </w:rPr>
        <w:t>EUR</w:t>
      </w:r>
      <w:r>
        <w:rPr>
          <w:rFonts w:ascii="Times New Roman" w:hAnsi="Times New Roman"/>
          <w:sz w:val="24"/>
          <w:szCs w:val="24"/>
          <w:lang w:val="lt-LT"/>
        </w:rPr>
        <w:t xml:space="preserve"> pelno. Kadangi vienetas Y pertvarkyto vieneto X veiklą vykdė trumpiau kaip 3 metus, jis turi perskaičiuoti </w:t>
      </w:r>
      <w:r w:rsidRPr="00F308F5">
        <w:rPr>
          <w:rFonts w:ascii="Times New Roman" w:hAnsi="Times New Roman"/>
          <w:sz w:val="24"/>
          <w:szCs w:val="24"/>
          <w:lang w:val="lt-LT"/>
        </w:rPr>
        <w:t>2025</w:t>
      </w:r>
      <w:r>
        <w:rPr>
          <w:rFonts w:ascii="Times New Roman" w:hAnsi="Times New Roman"/>
          <w:sz w:val="24"/>
          <w:szCs w:val="24"/>
          <w:lang w:val="lt-LT"/>
        </w:rPr>
        <w:t xml:space="preserve"> mokestinių metų apmokestinamąjį pelną ir pelno mokestį bei pateikti mokesčių administratoriui patikslintą to mokestinio laikotarpio pelno mokesčio deklaraciją.</w:t>
      </w:r>
    </w:p>
    <w:p w14:paraId="7E545EB7" w14:textId="77777777" w:rsidR="003B77CA" w:rsidRPr="003B77CA" w:rsidRDefault="003B77CA" w:rsidP="003B77CA">
      <w:pPr>
        <w:jc w:val="both"/>
        <w:rPr>
          <w:iCs/>
          <w:sz w:val="22"/>
          <w:szCs w:val="22"/>
          <w:lang w:val="lt-LT" w:eastAsia="lt-LT"/>
        </w:rPr>
      </w:pPr>
      <w:r>
        <w:rPr>
          <w:iCs/>
          <w:lang w:eastAsia="lt-LT"/>
        </w:rPr>
        <w:lastRenderedPageBreak/>
        <w:t xml:space="preserve">(PMĮ </w:t>
      </w:r>
      <w:r>
        <w:t>43</w:t>
      </w:r>
      <w:r>
        <w:rPr>
          <w:iCs/>
          <w:lang w:eastAsia="lt-LT"/>
        </w:rPr>
        <w:t xml:space="preserve"> straipsnio 5 d. 5 p. komentaro 1 pavyzdys parengtas</w:t>
      </w:r>
      <w:r>
        <w:rPr>
          <w:vertAlign w:val="superscript"/>
        </w:rPr>
        <w:t xml:space="preserve"> </w:t>
      </w:r>
      <w:r>
        <w:rPr>
          <w:iCs/>
          <w:lang w:eastAsia="lt-LT"/>
        </w:rPr>
        <w:t>pagal VMI prie FM 2025-01-21 raštą Nr. (18.32-31-1 Mr)-R-270)</w:t>
      </w:r>
    </w:p>
    <w:p w14:paraId="05C28A5F" w14:textId="77777777" w:rsidR="00093845" w:rsidRDefault="000D779E">
      <w:pPr>
        <w:pStyle w:val="HTMLiankstoformatuotas"/>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2 pavyzdys</w:t>
      </w:r>
    </w:p>
    <w:p w14:paraId="1343039B"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ind w:firstLine="709"/>
        <w:jc w:val="both"/>
        <w:rPr>
          <w:rFonts w:ascii="Times New Roman" w:hAnsi="Times New Roman"/>
          <w:bCs/>
          <w:color w:val="000000"/>
          <w:sz w:val="24"/>
          <w:lang w:val="lt-LT"/>
        </w:rPr>
      </w:pPr>
      <w:r>
        <w:rPr>
          <w:rFonts w:ascii="Times New Roman" w:hAnsi="Times New Roman"/>
          <w:bCs/>
          <w:color w:val="000000"/>
          <w:sz w:val="24"/>
          <w:lang w:val="lt-LT"/>
        </w:rPr>
        <w:t>Vienetas X 2009 m. spalio 10 d. buvo pertvarkytas į vienetą Y. Vieneto Y savininkas yra tas pats vieneto X savininkas, t. y. savininkas nepasikeičia. Vienetas Y, kurio mokestinis laikotarpis sutampa su kalendoriniais metais, toliau tęsia vieneto X vykdytą veiklą. PMĮ 43 str. 5 dalies nuostatos būtų taikomos, jeigu vienetas Y tęstų pertvarkyto vieneto X veiklą nuo 2009 m. spalio 11 d. iki 2012 m. spalio 10 d. imtinai (t. y. 3 metus). Tarkime, kad nuo 2012 m. liepos mėn. vienetas Y pakeitė veiklos pobūdį. Apskaičiuodamas 2009-2011 mokestinių metų apmokestinamąjį pelną vienetas Y iš pajamų atskaitė dalį vieneto X patirtų mokestinių nuostolių. Kadangi vienetas Y pertvarkyto vieneto veiklą tęsė trumpiau kaip 3 metus, PMĮ 43 str. 5 dalies nuostatos negali būti taikomos, todėl vienetas Y turi perskaičiuoti 2009-2011 mokestinių metų apmokestinamąjį pelną ir pelno mokestį bei pateikti mokesčių administratoriui patikslintas šių mokestinių laikotarpių metines pelno mokesčio deklaracijas.</w:t>
      </w:r>
    </w:p>
    <w:p w14:paraId="0CEE016A" w14:textId="77777777" w:rsidR="00093845" w:rsidRDefault="0014647B">
      <w:pPr>
        <w:pStyle w:val="Antrat1"/>
        <w:jc w:val="both"/>
        <w:rPr>
          <w:b w:val="0"/>
          <w:bCs w:val="0"/>
          <w:iCs/>
          <w:lang w:val="lt-LT"/>
        </w:rPr>
      </w:pPr>
      <w:r>
        <w:rPr>
          <w:b w:val="0"/>
          <w:bCs w:val="0"/>
          <w:iCs/>
          <w:lang w:val="lt-LT"/>
        </w:rPr>
        <w:t xml:space="preserve">            (P</w:t>
      </w:r>
      <w:r w:rsidR="000D779E">
        <w:rPr>
          <w:b w:val="0"/>
          <w:bCs w:val="0"/>
          <w:iCs/>
          <w:lang w:val="lt-LT"/>
        </w:rPr>
        <w:t>agal VMI prie FM 2009-04-28 raštą Nr. (18.10-31-1)-R-4091)</w:t>
      </w:r>
    </w:p>
    <w:p w14:paraId="21B90A83" w14:textId="77777777" w:rsidR="00093845" w:rsidRDefault="000D779E">
      <w:pPr>
        <w:ind w:firstLine="720"/>
        <w:jc w:val="both"/>
        <w:rPr>
          <w:b/>
          <w:bCs/>
          <w:lang w:val="lt-LT"/>
        </w:rPr>
      </w:pPr>
      <w:r>
        <w:rPr>
          <w:b/>
          <w:bCs/>
          <w:lang w:val="lt-LT"/>
        </w:rPr>
        <w:t>6. Kai šio Įstatymo 41 straipsnio 2 dalies 9 punkte nustatytu atveju Lietuvos vienetas perkelia registruotą buveinę, šio Lietuvos vieneto mokestinio laikotarpio nuostolius, susidariusius iki registruotos buveinės perkėlimo ir šio Įstatymo nustatyta tvarka neperkeltus į kitus metus, tęsdamas šių nuostolių perkėlimą, gali perkelti vienetas, toliau vykdantis veiklą Lietuvos Respublikoje per nuolatinę buveinę.</w:t>
      </w:r>
    </w:p>
    <w:p w14:paraId="52D5169C" w14:textId="77777777" w:rsidR="00093845" w:rsidRDefault="000D779E">
      <w:pPr>
        <w:pStyle w:val="Antrat1"/>
        <w:ind w:firstLine="720"/>
        <w:jc w:val="both"/>
        <w:rPr>
          <w:lang w:val="lt-LT"/>
        </w:rPr>
      </w:pPr>
      <w:r>
        <w:rPr>
          <w:lang w:val="lt-LT"/>
        </w:rPr>
        <w:t>Komentaras  </w:t>
      </w:r>
    </w:p>
    <w:p w14:paraId="53D14267" w14:textId="77777777" w:rsidR="00093845" w:rsidRDefault="000D779E">
      <w:pPr>
        <w:pStyle w:val="Style1"/>
        <w:rPr>
          <w:rFonts w:ascii="Times New Roman" w:hAnsi="Times New Roman"/>
          <w:szCs w:val="24"/>
        </w:rPr>
      </w:pPr>
      <w:r>
        <w:rPr>
          <w:rFonts w:ascii="Times New Roman" w:hAnsi="Times New Roman"/>
          <w:szCs w:val="24"/>
        </w:rPr>
        <w:t>1. Remiantis šios dalies nuostatomis, Lietuvos vieneto – Europos bendrovės ar Europos kooperatinės bendrovės registruotą buveinę perkėlus į kitą ES valstybę narę (žr. PMĮ 41 str. 2 d. 9 punkto ir 42 str. 7 dalies komentarą), tai Europos bendrovei ar Europos kooperatinei bendrovei, tęsiančiai veiklą per nuolatinę buveinę Lietuvoje, leidžiama perimti šio Lietuvos vieneto mokestinio laikotarpio nuostolius, susidariusius ir dar neperkeltus iki registruotos buveinės perkėlimo, ir tęsti jų perkėlimą PMĮ 30 straipsnyje nustatyta tvarka.</w:t>
      </w:r>
    </w:p>
    <w:p w14:paraId="1DED3A31" w14:textId="77777777" w:rsidR="00093845" w:rsidRDefault="000D779E">
      <w:pPr>
        <w:pStyle w:val="Pagrindiniotekstotrauka2"/>
        <w:spacing w:line="240" w:lineRule="auto"/>
        <w:rPr>
          <w:b w:val="0"/>
          <w:bCs w:val="0"/>
          <w:i/>
          <w:iCs/>
        </w:rPr>
      </w:pPr>
      <w:r>
        <w:rPr>
          <w:b w:val="0"/>
          <w:bCs w:val="0"/>
        </w:rPr>
        <w:t>2. Apskaičiuojant tokios Europos bendrovės ar Europos kooperatinės bendrovės nuolatinės buveinės apmokestinamąjį pelną, iš Lietuvos vieneto perimti minėti nuostoliai iš tos nuolatinės buveinės pajamų atskaitomi ta pačia PMĮ 30 straipsnyje nustatyta tvarka, kaip jie būtų atskaitomi iš Lietuvos vieneto pajamų, jei jis toliau būtų vykdęs veiklą Lietuvoje (mokestinių nuostolių perkėlimo laikotarpis, numatytas PMĮ 30 straipsnyje, skaičiuojamas, atsižvelgiant į tų nuostolių susidarymą Lietuvos vienete iki registruotos buveinės perkėlimo).</w:t>
      </w:r>
    </w:p>
    <w:p w14:paraId="30DE3C4C" w14:textId="77777777" w:rsidR="00093845" w:rsidRDefault="000D779E">
      <w:pPr>
        <w:ind w:firstLine="720"/>
        <w:jc w:val="both"/>
        <w:rPr>
          <w:iCs/>
          <w:lang w:val="lt-LT"/>
        </w:rPr>
      </w:pPr>
      <w:r>
        <w:rPr>
          <w:iCs/>
          <w:lang w:val="lt-LT"/>
        </w:rPr>
        <w:t>(Papildyta pagal VMI prie FM 2008-04-17 raštą Nr. (18.10-31-1)-R-3694)</w:t>
      </w:r>
    </w:p>
    <w:p w14:paraId="55211336" w14:textId="03579CF7" w:rsidR="00C845D9" w:rsidRPr="0031383F" w:rsidRDefault="00C845D9" w:rsidP="00C845D9">
      <w:pPr>
        <w:pStyle w:val="tajtip"/>
        <w:spacing w:before="0" w:beforeAutospacing="0" w:after="0" w:afterAutospacing="0"/>
        <w:ind w:firstLine="720"/>
        <w:jc w:val="both"/>
        <w:rPr>
          <w:b/>
          <w:color w:val="000000"/>
          <w:shd w:val="clear" w:color="auto" w:fill="FFFFFF"/>
        </w:rPr>
      </w:pPr>
      <w:r w:rsidRPr="0031383F">
        <w:rPr>
          <w:b/>
          <w:color w:val="000000"/>
          <w:shd w:val="clear" w:color="auto" w:fill="FFFFFF"/>
        </w:rPr>
        <w:t>7. Šio straipsnio 4, 5 ir 6 dalyse nurodytas mokestinių nuostolių perkėlimas tęsiamas šio Įstatymo </w:t>
      </w:r>
      <w:bookmarkStart w:id="561" w:name="nbb4adfad078d4b448d7081b105932ae1"/>
      <w:r w:rsidRPr="0031383F">
        <w:rPr>
          <w:b/>
          <w:color w:val="000000"/>
          <w:shd w:val="clear" w:color="auto" w:fill="FFFFFF"/>
        </w:rPr>
        <w:fldChar w:fldCharType="begin"/>
      </w:r>
      <w:r w:rsidRPr="0031383F">
        <w:rPr>
          <w:b/>
          <w:color w:val="000000"/>
          <w:shd w:val="clear" w:color="auto" w:fill="FFFFFF"/>
        </w:rPr>
        <w:instrText xml:space="preserve"> HYPERLINK "javascript:OL('1045437','30')" \o "" </w:instrText>
      </w:r>
      <w:r w:rsidRPr="0031383F">
        <w:rPr>
          <w:b/>
          <w:color w:val="000000"/>
          <w:shd w:val="clear" w:color="auto" w:fill="FFFFFF"/>
        </w:rPr>
        <w:fldChar w:fldCharType="separate"/>
      </w:r>
      <w:r w:rsidRPr="0031383F">
        <w:rPr>
          <w:bCs/>
        </w:rPr>
        <w:t>30</w:t>
      </w:r>
      <w:r w:rsidRPr="0031383F">
        <w:rPr>
          <w:b/>
          <w:color w:val="000000"/>
          <w:shd w:val="clear" w:color="auto" w:fill="FFFFFF"/>
        </w:rPr>
        <w:fldChar w:fldCharType="end"/>
      </w:r>
      <w:bookmarkEnd w:id="561"/>
      <w:r w:rsidRPr="0031383F">
        <w:rPr>
          <w:b/>
          <w:color w:val="000000"/>
          <w:shd w:val="clear" w:color="auto" w:fill="FFFFFF"/>
        </w:rPr>
        <w:t> straipsnyje nustatyta tvarka. Šio straipsnio 1 ir 2 dalyse nurodytas mokestinių nuostolių perkėlimas tęsiamas taip, kad tiek šiame straipsnyje nustatyta tvarka, tiek šio Įstatymo </w:t>
      </w:r>
      <w:bookmarkStart w:id="562" w:name="n39a27816821f4a0fafbab67090fd1c7c"/>
      <w:r w:rsidRPr="0031383F">
        <w:rPr>
          <w:b/>
          <w:color w:val="000000"/>
          <w:shd w:val="clear" w:color="auto" w:fill="FFFFFF"/>
        </w:rPr>
        <w:fldChar w:fldCharType="begin"/>
      </w:r>
      <w:r w:rsidRPr="0031383F">
        <w:rPr>
          <w:b/>
          <w:color w:val="000000"/>
          <w:shd w:val="clear" w:color="auto" w:fill="FFFFFF"/>
        </w:rPr>
        <w:instrText xml:space="preserve"> HYPERLINK "javascript:OL('1045437','30')" \o "" </w:instrText>
      </w:r>
      <w:r w:rsidRPr="0031383F">
        <w:rPr>
          <w:b/>
          <w:color w:val="000000"/>
          <w:shd w:val="clear" w:color="auto" w:fill="FFFFFF"/>
        </w:rPr>
        <w:fldChar w:fldCharType="separate"/>
      </w:r>
      <w:r w:rsidRPr="0031383F">
        <w:rPr>
          <w:bCs/>
        </w:rPr>
        <w:t>30</w:t>
      </w:r>
      <w:r w:rsidRPr="0031383F">
        <w:rPr>
          <w:b/>
          <w:color w:val="000000"/>
          <w:shd w:val="clear" w:color="auto" w:fill="FFFFFF"/>
        </w:rPr>
        <w:fldChar w:fldCharType="end"/>
      </w:r>
      <w:bookmarkEnd w:id="562"/>
      <w:r w:rsidRPr="0031383F">
        <w:rPr>
          <w:b/>
          <w:color w:val="000000"/>
          <w:shd w:val="clear" w:color="auto" w:fill="FFFFFF"/>
        </w:rPr>
        <w:t> straipsnyje nustatyta tvarka atskaitomų mokestinių nuostolių, išskyrus mokestinius nuostolius vienetų, kurių apmokestinamasis pelnas pagal šio Įstatymo </w:t>
      </w:r>
      <w:bookmarkStart w:id="563" w:name="n881aa31ccbd54eac8bec96edaa18fb14"/>
      <w:r w:rsidRPr="0031383F">
        <w:rPr>
          <w:b/>
          <w:color w:val="000000"/>
          <w:shd w:val="clear" w:color="auto" w:fill="FFFFFF"/>
        </w:rPr>
        <w:fldChar w:fldCharType="begin"/>
      </w:r>
      <w:r w:rsidRPr="0031383F">
        <w:rPr>
          <w:b/>
          <w:color w:val="000000"/>
          <w:shd w:val="clear" w:color="auto" w:fill="FFFFFF"/>
        </w:rPr>
        <w:instrText xml:space="preserve"> HYPERLINK "javascript:OL('1045437','5')" \o "Įstatymo papildymas 30-3 straipsniu (str. 5)" </w:instrText>
      </w:r>
      <w:r w:rsidRPr="0031383F">
        <w:rPr>
          <w:b/>
          <w:color w:val="000000"/>
          <w:shd w:val="clear" w:color="auto" w:fill="FFFFFF"/>
        </w:rPr>
        <w:fldChar w:fldCharType="separate"/>
      </w:r>
      <w:r w:rsidRPr="0031383F">
        <w:rPr>
          <w:bCs/>
        </w:rPr>
        <w:t>5</w:t>
      </w:r>
      <w:r w:rsidRPr="0031383F">
        <w:rPr>
          <w:b/>
          <w:color w:val="000000"/>
          <w:shd w:val="clear" w:color="auto" w:fill="FFFFFF"/>
        </w:rPr>
        <w:fldChar w:fldCharType="end"/>
      </w:r>
      <w:bookmarkEnd w:id="563"/>
      <w:r w:rsidRPr="0031383F">
        <w:rPr>
          <w:b/>
          <w:color w:val="000000"/>
          <w:shd w:val="clear" w:color="auto" w:fill="FFFFFF"/>
        </w:rPr>
        <w:t> straipsnio 2 dalies nuostatas apmokestinamas taikant 7 procentų mokesčio tarifą, suma negali būti didesnė kaip 70 procentų mokesčio mokėtojo mokestinio laikotarpio pajamų, apskaičiuotų iš pajamų atėmus neapmokestinamąsias pajamas, leidžiamus atskaitymus ir ribojamų dydžių leidžiamus atskaitymus, išskyrus ankstesnių metų mokestinių laikotarpių nuostolius.“</w:t>
      </w:r>
    </w:p>
    <w:p w14:paraId="70EAD36F" w14:textId="220B8E83" w:rsidR="00C845D9" w:rsidRPr="007E08F1" w:rsidRDefault="000271FF" w:rsidP="00C845D9">
      <w:pPr>
        <w:tabs>
          <w:tab w:val="left" w:pos="720"/>
          <w:tab w:val="left" w:pos="1077"/>
          <w:tab w:val="left" w:pos="1418"/>
        </w:tabs>
        <w:spacing w:after="0"/>
        <w:jc w:val="both"/>
        <w:rPr>
          <w:bCs/>
          <w:i/>
          <w:lang w:val="lt-LT"/>
        </w:rPr>
      </w:pPr>
      <w:r>
        <w:rPr>
          <w:bCs/>
          <w:i/>
          <w:lang w:val="lt-LT"/>
        </w:rPr>
        <w:tab/>
      </w:r>
      <w:r w:rsidR="00C845D9" w:rsidRPr="007E08F1">
        <w:rPr>
          <w:bCs/>
          <w:i/>
          <w:lang w:val="lt-LT"/>
        </w:rPr>
        <w:t xml:space="preserve">(Pagal 2025 m. birželio 17  d. įstatymo Nr.  </w:t>
      </w:r>
      <w:r w:rsidR="00C845D9" w:rsidRPr="007E08F1">
        <w:rPr>
          <w:i/>
          <w:color w:val="000000"/>
          <w:lang w:val="lt-LT"/>
        </w:rPr>
        <w:t>XV-285</w:t>
      </w:r>
      <w:r w:rsidR="00C845D9" w:rsidRPr="007E08F1">
        <w:rPr>
          <w:i/>
          <w:lang w:val="lt-LT"/>
        </w:rPr>
        <w:t xml:space="preserve"> </w:t>
      </w:r>
      <w:r w:rsidR="00C845D9" w:rsidRPr="007E08F1">
        <w:rPr>
          <w:bCs/>
          <w:i/>
          <w:lang w:val="lt-LT"/>
        </w:rPr>
        <w:t>redakciją; taikoma apskaičiuojant 2026 metais prasidėjusio ir vėlesnių mokestinių laikotarpių apmokestinamąjį pelną)</w:t>
      </w:r>
    </w:p>
    <w:p w14:paraId="7BBE3AD6" w14:textId="77777777" w:rsidR="00C845D9" w:rsidRPr="0031383F" w:rsidRDefault="00C845D9" w:rsidP="00C845D9">
      <w:pPr>
        <w:pStyle w:val="tajtip"/>
        <w:ind w:firstLine="709"/>
        <w:rPr>
          <w:b/>
        </w:rPr>
      </w:pPr>
      <w:r w:rsidRPr="0031383F">
        <w:lastRenderedPageBreak/>
        <w:t> </w:t>
      </w:r>
      <w:r w:rsidRPr="0031383F">
        <w:rPr>
          <w:b/>
        </w:rPr>
        <w:t>Komentaras</w:t>
      </w:r>
    </w:p>
    <w:p w14:paraId="4BE42B23" w14:textId="77777777" w:rsidR="00C845D9" w:rsidRPr="0031383F" w:rsidRDefault="00C845D9" w:rsidP="00C845D9">
      <w:pPr>
        <w:pStyle w:val="tajtip"/>
        <w:spacing w:before="0" w:beforeAutospacing="0" w:after="0" w:afterAutospacing="0"/>
        <w:ind w:firstLine="720"/>
        <w:jc w:val="both"/>
      </w:pPr>
      <w:r w:rsidRPr="0031383F">
        <w:t xml:space="preserve">1. Komentuojamasis straipsnis yra susijęs su </w:t>
      </w:r>
      <w:r w:rsidRPr="0031383F">
        <w:rPr>
          <w:color w:val="000000"/>
        </w:rPr>
        <w:t xml:space="preserve">perkeliamų mokestinio laikotarpio nuostolių dydžio ribojimo normomis, įtvirtintomis PMĮ 30 straipsnyje pagal </w:t>
      </w:r>
      <w:r w:rsidRPr="0031383F">
        <w:t>PMĮ 30 straipsnio 4 dalį.</w:t>
      </w:r>
    </w:p>
    <w:p w14:paraId="0B57C040" w14:textId="77777777" w:rsidR="00C845D9" w:rsidRPr="0031383F" w:rsidRDefault="00C845D9" w:rsidP="00C845D9">
      <w:pPr>
        <w:pStyle w:val="tajtip"/>
        <w:spacing w:before="0" w:beforeAutospacing="0" w:after="0" w:afterAutospacing="0"/>
        <w:ind w:firstLine="720"/>
        <w:jc w:val="both"/>
        <w:rPr>
          <w:bCs/>
        </w:rPr>
      </w:pPr>
      <w:r w:rsidRPr="0031383F">
        <w:t>2. Šio straipsnio 4, 5 ir 6 dalyse nurodytais atvejais (</w:t>
      </w:r>
      <w:r w:rsidRPr="0031383F">
        <w:rPr>
          <w:bCs/>
        </w:rPr>
        <w:t xml:space="preserve">akcijų mainai pagal PMĮ 41 straipsnio 2 dalies 7 punktą, vieneto pertvarkymas, Lietuvos vieneto registruotos buveinės pagal PMĮ 41 straipsnio 2 dalies 9 punktą perkėlimas) akcijų keitime dalyvavę vienetai, pertvarkytas vienetas, o registruos buveinės perkėlimo atveju – užsienio vieneto, toliau vykdančio veiklą Lietuvos Respublikoje per nuolatinę buveinę, nuolatinė buveinė šiose dalyse nurodytų mokestinių laikotarpių nuostolių perkėlimą turi tęsti bendra PMĮ 30 straipsnyje nustatyta tvarka (žr. PMĮ 30 straipsnio komentarą). </w:t>
      </w:r>
    </w:p>
    <w:p w14:paraId="40770542" w14:textId="3066F0C3" w:rsidR="00C845D9" w:rsidRDefault="00C845D9" w:rsidP="00C845D9">
      <w:pPr>
        <w:pStyle w:val="tajtip"/>
        <w:spacing w:before="0" w:beforeAutospacing="0" w:after="0" w:afterAutospacing="0"/>
        <w:ind w:firstLine="720"/>
        <w:jc w:val="both"/>
      </w:pPr>
      <w:r w:rsidRPr="0031383F">
        <w:rPr>
          <w:bCs/>
        </w:rPr>
        <w:t xml:space="preserve">3. Šio straipsnio 1 ir 2 dalyse (reorganizavimo ir perleidimo atvejais) nurodytas mokestinių nuostolių, susijusių su iš </w:t>
      </w:r>
      <w:r w:rsidRPr="0031383F">
        <w:t xml:space="preserve">įsigyjamojo ar perleidžiančiojo vieneto (vienetų) perimta ir įsigyjančiajame vienete tęsiama veikla ar veiklos dalimi </w:t>
      </w:r>
      <w:r w:rsidRPr="0031383F">
        <w:rPr>
          <w:bCs/>
        </w:rPr>
        <w:t>reorganizavimo ir perleidimo atvejais, perkėlimas gali būti tęsiamas tik šiose dalyse nustatyta tvarka. Tačiau iš įsigyjamojo ar perleidžiančiojo vieneto (vienetų) perimtų įsigyjančiajame vienete tęsiamos veiklos (ar jos dalies) mokestinių laikotarpių nuostolių, susidariusių iki reorganizavimo ar perleidimo pabaigos ir įsigyjančiojo vieneto ankstesnių mokestinių laikotarpių nuostolių, perkeliamų PMĮ 30 straipsnyje nustatyta tvarka, bei nuostolių, perimtų iš vienetų grupės vienetų pagal PMĮ 56-1 straipsnio nuostatas</w:t>
      </w:r>
      <w:r>
        <w:rPr>
          <w:bCs/>
        </w:rPr>
        <w:t>,</w:t>
      </w:r>
      <w:r w:rsidRPr="0031383F">
        <w:rPr>
          <w:bCs/>
        </w:rPr>
        <w:t xml:space="preserve"> iš pajamų atskaitoma suma kartu paėmus negali būti</w:t>
      </w:r>
      <w:r w:rsidRPr="0031383F">
        <w:t xml:space="preserve"> didesnė kaip 70 procentų įsigyjančiojo vieneto mokestinio laikotarpio pajamų, apskaičiuotų iš pajamų atėmus neapmokestinamąsias pajamas, leidžiamus atskaitymus ir ribojamų dydžių leidžiamus atskaitymus, išskyrus ankstesnių metų mokestinių laikotarpių nuostolius. Šios nuostatos netaikomos vienetams, kurių apmokestinamasis pelnas pagal PMĮ 5 straipsnio 2 dalies nuostatas apmokestinamas, taikant 7 procentų mokesčio tarifą (žr. PMĮ 30 str. 4 dalies komentarą).“</w:t>
      </w:r>
    </w:p>
    <w:p w14:paraId="782F3304" w14:textId="357FEA6B" w:rsidR="000271FF" w:rsidRPr="0031383F" w:rsidRDefault="000271FF" w:rsidP="000271FF">
      <w:r>
        <w:rPr>
          <w:lang w:val="lt-LT"/>
        </w:rPr>
        <w:t xml:space="preserve">(Pakeista pagal </w:t>
      </w:r>
      <w:r w:rsidRPr="0051529C">
        <w:t xml:space="preserve">VMI prie FM </w:t>
      </w:r>
      <w:r w:rsidRPr="005E14CD">
        <w:t>2026-02-</w:t>
      </w:r>
      <w:r>
        <w:t>12 raštą</w:t>
      </w:r>
      <w:r w:rsidRPr="005E14CD">
        <w:t xml:space="preserve"> Nr. (18.10-31-1 Mr)</w:t>
      </w:r>
      <w:r>
        <w:t xml:space="preserve"> R-381)</w:t>
      </w:r>
    </w:p>
    <w:p w14:paraId="31117CAF" w14:textId="77777777" w:rsidR="00C845D9" w:rsidRPr="0031383F" w:rsidRDefault="00C845D9" w:rsidP="00C845D9">
      <w:pPr>
        <w:pStyle w:val="tajtip"/>
        <w:spacing w:before="0" w:beforeAutospacing="0" w:after="0" w:afterAutospacing="0"/>
        <w:ind w:firstLine="720"/>
        <w:jc w:val="both"/>
      </w:pPr>
    </w:p>
    <w:p w14:paraId="3F59B661" w14:textId="77777777" w:rsidR="0039379F" w:rsidRDefault="0039379F" w:rsidP="0039379F">
      <w:pPr>
        <w:pStyle w:val="tajtip"/>
        <w:spacing w:before="0" w:beforeAutospacing="0" w:after="0" w:afterAutospacing="0"/>
        <w:ind w:firstLine="720"/>
        <w:jc w:val="both"/>
      </w:pPr>
    </w:p>
    <w:p w14:paraId="6FB67529" w14:textId="77777777" w:rsidR="0039379F" w:rsidRDefault="0039379F" w:rsidP="0039379F">
      <w:pPr>
        <w:pStyle w:val="tajtip"/>
        <w:spacing w:before="0" w:beforeAutospacing="0" w:after="0" w:afterAutospacing="0"/>
        <w:ind w:firstLine="720"/>
        <w:jc w:val="both"/>
        <w:rPr>
          <w:bCs/>
        </w:rPr>
      </w:pPr>
      <w:r>
        <w:rPr>
          <w:bCs/>
        </w:rPr>
        <w:t>Pavyzdys</w:t>
      </w:r>
    </w:p>
    <w:p w14:paraId="45B9A280" w14:textId="77777777" w:rsidR="0039379F" w:rsidRPr="0065344A" w:rsidRDefault="0039379F" w:rsidP="0039379F">
      <w:pPr>
        <w:pStyle w:val="tajtip"/>
        <w:spacing w:before="0" w:beforeAutospacing="0" w:after="0" w:afterAutospacing="0"/>
        <w:ind w:firstLine="720"/>
        <w:jc w:val="both"/>
        <w:rPr>
          <w:bCs/>
        </w:rPr>
      </w:pPr>
    </w:p>
    <w:p w14:paraId="7D9BE508"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C5ECF">
        <w:rPr>
          <w:rFonts w:ascii="Times New Roman" w:hAnsi="Times New Roman" w:cs="Times New Roman"/>
          <w:b/>
          <w:bCs/>
          <w:lang w:val="lt-LT"/>
        </w:rPr>
        <w:t>1.</w:t>
      </w:r>
      <w:r>
        <w:rPr>
          <w:rFonts w:ascii="Times New Roman" w:hAnsi="Times New Roman" w:cs="Times New Roman"/>
          <w:bCs/>
          <w:lang w:val="lt-LT"/>
        </w:rPr>
        <w:t xml:space="preserve"> </w:t>
      </w:r>
      <w:r w:rsidRPr="00A62E41">
        <w:rPr>
          <w:rFonts w:ascii="Times New Roman" w:hAnsi="Times New Roman" w:cs="Times New Roman"/>
          <w:bCs/>
          <w:lang w:val="lt-LT"/>
        </w:rPr>
        <w:t xml:space="preserve">Bendrovė A, kurios veikla – baldų gamyba, </w:t>
      </w:r>
      <w:r w:rsidRPr="00720B78">
        <w:rPr>
          <w:rFonts w:ascii="Times New Roman" w:hAnsi="Times New Roman" w:cs="Times New Roman"/>
          <w:bCs/>
          <w:lang w:val="lt-LT"/>
        </w:rPr>
        <w:t>2024</w:t>
      </w:r>
      <w:r w:rsidRPr="00A62E41">
        <w:rPr>
          <w:rFonts w:ascii="Times New Roman" w:hAnsi="Times New Roman" w:cs="Times New Roman"/>
          <w:bCs/>
          <w:lang w:val="lt-LT"/>
        </w:rPr>
        <w:t xml:space="preserve"> m. spalio mėn. 31 d. buvo prijungta (pagal PMĮ 41 straipsnio 2 dalies 1 punktą) prie bendrovės B, kurioje baldų gamybos veikla bus tęsiama toliau. Bendrovės B </w:t>
      </w:r>
      <w:r w:rsidRPr="00720B78">
        <w:rPr>
          <w:rFonts w:ascii="Times New Roman" w:hAnsi="Times New Roman" w:cs="Times New Roman"/>
          <w:bCs/>
          <w:lang w:val="lt-LT"/>
        </w:rPr>
        <w:t>2024</w:t>
      </w:r>
      <w:r w:rsidRPr="00A62E41">
        <w:rPr>
          <w:rFonts w:ascii="Times New Roman" w:hAnsi="Times New Roman" w:cs="Times New Roman"/>
          <w:b/>
          <w:bCs/>
          <w:lang w:val="lt-LT"/>
        </w:rPr>
        <w:t xml:space="preserve"> </w:t>
      </w:r>
      <w:r w:rsidRPr="00A62E41">
        <w:rPr>
          <w:rFonts w:ascii="Times New Roman" w:hAnsi="Times New Roman" w:cs="Times New Roman"/>
          <w:bCs/>
          <w:lang w:val="lt-LT"/>
        </w:rPr>
        <w:t xml:space="preserve">mokestiniai metai prasideda </w:t>
      </w:r>
      <w:r w:rsidRPr="00720B78">
        <w:rPr>
          <w:rFonts w:ascii="Times New Roman" w:hAnsi="Times New Roman" w:cs="Times New Roman"/>
          <w:bCs/>
          <w:lang w:val="lt-LT"/>
        </w:rPr>
        <w:t>2024</w:t>
      </w:r>
      <w:r w:rsidRPr="00A62E41">
        <w:rPr>
          <w:rFonts w:ascii="Times New Roman" w:hAnsi="Times New Roman" w:cs="Times New Roman"/>
          <w:b/>
          <w:bCs/>
          <w:lang w:val="lt-LT"/>
        </w:rPr>
        <w:t xml:space="preserve"> </w:t>
      </w:r>
      <w:r w:rsidRPr="00A62E41">
        <w:rPr>
          <w:rFonts w:ascii="Times New Roman" w:hAnsi="Times New Roman" w:cs="Times New Roman"/>
          <w:bCs/>
          <w:lang w:val="lt-LT"/>
        </w:rPr>
        <w:t xml:space="preserve">m. spalio 1 d. ir baigiasi </w:t>
      </w:r>
      <w:r w:rsidRPr="00720B78">
        <w:rPr>
          <w:rFonts w:ascii="Times New Roman" w:hAnsi="Times New Roman" w:cs="Times New Roman"/>
          <w:bCs/>
          <w:lang w:val="lt-LT"/>
        </w:rPr>
        <w:t>2025</w:t>
      </w:r>
      <w:r>
        <w:rPr>
          <w:rFonts w:ascii="Times New Roman" w:hAnsi="Times New Roman" w:cs="Times New Roman"/>
          <w:bCs/>
          <w:lang w:val="lt-LT"/>
        </w:rPr>
        <w:t xml:space="preserve"> </w:t>
      </w:r>
      <w:r w:rsidRPr="00A62E41">
        <w:rPr>
          <w:rFonts w:ascii="Times New Roman" w:hAnsi="Times New Roman" w:cs="Times New Roman"/>
          <w:bCs/>
          <w:lang w:val="lt-LT"/>
        </w:rPr>
        <w:t>m. rugsėjo 30</w:t>
      </w:r>
      <w:r>
        <w:rPr>
          <w:rFonts w:ascii="Times New Roman" w:hAnsi="Times New Roman" w:cs="Times New Roman"/>
          <w:bCs/>
          <w:lang w:val="lt-LT"/>
        </w:rPr>
        <w:t xml:space="preserve"> </w:t>
      </w:r>
      <w:r w:rsidRPr="00A62E41">
        <w:rPr>
          <w:rFonts w:ascii="Times New Roman" w:hAnsi="Times New Roman" w:cs="Times New Roman"/>
          <w:bCs/>
          <w:lang w:val="lt-LT"/>
        </w:rPr>
        <w:t xml:space="preserve">d. </w:t>
      </w:r>
    </w:p>
    <w:p w14:paraId="60AE709F"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A62E41">
        <w:rPr>
          <w:rFonts w:ascii="Times New Roman" w:hAnsi="Times New Roman" w:cs="Times New Roman"/>
          <w:bCs/>
          <w:lang w:val="lt-LT"/>
        </w:rPr>
        <w:t xml:space="preserve">Bendrovė A bendrovei B perdavė 57 924 </w:t>
      </w:r>
      <w:r>
        <w:rPr>
          <w:rFonts w:ascii="Times New Roman" w:hAnsi="Times New Roman" w:cs="Times New Roman"/>
          <w:bCs/>
          <w:lang w:val="lt-LT"/>
        </w:rPr>
        <w:t>EUR</w:t>
      </w:r>
      <w:r w:rsidRPr="00A62E41">
        <w:rPr>
          <w:rFonts w:ascii="Times New Roman" w:hAnsi="Times New Roman" w:cs="Times New Roman"/>
          <w:bCs/>
          <w:lang w:val="lt-LT"/>
        </w:rPr>
        <w:t xml:space="preserve"> baldų gamybos veiklos mokestinių nuostolių, apskaičiuotų už </w:t>
      </w:r>
      <w:r w:rsidRPr="00720B78">
        <w:rPr>
          <w:rFonts w:ascii="Times New Roman" w:hAnsi="Times New Roman" w:cs="Times New Roman"/>
          <w:bCs/>
          <w:lang w:val="lt-LT"/>
        </w:rPr>
        <w:t>2023</w:t>
      </w:r>
      <w:r w:rsidRPr="00A62E41">
        <w:rPr>
          <w:rFonts w:ascii="Times New Roman" w:hAnsi="Times New Roman" w:cs="Times New Roman"/>
          <w:bCs/>
          <w:lang w:val="lt-LT"/>
        </w:rPr>
        <w:t xml:space="preserve"> metus ir už </w:t>
      </w:r>
      <w:r w:rsidRPr="00720B78">
        <w:rPr>
          <w:rFonts w:ascii="Times New Roman" w:hAnsi="Times New Roman" w:cs="Times New Roman"/>
          <w:bCs/>
          <w:lang w:val="lt-LT"/>
        </w:rPr>
        <w:t xml:space="preserve">2024 </w:t>
      </w:r>
      <w:r w:rsidRPr="00A62E41">
        <w:rPr>
          <w:rFonts w:ascii="Times New Roman" w:hAnsi="Times New Roman" w:cs="Times New Roman"/>
          <w:bCs/>
          <w:lang w:val="lt-LT"/>
        </w:rPr>
        <w:t xml:space="preserve">metų laikotarpį nuo sausio 1 d. iki spalio 30 d. (bendrovė B atitiks PMĮ 43 straipsnio 1 ir 2 dalyse nustatytas sąlygas dėl baldų gamybos veiklos tęstinumo). </w:t>
      </w:r>
    </w:p>
    <w:p w14:paraId="1F236266" w14:textId="77777777" w:rsidR="0039379F" w:rsidRPr="00A62E41"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A62E41">
        <w:rPr>
          <w:rFonts w:ascii="Times New Roman" w:hAnsi="Times New Roman" w:cs="Times New Roman"/>
          <w:bCs/>
          <w:lang w:val="lt-LT"/>
        </w:rPr>
        <w:t xml:space="preserve">Bendrovės B </w:t>
      </w:r>
      <w:r w:rsidRPr="00720B78">
        <w:rPr>
          <w:rFonts w:ascii="Times New Roman" w:hAnsi="Times New Roman" w:cs="Times New Roman"/>
          <w:bCs/>
          <w:lang w:val="lt-LT"/>
        </w:rPr>
        <w:t>2023</w:t>
      </w:r>
      <w:r>
        <w:rPr>
          <w:rFonts w:ascii="Times New Roman" w:hAnsi="Times New Roman" w:cs="Times New Roman"/>
          <w:bCs/>
          <w:lang w:val="lt-LT"/>
        </w:rPr>
        <w:t xml:space="preserve"> </w:t>
      </w:r>
      <w:r w:rsidRPr="00A62E41">
        <w:rPr>
          <w:rFonts w:ascii="Times New Roman" w:hAnsi="Times New Roman" w:cs="Times New Roman"/>
          <w:bCs/>
          <w:lang w:val="lt-LT"/>
        </w:rPr>
        <w:t xml:space="preserve">mokestinių metų veiklos nuostoliai sudarė 5792 </w:t>
      </w:r>
      <w:r>
        <w:rPr>
          <w:rFonts w:ascii="Times New Roman" w:hAnsi="Times New Roman" w:cs="Times New Roman"/>
          <w:bCs/>
          <w:lang w:val="lt-LT"/>
        </w:rPr>
        <w:t>EUR</w:t>
      </w:r>
      <w:r w:rsidRPr="00A62E41">
        <w:rPr>
          <w:rFonts w:ascii="Times New Roman" w:hAnsi="Times New Roman" w:cs="Times New Roman"/>
          <w:bCs/>
          <w:lang w:val="lt-LT"/>
        </w:rPr>
        <w:t xml:space="preserve"> (vertybinių popierių ir / ar išvestinių finansinių priemonių perleidimo nuostolių bendrovė neturėjo). Bendrovės B apmokestinamasis pelnas apmokestinamas, taikant </w:t>
      </w:r>
      <w:r w:rsidRPr="00D87B76">
        <w:rPr>
          <w:rFonts w:ascii="Times New Roman" w:hAnsi="Times New Roman" w:cs="Times New Roman"/>
          <w:bCs/>
          <w:lang w:val="lt-LT"/>
        </w:rPr>
        <w:t xml:space="preserve">pagrindinį </w:t>
      </w:r>
      <w:r w:rsidRPr="00D87B76">
        <w:rPr>
          <w:rFonts w:ascii="Times New Roman" w:hAnsi="Times New Roman" w:cs="Times New Roman"/>
          <w:lang w:val="lt-LT"/>
        </w:rPr>
        <w:t>iki 2024 m. ir ankstesni</w:t>
      </w:r>
      <w:r>
        <w:rPr>
          <w:rFonts w:ascii="Times New Roman" w:hAnsi="Times New Roman" w:cs="Times New Roman"/>
          <w:lang w:val="lt-LT"/>
        </w:rPr>
        <w:t>ais</w:t>
      </w:r>
      <w:r w:rsidRPr="00D87B76">
        <w:rPr>
          <w:rFonts w:ascii="Times New Roman" w:hAnsi="Times New Roman" w:cs="Times New Roman"/>
          <w:lang w:val="lt-LT"/>
        </w:rPr>
        <w:t xml:space="preserve"> mokestini</w:t>
      </w:r>
      <w:r>
        <w:rPr>
          <w:rFonts w:ascii="Times New Roman" w:hAnsi="Times New Roman" w:cs="Times New Roman"/>
          <w:lang w:val="lt-LT"/>
        </w:rPr>
        <w:t>ais</w:t>
      </w:r>
      <w:r w:rsidRPr="00D87B76">
        <w:rPr>
          <w:rFonts w:ascii="Times New Roman" w:hAnsi="Times New Roman" w:cs="Times New Roman"/>
          <w:lang w:val="lt-LT"/>
        </w:rPr>
        <w:t xml:space="preserve"> laikotarpi</w:t>
      </w:r>
      <w:r>
        <w:rPr>
          <w:rFonts w:ascii="Times New Roman" w:hAnsi="Times New Roman" w:cs="Times New Roman"/>
          <w:lang w:val="lt-LT"/>
        </w:rPr>
        <w:t>ais</w:t>
      </w:r>
      <w:r w:rsidRPr="00D87B76">
        <w:rPr>
          <w:rFonts w:ascii="Times New Roman" w:hAnsi="Times New Roman" w:cs="Times New Roman"/>
          <w:lang w:val="lt-LT"/>
        </w:rPr>
        <w:t xml:space="preserve"> taikytiną </w:t>
      </w:r>
      <w:r w:rsidRPr="00D87B76">
        <w:rPr>
          <w:rFonts w:ascii="Times New Roman" w:hAnsi="Times New Roman" w:cs="Times New Roman"/>
          <w:bCs/>
          <w:lang w:val="lt-LT"/>
        </w:rPr>
        <w:t xml:space="preserve">15 proc. </w:t>
      </w:r>
      <w:r w:rsidRPr="00D87B76">
        <w:rPr>
          <w:rFonts w:ascii="Times New Roman" w:hAnsi="Times New Roman" w:cs="Times New Roman"/>
          <w:lang w:val="lt-LT"/>
        </w:rPr>
        <w:t>pelno</w:t>
      </w:r>
      <w:r w:rsidRPr="00D87B76">
        <w:rPr>
          <w:rFonts w:ascii="Times New Roman" w:hAnsi="Times New Roman" w:cs="Times New Roman"/>
          <w:bCs/>
          <w:lang w:val="lt-LT"/>
        </w:rPr>
        <w:t xml:space="preserve"> </w:t>
      </w:r>
      <w:r w:rsidRPr="00A62E41">
        <w:rPr>
          <w:rFonts w:ascii="Times New Roman" w:hAnsi="Times New Roman" w:cs="Times New Roman"/>
          <w:bCs/>
          <w:lang w:val="lt-LT"/>
        </w:rPr>
        <w:t>mokesčio tarifą</w:t>
      </w:r>
      <w:r>
        <w:rPr>
          <w:rFonts w:ascii="Times New Roman" w:hAnsi="Times New Roman" w:cs="Times New Roman"/>
          <w:bCs/>
          <w:lang w:val="lt-LT"/>
        </w:rPr>
        <w:t xml:space="preserve"> </w:t>
      </w:r>
      <w:r w:rsidRPr="00720B78">
        <w:rPr>
          <w:rFonts w:ascii="Times New Roman" w:hAnsi="Times New Roman" w:cs="Times New Roman"/>
          <w:bCs/>
          <w:lang w:val="lt-LT"/>
        </w:rPr>
        <w:t>(nuo 2025 m.</w:t>
      </w:r>
      <w:r>
        <w:rPr>
          <w:rFonts w:ascii="Times New Roman" w:hAnsi="Times New Roman" w:cs="Times New Roman"/>
          <w:bCs/>
          <w:lang w:val="lt-LT"/>
        </w:rPr>
        <w:t xml:space="preserve"> </w:t>
      </w:r>
      <w:bookmarkStart w:id="564" w:name="_Hlk188271242"/>
      <w:r>
        <w:rPr>
          <w:rFonts w:ascii="Times New Roman" w:hAnsi="Times New Roman" w:cs="Times New Roman"/>
          <w:bCs/>
          <w:lang w:val="lt-LT"/>
        </w:rPr>
        <w:t>ir vėlesnius</w:t>
      </w:r>
      <w:r w:rsidRPr="00720B78">
        <w:rPr>
          <w:rFonts w:ascii="Times New Roman" w:hAnsi="Times New Roman" w:cs="Times New Roman"/>
          <w:bCs/>
          <w:lang w:val="lt-LT"/>
        </w:rPr>
        <w:t xml:space="preserve"> mokestini</w:t>
      </w:r>
      <w:r>
        <w:rPr>
          <w:rFonts w:ascii="Times New Roman" w:hAnsi="Times New Roman" w:cs="Times New Roman"/>
          <w:bCs/>
          <w:lang w:val="lt-LT"/>
        </w:rPr>
        <w:t>us</w:t>
      </w:r>
      <w:r w:rsidRPr="00720B78">
        <w:rPr>
          <w:rFonts w:ascii="Times New Roman" w:hAnsi="Times New Roman" w:cs="Times New Roman"/>
          <w:bCs/>
          <w:lang w:val="lt-LT"/>
        </w:rPr>
        <w:t xml:space="preserve"> laikotarpi</w:t>
      </w:r>
      <w:r>
        <w:rPr>
          <w:rFonts w:ascii="Times New Roman" w:hAnsi="Times New Roman" w:cs="Times New Roman"/>
          <w:bCs/>
          <w:lang w:val="lt-LT"/>
        </w:rPr>
        <w:t>us</w:t>
      </w:r>
      <w:r w:rsidRPr="00720B78">
        <w:rPr>
          <w:rFonts w:ascii="Times New Roman" w:hAnsi="Times New Roman" w:cs="Times New Roman"/>
          <w:bCs/>
          <w:lang w:val="lt-LT"/>
        </w:rPr>
        <w:t xml:space="preserve"> </w:t>
      </w:r>
      <w:bookmarkEnd w:id="564"/>
      <w:r w:rsidRPr="00720B78">
        <w:rPr>
          <w:rFonts w:ascii="Times New Roman" w:hAnsi="Times New Roman" w:cs="Times New Roman"/>
          <w:bCs/>
          <w:lang w:val="lt-LT"/>
        </w:rPr>
        <w:t>taikytinas 16 proc. pelno mokesčio tarifas)</w:t>
      </w:r>
      <w:r w:rsidRPr="00A62E41">
        <w:rPr>
          <w:rFonts w:ascii="Times New Roman" w:hAnsi="Times New Roman" w:cs="Times New Roman"/>
          <w:bCs/>
          <w:lang w:val="lt-LT"/>
        </w:rPr>
        <w:t>.</w:t>
      </w:r>
    </w:p>
    <w:p w14:paraId="2B82A658" w14:textId="77777777" w:rsidR="0039379F"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
        </w:rPr>
      </w:pPr>
      <w:r w:rsidRPr="00A62E41">
        <w:rPr>
          <w:rFonts w:ascii="Times New Roman" w:hAnsi="Times New Roman" w:cs="Times New Roman"/>
          <w:bCs/>
          <w:lang w:val="lt-LT"/>
        </w:rPr>
        <w:t xml:space="preserve">Už </w:t>
      </w:r>
      <w:r w:rsidRPr="00720B78">
        <w:rPr>
          <w:rFonts w:ascii="Times New Roman" w:hAnsi="Times New Roman" w:cs="Times New Roman"/>
          <w:bCs/>
        </w:rPr>
        <w:t>2024</w:t>
      </w:r>
      <w:r>
        <w:rPr>
          <w:rFonts w:ascii="Times New Roman" w:hAnsi="Times New Roman" w:cs="Times New Roman"/>
          <w:bCs/>
        </w:rPr>
        <w:t xml:space="preserve"> </w:t>
      </w:r>
      <w:r w:rsidRPr="00A62E41">
        <w:rPr>
          <w:rFonts w:ascii="Times New Roman" w:hAnsi="Times New Roman" w:cs="Times New Roman"/>
          <w:bCs/>
          <w:lang w:val="lt-LT"/>
        </w:rPr>
        <w:t xml:space="preserve">mokestinius metus bendrovė B apskaičiavo 63 857 </w:t>
      </w:r>
      <w:r>
        <w:rPr>
          <w:rFonts w:ascii="Times New Roman" w:hAnsi="Times New Roman" w:cs="Times New Roman"/>
          <w:bCs/>
          <w:lang w:val="lt-LT"/>
        </w:rPr>
        <w:t>EUR</w:t>
      </w:r>
      <w:r w:rsidRPr="00A62E41">
        <w:rPr>
          <w:rFonts w:ascii="Times New Roman" w:hAnsi="Times New Roman" w:cs="Times New Roman"/>
          <w:bCs/>
          <w:lang w:val="lt-LT"/>
        </w:rPr>
        <w:t xml:space="preserve"> apmokestinamojo pelno, apskaičiuoto </w:t>
      </w:r>
      <w:r w:rsidRPr="00A62E41">
        <w:rPr>
          <w:rFonts w:ascii="Times New Roman" w:hAnsi="Times New Roman" w:cs="Times New Roman"/>
          <w:lang w:val="lt-LT"/>
        </w:rPr>
        <w:t>iš pajamų atėmus neapmokestinamąsias pajamas, leidžiamus atskaitymus ir ribojamų dydžių leidžiamus atskaitymus, išskyrus ankstesnių metų mokestinių laikotarpių nuostolius. Iš</w:t>
      </w:r>
      <w:r w:rsidRPr="00A62E41">
        <w:rPr>
          <w:rFonts w:ascii="Times New Roman" w:hAnsi="Times New Roman" w:cs="Times New Roman"/>
          <w:bCs/>
          <w:lang w:val="lt-LT"/>
        </w:rPr>
        <w:t xml:space="preserve"> bendrovės B taip apskaičiuoto apmokestinamojo pelno atskaitoma jos ankstesnių mokestinių laikotarpių ir iš bendrovės A perimtų bendrovėje tęsiamos baldų gamybos veiklos nuostolių suma </w:t>
      </w:r>
      <w:r w:rsidRPr="00720B78">
        <w:rPr>
          <w:rFonts w:ascii="Times New Roman" w:hAnsi="Times New Roman" w:cs="Times New Roman"/>
          <w:bCs/>
          <w:lang w:val="lt-LT"/>
        </w:rPr>
        <w:t xml:space="preserve">negali </w:t>
      </w:r>
      <w:r w:rsidRPr="00720B78">
        <w:rPr>
          <w:rFonts w:ascii="Times New Roman" w:hAnsi="Times New Roman" w:cs="Times New Roman"/>
          <w:lang w:val="lt-LT"/>
        </w:rPr>
        <w:t>būti didesnė, kaip 44 700 EUR (70 proc. nuo 63 857 EUR apmokestinamojo pelno sumos).</w:t>
      </w:r>
    </w:p>
    <w:p w14:paraId="4E3435CA"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rPr>
        <w:lastRenderedPageBreak/>
        <w:t xml:space="preserve">2. </w:t>
      </w:r>
      <w:r w:rsidRPr="00720B78">
        <w:rPr>
          <w:rFonts w:ascii="Times New Roman" w:hAnsi="Times New Roman" w:cs="Times New Roman"/>
          <w:bCs/>
          <w:lang w:val="lt-LT"/>
        </w:rPr>
        <w:t>Bendrovė A, kurios veikla – prekyba, 2026 m. kovo mėn. 31 d. buvo prijungta prie bendrovės B (pagal PMĮ 41 straipsnio 2 dalies 1 punktą), kurioje prekybos veikla bus tęsiama. Bendrovių A ir  B 2024 mokestiniai metai sutampa ir yra kalendoriniai metai.</w:t>
      </w:r>
    </w:p>
    <w:p w14:paraId="44006C96"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bCs/>
          <w:lang w:val="lt-LT"/>
        </w:rPr>
        <w:t>Bendrovė A perdavė bendrovei B 85 000 EUR prekybos veiklos mokestinių nuostolių, apskaičiuotų už 2024 metus (mokestiniai nuostoliai sudarė 35</w:t>
      </w:r>
      <w:r>
        <w:rPr>
          <w:rFonts w:ascii="Times New Roman" w:hAnsi="Times New Roman" w:cs="Times New Roman"/>
          <w:bCs/>
          <w:lang w:val="lt-LT"/>
        </w:rPr>
        <w:t xml:space="preserve"> </w:t>
      </w:r>
      <w:r w:rsidRPr="00720B78">
        <w:rPr>
          <w:rFonts w:ascii="Times New Roman" w:hAnsi="Times New Roman" w:cs="Times New Roman"/>
          <w:bCs/>
          <w:lang w:val="lt-LT"/>
        </w:rPr>
        <w:t>000 EUR), už 2025 metus (mokestiniai nuostoliai sudarė 45</w:t>
      </w:r>
      <w:r>
        <w:rPr>
          <w:rFonts w:ascii="Times New Roman" w:hAnsi="Times New Roman" w:cs="Times New Roman"/>
          <w:bCs/>
          <w:lang w:val="lt-LT"/>
        </w:rPr>
        <w:t xml:space="preserve"> </w:t>
      </w:r>
      <w:r w:rsidRPr="00720B78">
        <w:rPr>
          <w:rFonts w:ascii="Times New Roman" w:hAnsi="Times New Roman" w:cs="Times New Roman"/>
          <w:bCs/>
          <w:lang w:val="lt-LT"/>
        </w:rPr>
        <w:t>000 EUR) ir už 2026 metų laikotarpį nuo sausio 1 d. iki kovo 30 d. (mokestinai nuostoliai sudarė 5</w:t>
      </w:r>
      <w:r>
        <w:rPr>
          <w:rFonts w:ascii="Times New Roman" w:hAnsi="Times New Roman" w:cs="Times New Roman"/>
          <w:bCs/>
          <w:lang w:val="lt-LT"/>
        </w:rPr>
        <w:t xml:space="preserve"> </w:t>
      </w:r>
      <w:r w:rsidRPr="00720B78">
        <w:rPr>
          <w:rFonts w:ascii="Times New Roman" w:hAnsi="Times New Roman" w:cs="Times New Roman"/>
          <w:bCs/>
          <w:lang w:val="lt-LT"/>
        </w:rPr>
        <w:t xml:space="preserve">000 EUR). Bendrovė B atitiks PMĮ 43 straipsnio 1 ir 2 dalyse nustatytas sąlygas dėl prekybos veiklos tęstinumo. </w:t>
      </w:r>
    </w:p>
    <w:p w14:paraId="5F52870A"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bCs/>
          <w:lang w:val="lt-LT"/>
        </w:rPr>
      </w:pPr>
      <w:r w:rsidRPr="00720B78">
        <w:rPr>
          <w:rFonts w:ascii="Times New Roman" w:hAnsi="Times New Roman" w:cs="Times New Roman"/>
          <w:bCs/>
          <w:lang w:val="lt-LT"/>
        </w:rPr>
        <w:t>Bendrovės B visus laikotarpius dirbo pelningai (vertybinių popierių ir / ar išvestinių finansinių priemonių perleidimo nuostolių bendrovė neturėjo). Bendrovės B apmokestinamasis pelnas apmokestinamas, taikant pagrindinį 16 proc. (arba 15 proc.</w:t>
      </w:r>
      <w:r>
        <w:rPr>
          <w:rFonts w:ascii="Times New Roman" w:hAnsi="Times New Roman" w:cs="Times New Roman"/>
          <w:bCs/>
          <w:lang w:val="lt-LT"/>
        </w:rPr>
        <w:t xml:space="preserve"> </w:t>
      </w:r>
      <w:r w:rsidRPr="00720B78">
        <w:rPr>
          <w:rFonts w:ascii="Times New Roman" w:hAnsi="Times New Roman" w:cs="Times New Roman"/>
          <w:lang w:val="lt-LT"/>
        </w:rPr>
        <w:t>202</w:t>
      </w:r>
      <w:r>
        <w:rPr>
          <w:rFonts w:ascii="Times New Roman" w:hAnsi="Times New Roman" w:cs="Times New Roman"/>
          <w:lang w:val="lt-LT"/>
        </w:rPr>
        <w:t>4</w:t>
      </w:r>
      <w:r w:rsidRPr="00720B78">
        <w:rPr>
          <w:rFonts w:ascii="Times New Roman" w:hAnsi="Times New Roman" w:cs="Times New Roman"/>
          <w:lang w:val="lt-LT"/>
        </w:rPr>
        <w:t xml:space="preserve"> m. </w:t>
      </w:r>
      <w:r>
        <w:rPr>
          <w:rFonts w:ascii="Times New Roman" w:hAnsi="Times New Roman" w:cs="Times New Roman"/>
          <w:lang w:val="lt-LT"/>
        </w:rPr>
        <w:t>ir ankstesniais mokestiniais laikotarpiais</w:t>
      </w:r>
      <w:r w:rsidRPr="00720B78">
        <w:rPr>
          <w:rFonts w:ascii="Times New Roman" w:hAnsi="Times New Roman" w:cs="Times New Roman"/>
          <w:lang w:val="lt-LT"/>
        </w:rPr>
        <w:t xml:space="preserve">) pelno </w:t>
      </w:r>
      <w:r w:rsidRPr="00720B78">
        <w:rPr>
          <w:rFonts w:ascii="Times New Roman" w:hAnsi="Times New Roman" w:cs="Times New Roman"/>
          <w:bCs/>
          <w:lang w:val="lt-LT"/>
        </w:rPr>
        <w:t>mokesčio tarifą.</w:t>
      </w:r>
    </w:p>
    <w:p w14:paraId="7C136E95" w14:textId="77777777" w:rsidR="0039379F" w:rsidRPr="00720B78" w:rsidRDefault="0039379F" w:rsidP="0039379F">
      <w:pPr>
        <w:pStyle w:val="Pagrindiniotekstotrauka"/>
        <w:pBdr>
          <w:top w:val="single" w:sz="4" w:space="1" w:color="auto"/>
          <w:left w:val="single" w:sz="4" w:space="4" w:color="auto"/>
          <w:bottom w:val="single" w:sz="4" w:space="1" w:color="auto"/>
          <w:right w:val="single" w:sz="4" w:space="4" w:color="auto"/>
        </w:pBdr>
        <w:ind w:firstLine="709"/>
        <w:rPr>
          <w:rFonts w:ascii="Times New Roman" w:hAnsi="Times New Roman" w:cs="Times New Roman"/>
          <w:lang w:val="lt-LT"/>
        </w:rPr>
      </w:pPr>
      <w:r w:rsidRPr="00720B78">
        <w:rPr>
          <w:rFonts w:ascii="Times New Roman" w:hAnsi="Times New Roman" w:cs="Times New Roman"/>
          <w:bCs/>
          <w:lang w:val="lt-LT"/>
        </w:rPr>
        <w:t xml:space="preserve">Už 2026 mokestinius metus bendrovė B apskaičiavo 137 560 EUR apmokestinamojo pelno, apskaičiuoto </w:t>
      </w:r>
      <w:r w:rsidRPr="00720B78">
        <w:rPr>
          <w:rFonts w:ascii="Times New Roman" w:hAnsi="Times New Roman" w:cs="Times New Roman"/>
          <w:lang w:val="lt-LT"/>
        </w:rPr>
        <w:t>iš pajamų atėmus neapmokestinamąsias pajamas, leidžiamus atskaitymus ir ribojamų dydžių leidžiamus atskaitymus, išskyrus ankstesnių metų mokestinių laikotarpių nuostolius. Iš</w:t>
      </w:r>
      <w:r w:rsidRPr="00720B78">
        <w:rPr>
          <w:rFonts w:ascii="Times New Roman" w:hAnsi="Times New Roman" w:cs="Times New Roman"/>
          <w:bCs/>
          <w:lang w:val="lt-LT"/>
        </w:rPr>
        <w:t xml:space="preserve"> bendrovės B taip apskaičiuoto apmokestinamojo pelno atskaitoma visa (85</w:t>
      </w:r>
      <w:r>
        <w:rPr>
          <w:rFonts w:ascii="Times New Roman" w:hAnsi="Times New Roman" w:cs="Times New Roman"/>
          <w:bCs/>
          <w:lang w:val="lt-LT"/>
        </w:rPr>
        <w:t xml:space="preserve"> </w:t>
      </w:r>
      <w:r w:rsidRPr="00720B78">
        <w:rPr>
          <w:rFonts w:ascii="Times New Roman" w:hAnsi="Times New Roman" w:cs="Times New Roman"/>
          <w:bCs/>
          <w:lang w:val="lt-LT"/>
        </w:rPr>
        <w:t xml:space="preserve">000 EUR) iš bendrovės A perimtų bendrovėje tęsiamos prekybos veiklos nuostolių suma, nes ji neviršija </w:t>
      </w:r>
      <w:r w:rsidRPr="00720B78">
        <w:rPr>
          <w:rFonts w:ascii="Times New Roman" w:hAnsi="Times New Roman" w:cs="Times New Roman"/>
          <w:lang w:val="lt-LT"/>
        </w:rPr>
        <w:t>70 proc. nuo 137 560 EUR apmokestinamojo pelno sumos (137</w:t>
      </w:r>
      <w:r>
        <w:rPr>
          <w:rFonts w:ascii="Times New Roman" w:hAnsi="Times New Roman" w:cs="Times New Roman"/>
          <w:lang w:val="lt-LT"/>
        </w:rPr>
        <w:t xml:space="preserve"> </w:t>
      </w:r>
      <w:r w:rsidRPr="00720B78">
        <w:rPr>
          <w:rFonts w:ascii="Times New Roman" w:hAnsi="Times New Roman" w:cs="Times New Roman"/>
          <w:lang w:val="lt-LT"/>
        </w:rPr>
        <w:t xml:space="preserve">560 EUR * 70 proc. </w:t>
      </w:r>
      <w:r w:rsidRPr="00720B78">
        <w:rPr>
          <w:lang w:val="lt-LT"/>
        </w:rPr>
        <w:t>= 96</w:t>
      </w:r>
      <w:r>
        <w:rPr>
          <w:lang w:val="lt-LT"/>
        </w:rPr>
        <w:t xml:space="preserve"> </w:t>
      </w:r>
      <w:r w:rsidRPr="00720B78">
        <w:rPr>
          <w:lang w:val="lt-LT"/>
        </w:rPr>
        <w:t>292 EUR)</w:t>
      </w:r>
      <w:r w:rsidRPr="00720B78">
        <w:rPr>
          <w:rFonts w:ascii="Times New Roman" w:hAnsi="Times New Roman" w:cs="Times New Roman"/>
          <w:lang w:val="lt-LT"/>
        </w:rPr>
        <w:t>.</w:t>
      </w:r>
    </w:p>
    <w:p w14:paraId="1086562C" w14:textId="77777777" w:rsidR="00093845" w:rsidRPr="0039379F" w:rsidRDefault="0039379F" w:rsidP="0039379F">
      <w:pPr>
        <w:jc w:val="both"/>
        <w:rPr>
          <w:sz w:val="20"/>
          <w:szCs w:val="22"/>
          <w:lang w:val="lt-LT"/>
        </w:rPr>
      </w:pPr>
      <w:r>
        <w:rPr>
          <w:iCs/>
          <w:lang w:eastAsia="lt-LT"/>
        </w:rPr>
        <w:t xml:space="preserve">(PMĮ </w:t>
      </w:r>
      <w:r>
        <w:t>43</w:t>
      </w:r>
      <w:r>
        <w:rPr>
          <w:iCs/>
          <w:lang w:eastAsia="lt-LT"/>
        </w:rPr>
        <w:t xml:space="preserve"> straipsnio 7 d. komentaras parengtas</w:t>
      </w:r>
      <w:r>
        <w:rPr>
          <w:vertAlign w:val="superscript"/>
        </w:rPr>
        <w:t xml:space="preserve"> </w:t>
      </w:r>
      <w:r>
        <w:rPr>
          <w:iCs/>
          <w:lang w:eastAsia="lt-LT"/>
        </w:rPr>
        <w:t xml:space="preserve"> pagal VMI prie FM 2025-01-21 raštą Nr. (18.32-31-1 Mr)-R-270)</w:t>
      </w:r>
    </w:p>
    <w:p w14:paraId="0CA49C32" w14:textId="77777777" w:rsidR="00093845" w:rsidRPr="00CE6C73" w:rsidRDefault="000D779E" w:rsidP="00DB7D41">
      <w:pPr>
        <w:spacing w:after="0"/>
        <w:jc w:val="both"/>
        <w:rPr>
          <w:color w:val="000000"/>
          <w:lang w:eastAsia="lt-LT"/>
        </w:rPr>
      </w:pPr>
      <w:bookmarkStart w:id="565" w:name="_44_straipsnis._Nuolatinės"/>
      <w:bookmarkEnd w:id="565"/>
      <w:r w:rsidRPr="00CE6C73">
        <w:rPr>
          <w:b/>
          <w:bCs/>
          <w:lang w:val="lt-LT" w:eastAsia="lt-LT"/>
        </w:rPr>
        <w:t>44 STRAIPSNIS. Nuolatinės buveinės perleidimo nuostolis</w:t>
      </w:r>
      <w:r w:rsidRPr="00CE6C73">
        <w:rPr>
          <w:b/>
          <w:bCs/>
          <w:lang w:eastAsia="lt-LT"/>
        </w:rPr>
        <w:t>.</w:t>
      </w:r>
      <w:r>
        <w:rPr>
          <w:lang w:eastAsia="lt-LT"/>
        </w:rPr>
        <w:t xml:space="preserve"> </w:t>
      </w:r>
      <w:r>
        <w:rPr>
          <w:lang w:val="lt-LT" w:eastAsia="lt-LT"/>
        </w:rPr>
        <w:t xml:space="preserve"> </w:t>
      </w:r>
      <w:r w:rsidRPr="00CE6C73">
        <w:rPr>
          <w:b/>
          <w:bCs/>
          <w:color w:val="000000"/>
          <w:lang w:eastAsia="lt-LT"/>
        </w:rPr>
        <w:t>NETEKO GALIOS</w:t>
      </w:r>
      <w:r w:rsidRPr="00CE6C73">
        <w:rPr>
          <w:color w:val="000000"/>
          <w:lang w:eastAsia="lt-LT"/>
        </w:rPr>
        <w:t xml:space="preserve">: </w:t>
      </w:r>
    </w:p>
    <w:p w14:paraId="2208E536" w14:textId="77777777" w:rsidR="00093845" w:rsidRPr="00480C1E" w:rsidRDefault="000D779E" w:rsidP="00DB7D41">
      <w:pPr>
        <w:spacing w:after="0"/>
        <w:ind w:firstLine="720"/>
        <w:jc w:val="both"/>
        <w:rPr>
          <w:b/>
          <w:color w:val="000000"/>
          <w:lang w:eastAsia="lt-LT"/>
        </w:rPr>
      </w:pPr>
      <w:r w:rsidRPr="00480C1E">
        <w:rPr>
          <w:b/>
          <w:color w:val="000000"/>
          <w:lang w:eastAsia="lt-LT"/>
        </w:rPr>
        <w:t>2005 12 20 įstatymu Nr. X-456 (nuo 2006 01 01)</w:t>
      </w:r>
    </w:p>
    <w:p w14:paraId="4A4E0130" w14:textId="77777777" w:rsidR="00DB7D41" w:rsidRDefault="00DB7D41">
      <w:pPr>
        <w:pStyle w:val="Antrat1"/>
        <w:tabs>
          <w:tab w:val="left" w:pos="720"/>
        </w:tabs>
        <w:jc w:val="both"/>
        <w:rPr>
          <w:rFonts w:ascii="Times New Roman" w:hAnsi="Times New Roman"/>
          <w:lang w:val="lt-LT"/>
        </w:rPr>
      </w:pPr>
      <w:bookmarkStart w:id="566" w:name="_45_straipsnis._Turto"/>
      <w:bookmarkEnd w:id="566"/>
    </w:p>
    <w:p w14:paraId="2D906D99" w14:textId="77777777" w:rsidR="00093845" w:rsidRDefault="000D779E">
      <w:pPr>
        <w:pStyle w:val="Antrat1"/>
        <w:tabs>
          <w:tab w:val="left" w:pos="720"/>
        </w:tabs>
        <w:jc w:val="both"/>
        <w:rPr>
          <w:b w:val="0"/>
          <w:bCs w:val="0"/>
          <w:lang w:val="lt-LT"/>
        </w:rPr>
      </w:pPr>
      <w:r>
        <w:rPr>
          <w:rFonts w:ascii="Times New Roman" w:hAnsi="Times New Roman"/>
          <w:lang w:val="lt-LT"/>
        </w:rPr>
        <w:t>45 STRAIPSNIS. Turto vertės padidėjimo pajamos bei nuostoliai įmones likviduojant</w:t>
      </w:r>
      <w:r>
        <w:rPr>
          <w:b w:val="0"/>
          <w:bCs w:val="0"/>
          <w:lang w:val="lt-LT"/>
        </w:rPr>
        <w:t>.</w:t>
      </w:r>
    </w:p>
    <w:p w14:paraId="18C95449" w14:textId="77777777" w:rsidR="00093845" w:rsidRDefault="000D779E">
      <w:pPr>
        <w:pStyle w:val="HTMLiankstoformatuotas"/>
        <w:tabs>
          <w:tab w:val="clear" w:pos="916"/>
          <w:tab w:val="left" w:pos="720"/>
          <w:tab w:val="left" w:pos="1077"/>
          <w:tab w:val="left" w:pos="1418"/>
        </w:tabs>
        <w:jc w:val="both"/>
        <w:rPr>
          <w:rFonts w:ascii="Times New Roman" w:hAnsi="Times New Roman"/>
          <w:b/>
          <w:bCs/>
          <w:sz w:val="24"/>
          <w:lang w:val="lt-LT"/>
        </w:rPr>
      </w:pPr>
      <w:r>
        <w:rPr>
          <w:rFonts w:ascii="Times New Roman" w:hAnsi="Times New Roman"/>
          <w:b/>
          <w:bCs/>
          <w:sz w:val="24"/>
          <w:lang w:val="lt-LT"/>
        </w:rPr>
        <w:tab/>
        <w:t>1.</w:t>
      </w:r>
      <w:r>
        <w:rPr>
          <w:rFonts w:ascii="Times New Roman" w:hAnsi="Times New Roman"/>
          <w:b/>
          <w:bCs/>
          <w:sz w:val="24"/>
          <w:lang w:val="lt-LT"/>
        </w:rPr>
        <w:tab/>
        <w:t>Jei likviduojamas vienetas paskirsto turtą savo dalyviams, toks paskirstymas yra laikomas to turto pardavimu už to turto tikrąją rinkos kainą, nustatytą nuosavybės teisės perleidimo dieną, o skirtumas tarp to turto įsigijimo kainos ir pardavimo kainos bus laikomas vieneto turto vertės padidėjimo pajamomis, jei šiame Įstatyme nenustatyta kitaip. Likviduojant vienetą, vieneto patirti nuostoliai dėl turto perleidimo laikomi likviduojamo vieneto nuostoliais.</w:t>
      </w:r>
    </w:p>
    <w:p w14:paraId="7EB335DA"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b/>
          <w:bCs/>
          <w:sz w:val="24"/>
          <w:lang w:val="lt-LT"/>
        </w:rPr>
        <w:tab/>
        <w:t>Komentaras</w:t>
      </w:r>
    </w:p>
    <w:p w14:paraId="3C25FB62" w14:textId="77777777" w:rsidR="00093845" w:rsidRDefault="000D779E">
      <w:pPr>
        <w:pStyle w:val="HTMLiankstoformatuotas"/>
        <w:tabs>
          <w:tab w:val="clear" w:pos="91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1.</w:t>
      </w:r>
      <w:r>
        <w:rPr>
          <w:rFonts w:ascii="Times New Roman" w:hAnsi="Times New Roman"/>
          <w:sz w:val="24"/>
          <w:lang w:val="lt-LT"/>
        </w:rPr>
        <w:tab/>
        <w:t>Likviduojamo vieneto turto paskirstymas savo dalyviams yra laikomas to turto pardavimu už to turto tikrąją rinkos kainą, nustatytą nuosavybės teisės į turtą perleidimo dieną (žr. PMĮ 15 str. 2 d. komentarą).</w:t>
      </w:r>
    </w:p>
    <w:p w14:paraId="1829BCF0"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2.</w:t>
      </w:r>
      <w:r>
        <w:rPr>
          <w:rFonts w:ascii="Times New Roman" w:hAnsi="Times New Roman"/>
          <w:sz w:val="24"/>
          <w:lang w:val="lt-LT"/>
        </w:rPr>
        <w:tab/>
      </w:r>
      <w:r>
        <w:rPr>
          <w:rFonts w:ascii="Times New Roman" w:hAnsi="Times New Roman"/>
          <w:sz w:val="24"/>
          <w:lang w:val="lt-LT"/>
        </w:rPr>
        <w:tab/>
        <w:t>Likviduojamo vieneto turto vertės padidėjimo pajamos yra skirtumas tarp paskirstomo turto įsigijimo kainos ir jo pardavimo kainos.</w:t>
      </w:r>
    </w:p>
    <w:p w14:paraId="144210F7"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Jei likviduojamo vieneto paskirstomo turto rinkos kaina yra didesnė už jo įsigijimo kainą, tai vienetas turi apmokestinti turto vertės padidėjimo pajamas PMĮ nustatyta tvarka. Jeigu likviduojamas vienetas perleidžia turtą, kuriam buvo skaičiuojamas nusidėvėjimas arba amortizacija, tai, apskaičiuojant turto vertės padidėjimo pajamas, atsižvelgiama į PMĮ 16 str. 2 dalies nuostatą, t.y. to turto įsigijimo kaina sumažinama nusidėvėjimo ar amortizacijos suma, įtraukta į ribojamų dydžių leidžiamus atskaitymus.</w:t>
      </w:r>
    </w:p>
    <w:p w14:paraId="45919C09"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7E1BE9F8"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lastRenderedPageBreak/>
        <w:tab/>
        <w:t>2002 m. gruodžio mėn. vienetas X yra likviduojamas. Vieneto X turimų dviejų automobilių, kurie paskirstomi jo dalyviams, įsigijimo vertė yra 35000 Lt (vieno 15000 Lt, o kito 20000 Lt). Iki 2002 m. gruodžio mėn. buvo priskaičiuota 25000 Lt nusidėvėjimo suma (vienam 10000 Lt, o kitam 15000 Lt), kuri buvo įtraukta į ribojamų dydžių leidžiamus atskaitymus. Automobilių perleidimo vieneto X dalyviams dieną šio turto tikroji rinkos vertė sudarė 15000 Lt (vieno 6000 Lt, o kito 9000 Lt). Vadinasi, likviduojamo vieneto X turto vertės padidėjimo pajamos yra 5000 Lt (15000 Lt – (35000 Lt - 25000 Lt )).</w:t>
      </w:r>
    </w:p>
    <w:p w14:paraId="0FEBD418" w14:textId="77777777" w:rsidR="00093845" w:rsidRDefault="00093845">
      <w:pPr>
        <w:pStyle w:val="HTMLiankstoformatuotas"/>
        <w:tabs>
          <w:tab w:val="left" w:pos="720"/>
          <w:tab w:val="left" w:pos="1077"/>
          <w:tab w:val="left" w:pos="1418"/>
        </w:tabs>
        <w:jc w:val="both"/>
        <w:rPr>
          <w:rFonts w:ascii="Times New Roman" w:hAnsi="Times New Roman"/>
          <w:sz w:val="24"/>
          <w:lang w:val="lt-LT"/>
        </w:rPr>
      </w:pPr>
    </w:p>
    <w:p w14:paraId="65346014" w14:textId="77777777" w:rsidR="00093845" w:rsidRDefault="000D779E">
      <w:pPr>
        <w:pStyle w:val="HTMLiankstoformatuotas"/>
        <w:tabs>
          <w:tab w:val="clear" w:pos="916"/>
          <w:tab w:val="left" w:pos="720"/>
          <w:tab w:val="left" w:pos="1077"/>
          <w:tab w:val="left" w:pos="1418"/>
          <w:tab w:val="left" w:pos="1800"/>
        </w:tabs>
        <w:jc w:val="both"/>
        <w:rPr>
          <w:rFonts w:ascii="Times New Roman" w:hAnsi="Times New Roman"/>
          <w:sz w:val="24"/>
          <w:lang w:val="lt-LT"/>
        </w:rPr>
      </w:pPr>
      <w:r>
        <w:rPr>
          <w:rFonts w:ascii="Times New Roman" w:hAnsi="Times New Roman"/>
          <w:sz w:val="24"/>
          <w:lang w:val="lt-LT"/>
        </w:rPr>
        <w:tab/>
        <w:t>3.</w:t>
      </w:r>
      <w:r>
        <w:rPr>
          <w:rFonts w:ascii="Times New Roman" w:hAnsi="Times New Roman"/>
          <w:sz w:val="24"/>
          <w:lang w:val="lt-LT"/>
        </w:rPr>
        <w:tab/>
        <w:t xml:space="preserve">Likviduojamo vieneto dėl turto perleidimo patirti nuostoliai yra šio vieneto nuostoliai. </w:t>
      </w:r>
    </w:p>
    <w:p w14:paraId="2556C46C"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Jei likviduojamo vieneto paskirstomo turto rinkos kaina yra mažesnė už jo įsigijimo kainą, tai toks nuostolis nepriskiriamas leidžiamiems atskaitymams ir iš pajamų neatskaitomas. Jeigu vienetas perleidžia turtą, kuriam buvo skaičiuojamas nusidėvėjimas arba amortizacija, tai, apskaičiuojant turto vertės nuostolį, atsižvelgiama į PMĮ 16 str. 2 dalies nuostatą, t.y. to turto įsigijimo kaina sumažinama nusidėvėjimo ar amortizacijos suma, įtraukta į ribojamų dydžių leidžiamus atskaitymus.</w:t>
      </w:r>
    </w:p>
    <w:p w14:paraId="0CBA1EF5"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5B424790"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2002 m. gruodžio mėn. vienetas X yra likviduojamas. Vieneto X turimų dviejų automobilių, kurie paskirstomi jo dalyviams, įsigijimo vertė yra 35000 Lt (vieno 15000 Lt, o kito 20000 Lt). Iki 2002 m. gruodžio mėn. buvo priskaičiuota 25000 Lt nusidėvėjimo suma (vienam 10000 Lt, o kitam 15000 Lt), kuri buvo įtraukta į ribojamų dydžių leidžiamus atskaitymus. Automobilių perleidimo vieneto X dalyviams dieną šio turto tikroji rinkos vertė sudarė 8000 Lt (vieno 3500 Lt, o kito 4500 Lt). Vadinasi, likviduojamo vieneto X turto perleidimo nuostolis yra 2000 Lt (8000 Lt – (35000 Lt – 25000 Lt)).</w:t>
      </w:r>
    </w:p>
    <w:p w14:paraId="18C03FBF" w14:textId="77777777" w:rsidR="00093845" w:rsidRDefault="000D779E">
      <w:pPr>
        <w:pStyle w:val="HTMLiankstoformatuotas"/>
        <w:tabs>
          <w:tab w:val="clear" w:pos="916"/>
          <w:tab w:val="left" w:pos="720"/>
          <w:tab w:val="left" w:pos="1077"/>
          <w:tab w:val="left" w:pos="1418"/>
        </w:tabs>
        <w:jc w:val="both"/>
        <w:rPr>
          <w:rFonts w:ascii="Times New Roman" w:hAnsi="Times New Roman"/>
          <w:b/>
          <w:bCs/>
          <w:sz w:val="24"/>
          <w:lang w:val="lt-LT"/>
        </w:rPr>
      </w:pPr>
      <w:r>
        <w:rPr>
          <w:rFonts w:ascii="Times New Roman" w:hAnsi="Times New Roman"/>
          <w:b/>
          <w:bCs/>
          <w:sz w:val="24"/>
          <w:lang w:val="lt-LT"/>
        </w:rPr>
        <w:tab/>
        <w:t>2.</w:t>
      </w:r>
      <w:r>
        <w:rPr>
          <w:rFonts w:ascii="Times New Roman" w:hAnsi="Times New Roman"/>
          <w:b/>
          <w:bCs/>
          <w:sz w:val="24"/>
          <w:lang w:val="lt-LT"/>
        </w:rPr>
        <w:tab/>
        <w:t>Likviduojamo vieneto dalyviai pripažįsta turto vertės padidėjimo pajamas (turto vertės nuostolius) likviduojamo vieneto turto ar jo dalies gavimo momentu. Tokias pajamas (nuostolius) sudaro vieneto dalyvių nuosavybės teisių (dalių, pajų, akcijų) įsigijimo kainos ir iš likviduojamo vieneto gauto turto rinkos kainos skirtumas. Turto, gauto iš likviduojamo vieneto, įsigijimo kaina vieneto dalyviams yra to turto tikroji rinkos kaina.</w:t>
      </w:r>
    </w:p>
    <w:p w14:paraId="225A5376" w14:textId="77777777" w:rsidR="00093845" w:rsidRDefault="00E03532">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b/>
          <w:bCs/>
          <w:sz w:val="24"/>
          <w:lang w:val="lt-LT"/>
        </w:rPr>
        <w:tab/>
      </w:r>
      <w:r w:rsidR="000D779E">
        <w:rPr>
          <w:rFonts w:ascii="Times New Roman" w:hAnsi="Times New Roman"/>
          <w:b/>
          <w:bCs/>
          <w:sz w:val="24"/>
          <w:lang w:val="lt-LT"/>
        </w:rPr>
        <w:t>Komentaras</w:t>
      </w:r>
    </w:p>
    <w:p w14:paraId="7E409DDF" w14:textId="77777777" w:rsidR="00093845" w:rsidRDefault="000D779E">
      <w:pPr>
        <w:pStyle w:val="HTMLiankstoformatuotas"/>
        <w:tabs>
          <w:tab w:val="clear" w:pos="916"/>
          <w:tab w:val="left" w:pos="720"/>
          <w:tab w:val="left" w:pos="1077"/>
          <w:tab w:val="left" w:pos="1418"/>
        </w:tabs>
        <w:jc w:val="both"/>
        <w:rPr>
          <w:rFonts w:ascii="Times New Roman" w:hAnsi="Times New Roman"/>
          <w:sz w:val="24"/>
          <w:lang w:val="lt-LT"/>
        </w:rPr>
      </w:pPr>
      <w:r>
        <w:rPr>
          <w:rFonts w:ascii="Times New Roman" w:hAnsi="Times New Roman"/>
          <w:sz w:val="24"/>
          <w:lang w:val="lt-LT"/>
        </w:rPr>
        <w:tab/>
        <w:t>1.</w:t>
      </w:r>
      <w:r>
        <w:rPr>
          <w:rFonts w:ascii="Times New Roman" w:hAnsi="Times New Roman"/>
          <w:sz w:val="24"/>
          <w:lang w:val="lt-LT"/>
        </w:rPr>
        <w:tab/>
        <w:t xml:space="preserve">Likviduojamo vieneto dalyviai pripažįsta turto vertės padidėjimo pajamas (turto vertės nuostolius) likviduojamo vieneto turto ar jo dalies gavimo momentu. </w:t>
      </w:r>
    </w:p>
    <w:p w14:paraId="0FF56335" w14:textId="77777777" w:rsidR="00093845" w:rsidRDefault="000D779E">
      <w:pPr>
        <w:pStyle w:val="HTMLiankstoformatuotas"/>
        <w:tabs>
          <w:tab w:val="clear" w:pos="916"/>
          <w:tab w:val="left" w:pos="720"/>
          <w:tab w:val="left" w:pos="1077"/>
          <w:tab w:val="left" w:pos="1418"/>
          <w:tab w:val="left" w:pos="2700"/>
        </w:tabs>
        <w:jc w:val="both"/>
        <w:rPr>
          <w:rFonts w:ascii="Times New Roman" w:hAnsi="Times New Roman"/>
          <w:sz w:val="24"/>
          <w:lang w:val="lt-LT"/>
        </w:rPr>
      </w:pPr>
      <w:r>
        <w:rPr>
          <w:rFonts w:ascii="Times New Roman" w:hAnsi="Times New Roman"/>
          <w:sz w:val="24"/>
          <w:lang w:val="lt-LT"/>
        </w:rPr>
        <w:tab/>
        <w:t>2.</w:t>
      </w:r>
      <w:r>
        <w:rPr>
          <w:rFonts w:ascii="Times New Roman" w:hAnsi="Times New Roman"/>
          <w:sz w:val="24"/>
          <w:lang w:val="lt-LT"/>
        </w:rPr>
        <w:tab/>
        <w:t>Likviduojamo vieneto dalyvių (kitų vienetų) turto vertės padidėjimo pajamas (turto vertės nuostolius) sudaro skirtumas tarp nuosavybės teisių (dalių, pajų, akcijų) įsigijimo kainos ir iš likviduojamo vieneto gauto turto tikrosios rinkos kainos.</w:t>
      </w:r>
    </w:p>
    <w:p w14:paraId="53EBB102" w14:textId="77777777" w:rsidR="00093845" w:rsidRDefault="000D779E">
      <w:pPr>
        <w:pStyle w:val="HTMLiankstoformatuotas"/>
        <w:tabs>
          <w:tab w:val="clear" w:pos="916"/>
          <w:tab w:val="left" w:pos="720"/>
          <w:tab w:val="left" w:pos="1077"/>
          <w:tab w:val="left" w:pos="1418"/>
          <w:tab w:val="left" w:pos="1800"/>
        </w:tabs>
        <w:jc w:val="both"/>
        <w:rPr>
          <w:rFonts w:ascii="Times New Roman" w:hAnsi="Times New Roman"/>
          <w:sz w:val="24"/>
          <w:lang w:val="lt-LT"/>
        </w:rPr>
      </w:pPr>
      <w:r>
        <w:rPr>
          <w:rFonts w:ascii="Times New Roman" w:hAnsi="Times New Roman"/>
          <w:sz w:val="24"/>
          <w:lang w:val="lt-LT"/>
        </w:rPr>
        <w:tab/>
        <w:t>2.1.</w:t>
      </w:r>
      <w:r>
        <w:rPr>
          <w:rFonts w:ascii="Times New Roman" w:hAnsi="Times New Roman"/>
          <w:sz w:val="24"/>
          <w:lang w:val="lt-LT"/>
        </w:rPr>
        <w:tab/>
        <w:t xml:space="preserve">Jei likviduojamo vieneto dalyvio iš likviduojamo vieneto gauto turto rinkos kaina yra didesnė už anuliuotų akcijų, dalių, pajų įsigijimo kainą, tai turto vertės padidėjimo pajamos priskiriamos pajamoms ir apmokestinamos PMĮ nustatyta tvarka. </w:t>
      </w:r>
    </w:p>
    <w:p w14:paraId="13F281E1"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596D5AA5"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 xml:space="preserve">Vieneto X (uždarosios akcinės bendrovės) dalyviai yra du vienetai A ir B, kurių kiekvienas turi vieneto X akcijų, įsigytų atitinkamai už 4000 Lt ir 6000 Lt. 2002 m. gruodžio mėn. vienetas X yra likviduojamas, o jo turimi du automobiliai, įvertinti pagal tikrąją rinkos kainą, gruodžio mėnesį perduodami jo dalyviams, t.y. kiekvienam po vieną automobilį. Automobilių gavimo momentu vienetui A perduoto turto tikroji rinkos vertė sudarė 6000 Lt, o vienetui B - 9000 Lt. Vadinasi, vieneto </w:t>
      </w:r>
      <w:r>
        <w:rPr>
          <w:rFonts w:ascii="Times New Roman" w:hAnsi="Times New Roman"/>
          <w:sz w:val="24"/>
          <w:lang w:val="lt-LT"/>
        </w:rPr>
        <w:lastRenderedPageBreak/>
        <w:t>A gauto turto vertės padidėjimo pajamos (gauto turto rinkos kainos ir akcijų įsigijimo kainos skirtumas) yra 2000 Lt (6000 Lt – 4000 Lt), o vieneto B - 3000 Lt (9000 Lt – 6000 Lt).</w:t>
      </w:r>
    </w:p>
    <w:p w14:paraId="533B57D6" w14:textId="77777777" w:rsidR="00093845" w:rsidRDefault="00093845">
      <w:pPr>
        <w:pStyle w:val="HTMLiankstoformatuotas"/>
        <w:tabs>
          <w:tab w:val="left" w:pos="720"/>
          <w:tab w:val="left" w:pos="1077"/>
          <w:tab w:val="left" w:pos="1418"/>
        </w:tabs>
        <w:jc w:val="both"/>
        <w:rPr>
          <w:rFonts w:ascii="Times New Roman" w:hAnsi="Times New Roman"/>
          <w:sz w:val="24"/>
          <w:lang w:val="lt-LT"/>
        </w:rPr>
      </w:pPr>
    </w:p>
    <w:p w14:paraId="26A59C2A"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2.2.</w:t>
      </w:r>
      <w:r>
        <w:rPr>
          <w:rFonts w:ascii="Times New Roman" w:hAnsi="Times New Roman"/>
          <w:sz w:val="24"/>
          <w:lang w:val="lt-LT"/>
        </w:rPr>
        <w:tab/>
        <w:t>Jei likviduojamo vieneto dalyvio iš likviduojamo vieneto gauto turto rinkos kaina yra mažesnė už anuliuotų akcijų, dalių, pajų įsigijimo kainą, tai susidaręs nuostolis (kaip nesusijęs su pajamų uždirbimu) nepriskiriamas leidžiamiems atskaitymams ir iš pajamų neatskaitomas. Šiuo atveju likviduojamo vieneto dalyvio apskaičiuotas nuostolis yra laikomas nuostoliu iš  vertybinių popierių perleidimo veiklos, kuris gali būti perkeliamas į kitus mokestinius laikotarpius PMĮ 30 straipsnyje nustatyta tvarka. Taip pat tuo atveju, kai likviduojamas vienetas neturi paskirstytino turto, kuriuo būtų atsiskaitoma su dalyviu,</w:t>
      </w:r>
      <w:r>
        <w:rPr>
          <w:lang w:val="lt-LT"/>
        </w:rPr>
        <w:t xml:space="preserve"> </w:t>
      </w:r>
      <w:r>
        <w:rPr>
          <w:rFonts w:ascii="Times New Roman" w:hAnsi="Times New Roman"/>
          <w:sz w:val="24"/>
          <w:lang w:val="lt-LT"/>
        </w:rPr>
        <w:t>likviduojamo vieneto dalyvis taip pat turi parodyti vertybinių popierių perleidimo veiklos nuostolį.</w:t>
      </w:r>
    </w:p>
    <w:p w14:paraId="3A64AE8E" w14:textId="77777777" w:rsidR="00093845" w:rsidRDefault="000D779E">
      <w:pPr>
        <w:pStyle w:val="HTMLiankstoformatuotas"/>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Pavyzdys</w:t>
      </w:r>
    </w:p>
    <w:p w14:paraId="43895960" w14:textId="77777777" w:rsidR="00093845" w:rsidRDefault="000D779E">
      <w:pPr>
        <w:pStyle w:val="HTMLiankstoformatuotas"/>
        <w:pBdr>
          <w:top w:val="single" w:sz="4" w:space="1" w:color="auto"/>
          <w:left w:val="single" w:sz="4" w:space="4" w:color="auto"/>
          <w:bottom w:val="single" w:sz="4" w:space="1" w:color="auto"/>
          <w:right w:val="single" w:sz="4" w:space="4" w:color="auto"/>
        </w:pBdr>
        <w:tabs>
          <w:tab w:val="left" w:pos="720"/>
          <w:tab w:val="left" w:pos="1077"/>
          <w:tab w:val="left" w:pos="1418"/>
        </w:tabs>
        <w:jc w:val="both"/>
        <w:rPr>
          <w:rFonts w:ascii="Times New Roman" w:hAnsi="Times New Roman"/>
          <w:sz w:val="24"/>
          <w:lang w:val="lt-LT"/>
        </w:rPr>
      </w:pPr>
      <w:r>
        <w:rPr>
          <w:rFonts w:ascii="Times New Roman" w:hAnsi="Times New Roman"/>
          <w:sz w:val="24"/>
          <w:lang w:val="lt-LT"/>
        </w:rPr>
        <w:tab/>
        <w:t>Vieneto X (uždarosios akcinės bendrovės) dalyviai yra du vienetai A ir B, kurių kiekvienas turi vieneto X akcijų, įsigytų atitinkamai už 4000 Lt ir 6000 Lt. 2002 m. gruodžio mėn. vienetas X yra likviduojamas, o jo turimi du automobiliai, įvertinti pagal tikrąją rinkos kainą, gruodžio mėnesį perduodami jo dalyviams, t.y. kiekvienam po vieną automobilį. Automobilių gavimo momentu vienetui A perduoto turto tikroji rinkos vertė sudarė 3500 Lt, o vienetui B - 4500 Lt. Vadinasi, vieneto A gauto turto vertės nuostolis (gauto turto rinkos kainos ir akcijų įsigijimo kainos skirtumas) yra 500 Lt (4000 Lt - 3500 Lt), o vieneto B - 1500 Lt (6000 Lt – 4500 Lt), kurie yra  neleidžiami atskaitymai, tačiau laikomi nuostoliais iš vertybinių popierių perleidimo veiklos bei gali būti perkeliami į kitus mokestinius laikotarpius PMĮ 30 straipsnyje nustatyta tvarka.</w:t>
      </w:r>
    </w:p>
    <w:p w14:paraId="07367EE9" w14:textId="77777777" w:rsidR="00093845" w:rsidRDefault="000D779E">
      <w:pPr>
        <w:pStyle w:val="Pagrindiniotekstotrauka3"/>
        <w:tabs>
          <w:tab w:val="left" w:pos="720"/>
          <w:tab w:val="left" w:pos="1077"/>
          <w:tab w:val="left" w:pos="1418"/>
        </w:tabs>
        <w:ind w:right="-5"/>
        <w:rPr>
          <w:lang w:eastAsia="lt-LT"/>
        </w:rPr>
      </w:pPr>
      <w:r>
        <w:rPr>
          <w:iCs/>
          <w:color w:val="000080"/>
          <w:sz w:val="22"/>
          <w:szCs w:val="22"/>
        </w:rPr>
        <w:t xml:space="preserve">  </w:t>
      </w:r>
      <w:r>
        <w:rPr>
          <w:rFonts w:ascii="Times New Roman" w:hAnsi="Times New Roman"/>
        </w:rPr>
        <w:t xml:space="preserve">(Papildyta pagal VMI prie FM raštą </w:t>
      </w:r>
      <w:r>
        <w:t>2010-10-04 Nr. (18.9-31-1)-R-9326)</w:t>
      </w:r>
    </w:p>
    <w:p w14:paraId="50AF6B9D" w14:textId="77777777" w:rsidR="00093845" w:rsidRDefault="000D779E">
      <w:pPr>
        <w:pStyle w:val="HTMLiankstoformatuotas"/>
        <w:tabs>
          <w:tab w:val="clear" w:pos="916"/>
          <w:tab w:val="left" w:pos="720"/>
          <w:tab w:val="left" w:pos="1080"/>
          <w:tab w:val="left" w:pos="1418"/>
          <w:tab w:val="left" w:pos="2880"/>
        </w:tabs>
        <w:jc w:val="both"/>
        <w:rPr>
          <w:rFonts w:ascii="Times New Roman" w:hAnsi="Times New Roman"/>
          <w:sz w:val="24"/>
          <w:lang w:val="lt-LT"/>
        </w:rPr>
      </w:pPr>
      <w:r>
        <w:rPr>
          <w:rFonts w:ascii="Times New Roman" w:hAnsi="Times New Roman"/>
          <w:sz w:val="24"/>
          <w:lang w:val="lt-LT"/>
        </w:rPr>
        <w:tab/>
        <w:t>3.</w:t>
      </w:r>
      <w:r>
        <w:rPr>
          <w:rFonts w:ascii="Times New Roman" w:hAnsi="Times New Roman"/>
          <w:sz w:val="24"/>
          <w:lang w:val="lt-LT"/>
        </w:rPr>
        <w:tab/>
        <w:t>Vieneto dalyviams iš likviduojamo vieneto gauto turto įsigijimo kaina yra to turto tikroji rinkos kaina.</w:t>
      </w:r>
    </w:p>
    <w:p w14:paraId="74C03E00" w14:textId="77777777" w:rsidR="00093845" w:rsidRDefault="00093845">
      <w:pPr>
        <w:tabs>
          <w:tab w:val="left" w:pos="720"/>
          <w:tab w:val="left" w:pos="1077"/>
          <w:tab w:val="left" w:pos="1418"/>
        </w:tabs>
        <w:ind w:firstLine="720"/>
        <w:jc w:val="both"/>
        <w:rPr>
          <w:b/>
          <w:lang w:val="lt-LT"/>
        </w:rPr>
      </w:pPr>
    </w:p>
    <w:p w14:paraId="0E176949" w14:textId="77777777" w:rsidR="00093845" w:rsidRDefault="000D779E">
      <w:pPr>
        <w:pStyle w:val="Antrat4"/>
        <w:ind w:right="-5" w:hanging="567"/>
      </w:pPr>
      <w:bookmarkStart w:id="567" w:name="_46_straipsnis._Apskaitos"/>
      <w:bookmarkEnd w:id="567"/>
      <w:r>
        <w:t>46 STRAIPSNIS. Apskaitos ataskaitos</w:t>
      </w:r>
    </w:p>
    <w:p w14:paraId="332EBC8F" w14:textId="77777777" w:rsidR="00093845" w:rsidRDefault="000D779E">
      <w:pPr>
        <w:pStyle w:val="HTMLiankstoformatuotas"/>
        <w:tabs>
          <w:tab w:val="clear" w:pos="916"/>
          <w:tab w:val="left" w:pos="720"/>
          <w:tab w:val="left" w:pos="1077"/>
          <w:tab w:val="left" w:pos="1418"/>
          <w:tab w:val="left" w:pos="1800"/>
        </w:tabs>
        <w:ind w:firstLine="709"/>
        <w:jc w:val="both"/>
        <w:rPr>
          <w:rFonts w:ascii="Times New Roman" w:hAnsi="Times New Roman"/>
          <w:b/>
          <w:bCs/>
          <w:sz w:val="24"/>
          <w:lang w:val="lt-LT"/>
        </w:rPr>
      </w:pPr>
      <w:r>
        <w:rPr>
          <w:rFonts w:ascii="Times New Roman" w:hAnsi="Times New Roman"/>
          <w:b/>
          <w:bCs/>
          <w:sz w:val="24"/>
          <w:lang w:val="lt-LT"/>
        </w:rPr>
        <w:t>1.</w:t>
      </w:r>
      <w:r>
        <w:rPr>
          <w:rFonts w:ascii="Times New Roman" w:hAnsi="Times New Roman"/>
          <w:b/>
          <w:bCs/>
          <w:sz w:val="24"/>
          <w:lang w:val="lt-LT"/>
        </w:rPr>
        <w:tab/>
        <w:t>Įsigyjančiojo vieneto aiškinamajame rašte už tą mokestinį laikotarpį, kuriuo buvo įvykdytos šio Įstatymo 41 straipsnyje nurodytos operacijos, nurodoma, per kurį mokestinį laikotarpį įvyko turto ir teisių perleidimas iš įsigytojo vieneto ar vienetų. Vėlesniuose aiškinamuosiuose raštuose privalo būti nurodyta, kuriame aiškinamajame rašte pateikta šioje dalyje nustatyta informacija.</w:t>
      </w:r>
    </w:p>
    <w:p w14:paraId="230485C7"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7F8CF63C"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mokestinio laikotarpio, kurį įvyko PMĮ 41 straipsnyje aprašytas reorganizavimo ar perleidimo atvejis, metinę finansinę atskaitomybę, aiškinamajame rašte nurodo per tą mokestinį laikotarpį iš įsigytojo vieneto ar vienetų gautą turtą, teises ir įsipareigojimus. Šiame aiškinamajame rašte jis taip pat turi nurodyti, ar jo reorganizavimo ar perleidimo modelis tikrai atitinka vieną iš PMĮ 41 straipsnyje nustatytų atvejų.</w:t>
      </w:r>
    </w:p>
    <w:p w14:paraId="5DCF5EEB"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vėlesnių mokestinių laikotarpių metinę finansinę atskaitomybę, tų laikotarpių aiškinamuosiuose raštuose privalo tik nurodyti, kurio mokestinio laikotarpio aiškinamajame rašte buvo pateikta informacija apie PMĮ 41 straipsnyje nurodytas operacijas.</w:t>
      </w:r>
    </w:p>
    <w:p w14:paraId="777958C6" w14:textId="77777777" w:rsidR="00093845" w:rsidRDefault="000D779E">
      <w:pPr>
        <w:pStyle w:val="HTMLiankstoformatuotas"/>
        <w:tabs>
          <w:tab w:val="clear" w:pos="916"/>
          <w:tab w:val="left" w:pos="720"/>
          <w:tab w:val="left" w:pos="1077"/>
          <w:tab w:val="left" w:pos="1418"/>
          <w:tab w:val="left" w:pos="1620"/>
        </w:tabs>
        <w:ind w:firstLine="709"/>
        <w:jc w:val="both"/>
        <w:rPr>
          <w:rFonts w:ascii="Times New Roman" w:hAnsi="Times New Roman"/>
          <w:b/>
          <w:bCs/>
          <w:sz w:val="24"/>
          <w:lang w:val="lt-LT"/>
        </w:rPr>
      </w:pPr>
      <w:r>
        <w:rPr>
          <w:rFonts w:ascii="Times New Roman" w:hAnsi="Times New Roman"/>
          <w:b/>
          <w:bCs/>
          <w:sz w:val="24"/>
          <w:lang w:val="lt-LT"/>
        </w:rPr>
        <w:lastRenderedPageBreak/>
        <w:t>2.</w:t>
      </w:r>
      <w:r>
        <w:rPr>
          <w:rFonts w:ascii="Times New Roman" w:hAnsi="Times New Roman"/>
          <w:b/>
          <w:bCs/>
          <w:sz w:val="24"/>
          <w:lang w:val="lt-LT"/>
        </w:rPr>
        <w:tab/>
        <w:t>Kartu su aiškinamuoju raštu pateikiamas paskutinis įsigytojo vieneto balansas (vienetų balansai).</w:t>
      </w:r>
    </w:p>
    <w:p w14:paraId="054FAA5B"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5C471370"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Įsigyjantysis vienetas, pateikdamas mokestinio laikotarpio, kurį įvyko PMĮ 41 straipsnyje aprašytas reorganizavimo ar perleidimo atvejis, metinę finansinę atskaitomybę, kartu su aiškinamuoju raštu pateikia paskutinius įsigytojo vieneto ar vienetų balansus, t.y. to mokestinio laikotarpio, kurį įvyko toks reorganizavimas ar perleidimas. Įsigytojo vieneto (ar vienetų) balansas turi būti parengtas pagal reorganizavimo dienos duomenis.</w:t>
      </w:r>
    </w:p>
    <w:p w14:paraId="2DC19A3D" w14:textId="77777777" w:rsidR="00093845" w:rsidRDefault="000D779E">
      <w:pPr>
        <w:pStyle w:val="Pagrindinistekstas"/>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Įsigyjančiojo vieneto pateikiama įsigytojo vieneto (ar vienetų) balanso kopija turi būti patvirtinta įsigytojo vieneto (ar vienetų) vadovo ir vyr. buhalterio (finansininko) arba jų įgaliotų asmenų, arba kita teisės aktų nustatyta tvarka.</w:t>
      </w:r>
    </w:p>
    <w:p w14:paraId="7746D4DF" w14:textId="77777777" w:rsidR="00093845" w:rsidRDefault="000D779E">
      <w:pPr>
        <w:pStyle w:val="Pagrindinistekstas"/>
        <w:tabs>
          <w:tab w:val="left" w:pos="720"/>
          <w:tab w:val="left" w:pos="1077"/>
          <w:tab w:val="left" w:pos="1134"/>
          <w:tab w:val="left" w:pos="1418"/>
        </w:tabs>
        <w:ind w:firstLine="709"/>
        <w:rPr>
          <w:rFonts w:ascii="Times New Roman" w:hAnsi="Times New Roman"/>
          <w:lang w:val="lt-LT"/>
        </w:rPr>
      </w:pPr>
      <w:r>
        <w:rPr>
          <w:rFonts w:ascii="Times New Roman" w:hAnsi="Times New Roman"/>
          <w:lang w:val="lt-LT"/>
        </w:rPr>
        <w:t>Jeigu įsigytasis vienetas (ar vienetai) yra užsienio vienetas, įsigyjantysis vienetas, mokesčių administratoriui paprašius, privalo pateikti minėtų dokumentų vertimą į lietuvių kalbą.</w:t>
      </w:r>
    </w:p>
    <w:p w14:paraId="7361707C" w14:textId="77777777" w:rsidR="00093845" w:rsidRDefault="000D779E">
      <w:pPr>
        <w:pStyle w:val="HTMLiankstoformatuotas"/>
        <w:tabs>
          <w:tab w:val="clear" w:pos="916"/>
          <w:tab w:val="left" w:pos="720"/>
          <w:tab w:val="left" w:pos="1080"/>
          <w:tab w:val="left" w:pos="1418"/>
        </w:tabs>
        <w:ind w:firstLine="709"/>
        <w:jc w:val="both"/>
        <w:rPr>
          <w:rFonts w:ascii="Times New Roman" w:hAnsi="Times New Roman"/>
          <w:b/>
          <w:bCs/>
          <w:sz w:val="24"/>
          <w:lang w:val="lt-LT"/>
        </w:rPr>
      </w:pPr>
      <w:r>
        <w:rPr>
          <w:rFonts w:ascii="Times New Roman" w:hAnsi="Times New Roman"/>
          <w:b/>
          <w:bCs/>
          <w:sz w:val="24"/>
          <w:lang w:val="lt-LT"/>
        </w:rPr>
        <w:t>3.</w:t>
      </w:r>
      <w:r>
        <w:rPr>
          <w:rFonts w:ascii="Times New Roman" w:hAnsi="Times New Roman"/>
          <w:b/>
          <w:bCs/>
          <w:sz w:val="24"/>
          <w:lang w:val="lt-LT"/>
        </w:rPr>
        <w:tab/>
        <w:t>Kartu su aiškinamuoju raštu pateikiami apskaičiuoti skirtumai tarp to turto, kuris nudėvimas arba amortizuojamas, likutinės vertės, užfiksuotos įsigytajame vienete ar vienetuose ir įsigijusiame vienete.</w:t>
      </w:r>
    </w:p>
    <w:p w14:paraId="7C25407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3C268246"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Jeigu PMĮ 41 straipsnyje aprašytu reorganizavimo ar perleidimo atveju buvo užfiksuotas perleisto turto vertės įsigytajame vienete ir įsigijusiame vienete skirtumas, tai įsigyjantysis vienetas, pateikdamas mokestinio laikotarpio, kurį įvyko toks reorganizavimas ar perleidimas, metinę finansinę atskaitomybę,</w:t>
      </w:r>
      <w:r>
        <w:rPr>
          <w:rFonts w:ascii="Times New Roman" w:hAnsi="Times New Roman"/>
          <w:b/>
          <w:bCs/>
          <w:sz w:val="24"/>
          <w:lang w:val="lt-LT"/>
        </w:rPr>
        <w:t xml:space="preserve"> </w:t>
      </w:r>
      <w:r>
        <w:rPr>
          <w:rFonts w:ascii="Times New Roman" w:hAnsi="Times New Roman"/>
          <w:sz w:val="24"/>
          <w:lang w:val="lt-LT"/>
        </w:rPr>
        <w:t>aiškinamajame rašte pateikia skirtumo tarp įsigytajame vienete užfiksuotos turto, kuris buvo nudėvimas arba amortizuojamas, likutinės vertės ir įsigyjančiojo vieneto užfiksuotos to pačio turto, kuris bus nudėvimas ar amortizuojamas, įsigijimo vertės, apskaičiavimus.</w:t>
      </w:r>
    </w:p>
    <w:p w14:paraId="2C609312" w14:textId="77777777" w:rsidR="00093845" w:rsidRDefault="000D779E">
      <w:pPr>
        <w:pStyle w:val="HTMLiankstoformatuotas"/>
        <w:tabs>
          <w:tab w:val="clear" w:pos="916"/>
          <w:tab w:val="left" w:pos="720"/>
          <w:tab w:val="left" w:pos="1077"/>
          <w:tab w:val="left" w:pos="1440"/>
        </w:tabs>
        <w:ind w:firstLine="709"/>
        <w:jc w:val="both"/>
        <w:rPr>
          <w:rFonts w:ascii="Times New Roman" w:hAnsi="Times New Roman"/>
          <w:b/>
          <w:bCs/>
          <w:sz w:val="24"/>
          <w:lang w:val="lt-LT"/>
        </w:rPr>
      </w:pPr>
      <w:r>
        <w:rPr>
          <w:rFonts w:ascii="Times New Roman" w:hAnsi="Times New Roman"/>
          <w:b/>
          <w:bCs/>
          <w:sz w:val="24"/>
          <w:lang w:val="lt-LT"/>
        </w:rPr>
        <w:t>4.</w:t>
      </w:r>
      <w:r>
        <w:rPr>
          <w:rFonts w:ascii="Times New Roman" w:hAnsi="Times New Roman"/>
          <w:b/>
          <w:bCs/>
          <w:sz w:val="24"/>
          <w:lang w:val="lt-LT"/>
        </w:rPr>
        <w:tab/>
        <w:t>Vienetų dalyviai (akcijų (dalių, pajų) savininkai) aiškinamajame rašte nurodo įsigytojo vieneto ar vienetų akcijų nominalią vertę ir kainą, kuria gautos akcijos (dalys, pajai) įtraukiamos į apskaitą tame vienete.</w:t>
      </w:r>
    </w:p>
    <w:p w14:paraId="0FF6D2A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b/>
          <w:bCs/>
          <w:sz w:val="24"/>
          <w:lang w:val="lt-LT"/>
        </w:rPr>
        <w:t>Komentaras</w:t>
      </w:r>
    </w:p>
    <w:p w14:paraId="0AFB7A6E"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rFonts w:ascii="Times New Roman" w:hAnsi="Times New Roman"/>
          <w:sz w:val="24"/>
          <w:lang w:val="lt-LT"/>
        </w:rPr>
        <w:t>Jeigu vienetas dalyvavo PMĮ 41 straipsnyje aprašytame reorganizavime ar perleidime kaip įsigyjamojo ar perleidžiančio vieneto dalyvis (akcijų (dalių, pajų) savininkas) ir dėl to jam buvo išduotos įsigyjančiojo vieneto akcijos, tai, pateikdamas mokestinio laikotarpio, kurį įvyko toks reorganizavimas ar perleidimas, metinę finansinę atskaitomybę,</w:t>
      </w:r>
      <w:r>
        <w:rPr>
          <w:rFonts w:ascii="Times New Roman" w:hAnsi="Times New Roman"/>
          <w:b/>
          <w:bCs/>
          <w:sz w:val="24"/>
          <w:lang w:val="lt-LT"/>
        </w:rPr>
        <w:t xml:space="preserve"> </w:t>
      </w:r>
      <w:r>
        <w:rPr>
          <w:rFonts w:ascii="Times New Roman" w:hAnsi="Times New Roman"/>
          <w:sz w:val="24"/>
          <w:lang w:val="lt-LT"/>
        </w:rPr>
        <w:t>aiškinamajame rašte jis nurodo iš įsigyjančiojo vieneto gautų akcijų nominalią vertę ir kainą, kuria akcijos (dalys, pajai) gautos ir įtrauktos į apskaitą.</w:t>
      </w:r>
    </w:p>
    <w:p w14:paraId="6C947ED0" w14:textId="77777777" w:rsidR="00093845" w:rsidRDefault="000D779E">
      <w:pPr>
        <w:pStyle w:val="HTMLiankstoformatuotas"/>
        <w:tabs>
          <w:tab w:val="clear" w:pos="916"/>
          <w:tab w:val="left" w:pos="720"/>
          <w:tab w:val="left" w:pos="1077"/>
          <w:tab w:val="left" w:pos="1260"/>
          <w:tab w:val="left" w:pos="1418"/>
        </w:tabs>
        <w:ind w:firstLine="709"/>
        <w:jc w:val="both"/>
        <w:rPr>
          <w:rFonts w:ascii="Times New Roman" w:hAnsi="Times New Roman"/>
          <w:b/>
          <w:bCs/>
          <w:sz w:val="24"/>
          <w:lang w:val="lt-LT"/>
        </w:rPr>
      </w:pPr>
      <w:r>
        <w:rPr>
          <w:rFonts w:ascii="Times New Roman" w:hAnsi="Times New Roman"/>
          <w:b/>
          <w:bCs/>
          <w:sz w:val="24"/>
          <w:lang w:val="lt-LT"/>
        </w:rPr>
        <w:t>5.</w:t>
      </w:r>
      <w:r>
        <w:rPr>
          <w:rFonts w:ascii="Times New Roman" w:hAnsi="Times New Roman"/>
          <w:b/>
          <w:bCs/>
          <w:sz w:val="24"/>
          <w:lang w:val="lt-LT"/>
        </w:rPr>
        <w:tab/>
        <w:t>Už šiame straipsnyje nurodytų duomenų nepateikimą laiku mokesčių administratoriui, neteisingų duomenų įrašymą dokumente ir tokio dokumento pateikimą mokesčių administratoriui taikoma įstatymų nustatyta atsakomybė.</w:t>
      </w:r>
    </w:p>
    <w:p w14:paraId="17D1DBE3" w14:textId="77777777" w:rsidR="00093845" w:rsidRDefault="000D779E">
      <w:pPr>
        <w:pStyle w:val="HTMLiankstoformatuotas"/>
        <w:tabs>
          <w:tab w:val="left" w:pos="720"/>
          <w:tab w:val="left" w:pos="1077"/>
          <w:tab w:val="left" w:pos="1418"/>
        </w:tabs>
        <w:ind w:firstLine="709"/>
        <w:jc w:val="both"/>
        <w:rPr>
          <w:rFonts w:ascii="Times New Roman" w:hAnsi="Times New Roman"/>
          <w:sz w:val="24"/>
          <w:lang w:val="lt-LT"/>
        </w:rPr>
      </w:pPr>
      <w:r>
        <w:rPr>
          <w:noProof/>
          <w:lang w:val="lt-LT" w:eastAsia="lt-LT"/>
        </w:rPr>
        <mc:AlternateContent>
          <mc:Choice Requires="wps">
            <w:drawing>
              <wp:anchor distT="0" distB="0" distL="114300" distR="114300" simplePos="0" relativeHeight="251593728" behindDoc="0" locked="0" layoutInCell="1" allowOverlap="1" wp14:anchorId="5EE9E24E" wp14:editId="4D9BBE06">
                <wp:simplePos x="0" y="0"/>
                <wp:positionH relativeFrom="column">
                  <wp:posOffset>-914400</wp:posOffset>
                </wp:positionH>
                <wp:positionV relativeFrom="paragraph">
                  <wp:posOffset>-914400</wp:posOffset>
                </wp:positionV>
                <wp:extent cx="0" cy="31115"/>
                <wp:effectExtent l="5080" t="5080" r="13970" b="11430"/>
                <wp:wrapNone/>
                <wp:docPr id="229"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1115"/>
                        </a:xfrm>
                        <a:prstGeom prst="line">
                          <a:avLst/>
                        </a:prstGeom>
                        <a:noFill/>
                        <a:ln w="9525">
                          <a:solidFill>
                            <a:srgbClr val="000000"/>
                          </a:solidFill>
                          <a:round/>
                        </a:ln>
                      </wps:spPr>
                      <wps:bodyPr/>
                    </wps:wsp>
                  </a:graphicData>
                </a:graphic>
              </wp:anchor>
            </w:drawing>
          </mc:Choice>
          <mc:Fallback>
            <w:pict>
              <v:line w14:anchorId="1AD24883" id="Line 211" o:spid="_x0000_s1026" style="position:absolute;flip:x y;z-index:251593728;visibility:visible;mso-wrap-style:square;mso-wrap-distance-left:9pt;mso-wrap-distance-top:0;mso-wrap-distance-right:9pt;mso-wrap-distance-bottom:0;mso-position-horizontal:absolute;mso-position-horizontal-relative:text;mso-position-vertical:absolute;mso-position-vertical-relative:text" from="-1in,-1in" to="-1in,-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ywAEAAGcDAAAOAAAAZHJzL2Uyb0RvYy54bWysU8tu2zAQvBfoPxC817JUuGgEyzk4SHtw&#10;WwNJe6f5kIiSXGJJW/Lfl6QcN2luQXUgyN3Z2dmH1reTNeQkMWhwHa0XS0qk4yC06zv68/H+w2dK&#10;QmROMANOdvQsA73dvH+3Hn0rGxjACIkkkbjQjr6jQ4y+rarAB2lZWICXLjkVoGUxPbGvBLIxsVtT&#10;Ncvlp2oEFB6ByxCS9W520k3hV0ry+EOpICMxHU3aYjmxnId8Vps1a3tkftD8IoO9QYVl2qWkV6o7&#10;Fhk5on5FZTVHCKDigoOtQCnNZakhVVMv/6nmYWBellpSc4K/tin8P1r+/bRHokVHm+aGEsdsGtJO&#10;O0maus7dGX1oE2jr9pjr45N78DvgvwNxsB2Y62VR+Xj2KbBEVC9C8iP4lOMwfgORMOwYobRqUmiJ&#10;Mtp/zYHl9ivfcprUGDKVKZ2vU5JTJHw28mT9WNf1KiusWJupcpjHEL9IsCRfOmpSHYWOnXYhztAn&#10;SIY7uNfGlBUwjowdvVk1qxIQwGiRnRkWsD9sDZITy0tUvkveFzCEoxNzEuOSrKfK5x4eQJz3mN3Z&#10;nqZZhF82L6/L83dB/f0/Nn8AAAD//wMAUEsDBBQABgAIAAAAIQARtzPK2QAAAA8BAAAPAAAAZHJz&#10;L2Rvd25yZXYueG1sTE/LTsMwELwj8Q/WInFrnUBF0xCnQpX6AS2o4ujG2zjCXofYbcLfs5UQcJvd&#10;Gc2jWk/eiQsOsQukIJ9nIJCaYDpqFby9bmcFiJg0Ge0CoYIvjLCub28qXZow0g4v+9QKNqFYagU2&#10;pb6UMjYWvY7z0CMxdwqD14nPoZVm0CObeycfsuxJet0RJ1jd48Zi87E/ewWuyIrPw2Y5vu8Mp2wP&#10;ztIyV+r+bnp5BpFwSn9iuNbn6lBzp2M4k4nCKZjliwWPSb+INT+/4xU9rnKQdSX/76i/AQAA//8D&#10;AFBLAQItABQABgAIAAAAIQC2gziS/gAAAOEBAAATAAAAAAAAAAAAAAAAAAAAAABbQ29udGVudF9U&#10;eXBlc10ueG1sUEsBAi0AFAAGAAgAAAAhADj9If/WAAAAlAEAAAsAAAAAAAAAAAAAAAAALwEAAF9y&#10;ZWxzLy5yZWxzUEsBAi0AFAAGAAgAAAAhAEr9f3LAAQAAZwMAAA4AAAAAAAAAAAAAAAAALgIAAGRy&#10;cy9lMm9Eb2MueG1sUEsBAi0AFAAGAAgAAAAhABG3M8rZAAAADwEAAA8AAAAAAAAAAAAAAAAAGgQA&#10;AGRycy9kb3ducmV2LnhtbFBLBQYAAAAABAAEAPMAAAAgBQAAAAA=&#10;"/>
            </w:pict>
          </mc:Fallback>
        </mc:AlternateContent>
      </w:r>
      <w:r>
        <w:rPr>
          <w:rFonts w:ascii="Times New Roman" w:hAnsi="Times New Roman"/>
          <w:b/>
          <w:bCs/>
          <w:sz w:val="24"/>
          <w:lang w:val="lt-LT"/>
        </w:rPr>
        <w:t>Komentaras</w:t>
      </w:r>
    </w:p>
    <w:p w14:paraId="68ED63B6" w14:textId="77777777" w:rsidR="00093845" w:rsidRDefault="000D779E">
      <w:pPr>
        <w:tabs>
          <w:tab w:val="left" w:pos="720"/>
          <w:tab w:val="left" w:pos="1077"/>
          <w:tab w:val="left" w:pos="1418"/>
        </w:tabs>
        <w:ind w:firstLine="720"/>
        <w:jc w:val="both"/>
        <w:rPr>
          <w:lang w:val="lt-LT"/>
        </w:rPr>
      </w:pPr>
      <w:r>
        <w:rPr>
          <w:lang w:val="lt-LT"/>
        </w:rPr>
        <w:t>Jei PMĮ 46 str. 1-5 dalyse išvardyti duomenys mokesčių administratoriui pateikiami ne laiku ir/ar pateikiamas dokumentas, kuriame nurodyti neteisingi duomenys, tai už tokį duomenų pateikimą ne laiku ar neteisingą jų pateikimą vienetams taikoma įstatymų nustatyta</w:t>
      </w:r>
      <w:r w:rsidR="0034717A">
        <w:rPr>
          <w:lang w:val="lt-LT"/>
        </w:rPr>
        <w:t xml:space="preserve"> tvarka.</w:t>
      </w:r>
    </w:p>
    <w:p w14:paraId="76172B8F" w14:textId="77777777" w:rsidR="00093845" w:rsidRDefault="00093845">
      <w:pPr>
        <w:tabs>
          <w:tab w:val="left" w:pos="720"/>
          <w:tab w:val="left" w:pos="1077"/>
          <w:tab w:val="left" w:pos="1418"/>
        </w:tabs>
        <w:ind w:firstLine="720"/>
        <w:jc w:val="both"/>
        <w:rPr>
          <w:b/>
          <w:lang w:val="lt-LT"/>
        </w:rPr>
      </w:pPr>
    </w:p>
    <w:p w14:paraId="71EF031C" w14:textId="77777777" w:rsidR="00093845" w:rsidRDefault="000D779E">
      <w:pPr>
        <w:jc w:val="center"/>
        <w:rPr>
          <w:b/>
          <w:bCs/>
          <w:color w:val="000000"/>
        </w:rPr>
      </w:pPr>
      <w:r>
        <w:rPr>
          <w:b/>
          <w:bCs/>
          <w:color w:val="000000"/>
        </w:rPr>
        <w:lastRenderedPageBreak/>
        <w:t>IX</w:t>
      </w:r>
      <w:r>
        <w:rPr>
          <w:b/>
          <w:bCs/>
          <w:color w:val="000000"/>
          <w:vertAlign w:val="superscript"/>
        </w:rPr>
        <w:t>1</w:t>
      </w:r>
      <w:r>
        <w:rPr>
          <w:b/>
          <w:bCs/>
          <w:color w:val="000000"/>
        </w:rPr>
        <w:t xml:space="preserve"> SKYRIUS</w:t>
      </w:r>
    </w:p>
    <w:p w14:paraId="7957343E" w14:textId="77777777" w:rsidR="00093845" w:rsidRDefault="000D779E">
      <w:pPr>
        <w:pStyle w:val="Antrat4"/>
        <w:jc w:val="center"/>
        <w:rPr>
          <w:szCs w:val="24"/>
        </w:rPr>
      </w:pPr>
      <w:r>
        <w:rPr>
          <w:szCs w:val="24"/>
        </w:rPr>
        <w:t>APMOKESTINAMOJO PELNO SUMAŽINIMAS</w:t>
      </w:r>
    </w:p>
    <w:p w14:paraId="217C1E18" w14:textId="77777777" w:rsidR="00093845" w:rsidRDefault="00093845">
      <w:pPr>
        <w:rPr>
          <w:lang w:val="lt-LT"/>
        </w:rPr>
      </w:pPr>
    </w:p>
    <w:p w14:paraId="319B4407" w14:textId="77777777" w:rsidR="00093845" w:rsidRDefault="000D779E">
      <w:pPr>
        <w:ind w:left="4140" w:hanging="4140"/>
        <w:rPr>
          <w:b/>
          <w:bCs/>
          <w:color w:val="000000"/>
        </w:rPr>
      </w:pPr>
      <w:r>
        <w:rPr>
          <w:b/>
          <w:lang w:val="lt-LT"/>
        </w:rPr>
        <w:t xml:space="preserve">                                                                   </w:t>
      </w:r>
      <w:r>
        <w:rPr>
          <w:b/>
          <w:bCs/>
          <w:lang w:val="lt-LT" w:eastAsia="lt-LT"/>
        </w:rPr>
        <w:t xml:space="preserve"> </w:t>
      </w:r>
      <w:r>
        <w:rPr>
          <w:b/>
          <w:bCs/>
          <w:color w:val="000000"/>
        </w:rPr>
        <w:t>IX</w:t>
      </w:r>
      <w:r>
        <w:rPr>
          <w:b/>
          <w:bCs/>
          <w:color w:val="000000"/>
          <w:vertAlign w:val="superscript"/>
        </w:rPr>
        <w:t>1</w:t>
      </w:r>
      <w:r>
        <w:rPr>
          <w:b/>
          <w:bCs/>
          <w:color w:val="000000"/>
        </w:rPr>
        <w:t xml:space="preserve"> SKYRIUS</w:t>
      </w:r>
    </w:p>
    <w:p w14:paraId="2C8D9B0F" w14:textId="77777777" w:rsidR="00093845" w:rsidRDefault="000D779E">
      <w:pPr>
        <w:tabs>
          <w:tab w:val="left" w:pos="0"/>
        </w:tabs>
        <w:spacing w:before="100" w:beforeAutospacing="1" w:after="100" w:afterAutospacing="1"/>
        <w:rPr>
          <w:b/>
          <w:bCs/>
          <w:u w:val="single"/>
          <w:lang w:val="lt-LT" w:eastAsia="lt-LT"/>
        </w:rPr>
      </w:pPr>
      <w:r>
        <w:rPr>
          <w:b/>
          <w:bCs/>
          <w:lang w:val="lt-LT" w:eastAsia="lt-LT"/>
        </w:rPr>
        <w:t>APMOKESTINAMOJO PELNO IR PELNO MOKESČIO SUMAŽINIMAS</w:t>
      </w:r>
      <w:r>
        <w:rPr>
          <w:b/>
          <w:bCs/>
          <w:sz w:val="22"/>
          <w:szCs w:val="22"/>
          <w:lang w:val="lt-LT" w:eastAsia="lt-LT"/>
        </w:rPr>
        <w:t xml:space="preserve"> </w:t>
      </w:r>
      <w:r>
        <w:rPr>
          <w:b/>
          <w:bCs/>
          <w:lang w:val="lt-LT" w:eastAsia="lt-LT"/>
        </w:rPr>
        <w:t>(</w:t>
      </w:r>
      <w:r>
        <w:rPr>
          <w:b/>
          <w:bCs/>
          <w:u w:val="single"/>
          <w:lang w:val="lt-LT" w:eastAsia="lt-LT"/>
        </w:rPr>
        <w:t>nuo 2014-01-01)</w:t>
      </w:r>
    </w:p>
    <w:p w14:paraId="4F82521C" w14:textId="77777777" w:rsidR="00093845" w:rsidRDefault="000D779E">
      <w:pPr>
        <w:ind w:firstLine="720"/>
        <w:jc w:val="both"/>
        <w:rPr>
          <w:b/>
        </w:rPr>
      </w:pPr>
      <w:r>
        <w:rPr>
          <w:b/>
          <w:bCs/>
        </w:rPr>
        <w:t> </w:t>
      </w:r>
    </w:p>
    <w:p w14:paraId="5594D6D6" w14:textId="77777777" w:rsidR="00093845" w:rsidRDefault="00EF4847" w:rsidP="00EF4847">
      <w:pPr>
        <w:ind w:left="2268" w:hanging="2268"/>
        <w:jc w:val="both"/>
        <w:rPr>
          <w:b/>
          <w:bCs/>
          <w:color w:val="000000"/>
        </w:rPr>
      </w:pPr>
      <w:bookmarkStart w:id="568" w:name="straipsnis46_1p"/>
      <w:r>
        <w:rPr>
          <w:b/>
          <w:bCs/>
          <w:color w:val="000000"/>
        </w:rPr>
        <w:t>46</w:t>
      </w:r>
      <w:r>
        <w:rPr>
          <w:b/>
          <w:bCs/>
          <w:color w:val="000000"/>
          <w:vertAlign w:val="superscript"/>
        </w:rPr>
        <w:t>1</w:t>
      </w:r>
      <w:r w:rsidR="000D779E">
        <w:rPr>
          <w:b/>
          <w:bCs/>
          <w:color w:val="000000"/>
        </w:rPr>
        <w:t xml:space="preserve"> STRAIPSNIS. Apmokestinamojo pelno sumažinimas dėl vykdomo investicinio projekto</w:t>
      </w:r>
    </w:p>
    <w:p w14:paraId="4A02A157" w14:textId="77777777" w:rsidR="00093845" w:rsidRDefault="000D779E" w:rsidP="00DB7D4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1. Vienetas, vykdantis investicinį projektą, apmokestinamąjį pelną gali sumažinti šiame straipsnyje nustatyta tvarka. Apmokestinamąjį pelną galima sumažinti per mokestinį laikotarpį, už kurį apskaičiuotas apmokestinamasis pelnas mažinamas, faktiškai patirtų išlaidų šioje dalyje nurodytus reikalavimus atitinkančiam turtui įsigyti dydžiu (įsigyjant krovininius automobilius, priekabas ir puspriekabes, apmokestinamąjį pelną dėl šio turto įsigijimo galima sumažinti tik iki 300 000 eurų patirtų išlaidų per mokestinį laikotarpį suma). Apmokestinamasis pelnas mažinamas, jeigu turtas yra reikalingas vieneto investicinio projekto vykdymui ir:</w:t>
      </w:r>
    </w:p>
    <w:p w14:paraId="61F45906" w14:textId="77777777" w:rsidR="00093845" w:rsidRDefault="000D779E" w:rsidP="00DB7D41">
      <w:pPr>
        <w:spacing w:after="0"/>
        <w:ind w:firstLine="720"/>
        <w:jc w:val="both"/>
        <w:rPr>
          <w:b/>
        </w:rPr>
      </w:pPr>
      <w:r>
        <w:rPr>
          <w:b/>
        </w:rPr>
        <w:t>1) turtas yra priskirtinas šio Įstatymo 1 priedėlio ilgalaikio turto grupėms „mašinos ir įrengimai“, „įrenginiai (statiniai, gręžiniai ir kt.)“, „kompiuterinė technika ir ryšių priemonės (kompiuteriai, jų tinklai ir įranga)“, „programinė įranga“, „įsigytos teisės“, ir ilgalaikio turto grupės „krovininiai automobiliai, priekabos ir puspriekabės, autobusai – ne senesni kaip 5 metų“ turtui – krovininiams automobiliams, priekaboms ir puspriekabėms, ir</w:t>
      </w:r>
    </w:p>
    <w:p w14:paraId="760833E3" w14:textId="77777777" w:rsidR="00093845" w:rsidRDefault="000D779E" w:rsidP="00DB7D41">
      <w:pPr>
        <w:spacing w:after="0"/>
        <w:ind w:firstLine="720"/>
        <w:jc w:val="both"/>
        <w:rPr>
          <w:b/>
        </w:rPr>
      </w:pPr>
      <w:r>
        <w:rPr>
          <w:b/>
        </w:rPr>
        <w:t>2) turtas yra nenaudotas ir pagamintas ne anksčiau kaip prieš 2 metus (skaičiuojant nuo ilgalaikio turto naudojimo pradžios).</w:t>
      </w:r>
    </w:p>
    <w:p w14:paraId="33BB7D35" w14:textId="77777777" w:rsidR="00093845" w:rsidRDefault="000D779E" w:rsidP="00DB7D41">
      <w:pPr>
        <w:spacing w:after="0"/>
        <w:ind w:right="-82"/>
        <w:jc w:val="both"/>
        <w:rPr>
          <w:bCs/>
          <w:i/>
        </w:rPr>
      </w:pPr>
      <w:r w:rsidRPr="0014647B">
        <w:rPr>
          <w:bCs/>
          <w:i/>
        </w:rPr>
        <w:t>(</w:t>
      </w:r>
      <w:r w:rsidRPr="0014647B">
        <w:rPr>
          <w:bCs/>
          <w:i/>
          <w:lang w:val="lt-LT"/>
        </w:rPr>
        <w:t xml:space="preserve">KEISTA: </w:t>
      </w:r>
      <w:r w:rsidRPr="0014647B">
        <w:rPr>
          <w:i/>
          <w:iCs/>
        </w:rPr>
        <w:t>2014 09 23 įstatymu Nr. XII-1131 (nuo 2015 01 01)</w:t>
      </w:r>
      <w:r w:rsidR="00F31096" w:rsidRPr="0014647B">
        <w:rPr>
          <w:i/>
          <w:iCs/>
        </w:rPr>
        <w:t>,</w:t>
      </w:r>
      <w:r w:rsidR="005B7CDD" w:rsidRPr="0014647B">
        <w:rPr>
          <w:i/>
        </w:rPr>
        <w:t xml:space="preserve"> </w:t>
      </w:r>
      <w:r w:rsidR="005B7CDD" w:rsidRPr="0014647B">
        <w:rPr>
          <w:i/>
          <w:iCs/>
        </w:rPr>
        <w:t>nuostatos taikomos apskaičiuojant 2015 metų ir vėlesnių metų mokestinių laikotarpių pelno mokestį</w:t>
      </w:r>
      <w:r w:rsidRPr="0014647B">
        <w:rPr>
          <w:bCs/>
          <w:i/>
        </w:rPr>
        <w:t>)</w:t>
      </w:r>
    </w:p>
    <w:p w14:paraId="3ABF29E7" w14:textId="77777777" w:rsidR="0014647B" w:rsidRPr="0014647B" w:rsidRDefault="0014647B" w:rsidP="00DB7D41">
      <w:pPr>
        <w:spacing w:after="0"/>
        <w:ind w:right="-82"/>
        <w:jc w:val="both"/>
        <w:rPr>
          <w:bCs/>
          <w:i/>
        </w:rPr>
      </w:pPr>
    </w:p>
    <w:p w14:paraId="52B75FFA" w14:textId="77777777" w:rsidR="00093845" w:rsidRDefault="000D779E">
      <w:pPr>
        <w:ind w:right="-82" w:firstLine="720"/>
        <w:jc w:val="both"/>
        <w:rPr>
          <w:b/>
          <w:iCs/>
          <w:color w:val="000000"/>
        </w:rPr>
      </w:pPr>
      <w:r>
        <w:rPr>
          <w:b/>
          <w:iCs/>
          <w:color w:val="000000"/>
        </w:rPr>
        <w:t>Komentaras</w:t>
      </w:r>
    </w:p>
    <w:p w14:paraId="5FE9EA96" w14:textId="77777777" w:rsidR="00093845" w:rsidRDefault="000D779E">
      <w:pPr>
        <w:ind w:right="-82" w:firstLine="720"/>
        <w:jc w:val="both"/>
      </w:pPr>
      <w:r>
        <w:rPr>
          <w:iCs/>
          <w:color w:val="000000"/>
        </w:rPr>
        <w:t xml:space="preserve">1. </w:t>
      </w:r>
      <w:r>
        <w:t>Šis straipsnis reglamentuoja apmokestinamojo pelno sumažinimo tvarką dėl vykdomo investicinio projekto. Investicinio projekto sąvoka apibrėžta PMĮ 2 straipsnio 12</w:t>
      </w:r>
      <w:r>
        <w:rPr>
          <w:vertAlign w:val="superscript"/>
        </w:rPr>
        <w:t>1</w:t>
      </w:r>
      <w:r>
        <w:t xml:space="preserve"> dalyje (žr. 2 str. 12</w:t>
      </w:r>
      <w:r>
        <w:rPr>
          <w:vertAlign w:val="superscript"/>
        </w:rPr>
        <w:t>1</w:t>
      </w:r>
      <w:r>
        <w:t xml:space="preserve"> dalies komentarą).</w:t>
      </w:r>
    </w:p>
    <w:p w14:paraId="2BD9647F" w14:textId="77777777" w:rsidR="00093845" w:rsidRDefault="000D779E">
      <w:pPr>
        <w:ind w:firstLine="720"/>
        <w:jc w:val="both"/>
      </w:pPr>
      <w:r>
        <w:rPr>
          <w:iCs/>
          <w:color w:val="000000"/>
        </w:rPr>
        <w:t xml:space="preserve">2. Vieneto mokestinio laikotarpio apmokestinamasis pelnas gali būti mažinamas </w:t>
      </w:r>
      <w:r>
        <w:rPr>
          <w:iCs/>
          <w:color w:val="000000"/>
          <w:u w:val="single"/>
        </w:rPr>
        <w:t>p</w:t>
      </w:r>
      <w:r>
        <w:rPr>
          <w:u w:val="single"/>
        </w:rPr>
        <w:t xml:space="preserve">er šį mokestinį laikotarpį faktiškai patirtomis </w:t>
      </w:r>
      <w:r>
        <w:t xml:space="preserve">turto, reikalingo įgyvendinant investicinį (-ius) projektą (-us), įsigijimo </w:t>
      </w:r>
      <w:r>
        <w:rPr>
          <w:u w:val="single"/>
        </w:rPr>
        <w:t>išlaidomis</w:t>
      </w:r>
      <w:r>
        <w:t>, jeigu šis turtas:</w:t>
      </w:r>
    </w:p>
    <w:p w14:paraId="4DF1141C" w14:textId="77777777" w:rsidR="00093845" w:rsidRDefault="000D779E">
      <w:pPr>
        <w:ind w:firstLine="720"/>
        <w:jc w:val="both"/>
        <w:rPr>
          <w:iCs/>
          <w:color w:val="000000"/>
        </w:rPr>
      </w:pPr>
      <w:r>
        <w:rPr>
          <w:iCs/>
          <w:color w:val="000000"/>
        </w:rPr>
        <w:t>1) priskirtinas PMĮ 1 priedėlio ilgalaikio turto grupėms:</w:t>
      </w:r>
    </w:p>
    <w:p w14:paraId="349D43F3" w14:textId="77777777" w:rsidR="00093845" w:rsidRDefault="000D779E">
      <w:pPr>
        <w:ind w:firstLine="720"/>
        <w:jc w:val="both"/>
        <w:rPr>
          <w:iCs/>
          <w:color w:val="000000"/>
        </w:rPr>
      </w:pPr>
      <w:r>
        <w:rPr>
          <w:iCs/>
          <w:color w:val="000000"/>
        </w:rPr>
        <w:t>- „mašinos ir įrengimai“,</w:t>
      </w:r>
    </w:p>
    <w:p w14:paraId="10448996" w14:textId="77777777" w:rsidR="00093845" w:rsidRDefault="000D779E">
      <w:pPr>
        <w:ind w:firstLine="720"/>
        <w:jc w:val="both"/>
        <w:rPr>
          <w:iCs/>
          <w:color w:val="000000"/>
        </w:rPr>
      </w:pPr>
      <w:r>
        <w:rPr>
          <w:iCs/>
          <w:color w:val="000000"/>
        </w:rPr>
        <w:t>- „įrenginiai (statiniai, gręžiniai ir kt.)“,</w:t>
      </w:r>
    </w:p>
    <w:p w14:paraId="305EFDD5" w14:textId="77777777" w:rsidR="00093845" w:rsidRDefault="000D779E">
      <w:pPr>
        <w:ind w:left="720"/>
        <w:jc w:val="both"/>
        <w:rPr>
          <w:iCs/>
          <w:color w:val="000000"/>
        </w:rPr>
      </w:pPr>
      <w:r>
        <w:rPr>
          <w:iCs/>
          <w:color w:val="000000"/>
        </w:rPr>
        <w:t>- „kompiuterinė technika ir ryšių priemonės (kompiuteriai, jų tinklai ir įranga)“,                                                       - „programinė įranga“,</w:t>
      </w:r>
    </w:p>
    <w:p w14:paraId="473CB303" w14:textId="77777777" w:rsidR="00093845" w:rsidRDefault="000D779E">
      <w:pPr>
        <w:ind w:firstLine="720"/>
        <w:jc w:val="both"/>
        <w:rPr>
          <w:iCs/>
          <w:color w:val="000000"/>
        </w:rPr>
      </w:pPr>
      <w:r>
        <w:rPr>
          <w:iCs/>
          <w:color w:val="000000"/>
        </w:rPr>
        <w:t xml:space="preserve">- „įsigytos teisės“, </w:t>
      </w:r>
    </w:p>
    <w:p w14:paraId="7EAC63BC" w14:textId="77777777" w:rsidR="00093845" w:rsidRDefault="000D779E">
      <w:pPr>
        <w:ind w:firstLine="720"/>
        <w:jc w:val="both"/>
        <w:rPr>
          <w:iCs/>
          <w:color w:val="000000"/>
        </w:rPr>
      </w:pPr>
      <w:r>
        <w:rPr>
          <w:iCs/>
          <w:color w:val="000000"/>
        </w:rPr>
        <w:t>- „</w:t>
      </w:r>
      <w:r>
        <w:t>krovininiai automobiliai, priekabos ir puspriekabės, autobusai – ne senesni kaip 5 metų</w:t>
      </w:r>
      <w:r>
        <w:rPr>
          <w:iCs/>
          <w:color w:val="000000"/>
        </w:rPr>
        <w:t>“</w:t>
      </w:r>
      <w:r>
        <w:rPr>
          <w:iCs/>
        </w:rPr>
        <w:t xml:space="preserve"> (šios grupės turtui, išskyrus autobusus, investicijų lengvata taikoma, </w:t>
      </w:r>
      <w:r>
        <w:t xml:space="preserve">apskaičiuojant 2014 metų ir vėlesnių metų mokestinių laikotarpių pelno mokestį) </w:t>
      </w:r>
      <w:r>
        <w:rPr>
          <w:iCs/>
          <w:color w:val="000000"/>
        </w:rPr>
        <w:t>ir</w:t>
      </w:r>
    </w:p>
    <w:p w14:paraId="367B27D9" w14:textId="77777777" w:rsidR="00093845" w:rsidRDefault="000D779E">
      <w:pPr>
        <w:ind w:firstLine="720"/>
        <w:jc w:val="both"/>
        <w:rPr>
          <w:iCs/>
          <w:color w:val="000000"/>
        </w:rPr>
      </w:pPr>
      <w:r>
        <w:rPr>
          <w:iCs/>
          <w:color w:val="000000"/>
        </w:rPr>
        <w:lastRenderedPageBreak/>
        <w:t>2) nenaudotas ir pagamintas ne anksčiau kaip prieš 2 metus (skaičiuojant nuo ilgalaikio turto naudojimo pradžios).</w:t>
      </w:r>
    </w:p>
    <w:p w14:paraId="2DB46FBF" w14:textId="77777777" w:rsidR="00093845" w:rsidRDefault="000D779E">
      <w:pPr>
        <w:ind w:firstLine="720"/>
        <w:jc w:val="both"/>
        <w:rPr>
          <w:iCs/>
          <w:color w:val="000000"/>
        </w:rPr>
      </w:pPr>
      <w:r>
        <w:rPr>
          <w:iCs/>
          <w:color w:val="000000"/>
        </w:rPr>
        <w:t xml:space="preserve">Anksčiau minėtai turto grupei „įrenginiai (statiniai, gręžiniai ir kt.)“ yra priskiriamos mašinos, prietaisai, įtaisai energijai, medžiagoms gaminti ir informacijai priimti, perduoti ar keisti. Pagal Lietuvos Respublikos statybos įstatymą statiniams yra priskiriami pastatai (gyvenamieji, pramoniniai, komerciniai, biurai, sveikatos apsaugos, švietimo, poilsio, žemės ūkio ir kiti) ir inžineriniai statiniai ar mišrios rūšies statiniai (su inžineriniais statiniais sujungti pastatai), taip pat statinių priestatai, antstatai ir jų dalys, įrenginių, technologinių inžinerinių sistemų ir statinio inžinerinių sistemų statybinės konstrukcijos. Vieneto investicijos į pastatus ir žemę nelaikomos investiciniu projektu (ar jo dalimi). Reikia atkreipti dėmesį į tai, kad </w:t>
      </w:r>
      <w:r>
        <w:rPr>
          <w:bCs/>
        </w:rPr>
        <w:t>ilgalaikiam turtui, atitinkančiam</w:t>
      </w:r>
      <w:r>
        <w:rPr>
          <w:iCs/>
          <w:color w:val="000000"/>
        </w:rPr>
        <w:t xml:space="preserve"> PMĮ 46</w:t>
      </w:r>
      <w:r>
        <w:rPr>
          <w:iCs/>
          <w:color w:val="000000"/>
          <w:vertAlign w:val="superscript"/>
        </w:rPr>
        <w:t>1</w:t>
      </w:r>
      <w:r>
        <w:rPr>
          <w:iCs/>
          <w:color w:val="000000"/>
        </w:rPr>
        <w:t xml:space="preserve"> straipsnio 1 dalyje nustatytus kriterijus, yra priskiriami visi statiniai, išskyrus pastatus (gyvenamuosius, pramoninius, komercinius, biurus, sveikatos apsaugos, švietimo, poilsio, žemės ūkio ir kitus) – jie yra įtraukti į kitas PMĮ 1 priedėlyje nurodytas ilgalaikio turto grupes.</w:t>
      </w:r>
    </w:p>
    <w:p w14:paraId="7E2FC9E6" w14:textId="77777777" w:rsidR="00093845" w:rsidRDefault="000D779E">
      <w:pPr>
        <w:ind w:firstLine="720"/>
        <w:jc w:val="both"/>
        <w:rPr>
          <w:iCs/>
          <w:color w:val="000000"/>
        </w:rPr>
      </w:pPr>
      <w:r>
        <w:rPr>
          <w:iCs/>
          <w:color w:val="000000"/>
        </w:rPr>
        <w:t>Turto grupei „mašinos ir įrengimai“ priskiriamos jėgos ir darbo mašinos bei įrengimai, naudojami įvairiose pramonės šakose produktams gaminti, apdirbti, paslaugoms teikti (pvz., siurbliai, kompresoriai, staklės, naftos perdirbimo pramonės, žemės ir miškų ūkio, kelių statybos, medžio apdirbimo pramonės, prekybos ir visuomeninio maitinimo mašinos ir įrengimai ir kt.). Šiai turto grupei nepriskiriamos transporto priemonės: geležinkelio riedmenys, lėktuvai, laivai, lengvieji ir krovininiai automobiliai, įtraukti į kitas PMĮ 1 priedėlyje nurodytas ilgalaikio turto grupes.</w:t>
      </w:r>
    </w:p>
    <w:p w14:paraId="0A6182C1" w14:textId="77777777" w:rsidR="00093845" w:rsidRDefault="000D779E">
      <w:pPr>
        <w:ind w:firstLine="720"/>
        <w:jc w:val="both"/>
        <w:rPr>
          <w:iCs/>
          <w:color w:val="000000"/>
        </w:rPr>
      </w:pPr>
      <w:r>
        <w:t>Ilgalaikio turto grupei „krovininiai automobiliai, priekabos ir puspriekabės, autobusai – ne senesni kaip 5 metų“ priskirtas turtas, t. y. krovininiai automobiliai, priekabos ir puspriekabės, yra laikomas inv</w:t>
      </w:r>
      <w:r>
        <w:rPr>
          <w:iCs/>
          <w:color w:val="000000"/>
        </w:rPr>
        <w:t>esticinio projekto reikalavimus atitinkančiu turtu tik tokiu atveju, jeigu jis yra nenaudotas ir pagamintas ne anksčiau kaip prieš 2 metus, skaičiuojant nuo turto naudojimo pradžios.</w:t>
      </w:r>
    </w:p>
    <w:p w14:paraId="59E1E5E0" w14:textId="77777777" w:rsidR="00093845" w:rsidRDefault="000D779E">
      <w:pPr>
        <w:ind w:firstLine="720"/>
        <w:jc w:val="both"/>
      </w:pPr>
      <w:r>
        <w:t xml:space="preserve">Pagal Lietuvos Respublikos kelių transporto kodekso nuostatas krovininėms </w:t>
      </w:r>
      <w:bookmarkStart w:id="569" w:name="16z"/>
      <w:r>
        <w:fldChar w:fldCharType="begin"/>
      </w:r>
      <w:r>
        <w:instrText xml:space="preserve"> HYPERLINK "http://vidinis.vmi.lt/Litlex/LL.DLL?Tekstas=1?Id=20722&amp;Zd=keli%F8%2Btransporto%2B&amp;BF=4" \l "17z#17z" </w:instrText>
      </w:r>
      <w:r>
        <w:fldChar w:fldCharType="separate"/>
      </w:r>
      <w:r>
        <w:t>transporto</w:t>
      </w:r>
      <w:r>
        <w:fldChar w:fldCharType="end"/>
      </w:r>
      <w:bookmarkEnd w:id="569"/>
      <w:r>
        <w:t xml:space="preserve"> priemonėms priskiriamos motorinės</w:t>
      </w:r>
      <w:bookmarkStart w:id="570" w:name="17z"/>
      <w:r>
        <w:t xml:space="preserve"> </w:t>
      </w:r>
      <w:hyperlink r:id="rId118" w:anchor="18z#18z" w:history="1">
        <w:r>
          <w:t>transporto</w:t>
        </w:r>
      </w:hyperlink>
      <w:bookmarkEnd w:id="570"/>
      <w:r>
        <w:t xml:space="preserve"> priemonės ar jų junginiai (sąstatai), sukonstruoti, pritaikyti ir naudojami kroviniams vežti keliais. Tai – krovininiai automobiliai, priekabos ir puspriekabės.</w:t>
      </w:r>
    </w:p>
    <w:p w14:paraId="4A3CB251" w14:textId="77777777" w:rsidR="00093845" w:rsidRDefault="000D779E">
      <w:pPr>
        <w:ind w:firstLine="720"/>
        <w:jc w:val="both"/>
      </w:pPr>
      <w:r>
        <w:t xml:space="preserve">Krovininis automobilis – motorinė </w:t>
      </w:r>
      <w:bookmarkStart w:id="571" w:name="18z"/>
      <w:r>
        <w:fldChar w:fldCharType="begin"/>
      </w:r>
      <w:r>
        <w:instrText xml:space="preserve"> HYPERLINK "http://vidinis.vmi.lt/Litlex/LL.DLL?Tekstas=1?Id=20722&amp;Zd=keli%F8%2Btransporto%2B&amp;BF=4" \l "19z#19z" </w:instrText>
      </w:r>
      <w:r>
        <w:fldChar w:fldCharType="separate"/>
      </w:r>
      <w:r>
        <w:t>transporto</w:t>
      </w:r>
      <w:r>
        <w:fldChar w:fldCharType="end"/>
      </w:r>
      <w:bookmarkEnd w:id="571"/>
      <w:r>
        <w:t xml:space="preserve"> priemonė, skirta vežti krovinius, vilkti priekabas ar puspriekabes.</w:t>
      </w:r>
    </w:p>
    <w:p w14:paraId="1591B581" w14:textId="77777777" w:rsidR="00093845" w:rsidRDefault="000D779E">
      <w:pPr>
        <w:ind w:firstLine="720"/>
        <w:jc w:val="both"/>
      </w:pPr>
      <w:r>
        <w:t>Pagal Lietuvos Respublikos saugaus eismo automobilių keliais įstatymo nuostatas m</w:t>
      </w:r>
      <w:r>
        <w:rPr>
          <w:iCs/>
          <w:color w:val="000000"/>
        </w:rPr>
        <w:t xml:space="preserve">otorinė transporto priemonė – variklį turinti transporto priemonė, išskyrus skirtas judėti ne keliais bėgines transporto priemones, traktorius ir savaeiges mašinas. Vadinasi, </w:t>
      </w:r>
      <w:r>
        <w:t>traktoriai ir savaeigės mašinos nelaikomi krovininiais automobiliais.</w:t>
      </w:r>
    </w:p>
    <w:p w14:paraId="11ECD4CE" w14:textId="77777777" w:rsidR="00093845" w:rsidRDefault="000D779E">
      <w:pPr>
        <w:ind w:firstLine="720"/>
        <w:jc w:val="both"/>
      </w:pPr>
      <w:r>
        <w:t xml:space="preserve">Priekaba – transporto priemonė, skirta tempti motorine transporto priemone. </w:t>
      </w:r>
    </w:p>
    <w:p w14:paraId="45ACAC7E" w14:textId="77777777" w:rsidR="00093845" w:rsidRDefault="000D779E">
      <w:pPr>
        <w:ind w:firstLine="720"/>
        <w:jc w:val="both"/>
      </w:pPr>
      <w:r>
        <w:t>Puspriekabė – su motorine transporto priemone sukabinama priekaba, kurios dalis remiasi į motorinę transporto priemonę ir kurios masės dalis, taip pat krovinio masės dalis tenka motorinei transporto priemonei.</w:t>
      </w:r>
    </w:p>
    <w:p w14:paraId="0C622675" w14:textId="77777777" w:rsidR="00093845" w:rsidRDefault="000D779E">
      <w:pPr>
        <w:ind w:firstLine="720"/>
        <w:jc w:val="both"/>
      </w:pPr>
      <w:r>
        <w:t>Nors traktorius ir savaeigė mašina nelaikoma krovininiu automobiliu, tačiau šis turtas gali būti priskirtas ilgalaikio turto grupei „mašinos ir įrengimai“.</w:t>
      </w:r>
    </w:p>
    <w:p w14:paraId="2C6A1153" w14:textId="77777777" w:rsidR="00093845" w:rsidRDefault="000D779E">
      <w:pPr>
        <w:ind w:firstLine="720"/>
        <w:jc w:val="both"/>
      </w:pPr>
      <w:r>
        <w:t>Asenizacinės mašinos, kurios yra skirtos skystoms atliekoms surinkti ir transportuoti, yra laikomos krovininėmis transporto priemonėmis. Nors asenizacinė mašina yra registruojama kaip transporto priemonė, tačiau, atsižvelgiant į jos naudojimo paskirtį, t. y. jeigu vieneto veikloje naudojama kaip mašina, tai pelno mokesčio apskaičiavimo tikslais galėtų būti priskiriama ne krovininių automobilių ilgalaikio turto grupei, o ilgalaikio turto grupei „mašinos ir įrengimai“.</w:t>
      </w:r>
    </w:p>
    <w:p w14:paraId="7C27672E" w14:textId="77777777" w:rsidR="00093845" w:rsidRDefault="000D779E">
      <w:pPr>
        <w:ind w:firstLine="720"/>
        <w:jc w:val="both"/>
        <w:rPr>
          <w:iCs/>
          <w:color w:val="000000"/>
        </w:rPr>
      </w:pPr>
      <w:r>
        <w:lastRenderedPageBreak/>
        <w:t xml:space="preserve">Atkreiptinas dėmesys į tai, kad autobusai, nors ir gali būti priskiriami ilgalaikio turto grupei „krovininiai automobiliai, priekabos ir puspriekabės, autobusai – ne senesni kaip 5 metų“, tačiau pagal PMĮ </w:t>
      </w:r>
      <w:r>
        <w:rPr>
          <w:bCs/>
          <w:color w:val="000000"/>
        </w:rPr>
        <w:t>46</w:t>
      </w:r>
      <w:r>
        <w:rPr>
          <w:bCs/>
          <w:color w:val="000000"/>
          <w:vertAlign w:val="superscript"/>
        </w:rPr>
        <w:t>1</w:t>
      </w:r>
      <w:r>
        <w:rPr>
          <w:bCs/>
          <w:color w:val="000000"/>
        </w:rPr>
        <w:t xml:space="preserve"> straipsnio 1 dalies nuostatas šis turtas nelaikomas </w:t>
      </w:r>
      <w:r>
        <w:rPr>
          <w:iCs/>
          <w:color w:val="000000"/>
        </w:rPr>
        <w:t>turtu,</w:t>
      </w:r>
      <w:r>
        <w:rPr>
          <w:bCs/>
          <w:color w:val="000000"/>
        </w:rPr>
        <w:t xml:space="preserve"> </w:t>
      </w:r>
      <w:r>
        <w:rPr>
          <w:iCs/>
          <w:color w:val="000000"/>
        </w:rPr>
        <w:t>atitinkančiu</w:t>
      </w:r>
      <w:r>
        <w:rPr>
          <w:bCs/>
          <w:color w:val="000000"/>
        </w:rPr>
        <w:t xml:space="preserve"> investicinio projekto </w:t>
      </w:r>
      <w:r>
        <w:rPr>
          <w:iCs/>
          <w:color w:val="000000"/>
        </w:rPr>
        <w:t>reikalavimus.</w:t>
      </w:r>
    </w:p>
    <w:p w14:paraId="0EAE3B3D" w14:textId="77777777" w:rsidR="00093845" w:rsidRDefault="000D779E">
      <w:pPr>
        <w:ind w:firstLine="720"/>
        <w:jc w:val="both"/>
      </w:pPr>
      <w:r>
        <w:t>Lengvasis automobilis, pritaikytas vežti krovinius pagal Motorinių transporto priemonių ir jų priekabų kategorijų ir klasių pagal konstrukciją reikalavimus, patvirtintus Valstybinės kelių transporto inspekcijos prie Susisiekimo ministerijos viršininko 2008 m. gruodžio 2 d. įsakymu  Nr. 2B-479, gali būti laikomas inv</w:t>
      </w:r>
      <w:r>
        <w:rPr>
          <w:iCs/>
          <w:color w:val="000000"/>
        </w:rPr>
        <w:t>esticinio projekto reikalavimus atitinkančiu turtu,</w:t>
      </w:r>
      <w:r>
        <w:t xml:space="preserve"> jeigu atitinka investicijai keliamus reikalavimus. </w:t>
      </w:r>
    </w:p>
    <w:p w14:paraId="4D233973" w14:textId="77777777" w:rsidR="00093845" w:rsidRDefault="000D779E">
      <w:pPr>
        <w:tabs>
          <w:tab w:val="left" w:pos="720"/>
          <w:tab w:val="left" w:pos="1077"/>
          <w:tab w:val="left" w:pos="1418"/>
        </w:tabs>
        <w:ind w:firstLine="720"/>
        <w:jc w:val="both"/>
      </w:pPr>
      <w:r>
        <w:t>Vieneto</w:t>
      </w:r>
      <w:r>
        <w:rPr>
          <w:iCs/>
          <w:color w:val="000000"/>
        </w:rPr>
        <w:t>, ketinančio sumažinti apmokestinamąjį pelną, įsigyjamas krovininis automobilis</w:t>
      </w:r>
      <w:r>
        <w:t>, priekabos ar puspriekabės</w:t>
      </w:r>
      <w:r>
        <w:rPr>
          <w:iCs/>
          <w:color w:val="000000"/>
        </w:rPr>
        <w:t xml:space="preserve"> turi būti naujos, t. y. nenaudotos ir pagamintos ne anksčiau kaip prieš 2 metus, skaičiuojant nuo šio turto naudojimo pradžios, t. y. nuo turto </w:t>
      </w:r>
      <w:r>
        <w:rPr>
          <w:bCs/>
        </w:rPr>
        <w:t>eksploatacijos</w:t>
      </w:r>
      <w:r>
        <w:rPr>
          <w:iCs/>
          <w:color w:val="000000"/>
        </w:rPr>
        <w:t xml:space="preserve"> pradžios iki jo pagaminimo datos. Pavyzdžiui, jeigu vienetas krovininį automobilį įsigyja iki 2014 metų, o 2014 metais nusprendžia </w:t>
      </w:r>
      <w:r>
        <w:t>turtą parduoti ir įsigyti jį pagal atgalinio lizingo (finansinės nuomos) sutartį, tokiu atveju šis turtas, t. y. krovininis automobilis, nebus laikomas investicinio projekto reikalavimus atitinkančiu turtu.</w:t>
      </w:r>
    </w:p>
    <w:p w14:paraId="5B5FC3A6" w14:textId="77777777" w:rsidR="00B01862" w:rsidRDefault="00B01862" w:rsidP="00B01862">
      <w:pPr>
        <w:ind w:firstLine="720"/>
        <w:jc w:val="both"/>
        <w:rPr>
          <w:iCs/>
          <w:color w:val="000000"/>
        </w:rPr>
      </w:pPr>
      <w:r>
        <w:t>Įsigyjant krovininius automobilius, priekabas ir puspriekabes, apmokestinamąjį pelną dėl šio turto įsigijimo galima sumažinti tik iki 300 000 eurų patirtų išlaidų per mokestinį laikotarpį suma.</w:t>
      </w:r>
      <w:r>
        <w:rPr>
          <w:iCs/>
        </w:rPr>
        <w:t xml:space="preserve"> Pažymėtina, kad, j</w:t>
      </w:r>
      <w:r>
        <w:rPr>
          <w:iCs/>
          <w:color w:val="000000"/>
        </w:rPr>
        <w:t>eigu per mokestinį laikotarpį įsigyto turto faktiška įsigijimo kaina, neviršijanti 300 000 eurų, yra didesnė nei 100 procentų už šį mokestinį laikotarpį apskaičiuoto apmokestinamojo pelno sumos, tai šią sumą viršijanti įsigijimo kainos dalis gali būti perkeliama ne ilgiau kaip keturis vienas po kito einančius mokestinius metus.</w:t>
      </w:r>
    </w:p>
    <w:p w14:paraId="03E18D1A" w14:textId="77777777" w:rsidR="00B01862" w:rsidRDefault="00B01862">
      <w:pPr>
        <w:tabs>
          <w:tab w:val="left" w:pos="720"/>
          <w:tab w:val="left" w:pos="1077"/>
          <w:tab w:val="left" w:pos="1418"/>
        </w:tabs>
        <w:ind w:firstLine="720"/>
        <w:jc w:val="both"/>
      </w:pPr>
      <w:r>
        <w:rPr>
          <w:iCs/>
          <w:lang w:eastAsia="lt-LT"/>
        </w:rPr>
        <w:t xml:space="preserve">(PMĮ </w:t>
      </w:r>
      <w:r>
        <w:rPr>
          <w:iCs/>
          <w:color w:val="000000"/>
        </w:rPr>
        <w:t>46</w:t>
      </w:r>
      <w:r>
        <w:rPr>
          <w:iCs/>
          <w:color w:val="000000"/>
          <w:vertAlign w:val="superscript"/>
        </w:rPr>
        <w:t>1</w:t>
      </w:r>
      <w:r w:rsidR="001679AD">
        <w:rPr>
          <w:iCs/>
          <w:lang w:eastAsia="lt-LT"/>
        </w:rPr>
        <w:t xml:space="preserve"> straipsnio </w:t>
      </w:r>
      <w:r>
        <w:rPr>
          <w:iCs/>
          <w:color w:val="000000"/>
        </w:rPr>
        <w:t>1</w:t>
      </w:r>
      <w:r w:rsidR="001679AD">
        <w:rPr>
          <w:iCs/>
          <w:lang w:eastAsia="lt-LT"/>
        </w:rPr>
        <w:t xml:space="preserve"> d. komentaro 2 p. </w:t>
      </w:r>
      <w:r w:rsidR="00BB5010">
        <w:rPr>
          <w:iCs/>
          <w:lang w:eastAsia="lt-LT"/>
        </w:rPr>
        <w:t>15 pastraipa pakeista</w:t>
      </w:r>
      <w:r>
        <w:rPr>
          <w:iCs/>
          <w:lang w:eastAsia="lt-LT"/>
        </w:rPr>
        <w:t xml:space="preserve"> pagal VMI prie FM 2025-05-20 raštą Nr. (18.32-31-1 Mr) R-2170)</w:t>
      </w:r>
    </w:p>
    <w:p w14:paraId="7EEED118" w14:textId="77777777" w:rsidR="00093845" w:rsidRDefault="000D779E">
      <w:pPr>
        <w:ind w:firstLine="720"/>
        <w:jc w:val="both"/>
        <w:rPr>
          <w:iCs/>
          <w:color w:val="000000"/>
        </w:rPr>
      </w:pPr>
      <w:r>
        <w:rPr>
          <w:iCs/>
          <w:color w:val="000000"/>
        </w:rPr>
        <w:t>1–5 pavyzdžiai</w:t>
      </w:r>
    </w:p>
    <w:p w14:paraId="2AD87DD5"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 xml:space="preserve">1. Vienetas, </w:t>
      </w:r>
      <w:r>
        <w:rPr>
          <w:iCs/>
          <w:color w:val="000000"/>
        </w:rPr>
        <w:t xml:space="preserve">nusprendęs plėsti savo veiklą ir papildomai užsiimti </w:t>
      </w:r>
      <w:r>
        <w:t>viešbučio veikla, 2015 metais gavo leidimą pasistatyti viešbutį ir automobilių stovėjimo aikštelę prie pastato.</w:t>
      </w:r>
      <w:r>
        <w:rPr>
          <w:iCs/>
          <w:color w:val="000000"/>
        </w:rPr>
        <w:t xml:space="preserve"> </w:t>
      </w:r>
      <w:r>
        <w:t xml:space="preserve">Vienetas, pagal sutartį su kitais ūkio subjektais, 2015 metais vykdo statybos darbus ir prie statomo pastato dar įrengia infrastruktūros objektą – automobilių stovėjimo aikštelę, kurios statyba kainavo 200 000 Eur. Aikštelė </w:t>
      </w:r>
      <w:r>
        <w:rPr>
          <w:iCs/>
          <w:color w:val="000000"/>
        </w:rPr>
        <w:t xml:space="preserve">pradėta </w:t>
      </w:r>
      <w:r>
        <w:rPr>
          <w:bCs/>
        </w:rPr>
        <w:t xml:space="preserve">naudoti </w:t>
      </w:r>
      <w:r>
        <w:rPr>
          <w:iCs/>
          <w:color w:val="000000"/>
        </w:rPr>
        <w:t>2015 metais.</w:t>
      </w:r>
      <w:r>
        <w:t xml:space="preserve"> Aikštelė perduota savivaldybei. Kadangi aikštelė yra </w:t>
      </w:r>
      <w:r>
        <w:rPr>
          <w:i/>
        </w:rPr>
        <w:t>reikalinga</w:t>
      </w:r>
      <w:r>
        <w:t xml:space="preserve"> vieneto vykdomoje veikloje, todėl tokio infrastruktūros objekto sukūrimo sąnaudos gali būti priskiriamos ilgalaikio materialiojo turto (viešbučio) įsigijimo kainai, nuo kurios apskaičiuota nusidėvėjimo suma, nustatant apmokestinamąjį pelną, PMĮ 18 straipsnyje nustatyta tvarka, priskiriama ribojamų dydžių leidžiamiems atskaitymams.</w:t>
      </w:r>
    </w:p>
    <w:p w14:paraId="4E600E73"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t>Vieneto investicija tiek į pastatą, tiek į aikštelę, kuri atitenka savivaldybei, nelaikoma investiciniu projektu.</w:t>
      </w:r>
    </w:p>
    <w:p w14:paraId="561722D9"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iCs/>
          <w:color w:val="000000"/>
        </w:rPr>
        <w:t xml:space="preserve">2. </w:t>
      </w:r>
      <w:r>
        <w:t>Vienetas investuoja į naftos perdirbimo įrenginį kaip į kompleksą, kuris pagal 1 priedėlyje nurodytas ilgalaikio turto grupes apskaitytinas turto grupėje „įrenginiai (statiniai, gręžiniai ir kt.)“, tačiau šis įrenginys yra išskaidytas į atskirais turto vienetais apskaitomas sudedamąsias dalis, t. y. vamzdynai, elektros perdavimo įrenginiai, teršalų valymo įrenginiai bei kita įranga. Dalis tokio įrenginio sudėtinių dalių, pavyzdžiui, elektros perdavimo įrenginiai, neatitinka investiciniam turtui keliamų reikalavimų, t. y. nepriskirtini PMĮ 46</w:t>
      </w:r>
      <w:r>
        <w:rPr>
          <w:vertAlign w:val="superscript"/>
        </w:rPr>
        <w:t>1</w:t>
      </w:r>
      <w:r>
        <w:t xml:space="preserve"> straipsnio 1 dalyje nurodytoms ilgalaikio turto grupėms (šis turtas priskiriamas turto grupei „elektros perdavimo ir ryšių įtaisai (išskyrus kompiuterių tinklus)“.</w:t>
      </w:r>
    </w:p>
    <w:p w14:paraId="50A0CD33" w14:textId="77777777" w:rsidR="00093845" w:rsidRDefault="000D779E">
      <w:pPr>
        <w:pBdr>
          <w:top w:val="single" w:sz="4" w:space="1" w:color="auto"/>
          <w:left w:val="single" w:sz="4" w:space="4" w:color="auto"/>
          <w:bottom w:val="single" w:sz="4" w:space="1" w:color="auto"/>
          <w:right w:val="single" w:sz="4" w:space="4" w:color="auto"/>
        </w:pBdr>
        <w:tabs>
          <w:tab w:val="right" w:pos="9638"/>
        </w:tabs>
        <w:ind w:firstLine="720"/>
        <w:jc w:val="both"/>
      </w:pPr>
      <w:r>
        <w:lastRenderedPageBreak/>
        <w:t>Kadangi atskiri turto vienetai, sudarantys naftos perdirbimo įrenginį, negali būti pradedami naudoti tol, kol neužbaigtas montuoti visas kompleksas, todėl šis turtas, t. y. naftos perdirbimo įrenginys, yra vertinamas ir suvokiamas kaip vientisas turto vienetas, „įrenginys“, ir laikomas investicinio projekto reikalavimus atitinkančiu turtu, nors atskiri turto vienetai, sudarantys šį įrenginį, yra apskaitomi kitose, nei PMĮ 46</w:t>
      </w:r>
      <w:r>
        <w:rPr>
          <w:vertAlign w:val="superscript"/>
        </w:rPr>
        <w:t>1</w:t>
      </w:r>
      <w:r>
        <w:t xml:space="preserve"> straipsnio 1 dalyje nurodytos, ilgalaikio turto grupėse.</w:t>
      </w:r>
    </w:p>
    <w:p w14:paraId="43ED0CB9"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t xml:space="preserve">Kadangi šiuo atveju atskiri turto vienetai, sudarantys naftos perdirbimo įrenginį, </w:t>
      </w:r>
      <w:r>
        <w:rPr>
          <w:iCs/>
          <w:color w:val="000000"/>
        </w:rPr>
        <w:t xml:space="preserve">negali būti pradedami naudoti vieneto veikloje tol, kol nesumontuotas visas kompleksas, tai </w:t>
      </w:r>
      <w:r>
        <w:t xml:space="preserve">2 metų laikotarpis yra skaičiuojamas kiekvienam turto vienetui atskirai atgal nuo tos dienos, kai </w:t>
      </w:r>
      <w:r>
        <w:rPr>
          <w:iCs/>
          <w:color w:val="000000"/>
        </w:rPr>
        <w:t xml:space="preserve">toks turtas yra paruoštas naudoti (instaliuotas, sumontuotas ir pan.) ir galėtų būti naudojamas, jei visas įrenginys būtų baigtas montuoti. </w:t>
      </w:r>
    </w:p>
    <w:p w14:paraId="780DDDF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3. Vienetas, kurio pagrindinė veikla – automobilių gamyba, nusprendžia didinti gamybos pajėgumus, t. y. plėsti gamybos apimtis ir dalį pagamintos produkcijos eksportuoti į kitas užsienio šalis. Tuo tikslu 2015 metais vienetas atlieka gamybos įrengimo rekonstrukciją, kurios metu pakeičia gamybos įrengimo elektros perdavimo sistemą (laidus, jungiklius, srovės dažnio keitiklius, transformatorius ir kt.). Atlikus rekonstrukciją, pagerėja vieneto darbo našumas ir padidėja gamybos pajėgumas.   </w:t>
      </w:r>
    </w:p>
    <w:p w14:paraId="47090E84"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Vadovaudamasis buhalterinės apskaitos reikalavimais, vienetas naują įrengimo elektros perdavimo sistemą užpajamuoja kaip naują turto vienetą, kadangi jam taikomi atskiri nusidėvėjimo normatyvai, jis gali būti vėliau keičiamas, nekeičiant gamybos įrengimo.</w:t>
      </w:r>
    </w:p>
    <w:p w14:paraId="417ECA6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Toks vieneto įsigytas turtas (elektros perdavimo sistema), kuri yra neatskiriama gamybos įrenginio dalis, skirtas gamybos pajėgumams didinti bei atitinkantis PMĮ 46</w:t>
      </w:r>
      <w:r>
        <w:rPr>
          <w:iCs/>
          <w:color w:val="000000"/>
          <w:vertAlign w:val="superscript"/>
        </w:rPr>
        <w:t>1</w:t>
      </w:r>
      <w:r>
        <w:rPr>
          <w:iCs/>
          <w:color w:val="000000"/>
        </w:rPr>
        <w:t xml:space="preserve"> straipsnyje nustatytus reikalavimus (t. y. rekonstruojamas turtas yra priskirtinas PMĮ 46</w:t>
      </w:r>
      <w:r>
        <w:rPr>
          <w:iCs/>
          <w:color w:val="000000"/>
          <w:vertAlign w:val="superscript"/>
        </w:rPr>
        <w:t>1</w:t>
      </w:r>
      <w:r>
        <w:rPr>
          <w:iCs/>
          <w:color w:val="000000"/>
        </w:rPr>
        <w:t xml:space="preserve"> straipsnio 1 dalyje nurodytoms ilgalaikio turto grupėms), yra laikomas investicinio projekto reikalavimus atitinkančiu turtu.</w:t>
      </w:r>
    </w:p>
    <w:p w14:paraId="38269859"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20"/>
        <w:jc w:val="both"/>
        <w:rPr>
          <w:iCs/>
          <w:color w:val="000000"/>
        </w:rPr>
      </w:pPr>
      <w:r>
        <w:rPr>
          <w:iCs/>
          <w:color w:val="000000"/>
        </w:rPr>
        <w:t>4. Vienetas, teikiantis krovinių pervežimo paslaugas, 2022 metais įsigijo du naujus krovininius automobilius – vilkikus – po 120 000 Eur, 2023 metais – penkis naujus vilkikus po 150 000 Eur ir dvi naujas priekabas po 100 000 Eur, o 2024 metais – du naujus krovininius automobilius – vilkikus – po 90 000 Eur. Šis vieneto įsigytas turtas tenkina nustatytus turto įsigijimo tikslus ir investicijai keliamus reikalavimus.</w:t>
      </w:r>
    </w:p>
    <w:p w14:paraId="3BAF4F25"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pPr>
      <w:r>
        <w:rPr>
          <w:iCs/>
          <w:color w:val="000000"/>
        </w:rPr>
        <w:t xml:space="preserve">Už 2022 metus apmokestinamasis pelnas gali būti mažinamas visa, t. y. 240 000 Eur (2 x 120 000 Eur), patirtų išlaidų </w:t>
      </w:r>
      <w:r>
        <w:t>įsigyjant krovininius automobilius</w:t>
      </w:r>
      <w:r>
        <w:rPr>
          <w:iCs/>
          <w:color w:val="000000"/>
        </w:rPr>
        <w:t xml:space="preserve"> suma, nes ji neviršijo leistinos 300 000 Eur </w:t>
      </w:r>
      <w:r>
        <w:t xml:space="preserve">sumos. </w:t>
      </w:r>
      <w:r>
        <w:rPr>
          <w:iCs/>
          <w:color w:val="000000"/>
        </w:rPr>
        <w:t>Tačiau, kadangi vienetas 2022 m. dirbo nuostolingai,</w:t>
      </w:r>
      <w:r>
        <w:t xml:space="preserve"> todėl vienetas šias išlaidas gali perkelti PMĮ 46</w:t>
      </w:r>
      <w:r>
        <w:rPr>
          <w:vertAlign w:val="superscript"/>
        </w:rPr>
        <w:t>1</w:t>
      </w:r>
      <w:r>
        <w:t xml:space="preserve"> straipsnio 2 dalyje nustatyta tvarka ne ilgiau kaip keturis vienas po kito einančius mokestinius metus</w:t>
      </w:r>
      <w:r>
        <w:rPr>
          <w:bCs/>
        </w:rPr>
        <w:t xml:space="preserve"> apskaičiuotoms </w:t>
      </w:r>
      <w:r>
        <w:t xml:space="preserve">apmokestinamojo </w:t>
      </w:r>
      <w:hyperlink r:id="rId119" w:anchor="212z#212z" w:history="1">
        <w:r w:rsidRPr="000B3FD8">
          <w:t>pelno</w:t>
        </w:r>
      </w:hyperlink>
      <w:r>
        <w:t xml:space="preserve"> sumoms sumažinti.</w:t>
      </w:r>
    </w:p>
    <w:p w14:paraId="4F7C1CDA"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t>Vienetas už 2023 metus apskaičiavęs 11 000 000 Eur apmokestinamąjį pelną, gali jį sumažinti per 2022 m. mokestinį laikotarpį visa patirtų išlaidų už įsigytus krovininius automobilius suma – 240 000 Eur bei 2023 m. tik 300 000 Eur pat</w:t>
      </w:r>
      <w:r>
        <w:rPr>
          <w:iCs/>
          <w:color w:val="000000"/>
        </w:rPr>
        <w:t xml:space="preserve">irtų išlaidų suma, nors </w:t>
      </w:r>
      <w:r>
        <w:t>vis</w:t>
      </w:r>
      <w:r>
        <w:rPr>
          <w:iCs/>
          <w:color w:val="000000"/>
        </w:rPr>
        <w:t>a šiais metais įsigytų krovininių automobilių,</w:t>
      </w:r>
      <w:r>
        <w:t xml:space="preserve"> priekabų ir puspriekabių</w:t>
      </w:r>
      <w:r>
        <w:rPr>
          <w:iCs/>
          <w:color w:val="000000"/>
        </w:rPr>
        <w:t xml:space="preserve"> kaina siekia 950 000 Eur (5 x 150 000 Eur + 2 x 100 000 Eur).</w:t>
      </w:r>
    </w:p>
    <w:p w14:paraId="676BABF0" w14:textId="77777777" w:rsidR="001843A8" w:rsidRDefault="001843A8" w:rsidP="001843A8">
      <w:pPr>
        <w:pBdr>
          <w:top w:val="single" w:sz="4" w:space="1" w:color="auto"/>
          <w:left w:val="single" w:sz="4" w:space="4" w:color="auto"/>
          <w:bottom w:val="single" w:sz="4" w:space="1" w:color="auto"/>
          <w:right w:val="single" w:sz="4" w:space="4" w:color="auto"/>
        </w:pBdr>
        <w:spacing w:after="0"/>
        <w:jc w:val="both"/>
        <w:rPr>
          <w:iCs/>
          <w:color w:val="000000"/>
        </w:rPr>
      </w:pPr>
      <w:r>
        <w:rPr>
          <w:iCs/>
          <w:color w:val="000000"/>
        </w:rPr>
        <w:t>Likusi 2023 m. patirtų išlaidų dalis – 650 000 Eur (950 000 Eur –  300 000 Eur), viršijanti leistiną 300 000 Eur sumą, į kitus metus neperkeliama.</w:t>
      </w:r>
    </w:p>
    <w:p w14:paraId="28B000BD"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rPr>
          <w:iCs/>
          <w:color w:val="000000"/>
        </w:rPr>
        <w:t xml:space="preserve">Už 2024 metus apskaičiuotas 800 000 Eur apmokestinamasis pelnas gali būti sumažintas visa, t. y. 180 000  Eur (2 x 90 000 Eur), patirtų išlaidų suma.   </w:t>
      </w:r>
    </w:p>
    <w:p w14:paraId="03191161"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09"/>
        <w:jc w:val="both"/>
        <w:rPr>
          <w:iCs/>
          <w:color w:val="000000"/>
        </w:rPr>
      </w:pPr>
      <w:r>
        <w:rPr>
          <w:iCs/>
          <w:color w:val="000000"/>
        </w:rPr>
        <w:t xml:space="preserve">  </w:t>
      </w:r>
    </w:p>
    <w:p w14:paraId="73BC6AFC" w14:textId="77777777" w:rsidR="001843A8" w:rsidRDefault="001843A8" w:rsidP="001843A8">
      <w:pPr>
        <w:pBdr>
          <w:top w:val="single" w:sz="4" w:space="1" w:color="auto"/>
          <w:left w:val="single" w:sz="4" w:space="4" w:color="auto"/>
          <w:bottom w:val="single" w:sz="4" w:space="1" w:color="auto"/>
          <w:right w:val="single" w:sz="4" w:space="4" w:color="auto"/>
        </w:pBdr>
        <w:spacing w:after="0"/>
        <w:ind w:firstLine="720"/>
        <w:jc w:val="both"/>
        <w:rPr>
          <w:iCs/>
          <w:color w:val="000000"/>
        </w:rPr>
      </w:pPr>
      <w:r>
        <w:rPr>
          <w:iCs/>
          <w:color w:val="000000"/>
        </w:rPr>
        <w:t>5. Vienetas, teikiantis krovinių pervežimo paslaugas bei vykdantis gamybinę veiklą, 2024 metais įsigijo krovininius automobilius už 400 000 Eur bei, plėsdamas gamybos apimtis ir tobulindamas gamybos procesus, naujus įrengimus už 600 000 Eur, kurie tenkina nustatytus turto įsigijimo tikslus ir investicijai keliamus reikalavimus.</w:t>
      </w:r>
    </w:p>
    <w:p w14:paraId="1E6140F5" w14:textId="77777777" w:rsidR="001843A8" w:rsidRDefault="001843A8" w:rsidP="001843A8">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lastRenderedPageBreak/>
        <w:t>2024 metų apmokestinamasis pelnas yra 800 000 Eur, kuris  pagal PMĮ 46</w:t>
      </w:r>
      <w:r>
        <w:rPr>
          <w:iCs/>
          <w:color w:val="000000"/>
          <w:vertAlign w:val="superscript"/>
        </w:rPr>
        <w:t>1</w:t>
      </w:r>
      <w:r>
        <w:rPr>
          <w:iCs/>
          <w:color w:val="000000"/>
        </w:rPr>
        <w:t xml:space="preserve"> straipsnio 1 dalies nuostatas gali būti mažinamas:</w:t>
      </w:r>
    </w:p>
    <w:p w14:paraId="1405C7B4" w14:textId="77777777" w:rsidR="001843A8" w:rsidRDefault="001843A8" w:rsidP="001843A8">
      <w:pPr>
        <w:pBdr>
          <w:top w:val="single" w:sz="4" w:space="1" w:color="auto"/>
          <w:left w:val="single" w:sz="4" w:space="4" w:color="auto"/>
          <w:bottom w:val="single" w:sz="4" w:space="1" w:color="auto"/>
          <w:right w:val="single" w:sz="4" w:space="4" w:color="auto"/>
        </w:pBdr>
        <w:ind w:firstLine="709"/>
        <w:jc w:val="both"/>
        <w:rPr>
          <w:iCs/>
          <w:color w:val="000000"/>
        </w:rPr>
      </w:pPr>
      <w:r>
        <w:rPr>
          <w:iCs/>
          <w:color w:val="000000"/>
        </w:rPr>
        <w:t xml:space="preserve">- </w:t>
      </w:r>
      <w:r>
        <w:t>300 000 Eur patirtų išlaidų suma už įsigytus krovininius automobilius, nors vis</w:t>
      </w:r>
      <w:r>
        <w:rPr>
          <w:iCs/>
          <w:color w:val="000000"/>
        </w:rPr>
        <w:t>a 2024 metais įsigytų krovininių automobilių kaina siekia 400 000 Eur. Likusi 2024 m. patirtų išlaidų dalis – 100 000 Eur (400 000 Eur –  300 000 Eur), viršijanti leistiną 300 000 Eur sumą, į kitus metus neperkeliama;</w:t>
      </w:r>
    </w:p>
    <w:p w14:paraId="3CCB0FEB" w14:textId="77777777" w:rsidR="001843A8" w:rsidRDefault="001843A8" w:rsidP="001843A8">
      <w:pPr>
        <w:pBdr>
          <w:top w:val="single" w:sz="4" w:space="1" w:color="auto"/>
          <w:left w:val="single" w:sz="4" w:space="4" w:color="auto"/>
          <w:bottom w:val="single" w:sz="4" w:space="1" w:color="auto"/>
          <w:right w:val="single" w:sz="4" w:space="4" w:color="auto"/>
        </w:pBdr>
        <w:ind w:firstLine="709"/>
        <w:jc w:val="both"/>
        <w:rPr>
          <w:iCs/>
          <w:color w:val="000000"/>
        </w:rPr>
      </w:pPr>
      <w:r>
        <w:rPr>
          <w:iCs/>
          <w:color w:val="000000"/>
        </w:rPr>
        <w:t>- 500 000 Eur gamybinių įrengimų faktiška įsigijimo kainos dalimi, o likusi, t. y. 100 000 Eur (600 000 Eur – 500 000 Eur), suma gali būti perkeliama ne ilgiau kaip keturis vienas po kito einančius mokestinius metus.</w:t>
      </w:r>
    </w:p>
    <w:p w14:paraId="552E87CE" w14:textId="77777777" w:rsidR="00E84015" w:rsidRDefault="00E84015" w:rsidP="00E84015">
      <w:pPr>
        <w:tabs>
          <w:tab w:val="left" w:pos="720"/>
          <w:tab w:val="left" w:pos="1077"/>
          <w:tab w:val="left" w:pos="1418"/>
        </w:tabs>
        <w:jc w:val="both"/>
        <w:rPr>
          <w:sz w:val="22"/>
          <w:szCs w:val="22"/>
          <w:lang w:val="lt-LT"/>
        </w:rPr>
      </w:pPr>
      <w:r>
        <w:rPr>
          <w:iCs/>
          <w:lang w:eastAsia="lt-LT"/>
        </w:rPr>
        <w:t xml:space="preserve">            (PMĮ </w:t>
      </w:r>
      <w:r>
        <w:rPr>
          <w:iCs/>
          <w:color w:val="000000"/>
        </w:rPr>
        <w:t>46</w:t>
      </w:r>
      <w:r>
        <w:rPr>
          <w:iCs/>
          <w:color w:val="000000"/>
          <w:vertAlign w:val="superscript"/>
        </w:rPr>
        <w:t>1</w:t>
      </w:r>
      <w:r>
        <w:rPr>
          <w:iCs/>
          <w:lang w:eastAsia="lt-LT"/>
        </w:rPr>
        <w:t xml:space="preserve"> straipsnio </w:t>
      </w:r>
      <w:r>
        <w:rPr>
          <w:iCs/>
          <w:color w:val="000000"/>
        </w:rPr>
        <w:t>1</w:t>
      </w:r>
      <w:r>
        <w:rPr>
          <w:iCs/>
          <w:lang w:eastAsia="lt-LT"/>
        </w:rPr>
        <w:t xml:space="preserve"> d. komentaro 2 p. 4 ir 5 pavyzdžiai pakeisti pagal VMI prie FM 2025-05-20 raštą Nr. (18.32-31-1 Mr) R-2170)</w:t>
      </w:r>
    </w:p>
    <w:p w14:paraId="751CD714" w14:textId="77777777" w:rsidR="00093845" w:rsidRDefault="000D779E">
      <w:pPr>
        <w:ind w:firstLine="720"/>
        <w:jc w:val="both"/>
        <w:rPr>
          <w:iCs/>
          <w:color w:val="000000"/>
        </w:rPr>
      </w:pPr>
      <w:r>
        <w:rPr>
          <w:iCs/>
          <w:color w:val="000000"/>
        </w:rPr>
        <w:t xml:space="preserve">3. Sąvoka „faktiškai patirtos išlaidos“ suprantama, kaip vieneto per mokestinį laikotarpį įsigyto/pagaminto (toliau – įsigyto) turto faktiška (-os) įsigijimo kaina (-os) ar jos dalis, nurodyta juridinę galią turinčiame turto įsigijimo dokumente (-se), neatsižvelgiant į jos apmokėjimą (toliau – turto faktiška įsigijimo kaina). Faktiškas įsigyto turto, t. y. faktiškai patirtų turto įsigijimo išlaidų, pripažinimo momentas yra juridinę galią turinčio turto įsigijimo dokumento išrašymo data. </w:t>
      </w:r>
    </w:p>
    <w:p w14:paraId="6E741406" w14:textId="77777777" w:rsidR="00093845" w:rsidRDefault="000D779E">
      <w:pPr>
        <w:ind w:firstLine="720"/>
        <w:jc w:val="both"/>
        <w:rPr>
          <w:iCs/>
          <w:color w:val="000000"/>
        </w:rPr>
      </w:pPr>
      <w:r>
        <w:rPr>
          <w:iCs/>
          <w:color w:val="000000"/>
        </w:rPr>
        <w:t>Turto įsigijimo kaina, jį perkant iš kitų asmenų, nustatoma, prie jo pirkimo kainos pridedant visus su pirkimu susijusius mokesčius (muitų, registravimo ir kt.), transportavimo, projektavimo, sumontavimo, patikrinimo, instaliavimo, paleidimo bei kitas tiesiogines išlaidas, susijusias su turto įsigijimu. Tuo atveju, jeigu, vykdant investicinį projektą, vienu turto įsigijimo dokumentu yra įsigyjami keli turto vienetai, iš kurių dalis turto vienetų neatitinka investicinio projekto reikalavimų, o anksčiau minėtos su turto įsigijimu susijusios išlaidos yra nurodytos bendrai, neišskiriant, kokiam turto vienetui skirtos, tai vienetas pats turi nusistatyti kriterijų proporcijai išskaičiuoti, t. y. kiek išlaidų tenka investicinio projekto reikalavimus atitinkančiam turtui.</w:t>
      </w:r>
    </w:p>
    <w:p w14:paraId="76310A76" w14:textId="77777777" w:rsidR="00093845" w:rsidRDefault="000D779E">
      <w:pPr>
        <w:ind w:right="-82" w:firstLine="720"/>
        <w:jc w:val="both"/>
        <w:rPr>
          <w:iCs/>
          <w:color w:val="000000"/>
        </w:rPr>
      </w:pPr>
      <w:r>
        <w:rPr>
          <w:iCs/>
          <w:color w:val="000000"/>
        </w:rPr>
        <w:t>Jei turtas gaminamas, tai jo įsigijimo kaina nustatoma, prie pagrindinių žaliavų, medžiagų, komplektuojančiųjų gaminių, sunaudotų gaminant šį turtą, įsigijimo kainos pridedant tiesiogines darbo ir netiesiogines (pridėtines) gamybos išlaidas, padarytas gaminant šį turtą. Į tokio turto įsigijimo kainą neįtraukiamos ataskaitinio laikotarpio veiklos sąnaudos (pardavimų, bendrosios ir administracinės).</w:t>
      </w:r>
    </w:p>
    <w:p w14:paraId="526B3A71" w14:textId="77777777" w:rsidR="00093845" w:rsidRDefault="000D779E">
      <w:pPr>
        <w:ind w:firstLine="720"/>
        <w:jc w:val="both"/>
        <w:rPr>
          <w:iCs/>
          <w:color w:val="000000"/>
        </w:rPr>
      </w:pPr>
      <w:r>
        <w:rPr>
          <w:iCs/>
          <w:color w:val="000000"/>
        </w:rPr>
        <w:t>6</w:t>
      </w:r>
      <w:r>
        <w:rPr>
          <w:b/>
          <w:iCs/>
          <w:color w:val="000000"/>
        </w:rPr>
        <w:t>–</w:t>
      </w:r>
      <w:r>
        <w:rPr>
          <w:iCs/>
          <w:color w:val="000000"/>
        </w:rPr>
        <w:t>7 pavyzdžiai</w:t>
      </w:r>
    </w:p>
    <w:p w14:paraId="76ADD85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6. Vienetas 2015 metais nusprendė plėsti savo veiklą ir papildomai Lietuvos teritorijoje įdiegti skaitmeninę mobiliojo ryšio sistemą, t. y. gaminti ir instaliuoti radijo ryšio prieigos tinklą, perdavimo tinklą, kamieninį tinklą, terminalus ir pan. Tuo tikslu 2015 metais pradėtas vykdyti investicinis projektas. Šiam investiciniam projektui įgyvendinti 2015 metais įsigytas ir pradėtas naudoti turtas: įrenginiai, kompiuterinė ir ryšio technika, programinė įranga (skaitmeninės mobiliojo ryšio sistemos įdiegimo darbams atlikti) bei lengvieji automobiliai.</w:t>
      </w:r>
    </w:p>
    <w:p w14:paraId="065172E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Pagal šios dalies nuostatas apmokestinamasis pelnas gali būti mažinamas tik </w:t>
      </w:r>
      <w:r>
        <w:t xml:space="preserve">turto, </w:t>
      </w:r>
      <w:r>
        <w:rPr>
          <w:iCs/>
          <w:color w:val="000000"/>
        </w:rPr>
        <w:t>atitinkančio investicinio projekto reikalavimus, t. y. įrenginių, kompiuterinės ir ryšio technikos bei programinės įrangos, faktiška įsigijimo kaina. Kadangi lengvieji automobiliai neatitinka investicinio projekto reikalavimų, tai jų faktiška įsigijimo kaina nemažins apmokestinamojo pelno.</w:t>
      </w:r>
    </w:p>
    <w:p w14:paraId="7DB1AD9A" w14:textId="77777777" w:rsidR="00093845" w:rsidRDefault="000D779E">
      <w:pPr>
        <w:pBdr>
          <w:top w:val="single" w:sz="4" w:space="1" w:color="auto"/>
          <w:left w:val="single" w:sz="4" w:space="4" w:color="auto"/>
          <w:bottom w:val="single" w:sz="4" w:space="1" w:color="auto"/>
          <w:right w:val="single" w:sz="4" w:space="4" w:color="auto"/>
        </w:pBdr>
        <w:spacing w:line="280" w:lineRule="atLeast"/>
        <w:jc w:val="both"/>
        <w:rPr>
          <w:iCs/>
          <w:color w:val="000000"/>
        </w:rPr>
      </w:pPr>
      <w:r>
        <w:rPr>
          <w:iCs/>
          <w:color w:val="000000"/>
        </w:rPr>
        <w:tab/>
      </w:r>
      <w:r>
        <w:t>7.</w:t>
      </w:r>
      <w:r>
        <w:rPr>
          <w:i/>
        </w:rPr>
        <w:t xml:space="preserve"> </w:t>
      </w:r>
      <w:r>
        <w:rPr>
          <w:iCs/>
          <w:color w:val="000000"/>
        </w:rPr>
        <w:t xml:space="preserve">Vienetas 2015 m. nusprendė plėsti savo veiklą ir pastatyti dujotiekį, kuris bus tiesiamas per gyventojams nuosavybės teise priklausančius žemės sklypus ir valstybinius miškus. Vienetas minėtų žemės sklypų iš jų savininkų neįsigyja, tačiau savininkams moka kompensacijas nuostoliams atlyginti. Be to, vienetas, vykdydamas aplinkosaugos norminių aktų reikalavimus ir  įgyvendindamas kompensacines priemones, už valstybinių miškų iškirtimą patiria išlaidų, pvz., įveisia ąžuolyną. Gyventojams mokamos kompensacijos ir pagal aplinkosaugos norminių aktų reikalavimus patiriamos </w:t>
      </w:r>
      <w:r>
        <w:rPr>
          <w:iCs/>
          <w:color w:val="000000"/>
        </w:rPr>
        <w:lastRenderedPageBreak/>
        <w:t>kompensacinių priemonių išlaidos yra tiesiogiai siejamos su naujo dujotiekio statyba. Todėl</w:t>
      </w:r>
      <w:r>
        <w:rPr>
          <w:i/>
          <w:iCs/>
        </w:rPr>
        <w:t xml:space="preserve"> </w:t>
      </w:r>
      <w:r>
        <w:rPr>
          <w:iCs/>
          <w:color w:val="000000"/>
        </w:rPr>
        <w:t>iki dujotiekio naudojimo pradžios vieneto patirtos šios išlaidos yra priskiriamos įsigijimo savikainai ir PMĮ 46</w:t>
      </w:r>
      <w:r>
        <w:rPr>
          <w:iCs/>
          <w:color w:val="000000"/>
          <w:vertAlign w:val="superscript"/>
        </w:rPr>
        <w:t>1</w:t>
      </w:r>
      <w:r>
        <w:rPr>
          <w:iCs/>
          <w:color w:val="000000"/>
        </w:rPr>
        <w:t xml:space="preserve"> straipsnyje nustatyta tvarka šiomis sumomis gali būti mažinamas apmokestinamasis pelnas.</w:t>
      </w:r>
    </w:p>
    <w:p w14:paraId="245DFB29" w14:textId="77777777" w:rsidR="00093845" w:rsidRDefault="000D779E">
      <w:pPr>
        <w:ind w:firstLine="720"/>
        <w:jc w:val="both"/>
        <w:rPr>
          <w:iCs/>
          <w:color w:val="000000"/>
        </w:rPr>
      </w:pPr>
      <w:r>
        <w:rPr>
          <w:iCs/>
          <w:color w:val="000000"/>
        </w:rPr>
        <w:t>4. Vieneto, ketinančio sumažinti apmokestinamąjį pelną, įsigyjamas</w:t>
      </w:r>
      <w:r>
        <w:rPr>
          <w:b/>
          <w:iCs/>
          <w:color w:val="000000"/>
        </w:rPr>
        <w:t xml:space="preserve"> </w:t>
      </w:r>
      <w:r>
        <w:rPr>
          <w:iCs/>
          <w:color w:val="000000"/>
        </w:rPr>
        <w:t xml:space="preserve">investiciniam projektui reikalingas turtas turi būti naujas, t. y. nenaudotas ir pagamintas ne anksčiau kaip prieš 2 metus, skaičiuojant nuo ilgalaikio turto naudojimo pradžios, t. y. nuo turto </w:t>
      </w:r>
      <w:r>
        <w:rPr>
          <w:bCs/>
        </w:rPr>
        <w:t>eksploatacijos</w:t>
      </w:r>
      <w:r>
        <w:rPr>
          <w:iCs/>
          <w:color w:val="000000"/>
        </w:rPr>
        <w:t xml:space="preserve"> pradžios. Jeigu turtą vienetas įsigyja iš kito vieneto, tai pagrįsti, jog turtas pagamintas ne anksčiau kaip prieš 2 metus, vienetas gali, turėdamas turto techninį pasą, o kad turtas nenaudotas – pardavėjo patvirtinimą. Šie duomenys apie įsigyjamą turtą gali būti patvirtinami ir kitais dokumentais. </w:t>
      </w:r>
    </w:p>
    <w:p w14:paraId="44792471" w14:textId="77777777" w:rsidR="00093845" w:rsidRDefault="000D779E">
      <w:pPr>
        <w:ind w:firstLine="720"/>
        <w:jc w:val="both"/>
        <w:rPr>
          <w:iCs/>
          <w:color w:val="000000"/>
        </w:rPr>
      </w:pPr>
      <w:r>
        <w:rPr>
          <w:iCs/>
          <w:color w:val="000000"/>
        </w:rPr>
        <w:t>Jeigu yra įsigyjami kasos aparatai, kurie yra sukonstruoti kaip kompiuteris, t. y. iš esmės atitinka kompiuterio sąvoką, bei yra sujungiami į kompiuterinį tinklą, tai gali būti priskiriami ilgalaikio turto grupei „kompiuterinė technika ir ryšių priemonės (kompiuteriai, jų tinklai ir įranga)“. Šis turtas gali būti laikomas investicinio projekto reikalavimus atitinkančiu turtu, jeigu tokio turto įsigijimas tenkina PMĮ 2 straipsnio 12</w:t>
      </w:r>
      <w:r>
        <w:rPr>
          <w:iCs/>
          <w:color w:val="000000"/>
          <w:vertAlign w:val="superscript"/>
        </w:rPr>
        <w:t xml:space="preserve">1 </w:t>
      </w:r>
      <w:r>
        <w:rPr>
          <w:iCs/>
          <w:color w:val="000000"/>
        </w:rPr>
        <w:t>dalyje nustatytus turto įsigijimo tikslus.</w:t>
      </w:r>
    </w:p>
    <w:p w14:paraId="7677E701" w14:textId="77777777" w:rsidR="00093845" w:rsidRDefault="000D779E">
      <w:pPr>
        <w:ind w:firstLine="720"/>
        <w:jc w:val="both"/>
        <w:rPr>
          <w:iCs/>
          <w:color w:val="000000"/>
        </w:rPr>
      </w:pPr>
      <w:r>
        <w:rPr>
          <w:iCs/>
          <w:color w:val="000000"/>
        </w:rPr>
        <w:t>Jeigu įsigyjamas nematerialusis turtas – programinė įranga, kuri modifikuojama pagal vieneto poreikius, tai apie tai, ar programa nebuvo naudota iki jos įsigijimo, sprendžiama iš to, ar programa parduota jos kūrėjo (gamintojo), platintojo ar vartotojo. Tuo atveju, kai programa perkama iš kūrėjo ar platintojo, suprantama, kad programa yra įsigyjama kaip prekė, ir laikoma, kad ji nebuvo naudota pardavėjo, neatsižvelgiant į tai, ar programą (jos kopiją) buvo įsigiję ir kiti verslo subjektai, kurie ją naudoja (naudojo) savo poreikiams. Tuo atveju, kai programa perkama iš kito tos programos vartotojo, kurią jis naudojo savo poreikiams, o dabar nebenaudoja ir dėl to ją perleidžia, tai laikoma, kad įsigyjama naudota programinė įranga, kuriai įsigyti investicijų lengvata netaikoma.</w:t>
      </w:r>
    </w:p>
    <w:p w14:paraId="70E5F70A" w14:textId="77777777" w:rsidR="00093845" w:rsidRDefault="000D779E">
      <w:pPr>
        <w:ind w:firstLine="720"/>
        <w:jc w:val="both"/>
        <w:rPr>
          <w:iCs/>
          <w:color w:val="000000"/>
        </w:rPr>
      </w:pPr>
      <w:r>
        <w:rPr>
          <w:iCs/>
          <w:color w:val="000000"/>
        </w:rPr>
        <w:t>Jeigu programa yra sukurta specialiai pagal vieneto poreikius, tai ji nėra naudota kitų verslo subjektų ir jos sukūrimo (pagaminimo) datą galima nustatyti pagal tai, kada ji buvo perduota vienetui ir parengta naudoti.</w:t>
      </w:r>
    </w:p>
    <w:p w14:paraId="41432734" w14:textId="77777777" w:rsidR="00093845" w:rsidRDefault="000D779E">
      <w:pPr>
        <w:ind w:firstLine="720"/>
        <w:jc w:val="both"/>
        <w:rPr>
          <w:i/>
          <w:iCs/>
          <w:color w:val="000000"/>
        </w:rPr>
      </w:pPr>
      <w:r>
        <w:rPr>
          <w:iCs/>
          <w:color w:val="000000"/>
        </w:rPr>
        <w:t>Ar programinė įranga pagaminta ne anksčiau kaip prieš 2 metus praktiškai galima nustatyti tik tam tikrais atvejais. Todėl pagaminimo datos kriterijus investicinio projekto tikslais įsigyjamai programinei įrangai nėra privalomas</w:t>
      </w:r>
      <w:r>
        <w:rPr>
          <w:i/>
          <w:iCs/>
          <w:color w:val="000000"/>
        </w:rPr>
        <w:t>, jeigu nėra galimybių tai nustatyti.</w:t>
      </w:r>
    </w:p>
    <w:p w14:paraId="4843D75F" w14:textId="77777777" w:rsidR="00093845" w:rsidRDefault="000D779E">
      <w:pPr>
        <w:ind w:firstLine="720"/>
        <w:jc w:val="both"/>
        <w:rPr>
          <w:iCs/>
          <w:color w:val="000000"/>
        </w:rPr>
      </w:pPr>
      <w:r>
        <w:rPr>
          <w:iCs/>
          <w:color w:val="000000"/>
        </w:rPr>
        <w:t>Ilgalaikio turto naudojimo pradžia yra laikoma perdavimo naudoti data. Naudojimo pradžia turi būti įforminta įmonės vadovo (ar jo įgalioto asmens) patvirtintu perdavimo naudoti aktu.</w:t>
      </w:r>
    </w:p>
    <w:p w14:paraId="6DAA3D69" w14:textId="77777777" w:rsidR="00093845" w:rsidRDefault="000D779E">
      <w:pPr>
        <w:ind w:firstLine="720"/>
        <w:jc w:val="both"/>
        <w:rPr>
          <w:iCs/>
          <w:color w:val="000000"/>
        </w:rPr>
      </w:pPr>
      <w:r>
        <w:rPr>
          <w:bCs/>
        </w:rPr>
        <w:t xml:space="preserve">Šioje dalyje nustatytas 2 metų laikotarpis skaičiuojamas atgal </w:t>
      </w:r>
      <w:r>
        <w:rPr>
          <w:bCs/>
          <w:i/>
        </w:rPr>
        <w:t>nuo tos dienos</w:t>
      </w:r>
      <w:r>
        <w:rPr>
          <w:bCs/>
        </w:rPr>
        <w:t>, kai turtas pagal perdavimo naudoti aktą yra pradedamas eksploatuoti.</w:t>
      </w:r>
    </w:p>
    <w:p w14:paraId="3702E68C" w14:textId="77777777" w:rsidR="00093845" w:rsidRDefault="000D779E">
      <w:pPr>
        <w:ind w:firstLine="720"/>
        <w:jc w:val="both"/>
        <w:rPr>
          <w:iCs/>
          <w:color w:val="000000"/>
        </w:rPr>
      </w:pPr>
      <w:r>
        <w:rPr>
          <w:iCs/>
          <w:color w:val="000000"/>
        </w:rPr>
        <w:t>Jeigu vykdomas ilgalaikis investicinis projektas ir įsigyjami bei instaliuojami keli turto vienetai, kurie negali būti pradedami naudoti vieneto veikloje tol, kol neužbaigtas visas investicinis projektas, tai tokiu atveju 2 metų laikotarpis skaičiuojamas atgal nuo tos dienos, kai toks turtas yra paruoštas naudoti (instaliuotas, sumontuotas ir pan.) ir galėtų būti naudojamas, jei investicinis projektas būtų baigtas.</w:t>
      </w:r>
    </w:p>
    <w:p w14:paraId="05535703" w14:textId="77777777" w:rsidR="00093845" w:rsidRDefault="000D779E">
      <w:pPr>
        <w:ind w:firstLine="720"/>
        <w:jc w:val="both"/>
        <w:rPr>
          <w:iCs/>
          <w:color w:val="000000"/>
        </w:rPr>
      </w:pPr>
      <w:r>
        <w:rPr>
          <w:iCs/>
          <w:color w:val="000000"/>
        </w:rPr>
        <w:t xml:space="preserve">Jeigu, vykdant investicinį projektą, turtas yra testuojamas, siekiant įsitikinti, kad jis yra tinkamas naudoti, tai tokiu atveju </w:t>
      </w:r>
      <w:r>
        <w:rPr>
          <w:bCs/>
        </w:rPr>
        <w:t xml:space="preserve">2 metų laikotarpis yra skaičiuojamas atgal </w:t>
      </w:r>
      <w:r>
        <w:rPr>
          <w:bCs/>
          <w:i/>
        </w:rPr>
        <w:t>nuo tos dienos</w:t>
      </w:r>
      <w:r>
        <w:rPr>
          <w:bCs/>
        </w:rPr>
        <w:t xml:space="preserve">, kai toks patikrintas turtas pagal perdavimo naudoti aktą yra pradedamas eksploatuoti, arba, jeigu juo uždirbamos pajamos, nuo tos dienos, kai įsigytu turtu pradedamos uždirbti pajamos, nors turtas dar yra testuojamas ir neeksploatuojamas. </w:t>
      </w:r>
      <w:r>
        <w:rPr>
          <w:iCs/>
          <w:color w:val="000000"/>
        </w:rPr>
        <w:t xml:space="preserve">Tuo atveju, jeigu, vykdant ilgalaikį investicinį projektą, testuojamas turto vienetas, kuris negali būti pradedamas naudoti vieneto veikloje tol, kol neužbaigtas visas investicinis projektas, tai tokiu atveju 2 metų laikotarpis skaičiuojamas atgal nuo tos dienos, kai </w:t>
      </w:r>
      <w:r>
        <w:rPr>
          <w:iCs/>
          <w:color w:val="000000"/>
        </w:rPr>
        <w:lastRenderedPageBreak/>
        <w:t>toks turtas yra paruoštas ir tinkamas naudoti (patikrintas), ir galėtų būti naudojamas, jei investicinis projektas būtų baigtas.</w:t>
      </w:r>
    </w:p>
    <w:p w14:paraId="693DD2DF" w14:textId="77777777" w:rsidR="00093845" w:rsidRDefault="000D779E">
      <w:pPr>
        <w:ind w:firstLine="720"/>
        <w:jc w:val="both"/>
        <w:rPr>
          <w:iCs/>
          <w:color w:val="000000"/>
        </w:rPr>
      </w:pPr>
      <w:r>
        <w:rPr>
          <w:iCs/>
          <w:color w:val="000000"/>
        </w:rPr>
        <w:t>Atkreiptinas dėmesys į tai, kad turto gamyboje naudojamų komplektavimo medžiagų (dalims) pagaminimo data, skirtingai nei turto, nėra vertinama, t. y. neatsižvelgiama į tai, kurį mokestinį laikotarpį jos įsigytos. Tačiau šios atsargos turi būti nenaudotos.</w:t>
      </w:r>
    </w:p>
    <w:p w14:paraId="03CFAB7A" w14:textId="77777777" w:rsidR="00093845" w:rsidRDefault="000D779E">
      <w:pPr>
        <w:spacing w:line="360" w:lineRule="auto"/>
        <w:ind w:firstLine="720"/>
        <w:jc w:val="both"/>
        <w:rPr>
          <w:iCs/>
          <w:color w:val="000000"/>
        </w:rPr>
      </w:pPr>
      <w:r>
        <w:rPr>
          <w:iCs/>
          <w:color w:val="000000"/>
        </w:rPr>
        <w:t>8 pavyzdys</w:t>
      </w:r>
    </w:p>
    <w:p w14:paraId="50F22177"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Vienetas gamybai skirtiems įrengimams sukonstruoti (pasigaminti) ir instaliuoti reikalingų medžiagų įsigyja tiek iš rangovų, tiek panaudoja savo sandėlyje esančias atsargas. Prieš kelis metus įsigytos atsargos vieneto apskaitoje yra apskaitytos tuo pačiu nomenklatūriniu numeriu kaip ir naujai įsigyjamos tokios pat rūšies komplektuojamos medžiagos.</w:t>
      </w:r>
    </w:p>
    <w:p w14:paraId="73FAAA4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u w:val="single"/>
        </w:rPr>
      </w:pPr>
      <w:r>
        <w:rPr>
          <w:iCs/>
          <w:color w:val="000000"/>
        </w:rPr>
        <w:t>Vienetui vykdant investicinį projektą, t. y. kai jis trunka ilgiau nei vienerius mokestinius metus, nebaigtos statybos projekto išlaidų pripažinimo momentas yra vidinio apskaitos dokumento, t. y. atsargų nurašymo į nebaigtos statybos projektą akto, surašymo momentas. Atitinkamai ir apmokestinamasis pelnas yra mažinamas tą mokestinį laikotarpį, kurį yra surašytas vidinis apskaitos dokumentas, kuriuo investiciniam projektui reikalingos atsargos iš sandėlio yra perkeliamos į nebaigtos statybos sąskaitą, neatsižvelgiant į tai, kada šios atsargos buvo įsigytos. Atkreiptinas dėmesys į tai, kad turto gamyboje naudojamų komplektavimo medžiagų pagaminimo data, skirtingai nei turto, nėra vertinama, t. y. neatsižvelgiama, kurį mokestinį laikotarpį jos įsigytos. Tačiau šios atsargos turi būti nenaudotos.</w:t>
      </w:r>
    </w:p>
    <w:p w14:paraId="72630350" w14:textId="77777777" w:rsidR="00093845" w:rsidRDefault="000D779E">
      <w:pPr>
        <w:ind w:firstLine="720"/>
        <w:jc w:val="both"/>
      </w:pPr>
      <w:r>
        <w:t>9–13 pavyzdžiai</w:t>
      </w:r>
    </w:p>
    <w:p w14:paraId="5B8303C7" w14:textId="77777777" w:rsidR="00093845" w:rsidRDefault="000D779E">
      <w:pPr>
        <w:pBdr>
          <w:top w:val="single" w:sz="4" w:space="1" w:color="auto"/>
          <w:left w:val="single" w:sz="4" w:space="4" w:color="auto"/>
          <w:right w:val="single" w:sz="4" w:space="4" w:color="auto"/>
        </w:pBdr>
        <w:ind w:firstLine="720"/>
        <w:jc w:val="both"/>
        <w:rPr>
          <w:i/>
          <w:iCs/>
          <w:color w:val="000000"/>
        </w:rPr>
      </w:pPr>
      <w:r>
        <w:rPr>
          <w:i/>
          <w:iCs/>
          <w:color w:val="000000"/>
          <w:u w:val="single"/>
        </w:rPr>
        <w:t>Pastaba</w:t>
      </w:r>
      <w:r>
        <w:rPr>
          <w:i/>
          <w:iCs/>
          <w:color w:val="000000"/>
        </w:rPr>
        <w:t>. Pavyzdžiuose mokestinis laikotarpis sutampa su kalendoriniais metais.</w:t>
      </w:r>
    </w:p>
    <w:p w14:paraId="4C34E2E7"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9. Vienetas 2015 m. pradėjo vykdyti investicinį projektą, kurio eigoje pasigamino įrenginį, skirtą naujos produkcijos gamybai. Sudedamųjų dalių, žaliavų, reikalingų įrenginio gamybai, įsigijimo savikaina, tiesioginio darbo užmokesčio sąnaudos bei kitos tiesioginės ir netiesioginės (pridėtinės) gamybos išlaidos, patirtos kuriant šį turtą, vienete buvo apskaitomos „nebaigtos statybos“ sąskaitoje ir sudarė 2015 metais – 30 000 Eur, o 2016 metais – 40 000 Eur. Vienetas projektą užbaigė 2016 m. ir pasigamintą įrenginį pradėjo eksploatuoti 2016 m. vasario mėnesį.</w:t>
      </w:r>
    </w:p>
    <w:p w14:paraId="23F18A31"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Per 2015 metus vieneto faktiškai patirtomis išlaidomis pagal PMĮ 46-1 straipsnio 1 dalies nuostatas apmokestinamasis pelnas mažinamas 30 000 Eur suma, o už 2016 metus – 40 000 Eur suma.</w:t>
      </w:r>
    </w:p>
    <w:p w14:paraId="044F3E37" w14:textId="77777777" w:rsidR="00093845" w:rsidRDefault="000D779E">
      <w:pPr>
        <w:pBdr>
          <w:top w:val="single" w:sz="4" w:space="1" w:color="auto"/>
          <w:left w:val="single" w:sz="4" w:space="4" w:color="auto"/>
          <w:right w:val="single" w:sz="4" w:space="4" w:color="auto"/>
        </w:pBdr>
        <w:ind w:firstLine="720"/>
        <w:jc w:val="both"/>
        <w:rPr>
          <w:iCs/>
          <w:color w:val="000000"/>
        </w:rPr>
      </w:pPr>
      <w:r>
        <w:rPr>
          <w:iCs/>
          <w:color w:val="000000"/>
        </w:rPr>
        <w:t xml:space="preserve">10. Vienetas 2015 metais pradėjo vykdyti investicinį projektą. Šiam investiciniam projektui įgyvendinti reikalingas turtas – įrenginiai – kuriamas dalimis, t. y. </w:t>
      </w:r>
      <w:r>
        <w:t>rangovas atsiskaito už atskirus etapus: 2015 metais išrašoma sąskaita už įrenginių suprojektavimą pagal poreikius 15 000 Eur, 2016 metais – už pagaminimą 45 000 Eur, 2017 metais – už instaliavimą ir apmokymą jais dirbti (10 000 Eur). Turtas,</w:t>
      </w:r>
      <w:r>
        <w:rPr>
          <w:iCs/>
          <w:color w:val="000000"/>
        </w:rPr>
        <w:t xml:space="preserve"> atitinkantis investicinio projekto reikalavimus,</w:t>
      </w:r>
      <w:r>
        <w:t xml:space="preserve"> pradedamas eksploatuoti 2017 metais.</w:t>
      </w:r>
      <w:r>
        <w:rPr>
          <w:iCs/>
          <w:color w:val="000000"/>
        </w:rPr>
        <w:t xml:space="preserve"> Vieneto apskaičiuotas apmokestinamasis pelnas sumažinamas įrenginių faktiška įsigijimo kaina: 2015 metais – 15 000 Eur, 2016 metais – 45 000 Eur ir 2017 metais – 10 000 Eur.</w:t>
      </w:r>
    </w:p>
    <w:p w14:paraId="6F12713C" w14:textId="77777777" w:rsidR="00093845" w:rsidRDefault="000D779E">
      <w:pPr>
        <w:pBdr>
          <w:top w:val="single" w:sz="4" w:space="1" w:color="auto"/>
          <w:left w:val="single" w:sz="4" w:space="4" w:color="auto"/>
          <w:right w:val="single" w:sz="4" w:space="4" w:color="auto"/>
        </w:pBdr>
        <w:ind w:firstLine="720"/>
        <w:jc w:val="both"/>
      </w:pPr>
      <w:r>
        <w:rPr>
          <w:iCs/>
          <w:color w:val="000000"/>
        </w:rPr>
        <w:t xml:space="preserve">11. Vienetas 2015 metais pradėjo vykdyti ilgalaikį investicinį projektą, kuris </w:t>
      </w:r>
      <w:r>
        <w:t xml:space="preserve">tęsiasi iki 2018 metų. </w:t>
      </w:r>
      <w:r>
        <w:rPr>
          <w:iCs/>
          <w:color w:val="000000"/>
        </w:rPr>
        <w:t>Vienetas 2015 metais įsigijo ir instaliavo įrengimą, kurio faktiška įsigijimo kaina pagal 2015 metais gautą sąskaitą yra 500 000 Eur.</w:t>
      </w:r>
      <w:r>
        <w:t xml:space="preserve"> Įrengimas pagamintas 2014 metais.</w:t>
      </w:r>
      <w:r>
        <w:rPr>
          <w:iCs/>
          <w:color w:val="000000"/>
        </w:rPr>
        <w:t xml:space="preserve"> </w:t>
      </w:r>
      <w:r>
        <w:t xml:space="preserve">Eksploatuoti įrengimas pradėtas tik projekto pabaigoje (dėl techninių charakteristikų toks turtas galėjo būti pradėtas eksploatuoti, tik sumontavus ir kitą projekto realizavimui reikalingą turtą), </w:t>
      </w:r>
      <w:r>
        <w:rPr>
          <w:u w:val="single"/>
        </w:rPr>
        <w:t>t. y. po 3 metų</w:t>
      </w:r>
      <w:r>
        <w:t xml:space="preserve"> – 2018 metais, tačiau įrengimas buvo paruoštas naudoti nepraėjus 2 metams nuo jo pagaminimo.</w:t>
      </w:r>
    </w:p>
    <w:p w14:paraId="318EFFE9" w14:textId="77777777" w:rsidR="00093845" w:rsidRDefault="000D779E">
      <w:pPr>
        <w:pBdr>
          <w:top w:val="single" w:sz="4" w:space="1" w:color="auto"/>
          <w:left w:val="single" w:sz="4" w:space="4" w:color="auto"/>
          <w:right w:val="single" w:sz="4" w:space="4" w:color="auto"/>
        </w:pBdr>
        <w:ind w:firstLine="720"/>
        <w:jc w:val="both"/>
        <w:rPr>
          <w:iCs/>
          <w:strike/>
          <w:color w:val="000000"/>
        </w:rPr>
      </w:pPr>
      <w:r>
        <w:rPr>
          <w:iCs/>
          <w:color w:val="000000"/>
        </w:rPr>
        <w:lastRenderedPageBreak/>
        <w:t>Vieneto 2015 metų apmokestinamasis pelnas bus sumažinamas visa turto faktiška įsigijimo kaina – 500 000 Eur.</w:t>
      </w:r>
      <w:r>
        <w:rPr>
          <w:iCs/>
          <w:strike/>
          <w:color w:val="000000"/>
        </w:rPr>
        <w:t xml:space="preserve"> </w:t>
      </w:r>
    </w:p>
    <w:p w14:paraId="55FC63E3" w14:textId="77777777" w:rsidR="00093845" w:rsidRDefault="000D779E">
      <w:pPr>
        <w:pBdr>
          <w:top w:val="single" w:sz="4" w:space="1" w:color="auto"/>
          <w:left w:val="single" w:sz="4" w:space="4" w:color="auto"/>
          <w:right w:val="single" w:sz="4" w:space="4" w:color="auto"/>
        </w:pBdr>
        <w:ind w:firstLine="720"/>
        <w:jc w:val="both"/>
        <w:rPr>
          <w:bCs/>
        </w:rPr>
      </w:pPr>
      <w:r>
        <w:rPr>
          <w:iCs/>
          <w:color w:val="000000"/>
        </w:rPr>
        <w:t xml:space="preserve">12. Vienetas 2014 metais pradėjo vykdyti investicinį projektą – </w:t>
      </w:r>
      <w:r>
        <w:rPr>
          <w:color w:val="000000"/>
          <w:lang w:eastAsia="lt-LT"/>
        </w:rPr>
        <w:t>esminį gamybos proceso pertvarkymą</w:t>
      </w:r>
      <w:r>
        <w:rPr>
          <w:iCs/>
          <w:color w:val="000000"/>
        </w:rPr>
        <w:t xml:space="preserve">, kuris </w:t>
      </w:r>
      <w:r>
        <w:t>tęsiasi iki 2018 metų.</w:t>
      </w:r>
      <w:r>
        <w:rPr>
          <w:iCs/>
          <w:color w:val="000000"/>
        </w:rPr>
        <w:t xml:space="preserve"> </w:t>
      </w:r>
      <w:r>
        <w:rPr>
          <w:bCs/>
        </w:rPr>
        <w:t>2014-2017 metais iš rangovo sąskaitų negaunama, o sumokamos tik avansinės įmokos investicinio projekto darbams vykdyti. 2018 metais yra gaunama iš rangovo sąskaita, t. y. 300 000 Eur, už visą investicinį projektą.</w:t>
      </w:r>
    </w:p>
    <w:p w14:paraId="4E90D7ED" w14:textId="77777777" w:rsidR="00093845" w:rsidRDefault="000D779E">
      <w:pPr>
        <w:pBdr>
          <w:top w:val="single" w:sz="4" w:space="1" w:color="auto"/>
          <w:left w:val="single" w:sz="4" w:space="4" w:color="auto"/>
          <w:right w:val="single" w:sz="4" w:space="4" w:color="auto"/>
        </w:pBdr>
        <w:ind w:firstLine="720"/>
        <w:jc w:val="both"/>
        <w:rPr>
          <w:iCs/>
          <w:strike/>
          <w:color w:val="000000"/>
        </w:rPr>
      </w:pPr>
      <w:r>
        <w:rPr>
          <w:bCs/>
        </w:rPr>
        <w:t xml:space="preserve">Kadangi sąskaita gauta tik 2018 metais, o 2014-2017 metais buvo sumokėti tik avansai už vykdomą projektą, todėl </w:t>
      </w:r>
      <w:r>
        <w:rPr>
          <w:iCs/>
          <w:color w:val="000000"/>
        </w:rPr>
        <w:t>2018 metų vieneto apskaičiuotas apmokestinamasis pelnas gali būti mažinamas 300 000 Eur.</w:t>
      </w:r>
    </w:p>
    <w:p w14:paraId="25B87E7C" w14:textId="77777777" w:rsidR="00093845" w:rsidRDefault="000D779E">
      <w:pPr>
        <w:pBdr>
          <w:left w:val="single" w:sz="4" w:space="4" w:color="auto"/>
          <w:bottom w:val="single" w:sz="4" w:space="1" w:color="auto"/>
          <w:right w:val="single" w:sz="4" w:space="4" w:color="auto"/>
        </w:pBdr>
        <w:ind w:firstLine="720"/>
        <w:jc w:val="both"/>
        <w:rPr>
          <w:iCs/>
          <w:color w:val="000000"/>
        </w:rPr>
      </w:pPr>
      <w:r>
        <w:rPr>
          <w:iCs/>
          <w:color w:val="000000"/>
        </w:rPr>
        <w:t>13. Vienetas, kuris prekiauja įrengimais, 2015 metais įsigyja įrengimus, kuriuos perduoda į sandėlį kaip prekes. Pagal 2015 metais gautą sąskaitą šių įrengimų kaina – 100 000 Eur. Įrengimai pagaminti 2015 metais. 2016 metais pradėtas vykdyti investicinis projektas, kuriam įgyvendinti reikalingi šie 2015 metais į sandėlį perduoti įrengimai, todėl jie yra perduodami į statybos aikštelę montuoti. Įrengimai</w:t>
      </w:r>
      <w:r>
        <w:t>,</w:t>
      </w:r>
      <w:r>
        <w:rPr>
          <w:iCs/>
          <w:color w:val="000000"/>
        </w:rPr>
        <w:t xml:space="preserve"> atitinkantys investicinio projekto reikalavimus,</w:t>
      </w:r>
      <w:r>
        <w:t xml:space="preserve"> sumontuojami ir pradedami eksploatuoti 2018 metais.</w:t>
      </w:r>
    </w:p>
    <w:p w14:paraId="31D9174A" w14:textId="77777777" w:rsidR="00093845" w:rsidRDefault="000D779E">
      <w:pPr>
        <w:pBdr>
          <w:left w:val="single" w:sz="4" w:space="4" w:color="auto"/>
          <w:bottom w:val="single" w:sz="4" w:space="1" w:color="auto"/>
          <w:right w:val="single" w:sz="4" w:space="4" w:color="auto"/>
        </w:pBdr>
        <w:ind w:firstLine="720"/>
        <w:jc w:val="both"/>
        <w:rPr>
          <w:iCs/>
          <w:color w:val="000000"/>
        </w:rPr>
      </w:pPr>
      <w:r>
        <w:rPr>
          <w:iCs/>
          <w:color w:val="000000"/>
        </w:rPr>
        <w:t>Vienetas šių įrengimų įsigijimo kaina galės sumažinti 2016 metų apskaičiuotą apmokestinamąjį pelną, t. y. kai įrengimai yra vidiniu apskaitos dokumentu perkelti iš prekių į  „nebaigtos statybos“ sąskaitą.</w:t>
      </w:r>
    </w:p>
    <w:p w14:paraId="705F4D38" w14:textId="77777777" w:rsidR="00093845" w:rsidRDefault="000D779E">
      <w:pPr>
        <w:ind w:firstLine="720"/>
        <w:jc w:val="both"/>
        <w:rPr>
          <w:iCs/>
          <w:color w:val="000000"/>
        </w:rPr>
      </w:pPr>
      <w:r>
        <w:rPr>
          <w:iCs/>
          <w:color w:val="000000"/>
        </w:rPr>
        <w:t>5. Vykdant investicinį projektą, p</w:t>
      </w:r>
      <w:r>
        <w:t>er mokestinį laikotarpį vieneto įsigyto turto faktiška įsigijimo kaina gali būti sumažinamas šio mokestinio laikotarpio apmokestinamasis pelnas, apskaičiuotas</w:t>
      </w:r>
      <w:r>
        <w:rPr>
          <w:iCs/>
          <w:color w:val="000000"/>
        </w:rPr>
        <w:t xml:space="preserve"> PMĮ 11 straipsnyje nustatyta tvarka, t. y. iš pajamų atėmus n</w:t>
      </w:r>
      <w:r>
        <w:t xml:space="preserve">eapmokestinamąsias pajamas, leidžiamus atskaitymus, ribojamų dydžių leidžiamus atskaitymus, įskaitant </w:t>
      </w:r>
      <w:r>
        <w:rPr>
          <w:iCs/>
          <w:color w:val="000000"/>
        </w:rPr>
        <w:t>suteiktą paramą ir ankstesnių metų mokestinių laikotarpių nuostolius.</w:t>
      </w:r>
    </w:p>
    <w:p w14:paraId="1322474C" w14:textId="77777777" w:rsidR="00093845" w:rsidRDefault="000D779E">
      <w:pPr>
        <w:ind w:right="43" w:firstLine="720"/>
        <w:jc w:val="both"/>
      </w:pPr>
      <w:r>
        <w:t>6. Jeigu</w:t>
      </w:r>
      <w:r>
        <w:rPr>
          <w:b/>
          <w:iCs/>
          <w:color w:val="000000"/>
        </w:rPr>
        <w:t xml:space="preserve"> </w:t>
      </w:r>
      <w:r>
        <w:rPr>
          <w:iCs/>
          <w:color w:val="000000"/>
        </w:rPr>
        <w:t xml:space="preserve">investiciniam projektui įgyvendinti reikalingo turto </w:t>
      </w:r>
      <w:r>
        <w:t xml:space="preserve">tam tikra </w:t>
      </w:r>
      <w:r>
        <w:rPr>
          <w:iCs/>
          <w:color w:val="000000"/>
        </w:rPr>
        <w:t xml:space="preserve">įsigijimo kainos dalis yra apmokama finansinės paramos lėšomis, tai </w:t>
      </w:r>
      <w:r>
        <w:t>vieneto turto faktiška įsigijimo kaina turi būti sumažinama šia panaudota finansinės paramos lėšų suma (plačiau žr. šio straipsnio 3 dalies komentarą).</w:t>
      </w:r>
    </w:p>
    <w:p w14:paraId="2515DC18" w14:textId="77777777" w:rsidR="00093845" w:rsidRDefault="000D779E">
      <w:pPr>
        <w:ind w:right="43" w:firstLine="720"/>
        <w:jc w:val="both"/>
      </w:pPr>
      <w:r>
        <w:t xml:space="preserve">7. Investiciniam projektui įgyvendinti reikalingas turtas gali būti įsigyjamas tiek vieneto nuosavomis, tiek skolintomis lėšomis (turto įsigijimas pagal paskolos sutartį, pagal pirkimo–pardavimo sutartį išsimokėtinai arba pagal lizingo (finansinės nuomos), arba nuomos sutartis, kuriose numatytas nuosavybės teisės perėjimas vienetui, apmokėjus visą turto vertę, ir pan.). Tokiais atvejais įsigyjant turtą, apmokestinamasis pelnas gali būti mažinamas per mokestinį laikotarpį vieneto įsigyto turto faktiška įsigijimo kaina, neatsižvelgiant į atliktus mokėjimus. Jeigu pagal sutartį nuosavybės teisės perėjimas vienetui nenumatytas, tokiu atveju toks turtas negali būti </w:t>
      </w:r>
      <w:r>
        <w:rPr>
          <w:iCs/>
          <w:color w:val="000000"/>
        </w:rPr>
        <w:t>laikomas investicinio projekto reikalavimus atitinkančiu turtu.</w:t>
      </w:r>
    </w:p>
    <w:p w14:paraId="52A94202" w14:textId="77777777" w:rsidR="00093845" w:rsidRDefault="000D779E">
      <w:pPr>
        <w:ind w:firstLine="720"/>
        <w:jc w:val="both"/>
      </w:pPr>
      <w:r>
        <w:t>Už skolintas sumas mokamos palūkanos į turto įsigijimo kainą neįeina (atskaitomos iš pajamų kaip leidžiami atskaitymai tą mokestinį laikotarpį, kurį jos faktiškai patiriamos), todėl investicijų lengvata joms netaikoma.</w:t>
      </w:r>
    </w:p>
    <w:p w14:paraId="425636E5" w14:textId="77777777" w:rsidR="00093845" w:rsidRDefault="000D779E">
      <w:pPr>
        <w:ind w:firstLine="720"/>
        <w:jc w:val="both"/>
      </w:pPr>
      <w:r>
        <w:t>14</w:t>
      </w:r>
      <w:r>
        <w:rPr>
          <w:b/>
        </w:rPr>
        <w:t xml:space="preserve"> </w:t>
      </w:r>
      <w:r>
        <w:t>pavyzdys</w:t>
      </w:r>
    </w:p>
    <w:p w14:paraId="0084C5D0"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 xml:space="preserve">Vienetas 2015 metais sudarė lizingo sutartį, pagal kurią įsigijo įrengimus. Pagal 2015 metais iš lizingo bendrovės gautą sąskaitą įrengimų įsigijimo kaina yra 300 000 Eur. Pasibaigus lizingo sutarčiai, įrengimai pereis vieneto nuosavybėn. Įrengimai, atitinkantys investicinio projekto reikalavimus, pradėti </w:t>
      </w:r>
      <w:r>
        <w:rPr>
          <w:bCs/>
        </w:rPr>
        <w:t xml:space="preserve">naudoti </w:t>
      </w:r>
      <w:r>
        <w:rPr>
          <w:iCs/>
          <w:color w:val="000000"/>
        </w:rPr>
        <w:t xml:space="preserve">2015 metais. Prie minėtos lizingo sutarties pridėtame mokėjimų grafike </w:t>
      </w:r>
      <w:r>
        <w:rPr>
          <w:iCs/>
          <w:color w:val="000000"/>
        </w:rPr>
        <w:lastRenderedPageBreak/>
        <w:t>(kuris yra neatsiejama sutarties dalis) nustatyta, kad vienetas šiuos įrengimus privalo išsipirkti per 2015-2017 metus, kiekvienais metais sumokėdamas po 100 000 Eur.</w:t>
      </w:r>
    </w:p>
    <w:p w14:paraId="00A56F25"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strike/>
          <w:color w:val="000000"/>
        </w:rPr>
      </w:pPr>
      <w:r>
        <w:rPr>
          <w:iCs/>
          <w:color w:val="000000"/>
        </w:rPr>
        <w:t>Vieneto 2015 metų apskaičiuotas apmokestinamasis pelnas sumažinamas gautoje sąskaitoje nurodyta turto faktiška įsigijimo kaina 300 000 Eur.</w:t>
      </w:r>
    </w:p>
    <w:p w14:paraId="65A582DB" w14:textId="77777777" w:rsidR="00093845" w:rsidRDefault="00093845">
      <w:pPr>
        <w:tabs>
          <w:tab w:val="left" w:pos="720"/>
          <w:tab w:val="left" w:pos="1077"/>
          <w:tab w:val="left" w:pos="1418"/>
        </w:tabs>
        <w:ind w:firstLine="720"/>
        <w:jc w:val="both"/>
        <w:rPr>
          <w:rFonts w:ascii="TimesLT" w:hAnsi="TimesLT" w:cs="Arial Unicode MS"/>
        </w:rPr>
      </w:pPr>
    </w:p>
    <w:p w14:paraId="1999FB8A" w14:textId="77777777" w:rsidR="00093845" w:rsidRDefault="000D779E" w:rsidP="00DB7D41">
      <w:pPr>
        <w:spacing w:after="0"/>
        <w:ind w:firstLine="720"/>
        <w:jc w:val="both"/>
        <w:rPr>
          <w:b/>
        </w:rPr>
      </w:pPr>
      <w:r>
        <w:rPr>
          <w:b/>
        </w:rPr>
        <w:t>2. Apmokestinamasis pelnas gali būti sumažintas iki 100 procentų. Jei šio straipsnio 1 dalyje nurodytų išlaidų suma yra didesnė negu už mokestinį laikotarpį apskaičiuota apmokestinamojo pelno suma, šią sumą viršijančios išlaidos gali būti perkeliamos už vėlesnius keturis vienas po kito einančius mokestinius laikotarpius apskaičiuotoms apmokestinamojo pelno sumoms sumažinti, atitinkamai mažinant perkeliamą tokių išlaidų sumą. Už kiekvieną mokestinį laikotarpį apskaičiuotas apmokestinamasis pelnas gali būti sumažintas iki 100 procentų.</w:t>
      </w:r>
    </w:p>
    <w:p w14:paraId="43539E8C" w14:textId="77777777" w:rsidR="00093845" w:rsidRPr="00BD467F" w:rsidRDefault="000D779E" w:rsidP="00DB7D41">
      <w:pPr>
        <w:spacing w:after="0"/>
        <w:jc w:val="both"/>
        <w:rPr>
          <w:rFonts w:ascii="Times New (W1)" w:hAnsi="Times New (W1)"/>
          <w:i/>
          <w:iCs/>
          <w:color w:val="000000"/>
        </w:rPr>
      </w:pPr>
      <w:r w:rsidRPr="00BD467F">
        <w:rPr>
          <w:rFonts w:ascii="Times New (W1)" w:hAnsi="Times New (W1)"/>
          <w:i/>
          <w:iCs/>
          <w:color w:val="000000"/>
        </w:rPr>
        <w:t>(</w:t>
      </w:r>
      <w:r w:rsidRPr="00BD467F">
        <w:rPr>
          <w:i/>
          <w:iCs/>
        </w:rPr>
        <w:t>KEISTA:</w:t>
      </w:r>
      <w:r w:rsidRPr="00BD467F">
        <w:rPr>
          <w:i/>
          <w:iCs/>
          <w:lang w:val="lt-LT"/>
        </w:rPr>
        <w:t xml:space="preserve"> </w:t>
      </w:r>
      <w:r w:rsidRPr="00BD467F">
        <w:rPr>
          <w:i/>
          <w:iCs/>
        </w:rPr>
        <w:t>2017 12 07 įstatymu Nr. XIII-842 (nuo 2017 12 23)</w:t>
      </w:r>
      <w:r w:rsidRPr="00BD467F">
        <w:rPr>
          <w:rFonts w:ascii="Times New (W1)" w:hAnsi="Times New (W1)"/>
          <w:i/>
          <w:iCs/>
          <w:color w:val="000000"/>
          <w:lang w:val="lt-LT"/>
        </w:rPr>
        <w:t>,</w:t>
      </w:r>
      <w:r w:rsidRPr="00BD467F">
        <w:rPr>
          <w:rFonts w:ascii="Times New (W1)" w:hAnsi="Times New (W1)"/>
          <w:i/>
          <w:iCs/>
          <w:color w:val="000000"/>
        </w:rPr>
        <w:t xml:space="preserve"> šios dalies nuostatos taikomos apskaičiuojant 2018 metų ir vėlesnių metų mokestinių laikotarpių pelno mokestį)</w:t>
      </w:r>
    </w:p>
    <w:p w14:paraId="79F62A49" w14:textId="77777777" w:rsidR="0014647B" w:rsidRPr="00BD467F" w:rsidRDefault="0014647B" w:rsidP="00DB7D41">
      <w:pPr>
        <w:spacing w:after="0"/>
        <w:jc w:val="both"/>
        <w:rPr>
          <w:rFonts w:ascii="Times New (W1)" w:hAnsi="Times New (W1)"/>
          <w:i/>
          <w:iCs/>
          <w:color w:val="000000"/>
        </w:rPr>
      </w:pPr>
    </w:p>
    <w:p w14:paraId="73C13305" w14:textId="77777777" w:rsidR="00093845" w:rsidRPr="00F31096" w:rsidRDefault="000D779E">
      <w:pPr>
        <w:ind w:firstLine="720"/>
        <w:jc w:val="both"/>
        <w:outlineLvl w:val="0"/>
        <w:rPr>
          <w:b/>
          <w:iCs/>
          <w:color w:val="000000"/>
        </w:rPr>
      </w:pPr>
      <w:r w:rsidRPr="00F31096">
        <w:rPr>
          <w:b/>
          <w:iCs/>
          <w:color w:val="000000"/>
        </w:rPr>
        <w:t>Komentaras</w:t>
      </w:r>
    </w:p>
    <w:p w14:paraId="55CF346F" w14:textId="77777777" w:rsidR="00093845" w:rsidRDefault="000D779E">
      <w:pPr>
        <w:ind w:right="-82" w:firstLine="720"/>
        <w:jc w:val="both"/>
        <w:rPr>
          <w:lang w:val="fr-FR"/>
        </w:rPr>
      </w:pPr>
      <w:r>
        <w:rPr>
          <w:bCs/>
          <w:lang w:val="fr-FR"/>
        </w:rPr>
        <w:t>1. Vieneto 2018 metų ir vėlesnių metų mokestinių laikotarpių apskaičiuotas apmokestinamasis pelnas gali būti sumažintas iki 100 procentų.</w:t>
      </w:r>
    </w:p>
    <w:p w14:paraId="091B7CA4" w14:textId="77777777" w:rsidR="00093845" w:rsidRDefault="000D779E">
      <w:pPr>
        <w:ind w:right="-82" w:firstLine="720"/>
        <w:jc w:val="both"/>
        <w:rPr>
          <w:bCs/>
          <w:lang w:val="fr-FR"/>
        </w:rPr>
      </w:pPr>
      <w:r>
        <w:rPr>
          <w:lang w:val="fr-FR"/>
        </w:rPr>
        <w:t xml:space="preserve">Jeigu per mokestinį laikotarpį vieneto įsigyto turto faktiška įsigijimo kaina yra didesnė nei  </w:t>
      </w:r>
      <w:r>
        <w:rPr>
          <w:bCs/>
          <w:lang w:val="fr-FR"/>
        </w:rPr>
        <w:t xml:space="preserve">už mokestinį laikotarpį apskaičiuota apmokestinamojo </w:t>
      </w:r>
      <w:hyperlink r:id="rId120" w:anchor="211z#211z" w:history="1">
        <w:r>
          <w:rPr>
            <w:bCs/>
            <w:lang w:val="fr-FR"/>
          </w:rPr>
          <w:t>pelno</w:t>
        </w:r>
      </w:hyperlink>
      <w:r>
        <w:rPr>
          <w:bCs/>
          <w:lang w:val="fr-FR"/>
        </w:rPr>
        <w:t xml:space="preserve"> suma, tai šią sumą viršijanti turto įsigijimo kainos dalis gali būti perkeliama </w:t>
      </w:r>
      <w:r>
        <w:rPr>
          <w:lang w:val="fr-FR"/>
        </w:rPr>
        <w:t>ne ilgiau kaip keturis vienas po kito einančius mokestinius metus,</w:t>
      </w:r>
      <w:r>
        <w:rPr>
          <w:bCs/>
          <w:lang w:val="fr-FR"/>
        </w:rPr>
        <w:t xml:space="preserve"> apskaičiuotoms apmokestinamojo </w:t>
      </w:r>
      <w:hyperlink r:id="rId121" w:anchor="212z#212z" w:history="1">
        <w:r>
          <w:rPr>
            <w:bCs/>
            <w:lang w:val="fr-FR"/>
          </w:rPr>
          <w:t>pelno</w:t>
        </w:r>
      </w:hyperlink>
      <w:r>
        <w:rPr>
          <w:bCs/>
          <w:lang w:val="fr-FR"/>
        </w:rPr>
        <w:t xml:space="preserve"> sumoms sumažinti.</w:t>
      </w:r>
    </w:p>
    <w:p w14:paraId="7E894BC8" w14:textId="77777777" w:rsidR="007167A0" w:rsidRDefault="007167A0" w:rsidP="007167A0">
      <w:pPr>
        <w:ind w:right="-82" w:firstLine="720"/>
        <w:jc w:val="both"/>
        <w:rPr>
          <w:bCs/>
          <w:lang w:val="fr-FR"/>
        </w:rPr>
      </w:pPr>
      <w:r w:rsidRPr="00C56433">
        <w:rPr>
          <w:bCs/>
          <w:lang w:val="fr-FR"/>
        </w:rPr>
        <w:t xml:space="preserve">2. Apmokestinamasis pelnas pagal šio straipsnio 4 dalies nuostatą gali būti sumažintas per 2009 – 2028 metų mokestinius laikotarpius vieneto įsigyto </w:t>
      </w:r>
      <w:r>
        <w:rPr>
          <w:bCs/>
          <w:lang w:val="fr-FR"/>
        </w:rPr>
        <w:t xml:space="preserve">turto faktiška įsigijimo kaina. </w:t>
      </w:r>
    </w:p>
    <w:p w14:paraId="742D3E4D" w14:textId="77777777" w:rsidR="001F5349" w:rsidRDefault="007167A0" w:rsidP="001F5349">
      <w:pPr>
        <w:ind w:right="-82" w:firstLine="720"/>
        <w:jc w:val="both"/>
        <w:rPr>
          <w:lang w:val="fr-FR"/>
        </w:rPr>
      </w:pPr>
      <w:r>
        <w:rPr>
          <w:bCs/>
          <w:lang w:val="fr-FR"/>
        </w:rPr>
        <w:t xml:space="preserve">Jeigu </w:t>
      </w:r>
      <w:r>
        <w:rPr>
          <w:lang w:val="fr-FR"/>
        </w:rPr>
        <w:t xml:space="preserve">vienetas įsigyja turtą ne vienerius mokestinius metus, tai kiekvienų mokestinių metų įsigyto turto faktiška įsigijimo kaina (viršijanti </w:t>
      </w:r>
      <w:r>
        <w:rPr>
          <w:bCs/>
          <w:lang w:val="fr-FR"/>
        </w:rPr>
        <w:t xml:space="preserve">už mokestinį laikotarpį apskaičiuoto apmokestinamojo </w:t>
      </w:r>
      <w:hyperlink r:id="rId122" w:anchor="211z#211z" w:history="1">
        <w:r>
          <w:rPr>
            <w:bCs/>
            <w:lang w:val="fr-FR"/>
          </w:rPr>
          <w:t>pelno</w:t>
        </w:r>
      </w:hyperlink>
      <w:r>
        <w:rPr>
          <w:bCs/>
          <w:lang w:val="fr-FR"/>
        </w:rPr>
        <w:t xml:space="preserve"> sumą</w:t>
      </w:r>
      <w:r>
        <w:rPr>
          <w:lang w:val="fr-FR"/>
        </w:rPr>
        <w:t>) perkeliama į kitus mokestinius metus iš eilės ta tvarka, kokia yra įsigyjamas turtas, t. y. pirmiausiai perkeliama anksčiausiai įsigyto turto įsigijimo kaina.</w:t>
      </w:r>
    </w:p>
    <w:p w14:paraId="06BBF98D" w14:textId="77777777" w:rsidR="001F5349" w:rsidRPr="001F5349" w:rsidRDefault="00DF4FE7" w:rsidP="001F5349">
      <w:pPr>
        <w:ind w:right="-82" w:firstLine="720"/>
        <w:jc w:val="both"/>
        <w:rPr>
          <w:lang w:val="fr-FR"/>
        </w:rPr>
      </w:pPr>
      <w:r>
        <w:t>(PMĮ 46-1 straipsnio 2 dalies</w:t>
      </w:r>
      <w:r w:rsidR="001F5349" w:rsidRPr="001F5349">
        <w:t xml:space="preserve"> 2 punkto komentaras pakeistas pagal VMI prie FM 2024-02-01 raštą Nr. (32.42-31-1-Mr) R-409).</w:t>
      </w:r>
    </w:p>
    <w:p w14:paraId="74614726" w14:textId="77777777" w:rsidR="001F5349" w:rsidRPr="007167A0" w:rsidRDefault="001F5349" w:rsidP="007167A0">
      <w:pPr>
        <w:ind w:right="-82" w:firstLine="720"/>
        <w:jc w:val="both"/>
        <w:rPr>
          <w:strike/>
          <w:lang w:val="fr-FR"/>
        </w:rPr>
      </w:pPr>
    </w:p>
    <w:p w14:paraId="52F36E18" w14:textId="77777777" w:rsidR="00093845" w:rsidRDefault="000D779E">
      <w:pPr>
        <w:ind w:right="-82" w:firstLine="720"/>
        <w:jc w:val="both"/>
        <w:rPr>
          <w:b/>
          <w:bCs/>
          <w:lang w:val="fr-FR"/>
        </w:rPr>
      </w:pPr>
      <w:r>
        <w:rPr>
          <w:b/>
          <w:bCs/>
          <w:lang w:val="fr-FR"/>
        </w:rPr>
        <w:t>Pavyzdžiai</w:t>
      </w:r>
    </w:p>
    <w:p w14:paraId="5FD38122" w14:textId="77777777" w:rsidR="00093845" w:rsidRDefault="000D779E">
      <w:pPr>
        <w:ind w:firstLine="720"/>
        <w:jc w:val="both"/>
        <w:rPr>
          <w:i/>
          <w:iCs/>
          <w:color w:val="000000"/>
          <w:lang w:val="fr-FR"/>
        </w:rPr>
      </w:pPr>
      <w:r>
        <w:rPr>
          <w:i/>
          <w:iCs/>
          <w:color w:val="000000"/>
          <w:u w:val="single"/>
          <w:lang w:val="fr-FR"/>
        </w:rPr>
        <w:t>Pastaba</w:t>
      </w:r>
      <w:r>
        <w:rPr>
          <w:i/>
          <w:iCs/>
          <w:color w:val="000000"/>
          <w:lang w:val="fr-FR"/>
        </w:rPr>
        <w:t>. Pavyzdžiuose mokestinis laikotarpis sutampa su kalendoriniais metais.</w:t>
      </w:r>
    </w:p>
    <w:p w14:paraId="500DDD34" w14:textId="77777777" w:rsidR="001F5349" w:rsidRPr="00C56433" w:rsidRDefault="001F5349" w:rsidP="001F5349">
      <w:pPr>
        <w:ind w:firstLine="720"/>
        <w:jc w:val="both"/>
        <w:rPr>
          <w:iCs/>
          <w:color w:val="000000"/>
          <w:lang w:val="fr-FR"/>
        </w:rPr>
      </w:pPr>
      <w:r w:rsidRPr="00C56433">
        <w:rPr>
          <w:iCs/>
          <w:color w:val="000000"/>
          <w:lang w:val="fr-FR"/>
        </w:rPr>
        <w:t xml:space="preserve">1. Vienetas, teikiantis krovinių pervežimo paslaugas, 2022 metais nusprendė plėsti savo vykdomą veiklą, t. y. gaminti mokyklinius baldus. Tuo tikslu 2022 metais pradėtas vykdyti investicinis projektas. Vienetas 2022 - 2024 metais įsigyja turtą, atitinkantį investicinio projekto reikalavimus bei reikalingą šiam investiciniam projektui įgyvendinti, kurio faktiška įsigijimo kaina yra 20 000 Eur. </w:t>
      </w:r>
    </w:p>
    <w:p w14:paraId="3EEBE44A" w14:textId="77777777" w:rsidR="001F5349" w:rsidRPr="00C56433" w:rsidRDefault="001F5349" w:rsidP="001F5349">
      <w:pPr>
        <w:ind w:right="-82" w:firstLine="720"/>
        <w:jc w:val="both"/>
        <w:rPr>
          <w:iCs/>
          <w:color w:val="000000"/>
          <w:lang w:val="fr-FR"/>
        </w:rPr>
      </w:pPr>
      <w:r w:rsidRPr="00C56433">
        <w:rPr>
          <w:lang w:val="fr-FR"/>
        </w:rPr>
        <w:t xml:space="preserve">Toliau pateiktoje lentelėje atvaizduotas 2022 – 2028 metų apskaičiuoto apmokestinamojo pelno sumažinimas vieneto įsigyto turto, reikalingo </w:t>
      </w:r>
      <w:r w:rsidRPr="00C56433">
        <w:rPr>
          <w:iCs/>
          <w:color w:val="000000"/>
          <w:lang w:val="fr-FR"/>
        </w:rPr>
        <w:t>investiciniam projektui įgyvendinti, faktiška įsigijimo kaina, eurais:</w:t>
      </w:r>
    </w:p>
    <w:p w14:paraId="7AA1C0E6" w14:textId="77777777" w:rsidR="001F5349" w:rsidRDefault="001F5349" w:rsidP="001F5349">
      <w:pPr>
        <w:ind w:right="-82" w:firstLine="720"/>
        <w:jc w:val="both"/>
        <w:rPr>
          <w:iCs/>
          <w:color w:val="000000"/>
          <w:lang w:val="fr-FR"/>
        </w:rPr>
      </w:pP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389"/>
        <w:gridCol w:w="1381"/>
        <w:gridCol w:w="1029"/>
        <w:gridCol w:w="951"/>
        <w:gridCol w:w="1080"/>
        <w:gridCol w:w="1080"/>
        <w:gridCol w:w="1194"/>
      </w:tblGrid>
      <w:tr w:rsidR="001F5349" w:rsidRPr="007E512B" w14:paraId="70F51B63" w14:textId="77777777" w:rsidTr="00644C93">
        <w:trPr>
          <w:trHeight w:val="451"/>
        </w:trPr>
        <w:tc>
          <w:tcPr>
            <w:tcW w:w="1838" w:type="dxa"/>
          </w:tcPr>
          <w:p w14:paraId="2A72257A" w14:textId="77777777" w:rsidR="001F5349" w:rsidRPr="00C56433" w:rsidRDefault="001F5349" w:rsidP="00644C93">
            <w:pPr>
              <w:ind w:right="-82"/>
              <w:rPr>
                <w:sz w:val="22"/>
                <w:szCs w:val="22"/>
                <w:lang w:val="lt-LT"/>
              </w:rPr>
            </w:pPr>
            <w:r w:rsidRPr="00C56433">
              <w:rPr>
                <w:sz w:val="22"/>
                <w:szCs w:val="22"/>
                <w:lang w:val="lt-LT"/>
              </w:rPr>
              <w:lastRenderedPageBreak/>
              <w:t>Mokestiniai metai</w:t>
            </w:r>
          </w:p>
        </w:tc>
        <w:tc>
          <w:tcPr>
            <w:tcW w:w="1389" w:type="dxa"/>
          </w:tcPr>
          <w:p w14:paraId="78147EC7" w14:textId="77777777" w:rsidR="001F5349" w:rsidRPr="00C56433" w:rsidRDefault="001F5349" w:rsidP="00644C93">
            <w:pPr>
              <w:ind w:right="-82"/>
              <w:rPr>
                <w:strike/>
                <w:sz w:val="22"/>
                <w:szCs w:val="22"/>
                <w:lang w:val="lt-LT"/>
              </w:rPr>
            </w:pPr>
            <w:r w:rsidRPr="00C56433">
              <w:rPr>
                <w:sz w:val="22"/>
                <w:szCs w:val="22"/>
                <w:lang w:val="lt-LT"/>
              </w:rPr>
              <w:t>2022</w:t>
            </w:r>
          </w:p>
        </w:tc>
        <w:tc>
          <w:tcPr>
            <w:tcW w:w="1381" w:type="dxa"/>
          </w:tcPr>
          <w:p w14:paraId="455080BE" w14:textId="77777777" w:rsidR="001F5349" w:rsidRPr="00C56433" w:rsidRDefault="001F5349" w:rsidP="00644C93">
            <w:pPr>
              <w:ind w:right="-82"/>
              <w:rPr>
                <w:strike/>
                <w:sz w:val="22"/>
                <w:szCs w:val="22"/>
                <w:lang w:val="lt-LT"/>
              </w:rPr>
            </w:pPr>
            <w:r w:rsidRPr="00C56433">
              <w:rPr>
                <w:sz w:val="22"/>
                <w:szCs w:val="22"/>
                <w:lang w:val="lt-LT"/>
              </w:rPr>
              <w:t>2023</w:t>
            </w:r>
          </w:p>
        </w:tc>
        <w:tc>
          <w:tcPr>
            <w:tcW w:w="1029" w:type="dxa"/>
          </w:tcPr>
          <w:p w14:paraId="3C67DAF5" w14:textId="77777777" w:rsidR="001F5349" w:rsidRPr="00C56433" w:rsidRDefault="001F5349" w:rsidP="00644C93">
            <w:pPr>
              <w:ind w:right="-82"/>
              <w:rPr>
                <w:strike/>
                <w:sz w:val="22"/>
                <w:szCs w:val="22"/>
                <w:lang w:val="lt-LT"/>
              </w:rPr>
            </w:pPr>
            <w:r w:rsidRPr="00C56433">
              <w:rPr>
                <w:sz w:val="22"/>
                <w:szCs w:val="22"/>
                <w:lang w:val="lt-LT"/>
              </w:rPr>
              <w:t>2024</w:t>
            </w:r>
          </w:p>
        </w:tc>
        <w:tc>
          <w:tcPr>
            <w:tcW w:w="951" w:type="dxa"/>
          </w:tcPr>
          <w:p w14:paraId="7747ABFD" w14:textId="77777777" w:rsidR="001F5349" w:rsidRPr="00C56433" w:rsidRDefault="001F5349" w:rsidP="00644C93">
            <w:pPr>
              <w:ind w:right="-82"/>
              <w:rPr>
                <w:sz w:val="22"/>
                <w:szCs w:val="22"/>
                <w:lang w:val="lt-LT"/>
              </w:rPr>
            </w:pPr>
            <w:r w:rsidRPr="00C56433">
              <w:rPr>
                <w:sz w:val="22"/>
                <w:szCs w:val="22"/>
                <w:lang w:val="lt-LT"/>
              </w:rPr>
              <w:t>2025</w:t>
            </w:r>
          </w:p>
        </w:tc>
        <w:tc>
          <w:tcPr>
            <w:tcW w:w="1080" w:type="dxa"/>
          </w:tcPr>
          <w:p w14:paraId="139DF197" w14:textId="77777777" w:rsidR="001F5349" w:rsidRPr="00C56433" w:rsidRDefault="001F5349" w:rsidP="00644C93">
            <w:pPr>
              <w:ind w:right="-82"/>
              <w:rPr>
                <w:sz w:val="22"/>
                <w:szCs w:val="22"/>
                <w:lang w:val="lt-LT"/>
              </w:rPr>
            </w:pPr>
            <w:r w:rsidRPr="00C56433">
              <w:rPr>
                <w:sz w:val="22"/>
                <w:szCs w:val="22"/>
                <w:lang w:val="lt-LT"/>
              </w:rPr>
              <w:t>2026</w:t>
            </w:r>
          </w:p>
        </w:tc>
        <w:tc>
          <w:tcPr>
            <w:tcW w:w="1080" w:type="dxa"/>
          </w:tcPr>
          <w:p w14:paraId="2D49D7E4" w14:textId="77777777" w:rsidR="001F5349" w:rsidRPr="00C56433" w:rsidRDefault="001F5349" w:rsidP="00644C93">
            <w:pPr>
              <w:ind w:right="-82"/>
              <w:rPr>
                <w:sz w:val="22"/>
                <w:szCs w:val="22"/>
                <w:lang w:val="lt-LT"/>
              </w:rPr>
            </w:pPr>
            <w:r w:rsidRPr="00C56433">
              <w:rPr>
                <w:sz w:val="22"/>
                <w:szCs w:val="22"/>
                <w:lang w:val="lt-LT"/>
              </w:rPr>
              <w:t>2027</w:t>
            </w:r>
          </w:p>
        </w:tc>
        <w:tc>
          <w:tcPr>
            <w:tcW w:w="1194" w:type="dxa"/>
          </w:tcPr>
          <w:p w14:paraId="04EC1BDA" w14:textId="77777777" w:rsidR="001F5349" w:rsidRPr="00C56433" w:rsidRDefault="001F5349" w:rsidP="00644C93">
            <w:pPr>
              <w:ind w:right="-82"/>
              <w:rPr>
                <w:sz w:val="22"/>
                <w:szCs w:val="22"/>
                <w:lang w:val="lt-LT"/>
              </w:rPr>
            </w:pPr>
            <w:r w:rsidRPr="00C56433">
              <w:rPr>
                <w:sz w:val="22"/>
                <w:szCs w:val="22"/>
                <w:lang w:val="lt-LT"/>
              </w:rPr>
              <w:t>2028</w:t>
            </w:r>
          </w:p>
        </w:tc>
      </w:tr>
      <w:tr w:rsidR="001F5349" w:rsidRPr="007E512B" w14:paraId="54FDF73F" w14:textId="77777777" w:rsidTr="00644C93">
        <w:tc>
          <w:tcPr>
            <w:tcW w:w="1838" w:type="dxa"/>
          </w:tcPr>
          <w:p w14:paraId="062890B7" w14:textId="77777777" w:rsidR="001F5349" w:rsidRPr="00C56433" w:rsidRDefault="001F5349" w:rsidP="00644C93">
            <w:pPr>
              <w:ind w:right="-82"/>
              <w:rPr>
                <w:sz w:val="22"/>
                <w:szCs w:val="22"/>
                <w:lang w:val="lt-LT"/>
              </w:rPr>
            </w:pPr>
            <w:r w:rsidRPr="00C56433">
              <w:rPr>
                <w:sz w:val="22"/>
                <w:szCs w:val="22"/>
                <w:lang w:val="lt-LT"/>
              </w:rPr>
              <w:t>Apmokestinamasis pelnas</w:t>
            </w:r>
          </w:p>
        </w:tc>
        <w:tc>
          <w:tcPr>
            <w:tcW w:w="1389" w:type="dxa"/>
          </w:tcPr>
          <w:p w14:paraId="5D4477BF" w14:textId="77777777" w:rsidR="001F5349" w:rsidRPr="00C56433" w:rsidRDefault="001F5349" w:rsidP="00644C93">
            <w:pPr>
              <w:ind w:right="-82"/>
              <w:rPr>
                <w:sz w:val="22"/>
                <w:szCs w:val="22"/>
                <w:lang w:val="lt-LT"/>
              </w:rPr>
            </w:pPr>
            <w:r w:rsidRPr="00C56433">
              <w:rPr>
                <w:sz w:val="22"/>
                <w:szCs w:val="22"/>
                <w:lang w:val="lt-LT"/>
              </w:rPr>
              <w:t>7 000</w:t>
            </w:r>
          </w:p>
        </w:tc>
        <w:tc>
          <w:tcPr>
            <w:tcW w:w="1381" w:type="dxa"/>
          </w:tcPr>
          <w:p w14:paraId="26B2CE3A" w14:textId="77777777" w:rsidR="001F5349" w:rsidRPr="00C56433" w:rsidRDefault="001F5349" w:rsidP="00644C93">
            <w:pPr>
              <w:ind w:right="-82"/>
              <w:rPr>
                <w:sz w:val="22"/>
                <w:szCs w:val="22"/>
                <w:lang w:val="lt-LT"/>
              </w:rPr>
            </w:pPr>
            <w:r w:rsidRPr="00C56433">
              <w:rPr>
                <w:sz w:val="22"/>
                <w:szCs w:val="22"/>
                <w:lang w:val="lt-LT"/>
              </w:rPr>
              <w:t>8 000</w:t>
            </w:r>
          </w:p>
        </w:tc>
        <w:tc>
          <w:tcPr>
            <w:tcW w:w="1029" w:type="dxa"/>
          </w:tcPr>
          <w:p w14:paraId="349E59DE" w14:textId="77777777" w:rsidR="001F5349" w:rsidRPr="00C56433" w:rsidRDefault="001F5349" w:rsidP="00644C93">
            <w:pPr>
              <w:ind w:right="-82"/>
              <w:rPr>
                <w:sz w:val="22"/>
                <w:szCs w:val="22"/>
                <w:lang w:val="lt-LT"/>
              </w:rPr>
            </w:pPr>
            <w:r w:rsidRPr="00C56433">
              <w:rPr>
                <w:sz w:val="22"/>
                <w:szCs w:val="22"/>
                <w:lang w:val="lt-LT"/>
              </w:rPr>
              <w:t>4 000</w:t>
            </w:r>
          </w:p>
        </w:tc>
        <w:tc>
          <w:tcPr>
            <w:tcW w:w="951" w:type="dxa"/>
          </w:tcPr>
          <w:p w14:paraId="39EA6879" w14:textId="77777777" w:rsidR="001F5349" w:rsidRPr="00C56433" w:rsidRDefault="001F5349" w:rsidP="00644C93">
            <w:pPr>
              <w:ind w:right="-82"/>
              <w:rPr>
                <w:sz w:val="22"/>
                <w:szCs w:val="22"/>
                <w:lang w:val="lt-LT"/>
              </w:rPr>
            </w:pPr>
            <w:r w:rsidRPr="00C56433">
              <w:rPr>
                <w:sz w:val="22"/>
                <w:szCs w:val="22"/>
                <w:lang w:val="lt-LT"/>
              </w:rPr>
              <w:t>- 3 000</w:t>
            </w:r>
          </w:p>
        </w:tc>
        <w:tc>
          <w:tcPr>
            <w:tcW w:w="1080" w:type="dxa"/>
          </w:tcPr>
          <w:p w14:paraId="70B6C717" w14:textId="77777777" w:rsidR="001F5349" w:rsidRPr="00C56433" w:rsidRDefault="001F5349" w:rsidP="00644C93">
            <w:pPr>
              <w:ind w:right="-82"/>
              <w:rPr>
                <w:sz w:val="22"/>
                <w:szCs w:val="22"/>
                <w:lang w:val="lt-LT"/>
              </w:rPr>
            </w:pPr>
            <w:r w:rsidRPr="00C56433">
              <w:rPr>
                <w:sz w:val="22"/>
                <w:szCs w:val="22"/>
                <w:lang w:val="lt-LT"/>
              </w:rPr>
              <w:t xml:space="preserve">2000 </w:t>
            </w:r>
          </w:p>
        </w:tc>
        <w:tc>
          <w:tcPr>
            <w:tcW w:w="1080" w:type="dxa"/>
          </w:tcPr>
          <w:p w14:paraId="2F00B518" w14:textId="77777777" w:rsidR="001F5349" w:rsidRPr="00C56433" w:rsidRDefault="001F5349" w:rsidP="00644C93">
            <w:pPr>
              <w:ind w:right="-82"/>
              <w:rPr>
                <w:sz w:val="22"/>
                <w:szCs w:val="22"/>
                <w:lang w:val="lt-LT"/>
              </w:rPr>
            </w:pPr>
            <w:r w:rsidRPr="00C56433">
              <w:rPr>
                <w:sz w:val="22"/>
                <w:szCs w:val="22"/>
                <w:lang w:val="lt-LT"/>
              </w:rPr>
              <w:t xml:space="preserve">600 </w:t>
            </w:r>
          </w:p>
        </w:tc>
        <w:tc>
          <w:tcPr>
            <w:tcW w:w="1194" w:type="dxa"/>
          </w:tcPr>
          <w:p w14:paraId="49301762" w14:textId="77777777" w:rsidR="001F5349" w:rsidRPr="00C56433" w:rsidRDefault="001F5349" w:rsidP="00644C93">
            <w:pPr>
              <w:ind w:right="-82"/>
              <w:rPr>
                <w:sz w:val="22"/>
                <w:szCs w:val="22"/>
                <w:lang w:val="lt-LT"/>
              </w:rPr>
            </w:pPr>
            <w:r w:rsidRPr="00C56433">
              <w:rPr>
                <w:sz w:val="22"/>
                <w:szCs w:val="22"/>
                <w:lang w:val="lt-LT"/>
              </w:rPr>
              <w:t xml:space="preserve">3 000 </w:t>
            </w:r>
          </w:p>
        </w:tc>
      </w:tr>
      <w:tr w:rsidR="001F5349" w:rsidRPr="007E512B" w14:paraId="64D6732D" w14:textId="77777777" w:rsidTr="00644C93">
        <w:tc>
          <w:tcPr>
            <w:tcW w:w="1838" w:type="dxa"/>
          </w:tcPr>
          <w:p w14:paraId="2E031443" w14:textId="77777777" w:rsidR="001F5349" w:rsidRPr="00C56433" w:rsidRDefault="001F5349" w:rsidP="00644C93">
            <w:pPr>
              <w:ind w:right="-82"/>
              <w:rPr>
                <w:sz w:val="22"/>
                <w:szCs w:val="22"/>
                <w:lang w:val="lt-LT"/>
              </w:rPr>
            </w:pPr>
            <w:r w:rsidRPr="00C56433">
              <w:rPr>
                <w:sz w:val="22"/>
                <w:szCs w:val="22"/>
                <w:lang w:val="lt-LT"/>
              </w:rPr>
              <w:t>Investiciniam projektui reikalingo turto faktiška įsigijimo kaina</w:t>
            </w:r>
          </w:p>
        </w:tc>
        <w:tc>
          <w:tcPr>
            <w:tcW w:w="1389" w:type="dxa"/>
          </w:tcPr>
          <w:p w14:paraId="472D2927" w14:textId="77777777" w:rsidR="001F5349" w:rsidRPr="00C56433" w:rsidRDefault="001F5349" w:rsidP="00644C93">
            <w:pPr>
              <w:ind w:right="-82"/>
              <w:rPr>
                <w:strike/>
                <w:sz w:val="22"/>
                <w:szCs w:val="22"/>
                <w:lang w:val="lt-LT"/>
              </w:rPr>
            </w:pPr>
            <w:r w:rsidRPr="00C56433">
              <w:rPr>
                <w:sz w:val="22"/>
                <w:szCs w:val="22"/>
                <w:lang w:val="lt-LT"/>
              </w:rPr>
              <w:t>8000</w:t>
            </w:r>
          </w:p>
        </w:tc>
        <w:tc>
          <w:tcPr>
            <w:tcW w:w="1381" w:type="dxa"/>
          </w:tcPr>
          <w:p w14:paraId="2A909CB4" w14:textId="77777777" w:rsidR="001F5349" w:rsidRPr="00C56433" w:rsidRDefault="001F5349" w:rsidP="00644C93">
            <w:pPr>
              <w:ind w:right="-82"/>
              <w:rPr>
                <w:sz w:val="22"/>
                <w:szCs w:val="22"/>
                <w:lang w:val="lt-LT"/>
              </w:rPr>
            </w:pPr>
            <w:r w:rsidRPr="00C56433">
              <w:rPr>
                <w:sz w:val="22"/>
                <w:szCs w:val="22"/>
                <w:lang w:val="lt-LT"/>
              </w:rPr>
              <w:t>1 000</w:t>
            </w:r>
          </w:p>
        </w:tc>
        <w:tc>
          <w:tcPr>
            <w:tcW w:w="1029" w:type="dxa"/>
          </w:tcPr>
          <w:p w14:paraId="08D86F93" w14:textId="77777777" w:rsidR="001F5349" w:rsidRPr="00C56433" w:rsidRDefault="001F5349" w:rsidP="00644C93">
            <w:pPr>
              <w:ind w:right="-82"/>
              <w:rPr>
                <w:sz w:val="22"/>
                <w:szCs w:val="22"/>
                <w:lang w:val="lt-LT"/>
              </w:rPr>
            </w:pPr>
            <w:r w:rsidRPr="00C56433">
              <w:rPr>
                <w:sz w:val="22"/>
                <w:szCs w:val="22"/>
                <w:lang w:val="lt-LT"/>
              </w:rPr>
              <w:t xml:space="preserve">11 000 </w:t>
            </w:r>
          </w:p>
        </w:tc>
        <w:tc>
          <w:tcPr>
            <w:tcW w:w="951" w:type="dxa"/>
          </w:tcPr>
          <w:p w14:paraId="723D0722"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2A478E0D"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16215561" w14:textId="77777777" w:rsidR="001F5349" w:rsidRPr="00C56433" w:rsidRDefault="001F5349" w:rsidP="00644C93">
            <w:pPr>
              <w:ind w:right="-82"/>
              <w:rPr>
                <w:sz w:val="22"/>
                <w:szCs w:val="22"/>
                <w:lang w:val="lt-LT"/>
              </w:rPr>
            </w:pPr>
            <w:r w:rsidRPr="00C56433">
              <w:rPr>
                <w:sz w:val="22"/>
                <w:szCs w:val="22"/>
                <w:lang w:val="lt-LT"/>
              </w:rPr>
              <w:t>-</w:t>
            </w:r>
          </w:p>
        </w:tc>
        <w:tc>
          <w:tcPr>
            <w:tcW w:w="1194" w:type="dxa"/>
          </w:tcPr>
          <w:p w14:paraId="17D516C0" w14:textId="77777777" w:rsidR="001F5349" w:rsidRPr="00C56433" w:rsidRDefault="001F5349" w:rsidP="00644C93">
            <w:pPr>
              <w:ind w:right="-82"/>
              <w:rPr>
                <w:sz w:val="22"/>
                <w:szCs w:val="22"/>
                <w:lang w:val="lt-LT"/>
              </w:rPr>
            </w:pPr>
            <w:r w:rsidRPr="00C56433">
              <w:rPr>
                <w:sz w:val="22"/>
                <w:szCs w:val="22"/>
                <w:lang w:val="lt-LT"/>
              </w:rPr>
              <w:t>-</w:t>
            </w:r>
          </w:p>
        </w:tc>
      </w:tr>
      <w:tr w:rsidR="001F5349" w:rsidRPr="007E512B" w14:paraId="5060B7AF" w14:textId="77777777" w:rsidTr="00644C93">
        <w:trPr>
          <w:trHeight w:val="2263"/>
        </w:trPr>
        <w:tc>
          <w:tcPr>
            <w:tcW w:w="1838" w:type="dxa"/>
          </w:tcPr>
          <w:p w14:paraId="120D84BB" w14:textId="77777777" w:rsidR="001F5349" w:rsidRPr="00C56433" w:rsidRDefault="001F5349" w:rsidP="00644C93">
            <w:pPr>
              <w:ind w:right="-82"/>
              <w:rPr>
                <w:sz w:val="22"/>
                <w:szCs w:val="22"/>
                <w:lang w:val="lt-LT"/>
              </w:rPr>
            </w:pPr>
            <w:r w:rsidRPr="00C56433">
              <w:rPr>
                <w:sz w:val="22"/>
                <w:szCs w:val="22"/>
                <w:lang w:val="lt-LT"/>
              </w:rPr>
              <w:t xml:space="preserve">Apmokestinamojo pelno sumažinimas (100 proc.) </w:t>
            </w:r>
          </w:p>
        </w:tc>
        <w:tc>
          <w:tcPr>
            <w:tcW w:w="1389" w:type="dxa"/>
          </w:tcPr>
          <w:p w14:paraId="2BA9A552" w14:textId="77777777" w:rsidR="001F5349" w:rsidRPr="00C56433" w:rsidRDefault="001F5349" w:rsidP="00644C93">
            <w:pPr>
              <w:ind w:right="-82"/>
              <w:rPr>
                <w:sz w:val="22"/>
                <w:szCs w:val="22"/>
                <w:lang w:val="lt-LT"/>
              </w:rPr>
            </w:pPr>
            <w:r w:rsidRPr="00C56433">
              <w:rPr>
                <w:sz w:val="22"/>
                <w:szCs w:val="22"/>
                <w:lang w:val="lt-LT"/>
              </w:rPr>
              <w:t>(7 000 / 100 proc.) =</w:t>
            </w:r>
          </w:p>
          <w:p w14:paraId="2637F4C9" w14:textId="77777777" w:rsidR="001F5349" w:rsidRPr="00C56433" w:rsidRDefault="001F5349" w:rsidP="00644C93">
            <w:pPr>
              <w:ind w:right="-82"/>
              <w:rPr>
                <w:strike/>
                <w:sz w:val="22"/>
                <w:szCs w:val="22"/>
                <w:lang w:val="lt-LT"/>
              </w:rPr>
            </w:pPr>
            <w:r w:rsidRPr="00C56433">
              <w:rPr>
                <w:sz w:val="22"/>
                <w:szCs w:val="22"/>
                <w:lang w:val="lt-LT"/>
              </w:rPr>
              <w:t>7 000</w:t>
            </w:r>
          </w:p>
        </w:tc>
        <w:tc>
          <w:tcPr>
            <w:tcW w:w="1381" w:type="dxa"/>
          </w:tcPr>
          <w:p w14:paraId="4BB68D20" w14:textId="77777777" w:rsidR="001F5349" w:rsidRPr="00C56433" w:rsidRDefault="001F5349" w:rsidP="00644C93">
            <w:pPr>
              <w:ind w:right="-82"/>
              <w:rPr>
                <w:sz w:val="22"/>
                <w:szCs w:val="22"/>
                <w:lang w:val="lt-LT"/>
              </w:rPr>
            </w:pPr>
            <w:r w:rsidRPr="00C56433">
              <w:rPr>
                <w:sz w:val="22"/>
                <w:szCs w:val="22"/>
                <w:lang w:val="lt-LT"/>
              </w:rPr>
              <w:t>(8 000 x100 proc.) =</w:t>
            </w:r>
          </w:p>
          <w:p w14:paraId="3550D0C1" w14:textId="77777777" w:rsidR="001F5349" w:rsidRPr="00C56433" w:rsidRDefault="001F5349" w:rsidP="00644C93">
            <w:pPr>
              <w:ind w:right="-82"/>
              <w:rPr>
                <w:sz w:val="22"/>
                <w:szCs w:val="22"/>
                <w:lang w:val="lt-LT"/>
              </w:rPr>
            </w:pPr>
            <w:r w:rsidRPr="00C56433">
              <w:rPr>
                <w:sz w:val="22"/>
                <w:szCs w:val="22"/>
                <w:lang w:val="lt-LT"/>
              </w:rPr>
              <w:t xml:space="preserve">8 000  (perkeliamas visas 2022 m. įsigyto turto kainos likutis, t. y. </w:t>
            </w:r>
          </w:p>
          <w:p w14:paraId="78654491" w14:textId="77777777" w:rsidR="001F5349" w:rsidRPr="00C56433" w:rsidRDefault="001F5349" w:rsidP="00644C93">
            <w:pPr>
              <w:ind w:right="-82"/>
              <w:rPr>
                <w:sz w:val="22"/>
                <w:szCs w:val="22"/>
                <w:lang w:val="lt-LT"/>
              </w:rPr>
            </w:pPr>
            <w:r w:rsidRPr="00C56433">
              <w:rPr>
                <w:sz w:val="22"/>
                <w:szCs w:val="22"/>
                <w:lang w:val="lt-LT"/>
              </w:rPr>
              <w:t>1 000,</w:t>
            </w:r>
          </w:p>
          <w:p w14:paraId="60046150" w14:textId="77777777" w:rsidR="001F5349" w:rsidRPr="00C56433" w:rsidRDefault="001F5349" w:rsidP="00644C93">
            <w:pPr>
              <w:ind w:right="-82"/>
              <w:rPr>
                <w:sz w:val="22"/>
                <w:szCs w:val="22"/>
                <w:lang w:val="lt-LT"/>
              </w:rPr>
            </w:pPr>
            <w:r w:rsidRPr="00C56433">
              <w:rPr>
                <w:sz w:val="22"/>
                <w:szCs w:val="22"/>
                <w:lang w:val="lt-LT"/>
              </w:rPr>
              <w:t xml:space="preserve">bei 2023 m. turto įsigijimo kaina, t. y. 1 000 </w:t>
            </w:r>
          </w:p>
        </w:tc>
        <w:tc>
          <w:tcPr>
            <w:tcW w:w="1029" w:type="dxa"/>
          </w:tcPr>
          <w:p w14:paraId="231636F8" w14:textId="77777777" w:rsidR="001F5349" w:rsidRPr="00C56433" w:rsidRDefault="001F5349" w:rsidP="00644C93">
            <w:pPr>
              <w:ind w:right="-82"/>
              <w:rPr>
                <w:sz w:val="22"/>
                <w:szCs w:val="22"/>
                <w:lang w:val="lt-LT"/>
              </w:rPr>
            </w:pPr>
            <w:r w:rsidRPr="00C56433">
              <w:rPr>
                <w:sz w:val="22"/>
                <w:szCs w:val="22"/>
                <w:lang w:val="lt-LT"/>
              </w:rPr>
              <w:t>(4 000 x 100 proc.) =</w:t>
            </w:r>
          </w:p>
          <w:p w14:paraId="26479A11" w14:textId="77777777" w:rsidR="001F5349" w:rsidRPr="00C56433" w:rsidRDefault="001F5349" w:rsidP="00644C93">
            <w:pPr>
              <w:ind w:right="-82"/>
              <w:rPr>
                <w:sz w:val="22"/>
                <w:szCs w:val="22"/>
                <w:lang w:val="lt-LT"/>
              </w:rPr>
            </w:pPr>
            <w:r w:rsidRPr="00C56433">
              <w:rPr>
                <w:sz w:val="22"/>
                <w:szCs w:val="22"/>
                <w:lang w:val="lt-LT"/>
              </w:rPr>
              <w:t xml:space="preserve">4 000 </w:t>
            </w:r>
          </w:p>
        </w:tc>
        <w:tc>
          <w:tcPr>
            <w:tcW w:w="951" w:type="dxa"/>
          </w:tcPr>
          <w:p w14:paraId="23EE4D14" w14:textId="77777777" w:rsidR="001F5349" w:rsidRPr="00C56433" w:rsidRDefault="001F5349" w:rsidP="00644C93">
            <w:pPr>
              <w:ind w:right="-82"/>
              <w:rPr>
                <w:sz w:val="22"/>
                <w:szCs w:val="22"/>
                <w:lang w:val="lt-LT"/>
              </w:rPr>
            </w:pPr>
            <w:r w:rsidRPr="00C56433">
              <w:rPr>
                <w:sz w:val="22"/>
                <w:szCs w:val="22"/>
                <w:lang w:val="lt-LT"/>
              </w:rPr>
              <w:t>-</w:t>
            </w:r>
          </w:p>
        </w:tc>
        <w:tc>
          <w:tcPr>
            <w:tcW w:w="1080" w:type="dxa"/>
          </w:tcPr>
          <w:p w14:paraId="080FB603" w14:textId="77777777" w:rsidR="001F5349" w:rsidRPr="00C56433" w:rsidRDefault="001F5349" w:rsidP="00644C93">
            <w:pPr>
              <w:ind w:right="-82"/>
              <w:rPr>
                <w:sz w:val="22"/>
                <w:szCs w:val="22"/>
                <w:lang w:val="lt-LT"/>
              </w:rPr>
            </w:pPr>
            <w:r w:rsidRPr="00C56433">
              <w:rPr>
                <w:sz w:val="22"/>
                <w:szCs w:val="22"/>
                <w:lang w:val="lt-LT"/>
              </w:rPr>
              <w:t>(2 000 x 100 proc.) =</w:t>
            </w:r>
          </w:p>
          <w:p w14:paraId="5DC637FA" w14:textId="77777777" w:rsidR="001F5349" w:rsidRPr="00C56433" w:rsidRDefault="001F5349" w:rsidP="00644C93">
            <w:pPr>
              <w:ind w:right="-82"/>
              <w:rPr>
                <w:sz w:val="22"/>
                <w:szCs w:val="22"/>
                <w:lang w:val="lt-LT"/>
              </w:rPr>
            </w:pPr>
            <w:r w:rsidRPr="00C56433">
              <w:rPr>
                <w:sz w:val="22"/>
                <w:szCs w:val="22"/>
                <w:lang w:val="lt-LT"/>
              </w:rPr>
              <w:t xml:space="preserve">2 000 </w:t>
            </w:r>
          </w:p>
        </w:tc>
        <w:tc>
          <w:tcPr>
            <w:tcW w:w="1080" w:type="dxa"/>
          </w:tcPr>
          <w:p w14:paraId="185E5614" w14:textId="77777777" w:rsidR="001F5349" w:rsidRPr="00C56433" w:rsidRDefault="001F5349" w:rsidP="00644C93">
            <w:pPr>
              <w:ind w:right="-82"/>
              <w:rPr>
                <w:sz w:val="22"/>
                <w:szCs w:val="22"/>
                <w:lang w:val="lt-LT"/>
              </w:rPr>
            </w:pPr>
            <w:r w:rsidRPr="00C56433">
              <w:rPr>
                <w:sz w:val="22"/>
                <w:szCs w:val="22"/>
                <w:lang w:val="lt-LT"/>
              </w:rPr>
              <w:t xml:space="preserve">600 x </w:t>
            </w:r>
          </w:p>
          <w:p w14:paraId="7618F216" w14:textId="77777777" w:rsidR="001F5349" w:rsidRPr="00C56433" w:rsidRDefault="001F5349" w:rsidP="00644C93">
            <w:pPr>
              <w:ind w:right="-82"/>
              <w:rPr>
                <w:sz w:val="22"/>
                <w:szCs w:val="22"/>
                <w:lang w:val="lt-LT"/>
              </w:rPr>
            </w:pPr>
            <w:r w:rsidRPr="00C56433">
              <w:rPr>
                <w:sz w:val="22"/>
                <w:szCs w:val="22"/>
                <w:lang w:val="lt-LT"/>
              </w:rPr>
              <w:t>100 proc.) =</w:t>
            </w:r>
          </w:p>
          <w:p w14:paraId="360C385E" w14:textId="77777777" w:rsidR="001F5349" w:rsidRPr="00C56433" w:rsidRDefault="001F5349" w:rsidP="00644C93">
            <w:pPr>
              <w:ind w:right="-82"/>
              <w:rPr>
                <w:sz w:val="22"/>
                <w:szCs w:val="22"/>
                <w:lang w:val="lt-LT"/>
              </w:rPr>
            </w:pPr>
            <w:r w:rsidRPr="00C56433">
              <w:rPr>
                <w:sz w:val="22"/>
                <w:szCs w:val="22"/>
                <w:lang w:val="lt-LT"/>
              </w:rPr>
              <w:t xml:space="preserve">600      </w:t>
            </w:r>
          </w:p>
          <w:p w14:paraId="0DDB4A17" w14:textId="77777777" w:rsidR="001F5349" w:rsidRPr="00C56433" w:rsidRDefault="001F5349" w:rsidP="00644C93">
            <w:pPr>
              <w:ind w:right="-82"/>
              <w:rPr>
                <w:sz w:val="22"/>
                <w:szCs w:val="22"/>
                <w:lang w:val="lt-LT"/>
              </w:rPr>
            </w:pPr>
          </w:p>
        </w:tc>
        <w:tc>
          <w:tcPr>
            <w:tcW w:w="1194" w:type="dxa"/>
          </w:tcPr>
          <w:p w14:paraId="30B602F6" w14:textId="77777777" w:rsidR="001F5349" w:rsidRPr="00C56433" w:rsidRDefault="001F5349" w:rsidP="00644C93">
            <w:pPr>
              <w:ind w:right="-82"/>
              <w:rPr>
                <w:sz w:val="22"/>
                <w:szCs w:val="22"/>
                <w:lang w:val="lt-LT"/>
              </w:rPr>
            </w:pPr>
            <w:r w:rsidRPr="00C56433">
              <w:rPr>
                <w:sz w:val="22"/>
                <w:szCs w:val="22"/>
                <w:lang w:val="lt-LT"/>
              </w:rPr>
              <w:t xml:space="preserve">(3 000 x 100 </w:t>
            </w:r>
          </w:p>
          <w:p w14:paraId="519C7075" w14:textId="77777777" w:rsidR="001F5349" w:rsidRPr="00C56433" w:rsidRDefault="001F5349" w:rsidP="00644C93">
            <w:pPr>
              <w:ind w:right="-82"/>
              <w:rPr>
                <w:sz w:val="22"/>
                <w:szCs w:val="22"/>
                <w:lang w:val="lt-LT"/>
              </w:rPr>
            </w:pPr>
            <w:r w:rsidRPr="00C56433">
              <w:rPr>
                <w:sz w:val="22"/>
                <w:szCs w:val="22"/>
                <w:lang w:val="lt-LT"/>
              </w:rPr>
              <w:t>proc.) =</w:t>
            </w:r>
          </w:p>
          <w:p w14:paraId="79931137" w14:textId="77777777" w:rsidR="001F5349" w:rsidRPr="00C56433" w:rsidRDefault="001F5349" w:rsidP="00644C93">
            <w:pPr>
              <w:ind w:right="-82"/>
              <w:rPr>
                <w:sz w:val="22"/>
                <w:szCs w:val="22"/>
                <w:lang w:val="lt-LT"/>
              </w:rPr>
            </w:pPr>
            <w:r w:rsidRPr="00C56433">
              <w:rPr>
                <w:sz w:val="22"/>
                <w:szCs w:val="22"/>
                <w:lang w:val="lt-LT"/>
              </w:rPr>
              <w:t xml:space="preserve">3 000 </w:t>
            </w:r>
          </w:p>
          <w:p w14:paraId="1A086D95" w14:textId="77777777" w:rsidR="001F5349" w:rsidRPr="00C56433" w:rsidRDefault="001F5349" w:rsidP="00644C93">
            <w:pPr>
              <w:ind w:right="-82"/>
              <w:rPr>
                <w:sz w:val="22"/>
                <w:szCs w:val="22"/>
                <w:lang w:val="lt-LT"/>
              </w:rPr>
            </w:pPr>
          </w:p>
        </w:tc>
      </w:tr>
      <w:tr w:rsidR="001F5349" w:rsidRPr="007E512B" w14:paraId="1AF824AB" w14:textId="77777777" w:rsidTr="00644C93">
        <w:tc>
          <w:tcPr>
            <w:tcW w:w="1838" w:type="dxa"/>
          </w:tcPr>
          <w:p w14:paraId="29738426" w14:textId="77777777" w:rsidR="001F5349" w:rsidRPr="00C56433" w:rsidRDefault="001F5349" w:rsidP="00644C93">
            <w:pPr>
              <w:ind w:right="-82"/>
              <w:rPr>
                <w:sz w:val="22"/>
                <w:szCs w:val="22"/>
                <w:lang w:val="lt-LT"/>
              </w:rPr>
            </w:pPr>
            <w:r w:rsidRPr="00C56433">
              <w:rPr>
                <w:sz w:val="22"/>
                <w:szCs w:val="22"/>
                <w:lang w:val="lt-LT"/>
              </w:rPr>
              <w:t>Investiciniam projektui reikalingo turto faktiškos įsigijimo kainos likutis perkeliamas į kitus metus</w:t>
            </w:r>
          </w:p>
        </w:tc>
        <w:tc>
          <w:tcPr>
            <w:tcW w:w="1389" w:type="dxa"/>
          </w:tcPr>
          <w:p w14:paraId="4FA17BE6" w14:textId="77777777" w:rsidR="001F5349" w:rsidRPr="00C56433" w:rsidRDefault="001F5349" w:rsidP="00644C93">
            <w:pPr>
              <w:ind w:right="-82"/>
              <w:rPr>
                <w:sz w:val="22"/>
                <w:szCs w:val="22"/>
                <w:lang w:val="lt-LT"/>
              </w:rPr>
            </w:pPr>
            <w:r w:rsidRPr="00C56433">
              <w:rPr>
                <w:sz w:val="22"/>
                <w:szCs w:val="22"/>
                <w:lang w:val="lt-LT"/>
              </w:rPr>
              <w:t>2022 m. – (8 000 –  7 000) = 1 000</w:t>
            </w:r>
          </w:p>
        </w:tc>
        <w:tc>
          <w:tcPr>
            <w:tcW w:w="1381" w:type="dxa"/>
          </w:tcPr>
          <w:p w14:paraId="011AF515" w14:textId="77777777" w:rsidR="001F5349" w:rsidRPr="00C56433" w:rsidRDefault="001F5349" w:rsidP="00644C93">
            <w:pPr>
              <w:ind w:right="-82"/>
              <w:rPr>
                <w:sz w:val="22"/>
                <w:szCs w:val="22"/>
                <w:lang w:val="lt-LT"/>
              </w:rPr>
            </w:pPr>
            <w:r w:rsidRPr="00C56433">
              <w:rPr>
                <w:sz w:val="22"/>
                <w:szCs w:val="22"/>
                <w:lang w:val="lt-LT"/>
              </w:rPr>
              <w:t>-</w:t>
            </w:r>
          </w:p>
        </w:tc>
        <w:tc>
          <w:tcPr>
            <w:tcW w:w="1029" w:type="dxa"/>
          </w:tcPr>
          <w:p w14:paraId="0238E7E5" w14:textId="77777777" w:rsidR="001F5349" w:rsidRPr="00C56433" w:rsidRDefault="001F5349" w:rsidP="00644C93">
            <w:pPr>
              <w:ind w:right="-82"/>
              <w:rPr>
                <w:sz w:val="22"/>
                <w:szCs w:val="22"/>
                <w:lang w:val="lt-LT"/>
              </w:rPr>
            </w:pPr>
            <w:r w:rsidRPr="00C56433">
              <w:rPr>
                <w:sz w:val="22"/>
                <w:szCs w:val="22"/>
                <w:lang w:val="lt-LT"/>
              </w:rPr>
              <w:t xml:space="preserve">2024 m.- (11 000 – </w:t>
            </w:r>
          </w:p>
          <w:p w14:paraId="5C24F7AF" w14:textId="77777777" w:rsidR="001F5349" w:rsidRPr="00C56433" w:rsidRDefault="001F5349" w:rsidP="00644C93">
            <w:pPr>
              <w:ind w:right="-82"/>
              <w:rPr>
                <w:sz w:val="22"/>
                <w:szCs w:val="22"/>
                <w:lang w:val="lt-LT"/>
              </w:rPr>
            </w:pPr>
            <w:r w:rsidRPr="00C56433">
              <w:rPr>
                <w:sz w:val="22"/>
                <w:szCs w:val="22"/>
                <w:lang w:val="lt-LT"/>
              </w:rPr>
              <w:t>4 000) =</w:t>
            </w:r>
          </w:p>
          <w:p w14:paraId="113EE275" w14:textId="77777777" w:rsidR="001F5349" w:rsidRPr="00C56433" w:rsidRDefault="001F5349" w:rsidP="00644C93">
            <w:pPr>
              <w:ind w:right="-82"/>
              <w:rPr>
                <w:sz w:val="22"/>
                <w:szCs w:val="22"/>
                <w:lang w:val="lt-LT"/>
              </w:rPr>
            </w:pPr>
            <w:r w:rsidRPr="00C56433">
              <w:rPr>
                <w:sz w:val="22"/>
                <w:szCs w:val="22"/>
                <w:lang w:val="lt-LT"/>
              </w:rPr>
              <w:t xml:space="preserve">7 000  </w:t>
            </w:r>
          </w:p>
          <w:p w14:paraId="3482609F" w14:textId="77777777" w:rsidR="001F5349" w:rsidRPr="00C56433" w:rsidRDefault="001F5349" w:rsidP="00644C93">
            <w:pPr>
              <w:ind w:right="-82"/>
              <w:rPr>
                <w:sz w:val="22"/>
                <w:szCs w:val="22"/>
                <w:lang w:val="lt-LT"/>
              </w:rPr>
            </w:pPr>
          </w:p>
        </w:tc>
        <w:tc>
          <w:tcPr>
            <w:tcW w:w="951" w:type="dxa"/>
          </w:tcPr>
          <w:p w14:paraId="08C17D7F" w14:textId="77777777" w:rsidR="001F5349" w:rsidRPr="00C56433" w:rsidRDefault="001F5349" w:rsidP="00644C93">
            <w:pPr>
              <w:ind w:right="-82"/>
              <w:rPr>
                <w:sz w:val="22"/>
                <w:szCs w:val="22"/>
                <w:lang w:val="lt-LT"/>
              </w:rPr>
            </w:pPr>
            <w:r w:rsidRPr="00C56433">
              <w:rPr>
                <w:sz w:val="22"/>
                <w:szCs w:val="22"/>
                <w:lang w:val="lt-LT"/>
              </w:rPr>
              <w:t>2024 m.</w:t>
            </w:r>
            <w:r w:rsidRPr="00C56433">
              <w:rPr>
                <w:strike/>
                <w:sz w:val="22"/>
                <w:szCs w:val="22"/>
                <w:lang w:val="lt-LT"/>
              </w:rPr>
              <w:t xml:space="preserve">  </w:t>
            </w:r>
            <w:r w:rsidRPr="00C56433">
              <w:rPr>
                <w:sz w:val="22"/>
                <w:szCs w:val="22"/>
                <w:lang w:val="lt-LT"/>
              </w:rPr>
              <w:t>– 7 000</w:t>
            </w:r>
          </w:p>
          <w:p w14:paraId="01F81A6D" w14:textId="77777777" w:rsidR="001F5349" w:rsidRPr="00C56433" w:rsidRDefault="001F5349" w:rsidP="00644C93">
            <w:pPr>
              <w:ind w:right="-82"/>
              <w:rPr>
                <w:sz w:val="22"/>
                <w:szCs w:val="22"/>
                <w:lang w:val="lt-LT"/>
              </w:rPr>
            </w:pPr>
          </w:p>
        </w:tc>
        <w:tc>
          <w:tcPr>
            <w:tcW w:w="1080" w:type="dxa"/>
          </w:tcPr>
          <w:p w14:paraId="261A7E4C" w14:textId="77777777" w:rsidR="001F5349" w:rsidRPr="00C56433" w:rsidRDefault="001F5349" w:rsidP="00644C93">
            <w:pPr>
              <w:ind w:right="-82"/>
              <w:rPr>
                <w:sz w:val="22"/>
                <w:szCs w:val="22"/>
                <w:lang w:val="lt-LT"/>
              </w:rPr>
            </w:pPr>
            <w:r w:rsidRPr="00C56433">
              <w:rPr>
                <w:sz w:val="22"/>
                <w:szCs w:val="22"/>
                <w:lang w:val="lt-LT"/>
              </w:rPr>
              <w:t xml:space="preserve">2024 m. </w:t>
            </w:r>
          </w:p>
          <w:p w14:paraId="616BF404" w14:textId="77777777" w:rsidR="001F5349" w:rsidRPr="00C56433" w:rsidRDefault="001F5349" w:rsidP="00644C93">
            <w:pPr>
              <w:ind w:right="-82"/>
              <w:rPr>
                <w:sz w:val="22"/>
                <w:szCs w:val="22"/>
                <w:lang w:val="lt-LT"/>
              </w:rPr>
            </w:pPr>
            <w:r w:rsidRPr="00C56433">
              <w:rPr>
                <w:sz w:val="22"/>
                <w:szCs w:val="22"/>
                <w:lang w:val="lt-LT"/>
              </w:rPr>
              <w:t>(7 000 –  2 000) =</w:t>
            </w:r>
          </w:p>
          <w:p w14:paraId="057D1619" w14:textId="77777777" w:rsidR="001F5349" w:rsidRPr="00C56433" w:rsidRDefault="001F5349" w:rsidP="00644C93">
            <w:pPr>
              <w:ind w:right="-82"/>
              <w:rPr>
                <w:sz w:val="22"/>
                <w:szCs w:val="22"/>
                <w:lang w:val="lt-LT"/>
              </w:rPr>
            </w:pPr>
            <w:r w:rsidRPr="00C56433">
              <w:rPr>
                <w:sz w:val="22"/>
                <w:szCs w:val="22"/>
                <w:lang w:val="lt-LT"/>
              </w:rPr>
              <w:t>5 000</w:t>
            </w:r>
          </w:p>
          <w:p w14:paraId="2AC56BFD" w14:textId="77777777" w:rsidR="001F5349" w:rsidRPr="00C56433" w:rsidRDefault="001F5349" w:rsidP="00644C93">
            <w:pPr>
              <w:ind w:right="-82"/>
              <w:rPr>
                <w:sz w:val="22"/>
                <w:szCs w:val="22"/>
                <w:lang w:val="lt-LT"/>
              </w:rPr>
            </w:pPr>
          </w:p>
          <w:p w14:paraId="72CC9782" w14:textId="77777777" w:rsidR="001F5349" w:rsidRPr="00C56433" w:rsidRDefault="001F5349" w:rsidP="00644C93">
            <w:pPr>
              <w:ind w:right="-82"/>
              <w:rPr>
                <w:sz w:val="22"/>
                <w:szCs w:val="22"/>
                <w:lang w:val="lt-LT"/>
              </w:rPr>
            </w:pPr>
          </w:p>
        </w:tc>
        <w:tc>
          <w:tcPr>
            <w:tcW w:w="1080" w:type="dxa"/>
          </w:tcPr>
          <w:p w14:paraId="2DDD44D2" w14:textId="77777777" w:rsidR="001F5349" w:rsidRPr="00C56433" w:rsidRDefault="001F5349" w:rsidP="00644C93">
            <w:pPr>
              <w:ind w:right="-82"/>
              <w:rPr>
                <w:sz w:val="22"/>
                <w:szCs w:val="22"/>
                <w:lang w:val="lt-LT"/>
              </w:rPr>
            </w:pPr>
            <w:r w:rsidRPr="00C56433">
              <w:rPr>
                <w:sz w:val="22"/>
                <w:szCs w:val="22"/>
                <w:lang w:val="lt-LT"/>
              </w:rPr>
              <w:t xml:space="preserve">2024 m. </w:t>
            </w:r>
          </w:p>
          <w:p w14:paraId="1CA60A07" w14:textId="77777777" w:rsidR="001F5349" w:rsidRPr="00C56433" w:rsidRDefault="001F5349" w:rsidP="00644C93">
            <w:pPr>
              <w:ind w:right="-82"/>
              <w:rPr>
                <w:sz w:val="22"/>
                <w:szCs w:val="22"/>
                <w:lang w:val="lt-LT"/>
              </w:rPr>
            </w:pPr>
            <w:r w:rsidRPr="00C56433">
              <w:rPr>
                <w:sz w:val="22"/>
                <w:szCs w:val="22"/>
                <w:lang w:val="lt-LT"/>
              </w:rPr>
              <w:t xml:space="preserve">(5 000 – 600) = </w:t>
            </w:r>
          </w:p>
          <w:p w14:paraId="28DB6AF0" w14:textId="77777777" w:rsidR="001F5349" w:rsidRPr="00C56433" w:rsidRDefault="001F5349" w:rsidP="00644C93">
            <w:pPr>
              <w:ind w:right="-82"/>
              <w:rPr>
                <w:sz w:val="22"/>
                <w:szCs w:val="22"/>
                <w:lang w:val="lt-LT"/>
              </w:rPr>
            </w:pPr>
            <w:r w:rsidRPr="00C56433">
              <w:rPr>
                <w:sz w:val="22"/>
                <w:szCs w:val="22"/>
                <w:lang w:val="lt-LT"/>
              </w:rPr>
              <w:t>4 400</w:t>
            </w:r>
          </w:p>
          <w:p w14:paraId="04A23C1A" w14:textId="77777777" w:rsidR="001F5349" w:rsidRPr="00C56433" w:rsidRDefault="001F5349" w:rsidP="00644C93">
            <w:pPr>
              <w:ind w:right="-82"/>
              <w:rPr>
                <w:sz w:val="22"/>
                <w:szCs w:val="22"/>
                <w:lang w:val="lt-LT"/>
              </w:rPr>
            </w:pPr>
          </w:p>
          <w:p w14:paraId="5EE86CC9" w14:textId="77777777" w:rsidR="001F5349" w:rsidRPr="00C56433" w:rsidRDefault="001F5349" w:rsidP="00644C93">
            <w:pPr>
              <w:ind w:right="-82"/>
              <w:rPr>
                <w:sz w:val="22"/>
                <w:szCs w:val="22"/>
                <w:lang w:val="lt-LT"/>
              </w:rPr>
            </w:pPr>
            <w:r w:rsidRPr="00C56433">
              <w:rPr>
                <w:sz w:val="22"/>
                <w:szCs w:val="22"/>
                <w:lang w:val="lt-LT"/>
              </w:rPr>
              <w:t xml:space="preserve"> </w:t>
            </w:r>
          </w:p>
        </w:tc>
        <w:tc>
          <w:tcPr>
            <w:tcW w:w="1194" w:type="dxa"/>
          </w:tcPr>
          <w:p w14:paraId="15A255D4" w14:textId="77777777" w:rsidR="001F5349" w:rsidRPr="00C56433" w:rsidRDefault="001F5349" w:rsidP="00644C93">
            <w:pPr>
              <w:ind w:right="-82"/>
              <w:rPr>
                <w:sz w:val="22"/>
                <w:szCs w:val="22"/>
                <w:lang w:val="lt-LT"/>
              </w:rPr>
            </w:pPr>
            <w:r w:rsidRPr="00C56433">
              <w:rPr>
                <w:sz w:val="22"/>
                <w:szCs w:val="22"/>
                <w:lang w:val="lt-LT"/>
              </w:rPr>
              <w:t xml:space="preserve">2024 m. </w:t>
            </w:r>
          </w:p>
          <w:p w14:paraId="0FC374B2" w14:textId="77777777" w:rsidR="001F5349" w:rsidRPr="00C56433" w:rsidRDefault="001F5349" w:rsidP="00644C93">
            <w:pPr>
              <w:ind w:right="-82"/>
              <w:rPr>
                <w:sz w:val="22"/>
                <w:szCs w:val="22"/>
                <w:lang w:val="lt-LT"/>
              </w:rPr>
            </w:pPr>
            <w:r w:rsidRPr="00C56433">
              <w:rPr>
                <w:sz w:val="22"/>
                <w:szCs w:val="22"/>
                <w:lang w:val="lt-LT"/>
              </w:rPr>
              <w:t xml:space="preserve">(4 400 -3 000)  = </w:t>
            </w:r>
          </w:p>
          <w:p w14:paraId="58607980" w14:textId="77777777" w:rsidR="001F5349" w:rsidRPr="00C56433" w:rsidRDefault="001F5349" w:rsidP="00644C93">
            <w:pPr>
              <w:ind w:right="-82"/>
              <w:rPr>
                <w:sz w:val="22"/>
                <w:szCs w:val="22"/>
                <w:lang w:val="lt-LT"/>
              </w:rPr>
            </w:pPr>
            <w:r w:rsidRPr="00C56433">
              <w:rPr>
                <w:sz w:val="22"/>
                <w:szCs w:val="22"/>
                <w:lang w:val="lt-LT"/>
              </w:rPr>
              <w:t xml:space="preserve"> 1 400 </w:t>
            </w:r>
          </w:p>
          <w:p w14:paraId="0821FD1E" w14:textId="77777777" w:rsidR="001F5349" w:rsidRPr="00C56433" w:rsidRDefault="001F5349" w:rsidP="00644C93">
            <w:pPr>
              <w:ind w:right="-82"/>
              <w:rPr>
                <w:sz w:val="22"/>
                <w:szCs w:val="22"/>
                <w:lang w:val="lt-LT"/>
              </w:rPr>
            </w:pPr>
            <w:r w:rsidRPr="00C56433">
              <w:rPr>
                <w:sz w:val="22"/>
                <w:szCs w:val="22"/>
                <w:lang w:val="lt-LT"/>
              </w:rPr>
              <w:t>(šis likutis neperkelia-mas į kitus metus)</w:t>
            </w:r>
          </w:p>
        </w:tc>
      </w:tr>
    </w:tbl>
    <w:p w14:paraId="3CA37383" w14:textId="77777777" w:rsidR="001F5349" w:rsidRPr="007E512B" w:rsidRDefault="001F5349" w:rsidP="001F5349">
      <w:pPr>
        <w:ind w:right="-82" w:firstLine="720"/>
        <w:jc w:val="both"/>
        <w:rPr>
          <w:bCs/>
          <w:sz w:val="22"/>
          <w:szCs w:val="22"/>
          <w:lang w:val="lt-LT"/>
        </w:rPr>
      </w:pPr>
    </w:p>
    <w:p w14:paraId="659335B0" w14:textId="77777777" w:rsidR="001F5349" w:rsidRDefault="001F5349" w:rsidP="001F5349">
      <w:pPr>
        <w:ind w:right="-82" w:firstLine="720"/>
        <w:jc w:val="both"/>
        <w:rPr>
          <w:bCs/>
          <w:lang w:val="lt-LT"/>
        </w:rPr>
      </w:pPr>
      <w:r w:rsidRPr="005A7B21">
        <w:rPr>
          <w:bCs/>
          <w:lang w:val="lt-LT"/>
        </w:rPr>
        <w:t>Kadangi vienetas pagal šio straipsnio 2 dalies nuostatas 2024 metais įsigyto turto faktišką įsigijimo kainą gali perkelti tik iki 2028 metų, tai likusia neperkelta 1 400 Eur šios kainos dalimi 2029 metų apskaičiuotas apmokestinamasis pelnas nemažinamas.</w:t>
      </w:r>
    </w:p>
    <w:p w14:paraId="5B7F9D9E" w14:textId="77777777" w:rsidR="000959A1" w:rsidRPr="000959A1" w:rsidRDefault="000959A1" w:rsidP="000959A1">
      <w:pPr>
        <w:ind w:right="-82" w:firstLine="720"/>
        <w:jc w:val="both"/>
        <w:rPr>
          <w:lang w:val="fr-FR"/>
        </w:rPr>
      </w:pPr>
      <w:r w:rsidRPr="001F5349">
        <w:t>(PMĮ 46-1 straip</w:t>
      </w:r>
      <w:r w:rsidR="00DF4FE7">
        <w:t xml:space="preserve">snio 2 dalies 2 </w:t>
      </w:r>
      <w:r>
        <w:t>punkto komentaro 1 pavyzdys</w:t>
      </w:r>
      <w:r w:rsidRPr="001F5349">
        <w:t xml:space="preserve"> pakeistas pagal VMI prie FM 2024-02-01 raštą Nr. (32.42-31-1-Mr) R-409).</w:t>
      </w:r>
    </w:p>
    <w:p w14:paraId="49CE99D4" w14:textId="77777777" w:rsidR="00093845" w:rsidRDefault="000D779E">
      <w:pPr>
        <w:ind w:firstLine="720"/>
        <w:jc w:val="both"/>
        <w:rPr>
          <w:iCs/>
          <w:color w:val="000000"/>
        </w:rPr>
      </w:pPr>
      <w:r>
        <w:rPr>
          <w:bCs/>
        </w:rPr>
        <w:t xml:space="preserve">2. </w:t>
      </w:r>
      <w:r>
        <w:rPr>
          <w:iCs/>
          <w:color w:val="000000"/>
        </w:rPr>
        <w:t xml:space="preserve">Vienetas nusprendė plėsti gamybos apimtis ir sukurti papildomas darbo vietas. Tuo tikslu 2016 metais pradėtas vykdyti investicinis projektas. Šiam investiciniam projektui įgyvendinti 2016 metais įsigytas turtas, atitinkantis investicinio projekto reikalavimus, kuris instaliuotas ir pradėtas </w:t>
      </w:r>
      <w:r>
        <w:rPr>
          <w:bCs/>
        </w:rPr>
        <w:t xml:space="preserve">naudoti </w:t>
      </w:r>
      <w:r>
        <w:rPr>
          <w:iCs/>
          <w:color w:val="000000"/>
        </w:rPr>
        <w:t>2017 metais. Vieneto 2016 metais įsigyto turto, reikalingo šiam investiciniam projektui įgyvendinti, faktiška įsigijimo kaina yra 7 000 Eur. Pagal 2017 metais gautą sąskaitą šio turto instaliavimo ir paleidimo išlaidos – 3 500 Eur. 2019 metais vienetas, dar plėsdamas gamybos apimtis, įsigyja investicinio projekto reikalavimus atitinkantį turtą, kurio faktiška įsigijimo kaina yra 4000 Eur.</w:t>
      </w:r>
      <w:r>
        <w:rPr>
          <w:iCs/>
          <w:strike/>
          <w:color w:val="000000"/>
        </w:rPr>
        <w:t xml:space="preserve"> </w:t>
      </w:r>
    </w:p>
    <w:p w14:paraId="15F03548" w14:textId="77777777" w:rsidR="00093845" w:rsidRDefault="000D779E">
      <w:pPr>
        <w:ind w:right="-82" w:firstLine="720"/>
        <w:jc w:val="both"/>
        <w:rPr>
          <w:iCs/>
          <w:color w:val="000000"/>
        </w:rPr>
      </w:pPr>
      <w:r>
        <w:lastRenderedPageBreak/>
        <w:t xml:space="preserve">Toliau pateiktoje lentelėje atvaizduotas 2016–2021 metų apskaičiuoto apmokestinamojo pelno sumažinimas vieneto įsigyto turto, reikalingo </w:t>
      </w:r>
      <w:r>
        <w:rPr>
          <w:iCs/>
          <w:color w:val="000000"/>
        </w:rPr>
        <w:t>investiciniam projektui įgyvendinti, faktiška įsigijimo kaina, eurais:</w:t>
      </w:r>
    </w:p>
    <w:p w14:paraId="3B38C7C6" w14:textId="77777777" w:rsidR="00093845" w:rsidRDefault="00093845">
      <w:pPr>
        <w:ind w:right="-82" w:firstLine="720"/>
        <w:jc w:val="both"/>
        <w:rPr>
          <w:iCs/>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1207"/>
        <w:gridCol w:w="1260"/>
        <w:gridCol w:w="1260"/>
        <w:gridCol w:w="1080"/>
        <w:gridCol w:w="1307"/>
        <w:gridCol w:w="1213"/>
      </w:tblGrid>
      <w:tr w:rsidR="00093845" w14:paraId="0E2ADBA5" w14:textId="77777777">
        <w:tc>
          <w:tcPr>
            <w:tcW w:w="1961" w:type="dxa"/>
          </w:tcPr>
          <w:p w14:paraId="0C54CEC0" w14:textId="77777777" w:rsidR="00093845" w:rsidRDefault="000D779E">
            <w:pPr>
              <w:ind w:right="-82"/>
              <w:rPr>
                <w:sz w:val="22"/>
                <w:szCs w:val="22"/>
              </w:rPr>
            </w:pPr>
            <w:r>
              <w:rPr>
                <w:sz w:val="22"/>
                <w:szCs w:val="22"/>
              </w:rPr>
              <w:t>Mokestiniai metai</w:t>
            </w:r>
          </w:p>
        </w:tc>
        <w:tc>
          <w:tcPr>
            <w:tcW w:w="1207" w:type="dxa"/>
          </w:tcPr>
          <w:p w14:paraId="2C8C4ABB" w14:textId="77777777" w:rsidR="00093845" w:rsidRDefault="000D779E">
            <w:pPr>
              <w:ind w:right="-82"/>
              <w:rPr>
                <w:sz w:val="22"/>
                <w:szCs w:val="22"/>
              </w:rPr>
            </w:pPr>
            <w:r>
              <w:rPr>
                <w:sz w:val="22"/>
                <w:szCs w:val="22"/>
              </w:rPr>
              <w:t>2016</w:t>
            </w:r>
          </w:p>
        </w:tc>
        <w:tc>
          <w:tcPr>
            <w:tcW w:w="1260" w:type="dxa"/>
          </w:tcPr>
          <w:p w14:paraId="1D1BBD81" w14:textId="77777777" w:rsidR="00093845" w:rsidRDefault="000D779E">
            <w:pPr>
              <w:ind w:right="-82"/>
              <w:rPr>
                <w:sz w:val="22"/>
                <w:szCs w:val="22"/>
              </w:rPr>
            </w:pPr>
            <w:r>
              <w:rPr>
                <w:sz w:val="22"/>
                <w:szCs w:val="22"/>
              </w:rPr>
              <w:t>2017</w:t>
            </w:r>
          </w:p>
        </w:tc>
        <w:tc>
          <w:tcPr>
            <w:tcW w:w="1260" w:type="dxa"/>
          </w:tcPr>
          <w:p w14:paraId="4C41C1F9" w14:textId="77777777" w:rsidR="00093845" w:rsidRDefault="000D779E">
            <w:pPr>
              <w:ind w:right="-82"/>
              <w:rPr>
                <w:sz w:val="22"/>
                <w:szCs w:val="22"/>
              </w:rPr>
            </w:pPr>
            <w:r>
              <w:rPr>
                <w:sz w:val="22"/>
                <w:szCs w:val="22"/>
              </w:rPr>
              <w:t>2018</w:t>
            </w:r>
          </w:p>
        </w:tc>
        <w:tc>
          <w:tcPr>
            <w:tcW w:w="1080" w:type="dxa"/>
          </w:tcPr>
          <w:p w14:paraId="11BB4B92" w14:textId="77777777" w:rsidR="00093845" w:rsidRDefault="000D779E">
            <w:pPr>
              <w:ind w:right="-82"/>
              <w:rPr>
                <w:sz w:val="22"/>
                <w:szCs w:val="22"/>
              </w:rPr>
            </w:pPr>
            <w:r>
              <w:rPr>
                <w:sz w:val="22"/>
                <w:szCs w:val="22"/>
              </w:rPr>
              <w:t>2019</w:t>
            </w:r>
          </w:p>
        </w:tc>
        <w:tc>
          <w:tcPr>
            <w:tcW w:w="1307" w:type="dxa"/>
          </w:tcPr>
          <w:p w14:paraId="594ED8E9" w14:textId="77777777" w:rsidR="00093845" w:rsidRDefault="000D779E">
            <w:pPr>
              <w:ind w:right="-82"/>
              <w:rPr>
                <w:sz w:val="22"/>
                <w:szCs w:val="22"/>
              </w:rPr>
            </w:pPr>
            <w:r>
              <w:rPr>
                <w:sz w:val="22"/>
                <w:szCs w:val="22"/>
              </w:rPr>
              <w:t>2020</w:t>
            </w:r>
          </w:p>
        </w:tc>
        <w:tc>
          <w:tcPr>
            <w:tcW w:w="1213" w:type="dxa"/>
          </w:tcPr>
          <w:p w14:paraId="40E43750" w14:textId="77777777" w:rsidR="00093845" w:rsidRDefault="000D779E">
            <w:pPr>
              <w:ind w:right="-82"/>
              <w:rPr>
                <w:sz w:val="22"/>
                <w:szCs w:val="22"/>
              </w:rPr>
            </w:pPr>
            <w:r>
              <w:rPr>
                <w:sz w:val="22"/>
                <w:szCs w:val="22"/>
              </w:rPr>
              <w:t>2021</w:t>
            </w:r>
          </w:p>
        </w:tc>
      </w:tr>
      <w:tr w:rsidR="00093845" w14:paraId="498F777F" w14:textId="77777777">
        <w:tc>
          <w:tcPr>
            <w:tcW w:w="1961" w:type="dxa"/>
          </w:tcPr>
          <w:p w14:paraId="1D390BC8" w14:textId="77777777" w:rsidR="00093845" w:rsidRDefault="000D779E">
            <w:pPr>
              <w:ind w:right="-82"/>
              <w:rPr>
                <w:sz w:val="22"/>
                <w:szCs w:val="22"/>
              </w:rPr>
            </w:pPr>
            <w:r>
              <w:rPr>
                <w:sz w:val="22"/>
                <w:szCs w:val="22"/>
              </w:rPr>
              <w:t xml:space="preserve">Apmokestinamasis pelnas </w:t>
            </w:r>
          </w:p>
        </w:tc>
        <w:tc>
          <w:tcPr>
            <w:tcW w:w="1207" w:type="dxa"/>
          </w:tcPr>
          <w:p w14:paraId="3085AC08" w14:textId="77777777" w:rsidR="00093845" w:rsidRDefault="000D779E">
            <w:pPr>
              <w:ind w:right="-82"/>
              <w:rPr>
                <w:sz w:val="22"/>
                <w:szCs w:val="22"/>
              </w:rPr>
            </w:pPr>
            <w:r>
              <w:rPr>
                <w:sz w:val="22"/>
                <w:szCs w:val="22"/>
              </w:rPr>
              <w:t>3 000</w:t>
            </w:r>
          </w:p>
        </w:tc>
        <w:tc>
          <w:tcPr>
            <w:tcW w:w="1260" w:type="dxa"/>
          </w:tcPr>
          <w:p w14:paraId="13258779" w14:textId="77777777" w:rsidR="00093845" w:rsidRDefault="000D779E">
            <w:pPr>
              <w:ind w:right="-82"/>
              <w:rPr>
                <w:sz w:val="22"/>
                <w:szCs w:val="22"/>
              </w:rPr>
            </w:pPr>
            <w:r>
              <w:rPr>
                <w:sz w:val="22"/>
                <w:szCs w:val="22"/>
              </w:rPr>
              <w:t xml:space="preserve">-13 000 </w:t>
            </w:r>
          </w:p>
        </w:tc>
        <w:tc>
          <w:tcPr>
            <w:tcW w:w="1260" w:type="dxa"/>
          </w:tcPr>
          <w:p w14:paraId="21CAFB42" w14:textId="77777777" w:rsidR="00093845" w:rsidRDefault="000D779E">
            <w:pPr>
              <w:ind w:right="-82"/>
              <w:rPr>
                <w:sz w:val="22"/>
                <w:szCs w:val="22"/>
              </w:rPr>
            </w:pPr>
            <w:r>
              <w:rPr>
                <w:sz w:val="22"/>
                <w:szCs w:val="22"/>
              </w:rPr>
              <w:t xml:space="preserve">10 000 </w:t>
            </w:r>
          </w:p>
        </w:tc>
        <w:tc>
          <w:tcPr>
            <w:tcW w:w="1080" w:type="dxa"/>
          </w:tcPr>
          <w:p w14:paraId="0315E5B4" w14:textId="77777777" w:rsidR="00093845" w:rsidRDefault="000D779E">
            <w:pPr>
              <w:ind w:right="-82"/>
              <w:rPr>
                <w:sz w:val="22"/>
                <w:szCs w:val="22"/>
              </w:rPr>
            </w:pPr>
            <w:r>
              <w:rPr>
                <w:sz w:val="22"/>
                <w:szCs w:val="22"/>
              </w:rPr>
              <w:t xml:space="preserve">-5 000 </w:t>
            </w:r>
          </w:p>
        </w:tc>
        <w:tc>
          <w:tcPr>
            <w:tcW w:w="1307" w:type="dxa"/>
          </w:tcPr>
          <w:p w14:paraId="7A19CBE1" w14:textId="77777777" w:rsidR="00093845" w:rsidRDefault="000D779E">
            <w:pPr>
              <w:ind w:right="-82"/>
              <w:rPr>
                <w:sz w:val="22"/>
                <w:szCs w:val="22"/>
              </w:rPr>
            </w:pPr>
            <w:r>
              <w:rPr>
                <w:sz w:val="22"/>
                <w:szCs w:val="22"/>
              </w:rPr>
              <w:t xml:space="preserve">2 000 </w:t>
            </w:r>
          </w:p>
        </w:tc>
        <w:tc>
          <w:tcPr>
            <w:tcW w:w="1213" w:type="dxa"/>
          </w:tcPr>
          <w:p w14:paraId="4AAF7E5C" w14:textId="77777777" w:rsidR="00093845" w:rsidRDefault="000D779E">
            <w:pPr>
              <w:ind w:right="-82"/>
              <w:rPr>
                <w:sz w:val="22"/>
                <w:szCs w:val="22"/>
              </w:rPr>
            </w:pPr>
            <w:r>
              <w:rPr>
                <w:sz w:val="22"/>
                <w:szCs w:val="22"/>
              </w:rPr>
              <w:t xml:space="preserve">5 000 </w:t>
            </w:r>
          </w:p>
        </w:tc>
      </w:tr>
      <w:tr w:rsidR="00093845" w14:paraId="7C4A0D25" w14:textId="77777777">
        <w:tc>
          <w:tcPr>
            <w:tcW w:w="1961" w:type="dxa"/>
          </w:tcPr>
          <w:p w14:paraId="1FE82871" w14:textId="77777777" w:rsidR="00093845" w:rsidRDefault="000D779E">
            <w:pPr>
              <w:ind w:right="-82"/>
              <w:rPr>
                <w:sz w:val="22"/>
                <w:szCs w:val="22"/>
              </w:rPr>
            </w:pPr>
            <w:r>
              <w:rPr>
                <w:sz w:val="22"/>
                <w:szCs w:val="22"/>
              </w:rPr>
              <w:t>Investiciniam projektui reikalingo turto faktiška įsigijimo kaina</w:t>
            </w:r>
          </w:p>
        </w:tc>
        <w:tc>
          <w:tcPr>
            <w:tcW w:w="1207" w:type="dxa"/>
          </w:tcPr>
          <w:p w14:paraId="286440B5" w14:textId="77777777" w:rsidR="00093845" w:rsidRDefault="000D779E">
            <w:pPr>
              <w:ind w:right="-82"/>
              <w:rPr>
                <w:sz w:val="22"/>
                <w:szCs w:val="22"/>
              </w:rPr>
            </w:pPr>
            <w:r>
              <w:rPr>
                <w:sz w:val="22"/>
                <w:szCs w:val="22"/>
              </w:rPr>
              <w:t xml:space="preserve"> 7 000</w:t>
            </w:r>
          </w:p>
        </w:tc>
        <w:tc>
          <w:tcPr>
            <w:tcW w:w="1260" w:type="dxa"/>
          </w:tcPr>
          <w:p w14:paraId="29132870" w14:textId="77777777" w:rsidR="00093845" w:rsidRDefault="000D779E">
            <w:pPr>
              <w:ind w:right="-82"/>
              <w:rPr>
                <w:sz w:val="22"/>
                <w:szCs w:val="22"/>
              </w:rPr>
            </w:pPr>
            <w:r>
              <w:rPr>
                <w:sz w:val="22"/>
                <w:szCs w:val="22"/>
              </w:rPr>
              <w:t xml:space="preserve"> 3 500</w:t>
            </w:r>
          </w:p>
        </w:tc>
        <w:tc>
          <w:tcPr>
            <w:tcW w:w="1260" w:type="dxa"/>
          </w:tcPr>
          <w:p w14:paraId="5F030B81" w14:textId="77777777" w:rsidR="00093845" w:rsidRDefault="000D779E">
            <w:pPr>
              <w:ind w:right="-82"/>
              <w:rPr>
                <w:sz w:val="22"/>
                <w:szCs w:val="22"/>
              </w:rPr>
            </w:pPr>
            <w:r>
              <w:rPr>
                <w:sz w:val="22"/>
                <w:szCs w:val="22"/>
              </w:rPr>
              <w:t>-</w:t>
            </w:r>
          </w:p>
        </w:tc>
        <w:tc>
          <w:tcPr>
            <w:tcW w:w="1080" w:type="dxa"/>
          </w:tcPr>
          <w:p w14:paraId="12DD4442" w14:textId="77777777" w:rsidR="00093845" w:rsidRDefault="000D779E">
            <w:pPr>
              <w:ind w:right="-82"/>
              <w:rPr>
                <w:sz w:val="22"/>
                <w:szCs w:val="22"/>
              </w:rPr>
            </w:pPr>
            <w:r>
              <w:rPr>
                <w:sz w:val="22"/>
                <w:szCs w:val="22"/>
              </w:rPr>
              <w:t xml:space="preserve">4 000 </w:t>
            </w:r>
          </w:p>
        </w:tc>
        <w:tc>
          <w:tcPr>
            <w:tcW w:w="1307" w:type="dxa"/>
          </w:tcPr>
          <w:p w14:paraId="4D905D23" w14:textId="77777777" w:rsidR="00093845" w:rsidRDefault="000D779E">
            <w:pPr>
              <w:ind w:right="-82"/>
              <w:rPr>
                <w:sz w:val="22"/>
                <w:szCs w:val="22"/>
              </w:rPr>
            </w:pPr>
            <w:r>
              <w:rPr>
                <w:sz w:val="22"/>
                <w:szCs w:val="22"/>
              </w:rPr>
              <w:t>-</w:t>
            </w:r>
          </w:p>
        </w:tc>
        <w:tc>
          <w:tcPr>
            <w:tcW w:w="1213" w:type="dxa"/>
          </w:tcPr>
          <w:p w14:paraId="3651D44B" w14:textId="77777777" w:rsidR="00093845" w:rsidRDefault="000D779E">
            <w:pPr>
              <w:ind w:right="-82"/>
              <w:rPr>
                <w:sz w:val="22"/>
                <w:szCs w:val="22"/>
              </w:rPr>
            </w:pPr>
            <w:r>
              <w:rPr>
                <w:sz w:val="22"/>
                <w:szCs w:val="22"/>
              </w:rPr>
              <w:t>-</w:t>
            </w:r>
          </w:p>
        </w:tc>
      </w:tr>
      <w:tr w:rsidR="00093845" w14:paraId="05B6E1ED" w14:textId="77777777">
        <w:tc>
          <w:tcPr>
            <w:tcW w:w="1961" w:type="dxa"/>
          </w:tcPr>
          <w:p w14:paraId="3FE744B8" w14:textId="77777777" w:rsidR="00093845" w:rsidRDefault="000D779E">
            <w:pPr>
              <w:ind w:right="-82"/>
              <w:rPr>
                <w:sz w:val="22"/>
                <w:szCs w:val="22"/>
              </w:rPr>
            </w:pPr>
            <w:r>
              <w:rPr>
                <w:sz w:val="22"/>
                <w:szCs w:val="22"/>
              </w:rPr>
              <w:t>Apmokestinamojo pelno sumažinimas</w:t>
            </w:r>
          </w:p>
          <w:p w14:paraId="26441F7C" w14:textId="77777777" w:rsidR="00093845" w:rsidRDefault="000D779E">
            <w:pPr>
              <w:ind w:right="-82"/>
              <w:rPr>
                <w:sz w:val="22"/>
                <w:szCs w:val="22"/>
              </w:rPr>
            </w:pPr>
            <w:r>
              <w:rPr>
                <w:sz w:val="22"/>
                <w:szCs w:val="22"/>
              </w:rPr>
              <w:t xml:space="preserve">(50 proc./100 proc.) </w:t>
            </w:r>
          </w:p>
        </w:tc>
        <w:tc>
          <w:tcPr>
            <w:tcW w:w="1207" w:type="dxa"/>
          </w:tcPr>
          <w:p w14:paraId="1E78AD51" w14:textId="77777777" w:rsidR="00093845" w:rsidRDefault="000D779E">
            <w:pPr>
              <w:ind w:right="-82"/>
              <w:rPr>
                <w:sz w:val="22"/>
                <w:szCs w:val="22"/>
              </w:rPr>
            </w:pPr>
            <w:r>
              <w:rPr>
                <w:sz w:val="22"/>
                <w:szCs w:val="22"/>
              </w:rPr>
              <w:t>(3 000/50 proc.)=</w:t>
            </w:r>
          </w:p>
          <w:p w14:paraId="169DCB07" w14:textId="77777777" w:rsidR="00093845" w:rsidRDefault="000D779E">
            <w:pPr>
              <w:ind w:right="-82"/>
              <w:rPr>
                <w:sz w:val="22"/>
                <w:szCs w:val="22"/>
              </w:rPr>
            </w:pPr>
            <w:r>
              <w:rPr>
                <w:sz w:val="22"/>
                <w:szCs w:val="22"/>
              </w:rPr>
              <w:t xml:space="preserve"> 1 500</w:t>
            </w:r>
          </w:p>
        </w:tc>
        <w:tc>
          <w:tcPr>
            <w:tcW w:w="1260" w:type="dxa"/>
          </w:tcPr>
          <w:p w14:paraId="3E8293C6" w14:textId="77777777" w:rsidR="00093845" w:rsidRDefault="000D779E">
            <w:pPr>
              <w:ind w:right="-82"/>
              <w:rPr>
                <w:sz w:val="22"/>
                <w:szCs w:val="22"/>
              </w:rPr>
            </w:pPr>
            <w:r>
              <w:rPr>
                <w:sz w:val="22"/>
                <w:szCs w:val="22"/>
              </w:rPr>
              <w:t>-</w:t>
            </w:r>
          </w:p>
        </w:tc>
        <w:tc>
          <w:tcPr>
            <w:tcW w:w="1260" w:type="dxa"/>
          </w:tcPr>
          <w:p w14:paraId="326BF0AB" w14:textId="77777777" w:rsidR="00093845" w:rsidRDefault="000D779E">
            <w:pPr>
              <w:ind w:right="-82"/>
              <w:rPr>
                <w:sz w:val="22"/>
                <w:szCs w:val="22"/>
              </w:rPr>
            </w:pPr>
            <w:r>
              <w:rPr>
                <w:sz w:val="22"/>
                <w:szCs w:val="22"/>
              </w:rPr>
              <w:t>(10 000 x</w:t>
            </w:r>
          </w:p>
          <w:p w14:paraId="71FC8C83" w14:textId="77777777" w:rsidR="00093845" w:rsidRDefault="000D779E">
            <w:pPr>
              <w:ind w:right="-82"/>
              <w:rPr>
                <w:sz w:val="22"/>
                <w:szCs w:val="22"/>
              </w:rPr>
            </w:pPr>
            <w:r>
              <w:rPr>
                <w:sz w:val="22"/>
                <w:szCs w:val="22"/>
              </w:rPr>
              <w:t>100 proc.)=</w:t>
            </w:r>
          </w:p>
          <w:p w14:paraId="00A766DE" w14:textId="77777777" w:rsidR="00093845" w:rsidRDefault="000D779E">
            <w:pPr>
              <w:ind w:right="-82"/>
              <w:rPr>
                <w:sz w:val="22"/>
                <w:szCs w:val="22"/>
              </w:rPr>
            </w:pPr>
            <w:r>
              <w:rPr>
                <w:sz w:val="22"/>
                <w:szCs w:val="22"/>
              </w:rPr>
              <w:t xml:space="preserve">10 000 </w:t>
            </w:r>
          </w:p>
          <w:p w14:paraId="31220E11" w14:textId="77777777" w:rsidR="00093845" w:rsidRDefault="000D779E">
            <w:pPr>
              <w:ind w:right="-82"/>
              <w:rPr>
                <w:sz w:val="22"/>
                <w:szCs w:val="22"/>
              </w:rPr>
            </w:pPr>
            <w:r>
              <w:rPr>
                <w:sz w:val="22"/>
                <w:szCs w:val="22"/>
              </w:rPr>
              <w:t>perkeliamas visas 2016 m. įsigyto  turto kainos likutis, t. y. 5 500,</w:t>
            </w:r>
          </w:p>
          <w:p w14:paraId="02827D98" w14:textId="77777777" w:rsidR="00093845" w:rsidRDefault="000D779E">
            <w:pPr>
              <w:ind w:right="-82"/>
              <w:rPr>
                <w:sz w:val="22"/>
                <w:szCs w:val="22"/>
              </w:rPr>
            </w:pPr>
            <w:r>
              <w:rPr>
                <w:sz w:val="22"/>
                <w:szCs w:val="22"/>
              </w:rPr>
              <w:t>bei 2017 m.-3 500</w:t>
            </w:r>
          </w:p>
        </w:tc>
        <w:tc>
          <w:tcPr>
            <w:tcW w:w="1080" w:type="dxa"/>
          </w:tcPr>
          <w:p w14:paraId="6318DFE9" w14:textId="77777777" w:rsidR="00093845" w:rsidRDefault="000D779E">
            <w:pPr>
              <w:ind w:right="-82"/>
              <w:rPr>
                <w:sz w:val="22"/>
                <w:szCs w:val="22"/>
              </w:rPr>
            </w:pPr>
            <w:r>
              <w:rPr>
                <w:sz w:val="22"/>
                <w:szCs w:val="22"/>
              </w:rPr>
              <w:t>-</w:t>
            </w:r>
          </w:p>
        </w:tc>
        <w:tc>
          <w:tcPr>
            <w:tcW w:w="1307" w:type="dxa"/>
          </w:tcPr>
          <w:p w14:paraId="4C52CBDE" w14:textId="77777777" w:rsidR="00093845" w:rsidRDefault="000D779E">
            <w:pPr>
              <w:ind w:right="-82"/>
              <w:rPr>
                <w:sz w:val="22"/>
                <w:szCs w:val="22"/>
              </w:rPr>
            </w:pPr>
            <w:r>
              <w:rPr>
                <w:sz w:val="22"/>
                <w:szCs w:val="22"/>
              </w:rPr>
              <w:t>(2 000 x100</w:t>
            </w:r>
            <w:r>
              <w:rPr>
                <w:strike/>
                <w:sz w:val="22"/>
                <w:szCs w:val="22"/>
              </w:rPr>
              <w:t xml:space="preserve"> </w:t>
            </w:r>
            <w:r>
              <w:rPr>
                <w:sz w:val="22"/>
                <w:szCs w:val="22"/>
              </w:rPr>
              <w:t xml:space="preserve"> proc.)=</w:t>
            </w:r>
          </w:p>
          <w:p w14:paraId="1F63F11F" w14:textId="77777777" w:rsidR="00093845" w:rsidRDefault="000D779E">
            <w:pPr>
              <w:ind w:right="-82"/>
              <w:rPr>
                <w:sz w:val="22"/>
                <w:szCs w:val="22"/>
              </w:rPr>
            </w:pPr>
            <w:r>
              <w:rPr>
                <w:sz w:val="22"/>
                <w:szCs w:val="22"/>
              </w:rPr>
              <w:t xml:space="preserve">2 000 </w:t>
            </w:r>
          </w:p>
          <w:p w14:paraId="5825F433" w14:textId="77777777" w:rsidR="00093845" w:rsidRDefault="00093845">
            <w:pPr>
              <w:ind w:right="-82"/>
              <w:rPr>
                <w:sz w:val="22"/>
                <w:szCs w:val="22"/>
              </w:rPr>
            </w:pPr>
          </w:p>
          <w:p w14:paraId="43161C5F" w14:textId="77777777" w:rsidR="00093845" w:rsidRDefault="00093845">
            <w:pPr>
              <w:ind w:right="-82"/>
              <w:rPr>
                <w:sz w:val="22"/>
                <w:szCs w:val="22"/>
              </w:rPr>
            </w:pPr>
          </w:p>
        </w:tc>
        <w:tc>
          <w:tcPr>
            <w:tcW w:w="1213" w:type="dxa"/>
          </w:tcPr>
          <w:p w14:paraId="424B4C2B" w14:textId="77777777" w:rsidR="00093845" w:rsidRDefault="000D779E">
            <w:pPr>
              <w:ind w:right="-82"/>
              <w:rPr>
                <w:sz w:val="22"/>
                <w:szCs w:val="22"/>
              </w:rPr>
            </w:pPr>
            <w:r>
              <w:rPr>
                <w:sz w:val="22"/>
                <w:szCs w:val="22"/>
              </w:rPr>
              <w:t>(5 000 x 100 proc.)=</w:t>
            </w:r>
          </w:p>
          <w:p w14:paraId="5DB5D76D" w14:textId="77777777" w:rsidR="00093845" w:rsidRDefault="000D779E">
            <w:pPr>
              <w:ind w:right="-82"/>
              <w:rPr>
                <w:sz w:val="22"/>
                <w:szCs w:val="22"/>
              </w:rPr>
            </w:pPr>
            <w:r>
              <w:rPr>
                <w:sz w:val="22"/>
                <w:szCs w:val="22"/>
              </w:rPr>
              <w:t>5 000</w:t>
            </w:r>
          </w:p>
          <w:p w14:paraId="24164737" w14:textId="77777777" w:rsidR="00093845" w:rsidRDefault="000D779E">
            <w:pPr>
              <w:ind w:right="-82"/>
              <w:rPr>
                <w:sz w:val="22"/>
                <w:szCs w:val="22"/>
              </w:rPr>
            </w:pPr>
            <w:r>
              <w:rPr>
                <w:sz w:val="22"/>
                <w:szCs w:val="22"/>
              </w:rPr>
              <w:t>perkeliamas visas 2019 m. įsigyto turto kainos likutis, t. y. 2 000</w:t>
            </w:r>
          </w:p>
        </w:tc>
      </w:tr>
      <w:tr w:rsidR="00093845" w14:paraId="32959FF9" w14:textId="77777777">
        <w:tc>
          <w:tcPr>
            <w:tcW w:w="1961" w:type="dxa"/>
          </w:tcPr>
          <w:p w14:paraId="5405E583" w14:textId="77777777" w:rsidR="00093845" w:rsidRDefault="000D779E">
            <w:pPr>
              <w:ind w:right="-82"/>
              <w:rPr>
                <w:sz w:val="22"/>
                <w:szCs w:val="22"/>
              </w:rPr>
            </w:pPr>
            <w:r>
              <w:rPr>
                <w:sz w:val="22"/>
                <w:szCs w:val="22"/>
              </w:rPr>
              <w:t>Investiciniam projektui reikalingo turto faktiškos įsigijimo kainos likutis perkeliamas į kitus metus</w:t>
            </w:r>
          </w:p>
        </w:tc>
        <w:tc>
          <w:tcPr>
            <w:tcW w:w="1207" w:type="dxa"/>
          </w:tcPr>
          <w:p w14:paraId="0142B713" w14:textId="77777777" w:rsidR="00093845" w:rsidRDefault="000D779E">
            <w:pPr>
              <w:ind w:right="-82"/>
              <w:rPr>
                <w:sz w:val="22"/>
                <w:szCs w:val="22"/>
              </w:rPr>
            </w:pPr>
            <w:r>
              <w:rPr>
                <w:sz w:val="22"/>
                <w:szCs w:val="22"/>
              </w:rPr>
              <w:t>2016 m. –</w:t>
            </w:r>
          </w:p>
          <w:p w14:paraId="7775F744" w14:textId="77777777" w:rsidR="00093845" w:rsidRDefault="000D779E">
            <w:pPr>
              <w:ind w:right="-82"/>
              <w:rPr>
                <w:sz w:val="22"/>
                <w:szCs w:val="22"/>
              </w:rPr>
            </w:pPr>
            <w:r>
              <w:rPr>
                <w:sz w:val="22"/>
                <w:szCs w:val="22"/>
              </w:rPr>
              <w:t>(7 000 -</w:t>
            </w:r>
          </w:p>
          <w:p w14:paraId="039BE1B8" w14:textId="77777777" w:rsidR="00093845" w:rsidRDefault="000D779E">
            <w:pPr>
              <w:ind w:right="-82"/>
              <w:rPr>
                <w:sz w:val="22"/>
                <w:szCs w:val="22"/>
              </w:rPr>
            </w:pPr>
            <w:r>
              <w:rPr>
                <w:sz w:val="22"/>
                <w:szCs w:val="22"/>
              </w:rPr>
              <w:t>1 500)=</w:t>
            </w:r>
          </w:p>
          <w:p w14:paraId="0E2F1229" w14:textId="77777777" w:rsidR="00093845" w:rsidRDefault="000D779E">
            <w:pPr>
              <w:ind w:right="-82"/>
              <w:rPr>
                <w:sz w:val="22"/>
                <w:szCs w:val="22"/>
              </w:rPr>
            </w:pPr>
            <w:r>
              <w:rPr>
                <w:sz w:val="22"/>
                <w:szCs w:val="22"/>
              </w:rPr>
              <w:t>5 500</w:t>
            </w:r>
          </w:p>
        </w:tc>
        <w:tc>
          <w:tcPr>
            <w:tcW w:w="1260" w:type="dxa"/>
          </w:tcPr>
          <w:p w14:paraId="3ED858DB" w14:textId="77777777" w:rsidR="00093845" w:rsidRDefault="000D779E">
            <w:pPr>
              <w:ind w:right="-82"/>
              <w:rPr>
                <w:sz w:val="22"/>
                <w:szCs w:val="22"/>
              </w:rPr>
            </w:pPr>
            <w:r>
              <w:rPr>
                <w:sz w:val="22"/>
                <w:szCs w:val="22"/>
              </w:rPr>
              <w:t xml:space="preserve">2016 m. </w:t>
            </w:r>
          </w:p>
          <w:p w14:paraId="0CD5989D" w14:textId="77777777" w:rsidR="00093845" w:rsidRDefault="000D779E">
            <w:pPr>
              <w:ind w:right="-82"/>
              <w:rPr>
                <w:sz w:val="22"/>
                <w:szCs w:val="22"/>
              </w:rPr>
            </w:pPr>
            <w:r>
              <w:rPr>
                <w:sz w:val="22"/>
                <w:szCs w:val="22"/>
              </w:rPr>
              <w:t>5 500</w:t>
            </w:r>
          </w:p>
          <w:p w14:paraId="794C6459" w14:textId="77777777" w:rsidR="00093845" w:rsidRDefault="000D779E">
            <w:pPr>
              <w:ind w:right="-82"/>
              <w:rPr>
                <w:strike/>
                <w:sz w:val="22"/>
                <w:szCs w:val="22"/>
              </w:rPr>
            </w:pPr>
            <w:r>
              <w:rPr>
                <w:sz w:val="22"/>
                <w:szCs w:val="22"/>
              </w:rPr>
              <w:t xml:space="preserve">2017 m.- </w:t>
            </w:r>
          </w:p>
          <w:p w14:paraId="02B295B5" w14:textId="77777777" w:rsidR="00093845" w:rsidRDefault="000D779E">
            <w:pPr>
              <w:ind w:right="-82"/>
              <w:rPr>
                <w:sz w:val="22"/>
                <w:szCs w:val="22"/>
              </w:rPr>
            </w:pPr>
            <w:r>
              <w:rPr>
                <w:sz w:val="22"/>
                <w:szCs w:val="22"/>
              </w:rPr>
              <w:t>3 500</w:t>
            </w:r>
          </w:p>
        </w:tc>
        <w:tc>
          <w:tcPr>
            <w:tcW w:w="1260" w:type="dxa"/>
          </w:tcPr>
          <w:p w14:paraId="1825FF79" w14:textId="77777777" w:rsidR="00093845" w:rsidRDefault="000D779E">
            <w:pPr>
              <w:ind w:right="-82"/>
              <w:rPr>
                <w:sz w:val="22"/>
                <w:szCs w:val="22"/>
              </w:rPr>
            </w:pPr>
            <w:r>
              <w:rPr>
                <w:sz w:val="22"/>
                <w:szCs w:val="22"/>
              </w:rPr>
              <w:t>-</w:t>
            </w:r>
          </w:p>
        </w:tc>
        <w:tc>
          <w:tcPr>
            <w:tcW w:w="1080" w:type="dxa"/>
          </w:tcPr>
          <w:p w14:paraId="04C679B6" w14:textId="77777777" w:rsidR="00093845" w:rsidRDefault="000D779E">
            <w:pPr>
              <w:ind w:right="-82"/>
              <w:rPr>
                <w:sz w:val="22"/>
                <w:szCs w:val="22"/>
              </w:rPr>
            </w:pPr>
            <w:r>
              <w:rPr>
                <w:sz w:val="22"/>
                <w:szCs w:val="22"/>
              </w:rPr>
              <w:t xml:space="preserve">2019 m.- </w:t>
            </w:r>
          </w:p>
          <w:p w14:paraId="4D3800CD" w14:textId="77777777" w:rsidR="00093845" w:rsidRDefault="000D779E">
            <w:pPr>
              <w:ind w:right="-82"/>
              <w:rPr>
                <w:sz w:val="22"/>
                <w:szCs w:val="22"/>
              </w:rPr>
            </w:pPr>
            <w:r>
              <w:rPr>
                <w:sz w:val="22"/>
                <w:szCs w:val="22"/>
              </w:rPr>
              <w:t>4 000</w:t>
            </w:r>
          </w:p>
        </w:tc>
        <w:tc>
          <w:tcPr>
            <w:tcW w:w="1307" w:type="dxa"/>
          </w:tcPr>
          <w:p w14:paraId="78838F76" w14:textId="77777777" w:rsidR="00093845" w:rsidRDefault="000D779E">
            <w:pPr>
              <w:ind w:right="-82"/>
              <w:jc w:val="both"/>
              <w:rPr>
                <w:sz w:val="22"/>
                <w:szCs w:val="22"/>
              </w:rPr>
            </w:pPr>
            <w:r>
              <w:rPr>
                <w:sz w:val="22"/>
                <w:szCs w:val="22"/>
              </w:rPr>
              <w:t xml:space="preserve">2019 m. </w:t>
            </w:r>
          </w:p>
          <w:p w14:paraId="6A239DA5" w14:textId="77777777" w:rsidR="00093845" w:rsidRDefault="000D779E">
            <w:pPr>
              <w:ind w:right="-82"/>
              <w:jc w:val="both"/>
              <w:rPr>
                <w:sz w:val="22"/>
                <w:szCs w:val="22"/>
              </w:rPr>
            </w:pPr>
            <w:r>
              <w:rPr>
                <w:sz w:val="22"/>
                <w:szCs w:val="22"/>
              </w:rPr>
              <w:t>(4 000-</w:t>
            </w:r>
          </w:p>
          <w:p w14:paraId="7363C5D7" w14:textId="77777777" w:rsidR="00093845" w:rsidRDefault="000D779E">
            <w:pPr>
              <w:ind w:right="-82"/>
              <w:jc w:val="both"/>
              <w:rPr>
                <w:sz w:val="22"/>
                <w:szCs w:val="22"/>
              </w:rPr>
            </w:pPr>
            <w:r>
              <w:rPr>
                <w:sz w:val="22"/>
                <w:szCs w:val="22"/>
              </w:rPr>
              <w:t>2000)=</w:t>
            </w:r>
          </w:p>
          <w:p w14:paraId="55A9AF75" w14:textId="77777777" w:rsidR="00093845" w:rsidRDefault="000D779E">
            <w:pPr>
              <w:ind w:right="-82"/>
              <w:jc w:val="both"/>
              <w:rPr>
                <w:sz w:val="22"/>
                <w:szCs w:val="22"/>
              </w:rPr>
            </w:pPr>
            <w:r>
              <w:rPr>
                <w:sz w:val="22"/>
                <w:szCs w:val="22"/>
              </w:rPr>
              <w:t>2 000</w:t>
            </w:r>
          </w:p>
          <w:p w14:paraId="69BCFA23" w14:textId="77777777" w:rsidR="00093845" w:rsidRDefault="00093845">
            <w:pPr>
              <w:ind w:right="-82"/>
              <w:jc w:val="both"/>
              <w:rPr>
                <w:sz w:val="22"/>
                <w:szCs w:val="22"/>
              </w:rPr>
            </w:pPr>
          </w:p>
        </w:tc>
        <w:tc>
          <w:tcPr>
            <w:tcW w:w="1213" w:type="dxa"/>
          </w:tcPr>
          <w:p w14:paraId="11D4FA5E" w14:textId="77777777" w:rsidR="00093845" w:rsidRDefault="000D779E">
            <w:pPr>
              <w:ind w:right="-82"/>
              <w:rPr>
                <w:sz w:val="22"/>
                <w:szCs w:val="22"/>
              </w:rPr>
            </w:pPr>
            <w:r>
              <w:rPr>
                <w:sz w:val="22"/>
                <w:szCs w:val="22"/>
              </w:rPr>
              <w:t>-</w:t>
            </w:r>
          </w:p>
        </w:tc>
      </w:tr>
    </w:tbl>
    <w:p w14:paraId="3126D34C" w14:textId="77777777" w:rsidR="00093845" w:rsidRDefault="00093845">
      <w:pPr>
        <w:ind w:firstLine="720"/>
        <w:jc w:val="both"/>
      </w:pPr>
    </w:p>
    <w:p w14:paraId="3984DB28" w14:textId="77777777" w:rsidR="00A45121" w:rsidRPr="005A7B21" w:rsidRDefault="00A45121" w:rsidP="00A45121">
      <w:pPr>
        <w:ind w:firstLine="720"/>
        <w:jc w:val="both"/>
        <w:rPr>
          <w:iCs/>
          <w:color w:val="000000"/>
          <w:lang w:val="lt-LT"/>
        </w:rPr>
      </w:pPr>
      <w:r w:rsidRPr="005A7B21">
        <w:rPr>
          <w:lang w:val="lt-LT"/>
        </w:rPr>
        <w:t xml:space="preserve">3. </w:t>
      </w:r>
      <w:r w:rsidRPr="005A7B21">
        <w:rPr>
          <w:iCs/>
          <w:color w:val="000000"/>
          <w:lang w:val="lt-LT"/>
        </w:rPr>
        <w:t xml:space="preserve">Vienetas, kurio pagrindinė veikla yra langų gamyba, 2023 metais nusprendė plėsti savo gamybos apimtis ir dalį produkcijos eksportuoti į kitas užsienio šalis. Tuo tikslu 2023 metais pradėtas vykdyti investicinis projektas A. </w:t>
      </w:r>
    </w:p>
    <w:p w14:paraId="38D8717D" w14:textId="77777777" w:rsidR="00A45121" w:rsidRPr="005A7B21" w:rsidRDefault="00A45121" w:rsidP="00A45121">
      <w:pPr>
        <w:ind w:firstLine="720"/>
        <w:jc w:val="both"/>
        <w:rPr>
          <w:iCs/>
          <w:color w:val="000000"/>
          <w:lang w:val="lt-LT"/>
        </w:rPr>
      </w:pPr>
      <w:r w:rsidRPr="005A7B21">
        <w:rPr>
          <w:iCs/>
          <w:color w:val="000000"/>
          <w:lang w:val="lt-LT"/>
        </w:rPr>
        <w:t>Vienetas 2023-2024 metais įsigyja turtą, atitinkantį investicinio projekto reikalavimus bei reikalingą investiciniam projektui A įgyvendinti, kurio faktiška įsigijimo kaina yra 17 000 Eur.</w:t>
      </w:r>
    </w:p>
    <w:p w14:paraId="628687B9" w14:textId="77777777" w:rsidR="00A45121" w:rsidRPr="005A7B21" w:rsidRDefault="00A45121" w:rsidP="00A45121">
      <w:pPr>
        <w:ind w:firstLine="720"/>
        <w:jc w:val="both"/>
        <w:rPr>
          <w:iCs/>
          <w:color w:val="000000"/>
          <w:lang w:val="lt-LT"/>
        </w:rPr>
      </w:pPr>
      <w:r w:rsidRPr="005A7B21">
        <w:rPr>
          <w:iCs/>
          <w:color w:val="000000"/>
          <w:lang w:val="lt-LT"/>
        </w:rPr>
        <w:t xml:space="preserve">2024 metais vienetas nusprendžia papildomai teikti patalpų projektavimo paslaugas. Tuo tikslu 2024 metais pradėtas vykdyti investicinis projektas B. </w:t>
      </w:r>
    </w:p>
    <w:p w14:paraId="5E11B0B4" w14:textId="77777777" w:rsidR="00A45121" w:rsidRPr="005A7B21" w:rsidRDefault="00A45121" w:rsidP="00A45121">
      <w:pPr>
        <w:ind w:firstLine="720"/>
        <w:jc w:val="both"/>
        <w:rPr>
          <w:iCs/>
          <w:color w:val="000000"/>
          <w:lang w:val="lt-LT"/>
        </w:rPr>
      </w:pPr>
      <w:r w:rsidRPr="005A7B21">
        <w:rPr>
          <w:iCs/>
          <w:color w:val="000000"/>
          <w:lang w:val="lt-LT"/>
        </w:rPr>
        <w:t>Vienetas 2024 metais įsigyja turtą, atitinkantį investicinio projekto reikalavimus bei reikalingą investiciniam projektui B įgyvendinti, kurio faktiška įsigijimo kaina yra 25 000 Eur.</w:t>
      </w:r>
    </w:p>
    <w:p w14:paraId="67B4C3D4" w14:textId="77777777" w:rsidR="00A45121" w:rsidRPr="005A7B21" w:rsidRDefault="00A45121" w:rsidP="00A45121">
      <w:pPr>
        <w:ind w:right="-82" w:firstLine="720"/>
        <w:jc w:val="both"/>
        <w:rPr>
          <w:iCs/>
          <w:color w:val="000000"/>
          <w:lang w:val="lt-LT"/>
        </w:rPr>
      </w:pPr>
      <w:r w:rsidRPr="005A7B21">
        <w:rPr>
          <w:lang w:val="lt-LT"/>
        </w:rPr>
        <w:t xml:space="preserve">Toliau pateiktoje lentelėje atvaizduotas 2023 – 2028 metų apskaičiuoto apmokestinamojo pelno sumažinimas vieneto įsigyto turto, reikalingo A ir B </w:t>
      </w:r>
      <w:r w:rsidRPr="005A7B21">
        <w:rPr>
          <w:iCs/>
          <w:color w:val="000000"/>
          <w:lang w:val="lt-LT"/>
        </w:rPr>
        <w:t>investiciniams projektams įgyvendinti, faktiška įsigijimo kaina, eurais:</w:t>
      </w:r>
    </w:p>
    <w:p w14:paraId="1CC97F13" w14:textId="77777777" w:rsidR="00A45121" w:rsidRPr="00D44CA9" w:rsidRDefault="00A45121" w:rsidP="00A45121">
      <w:pPr>
        <w:ind w:right="-82" w:firstLine="720"/>
        <w:jc w:val="both"/>
        <w:rPr>
          <w:lang w:val="lt-LT"/>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9"/>
        <w:gridCol w:w="1309"/>
        <w:gridCol w:w="1244"/>
        <w:gridCol w:w="1488"/>
        <w:gridCol w:w="1264"/>
        <w:gridCol w:w="1264"/>
        <w:gridCol w:w="1204"/>
      </w:tblGrid>
      <w:tr w:rsidR="00A45121" w:rsidRPr="005A7B21" w14:paraId="36F4144A" w14:textId="77777777" w:rsidTr="00644C93">
        <w:tc>
          <w:tcPr>
            <w:tcW w:w="1959" w:type="dxa"/>
          </w:tcPr>
          <w:p w14:paraId="791CB452" w14:textId="77777777" w:rsidR="00A45121" w:rsidRPr="005A7B21" w:rsidRDefault="00A45121" w:rsidP="00644C93">
            <w:pPr>
              <w:ind w:right="-82"/>
              <w:rPr>
                <w:sz w:val="22"/>
                <w:szCs w:val="22"/>
                <w:lang w:val="lt-LT"/>
              </w:rPr>
            </w:pPr>
            <w:r w:rsidRPr="005A7B21">
              <w:rPr>
                <w:sz w:val="22"/>
                <w:szCs w:val="22"/>
                <w:lang w:val="lt-LT"/>
              </w:rPr>
              <w:t>Mokestiniai metai</w:t>
            </w:r>
          </w:p>
        </w:tc>
        <w:tc>
          <w:tcPr>
            <w:tcW w:w="1309" w:type="dxa"/>
          </w:tcPr>
          <w:p w14:paraId="5D3EA560" w14:textId="77777777" w:rsidR="00A45121" w:rsidRPr="005A7B21" w:rsidRDefault="00A45121" w:rsidP="00644C93">
            <w:pPr>
              <w:ind w:right="-82"/>
              <w:rPr>
                <w:strike/>
                <w:sz w:val="22"/>
                <w:szCs w:val="22"/>
                <w:lang w:val="lt-LT"/>
              </w:rPr>
            </w:pPr>
            <w:r w:rsidRPr="005A7B21">
              <w:rPr>
                <w:sz w:val="22"/>
                <w:szCs w:val="22"/>
                <w:lang w:val="lt-LT"/>
              </w:rPr>
              <w:t xml:space="preserve"> 2023</w:t>
            </w:r>
          </w:p>
        </w:tc>
        <w:tc>
          <w:tcPr>
            <w:tcW w:w="1244" w:type="dxa"/>
          </w:tcPr>
          <w:p w14:paraId="475B29D1" w14:textId="77777777" w:rsidR="00A45121" w:rsidRPr="005A7B21" w:rsidRDefault="00A45121" w:rsidP="00644C93">
            <w:pPr>
              <w:ind w:right="-82"/>
              <w:rPr>
                <w:strike/>
                <w:sz w:val="22"/>
                <w:szCs w:val="22"/>
                <w:lang w:val="lt-LT"/>
              </w:rPr>
            </w:pPr>
            <w:r w:rsidRPr="005A7B21">
              <w:rPr>
                <w:sz w:val="22"/>
                <w:szCs w:val="22"/>
                <w:lang w:val="lt-LT"/>
              </w:rPr>
              <w:t>2024</w:t>
            </w:r>
          </w:p>
        </w:tc>
        <w:tc>
          <w:tcPr>
            <w:tcW w:w="1488" w:type="dxa"/>
          </w:tcPr>
          <w:p w14:paraId="0F601DE1" w14:textId="77777777" w:rsidR="00A45121" w:rsidRPr="005A7B21" w:rsidRDefault="00A45121" w:rsidP="00644C93">
            <w:pPr>
              <w:ind w:right="-82"/>
              <w:rPr>
                <w:sz w:val="22"/>
                <w:szCs w:val="22"/>
                <w:lang w:val="lt-LT"/>
              </w:rPr>
            </w:pPr>
            <w:r w:rsidRPr="005A7B21">
              <w:rPr>
                <w:sz w:val="22"/>
                <w:szCs w:val="22"/>
                <w:lang w:val="lt-LT"/>
              </w:rPr>
              <w:t xml:space="preserve">2025 </w:t>
            </w:r>
          </w:p>
        </w:tc>
        <w:tc>
          <w:tcPr>
            <w:tcW w:w="1264" w:type="dxa"/>
          </w:tcPr>
          <w:p w14:paraId="75670A3D" w14:textId="77777777" w:rsidR="00A45121" w:rsidRPr="005A7B21" w:rsidRDefault="00A45121" w:rsidP="00644C93">
            <w:pPr>
              <w:ind w:right="-82"/>
              <w:rPr>
                <w:strike/>
                <w:sz w:val="22"/>
                <w:szCs w:val="22"/>
                <w:lang w:val="lt-LT"/>
              </w:rPr>
            </w:pPr>
            <w:r w:rsidRPr="005A7B21">
              <w:rPr>
                <w:sz w:val="22"/>
                <w:szCs w:val="22"/>
                <w:lang w:val="lt-LT"/>
              </w:rPr>
              <w:t>2026</w:t>
            </w:r>
          </w:p>
        </w:tc>
        <w:tc>
          <w:tcPr>
            <w:tcW w:w="1264" w:type="dxa"/>
          </w:tcPr>
          <w:p w14:paraId="0D00CDA2" w14:textId="77777777" w:rsidR="00A45121" w:rsidRPr="005A7B21" w:rsidRDefault="00A45121" w:rsidP="00644C93">
            <w:pPr>
              <w:ind w:right="-82"/>
              <w:rPr>
                <w:strike/>
                <w:sz w:val="22"/>
                <w:szCs w:val="22"/>
                <w:lang w:val="lt-LT"/>
              </w:rPr>
            </w:pPr>
            <w:r w:rsidRPr="005A7B21">
              <w:rPr>
                <w:sz w:val="22"/>
                <w:szCs w:val="22"/>
                <w:lang w:val="lt-LT"/>
              </w:rPr>
              <w:t xml:space="preserve">2027 </w:t>
            </w:r>
          </w:p>
        </w:tc>
        <w:tc>
          <w:tcPr>
            <w:tcW w:w="1204" w:type="dxa"/>
          </w:tcPr>
          <w:p w14:paraId="72DD82E9" w14:textId="77777777" w:rsidR="00A45121" w:rsidRPr="005A7B21" w:rsidRDefault="00A45121" w:rsidP="00644C93">
            <w:pPr>
              <w:ind w:right="-82"/>
              <w:rPr>
                <w:strike/>
                <w:sz w:val="22"/>
                <w:szCs w:val="22"/>
                <w:lang w:val="lt-LT"/>
              </w:rPr>
            </w:pPr>
            <w:r w:rsidRPr="005A7B21">
              <w:rPr>
                <w:sz w:val="22"/>
                <w:szCs w:val="22"/>
                <w:lang w:val="lt-LT"/>
              </w:rPr>
              <w:t>2028</w:t>
            </w:r>
          </w:p>
        </w:tc>
      </w:tr>
      <w:tr w:rsidR="00A45121" w:rsidRPr="005A7B21" w14:paraId="210B016D" w14:textId="77777777" w:rsidTr="00644C93">
        <w:tc>
          <w:tcPr>
            <w:tcW w:w="1959" w:type="dxa"/>
          </w:tcPr>
          <w:p w14:paraId="4CBB273C" w14:textId="77777777" w:rsidR="00A45121" w:rsidRPr="005A7B21" w:rsidRDefault="00A45121" w:rsidP="00644C93">
            <w:pPr>
              <w:ind w:right="-82"/>
              <w:rPr>
                <w:sz w:val="22"/>
                <w:szCs w:val="22"/>
                <w:lang w:val="lt-LT"/>
              </w:rPr>
            </w:pPr>
            <w:r w:rsidRPr="005A7B21">
              <w:rPr>
                <w:sz w:val="22"/>
                <w:szCs w:val="22"/>
                <w:lang w:val="lt-LT"/>
              </w:rPr>
              <w:t>Apmokestinamasis pelnas</w:t>
            </w:r>
          </w:p>
        </w:tc>
        <w:tc>
          <w:tcPr>
            <w:tcW w:w="1309" w:type="dxa"/>
          </w:tcPr>
          <w:p w14:paraId="42DD0628" w14:textId="77777777" w:rsidR="00A45121" w:rsidRPr="005A7B21" w:rsidRDefault="00A45121" w:rsidP="00644C93">
            <w:pPr>
              <w:ind w:right="-82"/>
              <w:rPr>
                <w:sz w:val="22"/>
                <w:szCs w:val="22"/>
                <w:lang w:val="lt-LT"/>
              </w:rPr>
            </w:pPr>
            <w:r w:rsidRPr="005A7B21">
              <w:rPr>
                <w:sz w:val="22"/>
                <w:szCs w:val="22"/>
                <w:lang w:val="lt-LT"/>
              </w:rPr>
              <w:t>5 000</w:t>
            </w:r>
          </w:p>
        </w:tc>
        <w:tc>
          <w:tcPr>
            <w:tcW w:w="1244" w:type="dxa"/>
          </w:tcPr>
          <w:p w14:paraId="344212CF" w14:textId="77777777" w:rsidR="00A45121" w:rsidRPr="005A7B21" w:rsidRDefault="00A45121" w:rsidP="00644C93">
            <w:pPr>
              <w:ind w:right="-82"/>
              <w:rPr>
                <w:sz w:val="22"/>
                <w:szCs w:val="22"/>
                <w:lang w:val="lt-LT"/>
              </w:rPr>
            </w:pPr>
            <w:r w:rsidRPr="005A7B21">
              <w:rPr>
                <w:sz w:val="22"/>
                <w:szCs w:val="22"/>
                <w:lang w:val="lt-LT"/>
              </w:rPr>
              <w:t>6 000</w:t>
            </w:r>
          </w:p>
        </w:tc>
        <w:tc>
          <w:tcPr>
            <w:tcW w:w="1488" w:type="dxa"/>
          </w:tcPr>
          <w:p w14:paraId="65D866B7" w14:textId="77777777" w:rsidR="00A45121" w:rsidRPr="005A7B21" w:rsidRDefault="00A45121" w:rsidP="00644C93">
            <w:pPr>
              <w:ind w:right="-82"/>
              <w:rPr>
                <w:sz w:val="22"/>
                <w:szCs w:val="22"/>
                <w:lang w:val="lt-LT"/>
              </w:rPr>
            </w:pPr>
            <w:r w:rsidRPr="005A7B21">
              <w:rPr>
                <w:sz w:val="22"/>
                <w:szCs w:val="22"/>
                <w:lang w:val="lt-LT"/>
              </w:rPr>
              <w:t xml:space="preserve">3 000 </w:t>
            </w:r>
          </w:p>
        </w:tc>
        <w:tc>
          <w:tcPr>
            <w:tcW w:w="1264" w:type="dxa"/>
          </w:tcPr>
          <w:p w14:paraId="39E95A50" w14:textId="77777777" w:rsidR="00A45121" w:rsidRPr="005A7B21" w:rsidRDefault="00A45121" w:rsidP="00644C93">
            <w:pPr>
              <w:ind w:right="-82"/>
              <w:rPr>
                <w:sz w:val="22"/>
                <w:szCs w:val="22"/>
                <w:lang w:val="lt-LT"/>
              </w:rPr>
            </w:pPr>
            <w:r w:rsidRPr="005A7B21">
              <w:rPr>
                <w:sz w:val="22"/>
                <w:szCs w:val="22"/>
                <w:lang w:val="lt-LT"/>
              </w:rPr>
              <w:t xml:space="preserve">10 000 </w:t>
            </w:r>
          </w:p>
        </w:tc>
        <w:tc>
          <w:tcPr>
            <w:tcW w:w="1264" w:type="dxa"/>
          </w:tcPr>
          <w:p w14:paraId="483A951D" w14:textId="77777777" w:rsidR="00A45121" w:rsidRPr="005A7B21" w:rsidRDefault="00A45121" w:rsidP="00644C93">
            <w:pPr>
              <w:ind w:right="-82"/>
              <w:rPr>
                <w:sz w:val="22"/>
                <w:szCs w:val="22"/>
                <w:lang w:val="lt-LT"/>
              </w:rPr>
            </w:pPr>
            <w:r w:rsidRPr="005A7B21">
              <w:rPr>
                <w:sz w:val="22"/>
                <w:szCs w:val="22"/>
                <w:lang w:val="lt-LT"/>
              </w:rPr>
              <w:t xml:space="preserve">9 000 </w:t>
            </w:r>
          </w:p>
        </w:tc>
        <w:tc>
          <w:tcPr>
            <w:tcW w:w="1204" w:type="dxa"/>
          </w:tcPr>
          <w:p w14:paraId="0A776283" w14:textId="77777777" w:rsidR="00A45121" w:rsidRPr="005A7B21" w:rsidRDefault="00A45121" w:rsidP="00644C93">
            <w:pPr>
              <w:ind w:right="-82"/>
              <w:rPr>
                <w:sz w:val="22"/>
                <w:szCs w:val="22"/>
                <w:lang w:val="lt-LT"/>
              </w:rPr>
            </w:pPr>
            <w:r w:rsidRPr="005A7B21">
              <w:rPr>
                <w:sz w:val="22"/>
                <w:szCs w:val="22"/>
                <w:lang w:val="lt-LT"/>
              </w:rPr>
              <w:t xml:space="preserve">4 000 </w:t>
            </w:r>
          </w:p>
        </w:tc>
      </w:tr>
      <w:tr w:rsidR="00A45121" w:rsidRPr="005A7B21" w14:paraId="6C726295" w14:textId="77777777" w:rsidTr="00644C93">
        <w:tc>
          <w:tcPr>
            <w:tcW w:w="1959" w:type="dxa"/>
          </w:tcPr>
          <w:p w14:paraId="3E42712A" w14:textId="77777777" w:rsidR="00A45121" w:rsidRPr="005A7B21" w:rsidRDefault="00A45121" w:rsidP="00644C93">
            <w:pPr>
              <w:ind w:right="-82"/>
              <w:rPr>
                <w:sz w:val="22"/>
                <w:szCs w:val="22"/>
                <w:lang w:val="lt-LT"/>
              </w:rPr>
            </w:pPr>
            <w:r w:rsidRPr="005A7B21">
              <w:rPr>
                <w:sz w:val="22"/>
                <w:szCs w:val="22"/>
                <w:lang w:val="lt-LT"/>
              </w:rPr>
              <w:t>Investiciniam projektui A reikalingo turto faktiška įsigijimo kaina</w:t>
            </w:r>
          </w:p>
        </w:tc>
        <w:tc>
          <w:tcPr>
            <w:tcW w:w="1309" w:type="dxa"/>
          </w:tcPr>
          <w:p w14:paraId="15FC2570" w14:textId="77777777" w:rsidR="00A45121" w:rsidRPr="005A7B21" w:rsidRDefault="00A45121" w:rsidP="00644C93">
            <w:pPr>
              <w:ind w:right="-82"/>
              <w:rPr>
                <w:sz w:val="22"/>
                <w:szCs w:val="22"/>
                <w:lang w:val="lt-LT"/>
              </w:rPr>
            </w:pPr>
            <w:r w:rsidRPr="005A7B21">
              <w:rPr>
                <w:sz w:val="22"/>
                <w:szCs w:val="22"/>
                <w:lang w:val="lt-LT"/>
              </w:rPr>
              <w:t xml:space="preserve">13 000 </w:t>
            </w:r>
          </w:p>
        </w:tc>
        <w:tc>
          <w:tcPr>
            <w:tcW w:w="1244" w:type="dxa"/>
          </w:tcPr>
          <w:p w14:paraId="0534F09D" w14:textId="77777777" w:rsidR="00A45121" w:rsidRPr="005A7B21" w:rsidRDefault="00A45121" w:rsidP="00644C93">
            <w:pPr>
              <w:ind w:right="-82"/>
              <w:rPr>
                <w:sz w:val="22"/>
                <w:szCs w:val="22"/>
                <w:lang w:val="lt-LT"/>
              </w:rPr>
            </w:pPr>
            <w:r w:rsidRPr="005A7B21">
              <w:rPr>
                <w:sz w:val="22"/>
                <w:szCs w:val="22"/>
                <w:lang w:val="lt-LT"/>
              </w:rPr>
              <w:t>4 000</w:t>
            </w:r>
          </w:p>
        </w:tc>
        <w:tc>
          <w:tcPr>
            <w:tcW w:w="1488" w:type="dxa"/>
          </w:tcPr>
          <w:p w14:paraId="5AFF6FFB"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1477CBD3"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52D316BF" w14:textId="77777777" w:rsidR="00A45121" w:rsidRPr="005A7B21" w:rsidRDefault="00A45121" w:rsidP="00644C93">
            <w:pPr>
              <w:ind w:right="-82"/>
              <w:rPr>
                <w:sz w:val="22"/>
                <w:szCs w:val="22"/>
                <w:lang w:val="lt-LT"/>
              </w:rPr>
            </w:pPr>
            <w:r w:rsidRPr="005A7B21">
              <w:rPr>
                <w:sz w:val="22"/>
                <w:szCs w:val="22"/>
                <w:lang w:val="lt-LT"/>
              </w:rPr>
              <w:t>-</w:t>
            </w:r>
          </w:p>
        </w:tc>
        <w:tc>
          <w:tcPr>
            <w:tcW w:w="1204" w:type="dxa"/>
          </w:tcPr>
          <w:p w14:paraId="071C86F7" w14:textId="77777777" w:rsidR="00A45121" w:rsidRPr="005A7B21" w:rsidRDefault="00A45121" w:rsidP="00644C93">
            <w:pPr>
              <w:ind w:right="-82"/>
              <w:rPr>
                <w:sz w:val="22"/>
                <w:szCs w:val="22"/>
                <w:lang w:val="lt-LT"/>
              </w:rPr>
            </w:pPr>
            <w:r w:rsidRPr="005A7B21">
              <w:rPr>
                <w:sz w:val="22"/>
                <w:szCs w:val="22"/>
                <w:lang w:val="lt-LT"/>
              </w:rPr>
              <w:t>-</w:t>
            </w:r>
          </w:p>
        </w:tc>
      </w:tr>
      <w:tr w:rsidR="00A45121" w:rsidRPr="005A7B21" w14:paraId="1EDC24C9" w14:textId="77777777" w:rsidTr="00644C93">
        <w:tc>
          <w:tcPr>
            <w:tcW w:w="1959" w:type="dxa"/>
          </w:tcPr>
          <w:p w14:paraId="7B3CD873" w14:textId="77777777" w:rsidR="00A45121" w:rsidRPr="005A7B21" w:rsidRDefault="00A45121" w:rsidP="00644C93">
            <w:pPr>
              <w:ind w:right="-82"/>
              <w:rPr>
                <w:sz w:val="22"/>
                <w:szCs w:val="22"/>
                <w:lang w:val="lt-LT"/>
              </w:rPr>
            </w:pPr>
            <w:r w:rsidRPr="005A7B21">
              <w:rPr>
                <w:sz w:val="22"/>
                <w:szCs w:val="22"/>
                <w:lang w:val="lt-LT"/>
              </w:rPr>
              <w:t>Investiciniam projektui B reikalingo turto faktiška įsigijimo kaina</w:t>
            </w:r>
          </w:p>
        </w:tc>
        <w:tc>
          <w:tcPr>
            <w:tcW w:w="1309" w:type="dxa"/>
          </w:tcPr>
          <w:p w14:paraId="6848AA63" w14:textId="77777777" w:rsidR="00A45121" w:rsidRPr="005A7B21" w:rsidRDefault="00A45121" w:rsidP="00644C93">
            <w:pPr>
              <w:ind w:right="-82"/>
              <w:rPr>
                <w:sz w:val="22"/>
                <w:szCs w:val="22"/>
                <w:lang w:val="lt-LT"/>
              </w:rPr>
            </w:pPr>
            <w:r w:rsidRPr="005A7B21">
              <w:rPr>
                <w:sz w:val="22"/>
                <w:szCs w:val="22"/>
                <w:lang w:val="lt-LT"/>
              </w:rPr>
              <w:t>-</w:t>
            </w:r>
          </w:p>
        </w:tc>
        <w:tc>
          <w:tcPr>
            <w:tcW w:w="1244" w:type="dxa"/>
          </w:tcPr>
          <w:p w14:paraId="46BD867C" w14:textId="77777777" w:rsidR="00A45121" w:rsidRPr="005A7B21" w:rsidRDefault="00A45121" w:rsidP="00644C93">
            <w:pPr>
              <w:ind w:right="-82"/>
              <w:rPr>
                <w:sz w:val="22"/>
                <w:szCs w:val="22"/>
                <w:lang w:val="lt-LT"/>
              </w:rPr>
            </w:pPr>
            <w:r w:rsidRPr="005A7B21">
              <w:rPr>
                <w:sz w:val="22"/>
                <w:szCs w:val="22"/>
                <w:lang w:val="lt-LT"/>
              </w:rPr>
              <w:t>25 000</w:t>
            </w:r>
          </w:p>
        </w:tc>
        <w:tc>
          <w:tcPr>
            <w:tcW w:w="1488" w:type="dxa"/>
          </w:tcPr>
          <w:p w14:paraId="6FDD19D0"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10342771" w14:textId="77777777" w:rsidR="00A45121" w:rsidRPr="005A7B21" w:rsidRDefault="00A45121" w:rsidP="00644C93">
            <w:pPr>
              <w:ind w:right="-82"/>
              <w:rPr>
                <w:sz w:val="22"/>
                <w:szCs w:val="22"/>
                <w:lang w:val="lt-LT"/>
              </w:rPr>
            </w:pPr>
            <w:r w:rsidRPr="005A7B21">
              <w:rPr>
                <w:sz w:val="22"/>
                <w:szCs w:val="22"/>
                <w:lang w:val="lt-LT"/>
              </w:rPr>
              <w:t>-</w:t>
            </w:r>
          </w:p>
        </w:tc>
        <w:tc>
          <w:tcPr>
            <w:tcW w:w="1264" w:type="dxa"/>
          </w:tcPr>
          <w:p w14:paraId="3BD9DCAA" w14:textId="77777777" w:rsidR="00A45121" w:rsidRPr="005A7B21" w:rsidRDefault="00A45121" w:rsidP="00644C93">
            <w:pPr>
              <w:ind w:right="-82"/>
              <w:rPr>
                <w:sz w:val="22"/>
                <w:szCs w:val="22"/>
                <w:lang w:val="lt-LT"/>
              </w:rPr>
            </w:pPr>
            <w:r w:rsidRPr="005A7B21">
              <w:rPr>
                <w:sz w:val="22"/>
                <w:szCs w:val="22"/>
                <w:lang w:val="lt-LT"/>
              </w:rPr>
              <w:t>-</w:t>
            </w:r>
          </w:p>
        </w:tc>
        <w:tc>
          <w:tcPr>
            <w:tcW w:w="1204" w:type="dxa"/>
          </w:tcPr>
          <w:p w14:paraId="2FF32B98" w14:textId="77777777" w:rsidR="00A45121" w:rsidRPr="005A7B21" w:rsidRDefault="00A45121" w:rsidP="00644C93">
            <w:pPr>
              <w:ind w:right="-82"/>
              <w:rPr>
                <w:sz w:val="22"/>
                <w:szCs w:val="22"/>
                <w:lang w:val="lt-LT"/>
              </w:rPr>
            </w:pPr>
            <w:r w:rsidRPr="005A7B21">
              <w:rPr>
                <w:sz w:val="22"/>
                <w:szCs w:val="22"/>
                <w:lang w:val="lt-LT"/>
              </w:rPr>
              <w:t>-</w:t>
            </w:r>
          </w:p>
        </w:tc>
      </w:tr>
      <w:tr w:rsidR="00A45121" w:rsidRPr="005A7B21" w14:paraId="6DC311B9" w14:textId="77777777" w:rsidTr="00644C93">
        <w:tc>
          <w:tcPr>
            <w:tcW w:w="1959" w:type="dxa"/>
          </w:tcPr>
          <w:p w14:paraId="7E7C0031" w14:textId="77777777" w:rsidR="00A45121" w:rsidRPr="005A7B21" w:rsidRDefault="00A45121" w:rsidP="00644C93">
            <w:pPr>
              <w:ind w:right="-82"/>
              <w:rPr>
                <w:sz w:val="22"/>
                <w:szCs w:val="22"/>
                <w:lang w:val="lt-LT"/>
              </w:rPr>
            </w:pPr>
            <w:r w:rsidRPr="005A7B21">
              <w:rPr>
                <w:sz w:val="22"/>
                <w:szCs w:val="22"/>
                <w:lang w:val="lt-LT"/>
              </w:rPr>
              <w:t>Apmokestinamojo pelno sumažinimas (100 proc.)</w:t>
            </w:r>
          </w:p>
        </w:tc>
        <w:tc>
          <w:tcPr>
            <w:tcW w:w="1309" w:type="dxa"/>
          </w:tcPr>
          <w:p w14:paraId="76205B72" w14:textId="77777777" w:rsidR="00A45121" w:rsidRPr="005A7B21" w:rsidRDefault="00A45121" w:rsidP="00644C93">
            <w:pPr>
              <w:ind w:right="-82"/>
              <w:rPr>
                <w:sz w:val="22"/>
                <w:szCs w:val="22"/>
                <w:lang w:val="lt-LT"/>
              </w:rPr>
            </w:pPr>
            <w:r w:rsidRPr="005A7B21">
              <w:rPr>
                <w:sz w:val="22"/>
                <w:szCs w:val="22"/>
                <w:lang w:val="lt-LT"/>
              </w:rPr>
              <w:t>5 000</w:t>
            </w:r>
          </w:p>
        </w:tc>
        <w:tc>
          <w:tcPr>
            <w:tcW w:w="1244" w:type="dxa"/>
          </w:tcPr>
          <w:p w14:paraId="52612A29" w14:textId="77777777" w:rsidR="00A45121" w:rsidRPr="005A7B21" w:rsidRDefault="00A45121" w:rsidP="00644C93">
            <w:pPr>
              <w:ind w:right="-82"/>
              <w:rPr>
                <w:sz w:val="22"/>
                <w:szCs w:val="22"/>
                <w:lang w:val="lt-LT"/>
              </w:rPr>
            </w:pPr>
            <w:r w:rsidRPr="005A7B21">
              <w:rPr>
                <w:sz w:val="22"/>
                <w:szCs w:val="22"/>
                <w:lang w:val="lt-LT"/>
              </w:rPr>
              <w:t>6 000</w:t>
            </w:r>
          </w:p>
        </w:tc>
        <w:tc>
          <w:tcPr>
            <w:tcW w:w="1488" w:type="dxa"/>
          </w:tcPr>
          <w:p w14:paraId="749B4992" w14:textId="77777777" w:rsidR="00A45121" w:rsidRPr="005A7B21" w:rsidRDefault="00A45121" w:rsidP="00644C93">
            <w:pPr>
              <w:ind w:right="-82"/>
              <w:rPr>
                <w:sz w:val="22"/>
                <w:szCs w:val="22"/>
                <w:lang w:val="lt-LT"/>
              </w:rPr>
            </w:pPr>
            <w:r w:rsidRPr="005A7B21">
              <w:rPr>
                <w:sz w:val="22"/>
                <w:szCs w:val="22"/>
                <w:lang w:val="lt-LT"/>
              </w:rPr>
              <w:t>3 000</w:t>
            </w:r>
          </w:p>
        </w:tc>
        <w:tc>
          <w:tcPr>
            <w:tcW w:w="1264" w:type="dxa"/>
          </w:tcPr>
          <w:p w14:paraId="04626EB6" w14:textId="77777777" w:rsidR="00A45121" w:rsidRPr="005A7B21" w:rsidRDefault="00A45121" w:rsidP="00644C93">
            <w:pPr>
              <w:ind w:right="-82"/>
              <w:rPr>
                <w:sz w:val="22"/>
                <w:szCs w:val="22"/>
                <w:lang w:val="lt-LT"/>
              </w:rPr>
            </w:pPr>
            <w:r w:rsidRPr="005A7B21">
              <w:rPr>
                <w:sz w:val="22"/>
                <w:szCs w:val="22"/>
                <w:lang w:val="lt-LT"/>
              </w:rPr>
              <w:t>10 000</w:t>
            </w:r>
          </w:p>
        </w:tc>
        <w:tc>
          <w:tcPr>
            <w:tcW w:w="1264" w:type="dxa"/>
          </w:tcPr>
          <w:p w14:paraId="4F3DFB95" w14:textId="77777777" w:rsidR="00A45121" w:rsidRPr="005A7B21" w:rsidRDefault="00A45121" w:rsidP="00644C93">
            <w:pPr>
              <w:ind w:right="-82"/>
              <w:rPr>
                <w:sz w:val="22"/>
                <w:szCs w:val="22"/>
                <w:lang w:val="lt-LT"/>
              </w:rPr>
            </w:pPr>
            <w:r w:rsidRPr="005A7B21">
              <w:rPr>
                <w:sz w:val="22"/>
                <w:szCs w:val="22"/>
                <w:lang w:val="lt-LT"/>
              </w:rPr>
              <w:t>9 000</w:t>
            </w:r>
          </w:p>
        </w:tc>
        <w:tc>
          <w:tcPr>
            <w:tcW w:w="1204" w:type="dxa"/>
          </w:tcPr>
          <w:p w14:paraId="17E95734" w14:textId="77777777" w:rsidR="00A45121" w:rsidRPr="005A7B21" w:rsidRDefault="00A45121" w:rsidP="00644C93">
            <w:pPr>
              <w:ind w:right="-82"/>
              <w:rPr>
                <w:sz w:val="22"/>
                <w:szCs w:val="22"/>
                <w:lang w:val="lt-LT"/>
              </w:rPr>
            </w:pPr>
            <w:r w:rsidRPr="005A7B21">
              <w:rPr>
                <w:sz w:val="22"/>
                <w:szCs w:val="22"/>
                <w:lang w:val="lt-LT"/>
              </w:rPr>
              <w:t>4 000</w:t>
            </w:r>
          </w:p>
        </w:tc>
      </w:tr>
      <w:tr w:rsidR="00A45121" w:rsidRPr="005A7B21" w14:paraId="5B638F81" w14:textId="77777777" w:rsidTr="00644C93">
        <w:tc>
          <w:tcPr>
            <w:tcW w:w="1959" w:type="dxa"/>
          </w:tcPr>
          <w:p w14:paraId="6F8BCA02" w14:textId="77777777" w:rsidR="00A45121" w:rsidRPr="005A7B21" w:rsidRDefault="00A45121" w:rsidP="00644C93">
            <w:pPr>
              <w:ind w:right="-82"/>
              <w:rPr>
                <w:sz w:val="22"/>
                <w:szCs w:val="22"/>
                <w:lang w:val="lt-LT"/>
              </w:rPr>
            </w:pPr>
            <w:r w:rsidRPr="005A7B21">
              <w:rPr>
                <w:sz w:val="22"/>
                <w:szCs w:val="22"/>
                <w:lang w:val="lt-LT"/>
              </w:rPr>
              <w:t>Investiciniam projektui reikalingo turto faktiškos įsigijimo kainos likutis perkeliamas į kitus metus</w:t>
            </w:r>
          </w:p>
        </w:tc>
        <w:tc>
          <w:tcPr>
            <w:tcW w:w="1309" w:type="dxa"/>
          </w:tcPr>
          <w:p w14:paraId="60D1ACD4" w14:textId="77777777" w:rsidR="00A45121" w:rsidRPr="005A7B21" w:rsidRDefault="00A45121" w:rsidP="00644C93">
            <w:pPr>
              <w:ind w:right="-82"/>
              <w:jc w:val="both"/>
              <w:rPr>
                <w:sz w:val="22"/>
                <w:szCs w:val="22"/>
                <w:lang w:val="lt-LT"/>
              </w:rPr>
            </w:pPr>
            <w:r w:rsidRPr="005A7B21">
              <w:rPr>
                <w:sz w:val="22"/>
                <w:szCs w:val="22"/>
                <w:lang w:val="lt-LT"/>
              </w:rPr>
              <w:t>2023 m.- (13 000 –</w:t>
            </w:r>
          </w:p>
          <w:p w14:paraId="66E035D4" w14:textId="77777777" w:rsidR="00A45121" w:rsidRPr="005A7B21" w:rsidRDefault="00A45121" w:rsidP="00644C93">
            <w:pPr>
              <w:ind w:right="-82"/>
              <w:jc w:val="both"/>
              <w:rPr>
                <w:sz w:val="22"/>
                <w:szCs w:val="22"/>
                <w:lang w:val="lt-LT"/>
              </w:rPr>
            </w:pPr>
            <w:r w:rsidRPr="005A7B21">
              <w:rPr>
                <w:sz w:val="22"/>
                <w:szCs w:val="22"/>
                <w:lang w:val="lt-LT"/>
              </w:rPr>
              <w:t>5 000) =</w:t>
            </w:r>
          </w:p>
          <w:p w14:paraId="427DE6AC" w14:textId="77777777" w:rsidR="00A45121" w:rsidRPr="005A7B21" w:rsidRDefault="00A45121" w:rsidP="00644C93">
            <w:pPr>
              <w:ind w:right="-82"/>
              <w:rPr>
                <w:sz w:val="22"/>
                <w:szCs w:val="22"/>
                <w:lang w:val="lt-LT"/>
              </w:rPr>
            </w:pPr>
            <w:r w:rsidRPr="005A7B21">
              <w:rPr>
                <w:sz w:val="22"/>
                <w:szCs w:val="22"/>
                <w:lang w:val="lt-LT"/>
              </w:rPr>
              <w:t xml:space="preserve">8 000 </w:t>
            </w:r>
          </w:p>
        </w:tc>
        <w:tc>
          <w:tcPr>
            <w:tcW w:w="1244" w:type="dxa"/>
          </w:tcPr>
          <w:p w14:paraId="73073A76" w14:textId="77777777" w:rsidR="00A45121" w:rsidRPr="005A7B21" w:rsidRDefault="00A45121" w:rsidP="00644C93">
            <w:pPr>
              <w:ind w:right="-82"/>
              <w:rPr>
                <w:sz w:val="22"/>
                <w:szCs w:val="22"/>
                <w:lang w:val="lt-LT"/>
              </w:rPr>
            </w:pPr>
            <w:r w:rsidRPr="005A7B21">
              <w:rPr>
                <w:sz w:val="22"/>
                <w:szCs w:val="22"/>
                <w:lang w:val="lt-LT"/>
              </w:rPr>
              <w:t>2023 m. - (8 000 -</w:t>
            </w:r>
          </w:p>
          <w:p w14:paraId="775AA2DF" w14:textId="77777777" w:rsidR="00A45121" w:rsidRPr="005A7B21" w:rsidRDefault="00A45121" w:rsidP="00644C93">
            <w:pPr>
              <w:ind w:right="-82"/>
              <w:rPr>
                <w:sz w:val="22"/>
                <w:szCs w:val="22"/>
                <w:lang w:val="lt-LT"/>
              </w:rPr>
            </w:pPr>
            <w:r w:rsidRPr="005A7B21">
              <w:rPr>
                <w:sz w:val="22"/>
                <w:szCs w:val="22"/>
                <w:lang w:val="lt-LT"/>
              </w:rPr>
              <w:t xml:space="preserve">6 000) =    </w:t>
            </w:r>
          </w:p>
          <w:p w14:paraId="6B273554" w14:textId="77777777" w:rsidR="00A45121" w:rsidRPr="005A7B21" w:rsidRDefault="00A45121" w:rsidP="00644C93">
            <w:pPr>
              <w:ind w:right="-82"/>
              <w:rPr>
                <w:sz w:val="22"/>
                <w:szCs w:val="22"/>
                <w:lang w:val="lt-LT"/>
              </w:rPr>
            </w:pPr>
            <w:r w:rsidRPr="005A7B21">
              <w:rPr>
                <w:sz w:val="22"/>
                <w:szCs w:val="22"/>
                <w:lang w:val="lt-LT"/>
              </w:rPr>
              <w:t xml:space="preserve">2 000  </w:t>
            </w:r>
          </w:p>
          <w:p w14:paraId="5A35BC25" w14:textId="77777777" w:rsidR="00A45121" w:rsidRPr="005A7B21" w:rsidRDefault="00A45121" w:rsidP="00644C93">
            <w:pPr>
              <w:ind w:right="-82"/>
              <w:rPr>
                <w:sz w:val="22"/>
                <w:szCs w:val="22"/>
                <w:lang w:val="lt-LT"/>
              </w:rPr>
            </w:pPr>
            <w:r w:rsidRPr="005A7B21">
              <w:rPr>
                <w:sz w:val="22"/>
                <w:szCs w:val="22"/>
                <w:lang w:val="lt-LT"/>
              </w:rPr>
              <w:t xml:space="preserve">2024 m. – 25 000  </w:t>
            </w:r>
          </w:p>
          <w:p w14:paraId="5A7FAF2E" w14:textId="77777777" w:rsidR="00A45121" w:rsidRPr="005A7B21" w:rsidRDefault="00A45121" w:rsidP="00644C93">
            <w:pPr>
              <w:ind w:right="-82"/>
              <w:rPr>
                <w:sz w:val="22"/>
                <w:szCs w:val="22"/>
                <w:lang w:val="lt-LT"/>
              </w:rPr>
            </w:pPr>
          </w:p>
        </w:tc>
        <w:tc>
          <w:tcPr>
            <w:tcW w:w="1488" w:type="dxa"/>
          </w:tcPr>
          <w:p w14:paraId="6F706C72" w14:textId="77777777" w:rsidR="00A45121" w:rsidRPr="005A7B21" w:rsidRDefault="00A45121" w:rsidP="00644C93">
            <w:pPr>
              <w:ind w:right="-82"/>
              <w:rPr>
                <w:sz w:val="22"/>
                <w:szCs w:val="22"/>
                <w:lang w:val="lt-LT"/>
              </w:rPr>
            </w:pPr>
            <w:r w:rsidRPr="005A7B21">
              <w:rPr>
                <w:sz w:val="22"/>
                <w:szCs w:val="22"/>
                <w:lang w:val="lt-LT"/>
              </w:rPr>
              <w:t xml:space="preserve">2023 m. – (2 000 – </w:t>
            </w:r>
          </w:p>
          <w:p w14:paraId="46FD5177" w14:textId="77777777" w:rsidR="00A45121" w:rsidRPr="005A7B21" w:rsidRDefault="00A45121" w:rsidP="00644C93">
            <w:pPr>
              <w:ind w:right="-82"/>
              <w:rPr>
                <w:sz w:val="22"/>
                <w:szCs w:val="22"/>
                <w:lang w:val="lt-LT"/>
              </w:rPr>
            </w:pPr>
            <w:r w:rsidRPr="005A7B21">
              <w:rPr>
                <w:sz w:val="22"/>
                <w:szCs w:val="22"/>
                <w:lang w:val="lt-LT"/>
              </w:rPr>
              <w:t xml:space="preserve">2 000) = 0 </w:t>
            </w:r>
          </w:p>
          <w:p w14:paraId="7F2B2C66" w14:textId="77777777" w:rsidR="00A45121" w:rsidRPr="005A7B21" w:rsidRDefault="00A45121" w:rsidP="00644C93">
            <w:pPr>
              <w:ind w:right="-82"/>
              <w:rPr>
                <w:sz w:val="22"/>
                <w:szCs w:val="22"/>
                <w:lang w:val="lt-LT"/>
              </w:rPr>
            </w:pPr>
            <w:r w:rsidRPr="005A7B21">
              <w:rPr>
                <w:sz w:val="22"/>
                <w:szCs w:val="22"/>
                <w:lang w:val="lt-LT"/>
              </w:rPr>
              <w:t xml:space="preserve">2024 m.- </w:t>
            </w:r>
          </w:p>
          <w:p w14:paraId="36535405" w14:textId="77777777" w:rsidR="00A45121" w:rsidRPr="005A7B21" w:rsidRDefault="00A45121" w:rsidP="00644C93">
            <w:pPr>
              <w:ind w:right="-82"/>
              <w:rPr>
                <w:sz w:val="22"/>
                <w:szCs w:val="22"/>
                <w:lang w:val="lt-LT"/>
              </w:rPr>
            </w:pPr>
            <w:r w:rsidRPr="005A7B21">
              <w:rPr>
                <w:sz w:val="22"/>
                <w:szCs w:val="22"/>
                <w:lang w:val="lt-LT"/>
              </w:rPr>
              <w:t xml:space="preserve">(25 000-1 000) = 24 000 </w:t>
            </w:r>
          </w:p>
        </w:tc>
        <w:tc>
          <w:tcPr>
            <w:tcW w:w="1264" w:type="dxa"/>
          </w:tcPr>
          <w:p w14:paraId="35CB0D2C" w14:textId="77777777" w:rsidR="00A45121" w:rsidRPr="005A7B21" w:rsidRDefault="00A45121" w:rsidP="00644C93">
            <w:pPr>
              <w:ind w:right="-82"/>
              <w:rPr>
                <w:sz w:val="22"/>
                <w:szCs w:val="22"/>
                <w:lang w:val="lt-LT"/>
              </w:rPr>
            </w:pPr>
            <w:r w:rsidRPr="005A7B21">
              <w:rPr>
                <w:sz w:val="22"/>
                <w:szCs w:val="22"/>
                <w:lang w:val="lt-LT"/>
              </w:rPr>
              <w:t>2024 m. – (24 000 – 10 000) = 14 000</w:t>
            </w:r>
          </w:p>
          <w:p w14:paraId="49C52428" w14:textId="77777777" w:rsidR="00A45121" w:rsidRPr="005A7B21" w:rsidRDefault="00A45121" w:rsidP="00644C93">
            <w:pPr>
              <w:ind w:right="-82"/>
              <w:rPr>
                <w:sz w:val="22"/>
                <w:szCs w:val="22"/>
                <w:lang w:val="lt-LT"/>
              </w:rPr>
            </w:pPr>
          </w:p>
        </w:tc>
        <w:tc>
          <w:tcPr>
            <w:tcW w:w="1264" w:type="dxa"/>
          </w:tcPr>
          <w:p w14:paraId="2B08DDD6" w14:textId="77777777" w:rsidR="00A45121" w:rsidRPr="005A7B21" w:rsidRDefault="00A45121" w:rsidP="00644C93">
            <w:pPr>
              <w:ind w:right="-82"/>
              <w:rPr>
                <w:sz w:val="22"/>
                <w:szCs w:val="22"/>
                <w:lang w:val="lt-LT"/>
              </w:rPr>
            </w:pPr>
            <w:r w:rsidRPr="005A7B21">
              <w:rPr>
                <w:sz w:val="22"/>
                <w:szCs w:val="22"/>
                <w:lang w:val="lt-LT"/>
              </w:rPr>
              <w:t>2024 m. – (14 000 – 9 000) =</w:t>
            </w:r>
          </w:p>
          <w:p w14:paraId="0E332347" w14:textId="77777777" w:rsidR="00A45121" w:rsidRPr="005A7B21" w:rsidRDefault="00A45121" w:rsidP="00644C93">
            <w:pPr>
              <w:ind w:right="-82"/>
              <w:rPr>
                <w:sz w:val="22"/>
                <w:szCs w:val="22"/>
                <w:lang w:val="lt-LT"/>
              </w:rPr>
            </w:pPr>
            <w:r w:rsidRPr="005A7B21">
              <w:rPr>
                <w:sz w:val="22"/>
                <w:szCs w:val="22"/>
                <w:lang w:val="lt-LT"/>
              </w:rPr>
              <w:t>5 000</w:t>
            </w:r>
          </w:p>
        </w:tc>
        <w:tc>
          <w:tcPr>
            <w:tcW w:w="1204" w:type="dxa"/>
          </w:tcPr>
          <w:p w14:paraId="5ADD07AC" w14:textId="77777777" w:rsidR="00A45121" w:rsidRPr="005A7B21" w:rsidRDefault="00A45121" w:rsidP="00644C93">
            <w:pPr>
              <w:ind w:right="-82"/>
              <w:rPr>
                <w:sz w:val="22"/>
                <w:szCs w:val="22"/>
                <w:lang w:val="lt-LT"/>
              </w:rPr>
            </w:pPr>
            <w:r w:rsidRPr="005A7B21">
              <w:rPr>
                <w:sz w:val="22"/>
                <w:szCs w:val="22"/>
                <w:lang w:val="lt-LT"/>
              </w:rPr>
              <w:t>2024 m. – 5 000</w:t>
            </w:r>
          </w:p>
          <w:p w14:paraId="6C7C4A1E" w14:textId="77777777" w:rsidR="00A45121" w:rsidRPr="005A7B21" w:rsidRDefault="00A45121" w:rsidP="00644C93">
            <w:pPr>
              <w:ind w:right="-82"/>
              <w:rPr>
                <w:sz w:val="22"/>
                <w:szCs w:val="22"/>
                <w:lang w:val="lt-LT"/>
              </w:rPr>
            </w:pPr>
            <w:r w:rsidRPr="005A7B21">
              <w:rPr>
                <w:sz w:val="22"/>
                <w:szCs w:val="22"/>
                <w:lang w:val="lt-LT"/>
              </w:rPr>
              <w:t>- 4 000)</w:t>
            </w:r>
          </w:p>
          <w:p w14:paraId="77344BAB" w14:textId="77777777" w:rsidR="00A45121" w:rsidRPr="005A7B21" w:rsidRDefault="00A45121" w:rsidP="00644C93">
            <w:pPr>
              <w:ind w:right="-82"/>
              <w:rPr>
                <w:sz w:val="22"/>
                <w:szCs w:val="22"/>
                <w:lang w:val="lt-LT"/>
              </w:rPr>
            </w:pPr>
            <w:r w:rsidRPr="005A7B21">
              <w:rPr>
                <w:sz w:val="22"/>
                <w:szCs w:val="22"/>
                <w:lang w:val="lt-LT"/>
              </w:rPr>
              <w:t>= 1 000</w:t>
            </w:r>
          </w:p>
          <w:p w14:paraId="2C47D92E" w14:textId="77777777" w:rsidR="00A45121" w:rsidRPr="005A7B21" w:rsidRDefault="00A45121" w:rsidP="00644C93">
            <w:pPr>
              <w:ind w:right="-82"/>
              <w:rPr>
                <w:sz w:val="22"/>
                <w:szCs w:val="22"/>
                <w:lang w:val="lt-LT"/>
              </w:rPr>
            </w:pPr>
            <w:r w:rsidRPr="005A7B21">
              <w:rPr>
                <w:sz w:val="22"/>
                <w:szCs w:val="22"/>
                <w:lang w:val="lt-LT"/>
              </w:rPr>
              <w:t>(šis likutis neperkelia-mas į kitus metus)</w:t>
            </w:r>
          </w:p>
        </w:tc>
      </w:tr>
    </w:tbl>
    <w:p w14:paraId="158520E2" w14:textId="77777777" w:rsidR="00A45121" w:rsidRPr="00D44CA9" w:rsidRDefault="00A45121" w:rsidP="00A45121">
      <w:pPr>
        <w:ind w:right="-82" w:firstLine="720"/>
        <w:jc w:val="both"/>
        <w:rPr>
          <w:bCs/>
          <w:sz w:val="22"/>
          <w:szCs w:val="22"/>
          <w:lang w:val="lt-LT"/>
        </w:rPr>
      </w:pPr>
    </w:p>
    <w:p w14:paraId="2F4B297D" w14:textId="77777777" w:rsidR="00A45121" w:rsidRDefault="00A45121" w:rsidP="00A45121">
      <w:pPr>
        <w:ind w:right="-82" w:firstLine="720"/>
        <w:jc w:val="both"/>
        <w:rPr>
          <w:bCs/>
          <w:lang w:val="lt-LT"/>
        </w:rPr>
      </w:pPr>
      <w:r w:rsidRPr="005A7B21">
        <w:rPr>
          <w:bCs/>
          <w:lang w:val="lt-LT"/>
        </w:rPr>
        <w:t>Kadangi vienetas pagal šio straipsnio 2 dalies nuostatas 2024 metais įsigyto turto faktišką įsigijimo kainą gali perkelti tik iki 2028 metų, tai likusia neperkelta 1 000 Eur šios kainos dalimi 2029 metų apskaičiuotas apmokestinamasis pelnas nemažinamas.</w:t>
      </w:r>
    </w:p>
    <w:p w14:paraId="71835A67" w14:textId="77777777" w:rsidR="00A45121" w:rsidRPr="00A45121" w:rsidRDefault="00A45121" w:rsidP="00A45121">
      <w:pPr>
        <w:ind w:right="-82" w:firstLine="720"/>
        <w:jc w:val="both"/>
        <w:rPr>
          <w:lang w:val="fr-FR"/>
        </w:rPr>
      </w:pPr>
      <w:r w:rsidRPr="001F5349">
        <w:t>(PMĮ 46-1 straip</w:t>
      </w:r>
      <w:r>
        <w:t>snio 2 dalies 2 punkto komentaro 3 pavyzdys</w:t>
      </w:r>
      <w:r w:rsidRPr="001F5349">
        <w:t xml:space="preserve"> pakeistas pagal VMI prie FM 2024-02-01 raštą Nr. (32.42-31-1-Mr) R-409).</w:t>
      </w:r>
    </w:p>
    <w:p w14:paraId="573011E2" w14:textId="77777777" w:rsidR="00093845" w:rsidRDefault="000D779E">
      <w:pPr>
        <w:ind w:firstLine="720"/>
        <w:jc w:val="both"/>
        <w:rPr>
          <w:bCs/>
        </w:rPr>
      </w:pPr>
      <w:r>
        <w:rPr>
          <w:bCs/>
        </w:rPr>
        <w:t xml:space="preserve">4. </w:t>
      </w:r>
      <w:r>
        <w:rPr>
          <w:iCs/>
          <w:color w:val="000000"/>
        </w:rPr>
        <w:t>Vienetas nusprendė plėsti gamybos apimtis ir sukurti papildomas darbo vietas. Tuo tikslu 2018 metais pradėtas vykdyti investicinis projektas. Šiam investiciniam projektui įgyvendinti 2018 metais įsigytas turtas, atitinkantis investicinio projekto reikalavimus, kurio faktiška įsigijimo kaina yra 33 000 Eur. Turtas pradėtas eksploatuoti 2018 m. vasario mėnesį. Šis turtas vieneto veikloje naudojamas 3 metus, tačiau 2021 m. gruodžio mėnesį jis parduotas.</w:t>
      </w:r>
    </w:p>
    <w:p w14:paraId="6A2AFDAA" w14:textId="77777777" w:rsidR="00093845" w:rsidRDefault="000D779E">
      <w:pPr>
        <w:ind w:right="-82" w:firstLine="720"/>
        <w:jc w:val="both"/>
        <w:rPr>
          <w:iCs/>
          <w:color w:val="000000"/>
        </w:rPr>
      </w:pPr>
      <w:r>
        <w:t xml:space="preserve">Toliau pateiktoje lentelėje atvaizduotas apskaičiuoto apmokestinamojo pelno sumažinimas vieneto įsigyto turto, reikalingo </w:t>
      </w:r>
      <w:r>
        <w:rPr>
          <w:iCs/>
          <w:color w:val="000000"/>
        </w:rPr>
        <w:t>investiciniam projektui įgyvendinti, faktiška įsigijimo kaina, eurais:</w:t>
      </w:r>
    </w:p>
    <w:p w14:paraId="0E52588C" w14:textId="77777777" w:rsidR="00093845" w:rsidRDefault="00093845">
      <w:pPr>
        <w:ind w:right="-82" w:firstLine="720"/>
        <w:jc w:val="both"/>
        <w:rPr>
          <w:iCs/>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1"/>
        <w:gridCol w:w="1609"/>
        <w:gridCol w:w="1080"/>
        <w:gridCol w:w="1260"/>
        <w:gridCol w:w="2160"/>
      </w:tblGrid>
      <w:tr w:rsidR="00093845" w14:paraId="12B95147" w14:textId="77777777">
        <w:tc>
          <w:tcPr>
            <w:tcW w:w="2268" w:type="dxa"/>
          </w:tcPr>
          <w:p w14:paraId="081BBB05" w14:textId="77777777" w:rsidR="00093845" w:rsidRDefault="000D779E">
            <w:pPr>
              <w:ind w:right="-82"/>
              <w:rPr>
                <w:sz w:val="22"/>
                <w:szCs w:val="22"/>
              </w:rPr>
            </w:pPr>
            <w:r>
              <w:rPr>
                <w:sz w:val="22"/>
                <w:szCs w:val="22"/>
              </w:rPr>
              <w:t>Mokestiniai metai</w:t>
            </w:r>
          </w:p>
        </w:tc>
        <w:tc>
          <w:tcPr>
            <w:tcW w:w="1271" w:type="dxa"/>
          </w:tcPr>
          <w:p w14:paraId="2AE25F39" w14:textId="77777777" w:rsidR="00093845" w:rsidRDefault="000D779E">
            <w:pPr>
              <w:ind w:right="-82"/>
              <w:rPr>
                <w:sz w:val="22"/>
                <w:szCs w:val="22"/>
              </w:rPr>
            </w:pPr>
            <w:r>
              <w:rPr>
                <w:sz w:val="22"/>
                <w:szCs w:val="22"/>
              </w:rPr>
              <w:t>2018</w:t>
            </w:r>
          </w:p>
        </w:tc>
        <w:tc>
          <w:tcPr>
            <w:tcW w:w="1609" w:type="dxa"/>
          </w:tcPr>
          <w:p w14:paraId="496BCE38" w14:textId="77777777" w:rsidR="00093845" w:rsidRDefault="000D779E">
            <w:pPr>
              <w:ind w:right="-82"/>
              <w:rPr>
                <w:strike/>
                <w:sz w:val="22"/>
                <w:szCs w:val="22"/>
              </w:rPr>
            </w:pPr>
            <w:r>
              <w:rPr>
                <w:sz w:val="22"/>
                <w:szCs w:val="22"/>
              </w:rPr>
              <w:t>2019</w:t>
            </w:r>
          </w:p>
        </w:tc>
        <w:tc>
          <w:tcPr>
            <w:tcW w:w="1080" w:type="dxa"/>
          </w:tcPr>
          <w:p w14:paraId="47D3233E" w14:textId="77777777" w:rsidR="00093845" w:rsidRDefault="000D779E">
            <w:pPr>
              <w:ind w:right="-82"/>
              <w:rPr>
                <w:strike/>
                <w:sz w:val="22"/>
                <w:szCs w:val="22"/>
              </w:rPr>
            </w:pPr>
            <w:r>
              <w:rPr>
                <w:sz w:val="22"/>
                <w:szCs w:val="22"/>
              </w:rPr>
              <w:t>2020</w:t>
            </w:r>
            <w:r>
              <w:rPr>
                <w:strike/>
                <w:sz w:val="22"/>
                <w:szCs w:val="22"/>
              </w:rPr>
              <w:t xml:space="preserve"> </w:t>
            </w:r>
          </w:p>
        </w:tc>
        <w:tc>
          <w:tcPr>
            <w:tcW w:w="1260" w:type="dxa"/>
          </w:tcPr>
          <w:p w14:paraId="09FBE6C1" w14:textId="77777777" w:rsidR="00093845" w:rsidRDefault="000D779E">
            <w:pPr>
              <w:ind w:right="-82"/>
              <w:rPr>
                <w:strike/>
                <w:sz w:val="22"/>
                <w:szCs w:val="22"/>
              </w:rPr>
            </w:pPr>
            <w:r>
              <w:rPr>
                <w:sz w:val="22"/>
                <w:szCs w:val="22"/>
              </w:rPr>
              <w:t>2021</w:t>
            </w:r>
            <w:r>
              <w:rPr>
                <w:strike/>
                <w:sz w:val="22"/>
                <w:szCs w:val="22"/>
              </w:rPr>
              <w:t xml:space="preserve"> </w:t>
            </w:r>
          </w:p>
        </w:tc>
        <w:tc>
          <w:tcPr>
            <w:tcW w:w="2160" w:type="dxa"/>
          </w:tcPr>
          <w:p w14:paraId="1FD03CCD" w14:textId="77777777" w:rsidR="00093845" w:rsidRDefault="000D779E">
            <w:pPr>
              <w:ind w:right="-82"/>
              <w:rPr>
                <w:strike/>
                <w:sz w:val="22"/>
                <w:szCs w:val="22"/>
              </w:rPr>
            </w:pPr>
            <w:r>
              <w:rPr>
                <w:sz w:val="22"/>
                <w:szCs w:val="22"/>
              </w:rPr>
              <w:t>2022</w:t>
            </w:r>
            <w:r>
              <w:rPr>
                <w:strike/>
                <w:sz w:val="22"/>
                <w:szCs w:val="22"/>
              </w:rPr>
              <w:t xml:space="preserve"> </w:t>
            </w:r>
          </w:p>
        </w:tc>
      </w:tr>
      <w:tr w:rsidR="00093845" w14:paraId="0A98115A" w14:textId="77777777">
        <w:tc>
          <w:tcPr>
            <w:tcW w:w="2268" w:type="dxa"/>
          </w:tcPr>
          <w:p w14:paraId="6A6FCB3C" w14:textId="77777777" w:rsidR="00093845" w:rsidRDefault="000D779E">
            <w:pPr>
              <w:ind w:right="-82"/>
              <w:rPr>
                <w:sz w:val="22"/>
                <w:szCs w:val="22"/>
              </w:rPr>
            </w:pPr>
            <w:r>
              <w:rPr>
                <w:sz w:val="22"/>
                <w:szCs w:val="22"/>
              </w:rPr>
              <w:t>Apmokestinamasis pelnas</w:t>
            </w:r>
          </w:p>
        </w:tc>
        <w:tc>
          <w:tcPr>
            <w:tcW w:w="1271" w:type="dxa"/>
          </w:tcPr>
          <w:p w14:paraId="5DD4B0B6" w14:textId="77777777" w:rsidR="00093845" w:rsidRDefault="000D779E">
            <w:pPr>
              <w:ind w:right="-82"/>
              <w:rPr>
                <w:sz w:val="22"/>
                <w:szCs w:val="22"/>
              </w:rPr>
            </w:pPr>
            <w:r>
              <w:rPr>
                <w:sz w:val="22"/>
                <w:szCs w:val="22"/>
              </w:rPr>
              <w:t xml:space="preserve">6 000  </w:t>
            </w:r>
          </w:p>
        </w:tc>
        <w:tc>
          <w:tcPr>
            <w:tcW w:w="1609" w:type="dxa"/>
          </w:tcPr>
          <w:p w14:paraId="438C0FE2" w14:textId="77777777" w:rsidR="00093845" w:rsidRDefault="000D779E">
            <w:pPr>
              <w:ind w:right="-82"/>
              <w:rPr>
                <w:sz w:val="22"/>
                <w:szCs w:val="22"/>
              </w:rPr>
            </w:pPr>
            <w:r>
              <w:rPr>
                <w:sz w:val="22"/>
                <w:szCs w:val="22"/>
              </w:rPr>
              <w:t xml:space="preserve">9 000  </w:t>
            </w:r>
          </w:p>
        </w:tc>
        <w:tc>
          <w:tcPr>
            <w:tcW w:w="1080" w:type="dxa"/>
          </w:tcPr>
          <w:p w14:paraId="6F4A1BCD" w14:textId="77777777" w:rsidR="00093845" w:rsidRDefault="000D779E">
            <w:pPr>
              <w:ind w:right="-82"/>
              <w:rPr>
                <w:sz w:val="22"/>
                <w:szCs w:val="22"/>
              </w:rPr>
            </w:pPr>
            <w:r>
              <w:rPr>
                <w:sz w:val="22"/>
                <w:szCs w:val="22"/>
              </w:rPr>
              <w:t xml:space="preserve">5 000 </w:t>
            </w:r>
          </w:p>
        </w:tc>
        <w:tc>
          <w:tcPr>
            <w:tcW w:w="1260" w:type="dxa"/>
          </w:tcPr>
          <w:p w14:paraId="09198B5A" w14:textId="77777777" w:rsidR="00093845" w:rsidRDefault="000D779E">
            <w:pPr>
              <w:ind w:right="-82"/>
              <w:rPr>
                <w:sz w:val="22"/>
                <w:szCs w:val="22"/>
              </w:rPr>
            </w:pPr>
            <w:r>
              <w:rPr>
                <w:sz w:val="22"/>
                <w:szCs w:val="22"/>
              </w:rPr>
              <w:t xml:space="preserve">12 000 </w:t>
            </w:r>
          </w:p>
        </w:tc>
        <w:tc>
          <w:tcPr>
            <w:tcW w:w="2160" w:type="dxa"/>
          </w:tcPr>
          <w:p w14:paraId="3403A32F" w14:textId="77777777" w:rsidR="00093845" w:rsidRDefault="000D779E">
            <w:pPr>
              <w:ind w:right="-82"/>
              <w:rPr>
                <w:sz w:val="22"/>
                <w:szCs w:val="22"/>
              </w:rPr>
            </w:pPr>
            <w:r>
              <w:rPr>
                <w:sz w:val="22"/>
                <w:szCs w:val="22"/>
              </w:rPr>
              <w:t xml:space="preserve">16 000 </w:t>
            </w:r>
          </w:p>
        </w:tc>
      </w:tr>
      <w:tr w:rsidR="00093845" w14:paraId="40656F72" w14:textId="77777777">
        <w:tc>
          <w:tcPr>
            <w:tcW w:w="2268" w:type="dxa"/>
          </w:tcPr>
          <w:p w14:paraId="06DE63EB" w14:textId="77777777" w:rsidR="00093845" w:rsidRDefault="000D779E">
            <w:pPr>
              <w:ind w:right="-82"/>
              <w:rPr>
                <w:sz w:val="22"/>
                <w:szCs w:val="22"/>
              </w:rPr>
            </w:pPr>
            <w:r>
              <w:rPr>
                <w:sz w:val="22"/>
                <w:szCs w:val="22"/>
              </w:rPr>
              <w:lastRenderedPageBreak/>
              <w:t xml:space="preserve">Investiciniam projektui reikalingo turto faktiška įsigijimo kaina </w:t>
            </w:r>
          </w:p>
        </w:tc>
        <w:tc>
          <w:tcPr>
            <w:tcW w:w="1271" w:type="dxa"/>
          </w:tcPr>
          <w:p w14:paraId="1CABE705" w14:textId="77777777" w:rsidR="00093845" w:rsidRDefault="000D779E">
            <w:pPr>
              <w:ind w:right="-82"/>
              <w:rPr>
                <w:sz w:val="22"/>
                <w:szCs w:val="22"/>
              </w:rPr>
            </w:pPr>
            <w:r>
              <w:rPr>
                <w:sz w:val="22"/>
                <w:szCs w:val="22"/>
              </w:rPr>
              <w:t xml:space="preserve">33 000  </w:t>
            </w:r>
          </w:p>
        </w:tc>
        <w:tc>
          <w:tcPr>
            <w:tcW w:w="1609" w:type="dxa"/>
          </w:tcPr>
          <w:p w14:paraId="09CA6A96" w14:textId="77777777" w:rsidR="00093845" w:rsidRDefault="000D779E">
            <w:pPr>
              <w:ind w:right="-82"/>
              <w:rPr>
                <w:strike/>
                <w:sz w:val="22"/>
                <w:szCs w:val="22"/>
              </w:rPr>
            </w:pPr>
            <w:r>
              <w:rPr>
                <w:strike/>
                <w:sz w:val="22"/>
                <w:szCs w:val="22"/>
              </w:rPr>
              <w:t>-</w:t>
            </w:r>
          </w:p>
        </w:tc>
        <w:tc>
          <w:tcPr>
            <w:tcW w:w="1080" w:type="dxa"/>
          </w:tcPr>
          <w:p w14:paraId="35679FB6" w14:textId="77777777" w:rsidR="00093845" w:rsidRDefault="000D779E">
            <w:pPr>
              <w:ind w:right="-82"/>
              <w:rPr>
                <w:sz w:val="22"/>
                <w:szCs w:val="22"/>
              </w:rPr>
            </w:pPr>
            <w:r>
              <w:rPr>
                <w:sz w:val="22"/>
                <w:szCs w:val="22"/>
              </w:rPr>
              <w:t>-</w:t>
            </w:r>
          </w:p>
        </w:tc>
        <w:tc>
          <w:tcPr>
            <w:tcW w:w="1260" w:type="dxa"/>
          </w:tcPr>
          <w:p w14:paraId="6366CAD4" w14:textId="77777777" w:rsidR="00093845" w:rsidRDefault="00093845">
            <w:pPr>
              <w:ind w:right="-82"/>
              <w:rPr>
                <w:sz w:val="22"/>
                <w:szCs w:val="22"/>
              </w:rPr>
            </w:pPr>
          </w:p>
        </w:tc>
        <w:tc>
          <w:tcPr>
            <w:tcW w:w="2160" w:type="dxa"/>
          </w:tcPr>
          <w:p w14:paraId="79800C51" w14:textId="77777777" w:rsidR="00093845" w:rsidRDefault="000D779E">
            <w:pPr>
              <w:ind w:right="-82"/>
              <w:rPr>
                <w:sz w:val="22"/>
                <w:szCs w:val="22"/>
              </w:rPr>
            </w:pPr>
            <w:r>
              <w:rPr>
                <w:sz w:val="22"/>
                <w:szCs w:val="22"/>
              </w:rPr>
              <w:t>-</w:t>
            </w:r>
          </w:p>
        </w:tc>
      </w:tr>
      <w:tr w:rsidR="00093845" w14:paraId="2C36A959" w14:textId="77777777">
        <w:trPr>
          <w:trHeight w:val="2263"/>
        </w:trPr>
        <w:tc>
          <w:tcPr>
            <w:tcW w:w="2268" w:type="dxa"/>
          </w:tcPr>
          <w:p w14:paraId="0E71312C" w14:textId="77777777" w:rsidR="00093845" w:rsidRDefault="000D779E">
            <w:pPr>
              <w:ind w:right="-82"/>
              <w:rPr>
                <w:sz w:val="22"/>
                <w:szCs w:val="22"/>
              </w:rPr>
            </w:pPr>
            <w:r>
              <w:rPr>
                <w:sz w:val="22"/>
                <w:szCs w:val="22"/>
              </w:rPr>
              <w:t>Apmokestinamojo pelno sumažinimas (100 proc.)</w:t>
            </w:r>
          </w:p>
        </w:tc>
        <w:tc>
          <w:tcPr>
            <w:tcW w:w="1271" w:type="dxa"/>
          </w:tcPr>
          <w:p w14:paraId="277826C6" w14:textId="77777777" w:rsidR="00093845" w:rsidRDefault="000D779E">
            <w:pPr>
              <w:ind w:right="-82"/>
              <w:rPr>
                <w:sz w:val="22"/>
                <w:szCs w:val="22"/>
              </w:rPr>
            </w:pPr>
            <w:r>
              <w:rPr>
                <w:sz w:val="22"/>
                <w:szCs w:val="22"/>
              </w:rPr>
              <w:t>6 000</w:t>
            </w:r>
          </w:p>
        </w:tc>
        <w:tc>
          <w:tcPr>
            <w:tcW w:w="1609" w:type="dxa"/>
          </w:tcPr>
          <w:p w14:paraId="47743FD6" w14:textId="77777777" w:rsidR="00093845" w:rsidRDefault="000D779E">
            <w:pPr>
              <w:ind w:right="-82"/>
              <w:rPr>
                <w:sz w:val="22"/>
                <w:szCs w:val="22"/>
              </w:rPr>
            </w:pPr>
            <w:r>
              <w:rPr>
                <w:sz w:val="22"/>
                <w:szCs w:val="22"/>
              </w:rPr>
              <w:t>9 000</w:t>
            </w:r>
          </w:p>
        </w:tc>
        <w:tc>
          <w:tcPr>
            <w:tcW w:w="1080" w:type="dxa"/>
          </w:tcPr>
          <w:p w14:paraId="51C1E0A3" w14:textId="77777777" w:rsidR="00093845" w:rsidRDefault="000D779E">
            <w:pPr>
              <w:ind w:right="-82"/>
              <w:rPr>
                <w:sz w:val="22"/>
                <w:szCs w:val="22"/>
              </w:rPr>
            </w:pPr>
            <w:r>
              <w:rPr>
                <w:sz w:val="22"/>
                <w:szCs w:val="22"/>
              </w:rPr>
              <w:t>5 000</w:t>
            </w:r>
          </w:p>
        </w:tc>
        <w:tc>
          <w:tcPr>
            <w:tcW w:w="1260" w:type="dxa"/>
          </w:tcPr>
          <w:p w14:paraId="15D3BCA3" w14:textId="77777777" w:rsidR="00093845" w:rsidRDefault="000D779E">
            <w:pPr>
              <w:ind w:right="-82"/>
              <w:rPr>
                <w:sz w:val="22"/>
                <w:szCs w:val="22"/>
              </w:rPr>
            </w:pPr>
            <w:r>
              <w:rPr>
                <w:sz w:val="22"/>
                <w:szCs w:val="22"/>
              </w:rPr>
              <w:t>12 000</w:t>
            </w:r>
          </w:p>
        </w:tc>
        <w:tc>
          <w:tcPr>
            <w:tcW w:w="2160" w:type="dxa"/>
          </w:tcPr>
          <w:p w14:paraId="76F87082" w14:textId="77777777" w:rsidR="00093845" w:rsidRDefault="000D779E">
            <w:pPr>
              <w:ind w:right="-82"/>
              <w:rPr>
                <w:sz w:val="22"/>
                <w:szCs w:val="22"/>
              </w:rPr>
            </w:pPr>
            <w:r>
              <w:rPr>
                <w:sz w:val="22"/>
                <w:szCs w:val="22"/>
              </w:rPr>
              <w:t>16 000</w:t>
            </w:r>
          </w:p>
          <w:p w14:paraId="34012D61" w14:textId="77777777" w:rsidR="00093845" w:rsidRDefault="000D779E">
            <w:pPr>
              <w:ind w:right="-82"/>
              <w:rPr>
                <w:sz w:val="22"/>
                <w:szCs w:val="22"/>
              </w:rPr>
            </w:pPr>
            <w:r>
              <w:rPr>
                <w:sz w:val="22"/>
                <w:szCs w:val="22"/>
              </w:rPr>
              <w:t>(perkeliamas visas 2018 turto įsigijimo kainos likutis, t. y. 1 000 Eur)</w:t>
            </w:r>
          </w:p>
        </w:tc>
      </w:tr>
      <w:tr w:rsidR="00093845" w14:paraId="23645148" w14:textId="77777777">
        <w:tc>
          <w:tcPr>
            <w:tcW w:w="2268" w:type="dxa"/>
          </w:tcPr>
          <w:p w14:paraId="480B7D45" w14:textId="77777777" w:rsidR="00093845" w:rsidRDefault="000D779E">
            <w:pPr>
              <w:ind w:right="-82"/>
              <w:rPr>
                <w:sz w:val="22"/>
                <w:szCs w:val="22"/>
              </w:rPr>
            </w:pPr>
            <w:r>
              <w:rPr>
                <w:sz w:val="22"/>
                <w:szCs w:val="22"/>
              </w:rPr>
              <w:t xml:space="preserve">Investiciniam projektui reikalingo turto faktiškos įsigijimo kainos likutis perkeliamas į kitus metus </w:t>
            </w:r>
          </w:p>
        </w:tc>
        <w:tc>
          <w:tcPr>
            <w:tcW w:w="1271" w:type="dxa"/>
          </w:tcPr>
          <w:p w14:paraId="7BD193E8" w14:textId="77777777" w:rsidR="00093845" w:rsidRDefault="000D779E">
            <w:pPr>
              <w:ind w:right="-82"/>
              <w:rPr>
                <w:sz w:val="22"/>
                <w:szCs w:val="22"/>
              </w:rPr>
            </w:pPr>
            <w:r>
              <w:rPr>
                <w:sz w:val="22"/>
                <w:szCs w:val="22"/>
              </w:rPr>
              <w:t xml:space="preserve">2018 m. – </w:t>
            </w:r>
          </w:p>
          <w:p w14:paraId="3224354D" w14:textId="77777777" w:rsidR="00093845" w:rsidRDefault="000D779E">
            <w:pPr>
              <w:ind w:right="-82"/>
              <w:rPr>
                <w:sz w:val="22"/>
                <w:szCs w:val="22"/>
              </w:rPr>
            </w:pPr>
            <w:r>
              <w:rPr>
                <w:sz w:val="22"/>
                <w:szCs w:val="22"/>
              </w:rPr>
              <w:t>(33 000-</w:t>
            </w:r>
          </w:p>
          <w:p w14:paraId="321D94EE" w14:textId="77777777" w:rsidR="00093845" w:rsidRDefault="000D779E">
            <w:pPr>
              <w:ind w:right="-82"/>
              <w:rPr>
                <w:sz w:val="22"/>
                <w:szCs w:val="22"/>
              </w:rPr>
            </w:pPr>
            <w:r>
              <w:rPr>
                <w:sz w:val="22"/>
                <w:szCs w:val="22"/>
              </w:rPr>
              <w:t>6 000)=</w:t>
            </w:r>
          </w:p>
          <w:p w14:paraId="33E72CA7" w14:textId="77777777" w:rsidR="00093845" w:rsidRDefault="000D779E">
            <w:pPr>
              <w:ind w:right="-82"/>
              <w:rPr>
                <w:sz w:val="22"/>
                <w:szCs w:val="22"/>
              </w:rPr>
            </w:pPr>
            <w:r>
              <w:rPr>
                <w:sz w:val="22"/>
                <w:szCs w:val="22"/>
              </w:rPr>
              <w:t>27 000</w:t>
            </w:r>
          </w:p>
          <w:p w14:paraId="46A8D35E" w14:textId="77777777" w:rsidR="00093845" w:rsidRDefault="00093845">
            <w:pPr>
              <w:ind w:right="-82"/>
              <w:rPr>
                <w:sz w:val="22"/>
                <w:szCs w:val="22"/>
              </w:rPr>
            </w:pPr>
          </w:p>
        </w:tc>
        <w:tc>
          <w:tcPr>
            <w:tcW w:w="1609" w:type="dxa"/>
          </w:tcPr>
          <w:p w14:paraId="55C188AD" w14:textId="77777777" w:rsidR="00093845" w:rsidRDefault="000D779E">
            <w:pPr>
              <w:ind w:right="-82"/>
              <w:rPr>
                <w:strike/>
                <w:sz w:val="22"/>
                <w:szCs w:val="22"/>
              </w:rPr>
            </w:pPr>
            <w:r>
              <w:rPr>
                <w:sz w:val="22"/>
                <w:szCs w:val="22"/>
              </w:rPr>
              <w:t xml:space="preserve">2018 m. - </w:t>
            </w:r>
          </w:p>
          <w:p w14:paraId="7CA53248" w14:textId="77777777" w:rsidR="00093845" w:rsidRDefault="000D779E">
            <w:pPr>
              <w:ind w:right="-82"/>
              <w:rPr>
                <w:sz w:val="22"/>
                <w:szCs w:val="22"/>
              </w:rPr>
            </w:pPr>
            <w:r>
              <w:rPr>
                <w:sz w:val="22"/>
                <w:szCs w:val="22"/>
              </w:rPr>
              <w:t>(27 000-</w:t>
            </w:r>
          </w:p>
          <w:p w14:paraId="6886E166" w14:textId="77777777" w:rsidR="00093845" w:rsidRDefault="000D779E">
            <w:pPr>
              <w:ind w:right="-82"/>
              <w:rPr>
                <w:sz w:val="22"/>
                <w:szCs w:val="22"/>
              </w:rPr>
            </w:pPr>
            <w:r>
              <w:rPr>
                <w:sz w:val="22"/>
                <w:szCs w:val="22"/>
              </w:rPr>
              <w:t xml:space="preserve">9 000)=18 000 </w:t>
            </w:r>
          </w:p>
        </w:tc>
        <w:tc>
          <w:tcPr>
            <w:tcW w:w="1080" w:type="dxa"/>
          </w:tcPr>
          <w:p w14:paraId="1981FFF7" w14:textId="77777777" w:rsidR="00093845" w:rsidRDefault="000D779E">
            <w:pPr>
              <w:ind w:right="-82"/>
              <w:rPr>
                <w:sz w:val="22"/>
                <w:szCs w:val="22"/>
              </w:rPr>
            </w:pPr>
            <w:r>
              <w:rPr>
                <w:sz w:val="22"/>
                <w:szCs w:val="22"/>
              </w:rPr>
              <w:t>2018 m. (18 000-</w:t>
            </w:r>
          </w:p>
          <w:p w14:paraId="2B456E83" w14:textId="77777777" w:rsidR="00093845" w:rsidRDefault="000D779E">
            <w:pPr>
              <w:ind w:right="-82"/>
              <w:rPr>
                <w:sz w:val="22"/>
                <w:szCs w:val="22"/>
              </w:rPr>
            </w:pPr>
            <w:r>
              <w:rPr>
                <w:sz w:val="22"/>
                <w:szCs w:val="22"/>
              </w:rPr>
              <w:t>5 000)=</w:t>
            </w:r>
          </w:p>
          <w:p w14:paraId="21AD71E1" w14:textId="77777777" w:rsidR="00093845" w:rsidRDefault="000D779E">
            <w:pPr>
              <w:ind w:right="-82"/>
              <w:rPr>
                <w:sz w:val="22"/>
                <w:szCs w:val="22"/>
              </w:rPr>
            </w:pPr>
            <w:r>
              <w:rPr>
                <w:sz w:val="22"/>
                <w:szCs w:val="22"/>
              </w:rPr>
              <w:t>13 000</w:t>
            </w:r>
          </w:p>
        </w:tc>
        <w:tc>
          <w:tcPr>
            <w:tcW w:w="1260" w:type="dxa"/>
          </w:tcPr>
          <w:p w14:paraId="15F699DC" w14:textId="77777777" w:rsidR="00093845" w:rsidRDefault="000D779E">
            <w:pPr>
              <w:ind w:right="-82"/>
              <w:rPr>
                <w:strike/>
                <w:sz w:val="22"/>
                <w:szCs w:val="22"/>
              </w:rPr>
            </w:pPr>
            <w:r>
              <w:rPr>
                <w:sz w:val="22"/>
                <w:szCs w:val="22"/>
              </w:rPr>
              <w:t xml:space="preserve">2018 m.-  </w:t>
            </w:r>
          </w:p>
          <w:p w14:paraId="30794D96" w14:textId="77777777" w:rsidR="00093845" w:rsidRDefault="000D779E">
            <w:pPr>
              <w:ind w:right="-82"/>
              <w:rPr>
                <w:sz w:val="22"/>
                <w:szCs w:val="22"/>
              </w:rPr>
            </w:pPr>
            <w:r>
              <w:rPr>
                <w:sz w:val="22"/>
                <w:szCs w:val="22"/>
              </w:rPr>
              <w:t xml:space="preserve">(13 000 – 12 000 = </w:t>
            </w:r>
          </w:p>
          <w:p w14:paraId="38A243F7" w14:textId="77777777" w:rsidR="00093845" w:rsidRDefault="000D779E">
            <w:pPr>
              <w:ind w:right="-82"/>
              <w:rPr>
                <w:sz w:val="22"/>
                <w:szCs w:val="22"/>
              </w:rPr>
            </w:pPr>
            <w:r>
              <w:rPr>
                <w:sz w:val="22"/>
                <w:szCs w:val="22"/>
              </w:rPr>
              <w:t>1 000</w:t>
            </w:r>
          </w:p>
        </w:tc>
        <w:tc>
          <w:tcPr>
            <w:tcW w:w="2160" w:type="dxa"/>
          </w:tcPr>
          <w:p w14:paraId="441637B7" w14:textId="77777777" w:rsidR="00093845" w:rsidRDefault="000D779E">
            <w:pPr>
              <w:ind w:right="-82"/>
              <w:rPr>
                <w:sz w:val="22"/>
                <w:szCs w:val="22"/>
              </w:rPr>
            </w:pPr>
            <w:r>
              <w:rPr>
                <w:sz w:val="22"/>
                <w:szCs w:val="22"/>
              </w:rPr>
              <w:t>-</w:t>
            </w:r>
          </w:p>
        </w:tc>
      </w:tr>
    </w:tbl>
    <w:p w14:paraId="5A8EFCEA" w14:textId="77777777" w:rsidR="00093845" w:rsidRPr="0065344A" w:rsidRDefault="00F31096">
      <w:pPr>
        <w:pStyle w:val="Porat"/>
        <w:tabs>
          <w:tab w:val="left" w:pos="1296"/>
        </w:tabs>
        <w:rPr>
          <w:rFonts w:ascii="Times New Roman" w:hAnsi="Times New Roman" w:cs="Times New Roman"/>
          <w:lang w:val="lt-LT"/>
        </w:rPr>
      </w:pPr>
      <w:r>
        <w:rPr>
          <w:rFonts w:ascii="Times New Roman" w:hAnsi="Times New Roman" w:cs="Times New Roman"/>
          <w:lang w:val="lt-LT"/>
        </w:rPr>
        <w:t xml:space="preserve"> (P</w:t>
      </w:r>
      <w:r w:rsidR="000D779E">
        <w:rPr>
          <w:rFonts w:ascii="Times New Roman" w:hAnsi="Times New Roman" w:cs="Times New Roman"/>
          <w:lang w:val="lt-LT"/>
        </w:rPr>
        <w:t xml:space="preserve">akeistas pagal VMI prie FM 2018-04-25 raštą Nr. </w:t>
      </w:r>
      <w:r w:rsidR="000D779E" w:rsidRPr="0065344A">
        <w:rPr>
          <w:rFonts w:ascii="Times New Roman" w:hAnsi="Times New Roman" w:cs="Times New Roman"/>
          <w:color w:val="000000"/>
          <w:lang w:val="lt-LT"/>
        </w:rPr>
        <w:t>(18.10-31-1E) RM-15685)</w:t>
      </w:r>
      <w:r w:rsidR="000D779E" w:rsidRPr="0065344A">
        <w:rPr>
          <w:rFonts w:ascii="Times New Roman" w:hAnsi="Times New Roman" w:cs="Times New Roman"/>
          <w:lang w:val="lt-LT"/>
        </w:rPr>
        <w:t xml:space="preserve"> </w:t>
      </w:r>
    </w:p>
    <w:p w14:paraId="3A897AF8" w14:textId="77777777" w:rsidR="00093845" w:rsidRDefault="000D779E">
      <w:pPr>
        <w:ind w:firstLine="720"/>
        <w:jc w:val="both"/>
        <w:rPr>
          <w:b/>
          <w:lang w:val="nb-NO"/>
        </w:rPr>
      </w:pPr>
      <w:r>
        <w:rPr>
          <w:b/>
          <w:lang w:val="nb-NO"/>
        </w:rPr>
        <w:t>3. Šio straipsnio 1 dalyje nurodytas faktiškai patirtų išlaidų dydis turi būti sumažintas tam tikslui panaudotų nacionalinio biudžeto, Valstybinio socialinio draudimo fondo biudžeto, Privalomojo sveikatos draudimo fondo biudžeto, kitų valstybės pinigų fondų, savivaldybių fondų, Europos Sąjungos ir kitos finansinės paramos lėšų suma, jeigu tokios lėšos ar tokia parama buvo gauta.</w:t>
      </w:r>
    </w:p>
    <w:p w14:paraId="473F4D64" w14:textId="77777777" w:rsidR="00093845" w:rsidRDefault="000D779E">
      <w:pPr>
        <w:ind w:right="-82" w:firstLine="720"/>
        <w:jc w:val="both"/>
        <w:rPr>
          <w:b/>
          <w:bCs/>
          <w:lang w:val="nb-NO"/>
        </w:rPr>
      </w:pPr>
      <w:r>
        <w:rPr>
          <w:b/>
          <w:bCs/>
          <w:lang w:val="nb-NO"/>
        </w:rPr>
        <w:t>Komentaras</w:t>
      </w:r>
    </w:p>
    <w:p w14:paraId="6288D23D" w14:textId="77777777" w:rsidR="00093845" w:rsidRDefault="000D779E">
      <w:pPr>
        <w:ind w:right="43" w:firstLine="720"/>
        <w:jc w:val="both"/>
        <w:rPr>
          <w:rFonts w:ascii="TimesLT" w:hAnsi="TimesLT" w:cs="Arial Unicode MS"/>
          <w:lang w:val="nb-NO"/>
        </w:rPr>
      </w:pPr>
      <w:r>
        <w:rPr>
          <w:rFonts w:ascii="TimesLT" w:hAnsi="TimesLT" w:cs="Arial Unicode MS"/>
          <w:bCs/>
          <w:lang w:val="nb-NO"/>
        </w:rPr>
        <w:t xml:space="preserve">1. </w:t>
      </w:r>
      <w:r>
        <w:rPr>
          <w:rFonts w:ascii="TimesLT" w:hAnsi="TimesLT" w:cs="Arial Unicode MS"/>
          <w:lang w:val="nb-NO"/>
        </w:rPr>
        <w:t>Jeigu</w:t>
      </w:r>
      <w:r>
        <w:rPr>
          <w:rFonts w:ascii="TimesLT" w:hAnsi="TimesLT" w:cs="Arial Unicode MS"/>
          <w:b/>
          <w:lang w:val="nb-NO"/>
        </w:rPr>
        <w:t xml:space="preserve"> </w:t>
      </w:r>
      <w:r>
        <w:rPr>
          <w:rFonts w:ascii="TimesLT" w:hAnsi="TimesLT" w:cs="Arial Unicode MS"/>
          <w:lang w:val="nb-NO"/>
        </w:rPr>
        <w:t xml:space="preserve">investiciniam projektui įgyvendinti reikalingo turto tam tikra įsigijimo kainos dalis numatoma finansuoti iš nacionalinio biudžeto, Valstybinio socialinio draudimo fondo biudžeto, </w:t>
      </w:r>
      <w:r>
        <w:rPr>
          <w:rFonts w:ascii="TimesLT" w:hAnsi="TimesLT" w:cs="Arial Unicode MS"/>
          <w:bCs/>
          <w:lang w:val="nb-NO"/>
        </w:rPr>
        <w:t>Privalomojo sveikatos draudimo fondo biudžeto, kitų valstybės pinigų fondų, savivaldybių fondų, Europos Sąjungos ir kitos finansinės paramos lėšų,</w:t>
      </w:r>
      <w:r>
        <w:rPr>
          <w:rFonts w:ascii="TimesLT" w:hAnsi="TimesLT" w:cs="Arial Unicode MS"/>
          <w:lang w:val="nb-NO"/>
        </w:rPr>
        <w:t xml:space="preserve"> tai vieneto įsigyto turto faktiška įsigijimo kaina turi būti sumažinama šia panaudota finansinės paramos lėšų suma, jeigu tokios lėšos gautos ar numatytos gauti.</w:t>
      </w:r>
    </w:p>
    <w:p w14:paraId="35F650FE" w14:textId="77777777" w:rsidR="00093845" w:rsidRDefault="000D779E">
      <w:pPr>
        <w:ind w:right="43" w:firstLine="720"/>
        <w:jc w:val="both"/>
        <w:rPr>
          <w:rFonts w:ascii="TimesLT" w:hAnsi="TimesLT" w:cs="Arial Unicode MS"/>
          <w:lang w:val="nb-NO"/>
        </w:rPr>
      </w:pPr>
      <w:r>
        <w:rPr>
          <w:rFonts w:ascii="TimesLT" w:hAnsi="TimesLT" w:cs="Arial Unicode MS"/>
          <w:lang w:val="nb-NO"/>
        </w:rPr>
        <w:t xml:space="preserve">Jeigu investicinio projekto pabaigoje paaiškėja, kad faktiškai gauta didesnė/mažesnė paramos suma, tai privalo būti atlikti apmokestinamojo pelno koregavimai to </w:t>
      </w:r>
      <w:r>
        <w:rPr>
          <w:rFonts w:ascii="TimesLT" w:hAnsi="TimesLT" w:cs="Arial Unicode MS"/>
          <w:bCs/>
          <w:lang w:val="nb-NO"/>
        </w:rPr>
        <w:t>mokestinio laikotarpio</w:t>
      </w:r>
      <w:r>
        <w:rPr>
          <w:rFonts w:ascii="TimesLT" w:hAnsi="TimesLT" w:cs="Arial Unicode MS"/>
          <w:lang w:val="nb-NO"/>
        </w:rPr>
        <w:t>, kurio apmokestinamasis pelnas buvo sumažintas dėl vykdomo investicinio projekto ir mokesčių administratoriui privalo būti pateikta patikslinta to mokestinio laikotarpio metinė pelno mokesčio deklaracija.</w:t>
      </w:r>
    </w:p>
    <w:p w14:paraId="458DEA27" w14:textId="77777777" w:rsidR="00093845" w:rsidRDefault="000D779E">
      <w:pPr>
        <w:ind w:right="-82" w:firstLine="720"/>
        <w:jc w:val="both"/>
        <w:rPr>
          <w:iCs/>
          <w:color w:val="000000"/>
          <w:lang w:val="nb-NO"/>
        </w:rPr>
      </w:pPr>
      <w:r>
        <w:rPr>
          <w:iCs/>
          <w:color w:val="000000"/>
          <w:lang w:val="nb-NO"/>
        </w:rPr>
        <w:t xml:space="preserve">Tuo atveju, jeigu vykdant investicinį projektą, įsigyjami keli turto vienetai, iš kurių dalis turto vienetų neatitinka investicinio projekto reikalavimų, o </w:t>
      </w:r>
      <w:r>
        <w:rPr>
          <w:bCs/>
          <w:lang w:val="nb-NO"/>
        </w:rPr>
        <w:t>finansuojamas tam tikras procentas nuo visos turto vienetų įsigijimo kainos ir neįmanoma nustatyti, kiek paramos tenka konkrečiam turto vienetui</w:t>
      </w:r>
      <w:r>
        <w:rPr>
          <w:iCs/>
          <w:color w:val="000000"/>
          <w:lang w:val="nb-NO"/>
        </w:rPr>
        <w:t xml:space="preserve">, tai tokiu atveju, vienetas pats turi nusistatyti kriterijų proporcijai išskaičiuoti, t.y. kiek paramos tenka investicinio projekto reikalavimus atitinkančiam turtui. </w:t>
      </w:r>
    </w:p>
    <w:p w14:paraId="705CB7C0" w14:textId="77777777" w:rsidR="00093845" w:rsidRDefault="000D779E">
      <w:pPr>
        <w:ind w:right="43" w:firstLine="720"/>
        <w:jc w:val="both"/>
        <w:rPr>
          <w:rFonts w:ascii="TimesLT" w:hAnsi="TimesLT" w:cs="Arial Unicode MS"/>
          <w:lang w:val="nb-NO"/>
        </w:rPr>
      </w:pPr>
      <w:r>
        <w:rPr>
          <w:rFonts w:ascii="TimesLT" w:hAnsi="TimesLT" w:cs="Arial Unicode MS"/>
          <w:bCs/>
          <w:lang w:val="nb-NO"/>
        </w:rPr>
        <w:t xml:space="preserve">2. Jeigu vykdant ilgalaikį didelės apimties investicinį projektą, kuris yra dalinai finansuojamas iš Europos Sąjungos ar kitų fondų lėšų ir toks finansavimas susietas su projekto vykdymo etapais, o ne su konkrečiais turto vienetais bei iš anksto yra žinoma bendra nuosavų ir fondų lėšų proporcija, tai tokiu atveju, nuosavų ir gautų iš minėtų fondų lėšų proporcija turi būti taikoma kiekvieną mokestinį laikotarpį patirtoms išlaidoms. </w:t>
      </w:r>
      <w:r>
        <w:rPr>
          <w:rFonts w:ascii="TimesLT" w:hAnsi="TimesLT" w:cs="Arial Unicode MS"/>
          <w:lang w:val="nb-NO"/>
        </w:rPr>
        <w:t xml:space="preserve">Jeigu investicinio projekto pabaigoje atliekami perskaičiavimai dėl </w:t>
      </w:r>
      <w:r>
        <w:rPr>
          <w:rFonts w:ascii="TimesLT" w:hAnsi="TimesLT" w:cs="Arial Unicode MS"/>
          <w:lang w:val="nb-NO"/>
        </w:rPr>
        <w:lastRenderedPageBreak/>
        <w:t xml:space="preserve">netinkamai taikytos proporcijos, tai privalo būti atlikti apmokestinamojo pelno koregavimai to </w:t>
      </w:r>
      <w:r>
        <w:rPr>
          <w:rFonts w:ascii="TimesLT" w:hAnsi="TimesLT" w:cs="Arial Unicode MS"/>
          <w:bCs/>
          <w:lang w:val="nb-NO"/>
        </w:rPr>
        <w:t>mokestinio laikotarpio</w:t>
      </w:r>
      <w:r>
        <w:rPr>
          <w:rFonts w:ascii="TimesLT" w:hAnsi="TimesLT" w:cs="Arial Unicode MS"/>
          <w:lang w:val="nb-NO"/>
        </w:rPr>
        <w:t>, kurio apmokestinamasis pelnas buvo sumažintas dėl vykdomo investicinio projekto ir mokesčių administratoriui privalo būti pateikta patikslinta to mokestinio laikotarpio metinė pelno mokesčio deklaracija.</w:t>
      </w:r>
    </w:p>
    <w:p w14:paraId="30023BEF" w14:textId="77777777" w:rsidR="00093845" w:rsidRDefault="000D779E">
      <w:pPr>
        <w:spacing w:line="360" w:lineRule="auto"/>
        <w:ind w:right="45" w:firstLine="720"/>
        <w:jc w:val="both"/>
        <w:rPr>
          <w:rFonts w:ascii="TimesLT" w:hAnsi="TimesLT" w:cs="Arial Unicode MS"/>
          <w:lang w:val="nb-NO"/>
        </w:rPr>
      </w:pPr>
      <w:r>
        <w:rPr>
          <w:rFonts w:ascii="TimesLT" w:hAnsi="TimesLT" w:cs="Arial Unicode MS"/>
          <w:lang w:val="nb-NO"/>
        </w:rPr>
        <w:t>1 pavyzdys</w:t>
      </w:r>
    </w:p>
    <w:tbl>
      <w:tblPr>
        <w:tblW w:w="9732" w:type="dxa"/>
        <w:tblLayout w:type="fixed"/>
        <w:tblLook w:val="04A0" w:firstRow="1" w:lastRow="0" w:firstColumn="1" w:lastColumn="0" w:noHBand="0" w:noVBand="1"/>
      </w:tblPr>
      <w:tblGrid>
        <w:gridCol w:w="9732"/>
      </w:tblGrid>
      <w:tr w:rsidR="00093845" w:rsidRPr="0065344A" w14:paraId="76B5242D" w14:textId="77777777">
        <w:tc>
          <w:tcPr>
            <w:tcW w:w="9732" w:type="dxa"/>
            <w:tcBorders>
              <w:top w:val="single" w:sz="4" w:space="0" w:color="auto"/>
              <w:left w:val="single" w:sz="4" w:space="0" w:color="auto"/>
              <w:bottom w:val="single" w:sz="4" w:space="0" w:color="auto"/>
              <w:right w:val="single" w:sz="4" w:space="0" w:color="auto"/>
            </w:tcBorders>
          </w:tcPr>
          <w:p w14:paraId="60C20AFA" w14:textId="77777777" w:rsidR="00093845" w:rsidRPr="0065344A" w:rsidRDefault="000D779E">
            <w:pPr>
              <w:ind w:firstLine="720"/>
              <w:jc w:val="both"/>
              <w:rPr>
                <w:iCs/>
                <w:color w:val="000000"/>
                <w:lang w:val="nb-NO"/>
              </w:rPr>
            </w:pPr>
            <w:r w:rsidRPr="0065344A">
              <w:rPr>
                <w:iCs/>
                <w:color w:val="000000"/>
                <w:lang w:val="nb-NO"/>
              </w:rPr>
              <w:t>Vienetas 2015 metais pradėjo vykdyti investicinį projektą, kurio metu yra atliekami naujos gamybos linijos įrengimo darbai bei įsigyjamas ir sumontuojamas gamybos procese dalyvausiantis turtas (mašinos ir įrengimai, kompiuterinė technika, programinė įranga). Šio investicinio projekto tikslas – padidinti vieneto gamybos pajėgumus.</w:t>
            </w:r>
          </w:p>
          <w:p w14:paraId="0F2BF9C8" w14:textId="77777777" w:rsidR="00093845" w:rsidRPr="0065344A" w:rsidRDefault="000D779E">
            <w:pPr>
              <w:ind w:firstLine="720"/>
              <w:jc w:val="both"/>
              <w:rPr>
                <w:iCs/>
                <w:color w:val="000000"/>
                <w:lang w:val="nb-NO"/>
              </w:rPr>
            </w:pPr>
            <w:r w:rsidRPr="0065344A">
              <w:rPr>
                <w:iCs/>
                <w:color w:val="000000"/>
                <w:lang w:val="nb-NO"/>
              </w:rPr>
              <w:t>Investicinio projekto vertė – 5 mln. eurų, iš kurių pagal sutartį su Europos Sąjungos fondais 75 procentai (t. y. 3,75 mln. eurų) apmokės pats vienetas nuosavomis lėšomis, o likusius 25 procentus (t. y. 1,25 mln. eurų) – Europos Sąjungos fondai. Kadangi sutartis su Europos Sąjungos fondais nenustato jokių apribojimų finansuoti tinkamam turtui, faktiškai vienetas projekto įgyvendinimo eigoje gali pats pasirinkti, ar už konkretaus turto vieneto įsigijimą apmokėti nuosavomis, ar finansinės paramos lėšomis.</w:t>
            </w:r>
          </w:p>
          <w:p w14:paraId="251A22C8" w14:textId="77777777" w:rsidR="00093845" w:rsidRPr="0065344A" w:rsidRDefault="000D779E">
            <w:pPr>
              <w:ind w:firstLine="720"/>
              <w:jc w:val="both"/>
              <w:rPr>
                <w:bCs/>
                <w:lang w:val="nb-NO"/>
              </w:rPr>
            </w:pPr>
            <w:r w:rsidRPr="0065344A">
              <w:rPr>
                <w:iCs/>
                <w:color w:val="000000"/>
                <w:lang w:val="nb-NO"/>
              </w:rPr>
              <w:t>Atsižvelgiant į tai, kad šio investicinio projekto, dalinai finansuojamo Europos Sąjungos fondų lėšomis, finansavimas susietas ne su konkrečiais turto vienetais, bei iš anksto yra žinoma bendra nuosavų ir finansinės paramos lėšų proporcija, ši proporcija turi būti taikoma kiekvieną mokestinį laikotarpį patirtoms išlaidoms. Pavyzdžiui, tuo atveju, jei 2015 m. projekto įgyvendinimui iš viso būtų skirta 3 mln. eurų (iš kurių vienetas savo lėšomis padengtų 2.3 mln. eurų), o 2016 m. – likę 2 mln. eurų (iš kurių vienetas savo lėšomis padengtų 1 mln. eurų), tuomet vienetas 2015 m. investicinių projektų lengvatai galėtų priskirti 2,3 mln. eurų (3 mln. eurų * 75 procentai), o 2016  – 1,5 mln. eurų (2 mln. eurų * 75 procentai)</w:t>
            </w:r>
          </w:p>
        </w:tc>
      </w:tr>
    </w:tbl>
    <w:p w14:paraId="1E39C42B" w14:textId="77777777" w:rsidR="00093845" w:rsidRPr="0065344A" w:rsidRDefault="00093845">
      <w:pPr>
        <w:tabs>
          <w:tab w:val="left" w:pos="720"/>
          <w:tab w:val="left" w:pos="1077"/>
          <w:tab w:val="left" w:pos="1418"/>
        </w:tabs>
        <w:ind w:firstLine="720"/>
        <w:jc w:val="both"/>
        <w:rPr>
          <w:rFonts w:ascii="TimesLT" w:hAnsi="TimesLT" w:cs="Arial Unicode MS"/>
          <w:color w:val="000000"/>
          <w:lang w:val="nb-NO"/>
        </w:rPr>
      </w:pPr>
    </w:p>
    <w:p w14:paraId="292755CD" w14:textId="77777777" w:rsidR="002F1565" w:rsidRPr="001F6B67" w:rsidRDefault="002F1565" w:rsidP="002F1565">
      <w:pPr>
        <w:ind w:firstLine="720"/>
        <w:jc w:val="both"/>
        <w:rPr>
          <w:b/>
          <w:lang w:val="lt-LT"/>
        </w:rPr>
      </w:pPr>
      <w:r w:rsidRPr="001F6B67">
        <w:rPr>
          <w:b/>
          <w:bCs/>
          <w:lang w:val="lt-LT"/>
        </w:rPr>
        <w:t>4.</w:t>
      </w:r>
      <w:r w:rsidRPr="001F6B67">
        <w:rPr>
          <w:b/>
        </w:rPr>
        <w:t xml:space="preserve"> </w:t>
      </w:r>
      <w:r w:rsidRPr="001F6B67">
        <w:rPr>
          <w:b/>
          <w:lang w:val="lt-LT"/>
        </w:rPr>
        <w:t>Šiame straipsnyje nustatyta tvarka apmokestinamasis pelnas gali būti sumažintas  tik per 2009</w:t>
      </w:r>
      <w:r>
        <w:rPr>
          <w:b/>
          <w:lang w:val="lt-LT"/>
        </w:rPr>
        <w:t xml:space="preserve"> </w:t>
      </w:r>
      <w:r w:rsidRPr="001F6B67">
        <w:rPr>
          <w:b/>
          <w:lang w:val="lt-LT"/>
        </w:rPr>
        <w:t>–</w:t>
      </w:r>
      <w:r>
        <w:rPr>
          <w:b/>
          <w:lang w:val="lt-LT"/>
        </w:rPr>
        <w:t xml:space="preserve"> </w:t>
      </w:r>
      <w:r w:rsidRPr="001F6B67">
        <w:rPr>
          <w:b/>
          <w:lang w:val="lt-LT"/>
        </w:rPr>
        <w:t>2028 metų mokestinius laikotarpius patirtomis išlaidomis.</w:t>
      </w:r>
    </w:p>
    <w:p w14:paraId="65136B71" w14:textId="77777777" w:rsidR="002F1565" w:rsidRPr="002F1565" w:rsidRDefault="002F1565" w:rsidP="002F1565">
      <w:pPr>
        <w:jc w:val="both"/>
        <w:rPr>
          <w:rFonts w:ascii="Times New (W1)" w:hAnsi="Times New (W1)"/>
          <w:i/>
          <w:iCs/>
          <w:color w:val="000000"/>
          <w:lang w:val="lt-LT"/>
        </w:rPr>
      </w:pPr>
      <w:r w:rsidRPr="00AA7836">
        <w:rPr>
          <w:rFonts w:ascii="Times New (W1)" w:hAnsi="Times New (W1)"/>
          <w:i/>
          <w:iCs/>
          <w:color w:val="000000"/>
          <w:lang w:val="lt-LT"/>
        </w:rPr>
        <w:t>(</w:t>
      </w:r>
      <w:r w:rsidRPr="00AA7836">
        <w:rPr>
          <w:i/>
          <w:iCs/>
          <w:lang w:val="lt-LT"/>
        </w:rPr>
        <w:t>20</w:t>
      </w:r>
      <w:r>
        <w:rPr>
          <w:i/>
          <w:iCs/>
          <w:lang w:val="lt-LT"/>
        </w:rPr>
        <w:t>23 12 05 įstatymo Nr. XIV-2296 redakcija</w:t>
      </w:r>
      <w:r w:rsidRPr="00AA7836">
        <w:rPr>
          <w:i/>
          <w:iCs/>
          <w:lang w:val="lt-LT"/>
        </w:rPr>
        <w:t xml:space="preserve">, </w:t>
      </w:r>
      <w:r>
        <w:rPr>
          <w:rFonts w:ascii="Times New (W1)" w:hAnsi="Times New (W1)"/>
          <w:i/>
          <w:iCs/>
          <w:color w:val="000000"/>
          <w:lang w:val="lt-LT"/>
        </w:rPr>
        <w:t xml:space="preserve"> taikoma apskaičiuojant 2024</w:t>
      </w:r>
      <w:r w:rsidRPr="00AA7836">
        <w:rPr>
          <w:rFonts w:ascii="Times New (W1)" w:hAnsi="Times New (W1)"/>
          <w:i/>
          <w:iCs/>
          <w:color w:val="000000"/>
          <w:lang w:val="lt-LT"/>
        </w:rPr>
        <w:t xml:space="preserve"> metų ir vėlesnių metų mokestinių laikotarpių pelno mokestį)</w:t>
      </w:r>
    </w:p>
    <w:p w14:paraId="350DC351" w14:textId="77777777" w:rsidR="002F1565" w:rsidRPr="00AD1EE2" w:rsidRDefault="002F1565" w:rsidP="002F1565">
      <w:pPr>
        <w:ind w:right="-82" w:firstLine="720"/>
        <w:jc w:val="both"/>
        <w:rPr>
          <w:b/>
          <w:bCs/>
          <w:lang w:val="lt-LT"/>
        </w:rPr>
      </w:pPr>
      <w:r w:rsidRPr="00AD1EE2">
        <w:rPr>
          <w:b/>
          <w:bCs/>
          <w:lang w:val="lt-LT"/>
        </w:rPr>
        <w:t>Komentaras</w:t>
      </w:r>
    </w:p>
    <w:p w14:paraId="6C0AB82A" w14:textId="77777777" w:rsidR="002F1565" w:rsidRDefault="002F1565" w:rsidP="002F1565">
      <w:pPr>
        <w:ind w:right="-82" w:firstLine="720"/>
        <w:jc w:val="both"/>
        <w:rPr>
          <w:bCs/>
          <w:lang w:val="lt-LT"/>
        </w:rPr>
      </w:pPr>
      <w:r w:rsidRPr="005A7B21">
        <w:rPr>
          <w:bCs/>
          <w:lang w:val="lt-LT"/>
        </w:rPr>
        <w:t xml:space="preserve">1. </w:t>
      </w:r>
      <w:r w:rsidRPr="005A7B21">
        <w:rPr>
          <w:lang w:val="lt-LT"/>
        </w:rPr>
        <w:t xml:space="preserve">Vienetai, vykdantys investicinius projektus ir investuojantys į technologinį atsinaujinimą, apmokestinamąjį pelną gali sumažinti per 2009-2028 metų mokestinius laikotarpius patirtomis nustatytus reikalavimus atitinkančiomis išlaidomis, skirtomis investiciniams projektams vykdyti </w:t>
      </w:r>
      <w:r w:rsidRPr="005A7B21">
        <w:rPr>
          <w:bCs/>
          <w:lang w:val="lt-LT"/>
        </w:rPr>
        <w:t>(plačiau žr. šio straipsnio 2 dalies komentarą).</w:t>
      </w:r>
    </w:p>
    <w:p w14:paraId="724816DF" w14:textId="77777777" w:rsidR="00BE513C" w:rsidRPr="00DA4C8E" w:rsidRDefault="00DA4C8E" w:rsidP="00DA4C8E">
      <w:pPr>
        <w:ind w:right="-82" w:firstLine="720"/>
        <w:jc w:val="both"/>
        <w:rPr>
          <w:lang w:val="fr-FR"/>
        </w:rPr>
      </w:pPr>
      <w:r>
        <w:t>(PMĮ 46-1 straipsnio 4 dalies</w:t>
      </w:r>
      <w:r w:rsidRPr="001F5349">
        <w:t xml:space="preserve"> komentaras pakeistas pagal VMI prie FM 2024-02-01 raštą Nr. (32.42-31-1-Mr) R-409).</w:t>
      </w:r>
    </w:p>
    <w:p w14:paraId="52A24D57" w14:textId="77777777" w:rsidR="00093845" w:rsidRPr="0065344A" w:rsidRDefault="000D779E" w:rsidP="00DB7D41">
      <w:pPr>
        <w:spacing w:after="0"/>
        <w:ind w:firstLine="720"/>
        <w:jc w:val="both"/>
        <w:rPr>
          <w:b/>
          <w:lang w:val="lt-LT"/>
        </w:rPr>
      </w:pPr>
      <w:r w:rsidRPr="0065344A">
        <w:rPr>
          <w:b/>
          <w:lang w:val="lt-LT"/>
        </w:rPr>
        <w:t xml:space="preserve">5. </w:t>
      </w:r>
      <w:r w:rsidRPr="0065344A">
        <w:rPr>
          <w:b/>
          <w:color w:val="000000"/>
          <w:shd w:val="clear" w:color="auto" w:fill="FFFFFF"/>
          <w:lang w:val="lt-LT"/>
        </w:rPr>
        <w:t>Ilgalaikis turtas, dėl kurio įsigijimo šiame straipsnyje nustatyta tvarka buvo sumažintas apmokestinamasis pelnas, vieneto veikloje turi būti naudojamas ne trumpiau negu 3 metus. Jeigu toks ilgalaikis turtas naudojamas vieneto veikloje trumpiau, išskyrus vieneto pabaigą ir atvejus, kai turtas nebenaudojamas ar perleidžiamas dėl teisės aktų reikalavimų, prarandamas dėl nenugalimos jėgos (</w:t>
      </w:r>
      <w:r w:rsidRPr="0065344A">
        <w:rPr>
          <w:b/>
          <w:i/>
          <w:iCs/>
          <w:color w:val="000000"/>
          <w:shd w:val="clear" w:color="auto" w:fill="FFFFFF"/>
          <w:lang w:val="lt-LT"/>
        </w:rPr>
        <w:t>force majeure</w:t>
      </w:r>
      <w:r w:rsidRPr="0065344A">
        <w:rPr>
          <w:b/>
          <w:color w:val="000000"/>
          <w:shd w:val="clear" w:color="auto" w:fill="FFFFFF"/>
          <w:lang w:val="lt-LT"/>
        </w:rPr>
        <w:t xml:space="preserve">) ar nusikalstamos trečiųjų asmenų veiklos, dėl sumažinto apmokestinamojo pelno neapskaičiuotas pelno mokestis turi būti sumokėtas į valstybės biudžetą perskaičiuojant ir apmokestinant praėjusių mokestinių laikotarpių apmokestinamuosius pelnus. Toks perskaičiavimas neatliekamas, kai ilgalaikis turtas </w:t>
      </w:r>
      <w:r w:rsidRPr="0065344A">
        <w:rPr>
          <w:b/>
          <w:color w:val="000000"/>
          <w:shd w:val="clear" w:color="auto" w:fill="FFFFFF"/>
          <w:lang w:val="lt-LT"/>
        </w:rPr>
        <w:lastRenderedPageBreak/>
        <w:t xml:space="preserve">naudojamas vieneto veikloje trumpiau negu 3 metus dėl to, kad reorganizavimo ar perleidimo atvejais pereina įsigyjančiajam vienetui, tačiau tik tuo atveju, jeigu įsigyjantysis vienetas perimtą turtą naudoja iki tol, kol sueis 3 metai nuo ilgalaikio turto naudojimo jį </w:t>
      </w:r>
      <w:r w:rsidRPr="0065344A">
        <w:rPr>
          <w:b/>
          <w:lang w:val="lt-LT"/>
        </w:rPr>
        <w:t>perleidusiame vienete pradžios. Įsigyjantysis vienetas, perėmęs ilgalaikį turtą reorganizavimo ar perleidimo atvejais ar dėl teisės aktų reikalavimų, gali tęsti apmokestinamojo pelno sumažinimą, kaip tai būtų daręs ilgalaikį turtą perleidęs ir galimybių dėl tokio ilgalaikio turto įsigijimo sumažinti apmokestinamąjį pelną netekęs vienetas.</w:t>
      </w:r>
    </w:p>
    <w:p w14:paraId="377DE4D6" w14:textId="77777777" w:rsidR="00093845" w:rsidRPr="00BD467F" w:rsidRDefault="000D779E" w:rsidP="00DB7D41">
      <w:pPr>
        <w:spacing w:after="0"/>
        <w:jc w:val="both"/>
        <w:rPr>
          <w:i/>
          <w:lang w:val="lt-LT"/>
        </w:rPr>
      </w:pPr>
      <w:r w:rsidRPr="00BD467F">
        <w:rPr>
          <w:i/>
          <w:lang w:val="lt-LT"/>
        </w:rPr>
        <w:t>(</w:t>
      </w:r>
      <w:r w:rsidRPr="00BD467F">
        <w:rPr>
          <w:i/>
          <w:iCs/>
          <w:lang w:val="lt-LT"/>
        </w:rPr>
        <w:t xml:space="preserve">KEISTA: 2011 11 22 įstatymu Nr. XI-1716 (nuo 2011 12 01), </w:t>
      </w:r>
      <w:r w:rsidRPr="00BD467F">
        <w:rPr>
          <w:i/>
          <w:lang w:val="lt-LT"/>
        </w:rPr>
        <w:t>taikoma apskaičiuojant 2011 metų ir vėlesnių metų mokestinių laikotarpių pelno mokestį)</w:t>
      </w:r>
    </w:p>
    <w:p w14:paraId="73C0C499" w14:textId="77777777" w:rsidR="00093845" w:rsidRPr="0065344A" w:rsidRDefault="000D779E">
      <w:pPr>
        <w:ind w:right="-82" w:firstLine="720"/>
        <w:jc w:val="both"/>
        <w:outlineLvl w:val="0"/>
        <w:rPr>
          <w:b/>
          <w:color w:val="000000"/>
          <w:shd w:val="clear" w:color="auto" w:fill="FFFFFF"/>
          <w:lang w:val="lt-LT"/>
        </w:rPr>
      </w:pPr>
      <w:r w:rsidRPr="0065344A">
        <w:rPr>
          <w:b/>
          <w:color w:val="000000"/>
          <w:shd w:val="clear" w:color="auto" w:fill="FFFFFF"/>
          <w:lang w:val="lt-LT"/>
        </w:rPr>
        <w:t xml:space="preserve">Komentaras </w:t>
      </w:r>
    </w:p>
    <w:p w14:paraId="45432023" w14:textId="77777777" w:rsidR="00093845" w:rsidRPr="0065344A" w:rsidRDefault="000D779E">
      <w:pPr>
        <w:ind w:right="-82" w:firstLine="720"/>
        <w:jc w:val="both"/>
        <w:rPr>
          <w:bCs/>
          <w:lang w:val="lt-LT"/>
        </w:rPr>
      </w:pPr>
      <w:r w:rsidRPr="0065344A">
        <w:rPr>
          <w:bCs/>
          <w:lang w:val="lt-LT"/>
        </w:rPr>
        <w:t>1. Jei vienetas šiame straipsnyje nustatyta tvarka investiciniam projektui įgyvendinti reikalingo turto faktiška įsigijimo kaina sumažina apmokestinamąjį pelną, tai toks turtas, pagal šios dalies nuostatas, vieneto veikloje privalo būti naudojamas ne trumpiau negu trejus metus, t.y. tris ir daugiau metų.</w:t>
      </w:r>
    </w:p>
    <w:p w14:paraId="3B34B09D" w14:textId="77777777" w:rsidR="00093845" w:rsidRPr="0065344A"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lt-LT"/>
        </w:rPr>
      </w:pPr>
      <w:r w:rsidRPr="0065344A">
        <w:rPr>
          <w:lang w:val="lt-LT"/>
        </w:rPr>
        <w:tab/>
      </w:r>
      <w:r w:rsidRPr="0065344A">
        <w:rPr>
          <w:bCs/>
          <w:lang w:val="lt-LT"/>
        </w:rPr>
        <w:t>2. Šioje dalyje nustatytas 3 metų laikotarpis prasideda nuo tos dienos, kai turtas perdavimo naudoti aktu yra įvedamas į eksploataciją ir pasibaigia po trejų metų - atitinkamą mėnesį ir dieną. Jeigu vykdant investicinį projektą, yra įsigyjami keli turto vienetai, tai 3 metų laikotarpis pradedamas skaičiuoti atskirai nuo kiekvieno turto vieneto įvedimo į eksploataciją dienos.</w:t>
      </w:r>
    </w:p>
    <w:p w14:paraId="6F683EF7" w14:textId="77777777" w:rsidR="00093845" w:rsidRPr="0065344A" w:rsidRDefault="000D779E">
      <w:pPr>
        <w:ind w:right="-82" w:firstLine="720"/>
        <w:jc w:val="both"/>
        <w:rPr>
          <w:bCs/>
          <w:lang w:val="lt-LT"/>
        </w:rPr>
      </w:pPr>
      <w:r w:rsidRPr="0065344A">
        <w:rPr>
          <w:lang w:val="lt-LT"/>
        </w:rPr>
        <w:t xml:space="preserve">3. Jeigu turtas vieneto veikloje naudojamas tam tikrą laiką, pvz., vienerius ar dvejus metus, o trečiaisiais metais dėl tam tikrų priežasčių turtas veikloje nebenaudojamas, tai pagal šios dalies nuostatas vienetas privalo </w:t>
      </w:r>
      <w:r w:rsidRPr="0065344A">
        <w:rPr>
          <w:bCs/>
          <w:lang w:val="lt-LT"/>
        </w:rPr>
        <w:t>perskaičiuoti ir apmokestinti atitinkamų praėjusių mokestinių laikotarpių apmokestinamuosius pelnus</w:t>
      </w:r>
      <w:r w:rsidRPr="0065344A">
        <w:rPr>
          <w:lang w:val="lt-LT"/>
        </w:rPr>
        <w:t xml:space="preserve">, kurie buvo sumažinti dėl šio turto įsigijimo, ir mokesčių administratoriui pateikti patikslintas tų mokestinių laikotarpių metines pelno mokesčio deklaracijas. Tačiau šios nuostatos netaikomos tuo atveju, jei vienetas </w:t>
      </w:r>
      <w:r w:rsidRPr="0065344A">
        <w:rPr>
          <w:bCs/>
          <w:lang w:val="lt-LT"/>
        </w:rPr>
        <w:t>pasibaigia, arba tais atvejais, kai turtas nebenaudojamas ar perleidžiamas dėl teisės aktų reikalavimų (pvz., vadovaujantis ES Tarybos direktyvomis ir (ar) Lietuvos Respublikos teisės aktais dėl tam tikro sektoriaus (pvz., energetikos) pertvarkymo) arba prarandamas dėl nenugalimos jėgos (force majeure) ar nusikalstamos trečiųjų asmenų veiklos. Pelno mokestis dėl turto perleidimo reorganizuojant neperskaičiuojamas ir tais atvejais, kai teisės aktuose nėra tiesioginio reikalavimo perleisti turtą, tačiau juose nurodyti reikalavimai, pvz., dėl atitinkamų verslo sričių (veiklų) atskyrimo ir kontrolės perdavimo gali būti įgyvendinti tik perleidžiant turtą.</w:t>
      </w:r>
    </w:p>
    <w:p w14:paraId="0D4471F6" w14:textId="77777777" w:rsidR="00093845" w:rsidRPr="0065344A" w:rsidRDefault="000D779E">
      <w:pPr>
        <w:ind w:right="-82" w:firstLine="720"/>
        <w:jc w:val="both"/>
        <w:rPr>
          <w:lang w:val="lt-LT"/>
        </w:rPr>
      </w:pPr>
      <w:r w:rsidRPr="0065344A">
        <w:rPr>
          <w:lang w:val="lt-LT"/>
        </w:rPr>
        <w:t>Jei, vienetui pradėjus investicinį projektą, turtas dėl pasikeitusių teisės reikalavimų, pvz., Vyriausybės sprendimu ar pan., privalo būti perleistas kitam vienetui, tai turtą įsigijęs vienetas gali tęsti investicinį projektą ir mažinti apmokestinamąjį pelną, kaip tai būtų daręs ilgalaikį turtą perleidęs vienetas.</w:t>
      </w:r>
    </w:p>
    <w:p w14:paraId="15D490F5" w14:textId="77777777" w:rsidR="00093845" w:rsidRPr="0065344A" w:rsidRDefault="000D779E">
      <w:pPr>
        <w:ind w:right="-82" w:firstLine="720"/>
        <w:jc w:val="both"/>
        <w:rPr>
          <w:lang w:val="lt-LT"/>
        </w:rPr>
      </w:pPr>
      <w:r w:rsidRPr="0065344A">
        <w:rPr>
          <w:lang w:val="lt-LT"/>
        </w:rPr>
        <w:t xml:space="preserve">Jeigu vieneto sprendimu pradėtas investicinis projektas nutraukiamas ir nebus užbaigiamas (pvz., ekonominių sąlygų pasikeitimas, finansavimo nutraukimas ar pan.), tai privalo būti atlikti apmokestinamojo pelno koregavimai to mokestinio laikotarpio, kurio apmokestinamasis pelnas buvo sumažintas dėl vykdomo investicinio projekto, ir mokesčių administratoriui privalo būti pateikta patikslinta to mokestinio laikotarpio metinė pelno mokesčio deklaracija. Jeigu, vykdant investicinį projektą, apmokestinamasis pelnas sumažintas, įsigijus krovininį automobilį, kuris vėliau, t. y. per 3 metus, autoįvykio metu yra nepataisomai sugadintas ir vieneto veikloje nebenaudojamas, t. y. netenkinama 3 metų turto naudojimo veikloje sąlyga, tokiu atveju taip pat privalo būti </w:t>
      </w:r>
      <w:r w:rsidRPr="0065344A">
        <w:rPr>
          <w:bCs/>
          <w:lang w:val="lt-LT"/>
        </w:rPr>
        <w:t>perskaičiuotas ir apmokestintas atitinkamo praėjusio mokestinio laikotarpio apmokestinamasis pelnas</w:t>
      </w:r>
      <w:r w:rsidRPr="0065344A">
        <w:rPr>
          <w:lang w:val="lt-LT"/>
        </w:rPr>
        <w:t>.</w:t>
      </w:r>
    </w:p>
    <w:p w14:paraId="16C9CF63" w14:textId="77777777" w:rsidR="00093845" w:rsidRPr="0065344A" w:rsidRDefault="000D779E">
      <w:pPr>
        <w:ind w:right="-82" w:firstLine="720"/>
        <w:jc w:val="both"/>
        <w:rPr>
          <w:lang w:val="lt-LT"/>
        </w:rPr>
      </w:pPr>
      <w:r w:rsidRPr="0065344A">
        <w:rPr>
          <w:lang w:val="lt-LT"/>
        </w:rPr>
        <w:t>Tuo atveju, jeigu dėl vykdomo ilgalaikio investicinio projekto tam tikrą mokestinį laikotarpį sumažinamas apmokestinamasis pelnas, o kitą mokestinį laikotarpį projektas laikinai sustabdomas, tai jokie apmokestinamojo pelno koregavimai neatliekami.</w:t>
      </w:r>
    </w:p>
    <w:p w14:paraId="5725CE46" w14:textId="77777777" w:rsidR="00093845" w:rsidRPr="0065344A" w:rsidRDefault="000D779E">
      <w:pPr>
        <w:ind w:right="-82" w:firstLine="720"/>
        <w:jc w:val="both"/>
        <w:rPr>
          <w:bCs/>
          <w:lang w:val="lt-LT"/>
        </w:rPr>
      </w:pPr>
      <w:r w:rsidRPr="0065344A">
        <w:rPr>
          <w:bCs/>
          <w:lang w:val="lt-LT"/>
        </w:rPr>
        <w:lastRenderedPageBreak/>
        <w:t>4. Pagal Lietuvos Respublikos civilinio kodekso 2.95 straipsnio nuostatas, juridinis asmuo pasibaigia nuo jo išregistravimo iš juridinių asmenų registro, likvidavimo arba reorganizavimo atvejais. Reorganizavimas - tai juridinio asmens pabaiga be likvidavimo procedūros.</w:t>
      </w:r>
    </w:p>
    <w:p w14:paraId="60672DF1" w14:textId="77777777" w:rsidR="00093845" w:rsidRPr="0065344A" w:rsidRDefault="000D779E">
      <w:pPr>
        <w:ind w:right="-82" w:firstLine="720"/>
        <w:jc w:val="both"/>
        <w:rPr>
          <w:bCs/>
          <w:lang w:val="lt-LT"/>
        </w:rPr>
      </w:pPr>
      <w:r w:rsidRPr="0065344A">
        <w:rPr>
          <w:bCs/>
          <w:lang w:val="lt-LT"/>
        </w:rPr>
        <w:t>Jeigu turtas, dėl kurio įsigijimo buvo sumažintas apmokestinamasis pelnas, vienete buvo naudojamas trumpiau negu trejus metus dėl reorganizavimo ar perleidimo, atitinkančio PMĮ 41 str. 2 dalyje numatytus reikalavimus, tai apmokestinamasis pelnas už praėjusius mokestinius laikotarpius neperskaičiuojamas ir metinės pelno mokesčio deklaracijos netikslinamos, su sąlyga, kad įsigyjantysis vienetas perimtą turtą naudos iki tol, kol sueis 3 metai nuo ilgalaikio turto naudojimo jį perleidusiame vienete pradžios.</w:t>
      </w:r>
    </w:p>
    <w:p w14:paraId="715A6092" w14:textId="77777777" w:rsidR="00093845" w:rsidRDefault="000D779E">
      <w:pPr>
        <w:ind w:right="-82" w:firstLine="720"/>
        <w:jc w:val="both"/>
        <w:rPr>
          <w:bCs/>
        </w:rPr>
      </w:pPr>
      <w:r>
        <w:rPr>
          <w:bCs/>
        </w:rPr>
        <w:t>Šiuo nuostatos taikomos ir šiais atvejais:</w:t>
      </w:r>
    </w:p>
    <w:p w14:paraId="3337C211" w14:textId="77777777" w:rsidR="00093845" w:rsidRDefault="000D779E">
      <w:pPr>
        <w:ind w:right="-82" w:firstLine="720"/>
        <w:jc w:val="both"/>
        <w:rPr>
          <w:bCs/>
        </w:rPr>
      </w:pPr>
      <w:r>
        <w:rPr>
          <w:bCs/>
        </w:rPr>
        <w:t xml:space="preserve">- kai užsienio (įsigyjantysis) vienetas po reorganizavimo ar perleidimo, atitinkančio PMĮ 41 str. 3 dalyje numatytus reikalavimus, toliau vykdo veiklą per nuolatinę buveinę Lietuvos Respublikos teritorijoje ir tęsia pradėtą vykdyti investicinį projektą; </w:t>
      </w:r>
    </w:p>
    <w:p w14:paraId="7D1CD7EB" w14:textId="77777777" w:rsidR="00093845" w:rsidRDefault="000D779E">
      <w:pPr>
        <w:ind w:right="-82" w:firstLine="720"/>
        <w:jc w:val="both"/>
        <w:rPr>
          <w:bCs/>
        </w:rPr>
      </w:pPr>
      <w:r>
        <w:rPr>
          <w:bCs/>
        </w:rPr>
        <w:t>- jei reorganizavimas vykdomas pagal PMĮ 41 str. 2 d. 9 punktą, ir Europos bendrovės ar Europos kooperatinės bendrovės per nuolatinę buveinę toliau vykdo investicinį projektą, naudodamos iš įsigyjamojo ar perleidžiančiojo vieneto perimtą investicinį turtą.</w:t>
      </w:r>
    </w:p>
    <w:p w14:paraId="56945917" w14:textId="77777777" w:rsidR="00093845" w:rsidRDefault="000D779E">
      <w:pPr>
        <w:ind w:right="-82" w:firstLine="720"/>
        <w:jc w:val="both"/>
      </w:pPr>
      <w:r>
        <w:rPr>
          <w:bCs/>
        </w:rPr>
        <w:t>Įsigyjantysis vienetas, perėmęs turtą reorganizavimo ar perleidimo atvejais, ar dėl teisės aktų reikalavimų, ir tęsiantis investicinį projektą, gali tęsti apmokestinamojo pelno mažinimą, kaip tai būtų daręs ilgalaikį</w:t>
      </w:r>
      <w:r>
        <w:t xml:space="preserve"> turtą perleidęs vienetas. Jeigu turtą perleidęs vienetas ne visa įsigyto turto verte sumažino apmokestinamąjį pelną, įsigyjantysis vienetas apmokestinamąjį pelną gali mažinti nepanaudota turto verte.</w:t>
      </w:r>
    </w:p>
    <w:p w14:paraId="142AB7FA"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Jei reorganizavimo ar perleidimo atvejais įsigyjantysis vienetas perima turtą (dėl kurio perleidžiantis turtą asmuo susimažino apmokestinamąjį pelną šiame straipsnyje nustatyta tvarka) ir šio turto nenaudoja iki kol sueis 3 metai nuo ilgalaikio turto naudojimo jį perleidusiame vienete pradžios, tai tiek turtą perleidęs vienetas, tiek turtą įsigijęs asmuo (jei jis apmokestinamąjį pelną toliau mažino nepanaudota turto verte), privalo </w:t>
      </w:r>
      <w:r>
        <w:rPr>
          <w:bCs/>
        </w:rPr>
        <w:t>perskaičiuoti ir apmokestinti atitinkamų praėjusių mokestinių laikotarpių apmokestinamuosius pelnus</w:t>
      </w:r>
      <w:r>
        <w:t>, kurie buvo sumažinti dėl šio turto įsigijimo, ir mokesčių administratoriui pateikti patikslintas tų mokestinių laikotarpių metines pelno mokesčio deklaracijas.</w:t>
      </w:r>
    </w:p>
    <w:p w14:paraId="45E0A585" w14:textId="77777777" w:rsidR="00093845" w:rsidRDefault="000D779E">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r>
        <w:t>Pažymėtina, kad šios dalies nuostatos taikomos, jei reorganizavimas ar perleidimas baigtas 2011 metų ar vėlesnių metų mokestiniais laikotarpiais.</w:t>
      </w:r>
    </w:p>
    <w:p w14:paraId="563AC5E4" w14:textId="77777777" w:rsidR="00093845" w:rsidRDefault="000D779E">
      <w:pPr>
        <w:ind w:right="-82" w:firstLine="720"/>
        <w:jc w:val="both"/>
      </w:pPr>
      <w:r>
        <w:t>1-6 pavyzdžiai</w:t>
      </w:r>
    </w:p>
    <w:p w14:paraId="27C6AF38" w14:textId="77777777" w:rsidR="00093845" w:rsidRDefault="000D779E" w:rsidP="00BF6CD2">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000000"/>
        </w:rPr>
      </w:pPr>
      <w:r>
        <w:tab/>
      </w:r>
      <w:r>
        <w:rPr>
          <w:iCs/>
          <w:color w:val="000000"/>
        </w:rPr>
        <w:t xml:space="preserve">1. Vienetas, teikiantis krovinių pervežimo paslaugas, 2015 metais nusprendė plėsti savo vykdomą veiklą, t.y. gaminti baldus. Tuo tikslu 2015 metais pradėtas vykdyti investicinis projektas. Šiam investiciniam projektui įgyvendinti įsigytas turtas, atitinkantis investicinio projekto reikalavimus, </w:t>
      </w:r>
      <w:r>
        <w:rPr>
          <w:bCs/>
        </w:rPr>
        <w:t xml:space="preserve">perdavimo naudoti aktu </w:t>
      </w:r>
      <w:r>
        <w:rPr>
          <w:iCs/>
          <w:color w:val="000000"/>
        </w:rPr>
        <w:t>į eksploataciją įvestas 2015 metais.</w:t>
      </w:r>
    </w:p>
    <w:p w14:paraId="0C3CC6B2"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Šis vienetas apmokestinamojo pelno apskaičiuoja:</w:t>
      </w:r>
    </w:p>
    <w:p w14:paraId="129F5BDB"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2015 metais – 24 000 Eur,</w:t>
      </w:r>
    </w:p>
    <w:p w14:paraId="06939516"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2016 metais - 20 000 Eur.</w:t>
      </w:r>
    </w:p>
    <w:p w14:paraId="66CB2D2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Dėl vieneto vykdomo investicinio projekto, apmokestinamasis pelnas sumažinamas:</w:t>
      </w:r>
    </w:p>
    <w:p w14:paraId="1B8F376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2015 metais – 12 000 Eur,</w:t>
      </w:r>
    </w:p>
    <w:p w14:paraId="604D8A9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2016 metais – 10 000 Eur.</w:t>
      </w:r>
    </w:p>
    <w:p w14:paraId="19CB903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Arial Unicode MS" w:hAnsi="Arial Unicode MS" w:cs="Arial Unicode MS"/>
          <w:iCs/>
          <w:color w:val="000000"/>
          <w:sz w:val="20"/>
          <w:szCs w:val="20"/>
        </w:rPr>
        <w:lastRenderedPageBreak/>
        <w:tab/>
      </w:r>
      <w:r>
        <w:t xml:space="preserve">Tarkime, kad turtas 2017 metais, t.y. trečiaisiais turto naudojimo veikloje metais, dėl tam tikrų priežasčių veikloje nebenaudojamas. </w:t>
      </w:r>
    </w:p>
    <w:p w14:paraId="3168460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Kadangi turtas vieneto veikloje yra naudojamas trumpiau negu trejus metus, tai pagal šios dalies nuostatas, vienetas turi perskaičiuoti 2015 ir 2016 mokestinių metų apmokestinamąjį pelną ir pelno mokestį turi sumokėti į valstybės biudžetą bei pateikti mokesčių administratoriui patikslintas šių mokestinių laikotarpių metines pelno mokesčio deklaracijas.</w:t>
      </w:r>
    </w:p>
    <w:p w14:paraId="08534F4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2. Vienetas A 2015 metais sudarė nuomos sutartį dėl vienetui B nuosavybės teise priklausančių centralizuoto šilumos bei elektros gamybos, perdavimo, tiekimo ir susijusių įrenginių nuomos 15 - ai metų. Vienetas A nuomos laikotarpiu išsinuomotą turtą naudoja tokiai pat veiklai (šilumos energijos, karšto vandens gamyba ir tiekimas bei elektros energijos gamyba), kaip vienetas B iki nuomos pradžios, ir moka vienetui B nustatytą nuomos mokestį. </w:t>
      </w:r>
    </w:p>
    <w:p w14:paraId="7F158E1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Vienetas A nuomos sutartyje yra įsipareigojęs nuomos laikotarpiu vystyti bei modernizuoti šildymo bei karšto vandens, šilumos trasas (tinklus), įskaitant ir individualias namų šilumokaitines, elektros gamybos įrengimus, siekiant sukurti funkcionuojančią bei vartotojams prieinamą šilumos tiekimo sistemą.</w:t>
      </w:r>
    </w:p>
    <w:p w14:paraId="78F8074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Vienetas A 2016 metais vykdo investicinį projektą, kurį tais pačiais metais parduoda vienetui B už kainą lygią investicinio projekto faktiškoms išlaidoms. Vienetas B šį turtą įregistruoja savo vardu ir išnuomoja vienetui A, kuris šį turtą naudos savo veikloje daugiau kaip 3 metus. Nuomos sutartyje nustatyta, kad už parduotą investicinį projektą vykdomas nepiniginis atsiskaitymas, t.y. mažinamas mokamas nuomos mokestis. </w:t>
      </w:r>
    </w:p>
    <w:p w14:paraId="5E3B23CD"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Atsižvelgiant į tai, kad vieneto A įsigytas turtas, reikalingas įgyvendinant investicinį projektą, vienete A naudojamas trumpiau negu trejus metus, parduotas, todėl vieneto A investicijoms į įvykdytą investicinį projektą netaikomos PMĮ 46</w:t>
      </w:r>
      <w:r>
        <w:rPr>
          <w:iCs/>
          <w:color w:val="000000"/>
          <w:vertAlign w:val="superscript"/>
        </w:rPr>
        <w:t>1</w:t>
      </w:r>
      <w:r>
        <w:rPr>
          <w:iCs/>
          <w:color w:val="000000"/>
        </w:rPr>
        <w:t xml:space="preserve"> straipsnio nuostatos.</w:t>
      </w:r>
    </w:p>
    <w:p w14:paraId="1DD94B90"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iCs/>
          <w:color w:val="000000"/>
        </w:rPr>
        <w:t>3. Lietuvos vienetas</w:t>
      </w:r>
      <w:r>
        <w:rPr>
          <w:color w:val="000000"/>
        </w:rPr>
        <w:t xml:space="preserve"> A 2015 metais pradėjo vykdyti investicinį projektą ir įsigijo gamybinius įrenginius. 2016 metais vienetas A reorganizavosi PMĮ 41 str. 2 d. 4 punkte (padalijimas) numatyta tvarka ir investiciniam projektui naudojamą turtą perdavė naujai įkurtam Lietuvos vienetui B. Vienetas B </w:t>
      </w:r>
      <w:r>
        <w:t xml:space="preserve">šį turtą ketina naudoti savo veikloje iki tol, kol sueis 3 metai nuo naudojimo vienete A pradžios, todėl vienetas B </w:t>
      </w:r>
      <w:r>
        <w:rPr>
          <w:color w:val="000000"/>
        </w:rPr>
        <w:t>gali toliau naudotis investicinio projekto lengvata, susijusia su perimtu iš įsigyjamojo vieneto turtu, nes nuo 2016 metų prasidėjusio mokestinio laikotarpio įsigyjančiajam vienetui perėmus iš jį perleidusio vieneto turtą ir naudojant jį iki tol, kol jam sueis 3 metai, galima naudotis investicinio projekto lengvata.</w:t>
      </w:r>
    </w:p>
    <w:p w14:paraId="34348FDB" w14:textId="77777777" w:rsidR="00093845" w:rsidRDefault="000D779E">
      <w:pPr>
        <w:pBdr>
          <w:top w:val="single" w:sz="4" w:space="1" w:color="auto"/>
          <w:left w:val="single" w:sz="4" w:space="4" w:color="auto"/>
          <w:bottom w:val="single" w:sz="4" w:space="1" w:color="auto"/>
          <w:right w:val="single" w:sz="4" w:space="4" w:color="auto"/>
        </w:pBdr>
        <w:ind w:firstLine="720"/>
        <w:jc w:val="both"/>
        <w:rPr>
          <w:iCs/>
          <w:color w:val="000000"/>
        </w:rPr>
      </w:pPr>
      <w:r>
        <w:rPr>
          <w:iCs/>
          <w:color w:val="000000"/>
        </w:rPr>
        <w:t>4. Bendrovė A, vykdanti prekybinę veiklą, 2015 metais įsigijo gamybinius įrenginius kompaktiniams diskams gaminti ir išnuomojo juos savo dukterinei bendrovei B. 2016 metais bendrovė A prisijungė bendrovę B (reorganizavimas pagal PMĮ 41 str. 2 d. 1 punktą). Bendrovės A vykdyta nuomos veikla neatitinka investicinio projekto sąvokos, numatytos PMĮ 2 str. 12</w:t>
      </w:r>
      <w:r>
        <w:rPr>
          <w:iCs/>
          <w:color w:val="000000"/>
          <w:vertAlign w:val="superscript"/>
        </w:rPr>
        <w:t>1</w:t>
      </w:r>
      <w:r>
        <w:rPr>
          <w:iCs/>
          <w:color w:val="000000"/>
        </w:rPr>
        <w:t xml:space="preserve"> dalyje, o dukterinė bendrovė investicinio projekto lengvata negalėjo naudotis, nes turtas buvo įsigytas bendrovės A. Todėl įvykus prijungimui, bendrovė A investicinio projekto lengvata naudotis negalės, nors ir ketintų turtą naudoti kompaktinių diskų gamybai tol, kol jam sueis 3 metai.</w:t>
      </w:r>
    </w:p>
    <w:p w14:paraId="5F7F9568" w14:textId="77777777" w:rsidR="00093845" w:rsidRDefault="000D779E">
      <w:pPr>
        <w:pBdr>
          <w:top w:val="single" w:sz="4" w:space="1" w:color="auto"/>
          <w:left w:val="single" w:sz="4" w:space="4" w:color="auto"/>
          <w:bottom w:val="single" w:sz="4" w:space="1" w:color="auto"/>
          <w:right w:val="single" w:sz="4" w:space="4" w:color="auto"/>
        </w:pBdr>
        <w:ind w:firstLine="720"/>
        <w:jc w:val="both"/>
        <w:rPr>
          <w:color w:val="000000"/>
        </w:rPr>
      </w:pPr>
      <w:r>
        <w:rPr>
          <w:iCs/>
          <w:color w:val="000000"/>
        </w:rPr>
        <w:t xml:space="preserve">5. Lietuvos bendrovė Y 2015 metais pradėjo vykdyti investicinį projektą ir įsigijo gamybinius įrenginius duonai ir pyrago gaminiams kepti. ES bendrovė X ir Lietuvos bendrovė Y 2016 metais prasidėjusį mokestinį laikotarpį reorganizavosi PMĮ 41 str. 2 d. 1 punkte (prijungimas) nurodytu atveju. Po reorganizavimo ES bendrovė X gauto </w:t>
      </w:r>
      <w:r>
        <w:t xml:space="preserve">turto, teisių ir pareigų pagrindu toliau vykdo veiklą per nuolatinę buveinę Lietuvos Respublikos teritorijoje ir turimus gamybinius įrenginius priskyrė nuolatinei buveinei. Įsigyjantysis vienetas (bendrovė X) ketina perimtą ilgalaikį turtą naudoti iki tol, </w:t>
      </w:r>
      <w:r>
        <w:lastRenderedPageBreak/>
        <w:t xml:space="preserve">kol sueis 3 metais nuo jo naudojimo jį perleidusioje bendrovėje Y pradžios, todėl bendrovė X </w:t>
      </w:r>
      <w:r>
        <w:rPr>
          <w:color w:val="000000"/>
        </w:rPr>
        <w:t>gali toliau naudotis investicinio projekto lengvata.</w:t>
      </w:r>
    </w:p>
    <w:p w14:paraId="3C93903F" w14:textId="77777777" w:rsidR="00093845" w:rsidRDefault="000D779E">
      <w:pPr>
        <w:pBdr>
          <w:top w:val="single" w:sz="4" w:space="1" w:color="auto"/>
          <w:left w:val="single" w:sz="4" w:space="4" w:color="auto"/>
          <w:bottom w:val="single" w:sz="4" w:space="1" w:color="auto"/>
          <w:right w:val="single" w:sz="4" w:space="4" w:color="auto"/>
        </w:pBdr>
        <w:ind w:firstLine="720"/>
        <w:jc w:val="both"/>
      </w:pPr>
      <w:r>
        <w:rPr>
          <w:color w:val="000000"/>
        </w:rPr>
        <w:t xml:space="preserve">6. Lietuvos bendrovė A 2015 metais nutarė atlikti gamybos proceso esminį pagerinimą ir įsigijo konvejerinę liniją duonos gaminiams pakuoti, apie vykdomą investicinį projektą numatyta tvarka informavo vietos mokesčių administratorių. 2017 metais prasidėjusį mokestinį laikotarpį bendrovė A </w:t>
      </w:r>
      <w:r>
        <w:rPr>
          <w:iCs/>
          <w:color w:val="000000"/>
        </w:rPr>
        <w:t xml:space="preserve">reorganizavosi PMĮ 41 str. 2 d. 8 punkte nurodytu atveju ir iš bendrovės A, toliau tęsiančios veiklą, buvo atskirta jos dalis, iš kurios </w:t>
      </w:r>
      <w:r>
        <w:t>proporcingai priskirtų turto, nuosavo kapitalo ir įsipareigojimų pagrindu buvo sukurti du nauji vienetai B ir C. Konvejerinė linija buvo perleista įsigyjančiajam vienetui B. Vienetas B išnuomojo šį ilgalaikį turtą bendrovei A. Neatsižvelgiant į tai, kad bendrovė A tęsia vykdomą investicinį projektą, ji ne</w:t>
      </w:r>
      <w:r>
        <w:rPr>
          <w:color w:val="000000"/>
        </w:rPr>
        <w:t>galės toliau naudotis investicinio projekto lengvata, nes ilgalaikis turtas nuosavybės teise priklauso vienetui B.</w:t>
      </w:r>
    </w:p>
    <w:p w14:paraId="04119616" w14:textId="77777777" w:rsidR="00093845" w:rsidRDefault="000D779E">
      <w:pPr>
        <w:ind w:firstLine="720"/>
        <w:jc w:val="both"/>
        <w:rPr>
          <w:iCs/>
          <w:color w:val="000000"/>
        </w:rPr>
      </w:pPr>
      <w:r>
        <w:t xml:space="preserve">5. Investiciniam projektui įgyvendinti reikalingo turto nusidėvėjimo arba amortizacijos sąnaudos iš pajamų atskaitomos PMĮ 18 straipsnyje nustatyta tvarka. </w:t>
      </w:r>
    </w:p>
    <w:p w14:paraId="31B76B43" w14:textId="77777777" w:rsidR="00093845" w:rsidRDefault="000D779E" w:rsidP="00BF6CD2">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Arial Unicode MS" w:hAnsi="Arial Unicode MS" w:cs="Arial Unicode MS"/>
          <w:sz w:val="20"/>
          <w:szCs w:val="20"/>
        </w:rPr>
        <w:t xml:space="preserve"> </w:t>
      </w:r>
      <w:r w:rsidR="00BF6CD2">
        <w:rPr>
          <w:rFonts w:ascii="Arial Unicode MS" w:hAnsi="Arial Unicode MS" w:cs="Arial Unicode MS"/>
          <w:sz w:val="20"/>
          <w:szCs w:val="20"/>
        </w:rPr>
        <w:tab/>
      </w:r>
      <w:r>
        <w:rPr>
          <w:b/>
        </w:rPr>
        <w:t>7</w:t>
      </w:r>
      <w:r>
        <w:t xml:space="preserve"> pavyzdys </w:t>
      </w:r>
    </w:p>
    <w:p w14:paraId="649AB5B1" w14:textId="77777777" w:rsidR="00093845" w:rsidRDefault="000D779E">
      <w:pPr>
        <w:pBdr>
          <w:top w:val="single" w:sz="4" w:space="1" w:color="auto"/>
          <w:left w:val="single" w:sz="4" w:space="4" w:color="auto"/>
          <w:right w:val="single" w:sz="4" w:space="4" w:color="auto"/>
        </w:pBdr>
        <w:ind w:right="-82" w:firstLine="720"/>
        <w:jc w:val="both"/>
      </w:pPr>
      <w:r>
        <w:t>Vienetas, kuriame vidutinis sąrašuose esančių darbuotojų skaičius neviršija 10 žmonių, o mokestinio laikotarpio pajamos neviršija 150 000 eurų, t. y. atitinkantis PMĮ 18 str. 3 d. nuostatas, pats nusistato maksimalius nusidėvėjimo normatyvus, neatsižvelgiant į normatyvus, nustatytus PMĮ 1 priedėlyje. 2015 m. sausio mėnesį įsigijo įrengimus, atitinkančius PMĮ 46</w:t>
      </w:r>
      <w:r>
        <w:rPr>
          <w:vertAlign w:val="superscript"/>
        </w:rPr>
        <w:t>1</w:t>
      </w:r>
      <w:r>
        <w:t xml:space="preserve"> straipsnyje nustatytas investicinio projekto sąlygas.</w:t>
      </w:r>
    </w:p>
    <w:p w14:paraId="1E3924AA" w14:textId="77777777" w:rsidR="00093845" w:rsidRDefault="000D779E">
      <w:pPr>
        <w:pBdr>
          <w:left w:val="single" w:sz="4" w:space="4" w:color="auto"/>
          <w:bottom w:val="single" w:sz="4" w:space="1" w:color="auto"/>
          <w:right w:val="single" w:sz="4" w:space="4" w:color="auto"/>
        </w:pBdr>
        <w:ind w:right="-82" w:firstLine="720"/>
        <w:jc w:val="both"/>
      </w:pPr>
      <w:r>
        <w:t>Įrengimai</w:t>
      </w:r>
      <w:r>
        <w:rPr>
          <w:bCs/>
        </w:rPr>
        <w:t xml:space="preserve"> vieneto veikloje privalo būti naudojami ne trumpiau negu trejus metus, neatsižvelgiant į tai, kad vienetas</w:t>
      </w:r>
      <w:r>
        <w:t>, atitinkantis PMĮ 18 str. 3 dalies nuostatas, įrengimus turi teisę nudėvėti per nusistatytą trumpesnį, negu 1 priedėlyje, maksimalų nusidėvėjimo normatyvą, ir apskaičiuotas šių įrengimų nusidėvėjimo sąnaudas priskirti ribojamų dydžių leidžiamiems atskaitymams.</w:t>
      </w:r>
    </w:p>
    <w:p w14:paraId="11404DAD" w14:textId="77777777" w:rsidR="00B54784" w:rsidRDefault="000D779E" w:rsidP="00B54784">
      <w:pPr>
        <w:ind w:firstLine="720"/>
        <w:jc w:val="both"/>
        <w:rPr>
          <w:iCs/>
        </w:rPr>
      </w:pPr>
      <w:r>
        <w:rPr>
          <w:b/>
          <w:iCs/>
          <w:color w:val="000000"/>
        </w:rPr>
        <w:t>6</w:t>
      </w:r>
      <w:r w:rsidR="00BC76AA">
        <w:rPr>
          <w:b/>
          <w:iCs/>
          <w:color w:val="000000"/>
        </w:rPr>
        <w:t>.</w:t>
      </w:r>
      <w:r w:rsidR="00402FF4">
        <w:rPr>
          <w:b/>
          <w:iCs/>
          <w:color w:val="000000"/>
        </w:rPr>
        <w:t xml:space="preserve"> </w:t>
      </w:r>
      <w:r w:rsidRPr="00CE6C73">
        <w:rPr>
          <w:b/>
          <w:bCs/>
          <w:iCs/>
        </w:rPr>
        <w:t>NETEKO GALIOS</w:t>
      </w:r>
      <w:r w:rsidR="00FF3B5B" w:rsidRPr="00480C1E">
        <w:rPr>
          <w:b/>
          <w:bCs/>
          <w:iCs/>
        </w:rPr>
        <w:t>:</w:t>
      </w:r>
      <w:r w:rsidRPr="00480C1E">
        <w:rPr>
          <w:b/>
          <w:iCs/>
          <w:lang w:val="lt-LT"/>
        </w:rPr>
        <w:t xml:space="preserve"> </w:t>
      </w:r>
      <w:r w:rsidRPr="00480C1E">
        <w:rPr>
          <w:b/>
          <w:iCs/>
        </w:rPr>
        <w:t>2017 12 07 įstatymu Nr. XIII-842</w:t>
      </w:r>
      <w:r w:rsidRPr="00CE6C73">
        <w:rPr>
          <w:iCs/>
        </w:rPr>
        <w:t xml:space="preserve"> (nuo 2017 12 23</w:t>
      </w:r>
      <w:r w:rsidR="005B7CDD">
        <w:rPr>
          <w:iCs/>
        </w:rPr>
        <w:t>;</w:t>
      </w:r>
      <w:r w:rsidR="005B7CDD" w:rsidRPr="005B7CDD">
        <w:t xml:space="preserve"> </w:t>
      </w:r>
      <w:r w:rsidR="005B7CDD" w:rsidRPr="005B7CDD">
        <w:rPr>
          <w:iCs/>
        </w:rPr>
        <w:t>nuo 2018 metais prasidėjusio mokestinio laikotarpio ši dalis ir jos komentaras  netenka galios</w:t>
      </w:r>
      <w:r w:rsidR="005B7CDD">
        <w:rPr>
          <w:iCs/>
        </w:rPr>
        <w:t>)</w:t>
      </w:r>
    </w:p>
    <w:p w14:paraId="6AF09700" w14:textId="77777777" w:rsidR="00B54784" w:rsidRDefault="00B54784" w:rsidP="00B54784">
      <w:pPr>
        <w:ind w:firstLine="720"/>
        <w:jc w:val="both"/>
      </w:pPr>
    </w:p>
    <w:p w14:paraId="2ADDBAD6" w14:textId="77777777" w:rsidR="00B54784" w:rsidRDefault="000D779E" w:rsidP="00B54784">
      <w:pPr>
        <w:ind w:firstLine="720"/>
        <w:jc w:val="both"/>
        <w:rPr>
          <w:b/>
          <w:bCs/>
          <w:lang w:val="lt-LT" w:eastAsia="lt-LT"/>
        </w:rPr>
      </w:pPr>
      <w:bookmarkStart w:id="572" w:name="straipsnis38_1p"/>
      <w:bookmarkStart w:id="573" w:name="skyrius9_1p"/>
      <w:bookmarkStart w:id="574" w:name="P132099_23"/>
      <w:bookmarkEnd w:id="568"/>
      <w:bookmarkEnd w:id="572"/>
      <w:r>
        <w:rPr>
          <w:b/>
          <w:bCs/>
          <w:color w:val="000000"/>
        </w:rPr>
        <w:t>46</w:t>
      </w:r>
      <w:r w:rsidR="00AB22E5">
        <w:rPr>
          <w:b/>
          <w:bCs/>
          <w:color w:val="000000"/>
          <w:vertAlign w:val="superscript"/>
        </w:rPr>
        <w:t>2</w:t>
      </w:r>
      <w:r>
        <w:rPr>
          <w:b/>
          <w:bCs/>
          <w:color w:val="000000"/>
        </w:rPr>
        <w:t xml:space="preserve"> STRAIPSNIS</w:t>
      </w:r>
      <w:bookmarkEnd w:id="573"/>
      <w:bookmarkEnd w:id="574"/>
      <w:r>
        <w:rPr>
          <w:b/>
          <w:bCs/>
          <w:lang w:val="lt-LT" w:eastAsia="lt-LT"/>
        </w:rPr>
        <w:t xml:space="preserve">. Pelno mokesčio sumažinimas dėl filmo ar jo dalies gamybai neatlygintinai suteiktų lėšų </w:t>
      </w:r>
    </w:p>
    <w:p w14:paraId="17556382" w14:textId="77777777" w:rsidR="00093845" w:rsidRPr="0065344A" w:rsidRDefault="00B54784" w:rsidP="00BD467F">
      <w:pPr>
        <w:pStyle w:val="Porat"/>
        <w:spacing w:before="100" w:beforeAutospacing="1" w:after="100" w:afterAutospacing="1" w:line="240" w:lineRule="auto"/>
        <w:ind w:hanging="1361"/>
        <w:rPr>
          <w:rFonts w:ascii="Times New Roman" w:hAnsi="Times New Roman" w:cs="Times New Roman"/>
          <w:b/>
          <w:lang w:val="lt-LT"/>
        </w:rPr>
      </w:pPr>
      <w:r>
        <w:rPr>
          <w:b/>
          <w:bCs/>
          <w:lang w:val="lt-LT" w:eastAsia="lt-LT"/>
        </w:rPr>
        <w:t xml:space="preserve">                             </w:t>
      </w:r>
      <w:r w:rsidR="000D779E" w:rsidRPr="0065344A">
        <w:rPr>
          <w:b/>
          <w:lang w:val="lt-LT"/>
        </w:rPr>
        <w:t xml:space="preserve">1. Lietuvos vienetas ar užsienio vienetas, per nuolatinę buveinę Lietuvoje neatlygintinai </w:t>
      </w:r>
      <w:r w:rsidR="000D779E" w:rsidRPr="0065344A">
        <w:rPr>
          <w:rFonts w:ascii="Times New Roman" w:hAnsi="Times New Roman" w:cs="Times New Roman"/>
          <w:b/>
          <w:lang w:val="lt-LT"/>
        </w:rPr>
        <w:t>suteikęs šio Įstatymo 17</w:t>
      </w:r>
      <w:r w:rsidR="000D779E" w:rsidRPr="0065344A">
        <w:rPr>
          <w:rFonts w:ascii="Times New Roman" w:hAnsi="Times New Roman" w:cs="Times New Roman"/>
          <w:b/>
          <w:vertAlign w:val="superscript"/>
          <w:lang w:val="lt-LT"/>
        </w:rPr>
        <w:t>2</w:t>
      </w:r>
      <w:r w:rsidR="000D779E" w:rsidRPr="0065344A">
        <w:rPr>
          <w:rFonts w:ascii="Times New Roman" w:hAnsi="Times New Roman" w:cs="Times New Roman"/>
          <w:b/>
          <w:lang w:val="lt-LT"/>
        </w:rPr>
        <w:t xml:space="preserve"> straipsnyje nustatytus reikalavimus atitinkančių lėšų filmo arba jo dalies gamybai Lietuvos Respublikoje, šiame straipsnyje nustatyta tvarka gali šių lėšų suma sumažinti pelno mokestį, apskaičiuotą už tą mokestinį laikotarpį, kurį buvo gauta investicijos pažyma. Jeigu investicijos pažyma gaunama nepasibaigus pelno mokesčio deklaracijos pateikimo terminui, gali būti mažinamas ir mokestiniu laikotarpiu, kurį gauta investicijos pažyma, mokėtinas už praėjusį mokestinį laikotarpį apskaičiuotas pelno mokestis. </w:t>
      </w:r>
    </w:p>
    <w:p w14:paraId="41D73BCE" w14:textId="77777777" w:rsidR="00093845" w:rsidRPr="00BD467F" w:rsidRDefault="000D779E" w:rsidP="00BD467F">
      <w:pPr>
        <w:spacing w:after="0" w:line="240" w:lineRule="auto"/>
        <w:jc w:val="both"/>
        <w:rPr>
          <w:i/>
        </w:rPr>
      </w:pPr>
      <w:r w:rsidRPr="00BD467F">
        <w:rPr>
          <w:i/>
        </w:rPr>
        <w:t>(</w:t>
      </w:r>
      <w:r w:rsidRPr="00BD467F">
        <w:rPr>
          <w:i/>
          <w:iCs/>
        </w:rPr>
        <w:t>KEISTA:</w:t>
      </w:r>
      <w:r w:rsidRPr="00BD467F">
        <w:rPr>
          <w:i/>
          <w:iCs/>
          <w:lang w:val="lt-LT"/>
        </w:rPr>
        <w:t xml:space="preserve"> </w:t>
      </w:r>
      <w:r w:rsidRPr="00BD467F">
        <w:rPr>
          <w:i/>
          <w:iCs/>
        </w:rPr>
        <w:t>2013 06 13 įstatymu Nr. XII-366 (nuo 2014 01 01)</w:t>
      </w:r>
      <w:r w:rsidRPr="00BD467F">
        <w:rPr>
          <w:i/>
        </w:rPr>
        <w:t>)</w:t>
      </w:r>
    </w:p>
    <w:p w14:paraId="791E35E8" w14:textId="77777777" w:rsidR="00B54784" w:rsidRDefault="00B54784" w:rsidP="00DB7D41">
      <w:pPr>
        <w:spacing w:after="0"/>
        <w:jc w:val="both"/>
      </w:pPr>
    </w:p>
    <w:p w14:paraId="170710F3" w14:textId="77777777" w:rsidR="00093845" w:rsidRDefault="000D779E">
      <w:pPr>
        <w:ind w:firstLine="720"/>
        <w:jc w:val="both"/>
        <w:rPr>
          <w:b/>
        </w:rPr>
      </w:pPr>
      <w:r>
        <w:rPr>
          <w:b/>
        </w:rPr>
        <w:t>Komentaras</w:t>
      </w:r>
    </w:p>
    <w:p w14:paraId="052203F0" w14:textId="77777777" w:rsidR="00093845" w:rsidRDefault="000D779E">
      <w:pPr>
        <w:ind w:firstLine="720"/>
        <w:jc w:val="both"/>
      </w:pPr>
      <w:r>
        <w:t>1. Šis straipsnis reglamentuoja apskaičiuoto pelno mokesčio sumažinimo tvarką, kai Lietuvos vieneto ar užsienio vieneto, per nuolatinę buveinę Lietuvoje (toliau – Investuotojas) neatlygintinai suteiktos lėšos filmo ar jo dalies gamybai Lietuvoje atitinka PMĮ 17</w:t>
      </w:r>
      <w:r>
        <w:rPr>
          <w:vertAlign w:val="superscript"/>
        </w:rPr>
        <w:t>2 </w:t>
      </w:r>
      <w:r>
        <w:t>straipsnio 1 dalies reikalavimus (žr. 17</w:t>
      </w:r>
      <w:r>
        <w:rPr>
          <w:vertAlign w:val="superscript"/>
        </w:rPr>
        <w:t>2</w:t>
      </w:r>
      <w:r>
        <w:t xml:space="preserve"> straipsnio komentarą). Taigi Investuotojas, neatlygintinai suteikęs lėšų filmo ar jo dalies </w:t>
      </w:r>
      <w:r>
        <w:lastRenderedPageBreak/>
        <w:t>gamybai Lietuvoje, gali ne tik mažinti apmokestinamąsias pajamas PMĮ 17</w:t>
      </w:r>
      <w:r>
        <w:rPr>
          <w:vertAlign w:val="superscript"/>
        </w:rPr>
        <w:t>2 </w:t>
      </w:r>
      <w:r>
        <w:t>straipsnio 2 dalyje nustatyta tvarka, bet ir šiame straipsnyje nustatyta tvarka jomis mažinti mokėtiną pelno mokestį.</w:t>
      </w:r>
    </w:p>
    <w:p w14:paraId="04FDB082" w14:textId="77777777" w:rsidR="00093845" w:rsidRDefault="000D779E">
      <w:pPr>
        <w:ind w:firstLine="720"/>
        <w:jc w:val="both"/>
      </w:pPr>
      <w:r>
        <w:t>2. Investuotojo apskaičiuotas pelno mokestis gali būti mažinamas filmo ar jo dalies gamybai faktiškai neatlygintinai suteiktų lėšų suma už tą mokestinį laikotarpį, kurį gauta Investicijos pažyma. Investicijos pažymos išdavimo tvarką nustato Lietuvos Respublikos kultūros ministro ir Lietuvos Respublikos finansų ministro 2013 m. gruodžio 20 d. įsakymu Nr. ĮV-892/1K-406 patvirtintas Pažymos apie filmo gamintojui neatlygintinai suteiktų lėšų panaudojimo atitiktį Lietuvos Respublikos pelno mokesčio įstatymo 17</w:t>
      </w:r>
      <w:r>
        <w:rPr>
          <w:vertAlign w:val="superscript"/>
        </w:rPr>
        <w:t>2 </w:t>
      </w:r>
      <w:r>
        <w:t>straipsnyje nustatytiems reikalavimams išdavimo tvarkos aprašas (toliau – Pažymos išdavimo tvarka). Investicijos pažymą, įvertinęs pagal Pažymos išdavimo tvarką pateiktus dokumentus, Investuotojui išduoda Lietuvos kino centras (žr. PMĮ 17</w:t>
      </w:r>
      <w:r>
        <w:rPr>
          <w:vertAlign w:val="superscript"/>
        </w:rPr>
        <w:t>2</w:t>
      </w:r>
      <w:r>
        <w:t> straipsnio 2 dalies komentarą).</w:t>
      </w:r>
    </w:p>
    <w:p w14:paraId="1369260C" w14:textId="77777777" w:rsidR="00093845" w:rsidRDefault="000D779E">
      <w:pPr>
        <w:ind w:firstLine="709"/>
        <w:jc w:val="both"/>
      </w:pPr>
      <w:r>
        <w:t>3. Priklausomai nuo Investicijos pažymos išdavimo datos, gali skirtis mokestinis laikotarpis, už kurį galima mažinti apmokestinamąsias pajamas, pagal PMĮ 17</w:t>
      </w:r>
      <w:r>
        <w:rPr>
          <w:vertAlign w:val="superscript"/>
        </w:rPr>
        <w:t>2 </w:t>
      </w:r>
      <w:r>
        <w:t>straipsnio 2 dalį ir mokėtiną pelno mokestį, pagal šį straipsnį:</w:t>
      </w:r>
    </w:p>
    <w:p w14:paraId="43E56463" w14:textId="77777777" w:rsidR="00093845" w:rsidRDefault="000D779E">
      <w:pPr>
        <w:ind w:firstLine="709"/>
        <w:jc w:val="both"/>
      </w:pPr>
      <w:r>
        <w:t>1) jeigu Investicijos pažyma išduodama iki pelno mokesčio deklaracijos pateikimo dienos (t.y. iki</w:t>
      </w:r>
      <w:r w:rsidR="001C0078">
        <w:t xml:space="preserve"> mokestinio laikotarpio 6 mėn. 15</w:t>
      </w:r>
      <w:r>
        <w:t xml:space="preserve"> d., jei mokestinis laikotarpis sutampa su mokestiniais metais – iki birželio 1</w:t>
      </w:r>
      <w:r w:rsidR="001C0078">
        <w:t>5</w:t>
      </w:r>
      <w:r>
        <w:t xml:space="preserve"> d.), tuomet Investuotojas apmokestinamąsias pajamas gali mažinti už tą mokestinį laikotarpį, kuriuo buvo išduota Investicijos pažyma, o mokėtiną pelno mokestį gali mažinti pasirinktinai</w:t>
      </w:r>
    </w:p>
    <w:p w14:paraId="5249157C" w14:textId="77777777" w:rsidR="00093845" w:rsidRDefault="000D779E">
      <w:pPr>
        <w:ind w:firstLine="709"/>
        <w:jc w:val="both"/>
      </w:pPr>
      <w:r>
        <w:t xml:space="preserve">         - arba už praėjusį mokestinį laikotarpį;</w:t>
      </w:r>
    </w:p>
    <w:p w14:paraId="58CA28FC" w14:textId="77777777" w:rsidR="00093845" w:rsidRDefault="000D779E">
      <w:pPr>
        <w:ind w:firstLine="709"/>
        <w:jc w:val="both"/>
      </w:pPr>
      <w:r>
        <w:t xml:space="preserve">         - arba už tą mokestinį laikotarpį, kuriuo buvo išduota Investicijos pažyma;</w:t>
      </w:r>
    </w:p>
    <w:p w14:paraId="5E933DD0" w14:textId="77777777" w:rsidR="00093845" w:rsidRDefault="000D779E">
      <w:pPr>
        <w:ind w:firstLine="709"/>
        <w:jc w:val="both"/>
      </w:pPr>
      <w:r>
        <w:t>2) jeigu Investicijos pažyma išduodama po pelno mokesčio deklaracijos pateikimo dienos, tuomet Investuotojas ir apmokestinamąsias pajamas, ir mokėtiną pelno mokestį galės mažinti už tą mokestinį laikotarpį, kuriuo buvo išduota Investicijos pažyma.</w:t>
      </w:r>
    </w:p>
    <w:p w14:paraId="51B72E7A" w14:textId="77777777" w:rsidR="00093845" w:rsidRDefault="000D779E">
      <w:pPr>
        <w:ind w:firstLine="567"/>
        <w:jc w:val="both"/>
      </w:pPr>
      <w:r>
        <w:t>Pavyzdžiai</w:t>
      </w:r>
    </w:p>
    <w:p w14:paraId="7B7ED6F5" w14:textId="77777777" w:rsidR="00093845" w:rsidRDefault="000D779E">
      <w:pPr>
        <w:pBdr>
          <w:top w:val="single" w:sz="4" w:space="1" w:color="auto"/>
          <w:left w:val="single" w:sz="4" w:space="1" w:color="auto"/>
          <w:bottom w:val="single" w:sz="4" w:space="1" w:color="auto"/>
          <w:right w:val="single" w:sz="4" w:space="1" w:color="auto"/>
        </w:pBdr>
        <w:ind w:firstLine="567"/>
        <w:jc w:val="both"/>
      </w:pPr>
      <w:r>
        <w:t>1. Prekybos veiklą vykdanti UAB „X“ 2014 m. skyrė Lietuvos filmo gamintojui 40 000 Lt filmo gamybai. 2015 m. vasario mėn. UAB „X“ gavo investicinę pažymą, pagal kurią 40 000 Lt buvo pripažinti atitikusiais PMĮ 17</w:t>
      </w:r>
      <w:r>
        <w:rPr>
          <w:vertAlign w:val="superscript"/>
        </w:rPr>
        <w:t>2</w:t>
      </w:r>
      <w:r>
        <w:t xml:space="preserve"> straipsnio 1 dalyje keliamus reikalavimus. Kadangi investicijos pažyma buvo išduota nepasibaigus pelno mokesčio deklaravimo terminui, tai UAB „X“ nurodyta suma gali susimažinti mokėtiną pelno mokestį už 2014 m. (arba Investuotojui pasirinkus, už 2015 m.), tačiau šia suma jis galės mažinti tik 2015 m. apmokestinamąsias pajamas, kaip tai nustatyta PMĮ 17</w:t>
      </w:r>
      <w:r>
        <w:rPr>
          <w:vertAlign w:val="superscript"/>
        </w:rPr>
        <w:t>2</w:t>
      </w:r>
      <w:r>
        <w:t xml:space="preserve"> straipsnio 2 dalyje.</w:t>
      </w:r>
    </w:p>
    <w:p w14:paraId="4C0970A3"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2.  IĮ „Y“ 2015 m. skyrė Lietuvos filmo gamintojui 80 000 Lt filmo gamybai. Filmas buvo užbaigtas 2016 m., o investicinė pažyma, patvirtinanti, kad 80 000 Lt pripažįstami atitinkančiais PMĮ 17</w:t>
      </w:r>
      <w:r>
        <w:rPr>
          <w:vertAlign w:val="superscript"/>
        </w:rPr>
        <w:t>2</w:t>
      </w:r>
      <w:r>
        <w:t xml:space="preserve"> straipsnio 1 dalyje keliamus reikalavimus, lėšas suteikusiai IĮ „Y“ išduota 2017 m. spalio mėnesį. Kadangi pagal PMĮ 17</w:t>
      </w:r>
      <w:r>
        <w:rPr>
          <w:vertAlign w:val="superscript"/>
        </w:rPr>
        <w:t>2</w:t>
      </w:r>
      <w:r>
        <w:t xml:space="preserve"> straipsnio 2 dalies reikalavimus ne daugiau kaip 75 proc. suteiktų lėšų iš apmokestinamųjų pajamų gali būti atimamos tuo mokestiniu laikotarpiu, kurį buvo gauta investicijos pažyma, tai IĮ „Y“ 60 000 Lt (80 000 Lt x 75 proc.) susimažins 2017 m. apskaičiuotas apmokestinamąsias pajamas.</w:t>
      </w:r>
    </w:p>
    <w:p w14:paraId="2132EBF7"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Kadangi investicijos pažyma buvo išduota pasibaigus pelno mokesčio deklaravimo terminui, tai IĮ „Y“ nurodyta suma, neviršijančia 75 proc. apskaičiuotos mokėtino pelno mokesčio sumos, kaip tai nustatyta PMĮ 46</w:t>
      </w:r>
      <w:r>
        <w:rPr>
          <w:vertAlign w:val="superscript"/>
        </w:rPr>
        <w:t>2</w:t>
      </w:r>
      <w:r>
        <w:t xml:space="preserve"> straipsnio 2 dalies nuostatose, gali susimažinti mokėtiną pelno mokestį už 2017 m. </w:t>
      </w:r>
    </w:p>
    <w:p w14:paraId="399338E6" w14:textId="77777777" w:rsidR="00093845" w:rsidRDefault="000D779E">
      <w:pPr>
        <w:pBdr>
          <w:top w:val="single" w:sz="4" w:space="1" w:color="auto"/>
          <w:left w:val="single" w:sz="4" w:space="1" w:color="auto"/>
          <w:bottom w:val="single" w:sz="4" w:space="1" w:color="auto"/>
          <w:right w:val="single" w:sz="4" w:space="1" w:color="auto"/>
        </w:pBdr>
        <w:ind w:firstLine="720"/>
        <w:jc w:val="both"/>
      </w:pPr>
      <w:r>
        <w:t>Pavyzdžiuose mokestinis laikotarpis sutampa su kalendoriniais metais.</w:t>
      </w:r>
    </w:p>
    <w:p w14:paraId="5FFAA50C" w14:textId="77777777" w:rsidR="00093845" w:rsidRDefault="000D779E">
      <w:pPr>
        <w:ind w:firstLine="720"/>
        <w:jc w:val="both"/>
        <w:rPr>
          <w:b/>
        </w:rPr>
      </w:pPr>
      <w:r>
        <w:lastRenderedPageBreak/>
        <w:t xml:space="preserve">4. Pagal šiame straipsnyje nustatytą tvarką, Investuotojas neatlygintinai filmo ar jo dalies gamybai suteiktų lėšų suma gali sumažinti pelno mokestį, apskaičiuotą už tą mokestinį laikotarpį, kurį buvo gauta Investicijos pažyma (arba pelno mokestį, apskaičiuotą už praėjusį mokestinį laikotarpį, jei nepasibaigęs praėjusio mokestinio laikotarpio pelno mokesčio deklaravimo terminas). Jei Investuotojas mokestinius metus baigė nuostolingai, ir todėl pelno mokesčio nemoka, tais metais šio straipsnio lengvata naudotis neturi galimybių, tačiau, jei kitais dviem mokestiniais metais Investuotojas gaus pelno, jis galės pasinaudoti šia lengvata ir susimažinti mokėtiną pelno mokestį šio straipsnio 2 dalyje nustatyta tvarka. </w:t>
      </w:r>
    </w:p>
    <w:p w14:paraId="2D9AA0DE" w14:textId="77777777" w:rsidR="00093845" w:rsidRDefault="000D779E" w:rsidP="00DB7D41">
      <w:pPr>
        <w:spacing w:after="0"/>
        <w:ind w:firstLine="720"/>
        <w:jc w:val="both"/>
      </w:pPr>
      <w:r>
        <w:rPr>
          <w:b/>
        </w:rPr>
        <w:t>2. Už mokestinį laikotarpį mokėtinas pelno mokestis neatlygintinai suteiktų lėšų filmo arba jo dalies gamybai Lietuvos Respublikoje suma gali būti mažinamas ne daugiau kaip 75 procentais. Jeigu šio straipsnio 1 dalyje nurodytų lėšų suma didesnė kaip 75 procentai už mokestinį laikotarpį mokėtino pelno mokesčio sumos, tiek, kiek ši suma viršijama, gali būti mažinamas už du vėlesnius vienas po kito einančius mokestinius laikotarpius mokėtinas pelno mokestis, tačiau už kiekvieną mokestinį laikotarpį apskaičiuota pelno mokesčio suma negali būti mažinama daugiau kaip 75 procentais.</w:t>
      </w:r>
    </w:p>
    <w:p w14:paraId="201A2085" w14:textId="77777777" w:rsidR="00093845" w:rsidRPr="00BD467F" w:rsidRDefault="000D779E" w:rsidP="00DB7D41">
      <w:pPr>
        <w:spacing w:after="0"/>
        <w:jc w:val="both"/>
        <w:rPr>
          <w:i/>
        </w:rPr>
      </w:pPr>
      <w:r w:rsidRPr="00BD467F">
        <w:rPr>
          <w:i/>
        </w:rPr>
        <w:t>(</w:t>
      </w:r>
      <w:r w:rsidRPr="00BD467F">
        <w:rPr>
          <w:i/>
          <w:iCs/>
        </w:rPr>
        <w:t>KEISTA:</w:t>
      </w:r>
      <w:r w:rsidRPr="00BD467F">
        <w:rPr>
          <w:i/>
          <w:iCs/>
          <w:lang w:val="lt-LT"/>
        </w:rPr>
        <w:t xml:space="preserve"> </w:t>
      </w:r>
      <w:r w:rsidRPr="00BD467F">
        <w:rPr>
          <w:i/>
          <w:iCs/>
        </w:rPr>
        <w:t>2013 06 13 įstatymu Nr. XII-366 (nuo 2014 01 01)</w:t>
      </w:r>
      <w:r w:rsidRPr="00BD467F">
        <w:rPr>
          <w:i/>
        </w:rPr>
        <w:t>)</w:t>
      </w:r>
    </w:p>
    <w:p w14:paraId="255E46D0" w14:textId="77777777" w:rsidR="00843F2F" w:rsidRDefault="00843F2F" w:rsidP="00DB7D41">
      <w:pPr>
        <w:spacing w:after="0"/>
        <w:jc w:val="both"/>
      </w:pPr>
    </w:p>
    <w:p w14:paraId="2CCF71C1" w14:textId="77777777" w:rsidR="00093845" w:rsidRDefault="000D779E">
      <w:pPr>
        <w:ind w:right="-82" w:firstLine="720"/>
        <w:jc w:val="both"/>
        <w:rPr>
          <w:b/>
        </w:rPr>
      </w:pPr>
      <w:r>
        <w:rPr>
          <w:b/>
        </w:rPr>
        <w:t>Komentaras</w:t>
      </w:r>
    </w:p>
    <w:p w14:paraId="2D4BCAF0" w14:textId="77777777" w:rsidR="00093845" w:rsidRDefault="000D779E" w:rsidP="00EC4E29">
      <w:pPr>
        <w:numPr>
          <w:ilvl w:val="0"/>
          <w:numId w:val="44"/>
        </w:numPr>
        <w:tabs>
          <w:tab w:val="left" w:pos="924"/>
        </w:tabs>
        <w:ind w:left="0" w:right="-82" w:firstLine="709"/>
        <w:jc w:val="both"/>
      </w:pPr>
      <w:r>
        <w:t xml:space="preserve">Investuotojo už mokestinį laikotarpį apskaičiuotas pelno mokestis gali būti sumažintas ne daugiau kaip 75 procentais. </w:t>
      </w:r>
    </w:p>
    <w:p w14:paraId="4FB51A26" w14:textId="77777777" w:rsidR="00093845" w:rsidRDefault="000D779E">
      <w:pPr>
        <w:ind w:right="-82" w:firstLine="720"/>
        <w:jc w:val="both"/>
        <w:rPr>
          <w:bCs/>
        </w:rPr>
      </w:pPr>
      <w:r>
        <w:t>Jeigu per mokestinį laikotarpį Investuotojo neatlygintinai suteiktų lėšų suma yra didesnė nei 75 </w:t>
      </w:r>
      <w:r>
        <w:rPr>
          <w:bCs/>
        </w:rPr>
        <w:t xml:space="preserve">procentai už mokestinį laikotarpį apskaičiuoto </w:t>
      </w:r>
      <w:hyperlink r:id="rId123" w:anchor="211z#211z" w:history="1">
        <w:r>
          <w:rPr>
            <w:bCs/>
          </w:rPr>
          <w:t>pelno</w:t>
        </w:r>
      </w:hyperlink>
      <w:r>
        <w:t xml:space="preserve"> mokesčio</w:t>
      </w:r>
      <w:r>
        <w:rPr>
          <w:bCs/>
        </w:rPr>
        <w:t xml:space="preserve"> sumos, tai šią sumą viršijanti neatlygintinai suteiktų lėšų dalis gali būti perkeliama </w:t>
      </w:r>
      <w:r>
        <w:t>ne ilgiau kaip du vienas po kito einančius mokestinius metus,</w:t>
      </w:r>
      <w:r>
        <w:rPr>
          <w:b/>
          <w:bCs/>
        </w:rPr>
        <w:t xml:space="preserve"> </w:t>
      </w:r>
      <w:r>
        <w:rPr>
          <w:bCs/>
        </w:rPr>
        <w:t xml:space="preserve">apskaičiuotoms </w:t>
      </w:r>
      <w:hyperlink r:id="rId124" w:anchor="212z#212z" w:history="1">
        <w:r>
          <w:rPr>
            <w:bCs/>
          </w:rPr>
          <w:t>pelno</w:t>
        </w:r>
      </w:hyperlink>
      <w:r>
        <w:t xml:space="preserve"> mokesčio</w:t>
      </w:r>
      <w:r>
        <w:rPr>
          <w:bCs/>
        </w:rPr>
        <w:t xml:space="preserve"> sumoms sumažinti. Tačiau kiekvieno mokestinio laikotarpio mokėtinas pelno mokestis negali būti sumažintas daugiau kaip 75 procentais, todėl per du metus neperkelta likusia neatlygintinai suteiktų lėšų suma Investuotojas negali mažinti pelno mokesčio.</w:t>
      </w:r>
    </w:p>
    <w:p w14:paraId="71B91026" w14:textId="77777777" w:rsidR="00093845" w:rsidRDefault="000D779E">
      <w:pPr>
        <w:ind w:right="-82" w:firstLine="720"/>
        <w:jc w:val="both"/>
        <w:rPr>
          <w:bCs/>
        </w:rPr>
      </w:pPr>
      <w:r>
        <w:rPr>
          <w:bCs/>
        </w:rPr>
        <w:t>Pavyzdys</w:t>
      </w:r>
    </w:p>
    <w:p w14:paraId="63AD74AB" w14:textId="77777777" w:rsidR="00093845" w:rsidRDefault="000D779E">
      <w:pPr>
        <w:pBdr>
          <w:top w:val="single" w:sz="4" w:space="1" w:color="auto"/>
          <w:left w:val="single" w:sz="4" w:space="4" w:color="auto"/>
          <w:bottom w:val="single" w:sz="4" w:space="1" w:color="auto"/>
          <w:right w:val="single" w:sz="4" w:space="4" w:color="auto"/>
        </w:pBdr>
        <w:ind w:firstLine="567"/>
        <w:jc w:val="both"/>
      </w:pPr>
      <w:r>
        <w:t>2014 m. rugsėjo mėn. investuotojas gauna investicinę pažymą, pagal kurią 100 000 Lt neatlygintinai suteiktų lėšų pripažįstamos atitinkančiomis PMĮ 17</w:t>
      </w:r>
      <w:r>
        <w:rPr>
          <w:vertAlign w:val="superscript"/>
        </w:rPr>
        <w:t>2</w:t>
      </w:r>
      <w:r>
        <w:t xml:space="preserve"> straipsnio 1 dalyje keliamus reikalavimus. Investuotojo už 2014 m. apskaičiuota pelno mokesčio suma – 70 000 Lt, todėl už 2014 m. apskaičiuotą pelno mokestį Investuotojas gali mažinti tik 52 500 Lt (70 000 Lt x 75 proc.) suma. Už 2015 m. Investuotojas apskaičiuoja 40 000 Lt pelno mokesčio sumą, tai už 2015 m. apskaičiuotą pelno mokestį Investuotojas gali mažinti tik 30 000 Lt (40 000 Lt x 75 proc.) suma, o likusia neatlygintinai suteiktų lėšų suma – 17 500 Lt (100 000 Lt – 52 500 Lt – 30 000 Lt), Investuotojas mažina už 2016 m. apskaičiuotą pelno mokestį. Tarkime, kad vienetas už 2016 m. apskaičiavo 8 000 Lt pelno mokesčio sumą, tai apskaičiuotą pelno mokestį jis mažina 6 000 Lt (8 000 Lt x 75 proc.) suma, o likusia neatlygintinai suteiktų lėšų suma – 11 500 Lt (17 500 Lt – 6 000 Lt), vienetas už 2017 m. apskaičiuoto pelno mokesčio mažinti nebegalės, kadangi pagal PMĮ 46</w:t>
      </w:r>
      <w:r>
        <w:rPr>
          <w:vertAlign w:val="superscript"/>
        </w:rPr>
        <w:t>2</w:t>
      </w:r>
      <w:r>
        <w:t xml:space="preserve"> straipsnio nuostatas, apskaičiuotas pelno mokestis gali būti mažinamas tik už du vėlesnius vienas po kito einančius mokestinius laikotarpius.</w:t>
      </w:r>
    </w:p>
    <w:p w14:paraId="1061AF7F" w14:textId="77777777" w:rsidR="00B54784" w:rsidRDefault="00B54784" w:rsidP="00B54784">
      <w:pPr>
        <w:ind w:firstLine="709"/>
        <w:jc w:val="both"/>
        <w:rPr>
          <w:lang w:val="lt-LT"/>
        </w:rPr>
      </w:pPr>
      <w:r>
        <w:rPr>
          <w:bCs/>
          <w:lang w:val="lt-LT"/>
        </w:rPr>
        <w:t xml:space="preserve">2. </w:t>
      </w:r>
      <w:r w:rsidRPr="005818ED">
        <w:rPr>
          <w:bCs/>
          <w:lang w:val="lt-LT"/>
        </w:rPr>
        <w:t xml:space="preserve">Pelno mokestis pagal šio straipsnio 2 dalies </w:t>
      </w:r>
      <w:r w:rsidRPr="00A46CB4">
        <w:rPr>
          <w:bCs/>
          <w:lang w:val="lt-LT"/>
        </w:rPr>
        <w:t>nuostatą gali būti sumažintas per 2014 – 2023</w:t>
      </w:r>
      <w:r w:rsidRPr="00A46CB4">
        <w:rPr>
          <w:bCs/>
          <w:strike/>
          <w:lang w:val="lt-LT"/>
        </w:rPr>
        <w:t xml:space="preserve"> </w:t>
      </w:r>
      <w:r w:rsidRPr="00A46CB4">
        <w:rPr>
          <w:bCs/>
          <w:lang w:val="lt-LT"/>
        </w:rPr>
        <w:t xml:space="preserve">metų mokestinius laikotarpius vieneto neatlygintinai suteiktų lėšų suma. Jeigu </w:t>
      </w:r>
      <w:r w:rsidRPr="00A46CB4">
        <w:rPr>
          <w:lang w:val="lt-LT"/>
        </w:rPr>
        <w:t>vienetas neatlygintinai suteikia lėšas ne vienerius mokestinius metus ir gauna tai patvirtinančias investicines</w:t>
      </w:r>
      <w:r w:rsidRPr="005818ED">
        <w:rPr>
          <w:lang w:val="lt-LT"/>
        </w:rPr>
        <w:t xml:space="preserve"> pažymas, tai kiekvienų mokestinių metų investuota pinigų suma (viršijanti 75 </w:t>
      </w:r>
      <w:r w:rsidRPr="005818ED">
        <w:rPr>
          <w:bCs/>
          <w:lang w:val="lt-LT"/>
        </w:rPr>
        <w:t xml:space="preserve">procentų už mokestinį laikotarpį apskaičiuoto </w:t>
      </w:r>
      <w:hyperlink r:id="rId125" w:anchor="211z#211z" w:history="1">
        <w:r w:rsidRPr="005818ED">
          <w:rPr>
            <w:bCs/>
            <w:lang w:val="lt-LT"/>
          </w:rPr>
          <w:t>pelno</w:t>
        </w:r>
      </w:hyperlink>
      <w:r w:rsidRPr="005818ED">
        <w:rPr>
          <w:lang w:val="lt-LT"/>
        </w:rPr>
        <w:t xml:space="preserve"> mokesčio</w:t>
      </w:r>
      <w:r w:rsidRPr="005818ED">
        <w:rPr>
          <w:bCs/>
          <w:lang w:val="lt-LT"/>
        </w:rPr>
        <w:t xml:space="preserve"> sumos</w:t>
      </w:r>
      <w:r w:rsidRPr="005818ED">
        <w:rPr>
          <w:lang w:val="lt-LT"/>
        </w:rPr>
        <w:t>) perkeliama į kitus mokestinius</w:t>
      </w:r>
      <w:r w:rsidRPr="002F06D0">
        <w:rPr>
          <w:lang w:val="lt-LT"/>
        </w:rPr>
        <w:t xml:space="preserve"> metus iš eilės ta tvarka, kokia buvo suteikta, t. y. pirmiausiai perkeliama a</w:t>
      </w:r>
      <w:r>
        <w:rPr>
          <w:lang w:val="lt-LT"/>
        </w:rPr>
        <w:t>nksčiausiai suteiktų lėšų suma.</w:t>
      </w:r>
    </w:p>
    <w:p w14:paraId="0E9659C8" w14:textId="77777777" w:rsidR="00B54784" w:rsidRDefault="00B54784" w:rsidP="00B54784">
      <w:pPr>
        <w:spacing w:before="100" w:beforeAutospacing="1" w:after="100" w:afterAutospacing="1"/>
        <w:ind w:firstLine="709"/>
        <w:jc w:val="both"/>
        <w:rPr>
          <w:bCs/>
          <w:lang w:val="lt-LT"/>
        </w:rPr>
      </w:pPr>
      <w:r>
        <w:rPr>
          <w:bCs/>
          <w:lang w:val="lt-LT"/>
        </w:rPr>
        <w:lastRenderedPageBreak/>
        <w:t>(Pagal 2019-09-13 VMI prie FM raštą Nr. (32.42-31-1E)-RM-27343)</w:t>
      </w:r>
    </w:p>
    <w:p w14:paraId="38FEFB70" w14:textId="77777777" w:rsidR="00093845" w:rsidRPr="0065344A" w:rsidRDefault="000D779E">
      <w:pPr>
        <w:tabs>
          <w:tab w:val="left" w:pos="720"/>
          <w:tab w:val="left" w:pos="1077"/>
          <w:tab w:val="left" w:pos="1418"/>
        </w:tabs>
        <w:ind w:right="-5" w:firstLine="709"/>
        <w:jc w:val="both"/>
        <w:rPr>
          <w:lang w:val="lt-LT"/>
        </w:rPr>
      </w:pPr>
      <w:r w:rsidRPr="0065344A">
        <w:rPr>
          <w:lang w:val="lt-LT"/>
        </w:rPr>
        <w:t>3. Atkreiptinas dėmesys, kad PMĮ 46</w:t>
      </w:r>
      <w:r w:rsidRPr="0065344A">
        <w:rPr>
          <w:vertAlign w:val="superscript"/>
          <w:lang w:val="lt-LT"/>
        </w:rPr>
        <w:t>2</w:t>
      </w:r>
      <w:r w:rsidRPr="0065344A">
        <w:rPr>
          <w:lang w:val="lt-LT"/>
        </w:rPr>
        <w:t xml:space="preserve"> straipsnyje nustatyta lengvata Investuotojas gali pasinaudoti, jau įvertinęs ir pritaikęs kitas PMĮ nustatytas mokesčio lengvatas. </w:t>
      </w:r>
    </w:p>
    <w:p w14:paraId="2900D0DB" w14:textId="77777777" w:rsidR="00093845" w:rsidRDefault="000D779E">
      <w:pPr>
        <w:ind w:firstLine="720"/>
        <w:jc w:val="both"/>
        <w:rPr>
          <w:bCs/>
          <w:lang w:val="lt-LT"/>
        </w:rPr>
      </w:pPr>
      <w:r>
        <w:rPr>
          <w:bCs/>
          <w:lang w:val="lt-LT"/>
        </w:rPr>
        <w:t xml:space="preserve"> (</w:t>
      </w:r>
      <w:r w:rsidR="00B54784">
        <w:rPr>
          <w:bCs/>
          <w:lang w:val="lt-LT"/>
        </w:rPr>
        <w:t>P</w:t>
      </w:r>
      <w:r>
        <w:rPr>
          <w:bCs/>
          <w:lang w:val="lt-LT"/>
        </w:rPr>
        <w:t>agal 2014-07-08 VMI prie FM raštą Nr. (18.-10-31-1)-RM-11472)</w:t>
      </w:r>
    </w:p>
    <w:p w14:paraId="1F591AE2" w14:textId="77777777" w:rsidR="00093845" w:rsidRDefault="00093845">
      <w:pPr>
        <w:ind w:firstLine="720"/>
        <w:jc w:val="both"/>
        <w:rPr>
          <w:bCs/>
          <w:lang w:val="lt-LT"/>
        </w:rPr>
      </w:pPr>
    </w:p>
    <w:p w14:paraId="386901DB" w14:textId="77777777" w:rsidR="00093845" w:rsidRDefault="000D779E" w:rsidP="00DB7D41">
      <w:pPr>
        <w:pStyle w:val="Antrat1"/>
        <w:keepNext w:val="0"/>
        <w:tabs>
          <w:tab w:val="left" w:pos="720"/>
          <w:tab w:val="left" w:pos="1080"/>
        </w:tabs>
        <w:spacing w:after="0"/>
        <w:jc w:val="both"/>
        <w:rPr>
          <w:rFonts w:ascii="Times New Roman" w:hAnsi="Times New Roman" w:cs="Times New Roman"/>
          <w:kern w:val="0"/>
          <w:lang w:val="lt-LT"/>
        </w:rPr>
      </w:pPr>
      <w:bookmarkStart w:id="575" w:name="_463_STRAIPSNIS._"/>
      <w:bookmarkEnd w:id="575"/>
      <w:r>
        <w:rPr>
          <w:rFonts w:ascii="Times New Roman" w:hAnsi="Times New Roman" w:cs="Times New Roman"/>
          <w:kern w:val="0"/>
          <w:lang w:val="lt-LT"/>
        </w:rPr>
        <w:t>46</w:t>
      </w:r>
      <w:r>
        <w:rPr>
          <w:rFonts w:ascii="Times New Roman" w:hAnsi="Times New Roman" w:cs="Times New Roman"/>
          <w:kern w:val="0"/>
          <w:vertAlign w:val="superscript"/>
          <w:lang w:val="lt-LT"/>
        </w:rPr>
        <w:t>3</w:t>
      </w:r>
      <w:r>
        <w:rPr>
          <w:rFonts w:ascii="Times New Roman" w:hAnsi="Times New Roman" w:cs="Times New Roman"/>
          <w:kern w:val="0"/>
          <w:lang w:val="lt-LT"/>
        </w:rPr>
        <w:t xml:space="preserve"> STRAIPSNIS. </w:t>
      </w:r>
      <w:r>
        <w:rPr>
          <w:rFonts w:ascii="Times New Roman" w:hAnsi="Times New Roman" w:cs="Times New Roman"/>
          <w:kern w:val="0"/>
          <w:lang w:val="lt-LT"/>
        </w:rPr>
        <w:tab/>
        <w:t>Apmokestinamojo pelno sumažinimas lėšomis, skiriamomis viešuosius interesus tenkinančiai veiklai finansuoti</w:t>
      </w:r>
    </w:p>
    <w:p w14:paraId="2F78F96A" w14:textId="77777777" w:rsidR="00843F2F" w:rsidRPr="00BD467F" w:rsidRDefault="00DB7D41" w:rsidP="00843F2F">
      <w:pPr>
        <w:spacing w:after="0"/>
        <w:jc w:val="both"/>
        <w:rPr>
          <w:b/>
          <w:bCs/>
          <w:i/>
        </w:rPr>
      </w:pPr>
      <w:r w:rsidRPr="00BD467F">
        <w:rPr>
          <w:i/>
          <w:lang w:val="lt-LT"/>
        </w:rPr>
        <w:t>(</w:t>
      </w:r>
      <w:r w:rsidRPr="00BD467F">
        <w:rPr>
          <w:i/>
        </w:rPr>
        <w:t>KEISTA:</w:t>
      </w:r>
      <w:r w:rsidRPr="00BD467F">
        <w:rPr>
          <w:i/>
          <w:lang w:val="lt-LT"/>
        </w:rPr>
        <w:t xml:space="preserve"> </w:t>
      </w:r>
      <w:r w:rsidRPr="00BD467F">
        <w:rPr>
          <w:i/>
        </w:rPr>
        <w:t>201</w:t>
      </w:r>
      <w:r w:rsidR="00115821" w:rsidRPr="00BD467F">
        <w:rPr>
          <w:i/>
        </w:rPr>
        <w:t>8</w:t>
      </w:r>
      <w:r w:rsidRPr="00BD467F">
        <w:rPr>
          <w:i/>
        </w:rPr>
        <w:t xml:space="preserve"> 06 </w:t>
      </w:r>
      <w:r w:rsidR="00115821" w:rsidRPr="00BD467F">
        <w:rPr>
          <w:i/>
        </w:rPr>
        <w:t>28</w:t>
      </w:r>
      <w:r w:rsidRPr="00BD467F">
        <w:rPr>
          <w:i/>
        </w:rPr>
        <w:t xml:space="preserve"> įstatymu Nr. XII</w:t>
      </w:r>
      <w:r w:rsidR="00115821" w:rsidRPr="00BD467F">
        <w:rPr>
          <w:i/>
        </w:rPr>
        <w:t>I</w:t>
      </w:r>
      <w:r w:rsidRPr="00BD467F">
        <w:rPr>
          <w:i/>
        </w:rPr>
        <w:t>-</w:t>
      </w:r>
      <w:r w:rsidR="00115821" w:rsidRPr="00BD467F">
        <w:rPr>
          <w:i/>
        </w:rPr>
        <w:t>1</w:t>
      </w:r>
      <w:r w:rsidRPr="00BD467F">
        <w:rPr>
          <w:i/>
        </w:rPr>
        <w:t>3</w:t>
      </w:r>
      <w:r w:rsidR="00115821" w:rsidRPr="00BD467F">
        <w:rPr>
          <w:i/>
        </w:rPr>
        <w:t>33 (nuo 2019</w:t>
      </w:r>
      <w:r w:rsidRPr="00BD467F">
        <w:rPr>
          <w:i/>
        </w:rPr>
        <w:t xml:space="preserve"> 01 01)</w:t>
      </w:r>
      <w:r w:rsidRPr="00BD467F">
        <w:rPr>
          <w:b/>
          <w:bCs/>
          <w:i/>
        </w:rPr>
        <w:t>)</w:t>
      </w:r>
    </w:p>
    <w:p w14:paraId="4F051C97" w14:textId="77777777" w:rsidR="00843F2F" w:rsidRDefault="00843F2F" w:rsidP="00843F2F">
      <w:pPr>
        <w:spacing w:after="0"/>
        <w:jc w:val="both"/>
        <w:rPr>
          <w:b/>
          <w:bCs/>
        </w:rPr>
      </w:pPr>
    </w:p>
    <w:p w14:paraId="1226B8D5" w14:textId="77777777" w:rsidR="00843F2F" w:rsidRPr="00B11037" w:rsidRDefault="00843F2F" w:rsidP="00843F2F">
      <w:pPr>
        <w:spacing w:after="0"/>
        <w:jc w:val="both"/>
        <w:rPr>
          <w:b/>
          <w:lang w:val="lt-LT"/>
        </w:rPr>
      </w:pPr>
      <w:r w:rsidRPr="001E5BCD">
        <w:rPr>
          <w:b/>
          <w:lang w:val="lt-LT"/>
        </w:rPr>
        <w:t>1</w:t>
      </w:r>
      <w:r w:rsidRPr="00B11037">
        <w:rPr>
          <w:lang w:val="lt-LT"/>
        </w:rPr>
        <w:t xml:space="preserve">. </w:t>
      </w:r>
      <w:r w:rsidRPr="00B11037">
        <w:rPr>
          <w:b/>
          <w:lang w:val="lt-LT"/>
        </w:rPr>
        <w:t>Pelno nesiekiantys vienetai gali susimažinti apmokestinamąjį pelną lėšomis, tiesiogiai skiriamomis einamąjį mokestinį laikotarpį arba numatomomis tiesiogiai skirti per du vėlesnius vienas po kito einančius mokestinius laikotarpius viešuosius interesus tenkinančiai veiklai finansuoti.</w:t>
      </w:r>
    </w:p>
    <w:p w14:paraId="728D6D09" w14:textId="77777777" w:rsidR="00843F2F" w:rsidRPr="00E71AD5" w:rsidRDefault="00843F2F" w:rsidP="00843F2F">
      <w:pPr>
        <w:tabs>
          <w:tab w:val="left" w:pos="720"/>
          <w:tab w:val="left" w:pos="1077"/>
          <w:tab w:val="left" w:pos="1418"/>
        </w:tabs>
        <w:ind w:firstLine="720"/>
        <w:jc w:val="both"/>
        <w:rPr>
          <w:b/>
          <w:lang w:val="lt-LT"/>
        </w:rPr>
      </w:pPr>
      <w:r w:rsidRPr="00E71AD5">
        <w:rPr>
          <w:b/>
          <w:lang w:val="lt-LT"/>
        </w:rPr>
        <w:t>Komentaras</w:t>
      </w:r>
    </w:p>
    <w:p w14:paraId="369CF22C" w14:textId="77777777" w:rsidR="00843F2F" w:rsidRPr="003E7EE5"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lang w:val="lt-LT"/>
        </w:rPr>
      </w:pPr>
      <w:r w:rsidRPr="003E7EE5">
        <w:rPr>
          <w:bCs/>
          <w:lang w:val="lt-LT"/>
        </w:rPr>
        <w:t xml:space="preserve">1. Pagal PMĮ 2 straipsnio 5 d. nuostatas, </w:t>
      </w:r>
      <w:hyperlink r:id="rId126" w:anchor="9z#9z" w:history="1">
        <w:r w:rsidRPr="003E7EE5">
          <w:rPr>
            <w:bCs/>
            <w:lang w:val="lt-LT"/>
          </w:rPr>
          <w:t>pelno</w:t>
        </w:r>
      </w:hyperlink>
      <w:r w:rsidRPr="003E7EE5">
        <w:rPr>
          <w:bCs/>
          <w:lang w:val="lt-LT"/>
        </w:rPr>
        <w:t xml:space="preserve"> nesiekiantis vienetas - vienetas, kurio veiklos tikslas nėra </w:t>
      </w:r>
      <w:hyperlink r:id="rId127" w:anchor="10z#10z" w:history="1">
        <w:r w:rsidRPr="003E7EE5">
          <w:rPr>
            <w:bCs/>
            <w:lang w:val="lt-LT"/>
          </w:rPr>
          <w:t>pelno</w:t>
        </w:r>
      </w:hyperlink>
      <w:r w:rsidRPr="003E7EE5">
        <w:rPr>
          <w:bCs/>
          <w:lang w:val="lt-LT"/>
        </w:rPr>
        <w:t xml:space="preserve"> siekimas ir kuris pagal jo veiklą reglamentuojančius teisės aktus gauto </w:t>
      </w:r>
      <w:hyperlink r:id="rId128" w:anchor="11z#11z" w:history="1">
        <w:r w:rsidRPr="003E7EE5">
          <w:rPr>
            <w:bCs/>
            <w:lang w:val="lt-LT"/>
          </w:rPr>
          <w:t>pelno</w:t>
        </w:r>
      </w:hyperlink>
      <w:r w:rsidRPr="003E7EE5">
        <w:rPr>
          <w:bCs/>
          <w:lang w:val="lt-LT"/>
        </w:rPr>
        <w:t xml:space="preserve"> neturi teisės skirstyti savo steigėjams ir (arba) dalyviams (žr. PMĮ 2 straipsnio 5 dalies komentarą). Todėl komentuojamos dalies nuostatos taikomos tik šiuos kriterijus atitinkantiems vienetams.</w:t>
      </w:r>
    </w:p>
    <w:p w14:paraId="3E035E39" w14:textId="77777777" w:rsidR="00843F2F" w:rsidRPr="00F451A7" w:rsidRDefault="00843F2F" w:rsidP="00843F2F">
      <w:pPr>
        <w:tabs>
          <w:tab w:val="left" w:pos="720"/>
          <w:tab w:val="left" w:pos="1077"/>
          <w:tab w:val="left" w:pos="1418"/>
        </w:tabs>
        <w:ind w:firstLine="720"/>
        <w:jc w:val="both"/>
        <w:rPr>
          <w:bCs/>
          <w:vertAlign w:val="superscript"/>
          <w:lang w:val="lt-LT"/>
        </w:rPr>
      </w:pPr>
      <w:r w:rsidRPr="00330745">
        <w:rPr>
          <w:bCs/>
          <w:lang w:val="lt-LT"/>
        </w:rPr>
        <w:t xml:space="preserve">2. Pelno nesiekiantys vienetai per mokestinį laikotarpį </w:t>
      </w:r>
      <w:r w:rsidRPr="00330745">
        <w:rPr>
          <w:lang w:val="lt-LT"/>
        </w:rPr>
        <w:t xml:space="preserve">tiesiogiai skiriamomis, t. y. faktiškai panaudotomis, arba numatomomis tiesiogiai skirti, t. y. panaudoti, per du vėlesnius vienas po kito einančius mokestinius laikotarpius viešuosius interesus tenkinančiai veiklai finansuoti lėšomis, jeigu  yra turima informacija, įrodymai, pagrindžiantys tokių numatomų lėšų būsimą panaudojimą įstatuose numatytos visuomenei naudingai veiklai finansuoti (pasirašytos preliminarios sutartys, susitarimai, </w:t>
      </w:r>
      <w:r w:rsidRPr="0065344A">
        <w:rPr>
          <w:lang w:val="lt-LT"/>
        </w:rPr>
        <w:t xml:space="preserve"> </w:t>
      </w:r>
      <w:r w:rsidRPr="00330745">
        <w:rPr>
          <w:lang w:val="lt-LT"/>
        </w:rPr>
        <w:t>vieneto</w:t>
      </w:r>
      <w:r w:rsidRPr="0065344A">
        <w:rPr>
          <w:lang w:val="lt-LT"/>
        </w:rPr>
        <w:t xml:space="preserve"> </w:t>
      </w:r>
      <w:r w:rsidRPr="00330745">
        <w:rPr>
          <w:lang w:val="lt-LT"/>
        </w:rPr>
        <w:t xml:space="preserve">vidiniai dokumentai, pavyzdžiui projektai, veiklos planai ir kiti dokumentai), gali susimažinti šio mokestinio laikotarpio apmokestinamąjį pelną, apskaičiuotą PMĮ 11 straipsnyje nustatyta tvarka, t. y. </w:t>
      </w:r>
      <w:r w:rsidRPr="00330745">
        <w:rPr>
          <w:bCs/>
          <w:lang w:val="lt-LT"/>
        </w:rPr>
        <w:t>iš pajamų (PMĮ 2 str. 24 d.), atėmus neapmokestinamąsias</w:t>
      </w:r>
      <w:r w:rsidRPr="003E7EE5">
        <w:rPr>
          <w:bCs/>
          <w:lang w:val="lt-LT"/>
        </w:rPr>
        <w:t xml:space="preserve"> pajamas (PMĮ 12 str.), leidžiamus atskaitymus (PMĮ 17 str. 1 d.) ir ribojamų dydžių leidžiamus atskaitymus (PMĮ 17 str. 2 d.), </w:t>
      </w:r>
      <w:r>
        <w:rPr>
          <w:bCs/>
          <w:lang w:val="lt-LT"/>
        </w:rPr>
        <w:t xml:space="preserve">įskaitant </w:t>
      </w:r>
      <w:r w:rsidRPr="003E7EE5">
        <w:rPr>
          <w:bCs/>
          <w:lang w:val="lt-LT"/>
        </w:rPr>
        <w:t>ankstesnių metų mokestinių laikotarpių n</w:t>
      </w:r>
      <w:r>
        <w:rPr>
          <w:bCs/>
          <w:lang w:val="lt-LT"/>
        </w:rPr>
        <w:t>uostolius (PMĮ 30 straipsnis), likusį po sumažinimo dėl vykdomo investicinio projekto (PMĮ 46</w:t>
      </w:r>
      <w:r>
        <w:rPr>
          <w:bCs/>
          <w:vertAlign w:val="superscript"/>
          <w:lang w:val="lt-LT"/>
        </w:rPr>
        <w:t>1</w:t>
      </w:r>
      <w:r>
        <w:rPr>
          <w:bCs/>
          <w:lang w:val="lt-LT"/>
        </w:rPr>
        <w:t xml:space="preserve"> str. 2 d.). Ši nuostata dėl </w:t>
      </w:r>
      <w:hyperlink r:id="rId129" w:anchor="9z#9z" w:history="1">
        <w:r w:rsidRPr="003E7EE5">
          <w:rPr>
            <w:bCs/>
            <w:lang w:val="lt-LT"/>
          </w:rPr>
          <w:t>pelno</w:t>
        </w:r>
      </w:hyperlink>
      <w:r w:rsidRPr="003E7EE5">
        <w:rPr>
          <w:bCs/>
          <w:lang w:val="lt-LT"/>
        </w:rPr>
        <w:t xml:space="preserve"> nesiekian</w:t>
      </w:r>
      <w:r>
        <w:rPr>
          <w:bCs/>
          <w:lang w:val="lt-LT"/>
        </w:rPr>
        <w:t xml:space="preserve">čio vieneto apmokestinamojo pelno susimažinimo </w:t>
      </w:r>
      <w:r w:rsidRPr="000D73CA">
        <w:rPr>
          <w:bCs/>
          <w:lang w:val="lt-LT"/>
        </w:rPr>
        <w:t>taikom</w:t>
      </w:r>
      <w:r>
        <w:rPr>
          <w:bCs/>
          <w:lang w:val="lt-LT"/>
        </w:rPr>
        <w:t>a,</w:t>
      </w:r>
      <w:r w:rsidRPr="000D73CA">
        <w:rPr>
          <w:bCs/>
          <w:lang w:val="lt-LT"/>
        </w:rPr>
        <w:t xml:space="preserve"> apskaičiuojant 2019 metų ir vėlesnių metų mokestinių laikotarpių pelno mokestį</w:t>
      </w:r>
      <w:r>
        <w:rPr>
          <w:bCs/>
          <w:lang w:val="lt-LT"/>
        </w:rPr>
        <w:t>.</w:t>
      </w:r>
    </w:p>
    <w:p w14:paraId="22427B30" w14:textId="77777777" w:rsidR="00843F2F" w:rsidRPr="00585CC7" w:rsidRDefault="00843F2F" w:rsidP="00843F2F">
      <w:pPr>
        <w:ind w:firstLine="720"/>
        <w:jc w:val="both"/>
        <w:rPr>
          <w:bCs/>
          <w:lang w:val="lt-LT"/>
        </w:rPr>
      </w:pPr>
      <w:r>
        <w:rPr>
          <w:lang w:val="lt-LT"/>
        </w:rPr>
        <w:t xml:space="preserve">3. </w:t>
      </w:r>
      <w:r w:rsidRPr="00585CC7">
        <w:rPr>
          <w:bCs/>
          <w:lang w:val="lt-LT"/>
        </w:rPr>
        <w:t xml:space="preserve">Viešąjį interesą tenkinančiai veiklai </w:t>
      </w:r>
      <w:r>
        <w:rPr>
          <w:bCs/>
          <w:lang w:val="lt-LT"/>
        </w:rPr>
        <w:t xml:space="preserve">yra </w:t>
      </w:r>
      <w:r w:rsidRPr="00585CC7">
        <w:rPr>
          <w:bCs/>
          <w:lang w:val="lt-LT"/>
        </w:rPr>
        <w:t xml:space="preserve">priskiriama pelno nesiekiančių vienetų </w:t>
      </w:r>
      <w:r>
        <w:rPr>
          <w:bCs/>
          <w:lang w:val="lt-LT"/>
        </w:rPr>
        <w:t xml:space="preserve">vykdoma </w:t>
      </w:r>
      <w:r w:rsidRPr="00585CC7">
        <w:rPr>
          <w:bCs/>
          <w:lang w:val="lt-LT"/>
        </w:rPr>
        <w:t>visuomenei naudinga veikla mokslo, kultūros, švietimo, meno, religijos, sporto, sveikatos apsaugos, socialinės globos ir rūpybos, aplinkos apsaugos ir kitose visuomenei naudingomis pripažįstamose srityse.</w:t>
      </w:r>
    </w:p>
    <w:p w14:paraId="6B7CA90A" w14:textId="77777777" w:rsidR="00843F2F" w:rsidRPr="00330745" w:rsidRDefault="00843F2F" w:rsidP="00843F2F">
      <w:pPr>
        <w:ind w:firstLine="720"/>
        <w:jc w:val="both"/>
        <w:rPr>
          <w:iCs/>
          <w:color w:val="000000"/>
          <w:lang w:val="lt-LT"/>
        </w:rPr>
      </w:pPr>
      <w:r w:rsidRPr="003C1E19">
        <w:rPr>
          <w:bCs/>
          <w:lang w:val="lt-LT"/>
        </w:rPr>
        <w:t>4.</w:t>
      </w:r>
      <w:r>
        <w:rPr>
          <w:bCs/>
          <w:lang w:val="lt-LT"/>
        </w:rPr>
        <w:t xml:space="preserve"> </w:t>
      </w:r>
      <w:r w:rsidRPr="003C1E19">
        <w:rPr>
          <w:bCs/>
          <w:lang w:val="lt-LT"/>
        </w:rPr>
        <w:t>Sąvoka „</w:t>
      </w:r>
      <w:r w:rsidRPr="003C1E19">
        <w:rPr>
          <w:lang w:val="lt-LT"/>
        </w:rPr>
        <w:t xml:space="preserve">lėšos, tiesiogiai skiriamos einamąjį mokestinį laikotarpį viešuosius interesus tenkinančiai veiklai </w:t>
      </w:r>
      <w:r w:rsidRPr="00330745">
        <w:rPr>
          <w:lang w:val="lt-LT"/>
        </w:rPr>
        <w:t>finansuoti” yra suprantama, kaip pelno nesiekiančio vieneto per tam tikrą mokestinį laikotarpį panaudotos lėšos</w:t>
      </w:r>
      <w:r w:rsidRPr="00330745">
        <w:rPr>
          <w:bCs/>
          <w:lang w:val="lt-LT"/>
        </w:rPr>
        <w:t xml:space="preserve"> faktiškai šio vieneto patirtų išlaidų (patirtų ne per susijusių ar kitų asmenų veiklą), vykdant visuomenei naudingą veiklą, iš kurios nėra uždirbamos pajamos, kompensavimui, pavyzdžiui, patirtų išlaidų, teikiant nemokamas paslaugas, organizuojant nemokamus seminarus ar mokymus, renginius ir pan., kompensavimui.</w:t>
      </w:r>
    </w:p>
    <w:p w14:paraId="286DE536" w14:textId="77777777" w:rsidR="00843F2F" w:rsidRPr="00330745" w:rsidRDefault="00843F2F" w:rsidP="00843F2F">
      <w:pPr>
        <w:ind w:firstLine="720"/>
        <w:jc w:val="both"/>
        <w:rPr>
          <w:lang w:val="lt-LT"/>
        </w:rPr>
      </w:pPr>
      <w:r w:rsidRPr="00330745">
        <w:rPr>
          <w:lang w:val="lt-LT"/>
        </w:rPr>
        <w:t>Lėšos, kurias pelno nesiekiantis vienetas panaudoja faktiškai per mokestinį laikotarpį patirtų išlaidų, vykdant</w:t>
      </w:r>
      <w:r w:rsidRPr="00330745">
        <w:rPr>
          <w:bCs/>
          <w:lang w:val="lt-LT"/>
        </w:rPr>
        <w:t xml:space="preserve"> visuomenei naudingą veiklą, kompensavimui, gali būti </w:t>
      </w:r>
      <w:r w:rsidRPr="00330745">
        <w:rPr>
          <w:lang w:val="lt-LT"/>
        </w:rPr>
        <w:t>tiek nuosavos, pavyzdžiui,  uždirbtos vykdant vieneto veiklą, tiek skolintos, t. y. paėmus paskolą bei kt.</w:t>
      </w:r>
    </w:p>
    <w:p w14:paraId="1AFF16C5" w14:textId="77777777" w:rsidR="00843F2F" w:rsidRPr="00330745" w:rsidRDefault="00843F2F" w:rsidP="00843F2F">
      <w:pPr>
        <w:ind w:firstLine="720"/>
        <w:jc w:val="both"/>
        <w:rPr>
          <w:lang w:val="lt-LT"/>
        </w:rPr>
      </w:pPr>
      <w:r w:rsidRPr="00330745">
        <w:rPr>
          <w:lang w:val="lt-LT"/>
        </w:rPr>
        <w:lastRenderedPageBreak/>
        <w:t>Pelno nesiekiantys vienetai privalo turėti informaciją bei įrodymus, kuri pagrįstų lėšų panaudojimą įstatuose numatytos visuomenei naudingos veiklos finansavimui ir turi turėti juridinę galią turinčius dokumentus, kuriais yra pagrindžiamos  faktiškai viešam interesui tenkinti patirtos išlaidos.</w:t>
      </w:r>
    </w:p>
    <w:p w14:paraId="4719485A" w14:textId="77777777" w:rsidR="00843F2F" w:rsidRDefault="00843F2F" w:rsidP="00843F2F">
      <w:pPr>
        <w:tabs>
          <w:tab w:val="left" w:pos="720"/>
          <w:tab w:val="left" w:pos="1077"/>
          <w:tab w:val="left" w:pos="1418"/>
        </w:tabs>
        <w:ind w:firstLine="720"/>
        <w:jc w:val="both"/>
        <w:rPr>
          <w:lang w:val="lt-LT"/>
        </w:rPr>
      </w:pPr>
      <w:r w:rsidRPr="00330745">
        <w:rPr>
          <w:lang w:val="lt-LT"/>
        </w:rPr>
        <w:t>5. Pažymėtina, kad pelno nesiekiantys vienetai nuo 2019 metų mokestinio laikotarpio apmokestinamąjį pelną taip pat gali susimažinti lėšomis, numatytomis panaudoti per ateinančius du vėlesnius vienas po kito einančius mokestinius laikotarpius viešuosius interesus tenkinančiai veiklai finansuoti, jeigu yra turima informacija, įrodymai, pagrindžiantys tokių numatomų lėšų būsimą panaudojimą įstatuose numatytos visuomenei naudingai veiklai finansuoti (pasirašytos preliminarios sutartys, susitarimai, vieneto</w:t>
      </w:r>
      <w:r w:rsidRPr="0065344A">
        <w:rPr>
          <w:lang w:val="lt-LT"/>
        </w:rPr>
        <w:t xml:space="preserve"> </w:t>
      </w:r>
      <w:r w:rsidRPr="00330745">
        <w:rPr>
          <w:lang w:val="lt-LT"/>
        </w:rPr>
        <w:t xml:space="preserve">vidiniai dokumentai, pavyzdžiui projektai, veiklos planai ir kiti dokumentai). Tačiau pažymėtina, kad tik sumažinus apmokestinamąjį pelną einamaisiais mokestiniais metais tiesiogiai skiriamomis lėšomis, t. y. panaudotomis </w:t>
      </w:r>
      <w:r w:rsidRPr="00330745">
        <w:rPr>
          <w:bCs/>
          <w:lang w:val="lt-LT"/>
        </w:rPr>
        <w:t xml:space="preserve">faktiškai patirtų išlaidų kompensavimui, likęs šio </w:t>
      </w:r>
      <w:r w:rsidRPr="00330745">
        <w:rPr>
          <w:lang w:val="lt-LT"/>
        </w:rPr>
        <w:t>mokestinio laikotarpio apmokestinamasis pelnas gali būti mažinamas lėšomis, numatytomis panaudoti viešuosius interesus tenkinančiai veiklai finansuoti</w:t>
      </w:r>
      <w:r w:rsidRPr="00330745">
        <w:rPr>
          <w:bCs/>
          <w:lang w:val="lt-LT"/>
        </w:rPr>
        <w:t>.</w:t>
      </w:r>
      <w:r w:rsidRPr="00330745">
        <w:rPr>
          <w:lang w:val="lt-LT"/>
        </w:rPr>
        <w:t xml:space="preserve"> Taip pat atkreiptinas dėmesys, kad tam tikrą mokestinį laikotarpį pelno nesiekiančio vieneto numatomos panaudoti lėšos būsimų išlaidų,</w:t>
      </w:r>
      <w:r w:rsidRPr="00330745">
        <w:rPr>
          <w:bCs/>
          <w:lang w:val="lt-LT"/>
        </w:rPr>
        <w:t xml:space="preserve"> vykdant visuomenei naudingą veiklą, iš kurios nebus uždirbamos pajamos, kompensavimui, </w:t>
      </w:r>
      <w:r w:rsidRPr="00330745">
        <w:rPr>
          <w:lang w:val="lt-LT"/>
        </w:rPr>
        <w:t>negali būti didesnės nei to mokestinio laikotarpio  apskaičiuota</w:t>
      </w:r>
      <w:r>
        <w:rPr>
          <w:lang w:val="lt-LT"/>
        </w:rPr>
        <w:t xml:space="preserve"> apmokestinamojo pelno suma.</w:t>
      </w:r>
    </w:p>
    <w:p w14:paraId="2FF974CC" w14:textId="77777777" w:rsidR="00843F2F" w:rsidRDefault="00843F2F" w:rsidP="00843F2F">
      <w:pPr>
        <w:ind w:firstLine="720"/>
        <w:jc w:val="both"/>
        <w:rPr>
          <w:lang w:val="lt-LT"/>
        </w:rPr>
      </w:pPr>
      <w:r>
        <w:rPr>
          <w:lang w:val="lt-LT"/>
        </w:rPr>
        <w:t>Pavyzdys</w:t>
      </w:r>
    </w:p>
    <w:p w14:paraId="10027042" w14:textId="77777777" w:rsidR="00843F2F" w:rsidRDefault="00843F2F" w:rsidP="00843F2F">
      <w:pPr>
        <w:pBdr>
          <w:top w:val="single" w:sz="4" w:space="1" w:color="auto"/>
          <w:left w:val="single" w:sz="4" w:space="4" w:color="auto"/>
          <w:bottom w:val="single" w:sz="4" w:space="1" w:color="auto"/>
          <w:right w:val="single" w:sz="4" w:space="4" w:color="auto"/>
        </w:pBdr>
        <w:ind w:firstLine="720"/>
        <w:jc w:val="both"/>
        <w:rPr>
          <w:lang w:val="lt-LT"/>
        </w:rPr>
      </w:pPr>
      <w:r w:rsidRPr="00156A84">
        <w:rPr>
          <w:lang w:val="lt-LT"/>
        </w:rPr>
        <w:t>Viešoji įstaiga, kurios pagrindinė veiklos kryptis – konsultacijų teikimas smulkaus ir vidutinio verslo klausimais</w:t>
      </w:r>
      <w:r>
        <w:rPr>
          <w:lang w:val="lt-LT"/>
        </w:rPr>
        <w:t>, 2019 metais apskaičiavo 12 000 Eur apmokestinamąjį pelną. Viešoji įstaiga, vykdydama viešuosius interesus tenkinančią veiklą, t. y. teikdama nemokamas konsultacijas, 2019 metais faktiškai patyrė 4 000 Eur išlaidų bei, nusprendusi įsteigti naują konsultacinį centrą kitoje Lietuvos vietovėje, sudarė 2 metams preliminarią sutartį su statybos darbų vykdytoju ir pasiėmė 10 000 Eur paskolą iš banko.</w:t>
      </w:r>
    </w:p>
    <w:p w14:paraId="489945A7" w14:textId="77777777" w:rsidR="00843F2F" w:rsidRDefault="00843F2F" w:rsidP="00843F2F">
      <w:pPr>
        <w:pBdr>
          <w:top w:val="single" w:sz="4" w:space="1" w:color="auto"/>
          <w:left w:val="single" w:sz="4" w:space="4" w:color="auto"/>
          <w:bottom w:val="single" w:sz="4" w:space="1" w:color="auto"/>
          <w:right w:val="single" w:sz="4" w:space="4" w:color="auto"/>
        </w:pBdr>
        <w:ind w:firstLine="720"/>
        <w:jc w:val="both"/>
        <w:rPr>
          <w:lang w:val="lt-LT"/>
        </w:rPr>
      </w:pPr>
      <w:r>
        <w:rPr>
          <w:lang w:val="lt-LT"/>
        </w:rPr>
        <w:t>Viešoji įstaiga už 2019 metų mokestinį laikotarpį apskaičiuotą 12 000 Eur apmokestinamąjį pelną susimažina lėšomis,</w:t>
      </w:r>
      <w:r w:rsidRPr="009B18D1">
        <w:rPr>
          <w:bCs/>
          <w:lang w:val="lt-LT"/>
        </w:rPr>
        <w:t xml:space="preserve"> </w:t>
      </w:r>
      <w:r>
        <w:rPr>
          <w:bCs/>
          <w:lang w:val="lt-LT"/>
        </w:rPr>
        <w:t>panaudotomis šį mokestinį laikotarpį faktiškai patirtų išlaidų,</w:t>
      </w:r>
      <w:r w:rsidRPr="009B18D1">
        <w:rPr>
          <w:bCs/>
          <w:lang w:val="lt-LT"/>
        </w:rPr>
        <w:t xml:space="preserve"> </w:t>
      </w:r>
      <w:r>
        <w:rPr>
          <w:bCs/>
          <w:lang w:val="lt-LT"/>
        </w:rPr>
        <w:t xml:space="preserve">vykdant visuomenei naudingą veiklą, kompensavimui, t. y. 4 000 Eur,  bei, atsižvelgiant į tai, kad yra turima </w:t>
      </w:r>
      <w:r>
        <w:rPr>
          <w:lang w:val="lt-LT"/>
        </w:rPr>
        <w:t>informacija,</w:t>
      </w:r>
      <w:r w:rsidRPr="00585CC7">
        <w:rPr>
          <w:lang w:val="lt-LT"/>
        </w:rPr>
        <w:t xml:space="preserve"> </w:t>
      </w:r>
      <w:r>
        <w:rPr>
          <w:lang w:val="lt-LT"/>
        </w:rPr>
        <w:t>pagrindžianti tokių numatomų lėšų</w:t>
      </w:r>
      <w:r w:rsidRPr="00585CC7">
        <w:rPr>
          <w:lang w:val="lt-LT"/>
        </w:rPr>
        <w:t xml:space="preserve"> </w:t>
      </w:r>
      <w:r>
        <w:rPr>
          <w:lang w:val="lt-LT"/>
        </w:rPr>
        <w:t xml:space="preserve">būsimą </w:t>
      </w:r>
      <w:r w:rsidRPr="00585CC7">
        <w:rPr>
          <w:lang w:val="lt-LT"/>
        </w:rPr>
        <w:t>panaudojimą įstatuose numatytos visuomenei</w:t>
      </w:r>
      <w:r>
        <w:rPr>
          <w:lang w:val="lt-LT"/>
        </w:rPr>
        <w:t xml:space="preserve"> naudingai veiklai finansuoti (</w:t>
      </w:r>
      <w:r>
        <w:rPr>
          <w:bCs/>
          <w:lang w:val="lt-LT"/>
        </w:rPr>
        <w:t xml:space="preserve">pasirašyta </w:t>
      </w:r>
      <w:r>
        <w:rPr>
          <w:lang w:val="lt-LT"/>
        </w:rPr>
        <w:t xml:space="preserve">preliminari sutartis su statybos darbų vykdytoju, paimta iš banko paskola), - </w:t>
      </w:r>
      <w:r>
        <w:rPr>
          <w:bCs/>
          <w:lang w:val="lt-LT"/>
        </w:rPr>
        <w:t>8 000 Eur skolintomis iš banko lėšomis, numatomomis panaudoti per du</w:t>
      </w:r>
      <w:r w:rsidRPr="00E71EC4">
        <w:rPr>
          <w:lang w:val="lt-LT"/>
        </w:rPr>
        <w:t xml:space="preserve"> vėlesnius vienas po kito einančius mokestinius laikotarpius</w:t>
      </w:r>
      <w:r>
        <w:rPr>
          <w:lang w:val="lt-LT"/>
        </w:rPr>
        <w:t xml:space="preserve"> viešuosius interesus tenkančiai veiklai finansuoti, t. y. konsultacinio centro statybai, tačiau tik </w:t>
      </w:r>
      <w:r>
        <w:rPr>
          <w:bCs/>
          <w:lang w:val="lt-LT"/>
        </w:rPr>
        <w:t>apmokestinamojo pelno ribose</w:t>
      </w:r>
      <w:r>
        <w:rPr>
          <w:lang w:val="lt-LT"/>
        </w:rPr>
        <w:t>.</w:t>
      </w:r>
    </w:p>
    <w:p w14:paraId="3B1201EB" w14:textId="77777777" w:rsidR="00843F2F" w:rsidRPr="00330745" w:rsidRDefault="00843F2F" w:rsidP="00843F2F">
      <w:pPr>
        <w:tabs>
          <w:tab w:val="left" w:pos="720"/>
          <w:tab w:val="left" w:pos="916"/>
          <w:tab w:val="left" w:pos="1077"/>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lt-LT"/>
        </w:rPr>
      </w:pPr>
      <w:r w:rsidRPr="00330745">
        <w:rPr>
          <w:lang w:val="lt-LT"/>
        </w:rPr>
        <w:t xml:space="preserve">6. Atkreiptinas dėmesys, kad iki 2019 metais prasidėjusio mokestinio laikotarpio pelno nesiekiantys vienetai turėjo teisę ūkinės komercinės veiklos pajamomis nelaikyti per mokestinį laikotarpį uždirbtų pajamų (sumažintų joms tenkančiomis sąnaudomis), tiesiogiai skiriamų ar numatomų skirti per 5 vėlesnius mokestinius laikotarpius (atsižvelgiant į mokesčio apskaičiavimo ir perskaičiavimo senaties terminus, nustatytus Mokesčių administravimo įstatyme) įstatuose numatytiems visuomenei naudingiems tikslams įgyvendinti. Jeigu šios aukščiau minėtos pajamos (ar jų dalis), numatytos panaudoti viešuosius interesus tenkinančiai veiklai finansuoti, kitais mokestiniais laikotarpiais panaudojamos ne tokiai veiklai finansuoti arba nepanaudojamos per aukščiau minėtą terminą, pelno nesiekiantis vienetas privalo jas (arba jų dalį) apmokestinti pateikdamas to mokestinio laikotarpio, kurį tokios pajamos buvo apskaičiuotos, deklaraciją. Atsižvelgiant į tai, kad nuo 2020 m. sausio 1 d. pagal Mokesčių administravimo įstatymą mokesčio apskaičiavimo ir perskaičiavimo senaties terminas - 3 metai, todėl 2014-2016 m. mokestinio laikotarpio vieneto pajamos (sumažintos joms tenkančiomis sąnaudomis), kurios buvo numatytos panaudoti viešuosius interesus tenkinančiai veiklai finansuoti, turi būti panaudojamos iki 2019 metų mokestinio laikotarpio pabaigos, atitinkamai 2017 m. mokestinio laikotarpio pajamos (sumažintos joms tenkančiomis sąnaudomis) – iki 2020 m. </w:t>
      </w:r>
      <w:r w:rsidRPr="00330745">
        <w:rPr>
          <w:lang w:val="lt-LT"/>
        </w:rPr>
        <w:lastRenderedPageBreak/>
        <w:t>mokestinio laikotarpio pabaigos, o 2018 m. mokestinio laikotarpio pajamos (sumažintos joms tenkančiomis sąnaudomis) – iki 2021 m. mokestinio laikotarpio pabaigos. Jeigu pajamos (sumažintos joms tenkančiomis sąnaudomis) panaudojamos ne tokiai veiklai finansuoti arba nepanaudojamos per aukščiau minėtą terminą, pelno nesiekiantis vienetas privalo šią sumą apmokestinti, pateikdamas to mokestinio laikotarpio, kurį tokios pajamos buvo apskaičiuotos, deklaraciją.</w:t>
      </w:r>
    </w:p>
    <w:p w14:paraId="3CE05D94" w14:textId="77777777" w:rsidR="00843F2F" w:rsidRPr="00757A61" w:rsidRDefault="00843F2F" w:rsidP="00843F2F">
      <w:pPr>
        <w:ind w:firstLine="720"/>
        <w:jc w:val="both"/>
        <w:rPr>
          <w:lang w:val="lt-LT"/>
        </w:rPr>
      </w:pPr>
      <w:r w:rsidRPr="00330745">
        <w:rPr>
          <w:lang w:val="lt-LT"/>
        </w:rPr>
        <w:t>Tačiau pažymėtina, kad taikant PMĮ 46</w:t>
      </w:r>
      <w:r w:rsidRPr="00330745">
        <w:rPr>
          <w:vertAlign w:val="superscript"/>
          <w:lang w:val="lt-LT"/>
        </w:rPr>
        <w:t>3</w:t>
      </w:r>
      <w:r w:rsidRPr="00330745">
        <w:rPr>
          <w:lang w:val="lt-LT"/>
        </w:rPr>
        <w:t> straipsnio nuostatas, neatsižvelgiama į lėšas, atitinkančias iki 2019 metais prasidėjusio mokestinio laikotarpio gautas pajamas, kurios buvo numatomos panaudoti viešuosius interesus tenkinančiai veiklai finansuoti po 2019 metais prasidėjusio mokestinio laikotarpio, t. y. neatsižvelgiama į iki 2019 metais prasidėjusio mokestinio laikotarpio gautas pajamas, kurias buvo numatyta panaudoti per 5 vėlesnius mokestinius laikotarpius, ir kurios faktiškai panaudojamos nuo 2019 metais prasidėjusio mokestinio laikotarpio).</w:t>
      </w:r>
    </w:p>
    <w:p w14:paraId="0672BC01" w14:textId="77777777" w:rsidR="00843F2F" w:rsidRPr="00F25814" w:rsidRDefault="00843F2F" w:rsidP="00843F2F">
      <w:pPr>
        <w:tabs>
          <w:tab w:val="left" w:pos="720"/>
          <w:tab w:val="left" w:pos="1077"/>
          <w:tab w:val="left" w:pos="1418"/>
        </w:tabs>
        <w:ind w:firstLine="720"/>
        <w:jc w:val="both"/>
        <w:rPr>
          <w:b/>
          <w:lang w:val="lt-LT"/>
        </w:rPr>
      </w:pPr>
      <w:bookmarkStart w:id="576" w:name="part_39fec8503a4a470e86eea1ff76ab2448"/>
      <w:bookmarkEnd w:id="576"/>
      <w:r w:rsidRPr="00F25814">
        <w:rPr>
          <w:b/>
          <w:lang w:val="lt-LT"/>
        </w:rPr>
        <w:t>2. Jeigu einamąjį mokestinį laikotarpį viešuosius interesus tenkinančiai veiklai finansuoti tiesiogiai skirtų lėšų suma yra didesnė negu už tą mokestinį laikotarpį apskaičiuota apmokestinamojo pelno suma, šią sumą viršijančios lėšos gali būti perkeliamos už vėlesnius du vienas po kito einančius mokestinius laikotarpius apskaičiuotoms apmokestinamojo pelno sumoms sumažinti, atitinkamai mažinant perkeliamą tokių lėšų sumą.</w:t>
      </w:r>
      <w:r>
        <w:rPr>
          <w:b/>
          <w:lang w:val="lt-LT"/>
        </w:rPr>
        <w:t xml:space="preserve"> </w:t>
      </w:r>
    </w:p>
    <w:p w14:paraId="7AA31F8B" w14:textId="77777777" w:rsidR="00843F2F" w:rsidRPr="00E71AD5" w:rsidRDefault="00843F2F" w:rsidP="00843F2F">
      <w:pPr>
        <w:tabs>
          <w:tab w:val="left" w:pos="720"/>
          <w:tab w:val="left" w:pos="1077"/>
          <w:tab w:val="left" w:pos="1418"/>
        </w:tabs>
        <w:ind w:firstLine="720"/>
        <w:jc w:val="both"/>
        <w:rPr>
          <w:b/>
          <w:lang w:val="lt-LT"/>
        </w:rPr>
      </w:pPr>
      <w:bookmarkStart w:id="577" w:name="part_84f73b4ad1324836a6dc0606e8b27d72"/>
      <w:bookmarkEnd w:id="577"/>
      <w:r w:rsidRPr="00E71AD5">
        <w:rPr>
          <w:b/>
          <w:lang w:val="lt-LT"/>
        </w:rPr>
        <w:t>Komentaras</w:t>
      </w:r>
    </w:p>
    <w:p w14:paraId="5EFE05A4" w14:textId="77777777" w:rsidR="00843F2F" w:rsidRPr="00764B48" w:rsidRDefault="00843F2F" w:rsidP="00843F2F">
      <w:pPr>
        <w:ind w:right="-82" w:firstLine="720"/>
        <w:jc w:val="both"/>
        <w:rPr>
          <w:b/>
          <w:bCs/>
          <w:lang w:val="fr-FR"/>
        </w:rPr>
      </w:pPr>
      <w:r w:rsidRPr="00764B48">
        <w:rPr>
          <w:bCs/>
          <w:lang w:val="fr-FR"/>
        </w:rPr>
        <w:t xml:space="preserve">1. </w:t>
      </w:r>
      <w:r w:rsidRPr="00764B48">
        <w:rPr>
          <w:lang w:val="fr-FR"/>
        </w:rPr>
        <w:t>Jeigu per mokestinį laikotarpį</w:t>
      </w:r>
      <w:r w:rsidRPr="00E91C77">
        <w:rPr>
          <w:bCs/>
          <w:lang w:val="fr-FR"/>
        </w:rPr>
        <w:t xml:space="preserve"> </w:t>
      </w:r>
      <w:r>
        <w:rPr>
          <w:bCs/>
          <w:lang w:val="fr-FR"/>
        </w:rPr>
        <w:t>pelno nesiekiančio vieneto panaudotos lėšos faktiškai patirtų išlaidų,</w:t>
      </w:r>
      <w:r w:rsidRPr="00087F8C">
        <w:rPr>
          <w:bCs/>
          <w:lang w:val="lt-LT"/>
        </w:rPr>
        <w:t xml:space="preserve"> </w:t>
      </w:r>
      <w:r>
        <w:rPr>
          <w:bCs/>
          <w:lang w:val="lt-LT"/>
        </w:rPr>
        <w:t>vykdant visuomenei naudingą veiklą, iš kurios nėra uždirbamos pajamos, kompensavimui</w:t>
      </w:r>
      <w:r>
        <w:rPr>
          <w:bCs/>
          <w:lang w:val="fr-FR"/>
        </w:rPr>
        <w:t xml:space="preserve">  yra </w:t>
      </w:r>
      <w:r w:rsidRPr="00764B48">
        <w:rPr>
          <w:lang w:val="fr-FR"/>
        </w:rPr>
        <w:t>didesnė</w:t>
      </w:r>
      <w:r>
        <w:rPr>
          <w:lang w:val="fr-FR"/>
        </w:rPr>
        <w:t>s</w:t>
      </w:r>
      <w:r w:rsidRPr="00764B48">
        <w:rPr>
          <w:lang w:val="fr-FR"/>
        </w:rPr>
        <w:t xml:space="preserve"> nei </w:t>
      </w:r>
      <w:r w:rsidRPr="00764B48">
        <w:rPr>
          <w:bCs/>
          <w:lang w:val="fr-FR"/>
        </w:rPr>
        <w:t xml:space="preserve">mokestinį laikotarpį apskaičiuoto apmokestinamojo </w:t>
      </w:r>
      <w:hyperlink r:id="rId130" w:anchor="211z#211z" w:history="1">
        <w:r w:rsidRPr="00764B48">
          <w:rPr>
            <w:bCs/>
            <w:lang w:val="fr-FR"/>
          </w:rPr>
          <w:t>pelno</w:t>
        </w:r>
      </w:hyperlink>
      <w:r>
        <w:rPr>
          <w:bCs/>
          <w:lang w:val="fr-FR"/>
        </w:rPr>
        <w:t xml:space="preserve"> suma</w:t>
      </w:r>
      <w:r w:rsidRPr="00764B48">
        <w:rPr>
          <w:bCs/>
          <w:lang w:val="fr-FR"/>
        </w:rPr>
        <w:t xml:space="preserve">, tai šią sumą viršijanti </w:t>
      </w:r>
      <w:r>
        <w:rPr>
          <w:bCs/>
          <w:lang w:val="fr-FR"/>
        </w:rPr>
        <w:t xml:space="preserve">šių lėšų </w:t>
      </w:r>
      <w:r w:rsidRPr="00764B48">
        <w:rPr>
          <w:bCs/>
          <w:lang w:val="fr-FR"/>
        </w:rPr>
        <w:t xml:space="preserve">dalis gali būti perkeliama </w:t>
      </w:r>
      <w:r w:rsidRPr="00764B48">
        <w:rPr>
          <w:lang w:val="fr-FR"/>
        </w:rPr>
        <w:t xml:space="preserve">ne ilgiau kaip </w:t>
      </w:r>
      <w:r>
        <w:rPr>
          <w:lang w:val="fr-FR"/>
        </w:rPr>
        <w:t xml:space="preserve">du </w:t>
      </w:r>
      <w:r w:rsidRPr="00764B48">
        <w:rPr>
          <w:lang w:val="fr-FR"/>
        </w:rPr>
        <w:t>vienas po kito einančius mokestinius metus,</w:t>
      </w:r>
      <w:r w:rsidRPr="00764B48">
        <w:rPr>
          <w:b/>
          <w:bCs/>
          <w:lang w:val="fr-FR"/>
        </w:rPr>
        <w:t xml:space="preserve"> </w:t>
      </w:r>
      <w:r w:rsidRPr="00764B48">
        <w:rPr>
          <w:bCs/>
          <w:lang w:val="fr-FR"/>
        </w:rPr>
        <w:t xml:space="preserve">apskaičiuotoms apmokestinamojo </w:t>
      </w:r>
      <w:hyperlink r:id="rId131" w:anchor="212z#212z" w:history="1">
        <w:r w:rsidRPr="00764B48">
          <w:rPr>
            <w:bCs/>
            <w:lang w:val="fr-FR"/>
          </w:rPr>
          <w:t>pelno</w:t>
        </w:r>
      </w:hyperlink>
      <w:r>
        <w:rPr>
          <w:bCs/>
          <w:lang w:val="fr-FR"/>
        </w:rPr>
        <w:t xml:space="preserve"> sumoms sumažinti.</w:t>
      </w:r>
    </w:p>
    <w:p w14:paraId="522B3F04" w14:textId="77777777" w:rsidR="00843F2F" w:rsidRPr="00BD1B4E" w:rsidRDefault="00843F2F" w:rsidP="00843F2F">
      <w:pPr>
        <w:tabs>
          <w:tab w:val="left" w:pos="720"/>
          <w:tab w:val="left" w:pos="1077"/>
          <w:tab w:val="left" w:pos="1418"/>
        </w:tabs>
        <w:ind w:right="-5" w:firstLine="709"/>
        <w:jc w:val="both"/>
        <w:rPr>
          <w:lang w:val="fr-FR"/>
        </w:rPr>
      </w:pPr>
      <w:r>
        <w:rPr>
          <w:lang w:val="fr-FR"/>
        </w:rPr>
        <w:t xml:space="preserve">Pažymėtina, kad ankstesniais mokestiniais laikotarpiais </w:t>
      </w:r>
      <w:r>
        <w:rPr>
          <w:bCs/>
          <w:lang w:val="lt-LT"/>
        </w:rPr>
        <w:t>faktiškai patirtų išlaidų, vykdant visuomenei naudingą veiklą,</w:t>
      </w:r>
      <w:r w:rsidRPr="00093B65">
        <w:rPr>
          <w:lang w:val="fr-FR"/>
        </w:rPr>
        <w:t xml:space="preserve"> </w:t>
      </w:r>
      <w:r>
        <w:rPr>
          <w:lang w:val="fr-FR"/>
        </w:rPr>
        <w:t>kompensavimui panaudota lėšų</w:t>
      </w:r>
      <w:r>
        <w:rPr>
          <w:bCs/>
          <w:lang w:val="lt-LT"/>
        </w:rPr>
        <w:t xml:space="preserve"> suma, </w:t>
      </w:r>
      <w:r w:rsidRPr="00BD1B4E">
        <w:rPr>
          <w:lang w:val="fr-FR"/>
        </w:rPr>
        <w:t xml:space="preserve">viršijanti </w:t>
      </w:r>
      <w:r w:rsidRPr="00BD1B4E">
        <w:rPr>
          <w:bCs/>
          <w:lang w:val="fr-FR"/>
        </w:rPr>
        <w:t xml:space="preserve">už mokestinį laikotarpį apskaičiuoto apmokestinamojo </w:t>
      </w:r>
      <w:hyperlink r:id="rId132" w:anchor="211z#211z" w:history="1">
        <w:r w:rsidRPr="00BD1B4E">
          <w:rPr>
            <w:bCs/>
            <w:lang w:val="fr-FR"/>
          </w:rPr>
          <w:t>pelno</w:t>
        </w:r>
      </w:hyperlink>
      <w:r w:rsidRPr="00BD1B4E">
        <w:rPr>
          <w:bCs/>
          <w:lang w:val="fr-FR"/>
        </w:rPr>
        <w:t xml:space="preserve"> sumą</w:t>
      </w:r>
      <w:r>
        <w:rPr>
          <w:bCs/>
          <w:lang w:val="fr-FR"/>
        </w:rPr>
        <w:t>,</w:t>
      </w:r>
      <w:r w:rsidRPr="00BD1B4E">
        <w:rPr>
          <w:lang w:val="fr-FR"/>
        </w:rPr>
        <w:t xml:space="preserve"> </w:t>
      </w:r>
      <w:r>
        <w:rPr>
          <w:lang w:val="fr-FR"/>
        </w:rPr>
        <w:t xml:space="preserve">yra </w:t>
      </w:r>
      <w:r w:rsidRPr="00BD1B4E">
        <w:rPr>
          <w:lang w:val="fr-FR"/>
        </w:rPr>
        <w:t>perkeliama į kitus mokestinius metus iš eilės ta tvarka, kokia yra</w:t>
      </w:r>
      <w:r>
        <w:rPr>
          <w:lang w:val="fr-FR"/>
        </w:rPr>
        <w:t xml:space="preserve"> susidariusi.      </w:t>
      </w:r>
    </w:p>
    <w:p w14:paraId="601D5F82" w14:textId="77777777" w:rsidR="00843F2F" w:rsidRDefault="00843F2F" w:rsidP="00843F2F">
      <w:pPr>
        <w:ind w:right="-82" w:firstLine="720"/>
        <w:jc w:val="both"/>
        <w:rPr>
          <w:bCs/>
          <w:lang w:val="fr-FR"/>
        </w:rPr>
      </w:pPr>
      <w:r>
        <w:rPr>
          <w:bCs/>
          <w:lang w:val="fr-FR"/>
        </w:rPr>
        <w:t>Pavyzdys</w:t>
      </w:r>
    </w:p>
    <w:p w14:paraId="61E5DD02" w14:textId="77777777" w:rsidR="00843F2F" w:rsidRPr="00764B48" w:rsidRDefault="00843F2F" w:rsidP="00843F2F">
      <w:pPr>
        <w:ind w:firstLine="720"/>
        <w:jc w:val="both"/>
        <w:rPr>
          <w:i/>
          <w:iCs/>
          <w:color w:val="000000"/>
          <w:lang w:val="fr-FR"/>
        </w:rPr>
      </w:pPr>
      <w:r w:rsidRPr="00764B48">
        <w:rPr>
          <w:i/>
          <w:iCs/>
          <w:color w:val="000000"/>
          <w:u w:val="single"/>
          <w:lang w:val="fr-FR"/>
        </w:rPr>
        <w:t>Pastaba</w:t>
      </w:r>
      <w:r w:rsidRPr="00764B48">
        <w:rPr>
          <w:i/>
          <w:iCs/>
          <w:color w:val="000000"/>
          <w:lang w:val="fr-FR"/>
        </w:rPr>
        <w:t>. Pavyzd</w:t>
      </w:r>
      <w:r>
        <w:rPr>
          <w:i/>
          <w:iCs/>
          <w:color w:val="000000"/>
          <w:lang w:val="fr-FR"/>
        </w:rPr>
        <w:t>yje</w:t>
      </w:r>
      <w:r w:rsidRPr="00764B48">
        <w:rPr>
          <w:i/>
          <w:iCs/>
          <w:color w:val="000000"/>
          <w:lang w:val="fr-FR"/>
        </w:rPr>
        <w:t xml:space="preserve"> mokestinis laikotarpis sutampa su kalendoriniais metais.</w:t>
      </w:r>
    </w:p>
    <w:p w14:paraId="4A5C8D50" w14:textId="77777777" w:rsidR="00843F2F" w:rsidRDefault="00843F2F" w:rsidP="00843F2F">
      <w:pPr>
        <w:ind w:right="-82" w:firstLine="720"/>
        <w:jc w:val="both"/>
        <w:rPr>
          <w:bCs/>
          <w:lang w:val="fr-FR"/>
        </w:rPr>
      </w:pPr>
      <w:r w:rsidRPr="00C372FE">
        <w:rPr>
          <w:bCs/>
          <w:lang w:val="fr-FR"/>
        </w:rPr>
        <w:t>Pelno nesiekiantis vienetas, vykdantis edukacinę veiklą, t. y. organizuojantis teorinius kursus, pažintinius sportinius plaukiojimus, 2019-2020 metais skiria, t. y. panaudoja, lėš</w:t>
      </w:r>
      <w:r>
        <w:rPr>
          <w:bCs/>
          <w:lang w:val="fr-FR"/>
        </w:rPr>
        <w:t>a</w:t>
      </w:r>
      <w:r w:rsidRPr="00C372FE">
        <w:rPr>
          <w:bCs/>
          <w:lang w:val="fr-FR"/>
        </w:rPr>
        <w:t>s faktiškai patirtų išlaidų, vykdant visuomenei naudingą veiklą</w:t>
      </w:r>
      <w:r>
        <w:rPr>
          <w:bCs/>
          <w:lang w:val="fr-FR"/>
        </w:rPr>
        <w:t xml:space="preserve">, </w:t>
      </w:r>
      <w:r w:rsidRPr="00C372FE">
        <w:rPr>
          <w:bCs/>
          <w:lang w:val="fr-FR"/>
        </w:rPr>
        <w:t xml:space="preserve"> kompensavimui</w:t>
      </w:r>
      <w:r>
        <w:rPr>
          <w:bCs/>
          <w:lang w:val="fr-FR"/>
        </w:rPr>
        <w:t xml:space="preserve">. </w:t>
      </w:r>
    </w:p>
    <w:p w14:paraId="5BA60C01" w14:textId="77777777" w:rsidR="00843F2F" w:rsidRPr="00A50DCF" w:rsidRDefault="00843F2F" w:rsidP="00843F2F">
      <w:pPr>
        <w:ind w:right="-82" w:firstLine="720"/>
        <w:jc w:val="both"/>
        <w:rPr>
          <w:bCs/>
          <w:lang w:val="fr-FR"/>
        </w:rPr>
      </w:pPr>
      <w:r w:rsidRPr="00A50DCF">
        <w:rPr>
          <w:bCs/>
          <w:lang w:val="fr-FR"/>
        </w:rPr>
        <w:t>Toliau pateiktoje lentelėje atvaizduotas 2019-2022 metų apskaičiuoto apmokestinamojo pelno sumažinimas vieneto skiriamomis lėšomis faktiškai patirtų išlaidų, vykdant  visuomenei naudingą veiklą,  kompensavimui: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560"/>
        <w:gridCol w:w="1559"/>
        <w:gridCol w:w="2126"/>
        <w:gridCol w:w="2126"/>
      </w:tblGrid>
      <w:tr w:rsidR="00843F2F" w:rsidRPr="00764B48" w14:paraId="62C23DC6" w14:textId="77777777" w:rsidTr="00C4187C">
        <w:trPr>
          <w:trHeight w:val="451"/>
        </w:trPr>
        <w:tc>
          <w:tcPr>
            <w:tcW w:w="2263" w:type="dxa"/>
          </w:tcPr>
          <w:p w14:paraId="0C276951" w14:textId="77777777" w:rsidR="00843F2F" w:rsidRPr="001A21B4" w:rsidRDefault="00843F2F" w:rsidP="00C4187C">
            <w:pPr>
              <w:ind w:right="-82"/>
              <w:rPr>
                <w:sz w:val="22"/>
                <w:szCs w:val="22"/>
                <w:lang w:val="lt-LT"/>
              </w:rPr>
            </w:pPr>
            <w:r w:rsidRPr="001A21B4">
              <w:rPr>
                <w:sz w:val="22"/>
                <w:szCs w:val="22"/>
                <w:lang w:val="lt-LT"/>
              </w:rPr>
              <w:t>Mokestiniai metai</w:t>
            </w:r>
          </w:p>
        </w:tc>
        <w:tc>
          <w:tcPr>
            <w:tcW w:w="1560" w:type="dxa"/>
          </w:tcPr>
          <w:p w14:paraId="5F0011EE" w14:textId="77777777" w:rsidR="00843F2F" w:rsidRPr="001A21B4" w:rsidRDefault="00843F2F" w:rsidP="00C4187C">
            <w:pPr>
              <w:ind w:right="-82"/>
              <w:rPr>
                <w:sz w:val="22"/>
                <w:szCs w:val="22"/>
              </w:rPr>
            </w:pPr>
            <w:r w:rsidRPr="001A21B4">
              <w:rPr>
                <w:sz w:val="22"/>
                <w:szCs w:val="22"/>
              </w:rPr>
              <w:t>2019</w:t>
            </w:r>
          </w:p>
        </w:tc>
        <w:tc>
          <w:tcPr>
            <w:tcW w:w="1559" w:type="dxa"/>
          </w:tcPr>
          <w:p w14:paraId="20BCB892" w14:textId="77777777" w:rsidR="00843F2F" w:rsidRPr="001A21B4" w:rsidRDefault="00843F2F" w:rsidP="00C4187C">
            <w:pPr>
              <w:ind w:right="-82"/>
              <w:rPr>
                <w:sz w:val="22"/>
                <w:szCs w:val="22"/>
              </w:rPr>
            </w:pPr>
            <w:r>
              <w:rPr>
                <w:sz w:val="22"/>
                <w:szCs w:val="22"/>
              </w:rPr>
              <w:t>2020</w:t>
            </w:r>
          </w:p>
        </w:tc>
        <w:tc>
          <w:tcPr>
            <w:tcW w:w="2126" w:type="dxa"/>
          </w:tcPr>
          <w:p w14:paraId="03017C1B" w14:textId="77777777" w:rsidR="00843F2F" w:rsidRPr="001A21B4" w:rsidRDefault="00843F2F" w:rsidP="00C4187C">
            <w:pPr>
              <w:ind w:right="-82"/>
              <w:rPr>
                <w:sz w:val="22"/>
                <w:szCs w:val="22"/>
              </w:rPr>
            </w:pPr>
            <w:r w:rsidRPr="001A21B4">
              <w:rPr>
                <w:sz w:val="22"/>
                <w:szCs w:val="22"/>
              </w:rPr>
              <w:t>2021</w:t>
            </w:r>
          </w:p>
        </w:tc>
        <w:tc>
          <w:tcPr>
            <w:tcW w:w="2126" w:type="dxa"/>
          </w:tcPr>
          <w:p w14:paraId="6B02BAB9" w14:textId="77777777" w:rsidR="00843F2F" w:rsidRPr="001A21B4" w:rsidRDefault="00843F2F" w:rsidP="00C4187C">
            <w:pPr>
              <w:ind w:right="-82"/>
              <w:rPr>
                <w:sz w:val="22"/>
                <w:szCs w:val="22"/>
              </w:rPr>
            </w:pPr>
            <w:r w:rsidRPr="001A21B4">
              <w:rPr>
                <w:sz w:val="22"/>
                <w:szCs w:val="22"/>
              </w:rPr>
              <w:t>2022</w:t>
            </w:r>
          </w:p>
        </w:tc>
      </w:tr>
      <w:tr w:rsidR="00843F2F" w:rsidRPr="00764B48" w14:paraId="598055AA" w14:textId="77777777" w:rsidTr="00C4187C">
        <w:tc>
          <w:tcPr>
            <w:tcW w:w="2263" w:type="dxa"/>
          </w:tcPr>
          <w:p w14:paraId="50C8BB5B" w14:textId="77777777" w:rsidR="00843F2F" w:rsidRPr="001A21B4" w:rsidRDefault="00843F2F" w:rsidP="00C4187C">
            <w:pPr>
              <w:ind w:right="-82"/>
              <w:rPr>
                <w:sz w:val="22"/>
                <w:szCs w:val="22"/>
                <w:lang w:val="lt-LT"/>
              </w:rPr>
            </w:pPr>
            <w:r w:rsidRPr="001A21B4">
              <w:rPr>
                <w:sz w:val="22"/>
                <w:szCs w:val="22"/>
                <w:lang w:val="lt-LT"/>
              </w:rPr>
              <w:t xml:space="preserve">Apmokestinamasis pelnas </w:t>
            </w:r>
          </w:p>
        </w:tc>
        <w:tc>
          <w:tcPr>
            <w:tcW w:w="1560" w:type="dxa"/>
          </w:tcPr>
          <w:p w14:paraId="3FC87783" w14:textId="77777777" w:rsidR="00843F2F" w:rsidRPr="00764B48" w:rsidRDefault="00843F2F" w:rsidP="00C4187C">
            <w:pPr>
              <w:ind w:right="-82"/>
              <w:rPr>
                <w:sz w:val="22"/>
                <w:szCs w:val="22"/>
              </w:rPr>
            </w:pPr>
            <w:r>
              <w:rPr>
                <w:sz w:val="22"/>
                <w:szCs w:val="22"/>
              </w:rPr>
              <w:t>19</w:t>
            </w:r>
            <w:r w:rsidRPr="00764B48">
              <w:rPr>
                <w:sz w:val="22"/>
                <w:szCs w:val="22"/>
              </w:rPr>
              <w:t xml:space="preserve"> 000</w:t>
            </w:r>
            <w:r w:rsidRPr="00705C0B">
              <w:rPr>
                <w:sz w:val="22"/>
                <w:szCs w:val="22"/>
              </w:rPr>
              <w:t xml:space="preserve"> </w:t>
            </w:r>
            <w:r>
              <w:rPr>
                <w:sz w:val="22"/>
                <w:szCs w:val="22"/>
              </w:rPr>
              <w:t>Eur</w:t>
            </w:r>
          </w:p>
        </w:tc>
        <w:tc>
          <w:tcPr>
            <w:tcW w:w="1559" w:type="dxa"/>
          </w:tcPr>
          <w:p w14:paraId="089DB42F" w14:textId="77777777" w:rsidR="00843F2F" w:rsidRPr="00764B48" w:rsidRDefault="00843F2F" w:rsidP="00C4187C">
            <w:pPr>
              <w:ind w:right="-82"/>
              <w:rPr>
                <w:sz w:val="22"/>
                <w:szCs w:val="22"/>
              </w:rPr>
            </w:pPr>
            <w:r>
              <w:rPr>
                <w:sz w:val="22"/>
                <w:szCs w:val="22"/>
              </w:rPr>
              <w:t xml:space="preserve">- </w:t>
            </w:r>
            <w:r w:rsidRPr="00764B48">
              <w:rPr>
                <w:sz w:val="22"/>
                <w:szCs w:val="22"/>
              </w:rPr>
              <w:t>20 000</w:t>
            </w:r>
            <w:r w:rsidRPr="00705C0B">
              <w:rPr>
                <w:sz w:val="22"/>
                <w:szCs w:val="22"/>
              </w:rPr>
              <w:t xml:space="preserve"> </w:t>
            </w:r>
            <w:r>
              <w:rPr>
                <w:sz w:val="22"/>
                <w:szCs w:val="22"/>
              </w:rPr>
              <w:t>Eur</w:t>
            </w:r>
          </w:p>
        </w:tc>
        <w:tc>
          <w:tcPr>
            <w:tcW w:w="2126" w:type="dxa"/>
          </w:tcPr>
          <w:p w14:paraId="25162F84" w14:textId="77777777" w:rsidR="00843F2F" w:rsidRPr="00764B48" w:rsidRDefault="00843F2F" w:rsidP="00C4187C">
            <w:pPr>
              <w:ind w:right="-82"/>
              <w:rPr>
                <w:sz w:val="22"/>
                <w:szCs w:val="22"/>
              </w:rPr>
            </w:pPr>
            <w:r>
              <w:rPr>
                <w:sz w:val="22"/>
                <w:szCs w:val="22"/>
              </w:rPr>
              <w:t xml:space="preserve">10 000 Eur </w:t>
            </w:r>
            <w:r w:rsidRPr="00705C0B">
              <w:rPr>
                <w:sz w:val="22"/>
                <w:szCs w:val="22"/>
              </w:rPr>
              <w:t xml:space="preserve"> </w:t>
            </w:r>
          </w:p>
        </w:tc>
        <w:tc>
          <w:tcPr>
            <w:tcW w:w="2126" w:type="dxa"/>
          </w:tcPr>
          <w:p w14:paraId="5F299685" w14:textId="77777777" w:rsidR="00843F2F" w:rsidRPr="00764B48" w:rsidRDefault="00843F2F" w:rsidP="00C4187C">
            <w:pPr>
              <w:ind w:right="-82"/>
              <w:rPr>
                <w:sz w:val="22"/>
                <w:szCs w:val="22"/>
              </w:rPr>
            </w:pPr>
            <w:r>
              <w:rPr>
                <w:sz w:val="22"/>
                <w:szCs w:val="22"/>
              </w:rPr>
              <w:t>19 000 Eur</w:t>
            </w:r>
            <w:r w:rsidRPr="00705C0B">
              <w:rPr>
                <w:sz w:val="22"/>
                <w:szCs w:val="22"/>
              </w:rPr>
              <w:t xml:space="preserve"> </w:t>
            </w:r>
          </w:p>
        </w:tc>
      </w:tr>
      <w:tr w:rsidR="00843F2F" w:rsidRPr="00764B48" w14:paraId="61EE73CE" w14:textId="77777777" w:rsidTr="00C4187C">
        <w:trPr>
          <w:trHeight w:val="1469"/>
        </w:trPr>
        <w:tc>
          <w:tcPr>
            <w:tcW w:w="2263" w:type="dxa"/>
          </w:tcPr>
          <w:p w14:paraId="2B63436F" w14:textId="77777777" w:rsidR="00843F2F" w:rsidRPr="001A21B4" w:rsidRDefault="00843F2F" w:rsidP="00C4187C">
            <w:pPr>
              <w:ind w:right="-82"/>
              <w:rPr>
                <w:sz w:val="22"/>
                <w:szCs w:val="22"/>
                <w:lang w:val="lt-LT"/>
              </w:rPr>
            </w:pPr>
            <w:r w:rsidRPr="001A21B4">
              <w:rPr>
                <w:sz w:val="22"/>
                <w:szCs w:val="22"/>
                <w:lang w:val="lt-LT"/>
              </w:rPr>
              <w:t>Lėšos, skiriamos</w:t>
            </w:r>
          </w:p>
          <w:p w14:paraId="1A1EC9A6" w14:textId="77777777" w:rsidR="00843F2F" w:rsidRPr="001A21B4" w:rsidRDefault="00843F2F" w:rsidP="00C4187C">
            <w:pPr>
              <w:ind w:right="-82"/>
              <w:jc w:val="both"/>
              <w:rPr>
                <w:bCs/>
                <w:lang w:val="lt-LT"/>
              </w:rPr>
            </w:pPr>
            <w:r w:rsidRPr="001A21B4">
              <w:rPr>
                <w:sz w:val="22"/>
                <w:szCs w:val="22"/>
                <w:lang w:val="lt-LT"/>
              </w:rPr>
              <w:t xml:space="preserve">faktiškai patirtų išlaidų, vykdant  </w:t>
            </w:r>
            <w:r w:rsidRPr="001A21B4">
              <w:rPr>
                <w:bCs/>
                <w:lang w:val="lt-LT"/>
              </w:rPr>
              <w:t>visuomenei naudingą veiklą,  kompensavimui</w:t>
            </w:r>
          </w:p>
          <w:p w14:paraId="2A2AB45B" w14:textId="77777777" w:rsidR="00843F2F" w:rsidRPr="001A21B4" w:rsidRDefault="00843F2F" w:rsidP="00C4187C">
            <w:pPr>
              <w:ind w:right="-82"/>
              <w:rPr>
                <w:sz w:val="22"/>
                <w:szCs w:val="22"/>
                <w:lang w:val="lt-LT"/>
              </w:rPr>
            </w:pPr>
          </w:p>
        </w:tc>
        <w:tc>
          <w:tcPr>
            <w:tcW w:w="1560" w:type="dxa"/>
          </w:tcPr>
          <w:p w14:paraId="4355D2BC" w14:textId="77777777" w:rsidR="00843F2F" w:rsidRPr="00C6491D" w:rsidRDefault="00843F2F" w:rsidP="00C4187C">
            <w:pPr>
              <w:ind w:right="-82"/>
              <w:rPr>
                <w:sz w:val="22"/>
                <w:szCs w:val="22"/>
              </w:rPr>
            </w:pPr>
            <w:r>
              <w:rPr>
                <w:sz w:val="22"/>
                <w:szCs w:val="22"/>
              </w:rPr>
              <w:lastRenderedPageBreak/>
              <w:t>30 000 Eur</w:t>
            </w:r>
          </w:p>
        </w:tc>
        <w:tc>
          <w:tcPr>
            <w:tcW w:w="1559" w:type="dxa"/>
          </w:tcPr>
          <w:p w14:paraId="4E8261AB" w14:textId="77777777" w:rsidR="00843F2F" w:rsidRPr="00C6491D" w:rsidRDefault="00843F2F" w:rsidP="00C4187C">
            <w:pPr>
              <w:ind w:right="-82"/>
              <w:rPr>
                <w:sz w:val="22"/>
                <w:szCs w:val="22"/>
              </w:rPr>
            </w:pPr>
            <w:r w:rsidRPr="00C6491D">
              <w:rPr>
                <w:sz w:val="22"/>
                <w:szCs w:val="22"/>
              </w:rPr>
              <w:t xml:space="preserve"> </w:t>
            </w:r>
            <w:r>
              <w:rPr>
                <w:sz w:val="22"/>
                <w:szCs w:val="22"/>
              </w:rPr>
              <w:t xml:space="preserve">25 </w:t>
            </w:r>
            <w:r w:rsidRPr="00C6491D">
              <w:rPr>
                <w:sz w:val="22"/>
                <w:szCs w:val="22"/>
              </w:rPr>
              <w:t xml:space="preserve">000 </w:t>
            </w:r>
            <w:r>
              <w:rPr>
                <w:sz w:val="22"/>
                <w:szCs w:val="22"/>
              </w:rPr>
              <w:t>Eur</w:t>
            </w:r>
          </w:p>
        </w:tc>
        <w:tc>
          <w:tcPr>
            <w:tcW w:w="2126" w:type="dxa"/>
          </w:tcPr>
          <w:p w14:paraId="7AE9C21F" w14:textId="77777777" w:rsidR="00843F2F" w:rsidRPr="00C6491D" w:rsidRDefault="00843F2F" w:rsidP="00C4187C">
            <w:pPr>
              <w:ind w:right="-82"/>
              <w:rPr>
                <w:sz w:val="22"/>
                <w:szCs w:val="22"/>
              </w:rPr>
            </w:pPr>
            <w:r>
              <w:rPr>
                <w:sz w:val="22"/>
                <w:szCs w:val="22"/>
              </w:rPr>
              <w:t xml:space="preserve">       - </w:t>
            </w:r>
          </w:p>
        </w:tc>
        <w:tc>
          <w:tcPr>
            <w:tcW w:w="2126" w:type="dxa"/>
          </w:tcPr>
          <w:p w14:paraId="74C919C4" w14:textId="77777777" w:rsidR="00843F2F" w:rsidRPr="00C6491D" w:rsidRDefault="00843F2F" w:rsidP="00C4187C">
            <w:pPr>
              <w:ind w:right="-82"/>
              <w:rPr>
                <w:sz w:val="22"/>
                <w:szCs w:val="22"/>
              </w:rPr>
            </w:pPr>
            <w:r>
              <w:rPr>
                <w:sz w:val="22"/>
                <w:szCs w:val="22"/>
              </w:rPr>
              <w:t xml:space="preserve"> -</w:t>
            </w:r>
          </w:p>
        </w:tc>
      </w:tr>
      <w:tr w:rsidR="00843F2F" w:rsidRPr="00764B48" w14:paraId="468F2611" w14:textId="77777777" w:rsidTr="00C4187C">
        <w:tc>
          <w:tcPr>
            <w:tcW w:w="2263" w:type="dxa"/>
          </w:tcPr>
          <w:p w14:paraId="13DD8C91" w14:textId="77777777" w:rsidR="00843F2F" w:rsidRPr="001A21B4" w:rsidRDefault="00843F2F" w:rsidP="00C4187C">
            <w:pPr>
              <w:ind w:right="-82"/>
              <w:rPr>
                <w:sz w:val="22"/>
                <w:szCs w:val="22"/>
                <w:lang w:val="lt-LT"/>
              </w:rPr>
            </w:pPr>
            <w:r w:rsidRPr="001A21B4">
              <w:rPr>
                <w:sz w:val="22"/>
                <w:szCs w:val="22"/>
                <w:lang w:val="lt-LT"/>
              </w:rPr>
              <w:t xml:space="preserve">Lėšų likutis perkeliamas į kitus metus </w:t>
            </w:r>
          </w:p>
        </w:tc>
        <w:tc>
          <w:tcPr>
            <w:tcW w:w="1560" w:type="dxa"/>
          </w:tcPr>
          <w:p w14:paraId="35664B47" w14:textId="77777777" w:rsidR="00843F2F" w:rsidRPr="002722D4" w:rsidRDefault="00843F2F" w:rsidP="00C4187C">
            <w:pPr>
              <w:ind w:right="-82"/>
              <w:rPr>
                <w:sz w:val="22"/>
                <w:szCs w:val="22"/>
              </w:rPr>
            </w:pPr>
            <w:r w:rsidRPr="002722D4">
              <w:rPr>
                <w:sz w:val="22"/>
                <w:szCs w:val="22"/>
              </w:rPr>
              <w:t>2019 m. –(</w:t>
            </w:r>
            <w:r>
              <w:rPr>
                <w:sz w:val="22"/>
                <w:szCs w:val="22"/>
              </w:rPr>
              <w:t>30</w:t>
            </w:r>
            <w:r w:rsidRPr="002722D4">
              <w:rPr>
                <w:sz w:val="22"/>
                <w:szCs w:val="22"/>
              </w:rPr>
              <w:t> 000 Eur-</w:t>
            </w:r>
            <w:r>
              <w:rPr>
                <w:sz w:val="22"/>
                <w:szCs w:val="22"/>
              </w:rPr>
              <w:t>19</w:t>
            </w:r>
            <w:r w:rsidRPr="002722D4">
              <w:rPr>
                <w:sz w:val="22"/>
                <w:szCs w:val="22"/>
              </w:rPr>
              <w:t xml:space="preserve"> 000 Eur) = </w:t>
            </w:r>
            <w:r>
              <w:rPr>
                <w:sz w:val="22"/>
                <w:szCs w:val="22"/>
              </w:rPr>
              <w:t>11</w:t>
            </w:r>
            <w:r w:rsidRPr="002722D4">
              <w:rPr>
                <w:sz w:val="22"/>
                <w:szCs w:val="22"/>
              </w:rPr>
              <w:t> 000 Eur</w:t>
            </w:r>
          </w:p>
          <w:p w14:paraId="3062A9E7" w14:textId="77777777" w:rsidR="00843F2F" w:rsidRPr="002722D4" w:rsidRDefault="00843F2F" w:rsidP="00C4187C">
            <w:pPr>
              <w:ind w:right="-82"/>
              <w:rPr>
                <w:sz w:val="22"/>
                <w:szCs w:val="22"/>
              </w:rPr>
            </w:pPr>
          </w:p>
        </w:tc>
        <w:tc>
          <w:tcPr>
            <w:tcW w:w="1559" w:type="dxa"/>
          </w:tcPr>
          <w:p w14:paraId="541CC4DB" w14:textId="77777777" w:rsidR="00843F2F" w:rsidRPr="002722D4" w:rsidRDefault="00843F2F" w:rsidP="00C4187C">
            <w:pPr>
              <w:ind w:right="-82"/>
              <w:rPr>
                <w:sz w:val="22"/>
                <w:szCs w:val="22"/>
              </w:rPr>
            </w:pPr>
            <w:r w:rsidRPr="002722D4">
              <w:rPr>
                <w:sz w:val="22"/>
                <w:szCs w:val="22"/>
              </w:rPr>
              <w:t xml:space="preserve">2019  m. – </w:t>
            </w:r>
            <w:r>
              <w:rPr>
                <w:sz w:val="22"/>
                <w:szCs w:val="22"/>
              </w:rPr>
              <w:t>11</w:t>
            </w:r>
            <w:r w:rsidRPr="002722D4">
              <w:rPr>
                <w:sz w:val="22"/>
                <w:szCs w:val="22"/>
              </w:rPr>
              <w:t> 000 Eur</w:t>
            </w:r>
          </w:p>
          <w:p w14:paraId="6EB8D967" w14:textId="77777777" w:rsidR="00843F2F" w:rsidRPr="002722D4" w:rsidRDefault="00843F2F" w:rsidP="00C4187C">
            <w:pPr>
              <w:ind w:right="-82"/>
              <w:rPr>
                <w:sz w:val="22"/>
                <w:szCs w:val="22"/>
              </w:rPr>
            </w:pPr>
            <w:r w:rsidRPr="002722D4">
              <w:rPr>
                <w:sz w:val="22"/>
                <w:szCs w:val="22"/>
              </w:rPr>
              <w:t xml:space="preserve">2020 m. – </w:t>
            </w:r>
          </w:p>
          <w:p w14:paraId="44792813" w14:textId="77777777" w:rsidR="00843F2F" w:rsidRPr="002722D4" w:rsidRDefault="00843F2F" w:rsidP="00C4187C">
            <w:pPr>
              <w:ind w:right="-82"/>
              <w:rPr>
                <w:sz w:val="22"/>
                <w:szCs w:val="22"/>
              </w:rPr>
            </w:pPr>
            <w:r w:rsidRPr="002722D4">
              <w:rPr>
                <w:sz w:val="22"/>
                <w:szCs w:val="22"/>
              </w:rPr>
              <w:t>25 000 Eur</w:t>
            </w:r>
          </w:p>
        </w:tc>
        <w:tc>
          <w:tcPr>
            <w:tcW w:w="2126" w:type="dxa"/>
          </w:tcPr>
          <w:p w14:paraId="77032ADB" w14:textId="77777777" w:rsidR="00843F2F" w:rsidRDefault="00843F2F" w:rsidP="00C4187C">
            <w:pPr>
              <w:ind w:right="-82"/>
              <w:rPr>
                <w:sz w:val="22"/>
                <w:szCs w:val="22"/>
              </w:rPr>
            </w:pPr>
            <w:r w:rsidRPr="00506FDD">
              <w:rPr>
                <w:sz w:val="22"/>
                <w:szCs w:val="22"/>
              </w:rPr>
              <w:t>2019 m.-</w:t>
            </w:r>
            <w:r w:rsidRPr="00764B48">
              <w:rPr>
                <w:sz w:val="22"/>
                <w:szCs w:val="22"/>
              </w:rPr>
              <w:t xml:space="preserve"> (</w:t>
            </w:r>
            <w:r>
              <w:rPr>
                <w:sz w:val="22"/>
                <w:szCs w:val="22"/>
              </w:rPr>
              <w:t>11</w:t>
            </w:r>
            <w:r w:rsidRPr="00764B48">
              <w:rPr>
                <w:sz w:val="22"/>
                <w:szCs w:val="22"/>
              </w:rPr>
              <w:t xml:space="preserve"> 000</w:t>
            </w:r>
            <w:r>
              <w:rPr>
                <w:sz w:val="22"/>
                <w:szCs w:val="22"/>
              </w:rPr>
              <w:t xml:space="preserve"> Eur –</w:t>
            </w:r>
            <w:r w:rsidRPr="00764B48">
              <w:rPr>
                <w:sz w:val="22"/>
                <w:szCs w:val="22"/>
              </w:rPr>
              <w:t xml:space="preserve"> </w:t>
            </w:r>
            <w:r>
              <w:rPr>
                <w:sz w:val="22"/>
                <w:szCs w:val="22"/>
              </w:rPr>
              <w:t>10 000 Eur) = 1 000 Eur neperkeliamas likutis į kitus mokestinius metus</w:t>
            </w:r>
          </w:p>
          <w:p w14:paraId="4F8FF81D" w14:textId="77777777" w:rsidR="00843F2F" w:rsidRPr="00764B48" w:rsidRDefault="00843F2F" w:rsidP="00C4187C">
            <w:pPr>
              <w:ind w:right="-82"/>
              <w:rPr>
                <w:sz w:val="22"/>
                <w:szCs w:val="22"/>
              </w:rPr>
            </w:pPr>
            <w:r>
              <w:rPr>
                <w:sz w:val="22"/>
                <w:szCs w:val="22"/>
              </w:rPr>
              <w:t>2020 m. – 25 000 Eur</w:t>
            </w:r>
          </w:p>
        </w:tc>
        <w:tc>
          <w:tcPr>
            <w:tcW w:w="2126" w:type="dxa"/>
          </w:tcPr>
          <w:p w14:paraId="612E4162" w14:textId="77777777" w:rsidR="00843F2F" w:rsidRPr="00506FDD" w:rsidRDefault="00843F2F" w:rsidP="00C4187C">
            <w:pPr>
              <w:ind w:right="-82"/>
              <w:rPr>
                <w:sz w:val="22"/>
                <w:szCs w:val="22"/>
              </w:rPr>
            </w:pPr>
            <w:r w:rsidRPr="00506FDD">
              <w:rPr>
                <w:sz w:val="22"/>
                <w:szCs w:val="22"/>
              </w:rPr>
              <w:t>2020 m. (25 000 Eur – 19 000 Eur</w:t>
            </w:r>
            <w:r>
              <w:rPr>
                <w:sz w:val="22"/>
                <w:szCs w:val="22"/>
              </w:rPr>
              <w:t>)= 6 000 Eur neperkeliamas likutis į kitus mokestinius metus</w:t>
            </w:r>
          </w:p>
        </w:tc>
      </w:tr>
    </w:tbl>
    <w:p w14:paraId="7CB42F5E" w14:textId="77777777" w:rsidR="00843F2F" w:rsidRPr="00764B48" w:rsidRDefault="00843F2F" w:rsidP="00843F2F">
      <w:pPr>
        <w:ind w:right="-82" w:firstLine="720"/>
        <w:jc w:val="both"/>
        <w:rPr>
          <w:bCs/>
          <w:sz w:val="22"/>
          <w:szCs w:val="22"/>
        </w:rPr>
      </w:pPr>
    </w:p>
    <w:p w14:paraId="278A1725" w14:textId="77777777" w:rsidR="00843F2F" w:rsidRPr="00506FDD" w:rsidRDefault="00843F2F" w:rsidP="00843F2F">
      <w:pPr>
        <w:ind w:right="-82" w:firstLine="720"/>
        <w:jc w:val="both"/>
        <w:rPr>
          <w:bCs/>
          <w:lang w:val="lt-LT"/>
        </w:rPr>
      </w:pPr>
      <w:r w:rsidRPr="00506FDD">
        <w:rPr>
          <w:bCs/>
          <w:lang w:val="lt-LT"/>
        </w:rPr>
        <w:t>Kadangi pelno nesiekiantis vienetas</w:t>
      </w:r>
      <w:r>
        <w:rPr>
          <w:bCs/>
          <w:lang w:val="lt-LT"/>
        </w:rPr>
        <w:t>,</w:t>
      </w:r>
      <w:r w:rsidRPr="00506FDD">
        <w:rPr>
          <w:bCs/>
          <w:lang w:val="lt-LT"/>
        </w:rPr>
        <w:t xml:space="preserve"> pagal šio straipsnio 2 dalies nuostatas</w:t>
      </w:r>
      <w:r>
        <w:rPr>
          <w:bCs/>
          <w:lang w:val="lt-LT"/>
        </w:rPr>
        <w:t>,</w:t>
      </w:r>
      <w:r w:rsidRPr="00506FDD">
        <w:rPr>
          <w:bCs/>
          <w:lang w:val="lt-LT"/>
        </w:rPr>
        <w:t xml:space="preserve"> 2019 metais skirtas lėšas, faktiškai patirtų išlaidų, vykdant  visuomenei naudingą veiklą,  kompensavimui gali perkelti tik iki 2021 metų, tai likusia neperkelta 1 000 Eur </w:t>
      </w:r>
      <w:r>
        <w:rPr>
          <w:bCs/>
          <w:lang w:val="lt-LT"/>
        </w:rPr>
        <w:t xml:space="preserve">lėšų </w:t>
      </w:r>
      <w:r w:rsidRPr="00506FDD">
        <w:rPr>
          <w:bCs/>
          <w:lang w:val="lt-LT"/>
        </w:rPr>
        <w:t>dalimi 2022 metų apskaičiuotas apmo</w:t>
      </w:r>
      <w:r>
        <w:rPr>
          <w:bCs/>
          <w:lang w:val="lt-LT"/>
        </w:rPr>
        <w:t>kestinamasis pelnas nemažinamas, o taip pat, kadangi 2020</w:t>
      </w:r>
      <w:r w:rsidRPr="00506FDD">
        <w:rPr>
          <w:bCs/>
          <w:lang w:val="lt-LT"/>
        </w:rPr>
        <w:t xml:space="preserve"> metais </w:t>
      </w:r>
      <w:r>
        <w:rPr>
          <w:bCs/>
          <w:lang w:val="lt-LT"/>
        </w:rPr>
        <w:t>pelno nesiekiančio vieneto skirtos lėšos gali būti perkeltos tik iki 2022</w:t>
      </w:r>
      <w:r w:rsidRPr="00506FDD">
        <w:rPr>
          <w:bCs/>
          <w:lang w:val="lt-LT"/>
        </w:rPr>
        <w:t xml:space="preserve"> metų, </w:t>
      </w:r>
      <w:r>
        <w:rPr>
          <w:bCs/>
          <w:lang w:val="lt-LT"/>
        </w:rPr>
        <w:t xml:space="preserve">todėl </w:t>
      </w:r>
      <w:r w:rsidRPr="00506FDD">
        <w:rPr>
          <w:bCs/>
          <w:lang w:val="lt-LT"/>
        </w:rPr>
        <w:t xml:space="preserve">likusia neperkelta </w:t>
      </w:r>
      <w:r>
        <w:rPr>
          <w:bCs/>
          <w:lang w:val="lt-LT"/>
        </w:rPr>
        <w:t>6</w:t>
      </w:r>
      <w:r w:rsidRPr="00506FDD">
        <w:rPr>
          <w:bCs/>
          <w:lang w:val="lt-LT"/>
        </w:rPr>
        <w:t xml:space="preserve"> 000 Eur </w:t>
      </w:r>
      <w:r>
        <w:rPr>
          <w:bCs/>
          <w:lang w:val="lt-LT"/>
        </w:rPr>
        <w:t xml:space="preserve">lėšų </w:t>
      </w:r>
      <w:r w:rsidRPr="00506FDD">
        <w:rPr>
          <w:bCs/>
          <w:lang w:val="lt-LT"/>
        </w:rPr>
        <w:t>dalimi 202</w:t>
      </w:r>
      <w:r>
        <w:rPr>
          <w:bCs/>
          <w:lang w:val="lt-LT"/>
        </w:rPr>
        <w:t>3</w:t>
      </w:r>
      <w:r w:rsidRPr="00506FDD">
        <w:rPr>
          <w:bCs/>
          <w:lang w:val="lt-LT"/>
        </w:rPr>
        <w:t xml:space="preserve"> metų apskaičiuotas apmo</w:t>
      </w:r>
      <w:r>
        <w:rPr>
          <w:bCs/>
          <w:lang w:val="lt-LT"/>
        </w:rPr>
        <w:t>kestinamasis pelnas nemažinamas.</w:t>
      </w:r>
    </w:p>
    <w:p w14:paraId="77A6B2CA" w14:textId="77777777" w:rsidR="00843F2F" w:rsidRPr="00F25814" w:rsidRDefault="00843F2F" w:rsidP="00843F2F">
      <w:pPr>
        <w:tabs>
          <w:tab w:val="left" w:pos="720"/>
          <w:tab w:val="left" w:pos="1077"/>
          <w:tab w:val="left" w:pos="1418"/>
        </w:tabs>
        <w:ind w:firstLine="720"/>
        <w:jc w:val="both"/>
        <w:rPr>
          <w:b/>
          <w:lang w:val="lt-LT"/>
        </w:rPr>
      </w:pPr>
      <w:r w:rsidRPr="00F25814">
        <w:rPr>
          <w:b/>
          <w:lang w:val="lt-LT"/>
        </w:rPr>
        <w:t>3. Šio straipsnio 1 dalyje nurodytų lėšų dydis turi būti sumažintas viešuosius interesus tenkinančiai veiklai finansuoti tiesiogiai panaudotų valstybės ir savivaldybių biudžetų, Valstybinio socialinio draudimo fondo biudžeto, Privalomojo sveikatos draudimo fondo biudžeto, kitų valstybės pinigų fondų, Europos Sąjungos ir kitos finansinės paramos, paramos pagal Lietuvos Respublikos labdaros ir paramos įstatymą, narių mokesčių, įnašų ir įmokų lėšų suma, jeigu tokios lėšos ar tokia parama buvo gauta.</w:t>
      </w:r>
      <w:r>
        <w:rPr>
          <w:b/>
          <w:lang w:val="lt-LT"/>
        </w:rPr>
        <w:t xml:space="preserve">     </w:t>
      </w:r>
    </w:p>
    <w:p w14:paraId="5125F31B" w14:textId="77777777" w:rsidR="00843F2F" w:rsidRPr="00E71AD5" w:rsidRDefault="00843F2F" w:rsidP="00843F2F">
      <w:pPr>
        <w:tabs>
          <w:tab w:val="left" w:pos="720"/>
          <w:tab w:val="left" w:pos="1077"/>
          <w:tab w:val="left" w:pos="1418"/>
        </w:tabs>
        <w:ind w:firstLine="720"/>
        <w:jc w:val="both"/>
        <w:rPr>
          <w:b/>
          <w:lang w:val="lt-LT"/>
        </w:rPr>
      </w:pPr>
      <w:bookmarkStart w:id="578" w:name="part_eccc42701cf04063a252fa61991e8de0"/>
      <w:bookmarkEnd w:id="578"/>
      <w:r w:rsidRPr="00E71AD5">
        <w:rPr>
          <w:b/>
          <w:lang w:val="lt-LT"/>
        </w:rPr>
        <w:t>Komentaras</w:t>
      </w:r>
    </w:p>
    <w:p w14:paraId="37EC393D" w14:textId="77777777" w:rsidR="00843F2F" w:rsidRDefault="00843F2F" w:rsidP="00843F2F">
      <w:pPr>
        <w:tabs>
          <w:tab w:val="left" w:pos="720"/>
          <w:tab w:val="left" w:pos="1077"/>
          <w:tab w:val="left" w:pos="1418"/>
        </w:tabs>
        <w:ind w:firstLine="720"/>
        <w:jc w:val="both"/>
        <w:rPr>
          <w:lang w:val="lt-LT"/>
        </w:rPr>
      </w:pPr>
      <w:r>
        <w:rPr>
          <w:rFonts w:ascii="TimesLT" w:hAnsi="TimesLT" w:cs="Arial Unicode MS"/>
          <w:lang w:val="nb-NO"/>
        </w:rPr>
        <w:t>P</w:t>
      </w:r>
      <w:r w:rsidRPr="00797F02">
        <w:rPr>
          <w:rFonts w:ascii="TimesLT" w:hAnsi="TimesLT" w:cs="Arial Unicode MS"/>
          <w:lang w:val="nb-NO"/>
        </w:rPr>
        <w:t xml:space="preserve">elno nesiekiančio vieneto  apmokestinamasis pelnas negali būti </w:t>
      </w:r>
      <w:r>
        <w:rPr>
          <w:rFonts w:ascii="TimesLT" w:hAnsi="TimesLT" w:cs="Arial Unicode MS"/>
          <w:lang w:val="nb-NO"/>
        </w:rPr>
        <w:t>su</w:t>
      </w:r>
      <w:r w:rsidRPr="00797F02">
        <w:rPr>
          <w:rFonts w:ascii="TimesLT" w:hAnsi="TimesLT" w:cs="Arial Unicode MS"/>
          <w:lang w:val="nb-NO"/>
        </w:rPr>
        <w:t xml:space="preserve">mažinamas </w:t>
      </w:r>
      <w:r>
        <w:rPr>
          <w:rFonts w:ascii="TimesLT" w:hAnsi="TimesLT" w:cs="Arial Unicode MS"/>
          <w:lang w:val="nb-NO"/>
        </w:rPr>
        <w:t xml:space="preserve">panaudotomis </w:t>
      </w:r>
      <w:r w:rsidRPr="00797F02">
        <w:rPr>
          <w:rFonts w:ascii="TimesLT" w:hAnsi="TimesLT" w:cs="Arial Unicode MS"/>
          <w:lang w:val="nb-NO"/>
        </w:rPr>
        <w:t xml:space="preserve"> finansavimo, t. y.</w:t>
      </w:r>
      <w:r w:rsidRPr="00797F02">
        <w:rPr>
          <w:lang w:val="lt-LT"/>
        </w:rPr>
        <w:t xml:space="preserve"> iš valstybės ir savivaldybių biudžetų, Valstybinio socialinio draudimo fondo biudžeto, Privalomojo sveikatos draudimo fondo biudžeto, kitų valstybės pinigų fondų, Europos Sąjungos ir kitos finansinės paramos, paramos pagal Lietuvos Respublikos labdaros ir paramos įstatymą, narių mokesčių, įnašų ir įmokų</w:t>
      </w:r>
      <w:r>
        <w:rPr>
          <w:lang w:val="lt-LT"/>
        </w:rPr>
        <w:t>,</w:t>
      </w:r>
      <w:r w:rsidRPr="00797F02">
        <w:rPr>
          <w:lang w:val="lt-LT"/>
        </w:rPr>
        <w:t xml:space="preserve"> lėšomis.</w:t>
      </w:r>
      <w:r w:rsidRPr="004F1813">
        <w:rPr>
          <w:lang w:val="lt-LT"/>
        </w:rPr>
        <w:t xml:space="preserve"> </w:t>
      </w:r>
    </w:p>
    <w:p w14:paraId="7C5C983F" w14:textId="77777777" w:rsidR="00843F2F" w:rsidRDefault="00843F2F" w:rsidP="00843F2F">
      <w:pPr>
        <w:tabs>
          <w:tab w:val="left" w:pos="720"/>
          <w:tab w:val="left" w:pos="1077"/>
          <w:tab w:val="left" w:pos="1418"/>
        </w:tabs>
        <w:ind w:firstLine="720"/>
        <w:jc w:val="both"/>
        <w:rPr>
          <w:lang w:val="lt-LT"/>
        </w:rPr>
      </w:pPr>
      <w:r>
        <w:rPr>
          <w:lang w:val="lt-LT"/>
        </w:rPr>
        <w:t xml:space="preserve">Pažymėtina, kad apmokestinamąjį pelną mažinančios per tam tikrą mokestinį laikotarpį </w:t>
      </w:r>
      <w:r>
        <w:rPr>
          <w:bCs/>
          <w:lang w:val="lt-LT"/>
        </w:rPr>
        <w:t xml:space="preserve">faktiškai patirtų išlaidų, vykdant visuomenei naudingą veiklą, kompensavimui </w:t>
      </w:r>
      <w:r>
        <w:rPr>
          <w:lang w:val="lt-LT"/>
        </w:rPr>
        <w:t>panaudotos lėšos</w:t>
      </w:r>
      <w:r>
        <w:rPr>
          <w:bCs/>
          <w:lang w:val="lt-LT"/>
        </w:rPr>
        <w:t xml:space="preserve"> arba lėšos numatomos, panaudoti </w:t>
      </w:r>
      <w:r w:rsidRPr="00E71EC4">
        <w:rPr>
          <w:lang w:val="lt-LT"/>
        </w:rPr>
        <w:t xml:space="preserve">per </w:t>
      </w:r>
      <w:r>
        <w:rPr>
          <w:lang w:val="lt-LT"/>
        </w:rPr>
        <w:t xml:space="preserve">ateinančius </w:t>
      </w:r>
      <w:r w:rsidRPr="00E71EC4">
        <w:rPr>
          <w:lang w:val="lt-LT"/>
        </w:rPr>
        <w:t xml:space="preserve">du vėlesnius vienas po kito einančius mokestinius laikotarpius </w:t>
      </w:r>
      <w:r>
        <w:rPr>
          <w:lang w:val="lt-LT"/>
        </w:rPr>
        <w:t xml:space="preserve">šiai veiklai finansuoti, turi būti sumažinamos aukščiau minėto finansavimo lėšomis. </w:t>
      </w:r>
    </w:p>
    <w:p w14:paraId="0749A6D8" w14:textId="77777777" w:rsidR="00843F2F" w:rsidRPr="00F25814" w:rsidRDefault="00843F2F" w:rsidP="00843F2F">
      <w:pPr>
        <w:tabs>
          <w:tab w:val="left" w:pos="720"/>
          <w:tab w:val="left" w:pos="1077"/>
          <w:tab w:val="left" w:pos="1418"/>
        </w:tabs>
        <w:ind w:firstLine="720"/>
        <w:jc w:val="both"/>
        <w:rPr>
          <w:b/>
          <w:lang w:val="lt-LT"/>
        </w:rPr>
      </w:pPr>
      <w:r w:rsidRPr="00F25814">
        <w:rPr>
          <w:b/>
          <w:lang w:val="lt-LT"/>
        </w:rPr>
        <w:t>4. Jeigu pelno nesiekiančio vieneto lėšos per šio straipsnio 1 dalyje nurodytą laikotarpį neskiriamos viešuosius interesus tenkinančiai veiklai finansuoti, dėl sumažinto apmokestinamojo pelno neapskaičiuotas pelno mokestis turi būti sumokėtas į valstybės biudžetą perskaičiuojant ir apmokestinant praėjusių mokestinių lai</w:t>
      </w:r>
      <w:r>
        <w:rPr>
          <w:b/>
          <w:lang w:val="lt-LT"/>
        </w:rPr>
        <w:t>kotarpių apmokestinamąjį pelną.</w:t>
      </w:r>
    </w:p>
    <w:p w14:paraId="2F926CFC" w14:textId="77777777" w:rsidR="00843F2F" w:rsidRPr="00E71AD5" w:rsidRDefault="00843F2F" w:rsidP="00843F2F">
      <w:pPr>
        <w:tabs>
          <w:tab w:val="left" w:pos="720"/>
          <w:tab w:val="left" w:pos="1077"/>
          <w:tab w:val="left" w:pos="1418"/>
        </w:tabs>
        <w:ind w:firstLine="720"/>
        <w:jc w:val="both"/>
        <w:rPr>
          <w:b/>
          <w:lang w:val="lt-LT"/>
        </w:rPr>
      </w:pPr>
      <w:r w:rsidRPr="00F25814">
        <w:rPr>
          <w:b/>
          <w:lang w:val="lt-LT"/>
        </w:rPr>
        <w:t> </w:t>
      </w:r>
      <w:r w:rsidRPr="00E71AD5">
        <w:rPr>
          <w:b/>
          <w:lang w:val="lt-LT"/>
        </w:rPr>
        <w:t>Komentaras</w:t>
      </w:r>
    </w:p>
    <w:p w14:paraId="1F6BC216" w14:textId="77777777" w:rsidR="00843F2F" w:rsidRDefault="00843F2F" w:rsidP="00843F2F">
      <w:pPr>
        <w:tabs>
          <w:tab w:val="left" w:pos="720"/>
          <w:tab w:val="left" w:pos="1077"/>
          <w:tab w:val="left" w:pos="1418"/>
        </w:tabs>
        <w:ind w:firstLine="720"/>
        <w:jc w:val="both"/>
        <w:rPr>
          <w:rFonts w:ascii="Times New (W1)" w:hAnsi="Times New (W1)"/>
          <w:b/>
          <w:iCs/>
          <w:strike/>
          <w:color w:val="000000"/>
          <w:lang w:val="lt-LT"/>
        </w:rPr>
      </w:pPr>
      <w:r w:rsidRPr="00DD27FD">
        <w:rPr>
          <w:rFonts w:ascii="TimesLT" w:hAnsi="TimesLT" w:cs="Arial Unicode MS"/>
          <w:lang w:val="lt-LT"/>
        </w:rPr>
        <w:t>Jeigu pelno nesiekiantys vienetai, sumažinę apmokestinamąjį pelną lėšomis, numatomomis tiesiogiai skirti per du vėlesnius vienas po kito einančius mokestinius laikotarpius viešuosius interesus tenkinančiai veiklai finansuoti, per šį laikotarpį, t. y. du vėlesnius vienas po kito einančius mokestinius laikotarpius, faktiškai šių lėšų nepanaudos viešuosius interesus tenkinančiai veiklai finansuoti</w:t>
      </w:r>
      <w:r>
        <w:rPr>
          <w:rFonts w:ascii="TimesLT" w:hAnsi="TimesLT" w:cs="Arial Unicode MS"/>
          <w:lang w:val="lt-LT"/>
        </w:rPr>
        <w:t xml:space="preserve"> </w:t>
      </w:r>
      <w:r w:rsidRPr="001B4B99">
        <w:rPr>
          <w:rFonts w:ascii="TimesLT" w:hAnsi="TimesLT" w:cs="Arial Unicode MS"/>
          <w:lang w:val="lt-LT"/>
        </w:rPr>
        <w:t xml:space="preserve">arba </w:t>
      </w:r>
      <w:r w:rsidRPr="001B4B99">
        <w:rPr>
          <w:sz w:val="22"/>
          <w:szCs w:val="22"/>
          <w:lang w:val="lt-LT"/>
        </w:rPr>
        <w:t>panaudos ne viešąjį interesą tenkinančiai veiklai finansuoti,</w:t>
      </w:r>
      <w:r w:rsidRPr="001B4B99">
        <w:rPr>
          <w:rFonts w:ascii="TimesLT" w:hAnsi="TimesLT" w:cs="Arial Unicode MS"/>
          <w:lang w:val="lt-LT"/>
        </w:rPr>
        <w:t xml:space="preserve"> tai dėl sumažinto apmokestinamojo pelno neapskaičiuotas pelno mokestis turės būti sumokėtas į</w:t>
      </w:r>
      <w:r w:rsidRPr="00DD27FD">
        <w:rPr>
          <w:rFonts w:ascii="TimesLT" w:hAnsi="TimesLT" w:cs="Arial Unicode MS"/>
          <w:lang w:val="lt-LT"/>
        </w:rPr>
        <w:t xml:space="preserve"> valstybės biudžetą perskaičiuojant ir </w:t>
      </w:r>
      <w:r w:rsidRPr="00DD27FD">
        <w:rPr>
          <w:rFonts w:ascii="TimesLT" w:hAnsi="TimesLT" w:cs="Arial Unicode MS"/>
          <w:lang w:val="lt-LT"/>
        </w:rPr>
        <w:lastRenderedPageBreak/>
        <w:t>apmokestinant praėjusių mokestinių laikotarpių apmokestinamąjį pelną</w:t>
      </w:r>
      <w:r>
        <w:rPr>
          <w:rFonts w:ascii="TimesLT" w:hAnsi="TimesLT" w:cs="Arial Unicode MS"/>
          <w:lang w:val="lt-LT"/>
        </w:rPr>
        <w:t xml:space="preserve">, pateikiant mokesčių administratoriui patikslintas tų mokestinių laikotarpių metines pelno mokesčio deklaracijas.  </w:t>
      </w:r>
    </w:p>
    <w:p w14:paraId="040184DC" w14:textId="77777777" w:rsidR="00843F2F" w:rsidRPr="00892E40" w:rsidRDefault="00843F2F" w:rsidP="00843F2F">
      <w:pPr>
        <w:pStyle w:val="Porat"/>
        <w:tabs>
          <w:tab w:val="left" w:pos="1296"/>
        </w:tabs>
        <w:rPr>
          <w:rFonts w:ascii="Times New Roman" w:hAnsi="Times New Roman" w:cs="Times New Roman"/>
          <w:lang w:val="lt-LT"/>
        </w:rPr>
      </w:pPr>
      <w:r>
        <w:rPr>
          <w:rFonts w:ascii="Times New Roman" w:hAnsi="Times New Roman" w:cs="Times New Roman"/>
          <w:lang w:val="lt-LT"/>
        </w:rPr>
        <w:t xml:space="preserve"> </w:t>
      </w:r>
      <w:r w:rsidRPr="00892E40">
        <w:rPr>
          <w:rFonts w:ascii="Times New Roman" w:hAnsi="Times New Roman" w:cs="Times New Roman"/>
          <w:lang w:val="lt-LT"/>
        </w:rPr>
        <w:t xml:space="preserve">(Papidyta pagal VMI prie FM 2019-05-14 raštą Nr. </w:t>
      </w:r>
      <w:r w:rsidRPr="00892E40">
        <w:rPr>
          <w:rFonts w:ascii="Times New Roman" w:hAnsi="Times New Roman" w:cs="Times New Roman"/>
          <w:color w:val="000000"/>
          <w:lang w:val="lt-LT"/>
        </w:rPr>
        <w:t>(32.42-31-1E) RM-15145</w:t>
      </w:r>
    </w:p>
    <w:p w14:paraId="4952AE9C" w14:textId="77777777" w:rsidR="00093845" w:rsidRDefault="00093845">
      <w:pPr>
        <w:jc w:val="both"/>
        <w:rPr>
          <w:lang w:val="lt-LT"/>
        </w:rPr>
      </w:pPr>
    </w:p>
    <w:p w14:paraId="0401637A" w14:textId="77777777" w:rsidR="00093845" w:rsidRDefault="000D779E">
      <w:pPr>
        <w:jc w:val="center"/>
        <w:rPr>
          <w:b/>
          <w:lang w:val="lt-LT"/>
        </w:rPr>
      </w:pPr>
      <w:r>
        <w:rPr>
          <w:b/>
          <w:lang w:val="lt-LT"/>
        </w:rPr>
        <w:t>X SKYRIUS</w:t>
      </w:r>
    </w:p>
    <w:p w14:paraId="4451F9C4" w14:textId="77777777" w:rsidR="00093845" w:rsidRDefault="00093845">
      <w:pPr>
        <w:pStyle w:val="Antrat1"/>
        <w:keepNext w:val="0"/>
        <w:tabs>
          <w:tab w:val="left" w:pos="720"/>
          <w:tab w:val="left" w:pos="1080"/>
        </w:tabs>
        <w:rPr>
          <w:rFonts w:ascii="Times New Roman" w:hAnsi="Times New Roman" w:cs="Times New Roman"/>
          <w:lang w:val="lt-LT"/>
        </w:rPr>
      </w:pPr>
    </w:p>
    <w:p w14:paraId="17E7A1C2" w14:textId="77777777" w:rsidR="00093845" w:rsidRDefault="000D779E">
      <w:pPr>
        <w:jc w:val="center"/>
        <w:rPr>
          <w:b/>
          <w:lang w:val="lt-LT"/>
        </w:rPr>
      </w:pPr>
      <w:r>
        <w:rPr>
          <w:b/>
          <w:lang w:val="lt-LT"/>
        </w:rPr>
        <w:t>PELNO MOKESČIO APSKAIČIAVIMAS, SUMOKĖJIMAS, IŠIEŠKOJIMAS IR GRĄŽINIMAS</w:t>
      </w:r>
    </w:p>
    <w:p w14:paraId="2C3542E1" w14:textId="77777777" w:rsidR="00093845" w:rsidRDefault="000D779E">
      <w:pPr>
        <w:pStyle w:val="Antrat1"/>
        <w:jc w:val="both"/>
        <w:rPr>
          <w:rFonts w:ascii="Times New Roman" w:hAnsi="Times New Roman" w:cs="Times New Roman"/>
          <w:lang w:val="lt-LT"/>
        </w:rPr>
      </w:pPr>
      <w:bookmarkStart w:id="579" w:name="_47_straipsnis._Avansinio"/>
      <w:bookmarkEnd w:id="579"/>
      <w:r>
        <w:rPr>
          <w:rFonts w:ascii="Times New Roman" w:hAnsi="Times New Roman" w:cs="Times New Roman"/>
          <w:lang w:val="lt-LT"/>
        </w:rPr>
        <w:t>47 STRAIPSNIS. Avansinio pelno mokesčio apskaičiavimas ir sumokėjimas</w:t>
      </w:r>
    </w:p>
    <w:p w14:paraId="12537C72" w14:textId="77777777" w:rsidR="00093845" w:rsidRDefault="000D779E" w:rsidP="00602883">
      <w:pPr>
        <w:pStyle w:val="normal-p"/>
        <w:ind w:firstLine="720"/>
        <w:jc w:val="both"/>
      </w:pPr>
      <w:bookmarkStart w:id="580" w:name="_48_straipsnis._Pelno"/>
      <w:bookmarkEnd w:id="580"/>
      <w:r>
        <w:rPr>
          <w:b/>
          <w:bCs/>
        </w:rPr>
        <w:t>1. Avansinis pelno mokestis apskaičiuojamas šiame straipsnyje nustatyta tvarka. Avansinio pelno mokesčio sumą apskaičiuoja mokesčio mokėtojas.</w:t>
      </w:r>
      <w:r>
        <w:rPr>
          <w:rStyle w:val="normal-h"/>
        </w:rPr>
        <w:t> </w:t>
      </w:r>
    </w:p>
    <w:p w14:paraId="27D9D890" w14:textId="77777777" w:rsidR="00093845" w:rsidRDefault="000D779E">
      <w:pPr>
        <w:pStyle w:val="normal-p"/>
        <w:ind w:firstLine="720"/>
        <w:jc w:val="both"/>
      </w:pPr>
      <w:r>
        <w:rPr>
          <w:rStyle w:val="normal-h"/>
          <w:b/>
          <w:bCs/>
        </w:rPr>
        <w:t>Komentaras</w:t>
      </w:r>
    </w:p>
    <w:p w14:paraId="6B55DA29" w14:textId="77777777" w:rsidR="00093845" w:rsidRDefault="000D779E">
      <w:pPr>
        <w:pStyle w:val="normal-p"/>
        <w:ind w:firstLine="720"/>
        <w:jc w:val="both"/>
      </w:pPr>
      <w:r>
        <w:rPr>
          <w:rStyle w:val="normal-h"/>
        </w:rPr>
        <w:t>Šiame</w:t>
      </w:r>
      <w:r>
        <w:rPr>
          <w:rStyle w:val="normal-h"/>
          <w:i/>
          <w:iCs/>
        </w:rPr>
        <w:t xml:space="preserve"> </w:t>
      </w:r>
      <w:r>
        <w:rPr>
          <w:rStyle w:val="normal-h"/>
        </w:rPr>
        <w:t>straipsnyje</w:t>
      </w:r>
      <w:r>
        <w:rPr>
          <w:rStyle w:val="normal-h"/>
          <w:i/>
          <w:iCs/>
        </w:rPr>
        <w:t xml:space="preserve"> </w:t>
      </w:r>
      <w:r>
        <w:rPr>
          <w:rStyle w:val="normal-h"/>
        </w:rPr>
        <w:t>nustatyta</w:t>
      </w:r>
      <w:r>
        <w:rPr>
          <w:rStyle w:val="normal-h"/>
          <w:i/>
          <w:iCs/>
        </w:rPr>
        <w:t xml:space="preserve"> </w:t>
      </w:r>
      <w:r>
        <w:rPr>
          <w:rStyle w:val="normal-h"/>
        </w:rPr>
        <w:t>avansinio</w:t>
      </w:r>
      <w:r>
        <w:rPr>
          <w:rStyle w:val="normal-h"/>
          <w:i/>
          <w:iCs/>
        </w:rPr>
        <w:t xml:space="preserve"> </w:t>
      </w:r>
      <w:r>
        <w:rPr>
          <w:rStyle w:val="normal-h"/>
        </w:rPr>
        <w:t>pelno</w:t>
      </w:r>
      <w:r>
        <w:rPr>
          <w:rStyle w:val="normal-h"/>
          <w:i/>
          <w:iCs/>
        </w:rPr>
        <w:t xml:space="preserve"> </w:t>
      </w:r>
      <w:r>
        <w:rPr>
          <w:rStyle w:val="normal-h"/>
        </w:rPr>
        <w:t>mokesčio</w:t>
      </w:r>
      <w:r>
        <w:rPr>
          <w:rStyle w:val="normal-h"/>
          <w:i/>
          <w:iCs/>
        </w:rPr>
        <w:t xml:space="preserve"> </w:t>
      </w:r>
      <w:r>
        <w:rPr>
          <w:rStyle w:val="normal-h"/>
        </w:rPr>
        <w:t>apskaičiavimo</w:t>
      </w:r>
      <w:r>
        <w:rPr>
          <w:rStyle w:val="normal-h"/>
          <w:i/>
          <w:iCs/>
        </w:rPr>
        <w:t xml:space="preserve"> </w:t>
      </w:r>
      <w:r>
        <w:rPr>
          <w:rStyle w:val="normal-h"/>
        </w:rPr>
        <w:t>tvarka</w:t>
      </w:r>
      <w:r>
        <w:rPr>
          <w:rStyle w:val="normal-h"/>
          <w:i/>
          <w:iCs/>
        </w:rPr>
        <w:t xml:space="preserve"> </w:t>
      </w:r>
      <w:r>
        <w:rPr>
          <w:rStyle w:val="normal-h"/>
        </w:rPr>
        <w:t>taikoma</w:t>
      </w:r>
      <w:r>
        <w:rPr>
          <w:rStyle w:val="normal-h"/>
          <w:i/>
          <w:iCs/>
        </w:rPr>
        <w:t xml:space="preserve"> </w:t>
      </w:r>
      <w:r>
        <w:rPr>
          <w:rStyle w:val="normal-h"/>
        </w:rPr>
        <w:t>nuo</w:t>
      </w:r>
      <w:r>
        <w:rPr>
          <w:rStyle w:val="normal-h"/>
          <w:i/>
          <w:iCs/>
        </w:rPr>
        <w:t xml:space="preserve"> </w:t>
      </w:r>
      <w:r>
        <w:rPr>
          <w:rStyle w:val="normal-h"/>
        </w:rPr>
        <w:t>2003</w:t>
      </w:r>
      <w:r>
        <w:rPr>
          <w:rStyle w:val="normal-h"/>
          <w:i/>
          <w:iCs/>
        </w:rPr>
        <w:t xml:space="preserve"> </w:t>
      </w:r>
      <w:r>
        <w:rPr>
          <w:rStyle w:val="normal-h"/>
        </w:rPr>
        <w:t>metų</w:t>
      </w:r>
      <w:r>
        <w:rPr>
          <w:rStyle w:val="normal-h"/>
          <w:i/>
          <w:iCs/>
        </w:rPr>
        <w:t xml:space="preserve"> </w:t>
      </w:r>
      <w:r>
        <w:rPr>
          <w:rStyle w:val="normal-h"/>
        </w:rPr>
        <w:t>prasidėsiančio</w:t>
      </w:r>
      <w:r>
        <w:rPr>
          <w:rStyle w:val="normal-h"/>
          <w:i/>
          <w:iCs/>
        </w:rPr>
        <w:t xml:space="preserve"> </w:t>
      </w:r>
      <w:r>
        <w:rPr>
          <w:rStyle w:val="normal-h"/>
        </w:rPr>
        <w:t>mokestinio</w:t>
      </w:r>
      <w:r>
        <w:rPr>
          <w:rStyle w:val="normal-h"/>
          <w:i/>
          <w:iCs/>
        </w:rPr>
        <w:t xml:space="preserve"> </w:t>
      </w:r>
      <w:r>
        <w:rPr>
          <w:rStyle w:val="normal-h"/>
        </w:rPr>
        <w:t>laikotarpio</w:t>
      </w:r>
      <w:r>
        <w:rPr>
          <w:rStyle w:val="normal-h"/>
          <w:i/>
          <w:iCs/>
        </w:rPr>
        <w:t xml:space="preserve"> </w:t>
      </w:r>
      <w:r>
        <w:rPr>
          <w:rStyle w:val="normal-h"/>
        </w:rPr>
        <w:t>avansiniam</w:t>
      </w:r>
      <w:r>
        <w:rPr>
          <w:rStyle w:val="normal-h"/>
          <w:i/>
          <w:iCs/>
        </w:rPr>
        <w:t xml:space="preserve"> </w:t>
      </w:r>
      <w:r>
        <w:rPr>
          <w:rStyle w:val="normal-h"/>
        </w:rPr>
        <w:t>pelno</w:t>
      </w:r>
      <w:r>
        <w:rPr>
          <w:rStyle w:val="normal-h"/>
          <w:i/>
          <w:iCs/>
        </w:rPr>
        <w:t xml:space="preserve"> </w:t>
      </w:r>
      <w:r>
        <w:rPr>
          <w:rStyle w:val="normal-h"/>
        </w:rPr>
        <w:t>mokesčiui</w:t>
      </w:r>
      <w:r>
        <w:rPr>
          <w:rStyle w:val="normal-h"/>
          <w:i/>
          <w:iCs/>
        </w:rPr>
        <w:t xml:space="preserve"> </w:t>
      </w:r>
      <w:r>
        <w:rPr>
          <w:rStyle w:val="normal-h"/>
        </w:rPr>
        <w:t>apskaičiuoti.</w:t>
      </w:r>
    </w:p>
    <w:p w14:paraId="579F4C88" w14:textId="77777777" w:rsidR="00093845" w:rsidRDefault="000D779E" w:rsidP="00EC4E29">
      <w:pPr>
        <w:pStyle w:val="Pagrindinistekstas"/>
        <w:numPr>
          <w:ilvl w:val="0"/>
          <w:numId w:val="44"/>
        </w:numPr>
        <w:tabs>
          <w:tab w:val="left" w:pos="720"/>
          <w:tab w:val="left" w:pos="1080"/>
          <w:tab w:val="left" w:pos="1418"/>
        </w:tabs>
        <w:rPr>
          <w:rFonts w:ascii="Times New Roman" w:hAnsi="Times New Roman" w:cs="Times New Roman"/>
          <w:b/>
          <w:bCs/>
          <w:lang w:val="lt-LT"/>
        </w:rPr>
      </w:pPr>
      <w:r>
        <w:rPr>
          <w:rFonts w:ascii="Times New Roman" w:hAnsi="Times New Roman" w:cs="Times New Roman"/>
          <w:b/>
          <w:bCs/>
          <w:lang w:val="lt-LT"/>
        </w:rPr>
        <w:t xml:space="preserve">Mokesčio mokėtojai avansinio pelno mokesčio sumą apskaičiuoja šia tvarka: </w:t>
      </w:r>
    </w:p>
    <w:p w14:paraId="1547DE24" w14:textId="77777777" w:rsidR="00093845" w:rsidRDefault="000D779E" w:rsidP="00BF6CD2">
      <w:pPr>
        <w:pStyle w:val="Pagrindinistekstas"/>
        <w:ind w:firstLine="360"/>
        <w:rPr>
          <w:b/>
          <w:bCs/>
        </w:rPr>
      </w:pPr>
      <w:r>
        <w:rPr>
          <w:b/>
          <w:bCs/>
        </w:rPr>
        <w:t>Komentaras</w:t>
      </w:r>
    </w:p>
    <w:p w14:paraId="0121D1AA" w14:textId="77777777" w:rsidR="00093845" w:rsidRDefault="000D779E">
      <w:pPr>
        <w:pStyle w:val="linos"/>
        <w:ind w:firstLine="720"/>
        <w:rPr>
          <w:rFonts w:ascii="Times New Roman" w:hAnsi="Times New Roman"/>
        </w:rPr>
      </w:pPr>
      <w:r>
        <w:rPr>
          <w:rFonts w:ascii="Times New Roman" w:hAnsi="Times New Roman"/>
        </w:rPr>
        <w:t xml:space="preserve">1.   Avansinis pelno mokestis gali būti apskaičiuojamas dviem būdais: </w:t>
      </w:r>
    </w:p>
    <w:p w14:paraId="09751E49" w14:textId="77777777" w:rsidR="00093845" w:rsidRDefault="000D779E">
      <w:pPr>
        <w:pStyle w:val="linos"/>
        <w:ind w:firstLine="720"/>
        <w:rPr>
          <w:rFonts w:ascii="Times New Roman" w:hAnsi="Times New Roman"/>
        </w:rPr>
      </w:pPr>
      <w:r>
        <w:rPr>
          <w:rFonts w:ascii="Times New Roman" w:hAnsi="Times New Roman"/>
        </w:rPr>
        <w:t xml:space="preserve">1)   pagal praėjusių metų veiklos rezultatus arba </w:t>
      </w:r>
    </w:p>
    <w:p w14:paraId="6D177A7C" w14:textId="77777777" w:rsidR="00093845" w:rsidRDefault="000D779E">
      <w:pPr>
        <w:pStyle w:val="linos"/>
        <w:ind w:firstLine="720"/>
        <w:rPr>
          <w:rFonts w:ascii="Times New Roman" w:hAnsi="Times New Roman"/>
        </w:rPr>
      </w:pPr>
      <w:r>
        <w:rPr>
          <w:rFonts w:ascii="Times New Roman" w:hAnsi="Times New Roman"/>
        </w:rPr>
        <w:t xml:space="preserve">2)   pagal numatomą einamųjų mokestinių metų pelno mokesčio sumą. </w:t>
      </w:r>
    </w:p>
    <w:p w14:paraId="38C2D395" w14:textId="77777777" w:rsidR="00093845" w:rsidRDefault="000D779E">
      <w:pPr>
        <w:jc w:val="both"/>
        <w:rPr>
          <w:b/>
          <w:bCs/>
        </w:rPr>
      </w:pPr>
      <w:r>
        <w:t>            2. Kiekvienų mokestinių metų pradžioje vienetas pasirenka avansinio pelno mokesčio apskaičiavimo būdą (vieną iš šio PMĮ str. 2 dalyje nurodytųjų), kurį taiko tų (einamųjų) mokestinių metų avansinio pelno mokesčio sumoms apskaičiuoti. Pasirinktą avansinio pelno mokesčio apskaičiavimo būdą Valstybinės mokesčių inspekcijos prie Lietuvos Respublikos finansų ministerijos viršininko 2002 m. spalio 8 d. įsakymu Nr. 289 „Dėl Avansinio pelno mokesčio deklaracijos FR0430 formos ir jos užpildymo taisyklių patvirtinimo“ patvirtintose Avansinio pelno mokesčio deklaracijos FR0430 formos užpildymo taisyklėse (toliau – Taisyklės) nustatyta tvarka vienetas gali pakeisti vieną kartą per mokestinį laikotarpį</w:t>
      </w:r>
      <w:r>
        <w:rPr>
          <w:b/>
          <w:bCs/>
        </w:rPr>
        <w:t xml:space="preserve">. </w:t>
      </w:r>
    </w:p>
    <w:p w14:paraId="253BC5FC" w14:textId="77777777" w:rsidR="00093845" w:rsidRDefault="000D779E">
      <w:pPr>
        <w:ind w:firstLine="709"/>
        <w:jc w:val="both"/>
        <w:rPr>
          <w:rFonts w:ascii="Calibri" w:hAnsi="Calibri"/>
          <w:lang w:val="lt-LT"/>
        </w:rPr>
      </w:pPr>
      <w:r>
        <w:t>3. Vienetai, kuriems mokesčių administratoriaus sprendimu nustatytas kitoks mokestinis laikotarpis (su kalendoriniais metais nesutampantis), deklaracijos FR0430 formos 2 versiją pradeda pildyti nuo 2017 metais prasidėjusio mokestinio laikotarpio. Už mokestinius laikotarpius, kurie prasidėjo 2016 metais ir baigiasi 2017 metais, avansinis pelno mokestis deklaruojamas deklaracijos FR0430 formos 1 versijoje 2016 metais galiojančia tvarka (t.y. už devynis mokestinio laikotarpio mėnesius pagal faktiškai apskaičiuotą pelno mokesčio sumą už mokestinį laikotarpį, buvusį prieš praėjusį mokestinį laikotarpį, o už paskutinius tris mėnesius – pagal praėjusį mokestinį laikotarpį faktiškai apskaičiuotą pelno mokesčio sumą).</w:t>
      </w:r>
    </w:p>
    <w:p w14:paraId="012719A3" w14:textId="77777777" w:rsidR="00093845" w:rsidRDefault="00093845">
      <w:pPr>
        <w:ind w:firstLine="720"/>
        <w:jc w:val="both"/>
        <w:rPr>
          <w:b/>
          <w:bCs/>
          <w:lang w:eastAsia="lt-LT"/>
        </w:rPr>
      </w:pPr>
    </w:p>
    <w:p w14:paraId="540F2176" w14:textId="77777777" w:rsidR="00093845" w:rsidRDefault="000D779E" w:rsidP="00AC2528">
      <w:pPr>
        <w:spacing w:after="0"/>
        <w:ind w:firstLine="720"/>
        <w:jc w:val="both"/>
        <w:rPr>
          <w:b/>
          <w:bCs/>
          <w:lang w:eastAsia="lt-LT"/>
        </w:rPr>
      </w:pPr>
      <w:r>
        <w:rPr>
          <w:b/>
          <w:bCs/>
          <w:lang w:eastAsia="lt-LT"/>
        </w:rPr>
        <w:t xml:space="preserve">1) pagal praėjusių metų veiklos rezultatus. Avansinis pelno mokestis už pirmuosius  šešis mokestinio laikotarpio mėnesius apskaičiuojamas pagal faktiškai </w:t>
      </w:r>
      <w:r>
        <w:rPr>
          <w:b/>
          <w:bCs/>
          <w:lang w:eastAsia="lt-LT"/>
        </w:rPr>
        <w:lastRenderedPageBreak/>
        <w:t xml:space="preserve">apskaičiuotą pelno mokesčio sumą už mokestinį laikotarpį, buvusį prieš praėjusį mokestinį laikotarpį. Avansinis pelno mokestis už septintą – dvyliktą mokestinio laikotarpio mėnesius apskaičiuojamas pagal praėjusį mokestinį laikotarpį faktiškai apskaičiuotą pelno mokesčio sumą. Kiekvieno ketvirčio avansinis pelno mokestis sudarys atitinkamai 1/4 faktiškai per minėtus mokestinius laikotarpius apskaičiuoto pelno mokesčio sumos; </w:t>
      </w:r>
    </w:p>
    <w:p w14:paraId="63837BE4" w14:textId="77777777" w:rsidR="00093845" w:rsidRPr="00892E40" w:rsidRDefault="000D779E" w:rsidP="00AC2528">
      <w:pPr>
        <w:spacing w:after="0"/>
        <w:jc w:val="both"/>
        <w:rPr>
          <w:b/>
          <w:bCs/>
          <w:i/>
        </w:rPr>
      </w:pPr>
      <w:r w:rsidRPr="00892E40">
        <w:rPr>
          <w:b/>
          <w:bCs/>
          <w:i/>
        </w:rPr>
        <w:t>(</w:t>
      </w:r>
      <w:r w:rsidRPr="00892E40">
        <w:rPr>
          <w:i/>
        </w:rPr>
        <w:t>KEISTA:</w:t>
      </w:r>
      <w:r w:rsidRPr="00892E40">
        <w:rPr>
          <w:i/>
          <w:lang w:val="lt-LT"/>
        </w:rPr>
        <w:t xml:space="preserve"> </w:t>
      </w:r>
      <w:r w:rsidRPr="00892E40">
        <w:rPr>
          <w:i/>
        </w:rPr>
        <w:t>2016 03 22 įstatymu Nr. XII-2262 (nuo 2017 01 01)</w:t>
      </w:r>
      <w:r w:rsidRPr="00892E40">
        <w:rPr>
          <w:b/>
          <w:bCs/>
          <w:i/>
        </w:rPr>
        <w:t>)</w:t>
      </w:r>
    </w:p>
    <w:p w14:paraId="4634BED5" w14:textId="77777777" w:rsidR="00315602" w:rsidRDefault="00315602" w:rsidP="00AC2528">
      <w:pPr>
        <w:spacing w:after="0"/>
        <w:jc w:val="both"/>
        <w:rPr>
          <w:b/>
          <w:bCs/>
        </w:rPr>
      </w:pPr>
    </w:p>
    <w:p w14:paraId="7089C585" w14:textId="77777777" w:rsidR="00093845" w:rsidRDefault="000D779E">
      <w:pPr>
        <w:pStyle w:val="Pagrindinistekstas"/>
        <w:ind w:firstLine="720"/>
        <w:rPr>
          <w:b/>
          <w:bCs/>
          <w:lang w:val="lt-LT"/>
        </w:rPr>
      </w:pPr>
      <w:r>
        <w:rPr>
          <w:b/>
          <w:bCs/>
        </w:rPr>
        <w:t>Komentaras</w:t>
      </w:r>
    </w:p>
    <w:p w14:paraId="706B7ED7" w14:textId="77777777" w:rsidR="00093845" w:rsidRDefault="000D779E">
      <w:pPr>
        <w:ind w:firstLine="720"/>
        <w:jc w:val="both"/>
      </w:pPr>
      <w:r>
        <w:t>1.    Nuo 2017 metais prasidėjusio ir vėlesniais mokestiniais laikotarpiais, jeigu vienetas pasirenka avansinio pelno mokesčio sumas skaičiuoti pagal praėjusių metų veiklos rezultatus, tai šis vienetas turi apskaičiuoti einamųjų mokestinių metų I – II ketvirčių (pirmųjų šešių mėnesių) ir III-IV ketvirčių (septinto – dvylikto mėnesių) avansinio pelno mokesčio sumas.</w:t>
      </w:r>
    </w:p>
    <w:p w14:paraId="66EE044D" w14:textId="77777777" w:rsidR="00093845" w:rsidRDefault="000D779E">
      <w:pPr>
        <w:ind w:firstLine="720"/>
        <w:jc w:val="both"/>
      </w:pPr>
      <w:r>
        <w:t xml:space="preserve">2.    Einamųjų mokestinių metų I – II ketvirčių avansinis pelno mokestis apskaičiuojamas pagal mokestinių metų, buvusių prieš praėjusius mokestinius metus, faktiškai apskaičiuotas (deklaruotas) pelno mokesčio sumas, atsižvelgiant į tų mokestinių metų trukmę mėnesiais. Kiekvieno einamųjų mokestinių metų ketvirčio avansinis pelno mokestis sudaro 1/4 faktiškai per minėtą laikotarpį apskaičiuotos pelno mokesčio sumos. </w:t>
      </w:r>
    </w:p>
    <w:p w14:paraId="5427E419" w14:textId="77777777" w:rsidR="00093845" w:rsidRDefault="000D779E">
      <w:pPr>
        <w:ind w:firstLine="720"/>
        <w:jc w:val="both"/>
      </w:pPr>
      <w:r>
        <w:rPr>
          <w:snapToGrid w:val="0"/>
        </w:rPr>
        <w:t>Apskaičiuojant I – II ketvirčių avansinį pelno mokestį reikia atsižvelgti į einamaisiais mokestiniais metais galiojantį pelno mokesčio tarifą.</w:t>
      </w:r>
    </w:p>
    <w:p w14:paraId="19668307" w14:textId="77777777" w:rsidR="00093845" w:rsidRDefault="000D779E">
      <w:pPr>
        <w:ind w:firstLine="720"/>
        <w:jc w:val="both"/>
      </w:pPr>
      <w:r>
        <w:t xml:space="preserve">2.1. Jeigu mokestinių metų, buvusių prieš praėjusius mokestinius metus, laikotarpis buvo trumpesnis negu 12 mėnesių, tai apskaičiuojant einamųjų mokestinių metų I - II ketvirčių avansinį pelno mokestį faktiškai sumokėta pelno mokesčio suma laikoma už tą mokestinį laikotarpį apskaičiuota pelno mokesčio suma, padalinta iš to mokestinio laikotarpio mėnesių skaičiaus ir padauginta iš dvylikos. </w:t>
      </w:r>
    </w:p>
    <w:p w14:paraId="0CBD6542" w14:textId="77777777" w:rsidR="00093845" w:rsidRDefault="000D779E">
      <w:pPr>
        <w:ind w:firstLine="720"/>
        <w:jc w:val="both"/>
      </w:pPr>
      <w:r>
        <w:t>2.2. Jeigu vienetas mokestiniais metais, buvusiais prieš praėjusius mokestinius metus, neskaičiavo (nedeklaravo) pelno mokesčio sumos (deklaravo mokestinį nuostolį, apmokestinamąjį pelną lygų nuliui arba apmokestinamąjį pelną apmokestino pagal nulinį (0 proc.) pelno mokesčio tarifą), tai jis einamųjų mokestinių metų I – II ketvirtį avansinio pelno mokesčio nemoka.</w:t>
      </w:r>
    </w:p>
    <w:p w14:paraId="58E253EA" w14:textId="77777777" w:rsidR="00093845" w:rsidRDefault="000D779E">
      <w:pPr>
        <w:ind w:firstLine="720"/>
        <w:jc w:val="both"/>
      </w:pPr>
      <w:r>
        <w:t>2.3. Mokestinių metų, buvusių prieš praėjusius mokestinius metus, faktiškai apskaičiuota pelno mokesčio suma, pagal kurią apskaičiuojamas I - II ketvirčių avansinis pelno mokestis, negali būti sumažinta atskaitomo užsienio valstybėse sumokėto mokesčio ir užskaitomo nuo gautų dividendų išskaityto pelno mokesčio sumomis.</w:t>
      </w:r>
    </w:p>
    <w:p w14:paraId="7DBA2806" w14:textId="77777777" w:rsidR="00093845" w:rsidRDefault="000D779E">
      <w:pPr>
        <w:ind w:firstLine="720"/>
        <w:jc w:val="both"/>
      </w:pPr>
      <w:r>
        <w:t xml:space="preserve">3.    Einamųjų mokestinių metų III-IV ketvirčių avansinis pelno mokestis apskaičiuojamas pagal praėjusių mokestinių metų faktiškai apskaičiuotas (deklaruotas) pelno mokesčio sumas, atsižvelgiant į tų mokestinių metų trukmę mėnesiais. Kiekvieno einamųjų mokestinių metų ketvirčių avansinis pelno mokestis sudaro 1/4 faktiškai per minėtą laikotarpį apskaičiuotos pelno mokesčio sumos. </w:t>
      </w:r>
    </w:p>
    <w:p w14:paraId="699E5D39" w14:textId="77777777" w:rsidR="00093845" w:rsidRDefault="000D779E">
      <w:pPr>
        <w:ind w:firstLine="720"/>
        <w:jc w:val="both"/>
      </w:pPr>
      <w:r>
        <w:t>Aps</w:t>
      </w:r>
      <w:r>
        <w:rPr>
          <w:snapToGrid w:val="0"/>
        </w:rPr>
        <w:t>kaičiuojant III-IV ketvirčių avansinį pelno mokestį reikia atsižvelgti į einamaisiais mokestiniais metais galiojantį pelno mokesčio tarifą.</w:t>
      </w:r>
    </w:p>
    <w:p w14:paraId="7B6B3509" w14:textId="77777777" w:rsidR="00093845" w:rsidRDefault="000D779E">
      <w:pPr>
        <w:ind w:firstLine="720"/>
        <w:jc w:val="both"/>
      </w:pPr>
      <w:r>
        <w:t>3.1. Jeigu praėjusių mokestinių metų laikotarpis buvo trumpesnis kaip 12 mėnesių, tai apskaičiuojant einamųjų mokestinių metų III-IV ketvirčių</w:t>
      </w:r>
      <w:r>
        <w:rPr>
          <w:strike/>
        </w:rPr>
        <w:t xml:space="preserve"> </w:t>
      </w:r>
      <w:r>
        <w:t xml:space="preserve">avansinį pelno mokestį faktiškai sumokėta pelno mokesčio suma laikoma už tą mokestinį laikotarpį apskaičiuota pelno mokesčio suma, padalyta iš to mokestinio laikotarpio mėnesių skaičiaus ir padauginta iš dvylikos. </w:t>
      </w:r>
    </w:p>
    <w:p w14:paraId="5ADE9899" w14:textId="77777777" w:rsidR="00093845" w:rsidRDefault="000D779E">
      <w:pPr>
        <w:ind w:firstLine="720"/>
        <w:jc w:val="both"/>
      </w:pPr>
      <w:r>
        <w:lastRenderedPageBreak/>
        <w:t xml:space="preserve">3.2. Jeigu vienetas praėjusiais mokestiniais metais neskaičiavo (nedeklaravo) pelno mokesčio sumos (deklaravo mokestinį nuostolį, apmokestinamąjį pelną lygų nuliui arba apmokestinamąjį pelną apmokestino pagal nulinį (0 proc.)), tai jis III-IV ketvirčiais avansinio pelno mokesčio nemoka. </w:t>
      </w:r>
    </w:p>
    <w:p w14:paraId="28910903" w14:textId="77777777" w:rsidR="00093845" w:rsidRDefault="000D779E">
      <w:pPr>
        <w:ind w:firstLine="720"/>
        <w:jc w:val="both"/>
      </w:pPr>
      <w:r>
        <w:t>3.3. Praėjusių mokestinių metų faktiškai apskaičiuota pelno mokesčio suma, pagal kurią apskaičiuojamas III-IV ketvirčių avansinis pelno mokestis, negali būti sumažinta atskaitomo užsienio valstybėse sumokėto mokesčio ir užskaitomo nuo gautų dividendų išskaityto pelno mokesčio sumomis.</w:t>
      </w:r>
    </w:p>
    <w:p w14:paraId="5F13935A" w14:textId="77777777" w:rsidR="00093845" w:rsidRDefault="000D779E">
      <w:pPr>
        <w:ind w:firstLine="720"/>
        <w:jc w:val="both"/>
        <w:rPr>
          <w:b/>
          <w:bCs/>
        </w:rPr>
      </w:pPr>
      <w:r>
        <w:rPr>
          <w:b/>
          <w:bCs/>
        </w:rPr>
        <w:t>2)   pagal numatomą mokestinio laikotarpio pelno mokesčio sumą. Mokesčio mokėtojas gali pasirinkti avansinį pelno mokestį mokėti kas ketvirtį po 1/4 numatomos mokestinio laikotarpio pelno mokesčio sumos. Avansinio pelno mokesčio apskaičiuota suma pagal numatytą mokestinio laikotarpio pelno mokesčio sumą turi sudaryti ne mažiau kaip 80 procentų faktiškos metinio pelno mokesčio sumos. Jeigu avansinio pelno mokesčio deklaracijoje apskaičiuota numatyta pelno mokesčio suma yra mažesnė kaip 80 procentų metinėje pelno mokesčio deklaracijoje apskaičiuotos pelno mokesčio sumos, nuo kiekvieną ketvirtį nesumokėtos avansinio pelno mokesčio sumos skaičiuojami delspinigiai Mokesčių administravimo įstatymo nustatyta tvarka. Mokesčio mokėtojas gali patikslinti avansinio pelno mokesčio deklaraciją, apskaičiuodamas kiekvieno ketvirčio avansinio pelno mokesčio sumą lygiomis dalimis nuo mokestinio laikotarpio pradžios.</w:t>
      </w:r>
    </w:p>
    <w:p w14:paraId="0D08C6AE" w14:textId="77777777" w:rsidR="00093845" w:rsidRDefault="00D94232">
      <w:pPr>
        <w:ind w:firstLine="720"/>
        <w:jc w:val="both"/>
        <w:rPr>
          <w:b/>
          <w:bCs/>
        </w:rPr>
      </w:pPr>
      <w:r>
        <w:rPr>
          <w:b/>
          <w:bCs/>
        </w:rPr>
        <w:t>Komentaras</w:t>
      </w:r>
    </w:p>
    <w:p w14:paraId="24BAB2AA" w14:textId="77777777" w:rsidR="00093845" w:rsidRDefault="000D779E">
      <w:pPr>
        <w:ind w:firstLine="720"/>
        <w:jc w:val="both"/>
      </w:pPr>
      <w:r>
        <w:t xml:space="preserve">1.   Jeigu vienetas pasirenka avansinio pelno mokesčio sumas skaičiuoti pagal numatomą einamųjų mokestinių metų pelno mokesčio sumą, tai šis vienetas turi apskaičiuoti einamųjų mokestinių visų tų metų (I – IV) ketvirčių avansinio pelno mokesčio sumas. </w:t>
      </w:r>
    </w:p>
    <w:p w14:paraId="2964F91A" w14:textId="77777777" w:rsidR="00093845" w:rsidRDefault="000D779E">
      <w:pPr>
        <w:pStyle w:val="Pagrindiniotekstotrauka"/>
      </w:pPr>
      <w:r>
        <w:t xml:space="preserve">2.   Pagal numatomą einamųjų mokestinių metų pelno mokesčio sumą apskaičiuota avansinio pelno mokesčio suma turi sudaryti ne mažiau kaip 80 procentų faktiškos metinio pelno mokesčio sumos. </w:t>
      </w:r>
    </w:p>
    <w:p w14:paraId="21B53004" w14:textId="77777777" w:rsidR="00093845" w:rsidRDefault="000D779E">
      <w:pPr>
        <w:pStyle w:val="Pagrindiniotekstotrauka"/>
      </w:pPr>
      <w:r>
        <w:t>Apskaičiuojant avansinį pelno mokestį vienetas turi atsižvelgti į einamaisiais mokestiniais metais galiojantį pelno mokesčio tarifą. Apskaičiuojant avansinio pelno mokesčio sumą, neatsižvelgiama į galimą apmokestinamojo pelno sumažinimą dėl vykdomo investicinio projekto pagal PMĮ 46</w:t>
      </w:r>
      <w:r>
        <w:rPr>
          <w:vertAlign w:val="superscript"/>
        </w:rPr>
        <w:t>1</w:t>
      </w:r>
      <w:r>
        <w:t xml:space="preserve"> straipsnio nuostatas, tačiau gali būti atsižvelgta į numatomą apmokestinamųjų pajamų mažinimą dėl filmo arba jo dalies gamybai neatlygintinai suteiktų lėšų pagal PMĮ 17</w:t>
      </w:r>
      <w:r>
        <w:rPr>
          <w:vertAlign w:val="superscript"/>
        </w:rPr>
        <w:t>2</w:t>
      </w:r>
      <w:r>
        <w:t xml:space="preserve"> straipsnio nuostatas.</w:t>
      </w:r>
    </w:p>
    <w:p w14:paraId="3EFFCD90" w14:textId="77777777" w:rsidR="00093845" w:rsidRDefault="000D779E">
      <w:pPr>
        <w:ind w:firstLine="720"/>
        <w:jc w:val="both"/>
        <w:rPr>
          <w:b/>
          <w:bCs/>
          <w:lang w:val="lt-LT"/>
        </w:rPr>
      </w:pPr>
      <w:r>
        <w:t>3.   Jeigu avansinio pelno mokesčio deklaracijoje apskaičiuota numatyta pelno mokesčio suma yra mažesnė kaip 80 proc. metinėje pelno mokesčio deklaracijoje apskaičiuotos pelno mokesčio sumos, tai nuo kiekvieną mokestinių metų ketvirtį nesumokėtos avansinio pelno mokesčio sumos skaičiuojami delspinigiai Lietuvos Respublikos mokesčių administravimo</w:t>
      </w:r>
      <w:r>
        <w:rPr>
          <w:u w:val="single"/>
        </w:rPr>
        <w:t xml:space="preserve"> </w:t>
      </w:r>
      <w:r>
        <w:t>įstatymo nustatyta tvarka. Todėl, kai vienetas nustato, kad einamųjų metų avansinio pelno mokesčio suma sudarys mažiau kaip 80 procentų faktiškos metinio pelno mokesčio sumos, tai jis gali patikslinti deklaraciją (bet kurią einamųjų mokestinių metų dieną), apskaičiuodamas kiekvieno mokestinių metų ketvirčio avansinio pelno mokesčio sumą lygiomis dalimis nuo mokestinio laikotarpio pradžios.</w:t>
      </w:r>
    </w:p>
    <w:p w14:paraId="767DEB6B" w14:textId="77777777" w:rsidR="00093845" w:rsidRDefault="00093845">
      <w:pPr>
        <w:ind w:firstLine="720"/>
        <w:jc w:val="both"/>
      </w:pPr>
    </w:p>
    <w:p w14:paraId="57BD6D78" w14:textId="77777777" w:rsidR="00093845" w:rsidRDefault="000D779E" w:rsidP="00AC2528">
      <w:pPr>
        <w:spacing w:after="0"/>
        <w:ind w:firstLine="720"/>
        <w:jc w:val="both"/>
        <w:rPr>
          <w:b/>
          <w:bCs/>
          <w:lang w:val="lt-LT"/>
        </w:rPr>
      </w:pPr>
      <w:r>
        <w:rPr>
          <w:b/>
          <w:bCs/>
          <w:lang w:val="lt-LT"/>
        </w:rPr>
        <w:t>3. Apskaičiuojant avansinio pelno mokesčio sumą, neatsižvelgiama į pelno mokesčio sumą, apskaičiuotą nuo gautos paramos, panaudotos ne pagal Lietuvos Respublikos labdaros ir paramos įstatyme nustatytą paramos paskirtį, taip pat nuo iš vieno paramos teikėjo per mokestinį laikotarpį grynais pinigais gautos paramos dalies, viršijančios 250 MGL dydžio sumą.</w:t>
      </w:r>
    </w:p>
    <w:p w14:paraId="191D6957" w14:textId="77777777" w:rsidR="00093845" w:rsidRDefault="000D779E" w:rsidP="00AC2528">
      <w:pPr>
        <w:spacing w:after="0"/>
        <w:jc w:val="both"/>
        <w:rPr>
          <w:i/>
          <w:lang w:val="lt-LT"/>
        </w:rPr>
      </w:pPr>
      <w:r w:rsidRPr="00892E40">
        <w:rPr>
          <w:i/>
          <w:lang w:val="lt-LT"/>
        </w:rPr>
        <w:lastRenderedPageBreak/>
        <w:t>(</w:t>
      </w:r>
      <w:r w:rsidRPr="00892E40">
        <w:rPr>
          <w:i/>
          <w:color w:val="000000"/>
          <w:lang w:val="lt-LT" w:eastAsia="lt-LT"/>
        </w:rPr>
        <w:t>KEISTA: 2005 12 20 įstatymu Nr. X-456 (nuo 2006 01 01)</w:t>
      </w:r>
      <w:r w:rsidR="002337BE" w:rsidRPr="00892E40">
        <w:rPr>
          <w:i/>
          <w:color w:val="000000"/>
          <w:lang w:val="lt-LT" w:eastAsia="lt-LT"/>
        </w:rPr>
        <w:t>;</w:t>
      </w:r>
      <w:r w:rsidR="002337BE" w:rsidRPr="00892E40">
        <w:rPr>
          <w:i/>
          <w:lang w:val="lt-LT"/>
        </w:rPr>
        <w:t xml:space="preserve"> </w:t>
      </w:r>
      <w:r w:rsidR="002337BE" w:rsidRPr="00892E40">
        <w:rPr>
          <w:i/>
          <w:color w:val="000000"/>
          <w:lang w:val="lt-LT" w:eastAsia="lt-LT"/>
        </w:rPr>
        <w:t>nuostatos taikomos apskaičiuojant 2006 metais prasidėjusio ir vėlesnių mokestinių laikotarpių apmokestinamąjį pelną</w:t>
      </w:r>
      <w:r w:rsidRPr="00892E40">
        <w:rPr>
          <w:i/>
          <w:lang w:val="lt-LT"/>
        </w:rPr>
        <w:t>)</w:t>
      </w:r>
    </w:p>
    <w:p w14:paraId="185EF2CB" w14:textId="77777777" w:rsidR="009A54A8" w:rsidRPr="00892E40" w:rsidRDefault="009A54A8" w:rsidP="00AC2528">
      <w:pPr>
        <w:spacing w:after="0"/>
        <w:jc w:val="both"/>
        <w:rPr>
          <w:i/>
          <w:lang w:val="lt-LT"/>
        </w:rPr>
      </w:pPr>
    </w:p>
    <w:p w14:paraId="0D951477" w14:textId="77777777" w:rsidR="00093845" w:rsidRDefault="000D779E">
      <w:pPr>
        <w:ind w:firstLine="720"/>
        <w:jc w:val="both"/>
        <w:rPr>
          <w:b/>
          <w:bCs/>
          <w:lang w:val="lt-LT"/>
        </w:rPr>
      </w:pPr>
      <w:r>
        <w:rPr>
          <w:b/>
          <w:bCs/>
          <w:lang w:val="lt-LT"/>
        </w:rPr>
        <w:t>Komentaras</w:t>
      </w:r>
    </w:p>
    <w:p w14:paraId="2B3ECDFB" w14:textId="77777777" w:rsidR="00093845" w:rsidRDefault="000D779E">
      <w:pPr>
        <w:ind w:firstLine="720"/>
        <w:jc w:val="both"/>
        <w:rPr>
          <w:bCs/>
          <w:lang w:val="lt-LT"/>
        </w:rPr>
      </w:pPr>
      <w:r>
        <w:rPr>
          <w:bCs/>
          <w:lang w:val="lt-LT"/>
        </w:rPr>
        <w:t xml:space="preserve">Pagal šios dalies nuostatas nors gauta parama, panaudota ne pagal Lietuvos Respublikos labdaros ir paramos įstatymu nustatytą paramos paskirtį, bei iš vieno paramos teikėjo per mokestinį laikotarpį grynais pinigais gauta paramos dalis, viršijanti 250 MGL dydžio sumą (žr. </w:t>
      </w:r>
      <w:r>
        <w:rPr>
          <w:bCs/>
          <w:u w:val="single"/>
          <w:lang w:val="lt-LT"/>
        </w:rPr>
        <w:t>PMĮ 5 str. 1 d. 4 punkto komentarą</w:t>
      </w:r>
      <w:r>
        <w:rPr>
          <w:bCs/>
          <w:lang w:val="lt-LT"/>
        </w:rPr>
        <w:t xml:space="preserve">), yra priskiriama pelno mokesčio bazei, tačiau avansinis pelno mokestis nuo šios pelno mokesčio bazės neskaičiuojamas. </w:t>
      </w:r>
    </w:p>
    <w:p w14:paraId="2370EB3B" w14:textId="77777777" w:rsidR="00093845" w:rsidRDefault="000D779E">
      <w:pPr>
        <w:ind w:firstLine="709"/>
        <w:jc w:val="both"/>
        <w:rPr>
          <w:lang w:val="lt-LT"/>
        </w:rPr>
      </w:pPr>
      <w:r>
        <w:rPr>
          <w:lang w:val="lt-LT"/>
        </w:rPr>
        <w:t>Pavyzdys</w:t>
      </w:r>
    </w:p>
    <w:p w14:paraId="3DFCF021"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Viešoji įstaiga vykdo ūkinę komercinę veiklą. </w:t>
      </w:r>
    </w:p>
    <w:p w14:paraId="2B94F695"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Per 2013 metų mokestinį laikotarpį uždirbo 1 500 000 Lt šios veiklos pajamų (pajamos neskiriamos tenkinant viešuosius interesus vykdomai veiklai finansuoti). Mokestinio laikotarpio leidžiami ir ribojamo dydžio leidžiami atskaitymai sudarė 1 300 000 Lt, apmokestinamasis pelnas – 200 000 Lt; pelno mokestis 30 000 Lt (8689 Eur) (200 000 Lt x 15 proc.). </w:t>
      </w:r>
    </w:p>
    <w:p w14:paraId="0CC48EBE" w14:textId="77777777" w:rsidR="00093845" w:rsidRDefault="000D779E">
      <w:pPr>
        <w:pBdr>
          <w:top w:val="single" w:sz="4" w:space="1" w:color="auto"/>
          <w:left w:val="single" w:sz="4" w:space="0" w:color="auto"/>
          <w:bottom w:val="single" w:sz="4" w:space="1" w:color="auto"/>
          <w:right w:val="single" w:sz="4" w:space="2" w:color="auto"/>
        </w:pBdr>
        <w:ind w:firstLine="709"/>
        <w:jc w:val="both"/>
        <w:rPr>
          <w:lang w:val="lt-LT"/>
        </w:rPr>
      </w:pPr>
      <w:r>
        <w:rPr>
          <w:lang w:val="lt-LT"/>
        </w:rPr>
        <w:t xml:space="preserve">Per 2014 metų mokestinį laikotarpį uždirbo 2 000 000 Lt šios veiklos pajamų (pajamos neskiriamos tenkinant viešuosius interesus vykdomai veiklai finansuoti). Mokestinio laikotarpio leidžiami ir ribojamo dydžio leidžiami atskaitymai sudarė 1 500 000 Lt, apmokestinamasis pelnas – 500 000 Lt; pelno mokestis 75 000 Lt (500 000 Lt x 15 proc.) (21722 Eur). </w:t>
      </w:r>
    </w:p>
    <w:p w14:paraId="6BA4D5FA"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Be to, 2014 metais minėta viešoji įstaiga iš paramos teikėjų gautą 100 000 Lt paramą panaudojo politinės kampanijos dalyvio politinės kampanijos laikotarpiu atsiradusiems skolos įsipareigojimams padengti. Kadangi gauta parama panaudota politinės kampanijos dalyvio politinės kampanijos laikotarpiu atsiradusiems skolos įsipareigojimams padengti, tai visa panaudotoji paramos suma priskiriama pelno mokesčio bazei, nuo kurios apskaičiuojamas 15 000 Lt (100 000 Lt x 15 proc. (4344 Eur) pelno mokestis.  </w:t>
      </w:r>
    </w:p>
    <w:p w14:paraId="2DB1D88C"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Viešoji įstaiga 2015 metais avansinį pelno mokestį apskaičiuoja pagal praėjusių metų veiklos rezultatus. 2015 mokestinių metų I – III ketvirčių avansinis pelno mokestis apskaičiuojamas pagal 2013 mokestinių metų faktiškai apskaičiuotas (deklaruotas) pelno mokesčio sumas. I, II ir III ketvirčių avansinis pelno mokestis sudaro 2172 Eur (1/4 x 8689 Eur faktiškai per 2013 m. apskaičiuotos pelno mokesčio sumos). </w:t>
      </w:r>
    </w:p>
    <w:p w14:paraId="1ACD4F19"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bCs/>
          <w:lang w:val="lt-LT"/>
        </w:rPr>
        <w:t xml:space="preserve">2015 metų IV ketvirčio avansinis pelno mokestis apskaičiuojamas pagal 2014 mokestinių metų faktiškai apskaičiuotas (deklaruotas) pelno mokesčio sumas, išskyrus 4344 Eur pelno mokesčio sumą, apskaičiuotą nuo ne pagal LPĮ nustatytą paskirtį panaudotos paramos. 2015  mokestinių metų IV ketvirčio avansinis pelno mokestis sudaro 5431 Eur (1/4 x 21722 Eur faktiškai per 2014 m. apskaičiuotos pelno mokesčio sumos). </w:t>
      </w:r>
    </w:p>
    <w:p w14:paraId="51603C8F" w14:textId="77777777" w:rsidR="00093845" w:rsidRDefault="000D779E">
      <w:pPr>
        <w:pBdr>
          <w:top w:val="single" w:sz="4" w:space="1" w:color="auto"/>
          <w:left w:val="single" w:sz="4" w:space="0" w:color="auto"/>
          <w:bottom w:val="single" w:sz="4" w:space="1" w:color="auto"/>
          <w:right w:val="single" w:sz="4" w:space="2" w:color="auto"/>
        </w:pBdr>
        <w:ind w:firstLine="709"/>
        <w:jc w:val="both"/>
        <w:rPr>
          <w:bCs/>
          <w:lang w:val="lt-LT"/>
        </w:rPr>
      </w:pPr>
      <w:r>
        <w:rPr>
          <w:lang w:val="lt-LT"/>
        </w:rPr>
        <w:t xml:space="preserve">(pavyzdyje litai į eurus perskaičiuojami taikant nustatytą kursą – </w:t>
      </w:r>
      <w:r>
        <w:rPr>
          <w:bCs/>
          <w:lang w:val="lt-LT"/>
        </w:rPr>
        <w:t>1 euras lygu 3,45280 lito</w:t>
      </w:r>
      <w:r>
        <w:rPr>
          <w:lang w:val="lt-LT"/>
        </w:rPr>
        <w:t>)</w:t>
      </w:r>
    </w:p>
    <w:p w14:paraId="740028EA" w14:textId="77777777" w:rsidR="00093845" w:rsidRDefault="00093845">
      <w:pPr>
        <w:pStyle w:val="Pagrindiniotekstotrauka"/>
        <w:tabs>
          <w:tab w:val="left" w:pos="720"/>
          <w:tab w:val="left" w:pos="1077"/>
          <w:tab w:val="left" w:pos="1418"/>
        </w:tabs>
        <w:rPr>
          <w:rFonts w:ascii="Times New Roman" w:hAnsi="Times New Roman" w:cs="Times New Roman"/>
          <w:b/>
          <w:bCs/>
          <w:lang w:val="lt-LT"/>
        </w:rPr>
      </w:pPr>
    </w:p>
    <w:p w14:paraId="452E9996" w14:textId="77777777" w:rsidR="00093845" w:rsidRPr="0065344A" w:rsidRDefault="000D779E" w:rsidP="00CB66E8">
      <w:pPr>
        <w:pStyle w:val="Pagrindiniotekstotrauka"/>
        <w:tabs>
          <w:tab w:val="left" w:pos="720"/>
          <w:tab w:val="left" w:pos="1077"/>
          <w:tab w:val="left" w:pos="1418"/>
        </w:tabs>
        <w:spacing w:after="0"/>
        <w:rPr>
          <w:rStyle w:val="normal-h"/>
          <w:b/>
          <w:color w:val="000000"/>
          <w:lang w:val="lt-LT"/>
        </w:rPr>
      </w:pPr>
      <w:r w:rsidRPr="0065344A">
        <w:rPr>
          <w:rStyle w:val="normal-h"/>
          <w:b/>
          <w:color w:val="000000"/>
          <w:lang w:val="lt-LT"/>
        </w:rPr>
        <w:t xml:space="preserve">4. </w:t>
      </w:r>
      <w:r w:rsidRPr="0065344A">
        <w:rPr>
          <w:rStyle w:val="normal-h"/>
          <w:b/>
          <w:lang w:val="lt-LT"/>
        </w:rPr>
        <w:t>Pirmaisiais mokestiniais metais įregistruoti vienetai nuo avansinio pelno mokesčio atleidžiami, o antraisiais mokestiniais metais mokesčio mokėtojas, pasirinkęs avansinį pelno mokestį mokėti pagal praėjusių metų veiklos rezultatus, pradeda mokėti avansinį pelno mokestį nuo mokestinio laikotarpio septinto</w:t>
      </w:r>
      <w:r w:rsidRPr="0065344A">
        <w:rPr>
          <w:rStyle w:val="normal-h"/>
          <w:b/>
          <w:bCs/>
          <w:lang w:val="lt-LT"/>
        </w:rPr>
        <w:t xml:space="preserve"> </w:t>
      </w:r>
      <w:r w:rsidRPr="0065344A">
        <w:rPr>
          <w:rStyle w:val="normal-h"/>
          <w:b/>
          <w:lang w:val="lt-LT"/>
        </w:rPr>
        <w:t xml:space="preserve">mėnesio. Jeigu mokestinis laikotarpis, buvęs prieš praėjusį mokestinį laikotarpį, buvo trumpesnis negu dvylika mėnesių, apskaičiuojant avansinį pelno mokestį faktiškai sumokėta pelno mokesčio suma laikoma už tą mokestinį laikotarpį </w:t>
      </w:r>
      <w:r w:rsidRPr="0065344A">
        <w:rPr>
          <w:rStyle w:val="normal-h"/>
          <w:b/>
          <w:lang w:val="lt-LT"/>
        </w:rPr>
        <w:lastRenderedPageBreak/>
        <w:t>apskaičiuota pelno mokesčio suma, padalyta iš to mokestinio laikotarpio mėnesių skaičiaus ir padauginta iš dvylikos</w:t>
      </w:r>
      <w:r w:rsidRPr="0065344A">
        <w:rPr>
          <w:rStyle w:val="normal-h"/>
          <w:b/>
          <w:color w:val="000000"/>
          <w:lang w:val="lt-LT"/>
        </w:rPr>
        <w:t>.</w:t>
      </w:r>
    </w:p>
    <w:p w14:paraId="27C6DDA5" w14:textId="77777777" w:rsidR="00093845" w:rsidRDefault="000D779E" w:rsidP="00CB66E8">
      <w:pPr>
        <w:tabs>
          <w:tab w:val="left" w:pos="709"/>
        </w:tabs>
        <w:spacing w:after="0"/>
        <w:jc w:val="both"/>
        <w:rPr>
          <w:i/>
        </w:rPr>
      </w:pPr>
      <w:r w:rsidRPr="00892E40">
        <w:rPr>
          <w:i/>
        </w:rPr>
        <w:t>(</w:t>
      </w:r>
      <w:r w:rsidRPr="00892E40">
        <w:rPr>
          <w:i/>
          <w:lang w:val="lt-LT"/>
        </w:rPr>
        <w:t xml:space="preserve">KEISTA: </w:t>
      </w:r>
      <w:r w:rsidRPr="00892E40">
        <w:rPr>
          <w:i/>
        </w:rPr>
        <w:t>2016 03 22 įstatymu Nr. XII-2262 (nuo 2017 01 01))</w:t>
      </w:r>
    </w:p>
    <w:p w14:paraId="1331C7BB" w14:textId="77777777" w:rsidR="009A54A8" w:rsidRPr="00892E40" w:rsidRDefault="009A54A8" w:rsidP="00CB66E8">
      <w:pPr>
        <w:tabs>
          <w:tab w:val="left" w:pos="709"/>
        </w:tabs>
        <w:spacing w:after="0"/>
        <w:jc w:val="both"/>
        <w:rPr>
          <w:i/>
        </w:rPr>
      </w:pPr>
    </w:p>
    <w:p w14:paraId="77C7FAAA" w14:textId="77777777" w:rsidR="00093845" w:rsidRDefault="000D779E">
      <w:pPr>
        <w:pStyle w:val="Pagrindiniotekstotrauka"/>
        <w:tabs>
          <w:tab w:val="left" w:pos="720"/>
          <w:tab w:val="left" w:pos="1077"/>
          <w:tab w:val="left" w:pos="1418"/>
        </w:tabs>
        <w:rPr>
          <w:b/>
          <w:bCs/>
        </w:rPr>
      </w:pPr>
      <w:r>
        <w:rPr>
          <w:b/>
          <w:bCs/>
        </w:rPr>
        <w:t>Komentaras</w:t>
      </w:r>
    </w:p>
    <w:p w14:paraId="4DE852A1" w14:textId="77777777" w:rsidR="00093845" w:rsidRDefault="000D779E">
      <w:pPr>
        <w:tabs>
          <w:tab w:val="left" w:pos="720"/>
          <w:tab w:val="left" w:pos="1077"/>
          <w:tab w:val="left" w:pos="1418"/>
        </w:tabs>
        <w:ind w:firstLine="720"/>
        <w:jc w:val="both"/>
        <w:rPr>
          <w:color w:val="000000"/>
        </w:rPr>
      </w:pPr>
      <w:r>
        <w:rPr>
          <w:color w:val="000000"/>
        </w:rPr>
        <w:t>1.</w:t>
      </w:r>
      <w:r>
        <w:rPr>
          <w:color w:val="000000"/>
        </w:rPr>
        <w:tab/>
        <w:t xml:space="preserve">Einamaisiais mokestiniais metais įregistruoti nauji vienetai </w:t>
      </w:r>
      <w:r>
        <w:t>avansinio pelno mokesčio mokėti neprivalo.</w:t>
      </w:r>
    </w:p>
    <w:p w14:paraId="64B6C287" w14:textId="77777777" w:rsidR="00093845" w:rsidRDefault="000D779E">
      <w:pPr>
        <w:pStyle w:val="Pagrindiniotekstotrauka"/>
        <w:tabs>
          <w:tab w:val="left" w:pos="720"/>
          <w:tab w:val="left" w:pos="1077"/>
          <w:tab w:val="left" w:pos="1418"/>
        </w:tabs>
        <w:rPr>
          <w:bCs/>
        </w:rPr>
      </w:pPr>
      <w:r>
        <w:rPr>
          <w:color w:val="000000"/>
        </w:rPr>
        <w:t>2.</w:t>
      </w:r>
      <w:r>
        <w:rPr>
          <w:color w:val="000000"/>
        </w:rPr>
        <w:tab/>
      </w:r>
      <w:r>
        <w:t>N</w:t>
      </w:r>
      <w:r>
        <w:rPr>
          <w:bCs/>
        </w:rPr>
        <w:t>uo 2017 metais prasidėjusio ir vėlesniais mokestiniais laikotarpiais, n</w:t>
      </w:r>
      <w:r>
        <w:rPr>
          <w:color w:val="000000"/>
        </w:rPr>
        <w:t xml:space="preserve">aujai įregistruoti vienetai, pasirinkę avansinį pelno mokestį mokėti pagal praėjusių metų veiklos rezultatus, antrųjų mokestinių metų (einančių po mokestinių metų, kuriais vienetas buvo įregistruotas) I - II ketvirčių avansinio pelno mokesčio nemoka. Šie vienetai antraisiais mokestiniais metais avansinį pelno mokestį pradeda mokėti nuo einamųjų metų </w:t>
      </w:r>
      <w:r>
        <w:rPr>
          <w:bCs/>
          <w:color w:val="000000"/>
          <w:lang w:eastAsia="lt-LT"/>
        </w:rPr>
        <w:t>septinto </w:t>
      </w:r>
      <w:r>
        <w:rPr>
          <w:color w:val="000000"/>
          <w:lang w:eastAsia="lt-LT"/>
        </w:rPr>
        <w:t>mėnesio.</w:t>
      </w:r>
    </w:p>
    <w:p w14:paraId="52519F4A" w14:textId="77777777" w:rsidR="00093845" w:rsidRDefault="000D779E">
      <w:pPr>
        <w:pStyle w:val="Pagrindiniotekstotrauka"/>
        <w:tabs>
          <w:tab w:val="left" w:pos="720"/>
          <w:tab w:val="left" w:pos="1077"/>
          <w:tab w:val="left" w:pos="1418"/>
        </w:tabs>
      </w:pPr>
      <w:r>
        <w:t xml:space="preserve">2.1. </w:t>
      </w:r>
      <w:r>
        <w:rPr>
          <w:color w:val="000000"/>
        </w:rPr>
        <w:t>Jeigu praėjusių mokestinių metų laikotarpis buvo trumpesnis kaip 12 mėnesių, tai apskaičiuojant einamųjų mokestinių metų III-IV ketvirčio avansinį pelno mokestį, faktiškai sumokėta pelno mokesčio suma laikoma už tą mokestinį laikotarpį apskaičiuota pelno mokesčio suma, padalyta iš to mokestinio laikotarpio mėnesių skaičiaus ir padauginta iš dvylikos.</w:t>
      </w:r>
    </w:p>
    <w:p w14:paraId="2058C974" w14:textId="77777777" w:rsidR="00093845" w:rsidRDefault="000D779E">
      <w:pPr>
        <w:pStyle w:val="Pagrindiniotekstotrauka"/>
        <w:tabs>
          <w:tab w:val="left" w:pos="720"/>
          <w:tab w:val="left" w:pos="1077"/>
          <w:tab w:val="left" w:pos="1418"/>
        </w:tabs>
        <w:rPr>
          <w:bCs/>
        </w:rPr>
      </w:pPr>
      <w:r>
        <w:rPr>
          <w:color w:val="000000"/>
        </w:rPr>
        <w:t>2.2. Praėjusių mokestinių metų faktiškai apskaičiuota pelno mokesčio suma, pagal kurią apskaičiuojamas III-IV ketvirčių avansinis pelno mokestis, negali būti sumažinta į biudžetą sumokėto pelno mokesčio nuo dividendų suma.</w:t>
      </w:r>
    </w:p>
    <w:p w14:paraId="09352C61" w14:textId="77777777" w:rsidR="00093845" w:rsidRDefault="00892E40">
      <w:pPr>
        <w:pStyle w:val="Antrat1"/>
        <w:jc w:val="both"/>
        <w:rPr>
          <w:b w:val="0"/>
        </w:rPr>
      </w:pPr>
      <w:r>
        <w:rPr>
          <w:b w:val="0"/>
        </w:rPr>
        <w:t xml:space="preserve">          (</w:t>
      </w:r>
      <w:r w:rsidR="00F31096">
        <w:rPr>
          <w:b w:val="0"/>
        </w:rPr>
        <w:t>P</w:t>
      </w:r>
      <w:r w:rsidR="000D779E">
        <w:rPr>
          <w:b w:val="0"/>
        </w:rPr>
        <w:t>akeista pagal VMI prie FM 2016-05-17 raštą Nr. (18.10-31-1E)-RM-14143).</w:t>
      </w:r>
    </w:p>
    <w:p w14:paraId="57F4326B" w14:textId="77777777" w:rsidR="00093845" w:rsidRDefault="000D779E" w:rsidP="009A54A8">
      <w:pPr>
        <w:rPr>
          <w:b/>
          <w:iCs/>
          <w:lang w:val="lt-LT"/>
        </w:rPr>
      </w:pPr>
      <w:r>
        <w:rPr>
          <w:rFonts w:eastAsiaTheme="minorEastAsia"/>
        </w:rPr>
        <w:t> </w:t>
      </w:r>
      <w:bookmarkStart w:id="581" w:name="201z"/>
      <w:bookmarkStart w:id="582" w:name="200z"/>
      <w:bookmarkEnd w:id="581"/>
      <w:bookmarkEnd w:id="582"/>
      <w:r>
        <w:rPr>
          <w:lang w:val="lt-LT" w:eastAsia="lt-LT"/>
        </w:rPr>
        <w:t xml:space="preserve">       </w:t>
      </w:r>
      <w:r>
        <w:rPr>
          <w:b/>
          <w:lang w:val="lt-LT" w:eastAsia="lt-LT"/>
        </w:rPr>
        <w:t xml:space="preserve">         5. Jei praėjusio mokestinio laikotarpio apmokestinamosios pajamos neviršijo 300 000 eurų, vienetas mokestiniu laikotarpiu avansinio pelno mokesčio mokėti neprivalo.</w:t>
      </w:r>
    </w:p>
    <w:p w14:paraId="4E3F2104" w14:textId="77777777" w:rsidR="00093845" w:rsidRPr="00892E40" w:rsidRDefault="000D779E" w:rsidP="00CE6C73">
      <w:pPr>
        <w:jc w:val="both"/>
        <w:rPr>
          <w:i/>
          <w:iCs/>
        </w:rPr>
      </w:pPr>
      <w:r w:rsidRPr="00892E40">
        <w:rPr>
          <w:i/>
          <w:iCs/>
          <w:lang w:val="lt-LT"/>
        </w:rPr>
        <w:t xml:space="preserve">(KEISTA: </w:t>
      </w:r>
      <w:r w:rsidRPr="00892E40">
        <w:rPr>
          <w:i/>
          <w:iCs/>
        </w:rPr>
        <w:t>2014 09 23 įstatymu Nr. XII-1131 (nuo 2015 01 01)</w:t>
      </w:r>
    </w:p>
    <w:p w14:paraId="66E270BD" w14:textId="77777777" w:rsidR="00093845" w:rsidRDefault="000D779E">
      <w:pPr>
        <w:pStyle w:val="Pagrindiniotekstotrauka"/>
        <w:tabs>
          <w:tab w:val="left" w:pos="720"/>
          <w:tab w:val="left" w:pos="1077"/>
          <w:tab w:val="left" w:pos="1418"/>
        </w:tabs>
        <w:rPr>
          <w:b/>
          <w:bCs/>
        </w:rPr>
      </w:pPr>
      <w:r>
        <w:rPr>
          <w:b/>
          <w:bCs/>
        </w:rPr>
        <w:t>Komentaras</w:t>
      </w:r>
    </w:p>
    <w:p w14:paraId="180BFE25" w14:textId="77777777" w:rsidR="00093845" w:rsidRDefault="000D779E">
      <w:pPr>
        <w:pStyle w:val="Pagrindinistekstas"/>
        <w:tabs>
          <w:tab w:val="left" w:pos="720"/>
          <w:tab w:val="left" w:pos="1077"/>
          <w:tab w:val="left" w:pos="1418"/>
        </w:tabs>
        <w:ind w:firstLine="720"/>
        <w:rPr>
          <w:color w:val="000000"/>
        </w:rPr>
      </w:pPr>
      <w:r>
        <w:rPr>
          <w:color w:val="000000"/>
        </w:rPr>
        <w:t xml:space="preserve">Vienetai, kurių praėjusių mokestinių metų apmokestinamosios pajamos neviršijo 300 tūkst. eurų (nesvarbu, nuo kurio mėnesio vienetas pradėjo veiklą) einamaisiais mokestiniais metais avansinio pelno mokesčio nemoka. </w:t>
      </w:r>
    </w:p>
    <w:p w14:paraId="1F21921B" w14:textId="77777777" w:rsidR="00093845" w:rsidRDefault="000D779E">
      <w:pPr>
        <w:pStyle w:val="Pagrindinistekstas"/>
        <w:tabs>
          <w:tab w:val="left" w:pos="720"/>
          <w:tab w:val="left" w:pos="1077"/>
          <w:tab w:val="left" w:pos="1418"/>
        </w:tabs>
        <w:ind w:firstLine="720"/>
      </w:pPr>
      <w:r>
        <w:t>Apmokestinamųjų pajamų sumą sudaro visų pajamų ir PMĮ 12 straipsnyje nurodytų neapmokestinamųjų pajamų skirtumas.</w:t>
      </w:r>
    </w:p>
    <w:p w14:paraId="65EEE648" w14:textId="77777777" w:rsidR="00093845" w:rsidRDefault="000D779E">
      <w:pPr>
        <w:ind w:firstLine="709"/>
        <w:jc w:val="both"/>
      </w:pPr>
      <w:r>
        <w:t>Pavyzdžiai</w:t>
      </w:r>
    </w:p>
    <w:p w14:paraId="19053525"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1. Per 2015 metų mokestinį laikotarpį vienetas gavo 350000 Eur pajamų, iš jų apmokestinamosios pajamos – 280 000 Eur. Mokestinio laikotarpio leidžiami ir ribojamo dydžio leidžiami atskaitymai – 200 000 Eur, apmokestinamasis pelnas – 80 000 Eur; pelno mokestis 12 000 Eur (80 000 Eur x 15 proc.). </w:t>
      </w:r>
    </w:p>
    <w:p w14:paraId="77D48FE0"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Per 2016 metų mokestinį laikotarpį vieneto apmokestinamosios pajamos – (320 000Eur). Mokestinio laikotarpio leidžiami ir ribojamo dydžio leidžiami atskaitymai sudaro 170 000 Eur, apmokestinamasis pelnas –150000 Eur., pelno mokestis (22500 Eur)  (150000 Eur x 15 proc.). </w:t>
      </w:r>
    </w:p>
    <w:p w14:paraId="30A0707F"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Vienetas 2016 metais avansinio pelno mokesčio nemoka, nes apmokestinamosios pajamos 2015 metais neviršijo 300 000 Eur.</w:t>
      </w:r>
    </w:p>
    <w:p w14:paraId="1608962D"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lastRenderedPageBreak/>
        <w:t xml:space="preserve">Kadangi vieneto apmokestinamosios pajamos 2016 metais viršijo 300 tūkst. eurų, 2017 mokestiniais metais avansinį pelno mokestį jis mokėti privalo.  Vienetas 2017 metais avansinį pelno mokestį apskaičiuoja pagal praėjusių metų veiklos rezultatus. </w:t>
      </w:r>
    </w:p>
    <w:p w14:paraId="6275EE40"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2017 mokestinių metų I – III ketvirčių avansinis pelno mokestis apskaičiuojamas pagal 2015 mokestinių metų faktiškai apskaičiuotas (deklaruotas) pelno mokesčio sumas. I ir , II ketvirčių avansinis pelno mokestis sudaro po 3000 Eur (1/4 x ( 12000 Eur) faktiškai per 2015 m. apskaičiuotos pelno mokesčio sumos). </w:t>
      </w:r>
    </w:p>
    <w:p w14:paraId="6141E60A"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2017 metų III-IV ketvirčių avansinis pelno mokestis apskaičiuojamas pagal 2016 mokestinių metų faktiškai apskaičiuotas (deklaruotas) pelno mokesčio sumas. 2017 mokestinių metų III- IV ketvirčių avansinis pelno mokestis sudaro po 5625 Eur (1/4 x 22 500 Eur faktiškai per 2016 m. apskaičiuotos pelno mokesčio sumos). </w:t>
      </w:r>
    </w:p>
    <w:p w14:paraId="3822F0D7"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2. Lietuvos vienetas per 2016 metų mokestinį laikotarpį uždirbo (260 670 Eur) pajamų per nuolatinę buveinę Danijoje (kurioje nuo šių pajamų mokėjo pelno mokestį pagal šalies įstatymus), Lietuvoje gavo (280 000 Eur) pajamų.</w:t>
      </w:r>
    </w:p>
    <w:p w14:paraId="2F7E2E77" w14:textId="77777777" w:rsidR="00093845" w:rsidRDefault="000D779E">
      <w:pPr>
        <w:pBdr>
          <w:top w:val="single" w:sz="4" w:space="1" w:color="auto"/>
          <w:left w:val="single" w:sz="4" w:space="0" w:color="auto"/>
          <w:bottom w:val="single" w:sz="4" w:space="1" w:color="auto"/>
          <w:right w:val="single" w:sz="4" w:space="2" w:color="auto"/>
        </w:pBdr>
        <w:ind w:firstLine="709"/>
        <w:jc w:val="both"/>
      </w:pPr>
      <w:r>
        <w:t xml:space="preserve">Atsižvelgiant į tai, kad pagal PMĮ 4 str. 1 dalies nuostatas, per Lietuvos vieneto nuolatines buveines, esančias Europos ekonominės erdvės valstybėse, arba valstybėse, su kuriomis sudarytos ir taikomos dvigubo apmokestinimo išvengimo sutartys, vykdomos veiklos pajamos nepriskiriamos Lietuvos vieneto pelno mokesčio bazei, jeigu per šias nuolatines buveines vykdomos veiklos pajamos nustatyta tvarka apmokestinamos pelno ar jam tapačiu mokesčiu tose valstybėse, o Lietuvoje apmokestinamosios pajamos 2016 metais </w:t>
      </w:r>
      <w:r>
        <w:rPr>
          <w:lang w:eastAsia="lt-LT"/>
        </w:rPr>
        <w:t>neviršijo 300 000 eurų,</w:t>
      </w:r>
      <w:r>
        <w:t xml:space="preserve"> vienetas 2017 metais avansinio pelno mokesčio nemoka. </w:t>
      </w:r>
    </w:p>
    <w:p w14:paraId="16C95437" w14:textId="77777777" w:rsidR="00093845" w:rsidRDefault="00892E40">
      <w:pPr>
        <w:pStyle w:val="Antrat1"/>
        <w:jc w:val="both"/>
        <w:rPr>
          <w:b w:val="0"/>
        </w:rPr>
      </w:pPr>
      <w:r>
        <w:rPr>
          <w:b w:val="0"/>
        </w:rPr>
        <w:t xml:space="preserve">            (</w:t>
      </w:r>
      <w:r w:rsidR="00F31096">
        <w:rPr>
          <w:b w:val="0"/>
        </w:rPr>
        <w:t>P</w:t>
      </w:r>
      <w:r w:rsidR="000D779E">
        <w:rPr>
          <w:b w:val="0"/>
        </w:rPr>
        <w:t>akeista pagal VMI prie FM 2016-05-17 raštą Nr. (18.10-31-1E)-RM-14143).</w:t>
      </w:r>
    </w:p>
    <w:p w14:paraId="44B0724F" w14:textId="77777777" w:rsidR="00093845" w:rsidRDefault="000D779E" w:rsidP="00CB66E8">
      <w:pPr>
        <w:pStyle w:val="linos"/>
        <w:tabs>
          <w:tab w:val="left" w:pos="720"/>
          <w:tab w:val="left" w:pos="1077"/>
          <w:tab w:val="left" w:pos="1418"/>
        </w:tabs>
        <w:spacing w:after="0"/>
        <w:ind w:firstLine="720"/>
        <w:rPr>
          <w:rFonts w:ascii="Times New Roman" w:hAnsi="Times New Roman" w:cs="Times New Roman"/>
          <w:b/>
          <w:bCs/>
          <w:lang w:val="lt-LT"/>
        </w:rPr>
      </w:pPr>
      <w:r>
        <w:rPr>
          <w:rStyle w:val="normal-h"/>
          <w:rFonts w:ascii="Times New Roman" w:hAnsi="Times New Roman" w:cs="Times New Roman"/>
          <w:b/>
          <w:color w:val="000000"/>
        </w:rPr>
        <w:t xml:space="preserve">6. </w:t>
      </w:r>
      <w:r>
        <w:rPr>
          <w:rStyle w:val="normal-h"/>
          <w:rFonts w:ascii="Times New Roman" w:hAnsi="Times New Roman" w:cs="Times New Roman"/>
          <w:b/>
        </w:rPr>
        <w:t>Avansinis pelno mokestis turi būti sumokėtas ne vėliau kaip kiekvieno mokestinio laikotarpio ketvirčio paskutinio mėnesio penkioliktą dieną</w:t>
      </w:r>
      <w:r>
        <w:rPr>
          <w:rStyle w:val="normal-h"/>
          <w:rFonts w:ascii="Times New Roman" w:hAnsi="Times New Roman" w:cs="Times New Roman"/>
          <w:b/>
          <w:color w:val="000000"/>
        </w:rPr>
        <w:t>.</w:t>
      </w:r>
    </w:p>
    <w:p w14:paraId="401E209C" w14:textId="77777777" w:rsidR="00093845" w:rsidRPr="00892E40" w:rsidRDefault="000D779E" w:rsidP="00CB66E8">
      <w:pPr>
        <w:tabs>
          <w:tab w:val="left" w:pos="709"/>
        </w:tabs>
        <w:spacing w:after="0"/>
        <w:jc w:val="both"/>
        <w:rPr>
          <w:i/>
        </w:rPr>
      </w:pPr>
      <w:r w:rsidRPr="00892E40">
        <w:rPr>
          <w:i/>
        </w:rPr>
        <w:t>(</w:t>
      </w:r>
      <w:r w:rsidRPr="00892E40">
        <w:rPr>
          <w:i/>
          <w:lang w:val="lt-LT"/>
        </w:rPr>
        <w:t xml:space="preserve">KEISTA: </w:t>
      </w:r>
      <w:r w:rsidRPr="00892E40">
        <w:rPr>
          <w:i/>
          <w:iCs/>
        </w:rPr>
        <w:t>2016 03 22 įstatymu Nr. XII-2262 (nuo 2017 01 01)</w:t>
      </w:r>
      <w:r w:rsidRPr="00892E40">
        <w:rPr>
          <w:i/>
        </w:rPr>
        <w:t>)</w:t>
      </w:r>
    </w:p>
    <w:p w14:paraId="5ED5C754" w14:textId="77777777" w:rsidR="00093845" w:rsidRDefault="000D779E">
      <w:pPr>
        <w:rPr>
          <w:rFonts w:eastAsiaTheme="minorEastAsia"/>
        </w:rPr>
      </w:pPr>
      <w:r>
        <w:rPr>
          <w:rFonts w:eastAsiaTheme="minorEastAsia"/>
        </w:rPr>
        <w:t> </w:t>
      </w:r>
    </w:p>
    <w:p w14:paraId="4A4CC65E" w14:textId="77777777" w:rsidR="00093845" w:rsidRDefault="000D779E">
      <w:pPr>
        <w:tabs>
          <w:tab w:val="left" w:pos="720"/>
          <w:tab w:val="left" w:pos="1077"/>
          <w:tab w:val="left" w:pos="1418"/>
        </w:tabs>
        <w:ind w:firstLine="567"/>
        <w:jc w:val="both"/>
        <w:rPr>
          <w:b/>
          <w:bCs/>
        </w:rPr>
      </w:pPr>
      <w:r>
        <w:rPr>
          <w:b/>
          <w:bCs/>
        </w:rPr>
        <w:t>Komentaras</w:t>
      </w:r>
    </w:p>
    <w:p w14:paraId="7E62F0B7" w14:textId="77777777" w:rsidR="00093845" w:rsidRDefault="000D779E">
      <w:pPr>
        <w:ind w:firstLine="709"/>
        <w:jc w:val="both"/>
      </w:pPr>
      <w:r>
        <w:t xml:space="preserve">1. Vienetai, kuriems mokesčių administratoriaus sprendimu nustatytas kitoks mokestinis laikotarpis (su kalendoriniais metais nesutampantis), už mokestinį laikotarpį, kuris prasidėjo 2016 metais ir baigiasi 2017 metais, avansinį pelno mokestį moka 2016 metais galiojančia tvarka (t.y. ne vėliau kaip paskutinę kiekvieno mokestinių metų ketvirčio dieną, o už paskutinį mokestinio laikotarpio ketvirtį - ne vėliau kaip iki šio ketvirčio paskutinio mėnesio 25 dienos). </w:t>
      </w:r>
    </w:p>
    <w:p w14:paraId="34B9A440" w14:textId="77777777" w:rsidR="00093845" w:rsidRDefault="000D779E">
      <w:pPr>
        <w:tabs>
          <w:tab w:val="left" w:pos="720"/>
          <w:tab w:val="left" w:pos="1077"/>
          <w:tab w:val="left" w:pos="1418"/>
        </w:tabs>
        <w:ind w:firstLine="709"/>
        <w:jc w:val="both"/>
        <w:rPr>
          <w:color w:val="000000"/>
        </w:rPr>
      </w:pPr>
      <w:r>
        <w:rPr>
          <w:color w:val="000000"/>
        </w:rPr>
        <w:t xml:space="preserve">2. </w:t>
      </w:r>
      <w:r>
        <w:t>N</w:t>
      </w:r>
      <w:r>
        <w:rPr>
          <w:bCs/>
        </w:rPr>
        <w:t>uo 2017 metais prasidėjusio ir vėlesniais mokestiniais laikotarpiais, a</w:t>
      </w:r>
      <w:r>
        <w:rPr>
          <w:color w:val="000000"/>
        </w:rPr>
        <w:t xml:space="preserve">vansinis pelno mokestis turi būti sumokėtas ne vėliau kaip kiekvieno mokestinių metų ketvirčio </w:t>
      </w:r>
      <w:r>
        <w:rPr>
          <w:bCs/>
          <w:color w:val="000000"/>
          <w:lang w:eastAsia="lt-LT"/>
        </w:rPr>
        <w:t>paskutinio mėnesio penkioliktą</w:t>
      </w:r>
      <w:r>
        <w:rPr>
          <w:color w:val="000000"/>
          <w:lang w:eastAsia="lt-LT"/>
        </w:rPr>
        <w:t> </w:t>
      </w:r>
      <w:r>
        <w:rPr>
          <w:color w:val="000000"/>
        </w:rPr>
        <w:t xml:space="preserve"> dieną.Vadinasi, </w:t>
      </w:r>
    </w:p>
    <w:p w14:paraId="50DF0A2F" w14:textId="77777777" w:rsidR="00093845" w:rsidRDefault="000D779E">
      <w:pPr>
        <w:tabs>
          <w:tab w:val="left" w:pos="720"/>
          <w:tab w:val="left" w:pos="1077"/>
          <w:tab w:val="left" w:pos="1418"/>
        </w:tabs>
        <w:ind w:firstLine="709"/>
        <w:jc w:val="both"/>
        <w:rPr>
          <w:color w:val="000000"/>
        </w:rPr>
      </w:pPr>
      <w:r>
        <w:rPr>
          <w:color w:val="000000"/>
        </w:rPr>
        <w:t>I ketvirčio avansinis pelno mokestis turi būti sumokėtas iki kovo 15 dienos (jei mokestiniai metai nesutampa su kalendoriniais – iki trečiojo mokestinių metų mėnesio 15 dienos);</w:t>
      </w:r>
    </w:p>
    <w:p w14:paraId="17968C3C" w14:textId="77777777" w:rsidR="00093845" w:rsidRDefault="000D779E">
      <w:pPr>
        <w:tabs>
          <w:tab w:val="left" w:pos="720"/>
          <w:tab w:val="left" w:pos="1077"/>
          <w:tab w:val="left" w:pos="1418"/>
        </w:tabs>
        <w:ind w:firstLine="709"/>
        <w:jc w:val="both"/>
        <w:rPr>
          <w:color w:val="000000"/>
        </w:rPr>
      </w:pPr>
      <w:r>
        <w:rPr>
          <w:color w:val="000000"/>
        </w:rPr>
        <w:t>II ketvirčio – iki birželio 15 dienos (jei mokestiniai metai nesutampa su kalendoriniais – iki šeštojo mokestinių metų mėnesio 15 dienos);</w:t>
      </w:r>
    </w:p>
    <w:p w14:paraId="058EA780" w14:textId="77777777" w:rsidR="00093845" w:rsidRDefault="000D779E">
      <w:pPr>
        <w:tabs>
          <w:tab w:val="left" w:pos="720"/>
          <w:tab w:val="left" w:pos="1077"/>
          <w:tab w:val="left" w:pos="1418"/>
        </w:tabs>
        <w:ind w:firstLine="709"/>
        <w:jc w:val="both"/>
        <w:rPr>
          <w:color w:val="000000"/>
        </w:rPr>
      </w:pPr>
      <w:r>
        <w:rPr>
          <w:color w:val="000000"/>
        </w:rPr>
        <w:t>III ketvirčio – iki rugsėjo 15 dienos (jei mokestiniai metai nesutampa su kalendoriniais – iki devintojo mokestinių metų mėnesio 15 dienos);</w:t>
      </w:r>
    </w:p>
    <w:p w14:paraId="4CBC9AD6" w14:textId="77777777" w:rsidR="00093845" w:rsidRDefault="000D779E">
      <w:pPr>
        <w:tabs>
          <w:tab w:val="left" w:pos="720"/>
          <w:tab w:val="left" w:pos="1077"/>
          <w:tab w:val="left" w:pos="1418"/>
        </w:tabs>
        <w:ind w:firstLine="709"/>
        <w:jc w:val="both"/>
        <w:rPr>
          <w:color w:val="C0C0C0"/>
        </w:rPr>
      </w:pPr>
      <w:r>
        <w:rPr>
          <w:color w:val="000000"/>
        </w:rPr>
        <w:lastRenderedPageBreak/>
        <w:t xml:space="preserve">IV ketvirčio – iki gruodžio 15 dienos (jei mokestiniai metai nesutampa su kalendoriniais – iki paskutiniojo (dvyliktojo) mokestinių metų mėnesio 15 dienos). </w:t>
      </w:r>
    </w:p>
    <w:p w14:paraId="7A8CEC90" w14:textId="77777777" w:rsidR="00093845" w:rsidRDefault="000D779E">
      <w:pPr>
        <w:tabs>
          <w:tab w:val="left" w:pos="720"/>
          <w:tab w:val="left" w:pos="1077"/>
          <w:tab w:val="left" w:pos="1418"/>
        </w:tabs>
        <w:ind w:firstLine="709"/>
        <w:jc w:val="both"/>
      </w:pPr>
      <w:r>
        <w:tab/>
        <w:t>3. Jeigu paskutinė avansinio pelno mokesčio mokėjimo diena mokesčio administratoriui yra ne darbo diena, šis mokestis turi būti sumokėtas kitą darbo dieną po nedarbo dienos (Lietuvos Respublikos mokesčių administravimo įstatymo 162 straipsnio 6 dalis).</w:t>
      </w:r>
    </w:p>
    <w:p w14:paraId="0B5C54F0" w14:textId="77777777" w:rsidR="00093845" w:rsidRDefault="009A54A8">
      <w:pPr>
        <w:pStyle w:val="Antrat1"/>
        <w:jc w:val="both"/>
        <w:rPr>
          <w:b w:val="0"/>
        </w:rPr>
      </w:pPr>
      <w:r>
        <w:rPr>
          <w:b w:val="0"/>
        </w:rPr>
        <w:t xml:space="preserve">            </w:t>
      </w:r>
      <w:r w:rsidR="000D779E">
        <w:rPr>
          <w:b w:val="0"/>
        </w:rPr>
        <w:t>(</w:t>
      </w:r>
      <w:r w:rsidR="00F31096">
        <w:rPr>
          <w:b w:val="0"/>
        </w:rPr>
        <w:t>P</w:t>
      </w:r>
      <w:r w:rsidR="000D779E">
        <w:rPr>
          <w:b w:val="0"/>
        </w:rPr>
        <w:t>akeista pagal VMI prie FM 2016-05-17 raštą Nr. (18.10-31-1E)-RM-14143).</w:t>
      </w:r>
    </w:p>
    <w:p w14:paraId="70334224" w14:textId="77777777" w:rsidR="00093845" w:rsidRDefault="00093845">
      <w:pPr>
        <w:pStyle w:val="Antrat1"/>
        <w:jc w:val="both"/>
        <w:rPr>
          <w:rFonts w:ascii="Times New Roman" w:hAnsi="Times New Roman" w:cs="Times New Roman"/>
          <w:bCs w:val="0"/>
          <w:lang w:val="lt-LT"/>
        </w:rPr>
      </w:pPr>
    </w:p>
    <w:p w14:paraId="797D5FCD" w14:textId="77777777" w:rsidR="00093845" w:rsidRDefault="000D779E">
      <w:pPr>
        <w:pStyle w:val="Antrat1"/>
        <w:jc w:val="both"/>
        <w:rPr>
          <w:bCs w:val="0"/>
          <w:lang w:val="lt-LT"/>
        </w:rPr>
      </w:pPr>
      <w:bookmarkStart w:id="583" w:name="_48_STRAIPSNIS._Pelno_1"/>
      <w:bookmarkEnd w:id="583"/>
      <w:r>
        <w:rPr>
          <w:bCs w:val="0"/>
          <w:lang w:val="lt-LT"/>
        </w:rPr>
        <w:t>48 STRAIPSNIS. Pelno mokesčio apskaičiavimo momentas</w:t>
      </w:r>
    </w:p>
    <w:p w14:paraId="59D13E12" w14:textId="77777777" w:rsidR="00093845" w:rsidRDefault="000D779E">
      <w:pPr>
        <w:tabs>
          <w:tab w:val="left" w:pos="720"/>
          <w:tab w:val="left" w:pos="1077"/>
          <w:tab w:val="left" w:pos="1418"/>
        </w:tabs>
        <w:ind w:firstLine="720"/>
        <w:jc w:val="both"/>
        <w:rPr>
          <w:b/>
          <w:lang w:val="lt-LT"/>
        </w:rPr>
      </w:pPr>
      <w:r>
        <w:rPr>
          <w:b/>
          <w:lang w:val="lt-LT"/>
        </w:rPr>
        <w:t>Pelno mokestis apskaičiuojamas pagal paskutinės mokestinio laikotarpio dienos būklę.</w:t>
      </w:r>
    </w:p>
    <w:p w14:paraId="4B472975" w14:textId="77777777" w:rsidR="00093845" w:rsidRDefault="000D779E">
      <w:pPr>
        <w:pStyle w:val="Pagrindiniotekstotrauka2"/>
        <w:tabs>
          <w:tab w:val="left" w:pos="720"/>
          <w:tab w:val="left" w:pos="1077"/>
          <w:tab w:val="left" w:pos="1418"/>
        </w:tabs>
        <w:spacing w:line="240" w:lineRule="auto"/>
      </w:pPr>
      <w:r>
        <w:t>Komentaras</w:t>
      </w:r>
    </w:p>
    <w:p w14:paraId="040E3D15" w14:textId="77777777" w:rsidR="00093845" w:rsidRDefault="000D779E">
      <w:pPr>
        <w:pStyle w:val="Pagrindinistekstas"/>
        <w:tabs>
          <w:tab w:val="left" w:pos="720"/>
          <w:tab w:val="left" w:pos="1077"/>
          <w:tab w:val="left" w:pos="1418"/>
        </w:tabs>
        <w:ind w:firstLine="720"/>
        <w:rPr>
          <w:rFonts w:ascii="Times New Roman" w:hAnsi="Times New Roman"/>
          <w:lang w:val="lt-LT"/>
        </w:rPr>
      </w:pPr>
      <w:r>
        <w:rPr>
          <w:rFonts w:ascii="Times New Roman" w:hAnsi="Times New Roman"/>
          <w:lang w:val="lt-LT"/>
        </w:rPr>
        <w:t xml:space="preserve">Vienetai, kurių mokestinis laikotarpis sutampa su kalendoriniais metais, pelno mokestį apskaičiuoja pagal gruodžio 31 dienos būklę. Vienetai, kurių mokestinis laikotarpis prasideda ne nuo kalendorinių metų pradžios (jiems yra nustatytas kitas mokestinis laikotarpis) pelno mokestį apskaičiuoja pagal jiems nustatyto mokestinio laikotarpio paskutinės dienos būklę (PMĮ 6 str.). </w:t>
      </w:r>
    </w:p>
    <w:p w14:paraId="3149FE5C"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Jeigu vienetui, kurio mokestinis laikotarpis sutapo su kalendoriniais metais, buvo nustatytas kitas mokestinis laikotarpis, tai pereinamuoju laikotarpiu vienetas pelno mokestį apskaičiuoja atskirai pagal pereinamojo mokestinio laikotarpio paskutinės dienos būklę.</w:t>
      </w:r>
    </w:p>
    <w:p w14:paraId="7EAFDDF1"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Pavyzdys</w:t>
      </w:r>
    </w:p>
    <w:p w14:paraId="3BE2748A" w14:textId="77777777" w:rsidR="00093845" w:rsidRDefault="000D779E">
      <w:pPr>
        <w:pStyle w:val="Porat"/>
        <w:pBdr>
          <w:top w:val="single" w:sz="4" w:space="1" w:color="auto"/>
          <w:left w:val="single" w:sz="4" w:space="4" w:color="auto"/>
          <w:bottom w:val="single" w:sz="4" w:space="1" w:color="auto"/>
          <w:right w:val="single" w:sz="4" w:space="4" w:color="auto"/>
        </w:pBdr>
        <w:tabs>
          <w:tab w:val="left" w:pos="720"/>
          <w:tab w:val="left" w:pos="1077"/>
          <w:tab w:val="left" w:pos="1418"/>
        </w:tabs>
        <w:spacing w:line="240" w:lineRule="auto"/>
        <w:rPr>
          <w:rFonts w:ascii="Times New Roman" w:hAnsi="Times New Roman"/>
          <w:lang w:val="lt-LT"/>
        </w:rPr>
      </w:pPr>
      <w:r>
        <w:rPr>
          <w:rFonts w:ascii="Times New Roman" w:hAnsi="Times New Roman"/>
          <w:lang w:val="lt-LT"/>
        </w:rPr>
        <w:t>Vienetui buvo nustatytas kitas mokestinis laikotarpis (nuo 2002-07-01 iki 2003-06-30 ). Vadinasi, vienetas pereinamojo laikotarpio (nuo 2002-01-01 iki 2002-06-30) pelno mokestį apskaičiuoja pagal paskutinio mokestinio pereinamojo laikotarpio dienos būklę, t.y. pagal 2002-06-30 būklę.</w:t>
      </w:r>
    </w:p>
    <w:p w14:paraId="799DB410"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Jeigu vienetas tais pačiais kalendoriniais metais buvo arba turėjo būti įregistruotas mokesčių mokėtoju, faktiškai pradėjo veiklą ir buvo likviduotas, tai pelno mokestis apskaičiuojamas pagal jo paskutinės mokestinio laikotarpio dienos būklę, buvusią prieš išregistravimo iš Mokesčio mokėtojų registro dieną.</w:t>
      </w:r>
    </w:p>
    <w:p w14:paraId="3211B32A" w14:textId="77777777" w:rsidR="00093845" w:rsidRDefault="000D779E">
      <w:pPr>
        <w:pStyle w:val="Porat"/>
        <w:tabs>
          <w:tab w:val="left" w:pos="720"/>
          <w:tab w:val="left" w:pos="1077"/>
          <w:tab w:val="left" w:pos="1418"/>
        </w:tabs>
        <w:spacing w:line="240" w:lineRule="auto"/>
        <w:rPr>
          <w:rFonts w:ascii="Times New Roman" w:hAnsi="Times New Roman"/>
          <w:lang w:val="lt-LT"/>
        </w:rPr>
      </w:pPr>
      <w:r>
        <w:rPr>
          <w:rFonts w:ascii="Times New Roman" w:hAnsi="Times New Roman"/>
          <w:lang w:val="lt-LT"/>
        </w:rPr>
        <w:t>Pavyzdys</w:t>
      </w:r>
    </w:p>
    <w:p w14:paraId="6C1314B8" w14:textId="77777777" w:rsidR="00093845" w:rsidRDefault="000D779E">
      <w:pPr>
        <w:pStyle w:val="Porat"/>
        <w:pBdr>
          <w:top w:val="single" w:sz="4" w:space="1" w:color="auto"/>
          <w:left w:val="single" w:sz="4" w:space="4" w:color="auto"/>
          <w:bottom w:val="single" w:sz="4" w:space="1" w:color="auto"/>
          <w:right w:val="single" w:sz="4" w:space="4" w:color="auto"/>
        </w:pBdr>
        <w:tabs>
          <w:tab w:val="left" w:pos="720"/>
          <w:tab w:val="left" w:pos="1077"/>
          <w:tab w:val="left" w:pos="1418"/>
        </w:tabs>
        <w:spacing w:line="240" w:lineRule="auto"/>
        <w:rPr>
          <w:rFonts w:ascii="Times New Roman" w:hAnsi="Times New Roman"/>
          <w:lang w:val="lt-LT"/>
        </w:rPr>
      </w:pPr>
      <w:r>
        <w:rPr>
          <w:rFonts w:ascii="Times New Roman" w:hAnsi="Times New Roman"/>
          <w:lang w:val="lt-LT"/>
        </w:rPr>
        <w:t>Vienetas buvo įregistruotas mokesčių mokėtoju kalendorinių metų vasario 1 dieną, o spalio 1 dieną buvo išregistruotas iš Mokesčio mokėtojų registro. Šio vieneto pelno mokestis už šį mokestinį laikotarpį apskaičiuojamas pagal jo paskutinės mokestinio laikotarpio dienos būklę, buvusią prieš išregistravimo Mokesčių mokėtojų registro dieną, t.y. pagal rugsėjo 30 d. būklę.</w:t>
      </w:r>
    </w:p>
    <w:p w14:paraId="330EB51B" w14:textId="77777777" w:rsidR="00093845" w:rsidRDefault="00093845">
      <w:pPr>
        <w:tabs>
          <w:tab w:val="left" w:pos="720"/>
          <w:tab w:val="left" w:pos="1077"/>
          <w:tab w:val="left" w:pos="1418"/>
        </w:tabs>
        <w:ind w:firstLine="720"/>
        <w:jc w:val="both"/>
        <w:rPr>
          <w:lang w:val="lt-LT"/>
        </w:rPr>
      </w:pPr>
    </w:p>
    <w:p w14:paraId="564693C4" w14:textId="77777777" w:rsidR="00093845" w:rsidRDefault="000D779E">
      <w:pPr>
        <w:tabs>
          <w:tab w:val="left" w:pos="720"/>
          <w:tab w:val="left" w:pos="1077"/>
          <w:tab w:val="left" w:pos="1418"/>
        </w:tabs>
        <w:ind w:firstLine="720"/>
        <w:jc w:val="both"/>
        <w:rPr>
          <w:lang w:val="lt-LT"/>
        </w:rPr>
      </w:pPr>
      <w:r>
        <w:rPr>
          <w:lang w:val="lt-LT"/>
        </w:rPr>
        <w:t>Tais atvejais, kai vienetai yra reorganizuojami ir dėl reorganizavimo baigia savo veiklą, tai jie vietos mokesčių administratoriui turi pateikti pelno mokesčio deklaracijas ir finansines atskaitomybes (sudarytas nuo mokestinių metų pradžios iki reorganizavimo datos) bei apskaičiuoti apmokestinamąjį pelną, kad mokesčių administratorius galėtų nustatyti reorganizuojamų vienetų mokestines prievoles, t.y. vienetai, kurie dėl reorganizavimo baigia veiklą, pelno mokesčio deklaracijas turi pateikti kartu su mokestinio laikotarpio iki reorganizavimo datos finansinėmis atskaitomybėmis.</w:t>
      </w:r>
    </w:p>
    <w:p w14:paraId="6C9FA090" w14:textId="77777777" w:rsidR="00093845" w:rsidRDefault="00093845">
      <w:pPr>
        <w:tabs>
          <w:tab w:val="left" w:pos="720"/>
          <w:tab w:val="left" w:pos="1077"/>
          <w:tab w:val="left" w:pos="1418"/>
        </w:tabs>
        <w:ind w:firstLine="720"/>
        <w:jc w:val="both"/>
        <w:rPr>
          <w:lang w:val="lt-LT"/>
        </w:rPr>
      </w:pPr>
    </w:p>
    <w:p w14:paraId="42DFB6C3" w14:textId="77777777" w:rsidR="00093845" w:rsidRDefault="000D779E">
      <w:pPr>
        <w:pStyle w:val="Antrat1"/>
        <w:jc w:val="both"/>
        <w:rPr>
          <w:rFonts w:ascii="Times New Roman" w:hAnsi="Times New Roman" w:cs="Times New Roman"/>
          <w:bCs w:val="0"/>
          <w:lang w:val="lt-LT"/>
        </w:rPr>
      </w:pPr>
      <w:bookmarkStart w:id="584" w:name="_49_straipsnis._Pelno"/>
      <w:bookmarkEnd w:id="584"/>
      <w:r>
        <w:rPr>
          <w:rFonts w:ascii="Times New Roman" w:hAnsi="Times New Roman" w:cs="Times New Roman"/>
          <w:bCs w:val="0"/>
          <w:lang w:val="lt-LT"/>
        </w:rPr>
        <w:t>49 STRAIPSNIS. Pelno mokesčio įskaitymas</w:t>
      </w:r>
    </w:p>
    <w:p w14:paraId="1B7339D3" w14:textId="77777777" w:rsidR="00093845" w:rsidRDefault="000D779E">
      <w:pPr>
        <w:tabs>
          <w:tab w:val="left" w:pos="720"/>
          <w:tab w:val="left" w:pos="1077"/>
          <w:tab w:val="left" w:pos="1418"/>
        </w:tabs>
        <w:jc w:val="both"/>
        <w:rPr>
          <w:b/>
          <w:lang w:val="lt-LT"/>
        </w:rPr>
      </w:pPr>
      <w:r>
        <w:rPr>
          <w:b/>
          <w:lang w:val="lt-LT"/>
        </w:rPr>
        <w:tab/>
        <w:t>Pelno mokestis įskaitomas į valstybės biudžetą.</w:t>
      </w:r>
    </w:p>
    <w:p w14:paraId="2E7E051B" w14:textId="77777777" w:rsidR="00093845" w:rsidRDefault="000D779E">
      <w:pPr>
        <w:tabs>
          <w:tab w:val="left" w:pos="720"/>
          <w:tab w:val="left" w:pos="1077"/>
          <w:tab w:val="left" w:pos="1418"/>
        </w:tabs>
        <w:ind w:firstLine="720"/>
        <w:jc w:val="both"/>
        <w:rPr>
          <w:b/>
          <w:lang w:val="lt-LT"/>
        </w:rPr>
      </w:pPr>
      <w:r>
        <w:rPr>
          <w:b/>
          <w:lang w:val="lt-LT"/>
        </w:rPr>
        <w:lastRenderedPageBreak/>
        <w:t>Komentaras</w:t>
      </w:r>
    </w:p>
    <w:p w14:paraId="3396B227" w14:textId="77777777" w:rsidR="00093845" w:rsidRDefault="000D779E">
      <w:pPr>
        <w:tabs>
          <w:tab w:val="left" w:pos="720"/>
          <w:tab w:val="left" w:pos="1077"/>
          <w:tab w:val="left" w:pos="1418"/>
        </w:tabs>
        <w:ind w:firstLine="720"/>
        <w:jc w:val="both"/>
        <w:rPr>
          <w:lang w:val="lt-LT"/>
        </w:rPr>
      </w:pPr>
      <w:r>
        <w:rPr>
          <w:lang w:val="lt-LT"/>
        </w:rPr>
        <w:t xml:space="preserve">1990 m. liepos 30 d. Lietuvos Respublikos </w:t>
      </w:r>
      <w:r w:rsidR="002869D9" w:rsidRPr="009C0219">
        <w:rPr>
          <w:rStyle w:val="Hipersaitas"/>
          <w:rFonts w:ascii="Times New Roman" w:hAnsi="Times New Roman" w:cs="Times New Roman"/>
          <w:b w:val="0"/>
          <w:bCs w:val="0"/>
          <w:kern w:val="0"/>
          <w:lang w:val="lt-LT"/>
        </w:rPr>
        <w:t>biudžeto sandaros įstatyme</w:t>
      </w:r>
      <w:r>
        <w:rPr>
          <w:lang w:val="lt-LT"/>
        </w:rPr>
        <w:t xml:space="preserve"> Nr. I-430 nustatyta, kad sumokėti mokesčiai priskiriami valstybės biudžeto pajamoms. Pelno mokestis įskaitomas į valstybės biudžetą.</w:t>
      </w:r>
    </w:p>
    <w:p w14:paraId="373D57BD" w14:textId="77777777" w:rsidR="00093845" w:rsidRDefault="000D779E">
      <w:pPr>
        <w:pStyle w:val="Pagrindiniotekstotrauka"/>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Tačiau vadovaujantis PMĮ 58 str. 18 dalies nuostatomis pelno mokestis, kurį 2002 metais moka ar išskaičiuoja prie pajamų šaltinio individualios (personalios) įmonės ir ūkinės bendrijos, yra įskaitomas į savivaldybės, kurios teritorijoje įregistruotos šios individualios (personalios) įmonės ir ūkinės bendrijos, biudžetą. Vadinasi, į savivaldybių biudžetus įskaitomas individualių (personalių) įmonių ir ūkinių bendrijų 2002 m. mokamas avansinis pelno mokestis, iš užsienio vienetams išmokamų pajamų (sumų) išskaičiuotas ir sumokėtas pelno mokestis. </w:t>
      </w:r>
    </w:p>
    <w:p w14:paraId="475BB1C5" w14:textId="77777777" w:rsidR="00093845" w:rsidRDefault="000D779E">
      <w:pPr>
        <w:tabs>
          <w:tab w:val="left" w:pos="720"/>
          <w:tab w:val="left" w:pos="1077"/>
          <w:tab w:val="left" w:pos="1418"/>
        </w:tabs>
        <w:ind w:firstLine="720"/>
        <w:jc w:val="both"/>
        <w:rPr>
          <w:b/>
          <w:lang w:val="lt-LT"/>
        </w:rPr>
      </w:pPr>
      <w:r>
        <w:rPr>
          <w:lang w:val="lt-LT"/>
        </w:rPr>
        <w:t xml:space="preserve">Pelno mokestis sumokamas į apskrities valstybinės mokesčių inspekcijos teritorinių skyrių (toliau – AVMI teritorinių skyrių) biudžeto pajamų surenkamąsias sąskaitas pagal mokėjimo dokumente nurodytą mokesčio pavadinimą ir įmokos kodą vadovaujantis Valstybinės mokesčių inspekcijos prie Lietuvos Respublikos finansų ministerijos viršininko 2000 m. gruodžio 22 d. </w:t>
      </w:r>
      <w:r w:rsidR="007F735C" w:rsidRPr="009C0219">
        <w:rPr>
          <w:rStyle w:val="Hipersaitas"/>
          <w:rFonts w:ascii="Times New Roman" w:hAnsi="Times New Roman" w:cs="Times New Roman"/>
          <w:b w:val="0"/>
          <w:bCs w:val="0"/>
          <w:kern w:val="0"/>
          <w:lang w:val="lt-LT"/>
        </w:rPr>
        <w:t>įsakymu Nr. 247</w:t>
      </w:r>
      <w:r>
        <w:rPr>
          <w:lang w:val="lt-LT"/>
        </w:rPr>
        <w:t xml:space="preserve"> patvirtintu Mokesčių, rinkliavų ir kitų įmokų į Lietuvos Respublikos valstybės biudžetą, savivaldybių biudžetus bei valstybinius pinigų fondus kodų sąrašu. (Neteko galios Valstybinės mokesčių inspekcijos prie Lietuvos Respublikos Finansų ministerijos viršininko 2002 m. birželio 18 d. įsakymu </w:t>
      </w:r>
      <w:r w:rsidR="007F735C" w:rsidRPr="007F735C">
        <w:rPr>
          <w:rStyle w:val="Hipersaitas"/>
          <w:rFonts w:ascii="Times New Roman" w:hAnsi="Times New Roman" w:cs="Times New Roman"/>
          <w:b w:val="0"/>
          <w:bCs w:val="0"/>
          <w:i/>
          <w:iCs/>
          <w:color w:val="000000"/>
          <w:kern w:val="0"/>
          <w:u w:val="single"/>
          <w:lang w:val="lt-LT"/>
        </w:rPr>
        <w:t>Nr. 162</w:t>
      </w:r>
      <w:r>
        <w:rPr>
          <w:noProof/>
          <w:color w:val="0000FF"/>
          <w:lang w:val="lt-LT" w:eastAsia="lt-LT"/>
        </w:rPr>
        <w:drawing>
          <wp:inline distT="0" distB="0" distL="0" distR="0" wp14:anchorId="6AD5D766" wp14:editId="28B5617D">
            <wp:extent cx="111125" cy="111125"/>
            <wp:effectExtent l="0" t="0" r="3175" b="3175"/>
            <wp:docPr id="12" name="Picture 9" descr="LLR120">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LLR1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111125" cy="111125"/>
                    </a:xfrm>
                    <a:prstGeom prst="rect">
                      <a:avLst/>
                    </a:prstGeom>
                    <a:noFill/>
                    <a:ln>
                      <a:noFill/>
                    </a:ln>
                  </pic:spPr>
                </pic:pic>
              </a:graphicData>
            </a:graphic>
          </wp:inline>
        </w:drawing>
      </w:r>
      <w:r>
        <w:rPr>
          <w:lang w:val="lt-LT"/>
        </w:rPr>
        <w:t xml:space="preserve"> (nuo 2002 m. liepos  1 d.). Nuo 2002-07-01 triženkliai mokesčių, rinkliavų ir kitų įmokų, mokamų į AVMI teritorinių skyrių biudžeto pajamų surenkamąsias sąskaitas, kodai pakeisti į keturženklius įmokų kodus finansų ministro 2002 m. birželio 14 d. </w:t>
      </w:r>
      <w:r w:rsidR="007F735C" w:rsidRPr="009C0219">
        <w:rPr>
          <w:rStyle w:val="Hipersaitas"/>
          <w:rFonts w:ascii="Times New Roman" w:hAnsi="Times New Roman" w:cs="Times New Roman"/>
          <w:b w:val="0"/>
          <w:bCs w:val="0"/>
          <w:kern w:val="0"/>
          <w:lang w:val="lt-LT"/>
        </w:rPr>
        <w:t>įsakymu Nr.170</w:t>
      </w:r>
      <w:r w:rsidRPr="002869D9">
        <w:rPr>
          <w:lang w:val="lt-LT"/>
        </w:rPr>
        <w:t xml:space="preserve"> </w:t>
      </w:r>
      <w:r>
        <w:rPr>
          <w:lang w:val="lt-LT"/>
        </w:rPr>
        <w:t xml:space="preserve">,,Mokesčių, rinkliavų ir kitų įmokų į Lietuvos Respublikos valstybės biudžetą, savivaldybių biudžetus bei valstybinius pinigų fondus kodų sąrašas“. Lietuvos vienetai ir užsienio vienetai pelno mokestį moka pagal minėtame sąraše pateiktus įmokų pavadinimus ir jų kodus. Už įmokos kodo teisingumą atsako mokėjimo dokumentą pildantis asmuo. Jeigu mokėjimo dokumente įmokos kodas neatitinka įmokos pavadinimo, pirmenybė teikiama įmokos kodui. </w:t>
      </w:r>
    </w:p>
    <w:p w14:paraId="23BFB0AE" w14:textId="77777777" w:rsidR="00093845" w:rsidRDefault="00093845">
      <w:pPr>
        <w:pStyle w:val="Antrat1"/>
        <w:jc w:val="both"/>
        <w:rPr>
          <w:rFonts w:ascii="Times New Roman" w:hAnsi="Times New Roman" w:cs="Times New Roman"/>
          <w:bCs w:val="0"/>
          <w:lang w:val="lt-LT"/>
        </w:rPr>
      </w:pPr>
      <w:bookmarkStart w:id="585" w:name="_50_straipsnis._Pelno"/>
      <w:bookmarkEnd w:id="585"/>
    </w:p>
    <w:p w14:paraId="0BE9BC16" w14:textId="77777777" w:rsidR="00093845" w:rsidRDefault="000D779E">
      <w:pPr>
        <w:pStyle w:val="Antrat1"/>
        <w:jc w:val="both"/>
        <w:rPr>
          <w:rFonts w:ascii="Times New Roman" w:hAnsi="Times New Roman" w:cs="Times New Roman"/>
          <w:bCs w:val="0"/>
          <w:lang w:val="lt-LT"/>
        </w:rPr>
      </w:pPr>
      <w:r>
        <w:rPr>
          <w:rFonts w:ascii="Times New Roman" w:hAnsi="Times New Roman" w:cs="Times New Roman"/>
          <w:bCs w:val="0"/>
          <w:lang w:val="lt-LT"/>
        </w:rPr>
        <w:t>50 STRAIPSNIS. Pelno mokesčio deklaracijos ir ataskaitos.</w:t>
      </w:r>
    </w:p>
    <w:p w14:paraId="20E1464D" w14:textId="77777777" w:rsidR="00093845" w:rsidRDefault="000D779E" w:rsidP="00EC4E29">
      <w:pPr>
        <w:numPr>
          <w:ilvl w:val="0"/>
          <w:numId w:val="45"/>
        </w:numPr>
        <w:tabs>
          <w:tab w:val="left" w:pos="720"/>
          <w:tab w:val="left" w:pos="1418"/>
        </w:tabs>
        <w:jc w:val="both"/>
        <w:rPr>
          <w:b/>
          <w:lang w:val="lt-LT"/>
        </w:rPr>
      </w:pPr>
      <w:r>
        <w:rPr>
          <w:b/>
          <w:lang w:val="lt-LT"/>
        </w:rPr>
        <w:t>Pelno mokesčio deklaracijų rūšys yra šios:</w:t>
      </w:r>
    </w:p>
    <w:p w14:paraId="7D52B530" w14:textId="77777777" w:rsidR="00093845" w:rsidRDefault="000D779E">
      <w:pPr>
        <w:tabs>
          <w:tab w:val="left" w:pos="720"/>
          <w:tab w:val="left" w:pos="1077"/>
          <w:tab w:val="left" w:pos="1418"/>
        </w:tabs>
        <w:jc w:val="both"/>
        <w:rPr>
          <w:b/>
          <w:lang w:val="lt-LT"/>
        </w:rPr>
      </w:pPr>
      <w:r>
        <w:rPr>
          <w:b/>
          <w:lang w:val="lt-LT"/>
        </w:rPr>
        <w:tab/>
        <w:t>1) metinė pelno mokesčio deklaracija</w:t>
      </w:r>
    </w:p>
    <w:p w14:paraId="68FDDBA2" w14:textId="77777777" w:rsidR="00093845" w:rsidRDefault="000D779E">
      <w:pPr>
        <w:tabs>
          <w:tab w:val="left" w:pos="720"/>
          <w:tab w:val="left" w:pos="1077"/>
          <w:tab w:val="left" w:pos="1418"/>
        </w:tabs>
        <w:ind w:right="22" w:firstLine="720"/>
        <w:jc w:val="both"/>
        <w:rPr>
          <w:b/>
          <w:lang w:val="lt-LT"/>
        </w:rPr>
      </w:pPr>
      <w:r>
        <w:rPr>
          <w:b/>
          <w:lang w:val="lt-LT"/>
        </w:rPr>
        <w:t>Komentaras</w:t>
      </w:r>
    </w:p>
    <w:p w14:paraId="6DDFD6F3" w14:textId="77777777" w:rsidR="008436F7" w:rsidRPr="00DC37A4" w:rsidRDefault="008436F7" w:rsidP="008436F7">
      <w:pPr>
        <w:tabs>
          <w:tab w:val="left" w:pos="720"/>
          <w:tab w:val="left" w:pos="1077"/>
          <w:tab w:val="left" w:pos="1418"/>
        </w:tabs>
        <w:ind w:right="22" w:firstLine="720"/>
        <w:jc w:val="both"/>
        <w:rPr>
          <w:strike/>
          <w:lang w:val="lt-LT"/>
        </w:rPr>
      </w:pPr>
      <w:r w:rsidRPr="00DC37A4">
        <w:rPr>
          <w:lang w:val="lt-LT"/>
        </w:rPr>
        <w:t>Metiniam pelno mokesčiui deklaruoti naudojamos metinių pelno mokesčio deklaracijų PLN204, PLN204A, PLN204N, PLN204U formos bei jų priedai, patvirtinti Valstybinės mokesčių inspekcijos prie Lietuvos Respublikos finansų ministerijos viršininko 2007 m. sausio 15 d. įsakymu Nr. VA-2 „D</w:t>
      </w:r>
      <w:r w:rsidRPr="00DC37A4">
        <w:rPr>
          <w:bCs/>
          <w:color w:val="000000"/>
          <w:shd w:val="clear" w:color="auto" w:fill="FFFFFF"/>
          <w:lang w:val="lt-LT"/>
        </w:rPr>
        <w:t>ėl Metinių pelno mokesčio deklaracijų PLN204, PLN204A, PLN204N, PLN204U formų bei jų užpildymo taisyklių patvirtinimo”</w:t>
      </w:r>
      <w:r w:rsidRPr="00DC37A4">
        <w:rPr>
          <w:lang w:val="lt-LT"/>
        </w:rPr>
        <w:t>. Šiuo įsakymu taip pat patvirtintos minėtų pelno mokesčio deklaracijų formų bei jų priedų užpildymo taisyklės.</w:t>
      </w:r>
      <w:r w:rsidRPr="00DC37A4">
        <w:rPr>
          <w:strike/>
          <w:lang w:val="lt-LT"/>
        </w:rPr>
        <w:t xml:space="preserve"> </w:t>
      </w:r>
    </w:p>
    <w:p w14:paraId="3F462735" w14:textId="77777777" w:rsidR="008436F7" w:rsidRPr="00DC37A4" w:rsidRDefault="008436F7" w:rsidP="008436F7">
      <w:pPr>
        <w:pStyle w:val="Pagrindiniotekstotrauka"/>
        <w:tabs>
          <w:tab w:val="left" w:pos="8280"/>
        </w:tabs>
        <w:spacing w:after="0"/>
        <w:ind w:right="22"/>
        <w:rPr>
          <w:rFonts w:ascii="Times New Roman" w:hAnsi="Times New Roman" w:cs="Times New Roman"/>
          <w:iCs/>
          <w:lang w:val="lt-LT"/>
        </w:rPr>
      </w:pPr>
      <w:r w:rsidRPr="00DC37A4">
        <w:rPr>
          <w:rFonts w:ascii="Times New Roman" w:hAnsi="Times New Roman" w:cs="Times New Roman"/>
          <w:iCs/>
          <w:lang w:val="lt-LT"/>
        </w:rPr>
        <w:t>Priedai, kurių mokesčių mokėtojai pildyti neprivalo, prie metines pelno mokesčio deklaracijos nepridedami ir mokesčių administratoriui neteikiami.</w:t>
      </w:r>
    </w:p>
    <w:p w14:paraId="015AEAB5" w14:textId="77777777" w:rsidR="008436F7" w:rsidRPr="00DC37A4" w:rsidRDefault="008436F7" w:rsidP="008436F7">
      <w:pPr>
        <w:pStyle w:val="Pagrindiniotekstotrauka"/>
        <w:tabs>
          <w:tab w:val="left" w:pos="8280"/>
        </w:tabs>
        <w:spacing w:after="0"/>
        <w:ind w:right="22"/>
        <w:rPr>
          <w:rFonts w:ascii="Times New Roman" w:hAnsi="Times New Roman" w:cs="Times New Roman"/>
          <w:iCs/>
          <w:lang w:val="lt-LT"/>
        </w:rPr>
      </w:pPr>
      <w:r w:rsidRPr="00DC37A4">
        <w:rPr>
          <w:rFonts w:ascii="Times New Roman" w:hAnsi="Times New Roman" w:cs="Times New Roman"/>
          <w:iCs/>
          <w:lang w:val="lt-LT"/>
        </w:rPr>
        <w:t xml:space="preserve">Vienetas metinę pelno mokesčio deklaraciją </w:t>
      </w:r>
      <w:r>
        <w:rPr>
          <w:rFonts w:ascii="Times New Roman" w:hAnsi="Times New Roman" w:cs="Times New Roman"/>
          <w:iCs/>
          <w:lang w:val="lt-LT"/>
        </w:rPr>
        <w:t xml:space="preserve">pateikia </w:t>
      </w:r>
      <w:r w:rsidRPr="00DC37A4">
        <w:rPr>
          <w:rFonts w:ascii="Times New Roman" w:hAnsi="Times New Roman" w:cs="Times New Roman"/>
          <w:iCs/>
          <w:lang w:val="lt-LT"/>
        </w:rPr>
        <w:t>PMĮ 51 straipsnio 1-2 dalyse nustatytais terminais ir tvarka.</w:t>
      </w:r>
    </w:p>
    <w:p w14:paraId="17EADC0D" w14:textId="77777777" w:rsidR="00093845" w:rsidRDefault="00093845">
      <w:pPr>
        <w:jc w:val="both"/>
        <w:rPr>
          <w:color w:val="000000"/>
          <w:lang w:val="lt-LT"/>
        </w:rPr>
      </w:pPr>
    </w:p>
    <w:p w14:paraId="28089E57" w14:textId="77777777" w:rsidR="00093845" w:rsidRDefault="000D779E">
      <w:pPr>
        <w:tabs>
          <w:tab w:val="left" w:pos="720"/>
          <w:tab w:val="left" w:pos="1077"/>
          <w:tab w:val="left" w:pos="1418"/>
        </w:tabs>
        <w:ind w:left="720"/>
        <w:jc w:val="both"/>
        <w:rPr>
          <w:b/>
          <w:lang w:val="lt-LT"/>
        </w:rPr>
      </w:pPr>
      <w:r>
        <w:rPr>
          <w:b/>
          <w:lang w:val="lt-LT"/>
        </w:rPr>
        <w:t>2) avansinio pelno mokesčio deklaracija</w:t>
      </w:r>
      <w:r>
        <w:rPr>
          <w:bCs/>
          <w:lang w:val="lt-LT"/>
        </w:rPr>
        <w:t>;</w:t>
      </w:r>
    </w:p>
    <w:p w14:paraId="6DAF36BF" w14:textId="77777777" w:rsidR="00093845" w:rsidRDefault="000D779E">
      <w:pPr>
        <w:ind w:firstLine="720"/>
        <w:jc w:val="both"/>
        <w:rPr>
          <w:b/>
          <w:bCs/>
          <w:lang w:val="lt-LT"/>
        </w:rPr>
      </w:pPr>
      <w:r>
        <w:rPr>
          <w:b/>
          <w:bCs/>
          <w:lang w:val="lt-LT"/>
        </w:rPr>
        <w:t>Komentaras</w:t>
      </w:r>
    </w:p>
    <w:p w14:paraId="75D43C5A"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lastRenderedPageBreak/>
        <w:t>1.</w:t>
      </w:r>
      <w:r w:rsidRPr="009878A2">
        <w:rPr>
          <w:lang w:val="lt-LT"/>
        </w:rPr>
        <w:tab/>
        <w:t xml:space="preserve">PMĮ 47 straipsnyje nustatyta tvarka apskaičiuotas avansinis pelno mokestis deklaruojamas Avansinio pelno mokesčio deklaracijos FR0430 formoje, patvirtintoje Valstybinės mokesčių inspekcijos prie Lietuvos Respublikos finansų ministerijos viršininko 2002 m. spalio 8 d. </w:t>
      </w:r>
      <w:r w:rsidRPr="009878A2">
        <w:rPr>
          <w:rStyle w:val="Hipersaitas"/>
          <w:lang w:val="lt-LT"/>
        </w:rPr>
        <w:t>įsakymu Nr. 289</w:t>
      </w:r>
      <w:r w:rsidRPr="009878A2">
        <w:rPr>
          <w:b/>
          <w:lang w:val="lt-LT"/>
        </w:rPr>
        <w:t xml:space="preserve"> </w:t>
      </w:r>
      <w:r w:rsidRPr="009878A2">
        <w:rPr>
          <w:lang w:val="lt-LT"/>
        </w:rPr>
        <w:t>„Dėl Avansinio pelno mokesčio deklaracijos FR0430 formos ir jos užpildymo taisyklių patvirtinimo”.</w:t>
      </w:r>
    </w:p>
    <w:p w14:paraId="6A1C2DC5"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t xml:space="preserve">Avansinio pelno mokesčio deklaracija pateikiama PMĮ 51 straipsnio 1 ir 3 dalyje nustatyta tvarka ir terminais. </w:t>
      </w:r>
    </w:p>
    <w:p w14:paraId="5614E01E" w14:textId="77777777" w:rsidR="00093845" w:rsidRDefault="00093845">
      <w:pPr>
        <w:tabs>
          <w:tab w:val="left" w:pos="720"/>
          <w:tab w:val="left" w:pos="1077"/>
          <w:tab w:val="left" w:pos="1418"/>
        </w:tabs>
        <w:ind w:firstLine="720"/>
        <w:jc w:val="both"/>
        <w:rPr>
          <w:bCs/>
          <w:lang w:val="lt-LT"/>
        </w:rPr>
      </w:pPr>
    </w:p>
    <w:p w14:paraId="79E6BAE8" w14:textId="77777777" w:rsidR="00093845" w:rsidRDefault="000D779E" w:rsidP="00EC4E29">
      <w:pPr>
        <w:pStyle w:val="Pagrindiniotekstotrauka2"/>
        <w:numPr>
          <w:ilvl w:val="0"/>
          <w:numId w:val="35"/>
        </w:numPr>
        <w:tabs>
          <w:tab w:val="left" w:pos="720"/>
          <w:tab w:val="left" w:pos="1080"/>
          <w:tab w:val="left" w:pos="1418"/>
        </w:tabs>
        <w:spacing w:line="240" w:lineRule="auto"/>
      </w:pPr>
      <w:r>
        <w:t>deklaracija apie užsienio vienetui išmokėtas pajamas (sumas) ir apskaičiuotą bei į biudžetą sumokėtą pelno mokestį.</w:t>
      </w:r>
    </w:p>
    <w:p w14:paraId="239D5895" w14:textId="77777777" w:rsidR="00E377E5" w:rsidRDefault="00E377E5" w:rsidP="00E377E5">
      <w:pPr>
        <w:pStyle w:val="Pagrindiniotekstotrauka2"/>
        <w:tabs>
          <w:tab w:val="left" w:pos="501"/>
          <w:tab w:val="left" w:pos="720"/>
          <w:tab w:val="left" w:pos="1080"/>
          <w:tab w:val="left" w:pos="1418"/>
        </w:tabs>
        <w:spacing w:line="240" w:lineRule="auto"/>
        <w:ind w:left="501" w:firstLine="0"/>
      </w:pPr>
      <w:r>
        <w:t>Komentaras</w:t>
      </w:r>
    </w:p>
    <w:p w14:paraId="665C212C" w14:textId="77777777" w:rsidR="00435982" w:rsidRPr="009878A2" w:rsidRDefault="00435982" w:rsidP="00435982">
      <w:pPr>
        <w:tabs>
          <w:tab w:val="left" w:pos="720"/>
          <w:tab w:val="left" w:pos="1077"/>
          <w:tab w:val="left" w:pos="1418"/>
        </w:tabs>
        <w:spacing w:after="0"/>
        <w:ind w:right="22" w:firstLine="720"/>
        <w:jc w:val="both"/>
        <w:rPr>
          <w:lang w:val="lt-LT"/>
        </w:rPr>
      </w:pPr>
      <w:r w:rsidRPr="002606BB">
        <w:rPr>
          <w:lang w:val="lt-LT"/>
        </w:rPr>
        <w:t xml:space="preserve">Užsienio apmokestinamiesiems vienetams išmokėtos pajamos (sumos) ir nuo jų apskaičiuotas pelno mokestis deklaruojamas </w:t>
      </w:r>
      <w:r w:rsidRPr="009878A2">
        <w:rPr>
          <w:lang w:val="lt-LT"/>
        </w:rPr>
        <w:t>Užsienio apmokestinamiesiems vienetams išmokėtų pajamų (sumų) ir nuo jų apskaičiuoto pelno mokesčio deklaracijos FR0313 formoje, patvirtintoje</w:t>
      </w:r>
      <w:r w:rsidRPr="002606BB">
        <w:rPr>
          <w:b/>
          <w:lang w:val="lt-LT"/>
        </w:rPr>
        <w:t xml:space="preserve"> </w:t>
      </w:r>
      <w:r w:rsidRPr="002606BB">
        <w:rPr>
          <w:lang w:val="lt-LT"/>
        </w:rPr>
        <w:t xml:space="preserve">Valstybinės mokesčių inspekcijos prie Lietuvos Respublikos finansų ministerijos viršininko 2002 m. vasario 8 d. įsakymu Nr. 40 </w:t>
      </w:r>
      <w:r w:rsidRPr="009878A2">
        <w:rPr>
          <w:lang w:val="lt-LT"/>
        </w:rPr>
        <w:t>„D</w:t>
      </w:r>
      <w:r w:rsidRPr="009878A2">
        <w:rPr>
          <w:bCs/>
          <w:color w:val="000000"/>
          <w:shd w:val="clear" w:color="auto" w:fill="FFFFFF"/>
          <w:lang w:val="lt-LT"/>
        </w:rPr>
        <w:t>ėl Užsienio apmokestinamiesiems vienetams išmokėtų pajamų (sumų) ir nuo jų apskaičiuoto pelno mokesčio deklaracijos FR0313 formos bei šios formos už</w:t>
      </w:r>
      <w:r>
        <w:rPr>
          <w:bCs/>
          <w:color w:val="000000"/>
          <w:shd w:val="clear" w:color="auto" w:fill="FFFFFF"/>
          <w:lang w:val="lt-LT"/>
        </w:rPr>
        <w:t>pildymo taisyklių patvirtinimo“.</w:t>
      </w:r>
      <w:r w:rsidRPr="009878A2">
        <w:rPr>
          <w:lang w:val="lt-LT"/>
        </w:rPr>
        <w:t xml:space="preserve"> </w:t>
      </w:r>
    </w:p>
    <w:p w14:paraId="7771750A" w14:textId="77777777" w:rsidR="00435982" w:rsidRPr="009878A2" w:rsidRDefault="00435982" w:rsidP="00435982">
      <w:pPr>
        <w:tabs>
          <w:tab w:val="left" w:pos="720"/>
          <w:tab w:val="left" w:pos="1077"/>
          <w:tab w:val="left" w:pos="1418"/>
        </w:tabs>
        <w:spacing w:after="0"/>
        <w:ind w:firstLine="720"/>
        <w:jc w:val="both"/>
        <w:rPr>
          <w:lang w:val="lt-LT"/>
        </w:rPr>
      </w:pPr>
      <w:r w:rsidRPr="009878A2">
        <w:rPr>
          <w:lang w:val="lt-LT"/>
        </w:rPr>
        <w:t>Ši deklaracijos forma pateikiama PMĮ 52 straipsnyje nustatyta tvarka ir terminais</w:t>
      </w:r>
      <w:r>
        <w:rPr>
          <w:lang w:val="lt-LT"/>
        </w:rPr>
        <w:t>.</w:t>
      </w:r>
    </w:p>
    <w:p w14:paraId="56A3FB97" w14:textId="77777777" w:rsidR="00435982" w:rsidRDefault="00435982" w:rsidP="00E377E5">
      <w:pPr>
        <w:pStyle w:val="Pagrindiniotekstotrauka2"/>
        <w:tabs>
          <w:tab w:val="left" w:pos="501"/>
          <w:tab w:val="left" w:pos="720"/>
          <w:tab w:val="left" w:pos="1080"/>
          <w:tab w:val="left" w:pos="1418"/>
        </w:tabs>
        <w:spacing w:line="240" w:lineRule="auto"/>
        <w:ind w:left="501" w:firstLine="0"/>
      </w:pPr>
    </w:p>
    <w:p w14:paraId="6BF7AC8A" w14:textId="77777777" w:rsidR="009B0B07" w:rsidRDefault="00AE7587" w:rsidP="00EC4E29">
      <w:pPr>
        <w:pStyle w:val="Pagrindiniotekstotrauka2"/>
        <w:numPr>
          <w:ilvl w:val="0"/>
          <w:numId w:val="35"/>
        </w:numPr>
        <w:tabs>
          <w:tab w:val="left" w:pos="720"/>
          <w:tab w:val="left" w:pos="1080"/>
          <w:tab w:val="left" w:pos="1418"/>
        </w:tabs>
        <w:spacing w:line="240" w:lineRule="auto"/>
      </w:pPr>
      <w:r>
        <w:t>u</w:t>
      </w:r>
      <w:r w:rsidR="009B0B07">
        <w:t>žsienio vieneto, vykdančio veiklą Lietuvos Respublikoje (nuolatinės buveinės) deklaracija;</w:t>
      </w:r>
    </w:p>
    <w:p w14:paraId="17A31E6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67D2EB7A" w14:textId="77777777" w:rsidR="00435982" w:rsidRPr="009D7639" w:rsidRDefault="00435982" w:rsidP="00435982">
      <w:pPr>
        <w:tabs>
          <w:tab w:val="left" w:pos="720"/>
          <w:tab w:val="left" w:pos="1077"/>
          <w:tab w:val="left" w:pos="1418"/>
        </w:tabs>
        <w:spacing w:after="0"/>
        <w:ind w:right="23" w:firstLine="720"/>
        <w:jc w:val="both"/>
        <w:rPr>
          <w:strike/>
          <w:lang w:val="lt-LT"/>
        </w:rPr>
      </w:pPr>
      <w:r>
        <w:rPr>
          <w:lang w:val="lt-LT"/>
        </w:rPr>
        <w:t xml:space="preserve">Užsienio vienetai, vykdantys veiklą per nuolatinę buveinę Lietuvoje, pajamas deklaruoja </w:t>
      </w:r>
      <w:r w:rsidRPr="00064B25">
        <w:rPr>
          <w:lang w:val="lt-LT"/>
        </w:rPr>
        <w:t>m</w:t>
      </w:r>
      <w:r w:rsidRPr="00064B25">
        <w:rPr>
          <w:bCs/>
          <w:lang w:val="lt-LT"/>
        </w:rPr>
        <w:t xml:space="preserve">etinės pelno mokesčio deklaracijos PLN204U formoje, patvirtintoje </w:t>
      </w:r>
      <w:r w:rsidRPr="00064B25">
        <w:rPr>
          <w:lang w:val="lt-LT"/>
        </w:rPr>
        <w:t>Valstybinės mokesčių inspekcijos prie Lietuvos Respublikos finansų ministerijos viršininko</w:t>
      </w:r>
      <w:r w:rsidRPr="002606BB">
        <w:rPr>
          <w:lang w:val="lt-LT"/>
        </w:rPr>
        <w:t xml:space="preserve"> </w:t>
      </w:r>
      <w:r>
        <w:rPr>
          <w:bCs/>
          <w:lang w:val="lt-LT"/>
        </w:rPr>
        <w:t xml:space="preserve">2007 m. sausio 15 d. įsakymu Nr. VA-2 </w:t>
      </w:r>
      <w:r w:rsidRPr="00064B25">
        <w:rPr>
          <w:lang w:val="lt-LT"/>
        </w:rPr>
        <w:t>„D</w:t>
      </w:r>
      <w:r w:rsidRPr="00064B25">
        <w:rPr>
          <w:bCs/>
          <w:color w:val="000000"/>
          <w:shd w:val="clear" w:color="auto" w:fill="FFFFFF"/>
          <w:lang w:val="lt-LT"/>
        </w:rPr>
        <w:t>ėl Metinių pelno mokesčio deklaracijų PLN204, PLN204A, PLN204N, PLN204U formų bei jų užpildymo taisyklių patvirtinimo”</w:t>
      </w:r>
      <w:r>
        <w:rPr>
          <w:lang w:val="lt-LT"/>
        </w:rPr>
        <w:t>.</w:t>
      </w:r>
    </w:p>
    <w:p w14:paraId="21A083C9" w14:textId="77777777" w:rsidR="00435982" w:rsidRDefault="00435982" w:rsidP="00435982">
      <w:pPr>
        <w:tabs>
          <w:tab w:val="left" w:pos="720"/>
          <w:tab w:val="left" w:pos="1077"/>
          <w:tab w:val="left" w:pos="1418"/>
        </w:tabs>
        <w:spacing w:after="0"/>
        <w:ind w:right="23" w:firstLine="720"/>
        <w:jc w:val="both"/>
        <w:rPr>
          <w:bCs/>
          <w:lang w:val="lt-LT"/>
        </w:rPr>
      </w:pPr>
      <w:r>
        <w:rPr>
          <w:lang w:val="lt-LT"/>
        </w:rPr>
        <w:t xml:space="preserve">Užsienio bankų filialai (skyriai), registruoti Lietuvos Respublikoje, metiniam pelno mokesčiui deklaruoti turi naudoti minėtu </w:t>
      </w:r>
      <w:r>
        <w:rPr>
          <w:bCs/>
          <w:lang w:val="lt-LT"/>
        </w:rPr>
        <w:t>VMI prie FM viršininko įsakymu Nr. VA-2 patvirtintą Metinės pelno mokesčio deklaracijos PLN204 formą ir jos priedus.</w:t>
      </w:r>
    </w:p>
    <w:p w14:paraId="25EC6F0B" w14:textId="77777777" w:rsidR="00435982" w:rsidRDefault="00435982" w:rsidP="00435982">
      <w:pPr>
        <w:pStyle w:val="Pagrindiniotekstotrauka"/>
        <w:tabs>
          <w:tab w:val="left" w:pos="8280"/>
        </w:tabs>
        <w:spacing w:after="0"/>
        <w:ind w:right="22"/>
        <w:rPr>
          <w:iCs/>
          <w:lang w:val="lt-LT"/>
        </w:rPr>
      </w:pPr>
      <w:r>
        <w:rPr>
          <w:iCs/>
          <w:lang w:val="lt-LT"/>
        </w:rPr>
        <w:t>Priedai, kurių mokesčių mokėtojai pildyti neprivalo, prie deklaracijos nepridedami ir mokesčių administratoriui neteikiami.</w:t>
      </w:r>
    </w:p>
    <w:p w14:paraId="7A6CB53C" w14:textId="77777777" w:rsidR="00435982" w:rsidRPr="00064B25" w:rsidRDefault="00435982" w:rsidP="00435982">
      <w:pPr>
        <w:pStyle w:val="Pagrindiniotekstotrauka"/>
        <w:tabs>
          <w:tab w:val="left" w:pos="8280"/>
        </w:tabs>
        <w:spacing w:after="0"/>
        <w:ind w:right="22"/>
        <w:rPr>
          <w:rFonts w:ascii="Times New Roman" w:hAnsi="Times New Roman" w:cs="Times New Roman"/>
          <w:iCs/>
          <w:lang w:val="lt-LT"/>
        </w:rPr>
      </w:pPr>
      <w:r w:rsidRPr="00064B25">
        <w:rPr>
          <w:bCs/>
          <w:lang w:val="lt-LT"/>
        </w:rPr>
        <w:t>Metinė pelno mokesčio deklaracijos PLN204U forma</w:t>
      </w:r>
      <w:r w:rsidRPr="00064B25">
        <w:rPr>
          <w:rFonts w:ascii="Times New Roman" w:hAnsi="Times New Roman" w:cs="Times New Roman"/>
          <w:iCs/>
          <w:lang w:val="lt-LT"/>
        </w:rPr>
        <w:t xml:space="preserve"> </w:t>
      </w:r>
      <w:r w:rsidRPr="00064B25">
        <w:rPr>
          <w:rFonts w:ascii="Times New Roman" w:hAnsi="Times New Roman" w:cs="Times New Roman"/>
          <w:lang w:val="lt-LT"/>
        </w:rPr>
        <w:t xml:space="preserve">pateikiama </w:t>
      </w:r>
      <w:r w:rsidRPr="00064B25">
        <w:rPr>
          <w:rFonts w:ascii="Times New Roman" w:hAnsi="Times New Roman" w:cs="Times New Roman"/>
          <w:iCs/>
          <w:lang w:val="lt-LT"/>
        </w:rPr>
        <w:t>PMĮ 51 straipsnio 1 ir 2 dalyse nustatytais terminais ir tvarka.</w:t>
      </w:r>
    </w:p>
    <w:p w14:paraId="3771C080" w14:textId="77777777" w:rsidR="00093845" w:rsidRDefault="00093845">
      <w:pPr>
        <w:tabs>
          <w:tab w:val="left" w:pos="720"/>
          <w:tab w:val="left" w:pos="1077"/>
          <w:tab w:val="left" w:pos="1418"/>
        </w:tabs>
        <w:ind w:firstLine="720"/>
        <w:jc w:val="both"/>
        <w:rPr>
          <w:lang w:val="lt-LT"/>
        </w:rPr>
      </w:pPr>
    </w:p>
    <w:p w14:paraId="21F2B22A" w14:textId="77777777" w:rsidR="00093845" w:rsidRDefault="000D779E">
      <w:pPr>
        <w:tabs>
          <w:tab w:val="left" w:pos="720"/>
          <w:tab w:val="left" w:pos="1077"/>
          <w:tab w:val="left" w:pos="1418"/>
        </w:tabs>
        <w:ind w:firstLine="720"/>
        <w:jc w:val="both"/>
        <w:rPr>
          <w:b/>
          <w:lang w:val="lt-LT"/>
        </w:rPr>
      </w:pPr>
      <w:r>
        <w:rPr>
          <w:b/>
          <w:lang w:val="lt-LT"/>
        </w:rPr>
        <w:t>5)</w:t>
      </w:r>
      <w:r>
        <w:rPr>
          <w:b/>
          <w:lang w:val="lt-LT"/>
        </w:rPr>
        <w:tab/>
        <w:t>deklaracija apie nuo gautų ir išmokėtų dividendų apskaičiuotą ir sumokėtą pelno mokestį.</w:t>
      </w:r>
    </w:p>
    <w:p w14:paraId="76A9A98E" w14:textId="77777777" w:rsidR="00093845" w:rsidRDefault="000D779E">
      <w:pPr>
        <w:tabs>
          <w:tab w:val="left" w:pos="720"/>
          <w:tab w:val="left" w:pos="1077"/>
          <w:tab w:val="left" w:pos="1418"/>
        </w:tabs>
        <w:ind w:firstLine="720"/>
        <w:jc w:val="both"/>
        <w:rPr>
          <w:b/>
          <w:lang w:val="lt-LT"/>
        </w:rPr>
      </w:pPr>
      <w:r>
        <w:rPr>
          <w:b/>
          <w:lang w:val="lt-LT"/>
        </w:rPr>
        <w:t>Komentaras</w:t>
      </w:r>
    </w:p>
    <w:p w14:paraId="65DAA48B" w14:textId="77777777" w:rsidR="00435982" w:rsidRPr="00F77DAE" w:rsidRDefault="000D779E" w:rsidP="00435982">
      <w:pPr>
        <w:tabs>
          <w:tab w:val="left" w:pos="720"/>
          <w:tab w:val="left" w:pos="1077"/>
          <w:tab w:val="left" w:pos="1418"/>
        </w:tabs>
        <w:spacing w:after="0"/>
        <w:ind w:firstLine="720"/>
        <w:jc w:val="both"/>
        <w:rPr>
          <w:lang w:val="lt-LT"/>
        </w:rPr>
      </w:pPr>
      <w:r>
        <w:rPr>
          <w:lang w:val="fr-FR"/>
        </w:rPr>
        <w:tab/>
      </w:r>
      <w:r w:rsidR="00435982" w:rsidRPr="00F77DAE">
        <w:rPr>
          <w:color w:val="000000"/>
          <w:shd w:val="clear" w:color="auto" w:fill="FFFFFF"/>
          <w:lang w:val="lt-LT"/>
        </w:rPr>
        <w:t xml:space="preserve">Lietuvos vienetai, kitiems Lietuvos ir / ar užsienio vienetams ir / ar nuolatinei buveinei išmokėję apmokestinamus dividendus ir/ ar juos gavę iš užsienio vienetų, taip pat nuolatinės buveinės, iš užsienio vienetų gavusios apmokestinamus dividendus už joms priskirtas užsienio vienetų akcijas, kapitalo dalis ar kitų teisių turėjimą, mokesčių administratoriui privalo pateikti </w:t>
      </w:r>
      <w:r w:rsidR="00435982" w:rsidRPr="00F77DAE">
        <w:rPr>
          <w:color w:val="000000"/>
          <w:lang w:val="lt-LT"/>
        </w:rPr>
        <w:t xml:space="preserve">Dividendų pelno mokesčio deklaracijos FR0640 formą, patvirtintą </w:t>
      </w:r>
      <w:r w:rsidR="00435982" w:rsidRPr="00F77DAE">
        <w:rPr>
          <w:bCs/>
          <w:color w:val="000000"/>
          <w:lang w:val="lt-LT"/>
        </w:rPr>
        <w:t xml:space="preserve">Valstybinės mokesčių inspekcijos prie Lietuvos Respublikos finansų ministerijos </w:t>
      </w:r>
      <w:r w:rsidR="00435982" w:rsidRPr="00F77DAE">
        <w:rPr>
          <w:color w:val="000000"/>
          <w:lang w:val="lt-LT"/>
        </w:rPr>
        <w:t xml:space="preserve">viršininko 2004 m. gegužės 20 d. </w:t>
      </w:r>
      <w:r w:rsidR="00435982" w:rsidRPr="00F77DAE">
        <w:rPr>
          <w:lang w:val="lt-LT"/>
        </w:rPr>
        <w:t>įsakymu Nr. VA-101</w:t>
      </w:r>
      <w:r w:rsidR="00435982" w:rsidRPr="00F77DAE">
        <w:rPr>
          <w:color w:val="000000"/>
          <w:lang w:val="lt-LT"/>
        </w:rPr>
        <w:t xml:space="preserve"> ,,Dėl dividendų pelno mokesčio deklaracijos FR0640 formos, jos priedų pildymo ir teikimo taisyklių patvirtinimo“. Pagal šiuo įsakymu patvirtintų FR0640 formos</w:t>
      </w:r>
      <w:r w:rsidR="00435982" w:rsidRPr="00F77DAE">
        <w:rPr>
          <w:lang w:val="lt-LT"/>
        </w:rPr>
        <w:t xml:space="preserve"> užpildymo taisyklių 3 punktą, </w:t>
      </w:r>
      <w:r w:rsidR="00435982" w:rsidRPr="00F77DAE">
        <w:rPr>
          <w:bCs/>
          <w:color w:val="000000"/>
          <w:lang w:val="lt-LT"/>
        </w:rPr>
        <w:lastRenderedPageBreak/>
        <w:t>apmokestinami dividendai</w:t>
      </w:r>
      <w:r w:rsidR="00435982" w:rsidRPr="00F77DAE">
        <w:rPr>
          <w:color w:val="000000"/>
          <w:lang w:val="lt-LT"/>
        </w:rPr>
        <w:t xml:space="preserve"> – tai dividendai ir kitos paskirstyto pelno sumos, nuo kurių pagal PMĮ nuostatas privalo būti apskaičiuojamas ir į biudžetą sumokamas pelno mokestis.</w:t>
      </w:r>
    </w:p>
    <w:p w14:paraId="0FE7615C" w14:textId="77777777" w:rsidR="00435982" w:rsidRPr="00F77DAE" w:rsidRDefault="00435982" w:rsidP="00435982">
      <w:pPr>
        <w:pStyle w:val="Pagrindiniotekstotrauka"/>
        <w:tabs>
          <w:tab w:val="left" w:pos="8280"/>
        </w:tabs>
        <w:spacing w:after="0"/>
        <w:ind w:right="22"/>
        <w:rPr>
          <w:rFonts w:ascii="Times New Roman" w:hAnsi="Times New Roman" w:cs="Times New Roman"/>
          <w:iCs/>
          <w:strike/>
          <w:lang w:val="lt-LT"/>
        </w:rPr>
      </w:pPr>
      <w:r w:rsidRPr="00F77DAE">
        <w:rPr>
          <w:rFonts w:ascii="Times New Roman" w:hAnsi="Times New Roman" w:cs="Times New Roman"/>
          <w:color w:val="000000"/>
          <w:lang w:val="lt-LT"/>
        </w:rPr>
        <w:t>Dividendų pelno mokesčio deklaracijos FR0640 forma</w:t>
      </w:r>
      <w:r w:rsidRPr="00F77DAE">
        <w:rPr>
          <w:rFonts w:ascii="Times New Roman" w:hAnsi="Times New Roman" w:cs="Times New Roman"/>
          <w:lang w:val="lt-LT"/>
        </w:rPr>
        <w:t xml:space="preserve"> pateikiama PMĮ 36 straipsnyje nustatyta tvarka ir terminais.  </w:t>
      </w:r>
      <w:r w:rsidRPr="00F77DAE">
        <w:rPr>
          <w:rFonts w:ascii="Times New Roman" w:hAnsi="Times New Roman" w:cs="Times New Roman"/>
          <w:color w:val="000000"/>
          <w:lang w:val="lt-LT"/>
        </w:rPr>
        <w:t xml:space="preserve"> </w:t>
      </w:r>
      <w:r w:rsidRPr="00F77DAE">
        <w:rPr>
          <w:rFonts w:ascii="Times New Roman" w:hAnsi="Times New Roman" w:cs="Times New Roman"/>
          <w:bCs/>
          <w:lang w:val="lt-LT"/>
        </w:rPr>
        <w:t xml:space="preserve"> </w:t>
      </w:r>
    </w:p>
    <w:p w14:paraId="3A8EB960" w14:textId="77777777" w:rsidR="00093845" w:rsidRDefault="00093845">
      <w:pPr>
        <w:jc w:val="both"/>
        <w:rPr>
          <w:b/>
          <w:lang w:val="fr-FR"/>
        </w:rPr>
      </w:pPr>
    </w:p>
    <w:p w14:paraId="106A5F23" w14:textId="77777777" w:rsidR="00093845" w:rsidRDefault="000D779E">
      <w:pPr>
        <w:jc w:val="both"/>
        <w:rPr>
          <w:b/>
          <w:lang w:val="lt-LT"/>
        </w:rPr>
      </w:pPr>
      <w:r>
        <w:rPr>
          <w:b/>
          <w:lang w:val="fr-FR"/>
        </w:rPr>
        <w:t xml:space="preserve">           </w:t>
      </w:r>
      <w:r>
        <w:rPr>
          <w:b/>
          <w:lang w:val="lt-LT"/>
        </w:rPr>
        <w:t>6) metinė fiksuoto pelno mokesčio deklaracija.</w:t>
      </w:r>
    </w:p>
    <w:p w14:paraId="5BD06B39" w14:textId="77777777" w:rsidR="00791BE1" w:rsidRDefault="00791BE1" w:rsidP="00791BE1">
      <w:pPr>
        <w:tabs>
          <w:tab w:val="left" w:pos="8280"/>
        </w:tabs>
        <w:jc w:val="both"/>
        <w:rPr>
          <w:b/>
          <w:lang w:val="lt-LT"/>
        </w:rPr>
      </w:pPr>
      <w:r>
        <w:rPr>
          <w:b/>
          <w:lang w:val="lt-LT"/>
        </w:rPr>
        <w:t xml:space="preserve">           </w:t>
      </w:r>
      <w:r w:rsidRPr="0065344A">
        <w:rPr>
          <w:b/>
          <w:lang w:val="lt-LT"/>
        </w:rPr>
        <w:t>Komentaras</w:t>
      </w:r>
    </w:p>
    <w:p w14:paraId="65AE5BAC" w14:textId="77777777" w:rsidR="00A570F8" w:rsidRPr="00F77DAE" w:rsidRDefault="00A570F8" w:rsidP="00A570F8">
      <w:pPr>
        <w:pStyle w:val="Pagrindiniotekstotrauka"/>
        <w:tabs>
          <w:tab w:val="left" w:pos="8280"/>
        </w:tabs>
        <w:spacing w:after="0"/>
        <w:ind w:right="22"/>
        <w:rPr>
          <w:rFonts w:ascii="Times New Roman" w:hAnsi="Times New Roman" w:cs="Times New Roman"/>
          <w:iCs/>
          <w:lang w:val="lt-LT"/>
        </w:rPr>
      </w:pPr>
      <w:r w:rsidRPr="000A3C1C">
        <w:rPr>
          <w:rFonts w:ascii="Times New Roman" w:hAnsi="Times New Roman" w:cs="Times New Roman"/>
          <w:lang w:val="lt-LT"/>
        </w:rPr>
        <w:t>Laivybos vienetai, pasirinkę mokėti fiksuotą pelno mokestį nuo pajamų iš tarptautinio vežimo jūrų laivais ir su tuo tiesiogiai susijusios veiklos, privalo užpildyti metinę fiksuoto pelno mokesčio deklaracij</w:t>
      </w:r>
      <w:r w:rsidRPr="000A3C1C">
        <w:rPr>
          <w:rFonts w:ascii="Times New Roman" w:hAnsi="Times New Roman" w:cs="Times New Roman"/>
          <w:b/>
          <w:lang w:val="lt-LT"/>
        </w:rPr>
        <w:t>os</w:t>
      </w:r>
      <w:r w:rsidRPr="000A3C1C">
        <w:rPr>
          <w:rFonts w:ascii="Times New Roman" w:hAnsi="Times New Roman" w:cs="Times New Roman"/>
          <w:lang w:val="lt-LT"/>
        </w:rPr>
        <w:t xml:space="preserve"> PLN205 formą, patvirtintą Valstybinės mokesčių inspekcijos prie Lietuvos Respublikos finansų ministerijos viršininko 2007 m. lapkričio 9 d. įsakymu Nr. VA-70</w:t>
      </w:r>
      <w:r w:rsidRPr="000A3C1C">
        <w:rPr>
          <w:rFonts w:ascii="Times New Roman" w:hAnsi="Times New Roman" w:cs="Times New Roman"/>
          <w:b/>
          <w:bCs/>
          <w:color w:val="000000"/>
          <w:sz w:val="22"/>
          <w:szCs w:val="22"/>
          <w:shd w:val="clear" w:color="auto" w:fill="FFFFFF"/>
        </w:rPr>
        <w:t xml:space="preserve"> </w:t>
      </w:r>
      <w:r w:rsidRPr="00F77DAE">
        <w:rPr>
          <w:rFonts w:ascii="Times New Roman" w:hAnsi="Times New Roman" w:cs="Times New Roman"/>
          <w:color w:val="000000"/>
          <w:lang w:val="lt-LT"/>
        </w:rPr>
        <w:t>,,</w:t>
      </w:r>
      <w:r w:rsidRPr="00F77DAE">
        <w:rPr>
          <w:rFonts w:ascii="Times New Roman" w:hAnsi="Times New Roman" w:cs="Times New Roman"/>
          <w:bCs/>
          <w:color w:val="000000"/>
          <w:sz w:val="22"/>
          <w:szCs w:val="22"/>
          <w:shd w:val="clear" w:color="auto" w:fill="FFFFFF"/>
          <w:lang w:val="lt-LT"/>
        </w:rPr>
        <w:t>D</w:t>
      </w:r>
      <w:r w:rsidRPr="00F77DAE">
        <w:rPr>
          <w:rFonts w:ascii="Times New Roman" w:hAnsi="Times New Roman" w:cs="Times New Roman"/>
          <w:bCs/>
          <w:color w:val="000000"/>
          <w:shd w:val="clear" w:color="auto" w:fill="FFFFFF"/>
          <w:lang w:val="lt-LT"/>
        </w:rPr>
        <w:t>ėl Metinės fiksuoto pelno mokesčio deklaracijos PLN205 formos ir jos užpildymo taisyklių patvirtinimo“</w:t>
      </w:r>
      <w:r w:rsidRPr="000A3C1C">
        <w:rPr>
          <w:rFonts w:ascii="Times New Roman" w:hAnsi="Times New Roman" w:cs="Times New Roman"/>
          <w:lang w:val="lt-LT"/>
        </w:rPr>
        <w:t xml:space="preserve"> ir ją pateikti </w:t>
      </w:r>
      <w:r w:rsidRPr="00F77DAE">
        <w:rPr>
          <w:rFonts w:ascii="Times New Roman" w:hAnsi="Times New Roman" w:cs="Times New Roman"/>
          <w:iCs/>
          <w:lang w:val="lt-LT"/>
        </w:rPr>
        <w:t>PMĮ 51 straipsnio 1 ir 2 dalyse nustatytais terminais ir tvarka.</w:t>
      </w:r>
    </w:p>
    <w:p w14:paraId="6CFFB9E3" w14:textId="77777777" w:rsidR="00892E40" w:rsidRDefault="00791BE1" w:rsidP="00892E40">
      <w:pPr>
        <w:spacing w:after="0"/>
        <w:jc w:val="both"/>
        <w:rPr>
          <w:lang w:val="lt-LT"/>
        </w:rPr>
      </w:pPr>
      <w:r>
        <w:rPr>
          <w:iCs/>
          <w:lang w:eastAsia="lt-LT"/>
        </w:rPr>
        <w:t>(PMĮ 50  straipsnio 1 dalies komentaro 1- 6  punktai pakeisti pagal VMI prie FM 2024-04-29 raštą Nr. (18.10-31-1 Mr)-R-1612)</w:t>
      </w:r>
    </w:p>
    <w:p w14:paraId="298B2297" w14:textId="77777777" w:rsidR="002A73A8" w:rsidRDefault="002A73A8">
      <w:pPr>
        <w:pStyle w:val="Pagrindiniotekstotrauka2"/>
        <w:tabs>
          <w:tab w:val="left" w:pos="720"/>
          <w:tab w:val="left" w:pos="1077"/>
          <w:tab w:val="left" w:pos="1418"/>
        </w:tabs>
        <w:spacing w:line="240" w:lineRule="auto"/>
        <w:rPr>
          <w:bCs w:val="0"/>
        </w:rPr>
      </w:pPr>
    </w:p>
    <w:p w14:paraId="59BACEB3" w14:textId="77777777" w:rsidR="00093845" w:rsidRDefault="000D779E">
      <w:pPr>
        <w:pStyle w:val="Pagrindiniotekstotrauka2"/>
        <w:tabs>
          <w:tab w:val="left" w:pos="720"/>
          <w:tab w:val="left" w:pos="1077"/>
          <w:tab w:val="left" w:pos="1418"/>
        </w:tabs>
        <w:spacing w:line="240" w:lineRule="auto"/>
        <w:rPr>
          <w:bCs w:val="0"/>
        </w:rPr>
      </w:pPr>
      <w:r>
        <w:rPr>
          <w:bCs w:val="0"/>
        </w:rPr>
        <w:t>2.</w:t>
      </w:r>
      <w:r>
        <w:rPr>
          <w:bCs w:val="0"/>
        </w:rPr>
        <w:tab/>
        <w:t>Ataskaitos – metinės pelno mokesčio deklaracijos priedai:</w:t>
      </w:r>
    </w:p>
    <w:p w14:paraId="6E988CAE" w14:textId="77777777" w:rsidR="00910DDA" w:rsidRPr="00910DDA" w:rsidRDefault="000D779E" w:rsidP="00910DDA">
      <w:pPr>
        <w:numPr>
          <w:ilvl w:val="0"/>
          <w:numId w:val="46"/>
        </w:numPr>
        <w:tabs>
          <w:tab w:val="clear" w:pos="1080"/>
          <w:tab w:val="left" w:pos="0"/>
          <w:tab w:val="left" w:pos="1077"/>
        </w:tabs>
        <w:spacing w:after="0"/>
        <w:ind w:left="0" w:firstLine="720"/>
        <w:jc w:val="both"/>
        <w:rPr>
          <w:b/>
          <w:bCs/>
          <w:lang w:val="lt-LT"/>
        </w:rPr>
      </w:pPr>
      <w:r>
        <w:rPr>
          <w:b/>
          <w:bCs/>
          <w:lang w:val="lt-LT"/>
        </w:rPr>
        <w:t xml:space="preserve">asocijuotų asmenų tarpusavio sandorių arba ūkinių operacijų ataskaita </w:t>
      </w:r>
    </w:p>
    <w:p w14:paraId="6D59DF60" w14:textId="77777777" w:rsidR="00910DDA" w:rsidRDefault="00910DDA">
      <w:pPr>
        <w:tabs>
          <w:tab w:val="left" w:pos="720"/>
          <w:tab w:val="left" w:pos="1077"/>
          <w:tab w:val="left" w:pos="1418"/>
        </w:tabs>
        <w:ind w:firstLine="720"/>
        <w:jc w:val="both"/>
        <w:rPr>
          <w:b/>
          <w:lang w:val="lt-LT"/>
        </w:rPr>
      </w:pPr>
    </w:p>
    <w:p w14:paraId="2BDB62EF" w14:textId="77777777" w:rsidR="00093845" w:rsidRDefault="000D779E">
      <w:pPr>
        <w:tabs>
          <w:tab w:val="left" w:pos="720"/>
          <w:tab w:val="left" w:pos="1077"/>
          <w:tab w:val="left" w:pos="1418"/>
        </w:tabs>
        <w:ind w:firstLine="720"/>
        <w:jc w:val="both"/>
        <w:rPr>
          <w:b/>
          <w:lang w:val="lt-LT"/>
        </w:rPr>
      </w:pPr>
      <w:r>
        <w:rPr>
          <w:b/>
          <w:lang w:val="lt-LT"/>
        </w:rPr>
        <w:t>Komentaras</w:t>
      </w:r>
    </w:p>
    <w:p w14:paraId="1A6F2472" w14:textId="77777777" w:rsidR="00910DDA" w:rsidRPr="00F77DAE" w:rsidRDefault="00910DDA" w:rsidP="00910DDA">
      <w:pPr>
        <w:tabs>
          <w:tab w:val="left" w:pos="720"/>
          <w:tab w:val="left" w:pos="1077"/>
          <w:tab w:val="left" w:pos="1418"/>
        </w:tabs>
        <w:spacing w:after="0"/>
        <w:ind w:firstLine="720"/>
        <w:jc w:val="both"/>
        <w:rPr>
          <w:bCs/>
          <w:lang w:val="lt-LT"/>
        </w:rPr>
      </w:pPr>
      <w:r w:rsidRPr="00F77DAE">
        <w:rPr>
          <w:bCs/>
          <w:lang w:val="lt-LT"/>
        </w:rPr>
        <w:t>Vienetai kartu su metine pelno mokesčio deklaracija teikia</w:t>
      </w:r>
      <w:r w:rsidRPr="00F77DAE">
        <w:rPr>
          <w:color w:val="000000"/>
          <w:shd w:val="clear" w:color="auto" w:fill="FFFFFF"/>
          <w:lang w:val="lt-LT"/>
        </w:rPr>
        <w:t xml:space="preserve"> Asocijuotų asmenų tarpusavio sandorių arba ūkinių operacijų ataskaitos FR0528 formą, patvirtintą </w:t>
      </w:r>
      <w:r w:rsidRPr="00F77DAE">
        <w:rPr>
          <w:bCs/>
          <w:color w:val="000000"/>
          <w:lang w:val="lt-LT"/>
        </w:rPr>
        <w:t xml:space="preserve">Valstybinės mokesčių inspekcijos prie Lietuvos Respublikos finansų ministerijos </w:t>
      </w:r>
      <w:r w:rsidRPr="00F77DAE">
        <w:rPr>
          <w:color w:val="000000"/>
          <w:lang w:val="lt-LT"/>
        </w:rPr>
        <w:t xml:space="preserve">viršininko 2005 m. kovo 22 d. </w:t>
      </w:r>
      <w:r w:rsidRPr="00F77DAE">
        <w:rPr>
          <w:lang w:val="lt-LT"/>
        </w:rPr>
        <w:t>įsakymu Nr. VA-27</w:t>
      </w:r>
      <w:r w:rsidRPr="00F77DAE">
        <w:rPr>
          <w:bCs/>
          <w:color w:val="000000"/>
          <w:shd w:val="clear" w:color="auto" w:fill="FFFFFF"/>
          <w:lang w:val="lt-LT"/>
        </w:rPr>
        <w:t xml:space="preserve"> </w:t>
      </w:r>
      <w:r w:rsidRPr="00F77DAE">
        <w:rPr>
          <w:color w:val="000000"/>
          <w:lang w:val="lt-LT"/>
        </w:rPr>
        <w:t>,,</w:t>
      </w:r>
      <w:r w:rsidRPr="00F77DAE">
        <w:rPr>
          <w:bCs/>
          <w:color w:val="000000"/>
          <w:shd w:val="clear" w:color="auto" w:fill="FFFFFF"/>
          <w:lang w:val="lt-LT"/>
        </w:rPr>
        <w:t>Dėl Asocijuotų asmenų tarpusavio sandorių arba ūkinių operacijų ataskaitos FR0528 formos ir jos užpildymo taisyklių patvirtinimo”.</w:t>
      </w:r>
      <w:r w:rsidRPr="00F77DAE">
        <w:rPr>
          <w:lang w:val="lt-LT"/>
        </w:rPr>
        <w:t xml:space="preserve"> Ši forma teikiama, jei:</w:t>
      </w:r>
    </w:p>
    <w:p w14:paraId="34D5F70A" w14:textId="77777777" w:rsidR="00910DDA" w:rsidRPr="00F77DAE" w:rsidRDefault="00910DDA" w:rsidP="00910DDA">
      <w:pPr>
        <w:tabs>
          <w:tab w:val="left" w:pos="720"/>
          <w:tab w:val="left" w:pos="1077"/>
          <w:tab w:val="left" w:pos="1418"/>
        </w:tabs>
        <w:spacing w:after="0"/>
        <w:ind w:firstLine="720"/>
        <w:jc w:val="both"/>
        <w:rPr>
          <w:bCs/>
          <w:lang w:val="lt-LT"/>
        </w:rPr>
      </w:pPr>
      <w:r w:rsidRPr="00F77DAE">
        <w:rPr>
          <w:rFonts w:ascii="Verdana" w:hAnsi="Verdana"/>
          <w:color w:val="000000"/>
          <w:sz w:val="18"/>
          <w:szCs w:val="18"/>
        </w:rPr>
        <w:t xml:space="preserve">- </w:t>
      </w:r>
      <w:r w:rsidRPr="00F77DAE">
        <w:rPr>
          <w:bCs/>
          <w:lang w:val="lt-LT"/>
        </w:rPr>
        <w:t xml:space="preserve">per mokestinį laikotarpį (mokestinius metus ar kitokį) </w:t>
      </w:r>
      <w:r w:rsidRPr="00F77DAE">
        <w:rPr>
          <w:color w:val="000000"/>
          <w:shd w:val="clear" w:color="auto" w:fill="FFFFFF"/>
          <w:lang w:val="lt-LT"/>
        </w:rPr>
        <w:t>Lietuvos vienetas ir užsienio vienetas, vykdantis veiklą Lietuvos Respublikoje per nuolatinę buveinę</w:t>
      </w:r>
      <w:r w:rsidRPr="00F77DAE">
        <w:rPr>
          <w:bCs/>
          <w:lang w:val="lt-LT"/>
        </w:rPr>
        <w:t xml:space="preserve"> turėjo sudaręs su asocijuotu asmeniu sandorių ir / ar ūkinių operacijų, kurių vieno / vienos vertė </w:t>
      </w:r>
      <w:r w:rsidRPr="00F77DAE">
        <w:rPr>
          <w:color w:val="000000"/>
          <w:shd w:val="clear" w:color="auto" w:fill="FFFFFF"/>
          <w:lang w:val="lt-LT"/>
        </w:rPr>
        <w:t>buvo lygi arba didesnė kaip 90 000 eurų, arba</w:t>
      </w:r>
    </w:p>
    <w:p w14:paraId="0F731B5E"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 arba turėjo sudaręs vienarūšių ir / ar nevienarūšių sandorių ir / ar ūkinių operacijų, kurių bendra vertė per mokestinį laikotarpį (mokestinius metus ar kitokį) buvo lygi arba didesnė kaip 90 000 eurų, ir / arba</w:t>
      </w:r>
    </w:p>
    <w:p w14:paraId="4DEDABBB"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 buvo asocijuotam asmeniui suteikęs ir / arba iš jo gavęs paskolų, kurių suma nors vieną mokestinio laikotarpio dieną buvo lygi arba viršijo 90 000 eurų. </w:t>
      </w:r>
    </w:p>
    <w:p w14:paraId="31E202D2" w14:textId="77777777" w:rsidR="00910DDA" w:rsidRPr="00F77DAE" w:rsidRDefault="00910DDA" w:rsidP="00910DDA">
      <w:pPr>
        <w:tabs>
          <w:tab w:val="left" w:pos="720"/>
          <w:tab w:val="left" w:pos="1077"/>
          <w:tab w:val="left" w:pos="1418"/>
        </w:tabs>
        <w:spacing w:after="0"/>
        <w:ind w:firstLine="720"/>
        <w:jc w:val="both"/>
        <w:rPr>
          <w:color w:val="000000"/>
          <w:shd w:val="clear" w:color="auto" w:fill="FFFFFF"/>
          <w:lang w:val="lt-LT"/>
        </w:rPr>
      </w:pPr>
      <w:r w:rsidRPr="00F77DAE">
        <w:rPr>
          <w:color w:val="000000"/>
          <w:shd w:val="clear" w:color="auto" w:fill="FFFFFF"/>
          <w:lang w:val="lt-LT"/>
        </w:rPr>
        <w:t>Sandorio ir / ar ūkinės operacijos vertė yra nustatoma be pridėtinės vertės mokesčio.</w:t>
      </w:r>
    </w:p>
    <w:p w14:paraId="4692FC9E" w14:textId="77777777" w:rsidR="00910DDA" w:rsidRPr="00F77DAE" w:rsidRDefault="00910DDA" w:rsidP="00910DDA">
      <w:pPr>
        <w:tabs>
          <w:tab w:val="left" w:pos="720"/>
          <w:tab w:val="left" w:pos="1077"/>
          <w:tab w:val="left" w:pos="1418"/>
        </w:tabs>
        <w:spacing w:after="0"/>
        <w:ind w:firstLine="720"/>
        <w:jc w:val="both"/>
        <w:rPr>
          <w:color w:val="000000"/>
          <w:shd w:val="clear" w:color="auto" w:fill="FFFFFF"/>
          <w:lang w:val="lt-LT"/>
        </w:rPr>
      </w:pPr>
      <w:r w:rsidRPr="00F77DAE">
        <w:rPr>
          <w:color w:val="000000"/>
          <w:shd w:val="clear" w:color="auto" w:fill="FFFFFF"/>
          <w:lang w:val="lt-LT"/>
        </w:rPr>
        <w:t>Ataskaitos formoje nedeklaruojami ir, skaičiuojant 90 000 eurų vertę, neįtraukiami išmokėti ar gauti dividendai, suteikta ar gauta parama, mokestinių nuostolių perdavimas tarp vienetų grupės vienetų pagal </w:t>
      </w:r>
      <w:bookmarkStart w:id="586" w:name="n1_27"/>
      <w:r w:rsidRPr="00F77DAE">
        <w:rPr>
          <w:color w:val="000000"/>
          <w:shd w:val="clear" w:color="auto" w:fill="FFFFFF"/>
          <w:lang w:val="lt-LT"/>
        </w:rPr>
        <w:fldChar w:fldCharType="begin"/>
      </w:r>
      <w:r w:rsidRPr="00F77DAE">
        <w:rPr>
          <w:color w:val="000000"/>
          <w:shd w:val="clear" w:color="auto" w:fill="FFFFFF"/>
          <w:lang w:val="lt-LT"/>
        </w:rPr>
        <w:instrText xml:space="preserve"> HYPERLINK "https://www.infolex.lt/ta/12868" \o "Lietuvos Respublikos pelno mokesčio įstatymas" \t "_blank" </w:instrText>
      </w:r>
      <w:r w:rsidRPr="00F77DAE">
        <w:rPr>
          <w:color w:val="000000"/>
          <w:shd w:val="clear" w:color="auto" w:fill="FFFFFF"/>
          <w:lang w:val="lt-LT"/>
        </w:rPr>
        <w:fldChar w:fldCharType="separate"/>
      </w:r>
      <w:r w:rsidRPr="00F77DAE">
        <w:rPr>
          <w:color w:val="000000"/>
          <w:shd w:val="clear" w:color="auto" w:fill="FFFFFF"/>
          <w:lang w:val="lt-LT"/>
        </w:rPr>
        <w:t>PMĮ</w:t>
      </w:r>
      <w:r w:rsidRPr="00F77DAE">
        <w:rPr>
          <w:color w:val="000000"/>
          <w:shd w:val="clear" w:color="auto" w:fill="FFFFFF"/>
          <w:lang w:val="lt-LT"/>
        </w:rPr>
        <w:fldChar w:fldCharType="end"/>
      </w:r>
      <w:bookmarkStart w:id="587" w:name="pn1_27"/>
      <w:bookmarkEnd w:id="586"/>
      <w:bookmarkEnd w:id="587"/>
      <w:r w:rsidRPr="00F77DAE">
        <w:rPr>
          <w:color w:val="000000"/>
          <w:shd w:val="clear" w:color="auto" w:fill="FFFFFF"/>
          <w:lang w:val="lt-LT"/>
        </w:rPr>
        <w:t> 56¹ straipsnį, avansiniai mokėjimai, darbo užmokestis, apskaičiuotas prestižas, su įstatinio kapitalo formavimu, didinimu ar mažinimu susijusios ūkinės operacijos, įmonei baigiant veiklą, išmokamos lėšos (pinigais ar turtu) vieneto dalyviui. Nustatant prievolę teikti ataskaitos formą, t. y. skaičiuojant 90 000 eurų vertę, neatsižvelgiama į per mokestinį laikotarpį grąžintų atsargų, prekių, produkcijos, piniginių lėšų (paskolos) ar kito turto vertę.</w:t>
      </w:r>
    </w:p>
    <w:p w14:paraId="0FF21A6F"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Šios ataskaitos formos neteikia valstybės ir savivaldybių įmonės, vykdžiusios sandorius su savivaldybėmis arba kitomis valstybės ar savivaldybių įmonėmis.</w:t>
      </w:r>
    </w:p>
    <w:p w14:paraId="55ECD06A" w14:textId="77777777" w:rsidR="00910DDA" w:rsidRPr="00F77DAE" w:rsidRDefault="00910DDA" w:rsidP="00910DDA">
      <w:pPr>
        <w:tabs>
          <w:tab w:val="left" w:pos="720"/>
          <w:tab w:val="left" w:pos="1077"/>
          <w:tab w:val="left" w:pos="1418"/>
        </w:tabs>
        <w:spacing w:after="0"/>
        <w:ind w:firstLine="720"/>
        <w:jc w:val="both"/>
        <w:rPr>
          <w:lang w:val="lt-LT"/>
        </w:rPr>
      </w:pPr>
      <w:r w:rsidRPr="00F77DAE">
        <w:rPr>
          <w:lang w:val="lt-LT"/>
        </w:rPr>
        <w:t>Nustatant asocijuotą asmenį, vadovaujamasi </w:t>
      </w:r>
      <w:bookmarkStart w:id="588" w:name="n1_25"/>
      <w:r w:rsidRPr="00F77DAE">
        <w:rPr>
          <w:lang w:val="lt-LT"/>
        </w:rPr>
        <w:fldChar w:fldCharType="begin"/>
      </w:r>
      <w:r w:rsidRPr="00F77DAE">
        <w:rPr>
          <w:lang w:val="lt-LT"/>
        </w:rPr>
        <w:instrText xml:space="preserve"> HYPERLINK "https://www.infolex.lt/ta/12868" \o "Lietuvos Respublikos pelno mokesčio įstatymas" \t "_blank" </w:instrText>
      </w:r>
      <w:r w:rsidRPr="00F77DAE">
        <w:rPr>
          <w:lang w:val="lt-LT"/>
        </w:rPr>
        <w:fldChar w:fldCharType="separate"/>
      </w:r>
      <w:r w:rsidRPr="00F77DAE">
        <w:rPr>
          <w:lang w:val="lt-LT"/>
        </w:rPr>
        <w:t>PMĮ</w:t>
      </w:r>
      <w:r w:rsidRPr="00F77DAE">
        <w:rPr>
          <w:lang w:val="lt-LT"/>
        </w:rPr>
        <w:fldChar w:fldCharType="end"/>
      </w:r>
      <w:bookmarkStart w:id="589" w:name="pn1_25"/>
      <w:bookmarkEnd w:id="588"/>
      <w:bookmarkEnd w:id="589"/>
      <w:r w:rsidRPr="00F77DAE">
        <w:rPr>
          <w:lang w:val="lt-LT"/>
        </w:rPr>
        <w:t> </w:t>
      </w:r>
      <w:bookmarkStart w:id="590" w:name="n1_26"/>
      <w:r w:rsidRPr="00F77DAE">
        <w:rPr>
          <w:lang w:val="lt-LT"/>
        </w:rPr>
        <w:fldChar w:fldCharType="begin"/>
      </w:r>
      <w:r w:rsidRPr="00F77DAE">
        <w:rPr>
          <w:lang w:val="lt-LT"/>
        </w:rPr>
        <w:instrText xml:space="preserve"> HYPERLINK "javascript:OL('12868','2')" \o "Pagrindinės šio Įstatymo sąvokos (str. 2)" </w:instrText>
      </w:r>
      <w:r w:rsidRPr="00F77DAE">
        <w:rPr>
          <w:lang w:val="lt-LT"/>
        </w:rPr>
        <w:fldChar w:fldCharType="separate"/>
      </w:r>
      <w:r w:rsidRPr="00F77DAE">
        <w:rPr>
          <w:lang w:val="lt-LT"/>
        </w:rPr>
        <w:t>2</w:t>
      </w:r>
      <w:r w:rsidRPr="00F77DAE">
        <w:rPr>
          <w:lang w:val="lt-LT"/>
        </w:rPr>
        <w:fldChar w:fldCharType="end"/>
      </w:r>
      <w:bookmarkStart w:id="591" w:name="pn1_26"/>
      <w:bookmarkEnd w:id="590"/>
      <w:bookmarkEnd w:id="591"/>
      <w:r w:rsidRPr="00F77DAE">
        <w:rPr>
          <w:lang w:val="lt-LT"/>
        </w:rPr>
        <w:t> straipsnio 8 dalimi.</w:t>
      </w:r>
    </w:p>
    <w:p w14:paraId="79046645" w14:textId="77777777" w:rsidR="00910DDA" w:rsidRDefault="00910DDA">
      <w:pPr>
        <w:tabs>
          <w:tab w:val="left" w:pos="720"/>
          <w:tab w:val="left" w:pos="1077"/>
          <w:tab w:val="left" w:pos="1418"/>
        </w:tabs>
        <w:ind w:firstLine="720"/>
        <w:jc w:val="both"/>
        <w:rPr>
          <w:b/>
          <w:lang w:val="lt-LT"/>
        </w:rPr>
      </w:pPr>
    </w:p>
    <w:p w14:paraId="38D45742" w14:textId="77777777" w:rsidR="00093845" w:rsidRPr="00CE6C73" w:rsidRDefault="00093845">
      <w:pPr>
        <w:tabs>
          <w:tab w:val="left" w:pos="720"/>
          <w:tab w:val="left" w:pos="1077"/>
          <w:tab w:val="left" w:pos="1418"/>
        </w:tabs>
        <w:ind w:firstLine="720"/>
        <w:jc w:val="both"/>
        <w:rPr>
          <w:bCs/>
          <w:lang w:val="lt-LT"/>
        </w:rPr>
      </w:pPr>
    </w:p>
    <w:p w14:paraId="452451EC"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ataskaita apie kontroliuojamuosius ir kontroliuojančius vienetus bei gyventojus.</w:t>
      </w:r>
    </w:p>
    <w:p w14:paraId="1D67A77F" w14:textId="77777777" w:rsidR="00093845" w:rsidRDefault="000D779E">
      <w:pPr>
        <w:tabs>
          <w:tab w:val="left" w:pos="720"/>
          <w:tab w:val="left" w:pos="1077"/>
          <w:tab w:val="left" w:pos="1418"/>
        </w:tabs>
        <w:ind w:firstLine="720"/>
        <w:jc w:val="both"/>
        <w:rPr>
          <w:b/>
          <w:lang w:val="lt-LT"/>
        </w:rPr>
      </w:pPr>
      <w:r>
        <w:rPr>
          <w:b/>
          <w:lang w:val="lt-LT"/>
        </w:rPr>
        <w:t>Komentaras</w:t>
      </w:r>
    </w:p>
    <w:p w14:paraId="2C918808" w14:textId="77777777" w:rsidR="008B3F68" w:rsidRPr="00A27A93" w:rsidRDefault="008B3F68" w:rsidP="00D00997">
      <w:pPr>
        <w:tabs>
          <w:tab w:val="left" w:pos="720"/>
          <w:tab w:val="left" w:pos="1077"/>
          <w:tab w:val="left" w:pos="1418"/>
        </w:tabs>
        <w:spacing w:after="0"/>
        <w:ind w:firstLine="720"/>
        <w:jc w:val="both"/>
        <w:rPr>
          <w:bCs/>
          <w:strike/>
          <w:lang w:val="lt-LT"/>
        </w:rPr>
      </w:pPr>
      <w:r w:rsidRPr="00A27A93">
        <w:rPr>
          <w:bCs/>
          <w:lang w:val="lt-LT"/>
        </w:rPr>
        <w:t xml:space="preserve">Vienetai kartu su metine pelno mokesčio deklaracija pateikia Kontroliuojamų vienetų ir kontroliuojančių asmenų turtinių teisių bei prievolių ataskaitos FR0438 formą, patvirtintą  Valstybinės </w:t>
      </w:r>
      <w:r w:rsidRPr="008B3F68">
        <w:rPr>
          <w:bCs/>
          <w:lang w:val="lt-LT"/>
        </w:rPr>
        <w:t>mokesčių inspekcijos prie Lietuvos Respublikos finansų ministerijos viršininko 2002 m. gruodžio 24 d</w:t>
      </w:r>
      <w:r w:rsidRPr="008B3F68">
        <w:rPr>
          <w:b/>
          <w:bCs/>
          <w:lang w:val="lt-LT"/>
        </w:rPr>
        <w:t xml:space="preserve">. </w:t>
      </w:r>
      <w:r w:rsidRPr="008B3F68">
        <w:rPr>
          <w:rStyle w:val="Hipersaitas"/>
          <w:b w:val="0"/>
          <w:lang w:val="lt-LT"/>
        </w:rPr>
        <w:t>įsakymu Nr. 376</w:t>
      </w:r>
      <w:r w:rsidRPr="008B3F68">
        <w:rPr>
          <w:bCs/>
          <w:color w:val="000000"/>
          <w:shd w:val="clear" w:color="auto" w:fill="FFFFFF"/>
        </w:rPr>
        <w:t xml:space="preserve"> </w:t>
      </w:r>
      <w:r w:rsidRPr="008B3F68">
        <w:rPr>
          <w:color w:val="000000"/>
          <w:lang w:val="lt-LT"/>
        </w:rPr>
        <w:t>,,</w:t>
      </w:r>
      <w:r w:rsidRPr="00A27A93">
        <w:rPr>
          <w:bCs/>
          <w:color w:val="000000"/>
          <w:shd w:val="clear" w:color="auto" w:fill="FFFFFF"/>
          <w:lang w:val="lt-LT"/>
        </w:rPr>
        <w:t>Dėl Ataskaitos apie kontroliuojamuosius ir kontroliuojančius vienetus bei asmenis FR0438 formos bei jos užpildymo taisyklių patvirtinimo“</w:t>
      </w:r>
      <w:r>
        <w:rPr>
          <w:bCs/>
          <w:lang w:val="lt-LT"/>
        </w:rPr>
        <w:t>.</w:t>
      </w:r>
    </w:p>
    <w:p w14:paraId="661C6D07" w14:textId="77777777" w:rsidR="008B3F68" w:rsidRPr="00A27A93" w:rsidRDefault="008B3F68" w:rsidP="00D00997">
      <w:pPr>
        <w:pStyle w:val="Pagrindiniotekstotrauka"/>
        <w:tabs>
          <w:tab w:val="left" w:pos="720"/>
          <w:tab w:val="left" w:pos="1077"/>
          <w:tab w:val="left" w:pos="1418"/>
        </w:tabs>
        <w:spacing w:after="0"/>
        <w:rPr>
          <w:rFonts w:ascii="Times New Roman" w:hAnsi="Times New Roman" w:cs="Times New Roman"/>
          <w:bCs/>
          <w:lang w:val="lt-LT"/>
        </w:rPr>
      </w:pPr>
      <w:r w:rsidRPr="00A27A93">
        <w:rPr>
          <w:rFonts w:ascii="Times New Roman" w:hAnsi="Times New Roman" w:cs="Times New Roman"/>
          <w:bCs/>
          <w:lang w:val="lt-LT"/>
        </w:rPr>
        <w:t>Šią ataskaitą teikia vienetai:</w:t>
      </w:r>
    </w:p>
    <w:p w14:paraId="6B8F8260"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w:t>
      </w:r>
      <w:r w:rsidRPr="00A27A93">
        <w:rPr>
          <w:bCs/>
          <w:lang w:val="lt-LT"/>
        </w:rPr>
        <w:tab/>
        <w:t xml:space="preserve">kurie paskutinę mokestinio laikotarpio dieną kontroliuoja kitus Lietuvos ar užsienio vienetus arba </w:t>
      </w:r>
    </w:p>
    <w:p w14:paraId="7B899F19"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w:t>
      </w:r>
      <w:r w:rsidRPr="00A27A93">
        <w:rPr>
          <w:bCs/>
          <w:lang w:val="lt-LT"/>
        </w:rPr>
        <w:tab/>
        <w:t>kuriuos paskutinę mokestinio laikotarpio dieną kontroliuoja kiti Lietuvos ar užsienio vienetai bei nuolatiniai gyventojai arba vienetai, kurių dalyviai paskutinę mokestinio laikotarpio dieną valdo ne mažiau kaip 10 procentų akcijų ar kitų teisių į paskirstytojo pelno dalį arba išimtinių teisių jas įsigyti.</w:t>
      </w:r>
    </w:p>
    <w:p w14:paraId="69A97698" w14:textId="77777777" w:rsidR="008B3F68" w:rsidRPr="00A27A93" w:rsidRDefault="008B3F68" w:rsidP="00D00997">
      <w:pPr>
        <w:tabs>
          <w:tab w:val="left" w:pos="720"/>
          <w:tab w:val="left" w:pos="1077"/>
          <w:tab w:val="left" w:pos="1418"/>
        </w:tabs>
        <w:spacing w:after="0"/>
        <w:ind w:firstLine="720"/>
        <w:jc w:val="both"/>
        <w:rPr>
          <w:bCs/>
          <w:lang w:val="lt-LT"/>
        </w:rPr>
      </w:pPr>
      <w:r w:rsidRPr="00A27A93">
        <w:rPr>
          <w:bCs/>
          <w:lang w:val="lt-LT"/>
        </w:rPr>
        <w:t>Individualios (personalinės) įmonės, jeigu jos nekontroliuoja kitų vienetų, o jas kontroliuojantys asmenys yra tik jų savininkai, ataskaitų FR0438 formų mokesčių administratoriui teikti neprivalo.</w:t>
      </w:r>
    </w:p>
    <w:p w14:paraId="25379071" w14:textId="77777777" w:rsidR="008B3F68" w:rsidRPr="00A27A93" w:rsidRDefault="008B3F68" w:rsidP="00D00997">
      <w:pPr>
        <w:spacing w:after="0"/>
        <w:ind w:firstLine="709"/>
        <w:jc w:val="both"/>
        <w:rPr>
          <w:lang w:val="lt-LT"/>
        </w:rPr>
      </w:pPr>
      <w:r w:rsidRPr="00A27A93">
        <w:rPr>
          <w:lang w:val="lt-LT" w:eastAsia="lt-LT"/>
        </w:rPr>
        <w:t xml:space="preserve">Taip pat ataskaitos </w:t>
      </w:r>
      <w:r w:rsidRPr="00A27A93">
        <w:rPr>
          <w:bCs/>
          <w:lang w:val="lt-LT"/>
        </w:rPr>
        <w:t xml:space="preserve">FR0438 </w:t>
      </w:r>
      <w:r w:rsidRPr="00A27A93">
        <w:rPr>
          <w:lang w:val="lt-LT" w:eastAsia="lt-LT"/>
        </w:rPr>
        <w:t>neprivalo teikti ir pelno nesiekiantys vienetai, kurie nevaldo kitų vienetų akcijų.</w:t>
      </w:r>
    </w:p>
    <w:p w14:paraId="5FAD161E" w14:textId="77777777" w:rsidR="00D00997" w:rsidRDefault="00D00997" w:rsidP="00D00997">
      <w:pPr>
        <w:rPr>
          <w:rFonts w:ascii="Trebuchet MS" w:hAnsi="Trebuchet MS"/>
          <w:sz w:val="20"/>
          <w:szCs w:val="22"/>
          <w:lang w:val="lt-LT"/>
        </w:rPr>
      </w:pPr>
      <w:r>
        <w:rPr>
          <w:iCs/>
          <w:lang w:eastAsia="lt-LT"/>
        </w:rPr>
        <w:t>(PMĮ 50  straipsnio 2 dalies komentaro 1-2  punktai pakeisti pagal VMI prie FM 2024-04-29 raštą Nr. (18.10-31-1 Mr)-R-1612)</w:t>
      </w:r>
    </w:p>
    <w:p w14:paraId="0E36594A" w14:textId="77777777" w:rsidR="00093845" w:rsidRDefault="00093845">
      <w:pPr>
        <w:tabs>
          <w:tab w:val="left" w:pos="720"/>
          <w:tab w:val="left" w:pos="1077"/>
          <w:tab w:val="left" w:pos="1418"/>
        </w:tabs>
        <w:ind w:firstLine="720"/>
        <w:jc w:val="both"/>
        <w:rPr>
          <w:bCs/>
          <w:lang w:val="lt-LT"/>
        </w:rPr>
      </w:pPr>
    </w:p>
    <w:p w14:paraId="560C1DEF" w14:textId="77777777" w:rsidR="00093845" w:rsidRDefault="000D779E">
      <w:pPr>
        <w:tabs>
          <w:tab w:val="left" w:pos="720"/>
          <w:tab w:val="left" w:pos="1077"/>
          <w:tab w:val="left" w:pos="1418"/>
        </w:tabs>
        <w:ind w:firstLine="720"/>
        <w:jc w:val="both"/>
        <w:rPr>
          <w:b/>
          <w:lang w:val="lt-LT"/>
        </w:rPr>
      </w:pPr>
      <w:r>
        <w:rPr>
          <w:b/>
          <w:lang w:val="lt-LT"/>
        </w:rPr>
        <w:t>3.</w:t>
      </w:r>
      <w:r>
        <w:rPr>
          <w:b/>
          <w:lang w:val="lt-LT"/>
        </w:rPr>
        <w:tab/>
        <w:t>Kitos ataskaitos:</w:t>
      </w:r>
    </w:p>
    <w:p w14:paraId="29E5408D" w14:textId="77777777" w:rsidR="00093845" w:rsidRDefault="000D779E" w:rsidP="00EC4E29">
      <w:pPr>
        <w:numPr>
          <w:ilvl w:val="0"/>
          <w:numId w:val="47"/>
        </w:numPr>
        <w:tabs>
          <w:tab w:val="left" w:pos="720"/>
          <w:tab w:val="left" w:pos="1418"/>
        </w:tabs>
        <w:ind w:left="0" w:firstLine="720"/>
        <w:jc w:val="both"/>
        <w:rPr>
          <w:b/>
          <w:lang w:val="lt-LT"/>
        </w:rPr>
      </w:pPr>
      <w:r>
        <w:rPr>
          <w:b/>
          <w:lang w:val="lt-LT"/>
        </w:rPr>
        <w:t>išvestinių finansinių priemonių ataskaita;</w:t>
      </w:r>
    </w:p>
    <w:p w14:paraId="5AEA3C2F" w14:textId="77777777" w:rsidR="00093845" w:rsidRDefault="000D779E">
      <w:pPr>
        <w:tabs>
          <w:tab w:val="left" w:pos="720"/>
          <w:tab w:val="left" w:pos="1077"/>
          <w:tab w:val="left" w:pos="1418"/>
        </w:tabs>
        <w:jc w:val="both"/>
        <w:rPr>
          <w:b/>
          <w:lang w:val="lt-LT"/>
        </w:rPr>
      </w:pPr>
      <w:r>
        <w:rPr>
          <w:b/>
          <w:lang w:val="lt-LT"/>
        </w:rPr>
        <w:tab/>
        <w:t>Komentaras</w:t>
      </w:r>
    </w:p>
    <w:p w14:paraId="6713C48B" w14:textId="77777777" w:rsidR="00AE434D" w:rsidRPr="009D630D" w:rsidRDefault="00AE434D" w:rsidP="00AE434D">
      <w:pPr>
        <w:pStyle w:val="tactin"/>
        <w:shd w:val="clear" w:color="auto" w:fill="FFFFFF"/>
        <w:spacing w:before="0" w:beforeAutospacing="0" w:after="0" w:afterAutospacing="0"/>
        <w:ind w:firstLine="720"/>
        <w:jc w:val="both"/>
        <w:rPr>
          <w:bCs/>
          <w:strike/>
        </w:rPr>
      </w:pPr>
      <w:r w:rsidRPr="009D630D">
        <w:rPr>
          <w:bCs/>
        </w:rPr>
        <w:t xml:space="preserve">Lietuvos vienetai ir užsienio vienetų nuolatinės buveinės, kurie atlieka ūkines operacijas, susijusias su išvestinėmis finansinėmis priemonėmis pildo </w:t>
      </w:r>
      <w:r w:rsidRPr="00710997">
        <w:rPr>
          <w:bCs/>
        </w:rPr>
        <w:t xml:space="preserve">Išvestinių finansinių priemonių ataskaitos FR0314 formą, patvirtintą </w:t>
      </w:r>
      <w:r w:rsidRPr="009D630D">
        <w:rPr>
          <w:bCs/>
        </w:rPr>
        <w:t xml:space="preserve">Valstybinės mokesčių inspekcijos prie Lietuvos Respublikos finansų ministerijos viršininko 2002 m. balandžio 22 d. </w:t>
      </w:r>
      <w:r w:rsidRPr="009D630D">
        <w:rPr>
          <w:rStyle w:val="Hipersaitas"/>
        </w:rPr>
        <w:t>įsakymu Nr. 107</w:t>
      </w:r>
      <w:r>
        <w:rPr>
          <w:rStyle w:val="Hipersaitas"/>
        </w:rPr>
        <w:t xml:space="preserve"> </w:t>
      </w:r>
      <w:r w:rsidRPr="00710997">
        <w:rPr>
          <w:color w:val="000000"/>
        </w:rPr>
        <w:t>,,</w:t>
      </w:r>
      <w:r w:rsidRPr="00710997">
        <w:rPr>
          <w:bCs/>
          <w:color w:val="000000"/>
        </w:rPr>
        <w:t>Dėl išvestinių finansinių priemonių ataskaitos FR0314 formos ir jos užpildymo taisyklių patvirtinimo“</w:t>
      </w:r>
      <w:r>
        <w:rPr>
          <w:bCs/>
        </w:rPr>
        <w:t>.</w:t>
      </w:r>
    </w:p>
    <w:p w14:paraId="7C67F0CB" w14:textId="77777777" w:rsidR="00AE434D" w:rsidRPr="009D630D" w:rsidRDefault="00AE434D" w:rsidP="00AE434D">
      <w:pPr>
        <w:pStyle w:val="Pagrindiniotekstotrauka"/>
        <w:tabs>
          <w:tab w:val="left" w:pos="720"/>
          <w:tab w:val="left" w:pos="1077"/>
          <w:tab w:val="left" w:pos="1418"/>
        </w:tabs>
        <w:spacing w:after="0"/>
        <w:rPr>
          <w:rFonts w:ascii="Times New Roman" w:hAnsi="Times New Roman" w:cs="Times New Roman"/>
          <w:bCs/>
          <w:lang w:val="lt-LT"/>
        </w:rPr>
      </w:pPr>
      <w:r w:rsidRPr="009D630D">
        <w:rPr>
          <w:rFonts w:ascii="Times New Roman" w:hAnsi="Times New Roman" w:cs="Times New Roman"/>
          <w:bCs/>
          <w:lang w:val="lt-LT"/>
        </w:rPr>
        <w:t xml:space="preserve">Ataskaitoje pateikiami duomenys apie išvestines finansines priemones – būsimuosius, išankstinius ar kitus sandorius, sudarytus (įsigytus) ankstesniais ataskaitiniais mokestiniais metais ir galiojančius tų mokestinių metų pradžioje bei sudarytus (įsigytus) tais mokestiniais metais. </w:t>
      </w:r>
    </w:p>
    <w:p w14:paraId="3A8D95F4" w14:textId="77777777" w:rsidR="00AE434D" w:rsidRDefault="00AE434D" w:rsidP="00AE434D">
      <w:pPr>
        <w:pStyle w:val="Pagrindiniotekstotrauka"/>
        <w:tabs>
          <w:tab w:val="left" w:pos="720"/>
          <w:tab w:val="left" w:pos="1077"/>
          <w:tab w:val="left" w:pos="1418"/>
        </w:tabs>
        <w:spacing w:after="0"/>
        <w:rPr>
          <w:rFonts w:ascii="Times New Roman" w:hAnsi="Times New Roman" w:cs="Times New Roman"/>
          <w:bCs/>
          <w:lang w:val="lt-LT"/>
        </w:rPr>
      </w:pPr>
      <w:r w:rsidRPr="009D630D">
        <w:rPr>
          <w:rFonts w:ascii="Times New Roman" w:hAnsi="Times New Roman" w:cs="Times New Roman"/>
          <w:bCs/>
          <w:lang w:val="lt-LT"/>
        </w:rPr>
        <w:t>Ataskaitos FR0314 formos neprivalo pildyti bankai.</w:t>
      </w:r>
    </w:p>
    <w:p w14:paraId="64BE955E" w14:textId="77777777" w:rsidR="00AE434D" w:rsidRPr="00710997" w:rsidRDefault="00AE434D" w:rsidP="00AE434D">
      <w:pPr>
        <w:pStyle w:val="Pagrindiniotekstotrauka"/>
        <w:tabs>
          <w:tab w:val="left" w:pos="720"/>
          <w:tab w:val="left" w:pos="1077"/>
          <w:tab w:val="left" w:pos="1418"/>
        </w:tabs>
        <w:ind w:firstLine="0"/>
        <w:rPr>
          <w:lang w:val="lt-LT"/>
        </w:rPr>
      </w:pPr>
      <w:r>
        <w:rPr>
          <w:rStyle w:val="normal-h"/>
          <w:color w:val="000000"/>
          <w:lang w:val="lt-LT"/>
        </w:rPr>
        <w:tab/>
      </w:r>
      <w:r w:rsidRPr="00710997">
        <w:rPr>
          <w:rStyle w:val="normal-h"/>
          <w:color w:val="000000"/>
          <w:lang w:val="lt-LT"/>
        </w:rPr>
        <w:t>Išvestinės finansinės priemonės sąvoka pateikta PMĮ 2 straipsnio 13 dalyje</w:t>
      </w:r>
      <w:r>
        <w:rPr>
          <w:rStyle w:val="normal-h"/>
          <w:color w:val="000000"/>
          <w:lang w:val="lt-LT"/>
        </w:rPr>
        <w:t>.</w:t>
      </w:r>
    </w:p>
    <w:p w14:paraId="7E752E48" w14:textId="77777777" w:rsidR="00093845" w:rsidRDefault="00093845">
      <w:pPr>
        <w:pStyle w:val="Pagrindiniotekstotrauka"/>
        <w:tabs>
          <w:tab w:val="left" w:pos="720"/>
          <w:tab w:val="left" w:pos="1077"/>
          <w:tab w:val="left" w:pos="1418"/>
        </w:tabs>
        <w:ind w:firstLine="0"/>
        <w:rPr>
          <w:lang w:val="lt-LT"/>
        </w:rPr>
      </w:pPr>
    </w:p>
    <w:p w14:paraId="707D7903" w14:textId="77777777" w:rsidR="00093845" w:rsidRDefault="000D779E" w:rsidP="00EC4E29">
      <w:pPr>
        <w:numPr>
          <w:ilvl w:val="0"/>
          <w:numId w:val="47"/>
        </w:numPr>
        <w:tabs>
          <w:tab w:val="left" w:pos="720"/>
          <w:tab w:val="left" w:pos="1418"/>
        </w:tabs>
        <w:ind w:left="0" w:firstLine="720"/>
        <w:jc w:val="both"/>
        <w:rPr>
          <w:b/>
          <w:lang w:val="lt-LT"/>
        </w:rPr>
      </w:pPr>
      <w:r>
        <w:rPr>
          <w:b/>
          <w:lang w:val="lt-LT"/>
        </w:rPr>
        <w:t>kitos centrinio mokesčio administratoriaus nustatytos deklaracijų arba ataskaitų formos</w:t>
      </w:r>
    </w:p>
    <w:p w14:paraId="189867D8" w14:textId="77777777" w:rsidR="00093845" w:rsidRDefault="000D779E">
      <w:pPr>
        <w:tabs>
          <w:tab w:val="left" w:pos="720"/>
          <w:tab w:val="left" w:pos="1077"/>
          <w:tab w:val="left" w:pos="1418"/>
        </w:tabs>
        <w:jc w:val="both"/>
        <w:rPr>
          <w:b/>
          <w:lang w:val="lt-LT"/>
        </w:rPr>
      </w:pPr>
      <w:r>
        <w:rPr>
          <w:b/>
          <w:lang w:val="lt-LT"/>
        </w:rPr>
        <w:tab/>
        <w:t>Komentaras</w:t>
      </w:r>
    </w:p>
    <w:p w14:paraId="29D497C5" w14:textId="77777777" w:rsidR="00AE434D" w:rsidRDefault="00AE434D" w:rsidP="00AE434D">
      <w:pPr>
        <w:pStyle w:val="Pagrindiniotekstotrauka"/>
        <w:tabs>
          <w:tab w:val="left" w:pos="720"/>
          <w:tab w:val="left" w:pos="1077"/>
          <w:tab w:val="left" w:pos="1418"/>
        </w:tabs>
        <w:rPr>
          <w:rFonts w:ascii="Times New Roman" w:hAnsi="Times New Roman" w:cs="Times New Roman"/>
          <w:bCs/>
          <w:lang w:val="lt-LT"/>
        </w:rPr>
      </w:pPr>
      <w:r w:rsidRPr="00710997">
        <w:rPr>
          <w:rFonts w:ascii="Times New Roman" w:hAnsi="Times New Roman" w:cs="Times New Roman"/>
          <w:bCs/>
          <w:lang w:val="lt-LT"/>
        </w:rPr>
        <w:t xml:space="preserve">Lietuvos vienetai, norintys atskaityti pelno mokesčio ar jam tapataus mokesčio sumą, apskaičiuotą ir sumokėtą nuo į vieneto pajamas įtrauktų kontroliuojamojo užsienio vieneto pozityviųjų pajamų, kartu su metine pelno mokesčio deklaracija ir jos atitinkamais priedais turi pateikti laisvos </w:t>
      </w:r>
      <w:r w:rsidRPr="00710997">
        <w:rPr>
          <w:rFonts w:ascii="Times New Roman" w:hAnsi="Times New Roman" w:cs="Times New Roman"/>
          <w:bCs/>
          <w:lang w:val="lt-LT"/>
        </w:rPr>
        <w:lastRenderedPageBreak/>
        <w:t xml:space="preserve">formos pažymą, kurioje nurodo kontroliuojamo užsienio vieneto pozityviųjų pajamų, įtrauktų į vieneto pajamas, sumą atitinkamoje užsienio valstybėje ir pateikia nuo pozityviųjų pajamų toje užsienio valstybėje sumokėto pelno arba jam tapataus mokesčio sumos apskaičiavimą pagal Kontroliuojamojo užsienio vieneto mokesčio nuo pozityviųjų pajamų sumokėjimo dokumentų pateikimo taisykles, patvirtintas Valstybinės mokesčių inspekcijos prie Lietuvos Respublikos finansų ministerijos viršininko 2002 m. lapkričio 21 d. </w:t>
      </w:r>
      <w:r w:rsidRPr="00710997">
        <w:rPr>
          <w:rStyle w:val="Hipersaitas"/>
          <w:rFonts w:ascii="Times New Roman" w:hAnsi="Times New Roman" w:cs="Times New Roman"/>
          <w:lang w:val="lt-LT"/>
        </w:rPr>
        <w:t>įsakymu Nr. 332</w:t>
      </w:r>
      <w:r w:rsidRPr="00710997">
        <w:rPr>
          <w:rFonts w:ascii="Times New Roman" w:hAnsi="Times New Roman" w:cs="Times New Roman"/>
          <w:bCs/>
          <w:lang w:val="lt-LT"/>
        </w:rPr>
        <w:t xml:space="preserve"> „D</w:t>
      </w:r>
      <w:r w:rsidRPr="00710997">
        <w:rPr>
          <w:rFonts w:ascii="Times New Roman" w:hAnsi="Times New Roman" w:cs="Times New Roman"/>
          <w:bCs/>
          <w:color w:val="000000"/>
          <w:shd w:val="clear" w:color="auto" w:fill="FFFFFF"/>
          <w:lang w:val="lt-LT"/>
        </w:rPr>
        <w:t>ėl Kontroliuojamo užsienio vieneto mokesčio nuo pozityviųjų pajamų sumokėjimo dokumentų pateikimo taisyklių”</w:t>
      </w:r>
      <w:r w:rsidRPr="00AE434D">
        <w:rPr>
          <w:rFonts w:ascii="Times New Roman" w:hAnsi="Times New Roman" w:cs="Times New Roman"/>
          <w:bCs/>
          <w:lang w:val="lt-LT"/>
        </w:rPr>
        <w:t>.</w:t>
      </w:r>
    </w:p>
    <w:p w14:paraId="5BCF3349" w14:textId="77777777" w:rsidR="00AE434D" w:rsidRDefault="00AE434D" w:rsidP="00AE434D">
      <w:pPr>
        <w:jc w:val="both"/>
        <w:rPr>
          <w:rFonts w:ascii="Trebuchet MS" w:hAnsi="Trebuchet MS"/>
          <w:sz w:val="20"/>
          <w:szCs w:val="22"/>
          <w:lang w:val="lt-LT"/>
        </w:rPr>
      </w:pPr>
      <w:r>
        <w:rPr>
          <w:iCs/>
          <w:lang w:eastAsia="lt-LT"/>
        </w:rPr>
        <w:t>(PMĮ 50  straipsnio 3 dalies komentaro 1-2  punktai pakeisti pagal VMI prie FM 2024-04-29 raštą Nr. (18.10-31-1 Mr)-R-1612)</w:t>
      </w:r>
    </w:p>
    <w:p w14:paraId="36EF65BD" w14:textId="77777777" w:rsidR="00AE434D" w:rsidRPr="00710997" w:rsidRDefault="00AE434D" w:rsidP="00AE434D">
      <w:pPr>
        <w:pStyle w:val="Pagrindiniotekstotrauka"/>
        <w:tabs>
          <w:tab w:val="left" w:pos="720"/>
          <w:tab w:val="left" w:pos="1077"/>
          <w:tab w:val="left" w:pos="1418"/>
        </w:tabs>
        <w:rPr>
          <w:rFonts w:ascii="Times New Roman" w:hAnsi="Times New Roman" w:cs="Times New Roman"/>
          <w:bCs/>
          <w:strike/>
          <w:lang w:val="lt-LT"/>
        </w:rPr>
      </w:pPr>
    </w:p>
    <w:p w14:paraId="191EE4EB" w14:textId="77777777" w:rsidR="00093845" w:rsidRDefault="000D779E" w:rsidP="00CB66E8">
      <w:pPr>
        <w:spacing w:after="0"/>
        <w:jc w:val="both"/>
        <w:rPr>
          <w:b/>
          <w:lang w:val="lt-LT"/>
        </w:rPr>
      </w:pPr>
      <w:r>
        <w:rPr>
          <w:b/>
          <w:lang w:val="lt-LT"/>
        </w:rPr>
        <w:t xml:space="preserve">            4. Šio straipsnio 1 dalies 3, 5, 6</w:t>
      </w:r>
      <w:r>
        <w:rPr>
          <w:b/>
          <w:bCs/>
          <w:lang w:val="lt-LT"/>
        </w:rPr>
        <w:t xml:space="preserve"> </w:t>
      </w:r>
      <w:r>
        <w:rPr>
          <w:b/>
          <w:lang w:val="lt-LT"/>
        </w:rPr>
        <w:t>punktuose, 2 dalies 1 punkte ir 3 dalies 1 punkte nustatytos ataskaitos ir deklaracijos</w:t>
      </w:r>
      <w:r>
        <w:rPr>
          <w:b/>
          <w:bCs/>
          <w:lang w:val="lt-LT"/>
        </w:rPr>
        <w:t xml:space="preserve"> </w:t>
      </w:r>
      <w:r>
        <w:rPr>
          <w:b/>
          <w:lang w:val="lt-LT"/>
        </w:rPr>
        <w:t>pateikiamos tik tuo atveju, jei per mokestinį laikotarpį vienetas atliko atitinkamas ūkines operacijas</w:t>
      </w:r>
    </w:p>
    <w:p w14:paraId="5140DC5E" w14:textId="77777777" w:rsidR="00093845" w:rsidRPr="00892E40" w:rsidRDefault="000D779E" w:rsidP="00CB66E8">
      <w:pPr>
        <w:spacing w:after="0"/>
        <w:jc w:val="both"/>
        <w:rPr>
          <w:i/>
          <w:color w:val="000000"/>
          <w:lang w:val="lt-LT"/>
        </w:rPr>
      </w:pPr>
      <w:r w:rsidRPr="00892E40">
        <w:rPr>
          <w:i/>
          <w:lang w:val="lt-LT"/>
        </w:rPr>
        <w:t>(</w:t>
      </w:r>
      <w:r w:rsidRPr="00892E40">
        <w:rPr>
          <w:i/>
          <w:iCs/>
          <w:color w:val="000000"/>
          <w:lang w:val="lt-LT" w:eastAsia="lt-LT"/>
        </w:rPr>
        <w:t>KEISTA: 2007 05 03 įstatymu Nr. X-1110 (nuo 2007 05 19)</w:t>
      </w:r>
      <w:r w:rsidR="00F31096" w:rsidRPr="00892E40">
        <w:rPr>
          <w:i/>
          <w:iCs/>
          <w:color w:val="000000"/>
          <w:lang w:val="lt-LT" w:eastAsia="lt-LT"/>
        </w:rPr>
        <w:t>,</w:t>
      </w:r>
      <w:r w:rsidR="006C217A" w:rsidRPr="00892E40">
        <w:rPr>
          <w:i/>
          <w:lang w:val="lt-LT"/>
        </w:rPr>
        <w:t xml:space="preserve"> </w:t>
      </w:r>
      <w:r w:rsidR="006C217A" w:rsidRPr="00892E40">
        <w:rPr>
          <w:i/>
          <w:iCs/>
          <w:color w:val="000000"/>
          <w:lang w:val="lt-LT" w:eastAsia="lt-LT"/>
        </w:rPr>
        <w:t>taikoma apskaičiuojant 2007 metais prasidėjusio mokestinio laikotarpio ir vėlesnių mokestinių laikotarpių apmokestinamąjį pelną</w:t>
      </w:r>
      <w:r w:rsidRPr="00892E40">
        <w:rPr>
          <w:i/>
          <w:color w:val="000000"/>
          <w:lang w:val="lt-LT"/>
        </w:rPr>
        <w:t>)</w:t>
      </w:r>
    </w:p>
    <w:p w14:paraId="4052E98D" w14:textId="77777777" w:rsidR="00093845" w:rsidRDefault="000D779E" w:rsidP="006257B3">
      <w:pPr>
        <w:ind w:firstLine="720"/>
        <w:jc w:val="both"/>
        <w:rPr>
          <w:b/>
          <w:bCs/>
          <w:color w:val="000000"/>
          <w:lang w:val="lt-LT"/>
        </w:rPr>
      </w:pPr>
      <w:r>
        <w:rPr>
          <w:b/>
          <w:bCs/>
          <w:color w:val="000000"/>
          <w:lang w:val="lt-LT"/>
        </w:rPr>
        <w:t>Komentaras</w:t>
      </w:r>
    </w:p>
    <w:p w14:paraId="47D6932D" w14:textId="77777777" w:rsidR="009A54A8" w:rsidRPr="006219D8" w:rsidRDefault="006219D8" w:rsidP="006219D8">
      <w:pPr>
        <w:ind w:firstLine="709"/>
        <w:jc w:val="both"/>
        <w:rPr>
          <w:lang w:val="lt-LT"/>
        </w:rPr>
      </w:pPr>
      <w:r w:rsidRPr="00710997">
        <w:rPr>
          <w:lang w:val="lt-LT"/>
        </w:rPr>
        <w:t>Šio straipsnio 1 dalies 3, 5, 6</w:t>
      </w:r>
      <w:r w:rsidRPr="00710997">
        <w:rPr>
          <w:bCs/>
          <w:lang w:val="lt-LT"/>
        </w:rPr>
        <w:t xml:space="preserve"> </w:t>
      </w:r>
      <w:r w:rsidRPr="00710997">
        <w:rPr>
          <w:lang w:val="lt-LT"/>
        </w:rPr>
        <w:t xml:space="preserve">punktuose, 2 dalies 1 punkte ir 3 dalies 1 punkte nustatytos ataskaitos ir deklaracijos: Užsienio apmokestinamiesiems vienetams išmokėtų pajamų (sumų) ir nuo jų apskaičiuoto pelno mokesčio deklaracijos FR0313, </w:t>
      </w:r>
      <w:r w:rsidRPr="00710997">
        <w:rPr>
          <w:color w:val="000000"/>
          <w:lang w:val="lt-LT"/>
        </w:rPr>
        <w:t xml:space="preserve">Dividendų pelno mokesčio deklaracijos FR0640, </w:t>
      </w:r>
      <w:r w:rsidRPr="00710997">
        <w:rPr>
          <w:bCs/>
          <w:color w:val="000000"/>
          <w:shd w:val="clear" w:color="auto" w:fill="FFFFFF"/>
          <w:lang w:val="lt-LT"/>
        </w:rPr>
        <w:t xml:space="preserve">Metinės fiksuoto pelno mokesčio deklaracijos PLN205, </w:t>
      </w:r>
      <w:r w:rsidRPr="00710997">
        <w:rPr>
          <w:color w:val="000000"/>
          <w:shd w:val="clear" w:color="auto" w:fill="FFFFFF"/>
          <w:lang w:val="lt-LT"/>
        </w:rPr>
        <w:t xml:space="preserve">Asocijuotų asmenų tarpusavio sandorių arba ūkinių operacijų ataskaitos FR0528 ir </w:t>
      </w:r>
      <w:r w:rsidRPr="00710997">
        <w:rPr>
          <w:bCs/>
          <w:lang w:val="lt-LT"/>
        </w:rPr>
        <w:t xml:space="preserve">Išvestinių finansinių priemonių ataskaitos FR0314 formos, yra </w:t>
      </w:r>
      <w:r w:rsidRPr="00710997">
        <w:rPr>
          <w:lang w:val="lt-LT"/>
        </w:rPr>
        <w:t xml:space="preserve">pateikiamos mokesčių administratoriui šių formų užpildymo ir </w:t>
      </w:r>
      <w:r>
        <w:rPr>
          <w:lang w:val="lt-LT"/>
        </w:rPr>
        <w:t>pa</w:t>
      </w:r>
      <w:r w:rsidRPr="00710997">
        <w:rPr>
          <w:lang w:val="lt-LT"/>
        </w:rPr>
        <w:t>teikimo taisyklėse nustatytais atvejais ir tvarka.</w:t>
      </w:r>
    </w:p>
    <w:p w14:paraId="0DD8EDBB" w14:textId="77777777" w:rsidR="00093845" w:rsidRDefault="000D779E">
      <w:pPr>
        <w:tabs>
          <w:tab w:val="left" w:pos="720"/>
          <w:tab w:val="left" w:pos="1077"/>
          <w:tab w:val="left" w:pos="1418"/>
        </w:tabs>
        <w:jc w:val="both"/>
        <w:rPr>
          <w:b/>
          <w:lang w:val="lt-LT"/>
        </w:rPr>
      </w:pPr>
      <w:r>
        <w:rPr>
          <w:b/>
          <w:lang w:val="lt-LT"/>
        </w:rPr>
        <w:tab/>
        <w:t>5.</w:t>
      </w:r>
      <w:r>
        <w:rPr>
          <w:b/>
          <w:lang w:val="lt-LT"/>
        </w:rPr>
        <w:tab/>
        <w:t>Šio straipsnio 3 dalies 1 punkte nustatyta ataskaita saugoma vienete.</w:t>
      </w:r>
    </w:p>
    <w:p w14:paraId="5624E43E" w14:textId="77777777" w:rsidR="00093845" w:rsidRDefault="000D779E">
      <w:pPr>
        <w:tabs>
          <w:tab w:val="left" w:pos="720"/>
          <w:tab w:val="left" w:pos="1077"/>
          <w:tab w:val="left" w:pos="1418"/>
        </w:tabs>
        <w:jc w:val="both"/>
        <w:rPr>
          <w:b/>
          <w:lang w:val="lt-LT"/>
        </w:rPr>
      </w:pPr>
      <w:r>
        <w:rPr>
          <w:b/>
          <w:lang w:val="lt-LT"/>
        </w:rPr>
        <w:tab/>
        <w:t>Komentaras</w:t>
      </w:r>
    </w:p>
    <w:p w14:paraId="6054F909" w14:textId="77777777" w:rsidR="006219D8" w:rsidRPr="00710997" w:rsidRDefault="006219D8" w:rsidP="006219D8">
      <w:pPr>
        <w:tabs>
          <w:tab w:val="left" w:pos="720"/>
          <w:tab w:val="left" w:pos="1077"/>
          <w:tab w:val="left" w:pos="1418"/>
        </w:tabs>
        <w:ind w:firstLine="720"/>
        <w:jc w:val="both"/>
        <w:rPr>
          <w:bCs/>
          <w:lang w:val="lt-LT"/>
        </w:rPr>
      </w:pPr>
      <w:r w:rsidRPr="00710997">
        <w:rPr>
          <w:bCs/>
          <w:lang w:val="lt-LT"/>
        </w:rPr>
        <w:t xml:space="preserve">Lietuvos vienetai ir užsienio vienetų nuolatinės buveinės užpildytą Išvestinių finansinių priemonių ataskaitos FR0314 formą, patvirtintą Valstybinės mokesčių inspekcijos prie Lietuvos Respublikos finansų ministerijos viršininko 2002 m. balandžio 22 d. </w:t>
      </w:r>
      <w:r w:rsidRPr="00710997">
        <w:rPr>
          <w:rStyle w:val="Hipersaitas"/>
          <w:lang w:val="lt-LT"/>
        </w:rPr>
        <w:t>įsakymu Nr. 107</w:t>
      </w:r>
      <w:r w:rsidRPr="00710997">
        <w:rPr>
          <w:bCs/>
          <w:lang w:val="lt-LT"/>
        </w:rPr>
        <w:t xml:space="preserve"> </w:t>
      </w:r>
      <w:r w:rsidRPr="00710997">
        <w:rPr>
          <w:color w:val="000000"/>
        </w:rPr>
        <w:t>,,</w:t>
      </w:r>
      <w:r w:rsidRPr="00710997">
        <w:rPr>
          <w:bCs/>
          <w:color w:val="000000"/>
        </w:rPr>
        <w:t xml:space="preserve"> </w:t>
      </w:r>
      <w:r w:rsidRPr="00710997">
        <w:rPr>
          <w:bCs/>
          <w:color w:val="000000"/>
          <w:lang w:val="lt-LT"/>
        </w:rPr>
        <w:t>Dėl Išvestinių finansinių priemonių ataskaitos FR0314 formos ir jos užpildymo taisyklių patvirtinimo</w:t>
      </w:r>
      <w:r w:rsidRPr="00710997">
        <w:rPr>
          <w:bCs/>
          <w:color w:val="000000"/>
        </w:rPr>
        <w:t xml:space="preserve">“ </w:t>
      </w:r>
      <w:r w:rsidRPr="00710997">
        <w:rPr>
          <w:bCs/>
          <w:lang w:val="lt-LT"/>
        </w:rPr>
        <w:t>saugo vienete. Ši ataskaita pateikiama tik mokesčių administratoriui pareikalavus.</w:t>
      </w:r>
    </w:p>
    <w:p w14:paraId="36E2B84B" w14:textId="77777777" w:rsidR="00093845" w:rsidRDefault="00093845">
      <w:pPr>
        <w:tabs>
          <w:tab w:val="left" w:pos="720"/>
          <w:tab w:val="left" w:pos="1077"/>
          <w:tab w:val="left" w:pos="1418"/>
        </w:tabs>
        <w:jc w:val="both"/>
        <w:rPr>
          <w:b/>
          <w:lang w:val="lt-LT"/>
        </w:rPr>
      </w:pPr>
    </w:p>
    <w:p w14:paraId="32C4EFE9" w14:textId="77777777" w:rsidR="00093845" w:rsidRDefault="000D779E" w:rsidP="00CB66E8">
      <w:pPr>
        <w:pStyle w:val="Pagrindiniotekstotrauka"/>
        <w:spacing w:after="0"/>
        <w:rPr>
          <w:b/>
          <w:lang w:val="lt-LT"/>
        </w:rPr>
      </w:pPr>
      <w:r>
        <w:rPr>
          <w:b/>
          <w:lang w:val="lt-LT"/>
        </w:rPr>
        <w:t>6.</w:t>
      </w:r>
      <w:r>
        <w:rPr>
          <w:b/>
          <w:bCs/>
          <w:lang w:val="lt-LT"/>
        </w:rPr>
        <w:t xml:space="preserve"> </w:t>
      </w:r>
      <w:r>
        <w:rPr>
          <w:b/>
          <w:lang w:val="lt-LT"/>
        </w:rPr>
        <w:t>Deklaracijų ir ataskaitų formas, jų užpildymo tvarką ir atvejus, kada pildoma šio straipsnio 3 dalies 1 punkte nustatyta ataskaita, nustato centrinis mokesčio administratorius</w:t>
      </w:r>
    </w:p>
    <w:p w14:paraId="48348F3E" w14:textId="77777777" w:rsidR="00093845" w:rsidRDefault="000D779E" w:rsidP="00CB66E8">
      <w:pPr>
        <w:spacing w:after="0"/>
        <w:jc w:val="both"/>
        <w:rPr>
          <w:i/>
          <w:iCs/>
          <w:color w:val="000000"/>
          <w:lang w:eastAsia="lt-LT"/>
        </w:rPr>
      </w:pPr>
      <w:r w:rsidRPr="00892E40">
        <w:rPr>
          <w:i/>
          <w:iCs/>
          <w:lang w:val="lt-LT"/>
        </w:rPr>
        <w:t>(</w:t>
      </w:r>
      <w:r w:rsidRPr="00892E40">
        <w:rPr>
          <w:i/>
          <w:iCs/>
          <w:color w:val="000000"/>
        </w:rPr>
        <w:t>KEISTA:</w:t>
      </w:r>
      <w:r w:rsidRPr="00892E40">
        <w:rPr>
          <w:i/>
          <w:iCs/>
          <w:color w:val="000000"/>
          <w:lang w:val="lt-LT"/>
        </w:rPr>
        <w:t xml:space="preserve"> </w:t>
      </w:r>
      <w:r w:rsidRPr="00892E40">
        <w:rPr>
          <w:i/>
          <w:iCs/>
          <w:color w:val="000000"/>
        </w:rPr>
        <w:t>2008 04 10 įstatymu Nr. X-1484 (nuo 2008 04 24)</w:t>
      </w:r>
      <w:r w:rsidRPr="00892E40">
        <w:rPr>
          <w:i/>
          <w:iCs/>
          <w:color w:val="000000"/>
          <w:lang w:eastAsia="lt-LT"/>
        </w:rPr>
        <w:t>)</w:t>
      </w:r>
    </w:p>
    <w:p w14:paraId="23680FF2" w14:textId="77777777" w:rsidR="00892E40" w:rsidRPr="00892E40" w:rsidRDefault="00892E40" w:rsidP="00CB66E8">
      <w:pPr>
        <w:spacing w:after="0"/>
        <w:jc w:val="both"/>
        <w:rPr>
          <w:i/>
          <w:color w:val="000000"/>
          <w:lang w:eastAsia="lt-LT"/>
        </w:rPr>
      </w:pPr>
    </w:p>
    <w:p w14:paraId="6A388942" w14:textId="77777777" w:rsidR="00093845" w:rsidRDefault="000D779E">
      <w:pPr>
        <w:ind w:firstLine="720"/>
        <w:jc w:val="both"/>
        <w:rPr>
          <w:b/>
          <w:bCs/>
          <w:lang w:val="lt-LT"/>
        </w:rPr>
      </w:pPr>
      <w:r>
        <w:rPr>
          <w:b/>
          <w:bCs/>
          <w:lang w:val="lt-LT"/>
        </w:rPr>
        <w:t>Komentaras</w:t>
      </w:r>
    </w:p>
    <w:p w14:paraId="15F69AB8" w14:textId="77777777" w:rsidR="00AE5C59" w:rsidRDefault="00AE5C59" w:rsidP="00AE5C59">
      <w:pPr>
        <w:pStyle w:val="Pagrindinistekstas"/>
        <w:tabs>
          <w:tab w:val="left" w:pos="720"/>
          <w:tab w:val="left" w:pos="1077"/>
          <w:tab w:val="left" w:pos="1418"/>
        </w:tabs>
        <w:rPr>
          <w:lang w:val="lt-LT"/>
        </w:rPr>
      </w:pPr>
      <w:r w:rsidRPr="00CB128F">
        <w:rPr>
          <w:lang w:val="lt-LT"/>
        </w:rPr>
        <w:t xml:space="preserve">Valstybinė mokesčių inspekcija prie Lietuvos Respublikos finansų ministerijos nustato deklaracijų (metinės pelno mokesčio deklaracijos, avansinio pelno mokesčio deklaracijos, deklaracijos apie užsienio vienetui išmokėtas pajamas (sumas) ir apskaičiuotą bei į biudžetą sumokėtą pelno mokestį, užsienio vieneto, vykdančio veiklą Lietuvos Respublikoje (nuolatinės buveinės) deklaracijos, deklaracijos apie nuo gautų ir išmokėtų dividendų apskaičiuotą ir sumokėtą pelno mokestį, metinės fiksuoto pelno mokesčio deklaracijos ir kitų deklaracijų) ir ataskaitų (asocijuotų asmenų tarpusavio sandorių arba ūkinių operacijų ataskaitos, ataskaitos apie kontroliuojamuosius ir kontroliuojančius </w:t>
      </w:r>
      <w:r w:rsidRPr="00CB128F">
        <w:rPr>
          <w:lang w:val="lt-LT"/>
        </w:rPr>
        <w:lastRenderedPageBreak/>
        <w:t xml:space="preserve">vienetus bei gyventojus, išvestinių finansinių priemonių ataskaitos ir kitų ataskaitų) formas ir jų užpildymo </w:t>
      </w:r>
      <w:r w:rsidRPr="00710997">
        <w:rPr>
          <w:lang w:val="lt-LT"/>
        </w:rPr>
        <w:t>bei pateikimo</w:t>
      </w:r>
      <w:r>
        <w:rPr>
          <w:lang w:val="lt-LT"/>
        </w:rPr>
        <w:t xml:space="preserve"> </w:t>
      </w:r>
      <w:r w:rsidRPr="00CB128F">
        <w:rPr>
          <w:lang w:val="lt-LT"/>
        </w:rPr>
        <w:t xml:space="preserve">tvarką. </w:t>
      </w:r>
    </w:p>
    <w:p w14:paraId="309A5458" w14:textId="77777777" w:rsidR="00093845" w:rsidRPr="00AE5C59" w:rsidRDefault="00124C4A" w:rsidP="00AE5C59">
      <w:pPr>
        <w:jc w:val="both"/>
        <w:rPr>
          <w:rFonts w:ascii="Trebuchet MS" w:hAnsi="Trebuchet MS"/>
          <w:sz w:val="20"/>
          <w:szCs w:val="22"/>
          <w:lang w:val="lt-LT"/>
        </w:rPr>
      </w:pPr>
      <w:r>
        <w:rPr>
          <w:iCs/>
          <w:lang w:eastAsia="lt-LT"/>
        </w:rPr>
        <w:t>(</w:t>
      </w:r>
      <w:r w:rsidR="00AE5C59">
        <w:rPr>
          <w:iCs/>
          <w:lang w:eastAsia="lt-LT"/>
        </w:rPr>
        <w:t>PMĮ 50  straipsnio 4 - 6  dalių komentaras pakeistas pagal VMI prie FM 2024-04-29 raštą Nr. (18.10-31-1 Mr)-R-1612)</w:t>
      </w:r>
    </w:p>
    <w:p w14:paraId="2BA28318" w14:textId="77777777" w:rsidR="00093845" w:rsidRDefault="000D779E">
      <w:pPr>
        <w:ind w:firstLine="720"/>
        <w:jc w:val="both"/>
        <w:rPr>
          <w:b/>
          <w:bCs/>
          <w:color w:val="000000"/>
          <w:lang w:val="lt-LT"/>
        </w:rPr>
      </w:pPr>
      <w:bookmarkStart w:id="592" w:name="_51_straipsnis._Metinės"/>
      <w:bookmarkEnd w:id="592"/>
      <w:r w:rsidRPr="0065344A">
        <w:rPr>
          <w:lang w:val="lt-LT"/>
        </w:rPr>
        <w:t xml:space="preserve"> </w:t>
      </w:r>
      <w:r>
        <w:rPr>
          <w:b/>
          <w:bCs/>
          <w:lang w:val="lt-LT"/>
        </w:rPr>
        <w:t xml:space="preserve">51 STRAIPSNIS   </w:t>
      </w:r>
      <w:r>
        <w:rPr>
          <w:b/>
          <w:bCs/>
          <w:color w:val="000000"/>
          <w:lang w:val="lt-LT"/>
        </w:rPr>
        <w:t>Metinės pelno mokesčio deklaracijos, metinės fiksuoto pelno mokesčio deklaracijos ir avansinio pelno mokesčio deklaracijos pateikimas.</w:t>
      </w:r>
    </w:p>
    <w:p w14:paraId="148C025E" w14:textId="77777777" w:rsidR="00093845" w:rsidRDefault="00093845">
      <w:pPr>
        <w:ind w:firstLine="720"/>
        <w:jc w:val="both"/>
        <w:rPr>
          <w:b/>
          <w:bCs/>
          <w:color w:val="000000"/>
          <w:lang w:val="lt-LT"/>
        </w:rPr>
      </w:pPr>
    </w:p>
    <w:p w14:paraId="5A439109" w14:textId="77777777" w:rsidR="00093845" w:rsidRDefault="000D779E" w:rsidP="00CB66E8">
      <w:pPr>
        <w:tabs>
          <w:tab w:val="left" w:pos="8280"/>
        </w:tabs>
        <w:spacing w:after="0"/>
        <w:ind w:firstLine="720"/>
        <w:jc w:val="both"/>
        <w:rPr>
          <w:rFonts w:eastAsia="Arial Unicode MS"/>
          <w:b/>
          <w:bCs/>
          <w:lang w:val="lt-LT"/>
        </w:rPr>
      </w:pPr>
      <w:r w:rsidRPr="0065344A">
        <w:rPr>
          <w:b/>
          <w:bCs/>
          <w:lang w:val="lt-LT"/>
        </w:rPr>
        <w:t xml:space="preserve"> </w:t>
      </w:r>
      <w:r>
        <w:rPr>
          <w:b/>
          <w:bCs/>
          <w:lang w:val="lt-LT"/>
        </w:rPr>
        <w:t>1. Lietuvos vienetai ir nuolatinės buveinės, kurių pajamos apmokestinamos šio Įstatymo nustatyta tvarka, privalo užpildyti metines pelno mokesčio ir (arba) metines fiksuoto pelno mokesčio bei avansinio pelno mokesčio deklaracijas ir pateikti jas tam vietos mokesčio administratoriui, kurio veiklos teritorijoje jie yra arba privalo būti įregistruoti mokesčio mokėtojais. Vienetai, gautą paramą panaudoję ne pagal Lietuvos Respublikos labdaros ir paramos įstatyme nustatytą paramos paskirtį, taip pat iš vieno paramos teikėjo per mokestinį laikotarpį grynais pinigais gavę paramą, viršijančią 250 MGL dydžio sumą, privalo užpildyti metines pelno mokesčio deklaracijas ir pateikti jas tam vietos mokesčio administratoriui, kurio veiklos teritorijoje jie yra arba privalo būti įregistruoti mokesčio mokėtojais.</w:t>
      </w:r>
    </w:p>
    <w:p w14:paraId="6D1FEBA5"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7CA00FED" w14:textId="77777777" w:rsidR="00892E40" w:rsidRPr="00892E40" w:rsidRDefault="00892E40" w:rsidP="00CB66E8">
      <w:pPr>
        <w:spacing w:after="0"/>
        <w:jc w:val="both"/>
        <w:rPr>
          <w:bCs/>
          <w:i/>
          <w:lang w:val="lt-LT"/>
        </w:rPr>
      </w:pPr>
    </w:p>
    <w:p w14:paraId="238FE206" w14:textId="77777777" w:rsidR="00093845" w:rsidRDefault="000D779E">
      <w:pPr>
        <w:keepNext/>
        <w:tabs>
          <w:tab w:val="left" w:pos="8280"/>
        </w:tabs>
        <w:jc w:val="both"/>
        <w:outlineLvl w:val="0"/>
        <w:rPr>
          <w:rFonts w:eastAsia="Arial Unicode MS"/>
          <w:b/>
          <w:bCs/>
          <w:kern w:val="36"/>
          <w:lang w:val="lt-LT"/>
        </w:rPr>
      </w:pPr>
      <w:r>
        <w:rPr>
          <w:rFonts w:eastAsia="Arial Unicode MS"/>
          <w:b/>
          <w:bCs/>
          <w:kern w:val="36"/>
          <w:lang w:val="lt-LT"/>
        </w:rPr>
        <w:t xml:space="preserve">          Komentaras</w:t>
      </w:r>
    </w:p>
    <w:p w14:paraId="61DEBB72" w14:textId="77777777" w:rsidR="00093845" w:rsidRDefault="000D779E">
      <w:pPr>
        <w:tabs>
          <w:tab w:val="left" w:pos="720"/>
          <w:tab w:val="left" w:pos="1077"/>
          <w:tab w:val="left" w:pos="1418"/>
        </w:tabs>
        <w:ind w:firstLine="720"/>
        <w:jc w:val="both"/>
        <w:rPr>
          <w:lang w:val="lt-LT" w:eastAsia="lt-LT"/>
        </w:rPr>
      </w:pPr>
      <w:r>
        <w:rPr>
          <w:lang w:val="lt-LT"/>
        </w:rPr>
        <w:t xml:space="preserve">1. Visi pelno mokesčio mokėtojai, kurių pajamos apmokestinamos PMĮ nustatyta tvarka,  mokesčių administratoriui teikia metines pelno mokesčio deklaracijas ir avansinio pelno mokesčio deklaracijas ir (arba) metines fiksuoto pelno mokesčio deklaracijas </w:t>
      </w:r>
      <w:r>
        <w:rPr>
          <w:lang w:val="lt-LT" w:eastAsia="lt-LT"/>
        </w:rPr>
        <w:t>Mokesčių deklaracijų pateikimo, jų pateikimo termino pratęsimo ir mokesčių mokėtojų laikino atleidimo nuo mokesčių deklaracijų ir (arba) kitų teisės aktuose nurodytų dokumentų pateikimo taisyklėse, patvirtintose Valstybinės mokesčių inspekcijos prie Lietuvos Respublikos finansų ministerijos viršininko 2004 m. liepos 9 d. įsakymu Nr. VA-135 „Dėl Mokesčių deklaracijų pateikimo, priėmimo, jų pateikimo termino pratęsimo ir veiklos nevykdančių mokesčių mokėtojų laikino atleidimo nuo mokesčių deklaracijų pateikimo taisyklių patvirtinimo“ (toliau – Deklaracijų pateikimo taisyklės) nustatyta tvarka.</w:t>
      </w:r>
    </w:p>
    <w:p w14:paraId="38C9F841" w14:textId="77777777" w:rsidR="00093845" w:rsidRDefault="000D779E">
      <w:pPr>
        <w:ind w:firstLine="720"/>
        <w:jc w:val="both"/>
        <w:rPr>
          <w:lang w:val="lt-LT"/>
        </w:rPr>
      </w:pPr>
      <w:r>
        <w:rPr>
          <w:lang w:val="lt-LT"/>
        </w:rPr>
        <w:t xml:space="preserve">Nuo 2016 m. spalio 1 d. </w:t>
      </w:r>
      <w:r>
        <w:rPr>
          <w:bCs/>
          <w:lang w:val="lt-LT"/>
        </w:rPr>
        <w:t xml:space="preserve">metinės pelno mokesčio ir (arba) metinės fiksuoto pelno mokesčio bei avansinio pelno mokesčio deklaracijos teikiamos tik elektroniniu būdu, </w:t>
      </w:r>
      <w:r>
        <w:rPr>
          <w:lang w:val="lt-LT"/>
        </w:rPr>
        <w:t xml:space="preserve">vadovaujantis Dokumentų teikimo elektroniniu būdu taisyklėmis, patvirtintomis Valstybinės mokesčių inspekcijos prie Lietuvos Respublikos finansų ministerijos viršininko 2010 m. liepos 21 d. įsakymu Nr. VA-83 </w:t>
      </w:r>
      <w:r>
        <w:rPr>
          <w:bCs/>
          <w:lang w:val="lt-LT"/>
        </w:rPr>
        <w:t>,,Dėl Dokumentų teikimo elektroniniu būdu taisyklių patvirtinimo“</w:t>
      </w:r>
      <w:r>
        <w:rPr>
          <w:lang w:val="lt-LT"/>
        </w:rPr>
        <w:t>.</w:t>
      </w:r>
    </w:p>
    <w:p w14:paraId="3745A869" w14:textId="77777777" w:rsidR="00093845" w:rsidRDefault="000D779E">
      <w:pPr>
        <w:tabs>
          <w:tab w:val="left" w:pos="720"/>
          <w:tab w:val="left" w:pos="1077"/>
          <w:tab w:val="left" w:pos="1418"/>
        </w:tabs>
        <w:ind w:firstLine="720"/>
        <w:jc w:val="both"/>
        <w:rPr>
          <w:lang w:val="lt-LT"/>
        </w:rPr>
      </w:pPr>
      <w:r>
        <w:rPr>
          <w:lang w:val="lt-LT"/>
        </w:rPr>
        <w:t>Metinių pelno mokesčio deklaracijų bei avansinio pelno mokesčio deklaracijų neteikia:</w:t>
      </w:r>
    </w:p>
    <w:p w14:paraId="065A92F9" w14:textId="77777777" w:rsidR="00093845" w:rsidRDefault="000D779E" w:rsidP="00CB66E8">
      <w:pPr>
        <w:tabs>
          <w:tab w:val="left" w:pos="720"/>
          <w:tab w:val="left" w:pos="1077"/>
          <w:tab w:val="left" w:pos="1418"/>
        </w:tabs>
        <w:spacing w:after="0"/>
        <w:ind w:firstLine="720"/>
        <w:jc w:val="both"/>
        <w:rPr>
          <w:lang w:val="lt-LT"/>
        </w:rPr>
      </w:pPr>
      <w:r>
        <w:rPr>
          <w:lang w:val="lt-LT"/>
        </w:rPr>
        <w:t>- biudžetinės įstaigos,</w:t>
      </w:r>
    </w:p>
    <w:p w14:paraId="5BC5113A" w14:textId="77777777" w:rsidR="00093845" w:rsidRDefault="000D779E" w:rsidP="00CB66E8">
      <w:pPr>
        <w:tabs>
          <w:tab w:val="left" w:pos="720"/>
          <w:tab w:val="left" w:pos="1077"/>
          <w:tab w:val="left" w:pos="1418"/>
        </w:tabs>
        <w:spacing w:after="0"/>
        <w:ind w:firstLine="720"/>
        <w:jc w:val="both"/>
        <w:rPr>
          <w:lang w:val="lt-LT"/>
        </w:rPr>
      </w:pPr>
      <w:r>
        <w:rPr>
          <w:lang w:val="lt-LT"/>
        </w:rPr>
        <w:t>- Lietuvos bankas,</w:t>
      </w:r>
    </w:p>
    <w:p w14:paraId="3232D5CF" w14:textId="77777777" w:rsidR="00093845" w:rsidRDefault="000D779E" w:rsidP="00CB66E8">
      <w:pPr>
        <w:tabs>
          <w:tab w:val="left" w:pos="720"/>
          <w:tab w:val="left" w:pos="1077"/>
          <w:tab w:val="left" w:pos="1418"/>
        </w:tabs>
        <w:spacing w:after="0"/>
        <w:ind w:firstLine="720"/>
        <w:jc w:val="both"/>
        <w:rPr>
          <w:lang w:val="lt-LT"/>
        </w:rPr>
      </w:pPr>
      <w:r>
        <w:rPr>
          <w:lang w:val="lt-LT"/>
        </w:rPr>
        <w:t>- valstybė ir savivaldybės,</w:t>
      </w:r>
    </w:p>
    <w:p w14:paraId="634123B7" w14:textId="77777777" w:rsidR="00093845" w:rsidRDefault="000D779E" w:rsidP="00CB66E8">
      <w:pPr>
        <w:tabs>
          <w:tab w:val="left" w:pos="720"/>
          <w:tab w:val="left" w:pos="1077"/>
          <w:tab w:val="left" w:pos="1418"/>
        </w:tabs>
        <w:spacing w:after="0"/>
        <w:ind w:firstLine="720"/>
        <w:jc w:val="both"/>
        <w:rPr>
          <w:lang w:val="lt-LT"/>
        </w:rPr>
      </w:pPr>
      <w:r>
        <w:rPr>
          <w:lang w:val="lt-LT"/>
        </w:rPr>
        <w:t>- valstybės ir vietos savivaldos institucijos, įstaigos, tarnybos ar organizacijos,</w:t>
      </w:r>
    </w:p>
    <w:p w14:paraId="55040230" w14:textId="77777777" w:rsidR="00093845" w:rsidRDefault="000D779E" w:rsidP="00CB66E8">
      <w:pPr>
        <w:tabs>
          <w:tab w:val="left" w:pos="720"/>
          <w:tab w:val="left" w:pos="1077"/>
          <w:tab w:val="left" w:pos="1418"/>
        </w:tabs>
        <w:spacing w:after="0"/>
        <w:ind w:firstLine="720"/>
        <w:jc w:val="both"/>
        <w:rPr>
          <w:strike/>
          <w:lang w:val="lt-LT"/>
        </w:rPr>
      </w:pPr>
      <w:r>
        <w:rPr>
          <w:lang w:val="lt-LT"/>
        </w:rPr>
        <w:t>- valstybės įmonė „Indėlių ir investicijų draudimas“,</w:t>
      </w:r>
    </w:p>
    <w:p w14:paraId="15D4DC0F" w14:textId="77777777" w:rsidR="00093845" w:rsidRDefault="000D779E" w:rsidP="00CB66E8">
      <w:pPr>
        <w:tabs>
          <w:tab w:val="left" w:pos="720"/>
          <w:tab w:val="left" w:pos="1077"/>
          <w:tab w:val="left" w:pos="1418"/>
        </w:tabs>
        <w:spacing w:after="0"/>
        <w:ind w:firstLine="720"/>
        <w:jc w:val="both"/>
        <w:rPr>
          <w:lang w:val="lt-LT"/>
        </w:rPr>
      </w:pPr>
      <w:r>
        <w:rPr>
          <w:lang w:val="lt-LT"/>
        </w:rPr>
        <w:t>- Europos ekonominių interesų grupės.</w:t>
      </w:r>
    </w:p>
    <w:p w14:paraId="220ADF27" w14:textId="77777777" w:rsidR="00093845" w:rsidRDefault="000D779E">
      <w:pPr>
        <w:ind w:firstLine="720"/>
        <w:jc w:val="both"/>
        <w:rPr>
          <w:lang w:val="lt-LT"/>
        </w:rPr>
      </w:pPr>
      <w:r>
        <w:rPr>
          <w:lang w:val="lt-LT"/>
        </w:rPr>
        <w:t xml:space="preserve">2. Pelno nesiekiantys vienetai, gautą paramą panaudoję ne pagal Lietuvos Respublikos labdaros ir paramos įstatyme nustatytą paramos paskirtį, taip pat iš vieno paramos teikėjo per mokestinį laikotarpį grynais pinigais gavę paramą, didesnę už 250 MGL dydžio sumą, pelno mokestį nuo PMĮ 4 str. 6 dalies mokestinės bazės deklaruoja metinėje pelno mokesčio deklaracijoje ir sumoka tokia pat tvarka, kaip ir pelno mokestį nuo apmokestinamojo pelno. </w:t>
      </w:r>
    </w:p>
    <w:p w14:paraId="161F9B62" w14:textId="77777777" w:rsidR="00093845" w:rsidRDefault="000D779E" w:rsidP="00CB66E8">
      <w:pPr>
        <w:tabs>
          <w:tab w:val="left" w:pos="8280"/>
        </w:tabs>
        <w:spacing w:after="0"/>
        <w:ind w:firstLine="720"/>
        <w:jc w:val="both"/>
        <w:rPr>
          <w:b/>
          <w:bCs/>
          <w:lang w:val="lt-LT"/>
        </w:rPr>
      </w:pPr>
      <w:r>
        <w:rPr>
          <w:rStyle w:val="normal-h"/>
          <w:b/>
          <w:lang w:val="lt-LT"/>
        </w:rPr>
        <w:lastRenderedPageBreak/>
        <w:t>2. Metinė pelno mokesčio ir (arba) metinė fiksuoto pelno mokesčio deklaracijos pateikiamos pasibaigus mokestiniam laikotarpiui iki kito mokestinio laikotarpio šešto mėnesio penkioliktos</w:t>
      </w:r>
      <w:r>
        <w:rPr>
          <w:rStyle w:val="normal-h"/>
          <w:b/>
          <w:bCs/>
          <w:lang w:val="lt-LT"/>
        </w:rPr>
        <w:t xml:space="preserve"> </w:t>
      </w:r>
      <w:r>
        <w:rPr>
          <w:rStyle w:val="normal-h"/>
          <w:b/>
          <w:lang w:val="lt-LT"/>
        </w:rPr>
        <w:t xml:space="preserve">dienos. Lietuvos vieneto arba nuolatinės buveinės paskutinio mokestinio </w:t>
      </w:r>
      <w:r>
        <w:rPr>
          <w:b/>
          <w:bCs/>
          <w:lang w:val="lt-LT"/>
        </w:rPr>
        <w:t>laikotarpio metinė pelno mokesčio ir (arba) metinė fiksuoto pelno mokesčio deklaracijos pateikiamos per 30 dienų nuo veiklos pabaigos.</w:t>
      </w:r>
    </w:p>
    <w:p w14:paraId="5598CBA0" w14:textId="77777777" w:rsidR="00093845" w:rsidRPr="00892E40"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61C8AED6" w14:textId="77777777" w:rsidR="00093845" w:rsidRDefault="000D779E">
      <w:pPr>
        <w:keepNext/>
        <w:tabs>
          <w:tab w:val="left" w:pos="8280"/>
        </w:tabs>
        <w:jc w:val="both"/>
        <w:outlineLvl w:val="0"/>
        <w:rPr>
          <w:rFonts w:eastAsia="Arial Unicode MS"/>
          <w:b/>
          <w:bCs/>
          <w:kern w:val="36"/>
          <w:lang w:val="lt-LT"/>
        </w:rPr>
      </w:pPr>
      <w:r>
        <w:rPr>
          <w:rFonts w:eastAsia="Arial Unicode MS"/>
          <w:b/>
          <w:bCs/>
          <w:kern w:val="36"/>
          <w:lang w:val="lt-LT"/>
        </w:rPr>
        <w:t xml:space="preserve">          Komentaras </w:t>
      </w:r>
    </w:p>
    <w:p w14:paraId="6AE82F4A" w14:textId="77777777" w:rsidR="00093845" w:rsidRDefault="000D779E">
      <w:pPr>
        <w:ind w:right="-82" w:firstLine="720"/>
        <w:jc w:val="both"/>
        <w:rPr>
          <w:lang w:val="lt-LT"/>
        </w:rPr>
      </w:pPr>
      <w:r>
        <w:rPr>
          <w:lang w:val="lt-LT"/>
        </w:rPr>
        <w:t xml:space="preserve">1. Pelno mokesčio mokėtojai metines pelno mokesčio deklaracijas </w:t>
      </w:r>
      <w:r>
        <w:rPr>
          <w:color w:val="000000"/>
          <w:lang w:val="lt-LT"/>
        </w:rPr>
        <w:t>ir/ar metines fiksuoto pelno mokesčio deklaracijas</w:t>
      </w:r>
      <w:r>
        <w:rPr>
          <w:lang w:val="lt-LT"/>
        </w:rPr>
        <w:t xml:space="preserve"> pateikia kalendoriniams metams pasibaigus, iki kitų metų birželio 15 dienos</w:t>
      </w:r>
      <w:r>
        <w:rPr>
          <w:lang w:val="lt-LT" w:eastAsia="lt-LT"/>
        </w:rPr>
        <w:t>.</w:t>
      </w:r>
    </w:p>
    <w:p w14:paraId="686B2B22" w14:textId="77777777" w:rsidR="00093845" w:rsidRDefault="000D779E">
      <w:pPr>
        <w:tabs>
          <w:tab w:val="left" w:pos="720"/>
          <w:tab w:val="left" w:pos="1077"/>
          <w:tab w:val="left" w:pos="1418"/>
          <w:tab w:val="left" w:pos="9720"/>
        </w:tabs>
        <w:ind w:right="-82" w:firstLine="720"/>
        <w:jc w:val="both"/>
        <w:rPr>
          <w:lang w:val="lt-LT"/>
        </w:rPr>
      </w:pPr>
      <w:r>
        <w:rPr>
          <w:lang w:val="lt-LT"/>
        </w:rPr>
        <w:t xml:space="preserve">2. Tie vienetai, kuriems, atsižvelgiant į veiklos ypatybes, AVMI viršininko sprendimu patvirtintas kitas mokestinis laikotarpis, ne kalendoriniai mokestiniai metai, metines pelno mokesčio deklaracijas </w:t>
      </w:r>
      <w:r>
        <w:rPr>
          <w:color w:val="000000"/>
          <w:lang w:val="lt-LT"/>
        </w:rPr>
        <w:t>ir (arba) metines fiksuoto pelno mokesčio deklaracijas</w:t>
      </w:r>
      <w:r>
        <w:rPr>
          <w:lang w:val="lt-LT"/>
        </w:rPr>
        <w:t xml:space="preserve"> turi pateikti ne vėliau (gali pateikti ir anksčiau) kaip iki kitų mokestinių metų šešto mėnesio 15 dienos.</w:t>
      </w:r>
    </w:p>
    <w:p w14:paraId="72629DED" w14:textId="77777777" w:rsidR="00093845" w:rsidRDefault="000D779E">
      <w:pPr>
        <w:tabs>
          <w:tab w:val="left" w:pos="720"/>
          <w:tab w:val="left" w:pos="1077"/>
          <w:tab w:val="left" w:pos="1418"/>
          <w:tab w:val="left" w:pos="9720"/>
        </w:tabs>
        <w:ind w:right="-82" w:firstLine="720"/>
        <w:jc w:val="both"/>
        <w:rPr>
          <w:lang w:val="lt-LT"/>
        </w:rPr>
      </w:pPr>
      <w:r>
        <w:rPr>
          <w:lang w:val="lt-LT"/>
        </w:rPr>
        <w:t>Pavyzdys</w:t>
      </w:r>
    </w:p>
    <w:p w14:paraId="4C51807D" w14:textId="77777777" w:rsidR="00093845" w:rsidRDefault="000D779E">
      <w:pPr>
        <w:pBdr>
          <w:top w:val="single" w:sz="4" w:space="1" w:color="auto"/>
          <w:left w:val="single" w:sz="4" w:space="4" w:color="auto"/>
          <w:bottom w:val="single" w:sz="4" w:space="1" w:color="auto"/>
          <w:right w:val="single" w:sz="4" w:space="0" w:color="auto"/>
        </w:pBdr>
        <w:tabs>
          <w:tab w:val="left" w:pos="720"/>
          <w:tab w:val="left" w:pos="1077"/>
          <w:tab w:val="left" w:pos="1418"/>
          <w:tab w:val="left" w:pos="9720"/>
        </w:tabs>
        <w:ind w:right="-82" w:firstLine="720"/>
        <w:jc w:val="both"/>
        <w:rPr>
          <w:lang w:val="lt-LT"/>
        </w:rPr>
      </w:pPr>
      <w:r>
        <w:rPr>
          <w:lang w:val="lt-LT"/>
        </w:rPr>
        <w:t xml:space="preserve">Vienetui, atsižvelgiant į veiklos ypatybes, nustatyti mokestiniai metai yra nuo vienų kalendorinių metų gegužės 1 dienos iki kitų kalendorinių metų balandžio 30 dienos. Šis vienetas metinę pelno mokesčio deklaraciją turi pateikti iki kitų metų spalio 15 dienos. </w:t>
      </w:r>
    </w:p>
    <w:p w14:paraId="6DBB0AC2" w14:textId="77777777" w:rsidR="00093845" w:rsidRDefault="000D779E">
      <w:pPr>
        <w:tabs>
          <w:tab w:val="left" w:pos="720"/>
          <w:tab w:val="left" w:pos="1077"/>
          <w:tab w:val="left" w:pos="1418"/>
          <w:tab w:val="left" w:pos="9720"/>
        </w:tabs>
        <w:ind w:right="-82" w:firstLine="720"/>
        <w:jc w:val="both"/>
        <w:rPr>
          <w:lang w:val="lt-LT"/>
        </w:rPr>
      </w:pPr>
      <w:r>
        <w:rPr>
          <w:lang w:val="lt-LT"/>
        </w:rPr>
        <w:t xml:space="preserve">3. Jeigu paskutinė metinės pelno mokesčio deklaracijos </w:t>
      </w:r>
      <w:r>
        <w:rPr>
          <w:color w:val="000000"/>
          <w:lang w:val="lt-LT"/>
        </w:rPr>
        <w:t>ir/ar metinės fiksuoto pelno mokesčio deklaracijos</w:t>
      </w:r>
      <w:r>
        <w:rPr>
          <w:lang w:val="lt-LT"/>
        </w:rPr>
        <w:t xml:space="preserve"> pateikimo mokesčių administratoriui diena yra ne darbo diena, tai metinė pelno mokesčio deklaracija ir/ar metinė fiksuoto pelno mokesčio deklaracija turi būti pateikti kitą darbo dieną po nedarbo dienos. (Lietuvos Respublikos mokesčių administravimo įstatymo 162 straipsnio 6 dalis).</w:t>
      </w:r>
    </w:p>
    <w:p w14:paraId="3B989C07" w14:textId="77777777" w:rsidR="00093845" w:rsidRDefault="000D779E">
      <w:pPr>
        <w:tabs>
          <w:tab w:val="left" w:pos="720"/>
          <w:tab w:val="left" w:pos="1077"/>
          <w:tab w:val="left" w:pos="1418"/>
          <w:tab w:val="left" w:pos="9720"/>
        </w:tabs>
        <w:ind w:right="-82" w:firstLine="720"/>
        <w:jc w:val="both"/>
        <w:rPr>
          <w:rFonts w:eastAsia="Arial Unicode MS"/>
          <w:bCs/>
          <w:iCs/>
          <w:lang w:val="lt-LT"/>
        </w:rPr>
      </w:pPr>
      <w:r>
        <w:rPr>
          <w:rFonts w:eastAsia="Arial Unicode MS"/>
          <w:bCs/>
          <w:iCs/>
          <w:lang w:val="lt-LT"/>
        </w:rPr>
        <w:t xml:space="preserve">Jeigu Lietuvos vienetas arba nuolatinė buveinė baigia savo veiklą, tai paskutinio mokestinio laikotarpio metinė pelno mokesčio deklaracija </w:t>
      </w:r>
      <w:r>
        <w:rPr>
          <w:rFonts w:eastAsia="Arial Unicode MS"/>
          <w:bCs/>
          <w:iCs/>
          <w:color w:val="000000"/>
          <w:lang w:val="lt-LT"/>
        </w:rPr>
        <w:t>ir/ar metinė fiksuoto pelno mokesčio deklaracija</w:t>
      </w:r>
      <w:r>
        <w:rPr>
          <w:rFonts w:eastAsia="Arial Unicode MS"/>
          <w:bCs/>
          <w:iCs/>
          <w:lang w:val="lt-LT"/>
        </w:rPr>
        <w:t xml:space="preserve"> pateikiamos per 30 dienų nuo veiklos pabaigos.</w:t>
      </w:r>
    </w:p>
    <w:p w14:paraId="68A69394" w14:textId="77777777" w:rsidR="00093845" w:rsidRDefault="000D779E">
      <w:pPr>
        <w:tabs>
          <w:tab w:val="left" w:pos="720"/>
          <w:tab w:val="left" w:pos="1077"/>
          <w:tab w:val="left" w:pos="1418"/>
          <w:tab w:val="left" w:pos="9720"/>
        </w:tabs>
        <w:ind w:right="-82" w:firstLine="720"/>
        <w:jc w:val="both"/>
        <w:rPr>
          <w:bCs/>
          <w:lang w:val="lt-LT"/>
        </w:rPr>
      </w:pPr>
      <w:r>
        <w:rPr>
          <w:bCs/>
          <w:lang w:val="lt-LT"/>
        </w:rPr>
        <w:t>Pavyzdys</w:t>
      </w:r>
    </w:p>
    <w:p w14:paraId="59788934" w14:textId="77777777" w:rsidR="00093845" w:rsidRDefault="000D779E">
      <w:pPr>
        <w:pBdr>
          <w:top w:val="single" w:sz="4" w:space="1" w:color="auto"/>
          <w:left w:val="single" w:sz="4" w:space="0" w:color="auto"/>
          <w:bottom w:val="single" w:sz="4" w:space="1" w:color="auto"/>
          <w:right w:val="single" w:sz="4" w:space="0" w:color="auto"/>
        </w:pBdr>
        <w:tabs>
          <w:tab w:val="left" w:pos="720"/>
          <w:tab w:val="left" w:pos="1077"/>
          <w:tab w:val="left" w:pos="1418"/>
          <w:tab w:val="left" w:pos="9720"/>
        </w:tabs>
        <w:ind w:right="-82" w:firstLine="720"/>
        <w:jc w:val="both"/>
        <w:rPr>
          <w:bCs/>
          <w:lang w:val="lt-LT"/>
        </w:rPr>
      </w:pPr>
      <w:r>
        <w:rPr>
          <w:bCs/>
          <w:lang w:val="lt-LT"/>
        </w:rPr>
        <w:t>Vieneto mokestinis laikotarpis yra kalendoriniai metai. Vienetas dėl reorganizavimo baigia savo veiklą kalendorinių metų birželio 30 d., vadinasi, vienetas paskutinio mokestinio laikotarpio metinę pelno mokesčio deklaraciją turi pateikti per 30 dienų nuo savo veiklos pabaigos, t. y. iki liepos 30 dienos.</w:t>
      </w:r>
    </w:p>
    <w:p w14:paraId="00347413" w14:textId="77777777" w:rsidR="00093845" w:rsidRDefault="000D779E">
      <w:pPr>
        <w:ind w:firstLine="720"/>
        <w:jc w:val="both"/>
        <w:rPr>
          <w:lang w:val="lt-LT"/>
        </w:rPr>
      </w:pPr>
      <w:r>
        <w:rPr>
          <w:lang w:val="lt-LT"/>
        </w:rPr>
        <w:t>(51 str. komentaro 1 ir 2 dalys pakeistos pagal 2016-05-04 VMI prie FM raštą Nr. (18.10-31-1E) RM-12571).</w:t>
      </w:r>
    </w:p>
    <w:p w14:paraId="7755AAC1" w14:textId="77777777" w:rsidR="00093845" w:rsidRDefault="00093845">
      <w:pPr>
        <w:tabs>
          <w:tab w:val="left" w:pos="720"/>
          <w:tab w:val="left" w:pos="1077"/>
          <w:tab w:val="left" w:pos="1418"/>
        </w:tabs>
        <w:ind w:firstLine="720"/>
        <w:jc w:val="both"/>
        <w:rPr>
          <w:b/>
          <w:lang w:val="lt-LT"/>
        </w:rPr>
      </w:pPr>
    </w:p>
    <w:p w14:paraId="2C84B49D" w14:textId="77777777" w:rsidR="00093845" w:rsidRDefault="000D779E">
      <w:pPr>
        <w:tabs>
          <w:tab w:val="left" w:pos="720"/>
          <w:tab w:val="left" w:pos="1077"/>
          <w:tab w:val="left" w:pos="1418"/>
        </w:tabs>
        <w:ind w:firstLine="720"/>
        <w:jc w:val="both"/>
        <w:rPr>
          <w:b/>
          <w:lang w:val="lt-LT"/>
        </w:rPr>
      </w:pPr>
      <w:r>
        <w:rPr>
          <w:b/>
          <w:lang w:val="lt-LT"/>
        </w:rPr>
        <w:t>3.</w:t>
      </w:r>
      <w:r>
        <w:rPr>
          <w:b/>
          <w:lang w:val="lt-LT"/>
        </w:rPr>
        <w:tab/>
        <w:t>Avansinio pelno mokesčio deklaracijos pateikimas:</w:t>
      </w:r>
    </w:p>
    <w:p w14:paraId="7A11AEB1" w14:textId="77777777" w:rsidR="00093845" w:rsidRPr="0065344A" w:rsidRDefault="000D779E" w:rsidP="00CB66E8">
      <w:pPr>
        <w:tabs>
          <w:tab w:val="left" w:pos="720"/>
          <w:tab w:val="left" w:pos="1077"/>
          <w:tab w:val="left" w:pos="1418"/>
        </w:tabs>
        <w:spacing w:after="0"/>
        <w:jc w:val="both"/>
        <w:rPr>
          <w:rStyle w:val="normal-h"/>
          <w:b/>
          <w:lang w:val="lt-LT"/>
        </w:rPr>
      </w:pPr>
      <w:r w:rsidRPr="0065344A">
        <w:rPr>
          <w:rStyle w:val="normal-h"/>
          <w:b/>
          <w:lang w:val="lt-LT"/>
        </w:rPr>
        <w:t xml:space="preserve">      1)  jei avansinis pelno mokestis apskaičiuojamas pagal praėjusių metų veiklos rezultatus, avansinio pelno mokesčio deklaracija už pirmuosius šešis</w:t>
      </w:r>
      <w:r w:rsidRPr="0065344A">
        <w:rPr>
          <w:rStyle w:val="normal-h"/>
          <w:b/>
          <w:bCs/>
          <w:lang w:val="lt-LT"/>
        </w:rPr>
        <w:t xml:space="preserve"> </w:t>
      </w:r>
      <w:r w:rsidRPr="0065344A">
        <w:rPr>
          <w:rStyle w:val="normal-h"/>
          <w:b/>
          <w:lang w:val="lt-LT"/>
        </w:rPr>
        <w:t>mokestinio laikotarpio mėnesius pateikiama ne vėliau kaip mokestinio laikotarpio trečio</w:t>
      </w:r>
      <w:r w:rsidRPr="0065344A">
        <w:rPr>
          <w:rStyle w:val="normal-h"/>
          <w:b/>
          <w:bCs/>
          <w:lang w:val="lt-LT"/>
        </w:rPr>
        <w:t xml:space="preserve"> </w:t>
      </w:r>
      <w:r w:rsidRPr="0065344A">
        <w:rPr>
          <w:rStyle w:val="normal-h"/>
          <w:b/>
          <w:lang w:val="lt-LT"/>
        </w:rPr>
        <w:t>mėnesio penkioliktą</w:t>
      </w:r>
      <w:r w:rsidRPr="0065344A">
        <w:rPr>
          <w:rStyle w:val="normal-h"/>
          <w:b/>
          <w:bCs/>
          <w:lang w:val="lt-LT"/>
        </w:rPr>
        <w:t xml:space="preserve"> </w:t>
      </w:r>
      <w:r w:rsidRPr="0065344A">
        <w:rPr>
          <w:rStyle w:val="normal-h"/>
          <w:b/>
          <w:lang w:val="lt-LT"/>
        </w:rPr>
        <w:t>dieną. Avansinio pelno mokesčio deklaracija už mokestinio laikotarpio septintą–dvyliktą mėnesius pateikiama ne vėliau kaip mokestinio laikotarpio devinto</w:t>
      </w:r>
      <w:r w:rsidRPr="0065344A">
        <w:rPr>
          <w:rStyle w:val="normal-h"/>
          <w:b/>
          <w:bCs/>
          <w:lang w:val="lt-LT"/>
        </w:rPr>
        <w:t xml:space="preserve"> </w:t>
      </w:r>
      <w:r w:rsidRPr="0065344A">
        <w:rPr>
          <w:rStyle w:val="normal-h"/>
          <w:b/>
          <w:lang w:val="lt-LT"/>
        </w:rPr>
        <w:t>mėnesio penkioliktą</w:t>
      </w:r>
      <w:r w:rsidRPr="0065344A">
        <w:rPr>
          <w:rStyle w:val="normal-h"/>
          <w:b/>
          <w:bCs/>
          <w:lang w:val="lt-LT"/>
        </w:rPr>
        <w:t xml:space="preserve"> </w:t>
      </w:r>
      <w:r w:rsidRPr="0065344A">
        <w:rPr>
          <w:rStyle w:val="normal-h"/>
          <w:b/>
          <w:lang w:val="lt-LT"/>
        </w:rPr>
        <w:t>dieną;</w:t>
      </w:r>
    </w:p>
    <w:p w14:paraId="1367BD55"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0DD71144" w14:textId="77777777" w:rsidR="00892E40" w:rsidRPr="00892E40" w:rsidRDefault="00892E40" w:rsidP="00CB66E8">
      <w:pPr>
        <w:spacing w:after="0"/>
        <w:jc w:val="both"/>
        <w:rPr>
          <w:bCs/>
          <w:i/>
          <w:lang w:val="lt-LT"/>
        </w:rPr>
      </w:pPr>
    </w:p>
    <w:p w14:paraId="0EBE17B3" w14:textId="77777777" w:rsidR="00093845" w:rsidRPr="0065344A" w:rsidRDefault="000D779E">
      <w:pPr>
        <w:tabs>
          <w:tab w:val="left" w:pos="720"/>
          <w:tab w:val="left" w:pos="1077"/>
          <w:tab w:val="left" w:pos="1418"/>
        </w:tabs>
        <w:ind w:firstLine="709"/>
        <w:jc w:val="both"/>
        <w:rPr>
          <w:b/>
          <w:lang w:val="lt-LT"/>
        </w:rPr>
      </w:pPr>
      <w:r w:rsidRPr="0065344A">
        <w:rPr>
          <w:b/>
          <w:lang w:val="lt-LT"/>
        </w:rPr>
        <w:t>Komentaras</w:t>
      </w:r>
    </w:p>
    <w:p w14:paraId="2D9FF822" w14:textId="77777777" w:rsidR="00093845" w:rsidRDefault="000D779E">
      <w:pPr>
        <w:ind w:firstLine="709"/>
        <w:jc w:val="both"/>
      </w:pPr>
      <w:r w:rsidRPr="0065344A">
        <w:rPr>
          <w:lang w:val="lt-LT"/>
        </w:rPr>
        <w:lastRenderedPageBreak/>
        <w:t xml:space="preserve">1. Vadovaujantis PMĮ 50 straipsniu Valstybinės mokesčių inspekcijos prie Lietuvos Respublikos finansų ministerijos viršininko 2002 m. spalio 8 d. įsakymu Nr. 289 patvirtintos Avansinio pelno mokesčio deklaracijos FR0430 forma ir jos užpildymo taisyklės, (toliau – Taisyklės). Šiose Taisyklėse nustatyta avansinio pelno mokesčio deklaracijos FR0430 formos (toliau – Deklaracija) užpildymo tvarka. </w:t>
      </w:r>
      <w:r>
        <w:t>Deklaracijos 02 versija naudojama nuo 2017 metais prasidėjusio mokestinio laikotarpio avansiniam pelno mokesčiui deklaruoti.</w:t>
      </w:r>
    </w:p>
    <w:p w14:paraId="6CFEFC7A" w14:textId="77777777" w:rsidR="00093845" w:rsidRDefault="000D779E">
      <w:pPr>
        <w:ind w:firstLine="709"/>
        <w:jc w:val="both"/>
      </w:pPr>
      <w:r>
        <w:t>Vienetai, kuriems mokesčių administratoriaus sprendimu nustatytas kitoks mokestinis laikotarpis (su kalendoriniais metais nesutampantis), už mokestinius laikotarpius, kurie prasidėjo 2016 metais ir baigiasi 2017 metais, avansinį pelno mokestį deklaruoja deklaracijos FR0430 formos 1 versijoje 2016 metais galiojančia tvarka t.y. deklaracija už devynis mokestinio laikotarpio mėnesius pagal faktiškai apskaičiuotą pelno mokesčio sumą už mokestinį laikotarpį, buvusį prieš praėjusį mokestinį laikotarpį pateikiama ne vėliau kaip mokestinio laikotarpio pirmo mėnesio paskutinę dieną, o už paskutinius tris mėnesius – pagal praėjusį mokestinį laikotarpį faktiškai apskaičiuotą pelno mokesčio sumą pateikiama ne vėliau kaip mokestinio laikotarpio dešimto mėnesio paskutinę dieną.</w:t>
      </w:r>
    </w:p>
    <w:p w14:paraId="0D28C325" w14:textId="77777777" w:rsidR="00093845" w:rsidRDefault="000D779E">
      <w:pPr>
        <w:tabs>
          <w:tab w:val="left" w:pos="720"/>
          <w:tab w:val="left" w:pos="1077"/>
          <w:tab w:val="left" w:pos="1418"/>
        </w:tabs>
        <w:ind w:firstLine="720"/>
        <w:jc w:val="both"/>
      </w:pPr>
      <w:r>
        <w:t xml:space="preserve">Remiantis PMĮ 47 str. 2 dalimi, avansinis pelno mokestis gali būti apskaičiuojamas dviem būdais: pagal praėjusių mokestinių metų veiklos rezultatus arba pagal numatomą einamųjų mokestinių metų pelno mokesčio sumą. Kiekvienų mokestinių metų pradžioje vienetas pasirenka avansinio pelno mokesčio apskaičiavimo būdą (vieną iš nurodytųjų), kurį taiko tų (einamųjų) mokestinių metų avansinio pelno mokesčio sumoms apskaičiuoti. </w:t>
      </w:r>
    </w:p>
    <w:p w14:paraId="6FD3086D" w14:textId="77777777" w:rsidR="00093845" w:rsidRDefault="000D779E">
      <w:pPr>
        <w:pStyle w:val="tajtip"/>
        <w:shd w:val="clear" w:color="auto" w:fill="FFFFFF"/>
        <w:spacing w:before="0" w:beforeAutospacing="0" w:after="0" w:afterAutospacing="0" w:line="286" w:lineRule="atLeast"/>
        <w:ind w:firstLine="720"/>
        <w:jc w:val="both"/>
        <w:rPr>
          <w:color w:val="000000"/>
        </w:rPr>
      </w:pPr>
      <w:r>
        <w:rPr>
          <w:color w:val="000000"/>
        </w:rPr>
        <w:t xml:space="preserve">Vienetas vieną kartą per mokestinį laikotarpį ne vėliau kaip iki einamųjų mokestinių metų devinto mėnesio pirmos dienos gali pakeisti avansinio pelno mokesčio apskaičiavimo būdą. Tokiu atveju vienetas turi pateikti iš naujo užpildytą deklaraciją. </w:t>
      </w:r>
    </w:p>
    <w:p w14:paraId="0DF74153" w14:textId="77777777" w:rsidR="00093845" w:rsidRPr="0065344A" w:rsidRDefault="000D779E">
      <w:pPr>
        <w:tabs>
          <w:tab w:val="left" w:pos="720"/>
          <w:tab w:val="left" w:pos="1077"/>
          <w:tab w:val="left" w:pos="1418"/>
        </w:tabs>
        <w:ind w:firstLine="720"/>
        <w:jc w:val="both"/>
        <w:rPr>
          <w:bCs/>
          <w:lang w:val="lt-LT"/>
        </w:rPr>
      </w:pPr>
      <w:r w:rsidRPr="0065344A">
        <w:rPr>
          <w:lang w:val="lt-LT"/>
        </w:rPr>
        <w:t>2.</w:t>
      </w:r>
      <w:r w:rsidRPr="0065344A">
        <w:rPr>
          <w:lang w:val="lt-LT"/>
        </w:rPr>
        <w:tab/>
        <w:t>N</w:t>
      </w:r>
      <w:r w:rsidRPr="0065344A">
        <w:rPr>
          <w:bCs/>
          <w:lang w:val="lt-LT"/>
        </w:rPr>
        <w:t>uo 2017 metais prasidėjusio ir vėlesniais mokestiniais laikotarpiais</w:t>
      </w:r>
      <w:r w:rsidRPr="0065344A">
        <w:rPr>
          <w:lang w:val="lt-LT"/>
        </w:rPr>
        <w:t xml:space="preserve">, kai avansinis pelno mokestis apskaičiuojamas pagal praėjusių metų veiklos rezultatus, tai </w:t>
      </w:r>
      <w:r w:rsidRPr="0065344A">
        <w:rPr>
          <w:bCs/>
          <w:lang w:val="lt-LT"/>
        </w:rPr>
        <w:t xml:space="preserve">pirmųjų šešių mokestinio laikotarpio mėnesių </w:t>
      </w:r>
      <w:r w:rsidRPr="0065344A">
        <w:rPr>
          <w:lang w:val="lt-LT"/>
        </w:rPr>
        <w:t>Deklaracija</w:t>
      </w:r>
      <w:r w:rsidRPr="0065344A">
        <w:rPr>
          <w:bCs/>
          <w:lang w:val="lt-LT"/>
        </w:rPr>
        <w:t xml:space="preserve"> pateikiama</w:t>
      </w:r>
      <w:r w:rsidRPr="0065344A">
        <w:rPr>
          <w:color w:val="000000"/>
          <w:lang w:val="lt-LT" w:eastAsia="lt-LT"/>
        </w:rPr>
        <w:t xml:space="preserve"> ne vėliau kaip mokestinio laikotarpio trečio mėnesio </w:t>
      </w:r>
      <w:r w:rsidRPr="0065344A">
        <w:rPr>
          <w:strike/>
          <w:color w:val="000000"/>
          <w:lang w:val="lt-LT" w:eastAsia="lt-LT"/>
        </w:rPr>
        <w:t>-</w:t>
      </w:r>
      <w:r w:rsidRPr="0065344A">
        <w:rPr>
          <w:color w:val="000000"/>
          <w:lang w:val="lt-LT" w:eastAsia="lt-LT"/>
        </w:rPr>
        <w:t> penkioliktą dieną</w:t>
      </w:r>
      <w:r w:rsidRPr="0065344A">
        <w:rPr>
          <w:bCs/>
          <w:lang w:val="lt-LT"/>
        </w:rPr>
        <w:t xml:space="preserve"> (jei mokestiniai metai sutampa su kalendoriniais, – iki kovo 15 dienos). Mokestinio laikotarpio septinto – dvylikto mėnesių Deklaracija pateikiama ne vėliau kaip mokestinio laikotarpio devinto mėnesio </w:t>
      </w:r>
      <w:r w:rsidRPr="0065344A">
        <w:rPr>
          <w:color w:val="000000"/>
          <w:lang w:val="lt-LT" w:eastAsia="lt-LT"/>
        </w:rPr>
        <w:t>penkioliktą</w:t>
      </w:r>
      <w:r w:rsidRPr="0065344A">
        <w:rPr>
          <w:bCs/>
          <w:lang w:val="lt-LT"/>
        </w:rPr>
        <w:t xml:space="preserve"> dieną (jei mokestiniai metai sutampa su kalendoriniais, – iki  rugsėjo 15 dienos).</w:t>
      </w:r>
    </w:p>
    <w:p w14:paraId="6191CD37" w14:textId="77777777" w:rsidR="00093845" w:rsidRDefault="000D779E">
      <w:pPr>
        <w:pStyle w:val="Pagrindiniotekstotrauka"/>
        <w:tabs>
          <w:tab w:val="left" w:pos="720"/>
          <w:tab w:val="left" w:pos="1077"/>
          <w:tab w:val="left" w:pos="1418"/>
        </w:tabs>
        <w:rPr>
          <w:bCs/>
        </w:rPr>
      </w:pPr>
      <w:r w:rsidRPr="0065344A">
        <w:rPr>
          <w:bCs/>
          <w:lang w:val="lt-LT"/>
        </w:rPr>
        <w:t xml:space="preserve">Vienetas, pasirinkęs avansinį pelno mokestį mokėti pagal praėjusių metų rezultatus, teikdamas pirmųjų šešių mokestinio laikotarpio mėnesių Deklaraciją, pildo šios Deklaracijos A ir B dalis. </w:t>
      </w:r>
      <w:r>
        <w:rPr>
          <w:bCs/>
        </w:rPr>
        <w:t xml:space="preserve">Teikdamas mokestinio laikotarpio septinto – dvylikto mėnesių Deklaraciją, vienetas pildo šios Deklaracijos A ir C dalis. </w:t>
      </w:r>
    </w:p>
    <w:p w14:paraId="317A9C6F" w14:textId="77777777" w:rsidR="00093845" w:rsidRDefault="000D779E">
      <w:pPr>
        <w:tabs>
          <w:tab w:val="left" w:pos="720"/>
          <w:tab w:val="left" w:pos="1077"/>
          <w:tab w:val="left" w:pos="1418"/>
        </w:tabs>
        <w:ind w:firstLine="720"/>
        <w:jc w:val="both"/>
        <w:rPr>
          <w:bCs/>
        </w:rPr>
      </w:pPr>
      <w:r>
        <w:rPr>
          <w:bCs/>
        </w:rPr>
        <w:t xml:space="preserve">Jeigu vienetas, pasirinkęs avansinį pelno mokestį mokėti pagal praėjusių metų rezultatus, iki einamųjų mokestinių metų trečiojo mėnesio penkioliktos dienos (jei mokestiniai metai sutampa su kalendoriniais, - iki kovo 15 dienos) jau yra apskaičiavęs praėjusių mokestinių metų pelno mokesčio sumą, tai jis gali pateikti vieną visų metų Deklaraciją, kurioje užpildo A, B ir C dalis. </w:t>
      </w:r>
    </w:p>
    <w:p w14:paraId="47D025EA" w14:textId="77777777" w:rsidR="00093845" w:rsidRDefault="000D779E">
      <w:pPr>
        <w:tabs>
          <w:tab w:val="left" w:pos="720"/>
          <w:tab w:val="left" w:pos="1077"/>
          <w:tab w:val="left" w:pos="1418"/>
        </w:tabs>
        <w:ind w:firstLine="720"/>
        <w:jc w:val="both"/>
      </w:pPr>
      <w:r>
        <w:t>3.</w:t>
      </w:r>
      <w:r>
        <w:tab/>
        <w:t>Avansinių pelno mokesčio deklaracijų nereikia teikti :</w:t>
      </w:r>
    </w:p>
    <w:p w14:paraId="174B68D0" w14:textId="77777777" w:rsidR="00093845" w:rsidRDefault="000D779E">
      <w:pPr>
        <w:tabs>
          <w:tab w:val="left" w:pos="720"/>
          <w:tab w:val="left" w:pos="1077"/>
          <w:tab w:val="left" w:pos="1418"/>
        </w:tabs>
        <w:ind w:firstLine="720"/>
        <w:jc w:val="both"/>
      </w:pPr>
      <w:r>
        <w:t>- vienetams, kurie nėra pelno mokesčio mokėtojai pagal PMĮ 3 straipsnį;</w:t>
      </w:r>
    </w:p>
    <w:p w14:paraId="4300AF21" w14:textId="77777777" w:rsidR="00093845" w:rsidRDefault="000D779E">
      <w:pPr>
        <w:tabs>
          <w:tab w:val="left" w:pos="720"/>
          <w:tab w:val="left" w:pos="1077"/>
          <w:tab w:val="left" w:pos="1418"/>
        </w:tabs>
        <w:ind w:firstLine="720"/>
        <w:jc w:val="both"/>
      </w:pPr>
      <w:r>
        <w:t>-</w:t>
      </w:r>
      <w:r>
        <w:tab/>
        <w:t>naujai įregistruotiems vienetams pirmaisiais mokestiniais metais. N</w:t>
      </w:r>
      <w:r>
        <w:rPr>
          <w:bCs/>
        </w:rPr>
        <w:t>uo 2017 metais prasidėjusio ir vėlesniais mokestiniais laikotarpiais</w:t>
      </w:r>
      <w:r>
        <w:t xml:space="preserve"> naujai įregistruoti vienetai, pasirinkę avansinį pelno mokestį mokėti pagal praėjusių metų (einančių po mokestinių metų, kuriais vienetas buvo įregistruotas) veiklos rezultatus, pirmųjų šešių mėnesių Deklaracijų neprivalo teikti, ir už šiuos mėnesius avansinio pelno mokesčio neturi mokėti ( t.y. antraisiais mokestiniais metais avansinį pelno </w:t>
      </w:r>
      <w:r>
        <w:lastRenderedPageBreak/>
        <w:t>mokestį jie pradeda skaičiuoti ir mokėti nuo mokestinio laikotarpio septinto mėnesio ir teikia mokestinio laikotarpio septinto - dvylikto mėnesių Deklaracijas);</w:t>
      </w:r>
    </w:p>
    <w:p w14:paraId="0C4B6E57" w14:textId="77777777" w:rsidR="00093845" w:rsidRDefault="000D779E" w:rsidP="00EC4E29">
      <w:pPr>
        <w:pStyle w:val="Pagrindiniotekstotrauka"/>
        <w:numPr>
          <w:ilvl w:val="0"/>
          <w:numId w:val="48"/>
        </w:numPr>
        <w:tabs>
          <w:tab w:val="left" w:pos="720"/>
          <w:tab w:val="left" w:pos="1077"/>
          <w:tab w:val="left" w:pos="1418"/>
        </w:tabs>
        <w:ind w:left="0" w:firstLine="720"/>
      </w:pPr>
      <w:r>
        <w:t>vienetai, kurių praėjusių mokestinių metų apmokestinamosios pajamos buvo ne didesnės kaip 300 tūkst. Eur (nesvarbu, nuo kurio mėnesio vienetas pradėjo veiklą). Apmokestinamųjų pajamų sumą sudaro visų pajamų ir PMĮ 12 straipsnyje nurodytų neapmokestinamųjų pajamų skirtumas.</w:t>
      </w:r>
    </w:p>
    <w:p w14:paraId="44D4C1EB" w14:textId="77777777" w:rsidR="00093845" w:rsidRDefault="000D779E">
      <w:pPr>
        <w:tabs>
          <w:tab w:val="left" w:pos="720"/>
          <w:tab w:val="left" w:pos="1077"/>
          <w:tab w:val="left" w:pos="1418"/>
        </w:tabs>
        <w:ind w:firstLine="720"/>
        <w:jc w:val="both"/>
        <w:rPr>
          <w:bCs/>
        </w:rPr>
      </w:pPr>
      <w:r>
        <w:rPr>
          <w:bCs/>
        </w:rPr>
        <w:t>4.</w:t>
      </w:r>
      <w:r>
        <w:rPr>
          <w:bCs/>
        </w:rPr>
        <w:tab/>
        <w:t>Deklaracija pateikiama neatsižvelgiant į tai, ar tą ataskaitinį laikotarpį vienetui reikia mokėti avansinį pelno mokestį, ar ne (išskyrus aukščiau nurodytus atvejus).</w:t>
      </w:r>
    </w:p>
    <w:p w14:paraId="312024B2" w14:textId="77777777" w:rsidR="00093845" w:rsidRDefault="000D779E" w:rsidP="00CB66E8">
      <w:pPr>
        <w:pStyle w:val="normal-p"/>
        <w:spacing w:before="0" w:beforeAutospacing="0" w:after="0" w:afterAutospacing="0"/>
        <w:ind w:firstLine="720"/>
        <w:jc w:val="both"/>
        <w:rPr>
          <w:rStyle w:val="normal-h"/>
          <w:b/>
          <w:lang w:val="en-US" w:eastAsia="en-US"/>
        </w:rPr>
      </w:pPr>
      <w:r>
        <w:rPr>
          <w:b/>
        </w:rPr>
        <w:t xml:space="preserve">2) </w:t>
      </w:r>
      <w:r>
        <w:rPr>
          <w:rStyle w:val="normal-h"/>
          <w:b/>
        </w:rPr>
        <w:t>jei avansinis pelno mokestis apskaičiuojamas pagal numatomą mokestinio laikotarpio pelno mokesčio sumą, avansinio pelno mokesčio deklaracija pateikiama ne vėliau kaip mokestinio laikotarpio trečio</w:t>
      </w:r>
      <w:r>
        <w:rPr>
          <w:rStyle w:val="normal-h"/>
          <w:b/>
          <w:bCs/>
        </w:rPr>
        <w:t xml:space="preserve"> </w:t>
      </w:r>
      <w:r>
        <w:rPr>
          <w:rStyle w:val="normal-h"/>
          <w:b/>
        </w:rPr>
        <w:t>mėnesio penkioliktą dieną.</w:t>
      </w:r>
    </w:p>
    <w:p w14:paraId="392C8FB7" w14:textId="77777777" w:rsidR="00093845" w:rsidRPr="00892E40"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7D922B28" w14:textId="77777777" w:rsidR="00093845" w:rsidRDefault="000D779E" w:rsidP="006D2DB2">
      <w:pPr>
        <w:pStyle w:val="normal-p"/>
        <w:tabs>
          <w:tab w:val="left" w:pos="720"/>
          <w:tab w:val="left" w:pos="1077"/>
          <w:tab w:val="left" w:pos="1418"/>
        </w:tabs>
        <w:ind w:firstLine="720"/>
        <w:jc w:val="both"/>
        <w:rPr>
          <w:b/>
        </w:rPr>
      </w:pPr>
      <w:r>
        <w:rPr>
          <w:b/>
        </w:rPr>
        <w:t>Komentaras</w:t>
      </w:r>
    </w:p>
    <w:p w14:paraId="6B8E88E7" w14:textId="77777777" w:rsidR="00093845" w:rsidRPr="0065344A" w:rsidRDefault="000D779E">
      <w:pPr>
        <w:tabs>
          <w:tab w:val="left" w:pos="720"/>
          <w:tab w:val="left" w:pos="1077"/>
          <w:tab w:val="left" w:pos="1418"/>
        </w:tabs>
        <w:ind w:firstLine="720"/>
        <w:jc w:val="both"/>
        <w:rPr>
          <w:lang w:val="lt-LT"/>
        </w:rPr>
      </w:pPr>
      <w:r w:rsidRPr="0065344A">
        <w:rPr>
          <w:lang w:val="lt-LT"/>
        </w:rPr>
        <w:t>1. N</w:t>
      </w:r>
      <w:r w:rsidRPr="0065344A">
        <w:rPr>
          <w:bCs/>
          <w:lang w:val="lt-LT"/>
        </w:rPr>
        <w:t>uo 2017 metais prasidėjusio ir vėlesniais mokestiniais laikotarpiais</w:t>
      </w:r>
      <w:r w:rsidRPr="0065344A">
        <w:rPr>
          <w:lang w:val="lt-LT"/>
        </w:rPr>
        <w:t xml:space="preserve">, kai avansinis pelno mokestis skaičiuojamas pagal numatomą mokestinio laikotarpio pelno mokesčio sumą, Deklaracija pateikiama </w:t>
      </w:r>
      <w:r w:rsidRPr="0065344A">
        <w:rPr>
          <w:color w:val="000000"/>
          <w:lang w:val="lt-LT" w:eastAsia="lt-LT"/>
        </w:rPr>
        <w:t>ne vėliau kaip mokestinio laikotarpio trečio mėnesio penkioliktą dieną</w:t>
      </w:r>
      <w:r w:rsidRPr="0065344A">
        <w:rPr>
          <w:lang w:val="lt-LT"/>
        </w:rPr>
        <w:t xml:space="preserve"> (jei mokestiniai metai sutampa su kalendoriniais, – iki kovo 15 dienos).</w:t>
      </w:r>
    </w:p>
    <w:p w14:paraId="5626EAFF" w14:textId="77777777" w:rsidR="00093845" w:rsidRPr="0065344A" w:rsidRDefault="000D779E">
      <w:pPr>
        <w:tabs>
          <w:tab w:val="left" w:pos="720"/>
          <w:tab w:val="left" w:pos="1077"/>
          <w:tab w:val="left" w:pos="1418"/>
        </w:tabs>
        <w:ind w:firstLine="720"/>
        <w:jc w:val="both"/>
        <w:rPr>
          <w:bCs/>
          <w:lang w:val="lt-LT"/>
        </w:rPr>
      </w:pPr>
      <w:r w:rsidRPr="0065344A">
        <w:rPr>
          <w:lang w:val="lt-LT"/>
        </w:rPr>
        <w:t>2. Jeigu Deklaracijoje apskaičiuota numatyta</w:t>
      </w:r>
      <w:r w:rsidRPr="0065344A">
        <w:rPr>
          <w:bCs/>
          <w:lang w:val="lt-LT"/>
        </w:rPr>
        <w:t xml:space="preserve"> pelno mokesčio suma yra mažesnė kaip 80 proc. metinėje pelno mokesčio deklaracijoje apskaičiuotos pelno mokesčio sumos, tai nuo kiekvieną mokestinių metų ketvirtį nesumokėtos avansinio pelno mokesčio sumos apskaičiuojami delspinigiai Lietuvos Respublikos mokesčių administravimo įstatymo nustatyta tvarka. Todėl, vienetas nustatęs, kad einamųjų mokestinių metų pelno mokesčio suma sudarys mažiau kaip 80 proc. faktiškos metinio pelno mokesčio sumos, gali patikslinti Deklaraciją, apskaičiuodamas kiekvieno mokestinių metų ketvirčio avansinio pelno mokesčio sumą lygiomis dalimis nuo mokestinio laikotarpio pradžios.</w:t>
      </w:r>
    </w:p>
    <w:p w14:paraId="2E1213D3" w14:textId="77777777" w:rsidR="00093845" w:rsidRPr="0065344A" w:rsidRDefault="000D779E">
      <w:pPr>
        <w:tabs>
          <w:tab w:val="left" w:pos="720"/>
          <w:tab w:val="left" w:pos="1077"/>
          <w:tab w:val="left" w:pos="1418"/>
        </w:tabs>
        <w:ind w:firstLine="720"/>
        <w:jc w:val="both"/>
        <w:rPr>
          <w:bCs/>
          <w:lang w:val="lt-LT"/>
        </w:rPr>
      </w:pPr>
      <w:r w:rsidRPr="0065344A">
        <w:rPr>
          <w:lang w:val="lt-LT"/>
        </w:rPr>
        <w:t>3. N</w:t>
      </w:r>
      <w:r w:rsidRPr="0065344A">
        <w:rPr>
          <w:bCs/>
          <w:lang w:val="lt-LT"/>
        </w:rPr>
        <w:t xml:space="preserve">uo 2017 metais prasidėjusio ir vėlesniais mokestiniais laikotarpiais avansinis pelno mokestis turi būti sumokėtas </w:t>
      </w:r>
      <w:r w:rsidRPr="0065344A">
        <w:rPr>
          <w:color w:val="000000"/>
          <w:lang w:val="lt-LT" w:eastAsia="lt-LT"/>
        </w:rPr>
        <w:t>ne vėliau kaip  kiekvieno mokestinio laikotarpio ketvirčio </w:t>
      </w:r>
      <w:r w:rsidRPr="0065344A">
        <w:rPr>
          <w:bCs/>
          <w:color w:val="000000"/>
          <w:lang w:val="lt-LT" w:eastAsia="lt-LT"/>
        </w:rPr>
        <w:t>paskutinio mėnesio penkioliktą</w:t>
      </w:r>
      <w:r w:rsidRPr="0065344A">
        <w:rPr>
          <w:color w:val="000000"/>
          <w:lang w:val="lt-LT" w:eastAsia="lt-LT"/>
        </w:rPr>
        <w:t> dieną</w:t>
      </w:r>
      <w:r w:rsidRPr="0065344A">
        <w:rPr>
          <w:lang w:val="lt-LT"/>
        </w:rPr>
        <w:t xml:space="preserve">Vienetai, kuriems mokesčių administratoriaus sprendimu nustatytas kitoks mokestinis laikotarpis (su kalendoriniais metais nesutampantis), už mokestinius laikotarpius, kurie prasidėjo 2016 metais ir baigiasi 2017 metais, avansinį pelno mokestį </w:t>
      </w:r>
      <w:r w:rsidRPr="0065344A">
        <w:rPr>
          <w:bCs/>
          <w:lang w:val="lt-LT"/>
        </w:rPr>
        <w:t>turi sumokėti ne vėliau kaip paskutinę kiekvieno mokestinių metų ketvirčio dieną, o paskutinio mokestinio laikotarpio ketvirčio avansinį pelno mokestį – ne vėliau kaip iki šio ketvirčio paskutinio mėnesio 25 dienos.</w:t>
      </w:r>
    </w:p>
    <w:p w14:paraId="068F61AB" w14:textId="77777777" w:rsidR="00093845" w:rsidRDefault="00892E40">
      <w:pPr>
        <w:ind w:firstLine="720"/>
        <w:jc w:val="both"/>
        <w:rPr>
          <w:lang w:val="lt-LT"/>
        </w:rPr>
      </w:pPr>
      <w:r>
        <w:rPr>
          <w:lang w:val="lt-LT"/>
        </w:rPr>
        <w:t>(P</w:t>
      </w:r>
      <w:r w:rsidR="000D779E">
        <w:rPr>
          <w:lang w:val="lt-LT"/>
        </w:rPr>
        <w:t xml:space="preserve">agal 2016-05-17 VMI prie FM raštą Nr. </w:t>
      </w:r>
      <w:r w:rsidR="000D779E" w:rsidRPr="0065344A">
        <w:rPr>
          <w:lang w:val="lt-LT"/>
        </w:rPr>
        <w:t>(18.10-31-1E) RM-14143).</w:t>
      </w:r>
    </w:p>
    <w:p w14:paraId="45A292B2" w14:textId="77777777" w:rsidR="00093845" w:rsidRPr="0065344A" w:rsidRDefault="00093845">
      <w:pPr>
        <w:keepNext/>
        <w:jc w:val="both"/>
        <w:outlineLvl w:val="0"/>
        <w:rPr>
          <w:rFonts w:ascii="TimesLT" w:hAnsi="TimesLT" w:cs="Arial Unicode MS"/>
          <w:b/>
          <w:kern w:val="36"/>
          <w:lang w:val="lt-LT"/>
        </w:rPr>
      </w:pPr>
    </w:p>
    <w:p w14:paraId="08E28BA3" w14:textId="77777777" w:rsidR="00093845" w:rsidRDefault="000D779E">
      <w:pPr>
        <w:pStyle w:val="Antrat1"/>
        <w:jc w:val="both"/>
        <w:rPr>
          <w:rFonts w:ascii="Times New Roman" w:hAnsi="Times New Roman" w:cs="Times New Roman"/>
          <w:bCs w:val="0"/>
          <w:lang w:val="lt-LT"/>
        </w:rPr>
      </w:pPr>
      <w:bookmarkStart w:id="593" w:name="_52_straipsnis._Deklaracijos"/>
      <w:bookmarkEnd w:id="593"/>
      <w:r>
        <w:rPr>
          <w:rFonts w:ascii="Times New Roman" w:hAnsi="Times New Roman" w:cs="Times New Roman"/>
          <w:bCs w:val="0"/>
          <w:lang w:val="lt-LT"/>
        </w:rPr>
        <w:t>52 STRAIPSNIS. Deklaracijos apie užsienio vienetui išmokėtas pajamas (sumas) ir apskaičiuotą bei į biudžetą sumokėtą pelno mokestį pateikimas</w:t>
      </w:r>
    </w:p>
    <w:p w14:paraId="76139EF0" w14:textId="77777777" w:rsidR="00093845" w:rsidRDefault="00093845">
      <w:pPr>
        <w:tabs>
          <w:tab w:val="left" w:pos="720"/>
          <w:tab w:val="left" w:pos="1077"/>
          <w:tab w:val="left" w:pos="1418"/>
        </w:tabs>
        <w:jc w:val="both"/>
        <w:rPr>
          <w:b/>
          <w:lang w:val="lt-LT"/>
        </w:rPr>
      </w:pPr>
    </w:p>
    <w:p w14:paraId="69C55C43" w14:textId="77777777" w:rsidR="00093845" w:rsidRDefault="000D779E">
      <w:pPr>
        <w:tabs>
          <w:tab w:val="left" w:pos="720"/>
          <w:tab w:val="left" w:pos="1077"/>
          <w:tab w:val="left" w:pos="1418"/>
        </w:tabs>
        <w:ind w:firstLine="720"/>
        <w:jc w:val="both"/>
        <w:rPr>
          <w:b/>
          <w:lang w:val="lt-LT"/>
        </w:rPr>
      </w:pPr>
      <w:r>
        <w:rPr>
          <w:b/>
          <w:lang w:val="lt-LT"/>
        </w:rPr>
        <w:t>1.</w:t>
      </w:r>
      <w:r>
        <w:rPr>
          <w:b/>
          <w:lang w:val="lt-LT"/>
        </w:rPr>
        <w:tab/>
        <w:t>Kai užsienio vieneto pajamos yra apmokestinamos pelno mokesčiu šio Įstatymo 37 straipsnyje nustatyta tvarka, pelno mokestį išskaičiuojantis asmuo – Lietuvos vienetas arba nuolatinė buveinė užpildo deklaraciją ir pateikia ją vietos mokesčio administratoriui, kurio veiklos teritorijoje yra arba privalo būti įregistruotas mokesčio mokėtoju mokestį išskaičiuojantis asmuo.</w:t>
      </w:r>
    </w:p>
    <w:p w14:paraId="537178F0" w14:textId="77777777" w:rsidR="00093845" w:rsidRDefault="000D779E">
      <w:pPr>
        <w:tabs>
          <w:tab w:val="left" w:pos="720"/>
          <w:tab w:val="left" w:pos="1077"/>
          <w:tab w:val="left" w:pos="1418"/>
        </w:tabs>
        <w:ind w:firstLine="720"/>
        <w:jc w:val="both"/>
        <w:rPr>
          <w:b/>
          <w:lang w:val="lt-LT"/>
        </w:rPr>
      </w:pPr>
      <w:r>
        <w:rPr>
          <w:b/>
          <w:lang w:val="lt-LT"/>
        </w:rPr>
        <w:t>Komentaras</w:t>
      </w:r>
    </w:p>
    <w:p w14:paraId="43398008" w14:textId="77777777" w:rsidR="00093845" w:rsidRDefault="000D779E">
      <w:pPr>
        <w:tabs>
          <w:tab w:val="left" w:pos="720"/>
          <w:tab w:val="left" w:pos="1077"/>
          <w:tab w:val="left" w:pos="1418"/>
        </w:tabs>
        <w:jc w:val="both"/>
        <w:rPr>
          <w:lang w:val="lt-LT"/>
        </w:rPr>
      </w:pPr>
      <w:r>
        <w:rPr>
          <w:b/>
          <w:lang w:val="lt-LT"/>
        </w:rPr>
        <w:lastRenderedPageBreak/>
        <w:tab/>
      </w:r>
      <w:r>
        <w:rPr>
          <w:lang w:val="lt-LT"/>
        </w:rPr>
        <w:t>Vadovaujantis PMĮ, Lietuvos Respublikos mokesčių administravimo įstatymo (toliau - MAĮ) ir Lietuvos Respublikoje taikomų tarptautinių dvigubo apmokestinimo išvengimo sutarčių nuostatomis, Valstybinės mokesčių inspekcijos prie Lietuvos Respublikos finansų ministerijos viršininko 2002 m. vasario 8 d</w:t>
      </w:r>
      <w:r w:rsidRPr="006D2DB2">
        <w:rPr>
          <w:u w:val="single"/>
          <w:lang w:val="lt-LT"/>
        </w:rPr>
        <w:t xml:space="preserve">. </w:t>
      </w:r>
      <w:r w:rsidR="007F735C" w:rsidRPr="009C0219">
        <w:rPr>
          <w:rStyle w:val="Hipersaitas"/>
          <w:rFonts w:ascii="Times New Roman" w:hAnsi="Times New Roman" w:cs="Times New Roman"/>
          <w:b w:val="0"/>
          <w:bCs w:val="0"/>
          <w:kern w:val="0"/>
          <w:u w:val="single"/>
          <w:lang w:val="lt-LT"/>
        </w:rPr>
        <w:t>įsakymu Nr. 40</w:t>
      </w:r>
      <w:r>
        <w:rPr>
          <w:lang w:val="lt-LT"/>
        </w:rPr>
        <w:t xml:space="preserve"> patvirtintos Užsienio apmokestinamiesiems vienetams išmokėtų pajamų (sumų) ir nuo jų apskaičiuoto pelno mokesčio deklaracijos FR0313 formos užpildymo taisyklės (toliau – Taisyklės). Šiose Taisyklėse nustatyta užsienio apmokestinamiems vienetams išmokėtų pajamų (sumų) ir nuo jų apskaičiuoto pelno mokesčio deklaracijos FR 0313 formos (toliau – Deklaracija) užpildymo tvarka.</w:t>
      </w:r>
    </w:p>
    <w:p w14:paraId="0FF17B84" w14:textId="77777777" w:rsidR="00093845" w:rsidRDefault="000D779E">
      <w:pPr>
        <w:tabs>
          <w:tab w:val="left" w:pos="720"/>
          <w:tab w:val="left" w:pos="1077"/>
          <w:tab w:val="left" w:pos="1418"/>
        </w:tabs>
        <w:jc w:val="both"/>
        <w:rPr>
          <w:b/>
          <w:lang w:val="lt-LT"/>
        </w:rPr>
      </w:pPr>
      <w:r>
        <w:rPr>
          <w:lang w:val="lt-LT"/>
        </w:rPr>
        <w:tab/>
        <w:t>Deklaraciją pildo ir AVMI teritoriniam skyriui pagal įregistravimo mokesčiu mokėtoju vietą turi pateikti pelno mokestį išskaičiuojantys asmenys, kurie PMĮ nustatyta tvarka nuo užsienio vienetams išmokėtų sumų išskaičiuoja pelno mokestį.</w:t>
      </w:r>
      <w:r>
        <w:rPr>
          <w:b/>
          <w:lang w:val="lt-LT"/>
        </w:rPr>
        <w:t xml:space="preserve"> </w:t>
      </w:r>
    </w:p>
    <w:p w14:paraId="3E1C2ACE" w14:textId="77777777" w:rsidR="00093845" w:rsidRDefault="000D779E">
      <w:pPr>
        <w:tabs>
          <w:tab w:val="left" w:pos="720"/>
          <w:tab w:val="left" w:pos="1077"/>
          <w:tab w:val="left" w:pos="1418"/>
        </w:tabs>
        <w:jc w:val="both"/>
        <w:rPr>
          <w:lang w:val="lt-LT"/>
        </w:rPr>
      </w:pPr>
      <w:r>
        <w:rPr>
          <w:b/>
          <w:lang w:val="lt-LT"/>
        </w:rPr>
        <w:tab/>
      </w:r>
      <w:r>
        <w:rPr>
          <w:lang w:val="lt-LT"/>
        </w:rPr>
        <w:t xml:space="preserve">Pagal PMĮ 37 straipsnio nuostatas pelno mokestį prie pajamų šaltinio nuo PMĮ 4 str. 4 dalyje išvardytų pajamų (sumų) išskaičiuoja ir sumoka į biudžetą pajamas (sumas) išmokėjęs asmuo – Lietuvos vienetas, užsienio vieneto nuolatinė buveinė Lietuvos Respublikoje arba nuolatinis Lietuvos gyventojas. </w:t>
      </w:r>
    </w:p>
    <w:p w14:paraId="59A2EEFC" w14:textId="77777777" w:rsidR="00093845" w:rsidRDefault="000D779E">
      <w:pPr>
        <w:tabs>
          <w:tab w:val="left" w:pos="720"/>
          <w:tab w:val="left" w:pos="1077"/>
          <w:tab w:val="left" w:pos="1418"/>
        </w:tabs>
        <w:ind w:firstLine="720"/>
        <w:jc w:val="both"/>
        <w:rPr>
          <w:lang w:val="lt-LT"/>
        </w:rPr>
      </w:pPr>
      <w:r>
        <w:rPr>
          <w:lang w:val="lt-LT"/>
        </w:rPr>
        <w:t>Iki PMĮ įsigaliojimo dienos,t.y. iki 2002-01-01, nuolatiniai Lietuvos gyventojai neprivalėjo iš užsienio vienetams išmokamų sumų išskaičiuoti pelno mokesčio.</w:t>
      </w:r>
    </w:p>
    <w:p w14:paraId="5AB724B1" w14:textId="77777777" w:rsidR="00093845" w:rsidRDefault="000D779E">
      <w:pPr>
        <w:tabs>
          <w:tab w:val="left" w:pos="720"/>
          <w:tab w:val="left" w:pos="1077"/>
          <w:tab w:val="left" w:pos="1418"/>
        </w:tabs>
        <w:jc w:val="both"/>
        <w:rPr>
          <w:lang w:val="lt-LT"/>
        </w:rPr>
      </w:pPr>
      <w:r>
        <w:rPr>
          <w:lang w:val="lt-LT"/>
        </w:rPr>
        <w:tab/>
        <w:t xml:space="preserve">Jeigu pelno mokestį išskaičiuojantis asmuo, išmokantis sumas užsienio valstybės, su kuria sudaryta ir taikoma dvigubo apmokestinimo sutartis, vienetui, išskaičiuodamas mokestį prie pajamų šaltinio, taiko toje sutartyje numatytas lengvatas (t.y. taiko mažesnį negu mokesčių įstatymuose nustatytą mokesčio tarifą arba visai neišskaičiuoja mokesčio), tai jis privalo vadovautis Valstybinės mokesčių inspekcijos prie Lietuvos Respublikos finansų ministerijos viršininko 2001 m. birželio 27 d. </w:t>
      </w:r>
      <w:r w:rsidR="007F735C" w:rsidRPr="009C0219">
        <w:rPr>
          <w:rStyle w:val="Hipersaitas"/>
          <w:rFonts w:ascii="Times New Roman" w:hAnsi="Times New Roman" w:cs="Times New Roman"/>
          <w:b w:val="0"/>
          <w:bCs w:val="0"/>
          <w:kern w:val="0"/>
          <w:lang w:val="lt-LT"/>
        </w:rPr>
        <w:t>įsakymu Nr. 159</w:t>
      </w:r>
      <w:r>
        <w:rPr>
          <w:lang w:val="lt-LT"/>
        </w:rPr>
        <w:t xml:space="preserve"> ,,Dėl su tarptautinių dvigubo apmokestinimo išvengimo sutarčių taikymu susijusių FR0021 (DAS-1), FR0022 (DAS-2), FR0023 (DAS-3) ir FR0254 (DAS-4) formų pildymo taisyklių patvirtinimo“, t.y. turėti užsienio vieneto prašymą sumažinti išskaičiuojamą mokestį – užpildytą užsienio valstybės rezidento prašymo sumažinti išskaičiuojamą mokestį FR0021 (DAS-1) formą (toliau –DAS-1 forma). Šiuo atveju užpildytos DAS-1 formos kartu su Deklaracijomis neteikiamos AVMI teritoriniams skyriams. Jos teikiamos kartu su metinėmis finansinėmis atskaitomybėmis ir metinėmis pelno mokesčio deklaracijomis.</w:t>
      </w:r>
    </w:p>
    <w:p w14:paraId="3F0790C3" w14:textId="77777777" w:rsidR="00093845" w:rsidRDefault="000D779E">
      <w:pPr>
        <w:tabs>
          <w:tab w:val="left" w:pos="720"/>
          <w:tab w:val="left" w:pos="1077"/>
          <w:tab w:val="left" w:pos="1418"/>
        </w:tabs>
        <w:jc w:val="both"/>
        <w:rPr>
          <w:lang w:val="lt-LT"/>
        </w:rPr>
      </w:pPr>
      <w:r>
        <w:rPr>
          <w:lang w:val="lt-LT"/>
        </w:rPr>
        <w:tab/>
        <w:t>Deklaracija taip pat turi būti pateikiama AVMI teritoriniams skyriams ir tais atvejais, kai vadovaujantis tarptautinėmis dvigubo apmokestinimo išvengimo sutartimis užsienio vienetams išmokamos sumos neapmokestinamos. Tokiais atvejais atitinkamuose Deklaracijos langeliuose, kuriuose turi būti nurodomas mokesčio tarifas ir išskaičiuota mokesčio suma, įrašomi nuliai (0).</w:t>
      </w:r>
    </w:p>
    <w:p w14:paraId="2049695A" w14:textId="77777777" w:rsidR="00093845" w:rsidRDefault="000D779E">
      <w:pPr>
        <w:tabs>
          <w:tab w:val="left" w:pos="720"/>
          <w:tab w:val="left" w:pos="1077"/>
          <w:tab w:val="left" w:pos="1418"/>
        </w:tabs>
        <w:jc w:val="both"/>
        <w:rPr>
          <w:lang w:val="lt-LT"/>
        </w:rPr>
      </w:pPr>
      <w:r>
        <w:rPr>
          <w:lang w:val="lt-LT"/>
        </w:rPr>
        <w:tab/>
        <w:t>Jeigu užsienio valstybės, su kuria sudaryta ir taikoma tarptautinė dvigubo apmokestinimo išvengimo sutartis, vienetas nori susigrąžinti visą Lietuvoje prie pajamų šaltinio išskaičiuotą pelno mokesčio sumą arba jos dalį, kurią mokestį išskaičiuojantis asmuo, išmokėjęs sumas ir neturėjęs tos užsienio valstybės vieneto DAS-1 formos, išskaičiavo Pelno mokesčio įstatyme nustatyta tvarka, tai užsienio vienetas AVMI teritoriniam skyriui turi pateikti užpildytą užsienio valstybės rezidento prašymo grąžinti išskaičiuojamą mokestį FR0022 (DAS-2) formą (toliau – DAS-2 forma).Tokiu atveju pelno mokestį išskaičiuojantis asmuo patikslintos Deklaracijos pateikti AVMI teritoriniam skyriui neprivalo.</w:t>
      </w:r>
    </w:p>
    <w:p w14:paraId="3B5B5360" w14:textId="77777777" w:rsidR="00093845" w:rsidRDefault="000D779E">
      <w:pPr>
        <w:tabs>
          <w:tab w:val="left" w:pos="720"/>
          <w:tab w:val="left" w:pos="1077"/>
          <w:tab w:val="left" w:pos="1418"/>
        </w:tabs>
        <w:jc w:val="both"/>
        <w:rPr>
          <w:lang w:val="lt-LT"/>
        </w:rPr>
      </w:pPr>
      <w:r>
        <w:rPr>
          <w:lang w:val="lt-LT"/>
        </w:rPr>
        <w:tab/>
        <w:t xml:space="preserve">Jeigu pelno mokestį išskaičiuojantis asmuo išmoka sumas užsienio valstybės, su kuria yra sudaryta ir taikoma tarptautinė dvigubo apmokestinimo išvengimo sutartis, vienetui ir neturi to užsienio vieneto DAS-1 formos, tačiau iš pervestos sumos neišskaičiuotas mokestis, o šį mokestį sumokėjo iš savo lėšų, tai pelno mokestį išskaičiuojantis asmuo, gavęs to užsienio vieneto DAS-1 formą, gali kreiptis į AVMI teritorinį skyrių dėl visos permokėto mokesčio sumos arba jos dalies </w:t>
      </w:r>
      <w:r>
        <w:rPr>
          <w:lang w:val="lt-LT"/>
        </w:rPr>
        <w:lastRenderedPageBreak/>
        <w:t xml:space="preserve">sugrąžinimo. Tokiu atveju pelno mokestį išskaičiuojantis asmuo AVMI teritoriniam skyriui kartu su užpildyta prašymo grąžinti (įskaityti) mokesčio permoką forma ir užsienio vieneto DAS-1 forma turi pateikti patikslintą Deklaraciją. </w:t>
      </w:r>
    </w:p>
    <w:p w14:paraId="399A4DC3" w14:textId="77777777" w:rsidR="00093845" w:rsidRDefault="000D779E">
      <w:pPr>
        <w:tabs>
          <w:tab w:val="left" w:pos="720"/>
          <w:tab w:val="left" w:pos="1077"/>
          <w:tab w:val="left" w:pos="1418"/>
        </w:tabs>
        <w:jc w:val="both"/>
        <w:rPr>
          <w:lang w:val="lt-LT"/>
        </w:rPr>
      </w:pPr>
      <w:r>
        <w:rPr>
          <w:lang w:val="lt-LT"/>
        </w:rPr>
        <w:tab/>
        <w:t>Jeigu užsienio valstybėje, kurios rezidentui Lietuvos ūkio subjektas išmoka sumas, pagal toje valstybėje nustatytą tvarką mokesčių administratorius nepildo DAS-1 formos, o išduoda savo tam tikros formos rezidavimo vietą patvirtinančią pažymą, ji turi būti pateikiama kartu su DAS-1 forma.</w:t>
      </w:r>
    </w:p>
    <w:p w14:paraId="6FA5FB0B" w14:textId="77777777" w:rsidR="00093845" w:rsidRDefault="000D779E">
      <w:pPr>
        <w:tabs>
          <w:tab w:val="left" w:pos="720"/>
          <w:tab w:val="left" w:pos="1077"/>
          <w:tab w:val="left" w:pos="1418"/>
        </w:tabs>
        <w:jc w:val="both"/>
        <w:rPr>
          <w:lang w:val="lt-LT"/>
        </w:rPr>
      </w:pPr>
      <w:r>
        <w:rPr>
          <w:lang w:val="lt-LT"/>
        </w:rPr>
        <w:tab/>
        <w:t>Pavyzdys</w:t>
      </w:r>
    </w:p>
    <w:p w14:paraId="4D9CC09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lang w:val="lt-LT"/>
        </w:rPr>
      </w:pPr>
      <w:r>
        <w:rPr>
          <w:lang w:val="lt-LT"/>
        </w:rPr>
        <w:tab/>
        <w:t>JAV Valstybės pajamų tarnyba nepildo ir netvirtina DAS-1 formų, bet visiems savo rezidentams nustatyta tvarka pati išduoda JAV subjekto rezidavimo vietą patvirtinančias pažymas – 6166 formas. Tokiu atveju 6166 forma pridedama prie formos DAS-1 ir kartu pateikiama Lietuvos Respublikos AVMI teritoriniam skyriui.</w:t>
      </w:r>
    </w:p>
    <w:p w14:paraId="11955AC4" w14:textId="77777777" w:rsidR="00093845" w:rsidRDefault="000D779E">
      <w:pPr>
        <w:tabs>
          <w:tab w:val="left" w:pos="720"/>
          <w:tab w:val="left" w:pos="1077"/>
          <w:tab w:val="left" w:pos="1418"/>
        </w:tabs>
        <w:jc w:val="both"/>
        <w:rPr>
          <w:lang w:val="lt-LT"/>
        </w:rPr>
      </w:pPr>
      <w:r>
        <w:rPr>
          <w:lang w:val="lt-LT"/>
        </w:rPr>
        <w:tab/>
      </w:r>
    </w:p>
    <w:p w14:paraId="29C7D8FC"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Deklaracija apie užsienio vienetui išmokėtas pajamas (sumas) ir apskaičiuotą bei į biudžetą sumokėtiną pelno mokestį pateikiama ne vėliau kaip per 15 dienų pasibaigus mėnesiui, kurį buvo išmokėtos pajamos (sumos).</w:t>
      </w:r>
    </w:p>
    <w:p w14:paraId="72DC15D5" w14:textId="77777777" w:rsidR="00093845" w:rsidRDefault="000D779E">
      <w:pPr>
        <w:jc w:val="both"/>
        <w:rPr>
          <w:lang w:val="lt-LT"/>
        </w:rPr>
      </w:pPr>
      <w:r>
        <w:rPr>
          <w:lang w:val="lt-LT"/>
        </w:rPr>
        <w:tab/>
      </w:r>
      <w:r>
        <w:rPr>
          <w:b/>
          <w:bCs/>
          <w:lang w:val="lt-LT"/>
        </w:rPr>
        <w:t>Komentaras</w:t>
      </w:r>
    </w:p>
    <w:p w14:paraId="003E87DD" w14:textId="77777777" w:rsidR="00093845" w:rsidRDefault="000D779E">
      <w:pPr>
        <w:tabs>
          <w:tab w:val="left" w:pos="720"/>
          <w:tab w:val="left" w:pos="1077"/>
          <w:tab w:val="left" w:pos="1418"/>
        </w:tabs>
        <w:ind w:firstLine="720"/>
        <w:jc w:val="both"/>
        <w:rPr>
          <w:b/>
          <w:lang w:val="lt-LT"/>
        </w:rPr>
      </w:pPr>
      <w:r>
        <w:rPr>
          <w:lang w:val="lt-LT"/>
        </w:rPr>
        <w:t>Deklaracija apie užsienio vienetui išmokėtas pajamas (sumas) ir apskaičiuotą bei į biudžetą sumokėtą pelno mokestį pateikiama AVMI tertoriniam skyriui ne vėliau kaip per 15 dienų pasibaigus mėnesiui, kurį buvo išmokėtos pajamos (sumos). Deklaracijos du egzemplioriai pateikiami asmeniškai arba atsiunčiami paštu ne vėliau kaip per 15 dienų pasibaigus mėnesiui, kurį buvo išmokėtos sumos užsienio vienetams. Vienas Deklaracijos egzempliorius su jo gavimą patvirtinančiu spaudu ir deklaraciją priėmusio atsakingo darbuotojo parašu grąžinamas pelno mokestį išskaičiuojančiam asmeniui.</w:t>
      </w:r>
      <w:r>
        <w:rPr>
          <w:lang w:val="lt-LT"/>
        </w:rPr>
        <w:tab/>
        <w:t xml:space="preserve"> </w:t>
      </w:r>
    </w:p>
    <w:p w14:paraId="79EEE9F2" w14:textId="77777777" w:rsidR="00093845" w:rsidRDefault="00093845">
      <w:pPr>
        <w:tabs>
          <w:tab w:val="left" w:pos="720"/>
          <w:tab w:val="left" w:pos="1077"/>
          <w:tab w:val="left" w:pos="1418"/>
        </w:tabs>
        <w:ind w:firstLine="720"/>
        <w:jc w:val="both"/>
        <w:rPr>
          <w:b/>
          <w:lang w:val="lt-LT"/>
        </w:rPr>
      </w:pPr>
    </w:p>
    <w:p w14:paraId="5D91DFC0" w14:textId="77777777" w:rsidR="00093845" w:rsidRDefault="000D779E">
      <w:pPr>
        <w:pStyle w:val="Antrat1"/>
        <w:jc w:val="both"/>
        <w:rPr>
          <w:rFonts w:ascii="Times New Roman" w:hAnsi="Times New Roman" w:cs="Times New Roman"/>
          <w:bCs w:val="0"/>
          <w:lang w:val="lt-LT"/>
        </w:rPr>
      </w:pPr>
      <w:bookmarkStart w:id="594" w:name="_53_straipsnis._Pelno"/>
      <w:bookmarkEnd w:id="594"/>
      <w:r>
        <w:rPr>
          <w:rFonts w:ascii="Times New Roman" w:hAnsi="Times New Roman" w:cs="Times New Roman"/>
          <w:bCs w:val="0"/>
          <w:lang w:val="lt-LT"/>
        </w:rPr>
        <w:t>53 STRAIPSNIS. Pelno mokesčio sumokėjimas ir grąžinimas</w:t>
      </w:r>
    </w:p>
    <w:p w14:paraId="4041B41F" w14:textId="77777777" w:rsidR="00093845" w:rsidRDefault="000D779E" w:rsidP="00CB66E8">
      <w:pPr>
        <w:spacing w:after="0"/>
        <w:jc w:val="both"/>
        <w:rPr>
          <w:rStyle w:val="normal-h"/>
          <w:b/>
        </w:rPr>
      </w:pPr>
      <w:bookmarkStart w:id="595" w:name="340z"/>
      <w:bookmarkEnd w:id="595"/>
      <w:r>
        <w:rPr>
          <w:rStyle w:val="normal-h"/>
        </w:rPr>
        <w:t xml:space="preserve">             </w:t>
      </w:r>
      <w:r>
        <w:rPr>
          <w:rStyle w:val="normal-h"/>
          <w:b/>
        </w:rPr>
        <w:t>1. Pelno mokestis ir (arba) fiksuotas pelno mokestis mokami pagal metines pelno mokesčio ir (arba) fiksuoto pelno mokesčio deklaracijas. Pelno mokestis ir (arba) fiksuotas pelno mokestis turi būti sumokėti ne vėliau kaip iki kito mokestinio laikotarpio šešto mėnesio penkioliktos dienos. Veiklą baigiančių mokesčio mokėtojų pelno mokestis ir (arba) fiksuotas pelno mokestis pagal paskutinio mokestinio laikotarpio metines pelno mokesčio ir (arba) fiksuoto pelno mokesčio deklaracijas turi būti sumokėti ne vėliau kaip paskutinę metinės pelno mokesčio ir (arba) metinės fiksuoto pelno mokesčio deklaracijų pateikimo termino dieną. Jeigu metinėje pelno mokesčio deklaracijoje apskaičiuota pelno mokesčio suma viršija už mokestinį laikotarpį sumokėtą avansinio pelno mokesčio sumą, mokesčio mokėtojas privalo šį skirtumą sumokėti į biudžetą. Mokesčio permoka grąžinama Mokesčių administravimo įstatymo nustatyta tvarka.</w:t>
      </w:r>
    </w:p>
    <w:p w14:paraId="33A7EE44" w14:textId="77777777" w:rsidR="00093845" w:rsidRDefault="000D779E" w:rsidP="00CB66E8">
      <w:pPr>
        <w:spacing w:after="0"/>
        <w:jc w:val="both"/>
        <w:rPr>
          <w:bCs/>
          <w:i/>
          <w:lang w:val="lt-LT"/>
        </w:rPr>
      </w:pPr>
      <w:r w:rsidRPr="00892E40">
        <w:rPr>
          <w:bCs/>
          <w:i/>
          <w:lang w:val="lt-LT"/>
        </w:rPr>
        <w:t>(</w:t>
      </w:r>
      <w:r w:rsidRPr="00892E40">
        <w:rPr>
          <w:i/>
        </w:rPr>
        <w:t>KEISTA:</w:t>
      </w:r>
      <w:r w:rsidRPr="00892E40">
        <w:rPr>
          <w:i/>
          <w:lang w:val="lt-LT"/>
        </w:rPr>
        <w:t xml:space="preserve"> </w:t>
      </w:r>
      <w:r w:rsidRPr="00892E40">
        <w:rPr>
          <w:i/>
        </w:rPr>
        <w:t>2016 03 22 įstatymu Nr. XII-2262 (nuo 2017 01 01)</w:t>
      </w:r>
      <w:r w:rsidRPr="00892E40">
        <w:rPr>
          <w:bCs/>
          <w:i/>
          <w:lang w:val="lt-LT"/>
        </w:rPr>
        <w:t>)</w:t>
      </w:r>
    </w:p>
    <w:p w14:paraId="4C6C7AD9" w14:textId="77777777" w:rsidR="00892E40" w:rsidRPr="00892E40" w:rsidRDefault="00892E40" w:rsidP="00CB66E8">
      <w:pPr>
        <w:spacing w:after="0"/>
        <w:jc w:val="both"/>
        <w:rPr>
          <w:bCs/>
          <w:i/>
          <w:lang w:val="lt-LT"/>
        </w:rPr>
      </w:pPr>
    </w:p>
    <w:p w14:paraId="78B1AFFE" w14:textId="77777777" w:rsidR="00093845" w:rsidRDefault="000D779E">
      <w:pPr>
        <w:tabs>
          <w:tab w:val="left" w:pos="8280"/>
        </w:tabs>
        <w:ind w:right="-82" w:firstLine="720"/>
        <w:jc w:val="both"/>
        <w:rPr>
          <w:b/>
        </w:rPr>
      </w:pPr>
      <w:r>
        <w:rPr>
          <w:b/>
        </w:rPr>
        <w:t>Komentaras</w:t>
      </w:r>
    </w:p>
    <w:p w14:paraId="53B9A952" w14:textId="77777777" w:rsidR="00093845" w:rsidRDefault="000D779E">
      <w:pPr>
        <w:ind w:right="-82" w:firstLine="720"/>
        <w:jc w:val="both"/>
      </w:pPr>
      <w:r>
        <w:t xml:space="preserve">1. Pelno mokestis mokamas pagal metinę pelno mokesčio deklaraciją </w:t>
      </w:r>
      <w:r>
        <w:rPr>
          <w:color w:val="000000"/>
        </w:rPr>
        <w:t>ir/ar metinę fiksuoto pelno mokesčio deklaraciją.</w:t>
      </w:r>
      <w:r>
        <w:t xml:space="preserve"> Pelno mokestis turi būti sumokėtas ne vėliau (gali būti sumokėtas ir anksčiau) iki kito mokestinio laikotarpio šešto mėnesio 15 dienos (jei mokestinis laikotarpis sutampa su kalendoriniais metais, tai ši diena bus birželio 15 diena).</w:t>
      </w:r>
    </w:p>
    <w:p w14:paraId="14A186FC" w14:textId="77777777" w:rsidR="00093845" w:rsidRDefault="000D779E">
      <w:pPr>
        <w:ind w:right="-82" w:firstLine="720"/>
        <w:jc w:val="both"/>
      </w:pPr>
      <w:r>
        <w:lastRenderedPageBreak/>
        <w:t>2. Jeigu metinėje pelno mokesčio deklaracijoje pelno mokesčio suma yra didesnė negu per mokestinius metus pagal pateiktas avansines pelno mokesčio apyskaitas sumokėta avansinio pelno mokesčio suma, mokesčių mokėtojas privalo papildomai apskaičiuotą mokesčio sumą sumokėti į biudžetą.</w:t>
      </w:r>
    </w:p>
    <w:p w14:paraId="13C41D02" w14:textId="77777777" w:rsidR="00093845" w:rsidRDefault="000D779E">
      <w:pPr>
        <w:ind w:right="-82" w:firstLine="720"/>
        <w:jc w:val="both"/>
      </w:pPr>
      <w:r>
        <w:t xml:space="preserve">3. Tuo atveju, kai vienetas pasibaigus mokestiniam laikotarpiui apskaičiuoja, kad sumokėta avansinio pelno mokesčio suma yra didesnė už to mokestinio laikotarpio apskaičiuotą pelno mokesčio sumą, tai pagal Mokesčių administravimo įstatymo 87 straipsnį šis vienetas gali kreiptis į mokesčių administratorių, kad sumokėtoji per didelė avansinio pelno mokesčio suma jam būtų grąžinta. </w:t>
      </w:r>
    </w:p>
    <w:p w14:paraId="659996B0" w14:textId="77777777" w:rsidR="00093845" w:rsidRDefault="000D779E">
      <w:pPr>
        <w:ind w:firstLine="720"/>
        <w:jc w:val="both"/>
      </w:pPr>
      <w:r>
        <w:t>4. Veiklą baigiančių vienetų pelno mokestis ir/arba fiksuotas pelno mokestis pagal paskutinio mokestinio laikotarpio metines pelno mokesčio ir/arba metines fiksuoto pelno mokesčio deklaracijas turi būti sumokėti ne vėliau kaip paskutinę metinės pelno mokesčio ir/arba fiksuoto pelno mokesčio deklaracijų pateikimo dieną, t. y. per 30 dienų nuo veiklos pabaigos.</w:t>
      </w:r>
    </w:p>
    <w:p w14:paraId="5036CA48" w14:textId="77777777" w:rsidR="00093845" w:rsidRDefault="000D779E">
      <w:pPr>
        <w:ind w:firstLine="720"/>
        <w:jc w:val="both"/>
        <w:rPr>
          <w:lang w:val="lt-LT"/>
        </w:rPr>
      </w:pPr>
      <w:r>
        <w:rPr>
          <w:lang w:val="lt-LT"/>
        </w:rPr>
        <w:t>(53 str. komentaro 1 dalis</w:t>
      </w:r>
      <w:r w:rsidR="00F31096">
        <w:rPr>
          <w:lang w:val="lt-LT"/>
        </w:rPr>
        <w:t xml:space="preserve"> </w:t>
      </w:r>
      <w:r>
        <w:rPr>
          <w:lang w:val="lt-LT"/>
        </w:rPr>
        <w:t xml:space="preserve">pakeista pagal 2016-05-04 VMI prie FM raštą Nr. </w:t>
      </w:r>
      <w:r w:rsidRPr="0065344A">
        <w:rPr>
          <w:lang w:val="lt-LT"/>
        </w:rPr>
        <w:t>(18.10-31-1E) RM-12571).</w:t>
      </w:r>
    </w:p>
    <w:p w14:paraId="60FB1F05" w14:textId="77777777" w:rsidR="0038473F" w:rsidRPr="004D0D10" w:rsidRDefault="0038473F" w:rsidP="0038473F">
      <w:pPr>
        <w:pStyle w:val="Paprastasistekstas"/>
        <w:ind w:firstLine="720"/>
        <w:jc w:val="both"/>
        <w:rPr>
          <w:rFonts w:ascii="Times New Roman" w:hAnsi="Times New Roman" w:cs="Times New Roman"/>
          <w:b/>
          <w:bCs/>
        </w:rPr>
      </w:pPr>
      <w:r w:rsidRPr="004D0D10">
        <w:rPr>
          <w:rFonts w:ascii="Times New Roman" w:hAnsi="Times New Roman" w:cs="Times New Roman"/>
          <w:b/>
          <w:bCs/>
        </w:rPr>
        <w:t>2. Pelno mokestis, apskaičiuotas nuo pajamų (sumų), išmokėtų užsienio vienetui, turi būti sumokėtas ne vėliau kaip deklaracijos pateikimo termino pabaigos dieną. Jei Lietuvos vienetas ar nuolatinė buveinė išskaitė ir sumokėjo pelno mokestį, apskaičiuotą nuo užsienio vienetui ar jo nuolatinei buveinei išmokėtų sumų (pajamų), kurioms galėjo būti taikomos šio Įstatymo 37(1) straipsnio nuostatos, tai užsienio vienetui mokestis grąžinamas (įskaitomas) Mokesčių administravimo įstatymo nustatyta tvarka. Užsienio vienetas raštišką prašymą grąžinti (įskaityti) mokestį ir dokumentus, įrodančius, kad tenkinami šio Įstatymo 37(1) straipsnio 1–3 dalyse nustatyti kriterijai, turi pateikti per dvejus metus nuo minėtų sumų (pajamų) išmokėjimo jam dienos. Sumokėtas pelno mokestis turi būti grąžinamas (įskaitomas) ne vėliau kaip per vienerius metus nuo raštiško prašymo grąžinti (įskaityti) mokestį ir dokumentų, įrodančių, kad tenkinami šio Įstatymo 37(1) straipsnio 1–3 dalyse nustatyti kriterijai, gavimo dienos.</w:t>
      </w:r>
    </w:p>
    <w:p w14:paraId="1CE1EE1E" w14:textId="77777777" w:rsidR="0038473F" w:rsidRPr="004D0D10" w:rsidRDefault="0038473F" w:rsidP="0038473F">
      <w:pPr>
        <w:pStyle w:val="Paprastasistekstas"/>
        <w:ind w:firstLine="720"/>
        <w:jc w:val="both"/>
        <w:rPr>
          <w:rFonts w:ascii="Times New Roman" w:hAnsi="Times New Roman" w:cs="Times New Roman"/>
          <w:bCs/>
        </w:rPr>
      </w:pPr>
      <w:r w:rsidRPr="004D0D10">
        <w:rPr>
          <w:rFonts w:ascii="Times New Roman" w:hAnsi="Times New Roman" w:cs="Times New Roman"/>
          <w:bCs/>
        </w:rPr>
        <w:t>(KEISTA: 2005 12 20 įstatymu Nr. X-456 (nuo 2011 07 01))</w:t>
      </w:r>
    </w:p>
    <w:p w14:paraId="2278AC93" w14:textId="77777777" w:rsidR="0038473F" w:rsidRDefault="0038473F" w:rsidP="0038473F">
      <w:pPr>
        <w:pStyle w:val="Paprastasistekstas"/>
        <w:spacing w:before="0" w:beforeAutospacing="0" w:after="0" w:afterAutospacing="0"/>
        <w:ind w:firstLine="720"/>
        <w:jc w:val="both"/>
        <w:rPr>
          <w:rFonts w:ascii="Times New Roman" w:hAnsi="Times New Roman" w:cs="Times New Roman"/>
          <w:b/>
          <w:bCs/>
        </w:rPr>
      </w:pPr>
      <w:r>
        <w:rPr>
          <w:rFonts w:ascii="Times New Roman" w:hAnsi="Times New Roman" w:cs="Times New Roman"/>
          <w:b/>
          <w:bCs/>
        </w:rPr>
        <w:t>Komentaras</w:t>
      </w:r>
    </w:p>
    <w:p w14:paraId="0A81354F"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 xml:space="preserve">1. </w:t>
      </w:r>
      <w:r w:rsidRPr="009D7A55">
        <w:rPr>
          <w:rFonts w:ascii="Times New Roman" w:hAnsi="Times New Roman" w:cs="Times New Roman"/>
          <w:bCs/>
        </w:rPr>
        <w:t xml:space="preserve">Pelno mokestį prie pajamų šaltinio nuo </w:t>
      </w:r>
      <w:r>
        <w:rPr>
          <w:rFonts w:ascii="Times New Roman" w:hAnsi="Times New Roman" w:cs="Times New Roman"/>
          <w:bCs/>
        </w:rPr>
        <w:t xml:space="preserve">PMĮ </w:t>
      </w:r>
      <w:r w:rsidRPr="009D7A55">
        <w:rPr>
          <w:rFonts w:ascii="Times New Roman" w:hAnsi="Times New Roman" w:cs="Times New Roman"/>
          <w:bCs/>
        </w:rPr>
        <w:t xml:space="preserve">4 straipsnio 4 dalyje nurodytų pajamų (sumų),  išskaičiuoja ir sumoka į biudžetą išmokas išmokėjęs asmuo </w:t>
      </w:r>
      <w:r>
        <w:rPr>
          <w:rFonts w:ascii="Times New Roman" w:hAnsi="Times New Roman" w:cs="Times New Roman"/>
          <w:bCs/>
        </w:rPr>
        <w:t>-</w:t>
      </w:r>
      <w:r w:rsidRPr="009D7A55">
        <w:rPr>
          <w:rFonts w:ascii="Times New Roman" w:hAnsi="Times New Roman" w:cs="Times New Roman"/>
          <w:bCs/>
        </w:rPr>
        <w:t xml:space="preserve"> Lietuvos vienetas, nuolatinė buveinė </w:t>
      </w:r>
      <w:r>
        <w:rPr>
          <w:rFonts w:ascii="Times New Roman" w:hAnsi="Times New Roman" w:cs="Times New Roman"/>
          <w:bCs/>
        </w:rPr>
        <w:t xml:space="preserve">(žr. PMĮ 37 straipsnio komentarą). </w:t>
      </w:r>
    </w:p>
    <w:p w14:paraId="19E6CA21"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2. P</w:t>
      </w:r>
      <w:r w:rsidRPr="00F60577">
        <w:rPr>
          <w:rFonts w:ascii="Times New Roman" w:hAnsi="Times New Roman" w:cs="Times New Roman"/>
          <w:bCs/>
        </w:rPr>
        <w:t>elno mokestis, apskaičiuotas nuo pajamų (sumų), išmokėtų užsienio vienetui, turi būti sumokėtas iki deklaracijos pateikimo termino pabaigos</w:t>
      </w:r>
      <w:r>
        <w:rPr>
          <w:rFonts w:ascii="Times New Roman" w:hAnsi="Times New Roman" w:cs="Times New Roman"/>
          <w:bCs/>
        </w:rPr>
        <w:t>, t. y. vadovaujantis PMĮ 52 straipsnio 2 dalimi d</w:t>
      </w:r>
      <w:r w:rsidRPr="00D24629">
        <w:rPr>
          <w:rFonts w:ascii="Times New Roman" w:hAnsi="Times New Roman" w:cs="Times New Roman"/>
          <w:bCs/>
        </w:rPr>
        <w:t xml:space="preserve">eklaracija </w:t>
      </w:r>
      <w:r>
        <w:rPr>
          <w:rFonts w:ascii="Times New Roman" w:hAnsi="Times New Roman" w:cs="Times New Roman"/>
          <w:bCs/>
        </w:rPr>
        <w:t xml:space="preserve">forma FR0313 </w:t>
      </w:r>
      <w:r w:rsidRPr="00D24629">
        <w:rPr>
          <w:rFonts w:ascii="Times New Roman" w:hAnsi="Times New Roman" w:cs="Times New Roman"/>
          <w:bCs/>
        </w:rPr>
        <w:t>apie užsienio vienetui išmokėtas pajamas (sumas) ir apskaičiuotą bei į biudžetą sumokėtiną pelno mokestį pateikiama ne vėliau kaip per 15 dienų pasibaigus mėnesiui, kurį buvo išmokėtos pajamos (sumos)</w:t>
      </w:r>
      <w:r>
        <w:rPr>
          <w:rFonts w:ascii="Times New Roman" w:hAnsi="Times New Roman" w:cs="Times New Roman"/>
          <w:bCs/>
        </w:rPr>
        <w:t xml:space="preserve"> (žr. PMĮ 52 straipsnio 2 dalies komentarą)</w:t>
      </w:r>
      <w:r w:rsidRPr="00F60577">
        <w:rPr>
          <w:rFonts w:ascii="Times New Roman" w:hAnsi="Times New Roman" w:cs="Times New Roman"/>
          <w:bCs/>
        </w:rPr>
        <w:t xml:space="preserve">. </w:t>
      </w:r>
    </w:p>
    <w:p w14:paraId="45E510D4" w14:textId="77777777" w:rsidR="0038473F"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 xml:space="preserve">3. </w:t>
      </w:r>
      <w:r w:rsidRPr="00F60577">
        <w:rPr>
          <w:rFonts w:ascii="Times New Roman" w:hAnsi="Times New Roman" w:cs="Times New Roman"/>
          <w:bCs/>
        </w:rPr>
        <w:t xml:space="preserve">Jei Lietuvos vienetas ar nuolatinė buveinė išskaitė ir sumokėjo pelno mokestį nuo užsienio vienetui ar jo nuolatinei buveinei išmokėtų sumų (pajamų), kurioms galėjo būti taikomos </w:t>
      </w:r>
      <w:r>
        <w:rPr>
          <w:rFonts w:ascii="Times New Roman" w:hAnsi="Times New Roman" w:cs="Times New Roman"/>
          <w:bCs/>
        </w:rPr>
        <w:t>PMĮ</w:t>
      </w:r>
      <w:r w:rsidRPr="00F60577">
        <w:rPr>
          <w:rFonts w:ascii="Times New Roman" w:hAnsi="Times New Roman" w:cs="Times New Roman"/>
          <w:bCs/>
        </w:rPr>
        <w:t xml:space="preserve"> </w:t>
      </w:r>
      <w:r>
        <w:rPr>
          <w:rFonts w:ascii="Times New Roman" w:hAnsi="Times New Roman" w:cs="Times New Roman"/>
          <w:bCs/>
        </w:rPr>
        <w:t>37(1)</w:t>
      </w:r>
      <w:r w:rsidRPr="00F60577">
        <w:rPr>
          <w:rFonts w:ascii="Times New Roman" w:hAnsi="Times New Roman" w:cs="Times New Roman"/>
          <w:bCs/>
        </w:rPr>
        <w:t xml:space="preserve"> straipsnio nuostatos, tai užsienio vienetui mokestis ga</w:t>
      </w:r>
      <w:r>
        <w:rPr>
          <w:rFonts w:ascii="Times New Roman" w:hAnsi="Times New Roman" w:cs="Times New Roman"/>
          <w:bCs/>
        </w:rPr>
        <w:t xml:space="preserve">li būti grąžinamas (įskaitomas) Mokesčių administravimo įstatyme nustatyta tvarka. </w:t>
      </w:r>
      <w:r w:rsidRPr="00E54B4A">
        <w:rPr>
          <w:rFonts w:ascii="Times New Roman" w:hAnsi="Times New Roman" w:cs="Times New Roman"/>
          <w:bCs/>
        </w:rPr>
        <w:t>Mokesčio grąžinimo (įskaitymo) procedūrą reglamentuoja Mokesčių administravimo įstatymo 87 straipsnis.</w:t>
      </w:r>
      <w:r>
        <w:rPr>
          <w:rFonts w:ascii="Times New Roman" w:hAnsi="Times New Roman" w:cs="Times New Roman"/>
          <w:bCs/>
        </w:rPr>
        <w:t xml:space="preserve"> </w:t>
      </w:r>
    </w:p>
    <w:p w14:paraId="7FC381BC" w14:textId="77777777" w:rsidR="0038473F" w:rsidRPr="00F60577"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t>4. Komentuojamoje dalyje, j</w:t>
      </w:r>
      <w:r w:rsidRPr="00F60577">
        <w:rPr>
          <w:rFonts w:ascii="Times New Roman" w:hAnsi="Times New Roman" w:cs="Times New Roman"/>
          <w:bCs/>
        </w:rPr>
        <w:t xml:space="preserve">ei užsienio vienetas atitinka </w:t>
      </w:r>
      <w:r>
        <w:rPr>
          <w:rFonts w:ascii="Times New Roman" w:hAnsi="Times New Roman" w:cs="Times New Roman"/>
          <w:bCs/>
        </w:rPr>
        <w:t>PMĮ</w:t>
      </w:r>
      <w:r w:rsidRPr="00F60577">
        <w:rPr>
          <w:rFonts w:ascii="Times New Roman" w:hAnsi="Times New Roman" w:cs="Times New Roman"/>
          <w:bCs/>
        </w:rPr>
        <w:t xml:space="preserve"> </w:t>
      </w:r>
      <w:r>
        <w:rPr>
          <w:rFonts w:ascii="Times New Roman" w:hAnsi="Times New Roman" w:cs="Times New Roman"/>
          <w:bCs/>
        </w:rPr>
        <w:t>37(1)</w:t>
      </w:r>
      <w:r w:rsidRPr="00F60577">
        <w:rPr>
          <w:rFonts w:ascii="Times New Roman" w:hAnsi="Times New Roman" w:cs="Times New Roman"/>
          <w:bCs/>
        </w:rPr>
        <w:t xml:space="preserve"> straipsnio 1</w:t>
      </w:r>
      <w:r>
        <w:rPr>
          <w:rFonts w:ascii="Times New Roman" w:hAnsi="Times New Roman" w:cs="Times New Roman"/>
          <w:bCs/>
        </w:rPr>
        <w:t>-</w:t>
      </w:r>
      <w:r w:rsidRPr="00F60577">
        <w:rPr>
          <w:rFonts w:ascii="Times New Roman" w:hAnsi="Times New Roman" w:cs="Times New Roman"/>
          <w:bCs/>
        </w:rPr>
        <w:t>3 dalyse nustatytus kriterijus</w:t>
      </w:r>
      <w:r>
        <w:rPr>
          <w:rFonts w:ascii="Times New Roman" w:hAnsi="Times New Roman" w:cs="Times New Roman"/>
          <w:bCs/>
        </w:rPr>
        <w:t xml:space="preserve"> (žr. PMĮ 37(1) 1-3 dalių komentarą)</w:t>
      </w:r>
      <w:r w:rsidRPr="00F60577">
        <w:rPr>
          <w:rFonts w:ascii="Times New Roman" w:hAnsi="Times New Roman" w:cs="Times New Roman"/>
          <w:bCs/>
        </w:rPr>
        <w:t>, jis gali kreiptis dėl sumokėto pelno mokesčio grąžinimo (įskaitymo).</w:t>
      </w:r>
      <w:r w:rsidRPr="001439AE">
        <w:t xml:space="preserve"> </w:t>
      </w:r>
      <w:r w:rsidRPr="001439AE">
        <w:rPr>
          <w:rFonts w:ascii="Times New Roman" w:hAnsi="Times New Roman" w:cs="Times New Roman"/>
          <w:bCs/>
        </w:rPr>
        <w:t>Užsienio vienetas pats turi kreiptis dėl mokesčio grąžinimo (įskaitymo).</w:t>
      </w:r>
      <w:r>
        <w:rPr>
          <w:rFonts w:ascii="Times New Roman" w:hAnsi="Times New Roman" w:cs="Times New Roman"/>
          <w:bCs/>
        </w:rPr>
        <w:t xml:space="preserve"> </w:t>
      </w:r>
      <w:r w:rsidRPr="00F60577">
        <w:rPr>
          <w:rFonts w:ascii="Times New Roman" w:hAnsi="Times New Roman" w:cs="Times New Roman"/>
          <w:bCs/>
        </w:rPr>
        <w:t xml:space="preserve">Prašymas grąžinti (įskaityti) mokestį ir dokumentai, įrodantys, kad </w:t>
      </w:r>
      <w:r>
        <w:rPr>
          <w:rFonts w:ascii="Times New Roman" w:hAnsi="Times New Roman" w:cs="Times New Roman"/>
          <w:bCs/>
        </w:rPr>
        <w:t xml:space="preserve">tenkinami </w:t>
      </w:r>
      <w:r w:rsidRPr="00F60577">
        <w:rPr>
          <w:rFonts w:ascii="Times New Roman" w:hAnsi="Times New Roman" w:cs="Times New Roman"/>
          <w:bCs/>
        </w:rPr>
        <w:t>atitinkami kriterijai, turi būti pateikti per dvejus metus nuo minėtų sumų (pajamų) išmokėjimo jam dienos.</w:t>
      </w:r>
    </w:p>
    <w:p w14:paraId="0A54F8A5" w14:textId="77777777" w:rsidR="0038473F" w:rsidRPr="00FF59E8" w:rsidRDefault="0038473F" w:rsidP="0038473F">
      <w:pPr>
        <w:pStyle w:val="Paprastasistekstas"/>
        <w:spacing w:before="0" w:beforeAutospacing="0" w:after="0" w:afterAutospacing="0" w:line="240" w:lineRule="auto"/>
        <w:ind w:firstLine="720"/>
        <w:jc w:val="both"/>
        <w:rPr>
          <w:rFonts w:ascii="Times New Roman" w:hAnsi="Times New Roman" w:cs="Times New Roman"/>
          <w:bCs/>
        </w:rPr>
      </w:pPr>
      <w:r>
        <w:rPr>
          <w:rFonts w:ascii="Times New Roman" w:hAnsi="Times New Roman" w:cs="Times New Roman"/>
          <w:bCs/>
        </w:rPr>
        <w:lastRenderedPageBreak/>
        <w:t xml:space="preserve">5. </w:t>
      </w:r>
      <w:r w:rsidRPr="00F60577">
        <w:rPr>
          <w:rFonts w:ascii="Times New Roman" w:hAnsi="Times New Roman" w:cs="Times New Roman"/>
          <w:bCs/>
        </w:rPr>
        <w:t>Sumokėtas pelno mokestis</w:t>
      </w:r>
      <w:r w:rsidRPr="008F50B3">
        <w:rPr>
          <w:rFonts w:ascii="Times New Roman" w:hAnsi="Times New Roman" w:cs="Times New Roman"/>
          <w:bCs/>
        </w:rPr>
        <w:t xml:space="preserve">, </w:t>
      </w:r>
      <w:r w:rsidRPr="00FF59E8">
        <w:rPr>
          <w:rFonts w:ascii="Times New Roman" w:hAnsi="Times New Roman" w:cs="Times New Roman"/>
          <w:bCs/>
        </w:rPr>
        <w:t xml:space="preserve">nuo sumų, kurioms gali būti taikomos PMĮ </w:t>
      </w:r>
      <w:r>
        <w:rPr>
          <w:rFonts w:ascii="Times New Roman" w:hAnsi="Times New Roman" w:cs="Times New Roman"/>
          <w:bCs/>
        </w:rPr>
        <w:t>37(1)</w:t>
      </w:r>
      <w:r w:rsidR="00F73680">
        <w:rPr>
          <w:rFonts w:ascii="Times New Roman" w:hAnsi="Times New Roman" w:cs="Times New Roman"/>
          <w:bCs/>
        </w:rPr>
        <w:t xml:space="preserve"> straipsnio </w:t>
      </w:r>
      <w:r w:rsidRPr="00FF59E8">
        <w:rPr>
          <w:rFonts w:ascii="Times New Roman" w:hAnsi="Times New Roman" w:cs="Times New Roman"/>
          <w:bCs/>
        </w:rPr>
        <w:t xml:space="preserve">nuostatos, turi būti grąžinamas (įskaitomas) ne vėliau kaip per vienerius metus nuo raštiško prašymo grąžinti (įskaityti) mokestį ir dokumentų, įrodančių, kad </w:t>
      </w:r>
      <w:r>
        <w:rPr>
          <w:rFonts w:ascii="Times New Roman" w:hAnsi="Times New Roman" w:cs="Times New Roman"/>
          <w:bCs/>
        </w:rPr>
        <w:t xml:space="preserve">tenkinami </w:t>
      </w:r>
      <w:r w:rsidRPr="00FF59E8">
        <w:rPr>
          <w:rFonts w:ascii="Times New Roman" w:hAnsi="Times New Roman" w:cs="Times New Roman"/>
          <w:bCs/>
        </w:rPr>
        <w:t>atitinkami kriterijai, gavimo dienos.</w:t>
      </w:r>
      <w:r w:rsidRPr="00FF59E8">
        <w:t xml:space="preserve"> </w:t>
      </w:r>
    </w:p>
    <w:p w14:paraId="78D3826B" w14:textId="77777777" w:rsidR="00093845" w:rsidRPr="0038473F" w:rsidRDefault="0038473F" w:rsidP="0038473F">
      <w:pPr>
        <w:pStyle w:val="Pagrindinistekstas3"/>
        <w:jc w:val="both"/>
        <w:rPr>
          <w:rFonts w:ascii="Times New Roman" w:hAnsi="Times New Roman"/>
          <w:b/>
        </w:rPr>
      </w:pPr>
      <w:r>
        <w:rPr>
          <w:b/>
        </w:rPr>
        <w:t xml:space="preserve">           </w:t>
      </w:r>
      <w:r w:rsidRPr="0038473F">
        <w:rPr>
          <w:rFonts w:ascii="Times New Roman" w:hAnsi="Times New Roman"/>
        </w:rPr>
        <w:t>(PMĮ 53 straipsnio 2 dalies  komentaras pakeistas pagal VMI prie FM 2024-05-21 raštą Nr. (18.32-31-1 E) R-1856)</w:t>
      </w:r>
    </w:p>
    <w:p w14:paraId="653F30B7" w14:textId="77777777" w:rsidR="00093845" w:rsidRPr="00480C1E" w:rsidRDefault="000D779E">
      <w:pPr>
        <w:ind w:firstLine="720"/>
        <w:jc w:val="both"/>
        <w:rPr>
          <w:b/>
          <w:iCs/>
        </w:rPr>
      </w:pPr>
      <w:r>
        <w:rPr>
          <w:b/>
          <w:lang w:val="nb-NO"/>
        </w:rPr>
        <w:t>3</w:t>
      </w:r>
      <w:r w:rsidR="00550468">
        <w:rPr>
          <w:b/>
          <w:lang w:val="nb-NO"/>
        </w:rPr>
        <w:t>.</w:t>
      </w:r>
      <w:r>
        <w:rPr>
          <w:b/>
          <w:lang w:val="nb-NO"/>
        </w:rPr>
        <w:t xml:space="preserve"> </w:t>
      </w:r>
      <w:r w:rsidRPr="009C0219">
        <w:rPr>
          <w:b/>
          <w:bCs/>
          <w:iCs/>
        </w:rPr>
        <w:t>NETEKO GALIOS</w:t>
      </w:r>
      <w:r w:rsidR="00CB66E8">
        <w:rPr>
          <w:b/>
          <w:bCs/>
          <w:iCs/>
        </w:rPr>
        <w:t>:</w:t>
      </w:r>
      <w:r>
        <w:rPr>
          <w:b/>
          <w:bCs/>
          <w:iCs/>
          <w:lang w:val="lt-LT"/>
        </w:rPr>
        <w:t xml:space="preserve"> </w:t>
      </w:r>
      <w:r w:rsidRPr="00480C1E">
        <w:rPr>
          <w:b/>
          <w:iCs/>
        </w:rPr>
        <w:t>2007 07 03 įstatymu Nr. X-1250 (nuo 2008 01 01)</w:t>
      </w:r>
    </w:p>
    <w:p w14:paraId="443CC169" w14:textId="77777777" w:rsidR="00093845" w:rsidRDefault="00093845">
      <w:pPr>
        <w:tabs>
          <w:tab w:val="left" w:pos="720"/>
          <w:tab w:val="left" w:pos="1077"/>
          <w:tab w:val="left" w:pos="1418"/>
        </w:tabs>
        <w:jc w:val="both"/>
        <w:rPr>
          <w:b/>
          <w:lang w:val="lt-LT"/>
        </w:rPr>
      </w:pPr>
    </w:p>
    <w:p w14:paraId="69D4A652" w14:textId="77777777" w:rsidR="00093845" w:rsidRDefault="000D779E">
      <w:pPr>
        <w:pStyle w:val="Antrat1"/>
        <w:jc w:val="both"/>
        <w:rPr>
          <w:rFonts w:ascii="Times New Roman" w:hAnsi="Times New Roman" w:cs="Times New Roman"/>
          <w:lang w:val="lt-LT"/>
        </w:rPr>
      </w:pPr>
      <w:bookmarkStart w:id="596" w:name="_54_straipsnis._Užsienio"/>
      <w:bookmarkEnd w:id="596"/>
      <w:r>
        <w:rPr>
          <w:rFonts w:ascii="Times New Roman" w:hAnsi="Times New Roman" w:cs="Times New Roman"/>
          <w:lang w:val="lt-LT"/>
        </w:rPr>
        <w:t>54 STRAIPSNIS. Užsienio vieneto apskaičiuoto ir sumokėto pelno mokesčio perskaičiavimas</w:t>
      </w:r>
    </w:p>
    <w:p w14:paraId="1DFD7514" w14:textId="77777777" w:rsidR="00093845" w:rsidRDefault="00093845">
      <w:pPr>
        <w:tabs>
          <w:tab w:val="left" w:pos="720"/>
          <w:tab w:val="left" w:pos="1077"/>
          <w:tab w:val="left" w:pos="1418"/>
        </w:tabs>
        <w:ind w:firstLine="720"/>
        <w:jc w:val="both"/>
        <w:rPr>
          <w:b/>
          <w:lang w:val="lt-LT"/>
        </w:rPr>
      </w:pPr>
    </w:p>
    <w:p w14:paraId="1F813937" w14:textId="77777777" w:rsidR="00093845" w:rsidRPr="0065344A" w:rsidRDefault="000D779E" w:rsidP="004B5283">
      <w:pPr>
        <w:pStyle w:val="Pagrindiniotekstotrauka"/>
        <w:tabs>
          <w:tab w:val="left" w:pos="720"/>
          <w:tab w:val="left" w:pos="1077"/>
          <w:tab w:val="left" w:pos="1418"/>
        </w:tabs>
        <w:spacing w:after="0"/>
        <w:rPr>
          <w:b/>
          <w:lang w:val="lt-LT"/>
        </w:rPr>
      </w:pPr>
      <w:r w:rsidRPr="0065344A">
        <w:rPr>
          <w:b/>
          <w:lang w:val="lt-LT"/>
        </w:rPr>
        <w:t xml:space="preserve">1. Užsienio vienetas, gavęs pajamų už Lietuvos Respublikoje vykdomą atlikėjų ar sporto veiklą (toliau šiame straipsnyje – veikla) ir (arba) parduotą ar kitaip perleistą nuosavybėn nekilnojamąjį pagal prigimtį daiktą, esantį Lietuvos Respublikos teritorijoje (toliau šiame straipsnyje – turtas), turi teisę centrinio mokesčių administratoriaus nustatyta tvarka kreiptis į vietos mokesčio administratorių, kurio veiklos teritorijoje įregistruotas mokestį išskaičiuojantis asmuo, dėl apskaičiuoto ir sumokėto pelno mokesčio už Lietuvos Respublikoje vykdomą veiklą ir (arba) parduotą ar kitaip perleistą nuosavybėn turtą perskaičiavimo. Šiuo atveju pelno mokestis būtų apskaičiuojamas nuo turto vertės padidėjimo pajamų ir (ar) veiklos Lietuvos Respublikoje apmokestinamojo pelno. </w:t>
      </w:r>
    </w:p>
    <w:p w14:paraId="3B7CA841" w14:textId="77777777" w:rsidR="00093845" w:rsidRDefault="000D779E" w:rsidP="004B5283">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892E40">
        <w:rPr>
          <w:i/>
          <w:lang w:val="lt-LT"/>
        </w:rPr>
        <w:t>(</w:t>
      </w:r>
      <w:r w:rsidRPr="00892E40">
        <w:rPr>
          <w:i/>
          <w:iCs/>
        </w:rPr>
        <w:t>KEISTA:</w:t>
      </w:r>
      <w:r w:rsidRPr="00892E40">
        <w:rPr>
          <w:i/>
          <w:iCs/>
          <w:lang w:val="lt-LT"/>
        </w:rPr>
        <w:t xml:space="preserve"> </w:t>
      </w:r>
      <w:r w:rsidRPr="00892E40">
        <w:rPr>
          <w:i/>
          <w:iCs/>
        </w:rPr>
        <w:t>2008 07 14 įstatymu Nr. X-1697 (nuo 2009 01 01)</w:t>
      </w:r>
      <w:r w:rsidRPr="00892E40">
        <w:rPr>
          <w:i/>
          <w:lang w:val="lt-LT"/>
        </w:rPr>
        <w:t>)</w:t>
      </w:r>
    </w:p>
    <w:p w14:paraId="384FA513" w14:textId="77777777" w:rsidR="00892E40" w:rsidRPr="00892E40" w:rsidRDefault="00892E40" w:rsidP="004B5283">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627C8D1C" w14:textId="77777777" w:rsidR="00093845" w:rsidRPr="0065344A" w:rsidRDefault="000D779E">
      <w:pPr>
        <w:ind w:firstLine="720"/>
        <w:rPr>
          <w:b/>
          <w:bCs/>
          <w:lang w:val="lt-LT"/>
        </w:rPr>
      </w:pPr>
      <w:r w:rsidRPr="0065344A">
        <w:rPr>
          <w:b/>
          <w:bCs/>
          <w:lang w:val="lt-LT"/>
        </w:rPr>
        <w:t>Komentaras</w:t>
      </w:r>
    </w:p>
    <w:p w14:paraId="5F3E68C0" w14:textId="77777777" w:rsidR="00093845" w:rsidRPr="0065344A" w:rsidRDefault="000D779E">
      <w:pPr>
        <w:ind w:firstLine="720"/>
        <w:jc w:val="both"/>
        <w:rPr>
          <w:lang w:val="lt-LT"/>
        </w:rPr>
      </w:pPr>
      <w:r w:rsidRPr="0065344A">
        <w:rPr>
          <w:lang w:val="lt-LT"/>
        </w:rPr>
        <w:t>1. Kai užsienio vienetas ne per nuolatinę buveinę Lietuvoje gauna pajamų už Lietuvos Respublikoje vykdomą atlikėjų ar (ir) sporto veiklą ir (arba)</w:t>
      </w:r>
      <w:r w:rsidRPr="0065344A">
        <w:rPr>
          <w:b/>
          <w:lang w:val="lt-LT"/>
        </w:rPr>
        <w:t xml:space="preserve"> </w:t>
      </w:r>
      <w:r w:rsidRPr="0065344A">
        <w:rPr>
          <w:lang w:val="lt-LT"/>
        </w:rPr>
        <w:t>parduotą ar kitokiu būdu perleistą nuosavybėn nekilnojamąjį pagal prigimtį daiktą, esantį Lietuvos Respublikos teritorijoje, tokios jo pajamos turi būti apmokestinamos be atskaitymų jas išmokant vadovaujantis atitinkamai</w:t>
      </w:r>
      <w:r w:rsidRPr="0065344A">
        <w:rPr>
          <w:b/>
          <w:lang w:val="lt-LT"/>
        </w:rPr>
        <w:t xml:space="preserve"> </w:t>
      </w:r>
      <w:r w:rsidRPr="0065344A">
        <w:rPr>
          <w:lang w:val="lt-LT"/>
        </w:rPr>
        <w:t>PMĮ 4 str. 4 d. 6 arba 4 punktu ir taikant 5 str. 1 d. 2 punkte nustatytą mokesčio tarifą (2009 metais - 20 proc., o 2010 metais ir vėlesniais mokestiniais metais - 15 proc.). Taip gaunamų užsienio vieneto pajamų apmokestinimo tvarką reglamentuoja PMĮ 37 straipsnio nuostatos, remiantis kuriomis mokestį prie pajamų šaltinio privalo išskaičiuoti ir į biudžetą sumokėti išmokas išmokėjęs asmuo (žr. PMĮ 37</w:t>
      </w:r>
      <w:r w:rsidRPr="0065344A">
        <w:rPr>
          <w:b/>
          <w:lang w:val="lt-LT"/>
        </w:rPr>
        <w:t xml:space="preserve"> </w:t>
      </w:r>
      <w:r w:rsidRPr="0065344A">
        <w:rPr>
          <w:lang w:val="lt-LT"/>
        </w:rPr>
        <w:t>straipsnio komentarą).</w:t>
      </w:r>
    </w:p>
    <w:p w14:paraId="78457812" w14:textId="77777777" w:rsidR="00093845" w:rsidRPr="0065344A" w:rsidRDefault="000D779E">
      <w:pPr>
        <w:ind w:firstLine="720"/>
        <w:jc w:val="both"/>
        <w:rPr>
          <w:lang w:val="lt-LT"/>
        </w:rPr>
      </w:pPr>
      <w:r w:rsidRPr="0065344A">
        <w:rPr>
          <w:lang w:val="lt-LT"/>
        </w:rPr>
        <w:t>2. Užsienio vienetas, nuo kurio pajamų už Lietuvos Respublikoje vykdomą atlikėjų ar (ir) sporto veiklą ir (arba)</w:t>
      </w:r>
      <w:r w:rsidRPr="0065344A">
        <w:rPr>
          <w:b/>
          <w:lang w:val="lt-LT"/>
        </w:rPr>
        <w:t xml:space="preserve"> </w:t>
      </w:r>
      <w:r w:rsidRPr="0065344A">
        <w:rPr>
          <w:lang w:val="lt-LT"/>
        </w:rPr>
        <w:t>parduotą ar kitokiu būdu perleistą nuosavybėn nekilnojamąjį pagal prigimtį daiktą, esantį Lietuvos Respublikos teritorijoje, buvo išskaičiuotas mokestis, turi teisę kreiptis į Lietuvos Respublikos vietos mokesčių administratorių, kurio veiklos teritorijoje įregistruotas mokestį išskaičiavęs asmuo (Lietuvos vienetas, nuolatinė buveinė ar nuolatinis Lietuvos gyventojas), Nuo užsienio vienetų pajamų sumokėto pelno mokesčio perskaičiavimo tvarka, patvirtinta Valstybinės mokesčių inspekcijos prie Lietuvos Respublikos finansų ministerijos viršininko 2010 m. gruodžio 31 d. įsakymu Nr. VA-123, dėl sumokėto pelno mokesčio perskaičiavimo.</w:t>
      </w:r>
    </w:p>
    <w:p w14:paraId="1C1C4114" w14:textId="77777777" w:rsidR="00093845" w:rsidRPr="0065344A" w:rsidRDefault="000D779E">
      <w:pPr>
        <w:ind w:firstLine="720"/>
        <w:jc w:val="both"/>
        <w:rPr>
          <w:lang w:val="lt-LT"/>
        </w:rPr>
      </w:pPr>
      <w:r w:rsidRPr="0065344A">
        <w:rPr>
          <w:lang w:val="lt-LT"/>
        </w:rPr>
        <w:t>Jeigu vietos mokesčio administratorius, patikrinęs prašymo pagrįstumą bei pateiktų dokumentų ir sandorių teisėtumą, priima sprendimą, kad toks užsienio vieneto prašymas turi būti patenkintas, tai pelno mokestis apskaičiuojamas atitinkamai nuo Lietuvos Respublikoje vykdomos atlikėjų ar (ir) sporto veiklos apmokestinamojo pelno arba</w:t>
      </w:r>
      <w:r w:rsidRPr="0065344A">
        <w:rPr>
          <w:b/>
          <w:lang w:val="lt-LT"/>
        </w:rPr>
        <w:t xml:space="preserve"> </w:t>
      </w:r>
      <w:r w:rsidRPr="0065344A">
        <w:rPr>
          <w:lang w:val="lt-LT"/>
        </w:rPr>
        <w:t xml:space="preserve">parduoto ar kitaip perleisto nuosavybėn turto vertės padidėjimo pajamų, o mokesčio permoka (skirtumas tarp į biudžetą jau sumokėto pelno mokesčio </w:t>
      </w:r>
      <w:r w:rsidRPr="0065344A">
        <w:rPr>
          <w:lang w:val="lt-LT"/>
        </w:rPr>
        <w:lastRenderedPageBreak/>
        <w:t xml:space="preserve">sumos ir mokesčio, apskaičiuoto nuo Lietuvos Respublikoje vykdomos atlikėjų ar (ir) sporto veiklos apmokestinamojo pelno ir (arba) turto vertės padidėjimo pajamų, sumos) grąžinama. </w:t>
      </w:r>
    </w:p>
    <w:p w14:paraId="02F95D88" w14:textId="77777777" w:rsidR="00093845" w:rsidRPr="0065344A" w:rsidRDefault="000D779E">
      <w:pPr>
        <w:ind w:firstLine="720"/>
        <w:jc w:val="both"/>
        <w:rPr>
          <w:lang w:val="lt-LT"/>
        </w:rPr>
      </w:pPr>
      <w:r w:rsidRPr="0065344A">
        <w:rPr>
          <w:lang w:val="lt-LT"/>
        </w:rPr>
        <w:t>3. Lietuvos Respublikoje vykdomos atlikėjų ar (ir) sporto veiklos apmokestinamasis pelnas yra skirtumas, apskaičiuotas iš už veiklą uždirbtų pajamų atėmus faktiškai patirtas tiesiogiai su tokių pajamų uždirbimu susijusias vieneto sąnaudas. Užsienio vieneto Lietuvos Respublikoje vykdomos atlikėjų ar (ir) sporto veiklos sąnaudoms galėtų būti priskirti PMĮ 17 straipsnyje numatyti atskaitymai (pvz., patalpų nuomos ir jų eksploatavimo išlaidos, autotransporto priemonių eksploatavimo išlaidos, komandiruočių išlaidos, mokėjimai už kelius ir kiti atskaitymai, tiesiogiai susiję su užsienio vieneto Lietuvos Respublikos teritorijoje vykdoma atlikėjų ir (ar) sporto veikla).</w:t>
      </w:r>
    </w:p>
    <w:p w14:paraId="3385E5E7" w14:textId="77777777" w:rsidR="00093845" w:rsidRDefault="000D779E">
      <w:pPr>
        <w:pStyle w:val="Pagrindinistekstas"/>
        <w:tabs>
          <w:tab w:val="left" w:pos="720"/>
          <w:tab w:val="left" w:pos="1077"/>
          <w:tab w:val="left" w:pos="1418"/>
        </w:tabs>
        <w:ind w:firstLine="720"/>
      </w:pPr>
      <w:r>
        <w:t>Pavyzdys</w:t>
      </w:r>
    </w:p>
    <w:tbl>
      <w:tblPr>
        <w:tblW w:w="9742"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firstRow="1" w:lastRow="0" w:firstColumn="1" w:lastColumn="0" w:noHBand="0" w:noVBand="1"/>
      </w:tblPr>
      <w:tblGrid>
        <w:gridCol w:w="9742"/>
      </w:tblGrid>
      <w:tr w:rsidR="00093845" w14:paraId="481A7C78" w14:textId="77777777" w:rsidTr="009C0219">
        <w:tc>
          <w:tcPr>
            <w:tcW w:w="9742" w:type="dxa"/>
          </w:tcPr>
          <w:p w14:paraId="32D18AF0" w14:textId="77777777" w:rsidR="00093845" w:rsidRDefault="000D779E">
            <w:pPr>
              <w:pStyle w:val="Pagrindinistekstas"/>
              <w:tabs>
                <w:tab w:val="left" w:pos="720"/>
                <w:tab w:val="left" w:pos="1077"/>
                <w:tab w:val="left" w:pos="1418"/>
              </w:tabs>
              <w:ind w:firstLine="720"/>
            </w:pPr>
            <w:r>
              <w:t xml:space="preserve"> Lietuvos vienetas B su šokių trupe, kuri yra užsienio vienetas, sudarė sutartį dėl koncerto organizavimo Lietuvos Respublikos teritorijoje. Pagal sutartį šokių trupei už koncertą turėjo būti sumokėta 150 000 Lt. </w:t>
            </w:r>
          </w:p>
          <w:p w14:paraId="2BCBF6A0" w14:textId="77777777" w:rsidR="00093845" w:rsidRDefault="000D779E">
            <w:pPr>
              <w:pStyle w:val="Pagrindinistekstas"/>
              <w:tabs>
                <w:tab w:val="left" w:pos="720"/>
                <w:tab w:val="left" w:pos="1077"/>
                <w:tab w:val="left" w:pos="1418"/>
              </w:tabs>
              <w:ind w:firstLine="720"/>
            </w:pPr>
            <w:r>
              <w:t xml:space="preserve"> Lietuvos vienetas 2010 m. išmokėdamas sutartyje nurodytą sumą (150 000 Lt) išskaičiavo ir į biudžetą sumokėjo 22 500 Lt (150 000 Lt x 15/100) pelno mokesčio.</w:t>
            </w:r>
          </w:p>
          <w:p w14:paraId="4AC11F02" w14:textId="77777777" w:rsidR="00093845" w:rsidRDefault="000D779E">
            <w:pPr>
              <w:pStyle w:val="Pagrindinistekstas"/>
              <w:tabs>
                <w:tab w:val="left" w:pos="720"/>
                <w:tab w:val="left" w:pos="1077"/>
                <w:tab w:val="left" w:pos="1418"/>
              </w:tabs>
              <w:ind w:firstLine="720"/>
            </w:pPr>
            <w:r>
              <w:t xml:space="preserve"> Šokių trupė kreipėsi į Lietuvos Respublikos vietos mokesčių administratorių, kurio veiklos teritorijoje mokesčių mokėtoju buvo įregistruotas Lietuvos vienetas B, dėl išskaičiuoto pelno mokesčio perskaičiavimo.</w:t>
            </w:r>
          </w:p>
          <w:p w14:paraId="6DCF631F" w14:textId="77777777" w:rsidR="00093845" w:rsidRDefault="000D779E">
            <w:pPr>
              <w:pStyle w:val="Pagrindinistekstas"/>
              <w:tabs>
                <w:tab w:val="left" w:pos="720"/>
                <w:tab w:val="left" w:pos="1077"/>
                <w:tab w:val="left" w:pos="1418"/>
              </w:tabs>
              <w:ind w:firstLine="720"/>
            </w:pPr>
            <w:r>
              <w:t xml:space="preserve">  Vietos mokesčių administratorius perskaičiavo pelno mokestį nuo apskaičiuoto 44 700 Lt apmokestinamojo pelno: šokių trupė gavo 150 000 Lt už atliktą koncertą ir patyrė 105 300 Lt išlaidų (48 000 Lt darbo užmokesčio išlaidos, nuo kurių į Lietuvos Respublikos biudžetą buvo sumokėtas pajamų mokestis (po 4 000 Lt darbo užmokesčio 12 šokėjų ir vienam choreografui už dvi dienas praleistas Lietuvoje), 8 000 Lt dienpinigiai, 7 800 Lt apgyvendinimo viešbutyje išlaidos, 19 500 Lt išlaidos už kelionės bilietus, 21 000 Lt dekoracijų atvežimo į Lietuvą išlaidos (5 000 Lt degalai, 10 000 Lt automobilių nuoma, 6 000 Lt užmokestis vairuotojams), 1 000 Lt įmoka už dekoracijų draudimą). Mokestis nuo apskaičiuoto apmokestinamojo pelno šių pajamų yra 6 705 Lt (44 700 Lt x 15/100). Užsienio vienetui turi būti grąžinama 15 795 Lt (22 500 Lt – 6 705Lt) pelno mokesčio permoka.</w:t>
            </w:r>
          </w:p>
        </w:tc>
      </w:tr>
    </w:tbl>
    <w:p w14:paraId="3B25EA20" w14:textId="77777777" w:rsidR="00093845" w:rsidRDefault="00093845">
      <w:pPr>
        <w:ind w:firstLine="720"/>
        <w:jc w:val="both"/>
      </w:pPr>
    </w:p>
    <w:p w14:paraId="3893A1FF" w14:textId="77777777" w:rsidR="00093845" w:rsidRDefault="000D779E">
      <w:pPr>
        <w:ind w:firstLine="720"/>
        <w:jc w:val="both"/>
      </w:pPr>
      <w:r>
        <w:t>4.</w:t>
      </w:r>
      <w:r>
        <w:rPr>
          <w:b/>
        </w:rPr>
        <w:t xml:space="preserve"> </w:t>
      </w:r>
      <w:r>
        <w:t>Remiantis PMĮ 14, 15 ir 16 straipsniais, turto vertės padidėjimo pajamos yra uždirbtos pajamos, kurias sudaro turto pardavimo ar kitokio perleidimo nuosavybėn ir įsigijimo kainų skirtumas, t. y. skirtumas tarp visų pajamų, uždirbtų pardavus arba kitaip perleidus nuosavybėn turtą (atėmus sumokėtus mokesčius (rinkliavas), išskyrus pridėtinės vertės mokestį, susijusius su šio turto pardavimu ar kitokiu perleidimu nuosavybėn), ir išlaidų, patirtų įsigyjant tą turtą (įskaitant sumokėtus komisinius atlyginimus bei mokesčius (rinkliavas), išskyrus pridėtinės vertės mokestį, susijusius su šio turto įsigijimu). Jeigu turtą perleidęs užsienio vienetas nėra pridėtinės vertės mokesčio mokėtojas, tai su šio turto įsigijimu susijęs sumokėtas pridėtinės vertės mokestis įskaitomas į to turto įsigijimo kainą. Tais atvejais, kai mokesčių administratorius nustato, kad turtas buvo perleistas už kainą, mažesnę už to turto tikrąją rinkos kainą, tai, skaičiuodamas turto vertės padidėjimo pajamas, turi laikyti, kad turto pardavimo kaina yra tikroji rinkos kaina, nustatyta nuosavybės teisės į turtą perleidimo dieną. (žr. PMĮ 14 – 16 straipsnių komentarus).</w:t>
      </w:r>
    </w:p>
    <w:p w14:paraId="12BA7B59" w14:textId="77777777" w:rsidR="00093845" w:rsidRDefault="000D779E">
      <w:pPr>
        <w:ind w:firstLine="720"/>
        <w:jc w:val="both"/>
      </w:pPr>
      <w:r>
        <w:t>5. Jeigu užsienio vienetas nekilnojamąjį pagal prigimtį daiktą, esantį Lietuvos Respublikos teritorijoje, pardavė ar kitaip perleido nuosavybėn už jo įsigijimo kainą arba su nuostoliu, mokesčio suma, išskaičiuota nuo jo pajamų už taip perleistą nuosavybėn turtą, perskaičiuojama (grąžinama), jeigu pateikiami visi reikalingi šio straipsnio 2 dalyje nurodyti dokumentai.</w:t>
      </w:r>
    </w:p>
    <w:p w14:paraId="171AB24B" w14:textId="77777777" w:rsidR="00093845" w:rsidRDefault="000D779E">
      <w:pPr>
        <w:pStyle w:val="Pagrindiniotekstotrauka"/>
        <w:tabs>
          <w:tab w:val="left" w:pos="720"/>
          <w:tab w:val="left" w:pos="1077"/>
          <w:tab w:val="left" w:pos="1418"/>
        </w:tabs>
      </w:pPr>
      <w:r>
        <w:lastRenderedPageBreak/>
        <w:t>Pavyzdys</w:t>
      </w:r>
    </w:p>
    <w:p w14:paraId="76369A1F"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pPr>
      <w:r>
        <w:tab/>
        <w:t>Užsienio vienetas, nevykdęs ir nevykdantis veiklos per nuolatinę buveinę Lietuvos Respublikos teritorijoje, 20010 m. įsigijo gyvenamąjį namą Vilniaus mieste, iš visų šešių jo gyventojų supirkdamas butus. Viso už namą buvo sumokėta 3 mln. litų. Tais pačiais metais užsienio vienetas šį namą rekonstravo, už sunaudotas medžiagas ir atliktus darbus sumokėdamas 0,5 mln. litų</w:t>
      </w:r>
    </w:p>
    <w:p w14:paraId="27C37DEA" w14:textId="77777777" w:rsidR="00093845" w:rsidRDefault="000D779E">
      <w:pPr>
        <w:pStyle w:val="Pagrindiniotekstotrauka"/>
        <w:pBdr>
          <w:top w:val="single" w:sz="4" w:space="1" w:color="auto"/>
          <w:left w:val="single" w:sz="4" w:space="4" w:color="auto"/>
          <w:right w:val="single" w:sz="4" w:space="4" w:color="auto"/>
        </w:pBdr>
        <w:tabs>
          <w:tab w:val="left" w:pos="720"/>
          <w:tab w:val="left" w:pos="1077"/>
          <w:tab w:val="left" w:pos="1418"/>
        </w:tabs>
      </w:pPr>
      <w:r>
        <w:tab/>
        <w:t>2012 m. pradžioje užsienio vienetas rekonstruotą gyvenamąjį namą pardavė Lietuvos vienetui už 4 mln. litų. Lietuvos vienetas, pervesdamas užsienio vienetui sumas už įsigytą turtą, išskaičiavo 15</w:t>
      </w:r>
      <w:r>
        <w:rPr>
          <w:b/>
        </w:rPr>
        <w:t xml:space="preserve"> </w:t>
      </w:r>
      <w:r>
        <w:t>proc. mokestį (t.y. 0,6</w:t>
      </w:r>
      <w:r>
        <w:rPr>
          <w:b/>
        </w:rPr>
        <w:t xml:space="preserve"> </w:t>
      </w:r>
      <w:r>
        <w:t>mln. litų).</w:t>
      </w:r>
    </w:p>
    <w:p w14:paraId="11C24E28"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pPr>
      <w:r>
        <w:tab/>
        <w:t xml:space="preserve">Užsienio vienetas kreipėsi į Lietuvos Respublikos vietos mokesčių administratorių, kurio veiklos teritorijoje mokesčio mokėtoju buvo įregistruotas namą nupirkęs Lietuvos vienetas, dėl išskaičiuoto mokesčio perskaičiavimo. </w:t>
      </w:r>
    </w:p>
    <w:p w14:paraId="663D0755" w14:textId="77777777" w:rsidR="00093845" w:rsidRDefault="000D779E">
      <w:pPr>
        <w:pStyle w:val="Pagrindiniotekstotrauka"/>
        <w:pBdr>
          <w:left w:val="single" w:sz="4" w:space="4" w:color="auto"/>
          <w:bottom w:val="single" w:sz="4" w:space="1" w:color="auto"/>
          <w:right w:val="single" w:sz="4" w:space="4" w:color="auto"/>
        </w:pBdr>
        <w:tabs>
          <w:tab w:val="left" w:pos="720"/>
          <w:tab w:val="left" w:pos="1077"/>
          <w:tab w:val="left" w:pos="1418"/>
        </w:tabs>
      </w:pPr>
      <w:r>
        <w:tab/>
        <w:t>Mokesčio administratorius mokestį perskaičiavo ir gavo 0,5 mln. litų turto vertės padidėjimo pajamų, t. y. 4 mln. litų (turto pardavimo kaina) – 3,5 mln. litų (turto įsigijimo kaina, kurią sudaro užsienio vieneto už namą sumokėta suma bei išlaidos, patirtos atliekant rekonstrukciją). Mokestis nuo šių pajamų yra 0,075</w:t>
      </w:r>
      <w:r>
        <w:rPr>
          <w:b/>
        </w:rPr>
        <w:t xml:space="preserve"> </w:t>
      </w:r>
      <w:r>
        <w:t>mln. litų (0,5 x 15%). Užsienio vienetui turi būti grąžinta mokesčio permoka, kuri lygi 0,525 mln. litų, t. y. 0,6 – 0,075.</w:t>
      </w:r>
    </w:p>
    <w:p w14:paraId="4E4F2790" w14:textId="77777777" w:rsidR="00093845" w:rsidRDefault="00892E40">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20"/>
        <w:jc w:val="both"/>
        <w:rPr>
          <w:lang w:val="lt-LT"/>
        </w:rPr>
      </w:pPr>
      <w:r>
        <w:rPr>
          <w:lang w:val="lt-LT"/>
        </w:rPr>
        <w:t>(P</w:t>
      </w:r>
      <w:r w:rsidR="000D779E">
        <w:rPr>
          <w:lang w:val="lt-LT"/>
        </w:rPr>
        <w:t xml:space="preserve">agal VMI prie FM 2012-09-17 raštą </w:t>
      </w:r>
      <w:r w:rsidR="000D779E">
        <w:rPr>
          <w:color w:val="000000"/>
          <w:lang w:val="lt-LT"/>
        </w:rPr>
        <w:t>Nr. (18.10-31-1)-R-7793).</w:t>
      </w:r>
    </w:p>
    <w:p w14:paraId="4DAD976D" w14:textId="77777777" w:rsidR="00093845" w:rsidRDefault="00093845">
      <w:pPr>
        <w:pStyle w:val="Pagrindiniotekstotrauka"/>
        <w:tabs>
          <w:tab w:val="left" w:pos="720"/>
          <w:tab w:val="left" w:pos="1077"/>
          <w:tab w:val="left" w:pos="1418"/>
        </w:tabs>
        <w:ind w:firstLine="0"/>
        <w:rPr>
          <w:rFonts w:ascii="Times New Roman" w:hAnsi="Times New Roman"/>
          <w:lang w:val="lt-LT"/>
        </w:rPr>
      </w:pPr>
    </w:p>
    <w:p w14:paraId="179721D1" w14:textId="77777777" w:rsidR="00093845" w:rsidRDefault="000D779E">
      <w:pPr>
        <w:tabs>
          <w:tab w:val="left" w:pos="720"/>
          <w:tab w:val="left" w:pos="1077"/>
          <w:tab w:val="left" w:pos="1418"/>
        </w:tabs>
        <w:ind w:firstLine="720"/>
        <w:jc w:val="both"/>
        <w:rPr>
          <w:b/>
          <w:lang w:val="lt-LT"/>
        </w:rPr>
      </w:pPr>
      <w:r>
        <w:rPr>
          <w:b/>
          <w:lang w:val="lt-LT"/>
        </w:rPr>
        <w:t>2.</w:t>
      </w:r>
      <w:r>
        <w:rPr>
          <w:b/>
          <w:lang w:val="lt-LT"/>
        </w:rPr>
        <w:tab/>
        <w:t>Prašymas ir dokumentai, pagrindžiantys turto įsigijimo kainą, dėl pelno mokesčio perskaičiavimo pateikiami tam vietos mokesčio administratoriui, kurio veiklos teritorijoje įregistruotas mokestį išskaičiuojantis asmuo. Vietos mokesčio administratorius, patikrinęs šių dokumentų ir sandorių teisėtumą, apskaičiuoja turto vertės padidėjimo pajamas, uždirbtas pardavus ar kitaip perleidus nuosavybėn turtą, ir pelno mokestį. Mokesčio permoka grąžinama Mokesčių administravimo įstatymo nustatyta tvarka.</w:t>
      </w:r>
    </w:p>
    <w:p w14:paraId="1BF91403" w14:textId="77777777" w:rsidR="00093845" w:rsidRDefault="00093845">
      <w:pPr>
        <w:pStyle w:val="Antrat5"/>
        <w:keepNext w:val="0"/>
        <w:tabs>
          <w:tab w:val="left" w:pos="720"/>
          <w:tab w:val="left" w:pos="1077"/>
          <w:tab w:val="left" w:pos="1418"/>
        </w:tabs>
        <w:ind w:firstLine="720"/>
        <w:jc w:val="both"/>
        <w:rPr>
          <w:rFonts w:ascii="Times New Roman" w:hAnsi="Times New Roman"/>
        </w:rPr>
      </w:pPr>
    </w:p>
    <w:p w14:paraId="3D817CB3" w14:textId="77777777" w:rsidR="00093845" w:rsidRDefault="000D779E">
      <w:pPr>
        <w:ind w:firstLine="720"/>
        <w:jc w:val="both"/>
        <w:rPr>
          <w:b/>
          <w:bCs/>
          <w:lang w:val="lt-LT"/>
        </w:rPr>
      </w:pPr>
      <w:r>
        <w:rPr>
          <w:b/>
          <w:bCs/>
          <w:lang w:val="lt-LT"/>
        </w:rPr>
        <w:t>Komentaras</w:t>
      </w:r>
    </w:p>
    <w:p w14:paraId="2B99AF0D"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1.</w:t>
      </w:r>
      <w:r>
        <w:rPr>
          <w:rFonts w:ascii="Times New Roman" w:hAnsi="Times New Roman"/>
          <w:lang w:val="lt-LT"/>
        </w:rPr>
        <w:tab/>
        <w:t>Užsienio vienetas, norėdamas, kad nuo jo pajamų už parduotą ar kitokiu būdu perleistą nuosavybėn nekilnojamąjį pagal prigimtį daiktą, esantį Lietuvos Respublikos teritorijoje, išskaičiuotas mokestis būtų perskaičiuotas, turi kreiptis į tą Lietuvos Respublikos vietos mokesčių administratorių, kurio veiklos teritorijoje įregistruotas mokestį išskaičiavęs asmuo (Lietuvos vienetas, nuolatinė buveinė ar nuolatinis Lietuvos gyventojas).</w:t>
      </w:r>
    </w:p>
    <w:p w14:paraId="41DD5F43" w14:textId="77777777" w:rsidR="00093845" w:rsidRDefault="000D779E">
      <w:pPr>
        <w:pStyle w:val="Pagrindiniotekstotrauka"/>
        <w:tabs>
          <w:tab w:val="left" w:pos="720"/>
          <w:tab w:val="left" w:pos="1077"/>
          <w:tab w:val="left" w:pos="1418"/>
        </w:tabs>
        <w:rPr>
          <w:rFonts w:ascii="Times New Roman" w:hAnsi="Times New Roman"/>
          <w:lang w:val="lt-LT"/>
        </w:rPr>
      </w:pPr>
      <w:r>
        <w:rPr>
          <w:rFonts w:ascii="Times New Roman" w:hAnsi="Times New Roman"/>
          <w:lang w:val="lt-LT"/>
        </w:rPr>
        <w:t>2.</w:t>
      </w:r>
      <w:r>
        <w:rPr>
          <w:rFonts w:ascii="Times New Roman" w:hAnsi="Times New Roman"/>
          <w:lang w:val="lt-LT"/>
        </w:rPr>
        <w:tab/>
        <w:t>Mokesčių administratoriui turi būti pateikiama:</w:t>
      </w:r>
    </w:p>
    <w:p w14:paraId="649C6980" w14:textId="77777777" w:rsidR="00093845" w:rsidRDefault="000D779E" w:rsidP="00EC4E29">
      <w:pPr>
        <w:pStyle w:val="Pagrindiniotekstotrauka"/>
        <w:numPr>
          <w:ilvl w:val="0"/>
          <w:numId w:val="49"/>
        </w:numPr>
        <w:tabs>
          <w:tab w:val="left" w:pos="360"/>
          <w:tab w:val="left" w:pos="720"/>
          <w:tab w:val="left" w:pos="1418"/>
        </w:tabs>
        <w:ind w:left="0" w:firstLine="720"/>
        <w:rPr>
          <w:rFonts w:ascii="Times New Roman" w:hAnsi="Times New Roman"/>
          <w:lang w:val="lt-LT"/>
        </w:rPr>
      </w:pPr>
      <w:r>
        <w:rPr>
          <w:rFonts w:ascii="Times New Roman" w:hAnsi="Times New Roman"/>
          <w:lang w:val="lt-LT"/>
        </w:rPr>
        <w:t xml:space="preserve">laisvos formos prašymas dėl mokesčio permokos grąžinimo, kuriame turi būti nurodyti prašymą pateikusio užsienio vieneto rekvizitai (pavadinimas, identifikacinis numeris, adresas), mokestį prie pajamų šaltinio išskaičiavusio asmens rekvizitai (vardas, pavardė, asmens kodas, adresas arba pavadinimas, registracijos numeris, adresas), perleisto nekilnojamo turto rekvizitai (adresas), turto įsigijimo kaina, turto pardavimo kaina, į biudžetą sumokėto mokesčio suma ir jo sumokėjimo data, grąžintina suma; </w:t>
      </w:r>
    </w:p>
    <w:p w14:paraId="5F883D5F" w14:textId="77777777" w:rsidR="00093845" w:rsidRDefault="000D779E" w:rsidP="00EC4E29">
      <w:pPr>
        <w:pStyle w:val="Pagrindiniotekstotrauka"/>
        <w:numPr>
          <w:ilvl w:val="0"/>
          <w:numId w:val="49"/>
        </w:numPr>
        <w:tabs>
          <w:tab w:val="left" w:pos="0"/>
          <w:tab w:val="left" w:pos="720"/>
          <w:tab w:val="left" w:pos="1418"/>
        </w:tabs>
        <w:ind w:left="0" w:firstLine="720"/>
        <w:rPr>
          <w:rFonts w:ascii="Times New Roman" w:hAnsi="Times New Roman"/>
          <w:lang w:val="lt-LT"/>
        </w:rPr>
      </w:pPr>
      <w:r>
        <w:rPr>
          <w:rFonts w:ascii="Times New Roman" w:hAnsi="Times New Roman"/>
          <w:lang w:val="lt-LT"/>
        </w:rPr>
        <w:t>dokumentai, pagrindžiantys nekilnojamo turto įsigijimo kainą;</w:t>
      </w:r>
    </w:p>
    <w:p w14:paraId="08A7589B" w14:textId="77777777" w:rsidR="00093845" w:rsidRDefault="000D779E" w:rsidP="00EC4E29">
      <w:pPr>
        <w:pStyle w:val="Pagrindiniotekstotrauka"/>
        <w:numPr>
          <w:ilvl w:val="0"/>
          <w:numId w:val="49"/>
        </w:numPr>
        <w:tabs>
          <w:tab w:val="left" w:pos="0"/>
          <w:tab w:val="left" w:pos="720"/>
          <w:tab w:val="left" w:pos="1418"/>
        </w:tabs>
        <w:ind w:left="0" w:firstLine="720"/>
        <w:rPr>
          <w:rFonts w:ascii="Times New Roman" w:hAnsi="Times New Roman"/>
          <w:lang w:val="lt-LT"/>
        </w:rPr>
      </w:pPr>
      <w:r>
        <w:rPr>
          <w:rFonts w:ascii="Times New Roman" w:hAnsi="Times New Roman"/>
          <w:lang w:val="lt-LT"/>
        </w:rPr>
        <w:t>nekilnojamo turto perleidimą patvirtinantys ir jo pardavimo kainą pagrindžiantys dokumentai;</w:t>
      </w:r>
    </w:p>
    <w:p w14:paraId="16FEE5CA" w14:textId="77777777" w:rsidR="00093845" w:rsidRDefault="000D779E" w:rsidP="00EC4E29">
      <w:pPr>
        <w:pStyle w:val="Pagrindiniotekstotrauka"/>
        <w:numPr>
          <w:ilvl w:val="0"/>
          <w:numId w:val="49"/>
        </w:numPr>
        <w:tabs>
          <w:tab w:val="left" w:pos="0"/>
          <w:tab w:val="left" w:pos="720"/>
          <w:tab w:val="left" w:pos="1418"/>
        </w:tabs>
        <w:ind w:left="0" w:firstLine="720"/>
        <w:rPr>
          <w:rFonts w:ascii="Times New Roman" w:hAnsi="Times New Roman"/>
          <w:lang w:val="lt-LT"/>
        </w:rPr>
      </w:pPr>
      <w:r>
        <w:rPr>
          <w:rFonts w:ascii="Times New Roman" w:hAnsi="Times New Roman"/>
          <w:lang w:val="lt-LT"/>
        </w:rPr>
        <w:lastRenderedPageBreak/>
        <w:t>pateikiamų dokumentų aprašas.</w:t>
      </w:r>
    </w:p>
    <w:p w14:paraId="4BC221B1"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Visi dokumentai turi atitikti PMĮ 11 straipsnyje nustatytus dokumentams keliamus reikalavimus. Mokesčių (rinkliavų) sumokėjimas turi būti pagrįstas šių sumų sumokėjimą patvirtinančiais dokumentais. Užsienio vienetas turi pateikti visų prie prašymo pridėtų dokumentų originalus bei jų kopijas. Dokumentų originalai, mokesčių administratoriui priėmus sprendimą, grąžinami mokesčių mokėtojui.</w:t>
      </w:r>
    </w:p>
    <w:p w14:paraId="71935CB0"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Jeigu dokumentai surašyti ne lietuvių kalba, mokesčių administratoriui paprašius, turi būti pateikiamas jų vertimas į lietuvių kalbą. Be to, mokesčių administratorius gali paprašyti papildomų dokumentų, reikalingų teisingai turto vertės padidėjimo sumai nustatyti (pvz., nekilnojamo turto vertintojų išvados ar kt.). Prašymas nagrinėjamas, jeigu pateikiami visi mokesčio perskaičiavimui reikalingi dokumentai.</w:t>
      </w:r>
    </w:p>
    <w:p w14:paraId="3D57C087"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Mokesčių administratorius gali paprašyti papildomai pateikti išskaičiuoto mokesčio sumokėjimą į biudžetą patvirtinančius dokumentus.</w:t>
      </w:r>
    </w:p>
    <w:p w14:paraId="6A81C6CB"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3.</w:t>
      </w:r>
      <w:r>
        <w:rPr>
          <w:rFonts w:ascii="Times New Roman" w:hAnsi="Times New Roman"/>
          <w:lang w:val="lt-LT"/>
        </w:rPr>
        <w:tab/>
        <w:t>Vietos mokesčių administratorius, kuriam užsienio vienetas pateikė prašymą dėl mokesčio, išskaičiuoto nuo jo pajamų už parduotą ar kitokiu būdu perleistą nuosavybėn nekilnojamąjį pagal prigimtį daiktą, esantį Lietuvos Respublikos teritorijoje, perskaičiavimo, patikrina prašymo pagrįstumą bei pateiktų dokumentų ir sandorių teisėtumą, atlieka reikalingus skaičiavimus ir priima sprendimą dėl tokio prašymo patenkinimo ir mokesčio permokos grąžinimo.</w:t>
      </w:r>
    </w:p>
    <w:p w14:paraId="0FB44C17" w14:textId="77777777" w:rsidR="00093845" w:rsidRDefault="000D779E">
      <w:pPr>
        <w:pStyle w:val="Pagrindiniotekstotrauka"/>
        <w:tabs>
          <w:tab w:val="left" w:pos="0"/>
          <w:tab w:val="left" w:pos="720"/>
          <w:tab w:val="left" w:pos="1077"/>
          <w:tab w:val="left" w:pos="1418"/>
        </w:tabs>
        <w:rPr>
          <w:rFonts w:ascii="Times New Roman" w:hAnsi="Times New Roman"/>
          <w:lang w:val="lt-LT"/>
        </w:rPr>
      </w:pPr>
      <w:r>
        <w:rPr>
          <w:rFonts w:ascii="Times New Roman" w:hAnsi="Times New Roman"/>
          <w:lang w:val="lt-LT"/>
        </w:rPr>
        <w:t>Jeigu mokesčio administratorius priima sprendimą užsienio vieneto prašymą patenkinti, tačiau tas vienetas turi mokestinių nepriemokų (pvz., nesumokėjęs nekilnojamojo turto mokesčio ar pan.), tai šios nepriemokos privalo būti dengiamos iš grąžintinos pelno mokesčio sumos, o užsienio vienetui grąžinama tik likusi grąžintinos mokesčio permokos dalis.</w:t>
      </w:r>
    </w:p>
    <w:p w14:paraId="12D7C8E1" w14:textId="77777777" w:rsidR="00093845" w:rsidRDefault="000D779E">
      <w:pPr>
        <w:tabs>
          <w:tab w:val="left" w:pos="720"/>
          <w:tab w:val="left" w:pos="1077"/>
          <w:tab w:val="left" w:pos="1418"/>
        </w:tabs>
        <w:ind w:firstLine="720"/>
        <w:jc w:val="both"/>
        <w:rPr>
          <w:lang w:val="lt-LT"/>
        </w:rPr>
      </w:pPr>
      <w:r>
        <w:rPr>
          <w:lang w:val="lt-LT"/>
        </w:rPr>
        <w:t>Prašymas perskaičiuoti mokestį turi būti teikiamas ir nagrinėjamas bei mokesčio permoka turi būti grąžinama Lietuvos Respublikos mokesčių administravimo įstatyme nustatyta tvarka ir terminais.</w:t>
      </w:r>
    </w:p>
    <w:p w14:paraId="7B420DE4" w14:textId="77777777" w:rsidR="00093845" w:rsidRPr="0065344A" w:rsidRDefault="000D779E" w:rsidP="002C71C1">
      <w:pPr>
        <w:pStyle w:val="Pagrindinistekstas"/>
        <w:tabs>
          <w:tab w:val="left" w:pos="720"/>
          <w:tab w:val="left" w:pos="1077"/>
          <w:tab w:val="left" w:pos="1418"/>
        </w:tabs>
        <w:spacing w:after="0"/>
        <w:ind w:firstLine="720"/>
        <w:rPr>
          <w:b/>
          <w:lang w:val="lt-LT"/>
        </w:rPr>
      </w:pPr>
      <w:r w:rsidRPr="0065344A">
        <w:rPr>
          <w:b/>
          <w:lang w:val="lt-LT"/>
        </w:rPr>
        <w:t>3. Prašymas ir dokumentai, pagal kuriuos apskaičiuotas veiklos Lietuvos Respublikoje apmokestinamasis pelnas, pateikiami tam vietos mokesčių administratoriui, kurio veiklos teritorijoje įregistruotas mokestį išskaičiuojantis asmuo. Mokesčio permoka grąžinama Mokesčių administravimo įstatymo nustatyta tvarka.</w:t>
      </w:r>
    </w:p>
    <w:p w14:paraId="301BDFD6" w14:textId="77777777" w:rsidR="00093845" w:rsidRDefault="000D779E" w:rsidP="002C71C1">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r w:rsidRPr="00892E40">
        <w:rPr>
          <w:i/>
          <w:lang w:val="lt-LT"/>
        </w:rPr>
        <w:t>(KEISTA: 2008 07 14 įstatymu Nr. X-1697 (nuo 2009 01 01))</w:t>
      </w:r>
    </w:p>
    <w:p w14:paraId="3866DFE5" w14:textId="77777777" w:rsidR="00892E40" w:rsidRPr="00892E40" w:rsidRDefault="00892E40" w:rsidP="002C71C1">
      <w:pPr>
        <w:tabs>
          <w:tab w:val="left" w:pos="916"/>
          <w:tab w:val="left" w:pos="1832"/>
          <w:tab w:val="left" w:pos="2748"/>
          <w:tab w:val="left" w:pos="3664"/>
          <w:tab w:val="left" w:pos="4580"/>
          <w:tab w:val="left" w:pos="5496"/>
          <w:tab w:val="left" w:pos="6412"/>
          <w:tab w:val="left" w:pos="7328"/>
          <w:tab w:val="left" w:pos="9540"/>
          <w:tab w:val="left" w:pos="10076"/>
          <w:tab w:val="left" w:pos="10992"/>
          <w:tab w:val="left" w:pos="11908"/>
          <w:tab w:val="left" w:pos="12824"/>
          <w:tab w:val="left" w:pos="13740"/>
          <w:tab w:val="left" w:pos="14656"/>
        </w:tabs>
        <w:spacing w:after="0"/>
        <w:jc w:val="both"/>
        <w:rPr>
          <w:i/>
          <w:lang w:val="lt-LT"/>
        </w:rPr>
      </w:pPr>
    </w:p>
    <w:p w14:paraId="5DA83526" w14:textId="77777777" w:rsidR="00093845" w:rsidRPr="0065344A" w:rsidRDefault="000D779E">
      <w:pPr>
        <w:pStyle w:val="Pagrindinistekstas"/>
        <w:tabs>
          <w:tab w:val="left" w:pos="720"/>
          <w:tab w:val="left" w:pos="1077"/>
          <w:tab w:val="left" w:pos="1418"/>
        </w:tabs>
        <w:ind w:firstLine="720"/>
        <w:rPr>
          <w:b/>
          <w:bCs/>
          <w:lang w:val="lt-LT"/>
        </w:rPr>
      </w:pPr>
      <w:r w:rsidRPr="0065344A">
        <w:rPr>
          <w:b/>
          <w:bCs/>
          <w:lang w:val="lt-LT"/>
        </w:rPr>
        <w:t>Komentaras</w:t>
      </w:r>
    </w:p>
    <w:p w14:paraId="190BCE4B" w14:textId="77777777" w:rsidR="00093845" w:rsidRPr="0065344A" w:rsidRDefault="000D779E" w:rsidP="00501F53">
      <w:pPr>
        <w:pStyle w:val="Pagrindinistekstas"/>
        <w:tabs>
          <w:tab w:val="left" w:pos="720"/>
          <w:tab w:val="left" w:pos="1077"/>
          <w:tab w:val="left" w:pos="1418"/>
        </w:tabs>
        <w:ind w:firstLine="567"/>
        <w:rPr>
          <w:lang w:val="lt-LT"/>
        </w:rPr>
      </w:pPr>
      <w:r w:rsidRPr="0065344A">
        <w:rPr>
          <w:bCs/>
          <w:lang w:val="lt-LT"/>
        </w:rPr>
        <w:tab/>
        <w:t xml:space="preserve">1. </w:t>
      </w:r>
      <w:r w:rsidRPr="0065344A">
        <w:rPr>
          <w:lang w:val="lt-LT"/>
        </w:rPr>
        <w:t>Užsienio vienetas, norėdamas, kad nuo jo pajamų už Lietuvos Respublikoje vykdomą atlikėjų ar (ir) sporto veiklą išskaičiuotas pelno mokestis būtų perskaičiuotas, turi kreiptis į tą Lietuvos Respublikos vietos mokesčių administratorių, kurio veiklos teritorijoje įregistruotas mokestį išskaičiavęs asmuo (Lietuvos vienetas, nuolatinė buveinė ar nuolatinis Lietuvos gyventojas) Nuo užsienio vienetų pajamų sumokėto pelno mokesčio perskaičiavimo tvarka, patvirtinta Valstybinės mokesčių inspekcijos prie Lietuvos Respublikos finansų ministerijos viršininko 2010 m. gruodžio 31 d. įsakymu Nr. VA-123.</w:t>
      </w:r>
    </w:p>
    <w:p w14:paraId="74F5E4C4" w14:textId="77777777" w:rsidR="00093845" w:rsidRPr="0065344A" w:rsidRDefault="000D779E" w:rsidP="00501F53">
      <w:pPr>
        <w:tabs>
          <w:tab w:val="left" w:pos="720"/>
          <w:tab w:val="left" w:pos="1077"/>
          <w:tab w:val="left" w:pos="1418"/>
        </w:tabs>
        <w:ind w:firstLine="567"/>
        <w:jc w:val="both"/>
        <w:rPr>
          <w:lang w:val="lt-LT"/>
        </w:rPr>
      </w:pPr>
      <w:r w:rsidRPr="0065344A">
        <w:rPr>
          <w:lang w:val="lt-LT"/>
        </w:rPr>
        <w:tab/>
        <w:t>2. Prašymas perskaičiuoti pelno mokestį ir dokumentai, pagal kuriuos apskaičiuotas atlikėjų ir (ar) sporto veiklos Lietuvos Respublikoje apmokestinamasis pelnas, turi būti teikiami ir nagrinėjami bei mokesčio permoka turi būti grąžinama Lietuvos Respublikos mokesčių administravimo įstatyme nustatyta tvarka ir terminais.</w:t>
      </w:r>
    </w:p>
    <w:p w14:paraId="18562506" w14:textId="77777777" w:rsidR="00093845" w:rsidRDefault="00892E40" w:rsidP="00501F53">
      <w:pPr>
        <w:tabs>
          <w:tab w:val="left" w:pos="720"/>
          <w:tab w:val="left" w:pos="1077"/>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567"/>
        <w:jc w:val="both"/>
        <w:rPr>
          <w:lang w:val="lt-LT"/>
        </w:rPr>
      </w:pPr>
      <w:r>
        <w:rPr>
          <w:lang w:val="lt-LT"/>
        </w:rPr>
        <w:t>(P</w:t>
      </w:r>
      <w:r w:rsidR="000D779E">
        <w:rPr>
          <w:lang w:val="lt-LT"/>
        </w:rPr>
        <w:t xml:space="preserve">agal VMI prie FM 2012-09-17 raštą </w:t>
      </w:r>
      <w:r w:rsidR="000D779E">
        <w:rPr>
          <w:color w:val="000000"/>
          <w:lang w:val="lt-LT"/>
        </w:rPr>
        <w:t>Nr. (18.10-31-1)-R-7793).</w:t>
      </w:r>
    </w:p>
    <w:p w14:paraId="3BD7075C" w14:textId="77777777" w:rsidR="00093845" w:rsidRDefault="00093845">
      <w:pPr>
        <w:tabs>
          <w:tab w:val="left" w:pos="720"/>
          <w:tab w:val="left" w:pos="1077"/>
          <w:tab w:val="left" w:pos="1418"/>
        </w:tabs>
        <w:ind w:firstLine="720"/>
        <w:jc w:val="both"/>
        <w:rPr>
          <w:b/>
          <w:lang w:val="lt-LT"/>
        </w:rPr>
      </w:pPr>
    </w:p>
    <w:p w14:paraId="43422665" w14:textId="77777777" w:rsidR="00093845" w:rsidRDefault="000D779E">
      <w:pPr>
        <w:pStyle w:val="Antrat5"/>
        <w:jc w:val="both"/>
        <w:rPr>
          <w:rFonts w:ascii="Times New Roman" w:hAnsi="Times New Roman"/>
        </w:rPr>
      </w:pPr>
      <w:bookmarkStart w:id="597" w:name="_55_straipsnis._Pelno"/>
      <w:bookmarkEnd w:id="597"/>
      <w:r>
        <w:rPr>
          <w:rFonts w:ascii="Times New Roman" w:hAnsi="Times New Roman"/>
        </w:rPr>
        <w:lastRenderedPageBreak/>
        <w:t>55 STRAIPSNIS. Pelno mokesčio, sumokėto užsienio valstybėse, atskaitymai</w:t>
      </w:r>
    </w:p>
    <w:p w14:paraId="5BC7BF97" w14:textId="77777777" w:rsidR="00093845" w:rsidRDefault="000D779E">
      <w:pPr>
        <w:pStyle w:val="HTMLiankstoformatuotas"/>
        <w:rPr>
          <w:rFonts w:ascii="Times New Roman" w:hAnsi="Times New Roman" w:cs="Times New Roman"/>
          <w:b/>
          <w:sz w:val="24"/>
          <w:szCs w:val="24"/>
        </w:rPr>
      </w:pPr>
      <w:r>
        <w:rPr>
          <w:rFonts w:ascii="Times New Roman" w:hAnsi="Times New Roman" w:cs="Times New Roman"/>
          <w:b/>
          <w:sz w:val="24"/>
          <w:szCs w:val="24"/>
        </w:rPr>
        <w:t xml:space="preserve">   </w:t>
      </w:r>
    </w:p>
    <w:p w14:paraId="190DE7F6" w14:textId="77777777" w:rsidR="00093845" w:rsidRPr="009C0219" w:rsidRDefault="000D779E" w:rsidP="002C71C1">
      <w:pPr>
        <w:spacing w:after="0"/>
        <w:ind w:firstLine="720"/>
        <w:jc w:val="both"/>
        <w:rPr>
          <w:b/>
          <w:bCs/>
          <w:lang w:bidi="hi-IN"/>
        </w:rPr>
      </w:pPr>
      <w:r w:rsidRPr="009C0219">
        <w:rPr>
          <w:b/>
          <w:bCs/>
        </w:rPr>
        <w:t xml:space="preserve">1. </w:t>
      </w:r>
      <w:r w:rsidRPr="009C0219">
        <w:rPr>
          <w:b/>
          <w:bCs/>
          <w:lang w:bidi="hi-IN"/>
        </w:rPr>
        <w:t>Lietuvos vienetas iš šio Įstatymo nustatyta tvarka apskaičiuoto pelno mokesčio sumos, neįskaitant nuo gautos paramos, panaudotos ne pagal Lietuvos Respublikos labdaros ir paramos įstatyme nustatytą paramos paskirtį, taip pat nuo iš vieno paramos teikėjo per mokestinį laikotarpį grynais pinigais gautos paramos dalies, viršijančios 250 MGL dydžio sumą, apskaičiuotos pelno mokesčio sumos, gali atskaityti pelno mokesčio arba jam tapataus mokesčio sumą, sumokėtą užsienio valstybėje nuo toje valstybėje per tuos mokestinius metus gautų pajamų, atsižvelgiant į dividendus, kurie neįtraukiami į vieneto pajamas, išskyrus pelno mokesčio arba jam tapataus mokesčio sumą, sumokėtą nuo p</w:t>
      </w:r>
      <w:r w:rsidRPr="009C0219">
        <w:rPr>
          <w:b/>
          <w:bCs/>
        </w:rPr>
        <w:t xml:space="preserve">er Lietuvos vieneto nuolatines buveines, esančias </w:t>
      </w:r>
      <w:r w:rsidRPr="009C0219">
        <w:rPr>
          <w:b/>
          <w:bCs/>
          <w:lang w:bidi="hi-IN"/>
        </w:rPr>
        <w:t>Europos ekonominės erdvės valstybėse arba valstybėse, su kuriomis Lietuvos Respublika yra sudariusi ir taiko dvigubo apmokestinimo išvengimo sutartis</w:t>
      </w:r>
      <w:r w:rsidRPr="009C0219">
        <w:rPr>
          <w:b/>
          <w:bCs/>
        </w:rPr>
        <w:t>, vykdomos veiklos pajamų,</w:t>
      </w:r>
      <w:r w:rsidRPr="009C0219">
        <w:rPr>
          <w:b/>
          <w:bCs/>
          <w:lang w:bidi="hi-IN"/>
        </w:rPr>
        <w:t xml:space="preserve"> jeigu šis straipsnis nenustato ko kita.</w:t>
      </w:r>
    </w:p>
    <w:p w14:paraId="4588959E" w14:textId="77777777" w:rsidR="00093845" w:rsidRDefault="000D779E" w:rsidP="00B27506">
      <w:pPr>
        <w:spacing w:after="0"/>
        <w:jc w:val="both"/>
        <w:rPr>
          <w:i/>
          <w:iCs/>
          <w:lang w:val="lt-LT"/>
        </w:rPr>
      </w:pPr>
      <w:r w:rsidRPr="00B27506">
        <w:rPr>
          <w:i/>
          <w:iCs/>
          <w:color w:val="000000"/>
          <w:lang w:eastAsia="lt-LT"/>
        </w:rPr>
        <w:t xml:space="preserve">(KEISTA: </w:t>
      </w:r>
      <w:r w:rsidRPr="00B27506">
        <w:rPr>
          <w:i/>
          <w:iCs/>
        </w:rPr>
        <w:t xml:space="preserve"> 2009 12 09 įstatymu Nr. XI-539 (nuo 2009 12 28)</w:t>
      </w:r>
      <w:r w:rsidR="00F31096" w:rsidRPr="00B27506">
        <w:rPr>
          <w:i/>
          <w:iCs/>
        </w:rPr>
        <w:t>,</w:t>
      </w:r>
      <w:r w:rsidR="00842CA7" w:rsidRPr="00B27506">
        <w:rPr>
          <w:i/>
        </w:rPr>
        <w:t xml:space="preserve"> </w:t>
      </w:r>
      <w:r w:rsidR="00842CA7" w:rsidRPr="00B27506">
        <w:rPr>
          <w:i/>
          <w:iCs/>
        </w:rPr>
        <w:t>taikoma apskaičiuojant 2010 metais prasidėjusio mokestinio laikotarpio ir vėlesnių mokestinių laikotarpių apmokestinamąjį pelną</w:t>
      </w:r>
      <w:r w:rsidRPr="00B27506">
        <w:rPr>
          <w:i/>
          <w:iCs/>
          <w:lang w:val="lt-LT"/>
        </w:rPr>
        <w:t>)</w:t>
      </w:r>
    </w:p>
    <w:p w14:paraId="23E0B2A8" w14:textId="77777777" w:rsidR="00B27506" w:rsidRPr="00B27506" w:rsidRDefault="00B27506" w:rsidP="00B27506">
      <w:pPr>
        <w:spacing w:after="0"/>
        <w:jc w:val="both"/>
        <w:rPr>
          <w:i/>
          <w:iCs/>
          <w:lang w:val="lt-LT"/>
        </w:rPr>
      </w:pPr>
    </w:p>
    <w:p w14:paraId="7E328BDA" w14:textId="77777777" w:rsidR="00093845" w:rsidRPr="0065344A" w:rsidRDefault="000D779E">
      <w:pPr>
        <w:ind w:firstLine="720"/>
        <w:jc w:val="both"/>
        <w:rPr>
          <w:b/>
          <w:bCs/>
          <w:color w:val="000000"/>
          <w:lang w:val="lt-LT" w:eastAsia="lt-LT"/>
        </w:rPr>
      </w:pPr>
      <w:r w:rsidRPr="0065344A">
        <w:rPr>
          <w:b/>
          <w:bCs/>
          <w:color w:val="000000"/>
          <w:lang w:val="lt-LT" w:eastAsia="lt-LT"/>
        </w:rPr>
        <w:t>2. Jeigu nuo užsienio valstybėje gautų pajamų šio Įstatymo nustatyta tvarka apskaičiuota pelno mokesčio suma yra mažesnė negu pelno mokesčio arba jam tapataus mokesčio suma, sumokėta nuo tų pajamų užsienio valstybėje, tai atskaitoma tik šio Įstatymo nustatyta tvarka apskaičiuota pelno mokesčio suma.</w:t>
      </w:r>
    </w:p>
    <w:p w14:paraId="742C2C91" w14:textId="77777777" w:rsidR="00093845" w:rsidRPr="0065344A" w:rsidRDefault="000D779E" w:rsidP="002C71C1">
      <w:pPr>
        <w:spacing w:after="0"/>
        <w:ind w:firstLine="720"/>
        <w:jc w:val="both"/>
        <w:rPr>
          <w:b/>
          <w:bCs/>
          <w:color w:val="000000"/>
          <w:lang w:val="lt-LT" w:eastAsia="lt-LT"/>
        </w:rPr>
      </w:pPr>
      <w:r w:rsidRPr="0065344A">
        <w:rPr>
          <w:b/>
          <w:bCs/>
          <w:lang w:val="lt-LT"/>
        </w:rPr>
        <w:t>3. Jeigu mokesčio mokėtojas per mokestinius metus gauna pajamų keliose užsienio valstybėse, atskaitoma pelno mokesčio suma apskaičiuojama atskirai pagal kiekvieną valstybę, kurioje gautos pajamos.</w:t>
      </w:r>
    </w:p>
    <w:p w14:paraId="5DB6B8F9" w14:textId="77777777" w:rsidR="00093845" w:rsidRDefault="000D779E" w:rsidP="00B27506">
      <w:pPr>
        <w:spacing w:after="0"/>
        <w:jc w:val="both"/>
        <w:rPr>
          <w:i/>
          <w:iCs/>
          <w:lang w:val="lt-LT"/>
        </w:rPr>
      </w:pPr>
      <w:r w:rsidRPr="00B27506">
        <w:rPr>
          <w:i/>
          <w:iCs/>
          <w:color w:val="000000"/>
          <w:lang w:eastAsia="lt-LT"/>
        </w:rPr>
        <w:t xml:space="preserve">(KEISTA: </w:t>
      </w:r>
      <w:r w:rsidRPr="00B27506">
        <w:rPr>
          <w:i/>
          <w:iCs/>
        </w:rPr>
        <w:t>2008 04 08 įstatymu Nr. X-1481 (nuo 2009 01 01)</w:t>
      </w:r>
      <w:r w:rsidRPr="00B27506">
        <w:rPr>
          <w:i/>
          <w:iCs/>
          <w:lang w:val="lt-LT"/>
        </w:rPr>
        <w:t>)</w:t>
      </w:r>
    </w:p>
    <w:p w14:paraId="45E323DD" w14:textId="77777777" w:rsidR="00B27506" w:rsidRPr="00B27506" w:rsidRDefault="00B27506" w:rsidP="00B27506">
      <w:pPr>
        <w:spacing w:after="0"/>
        <w:jc w:val="both"/>
        <w:rPr>
          <w:i/>
          <w:iCs/>
          <w:lang w:val="lt-LT"/>
        </w:rPr>
      </w:pPr>
    </w:p>
    <w:p w14:paraId="35E3B558" w14:textId="77777777" w:rsidR="00093845" w:rsidRPr="00480C1E" w:rsidRDefault="000D779E">
      <w:pPr>
        <w:ind w:firstLine="720"/>
        <w:jc w:val="both"/>
        <w:rPr>
          <w:b/>
          <w:bCs/>
          <w:i/>
          <w:lang w:eastAsia="lt-LT"/>
        </w:rPr>
      </w:pPr>
      <w:r w:rsidRPr="009C0219">
        <w:rPr>
          <w:b/>
          <w:bCs/>
          <w:lang w:eastAsia="lt-LT"/>
        </w:rPr>
        <w:t xml:space="preserve">4. </w:t>
      </w:r>
      <w:r w:rsidRPr="009C0219">
        <w:rPr>
          <w:b/>
          <w:bCs/>
          <w:iCs/>
          <w:lang w:eastAsia="lt-LT"/>
        </w:rPr>
        <w:t>NETEKO GALIOS:</w:t>
      </w:r>
      <w:r>
        <w:rPr>
          <w:b/>
          <w:bCs/>
          <w:i/>
          <w:lang w:eastAsia="lt-LT"/>
        </w:rPr>
        <w:t xml:space="preserve"> </w:t>
      </w:r>
      <w:r w:rsidRPr="00480C1E">
        <w:rPr>
          <w:b/>
          <w:iCs/>
          <w:lang w:eastAsia="lt-LT"/>
        </w:rPr>
        <w:t>2008 04 08 įstatymu Nr. X-1481 (nuo 2009 01 01)</w:t>
      </w:r>
    </w:p>
    <w:p w14:paraId="7BB0C58F" w14:textId="77777777" w:rsidR="00093845" w:rsidRPr="009C0219" w:rsidRDefault="000D779E">
      <w:pPr>
        <w:ind w:firstLine="720"/>
        <w:jc w:val="both"/>
        <w:rPr>
          <w:b/>
          <w:bCs/>
        </w:rPr>
      </w:pPr>
      <w:r w:rsidRPr="009C0219">
        <w:rPr>
          <w:b/>
          <w:bCs/>
        </w:rPr>
        <w:t>5. Atskaitymai iš apskaičiuotos pelno mokesčio sumos šiame straipsnyje nustatyta tvarka leidžiami tik tuo atveju, kai yra išduoti užsienio valstybės mokesčio administratoriaus patvirtinti dokumentai apie toje valstybėje per tuos mokestinius metus gautas pajamas ir nuo jų apskaičiuotą ir sumokėtą pelno mokesčio arba jam tapataus mokesčio sumą, jei šis straipsnis nenustato kitaip.</w:t>
      </w:r>
    </w:p>
    <w:p w14:paraId="479801EC" w14:textId="77777777" w:rsidR="00093845" w:rsidRPr="009C0219" w:rsidRDefault="000D779E">
      <w:pPr>
        <w:ind w:firstLine="720"/>
        <w:jc w:val="both"/>
        <w:rPr>
          <w:b/>
          <w:bCs/>
          <w:strike/>
          <w:lang w:eastAsia="lt-LT"/>
        </w:rPr>
      </w:pPr>
      <w:r w:rsidRPr="009C0219">
        <w:rPr>
          <w:b/>
          <w:bCs/>
        </w:rPr>
        <w:t xml:space="preserve">6. </w:t>
      </w:r>
      <w:r w:rsidRPr="009C0219">
        <w:rPr>
          <w:b/>
          <w:bCs/>
          <w:lang w:eastAsia="lt-LT"/>
        </w:rPr>
        <w:t>Lietuvos vienetas iš šio Įstatymo nustatyta tvarka nuo pozityviųjų pajamų</w:t>
      </w:r>
      <w:r w:rsidRPr="009C0219">
        <w:rPr>
          <w:b/>
          <w:bCs/>
          <w:strike/>
          <w:lang w:eastAsia="lt-LT"/>
        </w:rPr>
        <w:t xml:space="preserve"> </w:t>
      </w:r>
      <w:r w:rsidRPr="009C0219">
        <w:rPr>
          <w:b/>
          <w:bCs/>
          <w:lang w:eastAsia="lt-LT"/>
        </w:rPr>
        <w:t>apskaičiuoto pelno mokesčio sumos gali atskaityti pelno mokesčio arba jam tapataus mokesčio sumą, sumokėtą užsienio valstybėje nuo toje valstybėje per tuos mokestinius</w:t>
      </w:r>
      <w:r w:rsidRPr="009C0219">
        <w:rPr>
          <w:b/>
          <w:bCs/>
          <w:i/>
          <w:iCs/>
          <w:lang w:eastAsia="lt-LT"/>
        </w:rPr>
        <w:t xml:space="preserve"> </w:t>
      </w:r>
      <w:r w:rsidRPr="009C0219">
        <w:rPr>
          <w:b/>
          <w:bCs/>
          <w:lang w:eastAsia="lt-LT"/>
        </w:rPr>
        <w:t xml:space="preserve">metus gautų pozityviųjų pajamų, kaip nustatyta šio Įstatymo 39 straipsnio 11 ir 12 dalyse. Atskaitymai iš apskaičiuotos pelno mokesčio sumos šiame straipsnyje nustatyta tvarka leidžiami tik tuo atveju, kai yra išduoti užsienio valstybės mokesčio administratoriaus patvirtinti dokumentai apie užsienio valstybėje per tuos mokestinius metus gautas pajamas bei nuo jų apskaičiuotą ir sumokėtą pelno mokesčio arba jam tapataus mokesčio sumą ir kai Lietuvos vienetas vietos mokesčio administratoriui pateikia ar nurodo kontroliuojamojo užsienio subjekto: </w:t>
      </w:r>
    </w:p>
    <w:p w14:paraId="2D8EA80E" w14:textId="77777777" w:rsidR="00093845" w:rsidRPr="009C0219" w:rsidRDefault="000D779E" w:rsidP="000F1076">
      <w:pPr>
        <w:spacing w:after="0"/>
        <w:ind w:firstLine="720"/>
        <w:jc w:val="both"/>
        <w:rPr>
          <w:b/>
          <w:bCs/>
          <w:lang w:eastAsia="lt-LT"/>
        </w:rPr>
      </w:pPr>
      <w:r w:rsidRPr="009C0219">
        <w:rPr>
          <w:b/>
          <w:bCs/>
          <w:lang w:eastAsia="lt-LT"/>
        </w:rPr>
        <w:t>1) pavadinimą ir buveinės adresą;</w:t>
      </w:r>
    </w:p>
    <w:p w14:paraId="54D1FB73" w14:textId="77777777" w:rsidR="00093845" w:rsidRPr="009C0219" w:rsidRDefault="000D779E" w:rsidP="000F1076">
      <w:pPr>
        <w:spacing w:after="0"/>
        <w:ind w:firstLine="720"/>
        <w:jc w:val="both"/>
        <w:rPr>
          <w:b/>
          <w:bCs/>
          <w:lang w:eastAsia="lt-LT"/>
        </w:rPr>
      </w:pPr>
      <w:r w:rsidRPr="009C0219">
        <w:rPr>
          <w:b/>
          <w:bCs/>
          <w:lang w:eastAsia="lt-LT"/>
        </w:rPr>
        <w:t>2) valdytojų sąrašą (jeigu tai kontroliuojamasis užsienio vienetas);</w:t>
      </w:r>
    </w:p>
    <w:p w14:paraId="16A846DE" w14:textId="77777777" w:rsidR="00093845" w:rsidRPr="009C0219" w:rsidRDefault="000D779E" w:rsidP="000F1076">
      <w:pPr>
        <w:spacing w:after="0"/>
        <w:ind w:firstLine="720"/>
        <w:jc w:val="both"/>
        <w:rPr>
          <w:b/>
          <w:bCs/>
          <w:lang w:eastAsia="lt-LT"/>
        </w:rPr>
      </w:pPr>
      <w:r w:rsidRPr="009C0219">
        <w:rPr>
          <w:b/>
          <w:bCs/>
          <w:lang w:eastAsia="lt-LT"/>
        </w:rPr>
        <w:t>3) balansą bei pelno ir nuostolių ataskaitą;</w:t>
      </w:r>
    </w:p>
    <w:p w14:paraId="50B36F31" w14:textId="77777777" w:rsidR="00093845" w:rsidRPr="009C0219" w:rsidRDefault="000D779E" w:rsidP="000F1076">
      <w:pPr>
        <w:spacing w:after="0"/>
        <w:ind w:firstLine="720"/>
        <w:jc w:val="both"/>
        <w:rPr>
          <w:b/>
          <w:bCs/>
          <w:lang w:eastAsia="lt-LT"/>
        </w:rPr>
      </w:pPr>
      <w:r w:rsidRPr="009C0219">
        <w:rPr>
          <w:b/>
          <w:bCs/>
          <w:lang w:eastAsia="lt-LT"/>
        </w:rPr>
        <w:t>4) gautų pajamų ir nuo jų apskaičiuoto ir sumokėto pelno mokesčio ar jam tapataus mokesčio sumas;</w:t>
      </w:r>
    </w:p>
    <w:p w14:paraId="0EBD7BA7" w14:textId="77777777" w:rsidR="00093845" w:rsidRPr="009C0219" w:rsidRDefault="000D779E" w:rsidP="000F1076">
      <w:pPr>
        <w:spacing w:after="0"/>
        <w:ind w:firstLine="720"/>
        <w:jc w:val="both"/>
        <w:rPr>
          <w:b/>
          <w:bCs/>
          <w:lang w:eastAsia="lt-LT"/>
        </w:rPr>
      </w:pPr>
      <w:r w:rsidRPr="009C0219">
        <w:rPr>
          <w:b/>
          <w:bCs/>
          <w:lang w:eastAsia="lt-LT"/>
        </w:rPr>
        <w:t>5) pozityviųjų pajamų sumą;</w:t>
      </w:r>
    </w:p>
    <w:p w14:paraId="163D68C6" w14:textId="77777777" w:rsidR="00093845" w:rsidRDefault="000D779E" w:rsidP="000F1076">
      <w:pPr>
        <w:spacing w:after="0"/>
        <w:ind w:firstLine="720"/>
        <w:jc w:val="both"/>
        <w:rPr>
          <w:b/>
          <w:bCs/>
        </w:rPr>
      </w:pPr>
      <w:r w:rsidRPr="009C0219">
        <w:rPr>
          <w:b/>
          <w:bCs/>
          <w:lang w:eastAsia="lt-LT"/>
        </w:rPr>
        <w:lastRenderedPageBreak/>
        <w:t>6) nuo pozityviųjų pajamų sumokėtų mokesčių įrodymus</w:t>
      </w:r>
      <w:r w:rsidRPr="009C0219">
        <w:rPr>
          <w:b/>
          <w:bCs/>
        </w:rPr>
        <w:t>.</w:t>
      </w:r>
    </w:p>
    <w:p w14:paraId="4CE922C2" w14:textId="77777777" w:rsidR="00093845" w:rsidRPr="00B27506" w:rsidRDefault="000D779E" w:rsidP="009C0219">
      <w:pPr>
        <w:jc w:val="both"/>
        <w:rPr>
          <w:i/>
          <w:iCs/>
        </w:rPr>
      </w:pPr>
      <w:r w:rsidRPr="00B27506">
        <w:rPr>
          <w:i/>
          <w:iCs/>
          <w:lang w:val="lt-LT"/>
        </w:rPr>
        <w:t>(</w:t>
      </w:r>
      <w:r w:rsidRPr="00B27506">
        <w:rPr>
          <w:i/>
          <w:iCs/>
        </w:rPr>
        <w:t>KEISTA:</w:t>
      </w:r>
      <w:r w:rsidRPr="00B27506">
        <w:rPr>
          <w:i/>
          <w:iCs/>
          <w:lang w:val="lt-LT"/>
        </w:rPr>
        <w:t xml:space="preserve"> </w:t>
      </w:r>
      <w:r w:rsidRPr="00B27506">
        <w:rPr>
          <w:i/>
          <w:iCs/>
        </w:rPr>
        <w:t>2018 12 06 įstatymu Nr. XIII-1697 (nuo 2019 01 01)</w:t>
      </w:r>
      <w:r w:rsidR="00F31096" w:rsidRPr="00B27506">
        <w:rPr>
          <w:i/>
          <w:iCs/>
        </w:rPr>
        <w:t>)</w:t>
      </w:r>
    </w:p>
    <w:p w14:paraId="26E75A79" w14:textId="77777777" w:rsidR="00093845" w:rsidRPr="009C0219" w:rsidRDefault="000D779E">
      <w:pPr>
        <w:ind w:firstLine="720"/>
        <w:jc w:val="both"/>
        <w:rPr>
          <w:b/>
          <w:bCs/>
        </w:rPr>
      </w:pPr>
      <w:r w:rsidRPr="009C0219">
        <w:rPr>
          <w:b/>
          <w:bCs/>
        </w:rPr>
        <w:t>7. Šio straipsnio 6 dalyje nustatytus dokumentus Lietuvos vienetas pateikia centrinio mokesčių administratoriaus nustatyta tvarka.</w:t>
      </w:r>
    </w:p>
    <w:p w14:paraId="1486A050" w14:textId="77777777" w:rsidR="00093845" w:rsidRPr="00480C1E" w:rsidRDefault="000D779E">
      <w:pPr>
        <w:ind w:firstLine="720"/>
        <w:jc w:val="both"/>
        <w:rPr>
          <w:b/>
          <w:iCs/>
          <w:lang w:eastAsia="lt-LT"/>
        </w:rPr>
      </w:pPr>
      <w:r w:rsidRPr="009C0219">
        <w:rPr>
          <w:b/>
          <w:bCs/>
          <w:lang w:eastAsia="lt-LT"/>
        </w:rPr>
        <w:t xml:space="preserve">8. </w:t>
      </w:r>
      <w:r w:rsidRPr="009C0219">
        <w:rPr>
          <w:b/>
          <w:bCs/>
          <w:iCs/>
          <w:lang w:eastAsia="lt-LT"/>
        </w:rPr>
        <w:t>NETEKO GALIOS:</w:t>
      </w:r>
      <w:r>
        <w:rPr>
          <w:b/>
          <w:bCs/>
          <w:iCs/>
          <w:lang w:eastAsia="lt-LT"/>
        </w:rPr>
        <w:t xml:space="preserve"> </w:t>
      </w:r>
      <w:r w:rsidRPr="00480C1E">
        <w:rPr>
          <w:b/>
          <w:iCs/>
          <w:lang w:eastAsia="lt-LT"/>
        </w:rPr>
        <w:t>2008 04 08 įstatymu Nr. X-1481 (nuo 2009 01 01)</w:t>
      </w:r>
    </w:p>
    <w:p w14:paraId="0BC0D410" w14:textId="77777777" w:rsidR="0045500F" w:rsidRPr="0045500F" w:rsidRDefault="0045500F" w:rsidP="0045500F">
      <w:pPr>
        <w:spacing w:before="100" w:beforeAutospacing="1" w:after="100" w:afterAutospacing="1"/>
        <w:ind w:firstLine="720"/>
        <w:jc w:val="both"/>
        <w:rPr>
          <w:b/>
          <w:lang w:val="lt-LT" w:eastAsia="lt-LT"/>
        </w:rPr>
      </w:pPr>
      <w:r w:rsidRPr="0045500F">
        <w:rPr>
          <w:b/>
        </w:rPr>
        <w:t xml:space="preserve">9. Tais atvejais, kai mokestinės tvarkos neatitikimu dėl finansinės priemonės perleidimo pasinaudojama siekiant daugiau negu vienoje valstybėje atskaityti užsienio valstybėje nuo mokėjimo sumos, gautos pagal perleistą finansinę priemonę, sumokėtą pelno mokestį ar jam tapatų mokestį, atskaitoma pelno mokesčio, sumokėto užsienio valstybėje, suma negali viršyti nuo apmokestinamojo pelno, susijusio su tokiu mokėjimu, pagal šį Įstatymą apskaičiuotos pelno mokesčio sumos. </w:t>
      </w:r>
    </w:p>
    <w:p w14:paraId="7F9429B9" w14:textId="77777777" w:rsidR="0045500F" w:rsidRPr="00B27506" w:rsidRDefault="0045500F" w:rsidP="0045500F">
      <w:pPr>
        <w:spacing w:before="100" w:beforeAutospacing="1" w:after="100" w:afterAutospacing="1"/>
        <w:jc w:val="both"/>
        <w:rPr>
          <w:i/>
          <w:lang w:val="lt-LT"/>
        </w:rPr>
      </w:pPr>
      <w:r w:rsidRPr="00B27506">
        <w:rPr>
          <w:b/>
          <w:bCs/>
          <w:i/>
          <w:iCs/>
          <w:color w:val="000000"/>
          <w:lang w:val="lt-LT"/>
        </w:rPr>
        <w:t>TAR pastaba.</w:t>
      </w:r>
      <w:r w:rsidRPr="00B27506">
        <w:rPr>
          <w:i/>
          <w:iCs/>
          <w:color w:val="000000"/>
          <w:lang w:val="lt-LT"/>
        </w:rPr>
        <w:t xml:space="preserve"> </w:t>
      </w:r>
      <w:r w:rsidRPr="00B27506">
        <w:rPr>
          <w:i/>
          <w:iCs/>
          <w:lang w:val="lt-LT"/>
        </w:rPr>
        <w:t>9 dalies</w:t>
      </w:r>
      <w:r w:rsidRPr="00B27506">
        <w:rPr>
          <w:i/>
          <w:iCs/>
          <w:color w:val="000000"/>
          <w:lang w:val="lt-LT"/>
        </w:rPr>
        <w:t xml:space="preserve"> nuostatos taikomos apskaičiuojant ir deklaruojant 2020 metų ir vėlesnių mokestinių laikotarpių pelno mokestį.</w:t>
      </w:r>
    </w:p>
    <w:p w14:paraId="72119C15" w14:textId="77777777" w:rsidR="0045500F" w:rsidRPr="00B27506" w:rsidRDefault="0045500F" w:rsidP="0045500F">
      <w:pPr>
        <w:spacing w:before="100" w:beforeAutospacing="1" w:after="100" w:afterAutospacing="1"/>
        <w:jc w:val="both"/>
        <w:rPr>
          <w:i/>
        </w:rPr>
      </w:pPr>
      <w:r w:rsidRPr="00B27506">
        <w:rPr>
          <w:i/>
          <w:iCs/>
        </w:rPr>
        <w:t xml:space="preserve">(Papildyta 2019-12-17, </w:t>
      </w:r>
      <w:r w:rsidRPr="00B27506">
        <w:rPr>
          <w:i/>
          <w:lang w:val="lt-LT"/>
        </w:rPr>
        <w:t xml:space="preserve">įstatymu </w:t>
      </w:r>
      <w:r w:rsidRPr="00B27506">
        <w:rPr>
          <w:i/>
          <w:iCs/>
        </w:rPr>
        <w:t xml:space="preserve">Nr. </w:t>
      </w:r>
      <w:hyperlink r:id="rId135" w:tgtFrame="_parent" w:history="1">
        <w:r w:rsidRPr="00B27506">
          <w:rPr>
            <w:rStyle w:val="Hipersaitas"/>
            <w:rFonts w:ascii="Times New Roman" w:hAnsi="Times New Roman" w:cs="Times New Roman"/>
            <w:b w:val="0"/>
            <w:i/>
            <w:iCs/>
          </w:rPr>
          <w:t>XIII-2694</w:t>
        </w:r>
      </w:hyperlink>
      <w:r w:rsidRPr="00B27506">
        <w:rPr>
          <w:i/>
          <w:iCs/>
        </w:rPr>
        <w:t xml:space="preserve"> </w:t>
      </w:r>
      <w:r w:rsidRPr="00B27506">
        <w:rPr>
          <w:i/>
          <w:lang w:val="lt-LT"/>
        </w:rPr>
        <w:t>(nuo 2020 01 01))</w:t>
      </w:r>
    </w:p>
    <w:p w14:paraId="289DD7D4" w14:textId="77777777" w:rsidR="00093845" w:rsidRDefault="000D779E">
      <w:pPr>
        <w:tabs>
          <w:tab w:val="left" w:pos="720"/>
          <w:tab w:val="left" w:pos="1077"/>
          <w:tab w:val="left" w:pos="1418"/>
        </w:tabs>
        <w:ind w:firstLine="720"/>
        <w:jc w:val="both"/>
        <w:rPr>
          <w:b/>
          <w:lang w:val="lt-LT"/>
        </w:rPr>
      </w:pPr>
      <w:r>
        <w:rPr>
          <w:b/>
          <w:lang w:val="lt-LT"/>
        </w:rPr>
        <w:t>Komentaras</w:t>
      </w:r>
    </w:p>
    <w:p w14:paraId="4A6D9FC7" w14:textId="77777777" w:rsidR="00093845" w:rsidRPr="009C0219" w:rsidRDefault="000D779E">
      <w:pPr>
        <w:tabs>
          <w:tab w:val="left" w:pos="720"/>
          <w:tab w:val="left" w:pos="1077"/>
          <w:tab w:val="left" w:pos="1418"/>
        </w:tabs>
        <w:ind w:firstLine="720"/>
        <w:jc w:val="both"/>
        <w:rPr>
          <w:bCs/>
          <w:lang w:val="lt-LT"/>
        </w:rPr>
      </w:pPr>
      <w:r>
        <w:rPr>
          <w:bCs/>
          <w:lang w:val="lt-LT"/>
        </w:rPr>
        <w:t>Komentaras rengiamas</w:t>
      </w:r>
    </w:p>
    <w:p w14:paraId="6A97853C" w14:textId="77777777" w:rsidR="00093845" w:rsidRDefault="00093845">
      <w:pPr>
        <w:tabs>
          <w:tab w:val="left" w:pos="720"/>
          <w:tab w:val="left" w:pos="1077"/>
          <w:tab w:val="left" w:pos="1418"/>
        </w:tabs>
        <w:ind w:firstLine="720"/>
        <w:jc w:val="both"/>
        <w:rPr>
          <w:b/>
          <w:lang w:val="lt-LT"/>
        </w:rPr>
      </w:pPr>
    </w:p>
    <w:p w14:paraId="51DF36DF" w14:textId="77777777" w:rsidR="00093845" w:rsidRDefault="000D779E">
      <w:pPr>
        <w:pStyle w:val="Antrat5"/>
        <w:jc w:val="both"/>
        <w:rPr>
          <w:rFonts w:ascii="Times New Roman" w:hAnsi="Times New Roman"/>
          <w:bCs w:val="0"/>
        </w:rPr>
      </w:pPr>
      <w:bookmarkStart w:id="598" w:name="_56_straipsnis._Atsakomybė"/>
      <w:bookmarkEnd w:id="598"/>
      <w:r>
        <w:rPr>
          <w:rFonts w:ascii="Times New Roman" w:hAnsi="Times New Roman"/>
          <w:bCs w:val="0"/>
        </w:rPr>
        <w:t>56 STRAIPSNIS. Atsakomybė už šio Įstatymo pažeidimus</w:t>
      </w:r>
    </w:p>
    <w:p w14:paraId="7B48EE50" w14:textId="77777777" w:rsidR="00093845" w:rsidRDefault="00093845">
      <w:pPr>
        <w:jc w:val="both"/>
        <w:rPr>
          <w:lang w:val="lt-LT"/>
        </w:rPr>
      </w:pPr>
    </w:p>
    <w:p w14:paraId="37EB6315" w14:textId="77777777" w:rsidR="00093845" w:rsidRDefault="000D779E">
      <w:pPr>
        <w:pStyle w:val="Pagrindiniotekstotrauka2"/>
        <w:tabs>
          <w:tab w:val="left" w:pos="720"/>
          <w:tab w:val="left" w:pos="1077"/>
          <w:tab w:val="left" w:pos="1418"/>
        </w:tabs>
        <w:spacing w:line="240" w:lineRule="auto"/>
      </w:pPr>
      <w:r>
        <w:t>Pažeidus šio Įstatymo nuostatas, išskyrus 46 straipsnio 5 dalyje nurodytus atvejus, baudos skiriamos ir delspinigiai skaičiuojami Mokesčių administravimo įstatymo nustatyta tvarka.</w:t>
      </w:r>
    </w:p>
    <w:p w14:paraId="5C44E562" w14:textId="77777777" w:rsidR="00093845" w:rsidRDefault="000D779E">
      <w:pPr>
        <w:tabs>
          <w:tab w:val="left" w:pos="720"/>
          <w:tab w:val="left" w:pos="1077"/>
          <w:tab w:val="left" w:pos="1418"/>
        </w:tabs>
        <w:jc w:val="both"/>
        <w:rPr>
          <w:b/>
          <w:lang w:val="lt-LT"/>
        </w:rPr>
      </w:pPr>
      <w:r>
        <w:rPr>
          <w:lang w:val="lt-LT"/>
        </w:rPr>
        <w:tab/>
      </w:r>
      <w:r>
        <w:rPr>
          <w:b/>
          <w:lang w:val="lt-LT"/>
        </w:rPr>
        <w:t>Komentatas</w:t>
      </w:r>
    </w:p>
    <w:p w14:paraId="5A20C8C0"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Pažeidus PMĮ nuostatas, išskyrus 46 straipsnio 5 dalyje nurodytus atvejus, baudos skiriamos ir delspinigiai skaičiuojami Lietuvos Respublikos mokesčių administravimo įstatymo nustatyta tvarka.</w:t>
      </w:r>
    </w:p>
    <w:p w14:paraId="36C25A06" w14:textId="77777777" w:rsidR="00093845" w:rsidRDefault="000D779E">
      <w:pPr>
        <w:tabs>
          <w:tab w:val="left" w:pos="720"/>
          <w:tab w:val="left" w:pos="1077"/>
          <w:tab w:val="left" w:pos="1418"/>
        </w:tabs>
        <w:jc w:val="both"/>
        <w:rPr>
          <w:lang w:val="lt-LT"/>
        </w:rPr>
      </w:pPr>
      <w:r>
        <w:rPr>
          <w:lang w:val="lt-LT"/>
        </w:rPr>
        <w:tab/>
        <w:t>1.</w:t>
      </w:r>
      <w:r>
        <w:rPr>
          <w:lang w:val="lt-LT"/>
        </w:rPr>
        <w:tab/>
        <w:t xml:space="preserve">Baudos skiriamos už pažeidimus, numatytus </w:t>
      </w:r>
      <w:r>
        <w:rPr>
          <w:bCs/>
          <w:lang w:val="lt-LT"/>
        </w:rPr>
        <w:t xml:space="preserve">Lietuvos Respublikos mokesčių administravimo įstatyme </w:t>
      </w:r>
      <w:r>
        <w:rPr>
          <w:lang w:val="lt-LT"/>
        </w:rPr>
        <w:t xml:space="preserve">arba (ir) konkrečiame mokesčio įstatyme. </w:t>
      </w:r>
    </w:p>
    <w:p w14:paraId="59045DB6" w14:textId="77777777" w:rsidR="00093845" w:rsidRDefault="00093845">
      <w:pPr>
        <w:tabs>
          <w:tab w:val="left" w:pos="720"/>
          <w:tab w:val="left" w:pos="1077"/>
          <w:tab w:val="left" w:pos="1418"/>
        </w:tabs>
        <w:jc w:val="both"/>
        <w:rPr>
          <w:lang w:val="lt-LT"/>
        </w:rPr>
      </w:pPr>
    </w:p>
    <w:p w14:paraId="178BFE8A" w14:textId="77777777" w:rsidR="00093845" w:rsidRDefault="000D779E">
      <w:pPr>
        <w:spacing w:before="100" w:beforeAutospacing="1" w:after="100" w:afterAutospacing="1"/>
        <w:jc w:val="center"/>
        <w:rPr>
          <w:lang w:val="lt-LT" w:eastAsia="lt-LT"/>
        </w:rPr>
      </w:pPr>
      <w:bookmarkStart w:id="599" w:name="skyrius10_1p"/>
      <w:r>
        <w:rPr>
          <w:b/>
          <w:bCs/>
          <w:color w:val="000000"/>
          <w:lang w:val="lt-LT" w:eastAsia="lt-LT"/>
        </w:rPr>
        <w:t>X</w:t>
      </w:r>
      <w:r>
        <w:rPr>
          <w:b/>
          <w:bCs/>
          <w:color w:val="000000"/>
          <w:vertAlign w:val="superscript"/>
          <w:lang w:val="lt-LT" w:eastAsia="lt-LT"/>
        </w:rPr>
        <w:t>1</w:t>
      </w:r>
      <w:r>
        <w:rPr>
          <w:b/>
          <w:bCs/>
          <w:color w:val="000000"/>
          <w:lang w:val="lt-LT" w:eastAsia="lt-LT"/>
        </w:rPr>
        <w:t xml:space="preserve"> SKYRIUS</w:t>
      </w:r>
      <w:bookmarkEnd w:id="599"/>
    </w:p>
    <w:p w14:paraId="70B0AB6D" w14:textId="77777777" w:rsidR="00093845" w:rsidRDefault="000D779E">
      <w:pPr>
        <w:spacing w:before="100" w:beforeAutospacing="1" w:after="100" w:afterAutospacing="1"/>
        <w:jc w:val="center"/>
        <w:rPr>
          <w:lang w:val="lt-LT" w:eastAsia="lt-LT"/>
        </w:rPr>
      </w:pPr>
      <w:r>
        <w:rPr>
          <w:b/>
          <w:bCs/>
          <w:lang w:val="lt-LT" w:eastAsia="lt-LT"/>
        </w:rPr>
        <w:t>MOKESTINIŲ NUOSTOLIŲ PERDAVIMAS</w:t>
      </w:r>
      <w:r>
        <w:rPr>
          <w:b/>
          <w:bCs/>
          <w:sz w:val="22"/>
          <w:szCs w:val="22"/>
          <w:lang w:val="lt-LT" w:eastAsia="lt-LT"/>
        </w:rPr>
        <w:t> </w:t>
      </w:r>
    </w:p>
    <w:p w14:paraId="44AD76C0" w14:textId="77777777" w:rsidR="00093845" w:rsidRDefault="000D779E">
      <w:pPr>
        <w:spacing w:before="100" w:beforeAutospacing="1" w:after="100" w:afterAutospacing="1"/>
        <w:ind w:left="2565" w:hanging="2565"/>
        <w:jc w:val="both"/>
        <w:rPr>
          <w:b/>
          <w:bCs/>
          <w:color w:val="000000"/>
          <w:lang w:val="lt-LT" w:eastAsia="lt-LT"/>
        </w:rPr>
      </w:pPr>
      <w:bookmarkStart w:id="600" w:name="straipsnis56_1p"/>
      <w:bookmarkEnd w:id="600"/>
      <w:r>
        <w:rPr>
          <w:b/>
          <w:bCs/>
          <w:color w:val="000000"/>
          <w:lang w:val="lt-LT" w:eastAsia="lt-LT"/>
        </w:rPr>
        <w:t>56</w:t>
      </w:r>
      <w:r w:rsidR="004511A4">
        <w:rPr>
          <w:b/>
          <w:bCs/>
          <w:color w:val="000000"/>
          <w:vertAlign w:val="superscript"/>
          <w:lang w:val="lt-LT" w:eastAsia="lt-LT"/>
        </w:rPr>
        <w:t>1</w:t>
      </w:r>
      <w:r>
        <w:rPr>
          <w:b/>
          <w:bCs/>
          <w:color w:val="000000"/>
          <w:lang w:val="lt-LT" w:eastAsia="lt-LT"/>
        </w:rPr>
        <w:t xml:space="preserve"> STRAIPSNIS. Mokestinių nuostolių perdavimas tarp vienetų grupės vienetų</w:t>
      </w:r>
    </w:p>
    <w:p w14:paraId="274FA6AF" w14:textId="77777777" w:rsidR="007B24A1" w:rsidRPr="0043342D" w:rsidRDefault="007B24A1" w:rsidP="007B24A1">
      <w:pPr>
        <w:pStyle w:val="normal-p"/>
        <w:shd w:val="clear" w:color="auto" w:fill="FFFFFF"/>
        <w:spacing w:before="0" w:beforeAutospacing="0" w:after="0" w:afterAutospacing="0" w:line="300" w:lineRule="atLeast"/>
        <w:jc w:val="both"/>
        <w:rPr>
          <w:b/>
          <w:color w:val="000000"/>
          <w:shd w:val="clear" w:color="auto" w:fill="FFFFFF"/>
        </w:rPr>
      </w:pPr>
      <w:bookmarkStart w:id="601" w:name="_Hlk225346645"/>
      <w:r w:rsidRPr="00D03619">
        <w:rPr>
          <w:b/>
          <w:color w:val="000000"/>
          <w:shd w:val="clear" w:color="auto" w:fill="FFFFFF"/>
        </w:rPr>
        <w:t xml:space="preserve">1. Vienetas šiame straipsnyje nustatyta tvarka gali perduoti už mokestinį laikotarpį apskaičiuotus mokestinius nuostolius (ar jų dalį) kitam vienetų grupės vienetui, kuris jam perduotais nuostoliais turi teisę </w:t>
      </w:r>
      <w:r w:rsidRPr="0043342D">
        <w:rPr>
          <w:b/>
          <w:color w:val="000000"/>
          <w:shd w:val="clear" w:color="auto" w:fill="FFFFFF"/>
        </w:rPr>
        <w:t>sumažinti apmokestinamojo pelno sumą, apskaičiuotą už tą mokestinį laikotarpį, už kurį buvo apskaičiuoti jam kito vieneto perduodami nuostoliai (ar jų dalis), jeigu:</w:t>
      </w:r>
    </w:p>
    <w:p w14:paraId="35BA5BF2" w14:textId="77777777" w:rsidR="007B24A1" w:rsidRPr="0043342D" w:rsidRDefault="007B24A1" w:rsidP="007B24A1">
      <w:pPr>
        <w:pStyle w:val="normal-p"/>
        <w:shd w:val="clear" w:color="auto" w:fill="FFFFFF"/>
        <w:spacing w:before="0" w:beforeAutospacing="0" w:after="0" w:afterAutospacing="0" w:line="300" w:lineRule="atLeast"/>
        <w:jc w:val="both"/>
        <w:rPr>
          <w:b/>
          <w:color w:val="000000"/>
          <w:shd w:val="clear" w:color="auto" w:fill="FFFFFF"/>
        </w:rPr>
      </w:pPr>
      <w:r w:rsidRPr="0043342D">
        <w:rPr>
          <w:b/>
          <w:color w:val="000000"/>
          <w:shd w:val="clear" w:color="auto" w:fill="FFFFFF"/>
        </w:rPr>
        <w:lastRenderedPageBreak/>
        <w:t xml:space="preserve">1) vienetų grupėje patronuojantis vienetas </w:t>
      </w:r>
      <w:r w:rsidRPr="0043342D">
        <w:rPr>
          <w:b/>
          <w:bCs/>
          <w:color w:val="000000" w:themeColor="text1"/>
        </w:rPr>
        <w:t>mokestinio laikotarpio, už kurį apskaičiuoti mokestiniai nuostoliai perduodami, paskutinę dieną ir</w:t>
      </w:r>
      <w:r w:rsidRPr="0043342D">
        <w:rPr>
          <w:b/>
          <w:color w:val="000000" w:themeColor="text1"/>
        </w:rPr>
        <w:t xml:space="preserve"> </w:t>
      </w:r>
      <w:r w:rsidRPr="0043342D">
        <w:rPr>
          <w:b/>
          <w:color w:val="000000"/>
          <w:shd w:val="clear" w:color="auto" w:fill="FFFFFF"/>
        </w:rPr>
        <w:t>mokestinių nuostolių perdavimo dieną tiesiogiai arba netiesiogiai valdo ne mažiau kaip 2/3 kiekvieno mokestinių nuostolių perdavime dalyvaujančio dukterinio vieneto akcijų (dalių, pajų) ar kitų teisių į paskirstytinojo pelno dalį ir</w:t>
      </w:r>
      <w:r w:rsidRPr="0043342D">
        <w:rPr>
          <w:b/>
          <w:color w:val="000000"/>
        </w:rPr>
        <w:br/>
      </w:r>
      <w:r w:rsidRPr="0043342D">
        <w:rPr>
          <w:b/>
          <w:color w:val="000000"/>
          <w:shd w:val="clear" w:color="auto" w:fill="FFFFFF"/>
        </w:rPr>
        <w:t>2) mokestiniai nuostoliai perduodami tarp vienetų grupės vienetų, kurie toje grupėje be pertraukų yra ne trumpiau kaip dvejus metus skaičiuojant iki mokestinio laikotarpio, už kurį apskaičiuoti mokestiniai nuostoliai perduodami, paskutinės dienos, arba</w:t>
      </w:r>
    </w:p>
    <w:p w14:paraId="49661A9F" w14:textId="77777777" w:rsidR="007B24A1" w:rsidRPr="00D03619" w:rsidRDefault="007B24A1" w:rsidP="007B24A1">
      <w:pPr>
        <w:pStyle w:val="normal-p"/>
        <w:shd w:val="clear" w:color="auto" w:fill="FFFFFF"/>
        <w:spacing w:before="0" w:beforeAutospacing="0" w:after="0" w:afterAutospacing="0" w:line="300" w:lineRule="atLeast"/>
        <w:jc w:val="both"/>
        <w:rPr>
          <w:rStyle w:val="normal-h"/>
          <w:b/>
          <w:color w:val="000000"/>
        </w:rPr>
      </w:pPr>
      <w:r w:rsidRPr="0043342D">
        <w:rPr>
          <w:b/>
          <w:color w:val="000000"/>
          <w:shd w:val="clear" w:color="auto" w:fill="FFFFFF"/>
        </w:rPr>
        <w:t>3) mokestinius nuostolius perduoda ar perima vienetų grupės vienetas (vienetai), kuris (kurie) toje grupėje yra nuo jo (jų) įregistravimo dienos</w:t>
      </w:r>
      <w:r w:rsidRPr="00D03619">
        <w:rPr>
          <w:b/>
          <w:color w:val="000000"/>
          <w:shd w:val="clear" w:color="auto" w:fill="FFFFFF"/>
        </w:rPr>
        <w:t xml:space="preserve"> ir bus vienetų grupėje be pertraukų ne trumpiau kaip dvejus metus skaičiuojant nuo jo (jų) įregistravimo dienos.</w:t>
      </w:r>
    </w:p>
    <w:p w14:paraId="6D181914" w14:textId="1476BFE2" w:rsidR="007B24A1" w:rsidRDefault="007B24A1" w:rsidP="007B24A1">
      <w:pPr>
        <w:tabs>
          <w:tab w:val="left" w:pos="720"/>
          <w:tab w:val="left" w:pos="1077"/>
          <w:tab w:val="left" w:pos="1418"/>
        </w:tabs>
        <w:spacing w:after="0"/>
        <w:jc w:val="both"/>
        <w:rPr>
          <w:b/>
          <w:bCs/>
          <w:i/>
          <w:lang w:val="lt-LT"/>
        </w:rPr>
      </w:pPr>
      <w:r w:rsidRPr="00D03619">
        <w:rPr>
          <w:b/>
          <w:bCs/>
          <w:i/>
          <w:lang w:val="lt-LT"/>
        </w:rPr>
        <w:t xml:space="preserve">(Pagal 2025 m. birželio 17  d. įstatymo Nr.  </w:t>
      </w:r>
      <w:r w:rsidRPr="00D03619">
        <w:rPr>
          <w:b/>
          <w:i/>
          <w:color w:val="000000"/>
          <w:lang w:val="lt-LT"/>
        </w:rPr>
        <w:t>XV-285</w:t>
      </w:r>
      <w:r w:rsidRPr="00D03619">
        <w:rPr>
          <w:b/>
          <w:i/>
          <w:lang w:val="lt-LT"/>
        </w:rPr>
        <w:t xml:space="preserve"> </w:t>
      </w:r>
      <w:r w:rsidRPr="00D03619">
        <w:rPr>
          <w:b/>
          <w:bCs/>
          <w:i/>
          <w:lang w:val="lt-LT"/>
        </w:rPr>
        <w:t>redakciją; taikoma apskaičiuojant 2026 metais prasidėjusio ir vėlesnių mokestinių laikotarpių apmokestinamąjį pelną)</w:t>
      </w:r>
    </w:p>
    <w:p w14:paraId="2AABF34E" w14:textId="77777777" w:rsidR="007B24A1" w:rsidRPr="00D03619" w:rsidRDefault="007B24A1" w:rsidP="007B24A1">
      <w:pPr>
        <w:tabs>
          <w:tab w:val="left" w:pos="720"/>
          <w:tab w:val="left" w:pos="1077"/>
          <w:tab w:val="left" w:pos="1418"/>
        </w:tabs>
        <w:spacing w:after="0"/>
        <w:jc w:val="both"/>
        <w:rPr>
          <w:b/>
          <w:bCs/>
          <w:i/>
          <w:lang w:val="lt-LT"/>
        </w:rPr>
      </w:pPr>
    </w:p>
    <w:p w14:paraId="508713DE" w14:textId="77777777" w:rsidR="007B24A1" w:rsidRPr="00D03619" w:rsidRDefault="007B24A1" w:rsidP="007B24A1">
      <w:pPr>
        <w:ind w:firstLine="720"/>
        <w:jc w:val="both"/>
        <w:rPr>
          <w:b/>
          <w:bCs/>
          <w:lang w:val="lt-LT"/>
        </w:rPr>
      </w:pPr>
      <w:r w:rsidRPr="00D03619">
        <w:rPr>
          <w:b/>
          <w:bCs/>
          <w:lang w:val="lt-LT"/>
        </w:rPr>
        <w:t xml:space="preserve">Komentaras </w:t>
      </w:r>
    </w:p>
    <w:p w14:paraId="6912125F" w14:textId="77777777" w:rsidR="007B24A1" w:rsidRPr="00D03619" w:rsidRDefault="007B24A1" w:rsidP="007B24A1">
      <w:pPr>
        <w:ind w:firstLine="720"/>
        <w:jc w:val="both"/>
        <w:rPr>
          <w:bCs/>
          <w:lang w:val="lt-LT"/>
        </w:rPr>
      </w:pPr>
      <w:r w:rsidRPr="00D03619">
        <w:rPr>
          <w:color w:val="000000"/>
          <w:lang w:val="lt-LT" w:bidi="hi-IN"/>
        </w:rPr>
        <w:t>1. Mokestiniai nuostoliai gali būti perduodami tarp vienetų grupės vienetų, o p</w:t>
      </w:r>
      <w:r w:rsidRPr="00D03619">
        <w:rPr>
          <w:bCs/>
          <w:lang w:val="lt-LT"/>
        </w:rPr>
        <w:t>agal šio straipsnio nuostatas vienetų grupe laikoma tokia grupė, kurioje patronuojantis vienetas valdo dukterinio vieneto</w:t>
      </w:r>
      <w:r w:rsidRPr="00D03619">
        <w:rPr>
          <w:lang w:val="lt-LT"/>
        </w:rPr>
        <w:t xml:space="preserve"> </w:t>
      </w:r>
      <w:r w:rsidRPr="00D03619">
        <w:rPr>
          <w:bCs/>
          <w:lang w:val="lt-LT"/>
        </w:rPr>
        <w:t xml:space="preserve">akcijas (dalis, pajus) ar kitas teises į paskirstytinojo pelno dalį. Todėl mokestiniai nuostoliai gali būti perduodami tik tarp tokių Lietuvos vienetų (ar tokiems Lietuvos vienetams), kurių teisinė forma yra akcinė bendrovė (uždaroji akcinė bendrovė), įskaitant </w:t>
      </w:r>
      <w:r w:rsidRPr="00D03619">
        <w:rPr>
          <w:lang w:val="lt-LT"/>
        </w:rPr>
        <w:t xml:space="preserve">Europos bendrovę, </w:t>
      </w:r>
      <w:r w:rsidRPr="00D03619">
        <w:rPr>
          <w:bCs/>
          <w:lang w:val="lt-LT"/>
        </w:rPr>
        <w:t>kooperatinė bendrovė (kooperatyvas),</w:t>
      </w:r>
      <w:r w:rsidRPr="00D03619">
        <w:rPr>
          <w:lang w:val="lt-LT"/>
        </w:rPr>
        <w:t xml:space="preserve"> įskaitant Europos kooperatinę bendrovę, </w:t>
      </w:r>
      <w:r w:rsidRPr="00D03619">
        <w:rPr>
          <w:bCs/>
          <w:lang w:val="lt-LT"/>
        </w:rPr>
        <w:t xml:space="preserve">žemės ūkio bendrovė ar ūkinė bendrija (kokiais atvejais Lietuvos vienetui gali būti perduodami užsienio vieneto mokestiniai nuostoliai paaiškinta šio straipsnio 4-os dalies komentare). </w:t>
      </w:r>
    </w:p>
    <w:p w14:paraId="7557C7D6" w14:textId="77777777" w:rsidR="007B24A1" w:rsidRPr="00D03619" w:rsidRDefault="007B24A1" w:rsidP="007B24A1">
      <w:pPr>
        <w:ind w:firstLine="720"/>
        <w:jc w:val="both"/>
        <w:rPr>
          <w:b/>
          <w:bCs/>
          <w:lang w:val="lt-LT"/>
        </w:rPr>
      </w:pPr>
      <w:r w:rsidRPr="00D03619">
        <w:rPr>
          <w:lang w:val="lt-LT"/>
        </w:rPr>
        <w:t>K</w:t>
      </w:r>
      <w:r w:rsidRPr="00D03619">
        <w:rPr>
          <w:bCs/>
          <w:lang w:val="lt-LT"/>
        </w:rPr>
        <w:t xml:space="preserve">omentuojamo straipsnio nuostatos pelno nesiekiantiems vienetams netaikomos. </w:t>
      </w:r>
    </w:p>
    <w:p w14:paraId="439A4A36" w14:textId="77777777" w:rsidR="007B24A1" w:rsidRPr="00D03619" w:rsidRDefault="007B24A1" w:rsidP="007B24A1">
      <w:pPr>
        <w:spacing w:after="0" w:line="240" w:lineRule="auto"/>
        <w:ind w:firstLine="720"/>
        <w:jc w:val="both"/>
        <w:rPr>
          <w:bCs/>
          <w:lang w:val="lt-LT"/>
        </w:rPr>
      </w:pPr>
      <w:r w:rsidRPr="00D03619">
        <w:rPr>
          <w:bCs/>
          <w:lang w:val="lt-LT"/>
        </w:rPr>
        <w:t xml:space="preserve">2. Vienetas gali perduoti kitam vienetų grupės vienetui pagal PMĮ nuostatas apskaičiuotus mokestinius nuostolius (toliau mokestiniai nuostoliai vadinami nuostoliais) (ar jų dalį), jeigu tenkinamos visos šios kumuliatyvios (t. y. turinčios egzistuoti kartu) sąlygos: </w:t>
      </w:r>
    </w:p>
    <w:p w14:paraId="111DE1FF" w14:textId="77777777" w:rsidR="007B24A1" w:rsidRPr="00D03619" w:rsidRDefault="007B24A1" w:rsidP="007B24A1">
      <w:pPr>
        <w:spacing w:after="0" w:line="240" w:lineRule="auto"/>
        <w:ind w:firstLine="720"/>
        <w:jc w:val="both"/>
        <w:rPr>
          <w:bCs/>
          <w:lang w:val="lt-LT"/>
        </w:rPr>
      </w:pPr>
      <w:r w:rsidRPr="00D03619">
        <w:rPr>
          <w:bCs/>
          <w:lang w:val="lt-LT"/>
        </w:rPr>
        <w:t>1)</w:t>
      </w:r>
      <w:r w:rsidRPr="00D03619">
        <w:rPr>
          <w:b/>
          <w:bCs/>
          <w:lang w:val="lt-LT"/>
        </w:rPr>
        <w:t xml:space="preserve"> </w:t>
      </w:r>
      <w:r w:rsidRPr="00D03619">
        <w:rPr>
          <w:bCs/>
          <w:iCs/>
          <w:lang w:val="lt-LT"/>
        </w:rPr>
        <w:t>v</w:t>
      </w:r>
      <w:r w:rsidRPr="00D03619">
        <w:rPr>
          <w:bCs/>
          <w:lang w:val="lt-LT"/>
        </w:rPr>
        <w:t xml:space="preserve">ienetų grupėje patronuojantis </w:t>
      </w:r>
      <w:r w:rsidRPr="007F66D0">
        <w:rPr>
          <w:bCs/>
          <w:lang w:val="lt-LT"/>
        </w:rPr>
        <w:t xml:space="preserve">vienetas </w:t>
      </w:r>
      <w:r w:rsidRPr="007F66D0">
        <w:rPr>
          <w:bCs/>
          <w:color w:val="000000" w:themeColor="text1"/>
          <w:lang w:val="lt-LT"/>
        </w:rPr>
        <w:t>mokestinio laikotarpio, už kurį apskaičiuoti mokestiniai nuostoliai perduodami, paskutinę dieną</w:t>
      </w:r>
      <w:r w:rsidRPr="00722B23">
        <w:rPr>
          <w:b/>
          <w:bCs/>
          <w:color w:val="000000" w:themeColor="text1"/>
          <w:lang w:val="lt-LT"/>
        </w:rPr>
        <w:t xml:space="preserve"> </w:t>
      </w:r>
      <w:r w:rsidRPr="00FD14B3">
        <w:rPr>
          <w:bCs/>
          <w:color w:val="000000" w:themeColor="text1"/>
          <w:lang w:val="lt-LT"/>
        </w:rPr>
        <w:t>ir</w:t>
      </w:r>
      <w:r w:rsidRPr="00D03619">
        <w:rPr>
          <w:b/>
          <w:color w:val="000000" w:themeColor="text1"/>
          <w:lang w:val="lt-LT"/>
        </w:rPr>
        <w:t xml:space="preserve"> </w:t>
      </w:r>
      <w:r w:rsidRPr="00D03619">
        <w:rPr>
          <w:bCs/>
          <w:lang w:val="lt-LT"/>
        </w:rPr>
        <w:t>nuostolių perdavimo dieną tiesiogiai arba netiesiogiai valdo ne mažiau kaip 2/3 (arba ne mažiau kaip 66,67 proc.) kiekvieno nuostolių perdavime dalyvaujančio dukterinio vieneto</w:t>
      </w:r>
      <w:r w:rsidRPr="00D03619">
        <w:rPr>
          <w:lang w:val="lt-LT"/>
        </w:rPr>
        <w:t xml:space="preserve"> </w:t>
      </w:r>
      <w:r w:rsidRPr="00D03619">
        <w:rPr>
          <w:bCs/>
          <w:lang w:val="lt-LT"/>
        </w:rPr>
        <w:t xml:space="preserve">akcijų (dalių, pajų) ar kitų teisių į paskirstytinojo pelno dalį; </w:t>
      </w:r>
    </w:p>
    <w:p w14:paraId="4273A816" w14:textId="77777777" w:rsidR="007B24A1" w:rsidRPr="00966F3B" w:rsidRDefault="007B24A1" w:rsidP="007B24A1">
      <w:pPr>
        <w:spacing w:after="0" w:line="240" w:lineRule="auto"/>
        <w:ind w:firstLine="720"/>
        <w:jc w:val="both"/>
        <w:rPr>
          <w:color w:val="000000"/>
          <w:shd w:val="clear" w:color="auto" w:fill="FFFFFF"/>
          <w:lang w:val="lt-LT"/>
        </w:rPr>
      </w:pPr>
      <w:r w:rsidRPr="00D03619">
        <w:rPr>
          <w:color w:val="000000"/>
          <w:shd w:val="clear" w:color="auto" w:fill="FFFFFF"/>
          <w:lang w:val="lt-LT"/>
        </w:rPr>
        <w:t xml:space="preserve">2) atitinkamo mokestinio laikotarpio mokestiniai nuostoliai perduodami </w:t>
      </w:r>
      <w:r w:rsidRPr="00966F3B">
        <w:rPr>
          <w:color w:val="000000"/>
          <w:shd w:val="clear" w:color="auto" w:fill="FFFFFF"/>
          <w:lang w:val="lt-LT"/>
        </w:rPr>
        <w:t xml:space="preserve">tarp šiai vienetų grupei priklausančių vienetų; </w:t>
      </w:r>
    </w:p>
    <w:p w14:paraId="6A043386" w14:textId="77777777" w:rsidR="007B24A1" w:rsidRPr="00D03619" w:rsidRDefault="007B24A1" w:rsidP="007B24A1">
      <w:pPr>
        <w:spacing w:after="0" w:line="240" w:lineRule="auto"/>
        <w:ind w:firstLine="720"/>
        <w:jc w:val="both"/>
        <w:rPr>
          <w:color w:val="000000"/>
          <w:shd w:val="clear" w:color="auto" w:fill="FFFFFF"/>
          <w:lang w:val="lt-LT"/>
        </w:rPr>
      </w:pPr>
      <w:r w:rsidRPr="00CE276E">
        <w:rPr>
          <w:color w:val="000000"/>
          <w:shd w:val="clear" w:color="auto" w:fill="FFFFFF"/>
          <w:lang w:val="lt-LT"/>
        </w:rPr>
        <w:t xml:space="preserve">3) mokestiniai nuostoliai perduodami </w:t>
      </w:r>
      <w:r w:rsidRPr="00D03619">
        <w:rPr>
          <w:color w:val="000000"/>
          <w:shd w:val="clear" w:color="auto" w:fill="FFFFFF"/>
          <w:lang w:val="lt-LT"/>
        </w:rPr>
        <w:t xml:space="preserve">tarp vienetų grupės vienetų, kurie toje grupėje be pertraukų yra ne trumpiau kaip dvejus metus skaičiuojant iki </w:t>
      </w:r>
      <w:r w:rsidRPr="007F66D0">
        <w:rPr>
          <w:color w:val="000000"/>
          <w:shd w:val="clear" w:color="auto" w:fill="FFFFFF"/>
          <w:lang w:val="lt-LT"/>
        </w:rPr>
        <w:t>mokestinio laikotarpio, už kurį apskaičiuoti mokestiniai nuostoliai perduodami, paskutinės d</w:t>
      </w:r>
      <w:r w:rsidRPr="00D03619">
        <w:rPr>
          <w:color w:val="000000"/>
          <w:shd w:val="clear" w:color="auto" w:fill="FFFFFF"/>
          <w:lang w:val="lt-LT"/>
        </w:rPr>
        <w:t>ienos, arba mokestinius nuostolius perduoda ar perima vienetų grupės vienetas (vienetai), kuris (kurie) toje grupėje yra nuo jo (jų) įregistravimo dienos ir bus vienetų grupėje be pertraukų ne trumpiau kaip dvejus metus skaičiuojant nuo jo (jų) įregistravimo dienos.</w:t>
      </w:r>
    </w:p>
    <w:p w14:paraId="3E398C39" w14:textId="77777777" w:rsidR="007B24A1" w:rsidRPr="00CE276E" w:rsidRDefault="007B24A1" w:rsidP="007B24A1">
      <w:pPr>
        <w:spacing w:after="0" w:line="240" w:lineRule="auto"/>
        <w:ind w:firstLine="851"/>
        <w:jc w:val="both"/>
        <w:rPr>
          <w:color w:val="000000"/>
          <w:shd w:val="clear" w:color="auto" w:fill="FFFFFF"/>
          <w:lang w:val="lt-LT"/>
        </w:rPr>
      </w:pPr>
      <w:r w:rsidRPr="00D03619">
        <w:rPr>
          <w:color w:val="000000"/>
          <w:shd w:val="clear" w:color="auto" w:fill="FFFFFF"/>
          <w:lang w:val="lt-LT"/>
        </w:rPr>
        <w:t xml:space="preserve"> </w:t>
      </w:r>
      <w:r w:rsidRPr="00CE276E">
        <w:rPr>
          <w:color w:val="000000"/>
          <w:shd w:val="clear" w:color="auto" w:fill="FFFFFF"/>
          <w:lang w:val="lt-LT"/>
        </w:rPr>
        <w:t xml:space="preserve">Reikalavimas dėl nepertraukiamo buvimo toje pačioje vienetų grupėje suprantamas ir aiškinamas atsižvelgiant į PMĮ 2 straipsnio 7 dalyje pateiktą vienetų grupės sąvoką ir jai keliamus reikalavimus, t. y. kad grupės patronuojantysis vienetas tiesiogiai arba netiesiogiai valdytų daugiau kaip 25 procentus grupę sudarančių vieno ar kelių patronuojamųjų (dukterinių) vienetų akcijų </w:t>
      </w:r>
      <w:r w:rsidRPr="00CE276E">
        <w:rPr>
          <w:bCs/>
          <w:lang w:val="lt-LT"/>
        </w:rPr>
        <w:t>(dalių, pajų) ar kitų teisių į paskirstytinojo pelno dalį</w:t>
      </w:r>
      <w:r w:rsidRPr="00CE276E">
        <w:rPr>
          <w:color w:val="000000"/>
          <w:shd w:val="clear" w:color="auto" w:fill="FFFFFF"/>
          <w:lang w:val="lt-LT"/>
        </w:rPr>
        <w:t xml:space="preserve">; </w:t>
      </w:r>
    </w:p>
    <w:p w14:paraId="40C539CE" w14:textId="27F7A09D" w:rsidR="007B24A1" w:rsidRDefault="007B24A1" w:rsidP="007B24A1">
      <w:pPr>
        <w:spacing w:after="0" w:line="240" w:lineRule="auto"/>
        <w:ind w:firstLine="720"/>
        <w:jc w:val="both"/>
        <w:rPr>
          <w:color w:val="000000"/>
          <w:shd w:val="clear" w:color="auto" w:fill="FFFFFF"/>
          <w:lang w:val="lt-LT"/>
        </w:rPr>
      </w:pPr>
      <w:r w:rsidRPr="00D03619">
        <w:rPr>
          <w:strike/>
          <w:color w:val="000000"/>
          <w:shd w:val="clear" w:color="auto" w:fill="FFFFFF"/>
          <w:lang w:val="lt-LT"/>
        </w:rPr>
        <w:t>4</w:t>
      </w:r>
      <w:r w:rsidRPr="00D03619">
        <w:rPr>
          <w:color w:val="000000"/>
          <w:shd w:val="clear" w:color="auto" w:fill="FFFFFF"/>
          <w:lang w:val="lt-LT"/>
        </w:rPr>
        <w:t>) mokestiniai nuostoliai perduodami tam vienetui, kuris turi teisę jam perduotais nuostoliais sumažinti apmokestinamojo pelno sumą, apskaičiuotą už tą mokestinį laikotarpį, už kurį buvo apskaičiuoti jam kito vieneto perduodami nuostoliai (ar jų dalis).</w:t>
      </w:r>
    </w:p>
    <w:p w14:paraId="61D96825" w14:textId="2AC57EE0" w:rsidR="008671EF" w:rsidRPr="00D03619" w:rsidRDefault="008671EF" w:rsidP="007B24A1">
      <w:pPr>
        <w:spacing w:after="0" w:line="240" w:lineRule="auto"/>
        <w:ind w:firstLine="720"/>
        <w:jc w:val="both"/>
        <w:rPr>
          <w:color w:val="000000"/>
          <w:shd w:val="clear" w:color="auto" w:fill="FFFFFF"/>
          <w:lang w:val="lt-LT"/>
        </w:rPr>
      </w:pPr>
      <w:r w:rsidRPr="008671EF">
        <w:rPr>
          <w:color w:val="000000"/>
          <w:shd w:val="clear" w:color="auto" w:fill="FFFFFF"/>
          <w:lang w:val="lt-LT"/>
        </w:rPr>
        <w:t>(Pakeista pagal VMI prie FM 2026-03-25 raštą Nr. (18.32-31-1 E) RM-9626)</w:t>
      </w:r>
    </w:p>
    <w:p w14:paraId="6947582B" w14:textId="77777777" w:rsidR="007B24A1" w:rsidRPr="00D03619" w:rsidRDefault="007B24A1" w:rsidP="007B24A1">
      <w:pPr>
        <w:spacing w:after="0" w:line="240" w:lineRule="auto"/>
        <w:ind w:firstLine="720"/>
        <w:jc w:val="both"/>
        <w:rPr>
          <w:color w:val="000000"/>
          <w:shd w:val="clear" w:color="auto" w:fill="FFFFFF"/>
          <w:lang w:val="lt-LT"/>
        </w:rPr>
      </w:pPr>
    </w:p>
    <w:p w14:paraId="710E5CA2" w14:textId="77777777" w:rsidR="007B24A1" w:rsidRPr="00D03619" w:rsidRDefault="007B24A1" w:rsidP="007B24A1">
      <w:pPr>
        <w:spacing w:after="0" w:line="240" w:lineRule="auto"/>
        <w:ind w:firstLine="720"/>
        <w:jc w:val="both"/>
        <w:rPr>
          <w:bCs/>
          <w:lang w:val="lt-LT"/>
        </w:rPr>
      </w:pPr>
      <w:r w:rsidRPr="00D03619">
        <w:rPr>
          <w:bCs/>
          <w:lang w:val="lt-LT"/>
        </w:rPr>
        <w:t xml:space="preserve">3. Nuostolių perdavimo </w:t>
      </w:r>
      <w:r w:rsidRPr="00D03619">
        <w:rPr>
          <w:lang w:val="lt-LT"/>
        </w:rPr>
        <w:t>diena, laikoma ta diena, kurią nuostolių perdavime dalyvaujantys vienetai nurodo tų nuostolių perdavimą įforminančiuose dokumentuose.</w:t>
      </w:r>
      <w:r w:rsidRPr="00D03619">
        <w:rPr>
          <w:bCs/>
          <w:lang w:val="lt-LT"/>
        </w:rPr>
        <w:t xml:space="preserve"> Mokestinių nuostolių </w:t>
      </w:r>
      <w:r w:rsidRPr="00D03619">
        <w:rPr>
          <w:bCs/>
          <w:lang w:val="lt-LT"/>
        </w:rPr>
        <w:lastRenderedPageBreak/>
        <w:t>perdavimas turi būti įforminamas sutartimi, perdavimo - priėmimo aktu ar kitais juridinę galią turinčiais laisvos formos dokumentais.</w:t>
      </w:r>
    </w:p>
    <w:p w14:paraId="4F04AC16" w14:textId="77777777" w:rsidR="007B24A1" w:rsidRPr="00D03619" w:rsidRDefault="007B24A1" w:rsidP="007B24A1">
      <w:pPr>
        <w:ind w:left="360"/>
        <w:jc w:val="both"/>
        <w:rPr>
          <w:bCs/>
          <w:lang w:val="lt-LT"/>
        </w:rPr>
      </w:pPr>
    </w:p>
    <w:p w14:paraId="014A9DF0" w14:textId="77777777" w:rsidR="007B24A1" w:rsidRPr="00FD14B3" w:rsidRDefault="007B24A1" w:rsidP="007B24A1">
      <w:pPr>
        <w:ind w:left="360"/>
        <w:jc w:val="both"/>
        <w:rPr>
          <w:bCs/>
          <w:lang w:val="lt-LT"/>
        </w:rPr>
      </w:pPr>
      <w:r w:rsidRPr="00FD14B3">
        <w:rPr>
          <w:bCs/>
          <w:lang w:val="lt-LT"/>
        </w:rPr>
        <w:t xml:space="preserve">Pavyzdžiai </w:t>
      </w:r>
    </w:p>
    <w:p w14:paraId="2699C0C7"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1. Lietuvos vienetas - AB „A“ 2024 m. gruodžio 29 įsigijo 30 proc. kito Lietuvos vieneto – UAB „B“ akcijų. 2026 m. birželio 1 d. AB „A“ įsigijo likusius 70 proc. UAB „B“ akcijų. 2026 m. gruodžio 31 d. AB „A“ valdo 100 proc. vieneto UAB „B“ akcijų.</w:t>
      </w:r>
    </w:p>
    <w:p w14:paraId="73855BCC"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2026 m. AB „A“  apskaičiavo ir deklaravo  mokestinius nuostolius, o UAB „B“  apskaičiavo ir deklaravo apmokestinamąjį pelną, nuo kurio sumokėjo pelno mokestį.</w:t>
      </w:r>
    </w:p>
    <w:p w14:paraId="5E1F8DB7"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2027 m. kovo 1 d. AB „A“ su UAB „B“ pasirašė 2026 m. mokestinių metų mokestinių nuostolių perdavimo sutartį. AB „A“ nuostolių perdavimo dieną vis dar valdo 100 proc. AB „B“ akcijų.</w:t>
      </w:r>
    </w:p>
    <w:p w14:paraId="7B8C9D96"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 xml:space="preserve">Taikant PMĮ 56-1 str. 1 dalies nuostatas, AB „A“ 2026 metų nuostoliai gali būti perduoti UAB „B“, nes šios įmonės ne trumpiau kaip du metus be pertraukų, skaičiuojant iki </w:t>
      </w:r>
      <w:r w:rsidRPr="00FD14B3">
        <w:rPr>
          <w:color w:val="000000"/>
          <w:shd w:val="clear" w:color="auto" w:fill="FFFFFF"/>
          <w:lang w:val="lt-LT"/>
        </w:rPr>
        <w:t>mokestinio laikotarpio (2026 m.), už kurį apskaičiuoti mokestiniai nuostoliai perduodami paskutinės</w:t>
      </w:r>
      <w:r w:rsidRPr="00FD14B3">
        <w:rPr>
          <w:bCs/>
          <w:lang w:val="lt-LT"/>
        </w:rPr>
        <w:t xml:space="preserve"> dienos, priklauso vienetų grupei, o </w:t>
      </w:r>
      <w:r w:rsidRPr="00FD14B3">
        <w:rPr>
          <w:bCs/>
          <w:color w:val="000000" w:themeColor="text1"/>
          <w:lang w:val="lt-LT"/>
        </w:rPr>
        <w:t>mokestinio laikotarpio, už kurį apskaičiuoti mokestiniai nuostoliai perduodami, paskutinę dieną ir</w:t>
      </w:r>
      <w:r w:rsidRPr="00FD14B3">
        <w:rPr>
          <w:color w:val="000000" w:themeColor="text1"/>
          <w:lang w:val="lt-LT"/>
        </w:rPr>
        <w:t xml:space="preserve"> </w:t>
      </w:r>
      <w:r w:rsidRPr="00FD14B3">
        <w:rPr>
          <w:bCs/>
          <w:lang w:val="lt-LT"/>
        </w:rPr>
        <w:t xml:space="preserve">nuostolių perdavimo dieną patronuojanti AB „A“ tiesiogiai valdo ne mažiau kaip 66,67 proc. nuostolių perdavime dalyvaujančio dukterinio vieneto UAB „B“ akcijų. </w:t>
      </w:r>
    </w:p>
    <w:p w14:paraId="5C868A36"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UAB „B“ gali 2026 m. mokestinių metų apmokestinamąjį pelną sumažinti perimtų iš AB „A“ mokestinių nuostolių suma, jeigu bus tenkinami kiti PMĮ 56-1 straipsnio reikalavimai.</w:t>
      </w:r>
    </w:p>
    <w:p w14:paraId="30712A3C"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 Lietuvos vienetas A 2024 m. sausio mėnesį įsigijo 30 proc. Lietuvos vieneto B akcijų (vienetas B tampa grupės nariu, nes yra valdomas &gt; 25 proc.). 2026 m. gruodžio 31 d. vienetas A vis dar valdo tą patį 30 proc. vieneto B akcijų paketą.</w:t>
      </w:r>
    </w:p>
    <w:p w14:paraId="006E19DD"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2027 m. sausio mėnesį vienetas A įsigyja papildomai 40 proc. vieneto B akcijų ir dabar valdo 70 proc. vieneto B akcijų. 2027 m. birželio 10 d. vienetas A nusprendžia perimti vieneto B 2026 metų mokestinius nuostolius. Vienetas A nuostolių perdavimo dieną valdo 70 proc. vieneto B akcijų.</w:t>
      </w:r>
    </w:p>
    <w:p w14:paraId="1AE2F380"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ind w:firstLine="851"/>
        <w:jc w:val="both"/>
        <w:rPr>
          <w:bCs/>
          <w:lang w:val="lt-LT"/>
        </w:rPr>
      </w:pPr>
      <w:r w:rsidRPr="00FD14B3">
        <w:rPr>
          <w:bCs/>
          <w:lang w:val="lt-LT"/>
        </w:rPr>
        <w:t>Nors perdavimo dieną (2027-06-10) vienetas A jau valdo 70 proc. vieneto B akcijų, tačiau 2026-12-31 dieną jis valdė tik 30 proc. Kadangi paskutinę 2026 m. mokestinio laikotarpio dieną nebuvo pasiekta reikalaujama 2/3 akcijų valdymo riba, vienetas A negali perimti iš kito grupės vieneto B jo 2026 metų mokestinių nuostolių.</w:t>
      </w:r>
    </w:p>
    <w:p w14:paraId="0FA44288" w14:textId="77777777" w:rsidR="007B24A1" w:rsidRPr="00FD14B3" w:rsidRDefault="007B24A1" w:rsidP="007B24A1">
      <w:pPr>
        <w:pBdr>
          <w:top w:val="single" w:sz="4" w:space="1" w:color="auto"/>
          <w:left w:val="single" w:sz="4" w:space="1" w:color="auto"/>
          <w:bottom w:val="single" w:sz="4" w:space="1" w:color="auto"/>
          <w:right w:val="single" w:sz="4" w:space="4" w:color="auto"/>
        </w:pBdr>
        <w:spacing w:after="0" w:line="240" w:lineRule="auto"/>
        <w:jc w:val="both"/>
        <w:rPr>
          <w:bCs/>
          <w:lang w:val="lt-LT"/>
        </w:rPr>
      </w:pPr>
    </w:p>
    <w:p w14:paraId="75A11770" w14:textId="400D0924"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2B990FE5" w14:textId="77777777" w:rsidR="007B24A1" w:rsidRDefault="007B24A1" w:rsidP="007B24A1">
      <w:pPr>
        <w:ind w:firstLine="720"/>
        <w:jc w:val="both"/>
        <w:rPr>
          <w:bCs/>
          <w:lang w:val="lt-LT"/>
        </w:rPr>
      </w:pPr>
    </w:p>
    <w:p w14:paraId="2A039407" w14:textId="77777777" w:rsidR="007B24A1" w:rsidRPr="00722B23" w:rsidRDefault="007B24A1" w:rsidP="007B24A1">
      <w:pPr>
        <w:ind w:firstLine="720"/>
        <w:jc w:val="both"/>
        <w:rPr>
          <w:bCs/>
          <w:lang w:val="lt-LT"/>
        </w:rPr>
      </w:pPr>
      <w:r w:rsidRPr="00D03619">
        <w:rPr>
          <w:bCs/>
          <w:lang w:val="lt-LT"/>
        </w:rPr>
        <w:t xml:space="preserve">4. Nuostoliai gali būti perduodami pelningiems vienetų grupės vienetams tiek pagal vertikalią, tiek pagal horizontalią vienetų grupės struktūrą, t.y., nesvarbu, ar nuostoliai perduodami tiesiogiai, ar netiesiogiai valdomo dukterinio </w:t>
      </w:r>
      <w:r w:rsidRPr="00722B23">
        <w:rPr>
          <w:bCs/>
          <w:lang w:val="lt-LT"/>
        </w:rPr>
        <w:t xml:space="preserve">vieneto patronuojančiam vienetui ar atvirkščiai, ar nuostoliai perduodami tarp dukterinių vienetų neturinčių tiesioginio ar netiesioginio pavaldumo, jei </w:t>
      </w:r>
      <w:r w:rsidRPr="00722B23">
        <w:rPr>
          <w:bCs/>
          <w:iCs/>
          <w:lang w:val="lt-LT"/>
        </w:rPr>
        <w:t>v</w:t>
      </w:r>
      <w:r w:rsidRPr="00722B23">
        <w:rPr>
          <w:bCs/>
          <w:lang w:val="lt-LT"/>
        </w:rPr>
        <w:t xml:space="preserve">ienetų grupėje patronuojantis vienetas </w:t>
      </w:r>
      <w:r w:rsidRPr="007D32F4">
        <w:rPr>
          <w:bCs/>
          <w:color w:val="000000" w:themeColor="text1"/>
          <w:lang w:val="lt-LT"/>
        </w:rPr>
        <w:t>mokestinio laikotarpio, už kurį apskaičiuoti mokestiniai nuostoliai perduodami, paskutinę dieną, ir</w:t>
      </w:r>
      <w:r w:rsidRPr="00722B23">
        <w:rPr>
          <w:b/>
          <w:color w:val="000000" w:themeColor="text1"/>
          <w:lang w:val="lt-LT"/>
        </w:rPr>
        <w:t xml:space="preserve"> </w:t>
      </w:r>
      <w:r w:rsidRPr="00722B23">
        <w:rPr>
          <w:bCs/>
          <w:lang w:val="lt-LT"/>
        </w:rPr>
        <w:t>mokestinių nuostolių perdavimo dieną tiesiogiai arba netiesiogiai valdo ne mažiau kaip 2/3 (arba ne mažiau kaip 66,67 proc.) kiekvieno mokestinių nuostolių perdavime dalyvaujančio dukterinio vieneto</w:t>
      </w:r>
      <w:r w:rsidRPr="00722B23">
        <w:rPr>
          <w:lang w:val="lt-LT"/>
        </w:rPr>
        <w:t xml:space="preserve"> </w:t>
      </w:r>
      <w:r w:rsidRPr="00722B23">
        <w:rPr>
          <w:bCs/>
          <w:lang w:val="lt-LT"/>
        </w:rPr>
        <w:t xml:space="preserve">akcijų (dalių, pajų) ar kitų teisių į paskirstytinojo pelno dalį. </w:t>
      </w:r>
    </w:p>
    <w:p w14:paraId="6652ABD7" w14:textId="77777777" w:rsidR="007B24A1" w:rsidRPr="00D03619" w:rsidRDefault="007B24A1" w:rsidP="007B24A1">
      <w:pPr>
        <w:pStyle w:val="HTMLiankstoformatuotas"/>
        <w:tabs>
          <w:tab w:val="left" w:pos="720"/>
          <w:tab w:val="left" w:pos="1077"/>
          <w:tab w:val="left" w:pos="1418"/>
        </w:tabs>
        <w:jc w:val="both"/>
        <w:rPr>
          <w:rFonts w:ascii="Times New Roman" w:hAnsi="Times New Roman" w:cs="Times New Roman"/>
          <w:b/>
          <w:bCs/>
          <w:iCs/>
          <w:sz w:val="24"/>
          <w:szCs w:val="24"/>
          <w:lang w:val="lt-LT"/>
        </w:rPr>
      </w:pPr>
      <w:r w:rsidRPr="00722B23">
        <w:rPr>
          <w:rFonts w:ascii="Times New Roman" w:hAnsi="Times New Roman" w:cs="Times New Roman"/>
          <w:bCs/>
          <w:sz w:val="24"/>
          <w:szCs w:val="24"/>
          <w:lang w:val="lt-LT"/>
        </w:rPr>
        <w:tab/>
      </w:r>
      <w:r w:rsidRPr="00722B23">
        <w:rPr>
          <w:rFonts w:ascii="Times New Roman" w:hAnsi="Times New Roman" w:cs="Times New Roman"/>
          <w:b/>
          <w:bCs/>
          <w:iCs/>
          <w:sz w:val="24"/>
          <w:szCs w:val="24"/>
          <w:lang w:val="lt-LT"/>
        </w:rPr>
        <w:t>1 pavyzdys</w:t>
      </w:r>
    </w:p>
    <w:p w14:paraId="0C9750C1"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r w:rsidRPr="00D03619">
        <w:rPr>
          <w:lang w:val="lt-LT"/>
        </w:rPr>
        <w:t xml:space="preserve">Lietuvos vienetas - AB „A“ tiesiogiai valdo 80 proc. kito Lietuvos vieneto – UAB „B“ akcijų. Kadangi UAB „B“ tiesiogiai valdo 90 proc. UAB „C“ akcijų, tai AB „A“ netiesiogiai valdo 72 proc. (90x80/100) UAB „C“ akcijų. Be to, AB „A“ tiesiogiai valdo 100 proc. UAB „D“ akcijų. </w:t>
      </w:r>
    </w:p>
    <w:p w14:paraId="2401BEA7"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p>
    <w:p w14:paraId="71FBCB88" w14:textId="77777777" w:rsidR="007B24A1" w:rsidRPr="00D03619" w:rsidRDefault="007B24A1" w:rsidP="007B24A1">
      <w:pPr>
        <w:pBdr>
          <w:top w:val="single" w:sz="4" w:space="1" w:color="auto"/>
          <w:left w:val="single" w:sz="4" w:space="0" w:color="auto"/>
          <w:bottom w:val="single" w:sz="4" w:space="1" w:color="auto"/>
          <w:right w:val="single" w:sz="4" w:space="1" w:color="auto"/>
        </w:pBdr>
        <w:tabs>
          <w:tab w:val="left" w:pos="0"/>
        </w:tabs>
        <w:ind w:firstLine="720"/>
        <w:jc w:val="both"/>
        <w:rPr>
          <w:lang w:val="lt-LT"/>
        </w:rPr>
      </w:pPr>
      <w:r w:rsidRPr="00D03619">
        <w:rPr>
          <w:noProof/>
          <w:lang w:val="lt-LT" w:eastAsia="lt-LT"/>
        </w:rPr>
        <mc:AlternateContent>
          <mc:Choice Requires="wps">
            <w:drawing>
              <wp:anchor distT="0" distB="0" distL="114300" distR="114300" simplePos="0" relativeHeight="251837440" behindDoc="0" locked="0" layoutInCell="1" allowOverlap="1" wp14:anchorId="692DD0D1" wp14:editId="1DB0E19B">
                <wp:simplePos x="0" y="0"/>
                <wp:positionH relativeFrom="column">
                  <wp:posOffset>1828800</wp:posOffset>
                </wp:positionH>
                <wp:positionV relativeFrom="paragraph">
                  <wp:posOffset>135890</wp:posOffset>
                </wp:positionV>
                <wp:extent cx="1257300" cy="358140"/>
                <wp:effectExtent l="5080" t="12700" r="13970" b="10160"/>
                <wp:wrapNone/>
                <wp:docPr id="22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8140"/>
                        </a:xfrm>
                        <a:prstGeom prst="rect">
                          <a:avLst/>
                        </a:prstGeom>
                        <a:solidFill>
                          <a:srgbClr val="CCFFFF"/>
                        </a:solidFill>
                        <a:ln w="9525">
                          <a:solidFill>
                            <a:srgbClr val="000000"/>
                          </a:solidFill>
                          <a:miter lim="800000"/>
                        </a:ln>
                      </wps:spPr>
                      <wps:txbx>
                        <w:txbxContent>
                          <w:p w14:paraId="70C5ED26" w14:textId="77777777" w:rsidR="007B24A1" w:rsidRDefault="007B24A1" w:rsidP="007B24A1">
                            <w:pPr>
                              <w:jc w:val="center"/>
                              <w:rPr>
                                <w:sz w:val="22"/>
                                <w:szCs w:val="22"/>
                              </w:rPr>
                            </w:pPr>
                            <w:r>
                              <w:rPr>
                                <w:sz w:val="22"/>
                                <w:szCs w:val="22"/>
                              </w:rPr>
                              <w:t>AB „A“</w:t>
                            </w:r>
                          </w:p>
                        </w:txbxContent>
                      </wps:txbx>
                      <wps:bodyPr rot="0" vert="horz" wrap="square" lIns="91440" tIns="45720" rIns="91440" bIns="45720" anchor="t" anchorCtr="0" upright="1">
                        <a:noAutofit/>
                      </wps:bodyPr>
                    </wps:wsp>
                  </a:graphicData>
                </a:graphic>
              </wp:anchor>
            </w:drawing>
          </mc:Choice>
          <mc:Fallback>
            <w:pict>
              <v:shape w14:anchorId="692DD0D1" id="Text Box 212" o:spid="_x0000_s1205" type="#_x0000_t202" style="position:absolute;left:0;text-align:left;margin-left:2in;margin-top:10.7pt;width:99pt;height:28.2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dPIwIAAEUEAAAOAAAAZHJzL2Uyb0RvYy54bWysU9tu2zAMfR+wfxD0vvjSpE2NOEWXIsOA&#10;rhvQ7gNkWbaFyaImKbGzrx8lJ1nQbS/D/CCIJnVInkOu7sZekb2wToIuaTZLKRGaQy11W9KvL9t3&#10;S0qcZ7pmCrQo6UE4erd++2Y1mELk0IGqhSUIol0xmJJ23psiSRzvRM/cDIzQ6GzA9syjaduktmxA&#10;9F4leZpeJwPY2ljgwjn8+zA56TriN43g/nPTOOGJKinW5uNp41mFM1mvWNFaZjrJj2Wwf6iiZ1Jj&#10;0jPUA/OM7Kz8DaqX3IKDxs849Ak0jeQi9oDdZOmrbp47ZkTsBclx5kyT+3+w/Gn/xRJZlzTPUSrN&#10;ehTpRYyevIeR5FkeGBqMKzDw2WCoH9GBSsdunXkE/s0RDZuO6VbcWwtDJ1iNFWbhZXLxdMJxAaQa&#10;PkGNidjOQwQaG9sH+pAQguio1OGsTiiGh5T54uYqRRdH39Vimc2jfAkrTq+Ndf6DgJ6ES0ktqh/R&#10;2f7R+VANK04hIZkDJeutVCoatq02ypI9w0nZbLb4xQZehSlNhpLeLvLFRMBfIdL4/Qmilx5HXsm+&#10;pMvLIKWPfAWKJrL8WI1RnCy7PglRQX1ACi1Ms4y7h5cO7A9KBpzjkrrvO2YFJeqjRhlusznyRHw0&#10;5oubHA176akuPUxzhCqpp2S6bvy0LDtjZdthpkl4DfcoXSMjq0HjqapjAzirkezjXoVluLRj1K/t&#10;X/8EAAD//wMAUEsDBBQABgAIAAAAIQCJBNIY3gAAAAkBAAAPAAAAZHJzL2Rvd25yZXYueG1sTI/N&#10;TsMwEITvSLyDtUjcqNNSUivEqSLEzw2JwoXbJnaTqPE62G4b3p7lBLfdndHsN+V2dqM42RAHTxqW&#10;iwyEpdabgToNH+9PNwpETEgGR09Ww7eNsK0uL0osjD/Tmz3tUic4hGKBGvqUpkLK2PbWYVz4yRJr&#10;ex8cJl5DJ03AM4e7Ua6yLJcOB+IPPU72obftYXd0Gm6HL3KvL59987jHu2cZ6jwcaq2vr+b6HkSy&#10;c/ozwy8+o0PFTI0/koli1LBSirskHpZrEGxYq5wPjYbNRoGsSvm/QfUDAAD//wMAUEsBAi0AFAAG&#10;AAgAAAAhALaDOJL+AAAA4QEAABMAAAAAAAAAAAAAAAAAAAAAAFtDb250ZW50X1R5cGVzXS54bWxQ&#10;SwECLQAUAAYACAAAACEAOP0h/9YAAACUAQAACwAAAAAAAAAAAAAAAAAvAQAAX3JlbHMvLnJlbHNQ&#10;SwECLQAUAAYACAAAACEA0GYnTyMCAABFBAAADgAAAAAAAAAAAAAAAAAuAgAAZHJzL2Uyb0RvYy54&#10;bWxQSwECLQAUAAYACAAAACEAiQTSGN4AAAAJAQAADwAAAAAAAAAAAAAAAAB9BAAAZHJzL2Rvd25y&#10;ZXYueG1sUEsFBgAAAAAEAAQA8wAAAIgFAAAAAA==&#10;" fillcolor="#cff">
                <v:textbox>
                  <w:txbxContent>
                    <w:p w14:paraId="70C5ED26" w14:textId="77777777" w:rsidR="007B24A1" w:rsidRDefault="007B24A1" w:rsidP="007B24A1">
                      <w:pPr>
                        <w:jc w:val="center"/>
                        <w:rPr>
                          <w:sz w:val="22"/>
                          <w:szCs w:val="22"/>
                        </w:rPr>
                      </w:pPr>
                      <w:r>
                        <w:rPr>
                          <w:sz w:val="22"/>
                          <w:szCs w:val="22"/>
                        </w:rPr>
                        <w:t>AB „A“</w:t>
                      </w:r>
                    </w:p>
                  </w:txbxContent>
                </v:textbox>
              </v:shape>
            </w:pict>
          </mc:Fallback>
        </mc:AlternateContent>
      </w:r>
      <w:r w:rsidRPr="00D03619">
        <w:rPr>
          <w:lang w:val="lt-LT"/>
        </w:rPr>
        <w:t>1 schema</w:t>
      </w:r>
    </w:p>
    <w:p w14:paraId="63BC0974"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w:lastRenderedPageBreak/>
        <mc:AlternateContent>
          <mc:Choice Requires="wps">
            <w:drawing>
              <wp:anchor distT="0" distB="0" distL="114300" distR="114300" simplePos="0" relativeHeight="251834368" behindDoc="0" locked="0" layoutInCell="1" allowOverlap="1" wp14:anchorId="25CBBE91" wp14:editId="145A908D">
                <wp:simplePos x="0" y="0"/>
                <wp:positionH relativeFrom="column">
                  <wp:posOffset>342900</wp:posOffset>
                </wp:positionH>
                <wp:positionV relativeFrom="paragraph">
                  <wp:posOffset>74930</wp:posOffset>
                </wp:positionV>
                <wp:extent cx="914400" cy="342900"/>
                <wp:effectExtent l="5080" t="12700" r="13970" b="6350"/>
                <wp:wrapNone/>
                <wp:docPr id="22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7427CB4E" w14:textId="77777777" w:rsidR="007B24A1" w:rsidRDefault="007B24A1" w:rsidP="007B24A1">
                            <w:pPr>
                              <w:rPr>
                                <w:sz w:val="22"/>
                                <w:szCs w:val="22"/>
                              </w:rPr>
                            </w:pPr>
                            <w:r>
                              <w:rPr>
                                <w:b/>
                                <w:bCs/>
                                <w:sz w:val="22"/>
                                <w:szCs w:val="22"/>
                              </w:rPr>
                              <w:t>UAB „B“</w:t>
                            </w:r>
                          </w:p>
                        </w:txbxContent>
                      </wps:txbx>
                      <wps:bodyPr rot="0" vert="horz" wrap="square" lIns="91440" tIns="45720" rIns="91440" bIns="45720" anchor="t" anchorCtr="0" upright="1">
                        <a:noAutofit/>
                      </wps:bodyPr>
                    </wps:wsp>
                  </a:graphicData>
                </a:graphic>
              </wp:anchor>
            </w:drawing>
          </mc:Choice>
          <mc:Fallback>
            <w:pict>
              <v:shape w14:anchorId="25CBBE91" id="_x0000_s1206" type="#_x0000_t202" style="position:absolute;left:0;text-align:left;margin-left:27pt;margin-top:5.9pt;width:1in;height:27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wxHQIAAEQEAAAOAAAAZHJzL2Uyb0RvYy54bWysU9tuGyEQfa/Uf0C813uJ3SQrr6PUkatK&#10;aVop6Qdglt1FBYYC9q779R1Yx3FvL1V5QMAMZ2bOmVnejFqRvXBegqlpMcspEYZDI01X0y9PmzdX&#10;lPjATMMUGFHTg/D0ZvX61XKwlSihB9UIRxDE+GqwNe1DsFWWed4LzfwMrDBobMFpFvDquqxxbEB0&#10;rbIyz99mA7jGOuDCe3y9m4x0lfDbVvDwqW29CETVFHMLaXdp38Y9Wy1Z1Tlme8mPabB/yEIzaTDo&#10;CeqOBUZ2Tv4GpSV34KENMw46g7aVXKQasJoi/6Wax55ZkWpBcrw90eT/Hyx/2H92RDY1LctLSgzT&#10;KNKTGAN5ByMpi4vI0GB9hY6PFl3DiAZUOlXr7T3wr54YWPfMdOLWORh6wRrMsIg/s7OvE46PINvh&#10;IzQYiO0CJKCxdTrSh4QQREelDid1YjIcH6+L+TxHC0fTxby8xnOMwKrnz9b58F6AJvFQU4fiJ3C2&#10;v/dhcn12ibE8KNlspFLp4rrtWjmyZ9gom7SO6D+5KUMGzGRRLqb6/wqRp/UnCC0DdrySuqZX507K&#10;HOmKDE1chXE7Jm2K4jJCRTK30ByQQQdTK+Po4aEH952SAdu4pv7bjjlBifpgUIVEGvZ9uswXlyUS&#10;6M4t23MLMxyhahoomY7rMM3KzjrZ9Rhp0t3ALSrXysTqS1bHArBVky7HsYqzcH5PXi/Dv/oBAAD/&#10;/wMAUEsDBBQABgAIAAAAIQAVzgtm3QAAAAgBAAAPAAAAZHJzL2Rvd25yZXYueG1sTI/BTsMwEETv&#10;SPyDtUhcEHUKbUhDnAohgeAGBcHVjbdJhL0OtpuGv2d7guPOjGbnVevJWTFiiL0nBfNZBgKp8aan&#10;VsH728NlASImTUZbT6jgByOs69OTSpfGH+gVx01qBZdQLLWCLqWhlDI2HTodZ35AYm/ng9OJz9BK&#10;E/SBy52VV1mWS6d74g+dHvC+w+Zrs3cKisXT+Bmfr18+mnxnV+niZnz8Dkqdn013tyASTukvDMf5&#10;PB1q3rT1ezJRWAXLBaMk1udMcPRXBQtbBfmyAFlX8j9A/QsAAP//AwBQSwECLQAUAAYACAAAACEA&#10;toM4kv4AAADhAQAAEwAAAAAAAAAAAAAAAAAAAAAAW0NvbnRlbnRfVHlwZXNdLnhtbFBLAQItABQA&#10;BgAIAAAAIQA4/SH/1gAAAJQBAAALAAAAAAAAAAAAAAAAAC8BAABfcmVscy8ucmVsc1BLAQItABQA&#10;BgAIAAAAIQDWguwxHQIAAEQEAAAOAAAAAAAAAAAAAAAAAC4CAABkcnMvZTJvRG9jLnhtbFBLAQIt&#10;ABQABgAIAAAAIQAVzgtm3QAAAAgBAAAPAAAAAAAAAAAAAAAAAHcEAABkcnMvZG93bnJldi54bWxQ&#10;SwUGAAAAAAQABADzAAAAgQUAAAAA&#10;">
                <v:textbox>
                  <w:txbxContent>
                    <w:p w14:paraId="7427CB4E" w14:textId="77777777" w:rsidR="007B24A1" w:rsidRDefault="007B24A1" w:rsidP="007B24A1">
                      <w:pPr>
                        <w:rPr>
                          <w:sz w:val="22"/>
                          <w:szCs w:val="22"/>
                        </w:rPr>
                      </w:pPr>
                      <w:r>
                        <w:rPr>
                          <w:b/>
                          <w:bCs/>
                          <w:sz w:val="22"/>
                          <w:szCs w:val="22"/>
                        </w:rPr>
                        <w:t>UAB „B“</w:t>
                      </w:r>
                    </w:p>
                  </w:txbxContent>
                </v:textbox>
              </v:shape>
            </w:pict>
          </mc:Fallback>
        </mc:AlternateContent>
      </w:r>
      <w:r w:rsidRPr="00D03619">
        <w:rPr>
          <w:b w:val="0"/>
          <w:bCs w:val="0"/>
          <w:iCs/>
        </w:rPr>
        <w:t xml:space="preserve">                          80 %</w:t>
      </w:r>
    </w:p>
    <w:p w14:paraId="3FC39A75"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80448" behindDoc="0" locked="0" layoutInCell="1" allowOverlap="1" wp14:anchorId="71683CD3" wp14:editId="46F24F0E">
                <wp:simplePos x="0" y="0"/>
                <wp:positionH relativeFrom="column">
                  <wp:posOffset>2400300</wp:posOffset>
                </wp:positionH>
                <wp:positionV relativeFrom="paragraph">
                  <wp:posOffset>107315</wp:posOffset>
                </wp:positionV>
                <wp:extent cx="0" cy="571500"/>
                <wp:effectExtent l="52705" t="12700" r="61595" b="15875"/>
                <wp:wrapNone/>
                <wp:docPr id="226"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tailEnd type="triangle" w="med" len="med"/>
                        </a:ln>
                      </wps:spPr>
                      <wps:bodyPr/>
                    </wps:wsp>
                  </a:graphicData>
                </a:graphic>
              </wp:anchor>
            </w:drawing>
          </mc:Choice>
          <mc:Fallback>
            <w:pict>
              <v:line w14:anchorId="6D1645FA" id="Line 214"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189pt,8.45pt" to="189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GX0gEAAIIDAAAOAAAAZHJzL2Uyb0RvYy54bWysU8FuGyEQvVfqPyDu9dqrOm1XXufgNL24&#10;raWkHzAGdhcVGATYu/77Dthx0uYWlQNimJk3b97A6nayhh1ViBpdyxezOWfKCZTa9S3/9Xj/4TNn&#10;MYGTYNCplp9U5Lfr9+9Wo29UjQMaqQIjEBeb0bd8SMk3VRXFoCzEGXrlyNlhsJDIDH0lA4yEbk1V&#10;z+c31YhB+oBCxUi3d2cnXxf8rlMi/ey6qBIzLSduqeyh7Pu8V+sVNH0AP2hxoQFvYGFBOyp6hbqD&#10;BOwQ9Csoq0XAiF2aCbQVdp0WqvRA3Szm/3TzMIBXpRcSJ/qrTPH/wYofx11gWra8rm84c2BpSFvt&#10;FKsXH7M6o48NBW3cLuT+xOQe/BbF78gcbgZwvSosH0+eEhc5o/orJRvRU439+B0lxcAhYZFq6oLN&#10;kCQCm8pETteJqCkxcb4UdLv8tFjOy7AqaJ7yfIjpm0LL8qHlhkgXXDhuY8o8oHkKyWUc3mtjyryN&#10;Y2PLvyzrZUmIaLTMzhwWQ7/fmMCOkF9MWaUp8rwMC3hwsoAl0OarkywVBVLQpIlRPFewSnJmFH2M&#10;fDpTMu6iUBblLO8e5WkXsjuLRYMu3C+PMr+kl3aJev466z8AAAD//wMAUEsDBBQABgAIAAAAIQBD&#10;bfQm3wAAAAoBAAAPAAAAZHJzL2Rvd25yZXYueG1sTI9BT8JAEIXvJv6HzZh4ky2aYC3dEmOCF1AD&#10;GAK3pTu2jd3ZZncL9d87xgMc572XN9/LZ4NtxRF9aBwpGI8SEEilMw1VCj4387sURIiajG4doYIf&#10;DDArrq9ynRl3ohUe17ESXEIh0wrqGLtMylDWaHUYuQ6JvS/nrY58+koar09cblt5nyQTaXVD/KHW&#10;Hb7UWH6ve6tgtZwv0u2iH0q/fx2/bz6Wb7uQKnV7MzxPQUQc4jkMf/iMDgUzHVxPJohWwcNjylsi&#10;G5MnEBz4Fw4sJKzIIpeXE4pfAAAA//8DAFBLAQItABQABgAIAAAAIQC2gziS/gAAAOEBAAATAAAA&#10;AAAAAAAAAAAAAAAAAABbQ29udGVudF9UeXBlc10ueG1sUEsBAi0AFAAGAAgAAAAhADj9If/WAAAA&#10;lAEAAAsAAAAAAAAAAAAAAAAALwEAAF9yZWxzLy5yZWxzUEsBAi0AFAAGAAgAAAAhAKKkoZfSAQAA&#10;ggMAAA4AAAAAAAAAAAAAAAAALgIAAGRycy9lMm9Eb2MueG1sUEsBAi0AFAAGAAgAAAAhAENt9Cbf&#10;AAAACgEAAA8AAAAAAAAAAAAAAAAALAQAAGRycy9kb3ducmV2LnhtbFBLBQYAAAAABAAEAPMAAAA4&#10;BQAAAAA=&#10;">
                <v:stroke endarrow="block"/>
              </v:line>
            </w:pict>
          </mc:Fallback>
        </mc:AlternateContent>
      </w:r>
      <w:r w:rsidRPr="00D03619">
        <w:rPr>
          <w:noProof/>
          <w:lang w:eastAsia="lt-LT"/>
        </w:rPr>
        <mc:AlternateContent>
          <mc:Choice Requires="wps">
            <w:drawing>
              <wp:anchor distT="0" distB="0" distL="114300" distR="114300" simplePos="0" relativeHeight="251856896" behindDoc="0" locked="0" layoutInCell="1" allowOverlap="1" wp14:anchorId="58CFB536" wp14:editId="3367AC63">
                <wp:simplePos x="0" y="0"/>
                <wp:positionH relativeFrom="column">
                  <wp:posOffset>1257300</wp:posOffset>
                </wp:positionH>
                <wp:positionV relativeFrom="paragraph">
                  <wp:posOffset>13970</wp:posOffset>
                </wp:positionV>
                <wp:extent cx="571500" cy="0"/>
                <wp:effectExtent l="14605" t="52705" r="13970" b="61595"/>
                <wp:wrapNone/>
                <wp:docPr id="225"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3175">
                          <a:solidFill>
                            <a:srgbClr val="000000"/>
                          </a:solidFill>
                          <a:round/>
                          <a:tailEnd type="triangle" w="med" len="med"/>
                        </a:ln>
                      </wps:spPr>
                      <wps:bodyPr/>
                    </wps:wsp>
                  </a:graphicData>
                </a:graphic>
              </wp:anchor>
            </w:drawing>
          </mc:Choice>
          <mc:Fallback>
            <w:pict>
              <v:line w14:anchorId="0CEC6603" id="Line 215" o:spid="_x0000_s1026" style="position:absolute;flip:x;z-index:251856896;visibility:visible;mso-wrap-style:square;mso-wrap-distance-left:9pt;mso-wrap-distance-top:0;mso-wrap-distance-right:9pt;mso-wrap-distance-bottom:0;mso-position-horizontal:absolute;mso-position-horizontal-relative:text;mso-position-vertical:absolute;mso-position-vertical-relative:text" from="99pt,1.1pt" to="2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Cy1wEAAIwDAAAOAAAAZHJzL2Uyb0RvYy54bWysU8FuGyEQvVfqPyDu9Xq32qZaeZ2D07QH&#10;t7WU9AMwsF5UYBBgr/33ncGOk7a3KBwQMG8eb97A4vboLDvomAz4ntezOWfaS1DG73r+6/H+w2fO&#10;UhZeCQte9/ykE79dvn+3mEKnGxjBKh0ZkvjUTaHnY86hq6okR+1EmkHQHoMDRCcybuOuUlFMyO5s&#10;1cznn6oJogoRpE4JT+/OQb4s/MOgZf45DElnZnuO2nKZY5m3NFfLheh2UYTRyIsM8QoVThiPl16p&#10;7kQWbB/Nf1TOyAgJhjyT4CoYBiN1qQGrqef/VPMwiqBLLWhOCleb0tvRyh+HTWRG9bxpWs68cNik&#10;tfGaNXVL7kwhdQha+U2k+uTRP4Q1yN+JeViNwu90Ufl4CphYU0b1VwptUsA7ttN3UIgR+wzFquMQ&#10;HRusCd8okcjRDnYsvTlde6OPmUk8bG/qdo4dlE+hSnTEQHkhpvxVg2O06LlF+YVPHNYpk6JnCME9&#10;3BtrS+etZ1PPP9Y3bUlIYI2iIMFS3G1XNrKDoLdTRikPIy9hEfZeFbIsjP3iFcvFixwNumM1pxuc&#10;VpxZjV+EVmdJ1l+8InvORm9BnTaRwmQbtrxovzxPelMv9wX1/ImWfwAAAP//AwBQSwMEFAAGAAgA&#10;AAAhAI7FXGHYAAAABwEAAA8AAABkcnMvZG93bnJldi54bWxMj0FLw0AQhe+C/2EZwZvduILEmE0R&#10;sXpTrIp422bHJJidCdltmv57p17q8eMN731TLufQqwnH2DFZuFxkoJBq9h01Ft7fVhc5qJgcedcz&#10;oYU9RlhWpyelKzzv6BWndWqUlFAsnIU2paHQOtYtBhcXPCBJ9s1jcElwbLQf3U7KQ69Nll3r4DqS&#10;hdYNeN9i/bPeBgvTFc4f+oXNIz+smj0bfPr6fLb2/Gy+uwWVcE7HYzjoizpU4rThLfmoeuGbXH5J&#10;FowBJbnJD7z5Y12V+r9/9QsAAP//AwBQSwECLQAUAAYACAAAACEAtoM4kv4AAADhAQAAEwAAAAAA&#10;AAAAAAAAAAAAAAAAW0NvbnRlbnRfVHlwZXNdLnhtbFBLAQItABQABgAIAAAAIQA4/SH/1gAAAJQB&#10;AAALAAAAAAAAAAAAAAAAAC8BAABfcmVscy8ucmVsc1BLAQItABQABgAIAAAAIQBkaDCy1wEAAIwD&#10;AAAOAAAAAAAAAAAAAAAAAC4CAABkcnMvZTJvRG9jLnhtbFBLAQItABQABgAIAAAAIQCOxVxh2AAA&#10;AAcBAAAPAAAAAAAAAAAAAAAAADEEAABkcnMvZG93bnJldi54bWxQSwUGAAAAAAQABADzAAAANgUA&#10;AAAA&#10;" strokeweight=".25pt">
                <v:stroke endarrow="block"/>
              </v:line>
            </w:pict>
          </mc:Fallback>
        </mc:AlternateContent>
      </w:r>
    </w:p>
    <w:p w14:paraId="4E0942E2"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9424" behindDoc="0" locked="0" layoutInCell="1" allowOverlap="1" wp14:anchorId="2B4D2EA7" wp14:editId="4B038A98">
                <wp:simplePos x="0" y="0"/>
                <wp:positionH relativeFrom="column">
                  <wp:posOffset>1028700</wp:posOffset>
                </wp:positionH>
                <wp:positionV relativeFrom="paragraph">
                  <wp:posOffset>65405</wp:posOffset>
                </wp:positionV>
                <wp:extent cx="0" cy="457200"/>
                <wp:effectExtent l="52705" t="5080" r="61595" b="23495"/>
                <wp:wrapNone/>
                <wp:docPr id="224"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tailEnd type="triangle" w="med" len="med"/>
                        </a:ln>
                      </wps:spPr>
                      <wps:bodyPr/>
                    </wps:wsp>
                  </a:graphicData>
                </a:graphic>
              </wp:anchor>
            </w:drawing>
          </mc:Choice>
          <mc:Fallback>
            <w:pict>
              <v:line w14:anchorId="757D44CF" id="Line 216"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81pt,5.15pt" to="8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AT0AEAAIIDAAAOAAAAZHJzL2Uyb0RvYy54bWysU8FuGyEQvVfqPyDu9dqrOG1XXufgNL24&#10;raWkH4CB3UUFBg3Yu/77Dthxm/YWhQNimJk3b97A6m5ylh01RgO+5YvZnDPtJSjj+5b/fHr48Imz&#10;mIRXwoLXLT/pyO/W79+txtDoGgawSiMjEB+bMbR8SCk0VRXloJ2IMwjak7MDdCKRiX2lUIyE7mxV&#10;z+e31QioAoLUMdLt/dnJ1wW/67RMP7ou6sRsy4lbKjuWfZ/3ar0STY8iDEZeaIhXsHDCeCp6hboX&#10;SbADmv+gnJEIEbo0k+Aq6DojdemBulnM/+nmcRBBl15InBiuMsW3g5XfjztkRrW8rm8488LRkLbG&#10;a1YvbrM6Y4gNBW38DnN/cvKPYQvyV2QeNoPwvS4sn06BEhc5o3qRko0YqMZ+/AaKYsQhQZFq6tBl&#10;SBKBTWUip+tE9JSYPF9Kur1ZfqRhF3DRPOcFjOmrBsfyoeWWSBdccdzGlHmI5jkkl/HwYKwt87ae&#10;jS3/vKyXJSGCNSo7c1jEfr+xyI4iv5iyLnVfhCEcvCpgSRj7xSuWigIJDWliNc8VnFacWU0fI5/O&#10;lKy/KJRFOcu7B3XaYXZnsWjQhfvlUeaX9Lddov58nfVvAAAA//8DAFBLAwQUAAYACAAAACEAkJT3&#10;ft8AAAAJAQAADwAAAGRycy9kb3ducmV2LnhtbEyPQUvDQBCF74L/YRnBm900hRJiNkWEemlV2oq0&#10;t212TILZ2bC7aeO/d+ql3ubNPN58r1iMthMn9KF1pGA6SUAgVc60VCv42C0fMhAhajK6c4QKfjDA&#10;ory9KXRu3Jk2eNrGWnAIhVwraGLscylD1aDVYeJ6JL59OW91ZOlrabw+c7jtZJokc2l1S/yh0T0+&#10;N1h9bwerYLNerrLP1TBW/vAyfdu9r1/3IVPq/m58egQRcYxXM1zwGR1KZjq6gUwQHet5yl0iD8kM&#10;xMXwtzgqyNIZyLKQ/xuUvwAAAP//AwBQSwECLQAUAAYACAAAACEAtoM4kv4AAADhAQAAEwAAAAAA&#10;AAAAAAAAAAAAAAAAW0NvbnRlbnRfVHlwZXNdLnhtbFBLAQItABQABgAIAAAAIQA4/SH/1gAAAJQB&#10;AAALAAAAAAAAAAAAAAAAAC8BAABfcmVscy8ucmVsc1BLAQItABQABgAIAAAAIQBqxPAT0AEAAIID&#10;AAAOAAAAAAAAAAAAAAAAAC4CAABkcnMvZTJvRG9jLnhtbFBLAQItABQABgAIAAAAIQCQlPd+3wAA&#10;AAkBAAAPAAAAAAAAAAAAAAAAACoEAABkcnMvZG93bnJldi54bWxQSwUGAAAAAAQABADzAAAANgUA&#10;AAAA&#10;">
                <v:stroke endarrow="block"/>
              </v:line>
            </w:pict>
          </mc:Fallback>
        </mc:AlternateContent>
      </w:r>
    </w:p>
    <w:p w14:paraId="5457C3C6"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b w:val="0"/>
          <w:bCs w:val="0"/>
          <w:iCs/>
        </w:rPr>
        <w:t>90 %                                             100 %</w:t>
      </w:r>
    </w:p>
    <w:p w14:paraId="45FE5D71"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p>
    <w:p w14:paraId="4A53A213" w14:textId="77777777" w:rsidR="007B24A1" w:rsidRPr="00D03619" w:rsidRDefault="007B24A1" w:rsidP="007B24A1">
      <w:pPr>
        <w:pStyle w:val="Pagrindiniotekstotrauka2"/>
        <w:pBdr>
          <w:top w:val="single" w:sz="4" w:space="1" w:color="auto"/>
          <w:left w:val="single" w:sz="4" w:space="0" w:color="auto"/>
          <w:bottom w:val="single" w:sz="4" w:space="1" w:color="auto"/>
          <w:right w:val="single" w:sz="4" w:space="1"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36416" behindDoc="0" locked="0" layoutInCell="1" allowOverlap="1" wp14:anchorId="61E8BF76" wp14:editId="3905EE54">
                <wp:simplePos x="0" y="0"/>
                <wp:positionH relativeFrom="column">
                  <wp:posOffset>2057400</wp:posOffset>
                </wp:positionH>
                <wp:positionV relativeFrom="paragraph">
                  <wp:posOffset>18415</wp:posOffset>
                </wp:positionV>
                <wp:extent cx="1028700" cy="302260"/>
                <wp:effectExtent l="5080" t="13335" r="13970" b="8255"/>
                <wp:wrapNone/>
                <wp:docPr id="6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02260"/>
                        </a:xfrm>
                        <a:prstGeom prst="rect">
                          <a:avLst/>
                        </a:prstGeom>
                        <a:solidFill>
                          <a:srgbClr val="FFFFFF"/>
                        </a:solidFill>
                        <a:ln w="9525">
                          <a:solidFill>
                            <a:srgbClr val="000000"/>
                          </a:solidFill>
                          <a:miter lim="800000"/>
                        </a:ln>
                      </wps:spPr>
                      <wps:txbx>
                        <w:txbxContent>
                          <w:p w14:paraId="35AF5CF5" w14:textId="77777777" w:rsidR="007B24A1" w:rsidRDefault="007B24A1" w:rsidP="007B24A1">
                            <w:pPr>
                              <w:rPr>
                                <w:sz w:val="22"/>
                                <w:szCs w:val="22"/>
                              </w:rPr>
                            </w:pPr>
                            <w:r>
                              <w:rPr>
                                <w:b/>
                                <w:bCs/>
                                <w:sz w:val="22"/>
                                <w:szCs w:val="22"/>
                              </w:rPr>
                              <w:t>UAB „D“</w:t>
                            </w:r>
                          </w:p>
                        </w:txbxContent>
                      </wps:txbx>
                      <wps:bodyPr rot="0" vert="horz" wrap="square" lIns="91440" tIns="45720" rIns="91440" bIns="45720" anchor="t" anchorCtr="0" upright="1">
                        <a:noAutofit/>
                      </wps:bodyPr>
                    </wps:wsp>
                  </a:graphicData>
                </a:graphic>
              </wp:anchor>
            </w:drawing>
          </mc:Choice>
          <mc:Fallback>
            <w:pict>
              <v:shape w14:anchorId="61E8BF76" id="Text Box 217" o:spid="_x0000_s1207" type="#_x0000_t202" style="position:absolute;left:0;text-align:left;margin-left:162pt;margin-top:1.45pt;width:81pt;height:23.8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DgIQIAAEQEAAAOAAAAZHJzL2Uyb0RvYy54bWysU9tu2zAMfR+wfxD0vvjS3GrEKboUGQZ0&#10;3YB2HyDLcixMFjVJiZ19/Sg5yYJuexnmB0E0qUPyHHJ1N3SKHIR1EnRJs0lKidAcaql3Jf36sn23&#10;pMR5pmumQIuSHoWjd+u3b1a9KUQOLahaWIIg2hW9KWnrvSmSxPFWdMxNwAiNzgZsxzyadpfUlvWI&#10;3qkkT9N50oOtjQUunMO/D6OTriN+0wjuPzeNE56okmJtPp42nlU4k/WKFTvLTCv5qQz2D1V0TGpM&#10;eoF6YJ6RvZW/QXWSW3DQ+AmHLoGmkVzEHrCbLH3VzXPLjIi9IDnOXGhy/w+WPx2+WCLrks5vKNGs&#10;Q41exODJexhIni0CQb1xBcY9G4z0AzpQ6NisM4/AvzmiYdMyvRP31kLfClZjgVl4mVw9HXFcAKn6&#10;T1BjIrb3EIGGxnaBPeSDIDoKdbyIE4rhIWWaLxcpujj6btI8n0f1ElacXxvr/AcBHQmXkloUP6Kz&#10;w6PzoRpWnENCMgdK1lupVDTsrtooSw4MB2Ubv9jAqzClSV/S21k+Gwn4K0Qavz9BdNLjxCvZlXR5&#10;HaT0ia9A0UiWH6ohapNly7MQFdRHpNDCOMq4enhpwf6gpMcxLqn7vmdWUKI+apThNptOw9xHYzpb&#10;5GjYa0917WGaI1RJPSXjdePHXdkbK3ctZhqF13CP0jUysho0Hqs6NYCjGsk+rVXYhWs7Rv1a/vVP&#10;AAAA//8DAFBLAwQUAAYACAAAACEAKdPUdd4AAAAIAQAADwAAAGRycy9kb3ducmV2LnhtbEyPwU7D&#10;MBBE70j8g7VIXBB1SNOQhjgVQgLBDQqCqxtvk4h4HWw3DX/PcoLjaEYzb6rNbAcxoQ+9IwVXiwQE&#10;UuNMT62Ct9f7ywJEiJqMHhyhgm8MsKlPTypdGnekF5y2sRVcQqHUCroYx1LK0HRodVi4EYm9vfNW&#10;R5a+lcbrI5fbQaZJkkure+KFTo9412HzuT1YBUX2OH2Ep+Xze5Pvh3W8uJ4evrxS52fz7Q2IiHP8&#10;C8MvPqNDzUw7dyATxKBgmWb8JSpI1yDYz4qc9U7BKlmBrCv5/0D9AwAA//8DAFBLAQItABQABgAI&#10;AAAAIQC2gziS/gAAAOEBAAATAAAAAAAAAAAAAAAAAAAAAABbQ29udGVudF9UeXBlc10ueG1sUEsB&#10;Ai0AFAAGAAgAAAAhADj9If/WAAAAlAEAAAsAAAAAAAAAAAAAAAAALwEAAF9yZWxzLy5yZWxzUEsB&#10;Ai0AFAAGAAgAAAAhABd0IOAhAgAARAQAAA4AAAAAAAAAAAAAAAAALgIAAGRycy9lMm9Eb2MueG1s&#10;UEsBAi0AFAAGAAgAAAAhACnT1HXeAAAACAEAAA8AAAAAAAAAAAAAAAAAewQAAGRycy9kb3ducmV2&#10;LnhtbFBLBQYAAAAABAAEAPMAAACGBQAAAAA=&#10;">
                <v:textbox>
                  <w:txbxContent>
                    <w:p w14:paraId="35AF5CF5" w14:textId="77777777" w:rsidR="007B24A1" w:rsidRDefault="007B24A1" w:rsidP="007B24A1">
                      <w:pPr>
                        <w:rPr>
                          <w:sz w:val="22"/>
                          <w:szCs w:val="22"/>
                        </w:rPr>
                      </w:pPr>
                      <w:r>
                        <w:rPr>
                          <w:b/>
                          <w:bCs/>
                          <w:sz w:val="22"/>
                          <w:szCs w:val="22"/>
                        </w:rPr>
                        <w:t>UAB „D“</w:t>
                      </w:r>
                    </w:p>
                  </w:txbxContent>
                </v:textbox>
              </v:shape>
            </w:pict>
          </mc:Fallback>
        </mc:AlternateContent>
      </w:r>
      <w:r w:rsidRPr="00D03619">
        <w:rPr>
          <w:noProof/>
          <w:lang w:eastAsia="lt-LT"/>
        </w:rPr>
        <mc:AlternateContent>
          <mc:Choice Requires="wps">
            <w:drawing>
              <wp:anchor distT="0" distB="0" distL="114300" distR="114300" simplePos="0" relativeHeight="251858944" behindDoc="0" locked="0" layoutInCell="1" allowOverlap="1" wp14:anchorId="3394EBE7" wp14:editId="732AB928">
                <wp:simplePos x="0" y="0"/>
                <wp:positionH relativeFrom="column">
                  <wp:posOffset>457200</wp:posOffset>
                </wp:positionH>
                <wp:positionV relativeFrom="paragraph">
                  <wp:posOffset>-1028700</wp:posOffset>
                </wp:positionV>
                <wp:extent cx="0" cy="0"/>
                <wp:effectExtent l="5080" t="61595" r="23495" b="52705"/>
                <wp:wrapNone/>
                <wp:docPr id="62"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w14:anchorId="0DFB4D18" id="Line 218" o:spid="_x0000_s1026" style="position:absolute;z-index:251858944;visibility:visible;mso-wrap-style:square;mso-wrap-distance-left:9pt;mso-wrap-distance-top:0;mso-wrap-distance-right:9pt;mso-wrap-distance-bottom:0;mso-position-horizontal:absolute;mso-position-horizontal-relative:text;mso-position-vertical:absolute;mso-position-vertical-relative:text" from="36pt,-81pt" to="3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m2ywEAAHwDAAAOAAAAZHJzL2Uyb0RvYy54bWysU01vGyEQvVfqf0Dc67UtJUpXXufgNL24&#10;raWkP2AMrBcVGDRgr/3vO+CPpu2t6h7Qwsy8ee8NLB6P3omDoWQxdHI2mUphgkJtw66T31+fPzxI&#10;kTIEDQ6D6eTJJPm4fP9uMcbWzHFApw0JBgmpHWMnh5xj2zRJDcZDmmA0gYM9kofMW9o1mmBkdO+a&#10;+XR634xIOhIqkxKfPp2Dclnx+96o/K3vk8nCdZK55bpSXbdlbZYLaHcEcbDqQgP+gYUHG7jpDeoJ&#10;Mog92b+gvFWECfs8Uegb7HurTNXAambTP9S8DBBN1cLmpHizKf0/WPX1sCFhdSfv51IE8DyjtQ1G&#10;zGcPxZwxppZzVmFDRZ46hpe4RvUjiYCrAcLOVJKvp8iFs1LR/FZSNilyi+34BTXnwD5jderYky+Q&#10;7IE41oGcbgMxxyzU+VBdTxtoryWRUv5s0Ivy00nHfCskHNYpFwrQXlNKh4DP1rk6aRfE2MmPd/O7&#10;WpDQWV2CJS3RbrtyJA5Q7kr9qh6OvE0j3AddwTJY9ylokav4TJbtcEaWDt5oKZzhJ1H+zpRcuJhT&#10;/Dg7u0V92lAJF594xJX75TqWO/R2X7N+PZrlTwAAAP//AwBQSwMEFAAGAAgAAAAhAJFloj3eAAAA&#10;CwEAAA8AAABkcnMvZG93bnJldi54bWxMj0FLw0AQhe8F/8Mygrd2kx5qiNkUEeql1dJWRG/T7JgE&#10;s7Nhd9PGf+9WEL3NvHm8+V6xHE0nTuR8a1lBOktAEFdWt1wreDmsphkIH5A1dpZJwRd5WJZXkwJz&#10;bc+8o9M+1CKGsM9RQRNCn0vpq4YM+pntiePtwzqDIa6ultrhOYabTs6TZCENthw/NNjTQ0PV534w&#10;Cnab1Tp7XQ9j5d4f0+fDdvP05jOlbq7H+zsQgcbwZ4YLfkSHMjId7cDai07B7TxWCQqm6eIyRceP&#10;cvxVZFnI/x3KbwAAAP//AwBQSwECLQAUAAYACAAAACEAtoM4kv4AAADhAQAAEwAAAAAAAAAAAAAA&#10;AAAAAAAAW0NvbnRlbnRfVHlwZXNdLnhtbFBLAQItABQABgAIAAAAIQA4/SH/1gAAAJQBAAALAAAA&#10;AAAAAAAAAAAAAC8BAABfcmVscy8ucmVsc1BLAQItABQABgAIAAAAIQAUDYm2ywEAAHwDAAAOAAAA&#10;AAAAAAAAAAAAAC4CAABkcnMvZTJvRG9jLnhtbFBLAQItABQABgAIAAAAIQCRZaI93gAAAAsBAAAP&#10;AAAAAAAAAAAAAAAAACUEAABkcnMvZG93bnJldi54bWxQSwUGAAAAAAQABADzAAAAMAUAAAAA&#10;">
                <v:stroke endarrow="block"/>
              </v:line>
            </w:pict>
          </mc:Fallback>
        </mc:AlternateContent>
      </w:r>
      <w:r w:rsidRPr="00D03619">
        <w:rPr>
          <w:noProof/>
          <w:lang w:eastAsia="lt-LT"/>
        </w:rPr>
        <mc:AlternateContent>
          <mc:Choice Requires="wps">
            <w:drawing>
              <wp:anchor distT="0" distB="0" distL="114300" distR="114300" simplePos="0" relativeHeight="251835392" behindDoc="0" locked="0" layoutInCell="1" allowOverlap="1" wp14:anchorId="490E353B" wp14:editId="411D0275">
                <wp:simplePos x="0" y="0"/>
                <wp:positionH relativeFrom="column">
                  <wp:posOffset>342900</wp:posOffset>
                </wp:positionH>
                <wp:positionV relativeFrom="paragraph">
                  <wp:posOffset>18415</wp:posOffset>
                </wp:positionV>
                <wp:extent cx="1028700" cy="311150"/>
                <wp:effectExtent l="5080" t="13335" r="13970" b="8890"/>
                <wp:wrapNone/>
                <wp:docPr id="6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11150"/>
                        </a:xfrm>
                        <a:prstGeom prst="rect">
                          <a:avLst/>
                        </a:prstGeom>
                        <a:solidFill>
                          <a:srgbClr val="FFFFFF"/>
                        </a:solidFill>
                        <a:ln w="9525">
                          <a:solidFill>
                            <a:srgbClr val="000000"/>
                          </a:solidFill>
                          <a:miter lim="800000"/>
                        </a:ln>
                      </wps:spPr>
                      <wps:txbx>
                        <w:txbxContent>
                          <w:p w14:paraId="238DF2F4" w14:textId="77777777" w:rsidR="007B24A1" w:rsidRDefault="007B24A1" w:rsidP="007B24A1">
                            <w:pPr>
                              <w:rPr>
                                <w:sz w:val="22"/>
                                <w:szCs w:val="22"/>
                              </w:rPr>
                            </w:pPr>
                            <w:r>
                              <w:rPr>
                                <w:b/>
                                <w:bCs/>
                                <w:sz w:val="22"/>
                                <w:szCs w:val="22"/>
                              </w:rPr>
                              <w:t>UAB „C“</w:t>
                            </w:r>
                          </w:p>
                        </w:txbxContent>
                      </wps:txbx>
                      <wps:bodyPr rot="0" vert="horz" wrap="square" lIns="91440" tIns="45720" rIns="91440" bIns="45720" anchor="t" anchorCtr="0" upright="1">
                        <a:noAutofit/>
                      </wps:bodyPr>
                    </wps:wsp>
                  </a:graphicData>
                </a:graphic>
              </wp:anchor>
            </w:drawing>
          </mc:Choice>
          <mc:Fallback>
            <w:pict>
              <v:shape w14:anchorId="490E353B" id="Text Box 219" o:spid="_x0000_s1208" type="#_x0000_t202" style="position:absolute;left:0;text-align:left;margin-left:27pt;margin-top:1.45pt;width:81pt;height:24.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MMHwIAAEQEAAAOAAAAZHJzL2Uyb0RvYy54bWysU9tu2zAMfR+wfxD0vviypE2MOEWXIsOA&#10;rhvQ7gNkWbaFyaImKbGzrx8lp2nQbS/D/CCIJnVInkOub8ZekYOwToIuaTZLKRGaQy11W9JvT7t3&#10;S0qcZ7pmCrQo6VE4erN5+2Y9mELk0IGqhSUIol0xmJJ23psiSRzvRM/cDIzQ6GzA9syjaduktmxA&#10;9F4leZpeJQPY2ljgwjn8ezc56SbiN43g/kvTOOGJKinW5uNp41mFM9msWdFaZjrJT2Wwf6iiZ1Jj&#10;0jPUHfOM7K38DaqX3IKDxs849Ak0jeQi9oDdZOmrbh47ZkTsBclx5kyT+3+w/OHw1RJZl/Qqo0Sz&#10;HjV6EqMnH2AkebYKBA3GFRj3aDDSj+hAoWOzztwD/+6Ihm3HdCturYWhE6zGArPwMrl4OuG4AFIN&#10;n6HGRGzvIQKNje0De8gHQXQU6ngWJxTDQ8o0X16n6OLoe59l2SKql7Di+bWxzn8U0JNwKalF8SM6&#10;O9w7H6phxXNISOZAyXonlYqGbautsuTAcFB28YsNvApTmgwlXS3yxUTAXyHS+P0JopceJ17JvqTL&#10;yyClT3wFiiay/FiNUZvsRYgK6iNSaGEaZVw9vHRgf1Iy4BiX1P3YMysoUZ80yrDK5vMw99GYL65z&#10;NOylp7r0MM0RqqSekum69dOu7I2VbYeZJuE13KJ0jYysBo2nqk4N4KhGsk9rFXbh0o5RL8u/+QUA&#10;AP//AwBQSwMEFAAGAAgAAAAhAB5N3uXdAAAABwEAAA8AAABkcnMvZG93bnJldi54bWxMj8FOwzAQ&#10;RO9I/IO1SFwQdRJKaEKcCiGB6A0Kgqsbb5OIeB1sNw1/z3KC4+ysZt5U69kOYkIfekcK0kUCAqlx&#10;pqdWwdvrw+UKRIiajB4coYJvDLCuT08qXRp3pBectrEVHEKh1Aq6GMdSytB0aHVYuBGJvb3zVkeW&#10;vpXG6yOH20FmSZJLq3vihk6PeN9h87k9WAWr5dP0ETZXz+9Nvh+KeHEzPX55pc7P5rtbEBHn+PcM&#10;v/iMDjUz7dyBTBCDguslT4kKsgIE21mas97xPS1A1pX8z1//AAAA//8DAFBLAQItABQABgAIAAAA&#10;IQC2gziS/gAAAOEBAAATAAAAAAAAAAAAAAAAAAAAAABbQ29udGVudF9UeXBlc10ueG1sUEsBAi0A&#10;FAAGAAgAAAAhADj9If/WAAAAlAEAAAsAAAAAAAAAAAAAAAAALwEAAF9yZWxzLy5yZWxzUEsBAi0A&#10;FAAGAAgAAAAhADRZgwwfAgAARAQAAA4AAAAAAAAAAAAAAAAALgIAAGRycy9lMm9Eb2MueG1sUEsB&#10;Ai0AFAAGAAgAAAAhAB5N3uXdAAAABwEAAA8AAAAAAAAAAAAAAAAAeQQAAGRycy9kb3ducmV2Lnht&#10;bFBLBQYAAAAABAAEAPMAAACDBQAAAAA=&#10;">
                <v:textbox>
                  <w:txbxContent>
                    <w:p w14:paraId="238DF2F4" w14:textId="77777777" w:rsidR="007B24A1" w:rsidRDefault="007B24A1" w:rsidP="007B24A1">
                      <w:pPr>
                        <w:rPr>
                          <w:sz w:val="22"/>
                          <w:szCs w:val="22"/>
                        </w:rPr>
                      </w:pPr>
                      <w:r>
                        <w:rPr>
                          <w:b/>
                          <w:bCs/>
                          <w:sz w:val="22"/>
                          <w:szCs w:val="22"/>
                        </w:rPr>
                        <w:t>UAB „C“</w:t>
                      </w:r>
                    </w:p>
                  </w:txbxContent>
                </v:textbox>
              </v:shape>
            </w:pict>
          </mc:Fallback>
        </mc:AlternateContent>
      </w:r>
    </w:p>
    <w:p w14:paraId="057D8D92"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p>
    <w:p w14:paraId="3CACC546"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p>
    <w:p w14:paraId="4B18E0DA" w14:textId="77777777" w:rsidR="007B24A1" w:rsidRPr="00D03619" w:rsidRDefault="007B24A1" w:rsidP="007B24A1">
      <w:pPr>
        <w:pBdr>
          <w:top w:val="single" w:sz="4" w:space="1" w:color="auto"/>
          <w:left w:val="single" w:sz="4" w:space="0" w:color="auto"/>
          <w:bottom w:val="single" w:sz="4" w:space="1" w:color="auto"/>
          <w:right w:val="single" w:sz="4" w:space="1" w:color="auto"/>
        </w:pBdr>
        <w:ind w:firstLine="720"/>
        <w:jc w:val="both"/>
        <w:rPr>
          <w:lang w:val="lt-LT"/>
        </w:rPr>
      </w:pPr>
      <w:r w:rsidRPr="00D03619">
        <w:rPr>
          <w:lang w:val="lt-LT"/>
        </w:rPr>
        <w:t xml:space="preserve">Šiuo atveju patronuojantis vienetas AB „A“ tiesiogiai ar netiesiogiai valdo daugiau kaip 66,67 proc. kiekvieno dukterinio vieneto (UAB „B“, UAB C“ ir UAB „D“) akcijų. Todėl šios vienetų grupės dukteriniai </w:t>
      </w:r>
      <w:r w:rsidRPr="00722B23">
        <w:rPr>
          <w:lang w:val="lt-LT"/>
        </w:rPr>
        <w:t xml:space="preserve">vienetai gali perduoti nuostolius patronuojančiam vienetui AB „A“, arba vienas kitam, arba patronuojantis vienetas AB „A“ gali perduoti nuostolius bet kuriam pelningam dukteriniam vienetui, jei </w:t>
      </w:r>
      <w:r w:rsidRPr="00B239F2">
        <w:rPr>
          <w:bCs/>
          <w:color w:val="000000" w:themeColor="text1"/>
          <w:lang w:val="lt-LT"/>
        </w:rPr>
        <w:t>mokestinio laikotarpio, už kurį apskaičiuoti mokestiniai nuostoliai perduodami, paskutinę dieną ir</w:t>
      </w:r>
      <w:r w:rsidRPr="00722B23">
        <w:rPr>
          <w:b/>
          <w:color w:val="000000" w:themeColor="text1"/>
          <w:lang w:val="lt-LT"/>
        </w:rPr>
        <w:t xml:space="preserve"> </w:t>
      </w:r>
      <w:r w:rsidRPr="00722B23">
        <w:rPr>
          <w:lang w:val="lt-LT"/>
        </w:rPr>
        <w:t xml:space="preserve">nuostolių </w:t>
      </w:r>
      <w:r w:rsidRPr="00722B23">
        <w:rPr>
          <w:bCs/>
          <w:lang w:val="lt-LT"/>
        </w:rPr>
        <w:t xml:space="preserve">perdavimo dieną </w:t>
      </w:r>
      <w:r w:rsidRPr="00722B23">
        <w:rPr>
          <w:lang w:val="lt-LT"/>
        </w:rPr>
        <w:t xml:space="preserve">patronuojanti AB „A“, </w:t>
      </w:r>
      <w:r w:rsidRPr="00722B23">
        <w:rPr>
          <w:bCs/>
          <w:lang w:val="lt-LT"/>
        </w:rPr>
        <w:t xml:space="preserve">tiesiogiai arba netiesiogiai valdys ne mažiau kaip </w:t>
      </w:r>
      <w:r w:rsidRPr="00722B23">
        <w:rPr>
          <w:lang w:val="lt-LT"/>
        </w:rPr>
        <w:t xml:space="preserve">66,67 proc. </w:t>
      </w:r>
      <w:r w:rsidRPr="00722B23">
        <w:rPr>
          <w:bCs/>
          <w:lang w:val="lt-LT"/>
        </w:rPr>
        <w:t>kiekvieno nuostolių perdavime dalyvaujančio dukterinio vieneto</w:t>
      </w:r>
      <w:r w:rsidRPr="00722B23">
        <w:rPr>
          <w:lang w:val="lt-LT"/>
        </w:rPr>
        <w:t xml:space="preserve"> akcijų ir bus tenkinami kiti PMĮ </w:t>
      </w:r>
      <w:r w:rsidRPr="00722B23">
        <w:rPr>
          <w:bCs/>
          <w:lang w:val="lt-LT"/>
        </w:rPr>
        <w:t>56</w:t>
      </w:r>
      <w:r w:rsidRPr="00722B23">
        <w:rPr>
          <w:bCs/>
          <w:vertAlign w:val="superscript"/>
          <w:lang w:val="lt-LT"/>
        </w:rPr>
        <w:t>1</w:t>
      </w:r>
      <w:r w:rsidRPr="00722B23">
        <w:rPr>
          <w:bCs/>
          <w:lang w:val="lt-LT"/>
        </w:rPr>
        <w:t xml:space="preserve"> straipsnio reikalavimai.</w:t>
      </w:r>
      <w:r w:rsidRPr="00D03619">
        <w:rPr>
          <w:lang w:val="lt-LT"/>
        </w:rPr>
        <w:t xml:space="preserve"> </w:t>
      </w:r>
    </w:p>
    <w:p w14:paraId="1476DD8B" w14:textId="77777777" w:rsidR="007B24A1" w:rsidRPr="00D03619" w:rsidRDefault="007B24A1" w:rsidP="007B24A1">
      <w:pPr>
        <w:ind w:firstLine="720"/>
        <w:jc w:val="both"/>
        <w:rPr>
          <w:lang w:val="lt-LT"/>
        </w:rPr>
      </w:pPr>
    </w:p>
    <w:p w14:paraId="2F1DE8E0" w14:textId="77777777" w:rsidR="007B24A1" w:rsidRPr="00D03619" w:rsidRDefault="007B24A1" w:rsidP="007B24A1">
      <w:pPr>
        <w:ind w:firstLine="720"/>
        <w:jc w:val="both"/>
        <w:rPr>
          <w:lang w:val="lt-LT"/>
        </w:rPr>
      </w:pPr>
      <w:r w:rsidRPr="00D03619">
        <w:rPr>
          <w:lang w:val="lt-LT"/>
        </w:rPr>
        <w:t>2 pavyzdys</w:t>
      </w:r>
    </w:p>
    <w:p w14:paraId="297BA8E0" w14:textId="77777777" w:rsidR="007B24A1" w:rsidRPr="00D03619" w:rsidRDefault="007B24A1" w:rsidP="007B24A1">
      <w:pPr>
        <w:ind w:firstLine="720"/>
        <w:jc w:val="both"/>
        <w:rPr>
          <w:b/>
          <w:lang w:val="lt-LT"/>
        </w:rPr>
      </w:pPr>
    </w:p>
    <w:p w14:paraId="080A6881"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b w:val="0"/>
          <w:bCs w:val="0"/>
          <w:iCs/>
        </w:rPr>
        <w:t>2 schema</w:t>
      </w:r>
    </w:p>
    <w:p w14:paraId="1257C926"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4064" behindDoc="0" locked="0" layoutInCell="1" allowOverlap="1" wp14:anchorId="10F41D2C" wp14:editId="000FCC39">
                <wp:simplePos x="0" y="0"/>
                <wp:positionH relativeFrom="column">
                  <wp:posOffset>1828800</wp:posOffset>
                </wp:positionH>
                <wp:positionV relativeFrom="paragraph">
                  <wp:posOffset>65405</wp:posOffset>
                </wp:positionV>
                <wp:extent cx="1257300" cy="358140"/>
                <wp:effectExtent l="5080" t="7620" r="13970" b="5715"/>
                <wp:wrapNone/>
                <wp:docPr id="6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8140"/>
                        </a:xfrm>
                        <a:prstGeom prst="rect">
                          <a:avLst/>
                        </a:prstGeom>
                        <a:solidFill>
                          <a:srgbClr val="CCFFFF"/>
                        </a:solidFill>
                        <a:ln w="9525">
                          <a:solidFill>
                            <a:srgbClr val="000000"/>
                          </a:solidFill>
                          <a:miter lim="800000"/>
                        </a:ln>
                      </wps:spPr>
                      <wps:txbx>
                        <w:txbxContent>
                          <w:p w14:paraId="17AE4D37" w14:textId="77777777" w:rsidR="007B24A1" w:rsidRDefault="007B24A1" w:rsidP="007B24A1">
                            <w:pPr>
                              <w:jc w:val="center"/>
                              <w:rPr>
                                <w:sz w:val="22"/>
                                <w:szCs w:val="22"/>
                              </w:rPr>
                            </w:pPr>
                            <w:r>
                              <w:rPr>
                                <w:b/>
                                <w:bCs/>
                                <w:sz w:val="22"/>
                                <w:szCs w:val="22"/>
                              </w:rPr>
                              <w:t>AB „</w:t>
                            </w:r>
                            <w:r>
                              <w:rPr>
                                <w:sz w:val="22"/>
                                <w:szCs w:val="22"/>
                              </w:rPr>
                              <w:t>X“</w:t>
                            </w:r>
                          </w:p>
                        </w:txbxContent>
                      </wps:txbx>
                      <wps:bodyPr rot="0" vert="horz" wrap="square" lIns="91440" tIns="45720" rIns="91440" bIns="45720" anchor="t" anchorCtr="0" upright="1">
                        <a:noAutofit/>
                      </wps:bodyPr>
                    </wps:wsp>
                  </a:graphicData>
                </a:graphic>
              </wp:anchor>
            </w:drawing>
          </mc:Choice>
          <mc:Fallback>
            <w:pict>
              <v:shape w14:anchorId="10F41D2C" id="Text Box 220" o:spid="_x0000_s1209" type="#_x0000_t202" style="position:absolute;left:0;text-align:left;margin-left:2in;margin-top:5.15pt;width:99pt;height:28.2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XIgIAAEQEAAAOAAAAZHJzL2Uyb0RvYy54bWysU9tu2zAMfR+wfxD0vvjSpE2NOEWXIsOA&#10;7gK0+wBFlm1hkqhJSuzu60fJaRp028swPwiiSR2S55Crm1ErchDOSzA1LWY5JcJwaKTpavrtcftu&#10;SYkPzDRMgRE1fRKe3qzfvlkNthIl9KAa4QiCGF8NtqZ9CLbKMs97oZmfgRUGnS04zQKarssaxwZE&#10;1yor8/wyG8A11gEX3uPfu8lJ1wm/bQUPX9rWi0BUTbG2kE6Xzl08s/WKVZ1jtpf8WAb7hyo0kwaT&#10;nqDuWGBk7+RvUFpyBx7aMOOgM2hbyUXqAbsp8lfdPPTMitQLkuPtiSb//2D558NXR2RT00ukxzCN&#10;Gj2KMZD3MJKyTAQN1lcY92AxMozoQKFTs97eA//uiYFNz0wnbp2DoReswQKLSG129jRK4isfQXbD&#10;J2gwEdsHSEBj63RkD/kgiI6VPJ3EicXwmLJcXF3k6OLou1gsi3kqLmPV82vrfPggQJN4qalD8RM6&#10;O9z7EKth1XNITOZByWYrlUqG63Yb5ciB4aBsNlv8UgOvwpQhQ02vF+ViIuCvEHn6/gShZcCJV1LX&#10;dHkepMyRr0jRRFYYd2PSpngRYgfNE1LoYBplXD289OB+UjLgGNfU/9gzJyhRHw3KcF3MkScSkjFf&#10;XCEQceee3bmHGY5QNQ2UTNdNmHZlb53sesw0CW/gFqVrZWI1yjpVdWwARzWRfVyruAvndop6Wf71&#10;LwAAAP//AwBQSwMEFAAGAAgAAAAhAI4eWDDdAAAACQEAAA8AAABkcnMvZG93bnJldi54bWxMj81O&#10;wzAQhO9IvIO1SNyoQwtpFOJUEeLnhkTh0tsmduOo8TrYbhvenuUEx50ZzX5TbWY3ipMJcfCk4HaR&#10;gTDUeT1Qr+Dz4/mmABETksbRk1HwbSJs6suLCkvtz/RuTtvUCy6hWKICm9JUShk7axzGhZ8Msbf3&#10;wWHiM/RSBzxzuRvlMsty6XAg/mBxMo/WdIft0SlYDV/k3l53tn3a4/2LDE0eDo1S11dz8wAimTn9&#10;heEXn9GhZqbWH0lHMSpYFgVvSWxkKxAcuCtyFloFeb4GWVfy/4L6BwAA//8DAFBLAQItABQABgAI&#10;AAAAIQC2gziS/gAAAOEBAAATAAAAAAAAAAAAAAAAAAAAAABbQ29udGVudF9UeXBlc10ueG1sUEsB&#10;Ai0AFAAGAAgAAAAhADj9If/WAAAAlAEAAAsAAAAAAAAAAAAAAAAALwEAAF9yZWxzLy5yZWxzUEsB&#10;Ai0AFAAGAAgAAAAhAFYgutciAgAARAQAAA4AAAAAAAAAAAAAAAAALgIAAGRycy9lMm9Eb2MueG1s&#10;UEsBAi0AFAAGAAgAAAAhAI4eWDDdAAAACQEAAA8AAAAAAAAAAAAAAAAAfAQAAGRycy9kb3ducmV2&#10;LnhtbFBLBQYAAAAABAAEAPMAAACGBQAAAAA=&#10;" fillcolor="#cff">
                <v:textbox>
                  <w:txbxContent>
                    <w:p w14:paraId="17AE4D37" w14:textId="77777777" w:rsidR="007B24A1" w:rsidRDefault="007B24A1" w:rsidP="007B24A1">
                      <w:pPr>
                        <w:jc w:val="center"/>
                        <w:rPr>
                          <w:sz w:val="22"/>
                          <w:szCs w:val="22"/>
                        </w:rPr>
                      </w:pPr>
                      <w:r>
                        <w:rPr>
                          <w:b/>
                          <w:bCs/>
                          <w:sz w:val="22"/>
                          <w:szCs w:val="22"/>
                        </w:rPr>
                        <w:t>AB „</w:t>
                      </w:r>
                      <w:r>
                        <w:rPr>
                          <w:sz w:val="22"/>
                          <w:szCs w:val="22"/>
                        </w:rPr>
                        <w:t>X“</w:t>
                      </w:r>
                    </w:p>
                  </w:txbxContent>
                </v:textbox>
              </v:shape>
            </w:pict>
          </mc:Fallback>
        </mc:AlternateContent>
      </w:r>
      <w:r w:rsidRPr="00D03619">
        <w:rPr>
          <w:b w:val="0"/>
          <w:bCs w:val="0"/>
          <w:iCs/>
        </w:rPr>
        <w:t xml:space="preserve">                          </w:t>
      </w:r>
    </w:p>
    <w:p w14:paraId="4CCC77B1"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0208" behindDoc="0" locked="0" layoutInCell="1" allowOverlap="1" wp14:anchorId="791A52C3" wp14:editId="01E5FB8E">
                <wp:simplePos x="0" y="0"/>
                <wp:positionH relativeFrom="column">
                  <wp:posOffset>3086100</wp:posOffset>
                </wp:positionH>
                <wp:positionV relativeFrom="paragraph">
                  <wp:posOffset>81280</wp:posOffset>
                </wp:positionV>
                <wp:extent cx="904875" cy="533400"/>
                <wp:effectExtent l="5080" t="10160" r="42545" b="56515"/>
                <wp:wrapNone/>
                <wp:docPr id="59"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533400"/>
                        </a:xfrm>
                        <a:prstGeom prst="line">
                          <a:avLst/>
                        </a:prstGeom>
                        <a:noFill/>
                        <a:ln w="3175">
                          <a:solidFill>
                            <a:srgbClr val="000000"/>
                          </a:solidFill>
                          <a:round/>
                          <a:tailEnd type="triangle" w="med" len="med"/>
                        </a:ln>
                      </wps:spPr>
                      <wps:bodyPr/>
                    </wps:wsp>
                  </a:graphicData>
                </a:graphic>
              </wp:anchor>
            </w:drawing>
          </mc:Choice>
          <mc:Fallback>
            <w:pict>
              <v:line w14:anchorId="77EFC254" id="Line 221"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243pt,6.4pt" to="314.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vH1QEAAIYDAAAOAAAAZHJzL2Uyb0RvYy54bWysU81uGyEQvlfqOyDu9a7tuE1WXufgNL24&#10;raWkD4BhdhcVGATYa799Bxw7TXurymHE/H0z8w0s74/WsAOEqNG1fDqpOQMnUWnXt/zH8+OHW85i&#10;Ek4Jgw5afoLI71fv3y1H38AMBzQKAiMQF5vRt3xIyTdVFeUAVsQJenDk7DBYkUgNfaWCGAndmmpW&#10;1x+rEYPyASXESNaHs5OvCn7XgUzfuy5CYqbl1FsqMhS5y7JaLUXTB+EHLV/aEP/QhRXaUdEr1INI&#10;gu2D/gvKahkwYpcmEm2FXacllBlommn9xzRPg/BQZiFyor/SFP8frPx22AamVcsXd5w5YWlHG+2A&#10;zWbTTM7oY0Mxa7cNeTx5dE9+g/JnZA7Xg3A9lCafT54SS0b1JiUr0VOJ3fgVFcWIfcLC1LELNkMS&#10;B+xYFnK6LgSOiUky3tU3t58WnElyLebzm7osrBLNJdmHmL4AWpYvLTfUeQEXh01M1D6FXkJyLYeP&#10;2piyc+PY2PL5lOCzJ6LRKjuLEvrd2gR2EPnVlJO5ILA3YQH3ThWwJLT57BRLhYYUNBFjgOcKFhRn&#10;Buhz5NsZxTgCuzBz5niH6rQN2Z3ttOxS7uVh5tf0u16iXr/P6hcAAAD//wMAUEsDBBQABgAIAAAA&#10;IQB2kTnQ4AAAAAkBAAAPAAAAZHJzL2Rvd25yZXYueG1sTI/LTsMwEEX3SPyDNUhsEHWIqBVCnKpC&#10;4rFg01KpXTrxkATicRQ7bfr3DCtYju7VnXOK1ex6ccQxdJ403C0SEEi1tx01GnYfz7cZiBANWdN7&#10;Qg1nDLAqLy8Kk1t/og0et7ERPEIhNxraGIdcylC36ExY+AGJs08/OhP5HBtpR3PicdfLNEmUdKYj&#10;/tCaAZ9arL+3k9Pwtt5N6fK9e91btXE3L3T4Olde6+uref0IIuIc/8rwi8/oUDJT5SeyQfQa7jPF&#10;LpGDlBW4oNJsCaLS8KAykGUh/xuUPwAAAP//AwBQSwECLQAUAAYACAAAACEAtoM4kv4AAADhAQAA&#10;EwAAAAAAAAAAAAAAAAAAAAAAW0NvbnRlbnRfVHlwZXNdLnhtbFBLAQItABQABgAIAAAAIQA4/SH/&#10;1gAAAJQBAAALAAAAAAAAAAAAAAAAAC8BAABfcmVscy8ucmVsc1BLAQItABQABgAIAAAAIQAY0EvH&#10;1QEAAIYDAAAOAAAAAAAAAAAAAAAAAC4CAABkcnMvZTJvRG9jLnhtbFBLAQItABQABgAIAAAAIQB2&#10;kTnQ4AAAAAkBAAAPAAAAAAAAAAAAAAAAAC8EAABkcnMvZG93bnJldi54bWxQSwUGAAAAAAQABADz&#10;AAAAPAUAAAAA&#10;" strokeweight=".25pt">
                <v:stroke endarrow="block"/>
              </v:line>
            </w:pict>
          </mc:Fallback>
        </mc:AlternateContent>
      </w:r>
      <w:r w:rsidRPr="00D03619">
        <w:rPr>
          <w:noProof/>
          <w:lang w:eastAsia="lt-LT"/>
        </w:rPr>
        <mc:AlternateContent>
          <mc:Choice Requires="wps">
            <w:drawing>
              <wp:anchor distT="0" distB="0" distL="114300" distR="114300" simplePos="0" relativeHeight="251865088" behindDoc="0" locked="0" layoutInCell="1" allowOverlap="1" wp14:anchorId="6EF0294F" wp14:editId="0E6DBAC9">
                <wp:simplePos x="0" y="0"/>
                <wp:positionH relativeFrom="column">
                  <wp:posOffset>758190</wp:posOffset>
                </wp:positionH>
                <wp:positionV relativeFrom="paragraph">
                  <wp:posOffset>42545</wp:posOffset>
                </wp:positionV>
                <wp:extent cx="1070610" cy="572135"/>
                <wp:effectExtent l="39370" t="9525" r="13970" b="56515"/>
                <wp:wrapNone/>
                <wp:docPr id="58"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0610" cy="572135"/>
                        </a:xfrm>
                        <a:prstGeom prst="line">
                          <a:avLst/>
                        </a:prstGeom>
                        <a:noFill/>
                        <a:ln w="3175">
                          <a:solidFill>
                            <a:srgbClr val="000000"/>
                          </a:solidFill>
                          <a:round/>
                          <a:tailEnd type="triangle" w="med" len="med"/>
                        </a:ln>
                      </wps:spPr>
                      <wps:bodyPr/>
                    </wps:wsp>
                  </a:graphicData>
                </a:graphic>
              </wp:anchor>
            </w:drawing>
          </mc:Choice>
          <mc:Fallback>
            <w:pict>
              <v:line w14:anchorId="6694D448" id="Line 222" o:spid="_x0000_s1026" style="position:absolute;flip:x;z-index:251865088;visibility:visible;mso-wrap-style:square;mso-wrap-distance-left:9pt;mso-wrap-distance-top:0;mso-wrap-distance-right:9pt;mso-wrap-distance-bottom:0;mso-position-horizontal:absolute;mso-position-horizontal-relative:text;mso-position-vertical:absolute;mso-position-vertical-relative:text" from="59.7pt,3.35pt" to="2in,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qJ3AEAAJEDAAAOAAAAZHJzL2Uyb0RvYy54bWysU01vGyEQvVfqf0Dc6/2IHFcrr3Nwmvbg&#10;tpaS/gAMrBcVGATYa//7zmDLadpb1T2ghZl58+Y9WD6cnGVHHZMB3/NmVnOmvQRl/L7nP16ePnzk&#10;LGXhlbDgdc/POvGH1ft3yyl0uoURrNKRIYhP3RR6PuYcuqpKctROpBkE7TE4QHQi4zbuKxXFhOjO&#10;Vm1d31cTRBUiSJ0Snj5egnxV8IdBy/x9GJLOzPYcueWyxrLuaK1WS9HtowijkVca4h9YOGE8Nr1B&#10;PYos2CGav6CckRESDHkmwVUwDEbqMgNO09R/TPM8iqDLLChOCjeZ0v+Dld+O28iM6vkcnfLCoUcb&#10;4zVr25bEmULqMGftt5HGkyf/HDYgfybmYT0Kv9eF5Ms5YGFDFdWbEtqkgC1201dQmCMOGYpSpyE6&#10;NlgTvlAhgaMa7FSsOd+s0afMJB429aK+b9BBibH5om3u5qWZ6AiHqkNM+bMGx+in5xaHKKjiuEmZ&#10;eL2mULqHJ2Ntsd96NvX8rlnMS0ECaxQFKS3F/W5tIzsKukDlu/Z9kxbh4FUBy8LYT16xXBTJ0aBG&#10;VnPq4LTizGp8J/R3oWT9VTES6SL3DtR5GylM4qHvhfv1jtLF+n1fsl5f0uoXAAAA//8DAFBLAwQU&#10;AAYACAAAACEA/BMdOd0AAAAIAQAADwAAAGRycy9kb3ducmV2LnhtbEyPwU7DMBBE70j8g7VI3KjT&#10;gEIa4lQIUbiBKCDEzY2XJCLejWI3Tf+e5QTH0Yxm3pTr2fdqwjF0TAaWiwQUUs2uo8bA2+vmIgcV&#10;oiVneyY0cMQA6+r0pLSF4wO94LSNjZISCoU10MY4FFqHukVvw4IHJPG+ePQ2ihwb7UZ7kHLf6zRJ&#10;Mu1tR7LQ2gHvWqy/t3tvYLrE+V0/c/rA95vmyCk+fn48GXN+Nt/egIo4x78w/OILOlTCtOM9uaB6&#10;0cvVlUQNZNegxE/zXL7tDKyyHHRV6v8Hqh8AAAD//wMAUEsBAi0AFAAGAAgAAAAhALaDOJL+AAAA&#10;4QEAABMAAAAAAAAAAAAAAAAAAAAAAFtDb250ZW50X1R5cGVzXS54bWxQSwECLQAUAAYACAAAACEA&#10;OP0h/9YAAACUAQAACwAAAAAAAAAAAAAAAAAvAQAAX3JlbHMvLnJlbHNQSwECLQAUAAYACAAAACEA&#10;+I2KidwBAACRAwAADgAAAAAAAAAAAAAAAAAuAgAAZHJzL2Uyb0RvYy54bWxQSwECLQAUAAYACAAA&#10;ACEA/BMdOd0AAAAIAQAADwAAAAAAAAAAAAAAAAA2BAAAZHJzL2Rvd25yZXYueG1sUEsFBgAAAAAE&#10;AAQA8wAAAEAFAAAAAA==&#10;" strokeweight=".25pt">
                <v:stroke endarrow="block"/>
              </v:line>
            </w:pict>
          </mc:Fallback>
        </mc:AlternateContent>
      </w:r>
    </w:p>
    <w:p w14:paraId="5B18A6AD"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6352" behindDoc="0" locked="0" layoutInCell="1" allowOverlap="1" wp14:anchorId="22A3579C" wp14:editId="6F64C40D">
                <wp:simplePos x="0" y="0"/>
                <wp:positionH relativeFrom="column">
                  <wp:posOffset>3314700</wp:posOffset>
                </wp:positionH>
                <wp:positionV relativeFrom="paragraph">
                  <wp:posOffset>38100</wp:posOffset>
                </wp:positionV>
                <wp:extent cx="571500" cy="228600"/>
                <wp:effectExtent l="0" t="1270" r="4445" b="0"/>
                <wp:wrapNone/>
                <wp:docPr id="5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14D4F0E7" w14:textId="77777777" w:rsidR="007B24A1" w:rsidRDefault="007B24A1"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22A3579C" id="Text Box 223" o:spid="_x0000_s1210" type="#_x0000_t202" style="position:absolute;left:0;text-align:left;margin-left:261pt;margin-top:3pt;width:45pt;height:18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vCgIAAPoDAAAOAAAAZHJzL2Uyb0RvYy54bWysU9tu2zAMfR+wfxD0vjj2kqYz4hRdigwD&#10;ugvQ7gNkWbaF2aJGKbGzrx8lp2m6vg3TgyCK1CHPIbW+GfuOHRQ6Dabg6WzOmTISKm2agv943L27&#10;5sx5YSrRgVEFPyrHbzZv36wHm6sMWugqhYxAjMsHW/DWe5sniZOt6oWbgVWGnDVgLzyZ2CQVioHQ&#10;+y7J5vOrZACsLIJUztHt3eTkm4hf10r6b3XtlGddwak2H3eMexn2ZLMWeYPCtlqeyhD/UEUvtKGk&#10;Z6g74QXbo34F1WuJ4KD2Mwl9AnWtpYociE06/4vNQyusilxIHGfPMrn/Byu/Hr4j01XBlyvOjOip&#10;R49q9OwjjCzL3geBButyinuwFOlHclCjI1ln70H+dMzAthWmUbeIMLRKVFRgGl4mF08nHBdAyuEL&#10;VJRI7D1EoLHGPqhHejBCp0Ydz80JxUi6XK7S5Zw8klxZdn1F55BB5E+PLTr/SUHPwqHgSL2P4OJw&#10;7/wU+hQScjnodLXTXRcNbMpth+wgaE52cZ3QX4R1JgQbCM8mxHATWQZiE0U/lmNUNM2iCEGDEqoj&#10;EUeYBpA+DB1awN+cDTR8BXe/9gIVZ91nQ+J9SBeLMK3RWCxXGRl46SkvPcJIgiq452w6bv004XuL&#10;umkp09QuA7ckeK2jGM9VnQjQgEU5T58hTPClHaOev+zmDwAAAP//AwBQSwMEFAAGAAgAAAAhAMAX&#10;m/DbAAAACAEAAA8AAABkcnMvZG93bnJldi54bWxMj8FOwzAQRO9I/IO1SFwQdRq1KYRsKkACcW3p&#10;B2zibRIR21HsNunfsz3BaTSa1eybYjvbXp15DJ13CMtFAopd7U3nGoTD98fjE6gQyRnqvWOECwfY&#10;lrc3BeXGT27H531slJS4kBNCG+OQax3qli2FhR/YSXb0o6Uodmy0GWmSctvrNEkybalz8qGlgd9b&#10;rn/2J4tw/Joe1s9T9RkPm90qe6NuU/kL4v3d/PoCKvIc/47hii/oUApT5U/OBNUjrNNUtkSETETy&#10;bHn1FcJKVJeF/j+g/AUAAP//AwBQSwECLQAUAAYACAAAACEAtoM4kv4AAADhAQAAEwAAAAAAAAAA&#10;AAAAAAAAAAAAW0NvbnRlbnRfVHlwZXNdLnhtbFBLAQItABQABgAIAAAAIQA4/SH/1gAAAJQBAAAL&#10;AAAAAAAAAAAAAAAAAC8BAABfcmVscy8ucmVsc1BLAQItABQABgAIAAAAIQAS+oYvCgIAAPoDAAAO&#10;AAAAAAAAAAAAAAAAAC4CAABkcnMvZTJvRG9jLnhtbFBLAQItABQABgAIAAAAIQDAF5vw2wAAAAgB&#10;AAAPAAAAAAAAAAAAAAAAAGQEAABkcnMvZG93bnJldi54bWxQSwUGAAAAAAQABADzAAAAbAUAAAAA&#10;" stroked="f">
                <v:textbox>
                  <w:txbxContent>
                    <w:p w14:paraId="14D4F0E7" w14:textId="77777777" w:rsidR="007B24A1" w:rsidRDefault="007B24A1" w:rsidP="007B24A1">
                      <w:pPr>
                        <w:rPr>
                          <w:sz w:val="22"/>
                          <w:szCs w:val="22"/>
                        </w:rPr>
                      </w:pPr>
                      <w:r>
                        <w:rPr>
                          <w:b/>
                          <w:bCs/>
                          <w:sz w:val="22"/>
                          <w:szCs w:val="22"/>
                        </w:rPr>
                        <w:t>100%</w:t>
                      </w:r>
                    </w:p>
                  </w:txbxContent>
                </v:textbox>
              </v:shape>
            </w:pict>
          </mc:Fallback>
        </mc:AlternateContent>
      </w:r>
      <w:r w:rsidRPr="00D03619">
        <w:rPr>
          <w:noProof/>
          <w:lang w:eastAsia="lt-LT"/>
        </w:rPr>
        <mc:AlternateContent>
          <mc:Choice Requires="wps">
            <w:drawing>
              <wp:anchor distT="0" distB="0" distL="114300" distR="114300" simplePos="0" relativeHeight="251874304" behindDoc="0" locked="0" layoutInCell="1" allowOverlap="1" wp14:anchorId="07C21266" wp14:editId="3B488748">
                <wp:simplePos x="0" y="0"/>
                <wp:positionH relativeFrom="column">
                  <wp:posOffset>1028700</wp:posOffset>
                </wp:positionH>
                <wp:positionV relativeFrom="paragraph">
                  <wp:posOffset>38100</wp:posOffset>
                </wp:positionV>
                <wp:extent cx="571500" cy="228600"/>
                <wp:effectExtent l="0" t="1270" r="4445" b="0"/>
                <wp:wrapNone/>
                <wp:docPr id="5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482A910E" w14:textId="77777777" w:rsidR="007B24A1" w:rsidRDefault="007B24A1"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07C21266" id="Text Box 224" o:spid="_x0000_s1211" type="#_x0000_t202" style="position:absolute;left:0;text-align:left;margin-left:81pt;margin-top:3pt;width:45pt;height:18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VCgIAAPoDAAAOAAAAZHJzL2Uyb0RvYy54bWysU9tu2zAMfR+wfxD0vjg2krQz4hRdigwD&#10;ugvQ7gNkWbaF2aJGKbGzrx8lJ1m2vRXVgyCK1CHPIbW+G/uOHRQ6Dabg6WzOmTISKm2agn9/3r27&#10;5cx5YSrRgVEFPyrH7zZv36wHm6sMWugqhYxAjMsHW/DWe5sniZOt6oWbgVWGnDVgLzyZ2CQVioHQ&#10;+y7J5vNVMgBWFkEq5+j2YXLyTcSvayX917p2yrOu4FSbjzvGvQx7slmLvEFhWy1PZYgXVNELbSjp&#10;BepBeMH2qP+D6rVEcFD7mYQ+gbrWUkUOxCad/8PmqRVWRS4kjrMXmdzrwcovh2/IdFXw5YozI3rq&#10;0bMaPfsAI8uyRRBosC6nuCdLkX4kBzU6knX2EeQPxwxsW2EadY8IQ6tERQWm4WVy9XTCcQGkHD5D&#10;RYnE3kMEGmvsg3qkByN0atTx0pxQjKTL5U26nJNHkivLbld0DhlEfn5s0fmPCnoWDgVH6n0EF4dH&#10;56fQc0jI5aDT1U53XTSwKbcdsoOgOdnFdUL/K6wzIdhAeDYhhpvIMhCbKPqxHKOiaZad5SuhOhJx&#10;hGkA6cPQoQX8xdlAw1dw93MvUHHWfTIk3vt0sQjTGo3F8iYjA6895bVHGElQBfecTcetnyZ8b1E3&#10;LWWa2mXgngSvdRQjdGaq6kSABizKefoMYYKv7Rj158tufgMAAP//AwBQSwMEFAAGAAgAAAAhAM86&#10;6pHaAAAACAEAAA8AAABkcnMvZG93bnJldi54bWxMj81OwzAQhO9IvIO1SFwQdYjaFEKcCpBAXPvz&#10;AJt4m0TE6yh2m/Tt2Z7gNBrNavabYjO7Xp1pDJ1nA0+LBBRx7W3HjYHD/vPxGVSIyBZ7z2TgQgE2&#10;5e1Ngbn1E2/pvIuNkhIOORpoYxxyrUPdksOw8AOxZEc/Ooxix0bbEScpd71OkyTTDjuWDy0O9NFS&#10;/bM7OQPH7+lh9TJVX/Gw3i6zd+zWlb8Yc383v72CijTHv2O44gs6lMJU+RPboHrxWSpbooFMRPJ0&#10;dfWVgaWoLgv9f0D5CwAA//8DAFBLAQItABQABgAIAAAAIQC2gziS/gAAAOEBAAATAAAAAAAAAAAA&#10;AAAAAAAAAABbQ29udGVudF9UeXBlc10ueG1sUEsBAi0AFAAGAAgAAAAhADj9If/WAAAAlAEAAAsA&#10;AAAAAAAAAAAAAAAALwEAAF9yZWxzLy5yZWxzUEsBAi0AFAAGAAgAAAAhANoVn9UKAgAA+gMAAA4A&#10;AAAAAAAAAAAAAAAALgIAAGRycy9lMm9Eb2MueG1sUEsBAi0AFAAGAAgAAAAhAM866pHaAAAACAEA&#10;AA8AAAAAAAAAAAAAAAAAZAQAAGRycy9kb3ducmV2LnhtbFBLBQYAAAAABAAEAPMAAABrBQAAAAA=&#10;" stroked="f">
                <v:textbox>
                  <w:txbxContent>
                    <w:p w14:paraId="482A910E" w14:textId="77777777" w:rsidR="007B24A1" w:rsidRDefault="007B24A1" w:rsidP="007B24A1">
                      <w:pPr>
                        <w:rPr>
                          <w:sz w:val="22"/>
                          <w:szCs w:val="22"/>
                        </w:rPr>
                      </w:pPr>
                      <w:r>
                        <w:rPr>
                          <w:b/>
                          <w:bCs/>
                          <w:sz w:val="22"/>
                          <w:szCs w:val="22"/>
                        </w:rPr>
                        <w:t>100%</w:t>
                      </w:r>
                    </w:p>
                  </w:txbxContent>
                </v:textbox>
              </v:shape>
            </w:pict>
          </mc:Fallback>
        </mc:AlternateContent>
      </w:r>
      <w:r w:rsidRPr="00D03619">
        <w:rPr>
          <w:noProof/>
          <w:lang w:eastAsia="lt-LT"/>
        </w:rPr>
        <mc:AlternateContent>
          <mc:Choice Requires="wps">
            <w:drawing>
              <wp:anchor distT="0" distB="0" distL="114300" distR="114300" simplePos="0" relativeHeight="251866112" behindDoc="0" locked="0" layoutInCell="1" allowOverlap="1" wp14:anchorId="687A9FC8" wp14:editId="4350B890">
                <wp:simplePos x="0" y="0"/>
                <wp:positionH relativeFrom="column">
                  <wp:posOffset>2514600</wp:posOffset>
                </wp:positionH>
                <wp:positionV relativeFrom="paragraph">
                  <wp:posOffset>102235</wp:posOffset>
                </wp:positionV>
                <wp:extent cx="0" cy="368935"/>
                <wp:effectExtent l="52705" t="8255" r="61595" b="22860"/>
                <wp:wrapNone/>
                <wp:docPr id="55"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3175">
                          <a:solidFill>
                            <a:srgbClr val="000000"/>
                          </a:solidFill>
                          <a:round/>
                          <a:tailEnd type="triangle" w="med" len="med"/>
                        </a:ln>
                      </wps:spPr>
                      <wps:bodyPr/>
                    </wps:wsp>
                  </a:graphicData>
                </a:graphic>
              </wp:anchor>
            </w:drawing>
          </mc:Choice>
          <mc:Fallback>
            <w:pict>
              <v:line w14:anchorId="68367097" id="Line 225"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198pt,8.05pt" to="19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Y10AEAAIEDAAAOAAAAZHJzL2Uyb0RvYy54bWysU8FuGyEQvVfqPyDu9dqOnKYrr3Nwkl6c&#10;1lLSD8Awu4sKDALsXf99Buw4SXurygExzMybN29geTtaww4QokbX8Nlkyhk4iUq7ruG/nh++3HAW&#10;k3BKGHTQ8CNEfrv6/Gk5+Brm2KNREBiBuFgPvuF9Sr6uqih7sCJO0IMjZ4vBikRm6CoVxEDo1lTz&#10;6fS6GjAoH1BCjHR7d3LyVcFvW5DpZ9tGSMw0nLilsoey7/JerZai7oLwvZZnGuIfWFihHRW9QN2J&#10;JNg+6L+grJYBI7ZpItFW2LZaQumBuplN/+jmqRceSi8kTvQXmeL/g5U/DtvAtGr4YsGZE5ZmtNEO&#10;2Hy+yOIMPtYUs3bbkNuTo3vyG5S/I3O47oXroJB8PnpKnOWM6kNKNqKnErvhERXFiH3CotTYBpsh&#10;SQM2loEcLwOBMTF5upR0e3V98+2q0KlE/ZrnQ0zfAS3Lh4YbIl1wxWETU+Yh6teQXMbhgzamjNs4&#10;NhDo7OuiJEQ0WmVnDouh261NYAeRH0xZpSnyvA8LuHeqgCWhzb1TLBUFUtCkiQGeK1hQnBmgf5FP&#10;J0rGnRXKopzk3aE6bkN2Z7FozoX7+U3mh/TeLlFvP2f1AgAA//8DAFBLAwQUAAYACAAAACEAlzmQ&#10;RN8AAAAJAQAADwAAAGRycy9kb3ducmV2LnhtbEyPS0/DMBCE70j9D9ZW4oKo0wAppHGqConHgUsf&#10;EhydeJsE4nUUO23671nEAY47M5r9JluNthVH7H3jSMF8FoFAKp1pqFKw3z1d34PwQZPRrSNUcEYP&#10;q3xykenUuBNt8LgNleAS8qlWUIfQpVL6skar/cx1SOwdXG914LOvpOn1icttK+MoSqTVDfGHWnf4&#10;WGP5tR2sgtf1fojv3pqXd5Ns7NUzfXyeC6fU5XRcL0EEHMNfGH7wGR1yZircQMaLVsHNQ8JbAhvJ&#10;HAQHfoVCweI2Bpln8v+C/BsAAP//AwBQSwECLQAUAAYACAAAACEAtoM4kv4AAADhAQAAEwAAAAAA&#10;AAAAAAAAAAAAAAAAW0NvbnRlbnRfVHlwZXNdLnhtbFBLAQItABQABgAIAAAAIQA4/SH/1gAAAJQB&#10;AAALAAAAAAAAAAAAAAAAAC8BAABfcmVscy8ucmVsc1BLAQItABQABgAIAAAAIQA4aLY10AEAAIED&#10;AAAOAAAAAAAAAAAAAAAAAC4CAABkcnMvZTJvRG9jLnhtbFBLAQItABQABgAIAAAAIQCXOZBE3wAA&#10;AAkBAAAPAAAAAAAAAAAAAAAAACoEAABkcnMvZG93bnJldi54bWxQSwUGAAAAAAQABADzAAAANgUA&#10;AAAA&#10;" strokeweight=".25pt">
                <v:stroke endarrow="block"/>
              </v:line>
            </w:pict>
          </mc:Fallback>
        </mc:AlternateContent>
      </w:r>
    </w:p>
    <w:p w14:paraId="5BBF31D5"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75328" behindDoc="0" locked="0" layoutInCell="1" allowOverlap="1" wp14:anchorId="0AC53E4A" wp14:editId="4BF3456B">
                <wp:simplePos x="0" y="0"/>
                <wp:positionH relativeFrom="column">
                  <wp:posOffset>1828800</wp:posOffset>
                </wp:positionH>
                <wp:positionV relativeFrom="paragraph">
                  <wp:posOffset>6350</wp:posOffset>
                </wp:positionV>
                <wp:extent cx="571500" cy="228600"/>
                <wp:effectExtent l="0" t="3810" r="4445" b="0"/>
                <wp:wrapNone/>
                <wp:docPr id="5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240B9656" w14:textId="77777777" w:rsidR="007B24A1" w:rsidRDefault="007B24A1" w:rsidP="007B24A1">
                            <w:pPr>
                              <w:rPr>
                                <w:sz w:val="22"/>
                                <w:szCs w:val="22"/>
                              </w:rPr>
                            </w:pPr>
                            <w:r>
                              <w:rPr>
                                <w:b/>
                                <w:bCs/>
                                <w:sz w:val="22"/>
                                <w:szCs w:val="22"/>
                              </w:rPr>
                              <w:t>100%</w:t>
                            </w:r>
                          </w:p>
                        </w:txbxContent>
                      </wps:txbx>
                      <wps:bodyPr rot="0" vert="horz" wrap="square" lIns="91440" tIns="45720" rIns="91440" bIns="45720" anchor="t" anchorCtr="0" upright="1">
                        <a:noAutofit/>
                      </wps:bodyPr>
                    </wps:wsp>
                  </a:graphicData>
                </a:graphic>
              </wp:anchor>
            </w:drawing>
          </mc:Choice>
          <mc:Fallback>
            <w:pict>
              <v:shape w14:anchorId="0AC53E4A" id="Text Box 226" o:spid="_x0000_s1212" type="#_x0000_t202" style="position:absolute;left:0;text-align:left;margin-left:2in;margin-top:.5pt;width:45pt;height:18pt;z-index:25187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TCgIAAPoDAAAOAAAAZHJzL2Uyb0RvYy54bWysU8GO0zAQvSPxD5bvNE1ou0vUdLV0VYS0&#10;LEi7fIDjOIlF4jFjt0n5esZOWwrcED5YHs/4zbw34/Xd2HfsoNBpMAVPZ3POlJFQadMU/OvL7s0t&#10;Z84LU4kOjCr4UTl+t3n9aj3YXGXQQlcpZARiXD7Ygrfe2zxJnGxVL9wMrDLkrAF74cnEJqlQDITe&#10;d0k2n6+SAbCyCFI5R7cPk5NvIn5dK+k/17VTnnUFp9p83DHuZdiTzVrkDQrbankqQ/xDFb3QhpJe&#10;oB6EF2yP+i+oXksEB7WfSegTqGstVeRAbNL5H2yeW2FV5ELiOHuRyf0/WPl0+IJMVwVfLjgzoqce&#10;vajRs/cwsixbBYEG63KKe7YU6UdyUKMjWWcfQX5zzMC2FaZR94gwtEpUVGAaXiZXTyccF0DK4RNU&#10;lEjsPUSgscY+qEd6MEKnRh0vzQnFSLpc3qTLOXkkubLsdkXnkEHk58cWnf+goGfhUHCk3kdwcXh0&#10;fgo9h4RcDjpd7XTXRQObctshOwiak11cJ/TfwjoTgg2EZxNiuIksA7GJoh/LMSqaZm/P8pVQHYk4&#10;wjSA9GHo0AL+4Gyg4Su4+74XqDjrPhoS7126WIRpjcZieZORgdee8tojjCSognvOpuPWTxO+t6ib&#10;ljJN7TJwT4LXOooROjNVdSJAAxblPH2GMMHXdoz69WU3PwEAAP//AwBQSwMEFAAGAAgAAAAhAGjz&#10;VC7bAAAACAEAAA8AAABkcnMvZG93bnJldi54bWxMj0FPg0AQhe8m/ofNmHgxdrFqQcrSqImm19b+&#10;gAGmQMrOEnZb6L93OOlp5uVN3nwv20y2UxcafOvYwNMiAkVcuqrl2sDh5+sxAeUDcoWdYzJwJQ+b&#10;/PYmw7RyI+/osg+1khD2KRpoQuhTrX3ZkEW/cD2xeEc3WAwih1pXA44Sbju9jKKVttiyfGiwp8+G&#10;ytP+bA0ct+PD69tYfIdDvHtZfWAbF+5qzP3d9L4GFWgKf8cw4ws65MJUuDNXXnUGlkkiXYIYMsR/&#10;jmddzEsEOs/0/wL5LwAAAP//AwBQSwECLQAUAAYACAAAACEAtoM4kv4AAADhAQAAEwAAAAAAAAAA&#10;AAAAAAAAAAAAW0NvbnRlbnRfVHlwZXNdLnhtbFBLAQItABQABgAIAAAAIQA4/SH/1gAAAJQBAAAL&#10;AAAAAAAAAAAAAAAAAC8BAABfcmVscy8ucmVsc1BLAQItABQABgAIAAAAIQA+CDqTCgIAAPoDAAAO&#10;AAAAAAAAAAAAAAAAAC4CAABkcnMvZTJvRG9jLnhtbFBLAQItABQABgAIAAAAIQBo81Qu2wAAAAgB&#10;AAAPAAAAAAAAAAAAAAAAAGQEAABkcnMvZG93bnJldi54bWxQSwUGAAAAAAQABADzAAAAbAUAAAAA&#10;" stroked="f">
                <v:textbox>
                  <w:txbxContent>
                    <w:p w14:paraId="240B9656" w14:textId="77777777" w:rsidR="007B24A1" w:rsidRDefault="007B24A1" w:rsidP="007B24A1">
                      <w:pPr>
                        <w:rPr>
                          <w:sz w:val="22"/>
                          <w:szCs w:val="22"/>
                        </w:rPr>
                      </w:pPr>
                      <w:r>
                        <w:rPr>
                          <w:b/>
                          <w:bCs/>
                          <w:sz w:val="22"/>
                          <w:szCs w:val="22"/>
                        </w:rPr>
                        <w:t>100%</w:t>
                      </w:r>
                    </w:p>
                  </w:txbxContent>
                </v:textbox>
              </v:shape>
            </w:pict>
          </mc:Fallback>
        </mc:AlternateContent>
      </w:r>
    </w:p>
    <w:p w14:paraId="50E7A34D"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0992" behindDoc="0" locked="0" layoutInCell="1" allowOverlap="1" wp14:anchorId="4EBAFDFA" wp14:editId="76AE2D12">
                <wp:simplePos x="0" y="0"/>
                <wp:positionH relativeFrom="column">
                  <wp:posOffset>342900</wp:posOffset>
                </wp:positionH>
                <wp:positionV relativeFrom="paragraph">
                  <wp:posOffset>147320</wp:posOffset>
                </wp:positionV>
                <wp:extent cx="914400" cy="342900"/>
                <wp:effectExtent l="5080" t="7620" r="13970" b="11430"/>
                <wp:wrapNone/>
                <wp:docPr id="5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6B932952" w14:textId="77777777" w:rsidR="007B24A1" w:rsidRDefault="007B24A1" w:rsidP="007B24A1">
                            <w:pPr>
                              <w:rPr>
                                <w:sz w:val="22"/>
                                <w:szCs w:val="22"/>
                              </w:rPr>
                            </w:pPr>
                            <w:r>
                              <w:rPr>
                                <w:b/>
                                <w:bCs/>
                                <w:sz w:val="22"/>
                                <w:szCs w:val="22"/>
                              </w:rPr>
                              <w:t>UAB „</w:t>
                            </w:r>
                            <w:r>
                              <w:rPr>
                                <w:sz w:val="22"/>
                                <w:szCs w:val="22"/>
                              </w:rPr>
                              <w:t>A“</w:t>
                            </w:r>
                          </w:p>
                        </w:txbxContent>
                      </wps:txbx>
                      <wps:bodyPr rot="0" vert="horz" wrap="square" lIns="91440" tIns="45720" rIns="91440" bIns="45720" anchor="t" anchorCtr="0" upright="1">
                        <a:noAutofit/>
                      </wps:bodyPr>
                    </wps:wsp>
                  </a:graphicData>
                </a:graphic>
              </wp:anchor>
            </w:drawing>
          </mc:Choice>
          <mc:Fallback>
            <w:pict>
              <v:shape w14:anchorId="4EBAFDFA" id="Text Box 227" o:spid="_x0000_s1213" type="#_x0000_t202" style="position:absolute;left:0;text-align:left;margin-left:27pt;margin-top:11.6pt;width:1in;height:27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E6HQIAAEMEAAAOAAAAZHJzL2Uyb0RvYy54bWysU21v2yAQ/j5p/wHxfbHjJmtrxam6VJkm&#10;dd2kdj8AY2yjAceAxM5+/Q6cptnbl2l8QMAdz909z93qZtSK7IXzEkxF57OcEmE4NNJ0Ff3ytH1z&#10;RYkPzDRMgREVPQhPb9avX60GW4oCelCNcARBjC8HW9E+BFtmmee90MzPwAqDxhacZgGvrssaxwZE&#10;1yor8vxtNoBrrAMuvMfXu8lI1wm/bQUPn9rWi0BURTG3kHaX9jru2XrFys4x20t+TIP9QxaaSYNB&#10;T1B3LDCyc/I3KC25Aw9tmHHQGbSt5CLVgNXM81+qeeyZFakWJMfbE03+/8Hyh/1nR2RT0eUFJYZp&#10;1OhJjIG8g5EUxWUkaLC+RL9Hi55hRAMKnYr19h74V08MbHpmOnHrHAy9YA0mOI8/s7OvE46PIPXw&#10;ERoMxHYBEtDYOh3ZQz4IoqNQh5M4MRmOj9fzxSJHC0fTxaK4xnOMwMrnz9b58F6AJvFQUYfaJ3C2&#10;v/dhcn12ibE8KNlspVLp4rp6oxzZM+yTbVpH9J/clCEDZrIsllP9f4XI0/oThJYBG15JXdGrcydl&#10;jnRFhiauwliPSZp5sYhQkcwamgMy6GDqZJw8PPTgvlMyYBdX1H/bMScoUR8MqpBIw7ZPl8XyskAC&#10;3bmlPrcwwxGqooGS6bgJ06jsrJNdj5Em3Q3conKtTKy+ZHUsADs16XKcqjgK5/fk9TL76x8AAAD/&#10;/wMAUEsDBBQABgAIAAAAIQAuFkNY3wAAAAgBAAAPAAAAZHJzL2Rvd25yZXYueG1sTI/BTsMwEETv&#10;SPyDtUhcEHVIS5OGbCqEBKI3KAiubrxNIuJ1sN00/D3uCY6zs5p5U64n04uRnO8sI9zMEhDEtdUd&#10;Nwjvb4/XOQgfFGvVWyaEH/Kwrs7PSlVoe+RXGrehETGEfaEQ2hCGQkpft2SUn9mBOHp764wKUbpG&#10;aqeOMdz0Mk2SpTSq49jQqoEeWqq/tgeDkC+ex0+/mb981Mt9vwpX2fj07RAvL6b7OxCBpvD3DCf8&#10;iA5VZNrZA2sveoTbRZwSENJ5CuLkr/J42CFkWQqyKuX/AdUvAAAA//8DAFBLAQItABQABgAIAAAA&#10;IQC2gziS/gAAAOEBAAATAAAAAAAAAAAAAAAAAAAAAABbQ29udGVudF9UeXBlc10ueG1sUEsBAi0A&#10;FAAGAAgAAAAhADj9If/WAAAAlAEAAAsAAAAAAAAAAAAAAAAALwEAAF9yZWxzLy5yZWxzUEsBAi0A&#10;FAAGAAgAAAAhADfFQTodAgAAQwQAAA4AAAAAAAAAAAAAAAAALgIAAGRycy9lMm9Eb2MueG1sUEsB&#10;Ai0AFAAGAAgAAAAhAC4WQ1jfAAAACAEAAA8AAAAAAAAAAAAAAAAAdwQAAGRycy9kb3ducmV2Lnht&#10;bFBLBQYAAAAABAAEAPMAAACDBQAAAAA=&#10;">
                <v:textbox>
                  <w:txbxContent>
                    <w:p w14:paraId="6B932952" w14:textId="77777777" w:rsidR="007B24A1" w:rsidRDefault="007B24A1" w:rsidP="007B24A1">
                      <w:pPr>
                        <w:rPr>
                          <w:sz w:val="22"/>
                          <w:szCs w:val="22"/>
                        </w:rPr>
                      </w:pPr>
                      <w:r>
                        <w:rPr>
                          <w:b/>
                          <w:bCs/>
                          <w:sz w:val="22"/>
                          <w:szCs w:val="22"/>
                        </w:rPr>
                        <w:t>UAB „</w:t>
                      </w:r>
                      <w:r>
                        <w:rPr>
                          <w:sz w:val="22"/>
                          <w:szCs w:val="22"/>
                        </w:rPr>
                        <w:t>A“</w:t>
                      </w:r>
                    </w:p>
                  </w:txbxContent>
                </v:textbox>
              </v:shape>
            </w:pict>
          </mc:Fallback>
        </mc:AlternateContent>
      </w:r>
    </w:p>
    <w:p w14:paraId="6170A287" w14:textId="77777777" w:rsidR="007B24A1" w:rsidRPr="00D03619" w:rsidRDefault="007B24A1" w:rsidP="007B24A1">
      <w:pPr>
        <w:pStyle w:val="Pagrindiniotekstotrauka2"/>
        <w:pBdr>
          <w:top w:val="single" w:sz="4" w:space="1" w:color="auto"/>
          <w:left w:val="single" w:sz="4" w:space="4" w:color="auto"/>
          <w:bottom w:val="single" w:sz="4" w:space="1" w:color="auto"/>
          <w:right w:val="single" w:sz="4" w:space="4" w:color="auto"/>
        </w:pBdr>
        <w:tabs>
          <w:tab w:val="left" w:pos="720"/>
          <w:tab w:val="left" w:pos="1077"/>
          <w:tab w:val="left" w:pos="1134"/>
          <w:tab w:val="left" w:pos="1418"/>
        </w:tabs>
        <w:rPr>
          <w:b w:val="0"/>
          <w:bCs w:val="0"/>
          <w:iCs/>
        </w:rPr>
      </w:pPr>
      <w:r w:rsidRPr="00D03619">
        <w:rPr>
          <w:noProof/>
          <w:lang w:eastAsia="lt-LT"/>
        </w:rPr>
        <mc:AlternateContent>
          <mc:Choice Requires="wps">
            <w:drawing>
              <wp:anchor distT="0" distB="0" distL="114300" distR="114300" simplePos="0" relativeHeight="251863040" behindDoc="0" locked="0" layoutInCell="1" allowOverlap="1" wp14:anchorId="1303EFCC" wp14:editId="19131A16">
                <wp:simplePos x="0" y="0"/>
                <wp:positionH relativeFrom="column">
                  <wp:posOffset>2057400</wp:posOffset>
                </wp:positionH>
                <wp:positionV relativeFrom="paragraph">
                  <wp:posOffset>42545</wp:posOffset>
                </wp:positionV>
                <wp:extent cx="914400" cy="342900"/>
                <wp:effectExtent l="5080" t="13335" r="13970" b="5715"/>
                <wp:wrapNone/>
                <wp:docPr id="5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07A524F4" w14:textId="77777777" w:rsidR="007B24A1" w:rsidRDefault="007B24A1" w:rsidP="007B24A1">
                            <w:pPr>
                              <w:rPr>
                                <w:sz w:val="22"/>
                                <w:szCs w:val="22"/>
                              </w:rPr>
                            </w:pPr>
                            <w:r>
                              <w:rPr>
                                <w:b/>
                                <w:bCs/>
                                <w:sz w:val="22"/>
                                <w:szCs w:val="22"/>
                              </w:rPr>
                              <w:t>UAB „</w:t>
                            </w:r>
                            <w:r>
                              <w:rPr>
                                <w:sz w:val="22"/>
                                <w:szCs w:val="22"/>
                              </w:rPr>
                              <w:t>B“</w:t>
                            </w:r>
                          </w:p>
                        </w:txbxContent>
                      </wps:txbx>
                      <wps:bodyPr rot="0" vert="horz" wrap="square" lIns="91440" tIns="45720" rIns="91440" bIns="45720" anchor="t" anchorCtr="0" upright="1">
                        <a:noAutofit/>
                      </wps:bodyPr>
                    </wps:wsp>
                  </a:graphicData>
                </a:graphic>
              </wp:anchor>
            </w:drawing>
          </mc:Choice>
          <mc:Fallback>
            <w:pict>
              <v:shape w14:anchorId="1303EFCC" id="Text Box 228" o:spid="_x0000_s1214" type="#_x0000_t202" style="position:absolute;left:0;text-align:left;margin-left:162pt;margin-top:3.35pt;width:1in;height:27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9/wHAIAAEMEAAAOAAAAZHJzL2Uyb0RvYy54bWysU9uO2yAQfa/Uf0C8N3bcpM1acVbbrFJV&#10;2l6k3X4AxthGBYYCib39+g7Ym6a3l6o8IGCGMzPnzGyvR63ISTgvwVR0ucgpEYZDI01X0c8Phxcb&#10;SnxgpmEKjKjoo/D0evf82XawpSigB9UIRxDE+HKwFe1DsGWWed4LzfwCrDBobMFpFvDquqxxbEB0&#10;rbIiz19lA7jGOuDCe3y9nYx0l/DbVvDwsW29CERVFHMLaXdpr+Oe7bas7ByzveRzGuwfstBMGgx6&#10;hrplgZGjk79BackdeGjDgoPOoG0lF6kGrGaZ/1LNfc+sSLUgOd6eafL/D5Z/OH1yRDYVXReUGKZR&#10;owcxBvIGRlIUm0jQYH2JfvcWPcOIBhQ6FevtHfAvnhjY98x04sY5GHrBGkxwGX9mF18nHB9B6uE9&#10;NBiIHQMkoLF1OrKHfBBER6Eez+LEZDg+Xi1XqxwtHE0vV8UVnmMEVj59ts6HtwI0iYeKOtQ+gbPT&#10;nQ+T65NLjOVByeYglUoX19V75ciJYZ8c0prRf3JThgyYybpYT/X/FSJP608QWgZseCV1RTeXTsrM&#10;dEWGJq7CWI9JmiXGm3WooXlEBh1MnYyTh4ce3DdKBuziivqvR+YEJeqdQRUSadj26bJavy6QQHdp&#10;qS8tzHCEqmigZDruwzQqR+tk12OkSXcDN6hcKxOrUeIpq7kA7NSkyzxVcRQu78nrx+zvvgMAAP//&#10;AwBQSwMEFAAGAAgAAAAhAMu045rdAAAACAEAAA8AAABkcnMvZG93bnJldi54bWxMj8FOwzAQRO9I&#10;/IO1SFwQdWijJIQ4FUICwQ0Kaq9uvE0i4nWw3TT8PcsJjk+zmn1TrWc7iAl96B0puFkkIJAaZ3pq&#10;FXy8P14XIELUZPTgCBV8Y4B1fX5W6dK4E73htImt4BIKpVbQxTiWUoamQ6vDwo1InB2ctzoy+lYa&#10;r09cbge5TJJMWt0Tf+j0iA8dNp+bo1VQpM/TLrysXrdNdhhu41U+PX15pS4v5vs7EBHn+HcMv/qs&#10;DjU77d2RTBCDgtUy5S1RQZaD4DzNCuY9c5KDrCv5f0D9AwAA//8DAFBLAQItABQABgAIAAAAIQC2&#10;gziS/gAAAOEBAAATAAAAAAAAAAAAAAAAAAAAAABbQ29udGVudF9UeXBlc10ueG1sUEsBAi0AFAAG&#10;AAgAAAAhADj9If/WAAAAlAEAAAsAAAAAAAAAAAAAAAAALwEAAF9yZWxzLy5yZWxzUEsBAi0AFAAG&#10;AAgAAAAhALGj3/AcAgAAQwQAAA4AAAAAAAAAAAAAAAAALgIAAGRycy9lMm9Eb2MueG1sUEsBAi0A&#10;FAAGAAgAAAAhAMu045rdAAAACAEAAA8AAAAAAAAAAAAAAAAAdgQAAGRycy9kb3ducmV2LnhtbFBL&#10;BQYAAAAABAAEAPMAAACABQAAAAA=&#10;">
                <v:textbox>
                  <w:txbxContent>
                    <w:p w14:paraId="07A524F4" w14:textId="77777777" w:rsidR="007B24A1" w:rsidRDefault="007B24A1" w:rsidP="007B24A1">
                      <w:pPr>
                        <w:rPr>
                          <w:sz w:val="22"/>
                          <w:szCs w:val="22"/>
                        </w:rPr>
                      </w:pPr>
                      <w:r>
                        <w:rPr>
                          <w:b/>
                          <w:bCs/>
                          <w:sz w:val="22"/>
                          <w:szCs w:val="22"/>
                        </w:rPr>
                        <w:t>UAB „</w:t>
                      </w:r>
                      <w:r>
                        <w:rPr>
                          <w:sz w:val="22"/>
                          <w:szCs w:val="22"/>
                        </w:rPr>
                        <w:t>B“</w:t>
                      </w:r>
                    </w:p>
                  </w:txbxContent>
                </v:textbox>
              </v:shape>
            </w:pict>
          </mc:Fallback>
        </mc:AlternateContent>
      </w:r>
      <w:r w:rsidRPr="00D03619">
        <w:rPr>
          <w:noProof/>
          <w:lang w:eastAsia="lt-LT"/>
        </w:rPr>
        <mc:AlternateContent>
          <mc:Choice Requires="wps">
            <w:drawing>
              <wp:anchor distT="0" distB="0" distL="114300" distR="114300" simplePos="0" relativeHeight="251869184" behindDoc="0" locked="0" layoutInCell="1" allowOverlap="1" wp14:anchorId="0CDC8195" wp14:editId="0263DE77">
                <wp:simplePos x="0" y="0"/>
                <wp:positionH relativeFrom="column">
                  <wp:posOffset>3533775</wp:posOffset>
                </wp:positionH>
                <wp:positionV relativeFrom="paragraph">
                  <wp:posOffset>-3810</wp:posOffset>
                </wp:positionV>
                <wp:extent cx="914400" cy="342900"/>
                <wp:effectExtent l="5080" t="5080" r="13970" b="13970"/>
                <wp:wrapNone/>
                <wp:docPr id="5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ln>
                      </wps:spPr>
                      <wps:txbx>
                        <w:txbxContent>
                          <w:p w14:paraId="65876959" w14:textId="77777777" w:rsidR="007B24A1" w:rsidRDefault="007B24A1" w:rsidP="007B24A1">
                            <w:pPr>
                              <w:rPr>
                                <w:sz w:val="22"/>
                                <w:szCs w:val="22"/>
                              </w:rPr>
                            </w:pPr>
                            <w:r>
                              <w:rPr>
                                <w:b/>
                                <w:bCs/>
                                <w:sz w:val="22"/>
                                <w:szCs w:val="22"/>
                              </w:rPr>
                              <w:t>UAB „</w:t>
                            </w:r>
                            <w:r>
                              <w:rPr>
                                <w:sz w:val="22"/>
                                <w:szCs w:val="22"/>
                              </w:rPr>
                              <w:t>C“</w:t>
                            </w:r>
                          </w:p>
                        </w:txbxContent>
                      </wps:txbx>
                      <wps:bodyPr rot="0" vert="horz" wrap="square" lIns="91440" tIns="45720" rIns="91440" bIns="45720" anchor="t" anchorCtr="0" upright="1">
                        <a:noAutofit/>
                      </wps:bodyPr>
                    </wps:wsp>
                  </a:graphicData>
                </a:graphic>
              </wp:anchor>
            </w:drawing>
          </mc:Choice>
          <mc:Fallback>
            <w:pict>
              <v:shape w14:anchorId="0CDC8195" id="Text Box 229" o:spid="_x0000_s1215" type="#_x0000_t202" style="position:absolute;left:0;text-align:left;margin-left:278.25pt;margin-top:-.3pt;width:1in;height:27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qZHAIAAEMEAAAOAAAAZHJzL2Uyb0RvYy54bWysU9uO2yAQfa/Uf0C8N7402W6sOKttVqkq&#10;bS/Sbj+AYGyjAkOBxE6/vgPOZtPbS1UeEDDDmZlzZlY3o1bkIJyXYGpazHJKhOHQSNPV9Mvj9tU1&#10;JT4w0zAFRtT0KDy9Wb98sRpsJUroQTXCEQQxvhpsTfsQbJVlnvdCMz8DKwwaW3CaBby6LmscGxBd&#10;q6zM86tsANdYB1x4j693k5GuE37bCh4+ta0XgaiaYm4h7S7tu7hn6xWrOsdsL/kpDfYPWWgmDQY9&#10;Q92xwMjeyd+gtOQOPLRhxkFn0LaSi1QDVlPkv1Tz0DMrUi1Ijrdnmvz/g+UfD58dkU1NFwUlhmnU&#10;6FGMgbyFkZTlMhI0WF+h34NFzzCiAYVOxXp7D/yrJwY2PTOduHUOhl6wBhMs4s/s4uuE4yPIbvgA&#10;DQZi+wAJaGydjuwhHwTRUajjWZyYDMfHZTGf52jhaHo9L5d4jhFY9fTZOh/eCdAkHmrqUPsEzg73&#10;PkyuTy4xlgclm61UKl1ct9soRw4M+2Sb1gn9JzdlyICZLMrFVP9fIfK0/gShZcCGV1LX9PrSSZkT&#10;XZGhiasw7sYkTVFeRahI5g6aIzLoYOpknDw89OC+UzJgF9fUf9szJyhR7w2qkEjDtk+X+eJNiQS6&#10;S8vu0sIMR6iaBkqm4yZMo7K3TnY9Rpp0N3CLyrUysfqc1akA7NSky2mq4ihc3pPX8+yvfwAAAP//&#10;AwBQSwMEFAAGAAgAAAAhAM9bkpjdAAAACAEAAA8AAABkcnMvZG93bnJldi54bWxMj8FOwzAQRO9I&#10;/IO1SFxQa0ObtIQ4FUICwQ0Kgqsbb5OIeB1sNw1/z3KC4+iNZt+Wm8n1YsQQO08aLucKBFLtbUeN&#10;hrfX+9kaREyGrOk9oYZvjLCpTk9KU1h/pBcct6kRPEKxMBralIZCyli36Eyc+wGJ2d4HZxLH0Egb&#10;zJHHXS+vlMqlMx3xhdYMeNdi/bk9OA3r5eP4EZ8Wz+91vu+v08VqfPgKWp+fTbc3IBJO6a8Mv/qs&#10;DhU77fyBbBS9hizLM65qmOUgmK+U4rxjsFiCrEr5/4HqBwAA//8DAFBLAQItABQABgAIAAAAIQC2&#10;gziS/gAAAOEBAAATAAAAAAAAAAAAAAAAAAAAAABbQ29udGVudF9UeXBlc10ueG1sUEsBAi0AFAAG&#10;AAgAAAAhADj9If/WAAAAlAEAAAsAAAAAAAAAAAAAAAAALwEAAF9yZWxzLy5yZWxzUEsBAi0AFAAG&#10;AAgAAAAhAL/LipkcAgAAQwQAAA4AAAAAAAAAAAAAAAAALgIAAGRycy9lMm9Eb2MueG1sUEsBAi0A&#10;FAAGAAgAAAAhAM9bkpjdAAAACAEAAA8AAAAAAAAAAAAAAAAAdgQAAGRycy9kb3ducmV2LnhtbFBL&#10;BQYAAAAABAAEAPMAAACABQAAAAA=&#10;">
                <v:textbox>
                  <w:txbxContent>
                    <w:p w14:paraId="65876959" w14:textId="77777777" w:rsidR="007B24A1" w:rsidRDefault="007B24A1" w:rsidP="007B24A1">
                      <w:pPr>
                        <w:rPr>
                          <w:sz w:val="22"/>
                          <w:szCs w:val="22"/>
                        </w:rPr>
                      </w:pPr>
                      <w:r>
                        <w:rPr>
                          <w:b/>
                          <w:bCs/>
                          <w:sz w:val="22"/>
                          <w:szCs w:val="22"/>
                        </w:rPr>
                        <w:t>UAB „</w:t>
                      </w:r>
                      <w:r>
                        <w:rPr>
                          <w:sz w:val="22"/>
                          <w:szCs w:val="22"/>
                        </w:rPr>
                        <w:t>C“</w:t>
                      </w:r>
                    </w:p>
                  </w:txbxContent>
                </v:textbox>
              </v:shape>
            </w:pict>
          </mc:Fallback>
        </mc:AlternateContent>
      </w:r>
      <w:r w:rsidRPr="00D03619">
        <w:rPr>
          <w:noProof/>
          <w:lang w:eastAsia="lt-LT"/>
        </w:rPr>
        <mc:AlternateContent>
          <mc:Choice Requires="wps">
            <w:drawing>
              <wp:anchor distT="0" distB="0" distL="114300" distR="114300" simplePos="0" relativeHeight="251868160" behindDoc="0" locked="0" layoutInCell="1" allowOverlap="1" wp14:anchorId="4C5A2A96" wp14:editId="3A208E8B">
                <wp:simplePos x="0" y="0"/>
                <wp:positionH relativeFrom="column">
                  <wp:posOffset>457200</wp:posOffset>
                </wp:positionH>
                <wp:positionV relativeFrom="paragraph">
                  <wp:posOffset>-1028700</wp:posOffset>
                </wp:positionV>
                <wp:extent cx="0" cy="0"/>
                <wp:effectExtent l="5080" t="56515" r="23495" b="57785"/>
                <wp:wrapNone/>
                <wp:docPr id="50"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triangle" w="med" len="med"/>
                        </a:ln>
                      </wps:spPr>
                      <wps:bodyPr/>
                    </wps:wsp>
                  </a:graphicData>
                </a:graphic>
              </wp:anchor>
            </w:drawing>
          </mc:Choice>
          <mc:Fallback>
            <w:pict>
              <v:line w14:anchorId="1E2E3E1D" id="Line 230"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36pt,-81pt" to="3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mygEAAHwDAAAOAAAAZHJzL2Uyb0RvYy54bWysU8GOEzEMvSPxD1HudNqiIhh1uocuy6VA&#10;pV0+wE0ynYgkjuK00/49TtrtLnBDzCEax/bz87OzvDt5J44mkcXQydlkKoUJCrUN+07+eHp491EK&#10;yhA0OAymk2dD8m719s1yjK2Z44BOmyQYJFA7xk4OOce2aUgNxgNNMJrAzh6Th8xm2jc6wcjo3jXz&#10;6fRDM2LSMaEyRHx7f3HKVcXve6Py974nk4XrJHPL9Uz13JWzWS2h3SeIg1VXGvAPLDzYwEVvUPeQ&#10;QRyS/QvKW5WQsM8Thb7BvrfK1B64m9n0j24eB4im9sLiULzJRP8PVn07bpOwupMLlieA5xltbDBi&#10;/r6KM0ZqOWYdtqm0p07hMW5Q/SQRcD1A2JtK8ukcOXFW5Gx+SykGRS6xG7+i5hg4ZKxKnfrkCyRr&#10;IE51IOfbQMwpC3W5VM+3DbTPKTFR/mLQi/LTScd8KyQcN5QLBWifQ0qFgA/WuTppF8TYyU+L+aIm&#10;EDqri7OEUdrv1i6JI5RdqV/thz2vwxIegq5gGaz7HLTItfmcLMvhjCwVvNFSOMNPovxdKLlwFafo&#10;URaU2h3q8zYVd7F4xJX7dR3LDr22a9TLo1n9AgAA//8DAFBLAwQUAAYACAAAACEAkWWiPd4AAAAL&#10;AQAADwAAAGRycy9kb3ducmV2LnhtbEyPQUvDQBCF7wX/wzKCt3aTHmqI2RQR6qXV0lZEb9PsmASz&#10;s2F308Z/71YQvc28ebz5XrEcTSdO5HxrWUE6S0AQV1a3XCt4OaymGQgfkDV2lknBF3lYlleTAnNt&#10;z7yj0z7UIoawz1FBE0KfS+mrhgz6me2J4+3DOoMhrq6W2uE5hptOzpNkIQ22HD802NNDQ9XnfjAK&#10;dpvVOntdD2Pl3h/T58N28/TmM6Vursf7OxCBxvBnhgt+RIcyMh3twNqLTsHtPFYJCqbp4jJFx49y&#10;/FVkWcj/HcpvAAAA//8DAFBLAQItABQABgAIAAAAIQC2gziS/gAAAOEBAAATAAAAAAAAAAAAAAAA&#10;AAAAAABbQ29udGVudF9UeXBlc10ueG1sUEsBAi0AFAAGAAgAAAAhADj9If/WAAAAlAEAAAsAAAAA&#10;AAAAAAAAAAAALwEAAF9yZWxzLy5yZWxzUEsBAi0AFAAGAAgAAAAhAHwef6bKAQAAfAMAAA4AAAAA&#10;AAAAAAAAAAAALgIAAGRycy9lMm9Eb2MueG1sUEsBAi0AFAAGAAgAAAAhAJFloj3eAAAACwEAAA8A&#10;AAAAAAAAAAAAAAAAJAQAAGRycy9kb3ducmV2LnhtbFBLBQYAAAAABAAEAPMAAAAvBQAAAAA=&#10;">
                <v:stroke endarrow="block"/>
              </v:line>
            </w:pict>
          </mc:Fallback>
        </mc:AlternateContent>
      </w:r>
    </w:p>
    <w:p w14:paraId="391801EA"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67136" behindDoc="0" locked="0" layoutInCell="1" allowOverlap="1" wp14:anchorId="0E093102" wp14:editId="11A9CA49">
                <wp:simplePos x="0" y="0"/>
                <wp:positionH relativeFrom="column">
                  <wp:posOffset>758190</wp:posOffset>
                </wp:positionH>
                <wp:positionV relativeFrom="paragraph">
                  <wp:posOffset>154305</wp:posOffset>
                </wp:positionV>
                <wp:extent cx="1242060" cy="574675"/>
                <wp:effectExtent l="10795" t="6985" r="42545" b="56515"/>
                <wp:wrapNone/>
                <wp:docPr id="49"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574675"/>
                        </a:xfrm>
                        <a:prstGeom prst="line">
                          <a:avLst/>
                        </a:prstGeom>
                        <a:noFill/>
                        <a:ln w="3175">
                          <a:solidFill>
                            <a:srgbClr val="000000"/>
                          </a:solidFill>
                          <a:round/>
                          <a:tailEnd type="triangle" w="med" len="med"/>
                        </a:ln>
                      </wps:spPr>
                      <wps:bodyPr/>
                    </wps:wsp>
                  </a:graphicData>
                </a:graphic>
              </wp:anchor>
            </w:drawing>
          </mc:Choice>
          <mc:Fallback>
            <w:pict>
              <v:line w14:anchorId="13C47E23" id="Line 231"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59.7pt,12.15pt" to="157.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N+1AEAAIcDAAAOAAAAZHJzL2Uyb0RvYy54bWysU01vGyEQvVfqf0Dc6/2I4zQrr3Nwml7c&#10;1lLSH4CB3UUFBgH2rv99B/yRpr1F5YAYZubNvDewfJiMJgfpgwLb0mpWUiItB6Fs39KfL0+fPlMS&#10;IrOCabCypUcZ6MPq44fl6BpZwwBaSE8QxIZmdC0dYnRNUQQ+SMPCDJy06OzAGxbR9H0hPBsR3eii&#10;LstFMYIXzgOXIeDt48lJVxm/6ySPP7ouyEh0S7G3mHef913ai9WSNb1nblD83AZ7RxeGKYtFr1CP&#10;LDKy9+ofKKO4hwBdnHEwBXSd4jJzQDZV+Reb54E5mbmgOMFdZQr/D5Z/P2w9UaKl83tKLDM4o42y&#10;ktQ3VRJndKHBmLXd+kSPT/bZbYD/CsTCemC2l7nJl6PDxJxRvElJRnBYYjd+A4ExbB8hKzV13iRI&#10;1IBMeSDH60DkFAnHy6qe1+UC58bRd3s3X9zdpqYK1lyynQ/xqwRD0qGlGlvP6OywCfEUeglJxSw8&#10;Ka3z0LUlY0tvKoRMngBaieTMhu93a+3JgaVnk9e57pswD3srMlhkSn+xgsSsQ/QKldGSpgpGCkq0&#10;xN+RTqeWtEUSF2lOIu9AHLc+udM9TjvTPL/M9Jz+tHPU6/9Z/QYAAP//AwBQSwMEFAAGAAgAAAAh&#10;AIa0FdngAAAACgEAAA8AAABkcnMvZG93bnJldi54bWxMj81OwzAQhO9IvIO1SFwQdZKmVQlxqgqJ&#10;n0MvLZXg6MRLEojXUey06duzPcFxNKOZb/L1ZDtxxMG3jhTEswgEUuVMS7WCw/vz/QqED5qM7hyh&#10;gjN6WBfXV7nOjDvRDo/7UAsuIZ9pBU0IfSalrxq02s9cj8TelxusDiyHWppBn7jcdjKJoqW0uiVe&#10;aHSPTw1WP/vRKnjbHMZksW1fP8xyZ+9e6PP7XDqlbm+mzSOIgFP4C8MFn9GhYKbSjWS86FjHDylH&#10;FSTpHAQH5vGCz5UXJ12BLHL5/0LxCwAA//8DAFBLAQItABQABgAIAAAAIQC2gziS/gAAAOEBAAAT&#10;AAAAAAAAAAAAAAAAAAAAAABbQ29udGVudF9UeXBlc10ueG1sUEsBAi0AFAAGAAgAAAAhADj9If/W&#10;AAAAlAEAAAsAAAAAAAAAAAAAAAAALwEAAF9yZWxzLy5yZWxzUEsBAi0AFAAGAAgAAAAhAJ4Oo37U&#10;AQAAhwMAAA4AAAAAAAAAAAAAAAAALgIAAGRycy9lMm9Eb2MueG1sUEsBAi0AFAAGAAgAAAAhAIa0&#10;FdngAAAACgEAAA8AAAAAAAAAAAAAAAAALgQAAGRycy9kb3ducmV2LnhtbFBLBQYAAAAABAAEAPMA&#10;AAA7BQAAAAA=&#10;" strokeweight=".25pt">
                <v:stroke endarrow="block"/>
              </v:line>
            </w:pict>
          </mc:Fallback>
        </mc:AlternateContent>
      </w:r>
      <w:r w:rsidRPr="00D03619">
        <w:rPr>
          <w:noProof/>
          <w:lang w:val="lt-LT" w:eastAsia="lt-LT"/>
        </w:rPr>
        <mc:AlternateContent>
          <mc:Choice Requires="wps">
            <w:drawing>
              <wp:anchor distT="0" distB="0" distL="114300" distR="114300" simplePos="0" relativeHeight="251871232" behindDoc="0" locked="0" layoutInCell="1" allowOverlap="1" wp14:anchorId="39C1FA9B" wp14:editId="61B7ECF7">
                <wp:simplePos x="0" y="0"/>
                <wp:positionH relativeFrom="column">
                  <wp:posOffset>3028950</wp:posOffset>
                </wp:positionH>
                <wp:positionV relativeFrom="paragraph">
                  <wp:posOffset>163830</wp:posOffset>
                </wp:positionV>
                <wp:extent cx="962025" cy="565150"/>
                <wp:effectExtent l="43180" t="6985" r="13970" b="56515"/>
                <wp:wrapNone/>
                <wp:docPr id="48"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2025" cy="565150"/>
                        </a:xfrm>
                        <a:prstGeom prst="line">
                          <a:avLst/>
                        </a:prstGeom>
                        <a:noFill/>
                        <a:ln w="3175">
                          <a:solidFill>
                            <a:srgbClr val="000000"/>
                          </a:solidFill>
                          <a:round/>
                          <a:tailEnd type="triangle" w="med" len="med"/>
                        </a:ln>
                      </wps:spPr>
                      <wps:bodyPr/>
                    </wps:wsp>
                  </a:graphicData>
                </a:graphic>
              </wp:anchor>
            </w:drawing>
          </mc:Choice>
          <mc:Fallback>
            <w:pict>
              <v:line w14:anchorId="4563694E" id="Line 232" o:spid="_x0000_s1026" style="position:absolute;flip:x;z-index:251871232;visibility:visible;mso-wrap-style:square;mso-wrap-distance-left:9pt;mso-wrap-distance-top:0;mso-wrap-distance-right:9pt;mso-wrap-distance-bottom:0;mso-position-horizontal:absolute;mso-position-horizontal-relative:text;mso-position-vertical:absolute;mso-position-vertical-relative:text" from="238.5pt,12.9pt" to="314.2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6Q3QEAAJADAAAOAAAAZHJzL2Uyb0RvYy54bWysU8FuGyEQvVfqPyDu9Xo3tdusvM7BadqD&#10;21hK+gEYWC8qMAiw1/77zmDLSdtbVA4ImJnHe29gcXd0lh10TAZ8x+vJlDPtJSjjdx3/+fzw4TNn&#10;KQuvhAWvO37Sid8t379bjKHVDQxglY4MQXxqx9DxIefQVlWSg3YiTSBoj8EeohMZt3FXqShGRHe2&#10;aqbTeTVCVCGC1Cnh6f05yJcFv++1zI99n3RmtuPILZc5lnlLc7VciHYXRRiMvNAQb2DhhPF46RXq&#10;XmTB9tH8A+WMjJCgzxMJroK+N1IXDaimnv6l5mkQQRctaE4KV5vS/4OVPw6byIzq+EfslBcOe7Q2&#10;XrPmpiFzxpBazFn5TSR58uifwhrkr8Q8rAbhd7qQfD4FLKypovqjhDYp4BXb8TsozBH7DMWpYx8d&#10;660J36iQwNENdiytOV1bo4+ZSTy8nTfTZsaZxNBsPqtnpXWVaAmGikNM+asGx2jRcYsaCqg4rFMm&#10;Wi8plO7hwVhbum89Gzt+U3+alYIE1igKUlqKu+3KRnYQ9H7KKBox8jotwt6rApaFsV+8YrkYkqNB&#10;i6zmdIPTijOr8ZvQ6kzJ+oth5NHZ7S2o0yZSmLzDthfulydK7+r1vmS9fKTlbwAAAP//AwBQSwME&#10;FAAGAAgAAAAhAFROvwvfAAAACgEAAA8AAABkcnMvZG93bnJldi54bWxMj8tOwzAQRfdI/IM1SOyo&#10;09BHFOJUCFHYgSggxM6NhyQinoliN03/nmEFy9Fc3XtOsZl8p0YcQstkYD5LQCFV7FqqDby9bq8y&#10;UCFacrZjQgMnDLApz88Kmzs+0guOu1grKaGQWwNNjH2udaga9DbMuEeS3xcP3kY5h1q7wR6l3Hc6&#10;TZKV9rYlWWhsj3cNVt+7gzcwXuP0rp85feD7bX3iFB8/P56MubyYbm9ARZziXxh+8QUdSmHa84Fc&#10;UJ2BxXotLtFAuhQFCazSbAlqL8n5IgNdFvq/QvkDAAD//wMAUEsBAi0AFAAGAAgAAAAhALaDOJL+&#10;AAAA4QEAABMAAAAAAAAAAAAAAAAAAAAAAFtDb250ZW50X1R5cGVzXS54bWxQSwECLQAUAAYACAAA&#10;ACEAOP0h/9YAAACUAQAACwAAAAAAAAAAAAAAAAAvAQAAX3JlbHMvLnJlbHNQSwECLQAUAAYACAAA&#10;ACEAAy9+kN0BAACQAwAADgAAAAAAAAAAAAAAAAAuAgAAZHJzL2Uyb0RvYy54bWxQSwECLQAUAAYA&#10;CAAAACEAVE6/C98AAAAKAQAADwAAAAAAAAAAAAAAAAA3BAAAZHJzL2Rvd25yZXYueG1sUEsFBgAA&#10;AAAEAAQA8wAAAEMFAAAAAA==&#10;" strokeweight=".25pt">
                <v:stroke endarrow="block"/>
              </v:line>
            </w:pict>
          </mc:Fallback>
        </mc:AlternateContent>
      </w:r>
    </w:p>
    <w:p w14:paraId="690E44EC"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77376" behindDoc="0" locked="0" layoutInCell="1" allowOverlap="1" wp14:anchorId="680AA5B5" wp14:editId="7B83F2C2">
                <wp:simplePos x="0" y="0"/>
                <wp:positionH relativeFrom="column">
                  <wp:posOffset>1143000</wp:posOffset>
                </wp:positionH>
                <wp:positionV relativeFrom="paragraph">
                  <wp:posOffset>149225</wp:posOffset>
                </wp:positionV>
                <wp:extent cx="457200" cy="228600"/>
                <wp:effectExtent l="0" t="0" r="4445" b="3810"/>
                <wp:wrapNone/>
                <wp:docPr id="4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wps:spPr>
                      <wps:txbx>
                        <w:txbxContent>
                          <w:p w14:paraId="16E16AD4" w14:textId="77777777" w:rsidR="007B24A1" w:rsidRDefault="007B24A1"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680AA5B5" id="Text Box 233" o:spid="_x0000_s1216" type="#_x0000_t202" style="position:absolute;left:0;text-align:left;margin-left:90pt;margin-top:11.75pt;width:36pt;height:18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WMCQIAAPoDAAAOAAAAZHJzL2Uyb0RvYy54bWysU1Fv0zAQfkfiP1h+p2mzso2o6TQ6FSGN&#10;gbTxAxzHSSwcnzm7Tcqv5+y0pcAbwg+Wz3f+7r7vzqu7sTdsr9BrsCVfzOacKSuh1rYt+deX7Ztb&#10;znwQthYGrCr5QXl+t379ajW4QuXQgakVMgKxvhhcybsQXJFlXnaqF34GTllyNoC9CGRim9UoBkLv&#10;TZbP59fZAFg7BKm8p9uHycnXCb9plAyfm8arwEzJqbaQdkx7FfdsvRJFi8J1Wh7LEP9QRS+0paRn&#10;qAcRBNuh/guq1xLBQxNmEvoMmkZLlTgQm8X8DzbPnXAqcSFxvDvL5P8frHzaf0Gm65Ivbzizoqce&#10;vagxsPcwsvzqKgo0OF9Q3LOjyDCSgxqdyHr3CPKbZxY2nbCtukeEoVOipgIX8WV28XTC8RGkGj5B&#10;TYnELkACGhvso3qkByN0atTh3JxYjKTL5dsbajhnklx5fntN55hBFKfHDn34oKBn8VBypN4ncLF/&#10;9GEKPYXEXB6MrrfamGRgW20Msr2gOdmmdUT/LczYGGwhPpsQ401iGYlNFMNYjUnRRX5zkq+C+kDE&#10;EaYBpA9Dhw7wB2cDDV/J/fedQMWZ+WhJvHeL5TJOazIScc7w0lNdeoSVBFXywNl03IRpwncOddtR&#10;pqldFu5J8EYnMWJnpqqOBGjAkpzHzxAn+NJOUb++7PonAAAA//8DAFBLAwQUAAYACAAAACEAfskw&#10;y90AAAAJAQAADwAAAGRycy9kb3ducmV2LnhtbEyPzU7DMBCE70i8g7VIXBB1CKQ/IU4FSCCuLX2A&#10;TbxNIuJ1FLtN+vYsJzjO7Gj2m2I7u16daQydZwMPiwQUce1tx42Bw9f7/RpUiMgWe89k4EIBtuX1&#10;VYG59RPv6LyPjZISDjkaaGMccq1D3ZLDsPADsdyOfnQYRY6NtiNOUu56nSbJUjvsWD60ONBbS/X3&#10;/uQMHD+nu2wzVR/xsNo9LV+xW1X+YsztzfzyDCrSHP/C8Isv6FAKU+VPbIPqRa8T2RINpI8ZKAmk&#10;WSpGZSDbZKDLQv9fUP4AAAD//wMAUEsBAi0AFAAGAAgAAAAhALaDOJL+AAAA4QEAABMAAAAAAAAA&#10;AAAAAAAAAAAAAFtDb250ZW50X1R5cGVzXS54bWxQSwECLQAUAAYACAAAACEAOP0h/9YAAACUAQAA&#10;CwAAAAAAAAAAAAAAAAAvAQAAX3JlbHMvLnJlbHNQSwECLQAUAAYACAAAACEAlh5VjAkCAAD6AwAA&#10;DgAAAAAAAAAAAAAAAAAuAgAAZHJzL2Uyb0RvYy54bWxQSwECLQAUAAYACAAAACEAfskwy90AAAAJ&#10;AQAADwAAAAAAAAAAAAAAAABjBAAAZHJzL2Rvd25yZXYueG1sUEsFBgAAAAAEAAQA8wAAAG0FAAAA&#10;AA==&#10;" stroked="f">
                <v:textbox>
                  <w:txbxContent>
                    <w:p w14:paraId="16E16AD4" w14:textId="77777777" w:rsidR="007B24A1" w:rsidRDefault="007B24A1" w:rsidP="007B24A1">
                      <w:pPr>
                        <w:rPr>
                          <w:sz w:val="22"/>
                          <w:szCs w:val="22"/>
                        </w:rPr>
                      </w:pPr>
                      <w:r>
                        <w:rPr>
                          <w:sz w:val="22"/>
                          <w:szCs w:val="22"/>
                        </w:rPr>
                        <w:t>30%</w:t>
                      </w:r>
                    </w:p>
                  </w:txbxContent>
                </v:textbox>
              </v:shape>
            </w:pict>
          </mc:Fallback>
        </mc:AlternateContent>
      </w:r>
      <w:r w:rsidRPr="00D03619">
        <w:rPr>
          <w:noProof/>
          <w:lang w:val="lt-LT" w:eastAsia="lt-LT"/>
        </w:rPr>
        <mc:AlternateContent>
          <mc:Choice Requires="wps">
            <w:drawing>
              <wp:anchor distT="0" distB="0" distL="114300" distR="114300" simplePos="0" relativeHeight="251872256" behindDoc="0" locked="0" layoutInCell="1" allowOverlap="1" wp14:anchorId="1004ECCC" wp14:editId="27FD0C60">
                <wp:simplePos x="0" y="0"/>
                <wp:positionH relativeFrom="column">
                  <wp:posOffset>2514600</wp:posOffset>
                </wp:positionH>
                <wp:positionV relativeFrom="paragraph">
                  <wp:posOffset>34925</wp:posOffset>
                </wp:positionV>
                <wp:extent cx="0" cy="368935"/>
                <wp:effectExtent l="52705" t="5715" r="61595" b="15875"/>
                <wp:wrapNone/>
                <wp:docPr id="46"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3175">
                          <a:solidFill>
                            <a:srgbClr val="000000"/>
                          </a:solidFill>
                          <a:round/>
                          <a:tailEnd type="triangle" w="med" len="med"/>
                        </a:ln>
                      </wps:spPr>
                      <wps:bodyPr/>
                    </wps:wsp>
                  </a:graphicData>
                </a:graphic>
              </wp:anchor>
            </w:drawing>
          </mc:Choice>
          <mc:Fallback>
            <w:pict>
              <v:line w14:anchorId="7587B9B6" id="Line 234"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198pt,2.75pt" to="198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2B0AEAAIEDAAAOAAAAZHJzL2Uyb0RvYy54bWysU01vGyEQvVfqf0Dc6/VH4qYrr3Nwml7c&#10;1lLSHzAGdhcVGATYu/73HbDjNO2tKgfEMDNv3ryB1f1oDTuqEDW6hs8mU86UEyi16xr+4/nxwx1n&#10;MYGTYNCphp9U5Pfr9+9Wg6/VHHs0UgVGIC7Wg294n5KvqyqKXlmIE/TKkbPFYCGRGbpKBhgI3Zpq&#10;Pp0uqwGD9AGFipFuH85Ovi74batE+t62USVmGk7cUtlD2fd5r9YrqLsAvtfiQgP+gYUF7ajoFeoB&#10;ErBD0H9BWS0CRmzTRKCtsG21UKUH6mY2/aObpx68Kr2QONFfZYr/D1Z8O+4C07LhN0vOHFia0VY7&#10;xeaLmyzO4GNNMRu3C7k9Mbonv0XxMzKHmx5cpwrJ55OnxFnOqN6kZCN6KrEfvqKkGDgkLEqNbbAZ&#10;kjRgYxnI6ToQNSYmzpeCbhfLu0+L2wIO9UueDzF9UWhZPjTcEOmCC8dtTJkH1C8huYzDR21MGbdx&#10;bCDQ2cfbkhDRaJmdOSyGbr8xgR0hP5iyLnXfhAU8OFnAEmjz2UmWigIpaNLEKJ4rWCU5M4r+RT6d&#10;KRl3USiLcpZ3j/K0C9mdxaI5F+6XN5kf0u92iXr9OetfAAAA//8DAFBLAwQUAAYACAAAACEA9WCx&#10;Id4AAAAIAQAADwAAAGRycy9kb3ducmV2LnhtbEyPzU7DMBCE70i8g7VIXFDr0CoWhGyqComfA5eW&#10;SuXoxEsSiNdR7LTp22PUAxxHM5r5Jl9NthMHGnzrGOF2noAgrpxpuUbYvT/N7kD4oNnozjEhnMjD&#10;qri8yHVm3JE3dNiGWsQS9plGaELoMyl91ZDVfu564uh9usHqEOVQSzPoYyy3nVwkiZJWtxwXGt3T&#10;Y0PV93a0CK/r3bhI39qXvVEbe/PMH1+n0iFeX03rBxCBpvAXhl/8iA5FZCrdyMaLDmF5r+KXgJCm&#10;IKJ/1iWCWiqQRS7/Hyh+AAAA//8DAFBLAQItABQABgAIAAAAIQC2gziS/gAAAOEBAAATAAAAAAAA&#10;AAAAAAAAAAAAAABbQ29udGVudF9UeXBlc10ueG1sUEsBAi0AFAAGAAgAAAAhADj9If/WAAAAlAEA&#10;AAsAAAAAAAAAAAAAAAAALwEAAF9yZWxzLy5yZWxzUEsBAi0AFAAGAAgAAAAhAG3pfYHQAQAAgQMA&#10;AA4AAAAAAAAAAAAAAAAALgIAAGRycy9lMm9Eb2MueG1sUEsBAi0AFAAGAAgAAAAhAPVgsSHeAAAA&#10;CAEAAA8AAAAAAAAAAAAAAAAAKgQAAGRycy9kb3ducmV2LnhtbFBLBQYAAAAABAAEAPMAAAA1BQAA&#10;AAA=&#10;" strokeweight=".25pt">
                <v:stroke endarrow="block"/>
              </v:line>
            </w:pict>
          </mc:Fallback>
        </mc:AlternateContent>
      </w:r>
      <w:r w:rsidRPr="00D03619">
        <w:rPr>
          <w:noProof/>
          <w:lang w:val="lt-LT" w:eastAsia="lt-LT"/>
        </w:rPr>
        <mc:AlternateContent>
          <mc:Choice Requires="wps">
            <w:drawing>
              <wp:anchor distT="0" distB="0" distL="114300" distR="114300" simplePos="0" relativeHeight="251873280" behindDoc="0" locked="0" layoutInCell="1" allowOverlap="1" wp14:anchorId="31D0968B" wp14:editId="2A2C19E8">
                <wp:simplePos x="0" y="0"/>
                <wp:positionH relativeFrom="column">
                  <wp:posOffset>3314700</wp:posOffset>
                </wp:positionH>
                <wp:positionV relativeFrom="paragraph">
                  <wp:posOffset>149225</wp:posOffset>
                </wp:positionV>
                <wp:extent cx="571500" cy="228600"/>
                <wp:effectExtent l="0" t="0" r="4445" b="3810"/>
                <wp:wrapNone/>
                <wp:docPr id="4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wps:spPr>
                      <wps:txbx>
                        <w:txbxContent>
                          <w:p w14:paraId="60CC0548" w14:textId="77777777" w:rsidR="007B24A1" w:rsidRDefault="007B24A1"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31D0968B" id="Text Box 235" o:spid="_x0000_s1217" type="#_x0000_t202" style="position:absolute;left:0;text-align:left;margin-left:261pt;margin-top:11.75pt;width:45pt;height:18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olCgIAAPoDAAAOAAAAZHJzL2Uyb0RvYy54bWysU8GO0zAQvSPxD5bvNE1od0vUdLV0VYS0&#10;LEi7fIDjOIlF4jFjt0n5esZOWwrcED5YHs/4zbw34/Xd2HfsoNBpMAVPZ3POlJFQadMU/OvL7s2K&#10;M+eFqUQHRhX8qBy/27x+tR5srjJooasUMgIxLh9swVvvbZ4kTraqF24GVhly1oC98GRik1QoBkLv&#10;uySbz2+SAbCyCFI5R7cPk5NvIn5dK+k/17VTnnUFp9p83DHuZdiTzVrkDQrbankqQ/xDFb3QhpJe&#10;oB6EF2yP+i+oXksEB7WfSegTqGstVeRAbNL5H2yeW2FV5ELiOHuRyf0/WPl0+IJMVwVfLDkzoqce&#10;vajRs/cwsuztMgg0WJdT3LOlSD+SgxodyTr7CPKbYwa2rTCNukeEoVWiogLT8DK5ejrhuABSDp+g&#10;okRi7yECjTX2QT3SgxE6Nep4aU4oRtLl8jZdzskjyZVlqxs6hwwiPz+26PwHBT0Lh4Ij9T6Ci8Oj&#10;81PoOSTkctDpaqe7LhrYlNsO2UHQnOziOqH/FtaZEGwgPJsQw01kGYhNFP1YjlHRNFud5SuhOhJx&#10;hGkA6cPQoQX8wdlAw1dw930vUHHWfTQk3rt0sQjTGo3F8jYjA6895bVHGElQBfecTcetnyZ8b1E3&#10;LWWa2mXgngSvdRQjdGaq6kSABizKefoMYYKv7Rj168tufgIAAP//AwBQSwMEFAAGAAgAAAAhAL+9&#10;KDjdAAAACQEAAA8AAABkcnMvZG93bnJldi54bWxMj0FPg0AQhe8m/ofNmHgxdikKtcjSqInGa2t/&#10;wABTILKzhN0W+u+dnuxx3nt58718M9tenWj0nWMDy0UEirhydceNgf3P5+MLKB+Qa+wdk4EzedgU&#10;tzc5ZrWbeEunXWiUlLDP0EAbwpBp7auWLPqFG4jFO7jRYpBzbHQ94iTlttdxFKXaYsfyocWBPlqq&#10;fndHa+DwPT0k66n8CvvV9jl9x25VurMx93fz2yuoQHP4D8MFX9ChEKbSHbn2qjeQxLFsCQbipwSU&#10;BNLlRSjFWSegi1xfLyj+AAAA//8DAFBLAQItABQABgAIAAAAIQC2gziS/gAAAOEBAAATAAAAAAAA&#10;AAAAAAAAAAAAAABbQ29udGVudF9UeXBlc10ueG1sUEsBAi0AFAAGAAgAAAAhADj9If/WAAAAlAEA&#10;AAsAAAAAAAAAAAAAAAAALwEAAF9yZWxzLy5yZWxzUEsBAi0AFAAGAAgAAAAhAG18qiUKAgAA+gMA&#10;AA4AAAAAAAAAAAAAAAAALgIAAGRycy9lMm9Eb2MueG1sUEsBAi0AFAAGAAgAAAAhAL+9KDjdAAAA&#10;CQEAAA8AAAAAAAAAAAAAAAAAZAQAAGRycy9kb3ducmV2LnhtbFBLBQYAAAAABAAEAPMAAABuBQAA&#10;AAA=&#10;" stroked="f">
                <v:textbox>
                  <w:txbxContent>
                    <w:p w14:paraId="60CC0548" w14:textId="77777777" w:rsidR="007B24A1" w:rsidRDefault="007B24A1" w:rsidP="007B24A1">
                      <w:pPr>
                        <w:rPr>
                          <w:sz w:val="22"/>
                          <w:szCs w:val="22"/>
                        </w:rPr>
                      </w:pPr>
                      <w:r>
                        <w:rPr>
                          <w:sz w:val="22"/>
                          <w:szCs w:val="22"/>
                        </w:rPr>
                        <w:t>30%</w:t>
                      </w:r>
                    </w:p>
                  </w:txbxContent>
                </v:textbox>
              </v:shape>
            </w:pict>
          </mc:Fallback>
        </mc:AlternateContent>
      </w:r>
      <w:r w:rsidRPr="00D03619">
        <w:rPr>
          <w:noProof/>
          <w:lang w:val="lt-LT" w:eastAsia="lt-LT"/>
        </w:rPr>
        <mc:AlternateContent>
          <mc:Choice Requires="wps">
            <w:drawing>
              <wp:anchor distT="0" distB="0" distL="114300" distR="114300" simplePos="0" relativeHeight="251878400" behindDoc="0" locked="0" layoutInCell="1" allowOverlap="1" wp14:anchorId="78EA90BA" wp14:editId="59BF194B">
                <wp:simplePos x="0" y="0"/>
                <wp:positionH relativeFrom="column">
                  <wp:posOffset>1971675</wp:posOffset>
                </wp:positionH>
                <wp:positionV relativeFrom="paragraph">
                  <wp:posOffset>59690</wp:posOffset>
                </wp:positionV>
                <wp:extent cx="491490" cy="247015"/>
                <wp:effectExtent l="0" t="1905" r="0" b="0"/>
                <wp:wrapNone/>
                <wp:docPr id="4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47015"/>
                        </a:xfrm>
                        <a:prstGeom prst="rect">
                          <a:avLst/>
                        </a:prstGeom>
                        <a:solidFill>
                          <a:srgbClr val="FFFFFF"/>
                        </a:solidFill>
                        <a:ln>
                          <a:noFill/>
                        </a:ln>
                      </wps:spPr>
                      <wps:txbx>
                        <w:txbxContent>
                          <w:p w14:paraId="0DF372D3" w14:textId="77777777" w:rsidR="007B24A1" w:rsidRDefault="007B24A1" w:rsidP="007B24A1">
                            <w:pPr>
                              <w:rPr>
                                <w:sz w:val="22"/>
                                <w:szCs w:val="22"/>
                              </w:rPr>
                            </w:pPr>
                            <w:r>
                              <w:rPr>
                                <w:sz w:val="22"/>
                                <w:szCs w:val="22"/>
                              </w:rPr>
                              <w:t>30%</w:t>
                            </w:r>
                          </w:p>
                        </w:txbxContent>
                      </wps:txbx>
                      <wps:bodyPr rot="0" vert="horz" wrap="square" lIns="91440" tIns="45720" rIns="91440" bIns="45720" anchor="t" anchorCtr="0" upright="1">
                        <a:noAutofit/>
                      </wps:bodyPr>
                    </wps:wsp>
                  </a:graphicData>
                </a:graphic>
              </wp:anchor>
            </w:drawing>
          </mc:Choice>
          <mc:Fallback>
            <w:pict>
              <v:shape w14:anchorId="78EA90BA" id="Text Box 236" o:spid="_x0000_s1218" type="#_x0000_t202" style="position:absolute;left:0;text-align:left;margin-left:155.25pt;margin-top:4.7pt;width:38.7pt;height:19.4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80CwIAAPoDAAAOAAAAZHJzL2Uyb0RvYy54bWysU1Fv0zAQfkfiP1h+p2lCttGo6TQ6FSGN&#10;gbTxAxzHSSwSnzm7Tcav5+y0pcAbwg+Wz3f+7r7vzuvbaejZQaHTYEqeLpacKSOh1qYt+dfn3Zt3&#10;nDkvTC16MKrkL8rx283rV+vRFiqDDvpaISMQ44rRlrzz3hZJ4mSnBuEWYJUhZwM4CE8mtkmNYiT0&#10;oU+y5fI6GQFriyCVc3R7Pzv5JuI3jZL+c9M45VlfcqrNxx3jXoU92axF0aKwnZbHMsQ/VDEIbSjp&#10;GepeeMH2qP+CGrREcND4hYQhgabRUkUOxCZd/sHmqRNWRS4kjrNnmdz/g5WPhy/IdF3yPOfMiIF6&#10;9Kwmz97DxLK310Gg0bqC4p4sRfqJHNToSNbZB5DfHDOw7YRp1R0ijJ0SNRWYhpfJxdMZxwWQavwE&#10;NSUSew8RaGpwCOqRHozQqVEv5+aEYiRd5qs0X5FHkivLb5bpVcwgitNji85/UDCwcCg5Uu8juDg8&#10;OB+KEcUpJORy0Ot6p/s+GthW2x7ZQdCc7OI6ov8W1psQbCA8mxHDTWQZiM0U/VRNUdE0W53kq6B+&#10;IeII8wDSh6FDB/iDs5GGr+Tu+16g4qz/aEg8opqHaY1GfnWTkYGXnurSI4wkqJJ7zubj1s8Tvreo&#10;244yze0ycEeCNzqKETozV3UkQAMWNTp+hjDBl3aM+vVlNz8BAAD//wMAUEsDBBQABgAIAAAAIQBB&#10;YDpP3gAAAAgBAAAPAAAAZHJzL2Rvd25yZXYueG1sTI/NTsMwEITvSLyDtUhcEHVK0uaHOBUggbi2&#10;9AE28TaJiNdR7Dbp22NOcBzNaOabcreYQVxocr1lBetVBIK4sbrnVsHx6/0xA+E8ssbBMim4koNd&#10;dXtTYqHtzHu6HHwrQgm7AhV03o+FlK7pyKBb2ZE4eCc7GfRBTq3UE86h3AzyKYq20mDPYaHDkd46&#10;ar4PZ6Pg9Dk/bPK5/vDHdJ9sX7FPa3tV6v5ueXkG4Wnxf2H4xQ/oUAWm2p5ZOzEoiNfRJkQV5AmI&#10;4MdZmoOoFSRZDLIq5f8D1Q8AAAD//wMAUEsBAi0AFAAGAAgAAAAhALaDOJL+AAAA4QEAABMAAAAA&#10;AAAAAAAAAAAAAAAAAFtDb250ZW50X1R5cGVzXS54bWxQSwECLQAUAAYACAAAACEAOP0h/9YAAACU&#10;AQAACwAAAAAAAAAAAAAAAAAvAQAAX3JlbHMvLnJlbHNQSwECLQAUAAYACAAAACEAVUQPNAsCAAD6&#10;AwAADgAAAAAAAAAAAAAAAAAuAgAAZHJzL2Uyb0RvYy54bWxQSwECLQAUAAYACAAAACEAQWA6T94A&#10;AAAIAQAADwAAAAAAAAAAAAAAAABlBAAAZHJzL2Rvd25yZXYueG1sUEsFBgAAAAAEAAQA8wAAAHAF&#10;AAAAAA==&#10;" stroked="f">
                <v:textbox>
                  <w:txbxContent>
                    <w:p w14:paraId="0DF372D3" w14:textId="77777777" w:rsidR="007B24A1" w:rsidRDefault="007B24A1" w:rsidP="007B24A1">
                      <w:pPr>
                        <w:rPr>
                          <w:sz w:val="22"/>
                          <w:szCs w:val="22"/>
                        </w:rPr>
                      </w:pPr>
                      <w:r>
                        <w:rPr>
                          <w:sz w:val="22"/>
                          <w:szCs w:val="22"/>
                        </w:rPr>
                        <w:t>30%</w:t>
                      </w:r>
                    </w:p>
                  </w:txbxContent>
                </v:textbox>
              </v:shape>
            </w:pict>
          </mc:Fallback>
        </mc:AlternateContent>
      </w:r>
    </w:p>
    <w:p w14:paraId="6377068C"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68430984"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D03619">
        <w:rPr>
          <w:noProof/>
          <w:lang w:val="lt-LT" w:eastAsia="lt-LT"/>
        </w:rPr>
        <mc:AlternateContent>
          <mc:Choice Requires="wps">
            <w:drawing>
              <wp:anchor distT="0" distB="0" distL="114300" distR="114300" simplePos="0" relativeHeight="251862016" behindDoc="0" locked="0" layoutInCell="1" allowOverlap="1" wp14:anchorId="133A377A" wp14:editId="3B6F0602">
                <wp:simplePos x="0" y="0"/>
                <wp:positionH relativeFrom="column">
                  <wp:posOffset>2000250</wp:posOffset>
                </wp:positionH>
                <wp:positionV relativeFrom="paragraph">
                  <wp:posOffset>34925</wp:posOffset>
                </wp:positionV>
                <wp:extent cx="1028700" cy="311150"/>
                <wp:effectExtent l="5080" t="13335" r="13970" b="8890"/>
                <wp:wrapNone/>
                <wp:docPr id="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11150"/>
                        </a:xfrm>
                        <a:prstGeom prst="rect">
                          <a:avLst/>
                        </a:prstGeom>
                        <a:solidFill>
                          <a:srgbClr val="FFFFFF"/>
                        </a:solidFill>
                        <a:ln w="9525">
                          <a:solidFill>
                            <a:srgbClr val="000000"/>
                          </a:solidFill>
                          <a:miter lim="800000"/>
                        </a:ln>
                      </wps:spPr>
                      <wps:txbx>
                        <w:txbxContent>
                          <w:p w14:paraId="4F88D00F" w14:textId="77777777" w:rsidR="007B24A1" w:rsidRDefault="007B24A1" w:rsidP="007B24A1">
                            <w:pPr>
                              <w:rPr>
                                <w:sz w:val="22"/>
                                <w:szCs w:val="22"/>
                              </w:rPr>
                            </w:pPr>
                            <w:r>
                              <w:rPr>
                                <w:sz w:val="22"/>
                                <w:szCs w:val="22"/>
                              </w:rPr>
                              <w:t>UAB „D“</w:t>
                            </w:r>
                          </w:p>
                        </w:txbxContent>
                      </wps:txbx>
                      <wps:bodyPr rot="0" vert="horz" wrap="square" lIns="91440" tIns="45720" rIns="91440" bIns="45720" anchor="t" anchorCtr="0" upright="1">
                        <a:noAutofit/>
                      </wps:bodyPr>
                    </wps:wsp>
                  </a:graphicData>
                </a:graphic>
              </wp:anchor>
            </w:drawing>
          </mc:Choice>
          <mc:Fallback>
            <w:pict>
              <v:shape w14:anchorId="133A377A" id="Text Box 237" o:spid="_x0000_s1219" type="#_x0000_t202" style="position:absolute;left:0;text-align:left;margin-left:157.5pt;margin-top:2.75pt;width:81pt;height:24.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W3IAIAAEQEAAAOAAAAZHJzL2Uyb0RvYy54bWysU9tu2zAMfR+wfxD0vviSZE2NOEWXIsOA&#10;rhvQ7gNkWbaFyaImKbGzrx8lp2nQbS/D/CCIJnVInkOub8ZekYOwToIuaTZLKRGaQy11W9JvT7t3&#10;K0qcZ7pmCrQo6VE4erN5+2Y9mELk0IGqhSUIol0xmJJ23psiSRzvRM/cDIzQ6GzA9syjaduktmxA&#10;9F4leZq+TwawtbHAhXP4925y0k3EbxrB/ZemccITVVKszcfTxrMKZ7JZs6K1zHSSn8pg/1BFz6TG&#10;pGeoO+YZ2Vv5G1QvuQUHjZ9x6BNoGslF7AG7ydJX3Tx2zIjYC5LjzJkm9/9g+cPhqyWyLuliTolm&#10;PWr0JEZPPsBI8vlVIGgwrsC4R4ORfkQHCh2bdeYe+HdHNGw7pltxay0MnWA1FpiFl8nF0wnHBZBq&#10;+Aw1JmJ7DxFobGwf2EM+CKKjUMezOKEYHlKm+eoqRRdH3zzLsmVUL2HF82tjnf8ooCfhUlKL4kd0&#10;drh3PlTDiueQkMyBkvVOKhUN21ZbZcmB4aDs4hcbeBWmNBlKer3MlxMBf4VI4/cniF56nHgl+5Ku&#10;LoOUPvEVKJrI8mM1Rm2yeew1sFlBfUQKLUyjjKuHlw7sT0oGHOOSuh97ZgUl6pNGGa6zxSLMfTQW&#10;y6scDXvpqS49THOEKqmnZLpu/bQre2Nl22GmSXgNtyhdIyOrL1WdGsBRjWSf1irswqUdo16Wf/ML&#10;AAD//wMAUEsDBBQABgAIAAAAIQDjzxcP3gAAAAgBAAAPAAAAZHJzL2Rvd25yZXYueG1sTI/BTsMw&#10;EETvSPyDtUhcEHVKk6aEOBVCAsEN2gqubrxNIuJ1sN00/D3LCY5Ps5p9U64n24sRfegcKZjPEhBI&#10;tTMdNQp228frFYgQNRndO0IF3xhgXZ2flbow7kRvOG5iI7iEQqEVtDEOhZShbtHqMHMDEmcH562O&#10;jL6RxusTl9te3iTJUlrdEX9o9YAPLdafm6NVsEqfx4/wsnh9r5eH/jZe5ePTl1fq8mK6vwMRcYp/&#10;x/Crz+pQsdPeHckE0StYzDPeEhVkGQjO0zxn3jOnGciqlP8HVD8AAAD//wMAUEsBAi0AFAAGAAgA&#10;AAAhALaDOJL+AAAA4QEAABMAAAAAAAAAAAAAAAAAAAAAAFtDb250ZW50X1R5cGVzXS54bWxQSwEC&#10;LQAUAAYACAAAACEAOP0h/9YAAACUAQAACwAAAAAAAAAAAAAAAAAvAQAAX3JlbHMvLnJlbHNQSwEC&#10;LQAUAAYACAAAACEAQN/ltyACAABEBAAADgAAAAAAAAAAAAAAAAAuAgAAZHJzL2Uyb0RvYy54bWxQ&#10;SwECLQAUAAYACAAAACEA488XD94AAAAIAQAADwAAAAAAAAAAAAAAAAB6BAAAZHJzL2Rvd25yZXYu&#10;eG1sUEsFBgAAAAAEAAQA8wAAAIUFAAAAAA==&#10;">
                <v:textbox>
                  <w:txbxContent>
                    <w:p w14:paraId="4F88D00F" w14:textId="77777777" w:rsidR="007B24A1" w:rsidRDefault="007B24A1" w:rsidP="007B24A1">
                      <w:pPr>
                        <w:rPr>
                          <w:sz w:val="22"/>
                          <w:szCs w:val="22"/>
                        </w:rPr>
                      </w:pPr>
                      <w:r>
                        <w:rPr>
                          <w:sz w:val="22"/>
                          <w:szCs w:val="22"/>
                        </w:rPr>
                        <w:t>UAB „D“</w:t>
                      </w:r>
                    </w:p>
                  </w:txbxContent>
                </v:textbox>
              </v:shape>
            </w:pict>
          </mc:Fallback>
        </mc:AlternateContent>
      </w:r>
    </w:p>
    <w:p w14:paraId="6ED0F2EE"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61047677"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p>
    <w:p w14:paraId="0341A38D" w14:textId="77777777" w:rsidR="007B24A1" w:rsidRPr="00D03619" w:rsidRDefault="007B24A1" w:rsidP="007B24A1">
      <w:pPr>
        <w:pBdr>
          <w:top w:val="single" w:sz="4" w:space="1" w:color="auto"/>
          <w:left w:val="single" w:sz="4" w:space="4" w:color="auto"/>
          <w:bottom w:val="single" w:sz="4" w:space="1" w:color="auto"/>
          <w:right w:val="single" w:sz="4" w:space="4" w:color="auto"/>
        </w:pBdr>
        <w:ind w:firstLine="720"/>
        <w:jc w:val="both"/>
        <w:rPr>
          <w:bCs/>
          <w:lang w:val="lt-LT"/>
        </w:rPr>
      </w:pPr>
      <w:r w:rsidRPr="00D03619">
        <w:rPr>
          <w:lang w:val="lt-LT"/>
        </w:rPr>
        <w:t xml:space="preserve">Šioje vienetų grupėje patronuojantis vienetas AB „X“ netiesiogiai per UAB „A“, UAB „B“ ir UAB „C“ (kuriose jis turi po 100 proc. akcijų) valdo 90 proc. UAB „D“ akcijų (30 proc. akcijų per UAB „A“, 30 proc. - per UAB „B“ ir 30 proc. – per UAB „C“). Nuostoliai gali būti perduodami tik tarp tokių vienetų grupės vienetų, kuriuose patronuojantis vienetas tiesiogiai ar netiesiogiai valdo ne mažiau kaip 2/3 (arba ne mažiau kaip 66,67 proc.) kiekvieno nuostolių perdavime dalyvaujančio dukterinio vieneto akcijų. Todėl UAB „D“ mokestinio laikotarpio nuostolius gali perduoti bet kuriam šios vienetų grupės vienetui, kaip ir bet kuris šios vienetų grupės vienetas - UAB „A“, UAB „B“, UAB „C“, UAB „D“ ar patronuojantis vienetas AB „X“, gali perduoti mokestinius nuostolius vienas kitam, jeigu bus tenkinami ir kiti PMĮ </w:t>
      </w:r>
      <w:r w:rsidRPr="00D03619">
        <w:rPr>
          <w:bCs/>
          <w:lang w:val="lt-LT"/>
        </w:rPr>
        <w:t>56</w:t>
      </w:r>
      <w:r w:rsidRPr="00D03619">
        <w:rPr>
          <w:bCs/>
          <w:vertAlign w:val="superscript"/>
          <w:lang w:val="lt-LT"/>
        </w:rPr>
        <w:t>1</w:t>
      </w:r>
      <w:r w:rsidRPr="00D03619">
        <w:rPr>
          <w:bCs/>
          <w:lang w:val="lt-LT"/>
        </w:rPr>
        <w:t xml:space="preserve"> straipsnio reikalavimai.</w:t>
      </w:r>
    </w:p>
    <w:p w14:paraId="082C166B" w14:textId="77777777" w:rsidR="007B24A1" w:rsidRPr="00C52539" w:rsidRDefault="007B24A1" w:rsidP="007B24A1">
      <w:pPr>
        <w:spacing w:after="0" w:line="240" w:lineRule="auto"/>
        <w:ind w:firstLine="709"/>
        <w:jc w:val="both"/>
        <w:rPr>
          <w:bCs/>
          <w:lang w:val="lt-LT"/>
        </w:rPr>
      </w:pPr>
      <w:r w:rsidRPr="00D03619">
        <w:rPr>
          <w:lang w:val="lt-LT"/>
        </w:rPr>
        <w:t xml:space="preserve">5. </w:t>
      </w:r>
      <w:r w:rsidRPr="00C52539">
        <w:rPr>
          <w:lang w:val="lt-LT"/>
        </w:rPr>
        <w:t>Taikant komentuojamos dalies nuostatas, laikoma, kad vi</w:t>
      </w:r>
      <w:r>
        <w:rPr>
          <w:lang w:val="lt-LT"/>
        </w:rPr>
        <w:t xml:space="preserve">enetai yra vienetų grupėje, jei </w:t>
      </w:r>
      <w:r w:rsidRPr="00C52539">
        <w:rPr>
          <w:lang w:val="lt-LT"/>
        </w:rPr>
        <w:t xml:space="preserve">tos grupės patronuojantis vienetas </w:t>
      </w:r>
      <w:r w:rsidRPr="00B7676B">
        <w:rPr>
          <w:lang w:val="lt-LT"/>
        </w:rPr>
        <w:t xml:space="preserve">tiesiogiai ar netiesiogiai valdo </w:t>
      </w:r>
      <w:r w:rsidRPr="00B7676B">
        <w:rPr>
          <w:color w:val="000000"/>
          <w:shd w:val="clear" w:color="auto" w:fill="FFFFFF"/>
          <w:lang w:val="lt-LT"/>
        </w:rPr>
        <w:t xml:space="preserve">daugiau kaip 25 procentus grupę sudarančių vieno ar kelių patronuojamųjų (dukterinių) vienetų akcijų </w:t>
      </w:r>
      <w:r w:rsidRPr="00B7676B">
        <w:rPr>
          <w:bCs/>
          <w:lang w:val="lt-LT"/>
        </w:rPr>
        <w:t>(dalių, pajų) ar kitų teisių į paskirstytinojo pelno dalį</w:t>
      </w:r>
      <w:r w:rsidRPr="00B7676B">
        <w:rPr>
          <w:lang w:val="lt-LT"/>
        </w:rPr>
        <w:t xml:space="preserve"> ne trumpiau</w:t>
      </w:r>
      <w:r w:rsidRPr="00C52539">
        <w:rPr>
          <w:lang w:val="lt-LT"/>
        </w:rPr>
        <w:t xml:space="preserve"> kaip 24 mėnesius bet kurią minėto </w:t>
      </w:r>
      <w:r>
        <w:rPr>
          <w:lang w:val="lt-LT"/>
        </w:rPr>
        <w:t xml:space="preserve">mokestinio </w:t>
      </w:r>
      <w:r w:rsidRPr="00C52539">
        <w:rPr>
          <w:lang w:val="lt-LT"/>
        </w:rPr>
        <w:t xml:space="preserve">laikotarpio dieną, nepaisant to, ar per minėtą laikotarpį jis įsigijo (perleido) to paties vieneto akcijų (dalių, pajų) bei nepaisant to kito vieneto kapitalo pokyčių (pvz., naujų akcijų emisijų ar kapitalo mažinimų). </w:t>
      </w:r>
    </w:p>
    <w:p w14:paraId="1E64B136" w14:textId="77777777" w:rsidR="007B24A1" w:rsidRPr="00C52539" w:rsidRDefault="007B24A1" w:rsidP="007B24A1">
      <w:pPr>
        <w:spacing w:after="0" w:line="240" w:lineRule="auto"/>
        <w:ind w:firstLine="720"/>
        <w:jc w:val="both"/>
        <w:rPr>
          <w:lang w:val="lt-LT"/>
        </w:rPr>
      </w:pPr>
      <w:r w:rsidRPr="00C52539">
        <w:rPr>
          <w:lang w:val="lt-LT"/>
        </w:rPr>
        <w:t xml:space="preserve">Jeigu vienetų grupės patronuojantis vienetas minėtu dvejų metų </w:t>
      </w:r>
      <w:r w:rsidRPr="00B7676B">
        <w:rPr>
          <w:lang w:val="lt-LT"/>
        </w:rPr>
        <w:t>mokestiniu</w:t>
      </w:r>
      <w:r>
        <w:rPr>
          <w:lang w:val="lt-LT"/>
        </w:rPr>
        <w:t xml:space="preserve"> </w:t>
      </w:r>
      <w:r w:rsidRPr="00C52539">
        <w:rPr>
          <w:lang w:val="lt-LT"/>
        </w:rPr>
        <w:t>laikotarpiu perleidžia dukterinio vieneto akcijas pagal atpirkimo (angl. repurchase agreement, repo) sandorį, kuris iš esmės yra vertybiniais popieriais garantuota terminuota paskola (t.</w:t>
      </w:r>
      <w:r>
        <w:rPr>
          <w:lang w:val="lt-LT"/>
        </w:rPr>
        <w:t xml:space="preserve"> </w:t>
      </w:r>
      <w:r w:rsidRPr="00C52539">
        <w:rPr>
          <w:lang w:val="lt-LT"/>
        </w:rPr>
        <w:t xml:space="preserve">y. vertybiniai popieriai yra užstatas už pasiskolinamas lėšas), tai galima laikyti, kad šie vienetai buvo vienetų grupėje be pertraukų, tik tuo atveju, jei toks sandoris numato pardavėjo įsipareigojimą tas akcijas atpirkti (žr. PMĮ 7 str. komentarą), ir jei dėl tokio sandorio visa rizika, nauda ir dukterinio vieneto valdymas ir kontrolė lieka patronuojančiam (perleidžiančiam) vienetui.  </w:t>
      </w:r>
    </w:p>
    <w:p w14:paraId="4F2481D2" w14:textId="469523AA"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17EF20C7" w14:textId="77777777" w:rsidR="007B24A1" w:rsidRPr="00D03619" w:rsidRDefault="007B24A1" w:rsidP="007B24A1">
      <w:pPr>
        <w:jc w:val="both"/>
        <w:rPr>
          <w:iCs/>
          <w:strike/>
          <w:sz w:val="22"/>
          <w:szCs w:val="22"/>
          <w:lang w:val="lt-LT" w:eastAsia="lt-LT"/>
        </w:rPr>
      </w:pPr>
    </w:p>
    <w:p w14:paraId="4BC9376A"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 xml:space="preserve">Pavyzdys </w:t>
      </w:r>
    </w:p>
    <w:p w14:paraId="015FB9C9" w14:textId="77777777" w:rsidR="007B24A1" w:rsidRPr="00B239F2"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bCs w:val="0"/>
        </w:rPr>
      </w:pPr>
      <w:r w:rsidRPr="00B239F2">
        <w:rPr>
          <w:b w:val="0"/>
          <w:bCs w:val="0"/>
        </w:rPr>
        <w:t xml:space="preserve">1. AB „A“ yra patronuojanti įmonių grupės įmonė, kuri nuo 2024 metų be pertraukų tiesiogiai valdo tris dukterines įmones: UAB „B“, UAB „C“ ir UAB „D“ (turi įsigijusi po 100 proc. šių įmonių akcijų). 2025 m. lapkričio 16 d. AB „A“ įsteigė naują dukterinę įmonę – UAB „X“ (visos šios įmonės akcijos priklauso AB „A“), o 2025 m. gruodžio 15 d. PMĮ 41 str. 2 d. 7 punkte nustatytu akcijų keitimo būdu įsigijo 80 proc. UAB „Y“ akcijų. UAB „D“ apskaičiavo 2026 metų nuostolį, kurį 2027 m. balandžio 15 d. ketina perduoti vienai iš AB „A“ valdomų dukterinių įmonių. </w:t>
      </w:r>
    </w:p>
    <w:p w14:paraId="50670EC3" w14:textId="77777777" w:rsidR="007B24A1" w:rsidRPr="00B239F2"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B239F2">
        <w:rPr>
          <w:b w:val="0"/>
        </w:rPr>
        <w:t>Taikant PMĮ 56</w:t>
      </w:r>
      <w:r w:rsidRPr="00B239F2">
        <w:rPr>
          <w:b w:val="0"/>
          <w:vertAlign w:val="superscript"/>
        </w:rPr>
        <w:t>1</w:t>
      </w:r>
      <w:r w:rsidRPr="00B239F2">
        <w:rPr>
          <w:b w:val="0"/>
        </w:rPr>
        <w:t xml:space="preserve"> str. 1 dalies nuostatas, UAB „D“ 2026 metų nuostoliai gali būti perduoti UAB „B“ ir UAB „C“, nes šios įmonės ne trumpiau kaip du metus, skaičiuojant iki 2026-12-31</w:t>
      </w:r>
      <w:r w:rsidRPr="00B239F2">
        <w:rPr>
          <w:b w:val="0"/>
          <w:color w:val="000000" w:themeColor="text1"/>
          <w:highlight w:val="lightGray"/>
        </w:rPr>
        <w:t xml:space="preserve"> </w:t>
      </w:r>
      <w:r w:rsidRPr="00B239F2">
        <w:rPr>
          <w:b w:val="0"/>
        </w:rPr>
        <w:t>priklauso vienetų grupei ir 2026-12-31 bei nuostolių perdavimo dieną patronuojanti įmonė “A“ valdo ne mažiau kaip 2/3 (arba ne mažiau kaip 66,67 proc.) kiekvienos nuostolių perdavime dalyvaujančios Lietuvos įmonės akcijų ir bus tenkinami kiti PMĮ 56</w:t>
      </w:r>
      <w:r w:rsidRPr="00B239F2">
        <w:rPr>
          <w:b w:val="0"/>
          <w:vertAlign w:val="superscript"/>
        </w:rPr>
        <w:t>1</w:t>
      </w:r>
      <w:r w:rsidRPr="00B239F2">
        <w:rPr>
          <w:b w:val="0"/>
        </w:rPr>
        <w:t xml:space="preserve"> straipsnio reikalavimai. UAB „D“ 2026 metų nuostoliai taip pat gali būti perduoti UAB „X“, su sąlyga, kad ši įmonė bus įmonių grupėje ne trumpiau kaip du metus be pertraukų, skaičiuojant nuo jos įregistravimo dienos juridinių asmenų registre. UAB „D“ negali perduoti 2026 metų nuostolių įmonių grupės narei – UAB „Y“, nes ši įmonė įmonių grupėje yra trumpiau kaip du metus, skaičiuojant iki 2026 m.</w:t>
      </w:r>
      <w:r w:rsidRPr="00B239F2">
        <w:rPr>
          <w:b w:val="0"/>
          <w:color w:val="000000"/>
          <w:shd w:val="clear" w:color="auto" w:fill="FFFFFF"/>
        </w:rPr>
        <w:t xml:space="preserve">, už kuriuos apskaičiuoti mokestiniai nuostoliai perduodami, paskutinės </w:t>
      </w:r>
      <w:r w:rsidRPr="00B239F2">
        <w:rPr>
          <w:b w:val="0"/>
        </w:rPr>
        <w:t>dienos.</w:t>
      </w:r>
    </w:p>
    <w:p w14:paraId="1CAE3845"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B239F2">
        <w:rPr>
          <w:b w:val="0"/>
        </w:rPr>
        <w:t>2. ES valstybės įmonė - akcinė bendrovė „X“ (toliau – AB „X“) tiesiogiai valdo tos pačios ES valstybės akcinę bendrovę „Y“ (toliau – AB „Y“), per kurią netiesiogiai valdo Lietuvos dukterinę įmonę – UAB „A“. Be to, AB „X“ tiesiogiai valdo kitos ES valstybės akcinę bendrovę „Z“ (toliau – AB „Z“), kuri valdo dukterinę Lietuvos įmonę – UAB „B“, o pastaroji -  dukterinę Lietuvos įmonę UAB „C“. Visose įmonėse patronuojantys vienetai tiesiogiai ar netiesiogiai valdo po 100 proc. dukterinių įmonių akcijų. UAB „C“ ketina 2026</w:t>
      </w:r>
      <w:r>
        <w:rPr>
          <w:b w:val="0"/>
        </w:rPr>
        <w:t xml:space="preserve"> </w:t>
      </w:r>
      <w:r w:rsidRPr="00B239F2">
        <w:rPr>
          <w:b w:val="0"/>
        </w:rPr>
        <w:t>metų nuostolius perduoti</w:t>
      </w:r>
      <w:r w:rsidRPr="00D03619">
        <w:rPr>
          <w:b w:val="0"/>
        </w:rPr>
        <w:t xml:space="preserve"> UAB „A“ ir UAB „B“. </w:t>
      </w:r>
    </w:p>
    <w:p w14:paraId="62B15D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D03619">
        <w:rPr>
          <w:b w:val="0"/>
        </w:rPr>
        <w:lastRenderedPageBreak/>
        <w:t xml:space="preserve">AB „X“, AB „Y“, AB „Z“, UAB „B“ ir UAB „C“ </w:t>
      </w:r>
      <w:r w:rsidRPr="00D03619">
        <w:rPr>
          <w:b w:val="0"/>
          <w:bCs w:val="0"/>
        </w:rPr>
        <w:t xml:space="preserve">priklauso vienai </w:t>
      </w:r>
      <w:r w:rsidRPr="00D03619">
        <w:rPr>
          <w:b w:val="0"/>
        </w:rPr>
        <w:t>įmonių grupei daugiau kaip du metus be pertraukų. Nuostolių perdavimo dieną AB „Y“ UAB „A“ tiesiogiai valdo pusę metų (iki to daugiau kaip pusantrų metų ją tiesiogiai valdė UAB „B“). Nors UAB „A“ pavaldumas pasikeitė, tačiau ši įmonė įmonių grupėje taip pat yra du metus be pertraukų.</w:t>
      </w:r>
    </w:p>
    <w:p w14:paraId="495AC8F6"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p>
    <w:p w14:paraId="3ADC6A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spacing w:line="240" w:lineRule="auto"/>
        <w:rPr>
          <w:b w:val="0"/>
        </w:rPr>
      </w:pPr>
      <w:r w:rsidRPr="00D03619">
        <w:rPr>
          <w:b w:val="0"/>
        </w:rPr>
        <w:t>3 schema</w:t>
      </w:r>
      <w:r w:rsidRPr="00D03619">
        <w:rPr>
          <w:noProof/>
          <w:lang w:eastAsia="lt-LT"/>
        </w:rPr>
        <mc:AlternateContent>
          <mc:Choice Requires="wps">
            <w:drawing>
              <wp:anchor distT="0" distB="0" distL="114300" distR="114300" simplePos="0" relativeHeight="251857920" behindDoc="0" locked="0" layoutInCell="1" allowOverlap="1" wp14:anchorId="2D464788" wp14:editId="7C32E6D9">
                <wp:simplePos x="0" y="0"/>
                <wp:positionH relativeFrom="column">
                  <wp:posOffset>2857500</wp:posOffset>
                </wp:positionH>
                <wp:positionV relativeFrom="paragraph">
                  <wp:posOffset>106680</wp:posOffset>
                </wp:positionV>
                <wp:extent cx="0" cy="1600200"/>
                <wp:effectExtent l="5080" t="12065" r="13970" b="6985"/>
                <wp:wrapNone/>
                <wp:docPr id="42"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ln>
                      </wps:spPr>
                      <wps:bodyPr/>
                    </wps:wsp>
                  </a:graphicData>
                </a:graphic>
              </wp:anchor>
            </w:drawing>
          </mc:Choice>
          <mc:Fallback>
            <w:pict>
              <v:line w14:anchorId="12E4FDF6" id="Line 238"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25pt,8.4pt" to="225pt,1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huygEAAHgDAAAOAAAAZHJzL2Uyb0RvYy54bWysU8Fu2zAMvQ/YPwi6L3a8teiMOD0k6C7Z&#10;FqDdBzCSbAuTRUFUYvvvJylpum63oj4IlvT4+PhIre6nwbCT8qTRNny5KDlTVqDUtmv4r6eHT3ec&#10;UQArwaBVDZ8V8fv1xw+r0dWqwh6NVJ5FEkv16Breh+DqoiDRqwFogU7ZeNmiHyDEre8K6WGM7IMp&#10;qrK8LUb00nkUiiiebs+XfJ3521aJ8LNtSQVmGh61hbz6vB7SWqxXUHceXK/FRQa8QcUA2sakV6ot&#10;BGBHr/+jGrTwSNiGhcChwLbVQuUaYjXL8p9qHntwKtcSzSF3tYnej1b8OO0907LhXyrOLAyxRztt&#10;Fas+3yVzRkd1xGzs3qfyxGQf3Q7Fb2IWNz3YTmWRT7OLgcsUUbwKSRtyMcVh/I4yYuAYMDs1tX5I&#10;lNEDNuWGzNeGqCkwcT4U8XR5W5ax2Zkd6udA5yl8Uziw9NNwE1VnYjjtKCQhUD9DUh6LD9qY3G9j&#10;2djwrzfVDWcC4tR5K3MoodEywVIA+e6wMZ6dIM1O/i4KXsFSji1Qf8bRTFsMCQe1x6OVZyHGXoxJ&#10;XpxdPaCc9z5dJ49ie7Piyyim+fl7n1EvD2b9BwAA//8DAFBLAwQUAAYACAAAACEA0jTPNtwAAAAK&#10;AQAADwAAAGRycy9kb3ducmV2LnhtbEyPzU7DMBCE70i8g7VI3KhNBSFK41So5edMQUjcNsk2CY3X&#10;Ueym4e1ZxAGOOzOanS9fz65XE42h82zhemFAEVe+7rix8Pb6eJWCChG5xt4zWfiiAOvi/CzHrPYn&#10;fqFpFxslJRwytNDGOGRah6olh2HhB2Lx9n50GOUcG12PeJJy1+ulMYl22LF8aHGgTUvVYXd0Fqb3&#10;avu5fXg+GN74u/KJko+B0NrLi/l+BSrSHP/C8DNfpkMhm0p/5Dqo3sLNrRGWKEYiCBL4FUoLyyRN&#10;QRe5/o9QfAMAAP//AwBQSwECLQAUAAYACAAAACEAtoM4kv4AAADhAQAAEwAAAAAAAAAAAAAAAAAA&#10;AAAAW0NvbnRlbnRfVHlwZXNdLnhtbFBLAQItABQABgAIAAAAIQA4/SH/1gAAAJQBAAALAAAAAAAA&#10;AAAAAAAAAC8BAABfcmVscy8ucmVsc1BLAQItABQABgAIAAAAIQATCahuygEAAHgDAAAOAAAAAAAA&#10;AAAAAAAAAC4CAABkcnMvZTJvRG9jLnhtbFBLAQItABQABgAIAAAAIQDSNM823AAAAAoBAAAPAAAA&#10;AAAAAAAAAAAAACQEAABkcnMvZG93bnJldi54bWxQSwUGAAAAAAQABADzAAAALQUAAAAA&#10;">
                <v:stroke dashstyle="1 1" endcap="round"/>
              </v:line>
            </w:pict>
          </mc:Fallback>
        </mc:AlternateContent>
      </w:r>
    </w:p>
    <w:p w14:paraId="34EC7287"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rFonts w:ascii="Times New Roman" w:hAnsi="Times New Roman" w:cs="Times New Roman"/>
          <w:lang w:val="lt-LT"/>
        </w:rPr>
      </w:pPr>
      <w:r w:rsidRPr="00D03619">
        <w:rPr>
          <w:rFonts w:ascii="Times New Roman" w:hAnsi="Times New Roman" w:cs="Times New Roman"/>
          <w:lang w:val="lt-LT"/>
        </w:rPr>
        <w:t>ES valstybė</w:t>
      </w:r>
      <w:r w:rsidRPr="00D03619">
        <w:rPr>
          <w:rFonts w:ascii="Times New Roman" w:hAnsi="Times New Roman" w:cs="Times New Roman"/>
          <w:vertAlign w:val="superscript"/>
          <w:lang w:val="lt-LT"/>
        </w:rPr>
        <w:t xml:space="preserve">X </w:t>
      </w:r>
      <w:r w:rsidRPr="00D03619">
        <w:rPr>
          <w:rFonts w:ascii="Times New Roman" w:hAnsi="Times New Roman" w:cs="Times New Roman"/>
          <w:lang w:val="lt-LT"/>
        </w:rPr>
        <w:t xml:space="preserve">                                                         ES valstybė</w:t>
      </w:r>
      <w:r w:rsidRPr="00D03619">
        <w:rPr>
          <w:rFonts w:ascii="Times New Roman" w:hAnsi="Times New Roman" w:cs="Times New Roman"/>
          <w:vertAlign w:val="superscript"/>
          <w:lang w:val="lt-LT"/>
        </w:rPr>
        <w:t xml:space="preserve">Z </w:t>
      </w:r>
    </w:p>
    <w:p w14:paraId="6DF27A16"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rFonts w:ascii="Times New Roman" w:hAnsi="Times New Roman" w:cs="Times New Roman"/>
          <w:lang w:val="lt-LT"/>
        </w:rPr>
      </w:pPr>
    </w:p>
    <w:p w14:paraId="0A427E0E"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lang w:val="lt-LT"/>
        </w:rPr>
      </w:pPr>
      <w:r w:rsidRPr="00D03619">
        <w:rPr>
          <w:noProof/>
          <w:lang w:val="lt-LT" w:eastAsia="lt-LT"/>
        </w:rPr>
        <mc:AlternateContent>
          <mc:Choice Requires="wps">
            <w:drawing>
              <wp:anchor distT="0" distB="0" distL="114300" distR="114300" simplePos="0" relativeHeight="251859968" behindDoc="0" locked="0" layoutInCell="1" allowOverlap="1" wp14:anchorId="47CF06BF" wp14:editId="6C42A739">
                <wp:simplePos x="0" y="0"/>
                <wp:positionH relativeFrom="column">
                  <wp:posOffset>2286000</wp:posOffset>
                </wp:positionH>
                <wp:positionV relativeFrom="paragraph">
                  <wp:posOffset>1371600</wp:posOffset>
                </wp:positionV>
                <wp:extent cx="685800" cy="263525"/>
                <wp:effectExtent l="0" t="2540" r="4445" b="635"/>
                <wp:wrapNone/>
                <wp:docPr id="4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63525"/>
                        </a:xfrm>
                        <a:prstGeom prst="rect">
                          <a:avLst/>
                        </a:prstGeom>
                        <a:solidFill>
                          <a:srgbClr val="FFFFFF"/>
                        </a:solidFill>
                        <a:ln>
                          <a:noFill/>
                        </a:ln>
                      </wps:spPr>
                      <wps:txbx>
                        <w:txbxContent>
                          <w:p w14:paraId="4EA2AD42" w14:textId="77777777" w:rsidR="007B24A1" w:rsidRDefault="007B24A1" w:rsidP="007B24A1">
                            <w:r>
                              <w:t>Lietuva</w:t>
                            </w:r>
                          </w:p>
                        </w:txbxContent>
                      </wps:txbx>
                      <wps:bodyPr rot="0" vert="horz" wrap="square" lIns="91440" tIns="45720" rIns="91440" bIns="45720" anchor="t" anchorCtr="0" upright="1">
                        <a:noAutofit/>
                      </wps:bodyPr>
                    </wps:wsp>
                  </a:graphicData>
                </a:graphic>
              </wp:anchor>
            </w:drawing>
          </mc:Choice>
          <mc:Fallback>
            <w:pict>
              <v:shape w14:anchorId="47CF06BF" id="Text Box 239" o:spid="_x0000_s1220" type="#_x0000_t202" style="position:absolute;left:0;text-align:left;margin-left:180pt;margin-top:108pt;width:54pt;height:20.7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XHDAIAAPoDAAAOAAAAZHJzL2Uyb0RvYy54bWysU9tu2zAMfR+wfxD0vjh2LkuNOEWXIsOA&#10;rhvQ7gNkWY6F2aJGKbGzrx8lp2m2vQ3TgyCK1CHPIbW+HbqWHRU6Dabg6WTKmTISKm32Bf/2vHu3&#10;4sx5YSrRglEFPynHbzdv36x7m6sMGmgrhYxAjMt7W/DGe5sniZON6oSbgFWGnDVgJzyZuE8qFD2h&#10;d22STafLpAesLIJUztHt/ejkm4hf10r6L3XtlGdtwak2H3eMexn2ZLMW+R6FbbQ8lyH+oYpOaENJ&#10;L1D3wgt2QP0XVKclgoPaTyR0CdS1lipyIDbp9A82T42wKnIhcZy9yOT+H6x8PH5FpquCz1POjOio&#10;R89q8OwDDCyb3QSBeutyinuyFOkHclCjI1lnH0B+d8zAthFmr+4QoW+UqKjANLxMrp6OOC6AlP1n&#10;qCiROHiIQEONXVCP9GCETo06XZoTipF0uVwtVlPySHJly9kiW8QMIn95bNH5jwo6Fg4FR+p9BBfH&#10;B+dDMSJ/CQm5HLS62um2jQbuy22L7ChoTnZxndF/C2tNCDYQno2I4SayDMRGin4oh6hoOosiBA1K&#10;qE5EHGEcQPowdGgAf3LW0/AV3P04CFSctZ8MiXeTzudhWqMxX7zPyMBrT3ntEUYSVME9Z+Nx68cJ&#10;P1jU+4Yyje0ycEeC1zqK8VrVmQANWNTo/BnCBF/bMer1y25+AQAA//8DAFBLAwQUAAYACAAAACEA&#10;YYc9Dt8AAAALAQAADwAAAGRycy9kb3ducmV2LnhtbEyPwU7DMBBE70j8g7VIXBB1WhqnhDgVIIG4&#10;tvQDnHibRMTrKHab9O9ZTvQ2uzuafVNsZ9eLM46h86RhuUhAINXedtRoOHx/PG5AhGjImt4Tarhg&#10;gG15e1OY3PqJdnjex0ZwCIXcaGhjHHIpQ92iM2HhByS+Hf3oTORxbKQdzcThrperJFHSmY74Q2sG&#10;fG+x/tmfnIbj1/SQPk/VZzxku7V6M11W+YvW93fz6wuIiHP8N8MfPqNDyUyVP5ENotfwpBLuEjWs&#10;looFO9Zqw6LiTZqlIMtCXncofwEAAP//AwBQSwECLQAUAAYACAAAACEAtoM4kv4AAADhAQAAEwAA&#10;AAAAAAAAAAAAAAAAAAAAW0NvbnRlbnRfVHlwZXNdLnhtbFBLAQItABQABgAIAAAAIQA4/SH/1gAA&#10;AJQBAAALAAAAAAAAAAAAAAAAAC8BAABfcmVscy8ucmVsc1BLAQItABQABgAIAAAAIQDIAtXHDAIA&#10;APoDAAAOAAAAAAAAAAAAAAAAAC4CAABkcnMvZTJvRG9jLnhtbFBLAQItABQABgAIAAAAIQBhhz0O&#10;3wAAAAsBAAAPAAAAAAAAAAAAAAAAAGYEAABkcnMvZG93bnJldi54bWxQSwUGAAAAAAQABADzAAAA&#10;cgUAAAAA&#10;" stroked="f">
                <v:textbox>
                  <w:txbxContent>
                    <w:p w14:paraId="4EA2AD42" w14:textId="77777777" w:rsidR="007B24A1" w:rsidRDefault="007B24A1" w:rsidP="007B24A1">
                      <w:r>
                        <w:t>Lietuva</w:t>
                      </w:r>
                    </w:p>
                  </w:txbxContent>
                </v:textbox>
              </v:shape>
            </w:pict>
          </mc:Fallback>
        </mc:AlternateContent>
      </w:r>
      <w:r w:rsidRPr="00D03619">
        <w:rPr>
          <w:noProof/>
          <w:lang w:val="lt-LT" w:eastAsia="lt-LT"/>
        </w:rPr>
        <mc:AlternateContent>
          <mc:Choice Requires="wpc">
            <w:drawing>
              <wp:inline distT="0" distB="0" distL="0" distR="0" wp14:anchorId="54162DBE" wp14:editId="71E5AB8F">
                <wp:extent cx="4457700" cy="2171700"/>
                <wp:effectExtent l="0" t="2540" r="23495" b="6985"/>
                <wp:docPr id="240" name="Drobė 2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 name="Rectangle 242"/>
                        <wps:cNvSpPr>
                          <a:spLocks noChangeArrowheads="1"/>
                        </wps:cNvSpPr>
                        <wps:spPr bwMode="auto">
                          <a:xfrm>
                            <a:off x="2742941" y="1257300"/>
                            <a:ext cx="1257883"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7" name="Rectangle 243"/>
                        <wps:cNvSpPr>
                          <a:spLocks noChangeArrowheads="1"/>
                        </wps:cNvSpPr>
                        <wps:spPr bwMode="auto">
                          <a:xfrm>
                            <a:off x="2742941" y="1828800"/>
                            <a:ext cx="1257883"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8" name="Text Box 244"/>
                        <wps:cNvSpPr txBox="1">
                          <a:spLocks noChangeArrowheads="1"/>
                        </wps:cNvSpPr>
                        <wps:spPr bwMode="auto">
                          <a:xfrm>
                            <a:off x="228859" y="685800"/>
                            <a:ext cx="1257041" cy="342900"/>
                          </a:xfrm>
                          <a:prstGeom prst="rect">
                            <a:avLst/>
                          </a:prstGeom>
                          <a:solidFill>
                            <a:srgbClr val="FFFFFF"/>
                          </a:solidFill>
                          <a:ln w="9525">
                            <a:solidFill>
                              <a:srgbClr val="000000"/>
                            </a:solidFill>
                            <a:miter lim="800000"/>
                          </a:ln>
                        </wps:spPr>
                        <wps:txbx>
                          <w:txbxContent>
                            <w:p w14:paraId="51DDA6B3" w14:textId="77777777" w:rsidR="007B24A1" w:rsidRDefault="007B24A1" w:rsidP="007B24A1">
                              <w:r>
                                <w:t>ESV</w:t>
                              </w:r>
                              <w:r>
                                <w:rPr>
                                  <w:vertAlign w:val="superscript"/>
                                </w:rPr>
                                <w:t>X</w:t>
                              </w:r>
                              <w:r>
                                <w:t xml:space="preserve"> AB „Y“</w:t>
                              </w:r>
                            </w:p>
                          </w:txbxContent>
                        </wps:txbx>
                        <wps:bodyPr rot="0" vert="horz" wrap="square" lIns="91440" tIns="45720" rIns="91440" bIns="45720" anchor="t" anchorCtr="0" upright="1">
                          <a:noAutofit/>
                        </wps:bodyPr>
                      </wps:wsp>
                      <wps:wsp>
                        <wps:cNvPr id="29" name="Text Box 245"/>
                        <wps:cNvSpPr txBox="1">
                          <a:spLocks noChangeArrowheads="1"/>
                        </wps:cNvSpPr>
                        <wps:spPr bwMode="auto">
                          <a:xfrm>
                            <a:off x="1142612" y="114300"/>
                            <a:ext cx="1030706" cy="342900"/>
                          </a:xfrm>
                          <a:prstGeom prst="rect">
                            <a:avLst/>
                          </a:prstGeom>
                          <a:solidFill>
                            <a:srgbClr val="CCFFFF"/>
                          </a:solidFill>
                          <a:ln w="9525">
                            <a:solidFill>
                              <a:srgbClr val="000000"/>
                            </a:solidFill>
                            <a:miter lim="800000"/>
                          </a:ln>
                        </wps:spPr>
                        <wps:txbx>
                          <w:txbxContent>
                            <w:p w14:paraId="3F51062E" w14:textId="77777777" w:rsidR="007B24A1" w:rsidRDefault="007B24A1" w:rsidP="007B24A1">
                              <w:r>
                                <w:t>ESV</w:t>
                              </w:r>
                              <w:r>
                                <w:rPr>
                                  <w:vertAlign w:val="superscript"/>
                                </w:rPr>
                                <w:t>X</w:t>
                              </w:r>
                              <w:r>
                                <w:t xml:space="preserve"> AB X“</w:t>
                              </w:r>
                            </w:p>
                          </w:txbxContent>
                        </wps:txbx>
                        <wps:bodyPr rot="0" vert="horz" wrap="square" lIns="91440" tIns="45720" rIns="91440" bIns="45720" anchor="t" anchorCtr="0" upright="1">
                          <a:noAutofit/>
                        </wps:bodyPr>
                      </wps:wsp>
                      <wps:wsp>
                        <wps:cNvPr id="30" name="Text Box 246"/>
                        <wps:cNvSpPr txBox="1">
                          <a:spLocks noChangeArrowheads="1"/>
                        </wps:cNvSpPr>
                        <wps:spPr bwMode="auto">
                          <a:xfrm>
                            <a:off x="2857371" y="457200"/>
                            <a:ext cx="1257883" cy="342900"/>
                          </a:xfrm>
                          <a:prstGeom prst="rect">
                            <a:avLst/>
                          </a:prstGeom>
                          <a:solidFill>
                            <a:srgbClr val="FFFFFF"/>
                          </a:solidFill>
                          <a:ln w="9525">
                            <a:solidFill>
                              <a:srgbClr val="000000"/>
                            </a:solidFill>
                            <a:miter lim="800000"/>
                          </a:ln>
                        </wps:spPr>
                        <wps:txbx>
                          <w:txbxContent>
                            <w:p w14:paraId="2266F4CB" w14:textId="77777777" w:rsidR="007B24A1" w:rsidRDefault="007B24A1" w:rsidP="007B24A1">
                              <w:r>
                                <w:t>ESV</w:t>
                              </w:r>
                              <w:r>
                                <w:rPr>
                                  <w:vertAlign w:val="superscript"/>
                                </w:rPr>
                                <w:t>Z</w:t>
                              </w:r>
                              <w:r>
                                <w:t xml:space="preserve"> AB „Z“</w:t>
                              </w:r>
                            </w:p>
                          </w:txbxContent>
                        </wps:txbx>
                        <wps:bodyPr rot="0" vert="horz" wrap="square" lIns="91440" tIns="45720" rIns="91440" bIns="45720" anchor="t" anchorCtr="0" upright="1">
                          <a:noAutofit/>
                        </wps:bodyPr>
                      </wps:wsp>
                      <wps:wsp>
                        <wps:cNvPr id="31" name="Text Box 247"/>
                        <wps:cNvSpPr txBox="1">
                          <a:spLocks noChangeArrowheads="1"/>
                        </wps:cNvSpPr>
                        <wps:spPr bwMode="auto">
                          <a:xfrm>
                            <a:off x="228859" y="1485900"/>
                            <a:ext cx="1257041" cy="342900"/>
                          </a:xfrm>
                          <a:prstGeom prst="rect">
                            <a:avLst/>
                          </a:prstGeom>
                          <a:solidFill>
                            <a:srgbClr val="CCFFFF"/>
                          </a:solidFill>
                          <a:ln w="9525">
                            <a:solidFill>
                              <a:srgbClr val="000000"/>
                            </a:solidFill>
                            <a:miter lim="800000"/>
                          </a:ln>
                        </wps:spPr>
                        <wps:txbx>
                          <w:txbxContent>
                            <w:p w14:paraId="62C9E0AB" w14:textId="77777777" w:rsidR="007B24A1" w:rsidRDefault="007B24A1" w:rsidP="007B24A1">
                              <w:r>
                                <w:t>UAB „A“</w:t>
                              </w:r>
                            </w:p>
                          </w:txbxContent>
                        </wps:txbx>
                        <wps:bodyPr rot="0" vert="horz" wrap="square" lIns="91440" tIns="45720" rIns="91440" bIns="45720" anchor="t" anchorCtr="0" upright="1">
                          <a:noAutofit/>
                        </wps:bodyPr>
                      </wps:wsp>
                      <wps:wsp>
                        <wps:cNvPr id="32" name="Text Box 248"/>
                        <wps:cNvSpPr txBox="1">
                          <a:spLocks noChangeArrowheads="1"/>
                        </wps:cNvSpPr>
                        <wps:spPr bwMode="auto">
                          <a:xfrm>
                            <a:off x="2742941" y="1257300"/>
                            <a:ext cx="1257883" cy="342900"/>
                          </a:xfrm>
                          <a:prstGeom prst="rect">
                            <a:avLst/>
                          </a:prstGeom>
                          <a:solidFill>
                            <a:srgbClr val="CCFFFF"/>
                          </a:solidFill>
                          <a:ln w="9525">
                            <a:solidFill>
                              <a:srgbClr val="000000"/>
                            </a:solidFill>
                            <a:miter lim="800000"/>
                          </a:ln>
                        </wps:spPr>
                        <wps:txbx>
                          <w:txbxContent>
                            <w:p w14:paraId="75BCE08D" w14:textId="77777777" w:rsidR="007B24A1" w:rsidRDefault="007B24A1" w:rsidP="007B24A1">
                              <w:r>
                                <w:t>UAB „B“</w:t>
                              </w:r>
                            </w:p>
                          </w:txbxContent>
                        </wps:txbx>
                        <wps:bodyPr rot="0" vert="horz" wrap="square" lIns="91440" tIns="45720" rIns="91440" bIns="45720" anchor="t" anchorCtr="0" upright="1">
                          <a:noAutofit/>
                        </wps:bodyPr>
                      </wps:wsp>
                      <wps:wsp>
                        <wps:cNvPr id="33" name="Text Box 249"/>
                        <wps:cNvSpPr txBox="1">
                          <a:spLocks noChangeArrowheads="1"/>
                        </wps:cNvSpPr>
                        <wps:spPr bwMode="auto">
                          <a:xfrm>
                            <a:off x="2742941" y="1828800"/>
                            <a:ext cx="1257883" cy="342900"/>
                          </a:xfrm>
                          <a:prstGeom prst="rect">
                            <a:avLst/>
                          </a:prstGeom>
                          <a:solidFill>
                            <a:srgbClr val="FFFF99"/>
                          </a:solidFill>
                          <a:ln w="9525">
                            <a:solidFill>
                              <a:srgbClr val="000000"/>
                            </a:solidFill>
                            <a:miter lim="800000"/>
                          </a:ln>
                        </wps:spPr>
                        <wps:txbx>
                          <w:txbxContent>
                            <w:p w14:paraId="69FF78A8" w14:textId="77777777" w:rsidR="007B24A1" w:rsidRDefault="007B24A1" w:rsidP="007B24A1">
                              <w:r>
                                <w:t>UAB „C“</w:t>
                              </w:r>
                            </w:p>
                          </w:txbxContent>
                        </wps:txbx>
                        <wps:bodyPr rot="0" vert="horz" wrap="square" lIns="91440" tIns="45720" rIns="91440" bIns="45720" anchor="t" anchorCtr="0" upright="1">
                          <a:noAutofit/>
                        </wps:bodyPr>
                      </wps:wsp>
                      <wps:wsp>
                        <wps:cNvPr id="34" name="Line 250"/>
                        <wps:cNvCnPr/>
                        <wps:spPr bwMode="auto">
                          <a:xfrm>
                            <a:off x="114429" y="1143000"/>
                            <a:ext cx="4343271" cy="0"/>
                          </a:xfrm>
                          <a:prstGeom prst="line">
                            <a:avLst/>
                          </a:prstGeom>
                          <a:noFill/>
                          <a:ln w="28575">
                            <a:solidFill>
                              <a:srgbClr val="000000"/>
                            </a:solidFill>
                            <a:prstDash val="sysDot"/>
                            <a:round/>
                          </a:ln>
                        </wps:spPr>
                        <wps:bodyPr/>
                      </wps:wsp>
                      <wps:wsp>
                        <wps:cNvPr id="35" name="Line 251"/>
                        <wps:cNvCnPr/>
                        <wps:spPr bwMode="auto">
                          <a:xfrm>
                            <a:off x="1257041" y="457200"/>
                            <a:ext cx="0" cy="228600"/>
                          </a:xfrm>
                          <a:prstGeom prst="line">
                            <a:avLst/>
                          </a:prstGeom>
                          <a:noFill/>
                          <a:ln w="3175">
                            <a:solidFill>
                              <a:srgbClr val="000000"/>
                            </a:solidFill>
                            <a:round/>
                            <a:tailEnd type="triangle" w="med" len="med"/>
                          </a:ln>
                        </wps:spPr>
                        <wps:bodyPr/>
                      </wps:wsp>
                      <wps:wsp>
                        <wps:cNvPr id="36" name="Line 252"/>
                        <wps:cNvCnPr/>
                        <wps:spPr bwMode="auto">
                          <a:xfrm>
                            <a:off x="1142612" y="1028700"/>
                            <a:ext cx="0" cy="457200"/>
                          </a:xfrm>
                          <a:prstGeom prst="line">
                            <a:avLst/>
                          </a:prstGeom>
                          <a:noFill/>
                          <a:ln w="3175">
                            <a:solidFill>
                              <a:srgbClr val="000000"/>
                            </a:solidFill>
                            <a:round/>
                            <a:tailEnd type="triangle" w="med" len="med"/>
                          </a:ln>
                        </wps:spPr>
                        <wps:bodyPr/>
                      </wps:wsp>
                      <wps:wsp>
                        <wps:cNvPr id="37" name="Line 253"/>
                        <wps:cNvCnPr/>
                        <wps:spPr bwMode="auto">
                          <a:xfrm>
                            <a:off x="3315088" y="1600200"/>
                            <a:ext cx="0" cy="228600"/>
                          </a:xfrm>
                          <a:prstGeom prst="line">
                            <a:avLst/>
                          </a:prstGeom>
                          <a:noFill/>
                          <a:ln w="3175">
                            <a:solidFill>
                              <a:srgbClr val="000000"/>
                            </a:solidFill>
                            <a:round/>
                            <a:tailEnd type="triangle" w="med" len="med"/>
                          </a:ln>
                        </wps:spPr>
                        <wps:bodyPr/>
                      </wps:wsp>
                      <wps:wsp>
                        <wps:cNvPr id="38" name="Line 254"/>
                        <wps:cNvCnPr/>
                        <wps:spPr bwMode="auto">
                          <a:xfrm>
                            <a:off x="3315088" y="800100"/>
                            <a:ext cx="0" cy="457200"/>
                          </a:xfrm>
                          <a:prstGeom prst="line">
                            <a:avLst/>
                          </a:prstGeom>
                          <a:noFill/>
                          <a:ln w="3175">
                            <a:solidFill>
                              <a:srgbClr val="000000"/>
                            </a:solidFill>
                            <a:round/>
                            <a:tailEnd type="triangle" w="med" len="med"/>
                          </a:ln>
                        </wps:spPr>
                        <wps:bodyPr/>
                      </wps:wsp>
                      <wps:wsp>
                        <wps:cNvPr id="39" name="Line 255"/>
                        <wps:cNvCnPr/>
                        <wps:spPr bwMode="auto">
                          <a:xfrm>
                            <a:off x="2171635" y="228600"/>
                            <a:ext cx="1143453" cy="0"/>
                          </a:xfrm>
                          <a:prstGeom prst="line">
                            <a:avLst/>
                          </a:prstGeom>
                          <a:noFill/>
                          <a:ln w="9525">
                            <a:solidFill>
                              <a:srgbClr val="000000"/>
                            </a:solidFill>
                            <a:round/>
                          </a:ln>
                        </wps:spPr>
                        <wps:bodyPr/>
                      </wps:wsp>
                      <wps:wsp>
                        <wps:cNvPr id="40" name="Line 256"/>
                        <wps:cNvCnPr/>
                        <wps:spPr bwMode="auto">
                          <a:xfrm>
                            <a:off x="3315088" y="228600"/>
                            <a:ext cx="0" cy="228600"/>
                          </a:xfrm>
                          <a:prstGeom prst="line">
                            <a:avLst/>
                          </a:prstGeom>
                          <a:noFill/>
                          <a:ln w="9525">
                            <a:solidFill>
                              <a:srgbClr val="000000"/>
                            </a:solidFill>
                            <a:round/>
                            <a:tailEnd type="triangle" w="med" len="med"/>
                          </a:ln>
                        </wps:spPr>
                        <wps:bodyPr/>
                      </wps:wsp>
                    </wpc:wpc>
                  </a:graphicData>
                </a:graphic>
              </wp:inline>
            </w:drawing>
          </mc:Choice>
          <mc:Fallback>
            <w:pict>
              <v:group w14:anchorId="54162DBE" id="Drobė 240" o:spid="_x0000_s1221" editas="canvas" style="width:351pt;height:171pt;mso-position-horizontal-relative:char;mso-position-vertical-relative:line" coordsize="44577,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fBogQAACUkAAAOAAAAZHJzL2Uyb0RvYy54bWzsWl2P4jYUfa/U/2D5vUM+IUSTWW2ZTlVp&#10;2o662x9gEodETezUNgT21/faCSEDzG7LDANSwwMksbn+OOfa1+fm9sO6LNCKCplzFmH7xsKIspgn&#10;OVtE+M/PDz8EGElFWEIKzmiEN1TiD3fff3dbVyF1eMaLhAoERpgM6yrCmVJVOBrJOKMlkTe8ogwK&#10;Uy5KouBWLEaJIDVYL4uRY1njUc1FUgkeUynh6X1TiO+M/TSlsfo9TSVVqIgw9E2Zb2G+5/p7dHdL&#10;woUgVZbHbTfICb0oSc6g0c7UPVEELUV+YKrMY8ElT9VNzMsRT9M8pmYMMBrb2hvNjLAVkWYwMczO&#10;toNw9YZ25wvdb8Yf8qKA2RiB9VA/07814EPhYV0BOrLqcJKva/9TRipqhiXD+LfVk0B5EmFnjBEj&#10;JZDkD4CNsEVBkeM5GiLdPlT8VD0J3VlZPfL4L4kYn2VQj34UgtcZJQn0y9b1YRC9P+gbCX9F8/pX&#10;noB9slTcoLVORakNAg5oDT2YeM7UszHagB3Hn7hWSxC6ViiGCvphELgYxVDDhcpNhREJt5YqIdXP&#10;lJdIX0RYwEhMS2T1KJXuGQm3VcxIeJEneubNjVjMZ4VAKwJkfTAfMxgYcL9awVAd4anv+MbyszLZ&#10;N2GZzzETZa7A64q8jHDQr1Swdu70dDXTPufJBqZO8MZ1wNXhIuPiC0Y1uE2E5d9LIihGxS8Mpn9q&#10;e572M3Pj+RMHbkS/ZN4vISwGUxFWGDWXM9X45rIS+SKDlmwzRsY/AmRpbmZQw9n0qu0sMPO9KDo5&#10;RlH3UhQNnADg062TcKDoQFGzisKG26yinzUlfuRrWES9PYYitYaCrXedbTkFevpTs5qOA/8oUy29&#10;2v5/FlO1nq/NXme73b42LLD9GADocsBe/yLstW3PGdtOEwzY3mEsYLnWxIKY5fz0nc10MKBnAcKH&#10;Z/v9+8YCPfp2e95A3x59XYh2Dug7vgh9nQDi10kTy5o4bIgTevTtNsSBvn36Al0O6Du5DH13sYPt&#10;QRRxLMx9p+DhClffbkcc6NunL2zWB/QNLkPfK1ISrpC/3ZY48LfPXxCWDvg7vTx/r0BmmJppuJro&#10;t9sTB/72+ett+fuYM9BufRNytlLsjD0JOMD8ay0Wjl+gr/ZOX3vxq+d6rqPjW338MmUvq7AFdOdr&#10;KmwnfpOwOVDp4Pl0dVULvPdEZo2QKzfynivtxSQUfMmS5hj3otSqi/UsvZ+q6fp7uBkN/VTcQCI3&#10;gRnAcuzcASckjZjjBONvief/GTbXfgVqW2xIqEhe/MQSpDYVJAuUyE0uAvTuCJc0AaWbQqpLX10f&#10;kl0KpfXATmWC7MkJHrgTQCwnmOzH4C2UO5Tf0AMHKLtUQwtlp7icAKXr2r4VgDIMnmeD30HmtFmQ&#10;tlmDwSubBPRZEptuJ8m3UHbqwyuhBEndfgHJwSnPkaJ2O3m6RbI7iJ+ApGNP7LHee59th71MHojO&#10;nt8mm986wnlV+ni7VcJ6f0VhjM47N8enFpzulHkCOP0Vcxer7MA554L5JticKYwxr4fAqyEmFdG+&#10;N6NfdunfmwB293bP3T8AAAD//wMAUEsDBBQABgAIAAAAIQCRtgPL2gAAAAUBAAAPAAAAZHJzL2Rv&#10;d25yZXYueG1sTI/NasMwEITvhb6D2EBujeSkNMGxHEohp0LJ3wPI1sZ2Yq2MJSfO23fbS3tZdphl&#10;9ptsM7pW3LAPjScNyUyBQCq9bajScDpuX1YgQjRkTesJNTwwwCZ/fspMav2d9ng7xEpwCIXUaKhj&#10;7FIpQ1mjM2HmOyT2zr53JrLsK2l7c+dw18q5Um/SmYb4Q206/KixvB4Gp8E/km7cHb92e1Vel5/n&#10;JBmKy1br6WR8X4OIOMa/Y/jBZ3TImanwA9kgWg1cJP5O9pZqzrLQsHjlReaZ/E+ffwMAAP//AwBQ&#10;SwECLQAUAAYACAAAACEAtoM4kv4AAADhAQAAEwAAAAAAAAAAAAAAAAAAAAAAW0NvbnRlbnRfVHlw&#10;ZXNdLnhtbFBLAQItABQABgAIAAAAIQA4/SH/1gAAAJQBAAALAAAAAAAAAAAAAAAAAC8BAABfcmVs&#10;cy8ucmVsc1BLAQItABQABgAIAAAAIQCnyLfBogQAACUkAAAOAAAAAAAAAAAAAAAAAC4CAABkcnMv&#10;ZTJvRG9jLnhtbFBLAQItABQABgAIAAAAIQCRtgPL2gAAAAUBAAAPAAAAAAAAAAAAAAAAAPwGAABk&#10;cnMvZG93bnJldi54bWxQSwUGAAAAAAQABADzAAAAAwgAAAAA&#10;">
                <v:shape id="_x0000_s1222" type="#_x0000_t75" style="position:absolute;width:44577;height:21717;visibility:visible;mso-wrap-style:square">
                  <v:fill o:detectmouseclick="t"/>
                  <v:path o:connecttype="none"/>
                </v:shape>
                <v:rect id="Rectangle 242" o:spid="_x0000_s1223" style="position:absolute;left:27429;top:12573;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243" o:spid="_x0000_s1224" style="position:absolute;left:27429;top:18288;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shape id="Text Box 244" o:spid="_x0000_s1225" type="#_x0000_t202" style="position:absolute;left:2288;top:6858;width:12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51DDA6B3" w14:textId="77777777" w:rsidR="007B24A1" w:rsidRDefault="007B24A1" w:rsidP="007B24A1">
                        <w:r>
                          <w:t>ESV</w:t>
                        </w:r>
                        <w:r>
                          <w:rPr>
                            <w:vertAlign w:val="superscript"/>
                          </w:rPr>
                          <w:t>X</w:t>
                        </w:r>
                        <w:r>
                          <w:t xml:space="preserve"> AB „Y“</w:t>
                        </w:r>
                      </w:p>
                    </w:txbxContent>
                  </v:textbox>
                </v:shape>
                <v:shape id="Text Box 245" o:spid="_x0000_s1226" type="#_x0000_t202" style="position:absolute;left:11426;top:1143;width:103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LxxAAAANsAAAAPAAAAZHJzL2Rvd25yZXYueG1sRI9PawIx&#10;FMTvgt8hPKE3zWqptKtRFukfT0K3vfT23Dw3i5uXbZLq9tsbQfA4zMxvmOW6t604kQ+NYwXTSQaC&#10;uHK64VrB99fb+BlEiMgaW8ek4J8CrFfDwRJz7c78Sacy1iJBOOSowMTY5VKGypDFMHEdcfIOzluM&#10;Sfpaao/nBLetnGXZXFpsOC0Y7GhjqDqWf1bBY/PLdvfxY/avB3x6l76Y+2Oh1MOoLxYgIvXxHr61&#10;t1rB7AWuX9IPkKsLAAAA//8DAFBLAQItABQABgAIAAAAIQDb4fbL7gAAAIUBAAATAAAAAAAAAAAA&#10;AAAAAAAAAABbQ29udGVudF9UeXBlc10ueG1sUEsBAi0AFAAGAAgAAAAhAFr0LFu/AAAAFQEAAAsA&#10;AAAAAAAAAAAAAAAAHwEAAF9yZWxzLy5yZWxzUEsBAi0AFAAGAAgAAAAhAGQp8vHEAAAA2wAAAA8A&#10;AAAAAAAAAAAAAAAABwIAAGRycy9kb3ducmV2LnhtbFBLBQYAAAAAAwADALcAAAD4AgAAAAA=&#10;" fillcolor="#cff">
                  <v:textbox>
                    <w:txbxContent>
                      <w:p w14:paraId="3F51062E" w14:textId="77777777" w:rsidR="007B24A1" w:rsidRDefault="007B24A1" w:rsidP="007B24A1">
                        <w:r>
                          <w:t>ESV</w:t>
                        </w:r>
                        <w:r>
                          <w:rPr>
                            <w:vertAlign w:val="superscript"/>
                          </w:rPr>
                          <w:t>X</w:t>
                        </w:r>
                        <w:r>
                          <w:t xml:space="preserve"> AB X“</w:t>
                        </w:r>
                      </w:p>
                    </w:txbxContent>
                  </v:textbox>
                </v:shape>
                <v:shape id="Text Box 246" o:spid="_x0000_s1227" type="#_x0000_t202" style="position:absolute;left:28573;top:4572;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2266F4CB" w14:textId="77777777" w:rsidR="007B24A1" w:rsidRDefault="007B24A1" w:rsidP="007B24A1">
                        <w:r>
                          <w:t>ESV</w:t>
                        </w:r>
                        <w:r>
                          <w:rPr>
                            <w:vertAlign w:val="superscript"/>
                          </w:rPr>
                          <w:t>Z</w:t>
                        </w:r>
                        <w:r>
                          <w:t xml:space="preserve"> AB „Z“</w:t>
                        </w:r>
                      </w:p>
                    </w:txbxContent>
                  </v:textbox>
                </v:shape>
                <v:shape id="Text Box 247" o:spid="_x0000_s1228" type="#_x0000_t202" style="position:absolute;left:2288;top:14859;width:12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gqwgAAANsAAAAPAAAAZHJzL2Rvd25yZXYueG1sRI9BawIx&#10;FITvhf6H8ArealZLRbZGWUSrJ6Hqxdvr5rlZ3LysSdT13zdCweMw880wk1lnG3ElH2rHCgb9DARx&#10;6XTNlYL9bvk+BhEissbGMSm4U4DZ9PVlgrl2N/6h6zZWIpVwyFGBibHNpQylIYuh71ri5B2dtxiT&#10;9JXUHm+p3DZymGUjabHmtGCwpbmh8rS9WAUf9ZntZnUwv4sjfn5LX4z8qVCq99YVXyAidfEZ/qfX&#10;OnEDeHxJP0BO/wAAAP//AwBQSwECLQAUAAYACAAAACEA2+H2y+4AAACFAQAAEwAAAAAAAAAAAAAA&#10;AAAAAAAAW0NvbnRlbnRfVHlwZXNdLnhtbFBLAQItABQABgAIAAAAIQBa9CxbvwAAABUBAAALAAAA&#10;AAAAAAAAAAAAAB8BAABfcmVscy8ucmVsc1BLAQItABQABgAIAAAAIQAfhmgqwgAAANsAAAAPAAAA&#10;AAAAAAAAAAAAAAcCAABkcnMvZG93bnJldi54bWxQSwUGAAAAAAMAAwC3AAAA9gIAAAAA&#10;" fillcolor="#cff">
                  <v:textbox>
                    <w:txbxContent>
                      <w:p w14:paraId="62C9E0AB" w14:textId="77777777" w:rsidR="007B24A1" w:rsidRDefault="007B24A1" w:rsidP="007B24A1">
                        <w:r>
                          <w:t>UAB „A“</w:t>
                        </w:r>
                      </w:p>
                    </w:txbxContent>
                  </v:textbox>
                </v:shape>
                <v:shape id="Text Box 248" o:spid="_x0000_s1229" type="#_x0000_t202" style="position:absolute;left:27429;top:12573;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ZdwgAAANsAAAAPAAAAZHJzL2Rvd25yZXYueG1sRI9BawIx&#10;FITvQv9DeII3zWpRymqUpdTqSajtpbfn5rlZ3Lxsk6jrvzdCweMw880wi1VnG3EhH2rHCsajDARx&#10;6XTNlYKf7/XwDUSIyBobx6TgRgFWy5feAnPtrvxFl32sRCrhkKMCE2ObSxlKQxbDyLXEyTs6bzEm&#10;6SupPV5TuW3kJMtm0mLNacFgS++GytP+bBW81n9sd5tfc/g44vRT+mLmT4VSg35XzEFE6uIz/E9v&#10;deIm8PiSfoBc3gEAAP//AwBQSwECLQAUAAYACAAAACEA2+H2y+4AAACFAQAAEwAAAAAAAAAAAAAA&#10;AAAAAAAAW0NvbnRlbnRfVHlwZXNdLnhtbFBLAQItABQABgAIAAAAIQBa9CxbvwAAABUBAAALAAAA&#10;AAAAAAAAAAAAAB8BAABfcmVscy8ucmVsc1BLAQItABQABgAIAAAAIQDvVPZdwgAAANsAAAAPAAAA&#10;AAAAAAAAAAAAAAcCAABkcnMvZG93bnJldi54bWxQSwUGAAAAAAMAAwC3AAAA9gIAAAAA&#10;" fillcolor="#cff">
                  <v:textbox>
                    <w:txbxContent>
                      <w:p w14:paraId="75BCE08D" w14:textId="77777777" w:rsidR="007B24A1" w:rsidRDefault="007B24A1" w:rsidP="007B24A1">
                        <w:r>
                          <w:t>UAB „B“</w:t>
                        </w:r>
                      </w:p>
                    </w:txbxContent>
                  </v:textbox>
                </v:shape>
                <v:shape id="Text Box 249" o:spid="_x0000_s1230" type="#_x0000_t202" style="position:absolute;left:27429;top:18288;width:1257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84wAAAANsAAAAPAAAAZHJzL2Rvd25yZXYueG1sRI/RisIw&#10;FETfBf8hXME3TV2hSjWKCAvKvmh3P+DaXNtoc1OaqN2/N4Lg4zAzZ5jlurO1uFPrjWMFk3ECgrhw&#10;2nCp4O/3ezQH4QOyxtoxKfgnD+tVv7fETLsHH+meh1JECPsMFVQhNJmUvqjIoh+7hjh6Z9daDFG2&#10;pdQtPiLc1vIrSVJp0XBcqLChbUXFNb9ZBWnKc3ugy/nwY/Y51sWMJ+ak1HDQbRYgAnXhE363d1rB&#10;dAqvL/EHyNUTAAD//wMAUEsBAi0AFAAGAAgAAAAhANvh9svuAAAAhQEAABMAAAAAAAAAAAAAAAAA&#10;AAAAAFtDb250ZW50X1R5cGVzXS54bWxQSwECLQAUAAYACAAAACEAWvQsW78AAAAVAQAACwAAAAAA&#10;AAAAAAAAAAAfAQAAX3JlbHMvLnJlbHNQSwECLQAUAAYACAAAACEAUjLfOMAAAADbAAAADwAAAAAA&#10;AAAAAAAAAAAHAgAAZHJzL2Rvd25yZXYueG1sUEsFBgAAAAADAAMAtwAAAPQCAAAAAA==&#10;" fillcolor="#ff9">
                  <v:textbox>
                    <w:txbxContent>
                      <w:p w14:paraId="69FF78A8" w14:textId="77777777" w:rsidR="007B24A1" w:rsidRDefault="007B24A1" w:rsidP="007B24A1">
                        <w:r>
                          <w:t>UAB „C“</w:t>
                        </w:r>
                      </w:p>
                    </w:txbxContent>
                  </v:textbox>
                </v:shape>
                <v:line id="Line 250" o:spid="_x0000_s1231" style="position:absolute;visibility:visible;mso-wrap-style:square" from="1144,11430" to="44577,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ExQAAANsAAAAPAAAAZHJzL2Rvd25yZXYueG1sRI9Ba8JA&#10;FITvBf/D8oTemo1RiqSuEqWF0lPVQNvbI/vMBrNvQ3aj6b93CwWPw8x8w6w2o23FhXrfOFYwS1IQ&#10;xJXTDdcKyuPb0xKED8gaW8ek4Jc8bNaThxXm2l15T5dDqEWEsM9RgQmhy6X0lSGLPnEdcfROrrcY&#10;ouxrqXu8RrhtZZamz9Jiw3HBYEc7Q9X5MFgF2ezjS55fvwuz3e67cvz5nPuhUOpxOhYvIAKN4R7+&#10;b79rBfMF/H2JP0CubwAAAP//AwBQSwECLQAUAAYACAAAACEA2+H2y+4AAACFAQAAEwAAAAAAAAAA&#10;AAAAAAAAAAAAW0NvbnRlbnRfVHlwZXNdLnhtbFBLAQItABQABgAIAAAAIQBa9CxbvwAAABUBAAAL&#10;AAAAAAAAAAAAAAAAAB8BAABfcmVscy8ucmVsc1BLAQItABQABgAIAAAAIQDofrkExQAAANsAAAAP&#10;AAAAAAAAAAAAAAAAAAcCAABkcnMvZG93bnJldi54bWxQSwUGAAAAAAMAAwC3AAAA+QIAAAAA&#10;" strokeweight="2.25pt">
                  <v:stroke dashstyle="1 1"/>
                </v:line>
                <v:line id="Line 251" o:spid="_x0000_s1232" style="position:absolute;visibility:visible;mso-wrap-style:square" from="12570,4572" to="1257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twgAAANsAAAAPAAAAZHJzL2Rvd25yZXYueG1sRI/BasMw&#10;EETvhfyD2EBvjZy4LYkTJYRAqU+GpvmAjbW2TKyVkdTY/fuqUOhxmJk3zO4w2V7cyYfOsYLlIgNB&#10;XDvdcavg8vn2tAYRIrLG3jEp+KYAh/3sYYeFdiN/0P0cW5EgHApUYGIcCilDbchiWLiBOHmN8xZj&#10;kr6V2uOY4LaXqyx7lRY7TgsGBzoZqm/nL6tgc0Vtnivdx6rJ38vmlFlvLko9zqfjFkSkKf6H/9ql&#10;VpC/wO+X9APk/gcAAP//AwBQSwECLQAUAAYACAAAACEA2+H2y+4AAACFAQAAEwAAAAAAAAAAAAAA&#10;AAAAAAAAW0NvbnRlbnRfVHlwZXNdLnhtbFBLAQItABQABgAIAAAAIQBa9CxbvwAAABUBAAALAAAA&#10;AAAAAAAAAAAAAB8BAABfcmVscy8ucmVsc1BLAQItABQABgAIAAAAIQB+qF9twgAAANsAAAAPAAAA&#10;AAAAAAAAAAAAAAcCAABkcnMvZG93bnJldi54bWxQSwUGAAAAAAMAAwC3AAAA9gIAAAAA&#10;" strokeweight=".25pt">
                  <v:stroke endarrow="block"/>
                </v:line>
                <v:line id="Line 252" o:spid="_x0000_s1233" style="position:absolute;visibility:visible;mso-wrap-style:square" from="11426,10287" to="1142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EawgAAANsAAAAPAAAAZHJzL2Rvd25yZXYueG1sRI/BasMw&#10;EETvhf6D2EJujdy4hNSNEkqg1CdDE3/A1lpbptbKSErs/H0UKPQ4zMwbZruf7SAu5EPvWMHLMgNB&#10;3Djdc6egPn0+b0CEiKxxcEwKrhRgv3t82GKh3cTfdDnGTiQIhwIVmBjHQsrQGLIYlm4kTl7rvMWY&#10;pO+k9jgluB3kKsvW0mLPacHgSAdDze/xbBW8/aA2r5UeYtXmX2V7yKw3tVKLp/njHUSkOf6H/9ql&#10;VpCv4f4l/QC5uwEAAP//AwBQSwECLQAUAAYACAAAACEA2+H2y+4AAACFAQAAEwAAAAAAAAAAAAAA&#10;AAAAAAAAW0NvbnRlbnRfVHlwZXNdLnhtbFBLAQItABQABgAIAAAAIQBa9CxbvwAAABUBAAALAAAA&#10;AAAAAAAAAAAAAB8BAABfcmVscy8ucmVsc1BLAQItABQABgAIAAAAIQCOesEawgAAANsAAAAPAAAA&#10;AAAAAAAAAAAAAAcCAABkcnMvZG93bnJldi54bWxQSwUGAAAAAAMAAwC3AAAA9gIAAAAA&#10;" strokeweight=".25pt">
                  <v:stroke endarrow="block"/>
                </v:line>
                <v:line id="Line 253" o:spid="_x0000_s1234" style="position:absolute;visibility:visible;mso-wrap-style:square" from="33150,16002" to="33150,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SBwgAAANsAAAAPAAAAZHJzL2Rvd25yZXYueG1sRI/BasMw&#10;EETvhfyD2EBvjZy4tIkTJYRAqU+GpvmAjbW2TKyVkdTY/fuqUOhxmJk3zO4w2V7cyYfOsYLlIgNB&#10;XDvdcavg8vn2tAYRIrLG3jEp+KYAh/3sYYeFdiN/0P0cW5EgHApUYGIcCilDbchiWLiBOHmN8xZj&#10;kr6V2uOY4LaXqyx7kRY7TgsGBzoZqm/nL6tgc0Vtnivdx6rJ38vmlFlvLko9zqfjFkSkKf6H/9ql&#10;VpC/wu+X9APk/gcAAP//AwBQSwECLQAUAAYACAAAACEA2+H2y+4AAACFAQAAEwAAAAAAAAAAAAAA&#10;AAAAAAAAW0NvbnRlbnRfVHlwZXNdLnhtbFBLAQItABQABgAIAAAAIQBa9CxbvwAAABUBAAALAAAA&#10;AAAAAAAAAAAAAB8BAABfcmVscy8ucmVsc1BLAQItABQABgAIAAAAIQDhNmSBwgAAANsAAAAPAAAA&#10;AAAAAAAAAAAAAAcCAABkcnMvZG93bnJldi54bWxQSwUGAAAAAAMAAwC3AAAA9gIAAAAA&#10;" strokeweight=".25pt">
                  <v:stroke endarrow="block"/>
                </v:line>
                <v:line id="Line 254" o:spid="_x0000_s1235" style="position:absolute;visibility:visible;mso-wrap-style:square" from="33150,8001" to="3315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DzvgAAANsAAAAPAAAAZHJzL2Rvd25yZXYueG1sRE/LisIw&#10;FN0L8w/hDrjTdFTE6TSVQRBdCT4+4E5z25RpbkoStf69WQguD+ddrAfbiRv50DpW8DXNQBBXTrfc&#10;KLict5MViBCRNXaOScGDAqzLj1GBuXZ3PtLtFBuRQjjkqMDE2OdShsqQxTB1PXHiauctxgR9I7XH&#10;ewq3nZxl2VJabDk1GOxpY6j6P12tgu8/1GZx0F081PPdvt5k1puLUuPP4fcHRKQhvsUv914rmKex&#10;6Uv6AbJ8AgAA//8DAFBLAQItABQABgAIAAAAIQDb4fbL7gAAAIUBAAATAAAAAAAAAAAAAAAAAAAA&#10;AABbQ29udGVudF9UeXBlc10ueG1sUEsBAi0AFAAGAAgAAAAhAFr0LFu/AAAAFQEAAAsAAAAAAAAA&#10;AAAAAAAAHwEAAF9yZWxzLy5yZWxzUEsBAi0AFAAGAAgAAAAhAJCp8PO+AAAA2wAAAA8AAAAAAAAA&#10;AAAAAAAABwIAAGRycy9kb3ducmV2LnhtbFBLBQYAAAAAAwADALcAAADyAgAAAAA=&#10;" strokeweight=".25pt">
                  <v:stroke endarrow="block"/>
                </v:line>
                <v:line id="Line 255" o:spid="_x0000_s1236" style="position:absolute;visibility:visible;mso-wrap-style:square" from="21716,2286" to="3315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256" o:spid="_x0000_s1237" style="position:absolute;visibility:visible;mso-wrap-style:square" from="33150,2286" to="33150,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w10:anchorlock/>
              </v:group>
            </w:pict>
          </mc:Fallback>
        </mc:AlternateContent>
      </w:r>
    </w:p>
    <w:p w14:paraId="33EA8D78" w14:textId="77777777" w:rsidR="007B24A1" w:rsidRPr="00D03619" w:rsidRDefault="007B24A1" w:rsidP="007B24A1">
      <w:pPr>
        <w:pStyle w:val="bodytext"/>
        <w:pBdr>
          <w:top w:val="single" w:sz="4" w:space="1" w:color="auto"/>
          <w:left w:val="single" w:sz="4" w:space="4" w:color="auto"/>
          <w:right w:val="single" w:sz="4" w:space="4" w:color="auto"/>
        </w:pBdr>
        <w:spacing w:before="0" w:beforeAutospacing="0" w:after="0" w:afterAutospacing="0"/>
        <w:ind w:firstLine="720"/>
        <w:rPr>
          <w:lang w:val="lt-LT"/>
        </w:rPr>
      </w:pPr>
    </w:p>
    <w:p w14:paraId="4841F8C7" w14:textId="77777777" w:rsidR="007B24A1" w:rsidRPr="00D03619" w:rsidRDefault="007B24A1" w:rsidP="007B24A1">
      <w:pPr>
        <w:pBdr>
          <w:top w:val="single" w:sz="4" w:space="1" w:color="auto"/>
          <w:left w:val="single" w:sz="4" w:space="4" w:color="auto"/>
          <w:right w:val="single" w:sz="4" w:space="4" w:color="auto"/>
        </w:pBdr>
        <w:ind w:firstLine="720"/>
        <w:jc w:val="both"/>
        <w:rPr>
          <w:bCs/>
          <w:lang w:val="lt-LT"/>
        </w:rPr>
      </w:pPr>
      <w:r w:rsidRPr="00B239F2">
        <w:rPr>
          <w:lang w:val="lt-LT"/>
        </w:rPr>
        <w:t xml:space="preserve">UAB „C“, gali perduoti 2026 metų nuostolius UAB „B“ ir UAB „A“, jei 2026 m. paskutinę dieną ir nuostolių </w:t>
      </w:r>
      <w:r w:rsidRPr="00B239F2">
        <w:rPr>
          <w:bCs/>
          <w:lang w:val="lt-LT"/>
        </w:rPr>
        <w:t xml:space="preserve">perdavimo dieną </w:t>
      </w:r>
      <w:r w:rsidRPr="00B239F2">
        <w:rPr>
          <w:lang w:val="lt-LT"/>
        </w:rPr>
        <w:t xml:space="preserve">patronuojanti įmonė – AB „X“ </w:t>
      </w:r>
      <w:r w:rsidRPr="00B239F2">
        <w:rPr>
          <w:bCs/>
          <w:lang w:val="lt-LT"/>
        </w:rPr>
        <w:t>valdys ne mažiau kaip 2/3 (arba ne mažiau kaip 66,67</w:t>
      </w:r>
      <w:r w:rsidRPr="00D03619">
        <w:rPr>
          <w:bCs/>
          <w:lang w:val="lt-LT"/>
        </w:rPr>
        <w:t xml:space="preserve"> proc.) kiekvienos nuostolių perdavime dalyvaujančios Lietuvos įmonės</w:t>
      </w:r>
      <w:r w:rsidRPr="00D03619">
        <w:rPr>
          <w:lang w:val="lt-LT"/>
        </w:rPr>
        <w:t xml:space="preserve"> akcijų ir bus tenkinami kiti PMĮ </w:t>
      </w:r>
      <w:r w:rsidRPr="00D03619">
        <w:rPr>
          <w:bCs/>
          <w:lang w:val="lt-LT"/>
        </w:rPr>
        <w:t>56</w:t>
      </w:r>
      <w:r w:rsidRPr="00D03619">
        <w:rPr>
          <w:bCs/>
          <w:vertAlign w:val="superscript"/>
          <w:lang w:val="lt-LT"/>
        </w:rPr>
        <w:t>1</w:t>
      </w:r>
      <w:r w:rsidRPr="00D03619">
        <w:rPr>
          <w:bCs/>
          <w:lang w:val="lt-LT"/>
        </w:rPr>
        <w:t xml:space="preserve"> straipsnio reikalavimai.</w:t>
      </w:r>
    </w:p>
    <w:p w14:paraId="25F1CF60" w14:textId="77777777" w:rsidR="007B24A1" w:rsidRPr="00B239F2" w:rsidRDefault="007B24A1" w:rsidP="007B24A1">
      <w:pPr>
        <w:pBdr>
          <w:top w:val="single" w:sz="4" w:space="1" w:color="auto"/>
          <w:left w:val="single" w:sz="4" w:space="4" w:color="auto"/>
          <w:right w:val="single" w:sz="4" w:space="4" w:color="auto"/>
        </w:pBdr>
        <w:ind w:firstLine="720"/>
        <w:jc w:val="both"/>
        <w:rPr>
          <w:bCs/>
          <w:lang w:val="lt-LT"/>
        </w:rPr>
      </w:pPr>
      <w:r w:rsidRPr="00D03619">
        <w:rPr>
          <w:bCs/>
          <w:lang w:val="lt-LT"/>
        </w:rPr>
        <w:t xml:space="preserve">3. </w:t>
      </w:r>
      <w:r w:rsidRPr="00B239F2">
        <w:rPr>
          <w:bCs/>
          <w:lang w:val="lt-LT"/>
        </w:rPr>
        <w:t xml:space="preserve">2027 metais pasikeitė UAB „B“ akcininkai ir įmonių grupės struktūra tapo tokia kaip parodyta 4 schemoje. Patronuojanti įmonė AB „X“ tiesiogiai ar netiesiogiai valdo 100 proc. kiekvienos dukterinės įmonės akcijų. UAB „C“ ketina 2027 metų nuostolius perduoti UAB „A“ ir UAB „B“. </w:t>
      </w:r>
    </w:p>
    <w:p w14:paraId="48AD4AA0"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3B14B12B"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b w:val="0"/>
          <w:bCs w:val="0"/>
        </w:rPr>
        <w:t>4 schema</w:t>
      </w:r>
    </w:p>
    <w:p w14:paraId="23DD9EAE"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39488" behindDoc="0" locked="0" layoutInCell="1" allowOverlap="1" wp14:anchorId="12F38F7A" wp14:editId="24D3FEFC">
                <wp:simplePos x="0" y="0"/>
                <wp:positionH relativeFrom="column">
                  <wp:posOffset>2171700</wp:posOffset>
                </wp:positionH>
                <wp:positionV relativeFrom="paragraph">
                  <wp:posOffset>4445</wp:posOffset>
                </wp:positionV>
                <wp:extent cx="1371600" cy="342900"/>
                <wp:effectExtent l="5080" t="9525" r="13970" b="9525"/>
                <wp:wrapNone/>
                <wp:docPr id="2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CCFFFF"/>
                        </a:solidFill>
                        <a:ln w="9525">
                          <a:solidFill>
                            <a:srgbClr val="000000"/>
                          </a:solidFill>
                          <a:miter lim="800000"/>
                        </a:ln>
                      </wps:spPr>
                      <wps:txbx>
                        <w:txbxContent>
                          <w:p w14:paraId="08C4B38E" w14:textId="77777777" w:rsidR="007B24A1" w:rsidRDefault="007B24A1" w:rsidP="007B24A1">
                            <w:pPr>
                              <w:jc w:val="center"/>
                            </w:pPr>
                            <w:r>
                              <w:rPr>
                                <w:b/>
                                <w:bCs/>
                              </w:rPr>
                              <w:t>ESV</w:t>
                            </w:r>
                            <w:r>
                              <w:rPr>
                                <w:vertAlign w:val="superscript"/>
                              </w:rPr>
                              <w:t>X</w:t>
                            </w:r>
                            <w:r>
                              <w:t xml:space="preserve"> AB „X“</w:t>
                            </w:r>
                          </w:p>
                        </w:txbxContent>
                      </wps:txbx>
                      <wps:bodyPr rot="0" vert="horz" wrap="square" lIns="91440" tIns="45720" rIns="91440" bIns="45720" anchor="t" anchorCtr="0" upright="1">
                        <a:noAutofit/>
                      </wps:bodyPr>
                    </wps:wsp>
                  </a:graphicData>
                </a:graphic>
              </wp:anchor>
            </w:drawing>
          </mc:Choice>
          <mc:Fallback>
            <w:pict>
              <v:shape w14:anchorId="12F38F7A" id="Text Box 257" o:spid="_x0000_s1238" type="#_x0000_t202" style="position:absolute;left:0;text-align:left;margin-left:171pt;margin-top:.35pt;width:108pt;height:27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TfIAIAAEQEAAAOAAAAZHJzL2Uyb0RvYy54bWysU9tu2zAMfR+wfxD0vthxkiYx4hRdigwD&#10;ugvQ7gNkWbaFyaImKbGzrx8lp2l2wR6G+UEQTeqQPIfc3A6dIkdhnQRd0OkkpURoDpXUTUG/PO3f&#10;rChxnumKKdCioCfh6O329atNb3KRQQuqEpYgiHZ5bwraem/yJHG8FR1zEzBCo7MG2zGPpm2SyrIe&#10;0TuVZGl6k/RgK2OBC+fw7/3opNuIX9eC+0917YQnqqBYm4+njWcZzmS7YXljmWklP5fB/qGKjkmN&#10;SS9Q98wzcrDyN6hOcgsOaj/h0CVQ15KL2AN2M01/6eaxZUbEXpAcZy40uf8Hyz8eP1siq4JmC0o0&#10;61CjJzF48hYGki2WgaDeuBzjHg1G+gEdKHRs1pkH4F8d0bBrmW7EnbXQt4JVWOA0vEyuno44LoCU&#10;/QeoMBE7eIhAQ227wB7yQRAdhTpdxAnF8JBytpzepOji6JvNszXeQwqWP7821vl3AjoSLgW1KH5E&#10;Z8cH58fQ55CQzIGS1V4qFQ3blDtlyZHhoOx2e/zO6D+FKU36gq4XSNbfIdL4/Qmikx4nXsmuoKvr&#10;IKXPfAWKRrL8UA5Rm+lsFaACmyVUJ6TQwjjKuHp4acF+p6THMS6o+3ZgVlCi3muUYT2dz8PcR2O+&#10;WGZo2GtPee1hmiNUQT0l43Xnx105GCubFjONwmu4Q+lqGVl9qercAI5q1OW8VmEXru0Y9bL82x8A&#10;AAD//wMAUEsDBBQABgAIAAAAIQDIkfpo3AAAAAcBAAAPAAAAZHJzL2Rvd25yZXYueG1sTI9NT8Mw&#10;DIbvSPyHyEjcWMpYt6lrOlWIjxsSg8tuaeM11RqnJNlW/j3mBDe/eq3Hj8vt5AZxxhB7TwruZxkI&#10;pNabnjoFnx/Pd2sQMWkyevCECr4xwra6vip1YfyF3vG8S51gCMVCK7ApjYWUsbXodJz5EYm7gw9O&#10;J46hkyboC8PdIOdZtpRO98QXrB7x0WJ73J2cgof+i9zb6942Twedv8hQL8OxVur2Zqo3IBJO6W8Z&#10;fvVZHSp2avyJTBQDMxZz/iUpWIHgOs/XHBseFiuQVSn/+1c/AAAA//8DAFBLAQItABQABgAIAAAA&#10;IQC2gziS/gAAAOEBAAATAAAAAAAAAAAAAAAAAAAAAABbQ29udGVudF9UeXBlc10ueG1sUEsBAi0A&#10;FAAGAAgAAAAhADj9If/WAAAAlAEAAAsAAAAAAAAAAAAAAAAALwEAAF9yZWxzLy5yZWxzUEsBAi0A&#10;FAAGAAgAAAAhAMcFVN8gAgAARAQAAA4AAAAAAAAAAAAAAAAALgIAAGRycy9lMm9Eb2MueG1sUEsB&#10;Ai0AFAAGAAgAAAAhAMiR+mjcAAAABwEAAA8AAAAAAAAAAAAAAAAAegQAAGRycy9kb3ducmV2Lnht&#10;bFBLBQYAAAAABAAEAPMAAACDBQAAAAA=&#10;" fillcolor="#cff">
                <v:textbox>
                  <w:txbxContent>
                    <w:p w14:paraId="08C4B38E" w14:textId="77777777" w:rsidR="007B24A1" w:rsidRDefault="007B24A1" w:rsidP="007B24A1">
                      <w:pPr>
                        <w:jc w:val="center"/>
                      </w:pPr>
                      <w:r>
                        <w:rPr>
                          <w:b/>
                          <w:bCs/>
                        </w:rPr>
                        <w:t>ESV</w:t>
                      </w:r>
                      <w:r>
                        <w:rPr>
                          <w:vertAlign w:val="superscript"/>
                        </w:rPr>
                        <w:t>X</w:t>
                      </w:r>
                      <w:r>
                        <w:t xml:space="preserve"> AB „X“</w:t>
                      </w:r>
                    </w:p>
                  </w:txbxContent>
                </v:textbox>
              </v:shape>
            </w:pict>
          </mc:Fallback>
        </mc:AlternateContent>
      </w:r>
      <w:r w:rsidRPr="00D03619">
        <w:rPr>
          <w:noProof/>
          <w:lang w:eastAsia="lt-LT"/>
        </w:rPr>
        <mc:AlternateContent>
          <mc:Choice Requires="wps">
            <w:drawing>
              <wp:anchor distT="0" distB="0" distL="114300" distR="114300" simplePos="0" relativeHeight="251838464" behindDoc="0" locked="0" layoutInCell="1" allowOverlap="1" wp14:anchorId="73E9BDD8" wp14:editId="6924FF6D">
                <wp:simplePos x="0" y="0"/>
                <wp:positionH relativeFrom="column">
                  <wp:posOffset>2286000</wp:posOffset>
                </wp:positionH>
                <wp:positionV relativeFrom="paragraph">
                  <wp:posOffset>118745</wp:posOffset>
                </wp:positionV>
                <wp:extent cx="1257300" cy="228600"/>
                <wp:effectExtent l="5080" t="9525" r="13970" b="9525"/>
                <wp:wrapNone/>
                <wp:docPr id="24"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27F0BC5D" id="Rectangle 258" o:spid="_x0000_s1026" style="position:absolute;margin-left:180pt;margin-top:9.35pt;width:99pt;height:18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8HEwIAACcEAAAOAAAAZHJzL2Uyb0RvYy54bWysU9tuEzEQfUfiHyy/k72QtOkqm6pKFYRU&#10;oKLwAY7Xu2vhG2Mnm/D1jL1p2AJPCD9YHs/x8cyZmdXtUStyEOClNTUtZjklwnDbSNPV9OuX7Zsl&#10;JT4w0zBljajpSXh6u379ajW4SpS2t6oRQJDE+GpwNe1DcFWWed4LzfzMOmHQ2VrQLKAJXdYAG5Bd&#10;q6zM86tssNA4sFx4j7f3o5OuE3/bCh4+ta0XgaiaYmwh7ZD2Xdyz9YpVHTDXS34Og/1DFJpJg59e&#10;qO5ZYGQP8g8qLTlYb9sw41Zntm0lFykHzKbIf8vmqWdOpFxQHO8uMvn/R8s/Hh6ByKam5ZwSwzTW&#10;6DOqxkynBCkXy6jQ4HyFwCf3CDFH7x4s/+aJsZseceIOwA69YA3GVUR89uJBNDw+Jbvhg22Qn+2D&#10;TWIdW9CREGUgx1ST06Um4hgIx8uiXFy/zbF0HH1lubzCc/yCVc+vHfjwTlhN4qGmgNEndnZ48GGE&#10;PkNS9FbJZiuVSgZ0u40CcmDYH9u0zux+ClOGDDW9WZSLxPzC56cUeVp/o9AyYKMrqWu6nIKUOesV&#10;JRql3tnmhHKBHbsVpwsPvYUflAzYqTX13/cMBCXqvUHJb4r5PLZ2MuaL6xINmHp2Uw8zHKlqGigZ&#10;j5swjsPegex6/KlIORp7h2VqZVIwlnCM6hwsdmOqwXlyYrtP7YT6Nd/rnwAAAP//AwBQSwMEFAAG&#10;AAgAAAAhABA8jgbeAAAACQEAAA8AAABkcnMvZG93bnJldi54bWxMj0FPwzAMhe9I/IfISNxYwsa2&#10;rjSdEGhIHLfuwi1tvLbQOFWTboVfjznBzfZ7ev5etp1cJ844hNaThvuZAoFUedtSreFY7O4SECEa&#10;sqbzhBq+MMA2v77KTGr9hfZ4PsRacAiF1GhoYuxTKUPVoDNh5nsk1k5+cCbyOtTSDubC4a6Tc6VW&#10;0pmW+ENjenxusPo8jE5D2c6P5ntfvCq32S3i21R8jO8vWt/eTE+PICJO8c8Mv/iMDjkzlX4kG0Sn&#10;YbFS3CWykKxBsGG5TPhQ8vCwBpln8n+D/AcAAP//AwBQSwECLQAUAAYACAAAACEAtoM4kv4AAADh&#10;AQAAEwAAAAAAAAAAAAAAAAAAAAAAW0NvbnRlbnRfVHlwZXNdLnhtbFBLAQItABQABgAIAAAAIQA4&#10;/SH/1gAAAJQBAAALAAAAAAAAAAAAAAAAAC8BAABfcmVscy8ucmVsc1BLAQItABQABgAIAAAAIQAd&#10;jL8HEwIAACcEAAAOAAAAAAAAAAAAAAAAAC4CAABkcnMvZTJvRG9jLnhtbFBLAQItABQABgAIAAAA&#10;IQAQPI4G3gAAAAkBAAAPAAAAAAAAAAAAAAAAAG0EAABkcnMvZG93bnJldi54bWxQSwUGAAAAAAQA&#10;BADzAAAAeAUAAAAA&#10;"/>
            </w:pict>
          </mc:Fallback>
        </mc:AlternateContent>
      </w:r>
    </w:p>
    <w:p w14:paraId="081D4DCF"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r w:rsidRPr="00D03619">
        <w:rPr>
          <w:b w:val="0"/>
          <w:bCs w:val="0"/>
        </w:rPr>
        <w:tab/>
      </w:r>
    </w:p>
    <w:p w14:paraId="673EB472"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53824" behindDoc="0" locked="0" layoutInCell="1" allowOverlap="1" wp14:anchorId="4B67F175" wp14:editId="6DA6EED1">
                <wp:simplePos x="0" y="0"/>
                <wp:positionH relativeFrom="column">
                  <wp:posOffset>1143000</wp:posOffset>
                </wp:positionH>
                <wp:positionV relativeFrom="paragraph">
                  <wp:posOffset>111125</wp:posOffset>
                </wp:positionV>
                <wp:extent cx="0" cy="114300"/>
                <wp:effectExtent l="5080" t="13335" r="13970" b="5715"/>
                <wp:wrapNone/>
                <wp:docPr id="23"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w14:anchorId="1AE42D73" id="Line 259"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90pt,8.75pt" to="90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5GtwEAAFMDAAAOAAAAZHJzL2Uyb0RvYy54bWysU02P2yAQvVfqf0DcG2xvU3WtOHvIantJ&#10;20i7/QEEsI0KDBpI7Pz7AvnYbXur6gMyzMyb997A6mG2hhwVBg2uo/WiokQ5AVK7oaM/Xp4+fKYk&#10;RO4kN+BUR08q0If1+3erybeqgRGMVEgSiAvt5Ds6xuhbxoIYleVhAV65FOwBLY9piwOTyKeEbg1r&#10;quoTmwClRxAqhHT6eA7SdcHveyXi974PKhLT0cQtlhXLus8rW694OyD3oxYXGvwfWFiuXWp6g3rk&#10;kZMD6r+grBYIAfq4EGAZ9L0WqmhIaurqDzXPI/eqaEnmBH+zKfw/WPHtuEOiZUebO0oct2lGW+0U&#10;aZb32ZzJhzblbNwOszwxu2e/BfEzEAebkbtBFZIvJ58K61zBfivJm+BTi/30FWTK4YcIxam5R5sh&#10;kwdkLgM53Qai5kjE+VCk07r+eFeVWTHeXus8hvhFgSX5p6MmkS64/LgNMfPg7TUlt3HwpI0p4zaO&#10;TB29XzbLUhDAaJmDOS3gsN8YJEeeL0z5iqgUeZuGcHDy3MS4i+Ys82zYHuRph1cv0uQKm8sty1fj&#10;7b5Uv76F9S8AAAD//wMAUEsDBBQABgAIAAAAIQD+A27r3QAAAAkBAAAPAAAAZHJzL2Rvd25yZXYu&#10;eG1sTI9BT8MwDIXvSPyHyEhcpi1lU9lUmk4I6I0LA8TVa0xb0Thdk22FX4+3C9z87Kfn7+Xr0XXq&#10;QENoPRu4mSWgiCtvW64NvL2W0xWoEJEtdp7JwDcFWBeXFzlm1h/5hQ6bWCsJ4ZChgSbGPtM6VA05&#10;DDPfE8vt0w8Oo8ih1nbAo4S7Ts+T5FY7bFk+NNjTQ0PV12bvDITynXblz6SaJB+L2tN89/j8hMZc&#10;X433d6AijfHPDCd8QYdCmLZ+zzaoTvQqkS5RhmUK6mQ4L7YGFmkKusj1/wbFLwAAAP//AwBQSwEC&#10;LQAUAAYACAAAACEAtoM4kv4AAADhAQAAEwAAAAAAAAAAAAAAAAAAAAAAW0NvbnRlbnRfVHlwZXNd&#10;LnhtbFBLAQItABQABgAIAAAAIQA4/SH/1gAAAJQBAAALAAAAAAAAAAAAAAAAAC8BAABfcmVscy8u&#10;cmVsc1BLAQItABQABgAIAAAAIQAUPX5GtwEAAFMDAAAOAAAAAAAAAAAAAAAAAC4CAABkcnMvZTJv&#10;RG9jLnhtbFBLAQItABQABgAIAAAAIQD+A27r3QAAAAkBAAAPAAAAAAAAAAAAAAAAABEEAABkcnMv&#10;ZG93bnJldi54bWxQSwUGAAAAAAQABADzAAAAGwUAAAAA&#10;"/>
            </w:pict>
          </mc:Fallback>
        </mc:AlternateContent>
      </w:r>
      <w:r w:rsidRPr="00D03619">
        <w:rPr>
          <w:noProof/>
          <w:lang w:eastAsia="lt-LT"/>
        </w:rPr>
        <mc:AlternateContent>
          <mc:Choice Requires="wps">
            <w:drawing>
              <wp:anchor distT="0" distB="0" distL="114300" distR="114300" simplePos="0" relativeHeight="251852800" behindDoc="0" locked="0" layoutInCell="1" allowOverlap="1" wp14:anchorId="3824B58C" wp14:editId="73558BCE">
                <wp:simplePos x="0" y="0"/>
                <wp:positionH relativeFrom="column">
                  <wp:posOffset>4572000</wp:posOffset>
                </wp:positionH>
                <wp:positionV relativeFrom="paragraph">
                  <wp:posOffset>111125</wp:posOffset>
                </wp:positionV>
                <wp:extent cx="0" cy="114300"/>
                <wp:effectExtent l="5080" t="13335" r="13970" b="5715"/>
                <wp:wrapNone/>
                <wp:docPr id="22"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ln>
                      </wps:spPr>
                      <wps:bodyPr/>
                    </wps:wsp>
                  </a:graphicData>
                </a:graphic>
              </wp:anchor>
            </w:drawing>
          </mc:Choice>
          <mc:Fallback>
            <w:pict>
              <v:line w14:anchorId="47BF8C62" id="Line 260" o:spid="_x0000_s1026" style="position:absolute;z-index:251852800;visibility:visible;mso-wrap-style:square;mso-wrap-distance-left:9pt;mso-wrap-distance-top:0;mso-wrap-distance-right:9pt;mso-wrap-distance-bottom:0;mso-position-horizontal:absolute;mso-position-horizontal-relative:text;mso-position-vertical:absolute;mso-position-vertical-relative:text" from="5in,8.75pt" to="5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HCtwEAAFMDAAAOAAAAZHJzL2Uyb0RvYy54bWysU02P0zAQvSPxHyzfaZrAriBquoeulkuB&#10;Srv8gKntJBa2x/K4Tfrvsd0PFrgherBqz8yb995MVg+zNeyoAml0Ha8XS86UEyi1Gzr+/eXp3UfO&#10;KIKTYNCpjp8U8Yf12zerybeqwRGNVIElEEft5Ds+xujbqiIxKgu0QK9cCvYYLMR0DUMlA0wJ3Zqq&#10;WS7vqwmD9AGFIkqvj+cgXxf8vlcifut7UpGZjidusZyhnPt8VusVtEMAP2pxoQH/wMKCdqnpDeoR&#10;IrBD0H9BWS0CEvZxIdBW2PdaqKIhqamXf6h5HsGroiWZQ/5mE/0/WPH1uAtMy443DWcObJrRVjvF&#10;mvtizuSpTTkbtwtZnpjds9+i+EHM4WYEN6hC8uXkU2Gd7ax+K8kX8qnFfvqCMuXAIWJxau6DzZDJ&#10;AzaXgZxuA1FzZOL8KNJrXX94vyx0KmivdT5Q/KzQsvyn4yaRLrhw3FLMPKC9puQ2Dp+0MWXcxrGp&#10;45/umrtSQGi0zMGcRmHYb0xgR8gLU35FVIq8Tgt4cPLcxLiL5iwz7x21e5SnXbh6kSZX2Fy2LK/G&#10;63up/vUtrH8CAAD//wMAUEsDBBQABgAIAAAAIQAH5KUR3AAAAAkBAAAPAAAAZHJzL2Rvd25yZXYu&#10;eG1sTI/BTsMwDIbvk/YOkZG4TCxlUxkqTacJ6I0LA8TVa0xb0Thdk22Fp8eIAzva/6/Pn/P16Dp1&#10;pCG0ng1czxNQxJW3LdcGXl/Kq1tQISJb7DyTgS8KsC6mkxwz60/8TMdtrJVAOGRooImxz7QOVUMO&#10;w9z3xJJ9+MFhlHGotR3wJHDX6UWS3GiHLcuFBnu6b6j63B6cgVC+0b78nlWz5H1Ze1rsH54e0ZjL&#10;i3FzByrSGP/L8Ksv6lCI084f2AbVGVgJXqoSrFJQUvhb7Aws0xR0kevzD4ofAAAA//8DAFBLAQIt&#10;ABQABgAIAAAAIQC2gziS/gAAAOEBAAATAAAAAAAAAAAAAAAAAAAAAABbQ29udGVudF9UeXBlc10u&#10;eG1sUEsBAi0AFAAGAAgAAAAhADj9If/WAAAAlAEAAAsAAAAAAAAAAAAAAAAALwEAAF9yZWxzLy5y&#10;ZWxzUEsBAi0AFAAGAAgAAAAhAB1NAcK3AQAAUwMAAA4AAAAAAAAAAAAAAAAALgIAAGRycy9lMm9E&#10;b2MueG1sUEsBAi0AFAAGAAgAAAAhAAfkpRHcAAAACQEAAA8AAAAAAAAAAAAAAAAAEQQAAGRycy9k&#10;b3ducmV2LnhtbFBLBQYAAAAABAAEAPMAAAAaBQAAAAA=&#10;"/>
            </w:pict>
          </mc:Fallback>
        </mc:AlternateContent>
      </w:r>
      <w:r w:rsidRPr="00D03619">
        <w:rPr>
          <w:noProof/>
          <w:lang w:eastAsia="lt-LT"/>
        </w:rPr>
        <mc:AlternateContent>
          <mc:Choice Requires="wps">
            <w:drawing>
              <wp:anchor distT="0" distB="0" distL="114300" distR="114300" simplePos="0" relativeHeight="251851776" behindDoc="0" locked="0" layoutInCell="1" allowOverlap="1" wp14:anchorId="33E156C5" wp14:editId="66CAA3FF">
                <wp:simplePos x="0" y="0"/>
                <wp:positionH relativeFrom="column">
                  <wp:posOffset>2743200</wp:posOffset>
                </wp:positionH>
                <wp:positionV relativeFrom="paragraph">
                  <wp:posOffset>-3175</wp:posOffset>
                </wp:positionV>
                <wp:extent cx="0" cy="228600"/>
                <wp:effectExtent l="5080" t="13335" r="13970" b="5715"/>
                <wp:wrapNone/>
                <wp:docPr id="21"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36429A0F" id="Line 261"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3in,-.25pt" to="3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XntQEAAFMDAAAOAAAAZHJzL2Uyb0RvYy54bWysU8Fu2zAMvQ/YPwi6L3YMNOiMOD2k6C7Z&#10;FqDdByiSbAuTREFUYufvRylN1m63YT4IFvn4SD5S64fZWXbSEQ34ji8XNWfaS1DGDx3/8fL06Z4z&#10;TMIrYcHrjp818ofNxw/rKbS6gRGs0pERicd2Ch0fUwptVaEctRO4gKA9OXuITiS6xqFSUUzE7mzV&#10;1PWqmiCqEEFqRLI+Xpx8U/j7Xsv0ve9RJ2Y7TrWlcsZyHvJZbdaiHaIIo5GvZYh/qMIJ4ynpjepR&#10;JMGO0fxF5YyMgNCnhQRXQd8bqUsP1M2y/qOb51EEXXohcTDcZML/Ryu/nfaRGdXxZsmZF45mtDNe&#10;s2a1zOJMAVvCbP0+5vbk7J/DDuRPZB62o/CDLkW+nAMFlojqXUi+YKAUh+krKMKIY4Ki1NxHlylJ&#10;AzaXgZxvA9FzYvJilGRtmvtVXWZVifYaFyKmLxocyz8dt1R04RWnHSaqnKBXSE7j4clYW8ZtPZs6&#10;/vmuuSsBCNao7MwwjMNhayM7ibww5csyENk7WISjVxe79eS+tnkR7ADqvI/Zne00uULwumV5Nd7e&#10;C+r3W9j8AgAA//8DAFBLAwQUAAYACAAAACEAyFqxKNwAAAAIAQAADwAAAGRycy9kb3ducmV2Lnht&#10;bEyPwU7DMBBE70j8g7VIXKrWISEIhWwqBOTGhQLiuo2XJCJep7HbBr4eIw5wHM1o5k25nu2gDjz5&#10;3gnCxSoBxdI400uL8PJcL69B+UBiaHDCCJ/sYV2dnpRUGHeUJz5sQqtiifiCELoQxkJr33Rsya/c&#10;yBK9dzdZClFOrTYTHWO5HXSaJFfaUi9xoaOR7zpuPjZ7i+DrV97VX4tmkbxlreN0d//4QIjnZ/Pt&#10;DajAc/gLww9+RIcqMm3dXoxXA8JllsYvAWGZg4r+r94iZHkOuir1/wPVNwAAAP//AwBQSwECLQAU&#10;AAYACAAAACEAtoM4kv4AAADhAQAAEwAAAAAAAAAAAAAAAAAAAAAAW0NvbnRlbnRfVHlwZXNdLnht&#10;bFBLAQItABQABgAIAAAAIQA4/SH/1gAAAJQBAAALAAAAAAAAAAAAAAAAAC8BAABfcmVscy8ucmVs&#10;c1BLAQItABQABgAIAAAAIQAZuSXntQEAAFMDAAAOAAAAAAAAAAAAAAAAAC4CAABkcnMvZTJvRG9j&#10;LnhtbFBLAQItABQABgAIAAAAIQDIWrEo3AAAAAgBAAAPAAAAAAAAAAAAAAAAAA8EAABkcnMvZG93&#10;bnJldi54bWxQSwUGAAAAAAQABADzAAAAGAUAAAAA&#10;"/>
            </w:pict>
          </mc:Fallback>
        </mc:AlternateContent>
      </w:r>
      <w:r w:rsidRPr="00D03619">
        <w:rPr>
          <w:noProof/>
          <w:lang w:eastAsia="lt-LT"/>
        </w:rPr>
        <mc:AlternateContent>
          <mc:Choice Requires="wps">
            <w:drawing>
              <wp:anchor distT="0" distB="0" distL="114300" distR="114300" simplePos="0" relativeHeight="251850752" behindDoc="0" locked="0" layoutInCell="1" allowOverlap="1" wp14:anchorId="07026514" wp14:editId="01EC51EA">
                <wp:simplePos x="0" y="0"/>
                <wp:positionH relativeFrom="column">
                  <wp:posOffset>1143000</wp:posOffset>
                </wp:positionH>
                <wp:positionV relativeFrom="paragraph">
                  <wp:posOffset>111125</wp:posOffset>
                </wp:positionV>
                <wp:extent cx="3429000" cy="0"/>
                <wp:effectExtent l="5080" t="13335" r="13970" b="5715"/>
                <wp:wrapNone/>
                <wp:docPr id="20"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ln>
                      </wps:spPr>
                      <wps:bodyPr/>
                    </wps:wsp>
                  </a:graphicData>
                </a:graphic>
              </wp:anchor>
            </w:drawing>
          </mc:Choice>
          <mc:Fallback>
            <w:pict>
              <v:line w14:anchorId="0C13F087" id="Line 262" o:spid="_x0000_s1026" style="position:absolute;z-index:251850752;visibility:visible;mso-wrap-style:square;mso-wrap-distance-left:9pt;mso-wrap-distance-top:0;mso-wrap-distance-right:9pt;mso-wrap-distance-bottom:0;mso-position-horizontal:absolute;mso-position-horizontal-relative:text;mso-position-vertical:absolute;mso-position-vertical-relative:text" from="90pt,8.75pt" to="5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PGtwEAAFQDAAAOAAAAZHJzL2Uyb0RvYy54bWysU01vGyEQvVfqf0Dc611vm6hZeZ2Do/Ti&#10;tpaS/gAM7C4qMGjAXvvfd8AfSdtblD2ghZl5894bWNwfnGV7jdGA7/h8VnOmvQRl/NDxX8+Pn75y&#10;FpPwSljwuuNHHfn98uOHxRRa3cAIVmlkBOJjO4WOjymFtqqiHLUTcQZBewr2gE4k2uJQKRQToTtb&#10;NXV9W02AKiBIHSOdPpyCfFnw+17L9LPvo07Mdpy4pbJiWbd5rZYL0Q4owmjkmYZ4AwsnjKemV6gH&#10;kQTbofkPyhmJEKFPMwmugr43UhcNpGZe/6PmaRRBFy1kTgxXm+L7wcof+w0yozrekD1eOJrR2njN&#10;mtsmmzOF2FLOym8wy5MH/xTWIH9H5mE1Cj/oQvL5GKhwniuqv0ryJgZqsZ2+g6IcsUtQnDr06DIk&#10;ecAOZSDH60D0ITFJh5+/NHd1TcTkJVaJ9lIYMKZvGhzLPx23xLoAi/06pkxEtJeU3MfDo7G2zNt6&#10;NnX87qa5KQURrFE5mNMiDtuVRbYX+caUr6iiyOs0hJ1XpybWn0VnnSfHtqCOG7yYQaMrbM7XLN+N&#10;1/tS/fIYln8AAAD//wMAUEsDBBQABgAIAAAAIQDVSfUk2gAAAAkBAAAPAAAAZHJzL2Rvd25yZXYu&#10;eG1sTE/LTsMwELwj8Q/WInGpWpsiaBXiVAjIjQsF1Os2XpKIeJ3Gbhv4ehb1ALedndE88tXoO3Wg&#10;IbaBLVzNDCjiKriWawtvr+V0CSomZIddYLLwRRFWxflZjpkLR36hwzrVSkw4ZmihSanPtI5VQx7j&#10;LPTEwn2EwWMSONTaDXgUc9/puTG32mPLktBgTw8NVZ/rvbcQy3fald+TamI213Wg+e7x+QmtvbwY&#10;7+9AJRrTnxh+60t1KKTTNuzZRdUJXhrZkuRY3IASwULyQG1PD13k+v+C4gcAAP//AwBQSwECLQAU&#10;AAYACAAAACEAtoM4kv4AAADhAQAAEwAAAAAAAAAAAAAAAAAAAAAAW0NvbnRlbnRfVHlwZXNdLnht&#10;bFBLAQItABQABgAIAAAAIQA4/SH/1gAAAJQBAAALAAAAAAAAAAAAAAAAAC8BAABfcmVscy8ucmVs&#10;c1BLAQItABQABgAIAAAAIQBRQbPGtwEAAFQDAAAOAAAAAAAAAAAAAAAAAC4CAABkcnMvZTJvRG9j&#10;LnhtbFBLAQItABQABgAIAAAAIQDVSfUk2gAAAAkBAAAPAAAAAAAAAAAAAAAAABEEAABkcnMvZG93&#10;bnJldi54bWxQSwUGAAAAAAQABADzAAAAGAUAAAAA&#10;"/>
            </w:pict>
          </mc:Fallback>
        </mc:AlternateContent>
      </w:r>
    </w:p>
    <w:p w14:paraId="6B9D66BB"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47680" behindDoc="0" locked="0" layoutInCell="1" allowOverlap="1" wp14:anchorId="620F2079" wp14:editId="795DB113">
                <wp:simplePos x="0" y="0"/>
                <wp:positionH relativeFrom="column">
                  <wp:posOffset>3886200</wp:posOffset>
                </wp:positionH>
                <wp:positionV relativeFrom="paragraph">
                  <wp:posOffset>50165</wp:posOffset>
                </wp:positionV>
                <wp:extent cx="1257300" cy="342900"/>
                <wp:effectExtent l="5080" t="5715" r="13970" b="13335"/>
                <wp:wrapNone/>
                <wp:docPr id="1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CCFFFF"/>
                        </a:solidFill>
                        <a:ln w="9525">
                          <a:solidFill>
                            <a:srgbClr val="000000"/>
                          </a:solidFill>
                          <a:miter lim="800000"/>
                        </a:ln>
                      </wps:spPr>
                      <wps:txbx>
                        <w:txbxContent>
                          <w:p w14:paraId="7D28FEFC" w14:textId="77777777" w:rsidR="007B24A1" w:rsidRDefault="007B24A1" w:rsidP="007B24A1">
                            <w:r>
                              <w:rPr>
                                <w:b/>
                                <w:bCs/>
                              </w:rPr>
                              <w:t>UAB „B“</w:t>
                            </w:r>
                          </w:p>
                          <w:p w14:paraId="28CB16CA" w14:textId="77777777" w:rsidR="007B24A1" w:rsidRDefault="007B24A1" w:rsidP="007B24A1"/>
                        </w:txbxContent>
                      </wps:txbx>
                      <wps:bodyPr rot="0" vert="horz" wrap="square" lIns="91440" tIns="45720" rIns="91440" bIns="45720" anchor="t" anchorCtr="0" upright="1">
                        <a:noAutofit/>
                      </wps:bodyPr>
                    </wps:wsp>
                  </a:graphicData>
                </a:graphic>
              </wp:anchor>
            </w:drawing>
          </mc:Choice>
          <mc:Fallback>
            <w:pict>
              <v:shape w14:anchorId="620F2079" id="Text Box 263" o:spid="_x0000_s1239" type="#_x0000_t202" style="position:absolute;left:0;text-align:left;margin-left:306pt;margin-top:3.95pt;width:99pt;height:27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ocHwIAAEQEAAAOAAAAZHJzL2Uyb0RvYy54bWysU9tu2zAMfR+wfxD0vthxkrYx4hRdigwD&#10;ugvQ7gMUWbaFSaImKbGzrx8lp2l2exnmB0E0qUPyHHJ1O2hFDsJ5Caai00lOiTAcamnain552r65&#10;ocQHZmqmwIiKHoWnt+vXr1a9LUUBHahaOIIgxpe9rWgXgi2zzPNOaOYnYIVBZwNOs4Cma7PasR7R&#10;tcqKPL/KenC1dcCF9/j3fnTSdcJvGsHDp6bxIhBVUawtpNOlcxfPbL1iZeuY7SQ/lcH+oQrNpMGk&#10;Z6h7FhjZO/kblJbcgYcmTDjoDJpGcpF6wG6m+S/dPHbMitQLkuPtmSb//2D5x8NnR2SN2i0pMUyj&#10;Rk9iCOQtDKS4mkWCeutLjHu0GBkGdGBwatbbB+BfPTGw6ZhpxZ1z0HeC1VjgNL7MLp6OOD6C7PoP&#10;UGMitg+QgIbG6cge8kEQHYU6nsWJxfCYslhcz3J0cfTN5sUS7zEFK59fW+fDOwGaxEtFHYqf0Nnh&#10;wYcx9DkkJvOgZL2VSiXDtbuNcuTAcFA2my1+J/SfwpQhfUWXi2IxEvBXiDx9f4LQMuDEK6krenMZ&#10;pMyJr0jRSFYYdsOozWwZoSKbO6iPSKGDcZRx9fDSgftOSY9jXFH/bc+coES9NyjDcjqfx7lPxnxx&#10;XaDhLj27Sw8zHKEqGigZr5sw7sreOtl2mGkU3sAdStfIxOpLVacGcFSTLqe1irtwaaeol+Vf/wAA&#10;AP//AwBQSwMEFAAGAAgAAAAhAKng81rcAAAACAEAAA8AAABkcnMvZG93bnJldi54bWxMj8tOwzAQ&#10;RfdI/IM1SOyokyJCG+JUEeKxQ6KwYefE0zhqPA6224a/Z7qC5dUZ3Tm32sxuFEcMcfCkIF9kIJA6&#10;bwbqFXx+PN+sQMSkyejREyr4wQib+vKi0qXxJ3rH4zb1gksollqBTWkqpYydRafjwk9IzHY+OJ04&#10;hl6aoE9c7ka5zLJCOj0Qf7B6wkeL3X57cApuh29yb69ftn3a6bsXGZoi7Bulrq/m5gFEwjn9HcNZ&#10;n9WhZqfWH8hEMSoo8iVvSQru1yCYr/KMc3sGa5B1Jf8PqH8BAAD//wMAUEsBAi0AFAAGAAgAAAAh&#10;ALaDOJL+AAAA4QEAABMAAAAAAAAAAAAAAAAAAAAAAFtDb250ZW50X1R5cGVzXS54bWxQSwECLQAU&#10;AAYACAAAACEAOP0h/9YAAACUAQAACwAAAAAAAAAAAAAAAAAvAQAAX3JlbHMvLnJlbHNQSwECLQAU&#10;AAYACAAAACEA4AiaHB8CAABEBAAADgAAAAAAAAAAAAAAAAAuAgAAZHJzL2Uyb0RvYy54bWxQSwEC&#10;LQAUAAYACAAAACEAqeDzWtwAAAAIAQAADwAAAAAAAAAAAAAAAAB5BAAAZHJzL2Rvd25yZXYueG1s&#10;UEsFBgAAAAAEAAQA8wAAAIIFAAAAAA==&#10;" fillcolor="#cff">
                <v:textbox>
                  <w:txbxContent>
                    <w:p w14:paraId="7D28FEFC" w14:textId="77777777" w:rsidR="007B24A1" w:rsidRDefault="007B24A1" w:rsidP="007B24A1">
                      <w:r>
                        <w:rPr>
                          <w:b/>
                          <w:bCs/>
                        </w:rPr>
                        <w:t>UAB „B“</w:t>
                      </w:r>
                    </w:p>
                    <w:p w14:paraId="28CB16CA" w14:textId="77777777" w:rsidR="007B24A1" w:rsidRDefault="007B24A1" w:rsidP="007B24A1"/>
                  </w:txbxContent>
                </v:textbox>
              </v:shape>
            </w:pict>
          </mc:Fallback>
        </mc:AlternateContent>
      </w:r>
      <w:r w:rsidRPr="00D03619">
        <w:rPr>
          <w:noProof/>
          <w:lang w:eastAsia="lt-LT"/>
        </w:rPr>
        <mc:AlternateContent>
          <mc:Choice Requires="wps">
            <w:drawing>
              <wp:anchor distT="0" distB="0" distL="114300" distR="114300" simplePos="0" relativeHeight="251846656" behindDoc="0" locked="0" layoutInCell="1" allowOverlap="1" wp14:anchorId="1A5F250F" wp14:editId="4F1D6D5E">
                <wp:simplePos x="0" y="0"/>
                <wp:positionH relativeFrom="column">
                  <wp:posOffset>2171700</wp:posOffset>
                </wp:positionH>
                <wp:positionV relativeFrom="paragraph">
                  <wp:posOffset>50165</wp:posOffset>
                </wp:positionV>
                <wp:extent cx="1257300" cy="342900"/>
                <wp:effectExtent l="5080" t="5715" r="13970" b="13335"/>
                <wp:wrapNone/>
                <wp:docPr id="1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ln>
                      </wps:spPr>
                      <wps:txbx>
                        <w:txbxContent>
                          <w:p w14:paraId="123605FF" w14:textId="77777777" w:rsidR="007B24A1" w:rsidRDefault="007B24A1" w:rsidP="007B24A1">
                            <w:r>
                              <w:rPr>
                                <w:b/>
                                <w:bCs/>
                              </w:rPr>
                              <w:t>ESV</w:t>
                            </w:r>
                            <w:r>
                              <w:rPr>
                                <w:vertAlign w:val="superscript"/>
                              </w:rPr>
                              <w:t>Z</w:t>
                            </w:r>
                            <w:r>
                              <w:t xml:space="preserve"> AB „Z“</w:t>
                            </w:r>
                          </w:p>
                          <w:p w14:paraId="3D90CD78" w14:textId="77777777" w:rsidR="007B24A1" w:rsidRDefault="007B24A1" w:rsidP="007B24A1"/>
                        </w:txbxContent>
                      </wps:txbx>
                      <wps:bodyPr rot="0" vert="horz" wrap="square" lIns="91440" tIns="45720" rIns="91440" bIns="45720" anchor="t" anchorCtr="0" upright="1">
                        <a:noAutofit/>
                      </wps:bodyPr>
                    </wps:wsp>
                  </a:graphicData>
                </a:graphic>
              </wp:anchor>
            </w:drawing>
          </mc:Choice>
          <mc:Fallback>
            <w:pict>
              <v:shape w14:anchorId="1A5F250F" id="Text Box 264" o:spid="_x0000_s1240" type="#_x0000_t202" style="position:absolute;left:0;text-align:left;margin-left:171pt;margin-top:3.95pt;width:99pt;height:27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0UHAIAAEQEAAAOAAAAZHJzL2Uyb0RvYy54bWysU9tu2zAMfR+wfxD0vthxk7Yx4hRdigwD&#10;ugvQ7gNkWbaFSaImKbG7rx8lp2l2exnmB0E0qUPyHHJ9M2pFDsJ5Caai81lOiTAcGmm6in553L25&#10;psQHZhqmwIiKPglPbzavX60HW4oCelCNcARBjC8HW9E+BFtmmee90MzPwAqDzhacZgFN12WNYwOi&#10;a5UVeX6ZDeAa64AL7/Hv3eSkm4TftoKHT23rRSCqolhbSKdLZx3PbLNmZeeY7SU/lsH+oQrNpMGk&#10;J6g7FhjZO/kblJbcgYc2zDjoDNpWcpF6wG7m+S/dPPTMitQLkuPtiSb//2D5x8NnR2SD2qFShmnU&#10;6FGMgbyFkRSXi0jQYH2JcQ8WI8OIDgxOzXp7D/yrJwa2PTOduHUOhl6wBgucx5fZ2dMJx0eQevgA&#10;DSZi+wAJaGydjuwhHwTRUainkzixGB5TFsurixxdHH0Xi2KF95iClc+vrfPhnQBN4qWiDsVP6Oxw&#10;78MU+hwSk3lQstlJpZLhunqrHDkwHJRd+o7oP4UpQ4aKrpbFciLgrxB5+v4EoWXAiVdSV/T6PEiZ&#10;I1+RoomsMNbjpM0i9RrZrKF5QgodTKOMq4eXHtx3SgYc44r6b3vmBCXqvUEZVvMFviUhGYvlVYGG&#10;O/fU5x5mOEJVNFAyXbdh2pW9dbLrMdMkvIFblK6VidWXqo4N4KgmXY5rFXfh3E5RL8u/+QEAAP//&#10;AwBQSwMEFAAGAAgAAAAhABgdzybfAAAACAEAAA8AAABkcnMvZG93bnJldi54bWxMj8FOwzAQRO9I&#10;/IO1SFwQddqGtAnZVAgJRG9QEFzd2E0i4nWw3TT8PcsJjqMZzbwpN5PtxWh86BwhzGcJCEO10x01&#10;CG+vD9drECEq0qp3ZBC+TYBNdX5WqkK7E72YcRcbwSUUCoXQxjgUUoa6NVaFmRsMsXdw3qrI0jdS&#10;e3XictvLRZJk0qqOeKFVg7lvTf25O1qEdfo0foTt8vm9zg59Hq9W4+OXR7y8mO5uQUQzxb8w/OIz&#10;OlTMtHdH0kH0CMt0wV8iwioHwf5NmrDeI2TzHGRVyv8Hqh8AAAD//wMAUEsBAi0AFAAGAAgAAAAh&#10;ALaDOJL+AAAA4QEAABMAAAAAAAAAAAAAAAAAAAAAAFtDb250ZW50X1R5cGVzXS54bWxQSwECLQAU&#10;AAYACAAAACEAOP0h/9YAAACUAQAACwAAAAAAAAAAAAAAAAAvAQAAX3JlbHMvLnJlbHNQSwECLQAU&#10;AAYACAAAACEAhgztFBwCAABEBAAADgAAAAAAAAAAAAAAAAAuAgAAZHJzL2Uyb0RvYy54bWxQSwEC&#10;LQAUAAYACAAAACEAGB3PJt8AAAAIAQAADwAAAAAAAAAAAAAAAAB2BAAAZHJzL2Rvd25yZXYueG1s&#10;UEsFBgAAAAAEAAQA8wAAAIIFAAAAAA==&#10;">
                <v:textbox>
                  <w:txbxContent>
                    <w:p w14:paraId="123605FF" w14:textId="77777777" w:rsidR="007B24A1" w:rsidRDefault="007B24A1" w:rsidP="007B24A1">
                      <w:r>
                        <w:rPr>
                          <w:b/>
                          <w:bCs/>
                        </w:rPr>
                        <w:t>ESV</w:t>
                      </w:r>
                      <w:r>
                        <w:rPr>
                          <w:vertAlign w:val="superscript"/>
                        </w:rPr>
                        <w:t>Z</w:t>
                      </w:r>
                      <w:r>
                        <w:t xml:space="preserve"> AB „Z“</w:t>
                      </w:r>
                    </w:p>
                    <w:p w14:paraId="3D90CD78" w14:textId="77777777" w:rsidR="007B24A1" w:rsidRDefault="007B24A1" w:rsidP="007B24A1"/>
                  </w:txbxContent>
                </v:textbox>
              </v:shape>
            </w:pict>
          </mc:Fallback>
        </mc:AlternateContent>
      </w:r>
      <w:r w:rsidRPr="00D03619">
        <w:rPr>
          <w:noProof/>
          <w:lang w:eastAsia="lt-LT"/>
        </w:rPr>
        <mc:AlternateContent>
          <mc:Choice Requires="wps">
            <w:drawing>
              <wp:anchor distT="0" distB="0" distL="114300" distR="114300" simplePos="0" relativeHeight="251845632" behindDoc="0" locked="0" layoutInCell="1" allowOverlap="1" wp14:anchorId="36F97C7A" wp14:editId="1C29192F">
                <wp:simplePos x="0" y="0"/>
                <wp:positionH relativeFrom="column">
                  <wp:posOffset>571500</wp:posOffset>
                </wp:positionH>
                <wp:positionV relativeFrom="paragraph">
                  <wp:posOffset>50165</wp:posOffset>
                </wp:positionV>
                <wp:extent cx="1257300" cy="342900"/>
                <wp:effectExtent l="5080" t="5715" r="13970" b="13335"/>
                <wp:wrapNone/>
                <wp:docPr id="17"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ln>
                      </wps:spPr>
                      <wps:txbx>
                        <w:txbxContent>
                          <w:p w14:paraId="77275985" w14:textId="77777777" w:rsidR="007B24A1" w:rsidRDefault="007B24A1" w:rsidP="007B24A1">
                            <w:pPr>
                              <w:jc w:val="center"/>
                            </w:pPr>
                            <w:r>
                              <w:rPr>
                                <w:b/>
                                <w:bCs/>
                              </w:rPr>
                              <w:t>ESV</w:t>
                            </w:r>
                            <w:r>
                              <w:rPr>
                                <w:vertAlign w:val="superscript"/>
                              </w:rPr>
                              <w:t>X</w:t>
                            </w:r>
                            <w:r>
                              <w:t xml:space="preserve"> AB „Y“</w:t>
                            </w:r>
                          </w:p>
                          <w:p w14:paraId="3BA236DB" w14:textId="77777777" w:rsidR="007B24A1" w:rsidRDefault="007B24A1" w:rsidP="007B24A1"/>
                        </w:txbxContent>
                      </wps:txbx>
                      <wps:bodyPr rot="0" vert="horz" wrap="square" lIns="91440" tIns="45720" rIns="91440" bIns="45720" anchor="t" anchorCtr="0" upright="1">
                        <a:noAutofit/>
                      </wps:bodyPr>
                    </wps:wsp>
                  </a:graphicData>
                </a:graphic>
              </wp:anchor>
            </w:drawing>
          </mc:Choice>
          <mc:Fallback>
            <w:pict>
              <v:shape w14:anchorId="36F97C7A" id="Text Box 265" o:spid="_x0000_s1241" type="#_x0000_t202" style="position:absolute;left:0;text-align:left;margin-left:45pt;margin-top:3.95pt;width:99pt;height:27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2pHQIAAEQEAAAOAAAAZHJzL2Uyb0RvYy54bWysU9tu2zAMfR+wfxD0vthxk6YJ4hRdigwD&#10;ugvQ7gNkWbaFSaImKbGzrx8lp2l2exnmB0E0qUPyHHJ9O2hFDsJ5Caak00lOiTAcamnakn552r25&#10;ocQHZmqmwIiSHoWnt5vXr9a9XYkCOlC1cARBjF/1tqRdCHaVZZ53QjM/ASsMOhtwmgU0XZvVjvWI&#10;rlVW5Pl11oOrrQMuvMe/96OTbhJ+0wgePjWNF4GokmJtIZ0unVU8s82arVrHbCf5qQz2D1VoJg0m&#10;PUPds8DI3snfoLTkDjw0YcJBZ9A0kovUA3YzzX/p5rFjVqRekBxvzzT5/wfLPx4+OyJr1G5BiWEa&#10;NXoSQyBvYSDF9TwS1Fu/wrhHi5FhQAcGp2a9fQD+1RMD246ZVtw5B30nWI0FTuPL7OLpiOMjSNV/&#10;gBoTsX2ABDQ0Tkf2kA+C6CjU8SxOLIbHlMV8cZWji6PvalYs8R5TsNXza+t8eCdAk3gpqUPxEzo7&#10;PPgwhj6HxGQelKx3UqlkuLbaKkcODAdll74T+k9hypC+pMt5MR8J+CtEnr4/QWgZcOKV1CW9uQxS&#10;5sRXpGgkKwzVMGozS3RGNiuoj0ihg3GUcfXw0oH7TkmPY1xS/23PnKBEvTcow3I6m8W5T8ZsvijQ&#10;cJee6tLDDEeokgZKxus2jLuyt062HWYahTdwh9I1MrH6UtWpARzVpMtpreIuXNop6mX5Nz8AAAD/&#10;/wMAUEsDBBQABgAIAAAAIQChbybi3QAAAAcBAAAPAAAAZHJzL2Rvd25yZXYueG1sTI/BTsMwEETv&#10;SPyDtUhcEHVaUJqEbCqEBIIbFARXN94mEfY62G4a/h5zguNoRjNv6s1sjZjIh8ExwnKRgSBunR64&#10;Q3h7vb8sQISoWCvjmBC+KcCmOT2pVaXdkV9o2sZOpBIOlULoYxwrKUPbk1Vh4Ubi5O2dtyom6Tup&#10;vTqmcmvkKstyadXAaaFXI9311H5uDxahuH6cPsLT1fN7m+9NGS/W08OXRzw/m29vQESa418YfvET&#10;OjSJaecOrIMwCGWWrkSEdQki2auiSHqHkC9LkE0t//M3PwAAAP//AwBQSwECLQAUAAYACAAAACEA&#10;toM4kv4AAADhAQAAEwAAAAAAAAAAAAAAAAAAAAAAW0NvbnRlbnRfVHlwZXNdLnhtbFBLAQItABQA&#10;BgAIAAAAIQA4/SH/1gAAAJQBAAALAAAAAAAAAAAAAAAAAC8BAABfcmVscy8ucmVsc1BLAQItABQA&#10;BgAIAAAAIQCtuX2pHQIAAEQEAAAOAAAAAAAAAAAAAAAAAC4CAABkcnMvZTJvRG9jLnhtbFBLAQIt&#10;ABQABgAIAAAAIQChbybi3QAAAAcBAAAPAAAAAAAAAAAAAAAAAHcEAABkcnMvZG93bnJldi54bWxQ&#10;SwUGAAAAAAQABADzAAAAgQUAAAAA&#10;">
                <v:textbox>
                  <w:txbxContent>
                    <w:p w14:paraId="77275985" w14:textId="77777777" w:rsidR="007B24A1" w:rsidRDefault="007B24A1" w:rsidP="007B24A1">
                      <w:pPr>
                        <w:jc w:val="center"/>
                      </w:pPr>
                      <w:r>
                        <w:rPr>
                          <w:b/>
                          <w:bCs/>
                        </w:rPr>
                        <w:t>ESV</w:t>
                      </w:r>
                      <w:r>
                        <w:rPr>
                          <w:vertAlign w:val="superscript"/>
                        </w:rPr>
                        <w:t>X</w:t>
                      </w:r>
                      <w:r>
                        <w:t xml:space="preserve"> AB „Y“</w:t>
                      </w:r>
                    </w:p>
                    <w:p w14:paraId="3BA236DB" w14:textId="77777777" w:rsidR="007B24A1" w:rsidRDefault="007B24A1" w:rsidP="007B24A1"/>
                  </w:txbxContent>
                </v:textbox>
              </v:shape>
            </w:pict>
          </mc:Fallback>
        </mc:AlternateContent>
      </w:r>
      <w:r w:rsidRPr="00D03619">
        <w:rPr>
          <w:noProof/>
          <w:lang w:eastAsia="lt-LT"/>
        </w:rPr>
        <mc:AlternateContent>
          <mc:Choice Requires="wps">
            <w:drawing>
              <wp:anchor distT="0" distB="0" distL="114300" distR="114300" simplePos="0" relativeHeight="251842560" behindDoc="0" locked="0" layoutInCell="1" allowOverlap="1" wp14:anchorId="6FB7D0C6" wp14:editId="79D13EAD">
                <wp:simplePos x="0" y="0"/>
                <wp:positionH relativeFrom="column">
                  <wp:posOffset>3886200</wp:posOffset>
                </wp:positionH>
                <wp:positionV relativeFrom="paragraph">
                  <wp:posOffset>50165</wp:posOffset>
                </wp:positionV>
                <wp:extent cx="1257300" cy="342900"/>
                <wp:effectExtent l="5080" t="5715" r="13970" b="13335"/>
                <wp:wrapNone/>
                <wp:docPr id="1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369A0E1F" id="Rectangle 266" o:spid="_x0000_s1026" style="position:absolute;margin-left:306pt;margin-top:3.95pt;width:99pt;height:27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ctEwIAACcEAAAOAAAAZHJzL2Uyb0RvYy54bWysU9tuEzEQfUfiHyy/k700SZsom6pKFYRU&#10;aEXhAxyvd9fCN8ZONuHrGXvTsAWeEH6wPJ7j45kzM6vbo1bkIMBLaypaTHJKhOG2lqat6Ncv23c3&#10;lPjATM2UNaKiJ+Hp7frtm1XvlqK0nVW1AIIkxi97V9EuBLfMMs87oZmfWCcMOhsLmgU0oc1qYD2y&#10;a5WVeT7Pegu1A8uF93h7PzjpOvE3jeDhsWm8CERVFGMLaYe07+KerVds2QJzneTnMNg/RKGZNPjp&#10;heqeBUb2IP+g0pKD9bYJE251ZptGcpFywGyK/LdsnjvmRMoFxfHuIpP/f7T80+EJiKyxdnNKDNNY&#10;o8+oGjOtEqScz6NCvfNLBD67J4g5evdg+TdPjN10iBN3ALbvBKsxriLis1cPouHxKdn1H22N/Gwf&#10;bBLr2ICOhCgDOaaanC41EcdAOF4W5ez6KsfScfRdTcsFnuMXbPny2oEP74XVJB4qChh9YmeHBx8G&#10;6AskRW+VrLdSqWRAu9soIAeG/bFN68zuxzBlSF/RxaycJeZXPj+myNP6G4WWARtdSV3RmzFImbNe&#10;UaJB6p2tTygX2KFbcbrw0Fn4QUmPnVpR/33PQFCiPhiUfFFMp7G1kzGdXZdowNizG3uY4UhV0UDJ&#10;cNyEYRz2DmTb4U9FytHYOyxTI5OCsYRDVOdgsRtTDc6TE9t9bCfUr/le/wQAAP//AwBQSwMEFAAG&#10;AAgAAAAhABNgJC3cAAAACAEAAA8AAABkcnMvZG93bnJldi54bWxMj8FOwzAQRO9I/IO1SNyonSCV&#10;JsSpEKhIHNv0ws2JlyQQr6PYaQNfz/YEx9Fbzb4ptosbxAmn0HvSkKwUCKTG255aDcdqd7cBEaIh&#10;awZPqOEbA2zL66vC5NafaY+nQ2wFl1DIjYYuxjGXMjQdOhNWfkRi9uEnZyLHqZV2Mmcud4NMlVpL&#10;Z3riD50Z8bnD5uswOw11nx7Nz756VS7b3ce3pfqc31+0vr1Znh5BRFzi3zFc9FkdSnaq/Uw2iEHD&#10;Okl5S9TwkIFgvkkU5/oCMpBlIf8PKH8BAAD//wMAUEsBAi0AFAAGAAgAAAAhALaDOJL+AAAA4QEA&#10;ABMAAAAAAAAAAAAAAAAAAAAAAFtDb250ZW50X1R5cGVzXS54bWxQSwECLQAUAAYACAAAACEAOP0h&#10;/9YAAACUAQAACwAAAAAAAAAAAAAAAAAvAQAAX3JlbHMvLnJlbHNQSwECLQAUAAYACAAAACEAa9w3&#10;LRMCAAAnBAAADgAAAAAAAAAAAAAAAAAuAgAAZHJzL2Uyb0RvYy54bWxQSwECLQAUAAYACAAAACEA&#10;E2AkLdwAAAAIAQAADwAAAAAAAAAAAAAAAABtBAAAZHJzL2Rvd25yZXYueG1sUEsFBgAAAAAEAAQA&#10;8wAAAHYFAAAAAA==&#10;"/>
            </w:pict>
          </mc:Fallback>
        </mc:AlternateContent>
      </w:r>
      <w:r w:rsidRPr="00D03619">
        <w:rPr>
          <w:noProof/>
          <w:lang w:eastAsia="lt-LT"/>
        </w:rPr>
        <mc:AlternateContent>
          <mc:Choice Requires="wps">
            <w:drawing>
              <wp:anchor distT="0" distB="0" distL="114300" distR="114300" simplePos="0" relativeHeight="251841536" behindDoc="0" locked="0" layoutInCell="1" allowOverlap="1" wp14:anchorId="6B5E71B3" wp14:editId="213CCDCD">
                <wp:simplePos x="0" y="0"/>
                <wp:positionH relativeFrom="column">
                  <wp:posOffset>2171700</wp:posOffset>
                </wp:positionH>
                <wp:positionV relativeFrom="paragraph">
                  <wp:posOffset>50165</wp:posOffset>
                </wp:positionV>
                <wp:extent cx="1257300" cy="342900"/>
                <wp:effectExtent l="5080" t="5715" r="13970" b="13335"/>
                <wp:wrapNone/>
                <wp:docPr id="1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EDF7D16" id="Rectangle 267" o:spid="_x0000_s1026" style="position:absolute;margin-left:171pt;margin-top:3.95pt;width:99pt;height:27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KxoEwIAACcEAAAOAAAAZHJzL2Uyb0RvYy54bWysU9tuEzEQfUfiHyy/k700aZoom6pKFYRU&#10;aEXhAxyvd9fCN8ZONuHrGXvTsAWeEH6wPJ7j45kzM6vbo1bkIMBLaypaTHJKhOG2lqat6Ncv23c3&#10;lPjATM2UNaKiJ+Hp7frtm1XvlqK0nVW1AIIkxi97V9EuBLfMMs87oZmfWCcMOhsLmgU0oc1qYD2y&#10;a5WVeX6d9RZqB5YL7/H2fnDSdeJvGsHDY9N4EYiqKMYW0g5p38U9W6/YsgXmOsnPYbB/iEIzafDT&#10;C9U9C4zsQf5BpSUH620TJtzqzDaN5CLlgNkU+W/ZPHfMiZQLiuPdRSb//2j5p8MTEFlj7WaUGKax&#10;Rp9RNWZaJUh5PY8K9c4vEfjsniDm6N2D5d88MXbTIU7cAdi+E6zGuIqIz149iIbHp2TXf7Q18rN9&#10;sEmsYwM6EqIM5JhqcrrURBwD4XhZlLP5VY6l4+i7mpYLPMcv2PLltQMf3gurSTxUFDD6xM4ODz4M&#10;0BdIit4qWW+lUsmAdrdRQA4M+2Ob1pndj2HKkL6ii1k5S8yvfH5Mkaf1NwotAza6krqiN2OQMme9&#10;okSD1Dtbn1AusEO34nThobPwg5IeO7Wi/vuegaBEfTAo+aKYTmNrJ2M6m5dowNizG3uY4UhV0UDJ&#10;cNyEYRz2DmTb4U9FytHYOyxTI5OCsYRDVOdgsRtTDc6TE9t9bCfUr/le/wQAAP//AwBQSwMEFAAG&#10;AAgAAAAhAO7aG/feAAAACAEAAA8AAABkcnMvZG93bnJldi54bWxMj8FOwzAQRO9I/IO1SNyo3bQU&#10;ErKpEKhIHNv0ws2JlyQQr6PYaQNfjznBcTSjmTf5dra9ONHoO8cIy4UCQVw703GDcCx3N/cgfNBs&#10;dO+YEL7Iw7a4vMh1ZtyZ93Q6hEbEEvaZRmhDGDIpfd2S1X7hBuLovbvR6hDl2Egz6nMst71MlNpI&#10;qzuOC60e6Kml+vMwWYSqS476e1++KJvuVuF1Lj+mt2fE66v58QFEoDn8heEXP6JDEZkqN7HxokdY&#10;rZP4JSDcpSCif7tWUVcIm2UKssjl/wPFDwAAAP//AwBQSwECLQAUAAYACAAAACEAtoM4kv4AAADh&#10;AQAAEwAAAAAAAAAAAAAAAAAAAAAAW0NvbnRlbnRfVHlwZXNdLnhtbFBLAQItABQABgAIAAAAIQA4&#10;/SH/1gAAAJQBAAALAAAAAAAAAAAAAAAAAC8BAABfcmVscy8ucmVsc1BLAQItABQABgAIAAAAIQD8&#10;XKxoEwIAACcEAAAOAAAAAAAAAAAAAAAAAC4CAABkcnMvZTJvRG9jLnhtbFBLAQItABQABgAIAAAA&#10;IQDu2hv33gAAAAgBAAAPAAAAAAAAAAAAAAAAAG0EAABkcnMvZG93bnJldi54bWxQSwUGAAAAAAQA&#10;BADzAAAAeAUAAAAA&#10;"/>
            </w:pict>
          </mc:Fallback>
        </mc:AlternateContent>
      </w:r>
      <w:r w:rsidRPr="00D03619">
        <w:rPr>
          <w:noProof/>
          <w:lang w:eastAsia="lt-LT"/>
        </w:rPr>
        <mc:AlternateContent>
          <mc:Choice Requires="wps">
            <w:drawing>
              <wp:anchor distT="0" distB="0" distL="114300" distR="114300" simplePos="0" relativeHeight="251840512" behindDoc="0" locked="0" layoutInCell="1" allowOverlap="1" wp14:anchorId="34AFE8FF" wp14:editId="5B8A48F7">
                <wp:simplePos x="0" y="0"/>
                <wp:positionH relativeFrom="column">
                  <wp:posOffset>571500</wp:posOffset>
                </wp:positionH>
                <wp:positionV relativeFrom="paragraph">
                  <wp:posOffset>50165</wp:posOffset>
                </wp:positionV>
                <wp:extent cx="1257300" cy="342900"/>
                <wp:effectExtent l="5080" t="5715" r="13970" b="13335"/>
                <wp:wrapNone/>
                <wp:docPr id="1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6D262BD" id="Rectangle 268" o:spid="_x0000_s1026" style="position:absolute;margin-left:45pt;margin-top:3.95pt;width:99pt;height:27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smEwIAACcEAAAOAAAAZHJzL2Uyb0RvYy54bWysU9tuEzEQfUfiHyy/k700aZMom6pKFYRU&#10;aEXhAxyvd9fCN8ZONuHrGXvTsAWeEH6wPJ7j45kzM6vbo1bkIMBLaypaTHJKhOG2lqat6Ncv23dz&#10;SnxgpmbKGlHRk/D0dv32zap3S1HazqpaAEES45e9q2gXgltmmeed0MxPrBMGnY0FzQKa0GY1sB7Z&#10;tcrKPL/Oegu1A8uF93h7PzjpOvE3jeDhsWm8CERVFGMLaYe07+KerVds2QJzneTnMNg/RKGZNPjp&#10;heqeBUb2IP+g0pKD9bYJE251ZptGcpFywGyK/LdsnjvmRMoFxfHuIpP/f7T80+EJiKyxdlNKDNNY&#10;o8+oGjOtEqS8nkeFeueXCHx2TxBz9O7B8m+eGLvpECfuAGzfCVZjXEXEZ68eRMPjU7LrP9oa+dk+&#10;2CTWsQEdCVEGckw1OV1qIo6BcLwsytnNVY6l4+i7mpYLPMcv2PLltQMf3gurSTxUFDD6xM4ODz4M&#10;0BdIit4qWW+lUsmAdrdRQA4M+2Ob1pndj2HKkL6ii1k5S8yvfH5Mkaf1NwotAza6krqi8zFImbNe&#10;UaJB6p2tTygX2KFbcbrw0Fn4QUmPnVpR/33PQFCiPhiUfFFMp7G1kzGd3ZRowNizG3uY4UhV0UDJ&#10;cNyEYRz2DmTb4U9FytHYOyxTI5OCsYRDVOdgsRtTDc6TE9t9bCfUr/le/wQAAP//AwBQSwMEFAAG&#10;AAgAAAAhAAVoho3cAAAABwEAAA8AAABkcnMvZG93bnJldi54bWxMj8FOwzAQRO9I/IO1SNyo3SCV&#10;JMSpEKhIHNv0wm0TL0kgXkex0wa+HnOix9GMZt4U28UO4kST7x1rWK8UCOLGmZ5bDcdqd5eC8AHZ&#10;4OCYNHyTh215fVVgbtyZ93Q6hFbEEvY5auhCGHMpfdORRb9yI3H0PtxkMUQ5tdJMeI7ldpCJUhtp&#10;see40OFIzx01X4fZaqj75Ig/++pV2Wx3H96W6nN+f9H69mZ5egQRaAn/YfjDj+hQRqbazWy8GDRk&#10;Kl4JGh4yENFO0jTqWsNmnYEsC3nJX/4CAAD//wMAUEsBAi0AFAAGAAgAAAAhALaDOJL+AAAA4QEA&#10;ABMAAAAAAAAAAAAAAAAAAAAAAFtDb250ZW50X1R5cGVzXS54bWxQSwECLQAUAAYACAAAACEAOP0h&#10;/9YAAACUAQAACwAAAAAAAAAAAAAAAAAvAQAAX3JlbHMvLnJlbHNQSwECLQAUAAYACAAAACEAFK+L&#10;JhMCAAAnBAAADgAAAAAAAAAAAAAAAAAuAgAAZHJzL2Uyb0RvYy54bWxQSwECLQAUAAYACAAAACEA&#10;BWiGjdwAAAAHAQAADwAAAAAAAAAAAAAAAABtBAAAZHJzL2Rvd25yZXYueG1sUEsFBgAAAAAEAAQA&#10;8wAAAHYFAAAAAA==&#10;"/>
            </w:pict>
          </mc:Fallback>
        </mc:AlternateContent>
      </w:r>
    </w:p>
    <w:p w14:paraId="107B14AA"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5CD473A1"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55872" behindDoc="0" locked="0" layoutInCell="1" allowOverlap="1" wp14:anchorId="631E0CC3" wp14:editId="12DC774C">
                <wp:simplePos x="0" y="0"/>
                <wp:positionH relativeFrom="column">
                  <wp:posOffset>4572000</wp:posOffset>
                </wp:positionH>
                <wp:positionV relativeFrom="paragraph">
                  <wp:posOffset>42545</wp:posOffset>
                </wp:positionV>
                <wp:extent cx="0" cy="228600"/>
                <wp:effectExtent l="5080" t="9525" r="13970" b="9525"/>
                <wp:wrapNone/>
                <wp:docPr id="13"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2CE31900" id="Line 269"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5in,3.35pt" to="5in,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tZtgEAAFMDAAAOAAAAZHJzL2Uyb0RvYy54bWysU02P2yAQvVfqf0DcGyeuNtq14uwhq+0l&#10;bSPt9gdMANuowCAgsfPvO5CP3ba3qj4gw8y8eW8erB4na9hRhajRtXwxm3OmnECpXd/yH6/Pn+45&#10;iwmcBINOtfykIn9cf/ywGn2jahzQSBUYgbjYjL7lQ0q+qaooBmUhztArR8EOg4VE29BXMsBI6NZU&#10;9Xy+rEYM0gcUKkY6fToH+brgd50S6XvXRZWYaTlxS2UNZd3ntVqvoOkD+EGLCw34BxYWtKOmN6gn&#10;SMAOQf8FZbUIGLFLM4G2wq7TQhUNpGYx/0PNywBeFS00nOhvY4r/D1Z8O+4C05K8+8yZA0sebbVT&#10;rF4+5OGMPjaUs3G7kOWJyb34LYqfkTncDOB6VUi+njwVLnJF9VtJ3kRPLfbjV5SUA4eEZVJTF2yG&#10;pBmwqRhyuhmipsTE+VDQaV3fL+fFqwqaa50PMX1RaFn+abkh0gUXjtuYMg9orim5jcNnbUyx2zg2&#10;tvzhrr4rBRGNljmY02Lo9xsT2BHyhSlfEUWR92kBD06emxh30Zxlnge2R3nahessyLnC5nLL8tV4&#10;vy/Vb29h/QsAAP//AwBQSwMEFAAGAAgAAAAhAAHvnJLbAAAACAEAAA8AAABkcnMvZG93bnJldi54&#10;bWxMj8FOwzAQRO9I/IO1SFyq1iGgBoU4FQJy40IB9bqNlyQiXqex2wa+nkU9wHE0o7dvi9XkenWg&#10;MXSeDVwtElDEtbcdNwbeXqv5LagQkS32nsnAFwVYlednBebWH/mFDuvYKIFwyNFAG+OQax3qlhyG&#10;hR+Ipfvwo8MocWy0HfEocNfrNEmW2mHHcqHFgR5aqj/Xe2cgVO+0q75n9SzZXDee0t3j8xMac3kx&#10;3d+BijTFvzH86os6lOK09Xu2QfUGMsHL1MAyAyX9KW8N3KQZ6LLQ/x8ofwAAAP//AwBQSwECLQAU&#10;AAYACAAAACEAtoM4kv4AAADhAQAAEwAAAAAAAAAAAAAAAAAAAAAAW0NvbnRlbnRfVHlwZXNdLnht&#10;bFBLAQItABQABgAIAAAAIQA4/SH/1gAAAJQBAAALAAAAAAAAAAAAAAAAAC8BAABfcmVscy8ucmVs&#10;c1BLAQItABQABgAIAAAAIQBwt7tZtgEAAFMDAAAOAAAAAAAAAAAAAAAAAC4CAABkcnMvZTJvRG9j&#10;LnhtbFBLAQItABQABgAIAAAAIQAB75yS2wAAAAgBAAAPAAAAAAAAAAAAAAAAABAEAABkcnMvZG93&#10;bnJldi54bWxQSwUGAAAAAAQABADzAAAAGAUAAAAA&#10;"/>
            </w:pict>
          </mc:Fallback>
        </mc:AlternateContent>
      </w:r>
      <w:r w:rsidRPr="00D03619">
        <w:rPr>
          <w:noProof/>
          <w:lang w:eastAsia="lt-LT"/>
        </w:rPr>
        <mc:AlternateContent>
          <mc:Choice Requires="wps">
            <w:drawing>
              <wp:anchor distT="0" distB="0" distL="114300" distR="114300" simplePos="0" relativeHeight="251854848" behindDoc="0" locked="0" layoutInCell="1" allowOverlap="1" wp14:anchorId="2ED96C03" wp14:editId="66117AEA">
                <wp:simplePos x="0" y="0"/>
                <wp:positionH relativeFrom="column">
                  <wp:posOffset>1143000</wp:posOffset>
                </wp:positionH>
                <wp:positionV relativeFrom="paragraph">
                  <wp:posOffset>42545</wp:posOffset>
                </wp:positionV>
                <wp:extent cx="0" cy="228600"/>
                <wp:effectExtent l="5080" t="9525" r="13970" b="9525"/>
                <wp:wrapNone/>
                <wp:docPr id="11"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ln>
                      </wps:spPr>
                      <wps:bodyPr/>
                    </wps:wsp>
                  </a:graphicData>
                </a:graphic>
              </wp:anchor>
            </w:drawing>
          </mc:Choice>
          <mc:Fallback>
            <w:pict>
              <v:line w14:anchorId="3B3CAE1A" id="Line 270"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90pt,3.35pt" to="90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A9twEAAFMDAAAOAAAAZHJzL2Uyb0RvYy54bWysU01v2zAMvQ/YfxB0X+wYaNcZcXpI0V2y&#10;LUC7H6BIsi1MEgVRiZ1/P0r5WLfdhuUgRCL5+N4jvXqcnWVHHdGA7/hyUXOmvQRl/NDx76/PHx44&#10;wyS8Eha87vhJI39cv3+3mkKrGxjBKh0ZgXhsp9DxMaXQVhXKUTuBCwjaU7CH6ESiaxwqFcVE6M5W&#10;TV3fVxNEFSJIjUivT+cgXxf8vtcyfet71InZjhO3VM5Yzn0+q/VKtEMUYTTyQkP8AwsnjKemN6gn&#10;kQQ7RPMXlDMyAkKfFhJcBX1vpC4aSM2y/kPNyyiCLlrIHAw3m/D/wcqvx11kRtHslpx54WhGW+M1&#10;az4Wc6aALeVs/C5meXL2L2EL8gcyD5tR+EEXkq+nQIXLbGf1W0m+YKAW++kLKMoRhwTFqbmPLkOS&#10;B2wuAzndBqLnxOT5UdJr0zzc14VOJdprXYiYPmtwLP/puCXSBVcct5gyD9FeU3IbD8/G2jJu69nU&#10;8U93zV0pQLBG5WBOwzjsNzayo8gLU35FFEXepkU4eHVuYv1Fc5aZ9w7bPajTLl69oMkVNpcty6vx&#10;9l6qf30L658AAAD//wMAUEsDBBQABgAIAAAAIQCOinIo2wAAAAgBAAAPAAAAZHJzL2Rvd25yZXYu&#10;eG1sTI9BT8JAEIXvJPyHzZh4IbBrJUBqt4SovXkRNVyH7tg2dmdLd4Hqr3fhoscvb/Lme9l6sK04&#10;Ue8bxxruZgoEcelMw5WG97diugLhA7LB1jFp+CYP63w8yjA17syvdNqGSsQS9ilqqEPoUil9WZNF&#10;P3Mdccw+XW8xROwraXo8x3LbykSphbTYcPxQY0ePNZVf26PV4IsPOhQ/k3KidveVo+Tw9PKMWt/e&#10;DJsHEIGG8HcMF/2oDnl02rsjGy/ayCsVtwQNiyWIS37lvYZ5sgSZZ/L/gPwXAAD//wMAUEsBAi0A&#10;FAAGAAgAAAAhALaDOJL+AAAA4QEAABMAAAAAAAAAAAAAAAAAAAAAAFtDb250ZW50X1R5cGVzXS54&#10;bWxQSwECLQAUAAYACAAAACEAOP0h/9YAAACUAQAACwAAAAAAAAAAAAAAAAAvAQAAX3JlbHMvLnJl&#10;bHNQSwECLQAUAAYACAAAACEAWB8QPbcBAABTAwAADgAAAAAAAAAAAAAAAAAuAgAAZHJzL2Uyb0Rv&#10;Yy54bWxQSwECLQAUAAYACAAAACEAjopyKNsAAAAIAQAADwAAAAAAAAAAAAAAAAARBAAAZHJzL2Rv&#10;d25yZXYueG1sUEsFBgAAAAAEAAQA8wAAABkFAAAAAA==&#10;"/>
            </w:pict>
          </mc:Fallback>
        </mc:AlternateContent>
      </w:r>
    </w:p>
    <w:p w14:paraId="5D64D854"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r w:rsidRPr="00D03619">
        <w:rPr>
          <w:noProof/>
          <w:lang w:eastAsia="lt-LT"/>
        </w:rPr>
        <mc:AlternateContent>
          <mc:Choice Requires="wps">
            <w:drawing>
              <wp:anchor distT="0" distB="0" distL="114300" distR="114300" simplePos="0" relativeHeight="251849728" behindDoc="0" locked="0" layoutInCell="1" allowOverlap="1" wp14:anchorId="47A55C51" wp14:editId="2DD36C30">
                <wp:simplePos x="0" y="0"/>
                <wp:positionH relativeFrom="column">
                  <wp:posOffset>3886200</wp:posOffset>
                </wp:positionH>
                <wp:positionV relativeFrom="paragraph">
                  <wp:posOffset>95885</wp:posOffset>
                </wp:positionV>
                <wp:extent cx="1257300" cy="342900"/>
                <wp:effectExtent l="5080" t="11430" r="13970" b="7620"/>
                <wp:wrapNone/>
                <wp:docPr id="1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99"/>
                        </a:solidFill>
                        <a:ln w="9525">
                          <a:solidFill>
                            <a:srgbClr val="000000"/>
                          </a:solidFill>
                          <a:miter lim="800000"/>
                        </a:ln>
                      </wps:spPr>
                      <wps:txbx>
                        <w:txbxContent>
                          <w:p w14:paraId="591F4CFE" w14:textId="77777777" w:rsidR="007B24A1" w:rsidRDefault="007B24A1" w:rsidP="007B24A1">
                            <w:r>
                              <w:rPr>
                                <w:b/>
                                <w:bCs/>
                              </w:rPr>
                              <w:t>UAB „C“</w:t>
                            </w:r>
                          </w:p>
                          <w:p w14:paraId="20D99985" w14:textId="77777777" w:rsidR="007B24A1" w:rsidRDefault="007B24A1" w:rsidP="007B24A1"/>
                        </w:txbxContent>
                      </wps:txbx>
                      <wps:bodyPr rot="0" vert="horz" wrap="square" lIns="91440" tIns="45720" rIns="91440" bIns="45720" anchor="t" anchorCtr="0" upright="1">
                        <a:noAutofit/>
                      </wps:bodyPr>
                    </wps:wsp>
                  </a:graphicData>
                </a:graphic>
              </wp:anchor>
            </w:drawing>
          </mc:Choice>
          <mc:Fallback>
            <w:pict>
              <v:shape w14:anchorId="47A55C51" id="Text Box 271" o:spid="_x0000_s1242" type="#_x0000_t202" style="position:absolute;left:0;text-align:left;margin-left:306pt;margin-top:7.55pt;width:99pt;height:27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9XYIAIAAEQEAAAOAAAAZHJzL2Uyb0RvYy54bWysU9tu2zAMfR+wfxD0vthxk6Ux4hRdigwD&#10;ugvQ7gMUWbaFSaImKbGzrx8lJ1l2exnmB0E0qUPyHHJ1N2hFDsJ5Caai00lOiTAcamnain5+3r66&#10;pcQHZmqmwIiKHoWnd+uXL1a9LUUBHahaOIIgxpe9rWgXgi2zzPNOaOYnYIVBZwNOs4Cma7PasR7R&#10;tcqKPH+d9eBq64AL7/Hvw+ik64TfNIKHj03jRSCqolhbSKdL5y6e2XrFytYx20l+KoP9QxWaSYNJ&#10;L1APLDCyd/I3KC25Aw9NmHDQGTSN5CL1gN1M81+6eeqYFakXJMfbC03+/8HyD4dPjsgatUN6DNOo&#10;0bMYAnkDAykW00hQb32JcU8WI8OADgxOzXr7CPyLJwY2HTOtuHcO+k6wGgtML7OrpyOOjyC7/j3U&#10;mIjtAySgoXE6sod8EETHSo4XcWIxPKYs5oubHF0cfTezYol3LC5j5fm1dT68FaBJvFTUofgJnR0e&#10;fRhDzyExmQcl661UKhmu3W2UIweGg7LFb7k8of8UpgzpK7qcF/ORgL9C5On7E4SWASdeSV3R2+sg&#10;ZbCZyFekaCQrDLth1GZWnIXYQX1ECh2Mo4yrh5cO3DdKehzjivqve+YEJeqdQRmW09kszn0yZvNF&#10;gYa79uyuPcxwhKpooGS8bsK4K3vrZNthplF4A/coXSMTq7HmsapTAziqSZfTWsVduLZT1I/lX38H&#10;AAD//wMAUEsDBBQABgAIAAAAIQDKXbWi2gAAAAkBAAAPAAAAZHJzL2Rvd25yZXYueG1sTI/BTsMw&#10;EETvSPyDtUjcqONKhBDiVAiJA+JSAh/gxNvEYK+j2G3D37Oc4LjzRrMzzW4NXpxwSS6SBrUpQCAN&#10;0ToaNXy8P99UIFI2ZI2PhBq+McGuvbxoTG3jmd7w1OVRcAil2miYcp5rKdMwYTBpE2ckZoe4BJP5&#10;XEZpF3Pm8ODltihKGYwj/jCZGZ8mHL66Y9BQllSFPX4e9q/upTN+uCPleq2vr9bHBxAZ1/xnht/6&#10;XB1a7tTHI9kkPGeoLW/JDG4VCDZUqmChZ3KvQLaN/L+g/QEAAP//AwBQSwECLQAUAAYACAAAACEA&#10;toM4kv4AAADhAQAAEwAAAAAAAAAAAAAAAAAAAAAAW0NvbnRlbnRfVHlwZXNdLnhtbFBLAQItABQA&#10;BgAIAAAAIQA4/SH/1gAAAJQBAAALAAAAAAAAAAAAAAAAAC8BAABfcmVscy8ucmVsc1BLAQItABQA&#10;BgAIAAAAIQAAG9XYIAIAAEQEAAAOAAAAAAAAAAAAAAAAAC4CAABkcnMvZTJvRG9jLnhtbFBLAQIt&#10;ABQABgAIAAAAIQDKXbWi2gAAAAkBAAAPAAAAAAAAAAAAAAAAAHoEAABkcnMvZG93bnJldi54bWxQ&#10;SwUGAAAAAAQABADzAAAAgQUAAAAA&#10;" fillcolor="#ff9">
                <v:textbox>
                  <w:txbxContent>
                    <w:p w14:paraId="591F4CFE" w14:textId="77777777" w:rsidR="007B24A1" w:rsidRDefault="007B24A1" w:rsidP="007B24A1">
                      <w:r>
                        <w:rPr>
                          <w:b/>
                          <w:bCs/>
                        </w:rPr>
                        <w:t>UAB „C“</w:t>
                      </w:r>
                    </w:p>
                    <w:p w14:paraId="20D99985" w14:textId="77777777" w:rsidR="007B24A1" w:rsidRDefault="007B24A1" w:rsidP="007B24A1"/>
                  </w:txbxContent>
                </v:textbox>
              </v:shape>
            </w:pict>
          </mc:Fallback>
        </mc:AlternateContent>
      </w:r>
      <w:r w:rsidRPr="00D03619">
        <w:rPr>
          <w:noProof/>
          <w:lang w:eastAsia="lt-LT"/>
        </w:rPr>
        <mc:AlternateContent>
          <mc:Choice Requires="wps">
            <w:drawing>
              <wp:anchor distT="0" distB="0" distL="114300" distR="114300" simplePos="0" relativeHeight="251848704" behindDoc="0" locked="0" layoutInCell="1" allowOverlap="1" wp14:anchorId="22EA4255" wp14:editId="0FFF8901">
                <wp:simplePos x="0" y="0"/>
                <wp:positionH relativeFrom="column">
                  <wp:posOffset>571500</wp:posOffset>
                </wp:positionH>
                <wp:positionV relativeFrom="paragraph">
                  <wp:posOffset>95885</wp:posOffset>
                </wp:positionV>
                <wp:extent cx="1257300" cy="342900"/>
                <wp:effectExtent l="5080" t="11430" r="13970" b="7620"/>
                <wp:wrapNone/>
                <wp:docPr id="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CCFFFF"/>
                        </a:solidFill>
                        <a:ln w="9525">
                          <a:solidFill>
                            <a:srgbClr val="000000"/>
                          </a:solidFill>
                          <a:miter lim="800000"/>
                        </a:ln>
                      </wps:spPr>
                      <wps:txbx>
                        <w:txbxContent>
                          <w:p w14:paraId="56E356B6" w14:textId="77777777" w:rsidR="007B24A1" w:rsidRDefault="007B24A1" w:rsidP="007B24A1">
                            <w:r>
                              <w:rPr>
                                <w:b/>
                                <w:bCs/>
                              </w:rPr>
                              <w:t>UAB „A“</w:t>
                            </w:r>
                          </w:p>
                          <w:p w14:paraId="6A826453" w14:textId="77777777" w:rsidR="007B24A1" w:rsidRDefault="007B24A1" w:rsidP="007B24A1"/>
                        </w:txbxContent>
                      </wps:txbx>
                      <wps:bodyPr rot="0" vert="horz" wrap="square" lIns="91440" tIns="45720" rIns="91440" bIns="45720" anchor="t" anchorCtr="0" upright="1">
                        <a:noAutofit/>
                      </wps:bodyPr>
                    </wps:wsp>
                  </a:graphicData>
                </a:graphic>
              </wp:anchor>
            </w:drawing>
          </mc:Choice>
          <mc:Fallback>
            <w:pict>
              <v:shape w14:anchorId="22EA4255" id="Text Box 272" o:spid="_x0000_s1243" type="#_x0000_t202" style="position:absolute;left:0;text-align:left;margin-left:45pt;margin-top:7.55pt;width:99pt;height:27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oiHwIAAEMEAAAOAAAAZHJzL2Uyb0RvYy54bWysU9tu2zAMfR+wfxD0vthxkrUx4hRdigwD&#10;um5Auw9QZNkWJomapMTOvn6UnKbZ7WWYHwTRpA7Jc8jVzaAVOQjnJZiKTic5JcJwqKVpK/rlafvm&#10;mhIfmKmZAiMqehSe3qxfv1r1thQFdKBq4QiCGF/2tqJdCLbMMs87oZmfgBUGnQ04zQKars1qx3pE&#10;1yor8vxt1oOrrQMuvMe/d6OTrhN+0wgePjWNF4GoimJtIZ0unbt4ZusVK1vHbCf5qQz2D1VoJg0m&#10;PUPdscDI3snfoLTkDjw0YcJBZ9A0kovUA3YzzX/p5rFjVqRekBxvzzT5/wfLHw6fHZF1RZeUGKZR&#10;oicxBPIOBlJcFZGf3voSwx4tBoYBHahz6tXbe+BfPTGw6Zhpxa1z0HeC1VjfNL7MLp6OOD6C7PqP&#10;UGMitg+QgIbG6Uge0kEQHXU6nrWJxfCYslhczXJ0cfTN5sUS7zEFK59fW+fDewGaxEtFHWqf0Nnh&#10;3ocx9DkkJvOgZL2VSiXDtbuNcuTAcE42my1+J/SfwpQhPTK1KBYjAX+FyNP3JwgtAw68krqi15dB&#10;ypz4ihSNZIVhNyRppvNZhIps7qA+IoUOxknGzcNLB+47JT1OcUX9tz1zghL1waAMy+l8Hsc+GfPF&#10;VYGGu/TsLj3McISqaKBkvG7CuCp762TbYaZReAO3KF0jE6svVZ0awElNupy2Kq7CpZ2iXnZ//QMA&#10;AP//AwBQSwMEFAAGAAgAAAAhALP1au7dAAAACAEAAA8AAABkcnMvZG93bnJldi54bWxMj81OwzAQ&#10;hO9IfQdrK3GjTooapSFOFSF+bkgULtw2iRtHjdfBdtvw9iwnetyZ0ew35W62ozhrHwZHCtJVAkJT&#10;67qBegWfH893OYgQkTocHWkFPzrArlrclFh07kLv+ryPveASCgUqMDFOhZShNdpiWLlJE3sH5y1G&#10;Pn0vO48XLrejXCdJJi0OxB8MTvrR6Pa4P1kF98M32bfXL9M8HXDzIn2d+WOt1O1yrh9ARD3H/zD8&#10;4TM6VMzUuBN1QYwKtglPiaxvUhDsr/OchUZBtk1BVqW8HlD9AgAA//8DAFBLAQItABQABgAIAAAA&#10;IQC2gziS/gAAAOEBAAATAAAAAAAAAAAAAAAAAAAAAABbQ29udGVudF9UeXBlc10ueG1sUEsBAi0A&#10;FAAGAAgAAAAhADj9If/WAAAAlAEAAAsAAAAAAAAAAAAAAAAALwEAAF9yZWxzLy5yZWxzUEsBAi0A&#10;FAAGAAgAAAAhAJEnSiIfAgAAQwQAAA4AAAAAAAAAAAAAAAAALgIAAGRycy9lMm9Eb2MueG1sUEsB&#10;Ai0AFAAGAAgAAAAhALP1au7dAAAACAEAAA8AAAAAAAAAAAAAAAAAeQQAAGRycy9kb3ducmV2Lnht&#10;bFBLBQYAAAAABAAEAPMAAACDBQAAAAA=&#10;" fillcolor="#cff">
                <v:textbox>
                  <w:txbxContent>
                    <w:p w14:paraId="56E356B6" w14:textId="77777777" w:rsidR="007B24A1" w:rsidRDefault="007B24A1" w:rsidP="007B24A1">
                      <w:r>
                        <w:rPr>
                          <w:b/>
                          <w:bCs/>
                        </w:rPr>
                        <w:t>UAB „A“</w:t>
                      </w:r>
                    </w:p>
                    <w:p w14:paraId="6A826453" w14:textId="77777777" w:rsidR="007B24A1" w:rsidRDefault="007B24A1" w:rsidP="007B24A1"/>
                  </w:txbxContent>
                </v:textbox>
              </v:shape>
            </w:pict>
          </mc:Fallback>
        </mc:AlternateContent>
      </w:r>
      <w:r w:rsidRPr="00D03619">
        <w:rPr>
          <w:noProof/>
          <w:lang w:eastAsia="lt-LT"/>
        </w:rPr>
        <mc:AlternateContent>
          <mc:Choice Requires="wps">
            <w:drawing>
              <wp:anchor distT="0" distB="0" distL="114300" distR="114300" simplePos="0" relativeHeight="251843584" behindDoc="0" locked="0" layoutInCell="1" allowOverlap="1" wp14:anchorId="5937A1D6" wp14:editId="46486A9B">
                <wp:simplePos x="0" y="0"/>
                <wp:positionH relativeFrom="column">
                  <wp:posOffset>571500</wp:posOffset>
                </wp:positionH>
                <wp:positionV relativeFrom="paragraph">
                  <wp:posOffset>95885</wp:posOffset>
                </wp:positionV>
                <wp:extent cx="1257300" cy="342900"/>
                <wp:effectExtent l="5080" t="11430" r="13970" b="7620"/>
                <wp:wrapNone/>
                <wp:docPr id="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0999DB19" id="Rectangle 273" o:spid="_x0000_s1026" style="position:absolute;margin-left:45pt;margin-top:7.55pt;width:99pt;height:27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7jDEgIAACYEAAAOAAAAZHJzL2Uyb0RvYy54bWysU9uO0zAQfUfiHyy/01za0m3VdLXqqghp&#10;gRULH+A6TmLhG2O3afl6xk63ZIEnhB8sj+f4eObMzPr2pBU5CvDSmooWk5wSYbitpWkr+vXL7s0N&#10;JT4wUzNljajoWXh6u3n9at27lShtZ1UtgCCJ8aveVbQLwa2yzPNOaOYn1gmDzsaCZgFNaLMaWI/s&#10;WmVlnr/Negu1A8uF93h7PzjpJvE3jeDhU9N4EYiqKMYW0g5p38c926zZqgXmOskvYbB/iEIzafDT&#10;K9U9C4wcQP5BpSUH620TJtzqzDaN5CLlgNkU+W/ZPHXMiZQLiuPdVSb//2j5x+MjEFlXdEqJYRpL&#10;9BlFY6ZVgpSLaRSod36FuCf3CDFF7x4s/+aJsdsOceIOwPadYDWGVUR89uJBNDw+Jfv+g62Rnx2C&#10;TVqdGtCREFUgp1SS87Uk4hQIx8uinC+mOVaOo286K5d4jl+w1fNrBz68E1aTeKgoYPSJnR0ffBig&#10;z5AUvVWy3kmlkgHtfquAHBm2xy6tC7sfw5QhfUWX83KemF/4/JgiT+tvFFoG7HMldUVvxiBlLnpF&#10;iQap97Y+o1xgh2bF4cJDZ+EHJT02akX99wMDQYl6b1DyZTGbxc5Oxmy+KNGAsWc/9jDDkaqigZLh&#10;uA3DNBwcyLbDn4qUo7F3WKZGJgVjCYeoLsFiM6YaXAYndvvYTqhf4735CQAA//8DAFBLAwQUAAYA&#10;CAAAACEACXW9md0AAAAIAQAADwAAAGRycy9kb3ducmV2LnhtbEyPQU+DQBCF7yb+h82YeLO7YGwA&#10;WRqjaROPLb14W2AElJ0l7NJSf73jyR7nvZc338s3ix3ECSffO9IQrRQIpNo1PbUajuX2IQHhg6HG&#10;DI5QwwU9bIrbm9xkjTvTHk+H0AouIZ8ZDV0IYyalrzu0xq/ciMTep5usCXxOrWwmc+ZyO8hYqbW0&#10;pif+0JkRXzusvw+z1VD18dH87Mudsun2Mbwv5df88ab1/d3y8gwi4BL+w/CHz+hQMFPlZmq8GDSk&#10;iqcE1p8iEOzHScJCpWGdRiCLXF4PKH4BAAD//wMAUEsBAi0AFAAGAAgAAAAhALaDOJL+AAAA4QEA&#10;ABMAAAAAAAAAAAAAAAAAAAAAAFtDb250ZW50X1R5cGVzXS54bWxQSwECLQAUAAYACAAAACEAOP0h&#10;/9YAAACUAQAACwAAAAAAAAAAAAAAAAAvAQAAX3JlbHMvLnJlbHNQSwECLQAUAAYACAAAACEAXje4&#10;wxICAAAmBAAADgAAAAAAAAAAAAAAAAAuAgAAZHJzL2Uyb0RvYy54bWxQSwECLQAUAAYACAAAACEA&#10;CXW9md0AAAAIAQAADwAAAAAAAAAAAAAAAABsBAAAZHJzL2Rvd25yZXYueG1sUEsFBgAAAAAEAAQA&#10;8wAAAHYFAAAAAA==&#10;"/>
            </w:pict>
          </mc:Fallback>
        </mc:AlternateContent>
      </w:r>
      <w:r w:rsidRPr="00D03619">
        <w:rPr>
          <w:noProof/>
          <w:lang w:eastAsia="lt-LT"/>
        </w:rPr>
        <mc:AlternateContent>
          <mc:Choice Requires="wps">
            <w:drawing>
              <wp:anchor distT="0" distB="0" distL="114300" distR="114300" simplePos="0" relativeHeight="251844608" behindDoc="0" locked="0" layoutInCell="1" allowOverlap="1" wp14:anchorId="632E8A4F" wp14:editId="0B7CD5EA">
                <wp:simplePos x="0" y="0"/>
                <wp:positionH relativeFrom="column">
                  <wp:posOffset>3886200</wp:posOffset>
                </wp:positionH>
                <wp:positionV relativeFrom="paragraph">
                  <wp:posOffset>95885</wp:posOffset>
                </wp:positionV>
                <wp:extent cx="1257300" cy="342900"/>
                <wp:effectExtent l="5080" t="11430" r="13970" b="7620"/>
                <wp:wrapNone/>
                <wp:docPr id="2"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608B34A0" id="Rectangle 274" o:spid="_x0000_s1026" style="position:absolute;margin-left:306pt;margin-top:7.55pt;width:99pt;height:27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4rEgIAACYEAAAOAAAAZHJzL2Uyb0RvYy54bWysU9tuEzEQfUfiHyy/k700oc0qm6pKFYRU&#10;oKLwAY7Xu2vhG2Mnm/D1jL1p2AJPCD9YHs/x8cyZmdXtUStyEOClNTUtZjklwnDbSNPV9OuX7Zsb&#10;SnxgpmHKGlHTk/D0dv361WpwlShtb1UjgCCJ8dXgatqH4Kos87wXmvmZdcKgs7WgWUATuqwBNiC7&#10;VlmZ52+zwULjwHLhPd7ej066TvxtK3j41LZeBKJqirGFtEPad3HP1itWdcBcL/k5DPYPUWgmDX56&#10;obpngZE9yD+otORgvW3DjFud2baVXKQcMJsi/y2bp545kXJBcby7yOT/Hy3/eHgEIpualpQYprFE&#10;n1E0ZjolSHk9jwINzleIe3KPEFP07sHyb54Yu+kRJ+4A7NAL1mBYRcRnLx5Ew+NTshs+2Ab52T7Y&#10;pNWxBR0JUQVyTCU5XUoijoFwvCzKxfVVjpXj6Lual0s8xy9Y9fzagQ/vhNUkHmoKGH1iZ4cHH0bo&#10;MyRFb5VstlKpZEC32yggB4btsU3rzO6nMGXIUNPlolwk5hc+P6XI0/obhZYB+1xJXdObKUiZs15R&#10;olHqnW1OKBfYsVlxuPDQW/hByYCNWlP/fc9AUKLeG5R8WcznsbOTMV9cl2jA1LObepjhSFXTQMl4&#10;3IRxGvYOZNfjT0XK0dg7LFMrk4KxhGNU52CxGVMNzoMTu31qJ9Sv8V7/BAAA//8DAFBLAwQUAAYA&#10;CAAAACEAruEwLd0AAAAJAQAADwAAAGRycy9kb3ducmV2LnhtbEyPwU7DMBBE70j8g7VI3KjjIKo2&#10;xKkQqJU4tumF2yZekkBsR7HTpnw9y4ked95odibfzLYXJxpD550GtUhAkKu96Vyj4VhuH1YgQkRn&#10;sPeONFwowKa4vckxM/7s9nQ6xEZwiAsZamhjHDIpQ92SxbDwAzlmn360GPkcG2lGPHO47WWaJEtp&#10;sXP8ocWBXluqvw+T1VB16RF/9uUusevtY3yfy6/p403r+7v55RlEpDn+m+GvPleHgjtVfnImiF7D&#10;UqW8JTJ4UiDYsFIJCxWTtQJZ5PJ6QfELAAD//wMAUEsBAi0AFAAGAAgAAAAhALaDOJL+AAAA4QEA&#10;ABMAAAAAAAAAAAAAAAAAAAAAAFtDb250ZW50X1R5cGVzXS54bWxQSwECLQAUAAYACAAAACEAOP0h&#10;/9YAAACUAQAACwAAAAAAAAAAAAAAAAAvAQAAX3JlbHMvLnJlbHNQSwECLQAUAAYACAAAACEAwY3e&#10;KxICAAAmBAAADgAAAAAAAAAAAAAAAAAuAgAAZHJzL2Uyb0RvYy54bWxQSwECLQAUAAYACAAAACEA&#10;ruEwLd0AAAAJAQAADwAAAAAAAAAAAAAAAABsBAAAZHJzL2Rvd25yZXYueG1sUEsFBgAAAAAEAAQA&#10;8wAAAHYFAAAAAA==&#10;"/>
            </w:pict>
          </mc:Fallback>
        </mc:AlternateContent>
      </w:r>
    </w:p>
    <w:p w14:paraId="00CBFD7D"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2CC85843" w14:textId="77777777" w:rsidR="007B24A1" w:rsidRPr="00D03619" w:rsidRDefault="007B24A1" w:rsidP="007B24A1">
      <w:pPr>
        <w:pStyle w:val="Pagrindiniotekstotrauka2"/>
        <w:pBdr>
          <w:top w:val="single" w:sz="4" w:space="1" w:color="auto"/>
          <w:left w:val="single" w:sz="4" w:space="4" w:color="auto"/>
          <w:right w:val="single" w:sz="4" w:space="4" w:color="auto"/>
        </w:pBdr>
        <w:tabs>
          <w:tab w:val="left" w:pos="720"/>
          <w:tab w:val="left" w:pos="1077"/>
          <w:tab w:val="left" w:pos="1134"/>
          <w:tab w:val="left" w:pos="1418"/>
        </w:tabs>
        <w:rPr>
          <w:b w:val="0"/>
          <w:bCs w:val="0"/>
        </w:rPr>
      </w:pPr>
    </w:p>
    <w:p w14:paraId="1CEED07E" w14:textId="77777777" w:rsidR="007B24A1" w:rsidRPr="00D03619" w:rsidRDefault="007B24A1" w:rsidP="007B24A1">
      <w:pPr>
        <w:pBdr>
          <w:left w:val="single" w:sz="4" w:space="4" w:color="auto"/>
          <w:bottom w:val="single" w:sz="4" w:space="1" w:color="auto"/>
          <w:right w:val="single" w:sz="4" w:space="4" w:color="auto"/>
        </w:pBdr>
        <w:ind w:firstLine="720"/>
        <w:jc w:val="both"/>
        <w:rPr>
          <w:bCs/>
          <w:lang w:val="lt-LT"/>
        </w:rPr>
      </w:pPr>
      <w:r w:rsidRPr="00B239F2">
        <w:rPr>
          <w:bCs/>
          <w:lang w:val="lt-LT"/>
        </w:rPr>
        <w:t>Neatsižvelgiant į tai, kad 2027 metais pasikeitė įmonių grupės struktūra, UAB „A“ , UAB „B“ ir UAB „C“ ir po įmonių struktūros pasikeitimo priklauso tai pačiai įmonių grupei. Todėl UAB „C“ 2027 mokestinių metų nuostolius galės perduoti</w:t>
      </w:r>
      <w:r w:rsidRPr="00D03619">
        <w:rPr>
          <w:bCs/>
          <w:lang w:val="lt-LT"/>
        </w:rPr>
        <w:t xml:space="preserve"> UAB „A“ ir UAB „B“, jei</w:t>
      </w:r>
      <w:r>
        <w:rPr>
          <w:bCs/>
          <w:lang w:val="lt-LT"/>
        </w:rPr>
        <w:t xml:space="preserve"> </w:t>
      </w:r>
      <w:r w:rsidRPr="00D03619">
        <w:rPr>
          <w:bCs/>
          <w:lang w:val="lt-LT"/>
        </w:rPr>
        <w:t xml:space="preserve">nuostolių perdavimo dieną </w:t>
      </w:r>
      <w:r w:rsidRPr="00D03619">
        <w:rPr>
          <w:lang w:val="lt-LT"/>
        </w:rPr>
        <w:t xml:space="preserve">patronuojanti įmonė – AB „X“ tiesiogiai ar netiesiogiai </w:t>
      </w:r>
      <w:r w:rsidRPr="00D03619">
        <w:rPr>
          <w:bCs/>
          <w:lang w:val="lt-LT"/>
        </w:rPr>
        <w:t xml:space="preserve">valdys ne mažiau kaip 2/3 (arba ne mažiau kaip 66, 67 proc.) kiekvienos nuostolių perdavime dalyvaujančios dukterinės įmonės UAB „A“,  UAB „B“ ir UAB „C“ </w:t>
      </w:r>
      <w:r w:rsidRPr="00D03619">
        <w:rPr>
          <w:lang w:val="lt-LT"/>
        </w:rPr>
        <w:t xml:space="preserve">akcijų ir bus tenkinami kiti PMĮ </w:t>
      </w:r>
      <w:r w:rsidRPr="00D03619">
        <w:rPr>
          <w:bCs/>
          <w:lang w:val="lt-LT"/>
        </w:rPr>
        <w:t>56</w:t>
      </w:r>
      <w:r w:rsidRPr="00D03619">
        <w:rPr>
          <w:bCs/>
          <w:vertAlign w:val="superscript"/>
          <w:lang w:val="lt-LT"/>
        </w:rPr>
        <w:t>1</w:t>
      </w:r>
      <w:r w:rsidRPr="00D03619">
        <w:rPr>
          <w:bCs/>
          <w:lang w:val="lt-LT"/>
        </w:rPr>
        <w:t xml:space="preserve"> straipsnio reikalavimai.</w:t>
      </w:r>
    </w:p>
    <w:p w14:paraId="62860A72" w14:textId="4B4BA183"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p w14:paraId="10C14210" w14:textId="77777777" w:rsidR="007B24A1" w:rsidRPr="00D03619" w:rsidRDefault="007B24A1" w:rsidP="007B24A1">
      <w:pPr>
        <w:ind w:firstLine="720"/>
        <w:jc w:val="both"/>
        <w:rPr>
          <w:bCs/>
          <w:lang w:val="lt-LT"/>
        </w:rPr>
      </w:pPr>
    </w:p>
    <w:p w14:paraId="61101832" w14:textId="77777777" w:rsidR="007B24A1" w:rsidRPr="00D03619" w:rsidRDefault="007B24A1" w:rsidP="007B24A1">
      <w:pPr>
        <w:ind w:firstLine="720"/>
        <w:jc w:val="both"/>
        <w:rPr>
          <w:lang w:val="lt-LT"/>
        </w:rPr>
      </w:pPr>
      <w:r w:rsidRPr="00D03619">
        <w:rPr>
          <w:lang w:val="lt-LT"/>
        </w:rPr>
        <w:t xml:space="preserve">6. Vienetas iš kito vienetų grupės vieneto perimtais mokestinio laikotarpio nuostoliais gali sumažinti apskaičiuotą </w:t>
      </w:r>
      <w:r w:rsidRPr="00B239F2">
        <w:rPr>
          <w:lang w:val="lt-LT"/>
        </w:rPr>
        <w:t>apmokestinamąjį pelną tik to mokestinio laikotarpio, kurio apskaičiuotus nuostolius (ar jų dalį) jam perdavė tas kitas vienetų grupės vienetas. Pavyzdžiui, jei nuostolių perdavime dalyvaujančių vienetų mokestiniai laikotarpiai sutampa su kalendoriniais metais ir nuostolius perduodantis vienetas perduoda 2026 metų nuostolius, tai juos perimantis vienetas šių nuostolių suma gali sumažinti taip pat tik 2026</w:t>
      </w:r>
      <w:r w:rsidRPr="00D03619">
        <w:rPr>
          <w:lang w:val="lt-LT"/>
        </w:rPr>
        <w:t xml:space="preserve"> metų apmokestinamąjį pelną. </w:t>
      </w:r>
    </w:p>
    <w:p w14:paraId="417D1716" w14:textId="77777777" w:rsidR="007B24A1" w:rsidRPr="00B239F2" w:rsidRDefault="007B24A1" w:rsidP="007B24A1">
      <w:pPr>
        <w:ind w:firstLine="720"/>
        <w:jc w:val="both"/>
        <w:rPr>
          <w:lang w:val="lt-LT"/>
        </w:rPr>
      </w:pPr>
      <w:r w:rsidRPr="00D03619">
        <w:rPr>
          <w:lang w:val="lt-LT"/>
        </w:rPr>
        <w:t xml:space="preserve">Paprastai tai pačiai vienetų grupei priklausančių vienetų mokestiniai laikotarpiai sutampa. Tačiau, jei nuostolių perdavime dalyvaujančių vienetų mokestiniai laikotarpiai nesutampa, tai nuostolius perimantis vienetas gali sumažinti apmokestinamąjį pelną tik to mokestinio laikotarpio, kuris prasideda tais pačiais metais kaip ir kito vienetų grupės vieneto tas mokestinis laikotarpis, kurio apskaičiuotus nuostolius jis jam perdavė. Pavyzdžiui, jei nuostolius perimančio Lietuvos vieneto mokestinis laikotarpis yra kalendoriniai metai, o kitas vienetų grupės vienetas jam perduoda nuostolius mokestinio laikotarpio, kuris prasideda </w:t>
      </w:r>
      <w:r w:rsidRPr="00B239F2">
        <w:rPr>
          <w:lang w:val="lt-LT"/>
        </w:rPr>
        <w:t xml:space="preserve">2026 m. rugsėjo 1 d. ir baigiasi 2027 m. rugpjūčio 31 d., tai nuostolius perimantis Lietuvos vienetas šio mokestinio laikotarpio nuostoliais gali sumažinti 2026 metų apmokestinamąjį pelną. </w:t>
      </w:r>
    </w:p>
    <w:p w14:paraId="76EB6BC6" w14:textId="77777777" w:rsidR="007B24A1" w:rsidRPr="00D03619" w:rsidRDefault="007B24A1" w:rsidP="007B24A1">
      <w:pPr>
        <w:ind w:firstLine="709"/>
        <w:jc w:val="both"/>
        <w:rPr>
          <w:lang w:val="lt-LT" w:eastAsia="lt-LT"/>
        </w:rPr>
      </w:pPr>
      <w:r w:rsidRPr="00D03619">
        <w:rPr>
          <w:lang w:val="lt-LT" w:eastAsia="lt-LT"/>
        </w:rPr>
        <w:t xml:space="preserve">Pereinamojo mokestinio laikotarpio (susidariusio vienetui pakeitus mokestinį laikotarpį) nuostoliams komentuojamo straipsnio nuostatos netaikomos, išskyrus atvejus, kai vienetų grupės vienetų (tiek perduodančio, tiek perimančio) pereinamasis mokestinis laikotarpis sutampa. </w:t>
      </w:r>
      <w:r w:rsidRPr="00D03619">
        <w:rPr>
          <w:lang w:val="lt-LT"/>
        </w:rPr>
        <w:t>Vienetas iš kito vienetų grupės vieneto perimtais pereinamojo mokestinio laikotarpio nuostoliais gali sumažinti apskaičiuotą apmokestinamąjį pelną tik to paties pereinamojo mokestinio laikotarpio, kurio apskaičiuotus nuostolius (ar jų dalį) jam perdavė tas kitas vienetų grupės vienetas.</w:t>
      </w:r>
    </w:p>
    <w:p w14:paraId="40928164"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7. Vienetų grupės vienetas gali perduoti nuostolius dalimis iš karto keliems tos vienetų grupės vienetams.</w:t>
      </w:r>
    </w:p>
    <w:p w14:paraId="4F7AB9E9" w14:textId="77777777" w:rsidR="007B24A1" w:rsidRPr="00D03619" w:rsidRDefault="007B24A1" w:rsidP="007B24A1">
      <w:pPr>
        <w:pStyle w:val="Pagrindiniotekstotrauka2"/>
        <w:tabs>
          <w:tab w:val="left" w:pos="720"/>
          <w:tab w:val="left" w:pos="1077"/>
          <w:tab w:val="left" w:pos="1134"/>
          <w:tab w:val="left" w:pos="1418"/>
        </w:tabs>
        <w:spacing w:line="240" w:lineRule="auto"/>
        <w:rPr>
          <w:b w:val="0"/>
          <w:bCs w:val="0"/>
        </w:rPr>
      </w:pPr>
      <w:r w:rsidRPr="00D03619">
        <w:rPr>
          <w:b w:val="0"/>
          <w:bCs w:val="0"/>
        </w:rPr>
        <w:t>Pavyzdys</w:t>
      </w:r>
    </w:p>
    <w:p w14:paraId="323AFEA8" w14:textId="77777777" w:rsidR="007B24A1" w:rsidRPr="00B239F2" w:rsidRDefault="007B24A1" w:rsidP="007B24A1">
      <w:pPr>
        <w:pBdr>
          <w:top w:val="single" w:sz="4" w:space="1" w:color="auto"/>
          <w:left w:val="single" w:sz="4" w:space="4" w:color="auto"/>
          <w:bottom w:val="single" w:sz="4" w:space="1" w:color="auto"/>
          <w:right w:val="single" w:sz="4" w:space="4" w:color="auto"/>
        </w:pBdr>
        <w:ind w:firstLine="720"/>
        <w:jc w:val="both"/>
        <w:rPr>
          <w:bCs/>
          <w:lang w:val="lt-LT"/>
        </w:rPr>
      </w:pPr>
      <w:r w:rsidRPr="00B239F2">
        <w:rPr>
          <w:lang w:val="lt-LT"/>
        </w:rPr>
        <w:t>UAB „A“ apskaičiavo 250 000 Eur dydžio 2026 mokestinių metų nuostolį. Kiti vienetų grupės vienetai - UAB „B“ ir UAB „C“ už 2026 mokestinius metus apskaičiavo atitinkamai 210 000 Eur ir 150 000 Eur apmokestinamojo pelno. UAB „A“ 2026 mokestinių metų nuostolį gali perduoti UAB „B“ ir UAB „C“ susitartomis dalimis, jei tenkinami PMĮ 56</w:t>
      </w:r>
      <w:r w:rsidRPr="00B239F2">
        <w:rPr>
          <w:vertAlign w:val="superscript"/>
          <w:lang w:val="lt-LT"/>
        </w:rPr>
        <w:t>1</w:t>
      </w:r>
      <w:r w:rsidRPr="00B239F2">
        <w:rPr>
          <w:lang w:val="lt-LT"/>
        </w:rPr>
        <w:t xml:space="preserve"> straipsnio reikalavimai. </w:t>
      </w:r>
    </w:p>
    <w:p w14:paraId="1C4832CC" w14:textId="72777855" w:rsidR="007B24A1" w:rsidRPr="00D03619" w:rsidRDefault="008671EF" w:rsidP="007B24A1">
      <w:pPr>
        <w:ind w:firstLine="720"/>
        <w:jc w:val="both"/>
        <w:rPr>
          <w:bCs/>
          <w:lang w:val="lt-LT"/>
        </w:rPr>
      </w:pPr>
      <w:r w:rsidRPr="008671EF">
        <w:rPr>
          <w:bCs/>
          <w:lang w:val="lt-LT"/>
        </w:rPr>
        <w:t>(Pakeista pagal VMI prie FM 2026-03-25 raštą Nr. (18.32-31-1 E) RM-9626)</w:t>
      </w:r>
    </w:p>
    <w:p w14:paraId="18D185B1" w14:textId="77777777" w:rsidR="007B24A1" w:rsidRPr="00D03619" w:rsidRDefault="007B24A1" w:rsidP="007B24A1">
      <w:pPr>
        <w:ind w:firstLine="720"/>
        <w:jc w:val="both"/>
        <w:rPr>
          <w:bCs/>
          <w:lang w:val="lt-LT"/>
        </w:rPr>
      </w:pPr>
      <w:r w:rsidRPr="00D03619">
        <w:rPr>
          <w:bCs/>
          <w:lang w:val="lt-LT"/>
        </w:rPr>
        <w:t>8. Šios dalies nuostatos neriboja nuostolių perdavimo tarp tokių vienetų grupės vienetų, kurie vykdo skirtingą veiklą (t.</w:t>
      </w:r>
      <w:r>
        <w:rPr>
          <w:bCs/>
          <w:lang w:val="lt-LT"/>
        </w:rPr>
        <w:t xml:space="preserve"> </w:t>
      </w:r>
      <w:r w:rsidRPr="00D03619">
        <w:rPr>
          <w:bCs/>
          <w:lang w:val="lt-LT"/>
        </w:rPr>
        <w:t>y. nuostolius patiria ir pelną uždirba iš skirtingų veiklos rūšių), išskyrus vertybinių popierių ir išvestinių finansinių priemonių nuostolius, kuriems taikomi PMĮ 56</w:t>
      </w:r>
      <w:r w:rsidRPr="00D03619">
        <w:rPr>
          <w:bCs/>
          <w:vertAlign w:val="superscript"/>
          <w:lang w:val="lt-LT"/>
        </w:rPr>
        <w:t>1 </w:t>
      </w:r>
      <w:r w:rsidRPr="00D03619">
        <w:rPr>
          <w:bCs/>
          <w:lang w:val="lt-LT"/>
        </w:rPr>
        <w:t xml:space="preserve">str. 2 dalies reikalavimai. Pavyzdžiui, gamybos įmonė gali perduoti veiklos nuostolius didmeninės prekybos įmonei, o draudimo įmonė - bankui. </w:t>
      </w:r>
    </w:p>
    <w:p w14:paraId="39029903" w14:textId="77777777" w:rsidR="007B24A1" w:rsidRPr="00B239F2" w:rsidRDefault="007B24A1" w:rsidP="007B24A1">
      <w:pPr>
        <w:ind w:firstLine="720"/>
        <w:jc w:val="both"/>
        <w:rPr>
          <w:bCs/>
          <w:lang w:val="lt-LT"/>
        </w:rPr>
      </w:pPr>
      <w:r w:rsidRPr="00D03619">
        <w:rPr>
          <w:lang w:val="lt-LT"/>
        </w:rPr>
        <w:lastRenderedPageBreak/>
        <w:t>9. Lietuvos vienetas kito vienetų grupės vieneto perduotais nuostoliais gali sumažinti atitinkamo mokestinio laikotarpio apmokestinamąjį pelną, apskaičiuotą PMĮ 11 straipsnyje nustatyta tvarka, t.y. iš pajamų atėmus neapmokestinamąsias pajamas, leidžiamus ir ribojamų dydžių leidžiamus atskaitymus, įskaitant mokestinius nuostolius, atskaitomus pagal PMĮ 30 ir 43 straipsnių nuostatas. T.y. Lietuvos vienetas gali sumažinti apmokestinamąjį pelną iš kito vienetų grupės vieneto perimtais nuostoliais, jei apskaičiuodamas atitinkamo mokestinio laikotarpio apmokestinamąjį pelną, iš pajamų atskaitė savo praėjusių mokestinių laikotarpių nuostolius (žr. PMĮ 30 straipsnio komentarą), taip pat reorganizavimo ir perleidimo atvejais iš kito vieneto perimtus nuostolius, iš pajamų atskaitomus pagal PMĮ 43 straipsnio nuostatas (žr. PMĮ 43 straipsnio komentarą).</w:t>
      </w:r>
      <w:r w:rsidRPr="00D03619">
        <w:rPr>
          <w:bCs/>
          <w:lang w:val="lt-LT"/>
        </w:rPr>
        <w:t xml:space="preserve"> </w:t>
      </w:r>
      <w:r w:rsidRPr="00D03619">
        <w:rPr>
          <w:lang w:val="lt-LT"/>
        </w:rPr>
        <w:t xml:space="preserve"> </w:t>
      </w:r>
      <w:r w:rsidRPr="00B239F2">
        <w:rPr>
          <w:color w:val="000000"/>
          <w:shd w:val="clear" w:color="auto" w:fill="FFFFFF"/>
          <w:lang w:val="lt-LT"/>
        </w:rPr>
        <w:t xml:space="preserve">Bendra pagal šį straipsnį,  PMĮ 30 ir 43 straipsnius atskaitoma mokestinių nuostolių, suma negali būti didesnė kaip 70 procentų vieneto mokestinio laikotarpio pajamų, apskaičiuotų iš pajamų atėmus neapmokestinamąsias pajamas, leidžiamus atskaitymus ir ribojamų dydžių leidžiamus atskaitymus, išskyrus ankstesnių mokestinių laikotarpių mokestinius nuostolius </w:t>
      </w:r>
      <w:r w:rsidRPr="00B239F2">
        <w:rPr>
          <w:lang w:val="lt-LT"/>
        </w:rPr>
        <w:t>(žr. PMĮ 56-1 straipsnio 9 dalies komentarą)</w:t>
      </w:r>
      <w:r w:rsidRPr="00B239F2">
        <w:rPr>
          <w:color w:val="000000"/>
          <w:shd w:val="clear" w:color="auto" w:fill="FFFFFF"/>
          <w:lang w:val="lt-LT"/>
        </w:rPr>
        <w:t>.</w:t>
      </w:r>
    </w:p>
    <w:p w14:paraId="4C7F62DF" w14:textId="77777777" w:rsidR="008671EF" w:rsidRDefault="007B24A1" w:rsidP="007B24A1">
      <w:pPr>
        <w:ind w:firstLine="720"/>
        <w:jc w:val="both"/>
        <w:rPr>
          <w:bCs/>
          <w:lang w:val="lt-LT"/>
        </w:rPr>
      </w:pPr>
      <w:r w:rsidRPr="00D03619">
        <w:rPr>
          <w:bCs/>
          <w:lang w:val="lt-LT"/>
        </w:rPr>
        <w:t>10.</w:t>
      </w:r>
      <w:r w:rsidRPr="00D03619">
        <w:rPr>
          <w:b/>
          <w:bCs/>
          <w:lang w:val="lt-LT"/>
        </w:rPr>
        <w:t xml:space="preserve"> </w:t>
      </w:r>
      <w:r w:rsidRPr="00D03619">
        <w:rPr>
          <w:bCs/>
          <w:lang w:val="lt-LT"/>
        </w:rPr>
        <w:t>Jei vienetas vykdo investicinį projektą ir naudojasi PMĮ 46</w:t>
      </w:r>
      <w:r w:rsidRPr="00D03619">
        <w:rPr>
          <w:bCs/>
          <w:vertAlign w:val="superscript"/>
          <w:lang w:val="lt-LT"/>
        </w:rPr>
        <w:t xml:space="preserve">1 </w:t>
      </w:r>
      <w:r w:rsidRPr="00D03619">
        <w:rPr>
          <w:bCs/>
          <w:lang w:val="lt-LT"/>
        </w:rPr>
        <w:t>straipsnyje nustatyta lengvata, tai toks vienetas iš kito vienetų grupės vieneto perimtais nuostoliais gali sumažinti tik tą apmokestinamojo pelno dalį, kuri lieka pritaikius PMĮ 46</w:t>
      </w:r>
      <w:r w:rsidRPr="00D03619">
        <w:rPr>
          <w:bCs/>
          <w:vertAlign w:val="superscript"/>
          <w:lang w:val="lt-LT"/>
        </w:rPr>
        <w:t xml:space="preserve">1 </w:t>
      </w:r>
      <w:r w:rsidRPr="00D03619">
        <w:rPr>
          <w:bCs/>
          <w:lang w:val="lt-LT"/>
        </w:rPr>
        <w:t>straipsnyje nustatytą lengvatą</w:t>
      </w:r>
      <w:r w:rsidR="008671EF">
        <w:rPr>
          <w:bCs/>
          <w:lang w:val="lt-LT"/>
        </w:rPr>
        <w:t>.</w:t>
      </w:r>
    </w:p>
    <w:p w14:paraId="33B4ED65" w14:textId="115B4F6A" w:rsidR="007B24A1" w:rsidRPr="008671EF" w:rsidRDefault="008671EF" w:rsidP="008671EF">
      <w:r>
        <w:rPr>
          <w:lang w:val="lt-LT"/>
        </w:rPr>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r w:rsidR="007B24A1" w:rsidRPr="00D03619">
        <w:rPr>
          <w:bCs/>
          <w:lang w:val="lt-LT"/>
        </w:rPr>
        <w:t xml:space="preserve"> </w:t>
      </w:r>
    </w:p>
    <w:p w14:paraId="3F040559" w14:textId="77777777" w:rsidR="007B24A1" w:rsidRPr="00D03619" w:rsidRDefault="007B24A1" w:rsidP="007B24A1">
      <w:pPr>
        <w:ind w:firstLine="720"/>
        <w:jc w:val="both"/>
        <w:rPr>
          <w:bCs/>
          <w:lang w:val="lt-LT"/>
        </w:rPr>
      </w:pPr>
      <w:r w:rsidRPr="00D03619">
        <w:rPr>
          <w:bCs/>
          <w:lang w:val="lt-LT"/>
        </w:rPr>
        <w:t>11.</w:t>
      </w:r>
      <w:r w:rsidRPr="00D03619">
        <w:rPr>
          <w:b/>
          <w:bCs/>
          <w:lang w:val="lt-LT"/>
        </w:rPr>
        <w:t xml:space="preserve"> </w:t>
      </w:r>
      <w:r w:rsidRPr="00D03619">
        <w:rPr>
          <w:bCs/>
          <w:lang w:val="lt-LT"/>
        </w:rPr>
        <w:t>Pagal PMĮ 45 str. 2 dalies nuostatas, li</w:t>
      </w:r>
      <w:r w:rsidRPr="00D03619">
        <w:rPr>
          <w:lang w:val="lt-LT"/>
        </w:rPr>
        <w:t>kviduojamo vieneto dalyvių iš likviduojamo vieneto gauto turto ir to vieneto akcijų įsigijimo kainos neigiamas skirtumas – nuostolis pripažįstamas nuostoliu iš vertybinių popierių perleidimo. L</w:t>
      </w:r>
      <w:r w:rsidRPr="00D03619">
        <w:rPr>
          <w:bCs/>
          <w:lang w:val="lt-LT"/>
        </w:rPr>
        <w:t xml:space="preserve">ikviduojamo dukterinio vieneto nuostoliai pripažįstami dukterinį vienetą tiesiogiai valdančio patronuojančio vieneto nuotoliais, kaip nuostoliai iš akcijų perleidimo, todėl Lietuvos vienetas negali perimti iš likviduojamo vienetų grupės vieneto nuostolių, apskaičiuotų už tą mokestinį laikotarpį, kurį buvo paskirstytas turtas jo dalyviams (paprastai tai atliekama paskutiniu mokestiniu laikotarpiu). </w:t>
      </w:r>
    </w:p>
    <w:p w14:paraId="184DF004" w14:textId="77777777" w:rsidR="007B24A1" w:rsidRPr="00D03619" w:rsidRDefault="007B24A1" w:rsidP="007B24A1">
      <w:pPr>
        <w:pStyle w:val="HTMLiankstoformatuotas"/>
        <w:tabs>
          <w:tab w:val="left" w:pos="720"/>
          <w:tab w:val="left" w:pos="1077"/>
          <w:tab w:val="left" w:pos="1418"/>
        </w:tabs>
        <w:jc w:val="both"/>
        <w:rPr>
          <w:rFonts w:ascii="Times New Roman" w:hAnsi="Times New Roman" w:cs="Times New Roman"/>
          <w:sz w:val="24"/>
          <w:szCs w:val="24"/>
          <w:lang w:val="lt-LT"/>
        </w:rPr>
      </w:pPr>
      <w:r w:rsidRPr="00D03619">
        <w:rPr>
          <w:rFonts w:ascii="Times New Roman" w:hAnsi="Times New Roman" w:cs="Times New Roman"/>
          <w:bCs/>
          <w:sz w:val="24"/>
          <w:szCs w:val="24"/>
          <w:lang w:val="lt-LT"/>
        </w:rPr>
        <w:tab/>
        <w:t xml:space="preserve">12. Jei vienetų grupės vienetas reorganizuojamas PMĮ 41 straipsnyje nustatytais atvejais, ir įsigyjantysis vienetas neperima kito vieneto nuostolių, apskaičiuotų </w:t>
      </w:r>
      <w:r w:rsidRPr="00D03619">
        <w:rPr>
          <w:rFonts w:ascii="Times New Roman" w:hAnsi="Times New Roman" w:cs="Times New Roman"/>
          <w:sz w:val="24"/>
          <w:szCs w:val="24"/>
          <w:lang w:val="lt-LT"/>
        </w:rPr>
        <w:t xml:space="preserve">nuo mokestinio laikotarpio, kurį įvyko reorganizavimas pradžios iki reorganizavimo pabaigos, tai toks vienetas gali perduoti šio mokestinio laikotarpio nuostolius kitam tos vienetų grupės vienetui, jei nuostolių perdavimo dieną tenkinamos komentuojamos dalies 1 ir 2 punktuose nustatytos sąlygos. </w:t>
      </w:r>
    </w:p>
    <w:p w14:paraId="00FD8447" w14:textId="77777777" w:rsidR="007B24A1" w:rsidRPr="00D03619" w:rsidRDefault="007B24A1" w:rsidP="007B24A1">
      <w:pPr>
        <w:ind w:firstLine="720"/>
        <w:jc w:val="both"/>
        <w:rPr>
          <w:bCs/>
          <w:lang w:val="lt-LT"/>
        </w:rPr>
      </w:pPr>
      <w:r w:rsidRPr="00D03619">
        <w:rPr>
          <w:bCs/>
          <w:lang w:val="lt-LT"/>
        </w:rPr>
        <w:t>13. Jei dėl nuostolius perimančio ir perduodančio vienetų mokestinių laikotarpių skirtumo, atitinkamo mokestinio laikotarpio nuostolius vienetas perduoda nuostolius perimančiam vienetui pasibaigus jo metinės pelno mokesčio deklaracijos pateikimo terminui, tai tuos nuostolius perėmęs vienetas turi perskaičiuoti pelno mokestį ir pateikti patikslintą to mokestinio laikotarpio metinę pelno mokesčio deklaraciją.</w:t>
      </w:r>
    </w:p>
    <w:p w14:paraId="18C83B76" w14:textId="77777777" w:rsidR="007B24A1" w:rsidRPr="00D03619" w:rsidRDefault="007B24A1" w:rsidP="007B24A1">
      <w:pPr>
        <w:ind w:firstLine="720"/>
        <w:jc w:val="both"/>
        <w:rPr>
          <w:lang w:val="lt-LT"/>
        </w:rPr>
      </w:pPr>
      <w:r w:rsidRPr="00D03619">
        <w:rPr>
          <w:bCs/>
          <w:lang w:val="lt-LT"/>
        </w:rPr>
        <w:t xml:space="preserve">Nuostolius perduodantis vienetas gali perduoti už mokestinį laikotarpį apskaičiuotus mokestinius nuostolius (ar jų dalį) kitam vienetų grupės vienetui, kuris tais nuostoliais turi teisę sumažinti apmokestinamąjį pelną, apskaičiuotą už tą mokestinį laikotarpį, už kurį buvo apskaičiuoti jam kito vieneto perduodami nuostoliai (ar jų dalis). Todėl nuostoliai turi būti perduodami ne anksčiau kaip pasibaigus juos perduodančio ir priimančio vieneto mokestiniams laikotarpiams. </w:t>
      </w:r>
    </w:p>
    <w:p w14:paraId="549DE307" w14:textId="77777777" w:rsidR="007B24A1" w:rsidRPr="00D03619" w:rsidRDefault="007B24A1" w:rsidP="007B24A1">
      <w:pPr>
        <w:ind w:firstLine="720"/>
        <w:jc w:val="both"/>
        <w:rPr>
          <w:lang w:val="lt-LT"/>
        </w:rPr>
      </w:pPr>
      <w:r w:rsidRPr="00D03619">
        <w:rPr>
          <w:lang w:val="lt-LT"/>
        </w:rPr>
        <w:t>Pavyzdys</w:t>
      </w:r>
    </w:p>
    <w:p w14:paraId="481B5B9F" w14:textId="77777777" w:rsidR="007B24A1" w:rsidRPr="00B239F2" w:rsidRDefault="007B24A1" w:rsidP="007B24A1">
      <w:pPr>
        <w:pBdr>
          <w:top w:val="single" w:sz="4" w:space="1" w:color="auto"/>
          <w:left w:val="single" w:sz="4" w:space="4" w:color="auto"/>
          <w:bottom w:val="single" w:sz="4" w:space="1" w:color="auto"/>
          <w:right w:val="single" w:sz="4" w:space="4" w:color="auto"/>
        </w:pBdr>
        <w:ind w:firstLine="720"/>
        <w:jc w:val="both"/>
        <w:rPr>
          <w:lang w:val="lt-LT"/>
        </w:rPr>
      </w:pPr>
      <w:r w:rsidRPr="00B239F2">
        <w:rPr>
          <w:lang w:val="lt-LT"/>
        </w:rPr>
        <w:t xml:space="preserve">UAB „A“, kurios mokestinis laikotarpis prasideda spalio 1 d. ir baigiasi kitų metų rugsėjo 30 d., apskaičiavo 150 000 Eur 2025 mokestinių metų nuostolių, kuriuos 2026 m. vasario mėn. deklaravo metinėje pelno mokesčio deklaracijoje. 2027 m. vasario 15 d. UAB „A“ sudarė rašytinį susitarimą su įmone UAB „B“, pagal kurį dukterinė įmonė UAB „A“ perduoda apskaičiuotus 2025 m. mokestinio laikotarpio nuostolius patronuojančiai įmonei UAB „B“. Nuostoliai UAB „B“ buvo perduoti 2027 m. </w:t>
      </w:r>
      <w:r w:rsidRPr="00B239F2">
        <w:rPr>
          <w:lang w:val="lt-LT"/>
        </w:rPr>
        <w:lastRenderedPageBreak/>
        <w:t>kovo 15 d. Kadangi patronuojančios įmonės</w:t>
      </w:r>
      <w:r w:rsidRPr="00B239F2">
        <w:rPr>
          <w:bCs/>
          <w:lang w:val="lt-LT"/>
        </w:rPr>
        <w:t xml:space="preserve"> </w:t>
      </w:r>
      <w:r w:rsidRPr="00B239F2">
        <w:rPr>
          <w:lang w:val="lt-LT"/>
        </w:rPr>
        <w:t xml:space="preserve">mokestinis laikotarpis - kalendoriniai metai, tai ji </w:t>
      </w:r>
      <w:r w:rsidRPr="00B239F2">
        <w:rPr>
          <w:bCs/>
          <w:lang w:val="lt-LT"/>
        </w:rPr>
        <w:t xml:space="preserve">2025 mokestinių metų pelno mokesčio deklaraciją pateikė 2026 metais (pagal PMĮ 51 str. 2 dalyje nustatytą metinės pelno mokesčio deklaracijos pateikimo terminą). Patronuojanti įmonė </w:t>
      </w:r>
      <w:r w:rsidRPr="00B239F2">
        <w:rPr>
          <w:lang w:val="lt-LT"/>
        </w:rPr>
        <w:t xml:space="preserve">UAB „B“ iš dukterinės įmonės UAB ‚A“ perimtais 2025 m. mokestinio laikotarpio nuostoliais gali sumažinti šio mokestinio laikotarpio apmokestinamąjį pelną, pateikdama patikslintą šio mokestinio laikotarpio metinę pelno mokesčio deklaraciją, </w:t>
      </w:r>
      <w:r w:rsidRPr="00B239F2">
        <w:rPr>
          <w:bCs/>
          <w:lang w:val="lt-LT"/>
        </w:rPr>
        <w:t xml:space="preserve">su sąlyga, kad bus tenkinami PMĮ </w:t>
      </w:r>
      <w:r w:rsidRPr="00B239F2">
        <w:rPr>
          <w:lang w:val="lt-LT"/>
        </w:rPr>
        <w:t>56</w:t>
      </w:r>
      <w:r w:rsidRPr="00B239F2">
        <w:rPr>
          <w:vertAlign w:val="superscript"/>
          <w:lang w:val="lt-LT"/>
        </w:rPr>
        <w:t>1</w:t>
      </w:r>
      <w:r w:rsidRPr="00B239F2">
        <w:rPr>
          <w:lang w:val="lt-LT"/>
        </w:rPr>
        <w:t xml:space="preserve"> straipsnio reikalavimai. </w:t>
      </w:r>
    </w:p>
    <w:p w14:paraId="5C96BD46" w14:textId="77777777" w:rsidR="007B24A1" w:rsidRPr="00D03619" w:rsidRDefault="007B24A1" w:rsidP="007B24A1">
      <w:pPr>
        <w:ind w:firstLine="720"/>
        <w:jc w:val="both"/>
        <w:rPr>
          <w:lang w:val="lt-LT"/>
        </w:rPr>
      </w:pPr>
      <w:r w:rsidRPr="00D03619">
        <w:rPr>
          <w:lang w:val="lt-LT"/>
        </w:rPr>
        <w:t>14. Jei naujas įregistruotas vienetų grupės vienetas, pasinaudojęs nuostolių perdavimo – perėmimo galimybe, nustatyta šios dalies 3 punkte (t.</w:t>
      </w:r>
      <w:r>
        <w:rPr>
          <w:lang w:val="lt-LT"/>
        </w:rPr>
        <w:t xml:space="preserve"> </w:t>
      </w:r>
      <w:r w:rsidRPr="00D03619">
        <w:rPr>
          <w:lang w:val="lt-LT"/>
        </w:rPr>
        <w:t xml:space="preserve">y. galimybe perimti nuostolius iki jų perėmimo dienos neišbuvus vienetų grupėje du metus be pertraukų), nepraėjus dviem metams nuo jo įregistravimo dienos jau nėra tos vienetų grupės vienetas, tai tokiu atveju nuostolius perėmęs vienetas turi patikslinti pelno mokesčio deklaraciją to mokestinio laikotarpio, kurio apmokestinamasis pelnas buvo sumažintas jam perduotais buvusio tos vienetų grupės vieneto nuostoliais. Šios nuostatos taikomos ir tuo atveju, kai nuostolius perėmęs vienetas neišbuvęs vienetų grupėje dvejus metus, skaičiuojant nuo jo įregistravimo dienos, yra likviduotas. </w:t>
      </w:r>
    </w:p>
    <w:p w14:paraId="1DE81075" w14:textId="77777777" w:rsidR="007B24A1" w:rsidRPr="00B239F2" w:rsidRDefault="007B24A1" w:rsidP="007B24A1">
      <w:pPr>
        <w:ind w:firstLine="720"/>
        <w:jc w:val="both"/>
        <w:rPr>
          <w:color w:val="000000"/>
          <w:shd w:val="clear" w:color="auto" w:fill="FFFFFF"/>
          <w:lang w:val="lt-LT"/>
        </w:rPr>
      </w:pPr>
      <w:r w:rsidRPr="004B5924">
        <w:rPr>
          <w:lang w:val="lt-LT"/>
        </w:rPr>
        <w:t xml:space="preserve">15. Vienetas, taikantis PMĮ 56-1 straipsnio nuostatas, turi turėti įrodymus, pagrindžiančius vienetų grupės struktūrą, patronuojančio vieneto tiesiogiai ar netiesiogiai valdomų dukterinių vienetų nepertraukiamo valdymo laikotarpį, akcijų paketo dydį. Svarbu, kad iš dokumentų galima būtų nustatyti, </w:t>
      </w:r>
      <w:r w:rsidRPr="00D36471">
        <w:rPr>
          <w:lang w:val="lt-LT"/>
        </w:rPr>
        <w:t>kad mokestiniai nuostoliai perduodami tarp vienetų grupės vienetų, o</w:t>
      </w:r>
      <w:r w:rsidRPr="004B5924">
        <w:rPr>
          <w:lang w:val="lt-LT"/>
        </w:rPr>
        <w:t xml:space="preserve"> patronuojantis vienetas </w:t>
      </w:r>
      <w:r w:rsidRPr="00B239F2">
        <w:rPr>
          <w:bCs/>
          <w:color w:val="000000" w:themeColor="text1"/>
          <w:lang w:val="lt-LT"/>
        </w:rPr>
        <w:t>mokestinio laikotarpio, už kurį apskaičiuoti mokestiniai nuostoliai perduodami, paskutinę dieną</w:t>
      </w:r>
      <w:r w:rsidRPr="00B239F2">
        <w:rPr>
          <w:color w:val="000000" w:themeColor="text1"/>
        </w:rPr>
        <w:t>, įskaitant</w:t>
      </w:r>
      <w:r w:rsidRPr="00B239F2">
        <w:rPr>
          <w:bCs/>
          <w:lang w:val="lt-LT"/>
        </w:rPr>
        <w:t xml:space="preserve"> </w:t>
      </w:r>
      <w:r w:rsidRPr="00B239F2">
        <w:rPr>
          <w:lang w:val="lt-LT"/>
        </w:rPr>
        <w:t xml:space="preserve">nuostolių perdavimo dieną tiesiogiai arba netiesiogiai  valdė ne mažiau kaip 2/3 nuostolių perdavime dalyvaujančių dukterinių vienetų akcijų (dalių, pajų) ar kitų teisių į paskirstytinojo pelno dalį </w:t>
      </w:r>
      <w:r w:rsidRPr="00B239F2">
        <w:rPr>
          <w:color w:val="000000"/>
          <w:shd w:val="clear" w:color="auto" w:fill="FFFFFF"/>
          <w:lang w:val="lt-LT"/>
        </w:rPr>
        <w:t>arba mokestinius nuostolius perduoda ar perima vienetų grupės vienetas (vienetai), kuris (kurie) toje grupėje yra nuo jo (jų) įregistravimo dienos ir bus vienetų grupėje be pertraukų ne trumpiau kaip dvejus metus skaičiuojant nuo jo (jų) įregistravimo dienos.</w:t>
      </w:r>
    </w:p>
    <w:p w14:paraId="6ACC0CCD" w14:textId="77777777" w:rsidR="007B24A1" w:rsidRPr="00D03619" w:rsidRDefault="007B24A1" w:rsidP="007B24A1">
      <w:pPr>
        <w:pStyle w:val="prastasiniatinklio"/>
        <w:spacing w:before="0" w:beforeAutospacing="0" w:after="0" w:afterAutospacing="0"/>
        <w:ind w:firstLine="720"/>
        <w:jc w:val="both"/>
      </w:pPr>
      <w:r w:rsidRPr="00D03619">
        <w:t xml:space="preserve">Pavyzdžiui, </w:t>
      </w:r>
      <w:r w:rsidRPr="00B239F2">
        <w:rPr>
          <w:bCs/>
          <w:color w:val="000000" w:themeColor="text1"/>
          <w:lang w:eastAsia="en-US"/>
        </w:rPr>
        <w:t>jei vienetų grupėje yra užsienio vienetų, tai</w:t>
      </w:r>
      <w:r w:rsidRPr="00B239F2">
        <w:rPr>
          <w:rFonts w:ascii="Trebuchet MS" w:hAnsi="Trebuchet MS"/>
          <w:color w:val="FF0000"/>
        </w:rPr>
        <w:t xml:space="preserve"> </w:t>
      </w:r>
      <w:r w:rsidRPr="00D03619">
        <w:t xml:space="preserve">dokumentai, iš kurių galima nustatyti, kokią akcijų dalį ir kiek laiko užsienio vienetas turėjo nuosavybės teise kitame užsienio vienete, gali būti patvirtinti užsienio valstybių įmonių, komercinio ar kitokio atitinkamo registro atitinkamas išrašais, ar to užsienio vieneto arba jo akcijų tvarkytojo surašytas atitinkamas dokumentas. Reikalinga informacija taip pat gali būti pateikiama nuostolių perdavimo susitarime ar kitame nuostolių perdavimo – priėmimo dokumente, patvirtintame vienetų vadovų ar kitų atsakingų asmenų parašais. </w:t>
      </w:r>
    </w:p>
    <w:p w14:paraId="31140C6F" w14:textId="4F2723FC" w:rsidR="007B24A1" w:rsidRDefault="007B24A1" w:rsidP="007B24A1">
      <w:pPr>
        <w:ind w:firstLine="720"/>
        <w:jc w:val="both"/>
        <w:rPr>
          <w:lang w:val="lt-LT"/>
        </w:rPr>
      </w:pPr>
      <w:r w:rsidRPr="00D03619">
        <w:rPr>
          <w:lang w:val="lt-LT"/>
        </w:rPr>
        <w:t>Mokesčių administratoriui pareikalavus, minėti dokumentai turi būti išversti į lietuvių kalbą, o vertimas patvirtintas vertėjo parašu ir spaudu.</w:t>
      </w:r>
    </w:p>
    <w:p w14:paraId="770258A4" w14:textId="300F8231" w:rsidR="008671EF" w:rsidRDefault="008671EF" w:rsidP="008671EF">
      <w:r>
        <w:rPr>
          <w:lang w:val="lt-LT"/>
        </w:rPr>
        <w:tab/>
        <w:t xml:space="preserve">(Pakeista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bookmarkEnd w:id="601"/>
    <w:p w14:paraId="0BC37843" w14:textId="77777777" w:rsidR="00E050F1" w:rsidRDefault="00E050F1" w:rsidP="00CE3A46">
      <w:pPr>
        <w:jc w:val="both"/>
        <w:rPr>
          <w:b/>
          <w:bCs/>
          <w:lang w:val="lt-LT"/>
        </w:rPr>
      </w:pPr>
    </w:p>
    <w:p w14:paraId="64E964B9" w14:textId="77777777" w:rsidR="00093845" w:rsidRDefault="000D779E">
      <w:pPr>
        <w:ind w:firstLine="720"/>
        <w:jc w:val="both"/>
        <w:rPr>
          <w:b/>
          <w:bCs/>
          <w:lang w:val="lt-LT"/>
        </w:rPr>
      </w:pPr>
      <w:r>
        <w:rPr>
          <w:b/>
          <w:bCs/>
          <w:lang w:val="lt-LT"/>
        </w:rPr>
        <w:t>2. Šiame straipsnyje nustatyta tvarka perduotais mokestiniais nuostoliais, patirtais dėl vertybinių popierių ir (arba) išvestinių finansinių priemonių perleidimo, gali būti sumažinta tik iš vertybinių popierių ir (arba) išvestinių finansinių priemonių perleidimo veiklos apskaičiuota apmokestinamojo pelno suma.</w:t>
      </w:r>
    </w:p>
    <w:p w14:paraId="68CA0ADC" w14:textId="77777777" w:rsidR="00093845" w:rsidRDefault="000D779E">
      <w:pPr>
        <w:ind w:firstLine="720"/>
        <w:jc w:val="both"/>
        <w:rPr>
          <w:b/>
          <w:bCs/>
          <w:lang w:val="lt-LT"/>
        </w:rPr>
      </w:pPr>
      <w:r>
        <w:rPr>
          <w:b/>
          <w:bCs/>
          <w:lang w:val="lt-LT"/>
        </w:rPr>
        <w:t>Komentaras</w:t>
      </w:r>
    </w:p>
    <w:p w14:paraId="2A0F8B37" w14:textId="77777777" w:rsidR="00093845" w:rsidRDefault="000D779E">
      <w:pPr>
        <w:ind w:firstLine="720"/>
        <w:jc w:val="both"/>
        <w:rPr>
          <w:bCs/>
          <w:lang w:val="lt-LT"/>
        </w:rPr>
      </w:pPr>
      <w:r>
        <w:rPr>
          <w:lang w:val="lt-LT"/>
        </w:rPr>
        <w:t xml:space="preserve">Tarp vienetų grupės vienetų leidžiama perduoti mokestinio laikotarpio nuostolius, patirtus dėl vertybinių popierių ir (arba) išvestinių finansinių priemonių perleidimo, tačiau tokie nuostoliai gali būti atskaitomi tik iš juos perimančio </w:t>
      </w:r>
      <w:r>
        <w:rPr>
          <w:bCs/>
          <w:lang w:val="lt-LT"/>
        </w:rPr>
        <w:t>vieneto vertybinių popierių ir (arba) išvestinių finansinių priemonių perleidimo veiklos apskaičiuotos apmokestinamojo pelno sumos.</w:t>
      </w:r>
    </w:p>
    <w:p w14:paraId="315C8909" w14:textId="77777777" w:rsidR="00093845" w:rsidRDefault="000D779E">
      <w:pPr>
        <w:pStyle w:val="prastasiniatinklio"/>
        <w:spacing w:before="0" w:beforeAutospacing="0" w:after="0" w:afterAutospacing="0"/>
        <w:ind w:firstLine="720"/>
        <w:jc w:val="both"/>
      </w:pPr>
      <w:r>
        <w:lastRenderedPageBreak/>
        <w:t xml:space="preserve">Jei nuostoliai apskaičiuojami perleidus PMĮ 12 str. 15 punkte nurodytas akcijas, tai šie nuostoliai negali būti perduodami kitam vienetų grupės vienetui (jie gali būti pripažįstami leidžiamais atskaitymais tik PMĮ 30 str. 2 dalyje numatyta tvarka; žr. PMĮ 30 str. 2 dalies komentarą). </w:t>
      </w:r>
    </w:p>
    <w:p w14:paraId="4601DFC2" w14:textId="77777777" w:rsidR="007D4649" w:rsidRDefault="007D4649">
      <w:pPr>
        <w:pStyle w:val="prastasiniatinklio"/>
        <w:spacing w:before="0" w:beforeAutospacing="0" w:after="0" w:afterAutospacing="0"/>
        <w:ind w:firstLine="720"/>
        <w:jc w:val="both"/>
      </w:pPr>
    </w:p>
    <w:p w14:paraId="50F1E5E0" w14:textId="77777777" w:rsidR="007D4649" w:rsidRPr="00B50454" w:rsidRDefault="007D4649" w:rsidP="007D4649">
      <w:pPr>
        <w:ind w:firstLine="720"/>
        <w:jc w:val="both"/>
        <w:rPr>
          <w:b/>
          <w:bCs/>
        </w:rPr>
      </w:pPr>
      <w:r w:rsidRPr="00B50454">
        <w:rPr>
          <w:b/>
          <w:bCs/>
          <w:color w:val="000000"/>
        </w:rPr>
        <w:t>2</w:t>
      </w:r>
      <w:r w:rsidRPr="00B50454">
        <w:rPr>
          <w:b/>
          <w:bCs/>
          <w:color w:val="000000"/>
          <w:vertAlign w:val="superscript"/>
        </w:rPr>
        <w:t>1</w:t>
      </w:r>
      <w:r w:rsidRPr="00B50454">
        <w:rPr>
          <w:b/>
          <w:bCs/>
        </w:rPr>
        <w:t>. Šiame straipsnyje nustatyta tvarka perduotų mokestinių nuostolių, patirtų dėl turto naudojimo, pardavimo ar kitokio perleidimo nuosavybėn ir apskaičiuotų pagal šio Įstatymo 5 straipsnio 9 dalyje nustatytą formulę, suma gali būti sumažinta tik pagal šio Įstatymo 5 straipsnio 9 dalyje nustatytą formulę apskaičiuoto apmokestinamojo pelno suma.</w:t>
      </w:r>
    </w:p>
    <w:p w14:paraId="6B0C9864" w14:textId="77777777" w:rsidR="00B27506" w:rsidRPr="00B50454" w:rsidRDefault="00B27506" w:rsidP="00B27506">
      <w:pPr>
        <w:jc w:val="both"/>
        <w:rPr>
          <w:i/>
          <w:iCs/>
        </w:rPr>
      </w:pPr>
      <w:r>
        <w:rPr>
          <w:i/>
          <w:iCs/>
        </w:rPr>
        <w:t>(P</w:t>
      </w:r>
      <w:r w:rsidRPr="00B50454">
        <w:rPr>
          <w:i/>
          <w:iCs/>
        </w:rPr>
        <w:t>agal 2019 m. gruodžio 17 d. įstatymo Nr. XIII-2694 redakciją; taikoma apskaičiuojant 2020 metais prasidėjusio ir vėlesnių mokestinių laikotarpių</w:t>
      </w:r>
      <w:r w:rsidRPr="00B50454">
        <w:t xml:space="preserve"> </w:t>
      </w:r>
      <w:r w:rsidRPr="00B50454">
        <w:rPr>
          <w:i/>
          <w:iCs/>
        </w:rPr>
        <w:t>apmokestinamąjį pelną)</w:t>
      </w:r>
    </w:p>
    <w:p w14:paraId="5D3F223F" w14:textId="77777777" w:rsidR="007D4649" w:rsidRPr="00B50454" w:rsidRDefault="007D4649" w:rsidP="007D4649">
      <w:pPr>
        <w:ind w:firstLine="720"/>
        <w:jc w:val="both"/>
        <w:rPr>
          <w:b/>
          <w:bCs/>
        </w:rPr>
      </w:pPr>
      <w:r w:rsidRPr="00B50454">
        <w:rPr>
          <w:b/>
          <w:bCs/>
        </w:rPr>
        <w:t>Komentaras</w:t>
      </w:r>
    </w:p>
    <w:p w14:paraId="5A11B6B5" w14:textId="77777777" w:rsidR="007D4649" w:rsidRPr="00B50454" w:rsidRDefault="007D4649" w:rsidP="007D4649">
      <w:pPr>
        <w:ind w:firstLine="720"/>
        <w:jc w:val="both"/>
      </w:pPr>
      <w:r w:rsidRPr="00B50454">
        <w:t>Tarp vienetų grupės vienetų leidžiama perduoti mokestinio laikotarpio nuostolius, patirtus dėl turto naudojimo, pardavimo ar kitokio perleidimo nuosavybėn, apskaičiuotus pagal PMĮ 5 straipsnio 9 dalyje nustatytą formulę, tačiau tokie nuostoliai gali būti atskaitomi tik iš juos perimančio vieneto pagal PMĮ 5 straipsnio 9 dalyje nustatytą formulę apskaičiuoto apmokestinamojo pelno sumos.</w:t>
      </w:r>
    </w:p>
    <w:p w14:paraId="749B2633" w14:textId="77777777" w:rsidR="007D4649" w:rsidRPr="007D4649" w:rsidRDefault="00B27506" w:rsidP="0045500F">
      <w:pPr>
        <w:spacing w:before="100" w:beforeAutospacing="1" w:after="100" w:afterAutospacing="1"/>
        <w:jc w:val="both"/>
      </w:pPr>
      <w:r>
        <w:rPr>
          <w:bCs/>
        </w:rPr>
        <w:t xml:space="preserve">            </w:t>
      </w:r>
      <w:r w:rsidR="007D4649">
        <w:rPr>
          <w:bCs/>
        </w:rPr>
        <w:t>(</w:t>
      </w:r>
      <w:r w:rsidR="007D4649" w:rsidRPr="007D4649">
        <w:rPr>
          <w:bCs/>
        </w:rPr>
        <w:t>Pakeista pagal VMI prie FM 2020-04-01 raštą Nr. (32.42-31-1E)-RM-10702)</w:t>
      </w:r>
    </w:p>
    <w:p w14:paraId="7F157AAB" w14:textId="77777777" w:rsidR="00093845" w:rsidRDefault="000D779E">
      <w:pPr>
        <w:ind w:firstLine="720"/>
        <w:jc w:val="both"/>
        <w:rPr>
          <w:b/>
          <w:bCs/>
          <w:lang w:val="lt-LT"/>
        </w:rPr>
      </w:pPr>
      <w:r>
        <w:rPr>
          <w:b/>
          <w:bCs/>
          <w:lang w:val="lt-LT"/>
        </w:rPr>
        <w:t>3. Šiame straipsnyje nustatyta tvarka perduotų mokestinių nuostolių juos perdavęs vienetas negali priskirti ribojamų dydžių leidžiamiems atskaitymams šio Įstatymo 30 straipsnyje nustatyta tvarka.</w:t>
      </w:r>
    </w:p>
    <w:p w14:paraId="760FF3F8" w14:textId="77777777" w:rsidR="00093845" w:rsidRDefault="000D779E">
      <w:pPr>
        <w:ind w:firstLine="720"/>
        <w:jc w:val="both"/>
        <w:rPr>
          <w:b/>
          <w:bCs/>
          <w:lang w:val="lt-LT"/>
        </w:rPr>
      </w:pPr>
      <w:r>
        <w:rPr>
          <w:b/>
          <w:bCs/>
          <w:lang w:val="lt-LT"/>
        </w:rPr>
        <w:t>Komentaras</w:t>
      </w:r>
    </w:p>
    <w:p w14:paraId="5D0F690D" w14:textId="77777777" w:rsidR="00093845" w:rsidRDefault="000D779E">
      <w:pPr>
        <w:ind w:firstLine="720"/>
        <w:jc w:val="both"/>
        <w:rPr>
          <w:lang w:val="lt-LT"/>
        </w:rPr>
      </w:pPr>
      <w:r>
        <w:rPr>
          <w:lang w:val="lt-LT"/>
        </w:rPr>
        <w:t xml:space="preserve">Jei vienetas kitam vienetų grupės vienetui perduoda mokestinio laikotarpio nuostolius, tai jis perduotų nuostolių negali perkelti į kitus mokestinius laikotarpius PMĮ 30 straipsnyje nustatyta tvarka. </w:t>
      </w:r>
    </w:p>
    <w:p w14:paraId="333E1095" w14:textId="77777777" w:rsidR="00093845" w:rsidRDefault="000D779E">
      <w:pPr>
        <w:ind w:firstLine="720"/>
        <w:jc w:val="both"/>
        <w:rPr>
          <w:lang w:val="lt-LT"/>
        </w:rPr>
      </w:pPr>
      <w:r>
        <w:rPr>
          <w:lang w:val="lt-LT"/>
        </w:rPr>
        <w:t xml:space="preserve">Šio straipsnio nuostatos nedraudžia Lietuvos vienetui perduoti mokestinio laikotarpio nuostolių vienetų grupei priklausančiam užsienio valstybės vienetui, jeigu tai leidžiama pagal tos užsienio valstybės teisės aktus. Jei užsienio vienetas perima iš Lietuvos vieneto mokestinio laikotarpio nuostolius, tai Lietuvos vienetas užsienio vienetui perduotų nuostolių negali perkelti į kitus mokestinius laikotarpius PMĮ 30 straipsnyje nustatyta tvarka. </w:t>
      </w:r>
    </w:p>
    <w:p w14:paraId="6F0EFD71" w14:textId="77777777" w:rsidR="00093845" w:rsidRDefault="00093845">
      <w:pPr>
        <w:ind w:firstLine="720"/>
        <w:jc w:val="both"/>
        <w:rPr>
          <w:b/>
          <w:bCs/>
          <w:lang w:val="lt-LT"/>
        </w:rPr>
      </w:pPr>
    </w:p>
    <w:p w14:paraId="2D1DC5AC" w14:textId="77777777" w:rsidR="00093845" w:rsidRDefault="000D779E">
      <w:pPr>
        <w:ind w:firstLine="720"/>
        <w:jc w:val="both"/>
        <w:rPr>
          <w:b/>
          <w:bCs/>
          <w:lang w:val="lt-LT"/>
        </w:rPr>
      </w:pPr>
      <w:r>
        <w:rPr>
          <w:b/>
          <w:bCs/>
          <w:lang w:val="lt-LT"/>
        </w:rPr>
        <w:t>4. Šiame straipsnyje nustatyta tvarka užsienio vienetas Lietuvos vienetui mokestinius nuostolius (ar jų dalį) gali perduoti tik tuo atveju, jeigu:</w:t>
      </w:r>
    </w:p>
    <w:p w14:paraId="6A35276E" w14:textId="77777777" w:rsidR="00093845" w:rsidRDefault="000D7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lang w:val="lt-LT" w:bidi="hi-IN"/>
        </w:rPr>
      </w:pPr>
      <w:r>
        <w:rPr>
          <w:b/>
          <w:bCs/>
          <w:lang w:val="lt-LT"/>
        </w:rPr>
        <w:t xml:space="preserve">1) užsienio vienetas yra </w:t>
      </w:r>
      <w:r>
        <w:rPr>
          <w:b/>
          <w:bCs/>
          <w:lang w:val="lt-LT" w:bidi="hi-IN"/>
        </w:rPr>
        <w:t>Europos Sąjungos valstybės narės rezidentas mokesčių tikslais, Europos Sąjungos valstybėje narėje turintis verslo organizavimo formą, nurodytą Direktyvos 90/434/EB priede, ir esantis Direktyvos 90/434/EB 3 straipsnio c punkte nustatyto mokesčio mokėtojas</w:t>
      </w:r>
      <w:r>
        <w:rPr>
          <w:b/>
          <w:bCs/>
          <w:lang w:val="lt-LT"/>
        </w:rPr>
        <w:t>, ir</w:t>
      </w:r>
    </w:p>
    <w:p w14:paraId="14369FE6" w14:textId="77777777" w:rsidR="00093845" w:rsidRDefault="000D779E">
      <w:pPr>
        <w:ind w:firstLine="720"/>
        <w:jc w:val="both"/>
        <w:rPr>
          <w:b/>
          <w:bCs/>
          <w:lang w:val="lt-LT"/>
        </w:rPr>
      </w:pPr>
      <w:r>
        <w:rPr>
          <w:b/>
          <w:bCs/>
          <w:lang w:val="lt-LT"/>
        </w:rPr>
        <w:t xml:space="preserve">2) užsienio vieneto perduodami mokestiniai nuostoliai negali būti perkeliami į kitus jo mokestinius metus (ar atskaitomi iš jo pajamų (pelno) pagal </w:t>
      </w:r>
      <w:r>
        <w:rPr>
          <w:b/>
          <w:bCs/>
          <w:lang w:val="lt-LT" w:bidi="hi-IN"/>
        </w:rPr>
        <w:t xml:space="preserve">Europos Sąjungos </w:t>
      </w:r>
      <w:r>
        <w:rPr>
          <w:b/>
          <w:bCs/>
          <w:lang w:val="lt-LT"/>
        </w:rPr>
        <w:t>valstybės narės, kurios rezidentas mokesčių tikslais yra nuostolius perduodantis užsienio vienetas, teisės aktų reikalavimus, ir</w:t>
      </w:r>
    </w:p>
    <w:p w14:paraId="0EA0F47A" w14:textId="77777777" w:rsidR="00093845" w:rsidRDefault="000D779E">
      <w:pPr>
        <w:ind w:firstLine="720"/>
        <w:jc w:val="both"/>
        <w:rPr>
          <w:b/>
          <w:bCs/>
          <w:lang w:val="lt-LT"/>
        </w:rPr>
      </w:pPr>
      <w:r>
        <w:rPr>
          <w:b/>
          <w:bCs/>
          <w:lang w:val="lt-LT"/>
        </w:rPr>
        <w:t>3) užsienio vieneto perduodami mokestiniai nuostoliai yra apskaičiuoti (perskaičiuoti) pagal šio Įstatymo nuostatas.</w:t>
      </w:r>
    </w:p>
    <w:p w14:paraId="4FCFAF75" w14:textId="77777777" w:rsidR="00093845" w:rsidRDefault="000D779E">
      <w:pPr>
        <w:ind w:firstLine="720"/>
        <w:jc w:val="both"/>
        <w:rPr>
          <w:b/>
          <w:bCs/>
          <w:lang w:val="lt-LT"/>
        </w:rPr>
      </w:pPr>
      <w:r>
        <w:rPr>
          <w:b/>
          <w:bCs/>
          <w:lang w:val="lt-LT"/>
        </w:rPr>
        <w:t>Komentaras</w:t>
      </w:r>
    </w:p>
    <w:p w14:paraId="6D8AEBC0" w14:textId="77777777" w:rsidR="00093845" w:rsidRDefault="000D779E">
      <w:pPr>
        <w:ind w:firstLine="720"/>
        <w:jc w:val="both"/>
        <w:rPr>
          <w:bCs/>
          <w:lang w:val="lt-LT"/>
        </w:rPr>
      </w:pPr>
      <w:r>
        <w:rPr>
          <w:bCs/>
          <w:lang w:val="lt-LT"/>
        </w:rPr>
        <w:lastRenderedPageBreak/>
        <w:t>1. Užsienio vienetas gali perduoti Lietuvos vienetui nuostolius, o pastarasis juos perimti pelno mokesčio tikslais, jeigu įvykdytos visos trys komentuojamos dalies 1-3 punktuose nustatytos sąlygos, t.y.:</w:t>
      </w:r>
    </w:p>
    <w:p w14:paraId="05831333" w14:textId="77777777" w:rsidR="00093845" w:rsidRDefault="000D779E">
      <w:pPr>
        <w:ind w:firstLine="720"/>
        <w:jc w:val="both"/>
        <w:rPr>
          <w:bCs/>
          <w:lang w:val="lt-LT" w:bidi="hi-IN"/>
        </w:rPr>
      </w:pPr>
      <w:r>
        <w:rPr>
          <w:bCs/>
          <w:lang w:val="lt-LT"/>
        </w:rPr>
        <w:t xml:space="preserve">1) toks užsienio vienetas yra </w:t>
      </w:r>
      <w:r>
        <w:rPr>
          <w:bCs/>
          <w:lang w:val="lt-LT" w:bidi="hi-IN"/>
        </w:rPr>
        <w:t xml:space="preserve">ES valstybės narės rezidentas mokesčių tikslais ir Europos Sąjungos valstybėje narėje turėti verslo organizavimo formą, nurodytą Direktyvos 90/434/EB priede, ir yra Direktyvos 90/434/EB 3 straipsnio c punkte nustatyto mokesčio mokėtojas. </w:t>
      </w:r>
    </w:p>
    <w:p w14:paraId="1084351E"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ES valstybėje narėje įregistruotas užsienio vienetas laikomas tos valstybės narės rezidentu mokesčių tikslais, jei jis tokiu laikomas pagal tos valstybės narės mokesčių įstatymus ir pagal sudarytas dvigubo apmokestinimo išvengimo sutartis.</w:t>
      </w:r>
    </w:p>
    <w:p w14:paraId="3AF66C1B" w14:textId="77777777" w:rsidR="00093845" w:rsidRDefault="000D779E">
      <w:pPr>
        <w:pStyle w:val="HTMLiankstoformatuotas"/>
        <w:tabs>
          <w:tab w:val="clear" w:pos="916"/>
          <w:tab w:val="left" w:pos="720"/>
          <w:tab w:val="left" w:pos="1077"/>
          <w:tab w:val="left" w:pos="1418"/>
        </w:tabs>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Direktyvą 90/434/EB</w:t>
      </w:r>
      <w:r>
        <w:rPr>
          <w:rFonts w:ascii="Times New Roman" w:hAnsi="Times New Roman" w:cs="Times New Roman"/>
          <w:bCs/>
          <w:sz w:val="24"/>
          <w:szCs w:val="24"/>
          <w:lang w:val="lt-LT"/>
        </w:rPr>
        <w:t xml:space="preserve"> galima rasti Europos Sąjungos portale (</w:t>
      </w:r>
      <w:hyperlink r:id="rId136" w:history="1">
        <w:r>
          <w:rPr>
            <w:rStyle w:val="Hipersaitas"/>
            <w:rFonts w:ascii="Times New Roman" w:hAnsi="Times New Roman" w:cs="Times New Roman"/>
            <w:b w:val="0"/>
            <w:color w:val="0000FF"/>
            <w:kern w:val="0"/>
            <w:u w:val="single"/>
            <w:lang w:val="lt-LT"/>
          </w:rPr>
          <w:t>http://europa.eu/documentation/legislation/index_lt.htm</w:t>
        </w:r>
      </w:hyperlink>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Direktyvos 90/434/EB</w:t>
      </w:r>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priede</w:t>
      </w:r>
      <w:r>
        <w:rPr>
          <w:rFonts w:ascii="Times New Roman" w:hAnsi="Times New Roman" w:cs="Times New Roman"/>
          <w:bCs/>
          <w:sz w:val="24"/>
          <w:szCs w:val="24"/>
          <w:lang w:val="lt-LT"/>
        </w:rPr>
        <w:t xml:space="preserve"> </w:t>
      </w:r>
      <w:r>
        <w:rPr>
          <w:rFonts w:ascii="Times New Roman" w:hAnsi="Times New Roman" w:cs="Times New Roman"/>
          <w:sz w:val="24"/>
          <w:szCs w:val="24"/>
          <w:lang w:val="lt-LT"/>
        </w:rPr>
        <w:t>išvardytos vienetų verslo organizavimo formos ir 3 straipsnio c punkte išvardyti mokesčiai taip pat pateikti PMĮ 41 str. 1 dalies komentare (žr. PMĮ 41 str. 1 dalies komentarą).</w:t>
      </w:r>
    </w:p>
    <w:p w14:paraId="1A9E2818" w14:textId="77777777" w:rsidR="00093845" w:rsidRDefault="000D779E">
      <w:pPr>
        <w:pStyle w:val="prastasiniatinklio"/>
        <w:spacing w:before="0" w:beforeAutospacing="0" w:after="0" w:afterAutospacing="0"/>
        <w:ind w:firstLine="720"/>
        <w:jc w:val="both"/>
      </w:pPr>
      <w:r>
        <w:t xml:space="preserve">Lietuvos vienetas turi turėti užsienio valstybės mokesčių administratoriaus patvirtintą dokumentą, įrodantį kad užsienio vienetas yra pelno mokesčio (ar jam tapataus mokesčio) mokėtojas. Šiame dokumente turi būti nurodomas užsienio vieneto pilnas pavadinimas, kodas ir patvirtinimas, kad tas užsienio vienetas yra mokesčių mokėtojas. </w:t>
      </w:r>
    </w:p>
    <w:p w14:paraId="4074E3DB" w14:textId="77777777" w:rsidR="00093845" w:rsidRDefault="00093845">
      <w:pPr>
        <w:pStyle w:val="prastasiniatinklio"/>
        <w:spacing w:before="0" w:beforeAutospacing="0" w:after="0" w:afterAutospacing="0"/>
        <w:ind w:firstLine="720"/>
        <w:jc w:val="both"/>
      </w:pPr>
    </w:p>
    <w:p w14:paraId="5F5618CE" w14:textId="77777777" w:rsidR="00093845" w:rsidRDefault="000D779E">
      <w:pPr>
        <w:ind w:firstLine="720"/>
        <w:jc w:val="both"/>
        <w:rPr>
          <w:bCs/>
          <w:lang w:val="lt-LT"/>
        </w:rPr>
      </w:pPr>
      <w:r>
        <w:rPr>
          <w:bCs/>
          <w:lang w:val="lt-LT"/>
        </w:rPr>
        <w:t xml:space="preserve">2) Lietuvos vienetas gali perimti iš užsienio vieneto apskaičiuotus mokestinio laikotarpio nuostolius tik tokiu atveju, jeigu pagal </w:t>
      </w:r>
      <w:r>
        <w:rPr>
          <w:bCs/>
          <w:lang w:val="lt-LT" w:bidi="hi-IN"/>
        </w:rPr>
        <w:t xml:space="preserve">ES </w:t>
      </w:r>
      <w:r>
        <w:rPr>
          <w:bCs/>
          <w:lang w:val="lt-LT"/>
        </w:rPr>
        <w:t xml:space="preserve">valstybės narės, kurios rezidentas mokesčių tikslais yra nuostolius perduodantis užsienio vienetas, teisės aktų reikalavimus tas vienetas šių nuostolių negali panaudoti: perkelti į kitus mokestinius laikotarpius arba atskaityti iš savo pajamų (pelno), t.y. buvo išnaudotos visos galimybės įskaityti nuostolius jo rezidavimo valstybėje. </w:t>
      </w:r>
    </w:p>
    <w:p w14:paraId="05028549" w14:textId="77777777" w:rsidR="00093845" w:rsidRDefault="000D779E">
      <w:pPr>
        <w:ind w:firstLine="720"/>
        <w:jc w:val="both"/>
        <w:rPr>
          <w:bCs/>
          <w:lang w:val="lt-LT"/>
        </w:rPr>
      </w:pPr>
      <w:r>
        <w:rPr>
          <w:bCs/>
          <w:lang w:val="lt-LT"/>
        </w:rPr>
        <w:t>Pavyzdžiai</w:t>
      </w:r>
    </w:p>
    <w:p w14:paraId="4CBFEAF4" w14:textId="77777777" w:rsidR="00093845" w:rsidRDefault="000D779E">
      <w:pPr>
        <w:pBdr>
          <w:top w:val="single" w:sz="4" w:space="1" w:color="auto"/>
          <w:left w:val="single" w:sz="4" w:space="1" w:color="auto"/>
          <w:bottom w:val="single" w:sz="4" w:space="1" w:color="auto"/>
          <w:right w:val="single" w:sz="4" w:space="1" w:color="auto"/>
        </w:pBdr>
        <w:ind w:firstLine="720"/>
        <w:jc w:val="both"/>
        <w:rPr>
          <w:lang w:val="lt-LT"/>
        </w:rPr>
      </w:pPr>
      <w:r>
        <w:rPr>
          <w:lang w:val="lt-LT"/>
        </w:rPr>
        <w:t>1. Užsienio valstybės įmonė „X“ apskaičiavo 2 mln. litų 2010 mokestinių metų veiklos nuostolių, kuriuos deklaravo tos užsienio valstybės mokesčių administratoriui. Pagal tos užsienio valstybės teisės aktus mokestinio laikotarpio nuostoliai gali būti perkeliami į kitus mokestinius laikotarpius, tačiau ne ilgiau kaip tris vienas po kito einančius mokestinius laikotarpius. Kadangi užsienio valstybės įmonė „X“ 2010 mokestinių metų nuostolius turi teisę perkelti į kitus mokestinius laikotarpius savo rezidavimo valstybėje, todėl šio mokestinio laikotarpio nuostoliai negali būti perduoti Lietuvos vienetui.</w:t>
      </w:r>
    </w:p>
    <w:p w14:paraId="79A57DA3" w14:textId="77777777" w:rsidR="00093845" w:rsidRDefault="000D779E">
      <w:pPr>
        <w:pBdr>
          <w:top w:val="single" w:sz="4" w:space="1" w:color="auto"/>
          <w:left w:val="single" w:sz="4" w:space="1" w:color="auto"/>
          <w:bottom w:val="single" w:sz="4" w:space="1" w:color="auto"/>
          <w:right w:val="single" w:sz="4" w:space="1" w:color="auto"/>
        </w:pBdr>
        <w:ind w:firstLine="720"/>
        <w:jc w:val="both"/>
        <w:rPr>
          <w:lang w:val="lt-LT"/>
        </w:rPr>
      </w:pPr>
      <w:r>
        <w:rPr>
          <w:lang w:val="lt-LT"/>
        </w:rPr>
        <w:t xml:space="preserve">2. 2011 m. prie užsienio vieneto „X“ buvo prijungtas kitas tos pačios užsienio valstybės vienetas „Y“ (abu šie vienetai – ES valstybių narių rezidentai mokesčių tikslais, jų teisinė forma akcinė bendrovė, abu jie yra pelno mokesčio mokėtojai ir prijungimas buvo atliekamas taip kaip apibrėžta PMĮ 41 str. 2 d. 1 punkte). Pagal tos užsienio valstybės teisės aktus įsigyjamojo vieneto (vieneto „ Y“) mokestinių laikotarpių nuostoliai gali būti perduodami įsigyjančiajam vienetui (šiuo atveju vienetui „X“), todėl užsienio vienetas „Y“ perduoti tai pačiai vienetų grupei priklausančiam Lietuvos vienetui atitinkamų mokestinių laikotarpių nuostolių negali. </w:t>
      </w:r>
    </w:p>
    <w:p w14:paraId="5CD1BEBD" w14:textId="77777777" w:rsidR="00093845" w:rsidRDefault="000D779E">
      <w:pPr>
        <w:ind w:firstLine="720"/>
        <w:jc w:val="both"/>
        <w:rPr>
          <w:lang w:val="lt-LT"/>
        </w:rPr>
      </w:pPr>
      <w:r>
        <w:rPr>
          <w:lang w:val="lt-LT"/>
        </w:rPr>
        <w:t xml:space="preserve">Užsienio vieneto nuolatinės buveinės Lietuvoje ar kitoje užsienio valstybėje nuostoliai negali būti tiesiogiai perduodami nei to užsienio vieneto dukteriniam vienetui Lietuvoje, nei bet kuriam kitam Lietuvos vienetui. Perduodant mokestinius nuostolius turi būti vertinamas viso vieneto, o ne jo atskirų padalinių, veiklos rezultatas. </w:t>
      </w:r>
    </w:p>
    <w:p w14:paraId="758F417B" w14:textId="77777777" w:rsidR="00093845" w:rsidRDefault="000D779E">
      <w:pPr>
        <w:ind w:firstLine="720"/>
        <w:jc w:val="both"/>
        <w:rPr>
          <w:bCs/>
          <w:lang w:val="lt-LT"/>
        </w:rPr>
      </w:pPr>
      <w:r>
        <w:rPr>
          <w:lang w:val="lt-LT"/>
        </w:rPr>
        <w:t xml:space="preserve">Lietuvos vienetas turi turėti užsienio valstybės vieneto patvirtinimą, kad pagal tos užsienio valstybės teisės aktus užsienio vienetas </w:t>
      </w:r>
      <w:r>
        <w:rPr>
          <w:bCs/>
          <w:lang w:val="lt-LT"/>
        </w:rPr>
        <w:t xml:space="preserve">perduodamų mokestinio laikotarpio nuostolių negali panaudoti </w:t>
      </w:r>
      <w:r>
        <w:rPr>
          <w:bCs/>
          <w:lang w:val="lt-LT"/>
        </w:rPr>
        <w:lastRenderedPageBreak/>
        <w:t xml:space="preserve">savo rezidavimo valstybėje. Tai gali būti įrašoma nuostolių perdavimo susitarime ar kitame laisvos formos dokumente. </w:t>
      </w:r>
    </w:p>
    <w:p w14:paraId="13D0104F" w14:textId="77777777" w:rsidR="00093845" w:rsidRDefault="000D779E">
      <w:pPr>
        <w:ind w:firstLine="720"/>
        <w:jc w:val="both"/>
        <w:rPr>
          <w:bCs/>
          <w:lang w:val="lt-LT"/>
        </w:rPr>
      </w:pPr>
      <w:r>
        <w:rPr>
          <w:lang w:val="lt-LT"/>
        </w:rPr>
        <w:t xml:space="preserve">3) </w:t>
      </w:r>
      <w:r>
        <w:rPr>
          <w:bCs/>
          <w:lang w:val="lt-LT"/>
        </w:rPr>
        <w:t>užsienio vieneto perduodami mokestiniai nuostoliai turi būti apskaičiuoti (perskaičiuoti) pagal PMĮ nuostatas.</w:t>
      </w:r>
    </w:p>
    <w:p w14:paraId="300E6DA8" w14:textId="77777777" w:rsidR="00093845" w:rsidRDefault="000D779E">
      <w:pPr>
        <w:ind w:firstLine="720"/>
        <w:jc w:val="both"/>
        <w:rPr>
          <w:bCs/>
          <w:lang w:val="lt-LT"/>
        </w:rPr>
      </w:pPr>
      <w:r>
        <w:rPr>
          <w:bCs/>
          <w:lang w:val="lt-LT"/>
        </w:rPr>
        <w:t>2. Lietuvos vieneto iš užsienio vieneto perimami nuostoliai turi būti apskaičiuoti/perskaičiuoti pagal PMĮ 11 straipsnio nuostatas, reglamentuojančias apmokestinamojo pelno apskaičiavimo tvarką. Perskaičiuojant užsienio vieneto jo rezidavimo valstybės mokesčių administratoriui deklaruotą mokestinio laikotarpio neigiamą rezultatą - nuostolį, iš pajamų negali būti atimamos šio vieneto patirtos išlaidos, kurios pagal PMĮ nuostatas priskiriamos neleidžiamiems atskaitymams (pvz., sąnaudos, susidariusias dėl skirtumų, susijusių su turto įsigijimo kainos pripažinimu, nusidėvėjimo (amortizacijos) skaičiavimu, ir kt.).</w:t>
      </w:r>
    </w:p>
    <w:p w14:paraId="3491A065" w14:textId="77777777" w:rsidR="00093845" w:rsidRDefault="000D779E">
      <w:pPr>
        <w:ind w:firstLine="720"/>
        <w:jc w:val="both"/>
        <w:rPr>
          <w:bCs/>
          <w:lang w:val="lt-LT"/>
        </w:rPr>
      </w:pPr>
      <w:r>
        <w:rPr>
          <w:bCs/>
          <w:lang w:val="lt-LT"/>
        </w:rPr>
        <w:t xml:space="preserve">Lietuvos vienetas apmokestinamąjį pelną gali sumažinti ta užsienio valstybės vieneto mokestinio laikotarpio nuostolių suma, kuri yra mažesnė iš dviejų sumų, apskaičiuotų pagal tos užsienio valstybės teisės aktus ir apskaičiuotų/perskaičiuotų pagal PMĮ 11 straipsnio nuostatas. </w:t>
      </w:r>
    </w:p>
    <w:p w14:paraId="51C31EC7" w14:textId="77777777" w:rsidR="00093845" w:rsidRDefault="000D779E">
      <w:pPr>
        <w:ind w:firstLine="720"/>
        <w:jc w:val="both"/>
        <w:rPr>
          <w:bCs/>
          <w:lang w:val="lt-LT"/>
        </w:rPr>
      </w:pPr>
      <w:r>
        <w:rPr>
          <w:bCs/>
          <w:lang w:val="lt-LT"/>
        </w:rPr>
        <w:t>Pavyzdžiai</w:t>
      </w:r>
    </w:p>
    <w:p w14:paraId="45809B3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1. Užsienio vienetas apskaičiavo ir jo rezidavimo valstybės mokesčių administratoriui deklaravo 2010 mokestinių metų 150 000 Lt nuostolių. Perskaičiavus šio mokestinio laikotarpio užsienio vieneto veiklos rezultatą pagal PMĮ 11 straipsnio nuostatas, buvo apskaičiuota 160 000 Lt nuostolių. Nuostolių suma padidėjo dėl pajamų, kurios pagal PMĮ nuostatas priskiriamos neapmokestinamosioms pajamoms, o pagal tos užsienio valstybės teisės aktus yra apmokestinamosios pajamos. Kadangi užsienio vienetas apskaičiavo ir savo rezidavimo valstybės mokesčių administratoriui deklaravo tik 150 000 Lt nuostolių, tai Lietuvos vienetas iš jo taip pat gali perimti ne daugiau kaip 150 000 Lt nuostolių, nes 150 000 Lt nuostolių sumą viršijanti nuostolių suma to užsienio vieneto rezidavimo valstybėje mokestiniu nuostoliu laikoma nebus. </w:t>
      </w:r>
    </w:p>
    <w:p w14:paraId="71CEC45F"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2. Užsienio vienetas apskaičiavo ir jo rezidavimo valstybės mokesčių administratoriui deklaravo 2010 mokestinių metų 150 000 Lt nuostolių. Perskaičiavus šio mokestinio laikotarpio užsienio vieneto veiklos rezultatą pagal PMĮ 11 straipsnio nuostatas, buvo apskaičiuota 140 000 Lt nuostolių. Nuostolių suma sumažėjo dėl sąnaudų, kurios pagal PMĮ nuostatas apskaičiuojant apmokestinamąjį pelną, priskiriamos neleidžiamiems atskaitymams. Lietuvos vienetas iš užsienio vieneto gali perimti ne daugiau kaip 140 000 Lt nuostolių, nes šią suma viršijanti 10 000 Lt nuostolių suma pagal PMĮ nuostatas mokestiniu nuostoliu nelaikoma.</w:t>
      </w:r>
    </w:p>
    <w:p w14:paraId="24507057" w14:textId="77777777" w:rsidR="00093845" w:rsidRDefault="000D779E">
      <w:pPr>
        <w:ind w:firstLine="720"/>
        <w:jc w:val="both"/>
        <w:rPr>
          <w:bCs/>
          <w:lang w:val="lt-LT"/>
        </w:rPr>
      </w:pPr>
      <w:r>
        <w:rPr>
          <w:bCs/>
          <w:lang w:val="lt-LT"/>
        </w:rPr>
        <w:t>3. Užsienio vieneto perduodami nuostoliai apskaičiuojami, remiantis mokestinio laikotarpio pajamomis ir sąnaudomis, kurios turi būti pagrįstos juridinę galią turinčiais dokumentais ir/ar tokiais dokumentais, kurie tokiais pripažįstami pagal tos užsienio valstybės teisės aktus, jeigu pagal tuos dokumentus galima nustatyti ūkinės operacijos turinį. Tuo atveju, kai reikalavimai kai kurioms sąnaudoms pripažinti pagal Lietuvos ir užsienio valstybės teisės aktus skiriasi (pvz., reikalavimai dėl dokumentų, įrodančių beviltiškų skolų beviltiškumą) tai tokios sąnaudos gali būti grindžiamos tos užsienio valstybės teisės aktuose nustatytais dokumentais, jeigu tokių sąnaudų pripažinimas iš esmės nesiskiria.</w:t>
      </w:r>
    </w:p>
    <w:p w14:paraId="3CF28EF3" w14:textId="77777777" w:rsidR="00093845" w:rsidRDefault="000D779E">
      <w:pPr>
        <w:ind w:firstLine="720"/>
        <w:jc w:val="both"/>
        <w:rPr>
          <w:lang w:val="lt-LT"/>
        </w:rPr>
      </w:pPr>
      <w:r>
        <w:rPr>
          <w:lang w:val="lt-LT"/>
        </w:rPr>
        <w:t xml:space="preserve">Užsienio vieneto mokestinių nuostolių apskaičiavimo/perskaičiavimo duomenys turi būti suprantami, detalizuoti laisvos formos dokumentuose, remiantis užsienio vieneto pajamų ir sąnaudų pripažinimo dokumentais. Nuostolių apskaičiavimo/perskaičiavimo duomenys turi būti pasirašyti nuostolius perduodančio ir juos priimančio vienetų atsakingų asmenų parašais. Mokesčių administratoriui paprašius, turi būti pateiktas vertimas į lietuvių kalbą. Mokesčių administratorius gali paprašyti nuostolius perėmusio Lietuvos vieneto pateikti pajamas ir sąnaudas pagrindžiančių </w:t>
      </w:r>
      <w:r>
        <w:rPr>
          <w:lang w:val="lt-LT"/>
        </w:rPr>
        <w:lastRenderedPageBreak/>
        <w:t xml:space="preserve">dokumentų, pasirašytų atsakingo asmens, kopijas. Užsienio vienetas taip pat turi pateikti mokestinio laikotarpio, kurio nuostolius perduoda Lietuvos vienetui, pelno mokesčio (ar jam tapataus mokesčio) deklaraciją su žyma, kad ši deklaracija buvo priimta tos užsienio valstybės mokesčių administratoriaus, taip pat pateiktos to mokestinio laikotarpio finansinės ataskaitos. </w:t>
      </w:r>
    </w:p>
    <w:p w14:paraId="4062D5D9" w14:textId="77777777" w:rsidR="00093845" w:rsidRDefault="000D779E">
      <w:pPr>
        <w:ind w:firstLine="720"/>
        <w:jc w:val="both"/>
        <w:rPr>
          <w:b/>
          <w:bCs/>
          <w:lang w:val="lt-LT"/>
        </w:rPr>
      </w:pPr>
      <w:r>
        <w:rPr>
          <w:b/>
          <w:bCs/>
          <w:lang w:val="lt-LT"/>
        </w:rPr>
        <w:t>5. Paaiškėjus, kad mokestiniai nuostoliai, kuriais buvo sumažinta juos perėmusio Lietuvos vieneto apskaičiuota apmokestinamojo pelno suma, buvo apskaičiuoti neteisingai, turi būti atitinkamai padidinta mokestinius nuostolius perėmusio Lietuvos vieneto dėl tokio perėmimo sumažinta apmokestinamojo pelno suma. Jeigu mokestinius nuostolius juos perdavęs vienetas apskaičiavo neteisingai, o kitam vienetui yra perdavęs tik dalį nuostolių, laikoma, kad pirmiausiai buvo perduoti neteisingai apskaičiuoti nuostoliai.</w:t>
      </w:r>
    </w:p>
    <w:p w14:paraId="2AB2A9F2" w14:textId="77777777" w:rsidR="00093845" w:rsidRDefault="000D779E">
      <w:pPr>
        <w:ind w:firstLine="720"/>
        <w:jc w:val="both"/>
        <w:rPr>
          <w:b/>
          <w:bCs/>
          <w:lang w:val="lt-LT"/>
        </w:rPr>
      </w:pPr>
      <w:r>
        <w:rPr>
          <w:b/>
          <w:bCs/>
          <w:lang w:val="lt-LT"/>
        </w:rPr>
        <w:t>Komentaras</w:t>
      </w:r>
    </w:p>
    <w:p w14:paraId="232E60AA" w14:textId="77777777" w:rsidR="00093845" w:rsidRDefault="000D779E">
      <w:pPr>
        <w:pStyle w:val="Pagrindinistekstas"/>
        <w:ind w:firstLine="720"/>
        <w:rPr>
          <w:bCs/>
          <w:lang w:val="lt-LT"/>
        </w:rPr>
      </w:pPr>
      <w:r>
        <w:rPr>
          <w:bCs/>
          <w:lang w:val="lt-LT"/>
        </w:rPr>
        <w:t xml:space="preserve">1. Jei mokestiniai nuostoliai, kuriais buvo sumažinta juos perėmusio Lietuvos vieneto apskaičiuota apmokestinamojo pelno suma, buvo apskaičiuoti neteisingai, tai paaiškėjus tokioms aplinkybėms, Lietuvos vienetas turi padidinti to mokestinio laikotarpio, kurio apmokestinamasis pelnas buvo sumažintas jam perduotais kito vienetų grupės vieneto nuostoliais, apmokestinamąjį pelną, atitinkamai perskaičiuoti pelno mokestį ir pateikti patikslintą metinę pelno mokesčio deklaraciją. </w:t>
      </w:r>
    </w:p>
    <w:p w14:paraId="453F12A1" w14:textId="77777777" w:rsidR="00093845" w:rsidRDefault="000D779E">
      <w:pPr>
        <w:ind w:firstLine="720"/>
        <w:jc w:val="both"/>
        <w:rPr>
          <w:bCs/>
          <w:lang w:val="lt-LT"/>
        </w:rPr>
      </w:pPr>
      <w:r>
        <w:rPr>
          <w:bCs/>
          <w:lang w:val="lt-LT"/>
        </w:rPr>
        <w:t>Delspinigiai už laiku nesumokėtą mokestį skaičiuojami</w:t>
      </w:r>
      <w:r>
        <w:rPr>
          <w:lang w:val="lt-LT"/>
        </w:rPr>
        <w:t xml:space="preserve"> Lietuvos Respublikos mokesčių administravimo įstatymo (toliau - MAĮ) </w:t>
      </w:r>
      <w:r>
        <w:rPr>
          <w:bCs/>
          <w:lang w:val="lt-LT"/>
        </w:rPr>
        <w:t xml:space="preserve">nustatyta tvarka. Jei mokesčių administratoriaus atliekamo mokesčių mokėtojo patikrinimo metu nustatys, kad mokesčių mokėtojas nesilaiko mokesčių įstatymų (sumažina mokestį į biudžetą), tai MAĮ nustatyta tvarka jam skiriamos baudos ir skaičiuojami delspinigiai. </w:t>
      </w:r>
    </w:p>
    <w:p w14:paraId="1FBA7F29" w14:textId="77777777" w:rsidR="00093845" w:rsidRDefault="000D779E">
      <w:pPr>
        <w:ind w:firstLine="720"/>
        <w:jc w:val="both"/>
        <w:rPr>
          <w:bCs/>
          <w:lang w:val="lt-LT"/>
        </w:rPr>
      </w:pPr>
      <w:r>
        <w:rPr>
          <w:bCs/>
          <w:lang w:val="lt-LT"/>
        </w:rPr>
        <w:t xml:space="preserve">2. Jeigu mokestinius nuostolius juos perdavęs vienetas apskaičiavo neteisingai, o kitam vienetui perdavė tik dalį nuostolių, tai laikoma, kad pirmiausiai buvo perduoti neteisingai apskaičiuoti nuostoliai. </w:t>
      </w:r>
    </w:p>
    <w:p w14:paraId="50AD051C" w14:textId="77777777" w:rsidR="00093845" w:rsidRDefault="00093845">
      <w:pPr>
        <w:pStyle w:val="Pagrindinistekstas"/>
        <w:ind w:firstLine="720"/>
        <w:rPr>
          <w:bCs/>
          <w:lang w:val="lt-LT"/>
        </w:rPr>
      </w:pPr>
    </w:p>
    <w:p w14:paraId="18A9EC60" w14:textId="77777777" w:rsidR="00093845" w:rsidRDefault="000D779E">
      <w:pPr>
        <w:ind w:firstLine="720"/>
        <w:jc w:val="both"/>
        <w:rPr>
          <w:bCs/>
          <w:lang w:val="lt-LT"/>
        </w:rPr>
      </w:pPr>
      <w:r>
        <w:rPr>
          <w:bCs/>
          <w:lang w:val="lt-LT"/>
        </w:rPr>
        <w:t>Pavyzdžiai</w:t>
      </w:r>
    </w:p>
    <w:p w14:paraId="49DDD340"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1. UAB „A“ apskaičiavo 50 000 Lt dydžio 2011 mokestinių metų nuostolį, kurį visą perdavė kitam vienetų grupės vienetui – UAB „B“. UAB „B“ 2011 mokestinių metų 50 000 Lt dydžio apmokestinamojo pelno sumą sumažino iš UAB „A“ perimta nuostolių suma.</w:t>
      </w:r>
    </w:p>
    <w:p w14:paraId="5DFE16D0"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Praėjus metams, UAB „A“ nustatė, kad, apskaičiuodama 2011 mokestinių metų  apmokestinamąjį pelną, padarė klaidą ir leidžiamus atskaitymus padidino 10 000 Lt suma. Dėl įvykusios klaidos UAB „A“ raštu informavo UAB „B“, patikslindama, kad jos 2011 mokestinių metų Lietuvos vienetui perduotini nuostoliai sudarė 40 000 Lt. </w:t>
      </w:r>
    </w:p>
    <w:p w14:paraId="77BE1E39"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Tokiu atveju UAB „B“ 2011 mokestinių metų apmokestinamąjį pelną turi padidinti 10 000 Lt suma, atitinkamai perskaičiuoti pelno mokestį ir pateikti patikslintą šio mokestinio laikotarpio metinę pelno mokesčio deklaraciją.</w:t>
      </w:r>
    </w:p>
    <w:p w14:paraId="539A69C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strike/>
          <w:lang w:val="lt-LT"/>
        </w:rPr>
      </w:pPr>
      <w:r>
        <w:rPr>
          <w:bCs/>
          <w:lang w:val="lt-LT"/>
        </w:rPr>
        <w:t>2.</w:t>
      </w:r>
      <w:r>
        <w:rPr>
          <w:b/>
          <w:bCs/>
          <w:lang w:val="lt-LT"/>
        </w:rPr>
        <w:t xml:space="preserve"> </w:t>
      </w:r>
      <w:r>
        <w:rPr>
          <w:bCs/>
          <w:lang w:val="lt-LT"/>
        </w:rPr>
        <w:t xml:space="preserve">UAB „A“ apskaičiavo 250 000 Lt dydžio 2010 mokestinių metų nuostolių. Dalį šių nuostolių (150 000 Lt), perėmė kitas vienetų grupės vienetas - UAB „B“, kurios 2010 mokestinių metų apmokestinamasis pelnas sudarė 150 000 Lt. </w:t>
      </w:r>
    </w:p>
    <w:p w14:paraId="65D9589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Po kurio laiko UAB „A“ nustatė, kad, apskaičiuodama 2010 mokestinių metų  apmokestinamąjį pelną, 20 000 Lt neįtraukė į pajamas. UAB „A“ perskaičiuoti 2010 mokestinių metų nuostoliai sumažėjo nuo 250 000 iki 230 000 Lt. Kadangi UAB „A“ perdavė UAB „B“ tik  150 000 </w:t>
      </w:r>
      <w:r>
        <w:rPr>
          <w:bCs/>
          <w:lang w:val="lt-LT"/>
        </w:rPr>
        <w:lastRenderedPageBreak/>
        <w:t xml:space="preserve">Lt nuostolių sumą, o likusios 100 000 Lt nuostolių sumos klaidos nustatymo metu nebuvo panaudojusi (perkėlusi į kitus mokestinius laikotarpius), tai nelaikoma, kad UAB „B“ buvo perduota UAB „A“ neteisingai apskaičiuotos nuostolių sumos dalis. </w:t>
      </w:r>
    </w:p>
    <w:p w14:paraId="5E28ED3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3. UAB „A“ apskaičiavo 250 000 Lt dydžio 2010 mokestinių metų nuostolių. Dalį šių nuostolių (150 000 Lt), perėmė kitas vienetų grupės vienetas - UAB „B“, kurios 2010 mokestinių metų apmokestinamasis pelnas sudarė 150 000 Lt. Kita nuostolių dalis (100 000 Lt) buvo perkelta į kitus UAB „A“ mokestinius laikotarpius.</w:t>
      </w:r>
    </w:p>
    <w:p w14:paraId="6320B4E3"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Po kurio laiko UAB „A“ nustatė, kad, apskaičiuodama 2010 mokestinių metų  apmokestinamąjį pelną, 20 000 Lt neįtraukė į pajamas. UAB „A“ perskaičiuoti 2010 mokestinių metų nuostoliai sumažėjo nuo 250 000 iki 230 000 Lt. </w:t>
      </w:r>
    </w:p>
    <w:p w14:paraId="78C84FDD"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Kadangi UAB „A“ kitam grupės vienetui neperduotą 100 000 Lt nuostolių sumą perkėlė į kitus mokestinius metus ir sumažino tų metų apmokestinamąjį pelną, todėl laikoma, kad UAB „B“ pirmiausia buvo perduota neteisingai apskaičiuota 20 000 Lt nuostolių suma. UAB „B“ 2010 mokestinių metų apmokestinamąjį pelną turi padidinti 20 000 Lt suma, atitinkamai perskaičiuoti pelno mokestį ir pateikti patikslintą šio mokestinio laikotarpio metinę pelno mokesčio deklaraciją.</w:t>
      </w:r>
    </w:p>
    <w:p w14:paraId="37ACC49A"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4. UAB „A“ apskaičiavo 150 000 Lt 2010 mokestinių metų nuostolių, kuriuos perdavė kitam vienetų grupės vienetui - UAB „B“. Šios bendrovės 2010 mokestinių metų apmokestinamasis pelnas sudarė 200 000 Lt. </w:t>
      </w:r>
    </w:p>
    <w:p w14:paraId="79FF1066" w14:textId="77777777" w:rsidR="00093845" w:rsidRDefault="000D779E">
      <w:pPr>
        <w:pBdr>
          <w:top w:val="single" w:sz="4" w:space="1" w:color="auto"/>
          <w:left w:val="single" w:sz="4" w:space="4" w:color="auto"/>
          <w:bottom w:val="single" w:sz="4" w:space="1" w:color="auto"/>
          <w:right w:val="single" w:sz="4" w:space="4" w:color="auto"/>
        </w:pBdr>
        <w:ind w:firstLine="720"/>
        <w:jc w:val="both"/>
        <w:rPr>
          <w:b/>
          <w:bCs/>
          <w:lang w:val="lt-LT"/>
        </w:rPr>
      </w:pPr>
      <w:r>
        <w:rPr>
          <w:bCs/>
          <w:lang w:val="lt-LT"/>
        </w:rPr>
        <w:t>2013 metais UAB „A“ nustatė, kad, apskaičiuodama 2010 mokestinių metų  apmokestinamąjį pelną, 20 000 Lt neįtraukė į leidžiamus atskaitymus. UAB „A“ perskaičiuoti 2010 mokestinių metų nuostoliai padidėjo nuo 150 000 iki 170 000 Lt. UAB „A“ 2010 mokestinių metų  papildomai apskaičiuotą 20 000 Lt nuostolių sumą gali perkelti į kitus mokestinius laikotarpius PMĮ 30 straipsnyje nustatyta tvarka</w:t>
      </w:r>
      <w:r>
        <w:rPr>
          <w:rFonts w:ascii="Times New (W1)" w:hAnsi="Times New (W1)"/>
          <w:bCs/>
          <w:lang w:val="lt-LT"/>
        </w:rPr>
        <w:t xml:space="preserve">. </w:t>
      </w:r>
    </w:p>
    <w:p w14:paraId="49250BB2" w14:textId="77777777" w:rsidR="00093845" w:rsidRDefault="00093845">
      <w:pPr>
        <w:ind w:firstLine="720"/>
        <w:jc w:val="both"/>
        <w:rPr>
          <w:b/>
          <w:bCs/>
          <w:lang w:val="lt-LT"/>
        </w:rPr>
      </w:pPr>
    </w:p>
    <w:p w14:paraId="2D3E8235" w14:textId="77777777" w:rsidR="00093845" w:rsidRDefault="000D779E">
      <w:pPr>
        <w:ind w:firstLine="720"/>
        <w:jc w:val="both"/>
        <w:rPr>
          <w:b/>
          <w:bCs/>
          <w:lang w:val="lt-LT"/>
        </w:rPr>
      </w:pPr>
      <w:r>
        <w:rPr>
          <w:b/>
          <w:bCs/>
          <w:lang w:val="lt-LT"/>
        </w:rPr>
        <w:t>6. Jeigu šiame straipsnyje nustatyta tvarka mokestiniai nuostoliai (ar jų dalis) perduodami už atlygį, tai dėl tokio perdavimo gautas atlygis nelaikomas jį gavusio Lietuvos vieneto pajamomis, o patirtos išlaidos nelaikomos jas patyrusio Lietuvos vieneto leidžiamais atskaitymais.</w:t>
      </w:r>
    </w:p>
    <w:p w14:paraId="5215FD3A" w14:textId="77777777" w:rsidR="00093845" w:rsidRDefault="000D779E">
      <w:pPr>
        <w:ind w:firstLine="720"/>
        <w:jc w:val="both"/>
        <w:rPr>
          <w:b/>
          <w:bCs/>
          <w:lang w:val="lt-LT"/>
        </w:rPr>
      </w:pPr>
      <w:r>
        <w:rPr>
          <w:b/>
          <w:bCs/>
          <w:lang w:val="lt-LT"/>
        </w:rPr>
        <w:t>Komentaras</w:t>
      </w:r>
    </w:p>
    <w:p w14:paraId="30A068F9" w14:textId="77777777" w:rsidR="00093845" w:rsidRDefault="000D779E">
      <w:pPr>
        <w:ind w:firstLine="720"/>
        <w:jc w:val="both"/>
        <w:rPr>
          <w:bCs/>
          <w:lang w:val="lt-LT"/>
        </w:rPr>
      </w:pPr>
      <w:r>
        <w:rPr>
          <w:bCs/>
          <w:lang w:val="lt-LT"/>
        </w:rPr>
        <w:t xml:space="preserve">Mokestiniai nuostoliai (ar jų dalis) komentuojamame straipsnyje nustatyta tvarka gali būti perduodami už atlygį. Lietuvos vieneto už perduotus nuostolius gautas atlygis, apskaičiuojant apmokestinamąjį pelną, į jo pajamas neįtraukiamas. Nuostolius gavusio Lietuvos vieneto patirtos išlaidos – sumokėta atlygio kaina, nelaikoma šio vieneto leidžiamais atskaitymais. </w:t>
      </w:r>
    </w:p>
    <w:p w14:paraId="14E7D633" w14:textId="77777777" w:rsidR="00093845" w:rsidRDefault="000D779E">
      <w:pPr>
        <w:ind w:firstLine="720"/>
        <w:jc w:val="both"/>
        <w:rPr>
          <w:bCs/>
          <w:lang w:val="lt-LT"/>
        </w:rPr>
      </w:pPr>
      <w:r>
        <w:rPr>
          <w:bCs/>
          <w:lang w:val="lt-LT"/>
        </w:rPr>
        <w:t xml:space="preserve">Pavyzdys </w:t>
      </w:r>
    </w:p>
    <w:p w14:paraId="1D112FC8" w14:textId="77777777" w:rsidR="00093845" w:rsidRDefault="000D779E">
      <w:pPr>
        <w:pBdr>
          <w:top w:val="single" w:sz="4" w:space="1" w:color="auto"/>
          <w:left w:val="single" w:sz="4" w:space="4" w:color="auto"/>
          <w:bottom w:val="single" w:sz="4" w:space="1" w:color="auto"/>
          <w:right w:val="single" w:sz="4" w:space="4" w:color="auto"/>
        </w:pBdr>
        <w:ind w:firstLine="720"/>
        <w:jc w:val="both"/>
        <w:rPr>
          <w:bCs/>
          <w:lang w:val="lt-LT"/>
        </w:rPr>
      </w:pPr>
      <w:r>
        <w:rPr>
          <w:bCs/>
          <w:lang w:val="lt-LT"/>
        </w:rPr>
        <w:t xml:space="preserve">AB „A“ 2010 metų mokestinio laikotarpio 200 000 Lt dydžio mokestinių nuostolių sumą už 30 000 Lt atlygį perdavė kitai įmonių grupės įmonei - UAB „B“. Apskaičiuodama apmokestinamąjį pelną, AB „A“ už perduotus nuostolius gauto atlygio neturi įtraukti į pajamas, o UAB „B“ sumokėto atlygio už perimtus nuostolius atitinkamai neturi priskirti leidžiamiems atskaitymams. </w:t>
      </w:r>
    </w:p>
    <w:p w14:paraId="3762C98C" w14:textId="77777777" w:rsidR="00093845" w:rsidRDefault="00093845">
      <w:pPr>
        <w:ind w:firstLine="720"/>
        <w:jc w:val="both"/>
        <w:rPr>
          <w:b/>
          <w:bCs/>
          <w:lang w:val="lt-LT"/>
        </w:rPr>
      </w:pPr>
    </w:p>
    <w:p w14:paraId="63DADB0C" w14:textId="77777777" w:rsidR="00093845" w:rsidRDefault="000D779E">
      <w:pPr>
        <w:ind w:firstLine="720"/>
        <w:jc w:val="both"/>
        <w:rPr>
          <w:b/>
          <w:bCs/>
          <w:lang w:val="lt-LT"/>
        </w:rPr>
      </w:pPr>
      <w:r>
        <w:rPr>
          <w:b/>
          <w:bCs/>
          <w:lang w:val="lt-LT"/>
        </w:rPr>
        <w:t>7. Vienetas, turintis mokestinę nepriemoką, negali šiame straipsnyje nustatyta tvarka perduoti mokestinių nuostolių kitam vienetui.</w:t>
      </w:r>
    </w:p>
    <w:p w14:paraId="5E12375F" w14:textId="77777777" w:rsidR="00093845" w:rsidRDefault="000D779E">
      <w:pPr>
        <w:ind w:firstLine="720"/>
        <w:jc w:val="both"/>
        <w:rPr>
          <w:b/>
          <w:bCs/>
          <w:lang w:val="lt-LT"/>
        </w:rPr>
      </w:pPr>
      <w:r>
        <w:rPr>
          <w:b/>
          <w:bCs/>
          <w:lang w:val="lt-LT"/>
        </w:rPr>
        <w:t>Komentaras</w:t>
      </w:r>
    </w:p>
    <w:p w14:paraId="7BE31372" w14:textId="77777777" w:rsidR="00093845" w:rsidRDefault="000D779E">
      <w:pPr>
        <w:tabs>
          <w:tab w:val="left" w:pos="720"/>
        </w:tabs>
        <w:jc w:val="both"/>
        <w:rPr>
          <w:lang w:val="lt-LT"/>
        </w:rPr>
      </w:pPr>
      <w:r>
        <w:rPr>
          <w:lang w:val="lt-LT"/>
        </w:rPr>
        <w:lastRenderedPageBreak/>
        <w:tab/>
      </w:r>
      <w:r>
        <w:rPr>
          <w:lang w:val="lt-LT"/>
        </w:rPr>
        <w:tab/>
        <w:t>1. Lietuvos vienetas negali perimti iš kito vienetų grupės vieneto nuostolių, jei nuostolius ketinantis perduoti vienetų grupės vienetas tų nuostolių perdavimo dieną turi mokestinę nepriemoką. Pagal MAĮ 2 str. 17 dalyje apibrėžtą</w:t>
      </w:r>
      <w:r>
        <w:rPr>
          <w:b/>
          <w:lang w:val="lt-LT"/>
        </w:rPr>
        <w:t xml:space="preserve"> </w:t>
      </w:r>
      <w:r>
        <w:rPr>
          <w:lang w:val="lt-LT"/>
        </w:rPr>
        <w:t>mokestinės nepriemokos sąvoką, mokestinė nepriemoka – tai mokesčio nepriemoka ir mokesčių mokėtojo mokesčio įstatymo ar jo pagrindu priimto lydimojo teisės akto nustatyta tvarka laiku nesumokėtos su mokesčiu susijusios sumos.</w:t>
      </w:r>
      <w:r>
        <w:rPr>
          <w:b/>
          <w:lang w:val="lt-LT"/>
        </w:rPr>
        <w:t xml:space="preserve"> </w:t>
      </w:r>
      <w:r>
        <w:rPr>
          <w:lang w:val="lt-LT"/>
        </w:rPr>
        <w:t xml:space="preserve">MAĮ prasme mokestinė nepriemoka yra: mokesčio nepriemoka (t.y. </w:t>
      </w:r>
      <w:hyperlink r:id="rId137" w:anchor="25z#25z" w:history="1">
        <w:r w:rsidRPr="00A3019F">
          <w:rPr>
            <w:rStyle w:val="Hipersaitas"/>
            <w:rFonts w:ascii="Times New Roman" w:hAnsi="Times New Roman" w:cs="Times New Roman"/>
            <w:b w:val="0"/>
            <w:bCs w:val="0"/>
            <w:kern w:val="0"/>
            <w:lang w:val="lt-LT"/>
          </w:rPr>
          <w:t>mokesčių</w:t>
        </w:r>
      </w:hyperlink>
      <w:r>
        <w:rPr>
          <w:lang w:val="lt-LT"/>
        </w:rPr>
        <w:t xml:space="preserve"> mokėtojo mokesčio įstatymo ar jo pagrindu priimto įstatymo lydimojo teisės akto nustatyta tvarka laiku nesumokėta mokesčio suma) ir laiku nesumokėtos su mokesčiu susijusios sumos (t.y. apskaičiuoti delspinigiai, paskirta bauda, palūkanos, mokamos pagal mokestinės paskolos sutartį, taip pat palūkanų delspinigiai, kurios nebuvo sumokėtos į biudžetą mokesčių įstatymų nustatyta tvarka ir terminais). </w:t>
      </w:r>
    </w:p>
    <w:p w14:paraId="516DF7BF" w14:textId="77777777" w:rsidR="00093845" w:rsidRDefault="000D779E">
      <w:pPr>
        <w:tabs>
          <w:tab w:val="left" w:pos="720"/>
        </w:tabs>
        <w:jc w:val="both"/>
        <w:rPr>
          <w:lang w:val="lt-LT"/>
        </w:rPr>
      </w:pPr>
      <w:r>
        <w:rPr>
          <w:lang w:val="lt-LT"/>
        </w:rPr>
        <w:tab/>
        <w:t xml:space="preserve">Šioje dalyje nustatyti apribojimai netaikomi, kai dėl mokestinės nepriemokos vyksta mokestinis ginčas arba mokestinės nepriemokos sumokėjimas atidedamas vietos mokesčių administratoriui priėmus atitinkamą sprendimą ir su mokesčių mokėtoju sudarius mokestinės paskolos sutartį. Tačiau paaiškėjus, kad </w:t>
      </w:r>
      <w:r>
        <w:rPr>
          <w:bCs/>
          <w:lang w:val="lt-LT"/>
        </w:rPr>
        <w:t>vieneto skundas dėl mokesčių administratoriaus sprendimu papildomai apskaičiuotų mokesčių ir su jais susijusių sumų mokestinį ginčą nagrinėjančios institucijos ar teismo atmetamas, arba m</w:t>
      </w:r>
      <w:r>
        <w:rPr>
          <w:lang w:val="lt-LT"/>
        </w:rPr>
        <w:t>okesčių administratoriaus sprendimu mokestinės paskolos sutartis nutraukiama, kai vienetas nesilaiko mokestinės paskolos sutarties sąlygų (pavyzdžiui, nesumoka įmokos, nemoka einamųjų mokesčių), tai tokiu atveju bus laikoma, kad toks vienetas nuostolių perdavimo dieną mokestinę nepriemoką turėjo.</w:t>
      </w:r>
    </w:p>
    <w:p w14:paraId="02C633A1" w14:textId="77777777" w:rsidR="00093845" w:rsidRDefault="000D779E">
      <w:pPr>
        <w:tabs>
          <w:tab w:val="left" w:pos="720"/>
        </w:tabs>
        <w:jc w:val="both"/>
        <w:rPr>
          <w:lang w:val="lt-LT"/>
        </w:rPr>
      </w:pPr>
      <w:r>
        <w:rPr>
          <w:lang w:val="lt-LT"/>
        </w:rPr>
        <w:tab/>
      </w:r>
      <w:r>
        <w:rPr>
          <w:lang w:val="lt-LT" w:bidi="hi-IN"/>
        </w:rPr>
        <w:t xml:space="preserve">2. Jei vienetas perduos kitam vienetų grupės vienetui mokestinio laikotarpio nuostolius, neatsižvelgdamas į tai, kad nuostolių perdavimo dieną jis turėjo mokestinę nepriemoką, tai paaiškėjus tokiai aplinkybei nuostolius perėmęs </w:t>
      </w:r>
      <w:r>
        <w:rPr>
          <w:lang w:val="lt-LT"/>
        </w:rPr>
        <w:t xml:space="preserve">Lietuvos vienetas turi padidinti to mokestinio laikotarpio, kurio apmokestinamasis pelnas buvo sumažintas jam perduotais kito vienetų grupės vieneto nuostoliais, apmokestinamąjį pelną, atitinkamai perskaičiuoti pelno mokestį ir pateikti patikslintą metinę pelno mokesčio deklaraciją. </w:t>
      </w:r>
    </w:p>
    <w:p w14:paraId="08B767C8" w14:textId="77777777" w:rsidR="00093845" w:rsidRDefault="000D779E">
      <w:pPr>
        <w:ind w:firstLine="720"/>
        <w:jc w:val="both"/>
        <w:rPr>
          <w:bCs/>
          <w:lang w:val="lt-LT"/>
        </w:rPr>
      </w:pPr>
      <w:r>
        <w:rPr>
          <w:bCs/>
          <w:lang w:val="lt-LT"/>
        </w:rPr>
        <w:t>Delspinigiai už laiku nesumokėtą mokestį skaičiuojami</w:t>
      </w:r>
      <w:r>
        <w:rPr>
          <w:lang w:val="lt-LT"/>
        </w:rPr>
        <w:t xml:space="preserve"> MAĮ </w:t>
      </w:r>
      <w:r>
        <w:rPr>
          <w:bCs/>
          <w:lang w:val="lt-LT"/>
        </w:rPr>
        <w:t xml:space="preserve">nustatyta tvarka. </w:t>
      </w:r>
    </w:p>
    <w:p w14:paraId="7F151149" w14:textId="77777777" w:rsidR="00093845" w:rsidRDefault="000D779E">
      <w:pPr>
        <w:ind w:firstLine="720"/>
        <w:jc w:val="both"/>
        <w:rPr>
          <w:bCs/>
          <w:color w:val="000000"/>
          <w:lang w:val="lt-LT" w:bidi="hi-IN"/>
        </w:rPr>
      </w:pPr>
      <w:r>
        <w:rPr>
          <w:bCs/>
          <w:color w:val="000000"/>
          <w:lang w:val="lt-LT" w:bidi="hi-IN"/>
        </w:rPr>
        <w:t xml:space="preserve">3. Dokumentas, kuris įrodo, kad nuostolius perduodantis vienetas jų perdavimo dieną neturi mokestinės nepriemokos, mokesčių administratoriaus išduota atitinkama atsiskaitymo su valstybės ir/ar savivaldybių biudžetais, pinigų fondais pažyma arba analogiška tokia pažyma išduota užsienio valstybės mokesčių administratoriaus. </w:t>
      </w:r>
    </w:p>
    <w:p w14:paraId="6645261A" w14:textId="77777777" w:rsidR="00093845" w:rsidRDefault="000D779E">
      <w:pPr>
        <w:ind w:firstLine="720"/>
        <w:jc w:val="both"/>
        <w:rPr>
          <w:b/>
          <w:lang w:val="lt-LT"/>
        </w:rPr>
      </w:pPr>
      <w:r>
        <w:rPr>
          <w:b/>
          <w:bCs/>
          <w:color w:val="000000"/>
          <w:lang w:val="lt-LT" w:bidi="hi-IN"/>
        </w:rPr>
        <w:t>8. Vienetas šiame straipsnyje nustatyta tvarka už mokestinį laikotarpį apskaičiuotų mokestinių nuostolių perduoti negali, jeigu apmokestinamojo pelno apskaičiavimo už tą mokestinį laikotarpį atveju vienetas pelno arba jam tapataus mokesčio nemokėtų dėl vienetui taikytinų lengvatų (apmokestinamasis pelnas būtų buvęs apmokestintas taikant 0 procentų mokesčio tarifą arba vienetas būtų buvęs atleistas nuo mokesčio mokėjimo).</w:t>
      </w:r>
    </w:p>
    <w:p w14:paraId="05D3A976" w14:textId="77777777" w:rsidR="00093845" w:rsidRDefault="000D779E">
      <w:pPr>
        <w:ind w:firstLine="720"/>
        <w:jc w:val="both"/>
        <w:rPr>
          <w:b/>
          <w:color w:val="000000"/>
          <w:lang w:val="lt-LT" w:bidi="hi-IN"/>
        </w:rPr>
      </w:pPr>
      <w:r>
        <w:rPr>
          <w:b/>
          <w:color w:val="000000"/>
          <w:lang w:val="lt-LT" w:bidi="hi-IN"/>
        </w:rPr>
        <w:t xml:space="preserve">Komentaras </w:t>
      </w:r>
    </w:p>
    <w:p w14:paraId="2418CA91" w14:textId="77777777" w:rsidR="00093845" w:rsidRDefault="000D779E">
      <w:pPr>
        <w:pStyle w:val="Style1"/>
        <w:tabs>
          <w:tab w:val="left" w:pos="709"/>
          <w:tab w:val="left" w:pos="1077"/>
          <w:tab w:val="left" w:pos="1418"/>
        </w:tabs>
        <w:ind w:right="128"/>
        <w:rPr>
          <w:rFonts w:ascii="Times New Roman" w:hAnsi="Times New Roman"/>
          <w:bCs/>
          <w:color w:val="000000"/>
          <w:szCs w:val="24"/>
          <w:lang w:bidi="hi-IN"/>
        </w:rPr>
      </w:pPr>
      <w:r>
        <w:rPr>
          <w:rFonts w:ascii="Times New Roman" w:hAnsi="Times New Roman"/>
          <w:color w:val="000000"/>
          <w:szCs w:val="24"/>
          <w:lang w:bidi="hi-IN"/>
        </w:rPr>
        <w:t xml:space="preserve">Šioje dalies nuostatos draudžia vienetui perduoti mokestinio laikotarpio nuostolius, jei tą mokestinį laikotarpį jam būtų taikoma pelno mokesčio lengvata, jei jis apskaičiuotų apmokestinamąjį pelną. Tačiau tik tuo atveju, jei jo apmokestinamasis pelnas būtų buvęs apmokestinamas taikant 0 proc. pelno mokesčio (ar jam tapataus mokesčio) tarifą arba tas vienetas </w:t>
      </w:r>
      <w:r>
        <w:rPr>
          <w:rFonts w:ascii="Times New Roman" w:hAnsi="Times New Roman"/>
          <w:bCs/>
          <w:color w:val="000000"/>
          <w:szCs w:val="24"/>
          <w:lang w:bidi="hi-IN"/>
        </w:rPr>
        <w:t xml:space="preserve">būtų buvęs atleistas nuo mokesčio mokėjimo. Pagal šias nuostatas mokestinio laikotarpio nuostolių kitam Lietuvos vienetui negali perduoti socialinės įmonės statusą turinti bendrovė, jei tuo mokestiniu laikotarpiu, kurio nuostolius ji ketina perduoti jai būtų taikomas 0 proc. tarifas arba laisvosios ekonominės zonos įmonė, kuri tuo mokestiniu laikotarpiu, kurio nuostolius perduoda, nuo pelno mokesčio atleista. </w:t>
      </w:r>
    </w:p>
    <w:p w14:paraId="661FE714" w14:textId="77777777" w:rsidR="00093845" w:rsidRDefault="000D779E">
      <w:pPr>
        <w:pStyle w:val="Style1"/>
        <w:tabs>
          <w:tab w:val="left" w:pos="709"/>
          <w:tab w:val="left" w:pos="1077"/>
          <w:tab w:val="left" w:pos="1418"/>
        </w:tabs>
        <w:ind w:right="128"/>
        <w:rPr>
          <w:rFonts w:ascii="Times New Roman" w:hAnsi="Times New Roman"/>
          <w:szCs w:val="24"/>
          <w:lang w:bidi="hi-IN"/>
        </w:rPr>
      </w:pPr>
      <w:r>
        <w:rPr>
          <w:rFonts w:ascii="Times New Roman" w:hAnsi="Times New Roman"/>
          <w:bCs/>
          <w:color w:val="000000"/>
          <w:szCs w:val="24"/>
          <w:lang w:bidi="hi-IN"/>
        </w:rPr>
        <w:lastRenderedPageBreak/>
        <w:t>Jei mokestinio laikotarpio nuostolius Lietuvos vienetui perduoda užs</w:t>
      </w:r>
      <w:r>
        <w:rPr>
          <w:rFonts w:ascii="Times New Roman" w:hAnsi="Times New Roman"/>
          <w:szCs w:val="24"/>
        </w:rPr>
        <w:t xml:space="preserve">ienio vienetas, tai Lietuvos vienetas turi turėti įrodymus, kad jei </w:t>
      </w:r>
      <w:r>
        <w:rPr>
          <w:rFonts w:ascii="Times New Roman" w:hAnsi="Times New Roman"/>
          <w:bCs/>
          <w:color w:val="000000"/>
          <w:szCs w:val="24"/>
          <w:lang w:bidi="hi-IN"/>
        </w:rPr>
        <w:t xml:space="preserve">tuo mokestiniu laikotarpiu, kurio nuostolius tas užsienio vienetas ketina perduoti, jis apskaičiuotų apmokestinamąjį pelną, jam nebūtų taikomas 0 proc. pelno mokesčio (ar jam tapataus mokesčio) tarifas arba tuo mokestiniu laikotarpiu nuo pelno mokesčio (ar jam tapataus mokesčio) jis būtų atleistas. Tokiu įrodymu gali būti užsienio vieneto patvirtinimas dėl jam taikomų apmokestinimo sąlygų jo rezidavimo valstybėje. </w:t>
      </w:r>
    </w:p>
    <w:p w14:paraId="70F0D243" w14:textId="06B24C19" w:rsidR="00093845" w:rsidRDefault="000D779E">
      <w:pPr>
        <w:ind w:firstLine="720"/>
        <w:jc w:val="both"/>
        <w:rPr>
          <w:color w:val="000000"/>
          <w:lang w:val="lt-LT"/>
        </w:rPr>
      </w:pPr>
      <w:r>
        <w:rPr>
          <w:color w:val="000000"/>
          <w:lang w:val="lt-LT" w:bidi="hi-IN"/>
        </w:rPr>
        <w:t>(Papildyta pagal 2011-03-18 VMI prie FM raštą Nr.</w:t>
      </w:r>
      <w:r>
        <w:rPr>
          <w:color w:val="000000"/>
          <w:lang w:val="lt-LT"/>
        </w:rPr>
        <w:t xml:space="preserve"> (18.10-31-1)-R-2658)</w:t>
      </w:r>
    </w:p>
    <w:p w14:paraId="049E5C96" w14:textId="16E13C12" w:rsidR="00FF2307" w:rsidRPr="00D03619" w:rsidRDefault="00FF2307" w:rsidP="00FF2307">
      <w:pPr>
        <w:spacing w:after="0" w:line="240" w:lineRule="auto"/>
        <w:ind w:firstLine="709"/>
        <w:jc w:val="both"/>
        <w:rPr>
          <w:color w:val="000000" w:themeColor="text1"/>
          <w:lang w:val="lt-LT"/>
        </w:rPr>
      </w:pPr>
      <w:bookmarkStart w:id="602" w:name="_Hlk225346480"/>
      <w:r w:rsidRPr="00D03619">
        <w:rPr>
          <w:b/>
          <w:bCs/>
          <w:color w:val="000000" w:themeColor="text1"/>
          <w:lang w:val="lt-LT"/>
        </w:rPr>
        <w:t>9. Bendra pagal šį straipsnį ir šio Įstatymo 30 ir 43 straipsnius atskaitoma mokestinių nuostolių, išskyrus mokestinius nuostolius dėl vertybinių popierių ir (arba) išvestinių finansinių priemonių perleidimo (ne finansų įstaigų), mokestinius nuostolius, patirtus dėl turto naudojimo, pardavimo ar kitokio perleidimo nuosavybėn ir apskaičiuotus pagal šio Įstatymo 5 straipsnio 9 dalyje nustatytą formulę, taip pat mokestinius nuostolius vienetų, kurių apmokestinamasis pelnas pagal šio Įstatymo 5 straipsnio 2 dalies nuostatas apmokestinamas taikant 7 procentų mokesčio tarifą, suma negali būti didesnė kaip 70 procentų vieneto mokestinio laikotarpio pajamų, apskaičiuotų iš pajamų atėmus neapmokestinamąsias pajamas, leidžiamus atskaitymus ir ribojamų dydžių leidžiamus atskaitymus, išskyrus ankstesnių mokestinių laikotarpių mokestinius nuostolius</w:t>
      </w:r>
      <w:r>
        <w:rPr>
          <w:b/>
          <w:bCs/>
          <w:color w:val="000000" w:themeColor="text1"/>
          <w:lang w:val="lt-LT"/>
        </w:rPr>
        <w:t>.</w:t>
      </w:r>
    </w:p>
    <w:p w14:paraId="4A52AC53" w14:textId="77777777" w:rsidR="00FF2307" w:rsidRPr="00D03619" w:rsidRDefault="00FF2307" w:rsidP="00FF2307">
      <w:pPr>
        <w:tabs>
          <w:tab w:val="left" w:pos="720"/>
          <w:tab w:val="left" w:pos="1077"/>
          <w:tab w:val="left" w:pos="1418"/>
        </w:tabs>
        <w:spacing w:after="0" w:line="240" w:lineRule="auto"/>
        <w:jc w:val="both"/>
        <w:rPr>
          <w:b/>
          <w:bCs/>
          <w:i/>
          <w:lang w:val="lt-LT"/>
        </w:rPr>
      </w:pPr>
      <w:r w:rsidRPr="00D03619">
        <w:rPr>
          <w:b/>
          <w:bCs/>
          <w:i/>
          <w:lang w:val="lt-LT"/>
        </w:rPr>
        <w:t xml:space="preserve">(Pagal 2025 m. birželio 17  d. įstatymo Nr.  </w:t>
      </w:r>
      <w:r w:rsidRPr="00D03619">
        <w:rPr>
          <w:b/>
          <w:i/>
          <w:color w:val="000000"/>
          <w:lang w:val="lt-LT"/>
        </w:rPr>
        <w:t>XV-285</w:t>
      </w:r>
      <w:r w:rsidRPr="00D03619">
        <w:rPr>
          <w:b/>
          <w:i/>
          <w:lang w:val="lt-LT"/>
        </w:rPr>
        <w:t xml:space="preserve"> </w:t>
      </w:r>
      <w:r w:rsidRPr="00D03619">
        <w:rPr>
          <w:b/>
          <w:bCs/>
          <w:i/>
          <w:lang w:val="lt-LT"/>
        </w:rPr>
        <w:t>redakciją; taikoma apskaičiuojant 2026 metais prasidėjusio ir vėlesnių mokestinių laikotarpių apmokestinamąjį pelną)</w:t>
      </w:r>
    </w:p>
    <w:p w14:paraId="60A9D114" w14:textId="77777777" w:rsidR="00FF2307" w:rsidRDefault="00FF2307" w:rsidP="00FF2307">
      <w:pPr>
        <w:pStyle w:val="Antrat1"/>
        <w:spacing w:after="0" w:line="240" w:lineRule="auto"/>
        <w:jc w:val="both"/>
        <w:rPr>
          <w:rFonts w:ascii="Times New Roman" w:hAnsi="Times New Roman" w:cs="Times New Roman"/>
          <w:bCs w:val="0"/>
          <w:lang w:val="lt-LT"/>
        </w:rPr>
      </w:pPr>
    </w:p>
    <w:p w14:paraId="6DC6DFCD" w14:textId="77777777" w:rsidR="00FF2307" w:rsidRDefault="00FF2307" w:rsidP="00FF2307">
      <w:pPr>
        <w:pStyle w:val="Antrat1"/>
        <w:spacing w:after="0" w:line="240" w:lineRule="auto"/>
        <w:jc w:val="both"/>
        <w:rPr>
          <w:rFonts w:ascii="Times New Roman" w:hAnsi="Times New Roman" w:cs="Times New Roman"/>
          <w:bCs w:val="0"/>
          <w:lang w:val="lt-LT"/>
        </w:rPr>
      </w:pPr>
      <w:r>
        <w:rPr>
          <w:rFonts w:ascii="Times New Roman" w:hAnsi="Times New Roman" w:cs="Times New Roman"/>
          <w:bCs w:val="0"/>
          <w:lang w:val="lt-LT"/>
        </w:rPr>
        <w:t>Komentaras</w:t>
      </w:r>
    </w:p>
    <w:p w14:paraId="0184BF20" w14:textId="77777777" w:rsidR="00FF2307" w:rsidRPr="003656A9" w:rsidRDefault="00FF2307" w:rsidP="00FF2307">
      <w:pPr>
        <w:pStyle w:val="prastasiniatinklio"/>
        <w:jc w:val="both"/>
      </w:pPr>
      <w:r>
        <w:t xml:space="preserve">1. </w:t>
      </w:r>
      <w:r w:rsidRPr="003656A9">
        <w:t>Bendruoju atveju</w:t>
      </w:r>
      <w:r>
        <w:t xml:space="preserve"> </w:t>
      </w:r>
      <w:bookmarkStart w:id="603" w:name="_Hlk225319521"/>
      <w:r>
        <w:t>(išimtys aptartos 2 punkte)</w:t>
      </w:r>
      <w:r w:rsidRPr="003656A9">
        <w:t xml:space="preserve">, </w:t>
      </w:r>
      <w:bookmarkEnd w:id="603"/>
      <w:r w:rsidRPr="003656A9">
        <w:t>apskaičiuojant apmokestinamąjį pelną, atskaitomų mokestinių nuostolių suma</w:t>
      </w:r>
      <w:r>
        <w:t>,</w:t>
      </w:r>
      <w:r w:rsidRPr="003656A9">
        <w:t xml:space="preserve"> įskaitant perimtus nuostolius dėl reorganizavimo ar perleidimo bei </w:t>
      </w:r>
      <w:r>
        <w:t xml:space="preserve">nuostolius perimtus </w:t>
      </w:r>
      <w:r w:rsidRPr="003656A9">
        <w:t>iš vienetų grupės vienetų</w:t>
      </w:r>
      <w:r>
        <w:t xml:space="preserve">, </w:t>
      </w:r>
      <w:r w:rsidRPr="003656A9">
        <w:rPr>
          <w:bCs/>
          <w:color w:val="000000" w:themeColor="text1"/>
        </w:rPr>
        <w:t xml:space="preserve">negali būti didesnė kaip 70 </w:t>
      </w:r>
      <w:r w:rsidRPr="003656A9">
        <w:rPr>
          <w:bCs/>
        </w:rPr>
        <w:t>proc.</w:t>
      </w:r>
      <w:r w:rsidRPr="003656A9">
        <w:t xml:space="preserve"> </w:t>
      </w:r>
      <w:r w:rsidRPr="003656A9">
        <w:rPr>
          <w:bCs/>
          <w:color w:val="000000" w:themeColor="text1"/>
        </w:rPr>
        <w:t>vieneto mokestinio laikotarpio pajamų, apskaičiuotų iš pajamų atėmus neapmokestinamąsias pajamas, leidžiamus atskaitymus ir ribojamų dydžių leidžiamus atskaitymus, išskyrus ankstesnių mokestinių laikotarpių mokestinius nuostolius.</w:t>
      </w:r>
      <w:r w:rsidRPr="003656A9">
        <w:t xml:space="preserve"> </w:t>
      </w:r>
    </w:p>
    <w:p w14:paraId="5CA4E7A5" w14:textId="77777777" w:rsidR="00FF2307" w:rsidRPr="003656A9" w:rsidRDefault="00FF2307" w:rsidP="00FF2307">
      <w:pPr>
        <w:spacing w:after="0" w:line="240" w:lineRule="auto"/>
        <w:rPr>
          <w:color w:val="000000"/>
          <w:lang w:val="lt-LT"/>
        </w:rPr>
      </w:pPr>
      <w:r w:rsidRPr="003656A9">
        <w:rPr>
          <w:color w:val="000000"/>
          <w:lang w:val="lt-LT"/>
        </w:rPr>
        <w:t>2. Šioje dalyje įtvirtinta atskaitomų mokestinių nuostolių dydį ribojanti nuostata netaikoma:</w:t>
      </w:r>
    </w:p>
    <w:p w14:paraId="3D57878C" w14:textId="77777777" w:rsidR="00FF2307" w:rsidRPr="003656A9" w:rsidRDefault="00FF2307" w:rsidP="00FF2307">
      <w:pPr>
        <w:pStyle w:val="Sraopastraipa"/>
        <w:widowControl w:val="0"/>
        <w:tabs>
          <w:tab w:val="left" w:pos="357"/>
          <w:tab w:val="left" w:pos="709"/>
        </w:tabs>
        <w:spacing w:after="0" w:line="240" w:lineRule="auto"/>
        <w:ind w:left="0"/>
        <w:contextualSpacing w:val="0"/>
        <w:jc w:val="both"/>
        <w:rPr>
          <w:bCs/>
          <w:color w:val="000000" w:themeColor="text1"/>
        </w:rPr>
      </w:pPr>
      <w:r>
        <w:tab/>
      </w:r>
      <w:r>
        <w:tab/>
      </w:r>
      <w:r w:rsidRPr="003656A9">
        <w:t xml:space="preserve">1) mokestiniams nuostoliams dėl vertybinių popierių ir (arba) išvestinių finansinių priemonių perleidimo </w:t>
      </w:r>
      <w:r w:rsidRPr="003656A9">
        <w:rPr>
          <w:bCs/>
          <w:color w:val="000000" w:themeColor="text1"/>
        </w:rPr>
        <w:t>(ne finansų įstaigų);</w:t>
      </w:r>
    </w:p>
    <w:p w14:paraId="61F7ECA9" w14:textId="77777777" w:rsidR="00FF2307" w:rsidRPr="003656A9" w:rsidRDefault="00FF2307" w:rsidP="00FF2307">
      <w:pPr>
        <w:pStyle w:val="Sraopastraipa"/>
        <w:widowControl w:val="0"/>
        <w:tabs>
          <w:tab w:val="left" w:pos="357"/>
          <w:tab w:val="left" w:pos="709"/>
        </w:tabs>
        <w:spacing w:after="0" w:line="240" w:lineRule="auto"/>
        <w:ind w:left="0" w:firstLine="720"/>
        <w:contextualSpacing w:val="0"/>
        <w:jc w:val="both"/>
      </w:pPr>
      <w:r w:rsidRPr="003656A9">
        <w:t>2) mokestiniams nuostoliams, patirtiems dėl turto naudojimo, pardavimo ar kitokio perleidimo nuosavybėn ir apskaičiuotiems pagal PMĮ 5 straipsnio 9 dalyje nustatytą formulę;</w:t>
      </w:r>
    </w:p>
    <w:p w14:paraId="7F3EF153" w14:textId="77777777" w:rsidR="00FF2307" w:rsidRPr="003656A9" w:rsidRDefault="00FF2307" w:rsidP="00FF2307">
      <w:pPr>
        <w:pStyle w:val="Sraopastraipa"/>
        <w:widowControl w:val="0"/>
        <w:tabs>
          <w:tab w:val="left" w:pos="357"/>
          <w:tab w:val="left" w:pos="709"/>
        </w:tabs>
        <w:spacing w:after="0" w:line="240" w:lineRule="auto"/>
        <w:ind w:left="0" w:firstLine="720"/>
        <w:contextualSpacing w:val="0"/>
        <w:jc w:val="both"/>
      </w:pPr>
      <w:r w:rsidRPr="003656A9">
        <w:t>3) mokestiniams nuostoliams vienetų, kurių apmokestinamasis pelnas pagal PMĮ 5 straipsnio 2 dalies nuostatas apmokestinamas taikant 7 procentų mokesčio tarifą.</w:t>
      </w:r>
    </w:p>
    <w:p w14:paraId="2CBCE681" w14:textId="77777777" w:rsidR="00FF2307" w:rsidRPr="00D03619" w:rsidRDefault="00FF2307" w:rsidP="00FF2307">
      <w:pPr>
        <w:pStyle w:val="Sraopastraipa"/>
        <w:widowControl w:val="0"/>
        <w:tabs>
          <w:tab w:val="left" w:pos="357"/>
          <w:tab w:val="left" w:pos="709"/>
        </w:tabs>
        <w:spacing w:after="0" w:line="240" w:lineRule="auto"/>
        <w:ind w:left="0" w:firstLine="720"/>
        <w:contextualSpacing w:val="0"/>
        <w:jc w:val="both"/>
      </w:pPr>
    </w:p>
    <w:p w14:paraId="65E3A553" w14:textId="77777777" w:rsidR="00FF2307" w:rsidRPr="00D03619" w:rsidRDefault="00FF2307" w:rsidP="00FF2307">
      <w:pPr>
        <w:pStyle w:val="Sraopastraipa"/>
        <w:widowControl w:val="0"/>
        <w:tabs>
          <w:tab w:val="left" w:pos="357"/>
          <w:tab w:val="left" w:pos="709"/>
        </w:tabs>
        <w:spacing w:after="0" w:line="340" w:lineRule="atLeast"/>
        <w:ind w:left="0" w:firstLine="425"/>
        <w:contextualSpacing w:val="0"/>
        <w:jc w:val="both"/>
      </w:pPr>
    </w:p>
    <w:p w14:paraId="694A3F69" w14:textId="77777777" w:rsidR="00FF2307" w:rsidRDefault="00FF2307" w:rsidP="00FF2307">
      <w:pPr>
        <w:spacing w:after="0" w:line="240" w:lineRule="auto"/>
        <w:rPr>
          <w:lang w:val="lt-LT" w:eastAsia="lt-LT"/>
        </w:rPr>
      </w:pPr>
      <w:r>
        <w:rPr>
          <w:lang w:val="lt-LT" w:eastAsia="lt-LT"/>
        </w:rPr>
        <w:t>Pavyzdžiai</w:t>
      </w:r>
    </w:p>
    <w:p w14:paraId="606F8C50" w14:textId="77777777" w:rsidR="00FF2307" w:rsidRPr="00CB3F73" w:rsidRDefault="00FF2307" w:rsidP="00FF2307">
      <w:pPr>
        <w:spacing w:after="0" w:line="240" w:lineRule="auto"/>
        <w:rPr>
          <w:lang w:val="lt-LT" w:eastAsia="lt-LT"/>
        </w:rPr>
      </w:pPr>
    </w:p>
    <w:p w14:paraId="3266CBDB" w14:textId="77777777" w:rsidR="00FF2307" w:rsidRPr="00424444"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Pr>
          <w:lang w:val="lt-LT"/>
        </w:rPr>
        <w:t xml:space="preserve">1. </w:t>
      </w:r>
      <w:r w:rsidRPr="00D03619">
        <w:rPr>
          <w:lang w:val="lt-LT"/>
        </w:rPr>
        <w:t>Vienetas A (ne finansų įstaiga) 2026 met</w:t>
      </w:r>
      <w:r>
        <w:rPr>
          <w:lang w:val="lt-LT"/>
        </w:rPr>
        <w:t>ais</w:t>
      </w:r>
      <w:r w:rsidRPr="00D03619">
        <w:rPr>
          <w:lang w:val="lt-LT"/>
        </w:rPr>
        <w:t xml:space="preserve"> apskaičiavo </w:t>
      </w:r>
      <w:r w:rsidRPr="00424444">
        <w:rPr>
          <w:lang w:val="lt-LT"/>
        </w:rPr>
        <w:t>150 000 Eur mokestini</w:t>
      </w:r>
      <w:r>
        <w:rPr>
          <w:lang w:val="lt-LT"/>
        </w:rPr>
        <w:t>ų</w:t>
      </w:r>
      <w:r w:rsidRPr="00424444">
        <w:rPr>
          <w:lang w:val="lt-LT"/>
        </w:rPr>
        <w:t xml:space="preserve"> </w:t>
      </w:r>
      <w:r>
        <w:rPr>
          <w:lang w:val="lt-LT"/>
        </w:rPr>
        <w:t xml:space="preserve">veiklos </w:t>
      </w:r>
      <w:r w:rsidRPr="00424444">
        <w:rPr>
          <w:lang w:val="lt-LT"/>
        </w:rPr>
        <w:t>nuostoli</w:t>
      </w:r>
      <w:r>
        <w:rPr>
          <w:lang w:val="lt-LT"/>
        </w:rPr>
        <w:t xml:space="preserve">ų, </w:t>
      </w:r>
      <w:r w:rsidRPr="00424444">
        <w:rPr>
          <w:lang w:val="lt-LT"/>
        </w:rPr>
        <w:t xml:space="preserve"> </w:t>
      </w:r>
      <w:r>
        <w:rPr>
          <w:lang w:val="lt-LT"/>
        </w:rPr>
        <w:t>v</w:t>
      </w:r>
      <w:r w:rsidRPr="00D03619">
        <w:rPr>
          <w:lang w:val="lt-LT"/>
        </w:rPr>
        <w:t xml:space="preserve">ienetas </w:t>
      </w:r>
      <w:r w:rsidRPr="00424444">
        <w:rPr>
          <w:lang w:val="lt-LT"/>
        </w:rPr>
        <w:t xml:space="preserve">B </w:t>
      </w:r>
      <w:r>
        <w:rPr>
          <w:lang w:val="lt-LT"/>
        </w:rPr>
        <w:t xml:space="preserve">apskaičiavo </w:t>
      </w:r>
      <w:r w:rsidRPr="00424444">
        <w:rPr>
          <w:lang w:val="lt-LT"/>
        </w:rPr>
        <w:t>100 000 Eur apmokestinamojo pelno</w:t>
      </w:r>
      <w:r>
        <w:rPr>
          <w:lang w:val="lt-LT"/>
        </w:rPr>
        <w:t>. Vienetai priklauso vienetų grupei</w:t>
      </w:r>
      <w:r w:rsidRPr="00424444">
        <w:rPr>
          <w:lang w:val="lt-LT"/>
        </w:rPr>
        <w:t>.</w:t>
      </w:r>
    </w:p>
    <w:p w14:paraId="2CA74E87"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sidRPr="00424444">
        <w:rPr>
          <w:lang w:val="lt-LT"/>
        </w:rPr>
        <w:t>Maksimal</w:t>
      </w:r>
      <w:r>
        <w:rPr>
          <w:lang w:val="lt-LT"/>
        </w:rPr>
        <w:t>i</w:t>
      </w:r>
      <w:r w:rsidRPr="00424444">
        <w:rPr>
          <w:lang w:val="lt-LT"/>
        </w:rPr>
        <w:t xml:space="preserve"> </w:t>
      </w:r>
      <w:r>
        <w:rPr>
          <w:lang w:val="lt-LT"/>
        </w:rPr>
        <w:t xml:space="preserve">vieneto B atskaitomų mokestinių veiklos </w:t>
      </w:r>
      <w:r w:rsidRPr="00D03619">
        <w:rPr>
          <w:lang w:val="lt-LT"/>
        </w:rPr>
        <w:t>nuostoli</w:t>
      </w:r>
      <w:r>
        <w:rPr>
          <w:lang w:val="lt-LT"/>
        </w:rPr>
        <w:t>ų suma 70 000 Eur (100 000 Eur x70 proc.).</w:t>
      </w:r>
    </w:p>
    <w:p w14:paraId="297C4CD6"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r>
        <w:rPr>
          <w:lang w:val="lt-LT"/>
        </w:rPr>
        <w:t xml:space="preserve"> Kadangi vienetas B neturi nuosavų neatskaitytų </w:t>
      </w:r>
      <w:r w:rsidRPr="00D03619">
        <w:rPr>
          <w:lang w:val="lt-LT"/>
        </w:rPr>
        <w:t>praėjusių mokestinių laikotarpių nuostoli</w:t>
      </w:r>
      <w:r>
        <w:rPr>
          <w:lang w:val="lt-LT"/>
        </w:rPr>
        <w:t>ų, tai jis gali perimti iš nuostolingo grupės vieneto dalį jo mokestinių nuostolių. V</w:t>
      </w:r>
      <w:r w:rsidRPr="00D03619">
        <w:rPr>
          <w:lang w:val="lt-LT"/>
        </w:rPr>
        <w:t xml:space="preserve">ienetas </w:t>
      </w:r>
      <w:r>
        <w:rPr>
          <w:lang w:val="lt-LT"/>
        </w:rPr>
        <w:t xml:space="preserve">B </w:t>
      </w:r>
      <w:r w:rsidRPr="00D03619">
        <w:rPr>
          <w:lang w:val="lt-LT"/>
        </w:rPr>
        <w:t xml:space="preserve">gali sumažinti </w:t>
      </w:r>
      <w:r>
        <w:rPr>
          <w:lang w:val="lt-LT"/>
        </w:rPr>
        <w:t xml:space="preserve">savo </w:t>
      </w:r>
      <w:r w:rsidRPr="00D03619">
        <w:rPr>
          <w:lang w:val="lt-LT"/>
        </w:rPr>
        <w:t>apmokestinamąjį pelną iš kito vienetų grupės vieneto perimt</w:t>
      </w:r>
      <w:r>
        <w:rPr>
          <w:lang w:val="lt-LT"/>
        </w:rPr>
        <w:t>ų</w:t>
      </w:r>
      <w:r w:rsidRPr="00D03619">
        <w:rPr>
          <w:lang w:val="lt-LT"/>
        </w:rPr>
        <w:t xml:space="preserve"> </w:t>
      </w:r>
      <w:r>
        <w:rPr>
          <w:lang w:val="lt-LT"/>
        </w:rPr>
        <w:t xml:space="preserve">mokestinių </w:t>
      </w:r>
      <w:r w:rsidRPr="00D03619">
        <w:rPr>
          <w:lang w:val="lt-LT"/>
        </w:rPr>
        <w:t>nuostoli</w:t>
      </w:r>
      <w:r>
        <w:rPr>
          <w:lang w:val="lt-LT"/>
        </w:rPr>
        <w:t xml:space="preserve">ų dalimi – 70 000 Eur.  </w:t>
      </w:r>
    </w:p>
    <w:p w14:paraId="209C85A3" w14:textId="77777777" w:rsidR="00FF2307" w:rsidRDefault="00FF2307" w:rsidP="00FF2307">
      <w:pPr>
        <w:pBdr>
          <w:top w:val="single" w:sz="4" w:space="1" w:color="auto"/>
          <w:left w:val="single" w:sz="4" w:space="4" w:color="auto"/>
          <w:bottom w:val="single" w:sz="4" w:space="1" w:color="auto"/>
          <w:right w:val="single" w:sz="4" w:space="4" w:color="auto"/>
        </w:pBdr>
        <w:spacing w:after="0" w:line="240" w:lineRule="auto"/>
        <w:ind w:firstLine="720"/>
        <w:jc w:val="both"/>
        <w:rPr>
          <w:lang w:val="lt-LT"/>
        </w:rPr>
      </w:pPr>
    </w:p>
    <w:p w14:paraId="2FBF742A"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Pr>
          <w:lang w:val="lt-LT"/>
        </w:rPr>
        <w:lastRenderedPageBreak/>
        <w:t>2</w:t>
      </w:r>
      <w:r w:rsidRPr="00D03619">
        <w:rPr>
          <w:lang w:val="lt-LT"/>
        </w:rPr>
        <w:t>. Vienetas A (ne finansų įstaiga) 2026 met</w:t>
      </w:r>
      <w:r>
        <w:rPr>
          <w:lang w:val="lt-LT"/>
        </w:rPr>
        <w:t>ai</w:t>
      </w:r>
      <w:r w:rsidRPr="00D03619">
        <w:rPr>
          <w:lang w:val="lt-LT"/>
        </w:rPr>
        <w:t xml:space="preserve">s apskaičiavo 500 000 Eur </w:t>
      </w:r>
      <w:r w:rsidRPr="00720B78">
        <w:rPr>
          <w:bCs/>
          <w:lang w:val="lt-LT"/>
        </w:rPr>
        <w:t>apmokestinamojo</w:t>
      </w:r>
      <w:r w:rsidRPr="00D03619">
        <w:rPr>
          <w:lang w:val="lt-LT"/>
        </w:rPr>
        <w:t xml:space="preserve"> veiklos pelno ir 10 000 Eur VP perleidimo pelno bei </w:t>
      </w:r>
      <w:r w:rsidRPr="00D03619">
        <w:rPr>
          <w:color w:val="000000"/>
          <w:lang w:val="lt-LT"/>
        </w:rPr>
        <w:t>80 000 Eur veiklos, apmokestinamos pagal PMĮ 5 straipsnio 7-9 dalis, pelno</w:t>
      </w:r>
      <w:r w:rsidRPr="00D03619">
        <w:rPr>
          <w:lang w:val="lt-LT"/>
        </w:rPr>
        <w:t xml:space="preserve">. </w:t>
      </w:r>
    </w:p>
    <w:p w14:paraId="5ED840B4"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Ankstesnių mokestinių laikotarpių neperkelti veiklos nuostoliai sudarė 200 000 Eur, VP perleidimo nuostoliai – 40 000 Eur, </w:t>
      </w:r>
      <w:r>
        <w:rPr>
          <w:lang w:val="lt-LT"/>
        </w:rPr>
        <w:t xml:space="preserve">perimti iš prijungtos bendrovės mokestiniai veiklos nuostoliai </w:t>
      </w:r>
      <w:r w:rsidRPr="00D03619">
        <w:rPr>
          <w:lang w:val="lt-LT"/>
        </w:rPr>
        <w:t xml:space="preserve">– </w:t>
      </w:r>
      <w:r>
        <w:rPr>
          <w:lang w:val="lt-LT"/>
        </w:rPr>
        <w:t xml:space="preserve">40 000 Eur, </w:t>
      </w:r>
      <w:r w:rsidRPr="00D03619">
        <w:rPr>
          <w:lang w:val="lt-LT"/>
        </w:rPr>
        <w:t xml:space="preserve">perimti iš kitų grupės vienetų </w:t>
      </w:r>
      <w:r>
        <w:rPr>
          <w:lang w:val="lt-LT"/>
        </w:rPr>
        <w:t xml:space="preserve">mokestiniai veiklos </w:t>
      </w:r>
      <w:r w:rsidRPr="00D03619">
        <w:rPr>
          <w:lang w:val="lt-LT"/>
        </w:rPr>
        <w:t>nuostoliai – 1</w:t>
      </w:r>
      <w:r>
        <w:rPr>
          <w:lang w:val="lt-LT"/>
        </w:rPr>
        <w:t>8</w:t>
      </w:r>
      <w:r w:rsidRPr="00D03619">
        <w:rPr>
          <w:lang w:val="lt-LT"/>
        </w:rPr>
        <w:t>0 000 Eur</w:t>
      </w:r>
      <w:r>
        <w:rPr>
          <w:lang w:val="lt-LT"/>
        </w:rPr>
        <w:t>.</w:t>
      </w:r>
    </w:p>
    <w:p w14:paraId="2937243D"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Apskaičiuodamas 2026 metų apmokestinamąjį pelną, vienetas A iš VP perleidimo pelno gali atskaityti 10 000 Eur ankstesnių mokestinių laikotarpių VP perleidimo nuostolių. </w:t>
      </w:r>
    </w:p>
    <w:p w14:paraId="437612C0" w14:textId="77777777" w:rsidR="00FF2307"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 xml:space="preserve">Iš veiklos ir </w:t>
      </w:r>
      <w:r w:rsidRPr="00D03619">
        <w:rPr>
          <w:color w:val="000000"/>
          <w:lang w:val="lt-LT"/>
        </w:rPr>
        <w:t xml:space="preserve">veiklos, apmokestinamos pagal PMĮ 5 straipsnio 7-9 dalis, </w:t>
      </w:r>
      <w:r w:rsidRPr="00D03619">
        <w:rPr>
          <w:lang w:val="lt-LT"/>
        </w:rPr>
        <w:t xml:space="preserve">pelno atskaitoma ankstesnių mokestinių laikotarpių veiklos nuostolių </w:t>
      </w:r>
      <w:r>
        <w:rPr>
          <w:lang w:val="lt-LT"/>
        </w:rPr>
        <w:t xml:space="preserve">bendra </w:t>
      </w:r>
      <w:r w:rsidRPr="00D03619">
        <w:rPr>
          <w:lang w:val="lt-LT"/>
        </w:rPr>
        <w:t xml:space="preserve">suma negali būti didesnė kaip 406 000 Eur ((500 000 Eur + 80000 Eur)*70/100). </w:t>
      </w:r>
    </w:p>
    <w:p w14:paraId="23BA1A61" w14:textId="77777777" w:rsidR="00FF2307" w:rsidRPr="00D03619" w:rsidRDefault="00FF2307" w:rsidP="00FF2307">
      <w:pPr>
        <w:pBdr>
          <w:top w:val="single" w:sz="4" w:space="1" w:color="auto"/>
          <w:left w:val="single" w:sz="4" w:space="4" w:color="auto"/>
          <w:bottom w:val="single" w:sz="4" w:space="1" w:color="auto"/>
          <w:right w:val="single" w:sz="4" w:space="4" w:color="auto"/>
        </w:pBdr>
        <w:ind w:firstLine="720"/>
        <w:jc w:val="both"/>
        <w:rPr>
          <w:lang w:val="lt-LT"/>
        </w:rPr>
      </w:pPr>
      <w:r w:rsidRPr="00D03619">
        <w:rPr>
          <w:lang w:val="lt-LT"/>
        </w:rPr>
        <w:t>Vienetas A (ne finansų įstaiga) 2026 met</w:t>
      </w:r>
      <w:r>
        <w:rPr>
          <w:lang w:val="lt-LT"/>
        </w:rPr>
        <w:t>ai</w:t>
      </w:r>
      <w:r w:rsidRPr="00D03619">
        <w:rPr>
          <w:lang w:val="lt-LT"/>
        </w:rPr>
        <w:t>s</w:t>
      </w:r>
      <w:r>
        <w:rPr>
          <w:lang w:val="lt-LT"/>
        </w:rPr>
        <w:t xml:space="preserve"> iš </w:t>
      </w:r>
      <w:r w:rsidRPr="00720B78">
        <w:rPr>
          <w:bCs/>
          <w:lang w:val="lt-LT"/>
        </w:rPr>
        <w:t xml:space="preserve">apskaičiuoto apmokestinamojo pelno </w:t>
      </w:r>
      <w:r>
        <w:rPr>
          <w:bCs/>
          <w:lang w:val="lt-LT"/>
        </w:rPr>
        <w:t xml:space="preserve">gali </w:t>
      </w:r>
      <w:r w:rsidRPr="00720B78">
        <w:rPr>
          <w:bCs/>
          <w:lang w:val="lt-LT"/>
        </w:rPr>
        <w:t>atskait</w:t>
      </w:r>
      <w:r>
        <w:rPr>
          <w:bCs/>
          <w:lang w:val="lt-LT"/>
        </w:rPr>
        <w:t xml:space="preserve">yti: 200 000 Eur savo </w:t>
      </w:r>
      <w:r w:rsidRPr="00D03619">
        <w:rPr>
          <w:lang w:val="lt-LT"/>
        </w:rPr>
        <w:t>praėjusių mokestinių laikotarpių nuostoli</w:t>
      </w:r>
      <w:r>
        <w:rPr>
          <w:lang w:val="lt-LT"/>
        </w:rPr>
        <w:t>ų sumą</w:t>
      </w:r>
      <w:r>
        <w:rPr>
          <w:bCs/>
          <w:lang w:val="lt-LT"/>
        </w:rPr>
        <w:t xml:space="preserve">, 40 </w:t>
      </w:r>
      <w:r w:rsidRPr="00720B78">
        <w:rPr>
          <w:bCs/>
          <w:lang w:val="lt-LT"/>
        </w:rPr>
        <w:t>000 E</w:t>
      </w:r>
      <w:r>
        <w:rPr>
          <w:bCs/>
          <w:lang w:val="lt-LT"/>
        </w:rPr>
        <w:t>ur</w:t>
      </w:r>
      <w:r w:rsidRPr="00720B78">
        <w:rPr>
          <w:bCs/>
          <w:lang w:val="lt-LT"/>
        </w:rPr>
        <w:t xml:space="preserve"> iš </w:t>
      </w:r>
      <w:r>
        <w:rPr>
          <w:bCs/>
          <w:lang w:val="lt-LT"/>
        </w:rPr>
        <w:t xml:space="preserve">prijungtos </w:t>
      </w:r>
      <w:r w:rsidRPr="00720B78">
        <w:rPr>
          <w:bCs/>
          <w:lang w:val="lt-LT"/>
        </w:rPr>
        <w:t>bendrovės perimtų bendrovėje tęsiamos veiklos nuostolių sum</w:t>
      </w:r>
      <w:r>
        <w:rPr>
          <w:bCs/>
          <w:lang w:val="lt-LT"/>
        </w:rPr>
        <w:t xml:space="preserve">ą ir 166 000 Eur iš grupės vienetų perimtų mokestinių veiklos nuostolių sumos dalį. Visi mokestiniai veiklos nuotoliai negali būti atskaitomi, nes bendra 420 000 Eur (200 000 Eur + 40 000 Eur + 180 000 Eur) mokestinių nuostolių suma </w:t>
      </w:r>
      <w:r w:rsidRPr="00720B78">
        <w:rPr>
          <w:bCs/>
          <w:lang w:val="lt-LT"/>
        </w:rPr>
        <w:t xml:space="preserve">viršija </w:t>
      </w:r>
      <w:r w:rsidRPr="00720B78">
        <w:rPr>
          <w:lang w:val="lt-LT"/>
        </w:rPr>
        <w:t xml:space="preserve">70 proc. nuo </w:t>
      </w:r>
      <w:r>
        <w:rPr>
          <w:lang w:val="lt-LT"/>
        </w:rPr>
        <w:t xml:space="preserve">580 000 </w:t>
      </w:r>
      <w:r w:rsidRPr="00720B78">
        <w:rPr>
          <w:lang w:val="lt-LT"/>
        </w:rPr>
        <w:t>E</w:t>
      </w:r>
      <w:r>
        <w:rPr>
          <w:lang w:val="lt-LT"/>
        </w:rPr>
        <w:t>ur</w:t>
      </w:r>
      <w:r w:rsidRPr="00720B78">
        <w:rPr>
          <w:lang w:val="lt-LT"/>
        </w:rPr>
        <w:t xml:space="preserve"> apmokestinamojo pelno sumos (</w:t>
      </w:r>
      <w:r>
        <w:rPr>
          <w:lang w:val="lt-LT"/>
        </w:rPr>
        <w:t>580 000</w:t>
      </w:r>
      <w:r w:rsidRPr="00720B78">
        <w:rPr>
          <w:lang w:val="lt-LT"/>
        </w:rPr>
        <w:t xml:space="preserve"> E</w:t>
      </w:r>
      <w:r>
        <w:rPr>
          <w:lang w:val="lt-LT"/>
        </w:rPr>
        <w:t>ur</w:t>
      </w:r>
      <w:r w:rsidRPr="00720B78">
        <w:rPr>
          <w:lang w:val="lt-LT"/>
        </w:rPr>
        <w:t xml:space="preserve"> * 70 proc. = </w:t>
      </w:r>
      <w:r>
        <w:rPr>
          <w:lang w:val="lt-LT"/>
        </w:rPr>
        <w:t>406 000</w:t>
      </w:r>
      <w:r w:rsidRPr="00720B78">
        <w:rPr>
          <w:lang w:val="lt-LT"/>
        </w:rPr>
        <w:t xml:space="preserve"> E</w:t>
      </w:r>
      <w:r>
        <w:rPr>
          <w:lang w:val="lt-LT"/>
        </w:rPr>
        <w:t>ur</w:t>
      </w:r>
      <w:r w:rsidRPr="00720B78">
        <w:rPr>
          <w:lang w:val="lt-LT"/>
        </w:rPr>
        <w:t>)</w:t>
      </w:r>
      <w:r>
        <w:rPr>
          <w:lang w:val="lt-LT"/>
        </w:rPr>
        <w:t>. V</w:t>
      </w:r>
      <w:r w:rsidRPr="00D03619">
        <w:rPr>
          <w:lang w:val="lt-LT"/>
        </w:rPr>
        <w:t xml:space="preserve">ienetas </w:t>
      </w:r>
      <w:r>
        <w:rPr>
          <w:lang w:val="lt-LT"/>
        </w:rPr>
        <w:t xml:space="preserve">A </w:t>
      </w:r>
      <w:r w:rsidRPr="00D03619">
        <w:rPr>
          <w:lang w:val="lt-LT"/>
        </w:rPr>
        <w:t>gali sumažinti apmokestinamąjį pelną iš kito vienetų grupės vieneto perimt</w:t>
      </w:r>
      <w:r>
        <w:rPr>
          <w:lang w:val="lt-LT"/>
        </w:rPr>
        <w:t>ų</w:t>
      </w:r>
      <w:r w:rsidRPr="00D03619">
        <w:rPr>
          <w:lang w:val="lt-LT"/>
        </w:rPr>
        <w:t xml:space="preserve"> </w:t>
      </w:r>
      <w:r>
        <w:rPr>
          <w:lang w:val="lt-LT"/>
        </w:rPr>
        <w:t xml:space="preserve">mokestinių </w:t>
      </w:r>
      <w:r w:rsidRPr="00D03619">
        <w:rPr>
          <w:lang w:val="lt-LT"/>
        </w:rPr>
        <w:t>nuostoli</w:t>
      </w:r>
      <w:r>
        <w:rPr>
          <w:lang w:val="lt-LT"/>
        </w:rPr>
        <w:t xml:space="preserve">ų dalimi 166 000 Eur (406 000 Eur – 200 000 Eur – 40 000 Eur). Likusi neatskaityta 14 000 Eur (180 000 Eur -166 000 Eur) iš kitų grupės vienetų perimta mokestinių nuostolių suma iš vieneto A apmokestinamojo pelno neatskaitoma ir į kitus metus neperkeliama. </w:t>
      </w:r>
    </w:p>
    <w:p w14:paraId="25C46F12" w14:textId="6B1130D6" w:rsidR="00FF2307" w:rsidRDefault="00FF2307" w:rsidP="00FF2307">
      <w:r>
        <w:rPr>
          <w:lang w:val="lt-LT"/>
        </w:rPr>
        <w:tab/>
        <w:t xml:space="preserve">(Papildyta pagal </w:t>
      </w:r>
      <w:r w:rsidRPr="0051529C">
        <w:t xml:space="preserve">VMI prie FM </w:t>
      </w:r>
      <w:r w:rsidRPr="009E4EAD">
        <w:t>2026-03-25</w:t>
      </w:r>
      <w:r>
        <w:t xml:space="preserve"> raštą</w:t>
      </w:r>
      <w:r w:rsidRPr="009E4EAD">
        <w:t xml:space="preserve"> Nr.</w:t>
      </w:r>
      <w:r>
        <w:t xml:space="preserve"> (</w:t>
      </w:r>
      <w:r w:rsidRPr="009E4EAD">
        <w:t>18.32-31-1 E</w:t>
      </w:r>
      <w:r>
        <w:t xml:space="preserve">) </w:t>
      </w:r>
      <w:r w:rsidRPr="009E4EAD">
        <w:t>RM-9626</w:t>
      </w:r>
      <w:r>
        <w:t>)</w:t>
      </w:r>
    </w:p>
    <w:bookmarkEnd w:id="602"/>
    <w:p w14:paraId="011E0831" w14:textId="77777777" w:rsidR="00FF2307" w:rsidRDefault="00FF2307">
      <w:pPr>
        <w:ind w:firstLine="720"/>
        <w:jc w:val="both"/>
        <w:rPr>
          <w:color w:val="000000"/>
          <w:lang w:val="lt-LT"/>
        </w:rPr>
      </w:pPr>
    </w:p>
    <w:p w14:paraId="61BF5909" w14:textId="77777777" w:rsidR="0045500F" w:rsidRPr="0045500F" w:rsidRDefault="0045500F" w:rsidP="0065344A">
      <w:pPr>
        <w:pStyle w:val="Antrat4"/>
        <w:rPr>
          <w:lang w:eastAsia="lt-LT"/>
        </w:rPr>
      </w:pPr>
      <w:bookmarkStart w:id="604" w:name="straipsnis56_2p"/>
      <w:r w:rsidRPr="0045500F">
        <w:t>56</w:t>
      </w:r>
      <w:r w:rsidRPr="0045500F">
        <w:rPr>
          <w:vertAlign w:val="superscript"/>
        </w:rPr>
        <w:t>2</w:t>
      </w:r>
      <w:bookmarkEnd w:id="604"/>
      <w:r w:rsidRPr="0045500F">
        <w:t xml:space="preserve"> straipsnis. Nuolatinės buveinės mokestinių nuostolių perdavimas</w:t>
      </w:r>
    </w:p>
    <w:p w14:paraId="04C7A27D" w14:textId="77777777" w:rsidR="0045500F" w:rsidRPr="00D633C6" w:rsidRDefault="0045500F" w:rsidP="0045500F">
      <w:pPr>
        <w:spacing w:before="100" w:beforeAutospacing="1" w:after="100" w:afterAutospacing="1"/>
        <w:ind w:firstLine="720"/>
        <w:jc w:val="both"/>
        <w:rPr>
          <w:b/>
          <w:lang w:val="lt-LT"/>
        </w:rPr>
      </w:pPr>
      <w:bookmarkStart w:id="605" w:name="part_47f62bb7d0f74bd28ebeb538f8e8cfa6"/>
      <w:bookmarkEnd w:id="605"/>
      <w:r w:rsidRPr="00D633C6">
        <w:rPr>
          <w:b/>
          <w:lang w:val="lt-LT"/>
        </w:rPr>
        <w:t>Lietuvos vieneto nuolatinės buveinės, kurios pajamos pagal šio Įstatymo 4 straipsnio 1 dalį nepriskiriamos Lietuvos vieneto mokesčio bazei, nuostoliai gali būti perduodami ir atskaitomi iš Lietuvos vieneto pajamų šio Įstatymo 30 straipsnyje nustatyta tvarka tik tuo atveju, jeigu:</w:t>
      </w:r>
    </w:p>
    <w:p w14:paraId="79B13E51" w14:textId="77777777" w:rsidR="0045500F" w:rsidRPr="00B62688" w:rsidRDefault="0045500F" w:rsidP="0045500F">
      <w:pPr>
        <w:spacing w:before="100" w:beforeAutospacing="1" w:after="100" w:afterAutospacing="1"/>
        <w:ind w:firstLine="720"/>
        <w:jc w:val="both"/>
        <w:rPr>
          <w:b/>
          <w:lang w:val="lt-LT"/>
        </w:rPr>
      </w:pPr>
      <w:bookmarkStart w:id="606" w:name="part_b5b82921429c4cfe9269f3b060c01f7c"/>
      <w:bookmarkEnd w:id="606"/>
      <w:r w:rsidRPr="00B62688">
        <w:rPr>
          <w:b/>
          <w:lang w:val="lt-LT"/>
        </w:rPr>
        <w:t>1) nuolatinei buveinei priskirtas pelnas apmokestinamas Europos Sąjungos valstybėje narėje 2009 m. spalio 19 d. Tarybos direktyvos 2009/133/EB dėl bendros mokesčių sistemos, taikomos įvairių valstybių narių įmonių jungimui, skaidymui, daliniam skaidymui, turto perleidimui bei keitimuisi akcijomis, ir SE arba SCE registruotos buveinės perkėlimui iš vienos valstybės narės į kitą (OL 2009 L 310, p. 34), 3 straipsnio c punkte nustatytu mokesčiu ir</w:t>
      </w:r>
    </w:p>
    <w:p w14:paraId="1FB0B060" w14:textId="77777777" w:rsidR="0045500F" w:rsidRPr="00B62688" w:rsidRDefault="0045500F" w:rsidP="0045500F">
      <w:pPr>
        <w:spacing w:before="100" w:beforeAutospacing="1" w:after="100" w:afterAutospacing="1"/>
        <w:ind w:firstLine="720"/>
        <w:jc w:val="both"/>
        <w:rPr>
          <w:b/>
          <w:lang w:val="lt-LT"/>
        </w:rPr>
      </w:pPr>
      <w:bookmarkStart w:id="607" w:name="part_0c5ad2a387e940719517589172864fee"/>
      <w:bookmarkEnd w:id="607"/>
      <w:r w:rsidRPr="00B62688">
        <w:rPr>
          <w:b/>
          <w:lang w:val="lt-LT"/>
        </w:rPr>
        <w:t>2) yra išnaudotos visos galimybės atskaityti nuostolius valstybėje, kurioje yra nuostolius perduodanti nuolatinė buveinė, ir</w:t>
      </w:r>
    </w:p>
    <w:p w14:paraId="586B0B98" w14:textId="77777777" w:rsidR="0045500F" w:rsidRPr="00B62688" w:rsidRDefault="0045500F" w:rsidP="0045500F">
      <w:pPr>
        <w:spacing w:before="100" w:beforeAutospacing="1" w:after="100" w:afterAutospacing="1"/>
        <w:ind w:firstLine="720"/>
        <w:jc w:val="both"/>
        <w:rPr>
          <w:b/>
          <w:lang w:val="lt-LT"/>
        </w:rPr>
      </w:pPr>
      <w:bookmarkStart w:id="608" w:name="part_aee27d7025ee48eeaebc28779f40a1ef"/>
      <w:bookmarkEnd w:id="608"/>
      <w:r w:rsidRPr="00B62688">
        <w:rPr>
          <w:b/>
          <w:lang w:val="lt-LT"/>
        </w:rPr>
        <w:t xml:space="preserve">3) nuolatinės buveinės perduodami mokestiniai nuostoliai yra apskaičiuoti (perskaičiuoti) pagal šio Įstatymo nuostatas. </w:t>
      </w:r>
    </w:p>
    <w:p w14:paraId="1DA8B351" w14:textId="77777777" w:rsidR="0045500F" w:rsidRPr="0089549E" w:rsidRDefault="0045500F" w:rsidP="0045500F">
      <w:pPr>
        <w:spacing w:before="100" w:beforeAutospacing="1" w:after="100" w:afterAutospacing="1"/>
        <w:jc w:val="both"/>
        <w:rPr>
          <w:i/>
          <w:lang w:val="lt-LT"/>
        </w:rPr>
      </w:pPr>
      <w:r w:rsidRPr="0089549E">
        <w:rPr>
          <w:b/>
          <w:bCs/>
          <w:i/>
          <w:iCs/>
          <w:color w:val="000000"/>
          <w:lang w:val="lt-LT"/>
        </w:rPr>
        <w:t>TAR pastaba.</w:t>
      </w:r>
      <w:r w:rsidRPr="0089549E">
        <w:rPr>
          <w:i/>
          <w:iCs/>
          <w:color w:val="000000"/>
          <w:lang w:val="lt-LT"/>
        </w:rPr>
        <w:t xml:space="preserve"> 56</w:t>
      </w:r>
      <w:r w:rsidRPr="0089549E">
        <w:rPr>
          <w:i/>
          <w:iCs/>
          <w:vertAlign w:val="superscript"/>
          <w:lang w:val="lt-LT"/>
        </w:rPr>
        <w:t>2</w:t>
      </w:r>
      <w:r w:rsidRPr="0089549E">
        <w:rPr>
          <w:i/>
          <w:iCs/>
          <w:color w:val="000000"/>
          <w:lang w:val="lt-LT"/>
        </w:rPr>
        <w:t xml:space="preserve"> straipsnio nuostatos taikomos apskaičiuojant ir deklaruojant 2020 metų ir vėlesnių mokestinių laikotarpių pelno mokestį.</w:t>
      </w:r>
    </w:p>
    <w:p w14:paraId="6BF3EFE2" w14:textId="77777777" w:rsidR="0045500F" w:rsidRDefault="000871A4" w:rsidP="000871A4">
      <w:pPr>
        <w:spacing w:before="100" w:beforeAutospacing="1" w:after="100" w:afterAutospacing="1"/>
        <w:jc w:val="both"/>
        <w:rPr>
          <w:i/>
          <w:lang w:val="lt-LT"/>
        </w:rPr>
      </w:pPr>
      <w:r>
        <w:rPr>
          <w:i/>
          <w:iCs/>
        </w:rPr>
        <w:t>(</w:t>
      </w:r>
      <w:r w:rsidR="0045500F" w:rsidRPr="0089549E">
        <w:rPr>
          <w:i/>
          <w:iCs/>
        </w:rPr>
        <w:t xml:space="preserve">Papildyta 2019-12-17, </w:t>
      </w:r>
      <w:r w:rsidR="0045500F" w:rsidRPr="0089549E">
        <w:rPr>
          <w:i/>
          <w:lang w:val="lt-LT"/>
        </w:rPr>
        <w:t xml:space="preserve">įstatymu </w:t>
      </w:r>
      <w:r w:rsidR="0045500F" w:rsidRPr="0089549E">
        <w:rPr>
          <w:i/>
          <w:iCs/>
        </w:rPr>
        <w:t xml:space="preserve">Nr. </w:t>
      </w:r>
      <w:hyperlink r:id="rId138" w:tgtFrame="_parent" w:history="1">
        <w:r w:rsidR="0045500F" w:rsidRPr="0089549E">
          <w:rPr>
            <w:rStyle w:val="Hipersaitas"/>
            <w:rFonts w:ascii="Times New Roman" w:hAnsi="Times New Roman" w:cs="Times New Roman"/>
            <w:b w:val="0"/>
            <w:i/>
            <w:iCs/>
          </w:rPr>
          <w:t>XIII-2694</w:t>
        </w:r>
      </w:hyperlink>
      <w:r w:rsidR="0045500F" w:rsidRPr="0089549E">
        <w:rPr>
          <w:i/>
          <w:iCs/>
        </w:rPr>
        <w:t xml:space="preserve"> </w:t>
      </w:r>
      <w:r w:rsidR="0045500F" w:rsidRPr="0089549E">
        <w:rPr>
          <w:i/>
          <w:lang w:val="lt-LT"/>
        </w:rPr>
        <w:t>(nuo 2020 01 01))</w:t>
      </w:r>
    </w:p>
    <w:p w14:paraId="0846998E" w14:textId="77777777" w:rsidR="00B62688" w:rsidRDefault="00B62688" w:rsidP="0045500F">
      <w:pPr>
        <w:spacing w:before="100" w:beforeAutospacing="1" w:after="100" w:afterAutospacing="1"/>
        <w:jc w:val="both"/>
        <w:rPr>
          <w:b/>
          <w:lang w:val="lt-LT"/>
        </w:rPr>
      </w:pPr>
      <w:r>
        <w:rPr>
          <w:lang w:val="lt-LT"/>
        </w:rPr>
        <w:lastRenderedPageBreak/>
        <w:tab/>
      </w:r>
      <w:r w:rsidRPr="00B62688">
        <w:rPr>
          <w:b/>
          <w:lang w:val="lt-LT"/>
        </w:rPr>
        <w:t>Komentaras</w:t>
      </w:r>
    </w:p>
    <w:p w14:paraId="177D9828" w14:textId="77777777" w:rsidR="00B62688" w:rsidRPr="00FF3E5F" w:rsidRDefault="00B62688" w:rsidP="00B62688">
      <w:pPr>
        <w:ind w:firstLine="567"/>
        <w:jc w:val="both"/>
        <w:rPr>
          <w:rFonts w:eastAsia="Calibri"/>
        </w:rPr>
      </w:pPr>
      <w:r w:rsidRPr="00FF3E5F">
        <w:rPr>
          <w:rFonts w:eastAsia="Calibri"/>
        </w:rPr>
        <w:t>Komentuojamame straipsnyje  nustatyta tvarka  sudarytos galimybes Lietuvos vieneto nuolatinei buveinei,</w:t>
      </w:r>
      <w:r w:rsidRPr="00FF3E5F">
        <w:rPr>
          <w:bCs/>
        </w:rPr>
        <w:t xml:space="preserve"> kurios pajamos pagal PMĮ 4 straipsnio 1 dalį nepriskiriamos Lietuvos vieneto mokesčio bazei, pelno mokesčio apskaičiavimo tikslais</w:t>
      </w:r>
      <w:r w:rsidRPr="00FF3E5F">
        <w:rPr>
          <w:rFonts w:eastAsia="Calibri"/>
        </w:rPr>
        <w:t xml:space="preserve"> perduoti nuostolius ir atskaityti juos iš to Lietuvos vieneto pajamų. </w:t>
      </w:r>
    </w:p>
    <w:p w14:paraId="4842F984" w14:textId="77777777" w:rsidR="00B62688" w:rsidRPr="00FF3E5F" w:rsidRDefault="00B62688" w:rsidP="00B62688">
      <w:pPr>
        <w:ind w:firstLine="567"/>
        <w:jc w:val="both"/>
        <w:rPr>
          <w:bCs/>
        </w:rPr>
      </w:pPr>
      <w:r w:rsidRPr="00FF3E5F">
        <w:rPr>
          <w:bCs/>
        </w:rPr>
        <w:t xml:space="preserve"> Lietuvos vieneto nuolatinės buveinės, kurios pajamos pagal PMĮ 4 straipsnio 1 dalį nepriskiriamos Lietuvos vieneto mokesčio bazei, nuostoliai gali būti perduodami ir atskaitomi iš Lietuvos vieneto pajamų PMĮ 30 straipsnyje nustatyta tvarka, jeigu įvykdytos visos trys komentuojamos dalies 1-3 punktuose nustatytos sąlygos, t. y.:</w:t>
      </w:r>
    </w:p>
    <w:p w14:paraId="4C6B25A1" w14:textId="77777777" w:rsidR="00B62688" w:rsidRPr="00FF3E5F" w:rsidRDefault="00B62688" w:rsidP="00EC4E29">
      <w:pPr>
        <w:numPr>
          <w:ilvl w:val="0"/>
          <w:numId w:val="65"/>
        </w:numPr>
        <w:spacing w:after="0" w:line="240" w:lineRule="auto"/>
        <w:ind w:left="0" w:firstLine="567"/>
        <w:contextualSpacing/>
        <w:jc w:val="both"/>
        <w:rPr>
          <w:rFonts w:eastAsia="Calibri"/>
        </w:rPr>
      </w:pPr>
      <w:r w:rsidRPr="00FF3E5F">
        <w:rPr>
          <w:rFonts w:eastAsia="Calibri"/>
        </w:rPr>
        <w:t xml:space="preserve">nuolatinė buveinė yra ES valstybėje narėje, toje valstybėje nuolatinei buveinei priskirtas pelnas apmokestinamas ES valstybėje narėje Direktyvos 90/434/EB 3 straipsnio c punkte nustatytu mokesčiu. </w:t>
      </w:r>
    </w:p>
    <w:p w14:paraId="458F61D0" w14:textId="77777777" w:rsidR="00B62688" w:rsidRPr="00FF3E5F" w:rsidRDefault="00B62688" w:rsidP="00B62688">
      <w:pPr>
        <w:ind w:firstLine="567"/>
        <w:contextualSpacing/>
        <w:jc w:val="both"/>
        <w:rPr>
          <w:rFonts w:eastAsia="Calibri"/>
        </w:rPr>
      </w:pPr>
      <w:r w:rsidRPr="00FF3E5F">
        <w:rPr>
          <w:rFonts w:eastAsia="Calibri"/>
        </w:rPr>
        <w:t xml:space="preserve">Direktyvą 90/434/EB galima rasti Europos Sąjungos portale </w:t>
      </w:r>
      <w:r w:rsidRPr="00FF3E5F">
        <w:rPr>
          <w:rFonts w:eastAsia="Calibri"/>
          <w:b/>
        </w:rPr>
        <w:t>(http://europa.eu/documentation/legislation/index_lt.htm</w:t>
      </w:r>
      <w:r w:rsidRPr="00FF3E5F">
        <w:rPr>
          <w:rFonts w:eastAsia="Calibri"/>
        </w:rPr>
        <w:t>).</w:t>
      </w:r>
    </w:p>
    <w:p w14:paraId="28A8379D" w14:textId="77777777" w:rsidR="00B62688" w:rsidRPr="00FF3E5F" w:rsidRDefault="00B62688" w:rsidP="00B62688">
      <w:pPr>
        <w:ind w:firstLine="567"/>
        <w:contextualSpacing/>
        <w:jc w:val="both"/>
        <w:rPr>
          <w:rFonts w:eastAsia="Calibri"/>
        </w:rPr>
      </w:pPr>
      <w:r w:rsidRPr="00FF3E5F">
        <w:rPr>
          <w:rFonts w:eastAsia="Calibri"/>
        </w:rPr>
        <w:t>Lietuvos vieneto nuolatinės buveinės apmokestinimo pelno ar jam tapačiu mokesčiu užsienio valstybėje faktas gali būti užtikrinamas tos užsienio valstybės mokesčių administratoriaus patvirtintu dokumentu.</w:t>
      </w:r>
    </w:p>
    <w:p w14:paraId="586A4DB6" w14:textId="77777777" w:rsidR="00B62688" w:rsidRPr="00FF3E5F" w:rsidRDefault="00B62688" w:rsidP="00EC4E29">
      <w:pPr>
        <w:numPr>
          <w:ilvl w:val="0"/>
          <w:numId w:val="65"/>
        </w:numPr>
        <w:spacing w:after="0" w:line="240" w:lineRule="auto"/>
        <w:ind w:left="0" w:firstLine="567"/>
        <w:contextualSpacing/>
        <w:jc w:val="both"/>
        <w:rPr>
          <w:rFonts w:eastAsia="Calibri"/>
        </w:rPr>
      </w:pPr>
      <w:r w:rsidRPr="00FF3E5F">
        <w:rPr>
          <w:rFonts w:eastAsia="Calibri"/>
        </w:rPr>
        <w:t xml:space="preserve">yra išnaudotos visos galimybės atskaityti nuostolius valstybėje, kurioje yra nuostolius perduodanti nuolatinė buveinė (pvz., nuolatinė buveinė baigia veiklą toje užsienio valstybėje </w:t>
      </w:r>
      <w:r w:rsidRPr="00FF3E5F">
        <w:rPr>
          <w:rFonts w:eastAsia="Calibri"/>
          <w:b/>
        </w:rPr>
        <w:t>ir (arba)</w:t>
      </w:r>
      <w:r w:rsidRPr="00FF3E5F">
        <w:rPr>
          <w:rFonts w:eastAsia="Calibri"/>
        </w:rPr>
        <w:t xml:space="preserve"> suėjo tos užsienio valstybės nacionaliniuose teisės aktuose nustatyti nuostolių perkėlimo terminai, ir (arba) tos užsienio valstybės nacionaliniai teisės aktai nesuteikia galimybės perkelti nuostolių, ir (arba) kt.).</w:t>
      </w:r>
    </w:p>
    <w:p w14:paraId="01342A7E" w14:textId="77777777" w:rsidR="00B62688" w:rsidRPr="00FF3E5F" w:rsidRDefault="00B62688" w:rsidP="00B62688">
      <w:pPr>
        <w:ind w:firstLine="567"/>
        <w:contextualSpacing/>
        <w:jc w:val="both"/>
        <w:rPr>
          <w:rFonts w:eastAsia="Calibri"/>
        </w:rPr>
      </w:pPr>
      <w:r w:rsidRPr="00FF3E5F">
        <w:rPr>
          <w:rFonts w:eastAsia="Calibri"/>
        </w:rPr>
        <w:t>Vadinasi, Lietuvos vienetas gali perimti iš savo nuolatinės buveinės apskaičiuotus mokestinio laikotarpio nuostolius tik tokiu atveju, jeigu pagal ES valstybės narės, kurioje yra nuostolius perduodanti Lietuvos vieneto nuolatinė buveinė, teisės aktų reikalavimus ta nuolatinė buveinė šių nuostolių negali panaudoti: perkelti į kitus mokestinius laikotarpius arba atskaityti iš savo pajamų (pelno), t. y. buvo išnaudotos visos galimybės įskaityti nuostolius nuolatinės buveinės valstybėje.</w:t>
      </w:r>
    </w:p>
    <w:p w14:paraId="494EE26A" w14:textId="77777777" w:rsidR="00B62688" w:rsidRPr="00FF3E5F" w:rsidRDefault="00B62688" w:rsidP="00B62688">
      <w:pPr>
        <w:ind w:firstLine="567"/>
        <w:jc w:val="both"/>
        <w:rPr>
          <w:bCs/>
        </w:rPr>
      </w:pPr>
    </w:p>
    <w:p w14:paraId="7250D0A7" w14:textId="77777777" w:rsidR="00B62688" w:rsidRPr="00FF3E5F" w:rsidRDefault="00B62688" w:rsidP="00B62688">
      <w:pPr>
        <w:ind w:firstLine="567"/>
        <w:jc w:val="both"/>
        <w:rPr>
          <w:bCs/>
        </w:rPr>
      </w:pPr>
      <w:r w:rsidRPr="00FF3E5F">
        <w:rPr>
          <w:bCs/>
        </w:rPr>
        <w:t>Pavyzdžiai</w:t>
      </w:r>
    </w:p>
    <w:p w14:paraId="21617B4D" w14:textId="77777777" w:rsidR="00B62688" w:rsidRPr="00FF3E5F" w:rsidRDefault="00B62688" w:rsidP="00B62688">
      <w:pPr>
        <w:pBdr>
          <w:top w:val="single" w:sz="4" w:space="1" w:color="auto"/>
          <w:left w:val="single" w:sz="4" w:space="0" w:color="auto"/>
          <w:bottom w:val="single" w:sz="4" w:space="1" w:color="auto"/>
          <w:right w:val="single" w:sz="4" w:space="1" w:color="auto"/>
        </w:pBdr>
        <w:ind w:firstLine="567"/>
        <w:jc w:val="both"/>
      </w:pPr>
      <w:r w:rsidRPr="00FF3E5F">
        <w:t>1. Užsienio valstybėje įregistruota Lietuvos vieneto nuolatinė buveinė Kipre apskaičiavo 150 000 eurų 2020 mokestinių metų veiklos, vykdytos Kipre, nuostolių. Pagal tos užsienio valstybės teisės aktus mokestinio laikotarpio nuostoliai gali būti perkeliami į kitus mokestinius laikotarpius, tačiau ne ilgiau kaip penkis vienas po kito einančius mokestinius laikotarpius. Kadangi Lietuvos vieneto nuolatinė buveinė 2020 mokestinių metų nuostolius turi teisę perkelti į kitus mokestinius laikotarpius nuolatinės buveinės įregistravimo valstybėje, o pagal PMĮ 4 str. 1 dalies nuostatas, nuolatinės buveinės Kipre gautos ir apmokestintos pajamos nėra priskiriamos Lietuvos vieneto mokesčio bazei,  todėl šio mokestinio laikotarpio nuostoliai negali būti perduoti Lietuvos vienetui.</w:t>
      </w:r>
    </w:p>
    <w:p w14:paraId="33C3EA5A" w14:textId="77777777" w:rsidR="00B62688" w:rsidRPr="00FF3E5F" w:rsidRDefault="00B62688" w:rsidP="00B62688">
      <w:pPr>
        <w:pBdr>
          <w:top w:val="single" w:sz="4" w:space="1" w:color="auto"/>
          <w:left w:val="single" w:sz="4" w:space="0" w:color="auto"/>
          <w:bottom w:val="single" w:sz="4" w:space="1" w:color="auto"/>
          <w:right w:val="single" w:sz="4" w:space="1" w:color="auto"/>
        </w:pBdr>
        <w:ind w:firstLine="567"/>
        <w:jc w:val="both"/>
      </w:pPr>
      <w:r w:rsidRPr="00FF3E5F">
        <w:t xml:space="preserve">2. Lietuvos vieneto nuolatinė buveinė Airijoje, kurios pajamos pagal PMĮ 4 str. 1 dalį nepriskiriamos Lietuvos vieneto mokesčio bazei, nuo 2019 metų vykdo nuostolingą veiklą. Pagal tos užsienio valstybės teisės aktus nuolatinė buveinė turi teisę perkelti mokestinius nuostolius į kitus mokestinius laikotarpius neribotą laiką, tačiau tarkime 2023 m. Lietuvos vienetas baigia veiklą Airijoje per nuolatinę buveinę. Lietuvos vienetas nuolatinės buveinės sukauptus mokestinius nuostolius (2019 – 2023 metų), perskaičiuotus pagal PMĮ nuostatas, galės įtraukti pildydamas metinę pelno mokesčio deklaraciją už 2023 mokestinius metus. Likusią 2023 metais nepanaudotą perduotų Lietuvos vieneto nuolatinės buveinės nuostolių dalį Lietuvos vienetas galės perkelti sekančiais mokestiniais laikotarpiais. </w:t>
      </w:r>
    </w:p>
    <w:p w14:paraId="7E024D11" w14:textId="77777777" w:rsidR="00B62688" w:rsidRPr="00FF3E5F" w:rsidRDefault="00B62688" w:rsidP="00B62688">
      <w:pPr>
        <w:ind w:firstLine="567"/>
        <w:jc w:val="both"/>
        <w:rPr>
          <w:bCs/>
        </w:rPr>
      </w:pPr>
      <w:r w:rsidRPr="00FF3E5F">
        <w:lastRenderedPageBreak/>
        <w:t xml:space="preserve">Pats faktas, kad Lietuvos vieneto nuolatinė buveinė registruota užsienio valstybėje nebegali panaudoti nuostolių registruotoje užsienio valstybėje gali būti įtvirtinamas  laisvos formos dokumentu. </w:t>
      </w:r>
    </w:p>
    <w:p w14:paraId="3953853B" w14:textId="77777777" w:rsidR="00B62688" w:rsidRPr="00FF3E5F" w:rsidRDefault="00B62688" w:rsidP="00B62688">
      <w:pPr>
        <w:ind w:firstLine="567"/>
        <w:contextualSpacing/>
        <w:jc w:val="both"/>
        <w:rPr>
          <w:rFonts w:eastAsia="Calibri"/>
        </w:rPr>
      </w:pPr>
    </w:p>
    <w:p w14:paraId="542AEC3E" w14:textId="77777777" w:rsidR="00B62688" w:rsidRPr="00FF3E5F" w:rsidRDefault="00B62688" w:rsidP="00EC4E29">
      <w:pPr>
        <w:numPr>
          <w:ilvl w:val="0"/>
          <w:numId w:val="65"/>
        </w:numPr>
        <w:spacing w:after="0" w:line="240" w:lineRule="auto"/>
        <w:ind w:left="0" w:firstLine="567"/>
        <w:contextualSpacing/>
        <w:jc w:val="both"/>
        <w:rPr>
          <w:rFonts w:eastAsia="Calibri"/>
        </w:rPr>
      </w:pPr>
      <w:r w:rsidRPr="00FF3E5F">
        <w:rPr>
          <w:rFonts w:eastAsia="Calibri"/>
        </w:rPr>
        <w:t xml:space="preserve"> nuolatinės buveinės perduodami mokestiniai nuostoliai yra apskaičiuoti (perskaičiuoti) pagal Pelno mokesčio įstatymo nuostatas. </w:t>
      </w:r>
    </w:p>
    <w:p w14:paraId="0DB5EF20" w14:textId="77777777" w:rsidR="00B62688" w:rsidRPr="00FF3E5F" w:rsidRDefault="00B62688" w:rsidP="00B62688">
      <w:pPr>
        <w:ind w:firstLine="567"/>
        <w:jc w:val="both"/>
        <w:rPr>
          <w:bCs/>
        </w:rPr>
      </w:pPr>
      <w:r w:rsidRPr="00FF3E5F">
        <w:rPr>
          <w:bCs/>
        </w:rPr>
        <w:t xml:space="preserve"> Lietuvos vieneto iš Lietuvos vieneto nuolatinės buveinės perimami nuostoliai turi būti apskaičiuoti/perskaičiuoti pagal PMĮ 11 straipsnio nuostatas, reglamentuojančias apmokestinamojo pelno apskaičiavimo tvarką. Perskaičiuojant Lietuvos vieneto nuolatinės buveinės nuostolį, iš pajamų negali būti atimamos  per nuolatinę buveinę patirtos išlaidos, kurios pagal PMĮ nuostatas priskiriamos neleidžiamiems atskaitymams (pvz., sąnaudos, susidariusias dėl skirtumų, susijusių su turto įsigijimo kainos pripažinimu, nusidėvėjimo (amortizacijos) skaičiavimu, ir kt.).</w:t>
      </w:r>
    </w:p>
    <w:p w14:paraId="17A367FC" w14:textId="77777777" w:rsidR="00B62688" w:rsidRPr="00FF3E5F" w:rsidRDefault="00B62688" w:rsidP="00B62688">
      <w:pPr>
        <w:ind w:firstLine="567"/>
        <w:jc w:val="both"/>
        <w:rPr>
          <w:bCs/>
        </w:rPr>
      </w:pPr>
      <w:r w:rsidRPr="00FF3E5F">
        <w:rPr>
          <w:bCs/>
        </w:rPr>
        <w:t>Lietuvos vienetas apmokestinamąjį pelną gali sumažinti ta Lietuvos vieneto nuolatinės buveinės mokestinio laikotarpio nuostolių suma, kuri yra apskaičiuota/perskaičiuota pagal PMĮ 11 straipsnio nuostatas.</w:t>
      </w:r>
    </w:p>
    <w:p w14:paraId="72D8DB5A" w14:textId="77777777" w:rsidR="00B62688" w:rsidRPr="00FF3E5F" w:rsidRDefault="00B62688" w:rsidP="00B62688">
      <w:pPr>
        <w:ind w:firstLine="567"/>
        <w:jc w:val="both"/>
        <w:rPr>
          <w:bCs/>
        </w:rPr>
      </w:pPr>
      <w:r w:rsidRPr="00FF3E5F">
        <w:rPr>
          <w:bCs/>
        </w:rPr>
        <w:t>Pavyzdžiai</w:t>
      </w:r>
    </w:p>
    <w:p w14:paraId="0463FD5E" w14:textId="77777777" w:rsidR="00B62688" w:rsidRPr="00FF3E5F" w:rsidRDefault="00B62688" w:rsidP="00B62688">
      <w:pPr>
        <w:pBdr>
          <w:top w:val="single" w:sz="4" w:space="1" w:color="auto"/>
          <w:left w:val="single" w:sz="4" w:space="4" w:color="auto"/>
          <w:bottom w:val="single" w:sz="4" w:space="1" w:color="auto"/>
          <w:right w:val="single" w:sz="4" w:space="4" w:color="auto"/>
        </w:pBdr>
        <w:ind w:firstLine="567"/>
        <w:jc w:val="both"/>
        <w:rPr>
          <w:bCs/>
        </w:rPr>
      </w:pPr>
      <w:r w:rsidRPr="00FF3E5F">
        <w:rPr>
          <w:bCs/>
        </w:rPr>
        <w:t xml:space="preserve">1. Lenkijos Respublikoje registruota Lietuvos vieneto nuolatinė buveinė (pagal PMĮ 4 straipsnio 1 dalį vykdomos veiklos pajamos neįtraukiamos į Lietuvos vieneto mokesčio bazę) 2020 m. mokestiniu laikotarpiu apskaičiavo ir deklaravo 130 000 eurų nuostolių. Perskaičiavus šio mokestinio laikotarpio Lietuvos vieneto nuolatinės buveinės veiklos rezultatą pagal PMĮ 11 straipsnio nuostatas, buvo apskaičiuota 160 000 eurų nuostolių. Nuostolių suma padidėjo dėl pajamų, kurios pagal PMĮ nuostatas priskiriamos neapmokestinamosioms pajamoms, o pagal tos užsienio valstybės teisės aktus yra apmokestinamosios pajamos. Neatsižvelgiant į tai, kad Lietuvos vieneto nuolatinė buveinė apskaičiavo ir savo rezidavimo valstybės mokesčių administratoriui deklaravo tik 130 000 eurų nuostolių, Lietuvos vienetas gali perimti 160 000 eurų nuostolių. </w:t>
      </w:r>
    </w:p>
    <w:p w14:paraId="0AFBA165" w14:textId="77777777" w:rsidR="00B62688" w:rsidRPr="00FF3E5F" w:rsidRDefault="00B62688" w:rsidP="00B62688">
      <w:pPr>
        <w:pBdr>
          <w:top w:val="single" w:sz="4" w:space="1" w:color="auto"/>
          <w:left w:val="single" w:sz="4" w:space="4" w:color="auto"/>
          <w:bottom w:val="single" w:sz="4" w:space="1" w:color="auto"/>
          <w:right w:val="single" w:sz="4" w:space="4" w:color="auto"/>
        </w:pBdr>
        <w:ind w:firstLine="567"/>
        <w:jc w:val="both"/>
        <w:rPr>
          <w:bCs/>
        </w:rPr>
      </w:pPr>
      <w:r w:rsidRPr="00FF3E5F">
        <w:rPr>
          <w:bCs/>
        </w:rPr>
        <w:t>2. Lietuvos vieneto nuolatinė buveinė apskaičiavo ir jos įregistravimą užsienio valstybės mokesčių administratoriui deklaravo 2020 mokestinių metų 190 000 eurų nuostolių. Perskaičiavus šio mokestinio laikotarpio Lietuvos vieneto nuolatinės buveinės veiklos rezultatą pagal PMĮ 11 straipsnio nuostatas, buvo apskaičiuota 120 000 eurų nuostolių. Nuostolių suma sumažėjo dėl sąnaudų, kurios pagal PMĮ nuostatas apskaičiuojant apmokestinamąjį pelną, priskiriamos neleidžiamiems atskaitymams. Lietuvos vienetas iš Lietuvos vieneto nuolatinės buveinės gali perimti ne daugiau kaip 120 000 eurų nuostolių, nes šią suma viršijanti 70 000 eurų nuostolių suma pagal PMĮ nuostatas mokestiniu nuostoliu nelaikoma.</w:t>
      </w:r>
    </w:p>
    <w:p w14:paraId="726B538A" w14:textId="77777777" w:rsidR="00B62688" w:rsidRPr="00FF3E5F" w:rsidRDefault="00B62688" w:rsidP="00B62688">
      <w:pPr>
        <w:ind w:firstLine="567"/>
        <w:jc w:val="both"/>
        <w:rPr>
          <w:bCs/>
          <w:strike/>
        </w:rPr>
      </w:pPr>
      <w:r w:rsidRPr="00FF3E5F">
        <w:rPr>
          <w:bCs/>
        </w:rPr>
        <w:t xml:space="preserve">Lietuvos vieneto nuolatinės buveinės perduodami nuostoliai apskaičiuojami, remiantis atitinkamo laikotarpio pajamomis ir sąnaudomis, kurios turi būti pagrįstos juridinę galią turinčiais dokumentais ir/ar tokiais dokumentais, kurie tokiais pripažįstami pagal tos užsienio valstybės teisės aktus, jeigu pagal tuos dokumentus galima nustatyti ūkinės operacijos turinį. </w:t>
      </w:r>
    </w:p>
    <w:p w14:paraId="1A70C9A6" w14:textId="77777777" w:rsidR="00B62688" w:rsidRPr="00FF3E5F" w:rsidRDefault="00B62688" w:rsidP="00B62688">
      <w:pPr>
        <w:ind w:firstLine="567"/>
        <w:jc w:val="both"/>
      </w:pPr>
      <w:r w:rsidRPr="00FF3E5F">
        <w:t xml:space="preserve">Lietuvos vieneto nuolatinės buveinės mokestinių nuostolių apskaičiavimo/perskaičiavimo duomenys turi būti suprantami, detalizuoti laisvos formos dokumentuose, remiantis Lietuvos vieneto nuolatinės buveinės pajamų ir sąnaudų pripažinimo dokumentais. </w:t>
      </w:r>
    </w:p>
    <w:p w14:paraId="73F4AA29" w14:textId="77777777" w:rsidR="00B62688" w:rsidRPr="00FF3E5F" w:rsidRDefault="00B62688" w:rsidP="00B62688">
      <w:pPr>
        <w:ind w:firstLine="567"/>
        <w:jc w:val="both"/>
      </w:pPr>
      <w:r w:rsidRPr="00FF3E5F">
        <w:t xml:space="preserve">Mokesčių administratorius gali paprašyti nuostolius perėmusio Lietuvos vieneto pateikti nuolatinės buveinės pajamas ir sąnaudas pagrindžiančių dokumentų kopijas bei pateiktas užsienio valstybės mokesčių administratoriui mokestinio laikotarpio, kurio nuostolius perduoda Lietuvos vienetui, pelno mokesčio (ar jam tapataus mokesčio) deklaraciją. </w:t>
      </w:r>
    </w:p>
    <w:p w14:paraId="0C30E454" w14:textId="77777777" w:rsidR="00B57CBE" w:rsidRDefault="00B57CBE" w:rsidP="000871A4">
      <w:pPr>
        <w:ind w:firstLine="567"/>
        <w:jc w:val="both"/>
        <w:rPr>
          <w:color w:val="000000"/>
        </w:rPr>
      </w:pPr>
      <w:r>
        <w:rPr>
          <w:iCs/>
          <w:lang w:eastAsia="lt-LT"/>
        </w:rPr>
        <w:t>(P</w:t>
      </w:r>
      <w:r w:rsidRPr="00DC637E">
        <w:rPr>
          <w:iCs/>
          <w:lang w:eastAsia="lt-LT"/>
        </w:rPr>
        <w:t xml:space="preserve">agal VMI prie FM raštą </w:t>
      </w:r>
      <w:r>
        <w:rPr>
          <w:color w:val="000000"/>
        </w:rPr>
        <w:t>2020-12-</w:t>
      </w:r>
      <w:r w:rsidRPr="00DC637E">
        <w:rPr>
          <w:color w:val="000000"/>
        </w:rPr>
        <w:t>3</w:t>
      </w:r>
      <w:r>
        <w:rPr>
          <w:color w:val="000000"/>
        </w:rPr>
        <w:t>0</w:t>
      </w:r>
      <w:r w:rsidRPr="00DC637E">
        <w:rPr>
          <w:color w:val="000000"/>
        </w:rPr>
        <w:t xml:space="preserve"> Nr. </w:t>
      </w:r>
      <w:r w:rsidRPr="00DC637E">
        <w:t>(</w:t>
      </w:r>
      <w:r>
        <w:rPr>
          <w:color w:val="000000"/>
        </w:rPr>
        <w:t>18.10-31-1E) RM-65107</w:t>
      </w:r>
      <w:r w:rsidRPr="00DC637E">
        <w:rPr>
          <w:color w:val="000000"/>
        </w:rPr>
        <w:t>))</w:t>
      </w:r>
    </w:p>
    <w:p w14:paraId="4AB420B0" w14:textId="77777777" w:rsidR="00093845" w:rsidRDefault="000D779E">
      <w:pPr>
        <w:jc w:val="center"/>
        <w:rPr>
          <w:b/>
          <w:lang w:val="lt-LT"/>
        </w:rPr>
      </w:pPr>
      <w:r>
        <w:rPr>
          <w:b/>
          <w:lang w:val="lt-LT"/>
        </w:rPr>
        <w:lastRenderedPageBreak/>
        <w:t>XI SKYRIUS</w:t>
      </w:r>
    </w:p>
    <w:p w14:paraId="7B56E649" w14:textId="77777777" w:rsidR="00093845" w:rsidRDefault="000D779E">
      <w:pPr>
        <w:jc w:val="center"/>
        <w:rPr>
          <w:b/>
          <w:lang w:val="lt-LT"/>
        </w:rPr>
      </w:pPr>
      <w:r>
        <w:rPr>
          <w:b/>
          <w:lang w:val="lt-LT"/>
        </w:rPr>
        <w:t>APSKAITOS REIKALAVIMAI</w:t>
      </w:r>
    </w:p>
    <w:p w14:paraId="4FCD835E" w14:textId="77777777" w:rsidR="00093845" w:rsidRDefault="00093845">
      <w:pPr>
        <w:pStyle w:val="Antrat1"/>
        <w:keepNext w:val="0"/>
        <w:tabs>
          <w:tab w:val="left" w:pos="720"/>
          <w:tab w:val="left" w:pos="1080"/>
        </w:tabs>
        <w:jc w:val="both"/>
        <w:rPr>
          <w:rFonts w:ascii="Times New Roman" w:hAnsi="Times New Roman" w:cs="Times New Roman"/>
          <w:kern w:val="0"/>
          <w:lang w:val="lt-LT"/>
        </w:rPr>
      </w:pPr>
    </w:p>
    <w:p w14:paraId="1A3588F0" w14:textId="77777777" w:rsidR="00F81B19" w:rsidRPr="00D638DB" w:rsidRDefault="00F81B19" w:rsidP="00F81B19">
      <w:pPr>
        <w:rPr>
          <w:lang w:val="lt-LT" w:eastAsia="lt-LT"/>
        </w:rPr>
      </w:pPr>
      <w:r w:rsidRPr="00D638DB">
        <w:rPr>
          <w:b/>
          <w:bCs/>
          <w:lang w:val="lt-LT" w:eastAsia="lt-LT"/>
        </w:rPr>
        <w:t>57 straipsnis. Finansinės apskaitos tvarkymo reikalavimai</w:t>
      </w:r>
    </w:p>
    <w:p w14:paraId="12D32639" w14:textId="77777777" w:rsidR="00F81B19" w:rsidRPr="008F6A59" w:rsidRDefault="00F81B19" w:rsidP="00F81B19">
      <w:pPr>
        <w:jc w:val="both"/>
        <w:rPr>
          <w:b/>
          <w:lang w:val="lt-LT"/>
        </w:rPr>
      </w:pPr>
    </w:p>
    <w:p w14:paraId="496E13AD" w14:textId="77777777" w:rsidR="00F81B19" w:rsidRPr="008F6A59" w:rsidRDefault="00F81B19" w:rsidP="00F81B19">
      <w:pPr>
        <w:jc w:val="both"/>
        <w:rPr>
          <w:b/>
          <w:lang w:val="lt-LT" w:eastAsia="lt-LT"/>
        </w:rPr>
      </w:pPr>
      <w:r w:rsidRPr="008F6A59">
        <w:rPr>
          <w:b/>
          <w:lang w:val="lt-LT" w:eastAsia="lt-LT"/>
        </w:rPr>
        <w:t>1. Mokesčio mokėtojų finansinė apskaita privalo būti tvarkoma taip, kad ji teiktų pakankamą informaciją pelno mokesčiui apskaičiuoti.</w:t>
      </w:r>
    </w:p>
    <w:p w14:paraId="1EF5ABD1" w14:textId="77777777" w:rsidR="00F81B19" w:rsidRPr="00625A61" w:rsidRDefault="00F81B19" w:rsidP="00F81B19">
      <w:pPr>
        <w:tabs>
          <w:tab w:val="left" w:pos="720"/>
          <w:tab w:val="left" w:pos="1077"/>
          <w:tab w:val="left" w:pos="1418"/>
        </w:tabs>
        <w:jc w:val="both"/>
        <w:rPr>
          <w:bCs/>
          <w:i/>
          <w:szCs w:val="20"/>
          <w:lang w:val="lt-LT"/>
        </w:rPr>
      </w:pPr>
      <w:r w:rsidRPr="00927732">
        <w:rPr>
          <w:bCs/>
          <w:i/>
          <w:szCs w:val="20"/>
          <w:lang w:val="lt-LT"/>
        </w:rPr>
        <w:t>(</w:t>
      </w:r>
      <w:r w:rsidRPr="00625A61">
        <w:rPr>
          <w:bCs/>
          <w:i/>
          <w:szCs w:val="20"/>
          <w:lang w:val="lt-LT"/>
        </w:rPr>
        <w:t>pagal 2021 m. lapkričio 23 d. įstatymo Nr. XIV-686 redakciją; taikoma nuo 2022 m. gegužės 1 d.  )</w:t>
      </w:r>
    </w:p>
    <w:p w14:paraId="51CD2DD7" w14:textId="77777777" w:rsidR="00F81B19" w:rsidRPr="00F25EE8" w:rsidRDefault="00F81B19" w:rsidP="00F81B19">
      <w:pPr>
        <w:jc w:val="both"/>
        <w:rPr>
          <w:b/>
          <w:strike/>
          <w:lang w:val="lt-LT"/>
        </w:rPr>
      </w:pPr>
    </w:p>
    <w:p w14:paraId="476484CB" w14:textId="77777777" w:rsidR="00F81B19" w:rsidRPr="00EC18FD" w:rsidRDefault="00F81B19" w:rsidP="00F81B19">
      <w:pPr>
        <w:jc w:val="both"/>
        <w:rPr>
          <w:b/>
          <w:lang w:val="lt-LT"/>
        </w:rPr>
      </w:pPr>
      <w:r w:rsidRPr="00EC18FD">
        <w:rPr>
          <w:b/>
          <w:lang w:val="lt-LT"/>
        </w:rPr>
        <w:t>Komentaras</w:t>
      </w:r>
    </w:p>
    <w:p w14:paraId="76474AF7" w14:textId="77777777" w:rsidR="00F81B19" w:rsidRPr="00EC18FD" w:rsidRDefault="00F81B19" w:rsidP="00F81B19">
      <w:pPr>
        <w:jc w:val="both"/>
        <w:rPr>
          <w:lang w:val="lt-LT"/>
        </w:rPr>
      </w:pPr>
      <w:r w:rsidRPr="00EC18FD">
        <w:rPr>
          <w:lang w:val="lt-LT"/>
        </w:rPr>
        <w:t xml:space="preserve">       1. Vieneto apskaitoje visos ūkinės operacijos turi būti pagrįstos apskaitos dokumentais, kurie turi būti surašomi ūkinės operacijos metu, joms pasibaigus ar įvykus. Duomenys apie ūkines operacijas laiku turi būti įrašyti į vieneto pasirinktus apskaitos registrus. Vienetų </w:t>
      </w:r>
      <w:r w:rsidRPr="00625A61">
        <w:rPr>
          <w:lang w:val="lt-LT"/>
        </w:rPr>
        <w:t>finansinė</w:t>
      </w:r>
      <w:r>
        <w:rPr>
          <w:b/>
          <w:lang w:val="lt-LT"/>
        </w:rPr>
        <w:t xml:space="preserve"> </w:t>
      </w:r>
      <w:r w:rsidRPr="00EC18FD">
        <w:rPr>
          <w:lang w:val="lt-LT"/>
        </w:rPr>
        <w:t>apskaita turi būti tvarkoma taip, kad ji teiktų pakankamos informacijos ne vien tik finansinėms ataskaitoms sudaryti, bet ir pelno mokesčiui apskaičiuoti.</w:t>
      </w:r>
    </w:p>
    <w:p w14:paraId="2813E32A" w14:textId="77777777" w:rsidR="00F81B19" w:rsidRPr="00625A61" w:rsidRDefault="00F81B19" w:rsidP="00F81B19">
      <w:pPr>
        <w:jc w:val="both"/>
        <w:rPr>
          <w:lang w:val="lt-LT"/>
        </w:rPr>
      </w:pPr>
      <w:r w:rsidRPr="00625A61">
        <w:rPr>
          <w:lang w:val="lt-LT"/>
        </w:rPr>
        <w:t xml:space="preserve">       2. Vadovaujantis Lietuvos Respublikos finansinės apskaitos įstatymu, vieneto vadovas organizuoja vieneto apskaitą kad tinkamai būtų apskaitytos sąnaudos ir pajamos pelno mokesčiui apskaičiuoti.</w:t>
      </w:r>
    </w:p>
    <w:p w14:paraId="1DFE786F" w14:textId="77777777" w:rsidR="00F81B19" w:rsidRPr="00EC18FD" w:rsidRDefault="00F81B19" w:rsidP="00F81B19">
      <w:pPr>
        <w:jc w:val="both"/>
        <w:rPr>
          <w:lang w:val="lt-LT"/>
        </w:rPr>
      </w:pPr>
    </w:p>
    <w:p w14:paraId="465EFA50" w14:textId="77777777" w:rsidR="00F81B19" w:rsidRPr="00D638DB" w:rsidRDefault="00F81B19" w:rsidP="00F81B19">
      <w:pPr>
        <w:jc w:val="both"/>
        <w:rPr>
          <w:b/>
          <w:lang w:val="lt-LT" w:eastAsia="lt-LT"/>
        </w:rPr>
      </w:pPr>
      <w:r w:rsidRPr="00D638DB">
        <w:rPr>
          <w:b/>
          <w:lang w:val="lt-LT" w:eastAsia="lt-LT"/>
        </w:rPr>
        <w:t>2. Mokesčio mokėtojai finansinę apskaitą tvarko vadovaudamiesi Finansinės apskaitos įstatymu ir kitais teisės aktais, reglamentuojančiais finansinės apskaitos tvarkymą.</w:t>
      </w:r>
    </w:p>
    <w:p w14:paraId="44B5AD8C" w14:textId="77777777" w:rsidR="00F81B19" w:rsidRPr="00625A61" w:rsidRDefault="00F81B19" w:rsidP="00F81B19">
      <w:pPr>
        <w:tabs>
          <w:tab w:val="left" w:pos="720"/>
          <w:tab w:val="left" w:pos="1077"/>
          <w:tab w:val="left" w:pos="1418"/>
        </w:tabs>
        <w:jc w:val="both"/>
        <w:rPr>
          <w:bCs/>
          <w:i/>
          <w:szCs w:val="20"/>
          <w:lang w:val="lt-LT"/>
        </w:rPr>
      </w:pPr>
      <w:r w:rsidRPr="00933983">
        <w:rPr>
          <w:bCs/>
          <w:i/>
          <w:szCs w:val="20"/>
          <w:lang w:val="lt-LT"/>
        </w:rPr>
        <w:t xml:space="preserve">(pagal </w:t>
      </w:r>
      <w:r w:rsidRPr="00625A61">
        <w:rPr>
          <w:bCs/>
          <w:i/>
          <w:szCs w:val="20"/>
          <w:lang w:val="lt-LT"/>
        </w:rPr>
        <w:t>2021 m. lapkričio 23 d. įstatymo Nr. XIV-686 redakciją; taikoma nuo 2022 m. gegužės 1 d.)</w:t>
      </w:r>
    </w:p>
    <w:p w14:paraId="08CFAF93" w14:textId="77777777" w:rsidR="00F81B19" w:rsidRDefault="00F81B19" w:rsidP="00F81B19">
      <w:pPr>
        <w:jc w:val="both"/>
        <w:rPr>
          <w:lang w:val="lt-LT"/>
        </w:rPr>
      </w:pPr>
    </w:p>
    <w:p w14:paraId="228F5A78" w14:textId="77777777" w:rsidR="00F81B19" w:rsidRDefault="00F81B19" w:rsidP="00F81B19">
      <w:pPr>
        <w:jc w:val="both"/>
        <w:rPr>
          <w:lang w:val="lt-LT"/>
        </w:rPr>
      </w:pPr>
    </w:p>
    <w:p w14:paraId="708E6CAE" w14:textId="77777777" w:rsidR="00F81B19" w:rsidRDefault="00F81B19" w:rsidP="00F81B19">
      <w:pPr>
        <w:jc w:val="both"/>
        <w:rPr>
          <w:lang w:val="lt-LT"/>
        </w:rPr>
      </w:pPr>
    </w:p>
    <w:p w14:paraId="22EC4D2B" w14:textId="77777777" w:rsidR="00F81B19" w:rsidRPr="00F25EE8" w:rsidRDefault="00F81B19" w:rsidP="00F81B19">
      <w:pPr>
        <w:jc w:val="both"/>
        <w:rPr>
          <w:lang w:val="lt-LT"/>
        </w:rPr>
      </w:pPr>
    </w:p>
    <w:p w14:paraId="5E592B22" w14:textId="77777777" w:rsidR="00F81B19" w:rsidRPr="00EC18FD" w:rsidRDefault="00F81B19" w:rsidP="00F81B19">
      <w:pPr>
        <w:ind w:firstLine="567"/>
        <w:jc w:val="both"/>
        <w:rPr>
          <w:b/>
          <w:lang w:val="lt-LT"/>
        </w:rPr>
      </w:pPr>
      <w:r w:rsidRPr="00EC18FD">
        <w:rPr>
          <w:b/>
          <w:lang w:val="lt-LT"/>
        </w:rPr>
        <w:t>Komentaras</w:t>
      </w:r>
    </w:p>
    <w:p w14:paraId="1DD8A041" w14:textId="77777777" w:rsidR="00F81B19" w:rsidRPr="00D87DE4" w:rsidRDefault="00F81B19" w:rsidP="00EC4E29">
      <w:pPr>
        <w:pStyle w:val="Sraopastraipa"/>
        <w:numPr>
          <w:ilvl w:val="0"/>
          <w:numId w:val="66"/>
        </w:numPr>
        <w:tabs>
          <w:tab w:val="left" w:pos="851"/>
        </w:tabs>
        <w:spacing w:after="0" w:line="240" w:lineRule="auto"/>
        <w:ind w:left="0" w:firstLine="284"/>
        <w:jc w:val="both"/>
      </w:pPr>
      <w:r w:rsidRPr="00D87DE4">
        <w:t xml:space="preserve">Visi vienetai </w:t>
      </w:r>
      <w:r w:rsidRPr="00625A61">
        <w:t>finansinę</w:t>
      </w:r>
      <w:r w:rsidRPr="00D87DE4">
        <w:rPr>
          <w:b/>
        </w:rPr>
        <w:t xml:space="preserve"> </w:t>
      </w:r>
      <w:r w:rsidRPr="00D87DE4">
        <w:t xml:space="preserve">apskaitą privalo tvarkyti </w:t>
      </w:r>
      <w:r w:rsidRPr="00625A61">
        <w:t>vadovaujantis</w:t>
      </w:r>
      <w:r>
        <w:rPr>
          <w:b/>
        </w:rPr>
        <w:t xml:space="preserve"> </w:t>
      </w:r>
      <w:r w:rsidRPr="00D87DE4">
        <w:t xml:space="preserve">Lietuvos Respublikos  </w:t>
      </w:r>
      <w:r w:rsidRPr="00625A61">
        <w:t>finansinės</w:t>
      </w:r>
      <w:r w:rsidRPr="00D87DE4">
        <w:rPr>
          <w:b/>
        </w:rPr>
        <w:t xml:space="preserve"> </w:t>
      </w:r>
      <w:r w:rsidRPr="00D87DE4">
        <w:t xml:space="preserve">apskaitos įstatymu. Apskaičiuojant apmokestinamąjį pelną, taikomos tik </w:t>
      </w:r>
      <w:r w:rsidRPr="00625A61">
        <w:t>tos finansinės</w:t>
      </w:r>
      <w:r w:rsidRPr="00D87DE4">
        <w:t xml:space="preserve"> apskaitos nuostatos, kurios neprieštarauja PMĮ nuostatoms.</w:t>
      </w:r>
    </w:p>
    <w:p w14:paraId="1A889C7B" w14:textId="77777777" w:rsidR="00F81B19" w:rsidRPr="00625A61" w:rsidRDefault="00F81B19" w:rsidP="00EC4E29">
      <w:pPr>
        <w:pStyle w:val="Sraopastraipa"/>
        <w:numPr>
          <w:ilvl w:val="0"/>
          <w:numId w:val="66"/>
        </w:numPr>
        <w:tabs>
          <w:tab w:val="left" w:pos="851"/>
        </w:tabs>
        <w:spacing w:after="0" w:line="240" w:lineRule="auto"/>
        <w:ind w:left="0" w:firstLine="284"/>
        <w:jc w:val="both"/>
      </w:pPr>
      <w:r w:rsidRPr="00625A61">
        <w:rPr>
          <w:color w:val="000000"/>
        </w:rPr>
        <w:t>Lietuvos Respublikos finansinės apskaitos įstatymo 14 straipsnio 1 dalyje nustatyta, kad vieneto apskaitą tvarkantys asmenys tvarko, apskaito ir  registruoja ūkines operacijas laikydamiesi Lietuvos Respublikos finansinės apskaitos įstatyme ir taikomuose standartuose nustatytų reikalavimų, subjekto vadovo nustatyta subjekto ūkinių operacijų registravimo ir vertinimo tvarka.</w:t>
      </w:r>
    </w:p>
    <w:p w14:paraId="05E7DD60" w14:textId="77777777" w:rsidR="00F81B19" w:rsidRDefault="00F81B19" w:rsidP="00F81B19">
      <w:pPr>
        <w:jc w:val="both"/>
        <w:rPr>
          <w:b/>
          <w:strike/>
          <w:lang w:val="lt-LT"/>
        </w:rPr>
      </w:pPr>
    </w:p>
    <w:p w14:paraId="2B245251" w14:textId="77777777" w:rsidR="00F81B19" w:rsidRPr="00625A61" w:rsidRDefault="00F81B19" w:rsidP="00F81B19">
      <w:pPr>
        <w:jc w:val="both"/>
        <w:rPr>
          <w:b/>
          <w:lang w:val="lt-LT" w:eastAsia="lt-LT"/>
        </w:rPr>
      </w:pPr>
      <w:r>
        <w:rPr>
          <w:b/>
          <w:lang w:val="lt-LT" w:eastAsia="lt-LT"/>
        </w:rPr>
        <w:t xml:space="preserve">3. </w:t>
      </w:r>
      <w:r w:rsidRPr="00625A61">
        <w:rPr>
          <w:b/>
          <w:lang w:val="lt-LT" w:eastAsia="lt-LT"/>
        </w:rPr>
        <w:t>Pelno mokesčiui skaičiuoti vienetas gali naudoti finansinėje apskaitoje naudojamus visuotinai pripažintus pajamų, sąnaudų pripažinimo, atsargų įkainojimo būdus, jei šis Įstatymas nenustato ko kita.</w:t>
      </w:r>
    </w:p>
    <w:p w14:paraId="2B76A7DF" w14:textId="77777777" w:rsidR="00F81B19" w:rsidRPr="008727BC" w:rsidRDefault="00F81B19" w:rsidP="00F81B19">
      <w:pPr>
        <w:jc w:val="both"/>
        <w:rPr>
          <w:i/>
          <w:lang w:val="lt-LT" w:eastAsia="lt-LT"/>
        </w:rPr>
      </w:pPr>
      <w:r w:rsidRPr="008727BC">
        <w:rPr>
          <w:i/>
          <w:lang w:val="lt-LT" w:eastAsia="lt-LT"/>
        </w:rPr>
        <w:t>(pagal 2021 m. lapkričio 23 d. įstatymo Nr. XIV-686 redakciją; taikoma nuo 2022 m. gegužės 1 d.)</w:t>
      </w:r>
    </w:p>
    <w:p w14:paraId="0212E391" w14:textId="77777777" w:rsidR="00F81B19" w:rsidRDefault="00F81B19" w:rsidP="00F81B19">
      <w:pPr>
        <w:ind w:firstLine="567"/>
        <w:jc w:val="both"/>
        <w:rPr>
          <w:b/>
          <w:lang w:val="lt-LT"/>
        </w:rPr>
      </w:pPr>
    </w:p>
    <w:p w14:paraId="29B0E514" w14:textId="77777777" w:rsidR="00F81B19" w:rsidRPr="00EC18FD" w:rsidRDefault="00F81B19" w:rsidP="00F81B19">
      <w:pPr>
        <w:ind w:firstLine="567"/>
        <w:jc w:val="both"/>
        <w:rPr>
          <w:b/>
          <w:lang w:val="lt-LT"/>
        </w:rPr>
      </w:pPr>
      <w:r w:rsidRPr="00EC18FD">
        <w:rPr>
          <w:b/>
          <w:lang w:val="lt-LT"/>
        </w:rPr>
        <w:t>Komentaras</w:t>
      </w:r>
    </w:p>
    <w:p w14:paraId="0250FAFA" w14:textId="77777777" w:rsidR="00F81B19" w:rsidRPr="00EC18FD" w:rsidRDefault="00F81B19" w:rsidP="00F81B19">
      <w:pPr>
        <w:ind w:firstLine="567"/>
        <w:jc w:val="both"/>
        <w:rPr>
          <w:lang w:val="lt-LT"/>
        </w:rPr>
      </w:pPr>
      <w:r w:rsidRPr="00EC18FD">
        <w:rPr>
          <w:lang w:val="lt-LT"/>
        </w:rPr>
        <w:t xml:space="preserve">      1. Pajamos ir sąnaudos apskaitoje bei finansinėse ataskaitose gali būti pripažįstamos pagal pajamų ir sąnaudų kaupimo apskaitos principą, pagal pinigų apskaitos principą ir kitus </w:t>
      </w:r>
      <w:r w:rsidRPr="00625A61">
        <w:rPr>
          <w:lang w:val="lt-LT"/>
        </w:rPr>
        <w:t>finansinės</w:t>
      </w:r>
      <w:r>
        <w:rPr>
          <w:b/>
          <w:lang w:val="lt-LT"/>
        </w:rPr>
        <w:t xml:space="preserve"> </w:t>
      </w:r>
      <w:r w:rsidRPr="00EC18FD">
        <w:rPr>
          <w:lang w:val="lt-LT"/>
        </w:rPr>
        <w:t>apskaitos tvarkymą reglamentuojančiuose dokumentuose nustatytus principus.</w:t>
      </w:r>
    </w:p>
    <w:p w14:paraId="77B8F09B" w14:textId="77777777" w:rsidR="00F81B19" w:rsidRPr="00EC18FD" w:rsidRDefault="00F81B19" w:rsidP="00F81B19">
      <w:pPr>
        <w:ind w:firstLine="567"/>
        <w:jc w:val="both"/>
        <w:rPr>
          <w:lang w:val="lt-LT"/>
        </w:rPr>
      </w:pPr>
      <w:r w:rsidRPr="00EC18FD">
        <w:rPr>
          <w:lang w:val="lt-LT"/>
        </w:rPr>
        <w:t xml:space="preserve">      2. Kaupimo apskaitos principas numato, kad pajamos laikomos uždirbtomis tada, kai produkcija yra parduota, o paslaugos suteiktos neatsižvelgiant į tai, ar pirkėjai už šias prekes (paslaugas) sumokėjo, ar ne.</w:t>
      </w:r>
    </w:p>
    <w:p w14:paraId="0CF35576" w14:textId="77777777" w:rsidR="00F81B19" w:rsidRPr="00EC18FD" w:rsidRDefault="00F81B19" w:rsidP="00F81B19">
      <w:pPr>
        <w:ind w:firstLine="567"/>
        <w:jc w:val="both"/>
        <w:rPr>
          <w:lang w:val="lt-LT"/>
        </w:rPr>
      </w:pPr>
      <w:r w:rsidRPr="00EC18FD">
        <w:rPr>
          <w:lang w:val="lt-LT"/>
        </w:rPr>
        <w:t xml:space="preserve">      Iš anksto gauta įmoka už ateityje parduotiną produkciją (paslaugas) yra laikoma vieneto įsipareigojimų pirkėjams padidėjimu ir neturi būti registruojama kaip uždirbtos pajamos.</w:t>
      </w:r>
    </w:p>
    <w:p w14:paraId="6E2250AD" w14:textId="77777777" w:rsidR="00F81B19" w:rsidRPr="00EC18FD" w:rsidRDefault="00F81B19" w:rsidP="00F81B19">
      <w:pPr>
        <w:ind w:firstLine="567"/>
        <w:jc w:val="both"/>
        <w:rPr>
          <w:b/>
          <w:lang w:val="lt-LT"/>
        </w:rPr>
      </w:pPr>
      <w:r w:rsidRPr="00EC18FD">
        <w:rPr>
          <w:b/>
          <w:lang w:val="lt-LT"/>
        </w:rPr>
        <w:t>Pavyzdys</w:t>
      </w:r>
    </w:p>
    <w:p w14:paraId="357E019F"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Klientas už numatomas jam suteikti paslaugas </w:t>
      </w:r>
      <w:r w:rsidRPr="00625A61">
        <w:rPr>
          <w:lang w:val="lt-LT"/>
        </w:rPr>
        <w:t>2022-01-10</w:t>
      </w:r>
      <w:r>
        <w:rPr>
          <w:b/>
          <w:lang w:val="lt-LT"/>
        </w:rPr>
        <w:t xml:space="preserve"> </w:t>
      </w:r>
      <w:r w:rsidRPr="00EC18FD">
        <w:rPr>
          <w:lang w:val="lt-LT"/>
        </w:rPr>
        <w:t>vienetui pervedė 2000 EUR</w:t>
      </w:r>
      <w:r w:rsidRPr="00EC18FD">
        <w:rPr>
          <w:b/>
          <w:lang w:val="lt-LT"/>
        </w:rPr>
        <w:t xml:space="preserve"> </w:t>
      </w:r>
      <w:r w:rsidRPr="00EC18FD">
        <w:rPr>
          <w:lang w:val="lt-LT"/>
        </w:rPr>
        <w:t xml:space="preserve">avansą. Vienetas faktiškai paslaugas klientui suteikė </w:t>
      </w:r>
      <w:r w:rsidRPr="00625A61">
        <w:rPr>
          <w:lang w:val="lt-LT"/>
        </w:rPr>
        <w:t>2022-03-23</w:t>
      </w:r>
      <w:r w:rsidRPr="00EC18FD">
        <w:rPr>
          <w:lang w:val="lt-LT"/>
        </w:rPr>
        <w:t xml:space="preserve">. Vienete, gavus išankstinę kliento įmoką, padidėja pinigų suma, kuriais vienetas disponuoja ir atsiranda skola klientui. Šiuo atveju avanso gavimo faktas negali būti pajamų pripažinimo pagrindas. Vienetas, </w:t>
      </w:r>
      <w:r w:rsidRPr="00625A61">
        <w:rPr>
          <w:lang w:val="lt-LT"/>
        </w:rPr>
        <w:t>2022-03-23</w:t>
      </w:r>
      <w:r>
        <w:rPr>
          <w:b/>
          <w:lang w:val="lt-LT"/>
        </w:rPr>
        <w:t xml:space="preserve"> </w:t>
      </w:r>
      <w:r w:rsidRPr="00EC18FD">
        <w:rPr>
          <w:lang w:val="lt-LT"/>
        </w:rPr>
        <w:t>suteikęs numatytas paslaugas, klientui turi išrašyti sąskaitą ir apskaitoje turi užregistruoti pajamas bei skolos sumažėjimą klientui.</w:t>
      </w:r>
    </w:p>
    <w:p w14:paraId="3E110582" w14:textId="77777777" w:rsidR="00F81B19" w:rsidRPr="00EC18FD" w:rsidRDefault="00F81B19" w:rsidP="00F81B19">
      <w:pPr>
        <w:ind w:firstLine="567"/>
        <w:jc w:val="both"/>
        <w:rPr>
          <w:lang w:val="lt-LT"/>
        </w:rPr>
      </w:pPr>
      <w:r w:rsidRPr="00EC18FD">
        <w:rPr>
          <w:lang w:val="lt-LT"/>
        </w:rPr>
        <w:t xml:space="preserve">     3. Laikantis kaupimo apskaitos principo, sąnaudos apskaitoje užregistruojamas tada, kai patiriamos, neatsižvelgiant į tai, kada išleidžiami pinigai. Patirtomis sąnaudomis laikoma sunaudotas turtas bei </w:t>
      </w:r>
      <w:r w:rsidRPr="00625A61">
        <w:rPr>
          <w:lang w:val="lt-LT"/>
        </w:rPr>
        <w:t>gautos</w:t>
      </w:r>
      <w:r>
        <w:rPr>
          <w:b/>
          <w:lang w:val="lt-LT"/>
        </w:rPr>
        <w:t xml:space="preserve"> </w:t>
      </w:r>
      <w:r w:rsidRPr="00EC18FD">
        <w:rPr>
          <w:lang w:val="lt-LT"/>
        </w:rPr>
        <w:t>paslaugos, susiję su ataskaitiniu laikotarpiu uždirbtomis pajamomis. Kadangi pajamos uždirbamos parduodant produkciją arba suteikiant paslaugas, todėl sąnaudomis pripažįstama tik ta turto išlaidų dalis, kuri buvo skirta parduotai produkcijai pagaminti ar paslaugoms suteikti.</w:t>
      </w:r>
    </w:p>
    <w:p w14:paraId="2E0D106A" w14:textId="77777777" w:rsidR="00F81B19" w:rsidRPr="00EC18FD" w:rsidRDefault="00F81B19" w:rsidP="00F81B19">
      <w:pPr>
        <w:ind w:firstLine="567"/>
        <w:jc w:val="both"/>
        <w:rPr>
          <w:b/>
          <w:lang w:val="lt-LT"/>
        </w:rPr>
      </w:pPr>
      <w:r w:rsidRPr="00EC18FD">
        <w:rPr>
          <w:b/>
          <w:lang w:val="lt-LT"/>
        </w:rPr>
        <w:t>Pavyzdys</w:t>
      </w:r>
    </w:p>
    <w:p w14:paraId="463B7139"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Vieneto mokestinis laikotarpis sutampa su kalendoriniais metais. Vienetas visiems </w:t>
      </w:r>
      <w:r w:rsidRPr="00625A61">
        <w:rPr>
          <w:lang w:val="lt-LT"/>
        </w:rPr>
        <w:t>2022</w:t>
      </w:r>
      <w:r>
        <w:rPr>
          <w:b/>
          <w:lang w:val="lt-LT"/>
        </w:rPr>
        <w:t xml:space="preserve"> </w:t>
      </w:r>
      <w:r w:rsidRPr="00EC18FD">
        <w:rPr>
          <w:lang w:val="lt-LT"/>
        </w:rPr>
        <w:t xml:space="preserve">metams išsinuomojo patalpas. Už šių patalpų nuomą vienetas </w:t>
      </w:r>
      <w:r w:rsidRPr="00625A61">
        <w:rPr>
          <w:lang w:val="lt-LT"/>
        </w:rPr>
        <w:t>2021-12-01</w:t>
      </w:r>
      <w:r>
        <w:rPr>
          <w:lang w:val="lt-LT"/>
        </w:rPr>
        <w:t xml:space="preserve"> </w:t>
      </w:r>
      <w:r w:rsidRPr="00EC18FD">
        <w:rPr>
          <w:lang w:val="lt-LT"/>
        </w:rPr>
        <w:t xml:space="preserve">iš anksto sumokėjo 12000 EUR. </w:t>
      </w:r>
      <w:r w:rsidRPr="00625A61">
        <w:rPr>
          <w:lang w:val="lt-LT"/>
        </w:rPr>
        <w:t>Vadovaujantis</w:t>
      </w:r>
      <w:r w:rsidRPr="00EC18FD">
        <w:rPr>
          <w:lang w:val="lt-LT"/>
        </w:rPr>
        <w:t xml:space="preserve"> duomenų kaupimo principu, pinigų išleidimas ir sąnaudų priskyrimas apskaitoje registruojami visiškai neatsižvelgiant į vieną ir kitą. Vienetas, iš anksto sumokėdamas už patalpų nuomą, patyrė piniginių išlaidų, tačiau šios išlaidos nėra skirtos </w:t>
      </w:r>
      <w:r w:rsidRPr="00625A61">
        <w:rPr>
          <w:lang w:val="lt-LT"/>
        </w:rPr>
        <w:t>2021</w:t>
      </w:r>
      <w:r>
        <w:rPr>
          <w:lang w:val="lt-LT"/>
        </w:rPr>
        <w:t xml:space="preserve"> </w:t>
      </w:r>
      <w:r w:rsidRPr="00EC18FD">
        <w:rPr>
          <w:lang w:val="lt-LT"/>
        </w:rPr>
        <w:t>m. gruodžio mėnesio pajamoms uždirbti, nes minėtomis patalpomis vienetas galės naudotis tik ateinantį ataskaitinį laikotarpį.</w:t>
      </w:r>
    </w:p>
    <w:p w14:paraId="717372D1" w14:textId="77777777" w:rsidR="00F81B19" w:rsidRPr="00EC18FD" w:rsidRDefault="00F81B19" w:rsidP="00F81B19">
      <w:pPr>
        <w:ind w:firstLine="567"/>
        <w:jc w:val="both"/>
        <w:rPr>
          <w:lang w:val="lt-LT"/>
        </w:rPr>
      </w:pPr>
      <w:r w:rsidRPr="00EC18FD">
        <w:rPr>
          <w:lang w:val="lt-LT"/>
        </w:rPr>
        <w:t xml:space="preserve">    4. Vienetai, pajamas pripažįstantys pagal pinigų apskaitos principą, pajamas pripažįsta faktišku įplaukų gavimo momentu, o sąnaudas pripažįsta pagal kaupimo apskaitos principą, tačiau, apskaičiuojant apmokestinamąjį pelną, pripažįstamos tik tos sąnaudos, kurios susijusios su įplaukomis, faktiškai gautomis per mokestinį laikotarpį.</w:t>
      </w:r>
    </w:p>
    <w:p w14:paraId="7508B754" w14:textId="77777777" w:rsidR="00F81B19" w:rsidRPr="00EC18FD" w:rsidRDefault="00F81B19" w:rsidP="00F81B19">
      <w:pPr>
        <w:ind w:firstLine="567"/>
        <w:jc w:val="both"/>
        <w:rPr>
          <w:b/>
          <w:lang w:val="lt-LT"/>
        </w:rPr>
      </w:pPr>
      <w:r w:rsidRPr="00EC18FD">
        <w:rPr>
          <w:b/>
          <w:lang w:val="lt-LT"/>
        </w:rPr>
        <w:t>Pavyzdys</w:t>
      </w:r>
    </w:p>
    <w:p w14:paraId="6A6E1802"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Vienetas (individuali įmonė) per </w:t>
      </w:r>
      <w:r w:rsidRPr="00625A61">
        <w:rPr>
          <w:lang w:val="lt-LT"/>
        </w:rPr>
        <w:t>2021</w:t>
      </w:r>
      <w:r>
        <w:rPr>
          <w:lang w:val="lt-LT"/>
        </w:rPr>
        <w:t xml:space="preserve"> </w:t>
      </w:r>
      <w:r w:rsidRPr="00EC18FD">
        <w:rPr>
          <w:lang w:val="lt-LT"/>
        </w:rPr>
        <w:t>m. mokestinį laikotarpį realizavo prekių už 25 000 EUR. Tačiau pirkėjai už pateiktas prekes iki mokestinio laikotarpio pabaigos sumokėjo tik 22 000 EUR. Realizuojant produkciją iš viso buvo patirta sąnaudų  21 500 EUR.</w:t>
      </w:r>
    </w:p>
    <w:p w14:paraId="1C9C06BB" w14:textId="77777777" w:rsidR="00F81B19" w:rsidRPr="00EC18FD" w:rsidRDefault="00F81B19" w:rsidP="00F81B19">
      <w:pPr>
        <w:pBdr>
          <w:top w:val="single" w:sz="4" w:space="1" w:color="auto"/>
          <w:left w:val="single" w:sz="4" w:space="4" w:color="auto"/>
          <w:bottom w:val="single" w:sz="4" w:space="1" w:color="auto"/>
          <w:right w:val="single" w:sz="4" w:space="4" w:color="auto"/>
        </w:pBdr>
        <w:ind w:firstLine="567"/>
        <w:jc w:val="both"/>
        <w:rPr>
          <w:lang w:val="lt-LT"/>
        </w:rPr>
      </w:pPr>
      <w:r w:rsidRPr="00EC18FD">
        <w:rPr>
          <w:lang w:val="lt-LT"/>
        </w:rPr>
        <w:t xml:space="preserve">Užpildant metinę pelno mokesčio deklaraciją, gautoms įplaukoms (22 000 EUR) uždirbti patirtos sąnaudos bus ne visa 21 500 EUR suma, o mažesnė, t. y. tik tos sąnaudos, kurios susijusios su įplaukomis (22 000 EUR), faktiškai gautomis per </w:t>
      </w:r>
      <w:r w:rsidRPr="00625A61">
        <w:rPr>
          <w:lang w:val="lt-LT"/>
        </w:rPr>
        <w:t>2021</w:t>
      </w:r>
      <w:r w:rsidRPr="00EC18FD">
        <w:rPr>
          <w:b/>
          <w:lang w:val="lt-LT"/>
        </w:rPr>
        <w:t xml:space="preserve"> </w:t>
      </w:r>
      <w:r w:rsidRPr="00EC18FD">
        <w:rPr>
          <w:lang w:val="lt-LT"/>
        </w:rPr>
        <w:t>metus.</w:t>
      </w:r>
    </w:p>
    <w:p w14:paraId="28BAED08" w14:textId="77777777" w:rsidR="00F81B19" w:rsidRPr="00EC18FD" w:rsidRDefault="00F81B19" w:rsidP="00F81B19">
      <w:pPr>
        <w:ind w:firstLine="567"/>
        <w:jc w:val="both"/>
        <w:rPr>
          <w:lang w:val="lt-LT"/>
        </w:rPr>
      </w:pPr>
      <w:r w:rsidRPr="00EC18FD">
        <w:rPr>
          <w:lang w:val="lt-LT"/>
        </w:rPr>
        <w:lastRenderedPageBreak/>
        <w:t xml:space="preserve">      5. Prekių pardavimo, atliktų darbų ar paslaugų atlikimo faktai turi būti įforminti atitinkamais dokumentais. Pagal </w:t>
      </w:r>
      <w:r w:rsidRPr="00625A61">
        <w:rPr>
          <w:lang w:val="lt-LT"/>
        </w:rPr>
        <w:t>Lietuvos Respublikos finansinės</w:t>
      </w:r>
      <w:r>
        <w:rPr>
          <w:lang w:val="lt-LT"/>
        </w:rPr>
        <w:t xml:space="preserve"> </w:t>
      </w:r>
      <w:r w:rsidRPr="00EC18FD">
        <w:rPr>
          <w:lang w:val="lt-LT"/>
        </w:rPr>
        <w:t>apskaitos įstatymą apskaitos dokumentais privaloma fiksuoti įvykusias ūkines operacijas</w:t>
      </w:r>
      <w:r w:rsidRPr="00895C52">
        <w:rPr>
          <w:lang w:val="lt-LT"/>
        </w:rPr>
        <w:t xml:space="preserve">. Dokumentai turi būti surašomi </w:t>
      </w:r>
      <w:r w:rsidRPr="00625A61">
        <w:rPr>
          <w:lang w:val="lt-LT"/>
        </w:rPr>
        <w:t>vadovaujantis Lietuvos Respublikos finansinės apskaitos įstatymo 6 straipsniu.</w:t>
      </w:r>
    </w:p>
    <w:p w14:paraId="26240F1E" w14:textId="77777777" w:rsidR="00F81B19" w:rsidRPr="00EC18FD" w:rsidRDefault="00F81B19" w:rsidP="00F81B19">
      <w:pPr>
        <w:ind w:firstLine="567"/>
        <w:jc w:val="both"/>
        <w:rPr>
          <w:lang w:val="lt-LT"/>
        </w:rPr>
      </w:pPr>
      <w:r w:rsidRPr="00EC18FD">
        <w:rPr>
          <w:lang w:val="lt-LT"/>
        </w:rPr>
        <w:t xml:space="preserve">      6. Pagal Lietuvos Respublikos Vyriausybės </w:t>
      </w:r>
      <w:r w:rsidRPr="00EC18FD">
        <w:rPr>
          <w:color w:val="000000"/>
          <w:lang w:val="lt-LT"/>
        </w:rPr>
        <w:t xml:space="preserve">2002 m. </w:t>
      </w:r>
      <w:r w:rsidRPr="00A33455">
        <w:rPr>
          <w:color w:val="000000"/>
          <w:lang w:val="lt-LT"/>
        </w:rPr>
        <w:t>gegužės 29 d.</w:t>
      </w:r>
      <w:r w:rsidRPr="00A33455">
        <w:rPr>
          <w:b/>
          <w:lang w:val="lt-LT"/>
        </w:rPr>
        <w:t xml:space="preserve"> </w:t>
      </w:r>
      <w:r w:rsidRPr="00A33455">
        <w:rPr>
          <w:lang w:val="lt-LT"/>
        </w:rPr>
        <w:t>nutarimą Nr. 780 „Dėl Mokesčiams apskaičiuoti naudojamų apskaitos  dokumentų</w:t>
      </w:r>
      <w:r w:rsidRPr="00EC18FD">
        <w:rPr>
          <w:lang w:val="lt-LT"/>
        </w:rPr>
        <w:t xml:space="preserve"> išrašymo ir pripažinimo taisyklių patvirtinimo“ visų prekių ar kito turto tiekimo (paslaugų teikimo) faktai turi būti įforminti sąskaitomis faktūromis arba PVM sąskaitomis faktūromis. Kai kuriais atvejais vietoj sąskaitos faktūros ar PVM sąskaitos faktūros naudojami laisvos formos apskaitos dokumentai.</w:t>
      </w:r>
    </w:p>
    <w:p w14:paraId="5064C91D" w14:textId="77777777" w:rsidR="00F81B19" w:rsidRPr="00EC18FD" w:rsidRDefault="00F81B19" w:rsidP="00F81B19">
      <w:pPr>
        <w:ind w:firstLine="567"/>
        <w:jc w:val="both"/>
        <w:rPr>
          <w:strike/>
          <w:lang w:val="lt-LT"/>
        </w:rPr>
      </w:pPr>
      <w:r w:rsidRPr="00EC18FD">
        <w:rPr>
          <w:lang w:val="lt-LT"/>
        </w:rPr>
        <w:t xml:space="preserve">      7. Jeigu po prekių tiekimo arba paslaugų teikimo įforminimo pasikeičia tų prekių ar paslaugų apmokestinamoji vertė ir (ar) kiekis, suteikiamos įvairios nuolaidos (kiekio, apyvartos ar pan., išskyrus finansines nuolaidas), prekės (ar jų dalis) grąžinamos, prekių (ar jų dalies) arba paslaugų atsisakoma ar dėl kokių nors kitų priežasčių keičiasi pirkėjo (kliento) mokėtinas atlygis, prekių tiekėjas arba paslaugų teikėjas privalo pirkėjui (klientui) išrašyti kreditinį dokumentą, kuriuo įforminami minėti aplinkybių pasikeitimai. </w:t>
      </w:r>
    </w:p>
    <w:p w14:paraId="458447DC" w14:textId="77777777" w:rsidR="00F81B19" w:rsidRPr="00EC18FD" w:rsidRDefault="00F81B19" w:rsidP="00F81B19">
      <w:pPr>
        <w:ind w:firstLine="567"/>
        <w:jc w:val="both"/>
        <w:rPr>
          <w:strike/>
          <w:lang w:val="lt-LT"/>
        </w:rPr>
      </w:pPr>
      <w:r>
        <w:rPr>
          <w:lang w:val="lt-LT"/>
        </w:rPr>
        <w:t xml:space="preserve">      </w:t>
      </w:r>
      <w:r w:rsidRPr="00EC18FD">
        <w:rPr>
          <w:lang w:val="lt-LT"/>
        </w:rPr>
        <w:t xml:space="preserve">8. Lietuvos Respublikos pridėtinės vertės mokesčio įstatymo 83 straipsnio nustatyta tvarka šalių susitarimu aplinkybių pasikeitimas gali būti įformintas ne prekių tiekėjo ar paslaugų teikėjo išrašomu kreditiniu dokumentu, o pirkėjo (kliento) išrašomu debetiniu dokumentu, jeigu pirkėjas (klientas) yra PVM mokėtojas. </w:t>
      </w:r>
    </w:p>
    <w:p w14:paraId="7EC59317" w14:textId="77777777" w:rsidR="00F81B19" w:rsidRPr="00EC18FD" w:rsidRDefault="00F81B19" w:rsidP="00F81B19">
      <w:pPr>
        <w:ind w:firstLine="567"/>
        <w:jc w:val="both"/>
        <w:rPr>
          <w:lang w:val="lt-LT"/>
        </w:rPr>
      </w:pPr>
      <w:r w:rsidRPr="00EC18FD">
        <w:rPr>
          <w:lang w:val="lt-LT"/>
        </w:rPr>
        <w:t xml:space="preserve">      9.</w:t>
      </w:r>
      <w:r w:rsidRPr="00EC18FD">
        <w:rPr>
          <w:b/>
          <w:lang w:val="lt-LT"/>
        </w:rPr>
        <w:t xml:space="preserve"> </w:t>
      </w:r>
      <w:r w:rsidRPr="00EC18FD">
        <w:rPr>
          <w:lang w:val="lt-LT"/>
        </w:rPr>
        <w:t>Prekių pardavėjas, išrašęs kreditinį apskaitos dokumentą (pvz., kreditinę sąskaitą faktūrą ar PVM sąskaitą faktūrą) arba iš pirkėjo gavęs debetinį apskaitos</w:t>
      </w:r>
      <w:r w:rsidRPr="00EC18FD">
        <w:rPr>
          <w:b/>
          <w:lang w:val="lt-LT"/>
        </w:rPr>
        <w:t xml:space="preserve"> </w:t>
      </w:r>
      <w:r w:rsidRPr="00EC18FD">
        <w:rPr>
          <w:lang w:val="lt-LT"/>
        </w:rPr>
        <w:t xml:space="preserve">dokumentą, atitinkamai turi koreguoti pajamas ir sąnaudas. </w:t>
      </w:r>
    </w:p>
    <w:p w14:paraId="7CA8E731" w14:textId="77777777" w:rsidR="00F81B19" w:rsidRPr="00EC18FD" w:rsidRDefault="00F81B19" w:rsidP="00F81B19">
      <w:pPr>
        <w:ind w:firstLine="567"/>
        <w:jc w:val="both"/>
        <w:rPr>
          <w:lang w:val="lt-LT"/>
        </w:rPr>
      </w:pPr>
      <w:r w:rsidRPr="00EC18FD">
        <w:rPr>
          <w:lang w:val="lt-LT"/>
        </w:rPr>
        <w:t xml:space="preserve">      9.1. Prekių grąžinimo atveju, prekių pardavėjas gali:</w:t>
      </w:r>
    </w:p>
    <w:p w14:paraId="76BA3D28" w14:textId="77777777" w:rsidR="00F81B19" w:rsidRPr="00EC18FD" w:rsidRDefault="00F81B19" w:rsidP="00F81B19">
      <w:pPr>
        <w:ind w:firstLine="567"/>
        <w:jc w:val="both"/>
        <w:rPr>
          <w:lang w:val="lt-LT"/>
        </w:rPr>
      </w:pPr>
      <w:r w:rsidRPr="00EC18FD">
        <w:rPr>
          <w:lang w:val="lt-LT"/>
        </w:rPr>
        <w:t xml:space="preserve">     – mažinti pajamas to mokestinio laikotarpio, kurį tos prekės buvo parduotos, atitinkamai tų prekių įsigijimo verte mažinti sąnaudas arba</w:t>
      </w:r>
    </w:p>
    <w:p w14:paraId="61C91932" w14:textId="77777777" w:rsidR="00F81B19" w:rsidRPr="00EC18FD" w:rsidRDefault="00F81B19" w:rsidP="00F81B19">
      <w:pPr>
        <w:ind w:firstLine="567"/>
        <w:jc w:val="both"/>
        <w:rPr>
          <w:lang w:val="lt-LT"/>
        </w:rPr>
      </w:pPr>
      <w:r w:rsidRPr="00EC18FD">
        <w:rPr>
          <w:lang w:val="lt-LT"/>
        </w:rPr>
        <w:t xml:space="preserve">      – mažinti pajamas to mokestinio laikotarpio, kurį pagal išrašytą kreditinį ar debetinį apskaitos</w:t>
      </w:r>
      <w:r w:rsidRPr="00EC18FD">
        <w:rPr>
          <w:b/>
          <w:lang w:val="lt-LT"/>
        </w:rPr>
        <w:t xml:space="preserve"> </w:t>
      </w:r>
      <w:r w:rsidRPr="00EC18FD">
        <w:rPr>
          <w:lang w:val="lt-LT"/>
        </w:rPr>
        <w:t>dokumentą tos prekės yra grąžinamos, ir tų prekių įsigijimo verte mažinti sąnaudas.</w:t>
      </w:r>
    </w:p>
    <w:p w14:paraId="7AD88221" w14:textId="77777777" w:rsidR="00F81B19" w:rsidRPr="00EC18FD" w:rsidRDefault="00F81B19" w:rsidP="00F81B19">
      <w:pPr>
        <w:ind w:firstLine="567"/>
        <w:jc w:val="both"/>
        <w:rPr>
          <w:b/>
          <w:highlight w:val="lightGray"/>
          <w:lang w:val="lt-LT"/>
        </w:rPr>
      </w:pPr>
      <w:r w:rsidRPr="00EC18FD">
        <w:rPr>
          <w:lang w:val="lt-LT"/>
        </w:rPr>
        <w:t xml:space="preserve">      Analogiškos nuostatos taikomos ir prekių pirkėjui.</w:t>
      </w:r>
      <w:r w:rsidRPr="00EC18FD">
        <w:rPr>
          <w:b/>
          <w:highlight w:val="lightGray"/>
          <w:lang w:val="lt-LT"/>
        </w:rPr>
        <w:t xml:space="preserve"> </w:t>
      </w:r>
    </w:p>
    <w:p w14:paraId="5F052C90" w14:textId="77777777" w:rsidR="00F81B19" w:rsidRPr="00EC18FD" w:rsidRDefault="00F81B19" w:rsidP="00F81B19">
      <w:pPr>
        <w:ind w:firstLine="567"/>
        <w:jc w:val="both"/>
        <w:rPr>
          <w:lang w:val="lt-LT"/>
        </w:rPr>
      </w:pPr>
      <w:r w:rsidRPr="00EC18FD">
        <w:rPr>
          <w:lang w:val="lt-LT"/>
        </w:rPr>
        <w:t xml:space="preserve">      9.2. Kitais atvejais, po prekių tiekimo arba paslaugų teikimo pasikeitus aplinkybėms (pvz., suteikus įvairias nuolaidas, pirkėjui atsisakant suteiktų paslaugų, sumažėjus kainai dėl netinkamai atliktų paslaugų ir kt.) prekių pardavėjas ar paslaugų teikėjas turi mažinti / didinti pajamas ir atitinkamai koreguoti sąnaudas to mokestinio laikotarpio, kurį prekės buvo parduotos arba paslaugos suteiktos. </w:t>
      </w:r>
    </w:p>
    <w:p w14:paraId="648B84D3" w14:textId="77777777" w:rsidR="00F81B19" w:rsidRPr="00EC18FD" w:rsidRDefault="00F81B19" w:rsidP="00F81B19">
      <w:pPr>
        <w:ind w:firstLine="567"/>
        <w:jc w:val="both"/>
        <w:rPr>
          <w:lang w:val="lt-LT"/>
        </w:rPr>
      </w:pPr>
      <w:r w:rsidRPr="00EC18FD">
        <w:rPr>
          <w:lang w:val="lt-LT"/>
        </w:rPr>
        <w:t xml:space="preserve">    Analogiškos nuostatos taikomos ir prekių ar paslaugų pirkėjui.</w:t>
      </w:r>
    </w:p>
    <w:p w14:paraId="57737DCC" w14:textId="77777777" w:rsidR="00F81B19" w:rsidRPr="00EC18FD" w:rsidRDefault="00F81B19" w:rsidP="00F81B19">
      <w:pPr>
        <w:ind w:firstLine="567"/>
        <w:jc w:val="both"/>
        <w:rPr>
          <w:strike/>
          <w:lang w:val="lt-LT"/>
        </w:rPr>
      </w:pPr>
      <w:r w:rsidRPr="00EC18FD">
        <w:rPr>
          <w:lang w:val="lt-LT"/>
        </w:rPr>
        <w:t xml:space="preserve">    Pvz., Įmonė </w:t>
      </w:r>
      <w:r w:rsidRPr="00625A61">
        <w:rPr>
          <w:lang w:val="lt-LT"/>
        </w:rPr>
        <w:t>2022</w:t>
      </w:r>
      <w:r>
        <w:rPr>
          <w:b/>
          <w:lang w:val="lt-LT"/>
        </w:rPr>
        <w:t xml:space="preserve"> </w:t>
      </w:r>
      <w:r w:rsidRPr="00EC18FD">
        <w:rPr>
          <w:lang w:val="lt-LT"/>
        </w:rPr>
        <w:t xml:space="preserve">metais suteikia nuolaidas </w:t>
      </w:r>
      <w:r w:rsidRPr="00625A61">
        <w:rPr>
          <w:lang w:val="lt-LT"/>
        </w:rPr>
        <w:t>2021</w:t>
      </w:r>
      <w:r w:rsidRPr="00EC18FD">
        <w:rPr>
          <w:lang w:val="lt-LT"/>
        </w:rPr>
        <w:t xml:space="preserve"> metais parduotoms prekėms, tai skaičiuojant pelno mokestį už </w:t>
      </w:r>
      <w:r w:rsidRPr="00625A61">
        <w:rPr>
          <w:lang w:val="lt-LT"/>
        </w:rPr>
        <w:t>2021</w:t>
      </w:r>
      <w:r w:rsidRPr="00EC18FD">
        <w:rPr>
          <w:lang w:val="lt-LT"/>
        </w:rPr>
        <w:t xml:space="preserve"> metus, iš įmonės uždirbtų pajamų atimamos jos suteiktos prekybos nuolaidos.</w:t>
      </w:r>
    </w:p>
    <w:p w14:paraId="04ADF193" w14:textId="77777777" w:rsidR="00F81B19" w:rsidRPr="00EC18FD" w:rsidRDefault="00F81B19" w:rsidP="00F81B19">
      <w:pPr>
        <w:ind w:firstLine="567"/>
        <w:jc w:val="both"/>
        <w:rPr>
          <w:lang w:val="lt-LT"/>
        </w:rPr>
      </w:pPr>
      <w:r w:rsidRPr="00EC18FD">
        <w:rPr>
          <w:lang w:val="lt-LT"/>
        </w:rPr>
        <w:t xml:space="preserve">      10. Atsargos – trumpalaikis turtas (žaliavos ir komplektuojamieji gaminiai, nebaigta gamyba, pagaminta produkcija bei pirktos prekės, skirtos perparduoti), kurį įmonė sunaudoja pajamoms uždirbti per vienerius metus arba per vieną įmonės veiklos ciklą.</w:t>
      </w:r>
      <w:r w:rsidRPr="00EC18FD">
        <w:rPr>
          <w:b/>
          <w:lang w:val="lt-LT"/>
        </w:rPr>
        <w:t xml:space="preserve"> </w:t>
      </w:r>
      <w:r w:rsidRPr="00EC18FD">
        <w:rPr>
          <w:lang w:val="lt-LT"/>
        </w:rPr>
        <w:t xml:space="preserve">Įsigytos ar pasigamintos  atsargos  apskaitoje registruojamos  įvertinus  jas  įsigijimo (pasigaminimo) savikaina. </w:t>
      </w:r>
    </w:p>
    <w:p w14:paraId="20194E8D" w14:textId="77777777" w:rsidR="00F81B19" w:rsidRPr="00EC18FD" w:rsidRDefault="00F81B19" w:rsidP="00F81B19">
      <w:pPr>
        <w:ind w:firstLine="567"/>
        <w:jc w:val="both"/>
        <w:rPr>
          <w:lang w:val="lt-LT"/>
        </w:rPr>
      </w:pPr>
      <w:r w:rsidRPr="00EC18FD">
        <w:rPr>
          <w:lang w:val="lt-LT"/>
        </w:rPr>
        <w:t xml:space="preserve">        Sudarant  finansines ataskaitas,  atsargos įvertinamos įsigijimo (pasigaminimo) savikaina  arba grynąja galimo realizavimo verte, ta, kuri iš jų yra mažesnė. Atsargų nukainojimo sumos iki </w:t>
      </w:r>
      <w:r w:rsidRPr="00EC18FD">
        <w:rPr>
          <w:lang w:val="lt-LT"/>
        </w:rPr>
        <w:lastRenderedPageBreak/>
        <w:t>grynosios galimo realizavimo vertės, skaičiuojant apmokestinamąjį pelną, nepriskiriamos leidžiamiems atskaitymams, nes šios sąnaudos nėra patirtos pajamoms uždirbti ar ekonominei naudai gauti.</w:t>
      </w:r>
    </w:p>
    <w:p w14:paraId="05E728E7" w14:textId="77777777" w:rsidR="00F81B19" w:rsidRPr="00EC18FD" w:rsidRDefault="00F81B19" w:rsidP="00F81B19">
      <w:pPr>
        <w:ind w:firstLine="567"/>
        <w:jc w:val="both"/>
        <w:rPr>
          <w:lang w:val="lt-LT"/>
        </w:rPr>
      </w:pPr>
      <w:r w:rsidRPr="00EC18FD">
        <w:rPr>
          <w:lang w:val="lt-LT"/>
        </w:rPr>
        <w:t>Atsargų įsigijimo savikaina jas perkant iš kitų asmenų turi būti nustatoma prie jų pirkimo kainos pridedant visus su pirkimu susijusius mokesčius bei rinkliavas (išskyrus PVM), gabenimo,</w:t>
      </w:r>
      <w:r w:rsidRPr="00EC18FD">
        <w:rPr>
          <w:b/>
          <w:lang w:val="lt-LT"/>
        </w:rPr>
        <w:t xml:space="preserve"> </w:t>
      </w:r>
      <w:r w:rsidRPr="00EC18FD">
        <w:rPr>
          <w:lang w:val="lt-LT"/>
        </w:rPr>
        <w:t xml:space="preserve">paruošimo </w:t>
      </w:r>
      <w:r w:rsidRPr="00EC18FD">
        <w:rPr>
          <w:b/>
          <w:lang w:val="lt-LT"/>
        </w:rPr>
        <w:t xml:space="preserve"> </w:t>
      </w:r>
      <w:r w:rsidRPr="00EC18FD">
        <w:rPr>
          <w:lang w:val="lt-LT"/>
        </w:rPr>
        <w:t>naudoti</w:t>
      </w:r>
      <w:r w:rsidRPr="00EC18FD">
        <w:rPr>
          <w:b/>
          <w:lang w:val="lt-LT"/>
        </w:rPr>
        <w:t xml:space="preserve"> </w:t>
      </w:r>
      <w:r w:rsidRPr="00EC18FD">
        <w:rPr>
          <w:lang w:val="lt-LT"/>
        </w:rPr>
        <w:t>bei kitas tiesiogines išlaidas, susijusias su atsargų įsigijimu bei atimant gautus pirkimo diskontus ir nuolaidas (išskyrus finansines nuolaidas, kurios priskiriamos finansinėms pajamoms tą laikotarpį, kada jomis faktiškai pasinaudojama). Jei gabenimo, sandėliavimo ir pan. išlaidos yra palyginti nedidelės ir sąlyginai pastovios atskirais laikotarpiais, jos gali būti priskiriamos ne atsargų įsigijimo savikainai, o laikotarpio veiklos sąnaudoms.</w:t>
      </w:r>
    </w:p>
    <w:p w14:paraId="1018E9CE" w14:textId="77777777" w:rsidR="00F81B19" w:rsidRPr="00EC18FD" w:rsidRDefault="00F81B19" w:rsidP="00F81B19">
      <w:pPr>
        <w:ind w:firstLine="567"/>
        <w:jc w:val="both"/>
        <w:rPr>
          <w:lang w:val="lt-LT"/>
        </w:rPr>
      </w:pPr>
      <w:r w:rsidRPr="00EC18FD">
        <w:rPr>
          <w:lang w:val="lt-LT"/>
        </w:rPr>
        <w:t xml:space="preserve">        Atsargų pirkimui arba nebaigtų vykdyti sutarčių finansavimui skirtų skolintų sumų palūkanos priskiriamos atsargų įsigijimo savikainai, jei atsargų įsigijimo laikotarpis yra ilgesnis kaip vieneri metai. Šiame punkte minimų paskolų kategorijai gali būti priskirti tik tokie vieneto kreditavimo atvejai, kai kredito institucija, kredituojanti vieneto atsargų įsigijimą ar sutarčių įvykdymą, pati (ne per vienetą) sumoka vieneto tiekėjams ar rangovams.</w:t>
      </w:r>
    </w:p>
    <w:p w14:paraId="26CE4D0B" w14:textId="77777777" w:rsidR="00F81B19" w:rsidRDefault="00F81B19" w:rsidP="00F81B19">
      <w:pPr>
        <w:ind w:firstLine="567"/>
        <w:jc w:val="both"/>
        <w:rPr>
          <w:lang w:val="lt-LT"/>
        </w:rPr>
      </w:pPr>
      <w:r w:rsidRPr="00EC18FD">
        <w:rPr>
          <w:lang w:val="lt-LT"/>
        </w:rPr>
        <w:t xml:space="preserve">       Atsargų pasigaminimo savikaina turi būti nustatoma prie pagrindinių medžiagų, žaliavų ir komplektuojančių gaminių, sunaudotų gaminant šias atsargas (produkciją), įsigijimo savikainos pridedant tiesioginio darbo išlaidas, patirtas gaminant tą trumpalaikį turtą. Į atsargų pagaminimo savikainą turi būti įtraukta ir atitinkama netiesioginių (pridėtinių) gamybos išlaidų dalis, nustatoma pagal pasirinktą paskirstymo kriterijų.</w:t>
      </w:r>
    </w:p>
    <w:p w14:paraId="536E643B" w14:textId="77777777" w:rsidR="00F81B19" w:rsidRPr="00625A61" w:rsidRDefault="00F81B19" w:rsidP="00F81B19">
      <w:pPr>
        <w:ind w:firstLine="567"/>
        <w:jc w:val="both"/>
        <w:rPr>
          <w:lang w:val="lt-LT"/>
        </w:rPr>
      </w:pPr>
      <w:r w:rsidRPr="00625A61">
        <w:rPr>
          <w:lang w:val="lt-LT"/>
        </w:rPr>
        <w:t xml:space="preserve">Apskaičiuojant apmokestinamąjį pelną, </w:t>
      </w:r>
      <w:bookmarkStart w:id="609" w:name="_Hlk85525056"/>
      <w:r w:rsidRPr="00625A61">
        <w:rPr>
          <w:lang w:val="lt-LT"/>
        </w:rPr>
        <w:t>taikomas atsargų įkainojimo būdas, kuris pasirenkamas vadovaujantis finansinę apskaitą reglamentuojančiais teisės aktais, kuriuos vienetas taiko sudarydamas metinių finansinių ataskaitų rinkinį</w:t>
      </w:r>
      <w:bookmarkEnd w:id="609"/>
      <w:r w:rsidRPr="00625A61">
        <w:rPr>
          <w:lang w:val="lt-LT"/>
        </w:rPr>
        <w:t>.</w:t>
      </w:r>
    </w:p>
    <w:p w14:paraId="4D07FEFA" w14:textId="77777777" w:rsidR="00F81B19" w:rsidRPr="00EC18FD" w:rsidRDefault="00F81B19" w:rsidP="00F81B19">
      <w:pPr>
        <w:ind w:firstLine="567"/>
        <w:jc w:val="both"/>
        <w:rPr>
          <w:lang w:val="lt-LT"/>
        </w:rPr>
      </w:pPr>
    </w:p>
    <w:p w14:paraId="46CDAAF7" w14:textId="77777777" w:rsidR="00F81B19" w:rsidRDefault="00F81B19" w:rsidP="00F81B19">
      <w:pPr>
        <w:ind w:firstLine="567"/>
        <w:jc w:val="both"/>
        <w:rPr>
          <w:b/>
          <w:lang w:val="lt-LT"/>
        </w:rPr>
      </w:pPr>
      <w:r w:rsidRPr="00625A61">
        <w:rPr>
          <w:b/>
          <w:lang w:val="lt-LT"/>
        </w:rPr>
        <w:t xml:space="preserve">4. NETEKO GALIOS </w:t>
      </w:r>
    </w:p>
    <w:p w14:paraId="5B24A005" w14:textId="77777777" w:rsidR="00F81B19" w:rsidRPr="008727BC" w:rsidRDefault="00F81B19" w:rsidP="00F81B19">
      <w:pPr>
        <w:tabs>
          <w:tab w:val="left" w:pos="720"/>
          <w:tab w:val="left" w:pos="1077"/>
          <w:tab w:val="left" w:pos="1418"/>
        </w:tabs>
        <w:jc w:val="both"/>
        <w:rPr>
          <w:bCs/>
          <w:i/>
          <w:szCs w:val="20"/>
          <w:lang w:val="lt-LT"/>
        </w:rPr>
      </w:pPr>
      <w:r w:rsidRPr="008727BC">
        <w:rPr>
          <w:bCs/>
          <w:i/>
          <w:szCs w:val="20"/>
          <w:lang w:val="lt-LT"/>
        </w:rPr>
        <w:t>(pagal 2021 m. lapkričio 23 d. įstatymo Nr. XIV-686 redakciją; taikoma nuo 2022 m. gegužės 1 d.)</w:t>
      </w:r>
    </w:p>
    <w:p w14:paraId="271BB4F0" w14:textId="77777777" w:rsidR="009A5B23" w:rsidRPr="009A5B23" w:rsidRDefault="009A5B23" w:rsidP="009A5B23">
      <w:pPr>
        <w:ind w:firstLine="720"/>
        <w:jc w:val="both"/>
        <w:rPr>
          <w:lang w:val="lt-LT" w:eastAsia="lt-LT"/>
        </w:rPr>
      </w:pPr>
      <w:r>
        <w:rPr>
          <w:lang w:val="lt-LT"/>
        </w:rPr>
        <w:t>(P</w:t>
      </w:r>
      <w:r w:rsidRPr="009A5B23">
        <w:rPr>
          <w:lang w:val="lt-LT"/>
        </w:rPr>
        <w:t xml:space="preserve">agal VMI prie FM raštą </w:t>
      </w:r>
      <w:r w:rsidRPr="009A5B23">
        <w:t>2022-12-20 Nr. (18.10-31-1Mr) R-5171</w:t>
      </w:r>
      <w:r>
        <w:t>)</w:t>
      </w:r>
    </w:p>
    <w:p w14:paraId="6CF91BD9" w14:textId="77777777" w:rsidR="00F81B19" w:rsidRPr="00625A61" w:rsidRDefault="00F81B19" w:rsidP="00F81B19">
      <w:pPr>
        <w:ind w:firstLine="567"/>
        <w:jc w:val="both"/>
        <w:rPr>
          <w:b/>
          <w:lang w:val="lt-LT"/>
        </w:rPr>
      </w:pPr>
    </w:p>
    <w:p w14:paraId="2BAE4AAB" w14:textId="77777777" w:rsidR="00F81B19" w:rsidRDefault="00F81B19" w:rsidP="00F81B19">
      <w:pPr>
        <w:rPr>
          <w:lang w:val="lt-LT"/>
        </w:rPr>
      </w:pPr>
    </w:p>
    <w:p w14:paraId="58735F41" w14:textId="77777777" w:rsidR="00F81B19" w:rsidRDefault="00F81B19" w:rsidP="00F81B19">
      <w:pPr>
        <w:rPr>
          <w:lang w:val="lt-LT"/>
        </w:rPr>
      </w:pPr>
    </w:p>
    <w:p w14:paraId="5D1A3859" w14:textId="77777777" w:rsidR="00093845" w:rsidRDefault="000D779E">
      <w:pPr>
        <w:pStyle w:val="Pavadinimas"/>
        <w:rPr>
          <w:lang w:val="lt-LT"/>
        </w:rPr>
      </w:pPr>
      <w:bookmarkStart w:id="610" w:name="_57_straipsnis._Buhalterinės"/>
      <w:bookmarkEnd w:id="610"/>
      <w:r>
        <w:rPr>
          <w:lang w:val="lt-LT"/>
        </w:rPr>
        <w:t>XII SKYRIUS</w:t>
      </w:r>
    </w:p>
    <w:p w14:paraId="51F09236" w14:textId="77777777" w:rsidR="00093845" w:rsidRDefault="00093845">
      <w:pPr>
        <w:jc w:val="center"/>
        <w:rPr>
          <w:b/>
          <w:bCs/>
          <w:szCs w:val="20"/>
          <w:lang w:val="lt-LT"/>
        </w:rPr>
      </w:pPr>
    </w:p>
    <w:p w14:paraId="15260054" w14:textId="77777777" w:rsidR="00093845" w:rsidRDefault="000D779E">
      <w:pPr>
        <w:jc w:val="center"/>
        <w:rPr>
          <w:b/>
          <w:bCs/>
          <w:szCs w:val="20"/>
          <w:lang w:val="lt-LT"/>
        </w:rPr>
      </w:pPr>
      <w:r>
        <w:rPr>
          <w:b/>
          <w:bCs/>
          <w:lang w:val="lt-LT"/>
        </w:rPr>
        <w:t>BAIGIAMOSIOS NUOSTATOS</w:t>
      </w:r>
    </w:p>
    <w:p w14:paraId="6DE760C4" w14:textId="77777777" w:rsidR="00093845" w:rsidRDefault="00093845">
      <w:pPr>
        <w:jc w:val="both"/>
        <w:rPr>
          <w:b/>
          <w:bCs/>
          <w:szCs w:val="20"/>
          <w:lang w:val="lt-LT"/>
        </w:rPr>
      </w:pPr>
    </w:p>
    <w:p w14:paraId="60783FA1" w14:textId="77777777" w:rsidR="00093845" w:rsidRDefault="00093845">
      <w:pPr>
        <w:jc w:val="both"/>
        <w:rPr>
          <w:szCs w:val="20"/>
          <w:lang w:val="lt-LT"/>
        </w:rPr>
      </w:pPr>
    </w:p>
    <w:p w14:paraId="002DEA38" w14:textId="77777777" w:rsidR="00093845" w:rsidRDefault="000D779E">
      <w:pPr>
        <w:pStyle w:val="Antrat1"/>
        <w:jc w:val="both"/>
        <w:rPr>
          <w:rFonts w:ascii="Times New Roman" w:hAnsi="Times New Roman" w:cs="Times New Roman"/>
          <w:szCs w:val="20"/>
          <w:lang w:val="lt-LT"/>
        </w:rPr>
      </w:pPr>
      <w:bookmarkStart w:id="611" w:name="_58_straipsnis._Perėjimo"/>
      <w:bookmarkEnd w:id="611"/>
      <w:r>
        <w:rPr>
          <w:rFonts w:ascii="Times New Roman" w:hAnsi="Times New Roman" w:cs="Times New Roman"/>
          <w:lang w:val="lt-LT"/>
        </w:rPr>
        <w:t xml:space="preserve">58 STRAIPSNIS. Perėjimo nuo vieneto pelno arba pajamų apskaičiavimo ir apmokestinimo pagal Juridinių asmenų pelno mokesčio įstatymą bei Fizinių asmenų pajamų mokesčio laikinojo įstatymo IV skyrių tvarka </w:t>
      </w:r>
    </w:p>
    <w:p w14:paraId="7C7F1AF1" w14:textId="77777777" w:rsidR="00093845" w:rsidRDefault="00093845">
      <w:pPr>
        <w:jc w:val="both"/>
        <w:rPr>
          <w:b/>
          <w:bCs/>
          <w:szCs w:val="20"/>
          <w:lang w:val="lt-LT"/>
        </w:rPr>
      </w:pPr>
    </w:p>
    <w:p w14:paraId="33397D06" w14:textId="77777777" w:rsidR="00093845" w:rsidRDefault="000D779E">
      <w:pPr>
        <w:pStyle w:val="Pagrindiniotekstotrauka2"/>
        <w:tabs>
          <w:tab w:val="left" w:pos="1080"/>
        </w:tabs>
        <w:spacing w:line="240" w:lineRule="auto"/>
        <w:rPr>
          <w:szCs w:val="20"/>
        </w:rPr>
      </w:pPr>
      <w:r>
        <w:lastRenderedPageBreak/>
        <w:t>1.</w:t>
      </w:r>
      <w:r>
        <w:tab/>
        <w:t xml:space="preserve">Jokioms Lietuvos Respublikos juridinių asmenų pelno mokesčio įstatyme bei Lietuvos Respublikos fizinių asmenų pajamų mokesčio laikinajame įstatyme nustatytoms lengvatoms, įskaitant ilgalaikiam materialiajam turtui ir kompiuterių programoms taikomas investicijų lengvatas, tęstinumas netaikomas, jei šis straipsnis nenustato ko kita. </w:t>
      </w:r>
    </w:p>
    <w:p w14:paraId="3F7E1F94" w14:textId="77777777" w:rsidR="00093845" w:rsidRDefault="000D779E">
      <w:pPr>
        <w:ind w:firstLine="720"/>
        <w:jc w:val="both"/>
        <w:rPr>
          <w:b/>
          <w:bCs/>
          <w:lang w:val="lt-LT"/>
        </w:rPr>
      </w:pPr>
      <w:r>
        <w:rPr>
          <w:b/>
          <w:bCs/>
          <w:lang w:val="lt-LT"/>
        </w:rPr>
        <w:t>Komentaras</w:t>
      </w:r>
    </w:p>
    <w:p w14:paraId="648E46C8"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Pelno mokesčio įstatymas (toliau – PMĮ) įsigaliojo nuo 2002-01-01, išskyrus 59 straipsnyje išvardintus straipsnius. Pagal šio įstatymo 59 str. 5 dalies nuostatas nuo 2002-01-01, apskaičiuodami apmokestinamąjį pelną, PMĮ nuostatas privalės taikyti mokesčių mokėtojai, kurių 2002 metų mokestinis laikotarpis sutampa su kalendoriniais metais. Mokesčių mokėtojai, kurių mokestinis laikotarpis prasideda ne nuo kalendorinių metų pradžios, apskaičiuodami apmokestinamąjį pelną, PMĮ nuostatas turės taikyti ne nuo 2002-01-01, bet nuo 2002 metais prasidėjusio jų mokestinio laikotarpio pradžios.</w:t>
      </w:r>
    </w:p>
    <w:p w14:paraId="413E5494"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Tie mokesčių mokėtojai, kurių mokestiniai metai nesutampa su kalendoriniais metais ir kurių 2001 metais prasidėję mokestiniai metai pasibaigia 2002 metais, 2001 metais ne nuo sausio 1 d. prasidėjusių mokestinių metų apmokestinamąjį pelną turės apskaičiuoti ir deklaruoti pagal Juridinių asmenų pelno mokesčio (toliau – JAPM) įstatymą arba pagal Fizinių asmenų pajamų mokesčio laikinąjį (toliau – FAPML) įstatymą (PMĮ 59 str. 5 dalis), t.y. ta pačia tvarka, tais pačiais terminais ir pagal tuos pačius pelno mokesčio tarifus.</w:t>
      </w:r>
    </w:p>
    <w:p w14:paraId="0F3F7727" w14:textId="77777777" w:rsidR="00093845" w:rsidRDefault="000D779E">
      <w:pPr>
        <w:pStyle w:val="Pagrindiniotekstotrauka"/>
        <w:tabs>
          <w:tab w:val="left" w:pos="720"/>
          <w:tab w:val="left" w:pos="1077"/>
          <w:tab w:val="left" w:pos="1418"/>
        </w:tabs>
        <w:rPr>
          <w:rFonts w:ascii="Times New Roman" w:hAnsi="Times New Roman" w:cs="Times New Roman"/>
          <w:szCs w:val="20"/>
          <w:lang w:val="lt-LT"/>
        </w:rPr>
      </w:pPr>
      <w:r>
        <w:rPr>
          <w:rFonts w:ascii="Times New Roman" w:hAnsi="Times New Roman" w:cs="Times New Roman"/>
          <w:lang w:val="lt-LT"/>
        </w:rPr>
        <w:t>3.</w:t>
      </w:r>
      <w:r>
        <w:rPr>
          <w:rFonts w:ascii="Times New Roman" w:hAnsi="Times New Roman" w:cs="Times New Roman"/>
          <w:lang w:val="lt-LT"/>
        </w:rPr>
        <w:tab/>
        <w:t>Nuo 2002 m. prasidėjusio mokestinio laikotarpio netaikomos JAPM įstatymo 21 straipsnyje ir FAPML įstatymo 24 straipsnyje nustatytos investicijų lengvatos. Vadinasi, mokesčių mokėtojai per nuo 2002 m. prasidėjusį mokestinį laikotarpį ir vėliau įsigydami ilgalaikį materialųjį turtą, įskaitant nebaigtą statybą, atlikdami ilgalaikio materialaus turto remontą, kurio vertė didesnė kaip 50 proc. šio turto įsigijimo vertės, rekonstravimo darbus ar įsigydami licencijuotas kompiuterines programas, jau negalės apmokestinamojo pelno apmokestinti pagal nulinį mokesčio tarifą arba visa įsigyto turto, atlikto remonto ar rekonstravimo darbų verte mažinti pajamas.</w:t>
      </w:r>
    </w:p>
    <w:p w14:paraId="10CACE4A"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Kai kurioms JAPM įstatymo 8 bei 9 straipsniuose ir FAPML įstatymo 24 straipsnyje nurodytoms lengvatoms PMĮ 58 str. 2 ir 16 dalyse yra įtvirtinta lengvatų taikymo tęstinumo nuostata arba tos lengvatos nustatytos kituose PMĮ straipsniuose. Kitų lengvatų taikymo tęstinumo nuostata nenumatyta. Vadinasi, nuo 2002 m. prasidėjusio mokestinio laikotarpio pradžios lengvatos taikomos /netaikomos/ tokia tvarka:</w:t>
      </w:r>
    </w:p>
    <w:p w14:paraId="4F58AC6C" w14:textId="77777777" w:rsidR="00093845" w:rsidRDefault="000D779E">
      <w:pPr>
        <w:tabs>
          <w:tab w:val="left" w:pos="720"/>
          <w:tab w:val="left" w:pos="1077"/>
          <w:tab w:val="left" w:pos="1418"/>
        </w:tabs>
        <w:ind w:firstLine="720"/>
        <w:jc w:val="both"/>
        <w:rPr>
          <w:szCs w:val="20"/>
          <w:lang w:val="lt-LT"/>
        </w:rPr>
      </w:pPr>
      <w:r>
        <w:rPr>
          <w:lang w:val="lt-LT"/>
        </w:rPr>
        <w:t>netaikoma JAPM įstatymo 8 str. 3 dalyje nustatyta lengvata kooperatinėms bendrovėms (kooperatyvams), kurios perdirba ir realizuoja tik iš savo narių fizinių asmenų supirktą žemės ūkio produkciją bei teikia žemės ūkio paslaugas tik savo nariams fiziniams asmenims;</w:t>
      </w:r>
    </w:p>
    <w:p w14:paraId="17DB8646" w14:textId="77777777" w:rsidR="00093845" w:rsidRDefault="000D779E">
      <w:pPr>
        <w:tabs>
          <w:tab w:val="left" w:pos="720"/>
          <w:tab w:val="left" w:pos="1077"/>
          <w:tab w:val="left" w:pos="1418"/>
        </w:tabs>
        <w:ind w:firstLine="720"/>
        <w:jc w:val="both"/>
        <w:rPr>
          <w:szCs w:val="20"/>
          <w:lang w:val="lt-LT"/>
        </w:rPr>
      </w:pPr>
      <w:r>
        <w:rPr>
          <w:lang w:val="lt-LT"/>
        </w:rPr>
        <w:t>netaikoma JAPM įstatymo 8 str. 4 dalyje nustatyta lengvata kūrybinėms sąjungoms ir jų įmonėms bei organizacijoms, ne mažiau kaip 29 proc. pelno panaudojančioms kūrybinių sąjungų poreikiams. Tačiau pažymėtina, kad jei tokia sąjunga ar įmonė yra priskiriama pelno nesiekiantiems vienetams (pelno nesiekiančių vienetų sąvoka pateikta PMĮ 2 str. 5 dalyje), tai vadovaujantis PMĮ 3 str. 2 d. 3 punktu tokia sąjunga ar įmonė pelno mokesčio nemoka;</w:t>
      </w:r>
    </w:p>
    <w:p w14:paraId="5BBAF981" w14:textId="77777777" w:rsidR="00093845" w:rsidRDefault="000D779E">
      <w:pPr>
        <w:tabs>
          <w:tab w:val="left" w:pos="720"/>
          <w:tab w:val="left" w:pos="1077"/>
          <w:tab w:val="left" w:pos="1418"/>
        </w:tabs>
        <w:ind w:firstLine="720"/>
        <w:jc w:val="both"/>
        <w:rPr>
          <w:szCs w:val="20"/>
          <w:lang w:val="lt-LT"/>
        </w:rPr>
      </w:pPr>
      <w:r>
        <w:rPr>
          <w:lang w:val="lt-LT"/>
        </w:rPr>
        <w:t>netaikoma JAPM įstatymo 8 str. 9 dalyje ir FAPML įstatymo 24 str. 7 dalyje nustatyta lengvata smulkaus verslo įmonėms, kurių pajamos ne didesnės kaip 1 mln. litų ir kurių vidutinis sąrašinis darbuotojų skaičius ne didesnis kaip 50 žmonių,. Tačiau smulkaus verslo įmonėms lengvata nustatyta PMĮ 5 str. 2 dalyje bei 18 str. 3 dalyje;</w:t>
      </w:r>
    </w:p>
    <w:p w14:paraId="2F02AE0B" w14:textId="77777777" w:rsidR="00093845" w:rsidRDefault="000D779E">
      <w:pPr>
        <w:tabs>
          <w:tab w:val="left" w:pos="720"/>
          <w:tab w:val="left" w:pos="1077"/>
          <w:tab w:val="left" w:pos="1418"/>
        </w:tabs>
        <w:ind w:firstLine="720"/>
        <w:jc w:val="both"/>
        <w:rPr>
          <w:szCs w:val="20"/>
          <w:lang w:val="lt-LT"/>
        </w:rPr>
      </w:pPr>
      <w:r>
        <w:rPr>
          <w:lang w:val="lt-LT"/>
        </w:rPr>
        <w:t>JAPM įstatymo 8 str. 11 dalyje nustatyta lengvata pelno nesiekiantiems juridiniams asmenims PMĮ dar labiau išplėsta ir nuo 2002 m. prasidėjusio mokestinio laikotarpio pelno nesiekiantiems vienetams priskiriami juridiniai asmenys pelno mokesčio visai nemoka (PMĮ 3 str. 2 d. 3 punktas);</w:t>
      </w:r>
    </w:p>
    <w:p w14:paraId="14DBB038" w14:textId="77777777" w:rsidR="00093845" w:rsidRDefault="000D779E">
      <w:pPr>
        <w:tabs>
          <w:tab w:val="left" w:pos="720"/>
          <w:tab w:val="left" w:pos="1077"/>
          <w:tab w:val="left" w:pos="1418"/>
        </w:tabs>
        <w:ind w:firstLine="720"/>
        <w:jc w:val="both"/>
        <w:rPr>
          <w:szCs w:val="20"/>
          <w:lang w:val="lt-LT"/>
        </w:rPr>
      </w:pPr>
      <w:r>
        <w:rPr>
          <w:lang w:val="lt-LT"/>
        </w:rPr>
        <w:lastRenderedPageBreak/>
        <w:t>JAPM įstatymo 8 str. 12 dalyje nustatyta lengvata investicinėms kintamojo kapitalo bendrovėms ir uždariesiems investiciniams fondams, veikiantiems pagal Investicinių bendrovių įstatymą, nepanaikinta, tačiau truputį pakeista ir išdėstyta PMĮ 12 str. 5 punkte. Pagal JAPM įstatymą investicinių kintamojo kapitalo bendrovių ir uždarųjų investicinių fondų pelnas, gautas iš sukauptų lėšų investavimo arba reinvestavimo į vertybinius popierius ir (arba) gautas iš prekybos vertybiniais popieriais, taip pat vertybinių popierių perkainojimo rezultatai buvo neapmokestinami. Pagal PMĮ 12 str. 5 punktą neapmokestinamosioms pajamoms, apskaičiuojant apmokestinamąjį pelną, priskiriamos investicinių kintamojo kapitalo bendrovių ir uždarųjų investicinių fondų, veikiančių pagal Investicinių bendrovių įstatymą, investicinės pajamos, o pagal šio straipsnio 7 punktą neapmokestinamosioms pajamoms priskiriamos pajamos, gautos teisės aktų nustatyta tvarka perkainojus vertybinius popierius;</w:t>
      </w:r>
    </w:p>
    <w:p w14:paraId="4B040E1D" w14:textId="77777777" w:rsidR="00093845" w:rsidRDefault="000D779E">
      <w:pPr>
        <w:tabs>
          <w:tab w:val="left" w:pos="720"/>
          <w:tab w:val="left" w:pos="1077"/>
          <w:tab w:val="left" w:pos="1418"/>
        </w:tabs>
        <w:ind w:firstLine="720"/>
        <w:jc w:val="both"/>
        <w:rPr>
          <w:szCs w:val="20"/>
          <w:lang w:val="lt-LT"/>
        </w:rPr>
      </w:pPr>
      <w:r>
        <w:rPr>
          <w:lang w:val="lt-LT"/>
        </w:rPr>
        <w:t>JAPM įstatymo 8 str. 13 dalyje ir FAPML įstatymo 24 str. 9 dalyje nurodyta sveikatos priežiūros įstaigų pajamų už paslaugas, finansuojamas iš Privalomojo sveikatos draudimo fondo lėšų, apmokestinimo lengvata nustatyta PMĮ 12 str. 6 punkte;</w:t>
      </w:r>
    </w:p>
    <w:p w14:paraId="759E4A18" w14:textId="77777777" w:rsidR="00093845" w:rsidRDefault="000D779E">
      <w:pPr>
        <w:tabs>
          <w:tab w:val="left" w:pos="720"/>
          <w:tab w:val="left" w:pos="1077"/>
          <w:tab w:val="left" w:pos="1418"/>
        </w:tabs>
        <w:jc w:val="both"/>
        <w:rPr>
          <w:szCs w:val="20"/>
          <w:lang w:val="lt-LT"/>
        </w:rPr>
      </w:pPr>
      <w:r>
        <w:rPr>
          <w:lang w:val="lt-LT"/>
        </w:rPr>
        <w:t>pagal JAPM įstatymo 8 str. 14 dalį pensijų fondams taikyta lengvata nustatyta PMĮ 12 str. 5 punkte;</w:t>
      </w:r>
    </w:p>
    <w:p w14:paraId="548D7992" w14:textId="77777777" w:rsidR="00093845" w:rsidRDefault="000D779E">
      <w:pPr>
        <w:tabs>
          <w:tab w:val="left" w:pos="720"/>
          <w:tab w:val="left" w:pos="1077"/>
          <w:tab w:val="left" w:pos="1418"/>
        </w:tabs>
        <w:ind w:firstLine="720"/>
        <w:jc w:val="both"/>
        <w:rPr>
          <w:szCs w:val="20"/>
          <w:lang w:val="lt-LT"/>
        </w:rPr>
      </w:pPr>
      <w:r>
        <w:rPr>
          <w:lang w:val="lt-LT"/>
        </w:rPr>
        <w:t>JAPM įstatymo 8 str. 1, 2, 5, 6, 7, 8, 10 dalyse bei 9 straipsnyje ir FAPML įstatymo 24 str. 1, 3, 4, 5, 6 dalyse nustatytos lengvatos taikomos PMĮ 58 str. 2 ir 16 dalyse nustatyta tvarka (žr. šių dalių komentarus).</w:t>
      </w:r>
    </w:p>
    <w:p w14:paraId="527DC3CF" w14:textId="77777777" w:rsidR="00093845" w:rsidRDefault="00093845">
      <w:pPr>
        <w:tabs>
          <w:tab w:val="left" w:pos="720"/>
          <w:tab w:val="left" w:pos="1077"/>
          <w:tab w:val="left" w:pos="1418"/>
        </w:tabs>
        <w:jc w:val="both"/>
        <w:rPr>
          <w:szCs w:val="20"/>
          <w:lang w:val="lt-LT"/>
        </w:rPr>
      </w:pPr>
    </w:p>
    <w:p w14:paraId="3DCDBA03"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Mokesčio mokėtojams, kuriems iki šio Įstatymo įsigaliojimo dienos buvo taikomos Lietuvos Respublikos juridinių asmenų pelno mokesčio įstatymo 8 straipsnyje ir Lietuvos Respublikos fizinių asmenų pajamų mokesčio laikinojo įstatymo 24 straipsnyje nustatytos su užsienio kapitalo investicijomis susijusios lengvatos, šios lengvatos taikomos minėtuose įstatymuose nustatytais terminais ir tvarka iki 2003 metais prasidėsiančio mokestinio laikotarpio pabaigos. </w:t>
      </w:r>
    </w:p>
    <w:p w14:paraId="1865C874"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3C7C8E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Mokesčių mokėtojai, kurie pagal JAPM įstatymo 8 str. 6, 7 bei 8 dalis ir FAPML įstatymo 24 str. 4, 5 bei 6 dalis turėjo teisę taikyti su užsienio kapitalo investicijomis susijusias lengvatas, šias lengvatas gali taikyti minėtuose įstatymuose nustatytais terminais ir tvarka, bet ne ilgiau kaip iki 2003 metais prasidėsiančio mokestinio laikotarpio pabaigos (jei mokesčių mokėtojo mokestinis laikotarpis sutampa su kalendoriniais metais – iki 2003-12-31).</w:t>
      </w:r>
    </w:p>
    <w:p w14:paraId="7274348A"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JAPM įstatymo 8 str. 6 dalyje ir FAPML įstatymo 24 str. 4 dalyje nustatyta lengvata toms įmonėms, kurios įsteigtos (registruotos) arba užsienio kapitalas investuotas iki 1993-12-31. Tokių įmonių pelno (pajamų) dalis (proporcinga užsienio investicijos daliai įmonės įstatiniame (nuosavame) kapitale), tenkanti šiai užsienio investicijai ir nepanaudota darbo užmokesčiui, taip pat reinvestuota įmonėje, 5 metus nuo įplaukų gavimo dienos apmokestinama 70 proc. mažesniu pelno (pajamų) mokesčiu, o kitus 3 metus apmokestinama 50 proc. mažesniu pelno (pajamų) mokesčiu.</w:t>
      </w:r>
    </w:p>
    <w:p w14:paraId="6F10896B" w14:textId="77777777" w:rsidR="00093845" w:rsidRDefault="000D779E">
      <w:pPr>
        <w:tabs>
          <w:tab w:val="left" w:pos="720"/>
          <w:tab w:val="left" w:pos="1077"/>
          <w:tab w:val="left" w:pos="1418"/>
        </w:tabs>
        <w:ind w:firstLine="720"/>
        <w:jc w:val="both"/>
        <w:rPr>
          <w:szCs w:val="20"/>
          <w:lang w:val="lt-LT"/>
        </w:rPr>
      </w:pPr>
      <w:r>
        <w:rPr>
          <w:lang w:val="lt-LT"/>
        </w:rPr>
        <w:t xml:space="preserve">Lengvatos taikymo pradžia yra įplaukų gavimo diena. Įplaukomis laikomas pinigų (turto) gavimas, kuris registruojamas apskaitoje atsižvelgiant į pinigų (turto) gavimo momentą. Vadinasi, nors įmonė veiklos dar nepradėjo, bet jai už lėšų likutį banko sąskaitoje priskaičiuojamos ir pervedamos palūkanos, tai toks palūkanų gavimas laikomas įplaukų gavimu. Atsižvelgiant į tai, daugumai įmonių šios lengvatos taikymo laikotarpis pasibaigė 2001 metais. Jei lengvatos taikymo laikotarpis dar nesibaigęs, tai 2002 metais, kaip ir ankstesniais metais, lengvata taikoma apmokestinamojo pelno daliai, kuri proporcinga faktiškai užsienio investicijos įmonės įstatiniame kapitale ataskaitinio laikotarpio pabaigoje daliai. Jeigu užsienio kapitalo investicijos dydis keičiasi (pvz., papildomai investuojamas užsienio kapitalas), tai keičiasi ir apmokestinamojo pelno dalis, kurią apmokestinant </w:t>
      </w:r>
      <w:r>
        <w:rPr>
          <w:lang w:val="lt-LT"/>
        </w:rPr>
        <w:lastRenderedPageBreak/>
        <w:t>taikoma lengvata. Tuo atveju, kai užsienio investicijos dydis pasikeičia per ataskaitinį laikotarpį, tai jeigu įmanoma gali būti apskaičiuota apmokestinamojo pelno dalis, tenkanti užsienio investicijai būtent nuo užsienio investicijos dalies pasikeitimo datos. Jeigu apskaičiuoti apmokestinamojo pelno pagal tą datą neįmanoma, tai užsienio investicijai tenkančios apmokestinamojo pelno dalies pelno mokesčio lengvata gali būti taikoma nuo kito mėnesio ar nuo kito ketvirčio pradžios. Pažymėtina, kad vadovaujantis JAPM įstatymo 20 straipsniu ir FAPML įstatymo 29 straipsniu, lengvata taikoma tik tuo atveju, jei užsienio kapitalas investuotas iki 1997-04-01. Taikant lengvatą į po šios datos investuotą kapitalą neatsižvelgiama.</w:t>
      </w:r>
    </w:p>
    <w:p w14:paraId="6874AE4D"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JAPM įstatymo 8 str. 7 dalyje ir FAPML įstatymo 24 str. 5 dalyje nustatyta lengvata toms įmonėms, kurios įsteigtos (registruotos) arba užsienio kapitalas investuotas nuo 1994-01-01 iki 1995-08-01. Tokių įmonių pelno (pajamų) dalis, tenkanti užsienio investicijai, 6 metus apmokestinama 50 proc. mažesniu pelno (pajamų) mokesčiu. Papildoma data, nuo kurios skaičiuojami 6 metai, nenustatyta, todėl pelno mokesčio lengvatos 6 metų terminas skaičiuojamas nuo tos dienos, kai įmonė įgijo teisę taikyti šią lengvatą, t.y. nuo įmonės įsteigimo dienos arba nuo užsienio kapitalo investavimo dienos. Atsižvelgiant į tai, įmonės, turėjusių teisę taikyti šią lengvatą, lengvatos taikymo laikotarpis baigėsi 2001 metais, t.y. 2002 metais ši lengvata jau netaikoma.</w:t>
      </w:r>
    </w:p>
    <w:p w14:paraId="5F4FB77B"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JAPM įstatymo 8 str. 8 dalyje ir FAPML įstatymo 24 str. 6 dalyje nustatyta lengvata taikoma įmonėms, kuriose užsienio kapitalo investicija yra pasiekusi du milijonus JAV dolerių. Šios įmonės pelno mokesčio nemoka trejus metus nuo pradžios apyskaitinio ketvirčio, kurį pradėtas gauti pelnas. Kitus trejus metus jos moka 50 proc. mažesnį pelno mokestį. Šios mokesčių lengvatos netaikomos įmonėms, kurios verčiasi didmenine, mažmenine naftos produktų prekyba, jeigu jų pajamos iš prekybos šiais produktais sudaro daugiau kaip 30 proc. jų realizacinių pajamų. Vadovaujantis JAPM įstatymo 20 straipsniu ir FAPML įstatymo 29 straipsniu, lengvata taikoma tik tuo atveju, jei užsienio kapitalas investuotas iki 1997-04-01.</w:t>
      </w:r>
    </w:p>
    <w:p w14:paraId="103EDF06" w14:textId="77777777" w:rsidR="00093845" w:rsidRDefault="000D779E">
      <w:pPr>
        <w:tabs>
          <w:tab w:val="left" w:pos="720"/>
          <w:tab w:val="left" w:pos="1077"/>
          <w:tab w:val="left" w:pos="1418"/>
        </w:tabs>
        <w:jc w:val="both"/>
        <w:rPr>
          <w:szCs w:val="20"/>
          <w:lang w:val="lt-LT"/>
        </w:rPr>
      </w:pPr>
      <w:r>
        <w:rPr>
          <w:lang w:val="lt-LT"/>
        </w:rPr>
        <w:tab/>
        <w:t>Lengvata pradedama taikyti nuo pradžios apyskaitinio ketvirčio, kurį pradėtas gauti pelnas. Įmonės, kuriose 1996-08-01 užsienio kapitalo investicija buvo pasiekusi dviejų milijonų JAV dolerių sumą, lengvatą gali pradėti taikyti nuo pradžios apyskaitinio ketvirčio, kurį pradėtas gauti pelnas, tačiau ne anksčiau kaip nuo 1996-08-01. Jeigu šios įmonės dėl savo veiklos ypatumų negalėjo sudaryti laikotarpio iki šios datos balansų ir kitų finansinės atskaitomybės dokumentų, tai lengvatos joms teikiamos nuo kito ketvirčio pradžios. Toms įmonėms, kuriose užsienio kapitalo investicija dviejų milijonų JAV dolerių sumą pasiekė po 1996-08-01, lengvatos taikomos nuo pradžios apyskaitinio ketvirčio, kurį gautas pelnas, t.y. ne anksčiau kaip 1996 m. IV ketvirtį. Atsižvelgiant į tai, šią lengvatą taikančios įmonės 2002-ais, o kai kurios ir 2003-iais mokestiniais metais dar gali taikyti šią lengvatą.</w:t>
      </w:r>
    </w:p>
    <w:p w14:paraId="56FEADE3" w14:textId="77777777" w:rsidR="00093845" w:rsidRDefault="000D779E">
      <w:pPr>
        <w:tabs>
          <w:tab w:val="left" w:pos="720"/>
          <w:tab w:val="left" w:pos="1077"/>
          <w:tab w:val="left" w:pos="1418"/>
        </w:tabs>
        <w:ind w:firstLine="720"/>
        <w:jc w:val="both"/>
        <w:rPr>
          <w:szCs w:val="20"/>
          <w:lang w:val="lt-LT"/>
        </w:rPr>
      </w:pPr>
      <w:r>
        <w:rPr>
          <w:lang w:val="lt-LT"/>
        </w:rPr>
        <w:t>5.</w:t>
      </w:r>
      <w:r>
        <w:rPr>
          <w:lang w:val="lt-LT"/>
        </w:rPr>
        <w:tab/>
        <w:t>Lengvatos taikymo pabaiga dažniausiai nesutaps su mokestinių metų pabaiga. Tokiu atveju įmonė turi apskaičiuoti iki lengvatos taikymo pabaigos datos gautą apmokestinamąjį pelną. Jei įmonė negali apskaičiuoti iki tos datos gauto apmokestinamojo pelno, tai, apskaičiuodama pagal lengvatinį pelno mokesčio tarifą apmokestinamą pelno dalį, ji turi atsižvelgti į tai, kad lengvatos taikymo laikotarpis negali būti pratęstas. Tokiu atveju įmonė turi apskaičiuoti per trumpesnį laikotarpį gautą apmokestinamąjį pelną, t.y. tokį laikotarpį, per kurį gautą apmokestinamąjį pelną ji gali apskaičiuoti.</w:t>
      </w:r>
    </w:p>
    <w:p w14:paraId="0361CCF6" w14:textId="77777777" w:rsidR="00093845" w:rsidRDefault="000D779E">
      <w:pPr>
        <w:tabs>
          <w:tab w:val="left" w:pos="720"/>
          <w:tab w:val="left" w:pos="1077"/>
          <w:tab w:val="left" w:pos="1418"/>
        </w:tabs>
        <w:ind w:firstLine="720"/>
        <w:jc w:val="both"/>
        <w:rPr>
          <w:szCs w:val="20"/>
          <w:lang w:val="lt-LT"/>
        </w:rPr>
      </w:pPr>
      <w:r>
        <w:rPr>
          <w:lang w:val="lt-LT"/>
        </w:rPr>
        <w:t>Pavyzdys</w:t>
      </w:r>
    </w:p>
    <w:p w14:paraId="5A00B7A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UAB ,,Vėjas” užsienio investicija du milijonus JAV dolerių pasiekė 1996 m. liepos mėnesį, vadinasi, ši įmonė turi teisę JAPM įstatymo 8 str. 8 dalyje nustatytą lengvatą taikyti nuo 1996 m. rugpjūčio 1 dienos. Įmonė atskirai apskaičiavo apmokestinamąjį pelną, gautą nuo šios datos, todėl 6 metų lengvatos taikymo laikotarpis yra nuo 1996-08-01 iki 2002-07-31. Įmonės mokestinis laikotarpis sutampa su kalendoriniais metais, todėl ši įmonė, norėdama pasinaudoti visa lengvata, pildydama metinę pelno mokesčio deklaraciją, turėtų atskirai apskaičiuoti laikotarpio nuo 2002-01-01 iki 2002-</w:t>
      </w:r>
      <w:r>
        <w:rPr>
          <w:lang w:val="lt-LT"/>
        </w:rPr>
        <w:lastRenderedPageBreak/>
        <w:t>07-31 apmokestinamąjį pelną. Pasibaigus kiekvienam metų mėnesiui įmonėje nesudaroma atskaitomybė. Įmonė gali sudaryti tik 2002 m. birželio 30 d. arba 2002 m. rugsėjo 30 dienos atskaitomybę. Atsižvelgiant į tai, įmonė lengvatą galės taikyti tik iki 2002 m. birželio 30 d., nes pagal JAPM įstatymo nuostatas lengvata negali būti taikoma ilgiau nei 6 metus.</w:t>
      </w:r>
    </w:p>
    <w:p w14:paraId="68919984" w14:textId="77777777" w:rsidR="00093845" w:rsidRDefault="00093845">
      <w:pPr>
        <w:tabs>
          <w:tab w:val="left" w:pos="720"/>
          <w:tab w:val="left" w:pos="1077"/>
          <w:tab w:val="left" w:pos="1418"/>
        </w:tabs>
        <w:ind w:firstLine="720"/>
        <w:jc w:val="both"/>
        <w:rPr>
          <w:lang w:val="lt-LT"/>
        </w:rPr>
      </w:pPr>
    </w:p>
    <w:p w14:paraId="34BB4AB9" w14:textId="77777777" w:rsidR="00093845" w:rsidRDefault="000D779E">
      <w:pPr>
        <w:tabs>
          <w:tab w:val="left" w:pos="720"/>
          <w:tab w:val="left" w:pos="1077"/>
          <w:tab w:val="left" w:pos="1418"/>
        </w:tabs>
        <w:ind w:firstLine="720"/>
        <w:jc w:val="both"/>
        <w:rPr>
          <w:szCs w:val="20"/>
          <w:lang w:val="lt-LT"/>
        </w:rPr>
      </w:pPr>
      <w:r>
        <w:rPr>
          <w:lang w:val="lt-LT"/>
        </w:rPr>
        <w:t>6.</w:t>
      </w:r>
      <w:r>
        <w:rPr>
          <w:lang w:val="lt-LT"/>
        </w:rPr>
        <w:tab/>
        <w:t>Pelno mokestis apskaičiuojamas rodiklių didėjimo nuo metų pradžios tvarka, todėl pasibaigus lengvatos taikymo laikotarpiui, pagal pagrindinį pelno mokesčio tarifą apmokestinama tik ta apmokestinamojo pelno dalis, kuri apskaičiuota per laikotarpį po lengvatos taikymo termino pabaigos.</w:t>
      </w:r>
    </w:p>
    <w:p w14:paraId="102E7905" w14:textId="77777777" w:rsidR="00093845" w:rsidRDefault="000D779E">
      <w:pPr>
        <w:tabs>
          <w:tab w:val="left" w:pos="720"/>
          <w:tab w:val="left" w:pos="1077"/>
          <w:tab w:val="left" w:pos="1418"/>
        </w:tabs>
        <w:ind w:firstLine="720"/>
        <w:jc w:val="both"/>
        <w:rPr>
          <w:szCs w:val="20"/>
          <w:lang w:val="lt-LT"/>
        </w:rPr>
      </w:pPr>
      <w:r>
        <w:rPr>
          <w:lang w:val="lt-LT"/>
        </w:rPr>
        <w:t>Pavyzdys</w:t>
      </w:r>
    </w:p>
    <w:p w14:paraId="61E5782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Šio straipsnio komentaro 5 punkte pateiktame pavyzdyje minėta UAB ,,Vėjas” per 2002 m. mokestinį laikotarpį apskaičiavo 800 000 Lt apmokestinamojo pelno. Lengvatos taikymo laikotarpis baigiasi 2002-07-31, tačiau bendrovė galėjo apskaičiuoti tik pusmečio apmokestinamąjį pelną, t.y. laikotarpio nuo 2002-01-01 iki 2002-06-30. Pusmečio apmokestinamasis pelnas sudarė 480 000 Lt, vadinasi, UAB ,,Vėjas” šią sumą turi apmokestinti taikydama lengvatinį 50 proc. mažesnį pelno mokesčio tarifą – 7,5 proc., o likusią 320 000 Lt apmokestinamojo pelno dalį - taikydama pagrindinį 15 proc. tarifą. Šios bendrovės 2002 m. pelno mokestis bus: 480 000 Lt x 7,5 proc. + 320 000 Lt x 15 proc. = 36 000 Lt + 48 000 Lt = 84 000 Lt.</w:t>
      </w:r>
    </w:p>
    <w:p w14:paraId="3B403B80" w14:textId="77777777" w:rsidR="00093845" w:rsidRDefault="00093845">
      <w:pPr>
        <w:tabs>
          <w:tab w:val="left" w:pos="720"/>
          <w:tab w:val="left" w:pos="1077"/>
          <w:tab w:val="left" w:pos="1418"/>
        </w:tabs>
        <w:jc w:val="both"/>
        <w:rPr>
          <w:szCs w:val="20"/>
          <w:lang w:val="lt-LT"/>
        </w:rPr>
      </w:pPr>
    </w:p>
    <w:p w14:paraId="2A377F95" w14:textId="77777777" w:rsidR="0089549E" w:rsidRDefault="000D779E" w:rsidP="0089549E">
      <w:pPr>
        <w:pStyle w:val="Pagrindiniotekstotrauka2"/>
        <w:tabs>
          <w:tab w:val="left" w:pos="1080"/>
        </w:tabs>
        <w:spacing w:line="240" w:lineRule="auto"/>
      </w:pPr>
      <w:r>
        <w:t>3.</w:t>
      </w:r>
      <w:r>
        <w:tab/>
        <w:t>Jeigu po šio Įstatymo įsigaliojimo dienos ilgalaikis materialusis turtas arba kompiuterių programos, kuriems buvo taikoma investicijos lengvata, nustatyta Lietuvos Respublikos juridinių asmenų pelno mokesčio įstatymo 21 straipsnyje, perduodami panaudos būdu, investuojami į kitą vienetą, vieneto pajamos didinamos šio turto įsigijimo kaina tuo mokestiniu laikotarpiu, kuriuo turtas, perduodamas panaudos būdu, investuojamas į kitą vienetą. Jeigu po šio Įstatymo įsigaliojimo dienos ilgalaikis materialusis turtas arba kompiuterių programos, kuriems buvo taikoma investicijos lengvata, nustatyta Lietuvos Respublikos fizinių asmenų pajamų mokesčio laikinojo įstatymo 24 straipsnyje, perduodami panaudos būdu, investuojami į kitą vienetą arba pakeičiama jų naudojimo paskirtis, įskaitant atvejus, kai ūkinių bendrijų nariai ir individualių (personalinių) įmonių savininkai išsimoka ūkinių bendrijų ir individualių (personalinių) įmonių pajamų dalį, panaudotą toms investicijoms, ūkinės bendrijos ir individualios (personalinės) įmonės pajamos didinamos suma, atitinkančia apmokestinamųjų pajamų dalį, panaudotą investicijoms, tuo mokestiniu laikotarpiu, kuriuo turtas, perduodamas panaudos būdu, investuojamas į kitą vienetą arba pakeičiama jo naudojimo paskirtis.</w:t>
      </w:r>
    </w:p>
    <w:p w14:paraId="2E26480E" w14:textId="77777777" w:rsidR="00093845" w:rsidRPr="0089549E" w:rsidRDefault="000D779E" w:rsidP="0089549E">
      <w:pPr>
        <w:pStyle w:val="Pagrindiniotekstotrauka2"/>
        <w:tabs>
          <w:tab w:val="left" w:pos="1080"/>
        </w:tabs>
        <w:spacing w:line="240" w:lineRule="auto"/>
        <w:ind w:firstLine="0"/>
        <w:rPr>
          <w:i/>
        </w:rPr>
      </w:pPr>
      <w:r w:rsidRPr="0089549E">
        <w:rPr>
          <w:b w:val="0"/>
          <w:i/>
        </w:rPr>
        <w:t>(2003-07-01 įstatymo Nr. IX-1659 redakcija; šios dalies nuostatos taikomos apskaičiuojant tik 2002 metais prasidėjusio mokestinio laikotarpio apmokestinamąjį pelną).</w:t>
      </w:r>
    </w:p>
    <w:p w14:paraId="0DA6FB29" w14:textId="77777777" w:rsidR="00093845" w:rsidRDefault="00093845">
      <w:pPr>
        <w:tabs>
          <w:tab w:val="left" w:pos="720"/>
          <w:tab w:val="left" w:pos="1077"/>
          <w:tab w:val="left" w:pos="1418"/>
        </w:tabs>
        <w:jc w:val="both"/>
        <w:rPr>
          <w:szCs w:val="20"/>
          <w:lang w:val="lt-LT"/>
        </w:rPr>
      </w:pPr>
    </w:p>
    <w:p w14:paraId="59FDFE9A" w14:textId="77777777" w:rsidR="00093845" w:rsidRDefault="000D779E">
      <w:pPr>
        <w:tabs>
          <w:tab w:val="left" w:pos="720"/>
          <w:tab w:val="left" w:pos="1077"/>
        </w:tabs>
        <w:ind w:firstLine="720"/>
        <w:jc w:val="both"/>
        <w:rPr>
          <w:b/>
          <w:bCs/>
          <w:lang w:val="lt-LT"/>
        </w:rPr>
      </w:pPr>
      <w:r>
        <w:rPr>
          <w:b/>
          <w:bCs/>
          <w:lang w:val="lt-LT"/>
        </w:rPr>
        <w:t>4.</w:t>
      </w:r>
      <w:r>
        <w:rPr>
          <w:b/>
          <w:bCs/>
          <w:lang w:val="lt-LT"/>
        </w:rPr>
        <w:tab/>
        <w:t>Ilgalaikio materialiojo turto arba kompiuterių programų, kuriems buvo taikoma investicijos lengvata, nustatyta Lietuvos Respublikos juridinių asmenų pelno mokesčio įstatymo 21 straipsnio 1 dalies 2 punkte ir Lietuvos Respublikos fizinių asmenų pajamų mokesčio laikinojo įstatymo 24 straipsnyje, nusidėvėjimas arba amortizacija neskaičiuojami. Jeigu ši investicijos lengvata buvo taikoma ilgalaikio materialiojo turto arba kompiuterių programų vertės daliai, nusidėvėjimas arba amortizacija pradedami skaičiuoti nuo to momento, kai nusidėvėjimo arba amortizacijos suma, kuri pagal šio Įstatymo nuostatas būtų skaičiuojama, jeigu įsigyjant turtą nebūtų taikyta investicijų lengvata, pasiekia vertės dalį, kuriai taikyta investicijų lengvata.</w:t>
      </w:r>
    </w:p>
    <w:p w14:paraId="001D4852" w14:textId="77777777" w:rsidR="00093845" w:rsidRPr="0089549E" w:rsidRDefault="000D779E" w:rsidP="0089549E">
      <w:pPr>
        <w:tabs>
          <w:tab w:val="left" w:pos="720"/>
          <w:tab w:val="left" w:pos="1077"/>
        </w:tabs>
        <w:jc w:val="both"/>
        <w:rPr>
          <w:bCs/>
          <w:i/>
          <w:lang w:val="lt-LT"/>
        </w:rPr>
      </w:pPr>
      <w:r w:rsidRPr="0089549E">
        <w:rPr>
          <w:bCs/>
          <w:i/>
          <w:lang w:val="lt-LT"/>
        </w:rPr>
        <w:lastRenderedPageBreak/>
        <w:t xml:space="preserve">(2003-07-01 įstatymo Nr. IX-1659 redakcija, šios dalies nuostatos taikomos apskaičiuojant 2002 metais prasidėjusio ir vėlesnių mokestinių laikotarpių apmokestinamąjį pelną). </w:t>
      </w:r>
    </w:p>
    <w:p w14:paraId="7E6C1441"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351F0BD"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JAPM įstatymo 21 str. 1 dalies 2 punkte ir FAPML įstatymo 24 str. 2 dalyje nustatyta, kad investicijai panaudotos lėšos atimamos iš bendrųjų pajamų tik vienu iš šių būdų: įsigijus, pasistačius ilgalaikį materialųjį turtą arba įsigijus kompiuterių programas, iš bendrųjų pajamų atskaitoma visa šio turto įsigijimo vertė (gauto išperkamosios nuomos būdu - faktiškai apmokėta šio turto dalis) arba ilgalaikio materialiojo turto įsigijimo, pasistatymo ar kompiuterių programų įsigijimo vertė į sąnaudas perkeliama dalimis per jų eksploatavimo laikotarpį JAPM įstatymo 5 straipsnio pirmosios dalies 2 punkte nustatyta tvarka. Kai ilgalaikiam materialiajam turtui arba kompiuterių programoms įsigyti panaudotos lėšos iš karto atimamos iš bendrųjų pajamų, šio turto nusidėvėjimas neskaičiuojamas tik apskaičiuojant pelno (pajamų) mokestį. </w:t>
      </w:r>
    </w:p>
    <w:p w14:paraId="498D2C8B" w14:textId="77777777" w:rsidR="00093845" w:rsidRDefault="000D779E">
      <w:pPr>
        <w:tabs>
          <w:tab w:val="left" w:pos="720"/>
          <w:tab w:val="left" w:pos="1077"/>
          <w:tab w:val="left" w:pos="1418"/>
        </w:tabs>
        <w:jc w:val="both"/>
        <w:rPr>
          <w:szCs w:val="20"/>
          <w:lang w:val="lt-LT"/>
        </w:rPr>
      </w:pPr>
      <w:r>
        <w:rPr>
          <w:lang w:val="lt-LT"/>
        </w:rPr>
        <w:tab/>
        <w:t>Vadinasi, jei įmonė visą investicijos vertę iš karto atėmė iš bendrųjų pajamų, apskaičiuodama apmokestinamąjį pelną, tai ji negali to paties turto vertės dar kartą įtraukti į apmokestinamąjį pelną mažinančias sąnaudas, skaičiuodama to turto nusidėvėjimą (amortizaciją). Atsižvelgiant į tai, PMĮ 58 str. 4 dalyje ir nustatyta, kad to turto, kurio vertė, vadovaujantis investicijoms teikiama lengvata, iš karto buvo įtraukta į sąnaudas, nusidėvėjimas, apskaičiuojant apmokestinamąjį pelną, neskaičiuojamas ir į leidžiamus atskaitymus neįtraukiamas.</w:t>
      </w:r>
    </w:p>
    <w:p w14:paraId="47F2BEF1" w14:textId="77777777" w:rsidR="00093845" w:rsidRDefault="000D779E">
      <w:pPr>
        <w:tabs>
          <w:tab w:val="left" w:pos="720"/>
          <w:tab w:val="left" w:pos="1077"/>
          <w:tab w:val="left" w:pos="1418"/>
        </w:tabs>
        <w:ind w:firstLine="720"/>
        <w:jc w:val="both"/>
        <w:rPr>
          <w:lang w:val="lt-LT"/>
        </w:rPr>
      </w:pPr>
      <w:r>
        <w:rPr>
          <w:lang w:val="lt-LT"/>
        </w:rPr>
        <w:t>2.</w:t>
      </w:r>
      <w:r>
        <w:rPr>
          <w:lang w:val="lt-LT"/>
        </w:rPr>
        <w:tab/>
        <w:t xml:space="preserve">FAPML įstatymo 24 straipsnyje nustatyti abu investicijų lengvatos būdai, tačiau tik taikant antrąjį investicijų lengvatos (sąnaudų) būdą, iš karto atimama visa įsigyto turto vertė. Kadangi visa turto įsigijimo vertė į sąnaudas perkeliama iš karto, tai tokio turto nusidėvėjimas neskaičiuojamas. Šioje dalyje (58 str. 4 dalis) duota nuoroda tik į JAPM įstatymo 21 str. 1 d. 2 punktą, t.y. investicijų lengvatą, kai visa turto vertė atimama iš bendrųjų pajamų, todėl individualios įmonės ir ūkinės bendrijos, apskaičiuodamos apmokestinamąjį pelną, turto nusidėvėjimo taip pat neskaičiuoja tik tuo atveju, jei taikė antrąjį investicijų lengvatos (sąnaudų) būdą. </w:t>
      </w:r>
    </w:p>
    <w:p w14:paraId="4693F359" w14:textId="77777777" w:rsidR="00093845" w:rsidRDefault="000D779E">
      <w:pPr>
        <w:tabs>
          <w:tab w:val="left" w:pos="720"/>
          <w:tab w:val="left" w:pos="1077"/>
          <w:tab w:val="left" w:pos="1418"/>
        </w:tabs>
        <w:ind w:firstLine="720"/>
        <w:jc w:val="both"/>
        <w:rPr>
          <w:lang w:val="lt-LT"/>
        </w:rPr>
      </w:pPr>
      <w:r>
        <w:rPr>
          <w:lang w:val="lt-LT"/>
        </w:rPr>
        <w:t>3.</w:t>
      </w:r>
      <w:r>
        <w:rPr>
          <w:lang w:val="lt-LT"/>
        </w:rPr>
        <w:tab/>
        <w:t xml:space="preserve">Vienetas įsigijęs, pasistatęs ilgalaikį materialųjį turtą arba įsigijęs kompiuterių programas gali taikyti JAPM įstatymo 21 str. 1 dalies 2 punkte ir FAPML įstatymo 24 str. 2 dalyje nustatytą antrąjį investicijų lengvatos apskaičiavimo (sąnaudų) būdą tik daliai šio turto kainos, pavyzdžiui lizingo (finansinės išperkamosios nuomos) atveju - faktiškai apmokėtai šio turto daliai; atlikus rekonstrukciją arba ilgalaikio turto remontą, kurio įsigijimo kaina per mokestinį laikotarpį viršija 50 procentų remontuojamo ilgalaikio turto įsigijimo kainos – atliktos rekonstrukcijos ar remonto vertei. </w:t>
      </w:r>
    </w:p>
    <w:p w14:paraId="34EB8855" w14:textId="77777777" w:rsidR="00093845" w:rsidRDefault="000D779E">
      <w:pPr>
        <w:tabs>
          <w:tab w:val="left" w:pos="720"/>
          <w:tab w:val="left" w:pos="1077"/>
          <w:tab w:val="left" w:pos="1418"/>
        </w:tabs>
        <w:ind w:firstLine="720"/>
        <w:jc w:val="both"/>
        <w:rPr>
          <w:lang w:val="lt-LT"/>
        </w:rPr>
      </w:pPr>
      <w:r>
        <w:rPr>
          <w:lang w:val="lt-LT"/>
        </w:rPr>
        <w:t>4.</w:t>
      </w:r>
      <w:r>
        <w:rPr>
          <w:lang w:val="lt-LT"/>
        </w:rPr>
        <w:tab/>
        <w:t xml:space="preserve">Kadangi įsigaliojus PMĮ lengvatos investicijoms panaikintos, todėl vienetai neteko galimybės pasinaudoti investicijų lengvata likusiai turto daliai. Todėl pagal šio punkto nuostatas, nusidėvėjimas arba amortizacija pradedama skaičiuoti nuo to momento, kai nusidėvėjimo suma, kuri pagal šio PMĮ nuostatas būtų skaičiuojama (jeigu įsigyjant lizingo (finansinės nuomos) būdu arba pasistatant ilgalaikį materialųjį turtą nebūtų taikyta investicijų lengvata) pasiekia turto vertės dalį, kuriai taikyta investicijų lengvata. Vienetas nusidėvėjimą arba amortizaciją skaičiuoja nuo visos kainos, įskaitant ir investicijai panaudotą turto kainos dalį, tačiau nuo to momento, kai nusidėvėjimo suma pasiekia tą vertės dalį, kuriai taikyta investicijų lengvata, nusidėvėjimas pradedamas skaičiuoti ir pelno mokesčio tikslais, t.y. apskaičiuojant apmokestinamąjį pelną, priskiriamas ribojamų dydžių leidžiamiems atskaitymams, bet tik tai turto daliai, kuriai nebuvo taikyta investicijų lengvata. </w:t>
      </w:r>
    </w:p>
    <w:p w14:paraId="4AD9E70A" w14:textId="77777777" w:rsidR="00093845" w:rsidRDefault="000D779E">
      <w:pPr>
        <w:tabs>
          <w:tab w:val="left" w:pos="720"/>
          <w:tab w:val="left" w:pos="1077"/>
          <w:tab w:val="left" w:pos="1418"/>
        </w:tabs>
        <w:ind w:firstLine="720"/>
        <w:jc w:val="both"/>
        <w:rPr>
          <w:lang w:val="lt-LT"/>
        </w:rPr>
      </w:pPr>
      <w:r>
        <w:rPr>
          <w:lang w:val="lt-LT"/>
        </w:rPr>
        <w:t>Pavyzdys</w:t>
      </w:r>
    </w:p>
    <w:p w14:paraId="24815362"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UAB X pagal lizingo (finansinės nuomos) sutartį iš UAB Y 2001 metų sausio mėnesį įsigijo įrengimus ir tą patį mėnesį pradėjo juos naudoti. Sutartyje nustatyta įrengimų vertė – 36 000 Lt. Prie minėtos lizingo (finansinės nuomos) sutarties pridėtame mokėjimų grafike (kuris yra neatsiejama </w:t>
      </w:r>
      <w:r>
        <w:rPr>
          <w:rFonts w:ascii="Times New Roman" w:hAnsi="Times New Roman" w:cs="Times New Roman"/>
          <w:lang w:val="lt-LT"/>
        </w:rPr>
        <w:lastRenderedPageBreak/>
        <w:t xml:space="preserve">sutarties dalis) nustatyta, kad UAB X šiuos įrengimus turi išpirkti per 36 mėnesius (pradedant 2001 m. vasario mėnesiu), kiekvieną mėnesį sumokėdama šiame grafike nustatytą sumą. </w:t>
      </w:r>
    </w:p>
    <w:p w14:paraId="1068ADE5"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2001 metais UAB X už įrengimus sumokėjo 11 000 Lt ir šiai sumai pritaikė antrąjį investicijos apskaičiavimo (sąnaudų) būdą, t. y. apskaičiuojant apmokestinamąjį pelną, minėtą sumą (11 000 Lt) atskaitė ir pajamų. Tarkim, kad tų metų apskaičiuota įrengimų nusidėvėjimo suma - 8 227 Lt. Šios sumos UAB X sąnaudoms, mažinančioms apmokestinamąjį pelną, nepriskyrė. </w:t>
      </w:r>
    </w:p>
    <w:p w14:paraId="1AE3F51F" w14:textId="77777777" w:rsidR="00093845" w:rsidRDefault="000D779E">
      <w:pPr>
        <w:pStyle w:val="Pagrindiniotekstotrauka"/>
        <w:pBdr>
          <w:top w:val="single" w:sz="4" w:space="1" w:color="auto"/>
          <w:left w:val="single" w:sz="4" w:space="4" w:color="auto"/>
          <w:bottom w:val="single" w:sz="4" w:space="1" w:color="auto"/>
          <w:right w:val="single" w:sz="4" w:space="4" w:color="auto"/>
        </w:pBdr>
        <w:tabs>
          <w:tab w:val="left" w:pos="720"/>
          <w:tab w:val="left" w:pos="1077"/>
          <w:tab w:val="left" w:pos="1418"/>
        </w:tabs>
        <w:rPr>
          <w:rFonts w:ascii="Times New Roman" w:hAnsi="Times New Roman" w:cs="Times New Roman"/>
          <w:lang w:val="lt-LT"/>
        </w:rPr>
      </w:pPr>
      <w:r>
        <w:rPr>
          <w:rFonts w:ascii="Times New Roman" w:hAnsi="Times New Roman" w:cs="Times New Roman"/>
          <w:lang w:val="lt-LT"/>
        </w:rPr>
        <w:t xml:space="preserve">2002 metais apskaičiuota nusidėvėjimo suma - 8 974 Lt. Vadinasi, šiais metais nusidėvėjimo suma jau pasiekė ir viršijo turto įsigijimo kainos dalį, kuriai buvo taikyta investicija. Todėl UAB X, skaičiuodama 2002 metų pelno mokestį, ribojamų dydžių leidžiamiems atskaitymams galės priskirti 6 201 Lt [(8 227 Lt + 8 974 Lt) – 11 000 Lt) nusidėvėjimo sumą. </w:t>
      </w:r>
    </w:p>
    <w:p w14:paraId="363F7251" w14:textId="77777777" w:rsidR="00093845" w:rsidRDefault="00093845">
      <w:pPr>
        <w:pStyle w:val="Porat"/>
        <w:spacing w:line="240" w:lineRule="auto"/>
        <w:rPr>
          <w:rFonts w:ascii="Times New Roman" w:hAnsi="Times New Roman" w:cs="Times New Roman"/>
          <w:lang w:val="lt-LT"/>
        </w:rPr>
      </w:pPr>
    </w:p>
    <w:p w14:paraId="3B114EEA" w14:textId="77777777" w:rsidR="00093845" w:rsidRDefault="000D779E">
      <w:pPr>
        <w:tabs>
          <w:tab w:val="left" w:pos="720"/>
          <w:tab w:val="left" w:pos="1077"/>
        </w:tabs>
        <w:ind w:firstLine="720"/>
        <w:jc w:val="both"/>
        <w:rPr>
          <w:lang w:val="lt-LT"/>
        </w:rPr>
      </w:pPr>
      <w:r>
        <w:rPr>
          <w:lang w:val="lt-LT"/>
        </w:rPr>
        <w:t>5.</w:t>
      </w:r>
      <w:r>
        <w:rPr>
          <w:lang w:val="lt-LT"/>
        </w:rPr>
        <w:tab/>
        <w:t>Jeigu investicijos lengvata buvo taikoma turto rekonstrukcijos vertei arba remonto (kuris viršijo 50 procentų remontuojamo turto įsigijimo kainos) vertei, t.y. rekonstrukcijos ar remonto išlaidos nurašytos į sąnaudas iš karto, tai nusidėvėjimas nuo tos turto vertės dalies neskaičiuojamas. Tokiais atvejais vienetai gali skaičiuoti nusidėvėjimo sumą nuo tos turto vertės dalies, kuriai nebuvo pritaikyta investicijų lengvata, ir priskirti ribojamų dydžių leidžiamiems atskaitymams.</w:t>
      </w:r>
    </w:p>
    <w:p w14:paraId="220D3768" w14:textId="77777777" w:rsidR="00093845" w:rsidRDefault="000D779E">
      <w:pPr>
        <w:ind w:firstLine="720"/>
        <w:jc w:val="both"/>
        <w:rPr>
          <w:lang w:val="lt-LT"/>
        </w:rPr>
      </w:pPr>
      <w:r>
        <w:rPr>
          <w:lang w:val="lt-LT"/>
        </w:rPr>
        <w:t>Pavyzdys</w:t>
      </w:r>
    </w:p>
    <w:p w14:paraId="701366CC" w14:textId="77777777" w:rsidR="00093845" w:rsidRDefault="000D779E">
      <w:pPr>
        <w:pBdr>
          <w:top w:val="single" w:sz="4" w:space="1" w:color="auto"/>
          <w:left w:val="single" w:sz="4" w:space="4" w:color="auto"/>
          <w:right w:val="single" w:sz="4" w:space="4" w:color="auto"/>
        </w:pBdr>
        <w:ind w:firstLine="720"/>
        <w:jc w:val="both"/>
        <w:rPr>
          <w:lang w:val="lt-LT"/>
        </w:rPr>
      </w:pPr>
      <w:r>
        <w:rPr>
          <w:lang w:val="lt-LT"/>
        </w:rPr>
        <w:t>Įmonė 1999 metais atliko ilgalaikio turto remontą, kurio vertė sudarė 100 000 Lt ir, pritaikiusi antrą investicijos būdą, visą 100 000 Lt priskyrė tų mokestinių metų sąnaudoms.</w:t>
      </w:r>
    </w:p>
    <w:p w14:paraId="335B8E08" w14:textId="77777777" w:rsidR="00093845" w:rsidRDefault="000D779E">
      <w:pPr>
        <w:pBdr>
          <w:left w:val="single" w:sz="4" w:space="4" w:color="auto"/>
          <w:right w:val="single" w:sz="4" w:space="4" w:color="auto"/>
        </w:pBdr>
        <w:ind w:firstLine="720"/>
        <w:jc w:val="both"/>
        <w:rPr>
          <w:lang w:val="lt-LT"/>
        </w:rPr>
      </w:pPr>
      <w:r>
        <w:rPr>
          <w:lang w:val="lt-LT"/>
        </w:rPr>
        <w:t>Šis turtas buvo įsigytas prieš 5 metus, jo įsigijimo kaina 180 000 Lt. Nusidėvėjimo normatyvas – 10 metų. Įmonė kiekvienais metais apskaičiuotą 18 000 Lt nusidėvėjimo sumą nurašydavo į sąnaudas. 1999 01 01 turto likutinė vertė sudarė 90 000 Lt ir įmonė toliau skaičiavo nusidėvėjimą nuo to turto vertės, neatsižvelgiant į padidintą turto vertę dėl atlikto remonto. Iš viso 1999, 2000 ir 2001 metais apskaičiuota 54 000 Lt (18 000 Lt x 3 metai) nusidėvėjimo suma, kuri buvo priskirta atitinkamų metų sąnaudoms.</w:t>
      </w:r>
    </w:p>
    <w:p w14:paraId="5A648E5D" w14:textId="77777777" w:rsidR="00093845" w:rsidRDefault="000D779E">
      <w:pPr>
        <w:pBdr>
          <w:left w:val="single" w:sz="4" w:space="4" w:color="auto"/>
          <w:bottom w:val="single" w:sz="4" w:space="1" w:color="auto"/>
          <w:right w:val="single" w:sz="4" w:space="4" w:color="auto"/>
        </w:pBdr>
        <w:ind w:firstLine="720"/>
        <w:jc w:val="both"/>
        <w:rPr>
          <w:lang w:val="lt-LT"/>
        </w:rPr>
      </w:pPr>
      <w:r>
        <w:rPr>
          <w:lang w:val="lt-LT"/>
        </w:rPr>
        <w:t xml:space="preserve">Kadangi, įmonė atlikto turto remonto vertei (100 000 Lt.) apskaičiuoto nusidėvėjimo nepriskyrė sąnaudoms, tai ji likusią nenudėvėtą turto vertės dalį 36 000 Lt (90 000 Lt – 54 000 Lt) gali priskirti atitinkamai 2002 ir 2003 metų ribojamų dydžių leidžiamiems atskaitymams. </w:t>
      </w:r>
    </w:p>
    <w:p w14:paraId="5EB66E3C" w14:textId="77777777" w:rsidR="00093845" w:rsidRDefault="000D779E">
      <w:pPr>
        <w:tabs>
          <w:tab w:val="left" w:pos="720"/>
          <w:tab w:val="left" w:pos="1077"/>
          <w:tab w:val="left" w:pos="1418"/>
        </w:tabs>
        <w:jc w:val="both"/>
        <w:rPr>
          <w:szCs w:val="20"/>
          <w:u w:val="single"/>
          <w:lang w:val="lt-LT"/>
        </w:rPr>
      </w:pPr>
      <w:r>
        <w:rPr>
          <w:szCs w:val="20"/>
          <w:lang w:val="lt-LT"/>
        </w:rPr>
        <w:tab/>
        <w:t>(Pakeista VMI prie FM 2003-09-24 raštu Nr. (18.9-08-2)-R-8707.)</w:t>
      </w:r>
    </w:p>
    <w:p w14:paraId="17AFD595" w14:textId="77777777" w:rsidR="00093845" w:rsidRDefault="00093845">
      <w:pPr>
        <w:tabs>
          <w:tab w:val="left" w:pos="720"/>
          <w:tab w:val="left" w:pos="1077"/>
          <w:tab w:val="left" w:pos="1418"/>
        </w:tabs>
        <w:jc w:val="both"/>
        <w:rPr>
          <w:szCs w:val="20"/>
          <w:lang w:val="lt-LT"/>
        </w:rPr>
      </w:pPr>
    </w:p>
    <w:p w14:paraId="4FA16A2D" w14:textId="77777777" w:rsidR="00093845" w:rsidRDefault="000D779E">
      <w:pPr>
        <w:tabs>
          <w:tab w:val="left" w:pos="720"/>
          <w:tab w:val="left" w:pos="1077"/>
          <w:tab w:val="left" w:pos="1418"/>
        </w:tabs>
        <w:ind w:firstLine="720"/>
        <w:jc w:val="both"/>
        <w:rPr>
          <w:b/>
          <w:bCs/>
          <w:szCs w:val="20"/>
          <w:lang w:val="lt-LT"/>
        </w:rPr>
      </w:pPr>
      <w:r>
        <w:rPr>
          <w:b/>
          <w:bCs/>
          <w:lang w:val="lt-LT"/>
        </w:rPr>
        <w:t>5.</w:t>
      </w:r>
      <w:r>
        <w:rPr>
          <w:b/>
          <w:bCs/>
          <w:lang w:val="lt-LT"/>
        </w:rPr>
        <w:tab/>
        <w:t xml:space="preserve">Nuo 2002 metų prasidėjusiu mokestiniu laikotarpiu gauti dividendai apmokestinami taikant šiuos pelno mokesčio tarifus: </w:t>
      </w:r>
    </w:p>
    <w:p w14:paraId="7E733143"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 xml:space="preserve">Lietuvos vienetų gaunami dividendai iš kitų Lietuvos ir užsienio vienetų apmokestinami taikant 29 procentų pelno mokesčio tarifą ir šiems dividendams netaikomos šio Įstatymo 33 straipsnio 2 dalies ir 34 straipsnio 2 dalies nuostatos; </w:t>
      </w:r>
    </w:p>
    <w:p w14:paraId="2435CD47"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užsienio vienetų iš Lietuvos vienetų gaunami dividendai apmokestinami taikant 29 procentų pelno mokesčio tarifą ir šiems dividendams netaikomos šio Įstatymo 33 straipsnio 2 dalies ir 34 straipsnio 2 dalies nuostatos. </w:t>
      </w:r>
    </w:p>
    <w:p w14:paraId="3F10F309"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8487CBC" w14:textId="77777777" w:rsidR="00093845" w:rsidRDefault="000D779E">
      <w:pPr>
        <w:tabs>
          <w:tab w:val="left" w:pos="720"/>
          <w:tab w:val="left" w:pos="1077"/>
          <w:tab w:val="left" w:pos="1418"/>
        </w:tabs>
        <w:ind w:firstLine="720"/>
        <w:jc w:val="both"/>
        <w:rPr>
          <w:szCs w:val="20"/>
          <w:lang w:val="lt-LT"/>
        </w:rPr>
      </w:pPr>
      <w:r>
        <w:rPr>
          <w:lang w:val="lt-LT"/>
        </w:rPr>
        <w:lastRenderedPageBreak/>
        <w:t>1.</w:t>
      </w:r>
      <w:r>
        <w:rPr>
          <w:lang w:val="lt-LT"/>
        </w:rPr>
        <w:tab/>
        <w:t>PMĮ 5 str. 1 d. 3 punkte nustatytas pajamų iš paskirstytojo pelno (dividendų) apmokestinimo 15 proc. mokesčio tarifas taikomas tik nuo 2003 metais prasidėjusio mokestinio laikotarpio.</w:t>
      </w:r>
    </w:p>
    <w:p w14:paraId="5FE5F151"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Visos PMĮ nuostatos, kurios taikomos dividendams, taip pat taikomos ir paskirstytajam pelnui, nors paskirstytasis pelnas ir nėra įformintas kaip vieneto dividendai. Tačiau po neribotos civilinės atsakomybės vieneto (individualių įmonių ir ūkinių bendrijų) pelno apmokestinimo šio vieneto dalyvio gautos pajamos ir jam priklausančio turto paėmimas iš vieneto nelaikomas pelno paskirstymu. </w:t>
      </w:r>
    </w:p>
    <w:p w14:paraId="13679309"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Per 2002 metais prasidėjusį mokestinį laikotarpį iš Lietuvos vienetų ir iš užsienio vienetų gauti bei užsienio vienetams išmokėti dividendai apmokestinami taikant 29 proc. pelno mokesčio tarifą. Per šį mokestinį laikotarpį netaikomos PMĮ 33 str. 2 dalies ir 34 str. 2 dalies nuostatos dėl dividendų neapmokestinimo atvejų (netaikomas dalyvavimo išimties principas). Vadinasi, per 2002 m. prasidėjusį mokestinį laikotarpį 29 proc. mokesčiu dividendai apmokestinami neatsižvelgiant į tai, kad Lietuvos vienetas ar užsienio vienetas ne trumpiau kaip 12 mėnesių be pertraukų, įskaitant dividendų paskirstymo momentą, valdo daugiau kaip 10 proc. </w:t>
      </w:r>
      <w:r>
        <w:rPr>
          <w:u w:val="single"/>
          <w:lang w:val="lt-LT"/>
        </w:rPr>
        <w:t>Lietuvos vieneto</w:t>
      </w:r>
      <w:r>
        <w:rPr>
          <w:lang w:val="lt-LT"/>
        </w:rPr>
        <w:t xml:space="preserve"> balsus suteikiančių akcijų (dalių, pajų). </w:t>
      </w:r>
    </w:p>
    <w:p w14:paraId="0780753F" w14:textId="77777777" w:rsidR="00093845" w:rsidRDefault="000D779E">
      <w:pPr>
        <w:tabs>
          <w:tab w:val="left" w:pos="720"/>
          <w:tab w:val="left" w:pos="1077"/>
          <w:tab w:val="left" w:pos="1418"/>
        </w:tabs>
        <w:jc w:val="both"/>
        <w:rPr>
          <w:szCs w:val="20"/>
          <w:lang w:val="lt-LT"/>
        </w:rPr>
      </w:pPr>
      <w:r>
        <w:rPr>
          <w:lang w:val="lt-LT"/>
        </w:rPr>
        <w:t xml:space="preserve">Tačiau per 2002 m. prasidėjusį mokestinį laikotarpį taikoma PMĮ 35 str. 2 dalies nuostata dėl Lietuvos vienetų </w:t>
      </w:r>
      <w:r>
        <w:rPr>
          <w:u w:val="single"/>
          <w:lang w:val="lt-LT"/>
        </w:rPr>
        <w:t>iš užsienio vienetų</w:t>
      </w:r>
      <w:r>
        <w:rPr>
          <w:lang w:val="lt-LT"/>
        </w:rPr>
        <w:t xml:space="preserve"> gaunamų dividendų, t.y., jei Lietuvos vienetas gauna dividendus iš užsienio vieneto, kuriame dividendus gaunantis Lietuvos vienetas ne trumpiau kaip 12 mėnesių be pertraukų (įskaitant dividendų paskirstymo momentą) valdo daugiau kaip 10 proc. balsus suteikiančių akcijų (dalių, pajų), tai šie gaunami dividendai neapmokestinami jau nuo 2002 m. prasidėjusio mokestinio laikotarpio pradžios. </w:t>
      </w:r>
    </w:p>
    <w:p w14:paraId="661EB578"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 xml:space="preserve">Kitos (išskyrus mokesčio tarifo dydį ir dalyvavimo išimties principą) dividendų apmokestinimą nustatančios VII skyriaus (32, 33, 34, 35 ir 36 straipsnių) nuostatos taikomos nuo 2002 m. prasidėjusio mokestinio laikotarpio (žr. VII skyriaus komentarą). </w:t>
      </w:r>
    </w:p>
    <w:p w14:paraId="4324B6A7" w14:textId="77777777" w:rsidR="00093845" w:rsidRDefault="000D779E">
      <w:pPr>
        <w:tabs>
          <w:tab w:val="left" w:pos="720"/>
          <w:tab w:val="left" w:pos="1077"/>
          <w:tab w:val="left" w:pos="1418"/>
        </w:tabs>
        <w:ind w:firstLine="720"/>
        <w:jc w:val="both"/>
        <w:rPr>
          <w:b/>
          <w:bCs/>
          <w:szCs w:val="20"/>
          <w:lang w:val="lt-LT"/>
        </w:rPr>
      </w:pPr>
      <w:r>
        <w:rPr>
          <w:b/>
          <w:bCs/>
          <w:lang w:val="lt-LT"/>
        </w:rPr>
        <w:t>6.</w:t>
      </w:r>
      <w:r>
        <w:rPr>
          <w:b/>
          <w:bCs/>
          <w:lang w:val="lt-LT"/>
        </w:rPr>
        <w:tab/>
        <w:t xml:space="preserve">Jei beviltiškomis laikomų skolų suma susidarė iki šio Įstatymo įsigaliojimo dienos, šio Įstatymo 25 straipsnio 1 dalies nuostatos taikomos tik toms skoloms, kurios buvo įtrauktos į mokesčio mokėtojo realizavimo pajamas, arba jei šių skolų atsiradimas buvo užfiksuotas mokesčio mokėtojo apskaitos dokumentuose ne anksčiau kaip 1996 metais. Tačiau jei beviltiškų skolų suma buvo įtraukta į mokesčio mokėtojo realizavimo pajamas arba šių skolų atsiradimas buvo užfiksuotas mokesčio mokėtojo apskaitos dokumentuose nuo 1996 m. sausio 1 d. iki 1999 m. gruodžio 31 d., beviltiškų skolų suma arba beviltiškoms skoloms tenkanti sąnaudų dalis į vieneto leidžiamus ribojamų dydžių atskaitymus įtraukiama lygiomis dalimis per 5 metus, pradedant 2000 metais prasidėjusiu mokestiniu laikotarpiu. </w:t>
      </w:r>
    </w:p>
    <w:p w14:paraId="727FFA62"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32B57A03"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Beviltiškų skolų sumos sąnaudomis pripažįstamos, apskaičiuojant apmokestinamąjį pelną nuo 2000 metų (2000 m. liepos 11 d. JAPM įstatymo Nr. VIII-1818 redakcija). Finansų ministro 2000 m. gruodžio 29 d. </w:t>
      </w:r>
      <w:r w:rsidR="00EA612C" w:rsidRPr="009C0219">
        <w:rPr>
          <w:rStyle w:val="Hipersaitas"/>
          <w:rFonts w:ascii="Times New Roman" w:hAnsi="Times New Roman" w:cs="Times New Roman"/>
          <w:b w:val="0"/>
          <w:bCs w:val="0"/>
          <w:kern w:val="0"/>
          <w:lang w:val="lt-LT"/>
        </w:rPr>
        <w:t>įsakymu Nr. 351</w:t>
      </w:r>
      <w:r>
        <w:rPr>
          <w:lang w:val="lt-LT"/>
        </w:rPr>
        <w:t xml:space="preserve"> ,,Dėl skolų beviltiškumo ir pastangų šioms skoloms susigrąžinti įrodymo bei beviltiškų skolų sumų apskaičiavimo ir pranešimo apie beviltiškas skolas tvarkos patvirtinimo“ buvo patvirtinta Skolų beviltiškumo ir pastangų šioms skoloms susigrąžinti įrodymo bei beviltiškų skolų sumų apskaičiavimo ir pranešimo apie beviltiškas skolas tvarka. Šios tvarkos 9 ir 10 punktuose nustatyta beviltiškų skolų įtraukimo į sąnaudas tvarka, kai beviltiškų skolų suma į mokesčių mokėtojo realizavimo pajamas (įplaukas) buvo įtraukta arba šios skolos užfiksuotos apskaitos dokumentuose (jei neribotos civilinės atsakomybės juridiniai asmenys įplaukas pripažįsta pagal faktišką įplaukų gavimo momentą) nuo 1996 m. prasidėjusio mokestinio laikotarpio pradžios iki 1999-12-31. Tokios skolos į sąnaudas, mažinančias mokesčių mokėtojo apmokestinamąjį pelną (pajamas), </w:t>
      </w:r>
      <w:r>
        <w:rPr>
          <w:lang w:val="lt-LT"/>
        </w:rPr>
        <w:lastRenderedPageBreak/>
        <w:t>įtraukiamos lygiomis dalimis per penkerius metus, pradedant nuo mokestinio laikotarpio, kurį skolos buvo pripažintos beviltiškomis, bet ne anksčiau kaip tą mokestinį laikotarpį, kuris prasidėjo 2000 metais.</w:t>
      </w:r>
    </w:p>
    <w:p w14:paraId="77169B08" w14:textId="77777777" w:rsidR="00093845" w:rsidRDefault="000D779E">
      <w:pPr>
        <w:tabs>
          <w:tab w:val="left" w:pos="720"/>
          <w:tab w:val="left" w:pos="1077"/>
          <w:tab w:val="left" w:pos="1418"/>
        </w:tabs>
        <w:ind w:firstLine="720"/>
        <w:jc w:val="both"/>
        <w:rPr>
          <w:szCs w:val="20"/>
          <w:lang w:val="lt-LT"/>
        </w:rPr>
      </w:pPr>
      <w:r>
        <w:rPr>
          <w:lang w:val="lt-LT"/>
        </w:rPr>
        <w:t>Atsižvelgiant į tai, kad pagal JAPM įstatymo 5 str. 1 d. 15 punkto nuostatas sąnaudomis buvo pripažįstamos beviltiškos skolos, įtrauktos į mokesčių mokėtojo realizavimo pajamas arba užfiksuotos mokesčių mokėtojo apskaitos dokumentuose nuo 1996-01-01 iki 1999-12-31, PMĮ 58 str. 6 dalyje ir nustatyta, kad tokių beviltiškų skolų suma arba beviltiškoms skoloms tenkanti sąnaudų dalis į vieneto leidžiamus ribojamų dydžių atskaitymus įtraukiama lygiomis dalimis per 5 metus, pradedant nuo 2000 metais prasidėjusio mokestinio laikotarpio.</w:t>
      </w:r>
    </w:p>
    <w:p w14:paraId="394668D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Beviltiškos skolos, įtrauktos į mokesčių mokėtojo pajamas (įplaukas) arba užfiksuotos apskaitos dokumentuose nuo 2000-01-01, į sąnaudas (leidžiamus atskaitymus) įtraukiamos iš karto neskirstant šių sumų penkeriems metams. Iki 2002 m. prasidėjusio mokestinio laikotarpio beviltiškos skolos turėjo atitikti finansų ministro minėtu 2000 m. gruodžio 29 d. įsakymu Nr. 351 ,,Dėl skolų beviltiškumo ir pastangų šioms skoloms susigrąžinti įrodymo bei beviltiškų skolų sumų apskaičiavimo ir pranešimo apie beviltiškas skolas tvarkos patvirtinimo“ patvirtintos tvarkos nuostatas, o nuo 2002 m. prasidėjusio mokestinio laikotarpio – finansų ministro 2002 m. vasario 11 d. </w:t>
      </w:r>
      <w:r w:rsidRPr="003B706B">
        <w:rPr>
          <w:rStyle w:val="Hipersaitas"/>
          <w:rFonts w:ascii="Times New Roman" w:hAnsi="Times New Roman" w:cs="Times New Roman"/>
          <w:b w:val="0"/>
          <w:bCs w:val="0"/>
          <w:kern w:val="0"/>
          <w:lang w:val="lt-LT"/>
        </w:rPr>
        <w:t>įsakymu Nr. 40</w:t>
      </w:r>
      <w:r w:rsidRPr="003B706B">
        <w:rPr>
          <w:lang w:val="lt-LT"/>
        </w:rPr>
        <w:t xml:space="preserve"> </w:t>
      </w:r>
      <w:r>
        <w:rPr>
          <w:lang w:val="lt-LT"/>
        </w:rPr>
        <w:t>,,Dėl skolų beviltiškumo ir pastangų šioms skoloms susigrąžinti įrodymo bei beviltiškų skolų sumų apskaičiavimo tvarkos patvirtinimo“ patvirtintos Skolų beviltiškumo ir pastangų šioms skoloms susigrąžinti įrodymo bei beviltiškų skolų sumų apskaičiavimo tvarkos nuostatas. Nuo 2002 m. prasidėjusio mokestinio laikotarpio beviltiškų skolų pripažinimo leidžiamais atskaitymais tvarką reglamentuoja PMĮ 25 straipsnis.</w:t>
      </w:r>
    </w:p>
    <w:p w14:paraId="5D318993" w14:textId="77777777" w:rsidR="00093845" w:rsidRDefault="000D779E">
      <w:pPr>
        <w:tabs>
          <w:tab w:val="left" w:pos="720"/>
          <w:tab w:val="left" w:pos="1077"/>
          <w:tab w:val="left" w:pos="1418"/>
        </w:tabs>
        <w:ind w:firstLine="720"/>
        <w:jc w:val="both"/>
        <w:rPr>
          <w:b/>
          <w:bCs/>
          <w:szCs w:val="20"/>
          <w:lang w:val="lt-LT"/>
        </w:rPr>
      </w:pPr>
      <w:r>
        <w:rPr>
          <w:b/>
          <w:bCs/>
          <w:lang w:val="lt-LT"/>
        </w:rPr>
        <w:t>7.</w:t>
      </w:r>
      <w:r>
        <w:rPr>
          <w:b/>
          <w:bCs/>
          <w:lang w:val="lt-LT"/>
        </w:rPr>
        <w:tab/>
        <w:t xml:space="preserve">Iš draudimo įmonių (draudikų) gautos draudimo išmokos neapmokestinamos pagal draudimo sutartis, sudarytas iki 2002 m. sausio 1 d. </w:t>
      </w:r>
    </w:p>
    <w:p w14:paraId="5077BB72"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C5EE599"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JAPM įstatymo 3 straipsnyje buvo nustatyta, kad, apskaičiuojant apmokestinamąjį pelną, į bendrąsias pajamas neįskaitomos visos iš draudimo įmonių (draudikų) gautos draudimo išmokos. Atsižvelgiant į JAPM įstatymo nuostatas, PMĮ 58 str. 7 dalyje nustatyta, kad, apskaičiuojant apmokestinamąjį pelną, neapmokestinamoms pajamoms priskiriamos draudimo išmokos, kurios išmokamos pagal iki 2002-01-01 sudarytas draudimo sutartis. </w:t>
      </w:r>
    </w:p>
    <w:p w14:paraId="7F9AE89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Po 2002-01-01 sudarytoms draudimo sutartims taikomos PMĮ 12 str. nuostatos (žr. 12 str. komentarą), t.y. neapmokestinamosioms pajamoms priskiriama tik ta draudimo išmokų dalis, kuri nėra didesnė už prarasto turto, patirtų nuostolių ar žalos vertę (išskyrus PMĮ 26 straipsnyje nustatytas draudimo įmokas). </w:t>
      </w:r>
    </w:p>
    <w:p w14:paraId="74DA9431" w14:textId="77777777" w:rsidR="00093845" w:rsidRDefault="000D779E">
      <w:pPr>
        <w:tabs>
          <w:tab w:val="left" w:pos="720"/>
          <w:tab w:val="left" w:pos="1077"/>
          <w:tab w:val="left" w:pos="1418"/>
        </w:tabs>
        <w:ind w:firstLine="720"/>
        <w:jc w:val="both"/>
        <w:rPr>
          <w:b/>
          <w:bCs/>
          <w:szCs w:val="20"/>
          <w:lang w:val="lt-LT"/>
        </w:rPr>
      </w:pPr>
      <w:r>
        <w:rPr>
          <w:b/>
          <w:bCs/>
          <w:lang w:val="lt-LT"/>
        </w:rPr>
        <w:t>8.</w:t>
      </w:r>
      <w:r>
        <w:rPr>
          <w:b/>
          <w:bCs/>
          <w:lang w:val="lt-LT"/>
        </w:rPr>
        <w:tab/>
        <w:t xml:space="preserve">2002 metais prasidėjusiu mokestiniu laikotarpiu avansinis pelno mokestis, kurį mokesčio mokėtojas privalo sumokėti pagal pateiktą avansinio pelno mokesčio deklaraciją, apskaičiuojamas šia tvarka: </w:t>
      </w:r>
    </w:p>
    <w:p w14:paraId="00740ED2"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avansinis pelno mokestis už pirmuosius 4 mokestinio laikotarpio mėnesius apskaičiuojamas pagal faktiškai apskaičiuotą pelno (pajamų) mokesčio sumą už mokestinį laikotarpį, buvusį prieš praėjusį mokestinį laikotarpį. Mokestinio laikotarpio penktojo - dvyliktojo mėnesių pelno avansinis mokestis apskaičiuojamas pagal praėjusį mokestinį laikotarpį faktiškai apskaičiuotą pelno (pajamų) mokesčio sumą. Kiekvieno mėnesio pelno avansinis mokestis sudarys atitinkamai 1/12 faktiškai per minėtus mokestinius laikotarpius apskaičiuoto pelno mokesčio sumos;</w:t>
      </w:r>
    </w:p>
    <w:p w14:paraId="7F693ADE"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vienetas, kuris įrodo, kad mokestiniu laikotarpiu, prasidėjusiu 2002 metais, jo pajamos yra 25 procentais ir daugiau mažesnės už 2001 metais prasidėjusio mokestinio </w:t>
      </w:r>
      <w:r>
        <w:rPr>
          <w:b/>
          <w:bCs/>
          <w:lang w:val="lt-LT"/>
        </w:rPr>
        <w:lastRenderedPageBreak/>
        <w:t>laikotarpio pajamas, turi teisę ne vėliau kaip prieš mėnesį iki eilinio avansinio pelno mokesčio mokėjimo termino, nustatyto šioje dalyje, kreiptis į vietos mokesčio administratorių, kad sumažintų likusį avansinį pelno mokestį arba nuo jo atleistų. Vietos mokesčio administratorius tokiam vienetui turi sumažinti avansinio pelno mokesčio sumą proporcingai sumažėjusioms pajamoms arba atleisti nuo avansinio pelno mokesčio. Jeigu šio vieneto 2002 metais prasidėjusio mokestinio laikotarpio pajamos padidės iki 25 procentų ir daugiau, jis privalo ne vėliau kaip prieš mėnesį iki eilinio avansinio pelno mokesčio mokėjimo termino kreiptis į vietos mokesčio administratorių, kad padidintų likusį avansinį pelno mokestį;</w:t>
      </w:r>
    </w:p>
    <w:p w14:paraId="030459C7" w14:textId="77777777" w:rsidR="00093845" w:rsidRDefault="000D779E">
      <w:pPr>
        <w:tabs>
          <w:tab w:val="left" w:pos="720"/>
          <w:tab w:val="left" w:pos="1077"/>
          <w:tab w:val="left" w:pos="1418"/>
        </w:tabs>
        <w:ind w:firstLine="720"/>
        <w:jc w:val="both"/>
        <w:rPr>
          <w:b/>
          <w:bCs/>
          <w:szCs w:val="20"/>
          <w:lang w:val="lt-LT"/>
        </w:rPr>
      </w:pPr>
      <w:r>
        <w:rPr>
          <w:b/>
          <w:bCs/>
          <w:lang w:val="lt-LT"/>
        </w:rPr>
        <w:t>3)</w:t>
      </w:r>
      <w:r>
        <w:rPr>
          <w:b/>
          <w:bCs/>
          <w:lang w:val="lt-LT"/>
        </w:rPr>
        <w:tab/>
        <w:t xml:space="preserve">vienetas gali pasirinkti pelno avansinį mokestį mokėti pagal apskaičiuotą 2002 metais prasidėjusio mokestinio laikotarpio kiekvieno mėnesio pelno mokesčio sumą; </w:t>
      </w:r>
    </w:p>
    <w:p w14:paraId="58F4E15C" w14:textId="77777777" w:rsidR="00093845" w:rsidRDefault="000D779E">
      <w:pPr>
        <w:tabs>
          <w:tab w:val="left" w:pos="720"/>
          <w:tab w:val="left" w:pos="1077"/>
          <w:tab w:val="left" w:pos="1418"/>
        </w:tabs>
        <w:ind w:firstLine="720"/>
        <w:jc w:val="both"/>
        <w:rPr>
          <w:b/>
          <w:bCs/>
          <w:szCs w:val="20"/>
          <w:lang w:val="lt-LT"/>
        </w:rPr>
      </w:pPr>
      <w:r>
        <w:rPr>
          <w:b/>
          <w:bCs/>
          <w:lang w:val="lt-LT"/>
        </w:rPr>
        <w:t>4)</w:t>
      </w:r>
      <w:r>
        <w:rPr>
          <w:b/>
          <w:bCs/>
          <w:lang w:val="lt-LT"/>
        </w:rPr>
        <w:tab/>
        <w:t xml:space="preserve">mokesčio mokėtojas turi teisę atsižvelgti į pasikeitusį pelno mokesčio tarifą. </w:t>
      </w:r>
    </w:p>
    <w:p w14:paraId="45767DDC"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6DC73FEE"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2002 metais (per 2002 metais prasidėjusį mokestinį laikotarpį) mokesčių mokėtojai avansinį pelno mokestį moka ir avansinio pelno mokesčio deklaracijas teikia tokia pat tvarka kaip ir anksčiau, t.y. pagal JAPM įstatymą. </w:t>
      </w:r>
    </w:p>
    <w:p w14:paraId="0FEC7397"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Avansinio pelno mokesčio deklaracijų neteikia ir avansinio pelno mokesčio nemoka: </w:t>
      </w:r>
    </w:p>
    <w:p w14:paraId="7D1B3182" w14:textId="77777777" w:rsidR="00093845" w:rsidRDefault="000D779E">
      <w:pPr>
        <w:tabs>
          <w:tab w:val="left" w:pos="720"/>
          <w:tab w:val="left" w:pos="1077"/>
          <w:tab w:val="left" w:pos="1418"/>
        </w:tabs>
        <w:ind w:firstLine="720"/>
        <w:jc w:val="both"/>
        <w:rPr>
          <w:szCs w:val="20"/>
          <w:lang w:val="lt-LT"/>
        </w:rPr>
      </w:pPr>
      <w:r>
        <w:rPr>
          <w:lang w:val="lt-LT"/>
        </w:rPr>
        <w:t>2.1.</w:t>
      </w:r>
      <w:r>
        <w:rPr>
          <w:lang w:val="lt-LT"/>
        </w:rPr>
        <w:tab/>
        <w:t xml:space="preserve">vienetai, kurie pagal PMĮ 3 straipsnį nėra pelno mokesčio mokėtojai: </w:t>
      </w:r>
    </w:p>
    <w:p w14:paraId="17473746"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biudžetinės įstaigos,</w:t>
      </w:r>
    </w:p>
    <w:p w14:paraId="22203367"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Lietuvos bankas,</w:t>
      </w:r>
    </w:p>
    <w:p w14:paraId="4860A805"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 xml:space="preserve">pelno nesiekiantys vienetai, </w:t>
      </w:r>
    </w:p>
    <w:p w14:paraId="3F1AAB19"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 ir savivaldybės (tačiau pagal PMĮ VII skyriaus nuostatas moka pelno mokestį nuo dividendų),</w:t>
      </w:r>
    </w:p>
    <w:p w14:paraId="7D22AB68"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valstybės ir vietos savivaldos institucijos, įstaigos, tarnybos ar organizacijos,</w:t>
      </w:r>
    </w:p>
    <w:p w14:paraId="3616A001" w14:textId="77777777" w:rsidR="00093845" w:rsidRDefault="000D779E">
      <w:pPr>
        <w:tabs>
          <w:tab w:val="left" w:pos="720"/>
          <w:tab w:val="left" w:pos="1077"/>
          <w:tab w:val="left" w:pos="1418"/>
        </w:tabs>
        <w:ind w:firstLine="720"/>
        <w:jc w:val="both"/>
        <w:rPr>
          <w:szCs w:val="20"/>
          <w:lang w:val="lt-LT"/>
        </w:rPr>
      </w:pPr>
      <w:r>
        <w:rPr>
          <w:lang w:val="lt-LT"/>
        </w:rPr>
        <w:t>-</w:t>
      </w:r>
      <w:r>
        <w:rPr>
          <w:lang w:val="lt-LT"/>
        </w:rPr>
        <w:tab/>
        <w:t>valstybės įmonė Indėlių draudimo fondas.</w:t>
      </w:r>
    </w:p>
    <w:p w14:paraId="1D051D82" w14:textId="77777777" w:rsidR="00093845" w:rsidRDefault="000D779E">
      <w:pPr>
        <w:tabs>
          <w:tab w:val="left" w:pos="720"/>
          <w:tab w:val="left" w:pos="1077"/>
          <w:tab w:val="left" w:pos="1418"/>
        </w:tabs>
        <w:ind w:firstLine="720"/>
        <w:jc w:val="both"/>
        <w:rPr>
          <w:szCs w:val="20"/>
          <w:lang w:val="lt-LT"/>
        </w:rPr>
      </w:pPr>
      <w:r>
        <w:rPr>
          <w:lang w:val="lt-LT"/>
        </w:rPr>
        <w:t xml:space="preserve">Pagal PMĮ 2 str. 5 dalį pelno nesiekiantis vienetas – tai vienetas, kuris atitinka du kriterijus: </w:t>
      </w:r>
    </w:p>
    <w:p w14:paraId="6849C137"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veiklos tikslas nėra pelno siekimas ir </w:t>
      </w:r>
    </w:p>
    <w:p w14:paraId="708655A3"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jo veiklą reglamentuojančiame teisės akte nustatyta, kad toks vienetas neturi teisės gauto pelno skirstyti savo steigėjams ir (arba) dalyviams.</w:t>
      </w:r>
    </w:p>
    <w:p w14:paraId="6C903550" w14:textId="77777777" w:rsidR="00093845" w:rsidRDefault="000D779E">
      <w:pPr>
        <w:tabs>
          <w:tab w:val="left" w:pos="720"/>
          <w:tab w:val="left" w:pos="1077"/>
          <w:tab w:val="left" w:pos="1418"/>
        </w:tabs>
        <w:ind w:firstLine="720"/>
        <w:jc w:val="both"/>
        <w:rPr>
          <w:szCs w:val="20"/>
          <w:lang w:val="lt-LT"/>
        </w:rPr>
      </w:pPr>
      <w:r>
        <w:rPr>
          <w:lang w:val="lt-LT"/>
        </w:rPr>
        <w:t>Vienetas laikomas pelno nesiekiančiu vienetu neatsižvelgiant į tai, ar to vieneto veiklą reglamentuojančiuose teisės aktuose jis įvardytas pelno nesiekiančia organizacija, įstaiga, ar ne. Pelno nesiekiantiems vienetams priskiriamos viešosios įstaigos, visuomeninės organizacijos, labdaros ir paramos fondai, asociacijos, daugiabučių namų savininkų bendrijos, religinės bendruomenės ir kitos organizacijos, kurios atitinka minėtas sąlygas.</w:t>
      </w:r>
    </w:p>
    <w:p w14:paraId="735A3BDD" w14:textId="77777777" w:rsidR="00093845" w:rsidRDefault="000D779E">
      <w:pPr>
        <w:tabs>
          <w:tab w:val="left" w:pos="720"/>
          <w:tab w:val="left" w:pos="1077"/>
          <w:tab w:val="left" w:pos="1418"/>
        </w:tabs>
        <w:ind w:firstLine="720"/>
        <w:jc w:val="both"/>
        <w:rPr>
          <w:szCs w:val="20"/>
          <w:lang w:val="lt-LT"/>
        </w:rPr>
      </w:pPr>
      <w:r>
        <w:rPr>
          <w:lang w:val="lt-LT"/>
        </w:rPr>
        <w:t>2.2.</w:t>
      </w:r>
      <w:r>
        <w:rPr>
          <w:lang w:val="lt-LT"/>
        </w:rPr>
        <w:tab/>
        <w:t>naujai įregistruoti vienetai pirmaisiais mokestiniais metais. Antraisiais mokestiniais metais avansinį pelno mokestį šie vienetai pradeda skaičiuoti ir mokėti nuo mokestinio laikotarpio 10 (spalio) mėnesio (jei pasirenka avansinį pelno mokestį mokėti pagal praėjusių metų rezultatus);</w:t>
      </w:r>
    </w:p>
    <w:p w14:paraId="67B78C96" w14:textId="77777777" w:rsidR="00093845" w:rsidRDefault="000D779E">
      <w:pPr>
        <w:tabs>
          <w:tab w:val="left" w:pos="720"/>
          <w:tab w:val="left" w:pos="1077"/>
          <w:tab w:val="left" w:pos="1418"/>
        </w:tabs>
        <w:ind w:firstLine="720"/>
        <w:jc w:val="both"/>
        <w:rPr>
          <w:szCs w:val="20"/>
          <w:lang w:val="lt-LT"/>
        </w:rPr>
      </w:pPr>
      <w:r>
        <w:rPr>
          <w:lang w:val="lt-LT"/>
        </w:rPr>
        <w:t>2.3.</w:t>
      </w:r>
      <w:r>
        <w:rPr>
          <w:lang w:val="lt-LT"/>
        </w:rPr>
        <w:tab/>
        <w:t>vienetai, kurių praėjusio mokestinio laikotarpio apmokestinamosios pajamos nėra didesnės kaip 100 tūkst. litų.</w:t>
      </w:r>
    </w:p>
    <w:p w14:paraId="079947B6" w14:textId="77777777" w:rsidR="00093845" w:rsidRDefault="000D779E">
      <w:pPr>
        <w:tabs>
          <w:tab w:val="left" w:pos="720"/>
          <w:tab w:val="left" w:pos="1077"/>
          <w:tab w:val="left" w:pos="1418"/>
        </w:tabs>
        <w:ind w:firstLine="720"/>
        <w:jc w:val="both"/>
        <w:rPr>
          <w:szCs w:val="20"/>
          <w:lang w:val="lt-LT"/>
        </w:rPr>
      </w:pPr>
      <w:r>
        <w:rPr>
          <w:lang w:val="lt-LT"/>
        </w:rPr>
        <w:lastRenderedPageBreak/>
        <w:t>3.</w:t>
      </w:r>
      <w:r>
        <w:rPr>
          <w:lang w:val="lt-LT"/>
        </w:rPr>
        <w:tab/>
        <w:t xml:space="preserve">2002 metais (per 2002 metais prasidėjusį mokestinį laikotarpį) avansinis pelno mokestis kaip ir anksčiau </w:t>
      </w:r>
      <w:r>
        <w:rPr>
          <w:color w:val="000000"/>
          <w:lang w:val="lt-LT"/>
        </w:rPr>
        <w:t>apskaičiuojamas</w:t>
      </w:r>
      <w:r>
        <w:rPr>
          <w:color w:val="FF0000"/>
          <w:lang w:val="lt-LT"/>
        </w:rPr>
        <w:t xml:space="preserve"> </w:t>
      </w:r>
      <w:r>
        <w:rPr>
          <w:lang w:val="lt-LT"/>
        </w:rPr>
        <w:t>ir mokamas pagal vieną iš dviejų mokesčių mokėtojo pasirinktą būdą:</w:t>
      </w:r>
    </w:p>
    <w:p w14:paraId="1E60D634"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r>
      <w:r>
        <w:rPr>
          <w:b/>
          <w:bCs/>
          <w:lang w:val="lt-LT"/>
        </w:rPr>
        <w:t>pagal praėjusių metų rezultatus.</w:t>
      </w:r>
      <w:r>
        <w:rPr>
          <w:lang w:val="lt-LT"/>
        </w:rPr>
        <w:t xml:space="preserve"> Tokiu atveju už pirmųjų keturių (sausio – balandžio) mokestinio laikotarpio mėnesių avansinis pelno mokestis apskaičiuojamas pagal faktiškai apskaičiuotą mokestinio laikotarpio, buvusio prieš praėjusį mokestinį laikotarpį (šiuo atveju pagal 2000 metų), pelno (pajamų) mokesčio sumą. Mokestinio laikotarpio 5 - 12 (gegužės – gruodžio) mėnesių pelno avansinis mokestis apskaičiuojamas pagal praėjusį mokestinį laikotarpį (2001 metais) faktiškai apskaičiuotą mokesčio sumą. Kiekvieno mėnesio pelno avansinis mokestis sudarys 1/12 faktiškai per minėtus mokestinius laikotarpius apskaičiuoto pelno mokesčio sumos. </w:t>
      </w:r>
    </w:p>
    <w:p w14:paraId="04064E81" w14:textId="77777777" w:rsidR="00093845" w:rsidRDefault="000D779E">
      <w:pPr>
        <w:tabs>
          <w:tab w:val="left" w:pos="720"/>
          <w:tab w:val="left" w:pos="1077"/>
          <w:tab w:val="left" w:pos="1418"/>
        </w:tabs>
        <w:ind w:firstLine="720"/>
        <w:jc w:val="both"/>
        <w:rPr>
          <w:szCs w:val="20"/>
          <w:lang w:val="lt-LT"/>
        </w:rPr>
      </w:pPr>
      <w:r>
        <w:rPr>
          <w:lang w:val="lt-LT"/>
        </w:rPr>
        <w:t xml:space="preserve">Atkreipiame dėmesį, kad, skaičiuodamas avansinį pelno mokestį, mokesčių mokėtojas gali atsižvelgti į PMĮ pakeistą pelno mokesčio tarifą, kuris nuo 24 proc. sumažintas iki 15 arba 13 proc. </w:t>
      </w:r>
    </w:p>
    <w:p w14:paraId="00FE5487" w14:textId="77777777" w:rsidR="00093845" w:rsidRDefault="000D779E">
      <w:pPr>
        <w:tabs>
          <w:tab w:val="left" w:pos="720"/>
          <w:tab w:val="left" w:pos="1077"/>
          <w:tab w:val="left" w:pos="1418"/>
        </w:tabs>
        <w:ind w:firstLine="720"/>
        <w:jc w:val="both"/>
        <w:rPr>
          <w:szCs w:val="20"/>
          <w:lang w:val="lt-LT"/>
        </w:rPr>
      </w:pPr>
      <w:r>
        <w:rPr>
          <w:lang w:val="lt-LT"/>
        </w:rPr>
        <w:t>Pavyzdys</w:t>
      </w:r>
    </w:p>
    <w:p w14:paraId="37FD723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UAB Y 2000 metų apmokestinamasis pelnas sudarė 100000 Lt, pelno mokestis taikant 24 proc. pelno mokesčio tarifą sudarė 24000 Lt. Vadinasi, 2002 metų sausio – balandžio mėnesių avansinis pelno mokestis sudarys 2000 Lt kiekvieną mėnesį (24000 : 12). Pagal PMĮ nuostatas UAB Y, 2002 metais apmokestindama pelną, turės taikyti 15 proc. tarifą. Atsižvelgdama į tai, UAB Y gali perskaičiuoti 2002 m. sausio – balandžio mėnesių avansinį pelno mokestį: 100000x15:100:12 = 1250 Lt. Vadinasi, UAB Y 2002 metų sausio – balandžio mėnesiais mokės ne po 2000 Lt, bet po 1250 Lt avansinio pelno mokesčio.</w:t>
      </w:r>
    </w:p>
    <w:p w14:paraId="1113AA83" w14:textId="77777777" w:rsidR="00093845" w:rsidRDefault="00093845">
      <w:pPr>
        <w:tabs>
          <w:tab w:val="left" w:pos="720"/>
          <w:tab w:val="left" w:pos="1077"/>
          <w:tab w:val="left" w:pos="1418"/>
        </w:tabs>
        <w:jc w:val="both"/>
        <w:rPr>
          <w:szCs w:val="20"/>
          <w:lang w:val="lt-LT"/>
        </w:rPr>
      </w:pPr>
    </w:p>
    <w:p w14:paraId="3A810C34"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r>
      <w:r>
        <w:rPr>
          <w:b/>
          <w:bCs/>
          <w:lang w:val="lt-LT"/>
        </w:rPr>
        <w:t>pagal faktinius einamųjų metų rezultatus.</w:t>
      </w:r>
      <w:r>
        <w:rPr>
          <w:lang w:val="lt-LT"/>
        </w:rPr>
        <w:t xml:space="preserve"> Šiuo atveju mokesčių mokėtojas avansinį pelno mokestį moka pagal apskaičiuotą 2002 metų (2002 metais prasidėjusio mokestinio laikotarpio) kiekvieno mėnesio pelno mokesčio sumą. Nuo 2003 metų (2003 metais prasidėjusio mokestinio laikotarpio) avansinio pelno mokesčio mokėjimo būdo pagal faktinius einamųjų metų rezultatus nebus taikomas. </w:t>
      </w:r>
    </w:p>
    <w:p w14:paraId="03BDEB9B"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Kaip ir pagal JAPM įstatymo 12 straipsnio bei FAPML įstatymo 30 straipsnio nuostatas, mokesčių mokėtojai, kurie įrodo, kad 2002 m. prasidėjusį mokestinį laikotarpį jo pajamos yra 25 proc. ir daugiau mažesnės už praėjusio 2001 m. prasidėjusio mokestinio laikotarpio atitinkamo laikotarpio pajamas, turi teisę ne vėliau kaip prieš mėnesį iki eilinio avansinio pelno mokesčio mokėjimo termino pabaigos (avansinio pelno mokesčio mokėjimo terminas 2002 m. prasidėjusiu mokestiniu laikotarpiu - kito mėnesio 15 d.) kreiptis į vietos mokesčių administratorių ir prašyti sumažinti likusią avansinio pelno mokesčio sumą arba atleisti nuo jos. Tokiu atveju reikia pateikti prašymą ir jame nurodyti einamojo laikotarpio pajamų sumą ir atitinkamo praėjusio mokestinio laikotarpio bendrųjų pajamų sumą bei apskaičiuotą pajamų sumažėjimo procentą. Vietos mokesčių administratorius priima sprendimą sumažinti avansinį pelno mokestį arba visai atleisti nuo jo mokėjimo (jei proporcingai pagal pajamų sumažėjimą jį sumažinus avansinis pelno mokestis tampa labai mažas).</w:t>
      </w:r>
    </w:p>
    <w:p w14:paraId="28043C14" w14:textId="77777777" w:rsidR="00093845" w:rsidRDefault="000D779E">
      <w:pPr>
        <w:tabs>
          <w:tab w:val="left" w:pos="720"/>
          <w:tab w:val="left" w:pos="1077"/>
          <w:tab w:val="left" w:pos="1418"/>
        </w:tabs>
        <w:ind w:firstLine="720"/>
        <w:jc w:val="both"/>
        <w:rPr>
          <w:szCs w:val="20"/>
          <w:lang w:val="lt-LT"/>
        </w:rPr>
      </w:pPr>
      <w:r>
        <w:rPr>
          <w:lang w:val="lt-LT"/>
        </w:rPr>
        <w:t>Dėl avansinio pelno mokesčio padidinimo, padidėjus pajamoms 25 proc. ir daugiau, turi kreiptis tik tie mokesčių mokėtojai, kuriems prieš tai pagal jų pateiktą prašymą avansinis pelno mokestis buvo sumažintas.</w:t>
      </w:r>
    </w:p>
    <w:p w14:paraId="45818988" w14:textId="77777777" w:rsidR="00093845" w:rsidRDefault="000D779E">
      <w:pPr>
        <w:tabs>
          <w:tab w:val="left" w:pos="720"/>
          <w:tab w:val="left" w:pos="1077"/>
          <w:tab w:val="left" w:pos="1418"/>
        </w:tabs>
        <w:ind w:firstLine="720"/>
        <w:jc w:val="both"/>
        <w:rPr>
          <w:b/>
          <w:bCs/>
          <w:szCs w:val="20"/>
          <w:lang w:val="lt-LT"/>
        </w:rPr>
      </w:pPr>
      <w:r>
        <w:rPr>
          <w:b/>
          <w:bCs/>
          <w:lang w:val="lt-LT"/>
        </w:rPr>
        <w:t>9.</w:t>
      </w:r>
      <w:r>
        <w:rPr>
          <w:b/>
          <w:bCs/>
          <w:lang w:val="lt-LT"/>
        </w:rPr>
        <w:tab/>
        <w:t xml:space="preserve">Avansinio pelno mokesčio deklaracija už pirmuosius keturis 2002 metais prasidėjusio mokestinio laikotarpio mėnesius pateikiama iki mokestinio laikotarpio pirmojo mėnesio paskutinės dienos. Avansinio pelno mokesčio deklaracija už 2002 metais prasidėjusio mokestinio laikotarpio penktąjį - dvyliktąjį mėnesius pateikiama iki mokestinio laikotarpio penktojo </w:t>
      </w:r>
      <w:r>
        <w:rPr>
          <w:b/>
          <w:bCs/>
          <w:lang w:val="lt-LT"/>
        </w:rPr>
        <w:lastRenderedPageBreak/>
        <w:t xml:space="preserve">mėnesio paskutinės dienos. Jeigu vienetas pasirinko avansinį pelno mokestį mokėti pagal apskaičiuotą 2002 metais prasidėjusio mokestinio laikotarpio kiekvieno mėnesio pelno mokesčio sumą, avansinio pelno mokesčio deklaracija pateikiama ne vėliau kaip pasibaigus kiekvienam 2002 metais prasidėjusio mokestinio laikotarpio mėnesiui iki kito mėnesio 15 dienos. Pelno avansinis mokestis turi būti sumokėtas ne vėliau kaip pasibaigus kiekvienam 2002 metais prasidėjusio mokestinio laikotarpio mėnesiui iki kito mėnesio 15 dienos. </w:t>
      </w:r>
    </w:p>
    <w:p w14:paraId="1585FE13"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070E64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Pasirinkęs avansinio pelno mokesčio mokėjimo būdą pagal praėjusių metų rezultatus, mokesčių mokėtojas privalo avansinio pelno mokesčio deklaraciją pateikti tokia pat tvarka, kaip ir anksčiau. Kaip ir anksčiau naudojama Valstybinės mokesčių inspekcijos prie Finansų ministerijos (toliau – VMI prie FM) viršininko 2000 m. gruodžio 29 d. </w:t>
      </w:r>
      <w:r w:rsidR="003B706B" w:rsidRPr="009C0219">
        <w:rPr>
          <w:rStyle w:val="Hipersaitas"/>
          <w:rFonts w:ascii="Times New Roman" w:hAnsi="Times New Roman" w:cs="Times New Roman"/>
          <w:b w:val="0"/>
          <w:bCs w:val="0"/>
          <w:kern w:val="0"/>
          <w:lang w:val="lt-LT"/>
        </w:rPr>
        <w:t>įsakymu Nr. 256</w:t>
      </w:r>
      <w:r w:rsidRPr="003B706B">
        <w:rPr>
          <w:lang w:val="lt-LT"/>
        </w:rPr>
        <w:t xml:space="preserve"> </w:t>
      </w:r>
      <w:r>
        <w:rPr>
          <w:lang w:val="lt-LT"/>
        </w:rPr>
        <w:t>,,Dėl pelno (pajamų) avansinio mokesčio formos FR0018 (PAM-1) ir jos užpildymo tvarkos patvirtinimo“ (Žin., 2001, Nr. 6-180) patvirtinta pelno (pajamų) avansinio mokesčio apyskaitos forma.</w:t>
      </w:r>
      <w:r>
        <w:rPr>
          <w:i/>
          <w:lang w:val="lt-LT"/>
        </w:rPr>
        <w:t xml:space="preserve"> </w:t>
      </w:r>
      <w:r>
        <w:rPr>
          <w:lang w:val="lt-LT"/>
        </w:rPr>
        <w:t>Pirmųjų keturių 2002 mokestinių metų mėnesių deklaracija pateikiama iki mokestinio laikotarpio pirmojo mėnesio paskutinės dienos (jei mokestinis laikotarpis yra kalendoriniai metai – iki sausio 31 d.), o 5 - 12 mėnesių deklaracija pateikiama iki mokestinio laikotarpio penktojo mėnesio paskutinės dienos (iki gegužės 31 d.).</w:t>
      </w:r>
    </w:p>
    <w:p w14:paraId="16404283"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Mokesčių mokėtojas, pasirinkęs avansinį pelno mokestį mokėti pagal apskaičiuotą 2002 metais prasidėjusio mokestinio laikotarpio kiekvieno mėnesio pelno mokesčio sumą, ne vėliau kaip pasibaigus kiekvienam mokestinio laikotarpio mėnesiui iki kito mėnesio 15 dienos privalo pateikti avansinio pelno mokesčio deklaraciją. Jei mokestinis laikotarpis sutampa su kalendoriniais metais, tai pirmąjį kartą 2002 metais deklaraciją reikės pateikti iki vasario 15 dienos. Deklaracija ir jos užpildymo tvarka patvirtinta VMI prie FM viršininko 2002 m. vasario 8 d. </w:t>
      </w:r>
      <w:r w:rsidR="003B706B" w:rsidRPr="009C0219">
        <w:rPr>
          <w:rStyle w:val="Hipersaitas"/>
          <w:rFonts w:ascii="Times New Roman" w:hAnsi="Times New Roman" w:cs="Times New Roman"/>
          <w:b w:val="0"/>
          <w:bCs w:val="0"/>
          <w:kern w:val="0"/>
          <w:u w:val="single"/>
          <w:lang w:val="lt-LT"/>
        </w:rPr>
        <w:t>įsakymu Nr. 39</w:t>
      </w:r>
      <w:r w:rsidRPr="003B706B">
        <w:rPr>
          <w:lang w:val="lt-LT"/>
        </w:rPr>
        <w:t xml:space="preserve"> </w:t>
      </w:r>
      <w:r>
        <w:rPr>
          <w:lang w:val="lt-LT"/>
        </w:rPr>
        <w:t>,,Dėl avansinio pelno mokesčio deklaracijos FR0308 formos ir šios formos užpildymo taisyklių patvirtinimo“. Ši deklaracija pritaikyta naudoti visiems juridiniams asmenimis (įskaitant individualias įmones ir ūkines bendrijas)</w:t>
      </w:r>
      <w:r>
        <w:rPr>
          <w:i/>
          <w:lang w:val="lt-LT"/>
        </w:rPr>
        <w:t>.</w:t>
      </w:r>
    </w:p>
    <w:p w14:paraId="3A445EF3"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2002 m. prasidėjusio mokestinio laikotarpio avansinis pelno mokestis turi būti sumokėtas ne vėliau kaip pasibaigus kiekvienam mėnesiui iki kito mėnesio 15 dienos.</w:t>
      </w:r>
    </w:p>
    <w:p w14:paraId="6BFB756E" w14:textId="77777777" w:rsidR="00093845" w:rsidRDefault="000D779E">
      <w:pPr>
        <w:tabs>
          <w:tab w:val="left" w:pos="720"/>
          <w:tab w:val="left" w:pos="1077"/>
          <w:tab w:val="left" w:pos="1418"/>
        </w:tabs>
        <w:ind w:firstLine="720"/>
        <w:jc w:val="both"/>
        <w:rPr>
          <w:b/>
          <w:bCs/>
          <w:szCs w:val="20"/>
          <w:lang w:val="lt-LT"/>
        </w:rPr>
      </w:pPr>
      <w:r>
        <w:rPr>
          <w:b/>
          <w:bCs/>
          <w:lang w:val="lt-LT"/>
        </w:rPr>
        <w:t>10.</w:t>
      </w:r>
      <w:r>
        <w:rPr>
          <w:b/>
          <w:bCs/>
          <w:lang w:val="lt-LT"/>
        </w:rPr>
        <w:tab/>
        <w:t xml:space="preserve">Už 2001 metais prasidėjusį mokestinį laikotarpį pajamų deklaracija arba pelno mokesčio apyskaita kartu su Lietuvos Respublikos buhalterinės apskaitos įstatyme nustatyta finansine atskaitomybe pateikiama pasibaigus mokestiniams metams iki 2002 m. gegužės 1 d. arba iki 2002 metais prasidėjusio mokestinio laikotarpio penkto mėnesio pirmos dienos. Pelno (pajamų) mokestis už 2001 metais prasidėjusį mokestinį laikotarpį sumokamas pagal pelno mokesčio apyskaitą arba pagal pajamų deklaraciją. Jeigu pelno mokesčio apyskaitoje arba pajamų deklaracijoje apskaičiuota pelno mokesčio suma viršija už mokestinį laikotarpį pagal pelno (pajamų) mokesčio avansines apyskaitas sumokėtą pelno (pajamų) mokesčio sumą, mokesčio mokėtojas privalo kitą darbo dieną po pelno mokesčio apyskaitos arba pajamų deklaracijos pateikimo termino pabaigos šį skirtumą sumokėti į biudžetą. </w:t>
      </w:r>
    </w:p>
    <w:p w14:paraId="28D4DF0B"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97D79FF"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2001 m. prasidėjusio mokestinio laikotarpio apmokestinamasis pelnas ir pelno mokestis arba apmokestinamosios pajamos ir pajamų mokestis apskaičiuojami bei deklaruojami ne pagal nuo 2002-01-01 įsigaliojusį PMĮ, bet pagal JAPM įstatymą ir FAPML įstatymą.</w:t>
      </w:r>
    </w:p>
    <w:p w14:paraId="2DBDECAD" w14:textId="77777777" w:rsidR="00093845" w:rsidRDefault="000D779E">
      <w:pPr>
        <w:tabs>
          <w:tab w:val="left" w:pos="720"/>
          <w:tab w:val="left" w:pos="1077"/>
          <w:tab w:val="left" w:pos="1418"/>
        </w:tabs>
        <w:ind w:firstLine="720"/>
        <w:jc w:val="both"/>
        <w:rPr>
          <w:szCs w:val="20"/>
          <w:lang w:val="lt-LT"/>
        </w:rPr>
      </w:pPr>
      <w:r>
        <w:rPr>
          <w:lang w:val="lt-LT"/>
        </w:rPr>
        <w:t>Pavyzdys</w:t>
      </w:r>
    </w:p>
    <w:p w14:paraId="6A2D75CC"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 xml:space="preserve">Lietuvos vieneto 2001 metų mokestinis laikotarpis prasideda 2001 m. balandžio 1 d. ir pasibaigia 2002 m. kovo 31 dieną. Vadinasi, šis mokesčių mokėtojas turi deklaruoti laikotarpio nuo </w:t>
      </w:r>
      <w:r>
        <w:rPr>
          <w:lang w:val="lt-LT"/>
        </w:rPr>
        <w:lastRenderedPageBreak/>
        <w:t>2001 m. balandžio 1 d. iki 2002 m. kovo 31 d. apmokestinamąjį pelną ir jį apskaičiuodamas turi vadovautis JAPM įstatymo, o ne PMĮ nuostatomis. Pelno mokesčio deklaraciją šis vienetas turi pateikti iki kito mokestinio laikotarpio penktojo mėnesio pirmos dienos, t.y. iki 2002 m. rugpjūčio 1 d., o papildomai apskaičiuotą pelno mokesčio sumą sumokėti į biudžetą ne vėliau kaip 2002 m. rugpjūčio 2 dieną.</w:t>
      </w:r>
    </w:p>
    <w:p w14:paraId="6D0D01DA"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2001 m. prasidėjusio mokestinio laikotarpio apmokestinamasis pelnas ir pelno mokestis deklaruojami pagal VMI prie FM viršininko 2001 m. sausio 22 d. </w:t>
      </w:r>
      <w:r w:rsidR="00455B80" w:rsidRPr="009C0219">
        <w:rPr>
          <w:rStyle w:val="Hipersaitas"/>
          <w:rFonts w:ascii="Times New Roman" w:hAnsi="Times New Roman" w:cs="Times New Roman"/>
          <w:b w:val="0"/>
          <w:bCs w:val="0"/>
          <w:kern w:val="0"/>
          <w:lang w:val="lt-LT"/>
        </w:rPr>
        <w:t>įsakymu Nr. 13</w:t>
      </w:r>
      <w:r>
        <w:rPr>
          <w:lang w:val="lt-LT"/>
        </w:rPr>
        <w:t xml:space="preserve"> ,, Dėl juridinių asmenų pelno mokesčio apyskaitos formos ir jos užpildymo tvarkos patvirtinimo“ patvirtintą Juridinių asmenų pelno mokesčio apyskaitos FR0024 formą ir ją pildant vadovaujamasi minėtu įsakymu patvirtinta Juridinių asmenų pelno mokesčio apyskaitos užpildymo tvarka.</w:t>
      </w:r>
    </w:p>
    <w:p w14:paraId="270CF3DE"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2001 m. prasidėjusio mokestinio laikotarpio apmokestinamosios pajamos ir pajamų mokestis deklaruojami pagal VMI prie FM viršininko 2000 m. gruodžio 8 d. </w:t>
      </w:r>
      <w:r w:rsidR="00455B80" w:rsidRPr="009C0219">
        <w:rPr>
          <w:rStyle w:val="Hipersaitas"/>
          <w:rFonts w:ascii="Times New Roman" w:hAnsi="Times New Roman" w:cs="Times New Roman"/>
          <w:b w:val="0"/>
          <w:bCs w:val="0"/>
          <w:kern w:val="0"/>
          <w:lang w:val="lt-LT"/>
        </w:rPr>
        <w:t>įsakymu Nr. 233</w:t>
      </w:r>
      <w:r w:rsidRPr="00455B80">
        <w:rPr>
          <w:lang w:val="lt-LT"/>
        </w:rPr>
        <w:t xml:space="preserve"> </w:t>
      </w:r>
      <w:r>
        <w:rPr>
          <w:lang w:val="lt-LT"/>
        </w:rPr>
        <w:t>,,Dėl juridinio asmens teisių neturinčių individualių (personalinių) įmonių ir ūkinių bendrijų pajamų deklaracijos formos ir jos užpildymo tvarkos patvirtinimo“ patvirtintą Juridinio asmens teisių neturinčių individualių (personalinių) įmonių ir ūkinių bendrijų pajamų deklaracijos FR0181 formą ir šios formos užpildymo tvarką.</w:t>
      </w:r>
    </w:p>
    <w:p w14:paraId="36F4663D"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Pelno ir pajamų mokesčio sumokėjimo termino pabaiga yra kita darbo diena po pelno mokesčio apyskaitos ar pajamų deklaracijos pateikimo termino pasibaigimo. Pelno mokesčio apyskaita arba pajamų deklaracija pateikiama mokestiniam laikotarpiui pasibaigus iki kito mokestinio laikotarpio penktojo mėnesio 1 dienos (jei mokestinis laikotarpis sutampa su kalendoriniais metais, tai iki kitų metų gegužės 1 dienos). Todėl pagal pelno (pajamų) mokesčio avansines apyskaitas apskaičiuotas avansines pelno (pajamų) mokesčio sumas viršijanti pelno mokesčio apyskaitoje arba pajamų deklaracijoje apskaičiuota pelno arba pajamų mokesčio dalis turi būti sumokėta ne vėliau kaip kito mokestinio laikotarpio penktojo mėnesio antrąją dieną. Tuo atveju, kai ši diena yra nedarbo diena, tai minėta dalis sumokama kitą darbo dieną po nedarbo dienos.</w:t>
      </w:r>
    </w:p>
    <w:p w14:paraId="5902FCCA" w14:textId="77777777" w:rsidR="00093845" w:rsidRDefault="000D779E">
      <w:pPr>
        <w:tabs>
          <w:tab w:val="left" w:pos="720"/>
          <w:tab w:val="left" w:pos="1077"/>
          <w:tab w:val="left" w:pos="1418"/>
        </w:tabs>
        <w:ind w:firstLine="720"/>
        <w:jc w:val="both"/>
        <w:rPr>
          <w:b/>
          <w:bCs/>
          <w:szCs w:val="20"/>
          <w:lang w:val="lt-LT"/>
        </w:rPr>
      </w:pPr>
      <w:r>
        <w:rPr>
          <w:b/>
          <w:bCs/>
          <w:lang w:val="lt-LT"/>
        </w:rPr>
        <w:t>11.</w:t>
      </w:r>
      <w:r>
        <w:rPr>
          <w:b/>
          <w:bCs/>
          <w:lang w:val="lt-LT"/>
        </w:rPr>
        <w:tab/>
        <w:t xml:space="preserve">Šio Įstatymo 1 priedėlyje nustatyti nusidėvėjimo arba amortizacijos normatyvai taikomi po šio Įstatymo įsigaliojimo dienos įsigytam ilgalaikiam materialiajam ir nematerialiajam turtui bei prestižui. </w:t>
      </w:r>
    </w:p>
    <w:p w14:paraId="62A8A7EC"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7B3F0111"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Iki 1999-12-31 pradėto naudoti ilgalaikio turto nusidėvėjimo (amortizacijos) sumos apskaičiuojamos taikant tiesinį arba produkcijos metodą ir ne didesnius už Ekonomikos ministerijos 1993 m. gruodžio 17 d. raštu Nr. 21-7-3294 ir Finansų ministerijos 1993 m. gruodžio 22 d. raštu Nr. 95N ,,Ilgalaikio turto nusidėvėjimo (amortizacijos) minimalūs ir maksimalūs ekonominiai normatyvai“ patvirtintus maksimalius ekonominius normatyvus.</w:t>
      </w:r>
    </w:p>
    <w:p w14:paraId="3B18DE70"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2000 ir 2001 metais pradėto naudoti ilgalaikio turto nusidėvėjimo (amortizacijos) sumos apskaičiuojamos taikant tiesinį arba produkcijos metodą ir ne didesnius už ūkio ministro ir finansų ministro 1999 m. gruodžio 24 d. </w:t>
      </w:r>
      <w:r w:rsidR="00455B80" w:rsidRPr="009C0219">
        <w:rPr>
          <w:rStyle w:val="Hipersaitas"/>
          <w:rFonts w:ascii="Times New Roman" w:hAnsi="Times New Roman" w:cs="Times New Roman"/>
          <w:b w:val="0"/>
          <w:bCs w:val="0"/>
          <w:kern w:val="0"/>
          <w:lang w:val="lt-LT"/>
        </w:rPr>
        <w:t>įsakymu Nr. 428/301</w:t>
      </w:r>
      <w:r>
        <w:rPr>
          <w:lang w:val="lt-LT"/>
        </w:rPr>
        <w:t xml:space="preserve"> ,,Dėl Ilgalaikio materialiojo ir nematerialiojo turto nusidėvėjimo (amortizacijos) ekonominių normatyvų patvirtinimo“ patvirtintus maksimalius ekonominius normatyvus. </w:t>
      </w:r>
    </w:p>
    <w:p w14:paraId="441A52DE"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PMĮ 1 priedėlyje nustatyti nusidėvėjimo (amortizacijos) normatyvai taikomi tik tam turtui, kuris įsigytas ir pradėtas naudoti po PMĮ įsigaliojimo dienos. Vadinasi, tuo atveju, kai mokesčių mokėtojo mokestinis laikotarpis sutampa su kalendoriniais metai, tai 1 priedėlyje nustatyti normatyvai taikomi po 2002-01-01 įsigytam ir pradėtam naudoti turtui, o tuo atveju, kai mokesčių mokėtojo mokestinis laikotarpis nesutampa su kalendoriniais metais, tai 1 priedėlyje nustatyti normatyvai taikomi po 2002 metais prasidėjusio šio mokesčių mokėtojo mokestinio laikotarpio pradžios.</w:t>
      </w:r>
    </w:p>
    <w:p w14:paraId="40E9E2DE" w14:textId="77777777" w:rsidR="00093845" w:rsidRDefault="000D779E">
      <w:pPr>
        <w:tabs>
          <w:tab w:val="left" w:pos="720"/>
          <w:tab w:val="left" w:pos="1077"/>
          <w:tab w:val="left" w:pos="1418"/>
        </w:tabs>
        <w:ind w:firstLine="720"/>
        <w:jc w:val="both"/>
        <w:rPr>
          <w:szCs w:val="20"/>
          <w:lang w:val="lt-LT"/>
        </w:rPr>
      </w:pPr>
      <w:r>
        <w:rPr>
          <w:lang w:val="lt-LT"/>
        </w:rPr>
        <w:lastRenderedPageBreak/>
        <w:t>4.</w:t>
      </w:r>
      <w:r>
        <w:rPr>
          <w:lang w:val="lt-LT"/>
        </w:rPr>
        <w:tab/>
        <w:t>Jeigu iki 2001-12-31 įsigytas ilgalaikis materialusis turtas pradedamas naudoti 2002 m., tai šio turto nusidėvėjimas skaičiuojamas vadovaujantis PMĮ 1 priedėlyje nustatytais nusidėvėjimo (amortizacijos) normatyvais.</w:t>
      </w:r>
    </w:p>
    <w:p w14:paraId="67B13EC8" w14:textId="77777777" w:rsidR="00093845" w:rsidRDefault="000D779E">
      <w:pPr>
        <w:tabs>
          <w:tab w:val="left" w:pos="720"/>
          <w:tab w:val="left" w:pos="1077"/>
          <w:tab w:val="left" w:pos="1418"/>
        </w:tabs>
        <w:ind w:firstLine="720"/>
        <w:jc w:val="both"/>
        <w:rPr>
          <w:b/>
          <w:bCs/>
          <w:szCs w:val="20"/>
          <w:lang w:val="lt-LT"/>
        </w:rPr>
      </w:pPr>
      <w:r>
        <w:rPr>
          <w:b/>
          <w:bCs/>
          <w:lang w:val="lt-LT"/>
        </w:rPr>
        <w:t>12.</w:t>
      </w:r>
      <w:r>
        <w:rPr>
          <w:b/>
          <w:bCs/>
          <w:lang w:val="lt-LT"/>
        </w:rPr>
        <w:tab/>
        <w:t xml:space="preserve">Vienetai, kurie iki 2002 m. sausio 1 d. pajamas pripažindavo faktišku įplaukų gavimo momentu, tačiau pagal šio Įstatymo nuostatas nebeatitinka pinigų apskaitos principo taikymui nustatytų kriterijų, gali pereiti prie kaupimo apskaitos principo taikymo pasirinktinai nuo 2002 metais prasidedančio mokestinio laikotarpio arba nuo 2003 metais prasidėsiančio mokestinio laikotarpio. </w:t>
      </w:r>
    </w:p>
    <w:p w14:paraId="15C25A39"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C0BEED5"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Pagal PMĮ 9 straipsnį pinigų apskaitos principą gali taikyti:</w:t>
      </w:r>
    </w:p>
    <w:p w14:paraId="50D64F13"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Lietuvos vienetai, kurie iki PMĮ įsigaliojimo pajamas pripažindavo pagal pinigų apskaitos principą ir kurių pajamos nė per vieną iš paskutinių trijų mokestinių laikotarpių nebuvo didesnės kaip 100 tūkst. litų;</w:t>
      </w:r>
    </w:p>
    <w:p w14:paraId="48A462B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naujai registruoti Lietuvos vienetai, kurių pirmojo mokestinio laikotarpio planuojamos pajamos nebus didesnės kaip 100 tūkst. litų per mokestinį laikotarpį.</w:t>
      </w:r>
    </w:p>
    <w:p w14:paraId="656D00D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Mokestinį laikotarpį, einantį po mokestinio laikotarpio, kurį pajamos buvo didesnės kaip 100 tūkst. litų, Lietuvos vienetai, taikę pinigų apskaitos principą (išskyrus bankrutuojančiojo statusą turinčius (įgijusius) Lietuvos vienetus), privalo pereiti prie kaupimo apskaitos principo.</w:t>
      </w:r>
    </w:p>
    <w:p w14:paraId="21C7296E"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 xml:space="preserve">Iki PMĮ įsigaliojimo pinigų apskaitos principą galėjo taikyti tik individualios (personalios) įmonės ir ūkinės bendrijos. Vadinasi, individualios (personalios) įmonės ir ūkinės bendrijos, kurios iki PMĮ įsigaliojimo pajamas pripažindavo pagal pinigų apskaitos principą (pagal faktišką pajamų gavimo momentą) ir jų pajamos nė vieną iš paskutinių 3 mokestinių laikotarpių (1999, 2000, 2001 metų) nebuvo didesnės kaip 100 tūkst. litų, gali ir toliau pajamas pripažinti pagal tą patį pinigų apskaitos principą. </w:t>
      </w:r>
    </w:p>
    <w:p w14:paraId="708D2033" w14:textId="77777777" w:rsidR="00093845" w:rsidRDefault="000D779E">
      <w:pPr>
        <w:tabs>
          <w:tab w:val="left" w:pos="720"/>
          <w:tab w:val="left" w:pos="1077"/>
          <w:tab w:val="left" w:pos="1418"/>
        </w:tabs>
        <w:ind w:firstLine="720"/>
        <w:jc w:val="both"/>
        <w:rPr>
          <w:szCs w:val="20"/>
          <w:lang w:val="lt-LT"/>
        </w:rPr>
      </w:pPr>
      <w:r>
        <w:rPr>
          <w:lang w:val="lt-LT"/>
        </w:rPr>
        <w:t>Jei šių individualių (personalių) įmonių ar ūkinių bendrijų pajamos nors vieną iš paskutinių 3 mokestinių laikotarpių buvo didesnės kaip 100 tūkst. litų, tai šios įmonės privalo pereiti prie pajamų pripažinimo pagal kaupimo principą. Prie pajamų pripažinimo pagal kaupimo principą pereinama mokestinį laikotarpį, einantį po mokestinio laikotarpio, kurį pajamos buvo didesnės kaip 100 tūkst. litų. Vadovaujantis PMĮ 58 str. 12 dalimi, per 2002 metais prasidedantį mokestinį laikotarpį tokioms įmonėms dar leidžiama pajamas pripažinti pagal pinigų principą, tačiau nuo 2003 metais prasidėsiančio mokestinio laikotarpio jos privalo pereiti prie kaupimo apskaitos principo taikymo. Vadinasi, tokios individualios (personalios) įmonės ar ūkinės bendrijos pereiti prie kaupimo apskaitos principo taikymo gali pasirinktinai: nuo 2002 m. prasidedančio mokestinio laikotarpio arba nuo 2003 m. prasidėsiančio mokestinio laikotarpio.</w:t>
      </w:r>
    </w:p>
    <w:p w14:paraId="71192A0D" w14:textId="77777777" w:rsidR="00093845" w:rsidRDefault="000D779E">
      <w:pPr>
        <w:tabs>
          <w:tab w:val="left" w:pos="720"/>
          <w:tab w:val="left" w:pos="1077"/>
          <w:tab w:val="left" w:pos="1418"/>
        </w:tabs>
        <w:ind w:firstLine="720"/>
        <w:jc w:val="both"/>
        <w:rPr>
          <w:szCs w:val="20"/>
          <w:lang w:val="lt-LT"/>
        </w:rPr>
      </w:pPr>
      <w:r>
        <w:rPr>
          <w:lang w:val="lt-LT"/>
        </w:rPr>
        <w:t>Pavyzdys</w:t>
      </w:r>
    </w:p>
    <w:p w14:paraId="6D6F39B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J.Jonaičio IĮ pajamas pripažindavo pagal faktišką įplaukų gavimo momentą. 1999 metų įplaukos buvo 80 tūkst. litų, 2000 metų – 95 tūkst. litų, 2001 metų – 110 tūkst. litų. Pagal PMĮ 9 str. 2 dalį J. Jonaičio IĮ pereiti prie kaupimo apskaitos principo turėtų nuo 2002 metų, tačiau pagal PMĮ 58 str. 12 dalį ši įmonė gali pasirinkti, ar pereiti prie kaupimo apskaitos principo nuo 2002 metų, ar nuo 2003 metų. Vadinasi, J. Jonaičio IĮ, pagal PMĮ nuostatas apskaičiuodama 2002 metų apmokestinamąjį pelną, dar gali taikyti pinigų apskaitos principą, t.y. pajamas, kaip ir anksčiau, pripažinti pagal faktišką įplaukų gavimo momentą. Tačiau 2003 metų apmokestinamąjį pelną ši įmonė turi apskaičiuoti taikydama tik kaupimo apskaitos principą.</w:t>
      </w:r>
    </w:p>
    <w:p w14:paraId="5F063191" w14:textId="77777777" w:rsidR="00093845" w:rsidRDefault="00093845">
      <w:pPr>
        <w:tabs>
          <w:tab w:val="left" w:pos="720"/>
          <w:tab w:val="left" w:pos="1077"/>
          <w:tab w:val="left" w:pos="1418"/>
        </w:tabs>
        <w:ind w:firstLine="720"/>
        <w:jc w:val="both"/>
        <w:rPr>
          <w:lang w:val="lt-LT"/>
        </w:rPr>
      </w:pPr>
    </w:p>
    <w:p w14:paraId="0BA86CE8" w14:textId="77777777" w:rsidR="00093845" w:rsidRDefault="000D779E">
      <w:pPr>
        <w:tabs>
          <w:tab w:val="left" w:pos="720"/>
          <w:tab w:val="left" w:pos="1077"/>
          <w:tab w:val="left" w:pos="1418"/>
        </w:tabs>
        <w:ind w:firstLine="720"/>
        <w:jc w:val="both"/>
        <w:rPr>
          <w:szCs w:val="20"/>
          <w:lang w:val="lt-LT"/>
        </w:rPr>
      </w:pPr>
      <w:r>
        <w:rPr>
          <w:lang w:val="lt-LT"/>
        </w:rPr>
        <w:t>4.</w:t>
      </w:r>
      <w:r>
        <w:rPr>
          <w:lang w:val="lt-LT"/>
        </w:rPr>
        <w:tab/>
        <w:t>Neatsižvelgiant į tai, kad Lietuvos vienetui leidžiama taikyti pinigų apskaitos principą, jis gali nuo bet kurių mokestinių metų pradžios pereiti prie kaupimo apskaitos principo.</w:t>
      </w:r>
    </w:p>
    <w:p w14:paraId="5766C2F7" w14:textId="77777777" w:rsidR="00093845" w:rsidRDefault="000D779E">
      <w:pPr>
        <w:tabs>
          <w:tab w:val="left" w:pos="720"/>
          <w:tab w:val="left" w:pos="1077"/>
          <w:tab w:val="left" w:pos="1418"/>
        </w:tabs>
        <w:jc w:val="both"/>
        <w:rPr>
          <w:szCs w:val="20"/>
          <w:lang w:val="lt-LT"/>
        </w:rPr>
      </w:pPr>
      <w:r>
        <w:rPr>
          <w:lang w:val="lt-LT"/>
        </w:rPr>
        <w:t>Perėjus prie kaupimo apskaitos principo, šio principo keisti į pinigų apskaitos principą negalima iki Lietuvos vieneto likvidavimo arba veiklos pabaigos.</w:t>
      </w:r>
    </w:p>
    <w:p w14:paraId="1C5270E6" w14:textId="77777777" w:rsidR="00093845" w:rsidRDefault="000D779E">
      <w:pPr>
        <w:tabs>
          <w:tab w:val="left" w:pos="720"/>
          <w:tab w:val="left" w:pos="1077"/>
          <w:tab w:val="left" w:pos="1418"/>
        </w:tabs>
        <w:ind w:firstLine="720"/>
        <w:jc w:val="both"/>
        <w:rPr>
          <w:b/>
          <w:bCs/>
          <w:szCs w:val="20"/>
          <w:lang w:val="lt-LT"/>
        </w:rPr>
      </w:pPr>
      <w:r>
        <w:rPr>
          <w:b/>
          <w:bCs/>
          <w:lang w:val="lt-LT"/>
        </w:rPr>
        <w:t>13.</w:t>
      </w:r>
      <w:r>
        <w:rPr>
          <w:b/>
          <w:bCs/>
          <w:lang w:val="lt-LT"/>
        </w:rPr>
        <w:tab/>
        <w:t xml:space="preserve">Pagal šio Įstatymo 4 straipsnio nuostatas apmokestinamos palūkanos už Lietuvos vieneto obligacijas, jei jos išleistos po šio Įstatymo įsigaliojimo dienos. Pagal šio Įstatymo 4 straipsnio nuostatas nuo 2003 m. sausio 1 d. apmokestinamos palūkanos už užsienio valstybių bankų ir tarptautinių finansinių institucijų (institucijos arba organizacijos, kurių visi nariai arba steigėjai yra kelių valstybių vyriausybės, taip pat užsienio valstybių fondai ir valstybinės finansų institucijos, kurių daugiau kaip 50 procentų akcijų paketo turėtojai yra užsienio valstybių vyriausybės), kurių sąrašas patvirtintas Lietuvos Respublikos finansų ministro įsakymu, paskolas, įskaitant su tais skoliniais įsipareigojimais susijusias priemokas bei premijas, išskyrus Lietuvos Respublikos valstybei suteiktas paskolas pagal paskolų sutartis, sudarytas po šio Įstatymo įsigaliojimo dienos. Pagal šio Įstatymo 4 straipsnio nuostatas apmokestinamos palūkanos už užsienio valstybių bankų ir tarptautinių finansų institucijų (institucijos arba organizacijos, kurių visi nariai arba steigėjai yra kelių valstybių vyriausybės, taip pat užsienio valstybių fondai ir valstybinės finansų institucijos, kurių daugiau kaip 50 procentų akcijų paketo turėtojai yra užsienio valstybių vyriausybės), kurių sąrašas patvirtintas Lietuvos Respublikos finansų ministro įsakymu, Lietuvos Respublikos valstybei suteiktas paskolas pagal sutartis, sudarytas po 2003 m. sausio 1 d. </w:t>
      </w:r>
    </w:p>
    <w:p w14:paraId="21C1E200"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2607E78D"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Pagal PMĮ 4 str. 1 dalį Lietuvos vieneto pelno mokesčio bazei, o pagal 4 str. 4 d. 1 punktą užsienio vieneto pelno mokesčio bazei priskiriamos už obligacijas gautos palūkanų pajamos. Pagal JAPM įstatymo 2 str. ir 3 str. palūkanų pajamos už Lietuvos Respublikos juridinių asmenų obligacijas nebuvo priskiriamos nei užsienio vienetų, nei Lietuvos vienetų pelno mokesčio bazei. </w:t>
      </w:r>
    </w:p>
    <w:p w14:paraId="184AE5FD" w14:textId="77777777" w:rsidR="00093845" w:rsidRDefault="000D779E">
      <w:pPr>
        <w:tabs>
          <w:tab w:val="left" w:pos="720"/>
          <w:tab w:val="left" w:pos="1077"/>
          <w:tab w:val="left" w:pos="1418"/>
        </w:tabs>
        <w:ind w:firstLine="720"/>
        <w:jc w:val="both"/>
        <w:rPr>
          <w:szCs w:val="20"/>
          <w:lang w:val="lt-LT"/>
        </w:rPr>
      </w:pPr>
      <w:r>
        <w:rPr>
          <w:lang w:val="lt-LT"/>
        </w:rPr>
        <w:t>Atsižvelgiant į tai, PMĮ 58 str. 13 dalyje nustatyta, kad Lietuvos vienetų ir užsienio vienetų už Lietuvos vieneto obligacijas gautos palūkanų pajamos apmokestinamos tuo atveju, jei šios obligacijos išleistos po šio Įstatymo įsigaliojimo, t.y. po 2002-01-01. Vadinasi, Lietuvos vienetai ir užsienio vienetai, veikiantys Lietuvos Respublikoje kaip nuolatinės buveinės, apskaičiuodami apmokestinamąjį pelną, palūkanų pajamas, gautas už iki 2001-12-31 išleistas obligacijas, įtraukia į neapmokestinamas pajamas, o Lietuvos vienetai, išmokantys užsienio vienetams palūkanas už iki 2001-12-31 išleistas obligacijas, neturi išskaičiuoti pelno mokesčio prie pajamų šaltinio.</w:t>
      </w:r>
    </w:p>
    <w:p w14:paraId="0C65E59E"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 xml:space="preserve">Pagal PMĮ 4 str. 4 d. 1 punktą užsienio vieneto pelno mokesčio bazei priskiriamos palūkanų pajamos iš bet kokios rūšies skolinių įsipareigojimų, vadinasi, ir iš paskolų. Iki PMĮ įsigaliojimo palūkanos už užsienio valstybių bankų ir tarptautinių finansinių institucijų, kurių sąrašas patvirtintas finansų ministro 2001 m. birželio 11 d. </w:t>
      </w:r>
      <w:hyperlink r:id="rId139" w:history="1">
        <w:r w:rsidRPr="009C0219">
          <w:rPr>
            <w:rStyle w:val="Hipersaitas"/>
            <w:rFonts w:ascii="Times New Roman" w:hAnsi="Times New Roman" w:cs="Times New Roman"/>
            <w:b w:val="0"/>
            <w:bCs w:val="0"/>
            <w:kern w:val="0"/>
            <w:lang w:val="lt-LT"/>
          </w:rPr>
          <w:t>įsakymu Nr. 171</w:t>
        </w:r>
      </w:hyperlink>
      <w:r>
        <w:rPr>
          <w:lang w:val="lt-LT"/>
        </w:rPr>
        <w:t xml:space="preserve"> ,,Dėl tarptautinių finansinių institucijų (institucijų arba organizacijų, kurių visi nariai arba steigėjai yra kelių valstybių vyriausybės, taip pat užsienio valstybių fondų ir valstybinių finansinių institucijų, kurių daugiau kaip 50 procentų akcijų paketo turėtojai yra užsienio valstybių vyriausybės) sąrašo patvirtinimo“, suteiktas paskolas nebuvo priskiriamos užsienio vienetų pelno mokesčio prie pajamų šaltinio bazei. Atsižvelgiant į tai, palūkanos už užsienio valstybių bankų ir tarptautinių finansinių institucijų, kurių sąrašas patvirtintas minėtu finansų ministro įsakymu, suteiktas paskolas, įskaitant su tais skoliniais įsipareigojimais susijusias priemokas bei premijas, apmokestinamos pelno mokesčiu prie pajamų šaltinio tik nuo 2003-01-01. </w:t>
      </w:r>
    </w:p>
    <w:p w14:paraId="3C26958C" w14:textId="77777777" w:rsidR="00093845" w:rsidRDefault="000D779E">
      <w:pPr>
        <w:tabs>
          <w:tab w:val="left" w:pos="720"/>
          <w:tab w:val="left" w:pos="1077"/>
          <w:tab w:val="left" w:pos="1418"/>
        </w:tabs>
        <w:ind w:firstLine="720"/>
        <w:jc w:val="both"/>
        <w:rPr>
          <w:szCs w:val="20"/>
          <w:lang w:val="lt-LT"/>
        </w:rPr>
      </w:pPr>
      <w:r>
        <w:rPr>
          <w:lang w:val="lt-LT"/>
        </w:rPr>
        <w:lastRenderedPageBreak/>
        <w:t>3.</w:t>
      </w:r>
      <w:r>
        <w:rPr>
          <w:lang w:val="lt-LT"/>
        </w:rPr>
        <w:tab/>
        <w:t>Jei užsienio valstybės bankai ar minėtos tarptautinės finansinės institucijos paskolas suteikia Lietuvos Respublikos valstybei, tai palūkanos už tokias paskolas bus apmokestinamos tik pagal tas sutartis, kurios bus sudarytos po 2003-01-01.</w:t>
      </w:r>
    </w:p>
    <w:p w14:paraId="2F43E9B6" w14:textId="77777777" w:rsidR="00093845" w:rsidRDefault="000D779E">
      <w:pPr>
        <w:tabs>
          <w:tab w:val="left" w:pos="720"/>
          <w:tab w:val="left" w:pos="1077"/>
          <w:tab w:val="left" w:pos="1418"/>
        </w:tabs>
        <w:ind w:firstLine="720"/>
        <w:jc w:val="both"/>
        <w:rPr>
          <w:b/>
          <w:bCs/>
          <w:szCs w:val="20"/>
          <w:lang w:val="lt-LT"/>
        </w:rPr>
      </w:pPr>
      <w:r>
        <w:rPr>
          <w:b/>
          <w:bCs/>
          <w:lang w:val="lt-LT"/>
        </w:rPr>
        <w:t>14.</w:t>
      </w:r>
      <w:r>
        <w:rPr>
          <w:b/>
          <w:bCs/>
          <w:lang w:val="lt-LT"/>
        </w:rPr>
        <w:tab/>
        <w:t xml:space="preserve">Pagal šio Įstatymo 4 straipsnio nuostatas apmokestinamos palūkanos už Lietuvos Respublikos Vyriausybės ir savivaldybių bei tarptautinių finansų organizacijų, kurių narė yra Lietuvos Respublika ir kurių steigimo sutartys yra ratifikuotos pagal Lietuvos Respublikos tarptautinių sutarčių įstatymą, vertybinius popierius, jeigu sutartys dėl vertybinių popierių platinimo sudarytos po 2003 m. sausio 1 d. </w:t>
      </w:r>
    </w:p>
    <w:p w14:paraId="5B69BA64"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02206EEA"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Pagal PMĮ 4 str. 1 dalį Lietuvos vieneto pelno mokesčio bazei, o pagal 4 str. 4 d. 1 punktą užsienio vieneto pelno mokesčio bazei priskiriamos už vertybinius popierius gautos palūkanų pajamos (išskyrus Vyriausybės vertybinius popierius, išleidžiamus tarptautinėse finansų rinkose, jei palūkanas už šiuos vertybinius popierius užsienio vienetas gauna ne per nuolatines buveines). </w:t>
      </w:r>
    </w:p>
    <w:p w14:paraId="314BBFA8" w14:textId="77777777" w:rsidR="00093845" w:rsidRDefault="000D779E">
      <w:pPr>
        <w:tabs>
          <w:tab w:val="left" w:pos="720"/>
          <w:tab w:val="left" w:pos="1077"/>
          <w:tab w:val="left" w:pos="1418"/>
        </w:tabs>
        <w:ind w:firstLine="720"/>
        <w:jc w:val="both"/>
        <w:rPr>
          <w:szCs w:val="20"/>
          <w:lang w:val="lt-LT"/>
        </w:rPr>
      </w:pPr>
      <w:r>
        <w:rPr>
          <w:lang w:val="lt-LT"/>
        </w:rPr>
        <w:t xml:space="preserve">Pagal JAPM įstatymo 2 ir 3 straipsnius palūkanų pajamos už Lietuvos Respublikos Vyriausybės, savivaldybių ir tarptautinių finansinių organizacijų, kurių narė yra Lietuvos Respublika, vertybinius popierius nebuvo priskiriamos pelno mokesčio bazei. </w:t>
      </w:r>
    </w:p>
    <w:p w14:paraId="42044FCC" w14:textId="77777777" w:rsidR="00093845" w:rsidRDefault="000D779E">
      <w:pPr>
        <w:tabs>
          <w:tab w:val="left" w:pos="720"/>
          <w:tab w:val="left" w:pos="1077"/>
          <w:tab w:val="left" w:pos="1418"/>
        </w:tabs>
        <w:ind w:firstLine="720"/>
        <w:jc w:val="both"/>
        <w:rPr>
          <w:szCs w:val="20"/>
          <w:lang w:val="lt-LT"/>
        </w:rPr>
      </w:pPr>
      <w:r>
        <w:rPr>
          <w:lang w:val="lt-LT"/>
        </w:rPr>
        <w:t>2.</w:t>
      </w:r>
      <w:r>
        <w:rPr>
          <w:lang w:val="lt-LT"/>
        </w:rPr>
        <w:tab/>
        <w:t>Pagal PMĮ 58 str. 14 dalies nuostatas užsienio vienetų už Lietuvos Respublikos Vyriausybės, savivaldybių ir tarptautinių finansinių organizacijų, kurių narė yra Lietuvos Respublika ir kurių steigimo sutartys yra ratifikuotos pagal Lietuvos Respublikos tarptautinių sutarčių įstatymą, vertybinius popierius gautos palūkanų pajamos apmokestinamos pelno mokesčiu prie pajamų šaltinio, jei vertybinių popierių platinimo sutartys sudarytos po 2003-01-01.</w:t>
      </w:r>
    </w:p>
    <w:p w14:paraId="3A7625B1" w14:textId="77777777" w:rsidR="00093845" w:rsidRDefault="000D779E">
      <w:pPr>
        <w:tabs>
          <w:tab w:val="left" w:pos="720"/>
          <w:tab w:val="left" w:pos="1077"/>
          <w:tab w:val="left" w:pos="1418"/>
        </w:tabs>
        <w:ind w:firstLine="720"/>
        <w:jc w:val="both"/>
        <w:rPr>
          <w:szCs w:val="20"/>
          <w:lang w:val="lt-LT"/>
        </w:rPr>
      </w:pPr>
      <w:r>
        <w:rPr>
          <w:lang w:val="lt-LT"/>
        </w:rPr>
        <w:t>3.</w:t>
      </w:r>
      <w:r>
        <w:rPr>
          <w:lang w:val="lt-LT"/>
        </w:rPr>
        <w:tab/>
        <w:t>Lietuvos vienetai, apskaičiuodami apmokestinamąjį pelną, už Lietuvos Respublikos Vyriausybės, savivaldybių ir tarptautinių finansinių organizacijų, kurių narė yra Lietuvos Respublika ir kurių steigimo sutartys yra ratifikuotos pagal Lietuvos Respublikos tarptautinių sutarčių įstatymą, vertybinius popierius (jei sutartys dėl vertybinių popierių platinimo sudarytos iki 2003-01-01) gautas palūkanas įtraukia į neapmokestinamas pajamas. Jei sutartys dėl vertybinių popierių platinimo sudarytos po 2003-01-01, tai palūkanos už šiuos vertybinius popierius apmokestinamos pelno mokesčiu.</w:t>
      </w:r>
    </w:p>
    <w:p w14:paraId="6190D64F" w14:textId="77777777" w:rsidR="00093845" w:rsidRDefault="000D779E">
      <w:pPr>
        <w:tabs>
          <w:tab w:val="left" w:pos="720"/>
          <w:tab w:val="left" w:pos="1077"/>
          <w:tab w:val="left" w:pos="1418"/>
        </w:tabs>
        <w:ind w:firstLine="720"/>
        <w:jc w:val="both"/>
        <w:rPr>
          <w:b/>
          <w:bCs/>
          <w:lang w:val="lt-LT"/>
        </w:rPr>
      </w:pPr>
      <w:r>
        <w:rPr>
          <w:b/>
          <w:bCs/>
          <w:lang w:val="lt-LT"/>
        </w:rPr>
        <w:t>15.</w:t>
      </w:r>
      <w:r>
        <w:rPr>
          <w:b/>
          <w:bCs/>
          <w:lang w:val="lt-LT"/>
        </w:rPr>
        <w:tab/>
        <w:t xml:space="preserve">Iki 2003 m. sausio 1 d. neapmokestinamos: </w:t>
      </w:r>
    </w:p>
    <w:p w14:paraId="0C7A7AD4" w14:textId="77777777" w:rsidR="00093845" w:rsidRDefault="000D779E">
      <w:pPr>
        <w:tabs>
          <w:tab w:val="left" w:pos="720"/>
          <w:tab w:val="left" w:pos="1077"/>
          <w:tab w:val="left" w:pos="1418"/>
        </w:tabs>
        <w:ind w:firstLine="720"/>
        <w:jc w:val="both"/>
        <w:rPr>
          <w:b/>
          <w:bCs/>
          <w:szCs w:val="20"/>
          <w:lang w:val="lt-LT"/>
        </w:rPr>
      </w:pPr>
      <w:r>
        <w:rPr>
          <w:b/>
          <w:bCs/>
          <w:lang w:val="lt-LT"/>
        </w:rPr>
        <w:t>1)</w:t>
      </w:r>
      <w:r>
        <w:rPr>
          <w:b/>
          <w:bCs/>
          <w:lang w:val="lt-LT"/>
        </w:rPr>
        <w:tab/>
        <w:t xml:space="preserve">palūkanos už Lietuvos Respublikos Vyriausybės ir savivaldybių bei tarptautinių finansų organizacijų, kurių narė yra Lietuvos Respublika ir kurių steigimo sutartys yra ratifikuotos pagal Lietuvos Respublikos tarptautinių sutarčių įstatymą, taip pat Šiaurės investicijų banko vertybinius popierius; </w:t>
      </w:r>
    </w:p>
    <w:p w14:paraId="51C6E098"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55A30F4B" w14:textId="77777777" w:rsidR="00093845" w:rsidRDefault="000D779E">
      <w:pPr>
        <w:tabs>
          <w:tab w:val="left" w:pos="720"/>
          <w:tab w:val="left" w:pos="1077"/>
          <w:tab w:val="left" w:pos="1418"/>
        </w:tabs>
        <w:ind w:firstLine="720"/>
        <w:jc w:val="both"/>
        <w:rPr>
          <w:szCs w:val="20"/>
          <w:lang w:val="lt-LT"/>
        </w:rPr>
      </w:pPr>
      <w:r>
        <w:rPr>
          <w:lang w:val="lt-LT"/>
        </w:rPr>
        <w:t>1.</w:t>
      </w:r>
      <w:r>
        <w:rPr>
          <w:lang w:val="lt-LT"/>
        </w:rPr>
        <w:tab/>
        <w:t xml:space="preserve">Tai, kad neapmokestinamos už Lietuvos Respublikos Vyriausybės ir savivaldybių bei tarptautinių finansų organizacijų, kurių narė yra Lietuvos Respublika ir kurių steigimo sutartys yra ratifikuotos pagal Lietuvos Respublikos tarptautinių sutarčių įstatymą, vertybinius popierius gaunamos palūkanos nustatyta PMĮ 58 str. 14 dalyje. Pagal 58 str. 14 dalį tokios palūkanos neapmokestinamos, jei sutartys dėl vertybinių popierių platinimo sudarytos iki 2003-01-01. Vadinasi, 58 str. 14 dalyje nustatytas ilgesnis palūkanų neapmokestinimo laikotarpis, nei 58 str. 15 d. 1 punkte, todėl, apmokestinant už Lietuvos Respublikos Vyriausybės ir savivaldybių bei tarptautinių finansų organizacijų, kurių narė yra Lietuvos Respublika ir kurių steigimo sutartys yra ratifikuotos pagal Lietuvos Respublikos tarptautinių sutarčių įstatymą, vertybinius popierius gaunamas palūkanas reikia vadovautis PMĮ 58 str. 14 dalies nuostatomis. </w:t>
      </w:r>
    </w:p>
    <w:p w14:paraId="6B8E958C" w14:textId="77777777" w:rsidR="00093845" w:rsidRDefault="000D779E">
      <w:pPr>
        <w:tabs>
          <w:tab w:val="left" w:pos="720"/>
          <w:tab w:val="left" w:pos="1077"/>
          <w:tab w:val="left" w:pos="1418"/>
        </w:tabs>
        <w:ind w:firstLine="720"/>
        <w:jc w:val="both"/>
        <w:rPr>
          <w:szCs w:val="20"/>
          <w:lang w:val="lt-LT"/>
        </w:rPr>
      </w:pPr>
      <w:r>
        <w:rPr>
          <w:lang w:val="lt-LT"/>
        </w:rPr>
        <w:lastRenderedPageBreak/>
        <w:t>2.</w:t>
      </w:r>
      <w:r>
        <w:rPr>
          <w:lang w:val="lt-LT"/>
        </w:rPr>
        <w:tab/>
        <w:t>PMĮ 58 str. 15 d. 1 punkte nustatyta, kad iki 2003-01-01 neapmokestinamos palūkanos už Šiaurės investicijų banko vertybinius popierius. Vėliau tokios palūkanos apmokestinamos, nes sutartis dėl Šiaurės investicijų banko nėra ratifikuota pagal Lietuvos Respublikos tarptautinių sutarčių įstatymą.</w:t>
      </w:r>
    </w:p>
    <w:p w14:paraId="580C0BE0" w14:textId="77777777" w:rsidR="00093845" w:rsidRDefault="000D779E">
      <w:pPr>
        <w:tabs>
          <w:tab w:val="left" w:pos="720"/>
          <w:tab w:val="left" w:pos="1077"/>
          <w:tab w:val="left" w:pos="1418"/>
        </w:tabs>
        <w:ind w:firstLine="720"/>
        <w:jc w:val="both"/>
        <w:rPr>
          <w:b/>
          <w:bCs/>
          <w:szCs w:val="20"/>
          <w:lang w:val="lt-LT"/>
        </w:rPr>
      </w:pPr>
      <w:r>
        <w:rPr>
          <w:b/>
          <w:bCs/>
          <w:lang w:val="lt-LT"/>
        </w:rPr>
        <w:t>2)</w:t>
      </w:r>
      <w:r>
        <w:rPr>
          <w:b/>
          <w:bCs/>
          <w:lang w:val="lt-LT"/>
        </w:rPr>
        <w:tab/>
        <w:t xml:space="preserve"> pajamos iš Lietuvos Respublikos Vyriausybės ir savivaldybių bei tarptautinių finansinių organizacijų, kurių narė yra Lietuvos Respublika ir kurių steigimo sutartys yra ratifikuotos pagal Lietuvos Respublikos tarptautinių sutarčių įstatymą, taip pat iš Šiaurės investicijų banko vertybinių popierių pardavimo antrinėje rinkoje, išskyrus pajamas už tarpininkavimo paslaugas, susijusias su šių popierių prekyba antrinėje rinkoje.</w:t>
      </w:r>
    </w:p>
    <w:p w14:paraId="61307F7E" w14:textId="77777777" w:rsidR="00093845" w:rsidRDefault="000D779E">
      <w:pPr>
        <w:tabs>
          <w:tab w:val="left" w:pos="720"/>
          <w:tab w:val="left" w:pos="1077"/>
          <w:tab w:val="left" w:pos="1418"/>
        </w:tabs>
        <w:ind w:firstLine="720"/>
        <w:jc w:val="both"/>
        <w:rPr>
          <w:b/>
          <w:bCs/>
          <w:szCs w:val="20"/>
          <w:lang w:val="lt-LT"/>
        </w:rPr>
      </w:pPr>
      <w:r>
        <w:rPr>
          <w:b/>
          <w:bCs/>
          <w:lang w:val="lt-LT"/>
        </w:rPr>
        <w:t>Komentaras</w:t>
      </w:r>
    </w:p>
    <w:p w14:paraId="1C97ECED" w14:textId="77777777" w:rsidR="00093845" w:rsidRDefault="000D779E">
      <w:pPr>
        <w:tabs>
          <w:tab w:val="left" w:pos="720"/>
          <w:tab w:val="left" w:pos="1077"/>
          <w:tab w:val="left" w:pos="1418"/>
        </w:tabs>
        <w:ind w:firstLine="720"/>
        <w:jc w:val="both"/>
        <w:rPr>
          <w:szCs w:val="20"/>
          <w:lang w:val="lt-LT"/>
        </w:rPr>
      </w:pPr>
      <w:r>
        <w:rPr>
          <w:lang w:val="lt-LT"/>
        </w:rPr>
        <w:t xml:space="preserve">Vadovaujantis 58 str. 15 d. 2 punkto nuostatomis iki 2003-01-01 neapmokestinamos Lietuvos ir užsienio vienetų gautos pajamos iš Lietuvos Respublikos Vyriausybės ir savivaldybių bei tarptautinių finansinių organizacijų, kurių narė yra Lietuvos Respublika ir kurių steigimo sutartys yra ratifikuotos pagal Lietuvos Respublikos tarptautinių sutarčių įstatymą, taip pat iš Šiaurės investicijų banko vertybinių popierių pardavimo antrinėje rinkoje, išskyrus pajamas už tarpininkavimo paslaugas, susijusias su šių popierių prekyba antrinėje rinkoje. </w:t>
      </w:r>
    </w:p>
    <w:p w14:paraId="0B690602" w14:textId="77777777" w:rsidR="00093845" w:rsidRDefault="000D779E">
      <w:pPr>
        <w:tabs>
          <w:tab w:val="left" w:pos="720"/>
          <w:tab w:val="left" w:pos="1077"/>
          <w:tab w:val="left" w:pos="1418"/>
        </w:tabs>
        <w:ind w:firstLine="720"/>
        <w:jc w:val="both"/>
        <w:rPr>
          <w:lang w:val="lt-LT"/>
        </w:rPr>
      </w:pPr>
      <w:r>
        <w:rPr>
          <w:lang w:val="lt-LT"/>
        </w:rPr>
        <w:t>Vadinasi, Lietuvos Respublikos Vyriausybės ir savivaldybių bei tarptautinių finansinių organizacijų, kurių narė yra Lietuvos Respublika ir kurių steigimo sutartys yra ratifikuotos pagal Lietuvos Respublikos tarptautinių sutarčių įstatymą, taip pat Šiaurės investicijų banko vertybinių popierių pardavimo antrinėje rinkoje pajamos neapmokestinamos iki 2003-01-01. Tačiau pajamos už tarpininkavimo paslaugas, susijusias su šių vertybinių popierių prekyba antrinėje rinkoje, nuo 2002 m. prasidėjusio mokestinio laikotarpio, apskaičiuojant Lietuvos vienetų bei užsienio vienetų nuolatinių buveinių apmokestinamąjį pelną, priskiriamos pajamoms. Užsienio vienetai nuo už tarpininkavimo paslaugas gautų pajamų pelno mokesčio prie pajamų šaltinio nemoka, nes pajamos už tarpininkavimo paslaugas nepriskiriamos užsienio vienetų pelno mokesčio prie pajamų šaltinio bazei (PMĮ 4 str. 4 dalis).</w:t>
      </w:r>
    </w:p>
    <w:p w14:paraId="57184042" w14:textId="77777777" w:rsidR="00093845" w:rsidRDefault="000D779E">
      <w:pPr>
        <w:ind w:firstLine="851"/>
        <w:jc w:val="both"/>
        <w:rPr>
          <w:lang w:val="lt-LT" w:eastAsia="lt-LT"/>
        </w:rPr>
      </w:pPr>
      <w:r w:rsidRPr="0065344A">
        <w:rPr>
          <w:b/>
          <w:bCs/>
          <w:lang w:val="lt-LT" w:eastAsia="lt-LT"/>
        </w:rPr>
        <w:t xml:space="preserve">       </w:t>
      </w:r>
      <w:r>
        <w:rPr>
          <w:b/>
          <w:bCs/>
          <w:lang w:val="lt-LT" w:eastAsia="lt-LT"/>
        </w:rPr>
        <w:t>16. Iki atskiro Lietuvos Respublikos Seimo sprendimo laisvųjų ekonominių zonų įmonių, juridinių asmenų, kuriuose dirba riboto darbingumo asmenys, apmokestinamasis pelnas apmokestinamas šioje dalyje nustatyta tvarka:</w:t>
      </w:r>
    </w:p>
    <w:p w14:paraId="58661365" w14:textId="77777777" w:rsidR="00093845" w:rsidRDefault="000D779E">
      <w:pPr>
        <w:ind w:firstLine="851"/>
        <w:jc w:val="both"/>
        <w:rPr>
          <w:b/>
          <w:bCs/>
          <w:lang w:val="lt-LT" w:eastAsia="lt-LT"/>
        </w:rPr>
      </w:pPr>
      <w:r>
        <w:rPr>
          <w:b/>
          <w:bCs/>
          <w:lang w:val="lt-LT" w:eastAsia="lt-LT"/>
        </w:rPr>
        <w:t xml:space="preserve">1) laisvosios ekonominės zonos įmonė, kurioje kapitalo investicijos pasiekė ne mažesnę kaip 1 milijono eurų sumą, 6 mokestinius laikotarpius, pradedant tuo mokestiniu laikotarpiu, kurį ši investicijų suma buvo pasiekta, nemoka pelno mokesčio, o kitais 10 mokestinių laikotarpių jai taikomas 50 procentų sumažintas pelno mokesčio tarifas. Šioje dalyje nustatyta lengvata gali būti taikoma tik tuo atveju, kai ne mažiau kaip 75 procentus atitinkamo mokestinio laikotarpio zonos įmonės pajamų sudaro pajamos iš zonoje vykdomos prekių gamybos, apdirbimo, perdirbimo, sandėliavimo veiklos, orlaivių ir erdvėlaivių bei susijusios įrangos gamybos, orlaivių ir erdvėlaivių remonto ir techninės priežiūros, su orlaivių techniniu aptarnavimu ir remontu susijusios veiklos (elektroninės ir optinės įrangos remonto, techninio tikrinimo ir analizės), kompiuterių programavimo veiklos, kompiuterių konsultacinės veiklos, kompiuterinės įrangos tvarkybos, kitos informacinių technologijų ir kompiuterių paslaugų veiklos, duomenų apdorojimo, interneto serverių paslaugų (prieglobos) ir susijusios veiklos, užsakomųjų informacinių paslaugų centrų veiklos, didmeninės prekybos zonoje sandėliuojamomis prekėmis ir (arba) teikiamų paslaugų, susijusių su minėtomis zonoje vykdomos veiklos rūšimis (zonoje pagamintų, apdirbtų, perdirbtų ar sandėliuojamų, taip pat zonoje vykdomai gamybai, apdirbimui ar perdirbimui reikalingų prekių transportavimo, aptarnavimo, statybos zonos teritorijoje ir kitų su minėtomis veiklomis susijusių paslaugų). Šioje </w:t>
      </w:r>
      <w:r>
        <w:rPr>
          <w:b/>
          <w:bCs/>
          <w:lang w:val="lt-LT" w:eastAsia="lt-LT"/>
        </w:rPr>
        <w:lastRenderedPageBreak/>
        <w:t xml:space="preserve">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Šioje dalyje nustatyta lengvata jokiais atvejais negali būti taikoma kredito įstaigoms ir draudimo įmonėms; </w:t>
      </w:r>
    </w:p>
    <w:p w14:paraId="5F02E75A" w14:textId="77777777" w:rsidR="00093845" w:rsidRDefault="000D779E" w:rsidP="009C0219">
      <w:pPr>
        <w:jc w:val="both"/>
        <w:rPr>
          <w:iCs/>
          <w:color w:val="000000"/>
          <w:shd w:val="clear" w:color="auto" w:fill="FFFFFF"/>
          <w:lang w:val="lt-LT" w:eastAsia="lt-LT"/>
        </w:rPr>
      </w:pP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lang w:val="lt-LT"/>
        </w:rPr>
        <w:t>,</w:t>
      </w:r>
      <w:r>
        <w:rPr>
          <w:iCs/>
          <w:color w:val="000000"/>
          <w:shd w:val="clear" w:color="auto" w:fill="FFFFFF"/>
          <w:lang w:val="lt-LT" w:eastAsia="lt-LT"/>
        </w:rPr>
        <w:t xml:space="preserve"> punkto </w:t>
      </w:r>
      <w:r>
        <w:rPr>
          <w:b/>
          <w:iCs/>
          <w:color w:val="000000"/>
          <w:shd w:val="clear" w:color="auto" w:fill="FFFFFF"/>
          <w:lang w:val="lt-LT" w:eastAsia="lt-LT"/>
        </w:rPr>
        <w:t>nuostatos galioja iki 2018 m. sausio 1 d. įregistruotoms laisvosios ekonominės zonos įmonėms</w:t>
      </w:r>
      <w:r>
        <w:rPr>
          <w:iCs/>
          <w:color w:val="000000"/>
          <w:shd w:val="clear" w:color="auto" w:fill="FFFFFF"/>
          <w:lang w:val="lt-LT" w:eastAsia="lt-LT"/>
        </w:rPr>
        <w:t>.)</w:t>
      </w:r>
    </w:p>
    <w:p w14:paraId="0D72437C" w14:textId="77777777" w:rsidR="00093845" w:rsidRDefault="00093845">
      <w:pPr>
        <w:ind w:firstLine="851"/>
        <w:jc w:val="both"/>
        <w:rPr>
          <w:lang w:val="lt-LT" w:eastAsia="lt-LT"/>
        </w:rPr>
      </w:pPr>
    </w:p>
    <w:p w14:paraId="7393B313" w14:textId="77777777" w:rsidR="00093845" w:rsidRDefault="000D779E">
      <w:pPr>
        <w:ind w:firstLine="851"/>
        <w:jc w:val="both"/>
        <w:rPr>
          <w:lang w:val="lt-LT" w:eastAsia="lt-LT"/>
        </w:rPr>
      </w:pPr>
      <w:r>
        <w:rPr>
          <w:lang w:val="lt-LT" w:eastAsia="lt-LT"/>
        </w:rPr>
        <w:t> </w:t>
      </w:r>
      <w:r>
        <w:rPr>
          <w:b/>
          <w:bCs/>
          <w:lang w:val="lt-LT" w:eastAsia="lt-LT"/>
        </w:rPr>
        <w:t xml:space="preserve">Komentaras </w:t>
      </w:r>
    </w:p>
    <w:p w14:paraId="0449E79A" w14:textId="77777777" w:rsidR="00093845" w:rsidRDefault="000D779E">
      <w:pPr>
        <w:ind w:firstLine="851"/>
        <w:jc w:val="both"/>
        <w:rPr>
          <w:lang w:val="lt-LT"/>
        </w:rPr>
      </w:pPr>
      <w:r>
        <w:rPr>
          <w:lang w:val="lt-LT" w:eastAsia="lt-LT"/>
        </w:rPr>
        <w:t xml:space="preserve"> </w:t>
      </w:r>
      <w:r>
        <w:rPr>
          <w:lang w:val="lt-LT"/>
        </w:rPr>
        <w:t>1. PMĮ 58 str. 16 d. 1 punkte nustatyta pelno mokesčio lengvata gali būti taikoma laisvosios ekonominės zonos įmonei (toliau - LEZ įmonė), jeigu yra įvykdytos visos šios 3 sąlygos:</w:t>
      </w:r>
    </w:p>
    <w:p w14:paraId="2246B0A0" w14:textId="77777777" w:rsidR="00093845" w:rsidRDefault="000D779E">
      <w:pPr>
        <w:pStyle w:val="Sraopastraipa"/>
        <w:ind w:left="0" w:firstLine="851"/>
        <w:jc w:val="both"/>
      </w:pPr>
      <w:r>
        <w:t>1.1. kapitalo investicijos siekia ne mažesnę kaip 1 milijono eurų sumą,</w:t>
      </w:r>
    </w:p>
    <w:p w14:paraId="0CF2AE03" w14:textId="77777777" w:rsidR="00093845" w:rsidRDefault="000D779E">
      <w:pPr>
        <w:pStyle w:val="Sraopastraipa"/>
        <w:ind w:left="0" w:firstLine="851"/>
        <w:jc w:val="both"/>
      </w:pPr>
      <w:r>
        <w:t>1.2. ne mažiau kaip 75 (t. y. 75 procentus ir daugiau) procentų šios įmonės atitinkamo mokestinio laikotarpio pajamų sudaro pajamos iš šiame punkte nurodytos laisvojoje ekonominėje zonoje vykdomos veiklos ir</w:t>
      </w:r>
    </w:p>
    <w:p w14:paraId="550A724B" w14:textId="77777777" w:rsidR="00093845" w:rsidRDefault="000D779E">
      <w:pPr>
        <w:pStyle w:val="Sraopastraipa"/>
        <w:ind w:left="0" w:firstLine="851"/>
        <w:jc w:val="both"/>
      </w:pPr>
      <w:r>
        <w:t>1.3. LEZ įmonė turi auditoriaus išvadą, patvirtinančią reikalaujamą kapitalo investicijos dydį.</w:t>
      </w:r>
    </w:p>
    <w:p w14:paraId="0CCF92D9" w14:textId="77777777" w:rsidR="00093845" w:rsidRDefault="000D779E">
      <w:pPr>
        <w:ind w:firstLine="851"/>
        <w:jc w:val="both"/>
        <w:rPr>
          <w:lang w:val="lt-LT"/>
        </w:rPr>
      </w:pPr>
      <w:r>
        <w:rPr>
          <w:lang w:val="lt-LT"/>
        </w:rPr>
        <w:t>Skaičiuojant LEZ mokesčio lengvatų taikymo laikotarpį atsižvelgiama tik į tai ar kapitalo investicijų suma siekia 1 milijono eurų sumą (nevertinant jokių kitų rodiklių). Lengvatos taikymo pradžios mokestinis laikotarpis pradedamas skaičiuoti, kai LEZ įmonės kapitalo investicijos pasiekia ne mažesnę  kaip 1 milijono eurų sumą  ir skaičiuojamas 16 metų (už pirmus 6 metus pelno mokestis nemokamas, už kitus 10 metų - mokamas 50 proc. sumažintas pelno mokestis), išskyrus laikotarpius, kuriuos investicijų suma sumažėja žemiau nustatytos ribos.</w:t>
      </w:r>
    </w:p>
    <w:p w14:paraId="12413C04" w14:textId="77777777" w:rsidR="00093845" w:rsidRDefault="000D779E">
      <w:pPr>
        <w:ind w:firstLine="851"/>
        <w:jc w:val="both"/>
        <w:rPr>
          <w:lang w:val="lt-LT" w:eastAsia="lt-LT"/>
        </w:rPr>
      </w:pPr>
      <w:r>
        <w:rPr>
          <w:lang w:val="lt-LT" w:eastAsia="lt-LT"/>
        </w:rPr>
        <w:t xml:space="preserve">2. Lietuvos Respublikos </w:t>
      </w:r>
      <w:bookmarkStart w:id="612" w:name="n1_8527"/>
      <w:r>
        <w:rPr>
          <w:lang w:val="lt-LT" w:eastAsia="lt-LT"/>
        </w:rPr>
        <w:fldChar w:fldCharType="begin"/>
      </w:r>
      <w:r>
        <w:rPr>
          <w:lang w:val="lt-LT" w:eastAsia="lt-LT"/>
        </w:rPr>
        <w:instrText xml:space="preserve"> HYPERLINK "http://www.infolex.lt/ta/52483" \o "Lietuvos Respublikos investicijų įstatymas" \t "_blank" </w:instrText>
      </w:r>
      <w:r>
        <w:rPr>
          <w:lang w:val="lt-LT" w:eastAsia="lt-LT"/>
        </w:rPr>
        <w:fldChar w:fldCharType="separate"/>
      </w:r>
      <w:r>
        <w:rPr>
          <w:lang w:val="lt-LT" w:eastAsia="lt-LT"/>
        </w:rPr>
        <w:t>investicijų įstatymo</w:t>
      </w:r>
      <w:r>
        <w:rPr>
          <w:lang w:val="lt-LT" w:eastAsia="lt-LT"/>
        </w:rPr>
        <w:fldChar w:fldCharType="end"/>
      </w:r>
      <w:bookmarkStart w:id="613" w:name="pn1_8527"/>
      <w:bookmarkEnd w:id="612"/>
      <w:bookmarkEnd w:id="613"/>
      <w:r>
        <w:rPr>
          <w:lang w:val="lt-LT" w:eastAsia="lt-LT"/>
        </w:rPr>
        <w:t xml:space="preserve"> </w:t>
      </w:r>
      <w:bookmarkStart w:id="614" w:name="n1_8529"/>
      <w:r>
        <w:rPr>
          <w:lang w:val="lt-LT" w:eastAsia="lt-LT"/>
        </w:rPr>
        <w:fldChar w:fldCharType="begin"/>
      </w:r>
      <w:r>
        <w:rPr>
          <w:lang w:val="lt-LT" w:eastAsia="lt-LT"/>
        </w:rPr>
        <w:instrText xml:space="preserve"> HYPERLINK "JavaScript:OL('52483','3')" \o "Investicijų rūšys (str. 3)" </w:instrText>
      </w:r>
      <w:r>
        <w:rPr>
          <w:lang w:val="lt-LT" w:eastAsia="lt-LT"/>
        </w:rPr>
        <w:fldChar w:fldCharType="separate"/>
      </w:r>
      <w:r>
        <w:rPr>
          <w:lang w:val="lt-LT" w:eastAsia="lt-LT"/>
        </w:rPr>
        <w:t>3</w:t>
      </w:r>
      <w:r>
        <w:rPr>
          <w:lang w:val="lt-LT" w:eastAsia="lt-LT"/>
        </w:rPr>
        <w:fldChar w:fldCharType="end"/>
      </w:r>
      <w:bookmarkStart w:id="615" w:name="pn1_8529"/>
      <w:bookmarkEnd w:id="614"/>
      <w:bookmarkEnd w:id="615"/>
      <w:r>
        <w:rPr>
          <w:lang w:val="lt-LT" w:eastAsia="lt-LT"/>
        </w:rPr>
        <w:t xml:space="preserve"> straipsnio 4 dalyje kapitalo investicijos sąvoka apibrėžiama kaip „investicijos ilgalaikiam materialiam ir nematerialiam turtui sukurti, įsigyti arba jo vertei padidinti“. Lietuvos Respublikos investicijų įstatymas  nenustato apribojimų, ar investuotojas gali investuoti ilgalaikį turtą įsigytą už nuosavas ar už skolintas lėšas. Todėl, nustatant 1 milijono eurų vertės kapitalo investiciją, į ją įtraukiamas turtas, įsigytas tiek už nuosavas, tiek už skolintas lėšas, tiek pagal pirkimo išsimokėtinai sutartis.</w:t>
      </w:r>
    </w:p>
    <w:p w14:paraId="6BA82D3B" w14:textId="77777777" w:rsidR="00093845" w:rsidRDefault="000D779E">
      <w:pPr>
        <w:ind w:firstLine="851"/>
        <w:jc w:val="both"/>
        <w:rPr>
          <w:lang w:val="lt-LT" w:eastAsia="lt-LT"/>
        </w:rPr>
      </w:pPr>
      <w:r>
        <w:rPr>
          <w:lang w:val="lt-LT" w:eastAsia="lt-LT"/>
        </w:rPr>
        <w:t>Atkreiptinas</w:t>
      </w:r>
      <w:r>
        <w:rPr>
          <w:i/>
          <w:iCs/>
          <w:lang w:val="lt-LT" w:eastAsia="lt-LT"/>
        </w:rPr>
        <w:t xml:space="preserve"> </w:t>
      </w:r>
      <w:r>
        <w:rPr>
          <w:lang w:val="lt-LT" w:eastAsia="lt-LT"/>
        </w:rPr>
        <w:t>dėmesys,</w:t>
      </w:r>
      <w:r>
        <w:rPr>
          <w:i/>
          <w:iCs/>
          <w:lang w:val="lt-LT" w:eastAsia="lt-LT"/>
        </w:rPr>
        <w:t xml:space="preserve"> </w:t>
      </w:r>
      <w:r>
        <w:rPr>
          <w:lang w:val="lt-LT" w:eastAsia="lt-LT"/>
        </w:rPr>
        <w:t>kad</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r>
        <w:rPr>
          <w:lang w:val="lt-LT" w:eastAsia="lt-LT"/>
        </w:rPr>
        <w:t>laikomas</w:t>
      </w:r>
      <w:r>
        <w:rPr>
          <w:i/>
          <w:iCs/>
          <w:lang w:val="lt-LT" w:eastAsia="lt-LT"/>
        </w:rPr>
        <w:t xml:space="preserve"> </w:t>
      </w:r>
      <w:r>
        <w:rPr>
          <w:u w:val="single"/>
          <w:lang w:val="lt-LT" w:eastAsia="lt-LT"/>
        </w:rPr>
        <w:t>įsigytas</w:t>
      </w:r>
      <w:r>
        <w:rPr>
          <w:i/>
          <w:iCs/>
          <w:u w:val="single"/>
          <w:lang w:val="lt-LT" w:eastAsia="lt-LT"/>
        </w:rPr>
        <w:t xml:space="preserve"> </w:t>
      </w:r>
      <w:r>
        <w:rPr>
          <w:u w:val="single"/>
          <w:lang w:val="lt-LT" w:eastAsia="lt-LT"/>
        </w:rPr>
        <w:t>ar</w:t>
      </w:r>
      <w:r>
        <w:rPr>
          <w:i/>
          <w:iCs/>
          <w:u w:val="single"/>
          <w:lang w:val="lt-LT" w:eastAsia="lt-LT"/>
        </w:rPr>
        <w:t xml:space="preserve"> </w:t>
      </w:r>
      <w:r>
        <w:rPr>
          <w:u w:val="single"/>
          <w:lang w:val="lt-LT" w:eastAsia="lt-LT"/>
        </w:rPr>
        <w:t>pačių</w:t>
      </w:r>
      <w:r>
        <w:rPr>
          <w:i/>
          <w:iCs/>
          <w:u w:val="single"/>
          <w:lang w:val="lt-LT" w:eastAsia="lt-LT"/>
        </w:rPr>
        <w:t xml:space="preserve"> </w:t>
      </w:r>
      <w:r>
        <w:rPr>
          <w:u w:val="single"/>
          <w:lang w:val="lt-LT" w:eastAsia="lt-LT"/>
        </w:rPr>
        <w:t>pasigamintas</w:t>
      </w:r>
      <w:r>
        <w:rPr>
          <w:i/>
          <w:iCs/>
          <w:lang w:val="lt-LT" w:eastAsia="lt-LT"/>
        </w:rPr>
        <w:t xml:space="preserve"> </w:t>
      </w:r>
      <w:r>
        <w:rPr>
          <w:lang w:val="lt-LT" w:eastAsia="lt-LT"/>
        </w:rPr>
        <w:t>(pasistatytas)</w:t>
      </w:r>
      <w:r>
        <w:rPr>
          <w:i/>
          <w:iCs/>
          <w:lang w:val="lt-LT" w:eastAsia="lt-LT"/>
        </w:rPr>
        <w:t xml:space="preserve"> </w:t>
      </w:r>
      <w:r>
        <w:rPr>
          <w:lang w:val="lt-LT" w:eastAsia="lt-LT"/>
        </w:rPr>
        <w:t>turtas.</w:t>
      </w:r>
      <w:r>
        <w:rPr>
          <w:i/>
          <w:iCs/>
          <w:lang w:val="lt-LT" w:eastAsia="lt-LT"/>
        </w:rPr>
        <w:t xml:space="preserve"> </w:t>
      </w:r>
      <w:r>
        <w:rPr>
          <w:lang w:val="lt-LT" w:eastAsia="lt-LT"/>
        </w:rPr>
        <w:t>Turto</w:t>
      </w:r>
      <w:r>
        <w:rPr>
          <w:i/>
          <w:iCs/>
          <w:lang w:val="lt-LT" w:eastAsia="lt-LT"/>
        </w:rPr>
        <w:t xml:space="preserve"> </w:t>
      </w:r>
      <w:r>
        <w:rPr>
          <w:lang w:val="lt-LT" w:eastAsia="lt-LT"/>
        </w:rPr>
        <w:t>vertės padidėjimas dėl</w:t>
      </w:r>
      <w:r>
        <w:rPr>
          <w:i/>
          <w:iCs/>
          <w:lang w:val="lt-LT" w:eastAsia="lt-LT"/>
        </w:rPr>
        <w:t xml:space="preserve"> </w:t>
      </w:r>
      <w:r>
        <w:rPr>
          <w:lang w:val="lt-LT" w:eastAsia="lt-LT"/>
        </w:rPr>
        <w:t>perkainojimo</w:t>
      </w:r>
      <w:r>
        <w:rPr>
          <w:i/>
          <w:iCs/>
          <w:lang w:val="lt-LT" w:eastAsia="lt-LT"/>
        </w:rPr>
        <w:t xml:space="preserve"> </w:t>
      </w:r>
      <w:r>
        <w:rPr>
          <w:lang w:val="lt-LT" w:eastAsia="lt-LT"/>
        </w:rPr>
        <w:t>nelaikomas</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p>
    <w:p w14:paraId="2DDC3116" w14:textId="77777777" w:rsidR="00093845" w:rsidRDefault="000D779E">
      <w:pPr>
        <w:ind w:firstLine="851"/>
        <w:jc w:val="both"/>
        <w:rPr>
          <w:lang w:val="lt-LT" w:eastAsia="lt-LT"/>
        </w:rPr>
      </w:pPr>
      <w:r>
        <w:rPr>
          <w:lang w:val="lt-LT" w:eastAsia="lt-LT"/>
        </w:rPr>
        <w:t>Remiantis</w:t>
      </w:r>
      <w:r>
        <w:rPr>
          <w:i/>
          <w:iCs/>
          <w:lang w:val="lt-LT" w:eastAsia="lt-LT"/>
        </w:rPr>
        <w:t xml:space="preserve"> </w:t>
      </w:r>
      <w:r>
        <w:rPr>
          <w:lang w:val="lt-LT" w:eastAsia="lt-LT"/>
        </w:rPr>
        <w:t>20-uoju</w:t>
      </w:r>
      <w:r>
        <w:rPr>
          <w:i/>
          <w:iCs/>
          <w:lang w:val="lt-LT" w:eastAsia="lt-LT"/>
        </w:rPr>
        <w:t xml:space="preserve"> </w:t>
      </w:r>
      <w:r>
        <w:rPr>
          <w:lang w:val="lt-LT" w:eastAsia="lt-LT"/>
        </w:rPr>
        <w:t>Verslo</w:t>
      </w:r>
      <w:r>
        <w:rPr>
          <w:i/>
          <w:iCs/>
          <w:lang w:val="lt-LT" w:eastAsia="lt-LT"/>
        </w:rPr>
        <w:t xml:space="preserve"> </w:t>
      </w:r>
      <w:r>
        <w:rPr>
          <w:lang w:val="lt-LT" w:eastAsia="lt-LT"/>
        </w:rPr>
        <w:t>apskaitos</w:t>
      </w:r>
      <w:r>
        <w:rPr>
          <w:i/>
          <w:iCs/>
          <w:lang w:val="lt-LT" w:eastAsia="lt-LT"/>
        </w:rPr>
        <w:t xml:space="preserve"> </w:t>
      </w:r>
      <w:r>
        <w:rPr>
          <w:lang w:val="lt-LT" w:eastAsia="lt-LT"/>
        </w:rPr>
        <w:t>standartu,</w:t>
      </w:r>
      <w:r>
        <w:rPr>
          <w:i/>
          <w:iCs/>
          <w:lang w:val="lt-LT" w:eastAsia="lt-LT"/>
        </w:rPr>
        <w:t xml:space="preserve"> </w:t>
      </w:r>
      <w:r>
        <w:rPr>
          <w:lang w:val="lt-LT" w:eastAsia="lt-LT"/>
        </w:rPr>
        <w:t>pagal</w:t>
      </w:r>
      <w:r>
        <w:rPr>
          <w:i/>
          <w:iCs/>
          <w:lang w:val="lt-LT" w:eastAsia="lt-LT"/>
        </w:rPr>
        <w:t xml:space="preserve"> </w:t>
      </w:r>
      <w:r>
        <w:rPr>
          <w:lang w:val="lt-LT" w:eastAsia="lt-LT"/>
        </w:rPr>
        <w:t>lizingo</w:t>
      </w:r>
      <w:r>
        <w:rPr>
          <w:i/>
          <w:iCs/>
          <w:lang w:val="lt-LT" w:eastAsia="lt-LT"/>
        </w:rPr>
        <w:t xml:space="preserve"> </w:t>
      </w:r>
      <w:r>
        <w:rPr>
          <w:lang w:val="lt-LT" w:eastAsia="lt-LT"/>
        </w:rPr>
        <w:t>sutartis</w:t>
      </w:r>
      <w:r>
        <w:rPr>
          <w:i/>
          <w:iCs/>
          <w:lang w:val="lt-LT" w:eastAsia="lt-LT"/>
        </w:rPr>
        <w:t xml:space="preserve"> </w:t>
      </w:r>
      <w:r>
        <w:rPr>
          <w:lang w:val="lt-LT" w:eastAsia="lt-LT"/>
        </w:rPr>
        <w:t>valdomas</w:t>
      </w:r>
      <w:r>
        <w:rPr>
          <w:i/>
          <w:iCs/>
          <w:lang w:val="lt-LT" w:eastAsia="lt-LT"/>
        </w:rPr>
        <w:t xml:space="preserve"> </w:t>
      </w:r>
      <w:r>
        <w:rPr>
          <w:lang w:val="lt-LT" w:eastAsia="lt-LT"/>
        </w:rPr>
        <w:t>turtas</w:t>
      </w:r>
      <w:r>
        <w:rPr>
          <w:i/>
          <w:iCs/>
          <w:lang w:val="lt-LT" w:eastAsia="lt-LT"/>
        </w:rPr>
        <w:t xml:space="preserve"> </w:t>
      </w:r>
      <w:r>
        <w:rPr>
          <w:lang w:val="lt-LT" w:eastAsia="lt-LT"/>
        </w:rPr>
        <w:t>registruojamas</w:t>
      </w:r>
      <w:r>
        <w:rPr>
          <w:i/>
          <w:iCs/>
          <w:lang w:val="lt-LT" w:eastAsia="lt-LT"/>
        </w:rPr>
        <w:t xml:space="preserve"> </w:t>
      </w:r>
      <w:r>
        <w:rPr>
          <w:lang w:val="lt-LT" w:eastAsia="lt-LT"/>
        </w:rPr>
        <w:t>įmonės</w:t>
      </w:r>
      <w:r>
        <w:rPr>
          <w:i/>
          <w:iCs/>
          <w:lang w:val="lt-LT" w:eastAsia="lt-LT"/>
        </w:rPr>
        <w:t xml:space="preserve"> </w:t>
      </w:r>
      <w:r>
        <w:rPr>
          <w:lang w:val="lt-LT" w:eastAsia="lt-LT"/>
        </w:rPr>
        <w:t>apskaitoje</w:t>
      </w:r>
      <w:r>
        <w:rPr>
          <w:i/>
          <w:iCs/>
          <w:lang w:val="lt-LT" w:eastAsia="lt-LT"/>
        </w:rPr>
        <w:t xml:space="preserve"> </w:t>
      </w:r>
      <w:r>
        <w:rPr>
          <w:lang w:val="lt-LT" w:eastAsia="lt-LT"/>
        </w:rPr>
        <w:t>kaip</w:t>
      </w:r>
      <w:r>
        <w:rPr>
          <w:i/>
          <w:iCs/>
          <w:lang w:val="lt-LT" w:eastAsia="lt-LT"/>
        </w:rPr>
        <w:t xml:space="preserve"> </w:t>
      </w:r>
      <w:r>
        <w:rPr>
          <w:lang w:val="lt-LT" w:eastAsia="lt-LT"/>
        </w:rPr>
        <w:t>ilgalaikio</w:t>
      </w:r>
      <w:r>
        <w:rPr>
          <w:i/>
          <w:iCs/>
          <w:lang w:val="lt-LT" w:eastAsia="lt-LT"/>
        </w:rPr>
        <w:t xml:space="preserve"> </w:t>
      </w:r>
      <w:r>
        <w:rPr>
          <w:lang w:val="lt-LT" w:eastAsia="lt-LT"/>
        </w:rPr>
        <w:t>materialaus</w:t>
      </w:r>
      <w:r>
        <w:rPr>
          <w:i/>
          <w:iCs/>
          <w:lang w:val="lt-LT" w:eastAsia="lt-LT"/>
        </w:rPr>
        <w:t xml:space="preserve"> </w:t>
      </w:r>
      <w:r>
        <w:rPr>
          <w:lang w:val="lt-LT" w:eastAsia="lt-LT"/>
        </w:rPr>
        <w:t>ar</w:t>
      </w:r>
      <w:r>
        <w:rPr>
          <w:i/>
          <w:iCs/>
          <w:lang w:val="lt-LT" w:eastAsia="lt-LT"/>
        </w:rPr>
        <w:t xml:space="preserve"> </w:t>
      </w:r>
      <w:r>
        <w:rPr>
          <w:lang w:val="lt-LT" w:eastAsia="lt-LT"/>
        </w:rPr>
        <w:t>nematerialaus</w:t>
      </w:r>
      <w:r>
        <w:rPr>
          <w:i/>
          <w:iCs/>
          <w:lang w:val="lt-LT" w:eastAsia="lt-LT"/>
        </w:rPr>
        <w:t xml:space="preserve"> </w:t>
      </w:r>
      <w:r>
        <w:rPr>
          <w:lang w:val="lt-LT" w:eastAsia="lt-LT"/>
        </w:rPr>
        <w:t>turto</w:t>
      </w:r>
      <w:r>
        <w:rPr>
          <w:i/>
          <w:iCs/>
          <w:lang w:val="lt-LT" w:eastAsia="lt-LT"/>
        </w:rPr>
        <w:t xml:space="preserve"> </w:t>
      </w:r>
      <w:r>
        <w:rPr>
          <w:lang w:val="lt-LT" w:eastAsia="lt-LT"/>
        </w:rPr>
        <w:t>įsigijimas,</w:t>
      </w:r>
      <w:r>
        <w:rPr>
          <w:i/>
          <w:iCs/>
          <w:lang w:val="lt-LT" w:eastAsia="lt-LT"/>
        </w:rPr>
        <w:t xml:space="preserve"> </w:t>
      </w:r>
      <w:r>
        <w:rPr>
          <w:lang w:val="lt-LT" w:eastAsia="lt-LT"/>
        </w:rPr>
        <w:t>jei</w:t>
      </w:r>
      <w:r>
        <w:rPr>
          <w:i/>
          <w:iCs/>
          <w:lang w:val="lt-LT" w:eastAsia="lt-LT"/>
        </w:rPr>
        <w:t xml:space="preserve"> </w:t>
      </w:r>
      <w:r>
        <w:rPr>
          <w:lang w:val="lt-LT" w:eastAsia="lt-LT"/>
        </w:rPr>
        <w:t>sutartyje</w:t>
      </w:r>
      <w:r>
        <w:rPr>
          <w:i/>
          <w:iCs/>
          <w:lang w:val="lt-LT" w:eastAsia="lt-LT"/>
        </w:rPr>
        <w:t xml:space="preserve"> </w:t>
      </w:r>
      <w:r>
        <w:rPr>
          <w:lang w:val="lt-LT" w:eastAsia="lt-LT"/>
        </w:rPr>
        <w:t>yra</w:t>
      </w:r>
      <w:r>
        <w:rPr>
          <w:i/>
          <w:iCs/>
          <w:lang w:val="lt-LT" w:eastAsia="lt-LT"/>
        </w:rPr>
        <w:t xml:space="preserve"> </w:t>
      </w:r>
      <w:r>
        <w:rPr>
          <w:lang w:val="lt-LT" w:eastAsia="lt-LT"/>
        </w:rPr>
        <w:t>bent</w:t>
      </w:r>
      <w:r>
        <w:rPr>
          <w:i/>
          <w:iCs/>
          <w:lang w:val="lt-LT" w:eastAsia="lt-LT"/>
        </w:rPr>
        <w:t xml:space="preserve"> </w:t>
      </w:r>
      <w:r>
        <w:rPr>
          <w:lang w:val="lt-LT" w:eastAsia="lt-LT"/>
        </w:rPr>
        <w:t>vienas</w:t>
      </w:r>
      <w:r>
        <w:rPr>
          <w:i/>
          <w:iCs/>
          <w:lang w:val="lt-LT" w:eastAsia="lt-LT"/>
        </w:rPr>
        <w:t xml:space="preserve"> </w:t>
      </w:r>
      <w:r>
        <w:rPr>
          <w:lang w:val="lt-LT" w:eastAsia="lt-LT"/>
        </w:rPr>
        <w:t>iš</w:t>
      </w:r>
      <w:r>
        <w:rPr>
          <w:i/>
          <w:iCs/>
          <w:lang w:val="lt-LT" w:eastAsia="lt-LT"/>
        </w:rPr>
        <w:t xml:space="preserve"> </w:t>
      </w:r>
      <w:r>
        <w:rPr>
          <w:lang w:val="lt-LT" w:eastAsia="lt-LT"/>
        </w:rPr>
        <w:t>šių</w:t>
      </w:r>
      <w:r>
        <w:rPr>
          <w:i/>
          <w:iCs/>
          <w:lang w:val="lt-LT" w:eastAsia="lt-LT"/>
        </w:rPr>
        <w:t xml:space="preserve"> </w:t>
      </w:r>
      <w:r>
        <w:rPr>
          <w:lang w:val="lt-LT" w:eastAsia="lt-LT"/>
        </w:rPr>
        <w:t>kriterijų:</w:t>
      </w:r>
    </w:p>
    <w:p w14:paraId="7353EE2F"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pabaigoje</w:t>
      </w:r>
      <w:r>
        <w:rPr>
          <w:i/>
          <w:iCs/>
          <w:lang w:val="lt-LT" w:eastAsia="lt-LT"/>
        </w:rPr>
        <w:t xml:space="preserve"> </w:t>
      </w:r>
      <w:r>
        <w:rPr>
          <w:lang w:val="lt-LT" w:eastAsia="lt-LT"/>
        </w:rPr>
        <w:t>nuosavybės</w:t>
      </w:r>
      <w:r>
        <w:rPr>
          <w:i/>
          <w:iCs/>
          <w:lang w:val="lt-LT" w:eastAsia="lt-LT"/>
        </w:rPr>
        <w:t xml:space="preserve"> </w:t>
      </w:r>
      <w:r>
        <w:rPr>
          <w:lang w:val="lt-LT" w:eastAsia="lt-LT"/>
        </w:rPr>
        <w:t>teisė</w:t>
      </w:r>
      <w:r>
        <w:rPr>
          <w:i/>
          <w:iCs/>
          <w:lang w:val="lt-LT" w:eastAsia="lt-LT"/>
        </w:rPr>
        <w:t xml:space="preserve"> </w:t>
      </w:r>
      <w:r>
        <w:rPr>
          <w:lang w:val="lt-LT" w:eastAsia="lt-LT"/>
        </w:rPr>
        <w:t>į</w:t>
      </w:r>
      <w:r>
        <w:rPr>
          <w:i/>
          <w:iCs/>
          <w:lang w:val="lt-LT" w:eastAsia="lt-LT"/>
        </w:rPr>
        <w:t xml:space="preserve"> </w:t>
      </w:r>
      <w:r>
        <w:rPr>
          <w:lang w:val="lt-LT" w:eastAsia="lt-LT"/>
        </w:rPr>
        <w:t>turtą</w:t>
      </w:r>
      <w:r>
        <w:rPr>
          <w:i/>
          <w:iCs/>
          <w:lang w:val="lt-LT" w:eastAsia="lt-LT"/>
        </w:rPr>
        <w:t xml:space="preserve"> </w:t>
      </w:r>
      <w:r>
        <w:rPr>
          <w:lang w:val="lt-LT" w:eastAsia="lt-LT"/>
        </w:rPr>
        <w:t>pereina</w:t>
      </w:r>
      <w:r>
        <w:rPr>
          <w:i/>
          <w:iCs/>
          <w:lang w:val="lt-LT" w:eastAsia="lt-LT"/>
        </w:rPr>
        <w:t xml:space="preserve"> </w:t>
      </w:r>
      <w:r>
        <w:rPr>
          <w:lang w:val="lt-LT" w:eastAsia="lt-LT"/>
        </w:rPr>
        <w:t>lizingo</w:t>
      </w:r>
      <w:r>
        <w:rPr>
          <w:i/>
          <w:iCs/>
          <w:lang w:val="lt-LT" w:eastAsia="lt-LT"/>
        </w:rPr>
        <w:t xml:space="preserve"> </w:t>
      </w:r>
      <w:r>
        <w:rPr>
          <w:lang w:val="lt-LT" w:eastAsia="lt-LT"/>
        </w:rPr>
        <w:t>gavėjui;</w:t>
      </w:r>
    </w:p>
    <w:p w14:paraId="75E56F11"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jei</w:t>
      </w:r>
      <w:r>
        <w:rPr>
          <w:i/>
          <w:iCs/>
          <w:lang w:val="lt-LT" w:eastAsia="lt-LT"/>
        </w:rPr>
        <w:t xml:space="preserve"> </w:t>
      </w:r>
      <w:r>
        <w:rPr>
          <w:lang w:val="lt-LT" w:eastAsia="lt-LT"/>
        </w:rPr>
        <w:t>lizingo</w:t>
      </w:r>
      <w:r>
        <w:rPr>
          <w:i/>
          <w:iCs/>
          <w:lang w:val="lt-LT" w:eastAsia="lt-LT"/>
        </w:rPr>
        <w:t xml:space="preserve"> </w:t>
      </w:r>
      <w:r>
        <w:rPr>
          <w:lang w:val="lt-LT" w:eastAsia="lt-LT"/>
        </w:rPr>
        <w:t>gavėjas</w:t>
      </w:r>
      <w:r>
        <w:rPr>
          <w:i/>
          <w:iCs/>
          <w:lang w:val="lt-LT" w:eastAsia="lt-LT"/>
        </w:rPr>
        <w:t xml:space="preserve"> </w:t>
      </w:r>
      <w:r>
        <w:rPr>
          <w:lang w:val="lt-LT" w:eastAsia="lt-LT"/>
        </w:rPr>
        <w:t>turi</w:t>
      </w:r>
      <w:r>
        <w:rPr>
          <w:i/>
          <w:iCs/>
          <w:lang w:val="lt-LT" w:eastAsia="lt-LT"/>
        </w:rPr>
        <w:t xml:space="preserve"> </w:t>
      </w:r>
      <w:r>
        <w:rPr>
          <w:lang w:val="lt-LT" w:eastAsia="lt-LT"/>
        </w:rPr>
        <w:t>teisę</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pabaigoje</w:t>
      </w:r>
      <w:r>
        <w:rPr>
          <w:i/>
          <w:iCs/>
          <w:lang w:val="lt-LT" w:eastAsia="lt-LT"/>
        </w:rPr>
        <w:t xml:space="preserve"> </w:t>
      </w:r>
      <w:r>
        <w:rPr>
          <w:lang w:val="lt-LT" w:eastAsia="lt-LT"/>
        </w:rPr>
        <w:t>įsigyti</w:t>
      </w:r>
      <w:r>
        <w:rPr>
          <w:i/>
          <w:iCs/>
          <w:lang w:val="lt-LT" w:eastAsia="lt-LT"/>
        </w:rPr>
        <w:t xml:space="preserve"> </w:t>
      </w:r>
      <w:r>
        <w:rPr>
          <w:lang w:val="lt-LT" w:eastAsia="lt-LT"/>
        </w:rPr>
        <w:t>turtą</w:t>
      </w:r>
      <w:r>
        <w:rPr>
          <w:i/>
          <w:iCs/>
          <w:lang w:val="lt-LT" w:eastAsia="lt-LT"/>
        </w:rPr>
        <w:t xml:space="preserve"> </w:t>
      </w:r>
      <w:r>
        <w:rPr>
          <w:lang w:val="lt-LT" w:eastAsia="lt-LT"/>
        </w:rPr>
        <w:t>už</w:t>
      </w:r>
      <w:r>
        <w:rPr>
          <w:i/>
          <w:iCs/>
          <w:lang w:val="lt-LT" w:eastAsia="lt-LT"/>
        </w:rPr>
        <w:t xml:space="preserve"> </w:t>
      </w:r>
      <w:r>
        <w:rPr>
          <w:lang w:val="lt-LT" w:eastAsia="lt-LT"/>
        </w:rPr>
        <w:t>kainą</w:t>
      </w:r>
      <w:r>
        <w:rPr>
          <w:i/>
          <w:iCs/>
          <w:lang w:val="lt-LT" w:eastAsia="lt-LT"/>
        </w:rPr>
        <w:t xml:space="preserve"> </w:t>
      </w:r>
      <w:r>
        <w:rPr>
          <w:lang w:val="lt-LT" w:eastAsia="lt-LT"/>
        </w:rPr>
        <w:t>kur</w:t>
      </w:r>
      <w:r>
        <w:rPr>
          <w:i/>
          <w:iCs/>
          <w:lang w:val="lt-LT" w:eastAsia="lt-LT"/>
        </w:rPr>
        <w:t xml:space="preserve"> </w:t>
      </w:r>
      <w:r>
        <w:rPr>
          <w:lang w:val="lt-LT" w:eastAsia="lt-LT"/>
        </w:rPr>
        <w:t>kas</w:t>
      </w:r>
      <w:r>
        <w:rPr>
          <w:i/>
          <w:iCs/>
          <w:lang w:val="lt-LT" w:eastAsia="lt-LT"/>
        </w:rPr>
        <w:t xml:space="preserve"> </w:t>
      </w:r>
      <w:r>
        <w:rPr>
          <w:lang w:val="lt-LT" w:eastAsia="lt-LT"/>
        </w:rPr>
        <w:t>mažesnę</w:t>
      </w:r>
      <w:r>
        <w:rPr>
          <w:i/>
          <w:iCs/>
          <w:lang w:val="lt-LT" w:eastAsia="lt-LT"/>
        </w:rPr>
        <w:t xml:space="preserve"> </w:t>
      </w:r>
      <w:r>
        <w:rPr>
          <w:lang w:val="lt-LT" w:eastAsia="lt-LT"/>
        </w:rPr>
        <w:t>už</w:t>
      </w:r>
      <w:r>
        <w:rPr>
          <w:i/>
          <w:iCs/>
          <w:lang w:val="lt-LT" w:eastAsia="lt-LT"/>
        </w:rPr>
        <w:t xml:space="preserve"> </w:t>
      </w:r>
      <w:r>
        <w:rPr>
          <w:lang w:val="lt-LT" w:eastAsia="lt-LT"/>
        </w:rPr>
        <w:t>jo</w:t>
      </w:r>
      <w:r>
        <w:rPr>
          <w:i/>
          <w:iCs/>
          <w:lang w:val="lt-LT" w:eastAsia="lt-LT"/>
        </w:rPr>
        <w:t xml:space="preserve"> </w:t>
      </w:r>
      <w:r>
        <w:rPr>
          <w:lang w:val="lt-LT" w:eastAsia="lt-LT"/>
        </w:rPr>
        <w:t>tikrąją</w:t>
      </w:r>
      <w:r>
        <w:rPr>
          <w:i/>
          <w:iCs/>
          <w:lang w:val="lt-LT" w:eastAsia="lt-LT"/>
        </w:rPr>
        <w:t xml:space="preserve"> </w:t>
      </w:r>
      <w:r>
        <w:rPr>
          <w:lang w:val="lt-LT" w:eastAsia="lt-LT"/>
        </w:rPr>
        <w:t>vertę,</w:t>
      </w:r>
      <w:r>
        <w:rPr>
          <w:i/>
          <w:iCs/>
          <w:lang w:val="lt-LT" w:eastAsia="lt-LT"/>
        </w:rPr>
        <w:t xml:space="preserve"> </w:t>
      </w:r>
      <w:r>
        <w:rPr>
          <w:lang w:val="lt-LT" w:eastAsia="lt-LT"/>
        </w:rPr>
        <w:t>ir</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pradžioje</w:t>
      </w:r>
      <w:r>
        <w:rPr>
          <w:i/>
          <w:iCs/>
          <w:lang w:val="lt-LT" w:eastAsia="lt-LT"/>
        </w:rPr>
        <w:t xml:space="preserve"> </w:t>
      </w:r>
      <w:r>
        <w:rPr>
          <w:lang w:val="lt-LT" w:eastAsia="lt-LT"/>
        </w:rPr>
        <w:t>labai</w:t>
      </w:r>
      <w:r>
        <w:rPr>
          <w:i/>
          <w:iCs/>
          <w:lang w:val="lt-LT" w:eastAsia="lt-LT"/>
        </w:rPr>
        <w:t xml:space="preserve"> </w:t>
      </w:r>
      <w:r>
        <w:rPr>
          <w:lang w:val="lt-LT" w:eastAsia="lt-LT"/>
        </w:rPr>
        <w:t>tikėtina,</w:t>
      </w:r>
      <w:r>
        <w:rPr>
          <w:i/>
          <w:iCs/>
          <w:lang w:val="lt-LT" w:eastAsia="lt-LT"/>
        </w:rPr>
        <w:t xml:space="preserve"> </w:t>
      </w:r>
      <w:r>
        <w:rPr>
          <w:lang w:val="lt-LT" w:eastAsia="lt-LT"/>
        </w:rPr>
        <w:t>kad</w:t>
      </w:r>
      <w:r>
        <w:rPr>
          <w:i/>
          <w:iCs/>
          <w:lang w:val="lt-LT" w:eastAsia="lt-LT"/>
        </w:rPr>
        <w:t xml:space="preserve"> </w:t>
      </w:r>
      <w:r>
        <w:rPr>
          <w:lang w:val="lt-LT" w:eastAsia="lt-LT"/>
        </w:rPr>
        <w:t>šia</w:t>
      </w:r>
      <w:r>
        <w:rPr>
          <w:i/>
          <w:iCs/>
          <w:lang w:val="lt-LT" w:eastAsia="lt-LT"/>
        </w:rPr>
        <w:t xml:space="preserve"> </w:t>
      </w:r>
      <w:r>
        <w:rPr>
          <w:lang w:val="lt-LT" w:eastAsia="lt-LT"/>
        </w:rPr>
        <w:t>teise</w:t>
      </w:r>
      <w:r>
        <w:rPr>
          <w:i/>
          <w:iCs/>
          <w:lang w:val="lt-LT" w:eastAsia="lt-LT"/>
        </w:rPr>
        <w:t xml:space="preserve"> </w:t>
      </w:r>
      <w:r>
        <w:rPr>
          <w:lang w:val="lt-LT" w:eastAsia="lt-LT"/>
        </w:rPr>
        <w:t>bus</w:t>
      </w:r>
      <w:r>
        <w:rPr>
          <w:i/>
          <w:iCs/>
          <w:lang w:val="lt-LT" w:eastAsia="lt-LT"/>
        </w:rPr>
        <w:t xml:space="preserve"> </w:t>
      </w:r>
      <w:r>
        <w:rPr>
          <w:lang w:val="lt-LT" w:eastAsia="lt-LT"/>
        </w:rPr>
        <w:t>pasinaudota;</w:t>
      </w:r>
    </w:p>
    <w:p w14:paraId="7DE2D1E3"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lizingo</w:t>
      </w:r>
      <w:r>
        <w:rPr>
          <w:i/>
          <w:iCs/>
          <w:lang w:val="lt-LT" w:eastAsia="lt-LT"/>
        </w:rPr>
        <w:t xml:space="preserve"> </w:t>
      </w:r>
      <w:r>
        <w:rPr>
          <w:lang w:val="lt-LT" w:eastAsia="lt-LT"/>
        </w:rPr>
        <w:t>laikotarpis</w:t>
      </w:r>
      <w:r>
        <w:rPr>
          <w:i/>
          <w:iCs/>
          <w:lang w:val="lt-LT" w:eastAsia="lt-LT"/>
        </w:rPr>
        <w:t xml:space="preserve"> </w:t>
      </w:r>
      <w:r>
        <w:rPr>
          <w:lang w:val="lt-LT" w:eastAsia="lt-LT"/>
        </w:rPr>
        <w:t>trunka</w:t>
      </w:r>
      <w:r>
        <w:rPr>
          <w:i/>
          <w:iCs/>
          <w:lang w:val="lt-LT" w:eastAsia="lt-LT"/>
        </w:rPr>
        <w:t xml:space="preserve"> </w:t>
      </w:r>
      <w:r>
        <w:rPr>
          <w:lang w:val="lt-LT" w:eastAsia="lt-LT"/>
        </w:rPr>
        <w:t>didesniąją</w:t>
      </w:r>
      <w:r>
        <w:rPr>
          <w:i/>
          <w:iCs/>
          <w:lang w:val="lt-LT" w:eastAsia="lt-LT"/>
        </w:rPr>
        <w:t xml:space="preserve"> </w:t>
      </w:r>
      <w:r>
        <w:rPr>
          <w:lang w:val="lt-LT" w:eastAsia="lt-LT"/>
        </w:rPr>
        <w:t>turto</w:t>
      </w:r>
      <w:r>
        <w:rPr>
          <w:i/>
          <w:iCs/>
          <w:lang w:val="lt-LT" w:eastAsia="lt-LT"/>
        </w:rPr>
        <w:t xml:space="preserve"> </w:t>
      </w:r>
      <w:r>
        <w:rPr>
          <w:lang w:val="lt-LT" w:eastAsia="lt-LT"/>
        </w:rPr>
        <w:t>ekonominio</w:t>
      </w:r>
      <w:r>
        <w:rPr>
          <w:i/>
          <w:iCs/>
          <w:lang w:val="lt-LT" w:eastAsia="lt-LT"/>
        </w:rPr>
        <w:t xml:space="preserve"> </w:t>
      </w:r>
      <w:r>
        <w:rPr>
          <w:lang w:val="lt-LT" w:eastAsia="lt-LT"/>
        </w:rPr>
        <w:t>tarnavimo</w:t>
      </w:r>
      <w:r>
        <w:rPr>
          <w:i/>
          <w:iCs/>
          <w:lang w:val="lt-LT" w:eastAsia="lt-LT"/>
        </w:rPr>
        <w:t xml:space="preserve"> </w:t>
      </w:r>
      <w:r>
        <w:rPr>
          <w:lang w:val="lt-LT" w:eastAsia="lt-LT"/>
        </w:rPr>
        <w:t>laiko</w:t>
      </w:r>
      <w:r>
        <w:rPr>
          <w:i/>
          <w:iCs/>
          <w:lang w:val="lt-LT" w:eastAsia="lt-LT"/>
        </w:rPr>
        <w:t xml:space="preserve"> </w:t>
      </w:r>
      <w:r>
        <w:rPr>
          <w:lang w:val="lt-LT" w:eastAsia="lt-LT"/>
        </w:rPr>
        <w:t>dalį,</w:t>
      </w:r>
      <w:r>
        <w:rPr>
          <w:i/>
          <w:iCs/>
          <w:lang w:val="lt-LT" w:eastAsia="lt-LT"/>
        </w:rPr>
        <w:t xml:space="preserve"> </w:t>
      </w:r>
      <w:r>
        <w:rPr>
          <w:lang w:val="lt-LT" w:eastAsia="lt-LT"/>
        </w:rPr>
        <w:t>netgi</w:t>
      </w:r>
      <w:r>
        <w:rPr>
          <w:i/>
          <w:iCs/>
          <w:lang w:val="lt-LT" w:eastAsia="lt-LT"/>
        </w:rPr>
        <w:t xml:space="preserve"> </w:t>
      </w:r>
      <w:r>
        <w:rPr>
          <w:lang w:val="lt-LT" w:eastAsia="lt-LT"/>
        </w:rPr>
        <w:t>jei</w:t>
      </w:r>
      <w:r>
        <w:rPr>
          <w:i/>
          <w:iCs/>
          <w:lang w:val="lt-LT" w:eastAsia="lt-LT"/>
        </w:rPr>
        <w:t xml:space="preserve"> </w:t>
      </w:r>
      <w:r>
        <w:rPr>
          <w:lang w:val="lt-LT" w:eastAsia="lt-LT"/>
        </w:rPr>
        <w:t>nuosavybės</w:t>
      </w:r>
      <w:r>
        <w:rPr>
          <w:i/>
          <w:iCs/>
          <w:lang w:val="lt-LT" w:eastAsia="lt-LT"/>
        </w:rPr>
        <w:t xml:space="preserve"> </w:t>
      </w:r>
      <w:r>
        <w:rPr>
          <w:lang w:val="lt-LT" w:eastAsia="lt-LT"/>
        </w:rPr>
        <w:t>teisė</w:t>
      </w:r>
      <w:r>
        <w:rPr>
          <w:i/>
          <w:iCs/>
          <w:lang w:val="lt-LT" w:eastAsia="lt-LT"/>
        </w:rPr>
        <w:t xml:space="preserve"> </w:t>
      </w:r>
      <w:r>
        <w:rPr>
          <w:lang w:val="lt-LT" w:eastAsia="lt-LT"/>
        </w:rPr>
        <w:t>neperduodama.</w:t>
      </w:r>
      <w:r>
        <w:rPr>
          <w:i/>
          <w:iCs/>
          <w:lang w:val="lt-LT" w:eastAsia="lt-LT"/>
        </w:rPr>
        <w:t xml:space="preserve"> </w:t>
      </w:r>
      <w:r>
        <w:rPr>
          <w:lang w:val="lt-LT" w:eastAsia="lt-LT"/>
        </w:rPr>
        <w:t>Šis</w:t>
      </w:r>
      <w:r>
        <w:rPr>
          <w:i/>
          <w:iCs/>
          <w:lang w:val="lt-LT" w:eastAsia="lt-LT"/>
        </w:rPr>
        <w:t xml:space="preserve"> </w:t>
      </w:r>
      <w:r>
        <w:rPr>
          <w:lang w:val="lt-LT" w:eastAsia="lt-LT"/>
        </w:rPr>
        <w:t>laikotarpis</w:t>
      </w:r>
      <w:r>
        <w:rPr>
          <w:i/>
          <w:iCs/>
          <w:lang w:val="lt-LT" w:eastAsia="lt-LT"/>
        </w:rPr>
        <w:t xml:space="preserve"> </w:t>
      </w:r>
      <w:r>
        <w:rPr>
          <w:lang w:val="lt-LT" w:eastAsia="lt-LT"/>
        </w:rPr>
        <w:t>turėtų</w:t>
      </w:r>
      <w:r>
        <w:rPr>
          <w:i/>
          <w:iCs/>
          <w:lang w:val="lt-LT" w:eastAsia="lt-LT"/>
        </w:rPr>
        <w:t xml:space="preserve"> </w:t>
      </w:r>
      <w:r>
        <w:rPr>
          <w:lang w:val="lt-LT" w:eastAsia="lt-LT"/>
        </w:rPr>
        <w:t>būti</w:t>
      </w:r>
      <w:r>
        <w:rPr>
          <w:i/>
          <w:iCs/>
          <w:lang w:val="lt-LT" w:eastAsia="lt-LT"/>
        </w:rPr>
        <w:t xml:space="preserve"> </w:t>
      </w:r>
      <w:r>
        <w:rPr>
          <w:lang w:val="lt-LT" w:eastAsia="lt-LT"/>
        </w:rPr>
        <w:t>ne</w:t>
      </w:r>
      <w:r>
        <w:rPr>
          <w:i/>
          <w:iCs/>
          <w:lang w:val="lt-LT" w:eastAsia="lt-LT"/>
        </w:rPr>
        <w:t xml:space="preserve"> </w:t>
      </w:r>
      <w:r>
        <w:rPr>
          <w:lang w:val="lt-LT" w:eastAsia="lt-LT"/>
        </w:rPr>
        <w:t>trumpesnis</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turto</w:t>
      </w:r>
      <w:r>
        <w:rPr>
          <w:i/>
          <w:iCs/>
          <w:lang w:val="lt-LT" w:eastAsia="lt-LT"/>
        </w:rPr>
        <w:t xml:space="preserve"> </w:t>
      </w:r>
      <w:r>
        <w:rPr>
          <w:lang w:val="lt-LT" w:eastAsia="lt-LT"/>
        </w:rPr>
        <w:t>ekonominio</w:t>
      </w:r>
      <w:r>
        <w:rPr>
          <w:i/>
          <w:iCs/>
          <w:lang w:val="lt-LT" w:eastAsia="lt-LT"/>
        </w:rPr>
        <w:t xml:space="preserve"> </w:t>
      </w:r>
      <w:r>
        <w:rPr>
          <w:lang w:val="lt-LT" w:eastAsia="lt-LT"/>
        </w:rPr>
        <w:t>tarnavimo</w:t>
      </w:r>
      <w:r>
        <w:rPr>
          <w:i/>
          <w:iCs/>
          <w:lang w:val="lt-LT" w:eastAsia="lt-LT"/>
        </w:rPr>
        <w:t xml:space="preserve"> </w:t>
      </w:r>
      <w:r>
        <w:rPr>
          <w:lang w:val="lt-LT" w:eastAsia="lt-LT"/>
        </w:rPr>
        <w:t>laiko;</w:t>
      </w:r>
    </w:p>
    <w:p w14:paraId="019AF545" w14:textId="77777777" w:rsidR="00093845" w:rsidRDefault="000D779E">
      <w:pPr>
        <w:ind w:firstLine="851"/>
        <w:jc w:val="both"/>
        <w:rPr>
          <w:lang w:val="lt-LT" w:eastAsia="lt-LT"/>
        </w:rPr>
      </w:pPr>
      <w:r>
        <w:rPr>
          <w:lang w:val="lt-LT" w:eastAsia="lt-LT"/>
        </w:rPr>
        <w:lastRenderedPageBreak/>
        <w:t>–</w:t>
      </w:r>
      <w:r>
        <w:rPr>
          <w:i/>
          <w:iCs/>
          <w:lang w:val="lt-LT" w:eastAsia="lt-LT"/>
        </w:rPr>
        <w:t xml:space="preserve"> </w:t>
      </w:r>
      <w:r>
        <w:rPr>
          <w:lang w:val="lt-LT" w:eastAsia="lt-LT"/>
        </w:rPr>
        <w:t>lizingo</w:t>
      </w:r>
      <w:r>
        <w:rPr>
          <w:i/>
          <w:iCs/>
          <w:lang w:val="lt-LT" w:eastAsia="lt-LT"/>
        </w:rPr>
        <w:t xml:space="preserve"> </w:t>
      </w:r>
      <w:r>
        <w:rPr>
          <w:lang w:val="lt-LT" w:eastAsia="lt-LT"/>
        </w:rPr>
        <w:t>laikotarpio</w:t>
      </w:r>
      <w:r>
        <w:rPr>
          <w:i/>
          <w:iCs/>
          <w:lang w:val="lt-LT" w:eastAsia="lt-LT"/>
        </w:rPr>
        <w:t xml:space="preserve"> </w:t>
      </w:r>
      <w:r>
        <w:rPr>
          <w:lang w:val="lt-LT" w:eastAsia="lt-LT"/>
        </w:rPr>
        <w:t>pradžioje</w:t>
      </w:r>
      <w:r>
        <w:rPr>
          <w:i/>
          <w:iCs/>
          <w:lang w:val="lt-LT" w:eastAsia="lt-LT"/>
        </w:rPr>
        <w:t xml:space="preserve"> </w:t>
      </w:r>
      <w:r>
        <w:rPr>
          <w:lang w:val="lt-LT" w:eastAsia="lt-LT"/>
        </w:rPr>
        <w:t>dabartinė</w:t>
      </w:r>
      <w:r>
        <w:rPr>
          <w:i/>
          <w:iCs/>
          <w:lang w:val="lt-LT" w:eastAsia="lt-LT"/>
        </w:rPr>
        <w:t xml:space="preserve"> </w:t>
      </w:r>
      <w:r>
        <w:rPr>
          <w:lang w:val="lt-LT" w:eastAsia="lt-LT"/>
        </w:rPr>
        <w:t>minimalių</w:t>
      </w:r>
      <w:r>
        <w:rPr>
          <w:i/>
          <w:iCs/>
          <w:lang w:val="lt-LT" w:eastAsia="lt-LT"/>
        </w:rPr>
        <w:t xml:space="preserve"> </w:t>
      </w:r>
      <w:r>
        <w:rPr>
          <w:lang w:val="lt-LT" w:eastAsia="lt-LT"/>
        </w:rPr>
        <w:t>įmokų</w:t>
      </w:r>
      <w:r>
        <w:rPr>
          <w:i/>
          <w:iCs/>
          <w:lang w:val="lt-LT" w:eastAsia="lt-LT"/>
        </w:rPr>
        <w:t xml:space="preserve"> </w:t>
      </w:r>
      <w:r>
        <w:rPr>
          <w:lang w:val="lt-LT" w:eastAsia="lt-LT"/>
        </w:rPr>
        <w:t>vertė</w:t>
      </w:r>
      <w:r>
        <w:rPr>
          <w:i/>
          <w:iCs/>
          <w:lang w:val="lt-LT" w:eastAsia="lt-LT"/>
        </w:rPr>
        <w:t xml:space="preserve"> </w:t>
      </w:r>
      <w:r>
        <w:rPr>
          <w:lang w:val="lt-LT" w:eastAsia="lt-LT"/>
        </w:rPr>
        <w:t>yra</w:t>
      </w:r>
      <w:r>
        <w:rPr>
          <w:i/>
          <w:iCs/>
          <w:lang w:val="lt-LT" w:eastAsia="lt-LT"/>
        </w:rPr>
        <w:t xml:space="preserve"> </w:t>
      </w:r>
      <w:r>
        <w:rPr>
          <w:lang w:val="lt-LT" w:eastAsia="lt-LT"/>
        </w:rPr>
        <w:t>lygi</w:t>
      </w:r>
      <w:r>
        <w:rPr>
          <w:i/>
          <w:iCs/>
          <w:lang w:val="lt-LT" w:eastAsia="lt-LT"/>
        </w:rPr>
        <w:t xml:space="preserve"> </w:t>
      </w:r>
      <w:r>
        <w:rPr>
          <w:lang w:val="lt-LT" w:eastAsia="lt-LT"/>
        </w:rPr>
        <w:t>turto</w:t>
      </w:r>
      <w:r>
        <w:rPr>
          <w:i/>
          <w:iCs/>
          <w:lang w:val="lt-LT" w:eastAsia="lt-LT"/>
        </w:rPr>
        <w:t xml:space="preserve"> </w:t>
      </w:r>
      <w:r>
        <w:rPr>
          <w:lang w:val="lt-LT" w:eastAsia="lt-LT"/>
        </w:rPr>
        <w:t>tikrajai</w:t>
      </w:r>
      <w:r>
        <w:rPr>
          <w:i/>
          <w:iCs/>
          <w:lang w:val="lt-LT" w:eastAsia="lt-LT"/>
        </w:rPr>
        <w:t xml:space="preserve"> </w:t>
      </w:r>
      <w:r>
        <w:rPr>
          <w:lang w:val="lt-LT" w:eastAsia="lt-LT"/>
        </w:rPr>
        <w:t>vertei</w:t>
      </w:r>
      <w:r>
        <w:rPr>
          <w:i/>
          <w:iCs/>
          <w:lang w:val="lt-LT" w:eastAsia="lt-LT"/>
        </w:rPr>
        <w:t xml:space="preserve"> </w:t>
      </w:r>
      <w:r>
        <w:rPr>
          <w:lang w:val="lt-LT" w:eastAsia="lt-LT"/>
        </w:rPr>
        <w:t>arba</w:t>
      </w:r>
      <w:r>
        <w:rPr>
          <w:i/>
          <w:iCs/>
          <w:lang w:val="lt-LT" w:eastAsia="lt-LT"/>
        </w:rPr>
        <w:t xml:space="preserve"> </w:t>
      </w:r>
      <w:r>
        <w:rPr>
          <w:lang w:val="lt-LT" w:eastAsia="lt-LT"/>
        </w:rPr>
        <w:t>sudaro</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90</w:t>
      </w:r>
      <w:r>
        <w:rPr>
          <w:i/>
          <w:iCs/>
          <w:lang w:val="lt-LT" w:eastAsia="lt-LT"/>
        </w:rPr>
        <w:t xml:space="preserve"> </w:t>
      </w:r>
      <w:r>
        <w:rPr>
          <w:lang w:val="lt-LT" w:eastAsia="lt-LT"/>
        </w:rPr>
        <w:t>procentų</w:t>
      </w:r>
      <w:r>
        <w:rPr>
          <w:i/>
          <w:iCs/>
          <w:lang w:val="lt-LT" w:eastAsia="lt-LT"/>
        </w:rPr>
        <w:t xml:space="preserve"> </w:t>
      </w:r>
      <w:r>
        <w:rPr>
          <w:lang w:val="lt-LT" w:eastAsia="lt-LT"/>
        </w:rPr>
        <w:t>turto</w:t>
      </w:r>
      <w:r>
        <w:rPr>
          <w:i/>
          <w:iCs/>
          <w:lang w:val="lt-LT" w:eastAsia="lt-LT"/>
        </w:rPr>
        <w:t xml:space="preserve"> </w:t>
      </w:r>
      <w:r>
        <w:rPr>
          <w:lang w:val="lt-LT" w:eastAsia="lt-LT"/>
        </w:rPr>
        <w:t>tikrosios</w:t>
      </w:r>
      <w:r>
        <w:rPr>
          <w:i/>
          <w:iCs/>
          <w:lang w:val="lt-LT" w:eastAsia="lt-LT"/>
        </w:rPr>
        <w:t xml:space="preserve"> </w:t>
      </w:r>
      <w:r>
        <w:rPr>
          <w:lang w:val="lt-LT" w:eastAsia="lt-LT"/>
        </w:rPr>
        <w:t>vertės;</w:t>
      </w:r>
    </w:p>
    <w:p w14:paraId="30BFF8A9"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turtas</w:t>
      </w:r>
      <w:r>
        <w:rPr>
          <w:i/>
          <w:iCs/>
          <w:lang w:val="lt-LT" w:eastAsia="lt-LT"/>
        </w:rPr>
        <w:t xml:space="preserve"> </w:t>
      </w:r>
      <w:r>
        <w:rPr>
          <w:lang w:val="lt-LT" w:eastAsia="lt-LT"/>
        </w:rPr>
        <w:t>yra</w:t>
      </w:r>
      <w:r>
        <w:rPr>
          <w:i/>
          <w:iCs/>
          <w:lang w:val="lt-LT" w:eastAsia="lt-LT"/>
        </w:rPr>
        <w:t xml:space="preserve"> </w:t>
      </w:r>
      <w:r>
        <w:rPr>
          <w:lang w:val="lt-LT" w:eastAsia="lt-LT"/>
        </w:rPr>
        <w:t>specifinės</w:t>
      </w:r>
      <w:r>
        <w:rPr>
          <w:i/>
          <w:iCs/>
          <w:lang w:val="lt-LT" w:eastAsia="lt-LT"/>
        </w:rPr>
        <w:t xml:space="preserve"> </w:t>
      </w:r>
      <w:r>
        <w:rPr>
          <w:lang w:val="lt-LT" w:eastAsia="lt-LT"/>
        </w:rPr>
        <w:t>paskirties</w:t>
      </w:r>
      <w:r>
        <w:rPr>
          <w:i/>
          <w:iCs/>
          <w:lang w:val="lt-LT" w:eastAsia="lt-LT"/>
        </w:rPr>
        <w:t xml:space="preserve"> </w:t>
      </w:r>
      <w:r>
        <w:rPr>
          <w:lang w:val="lt-LT" w:eastAsia="lt-LT"/>
        </w:rPr>
        <w:t>ir,</w:t>
      </w:r>
      <w:r>
        <w:rPr>
          <w:i/>
          <w:iCs/>
          <w:lang w:val="lt-LT" w:eastAsia="lt-LT"/>
        </w:rPr>
        <w:t xml:space="preserve"> </w:t>
      </w:r>
      <w:r>
        <w:rPr>
          <w:lang w:val="lt-LT" w:eastAsia="lt-LT"/>
        </w:rPr>
        <w:t>neatlikus</w:t>
      </w:r>
      <w:r>
        <w:rPr>
          <w:i/>
          <w:iCs/>
          <w:lang w:val="lt-LT" w:eastAsia="lt-LT"/>
        </w:rPr>
        <w:t xml:space="preserve"> </w:t>
      </w:r>
      <w:r>
        <w:rPr>
          <w:lang w:val="lt-LT" w:eastAsia="lt-LT"/>
        </w:rPr>
        <w:t>didesnių</w:t>
      </w:r>
      <w:r>
        <w:rPr>
          <w:i/>
          <w:iCs/>
          <w:lang w:val="lt-LT" w:eastAsia="lt-LT"/>
        </w:rPr>
        <w:t xml:space="preserve"> </w:t>
      </w:r>
      <w:r>
        <w:rPr>
          <w:lang w:val="lt-LT" w:eastAsia="lt-LT"/>
        </w:rPr>
        <w:t>pakeitimų,</w:t>
      </w:r>
      <w:r>
        <w:rPr>
          <w:i/>
          <w:iCs/>
          <w:lang w:val="lt-LT" w:eastAsia="lt-LT"/>
        </w:rPr>
        <w:t xml:space="preserve"> </w:t>
      </w:r>
      <w:r>
        <w:rPr>
          <w:lang w:val="lt-LT" w:eastAsia="lt-LT"/>
        </w:rPr>
        <w:t>jį</w:t>
      </w:r>
      <w:r>
        <w:rPr>
          <w:i/>
          <w:iCs/>
          <w:lang w:val="lt-LT" w:eastAsia="lt-LT"/>
        </w:rPr>
        <w:t xml:space="preserve"> </w:t>
      </w:r>
      <w:r>
        <w:rPr>
          <w:lang w:val="lt-LT" w:eastAsia="lt-LT"/>
        </w:rPr>
        <w:t>naudoti</w:t>
      </w:r>
      <w:r>
        <w:rPr>
          <w:i/>
          <w:iCs/>
          <w:lang w:val="lt-LT" w:eastAsia="lt-LT"/>
        </w:rPr>
        <w:t xml:space="preserve"> </w:t>
      </w:r>
      <w:r>
        <w:rPr>
          <w:lang w:val="lt-LT" w:eastAsia="lt-LT"/>
        </w:rPr>
        <w:t>gali</w:t>
      </w:r>
      <w:r>
        <w:rPr>
          <w:i/>
          <w:iCs/>
          <w:lang w:val="lt-LT" w:eastAsia="lt-LT"/>
        </w:rPr>
        <w:t xml:space="preserve"> </w:t>
      </w:r>
      <w:r>
        <w:rPr>
          <w:lang w:val="lt-LT" w:eastAsia="lt-LT"/>
        </w:rPr>
        <w:t>tik</w:t>
      </w:r>
      <w:r>
        <w:rPr>
          <w:i/>
          <w:iCs/>
          <w:lang w:val="lt-LT" w:eastAsia="lt-LT"/>
        </w:rPr>
        <w:t xml:space="preserve"> </w:t>
      </w:r>
      <w:r>
        <w:rPr>
          <w:lang w:val="lt-LT" w:eastAsia="lt-LT"/>
        </w:rPr>
        <w:t>šis</w:t>
      </w:r>
      <w:r>
        <w:rPr>
          <w:i/>
          <w:iCs/>
          <w:lang w:val="lt-LT" w:eastAsia="lt-LT"/>
        </w:rPr>
        <w:t xml:space="preserve"> </w:t>
      </w:r>
      <w:r>
        <w:rPr>
          <w:lang w:val="lt-LT" w:eastAsia="lt-LT"/>
        </w:rPr>
        <w:t>lizingo</w:t>
      </w:r>
      <w:r>
        <w:rPr>
          <w:i/>
          <w:iCs/>
          <w:lang w:val="lt-LT" w:eastAsia="lt-LT"/>
        </w:rPr>
        <w:t xml:space="preserve"> </w:t>
      </w:r>
      <w:r>
        <w:rPr>
          <w:lang w:val="lt-LT" w:eastAsia="lt-LT"/>
        </w:rPr>
        <w:t>gavėjas.</w:t>
      </w:r>
      <w:r>
        <w:rPr>
          <w:i/>
          <w:iCs/>
          <w:lang w:val="lt-LT" w:eastAsia="lt-LT"/>
        </w:rPr>
        <w:t xml:space="preserve"> </w:t>
      </w:r>
    </w:p>
    <w:p w14:paraId="4FB345C2" w14:textId="77777777" w:rsidR="00093845" w:rsidRDefault="000D779E">
      <w:pPr>
        <w:ind w:firstLine="851"/>
        <w:jc w:val="both"/>
        <w:rPr>
          <w:lang w:val="lt-LT" w:eastAsia="lt-LT"/>
        </w:rPr>
      </w:pPr>
      <w:r>
        <w:rPr>
          <w:lang w:val="lt-LT" w:eastAsia="lt-LT"/>
        </w:rPr>
        <w:t>Tuo</w:t>
      </w:r>
      <w:r>
        <w:rPr>
          <w:i/>
          <w:iCs/>
          <w:lang w:val="lt-LT" w:eastAsia="lt-LT"/>
        </w:rPr>
        <w:t xml:space="preserve"> </w:t>
      </w:r>
      <w:r>
        <w:rPr>
          <w:lang w:val="lt-LT" w:eastAsia="lt-LT"/>
        </w:rPr>
        <w:t>atveju,</w:t>
      </w:r>
      <w:r>
        <w:rPr>
          <w:i/>
          <w:iCs/>
          <w:lang w:val="lt-LT" w:eastAsia="lt-LT"/>
        </w:rPr>
        <w:t xml:space="preserve"> </w:t>
      </w:r>
      <w:r>
        <w:rPr>
          <w:lang w:val="lt-LT" w:eastAsia="lt-LT"/>
        </w:rPr>
        <w:t>kai LEZ</w:t>
      </w:r>
      <w:r>
        <w:rPr>
          <w:i/>
          <w:iCs/>
          <w:lang w:val="lt-LT" w:eastAsia="lt-LT"/>
        </w:rPr>
        <w:t xml:space="preserve"> </w:t>
      </w:r>
      <w:r>
        <w:rPr>
          <w:lang w:val="lt-LT" w:eastAsia="lt-LT"/>
        </w:rPr>
        <w:t>įmonė</w:t>
      </w:r>
      <w:r>
        <w:rPr>
          <w:i/>
          <w:iCs/>
          <w:lang w:val="lt-LT" w:eastAsia="lt-LT"/>
        </w:rPr>
        <w:t xml:space="preserve"> </w:t>
      </w:r>
      <w:r>
        <w:rPr>
          <w:lang w:val="lt-LT" w:eastAsia="lt-LT"/>
        </w:rPr>
        <w:t>įsigyja</w:t>
      </w:r>
      <w:r>
        <w:rPr>
          <w:i/>
          <w:iCs/>
          <w:lang w:val="lt-LT" w:eastAsia="lt-LT"/>
        </w:rPr>
        <w:t xml:space="preserve"> </w:t>
      </w:r>
      <w:r>
        <w:rPr>
          <w:lang w:val="lt-LT" w:eastAsia="lt-LT"/>
        </w:rPr>
        <w:t>turtą</w:t>
      </w:r>
      <w:r>
        <w:rPr>
          <w:i/>
          <w:iCs/>
          <w:lang w:val="lt-LT" w:eastAsia="lt-LT"/>
        </w:rPr>
        <w:t xml:space="preserve"> </w:t>
      </w:r>
      <w:r>
        <w:rPr>
          <w:lang w:val="lt-LT" w:eastAsia="lt-LT"/>
        </w:rPr>
        <w:t>lizingo</w:t>
      </w:r>
      <w:r>
        <w:rPr>
          <w:i/>
          <w:iCs/>
          <w:lang w:val="lt-LT" w:eastAsia="lt-LT"/>
        </w:rPr>
        <w:t xml:space="preserve"> </w:t>
      </w:r>
      <w:r>
        <w:rPr>
          <w:lang w:val="lt-LT" w:eastAsia="lt-LT"/>
        </w:rPr>
        <w:t>būdu,</w:t>
      </w:r>
      <w:r>
        <w:rPr>
          <w:i/>
          <w:iCs/>
          <w:lang w:val="lt-LT" w:eastAsia="lt-LT"/>
        </w:rPr>
        <w:t xml:space="preserve"> </w:t>
      </w:r>
      <w:r>
        <w:rPr>
          <w:lang w:val="lt-LT" w:eastAsia="lt-LT"/>
        </w:rPr>
        <w:t>nustatant</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vertės</w:t>
      </w:r>
      <w:r>
        <w:rPr>
          <w:i/>
          <w:iCs/>
          <w:lang w:val="lt-LT" w:eastAsia="lt-LT"/>
        </w:rPr>
        <w:t xml:space="preserve"> </w:t>
      </w:r>
      <w:r>
        <w:rPr>
          <w:lang w:val="lt-LT" w:eastAsia="lt-LT"/>
        </w:rPr>
        <w:t>kapitalo</w:t>
      </w:r>
      <w:r>
        <w:rPr>
          <w:i/>
          <w:iCs/>
          <w:lang w:val="lt-LT" w:eastAsia="lt-LT"/>
        </w:rPr>
        <w:t xml:space="preserve"> </w:t>
      </w:r>
      <w:r>
        <w:rPr>
          <w:lang w:val="lt-LT" w:eastAsia="lt-LT"/>
        </w:rPr>
        <w:t>investiciją,</w:t>
      </w:r>
      <w:r>
        <w:rPr>
          <w:i/>
          <w:iCs/>
          <w:lang w:val="lt-LT" w:eastAsia="lt-LT"/>
        </w:rPr>
        <w:t xml:space="preserve"> </w:t>
      </w:r>
      <w:r>
        <w:rPr>
          <w:lang w:val="lt-LT" w:eastAsia="lt-LT"/>
        </w:rPr>
        <w:t>į</w:t>
      </w:r>
      <w:r>
        <w:rPr>
          <w:i/>
          <w:iCs/>
          <w:lang w:val="lt-LT" w:eastAsia="lt-LT"/>
        </w:rPr>
        <w:t xml:space="preserve"> </w:t>
      </w:r>
      <w:r>
        <w:rPr>
          <w:lang w:val="lt-LT" w:eastAsia="lt-LT"/>
        </w:rPr>
        <w:t>jos</w:t>
      </w:r>
      <w:r>
        <w:rPr>
          <w:i/>
          <w:iCs/>
          <w:lang w:val="lt-LT" w:eastAsia="lt-LT"/>
        </w:rPr>
        <w:t xml:space="preserve"> </w:t>
      </w:r>
      <w:r>
        <w:rPr>
          <w:lang w:val="lt-LT" w:eastAsia="lt-LT"/>
        </w:rPr>
        <w:t>vertę</w:t>
      </w:r>
      <w:r>
        <w:rPr>
          <w:i/>
          <w:iCs/>
          <w:lang w:val="lt-LT" w:eastAsia="lt-LT"/>
        </w:rPr>
        <w:t xml:space="preserve"> </w:t>
      </w:r>
      <w:r>
        <w:rPr>
          <w:lang w:val="lt-LT" w:eastAsia="lt-LT"/>
        </w:rPr>
        <w:t>įtraukiama</w:t>
      </w:r>
      <w:r>
        <w:rPr>
          <w:i/>
          <w:iCs/>
          <w:lang w:val="lt-LT" w:eastAsia="lt-LT"/>
        </w:rPr>
        <w:t xml:space="preserve"> </w:t>
      </w:r>
      <w:r>
        <w:rPr>
          <w:u w:val="single"/>
          <w:lang w:val="lt-LT" w:eastAsia="lt-LT"/>
        </w:rPr>
        <w:t>visa</w:t>
      </w:r>
      <w:r>
        <w:rPr>
          <w:i/>
          <w:iCs/>
          <w:u w:val="single"/>
          <w:lang w:val="lt-LT" w:eastAsia="lt-LT"/>
        </w:rPr>
        <w:t xml:space="preserve"> </w:t>
      </w:r>
      <w:r>
        <w:rPr>
          <w:u w:val="single"/>
          <w:lang w:val="lt-LT" w:eastAsia="lt-LT"/>
        </w:rPr>
        <w:t>ilgalaikio</w:t>
      </w:r>
      <w:r>
        <w:rPr>
          <w:i/>
          <w:iCs/>
          <w:u w:val="single"/>
          <w:lang w:val="lt-LT" w:eastAsia="lt-LT"/>
        </w:rPr>
        <w:t xml:space="preserve"> </w:t>
      </w:r>
      <w:r>
        <w:rPr>
          <w:u w:val="single"/>
          <w:lang w:val="lt-LT" w:eastAsia="lt-LT"/>
        </w:rPr>
        <w:t>turto</w:t>
      </w:r>
      <w:r>
        <w:rPr>
          <w:i/>
          <w:iCs/>
          <w:u w:val="single"/>
          <w:lang w:val="lt-LT" w:eastAsia="lt-LT"/>
        </w:rPr>
        <w:t xml:space="preserve"> </w:t>
      </w:r>
      <w:r>
        <w:rPr>
          <w:u w:val="single"/>
          <w:lang w:val="lt-LT" w:eastAsia="lt-LT"/>
        </w:rPr>
        <w:t>įsigijimo</w:t>
      </w:r>
      <w:r>
        <w:rPr>
          <w:i/>
          <w:iCs/>
          <w:u w:val="single"/>
          <w:lang w:val="lt-LT" w:eastAsia="lt-LT"/>
        </w:rPr>
        <w:t xml:space="preserve"> </w:t>
      </w:r>
      <w:r>
        <w:rPr>
          <w:u w:val="single"/>
          <w:lang w:val="lt-LT" w:eastAsia="lt-LT"/>
        </w:rPr>
        <w:t>vertė</w:t>
      </w:r>
      <w:r>
        <w:rPr>
          <w:lang w:val="lt-LT" w:eastAsia="lt-LT"/>
        </w:rPr>
        <w:t>,</w:t>
      </w:r>
      <w:r>
        <w:rPr>
          <w:i/>
          <w:iCs/>
          <w:lang w:val="lt-LT" w:eastAsia="lt-LT"/>
        </w:rPr>
        <w:t xml:space="preserve"> </w:t>
      </w:r>
      <w:r>
        <w:rPr>
          <w:lang w:val="lt-LT" w:eastAsia="lt-LT"/>
        </w:rPr>
        <w:t>jei</w:t>
      </w:r>
      <w:r>
        <w:rPr>
          <w:i/>
          <w:iCs/>
          <w:lang w:val="lt-LT" w:eastAsia="lt-LT"/>
        </w:rPr>
        <w:t xml:space="preserve"> </w:t>
      </w:r>
      <w:r>
        <w:rPr>
          <w:lang w:val="lt-LT" w:eastAsia="lt-LT"/>
        </w:rPr>
        <w:t>lizingo</w:t>
      </w:r>
      <w:r>
        <w:rPr>
          <w:i/>
          <w:iCs/>
          <w:lang w:val="lt-LT" w:eastAsia="lt-LT"/>
        </w:rPr>
        <w:t xml:space="preserve"> </w:t>
      </w:r>
      <w:r>
        <w:rPr>
          <w:lang w:val="lt-LT" w:eastAsia="lt-LT"/>
        </w:rPr>
        <w:t>sutartyje</w:t>
      </w:r>
      <w:r>
        <w:rPr>
          <w:i/>
          <w:iCs/>
          <w:lang w:val="lt-LT" w:eastAsia="lt-LT"/>
        </w:rPr>
        <w:t xml:space="preserve"> </w:t>
      </w:r>
      <w:r>
        <w:rPr>
          <w:lang w:val="lt-LT" w:eastAsia="lt-LT"/>
        </w:rPr>
        <w:t>yra</w:t>
      </w:r>
      <w:r>
        <w:rPr>
          <w:i/>
          <w:iCs/>
          <w:lang w:val="lt-LT" w:eastAsia="lt-LT"/>
        </w:rPr>
        <w:t xml:space="preserve"> </w:t>
      </w:r>
      <w:r>
        <w:rPr>
          <w:lang w:val="lt-LT" w:eastAsia="lt-LT"/>
        </w:rPr>
        <w:t>nustatyta</w:t>
      </w:r>
      <w:r>
        <w:rPr>
          <w:i/>
          <w:iCs/>
          <w:lang w:val="lt-LT" w:eastAsia="lt-LT"/>
        </w:rPr>
        <w:t xml:space="preserve"> </w:t>
      </w:r>
      <w:r>
        <w:rPr>
          <w:lang w:val="lt-LT" w:eastAsia="lt-LT"/>
        </w:rPr>
        <w:t>bent</w:t>
      </w:r>
      <w:r>
        <w:rPr>
          <w:i/>
          <w:iCs/>
          <w:lang w:val="lt-LT" w:eastAsia="lt-LT"/>
        </w:rPr>
        <w:t xml:space="preserve"> </w:t>
      </w:r>
      <w:r>
        <w:rPr>
          <w:lang w:val="lt-LT" w:eastAsia="lt-LT"/>
        </w:rPr>
        <w:t>viena</w:t>
      </w:r>
      <w:r>
        <w:rPr>
          <w:i/>
          <w:iCs/>
          <w:lang w:val="lt-LT" w:eastAsia="lt-LT"/>
        </w:rPr>
        <w:t xml:space="preserve"> </w:t>
      </w:r>
      <w:r>
        <w:rPr>
          <w:lang w:val="lt-LT" w:eastAsia="lt-LT"/>
        </w:rPr>
        <w:t>iš</w:t>
      </w:r>
      <w:r>
        <w:rPr>
          <w:i/>
          <w:iCs/>
          <w:lang w:val="lt-LT" w:eastAsia="lt-LT"/>
        </w:rPr>
        <w:t xml:space="preserve"> </w:t>
      </w:r>
      <w:r>
        <w:rPr>
          <w:lang w:val="lt-LT" w:eastAsia="lt-LT"/>
        </w:rPr>
        <w:t>aukščiau</w:t>
      </w:r>
      <w:r>
        <w:rPr>
          <w:i/>
          <w:iCs/>
          <w:lang w:val="lt-LT" w:eastAsia="lt-LT"/>
        </w:rPr>
        <w:t xml:space="preserve"> </w:t>
      </w:r>
      <w:r>
        <w:rPr>
          <w:lang w:val="lt-LT" w:eastAsia="lt-LT"/>
        </w:rPr>
        <w:t>išvardintų</w:t>
      </w:r>
      <w:r>
        <w:rPr>
          <w:i/>
          <w:iCs/>
          <w:lang w:val="lt-LT" w:eastAsia="lt-LT"/>
        </w:rPr>
        <w:t xml:space="preserve"> </w:t>
      </w:r>
      <w:r>
        <w:rPr>
          <w:lang w:val="lt-LT" w:eastAsia="lt-LT"/>
        </w:rPr>
        <w:t>sąlygų.</w:t>
      </w:r>
      <w:r>
        <w:rPr>
          <w:i/>
          <w:iCs/>
          <w:lang w:val="lt-LT" w:eastAsia="lt-LT"/>
        </w:rPr>
        <w:t xml:space="preserve"> </w:t>
      </w:r>
    </w:p>
    <w:p w14:paraId="2B880B11" w14:textId="77777777" w:rsidR="00093845" w:rsidRDefault="000D779E">
      <w:pPr>
        <w:ind w:firstLine="851"/>
        <w:jc w:val="both"/>
        <w:rPr>
          <w:lang w:val="lt-LT" w:eastAsia="lt-LT"/>
        </w:rPr>
      </w:pPr>
      <w:r>
        <w:rPr>
          <w:lang w:val="lt-LT" w:eastAsia="lt-LT"/>
        </w:rPr>
        <w:t xml:space="preserve"> 3. Pajamos, kurios turi sudaryti ne mažiau kaip 75 procentus (t. y. 75 procentus ir daugiau) LEZ įmonės mokestinio laikotarpio pajamų, turi būti uždirbtos iš zonoje vykdomos:</w:t>
      </w:r>
    </w:p>
    <w:p w14:paraId="1D1D5668" w14:textId="77777777" w:rsidR="00093845" w:rsidRDefault="000D779E">
      <w:pPr>
        <w:ind w:firstLine="851"/>
        <w:jc w:val="both"/>
        <w:rPr>
          <w:lang w:val="lt-LT" w:eastAsia="lt-LT"/>
        </w:rPr>
      </w:pPr>
      <w:r>
        <w:rPr>
          <w:lang w:val="lt-LT" w:eastAsia="lt-LT"/>
        </w:rPr>
        <w:t xml:space="preserve"> 3.1. prekių gamybos, apdirbimo, perdirbimo, sandėliavimo veiklos, orlaivių ir erdvėlaivių bei susijusios įrangos gamybos, orlaivių ir erdvėlaivių remonto ir techninės priežiūros, su orlaivių techniniu aptarnavimu ir remontu susijusios veiklos (elektroninės ir optinės įrangos remonto, techninio tikrinimo ir analizės), kompiuterių programavimo veiklos, kompiuterių konsultacinės veiklos, kompiuterinės įrangos tvarkybos, kitos informacinių technologijų ir kompiuterių paslaugų veiklos, duomenų apdorojimo, interneto serverių paslaugų (prieglobos) ir susijusios veiklos, užsakomųjų informacinių paslaugų centrų veiklos, didmeninės prekybos zonoje sandėliuojamomis prekėmis.</w:t>
      </w:r>
    </w:p>
    <w:p w14:paraId="09889559" w14:textId="77777777" w:rsidR="00093845" w:rsidRDefault="000D779E">
      <w:pPr>
        <w:ind w:firstLine="851"/>
        <w:jc w:val="both"/>
        <w:rPr>
          <w:lang w:val="lt-LT" w:eastAsia="lt-LT"/>
        </w:rPr>
      </w:pPr>
      <w:r>
        <w:rPr>
          <w:lang w:val="lt-LT" w:eastAsia="lt-LT"/>
        </w:rPr>
        <w:t xml:space="preserve">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57D62856" w14:textId="77777777" w:rsidR="00093845" w:rsidRDefault="000D779E">
      <w:pPr>
        <w:ind w:firstLine="851"/>
        <w:jc w:val="both"/>
        <w:rPr>
          <w:lang w:val="lt-LT" w:eastAsia="lt-LT"/>
        </w:rPr>
      </w:pPr>
      <w:r>
        <w:rPr>
          <w:b/>
          <w:bCs/>
          <w:lang w:val="lt-LT" w:eastAsia="lt-LT"/>
        </w:rPr>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3BF1AB4" w14:textId="77777777">
        <w:trPr>
          <w:trHeight w:val="1817"/>
        </w:trPr>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D63D23" w14:textId="77777777" w:rsidR="00093845" w:rsidRDefault="000D779E">
            <w:pPr>
              <w:ind w:firstLine="851"/>
              <w:jc w:val="both"/>
              <w:rPr>
                <w:lang w:val="lt-LT" w:eastAsia="lt-LT"/>
              </w:rPr>
            </w:pPr>
            <w:r>
              <w:rPr>
                <w:lang w:val="lt-LT" w:eastAsia="lt-LT"/>
              </w:rPr>
              <w:t xml:space="preserve"> 1. LEZ įmonės vykdoma veikla zonoje – sandėliavimo paslaugų teikimas. Įmonė, teikianti tokias paslaugas, gali naudotis pelno mokesčio lengvata, jei ne mažiau kaip 75 procentus įmonės mokestinio laikotarpio pajamų sudaro pajamos už laisvojoje ekonominėje zonoje suteiktas sandėliavimo paslaugas, ir įmonė atitinka kitus </w:t>
            </w:r>
            <w:bookmarkStart w:id="616" w:name="n1_857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17" w:name="pn1_8575"/>
            <w:bookmarkEnd w:id="616"/>
            <w:bookmarkEnd w:id="617"/>
            <w:r>
              <w:rPr>
                <w:lang w:val="lt-LT" w:eastAsia="lt-LT"/>
              </w:rPr>
              <w:t xml:space="preserve"> </w:t>
            </w:r>
            <w:bookmarkStart w:id="618" w:name="n1_857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19" w:name="pn1_8576"/>
            <w:bookmarkEnd w:id="618"/>
            <w:bookmarkEnd w:id="619"/>
            <w:r>
              <w:rPr>
                <w:lang w:val="lt-LT" w:eastAsia="lt-LT"/>
              </w:rPr>
              <w:t xml:space="preserve"> str. 16 d. 1 punkte įtvirtintus reikalavimus lengvatai taikyti. </w:t>
            </w:r>
          </w:p>
          <w:p w14:paraId="2EF45603" w14:textId="77777777" w:rsidR="00093845" w:rsidRDefault="000D779E">
            <w:pPr>
              <w:ind w:firstLine="851"/>
              <w:jc w:val="both"/>
              <w:rPr>
                <w:lang w:val="lt-LT" w:eastAsia="lt-LT"/>
              </w:rPr>
            </w:pPr>
            <w:r>
              <w:rPr>
                <w:lang w:val="lt-LT" w:eastAsia="lt-LT"/>
              </w:rPr>
              <w:t xml:space="preserve">2. LEZ įmonė teikia sandėlio (jo dalies) nuomos paslaugas kitoms laisvojoje ekonominėje zonoje įregistruotoms įmonėms, taip pat kitoms Lietuvos ir užsienio įmonėms. Ši įmonė be įprastos sandėlių nuomos taip pat prisiima atsakomybę už jai nuosavybės teise priklausančių sandėlių priežiūrą, teritorijos priežiūrą, užtikrina palankias sąlygas sandėlių nuomos paslaugoms teikti ir šias paslaugas įtraukia į nuomos kainą, todėl jos paslaugos laikomos sandėliavimo paslaugomis. LEZ įmonė gali naudotis pelno mokesčio lengvata, jei ne mažiau kaip 75 procentus įmonės mokestinio laikotarpio pajamų sudaro pajamos už laisvojoje ekonominėje zonoje suteiktas sandėliavimo paslaugas, ir jei įmonė atitinka kitus </w:t>
            </w:r>
            <w:bookmarkStart w:id="620" w:name="n1_857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21" w:name="pn1_8577"/>
            <w:bookmarkEnd w:id="620"/>
            <w:bookmarkEnd w:id="621"/>
            <w:r>
              <w:rPr>
                <w:lang w:val="lt-LT" w:eastAsia="lt-LT"/>
              </w:rPr>
              <w:t xml:space="preserve"> </w:t>
            </w:r>
            <w:bookmarkStart w:id="622" w:name="n1_857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23" w:name="pn1_8578"/>
            <w:bookmarkEnd w:id="622"/>
            <w:bookmarkEnd w:id="623"/>
            <w:r>
              <w:rPr>
                <w:lang w:val="lt-LT" w:eastAsia="lt-LT"/>
              </w:rPr>
              <w:t xml:space="preserve"> str. 16 d. 1 punkte įtvirtintus reikalavimus mokesčio lengvatai taikyti. </w:t>
            </w:r>
          </w:p>
          <w:p w14:paraId="6E9472F3" w14:textId="77777777" w:rsidR="00093845" w:rsidRDefault="000D779E">
            <w:pPr>
              <w:ind w:firstLine="851"/>
              <w:jc w:val="both"/>
              <w:rPr>
                <w:lang w:val="lt-LT" w:eastAsia="lt-LT"/>
              </w:rPr>
            </w:pPr>
            <w:r>
              <w:rPr>
                <w:lang w:val="lt-LT" w:eastAsia="lt-LT"/>
              </w:rPr>
              <w:t xml:space="preserve">3. LEZ įmonės veikla – pirminių plastikų gamyba. Įmonė, besiverčianti tokia veikla, gali naudotis pelno mokesčio lengvata, jei ne mažiau kaip 75 procentus įmonės pajamų sudaro pajamos iš zonoje pagamintų plastikų pardavimo, ir įmonė atitinka kitus </w:t>
            </w:r>
            <w:bookmarkStart w:id="624" w:name="n1_857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25" w:name="pn1_8579"/>
            <w:bookmarkEnd w:id="624"/>
            <w:bookmarkEnd w:id="625"/>
            <w:r>
              <w:rPr>
                <w:lang w:val="lt-LT" w:eastAsia="lt-LT"/>
              </w:rPr>
              <w:t xml:space="preserve"> </w:t>
            </w:r>
            <w:bookmarkStart w:id="626" w:name="n1_858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27" w:name="pn1_8580"/>
            <w:bookmarkEnd w:id="626"/>
            <w:bookmarkEnd w:id="627"/>
            <w:r>
              <w:rPr>
                <w:lang w:val="lt-LT" w:eastAsia="lt-LT"/>
              </w:rPr>
              <w:t xml:space="preserve"> str. 16 d. 1 punkte įtvirtintus reikalavimus lengvatai taikyti. </w:t>
            </w:r>
          </w:p>
          <w:p w14:paraId="500AC784" w14:textId="77777777" w:rsidR="00093845" w:rsidRDefault="000D779E">
            <w:pPr>
              <w:ind w:firstLine="851"/>
              <w:jc w:val="both"/>
              <w:rPr>
                <w:lang w:val="lt-LT" w:eastAsia="lt-LT"/>
              </w:rPr>
            </w:pPr>
            <w:r>
              <w:rPr>
                <w:lang w:val="lt-LT" w:eastAsia="lt-LT"/>
              </w:rPr>
              <w:t xml:space="preserve">4. LEZ įmonės veikla yra orlaivių remontas ir techninė priežiūra. Įmonė gali naudotis pelno mokesčio lengvata, jei ne mažiau kaip 75 procentus įmonės pajamų sudaro pajamos už zonoje atliekamą orlaivių remontą ir techninę priežiūrą ir įmonė atitinka kitus </w:t>
            </w:r>
            <w:bookmarkStart w:id="628" w:name="n1_858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29" w:name="pn1_8581"/>
            <w:bookmarkEnd w:id="628"/>
            <w:bookmarkEnd w:id="629"/>
            <w:r>
              <w:rPr>
                <w:lang w:val="lt-LT" w:eastAsia="lt-LT"/>
              </w:rPr>
              <w:t xml:space="preserve"> </w:t>
            </w:r>
            <w:bookmarkStart w:id="630" w:name="n1_858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31" w:name="pn1_8582"/>
            <w:bookmarkEnd w:id="630"/>
            <w:bookmarkEnd w:id="631"/>
            <w:r>
              <w:rPr>
                <w:lang w:val="lt-LT" w:eastAsia="lt-LT"/>
              </w:rPr>
              <w:t xml:space="preserve"> str. 16 d. 1 punkte įtvirtintus reikalavimus lengvatai taikyti. </w:t>
            </w:r>
          </w:p>
          <w:p w14:paraId="4894FAE1" w14:textId="77777777" w:rsidR="00093845" w:rsidRDefault="000D779E">
            <w:pPr>
              <w:ind w:firstLine="851"/>
              <w:jc w:val="both"/>
              <w:rPr>
                <w:lang w:val="lt-LT" w:eastAsia="lt-LT"/>
              </w:rPr>
            </w:pPr>
            <w:r>
              <w:rPr>
                <w:lang w:val="lt-LT" w:eastAsia="lt-LT"/>
              </w:rPr>
              <w:lastRenderedPageBreak/>
              <w:t xml:space="preserve">5. LEZ įmonės veikla yra užsakomųjų informacinių paslaugų centro veikla. Įmonė gali naudotis pelno mokesčio lengvata, jei ne mažiau kaip 75 procentus įmonės pajamų sudaro pajamos už zonoje atliekamų užsakomųjų informacinių paslaugų suteikimą ir įmonė atitinka kitus </w:t>
            </w:r>
            <w:bookmarkStart w:id="632" w:name="n1_858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33" w:name="pn1_8583"/>
            <w:bookmarkEnd w:id="632"/>
            <w:bookmarkEnd w:id="633"/>
            <w:r>
              <w:rPr>
                <w:lang w:val="lt-LT" w:eastAsia="lt-LT"/>
              </w:rPr>
              <w:t xml:space="preserve"> </w:t>
            </w:r>
            <w:bookmarkStart w:id="634" w:name="n1_858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35" w:name="pn1_8584"/>
            <w:bookmarkEnd w:id="634"/>
            <w:bookmarkEnd w:id="635"/>
            <w:r>
              <w:rPr>
                <w:lang w:val="lt-LT" w:eastAsia="lt-LT"/>
              </w:rPr>
              <w:t xml:space="preserve"> str. 16 d. 1 punkte įtvirtintus reikalavimus lengvatai taikyti.</w:t>
            </w:r>
          </w:p>
          <w:p w14:paraId="1669611C" w14:textId="77777777" w:rsidR="00093845" w:rsidRDefault="00093845">
            <w:pPr>
              <w:tabs>
                <w:tab w:val="left" w:pos="1785"/>
              </w:tabs>
              <w:rPr>
                <w:lang w:val="lt-LT" w:eastAsia="lt-LT"/>
              </w:rPr>
            </w:pPr>
          </w:p>
        </w:tc>
      </w:tr>
    </w:tbl>
    <w:p w14:paraId="357059B0" w14:textId="77777777" w:rsidR="00093845" w:rsidRDefault="000D779E">
      <w:pPr>
        <w:ind w:firstLine="851"/>
        <w:jc w:val="both"/>
        <w:rPr>
          <w:lang w:val="lt-LT" w:eastAsia="lt-LT"/>
        </w:rPr>
      </w:pPr>
      <w:r>
        <w:rPr>
          <w:lang w:val="lt-LT" w:eastAsia="lt-LT"/>
        </w:rPr>
        <w:lastRenderedPageBreak/>
        <w:t xml:space="preserve">  Kai LEZ įmonė vykdo gamybos veiklą, tai </w:t>
      </w:r>
      <w:bookmarkStart w:id="636" w:name="n1_858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37" w:name="pn1_8585"/>
      <w:bookmarkEnd w:id="636"/>
      <w:bookmarkEnd w:id="637"/>
      <w:r>
        <w:rPr>
          <w:lang w:val="lt-LT" w:eastAsia="lt-LT"/>
        </w:rPr>
        <w:t xml:space="preserve"> </w:t>
      </w:r>
      <w:bookmarkStart w:id="638" w:name="n1_858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39" w:name="pn1_8586"/>
      <w:bookmarkEnd w:id="638"/>
      <w:bookmarkEnd w:id="639"/>
      <w:r>
        <w:rPr>
          <w:lang w:val="lt-LT" w:eastAsia="lt-LT"/>
        </w:rPr>
        <w:t xml:space="preserve"> str. 16 d. 1 punkto lengvata taikoma, jei pajamos iš šios veiklos sudaro 75 procentus ir daugiau šios įmonės atitinkamo mokestinio laikotarpio pajamų. Pakavimo, fasavimo ir pan. veiklos pagal EVRK nepriskiriamos gamybai, tačiau jų vykdymui reikalingi tam tikri specialūs technologiniai įrenginiai (specialios linijos ir t.t.). Todėl tokiai veiklai taikomos tos pačios nuostatos </w:t>
      </w:r>
      <w:bookmarkStart w:id="640" w:name="n1_858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1" w:name="pn1_8587"/>
      <w:bookmarkEnd w:id="640"/>
      <w:bookmarkEnd w:id="641"/>
      <w:r>
        <w:rPr>
          <w:lang w:val="lt-LT" w:eastAsia="lt-LT"/>
        </w:rPr>
        <w:t xml:space="preserve"> 58 str. 16 d. 1 punkto lengvatos taikymo atžvilgiu kaip ir gamybos veiklai. Tuo atveju, kai LEZ įmonė atlieka produktų įpakavimą, fasavimą, pilstymą, apdirbimą, perdirbimą, tai </w:t>
      </w:r>
      <w:bookmarkStart w:id="642" w:name="n1_858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3" w:name="pn1_8588"/>
      <w:bookmarkEnd w:id="642"/>
      <w:bookmarkEnd w:id="643"/>
      <w:r>
        <w:rPr>
          <w:lang w:val="lt-LT" w:eastAsia="lt-LT"/>
        </w:rPr>
        <w:t xml:space="preserve"> </w:t>
      </w:r>
      <w:bookmarkStart w:id="644" w:name="n1_858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45" w:name="pn1_8589"/>
      <w:bookmarkEnd w:id="644"/>
      <w:bookmarkEnd w:id="645"/>
      <w:r>
        <w:rPr>
          <w:lang w:val="lt-LT" w:eastAsia="lt-LT"/>
        </w:rPr>
        <w:t xml:space="preserve"> str. 16 d. 1 punkto straipsnio lengvata taikoma, jei pajamos iš šios veiklos sudaro 75 procentus ir daugiau šios įmonės atitinkamo mokestinio laikotarpio pajamų.</w:t>
      </w:r>
    </w:p>
    <w:p w14:paraId="322D76CD"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F77351B" w14:textId="77777777">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33635A" w14:textId="77777777" w:rsidR="00093845" w:rsidRDefault="000D779E">
            <w:pPr>
              <w:ind w:firstLine="875"/>
              <w:jc w:val="both"/>
              <w:rPr>
                <w:lang w:val="lt-LT" w:eastAsia="lt-LT"/>
              </w:rPr>
            </w:pPr>
            <w:r>
              <w:rPr>
                <w:lang w:val="lt-LT" w:eastAsia="lt-LT"/>
              </w:rPr>
              <w:t xml:space="preserve">LEZ įmonė įsigyja aliejų, sandėliuoja jį cisternose ir išpilsto į butelius bei parduoda kitoms įmonėms. Kitos veiklos ši įmonė nevykdo. Šiuo atveju įmonė gali naudotis pelno mokesčio lengvata, jei ne mažiau kaip 75 procentų įmonės pajamų sudaro pajamos už išpilstyto į butelius aliejaus pardavimą, ir įmonė atitinka kitus </w:t>
            </w:r>
            <w:bookmarkStart w:id="646" w:name="n1_859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47" w:name="pn1_8590"/>
            <w:bookmarkEnd w:id="646"/>
            <w:bookmarkEnd w:id="647"/>
            <w:r>
              <w:rPr>
                <w:lang w:val="lt-LT" w:eastAsia="lt-LT"/>
              </w:rPr>
              <w:t xml:space="preserve"> </w:t>
            </w:r>
            <w:bookmarkStart w:id="648" w:name="n1_859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49" w:name="pn1_8591"/>
            <w:bookmarkEnd w:id="648"/>
            <w:bookmarkEnd w:id="649"/>
            <w:r>
              <w:rPr>
                <w:lang w:val="lt-LT" w:eastAsia="lt-LT"/>
              </w:rPr>
              <w:t xml:space="preserve"> str. 16 d. 1 punkte įtvirtintus reikalavimus lengvatai taikyti. </w:t>
            </w:r>
          </w:p>
        </w:tc>
      </w:tr>
    </w:tbl>
    <w:bookmarkStart w:id="650" w:name="n1_8592"/>
    <w:p w14:paraId="4B3D3C9A" w14:textId="77777777" w:rsidR="00093845" w:rsidRDefault="000D779E">
      <w:pPr>
        <w:ind w:firstLine="851"/>
        <w:jc w:val="both"/>
        <w:rPr>
          <w:lang w:val="lt-LT" w:eastAsia="lt-LT"/>
        </w:rPr>
      </w:pPr>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Laisvųjų ekonominių zonų pagrindų įstatymas</w:t>
      </w:r>
      <w:r>
        <w:rPr>
          <w:lang w:val="lt-LT" w:eastAsia="lt-LT"/>
        </w:rPr>
        <w:fldChar w:fldCharType="end"/>
      </w:r>
      <w:bookmarkStart w:id="651" w:name="pn1_8592"/>
      <w:bookmarkEnd w:id="650"/>
      <w:bookmarkEnd w:id="651"/>
      <w:r>
        <w:rPr>
          <w:lang w:val="lt-LT" w:eastAsia="lt-LT"/>
        </w:rPr>
        <w:t xml:space="preserve"> (toliau – </w:t>
      </w:r>
      <w:bookmarkStart w:id="652" w:name="n1_8593"/>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53" w:name="pn1_8593"/>
      <w:bookmarkEnd w:id="652"/>
      <w:bookmarkEnd w:id="653"/>
      <w:r>
        <w:rPr>
          <w:lang w:val="lt-LT" w:eastAsia="lt-LT"/>
        </w:rPr>
        <w:t xml:space="preserve">) nustato laisvųjų ekonominių zonų steigimo, funkcionavimo ir likvidavimo Lietuvos Respublikoje tvarką bei sąlygas, taip pat laisvojoje ekonominėje zonoje veikiančių ūkio subjektų teisinį statusą. </w:t>
      </w:r>
      <w:bookmarkStart w:id="654" w:name="n1_8594"/>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55" w:name="pn1_8594"/>
      <w:bookmarkEnd w:id="654"/>
      <w:bookmarkEnd w:id="655"/>
      <w:r>
        <w:rPr>
          <w:lang w:val="lt-LT" w:eastAsia="lt-LT"/>
        </w:rPr>
        <w:t xml:space="preserve"> </w:t>
      </w:r>
      <w:bookmarkStart w:id="656" w:name="n1_8595"/>
      <w:r>
        <w:rPr>
          <w:lang w:val="lt-LT" w:eastAsia="lt-LT"/>
        </w:rPr>
        <w:fldChar w:fldCharType="begin"/>
      </w:r>
      <w:r>
        <w:rPr>
          <w:lang w:val="lt-LT" w:eastAsia="lt-LT"/>
        </w:rPr>
        <w:instrText xml:space="preserve"> HYPERLINK "JavaScript:OL('60299','1')" \o "Bendroji dalis (str. 1)" </w:instrText>
      </w:r>
      <w:r>
        <w:rPr>
          <w:lang w:val="lt-LT" w:eastAsia="lt-LT"/>
        </w:rPr>
        <w:fldChar w:fldCharType="separate"/>
      </w:r>
      <w:r>
        <w:rPr>
          <w:lang w:val="lt-LT" w:eastAsia="lt-LT"/>
        </w:rPr>
        <w:t>1</w:t>
      </w:r>
      <w:r>
        <w:rPr>
          <w:lang w:val="lt-LT" w:eastAsia="lt-LT"/>
        </w:rPr>
        <w:fldChar w:fldCharType="end"/>
      </w:r>
      <w:bookmarkStart w:id="657" w:name="pn1_8595"/>
      <w:bookmarkEnd w:id="656"/>
      <w:bookmarkEnd w:id="657"/>
      <w:r>
        <w:rPr>
          <w:lang w:val="lt-LT" w:eastAsia="lt-LT"/>
        </w:rPr>
        <w:t xml:space="preserve"> straipsnis numato, kad šio įstatymo tikslas yra sudaryti laisvojoje ekonominėje zonoje palankias mokesčių, muitų, valiutines ir finansines, teisines ir kitas lengvatines ūkinės komercinės veiklos sąlygas užsienio ir šalies ūkio subjektams steigti zonose tarptautinės prekybos, gamybos ir eksporto, finansų, mokslinę-techninę pažangą kuriančias ir diegiančias įmones bei organizacijas, skatinti užsienio investicijas, steigti naujas darbo vietas. </w:t>
      </w:r>
    </w:p>
    <w:p w14:paraId="074ABA16" w14:textId="77777777" w:rsidR="00093845" w:rsidRDefault="000D779E">
      <w:pPr>
        <w:ind w:firstLine="851"/>
        <w:jc w:val="both"/>
        <w:rPr>
          <w:lang w:val="lt-LT" w:eastAsia="lt-LT"/>
        </w:rPr>
      </w:pPr>
      <w:r>
        <w:rPr>
          <w:lang w:val="lt-LT" w:eastAsia="lt-LT"/>
        </w:rPr>
        <w:t xml:space="preserve">Pelno mokesčio lengvatos taikymas sietinas su </w:t>
      </w:r>
      <w:bookmarkStart w:id="658" w:name="n1_8597"/>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59" w:name="pn1_8597"/>
      <w:bookmarkEnd w:id="658"/>
      <w:bookmarkEnd w:id="659"/>
      <w:r>
        <w:rPr>
          <w:lang w:val="lt-LT" w:eastAsia="lt-LT"/>
        </w:rPr>
        <w:t xml:space="preserve"> nustatytu laisvųjų ekonominių zonų steigimo tikslu. Todėl, jei LEZ registruota įmonė vykdo didmeninės prekybos zonoje sandėliuojamomis prekėmis veiklą, pelno mokesčio lengvata taikoma tik tais atvejais, kai didmeninė prekyba zonoje sandėliuojamomis prekėmis atitinka </w:t>
      </w:r>
      <w:bookmarkStart w:id="660" w:name="n1_8598"/>
      <w:r>
        <w:rPr>
          <w:lang w:val="lt-LT" w:eastAsia="lt-LT"/>
        </w:rPr>
        <w:fldChar w:fldCharType="begin"/>
      </w:r>
      <w:r>
        <w:rPr>
          <w:lang w:val="lt-LT" w:eastAsia="lt-LT"/>
        </w:rPr>
        <w:instrText xml:space="preserve"> HYPERLINK "http://www.infolex.lt/ta/60299" \o "Lietuvos Respublikos laisvųjų ekonominių zonų pagrindų įstatymas" \t "_blank" </w:instrText>
      </w:r>
      <w:r>
        <w:rPr>
          <w:lang w:val="lt-LT" w:eastAsia="lt-LT"/>
        </w:rPr>
        <w:fldChar w:fldCharType="separate"/>
      </w:r>
      <w:r>
        <w:rPr>
          <w:lang w:val="lt-LT" w:eastAsia="lt-LT"/>
        </w:rPr>
        <w:t>LEZPĮ</w:t>
      </w:r>
      <w:r>
        <w:rPr>
          <w:lang w:val="lt-LT" w:eastAsia="lt-LT"/>
        </w:rPr>
        <w:fldChar w:fldCharType="end"/>
      </w:r>
      <w:bookmarkStart w:id="661" w:name="pn1_8598"/>
      <w:bookmarkEnd w:id="660"/>
      <w:bookmarkEnd w:id="661"/>
      <w:r>
        <w:rPr>
          <w:lang w:val="lt-LT" w:eastAsia="lt-LT"/>
        </w:rPr>
        <w:t xml:space="preserve"> nustatytus laisvųjų ekonominių zonų steigimo tikslus, t. y. taikoma tik toms laisvos ekonominės zonos įmonėms, kurių pajamos iš tarptautinės prekybos zonoje sandėliuojamomis prekėmis sudaro ne mažiau kaip 75 procentus visų pajamų. </w:t>
      </w:r>
    </w:p>
    <w:p w14:paraId="58D1A52C" w14:textId="77777777" w:rsidR="00093845" w:rsidRDefault="000D779E">
      <w:pPr>
        <w:ind w:firstLine="851"/>
        <w:jc w:val="both"/>
        <w:rPr>
          <w:lang w:val="lt-LT" w:eastAsia="lt-LT"/>
        </w:rPr>
      </w:pPr>
      <w:r>
        <w:rPr>
          <w:lang w:val="lt-LT" w:eastAsia="lt-LT"/>
        </w:rPr>
        <w:t>Tarptautinė prekyba zonoje sandėliuojamomis prekėmis suprantama kaip veikla, apimanti – iš užsienio pardavėjų ar iš Lietuvos pardavėjų įsigytų prekių (įskaitant laisvųjų ekonominių zonų įmonių pagamintas prekes) pardavimą ne Lietuvos, o kitose Europos Sąjungos rinkose ar eksportą į trečiąsias šalis.</w:t>
      </w:r>
    </w:p>
    <w:p w14:paraId="7DBA7840"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F309BC9" w14:textId="77777777">
        <w:trPr>
          <w:trHeight w:val="1390"/>
        </w:trPr>
        <w:tc>
          <w:tcPr>
            <w:tcW w:w="96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A42556" w14:textId="77777777" w:rsidR="00093845" w:rsidRDefault="000D779E">
            <w:pPr>
              <w:ind w:firstLine="875"/>
              <w:jc w:val="both"/>
              <w:rPr>
                <w:lang w:val="lt-LT" w:eastAsia="lt-LT"/>
              </w:rPr>
            </w:pPr>
            <w:r>
              <w:rPr>
                <w:lang w:val="lt-LT" w:eastAsia="lt-LT"/>
              </w:rPr>
              <w:t xml:space="preserve">LEZ įmonės veikla – didmeninė prekyba zonoje sandėliuojamomis prekėmis. LEZ įmonė iš Lietuvos ir užsienio gamintojų nuosavybėn įsigytas prekes sandėliuoja šios zonos sandėliuose, pati atlieka kitas prekybai ir sandėliavimui būdingas operacijas (įsigytų prekių pakrovimo ir iškrovimo darbus, rūšiuoja, perpakuoja, suskirsto prekes į didesnes/mažesnes partijas ir pan.) ir parduoda užsienio ir Lietuvos rinkose. </w:t>
            </w:r>
          </w:p>
          <w:p w14:paraId="35393846" w14:textId="77777777" w:rsidR="00093845" w:rsidRDefault="000D779E">
            <w:pPr>
              <w:ind w:firstLine="851"/>
              <w:jc w:val="both"/>
              <w:rPr>
                <w:lang w:val="lt-LT" w:eastAsia="lt-LT"/>
              </w:rPr>
            </w:pPr>
            <w:r>
              <w:rPr>
                <w:lang w:val="lt-LT" w:eastAsia="lt-LT"/>
              </w:rPr>
              <w:lastRenderedPageBreak/>
              <w:t>LEZ įmonė gali naudotis pelno mokesčio lengvata, jei ne mažiau kaip 75 procentus įmonės mokestinio laikotarpio pajamų sudaro pajamos iš tarptautinės prekybos (pardavimų užsienio rinkose).</w:t>
            </w:r>
          </w:p>
        </w:tc>
      </w:tr>
    </w:tbl>
    <w:p w14:paraId="36D55D5D" w14:textId="77777777" w:rsidR="00093845" w:rsidRDefault="000D779E">
      <w:pPr>
        <w:ind w:firstLine="851"/>
        <w:jc w:val="both"/>
        <w:rPr>
          <w:lang w:val="lt-LT" w:eastAsia="lt-LT"/>
        </w:rPr>
      </w:pPr>
      <w:r>
        <w:rPr>
          <w:lang w:val="lt-LT" w:eastAsia="lt-LT"/>
        </w:rPr>
        <w:lastRenderedPageBreak/>
        <w:t> 3.2. ir (arba) teikiamų paslaugų, susijusių su 3.1 punkte minėtomis zonoje vykdomos veiklos rūšimis:</w:t>
      </w:r>
    </w:p>
    <w:p w14:paraId="326B8FA1" w14:textId="77777777" w:rsidR="00093845" w:rsidRDefault="000D779E">
      <w:pPr>
        <w:ind w:firstLine="851"/>
        <w:jc w:val="both"/>
        <w:rPr>
          <w:lang w:val="lt-LT" w:eastAsia="lt-LT"/>
        </w:rPr>
      </w:pPr>
      <w:r>
        <w:rPr>
          <w:lang w:val="lt-LT" w:eastAsia="lt-LT"/>
        </w:rPr>
        <w:t xml:space="preserve">– zonoje pagamintų, apdirbtų, perdirbtų ar sandėliuojamų, taip pat zonoje vykdomai gamybai, apdirbimui ar perdirbimui reikalingų </w:t>
      </w:r>
      <w:r>
        <w:rPr>
          <w:u w:val="single"/>
          <w:lang w:val="lt-LT" w:eastAsia="lt-LT"/>
        </w:rPr>
        <w:t>prekių transportavimo ir aptarnavimo</w:t>
      </w:r>
      <w:r>
        <w:rPr>
          <w:lang w:val="lt-LT" w:eastAsia="lt-LT"/>
        </w:rPr>
        <w:t xml:space="preserve">, </w:t>
      </w:r>
    </w:p>
    <w:p w14:paraId="6371DAF8" w14:textId="77777777" w:rsidR="00093845" w:rsidRDefault="000D779E">
      <w:pPr>
        <w:ind w:firstLine="851"/>
        <w:jc w:val="both"/>
        <w:rPr>
          <w:lang w:val="lt-LT" w:eastAsia="lt-LT"/>
        </w:rPr>
      </w:pPr>
      <w:r>
        <w:rPr>
          <w:lang w:val="lt-LT" w:eastAsia="lt-LT"/>
        </w:rPr>
        <w:t xml:space="preserve">– </w:t>
      </w:r>
      <w:r>
        <w:rPr>
          <w:u w:val="single"/>
          <w:lang w:val="lt-LT" w:eastAsia="lt-LT"/>
        </w:rPr>
        <w:t>statybos zonos teritorijoje ir kitų</w:t>
      </w:r>
      <w:r>
        <w:rPr>
          <w:lang w:val="lt-LT" w:eastAsia="lt-LT"/>
        </w:rPr>
        <w:t xml:space="preserve"> su 3.1 punkte minėtomis veiklomis </w:t>
      </w:r>
      <w:r>
        <w:rPr>
          <w:u w:val="single"/>
          <w:lang w:val="lt-LT" w:eastAsia="lt-LT"/>
        </w:rPr>
        <w:t>susijusių paslaugų</w:t>
      </w:r>
      <w:r>
        <w:rPr>
          <w:lang w:val="lt-LT" w:eastAsia="lt-LT"/>
        </w:rPr>
        <w:t>.</w:t>
      </w:r>
    </w:p>
    <w:bookmarkStart w:id="662" w:name="n1_8599"/>
    <w:p w14:paraId="21EA40E0" w14:textId="77777777" w:rsidR="00093845" w:rsidRDefault="000D779E">
      <w:pPr>
        <w:ind w:firstLine="851"/>
        <w:jc w:val="both"/>
        <w:rPr>
          <w:lang w:val="lt-LT" w:eastAsia="lt-LT"/>
        </w:rPr>
      </w:pPr>
      <w:r>
        <w:rPr>
          <w:lang w:val="lt-LT"/>
        </w:rPr>
        <w:fldChar w:fldCharType="begin"/>
      </w:r>
      <w:r>
        <w:rPr>
          <w:lang w:val="lt-LT"/>
        </w:rPr>
        <w:instrText xml:space="preserve"> HYPERLINK "http://www.infolex.lt/ta/12868" \t "_blank" \o "Lietuvos Respublikos pelno mokesčio įstatymas" </w:instrText>
      </w:r>
      <w:r>
        <w:rPr>
          <w:lang w:val="lt-LT"/>
        </w:rPr>
        <w:fldChar w:fldCharType="separate"/>
      </w:r>
      <w:r>
        <w:rPr>
          <w:lang w:val="lt-LT" w:eastAsia="lt-LT"/>
        </w:rPr>
        <w:t>PMĮ</w:t>
      </w:r>
      <w:r>
        <w:rPr>
          <w:lang w:val="lt-LT" w:eastAsia="lt-LT"/>
        </w:rPr>
        <w:fldChar w:fldCharType="end"/>
      </w:r>
      <w:bookmarkStart w:id="663" w:name="pn1_8599"/>
      <w:bookmarkEnd w:id="662"/>
      <w:bookmarkEnd w:id="663"/>
      <w:r>
        <w:rPr>
          <w:i/>
          <w:iCs/>
          <w:lang w:val="lt-LT" w:eastAsia="lt-LT"/>
        </w:rPr>
        <w:t xml:space="preserve"> </w:t>
      </w:r>
      <w:r>
        <w:rPr>
          <w:lang w:val="lt-LT" w:eastAsia="lt-LT"/>
        </w:rPr>
        <w:t>58</w:t>
      </w:r>
      <w:r>
        <w:rPr>
          <w:i/>
          <w:iCs/>
          <w:lang w:val="lt-LT" w:eastAsia="lt-LT"/>
        </w:rPr>
        <w:t xml:space="preserve"> </w:t>
      </w:r>
      <w:r>
        <w:rPr>
          <w:lang w:val="lt-LT" w:eastAsia="lt-LT"/>
        </w:rPr>
        <w:t>str. 16</w:t>
      </w:r>
      <w:r>
        <w:rPr>
          <w:i/>
          <w:iCs/>
          <w:lang w:val="lt-LT" w:eastAsia="lt-LT"/>
        </w:rPr>
        <w:t xml:space="preserve"> </w:t>
      </w:r>
      <w:r>
        <w:rPr>
          <w:lang w:val="lt-LT" w:eastAsia="lt-LT"/>
        </w:rPr>
        <w:t>d.</w:t>
      </w:r>
      <w:r>
        <w:rPr>
          <w:i/>
          <w:iCs/>
          <w:lang w:val="lt-LT" w:eastAsia="lt-LT"/>
        </w:rPr>
        <w:t xml:space="preserve"> </w:t>
      </w:r>
      <w:r>
        <w:rPr>
          <w:lang w:val="lt-LT" w:eastAsia="lt-LT"/>
        </w:rPr>
        <w:t>1</w:t>
      </w:r>
      <w:r>
        <w:rPr>
          <w:i/>
          <w:iCs/>
          <w:lang w:val="lt-LT" w:eastAsia="lt-LT"/>
        </w:rPr>
        <w:t xml:space="preserve"> </w:t>
      </w:r>
      <w:r>
        <w:rPr>
          <w:lang w:val="lt-LT" w:eastAsia="lt-LT"/>
        </w:rPr>
        <w:t>punkto</w:t>
      </w:r>
      <w:r>
        <w:rPr>
          <w:i/>
          <w:iCs/>
          <w:lang w:val="lt-LT" w:eastAsia="lt-LT"/>
        </w:rPr>
        <w:t xml:space="preserve"> </w:t>
      </w:r>
      <w:r>
        <w:rPr>
          <w:lang w:val="lt-LT" w:eastAsia="lt-LT"/>
        </w:rPr>
        <w:t>lengvata</w:t>
      </w:r>
      <w:r>
        <w:rPr>
          <w:i/>
          <w:iCs/>
          <w:lang w:val="lt-LT" w:eastAsia="lt-LT"/>
        </w:rPr>
        <w:t xml:space="preserve"> </w:t>
      </w:r>
      <w:r>
        <w:rPr>
          <w:lang w:val="lt-LT" w:eastAsia="lt-LT"/>
        </w:rPr>
        <w:t>taikoma</w:t>
      </w:r>
      <w:r>
        <w:rPr>
          <w:i/>
          <w:iCs/>
          <w:lang w:val="lt-LT" w:eastAsia="lt-LT"/>
        </w:rPr>
        <w:t xml:space="preserve"> </w:t>
      </w:r>
      <w:r>
        <w:rPr>
          <w:lang w:val="lt-LT" w:eastAsia="lt-LT"/>
        </w:rPr>
        <w:t>tiek</w:t>
      </w:r>
      <w:r>
        <w:rPr>
          <w:i/>
          <w:iCs/>
          <w:lang w:val="lt-LT" w:eastAsia="lt-LT"/>
        </w:rPr>
        <w:t xml:space="preserve"> </w:t>
      </w:r>
      <w:r>
        <w:rPr>
          <w:lang w:val="lt-LT" w:eastAsia="lt-LT"/>
        </w:rPr>
        <w:t>laisvosios</w:t>
      </w:r>
      <w:r>
        <w:rPr>
          <w:i/>
          <w:iCs/>
          <w:lang w:val="lt-LT" w:eastAsia="lt-LT"/>
        </w:rPr>
        <w:t xml:space="preserve"> </w:t>
      </w:r>
      <w:r>
        <w:rPr>
          <w:lang w:val="lt-LT" w:eastAsia="lt-LT"/>
        </w:rPr>
        <w:t>ekonominės</w:t>
      </w:r>
      <w:r>
        <w:rPr>
          <w:i/>
          <w:iCs/>
          <w:lang w:val="lt-LT" w:eastAsia="lt-LT"/>
        </w:rPr>
        <w:t xml:space="preserve"> </w:t>
      </w:r>
      <w:r>
        <w:rPr>
          <w:lang w:val="lt-LT" w:eastAsia="lt-LT"/>
        </w:rPr>
        <w:t>zonos</w:t>
      </w:r>
      <w:r>
        <w:rPr>
          <w:i/>
          <w:iCs/>
          <w:lang w:val="lt-LT" w:eastAsia="lt-LT"/>
        </w:rPr>
        <w:t xml:space="preserve"> </w:t>
      </w:r>
      <w:r>
        <w:rPr>
          <w:lang w:val="lt-LT" w:eastAsia="lt-LT"/>
        </w:rPr>
        <w:t>įmonėms,</w:t>
      </w:r>
      <w:r>
        <w:rPr>
          <w:i/>
          <w:iCs/>
          <w:lang w:val="lt-LT" w:eastAsia="lt-LT"/>
        </w:rPr>
        <w:t xml:space="preserve"> </w:t>
      </w:r>
      <w:r>
        <w:rPr>
          <w:lang w:val="lt-LT" w:eastAsia="lt-LT"/>
        </w:rPr>
        <w:t>kurios</w:t>
      </w:r>
      <w:r>
        <w:rPr>
          <w:i/>
          <w:iCs/>
          <w:lang w:val="lt-LT" w:eastAsia="lt-LT"/>
        </w:rPr>
        <w:t xml:space="preserve"> </w:t>
      </w:r>
      <w:r>
        <w:rPr>
          <w:lang w:val="lt-LT" w:eastAsia="lt-LT"/>
        </w:rPr>
        <w:t>teikia</w:t>
      </w:r>
      <w:r>
        <w:rPr>
          <w:i/>
          <w:iCs/>
          <w:lang w:val="lt-LT" w:eastAsia="lt-LT"/>
        </w:rPr>
        <w:t xml:space="preserve"> </w:t>
      </w:r>
      <w:r>
        <w:rPr>
          <w:lang w:val="lt-LT" w:eastAsia="lt-LT"/>
        </w:rPr>
        <w:t>paslaugas,</w:t>
      </w:r>
      <w:r>
        <w:rPr>
          <w:i/>
          <w:iCs/>
          <w:lang w:val="lt-LT" w:eastAsia="lt-LT"/>
        </w:rPr>
        <w:t xml:space="preserve"> </w:t>
      </w:r>
      <w:r>
        <w:rPr>
          <w:lang w:val="lt-LT" w:eastAsia="lt-LT"/>
        </w:rPr>
        <w:t>susijusias</w:t>
      </w:r>
      <w:r>
        <w:rPr>
          <w:i/>
          <w:iCs/>
          <w:lang w:val="lt-LT" w:eastAsia="lt-LT"/>
        </w:rPr>
        <w:t xml:space="preserve"> </w:t>
      </w:r>
      <w:r>
        <w:rPr>
          <w:u w:val="single"/>
          <w:lang w:val="lt-LT" w:eastAsia="lt-LT"/>
        </w:rPr>
        <w:t>su</w:t>
      </w:r>
      <w:r>
        <w:rPr>
          <w:i/>
          <w:iCs/>
          <w:u w:val="single"/>
          <w:lang w:val="lt-LT" w:eastAsia="lt-LT"/>
        </w:rPr>
        <w:t xml:space="preserve"> </w:t>
      </w:r>
      <w:r>
        <w:rPr>
          <w:u w:val="single"/>
          <w:lang w:val="lt-LT" w:eastAsia="lt-LT"/>
        </w:rPr>
        <w:t>jų</w:t>
      </w:r>
      <w:r>
        <w:rPr>
          <w:i/>
          <w:iCs/>
          <w:u w:val="single"/>
          <w:lang w:val="lt-LT" w:eastAsia="lt-LT"/>
        </w:rPr>
        <w:t xml:space="preserve"> </w:t>
      </w:r>
      <w:r>
        <w:rPr>
          <w:u w:val="single"/>
          <w:lang w:val="lt-LT" w:eastAsia="lt-LT"/>
        </w:rPr>
        <w:t>pačių</w:t>
      </w:r>
      <w:r>
        <w:rPr>
          <w:i/>
          <w:iCs/>
          <w:u w:val="single"/>
          <w:lang w:val="lt-LT" w:eastAsia="lt-LT"/>
        </w:rPr>
        <w:t xml:space="preserve"> </w:t>
      </w:r>
      <w:r>
        <w:rPr>
          <w:u w:val="single"/>
          <w:lang w:val="lt-LT" w:eastAsia="lt-LT"/>
        </w:rPr>
        <w:t>vykdoma</w:t>
      </w:r>
      <w:r>
        <w:rPr>
          <w:i/>
          <w:iCs/>
          <w:u w:val="single"/>
          <w:lang w:val="lt-LT" w:eastAsia="lt-LT"/>
        </w:rPr>
        <w:t xml:space="preserve"> </w:t>
      </w:r>
      <w:bookmarkStart w:id="664" w:name="n1_8604"/>
      <w:r>
        <w:rPr>
          <w:u w:val="single"/>
          <w:lang w:val="lt-LT" w:eastAsia="lt-LT"/>
        </w:rPr>
        <w:fldChar w:fldCharType="begin"/>
      </w:r>
      <w:r>
        <w:rPr>
          <w:u w:val="single"/>
          <w:lang w:val="lt-LT" w:eastAsia="lt-LT"/>
        </w:rPr>
        <w:instrText xml:space="preserve"> HYPERLINK "http://www.infolex.lt/ta/12868" \o "Lietuvos Respublikos pelno mokesčio įstatymas" \t "_blank" </w:instrText>
      </w:r>
      <w:r>
        <w:rPr>
          <w:u w:val="single"/>
          <w:lang w:val="lt-LT" w:eastAsia="lt-LT"/>
        </w:rPr>
        <w:fldChar w:fldCharType="separate"/>
      </w:r>
      <w:r>
        <w:rPr>
          <w:u w:val="single"/>
          <w:lang w:val="lt-LT" w:eastAsia="lt-LT"/>
        </w:rPr>
        <w:t>PMĮ</w:t>
      </w:r>
      <w:r>
        <w:rPr>
          <w:u w:val="single"/>
          <w:lang w:val="lt-LT" w:eastAsia="lt-LT"/>
        </w:rPr>
        <w:fldChar w:fldCharType="end"/>
      </w:r>
      <w:bookmarkStart w:id="665" w:name="pn1_8604"/>
      <w:bookmarkEnd w:id="664"/>
      <w:bookmarkEnd w:id="665"/>
      <w:r>
        <w:rPr>
          <w:i/>
          <w:iCs/>
          <w:u w:val="single"/>
          <w:lang w:val="lt-LT" w:eastAsia="lt-LT"/>
        </w:rPr>
        <w:t xml:space="preserve"> </w:t>
      </w:r>
      <w:r>
        <w:rPr>
          <w:u w:val="single"/>
          <w:lang w:val="lt-LT" w:eastAsia="lt-LT"/>
        </w:rPr>
        <w:t>58</w:t>
      </w:r>
      <w:r>
        <w:rPr>
          <w:i/>
          <w:iCs/>
          <w:u w:val="single"/>
          <w:lang w:val="lt-LT" w:eastAsia="lt-LT"/>
        </w:rPr>
        <w:t xml:space="preserve"> </w:t>
      </w:r>
      <w:r>
        <w:rPr>
          <w:u w:val="single"/>
          <w:lang w:val="lt-LT" w:eastAsia="lt-LT"/>
        </w:rPr>
        <w:t>str.</w:t>
      </w:r>
      <w:r>
        <w:rPr>
          <w:i/>
          <w:iCs/>
          <w:u w:val="single"/>
          <w:lang w:val="lt-LT" w:eastAsia="lt-LT"/>
        </w:rPr>
        <w:t xml:space="preserve"> </w:t>
      </w:r>
      <w:r>
        <w:rPr>
          <w:u w:val="single"/>
          <w:lang w:val="lt-LT" w:eastAsia="lt-LT"/>
        </w:rPr>
        <w:t>16</w:t>
      </w:r>
      <w:r>
        <w:rPr>
          <w:i/>
          <w:iCs/>
          <w:u w:val="single"/>
          <w:lang w:val="lt-LT" w:eastAsia="lt-LT"/>
        </w:rPr>
        <w:t xml:space="preserve"> </w:t>
      </w:r>
      <w:r>
        <w:rPr>
          <w:u w:val="single"/>
          <w:lang w:val="lt-LT" w:eastAsia="lt-LT"/>
        </w:rPr>
        <w:t>d.</w:t>
      </w:r>
      <w:r>
        <w:rPr>
          <w:i/>
          <w:iCs/>
          <w:u w:val="single"/>
          <w:lang w:val="lt-LT" w:eastAsia="lt-LT"/>
        </w:rPr>
        <w:t xml:space="preserve"> </w:t>
      </w:r>
      <w:r>
        <w:rPr>
          <w:u w:val="single"/>
          <w:lang w:val="lt-LT" w:eastAsia="lt-LT"/>
        </w:rPr>
        <w:t>1</w:t>
      </w:r>
      <w:r>
        <w:rPr>
          <w:i/>
          <w:iCs/>
          <w:u w:val="single"/>
          <w:lang w:val="lt-LT" w:eastAsia="lt-LT"/>
        </w:rPr>
        <w:t xml:space="preserve"> </w:t>
      </w:r>
      <w:r>
        <w:rPr>
          <w:u w:val="single"/>
          <w:lang w:val="lt-LT" w:eastAsia="lt-LT"/>
        </w:rPr>
        <w:t>punkte</w:t>
      </w:r>
      <w:r>
        <w:rPr>
          <w:i/>
          <w:iCs/>
          <w:u w:val="single"/>
          <w:lang w:val="lt-LT" w:eastAsia="lt-LT"/>
        </w:rPr>
        <w:t xml:space="preserve"> </w:t>
      </w:r>
      <w:r>
        <w:rPr>
          <w:u w:val="single"/>
          <w:lang w:val="lt-LT" w:eastAsia="lt-LT"/>
        </w:rPr>
        <w:t>nurodyta</w:t>
      </w:r>
      <w:r>
        <w:rPr>
          <w:i/>
          <w:iCs/>
          <w:lang w:val="lt-LT" w:eastAsia="lt-LT"/>
        </w:rPr>
        <w:t xml:space="preserve"> </w:t>
      </w:r>
      <w:r>
        <w:rPr>
          <w:lang w:val="lt-LT" w:eastAsia="lt-LT"/>
        </w:rPr>
        <w:t>prekių</w:t>
      </w:r>
      <w:r>
        <w:rPr>
          <w:i/>
          <w:iCs/>
          <w:lang w:val="lt-LT" w:eastAsia="lt-LT"/>
        </w:rPr>
        <w:t xml:space="preserve"> </w:t>
      </w:r>
      <w:r>
        <w:rPr>
          <w:lang w:val="lt-LT" w:eastAsia="lt-LT"/>
        </w:rPr>
        <w:t>gamybos,</w:t>
      </w:r>
      <w:r>
        <w:rPr>
          <w:i/>
          <w:iCs/>
          <w:lang w:val="lt-LT" w:eastAsia="lt-LT"/>
        </w:rPr>
        <w:t xml:space="preserve"> </w:t>
      </w:r>
      <w:r>
        <w:rPr>
          <w:lang w:val="lt-LT" w:eastAsia="lt-LT"/>
        </w:rPr>
        <w:t>apdirbimo,</w:t>
      </w:r>
      <w:r>
        <w:rPr>
          <w:i/>
          <w:iCs/>
          <w:lang w:val="lt-LT" w:eastAsia="lt-LT"/>
        </w:rPr>
        <w:t xml:space="preserve"> </w:t>
      </w:r>
      <w:r>
        <w:rPr>
          <w:lang w:val="lt-LT" w:eastAsia="lt-LT"/>
        </w:rPr>
        <w:t>perdirbimo,</w:t>
      </w:r>
      <w:r>
        <w:rPr>
          <w:i/>
          <w:iCs/>
          <w:lang w:val="lt-LT" w:eastAsia="lt-LT"/>
        </w:rPr>
        <w:t xml:space="preserve"> </w:t>
      </w:r>
      <w:r>
        <w:rPr>
          <w:lang w:val="lt-LT" w:eastAsia="lt-LT"/>
        </w:rPr>
        <w:t>sandėliavimo</w:t>
      </w:r>
      <w:r>
        <w:rPr>
          <w:i/>
          <w:iCs/>
          <w:lang w:val="lt-LT" w:eastAsia="lt-LT"/>
        </w:rPr>
        <w:t xml:space="preserve"> </w:t>
      </w:r>
      <w:r>
        <w:rPr>
          <w:lang w:val="lt-LT" w:eastAsia="lt-LT"/>
        </w:rPr>
        <w:t>veiklos,</w:t>
      </w:r>
      <w:r>
        <w:rPr>
          <w:i/>
          <w:iCs/>
          <w:lang w:val="lt-LT" w:eastAsia="lt-LT"/>
        </w:rPr>
        <w:t xml:space="preserve"> </w:t>
      </w:r>
      <w:r>
        <w:rPr>
          <w:lang w:val="lt-LT" w:eastAsia="lt-LT"/>
        </w:rPr>
        <w:t>prekybos</w:t>
      </w:r>
      <w:r>
        <w:rPr>
          <w:i/>
          <w:iCs/>
          <w:lang w:val="lt-LT" w:eastAsia="lt-LT"/>
        </w:rPr>
        <w:t xml:space="preserve"> </w:t>
      </w:r>
      <w:r>
        <w:rPr>
          <w:lang w:val="lt-LT" w:eastAsia="lt-LT"/>
        </w:rPr>
        <w:t>didmeninės</w:t>
      </w:r>
      <w:r>
        <w:rPr>
          <w:i/>
          <w:iCs/>
          <w:lang w:val="lt-LT" w:eastAsia="lt-LT"/>
        </w:rPr>
        <w:t xml:space="preserve"> </w:t>
      </w:r>
      <w:r>
        <w:rPr>
          <w:lang w:val="lt-LT" w:eastAsia="lt-LT"/>
        </w:rPr>
        <w:t>prekybos</w:t>
      </w:r>
      <w:r>
        <w:rPr>
          <w:i/>
          <w:iCs/>
          <w:lang w:val="lt-LT" w:eastAsia="lt-LT"/>
        </w:rPr>
        <w:t xml:space="preserve"> </w:t>
      </w:r>
      <w:r>
        <w:rPr>
          <w:lang w:val="lt-LT" w:eastAsia="lt-LT"/>
        </w:rPr>
        <w:t>zonoje</w:t>
      </w:r>
      <w:r>
        <w:rPr>
          <w:i/>
          <w:iCs/>
          <w:lang w:val="lt-LT" w:eastAsia="lt-LT"/>
        </w:rPr>
        <w:t xml:space="preserve"> </w:t>
      </w:r>
      <w:r>
        <w:rPr>
          <w:lang w:val="lt-LT" w:eastAsia="lt-LT"/>
        </w:rPr>
        <w:t>sandėliuojamomis</w:t>
      </w:r>
      <w:r>
        <w:rPr>
          <w:i/>
          <w:iCs/>
          <w:lang w:val="lt-LT" w:eastAsia="lt-LT"/>
        </w:rPr>
        <w:t xml:space="preserve"> </w:t>
      </w:r>
      <w:r>
        <w:rPr>
          <w:lang w:val="lt-LT" w:eastAsia="lt-LT"/>
        </w:rPr>
        <w:t>prekėmis</w:t>
      </w:r>
      <w:r>
        <w:rPr>
          <w:i/>
          <w:iCs/>
          <w:lang w:val="lt-LT" w:eastAsia="lt-LT"/>
        </w:rPr>
        <w:t xml:space="preserve"> </w:t>
      </w:r>
      <w:r>
        <w:rPr>
          <w:lang w:val="lt-LT" w:eastAsia="lt-LT"/>
        </w:rPr>
        <w:t>veikla,</w:t>
      </w:r>
      <w:r>
        <w:rPr>
          <w:i/>
          <w:iCs/>
          <w:lang w:val="lt-LT" w:eastAsia="lt-LT"/>
        </w:rPr>
        <w:t xml:space="preserve"> </w:t>
      </w:r>
      <w:r>
        <w:rPr>
          <w:lang w:val="lt-LT" w:eastAsia="lt-LT"/>
        </w:rPr>
        <w:t>tiek</w:t>
      </w:r>
      <w:r>
        <w:rPr>
          <w:i/>
          <w:iCs/>
          <w:lang w:val="lt-LT" w:eastAsia="lt-LT"/>
        </w:rPr>
        <w:t xml:space="preserve"> </w:t>
      </w:r>
      <w:r>
        <w:rPr>
          <w:lang w:val="lt-LT" w:eastAsia="lt-LT"/>
        </w:rPr>
        <w:t>įmonėms,</w:t>
      </w:r>
      <w:r>
        <w:rPr>
          <w:i/>
          <w:iCs/>
          <w:lang w:val="lt-LT" w:eastAsia="lt-LT"/>
        </w:rPr>
        <w:t xml:space="preserve"> </w:t>
      </w:r>
      <w:r>
        <w:rPr>
          <w:lang w:val="lt-LT" w:eastAsia="lt-LT"/>
        </w:rPr>
        <w:t>kurios</w:t>
      </w:r>
      <w:r>
        <w:rPr>
          <w:i/>
          <w:iCs/>
          <w:lang w:val="lt-LT" w:eastAsia="lt-LT"/>
        </w:rPr>
        <w:t xml:space="preserve"> </w:t>
      </w:r>
      <w:r>
        <w:rPr>
          <w:u w:val="single"/>
          <w:lang w:val="lt-LT" w:eastAsia="lt-LT"/>
        </w:rPr>
        <w:t>teikia</w:t>
      </w:r>
      <w:r>
        <w:rPr>
          <w:i/>
          <w:iCs/>
          <w:u w:val="single"/>
          <w:lang w:val="lt-LT" w:eastAsia="lt-LT"/>
        </w:rPr>
        <w:t xml:space="preserve"> </w:t>
      </w:r>
      <w:r>
        <w:rPr>
          <w:u w:val="single"/>
          <w:lang w:val="lt-LT" w:eastAsia="lt-LT"/>
        </w:rPr>
        <w:t>paslaugas</w:t>
      </w:r>
      <w:r>
        <w:rPr>
          <w:i/>
          <w:iCs/>
          <w:u w:val="single"/>
          <w:lang w:val="lt-LT" w:eastAsia="lt-LT"/>
        </w:rPr>
        <w:t xml:space="preserve"> </w:t>
      </w:r>
      <w:r>
        <w:rPr>
          <w:u w:val="single"/>
          <w:lang w:val="lt-LT" w:eastAsia="lt-LT"/>
        </w:rPr>
        <w:t>kitoms</w:t>
      </w:r>
      <w:r>
        <w:rPr>
          <w:i/>
          <w:iCs/>
          <w:u w:val="single"/>
          <w:lang w:val="lt-LT" w:eastAsia="lt-LT"/>
        </w:rPr>
        <w:t xml:space="preserve"> </w:t>
      </w:r>
      <w:r>
        <w:rPr>
          <w:u w:val="single"/>
          <w:lang w:val="lt-LT" w:eastAsia="lt-LT"/>
        </w:rPr>
        <w:t>laisvojoje</w:t>
      </w:r>
      <w:r>
        <w:rPr>
          <w:i/>
          <w:iCs/>
          <w:u w:val="single"/>
          <w:lang w:val="lt-LT" w:eastAsia="lt-LT"/>
        </w:rPr>
        <w:t xml:space="preserve"> </w:t>
      </w:r>
      <w:r>
        <w:rPr>
          <w:u w:val="single"/>
          <w:lang w:val="lt-LT" w:eastAsia="lt-LT"/>
        </w:rPr>
        <w:t>ekonominėje</w:t>
      </w:r>
      <w:r>
        <w:rPr>
          <w:i/>
          <w:iCs/>
          <w:u w:val="single"/>
          <w:lang w:val="lt-LT" w:eastAsia="lt-LT"/>
        </w:rPr>
        <w:t xml:space="preserve"> </w:t>
      </w:r>
      <w:r>
        <w:rPr>
          <w:u w:val="single"/>
          <w:lang w:val="lt-LT" w:eastAsia="lt-LT"/>
        </w:rPr>
        <w:t>zonoje</w:t>
      </w:r>
      <w:r>
        <w:rPr>
          <w:i/>
          <w:iCs/>
          <w:u w:val="single"/>
          <w:lang w:val="lt-LT" w:eastAsia="lt-LT"/>
        </w:rPr>
        <w:t xml:space="preserve"> </w:t>
      </w:r>
      <w:r>
        <w:rPr>
          <w:u w:val="single"/>
          <w:lang w:val="lt-LT" w:eastAsia="lt-LT"/>
        </w:rPr>
        <w:t>įregistruotoms</w:t>
      </w:r>
      <w:r>
        <w:rPr>
          <w:i/>
          <w:iCs/>
          <w:u w:val="single"/>
          <w:lang w:val="lt-LT" w:eastAsia="lt-LT"/>
        </w:rPr>
        <w:t xml:space="preserve"> </w:t>
      </w:r>
      <w:r>
        <w:rPr>
          <w:u w:val="single"/>
          <w:lang w:val="lt-LT" w:eastAsia="lt-LT"/>
        </w:rPr>
        <w:t>įmonėms,</w:t>
      </w:r>
      <w:r>
        <w:rPr>
          <w:i/>
          <w:iCs/>
          <w:u w:val="single"/>
          <w:lang w:val="lt-LT" w:eastAsia="lt-LT"/>
        </w:rPr>
        <w:t xml:space="preserve"> </w:t>
      </w:r>
      <w:r>
        <w:rPr>
          <w:u w:val="single"/>
          <w:lang w:val="lt-LT" w:eastAsia="lt-LT"/>
        </w:rPr>
        <w:t>kurios</w:t>
      </w:r>
      <w:r>
        <w:rPr>
          <w:i/>
          <w:iCs/>
          <w:u w:val="single"/>
          <w:lang w:val="lt-LT" w:eastAsia="lt-LT"/>
        </w:rPr>
        <w:t xml:space="preserve"> </w:t>
      </w:r>
      <w:r>
        <w:rPr>
          <w:u w:val="single"/>
          <w:lang w:val="lt-LT" w:eastAsia="lt-LT"/>
        </w:rPr>
        <w:t>vykdo</w:t>
      </w:r>
      <w:r>
        <w:rPr>
          <w:i/>
          <w:iCs/>
          <w:u w:val="single"/>
          <w:lang w:val="lt-LT" w:eastAsia="lt-LT"/>
        </w:rPr>
        <w:t xml:space="preserve"> </w:t>
      </w:r>
      <w:bookmarkStart w:id="666" w:name="n1_8609"/>
      <w:r>
        <w:rPr>
          <w:u w:val="single"/>
          <w:lang w:val="lt-LT" w:eastAsia="lt-LT"/>
        </w:rPr>
        <w:fldChar w:fldCharType="begin"/>
      </w:r>
      <w:r>
        <w:rPr>
          <w:u w:val="single"/>
          <w:lang w:val="lt-LT" w:eastAsia="lt-LT"/>
        </w:rPr>
        <w:instrText xml:space="preserve"> HYPERLINK "http://www.infolex.lt/ta/12868" \o "Lietuvos Respublikos pelno mokesčio įstatymas" \t "_blank" </w:instrText>
      </w:r>
      <w:r>
        <w:rPr>
          <w:u w:val="single"/>
          <w:lang w:val="lt-LT" w:eastAsia="lt-LT"/>
        </w:rPr>
        <w:fldChar w:fldCharType="separate"/>
      </w:r>
      <w:r>
        <w:rPr>
          <w:u w:val="single"/>
          <w:lang w:val="lt-LT" w:eastAsia="lt-LT"/>
        </w:rPr>
        <w:t>PMĮ</w:t>
      </w:r>
      <w:r>
        <w:rPr>
          <w:u w:val="single"/>
          <w:lang w:val="lt-LT" w:eastAsia="lt-LT"/>
        </w:rPr>
        <w:fldChar w:fldCharType="end"/>
      </w:r>
      <w:bookmarkStart w:id="667" w:name="pn1_8609"/>
      <w:bookmarkEnd w:id="666"/>
      <w:bookmarkEnd w:id="667"/>
      <w:r>
        <w:rPr>
          <w:i/>
          <w:iCs/>
          <w:u w:val="single"/>
          <w:lang w:val="lt-LT" w:eastAsia="lt-LT"/>
        </w:rPr>
        <w:t xml:space="preserve"> </w:t>
      </w:r>
      <w:r>
        <w:rPr>
          <w:u w:val="single"/>
          <w:lang w:val="lt-LT" w:eastAsia="lt-LT"/>
        </w:rPr>
        <w:t>58</w:t>
      </w:r>
      <w:r>
        <w:rPr>
          <w:i/>
          <w:iCs/>
          <w:u w:val="single"/>
          <w:lang w:val="lt-LT" w:eastAsia="lt-LT"/>
        </w:rPr>
        <w:t xml:space="preserve"> </w:t>
      </w:r>
      <w:r>
        <w:rPr>
          <w:u w:val="single"/>
          <w:lang w:val="lt-LT" w:eastAsia="lt-LT"/>
        </w:rPr>
        <w:t>str.</w:t>
      </w:r>
      <w:r>
        <w:rPr>
          <w:i/>
          <w:iCs/>
          <w:u w:val="single"/>
          <w:lang w:val="lt-LT" w:eastAsia="lt-LT"/>
        </w:rPr>
        <w:t xml:space="preserve"> </w:t>
      </w:r>
      <w:r>
        <w:rPr>
          <w:u w:val="single"/>
          <w:lang w:val="lt-LT" w:eastAsia="lt-LT"/>
        </w:rPr>
        <w:t>16</w:t>
      </w:r>
      <w:r>
        <w:rPr>
          <w:i/>
          <w:iCs/>
          <w:u w:val="single"/>
          <w:lang w:val="lt-LT" w:eastAsia="lt-LT"/>
        </w:rPr>
        <w:t xml:space="preserve"> </w:t>
      </w:r>
      <w:r>
        <w:rPr>
          <w:u w:val="single"/>
          <w:lang w:val="lt-LT" w:eastAsia="lt-LT"/>
        </w:rPr>
        <w:t>d.</w:t>
      </w:r>
      <w:r>
        <w:rPr>
          <w:i/>
          <w:iCs/>
          <w:u w:val="single"/>
          <w:lang w:val="lt-LT" w:eastAsia="lt-LT"/>
        </w:rPr>
        <w:t xml:space="preserve"> </w:t>
      </w:r>
      <w:r>
        <w:rPr>
          <w:u w:val="single"/>
          <w:lang w:val="lt-LT" w:eastAsia="lt-LT"/>
        </w:rPr>
        <w:t>1</w:t>
      </w:r>
      <w:r>
        <w:rPr>
          <w:i/>
          <w:iCs/>
          <w:u w:val="single"/>
          <w:lang w:val="lt-LT" w:eastAsia="lt-LT"/>
        </w:rPr>
        <w:t xml:space="preserve"> </w:t>
      </w:r>
      <w:r>
        <w:rPr>
          <w:u w:val="single"/>
          <w:lang w:val="lt-LT" w:eastAsia="lt-LT"/>
        </w:rPr>
        <w:t>punkte</w:t>
      </w:r>
      <w:r>
        <w:rPr>
          <w:i/>
          <w:iCs/>
          <w:u w:val="single"/>
          <w:lang w:val="lt-LT" w:eastAsia="lt-LT"/>
        </w:rPr>
        <w:t xml:space="preserve"> </w:t>
      </w:r>
      <w:r>
        <w:rPr>
          <w:u w:val="single"/>
          <w:lang w:val="lt-LT" w:eastAsia="lt-LT"/>
        </w:rPr>
        <w:t>nurodytą</w:t>
      </w:r>
      <w:r>
        <w:rPr>
          <w:i/>
          <w:iCs/>
          <w:u w:val="single"/>
          <w:lang w:val="lt-LT" w:eastAsia="lt-LT"/>
        </w:rPr>
        <w:t xml:space="preserve"> </w:t>
      </w:r>
      <w:r>
        <w:rPr>
          <w:u w:val="single"/>
          <w:lang w:val="lt-LT" w:eastAsia="lt-LT"/>
        </w:rPr>
        <w:t>veiklą.</w:t>
      </w:r>
      <w:r>
        <w:rPr>
          <w:i/>
          <w:iCs/>
          <w:lang w:val="lt-LT" w:eastAsia="lt-LT"/>
        </w:rPr>
        <w:t xml:space="preserve"> </w:t>
      </w:r>
    </w:p>
    <w:p w14:paraId="32C7909E" w14:textId="77777777" w:rsidR="00093845" w:rsidRDefault="000D779E">
      <w:pPr>
        <w:ind w:firstLine="851"/>
        <w:jc w:val="both"/>
        <w:rPr>
          <w:lang w:val="lt-LT" w:eastAsia="lt-LT"/>
        </w:rPr>
      </w:pPr>
      <w:r>
        <w:rPr>
          <w:lang w:val="lt-LT" w:eastAsia="lt-LT"/>
        </w:rPr>
        <w:t xml:space="preserve">            </w:t>
      </w:r>
      <w:r>
        <w:rPr>
          <w:b/>
          <w:bCs/>
          <w:lang w:val="lt-LT" w:eastAsia="lt-LT"/>
        </w:rPr>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48F8F9B" w14:textId="77777777">
        <w:trPr>
          <w:trHeight w:val="1114"/>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2D03BC91" w14:textId="77777777" w:rsidR="00093845" w:rsidRDefault="000D779E">
            <w:pPr>
              <w:ind w:firstLine="851"/>
              <w:jc w:val="both"/>
              <w:rPr>
                <w:lang w:val="lt-LT" w:eastAsia="lt-LT"/>
              </w:rPr>
            </w:pPr>
            <w:r>
              <w:rPr>
                <w:lang w:val="lt-LT" w:eastAsia="lt-LT"/>
              </w:rPr>
              <w:t xml:space="preserve"> 1. LEZ įmonės veikla darbo drabužių nuoma, skalbimas, pristatymas klientams. Įmonė gali naudotis pelno mokesčio lengvata, jei ne mažiau kaip 75 procentų įmonės pajamų sudaro pajamos iš šių paslaugų, suteiktų kitoms Laisvojoje ekonominėje zonoje įregistruotoms įmonėms, kurios vykdo </w:t>
            </w:r>
            <w:bookmarkStart w:id="668" w:name="n1_861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69" w:name="pn1_8614"/>
            <w:bookmarkEnd w:id="668"/>
            <w:bookmarkEnd w:id="669"/>
            <w:r>
              <w:rPr>
                <w:lang w:val="lt-LT" w:eastAsia="lt-LT"/>
              </w:rPr>
              <w:t xml:space="preserve"> </w:t>
            </w:r>
            <w:bookmarkStart w:id="670" w:name="n1_861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71" w:name="pn1_8615"/>
            <w:bookmarkEnd w:id="670"/>
            <w:bookmarkEnd w:id="671"/>
            <w:r>
              <w:rPr>
                <w:lang w:val="lt-LT" w:eastAsia="lt-LT"/>
              </w:rPr>
              <w:t xml:space="preserve"> str. 16 d. 1 punkte nurodytą veiklą. </w:t>
            </w:r>
          </w:p>
          <w:p w14:paraId="0365BEE0" w14:textId="77777777" w:rsidR="00093845" w:rsidRDefault="000D779E">
            <w:pPr>
              <w:ind w:firstLine="851"/>
              <w:jc w:val="both"/>
              <w:rPr>
                <w:lang w:val="lt-LT" w:eastAsia="lt-LT"/>
              </w:rPr>
            </w:pPr>
            <w:r>
              <w:rPr>
                <w:lang w:val="lt-LT" w:eastAsia="lt-LT"/>
              </w:rPr>
              <w:t xml:space="preserve">2. LEZ įmonės veikla yra prekyba atsarginėmis detalėmis ir krovininio autotransporto aptarnavimas. Įmonė teikia paslaugas laisvojoje ekonominėje zonoje įregistruotoms įmonėms, kitiems Lietuvos bei užsienio pirkėjams bei transporto įmonėms. Įmonė gali naudotis pelno mokesčio lengvata, jei ne mažiau kaip 75 procentų įmonės pajamų sudaro pajamos iš šių paslaugų, suteiktų kitoms laisvojoje ekonominėje zonoje įregistruotoms įmonėms, kurios vykdo </w:t>
            </w:r>
            <w:bookmarkStart w:id="672" w:name="n1_861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73" w:name="pn1_8616"/>
            <w:bookmarkEnd w:id="672"/>
            <w:bookmarkEnd w:id="673"/>
            <w:r>
              <w:rPr>
                <w:lang w:val="lt-LT" w:eastAsia="lt-LT"/>
              </w:rPr>
              <w:t xml:space="preserve"> </w:t>
            </w:r>
            <w:bookmarkStart w:id="674" w:name="n1_8617"/>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75" w:name="pn1_8617"/>
            <w:bookmarkEnd w:id="674"/>
            <w:bookmarkEnd w:id="675"/>
            <w:r>
              <w:rPr>
                <w:lang w:val="lt-LT" w:eastAsia="lt-LT"/>
              </w:rPr>
              <w:t xml:space="preserve"> str. 16 d. 1 punkte nurodytą veiklą. </w:t>
            </w:r>
          </w:p>
          <w:p w14:paraId="715853B1" w14:textId="77777777" w:rsidR="00093845" w:rsidRDefault="000D779E">
            <w:pPr>
              <w:ind w:firstLine="868"/>
              <w:jc w:val="both"/>
              <w:rPr>
                <w:lang w:val="lt-LT" w:eastAsia="lt-LT"/>
              </w:rPr>
            </w:pPr>
            <w:r>
              <w:rPr>
                <w:lang w:val="lt-LT" w:eastAsia="lt-LT"/>
              </w:rPr>
              <w:t xml:space="preserve">3. LEZ įmonė teikia sandėlio (jo dalies) nuomos paslaugas kitoms laisvojoje ekonominėje zonoje įregistruotoms įmonėms, taip pat kitoms Lietuvos ir užsienio įmonėms. Ši įmonė teikia tik sandėlių nuomos paslaugas neprisiimdama atsakomybės už jai nuosavybės teise priklausančių sandėlių priežiūrą, teritorijos priežiūrą, neužtikrina palankių sąlygų sandėlių nuomos paslaugoms teikti, todėl jos paslaugos nelaikomos sandėliavimo paslaugomis. LEZ įmonė gali naudotis pelno mokesčio lengvata, jei ne mažiau kaip 75 procentus įmonės pajamų sudaro pajamos iš sandėlio (jo dalies) nuomos paslaugų, suteiktų kitoms LEZ įmonėms, kurios vykdo </w:t>
            </w:r>
            <w:bookmarkStart w:id="676" w:name="n1_861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77" w:name="pn1_8618"/>
            <w:bookmarkEnd w:id="676"/>
            <w:bookmarkEnd w:id="677"/>
            <w:r>
              <w:rPr>
                <w:lang w:val="lt-LT" w:eastAsia="lt-LT"/>
              </w:rPr>
              <w:t xml:space="preserve"> </w:t>
            </w:r>
            <w:bookmarkStart w:id="678" w:name="n1_861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79" w:name="pn1_8619"/>
            <w:bookmarkEnd w:id="678"/>
            <w:bookmarkEnd w:id="679"/>
            <w:r>
              <w:rPr>
                <w:lang w:val="lt-LT" w:eastAsia="lt-LT"/>
              </w:rPr>
              <w:t xml:space="preserve"> str. 16 d. 1 ir 2 punkte nurodytą veiklą, ir jei įmonė atitinka kitus </w:t>
            </w:r>
            <w:bookmarkStart w:id="680" w:name="n1_862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81" w:name="pn1_8620"/>
            <w:bookmarkEnd w:id="680"/>
            <w:bookmarkEnd w:id="681"/>
            <w:r>
              <w:rPr>
                <w:lang w:val="lt-LT" w:eastAsia="lt-LT"/>
              </w:rPr>
              <w:t xml:space="preserve"> </w:t>
            </w:r>
            <w:bookmarkStart w:id="682" w:name="n1_862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83" w:name="pn1_8621"/>
            <w:bookmarkEnd w:id="682"/>
            <w:bookmarkEnd w:id="683"/>
            <w:r>
              <w:rPr>
                <w:lang w:val="lt-LT" w:eastAsia="lt-LT"/>
              </w:rPr>
              <w:t xml:space="preserve"> str. 16 d. 1 punkte įtvirtintus reikalavimus mokesčio lengvatai taikyti.</w:t>
            </w:r>
          </w:p>
        </w:tc>
      </w:tr>
    </w:tbl>
    <w:p w14:paraId="72851322" w14:textId="77777777" w:rsidR="00093845" w:rsidRDefault="000D779E">
      <w:pPr>
        <w:ind w:firstLine="851"/>
        <w:jc w:val="both"/>
        <w:rPr>
          <w:lang w:val="lt-LT" w:eastAsia="lt-LT"/>
        </w:rPr>
      </w:pPr>
      <w:r>
        <w:rPr>
          <w:lang w:val="lt-LT" w:eastAsia="lt-LT"/>
        </w:rPr>
        <w:t> 4. Auditoriaus</w:t>
      </w:r>
      <w:r>
        <w:rPr>
          <w:i/>
          <w:iCs/>
          <w:lang w:val="lt-LT" w:eastAsia="lt-LT"/>
        </w:rPr>
        <w:t xml:space="preserve"> </w:t>
      </w:r>
      <w:r>
        <w:rPr>
          <w:lang w:val="lt-LT" w:eastAsia="lt-LT"/>
        </w:rPr>
        <w:t>išvadoje</w:t>
      </w:r>
      <w:r>
        <w:rPr>
          <w:i/>
          <w:iCs/>
          <w:lang w:val="lt-LT" w:eastAsia="lt-LT"/>
        </w:rPr>
        <w:t xml:space="preserve"> </w:t>
      </w:r>
      <w:r>
        <w:rPr>
          <w:lang w:val="lt-LT" w:eastAsia="lt-LT"/>
        </w:rPr>
        <w:t>nustatytas</w:t>
      </w:r>
      <w:r>
        <w:rPr>
          <w:i/>
          <w:iCs/>
          <w:lang w:val="lt-LT" w:eastAsia="lt-LT"/>
        </w:rPr>
        <w:t xml:space="preserve"> </w:t>
      </w:r>
      <w:r>
        <w:rPr>
          <w:lang w:val="lt-LT" w:eastAsia="lt-LT"/>
        </w:rPr>
        <w:t>laisvosios</w:t>
      </w:r>
      <w:r>
        <w:rPr>
          <w:i/>
          <w:iCs/>
          <w:lang w:val="lt-LT" w:eastAsia="lt-LT"/>
        </w:rPr>
        <w:t xml:space="preserve"> </w:t>
      </w:r>
      <w:r>
        <w:rPr>
          <w:lang w:val="lt-LT" w:eastAsia="lt-LT"/>
        </w:rPr>
        <w:t>ekonominės</w:t>
      </w:r>
      <w:r>
        <w:rPr>
          <w:i/>
          <w:iCs/>
          <w:lang w:val="lt-LT" w:eastAsia="lt-LT"/>
        </w:rPr>
        <w:t xml:space="preserve"> </w:t>
      </w:r>
      <w:r>
        <w:rPr>
          <w:lang w:val="lt-LT" w:eastAsia="lt-LT"/>
        </w:rPr>
        <w:t>zonos</w:t>
      </w:r>
      <w:r>
        <w:rPr>
          <w:i/>
          <w:iCs/>
          <w:lang w:val="lt-LT" w:eastAsia="lt-LT"/>
        </w:rPr>
        <w:t xml:space="preserve"> </w:t>
      </w:r>
      <w:r>
        <w:rPr>
          <w:lang w:val="lt-LT" w:eastAsia="lt-LT"/>
        </w:rPr>
        <w:t>įmonės</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dydis</w:t>
      </w:r>
      <w:r>
        <w:rPr>
          <w:i/>
          <w:iCs/>
          <w:lang w:val="lt-LT" w:eastAsia="lt-LT"/>
        </w:rPr>
        <w:t xml:space="preserve"> </w:t>
      </w:r>
      <w:r>
        <w:rPr>
          <w:lang w:val="lt-LT" w:eastAsia="lt-LT"/>
        </w:rPr>
        <w:t>turėtų</w:t>
      </w:r>
      <w:r>
        <w:rPr>
          <w:i/>
          <w:iCs/>
          <w:lang w:val="lt-LT" w:eastAsia="lt-LT"/>
        </w:rPr>
        <w:t xml:space="preserve"> </w:t>
      </w:r>
      <w:r>
        <w:rPr>
          <w:lang w:val="lt-LT" w:eastAsia="lt-LT"/>
        </w:rPr>
        <w:t>būti</w:t>
      </w:r>
      <w:r>
        <w:rPr>
          <w:i/>
          <w:iCs/>
          <w:lang w:val="lt-LT" w:eastAsia="lt-LT"/>
        </w:rPr>
        <w:t xml:space="preserve"> </w:t>
      </w:r>
      <w:r>
        <w:rPr>
          <w:lang w:val="lt-LT" w:eastAsia="lt-LT"/>
        </w:rPr>
        <w:t>įrašomas</w:t>
      </w:r>
      <w:r>
        <w:rPr>
          <w:i/>
          <w:iCs/>
          <w:lang w:val="lt-LT" w:eastAsia="lt-LT"/>
        </w:rPr>
        <w:t xml:space="preserve"> </w:t>
      </w:r>
      <w:r>
        <w:rPr>
          <w:lang w:val="lt-LT" w:eastAsia="lt-LT"/>
        </w:rPr>
        <w:t>į</w:t>
      </w:r>
      <w:r>
        <w:rPr>
          <w:i/>
          <w:iCs/>
          <w:lang w:val="lt-LT" w:eastAsia="lt-LT"/>
        </w:rPr>
        <w:t xml:space="preserve"> </w:t>
      </w:r>
      <w:r>
        <w:rPr>
          <w:lang w:val="lt-LT" w:eastAsia="lt-LT"/>
        </w:rPr>
        <w:t>metinių finansinių ataskaitų</w:t>
      </w:r>
      <w:r>
        <w:rPr>
          <w:i/>
          <w:iCs/>
          <w:lang w:val="lt-LT" w:eastAsia="lt-LT"/>
        </w:rPr>
        <w:t xml:space="preserve"> </w:t>
      </w:r>
      <w:r>
        <w:rPr>
          <w:lang w:val="lt-LT" w:eastAsia="lt-LT"/>
        </w:rPr>
        <w:t>aiškinamąjį</w:t>
      </w:r>
      <w:r>
        <w:rPr>
          <w:i/>
          <w:iCs/>
          <w:lang w:val="lt-LT" w:eastAsia="lt-LT"/>
        </w:rPr>
        <w:t xml:space="preserve"> </w:t>
      </w:r>
      <w:r>
        <w:rPr>
          <w:lang w:val="lt-LT" w:eastAsia="lt-LT"/>
        </w:rPr>
        <w:t>raštą</w:t>
      </w:r>
      <w:r>
        <w:rPr>
          <w:i/>
          <w:iCs/>
          <w:lang w:val="lt-LT" w:eastAsia="lt-LT"/>
        </w:rPr>
        <w:t xml:space="preserve"> </w:t>
      </w:r>
      <w:r>
        <w:rPr>
          <w:lang w:val="lt-LT" w:eastAsia="lt-LT"/>
        </w:rPr>
        <w:t>(kaip</w:t>
      </w:r>
      <w:r>
        <w:rPr>
          <w:i/>
          <w:iCs/>
          <w:lang w:val="lt-LT" w:eastAsia="lt-LT"/>
        </w:rPr>
        <w:t xml:space="preserve"> </w:t>
      </w:r>
      <w:r>
        <w:rPr>
          <w:lang w:val="lt-LT" w:eastAsia="lt-LT"/>
        </w:rPr>
        <w:t>reikšminga</w:t>
      </w:r>
      <w:r>
        <w:rPr>
          <w:i/>
          <w:iCs/>
          <w:lang w:val="lt-LT" w:eastAsia="lt-LT"/>
        </w:rPr>
        <w:t xml:space="preserve"> </w:t>
      </w:r>
      <w:r>
        <w:rPr>
          <w:lang w:val="lt-LT" w:eastAsia="lt-LT"/>
        </w:rPr>
        <w:t>informacija,</w:t>
      </w:r>
      <w:r>
        <w:rPr>
          <w:i/>
          <w:iCs/>
          <w:lang w:val="lt-LT" w:eastAsia="lt-LT"/>
        </w:rPr>
        <w:t xml:space="preserve"> </w:t>
      </w:r>
      <w:r>
        <w:rPr>
          <w:lang w:val="lt-LT" w:eastAsia="lt-LT"/>
        </w:rPr>
        <w:t>nepateikta</w:t>
      </w:r>
      <w:r>
        <w:rPr>
          <w:i/>
          <w:iCs/>
          <w:lang w:val="lt-LT" w:eastAsia="lt-LT"/>
        </w:rPr>
        <w:t xml:space="preserve"> </w:t>
      </w:r>
      <w:r>
        <w:rPr>
          <w:lang w:val="lt-LT" w:eastAsia="lt-LT"/>
        </w:rPr>
        <w:t>finansinėse</w:t>
      </w:r>
      <w:r>
        <w:rPr>
          <w:i/>
          <w:iCs/>
          <w:lang w:val="lt-LT" w:eastAsia="lt-LT"/>
        </w:rPr>
        <w:t xml:space="preserve"> </w:t>
      </w:r>
      <w:r>
        <w:rPr>
          <w:lang w:val="lt-LT" w:eastAsia="lt-LT"/>
        </w:rPr>
        <w:t>ataskaitose).</w:t>
      </w:r>
      <w:r>
        <w:rPr>
          <w:i/>
          <w:iCs/>
          <w:lang w:val="lt-LT" w:eastAsia="lt-LT"/>
        </w:rPr>
        <w:t xml:space="preserve"> </w:t>
      </w:r>
    </w:p>
    <w:p w14:paraId="763BF9C8" w14:textId="77777777" w:rsidR="00093845" w:rsidRDefault="000D779E">
      <w:pPr>
        <w:ind w:firstLine="851"/>
        <w:jc w:val="both"/>
        <w:rPr>
          <w:lang w:val="lt-LT" w:eastAsia="lt-LT"/>
        </w:rPr>
      </w:pPr>
      <w:r>
        <w:rPr>
          <w:lang w:val="lt-LT" w:eastAsia="lt-LT"/>
        </w:rPr>
        <w:t xml:space="preserve"> 5.</w:t>
      </w:r>
      <w:r>
        <w:rPr>
          <w:i/>
          <w:iCs/>
          <w:lang w:val="lt-LT" w:eastAsia="lt-LT"/>
        </w:rPr>
        <w:t xml:space="preserve"> </w:t>
      </w:r>
      <w:bookmarkStart w:id="684" w:name="n1_862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85" w:name="pn1_8622"/>
      <w:bookmarkEnd w:id="684"/>
      <w:bookmarkEnd w:id="685"/>
      <w:r>
        <w:rPr>
          <w:lang w:val="lt-LT" w:eastAsia="lt-LT"/>
        </w:rPr>
        <w:t xml:space="preserve"> </w:t>
      </w:r>
      <w:bookmarkStart w:id="686" w:name="n1_862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87" w:name="pn1_8623"/>
      <w:bookmarkEnd w:id="686"/>
      <w:bookmarkEnd w:id="687"/>
      <w:r>
        <w:rPr>
          <w:lang w:val="lt-LT" w:eastAsia="lt-LT"/>
        </w:rPr>
        <w:t xml:space="preserve"> str. 16 d. 1 punkto lengvata</w:t>
      </w:r>
      <w:r>
        <w:rPr>
          <w:i/>
          <w:iCs/>
          <w:lang w:val="lt-LT" w:eastAsia="lt-LT"/>
        </w:rPr>
        <w:t xml:space="preserve"> </w:t>
      </w:r>
      <w:r>
        <w:rPr>
          <w:iCs/>
          <w:lang w:val="lt-LT" w:eastAsia="lt-LT"/>
        </w:rPr>
        <w:t>taikoma mokestiniais laikotarpiais</w:t>
      </w:r>
      <w:r>
        <w:rPr>
          <w:lang w:val="lt-LT" w:eastAsia="lt-LT"/>
        </w:rPr>
        <w:t xml:space="preserve">, </w:t>
      </w:r>
      <w:r>
        <w:rPr>
          <w:iCs/>
          <w:lang w:val="lt-LT" w:eastAsia="lt-LT"/>
        </w:rPr>
        <w:t>kuriais</w:t>
      </w:r>
      <w:r>
        <w:rPr>
          <w:i/>
          <w:iCs/>
          <w:lang w:val="lt-LT" w:eastAsia="lt-LT"/>
        </w:rPr>
        <w:t xml:space="preserve"> </w:t>
      </w:r>
      <w:r>
        <w:rPr>
          <w:lang w:val="lt-LT" w:eastAsia="lt-LT"/>
        </w:rPr>
        <w:t>yra</w:t>
      </w:r>
      <w:r>
        <w:rPr>
          <w:i/>
          <w:iCs/>
          <w:lang w:val="lt-LT" w:eastAsia="lt-LT"/>
        </w:rPr>
        <w:t xml:space="preserve"> </w:t>
      </w:r>
      <w:r>
        <w:rPr>
          <w:lang w:val="lt-LT" w:eastAsia="lt-LT"/>
        </w:rPr>
        <w:t>įvykdytos</w:t>
      </w:r>
      <w:r>
        <w:rPr>
          <w:i/>
          <w:iCs/>
          <w:lang w:val="lt-LT" w:eastAsia="lt-LT"/>
        </w:rPr>
        <w:t xml:space="preserve"> </w:t>
      </w:r>
      <w:r>
        <w:rPr>
          <w:lang w:val="lt-LT" w:eastAsia="lt-LT"/>
        </w:rPr>
        <w:t>visos</w:t>
      </w:r>
      <w:r>
        <w:rPr>
          <w:i/>
          <w:iCs/>
          <w:lang w:val="lt-LT" w:eastAsia="lt-LT"/>
        </w:rPr>
        <w:t xml:space="preserve"> </w:t>
      </w:r>
      <w:r>
        <w:rPr>
          <w:lang w:val="lt-LT" w:eastAsia="lt-LT"/>
        </w:rPr>
        <w:t>3</w:t>
      </w:r>
      <w:r>
        <w:rPr>
          <w:i/>
          <w:iCs/>
          <w:lang w:val="lt-LT" w:eastAsia="lt-LT"/>
        </w:rPr>
        <w:t xml:space="preserve"> </w:t>
      </w:r>
      <w:r>
        <w:rPr>
          <w:lang w:val="lt-LT" w:eastAsia="lt-LT"/>
        </w:rPr>
        <w:t>aukščiau</w:t>
      </w:r>
      <w:r>
        <w:rPr>
          <w:i/>
          <w:iCs/>
          <w:lang w:val="lt-LT" w:eastAsia="lt-LT"/>
        </w:rPr>
        <w:t xml:space="preserve"> </w:t>
      </w:r>
      <w:r>
        <w:rPr>
          <w:lang w:val="lt-LT" w:eastAsia="lt-LT"/>
        </w:rPr>
        <w:t>minėtos</w:t>
      </w:r>
      <w:r>
        <w:rPr>
          <w:i/>
          <w:iCs/>
          <w:lang w:val="lt-LT" w:eastAsia="lt-LT"/>
        </w:rPr>
        <w:t xml:space="preserve"> </w:t>
      </w:r>
      <w:r>
        <w:rPr>
          <w:lang w:val="lt-LT" w:eastAsia="lt-LT"/>
        </w:rPr>
        <w:t>sąlygos,</w:t>
      </w:r>
      <w:r>
        <w:rPr>
          <w:i/>
          <w:iCs/>
          <w:lang w:val="lt-LT" w:eastAsia="lt-LT"/>
        </w:rPr>
        <w:t xml:space="preserve"> </w:t>
      </w:r>
      <w:r>
        <w:rPr>
          <w:lang w:val="lt-LT" w:eastAsia="lt-LT"/>
        </w:rPr>
        <w:t>t.</w:t>
      </w:r>
      <w:r>
        <w:rPr>
          <w:i/>
          <w:iCs/>
          <w:lang w:val="lt-LT" w:eastAsia="lt-LT"/>
        </w:rPr>
        <w:t xml:space="preserve"> </w:t>
      </w:r>
      <w:r>
        <w:rPr>
          <w:lang w:val="lt-LT" w:eastAsia="lt-LT"/>
        </w:rPr>
        <w:t>y.</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į</w:t>
      </w:r>
      <w:r>
        <w:rPr>
          <w:i/>
          <w:iCs/>
          <w:lang w:val="lt-LT" w:eastAsia="lt-LT"/>
        </w:rPr>
        <w:t xml:space="preserve"> </w:t>
      </w:r>
      <w:r>
        <w:rPr>
          <w:lang w:val="lt-LT" w:eastAsia="lt-LT"/>
        </w:rPr>
        <w:t>įmonę</w:t>
      </w:r>
      <w:r>
        <w:rPr>
          <w:i/>
          <w:iCs/>
          <w:lang w:val="lt-LT" w:eastAsia="lt-LT"/>
        </w:rPr>
        <w:t xml:space="preserve"> </w:t>
      </w:r>
      <w:r>
        <w:rPr>
          <w:lang w:val="lt-LT" w:eastAsia="lt-LT"/>
        </w:rPr>
        <w:t>pasiekia</w:t>
      </w:r>
      <w:r>
        <w:rPr>
          <w:i/>
          <w:iCs/>
          <w:lang w:val="lt-LT" w:eastAsia="lt-LT"/>
        </w:rPr>
        <w:t xml:space="preserve"> </w:t>
      </w:r>
      <w:r>
        <w:rPr>
          <w:lang w:val="lt-LT" w:eastAsia="lt-LT"/>
        </w:rPr>
        <w:t>ne</w:t>
      </w:r>
      <w:r>
        <w:rPr>
          <w:i/>
          <w:iCs/>
          <w:lang w:val="lt-LT" w:eastAsia="lt-LT"/>
        </w:rPr>
        <w:t xml:space="preserve"> </w:t>
      </w:r>
      <w:r>
        <w:rPr>
          <w:lang w:val="lt-LT" w:eastAsia="lt-LT"/>
        </w:rPr>
        <w:t>mažesnę</w:t>
      </w:r>
      <w:r>
        <w:rPr>
          <w:i/>
          <w:iCs/>
          <w:lang w:val="lt-LT" w:eastAsia="lt-LT"/>
        </w:rPr>
        <w:t xml:space="preserve"> </w:t>
      </w:r>
      <w:r>
        <w:rPr>
          <w:lang w:val="lt-LT" w:eastAsia="lt-LT"/>
        </w:rPr>
        <w:t>kaip</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sumą,</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šios</w:t>
      </w:r>
      <w:r>
        <w:rPr>
          <w:i/>
          <w:iCs/>
          <w:lang w:val="lt-LT" w:eastAsia="lt-LT"/>
        </w:rPr>
        <w:t xml:space="preserve"> </w:t>
      </w:r>
      <w:r>
        <w:rPr>
          <w:lang w:val="lt-LT" w:eastAsia="lt-LT"/>
        </w:rPr>
        <w:t>įmonės</w:t>
      </w:r>
      <w:r>
        <w:rPr>
          <w:i/>
          <w:iCs/>
          <w:lang w:val="lt-LT" w:eastAsia="lt-LT"/>
        </w:rPr>
        <w:t xml:space="preserve"> </w:t>
      </w:r>
      <w:r>
        <w:rPr>
          <w:lang w:val="lt-LT" w:eastAsia="lt-LT"/>
        </w:rPr>
        <w:t>atitinkamo</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pajamų</w:t>
      </w:r>
      <w:r>
        <w:rPr>
          <w:i/>
          <w:iCs/>
          <w:lang w:val="lt-LT" w:eastAsia="lt-LT"/>
        </w:rPr>
        <w:t xml:space="preserve"> </w:t>
      </w:r>
      <w:r>
        <w:rPr>
          <w:lang w:val="lt-LT" w:eastAsia="lt-LT"/>
        </w:rPr>
        <w:t>sudaro</w:t>
      </w:r>
      <w:r>
        <w:rPr>
          <w:i/>
          <w:iCs/>
          <w:lang w:val="lt-LT" w:eastAsia="lt-LT"/>
        </w:rPr>
        <w:t xml:space="preserve"> </w:t>
      </w:r>
      <w:r>
        <w:rPr>
          <w:lang w:val="lt-LT" w:eastAsia="lt-LT"/>
        </w:rPr>
        <w:t>pajamos</w:t>
      </w:r>
      <w:r>
        <w:rPr>
          <w:i/>
          <w:iCs/>
          <w:lang w:val="lt-LT" w:eastAsia="lt-LT"/>
        </w:rPr>
        <w:t xml:space="preserve"> </w:t>
      </w:r>
      <w:r>
        <w:rPr>
          <w:lang w:val="lt-LT" w:eastAsia="lt-LT"/>
        </w:rPr>
        <w:t>iš</w:t>
      </w:r>
      <w:r>
        <w:rPr>
          <w:i/>
          <w:iCs/>
          <w:lang w:val="lt-LT" w:eastAsia="lt-LT"/>
        </w:rPr>
        <w:t xml:space="preserve"> </w:t>
      </w:r>
      <w:r>
        <w:rPr>
          <w:lang w:val="lt-LT" w:eastAsia="lt-LT"/>
        </w:rPr>
        <w:t>nustatytos</w:t>
      </w:r>
      <w:r>
        <w:rPr>
          <w:i/>
          <w:iCs/>
          <w:lang w:val="lt-LT" w:eastAsia="lt-LT"/>
        </w:rPr>
        <w:t xml:space="preserve"> </w:t>
      </w:r>
      <w:r>
        <w:rPr>
          <w:lang w:val="lt-LT" w:eastAsia="lt-LT"/>
        </w:rPr>
        <w:t>zonoje</w:t>
      </w:r>
      <w:r>
        <w:rPr>
          <w:i/>
          <w:iCs/>
          <w:lang w:val="lt-LT" w:eastAsia="lt-LT"/>
        </w:rPr>
        <w:t xml:space="preserve"> </w:t>
      </w:r>
      <w:r>
        <w:rPr>
          <w:lang w:val="lt-LT" w:eastAsia="lt-LT"/>
        </w:rPr>
        <w:t>vykdomos</w:t>
      </w:r>
      <w:r>
        <w:rPr>
          <w:i/>
          <w:iCs/>
          <w:lang w:val="lt-LT" w:eastAsia="lt-LT"/>
        </w:rPr>
        <w:t xml:space="preserve"> </w:t>
      </w:r>
      <w:r>
        <w:rPr>
          <w:lang w:val="lt-LT" w:eastAsia="lt-LT"/>
        </w:rPr>
        <w:t>veiklos</w:t>
      </w:r>
      <w:r>
        <w:rPr>
          <w:i/>
          <w:iCs/>
          <w:lang w:val="lt-LT" w:eastAsia="lt-LT"/>
        </w:rPr>
        <w:t xml:space="preserve"> </w:t>
      </w:r>
      <w:r>
        <w:rPr>
          <w:lang w:val="lt-LT" w:eastAsia="lt-LT"/>
        </w:rPr>
        <w:t>ir</w:t>
      </w:r>
      <w:r>
        <w:rPr>
          <w:i/>
          <w:iCs/>
          <w:lang w:val="lt-LT" w:eastAsia="lt-LT"/>
        </w:rPr>
        <w:t xml:space="preserve"> </w:t>
      </w:r>
      <w:r>
        <w:rPr>
          <w:lang w:val="lt-LT" w:eastAsia="lt-LT"/>
        </w:rPr>
        <w:t>įmonė</w:t>
      </w:r>
      <w:r>
        <w:rPr>
          <w:i/>
          <w:iCs/>
          <w:lang w:val="lt-LT" w:eastAsia="lt-LT"/>
        </w:rPr>
        <w:t xml:space="preserve"> </w:t>
      </w:r>
      <w:r>
        <w:rPr>
          <w:lang w:val="lt-LT" w:eastAsia="lt-LT"/>
        </w:rPr>
        <w:t>turi</w:t>
      </w:r>
      <w:r>
        <w:rPr>
          <w:i/>
          <w:iCs/>
          <w:lang w:val="lt-LT" w:eastAsia="lt-LT"/>
        </w:rPr>
        <w:t xml:space="preserve"> </w:t>
      </w:r>
      <w:r>
        <w:rPr>
          <w:lang w:val="lt-LT" w:eastAsia="lt-LT"/>
        </w:rPr>
        <w:t>auditoriaus</w:t>
      </w:r>
      <w:r>
        <w:rPr>
          <w:i/>
          <w:iCs/>
          <w:lang w:val="lt-LT" w:eastAsia="lt-LT"/>
        </w:rPr>
        <w:t xml:space="preserve"> </w:t>
      </w:r>
      <w:r>
        <w:rPr>
          <w:lang w:val="lt-LT" w:eastAsia="lt-LT"/>
        </w:rPr>
        <w:t>išvadą,</w:t>
      </w:r>
      <w:r>
        <w:rPr>
          <w:i/>
          <w:iCs/>
          <w:lang w:val="lt-LT" w:eastAsia="lt-LT"/>
        </w:rPr>
        <w:t xml:space="preserve"> </w:t>
      </w:r>
      <w:r>
        <w:rPr>
          <w:lang w:val="lt-LT" w:eastAsia="lt-LT"/>
        </w:rPr>
        <w:t>patvirtinančią</w:t>
      </w:r>
      <w:r>
        <w:rPr>
          <w:i/>
          <w:iCs/>
          <w:lang w:val="lt-LT" w:eastAsia="lt-LT"/>
        </w:rPr>
        <w:t xml:space="preserve"> </w:t>
      </w:r>
      <w:r>
        <w:rPr>
          <w:lang w:val="lt-LT" w:eastAsia="lt-LT"/>
        </w:rPr>
        <w:t>reikalaujamą</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dydį. LEZ</w:t>
      </w:r>
      <w:r>
        <w:rPr>
          <w:i/>
          <w:iCs/>
          <w:lang w:val="lt-LT" w:eastAsia="lt-LT"/>
        </w:rPr>
        <w:t xml:space="preserve"> </w:t>
      </w:r>
      <w:r>
        <w:rPr>
          <w:lang w:val="lt-LT" w:eastAsia="lt-LT"/>
        </w:rPr>
        <w:t>įmonė,</w:t>
      </w:r>
      <w:r>
        <w:rPr>
          <w:i/>
          <w:iCs/>
          <w:lang w:val="lt-LT" w:eastAsia="lt-LT"/>
        </w:rPr>
        <w:t xml:space="preserve"> </w:t>
      </w:r>
      <w:r>
        <w:rPr>
          <w:lang w:val="lt-LT" w:eastAsia="lt-LT"/>
        </w:rPr>
        <w:t>kuriai</w:t>
      </w:r>
      <w:r>
        <w:rPr>
          <w:i/>
          <w:iCs/>
          <w:lang w:val="lt-LT" w:eastAsia="lt-LT"/>
        </w:rPr>
        <w:t xml:space="preserve"> </w:t>
      </w:r>
      <w:r>
        <w:rPr>
          <w:lang w:val="lt-LT" w:eastAsia="lt-LT"/>
        </w:rPr>
        <w:t>taikoma</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p>
    <w:p w14:paraId="75EA665D" w14:textId="77777777" w:rsidR="00093845" w:rsidRDefault="000D779E">
      <w:pPr>
        <w:ind w:firstLine="851"/>
        <w:jc w:val="both"/>
        <w:rPr>
          <w:lang w:val="lt-LT" w:eastAsia="lt-LT"/>
        </w:rPr>
      </w:pPr>
      <w:r>
        <w:rPr>
          <w:lang w:val="lt-LT" w:eastAsia="lt-LT"/>
        </w:rPr>
        <w:lastRenderedPageBreak/>
        <w:t>–</w:t>
      </w:r>
      <w:r>
        <w:rPr>
          <w:i/>
          <w:iCs/>
          <w:lang w:val="lt-LT" w:eastAsia="lt-LT"/>
        </w:rPr>
        <w:t xml:space="preserve"> </w:t>
      </w:r>
      <w:r>
        <w:rPr>
          <w:lang w:val="lt-LT" w:eastAsia="lt-LT"/>
        </w:rPr>
        <w:t>6</w:t>
      </w:r>
      <w:r>
        <w:rPr>
          <w:i/>
          <w:iCs/>
          <w:lang w:val="lt-LT" w:eastAsia="lt-LT"/>
        </w:rPr>
        <w:t xml:space="preserve"> </w:t>
      </w:r>
      <w:r>
        <w:rPr>
          <w:lang w:val="lt-LT" w:eastAsia="lt-LT"/>
        </w:rPr>
        <w:t>mokestinius</w:t>
      </w:r>
      <w:r>
        <w:rPr>
          <w:i/>
          <w:iCs/>
          <w:lang w:val="lt-LT" w:eastAsia="lt-LT"/>
        </w:rPr>
        <w:t xml:space="preserve"> </w:t>
      </w:r>
      <w:r>
        <w:rPr>
          <w:lang w:val="lt-LT" w:eastAsia="lt-LT"/>
        </w:rPr>
        <w:t>laikotarpius,</w:t>
      </w:r>
      <w:r>
        <w:rPr>
          <w:i/>
          <w:iCs/>
          <w:lang w:val="lt-LT" w:eastAsia="lt-LT"/>
        </w:rPr>
        <w:t xml:space="preserve"> </w:t>
      </w:r>
      <w:r>
        <w:rPr>
          <w:lang w:val="lt-LT" w:eastAsia="lt-LT"/>
        </w:rPr>
        <w:t>pradedant</w:t>
      </w:r>
      <w:r>
        <w:rPr>
          <w:i/>
          <w:iCs/>
          <w:lang w:val="lt-LT" w:eastAsia="lt-LT"/>
        </w:rPr>
        <w:t xml:space="preserve"> </w:t>
      </w:r>
      <w:r>
        <w:rPr>
          <w:lang w:val="lt-LT" w:eastAsia="lt-LT"/>
        </w:rPr>
        <w:t>tuo</w:t>
      </w:r>
      <w:r>
        <w:rPr>
          <w:i/>
          <w:iCs/>
          <w:lang w:val="lt-LT" w:eastAsia="lt-LT"/>
        </w:rPr>
        <w:t xml:space="preserve"> </w:t>
      </w:r>
      <w:r>
        <w:rPr>
          <w:lang w:val="lt-LT" w:eastAsia="lt-LT"/>
        </w:rPr>
        <w:t>mokestiniu</w:t>
      </w:r>
      <w:r>
        <w:rPr>
          <w:i/>
          <w:iCs/>
          <w:lang w:val="lt-LT" w:eastAsia="lt-LT"/>
        </w:rPr>
        <w:t xml:space="preserve"> </w:t>
      </w:r>
      <w:r>
        <w:rPr>
          <w:lang w:val="lt-LT" w:eastAsia="lt-LT"/>
        </w:rPr>
        <w:t>laikotarpiu,</w:t>
      </w:r>
      <w:r>
        <w:rPr>
          <w:i/>
          <w:iCs/>
          <w:lang w:val="lt-LT" w:eastAsia="lt-LT"/>
        </w:rPr>
        <w:t xml:space="preserve"> </w:t>
      </w:r>
      <w:r>
        <w:rPr>
          <w:lang w:val="lt-LT" w:eastAsia="lt-LT"/>
        </w:rPr>
        <w:t>kurį</w:t>
      </w:r>
      <w:r>
        <w:rPr>
          <w:i/>
          <w:iCs/>
          <w:lang w:val="lt-LT" w:eastAsia="lt-LT"/>
        </w:rPr>
        <w:t xml:space="preserve"> </w:t>
      </w:r>
      <w:r>
        <w:rPr>
          <w:lang w:val="lt-LT" w:eastAsia="lt-LT"/>
        </w:rPr>
        <w:t>ši</w:t>
      </w:r>
      <w:r>
        <w:rPr>
          <w:i/>
          <w:iCs/>
          <w:lang w:val="lt-LT" w:eastAsia="lt-LT"/>
        </w:rPr>
        <w:t xml:space="preserve"> </w:t>
      </w:r>
      <w:r>
        <w:rPr>
          <w:lang w:val="lt-LT" w:eastAsia="lt-LT"/>
        </w:rPr>
        <w:t>investicijų</w:t>
      </w:r>
      <w:r>
        <w:rPr>
          <w:i/>
          <w:iCs/>
          <w:lang w:val="lt-LT" w:eastAsia="lt-LT"/>
        </w:rPr>
        <w:t xml:space="preserve"> </w:t>
      </w:r>
      <w:r>
        <w:rPr>
          <w:lang w:val="lt-LT" w:eastAsia="lt-LT"/>
        </w:rPr>
        <w:t>suma</w:t>
      </w:r>
      <w:r>
        <w:rPr>
          <w:i/>
          <w:iCs/>
          <w:lang w:val="lt-LT" w:eastAsia="lt-LT"/>
        </w:rPr>
        <w:t xml:space="preserve"> </w:t>
      </w:r>
      <w:r>
        <w:rPr>
          <w:lang w:val="lt-LT" w:eastAsia="lt-LT"/>
        </w:rPr>
        <w:t>buvo</w:t>
      </w:r>
      <w:r>
        <w:rPr>
          <w:i/>
          <w:iCs/>
          <w:lang w:val="lt-LT" w:eastAsia="lt-LT"/>
        </w:rPr>
        <w:t xml:space="preserve"> </w:t>
      </w:r>
      <w:r>
        <w:rPr>
          <w:lang w:val="lt-LT" w:eastAsia="lt-LT"/>
        </w:rPr>
        <w:t>pasiekta,</w:t>
      </w:r>
      <w:r>
        <w:rPr>
          <w:i/>
          <w:iCs/>
          <w:lang w:val="lt-LT" w:eastAsia="lt-LT"/>
        </w:rPr>
        <w:t xml:space="preserve"> </w:t>
      </w:r>
      <w:r>
        <w:rPr>
          <w:lang w:val="lt-LT" w:eastAsia="lt-LT"/>
        </w:rPr>
        <w:t>nemoka</w:t>
      </w:r>
      <w:r>
        <w:rPr>
          <w:i/>
          <w:iCs/>
          <w:lang w:val="lt-LT" w:eastAsia="lt-LT"/>
        </w:rPr>
        <w:t xml:space="preserve"> </w:t>
      </w:r>
      <w:r>
        <w:rPr>
          <w:lang w:val="lt-LT" w:eastAsia="lt-LT"/>
        </w:rPr>
        <w:t>pelno</w:t>
      </w:r>
      <w:r>
        <w:rPr>
          <w:i/>
          <w:iCs/>
          <w:lang w:val="lt-LT" w:eastAsia="lt-LT"/>
        </w:rPr>
        <w:t xml:space="preserve"> </w:t>
      </w:r>
      <w:r>
        <w:rPr>
          <w:lang w:val="lt-LT" w:eastAsia="lt-LT"/>
        </w:rPr>
        <w:t>mokesčio,</w:t>
      </w:r>
    </w:p>
    <w:p w14:paraId="3C65EF9A" w14:textId="77777777" w:rsidR="00093845" w:rsidRDefault="000D779E">
      <w:pPr>
        <w:ind w:firstLine="851"/>
        <w:jc w:val="both"/>
        <w:rPr>
          <w:lang w:val="lt-LT" w:eastAsia="lt-LT"/>
        </w:rPr>
      </w:pPr>
      <w:r>
        <w:rPr>
          <w:lang w:val="lt-LT" w:eastAsia="lt-LT"/>
        </w:rPr>
        <w:t>–</w:t>
      </w:r>
      <w:r>
        <w:rPr>
          <w:i/>
          <w:iCs/>
          <w:lang w:val="lt-LT" w:eastAsia="lt-LT"/>
        </w:rPr>
        <w:t xml:space="preserve"> </w:t>
      </w:r>
      <w:r>
        <w:rPr>
          <w:lang w:val="lt-LT" w:eastAsia="lt-LT"/>
        </w:rPr>
        <w:t>kitais</w:t>
      </w:r>
      <w:r>
        <w:rPr>
          <w:i/>
          <w:iCs/>
          <w:lang w:val="lt-LT" w:eastAsia="lt-LT"/>
        </w:rPr>
        <w:t xml:space="preserve"> </w:t>
      </w:r>
      <w:r>
        <w:rPr>
          <w:lang w:val="lt-LT" w:eastAsia="lt-LT"/>
        </w:rPr>
        <w:t>10</w:t>
      </w:r>
      <w:r>
        <w:rPr>
          <w:i/>
          <w:iCs/>
          <w:lang w:val="lt-LT" w:eastAsia="lt-LT"/>
        </w:rPr>
        <w:t xml:space="preserve"> </w:t>
      </w:r>
      <w:r>
        <w:rPr>
          <w:lang w:val="lt-LT" w:eastAsia="lt-LT"/>
        </w:rPr>
        <w:t>mokestinių</w:t>
      </w:r>
      <w:r>
        <w:rPr>
          <w:i/>
          <w:iCs/>
          <w:lang w:val="lt-LT" w:eastAsia="lt-LT"/>
        </w:rPr>
        <w:t xml:space="preserve"> </w:t>
      </w:r>
      <w:r>
        <w:rPr>
          <w:lang w:val="lt-LT" w:eastAsia="lt-LT"/>
        </w:rPr>
        <w:t>laikotarpių</w:t>
      </w:r>
      <w:r>
        <w:rPr>
          <w:i/>
          <w:iCs/>
          <w:lang w:val="lt-LT" w:eastAsia="lt-LT"/>
        </w:rPr>
        <w:t xml:space="preserve"> </w:t>
      </w:r>
      <w:r>
        <w:rPr>
          <w:lang w:val="lt-LT" w:eastAsia="lt-LT"/>
        </w:rPr>
        <w:t>jai</w:t>
      </w:r>
      <w:r>
        <w:rPr>
          <w:i/>
          <w:iCs/>
          <w:lang w:val="lt-LT" w:eastAsia="lt-LT"/>
        </w:rPr>
        <w:t xml:space="preserve"> </w:t>
      </w:r>
      <w:r>
        <w:rPr>
          <w:lang w:val="lt-LT" w:eastAsia="lt-LT"/>
        </w:rPr>
        <w:t>taikomas</w:t>
      </w:r>
      <w:r>
        <w:rPr>
          <w:i/>
          <w:iCs/>
          <w:lang w:val="lt-LT" w:eastAsia="lt-LT"/>
        </w:rPr>
        <w:t xml:space="preserve"> </w:t>
      </w:r>
      <w:r>
        <w:rPr>
          <w:lang w:val="lt-LT" w:eastAsia="lt-LT"/>
        </w:rPr>
        <w:t>50</w:t>
      </w:r>
      <w:r>
        <w:rPr>
          <w:i/>
          <w:iCs/>
          <w:lang w:val="lt-LT" w:eastAsia="lt-LT"/>
        </w:rPr>
        <w:t xml:space="preserve"> </w:t>
      </w:r>
      <w:r>
        <w:rPr>
          <w:lang w:val="lt-LT" w:eastAsia="lt-LT"/>
        </w:rPr>
        <w:t>procentų</w:t>
      </w:r>
      <w:r>
        <w:rPr>
          <w:i/>
          <w:iCs/>
          <w:lang w:val="lt-LT" w:eastAsia="lt-LT"/>
        </w:rPr>
        <w:t xml:space="preserve"> </w:t>
      </w:r>
      <w:r>
        <w:rPr>
          <w:lang w:val="lt-LT" w:eastAsia="lt-LT"/>
        </w:rPr>
        <w:t>sumažintas</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tarifas.</w:t>
      </w:r>
    </w:p>
    <w:p w14:paraId="2DA5BD7D" w14:textId="77777777" w:rsidR="00093845" w:rsidRDefault="000D779E">
      <w:pPr>
        <w:ind w:firstLine="851"/>
        <w:jc w:val="both"/>
        <w:rPr>
          <w:lang w:val="lt-LT" w:eastAsia="lt-LT"/>
        </w:rPr>
      </w:pPr>
      <w:r>
        <w:rPr>
          <w:lang w:val="lt-LT" w:eastAsia="lt-LT"/>
        </w:rPr>
        <w:t xml:space="preserve">          </w:t>
      </w:r>
      <w:r>
        <w:rPr>
          <w:b/>
          <w:bCs/>
          <w:lang w:val="lt-LT" w:eastAsia="lt-LT"/>
        </w:rPr>
        <w:t>Pavyzdžiai</w:t>
      </w:r>
    </w:p>
    <w:p w14:paraId="4A633662" w14:textId="77777777" w:rsidR="00093845" w:rsidRDefault="000D779E">
      <w:pPr>
        <w:ind w:firstLine="851"/>
        <w:jc w:val="both"/>
        <w:rPr>
          <w:lang w:val="lt-LT" w:eastAsia="lt-LT"/>
        </w:rPr>
      </w:pPr>
      <w:r>
        <w:rPr>
          <w:lang w:val="lt-LT" w:eastAsia="lt-LT"/>
        </w:rPr>
        <w:t> Pastaba. Visuose pateikiamuose pavyzdžiuose mokestinis laikotarpis sutampa su kalendoriniais metais.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7A8504F2" w14:textId="77777777">
        <w:trPr>
          <w:trHeight w:val="831"/>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5B2A1C80" w14:textId="77777777" w:rsidR="00093845" w:rsidRDefault="000D779E">
            <w:pPr>
              <w:ind w:firstLine="851"/>
              <w:jc w:val="both"/>
              <w:rPr>
                <w:lang w:val="lt-LT" w:eastAsia="lt-LT"/>
              </w:rPr>
            </w:pPr>
            <w:r>
              <w:rPr>
                <w:lang w:val="lt-LT" w:eastAsia="lt-LT"/>
              </w:rPr>
              <w:t xml:space="preserve">1. Laisvojoje ekonominėje zonoje įmonė įregistruota 2003 metais. 2003 metais įmonė, apskaičiuodama pelno mokestį, taikė 80 procentų sumažintą pelno mokesčio tarifą (pagal </w:t>
            </w:r>
            <w:bookmarkStart w:id="688" w:name="n1_862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89" w:name="pn1_8624"/>
            <w:bookmarkEnd w:id="688"/>
            <w:bookmarkEnd w:id="689"/>
            <w:r>
              <w:rPr>
                <w:lang w:val="lt-LT" w:eastAsia="lt-LT"/>
              </w:rPr>
              <w:t xml:space="preserve"> </w:t>
            </w:r>
            <w:bookmarkStart w:id="690" w:name="n1_862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691" w:name="pn1_8625"/>
            <w:bookmarkEnd w:id="690"/>
            <w:bookmarkEnd w:id="691"/>
            <w:r>
              <w:rPr>
                <w:lang w:val="lt-LT" w:eastAsia="lt-LT"/>
              </w:rPr>
              <w:t xml:space="preserve"> str. 16 d. 2 punkto redakciją, galiojusią iki 2004 m. balandžio 30 d.). 2004 metais kapitalo investicijos į įmonę pasiekė 1 milijono eurų sumą.</w:t>
            </w:r>
          </w:p>
          <w:p w14:paraId="79943E9A" w14:textId="77777777" w:rsidR="00093845" w:rsidRDefault="000D779E">
            <w:pPr>
              <w:ind w:firstLine="851"/>
              <w:jc w:val="both"/>
              <w:rPr>
                <w:lang w:val="lt-LT" w:eastAsia="lt-LT"/>
              </w:rPr>
            </w:pPr>
            <w:r>
              <w:rPr>
                <w:lang w:val="lt-LT" w:eastAsia="lt-LT"/>
              </w:rPr>
              <w:t>2004–2009 metais įmonė atleidžiama nuo pelno mokesčio, o 2010–2019 metais apskaičiuojant pelno mokestį, gali būti taikomas 50 procentų sumažintas pelno mokesčio tarifas, jeigu, kiekvieną iš šių mokestinių laikotarpių atskirai, yra tenkinamos visos 3 sąlygos, t. y. kapitalo investicijos į įmonę yra ne mažesnės kaip 1 milijonas eurų, ne mažiau kaip 75 procentus šios įmonės atitinkamo mokestinio laikotarpio pajamų sudaro pajamos iš nustatytos zonoje vykdomos veiklos ir įmonė turi auditoriaus išvadą, patvirtinančią reikalaujamą kapitalo investicijos dydį.</w:t>
            </w:r>
          </w:p>
          <w:p w14:paraId="47328D8F" w14:textId="77777777" w:rsidR="00093845" w:rsidRDefault="000D779E">
            <w:pPr>
              <w:ind w:firstLine="851"/>
              <w:jc w:val="both"/>
              <w:rPr>
                <w:lang w:val="lt-LT" w:eastAsia="lt-LT"/>
              </w:rPr>
            </w:pPr>
            <w:r>
              <w:rPr>
                <w:lang w:val="lt-LT" w:eastAsia="lt-LT"/>
              </w:rPr>
              <w:t>2. Įmonė laisvojoje ekonominėje zonoje įsiregistruoja 2006 m. balandžio 10 d. Kapitalo investicijos 1 milijono eurų sumą pasiekė iki šios datos. Įmonė tenkina ir kitas 2 sąlygas, t. y. ne mažiau kaip 75 procentus šios įmonės 2006 m. mokestinio laikotarpio pajamų sudaro pajamos iš nustatytos zonoje vykdomos veiklos ir įmonė turi auditoriaus išvadą, patvirtinančią reikalaujamą kapitalo investicijos dydį.</w:t>
            </w:r>
          </w:p>
          <w:p w14:paraId="796D8B46" w14:textId="77777777" w:rsidR="00093845" w:rsidRDefault="000D779E">
            <w:pPr>
              <w:ind w:firstLine="851"/>
              <w:jc w:val="both"/>
              <w:rPr>
                <w:lang w:val="lt-LT" w:eastAsia="lt-LT"/>
              </w:rPr>
            </w:pPr>
            <w:r>
              <w:rPr>
                <w:lang w:val="lt-LT" w:eastAsia="lt-LT"/>
              </w:rPr>
              <w:t xml:space="preserve">2006–2011 metais įmonė gali būti atleidžiama nuo pelno mokesčio, o 2012–2021 metais apskaičiuojant pelno mokestį, gali būti taikomas 50 procentų sumažintas pelno mokesčio tarifas, jeigu kiekvieną iš šių mokestinių laikotarpių atskirai, yra tenkinamos visos 3 sąlygos, t. y. kapitalo investicijos į įmonę yra ne mažesnės kaip 1 milijonas eurų, bei ne mažiau kaip 75 procentus šios įmonės atitinkamo mokestinio laikotarpio pajamų sudaro pajamos iš nustatytos zonoje vykdomos veiklos ir įmonė turi auditoriaus išvadą, patvirtinančią reikalaujamą kapitalo investicijos dydį. </w:t>
            </w:r>
          </w:p>
        </w:tc>
      </w:tr>
    </w:tbl>
    <w:p w14:paraId="5C1BB651" w14:textId="77777777" w:rsidR="00093845" w:rsidRDefault="000D779E">
      <w:pPr>
        <w:ind w:firstLine="851"/>
        <w:jc w:val="both"/>
        <w:rPr>
          <w:lang w:val="lt-LT" w:eastAsia="lt-LT"/>
        </w:rPr>
      </w:pPr>
      <w:r>
        <w:rPr>
          <w:lang w:val="lt-LT" w:eastAsia="lt-LT"/>
        </w:rPr>
        <w:t xml:space="preserve"> 6.</w:t>
      </w:r>
      <w:r>
        <w:rPr>
          <w:i/>
          <w:iCs/>
          <w:lang w:val="lt-LT" w:eastAsia="lt-LT"/>
        </w:rPr>
        <w:t xml:space="preserve"> </w:t>
      </w:r>
      <w:r>
        <w:rPr>
          <w:lang w:val="lt-LT" w:eastAsia="lt-LT"/>
        </w:rPr>
        <w:t>Jei</w:t>
      </w:r>
      <w:r>
        <w:rPr>
          <w:i/>
          <w:iCs/>
          <w:lang w:val="lt-LT" w:eastAsia="lt-LT"/>
        </w:rPr>
        <w:t xml:space="preserve"> </w:t>
      </w:r>
      <w:r>
        <w:rPr>
          <w:lang w:val="lt-LT" w:eastAsia="lt-LT"/>
        </w:rPr>
        <w:t>nepasibaigus</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nustatytam</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terminui,</w:t>
      </w:r>
      <w:r>
        <w:rPr>
          <w:i/>
          <w:iCs/>
          <w:lang w:val="lt-LT" w:eastAsia="lt-LT"/>
        </w:rPr>
        <w:t xml:space="preserve"> </w:t>
      </w:r>
      <w:r>
        <w:rPr>
          <w:lang w:val="lt-LT" w:eastAsia="lt-LT"/>
        </w:rPr>
        <w:t>kapitalo</w:t>
      </w:r>
      <w:r>
        <w:rPr>
          <w:i/>
          <w:iCs/>
          <w:lang w:val="lt-LT" w:eastAsia="lt-LT"/>
        </w:rPr>
        <w:t xml:space="preserve"> </w:t>
      </w:r>
      <w:r>
        <w:rPr>
          <w:lang w:val="lt-LT" w:eastAsia="lt-LT"/>
        </w:rPr>
        <w:t>investicijų</w:t>
      </w:r>
      <w:r>
        <w:rPr>
          <w:i/>
          <w:iCs/>
          <w:lang w:val="lt-LT" w:eastAsia="lt-LT"/>
        </w:rPr>
        <w:t xml:space="preserve"> </w:t>
      </w:r>
      <w:r>
        <w:rPr>
          <w:lang w:val="lt-LT" w:eastAsia="lt-LT"/>
        </w:rPr>
        <w:t>suma</w:t>
      </w:r>
      <w:r>
        <w:rPr>
          <w:i/>
          <w:iCs/>
          <w:lang w:val="lt-LT" w:eastAsia="lt-LT"/>
        </w:rPr>
        <w:t xml:space="preserve"> </w:t>
      </w:r>
      <w:r>
        <w:rPr>
          <w:lang w:val="lt-LT" w:eastAsia="lt-LT"/>
        </w:rPr>
        <w:t>sumažėja</w:t>
      </w:r>
      <w:r>
        <w:rPr>
          <w:i/>
          <w:iCs/>
          <w:lang w:val="lt-LT" w:eastAsia="lt-LT"/>
        </w:rPr>
        <w:t xml:space="preserve"> </w:t>
      </w:r>
      <w:r>
        <w:rPr>
          <w:lang w:val="lt-LT" w:eastAsia="lt-LT"/>
        </w:rPr>
        <w:t>ir</w:t>
      </w:r>
      <w:r>
        <w:rPr>
          <w:i/>
          <w:iCs/>
          <w:lang w:val="lt-LT" w:eastAsia="lt-LT"/>
        </w:rPr>
        <w:t xml:space="preserve"> </w:t>
      </w:r>
      <w:r>
        <w:rPr>
          <w:lang w:val="lt-LT" w:eastAsia="lt-LT"/>
        </w:rPr>
        <w:t>nebesiekia</w:t>
      </w:r>
      <w:r>
        <w:rPr>
          <w:i/>
          <w:iCs/>
          <w:lang w:val="lt-LT" w:eastAsia="lt-LT"/>
        </w:rPr>
        <w:t xml:space="preserve"> </w:t>
      </w:r>
      <w:r>
        <w:rPr>
          <w:lang w:val="lt-LT" w:eastAsia="lt-LT"/>
        </w:rPr>
        <w:t>1</w:t>
      </w:r>
      <w:r>
        <w:rPr>
          <w:i/>
          <w:iCs/>
          <w:lang w:val="lt-LT" w:eastAsia="lt-LT"/>
        </w:rPr>
        <w:t xml:space="preserve"> </w:t>
      </w:r>
      <w:r>
        <w:rPr>
          <w:lang w:val="lt-LT" w:eastAsia="lt-LT"/>
        </w:rPr>
        <w:t>milijono</w:t>
      </w:r>
      <w:r>
        <w:rPr>
          <w:i/>
          <w:iCs/>
          <w:lang w:val="lt-LT" w:eastAsia="lt-LT"/>
        </w:rPr>
        <w:t xml:space="preserve"> </w:t>
      </w:r>
      <w:r>
        <w:rPr>
          <w:lang w:val="lt-LT" w:eastAsia="lt-LT"/>
        </w:rPr>
        <w:t>eurų,</w:t>
      </w:r>
      <w:r>
        <w:rPr>
          <w:i/>
          <w:iCs/>
          <w:lang w:val="lt-LT" w:eastAsia="lt-LT"/>
        </w:rPr>
        <w:t xml:space="preserve"> </w:t>
      </w:r>
      <w:r>
        <w:rPr>
          <w:lang w:val="lt-LT" w:eastAsia="lt-LT"/>
        </w:rPr>
        <w:t>lengvatos</w:t>
      </w:r>
      <w:r>
        <w:rPr>
          <w:i/>
          <w:iCs/>
          <w:lang w:val="lt-LT" w:eastAsia="lt-LT"/>
        </w:rPr>
        <w:t xml:space="preserve"> </w:t>
      </w:r>
      <w:r>
        <w:rPr>
          <w:lang w:val="lt-LT" w:eastAsia="lt-LT"/>
        </w:rPr>
        <w:t>taikymas</w:t>
      </w:r>
      <w:r>
        <w:rPr>
          <w:i/>
          <w:iCs/>
          <w:lang w:val="lt-LT" w:eastAsia="lt-LT"/>
        </w:rPr>
        <w:t xml:space="preserve"> </w:t>
      </w:r>
      <w:r>
        <w:rPr>
          <w:lang w:val="lt-LT" w:eastAsia="lt-LT"/>
        </w:rPr>
        <w:t>sustabdomas</w:t>
      </w:r>
      <w:r>
        <w:rPr>
          <w:i/>
          <w:iCs/>
          <w:lang w:val="lt-LT" w:eastAsia="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Pr>
          <w:i/>
          <w:iCs/>
          <w:lang w:val="lt-LT" w:eastAsia="lt-LT"/>
        </w:rPr>
        <w:t xml:space="preserve"> </w:t>
      </w:r>
      <w:r>
        <w:rPr>
          <w:lang w:val="lt-LT" w:eastAsia="lt-LT"/>
        </w:rPr>
        <w:t>kurį</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suma</w:t>
      </w:r>
      <w:r>
        <w:rPr>
          <w:i/>
          <w:iCs/>
          <w:lang w:val="lt-LT" w:eastAsia="lt-LT"/>
        </w:rPr>
        <w:t xml:space="preserve"> </w:t>
      </w:r>
      <w:r>
        <w:rPr>
          <w:lang w:val="lt-LT" w:eastAsia="lt-LT"/>
        </w:rPr>
        <w:t>taip</w:t>
      </w:r>
      <w:r>
        <w:rPr>
          <w:i/>
          <w:iCs/>
          <w:lang w:val="lt-LT" w:eastAsia="lt-LT"/>
        </w:rPr>
        <w:t xml:space="preserve"> </w:t>
      </w:r>
      <w:r>
        <w:rPr>
          <w:lang w:val="lt-LT" w:eastAsia="lt-LT"/>
        </w:rPr>
        <w:t>sumažėjo,</w:t>
      </w:r>
      <w:r>
        <w:rPr>
          <w:i/>
          <w:iCs/>
          <w:lang w:val="lt-LT" w:eastAsia="lt-LT"/>
        </w:rPr>
        <w:t xml:space="preserve"> </w:t>
      </w:r>
      <w:r>
        <w:rPr>
          <w:lang w:val="lt-LT" w:eastAsia="lt-LT"/>
        </w:rPr>
        <w:t>ir</w:t>
      </w:r>
      <w:r>
        <w:rPr>
          <w:i/>
          <w:iCs/>
          <w:lang w:val="lt-LT" w:eastAsia="lt-LT"/>
        </w:rPr>
        <w:t xml:space="preserve"> </w:t>
      </w:r>
      <w:r>
        <w:rPr>
          <w:lang w:val="lt-LT" w:eastAsia="lt-LT"/>
        </w:rPr>
        <w:t>gali</w:t>
      </w:r>
      <w:r>
        <w:rPr>
          <w:i/>
          <w:iCs/>
          <w:lang w:val="lt-LT" w:eastAsia="lt-LT"/>
        </w:rPr>
        <w:t xml:space="preserve"> </w:t>
      </w:r>
      <w:r>
        <w:rPr>
          <w:lang w:val="lt-LT" w:eastAsia="lt-LT"/>
        </w:rPr>
        <w:t>būti</w:t>
      </w:r>
      <w:r>
        <w:rPr>
          <w:i/>
          <w:iCs/>
          <w:lang w:val="lt-LT" w:eastAsia="lt-LT"/>
        </w:rPr>
        <w:t xml:space="preserve"> </w:t>
      </w:r>
      <w:r>
        <w:rPr>
          <w:lang w:val="lt-LT" w:eastAsia="lt-LT"/>
        </w:rPr>
        <w:t>atnaujintas</w:t>
      </w:r>
      <w:r>
        <w:rPr>
          <w:i/>
          <w:iCs/>
          <w:lang w:val="lt-LT" w:eastAsia="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Pr>
          <w:i/>
          <w:iCs/>
          <w:lang w:val="lt-LT" w:eastAsia="lt-LT"/>
        </w:rPr>
        <w:t xml:space="preserve"> </w:t>
      </w:r>
      <w:r>
        <w:rPr>
          <w:lang w:val="lt-LT" w:eastAsia="lt-LT"/>
        </w:rPr>
        <w:t>kurį</w:t>
      </w:r>
      <w:r>
        <w:rPr>
          <w:i/>
          <w:iCs/>
          <w:lang w:val="lt-LT" w:eastAsia="lt-LT"/>
        </w:rPr>
        <w:t xml:space="preserve"> </w:t>
      </w:r>
      <w:r>
        <w:rPr>
          <w:lang w:val="lt-LT" w:eastAsia="lt-LT"/>
        </w:rPr>
        <w:t>kapitalo</w:t>
      </w:r>
      <w:r>
        <w:rPr>
          <w:i/>
          <w:iCs/>
          <w:lang w:val="lt-LT" w:eastAsia="lt-LT"/>
        </w:rPr>
        <w:t xml:space="preserve"> </w:t>
      </w:r>
      <w:r>
        <w:rPr>
          <w:lang w:val="lt-LT" w:eastAsia="lt-LT"/>
        </w:rPr>
        <w:t>investicija</w:t>
      </w:r>
      <w:r>
        <w:rPr>
          <w:i/>
          <w:iCs/>
          <w:lang w:val="lt-LT" w:eastAsia="lt-LT"/>
        </w:rPr>
        <w:t xml:space="preserve"> </w:t>
      </w:r>
      <w:r>
        <w:rPr>
          <w:lang w:val="lt-LT" w:eastAsia="lt-LT"/>
        </w:rPr>
        <w:t>vėl</w:t>
      </w:r>
      <w:r>
        <w:rPr>
          <w:i/>
          <w:iCs/>
          <w:lang w:val="lt-LT" w:eastAsia="lt-LT"/>
        </w:rPr>
        <w:t xml:space="preserve"> </w:t>
      </w:r>
      <w:r>
        <w:rPr>
          <w:lang w:val="lt-LT" w:eastAsia="lt-LT"/>
        </w:rPr>
        <w:t>pasiekia</w:t>
      </w:r>
      <w:r>
        <w:rPr>
          <w:i/>
          <w:iCs/>
          <w:lang w:val="lt-LT" w:eastAsia="lt-LT"/>
        </w:rPr>
        <w:t xml:space="preserve"> </w:t>
      </w:r>
      <w:r>
        <w:rPr>
          <w:lang w:val="lt-LT" w:eastAsia="lt-LT"/>
        </w:rPr>
        <w:t>1</w:t>
      </w:r>
      <w:r>
        <w:rPr>
          <w:i/>
          <w:iCs/>
          <w:lang w:val="lt-LT" w:eastAsia="lt-LT"/>
        </w:rPr>
        <w:t xml:space="preserve"> </w:t>
      </w:r>
      <w:r>
        <w:rPr>
          <w:lang w:val="lt-LT" w:eastAsia="lt-LT"/>
        </w:rPr>
        <w:t>milijoną</w:t>
      </w:r>
      <w:r>
        <w:rPr>
          <w:i/>
          <w:iCs/>
          <w:lang w:val="lt-LT" w:eastAsia="lt-LT"/>
        </w:rPr>
        <w:t xml:space="preserve"> </w:t>
      </w:r>
      <w:r>
        <w:rPr>
          <w:lang w:val="lt-LT" w:eastAsia="lt-LT"/>
        </w:rPr>
        <w:t>eurų.</w:t>
      </w:r>
      <w:r>
        <w:rPr>
          <w:i/>
          <w:iCs/>
          <w:lang w:val="lt-LT" w:eastAsia="lt-LT"/>
        </w:rPr>
        <w:t xml:space="preserve"> </w:t>
      </w:r>
    </w:p>
    <w:p w14:paraId="2E2E2BC0" w14:textId="77777777" w:rsidR="00093845" w:rsidRDefault="000D779E">
      <w:pPr>
        <w:ind w:firstLine="851"/>
        <w:jc w:val="both"/>
        <w:rPr>
          <w:lang w:val="lt-LT" w:eastAsia="lt-LT"/>
        </w:rPr>
      </w:pPr>
      <w:r>
        <w:rPr>
          <w:lang w:val="lt-LT" w:eastAsia="lt-LT"/>
        </w:rPr>
        <w:t xml:space="preserve">  Kapitalo</w:t>
      </w:r>
      <w:r>
        <w:rPr>
          <w:i/>
          <w:iCs/>
          <w:lang w:val="lt-LT" w:eastAsia="lt-LT"/>
        </w:rPr>
        <w:t xml:space="preserve"> </w:t>
      </w:r>
      <w:r>
        <w:rPr>
          <w:lang w:val="lt-LT" w:eastAsia="lt-LT"/>
        </w:rPr>
        <w:t>investicijų</w:t>
      </w:r>
      <w:r>
        <w:rPr>
          <w:i/>
          <w:iCs/>
          <w:lang w:val="lt-LT" w:eastAsia="lt-LT"/>
        </w:rPr>
        <w:t xml:space="preserve"> </w:t>
      </w:r>
      <w:r>
        <w:rPr>
          <w:lang w:val="lt-LT" w:eastAsia="lt-LT"/>
        </w:rPr>
        <w:t>sumažėjimu</w:t>
      </w:r>
      <w:r>
        <w:rPr>
          <w:i/>
          <w:iCs/>
          <w:lang w:val="lt-LT" w:eastAsia="lt-LT"/>
        </w:rPr>
        <w:t xml:space="preserve"> </w:t>
      </w:r>
      <w:r>
        <w:rPr>
          <w:lang w:val="lt-LT" w:eastAsia="lt-LT"/>
        </w:rPr>
        <w:t>gali</w:t>
      </w:r>
      <w:r>
        <w:rPr>
          <w:i/>
          <w:iCs/>
          <w:lang w:val="lt-LT" w:eastAsia="lt-LT"/>
        </w:rPr>
        <w:t xml:space="preserve"> </w:t>
      </w:r>
      <w:r>
        <w:rPr>
          <w:lang w:val="lt-LT" w:eastAsia="lt-LT"/>
        </w:rPr>
        <w:t>būti</w:t>
      </w:r>
      <w:r>
        <w:rPr>
          <w:i/>
          <w:iCs/>
          <w:lang w:val="lt-LT" w:eastAsia="lt-LT"/>
        </w:rPr>
        <w:t xml:space="preserve"> </w:t>
      </w:r>
      <w:r>
        <w:rPr>
          <w:lang w:val="lt-LT" w:eastAsia="lt-LT"/>
        </w:rPr>
        <w:t>laikomi</w:t>
      </w:r>
      <w:r>
        <w:rPr>
          <w:i/>
          <w:iCs/>
          <w:lang w:val="lt-LT" w:eastAsia="lt-LT"/>
        </w:rPr>
        <w:t xml:space="preserve"> </w:t>
      </w:r>
      <w:r>
        <w:rPr>
          <w:lang w:val="lt-LT" w:eastAsia="lt-LT"/>
        </w:rPr>
        <w:t>tokie</w:t>
      </w:r>
      <w:r>
        <w:rPr>
          <w:i/>
          <w:iCs/>
          <w:lang w:val="lt-LT" w:eastAsia="lt-LT"/>
        </w:rPr>
        <w:t xml:space="preserve"> </w:t>
      </w:r>
      <w:r>
        <w:rPr>
          <w:lang w:val="lt-LT" w:eastAsia="lt-LT"/>
        </w:rPr>
        <w:t>atvejai:</w:t>
      </w:r>
      <w:r>
        <w:rPr>
          <w:i/>
          <w:iCs/>
          <w:lang w:val="lt-LT" w:eastAsia="lt-LT"/>
        </w:rPr>
        <w:t xml:space="preserve"> </w:t>
      </w:r>
      <w:r>
        <w:rPr>
          <w:lang w:val="lt-LT" w:eastAsia="lt-LT"/>
        </w:rPr>
        <w:t>ilgalaikio</w:t>
      </w:r>
      <w:r>
        <w:rPr>
          <w:i/>
          <w:iCs/>
          <w:lang w:val="lt-LT" w:eastAsia="lt-LT"/>
        </w:rPr>
        <w:t xml:space="preserve"> </w:t>
      </w:r>
      <w:r>
        <w:rPr>
          <w:lang w:val="lt-LT" w:eastAsia="lt-LT"/>
        </w:rPr>
        <w:t>materialaus</w:t>
      </w:r>
      <w:r>
        <w:rPr>
          <w:i/>
          <w:iCs/>
          <w:lang w:val="lt-LT" w:eastAsia="lt-LT"/>
        </w:rPr>
        <w:t xml:space="preserve"> </w:t>
      </w:r>
      <w:r>
        <w:rPr>
          <w:lang w:val="lt-LT" w:eastAsia="lt-LT"/>
        </w:rPr>
        <w:t>ir</w:t>
      </w:r>
      <w:r>
        <w:rPr>
          <w:i/>
          <w:iCs/>
          <w:lang w:val="lt-LT" w:eastAsia="lt-LT"/>
        </w:rPr>
        <w:t xml:space="preserve"> </w:t>
      </w:r>
      <w:r>
        <w:rPr>
          <w:lang w:val="lt-LT" w:eastAsia="lt-LT"/>
        </w:rPr>
        <w:t>nematerialaus</w:t>
      </w:r>
      <w:r>
        <w:rPr>
          <w:i/>
          <w:iCs/>
          <w:lang w:val="lt-LT" w:eastAsia="lt-LT"/>
        </w:rPr>
        <w:t xml:space="preserve"> </w:t>
      </w:r>
      <w:r>
        <w:rPr>
          <w:lang w:val="lt-LT" w:eastAsia="lt-LT"/>
        </w:rPr>
        <w:t>turto</w:t>
      </w:r>
      <w:r>
        <w:rPr>
          <w:i/>
          <w:iCs/>
          <w:lang w:val="lt-LT" w:eastAsia="lt-LT"/>
        </w:rPr>
        <w:t xml:space="preserve"> </w:t>
      </w:r>
      <w:r>
        <w:rPr>
          <w:lang w:val="lt-LT" w:eastAsia="lt-LT"/>
        </w:rPr>
        <w:t>pardavimas,</w:t>
      </w:r>
      <w:r>
        <w:rPr>
          <w:i/>
          <w:iCs/>
          <w:lang w:val="lt-LT" w:eastAsia="lt-LT"/>
        </w:rPr>
        <w:t xml:space="preserve"> </w:t>
      </w:r>
      <w:r>
        <w:rPr>
          <w:lang w:val="lt-LT" w:eastAsia="lt-LT"/>
        </w:rPr>
        <w:t>sugadinto</w:t>
      </w:r>
      <w:r>
        <w:rPr>
          <w:i/>
          <w:iCs/>
          <w:lang w:val="lt-LT" w:eastAsia="lt-LT"/>
        </w:rPr>
        <w:t xml:space="preserve"> </w:t>
      </w:r>
      <w:r>
        <w:rPr>
          <w:lang w:val="lt-LT" w:eastAsia="lt-LT"/>
        </w:rPr>
        <w:t>turto</w:t>
      </w:r>
      <w:r>
        <w:rPr>
          <w:i/>
          <w:iCs/>
          <w:lang w:val="lt-LT" w:eastAsia="lt-LT"/>
        </w:rPr>
        <w:t xml:space="preserve"> </w:t>
      </w:r>
      <w:r>
        <w:rPr>
          <w:lang w:val="lt-LT" w:eastAsia="lt-LT"/>
        </w:rPr>
        <w:t>nurašymas,</w:t>
      </w:r>
      <w:r>
        <w:rPr>
          <w:i/>
          <w:iCs/>
          <w:lang w:val="lt-LT" w:eastAsia="lt-LT"/>
        </w:rPr>
        <w:t xml:space="preserve"> </w:t>
      </w:r>
      <w:r>
        <w:rPr>
          <w:lang w:val="lt-LT" w:eastAsia="lt-LT"/>
        </w:rPr>
        <w:t>pavogto</w:t>
      </w:r>
      <w:r>
        <w:rPr>
          <w:i/>
          <w:iCs/>
          <w:lang w:val="lt-LT" w:eastAsia="lt-LT"/>
        </w:rPr>
        <w:t xml:space="preserve"> </w:t>
      </w:r>
      <w:r>
        <w:rPr>
          <w:lang w:val="lt-LT" w:eastAsia="lt-LT"/>
        </w:rPr>
        <w:t>turto</w:t>
      </w:r>
      <w:r>
        <w:rPr>
          <w:i/>
          <w:iCs/>
          <w:lang w:val="lt-LT" w:eastAsia="lt-LT"/>
        </w:rPr>
        <w:t xml:space="preserve"> </w:t>
      </w:r>
      <w:r>
        <w:rPr>
          <w:lang w:val="lt-LT" w:eastAsia="lt-LT"/>
        </w:rPr>
        <w:t>nurašymas,</w:t>
      </w:r>
      <w:r>
        <w:rPr>
          <w:i/>
          <w:iCs/>
          <w:lang w:val="lt-LT" w:eastAsia="lt-LT"/>
        </w:rPr>
        <w:t xml:space="preserve"> </w:t>
      </w:r>
      <w:r>
        <w:rPr>
          <w:lang w:val="lt-LT" w:eastAsia="lt-LT"/>
        </w:rPr>
        <w:t>lizingo</w:t>
      </w:r>
      <w:r>
        <w:rPr>
          <w:i/>
          <w:iCs/>
          <w:lang w:val="lt-LT" w:eastAsia="lt-LT"/>
        </w:rPr>
        <w:t xml:space="preserve"> </w:t>
      </w:r>
      <w:r>
        <w:rPr>
          <w:lang w:val="lt-LT" w:eastAsia="lt-LT"/>
        </w:rPr>
        <w:t>sutarties</w:t>
      </w:r>
      <w:r>
        <w:rPr>
          <w:i/>
          <w:iCs/>
          <w:lang w:val="lt-LT" w:eastAsia="lt-LT"/>
        </w:rPr>
        <w:t xml:space="preserve"> </w:t>
      </w:r>
      <w:r>
        <w:rPr>
          <w:lang w:val="lt-LT" w:eastAsia="lt-LT"/>
        </w:rPr>
        <w:t>nutraukimas</w:t>
      </w:r>
      <w:r>
        <w:rPr>
          <w:i/>
          <w:iCs/>
          <w:lang w:val="lt-LT" w:eastAsia="lt-LT"/>
        </w:rPr>
        <w:t xml:space="preserve"> </w:t>
      </w:r>
      <w:r>
        <w:rPr>
          <w:lang w:val="lt-LT" w:eastAsia="lt-LT"/>
        </w:rPr>
        <w:t>ir</w:t>
      </w:r>
      <w:r>
        <w:rPr>
          <w:i/>
          <w:iCs/>
          <w:lang w:val="lt-LT" w:eastAsia="lt-LT"/>
        </w:rPr>
        <w:t xml:space="preserve"> </w:t>
      </w:r>
      <w:r>
        <w:rPr>
          <w:lang w:val="lt-LT" w:eastAsia="lt-LT"/>
        </w:rPr>
        <w:t>turto</w:t>
      </w:r>
      <w:r>
        <w:rPr>
          <w:i/>
          <w:iCs/>
          <w:lang w:val="lt-LT" w:eastAsia="lt-LT"/>
        </w:rPr>
        <w:t xml:space="preserve"> </w:t>
      </w:r>
      <w:r>
        <w:rPr>
          <w:lang w:val="lt-LT" w:eastAsia="lt-LT"/>
        </w:rPr>
        <w:t>grąžinimas</w:t>
      </w:r>
      <w:r>
        <w:rPr>
          <w:i/>
          <w:iCs/>
          <w:lang w:val="lt-LT" w:eastAsia="lt-LT"/>
        </w:rPr>
        <w:t xml:space="preserve"> </w:t>
      </w:r>
      <w:r>
        <w:rPr>
          <w:lang w:val="lt-LT" w:eastAsia="lt-LT"/>
        </w:rPr>
        <w:t>ir</w:t>
      </w:r>
      <w:r>
        <w:rPr>
          <w:i/>
          <w:iCs/>
          <w:lang w:val="lt-LT" w:eastAsia="lt-LT"/>
        </w:rPr>
        <w:t xml:space="preserve"> </w:t>
      </w:r>
      <w:r>
        <w:rPr>
          <w:lang w:val="lt-LT" w:eastAsia="lt-LT"/>
        </w:rPr>
        <w:t>pan.</w:t>
      </w:r>
      <w:r>
        <w:rPr>
          <w:i/>
          <w:iCs/>
          <w:lang w:val="lt-LT" w:eastAsia="lt-LT"/>
        </w:rPr>
        <w:t xml:space="preserve"> </w:t>
      </w:r>
      <w:r>
        <w:rPr>
          <w:lang w:val="lt-LT" w:eastAsia="lt-LT"/>
        </w:rPr>
        <w:t>Kai</w:t>
      </w:r>
      <w:r>
        <w:rPr>
          <w:i/>
          <w:iCs/>
          <w:lang w:val="lt-LT" w:eastAsia="lt-LT"/>
        </w:rPr>
        <w:t xml:space="preserve"> </w:t>
      </w:r>
      <w:r>
        <w:rPr>
          <w:lang w:val="lt-LT" w:eastAsia="lt-LT"/>
        </w:rPr>
        <w:t>investuotas</w:t>
      </w:r>
      <w:r>
        <w:rPr>
          <w:i/>
          <w:iCs/>
          <w:lang w:val="lt-LT" w:eastAsia="lt-LT"/>
        </w:rPr>
        <w:t xml:space="preserve"> </w:t>
      </w:r>
      <w:r>
        <w:rPr>
          <w:lang w:val="lt-LT" w:eastAsia="lt-LT"/>
        </w:rPr>
        <w:t>turtas</w:t>
      </w:r>
      <w:r>
        <w:rPr>
          <w:i/>
          <w:iCs/>
          <w:lang w:val="lt-LT" w:eastAsia="lt-LT"/>
        </w:rPr>
        <w:t xml:space="preserve"> </w:t>
      </w:r>
      <w:r>
        <w:rPr>
          <w:lang w:val="lt-LT" w:eastAsia="lt-LT"/>
        </w:rPr>
        <w:t>nudėvimas,</w:t>
      </w:r>
      <w:r>
        <w:rPr>
          <w:i/>
          <w:iCs/>
          <w:lang w:val="lt-LT" w:eastAsia="lt-LT"/>
        </w:rPr>
        <w:t xml:space="preserve"> </w:t>
      </w:r>
      <w:r>
        <w:rPr>
          <w:lang w:val="lt-LT" w:eastAsia="lt-LT"/>
        </w:rPr>
        <w:t>ir</w:t>
      </w:r>
      <w:r>
        <w:rPr>
          <w:i/>
          <w:iCs/>
          <w:lang w:val="lt-LT" w:eastAsia="lt-LT"/>
        </w:rPr>
        <w:t xml:space="preserve"> </w:t>
      </w:r>
      <w:r>
        <w:rPr>
          <w:lang w:val="lt-LT" w:eastAsia="lt-LT"/>
        </w:rPr>
        <w:t>šio</w:t>
      </w:r>
      <w:r>
        <w:rPr>
          <w:i/>
          <w:iCs/>
          <w:lang w:val="lt-LT" w:eastAsia="lt-LT"/>
        </w:rPr>
        <w:t xml:space="preserve"> </w:t>
      </w:r>
      <w:r>
        <w:rPr>
          <w:lang w:val="lt-LT" w:eastAsia="lt-LT"/>
        </w:rPr>
        <w:t>turto</w:t>
      </w:r>
      <w:r>
        <w:rPr>
          <w:i/>
          <w:iCs/>
          <w:lang w:val="lt-LT" w:eastAsia="lt-LT"/>
        </w:rPr>
        <w:t xml:space="preserve"> </w:t>
      </w:r>
      <w:r>
        <w:rPr>
          <w:lang w:val="lt-LT" w:eastAsia="lt-LT"/>
        </w:rPr>
        <w:t>vertė</w:t>
      </w:r>
      <w:r>
        <w:rPr>
          <w:i/>
          <w:iCs/>
          <w:lang w:val="lt-LT" w:eastAsia="lt-LT"/>
        </w:rPr>
        <w:t xml:space="preserve"> </w:t>
      </w:r>
      <w:r>
        <w:rPr>
          <w:lang w:val="lt-LT" w:eastAsia="lt-LT"/>
        </w:rPr>
        <w:t>tampa</w:t>
      </w:r>
      <w:r>
        <w:rPr>
          <w:i/>
          <w:iCs/>
          <w:lang w:val="lt-LT" w:eastAsia="lt-LT"/>
        </w:rPr>
        <w:t xml:space="preserve"> </w:t>
      </w:r>
      <w:r>
        <w:rPr>
          <w:lang w:val="lt-LT" w:eastAsia="lt-LT"/>
        </w:rPr>
        <w:t>mažesnė</w:t>
      </w:r>
      <w:r>
        <w:rPr>
          <w:i/>
          <w:iCs/>
          <w:lang w:val="lt-LT" w:eastAsia="lt-LT"/>
        </w:rPr>
        <w:t xml:space="preserve"> </w:t>
      </w:r>
      <w:r>
        <w:rPr>
          <w:lang w:val="lt-LT" w:eastAsia="lt-LT"/>
        </w:rPr>
        <w:t>nei</w:t>
      </w:r>
      <w:r>
        <w:rPr>
          <w:i/>
          <w:iCs/>
          <w:lang w:val="lt-LT" w:eastAsia="lt-LT"/>
        </w:rPr>
        <w:t xml:space="preserve"> </w:t>
      </w:r>
      <w:r>
        <w:rPr>
          <w:lang w:val="lt-LT" w:eastAsia="lt-LT"/>
        </w:rPr>
        <w:t>1</w:t>
      </w:r>
      <w:r>
        <w:rPr>
          <w:i/>
          <w:iCs/>
          <w:lang w:val="lt-LT" w:eastAsia="lt-LT"/>
        </w:rPr>
        <w:t xml:space="preserve"> </w:t>
      </w:r>
      <w:r>
        <w:rPr>
          <w:lang w:val="lt-LT" w:eastAsia="lt-LT"/>
        </w:rPr>
        <w:t>milijonas</w:t>
      </w:r>
      <w:r>
        <w:rPr>
          <w:i/>
          <w:iCs/>
          <w:lang w:val="lt-LT" w:eastAsia="lt-LT"/>
        </w:rPr>
        <w:t xml:space="preserve"> </w:t>
      </w:r>
      <w:r>
        <w:rPr>
          <w:lang w:val="lt-LT" w:eastAsia="lt-LT"/>
        </w:rPr>
        <w:t>eurų,</w:t>
      </w:r>
      <w:r>
        <w:rPr>
          <w:i/>
          <w:iCs/>
          <w:lang w:val="lt-LT" w:eastAsia="lt-LT"/>
        </w:rPr>
        <w:t xml:space="preserve"> </w:t>
      </w:r>
      <w:r>
        <w:rPr>
          <w:lang w:val="lt-LT" w:eastAsia="lt-LT"/>
        </w:rPr>
        <w:t>tai</w:t>
      </w:r>
      <w:r>
        <w:rPr>
          <w:i/>
          <w:iCs/>
          <w:lang w:val="lt-LT" w:eastAsia="lt-LT"/>
        </w:rPr>
        <w:t xml:space="preserve"> </w:t>
      </w:r>
      <w:r>
        <w:rPr>
          <w:lang w:val="lt-LT" w:eastAsia="lt-LT"/>
        </w:rPr>
        <w:t>nelaikoma</w:t>
      </w:r>
      <w:r>
        <w:rPr>
          <w:i/>
          <w:iCs/>
          <w:lang w:val="lt-LT" w:eastAsia="lt-LT"/>
        </w:rPr>
        <w:t xml:space="preserve"> </w:t>
      </w:r>
      <w:r>
        <w:rPr>
          <w:lang w:val="lt-LT" w:eastAsia="lt-LT"/>
        </w:rPr>
        <w:t>kapitalo</w:t>
      </w:r>
      <w:r>
        <w:rPr>
          <w:i/>
          <w:iCs/>
          <w:lang w:val="lt-LT" w:eastAsia="lt-LT"/>
        </w:rPr>
        <w:t xml:space="preserve"> </w:t>
      </w:r>
      <w:r>
        <w:rPr>
          <w:lang w:val="lt-LT" w:eastAsia="lt-LT"/>
        </w:rPr>
        <w:t>investicijų</w:t>
      </w:r>
      <w:r>
        <w:rPr>
          <w:i/>
          <w:iCs/>
          <w:lang w:val="lt-LT" w:eastAsia="lt-LT"/>
        </w:rPr>
        <w:t xml:space="preserve"> </w:t>
      </w:r>
      <w:r>
        <w:rPr>
          <w:lang w:val="lt-LT" w:eastAsia="lt-LT"/>
        </w:rPr>
        <w:t>sumažėjimu.</w:t>
      </w:r>
      <w:r>
        <w:rPr>
          <w:i/>
          <w:iCs/>
          <w:lang w:val="lt-LT" w:eastAsia="lt-LT"/>
        </w:rPr>
        <w:t xml:space="preserve"> </w:t>
      </w:r>
    </w:p>
    <w:p w14:paraId="3C5134EC" w14:textId="77777777" w:rsidR="00093845" w:rsidRDefault="000D779E">
      <w:pPr>
        <w:ind w:firstLine="851"/>
        <w:jc w:val="both"/>
        <w:rPr>
          <w:lang w:val="lt-LT" w:eastAsia="lt-LT"/>
        </w:rPr>
      </w:pPr>
      <w:r>
        <w:rPr>
          <w:lang w:val="lt-LT" w:eastAsia="lt-LT"/>
        </w:rPr>
        <w:t xml:space="preserve">  Pažymėtina</w:t>
      </w:r>
      <w:r>
        <w:rPr>
          <w:i/>
          <w:iCs/>
          <w:lang w:val="lt-LT" w:eastAsia="lt-LT"/>
        </w:rPr>
        <w:t xml:space="preserve"> </w:t>
      </w:r>
      <w:r>
        <w:rPr>
          <w:lang w:val="lt-LT" w:eastAsia="lt-LT"/>
        </w:rPr>
        <w:t>yra</w:t>
      </w:r>
      <w:r>
        <w:rPr>
          <w:i/>
          <w:iCs/>
          <w:lang w:val="lt-LT" w:eastAsia="lt-LT"/>
        </w:rPr>
        <w:t xml:space="preserve"> </w:t>
      </w:r>
      <w:r>
        <w:rPr>
          <w:lang w:val="lt-LT" w:eastAsia="lt-LT"/>
        </w:rPr>
        <w:t>tai,</w:t>
      </w:r>
      <w:r>
        <w:rPr>
          <w:i/>
          <w:iCs/>
          <w:lang w:val="lt-LT" w:eastAsia="lt-LT"/>
        </w:rPr>
        <w:t xml:space="preserve"> </w:t>
      </w:r>
      <w:r>
        <w:rPr>
          <w:lang w:val="lt-LT" w:eastAsia="lt-LT"/>
        </w:rPr>
        <w:t>kad</w:t>
      </w:r>
      <w:r>
        <w:rPr>
          <w:i/>
          <w:iCs/>
          <w:lang w:val="lt-LT" w:eastAsia="lt-LT"/>
        </w:rPr>
        <w:t xml:space="preserve"> </w:t>
      </w:r>
      <w:r>
        <w:rPr>
          <w:lang w:val="lt-LT" w:eastAsia="lt-LT"/>
        </w:rPr>
        <w:t>mokestiniai</w:t>
      </w:r>
      <w:r>
        <w:rPr>
          <w:i/>
          <w:iCs/>
          <w:lang w:val="lt-LT" w:eastAsia="lt-LT"/>
        </w:rPr>
        <w:t xml:space="preserve"> </w:t>
      </w:r>
      <w:r>
        <w:rPr>
          <w:lang w:val="lt-LT" w:eastAsia="lt-LT"/>
        </w:rPr>
        <w:t>laikotarpiai,</w:t>
      </w:r>
      <w:r>
        <w:rPr>
          <w:i/>
          <w:iCs/>
          <w:lang w:val="lt-LT" w:eastAsia="lt-LT"/>
        </w:rPr>
        <w:t xml:space="preserve"> </w:t>
      </w:r>
      <w:r>
        <w:rPr>
          <w:lang w:val="lt-LT" w:eastAsia="lt-LT"/>
        </w:rPr>
        <w:t>kuriais</w:t>
      </w:r>
      <w:r>
        <w:rPr>
          <w:i/>
          <w:iCs/>
          <w:lang w:val="lt-LT" w:eastAsia="lt-LT"/>
        </w:rPr>
        <w:t xml:space="preserve"> </w:t>
      </w:r>
      <w:r>
        <w:rPr>
          <w:lang w:val="lt-LT" w:eastAsia="lt-LT"/>
        </w:rPr>
        <w:t>LEZ</w:t>
      </w:r>
      <w:r>
        <w:rPr>
          <w:i/>
          <w:iCs/>
          <w:lang w:val="lt-LT" w:eastAsia="lt-LT"/>
        </w:rPr>
        <w:t xml:space="preserve"> </w:t>
      </w:r>
      <w:r>
        <w:rPr>
          <w:lang w:val="lt-LT" w:eastAsia="lt-LT"/>
        </w:rPr>
        <w:t>įmonė</w:t>
      </w:r>
      <w:r>
        <w:rPr>
          <w:i/>
          <w:iCs/>
          <w:lang w:val="lt-LT" w:eastAsia="lt-LT"/>
        </w:rPr>
        <w:t xml:space="preserve"> </w:t>
      </w:r>
      <w:r>
        <w:rPr>
          <w:lang w:val="lt-LT" w:eastAsia="lt-LT"/>
        </w:rPr>
        <w:t>neturi</w:t>
      </w:r>
      <w:r>
        <w:rPr>
          <w:i/>
          <w:iCs/>
          <w:lang w:val="lt-LT" w:eastAsia="lt-LT"/>
        </w:rPr>
        <w:t xml:space="preserve"> </w:t>
      </w:r>
      <w:r>
        <w:rPr>
          <w:lang w:val="lt-LT" w:eastAsia="lt-LT"/>
        </w:rPr>
        <w:t>teisės</w:t>
      </w:r>
      <w:r>
        <w:rPr>
          <w:i/>
          <w:iCs/>
          <w:lang w:val="lt-LT" w:eastAsia="lt-LT"/>
        </w:rPr>
        <w:t xml:space="preserve"> </w:t>
      </w:r>
      <w:r>
        <w:rPr>
          <w:lang w:val="lt-LT" w:eastAsia="lt-LT"/>
        </w:rPr>
        <w:t>taikyti</w:t>
      </w:r>
      <w:r>
        <w:rPr>
          <w:i/>
          <w:iCs/>
          <w:lang w:val="lt-LT" w:eastAsia="lt-LT"/>
        </w:rPr>
        <w:t xml:space="preserve"> </w:t>
      </w:r>
      <w:r>
        <w:rPr>
          <w:lang w:val="lt-LT" w:eastAsia="lt-LT"/>
        </w:rPr>
        <w:t>šią</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lengvatą,</w:t>
      </w:r>
      <w:r>
        <w:rPr>
          <w:i/>
          <w:iCs/>
          <w:lang w:val="lt-LT" w:eastAsia="lt-LT"/>
        </w:rPr>
        <w:t xml:space="preserve"> </w:t>
      </w:r>
      <w:r>
        <w:rPr>
          <w:lang w:val="lt-LT" w:eastAsia="lt-LT"/>
        </w:rPr>
        <w:t>nėra</w:t>
      </w:r>
      <w:r>
        <w:rPr>
          <w:i/>
          <w:iCs/>
          <w:lang w:val="lt-LT" w:eastAsia="lt-LT"/>
        </w:rPr>
        <w:t xml:space="preserve"> </w:t>
      </w:r>
      <w:r>
        <w:rPr>
          <w:lang w:val="lt-LT" w:eastAsia="lt-LT"/>
        </w:rPr>
        <w:t>įskaičiuojami</w:t>
      </w:r>
      <w:r>
        <w:rPr>
          <w:i/>
          <w:iCs/>
          <w:lang w:val="lt-LT" w:eastAsia="lt-LT"/>
        </w:rPr>
        <w:t xml:space="preserve"> </w:t>
      </w:r>
      <w:r>
        <w:rPr>
          <w:lang w:val="lt-LT" w:eastAsia="lt-LT"/>
        </w:rPr>
        <w:t>į</w:t>
      </w:r>
      <w:r>
        <w:rPr>
          <w:i/>
          <w:iCs/>
          <w:lang w:val="lt-LT" w:eastAsia="lt-LT"/>
        </w:rPr>
        <w:t xml:space="preserve"> </w:t>
      </w:r>
      <w:r>
        <w:rPr>
          <w:lang w:val="lt-LT" w:eastAsia="lt-LT"/>
        </w:rPr>
        <w:t>šiame</w:t>
      </w:r>
      <w:r>
        <w:rPr>
          <w:i/>
          <w:iCs/>
          <w:lang w:val="lt-LT" w:eastAsia="lt-LT"/>
        </w:rPr>
        <w:t xml:space="preserve"> </w:t>
      </w:r>
      <w:bookmarkStart w:id="692" w:name="n1_862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3" w:name="pn1_8626"/>
      <w:bookmarkEnd w:id="692"/>
      <w:bookmarkEnd w:id="693"/>
      <w:r>
        <w:rPr>
          <w:i/>
          <w:iCs/>
          <w:lang w:val="lt-LT" w:eastAsia="lt-LT"/>
        </w:rPr>
        <w:t xml:space="preserve"> </w:t>
      </w:r>
      <w:r>
        <w:rPr>
          <w:lang w:val="lt-LT" w:eastAsia="lt-LT"/>
        </w:rPr>
        <w:t>58</w:t>
      </w:r>
      <w:r>
        <w:rPr>
          <w:i/>
          <w:iCs/>
          <w:lang w:val="lt-LT" w:eastAsia="lt-LT"/>
        </w:rPr>
        <w:t xml:space="preserve"> </w:t>
      </w:r>
      <w:r>
        <w:rPr>
          <w:lang w:val="lt-LT" w:eastAsia="lt-LT"/>
        </w:rPr>
        <w:t>str.</w:t>
      </w:r>
      <w:r>
        <w:rPr>
          <w:i/>
          <w:iCs/>
          <w:lang w:val="lt-LT" w:eastAsia="lt-LT"/>
        </w:rPr>
        <w:t xml:space="preserve"> </w:t>
      </w:r>
      <w:r>
        <w:rPr>
          <w:lang w:val="lt-LT" w:eastAsia="lt-LT"/>
        </w:rPr>
        <w:t>16</w:t>
      </w:r>
      <w:r>
        <w:rPr>
          <w:i/>
          <w:iCs/>
          <w:lang w:val="lt-LT" w:eastAsia="lt-LT"/>
        </w:rPr>
        <w:t xml:space="preserve"> </w:t>
      </w:r>
      <w:r>
        <w:rPr>
          <w:lang w:val="lt-LT" w:eastAsia="lt-LT"/>
        </w:rPr>
        <w:t>d.</w:t>
      </w:r>
      <w:r>
        <w:rPr>
          <w:i/>
          <w:iCs/>
          <w:lang w:val="lt-LT" w:eastAsia="lt-LT"/>
        </w:rPr>
        <w:t xml:space="preserve"> </w:t>
      </w:r>
      <w:r>
        <w:rPr>
          <w:lang w:val="lt-LT" w:eastAsia="lt-LT"/>
        </w:rPr>
        <w:t>1</w:t>
      </w:r>
      <w:r>
        <w:rPr>
          <w:i/>
          <w:iCs/>
          <w:lang w:val="lt-LT" w:eastAsia="lt-LT"/>
        </w:rPr>
        <w:t xml:space="preserve"> </w:t>
      </w:r>
      <w:r>
        <w:rPr>
          <w:lang w:val="lt-LT" w:eastAsia="lt-LT"/>
        </w:rPr>
        <w:t>punkte</w:t>
      </w:r>
      <w:r>
        <w:rPr>
          <w:i/>
          <w:iCs/>
          <w:lang w:val="lt-LT" w:eastAsia="lt-LT"/>
        </w:rPr>
        <w:t xml:space="preserve"> </w:t>
      </w:r>
      <w:r>
        <w:rPr>
          <w:lang w:val="lt-LT" w:eastAsia="lt-LT"/>
        </w:rPr>
        <w:t>nustatytus</w:t>
      </w:r>
      <w:r>
        <w:rPr>
          <w:i/>
          <w:iCs/>
          <w:lang w:val="lt-LT" w:eastAsia="lt-LT"/>
        </w:rPr>
        <w:t xml:space="preserve"> </w:t>
      </w:r>
      <w:r>
        <w:rPr>
          <w:lang w:val="lt-LT" w:eastAsia="lt-LT"/>
        </w:rPr>
        <w:t>6</w:t>
      </w:r>
      <w:r>
        <w:rPr>
          <w:i/>
          <w:iCs/>
          <w:lang w:val="lt-LT" w:eastAsia="lt-LT"/>
        </w:rPr>
        <w:t xml:space="preserve"> </w:t>
      </w:r>
      <w:r>
        <w:rPr>
          <w:lang w:val="lt-LT" w:eastAsia="lt-LT"/>
        </w:rPr>
        <w:t>ir</w:t>
      </w:r>
      <w:r>
        <w:rPr>
          <w:i/>
          <w:iCs/>
          <w:lang w:val="lt-LT" w:eastAsia="lt-LT"/>
        </w:rPr>
        <w:t xml:space="preserve"> </w:t>
      </w:r>
      <w:r>
        <w:rPr>
          <w:lang w:val="lt-LT" w:eastAsia="lt-LT"/>
        </w:rPr>
        <w:t>10</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mokestinius</w:t>
      </w:r>
      <w:r>
        <w:rPr>
          <w:i/>
          <w:iCs/>
          <w:lang w:val="lt-LT" w:eastAsia="lt-LT"/>
        </w:rPr>
        <w:t xml:space="preserve"> </w:t>
      </w:r>
      <w:r>
        <w:rPr>
          <w:lang w:val="lt-LT" w:eastAsia="lt-LT"/>
        </w:rPr>
        <w:t>laikotarpius.</w:t>
      </w:r>
      <w:r>
        <w:rPr>
          <w:i/>
          <w:iCs/>
          <w:lang w:val="lt-LT" w:eastAsia="lt-LT"/>
        </w:rPr>
        <w:t xml:space="preserve"> </w:t>
      </w:r>
    </w:p>
    <w:p w14:paraId="12682937" w14:textId="77777777" w:rsidR="00093845" w:rsidRDefault="000D779E">
      <w:pPr>
        <w:ind w:firstLine="851"/>
        <w:jc w:val="both"/>
        <w:rPr>
          <w:lang w:val="lt-LT" w:eastAsia="lt-LT"/>
        </w:rPr>
      </w:pPr>
      <w:r>
        <w:rPr>
          <w:lang w:val="lt-LT" w:eastAsia="lt-LT"/>
        </w:rPr>
        <w:t xml:space="preserve">  Lengvatos</w:t>
      </w:r>
      <w:r>
        <w:rPr>
          <w:i/>
          <w:iCs/>
          <w:lang w:val="lt-LT" w:eastAsia="lt-LT"/>
        </w:rPr>
        <w:t xml:space="preserve"> </w:t>
      </w:r>
      <w:r>
        <w:rPr>
          <w:lang w:val="lt-LT" w:eastAsia="lt-LT"/>
        </w:rPr>
        <w:t>taikymo</w:t>
      </w:r>
      <w:r>
        <w:rPr>
          <w:i/>
          <w:iCs/>
          <w:lang w:val="lt-LT" w:eastAsia="lt-LT"/>
        </w:rPr>
        <w:t xml:space="preserve"> </w:t>
      </w:r>
      <w:r>
        <w:rPr>
          <w:lang w:val="lt-LT" w:eastAsia="lt-LT"/>
        </w:rPr>
        <w:t>terminas</w:t>
      </w:r>
      <w:r>
        <w:rPr>
          <w:i/>
          <w:iCs/>
          <w:lang w:val="lt-LT" w:eastAsia="lt-LT"/>
        </w:rPr>
        <w:t xml:space="preserve"> </w:t>
      </w:r>
      <w:r>
        <w:rPr>
          <w:lang w:val="lt-LT" w:eastAsia="lt-LT"/>
        </w:rPr>
        <w:t>yra</w:t>
      </w:r>
      <w:r>
        <w:rPr>
          <w:i/>
          <w:iCs/>
          <w:lang w:val="lt-LT" w:eastAsia="lt-LT"/>
        </w:rPr>
        <w:t xml:space="preserve"> </w:t>
      </w:r>
      <w:r>
        <w:rPr>
          <w:lang w:val="lt-LT" w:eastAsia="lt-LT"/>
        </w:rPr>
        <w:t>atnaujinamas</w:t>
      </w:r>
      <w:r w:rsidRPr="0065344A">
        <w:rPr>
          <w:lang w:val="lt-LT"/>
        </w:rPr>
        <w:t xml:space="preserve"> </w:t>
      </w:r>
      <w:r>
        <w:rPr>
          <w:lang w:val="lt-LT" w:eastAsia="lt-LT"/>
        </w:rPr>
        <w:t>tą</w:t>
      </w:r>
      <w:r>
        <w:rPr>
          <w:i/>
          <w:iCs/>
          <w:lang w:val="lt-LT" w:eastAsia="lt-LT"/>
        </w:rPr>
        <w:t xml:space="preserve"> </w:t>
      </w:r>
      <w:r>
        <w:rPr>
          <w:lang w:val="lt-LT" w:eastAsia="lt-LT"/>
        </w:rPr>
        <w:t>mokestinį</w:t>
      </w:r>
      <w:r>
        <w:rPr>
          <w:i/>
          <w:iCs/>
          <w:lang w:val="lt-LT" w:eastAsia="lt-LT"/>
        </w:rPr>
        <w:t xml:space="preserve"> </w:t>
      </w:r>
      <w:r>
        <w:rPr>
          <w:lang w:val="lt-LT" w:eastAsia="lt-LT"/>
        </w:rPr>
        <w:t>laikotarpį,</w:t>
      </w:r>
      <w:r w:rsidRPr="0065344A">
        <w:rPr>
          <w:lang w:val="lt-LT"/>
        </w:rPr>
        <w:t xml:space="preserve"> </w:t>
      </w:r>
      <w:r>
        <w:rPr>
          <w:lang w:val="lt-LT" w:eastAsia="lt-LT"/>
        </w:rPr>
        <w:t>kurį kapitalo investicija vėl pasiekia 1 milijoną eurų, ir</w:t>
      </w:r>
      <w:r>
        <w:rPr>
          <w:i/>
          <w:iCs/>
          <w:lang w:val="lt-LT" w:eastAsia="lt-LT"/>
        </w:rPr>
        <w:t xml:space="preserve"> </w:t>
      </w:r>
      <w:r>
        <w:rPr>
          <w:lang w:val="lt-LT" w:eastAsia="lt-LT"/>
        </w:rPr>
        <w:t>tik</w:t>
      </w:r>
      <w:r>
        <w:rPr>
          <w:i/>
          <w:iCs/>
          <w:lang w:val="lt-LT" w:eastAsia="lt-LT"/>
        </w:rPr>
        <w:t xml:space="preserve"> </w:t>
      </w:r>
      <w:r>
        <w:rPr>
          <w:lang w:val="lt-LT" w:eastAsia="lt-LT"/>
        </w:rPr>
        <w:t>tokiu</w:t>
      </w:r>
      <w:r>
        <w:rPr>
          <w:i/>
          <w:iCs/>
          <w:lang w:val="lt-LT" w:eastAsia="lt-LT"/>
        </w:rPr>
        <w:t xml:space="preserve"> </w:t>
      </w:r>
      <w:r>
        <w:rPr>
          <w:lang w:val="lt-LT" w:eastAsia="lt-LT"/>
        </w:rPr>
        <w:t>atveju,</w:t>
      </w:r>
      <w:r>
        <w:rPr>
          <w:i/>
          <w:iCs/>
          <w:lang w:val="lt-LT" w:eastAsia="lt-LT"/>
        </w:rPr>
        <w:t xml:space="preserve"> </w:t>
      </w:r>
      <w:r>
        <w:rPr>
          <w:lang w:val="lt-LT" w:eastAsia="lt-LT"/>
        </w:rPr>
        <w:t>kai</w:t>
      </w:r>
      <w:r>
        <w:rPr>
          <w:i/>
          <w:iCs/>
          <w:lang w:val="lt-LT" w:eastAsia="lt-LT"/>
        </w:rPr>
        <w:t xml:space="preserve"> </w:t>
      </w:r>
      <w:r>
        <w:rPr>
          <w:lang w:val="lt-LT" w:eastAsia="lt-LT"/>
        </w:rPr>
        <w:t>įmonė</w:t>
      </w:r>
      <w:r>
        <w:rPr>
          <w:i/>
          <w:iCs/>
          <w:lang w:val="lt-LT" w:eastAsia="lt-LT"/>
        </w:rPr>
        <w:t xml:space="preserve"> </w:t>
      </w:r>
      <w:r>
        <w:rPr>
          <w:lang w:val="lt-LT" w:eastAsia="lt-LT"/>
        </w:rPr>
        <w:t>atitinka</w:t>
      </w:r>
      <w:r>
        <w:rPr>
          <w:i/>
          <w:iCs/>
          <w:lang w:val="lt-LT" w:eastAsia="lt-LT"/>
        </w:rPr>
        <w:t xml:space="preserve"> </w:t>
      </w:r>
      <w:r>
        <w:rPr>
          <w:lang w:val="lt-LT" w:eastAsia="lt-LT"/>
        </w:rPr>
        <w:t>visas</w:t>
      </w:r>
      <w:r>
        <w:rPr>
          <w:i/>
          <w:iCs/>
          <w:lang w:val="lt-LT" w:eastAsia="lt-LT"/>
        </w:rPr>
        <w:t xml:space="preserve"> </w:t>
      </w:r>
      <w:r>
        <w:rPr>
          <w:lang w:val="lt-LT" w:eastAsia="lt-LT"/>
        </w:rPr>
        <w:t>3</w:t>
      </w:r>
      <w:r>
        <w:rPr>
          <w:i/>
          <w:iCs/>
          <w:lang w:val="lt-LT" w:eastAsia="lt-LT"/>
        </w:rPr>
        <w:t xml:space="preserve"> </w:t>
      </w:r>
      <w:r>
        <w:rPr>
          <w:lang w:val="lt-LT" w:eastAsia="lt-LT"/>
        </w:rPr>
        <w:t>sąlygas,</w:t>
      </w:r>
      <w:r>
        <w:rPr>
          <w:i/>
          <w:iCs/>
          <w:lang w:val="lt-LT" w:eastAsia="lt-LT"/>
        </w:rPr>
        <w:t xml:space="preserve"> </w:t>
      </w:r>
      <w:r>
        <w:rPr>
          <w:lang w:val="lt-LT" w:eastAsia="lt-LT"/>
        </w:rPr>
        <w:t>–</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ne</w:t>
      </w:r>
      <w:r>
        <w:rPr>
          <w:i/>
          <w:iCs/>
          <w:lang w:val="lt-LT" w:eastAsia="lt-LT"/>
        </w:rPr>
        <w:t xml:space="preserve"> </w:t>
      </w:r>
      <w:r>
        <w:rPr>
          <w:lang w:val="lt-LT" w:eastAsia="lt-LT"/>
        </w:rPr>
        <w:t>mažesnės</w:t>
      </w:r>
      <w:r>
        <w:rPr>
          <w:i/>
          <w:iCs/>
          <w:lang w:val="lt-LT" w:eastAsia="lt-LT"/>
        </w:rPr>
        <w:t xml:space="preserve"> </w:t>
      </w:r>
      <w:r>
        <w:rPr>
          <w:lang w:val="lt-LT" w:eastAsia="lt-LT"/>
        </w:rPr>
        <w:t>kaip</w:t>
      </w:r>
      <w:r>
        <w:rPr>
          <w:i/>
          <w:iCs/>
          <w:lang w:val="lt-LT" w:eastAsia="lt-LT"/>
        </w:rPr>
        <w:t xml:space="preserve"> </w:t>
      </w:r>
      <w:r>
        <w:rPr>
          <w:lang w:val="lt-LT" w:eastAsia="lt-LT"/>
        </w:rPr>
        <w:t>1</w:t>
      </w:r>
      <w:r>
        <w:rPr>
          <w:i/>
          <w:iCs/>
          <w:lang w:val="lt-LT" w:eastAsia="lt-LT"/>
        </w:rPr>
        <w:t xml:space="preserve"> </w:t>
      </w:r>
      <w:r>
        <w:rPr>
          <w:lang w:val="lt-LT" w:eastAsia="lt-LT"/>
        </w:rPr>
        <w:t>milijonas</w:t>
      </w:r>
      <w:r>
        <w:rPr>
          <w:i/>
          <w:iCs/>
          <w:lang w:val="lt-LT" w:eastAsia="lt-LT"/>
        </w:rPr>
        <w:t xml:space="preserve"> </w:t>
      </w:r>
      <w:r>
        <w:rPr>
          <w:lang w:val="lt-LT" w:eastAsia="lt-LT"/>
        </w:rPr>
        <w:t>eurų,</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75</w:t>
      </w:r>
      <w:r>
        <w:rPr>
          <w:i/>
          <w:iCs/>
          <w:lang w:val="lt-LT" w:eastAsia="lt-LT"/>
        </w:rPr>
        <w:t xml:space="preserve"> </w:t>
      </w:r>
      <w:r>
        <w:rPr>
          <w:lang w:val="lt-LT" w:eastAsia="lt-LT"/>
        </w:rPr>
        <w:t>procentus</w:t>
      </w:r>
      <w:r>
        <w:rPr>
          <w:i/>
          <w:iCs/>
          <w:lang w:val="lt-LT" w:eastAsia="lt-LT"/>
        </w:rPr>
        <w:t xml:space="preserve"> </w:t>
      </w:r>
      <w:r>
        <w:rPr>
          <w:lang w:val="lt-LT" w:eastAsia="lt-LT"/>
        </w:rPr>
        <w:t>šios</w:t>
      </w:r>
      <w:r>
        <w:rPr>
          <w:i/>
          <w:iCs/>
          <w:lang w:val="lt-LT" w:eastAsia="lt-LT"/>
        </w:rPr>
        <w:t xml:space="preserve"> </w:t>
      </w:r>
      <w:r>
        <w:rPr>
          <w:lang w:val="lt-LT" w:eastAsia="lt-LT"/>
        </w:rPr>
        <w:t>įmonės</w:t>
      </w:r>
      <w:r>
        <w:rPr>
          <w:i/>
          <w:iCs/>
          <w:lang w:val="lt-LT" w:eastAsia="lt-LT"/>
        </w:rPr>
        <w:t xml:space="preserve"> </w:t>
      </w:r>
      <w:r>
        <w:rPr>
          <w:lang w:val="lt-LT" w:eastAsia="lt-LT"/>
        </w:rPr>
        <w:t>atitinkamo</w:t>
      </w:r>
      <w:r>
        <w:rPr>
          <w:i/>
          <w:iCs/>
          <w:lang w:val="lt-LT" w:eastAsia="lt-LT"/>
        </w:rPr>
        <w:t xml:space="preserve"> </w:t>
      </w:r>
      <w:r>
        <w:rPr>
          <w:lang w:val="lt-LT" w:eastAsia="lt-LT"/>
        </w:rPr>
        <w:lastRenderedPageBreak/>
        <w:t>mokestinio</w:t>
      </w:r>
      <w:r>
        <w:rPr>
          <w:i/>
          <w:iCs/>
          <w:lang w:val="lt-LT" w:eastAsia="lt-LT"/>
        </w:rPr>
        <w:t xml:space="preserve"> </w:t>
      </w:r>
      <w:r>
        <w:rPr>
          <w:lang w:val="lt-LT" w:eastAsia="lt-LT"/>
        </w:rPr>
        <w:t>laikotarpio</w:t>
      </w:r>
      <w:r>
        <w:rPr>
          <w:i/>
          <w:iCs/>
          <w:lang w:val="lt-LT" w:eastAsia="lt-LT"/>
        </w:rPr>
        <w:t xml:space="preserve"> </w:t>
      </w:r>
      <w:r>
        <w:rPr>
          <w:lang w:val="lt-LT" w:eastAsia="lt-LT"/>
        </w:rPr>
        <w:t>pajamų</w:t>
      </w:r>
      <w:r>
        <w:rPr>
          <w:i/>
          <w:iCs/>
          <w:lang w:val="lt-LT" w:eastAsia="lt-LT"/>
        </w:rPr>
        <w:t xml:space="preserve"> </w:t>
      </w:r>
      <w:r>
        <w:rPr>
          <w:lang w:val="lt-LT" w:eastAsia="lt-LT"/>
        </w:rPr>
        <w:t>sudaro</w:t>
      </w:r>
      <w:r>
        <w:rPr>
          <w:i/>
          <w:iCs/>
          <w:lang w:val="lt-LT" w:eastAsia="lt-LT"/>
        </w:rPr>
        <w:t xml:space="preserve"> </w:t>
      </w:r>
      <w:r>
        <w:rPr>
          <w:lang w:val="lt-LT" w:eastAsia="lt-LT"/>
        </w:rPr>
        <w:t>pajamos</w:t>
      </w:r>
      <w:r>
        <w:rPr>
          <w:i/>
          <w:iCs/>
          <w:lang w:val="lt-LT" w:eastAsia="lt-LT"/>
        </w:rPr>
        <w:t xml:space="preserve"> </w:t>
      </w:r>
      <w:r>
        <w:rPr>
          <w:lang w:val="lt-LT" w:eastAsia="lt-LT"/>
        </w:rPr>
        <w:t>iš</w:t>
      </w:r>
      <w:r>
        <w:rPr>
          <w:i/>
          <w:iCs/>
          <w:lang w:val="lt-LT" w:eastAsia="lt-LT"/>
        </w:rPr>
        <w:t xml:space="preserve"> </w:t>
      </w:r>
      <w:r>
        <w:rPr>
          <w:lang w:val="lt-LT" w:eastAsia="lt-LT"/>
        </w:rPr>
        <w:t>nustatytos</w:t>
      </w:r>
      <w:r>
        <w:rPr>
          <w:i/>
          <w:iCs/>
          <w:lang w:val="lt-LT" w:eastAsia="lt-LT"/>
        </w:rPr>
        <w:t xml:space="preserve"> </w:t>
      </w:r>
      <w:r>
        <w:rPr>
          <w:lang w:val="lt-LT" w:eastAsia="lt-LT"/>
        </w:rPr>
        <w:t>zonoje</w:t>
      </w:r>
      <w:r>
        <w:rPr>
          <w:i/>
          <w:iCs/>
          <w:lang w:val="lt-LT" w:eastAsia="lt-LT"/>
        </w:rPr>
        <w:t xml:space="preserve"> </w:t>
      </w:r>
      <w:r>
        <w:rPr>
          <w:lang w:val="lt-LT" w:eastAsia="lt-LT"/>
        </w:rPr>
        <w:t>vykdomos</w:t>
      </w:r>
      <w:r>
        <w:rPr>
          <w:i/>
          <w:iCs/>
          <w:lang w:val="lt-LT" w:eastAsia="lt-LT"/>
        </w:rPr>
        <w:t xml:space="preserve"> </w:t>
      </w:r>
      <w:r>
        <w:rPr>
          <w:lang w:val="lt-LT" w:eastAsia="lt-LT"/>
        </w:rPr>
        <w:t>veiklos</w:t>
      </w:r>
      <w:r>
        <w:rPr>
          <w:i/>
          <w:iCs/>
          <w:lang w:val="lt-LT" w:eastAsia="lt-LT"/>
        </w:rPr>
        <w:t xml:space="preserve"> </w:t>
      </w:r>
      <w:r>
        <w:rPr>
          <w:lang w:val="lt-LT" w:eastAsia="lt-LT"/>
        </w:rPr>
        <w:t>ir</w:t>
      </w:r>
      <w:r>
        <w:rPr>
          <w:i/>
          <w:iCs/>
          <w:lang w:val="lt-LT" w:eastAsia="lt-LT"/>
        </w:rPr>
        <w:t xml:space="preserve"> </w:t>
      </w:r>
      <w:r>
        <w:rPr>
          <w:lang w:val="lt-LT" w:eastAsia="lt-LT"/>
        </w:rPr>
        <w:t>įmonė</w:t>
      </w:r>
      <w:r>
        <w:rPr>
          <w:i/>
          <w:iCs/>
          <w:lang w:val="lt-LT" w:eastAsia="lt-LT"/>
        </w:rPr>
        <w:t xml:space="preserve"> </w:t>
      </w:r>
      <w:r>
        <w:rPr>
          <w:lang w:val="lt-LT" w:eastAsia="lt-LT"/>
        </w:rPr>
        <w:t>turi</w:t>
      </w:r>
      <w:r>
        <w:rPr>
          <w:i/>
          <w:iCs/>
          <w:lang w:val="lt-LT" w:eastAsia="lt-LT"/>
        </w:rPr>
        <w:t xml:space="preserve"> </w:t>
      </w:r>
      <w:r>
        <w:rPr>
          <w:lang w:val="lt-LT" w:eastAsia="lt-LT"/>
        </w:rPr>
        <w:t>auditoriaus</w:t>
      </w:r>
      <w:r>
        <w:rPr>
          <w:i/>
          <w:iCs/>
          <w:lang w:val="lt-LT" w:eastAsia="lt-LT"/>
        </w:rPr>
        <w:t xml:space="preserve"> </w:t>
      </w:r>
      <w:r>
        <w:rPr>
          <w:lang w:val="lt-LT" w:eastAsia="lt-LT"/>
        </w:rPr>
        <w:t>išvadą,</w:t>
      </w:r>
      <w:r>
        <w:rPr>
          <w:i/>
          <w:iCs/>
          <w:lang w:val="lt-LT" w:eastAsia="lt-LT"/>
        </w:rPr>
        <w:t xml:space="preserve"> </w:t>
      </w:r>
      <w:r>
        <w:rPr>
          <w:lang w:val="lt-LT" w:eastAsia="lt-LT"/>
        </w:rPr>
        <w:t>patvirtinančią</w:t>
      </w:r>
      <w:r>
        <w:rPr>
          <w:i/>
          <w:iCs/>
          <w:lang w:val="lt-LT" w:eastAsia="lt-LT"/>
        </w:rPr>
        <w:t xml:space="preserve"> </w:t>
      </w:r>
      <w:r>
        <w:rPr>
          <w:lang w:val="lt-LT" w:eastAsia="lt-LT"/>
        </w:rPr>
        <w:t>reikalaujamą</w:t>
      </w:r>
      <w:r>
        <w:rPr>
          <w:i/>
          <w:iCs/>
          <w:lang w:val="lt-LT" w:eastAsia="lt-LT"/>
        </w:rPr>
        <w:t xml:space="preserve"> </w:t>
      </w:r>
      <w:r>
        <w:rPr>
          <w:lang w:val="lt-LT" w:eastAsia="lt-LT"/>
        </w:rPr>
        <w:t>kapitalo</w:t>
      </w:r>
      <w:r>
        <w:rPr>
          <w:i/>
          <w:iCs/>
          <w:lang w:val="lt-LT" w:eastAsia="lt-LT"/>
        </w:rPr>
        <w:t xml:space="preserve"> </w:t>
      </w:r>
      <w:r>
        <w:rPr>
          <w:lang w:val="lt-LT" w:eastAsia="lt-LT"/>
        </w:rPr>
        <w:t>investicijos</w:t>
      </w:r>
      <w:r>
        <w:rPr>
          <w:i/>
          <w:iCs/>
          <w:lang w:val="lt-LT" w:eastAsia="lt-LT"/>
        </w:rPr>
        <w:t xml:space="preserve"> </w:t>
      </w:r>
      <w:r>
        <w:rPr>
          <w:lang w:val="lt-LT" w:eastAsia="lt-LT"/>
        </w:rPr>
        <w:t>dydį.</w:t>
      </w:r>
    </w:p>
    <w:p w14:paraId="4101D08A" w14:textId="77777777" w:rsidR="00093845" w:rsidRDefault="000D779E">
      <w:pPr>
        <w:ind w:firstLine="851"/>
        <w:jc w:val="both"/>
        <w:rPr>
          <w:lang w:val="lt-LT" w:eastAsia="lt-LT"/>
        </w:rPr>
      </w:pPr>
      <w:r>
        <w:rPr>
          <w:lang w:val="lt-LT" w:eastAsia="lt-LT"/>
        </w:rPr>
        <w:t xml:space="preserve">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6314795D" w14:textId="77777777">
        <w:trPr>
          <w:trHeight w:val="831"/>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7DAA0264" w14:textId="77777777" w:rsidR="00093845" w:rsidRDefault="000D779E">
            <w:pPr>
              <w:ind w:firstLine="851"/>
              <w:jc w:val="both"/>
              <w:rPr>
                <w:lang w:val="lt-LT" w:eastAsia="lt-LT"/>
              </w:rPr>
            </w:pPr>
            <w:r>
              <w:rPr>
                <w:lang w:val="lt-LT" w:eastAsia="lt-LT"/>
              </w:rPr>
              <w:t> Laisvojoje ekonominėje zonoje įmonė įregistruota 2004 metais ir tais metais kapitalo investicijos pasiekė 1 milijono eurų sumą. 2005 metais kapitalo investicijos taip pat yra ne mažesnės kaip 1 milijonas eurų ir 2004–2005 metais yra tenkinamos kitos 2 sąlygos, t. y. ne mažiau kaip 75 procentus šios įmonės atitinkamo mokestinio laikotarpio pajamų sudaro pajamos iš nustatytos zonoje vykdomos veiklos ir įmonė turi auditoriaus išvadą, patvirtinančią reikalaujamą kapitalo investicijos dydį. Tarkime, kad 2006 metais kapitalo investicijos sumažėja ir nebesiekia 1 milijono eurų, o 2008 metais kapitalo investicijos vėl pasiekia 1 milijono eurų sumą ir įmonė atitinka likusias 2 aukščiau minėtas sąlygas, t. y. ne mažiau kaip 75 procentus šios įmonės atitinkamo mokestinio laikotarpio pajamų sudaro pajamos iš nustatytos zonoje vykdomos veiklos ir įmonė turi auditoriaus išvadą, patvirtinančią reikalaujamą kapitalo investicijos dydį.</w:t>
            </w:r>
          </w:p>
          <w:p w14:paraId="7E2AA25F" w14:textId="77777777" w:rsidR="00093845" w:rsidRDefault="000D779E">
            <w:pPr>
              <w:ind w:firstLine="851"/>
              <w:jc w:val="both"/>
              <w:rPr>
                <w:lang w:val="lt-LT" w:eastAsia="lt-LT"/>
              </w:rPr>
            </w:pPr>
            <w:r>
              <w:rPr>
                <w:lang w:val="lt-LT" w:eastAsia="lt-LT"/>
              </w:rPr>
              <w:t>LEZ įmonė 2004–2009 metais galėtų būti atleidžiama nuo pelno mokesčio, o 2010–2019 metais, apskaičiuojant pelno mokestį, ji galėtų taikyti 50 procentų sumažintą pelno mokesčio tarifą.</w:t>
            </w:r>
          </w:p>
          <w:p w14:paraId="44A41404" w14:textId="77777777" w:rsidR="00093845" w:rsidRDefault="000D779E">
            <w:pPr>
              <w:ind w:firstLine="851"/>
              <w:jc w:val="both"/>
              <w:rPr>
                <w:lang w:val="lt-LT" w:eastAsia="lt-LT"/>
              </w:rPr>
            </w:pPr>
            <w:r>
              <w:rPr>
                <w:lang w:val="lt-LT" w:eastAsia="lt-LT"/>
              </w:rPr>
              <w:t xml:space="preserve">Tačiau, atsižvelgiant į tai, kad 2006 mokestiniais metais kapitalo investicijos įmonėje sumažėjo ir nebesiekia 1 milijono eurų sumos, šį mokestinį laikotarpį lengvatos taikymas sustabdomas ir už 2006–2007 mokestinius metus, įmonė turi apskaičiuoti ir į biudžetą sumokėti pelno mokestį, taikydama </w:t>
            </w:r>
            <w:bookmarkStart w:id="694" w:name="n1_863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5" w:name="pn1_8631"/>
            <w:bookmarkEnd w:id="694"/>
            <w:bookmarkEnd w:id="695"/>
            <w:r>
              <w:rPr>
                <w:lang w:val="lt-LT" w:eastAsia="lt-LT"/>
              </w:rPr>
              <w:t xml:space="preserve"> </w:t>
            </w:r>
            <w:bookmarkStart w:id="696" w:name="n1_8632"/>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697" w:name="pn1_8632"/>
            <w:bookmarkEnd w:id="696"/>
            <w:bookmarkEnd w:id="697"/>
            <w:r>
              <w:rPr>
                <w:lang w:val="lt-LT" w:eastAsia="lt-LT"/>
              </w:rPr>
              <w:t xml:space="preserve"> straipsnyje nustatytą pelno mokesčio tarifą.</w:t>
            </w:r>
          </w:p>
          <w:p w14:paraId="65A0C0E2" w14:textId="77777777" w:rsidR="00093845" w:rsidRDefault="000D779E">
            <w:pPr>
              <w:ind w:firstLine="851"/>
              <w:jc w:val="both"/>
              <w:rPr>
                <w:lang w:val="lt-LT" w:eastAsia="lt-LT"/>
              </w:rPr>
            </w:pPr>
            <w:r>
              <w:rPr>
                <w:lang w:val="lt-LT" w:eastAsia="lt-LT"/>
              </w:rPr>
              <w:t xml:space="preserve">Kadangi 2008 metais kapitalo investicijos į įmonę vėl pasiekia 1 milijoną eurų sumą ir įmonė atitinka kitas aukščiau minėtas 2 sąlygas, šį mokestinį laikotarpį lengvatos taikymas vėl atnaujinamas, ir likusiais lengvatos taikymo mokestiniais į laikotarpiais, t. y. 2008–2011 metais, įmonė gali būti atleidžiama nuo pelno mokesčio, o 2012–2021 metais, apskaičiuojant pelno mokestį, gali būti taikomas 50 procentų sumažintas pelno mokesčio tarifas. </w:t>
            </w:r>
          </w:p>
        </w:tc>
      </w:tr>
    </w:tbl>
    <w:p w14:paraId="2380C7C4" w14:textId="77777777" w:rsidR="00093845" w:rsidRDefault="000D779E">
      <w:pPr>
        <w:ind w:firstLine="851"/>
        <w:jc w:val="both"/>
        <w:rPr>
          <w:lang w:val="lt-LT" w:eastAsia="lt-LT"/>
        </w:rPr>
      </w:pPr>
      <w:r>
        <w:rPr>
          <w:lang w:val="lt-LT" w:eastAsia="lt-LT"/>
        </w:rPr>
        <w:t xml:space="preserve">7. Jeigu LEZ įmonės, kuri naudojosi pelno mokesčio lengvata, kuriuo nors mokestiniu laikotarpiu pajamos iš </w:t>
      </w:r>
      <w:bookmarkStart w:id="698" w:name="n1_863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699" w:name="pn1_8633"/>
      <w:bookmarkEnd w:id="698"/>
      <w:bookmarkEnd w:id="699"/>
      <w:r>
        <w:rPr>
          <w:lang w:val="lt-LT" w:eastAsia="lt-LT"/>
        </w:rPr>
        <w:t xml:space="preserve"> </w:t>
      </w:r>
      <w:bookmarkStart w:id="700" w:name="n1_863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01" w:name="pn1_8634"/>
      <w:bookmarkEnd w:id="700"/>
      <w:bookmarkEnd w:id="701"/>
      <w:r>
        <w:rPr>
          <w:lang w:val="lt-LT" w:eastAsia="lt-LT"/>
        </w:rPr>
        <w:t xml:space="preserve"> str. 16 d. 1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t.  y. lengvatos taikymo laikotarpis nėra sustabdomas. Už mokestinius laikotarpius, kuriais LEZ įmonė neturėjo teisės taikyti pelno mokesčio lengvatos, pelno mokestis apskaičiuojamas bendra </w:t>
      </w:r>
      <w:bookmarkStart w:id="702" w:name="n1_863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3" w:name="pn1_8635"/>
      <w:bookmarkEnd w:id="702"/>
      <w:bookmarkEnd w:id="703"/>
      <w:r>
        <w:rPr>
          <w:lang w:val="lt-LT" w:eastAsia="lt-LT"/>
        </w:rPr>
        <w:t xml:space="preserve"> nustatyta tvarka, taikant </w:t>
      </w:r>
      <w:bookmarkStart w:id="704" w:name="n1_863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5" w:name="pn1_8636"/>
      <w:bookmarkEnd w:id="704"/>
      <w:bookmarkEnd w:id="705"/>
      <w:r>
        <w:rPr>
          <w:lang w:val="lt-LT" w:eastAsia="lt-LT"/>
        </w:rPr>
        <w:t xml:space="preserve"> </w:t>
      </w:r>
      <w:bookmarkStart w:id="706" w:name="n1_863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707" w:name="pn1_8637"/>
      <w:bookmarkEnd w:id="706"/>
      <w:bookmarkEnd w:id="707"/>
      <w:r>
        <w:rPr>
          <w:lang w:val="lt-LT" w:eastAsia="lt-LT"/>
        </w:rPr>
        <w:t xml:space="preserve"> straipsnyje nustatytą mokesčio tarifą.</w:t>
      </w:r>
    </w:p>
    <w:p w14:paraId="1E7C8205" w14:textId="77777777" w:rsidR="00093845" w:rsidRDefault="000D779E">
      <w:pPr>
        <w:ind w:firstLine="851"/>
        <w:jc w:val="both"/>
        <w:rPr>
          <w:lang w:val="lt-LT" w:eastAsia="lt-LT"/>
        </w:rPr>
      </w:pPr>
      <w:r>
        <w:rPr>
          <w:b/>
          <w:bCs/>
          <w:lang w:val="lt-LT" w:eastAsia="lt-LT"/>
        </w:rPr>
        <w:t xml:space="preserve">Pavyzdys </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4CDC2D76" w14:textId="77777777">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2994CF29" w14:textId="77777777" w:rsidR="00093845" w:rsidRDefault="000D779E">
            <w:pPr>
              <w:ind w:firstLine="726"/>
              <w:jc w:val="both"/>
              <w:rPr>
                <w:lang w:val="lt-LT" w:eastAsia="lt-LT"/>
              </w:rPr>
            </w:pPr>
            <w:r>
              <w:rPr>
                <w:lang w:val="lt-LT" w:eastAsia="lt-LT"/>
              </w:rPr>
              <w:t xml:space="preserve">Laisvoje ekonominėje zonoje 2010 metais įregistruotos įmonės kapitalo investicijos 2012 metais pasiekė 1 milijono eurų sumą, įmonė, ne mažiau kaip 75 procentus šios įmonės 2012 mokestinių metų pajamų sudarė pajamos iš </w:t>
            </w:r>
            <w:bookmarkStart w:id="708" w:name="n1_863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09" w:name="pn1_8638"/>
            <w:bookmarkEnd w:id="708"/>
            <w:bookmarkEnd w:id="709"/>
            <w:r>
              <w:rPr>
                <w:lang w:val="lt-LT" w:eastAsia="lt-LT"/>
              </w:rPr>
              <w:t xml:space="preserve"> </w:t>
            </w:r>
            <w:bookmarkStart w:id="710" w:name="n1_863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11" w:name="pn1_8639"/>
            <w:bookmarkEnd w:id="710"/>
            <w:bookmarkEnd w:id="711"/>
            <w:r>
              <w:rPr>
                <w:lang w:val="lt-LT" w:eastAsia="lt-LT"/>
              </w:rPr>
              <w:t xml:space="preserve"> str. 16 d. 2 punkte (pagal nuo 2017 metų galiojančią redakciją – </w:t>
            </w:r>
            <w:bookmarkStart w:id="712" w:name="n1_864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13" w:name="pn1_8640"/>
            <w:bookmarkEnd w:id="712"/>
            <w:bookmarkEnd w:id="713"/>
            <w:r>
              <w:rPr>
                <w:lang w:val="lt-LT" w:eastAsia="lt-LT"/>
              </w:rPr>
              <w:t xml:space="preserve"> </w:t>
            </w:r>
            <w:bookmarkStart w:id="714" w:name="n1_8641"/>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15" w:name="pn1_8641"/>
            <w:bookmarkEnd w:id="714"/>
            <w:bookmarkEnd w:id="715"/>
            <w:r>
              <w:rPr>
                <w:lang w:val="lt-LT" w:eastAsia="lt-LT"/>
              </w:rPr>
              <w:t xml:space="preserve"> str. 16 d. 1 punkte) nurodytos zonoje vykdomos veiklos ir įmonė turėjo auditoriaus išvadą, patvirtinančią reikalaujamą kapitalo investicijos dydį. Visas šias sąlygas įmonė atitiko ir 2013 mokestiniais metais, todėl 2 metus taikė pelno mokesčio lengvatą. 2014 metais LEZ įmonės pajamos iš </w:t>
            </w:r>
            <w:bookmarkStart w:id="716" w:name="n1_864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17" w:name="pn1_8642"/>
            <w:bookmarkEnd w:id="716"/>
            <w:bookmarkEnd w:id="717"/>
            <w:r>
              <w:rPr>
                <w:lang w:val="lt-LT" w:eastAsia="lt-LT"/>
              </w:rPr>
              <w:t xml:space="preserve"> </w:t>
            </w:r>
            <w:bookmarkStart w:id="718" w:name="n1_864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19" w:name="pn1_8643"/>
            <w:bookmarkEnd w:id="718"/>
            <w:bookmarkEnd w:id="719"/>
            <w:r>
              <w:rPr>
                <w:lang w:val="lt-LT" w:eastAsia="lt-LT"/>
              </w:rPr>
              <w:t xml:space="preserve"> str. 16 d. 2 punkte (pagal nuo 2017 metų galiojančią redakciją – </w:t>
            </w:r>
            <w:bookmarkStart w:id="720" w:name="n1_864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21" w:name="pn1_8644"/>
            <w:bookmarkEnd w:id="720"/>
            <w:bookmarkEnd w:id="721"/>
            <w:r>
              <w:rPr>
                <w:lang w:val="lt-LT" w:eastAsia="lt-LT"/>
              </w:rPr>
              <w:t xml:space="preserve"> </w:t>
            </w:r>
            <w:bookmarkStart w:id="722" w:name="n1_864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23" w:name="pn1_8645"/>
            <w:bookmarkEnd w:id="722"/>
            <w:bookmarkEnd w:id="723"/>
            <w:r>
              <w:rPr>
                <w:lang w:val="lt-LT" w:eastAsia="lt-LT"/>
              </w:rPr>
              <w:t xml:space="preserve"> str. 16 d. 1 punkte) nurodytos zonoje vykdomos veiklos nesudarė reikalaujamų 75 procentų visų įmonės pajamų, todėl LEZ įmonė už 2014 metus apskaičiavo ir sumokėjo į biudžetą pelno mokestį, taikydama </w:t>
            </w:r>
            <w:bookmarkStart w:id="724" w:name="n1_864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25" w:name="pn1_8646"/>
            <w:bookmarkEnd w:id="724"/>
            <w:bookmarkEnd w:id="725"/>
            <w:r>
              <w:rPr>
                <w:lang w:val="lt-LT" w:eastAsia="lt-LT"/>
              </w:rPr>
              <w:t xml:space="preserve"> </w:t>
            </w:r>
            <w:bookmarkStart w:id="726" w:name="n1_864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727" w:name="pn1_8647"/>
            <w:bookmarkEnd w:id="726"/>
            <w:bookmarkEnd w:id="727"/>
            <w:r>
              <w:rPr>
                <w:lang w:val="lt-LT" w:eastAsia="lt-LT"/>
              </w:rPr>
              <w:t xml:space="preserve"> straipsnyje nustatytą tarifą. Jeigu įmonė vėlesniais </w:t>
            </w:r>
            <w:r>
              <w:rPr>
                <w:lang w:val="lt-LT" w:eastAsia="lt-LT"/>
              </w:rPr>
              <w:lastRenderedPageBreak/>
              <w:t>mokestiniais laikotarpiais atitiks visas 3 minėtas sąlygas, tai ji galės naudotis lengvata 2015–2017 mokestiniais metais, nemokėdama pelno mokesčio, o 2018–2027 mokestiniais metais, mokėdama 50 procentų sumažintą pelno mokestį.</w:t>
            </w:r>
          </w:p>
        </w:tc>
      </w:tr>
    </w:tbl>
    <w:p w14:paraId="35C8F257" w14:textId="77777777" w:rsidR="00093845" w:rsidRDefault="000D779E">
      <w:pPr>
        <w:ind w:firstLine="851"/>
        <w:jc w:val="both"/>
        <w:rPr>
          <w:lang w:val="lt-LT" w:eastAsia="lt-LT"/>
        </w:rPr>
      </w:pPr>
      <w:r>
        <w:rPr>
          <w:lang w:val="lt-LT" w:eastAsia="lt-LT"/>
        </w:rPr>
        <w:lastRenderedPageBreak/>
        <w:t> 8.</w:t>
      </w:r>
      <w:r>
        <w:rPr>
          <w:i/>
          <w:iCs/>
          <w:lang w:val="lt-LT" w:eastAsia="lt-LT"/>
        </w:rPr>
        <w:t xml:space="preserve"> </w:t>
      </w:r>
      <w:r>
        <w:rPr>
          <w:lang w:val="lt-LT" w:eastAsia="lt-LT"/>
        </w:rPr>
        <w:t>Šioje</w:t>
      </w:r>
      <w:r>
        <w:rPr>
          <w:i/>
          <w:iCs/>
          <w:lang w:val="lt-LT" w:eastAsia="lt-LT"/>
        </w:rPr>
        <w:t xml:space="preserve"> </w:t>
      </w:r>
      <w:r>
        <w:rPr>
          <w:lang w:val="lt-LT" w:eastAsia="lt-LT"/>
        </w:rPr>
        <w:t>dalyje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jokiais</w:t>
      </w:r>
      <w:r>
        <w:rPr>
          <w:i/>
          <w:iCs/>
          <w:lang w:val="lt-LT" w:eastAsia="lt-LT"/>
        </w:rPr>
        <w:t xml:space="preserve"> </w:t>
      </w:r>
      <w:r>
        <w:rPr>
          <w:lang w:val="lt-LT" w:eastAsia="lt-LT"/>
        </w:rPr>
        <w:t>atvejais</w:t>
      </w:r>
      <w:r>
        <w:rPr>
          <w:i/>
          <w:iCs/>
          <w:lang w:val="lt-LT" w:eastAsia="lt-LT"/>
        </w:rPr>
        <w:t xml:space="preserve"> </w:t>
      </w:r>
      <w:r>
        <w:rPr>
          <w:lang w:val="lt-LT" w:eastAsia="lt-LT"/>
        </w:rPr>
        <w:t>negali</w:t>
      </w:r>
      <w:r>
        <w:rPr>
          <w:i/>
          <w:iCs/>
          <w:lang w:val="lt-LT" w:eastAsia="lt-LT"/>
        </w:rPr>
        <w:t xml:space="preserve"> </w:t>
      </w:r>
      <w:r>
        <w:rPr>
          <w:lang w:val="lt-LT" w:eastAsia="lt-LT"/>
        </w:rPr>
        <w:t>būti</w:t>
      </w:r>
      <w:r>
        <w:rPr>
          <w:i/>
          <w:iCs/>
          <w:lang w:val="lt-LT" w:eastAsia="lt-LT"/>
        </w:rPr>
        <w:t xml:space="preserve"> </w:t>
      </w:r>
      <w:r>
        <w:rPr>
          <w:lang w:val="lt-LT" w:eastAsia="lt-LT"/>
        </w:rPr>
        <w:t>taikoma</w:t>
      </w:r>
      <w:r>
        <w:rPr>
          <w:i/>
          <w:iCs/>
          <w:lang w:val="lt-LT" w:eastAsia="lt-LT"/>
        </w:rPr>
        <w:t xml:space="preserve"> </w:t>
      </w:r>
      <w:r>
        <w:rPr>
          <w:lang w:val="lt-LT" w:eastAsia="lt-LT"/>
        </w:rPr>
        <w:t>laisvose</w:t>
      </w:r>
      <w:r>
        <w:rPr>
          <w:i/>
          <w:iCs/>
          <w:lang w:val="lt-LT" w:eastAsia="lt-LT"/>
        </w:rPr>
        <w:t xml:space="preserve"> </w:t>
      </w:r>
      <w:r>
        <w:rPr>
          <w:lang w:val="lt-LT" w:eastAsia="lt-LT"/>
        </w:rPr>
        <w:t>ekonominėse</w:t>
      </w:r>
      <w:r>
        <w:rPr>
          <w:i/>
          <w:iCs/>
          <w:lang w:val="lt-LT" w:eastAsia="lt-LT"/>
        </w:rPr>
        <w:t xml:space="preserve"> </w:t>
      </w:r>
      <w:r>
        <w:rPr>
          <w:lang w:val="lt-LT" w:eastAsia="lt-LT"/>
        </w:rPr>
        <w:t>zonose</w:t>
      </w:r>
      <w:r>
        <w:rPr>
          <w:i/>
          <w:iCs/>
          <w:lang w:val="lt-LT" w:eastAsia="lt-LT"/>
        </w:rPr>
        <w:t xml:space="preserve"> </w:t>
      </w:r>
      <w:r>
        <w:rPr>
          <w:lang w:val="lt-LT" w:eastAsia="lt-LT"/>
        </w:rPr>
        <w:t>įregistruotoms</w:t>
      </w:r>
      <w:r>
        <w:rPr>
          <w:i/>
          <w:iCs/>
          <w:lang w:val="lt-LT" w:eastAsia="lt-LT"/>
        </w:rPr>
        <w:t xml:space="preserve"> </w:t>
      </w:r>
      <w:r>
        <w:rPr>
          <w:lang w:val="lt-LT" w:eastAsia="lt-LT"/>
        </w:rPr>
        <w:t>kredito</w:t>
      </w:r>
      <w:r>
        <w:rPr>
          <w:i/>
          <w:iCs/>
          <w:lang w:val="lt-LT" w:eastAsia="lt-LT"/>
        </w:rPr>
        <w:t xml:space="preserve"> </w:t>
      </w:r>
      <w:r>
        <w:rPr>
          <w:lang w:val="lt-LT" w:eastAsia="lt-LT"/>
        </w:rPr>
        <w:t>įstaigoms</w:t>
      </w:r>
      <w:r>
        <w:rPr>
          <w:i/>
          <w:iCs/>
          <w:lang w:val="lt-LT" w:eastAsia="lt-LT"/>
        </w:rPr>
        <w:t xml:space="preserve"> </w:t>
      </w:r>
      <w:r>
        <w:rPr>
          <w:lang w:val="lt-LT" w:eastAsia="lt-LT"/>
        </w:rPr>
        <w:t>ir</w:t>
      </w:r>
      <w:r>
        <w:rPr>
          <w:i/>
          <w:iCs/>
          <w:lang w:val="lt-LT" w:eastAsia="lt-LT"/>
        </w:rPr>
        <w:t xml:space="preserve"> </w:t>
      </w:r>
      <w:r>
        <w:rPr>
          <w:lang w:val="lt-LT" w:eastAsia="lt-LT"/>
        </w:rPr>
        <w:t>draudimo</w:t>
      </w:r>
      <w:r>
        <w:rPr>
          <w:i/>
          <w:iCs/>
          <w:lang w:val="lt-LT" w:eastAsia="lt-LT"/>
        </w:rPr>
        <w:t xml:space="preserve"> </w:t>
      </w:r>
      <w:r>
        <w:rPr>
          <w:lang w:val="lt-LT" w:eastAsia="lt-LT"/>
        </w:rPr>
        <w:t>įmonėms.</w:t>
      </w:r>
    </w:p>
    <w:p w14:paraId="7905D1B6" w14:textId="77777777" w:rsidR="00093845" w:rsidRDefault="000D779E">
      <w:pPr>
        <w:ind w:firstLine="851"/>
        <w:jc w:val="both"/>
        <w:rPr>
          <w:b/>
          <w:bCs/>
          <w:lang w:val="lt-LT" w:eastAsia="lt-LT"/>
        </w:rPr>
      </w:pPr>
      <w:r>
        <w:rPr>
          <w:b/>
          <w:bCs/>
          <w:lang w:val="lt-LT" w:eastAsia="lt-LT"/>
        </w:rPr>
        <w:t xml:space="preserve"> 1) laisvosios ekonominės zonos įmonė, kurioje kapitalo investicijos pasiekė ne mažesnę kaip 1 milijono eurų sumą, 10 mokestinių laikotarpių, pradedant tuo mokestiniu laikotarpiu, kurį ši investicijų suma buvo pasiekta, nemoka pelno mokesčio, o kitus 6 mokestinius laikotarpius jai taikomas 50 procentų sumažintas pelno mokesčio tarifas. Šioje dalyje nustatyta lengvata gali būti taikoma tik tuo atveju, kai ne mažiau kaip 75 procentus atitinkamo mokestinio laikotarpio zonos įmonės pajamų sudaro pajamos iš zonoje vykdomos veiklos.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Šioje dalyje nustatyta lengvata netaikoma prekybos veiklą vykdančiai įmonei ir taikoma tiek, kiek ji suderinama su 2014 m. birželio 17 d. Komisijos reglamento (ES) Nr. 651/2014, kuriuo tam tikrų kategorijų pagalba skelbiama suderinama su vidaus rinka taikant Sutarties 107 ir 108 straipsnius, (OL 2014 L 187, p. 1) nuostatomis;      </w:t>
      </w:r>
    </w:p>
    <w:p w14:paraId="6F4B38B6" w14:textId="77777777" w:rsidR="00093845" w:rsidRDefault="000D779E" w:rsidP="009C0219">
      <w:pPr>
        <w:jc w:val="both"/>
        <w:rPr>
          <w:bCs/>
          <w:lang w:val="lt-LT" w:eastAsia="lt-LT"/>
        </w:rPr>
      </w:pPr>
      <w:r w:rsidRPr="0089549E">
        <w:rPr>
          <w:bCs/>
          <w:i/>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lang w:val="lt-LT"/>
        </w:rPr>
        <w:t>,</w:t>
      </w:r>
      <w:r>
        <w:rPr>
          <w:bCs/>
          <w:lang w:val="lt-LT" w:eastAsia="lt-LT"/>
        </w:rPr>
        <w:t xml:space="preserve"> punkto </w:t>
      </w:r>
      <w:r>
        <w:rPr>
          <w:b/>
          <w:bCs/>
          <w:lang w:val="lt-LT" w:eastAsia="lt-LT"/>
        </w:rPr>
        <w:t>nuostatos taikomos po 2017 m. gruodžio 31 d. įregistruotoms laisvosios ekonominės zonos įmonėms</w:t>
      </w:r>
      <w:r>
        <w:rPr>
          <w:bCs/>
          <w:lang w:val="lt-LT" w:eastAsia="lt-LT"/>
        </w:rPr>
        <w:t>.)</w:t>
      </w:r>
    </w:p>
    <w:p w14:paraId="33CB993A" w14:textId="77777777" w:rsidR="00093845" w:rsidRDefault="000D779E">
      <w:pPr>
        <w:ind w:firstLine="851"/>
        <w:jc w:val="both"/>
        <w:rPr>
          <w:b/>
          <w:bCs/>
          <w:highlight w:val="lightGray"/>
          <w:lang w:val="lt-LT" w:eastAsia="lt-LT"/>
        </w:rPr>
      </w:pPr>
      <w:r>
        <w:rPr>
          <w:b/>
          <w:bCs/>
          <w:lang w:val="lt-LT" w:eastAsia="lt-LT"/>
        </w:rPr>
        <w:t>Komentaras</w:t>
      </w:r>
      <w:r>
        <w:rPr>
          <w:b/>
          <w:bCs/>
          <w:highlight w:val="lightGray"/>
          <w:lang w:val="lt-LT" w:eastAsia="lt-LT"/>
        </w:rPr>
        <w:t xml:space="preserve"> </w:t>
      </w:r>
    </w:p>
    <w:p w14:paraId="24C20A55" w14:textId="77777777" w:rsidR="00093845" w:rsidRDefault="000D779E">
      <w:pPr>
        <w:ind w:firstLine="851"/>
        <w:jc w:val="both"/>
        <w:rPr>
          <w:bCs/>
          <w:lang w:val="lt-LT" w:eastAsia="lt-LT"/>
        </w:rPr>
      </w:pPr>
      <w:r>
        <w:rPr>
          <w:bCs/>
          <w:lang w:val="lt-LT" w:eastAsia="lt-LT"/>
        </w:rPr>
        <w:t>1. PMĮ 58 str. 16 d. 1 punkte nustatyta pelno mokesčio lengvata gali būti taikoma LEZ įmonei, jeigu yra įvykdytos visos šios 3 sąlygos:</w:t>
      </w:r>
    </w:p>
    <w:p w14:paraId="43132490" w14:textId="77777777" w:rsidR="00093845" w:rsidRDefault="000D779E">
      <w:pPr>
        <w:ind w:firstLine="851"/>
        <w:jc w:val="both"/>
        <w:rPr>
          <w:bCs/>
          <w:lang w:val="lt-LT" w:eastAsia="lt-LT"/>
        </w:rPr>
      </w:pPr>
      <w:r>
        <w:rPr>
          <w:bCs/>
          <w:lang w:val="lt-LT" w:eastAsia="lt-LT"/>
        </w:rPr>
        <w:t>1.1. kapitalo investicijos siekia ne mažesnę kaip 1 milijono eurų sumą,</w:t>
      </w:r>
    </w:p>
    <w:p w14:paraId="506E7F4E" w14:textId="77777777" w:rsidR="00093845" w:rsidRDefault="000D779E">
      <w:pPr>
        <w:ind w:firstLine="851"/>
        <w:jc w:val="both"/>
        <w:rPr>
          <w:bCs/>
          <w:lang w:val="lt-LT" w:eastAsia="lt-LT"/>
        </w:rPr>
      </w:pPr>
      <w:r>
        <w:rPr>
          <w:bCs/>
          <w:lang w:val="lt-LT" w:eastAsia="lt-LT"/>
        </w:rPr>
        <w:t>1.2. ne mažiau kaip 75 (t. y. 75 procentus ir daugiau) procentų šios įmonės atitinkamo mokestinio laikotarpio pajamų sudaro pajamos laisvojoje ekonominėje zonoje vykdomos veiklos ir</w:t>
      </w:r>
    </w:p>
    <w:p w14:paraId="3A16A8C1" w14:textId="77777777" w:rsidR="00093845" w:rsidRDefault="000D779E">
      <w:pPr>
        <w:ind w:firstLine="851"/>
        <w:jc w:val="both"/>
        <w:rPr>
          <w:bCs/>
          <w:lang w:val="lt-LT" w:eastAsia="lt-LT"/>
        </w:rPr>
      </w:pPr>
      <w:r>
        <w:rPr>
          <w:bCs/>
          <w:lang w:val="lt-LT" w:eastAsia="lt-LT"/>
        </w:rPr>
        <w:t>1.3. LEZ įmonė turi auditoriaus išvadą, patvirtinančią reikalaujamą kapitalo investicijos dydį.</w:t>
      </w:r>
    </w:p>
    <w:p w14:paraId="1254D0A7" w14:textId="77777777" w:rsidR="00093845" w:rsidRDefault="000D779E">
      <w:pPr>
        <w:ind w:firstLine="851"/>
        <w:jc w:val="both"/>
        <w:rPr>
          <w:bCs/>
          <w:lang w:val="lt-LT" w:eastAsia="lt-LT"/>
        </w:rPr>
      </w:pPr>
      <w:r>
        <w:rPr>
          <w:bCs/>
          <w:lang w:val="lt-LT" w:eastAsia="lt-LT"/>
        </w:rPr>
        <w:t>Skaičiuojant LEZ mokesčio lengvatų taikymo pradžios laikotarpį atsižvelgiama tik į tai ar kapitalo investicijų suma siekia 1 milijono eurų sumą (nevertinant jokių kitų rodiklių). Lengvatos taikymo pradžios mokestinis laikotarpis pradedamas skaičiuoti, kai LEZ įmonės kapitalo investicijos pasiekia ne mažesnę  kaip 1 milijono eurų sumą  ir skaičiuojamas 16 metų (už pirmus 10 metų pelno mokestis nemokamas, už kitus 6 metus - mokamas 50 proc. sumažintas pelno mokestis), išskyrus laikotarpius, kuriuos investicijų suma sumažėja žemiau nustatytos ribos.</w:t>
      </w:r>
    </w:p>
    <w:p w14:paraId="5AD556A8" w14:textId="77777777" w:rsidR="00093845" w:rsidRDefault="000D779E">
      <w:pPr>
        <w:ind w:firstLine="851"/>
        <w:jc w:val="both"/>
        <w:rPr>
          <w:bCs/>
          <w:lang w:val="lt-LT" w:eastAsia="lt-LT"/>
        </w:rPr>
      </w:pPr>
      <w:r>
        <w:rPr>
          <w:bCs/>
          <w:lang w:val="lt-LT" w:eastAsia="lt-LT"/>
        </w:rPr>
        <w:t>2. Lietuvos Respublikos investicijų įstatymo 3 straipsnio 4 dalyje kapitalo investicijos sąvoka apibrėžiama kaip „investicijos ilgalaikiam materialiam ir nematerialiam turtui sukurti, įsigyti arba jo vertei padidinti“. Lietuvos Respublikos investicijų įstatymas  nenustato apribojimų, ar investuotojas gali investuoti ilgalaikį turtą įsigytą už nuosavas ar už skolintas lėšas. Todėl, nustatant 1 milijono eurų vertės kapitalo investiciją, į ją įtraukiamas turtas, įsigytas tiek už nuosavas, tiek už skolintas lėšas, tiek pagal pirkimo išsimokėtinai sutartis.</w:t>
      </w:r>
    </w:p>
    <w:p w14:paraId="456A4984" w14:textId="77777777" w:rsidR="00093845" w:rsidRDefault="000D779E">
      <w:pPr>
        <w:ind w:firstLine="851"/>
        <w:jc w:val="both"/>
        <w:rPr>
          <w:bCs/>
          <w:lang w:val="lt-LT" w:eastAsia="lt-LT"/>
        </w:rPr>
      </w:pPr>
      <w:r>
        <w:rPr>
          <w:bCs/>
          <w:lang w:val="lt-LT" w:eastAsia="lt-LT"/>
        </w:rPr>
        <w:t xml:space="preserve">Atkreiptinas dėmesys, kad kapitalo investicija laikomas įsigytas ar pačių pasigamintas (pasistatytas) turtas. Turto vertės padidėjimas dėl perkainojimo nelaikomas kapitalo investicija. </w:t>
      </w:r>
    </w:p>
    <w:p w14:paraId="199328AB" w14:textId="77777777" w:rsidR="00093845" w:rsidRDefault="000D779E">
      <w:pPr>
        <w:ind w:firstLine="851"/>
        <w:jc w:val="both"/>
        <w:rPr>
          <w:bCs/>
          <w:lang w:val="lt-LT" w:eastAsia="lt-LT"/>
        </w:rPr>
      </w:pPr>
      <w:r>
        <w:rPr>
          <w:bCs/>
          <w:lang w:val="lt-LT" w:eastAsia="lt-LT"/>
        </w:rPr>
        <w:lastRenderedPageBreak/>
        <w:t>Remiantis 20-uoju Verslo apskaitos standartu, pagal lizingo sutartis valdomas turtas registruojamas įmonės apskaitoje kaip ilgalaikio materialaus ar nematerialaus turto įsigijimas, jei sutartyje yra bent vienas iš šių kriterijų:</w:t>
      </w:r>
    </w:p>
    <w:p w14:paraId="3D8BE82F" w14:textId="77777777" w:rsidR="00093845" w:rsidRDefault="000D779E">
      <w:pPr>
        <w:ind w:firstLine="851"/>
        <w:jc w:val="both"/>
        <w:rPr>
          <w:bCs/>
          <w:lang w:val="lt-LT" w:eastAsia="lt-LT"/>
        </w:rPr>
      </w:pPr>
      <w:r>
        <w:rPr>
          <w:bCs/>
          <w:lang w:val="lt-LT" w:eastAsia="lt-LT"/>
        </w:rPr>
        <w:t>– lizingo laikotarpio pabaigoje nuosavybės teisė į turtą pereina lizingo gavėjui;</w:t>
      </w:r>
    </w:p>
    <w:p w14:paraId="3B573887" w14:textId="77777777" w:rsidR="00093845" w:rsidRDefault="000D779E">
      <w:pPr>
        <w:ind w:firstLine="851"/>
        <w:jc w:val="both"/>
        <w:rPr>
          <w:bCs/>
          <w:lang w:val="lt-LT" w:eastAsia="lt-LT"/>
        </w:rPr>
      </w:pPr>
      <w:r>
        <w:rPr>
          <w:bCs/>
          <w:lang w:val="lt-LT" w:eastAsia="lt-LT"/>
        </w:rPr>
        <w:t>– jei lizingo gavėjas turi teisę lizingo laikotarpio pabaigoje įsigyti turtą už kainą kur kas mažesnę už jo tikrąją vertę, ir lizingo laikotarpio pradžioje labai tikėtina, kad šia teise bus pasinaudota;</w:t>
      </w:r>
    </w:p>
    <w:p w14:paraId="1C206AA3" w14:textId="77777777" w:rsidR="00093845" w:rsidRDefault="000D779E">
      <w:pPr>
        <w:ind w:firstLine="851"/>
        <w:jc w:val="both"/>
        <w:rPr>
          <w:bCs/>
          <w:lang w:val="lt-LT" w:eastAsia="lt-LT"/>
        </w:rPr>
      </w:pPr>
      <w:r>
        <w:rPr>
          <w:bCs/>
          <w:lang w:val="lt-LT" w:eastAsia="lt-LT"/>
        </w:rPr>
        <w:t>– lizingo laikotarpis trunka didesniąją turto ekonominio tarnavimo laiko dalį, netgi jei nuosavybės teisė neperduodama. Šis laikotarpis turėtų būti ne trumpesnis kaip 75 procentus turto ekonominio tarnavimo laiko;</w:t>
      </w:r>
    </w:p>
    <w:p w14:paraId="22A7AFA8" w14:textId="77777777" w:rsidR="00093845" w:rsidRDefault="000D779E">
      <w:pPr>
        <w:ind w:firstLine="851"/>
        <w:jc w:val="both"/>
        <w:rPr>
          <w:bCs/>
          <w:lang w:val="lt-LT" w:eastAsia="lt-LT"/>
        </w:rPr>
      </w:pPr>
      <w:r>
        <w:rPr>
          <w:bCs/>
          <w:lang w:val="lt-LT" w:eastAsia="lt-LT"/>
        </w:rPr>
        <w:t>– lizingo laikotarpio pradžioje dabartinė minimalių įmokų vertė yra lygi turto tikrajai vertei arba sudaro ne mažiau kaip 90 procentų turto tikrosios vertės;</w:t>
      </w:r>
    </w:p>
    <w:p w14:paraId="160A7B9A" w14:textId="77777777" w:rsidR="00093845" w:rsidRDefault="000D779E">
      <w:pPr>
        <w:ind w:firstLine="851"/>
        <w:jc w:val="both"/>
        <w:rPr>
          <w:bCs/>
          <w:lang w:val="lt-LT" w:eastAsia="lt-LT"/>
        </w:rPr>
      </w:pPr>
      <w:r>
        <w:rPr>
          <w:bCs/>
          <w:lang w:val="lt-LT" w:eastAsia="lt-LT"/>
        </w:rPr>
        <w:t xml:space="preserve">– turtas yra specifinės paskirties ir, neatlikus didesnių pakeitimų, jį naudoti gali tik šis lizingo gavėjas. </w:t>
      </w:r>
    </w:p>
    <w:p w14:paraId="2B3485EF" w14:textId="77777777" w:rsidR="00093845" w:rsidRDefault="000D779E">
      <w:pPr>
        <w:ind w:firstLine="851"/>
        <w:jc w:val="both"/>
        <w:rPr>
          <w:bCs/>
          <w:lang w:val="lt-LT" w:eastAsia="lt-LT"/>
        </w:rPr>
      </w:pPr>
      <w:r>
        <w:rPr>
          <w:bCs/>
          <w:lang w:val="lt-LT" w:eastAsia="lt-LT"/>
        </w:rPr>
        <w:t xml:space="preserve">Tuo atveju, kai LEZ įmonė įsigyja turtą lizingo būdu, nustatant 1 milijono eurų vertės kapitalo investiciją, į jos vertę įtraukiama visa ilgalaikio turto įsigijimo vertė, jei lizingo sutartyje yra nustatyta bent viena iš aukščiau išvardintų sąlygų. </w:t>
      </w:r>
    </w:p>
    <w:p w14:paraId="1902E423" w14:textId="77777777" w:rsidR="00093845" w:rsidRDefault="000D779E">
      <w:pPr>
        <w:ind w:firstLine="851"/>
        <w:jc w:val="both"/>
        <w:rPr>
          <w:bCs/>
          <w:lang w:val="lt-LT" w:eastAsia="lt-LT"/>
        </w:rPr>
      </w:pPr>
      <w:r>
        <w:rPr>
          <w:bCs/>
          <w:lang w:val="lt-LT" w:eastAsia="lt-LT"/>
        </w:rPr>
        <w:t>2.1.  Vadovaujantis Bendrosios išimties reglamentu (2014 m. birželio 17 d. Komisijos reglamentas (ES) Nr. 651/2014, kuriuo tam tikrų kategorijų pagalba skelbiama suderinama su vidaus rinka taikant Sutarties 107 ir 108 straipsnius, (OL 2014 L 187, p. 1))  LEZ įmonės reorganizavimo, atskyrimo ir (ar) veiklos perkėlimo atveju nauju investiciniu projektu laikomos investicijos, atliktos po 3 m. nuo kitos grupės įmonės (pirminės LEZ įmonės) pradinės investicijos darbų pradžios, todėl pelno mokesčio lengvata, kuri taikoma po 2017 m. gruodžio 31 d. įregistruotoms LEZ įmonėms, taikoma tik tuo atveju, jei LEZ įmonė atlieka naują pradinę investiciją po 3 metų laikotarpio nuo kitos grupės įmonės (pirminės LEZ įmonės) pradinės investicijos darbų pradžios.</w:t>
      </w:r>
    </w:p>
    <w:p w14:paraId="1EF6E30A" w14:textId="77777777" w:rsidR="00093845" w:rsidRDefault="000D779E">
      <w:pPr>
        <w:ind w:firstLine="851"/>
        <w:jc w:val="both"/>
        <w:rPr>
          <w:bCs/>
          <w:lang w:val="lt-LT" w:eastAsia="lt-LT"/>
        </w:rPr>
      </w:pPr>
      <w:r>
        <w:rPr>
          <w:bCs/>
          <w:lang w:val="lt-LT" w:eastAsia="lt-LT"/>
        </w:rPr>
        <w:t xml:space="preserve">Pavyzdys </w:t>
      </w:r>
    </w:p>
    <w:p w14:paraId="0070C5B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Įmonių grupė LEZ teritorijoje turinti plastiko gaminių gamyklą planuoja atskirti nuo veikiančios LEZ įmonės kamštelių gamybą ir įsteigti naują vien tik kamštelių gamybos įmonę (tuo tikslu bus atliktos naujos kapitalo investicijos į gamyklos pastatą, gamybos įrangą ir pan. ), tai po 2017 m. gruodžio 31 d. įregistruotai naujai įsteigtai LEZ įmonei bus galima taikyti PMĮ 58 straipsnio 16 dalies 1 punkte įtvirtintą  lengvatą, tik tuo atveju, jeigu vadovaujantis Bendrosios išimties reglamentu naujai įregistruota LEZ įmonė atlieka naują pradinę investiciją po 3 metų laikotarpio nuo kitos grupės įmonės (pirminės LEZ įmonės) pradinės investicijos darbų pradžios ir jeigu naujai įsteigta LEZ įmonė atitiks kitas PMĮ 58 straipsnio 16 dalies 1 punkte įvardintas sąlygas.</w:t>
      </w:r>
    </w:p>
    <w:p w14:paraId="015C9642" w14:textId="77777777" w:rsidR="00093845" w:rsidRDefault="000D779E">
      <w:pPr>
        <w:ind w:firstLine="851"/>
        <w:jc w:val="both"/>
        <w:rPr>
          <w:bCs/>
          <w:lang w:val="lt-LT" w:eastAsia="lt-LT"/>
        </w:rPr>
      </w:pPr>
      <w:r>
        <w:rPr>
          <w:bCs/>
          <w:lang w:val="lt-LT" w:eastAsia="lt-LT"/>
        </w:rPr>
        <w:t xml:space="preserve"> 3. Pajamos iš zonoje vykdomos veiklos turi sudaryti ne mažiau kaip 75 procentus (t. y. 75 procentus ir daugiau) LEZ įmonės mokestinio laikotarpio pajamų.</w:t>
      </w:r>
    </w:p>
    <w:p w14:paraId="57FD009F" w14:textId="77777777" w:rsidR="00093845" w:rsidRDefault="000D779E">
      <w:pPr>
        <w:ind w:firstLine="851"/>
        <w:jc w:val="both"/>
        <w:rPr>
          <w:bCs/>
          <w:lang w:val="lt-LT" w:eastAsia="lt-LT"/>
        </w:rPr>
      </w:pPr>
      <w:r>
        <w:rPr>
          <w:bCs/>
          <w:lang w:val="lt-LT" w:eastAsia="lt-LT"/>
        </w:rPr>
        <w:t xml:space="preserve">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200DC444" w14:textId="77777777" w:rsidR="00093845" w:rsidRDefault="000D779E">
      <w:pPr>
        <w:ind w:firstLine="851"/>
        <w:jc w:val="both"/>
        <w:rPr>
          <w:bCs/>
          <w:lang w:val="lt-LT" w:eastAsia="lt-LT"/>
        </w:rPr>
      </w:pPr>
      <w:r>
        <w:rPr>
          <w:bCs/>
          <w:lang w:val="lt-LT" w:eastAsia="lt-LT"/>
        </w:rPr>
        <w:t>Pavyzdžiai</w:t>
      </w:r>
    </w:p>
    <w:p w14:paraId="4B2F308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1. LEZ įmonės veikla – pirminių plastikų gamyba. Įmonė, besiverčianti tokia veikla, gali naudotis pelno mokesčio lengvata, jei ne mažiau kaip 75 procentus įmonės pajamų sudaro pajamos iš </w:t>
      </w:r>
      <w:r>
        <w:rPr>
          <w:bCs/>
          <w:lang w:val="lt-LT" w:eastAsia="lt-LT"/>
        </w:rPr>
        <w:lastRenderedPageBreak/>
        <w:t xml:space="preserve">zonoje pagamintų plastikų pardavimo, ir įmonė atitinka kitus PMĮ 58 str. 16 d. 1 punkte įtvirtintus reikalavimus lengvatai taikyti. </w:t>
      </w:r>
    </w:p>
    <w:p w14:paraId="6C65A45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LEZ įmonės veikla yra drabužių siuvimas. Įmonė gali naudotis pelno mokesčio lengvata, jei ne mažiau kaip 75 procentus įmonės pajamų sudaro pajamos iš zonoje pasiūtų drabužių pardavimą ir įmonė atitinka kitus PMĮ 58 str. 16 d. 1 punkte įtvirtintus reikalavimus lengvatai taikyti.</w:t>
      </w:r>
    </w:p>
    <w:p w14:paraId="125EED7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3. LEZ teritorijoje vykdomos sandėliavimo veiklos apmokestinimas priklauso nuo sandėliavimo paslaugų gavėjo. Jei LEZ įmonė, vykdo sandėliavimo veiklą, tačiau sandėliuoja tik savo prekes (pagal EVRK tai didmeninės prekybos dalis), tai tokia įmonė PMĮ 58 str. 16 d. 1 ir 2 punktuose įtvirtinta lengvata negali naudotis. Tačiau pelno mokesčio lengvata galės naudotis LEZ įmonės, kurių pagrindinė veikla yra sandėlio nuoma, krovinių priežiūra, pakrovimas/ iškrovimas ir pan. (įskaitant ir tuos atvejus, kai LEZ įmonė teikia sandėliavimo paslaugas tai pačiai įmonių grupei priklausančioms įmonėms).</w:t>
      </w:r>
    </w:p>
    <w:p w14:paraId="5EC8768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Įmonė planuoja LEZ teritorijoje vykdyti pagrindinę veiklą maisto produktų didmeninę prekybą. Šiuo atveju įmonė LEZ teritorijoje statytų šaldytos produkcijos sandėlį – šaldytuvą, iš kurio būtų vykdoma įmonės produkcijos distribucija į kitas valstybes, t. y. produkcija būtų atvežama dideliais kiekiais ir ji būtų paskirstoma į mažesnes partijas ir pristatoma verslo klientams kaip žaliava jų tolimesnei gamybai. Jei LEZ įmonė užsiima prekių didmenine prekyba (t. y. pardavimu be perdirbimo) ir prekybai būdingų paslaugų teikimo veikla (prekių sandėliavimas, prekių pakrovimas ar iškrovimas, reklama ir pan.), tačiau neteikia šių paslaugų kitoms laisvojoje ekonominėje zonoje įregistruotoms įmonėms, taip pat kitoms Lietuvos ir užsienio įmonėms, tokia įmonė PMĮ 58 str. 16 d. 2 punkte įtvirtinta pelno mokesčio lengvata naudotis negali.</w:t>
      </w:r>
    </w:p>
    <w:p w14:paraId="4B78B8EB" w14:textId="77777777" w:rsidR="00093845" w:rsidRDefault="000D779E">
      <w:pPr>
        <w:ind w:firstLine="851"/>
        <w:jc w:val="both"/>
        <w:rPr>
          <w:bCs/>
          <w:lang w:val="lt-LT" w:eastAsia="lt-LT"/>
        </w:rPr>
      </w:pPr>
      <w:r>
        <w:rPr>
          <w:bCs/>
          <w:lang w:val="lt-LT" w:eastAsia="lt-LT"/>
        </w:rPr>
        <w:t xml:space="preserve">  4. PMĮ 58 str. 16 d. 1 punkto lengvata  netaikoma prekybos veiklą vykdančioms įmonėms. </w:t>
      </w:r>
    </w:p>
    <w:p w14:paraId="715AE3F6" w14:textId="77777777" w:rsidR="00093845" w:rsidRDefault="000D779E">
      <w:pPr>
        <w:ind w:firstLine="851"/>
        <w:jc w:val="both"/>
        <w:rPr>
          <w:bCs/>
          <w:lang w:val="lt-LT" w:eastAsia="lt-LT"/>
        </w:rPr>
      </w:pPr>
      <w:r>
        <w:rPr>
          <w:bCs/>
          <w:lang w:val="lt-LT" w:eastAsia="lt-LT"/>
        </w:rPr>
        <w:t>Pavyzdžiai</w:t>
      </w:r>
    </w:p>
    <w:p w14:paraId="46E8575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1. Įmonė įregistruota laisvojoje ekonominėje zonoje. Jos veikla yra prekyba atsarginėmis detalėmis Įmonė atsargines detales parduoda laisvojoje ekonominėje zonoje įregistruotoms įmonėms, kitiems Lietuvos bei užsienio pirkėjams bei transporto įmonėms. Įmonė 58 str. 16 d. 1 punkte įtvirtinta pelno mokesčio lengvata naudotis negali.</w:t>
      </w:r>
    </w:p>
    <w:p w14:paraId="5A6B91E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LEZ įmonė vykdo 2 veiklas: drabužių gamybos bei drabužių ir drabužių priedų pardavimo veiklą. Įmonė galėtų naudotis pelno mokesčio lengvata, jei ne mažiau kaip 75 procentų įmonės pajamų sudarytų pajamos iš zonoje vykdomos drabužių gamybos veiklos, jeigu atitiktų ir kitas PMĮ 58 str. 16 d. 1 punkte įvardintas sąlygas.</w:t>
      </w:r>
    </w:p>
    <w:p w14:paraId="6BCA0B7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3. LEZ įmonė gamina kosmetikos priemones bei jas parduoda. Kitos veiklos ši įmonė nevykdo. Šiuo atveju įmonė galėtų naudotis pelno mokesčio lengvata, nes ne mažiau kaip 75 procentų įmonės pajamų sudarys pajamos už kosmetikos priemonių gamybą ir pardavimą, ir jeigu įmonė atitiks kitus PMĮ 58 str. 16 d. 1 punkte įtvirtintus reikalavimus lengvatai taikyti. </w:t>
      </w:r>
    </w:p>
    <w:p w14:paraId="412689F4" w14:textId="77777777" w:rsidR="00093845" w:rsidRDefault="000D779E">
      <w:pPr>
        <w:ind w:firstLine="851"/>
        <w:jc w:val="both"/>
        <w:rPr>
          <w:bCs/>
          <w:lang w:val="lt-LT" w:eastAsia="lt-LT"/>
        </w:rPr>
      </w:pPr>
      <w:r>
        <w:rPr>
          <w:bCs/>
          <w:lang w:val="lt-LT" w:eastAsia="lt-LT"/>
        </w:rPr>
        <w:t xml:space="preserve">5. Auditoriaus išvadoje nustatytas laisvosios ekonominės zonos įmonės kapitalo investicijos dydis turėtų būti įrašomas į metinių finansinių ataskaitų aiškinamąjį raštą (kaip reikšminga informacija, nepateikta finansinėse ataskaitose). </w:t>
      </w:r>
    </w:p>
    <w:p w14:paraId="7E87389E" w14:textId="77777777" w:rsidR="00093845" w:rsidRDefault="000D779E">
      <w:pPr>
        <w:ind w:firstLine="851"/>
        <w:jc w:val="both"/>
        <w:rPr>
          <w:bCs/>
          <w:lang w:val="lt-LT" w:eastAsia="lt-LT"/>
        </w:rPr>
      </w:pPr>
      <w:r>
        <w:rPr>
          <w:bCs/>
          <w:lang w:val="lt-LT" w:eastAsia="lt-LT"/>
        </w:rPr>
        <w:t>6. PMĮ 58 str. 16 d. 1 punkto lengvata taikoma mokestiniais laikotarpiais, kuriais yra įvykdytos visos 3 aukščiau minėtos sąlygos, t. y. kapitalo investicijos į įmonę pasiekia ne mažesnę kaip 1 milijono eurų sumą, ne mažiau kaip 75 procentus šios įmonės atitinkamo mokestinio laikotarpio pajamų sudaro pajamos iš nustatytos zonoje vykdomos veiklos ir įmonė turi auditoriaus išvadą, patvirtinančią reikalaujamą kapitalo investicijos dydį. LEZ įmonė, kuriai taikoma šiame punkte nustatyta pelno mokesčio lengvata:</w:t>
      </w:r>
    </w:p>
    <w:p w14:paraId="24940394" w14:textId="77777777" w:rsidR="00093845" w:rsidRDefault="000D779E">
      <w:pPr>
        <w:ind w:firstLine="851"/>
        <w:jc w:val="both"/>
        <w:rPr>
          <w:bCs/>
          <w:lang w:val="lt-LT" w:eastAsia="lt-LT"/>
        </w:rPr>
      </w:pPr>
      <w:r>
        <w:rPr>
          <w:bCs/>
          <w:lang w:val="lt-LT" w:eastAsia="lt-LT"/>
        </w:rPr>
        <w:lastRenderedPageBreak/>
        <w:t>– 10 mokestinių laikotarpių, pradedant tuo mokestiniu laikotarpiu, kurį ši investicijų suma buvo pasiekta, nemoka pelno mokesčio,</w:t>
      </w:r>
    </w:p>
    <w:p w14:paraId="5D5A1A1C" w14:textId="77777777" w:rsidR="00093845" w:rsidRDefault="000D779E">
      <w:pPr>
        <w:ind w:firstLine="851"/>
        <w:jc w:val="both"/>
        <w:rPr>
          <w:bCs/>
          <w:lang w:val="lt-LT" w:eastAsia="lt-LT"/>
        </w:rPr>
      </w:pPr>
      <w:r>
        <w:rPr>
          <w:bCs/>
          <w:lang w:val="lt-LT" w:eastAsia="lt-LT"/>
        </w:rPr>
        <w:t xml:space="preserve">– kitais 6 mokestiniais laikotarpiais jai taikomas 50 procentų sumažintas pelno mokesčio tarifas.       </w:t>
      </w:r>
    </w:p>
    <w:p w14:paraId="64A879BD" w14:textId="77777777" w:rsidR="00093845" w:rsidRDefault="000D779E">
      <w:pPr>
        <w:ind w:firstLine="851"/>
        <w:jc w:val="both"/>
        <w:rPr>
          <w:bCs/>
          <w:lang w:val="lt-LT" w:eastAsia="lt-LT"/>
        </w:rPr>
      </w:pPr>
      <w:r>
        <w:rPr>
          <w:bCs/>
          <w:lang w:val="lt-LT" w:eastAsia="lt-LT"/>
        </w:rPr>
        <w:t xml:space="preserve"> Pavyzdžiai</w:t>
      </w:r>
    </w:p>
    <w:p w14:paraId="2E53322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Pastaba. Visuose pateikiamuose pavyzdžiuose mokestinis laikotarpis sutampa su kalendoriniais metais.</w:t>
      </w:r>
    </w:p>
    <w:p w14:paraId="48B7207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1. Laisvojoje ekonominėje zonoje įmonė įregistruota 2018 metais. 2019 metais kapitalo investicijos į įmonę pasiekė 1 milijono eurų sumą ir minėtą laikotarpį įmonė</w:t>
      </w:r>
      <w:r w:rsidRPr="0065344A">
        <w:rPr>
          <w:lang w:val="lt-LT"/>
        </w:rPr>
        <w:t xml:space="preserve"> </w:t>
      </w:r>
      <w:r>
        <w:rPr>
          <w:bCs/>
          <w:lang w:val="lt-LT" w:eastAsia="lt-LT"/>
        </w:rPr>
        <w:t>atitiko kitus PMĮ 58 str. 16 d. 1 punkte įtvirtintus reikalavimus lengvatai taikyti.</w:t>
      </w:r>
    </w:p>
    <w:p w14:paraId="34652E1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2019-2028 metais įmonė atleidžiama nuo pelno mokesčio, o 2029–2034 metais apskaičiuojant pelno mokestį, gali būti taikomas 50 procentų sumažintas pelno mokesčio tarifas, jeigu, kiekvieną iš šių mokestinių laikotarpių atskirai, yra tenkinamos visos 3 sąlygos, t. y. kapitalo investicijos į įmonę yra ne mažesnės kaip 1 milijonas eurų, ne mažiau kaip 75 procentus šios įmonės atitinkamo mokestinio laikotarpio pajamų sudaro pajamos iš zonoje vykdomos veiklos ir įmonė turi auditoriaus išvadą, patvirtinančią reikalaujamą kapitalo investicijos dydį.</w:t>
      </w:r>
    </w:p>
    <w:p w14:paraId="28A6701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 Įmonė laisvojoje ekonominėje zonoje įsiregistruoja 2018 m. balandžio 10 d. Kapitalo investicijos 1 milijono eurų sumą pasiekė 2020 metais. 2020 metais įmonė tenkina ir kitas 2 sąlygas, t. y. ne mažiau kaip 75 procentus šios įmonės 2020 m. mokestinio laikotarpio pajamų sudaro pajamos iš zonoje vykdomos veiklos ir įmonė turi auditoriaus išvadą, patvirtinančią reikalaujamą kapitalo investicijos dydį.</w:t>
      </w:r>
    </w:p>
    <w:p w14:paraId="1427EC1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2020–2029 metais įmonė gali būti atleidžiama nuo pelno mokesčio, o 2030–2035 metais apskaičiuojant pelno mokestį, gali būti taikomas 50 procentų sumažintas pelno mokesčio tarifas, jeigu kiekvieną iš šių mokestinių laikotarpių atskirai, yra tenkinamos visos 3 sąlygos, t. y. kapitalo investicijos į įmonę yra ne mažesnės kaip 1 milijonas eurų, bei ne mažiau kaip 75 procentus šios įmonės atitinkamo mokestinio laikotarpio pajamų sudaro pajamos iš zonoje vykdomos veiklos ir įmonė turi auditoriaus išvadą, patvirtinančią reikalaujamą kapitalo investicijos dydį. </w:t>
      </w:r>
    </w:p>
    <w:p w14:paraId="5A99FDBC" w14:textId="77777777" w:rsidR="00093845" w:rsidRDefault="000D779E">
      <w:pPr>
        <w:ind w:firstLine="851"/>
        <w:jc w:val="both"/>
        <w:rPr>
          <w:bCs/>
          <w:lang w:val="lt-LT" w:eastAsia="lt-LT"/>
        </w:rPr>
      </w:pPr>
      <w:r>
        <w:rPr>
          <w:bCs/>
          <w:lang w:val="lt-LT" w:eastAsia="lt-LT"/>
        </w:rPr>
        <w:t xml:space="preserve">7. Jei nepasibaigus šiame punkte nustatytam lengvatos taikymo terminui, kapitalo investicijų suma sumažėja ir nebesiekia 1 milijono eurų, lengvatos taikymas sustabdomas tą mokestinį laikotarpį, kurį kapitalo investicijos suma taip sumažėjo, ir gali būti atnaujintas tą mokestinį laikotarpį, kurį kapitalo investicija vėl pasiekia 1 milijoną eurų. </w:t>
      </w:r>
    </w:p>
    <w:p w14:paraId="60A7F009" w14:textId="77777777" w:rsidR="00093845" w:rsidRDefault="000D779E">
      <w:pPr>
        <w:ind w:firstLine="851"/>
        <w:jc w:val="both"/>
        <w:rPr>
          <w:bCs/>
          <w:lang w:val="lt-LT" w:eastAsia="lt-LT"/>
        </w:rPr>
      </w:pPr>
      <w:r>
        <w:rPr>
          <w:bCs/>
          <w:lang w:val="lt-LT"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milijonas eurų, tai nelaikoma kapitalo investicijų sumažėjimu. </w:t>
      </w:r>
    </w:p>
    <w:p w14:paraId="25B061D6" w14:textId="77777777" w:rsidR="00093845" w:rsidRDefault="000D779E">
      <w:pPr>
        <w:ind w:firstLine="851"/>
        <w:jc w:val="both"/>
        <w:rPr>
          <w:bCs/>
          <w:lang w:val="lt-LT" w:eastAsia="lt-LT"/>
        </w:rPr>
      </w:pPr>
      <w:r>
        <w:rPr>
          <w:bCs/>
          <w:lang w:val="lt-LT" w:eastAsia="lt-LT"/>
        </w:rPr>
        <w:t xml:space="preserve">  Pažymėtina yra tai, kad mokestiniai laikotarpiai, kuriais LEZ įmonė neturi teisės taikyti šią pelno mokesčio lengvatą, nėra įskaičiuojami į šiame PMĮ 58 str. 16 d. 1 punkte nustatytus 10 ir 6 pelno mokesčio lengvatos taikymo mokestinius laikotarpius. </w:t>
      </w:r>
    </w:p>
    <w:p w14:paraId="7AA61D0A" w14:textId="77777777" w:rsidR="00093845" w:rsidRDefault="000D779E">
      <w:pPr>
        <w:ind w:firstLine="851"/>
        <w:jc w:val="both"/>
        <w:rPr>
          <w:bCs/>
          <w:lang w:val="lt-LT" w:eastAsia="lt-LT"/>
        </w:rPr>
      </w:pPr>
      <w:r>
        <w:rPr>
          <w:bCs/>
          <w:lang w:val="lt-LT" w:eastAsia="lt-LT"/>
        </w:rPr>
        <w:t xml:space="preserve">  Lengvatos taikymo terminas yra atnaujinamas tą mokestinį laikotarpį, kurį kapitalo investicija vėl pasiekia 1 milijoną eurų, ir tik tokiu atveju, kai įmonė atitinka visas 3 sąlygas, – kapitalo investicijos ne mažesnės kaip 1 milijonas eurų, ne mažiau kaip 75 procentus šios įmonės atitinkamo mokestinio laikotarpio pajamų sudaro pajamos iš zonoje vykdomos veiklos ir įmonė turi auditoriaus išvadą, patvirtinančią reikalaujamą kapitalo investicijos dydį.</w:t>
      </w:r>
    </w:p>
    <w:p w14:paraId="51B501B7" w14:textId="77777777" w:rsidR="00093845" w:rsidRDefault="000D779E">
      <w:pPr>
        <w:ind w:firstLine="851"/>
        <w:jc w:val="both"/>
        <w:rPr>
          <w:bCs/>
          <w:lang w:val="lt-LT" w:eastAsia="lt-LT"/>
        </w:rPr>
      </w:pPr>
      <w:r>
        <w:rPr>
          <w:bCs/>
          <w:lang w:val="lt-LT" w:eastAsia="lt-LT"/>
        </w:rPr>
        <w:lastRenderedPageBreak/>
        <w:t>Pavyzdys</w:t>
      </w:r>
    </w:p>
    <w:p w14:paraId="280FB7B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Laisvojoje ekonominėje zonoje įmonė įregistruota 2018 metais ir tais metais kapitalo investicijos pasiekė 1 milijono eurų sumą. 2019 metais kapitalo investicijos taip pat yra ne mažesnės kaip 1 milijonas eurų ir 2018–2019 metais yra tenkinamos kitos 2 sąlygos, t. y. ne mažiau kaip 75 procentus šios įmonės atitinkamo mokestinio laikotarpio pajamų sudaro pajamos iš zonoje vykdomos veiklos ir įmonė turi auditoriaus išvadą, patvirtinančią reikalaujamą kapitalo investicijos dydį. Tarkime, kad 2020 metais kapitalo investicijos sumažėja ir nebesiekia 1 milijono eurų, o 2022 metais kapitalo investicijos vėl pasiekia 1 milijono eurų sumą ir įmonė atitinka likusias 2 aukščiau minėtas sąlygas, t. y. ne mažiau kaip 75 procentus šios įmonės atitinkamo mokestinio laikotarpio pajamų sudaro pajamos iš zonoje vykdomos veiklos ir įmonė turi auditoriaus išvadą, patvirtinančią reikalaujamą kapitalo investicijos dydį.</w:t>
      </w:r>
    </w:p>
    <w:p w14:paraId="7E072F4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2018-2019 mokestiniais metais, įmonė, atleidžiama nuo pelno mokesčio, nes tenkina PMĮ 58 str. 16 d. 1 punkte nustatytas sąlygas.</w:t>
      </w:r>
    </w:p>
    <w:p w14:paraId="74ADD48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Atsižvelgiant į tai, kad 2020 mokestiniais metais kapitalo investicijos įmonėje sumažėjo ir nebesiekia 1 milijono eurų sumos, šį mokestinį laikotarpį PMĮ 58 str. 16 d. 1 punkte įtvirtintos lengvatos taikymas sustabdomas ir už 2020–2021 mokestinius metus, įmonė turi apskaičiuoti ir į biudžetą sumokėti pelno mokestį, taikydama PMĮ 5 straipsnyje nustatytą pelno mokesčio tarifą.</w:t>
      </w:r>
    </w:p>
    <w:p w14:paraId="4BBEB36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Kadangi 2022 metais kapitalo investicijos į įmonę vėl pasiekia 1 milijoną eurų sumą ir įmonė atitinka kitas aukščiau minėtas 2 sąlygas, šį mokestinį laikotarpį lengvatos taikymas vėl atnaujinamas, ir likusiais lengvatos taikymo mokestiniais į laikotarpiais, t. y. 2022–2029 metais, įmonė gali būti atleidžiama nuo pelno mokesčio, o 2030–2035 metais, apskaičiuojant pelno mokestį, gali būti taikomas 50 procentų sumažintas pelno mokesčio tarifas, jeigu tenkins PMĮ 58 str. 16 d. 1 punkte įtvirtintas sąlygas. </w:t>
      </w:r>
    </w:p>
    <w:p w14:paraId="6DF656F4" w14:textId="77777777" w:rsidR="00093845" w:rsidRDefault="000D779E">
      <w:pPr>
        <w:ind w:firstLine="851"/>
        <w:jc w:val="both"/>
        <w:rPr>
          <w:bCs/>
          <w:lang w:val="lt-LT" w:eastAsia="lt-LT"/>
        </w:rPr>
      </w:pPr>
      <w:r>
        <w:rPr>
          <w:bCs/>
          <w:lang w:val="lt-LT" w:eastAsia="lt-LT"/>
        </w:rPr>
        <w:t xml:space="preserve">8. Jeigu LEZ įmonės, kuri naudojosi pelno mokesčio lengvata, kuriuo nors mokestiniu laikotarpiu pajamos iš PMĮ 58 str. 16 d. 1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10 ir 6 pelno mokesčio lengvatos taikymo mokestinius laikotarpius, t. y. lengvatos taikymo laikotarpis nėra sustabdomas. Už mokestinius laikotarpius, kuriais LEZ įmonė neturėjo teisės taikyti pelno mokesčio lengvatos, pelno mokestis apskaičiuojamas bendra PMĮ nustatyta tvarka, taikant PMĮ 5 straipsnyje nustatytą mokesčio tarifą.  </w:t>
      </w:r>
    </w:p>
    <w:p w14:paraId="1E72C03C" w14:textId="77777777" w:rsidR="00093845" w:rsidRDefault="000D779E">
      <w:pPr>
        <w:ind w:firstLine="851"/>
        <w:jc w:val="both"/>
        <w:rPr>
          <w:bCs/>
          <w:lang w:val="lt-LT" w:eastAsia="lt-LT"/>
        </w:rPr>
      </w:pPr>
      <w:r>
        <w:rPr>
          <w:bCs/>
          <w:lang w:val="lt-LT" w:eastAsia="lt-LT"/>
        </w:rPr>
        <w:t xml:space="preserve">Pavyzdys </w:t>
      </w:r>
    </w:p>
    <w:p w14:paraId="33457F5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Laisvoje ekonominėje zonoje 2018 metais įregistruotos įmonės kapitalo investicijos 2020 metais pasiekė 1 milijono eurų sumą, įmonė, ne mažiau kaip 75 procentus šios įmonės 2020 mokestinių metų pajamų sudarė pajamos iš PMĮ 58 str. 16 d. 1 punkte įtvirtintos zonoje vykdomos veiklos ir įmonė turėjo auditoriaus išvadą, patvirtinančią reikalaujamą kapitalo investicijos dydį. Visas šias sąlygas įmonė atitiko ir 2021 mokestiniais metais, todėl 2 metus taikė pelno mokesčio lengvatą. 2022 metais LEZ įmonės pajamos iš PMĮ 58 str. 16 d.  1 punkte nurodytos zonoje vykdomos veiklos nesudarė reikalaujamų 75 procentų visų įmonės pajamų, todėl LEZ įmonė už 2022 metus apskaičiavo ir sumokėjo į biudžetą pelno mokestį, taikydama PMĮ 5 straipsnyje nustatytą tarifą. Jeigu įmonė vėlesniais mokestiniais laikotarpiais atitiks visas 3 minėtas sąlygas, tai ji galės naudotis lengvata 2023–2029 mokestiniais metais, nemokėdama pelno mokesčio, o 2030–2035 mokestiniais metais, mokėdama 50 procentų sumažintą pelno mokestį.</w:t>
      </w:r>
    </w:p>
    <w:p w14:paraId="0C33C3CB" w14:textId="77777777" w:rsidR="00093845" w:rsidRDefault="000D779E">
      <w:pPr>
        <w:ind w:firstLine="851"/>
        <w:jc w:val="both"/>
        <w:rPr>
          <w:bCs/>
          <w:lang w:val="lt-LT" w:eastAsia="lt-LT"/>
        </w:rPr>
      </w:pPr>
      <w:r>
        <w:rPr>
          <w:bCs/>
          <w:i/>
          <w:lang w:val="lt-LT" w:eastAsia="lt-LT"/>
        </w:rPr>
        <w:lastRenderedPageBreak/>
        <w:t xml:space="preserve"> </w:t>
      </w:r>
      <w:r>
        <w:rPr>
          <w:bCs/>
          <w:lang w:val="lt-LT" w:eastAsia="lt-LT"/>
        </w:rPr>
        <w:t>9. Tuo atveju, kai LEZ įmonė atitinka visus PMĮ 58 str. 16 d. 1 punkte kriterijus ir patiria mokestinius nuostolius,</w:t>
      </w:r>
      <w:r>
        <w:rPr>
          <w:lang w:val="lt-LT"/>
        </w:rPr>
        <w:t xml:space="preserve"> tai mokestiniai laikotarpiai, kuriais yra patirti mokestiniai nuostoliai, </w:t>
      </w:r>
      <w:r>
        <w:rPr>
          <w:bCs/>
          <w:lang w:val="lt-LT" w:eastAsia="lt-LT"/>
        </w:rPr>
        <w:t>yra įskaičiuojami į 10 ir 6 pelno mokesčio lengvatos taikymo mokestinius laikotarpius, t.  y. lengvatos taikymo laikotarpis nėra sustabdomas.</w:t>
      </w:r>
    </w:p>
    <w:p w14:paraId="38EAEE48" w14:textId="77777777" w:rsidR="00093845" w:rsidRDefault="000D779E">
      <w:pPr>
        <w:ind w:firstLine="851"/>
        <w:jc w:val="both"/>
        <w:rPr>
          <w:bCs/>
          <w:lang w:val="lt-LT" w:eastAsia="lt-LT"/>
        </w:rPr>
      </w:pPr>
      <w:r>
        <w:rPr>
          <w:bCs/>
          <w:lang w:val="lt-LT" w:eastAsia="lt-LT"/>
        </w:rPr>
        <w:t>10. PMĮ 58 str. 16 dalies 1 punkto lengvata taikoma tiek, kiek ji suderinama su 2014 m. birželio 17 d. Komisijos reglamento (ES) Nr. 651/2014, kuriuo tam tikrų kategorijų pagalba skelbiama suderinama su vidaus rinka taikant Sutarties 107 ir 108 straipsnius, (OL 2014 L 187, p. 1) nuostatomis.</w:t>
      </w:r>
    </w:p>
    <w:p w14:paraId="27C40817" w14:textId="77777777" w:rsidR="00093845" w:rsidRDefault="000D779E">
      <w:pPr>
        <w:ind w:firstLine="851"/>
        <w:jc w:val="both"/>
        <w:rPr>
          <w:bCs/>
          <w:lang w:val="lt-LT" w:eastAsia="lt-LT"/>
        </w:rPr>
      </w:pPr>
      <w:r>
        <w:rPr>
          <w:bCs/>
          <w:lang w:val="lt-LT" w:eastAsia="lt-LT"/>
        </w:rPr>
        <w:t xml:space="preserve">Laisvosiose ekonominėse zonose įregistruotos įmonės turi teisę į valstybės pagalbą (tiesioginę ir netiesioginę valstybės paramą). Šiuo atveju, norint taikyti PMĮ 58 str. 16 d. 1 punkto lengvatą, įvertinami Europos Sąjungos teisės nustatytus apribojimai, t. y. valstybės pagalbos suma negali peržengti tam tikrų Europos Sąjungos nustatytų apribojimų. Europos Komisijos reglamente (Nr. 651/2014 14 straipsnio 12 punkte) įtvirtinta, kad pagalbos intensyvumas negali viršyti rodiklio, kuris nustatytas atitinkamame regioninės pagalbos žemėlapyje. </w:t>
      </w:r>
    </w:p>
    <w:p w14:paraId="26771C38" w14:textId="77777777" w:rsidR="00093845" w:rsidRDefault="000D779E">
      <w:pPr>
        <w:ind w:firstLine="851"/>
        <w:jc w:val="both"/>
        <w:rPr>
          <w:bCs/>
          <w:lang w:val="lt-LT" w:eastAsia="lt-LT"/>
        </w:rPr>
      </w:pPr>
      <w:r>
        <w:rPr>
          <w:bCs/>
          <w:lang w:val="lt-LT" w:eastAsia="lt-LT"/>
        </w:rPr>
        <w:t>Tuo atveju, jeigu laisvoje ekonominėje zonoje registruotai įmonei valstybės pagalbos suma yra didesnė (peržengia) nei nustatyti tam tikri Europos Sąjungos apribojimai, PMĮ 58 str. 16 d. 1 punkto lengvata netaikoma ir apskaičiuojamas mokėtinas pelno mokestis taikant PMĮ 5 straipsnyje nustatytą pelno mokestį.</w:t>
      </w:r>
    </w:p>
    <w:p w14:paraId="42825D38" w14:textId="77777777" w:rsidR="00093845" w:rsidRDefault="000D779E">
      <w:pPr>
        <w:ind w:firstLine="851"/>
        <w:jc w:val="both"/>
        <w:rPr>
          <w:bCs/>
          <w:lang w:val="lt-LT" w:eastAsia="lt-LT"/>
        </w:rPr>
      </w:pPr>
      <w:r>
        <w:rPr>
          <w:bCs/>
          <w:lang w:val="lt-LT" w:eastAsia="lt-LT"/>
        </w:rPr>
        <w:t>Atsižvelgiant į Europos Komisijos reglamentą  Nr. 651/2014 vienetai, vykdantys nesuderinamą su 2014 m. birželio 17 d. Komisijos reglamento (ES) Nr. 651/2014, kuriuo tam tikrų kategorijų pagalba skelbiama nesuderinama su vidaus rinka taikant Sutarties 107 ir 108 straipsnius, nuostatomis veiklą negali taikyti PMĮ 58 str. 16 dalies 1 punkte įtvirtintą lengvatą. Tokioms veikloms būtų priskiriama pavyzdžiui, bankų draudimo įmonių, holdingų veikla ir kt. veikla. Veiklų sąrašą, kurioms negali būti taikoma PMĮ 58 str. 16 d. 1 punkte įtvirtinta lengvata galima rasti</w:t>
      </w:r>
      <w:r w:rsidR="005858D9">
        <w:rPr>
          <w:bCs/>
          <w:lang w:val="lt-LT" w:eastAsia="lt-LT"/>
        </w:rPr>
        <w:t xml:space="preserve"> </w:t>
      </w:r>
      <w:r w:rsidR="005858D9" w:rsidRPr="008A42E6">
        <w:rPr>
          <w:b/>
          <w:bCs/>
          <w:lang w:val="lt-LT" w:eastAsia="lt-LT"/>
        </w:rPr>
        <w:t>Ekonomikos ir inovacijų</w:t>
      </w:r>
      <w:r>
        <w:rPr>
          <w:bCs/>
          <w:lang w:val="lt-LT" w:eastAsia="lt-LT"/>
        </w:rPr>
        <w:t xml:space="preserve"> ministerijos interneto svetainėje. </w:t>
      </w:r>
    </w:p>
    <w:p w14:paraId="1E3F151F" w14:textId="77777777" w:rsidR="00093845" w:rsidRDefault="000D779E">
      <w:pPr>
        <w:ind w:firstLine="851"/>
        <w:jc w:val="both"/>
        <w:rPr>
          <w:bCs/>
          <w:lang w:val="lt-LT" w:eastAsia="lt-LT"/>
        </w:rPr>
      </w:pPr>
      <w:r>
        <w:rPr>
          <w:bCs/>
          <w:lang w:val="lt-LT" w:eastAsia="lt-LT"/>
        </w:rPr>
        <w:t>Valstybės pagalbos (pagalba, pagalbos priežiūra ir ko</w:t>
      </w:r>
      <w:r w:rsidR="008A42E6">
        <w:rPr>
          <w:bCs/>
          <w:lang w:val="lt-LT" w:eastAsia="lt-LT"/>
        </w:rPr>
        <w:t xml:space="preserve">ntrolė) klausimai priskirti </w:t>
      </w:r>
      <w:r w:rsidR="008A42E6">
        <w:rPr>
          <w:b/>
          <w:bCs/>
          <w:lang w:val="lt-LT" w:eastAsia="lt-LT"/>
        </w:rPr>
        <w:t>Ekonomikos ir inovacijų</w:t>
      </w:r>
      <w:r>
        <w:rPr>
          <w:bCs/>
          <w:lang w:val="lt-LT" w:eastAsia="lt-LT"/>
        </w:rPr>
        <w:t xml:space="preserve"> ministerijos kaip koordinuojančios institucijos specialistų kompetencijai, todėl dėl taikomų pelno mokesčio lengvatų veiklų ribojimo konsultacijas teikia </w:t>
      </w:r>
      <w:r w:rsidR="008A42E6">
        <w:rPr>
          <w:b/>
          <w:bCs/>
          <w:lang w:val="lt-LT" w:eastAsia="lt-LT"/>
        </w:rPr>
        <w:t>Ekonomikos ir inovacijų</w:t>
      </w:r>
      <w:r>
        <w:rPr>
          <w:bCs/>
          <w:lang w:val="lt-LT" w:eastAsia="lt-LT"/>
        </w:rPr>
        <w:t xml:space="preserve"> ministerija.</w:t>
      </w:r>
    </w:p>
    <w:p w14:paraId="751A0FB0" w14:textId="77777777" w:rsidR="00093845" w:rsidRDefault="000D779E">
      <w:pPr>
        <w:ind w:firstLine="851"/>
        <w:jc w:val="both"/>
        <w:rPr>
          <w:bCs/>
          <w:lang w:val="lt-LT" w:eastAsia="lt-LT"/>
        </w:rPr>
      </w:pPr>
      <w:r>
        <w:rPr>
          <w:bCs/>
          <w:lang w:val="lt-LT" w:eastAsia="lt-LT"/>
        </w:rPr>
        <w:t>11. LEZ įmonė, vykdanti ir PMĮ 58 str. 16 d. 1 punkte įvardintą veiklą ir  PMĮ 58 str. 16 d. 2 punkte įvardintą paslaugų veiklą gali pasirinkti ir nuosekliai taikyti vieną iš minėtuose punktuose įtvirtintų lengvatų. Pavyzdžiui,</w:t>
      </w:r>
      <w:r w:rsidRPr="0065344A">
        <w:rPr>
          <w:lang w:val="lt-LT"/>
        </w:rPr>
        <w:t xml:space="preserve"> </w:t>
      </w:r>
      <w:r>
        <w:rPr>
          <w:bCs/>
          <w:lang w:val="lt-LT" w:eastAsia="lt-LT"/>
        </w:rPr>
        <w:t xml:space="preserve">LEZ įmonė, vykdanti ir PMĮ 58 str. 16 d. 1 punkte įvardintą veiklą ir  PMĮ 58 str. 16 d. 2 punkte įvardintą paslaugų veiklą bei pasirinkusi taikyti PMĮ 58 str. 16 d. 1 punkte įtvirtintą lengvatą, visą lengvatos taikymo laikotarpį (16 metų) taiko PMĮ 58 str. 16 d. 1 punkto nuostatas.           </w:t>
      </w:r>
    </w:p>
    <w:p w14:paraId="03D8D372" w14:textId="77777777" w:rsidR="00093845" w:rsidRDefault="000D779E">
      <w:pPr>
        <w:ind w:firstLine="851"/>
        <w:jc w:val="both"/>
        <w:rPr>
          <w:lang w:val="lt-LT" w:eastAsia="lt-LT"/>
        </w:rPr>
      </w:pPr>
      <w:r>
        <w:rPr>
          <w:b/>
          <w:bCs/>
          <w:lang w:val="lt-LT" w:eastAsia="lt-LT"/>
        </w:rPr>
        <w:t xml:space="preserve">2) laisvosios ekonominės zonos įmonė, kurios vidutinis darbuotojų skaičius mokestiniais metais ne mažesnis kaip 20 ir kurioje kapitalo investicijos pasiekė ne mažesnę kaip 1 šimto tūkstančių eurų sumą, 6 mokestinius laikotarpius, pradedant tuo mokestiniu laikotarpiu, kurį ši investicijų suma buvo pasiekta, nemoka pelno mokesčio, o kitais 10 mokestinių laikotarpių jai taikomas 50 procentų sumažintas pelno mokesčio tarifas. Šioje dalyje nustatyta lengvata gali būti taikoma tik tuo atveju, kai ne mažiau kaip 75 procentus atitinkamo mokestinio laikotarpio zonos įmonės pajamų sudaro pajamos iš zonoje vykdomos apskaitos, buhalterijos ir konsultacinės veiklos (išskyrus auditą, 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 Šioje dalyje nustatyta lengvata gali būti pritaikyta tik tuo atveju, kai laisvosios ekonominės zonos įmonė turi auditoriaus išvadą, patvirtinančią reikalaujamą kapitalo </w:t>
      </w:r>
      <w:r>
        <w:rPr>
          <w:b/>
          <w:bCs/>
          <w:lang w:val="lt-LT" w:eastAsia="lt-LT"/>
        </w:rPr>
        <w:lastRenderedPageBreak/>
        <w:t xml:space="preserve">investicijos dydį. Jeigu nesibaigus šioje dalyje nustatytam lengvatos taikymo terminui kapitalo investicijų suma sumažėja ir nebesiekia 1 šimto tūkstančių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eurų ir (arba) vidutinis darbuotojų skaičius mokestiniais metais vėl tampa ne mažesnis kaip 20. Šioje dalyje nustatyta lengvata jokiais atvejais negali būti taikoma kredito įstaigoms ir draudimo įmonėms; </w:t>
      </w:r>
    </w:p>
    <w:p w14:paraId="30345D4F" w14:textId="77777777" w:rsidR="00093845" w:rsidRDefault="000D779E" w:rsidP="0089549E">
      <w:pPr>
        <w:jc w:val="both"/>
        <w:rPr>
          <w:b/>
          <w:bCs/>
          <w:lang w:val="lt-LT" w:eastAsia="lt-LT"/>
        </w:rPr>
      </w:pPr>
      <w:r w:rsidRPr="0089549E">
        <w:rPr>
          <w:i/>
          <w:iCs/>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i/>
          <w:iCs/>
          <w:lang w:val="lt-LT" w:eastAsia="lt-LT"/>
        </w:rPr>
        <w:t xml:space="preserve"> ir </w:t>
      </w:r>
      <w:r w:rsidRPr="0089549E">
        <w:rPr>
          <w:i/>
          <w:iCs/>
          <w:color w:val="000000"/>
          <w:shd w:val="clear" w:color="auto" w:fill="FFFFFF"/>
          <w:lang w:val="lt-LT" w:eastAsia="lt-LT"/>
        </w:rPr>
        <w:t xml:space="preserve">KEISTA: </w:t>
      </w:r>
      <w:r w:rsidRPr="0089549E">
        <w:rPr>
          <w:i/>
          <w:iCs/>
          <w:lang w:val="lt-LT"/>
        </w:rPr>
        <w:t>2017 12 07 įstatymu Nr. XIII-842 (nuo 2018 01 01)</w:t>
      </w:r>
      <w:r>
        <w:rPr>
          <w:iCs/>
          <w:lang w:val="lt-LT"/>
        </w:rPr>
        <w:t>,</w:t>
      </w:r>
      <w:r>
        <w:rPr>
          <w:iCs/>
          <w:lang w:val="lt-LT" w:eastAsia="lt-LT"/>
        </w:rPr>
        <w:t xml:space="preserve"> punkto </w:t>
      </w:r>
      <w:r>
        <w:rPr>
          <w:b/>
          <w:iCs/>
          <w:lang w:val="lt-LT" w:eastAsia="lt-LT"/>
        </w:rPr>
        <w:t xml:space="preserve">nuostatos galioja </w:t>
      </w:r>
      <w:r w:rsidRPr="0065344A">
        <w:rPr>
          <w:b/>
          <w:iCs/>
          <w:lang w:val="lt-LT" w:eastAsia="lt-LT"/>
        </w:rPr>
        <w:t xml:space="preserve">nuo 2017 m. sausio 1 d. </w:t>
      </w:r>
      <w:r>
        <w:rPr>
          <w:b/>
          <w:iCs/>
          <w:lang w:val="lt-LT" w:eastAsia="lt-LT"/>
        </w:rPr>
        <w:t>iki 2018 m. sausio 1 d. įregistruotoms laisvosios ekonominės zonos įmonėms</w:t>
      </w:r>
      <w:r>
        <w:rPr>
          <w:iCs/>
          <w:lang w:val="lt-LT" w:eastAsia="lt-LT"/>
        </w:rPr>
        <w:t>)</w:t>
      </w:r>
      <w:r>
        <w:rPr>
          <w:b/>
          <w:bCs/>
          <w:lang w:val="lt-LT" w:eastAsia="lt-LT"/>
        </w:rPr>
        <w:t xml:space="preserve">       </w:t>
      </w:r>
    </w:p>
    <w:p w14:paraId="63EC6F92" w14:textId="77777777" w:rsidR="00093845" w:rsidRDefault="000D779E">
      <w:pPr>
        <w:ind w:firstLine="851"/>
        <w:jc w:val="both"/>
        <w:rPr>
          <w:lang w:val="lt-LT" w:eastAsia="lt-LT"/>
        </w:rPr>
      </w:pPr>
      <w:r>
        <w:rPr>
          <w:b/>
          <w:bCs/>
          <w:lang w:val="lt-LT" w:eastAsia="lt-LT"/>
        </w:rPr>
        <w:t>Komentaras</w:t>
      </w:r>
    </w:p>
    <w:p w14:paraId="00812602" w14:textId="77777777" w:rsidR="00093845" w:rsidRDefault="000D779E">
      <w:pPr>
        <w:pStyle w:val="Sraopastraipa"/>
        <w:ind w:left="0" w:firstLine="851"/>
        <w:jc w:val="both"/>
      </w:pPr>
      <w:r>
        <w:t>1. PMĮ 58 str. 16 dalies 2 punkte nustatyta pelno mokesčio lengvata, kad laisvosios ekonominės zonos (toliau – LEZ) įmonė 6 mokestinius laikotarpius nemoka pelno mokesčio, o kitais 10 mokestinių laikotarpių jai taikomas 50 procentų sumažintas pelno mokesčio tarifas, jeigu ji atitinka šiuos reikalavimus:</w:t>
      </w:r>
    </w:p>
    <w:p w14:paraId="759BD8C4" w14:textId="77777777" w:rsidR="00093845" w:rsidRDefault="000D779E">
      <w:pPr>
        <w:pStyle w:val="Sraopastraipa"/>
        <w:ind w:left="0" w:firstLine="851"/>
        <w:jc w:val="both"/>
      </w:pPr>
      <w:r>
        <w:t>1.1. vidutinis šios įmonės darbuotojų skaičius mokestiniais metais yra ne mažesnis kaip 20 darbuotojų;</w:t>
      </w:r>
    </w:p>
    <w:p w14:paraId="76D7C053" w14:textId="77777777" w:rsidR="00093845" w:rsidRDefault="000D779E">
      <w:pPr>
        <w:pStyle w:val="Sraopastraipa"/>
        <w:ind w:left="0" w:firstLine="851"/>
        <w:jc w:val="both"/>
      </w:pPr>
      <w:r>
        <w:t>1.2. kapitalo investicijos siekia</w:t>
      </w:r>
      <w:r>
        <w:rPr>
          <w:b/>
        </w:rPr>
        <w:t xml:space="preserve"> </w:t>
      </w:r>
      <w:r>
        <w:t>ne mažesnę kaip 1 šimto tūkstančių (100 000) eurų sumą;</w:t>
      </w:r>
    </w:p>
    <w:p w14:paraId="4DFA35E6" w14:textId="77777777" w:rsidR="00093845" w:rsidRDefault="000D779E">
      <w:pPr>
        <w:pStyle w:val="Sraopastraipa"/>
        <w:ind w:left="0" w:firstLine="851"/>
        <w:jc w:val="both"/>
      </w:pPr>
      <w:r>
        <w:t>1.3. ne mažiau kaip 75 procentus atitinkamo mokestinio laikotarpio zonos įmonės pajamų sudaro pajamos iš zonoje vykdomos apskaitos, buhalterijos ir konsultacinės veiklos (išskyrus auditą, 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w:t>
      </w:r>
    </w:p>
    <w:p w14:paraId="12F29B3D" w14:textId="77777777" w:rsidR="00093845" w:rsidRDefault="000D779E">
      <w:pPr>
        <w:pStyle w:val="Sraopastraipa"/>
        <w:ind w:left="0" w:firstLine="851"/>
        <w:jc w:val="both"/>
      </w:pPr>
      <w:r>
        <w:t>1.4. LEZ įmonė turi auditoriaus išvadą, patvirtinančią reikalaujamą kapitalo investicijos dydį.</w:t>
      </w:r>
    </w:p>
    <w:p w14:paraId="003A2F1B" w14:textId="77777777" w:rsidR="00093845" w:rsidRDefault="000D779E">
      <w:pPr>
        <w:ind w:firstLine="851"/>
        <w:jc w:val="both"/>
        <w:rPr>
          <w:lang w:val="lt-LT" w:eastAsia="lt-LT"/>
        </w:rPr>
      </w:pPr>
      <w:r>
        <w:rPr>
          <w:lang w:val="lt-LT"/>
        </w:rPr>
        <w:t xml:space="preserve">Skaičiuojant LEZ mokesčio lengvatų taikymo laikotarpį atsižvelgiama tik į tai ar kapitalo investicijų suma siekia 1 šimto tūkstančių eurų sumą (nevertinant jokių kitų rodiklių). Lengvatos taikymo pradžios mokestinis laikotarpis pradedamas skaičiuoti, kai LEZ įmonės kapitalo investicijos pasiekia ne mažesnę  kaip 1 šimto tūkstančių eurų sumą  ir skaičiuojamas 16 metų </w:t>
      </w:r>
      <w:r>
        <w:rPr>
          <w:bCs/>
          <w:lang w:val="lt-LT" w:eastAsia="lt-LT"/>
        </w:rPr>
        <w:t>(už pirmus 6 metus pelno mokestis nemokamas, už kitus 10 metų - mokamas 50 proc. sumažintas pelno mokestis)</w:t>
      </w:r>
      <w:r>
        <w:rPr>
          <w:lang w:val="lt-LT"/>
        </w:rPr>
        <w:t>, išskyrus laikotarpius, kuriuos investicijų suma sumažėja žemiau nustatytos ribos.</w:t>
      </w:r>
      <w:r>
        <w:rPr>
          <w:lang w:val="lt-LT" w:eastAsia="lt-LT"/>
        </w:rPr>
        <w:t xml:space="preserve"> </w:t>
      </w:r>
    </w:p>
    <w:p w14:paraId="532DDE46" w14:textId="77777777" w:rsidR="00093845" w:rsidRDefault="000D779E">
      <w:pPr>
        <w:pStyle w:val="Sraopastraipa"/>
        <w:ind w:left="0" w:firstLine="851"/>
        <w:jc w:val="both"/>
      </w:pPr>
      <w:r>
        <w:t>2. Vidutinis sąrašuose esančių darbuotojų skaičius apskaičiuojamas pagal 2002 m. gegužės 15 d. finansų ministro įsakymą Nr. 134 „Dėl Vidutinio metų sąrašinio darbuotojų skaičiaus apskaičiavimo taisyklių patvirtinimo“ (toliau - Taisyklės).</w:t>
      </w:r>
    </w:p>
    <w:p w14:paraId="21B4F781" w14:textId="77777777" w:rsidR="008238EF" w:rsidRDefault="008238EF">
      <w:pPr>
        <w:pStyle w:val="Sraopastraipa"/>
        <w:ind w:left="0" w:firstLine="851"/>
        <w:jc w:val="both"/>
      </w:pPr>
    </w:p>
    <w:p w14:paraId="3687CA15" w14:textId="77777777" w:rsidR="00093845" w:rsidRPr="00A3019F" w:rsidRDefault="000D779E">
      <w:pPr>
        <w:pStyle w:val="Sraopastraipa"/>
        <w:ind w:left="0" w:firstLine="851"/>
        <w:jc w:val="both"/>
      </w:pPr>
      <w:r w:rsidRPr="00A3019F">
        <w:t>Pavyzdys</w:t>
      </w:r>
    </w:p>
    <w:p w14:paraId="126066A4" w14:textId="77777777" w:rsidR="00093845" w:rsidRDefault="000D779E">
      <w:pPr>
        <w:pBdr>
          <w:top w:val="single" w:sz="4" w:space="1" w:color="auto"/>
          <w:left w:val="single" w:sz="4" w:space="4" w:color="auto"/>
          <w:bottom w:val="single" w:sz="4" w:space="1" w:color="auto"/>
          <w:right w:val="single" w:sz="4" w:space="4" w:color="auto"/>
        </w:pBdr>
        <w:ind w:firstLine="851"/>
        <w:jc w:val="both"/>
        <w:rPr>
          <w:iCs/>
          <w:lang w:val="lt-LT"/>
        </w:rPr>
      </w:pPr>
      <w:r>
        <w:rPr>
          <w:iCs/>
          <w:u w:val="single"/>
          <w:lang w:val="lt-LT"/>
        </w:rPr>
        <w:t xml:space="preserve">Pastaba. </w:t>
      </w:r>
      <w:r>
        <w:rPr>
          <w:iCs/>
          <w:lang w:val="lt-LT"/>
        </w:rPr>
        <w:t>Pavyzdyje mokestinis laikotarpis sutampa su kalendoriniais metais.</w:t>
      </w:r>
    </w:p>
    <w:p w14:paraId="174E6158"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Laisvojoje ekonominėje zonoje įmonė įregistruota 2016 metų lapkričio mėn. 2017 metais kapitalo investicijos pasiekė 1 šimto tūkstančių (100 000) eurų sumą. LEZ įmonė vykdo architektūros ir inžinerijos, ir su ja susijusių techninių konsultacijų (išskyrus statybos darbų kontrolę, vietovės nuotraukų darymą) veiklą.</w:t>
      </w:r>
    </w:p>
    <w:p w14:paraId="34F9368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 xml:space="preserve">Tarkime, kad 2017 metais yra tenkinamos trys PMĮ 58 str. 16 d. 2 punkte įvardintos sąlygos, t. y. kapitalo investicijos yra ne mažesnės kaip 1 šimto tūkstančių (100 000) eurų, ne mažiau kaip 75 procentus šios įmonės atitinkamo mokestinio laikotarpio pajamų sudaro pajamos iš nustatytos </w:t>
      </w:r>
      <w:r>
        <w:rPr>
          <w:lang w:val="lt-LT"/>
        </w:rPr>
        <w:lastRenderedPageBreak/>
        <w:t>zonoje vykdomos veiklos ir įmonė turi auditoriaus išvadą, patvirtinančią reikalaujamą kapitalo investicijos dydį.</w:t>
      </w:r>
    </w:p>
    <w:p w14:paraId="57AE80E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ab/>
        <w:t xml:space="preserve">LEZ įmonei reikia apskaičiuoti, ar tenkinama ketvirta 58 str. 16 d. 2 punkte įvardinta sąlyga, t. y. ar vidutinis šios įmonės darbuotojų skaičius mokestiniais metais yra ne mažesnis kaip 20 darbuotojų. </w:t>
      </w:r>
    </w:p>
    <w:p w14:paraId="5C95362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8222"/>
          <w:tab w:val="left" w:pos="9638"/>
        </w:tabs>
        <w:ind w:firstLine="851"/>
        <w:jc w:val="both"/>
        <w:rPr>
          <w:lang w:val="lt-LT"/>
        </w:rPr>
      </w:pPr>
      <w:r>
        <w:rPr>
          <w:lang w:val="lt-LT"/>
        </w:rPr>
        <w:tab/>
        <w:t>Vadovaujantis taisyklėmis, vidutinis metų sąrašinis darbuotojų skaičius apskaičiuojamas taikant chronologinį vidurkį pagal formulę:</w:t>
      </w:r>
      <w:r>
        <w:rPr>
          <w:lang w:val="lt-LT"/>
        </w:rPr>
        <w:tab/>
      </w:r>
      <w:r>
        <w:rPr>
          <w:lang w:val="lt-LT"/>
        </w:rPr>
        <w:tab/>
      </w:r>
    </w:p>
    <w:p w14:paraId="634A59A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w:t>
      </w:r>
      <w:r>
        <w:rPr>
          <w:noProof/>
          <w:lang w:val="lt-LT" w:eastAsia="lt-LT"/>
        </w:rPr>
        <w:drawing>
          <wp:inline distT="0" distB="0" distL="0" distR="0" wp14:anchorId="3DA345B2" wp14:editId="3BB59541">
            <wp:extent cx="3609975" cy="7842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3638708" cy="790602"/>
                    </a:xfrm>
                    <a:prstGeom prst="rect">
                      <a:avLst/>
                    </a:prstGeom>
                    <a:noFill/>
                  </pic:spPr>
                </pic:pic>
              </a:graphicData>
            </a:graphic>
          </wp:inline>
        </w:drawing>
      </w:r>
    </w:p>
    <w:p w14:paraId="365DD79F"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kur: </w:t>
      </w:r>
    </w:p>
    <w:p w14:paraId="4925CFF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 – vidutinis metų sąrašinis darbuotojų skaičius ataskaitiniais metais;</w:t>
      </w:r>
    </w:p>
    <w:p w14:paraId="4AA740F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Dgr0 – darbuotojų skaičius iki ataskaitinių metų gruodžio 31 d.;</w:t>
      </w:r>
    </w:p>
    <w:p w14:paraId="0D734914"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Ds – darbuotojų skaičius ataskaitinių metų sausio 31 d.;</w:t>
      </w:r>
    </w:p>
    <w:p w14:paraId="1AC72A7B"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Dv – darbuotojų skaičius ataskaitinių metų vasario 28 d. arba 29 d.;</w:t>
      </w:r>
    </w:p>
    <w:p w14:paraId="65B57C9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 – kitų ataskaitinio laikotarpio mėnesių darbuotojų skaičius;</w:t>
      </w:r>
    </w:p>
    <w:p w14:paraId="7E796067"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Dl – darbuotojų skaičius ataskaitinių metų lapkričio 30 d.;</w:t>
      </w:r>
    </w:p>
    <w:p w14:paraId="11744E6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Dgr1 – darbuotojų skaičius ataskaitinių metų gruodžio 31 d.</w:t>
      </w:r>
    </w:p>
    <w:p w14:paraId="35F15A94" w14:textId="77777777" w:rsidR="00093845" w:rsidRDefault="00093845">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p>
    <w:p w14:paraId="072CB556"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w:t>
      </w:r>
      <w:r>
        <w:rPr>
          <w:lang w:val="lt-LT"/>
        </w:rPr>
        <w:tab/>
        <w:t xml:space="preserve">Į darbuotojų skaičių neįskaitoma: </w:t>
      </w:r>
    </w:p>
    <w:p w14:paraId="5935685A"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moterys, kurioms suteiktos nėštumo ir gimdymo atostogos; </w:t>
      </w:r>
    </w:p>
    <w:p w14:paraId="70F122CD"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asmenys, kuriems suteiktos atostogos vaikui prižiūrėti, kol jam sueis treji metai;</w:t>
      </w:r>
    </w:p>
    <w:p w14:paraId="6DD11811"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asmenys, atliekantys privalomąją karo arba alternatyviąją krašto apsaugos tarnybą;</w:t>
      </w:r>
    </w:p>
    <w:p w14:paraId="09953F49"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 w:val="left" w:pos="9356"/>
        </w:tabs>
        <w:ind w:firstLine="851"/>
        <w:jc w:val="both"/>
        <w:rPr>
          <w:lang w:val="lt-LT"/>
        </w:rPr>
      </w:pPr>
      <w:r>
        <w:rPr>
          <w:lang w:val="lt-LT"/>
        </w:rPr>
        <w:t xml:space="preserve">–  asmenys, sudarę autorines ar kitas civilines sutartis; </w:t>
      </w:r>
    </w:p>
    <w:p w14:paraId="3DA997C8"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  asmenys, įsigiję verslo liudijimus; </w:t>
      </w:r>
    </w:p>
    <w:p w14:paraId="2E309957"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mokiniai, su kuriais nesudarytos darbo sutartys.</w:t>
      </w:r>
    </w:p>
    <w:p w14:paraId="1977759A"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t>Tarkime, kad  LEZ įmonėje 2017 metais darbuotojų skaičius toks:</w:t>
      </w:r>
    </w:p>
    <w:p w14:paraId="16E74401"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r>
    </w:p>
    <w:p w14:paraId="41289089"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noProof/>
          <w:lang w:val="lt-LT" w:eastAsia="lt-LT"/>
        </w:rPr>
        <w:drawing>
          <wp:inline distT="0" distB="0" distL="0" distR="0" wp14:anchorId="402BC56A" wp14:editId="6A415570">
            <wp:extent cx="6120130" cy="848995"/>
            <wp:effectExtent l="0" t="0" r="0" b="8255"/>
            <wp:docPr id="374" name="Paveikslėlis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aveikslėlis 37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6120130" cy="849035"/>
                    </a:xfrm>
                    <a:prstGeom prst="rect">
                      <a:avLst/>
                    </a:prstGeom>
                    <a:noFill/>
                    <a:ln>
                      <a:noFill/>
                    </a:ln>
                  </pic:spPr>
                </pic:pic>
              </a:graphicData>
            </a:graphic>
          </wp:inline>
        </w:drawing>
      </w:r>
    </w:p>
    <w:p w14:paraId="4C3DBE1F" w14:textId="77777777" w:rsidR="00093845" w:rsidRDefault="00093845">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p>
    <w:p w14:paraId="77B389BE"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32/2+20+26+26+32+32+16+6+6+15+16+20+32/2</w:t>
      </w:r>
    </w:p>
    <w:p w14:paraId="3DB84019"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lastRenderedPageBreak/>
        <w:t>-------------------------------------------------------------      =  20,58</w:t>
      </w:r>
    </w:p>
    <w:p w14:paraId="607FE582"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ab/>
        <w:t xml:space="preserve">                              12</w:t>
      </w:r>
    </w:p>
    <w:p w14:paraId="259491AE"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2017 metų vidutinis metų sąrašinis darbuotojų skaičius yra lygus 20,58 darbuotojų.</w:t>
      </w:r>
      <w:r>
        <w:rPr>
          <w:lang w:val="lt-LT"/>
        </w:rPr>
        <w:tab/>
      </w:r>
    </w:p>
    <w:p w14:paraId="4FA597CD"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 </w:t>
      </w:r>
    </w:p>
    <w:p w14:paraId="1EBD7A47" w14:textId="77777777" w:rsidR="00093845" w:rsidRDefault="000D779E">
      <w:pPr>
        <w:pBdr>
          <w:top w:val="single" w:sz="4" w:space="1" w:color="auto"/>
          <w:left w:val="single" w:sz="4" w:space="4" w:color="auto"/>
          <w:bottom w:val="single" w:sz="4" w:space="1" w:color="auto"/>
          <w:right w:val="single" w:sz="4" w:space="4" w:color="auto"/>
        </w:pBdr>
        <w:shd w:val="clear" w:color="auto" w:fill="FFFFFF" w:themeFill="background1"/>
        <w:tabs>
          <w:tab w:val="left" w:pos="720"/>
          <w:tab w:val="left" w:pos="1077"/>
          <w:tab w:val="left" w:pos="1418"/>
          <w:tab w:val="left" w:pos="9356"/>
        </w:tabs>
        <w:ind w:firstLine="851"/>
        <w:jc w:val="both"/>
        <w:rPr>
          <w:lang w:val="lt-LT"/>
        </w:rPr>
      </w:pPr>
      <w:r>
        <w:rPr>
          <w:lang w:val="lt-LT"/>
        </w:rPr>
        <w:t xml:space="preserve">Atsižvelgiant į tai, kad LEZ įmonė atitinka visas 4 PMĮ 58 str. 16 d. 2 punkte įvardintas sąlygas,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 ir vidutinis šios įmonės darbuotojų skaičius mokestiniais metais yra ne mažesnis kaip 20 darbuotojų, ši įmonė apskaičiuojant 2017 metų apmokestinamąjį pelną  pritaikys  minėtame straipsnyje įtvirtintą lengvatą (6 mokestinius laikotarpius nemokėti pelno mokesčio) ir nemokės pelno mokesčio. </w:t>
      </w:r>
    </w:p>
    <w:p w14:paraId="6608B15C" w14:textId="77777777" w:rsidR="00093845" w:rsidRDefault="000D779E" w:rsidP="008238EF">
      <w:pPr>
        <w:ind w:firstLine="567"/>
        <w:jc w:val="both"/>
        <w:rPr>
          <w:lang w:val="lt-LT" w:eastAsia="lt-LT"/>
        </w:rPr>
      </w:pPr>
      <w:r>
        <w:rPr>
          <w:lang w:val="lt-LT" w:eastAsia="lt-LT"/>
        </w:rPr>
        <w:t xml:space="preserve">3. Lietuvos Respublikos </w:t>
      </w:r>
      <w:bookmarkStart w:id="728" w:name="n1_8653"/>
      <w:r>
        <w:rPr>
          <w:lang w:val="lt-LT" w:eastAsia="lt-LT"/>
        </w:rPr>
        <w:fldChar w:fldCharType="begin"/>
      </w:r>
      <w:r>
        <w:rPr>
          <w:lang w:val="lt-LT" w:eastAsia="lt-LT"/>
        </w:rPr>
        <w:instrText xml:space="preserve"> HYPERLINK "http://www.infolex.lt/ta/52483" \o "Lietuvos Respublikos investicijų įstatymas" \t "_blank" </w:instrText>
      </w:r>
      <w:r>
        <w:rPr>
          <w:lang w:val="lt-LT" w:eastAsia="lt-LT"/>
        </w:rPr>
        <w:fldChar w:fldCharType="separate"/>
      </w:r>
      <w:r>
        <w:rPr>
          <w:lang w:val="lt-LT" w:eastAsia="lt-LT"/>
        </w:rPr>
        <w:t>investicijų įstatymo</w:t>
      </w:r>
      <w:r>
        <w:rPr>
          <w:lang w:val="lt-LT" w:eastAsia="lt-LT"/>
        </w:rPr>
        <w:fldChar w:fldCharType="end"/>
      </w:r>
      <w:bookmarkStart w:id="729" w:name="pn1_8653"/>
      <w:bookmarkEnd w:id="728"/>
      <w:bookmarkEnd w:id="729"/>
      <w:r>
        <w:rPr>
          <w:lang w:val="lt-LT" w:eastAsia="lt-LT"/>
        </w:rPr>
        <w:t xml:space="preserve"> </w:t>
      </w:r>
      <w:bookmarkStart w:id="730" w:name="n1_8655"/>
      <w:r>
        <w:rPr>
          <w:lang w:val="lt-LT" w:eastAsia="lt-LT"/>
        </w:rPr>
        <w:fldChar w:fldCharType="begin"/>
      </w:r>
      <w:r>
        <w:rPr>
          <w:lang w:val="lt-LT" w:eastAsia="lt-LT"/>
        </w:rPr>
        <w:instrText xml:space="preserve"> HYPERLINK "JavaScript:OL('52483','3')" \o "Investicijų rūšys (str. 3)" </w:instrText>
      </w:r>
      <w:r>
        <w:rPr>
          <w:lang w:val="lt-LT" w:eastAsia="lt-LT"/>
        </w:rPr>
        <w:fldChar w:fldCharType="separate"/>
      </w:r>
      <w:r>
        <w:rPr>
          <w:lang w:val="lt-LT" w:eastAsia="lt-LT"/>
        </w:rPr>
        <w:t>3</w:t>
      </w:r>
      <w:r>
        <w:rPr>
          <w:lang w:val="lt-LT" w:eastAsia="lt-LT"/>
        </w:rPr>
        <w:fldChar w:fldCharType="end"/>
      </w:r>
      <w:bookmarkStart w:id="731" w:name="pn1_8655"/>
      <w:bookmarkEnd w:id="730"/>
      <w:bookmarkEnd w:id="731"/>
      <w:r>
        <w:rPr>
          <w:lang w:val="lt-LT" w:eastAsia="lt-LT"/>
        </w:rPr>
        <w:t xml:space="preserve"> straipsnio 4 dalyje kapitalo investicijos sąvoka apibrėžiama kaip „kapitalo investicijos – investicijos ilgalaikiam materialiajam ir nematerialiajam turtui sukurti, įsigyti arba jo vertei padidinti“. Lietuvos Respublikos investicijų įstatymas nenustato apribojimų, investuotojui, investuoti ilgalaikį turtą įsigytą už nuosavas ar už skolintas lėšas. Todėl, nustatant 1 šimto tūkstančių (100 000) eurų vertės kapitalo investiciją, į ją įtraukiamas turtas, įsigytas tiek už nuosavas, tiek už skolintas lėšas, tiek pagal pirkimo išsimokėtinai sutartis. Analogiškos nuostatos, atsižvelgiant į vertės apribojimą, taikomos kaip ir </w:t>
      </w:r>
      <w:bookmarkStart w:id="732" w:name="n1_865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33" w:name="pn1_8657"/>
      <w:bookmarkEnd w:id="732"/>
      <w:bookmarkEnd w:id="733"/>
      <w:r>
        <w:rPr>
          <w:lang w:val="lt-LT" w:eastAsia="lt-LT"/>
        </w:rPr>
        <w:t xml:space="preserve"> </w:t>
      </w:r>
      <w:bookmarkStart w:id="734" w:name="n1_865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35" w:name="pn1_8658"/>
      <w:bookmarkEnd w:id="734"/>
      <w:bookmarkEnd w:id="735"/>
      <w:r>
        <w:rPr>
          <w:lang w:val="lt-LT" w:eastAsia="lt-LT"/>
        </w:rPr>
        <w:t xml:space="preserve"> str. 16 dalies 1 punkte (plačiau </w:t>
      </w:r>
      <w:bookmarkStart w:id="736" w:name="n1_865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37" w:name="pn1_8659"/>
      <w:bookmarkEnd w:id="736"/>
      <w:bookmarkEnd w:id="737"/>
      <w:r>
        <w:rPr>
          <w:lang w:val="lt-LT" w:eastAsia="lt-LT"/>
        </w:rPr>
        <w:t xml:space="preserve"> </w:t>
      </w:r>
      <w:bookmarkStart w:id="738" w:name="n1_866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39" w:name="pn1_8660"/>
      <w:bookmarkEnd w:id="738"/>
      <w:bookmarkEnd w:id="739"/>
      <w:r>
        <w:rPr>
          <w:lang w:val="lt-LT" w:eastAsia="lt-LT"/>
        </w:rPr>
        <w:t xml:space="preserve"> str. 16 d. 1 punkto komentare).</w:t>
      </w:r>
    </w:p>
    <w:p w14:paraId="7688FFC5" w14:textId="77777777" w:rsidR="00093845" w:rsidRDefault="000D779E" w:rsidP="008238EF">
      <w:pPr>
        <w:ind w:firstLine="567"/>
        <w:jc w:val="both"/>
        <w:rPr>
          <w:lang w:val="lt-LT" w:eastAsia="lt-LT"/>
        </w:rPr>
      </w:pPr>
      <w:r>
        <w:rPr>
          <w:lang w:val="lt-LT" w:eastAsia="lt-LT"/>
        </w:rPr>
        <w:t xml:space="preserve">  4. </w:t>
      </w:r>
      <w:bookmarkStart w:id="740" w:name="n1_866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41" w:name="pn1_8661"/>
      <w:bookmarkEnd w:id="740"/>
      <w:bookmarkEnd w:id="741"/>
      <w:r>
        <w:rPr>
          <w:lang w:val="lt-LT" w:eastAsia="lt-LT"/>
        </w:rPr>
        <w:t xml:space="preserve"> </w:t>
      </w:r>
      <w:bookmarkStart w:id="742" w:name="n1_866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43" w:name="pn1_8662"/>
      <w:bookmarkEnd w:id="742"/>
      <w:bookmarkEnd w:id="743"/>
      <w:r>
        <w:rPr>
          <w:lang w:val="lt-LT" w:eastAsia="lt-LT"/>
        </w:rPr>
        <w:t xml:space="preserve"> str. 16 dalies 2 punkte nustatyta lengvata gali būti taikoma tik tuo atveju, kai ne mažiau kaip 75 procentus atitinkamo mokestinio laikotarpio zonos įmonės pajamų sudaro pajamos iš zonoje vykdomos apskaitos, buhalterijos ir konsultacinės veiklos (išskyrus auditą, sąskaitų ekspertizės ir teisingumo paliudijimą), įstaigų administracinės ir aptarnavimo veiklos, žmogiškųjų išteklių veiklos, architektūros ir inžinerijos ir su ja susijusių techninių konsultacijų veiklos (išskyrus statybos darbų kontrolę, vietovės nuotraukų darymą). </w:t>
      </w:r>
    </w:p>
    <w:p w14:paraId="00C9113F" w14:textId="77777777" w:rsidR="00093845" w:rsidRDefault="000D779E" w:rsidP="008238EF">
      <w:pPr>
        <w:ind w:firstLine="567"/>
        <w:jc w:val="both"/>
        <w:rPr>
          <w:lang w:val="lt-LT" w:eastAsia="lt-LT"/>
        </w:rPr>
      </w:pPr>
      <w:r>
        <w:rPr>
          <w:lang w:val="lt-LT" w:eastAsia="lt-LT"/>
        </w:rPr>
        <w:t xml:space="preserve">  4.1. 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3CA747EC" w14:textId="77777777" w:rsidR="00093845" w:rsidRDefault="000D779E" w:rsidP="008238EF">
      <w:pPr>
        <w:ind w:firstLine="567"/>
        <w:jc w:val="both"/>
        <w:rPr>
          <w:lang w:val="lt-LT" w:eastAsia="lt-LT"/>
        </w:rPr>
      </w:pPr>
      <w:r>
        <w:rPr>
          <w:lang w:val="lt-LT" w:eastAsia="lt-LT"/>
        </w:rPr>
        <w:t xml:space="preserve">Atkreiptinas dėmesys, kad </w:t>
      </w:r>
      <w:bookmarkStart w:id="744" w:name="n1_866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45" w:name="pn1_8663"/>
      <w:bookmarkEnd w:id="744"/>
      <w:bookmarkEnd w:id="745"/>
      <w:r>
        <w:rPr>
          <w:lang w:val="lt-LT" w:eastAsia="lt-LT"/>
        </w:rPr>
        <w:t xml:space="preserve"> </w:t>
      </w:r>
      <w:bookmarkStart w:id="746" w:name="n1_866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47" w:name="pn1_8664"/>
      <w:bookmarkEnd w:id="746"/>
      <w:bookmarkEnd w:id="747"/>
      <w:r>
        <w:rPr>
          <w:lang w:val="lt-LT" w:eastAsia="lt-LT"/>
        </w:rPr>
        <w:t xml:space="preserve"> str. 16 d. 2 punkte įtvirtinta lengvata taikoma ne visoms pagal EVRK kodus numatytoms veiklos rūšims, bet tik toms, kurios konkrečiai įvardintos </w:t>
      </w:r>
      <w:bookmarkStart w:id="748" w:name="n1_866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49" w:name="pn1_8665"/>
      <w:bookmarkEnd w:id="748"/>
      <w:bookmarkEnd w:id="749"/>
      <w:r>
        <w:rPr>
          <w:lang w:val="lt-LT" w:eastAsia="lt-LT"/>
        </w:rPr>
        <w:t xml:space="preserve"> </w:t>
      </w:r>
      <w:bookmarkStart w:id="750" w:name="n1_866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51" w:name="pn1_8666"/>
      <w:bookmarkEnd w:id="750"/>
      <w:bookmarkEnd w:id="751"/>
      <w:r>
        <w:rPr>
          <w:lang w:val="lt-LT" w:eastAsia="lt-LT"/>
        </w:rPr>
        <w:t xml:space="preserve"> str. 16 d. 2 punkte.</w:t>
      </w:r>
    </w:p>
    <w:p w14:paraId="787EFEC0" w14:textId="77777777" w:rsidR="00093845" w:rsidRDefault="00093845">
      <w:pPr>
        <w:ind w:firstLine="851"/>
        <w:jc w:val="both"/>
        <w:rPr>
          <w:b/>
          <w:bCs/>
          <w:lang w:val="lt-LT" w:eastAsia="lt-LT"/>
        </w:rPr>
      </w:pPr>
    </w:p>
    <w:p w14:paraId="3B000522" w14:textId="77777777" w:rsidR="00093845" w:rsidRPr="008238EF" w:rsidRDefault="000D779E">
      <w:pPr>
        <w:ind w:firstLine="851"/>
        <w:jc w:val="both"/>
        <w:rPr>
          <w:bCs/>
          <w:lang w:val="lt-LT" w:eastAsia="lt-LT"/>
        </w:rPr>
      </w:pPr>
      <w:r w:rsidRPr="008238EF">
        <w:rPr>
          <w:bCs/>
          <w:lang w:val="lt-LT" w:eastAsia="lt-LT"/>
        </w:rPr>
        <w:t>Pavyzdžiai</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0B85C1C0" w14:textId="77777777">
        <w:trPr>
          <w:trHeight w:val="835"/>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0AD1CD16" w14:textId="77777777" w:rsidR="00093845" w:rsidRDefault="000D779E">
            <w:pPr>
              <w:ind w:firstLine="851"/>
              <w:jc w:val="both"/>
              <w:rPr>
                <w:lang w:val="lt-LT" w:eastAsia="lt-LT"/>
              </w:rPr>
            </w:pPr>
            <w:r>
              <w:rPr>
                <w:lang w:val="lt-LT" w:eastAsia="lt-LT"/>
              </w:rPr>
              <w:t xml:space="preserve"> 1. LEZ įmonės veikla įstaigų administracinė ir aptarnavimo veikla. Įmonė gali naudotis pelno mokesčio lengvata, jei ne mažiau kaip 75 procentų įmonės pajamų sudaro pajamos iš zonoje vykdomos šių paslaugų veiklos ir atitinka kitas </w:t>
            </w:r>
            <w:bookmarkStart w:id="752" w:name="n1_866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53" w:name="pn1_8667"/>
            <w:bookmarkEnd w:id="752"/>
            <w:bookmarkEnd w:id="753"/>
            <w:r>
              <w:rPr>
                <w:lang w:val="lt-LT" w:eastAsia="lt-LT"/>
              </w:rPr>
              <w:t xml:space="preserve"> </w:t>
            </w:r>
            <w:bookmarkStart w:id="754" w:name="n1_866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55" w:name="pn1_8668"/>
            <w:bookmarkEnd w:id="754"/>
            <w:bookmarkEnd w:id="755"/>
            <w:r>
              <w:rPr>
                <w:lang w:val="lt-LT" w:eastAsia="lt-LT"/>
              </w:rPr>
              <w:t xml:space="preserve"> str. 16 d. 2 punkte įvardintas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w:t>
            </w:r>
          </w:p>
          <w:p w14:paraId="2DB56F67" w14:textId="77777777" w:rsidR="00093845" w:rsidRDefault="000D779E">
            <w:pPr>
              <w:ind w:firstLine="851"/>
              <w:jc w:val="both"/>
              <w:rPr>
                <w:lang w:val="lt-LT" w:eastAsia="lt-LT"/>
              </w:rPr>
            </w:pPr>
            <w:r>
              <w:rPr>
                <w:lang w:val="lt-LT" w:eastAsia="lt-LT"/>
              </w:rPr>
              <w:lastRenderedPageBreak/>
              <w:t xml:space="preserve">2. LEZ įmonės veikla yra apskaitos, buhalterijos ir konsultacinė veikla. LEZ įmonė atlieka: </w:t>
            </w:r>
          </w:p>
          <w:p w14:paraId="247F94EB" w14:textId="77777777" w:rsidR="00093845" w:rsidRDefault="000D779E">
            <w:pPr>
              <w:ind w:firstLine="851"/>
              <w:jc w:val="both"/>
              <w:rPr>
                <w:lang w:val="lt-LT" w:eastAsia="lt-LT"/>
              </w:rPr>
            </w:pPr>
            <w:r>
              <w:rPr>
                <w:lang w:val="lt-LT" w:eastAsia="lt-LT"/>
              </w:rPr>
              <w:t xml:space="preserve">– apskaitos, buhalterijos ir konsultacinę veiklą LEZ teritorijoje registruotoms įmonėms; </w:t>
            </w:r>
          </w:p>
          <w:p w14:paraId="4D80AE52" w14:textId="77777777" w:rsidR="00093845" w:rsidRDefault="000D779E">
            <w:pPr>
              <w:ind w:firstLine="851"/>
              <w:jc w:val="both"/>
              <w:rPr>
                <w:lang w:val="lt-LT" w:eastAsia="lt-LT"/>
              </w:rPr>
            </w:pPr>
            <w:r>
              <w:rPr>
                <w:lang w:val="lt-LT" w:eastAsia="lt-LT"/>
              </w:rPr>
              <w:t xml:space="preserve">– audito paslaugas, kurios pagal </w:t>
            </w:r>
            <w:bookmarkStart w:id="756" w:name="n1_866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57" w:name="pn1_8669"/>
            <w:bookmarkEnd w:id="756"/>
            <w:bookmarkEnd w:id="757"/>
            <w:r>
              <w:rPr>
                <w:lang w:val="lt-LT" w:eastAsia="lt-LT"/>
              </w:rPr>
              <w:t xml:space="preserve"> </w:t>
            </w:r>
            <w:bookmarkStart w:id="758" w:name="n1_867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59" w:name="pn1_8670"/>
            <w:bookmarkEnd w:id="758"/>
            <w:bookmarkEnd w:id="759"/>
            <w:r>
              <w:rPr>
                <w:lang w:val="lt-LT" w:eastAsia="lt-LT"/>
              </w:rPr>
              <w:t xml:space="preserve"> str. 16 d. 2 punkto nuostatas nepriskiriamos LEZ vykdomai veiklai, kurioms taikomos pelno mokesčio lengvatos; </w:t>
            </w:r>
          </w:p>
          <w:p w14:paraId="5CAC6D68" w14:textId="77777777" w:rsidR="00093845" w:rsidRDefault="000D779E">
            <w:pPr>
              <w:ind w:firstLine="851"/>
              <w:jc w:val="both"/>
              <w:rPr>
                <w:lang w:val="lt-LT" w:eastAsia="lt-LT"/>
              </w:rPr>
            </w:pPr>
            <w:r>
              <w:rPr>
                <w:lang w:val="lt-LT" w:eastAsia="lt-LT"/>
              </w:rPr>
              <w:t xml:space="preserve">– apskaitos, buhalterijos ir konsultacinės veiklos bei audito paslaugas kitoms Lietuvos bei užsienio įmonėms, t. y. įmonėms, kurios nėra registruotos LEZ teritorijoje. </w:t>
            </w:r>
          </w:p>
          <w:p w14:paraId="5DEE2504" w14:textId="77777777" w:rsidR="00093845" w:rsidRDefault="000D779E">
            <w:pPr>
              <w:ind w:firstLine="851"/>
              <w:jc w:val="both"/>
              <w:rPr>
                <w:lang w:val="lt-LT" w:eastAsia="lt-LT"/>
              </w:rPr>
            </w:pPr>
            <w:r>
              <w:rPr>
                <w:lang w:val="lt-LT" w:eastAsia="lt-LT"/>
              </w:rPr>
              <w:t xml:space="preserve">Tarkime, kad iš atliekamų audito paslaugų įmonė uždirba 18 procentų pajamų. </w:t>
            </w:r>
          </w:p>
          <w:p w14:paraId="140EFC6C" w14:textId="77777777" w:rsidR="00093845" w:rsidRDefault="000D779E">
            <w:pPr>
              <w:ind w:firstLine="851"/>
              <w:jc w:val="both"/>
              <w:rPr>
                <w:lang w:val="lt-LT" w:eastAsia="lt-LT"/>
              </w:rPr>
            </w:pPr>
            <w:r>
              <w:rPr>
                <w:lang w:val="lt-LT" w:eastAsia="lt-LT"/>
              </w:rPr>
              <w:t xml:space="preserve">Atsižvelgiant į tai, kad 18 proc. įmonės uždirbamų pajamų yra gaunamos iš veiklos, kuri neįvardinta </w:t>
            </w:r>
            <w:bookmarkStart w:id="760" w:name="n1_867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61" w:name="pn1_8671"/>
            <w:bookmarkEnd w:id="760"/>
            <w:bookmarkEnd w:id="761"/>
            <w:r>
              <w:rPr>
                <w:lang w:val="lt-LT" w:eastAsia="lt-LT"/>
              </w:rPr>
              <w:t xml:space="preserve"> </w:t>
            </w:r>
            <w:bookmarkStart w:id="762" w:name="n1_867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63" w:name="pn1_8672"/>
            <w:bookmarkEnd w:id="762"/>
            <w:bookmarkEnd w:id="763"/>
            <w:r>
              <w:rPr>
                <w:lang w:val="lt-LT" w:eastAsia="lt-LT"/>
              </w:rPr>
              <w:t xml:space="preserve"> str. 16 d. 2 punkte, įmonė gali naudotis pelno mokesčio lengvata, nes ne mažiau kaip 75 procentų įmonės pajamų sudaro pajamos iš zonoje vykdomos </w:t>
            </w:r>
            <w:bookmarkStart w:id="764" w:name="n1_867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65" w:name="pn1_8673"/>
            <w:bookmarkEnd w:id="764"/>
            <w:bookmarkEnd w:id="765"/>
            <w:r>
              <w:rPr>
                <w:lang w:val="lt-LT" w:eastAsia="lt-LT"/>
              </w:rPr>
              <w:t xml:space="preserve"> </w:t>
            </w:r>
            <w:bookmarkStart w:id="766" w:name="n1_867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67" w:name="pn1_8674"/>
            <w:bookmarkEnd w:id="766"/>
            <w:bookmarkEnd w:id="767"/>
            <w:r>
              <w:rPr>
                <w:lang w:val="lt-LT" w:eastAsia="lt-LT"/>
              </w:rPr>
              <w:t xml:space="preserve"> str. 16 d. 2 punkte įvardintos apskaitos, buhalterijos ir konsultacinės veiklos, ir jei įmonė atitinka kitas </w:t>
            </w:r>
            <w:bookmarkStart w:id="768" w:name="n1_867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69" w:name="pn1_8675"/>
            <w:bookmarkEnd w:id="768"/>
            <w:bookmarkEnd w:id="769"/>
            <w:r>
              <w:rPr>
                <w:lang w:val="lt-LT" w:eastAsia="lt-LT"/>
              </w:rPr>
              <w:t xml:space="preserve"> </w:t>
            </w:r>
            <w:bookmarkStart w:id="770" w:name="n1_867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71" w:name="pn1_8676"/>
            <w:bookmarkEnd w:id="770"/>
            <w:bookmarkEnd w:id="771"/>
            <w:r>
              <w:rPr>
                <w:lang w:val="lt-LT" w:eastAsia="lt-LT"/>
              </w:rPr>
              <w:t xml:space="preserve"> str. 16 d. 2 punkte nurodytas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 </w:t>
            </w:r>
          </w:p>
          <w:p w14:paraId="1DF67947" w14:textId="77777777" w:rsidR="00093845" w:rsidRDefault="000D779E">
            <w:pPr>
              <w:ind w:firstLine="851"/>
              <w:jc w:val="both"/>
              <w:rPr>
                <w:lang w:val="lt-LT" w:eastAsia="lt-LT"/>
              </w:rPr>
            </w:pPr>
            <w:r>
              <w:rPr>
                <w:lang w:val="lt-LT" w:eastAsia="lt-LT"/>
              </w:rPr>
              <w:t xml:space="preserve">Atkreiptinas dėmesys, kad jei LEZ įmonė, vykdo ne tik </w:t>
            </w:r>
            <w:bookmarkStart w:id="772" w:name="n1_867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73" w:name="pn1_8677"/>
            <w:bookmarkEnd w:id="772"/>
            <w:bookmarkEnd w:id="773"/>
            <w:r>
              <w:rPr>
                <w:lang w:val="lt-LT" w:eastAsia="lt-LT"/>
              </w:rPr>
              <w:t xml:space="preserve"> </w:t>
            </w:r>
            <w:bookmarkStart w:id="774" w:name="n1_867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75" w:name="pn1_8678"/>
            <w:bookmarkEnd w:id="774"/>
            <w:bookmarkEnd w:id="775"/>
            <w:r>
              <w:rPr>
                <w:lang w:val="lt-LT" w:eastAsia="lt-LT"/>
              </w:rPr>
              <w:t xml:space="preserve"> str. 16 d. 2 punkte įvardintą veiklą, bet ir kito pobūdžio veiklą, tai norint taikyti </w:t>
            </w:r>
            <w:bookmarkStart w:id="776" w:name="n1_867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77" w:name="pn1_8679"/>
            <w:bookmarkEnd w:id="776"/>
            <w:bookmarkEnd w:id="777"/>
            <w:r>
              <w:rPr>
                <w:lang w:val="lt-LT" w:eastAsia="lt-LT"/>
              </w:rPr>
              <w:t xml:space="preserve"> </w:t>
            </w:r>
            <w:bookmarkStart w:id="778" w:name="n1_868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79" w:name="pn1_8680"/>
            <w:bookmarkEnd w:id="778"/>
            <w:bookmarkEnd w:id="779"/>
            <w:r>
              <w:rPr>
                <w:lang w:val="lt-LT" w:eastAsia="lt-LT"/>
              </w:rPr>
              <w:t xml:space="preserve"> str. 16 d. 2 punkte įvardintą lengvatą, iš vykdomos kito pobūdžio veiklos uždirbamos pajamos negali viršyti 25 proc. visų LEZ įmonės uždirbamų pajamų. </w:t>
            </w:r>
          </w:p>
          <w:p w14:paraId="13975B8F" w14:textId="77777777" w:rsidR="00093845" w:rsidRDefault="000D779E">
            <w:pPr>
              <w:ind w:firstLine="851"/>
              <w:jc w:val="both"/>
              <w:rPr>
                <w:lang w:val="lt-LT" w:eastAsia="lt-LT"/>
              </w:rPr>
            </w:pPr>
            <w:r>
              <w:rPr>
                <w:lang w:val="lt-LT" w:eastAsia="lt-LT"/>
              </w:rPr>
              <w:t xml:space="preserve">3. LEZ įmonės veikla – architektūros ir inžinerijos bei su ja susijusios techninės konsultacijos bei statybos darbų kontrolė ( EVRK kodas 71.1). </w:t>
            </w:r>
          </w:p>
          <w:p w14:paraId="30A02A5B" w14:textId="77777777" w:rsidR="00093845" w:rsidRDefault="000D779E">
            <w:pPr>
              <w:ind w:firstLine="851"/>
              <w:jc w:val="both"/>
              <w:rPr>
                <w:lang w:val="lt-LT" w:eastAsia="lt-LT"/>
              </w:rPr>
            </w:pPr>
            <w:r>
              <w:rPr>
                <w:lang w:val="lt-LT" w:eastAsia="lt-LT"/>
              </w:rPr>
              <w:t xml:space="preserve">LEZ įmonė iš statybos darbų kontrolės veiklos, kuri pagal </w:t>
            </w:r>
            <w:bookmarkStart w:id="780" w:name="n1_868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81" w:name="pn1_8681"/>
            <w:bookmarkEnd w:id="780"/>
            <w:bookmarkEnd w:id="781"/>
            <w:r>
              <w:rPr>
                <w:lang w:val="lt-LT" w:eastAsia="lt-LT"/>
              </w:rPr>
              <w:t xml:space="preserve"> </w:t>
            </w:r>
            <w:bookmarkStart w:id="782" w:name="n1_868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83" w:name="pn1_8682"/>
            <w:bookmarkEnd w:id="782"/>
            <w:bookmarkEnd w:id="783"/>
            <w:r>
              <w:rPr>
                <w:lang w:val="lt-LT" w:eastAsia="lt-LT"/>
              </w:rPr>
              <w:t xml:space="preserve"> str. 16 d. 2 punkto nuostatas nepriskiriama LEZ vykdomai veiklai, kuriai taikomos pelno mokesčio lengvatos, uždirba 80 procentų visų LEZ įmonės pajamų. Atsižvelgiant į tai, kad 80 proc. LEZ įmonės pajamų uždirbamos iš veiklos, kuri neįvardinta </w:t>
            </w:r>
            <w:bookmarkStart w:id="784" w:name="n1_868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85" w:name="pn1_8683"/>
            <w:bookmarkEnd w:id="784"/>
            <w:bookmarkEnd w:id="785"/>
            <w:r>
              <w:rPr>
                <w:lang w:val="lt-LT" w:eastAsia="lt-LT"/>
              </w:rPr>
              <w:t xml:space="preserve"> </w:t>
            </w:r>
            <w:bookmarkStart w:id="786" w:name="n1_868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87" w:name="pn1_8684"/>
            <w:bookmarkEnd w:id="786"/>
            <w:bookmarkEnd w:id="787"/>
            <w:r>
              <w:rPr>
                <w:lang w:val="lt-LT" w:eastAsia="lt-LT"/>
              </w:rPr>
              <w:t xml:space="preserve"> str. 16 d. 2 punkte, </w:t>
            </w:r>
            <w:bookmarkStart w:id="788" w:name="n1_868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89" w:name="pn1_8685"/>
            <w:bookmarkEnd w:id="788"/>
            <w:bookmarkEnd w:id="789"/>
            <w:r>
              <w:rPr>
                <w:lang w:val="lt-LT" w:eastAsia="lt-LT"/>
              </w:rPr>
              <w:t xml:space="preserve"> </w:t>
            </w:r>
            <w:bookmarkStart w:id="790" w:name="n1_868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91" w:name="pn1_8686"/>
            <w:bookmarkEnd w:id="790"/>
            <w:bookmarkEnd w:id="791"/>
            <w:r>
              <w:rPr>
                <w:lang w:val="lt-LT" w:eastAsia="lt-LT"/>
              </w:rPr>
              <w:t xml:space="preserve"> str. 16 d. 2 punkte įvardinta lengvata netaikoma.</w:t>
            </w:r>
          </w:p>
        </w:tc>
      </w:tr>
    </w:tbl>
    <w:p w14:paraId="25668A50" w14:textId="77777777" w:rsidR="00093845" w:rsidRDefault="000D779E">
      <w:pPr>
        <w:ind w:firstLine="851"/>
        <w:jc w:val="both"/>
        <w:rPr>
          <w:lang w:val="lt-LT" w:eastAsia="lt-LT"/>
        </w:rPr>
      </w:pPr>
      <w:r>
        <w:rPr>
          <w:lang w:val="lt-LT" w:eastAsia="lt-LT"/>
        </w:rPr>
        <w:lastRenderedPageBreak/>
        <w:t xml:space="preserve">    5. Auditoriaus išvadoje nustatytas LEZ įmonės kapitalo investicijos dydis turėtų būti įrašomas į metinių finansinių ataskaitų aiškinamąjį raštą (kaip reikšminga informacija, nepateikta finansinėse ataskaitose). </w:t>
      </w:r>
    </w:p>
    <w:p w14:paraId="69D4F54E" w14:textId="77777777" w:rsidR="00093845" w:rsidRDefault="000D779E">
      <w:pPr>
        <w:ind w:firstLine="851"/>
        <w:jc w:val="both"/>
        <w:rPr>
          <w:lang w:val="lt-LT" w:eastAsia="lt-LT"/>
        </w:rPr>
      </w:pPr>
      <w:r>
        <w:rPr>
          <w:lang w:val="lt-LT" w:eastAsia="lt-LT"/>
        </w:rPr>
        <w:t xml:space="preserve">     6. Lengvata taikoma mokestiniais laikotarpiais,</w:t>
      </w:r>
      <w:r>
        <w:rPr>
          <w:b/>
          <w:lang w:val="lt-LT" w:eastAsia="lt-LT"/>
        </w:rPr>
        <w:t xml:space="preserve"> </w:t>
      </w:r>
      <w:r>
        <w:rPr>
          <w:lang w:val="lt-LT" w:eastAsia="lt-LT"/>
        </w:rPr>
        <w:t xml:space="preserve">kuriais yra įvykdytos visos 4 aukščiau minėtos sąlygos, t. y.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29D38DCD" w14:textId="77777777" w:rsidR="00093845" w:rsidRDefault="000D779E">
      <w:pPr>
        <w:ind w:firstLine="851"/>
        <w:jc w:val="both"/>
        <w:rPr>
          <w:lang w:val="lt-LT" w:eastAsia="lt-LT"/>
        </w:rPr>
      </w:pPr>
      <w:r>
        <w:rPr>
          <w:lang w:val="lt-LT" w:eastAsia="lt-LT"/>
        </w:rPr>
        <w:t xml:space="preserve">LEZ įmonė, kuriai taikoma šiame punkte nustatyta pelno mokesčio lengvata: </w:t>
      </w:r>
    </w:p>
    <w:p w14:paraId="33F3AA7F" w14:textId="77777777" w:rsidR="00093845" w:rsidRDefault="000D779E">
      <w:pPr>
        <w:ind w:firstLine="851"/>
        <w:jc w:val="both"/>
        <w:rPr>
          <w:lang w:val="lt-LT" w:eastAsia="lt-LT"/>
        </w:rPr>
      </w:pPr>
      <w:r>
        <w:rPr>
          <w:lang w:val="lt-LT" w:eastAsia="lt-LT"/>
        </w:rPr>
        <w:t xml:space="preserve">– 6 mokestinius laikotarpius, pradedant tuo mokestiniu laikotarpiu, kurį ši investicijų suma buvo pasiekta, nemoka pelno mokesčio; </w:t>
      </w:r>
    </w:p>
    <w:p w14:paraId="25E08662" w14:textId="77777777" w:rsidR="00093845" w:rsidRDefault="000D779E">
      <w:pPr>
        <w:ind w:firstLine="851"/>
        <w:jc w:val="both"/>
        <w:rPr>
          <w:lang w:val="lt-LT" w:eastAsia="lt-LT"/>
        </w:rPr>
      </w:pPr>
      <w:r>
        <w:rPr>
          <w:lang w:val="lt-LT" w:eastAsia="lt-LT"/>
        </w:rPr>
        <w:t xml:space="preserve">– kitais 10 mokestinių laikotarpių jai taikomas 50 procentų sumažintas pelno mokesčio tarifas. </w:t>
      </w:r>
    </w:p>
    <w:p w14:paraId="31901294" w14:textId="77777777" w:rsidR="00093845" w:rsidRDefault="000D779E">
      <w:pPr>
        <w:ind w:firstLine="851"/>
        <w:jc w:val="both"/>
        <w:rPr>
          <w:lang w:val="lt-LT" w:eastAsia="lt-LT"/>
        </w:rPr>
      </w:pPr>
      <w:r>
        <w:rPr>
          <w:lang w:val="lt-LT" w:eastAsia="lt-LT"/>
        </w:rPr>
        <w:lastRenderedPageBreak/>
        <w:t xml:space="preserve">Tuo atveju, jeigu nepasibaigus nustatytam lengvatos taikymo terminui kapitalo investicijų suma sumažėja ir nebesiekia 1 šimto tūkstančių (100 000)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(100 000) eurų ir (arba) vidutinis darbuotojų skaičius mokestiniais metais vėl tampa ne mažesnis kaip 20. </w:t>
      </w:r>
    </w:p>
    <w:p w14:paraId="7F257B59" w14:textId="77777777" w:rsidR="00093845" w:rsidRDefault="000D779E">
      <w:pPr>
        <w:ind w:firstLine="851"/>
        <w:jc w:val="both"/>
        <w:rPr>
          <w:lang w:val="lt-LT" w:eastAsia="lt-LT"/>
        </w:rPr>
      </w:pPr>
      <w:r>
        <w:rPr>
          <w:lang w:val="lt-LT"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šimto tūkstančių (100 000) eurų, tai nelaikoma kapitalo investicijų sumažėjimu.</w:t>
      </w:r>
    </w:p>
    <w:p w14:paraId="5BF9FF64" w14:textId="77777777" w:rsidR="00093845" w:rsidRDefault="000D779E">
      <w:pPr>
        <w:ind w:firstLine="851"/>
        <w:jc w:val="both"/>
        <w:rPr>
          <w:lang w:val="lt-LT" w:eastAsia="lt-LT"/>
        </w:rPr>
      </w:pPr>
      <w:r>
        <w:rPr>
          <w:b/>
          <w:bCs/>
          <w:lang w:val="lt-LT" w:eastAsia="lt-LT"/>
        </w:rPr>
        <w:t xml:space="preserve">     Pavyzdys </w:t>
      </w:r>
    </w:p>
    <w:p w14:paraId="20C77520" w14:textId="77777777" w:rsidR="00093845" w:rsidRDefault="000D779E">
      <w:pPr>
        <w:ind w:firstLine="851"/>
        <w:jc w:val="both"/>
        <w:rPr>
          <w:lang w:val="lt-LT" w:eastAsia="lt-LT"/>
        </w:rPr>
      </w:pPr>
      <w:r>
        <w:rPr>
          <w:lang w:val="lt-LT" w:eastAsia="lt-LT"/>
        </w:rPr>
        <w:t> </w:t>
      </w:r>
      <w:r>
        <w:rPr>
          <w:u w:val="single"/>
          <w:lang w:val="lt-LT" w:eastAsia="lt-LT"/>
        </w:rPr>
        <w:t>Pastaba</w:t>
      </w:r>
      <w:r>
        <w:rPr>
          <w:lang w:val="lt-LT" w:eastAsia="lt-LT"/>
        </w:rPr>
        <w:t>. Visuose pateikiamuose pavyzdžiuose mokestinis laikotarpis sutampa su kalendoriniais metais.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7ACC7394" w14:textId="77777777">
        <w:trPr>
          <w:trHeight w:val="1619"/>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1EE4FF47" w14:textId="77777777" w:rsidR="00093845" w:rsidRDefault="000D779E">
            <w:pPr>
              <w:ind w:firstLine="851"/>
              <w:jc w:val="both"/>
              <w:rPr>
                <w:lang w:val="lt-LT" w:eastAsia="lt-LT"/>
              </w:rPr>
            </w:pPr>
            <w:r>
              <w:rPr>
                <w:lang w:val="lt-LT" w:eastAsia="lt-LT"/>
              </w:rPr>
              <w:t xml:space="preserve">Laisvojoje ekonominėje zonoje įmonė įregistruota 2017 metais ir tais metais kapitalo investicijos pasiekė 1 šimto tūkstančių (100 000) eurų sumą. LEZ įmonė vykdo architektūros ir inžinerijos, ir su ja susijusių techninių konsultacijų (išskyrus statybos darbų kontrolę, vietovės nuotraukų darymą) veiklą. </w:t>
            </w:r>
          </w:p>
          <w:p w14:paraId="5222188A" w14:textId="77777777" w:rsidR="00093845" w:rsidRDefault="000D779E">
            <w:pPr>
              <w:ind w:firstLine="851"/>
              <w:jc w:val="both"/>
              <w:rPr>
                <w:lang w:val="lt-LT" w:eastAsia="lt-LT"/>
              </w:rPr>
            </w:pPr>
            <w:r>
              <w:rPr>
                <w:lang w:val="lt-LT" w:eastAsia="lt-LT"/>
              </w:rPr>
              <w:t xml:space="preserve">Pagal </w:t>
            </w:r>
            <w:bookmarkStart w:id="792" w:name="n1_868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93" w:name="pn1_8687"/>
            <w:bookmarkEnd w:id="792"/>
            <w:bookmarkEnd w:id="793"/>
            <w:r>
              <w:rPr>
                <w:lang w:val="lt-LT" w:eastAsia="lt-LT"/>
              </w:rPr>
              <w:t xml:space="preserve"> </w:t>
            </w:r>
            <w:bookmarkStart w:id="794" w:name="n1_868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95" w:name="pn1_8688"/>
            <w:bookmarkEnd w:id="794"/>
            <w:bookmarkEnd w:id="795"/>
            <w:r>
              <w:rPr>
                <w:lang w:val="lt-LT" w:eastAsia="lt-LT"/>
              </w:rPr>
              <w:t xml:space="preserve"> str. 16 d. 2 p. nuostatas, LEZ įmonė 2017–2022 metais galėtų būti atleidžiama nuo pelno mokesčio, o 2023–2032 metais, apskaičiuojant pelno mokestį, ji galėtų taikyti 50 procentų sumažintą pelno mokesčio tarifą. </w:t>
            </w:r>
          </w:p>
          <w:p w14:paraId="0114467F" w14:textId="77777777" w:rsidR="00093845" w:rsidRDefault="000D779E">
            <w:pPr>
              <w:ind w:firstLine="851"/>
              <w:jc w:val="both"/>
              <w:rPr>
                <w:lang w:val="lt-LT" w:eastAsia="lt-LT"/>
              </w:rPr>
            </w:pPr>
            <w:r>
              <w:rPr>
                <w:lang w:val="lt-LT" w:eastAsia="lt-LT"/>
              </w:rPr>
              <w:t xml:space="preserve">Tarkime, kad 2017–2018 metais yra tenkinamos visos 4 </w:t>
            </w:r>
            <w:bookmarkStart w:id="796" w:name="n1_868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797" w:name="pn1_8689"/>
            <w:bookmarkEnd w:id="796"/>
            <w:bookmarkEnd w:id="797"/>
            <w:r>
              <w:rPr>
                <w:lang w:val="lt-LT" w:eastAsia="lt-LT"/>
              </w:rPr>
              <w:t xml:space="preserve"> </w:t>
            </w:r>
            <w:bookmarkStart w:id="798" w:name="n1_8690"/>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799" w:name="pn1_8690"/>
            <w:bookmarkEnd w:id="798"/>
            <w:bookmarkEnd w:id="799"/>
            <w:r>
              <w:rPr>
                <w:lang w:val="lt-LT" w:eastAsia="lt-LT"/>
              </w:rPr>
              <w:t xml:space="preserve"> str. 16 d. 2 punkte įvardintos sąlygos, t.y. kapitalo investicijos yra ne mažesnės kaip 1 šimto tūkstančių (100 000) eurų, vidutinis šios įmonės darbuotojų skaičius mokestiniais metais yra ne mažesnis kaip 20 darbuotojų, ne mažiau kaip 75 procentus šios įmonės atitinkamo mokestinio laikotarpio pajamų sudaro pajamos iš nustatytos zonoje vykdomos veiklos ir įmonė turi auditoriaus išvadą, patvirtinančią reikalaujamą kapitalo investicijos dydį. </w:t>
            </w:r>
          </w:p>
          <w:p w14:paraId="01E119E2" w14:textId="77777777" w:rsidR="00093845" w:rsidRDefault="000D779E">
            <w:pPr>
              <w:ind w:firstLine="851"/>
              <w:jc w:val="both"/>
              <w:rPr>
                <w:lang w:val="lt-LT" w:eastAsia="lt-LT"/>
              </w:rPr>
            </w:pPr>
            <w:r>
              <w:rPr>
                <w:lang w:val="lt-LT" w:eastAsia="lt-LT"/>
              </w:rPr>
              <w:t xml:space="preserve">Vadinasi įmonė, 2017–2018 metais tenkinanti visas keturias </w:t>
            </w:r>
            <w:bookmarkStart w:id="800" w:name="n1_8691"/>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1" w:name="pn1_8691"/>
            <w:bookmarkEnd w:id="800"/>
            <w:bookmarkEnd w:id="801"/>
            <w:r>
              <w:rPr>
                <w:lang w:val="lt-LT" w:eastAsia="lt-LT"/>
              </w:rPr>
              <w:t xml:space="preserve"> </w:t>
            </w:r>
            <w:bookmarkStart w:id="802" w:name="n1_8692"/>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03" w:name="pn1_8692"/>
            <w:bookmarkEnd w:id="802"/>
            <w:bookmarkEnd w:id="803"/>
            <w:r>
              <w:rPr>
                <w:lang w:val="lt-LT" w:eastAsia="lt-LT"/>
              </w:rPr>
              <w:t xml:space="preserve"> str. 16 d. 2 punkte įvardintas sąlygas, apskaičiuodama pelno mokestį galėtų pasinaudoti </w:t>
            </w:r>
            <w:bookmarkStart w:id="804" w:name="n1_869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5" w:name="pn1_8693"/>
            <w:bookmarkEnd w:id="804"/>
            <w:bookmarkEnd w:id="805"/>
            <w:r>
              <w:rPr>
                <w:lang w:val="lt-LT" w:eastAsia="lt-LT"/>
              </w:rPr>
              <w:t xml:space="preserve"> 58 str. 16 d. 2 punkte įvardinta pelno mokesčio lengvata ir šiuos 2 metus (įstatyme numatyti 6) nemokėti pelno mokesčio. </w:t>
            </w:r>
          </w:p>
          <w:p w14:paraId="33AA98DE" w14:textId="77777777" w:rsidR="00093845" w:rsidRDefault="000D779E">
            <w:pPr>
              <w:ind w:firstLine="851"/>
              <w:jc w:val="both"/>
              <w:rPr>
                <w:lang w:val="lt-LT" w:eastAsia="lt-LT"/>
              </w:rPr>
            </w:pPr>
            <w:r>
              <w:rPr>
                <w:lang w:val="lt-LT" w:eastAsia="lt-LT"/>
              </w:rPr>
              <w:t xml:space="preserve">Tarkime, kad 2019 metais kapitalo investicijos sumažėja ir nebesiekia 1 šimto tūkstančių (100 000) eurų, o 2020 metais kapitalo investicijos vėl pasiekia 1 šimto tūkstančių (100 000) eurų ir įmonė atitinka tik 2 aukščiau minėtas sąlygas, t.y. ne mažiau kaip 75 procentus šios įmonės atitinkamo mokestinio laikotarpio pajamų sudaro pajamos iš nustatytos zonoje vykdomos veiklos ir įmonė turi auditoriaus išvadą, patvirtinančią reikalaujamą kapitalo investicijos dydį, bet vidutinis sąrašuose esančių darbuotojų skaičius sumažėja iki 16. </w:t>
            </w:r>
          </w:p>
          <w:p w14:paraId="32B7509B" w14:textId="77777777" w:rsidR="00093845" w:rsidRDefault="000D779E">
            <w:pPr>
              <w:ind w:firstLine="851"/>
              <w:jc w:val="both"/>
              <w:rPr>
                <w:lang w:val="lt-LT" w:eastAsia="lt-LT"/>
              </w:rPr>
            </w:pPr>
            <w:r>
              <w:rPr>
                <w:lang w:val="lt-LT" w:eastAsia="lt-LT"/>
              </w:rPr>
              <w:t xml:space="preserve">Atsižvelgiant į tai, kad 2019 mokestiniais metais kapitalo investicijos įmonėje sumažėjo ir nebesiekia 1 šimto tūkstančių (100 000) eurų sumos, o 2020 metais vidutinis sąrašuose esančių darbuotojų skaičius sumažėjo iki 16, šiuose mokestiniuose laikotarpiuose lengvatos taikymas sustabdomas ir už 2019–2020 mokestinius metus, įmonė turi apskaičiuoti ir į biudžetą sumokėti pelno mokestį, taikydama </w:t>
            </w:r>
            <w:bookmarkStart w:id="806" w:name="n1_869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07" w:name="pn1_8694"/>
            <w:bookmarkEnd w:id="806"/>
            <w:bookmarkEnd w:id="807"/>
            <w:r>
              <w:rPr>
                <w:lang w:val="lt-LT" w:eastAsia="lt-LT"/>
              </w:rPr>
              <w:t xml:space="preserve"> </w:t>
            </w:r>
            <w:bookmarkStart w:id="808" w:name="n1_8695"/>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09" w:name="pn1_8695"/>
            <w:bookmarkEnd w:id="808"/>
            <w:bookmarkEnd w:id="809"/>
            <w:r>
              <w:rPr>
                <w:lang w:val="lt-LT" w:eastAsia="lt-LT"/>
              </w:rPr>
              <w:t xml:space="preserve"> straipsnyje nustatytą pelno mokesčio tarifą.</w:t>
            </w:r>
          </w:p>
          <w:p w14:paraId="3D9C0E3B" w14:textId="77777777" w:rsidR="00093845" w:rsidRDefault="000D779E">
            <w:pPr>
              <w:ind w:firstLine="851"/>
              <w:jc w:val="both"/>
              <w:rPr>
                <w:lang w:val="lt-LT" w:eastAsia="lt-LT"/>
              </w:rPr>
            </w:pPr>
            <w:r>
              <w:rPr>
                <w:lang w:val="lt-LT" w:eastAsia="lt-LT"/>
              </w:rPr>
              <w:t xml:space="preserve">Tarkime, kad 2021 metais įmonė atitinka visus 4 </w:t>
            </w:r>
            <w:bookmarkStart w:id="810" w:name="n1_869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11" w:name="pn1_8696"/>
            <w:bookmarkEnd w:id="810"/>
            <w:bookmarkEnd w:id="811"/>
            <w:r>
              <w:rPr>
                <w:lang w:val="lt-LT" w:eastAsia="lt-LT"/>
              </w:rPr>
              <w:t xml:space="preserve"> </w:t>
            </w:r>
            <w:bookmarkStart w:id="812" w:name="n1_8697"/>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13" w:name="pn1_8697"/>
            <w:bookmarkEnd w:id="812"/>
            <w:bookmarkEnd w:id="813"/>
            <w:r>
              <w:rPr>
                <w:lang w:val="lt-LT" w:eastAsia="lt-LT"/>
              </w:rPr>
              <w:t xml:space="preserve"> str. 16 d. 2 punkto reikalavimus, t.y. vidutinis šios įmonės darbuotojų skaičius mokestiniais metais yra ne mažesnis kaip 20 darbuotojų, kapitalo investicijos pasiekė ne mažesnę kaip 1 šimto tūkstančių (100 000) eurų sumą, </w:t>
            </w:r>
            <w:r>
              <w:rPr>
                <w:lang w:val="lt-LT" w:eastAsia="lt-LT"/>
              </w:rPr>
              <w:lastRenderedPageBreak/>
              <w:t xml:space="preserve">ne mažiau kaip 75 procentus šios įmonės atitinkamo mokestinio laikotarpio pajamų sudaro pajamos iš nustatytos zonoje vykdomos veiklos ir įmonė turi auditoriaus išvadą, patvirtinančią reikalaujamą kapitalo investicijos dydį. </w:t>
            </w:r>
          </w:p>
          <w:p w14:paraId="26DACD4E" w14:textId="77777777" w:rsidR="00093845" w:rsidRDefault="000D779E">
            <w:pPr>
              <w:ind w:firstLine="851"/>
              <w:jc w:val="both"/>
              <w:rPr>
                <w:lang w:val="lt-LT" w:eastAsia="lt-LT"/>
              </w:rPr>
            </w:pPr>
            <w:r>
              <w:rPr>
                <w:lang w:val="lt-LT" w:eastAsia="lt-LT"/>
              </w:rPr>
              <w:t xml:space="preserve">Kadangi 2021 metais kapitalo investicijos į įmonę vėl pasiekia 1 šimto tūkstančių (100 000) eurų sumą ir vidutinis šios įmonės darbuotojų skaičius mokestiniais metais yra ne mažesnis kaip 20 darbuotojų bei įmonė atitinka kitas aukščiau minėtas likusias 2 sąlygas, šį mokestinį laikotarpį lengvatos taikymas vėl atnaujinamas ir, atitinkant visoms </w:t>
            </w:r>
            <w:bookmarkStart w:id="814" w:name="n1_869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15" w:name="pn1_8698"/>
            <w:bookmarkEnd w:id="814"/>
            <w:bookmarkEnd w:id="815"/>
            <w:r>
              <w:rPr>
                <w:lang w:val="lt-LT" w:eastAsia="lt-LT"/>
              </w:rPr>
              <w:t xml:space="preserve"> </w:t>
            </w:r>
            <w:bookmarkStart w:id="816" w:name="n1_869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17" w:name="pn1_8699"/>
            <w:bookmarkEnd w:id="816"/>
            <w:bookmarkEnd w:id="817"/>
            <w:r>
              <w:rPr>
                <w:lang w:val="lt-LT" w:eastAsia="lt-LT"/>
              </w:rPr>
              <w:t xml:space="preserve"> str. 16 d. 2 punkte įvardintoms sąlygoms, likusiais lengvatos taikymo mokestiniais laikotarpiais, t. y. 2021–2024 metais, įmonė gali būti atleidžiama nuo pelno mokesčio, o 2025–2034 metais, apskaičiuojant pelno mokestį, gali būti taikomas 50 procentų sumažintas pelno mokesčio tarifas. </w:t>
            </w:r>
          </w:p>
          <w:p w14:paraId="3302FFA8" w14:textId="77777777" w:rsidR="00093845" w:rsidRDefault="000D779E">
            <w:pPr>
              <w:ind w:firstLine="851"/>
              <w:jc w:val="both"/>
              <w:rPr>
                <w:lang w:val="lt-LT" w:eastAsia="lt-LT"/>
              </w:rPr>
            </w:pPr>
            <w:r>
              <w:rPr>
                <w:lang w:val="lt-LT" w:eastAsia="lt-LT"/>
              </w:rPr>
              <w:t xml:space="preserve">Šiame pavyzdyje įvardintoje situacijoje: </w:t>
            </w:r>
          </w:p>
          <w:p w14:paraId="15168D1A" w14:textId="77777777" w:rsidR="00093845" w:rsidRDefault="000D779E">
            <w:pPr>
              <w:ind w:firstLine="851"/>
              <w:jc w:val="both"/>
              <w:rPr>
                <w:lang w:val="lt-LT" w:eastAsia="lt-LT"/>
              </w:rPr>
            </w:pPr>
            <w:r>
              <w:rPr>
                <w:lang w:val="lt-LT" w:eastAsia="lt-LT"/>
              </w:rPr>
              <w:t xml:space="preserve">– įmonė galėtų 2017 ir 2018 metais taikyti pelno mokesčio lengvatą ir nemokėti pelno mokesčio; </w:t>
            </w:r>
          </w:p>
          <w:p w14:paraId="1D2FD359" w14:textId="77777777" w:rsidR="00093845" w:rsidRDefault="000D779E">
            <w:pPr>
              <w:ind w:firstLine="851"/>
              <w:jc w:val="both"/>
              <w:rPr>
                <w:lang w:val="lt-LT" w:eastAsia="lt-LT"/>
              </w:rPr>
            </w:pPr>
            <w:r>
              <w:rPr>
                <w:lang w:val="lt-LT" w:eastAsia="lt-LT"/>
              </w:rPr>
              <w:t xml:space="preserve">– 2019 ir 2020 metais pelno mokesčio lengvatos taikymas sustabdomas ir apskaičiuojamas mokėtinas pelno mokestis taikant </w:t>
            </w:r>
            <w:bookmarkStart w:id="818" w:name="n1_870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19" w:name="pn1_8700"/>
            <w:bookmarkEnd w:id="818"/>
            <w:bookmarkEnd w:id="819"/>
            <w:r>
              <w:rPr>
                <w:lang w:val="lt-LT" w:eastAsia="lt-LT"/>
              </w:rPr>
              <w:t xml:space="preserve"> </w:t>
            </w:r>
            <w:bookmarkStart w:id="820" w:name="n1_870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21" w:name="pn1_8701"/>
            <w:bookmarkEnd w:id="820"/>
            <w:bookmarkEnd w:id="821"/>
            <w:r>
              <w:rPr>
                <w:lang w:val="lt-LT" w:eastAsia="lt-LT"/>
              </w:rPr>
              <w:t xml:space="preserve"> straipsnyje nustatytą pelno mokestį; </w:t>
            </w:r>
          </w:p>
          <w:p w14:paraId="4ECBB9F3" w14:textId="77777777" w:rsidR="00093845" w:rsidRDefault="000D779E">
            <w:pPr>
              <w:ind w:firstLine="851"/>
              <w:jc w:val="both"/>
              <w:rPr>
                <w:lang w:val="lt-LT" w:eastAsia="lt-LT"/>
              </w:rPr>
            </w:pPr>
            <w:r>
              <w:rPr>
                <w:lang w:val="lt-LT" w:eastAsia="lt-LT"/>
              </w:rPr>
              <w:t xml:space="preserve">– 2021 metais pelno mokesčio lengvatos taikymas atnaujinamas ir </w:t>
            </w:r>
          </w:p>
          <w:p w14:paraId="78A97717" w14:textId="77777777" w:rsidR="00093845" w:rsidRDefault="000D779E">
            <w:pPr>
              <w:ind w:firstLine="851"/>
              <w:jc w:val="both"/>
              <w:rPr>
                <w:lang w:val="lt-LT" w:eastAsia="lt-LT"/>
              </w:rPr>
            </w:pPr>
            <w:r>
              <w:rPr>
                <w:lang w:val="lt-LT" w:eastAsia="lt-LT"/>
              </w:rPr>
              <w:t xml:space="preserve">– 2021–2024 metais įmonė gali būti atleidžiama nuo pelno mokesčio; </w:t>
            </w:r>
          </w:p>
          <w:p w14:paraId="184AA911" w14:textId="77777777" w:rsidR="00093845" w:rsidRDefault="000D779E">
            <w:pPr>
              <w:ind w:firstLine="851"/>
              <w:jc w:val="both"/>
              <w:rPr>
                <w:lang w:val="lt-LT" w:eastAsia="lt-LT"/>
              </w:rPr>
            </w:pPr>
            <w:r>
              <w:rPr>
                <w:lang w:val="lt-LT" w:eastAsia="lt-LT"/>
              </w:rPr>
              <w:t xml:space="preserve">– 2025–2034 metais įmonė, apskaičiuojant pelno mokestį, galėtų taikyti 50 procentų sumažintą pelno mokesčio tarifą. </w:t>
            </w:r>
          </w:p>
          <w:p w14:paraId="0344A076" w14:textId="77777777" w:rsidR="00093845" w:rsidRDefault="000D779E">
            <w:pPr>
              <w:ind w:firstLine="851"/>
              <w:jc w:val="both"/>
              <w:rPr>
                <w:lang w:val="lt-LT" w:eastAsia="lt-LT"/>
              </w:rPr>
            </w:pPr>
            <w:r>
              <w:rPr>
                <w:lang w:val="lt-LT" w:eastAsia="lt-LT"/>
              </w:rPr>
              <w:t>Šiame pavyzdyje įstatyme numatyti 6 mokestiniai laikotarpiai, kuriais įmonė nemoka pelno mokesčio, būtų 2017, 2018, 2021, 2022, 2023 ir 2024 metai, o kiti 10 mokestinių laikotarpių, kuriais taikomas 50 proc. sumažintas pelno mokesčio tarifas, būtų 2025–2034 metai.</w:t>
            </w:r>
          </w:p>
        </w:tc>
      </w:tr>
    </w:tbl>
    <w:p w14:paraId="107AF520" w14:textId="77777777" w:rsidR="00093845" w:rsidRDefault="000D779E">
      <w:pPr>
        <w:ind w:firstLine="851"/>
        <w:jc w:val="both"/>
        <w:rPr>
          <w:lang w:val="lt-LT" w:eastAsia="lt-LT"/>
        </w:rPr>
      </w:pPr>
      <w:r>
        <w:rPr>
          <w:lang w:val="lt-LT" w:eastAsia="lt-LT"/>
        </w:rPr>
        <w:lastRenderedPageBreak/>
        <w:t xml:space="preserve">Pažymėtina, kad mokestiniai laikotarpiai, kuriais LEZ įmonė neturi teisės taikyti šios pelno mokesčio lengvatos, dėl investicijų sumos sumažėjimo (nebesiekia 1 šimto tūkstančių eurų) ir/arba vidutinio darbuotojų skaičiaus sumažėjimo (tampa mažesnis kaip 20), nėra įskaičiuojami į šiame </w:t>
      </w:r>
      <w:bookmarkStart w:id="822" w:name="n1_8703"/>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23" w:name="pn1_8703"/>
      <w:bookmarkEnd w:id="822"/>
      <w:bookmarkEnd w:id="823"/>
      <w:r>
        <w:rPr>
          <w:lang w:val="lt-LT" w:eastAsia="lt-LT"/>
        </w:rPr>
        <w:t xml:space="preserve"> </w:t>
      </w:r>
      <w:bookmarkStart w:id="824" w:name="n1_8704"/>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25" w:name="pn1_8704"/>
      <w:bookmarkEnd w:id="824"/>
      <w:bookmarkEnd w:id="825"/>
      <w:r>
        <w:rPr>
          <w:lang w:val="lt-LT" w:eastAsia="lt-LT"/>
        </w:rPr>
        <w:t xml:space="preserve"> str. 16 d. 2 punkte nustatytus 6 ir 10 pelno mokesčio lengvatos taikymo mokestinius laikotarpius. </w:t>
      </w:r>
    </w:p>
    <w:p w14:paraId="581A7682" w14:textId="77777777" w:rsidR="00093845" w:rsidRDefault="000D779E">
      <w:pPr>
        <w:ind w:firstLine="851"/>
        <w:jc w:val="both"/>
        <w:rPr>
          <w:lang w:val="lt-LT" w:eastAsia="lt-LT"/>
        </w:rPr>
      </w:pPr>
      <w:r>
        <w:rPr>
          <w:lang w:val="lt-LT" w:eastAsia="lt-LT"/>
        </w:rPr>
        <w:t xml:space="preserve">7. </w:t>
      </w:r>
      <w:bookmarkStart w:id="826" w:name="n1_8705"/>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27" w:name="pn1_8705"/>
      <w:bookmarkEnd w:id="826"/>
      <w:bookmarkEnd w:id="827"/>
      <w:r>
        <w:rPr>
          <w:lang w:val="lt-LT" w:eastAsia="lt-LT"/>
        </w:rPr>
        <w:t xml:space="preserve"> </w:t>
      </w:r>
      <w:bookmarkStart w:id="828" w:name="n1_8706"/>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29" w:name="pn1_8706"/>
      <w:bookmarkEnd w:id="828"/>
      <w:bookmarkEnd w:id="829"/>
      <w:r>
        <w:rPr>
          <w:lang w:val="lt-LT" w:eastAsia="lt-LT"/>
        </w:rPr>
        <w:t xml:space="preserve"> str. 16 dalies 2 punkte nustatytos lengvatos taikymo terminas yra atnaujinamas tą mokestinį laikotarpį ir tik tokiu atveju, kai įmonė atitinka visas 4 sąlygas: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0A4147AD" w14:textId="77777777" w:rsidR="00093845" w:rsidRDefault="000D779E">
      <w:pPr>
        <w:ind w:firstLine="851"/>
        <w:jc w:val="both"/>
        <w:rPr>
          <w:lang w:val="lt-LT" w:eastAsia="lt-LT"/>
        </w:rPr>
      </w:pPr>
      <w:r>
        <w:rPr>
          <w:lang w:val="lt-LT" w:eastAsia="lt-LT"/>
        </w:rPr>
        <w:t xml:space="preserve"> 8. Jeigu LEZ įmonės, kuri naudojosi pelno mokesčio lengvata, kuriuo nors mokestiniu laikotarpiu pajamos iš </w:t>
      </w:r>
      <w:bookmarkStart w:id="830" w:name="n1_8707"/>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1" w:name="pn1_8707"/>
      <w:bookmarkEnd w:id="830"/>
      <w:bookmarkEnd w:id="831"/>
      <w:r>
        <w:rPr>
          <w:lang w:val="lt-LT" w:eastAsia="lt-LT"/>
        </w:rPr>
        <w:t xml:space="preserve"> </w:t>
      </w:r>
      <w:bookmarkStart w:id="832" w:name="n1_8708"/>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33" w:name="pn1_8708"/>
      <w:bookmarkEnd w:id="832"/>
      <w:bookmarkEnd w:id="833"/>
      <w:r>
        <w:rPr>
          <w:lang w:val="lt-LT" w:eastAsia="lt-LT"/>
        </w:rPr>
        <w:t xml:space="preserve"> str. 16 d. 2 punkte nustatytos zonoje vykdomos veiklos sudarė mažiau kaip 75 procentus visų įmonės pajamų, lengvata netaikoma tą mokestinį laikotarpį, kurį įmonė neįvykdė šios sąlygos, ir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t. y. lengvatos taikymo laikotarpis nėra sustabdomas. Už mokestinius laikotarpius, kuriais LEZ įmonė neturėjo teisės taikyti pelno mokesčio lengvatos, pelno mokestis apskaičiuojamas bendra </w:t>
      </w:r>
      <w:bookmarkStart w:id="834" w:name="n1_8709"/>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5" w:name="pn1_8709"/>
      <w:bookmarkEnd w:id="834"/>
      <w:bookmarkEnd w:id="835"/>
      <w:r>
        <w:rPr>
          <w:lang w:val="lt-LT" w:eastAsia="lt-LT"/>
        </w:rPr>
        <w:t xml:space="preserve"> nustatyta tvarka, taikant </w:t>
      </w:r>
      <w:bookmarkStart w:id="836" w:name="n1_871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37" w:name="pn1_8710"/>
      <w:bookmarkEnd w:id="836"/>
      <w:bookmarkEnd w:id="837"/>
      <w:r>
        <w:rPr>
          <w:lang w:val="lt-LT" w:eastAsia="lt-LT"/>
        </w:rPr>
        <w:t xml:space="preserve"> </w:t>
      </w:r>
      <w:bookmarkStart w:id="838" w:name="n1_871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39" w:name="pn1_8711"/>
      <w:bookmarkEnd w:id="838"/>
      <w:bookmarkEnd w:id="839"/>
      <w:r>
        <w:rPr>
          <w:lang w:val="lt-LT" w:eastAsia="lt-LT"/>
        </w:rPr>
        <w:t xml:space="preserve"> straipsnyje nustatytą mokesčio tarifą. </w:t>
      </w:r>
    </w:p>
    <w:p w14:paraId="05676149" w14:textId="77777777" w:rsidR="00093845" w:rsidRDefault="000D779E">
      <w:pPr>
        <w:ind w:firstLine="851"/>
        <w:jc w:val="both"/>
        <w:rPr>
          <w:lang w:val="lt-LT" w:eastAsia="lt-LT"/>
        </w:rPr>
      </w:pPr>
      <w:r>
        <w:rPr>
          <w:lang w:val="lt-LT" w:eastAsia="lt-LT"/>
        </w:rPr>
        <w:t> </w:t>
      </w:r>
      <w:r>
        <w:rPr>
          <w:b/>
          <w:bCs/>
          <w:lang w:val="lt-LT" w:eastAsia="lt-LT"/>
        </w:rPr>
        <w:t>Pavyzdys</w:t>
      </w:r>
    </w:p>
    <w:tbl>
      <w:tblPr>
        <w:tblW w:w="9634" w:type="dxa"/>
        <w:tblLayout w:type="fixed"/>
        <w:tblCellMar>
          <w:left w:w="0" w:type="dxa"/>
          <w:right w:w="0" w:type="dxa"/>
        </w:tblCellMar>
        <w:tblLook w:val="04A0" w:firstRow="1" w:lastRow="0" w:firstColumn="1" w:lastColumn="0" w:noHBand="0" w:noVBand="1"/>
      </w:tblPr>
      <w:tblGrid>
        <w:gridCol w:w="9634"/>
      </w:tblGrid>
      <w:tr w:rsidR="00093845" w:rsidRPr="0065344A" w14:paraId="5CBC95C4" w14:textId="77777777">
        <w:trPr>
          <w:trHeight w:val="43"/>
        </w:trPr>
        <w:tc>
          <w:tcPr>
            <w:tcW w:w="9634"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6A0BF227" w14:textId="77777777" w:rsidR="00093845" w:rsidRDefault="000D779E">
            <w:pPr>
              <w:ind w:firstLine="868"/>
              <w:jc w:val="both"/>
              <w:rPr>
                <w:lang w:val="lt-LT" w:eastAsia="lt-LT"/>
              </w:rPr>
            </w:pPr>
            <w:r>
              <w:rPr>
                <w:lang w:val="lt-LT" w:eastAsia="lt-LT"/>
              </w:rPr>
              <w:lastRenderedPageBreak/>
              <w:t xml:space="preserve">Laisvojoje ekonominėje zonoje įmonė įregistruota 2017 metais ir tais metais kapitalo investicijos pasiekė 1 šimto tūkstančių (100 000) eurų sumą. LEZ įmonė vykdo apskaitos, buhalterijos ir audito bei konsultacinę veiklą (EVRK kodas 69.2). </w:t>
            </w:r>
          </w:p>
          <w:p w14:paraId="6755AAB1" w14:textId="77777777" w:rsidR="00093845" w:rsidRDefault="000D779E">
            <w:pPr>
              <w:ind w:firstLine="868"/>
              <w:jc w:val="both"/>
              <w:rPr>
                <w:lang w:val="lt-LT" w:eastAsia="lt-LT"/>
              </w:rPr>
            </w:pPr>
            <w:r>
              <w:rPr>
                <w:lang w:val="lt-LT" w:eastAsia="lt-LT"/>
              </w:rPr>
              <w:t xml:space="preserve">LEZ įmonė 2017–2022 metais galėtų būti atleidžiama nuo pelno mokesčio, o 2023–2032 metais, apskaičiuojant pelno mokestį, ji galėtų taikyti 50 procentų sumažintą pelno mokesčio tarifą. </w:t>
            </w:r>
          </w:p>
          <w:p w14:paraId="5C82310D" w14:textId="77777777" w:rsidR="00093845" w:rsidRDefault="000D779E">
            <w:pPr>
              <w:ind w:firstLine="868"/>
              <w:jc w:val="both"/>
              <w:rPr>
                <w:lang w:val="lt-LT" w:eastAsia="lt-LT"/>
              </w:rPr>
            </w:pPr>
            <w:r>
              <w:rPr>
                <w:lang w:val="lt-LT" w:eastAsia="lt-LT"/>
              </w:rPr>
              <w:t xml:space="preserve">Tarkime, kad 2017–2020 metais LEZ įmonės atliekamos audito veiklos pajamos siekia 45 procentus visų įmonės pajamų (audito veikla neįtraukta į </w:t>
            </w:r>
            <w:bookmarkStart w:id="840" w:name="n1_871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41" w:name="pn1_8712"/>
            <w:bookmarkEnd w:id="840"/>
            <w:bookmarkEnd w:id="841"/>
            <w:r>
              <w:rPr>
                <w:lang w:val="lt-LT" w:eastAsia="lt-LT"/>
              </w:rPr>
              <w:t xml:space="preserve"> </w:t>
            </w:r>
            <w:bookmarkStart w:id="842" w:name="n1_871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43" w:name="pn1_8713"/>
            <w:bookmarkEnd w:id="842"/>
            <w:bookmarkEnd w:id="843"/>
            <w:r>
              <w:rPr>
                <w:lang w:val="lt-LT" w:eastAsia="lt-LT"/>
              </w:rPr>
              <w:t xml:space="preserve"> str. 16 d. 2 punkte įvardintas lengvatai taikomas vykdytinas veiklas). 2017–2020 metais yra tenkinamos kitos </w:t>
            </w:r>
            <w:bookmarkStart w:id="844" w:name="n1_8714"/>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45" w:name="pn1_8714"/>
            <w:bookmarkEnd w:id="844"/>
            <w:bookmarkEnd w:id="845"/>
            <w:r>
              <w:rPr>
                <w:lang w:val="lt-LT" w:eastAsia="lt-LT"/>
              </w:rPr>
              <w:t xml:space="preserve"> </w:t>
            </w:r>
            <w:bookmarkStart w:id="846" w:name="n1_871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47" w:name="pn1_8715"/>
            <w:bookmarkEnd w:id="846"/>
            <w:bookmarkEnd w:id="847"/>
            <w:r>
              <w:rPr>
                <w:lang w:val="lt-LT" w:eastAsia="lt-LT"/>
              </w:rPr>
              <w:t xml:space="preserve"> str. 16 d. 2 punkte įvardintos 3 sąlygos, t. y. kapitalo investicijos yra ne mažesnės kaip 1 šimto tūkstančių (100 000) eurų, vidutinis šios įmonės darbuotojų skaičius mokestiniais metais yra ne mažesnis kaip 20 darbuotojų ir įmonė turi auditoriaus išvadą, patvirtinančią reikalaujamą kapitalo investicijos dydį.</w:t>
            </w:r>
          </w:p>
          <w:p w14:paraId="09A09705" w14:textId="77777777" w:rsidR="00093845" w:rsidRDefault="000D779E">
            <w:pPr>
              <w:ind w:firstLine="868"/>
              <w:jc w:val="both"/>
              <w:rPr>
                <w:lang w:val="lt-LT" w:eastAsia="lt-LT"/>
              </w:rPr>
            </w:pPr>
            <w:r>
              <w:rPr>
                <w:lang w:val="lt-LT" w:eastAsia="lt-LT"/>
              </w:rPr>
              <w:t xml:space="preserve">Tačiau, atsižvelgiant į tai, kad 2017–2020 mokestiniais metais, LEZ įmonė netenkina sąlygos, kad ne mažiau kaip 75 procentus šios įmonės atitinkamo mokestinio laikotarpio pajamų sudarytų pajamos iš nustatytos zonoje vykdomos veiklos – įmonės atliekamos audito veiklos pajamos siekia 45 procentus visų įmonės pajamų, šiuose mokestiniuose laikotarpiuose lengvata netaikoma, todėl už 2017–2020 mokestinius metus įmonė turi apskaičiuoti ir į biudžetą sumokėti pelno mokestį, taikydama </w:t>
            </w:r>
            <w:bookmarkStart w:id="848" w:name="n1_8716"/>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49" w:name="pn1_8716"/>
            <w:bookmarkEnd w:id="848"/>
            <w:bookmarkEnd w:id="849"/>
            <w:r>
              <w:rPr>
                <w:lang w:val="lt-LT" w:eastAsia="lt-LT"/>
              </w:rPr>
              <w:t xml:space="preserve"> </w:t>
            </w:r>
            <w:bookmarkStart w:id="850" w:name="n1_8717"/>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51" w:name="pn1_8717"/>
            <w:bookmarkEnd w:id="850"/>
            <w:bookmarkEnd w:id="851"/>
            <w:r>
              <w:rPr>
                <w:lang w:val="lt-LT" w:eastAsia="lt-LT"/>
              </w:rPr>
              <w:t xml:space="preserve"> straipsnyje nustatytą pelno mokesčio tarifą. </w:t>
            </w:r>
          </w:p>
          <w:p w14:paraId="70CE3F61" w14:textId="77777777" w:rsidR="00093845" w:rsidRDefault="000D779E">
            <w:pPr>
              <w:ind w:firstLine="868"/>
              <w:jc w:val="both"/>
              <w:rPr>
                <w:lang w:val="lt-LT" w:eastAsia="lt-LT"/>
              </w:rPr>
            </w:pPr>
            <w:r>
              <w:rPr>
                <w:lang w:val="lt-LT" w:eastAsia="lt-LT"/>
              </w:rPr>
              <w:t xml:space="preserve">Lengvata gali būti vėl taikoma tą mokestinį laikotarpį, kurį pajamos iš šiame punkte nustatytos zonoje vykdomos veiklos sudarys ne mažiau kaip 75 procentus visų įmonės pajamų. Tačiau šiuo atveju mokestiniai laikotarpiai, kuriais LEZ įmonė neturėjo teisės taikyti pelno mokesčio lengvatos, yra įskaičiuojami į 6 ir 10 pelno mokesčio lengvatos taikymo mokestinius laikotarpius. </w:t>
            </w:r>
          </w:p>
          <w:p w14:paraId="33625EA8" w14:textId="77777777" w:rsidR="00093845" w:rsidRDefault="000D779E">
            <w:pPr>
              <w:ind w:firstLine="868"/>
              <w:jc w:val="both"/>
              <w:rPr>
                <w:lang w:val="lt-LT" w:eastAsia="lt-LT"/>
              </w:rPr>
            </w:pPr>
            <w:r>
              <w:rPr>
                <w:lang w:val="lt-LT" w:eastAsia="lt-LT"/>
              </w:rPr>
              <w:t xml:space="preserve">Tuo atveju, jeigu 2021 m. ir sekančiais mokestiniais metais LEZ įmonė atitiks visas </w:t>
            </w:r>
            <w:bookmarkStart w:id="852" w:name="n1_8718"/>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53" w:name="pn1_8718"/>
            <w:bookmarkEnd w:id="852"/>
            <w:bookmarkEnd w:id="853"/>
            <w:r>
              <w:rPr>
                <w:lang w:val="lt-LT" w:eastAsia="lt-LT"/>
              </w:rPr>
              <w:t xml:space="preserve"> </w:t>
            </w:r>
            <w:bookmarkStart w:id="854" w:name="n1_8719"/>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55" w:name="pn1_8719"/>
            <w:bookmarkEnd w:id="854"/>
            <w:bookmarkEnd w:id="855"/>
            <w:r>
              <w:rPr>
                <w:lang w:val="lt-LT" w:eastAsia="lt-LT"/>
              </w:rPr>
              <w:t xml:space="preserve"> str. 16 d. 2 punkte įvardintas sąlygas, tai šį (2021 m.) mokestinį laikotarpį lengvatos taikymas vėl galimas (šiuo atveju mokestiniai laikotarpiai, kuriais LEZ įmonė neturėjo teisės taikyti pelno mokesčio lengvatos, yra įskaičiuojami į 6 ir 10 pelno mokesčio lengvatos taikymo mokestinius laikotarpius), t. y. 2021–2022 metais įmonė gali būti atleidžiama nuo pelno mokesčio, o 2023–2032 metais, apskaičiuojant pelno mokestį, gali būti taikomas 50 procentų sumažintas pelno mokesčio tarifas. </w:t>
            </w:r>
          </w:p>
          <w:p w14:paraId="5FD61498" w14:textId="77777777" w:rsidR="00093845" w:rsidRDefault="000D779E">
            <w:pPr>
              <w:ind w:firstLine="868"/>
              <w:jc w:val="both"/>
              <w:rPr>
                <w:lang w:val="lt-LT" w:eastAsia="lt-LT"/>
              </w:rPr>
            </w:pPr>
            <w:r>
              <w:rPr>
                <w:lang w:val="lt-LT" w:eastAsia="lt-LT"/>
              </w:rPr>
              <w:t xml:space="preserve">Šiame pavyzdyje įvardintoje situacijoje: </w:t>
            </w:r>
          </w:p>
          <w:p w14:paraId="32E0E296" w14:textId="77777777" w:rsidR="00093845" w:rsidRDefault="000D779E">
            <w:pPr>
              <w:ind w:firstLine="868"/>
              <w:jc w:val="both"/>
              <w:rPr>
                <w:lang w:val="lt-LT" w:eastAsia="lt-LT"/>
              </w:rPr>
            </w:pPr>
            <w:r>
              <w:rPr>
                <w:lang w:val="lt-LT" w:eastAsia="lt-LT"/>
              </w:rPr>
              <w:t xml:space="preserve">– įmonei 2017–2020 metais pelno mokesčio lengvata netaikoma, nes netenkinama sąlyga, kad ne mažiau kaip 75 procentus įmonės atitinkamo mokestinio laikotarpio pajamų sudarytų pajamos iš nustatytos zonoje vykdomos veiklos. Todėl už šiuos laikotarpius įmonė turi apskaičiuoti ir į biudžetą sumokėti pelno mokestį, taikydama </w:t>
            </w:r>
            <w:bookmarkStart w:id="856" w:name="n1_8720"/>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57" w:name="pn1_8720"/>
            <w:bookmarkEnd w:id="856"/>
            <w:bookmarkEnd w:id="857"/>
            <w:r>
              <w:rPr>
                <w:lang w:val="lt-LT" w:eastAsia="lt-LT"/>
              </w:rPr>
              <w:t xml:space="preserve"> </w:t>
            </w:r>
            <w:bookmarkStart w:id="858" w:name="n1_8721"/>
            <w:r>
              <w:rPr>
                <w:lang w:val="lt-LT" w:eastAsia="lt-LT"/>
              </w:rPr>
              <w:fldChar w:fldCharType="begin"/>
            </w:r>
            <w:r>
              <w:rPr>
                <w:lang w:val="lt-LT" w:eastAsia="lt-LT"/>
              </w:rPr>
              <w:instrText xml:space="preserve"> HYPERLINK "JavaScript:OL('12868','5')" \o "Mokesčio tarifai (str. 5)" </w:instrText>
            </w:r>
            <w:r>
              <w:rPr>
                <w:lang w:val="lt-LT" w:eastAsia="lt-LT"/>
              </w:rPr>
              <w:fldChar w:fldCharType="separate"/>
            </w:r>
            <w:r>
              <w:rPr>
                <w:lang w:val="lt-LT" w:eastAsia="lt-LT"/>
              </w:rPr>
              <w:t>5</w:t>
            </w:r>
            <w:r>
              <w:rPr>
                <w:lang w:val="lt-LT" w:eastAsia="lt-LT"/>
              </w:rPr>
              <w:fldChar w:fldCharType="end"/>
            </w:r>
            <w:bookmarkStart w:id="859" w:name="pn1_8721"/>
            <w:bookmarkEnd w:id="858"/>
            <w:bookmarkEnd w:id="859"/>
            <w:r>
              <w:rPr>
                <w:lang w:val="lt-LT" w:eastAsia="lt-LT"/>
              </w:rPr>
              <w:t xml:space="preserve"> straipsnyje nustatytą pelno mokesčio tarifą;</w:t>
            </w:r>
          </w:p>
          <w:p w14:paraId="78616663" w14:textId="77777777" w:rsidR="00093845" w:rsidRDefault="000D779E">
            <w:pPr>
              <w:ind w:firstLine="868"/>
              <w:jc w:val="both"/>
              <w:rPr>
                <w:lang w:val="lt-LT" w:eastAsia="lt-LT"/>
              </w:rPr>
            </w:pPr>
            <w:r>
              <w:rPr>
                <w:lang w:val="lt-LT" w:eastAsia="lt-LT"/>
              </w:rPr>
              <w:t xml:space="preserve">– 2021 ir 2022 metais įmonė gali būti atleidžiama nuo pelno mokesčio; </w:t>
            </w:r>
          </w:p>
          <w:p w14:paraId="4BA1D242" w14:textId="77777777" w:rsidR="00093845" w:rsidRDefault="000D779E">
            <w:pPr>
              <w:ind w:firstLine="868"/>
              <w:jc w:val="both"/>
              <w:rPr>
                <w:lang w:val="lt-LT" w:eastAsia="lt-LT"/>
              </w:rPr>
            </w:pPr>
            <w:r>
              <w:rPr>
                <w:lang w:val="lt-LT" w:eastAsia="lt-LT"/>
              </w:rPr>
              <w:t xml:space="preserve">– 2023–2032 metais įmonė, apskaičiuojant pelno mokestį, galėtų taikyti 50 procentų sumažintą pelno mokesčio tarifą. </w:t>
            </w:r>
          </w:p>
          <w:p w14:paraId="1A0C1634" w14:textId="77777777" w:rsidR="00093845" w:rsidRDefault="000D779E">
            <w:pPr>
              <w:ind w:firstLine="868"/>
              <w:jc w:val="both"/>
              <w:rPr>
                <w:lang w:val="lt-LT" w:eastAsia="lt-LT"/>
              </w:rPr>
            </w:pPr>
            <w:r>
              <w:rPr>
                <w:lang w:val="lt-LT" w:eastAsia="lt-LT"/>
              </w:rPr>
              <w:t xml:space="preserve">Šiame pavyzdyje </w:t>
            </w:r>
            <w:bookmarkStart w:id="860" w:name="n1_872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61" w:name="pn1_8722"/>
            <w:bookmarkEnd w:id="860"/>
            <w:bookmarkEnd w:id="861"/>
            <w:r>
              <w:rPr>
                <w:lang w:val="lt-LT" w:eastAsia="lt-LT"/>
              </w:rPr>
              <w:t xml:space="preserve"> </w:t>
            </w:r>
            <w:bookmarkStart w:id="862" w:name="n1_8723"/>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63" w:name="pn1_8723"/>
            <w:bookmarkEnd w:id="862"/>
            <w:bookmarkEnd w:id="863"/>
            <w:r>
              <w:rPr>
                <w:lang w:val="lt-LT" w:eastAsia="lt-LT"/>
              </w:rPr>
              <w:t xml:space="preserve"> str. 16 d. 2 punkte numatyti 6 mokestiniai laikotarpiai būtų 2017, 2018, 2019, 2020, 2021 ir 2022 metai, o kiti 10 mokestinių laikotarpių, kuriais taikomas 50 proc. sumažintas pelno mokesčio tarifas, būtų 2023–2032 metai.</w:t>
            </w:r>
          </w:p>
        </w:tc>
      </w:tr>
    </w:tbl>
    <w:p w14:paraId="49CA67FB" w14:textId="77777777" w:rsidR="00093845" w:rsidRDefault="000D779E">
      <w:pPr>
        <w:ind w:firstLine="851"/>
        <w:jc w:val="both"/>
        <w:rPr>
          <w:lang w:val="lt-LT" w:eastAsia="lt-LT"/>
        </w:rPr>
      </w:pPr>
      <w:r>
        <w:rPr>
          <w:lang w:val="lt-LT" w:eastAsia="lt-LT"/>
        </w:rPr>
        <w:t xml:space="preserve">    9.</w:t>
      </w:r>
      <w:bookmarkStart w:id="864" w:name="n1_8724"/>
      <w:r>
        <w:rPr>
          <w:lang w:val="lt-LT" w:eastAsia="lt-LT"/>
        </w:rPr>
        <w:t xml:space="preserve"> </w:t>
      </w:r>
      <w:hyperlink r:id="rId142" w:tgtFrame="_blank" w:tooltip="Lietuvos Respublikos pelno mokesčio įstatymas" w:history="1">
        <w:r>
          <w:rPr>
            <w:lang w:val="lt-LT" w:eastAsia="lt-LT"/>
          </w:rPr>
          <w:t>PMĮ</w:t>
        </w:r>
      </w:hyperlink>
      <w:bookmarkStart w:id="865" w:name="pn1_8724"/>
      <w:bookmarkEnd w:id="864"/>
      <w:bookmarkEnd w:id="865"/>
      <w:r>
        <w:rPr>
          <w:lang w:val="lt-LT" w:eastAsia="lt-LT"/>
        </w:rPr>
        <w:t xml:space="preserve"> </w:t>
      </w:r>
      <w:bookmarkStart w:id="866" w:name="n1_8725"/>
      <w:r>
        <w:rPr>
          <w:lang w:val="lt-LT" w:eastAsia="lt-LT"/>
        </w:rPr>
        <w:fldChar w:fldCharType="begin"/>
      </w:r>
      <w:r>
        <w:rPr>
          <w:lang w:val="lt-LT" w:eastAsia="lt-LT"/>
        </w:rPr>
        <w:instrText xml:space="preserve"> HYPERLINK "JavaScript:OL('12868','58')" \o "Perėjimo nuo vieneto pelno arba pajamų apskaičiavimo ir apmokestinimo pagal Juridinių asmenų pelno mokesčio įstatymą bei Fizinių asmenų pajamų mokesčio laikinojo įstatymo IV skyrių tvarka (str. 58)" </w:instrText>
      </w:r>
      <w:r>
        <w:rPr>
          <w:lang w:val="lt-LT" w:eastAsia="lt-LT"/>
        </w:rPr>
        <w:fldChar w:fldCharType="separate"/>
      </w:r>
      <w:r>
        <w:rPr>
          <w:lang w:val="lt-LT" w:eastAsia="lt-LT"/>
        </w:rPr>
        <w:t>58</w:t>
      </w:r>
      <w:r>
        <w:rPr>
          <w:lang w:val="lt-LT" w:eastAsia="lt-LT"/>
        </w:rPr>
        <w:fldChar w:fldCharType="end"/>
      </w:r>
      <w:bookmarkStart w:id="867" w:name="pn1_8725"/>
      <w:bookmarkEnd w:id="866"/>
      <w:bookmarkEnd w:id="867"/>
      <w:r>
        <w:rPr>
          <w:lang w:val="lt-LT" w:eastAsia="lt-LT"/>
        </w:rPr>
        <w:t xml:space="preserve"> str. 16 dalies 2 punkte nustatyta pelno mokesčio lengvata netaikoma laisvose ekonominėse zonose įregistruotoms kredito įstaigoms ir draudimo įmonėms.</w:t>
      </w:r>
    </w:p>
    <w:p w14:paraId="7503D19C" w14:textId="77777777" w:rsidR="00093845" w:rsidRDefault="000D779E">
      <w:pPr>
        <w:ind w:firstLine="851"/>
        <w:jc w:val="both"/>
        <w:rPr>
          <w:b/>
          <w:bCs/>
          <w:lang w:val="lt-LT" w:eastAsia="lt-LT"/>
        </w:rPr>
      </w:pPr>
      <w:r>
        <w:rPr>
          <w:b/>
          <w:bCs/>
          <w:lang w:val="lt-LT" w:eastAsia="lt-LT"/>
        </w:rPr>
        <w:lastRenderedPageBreak/>
        <w:t xml:space="preserve">  2) laisvosios ekonominės zonos įmonė, kurios vidutinis darbuotojų skaičius mokestiniais metais ne mažesnis kaip 20 ir kurioje kapitalo investicijos pasiekė ne mažesnę kaip 1 šimto tūkstančių eurų sumą, 10 mokestinių laikotarpių, pradedant tuo mokestiniu laikotarpiu, kurį ši investicijų suma buvo pasiekta, nemoka pelno mokesčio, o kitus 6 mokestinius laikotarpius jai taikomas 50 procentų sumažintas pelno mokesčio tarifas. Šioje dalyje nustatyta lengvata gali būti taikoma tik tuo atveju, kai ne mažiau kaip 75 procentus atitinkamo mokestinio laikotarpio zonos įmonės pajamų sudaro pajamos iš zonoje vykdomos paslaugų teikimo veiklos. Šioje dalyje nustatyta lengvata gali būti pritaikyta tik tuo atveju, kai laisvosios ekonominės zonos įmonė turi auditoriaus išvadą, patvirtinančią reikalaujamą kapitalo investicijos dydį. Jeigu nesibaigus šioje dalyje nustatytam lengvatos taikymo terminui kapitalo investicijų suma sumažėja ir nebesiekia 1 šimto tūkstančių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eurų ir (arba) vidutinis darbuotojų skaičius mokestiniais metais vėl tampa ne mažesnis kaip 20. Šioje dalyje nustatyta lengvata taikoma tiek, kiek ji suderinama su 2014 m. birželio 17 d. Komisijos reglamento (ES) Nr. 651/2014, kuriuo tam tikrų kategorijų pagalba skelbiama suderinama su vidaus rinka taikant Sutarties 107 ir 108 straipsnius, (OL 2014 L 187, p. 1) nuostatomis;</w:t>
      </w:r>
    </w:p>
    <w:p w14:paraId="2E8D4E2D" w14:textId="77777777" w:rsidR="00093845" w:rsidRDefault="000D779E" w:rsidP="009C0219">
      <w:pPr>
        <w:jc w:val="both"/>
        <w:rPr>
          <w:bCs/>
          <w:lang w:val="lt-LT" w:eastAsia="lt-LT"/>
        </w:rPr>
      </w:pPr>
      <w:r w:rsidRPr="0089549E">
        <w:rPr>
          <w:bCs/>
          <w:i/>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Pr="0089549E">
        <w:rPr>
          <w:bCs/>
          <w:i/>
          <w:lang w:val="lt-LT" w:eastAsia="lt-LT"/>
        </w:rPr>
        <w:t>,</w:t>
      </w:r>
      <w:r>
        <w:rPr>
          <w:bCs/>
          <w:lang w:val="lt-LT" w:eastAsia="lt-LT"/>
        </w:rPr>
        <w:t xml:space="preserve"> punkto </w:t>
      </w:r>
      <w:r>
        <w:rPr>
          <w:b/>
          <w:bCs/>
          <w:lang w:val="lt-LT" w:eastAsia="lt-LT"/>
        </w:rPr>
        <w:t>nuostatos taikomos po 2017 m. gruodžio 31 d. įregistruotoms laisvosios ekonominės zonos įmonėms.</w:t>
      </w:r>
      <w:r>
        <w:rPr>
          <w:bCs/>
          <w:lang w:val="lt-LT" w:eastAsia="lt-LT"/>
        </w:rPr>
        <w:t>)</w:t>
      </w:r>
    </w:p>
    <w:p w14:paraId="7DFCDB9A" w14:textId="77777777" w:rsidR="00093845" w:rsidRDefault="000D779E">
      <w:pPr>
        <w:ind w:firstLine="851"/>
        <w:jc w:val="both"/>
        <w:rPr>
          <w:b/>
          <w:bCs/>
          <w:lang w:val="lt-LT" w:eastAsia="lt-LT"/>
        </w:rPr>
      </w:pPr>
      <w:r>
        <w:rPr>
          <w:b/>
          <w:bCs/>
          <w:lang w:val="lt-LT" w:eastAsia="lt-LT"/>
        </w:rPr>
        <w:t>Komentaras</w:t>
      </w:r>
    </w:p>
    <w:p w14:paraId="6881992E" w14:textId="77777777" w:rsidR="00093845" w:rsidRDefault="000D779E">
      <w:pPr>
        <w:ind w:firstLine="851"/>
        <w:jc w:val="both"/>
        <w:rPr>
          <w:bCs/>
          <w:lang w:val="lt-LT" w:eastAsia="lt-LT"/>
        </w:rPr>
      </w:pPr>
      <w:r>
        <w:rPr>
          <w:bCs/>
          <w:lang w:val="lt-LT" w:eastAsia="lt-LT"/>
        </w:rPr>
        <w:t>1. PMĮ 58 str. 16 dalies 2 punkte nustatyta pelno mokesčio lengvata, kad laisvosios ekonominės zonos (toliau – LEZ) įmonė 10 mokestinius laikotarpius nemoka pelno mokesčio, o kitais 6 mokestinių laikotarpių jai taikomas 50 procentų sumažintas pelno mokesčio tarifas, jeigu ji atitinka šiuos reikalavimus:</w:t>
      </w:r>
    </w:p>
    <w:p w14:paraId="4EDE6BD3" w14:textId="77777777" w:rsidR="00093845" w:rsidRDefault="000D779E">
      <w:pPr>
        <w:ind w:firstLine="851"/>
        <w:jc w:val="both"/>
        <w:rPr>
          <w:bCs/>
          <w:lang w:val="lt-LT" w:eastAsia="lt-LT"/>
        </w:rPr>
      </w:pPr>
      <w:r>
        <w:rPr>
          <w:bCs/>
          <w:lang w:val="lt-LT" w:eastAsia="lt-LT"/>
        </w:rPr>
        <w:t>1.1. vidutinis šios įmonės darbuotojų skaičius mokestiniais metais yra ne mažesnis kaip 20 darbuotojų;</w:t>
      </w:r>
    </w:p>
    <w:p w14:paraId="45DB6FFE" w14:textId="77777777" w:rsidR="00093845" w:rsidRDefault="000D779E">
      <w:pPr>
        <w:ind w:firstLine="851"/>
        <w:jc w:val="both"/>
        <w:rPr>
          <w:bCs/>
          <w:lang w:val="lt-LT" w:eastAsia="lt-LT"/>
        </w:rPr>
      </w:pPr>
      <w:r>
        <w:rPr>
          <w:bCs/>
          <w:lang w:val="lt-LT" w:eastAsia="lt-LT"/>
        </w:rPr>
        <w:t>1.2. kapitalo investicijos siekia ne mažesnę kaip 1 šimto tūkstančių (100 000) eurų sumą;</w:t>
      </w:r>
    </w:p>
    <w:p w14:paraId="0E644429" w14:textId="77777777" w:rsidR="00093845" w:rsidRDefault="000D779E">
      <w:pPr>
        <w:ind w:firstLine="851"/>
        <w:jc w:val="both"/>
        <w:rPr>
          <w:bCs/>
          <w:lang w:val="lt-LT" w:eastAsia="lt-LT"/>
        </w:rPr>
      </w:pPr>
      <w:r>
        <w:rPr>
          <w:bCs/>
          <w:lang w:val="lt-LT" w:eastAsia="lt-LT"/>
        </w:rPr>
        <w:t>1.3. ne mažiau kaip 75 procentus atitinkamo mokestinio laikotarpio zonos įmonės pajamų sudaro pajamos iš zonoje vykdomos paslaugų teikimo veiklos;</w:t>
      </w:r>
    </w:p>
    <w:p w14:paraId="3797870D" w14:textId="77777777" w:rsidR="00093845" w:rsidRDefault="000D779E">
      <w:pPr>
        <w:ind w:firstLine="851"/>
        <w:jc w:val="both"/>
        <w:rPr>
          <w:bCs/>
          <w:lang w:val="lt-LT" w:eastAsia="lt-LT"/>
        </w:rPr>
      </w:pPr>
      <w:r>
        <w:rPr>
          <w:bCs/>
          <w:lang w:val="lt-LT" w:eastAsia="lt-LT"/>
        </w:rPr>
        <w:t>1.4. LEZ įmonė turi auditoriaus išvadą, patvirtinančią reikalaujamą kapitalo investicijos dydį.</w:t>
      </w:r>
    </w:p>
    <w:p w14:paraId="4B24D35E" w14:textId="77777777" w:rsidR="00093845" w:rsidRDefault="000D779E">
      <w:pPr>
        <w:ind w:firstLine="851"/>
        <w:jc w:val="both"/>
        <w:rPr>
          <w:bCs/>
          <w:lang w:val="lt-LT" w:eastAsia="lt-LT"/>
        </w:rPr>
      </w:pPr>
      <w:r>
        <w:rPr>
          <w:bCs/>
          <w:lang w:val="lt-LT" w:eastAsia="lt-LT"/>
        </w:rPr>
        <w:t>Skaičiuojant LEZ mokesčio lengvatų taikymo pradžios laikotarpį atsižvelgiama tik į tai ar kapitalo investicijų suma siekia 1 šimto tūkstančių eurų sumą (nevertinant jokių kitų rodiklių). Lengvatos taikymo pradžios mokestinis laikotarpis pradedamas skaičiuoti, kai LEZ įmonės kapitalo investicijos pasiekia ne mažesnę  kaip 1 šimto tūkstančių eurų sumą  ir skaičiuojamas 16 metų (už pirmus 10 metų pelno mokestis nemokamas, už kitus 6 metus - mokamas 50 proc. sumažintas pelno mokestis), išskyrus laikotarpius, kuriuos investicijų suma sumažėja žemiau nustatytos ribos.</w:t>
      </w:r>
    </w:p>
    <w:p w14:paraId="5ECD883A" w14:textId="77777777" w:rsidR="00093845" w:rsidRDefault="000D779E">
      <w:pPr>
        <w:ind w:firstLine="851"/>
        <w:jc w:val="both"/>
        <w:rPr>
          <w:bCs/>
          <w:lang w:val="lt-LT" w:eastAsia="lt-LT"/>
        </w:rPr>
      </w:pPr>
      <w:r>
        <w:rPr>
          <w:bCs/>
          <w:lang w:val="lt-LT" w:eastAsia="lt-LT"/>
        </w:rPr>
        <w:t>2. Vidutinis sąrašuose esančių darbuotojų skaičius apskaičiuojamas pagal 2002 m. gegužės 15 d. finansų ministro įsakymą Nr. 134 „Dėl Vidutinio metų sąrašinio darbuotojų skaičiaus apskaičiavimo taisyklių patvirtinimo“ (toliau - Taisyklės).</w:t>
      </w:r>
    </w:p>
    <w:p w14:paraId="0DEFF310" w14:textId="77777777" w:rsidR="00093845" w:rsidRDefault="000D779E">
      <w:pPr>
        <w:ind w:firstLine="851"/>
        <w:jc w:val="both"/>
        <w:rPr>
          <w:bCs/>
          <w:lang w:val="lt-LT" w:eastAsia="lt-LT"/>
        </w:rPr>
      </w:pPr>
      <w:r>
        <w:rPr>
          <w:bCs/>
          <w:lang w:val="lt-LT" w:eastAsia="lt-LT"/>
        </w:rPr>
        <w:t>Pavyzdys</w:t>
      </w:r>
    </w:p>
    <w:p w14:paraId="494C660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Pastaba. Pavyzdyje mokestinis laikotarpis sutampa su kalendoriniais metais.</w:t>
      </w:r>
    </w:p>
    <w:p w14:paraId="12F41E9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ab/>
        <w:t>Laisvojoje ekonominėje zonoje įmonė įregistruota 2018 metų lapkričio mėn. 2019 metais kapitalo investicijos pasiekė 1 šimto tūkstančių (100 000) eurų sumą. LEZ įmonė vykdo transporto aptarnavimo paslaugų veiklą.</w:t>
      </w:r>
    </w:p>
    <w:p w14:paraId="3A46A2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Tarkime, kad 2019 metais yra tenkinamos trys PMĮ 58 str. 16 d. 2 punkte įvardintos sąlygos,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w:t>
      </w:r>
    </w:p>
    <w:p w14:paraId="42D70CA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 xml:space="preserve">LEZ įmonei reikia apskaičiuoti, ar tenkinama ketvirta 58 str. 16 d. 2 punkte įvardinta sąlyga, t. y. ar vidutinis šios įmonės darbuotojų skaičius mokestiniais metais yra ne mažesnis kaip 20 darbuotojų. </w:t>
      </w:r>
    </w:p>
    <w:p w14:paraId="4F0D788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Vadovaujantis taisyklėmis, vidutinis metų sąrašinis darbuotojų skaičius apskaičiuojamas taikant chronologinį vidurkį pagal formulę:</w:t>
      </w:r>
      <w:r>
        <w:rPr>
          <w:bCs/>
          <w:lang w:val="lt-LT" w:eastAsia="lt-LT"/>
        </w:rPr>
        <w:tab/>
      </w:r>
      <w:r>
        <w:rPr>
          <w:bCs/>
          <w:lang w:val="lt-LT" w:eastAsia="lt-LT"/>
        </w:rPr>
        <w:tab/>
      </w:r>
    </w:p>
    <w:p w14:paraId="52D5914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w:t>
      </w:r>
      <w:r>
        <w:rPr>
          <w:bCs/>
          <w:noProof/>
          <w:lang w:val="lt-LT" w:eastAsia="lt-LT"/>
        </w:rPr>
        <w:drawing>
          <wp:inline distT="0" distB="0" distL="0" distR="0" wp14:anchorId="67779309" wp14:editId="7150A8F1">
            <wp:extent cx="3609340" cy="786765"/>
            <wp:effectExtent l="0" t="0" r="0" b="0"/>
            <wp:docPr id="104" name="Paveikslėli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aveikslėlis 1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3609340" cy="786765"/>
                    </a:xfrm>
                    <a:prstGeom prst="rect">
                      <a:avLst/>
                    </a:prstGeom>
                    <a:noFill/>
                  </pic:spPr>
                </pic:pic>
              </a:graphicData>
            </a:graphic>
          </wp:inline>
        </w:drawing>
      </w:r>
    </w:p>
    <w:p w14:paraId="66345B5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kur: </w:t>
      </w:r>
    </w:p>
    <w:p w14:paraId="01A1EC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 – vidutinis metų sąrašinis darbuotojų skaičius ataskaitiniais metais;</w:t>
      </w:r>
    </w:p>
    <w:p w14:paraId="3BFCE16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Dgr0 – darbuotojų skaičius iki ataskaitinių metų gruodžio 31 d.;</w:t>
      </w:r>
    </w:p>
    <w:p w14:paraId="6F5FC96A"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Ds – darbuotojų skaičius ataskaitinių metų sausio 31 d.;</w:t>
      </w:r>
    </w:p>
    <w:p w14:paraId="48BED82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Dv – darbuotojų skaičius ataskaitinių metų vasario 28 d. arba 29 d.;</w:t>
      </w:r>
    </w:p>
    <w:p w14:paraId="5C761DC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 – kitų ataskaitinio laikotarpio mėnesių darbuotojų skaičius;</w:t>
      </w:r>
    </w:p>
    <w:p w14:paraId="3A60AF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Dl – darbuotojų skaičius ataskaitinių metų lapkričio 30 d.;</w:t>
      </w:r>
    </w:p>
    <w:p w14:paraId="2A3531D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Dgr1 – darbuotojų skaičius ataskaitinių metų gruodžio 31 d.</w:t>
      </w:r>
    </w:p>
    <w:p w14:paraId="55C707BC" w14:textId="77777777" w:rsidR="00093845" w:rsidRDefault="00093845">
      <w:pPr>
        <w:pBdr>
          <w:top w:val="single" w:sz="4" w:space="1" w:color="auto"/>
          <w:left w:val="single" w:sz="4" w:space="4" w:color="auto"/>
          <w:bottom w:val="single" w:sz="4" w:space="1" w:color="auto"/>
          <w:right w:val="single" w:sz="4" w:space="4" w:color="auto"/>
        </w:pBdr>
        <w:ind w:firstLine="851"/>
        <w:jc w:val="both"/>
        <w:rPr>
          <w:bCs/>
          <w:lang w:val="lt-LT" w:eastAsia="lt-LT"/>
        </w:rPr>
      </w:pPr>
    </w:p>
    <w:p w14:paraId="4F809B5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w:t>
      </w:r>
      <w:r>
        <w:rPr>
          <w:bCs/>
          <w:lang w:val="lt-LT" w:eastAsia="lt-LT"/>
        </w:rPr>
        <w:tab/>
        <w:t xml:space="preserve">Į darbuotojų skaičių neįskaitoma: </w:t>
      </w:r>
    </w:p>
    <w:p w14:paraId="13D3ABC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moterys, kurioms suteiktos nėštumo ir gimdymo atostogos; </w:t>
      </w:r>
    </w:p>
    <w:p w14:paraId="3A72997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asmenys, kuriems suteiktos atostogos vaikui prižiūrėti, kol jam sueis treji metai;</w:t>
      </w:r>
    </w:p>
    <w:p w14:paraId="597704D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asmenys, atliekantys privalomąją karo arba alternatyviąją krašto apsaugos tarnybą;</w:t>
      </w:r>
    </w:p>
    <w:p w14:paraId="46024B7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asmenys, sudarę autorines ar kitas civilines sutartis; </w:t>
      </w:r>
    </w:p>
    <w:p w14:paraId="611591AE"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asmenys, įsigiję verslo liudijimus; </w:t>
      </w:r>
    </w:p>
    <w:p w14:paraId="1382B9A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mokiniai, su kuriais nesudarytos darbo sutartys.</w:t>
      </w:r>
    </w:p>
    <w:p w14:paraId="1919BFD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Tarkime, kad  LEZ įmonėje 2019 metais darbuotojų skaičius toks:</w:t>
      </w:r>
    </w:p>
    <w:p w14:paraId="0BE0A7F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r>
    </w:p>
    <w:p w14:paraId="44979B6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 </w:t>
      </w:r>
      <w:r>
        <w:rPr>
          <w:noProof/>
          <w:lang w:val="lt-LT" w:eastAsia="lt-LT"/>
        </w:rPr>
        <w:drawing>
          <wp:inline distT="0" distB="0" distL="0" distR="0" wp14:anchorId="3E6E1C3D" wp14:editId="213E1F36">
            <wp:extent cx="6120130" cy="904240"/>
            <wp:effectExtent l="0" t="0" r="0" b="0"/>
            <wp:docPr id="375" name="Paveikslėli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aveikslėlis 37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6120130" cy="904824"/>
                    </a:xfrm>
                    <a:prstGeom prst="rect">
                      <a:avLst/>
                    </a:prstGeom>
                    <a:noFill/>
                    <a:ln>
                      <a:noFill/>
                    </a:ln>
                  </pic:spPr>
                </pic:pic>
              </a:graphicData>
            </a:graphic>
          </wp:inline>
        </w:drawing>
      </w:r>
    </w:p>
    <w:p w14:paraId="07325408" w14:textId="77777777" w:rsidR="00093845" w:rsidRDefault="00093845">
      <w:pPr>
        <w:pBdr>
          <w:top w:val="single" w:sz="4" w:space="1" w:color="auto"/>
          <w:left w:val="single" w:sz="4" w:space="4" w:color="auto"/>
          <w:bottom w:val="single" w:sz="4" w:space="1" w:color="auto"/>
          <w:right w:val="single" w:sz="4" w:space="4" w:color="auto"/>
        </w:pBdr>
        <w:ind w:firstLine="851"/>
        <w:jc w:val="both"/>
        <w:rPr>
          <w:bCs/>
          <w:lang w:val="lt-LT" w:eastAsia="lt-LT"/>
        </w:rPr>
      </w:pPr>
    </w:p>
    <w:p w14:paraId="30CE69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32/2+20+26+26+32+32+16+6+6+15+16+20+32/2</w:t>
      </w:r>
    </w:p>
    <w:p w14:paraId="79B464B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  20,58</w:t>
      </w:r>
    </w:p>
    <w:p w14:paraId="1887E10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b/>
        <w:t xml:space="preserve">                              12</w:t>
      </w:r>
    </w:p>
    <w:p w14:paraId="2FD06D6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2019 metų vidutinis metų sąrašinis darbuotojų skaičius yra lygus 20,58 darbuotojų.</w:t>
      </w:r>
      <w:r>
        <w:rPr>
          <w:bCs/>
          <w:lang w:val="lt-LT" w:eastAsia="lt-LT"/>
        </w:rPr>
        <w:tab/>
      </w:r>
    </w:p>
    <w:p w14:paraId="6A0315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Atsižvelgiant į tai, kad LEZ įmonė atitinka visas 4 PMĮ 58 str. 16 d. 2 punkte įvardintas sąlygas, t. y. kapitalo investicijos yra ne mažesnės kaip 1 šimto tūkstančių (100 000) eurų, ne mažiau kaip 75 procentus šios įmonės atitinkamo mokestinio laikotarpio pajamų sudaro pajamos iš nustatytos zonoje vykdomos veiklos ir įmonė turi auditoriaus išvadą, patvirtinančią reikalaujamą kapitalo investicijos dydį ir vidutinis šios įmonės darbuotojų skaičius mokestiniais metais yra ne mažesnis kaip 20 darbuotojų, ši įmonė apskaičiuojant 2019 metų apmokestinamąjį pelną  pritaikys  minėtame straipsnyje įtvirtintą lengvatą (10 mokestinių laikotarpių nemokėti pelno mokesčio) ir nemokės pelno mokesčio. </w:t>
      </w:r>
    </w:p>
    <w:p w14:paraId="13585D8B" w14:textId="77777777" w:rsidR="00093845" w:rsidRDefault="000D779E">
      <w:pPr>
        <w:ind w:firstLine="851"/>
        <w:jc w:val="both"/>
        <w:rPr>
          <w:bCs/>
          <w:lang w:val="lt-LT" w:eastAsia="lt-LT"/>
        </w:rPr>
      </w:pPr>
      <w:r>
        <w:rPr>
          <w:bCs/>
          <w:lang w:val="lt-LT" w:eastAsia="lt-LT"/>
        </w:rPr>
        <w:t>3. Lietuvos Respublikos investicijų įstatymo 3 straipsnio 4 dalyje kapitalo investicijos sąvoka apibrėžiama kaip „kapitalo investicijos – investicijos ilgalaikiam materialiajam ir nematerialiajam turtui sukurti, įsigyti arba jo vertei padidinti“. Lietuvos Respublikos investicijų įstatymas nenustato apribojimų, investuotojui, investuoti ilgalaikį turtą įsigytą už nuosavas ar už skolintas lėšas. Todėl, nustatant 1 šimto tūkstančių (100 000) eurų vertės kapitalo investiciją, į ją įtraukiamas turtas, įsigytas tiek už nuosavas, tiek už skolintas lėšas, tiek pagal pirkimo išsimokėtinai sutartis. Analogiškos nuostatos, atsižvelgiant į vertės apribojimą, taikomos kaip ir PMĮ 58 str. 16 dalies 1 punkte (plačiau PMĮ 58 str. 16 d. 1 punkto komentare).</w:t>
      </w:r>
    </w:p>
    <w:p w14:paraId="40096A86" w14:textId="77777777" w:rsidR="00093845" w:rsidRDefault="000D779E">
      <w:pPr>
        <w:ind w:firstLine="851"/>
        <w:jc w:val="both"/>
        <w:rPr>
          <w:bCs/>
          <w:lang w:val="lt-LT" w:eastAsia="lt-LT"/>
        </w:rPr>
      </w:pPr>
      <w:r>
        <w:rPr>
          <w:bCs/>
          <w:lang w:val="lt-LT" w:eastAsia="lt-LT"/>
        </w:rPr>
        <w:t>3.1. Vadovaujantis Bendrosios išimties reglamentu LEZ įmonės reorganizavimo, atskyrimo ir (ar) veiklos perkėlimo atveju nauju investiciniu projektu laikomos investicijos, atliktos po 3 m. nuo kitos grupės įmonės (pirminės LEZ įmonės) pradinės investicijos darbų pradžios, todėl pelno mokesčio lengvata, kuri taikoma po 2017 m. gruodžio 31 d. įregistruotoms LEZ įmonėms, taikoma tik tuo atveju, jei LEZ įmonė atlieka naują pradinę investiciją po 3 metų laikotarpio nuo kitos grupės įmonės (pirminės LEZ įmonės) pradinės investicijos darbų pradžios.</w:t>
      </w:r>
    </w:p>
    <w:p w14:paraId="44486607" w14:textId="77777777" w:rsidR="00093845" w:rsidRDefault="000D779E">
      <w:pPr>
        <w:ind w:firstLine="851"/>
        <w:jc w:val="both"/>
        <w:rPr>
          <w:bCs/>
          <w:lang w:val="lt-LT" w:eastAsia="lt-LT"/>
        </w:rPr>
      </w:pPr>
      <w:r>
        <w:rPr>
          <w:bCs/>
          <w:lang w:val="lt-LT" w:eastAsia="lt-LT"/>
        </w:rPr>
        <w:t xml:space="preserve">Pavyzdžiai </w:t>
      </w:r>
    </w:p>
    <w:p w14:paraId="287F0218" w14:textId="77777777" w:rsidR="00093845" w:rsidRDefault="000D779E">
      <w:pPr>
        <w:pBdr>
          <w:top w:val="single" w:sz="4" w:space="1" w:color="auto"/>
          <w:left w:val="single" w:sz="4" w:space="4" w:color="auto"/>
          <w:bottom w:val="single" w:sz="4" w:space="0" w:color="auto"/>
          <w:right w:val="single" w:sz="4" w:space="4" w:color="auto"/>
        </w:pBdr>
        <w:ind w:firstLine="851"/>
        <w:jc w:val="both"/>
        <w:rPr>
          <w:bCs/>
          <w:lang w:val="lt-LT" w:eastAsia="lt-LT"/>
        </w:rPr>
      </w:pPr>
      <w:r>
        <w:rPr>
          <w:bCs/>
          <w:lang w:val="lt-LT" w:eastAsia="lt-LT"/>
        </w:rPr>
        <w:t xml:space="preserve">1. Įmonių grupė, turinti LEZ teritorijoje plastiko gaminių gamyklą, planuoja įsteigti naują įmonę (tuo tikslu bus padarytos naujos kapitalo investicijos gamyklos pastatą, gamybos įrangą), kuri LEZ teritorijoje išsinuomos naują žemės sklypą ir jame įrengs sandėliavimo aikštelę bei suskystintų dujų terminalą ir teiks grupės įmonei sandėliavimo paslaugas bei išdujinimo paslaugas, tai po 2017 m. gruodžio 31 d. įregistruotai naujai įsteigtai LEZ įmonei bus galima taikyti PMĮ 58 straipsnio 16 dalies 2 punkte įtvirtintą  lengvatą, jeigu LEZ įmonė atitiks ir kitus </w:t>
      </w:r>
      <w:hyperlink r:id="rId145" w:tgtFrame="_blank" w:tooltip="Lietuvos Respublikos pelno mokesčio įstatymas" w:history="1">
        <w:r w:rsidRPr="0065344A">
          <w:rPr>
            <w:lang w:val="lt-LT" w:eastAsia="lt-LT"/>
          </w:rPr>
          <w:t>PMĮ</w:t>
        </w:r>
      </w:hyperlink>
      <w:r>
        <w:rPr>
          <w:bCs/>
          <w:lang w:val="lt-LT" w:eastAsia="lt-LT"/>
        </w:rPr>
        <w:t xml:space="preserve"> </w:t>
      </w:r>
      <w:hyperlink r:id="rId146" w:tooltip="Perėjimo nuo vieneto pelno arba pajamų apskaičiavimo ir apmokestinimo pagal Juridinių asmenų pelno mokesčio įstatymą bei Fizinių asmenų pajamų mokesčio laikinojo įstatymo IV skyrių tvarka (str. 58)" w:history="1">
        <w:r w:rsidRPr="0065344A">
          <w:rPr>
            <w:lang w:val="lt-LT" w:eastAsia="lt-LT"/>
          </w:rPr>
          <w:t>58</w:t>
        </w:r>
      </w:hyperlink>
      <w:r w:rsidRPr="0065344A">
        <w:rPr>
          <w:lang w:val="lt-LT" w:eastAsia="lt-LT"/>
        </w:rPr>
        <w:t xml:space="preserve"> </w:t>
      </w:r>
      <w:r>
        <w:rPr>
          <w:bCs/>
          <w:lang w:val="lt-LT" w:eastAsia="lt-LT"/>
        </w:rPr>
        <w:t xml:space="preserve">str. 16 d. 2 punkte įtvirtintus reikalavimus lengvatai taikyti. </w:t>
      </w:r>
    </w:p>
    <w:p w14:paraId="2B802D9C" w14:textId="77777777" w:rsidR="00093845" w:rsidRDefault="000D779E">
      <w:pPr>
        <w:pBdr>
          <w:top w:val="single" w:sz="4" w:space="1" w:color="auto"/>
          <w:left w:val="single" w:sz="4" w:space="4" w:color="auto"/>
          <w:bottom w:val="single" w:sz="4" w:space="0" w:color="auto"/>
          <w:right w:val="single" w:sz="4" w:space="4" w:color="auto"/>
        </w:pBdr>
        <w:ind w:firstLine="851"/>
        <w:jc w:val="both"/>
        <w:rPr>
          <w:bCs/>
          <w:lang w:val="lt-LT" w:eastAsia="lt-LT"/>
        </w:rPr>
      </w:pPr>
      <w:r>
        <w:rPr>
          <w:bCs/>
          <w:lang w:val="lt-LT" w:eastAsia="lt-LT"/>
        </w:rPr>
        <w:t xml:space="preserve">2. Įmonių grupė LEZ teritorijoje turinti plastiko gaminiu gamyklą ir logistikos sandėlį planuoja atskirti nuo veikiančios LEZ įmonės logistikos sandėlio veiklą ir įsteigti naują vien tik </w:t>
      </w:r>
      <w:r>
        <w:rPr>
          <w:bCs/>
          <w:lang w:val="lt-LT" w:eastAsia="lt-LT"/>
        </w:rPr>
        <w:lastRenderedPageBreak/>
        <w:t xml:space="preserve">logistikos sandėlių veiklos įmonę (tuo tikslu bus pastatyti nauji logistikos sandėliai), tai po 2017 m. gruodžio 31 d. įregistruotai naujai įsteigtai LEZ įmonei bus galima taikyti PMĮ 58 straipsnio 16 dalies 2 punkte įtvirtintą  lengvatą, tik tuo atveju, jeigu vadovaujantis Bendrosios išimties reglamentu  naujai įregistruota LEZ įmonė atlieka naują pradinę investiciją po 3 metų laikotarpio nuo kitos grupės įmonės (pirminės LEZ įmonės) pradinės investicijos darbų pradžios ir jeigu naujai įsteigta LEZ įmonė atitiks kitas PMĮ 58 straipsnio 16 dalies 2 punkte įvardintas sąlygas.  </w:t>
      </w:r>
    </w:p>
    <w:p w14:paraId="6F6279CF" w14:textId="77777777" w:rsidR="00093845" w:rsidRDefault="000D779E">
      <w:pPr>
        <w:ind w:firstLine="851"/>
        <w:jc w:val="both"/>
        <w:rPr>
          <w:bCs/>
          <w:lang w:val="lt-LT" w:eastAsia="lt-LT"/>
        </w:rPr>
      </w:pPr>
      <w:r>
        <w:rPr>
          <w:bCs/>
          <w:lang w:val="lt-LT" w:eastAsia="lt-LT"/>
        </w:rPr>
        <w:t xml:space="preserve">4. PMĮ 58 str. 16 dalies 2 punkte nustatyta lengvata gali būti taikoma tik tuo atveju, kai ne mažiau kaip 75 procentus atitinkamo mokestinio laikotarpio zonos įmonės pajamų sudaro pajamos iš zonoje vykdomos paslaugų teikimo veiklos. </w:t>
      </w:r>
    </w:p>
    <w:p w14:paraId="2FE7E69F" w14:textId="77777777" w:rsidR="00093845" w:rsidRDefault="000D779E">
      <w:pPr>
        <w:ind w:firstLine="851"/>
        <w:jc w:val="both"/>
        <w:rPr>
          <w:bCs/>
          <w:lang w:val="lt-LT" w:eastAsia="lt-LT"/>
        </w:rPr>
      </w:pPr>
      <w:r>
        <w:rPr>
          <w:bCs/>
          <w:lang w:val="lt-LT" w:eastAsia="lt-LT"/>
        </w:rPr>
        <w:t xml:space="preserve">    4.1. LEZ įmonės zonoje vykdoma veikla identifikuojama pagal Ekonominės veiklos rūšių klasifikatorių (EVRK 2 red.), patvirtintą Statistikos departamento prie Lietuvos Respublikos Vyriausybės generalinio direktoriaus 2007 m. spalio 31 d. įsakymu Nr. DĮ-226 „Dėl Ekonominės veiklos rūšių klasifikatoriaus patvirtinimo“ (toliau – EVRK). </w:t>
      </w:r>
    </w:p>
    <w:p w14:paraId="6E87354E" w14:textId="77777777" w:rsidR="00093845" w:rsidRDefault="000D779E">
      <w:pPr>
        <w:ind w:firstLine="851"/>
        <w:jc w:val="both"/>
        <w:rPr>
          <w:bCs/>
          <w:lang w:val="lt-LT" w:eastAsia="lt-LT"/>
        </w:rPr>
      </w:pPr>
      <w:r>
        <w:rPr>
          <w:bCs/>
          <w:lang w:val="lt-LT" w:eastAsia="lt-LT"/>
        </w:rPr>
        <w:t>Pavyzdžiai</w:t>
      </w:r>
    </w:p>
    <w:p w14:paraId="5414DF7B"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1. LEZ įmonės veikla įstaigų administracinė ir aptarnavimo veikla. Įmonė gali naudotis pelno mokesčio lengvata, jei ne mažiau kaip 75 procentų įmonės pajamų sudaro pajamos iš zonoje vykdomos šių paslaugų veiklos ir atitinka kitas PMĮ 58 str. 16 d. 2 punkte įvardintas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w:t>
      </w:r>
    </w:p>
    <w:p w14:paraId="3FCE4C1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2. LEZ įmonės veikla yra apskaitos, buhalterijos ir konsultacinė veikla bei prekyba kanceliarinėmis prekėmis. LEZ įmonė atlieka: </w:t>
      </w:r>
    </w:p>
    <w:p w14:paraId="684B245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apskaitos, buhalterijos ir konsultacinę veiklą LEZ teritorijoje registruotoms įmonėms; </w:t>
      </w:r>
    </w:p>
    <w:p w14:paraId="25BD163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prekyba, kurios pagal PMĮ 58 str. 16 d. 1 punkto nuostatas nepriskiriamos LEZ vykdomai veiklai, kurioms taikomos pelno mokesčio lengvatos; </w:t>
      </w:r>
    </w:p>
    <w:p w14:paraId="6209E6D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apskaitos, buhalterijos ir konsultacinės veiklos bei audito paslaugas kitoms Lietuvos bei užsienio įmonėms, t. y. įmonėms, kurios nėra registruotos LEZ teritorijoje. </w:t>
      </w:r>
    </w:p>
    <w:p w14:paraId="30E99C0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iš pardavimų įmonė uždirba 18 procentų pajamų. </w:t>
      </w:r>
    </w:p>
    <w:p w14:paraId="0D145F5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Atsižvelgiant į tai, kad 18 proc. įmonės uždirbamų pajamų yra gaunamos iš veiklos, kuriai netaikomos įvardintos PMĮ 58 str. 16 d. 1 ir 2 punktuose lengvatos, įmonė gali naudotis pelno mokesčio lengvata, nes ne mažiau kaip 75 procentų įmonės pajamų sudaro pajamos iš zonoje vykdomos PMĮ 58 str. 16 d. 2 punkte įvardintos apskaitos, buhalterijos ir konsultacinės veiklos, ir jei įmonė atitinka kitas PMĮ 58 str. 16 d. 2 punkte nurodytas sąlygas, t. y. vidutinis šios įmonės darbuotojų skaičius mokestiniais metais yra ne mažesnis kaip 20 darbuotojų, kapitalo investicijos pasiekė ne mažesnę kaip 1 šimto tūkstančių (100 000) eurų sumą ir įmonė turi auditoriaus išvadą, patvirtinančią reikalaujamą kapitalo investicijos dydį. </w:t>
      </w:r>
    </w:p>
    <w:p w14:paraId="61994991"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Atkreiptinas dėmesys, kad jei LEZ įmonė, vykdo ne tik PMĮ 58 str. 16 d. 2 punkte įvardintą veiklą, bet ir kito pobūdžio veiklą, tai norint taikyti PMĮ 58 str. 16 d. 2 punkte įvardintą lengvatą, iš vykdomos kito pobūdžio veiklos uždirbamos pajamos negali viršyti 25 proc. visų LEZ įmonės uždirbamų pajamų. </w:t>
      </w:r>
    </w:p>
    <w:p w14:paraId="50A820C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3. LEZ įmonės veikla yra orlaivių remontas ir techninė priežiūra. Įmonė gali naudotis pelno mokesčio lengvata, jei ne mažiau kaip 75 procentus įmonės pajamų sudaro pajamos už zonoje </w:t>
      </w:r>
      <w:r>
        <w:rPr>
          <w:bCs/>
          <w:lang w:val="lt-LT" w:eastAsia="lt-LT"/>
        </w:rPr>
        <w:lastRenderedPageBreak/>
        <w:t xml:space="preserve">atliekamą orlaivių remontą ir techninę priežiūrą ir įmonė atitinka kitus PMĮ 58 str. 16 d. </w:t>
      </w:r>
      <w:r w:rsidR="00B475B5">
        <w:rPr>
          <w:bCs/>
          <w:lang w:val="lt-LT" w:eastAsia="lt-LT"/>
        </w:rPr>
        <w:t>2</w:t>
      </w:r>
      <w:r>
        <w:rPr>
          <w:bCs/>
          <w:lang w:val="lt-LT" w:eastAsia="lt-LT"/>
        </w:rPr>
        <w:t xml:space="preserve"> punkte įtvirtintus reikalavimus lengvatai taikyti. </w:t>
      </w:r>
    </w:p>
    <w:p w14:paraId="5CFE821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4. LEZ įmonės veikla darbo drabužių nuoma, skalbimas, pristatymas klientams. Įmonė gali naudotis pelno mokesčio lengvata, jei ne mažiau kaip 75 procentų įmonės pajamų sudaro pajamos iš zonoje vykdomų paslaugų, suteiktų kitoms Laisvojoje ekonominėje zonoje įregistruotoms įmonėms, kurios vykdo PMĮ 58 str. 16 d. </w:t>
      </w:r>
      <w:r w:rsidR="00B475B5">
        <w:rPr>
          <w:bCs/>
          <w:lang w:val="lt-LT" w:eastAsia="lt-LT"/>
        </w:rPr>
        <w:t>2</w:t>
      </w:r>
      <w:r>
        <w:rPr>
          <w:bCs/>
          <w:lang w:val="lt-LT" w:eastAsia="lt-LT"/>
        </w:rPr>
        <w:t xml:space="preserve"> punkte nurodytą veiklą.</w:t>
      </w:r>
    </w:p>
    <w:p w14:paraId="2AD128E9" w14:textId="77777777" w:rsidR="00093845" w:rsidRDefault="000D779E">
      <w:pPr>
        <w:ind w:firstLine="851"/>
        <w:jc w:val="both"/>
        <w:rPr>
          <w:bCs/>
          <w:lang w:val="lt-LT" w:eastAsia="lt-LT"/>
        </w:rPr>
      </w:pPr>
      <w:r>
        <w:rPr>
          <w:bCs/>
          <w:lang w:val="lt-LT" w:eastAsia="lt-LT"/>
        </w:rPr>
        <w:t xml:space="preserve"> 5. Auditoriaus išvadoje nustatytas LEZ įmonės kapitalo investicijos dydis turėtų būti įrašomas į metinių finansinių ataskaitų aiškinamąjį raštą (kaip reikšminga informacija, nepateikta finansinėse ataskaitose). </w:t>
      </w:r>
    </w:p>
    <w:p w14:paraId="351B3ED9" w14:textId="77777777" w:rsidR="00093845" w:rsidRDefault="000D779E">
      <w:pPr>
        <w:ind w:firstLine="851"/>
        <w:jc w:val="both"/>
        <w:rPr>
          <w:bCs/>
          <w:lang w:val="lt-LT" w:eastAsia="lt-LT"/>
        </w:rPr>
      </w:pPr>
      <w:r>
        <w:rPr>
          <w:bCs/>
          <w:lang w:val="lt-LT" w:eastAsia="lt-LT"/>
        </w:rPr>
        <w:t xml:space="preserve"> 6. PMĮ 58 str. 16 d. 2 p. lengvata taikoma mokestiniais laikotarpiais, kuriais  yra įvykdytos visos 4 aukščiau minėtos sąlygos, t. y.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7146DA41" w14:textId="77777777" w:rsidR="00093845" w:rsidRDefault="000D779E">
      <w:pPr>
        <w:ind w:firstLine="851"/>
        <w:jc w:val="both"/>
        <w:rPr>
          <w:bCs/>
          <w:lang w:val="lt-LT" w:eastAsia="lt-LT"/>
        </w:rPr>
      </w:pPr>
      <w:r>
        <w:rPr>
          <w:bCs/>
          <w:lang w:val="lt-LT" w:eastAsia="lt-LT"/>
        </w:rPr>
        <w:t xml:space="preserve">LEZ įmonė, kuriai taikoma šiame punkte nustatyta pelno mokesčio lengvata: </w:t>
      </w:r>
    </w:p>
    <w:p w14:paraId="462FDE22" w14:textId="77777777" w:rsidR="00093845" w:rsidRDefault="000D779E">
      <w:pPr>
        <w:ind w:firstLine="851"/>
        <w:jc w:val="both"/>
        <w:rPr>
          <w:bCs/>
          <w:lang w:val="lt-LT" w:eastAsia="lt-LT"/>
        </w:rPr>
      </w:pPr>
      <w:r>
        <w:rPr>
          <w:bCs/>
          <w:lang w:val="lt-LT" w:eastAsia="lt-LT"/>
        </w:rPr>
        <w:t xml:space="preserve">– 10 mokestinių laikotarpių, pradedant tuo mokestiniu laikotarpiu, kurį ši investicijų suma buvo pasiekta, nemoka pelno mokesčio; </w:t>
      </w:r>
    </w:p>
    <w:p w14:paraId="35699532" w14:textId="77777777" w:rsidR="00093845" w:rsidRDefault="000D779E">
      <w:pPr>
        <w:ind w:firstLine="851"/>
        <w:jc w:val="both"/>
        <w:rPr>
          <w:bCs/>
          <w:lang w:val="lt-LT" w:eastAsia="lt-LT"/>
        </w:rPr>
      </w:pPr>
      <w:r>
        <w:rPr>
          <w:bCs/>
          <w:lang w:val="lt-LT" w:eastAsia="lt-LT"/>
        </w:rPr>
        <w:t xml:space="preserve">– kitais 6 mokestiniais laikotarpiais jai taikomas 50 procentų sumažintas pelno mokesčio tarifas. </w:t>
      </w:r>
    </w:p>
    <w:p w14:paraId="2E8D66A6" w14:textId="77777777" w:rsidR="00093845" w:rsidRDefault="000D779E">
      <w:pPr>
        <w:ind w:firstLine="851"/>
        <w:jc w:val="both"/>
        <w:rPr>
          <w:bCs/>
          <w:lang w:val="lt-LT" w:eastAsia="lt-LT"/>
        </w:rPr>
      </w:pPr>
      <w:r>
        <w:rPr>
          <w:bCs/>
          <w:lang w:val="lt-LT" w:eastAsia="lt-LT"/>
        </w:rPr>
        <w:t xml:space="preserve">7. Tuo atveju, jeigu nepasibaigus nustatytam lengvatos taikymo terminui kapitalo investicijų suma sumažėja ir nebesiekia 1 šimto tūkstančių (100 000) eurų ir (arba) vidutinis darbuotojų skaičius mokestiniais metais tampa mažesnis kaip 20, lengvatos taikymas sustabdomas tą mokestinį laikotarpį, kurį kapitalo investicijos suma ir (arba) vidutinis darbuotojų skaičius mokestiniais metais taip sumažėjo, ir gali būti atnaujintas tą mokestinį laikotarpį, kurį kapitalo investicija vėl pasiekia 1 šimto tūkstančių (100 000) eurų ir (arba) vidutinis darbuotojų skaičius mokestiniais metais vėl tampa ne mažesnis kaip 20. </w:t>
      </w:r>
    </w:p>
    <w:p w14:paraId="01A7ACB9" w14:textId="77777777" w:rsidR="00093845" w:rsidRDefault="000D779E">
      <w:pPr>
        <w:ind w:firstLine="851"/>
        <w:jc w:val="both"/>
        <w:rPr>
          <w:bCs/>
          <w:lang w:val="lt-LT" w:eastAsia="lt-LT"/>
        </w:rPr>
      </w:pPr>
      <w:r>
        <w:rPr>
          <w:bCs/>
          <w:lang w:val="lt-LT"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1 šimto tūkstančių (100 000) eurų, tai nelaikoma kapitalo investicijų sumažėjimu.</w:t>
      </w:r>
    </w:p>
    <w:p w14:paraId="1899F473" w14:textId="77777777" w:rsidR="00093845" w:rsidRDefault="000D779E">
      <w:pPr>
        <w:ind w:firstLine="851"/>
        <w:jc w:val="both"/>
        <w:rPr>
          <w:bCs/>
          <w:lang w:val="lt-LT" w:eastAsia="lt-LT"/>
        </w:rPr>
      </w:pPr>
      <w:r>
        <w:rPr>
          <w:bCs/>
          <w:lang w:val="lt-LT" w:eastAsia="lt-LT"/>
        </w:rPr>
        <w:t xml:space="preserve">     </w:t>
      </w:r>
    </w:p>
    <w:p w14:paraId="65439EF1" w14:textId="77777777" w:rsidR="00093845" w:rsidRDefault="000D779E">
      <w:pPr>
        <w:ind w:firstLine="851"/>
        <w:jc w:val="both"/>
        <w:rPr>
          <w:bCs/>
          <w:lang w:val="lt-LT" w:eastAsia="lt-LT"/>
        </w:rPr>
      </w:pPr>
      <w:r>
        <w:rPr>
          <w:bCs/>
          <w:lang w:val="lt-LT" w:eastAsia="lt-LT"/>
        </w:rPr>
        <w:t xml:space="preserve">Pavyzdys </w:t>
      </w:r>
    </w:p>
    <w:p w14:paraId="6E356D9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Pastaba. Visuose pateikiamuose pavyzdžiuose mokestinis laikotarpis sutampa su kalendoriniais metais.</w:t>
      </w:r>
    </w:p>
    <w:p w14:paraId="12BAEAF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Laisvojoje ekonominėje zonoje įmonė įregistruota 2018 metais ir tais metais kapitalo investicijos pasiekė 1 šimto tūkstančių (100 000) eurų sumą. LEZ įmonė vykdo paslaugų teikimo veiklą. </w:t>
      </w:r>
    </w:p>
    <w:p w14:paraId="27D4D1C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Pagal PMĮ 58 str. 16 d. 2 p. nuostatas, LEZ įmonė 2018–2027 metais galėtų būti atleidžiama nuo pelno mokesčio, o 2028–2033 metais, apskaičiuojant pelno mokestį, ji galėtų taikyti 50 procentų sumažintą pelno mokesčio tarifą. </w:t>
      </w:r>
    </w:p>
    <w:p w14:paraId="2A80CD8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Tarkime, kad 2018–2019 metais yra tenkinamos visos 4 PMĮ 58 str. 16 d. 2 punkte įvardintos sąlygos, t. y. kapitalo investicijos yra ne mažesnės kaip 1 šimto tūkstančių (100 000) eurų, vidutinis šios įmonės darbuotojų skaičius mokestiniais metais yra ne mažesnis kaip 20 darbuotojų, ne mažiau kaip 75 procentus šios įmonės atitinkamo mokestinio laikotarpio pajamų sudaro pajamos iš zonoje vykdomos paslaugų teikimo veiklos ir įmonė turi auditoriaus išvadą, patvirtinančią reikalaujamą kapitalo investicijos dydį. </w:t>
      </w:r>
    </w:p>
    <w:p w14:paraId="2A58C4A0"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Vadinasi įmonė, 2018–2019 metais tenkinanti visas keturias PMĮ 58 str. 16 d. 2 punkte įvardintas sąlygas, apskaičiuodama pelno mokestį galėtų pasinaudoti PMĮ 58 str. 16 d. 2 punkte įvardinta pelno mokesčio lengvata ir šiuos 2 metus (įstatyme numatyti 10) nemokėti pelno mokesčio. </w:t>
      </w:r>
    </w:p>
    <w:p w14:paraId="2A7C042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2020 metais kapitalo investicijos sumažėja ir nebesiekia 1 šimto tūkstančių (100 000) eurų, o 2021 metais kapitalo investicijos vėl pasiekia 1 šimto tūkstančių (100 000) eurų ir įmonė atitinka tik 2 aukščiau minėtas sąlygas, t.y. ne mažiau kaip 75 procentus šios įmonės atitinkamo mokestinio laikotarpio pajamų sudaro pajamos iš zonoje vykdomos paslaugų teikimo veiklos ir įmonė turi auditoriaus išvadą, patvirtinančią reikalaujamą kapitalo investicijos dydį, bet vidutinis sąrašuose esančių darbuotojų skaičius sumažėja iki 16. </w:t>
      </w:r>
    </w:p>
    <w:p w14:paraId="72B7C6F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Atsižvelgiant į tai, kad 2020 mokestiniais metais kapitalo investicijos įmonėje sumažėjo ir nebesiekia 1 šimto tūkstančių (100 000) eurų sumos, o 2021 metais vidutinis sąrašuose esančių darbuotojų skaičius sumažėjo iki 16, šiuose mokestiniuose laikotarpiuose lengvatos taikymas sustabdomas ir už 2020–2021 mokestinius metus, įmonė turi apskaičiuoti ir į biudžetą sumokėti pelno mokestį, taikydama PMĮ 5 straipsnyje nustatytą pelno mokesčio tarifą.</w:t>
      </w:r>
    </w:p>
    <w:p w14:paraId="0F5A1063"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Tarkime, kad 2022 metais įmonė atitinka visus 4 PMĮ 58 str. 16 d. 2 punkto reikalavimus, t.y. vidutinis šios įmonės darbuotojų skaičius mokestiniais metais yra ne mažesnis kaip 20 darbuotojų, kapitalo investicijos pasiekė ne mažesnę kaip 1 šimto tūkstančių (100 000) eurų sumą, ne mažiau kaip 75 procentus šios įmonės atitinkamo mokestinio laikotarpio pajamų sudaro pajamos iš zonoje vykdomos paslaugų teikimo veiklos ir įmonė turi auditoriaus išvadą, patvirtinančią reikalaujamą kapitalo investicijos dydį. </w:t>
      </w:r>
    </w:p>
    <w:p w14:paraId="0D33613D"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Kadangi 2022 metais kapitalo investicijos į įmonę vėl pasiekia 1 šimto tūkstančių (100 000) eurų sumą ir vidutinis šios įmonės darbuotojų skaičius mokestiniais metais yra ne mažesnis kaip 20 darbuotojų bei įmonė atitinka kitas aukščiau minėtas likusias 2 sąlygas, šį mokestinį laikotarpį lengvatos taikymas vėl atnaujinamas ir, atitinkant visoms PMĮ 58 str. 16 d. 2 punkte įvardintoms sąlygoms, likusiais lengvatos taikymo mokestiniais laikotarpiais, t. y. 2022–2029 metais, įmonė gali būti atleidžiama nuo pelno mokesčio, o 2030–2035 metais, apskaičiuojant pelno mokestį, gali būti taikomas 50 procentų sumažintas pelno mokesčio tarifas. </w:t>
      </w:r>
    </w:p>
    <w:p w14:paraId="07260847"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Šiame pavyzdyje įvardintoje situacijoje: </w:t>
      </w:r>
    </w:p>
    <w:p w14:paraId="59183839"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įmonė galėtų 2018 ir 2019 metais taikyti pelno mokesčio lengvatą ir nemokėti pelno mokesčio; </w:t>
      </w:r>
    </w:p>
    <w:p w14:paraId="1131D7E6"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2020 ir 2021 metais pelno mokesčio lengvatos taikymas sustabdomas ir apskaičiuojamas mokėtinas pelno mokestis taikant PMĮ 5 straipsnyje nustatytą pelno mokestį; </w:t>
      </w:r>
    </w:p>
    <w:p w14:paraId="4034495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 metais pelno mokesčio lengvatos taikymas atnaujinamas ir </w:t>
      </w:r>
    </w:p>
    <w:p w14:paraId="30EDECE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2022–2029 metais įmonė gali būti atleidžiama nuo pelno mokesčio; </w:t>
      </w:r>
    </w:p>
    <w:p w14:paraId="32A5A458"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2030–2035 metais įmonė, apskaičiuojant pelno mokestį, galėtų taikyti 50 procentų sumažintą pelno mokesčio tarifą. </w:t>
      </w:r>
    </w:p>
    <w:p w14:paraId="179EA2AE" w14:textId="77777777" w:rsidR="00093845" w:rsidRDefault="00093845">
      <w:pPr>
        <w:ind w:firstLine="851"/>
        <w:jc w:val="both"/>
        <w:rPr>
          <w:bCs/>
          <w:lang w:val="lt-LT" w:eastAsia="lt-LT"/>
        </w:rPr>
      </w:pPr>
    </w:p>
    <w:p w14:paraId="3BD3B777" w14:textId="77777777" w:rsidR="00093845" w:rsidRDefault="000D779E">
      <w:pPr>
        <w:ind w:firstLine="851"/>
        <w:jc w:val="both"/>
        <w:rPr>
          <w:bCs/>
          <w:lang w:val="lt-LT" w:eastAsia="lt-LT"/>
        </w:rPr>
      </w:pPr>
      <w:r>
        <w:rPr>
          <w:bCs/>
          <w:lang w:val="lt-LT" w:eastAsia="lt-LT"/>
        </w:rPr>
        <w:lastRenderedPageBreak/>
        <w:t>Pažymėtina, kad mokestiniai laikotarpiai, kuriais LEZ įmonė neturi teisės taikyti šios pelno mokesčio lengvatos, dėl investicijų sumos sumažėjimo (nebesiekia 1 šimto tūkstančių eurų) ir/arba vidutinio darbuotojų skaičiaus sumažėjimo (tampa mažesnis kaip 20), nėra įskaičiuojami į šiame PMĮ 58 str. 16 d. 2 punkte nustatytus 10 ir 6 pelno mokesčio lengvatos taikymo mokestinius laikotarpius.</w:t>
      </w:r>
    </w:p>
    <w:p w14:paraId="44322A4B" w14:textId="77777777" w:rsidR="00093845" w:rsidRDefault="000D779E">
      <w:pPr>
        <w:ind w:firstLine="851"/>
        <w:jc w:val="both"/>
        <w:rPr>
          <w:bCs/>
          <w:lang w:val="lt-LT" w:eastAsia="lt-LT"/>
        </w:rPr>
      </w:pPr>
      <w:r>
        <w:rPr>
          <w:bCs/>
          <w:lang w:val="lt-LT" w:eastAsia="lt-LT"/>
        </w:rPr>
        <w:t xml:space="preserve">PMĮ 58 str. 16 d. 2 punkte nustatytos lengvatos taikymo terminas yra atnaujinamas tą mokestinį laikotarpį ir tik tokiu atveju, kai įmonė atitinka visas 4 sąlygas: LEZ įmonės darbuotojų skaičius mokestiniais metais yra ne mažesnis kaip 20 darbuotojų, kapitalo investicijos į įmonę pasiekia ne mažesnę kaip 1 šimto tūkstančių (100 000) eurų sumą, ne mažiau kaip 75 procentus šios įmonės atitinkamo mokestinio laikotarpio pajamų sudaro pajamos iš nustatytos zonoje vykdomos veiklos ir įmonė turi auditoriaus išvadą, patvirtinančią reikalaujamą kapitalo investicijos dydį. </w:t>
      </w:r>
    </w:p>
    <w:p w14:paraId="538D65D2" w14:textId="77777777" w:rsidR="00093845" w:rsidRDefault="000D779E">
      <w:pPr>
        <w:ind w:firstLine="851"/>
        <w:jc w:val="both"/>
        <w:rPr>
          <w:bCs/>
          <w:lang w:val="lt-LT" w:eastAsia="lt-LT"/>
        </w:rPr>
      </w:pPr>
      <w:r>
        <w:rPr>
          <w:bCs/>
          <w:lang w:val="lt-LT" w:eastAsia="lt-LT"/>
        </w:rPr>
        <w:t xml:space="preserve"> 8. Jeigu LEZ įmonės, kuri naudojosi pelno mokesčio lengvata, kuriuo nors mokestiniu laikotarpiu pajamos iš PMĮ 58 str. 16 d. 2 punkte zonoje vykdomos paslaugų veiklos sudarė mažiau kaip 75 procentus visų įmonės pajamų, lengvata netaikoma tą mokestinį laikotarpį, kurį įmonė neįvykdė šios sąlygos, ir gali būti vėl taikoma tą mokestinį laikotarpį, kurį pajamos iš zonoje vykdomos paslaugų veiklos sudarys ne mažiau kaip 75 procentus visų įmonės pajamų. Tačiau šiuo atveju mokestiniai laikotarpiai, kuriais LEZ įmonė neturėjo teisės taikyti pelno mokesčio lengvatos, yra įskaičiuojami į 10 ir 6 pelno mokesčio lengvatos taikymo mokestinius laikotarpius, t. y. lengvatos taikymo laikotarpis nėra sustabdomas. Už mokestinius laikotarpius, kuriais LEZ įmonė neturėjo teisės taikyti pelno mokesčio lengvatos, pelno mokestis apskaičiuojamas bendra PMĮ nustatyta tvarka, taikant PMĮ 5 straipsnyje nustatytą mokesčio tarifą. </w:t>
      </w:r>
    </w:p>
    <w:p w14:paraId="72881CAD" w14:textId="77777777" w:rsidR="00093845" w:rsidRDefault="000D779E">
      <w:pPr>
        <w:ind w:firstLine="851"/>
        <w:jc w:val="both"/>
        <w:rPr>
          <w:bCs/>
          <w:lang w:val="lt-LT" w:eastAsia="lt-LT"/>
        </w:rPr>
      </w:pPr>
      <w:r>
        <w:rPr>
          <w:bCs/>
          <w:lang w:val="lt-LT" w:eastAsia="lt-LT"/>
        </w:rPr>
        <w:t>Pavyzdys</w:t>
      </w:r>
    </w:p>
    <w:p w14:paraId="6AC10E8F"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Laisvojoje ekonominėje zonoje įmonė įregistruota 2018 metais ir tais metais kapitalo investicijos pasiekė 1 šimto tūkstančių (100 000) eurų sumą. LEZ įmonė vykdo transporto paslaugų ir prekybos autotransporto detalėmis veiklą. </w:t>
      </w:r>
    </w:p>
    <w:p w14:paraId="0B586B9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LEZ įmonė 2018–2027 metais galėtų būti atleidžiama nuo pelno mokesčio, o 2028–2033 metais, apskaičiuojant pelno mokestį, ji galėtų taikyti 50 procentų sumažintą pelno mokesčio tarifą, jeigu atitiktų</w:t>
      </w:r>
      <w:r w:rsidRPr="0065344A">
        <w:rPr>
          <w:lang w:val="lt-LT"/>
        </w:rPr>
        <w:t xml:space="preserve"> </w:t>
      </w:r>
      <w:r>
        <w:rPr>
          <w:bCs/>
          <w:lang w:val="lt-LT" w:eastAsia="lt-LT"/>
        </w:rPr>
        <w:t xml:space="preserve">PMĮ 58 str. 16 d. 2 punkte įvardintas lengvatos taikymui sąlygas. </w:t>
      </w:r>
    </w:p>
    <w:p w14:paraId="5A23C84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Tarkime, kad 2018–2021 metais LEZ įmonės atliekamos transporto paslaugų pajamos siekia 65 procentus visų įmonės pajamų (prekybos veiklai netaikoma įvardinta lengvata). 2018–2021 metais yra tenkinamos kitos PMĮ 58 str. 16 d. 2 p. įvardintos 3 sąlygos, t. y. kapitalo investicijos yra ne mažesnės kaip 1 šimto tūkstančių (100 000) eurų, vidutinis šios įmonės darbuotojų skaičius mokestiniais metais yra ne mažesnis kaip 20 darbuotojų ir įmonė turi auditoriaus išvadą, patvirtinančią reikalaujamą kapitalo investicijos dydį.</w:t>
      </w:r>
    </w:p>
    <w:p w14:paraId="29C66E5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Tačiau, atsižvelgiant į tai, kad 2018–2021 mokestiniais metais, LEZ įmonė netenkina sąlygos, kad ne mažiau kaip 75 procentus šios įmonės atitinkamo mokestinio laikotarpio pajamų sudarytų pajamos iš zonoje vykdomos paslaugų veiklos – įmonės transporto paslaugų veiklos pajamos siekia 65 procentus visų įmonės pajamų (lengvatą galima taikyti tik tuo atveju, kai pajamos siekia</w:t>
      </w:r>
      <w:r w:rsidRPr="0065344A">
        <w:rPr>
          <w:lang w:val="lt-LT"/>
        </w:rPr>
        <w:t xml:space="preserve"> </w:t>
      </w:r>
      <w:r>
        <w:rPr>
          <w:bCs/>
          <w:lang w:val="lt-LT" w:eastAsia="lt-LT"/>
        </w:rPr>
        <w:t xml:space="preserve">ne mažiau kaip 75 procentus pajamų) , šiuose mokestiniuose laikotarpiuose lengvata netaikoma, todėl už 2018–2021 mokestinius metus įmonė turi apskaičiuoti ir į biudžetą sumokėti pelno mokestį, taikydama PMĮ 5 straipsnyje nustatytą pelno mokesčio tarifą. </w:t>
      </w:r>
    </w:p>
    <w:p w14:paraId="3C8485DB"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Lengvata gali būti vėl taikoma tą mokestinį laikotarpį, kurį pajamos iš zonoje vykdomos paslaugų veiklos sudarys ne mažiau kaip 75 procentus visų įmonės pajamų. Tačiau šiuo atveju mokestiniai laikotarpiai, kuriais LEZ įmonė neturėjo teisės taikyti pelno mokesčio lengvatos, yra įskaičiuojami į 10 ir 6 pelno mokesčio lengvatos taikymo mokestinius laikotarpius. </w:t>
      </w:r>
    </w:p>
    <w:p w14:paraId="430FF282"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lastRenderedPageBreak/>
        <w:t xml:space="preserve">Tuo atveju, jeigu 2022 m. ir sekančiais mokestiniais metais LEZ įmonė atitiks visas PMĮ 58 str. 16 d. 2 punkte įvardintas sąlygas, tai šį (2022 m.) mokestinį laikotarpį lengvatos taikymas vėl galimas (šiuo atveju mokestiniai laikotarpiai, kuriais LEZ įmonė neturėjo teisės taikyti pelno mokesčio lengvatos, yra įskaičiuojami į 10 ir 6 pelno mokesčio lengvatos taikymo mokestinius laikotarpius), t. y. 2022–2027 metais įmonė gali būti atleidžiama nuo pelno mokesčio, o 2028–2033 metais, apskaičiuojant pelno mokestį, gali būti taikomas 50 procentų sumažintas pelno mokesčio tarifas. </w:t>
      </w:r>
    </w:p>
    <w:p w14:paraId="55D737CC"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Šiame pavyzdyje įvardintoje situacijoje: </w:t>
      </w:r>
    </w:p>
    <w:p w14:paraId="3C846D65"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įmonei 2018–2021 metais pelno mokesčio lengvata netaikoma, nes netenkinama sąlyga, kad ne mažiau kaip 75 procentus įmonės atitinkamo mokestinio laikotarpio pajamų sudarytų pajamos iš zonoje vykdomos paslaugų veiklos. Todėl už šiuos laikotarpius įmonė turi apskaičiuoti ir į biudžetą sumokėti pelno mokestį, taikydama PMĮ 5 straipsnyje nustatytą pelno mokesčio tarifą;</w:t>
      </w:r>
    </w:p>
    <w:p w14:paraId="3F657ED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2022 - 2027 metais įmonė gali būti atleidžiama nuo pelno mokesčio; </w:t>
      </w:r>
    </w:p>
    <w:p w14:paraId="33BF5B44" w14:textId="77777777" w:rsidR="00093845" w:rsidRDefault="000D779E">
      <w:pPr>
        <w:pBdr>
          <w:top w:val="single" w:sz="4" w:space="1" w:color="auto"/>
          <w:left w:val="single" w:sz="4" w:space="4" w:color="auto"/>
          <w:bottom w:val="single" w:sz="4" w:space="1" w:color="auto"/>
          <w:right w:val="single" w:sz="4" w:space="4" w:color="auto"/>
        </w:pBdr>
        <w:ind w:firstLine="851"/>
        <w:jc w:val="both"/>
        <w:rPr>
          <w:bCs/>
          <w:lang w:val="lt-LT" w:eastAsia="lt-LT"/>
        </w:rPr>
      </w:pPr>
      <w:r>
        <w:rPr>
          <w:bCs/>
          <w:lang w:val="lt-LT" w:eastAsia="lt-LT"/>
        </w:rPr>
        <w:t xml:space="preserve">– 2028 - 2033 metais įmonė, apskaičiuojant pelno mokestį, galėtų taikyti 50 procentų sumažintą pelno mokesčio tarifą. </w:t>
      </w:r>
    </w:p>
    <w:p w14:paraId="4F1D07C9" w14:textId="77777777" w:rsidR="00093845" w:rsidRDefault="00093845">
      <w:pPr>
        <w:ind w:firstLine="851"/>
        <w:jc w:val="both"/>
        <w:rPr>
          <w:bCs/>
          <w:lang w:val="lt-LT" w:eastAsia="lt-LT"/>
        </w:rPr>
      </w:pPr>
    </w:p>
    <w:p w14:paraId="27C079D2" w14:textId="77777777" w:rsidR="00093845" w:rsidRDefault="000D779E">
      <w:pPr>
        <w:ind w:firstLine="851"/>
        <w:jc w:val="both"/>
        <w:rPr>
          <w:bCs/>
          <w:lang w:val="lt-LT" w:eastAsia="lt-LT"/>
        </w:rPr>
      </w:pPr>
      <w:r>
        <w:rPr>
          <w:bCs/>
          <w:lang w:val="lt-LT" w:eastAsia="lt-LT"/>
        </w:rPr>
        <w:t>9. Tuo atveju, kai LEZ įmonė atitinka visus PMĮ 58 str. 16 d. 2 punkte kriterijus ir patiria mokestinius nuostolius,</w:t>
      </w:r>
      <w:r>
        <w:rPr>
          <w:lang w:val="lt-LT"/>
        </w:rPr>
        <w:t xml:space="preserve"> tai mokestiniai laikotarpiai, kuriais yra patirti mokestiniai nuostoliai, </w:t>
      </w:r>
      <w:r>
        <w:rPr>
          <w:bCs/>
          <w:lang w:val="lt-LT" w:eastAsia="lt-LT"/>
        </w:rPr>
        <w:t>yra įskaičiuojami į 10 ir 6 pelno mokesčio lengvatos taikymo mokestinius laikotarpius, t.  y. lengvatos taikymo laikotarpis nėra sustabdomas.</w:t>
      </w:r>
    </w:p>
    <w:p w14:paraId="1E0E31ED" w14:textId="77777777" w:rsidR="00093845" w:rsidRDefault="000D779E">
      <w:pPr>
        <w:ind w:firstLine="851"/>
        <w:jc w:val="both"/>
        <w:rPr>
          <w:bCs/>
          <w:lang w:val="lt-LT" w:eastAsia="lt-LT"/>
        </w:rPr>
      </w:pPr>
      <w:r>
        <w:rPr>
          <w:bCs/>
          <w:lang w:val="lt-LT" w:eastAsia="lt-LT"/>
        </w:rPr>
        <w:t xml:space="preserve">10. PMĮ 58 str. 16 d. 2 punkto lengvata taikoma tiek, kiek ji suderinama su 2014 m. birželio 17 d. Komisijos reglamento (ES) Nr. 651/2014, kuriuo tam tikrų kategorijų pagalba skelbiama suderinama su vidaus rinka taikant Sutarties 107 ir 108 straipsnius, (OL 2014 L 187, p. 1) nuostatomis. </w:t>
      </w:r>
    </w:p>
    <w:p w14:paraId="219E1343" w14:textId="77777777" w:rsidR="00093845" w:rsidRDefault="000D779E">
      <w:pPr>
        <w:ind w:firstLine="851"/>
        <w:jc w:val="both"/>
        <w:rPr>
          <w:bCs/>
          <w:lang w:val="lt-LT" w:eastAsia="lt-LT"/>
        </w:rPr>
      </w:pPr>
      <w:r>
        <w:rPr>
          <w:bCs/>
          <w:lang w:val="lt-LT" w:eastAsia="lt-LT"/>
        </w:rPr>
        <w:t xml:space="preserve"> Laisvosiose ekonominėse zonose įregistruotos įmonės turi teisę į valstybės pagalbą (tiesioginę ir netiesioginę valstybės paramą). Šiuo atveju, norint taikyti PMĮ 58 str. 16 d. 2 punkto lengvatą, reikia įvertinti Europos Sąjungos teisės nustatytus apribojimus, t. y. valstybės pagalbos suma negali peržengti tam tikrų Europos Sąjungos nustatytų apribojimų. Europos Komisijos reglamente (Nr. 651/2014 14 straipsnio 12 punkte) įtvirtinta, kad pagalbos intensyvumas negali viršyti rodiklio, kuris nustatytas atitinkamame regioninės pagalbos žemėlapyje. </w:t>
      </w:r>
    </w:p>
    <w:p w14:paraId="4855B3BA" w14:textId="77777777" w:rsidR="00093845" w:rsidRDefault="000D779E">
      <w:pPr>
        <w:ind w:firstLine="851"/>
        <w:jc w:val="both"/>
        <w:rPr>
          <w:bCs/>
          <w:lang w:val="lt-LT" w:eastAsia="lt-LT"/>
        </w:rPr>
      </w:pPr>
      <w:r>
        <w:rPr>
          <w:bCs/>
          <w:lang w:val="lt-LT" w:eastAsia="lt-LT"/>
        </w:rPr>
        <w:t>Tuo atveju, jeigu laisvoje ekonominėje zonoje registruotai įmonei valstybės pagalbos suma yra didesnė (peržengia) nei nustatyti tam tikri Europos Sąjungos apribojimai, PMĮ 58 str. 16 d. 2 punkto lengvata netaikoma ir apskaičiuojamas mokėtinas pelno mokestis taikant PMĮ 5 straipsnyje nustatytą pelno mokestį.</w:t>
      </w:r>
    </w:p>
    <w:p w14:paraId="1ADCBDDD" w14:textId="77777777" w:rsidR="00093845" w:rsidRDefault="000D779E">
      <w:pPr>
        <w:ind w:firstLine="851"/>
        <w:jc w:val="both"/>
        <w:rPr>
          <w:bCs/>
          <w:lang w:val="lt-LT" w:eastAsia="lt-LT"/>
        </w:rPr>
      </w:pPr>
      <w:r>
        <w:rPr>
          <w:bCs/>
          <w:lang w:val="lt-LT" w:eastAsia="lt-LT"/>
        </w:rPr>
        <w:t>Atsižvelgiant į Europos Komisijos reglamentą  Nr. 651/2014, vienetai, vykdantys nesuderinamą su 2014 m. birželio 17 d. Komisijos reglamento (ES) Nr. 651/2014, kuriuo tam tikrų kategorijų pagalba skelbiama nesuderinama su vidaus rinka taikant Sutarties 107 ir 108 straipsnius, nuostatomis veiklą negali taikyti PMĮ 58 str. 16 d. 2 punkte įtvirtintos lengvatos. Tokioms paslaugų teikimo veikloms būtų priskiriama, pavyzdžiui, teisinių paslaugų, dizaino paslaugų, meninio patalpų vidaus įrengimo (interjero) specialistų paslaugų ir pan. veikla. Veiklų sąrašą, kurioms negali būti taikoma PMĮ 58 str. 16 d. 2 punkte įtvir</w:t>
      </w:r>
      <w:r w:rsidR="008A42E6">
        <w:rPr>
          <w:bCs/>
          <w:lang w:val="lt-LT" w:eastAsia="lt-LT"/>
        </w:rPr>
        <w:t xml:space="preserve">tinta lengvata galima rasti </w:t>
      </w:r>
      <w:r w:rsidR="008A42E6">
        <w:rPr>
          <w:b/>
          <w:bCs/>
          <w:lang w:val="lt-LT" w:eastAsia="lt-LT"/>
        </w:rPr>
        <w:t>Ekonomikos ir inovacijų</w:t>
      </w:r>
      <w:r>
        <w:rPr>
          <w:bCs/>
          <w:lang w:val="lt-LT" w:eastAsia="lt-LT"/>
        </w:rPr>
        <w:t xml:space="preserve"> ministerijos interneto svetainėje. </w:t>
      </w:r>
    </w:p>
    <w:p w14:paraId="216C9237" w14:textId="77777777" w:rsidR="00093845" w:rsidRDefault="000D779E">
      <w:pPr>
        <w:ind w:firstLine="851"/>
        <w:jc w:val="both"/>
        <w:rPr>
          <w:bCs/>
          <w:lang w:val="lt-LT" w:eastAsia="lt-LT"/>
        </w:rPr>
      </w:pPr>
      <w:r>
        <w:rPr>
          <w:bCs/>
          <w:lang w:val="lt-LT" w:eastAsia="lt-LT"/>
        </w:rPr>
        <w:t xml:space="preserve">Valstybės pagalbos (pagalba, pagalbos priežiūra ir kontrolė) klausimai priskirti </w:t>
      </w:r>
      <w:r w:rsidR="008A42E6">
        <w:rPr>
          <w:b/>
          <w:bCs/>
          <w:lang w:val="lt-LT" w:eastAsia="lt-LT"/>
        </w:rPr>
        <w:t>Ekonomikos ir inovacijų</w:t>
      </w:r>
      <w:r>
        <w:rPr>
          <w:bCs/>
          <w:lang w:val="lt-LT" w:eastAsia="lt-LT"/>
        </w:rPr>
        <w:t xml:space="preserve"> ministerijos ir Konkurencijos tarybos kaip koordinuojančios institucijos specialistų </w:t>
      </w:r>
      <w:r>
        <w:rPr>
          <w:bCs/>
          <w:lang w:val="lt-LT" w:eastAsia="lt-LT"/>
        </w:rPr>
        <w:lastRenderedPageBreak/>
        <w:t xml:space="preserve">kompetencijai, todėl dėl taikomų pelno mokesčio lengvatų veiklų ribojimo konsultacijas teikia </w:t>
      </w:r>
      <w:r w:rsidR="008A42E6">
        <w:rPr>
          <w:bCs/>
          <w:lang w:val="lt-LT" w:eastAsia="lt-LT"/>
        </w:rPr>
        <w:t xml:space="preserve"> </w:t>
      </w:r>
      <w:r w:rsidR="008A42E6">
        <w:rPr>
          <w:b/>
          <w:bCs/>
          <w:lang w:val="lt-LT" w:eastAsia="lt-LT"/>
        </w:rPr>
        <w:t xml:space="preserve">Ekonomikos ir inovacijų </w:t>
      </w:r>
      <w:r>
        <w:rPr>
          <w:bCs/>
          <w:lang w:val="lt-LT" w:eastAsia="lt-LT"/>
        </w:rPr>
        <w:t>ministerija.</w:t>
      </w:r>
    </w:p>
    <w:p w14:paraId="5D321408" w14:textId="77777777" w:rsidR="00093845" w:rsidRDefault="000D779E">
      <w:pPr>
        <w:ind w:firstLine="851"/>
        <w:jc w:val="both"/>
        <w:rPr>
          <w:bCs/>
          <w:lang w:val="lt-LT" w:eastAsia="lt-LT"/>
        </w:rPr>
      </w:pPr>
      <w:r>
        <w:rPr>
          <w:bCs/>
          <w:lang w:val="lt-LT" w:eastAsia="lt-LT"/>
        </w:rPr>
        <w:t>11. LEZ įmonė, vykdanti ir PMĮ 58 str. 16 d. 1 punkte įvardintą veiklą ir  PMĮ 58 str. 16 d. 2 punkte įvardintą paslaugų veiklą gali pasirinkti ir nuosekliai taikyti vieną iš minėtuose punktuose įtvirtintų lengvatų. Pavyzdžiui,</w:t>
      </w:r>
      <w:r w:rsidRPr="0065344A">
        <w:rPr>
          <w:lang w:val="lt-LT"/>
        </w:rPr>
        <w:t xml:space="preserve"> </w:t>
      </w:r>
      <w:r>
        <w:rPr>
          <w:bCs/>
          <w:lang w:val="lt-LT" w:eastAsia="lt-LT"/>
        </w:rPr>
        <w:t>LEZ įmonė, vykdanti ir PMĮ 58 str. 16 d. 1 punkte įvardintą veiklą ir  PMĮ 58 str. 16 d. 2 punkte įvardintą paslaugų veiklą bei pasirinkusi taikyti PMĮ 58 str. 16 d. 2 punkte įtvirtintą lengvatą, visą lengvatos taikymo laikotarpį (16 metų) taiko PMĮ 58 str. 16 d. 2 punkto nuostatas.</w:t>
      </w:r>
    </w:p>
    <w:p w14:paraId="65375EC1" w14:textId="77777777" w:rsidR="00093845" w:rsidRDefault="000D779E">
      <w:pPr>
        <w:ind w:firstLine="851"/>
        <w:jc w:val="both"/>
        <w:rPr>
          <w:lang w:val="lt-LT" w:eastAsia="lt-LT"/>
        </w:rPr>
      </w:pPr>
      <w:r>
        <w:rPr>
          <w:b/>
          <w:bCs/>
          <w:lang w:val="lt-LT" w:eastAsia="lt-LT"/>
        </w:rPr>
        <w:t xml:space="preserve">    3)</w:t>
      </w:r>
      <w:r>
        <w:rPr>
          <w:b/>
          <w:bCs/>
          <w:i/>
          <w:iCs/>
          <w:lang w:val="lt-LT" w:eastAsia="lt-LT"/>
        </w:rPr>
        <w:t xml:space="preserve"> </w:t>
      </w:r>
      <w:r>
        <w:rPr>
          <w:b/>
          <w:bCs/>
          <w:lang w:val="lt-LT" w:eastAsia="lt-LT"/>
        </w:rPr>
        <w:t>juridiniai</w:t>
      </w:r>
      <w:r>
        <w:rPr>
          <w:b/>
          <w:bCs/>
          <w:i/>
          <w:iCs/>
          <w:lang w:val="lt-LT" w:eastAsia="lt-LT"/>
        </w:rPr>
        <w:t xml:space="preserve"> </w:t>
      </w:r>
      <w:r>
        <w:rPr>
          <w:b/>
          <w:bCs/>
          <w:lang w:val="lt-LT" w:eastAsia="lt-LT"/>
        </w:rPr>
        <w:t>asmenys</w:t>
      </w:r>
      <w:r>
        <w:rPr>
          <w:b/>
          <w:bCs/>
          <w:i/>
          <w:iCs/>
          <w:lang w:val="lt-LT" w:eastAsia="lt-LT"/>
        </w:rPr>
        <w:t xml:space="preserve">, </w:t>
      </w:r>
      <w:r>
        <w:rPr>
          <w:b/>
          <w:bCs/>
          <w:lang w:val="lt-LT" w:eastAsia="lt-LT"/>
        </w:rPr>
        <w:t>kurių</w:t>
      </w:r>
      <w:r>
        <w:rPr>
          <w:b/>
          <w:bCs/>
          <w:i/>
          <w:iCs/>
          <w:lang w:val="lt-LT" w:eastAsia="lt-LT"/>
        </w:rPr>
        <w:t xml:space="preserve"> </w:t>
      </w:r>
      <w:r>
        <w:rPr>
          <w:b/>
          <w:bCs/>
          <w:lang w:val="lt-LT" w:eastAsia="lt-LT"/>
        </w:rPr>
        <w:t>pajamos</w:t>
      </w:r>
      <w:r>
        <w:rPr>
          <w:b/>
          <w:bCs/>
          <w:i/>
          <w:iCs/>
          <w:lang w:val="lt-LT" w:eastAsia="lt-LT"/>
        </w:rPr>
        <w:t xml:space="preserve"> </w:t>
      </w:r>
      <w:r>
        <w:rPr>
          <w:b/>
          <w:bCs/>
          <w:lang w:val="lt-LT" w:eastAsia="lt-LT"/>
        </w:rPr>
        <w:t>už</w:t>
      </w:r>
      <w:r>
        <w:rPr>
          <w:b/>
          <w:bCs/>
          <w:i/>
          <w:iCs/>
          <w:lang w:val="lt-LT" w:eastAsia="lt-LT"/>
        </w:rPr>
        <w:t xml:space="preserve"> </w:t>
      </w:r>
      <w:r>
        <w:rPr>
          <w:b/>
          <w:bCs/>
          <w:lang w:val="lt-LT" w:eastAsia="lt-LT"/>
        </w:rPr>
        <w:t>pačių</w:t>
      </w:r>
      <w:r>
        <w:rPr>
          <w:b/>
          <w:bCs/>
          <w:i/>
          <w:iCs/>
          <w:lang w:val="lt-LT" w:eastAsia="lt-LT"/>
        </w:rPr>
        <w:t xml:space="preserve"> </w:t>
      </w:r>
      <w:r>
        <w:rPr>
          <w:b/>
          <w:bCs/>
          <w:lang w:val="lt-LT" w:eastAsia="lt-LT"/>
        </w:rPr>
        <w:t>pagamintą</w:t>
      </w:r>
      <w:r>
        <w:rPr>
          <w:b/>
          <w:bCs/>
          <w:i/>
          <w:iCs/>
          <w:lang w:val="lt-LT" w:eastAsia="lt-LT"/>
        </w:rPr>
        <w:t xml:space="preserve"> </w:t>
      </w:r>
      <w:r>
        <w:rPr>
          <w:b/>
          <w:bCs/>
          <w:lang w:val="lt-LT" w:eastAsia="lt-LT"/>
        </w:rPr>
        <w:t>produkciją</w:t>
      </w:r>
      <w:r>
        <w:rPr>
          <w:b/>
          <w:bCs/>
          <w:i/>
          <w:iCs/>
          <w:lang w:val="lt-LT" w:eastAsia="lt-LT"/>
        </w:rPr>
        <w:t xml:space="preserve"> </w:t>
      </w:r>
      <w:r>
        <w:rPr>
          <w:b/>
          <w:bCs/>
          <w:lang w:val="lt-LT" w:eastAsia="lt-LT"/>
        </w:rPr>
        <w:t>sudaro</w:t>
      </w:r>
      <w:r>
        <w:rPr>
          <w:b/>
          <w:bCs/>
          <w:i/>
          <w:iCs/>
          <w:lang w:val="lt-LT" w:eastAsia="lt-LT"/>
        </w:rPr>
        <w:t xml:space="preserve"> </w:t>
      </w:r>
      <w:r>
        <w:rPr>
          <w:b/>
          <w:bCs/>
          <w:lang w:val="lt-LT" w:eastAsia="lt-LT"/>
        </w:rPr>
        <w:t>daugiau</w:t>
      </w:r>
      <w:r>
        <w:rPr>
          <w:b/>
          <w:bCs/>
          <w:i/>
          <w:iCs/>
          <w:lang w:val="lt-LT" w:eastAsia="lt-LT"/>
        </w:rPr>
        <w:t xml:space="preserve"> </w:t>
      </w:r>
      <w:r>
        <w:rPr>
          <w:b/>
          <w:bCs/>
          <w:lang w:val="lt-LT" w:eastAsia="lt-LT"/>
        </w:rPr>
        <w:t>kaip</w:t>
      </w:r>
      <w:r>
        <w:rPr>
          <w:b/>
          <w:bCs/>
          <w:i/>
          <w:iCs/>
          <w:lang w:val="lt-LT" w:eastAsia="lt-LT"/>
        </w:rPr>
        <w:t xml:space="preserve"> </w:t>
      </w:r>
      <w:r>
        <w:rPr>
          <w:b/>
          <w:bCs/>
          <w:lang w:val="lt-LT" w:eastAsia="lt-LT"/>
        </w:rPr>
        <w:t>50</w:t>
      </w:r>
      <w:r>
        <w:rPr>
          <w:b/>
          <w:bCs/>
          <w:i/>
          <w:iCs/>
          <w:lang w:val="lt-LT" w:eastAsia="lt-LT"/>
        </w:rPr>
        <w:t xml:space="preserve"> </w:t>
      </w:r>
      <w:r>
        <w:rPr>
          <w:b/>
          <w:bCs/>
          <w:lang w:val="lt-LT" w:eastAsia="lt-LT"/>
        </w:rPr>
        <w:t>procentų</w:t>
      </w:r>
      <w:r>
        <w:rPr>
          <w:b/>
          <w:bCs/>
          <w:i/>
          <w:iCs/>
          <w:lang w:val="lt-LT" w:eastAsia="lt-LT"/>
        </w:rPr>
        <w:t xml:space="preserve"> </w:t>
      </w:r>
      <w:r>
        <w:rPr>
          <w:b/>
          <w:bCs/>
          <w:lang w:val="lt-LT" w:eastAsia="lt-LT"/>
        </w:rPr>
        <w:t>visų</w:t>
      </w:r>
      <w:r>
        <w:rPr>
          <w:b/>
          <w:bCs/>
          <w:i/>
          <w:iCs/>
          <w:lang w:val="lt-LT" w:eastAsia="lt-LT"/>
        </w:rPr>
        <w:t xml:space="preserve"> </w:t>
      </w:r>
      <w:r>
        <w:rPr>
          <w:b/>
          <w:bCs/>
          <w:lang w:val="lt-LT" w:eastAsia="lt-LT"/>
        </w:rPr>
        <w:t>gautų</w:t>
      </w:r>
      <w:r>
        <w:rPr>
          <w:b/>
          <w:bCs/>
          <w:i/>
          <w:iCs/>
          <w:lang w:val="lt-LT" w:eastAsia="lt-LT"/>
        </w:rPr>
        <w:t xml:space="preserve"> </w:t>
      </w:r>
      <w:r>
        <w:rPr>
          <w:b/>
          <w:bCs/>
          <w:lang w:val="lt-LT" w:eastAsia="lt-LT"/>
        </w:rPr>
        <w:t>pajamų</w:t>
      </w:r>
      <w:r>
        <w:rPr>
          <w:b/>
          <w:bCs/>
          <w:i/>
          <w:iCs/>
          <w:lang w:val="lt-LT" w:eastAsia="lt-LT"/>
        </w:rPr>
        <w:t xml:space="preserve"> </w:t>
      </w:r>
      <w:r>
        <w:rPr>
          <w:b/>
          <w:bCs/>
          <w:lang w:val="lt-LT" w:eastAsia="lt-LT"/>
        </w:rPr>
        <w:t>ir</w:t>
      </w:r>
      <w:r>
        <w:rPr>
          <w:b/>
          <w:bCs/>
          <w:i/>
          <w:iCs/>
          <w:lang w:val="lt-LT" w:eastAsia="lt-LT"/>
        </w:rPr>
        <w:t xml:space="preserve"> </w:t>
      </w:r>
      <w:r>
        <w:rPr>
          <w:b/>
          <w:bCs/>
          <w:lang w:val="lt-LT" w:eastAsia="lt-LT"/>
        </w:rPr>
        <w:t>kuriuose</w:t>
      </w:r>
      <w:r>
        <w:rPr>
          <w:b/>
          <w:bCs/>
          <w:i/>
          <w:iCs/>
          <w:lang w:val="lt-LT" w:eastAsia="lt-LT"/>
        </w:rPr>
        <w:t xml:space="preserve"> </w:t>
      </w:r>
      <w:r>
        <w:rPr>
          <w:b/>
          <w:bCs/>
          <w:lang w:val="lt-LT" w:eastAsia="lt-LT"/>
        </w:rPr>
        <w:t>dirba</w:t>
      </w:r>
      <w:r>
        <w:rPr>
          <w:b/>
          <w:bCs/>
          <w:i/>
          <w:iCs/>
          <w:lang w:val="lt-LT" w:eastAsia="lt-LT"/>
        </w:rPr>
        <w:t xml:space="preserve">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asmenys,</w:t>
      </w:r>
      <w:r>
        <w:rPr>
          <w:b/>
          <w:bCs/>
          <w:i/>
          <w:iCs/>
          <w:lang w:val="lt-LT" w:eastAsia="lt-LT"/>
        </w:rPr>
        <w:t xml:space="preserve"> </w:t>
      </w:r>
      <w:r>
        <w:rPr>
          <w:b/>
          <w:bCs/>
          <w:lang w:val="lt-LT" w:eastAsia="lt-LT"/>
        </w:rPr>
        <w:t>mažina</w:t>
      </w:r>
      <w:r>
        <w:rPr>
          <w:b/>
          <w:bCs/>
          <w:i/>
          <w:iCs/>
          <w:lang w:val="lt-LT" w:eastAsia="lt-LT"/>
        </w:rPr>
        <w:t xml:space="preserve"> </w:t>
      </w:r>
      <w:r>
        <w:rPr>
          <w:b/>
          <w:bCs/>
          <w:lang w:val="lt-LT" w:eastAsia="lt-LT"/>
        </w:rPr>
        <w:t>apskaičiuotą</w:t>
      </w:r>
      <w:r>
        <w:rPr>
          <w:b/>
          <w:bCs/>
          <w:i/>
          <w:iCs/>
          <w:lang w:val="lt-LT" w:eastAsia="lt-LT"/>
        </w:rPr>
        <w:t xml:space="preserve"> </w:t>
      </w:r>
      <w:r>
        <w:rPr>
          <w:b/>
          <w:bCs/>
          <w:lang w:val="lt-LT" w:eastAsia="lt-LT"/>
        </w:rPr>
        <w:t>pelno</w:t>
      </w:r>
      <w:r>
        <w:rPr>
          <w:b/>
          <w:bCs/>
          <w:i/>
          <w:iCs/>
          <w:lang w:val="lt-LT" w:eastAsia="lt-LT"/>
        </w:rPr>
        <w:t xml:space="preserve"> </w:t>
      </w:r>
      <w:r>
        <w:rPr>
          <w:b/>
          <w:bCs/>
          <w:lang w:val="lt-LT" w:eastAsia="lt-LT"/>
        </w:rPr>
        <w:t>mokestį</w:t>
      </w:r>
      <w:r>
        <w:rPr>
          <w:b/>
          <w:bCs/>
          <w:i/>
          <w:iCs/>
          <w:lang w:val="lt-LT" w:eastAsia="lt-LT"/>
        </w:rPr>
        <w:t xml:space="preserve"> </w:t>
      </w:r>
      <w:r>
        <w:rPr>
          <w:b/>
          <w:bCs/>
          <w:lang w:val="lt-LT" w:eastAsia="lt-LT"/>
        </w:rPr>
        <w:t>tokia</w:t>
      </w:r>
      <w:r>
        <w:rPr>
          <w:b/>
          <w:bCs/>
          <w:i/>
          <w:iCs/>
          <w:lang w:val="lt-LT" w:eastAsia="lt-LT"/>
        </w:rPr>
        <w:t xml:space="preserve"> </w:t>
      </w:r>
      <w:r>
        <w:rPr>
          <w:b/>
          <w:bCs/>
          <w:lang w:val="lt-LT" w:eastAsia="lt-LT"/>
        </w:rPr>
        <w:t>tvarka:</w:t>
      </w:r>
    </w:p>
    <w:tbl>
      <w:tblPr>
        <w:tblW w:w="9634" w:type="dxa"/>
        <w:tblLayout w:type="fixed"/>
        <w:tblCellMar>
          <w:left w:w="0" w:type="dxa"/>
          <w:right w:w="0" w:type="dxa"/>
        </w:tblCellMar>
        <w:tblLook w:val="04A0" w:firstRow="1" w:lastRow="0" w:firstColumn="1" w:lastColumn="0" w:noHBand="0" w:noVBand="1"/>
      </w:tblPr>
      <w:tblGrid>
        <w:gridCol w:w="4817"/>
        <w:gridCol w:w="4817"/>
      </w:tblGrid>
      <w:tr w:rsidR="00093845" w14:paraId="3AD765A2" w14:textId="77777777">
        <w:tc>
          <w:tcPr>
            <w:tcW w:w="4817"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tcPr>
          <w:p w14:paraId="183B08E1" w14:textId="77777777" w:rsidR="00093845" w:rsidRDefault="000D779E">
            <w:pPr>
              <w:ind w:firstLine="851"/>
              <w:jc w:val="both"/>
              <w:rPr>
                <w:lang w:val="lt-LT" w:eastAsia="lt-LT"/>
              </w:rPr>
            </w:pPr>
            <w:r>
              <w:rPr>
                <w:lang w:val="lt-LT" w:eastAsia="lt-LT"/>
              </w:rPr>
              <w:t>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dalis</w:t>
            </w:r>
            <w:r>
              <w:rPr>
                <w:b/>
                <w:bCs/>
                <w:i/>
                <w:iCs/>
                <w:lang w:val="lt-LT" w:eastAsia="lt-LT"/>
              </w:rPr>
              <w:t xml:space="preserve"> </w:t>
            </w:r>
            <w:r>
              <w:rPr>
                <w:b/>
                <w:bCs/>
                <w:lang w:val="lt-LT" w:eastAsia="lt-LT"/>
              </w:rPr>
              <w:t>tarp</w:t>
            </w:r>
            <w:r>
              <w:rPr>
                <w:b/>
                <w:bCs/>
                <w:i/>
                <w:iCs/>
                <w:lang w:val="lt-LT" w:eastAsia="lt-LT"/>
              </w:rPr>
              <w:t xml:space="preserve"> </w:t>
            </w:r>
            <w:r>
              <w:rPr>
                <w:b/>
                <w:bCs/>
                <w:lang w:val="lt-LT" w:eastAsia="lt-LT"/>
              </w:rPr>
              <w:t>visų</w:t>
            </w:r>
            <w:r>
              <w:rPr>
                <w:b/>
                <w:bCs/>
                <w:i/>
                <w:iCs/>
                <w:lang w:val="lt-LT" w:eastAsia="lt-LT"/>
              </w:rPr>
              <w:t xml:space="preserve"> </w:t>
            </w:r>
          </w:p>
          <w:p w14:paraId="2BD04F65" w14:textId="77777777" w:rsidR="00093845" w:rsidRDefault="000D779E">
            <w:pPr>
              <w:ind w:firstLine="851"/>
              <w:jc w:val="both"/>
              <w:rPr>
                <w:lang w:val="lt-LT" w:eastAsia="lt-LT"/>
              </w:rPr>
            </w:pPr>
            <w:r>
              <w:rPr>
                <w:b/>
                <w:bCs/>
                <w:lang w:val="lt-LT" w:eastAsia="lt-LT"/>
              </w:rPr>
              <w:t>dirbančių</w:t>
            </w:r>
            <w:r>
              <w:rPr>
                <w:b/>
                <w:bCs/>
                <w:i/>
                <w:iCs/>
                <w:lang w:val="lt-LT" w:eastAsia="lt-LT"/>
              </w:rPr>
              <w:t xml:space="preserve"> </w:t>
            </w:r>
            <w:r>
              <w:rPr>
                <w:b/>
                <w:bCs/>
                <w:lang w:val="lt-LT" w:eastAsia="lt-LT"/>
              </w:rPr>
              <w:t>asmenų</w:t>
            </w:r>
          </w:p>
        </w:tc>
        <w:tc>
          <w:tcPr>
            <w:tcW w:w="4817" w:type="dxa"/>
            <w:tcBorders>
              <w:top w:val="single" w:sz="8" w:space="0" w:color="auto"/>
              <w:left w:val="nil"/>
              <w:bottom w:val="single" w:sz="8" w:space="0" w:color="auto"/>
              <w:right w:val="single" w:sz="8" w:space="0" w:color="auto"/>
            </w:tcBorders>
            <w:tcMar>
              <w:top w:w="0" w:type="dxa"/>
              <w:left w:w="115" w:type="dxa"/>
              <w:bottom w:w="0" w:type="dxa"/>
              <w:right w:w="115" w:type="dxa"/>
            </w:tcMar>
          </w:tcPr>
          <w:p w14:paraId="71829D3F" w14:textId="77777777" w:rsidR="00093845" w:rsidRDefault="000D779E">
            <w:pPr>
              <w:ind w:firstLine="851"/>
              <w:jc w:val="both"/>
              <w:rPr>
                <w:lang w:val="lt-LT" w:eastAsia="lt-LT"/>
              </w:rPr>
            </w:pPr>
            <w:r>
              <w:rPr>
                <w:b/>
                <w:bCs/>
                <w:lang w:val="lt-LT" w:eastAsia="lt-LT"/>
              </w:rPr>
              <w:t>Apskaičiuoto</w:t>
            </w:r>
            <w:r>
              <w:rPr>
                <w:b/>
                <w:bCs/>
                <w:i/>
                <w:iCs/>
                <w:lang w:val="lt-LT" w:eastAsia="lt-LT"/>
              </w:rPr>
              <w:t xml:space="preserve"> </w:t>
            </w:r>
            <w:r>
              <w:rPr>
                <w:b/>
                <w:bCs/>
                <w:lang w:val="lt-LT" w:eastAsia="lt-LT"/>
              </w:rPr>
              <w:t>pelno</w:t>
            </w:r>
            <w:r>
              <w:rPr>
                <w:b/>
                <w:bCs/>
                <w:i/>
                <w:iCs/>
                <w:lang w:val="lt-LT" w:eastAsia="lt-LT"/>
              </w:rPr>
              <w:t xml:space="preserve"> </w:t>
            </w:r>
            <w:r>
              <w:rPr>
                <w:b/>
                <w:bCs/>
                <w:lang w:val="lt-LT" w:eastAsia="lt-LT"/>
              </w:rPr>
              <w:t>mokesčio</w:t>
            </w:r>
            <w:r>
              <w:rPr>
                <w:b/>
                <w:bCs/>
                <w:i/>
                <w:iCs/>
                <w:lang w:val="lt-LT" w:eastAsia="lt-LT"/>
              </w:rPr>
              <w:t xml:space="preserve"> </w:t>
            </w:r>
            <w:r>
              <w:rPr>
                <w:b/>
                <w:bCs/>
                <w:lang w:val="lt-LT" w:eastAsia="lt-LT"/>
              </w:rPr>
              <w:t>sumažinimas</w:t>
            </w:r>
          </w:p>
        </w:tc>
      </w:tr>
      <w:tr w:rsidR="00093845" w14:paraId="60E4E2A0"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7462D97B" w14:textId="77777777" w:rsidR="00093845" w:rsidRDefault="000D779E">
            <w:pPr>
              <w:ind w:firstLine="851"/>
              <w:jc w:val="both"/>
              <w:rPr>
                <w:lang w:val="lt-LT" w:eastAsia="lt-LT"/>
              </w:rPr>
            </w:pPr>
            <w:r>
              <w:rPr>
                <w:b/>
                <w:bCs/>
                <w:lang w:val="lt-LT" w:eastAsia="lt-LT"/>
              </w:rPr>
              <w:t>daugiau</w:t>
            </w:r>
            <w:r>
              <w:rPr>
                <w:b/>
                <w:bCs/>
                <w:i/>
                <w:iCs/>
                <w:lang w:val="lt-LT" w:eastAsia="lt-LT"/>
              </w:rPr>
              <w:t xml:space="preserve"> </w:t>
            </w:r>
            <w:r>
              <w:rPr>
                <w:b/>
                <w:bCs/>
                <w:lang w:val="lt-LT" w:eastAsia="lt-LT"/>
              </w:rPr>
              <w:t>kaip</w:t>
            </w:r>
            <w:r>
              <w:rPr>
                <w:b/>
                <w:bCs/>
                <w:i/>
                <w:iCs/>
                <w:lang w:val="lt-LT" w:eastAsia="lt-LT"/>
              </w:rPr>
              <w:t xml:space="preserve"> </w:t>
            </w:r>
            <w:r>
              <w:rPr>
                <w:b/>
                <w:bCs/>
                <w:lang w:val="lt-LT" w:eastAsia="lt-LT"/>
              </w:rPr>
              <w:t>50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0F3E3787" w14:textId="77777777" w:rsidR="00093845" w:rsidRDefault="000D779E">
            <w:pPr>
              <w:ind w:firstLine="851"/>
              <w:jc w:val="both"/>
              <w:rPr>
                <w:lang w:val="lt-LT" w:eastAsia="lt-LT"/>
              </w:rPr>
            </w:pPr>
            <w:r>
              <w:rPr>
                <w:b/>
                <w:bCs/>
                <w:lang w:val="lt-LT" w:eastAsia="lt-LT"/>
              </w:rPr>
              <w:t>100</w:t>
            </w:r>
            <w:r>
              <w:rPr>
                <w:b/>
                <w:bCs/>
                <w:i/>
                <w:iCs/>
                <w:lang w:val="lt-LT" w:eastAsia="lt-LT"/>
              </w:rPr>
              <w:t xml:space="preserve"> </w:t>
            </w:r>
            <w:r>
              <w:rPr>
                <w:b/>
                <w:bCs/>
                <w:lang w:val="lt-LT" w:eastAsia="lt-LT"/>
              </w:rPr>
              <w:t>%</w:t>
            </w:r>
          </w:p>
        </w:tc>
      </w:tr>
      <w:tr w:rsidR="00093845" w14:paraId="1647E08C"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47D6F0E3" w14:textId="77777777" w:rsidR="00093845" w:rsidRDefault="000D779E">
            <w:pPr>
              <w:ind w:firstLine="851"/>
              <w:jc w:val="both"/>
              <w:rPr>
                <w:lang w:val="lt-LT" w:eastAsia="lt-LT"/>
              </w:rPr>
            </w:pPr>
            <w:r>
              <w:rPr>
                <w:b/>
                <w:bCs/>
                <w:lang w:val="lt-LT" w:eastAsia="lt-LT"/>
              </w:rPr>
              <w:t>40-50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1BE4095C" w14:textId="77777777" w:rsidR="00093845" w:rsidRDefault="000D779E">
            <w:pPr>
              <w:ind w:firstLine="851"/>
              <w:jc w:val="both"/>
              <w:rPr>
                <w:lang w:val="lt-LT" w:eastAsia="lt-LT"/>
              </w:rPr>
            </w:pPr>
            <w:r>
              <w:rPr>
                <w:b/>
                <w:bCs/>
                <w:lang w:val="lt-LT" w:eastAsia="lt-LT"/>
              </w:rPr>
              <w:t>75</w:t>
            </w:r>
            <w:r>
              <w:rPr>
                <w:b/>
                <w:bCs/>
                <w:i/>
                <w:iCs/>
                <w:lang w:val="lt-LT" w:eastAsia="lt-LT"/>
              </w:rPr>
              <w:t xml:space="preserve"> </w:t>
            </w:r>
            <w:r>
              <w:rPr>
                <w:b/>
                <w:bCs/>
                <w:lang w:val="lt-LT" w:eastAsia="lt-LT"/>
              </w:rPr>
              <w:t>%</w:t>
            </w:r>
          </w:p>
        </w:tc>
      </w:tr>
      <w:tr w:rsidR="00093845" w14:paraId="328DD806"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5E7E1155" w14:textId="77777777" w:rsidR="00093845" w:rsidRDefault="000D779E">
            <w:pPr>
              <w:ind w:firstLine="851"/>
              <w:jc w:val="both"/>
              <w:rPr>
                <w:lang w:val="lt-LT" w:eastAsia="lt-LT"/>
              </w:rPr>
            </w:pPr>
            <w:r>
              <w:rPr>
                <w:b/>
                <w:bCs/>
                <w:lang w:val="lt-LT" w:eastAsia="lt-LT"/>
              </w:rPr>
              <w:t>30-40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256BC5BE" w14:textId="77777777" w:rsidR="00093845" w:rsidRDefault="000D779E">
            <w:pPr>
              <w:ind w:firstLine="851"/>
              <w:jc w:val="both"/>
              <w:rPr>
                <w:lang w:val="lt-LT" w:eastAsia="lt-LT"/>
              </w:rPr>
            </w:pPr>
            <w:r>
              <w:rPr>
                <w:b/>
                <w:bCs/>
                <w:lang w:val="lt-LT" w:eastAsia="lt-LT"/>
              </w:rPr>
              <w:t>50</w:t>
            </w:r>
            <w:r>
              <w:rPr>
                <w:b/>
                <w:bCs/>
                <w:i/>
                <w:iCs/>
                <w:lang w:val="lt-LT" w:eastAsia="lt-LT"/>
              </w:rPr>
              <w:t xml:space="preserve"> </w:t>
            </w:r>
            <w:r>
              <w:rPr>
                <w:b/>
                <w:bCs/>
                <w:lang w:val="lt-LT" w:eastAsia="lt-LT"/>
              </w:rPr>
              <w:t>%</w:t>
            </w:r>
          </w:p>
        </w:tc>
      </w:tr>
      <w:tr w:rsidR="00093845" w14:paraId="4F04D6E1" w14:textId="77777777">
        <w:tc>
          <w:tcPr>
            <w:tcW w:w="4817" w:type="dxa"/>
            <w:tcBorders>
              <w:top w:val="nil"/>
              <w:left w:val="single" w:sz="8" w:space="0" w:color="auto"/>
              <w:bottom w:val="single" w:sz="8" w:space="0" w:color="auto"/>
              <w:right w:val="single" w:sz="8" w:space="0" w:color="auto"/>
            </w:tcBorders>
            <w:tcMar>
              <w:top w:w="0" w:type="dxa"/>
              <w:left w:w="115" w:type="dxa"/>
              <w:bottom w:w="0" w:type="dxa"/>
              <w:right w:w="115" w:type="dxa"/>
            </w:tcMar>
          </w:tcPr>
          <w:p w14:paraId="06A53B65" w14:textId="77777777" w:rsidR="00093845" w:rsidRDefault="000D779E">
            <w:pPr>
              <w:ind w:firstLine="851"/>
              <w:jc w:val="both"/>
              <w:rPr>
                <w:lang w:val="lt-LT" w:eastAsia="lt-LT"/>
              </w:rPr>
            </w:pPr>
            <w:r>
              <w:rPr>
                <w:b/>
                <w:bCs/>
                <w:lang w:val="lt-LT" w:eastAsia="lt-LT"/>
              </w:rPr>
              <w:t>20-30</w:t>
            </w:r>
            <w:r>
              <w:rPr>
                <w:b/>
                <w:bCs/>
                <w:i/>
                <w:iCs/>
                <w:lang w:val="lt-LT" w:eastAsia="lt-LT"/>
              </w:rPr>
              <w:t xml:space="preserve"> </w:t>
            </w:r>
            <w:r>
              <w:rPr>
                <w:b/>
                <w:bCs/>
                <w:lang w:val="lt-LT" w:eastAsia="lt-LT"/>
              </w:rPr>
              <w:t>%</w:t>
            </w:r>
          </w:p>
        </w:tc>
        <w:tc>
          <w:tcPr>
            <w:tcW w:w="4817" w:type="dxa"/>
            <w:tcBorders>
              <w:top w:val="nil"/>
              <w:left w:val="nil"/>
              <w:bottom w:val="single" w:sz="8" w:space="0" w:color="auto"/>
              <w:right w:val="single" w:sz="8" w:space="0" w:color="auto"/>
            </w:tcBorders>
            <w:tcMar>
              <w:top w:w="0" w:type="dxa"/>
              <w:left w:w="115" w:type="dxa"/>
              <w:bottom w:w="0" w:type="dxa"/>
              <w:right w:w="115" w:type="dxa"/>
            </w:tcMar>
          </w:tcPr>
          <w:p w14:paraId="0BE443AC" w14:textId="77777777" w:rsidR="00093845" w:rsidRDefault="000D779E">
            <w:pPr>
              <w:ind w:firstLine="851"/>
              <w:jc w:val="both"/>
              <w:rPr>
                <w:lang w:val="lt-LT" w:eastAsia="lt-LT"/>
              </w:rPr>
            </w:pPr>
            <w:r>
              <w:rPr>
                <w:b/>
                <w:bCs/>
                <w:lang w:val="lt-LT" w:eastAsia="lt-LT"/>
              </w:rPr>
              <w:t>25</w:t>
            </w:r>
            <w:r>
              <w:rPr>
                <w:b/>
                <w:bCs/>
                <w:i/>
                <w:iCs/>
                <w:lang w:val="lt-LT" w:eastAsia="lt-LT"/>
              </w:rPr>
              <w:t xml:space="preserve"> </w:t>
            </w:r>
            <w:r>
              <w:rPr>
                <w:b/>
                <w:bCs/>
                <w:lang w:val="lt-LT" w:eastAsia="lt-LT"/>
              </w:rPr>
              <w:t>%</w:t>
            </w:r>
          </w:p>
        </w:tc>
      </w:tr>
    </w:tbl>
    <w:p w14:paraId="07B454D3" w14:textId="77777777" w:rsidR="00093845" w:rsidRDefault="000D779E" w:rsidP="002C71C1">
      <w:pPr>
        <w:spacing w:after="0"/>
        <w:ind w:firstLine="851"/>
        <w:jc w:val="both"/>
        <w:rPr>
          <w:b/>
          <w:bCs/>
          <w:lang w:val="lt-LT" w:eastAsia="lt-LT"/>
        </w:rPr>
      </w:pPr>
      <w:r>
        <w:rPr>
          <w:lang w:val="lt-LT" w:eastAsia="lt-LT"/>
        </w:rPr>
        <w:t> </w:t>
      </w:r>
      <w:r>
        <w:rPr>
          <w:b/>
          <w:bCs/>
          <w:lang w:val="lt-LT" w:eastAsia="lt-LT"/>
        </w:rPr>
        <w:t>Asmenų,</w:t>
      </w:r>
      <w:r>
        <w:rPr>
          <w:b/>
          <w:bCs/>
          <w:i/>
          <w:iCs/>
          <w:lang w:val="lt-LT" w:eastAsia="lt-LT"/>
        </w:rPr>
        <w:t xml:space="preserve"> </w:t>
      </w:r>
      <w:r>
        <w:rPr>
          <w:b/>
          <w:bCs/>
          <w:lang w:val="lt-LT" w:eastAsia="lt-LT"/>
        </w:rPr>
        <w:t>kuriems</w:t>
      </w:r>
      <w:r>
        <w:rPr>
          <w:b/>
          <w:bCs/>
          <w:i/>
          <w:iCs/>
          <w:lang w:val="lt-LT" w:eastAsia="lt-LT"/>
        </w:rPr>
        <w:t xml:space="preserve"> </w:t>
      </w:r>
      <w:r>
        <w:rPr>
          <w:b/>
          <w:bCs/>
          <w:lang w:val="lt-LT" w:eastAsia="lt-LT"/>
        </w:rPr>
        <w:t>taikomas</w:t>
      </w:r>
      <w:r>
        <w:rPr>
          <w:b/>
          <w:bCs/>
          <w:i/>
          <w:iCs/>
          <w:lang w:val="lt-LT" w:eastAsia="lt-LT"/>
        </w:rPr>
        <w:t xml:space="preserve"> </w:t>
      </w:r>
      <w:r>
        <w:rPr>
          <w:b/>
          <w:bCs/>
          <w:lang w:val="lt-LT" w:eastAsia="lt-LT"/>
        </w:rPr>
        <w:t>riboto</w:t>
      </w:r>
      <w:r>
        <w:rPr>
          <w:b/>
          <w:bCs/>
          <w:i/>
          <w:iCs/>
          <w:lang w:val="lt-LT" w:eastAsia="lt-LT"/>
        </w:rPr>
        <w:t xml:space="preserve"> </w:t>
      </w:r>
      <w:r>
        <w:rPr>
          <w:b/>
          <w:bCs/>
          <w:lang w:val="lt-LT" w:eastAsia="lt-LT"/>
        </w:rPr>
        <w:t>darbingumo</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statusas,</w:t>
      </w:r>
      <w:r>
        <w:rPr>
          <w:b/>
          <w:bCs/>
          <w:i/>
          <w:iCs/>
          <w:lang w:val="lt-LT" w:eastAsia="lt-LT"/>
        </w:rPr>
        <w:t xml:space="preserve"> </w:t>
      </w:r>
      <w:r>
        <w:rPr>
          <w:b/>
          <w:bCs/>
          <w:lang w:val="lt-LT" w:eastAsia="lt-LT"/>
        </w:rPr>
        <w:t>kategorijas,</w:t>
      </w:r>
      <w:r>
        <w:rPr>
          <w:b/>
          <w:bCs/>
          <w:i/>
          <w:iCs/>
          <w:lang w:val="lt-LT" w:eastAsia="lt-LT"/>
        </w:rPr>
        <w:t xml:space="preserve"> </w:t>
      </w:r>
      <w:r>
        <w:rPr>
          <w:b/>
          <w:bCs/>
          <w:lang w:val="lt-LT" w:eastAsia="lt-LT"/>
        </w:rPr>
        <w:t>šių</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dalies</w:t>
      </w:r>
      <w:r>
        <w:rPr>
          <w:b/>
          <w:bCs/>
          <w:i/>
          <w:iCs/>
          <w:lang w:val="lt-LT" w:eastAsia="lt-LT"/>
        </w:rPr>
        <w:t xml:space="preserve"> </w:t>
      </w:r>
      <w:r>
        <w:rPr>
          <w:b/>
          <w:bCs/>
          <w:lang w:val="lt-LT" w:eastAsia="lt-LT"/>
        </w:rPr>
        <w:t>tarp</w:t>
      </w:r>
      <w:r>
        <w:rPr>
          <w:b/>
          <w:bCs/>
          <w:i/>
          <w:iCs/>
          <w:lang w:val="lt-LT" w:eastAsia="lt-LT"/>
        </w:rPr>
        <w:t xml:space="preserve"> </w:t>
      </w:r>
      <w:r>
        <w:rPr>
          <w:b/>
          <w:bCs/>
          <w:lang w:val="lt-LT" w:eastAsia="lt-LT"/>
        </w:rPr>
        <w:t>visų</w:t>
      </w:r>
      <w:r>
        <w:rPr>
          <w:b/>
          <w:bCs/>
          <w:i/>
          <w:iCs/>
          <w:lang w:val="lt-LT" w:eastAsia="lt-LT"/>
        </w:rPr>
        <w:t xml:space="preserve"> </w:t>
      </w:r>
      <w:r>
        <w:rPr>
          <w:b/>
          <w:bCs/>
          <w:lang w:val="lt-LT" w:eastAsia="lt-LT"/>
        </w:rPr>
        <w:t>dirbančių</w:t>
      </w:r>
      <w:r>
        <w:rPr>
          <w:b/>
          <w:bCs/>
          <w:i/>
          <w:iCs/>
          <w:lang w:val="lt-LT" w:eastAsia="lt-LT"/>
        </w:rPr>
        <w:t xml:space="preserve"> </w:t>
      </w:r>
      <w:r>
        <w:rPr>
          <w:b/>
          <w:bCs/>
          <w:lang w:val="lt-LT" w:eastAsia="lt-LT"/>
        </w:rPr>
        <w:t>asmenų</w:t>
      </w:r>
      <w:r>
        <w:rPr>
          <w:b/>
          <w:bCs/>
          <w:i/>
          <w:iCs/>
          <w:lang w:val="lt-LT" w:eastAsia="lt-LT"/>
        </w:rPr>
        <w:t xml:space="preserve"> </w:t>
      </w:r>
      <w:r>
        <w:rPr>
          <w:b/>
          <w:bCs/>
          <w:lang w:val="lt-LT" w:eastAsia="lt-LT"/>
        </w:rPr>
        <w:t>apskaičiavimo</w:t>
      </w:r>
      <w:r>
        <w:rPr>
          <w:b/>
          <w:bCs/>
          <w:i/>
          <w:iCs/>
          <w:lang w:val="lt-LT" w:eastAsia="lt-LT"/>
        </w:rPr>
        <w:t xml:space="preserve"> </w:t>
      </w:r>
      <w:r>
        <w:rPr>
          <w:b/>
          <w:bCs/>
          <w:lang w:val="lt-LT" w:eastAsia="lt-LT"/>
        </w:rPr>
        <w:t>metodiką</w:t>
      </w:r>
      <w:r>
        <w:rPr>
          <w:b/>
          <w:bCs/>
          <w:i/>
          <w:iCs/>
          <w:lang w:val="lt-LT" w:eastAsia="lt-LT"/>
        </w:rPr>
        <w:t xml:space="preserve"> </w:t>
      </w:r>
      <w:r>
        <w:rPr>
          <w:b/>
          <w:bCs/>
          <w:lang w:val="lt-LT" w:eastAsia="lt-LT"/>
        </w:rPr>
        <w:t>ir</w:t>
      </w:r>
      <w:r>
        <w:rPr>
          <w:b/>
          <w:bCs/>
          <w:i/>
          <w:iCs/>
          <w:lang w:val="lt-LT" w:eastAsia="lt-LT"/>
        </w:rPr>
        <w:t xml:space="preserve"> </w:t>
      </w:r>
      <w:r>
        <w:rPr>
          <w:b/>
          <w:bCs/>
          <w:lang w:val="lt-LT" w:eastAsia="lt-LT"/>
        </w:rPr>
        <w:t>šios</w:t>
      </w:r>
      <w:r>
        <w:rPr>
          <w:b/>
          <w:bCs/>
          <w:i/>
          <w:iCs/>
          <w:lang w:val="lt-LT" w:eastAsia="lt-LT"/>
        </w:rPr>
        <w:t xml:space="preserve"> </w:t>
      </w:r>
      <w:r>
        <w:rPr>
          <w:b/>
          <w:bCs/>
          <w:lang w:val="lt-LT" w:eastAsia="lt-LT"/>
        </w:rPr>
        <w:t>lengvatos</w:t>
      </w:r>
      <w:r>
        <w:rPr>
          <w:b/>
          <w:bCs/>
          <w:i/>
          <w:iCs/>
          <w:lang w:val="lt-LT" w:eastAsia="lt-LT"/>
        </w:rPr>
        <w:t xml:space="preserve"> </w:t>
      </w:r>
      <w:r>
        <w:rPr>
          <w:b/>
          <w:bCs/>
          <w:lang w:val="lt-LT" w:eastAsia="lt-LT"/>
        </w:rPr>
        <w:t>taikymo</w:t>
      </w:r>
      <w:r>
        <w:rPr>
          <w:b/>
          <w:bCs/>
          <w:i/>
          <w:iCs/>
          <w:lang w:val="lt-LT" w:eastAsia="lt-LT"/>
        </w:rPr>
        <w:t xml:space="preserve"> </w:t>
      </w:r>
      <w:r>
        <w:rPr>
          <w:b/>
          <w:bCs/>
          <w:lang w:val="lt-LT" w:eastAsia="lt-LT"/>
        </w:rPr>
        <w:t>tvarką</w:t>
      </w:r>
      <w:r>
        <w:rPr>
          <w:b/>
          <w:bCs/>
          <w:i/>
          <w:iCs/>
          <w:lang w:val="lt-LT" w:eastAsia="lt-LT"/>
        </w:rPr>
        <w:t xml:space="preserve"> </w:t>
      </w:r>
      <w:r>
        <w:rPr>
          <w:b/>
          <w:bCs/>
          <w:lang w:val="lt-LT" w:eastAsia="lt-LT"/>
        </w:rPr>
        <w:t>nustato</w:t>
      </w:r>
      <w:r>
        <w:rPr>
          <w:b/>
          <w:bCs/>
          <w:i/>
          <w:iCs/>
          <w:lang w:val="lt-LT" w:eastAsia="lt-LT"/>
        </w:rPr>
        <w:t xml:space="preserve"> </w:t>
      </w:r>
      <w:r>
        <w:rPr>
          <w:b/>
          <w:bCs/>
          <w:lang w:val="lt-LT" w:eastAsia="lt-LT"/>
        </w:rPr>
        <w:t>Lietuvos</w:t>
      </w:r>
      <w:r>
        <w:rPr>
          <w:b/>
          <w:bCs/>
          <w:i/>
          <w:iCs/>
          <w:lang w:val="lt-LT" w:eastAsia="lt-LT"/>
        </w:rPr>
        <w:t xml:space="preserve"> </w:t>
      </w:r>
      <w:r>
        <w:rPr>
          <w:b/>
          <w:bCs/>
          <w:lang w:val="lt-LT" w:eastAsia="lt-LT"/>
        </w:rPr>
        <w:t>Respublikos</w:t>
      </w:r>
      <w:r>
        <w:rPr>
          <w:b/>
          <w:bCs/>
          <w:i/>
          <w:iCs/>
          <w:lang w:val="lt-LT" w:eastAsia="lt-LT"/>
        </w:rPr>
        <w:t xml:space="preserve"> </w:t>
      </w:r>
      <w:r>
        <w:rPr>
          <w:b/>
          <w:bCs/>
          <w:lang w:val="lt-LT" w:eastAsia="lt-LT"/>
        </w:rPr>
        <w:t>Vyriausybė;</w:t>
      </w:r>
    </w:p>
    <w:p w14:paraId="2C26E963" w14:textId="77777777" w:rsidR="00093845" w:rsidRPr="0089549E" w:rsidRDefault="000D779E" w:rsidP="002C71C1">
      <w:pPr>
        <w:spacing w:after="0"/>
        <w:jc w:val="both"/>
        <w:rPr>
          <w:i/>
          <w:lang w:val="lt-LT" w:eastAsia="lt-LT"/>
        </w:rPr>
      </w:pPr>
      <w:r w:rsidRPr="0089549E">
        <w:rPr>
          <w:bCs/>
          <w:i/>
          <w:iCs/>
          <w:lang w:val="lt-LT" w:eastAsia="lt-LT"/>
        </w:rPr>
        <w:t>(</w:t>
      </w:r>
      <w:r w:rsidRPr="0089549E">
        <w:rPr>
          <w:i/>
          <w:iCs/>
          <w:color w:val="000000"/>
          <w:shd w:val="clear" w:color="auto" w:fill="FFFFFF"/>
          <w:lang w:val="lt-LT" w:eastAsia="lt-LT"/>
        </w:rPr>
        <w:t xml:space="preserve">KEISTA: </w:t>
      </w:r>
      <w:r w:rsidRPr="0089549E">
        <w:rPr>
          <w:i/>
          <w:iCs/>
          <w:lang w:val="lt-LT"/>
        </w:rPr>
        <w:t>2017 12 07 įstatymu Nr. XIII-842 (nuo 2018 01 01)</w:t>
      </w:r>
      <w:r w:rsidR="00F31096" w:rsidRPr="0065344A">
        <w:rPr>
          <w:iCs/>
          <w:lang w:val="lt-LT"/>
        </w:rPr>
        <w:t>,</w:t>
      </w:r>
      <w:r>
        <w:rPr>
          <w:bCs/>
          <w:iCs/>
          <w:lang w:val="lt-LT" w:eastAsia="lt-LT"/>
        </w:rPr>
        <w:t xml:space="preserve"> </w:t>
      </w:r>
      <w:r w:rsidRPr="0089549E">
        <w:rPr>
          <w:bCs/>
          <w:i/>
          <w:iCs/>
          <w:lang w:val="lt-LT" w:eastAsia="lt-LT"/>
        </w:rPr>
        <w:t>punkto nuostatos taikomos apskaičiuojant 2018 metų ir vėlesnių metų mokestinių laikotarpių pelno mokestį)</w:t>
      </w:r>
      <w:r w:rsidRPr="0089549E">
        <w:rPr>
          <w:i/>
          <w:lang w:val="lt-LT" w:eastAsia="lt-LT"/>
        </w:rPr>
        <w:t xml:space="preserve">     </w:t>
      </w:r>
    </w:p>
    <w:p w14:paraId="6BD4406C" w14:textId="77777777" w:rsidR="00093845" w:rsidRDefault="000D779E">
      <w:pPr>
        <w:ind w:firstLine="851"/>
        <w:jc w:val="both"/>
        <w:rPr>
          <w:lang w:val="lt-LT" w:eastAsia="lt-LT"/>
        </w:rPr>
      </w:pPr>
      <w:r>
        <w:rPr>
          <w:b/>
          <w:bCs/>
          <w:lang w:val="lt-LT" w:eastAsia="lt-LT"/>
        </w:rPr>
        <w:t>Komentaras</w:t>
      </w:r>
    </w:p>
    <w:p w14:paraId="48B857AF" w14:textId="77777777" w:rsidR="00093845" w:rsidRDefault="000D779E">
      <w:pPr>
        <w:ind w:firstLine="851"/>
        <w:jc w:val="both"/>
        <w:rPr>
          <w:lang w:val="lt-LT" w:eastAsia="lt-LT"/>
        </w:rPr>
      </w:pPr>
      <w:r>
        <w:rPr>
          <w:lang w:val="lt-LT" w:eastAsia="lt-LT"/>
        </w:rPr>
        <w:t>1.</w:t>
      </w:r>
      <w:r>
        <w:rPr>
          <w:i/>
          <w:iCs/>
          <w:lang w:val="lt-LT" w:eastAsia="lt-LT"/>
        </w:rPr>
        <w:t xml:space="preserve"> </w:t>
      </w:r>
      <w:r>
        <w:rPr>
          <w:lang w:val="lt-LT" w:eastAsia="lt-LT"/>
        </w:rPr>
        <w:t>Šiame</w:t>
      </w:r>
      <w:r>
        <w:rPr>
          <w:i/>
          <w:iCs/>
          <w:lang w:val="lt-LT" w:eastAsia="lt-LT"/>
        </w:rPr>
        <w:t xml:space="preserve"> </w:t>
      </w:r>
      <w:r>
        <w:rPr>
          <w:lang w:val="lt-LT" w:eastAsia="lt-LT"/>
        </w:rPr>
        <w:t>punkte</w:t>
      </w:r>
      <w:r>
        <w:rPr>
          <w:i/>
          <w:iCs/>
          <w:lang w:val="lt-LT" w:eastAsia="lt-LT"/>
        </w:rPr>
        <w:t xml:space="preserve"> </w:t>
      </w:r>
      <w:r>
        <w:rPr>
          <w:lang w:val="lt-LT" w:eastAsia="lt-LT"/>
        </w:rPr>
        <w:t>nustatyta</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taikoma įmonėms, kurių pajamos už pačių pagamintą produkciją sudaro daugiau kaip 50 procentų visų gautų pajamų ir kuriuose dirba riboto darbingumo asmenys.</w:t>
      </w:r>
    </w:p>
    <w:p w14:paraId="6308B681" w14:textId="77777777" w:rsidR="00093845" w:rsidRDefault="000D779E">
      <w:pPr>
        <w:ind w:firstLine="851"/>
        <w:jc w:val="both"/>
        <w:rPr>
          <w:lang w:val="lt-LT" w:eastAsia="lt-LT"/>
        </w:rPr>
      </w:pPr>
      <w:r>
        <w:rPr>
          <w:lang w:val="lt-LT" w:eastAsia="lt-LT"/>
        </w:rPr>
        <w:t xml:space="preserve"> 2.</w:t>
      </w:r>
      <w:r>
        <w:rPr>
          <w:i/>
          <w:iCs/>
          <w:lang w:val="lt-LT" w:eastAsia="lt-LT"/>
        </w:rPr>
        <w:t xml:space="preserve"> </w:t>
      </w:r>
      <w:r>
        <w:rPr>
          <w:lang w:val="lt-LT" w:eastAsia="lt-LT"/>
        </w:rPr>
        <w:t>Nuo</w:t>
      </w:r>
      <w:r>
        <w:rPr>
          <w:i/>
          <w:iCs/>
          <w:lang w:val="lt-LT" w:eastAsia="lt-LT"/>
        </w:rPr>
        <w:t xml:space="preserve"> </w:t>
      </w:r>
      <w:r>
        <w:rPr>
          <w:lang w:val="lt-LT" w:eastAsia="lt-LT"/>
        </w:rPr>
        <w:t>2005</w:t>
      </w:r>
      <w:r>
        <w:rPr>
          <w:i/>
          <w:iCs/>
          <w:lang w:val="lt-LT" w:eastAsia="lt-LT"/>
        </w:rPr>
        <w:t xml:space="preserve"> </w:t>
      </w:r>
      <w:r>
        <w:rPr>
          <w:lang w:val="lt-LT" w:eastAsia="lt-LT"/>
        </w:rPr>
        <w:t>metais</w:t>
      </w:r>
      <w:r>
        <w:rPr>
          <w:i/>
          <w:iCs/>
          <w:lang w:val="lt-LT" w:eastAsia="lt-LT"/>
        </w:rPr>
        <w:t xml:space="preserve"> </w:t>
      </w:r>
      <w:r>
        <w:rPr>
          <w:lang w:val="lt-LT" w:eastAsia="lt-LT"/>
        </w:rPr>
        <w:t>prasidėjusio</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nustatant</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kategorijas,</w:t>
      </w:r>
      <w:r>
        <w:rPr>
          <w:i/>
          <w:iCs/>
          <w:lang w:val="lt-LT" w:eastAsia="lt-LT"/>
        </w:rPr>
        <w:t xml:space="preserve"> </w:t>
      </w:r>
      <w:r>
        <w:rPr>
          <w:lang w:val="lt-LT" w:eastAsia="lt-LT"/>
        </w:rPr>
        <w:t>šių</w:t>
      </w:r>
      <w:r>
        <w:rPr>
          <w:i/>
          <w:iCs/>
          <w:lang w:val="lt-LT" w:eastAsia="lt-LT"/>
        </w:rPr>
        <w:t xml:space="preserve"> </w:t>
      </w:r>
      <w:r>
        <w:rPr>
          <w:lang w:val="lt-LT" w:eastAsia="lt-LT"/>
        </w:rPr>
        <w:t>asmenų</w:t>
      </w:r>
      <w:r>
        <w:rPr>
          <w:i/>
          <w:iCs/>
          <w:lang w:val="lt-LT" w:eastAsia="lt-LT"/>
        </w:rPr>
        <w:t xml:space="preserve"> </w:t>
      </w:r>
      <w:r>
        <w:rPr>
          <w:lang w:val="lt-LT" w:eastAsia="lt-LT"/>
        </w:rPr>
        <w:t>dalį</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turi</w:t>
      </w:r>
      <w:r>
        <w:rPr>
          <w:i/>
          <w:iCs/>
          <w:lang w:val="lt-LT" w:eastAsia="lt-LT"/>
        </w:rPr>
        <w:t xml:space="preserve"> </w:t>
      </w:r>
      <w:r>
        <w:rPr>
          <w:lang w:val="lt-LT" w:eastAsia="lt-LT"/>
        </w:rPr>
        <w:t>būti</w:t>
      </w:r>
      <w:r>
        <w:rPr>
          <w:i/>
          <w:iCs/>
          <w:lang w:val="lt-LT" w:eastAsia="lt-LT"/>
        </w:rPr>
        <w:t xml:space="preserve"> </w:t>
      </w:r>
      <w:r>
        <w:rPr>
          <w:lang w:val="lt-LT" w:eastAsia="lt-LT"/>
        </w:rPr>
        <w:t>vadovaujamasi</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Pr>
          <w:lang w:val="lt-LT" w:eastAsia="lt-LT"/>
        </w:rPr>
        <w:t>Vyriausybės</w:t>
      </w:r>
      <w:r>
        <w:rPr>
          <w:i/>
          <w:iCs/>
          <w:lang w:val="lt-LT" w:eastAsia="lt-LT"/>
        </w:rPr>
        <w:t xml:space="preserve"> </w:t>
      </w:r>
      <w:r>
        <w:rPr>
          <w:lang w:val="lt-LT" w:eastAsia="lt-LT"/>
        </w:rPr>
        <w:t>2004</w:t>
      </w:r>
      <w:r>
        <w:rPr>
          <w:i/>
          <w:iCs/>
          <w:lang w:val="lt-LT" w:eastAsia="lt-LT"/>
        </w:rPr>
        <w:t xml:space="preserve"> </w:t>
      </w:r>
      <w:r>
        <w:rPr>
          <w:lang w:val="lt-LT" w:eastAsia="lt-LT"/>
        </w:rPr>
        <w:t>m.</w:t>
      </w:r>
      <w:r>
        <w:rPr>
          <w:i/>
          <w:iCs/>
          <w:lang w:val="lt-LT" w:eastAsia="lt-LT"/>
        </w:rPr>
        <w:t xml:space="preserve"> </w:t>
      </w:r>
      <w:r>
        <w:rPr>
          <w:lang w:val="lt-LT" w:eastAsia="lt-LT"/>
        </w:rPr>
        <w:t>lapkričio</w:t>
      </w:r>
      <w:r>
        <w:rPr>
          <w:i/>
          <w:iCs/>
          <w:lang w:val="lt-LT" w:eastAsia="lt-LT"/>
        </w:rPr>
        <w:t xml:space="preserve"> </w:t>
      </w:r>
      <w:r>
        <w:rPr>
          <w:lang w:val="lt-LT" w:eastAsia="lt-LT"/>
        </w:rPr>
        <w:t>11</w:t>
      </w:r>
      <w:r>
        <w:rPr>
          <w:i/>
          <w:iCs/>
          <w:lang w:val="lt-LT" w:eastAsia="lt-LT"/>
        </w:rPr>
        <w:t xml:space="preserve"> </w:t>
      </w:r>
      <w:r>
        <w:rPr>
          <w:lang w:val="lt-LT" w:eastAsia="lt-LT"/>
        </w:rPr>
        <w:t>d.</w:t>
      </w:r>
      <w:r>
        <w:rPr>
          <w:i/>
          <w:iCs/>
          <w:lang w:val="lt-LT" w:eastAsia="lt-LT"/>
        </w:rPr>
        <w:t xml:space="preserve"> </w:t>
      </w:r>
      <w:r>
        <w:rPr>
          <w:lang w:val="lt-LT" w:eastAsia="lt-LT"/>
        </w:rPr>
        <w:t>nutarimu</w:t>
      </w:r>
      <w:r>
        <w:rPr>
          <w:i/>
          <w:iCs/>
          <w:lang w:val="lt-LT" w:eastAsia="lt-LT"/>
        </w:rPr>
        <w:t xml:space="preserve"> </w:t>
      </w:r>
      <w:r>
        <w:rPr>
          <w:lang w:val="lt-LT" w:eastAsia="lt-LT"/>
        </w:rPr>
        <w:t>Nr.</w:t>
      </w:r>
      <w:r>
        <w:rPr>
          <w:i/>
          <w:iCs/>
          <w:lang w:val="lt-LT" w:eastAsia="lt-LT"/>
        </w:rPr>
        <w:t xml:space="preserve"> </w:t>
      </w:r>
      <w:r>
        <w:rPr>
          <w:lang w:val="lt-LT" w:eastAsia="lt-LT"/>
        </w:rPr>
        <w:t>1436</w:t>
      </w:r>
      <w:r>
        <w:rPr>
          <w:i/>
          <w:iCs/>
          <w:lang w:val="lt-LT" w:eastAsia="lt-LT"/>
        </w:rPr>
        <w:t xml:space="preserve"> </w:t>
      </w:r>
      <w:r>
        <w:rPr>
          <w:lang w:val="lt-LT" w:eastAsia="lt-LT"/>
        </w:rPr>
        <w:t>patvirtintu</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kategorijų,</w:t>
      </w:r>
      <w:r>
        <w:rPr>
          <w:i/>
          <w:iCs/>
          <w:lang w:val="lt-LT" w:eastAsia="lt-LT"/>
        </w:rPr>
        <w:t xml:space="preserve"> </w:t>
      </w:r>
      <w:r>
        <w:rPr>
          <w:lang w:val="lt-LT" w:eastAsia="lt-LT"/>
        </w:rPr>
        <w:t>šių</w:t>
      </w:r>
      <w:r>
        <w:rPr>
          <w:i/>
          <w:iCs/>
          <w:lang w:val="lt-LT" w:eastAsia="lt-LT"/>
        </w:rPr>
        <w:t xml:space="preserve"> </w:t>
      </w:r>
      <w:r>
        <w:rPr>
          <w:lang w:val="lt-LT" w:eastAsia="lt-LT"/>
        </w:rPr>
        <w:t>asmenų</w:t>
      </w:r>
      <w:r>
        <w:rPr>
          <w:i/>
          <w:iCs/>
          <w:lang w:val="lt-LT" w:eastAsia="lt-LT"/>
        </w:rPr>
        <w:t xml:space="preserve"> </w:t>
      </w:r>
      <w:r>
        <w:rPr>
          <w:lang w:val="lt-LT" w:eastAsia="lt-LT"/>
        </w:rPr>
        <w:t>dalies</w:t>
      </w:r>
      <w:r>
        <w:rPr>
          <w:i/>
          <w:iCs/>
          <w:lang w:val="lt-LT" w:eastAsia="lt-LT"/>
        </w:rPr>
        <w:t xml:space="preserve"> </w:t>
      </w:r>
      <w:r>
        <w:rPr>
          <w:lang w:val="lt-LT" w:eastAsia="lt-LT"/>
        </w:rPr>
        <w:t>nustatymo</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apskaičiavimo</w:t>
      </w:r>
      <w:r>
        <w:rPr>
          <w:i/>
          <w:iCs/>
          <w:lang w:val="lt-LT" w:eastAsia="lt-LT"/>
        </w:rPr>
        <w:t xml:space="preserve"> </w:t>
      </w:r>
      <w:r>
        <w:rPr>
          <w:lang w:val="lt-LT" w:eastAsia="lt-LT"/>
        </w:rPr>
        <w:t>ir</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lengvatos</w:t>
      </w:r>
      <w:r>
        <w:rPr>
          <w:i/>
          <w:iCs/>
          <w:lang w:val="lt-LT" w:eastAsia="lt-LT"/>
        </w:rPr>
        <w:t xml:space="preserve"> </w:t>
      </w:r>
      <w:r>
        <w:rPr>
          <w:lang w:val="lt-LT" w:eastAsia="lt-LT"/>
        </w:rPr>
        <w:t>taikymo</w:t>
      </w:r>
      <w:r>
        <w:rPr>
          <w:i/>
          <w:iCs/>
          <w:lang w:val="lt-LT" w:eastAsia="lt-LT"/>
        </w:rPr>
        <w:t xml:space="preserve"> </w:t>
      </w:r>
      <w:r>
        <w:rPr>
          <w:lang w:val="lt-LT" w:eastAsia="lt-LT"/>
        </w:rPr>
        <w:t>tvarkos</w:t>
      </w:r>
      <w:r>
        <w:rPr>
          <w:i/>
          <w:iCs/>
          <w:lang w:val="lt-LT" w:eastAsia="lt-LT"/>
        </w:rPr>
        <w:t xml:space="preserve"> </w:t>
      </w:r>
      <w:r>
        <w:rPr>
          <w:lang w:val="lt-LT" w:eastAsia="lt-LT"/>
        </w:rPr>
        <w:t>aprašu</w:t>
      </w:r>
      <w:r>
        <w:rPr>
          <w:i/>
          <w:iCs/>
          <w:lang w:val="lt-LT" w:eastAsia="lt-LT"/>
        </w:rPr>
        <w:t xml:space="preserve"> </w:t>
      </w:r>
      <w:r>
        <w:rPr>
          <w:lang w:val="lt-LT" w:eastAsia="lt-LT"/>
        </w:rPr>
        <w:t>(toliau</w:t>
      </w:r>
      <w:r>
        <w:rPr>
          <w:i/>
          <w:iCs/>
          <w:lang w:val="lt-LT" w:eastAsia="lt-LT"/>
        </w:rPr>
        <w:t xml:space="preserve"> </w:t>
      </w:r>
      <w:r>
        <w:rPr>
          <w:lang w:val="lt-LT" w:eastAsia="lt-LT"/>
        </w:rPr>
        <w:t>–</w:t>
      </w:r>
      <w:r>
        <w:rPr>
          <w:i/>
          <w:iCs/>
          <w:lang w:val="lt-LT" w:eastAsia="lt-LT"/>
        </w:rPr>
        <w:t xml:space="preserve"> </w:t>
      </w:r>
      <w:r>
        <w:rPr>
          <w:lang w:val="lt-LT" w:eastAsia="lt-LT"/>
        </w:rPr>
        <w:t>Aprašas).</w:t>
      </w:r>
    </w:p>
    <w:p w14:paraId="604E5C36" w14:textId="77777777" w:rsidR="00093845" w:rsidRDefault="000D779E">
      <w:pPr>
        <w:ind w:firstLine="851"/>
        <w:jc w:val="both"/>
        <w:rPr>
          <w:lang w:val="lt-LT" w:eastAsia="lt-LT"/>
        </w:rPr>
      </w:pPr>
      <w:r>
        <w:rPr>
          <w:lang w:val="lt-LT" w:eastAsia="lt-LT"/>
        </w:rPr>
        <w:t>3.</w:t>
      </w:r>
      <w:r>
        <w:rPr>
          <w:i/>
          <w:iCs/>
          <w:lang w:val="lt-LT" w:eastAsia="lt-LT"/>
        </w:rPr>
        <w:t xml:space="preserve"> </w:t>
      </w:r>
      <w:r>
        <w:rPr>
          <w:lang w:val="lt-LT" w:eastAsia="lt-LT"/>
        </w:rPr>
        <w:t>Vadovaujantis</w:t>
      </w:r>
      <w:r>
        <w:rPr>
          <w:i/>
          <w:iCs/>
          <w:lang w:val="lt-LT" w:eastAsia="lt-LT"/>
        </w:rPr>
        <w:t xml:space="preserve"> </w:t>
      </w:r>
      <w:r>
        <w:rPr>
          <w:lang w:val="lt-LT" w:eastAsia="lt-LT"/>
        </w:rPr>
        <w:t>Aprašu,</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asmenimis</w:t>
      </w:r>
      <w:r>
        <w:rPr>
          <w:i/>
          <w:iCs/>
          <w:lang w:val="lt-LT" w:eastAsia="lt-LT"/>
        </w:rPr>
        <w:t xml:space="preserve"> </w:t>
      </w:r>
      <w:r>
        <w:rPr>
          <w:lang w:val="lt-LT" w:eastAsia="lt-LT"/>
        </w:rPr>
        <w:t>laikomi:</w:t>
      </w:r>
    </w:p>
    <w:p w14:paraId="39346C4B" w14:textId="77777777" w:rsidR="00093845" w:rsidRDefault="000D779E">
      <w:pPr>
        <w:ind w:firstLine="851"/>
        <w:jc w:val="both"/>
        <w:rPr>
          <w:lang w:val="lt-LT" w:eastAsia="lt-LT"/>
        </w:rPr>
      </w:pPr>
      <w:r>
        <w:rPr>
          <w:lang w:val="lt-LT" w:eastAsia="lt-LT"/>
        </w:rPr>
        <w:t>a)</w:t>
      </w:r>
      <w:r>
        <w:rPr>
          <w:i/>
          <w:iCs/>
          <w:lang w:val="lt-LT" w:eastAsia="lt-LT"/>
        </w:rPr>
        <w:t xml:space="preserve"> </w:t>
      </w:r>
      <w:r w:rsidR="00A00850">
        <w:rPr>
          <w:lang w:val="lt-LT" w:eastAsia="lt-LT"/>
        </w:rPr>
        <w:t>neįgalieji</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asmenys,</w:t>
      </w:r>
      <w:r>
        <w:rPr>
          <w:i/>
          <w:iCs/>
          <w:lang w:val="lt-LT" w:eastAsia="lt-LT"/>
        </w:rPr>
        <w:t xml:space="preserve"> </w:t>
      </w:r>
      <w:r>
        <w:rPr>
          <w:lang w:val="lt-LT" w:eastAsia="lt-LT"/>
        </w:rPr>
        <w:t>kuriems</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sidR="00A00850">
        <w:rPr>
          <w:lang w:val="lt-LT" w:eastAsia="lt-LT"/>
        </w:rPr>
        <w:t>neįgaliųjų</w:t>
      </w:r>
      <w:r>
        <w:rPr>
          <w:i/>
          <w:iCs/>
          <w:lang w:val="lt-LT" w:eastAsia="lt-LT"/>
        </w:rPr>
        <w:t xml:space="preserve"> </w:t>
      </w:r>
      <w:r>
        <w:rPr>
          <w:lang w:val="lt-LT" w:eastAsia="lt-LT"/>
        </w:rPr>
        <w:t>socialinės</w:t>
      </w:r>
      <w:r>
        <w:rPr>
          <w:i/>
          <w:iCs/>
          <w:lang w:val="lt-LT" w:eastAsia="lt-LT"/>
        </w:rPr>
        <w:t xml:space="preserve"> </w:t>
      </w:r>
      <w:r>
        <w:rPr>
          <w:lang w:val="lt-LT" w:eastAsia="lt-LT"/>
        </w:rPr>
        <w:t>integracijos</w:t>
      </w:r>
      <w:r>
        <w:rPr>
          <w:i/>
          <w:iCs/>
          <w:lang w:val="lt-LT" w:eastAsia="lt-LT"/>
        </w:rPr>
        <w:t xml:space="preserve"> </w:t>
      </w:r>
      <w:r>
        <w:rPr>
          <w:lang w:val="lt-LT" w:eastAsia="lt-LT"/>
        </w:rPr>
        <w:t>įstatymo</w:t>
      </w:r>
      <w:r>
        <w:rPr>
          <w:i/>
          <w:iCs/>
          <w:lang w:val="lt-LT" w:eastAsia="lt-LT"/>
        </w:rPr>
        <w:t xml:space="preserve"> </w:t>
      </w:r>
      <w:r>
        <w:rPr>
          <w:lang w:val="lt-LT" w:eastAsia="lt-LT"/>
        </w:rPr>
        <w:t>nustatyta</w:t>
      </w:r>
      <w:r>
        <w:rPr>
          <w:i/>
          <w:iCs/>
          <w:lang w:val="lt-LT" w:eastAsia="lt-LT"/>
        </w:rPr>
        <w:t xml:space="preserve"> </w:t>
      </w:r>
      <w:r>
        <w:rPr>
          <w:lang w:val="lt-LT" w:eastAsia="lt-LT"/>
        </w:rPr>
        <w:t>tvarka</w:t>
      </w:r>
      <w:r>
        <w:rPr>
          <w:i/>
          <w:iCs/>
          <w:lang w:val="lt-LT" w:eastAsia="lt-LT"/>
        </w:rPr>
        <w:t xml:space="preserve"> </w:t>
      </w:r>
      <w:r>
        <w:rPr>
          <w:lang w:val="lt-LT" w:eastAsia="lt-LT"/>
        </w:rPr>
        <w:t>nustatytas</w:t>
      </w:r>
      <w:r>
        <w:rPr>
          <w:i/>
          <w:iCs/>
          <w:lang w:val="lt-LT" w:eastAsia="lt-LT"/>
        </w:rPr>
        <w:t xml:space="preserve"> </w:t>
      </w:r>
      <w:r>
        <w:rPr>
          <w:lang w:val="lt-LT" w:eastAsia="lt-LT"/>
        </w:rPr>
        <w:t>mažesnis</w:t>
      </w:r>
      <w:r>
        <w:rPr>
          <w:i/>
          <w:iCs/>
          <w:lang w:val="lt-LT" w:eastAsia="lt-LT"/>
        </w:rPr>
        <w:t xml:space="preserve"> </w:t>
      </w:r>
      <w:r>
        <w:rPr>
          <w:lang w:val="lt-LT" w:eastAsia="lt-LT"/>
        </w:rPr>
        <w:t>kaip</w:t>
      </w:r>
      <w:r>
        <w:rPr>
          <w:i/>
          <w:iCs/>
          <w:lang w:val="lt-LT" w:eastAsia="lt-LT"/>
        </w:rPr>
        <w:t xml:space="preserve"> </w:t>
      </w:r>
      <w:r>
        <w:rPr>
          <w:lang w:val="lt-LT" w:eastAsia="lt-LT"/>
        </w:rPr>
        <w:t>55</w:t>
      </w:r>
      <w:r>
        <w:rPr>
          <w:i/>
          <w:iCs/>
          <w:lang w:val="lt-LT" w:eastAsia="lt-LT"/>
        </w:rPr>
        <w:t xml:space="preserve"> </w:t>
      </w:r>
      <w:r>
        <w:rPr>
          <w:lang w:val="lt-LT" w:eastAsia="lt-LT"/>
        </w:rPr>
        <w:t>procentų</w:t>
      </w:r>
      <w:r>
        <w:rPr>
          <w:i/>
          <w:iCs/>
          <w:lang w:val="lt-LT" w:eastAsia="lt-LT"/>
        </w:rPr>
        <w:t xml:space="preserve"> </w:t>
      </w:r>
      <w:r>
        <w:rPr>
          <w:lang w:val="lt-LT" w:eastAsia="lt-LT"/>
        </w:rPr>
        <w:t>darbingumo</w:t>
      </w:r>
      <w:r>
        <w:rPr>
          <w:i/>
          <w:iCs/>
          <w:lang w:val="lt-LT" w:eastAsia="lt-LT"/>
        </w:rPr>
        <w:t xml:space="preserve"> </w:t>
      </w:r>
      <w:r>
        <w:rPr>
          <w:lang w:val="lt-LT" w:eastAsia="lt-LT"/>
        </w:rPr>
        <w:t>lygis;</w:t>
      </w:r>
    </w:p>
    <w:p w14:paraId="2B2B4992" w14:textId="77777777" w:rsidR="00093845" w:rsidRDefault="000D779E">
      <w:pPr>
        <w:ind w:firstLine="851"/>
        <w:jc w:val="both"/>
        <w:rPr>
          <w:lang w:val="lt-LT" w:eastAsia="lt-LT"/>
        </w:rPr>
      </w:pPr>
      <w:r>
        <w:rPr>
          <w:lang w:val="lt-LT" w:eastAsia="lt-LT"/>
        </w:rPr>
        <w:t xml:space="preserve"> b)</w:t>
      </w:r>
      <w:r>
        <w:rPr>
          <w:i/>
          <w:iCs/>
          <w:lang w:val="lt-LT" w:eastAsia="lt-LT"/>
        </w:rPr>
        <w:t xml:space="preserve"> </w:t>
      </w:r>
      <w:r>
        <w:rPr>
          <w:lang w:val="lt-LT" w:eastAsia="lt-LT"/>
        </w:rPr>
        <w:t>senatvės</w:t>
      </w:r>
      <w:r>
        <w:rPr>
          <w:i/>
          <w:iCs/>
          <w:lang w:val="lt-LT" w:eastAsia="lt-LT"/>
        </w:rPr>
        <w:t xml:space="preserve"> </w:t>
      </w:r>
      <w:r>
        <w:rPr>
          <w:lang w:val="lt-LT" w:eastAsia="lt-LT"/>
        </w:rPr>
        <w:t>pensijos</w:t>
      </w:r>
      <w:r>
        <w:rPr>
          <w:i/>
          <w:iCs/>
          <w:lang w:val="lt-LT" w:eastAsia="lt-LT"/>
        </w:rPr>
        <w:t xml:space="preserve"> </w:t>
      </w:r>
      <w:r>
        <w:rPr>
          <w:lang w:val="lt-LT" w:eastAsia="lt-LT"/>
        </w:rPr>
        <w:t>amžių,</w:t>
      </w:r>
      <w:r>
        <w:rPr>
          <w:i/>
          <w:iCs/>
          <w:lang w:val="lt-LT" w:eastAsia="lt-LT"/>
        </w:rPr>
        <w:t xml:space="preserve"> </w:t>
      </w:r>
      <w:r>
        <w:rPr>
          <w:lang w:val="lt-LT" w:eastAsia="lt-LT"/>
        </w:rPr>
        <w:t>nustatytą</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Pr>
          <w:i/>
          <w:iCs/>
          <w:lang w:val="lt-LT" w:eastAsia="lt-LT"/>
        </w:rPr>
        <w:t xml:space="preserve"> </w:t>
      </w:r>
      <w:r>
        <w:rPr>
          <w:lang w:val="lt-LT" w:eastAsia="lt-LT"/>
        </w:rPr>
        <w:t>valstybinių</w:t>
      </w:r>
      <w:r>
        <w:rPr>
          <w:i/>
          <w:iCs/>
          <w:lang w:val="lt-LT" w:eastAsia="lt-LT"/>
        </w:rPr>
        <w:t xml:space="preserve"> </w:t>
      </w:r>
      <w:r>
        <w:rPr>
          <w:lang w:val="lt-LT" w:eastAsia="lt-LT"/>
        </w:rPr>
        <w:t>socialinio</w:t>
      </w:r>
      <w:r>
        <w:rPr>
          <w:i/>
          <w:iCs/>
          <w:lang w:val="lt-LT" w:eastAsia="lt-LT"/>
        </w:rPr>
        <w:t xml:space="preserve"> </w:t>
      </w:r>
      <w:r>
        <w:rPr>
          <w:lang w:val="lt-LT" w:eastAsia="lt-LT"/>
        </w:rPr>
        <w:t>draudimo</w:t>
      </w:r>
      <w:r>
        <w:rPr>
          <w:i/>
          <w:iCs/>
          <w:lang w:val="lt-LT" w:eastAsia="lt-LT"/>
        </w:rPr>
        <w:t xml:space="preserve"> </w:t>
      </w:r>
      <w:r>
        <w:rPr>
          <w:lang w:val="lt-LT" w:eastAsia="lt-LT"/>
        </w:rPr>
        <w:t>pensijų</w:t>
      </w:r>
      <w:r>
        <w:rPr>
          <w:i/>
          <w:iCs/>
          <w:lang w:val="lt-LT" w:eastAsia="lt-LT"/>
        </w:rPr>
        <w:t xml:space="preserve"> </w:t>
      </w:r>
      <w:r>
        <w:rPr>
          <w:lang w:val="lt-LT" w:eastAsia="lt-LT"/>
        </w:rPr>
        <w:t>įstatyme,</w:t>
      </w:r>
      <w:r>
        <w:rPr>
          <w:i/>
          <w:iCs/>
          <w:lang w:val="lt-LT" w:eastAsia="lt-LT"/>
        </w:rPr>
        <w:t xml:space="preserve"> </w:t>
      </w:r>
      <w:r>
        <w:rPr>
          <w:lang w:val="lt-LT" w:eastAsia="lt-LT"/>
        </w:rPr>
        <w:t>sukakę</w:t>
      </w:r>
      <w:r>
        <w:rPr>
          <w:i/>
          <w:iCs/>
          <w:lang w:val="lt-LT" w:eastAsia="lt-LT"/>
        </w:rPr>
        <w:t xml:space="preserve"> </w:t>
      </w:r>
      <w:r>
        <w:rPr>
          <w:lang w:val="lt-LT" w:eastAsia="lt-LT"/>
        </w:rPr>
        <w:t>asmenys;</w:t>
      </w:r>
    </w:p>
    <w:p w14:paraId="36B23517" w14:textId="77777777" w:rsidR="00093845" w:rsidRDefault="000D779E">
      <w:pPr>
        <w:ind w:firstLine="851"/>
        <w:jc w:val="both"/>
        <w:rPr>
          <w:lang w:val="lt-LT" w:eastAsia="lt-LT"/>
        </w:rPr>
      </w:pPr>
      <w:r>
        <w:rPr>
          <w:lang w:val="lt-LT" w:eastAsia="lt-LT"/>
        </w:rPr>
        <w:t xml:space="preserve"> c)</w:t>
      </w:r>
      <w:r>
        <w:rPr>
          <w:i/>
          <w:iCs/>
          <w:lang w:val="lt-LT" w:eastAsia="lt-LT"/>
        </w:rPr>
        <w:t xml:space="preserve"> </w:t>
      </w:r>
      <w:r>
        <w:rPr>
          <w:lang w:val="lt-LT" w:eastAsia="lt-LT"/>
        </w:rPr>
        <w:t>namudininkai:</w:t>
      </w:r>
      <w:r>
        <w:rPr>
          <w:i/>
          <w:iCs/>
          <w:lang w:val="lt-LT" w:eastAsia="lt-LT"/>
        </w:rPr>
        <w:t xml:space="preserve"> </w:t>
      </w:r>
      <w:r>
        <w:rPr>
          <w:lang w:val="lt-LT" w:eastAsia="lt-LT"/>
        </w:rPr>
        <w:t>vienas</w:t>
      </w:r>
      <w:r>
        <w:rPr>
          <w:i/>
          <w:iCs/>
          <w:lang w:val="lt-LT" w:eastAsia="lt-LT"/>
        </w:rPr>
        <w:t xml:space="preserve"> </w:t>
      </w:r>
      <w:r>
        <w:rPr>
          <w:lang w:val="lt-LT" w:eastAsia="lt-LT"/>
        </w:rPr>
        <w:t>iš</w:t>
      </w:r>
      <w:r>
        <w:rPr>
          <w:i/>
          <w:iCs/>
          <w:lang w:val="lt-LT" w:eastAsia="lt-LT"/>
        </w:rPr>
        <w:t xml:space="preserve"> </w:t>
      </w:r>
      <w:r>
        <w:rPr>
          <w:lang w:val="lt-LT" w:eastAsia="lt-LT"/>
        </w:rPr>
        <w:t>tėvų,</w:t>
      </w:r>
      <w:r>
        <w:rPr>
          <w:i/>
          <w:iCs/>
          <w:lang w:val="lt-LT" w:eastAsia="lt-LT"/>
        </w:rPr>
        <w:t xml:space="preserve"> </w:t>
      </w:r>
      <w:r>
        <w:rPr>
          <w:lang w:val="lt-LT" w:eastAsia="lt-LT"/>
        </w:rPr>
        <w:t>įtėvių</w:t>
      </w:r>
      <w:r>
        <w:rPr>
          <w:i/>
          <w:iCs/>
          <w:lang w:val="lt-LT" w:eastAsia="lt-LT"/>
        </w:rPr>
        <w:t xml:space="preserve"> </w:t>
      </w:r>
      <w:r>
        <w:rPr>
          <w:lang w:val="lt-LT" w:eastAsia="lt-LT"/>
        </w:rPr>
        <w:t>ar</w:t>
      </w:r>
      <w:r>
        <w:rPr>
          <w:i/>
          <w:iCs/>
          <w:lang w:val="lt-LT" w:eastAsia="lt-LT"/>
        </w:rPr>
        <w:t xml:space="preserve"> </w:t>
      </w:r>
      <w:r>
        <w:rPr>
          <w:lang w:val="lt-LT" w:eastAsia="lt-LT"/>
        </w:rPr>
        <w:t>globėjų,</w:t>
      </w:r>
      <w:r>
        <w:rPr>
          <w:i/>
          <w:iCs/>
          <w:lang w:val="lt-LT" w:eastAsia="lt-LT"/>
        </w:rPr>
        <w:t xml:space="preserve"> </w:t>
      </w:r>
      <w:r>
        <w:rPr>
          <w:lang w:val="lt-LT" w:eastAsia="lt-LT"/>
        </w:rPr>
        <w:t>auginantys</w:t>
      </w:r>
      <w:r>
        <w:rPr>
          <w:i/>
          <w:iCs/>
          <w:lang w:val="lt-LT" w:eastAsia="lt-LT"/>
        </w:rPr>
        <w:t xml:space="preserve"> </w:t>
      </w:r>
      <w:r>
        <w:rPr>
          <w:lang w:val="lt-LT" w:eastAsia="lt-LT"/>
        </w:rPr>
        <w:t>vieną</w:t>
      </w:r>
      <w:r>
        <w:rPr>
          <w:i/>
          <w:iCs/>
          <w:lang w:val="lt-LT" w:eastAsia="lt-LT"/>
        </w:rPr>
        <w:t xml:space="preserve"> </w:t>
      </w:r>
      <w:r>
        <w:rPr>
          <w:lang w:val="lt-LT" w:eastAsia="lt-LT"/>
        </w:rPr>
        <w:t>ar</w:t>
      </w:r>
      <w:r>
        <w:rPr>
          <w:i/>
          <w:iCs/>
          <w:lang w:val="lt-LT" w:eastAsia="lt-LT"/>
        </w:rPr>
        <w:t xml:space="preserve"> </w:t>
      </w:r>
      <w:r>
        <w:rPr>
          <w:lang w:val="lt-LT" w:eastAsia="lt-LT"/>
        </w:rPr>
        <w:t>daugiau</w:t>
      </w:r>
      <w:r>
        <w:rPr>
          <w:i/>
          <w:iCs/>
          <w:lang w:val="lt-LT" w:eastAsia="lt-LT"/>
        </w:rPr>
        <w:t xml:space="preserve"> </w:t>
      </w:r>
      <w:r>
        <w:rPr>
          <w:lang w:val="lt-LT" w:eastAsia="lt-LT"/>
        </w:rPr>
        <w:t>vaikų</w:t>
      </w:r>
      <w:r>
        <w:rPr>
          <w:i/>
          <w:iCs/>
          <w:lang w:val="lt-LT" w:eastAsia="lt-LT"/>
        </w:rPr>
        <w:t xml:space="preserve"> </w:t>
      </w:r>
      <w:r>
        <w:rPr>
          <w:lang w:val="lt-LT" w:eastAsia="lt-LT"/>
        </w:rPr>
        <w:t>iki</w:t>
      </w:r>
      <w:r>
        <w:rPr>
          <w:i/>
          <w:iCs/>
          <w:lang w:val="lt-LT" w:eastAsia="lt-LT"/>
        </w:rPr>
        <w:t xml:space="preserve"> </w:t>
      </w:r>
      <w:r>
        <w:rPr>
          <w:lang w:val="lt-LT" w:eastAsia="lt-LT"/>
        </w:rPr>
        <w:t>8</w:t>
      </w:r>
      <w:r>
        <w:rPr>
          <w:i/>
          <w:iCs/>
          <w:lang w:val="lt-LT" w:eastAsia="lt-LT"/>
        </w:rPr>
        <w:t xml:space="preserve"> </w:t>
      </w:r>
      <w:r>
        <w:rPr>
          <w:lang w:val="lt-LT" w:eastAsia="lt-LT"/>
        </w:rPr>
        <w:t>metų</w:t>
      </w:r>
      <w:r>
        <w:rPr>
          <w:i/>
          <w:iCs/>
          <w:lang w:val="lt-LT" w:eastAsia="lt-LT"/>
        </w:rPr>
        <w:t xml:space="preserve"> </w:t>
      </w:r>
      <w:r>
        <w:rPr>
          <w:lang w:val="lt-LT" w:eastAsia="lt-LT"/>
        </w:rPr>
        <w:t>amžiaus,</w:t>
      </w:r>
      <w:r>
        <w:rPr>
          <w:i/>
          <w:iCs/>
          <w:lang w:val="lt-LT" w:eastAsia="lt-LT"/>
        </w:rPr>
        <w:t xml:space="preserve"> </w:t>
      </w:r>
      <w:r>
        <w:rPr>
          <w:lang w:val="lt-LT" w:eastAsia="lt-LT"/>
        </w:rPr>
        <w:t>vaikus</w:t>
      </w:r>
      <w:r>
        <w:rPr>
          <w:i/>
          <w:iCs/>
          <w:lang w:val="lt-LT" w:eastAsia="lt-LT"/>
        </w:rPr>
        <w:t xml:space="preserve"> </w:t>
      </w:r>
      <w:r w:rsidR="00A00850">
        <w:rPr>
          <w:lang w:val="lt-LT" w:eastAsia="lt-LT"/>
        </w:rPr>
        <w:t>(neįgaliuosius</w:t>
      </w:r>
      <w:r>
        <w:rPr>
          <w:lang w:val="lt-LT" w:eastAsia="lt-LT"/>
        </w:rPr>
        <w:t>)</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asmenis</w:t>
      </w:r>
      <w:r>
        <w:rPr>
          <w:i/>
          <w:iCs/>
          <w:lang w:val="lt-LT" w:eastAsia="lt-LT"/>
        </w:rPr>
        <w:t xml:space="preserve"> </w:t>
      </w:r>
      <w:r>
        <w:rPr>
          <w:lang w:val="lt-LT" w:eastAsia="lt-LT"/>
        </w:rPr>
        <w:t>iki</w:t>
      </w:r>
      <w:r>
        <w:rPr>
          <w:i/>
          <w:iCs/>
          <w:lang w:val="lt-LT" w:eastAsia="lt-LT"/>
        </w:rPr>
        <w:t xml:space="preserve"> </w:t>
      </w:r>
      <w:r>
        <w:rPr>
          <w:lang w:val="lt-LT" w:eastAsia="lt-LT"/>
        </w:rPr>
        <w:t>18</w:t>
      </w:r>
      <w:r>
        <w:rPr>
          <w:i/>
          <w:iCs/>
          <w:lang w:val="lt-LT" w:eastAsia="lt-LT"/>
        </w:rPr>
        <w:t xml:space="preserve"> </w:t>
      </w:r>
      <w:r>
        <w:rPr>
          <w:lang w:val="lt-LT" w:eastAsia="lt-LT"/>
        </w:rPr>
        <w:t>metų,</w:t>
      </w:r>
      <w:r>
        <w:rPr>
          <w:i/>
          <w:iCs/>
          <w:lang w:val="lt-LT" w:eastAsia="lt-LT"/>
        </w:rPr>
        <w:t xml:space="preserve"> </w:t>
      </w:r>
      <w:r>
        <w:rPr>
          <w:lang w:val="lt-LT" w:eastAsia="lt-LT"/>
        </w:rPr>
        <w:t>kuriems</w:t>
      </w:r>
      <w:r>
        <w:rPr>
          <w:i/>
          <w:iCs/>
          <w:lang w:val="lt-LT" w:eastAsia="lt-LT"/>
        </w:rPr>
        <w:t xml:space="preserve"> </w:t>
      </w:r>
      <w:r>
        <w:rPr>
          <w:lang w:val="lt-LT" w:eastAsia="lt-LT"/>
        </w:rPr>
        <w:t>Lietuvos</w:t>
      </w:r>
      <w:r>
        <w:rPr>
          <w:i/>
          <w:iCs/>
          <w:lang w:val="lt-LT" w:eastAsia="lt-LT"/>
        </w:rPr>
        <w:t xml:space="preserve"> </w:t>
      </w:r>
      <w:r>
        <w:rPr>
          <w:lang w:val="lt-LT" w:eastAsia="lt-LT"/>
        </w:rPr>
        <w:t>Respublikos</w:t>
      </w:r>
      <w:r w:rsidR="00A00850">
        <w:rPr>
          <w:i/>
          <w:iCs/>
          <w:lang w:val="lt-LT" w:eastAsia="lt-LT"/>
        </w:rPr>
        <w:t xml:space="preserve"> </w:t>
      </w:r>
      <w:r w:rsidR="00A00850" w:rsidRPr="00A00850">
        <w:rPr>
          <w:iCs/>
          <w:lang w:val="lt-LT" w:eastAsia="lt-LT"/>
        </w:rPr>
        <w:lastRenderedPageBreak/>
        <w:t>neįgaliųjų</w:t>
      </w:r>
      <w:r>
        <w:rPr>
          <w:i/>
          <w:iCs/>
          <w:lang w:val="lt-LT" w:eastAsia="lt-LT"/>
        </w:rPr>
        <w:t xml:space="preserve"> </w:t>
      </w:r>
      <w:r>
        <w:rPr>
          <w:lang w:val="lt-LT" w:eastAsia="lt-LT"/>
        </w:rPr>
        <w:t>socialinės</w:t>
      </w:r>
      <w:r>
        <w:rPr>
          <w:i/>
          <w:iCs/>
          <w:lang w:val="lt-LT" w:eastAsia="lt-LT"/>
        </w:rPr>
        <w:t xml:space="preserve"> </w:t>
      </w:r>
      <w:r>
        <w:rPr>
          <w:lang w:val="lt-LT" w:eastAsia="lt-LT"/>
        </w:rPr>
        <w:t>integracijos</w:t>
      </w:r>
      <w:r>
        <w:rPr>
          <w:i/>
          <w:iCs/>
          <w:lang w:val="lt-LT" w:eastAsia="lt-LT"/>
        </w:rPr>
        <w:t xml:space="preserve"> </w:t>
      </w:r>
      <w:r>
        <w:rPr>
          <w:lang w:val="lt-LT" w:eastAsia="lt-LT"/>
        </w:rPr>
        <w:t>įstatymo</w:t>
      </w:r>
      <w:r>
        <w:rPr>
          <w:i/>
          <w:iCs/>
          <w:lang w:val="lt-LT" w:eastAsia="lt-LT"/>
        </w:rPr>
        <w:t xml:space="preserve"> </w:t>
      </w:r>
      <w:r>
        <w:rPr>
          <w:lang w:val="lt-LT" w:eastAsia="lt-LT"/>
        </w:rPr>
        <w:t>nustatyta</w:t>
      </w:r>
      <w:r>
        <w:rPr>
          <w:i/>
          <w:iCs/>
          <w:lang w:val="lt-LT" w:eastAsia="lt-LT"/>
        </w:rPr>
        <w:t xml:space="preserve"> </w:t>
      </w:r>
      <w:r>
        <w:rPr>
          <w:lang w:val="lt-LT" w:eastAsia="lt-LT"/>
        </w:rPr>
        <w:t>tvarka</w:t>
      </w:r>
      <w:r>
        <w:rPr>
          <w:i/>
          <w:iCs/>
          <w:lang w:val="lt-LT" w:eastAsia="lt-LT"/>
        </w:rPr>
        <w:t xml:space="preserve"> </w:t>
      </w:r>
      <w:r>
        <w:rPr>
          <w:lang w:val="lt-LT" w:eastAsia="lt-LT"/>
        </w:rPr>
        <w:t>nustatytas</w:t>
      </w:r>
      <w:r>
        <w:rPr>
          <w:i/>
          <w:iCs/>
          <w:lang w:val="lt-LT" w:eastAsia="lt-LT"/>
        </w:rPr>
        <w:t xml:space="preserve"> </w:t>
      </w:r>
      <w:r>
        <w:rPr>
          <w:lang w:val="lt-LT" w:eastAsia="lt-LT"/>
        </w:rPr>
        <w:t>neįgalumo</w:t>
      </w:r>
      <w:r>
        <w:rPr>
          <w:i/>
          <w:iCs/>
          <w:lang w:val="lt-LT" w:eastAsia="lt-LT"/>
        </w:rPr>
        <w:t xml:space="preserve"> </w:t>
      </w:r>
      <w:r>
        <w:rPr>
          <w:lang w:val="lt-LT" w:eastAsia="lt-LT"/>
        </w:rPr>
        <w:t>lygis,</w:t>
      </w:r>
      <w:r>
        <w:rPr>
          <w:i/>
          <w:iCs/>
          <w:lang w:val="lt-LT" w:eastAsia="lt-LT"/>
        </w:rPr>
        <w:t xml:space="preserve"> </w:t>
      </w:r>
      <w:r>
        <w:rPr>
          <w:lang w:val="lt-LT" w:eastAsia="lt-LT"/>
        </w:rPr>
        <w:t>taip</w:t>
      </w:r>
      <w:r>
        <w:rPr>
          <w:i/>
          <w:iCs/>
          <w:lang w:val="lt-LT" w:eastAsia="lt-LT"/>
        </w:rPr>
        <w:t xml:space="preserve"> </w:t>
      </w:r>
      <w:r>
        <w:rPr>
          <w:lang w:val="lt-LT" w:eastAsia="lt-LT"/>
        </w:rPr>
        <w:t>pat</w:t>
      </w:r>
      <w:r>
        <w:rPr>
          <w:i/>
          <w:iCs/>
          <w:lang w:val="lt-LT" w:eastAsia="lt-LT"/>
        </w:rPr>
        <w:t xml:space="preserve"> </w:t>
      </w:r>
      <w:r>
        <w:rPr>
          <w:lang w:val="lt-LT" w:eastAsia="lt-LT"/>
        </w:rPr>
        <w:t>daugiavaikės</w:t>
      </w:r>
      <w:r>
        <w:rPr>
          <w:i/>
          <w:iCs/>
          <w:lang w:val="lt-LT" w:eastAsia="lt-LT"/>
        </w:rPr>
        <w:t xml:space="preserve"> </w:t>
      </w:r>
      <w:r>
        <w:rPr>
          <w:lang w:val="lt-LT" w:eastAsia="lt-LT"/>
        </w:rPr>
        <w:t>motinos,</w:t>
      </w:r>
      <w:r>
        <w:rPr>
          <w:i/>
          <w:iCs/>
          <w:lang w:val="lt-LT" w:eastAsia="lt-LT"/>
        </w:rPr>
        <w:t xml:space="preserve"> </w:t>
      </w:r>
      <w:r>
        <w:rPr>
          <w:lang w:val="lt-LT" w:eastAsia="lt-LT"/>
        </w:rPr>
        <w:t>turinčios</w:t>
      </w:r>
      <w:r>
        <w:rPr>
          <w:i/>
          <w:iCs/>
          <w:lang w:val="lt-LT" w:eastAsia="lt-LT"/>
        </w:rPr>
        <w:t xml:space="preserve"> </w:t>
      </w:r>
      <w:r>
        <w:rPr>
          <w:lang w:val="lt-LT" w:eastAsia="lt-LT"/>
        </w:rPr>
        <w:t>4</w:t>
      </w:r>
      <w:r>
        <w:rPr>
          <w:i/>
          <w:iCs/>
          <w:lang w:val="lt-LT" w:eastAsia="lt-LT"/>
        </w:rPr>
        <w:t xml:space="preserve"> </w:t>
      </w:r>
      <w:r>
        <w:rPr>
          <w:lang w:val="lt-LT" w:eastAsia="lt-LT"/>
        </w:rPr>
        <w:t>ir</w:t>
      </w:r>
      <w:r>
        <w:rPr>
          <w:i/>
          <w:iCs/>
          <w:lang w:val="lt-LT" w:eastAsia="lt-LT"/>
        </w:rPr>
        <w:t xml:space="preserve"> </w:t>
      </w:r>
      <w:r>
        <w:rPr>
          <w:lang w:val="lt-LT" w:eastAsia="lt-LT"/>
        </w:rPr>
        <w:t>daugiau</w:t>
      </w:r>
      <w:r>
        <w:rPr>
          <w:i/>
          <w:iCs/>
          <w:lang w:val="lt-LT" w:eastAsia="lt-LT"/>
        </w:rPr>
        <w:t xml:space="preserve"> </w:t>
      </w:r>
      <w:r>
        <w:rPr>
          <w:lang w:val="lt-LT" w:eastAsia="lt-LT"/>
        </w:rPr>
        <w:t>nepilnamečių</w:t>
      </w:r>
      <w:r>
        <w:rPr>
          <w:i/>
          <w:iCs/>
          <w:lang w:val="lt-LT" w:eastAsia="lt-LT"/>
        </w:rPr>
        <w:t xml:space="preserve"> </w:t>
      </w:r>
      <w:r>
        <w:rPr>
          <w:lang w:val="lt-LT" w:eastAsia="lt-LT"/>
        </w:rPr>
        <w:t>vaikų;</w:t>
      </w:r>
    </w:p>
    <w:p w14:paraId="6DAB7F08" w14:textId="77777777" w:rsidR="00093845" w:rsidRDefault="000D779E">
      <w:pPr>
        <w:ind w:firstLine="851"/>
        <w:jc w:val="both"/>
        <w:rPr>
          <w:lang w:val="lt-LT" w:eastAsia="lt-LT"/>
        </w:rPr>
      </w:pPr>
      <w:r>
        <w:rPr>
          <w:lang w:val="lt-LT" w:eastAsia="lt-LT"/>
        </w:rPr>
        <w:t>d)</w:t>
      </w:r>
      <w:r>
        <w:rPr>
          <w:i/>
          <w:iCs/>
          <w:lang w:val="lt-LT" w:eastAsia="lt-LT"/>
        </w:rPr>
        <w:t xml:space="preserve"> </w:t>
      </w:r>
      <w:r>
        <w:rPr>
          <w:lang w:val="lt-LT" w:eastAsia="lt-LT"/>
        </w:rPr>
        <w:t>valstybės</w:t>
      </w:r>
      <w:r>
        <w:rPr>
          <w:i/>
          <w:iCs/>
          <w:lang w:val="lt-LT" w:eastAsia="lt-LT"/>
        </w:rPr>
        <w:t xml:space="preserve"> </w:t>
      </w:r>
      <w:r>
        <w:rPr>
          <w:lang w:val="lt-LT" w:eastAsia="lt-LT"/>
        </w:rPr>
        <w:t>įmonėse</w:t>
      </w:r>
      <w:r>
        <w:rPr>
          <w:i/>
          <w:iCs/>
          <w:lang w:val="lt-LT" w:eastAsia="lt-LT"/>
        </w:rPr>
        <w:t xml:space="preserve"> </w:t>
      </w:r>
      <w:r>
        <w:rPr>
          <w:lang w:val="lt-LT" w:eastAsia="lt-LT"/>
        </w:rPr>
        <w:t>prie</w:t>
      </w:r>
      <w:r>
        <w:rPr>
          <w:i/>
          <w:iCs/>
          <w:lang w:val="lt-LT" w:eastAsia="lt-LT"/>
        </w:rPr>
        <w:t xml:space="preserve"> </w:t>
      </w:r>
      <w:r>
        <w:rPr>
          <w:lang w:val="lt-LT" w:eastAsia="lt-LT"/>
        </w:rPr>
        <w:t>pataisos</w:t>
      </w:r>
      <w:r>
        <w:rPr>
          <w:i/>
          <w:iCs/>
          <w:lang w:val="lt-LT" w:eastAsia="lt-LT"/>
        </w:rPr>
        <w:t xml:space="preserve"> </w:t>
      </w:r>
      <w:r>
        <w:rPr>
          <w:lang w:val="lt-LT" w:eastAsia="lt-LT"/>
        </w:rPr>
        <w:t>namų</w:t>
      </w:r>
      <w:r>
        <w:rPr>
          <w:i/>
          <w:iCs/>
          <w:lang w:val="lt-LT" w:eastAsia="lt-LT"/>
        </w:rPr>
        <w:t xml:space="preserve"> </w:t>
      </w:r>
      <w:r>
        <w:rPr>
          <w:lang w:val="lt-LT" w:eastAsia="lt-LT"/>
        </w:rPr>
        <w:t>dirbantys</w:t>
      </w:r>
      <w:r>
        <w:rPr>
          <w:i/>
          <w:iCs/>
          <w:lang w:val="lt-LT" w:eastAsia="lt-LT"/>
        </w:rPr>
        <w:t xml:space="preserve"> </w:t>
      </w:r>
      <w:r>
        <w:rPr>
          <w:lang w:val="lt-LT" w:eastAsia="lt-LT"/>
        </w:rPr>
        <w:t>nuteistieji;</w:t>
      </w:r>
      <w:r>
        <w:rPr>
          <w:i/>
          <w:iCs/>
          <w:lang w:val="lt-LT" w:eastAsia="lt-LT"/>
        </w:rPr>
        <w:t xml:space="preserve"> </w:t>
      </w:r>
    </w:p>
    <w:p w14:paraId="67354147" w14:textId="77777777" w:rsidR="00093845" w:rsidRDefault="000D779E">
      <w:pPr>
        <w:ind w:firstLine="851"/>
        <w:jc w:val="both"/>
        <w:rPr>
          <w:lang w:val="lt-LT" w:eastAsia="lt-LT"/>
        </w:rPr>
      </w:pPr>
      <w:r>
        <w:rPr>
          <w:lang w:val="lt-LT" w:eastAsia="lt-LT"/>
        </w:rPr>
        <w:t>e)</w:t>
      </w:r>
      <w:r>
        <w:rPr>
          <w:i/>
          <w:iCs/>
          <w:lang w:val="lt-LT" w:eastAsia="lt-LT"/>
        </w:rPr>
        <w:t xml:space="preserve"> </w:t>
      </w:r>
      <w:r>
        <w:rPr>
          <w:lang w:val="lt-LT" w:eastAsia="lt-LT"/>
        </w:rPr>
        <w:t>mokiniai,</w:t>
      </w:r>
      <w:r>
        <w:rPr>
          <w:i/>
          <w:iCs/>
          <w:lang w:val="lt-LT" w:eastAsia="lt-LT"/>
        </w:rPr>
        <w:t xml:space="preserve"> </w:t>
      </w:r>
      <w:r>
        <w:rPr>
          <w:lang w:val="lt-LT" w:eastAsia="lt-LT"/>
        </w:rPr>
        <w:t>atliekantys</w:t>
      </w:r>
      <w:r>
        <w:rPr>
          <w:i/>
          <w:iCs/>
          <w:lang w:val="lt-LT" w:eastAsia="lt-LT"/>
        </w:rPr>
        <w:t xml:space="preserve"> </w:t>
      </w:r>
      <w:r>
        <w:rPr>
          <w:lang w:val="lt-LT" w:eastAsia="lt-LT"/>
        </w:rPr>
        <w:t>gamybinę</w:t>
      </w:r>
      <w:r>
        <w:rPr>
          <w:i/>
          <w:iCs/>
          <w:lang w:val="lt-LT" w:eastAsia="lt-LT"/>
        </w:rPr>
        <w:t xml:space="preserve"> </w:t>
      </w:r>
      <w:r>
        <w:rPr>
          <w:lang w:val="lt-LT" w:eastAsia="lt-LT"/>
        </w:rPr>
        <w:t>praktiką;</w:t>
      </w:r>
    </w:p>
    <w:p w14:paraId="011625E0" w14:textId="77777777" w:rsidR="00093845" w:rsidRDefault="000D779E">
      <w:pPr>
        <w:ind w:firstLine="851"/>
        <w:jc w:val="both"/>
        <w:rPr>
          <w:lang w:val="lt-LT" w:eastAsia="lt-LT"/>
        </w:rPr>
      </w:pPr>
      <w:r>
        <w:rPr>
          <w:lang w:val="lt-LT" w:eastAsia="lt-LT"/>
        </w:rPr>
        <w:t>f)</w:t>
      </w:r>
      <w:r>
        <w:rPr>
          <w:i/>
          <w:iCs/>
          <w:lang w:val="lt-LT" w:eastAsia="lt-LT"/>
        </w:rPr>
        <w:t xml:space="preserve"> </w:t>
      </w:r>
      <w:r>
        <w:rPr>
          <w:lang w:val="lt-LT" w:eastAsia="lt-LT"/>
        </w:rPr>
        <w:t>psichiatrijos</w:t>
      </w:r>
      <w:r>
        <w:rPr>
          <w:i/>
          <w:iCs/>
          <w:lang w:val="lt-LT" w:eastAsia="lt-LT"/>
        </w:rPr>
        <w:t xml:space="preserve"> </w:t>
      </w:r>
      <w:r>
        <w:rPr>
          <w:lang w:val="lt-LT" w:eastAsia="lt-LT"/>
        </w:rPr>
        <w:t>sveikatos</w:t>
      </w:r>
      <w:r>
        <w:rPr>
          <w:i/>
          <w:iCs/>
          <w:lang w:val="lt-LT" w:eastAsia="lt-LT"/>
        </w:rPr>
        <w:t xml:space="preserve"> </w:t>
      </w:r>
      <w:r>
        <w:rPr>
          <w:lang w:val="lt-LT" w:eastAsia="lt-LT"/>
        </w:rPr>
        <w:t>priežiūros</w:t>
      </w:r>
      <w:r>
        <w:rPr>
          <w:i/>
          <w:iCs/>
          <w:lang w:val="lt-LT" w:eastAsia="lt-LT"/>
        </w:rPr>
        <w:t xml:space="preserve"> </w:t>
      </w:r>
      <w:r>
        <w:rPr>
          <w:lang w:val="lt-LT" w:eastAsia="lt-LT"/>
        </w:rPr>
        <w:t>įstaigose</w:t>
      </w:r>
      <w:r>
        <w:rPr>
          <w:i/>
          <w:iCs/>
          <w:lang w:val="lt-LT" w:eastAsia="lt-LT"/>
        </w:rPr>
        <w:t xml:space="preserve"> </w:t>
      </w:r>
      <w:r>
        <w:rPr>
          <w:lang w:val="lt-LT" w:eastAsia="lt-LT"/>
        </w:rPr>
        <w:t>gydomi</w:t>
      </w:r>
      <w:r>
        <w:rPr>
          <w:i/>
          <w:iCs/>
          <w:lang w:val="lt-LT" w:eastAsia="lt-LT"/>
        </w:rPr>
        <w:t xml:space="preserve"> </w:t>
      </w:r>
      <w:r>
        <w:rPr>
          <w:lang w:val="lt-LT" w:eastAsia="lt-LT"/>
        </w:rPr>
        <w:t>ir</w:t>
      </w:r>
      <w:r>
        <w:rPr>
          <w:i/>
          <w:iCs/>
          <w:lang w:val="lt-LT" w:eastAsia="lt-LT"/>
        </w:rPr>
        <w:t xml:space="preserve"> </w:t>
      </w:r>
      <w:r>
        <w:rPr>
          <w:lang w:val="lt-LT" w:eastAsia="lt-LT"/>
        </w:rPr>
        <w:t>gamybinės</w:t>
      </w:r>
      <w:r>
        <w:rPr>
          <w:i/>
          <w:iCs/>
          <w:lang w:val="lt-LT" w:eastAsia="lt-LT"/>
        </w:rPr>
        <w:t xml:space="preserve"> </w:t>
      </w:r>
      <w:r>
        <w:rPr>
          <w:lang w:val="lt-LT" w:eastAsia="lt-LT"/>
        </w:rPr>
        <w:t>reabilitacijos</w:t>
      </w:r>
      <w:r>
        <w:rPr>
          <w:i/>
          <w:iCs/>
          <w:lang w:val="lt-LT" w:eastAsia="lt-LT"/>
        </w:rPr>
        <w:t xml:space="preserve"> </w:t>
      </w:r>
      <w:r>
        <w:rPr>
          <w:lang w:val="lt-LT" w:eastAsia="lt-LT"/>
        </w:rPr>
        <w:t>įstaigose</w:t>
      </w:r>
      <w:r>
        <w:rPr>
          <w:i/>
          <w:iCs/>
          <w:lang w:val="lt-LT" w:eastAsia="lt-LT"/>
        </w:rPr>
        <w:t xml:space="preserve"> </w:t>
      </w:r>
      <w:r>
        <w:rPr>
          <w:lang w:val="lt-LT" w:eastAsia="lt-LT"/>
        </w:rPr>
        <w:t>ar</w:t>
      </w:r>
      <w:r>
        <w:rPr>
          <w:i/>
          <w:iCs/>
          <w:lang w:val="lt-LT" w:eastAsia="lt-LT"/>
        </w:rPr>
        <w:t xml:space="preserve"> </w:t>
      </w:r>
      <w:r>
        <w:rPr>
          <w:lang w:val="lt-LT" w:eastAsia="lt-LT"/>
        </w:rPr>
        <w:t>įmonėse</w:t>
      </w:r>
      <w:r>
        <w:rPr>
          <w:i/>
          <w:iCs/>
          <w:lang w:val="lt-LT" w:eastAsia="lt-LT"/>
        </w:rPr>
        <w:t xml:space="preserve"> </w:t>
      </w:r>
      <w:r>
        <w:rPr>
          <w:lang w:val="lt-LT" w:eastAsia="lt-LT"/>
        </w:rPr>
        <w:t>terapinio</w:t>
      </w:r>
      <w:r>
        <w:rPr>
          <w:i/>
          <w:iCs/>
          <w:lang w:val="lt-LT" w:eastAsia="lt-LT"/>
        </w:rPr>
        <w:t xml:space="preserve"> </w:t>
      </w:r>
      <w:r>
        <w:rPr>
          <w:lang w:val="lt-LT" w:eastAsia="lt-LT"/>
        </w:rPr>
        <w:t>ir</w:t>
      </w:r>
      <w:r>
        <w:rPr>
          <w:i/>
          <w:iCs/>
          <w:lang w:val="lt-LT" w:eastAsia="lt-LT"/>
        </w:rPr>
        <w:t xml:space="preserve"> </w:t>
      </w:r>
      <w:r>
        <w:rPr>
          <w:lang w:val="lt-LT" w:eastAsia="lt-LT"/>
        </w:rPr>
        <w:t>reabilitacinio</w:t>
      </w:r>
      <w:r>
        <w:rPr>
          <w:i/>
          <w:iCs/>
          <w:lang w:val="lt-LT" w:eastAsia="lt-LT"/>
        </w:rPr>
        <w:t xml:space="preserve"> </w:t>
      </w:r>
      <w:r>
        <w:rPr>
          <w:lang w:val="lt-LT" w:eastAsia="lt-LT"/>
        </w:rPr>
        <w:t>pobūdžio</w:t>
      </w:r>
      <w:r>
        <w:rPr>
          <w:i/>
          <w:iCs/>
          <w:lang w:val="lt-LT" w:eastAsia="lt-LT"/>
        </w:rPr>
        <w:t xml:space="preserve"> </w:t>
      </w:r>
      <w:r>
        <w:rPr>
          <w:lang w:val="lt-LT" w:eastAsia="lt-LT"/>
        </w:rPr>
        <w:t>veikla</w:t>
      </w:r>
      <w:r>
        <w:rPr>
          <w:i/>
          <w:iCs/>
          <w:lang w:val="lt-LT" w:eastAsia="lt-LT"/>
        </w:rPr>
        <w:t xml:space="preserve"> </w:t>
      </w:r>
      <w:r>
        <w:rPr>
          <w:lang w:val="lt-LT" w:eastAsia="lt-LT"/>
        </w:rPr>
        <w:t>užsiimantys</w:t>
      </w:r>
      <w:r>
        <w:rPr>
          <w:i/>
          <w:iCs/>
          <w:lang w:val="lt-LT" w:eastAsia="lt-LT"/>
        </w:rPr>
        <w:t xml:space="preserve"> </w:t>
      </w:r>
      <w:r>
        <w:rPr>
          <w:lang w:val="lt-LT" w:eastAsia="lt-LT"/>
        </w:rPr>
        <w:t>ligoniai.</w:t>
      </w:r>
    </w:p>
    <w:p w14:paraId="49B7B720" w14:textId="77777777" w:rsidR="00054EFE" w:rsidRPr="00A53581" w:rsidRDefault="00054EFE" w:rsidP="00054EFE">
      <w:r w:rsidRPr="00A53581">
        <w:rPr>
          <w:i/>
          <w:color w:val="000000" w:themeColor="text1"/>
        </w:rPr>
        <w:t>(Pakeistas pagal</w:t>
      </w:r>
      <w:r w:rsidRPr="009F1C95">
        <w:rPr>
          <w:i/>
          <w:color w:val="000000" w:themeColor="text1"/>
        </w:rPr>
        <w:t xml:space="preserve"> VMI prie FM 2022-04-07 </w:t>
      </w:r>
      <w:r w:rsidRPr="00054EFE">
        <w:rPr>
          <w:rStyle w:val="Hipersaitas"/>
          <w:b w:val="0"/>
          <w:i/>
          <w:color w:val="000000" w:themeColor="text1"/>
        </w:rPr>
        <w:t>raštą</w:t>
      </w:r>
      <w:r w:rsidRPr="009F1C95">
        <w:rPr>
          <w:i/>
          <w:color w:val="000000" w:themeColor="text1"/>
        </w:rPr>
        <w:t xml:space="preserve"> Nr. (18.10-31-1)-RM-12183)</w:t>
      </w:r>
    </w:p>
    <w:p w14:paraId="27F91BAC" w14:textId="77777777" w:rsidR="00093845" w:rsidRDefault="000D779E">
      <w:pPr>
        <w:ind w:firstLine="851"/>
        <w:jc w:val="both"/>
        <w:rPr>
          <w:lang w:val="lt-LT" w:eastAsia="lt-LT"/>
        </w:rPr>
      </w:pPr>
      <w:r>
        <w:rPr>
          <w:lang w:val="lt-LT" w:eastAsia="lt-LT"/>
        </w:rPr>
        <w:t>4.</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dalis</w:t>
      </w:r>
      <w:r>
        <w:rPr>
          <w:i/>
          <w:iCs/>
          <w:lang w:val="lt-LT" w:eastAsia="lt-LT"/>
        </w:rPr>
        <w:t xml:space="preserve"> </w:t>
      </w:r>
      <w:r>
        <w:rPr>
          <w:lang w:val="lt-LT" w:eastAsia="lt-LT"/>
        </w:rPr>
        <w:t>tarp</w:t>
      </w:r>
      <w:r>
        <w:rPr>
          <w:i/>
          <w:iCs/>
          <w:lang w:val="lt-LT" w:eastAsia="lt-LT"/>
        </w:rPr>
        <w:t xml:space="preserve"> </w:t>
      </w:r>
      <w:r>
        <w:rPr>
          <w:lang w:val="lt-LT" w:eastAsia="lt-LT"/>
        </w:rPr>
        <w:t>visų</w:t>
      </w:r>
      <w:r>
        <w:rPr>
          <w:i/>
          <w:iCs/>
          <w:lang w:val="lt-LT" w:eastAsia="lt-LT"/>
        </w:rPr>
        <w:t xml:space="preserve"> </w:t>
      </w:r>
      <w:r>
        <w:rPr>
          <w:lang w:val="lt-LT" w:eastAsia="lt-LT"/>
        </w:rPr>
        <w:t>dirbančių</w:t>
      </w:r>
      <w:r>
        <w:rPr>
          <w:i/>
          <w:iCs/>
          <w:lang w:val="lt-LT" w:eastAsia="lt-LT"/>
        </w:rPr>
        <w:t xml:space="preserve"> </w:t>
      </w:r>
      <w:r>
        <w:rPr>
          <w:lang w:val="lt-LT" w:eastAsia="lt-LT"/>
        </w:rPr>
        <w:t>asmenų</w:t>
      </w:r>
      <w:r>
        <w:rPr>
          <w:i/>
          <w:iCs/>
          <w:lang w:val="lt-LT" w:eastAsia="lt-LT"/>
        </w:rPr>
        <w:t xml:space="preserve"> </w:t>
      </w:r>
      <w:r>
        <w:rPr>
          <w:lang w:val="lt-LT" w:eastAsia="lt-LT"/>
        </w:rPr>
        <w:t>nustatoma</w:t>
      </w:r>
      <w:r>
        <w:rPr>
          <w:i/>
          <w:iCs/>
          <w:lang w:val="lt-LT" w:eastAsia="lt-LT"/>
        </w:rPr>
        <w:t xml:space="preserve"> </w:t>
      </w:r>
      <w:r>
        <w:rPr>
          <w:lang w:val="lt-LT" w:eastAsia="lt-LT"/>
        </w:rPr>
        <w:t>dalijant</w:t>
      </w:r>
      <w:r>
        <w:rPr>
          <w:i/>
          <w:iCs/>
          <w:lang w:val="lt-LT" w:eastAsia="lt-LT"/>
        </w:rPr>
        <w:t xml:space="preserve"> </w:t>
      </w:r>
      <w:r>
        <w:rPr>
          <w:lang w:val="lt-LT" w:eastAsia="lt-LT"/>
        </w:rPr>
        <w:t>mokestinio</w:t>
      </w:r>
      <w:r>
        <w:rPr>
          <w:i/>
          <w:iCs/>
          <w:lang w:val="lt-LT" w:eastAsia="lt-LT"/>
        </w:rPr>
        <w:t xml:space="preserve"> </w:t>
      </w:r>
      <w:r>
        <w:rPr>
          <w:lang w:val="lt-LT" w:eastAsia="lt-LT"/>
        </w:rPr>
        <w:t>laikotarpio</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skaičių</w:t>
      </w:r>
      <w:r>
        <w:rPr>
          <w:i/>
          <w:iCs/>
          <w:lang w:val="lt-LT" w:eastAsia="lt-LT"/>
        </w:rPr>
        <w:t xml:space="preserve"> </w:t>
      </w:r>
      <w:r>
        <w:rPr>
          <w:lang w:val="lt-LT" w:eastAsia="lt-LT"/>
        </w:rPr>
        <w:t>iš</w:t>
      </w:r>
      <w:r>
        <w:rPr>
          <w:i/>
          <w:iCs/>
          <w:lang w:val="lt-LT" w:eastAsia="lt-LT"/>
        </w:rPr>
        <w:t xml:space="preserve"> </w:t>
      </w:r>
      <w:r>
        <w:rPr>
          <w:lang w:val="lt-LT" w:eastAsia="lt-LT"/>
        </w:rPr>
        <w:t>vidutinio</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visų</w:t>
      </w:r>
      <w:r>
        <w:rPr>
          <w:i/>
          <w:iCs/>
          <w:lang w:val="lt-LT" w:eastAsia="lt-LT"/>
        </w:rPr>
        <w:t xml:space="preserve"> </w:t>
      </w:r>
      <w:r>
        <w:rPr>
          <w:lang w:val="lt-LT" w:eastAsia="lt-LT"/>
        </w:rPr>
        <w:t>darbuotojų</w:t>
      </w:r>
      <w:r>
        <w:rPr>
          <w:i/>
          <w:iCs/>
          <w:lang w:val="lt-LT" w:eastAsia="lt-LT"/>
        </w:rPr>
        <w:t xml:space="preserve"> </w:t>
      </w:r>
      <w:r>
        <w:rPr>
          <w:lang w:val="lt-LT" w:eastAsia="lt-LT"/>
        </w:rPr>
        <w:t>skaičiaus.</w:t>
      </w:r>
      <w:r>
        <w:rPr>
          <w:i/>
          <w:iCs/>
          <w:lang w:val="lt-LT" w:eastAsia="lt-LT"/>
        </w:rPr>
        <w:t xml:space="preserve"> </w:t>
      </w:r>
    </w:p>
    <w:p w14:paraId="1AA75AA5" w14:textId="77777777" w:rsidR="00093845" w:rsidRDefault="000D779E">
      <w:pPr>
        <w:ind w:firstLine="851"/>
        <w:jc w:val="both"/>
        <w:rPr>
          <w:lang w:val="lt-LT" w:eastAsia="lt-LT"/>
        </w:rPr>
      </w:pPr>
      <w:r>
        <w:rPr>
          <w:lang w:val="lt-LT" w:eastAsia="lt-LT"/>
        </w:rPr>
        <w:t>Apraše</w:t>
      </w:r>
      <w:r>
        <w:rPr>
          <w:i/>
          <w:iCs/>
          <w:lang w:val="lt-LT" w:eastAsia="lt-LT"/>
        </w:rPr>
        <w:t xml:space="preserve"> </w:t>
      </w:r>
      <w:r>
        <w:rPr>
          <w:lang w:val="lt-LT" w:eastAsia="lt-LT"/>
        </w:rPr>
        <w:t>nurodyta,</w:t>
      </w:r>
      <w:r>
        <w:rPr>
          <w:i/>
          <w:iCs/>
          <w:lang w:val="lt-LT" w:eastAsia="lt-LT"/>
        </w:rPr>
        <w:t xml:space="preserve"> </w:t>
      </w:r>
      <w:r>
        <w:rPr>
          <w:lang w:val="lt-LT" w:eastAsia="lt-LT"/>
        </w:rPr>
        <w:t>kad</w:t>
      </w:r>
      <w:r>
        <w:rPr>
          <w:i/>
          <w:iCs/>
          <w:lang w:val="lt-LT" w:eastAsia="lt-LT"/>
        </w:rPr>
        <w:t xml:space="preserve"> </w:t>
      </w:r>
      <w:r>
        <w:rPr>
          <w:lang w:val="lt-LT" w:eastAsia="lt-LT"/>
        </w:rPr>
        <w:t>vidutinis</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darbuotojų</w:t>
      </w:r>
      <w:r>
        <w:rPr>
          <w:i/>
          <w:iCs/>
          <w:lang w:val="lt-LT" w:eastAsia="lt-LT"/>
        </w:rPr>
        <w:t xml:space="preserve"> </w:t>
      </w:r>
      <w:r>
        <w:rPr>
          <w:lang w:val="lt-LT" w:eastAsia="lt-LT"/>
        </w:rPr>
        <w:t>skaičius</w:t>
      </w:r>
      <w:r>
        <w:rPr>
          <w:i/>
          <w:iCs/>
          <w:lang w:val="lt-LT" w:eastAsia="lt-LT"/>
        </w:rPr>
        <w:t xml:space="preserve"> </w:t>
      </w:r>
      <w:r>
        <w:rPr>
          <w:lang w:val="lt-LT" w:eastAsia="lt-LT"/>
        </w:rPr>
        <w:t>nustatomas</w:t>
      </w:r>
      <w:r>
        <w:rPr>
          <w:i/>
          <w:iCs/>
          <w:lang w:val="lt-LT" w:eastAsia="lt-LT"/>
        </w:rPr>
        <w:t xml:space="preserve"> </w:t>
      </w:r>
      <w:r>
        <w:rPr>
          <w:lang w:val="lt-LT" w:eastAsia="lt-LT"/>
        </w:rPr>
        <w:t>vadovaujantis</w:t>
      </w:r>
      <w:r>
        <w:rPr>
          <w:i/>
          <w:iCs/>
          <w:lang w:val="lt-LT" w:eastAsia="lt-LT"/>
        </w:rPr>
        <w:t xml:space="preserve"> </w:t>
      </w:r>
      <w:r>
        <w:rPr>
          <w:lang w:val="lt-LT" w:eastAsia="lt-LT"/>
        </w:rPr>
        <w:t>finansų</w:t>
      </w:r>
      <w:r>
        <w:rPr>
          <w:i/>
          <w:iCs/>
          <w:lang w:val="lt-LT" w:eastAsia="lt-LT"/>
        </w:rPr>
        <w:t xml:space="preserve"> </w:t>
      </w:r>
      <w:r>
        <w:rPr>
          <w:lang w:val="lt-LT" w:eastAsia="lt-LT"/>
        </w:rPr>
        <w:t>ministro</w:t>
      </w:r>
      <w:r>
        <w:rPr>
          <w:i/>
          <w:iCs/>
          <w:lang w:val="lt-LT" w:eastAsia="lt-LT"/>
        </w:rPr>
        <w:t xml:space="preserve"> </w:t>
      </w:r>
      <w:r>
        <w:rPr>
          <w:lang w:val="lt-LT" w:eastAsia="lt-LT"/>
        </w:rPr>
        <w:t>2002</w:t>
      </w:r>
      <w:r>
        <w:rPr>
          <w:i/>
          <w:iCs/>
          <w:lang w:val="lt-LT" w:eastAsia="lt-LT"/>
        </w:rPr>
        <w:t xml:space="preserve"> </w:t>
      </w:r>
      <w:r>
        <w:rPr>
          <w:lang w:val="lt-LT" w:eastAsia="lt-LT"/>
        </w:rPr>
        <w:t>m.</w:t>
      </w:r>
      <w:r>
        <w:rPr>
          <w:i/>
          <w:iCs/>
          <w:lang w:val="lt-LT" w:eastAsia="lt-LT"/>
        </w:rPr>
        <w:t xml:space="preserve"> </w:t>
      </w:r>
      <w:r>
        <w:rPr>
          <w:lang w:val="lt-LT" w:eastAsia="lt-LT"/>
        </w:rPr>
        <w:t>gegužės</w:t>
      </w:r>
      <w:r>
        <w:rPr>
          <w:i/>
          <w:iCs/>
          <w:lang w:val="lt-LT" w:eastAsia="lt-LT"/>
        </w:rPr>
        <w:t xml:space="preserve"> </w:t>
      </w:r>
      <w:r>
        <w:rPr>
          <w:lang w:val="lt-LT" w:eastAsia="lt-LT"/>
        </w:rPr>
        <w:t>15</w:t>
      </w:r>
      <w:r>
        <w:rPr>
          <w:i/>
          <w:iCs/>
          <w:lang w:val="lt-LT" w:eastAsia="lt-LT"/>
        </w:rPr>
        <w:t xml:space="preserve"> </w:t>
      </w:r>
      <w:r>
        <w:rPr>
          <w:lang w:val="lt-LT" w:eastAsia="lt-LT"/>
        </w:rPr>
        <w:t>d.</w:t>
      </w:r>
      <w:r>
        <w:rPr>
          <w:i/>
          <w:iCs/>
          <w:lang w:val="lt-LT" w:eastAsia="lt-LT"/>
        </w:rPr>
        <w:t xml:space="preserve"> </w:t>
      </w:r>
      <w:r>
        <w:rPr>
          <w:lang w:val="lt-LT" w:eastAsia="lt-LT"/>
        </w:rPr>
        <w:t>įsakymu</w:t>
      </w:r>
      <w:r>
        <w:rPr>
          <w:i/>
          <w:iCs/>
          <w:lang w:val="lt-LT" w:eastAsia="lt-LT"/>
        </w:rPr>
        <w:t xml:space="preserve"> </w:t>
      </w:r>
      <w:r>
        <w:rPr>
          <w:lang w:val="lt-LT" w:eastAsia="lt-LT"/>
        </w:rPr>
        <w:t>Nr.</w:t>
      </w:r>
      <w:r>
        <w:rPr>
          <w:i/>
          <w:iCs/>
          <w:lang w:val="lt-LT" w:eastAsia="lt-LT"/>
        </w:rPr>
        <w:t xml:space="preserve"> </w:t>
      </w:r>
      <w:r>
        <w:rPr>
          <w:lang w:val="lt-LT" w:eastAsia="lt-LT"/>
        </w:rPr>
        <w:t>134</w:t>
      </w:r>
      <w:r>
        <w:rPr>
          <w:i/>
          <w:iCs/>
          <w:lang w:val="lt-LT" w:eastAsia="lt-LT"/>
        </w:rPr>
        <w:t xml:space="preserve"> </w:t>
      </w:r>
      <w:r>
        <w:rPr>
          <w:lang w:val="lt-LT" w:eastAsia="lt-LT"/>
        </w:rPr>
        <w:t>patvirtintomis</w:t>
      </w:r>
      <w:r>
        <w:rPr>
          <w:i/>
          <w:iCs/>
          <w:lang w:val="lt-LT" w:eastAsia="lt-LT"/>
        </w:rPr>
        <w:t xml:space="preserve"> </w:t>
      </w:r>
      <w:r>
        <w:rPr>
          <w:lang w:val="lt-LT" w:eastAsia="lt-LT"/>
        </w:rPr>
        <w:t>Vidutinio</w:t>
      </w:r>
      <w:r>
        <w:rPr>
          <w:i/>
          <w:iCs/>
          <w:lang w:val="lt-LT" w:eastAsia="lt-LT"/>
        </w:rPr>
        <w:t xml:space="preserve"> </w:t>
      </w:r>
      <w:r>
        <w:rPr>
          <w:lang w:val="lt-LT" w:eastAsia="lt-LT"/>
        </w:rPr>
        <w:t>metų</w:t>
      </w:r>
      <w:r>
        <w:rPr>
          <w:i/>
          <w:iCs/>
          <w:lang w:val="lt-LT" w:eastAsia="lt-LT"/>
        </w:rPr>
        <w:t xml:space="preserve"> </w:t>
      </w:r>
      <w:r>
        <w:rPr>
          <w:lang w:val="lt-LT" w:eastAsia="lt-LT"/>
        </w:rPr>
        <w:t>sąrašinio</w:t>
      </w:r>
      <w:r>
        <w:rPr>
          <w:i/>
          <w:iCs/>
          <w:lang w:val="lt-LT" w:eastAsia="lt-LT"/>
        </w:rPr>
        <w:t xml:space="preserve"> </w:t>
      </w:r>
      <w:r>
        <w:rPr>
          <w:lang w:val="lt-LT" w:eastAsia="lt-LT"/>
        </w:rPr>
        <w:t>darbuotojų</w:t>
      </w:r>
      <w:r>
        <w:rPr>
          <w:i/>
          <w:iCs/>
          <w:lang w:val="lt-LT" w:eastAsia="lt-LT"/>
        </w:rPr>
        <w:t xml:space="preserve"> </w:t>
      </w:r>
      <w:r>
        <w:rPr>
          <w:lang w:val="lt-LT" w:eastAsia="lt-LT"/>
        </w:rPr>
        <w:t>skaičiaus</w:t>
      </w:r>
      <w:r>
        <w:rPr>
          <w:i/>
          <w:iCs/>
          <w:lang w:val="lt-LT" w:eastAsia="lt-LT"/>
        </w:rPr>
        <w:t xml:space="preserve"> </w:t>
      </w:r>
      <w:r>
        <w:rPr>
          <w:lang w:val="lt-LT" w:eastAsia="lt-LT"/>
        </w:rPr>
        <w:t>apskaičiavimo</w:t>
      </w:r>
      <w:r>
        <w:rPr>
          <w:i/>
          <w:iCs/>
          <w:lang w:val="lt-LT" w:eastAsia="lt-LT"/>
        </w:rPr>
        <w:t xml:space="preserve"> </w:t>
      </w:r>
      <w:r>
        <w:rPr>
          <w:lang w:val="lt-LT" w:eastAsia="lt-LT"/>
        </w:rPr>
        <w:t>taisyklėmis.</w:t>
      </w:r>
    </w:p>
    <w:p w14:paraId="214D3885" w14:textId="77777777" w:rsidR="00093845" w:rsidRDefault="000D779E">
      <w:pPr>
        <w:ind w:firstLine="851"/>
        <w:jc w:val="both"/>
        <w:rPr>
          <w:lang w:val="lt-LT" w:eastAsia="lt-LT"/>
        </w:rPr>
      </w:pPr>
      <w:r>
        <w:rPr>
          <w:lang w:val="lt-LT" w:eastAsia="lt-LT"/>
        </w:rPr>
        <w:t>Valstybės</w:t>
      </w:r>
      <w:r>
        <w:rPr>
          <w:i/>
          <w:iCs/>
          <w:lang w:val="lt-LT" w:eastAsia="lt-LT"/>
        </w:rPr>
        <w:t xml:space="preserve"> </w:t>
      </w:r>
      <w:r>
        <w:rPr>
          <w:lang w:val="lt-LT" w:eastAsia="lt-LT"/>
        </w:rPr>
        <w:t>įmonėse</w:t>
      </w:r>
      <w:r>
        <w:rPr>
          <w:i/>
          <w:iCs/>
          <w:lang w:val="lt-LT" w:eastAsia="lt-LT"/>
        </w:rPr>
        <w:t xml:space="preserve"> </w:t>
      </w:r>
      <w:r>
        <w:rPr>
          <w:lang w:val="lt-LT" w:eastAsia="lt-LT"/>
        </w:rPr>
        <w:t>prie</w:t>
      </w:r>
      <w:r>
        <w:rPr>
          <w:i/>
          <w:iCs/>
          <w:lang w:val="lt-LT" w:eastAsia="lt-LT"/>
        </w:rPr>
        <w:t xml:space="preserve"> </w:t>
      </w:r>
      <w:r>
        <w:rPr>
          <w:lang w:val="lt-LT" w:eastAsia="lt-LT"/>
        </w:rPr>
        <w:t>pataisos</w:t>
      </w:r>
      <w:r>
        <w:rPr>
          <w:i/>
          <w:iCs/>
          <w:lang w:val="lt-LT" w:eastAsia="lt-LT"/>
        </w:rPr>
        <w:t xml:space="preserve"> </w:t>
      </w:r>
      <w:r>
        <w:rPr>
          <w:lang w:val="lt-LT" w:eastAsia="lt-LT"/>
        </w:rPr>
        <w:t>namų</w:t>
      </w:r>
      <w:r>
        <w:rPr>
          <w:i/>
          <w:iCs/>
          <w:lang w:val="lt-LT" w:eastAsia="lt-LT"/>
        </w:rPr>
        <w:t xml:space="preserve"> </w:t>
      </w:r>
      <w:r>
        <w:rPr>
          <w:lang w:val="lt-LT" w:eastAsia="lt-LT"/>
        </w:rPr>
        <w:t>dirbantys</w:t>
      </w:r>
      <w:r>
        <w:rPr>
          <w:i/>
          <w:iCs/>
          <w:lang w:val="lt-LT" w:eastAsia="lt-LT"/>
        </w:rPr>
        <w:t xml:space="preserve"> </w:t>
      </w:r>
      <w:r>
        <w:rPr>
          <w:lang w:val="lt-LT" w:eastAsia="lt-LT"/>
        </w:rPr>
        <w:t>nuteistieji</w:t>
      </w:r>
      <w:r>
        <w:rPr>
          <w:i/>
          <w:iCs/>
          <w:lang w:val="lt-LT" w:eastAsia="lt-LT"/>
        </w:rPr>
        <w:t xml:space="preserve"> </w:t>
      </w:r>
      <w:r>
        <w:rPr>
          <w:lang w:val="lt-LT" w:eastAsia="lt-LT"/>
        </w:rPr>
        <w:t>ir</w:t>
      </w:r>
      <w:r>
        <w:rPr>
          <w:i/>
          <w:iCs/>
          <w:lang w:val="lt-LT" w:eastAsia="lt-LT"/>
        </w:rPr>
        <w:t xml:space="preserve"> </w:t>
      </w:r>
      <w:r>
        <w:rPr>
          <w:lang w:val="lt-LT" w:eastAsia="lt-LT"/>
        </w:rPr>
        <w:t>psichiatrijos</w:t>
      </w:r>
      <w:r>
        <w:rPr>
          <w:i/>
          <w:iCs/>
          <w:lang w:val="lt-LT" w:eastAsia="lt-LT"/>
        </w:rPr>
        <w:t xml:space="preserve"> </w:t>
      </w:r>
      <w:r>
        <w:rPr>
          <w:lang w:val="lt-LT" w:eastAsia="lt-LT"/>
        </w:rPr>
        <w:t>sveikatos</w:t>
      </w:r>
      <w:r>
        <w:rPr>
          <w:i/>
          <w:iCs/>
          <w:lang w:val="lt-LT" w:eastAsia="lt-LT"/>
        </w:rPr>
        <w:t xml:space="preserve"> </w:t>
      </w:r>
      <w:r>
        <w:rPr>
          <w:lang w:val="lt-LT" w:eastAsia="lt-LT"/>
        </w:rPr>
        <w:t>priežiūros</w:t>
      </w:r>
      <w:r>
        <w:rPr>
          <w:i/>
          <w:iCs/>
          <w:lang w:val="lt-LT" w:eastAsia="lt-LT"/>
        </w:rPr>
        <w:t xml:space="preserve"> </w:t>
      </w:r>
      <w:r>
        <w:rPr>
          <w:lang w:val="lt-LT" w:eastAsia="lt-LT"/>
        </w:rPr>
        <w:t>įstaigose</w:t>
      </w:r>
      <w:r>
        <w:rPr>
          <w:i/>
          <w:iCs/>
          <w:lang w:val="lt-LT" w:eastAsia="lt-LT"/>
        </w:rPr>
        <w:t xml:space="preserve"> </w:t>
      </w:r>
      <w:r>
        <w:rPr>
          <w:lang w:val="lt-LT" w:eastAsia="lt-LT"/>
        </w:rPr>
        <w:t>gydomi</w:t>
      </w:r>
      <w:r>
        <w:rPr>
          <w:i/>
          <w:iCs/>
          <w:lang w:val="lt-LT" w:eastAsia="lt-LT"/>
        </w:rPr>
        <w:t xml:space="preserve"> </w:t>
      </w:r>
      <w:r>
        <w:rPr>
          <w:lang w:val="lt-LT" w:eastAsia="lt-LT"/>
        </w:rPr>
        <w:t>ir</w:t>
      </w:r>
      <w:r>
        <w:rPr>
          <w:i/>
          <w:iCs/>
          <w:lang w:val="lt-LT" w:eastAsia="lt-LT"/>
        </w:rPr>
        <w:t xml:space="preserve"> </w:t>
      </w:r>
      <w:r>
        <w:rPr>
          <w:lang w:val="lt-LT" w:eastAsia="lt-LT"/>
        </w:rPr>
        <w:t>gamybinės</w:t>
      </w:r>
      <w:r>
        <w:rPr>
          <w:i/>
          <w:iCs/>
          <w:lang w:val="lt-LT" w:eastAsia="lt-LT"/>
        </w:rPr>
        <w:t xml:space="preserve"> </w:t>
      </w:r>
      <w:r>
        <w:rPr>
          <w:lang w:val="lt-LT" w:eastAsia="lt-LT"/>
        </w:rPr>
        <w:t>reabilitacijos</w:t>
      </w:r>
      <w:r>
        <w:rPr>
          <w:i/>
          <w:iCs/>
          <w:lang w:val="lt-LT" w:eastAsia="lt-LT"/>
        </w:rPr>
        <w:t xml:space="preserve"> </w:t>
      </w:r>
      <w:r>
        <w:rPr>
          <w:lang w:val="lt-LT" w:eastAsia="lt-LT"/>
        </w:rPr>
        <w:t>įstaigose</w:t>
      </w:r>
      <w:r>
        <w:rPr>
          <w:i/>
          <w:iCs/>
          <w:lang w:val="lt-LT" w:eastAsia="lt-LT"/>
        </w:rPr>
        <w:t xml:space="preserve"> </w:t>
      </w:r>
      <w:r>
        <w:rPr>
          <w:lang w:val="lt-LT" w:eastAsia="lt-LT"/>
        </w:rPr>
        <w:t>ar</w:t>
      </w:r>
      <w:r>
        <w:rPr>
          <w:i/>
          <w:iCs/>
          <w:lang w:val="lt-LT" w:eastAsia="lt-LT"/>
        </w:rPr>
        <w:t xml:space="preserve"> </w:t>
      </w:r>
      <w:r>
        <w:rPr>
          <w:lang w:val="lt-LT" w:eastAsia="lt-LT"/>
        </w:rPr>
        <w:t>įmonėse</w:t>
      </w:r>
      <w:r>
        <w:rPr>
          <w:i/>
          <w:iCs/>
          <w:lang w:val="lt-LT" w:eastAsia="lt-LT"/>
        </w:rPr>
        <w:t xml:space="preserve"> </w:t>
      </w:r>
      <w:r>
        <w:rPr>
          <w:lang w:val="lt-LT" w:eastAsia="lt-LT"/>
        </w:rPr>
        <w:t>terapinio</w:t>
      </w:r>
      <w:r>
        <w:rPr>
          <w:i/>
          <w:iCs/>
          <w:lang w:val="lt-LT" w:eastAsia="lt-LT"/>
        </w:rPr>
        <w:t xml:space="preserve"> </w:t>
      </w:r>
      <w:r>
        <w:rPr>
          <w:lang w:val="lt-LT" w:eastAsia="lt-LT"/>
        </w:rPr>
        <w:t>ir</w:t>
      </w:r>
      <w:r>
        <w:rPr>
          <w:i/>
          <w:iCs/>
          <w:lang w:val="lt-LT" w:eastAsia="lt-LT"/>
        </w:rPr>
        <w:t xml:space="preserve"> </w:t>
      </w:r>
      <w:r>
        <w:rPr>
          <w:lang w:val="lt-LT" w:eastAsia="lt-LT"/>
        </w:rPr>
        <w:t>reabilitacinio</w:t>
      </w:r>
      <w:r>
        <w:rPr>
          <w:i/>
          <w:iCs/>
          <w:lang w:val="lt-LT" w:eastAsia="lt-LT"/>
        </w:rPr>
        <w:t xml:space="preserve"> </w:t>
      </w:r>
      <w:r>
        <w:rPr>
          <w:lang w:val="lt-LT" w:eastAsia="lt-LT"/>
        </w:rPr>
        <w:t>pobūdžio</w:t>
      </w:r>
      <w:r>
        <w:rPr>
          <w:i/>
          <w:iCs/>
          <w:lang w:val="lt-LT" w:eastAsia="lt-LT"/>
        </w:rPr>
        <w:t xml:space="preserve"> </w:t>
      </w:r>
      <w:r>
        <w:rPr>
          <w:lang w:val="lt-LT" w:eastAsia="lt-LT"/>
        </w:rPr>
        <w:t>veikla</w:t>
      </w:r>
      <w:r>
        <w:rPr>
          <w:i/>
          <w:iCs/>
          <w:lang w:val="lt-LT" w:eastAsia="lt-LT"/>
        </w:rPr>
        <w:t xml:space="preserve"> </w:t>
      </w:r>
      <w:r>
        <w:rPr>
          <w:lang w:val="lt-LT" w:eastAsia="lt-LT"/>
        </w:rPr>
        <w:t>užsiimantys</w:t>
      </w:r>
      <w:r>
        <w:rPr>
          <w:i/>
          <w:iCs/>
          <w:lang w:val="lt-LT" w:eastAsia="lt-LT"/>
        </w:rPr>
        <w:t xml:space="preserve"> </w:t>
      </w:r>
      <w:r>
        <w:rPr>
          <w:lang w:val="lt-LT" w:eastAsia="lt-LT"/>
        </w:rPr>
        <w:t>ligoniai</w:t>
      </w:r>
      <w:r>
        <w:rPr>
          <w:i/>
          <w:iCs/>
          <w:lang w:val="lt-LT" w:eastAsia="lt-LT"/>
        </w:rPr>
        <w:t xml:space="preserve"> </w:t>
      </w:r>
      <w:r>
        <w:rPr>
          <w:lang w:val="lt-LT" w:eastAsia="lt-LT"/>
        </w:rPr>
        <w:t>prie</w:t>
      </w:r>
      <w:r>
        <w:rPr>
          <w:i/>
          <w:iCs/>
          <w:lang w:val="lt-LT" w:eastAsia="lt-LT"/>
        </w:rPr>
        <w:t xml:space="preserve"> </w:t>
      </w:r>
      <w:r>
        <w:rPr>
          <w:lang w:val="lt-LT" w:eastAsia="lt-LT"/>
        </w:rPr>
        <w:t>darbuotojų</w:t>
      </w:r>
      <w:r>
        <w:rPr>
          <w:i/>
          <w:iCs/>
          <w:lang w:val="lt-LT" w:eastAsia="lt-LT"/>
        </w:rPr>
        <w:t xml:space="preserve"> </w:t>
      </w:r>
      <w:r>
        <w:rPr>
          <w:lang w:val="lt-LT" w:eastAsia="lt-LT"/>
        </w:rPr>
        <w:t>priskiriami</w:t>
      </w:r>
      <w:r>
        <w:rPr>
          <w:i/>
          <w:iCs/>
          <w:lang w:val="lt-LT" w:eastAsia="lt-LT"/>
        </w:rPr>
        <w:t xml:space="preserve"> </w:t>
      </w:r>
      <w:r>
        <w:rPr>
          <w:lang w:val="lt-LT" w:eastAsia="lt-LT"/>
        </w:rPr>
        <w:t>neatsižvelgiant</w:t>
      </w:r>
      <w:r>
        <w:rPr>
          <w:i/>
          <w:iCs/>
          <w:lang w:val="lt-LT" w:eastAsia="lt-LT"/>
        </w:rPr>
        <w:t xml:space="preserve"> </w:t>
      </w:r>
      <w:r>
        <w:rPr>
          <w:lang w:val="lt-LT" w:eastAsia="lt-LT"/>
        </w:rPr>
        <w:t>į</w:t>
      </w:r>
      <w:r>
        <w:rPr>
          <w:i/>
          <w:iCs/>
          <w:lang w:val="lt-LT" w:eastAsia="lt-LT"/>
        </w:rPr>
        <w:t xml:space="preserve"> </w:t>
      </w:r>
      <w:r>
        <w:rPr>
          <w:lang w:val="lt-LT" w:eastAsia="lt-LT"/>
        </w:rPr>
        <w:t>tai,</w:t>
      </w:r>
      <w:r>
        <w:rPr>
          <w:i/>
          <w:iCs/>
          <w:lang w:val="lt-LT" w:eastAsia="lt-LT"/>
        </w:rPr>
        <w:t xml:space="preserve"> </w:t>
      </w:r>
      <w:r>
        <w:rPr>
          <w:lang w:val="lt-LT" w:eastAsia="lt-LT"/>
        </w:rPr>
        <w:t>ar</w:t>
      </w:r>
      <w:r>
        <w:rPr>
          <w:i/>
          <w:iCs/>
          <w:lang w:val="lt-LT" w:eastAsia="lt-LT"/>
        </w:rPr>
        <w:t xml:space="preserve"> </w:t>
      </w:r>
      <w:r>
        <w:rPr>
          <w:lang w:val="lt-LT" w:eastAsia="lt-LT"/>
        </w:rPr>
        <w:t>jie</w:t>
      </w:r>
      <w:r>
        <w:rPr>
          <w:i/>
          <w:iCs/>
          <w:lang w:val="lt-LT" w:eastAsia="lt-LT"/>
        </w:rPr>
        <w:t xml:space="preserve"> </w:t>
      </w:r>
      <w:r>
        <w:rPr>
          <w:lang w:val="lt-LT" w:eastAsia="lt-LT"/>
        </w:rPr>
        <w:t>yra</w:t>
      </w:r>
      <w:r>
        <w:rPr>
          <w:i/>
          <w:iCs/>
          <w:lang w:val="lt-LT" w:eastAsia="lt-LT"/>
        </w:rPr>
        <w:t xml:space="preserve"> </w:t>
      </w:r>
      <w:r>
        <w:rPr>
          <w:lang w:val="lt-LT" w:eastAsia="lt-LT"/>
        </w:rPr>
        <w:t>sudarę</w:t>
      </w:r>
      <w:r>
        <w:rPr>
          <w:i/>
          <w:iCs/>
          <w:lang w:val="lt-LT" w:eastAsia="lt-LT"/>
        </w:rPr>
        <w:t xml:space="preserve"> </w:t>
      </w:r>
      <w:r>
        <w:rPr>
          <w:lang w:val="lt-LT" w:eastAsia="lt-LT"/>
        </w:rPr>
        <w:t>darbo</w:t>
      </w:r>
      <w:r>
        <w:rPr>
          <w:i/>
          <w:iCs/>
          <w:lang w:val="lt-LT" w:eastAsia="lt-LT"/>
        </w:rPr>
        <w:t xml:space="preserve"> </w:t>
      </w:r>
      <w:r>
        <w:rPr>
          <w:lang w:val="lt-LT" w:eastAsia="lt-LT"/>
        </w:rPr>
        <w:t>sutartis.</w:t>
      </w:r>
    </w:p>
    <w:p w14:paraId="2A7E1238" w14:textId="77777777" w:rsidR="00093845" w:rsidRDefault="000D779E">
      <w:pPr>
        <w:ind w:firstLine="851"/>
        <w:jc w:val="both"/>
        <w:rPr>
          <w:lang w:val="lt-LT" w:eastAsia="lt-LT"/>
        </w:rPr>
      </w:pPr>
      <w:r>
        <w:rPr>
          <w:lang w:val="lt-LT" w:eastAsia="lt-LT"/>
        </w:rPr>
        <w:t>Apskaičiuojant</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asmenų,</w:t>
      </w:r>
      <w:r>
        <w:rPr>
          <w:i/>
          <w:iCs/>
          <w:lang w:val="lt-LT" w:eastAsia="lt-LT"/>
        </w:rPr>
        <w:t xml:space="preserve"> </w:t>
      </w:r>
      <w:r>
        <w:rPr>
          <w:lang w:val="lt-LT" w:eastAsia="lt-LT"/>
        </w:rPr>
        <w:t>kuriems</w:t>
      </w:r>
      <w:r>
        <w:rPr>
          <w:i/>
          <w:iCs/>
          <w:lang w:val="lt-LT" w:eastAsia="lt-LT"/>
        </w:rPr>
        <w:t xml:space="preserve"> </w:t>
      </w:r>
      <w:r>
        <w:rPr>
          <w:lang w:val="lt-LT" w:eastAsia="lt-LT"/>
        </w:rPr>
        <w:t>taikomas</w:t>
      </w:r>
      <w:r>
        <w:rPr>
          <w:i/>
          <w:iCs/>
          <w:lang w:val="lt-LT" w:eastAsia="lt-LT"/>
        </w:rPr>
        <w:t xml:space="preserve"> </w:t>
      </w:r>
      <w:r>
        <w:rPr>
          <w:lang w:val="lt-LT" w:eastAsia="lt-LT"/>
        </w:rPr>
        <w:t>riboto</w:t>
      </w:r>
      <w:r>
        <w:rPr>
          <w:i/>
          <w:iCs/>
          <w:lang w:val="lt-LT" w:eastAsia="lt-LT"/>
        </w:rPr>
        <w:t xml:space="preserve"> </w:t>
      </w:r>
      <w:r>
        <w:rPr>
          <w:lang w:val="lt-LT" w:eastAsia="lt-LT"/>
        </w:rPr>
        <w:t>darbingumo</w:t>
      </w:r>
      <w:r>
        <w:rPr>
          <w:i/>
          <w:iCs/>
          <w:lang w:val="lt-LT" w:eastAsia="lt-LT"/>
        </w:rPr>
        <w:t xml:space="preserve"> </w:t>
      </w:r>
      <w:r>
        <w:rPr>
          <w:lang w:val="lt-LT" w:eastAsia="lt-LT"/>
        </w:rPr>
        <w:t>asmenų</w:t>
      </w:r>
      <w:r>
        <w:rPr>
          <w:i/>
          <w:iCs/>
          <w:lang w:val="lt-LT" w:eastAsia="lt-LT"/>
        </w:rPr>
        <w:t xml:space="preserve"> </w:t>
      </w:r>
      <w:r>
        <w:rPr>
          <w:lang w:val="lt-LT" w:eastAsia="lt-LT"/>
        </w:rPr>
        <w:t>statusas,</w:t>
      </w:r>
      <w:r>
        <w:rPr>
          <w:i/>
          <w:iCs/>
          <w:lang w:val="lt-LT" w:eastAsia="lt-LT"/>
        </w:rPr>
        <w:t xml:space="preserve"> </w:t>
      </w:r>
      <w:r>
        <w:rPr>
          <w:lang w:val="lt-LT" w:eastAsia="lt-LT"/>
        </w:rPr>
        <w:t>skaičių</w:t>
      </w:r>
      <w:r>
        <w:rPr>
          <w:i/>
          <w:iCs/>
          <w:lang w:val="lt-LT" w:eastAsia="lt-LT"/>
        </w:rPr>
        <w:t xml:space="preserve"> </w:t>
      </w:r>
      <w:r>
        <w:rPr>
          <w:lang w:val="lt-LT" w:eastAsia="lt-LT"/>
        </w:rPr>
        <w:t>ir</w:t>
      </w:r>
      <w:r>
        <w:rPr>
          <w:i/>
          <w:iCs/>
          <w:lang w:val="lt-LT" w:eastAsia="lt-LT"/>
        </w:rPr>
        <w:t xml:space="preserve"> </w:t>
      </w:r>
      <w:r>
        <w:rPr>
          <w:lang w:val="lt-LT" w:eastAsia="lt-LT"/>
        </w:rPr>
        <w:t>vidutinį</w:t>
      </w:r>
      <w:r>
        <w:rPr>
          <w:i/>
          <w:iCs/>
          <w:lang w:val="lt-LT" w:eastAsia="lt-LT"/>
        </w:rPr>
        <w:t xml:space="preserve"> </w:t>
      </w:r>
      <w:r>
        <w:rPr>
          <w:lang w:val="lt-LT" w:eastAsia="lt-LT"/>
        </w:rPr>
        <w:t>sąrašuose</w:t>
      </w:r>
      <w:r>
        <w:rPr>
          <w:i/>
          <w:iCs/>
          <w:lang w:val="lt-LT" w:eastAsia="lt-LT"/>
        </w:rPr>
        <w:t xml:space="preserve"> </w:t>
      </w:r>
      <w:r>
        <w:rPr>
          <w:lang w:val="lt-LT" w:eastAsia="lt-LT"/>
        </w:rPr>
        <w:t>esančių</w:t>
      </w:r>
      <w:r>
        <w:rPr>
          <w:i/>
          <w:iCs/>
          <w:lang w:val="lt-LT" w:eastAsia="lt-LT"/>
        </w:rPr>
        <w:t xml:space="preserve"> </w:t>
      </w:r>
      <w:r>
        <w:rPr>
          <w:lang w:val="lt-LT" w:eastAsia="lt-LT"/>
        </w:rPr>
        <w:t>visų</w:t>
      </w:r>
      <w:r>
        <w:rPr>
          <w:i/>
          <w:iCs/>
          <w:lang w:val="lt-LT" w:eastAsia="lt-LT"/>
        </w:rPr>
        <w:t xml:space="preserve"> </w:t>
      </w:r>
      <w:r>
        <w:rPr>
          <w:lang w:val="lt-LT" w:eastAsia="lt-LT"/>
        </w:rPr>
        <w:t>darbuotojų</w:t>
      </w:r>
      <w:r>
        <w:rPr>
          <w:i/>
          <w:iCs/>
          <w:lang w:val="lt-LT" w:eastAsia="lt-LT"/>
        </w:rPr>
        <w:t xml:space="preserve"> </w:t>
      </w:r>
      <w:r>
        <w:rPr>
          <w:lang w:val="lt-LT" w:eastAsia="lt-LT"/>
        </w:rPr>
        <w:t>skaičių,</w:t>
      </w:r>
      <w:r>
        <w:rPr>
          <w:i/>
          <w:iCs/>
          <w:lang w:val="lt-LT" w:eastAsia="lt-LT"/>
        </w:rPr>
        <w:t xml:space="preserve"> </w:t>
      </w:r>
      <w:r>
        <w:rPr>
          <w:lang w:val="lt-LT" w:eastAsia="lt-LT"/>
        </w:rPr>
        <w:t>ataskaitiniais</w:t>
      </w:r>
      <w:r>
        <w:rPr>
          <w:i/>
          <w:iCs/>
          <w:lang w:val="lt-LT" w:eastAsia="lt-LT"/>
        </w:rPr>
        <w:t xml:space="preserve"> </w:t>
      </w:r>
      <w:r>
        <w:rPr>
          <w:lang w:val="lt-LT" w:eastAsia="lt-LT"/>
        </w:rPr>
        <w:t>metais</w:t>
      </w:r>
      <w:r>
        <w:rPr>
          <w:i/>
          <w:iCs/>
          <w:lang w:val="lt-LT" w:eastAsia="lt-LT"/>
        </w:rPr>
        <w:t xml:space="preserve"> </w:t>
      </w:r>
      <w:r>
        <w:rPr>
          <w:lang w:val="lt-LT" w:eastAsia="lt-LT"/>
        </w:rPr>
        <w:t>laikomas</w:t>
      </w:r>
      <w:r>
        <w:rPr>
          <w:i/>
          <w:iCs/>
          <w:lang w:val="lt-LT" w:eastAsia="lt-LT"/>
        </w:rPr>
        <w:t xml:space="preserve"> </w:t>
      </w:r>
      <w:r>
        <w:rPr>
          <w:lang w:val="lt-LT" w:eastAsia="lt-LT"/>
        </w:rPr>
        <w:t>mokestinis</w:t>
      </w:r>
      <w:r>
        <w:rPr>
          <w:i/>
          <w:iCs/>
          <w:lang w:val="lt-LT" w:eastAsia="lt-LT"/>
        </w:rPr>
        <w:t xml:space="preserve"> </w:t>
      </w:r>
      <w:r>
        <w:rPr>
          <w:lang w:val="lt-LT" w:eastAsia="lt-LT"/>
        </w:rPr>
        <w:t>laikotarpis.</w:t>
      </w:r>
    </w:p>
    <w:p w14:paraId="418DC842" w14:textId="77777777" w:rsidR="00093845" w:rsidRDefault="000D779E">
      <w:pPr>
        <w:ind w:firstLine="851"/>
        <w:jc w:val="both"/>
        <w:rPr>
          <w:lang w:val="lt-LT" w:eastAsia="lt-LT"/>
        </w:rPr>
      </w:pPr>
      <w:r>
        <w:rPr>
          <w:lang w:val="lt-LT" w:eastAsia="lt-LT"/>
        </w:rPr>
        <w:t>5.</w:t>
      </w:r>
      <w:r>
        <w:rPr>
          <w:i/>
          <w:iCs/>
          <w:lang w:val="lt-LT" w:eastAsia="lt-LT"/>
        </w:rPr>
        <w:t xml:space="preserve"> </w:t>
      </w:r>
      <w:r>
        <w:rPr>
          <w:lang w:val="lt-LT" w:eastAsia="lt-LT"/>
        </w:rPr>
        <w:t>Šiame</w:t>
      </w:r>
      <w:r>
        <w:rPr>
          <w:i/>
          <w:iCs/>
          <w:lang w:val="lt-LT" w:eastAsia="lt-LT"/>
        </w:rPr>
        <w:t xml:space="preserve"> </w:t>
      </w:r>
      <w:r>
        <w:rPr>
          <w:lang w:val="lt-LT" w:eastAsia="lt-LT"/>
        </w:rPr>
        <w:t>straipsnyje</w:t>
      </w:r>
      <w:r>
        <w:rPr>
          <w:i/>
          <w:iCs/>
          <w:lang w:val="lt-LT" w:eastAsia="lt-LT"/>
        </w:rPr>
        <w:t xml:space="preserve"> </w:t>
      </w:r>
      <w:r>
        <w:rPr>
          <w:lang w:val="lt-LT" w:eastAsia="lt-LT"/>
        </w:rPr>
        <w:t>nustatytoji</w:t>
      </w:r>
      <w:r>
        <w:rPr>
          <w:i/>
          <w:iCs/>
          <w:lang w:val="lt-LT" w:eastAsia="lt-LT"/>
        </w:rPr>
        <w:t xml:space="preserve"> </w:t>
      </w:r>
      <w:r>
        <w:rPr>
          <w:lang w:val="lt-LT" w:eastAsia="lt-LT"/>
        </w:rPr>
        <w:t>pelno</w:t>
      </w:r>
      <w:r>
        <w:rPr>
          <w:i/>
          <w:iCs/>
          <w:lang w:val="lt-LT" w:eastAsia="lt-LT"/>
        </w:rPr>
        <w:t xml:space="preserve"> </w:t>
      </w:r>
      <w:r>
        <w:rPr>
          <w:lang w:val="lt-LT" w:eastAsia="lt-LT"/>
        </w:rPr>
        <w:t>mokesčio</w:t>
      </w:r>
      <w:r>
        <w:rPr>
          <w:i/>
          <w:iCs/>
          <w:lang w:val="lt-LT" w:eastAsia="lt-LT"/>
        </w:rPr>
        <w:t xml:space="preserve"> </w:t>
      </w:r>
      <w:r>
        <w:rPr>
          <w:lang w:val="lt-LT" w:eastAsia="lt-LT"/>
        </w:rPr>
        <w:t>lengvata</w:t>
      </w:r>
      <w:r>
        <w:rPr>
          <w:i/>
          <w:iCs/>
          <w:lang w:val="lt-LT" w:eastAsia="lt-LT"/>
        </w:rPr>
        <w:t xml:space="preserve"> </w:t>
      </w:r>
      <w:r>
        <w:rPr>
          <w:lang w:val="lt-LT" w:eastAsia="lt-LT"/>
        </w:rPr>
        <w:t>taikoma</w:t>
      </w:r>
      <w:r>
        <w:rPr>
          <w:i/>
          <w:iCs/>
          <w:lang w:val="lt-LT" w:eastAsia="lt-LT"/>
        </w:rPr>
        <w:t xml:space="preserve"> </w:t>
      </w:r>
      <w:r>
        <w:rPr>
          <w:lang w:val="lt-LT" w:eastAsia="lt-LT"/>
        </w:rPr>
        <w:t>tik</w:t>
      </w:r>
      <w:r>
        <w:rPr>
          <w:i/>
          <w:iCs/>
          <w:lang w:val="lt-LT" w:eastAsia="lt-LT"/>
        </w:rPr>
        <w:t xml:space="preserve"> </w:t>
      </w:r>
      <w:r>
        <w:rPr>
          <w:lang w:val="lt-LT" w:eastAsia="lt-LT"/>
        </w:rPr>
        <w:t>tuo</w:t>
      </w:r>
      <w:r>
        <w:rPr>
          <w:i/>
          <w:iCs/>
          <w:lang w:val="lt-LT" w:eastAsia="lt-LT"/>
        </w:rPr>
        <w:t xml:space="preserve"> </w:t>
      </w:r>
      <w:r>
        <w:rPr>
          <w:lang w:val="lt-LT" w:eastAsia="lt-LT"/>
        </w:rPr>
        <w:t>atveju,</w:t>
      </w:r>
      <w:r>
        <w:rPr>
          <w:i/>
          <w:iCs/>
          <w:lang w:val="lt-LT" w:eastAsia="lt-LT"/>
        </w:rPr>
        <w:t xml:space="preserve"> </w:t>
      </w:r>
      <w:r>
        <w:rPr>
          <w:lang w:val="lt-LT" w:eastAsia="lt-LT"/>
        </w:rPr>
        <w:t>kai</w:t>
      </w:r>
      <w:r>
        <w:rPr>
          <w:i/>
          <w:iCs/>
          <w:lang w:val="lt-LT" w:eastAsia="lt-LT"/>
        </w:rPr>
        <w:t xml:space="preserve"> </w:t>
      </w:r>
      <w:r>
        <w:rPr>
          <w:lang w:val="lt-LT" w:eastAsia="lt-LT"/>
        </w:rPr>
        <w:t>įmonė</w:t>
      </w:r>
      <w:r>
        <w:rPr>
          <w:i/>
          <w:iCs/>
          <w:lang w:val="lt-LT" w:eastAsia="lt-LT"/>
        </w:rPr>
        <w:t xml:space="preserve"> </w:t>
      </w:r>
      <w:r>
        <w:rPr>
          <w:lang w:val="lt-LT" w:eastAsia="lt-LT"/>
        </w:rPr>
        <w:t>realizuoja</w:t>
      </w:r>
      <w:r>
        <w:rPr>
          <w:i/>
          <w:iCs/>
          <w:lang w:val="lt-LT" w:eastAsia="lt-LT"/>
        </w:rPr>
        <w:t xml:space="preserve"> </w:t>
      </w:r>
      <w:r>
        <w:rPr>
          <w:lang w:val="lt-LT" w:eastAsia="lt-LT"/>
        </w:rPr>
        <w:t>pačios</w:t>
      </w:r>
      <w:r>
        <w:rPr>
          <w:i/>
          <w:iCs/>
          <w:lang w:val="lt-LT" w:eastAsia="lt-LT"/>
        </w:rPr>
        <w:t xml:space="preserve"> </w:t>
      </w:r>
      <w:r>
        <w:rPr>
          <w:lang w:val="lt-LT" w:eastAsia="lt-LT"/>
        </w:rPr>
        <w:t>pagamintą</w:t>
      </w:r>
      <w:r>
        <w:rPr>
          <w:i/>
          <w:iCs/>
          <w:lang w:val="lt-LT" w:eastAsia="lt-LT"/>
        </w:rPr>
        <w:t xml:space="preserve"> </w:t>
      </w:r>
      <w:r>
        <w:rPr>
          <w:lang w:val="lt-LT" w:eastAsia="lt-LT"/>
        </w:rPr>
        <w:t>produkciją</w:t>
      </w:r>
      <w:r>
        <w:rPr>
          <w:i/>
          <w:iCs/>
          <w:lang w:val="lt-LT" w:eastAsia="lt-LT"/>
        </w:rPr>
        <w:t xml:space="preserve"> </w:t>
      </w:r>
      <w:r>
        <w:rPr>
          <w:lang w:val="lt-LT" w:eastAsia="lt-LT"/>
        </w:rPr>
        <w:t>ir</w:t>
      </w:r>
      <w:r>
        <w:rPr>
          <w:i/>
          <w:iCs/>
          <w:lang w:val="lt-LT" w:eastAsia="lt-LT"/>
        </w:rPr>
        <w:t xml:space="preserve"> </w:t>
      </w:r>
      <w:r>
        <w:rPr>
          <w:lang w:val="lt-LT" w:eastAsia="lt-LT"/>
        </w:rPr>
        <w:t>šios</w:t>
      </w:r>
      <w:r>
        <w:rPr>
          <w:i/>
          <w:iCs/>
          <w:lang w:val="lt-LT" w:eastAsia="lt-LT"/>
        </w:rPr>
        <w:t xml:space="preserve"> </w:t>
      </w:r>
      <w:r>
        <w:rPr>
          <w:lang w:val="lt-LT" w:eastAsia="lt-LT"/>
        </w:rPr>
        <w:t>pajamos</w:t>
      </w:r>
      <w:r>
        <w:rPr>
          <w:i/>
          <w:iCs/>
          <w:lang w:val="lt-LT" w:eastAsia="lt-LT"/>
        </w:rPr>
        <w:t xml:space="preserve"> </w:t>
      </w:r>
      <w:r>
        <w:rPr>
          <w:lang w:val="lt-LT" w:eastAsia="lt-LT"/>
        </w:rPr>
        <w:t>turi</w:t>
      </w:r>
      <w:r>
        <w:rPr>
          <w:i/>
          <w:iCs/>
          <w:lang w:val="lt-LT" w:eastAsia="lt-LT"/>
        </w:rPr>
        <w:t xml:space="preserve"> </w:t>
      </w:r>
      <w:r>
        <w:rPr>
          <w:lang w:val="lt-LT" w:eastAsia="lt-LT"/>
        </w:rPr>
        <w:t>sudaryti</w:t>
      </w:r>
      <w:r>
        <w:rPr>
          <w:i/>
          <w:iCs/>
          <w:lang w:val="lt-LT" w:eastAsia="lt-LT"/>
        </w:rPr>
        <w:t xml:space="preserve"> </w:t>
      </w:r>
      <w:r>
        <w:rPr>
          <w:lang w:val="lt-LT" w:eastAsia="lt-LT"/>
        </w:rPr>
        <w:t>daugiau</w:t>
      </w:r>
      <w:r>
        <w:rPr>
          <w:i/>
          <w:iCs/>
          <w:lang w:val="lt-LT" w:eastAsia="lt-LT"/>
        </w:rPr>
        <w:t xml:space="preserve"> </w:t>
      </w:r>
      <w:r>
        <w:rPr>
          <w:lang w:val="lt-LT" w:eastAsia="lt-LT"/>
        </w:rPr>
        <w:t>kaip</w:t>
      </w:r>
      <w:r>
        <w:rPr>
          <w:i/>
          <w:iCs/>
          <w:lang w:val="lt-LT" w:eastAsia="lt-LT"/>
        </w:rPr>
        <w:t xml:space="preserve"> </w:t>
      </w:r>
      <w:r>
        <w:rPr>
          <w:lang w:val="lt-LT" w:eastAsia="lt-LT"/>
        </w:rPr>
        <w:t>50</w:t>
      </w:r>
      <w:r>
        <w:rPr>
          <w:i/>
          <w:iCs/>
          <w:lang w:val="lt-LT" w:eastAsia="lt-LT"/>
        </w:rPr>
        <w:t xml:space="preserve"> </w:t>
      </w:r>
      <w:r>
        <w:rPr>
          <w:lang w:val="lt-LT" w:eastAsia="lt-LT"/>
        </w:rPr>
        <w:t>proc.</w:t>
      </w:r>
      <w:r>
        <w:rPr>
          <w:i/>
          <w:iCs/>
          <w:lang w:val="lt-LT" w:eastAsia="lt-LT"/>
        </w:rPr>
        <w:t xml:space="preserve"> </w:t>
      </w:r>
      <w:r>
        <w:rPr>
          <w:lang w:val="lt-LT" w:eastAsia="lt-LT"/>
        </w:rPr>
        <w:t>visų</w:t>
      </w:r>
      <w:r>
        <w:rPr>
          <w:i/>
          <w:iCs/>
          <w:lang w:val="lt-LT" w:eastAsia="lt-LT"/>
        </w:rPr>
        <w:t xml:space="preserve"> </w:t>
      </w:r>
      <w:r>
        <w:rPr>
          <w:lang w:val="lt-LT" w:eastAsia="lt-LT"/>
        </w:rPr>
        <w:t>gautų</w:t>
      </w:r>
      <w:r>
        <w:rPr>
          <w:i/>
          <w:iCs/>
          <w:lang w:val="lt-LT" w:eastAsia="lt-LT"/>
        </w:rPr>
        <w:t xml:space="preserve"> </w:t>
      </w:r>
      <w:r>
        <w:rPr>
          <w:lang w:val="lt-LT" w:eastAsia="lt-LT"/>
        </w:rPr>
        <w:t>pajamų.</w:t>
      </w:r>
      <w:r>
        <w:rPr>
          <w:i/>
          <w:iCs/>
          <w:lang w:val="lt-LT" w:eastAsia="lt-LT"/>
        </w:rPr>
        <w:t xml:space="preserve"> </w:t>
      </w:r>
      <w:r>
        <w:rPr>
          <w:lang w:val="lt-LT" w:eastAsia="lt-LT"/>
        </w:rPr>
        <w:t>Vadinasi,</w:t>
      </w:r>
      <w:r>
        <w:rPr>
          <w:i/>
          <w:iCs/>
          <w:lang w:val="lt-LT" w:eastAsia="lt-LT"/>
        </w:rPr>
        <w:t xml:space="preserve"> </w:t>
      </w:r>
      <w:r>
        <w:rPr>
          <w:lang w:val="lt-LT" w:eastAsia="lt-LT"/>
        </w:rPr>
        <w:t>lengvata</w:t>
      </w:r>
      <w:r>
        <w:rPr>
          <w:i/>
          <w:iCs/>
          <w:lang w:val="lt-LT" w:eastAsia="lt-LT"/>
        </w:rPr>
        <w:t xml:space="preserve"> </w:t>
      </w:r>
      <w:r>
        <w:rPr>
          <w:lang w:val="lt-LT" w:eastAsia="lt-LT"/>
        </w:rPr>
        <w:t>gali</w:t>
      </w:r>
      <w:r>
        <w:rPr>
          <w:i/>
          <w:iCs/>
          <w:lang w:val="lt-LT" w:eastAsia="lt-LT"/>
        </w:rPr>
        <w:t xml:space="preserve"> </w:t>
      </w:r>
      <w:r>
        <w:rPr>
          <w:lang w:val="lt-LT" w:eastAsia="lt-LT"/>
        </w:rPr>
        <w:t>naudotis</w:t>
      </w:r>
      <w:r>
        <w:rPr>
          <w:i/>
          <w:iCs/>
          <w:lang w:val="lt-LT" w:eastAsia="lt-LT"/>
        </w:rPr>
        <w:t xml:space="preserve"> </w:t>
      </w:r>
      <w:r>
        <w:rPr>
          <w:lang w:val="lt-LT" w:eastAsia="lt-LT"/>
        </w:rPr>
        <w:t>tik</w:t>
      </w:r>
      <w:r>
        <w:rPr>
          <w:i/>
          <w:iCs/>
          <w:lang w:val="lt-LT" w:eastAsia="lt-LT"/>
        </w:rPr>
        <w:t xml:space="preserve"> </w:t>
      </w:r>
      <w:r>
        <w:rPr>
          <w:lang w:val="lt-LT" w:eastAsia="lt-LT"/>
        </w:rPr>
        <w:t>gamybinės</w:t>
      </w:r>
      <w:r>
        <w:rPr>
          <w:i/>
          <w:iCs/>
          <w:lang w:val="lt-LT" w:eastAsia="lt-LT"/>
        </w:rPr>
        <w:t xml:space="preserve"> </w:t>
      </w:r>
      <w:r>
        <w:rPr>
          <w:lang w:val="lt-LT" w:eastAsia="lt-LT"/>
        </w:rPr>
        <w:t>įmonės</w:t>
      </w:r>
      <w:r w:rsidRPr="0065344A">
        <w:rPr>
          <w:lang w:val="lt-LT"/>
        </w:rPr>
        <w:t xml:space="preserve"> </w:t>
      </w:r>
      <w:r>
        <w:rPr>
          <w:lang w:val="lt-LT" w:eastAsia="lt-LT"/>
        </w:rPr>
        <w:t>ir nepriklausomai nuo to koks apskaičiuojant pelno mokestį taikomas pelno mokesčio tarifas (5 proc. ar 15 proc.).</w:t>
      </w:r>
    </w:p>
    <w:p w14:paraId="7748649D" w14:textId="77777777" w:rsidR="00093845" w:rsidRDefault="000D779E">
      <w:pPr>
        <w:ind w:firstLine="851"/>
        <w:jc w:val="both"/>
        <w:rPr>
          <w:lang w:val="lt-LT" w:eastAsia="lt-LT"/>
        </w:rPr>
      </w:pPr>
      <w:r>
        <w:rPr>
          <w:lang w:val="lt-LT" w:eastAsia="lt-LT"/>
        </w:rPr>
        <w:t>Įmonės</w:t>
      </w:r>
      <w:r>
        <w:rPr>
          <w:i/>
          <w:iCs/>
          <w:lang w:val="lt-LT" w:eastAsia="lt-LT"/>
        </w:rPr>
        <w:t xml:space="preserve"> </w:t>
      </w:r>
      <w:r>
        <w:rPr>
          <w:lang w:val="lt-LT" w:eastAsia="lt-LT"/>
        </w:rPr>
        <w:t>pajamų</w:t>
      </w:r>
      <w:r>
        <w:rPr>
          <w:i/>
          <w:iCs/>
          <w:lang w:val="lt-LT" w:eastAsia="lt-LT"/>
        </w:rPr>
        <w:t xml:space="preserve"> </w:t>
      </w:r>
      <w:r>
        <w:rPr>
          <w:lang w:val="lt-LT" w:eastAsia="lt-LT"/>
        </w:rPr>
        <w:t>už</w:t>
      </w:r>
      <w:r>
        <w:rPr>
          <w:i/>
          <w:iCs/>
          <w:lang w:val="lt-LT" w:eastAsia="lt-LT"/>
        </w:rPr>
        <w:t xml:space="preserve"> </w:t>
      </w:r>
      <w:r>
        <w:rPr>
          <w:lang w:val="lt-LT" w:eastAsia="lt-LT"/>
        </w:rPr>
        <w:t>pačių</w:t>
      </w:r>
      <w:r>
        <w:rPr>
          <w:i/>
          <w:iCs/>
          <w:lang w:val="lt-LT" w:eastAsia="lt-LT"/>
        </w:rPr>
        <w:t xml:space="preserve"> </w:t>
      </w:r>
      <w:r>
        <w:rPr>
          <w:lang w:val="lt-LT" w:eastAsia="lt-LT"/>
        </w:rPr>
        <w:t>pagamintą</w:t>
      </w:r>
      <w:r>
        <w:rPr>
          <w:i/>
          <w:iCs/>
          <w:lang w:val="lt-LT" w:eastAsia="lt-LT"/>
        </w:rPr>
        <w:t xml:space="preserve"> </w:t>
      </w:r>
      <w:r>
        <w:rPr>
          <w:lang w:val="lt-LT" w:eastAsia="lt-LT"/>
        </w:rPr>
        <w:t>produkciją</w:t>
      </w:r>
      <w:r>
        <w:rPr>
          <w:i/>
          <w:iCs/>
          <w:lang w:val="lt-LT" w:eastAsia="lt-LT"/>
        </w:rPr>
        <w:t xml:space="preserve"> </w:t>
      </w:r>
      <w:r>
        <w:rPr>
          <w:lang w:val="lt-LT" w:eastAsia="lt-LT"/>
        </w:rPr>
        <w:t>dalis</w:t>
      </w:r>
      <w:r>
        <w:rPr>
          <w:i/>
          <w:iCs/>
          <w:lang w:val="lt-LT" w:eastAsia="lt-LT"/>
        </w:rPr>
        <w:t xml:space="preserve"> </w:t>
      </w:r>
      <w:r>
        <w:rPr>
          <w:lang w:val="lt-LT" w:eastAsia="lt-LT"/>
        </w:rPr>
        <w:t>apskaičiuojama</w:t>
      </w:r>
      <w:r>
        <w:rPr>
          <w:i/>
          <w:iCs/>
          <w:lang w:val="lt-LT" w:eastAsia="lt-LT"/>
        </w:rPr>
        <w:t xml:space="preserve"> </w:t>
      </w:r>
      <w:r>
        <w:rPr>
          <w:lang w:val="lt-LT" w:eastAsia="lt-LT"/>
        </w:rPr>
        <w:t>nuo</w:t>
      </w:r>
      <w:r>
        <w:rPr>
          <w:i/>
          <w:iCs/>
          <w:lang w:val="lt-LT" w:eastAsia="lt-LT"/>
        </w:rPr>
        <w:t xml:space="preserve"> </w:t>
      </w:r>
      <w:r>
        <w:rPr>
          <w:lang w:val="lt-LT" w:eastAsia="lt-LT"/>
        </w:rPr>
        <w:t>visų</w:t>
      </w:r>
      <w:r>
        <w:rPr>
          <w:i/>
          <w:iCs/>
          <w:lang w:val="lt-LT" w:eastAsia="lt-LT"/>
        </w:rPr>
        <w:t xml:space="preserve"> </w:t>
      </w:r>
      <w:r>
        <w:rPr>
          <w:lang w:val="lt-LT" w:eastAsia="lt-LT"/>
        </w:rPr>
        <w:t>įmonės</w:t>
      </w:r>
      <w:r>
        <w:rPr>
          <w:i/>
          <w:iCs/>
          <w:lang w:val="lt-LT" w:eastAsia="lt-LT"/>
        </w:rPr>
        <w:t xml:space="preserve"> </w:t>
      </w:r>
      <w:r>
        <w:rPr>
          <w:lang w:val="lt-LT" w:eastAsia="lt-LT"/>
        </w:rPr>
        <w:t>Lietuvoje</w:t>
      </w:r>
      <w:r>
        <w:rPr>
          <w:i/>
          <w:iCs/>
          <w:lang w:val="lt-LT" w:eastAsia="lt-LT"/>
        </w:rPr>
        <w:t xml:space="preserve"> </w:t>
      </w:r>
      <w:r>
        <w:rPr>
          <w:lang w:val="lt-LT" w:eastAsia="lt-LT"/>
        </w:rPr>
        <w:t>ir</w:t>
      </w:r>
      <w:r>
        <w:rPr>
          <w:i/>
          <w:iCs/>
          <w:lang w:val="lt-LT" w:eastAsia="lt-LT"/>
        </w:rPr>
        <w:t xml:space="preserve"> </w:t>
      </w:r>
      <w:r>
        <w:rPr>
          <w:lang w:val="lt-LT" w:eastAsia="lt-LT"/>
        </w:rPr>
        <w:t>ne</w:t>
      </w:r>
      <w:r>
        <w:rPr>
          <w:i/>
          <w:iCs/>
          <w:lang w:val="lt-LT" w:eastAsia="lt-LT"/>
        </w:rPr>
        <w:t xml:space="preserve"> </w:t>
      </w:r>
      <w:r>
        <w:rPr>
          <w:lang w:val="lt-LT" w:eastAsia="lt-LT"/>
        </w:rPr>
        <w:t>Lietuvoje</w:t>
      </w:r>
      <w:r>
        <w:rPr>
          <w:i/>
          <w:iCs/>
          <w:lang w:val="lt-LT" w:eastAsia="lt-LT"/>
        </w:rPr>
        <w:t xml:space="preserve"> </w:t>
      </w:r>
      <w:r>
        <w:rPr>
          <w:lang w:val="lt-LT" w:eastAsia="lt-LT"/>
        </w:rPr>
        <w:t>uždirbtų</w:t>
      </w:r>
      <w:r>
        <w:rPr>
          <w:i/>
          <w:iCs/>
          <w:lang w:val="lt-LT" w:eastAsia="lt-LT"/>
        </w:rPr>
        <w:t xml:space="preserve"> </w:t>
      </w:r>
      <w:r>
        <w:rPr>
          <w:lang w:val="lt-LT" w:eastAsia="lt-LT"/>
        </w:rPr>
        <w:t>ir</w:t>
      </w:r>
      <w:r>
        <w:rPr>
          <w:i/>
          <w:iCs/>
          <w:lang w:val="lt-LT" w:eastAsia="lt-LT"/>
        </w:rPr>
        <w:t xml:space="preserve"> </w:t>
      </w:r>
      <w:r>
        <w:rPr>
          <w:lang w:val="lt-LT" w:eastAsia="lt-LT"/>
        </w:rPr>
        <w:t>(arba)</w:t>
      </w:r>
      <w:r>
        <w:rPr>
          <w:i/>
          <w:iCs/>
          <w:lang w:val="lt-LT" w:eastAsia="lt-LT"/>
        </w:rPr>
        <w:t xml:space="preserve"> </w:t>
      </w:r>
      <w:r>
        <w:rPr>
          <w:lang w:val="lt-LT" w:eastAsia="lt-LT"/>
        </w:rPr>
        <w:t>gautų</w:t>
      </w:r>
      <w:r>
        <w:rPr>
          <w:i/>
          <w:iCs/>
          <w:lang w:val="lt-LT" w:eastAsia="lt-LT"/>
        </w:rPr>
        <w:t xml:space="preserve"> </w:t>
      </w:r>
      <w:r>
        <w:rPr>
          <w:lang w:val="lt-LT" w:eastAsia="lt-LT"/>
        </w:rPr>
        <w:t>pajamų</w:t>
      </w:r>
      <w:r>
        <w:rPr>
          <w:i/>
          <w:iCs/>
          <w:lang w:val="lt-LT" w:eastAsia="lt-LT"/>
        </w:rPr>
        <w:t xml:space="preserve"> </w:t>
      </w:r>
      <w:r>
        <w:rPr>
          <w:lang w:val="lt-LT" w:eastAsia="lt-LT"/>
        </w:rPr>
        <w:t>(įskaitant</w:t>
      </w:r>
      <w:r>
        <w:rPr>
          <w:i/>
          <w:iCs/>
          <w:lang w:val="lt-LT" w:eastAsia="lt-LT"/>
        </w:rPr>
        <w:t xml:space="preserve"> </w:t>
      </w:r>
      <w:r>
        <w:rPr>
          <w:lang w:val="lt-LT" w:eastAsia="lt-LT"/>
        </w:rPr>
        <w:t>ir</w:t>
      </w:r>
      <w:r>
        <w:rPr>
          <w:i/>
          <w:iCs/>
          <w:lang w:val="lt-LT" w:eastAsia="lt-LT"/>
        </w:rPr>
        <w:t xml:space="preserve"> </w:t>
      </w:r>
      <w:r>
        <w:rPr>
          <w:lang w:val="lt-LT" w:eastAsia="lt-LT"/>
        </w:rPr>
        <w:t>neapmokestinamąsias</w:t>
      </w:r>
      <w:r>
        <w:rPr>
          <w:i/>
          <w:iCs/>
          <w:lang w:val="lt-LT" w:eastAsia="lt-LT"/>
        </w:rPr>
        <w:t xml:space="preserve"> </w:t>
      </w:r>
      <w:r>
        <w:rPr>
          <w:lang w:val="lt-LT" w:eastAsia="lt-LT"/>
        </w:rPr>
        <w:t>pajamas,</w:t>
      </w:r>
      <w:r>
        <w:rPr>
          <w:i/>
          <w:iCs/>
          <w:lang w:val="lt-LT" w:eastAsia="lt-LT"/>
        </w:rPr>
        <w:t xml:space="preserve"> </w:t>
      </w:r>
      <w:r>
        <w:rPr>
          <w:lang w:val="lt-LT" w:eastAsia="lt-LT"/>
        </w:rPr>
        <w:t>nurodytas</w:t>
      </w:r>
      <w:r>
        <w:rPr>
          <w:i/>
          <w:iCs/>
          <w:lang w:val="lt-LT" w:eastAsia="lt-LT"/>
        </w:rPr>
        <w:t xml:space="preserve"> </w:t>
      </w:r>
      <w:bookmarkStart w:id="868" w:name="n1_8742"/>
      <w:r>
        <w:rPr>
          <w:lang w:val="lt-LT" w:eastAsia="lt-LT"/>
        </w:rPr>
        <w:fldChar w:fldCharType="begin"/>
      </w:r>
      <w:r>
        <w:rPr>
          <w:lang w:val="lt-LT" w:eastAsia="lt-LT"/>
        </w:rPr>
        <w:instrText xml:space="preserve"> HYPERLINK "http://www.infolex.lt/ta/12868" \o "Lietuvos Respublikos pelno mokesčio įstatymas" \t "_blank" </w:instrText>
      </w:r>
      <w:r>
        <w:rPr>
          <w:lang w:val="lt-LT" w:eastAsia="lt-LT"/>
        </w:rPr>
        <w:fldChar w:fldCharType="separate"/>
      </w:r>
      <w:r>
        <w:rPr>
          <w:lang w:val="lt-LT" w:eastAsia="lt-LT"/>
        </w:rPr>
        <w:t>PMĮ</w:t>
      </w:r>
      <w:r>
        <w:rPr>
          <w:lang w:val="lt-LT" w:eastAsia="lt-LT"/>
        </w:rPr>
        <w:fldChar w:fldCharType="end"/>
      </w:r>
      <w:bookmarkStart w:id="869" w:name="pn1_8742"/>
      <w:bookmarkEnd w:id="868"/>
      <w:bookmarkEnd w:id="869"/>
      <w:r>
        <w:rPr>
          <w:i/>
          <w:iCs/>
          <w:lang w:val="lt-LT" w:eastAsia="lt-LT"/>
        </w:rPr>
        <w:t xml:space="preserve"> </w:t>
      </w:r>
      <w:r>
        <w:rPr>
          <w:lang w:val="lt-LT" w:eastAsia="lt-LT"/>
        </w:rPr>
        <w:t>12</w:t>
      </w:r>
      <w:r>
        <w:rPr>
          <w:i/>
          <w:iCs/>
          <w:lang w:val="lt-LT" w:eastAsia="lt-LT"/>
        </w:rPr>
        <w:t xml:space="preserve"> </w:t>
      </w:r>
      <w:r>
        <w:rPr>
          <w:lang w:val="lt-LT" w:eastAsia="lt-LT"/>
        </w:rPr>
        <w:t>straipsnyje),</w:t>
      </w:r>
      <w:r>
        <w:rPr>
          <w:i/>
          <w:iCs/>
          <w:lang w:val="lt-LT" w:eastAsia="lt-LT"/>
        </w:rPr>
        <w:t xml:space="preserve"> </w:t>
      </w:r>
      <w:r>
        <w:rPr>
          <w:lang w:val="lt-LT" w:eastAsia="lt-LT"/>
        </w:rPr>
        <w:t>tačiau</w:t>
      </w:r>
      <w:r>
        <w:rPr>
          <w:i/>
          <w:iCs/>
          <w:lang w:val="lt-LT" w:eastAsia="lt-LT"/>
        </w:rPr>
        <w:t xml:space="preserve"> </w:t>
      </w:r>
      <w:r>
        <w:rPr>
          <w:lang w:val="lt-LT" w:eastAsia="lt-LT"/>
        </w:rPr>
        <w:t>neatsižvelgiama</w:t>
      </w:r>
      <w:r>
        <w:rPr>
          <w:i/>
          <w:iCs/>
          <w:lang w:val="lt-LT" w:eastAsia="lt-LT"/>
        </w:rPr>
        <w:t xml:space="preserve"> </w:t>
      </w:r>
      <w:r>
        <w:rPr>
          <w:lang w:val="lt-LT" w:eastAsia="lt-LT"/>
        </w:rPr>
        <w:t>į</w:t>
      </w:r>
      <w:r>
        <w:rPr>
          <w:i/>
          <w:iCs/>
          <w:lang w:val="lt-LT" w:eastAsia="lt-LT"/>
        </w:rPr>
        <w:t xml:space="preserve"> </w:t>
      </w:r>
      <w:r>
        <w:rPr>
          <w:lang w:val="lt-LT" w:eastAsia="lt-LT"/>
        </w:rPr>
        <w:t>pajamas,</w:t>
      </w:r>
      <w:r>
        <w:rPr>
          <w:i/>
          <w:iCs/>
          <w:lang w:val="lt-LT" w:eastAsia="lt-LT"/>
        </w:rPr>
        <w:t xml:space="preserve"> </w:t>
      </w:r>
      <w:r>
        <w:rPr>
          <w:lang w:val="lt-LT" w:eastAsia="lt-LT"/>
        </w:rPr>
        <w:t>gautas</w:t>
      </w:r>
      <w:r>
        <w:rPr>
          <w:i/>
          <w:iCs/>
          <w:lang w:val="lt-LT" w:eastAsia="lt-LT"/>
        </w:rPr>
        <w:t xml:space="preserve"> </w:t>
      </w:r>
      <w:r>
        <w:rPr>
          <w:lang w:val="lt-LT" w:eastAsia="lt-LT"/>
        </w:rPr>
        <w:t>realizavus</w:t>
      </w:r>
      <w:r>
        <w:rPr>
          <w:i/>
          <w:iCs/>
          <w:lang w:val="lt-LT" w:eastAsia="lt-LT"/>
        </w:rPr>
        <w:t xml:space="preserve"> </w:t>
      </w:r>
      <w:r>
        <w:rPr>
          <w:lang w:val="lt-LT" w:eastAsia="lt-LT"/>
        </w:rPr>
        <w:t>ne</w:t>
      </w:r>
      <w:r>
        <w:rPr>
          <w:i/>
          <w:iCs/>
          <w:lang w:val="lt-LT" w:eastAsia="lt-LT"/>
        </w:rPr>
        <w:t xml:space="preserve"> </w:t>
      </w:r>
      <w:r>
        <w:rPr>
          <w:lang w:val="lt-LT" w:eastAsia="lt-LT"/>
        </w:rPr>
        <w:t>mažiau</w:t>
      </w:r>
      <w:r>
        <w:rPr>
          <w:i/>
          <w:iCs/>
          <w:lang w:val="lt-LT" w:eastAsia="lt-LT"/>
        </w:rPr>
        <w:t xml:space="preserve"> </w:t>
      </w:r>
      <w:r>
        <w:rPr>
          <w:lang w:val="lt-LT" w:eastAsia="lt-LT"/>
        </w:rPr>
        <w:t>kaip</w:t>
      </w:r>
      <w:r>
        <w:rPr>
          <w:i/>
          <w:iCs/>
          <w:lang w:val="lt-LT" w:eastAsia="lt-LT"/>
        </w:rPr>
        <w:t xml:space="preserve"> </w:t>
      </w:r>
      <w:r>
        <w:rPr>
          <w:lang w:val="lt-LT" w:eastAsia="lt-LT"/>
        </w:rPr>
        <w:t>vienerius</w:t>
      </w:r>
      <w:r>
        <w:rPr>
          <w:i/>
          <w:iCs/>
          <w:lang w:val="lt-LT" w:eastAsia="lt-LT"/>
        </w:rPr>
        <w:t xml:space="preserve"> </w:t>
      </w:r>
      <w:r>
        <w:rPr>
          <w:lang w:val="lt-LT" w:eastAsia="lt-LT"/>
        </w:rPr>
        <w:t>metus</w:t>
      </w:r>
      <w:r>
        <w:rPr>
          <w:i/>
          <w:iCs/>
          <w:lang w:val="lt-LT" w:eastAsia="lt-LT"/>
        </w:rPr>
        <w:t xml:space="preserve"> </w:t>
      </w:r>
      <w:r>
        <w:rPr>
          <w:lang w:val="lt-LT" w:eastAsia="lt-LT"/>
        </w:rPr>
        <w:t>eksploatuotas</w:t>
      </w:r>
      <w:r>
        <w:rPr>
          <w:i/>
          <w:iCs/>
          <w:lang w:val="lt-LT" w:eastAsia="lt-LT"/>
        </w:rPr>
        <w:t xml:space="preserve"> </w:t>
      </w:r>
      <w:r>
        <w:rPr>
          <w:lang w:val="lt-LT" w:eastAsia="lt-LT"/>
        </w:rPr>
        <w:t>pagrindines</w:t>
      </w:r>
      <w:r>
        <w:rPr>
          <w:i/>
          <w:iCs/>
          <w:lang w:val="lt-LT" w:eastAsia="lt-LT"/>
        </w:rPr>
        <w:t xml:space="preserve"> </w:t>
      </w:r>
      <w:r>
        <w:rPr>
          <w:lang w:val="lt-LT" w:eastAsia="lt-LT"/>
        </w:rPr>
        <w:t>priemones,</w:t>
      </w:r>
      <w:r>
        <w:rPr>
          <w:i/>
          <w:iCs/>
          <w:lang w:val="lt-LT" w:eastAsia="lt-LT"/>
        </w:rPr>
        <w:t xml:space="preserve"> </w:t>
      </w:r>
      <w:r>
        <w:rPr>
          <w:lang w:val="lt-LT" w:eastAsia="lt-LT"/>
        </w:rPr>
        <w:t>gamybos</w:t>
      </w:r>
      <w:r>
        <w:rPr>
          <w:i/>
          <w:iCs/>
          <w:lang w:val="lt-LT" w:eastAsia="lt-LT"/>
        </w:rPr>
        <w:t xml:space="preserve"> </w:t>
      </w:r>
      <w:r>
        <w:rPr>
          <w:lang w:val="lt-LT" w:eastAsia="lt-LT"/>
        </w:rPr>
        <w:t>atliekas,</w:t>
      </w:r>
      <w:r>
        <w:rPr>
          <w:i/>
          <w:iCs/>
          <w:lang w:val="lt-LT" w:eastAsia="lt-LT"/>
        </w:rPr>
        <w:t xml:space="preserve"> </w:t>
      </w:r>
      <w:r>
        <w:rPr>
          <w:lang w:val="lt-LT" w:eastAsia="lt-LT"/>
        </w:rPr>
        <w:t>dėl</w:t>
      </w:r>
      <w:r>
        <w:rPr>
          <w:i/>
          <w:iCs/>
          <w:lang w:val="lt-LT" w:eastAsia="lt-LT"/>
        </w:rPr>
        <w:t xml:space="preserve"> </w:t>
      </w:r>
      <w:r>
        <w:rPr>
          <w:lang w:val="lt-LT" w:eastAsia="lt-LT"/>
        </w:rPr>
        <w:t>gamybos</w:t>
      </w:r>
      <w:r>
        <w:rPr>
          <w:i/>
          <w:iCs/>
          <w:lang w:val="lt-LT" w:eastAsia="lt-LT"/>
        </w:rPr>
        <w:t xml:space="preserve"> </w:t>
      </w:r>
      <w:r>
        <w:rPr>
          <w:lang w:val="lt-LT" w:eastAsia="lt-LT"/>
        </w:rPr>
        <w:t>apimties</w:t>
      </w:r>
      <w:r>
        <w:rPr>
          <w:i/>
          <w:iCs/>
          <w:lang w:val="lt-LT" w:eastAsia="lt-LT"/>
        </w:rPr>
        <w:t xml:space="preserve"> </w:t>
      </w:r>
      <w:r>
        <w:rPr>
          <w:lang w:val="lt-LT" w:eastAsia="lt-LT"/>
        </w:rPr>
        <w:t>sumažėjimo</w:t>
      </w:r>
      <w:r>
        <w:rPr>
          <w:i/>
          <w:iCs/>
          <w:lang w:val="lt-LT" w:eastAsia="lt-LT"/>
        </w:rPr>
        <w:t xml:space="preserve"> </w:t>
      </w:r>
      <w:r>
        <w:rPr>
          <w:lang w:val="lt-LT" w:eastAsia="lt-LT"/>
        </w:rPr>
        <w:t>ir</w:t>
      </w:r>
      <w:r>
        <w:rPr>
          <w:i/>
          <w:iCs/>
          <w:lang w:val="lt-LT" w:eastAsia="lt-LT"/>
        </w:rPr>
        <w:t xml:space="preserve"> </w:t>
      </w:r>
      <w:r>
        <w:rPr>
          <w:lang w:val="lt-LT" w:eastAsia="lt-LT"/>
        </w:rPr>
        <w:t>gamybos</w:t>
      </w:r>
      <w:r>
        <w:rPr>
          <w:i/>
          <w:iCs/>
          <w:lang w:val="lt-LT" w:eastAsia="lt-LT"/>
        </w:rPr>
        <w:t xml:space="preserve"> </w:t>
      </w:r>
      <w:r>
        <w:rPr>
          <w:lang w:val="lt-LT" w:eastAsia="lt-LT"/>
        </w:rPr>
        <w:t>profilio</w:t>
      </w:r>
      <w:r>
        <w:rPr>
          <w:i/>
          <w:iCs/>
          <w:lang w:val="lt-LT" w:eastAsia="lt-LT"/>
        </w:rPr>
        <w:t xml:space="preserve"> </w:t>
      </w:r>
      <w:r>
        <w:rPr>
          <w:lang w:val="lt-LT" w:eastAsia="lt-LT"/>
        </w:rPr>
        <w:t>pasikeitimo</w:t>
      </w:r>
      <w:r>
        <w:rPr>
          <w:i/>
          <w:iCs/>
          <w:lang w:val="lt-LT" w:eastAsia="lt-LT"/>
        </w:rPr>
        <w:t xml:space="preserve"> </w:t>
      </w:r>
      <w:r>
        <w:rPr>
          <w:lang w:val="lt-LT" w:eastAsia="lt-LT"/>
        </w:rPr>
        <w:t>tapusias</w:t>
      </w:r>
      <w:r>
        <w:rPr>
          <w:i/>
          <w:iCs/>
          <w:lang w:val="lt-LT" w:eastAsia="lt-LT"/>
        </w:rPr>
        <w:t xml:space="preserve"> </w:t>
      </w:r>
      <w:r>
        <w:rPr>
          <w:lang w:val="lt-LT" w:eastAsia="lt-LT"/>
        </w:rPr>
        <w:t>nebereikalingas</w:t>
      </w:r>
      <w:r>
        <w:rPr>
          <w:i/>
          <w:iCs/>
          <w:lang w:val="lt-LT" w:eastAsia="lt-LT"/>
        </w:rPr>
        <w:t xml:space="preserve"> </w:t>
      </w:r>
      <w:r>
        <w:rPr>
          <w:lang w:val="lt-LT" w:eastAsia="lt-LT"/>
        </w:rPr>
        <w:t>medžiagas,</w:t>
      </w:r>
      <w:r>
        <w:rPr>
          <w:i/>
          <w:iCs/>
          <w:lang w:val="lt-LT" w:eastAsia="lt-LT"/>
        </w:rPr>
        <w:t xml:space="preserve"> </w:t>
      </w:r>
      <w:r>
        <w:rPr>
          <w:lang w:val="lt-LT" w:eastAsia="lt-LT"/>
        </w:rPr>
        <w:t>žaliavas,</w:t>
      </w:r>
      <w:r>
        <w:rPr>
          <w:i/>
          <w:iCs/>
          <w:lang w:val="lt-LT" w:eastAsia="lt-LT"/>
        </w:rPr>
        <w:t xml:space="preserve"> </w:t>
      </w:r>
      <w:r>
        <w:rPr>
          <w:lang w:val="lt-LT" w:eastAsia="lt-LT"/>
        </w:rPr>
        <w:t>atsargines</w:t>
      </w:r>
      <w:r>
        <w:rPr>
          <w:i/>
          <w:iCs/>
          <w:lang w:val="lt-LT" w:eastAsia="lt-LT"/>
        </w:rPr>
        <w:t xml:space="preserve"> </w:t>
      </w:r>
      <w:r>
        <w:rPr>
          <w:lang w:val="lt-LT" w:eastAsia="lt-LT"/>
        </w:rPr>
        <w:t>dalis</w:t>
      </w:r>
      <w:r>
        <w:rPr>
          <w:i/>
          <w:iCs/>
          <w:lang w:val="lt-LT" w:eastAsia="lt-LT"/>
        </w:rPr>
        <w:t xml:space="preserve"> </w:t>
      </w:r>
      <w:r>
        <w:rPr>
          <w:lang w:val="lt-LT" w:eastAsia="lt-LT"/>
        </w:rPr>
        <w:t>bei</w:t>
      </w:r>
      <w:r>
        <w:rPr>
          <w:i/>
          <w:iCs/>
          <w:lang w:val="lt-LT" w:eastAsia="lt-LT"/>
        </w:rPr>
        <w:t xml:space="preserve"> </w:t>
      </w:r>
      <w:r>
        <w:rPr>
          <w:lang w:val="lt-LT" w:eastAsia="lt-LT"/>
        </w:rPr>
        <w:t>inventorių.</w:t>
      </w:r>
    </w:p>
    <w:p w14:paraId="2F48D6AB" w14:textId="77777777" w:rsidR="00093845" w:rsidRDefault="000D779E">
      <w:pPr>
        <w:ind w:firstLine="851"/>
        <w:jc w:val="both"/>
        <w:rPr>
          <w:lang w:val="lt-LT" w:eastAsia="lt-LT"/>
        </w:rPr>
      </w:pPr>
      <w:r>
        <w:rPr>
          <w:lang w:val="lt-LT" w:eastAsia="lt-LT"/>
        </w:rPr>
        <w:t>6. Taikant apskaičiuoto pelno mokesčio sumažinimo ribą  atsižvelgiama į apskaičiuotą riboto darbingumo dalį tarp visų dirbančiųjų asmenų, t. y. pagal šį punktą apskaičiuojama riboto darbingumo dalis tarp visų dirbančiųjų asmenų procentais ir, atsižvelgiant į apskaičiuoto procento dalį, mažinamas apskaičiuotas pelno mokestis.  Tokiu būdu, jeigu yra apskaičiuojama riboto darbingumo asmenų dalis tarp visų dirbančių asmenų ir gaunamas skaičius 30 ar 40, tai apskaičiuoto pelno mokesčio sumažinimo taikymui atsižvelgiama į faktiškai apskaičiuotą skaičių, pavyzdžiui, jei apskaičiuojamas skaičius lygus 30 – taikomas 25 procentų apskaičiuoto pelno mokesčio sumažinimas, o jei apskaičiuojamas 30,01 ir daugiau (iki 40) – taikoma 50 procentų apskaičiuoto pelno mokesčio sumažinimas. Atitinkamai apskaičiavus skaičių lygų 40 – taikomas 50 procentų apskaičiuoto pelno mokesčio sumažinimas, o jei apskaičiuojamas 40,01 ir daugiau (iki 50) – taikoma 75 procentų apskaičiuoto pelno mokesčio sumažinimas.</w:t>
      </w:r>
    </w:p>
    <w:p w14:paraId="18602CE0" w14:textId="77777777" w:rsidR="00093845" w:rsidRDefault="0089549E">
      <w:pPr>
        <w:rPr>
          <w:lang w:val="lt-LT"/>
        </w:rPr>
      </w:pPr>
      <w:r>
        <w:lastRenderedPageBreak/>
        <w:t xml:space="preserve">                   </w:t>
      </w:r>
      <w:r w:rsidR="000D779E">
        <w:t xml:space="preserve">(PMĮ 58 straipsnio 16 dalies 1-3 punktų komentaras pakeistas </w:t>
      </w:r>
      <w:r w:rsidR="000D779E">
        <w:rPr>
          <w:iCs/>
          <w:lang w:eastAsia="lt-LT"/>
        </w:rPr>
        <w:t>pagal 2018-09-27 VMI prie FM raštą Nr. (</w:t>
      </w:r>
      <w:r w:rsidR="000D779E">
        <w:rPr>
          <w:color w:val="000000"/>
        </w:rPr>
        <w:t>(18.10-31-1E</w:t>
      </w:r>
      <w:r w:rsidR="000D779E">
        <w:t>) RM-33781)</w:t>
      </w:r>
    </w:p>
    <w:p w14:paraId="3CA63D2E" w14:textId="77777777" w:rsidR="00093845" w:rsidRDefault="000D779E" w:rsidP="009C0219">
      <w:pPr>
        <w:tabs>
          <w:tab w:val="left" w:pos="1080"/>
        </w:tabs>
        <w:spacing w:after="0" w:line="240" w:lineRule="auto"/>
        <w:ind w:firstLine="720"/>
        <w:jc w:val="both"/>
        <w:rPr>
          <w:rFonts w:cstheme="minorBidi"/>
          <w:b/>
          <w:szCs w:val="22"/>
          <w:lang w:val="lt-LT" w:eastAsia="lt-LT"/>
        </w:rPr>
      </w:pPr>
      <w:r>
        <w:tab/>
      </w:r>
      <w:r>
        <w:rPr>
          <w:rFonts w:cstheme="minorBidi"/>
          <w:b/>
          <w:szCs w:val="22"/>
          <w:lang w:val="lt-LT" w:eastAsia="lt-LT"/>
        </w:rPr>
        <w:t>16</w:t>
      </w:r>
      <w:r>
        <w:rPr>
          <w:rFonts w:cstheme="minorBidi"/>
          <w:b/>
          <w:szCs w:val="22"/>
          <w:vertAlign w:val="superscript"/>
          <w:lang w:val="lt-LT" w:eastAsia="lt-LT"/>
        </w:rPr>
        <w:t>1</w:t>
      </w:r>
      <w:r>
        <w:rPr>
          <w:rFonts w:cstheme="minorBidi"/>
          <w:b/>
          <w:szCs w:val="22"/>
          <w:lang w:val="lt-LT" w:eastAsia="lt-LT"/>
        </w:rPr>
        <w:t xml:space="preserve">. Šio straipsnio 16 dalies 1 ir 2 punktuose nustatytos mokesčių lengvatos taikomos tokia pačia tvarka ir sąlygomis ir investuotojams, kurie atitinka šio straipsnio 16 dalies 1 ir 2 punktuose nustatytas laisvosios ekonominės zonos įmonei keliamas sąlygas dėl lengvatų taikymo ir kuriems Lietuvos Respublikos civilinio kodekso, Lietuvos Respublikos žemės įstatymo bei konkrečių Lietuvos Respublikos laisvųjų ekonominių zonų įstatymų nustatytomis sąlygomis ir tvarka yra išnuomoti zonos teritorijoje esantys žemės sklypai ar jų dalys, kol nėra įsteigta zonos valdymo bendrovė, kaip nustatyta Lietuvos Respublikos </w:t>
      </w:r>
      <w:bookmarkStart w:id="870" w:name="n1_1219"/>
      <w:r>
        <w:rPr>
          <w:rFonts w:cstheme="minorBidi"/>
          <w:b/>
          <w:szCs w:val="22"/>
          <w:lang w:val="lt-LT" w:eastAsia="lt-LT"/>
        </w:rPr>
        <w:fldChar w:fldCharType="begin"/>
      </w:r>
      <w:r>
        <w:rPr>
          <w:rFonts w:cstheme="minorBidi"/>
          <w:b/>
          <w:szCs w:val="22"/>
          <w:lang w:val="lt-LT" w:eastAsia="lt-LT"/>
        </w:rPr>
        <w:instrText xml:space="preserve"> HYPERLINK "http://www.infolex.lt/ta/60299" \o "Lietuvos Respublikos laisvųjų ekonominių zonų pagrindų įstatymas" \t "_blank" </w:instrText>
      </w:r>
      <w:r>
        <w:rPr>
          <w:rFonts w:cstheme="minorBidi"/>
          <w:b/>
          <w:szCs w:val="22"/>
          <w:lang w:val="lt-LT" w:eastAsia="lt-LT"/>
        </w:rPr>
        <w:fldChar w:fldCharType="separate"/>
      </w:r>
      <w:r>
        <w:rPr>
          <w:rFonts w:cstheme="minorBidi"/>
          <w:b/>
          <w:szCs w:val="22"/>
          <w:lang w:val="lt-LT" w:eastAsia="lt-LT"/>
        </w:rPr>
        <w:t>laisvųjų ekonominių zonų pagrindų įstatyme</w:t>
      </w:r>
      <w:r>
        <w:rPr>
          <w:rFonts w:cstheme="minorBidi"/>
          <w:b/>
          <w:szCs w:val="22"/>
          <w:lang w:val="lt-LT" w:eastAsia="lt-LT"/>
        </w:rPr>
        <w:fldChar w:fldCharType="end"/>
      </w:r>
      <w:bookmarkStart w:id="871" w:name="pn1_1219"/>
      <w:bookmarkEnd w:id="870"/>
      <w:bookmarkEnd w:id="871"/>
      <w:r>
        <w:rPr>
          <w:rFonts w:cstheme="minorBidi"/>
          <w:b/>
          <w:szCs w:val="22"/>
          <w:lang w:val="lt-LT" w:eastAsia="lt-LT"/>
        </w:rPr>
        <w:t>. Įsteigus zonos valdymo bendrovę, investuotojams, įgijusiems laisvosios ekonominės zonos įmonės statusą, taikomi mokesčių lengvatų terminai ir sąlygos nekeičiami.</w:t>
      </w:r>
    </w:p>
    <w:p w14:paraId="5085E334" w14:textId="77777777" w:rsidR="00093845" w:rsidRPr="0089549E" w:rsidRDefault="000D779E" w:rsidP="0089549E">
      <w:pPr>
        <w:spacing w:after="0" w:line="240" w:lineRule="auto"/>
        <w:jc w:val="both"/>
        <w:rPr>
          <w:rFonts w:cstheme="minorBidi"/>
          <w:b/>
          <w:i/>
          <w:szCs w:val="22"/>
          <w:lang w:val="lt-LT" w:eastAsia="lt-LT"/>
        </w:rPr>
      </w:pPr>
      <w:r w:rsidRPr="0089549E">
        <w:rPr>
          <w:rFonts w:cstheme="minorBidi"/>
          <w:i/>
          <w:szCs w:val="22"/>
          <w:lang w:val="lt-LT" w:eastAsia="lt-LT"/>
        </w:rPr>
        <w:t>(</w:t>
      </w:r>
      <w:r w:rsidRPr="0089549E">
        <w:rPr>
          <w:i/>
          <w:lang w:val="lt-LT"/>
        </w:rPr>
        <w:t>KEISTA: 2017 06 27 įstatymu Nr. XIII-517 (nuo 2018 01 01)</w:t>
      </w:r>
      <w:r w:rsidR="00F31096" w:rsidRPr="0089549E">
        <w:rPr>
          <w:i/>
          <w:lang w:val="lt-LT"/>
        </w:rPr>
        <w:t>,</w:t>
      </w:r>
      <w:r w:rsidR="00842CA7" w:rsidRPr="0089549E">
        <w:rPr>
          <w:i/>
          <w:lang w:val="lt-LT"/>
        </w:rPr>
        <w:t xml:space="preserve"> nuostatos taikomos apskaičiuojant 2018 metų ir vėlesnių metų mokestinių laikotarpių pelno mokestį</w:t>
      </w:r>
      <w:r w:rsidRPr="0089549E">
        <w:rPr>
          <w:rFonts w:cstheme="minorBidi"/>
          <w:i/>
          <w:szCs w:val="22"/>
          <w:lang w:val="lt-LT" w:eastAsia="lt-LT"/>
        </w:rPr>
        <w:t>)</w:t>
      </w:r>
    </w:p>
    <w:p w14:paraId="3B6A2565" w14:textId="77777777" w:rsidR="00093845" w:rsidRDefault="000D779E">
      <w:pPr>
        <w:spacing w:before="100" w:beforeAutospacing="1" w:after="100" w:afterAutospacing="1"/>
        <w:ind w:firstLine="567"/>
        <w:rPr>
          <w:rFonts w:cstheme="minorBidi"/>
          <w:b/>
          <w:szCs w:val="22"/>
          <w:highlight w:val="lightGray"/>
          <w:lang w:val="lt-LT" w:eastAsia="lt-LT"/>
        </w:rPr>
      </w:pPr>
      <w:r>
        <w:rPr>
          <w:rFonts w:cstheme="minorBidi"/>
          <w:b/>
          <w:szCs w:val="22"/>
          <w:lang w:val="lt-LT" w:eastAsia="lt-LT"/>
        </w:rPr>
        <w:t>Komentaras</w:t>
      </w:r>
    </w:p>
    <w:p w14:paraId="722975EB"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szCs w:val="22"/>
          <w:lang w:val="lt-LT" w:eastAsia="lt-LT"/>
        </w:rPr>
        <w:t>PMĮ 58 straipsnio 16</w:t>
      </w:r>
      <w:r>
        <w:rPr>
          <w:rFonts w:cstheme="minorBidi"/>
          <w:szCs w:val="22"/>
          <w:vertAlign w:val="superscript"/>
          <w:lang w:val="lt-LT" w:eastAsia="lt-LT"/>
        </w:rPr>
        <w:t>1</w:t>
      </w:r>
      <w:r>
        <w:rPr>
          <w:rFonts w:cstheme="minorBidi"/>
          <w:szCs w:val="22"/>
          <w:lang w:val="lt-LT" w:eastAsia="lt-LT"/>
        </w:rPr>
        <w:t xml:space="preserve"> dalyje nustatytas</w:t>
      </w:r>
      <w:r>
        <w:rPr>
          <w:rFonts w:cstheme="minorBidi" w:hint="eastAsia"/>
          <w:szCs w:val="22"/>
          <w:lang w:val="lt-LT" w:eastAsia="lt-LT"/>
        </w:rPr>
        <w:t xml:space="preserve"> momentas, nuo kurio </w:t>
      </w:r>
      <w:r>
        <w:rPr>
          <w:rFonts w:cstheme="minorBidi"/>
          <w:szCs w:val="22"/>
          <w:lang w:val="lt-LT" w:eastAsia="lt-LT"/>
        </w:rPr>
        <w:t>investuotojas, t. y.</w:t>
      </w:r>
      <w:r>
        <w:rPr>
          <w:rFonts w:cstheme="minorBidi" w:hint="eastAsia"/>
          <w:szCs w:val="22"/>
          <w:lang w:val="lt-LT" w:eastAsia="lt-LT"/>
        </w:rPr>
        <w:t xml:space="preserve"> įmonė (juridinis asmuo, ūkio subjektas), atitinkanti</w:t>
      </w:r>
      <w:r>
        <w:rPr>
          <w:rFonts w:cstheme="minorBidi"/>
          <w:szCs w:val="22"/>
          <w:lang w:val="lt-LT" w:eastAsia="lt-LT"/>
        </w:rPr>
        <w:t>s</w:t>
      </w:r>
      <w:r>
        <w:rPr>
          <w:rFonts w:cstheme="minorBidi" w:hint="eastAsia"/>
          <w:szCs w:val="22"/>
          <w:lang w:val="lt-LT" w:eastAsia="lt-LT"/>
        </w:rPr>
        <w:t xml:space="preserve"> </w:t>
      </w:r>
      <w:r>
        <w:rPr>
          <w:rFonts w:cstheme="minorBidi"/>
          <w:szCs w:val="22"/>
          <w:lang w:val="lt-LT" w:eastAsia="lt-LT"/>
        </w:rPr>
        <w:t>PMĮ</w:t>
      </w:r>
      <w:r>
        <w:rPr>
          <w:rFonts w:cstheme="minorBidi" w:hint="eastAsia"/>
          <w:szCs w:val="22"/>
          <w:lang w:val="lt-LT" w:eastAsia="lt-LT"/>
        </w:rPr>
        <w:t xml:space="preserve"> 58 straipsnio 16 dalies 1 ir 2 punktuose keliamas sąlygas</w:t>
      </w:r>
      <w:r>
        <w:rPr>
          <w:rFonts w:cstheme="minorBidi"/>
          <w:szCs w:val="22"/>
          <w:lang w:val="lt-LT" w:eastAsia="lt-LT"/>
        </w:rPr>
        <w:t>,</w:t>
      </w:r>
      <w:r>
        <w:rPr>
          <w:rFonts w:cstheme="minorBidi" w:hint="eastAsia"/>
          <w:szCs w:val="22"/>
          <w:lang w:val="lt-LT" w:eastAsia="lt-LT"/>
        </w:rPr>
        <w:t xml:space="preserve"> įgyja teisę taikyti </w:t>
      </w:r>
      <w:r>
        <w:rPr>
          <w:rFonts w:cstheme="minorBidi"/>
          <w:szCs w:val="22"/>
          <w:lang w:val="lt-LT" w:eastAsia="lt-LT"/>
        </w:rPr>
        <w:t>PMĮ</w:t>
      </w:r>
      <w:r>
        <w:rPr>
          <w:rFonts w:cstheme="minorBidi" w:hint="eastAsia"/>
          <w:szCs w:val="22"/>
          <w:lang w:val="lt-LT" w:eastAsia="lt-LT"/>
        </w:rPr>
        <w:t xml:space="preserve"> 58 straipsnio 16 dalies 1 ir 2 punktuose įtvirtintą lengvatą. </w:t>
      </w:r>
    </w:p>
    <w:p w14:paraId="3B9DBD98"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szCs w:val="22"/>
          <w:lang w:val="lt-LT" w:eastAsia="lt-LT"/>
        </w:rPr>
        <w:t xml:space="preserve">Vadinasi, apskaičiuojant </w:t>
      </w:r>
      <w:r>
        <w:rPr>
          <w:rFonts w:cstheme="minorBidi" w:hint="eastAsia"/>
          <w:szCs w:val="22"/>
          <w:lang w:val="lt-LT" w:eastAsia="lt-LT"/>
        </w:rPr>
        <w:t xml:space="preserve">2018 metų ir vėlesnių metų mokestinių laikotarpių pelno mokestį, </w:t>
      </w:r>
      <w:r>
        <w:rPr>
          <w:rFonts w:cstheme="minorBidi"/>
          <w:szCs w:val="22"/>
          <w:lang w:val="lt-LT" w:eastAsia="lt-LT"/>
        </w:rPr>
        <w:t>PMĮ</w:t>
      </w:r>
      <w:r>
        <w:rPr>
          <w:rFonts w:cstheme="minorBidi" w:hint="eastAsia"/>
          <w:szCs w:val="22"/>
          <w:lang w:val="lt-LT" w:eastAsia="lt-LT"/>
        </w:rPr>
        <w:t xml:space="preserve"> 58 straipsnio 16 dalies 1 ir 2 punktuose įtvirtinta lengvata Laisvos ekonominės zonos teritorijoje įsteigtos ir vykdančios ūkinę-komercinę veiklą įmonės galės pasinaudoti net ir tada, kai dar nėra įsteigta zonos valdymo bendrovė. Tai reiškia, kad </w:t>
      </w:r>
      <w:r>
        <w:rPr>
          <w:rFonts w:cstheme="minorBidi"/>
          <w:szCs w:val="22"/>
          <w:lang w:val="lt-LT" w:eastAsia="lt-LT"/>
        </w:rPr>
        <w:t>PMĮ</w:t>
      </w:r>
      <w:r>
        <w:rPr>
          <w:rFonts w:cstheme="minorBidi" w:hint="eastAsia"/>
          <w:szCs w:val="22"/>
          <w:lang w:val="lt-LT" w:eastAsia="lt-LT"/>
        </w:rPr>
        <w:t xml:space="preserve"> 58 straipsnio 16 dalies 1 ir 2 punktuose įtvirtintos mokestinės lengvatos zonos įmonėms taikomos</w:t>
      </w:r>
      <w:r>
        <w:rPr>
          <w:rFonts w:cstheme="minorBidi"/>
          <w:szCs w:val="22"/>
          <w:lang w:val="lt-LT" w:eastAsia="lt-LT"/>
        </w:rPr>
        <w:t xml:space="preserve"> tada, kai įmonė realiai vykdo veiklą </w:t>
      </w:r>
      <w:r>
        <w:rPr>
          <w:rFonts w:cstheme="minorBidi" w:hint="eastAsia"/>
          <w:szCs w:val="22"/>
          <w:lang w:val="lt-LT" w:eastAsia="lt-LT"/>
        </w:rPr>
        <w:t>Laisvos ekonominės zonos teritorijoje, kol nėra įsteig</w:t>
      </w:r>
      <w:r>
        <w:rPr>
          <w:rFonts w:cstheme="minorBidi"/>
          <w:szCs w:val="22"/>
          <w:lang w:val="lt-LT" w:eastAsia="lt-LT"/>
        </w:rPr>
        <w:t>ta</w:t>
      </w:r>
      <w:r>
        <w:rPr>
          <w:rFonts w:cstheme="minorBidi" w:hint="eastAsia"/>
          <w:szCs w:val="22"/>
          <w:lang w:val="lt-LT" w:eastAsia="lt-LT"/>
        </w:rPr>
        <w:t xml:space="preserve"> zonos valdymo bendrovė</w:t>
      </w:r>
      <w:r>
        <w:rPr>
          <w:rFonts w:cstheme="minorBidi"/>
          <w:szCs w:val="22"/>
          <w:lang w:val="lt-LT" w:eastAsia="lt-LT"/>
        </w:rPr>
        <w:t>.</w:t>
      </w:r>
    </w:p>
    <w:p w14:paraId="2D7F4890" w14:textId="77777777" w:rsidR="00093845" w:rsidRDefault="000D779E">
      <w:pPr>
        <w:spacing w:before="100" w:beforeAutospacing="1" w:after="100" w:afterAutospacing="1"/>
        <w:ind w:firstLine="567"/>
        <w:jc w:val="both"/>
        <w:rPr>
          <w:rFonts w:cstheme="minorBidi"/>
          <w:szCs w:val="22"/>
          <w:lang w:val="lt-LT" w:eastAsia="lt-LT"/>
        </w:rPr>
      </w:pPr>
      <w:r>
        <w:rPr>
          <w:rFonts w:cstheme="minorBidi" w:hint="eastAsia"/>
          <w:szCs w:val="22"/>
          <w:lang w:val="lt-LT" w:eastAsia="lt-LT"/>
        </w:rPr>
        <w:t>Įsteigus zonos valdymo bendrovę, investuotojams, įgijusiems laisvosios ekonominės zonos įmonės statusą, taikomi mokesčių lengvatų terminai ir sąlygos nekeičiami.</w:t>
      </w:r>
    </w:p>
    <w:p w14:paraId="070F75B6" w14:textId="77777777" w:rsidR="002A055D" w:rsidRPr="00C24DD2" w:rsidRDefault="000D779E" w:rsidP="00C24DD2">
      <w:pPr>
        <w:spacing w:before="100" w:beforeAutospacing="1" w:after="100" w:afterAutospacing="1"/>
        <w:jc w:val="both"/>
      </w:pPr>
      <w:r>
        <w:rPr>
          <w:iCs/>
          <w:lang w:eastAsia="lt-LT"/>
        </w:rPr>
        <w:t>(Pakeistas pagal 2018-09-27 VMI prie FM raštą Nr. (</w:t>
      </w:r>
      <w:r>
        <w:rPr>
          <w:color w:val="000000"/>
        </w:rPr>
        <w:t>(18.10-31-1E</w:t>
      </w:r>
      <w:r>
        <w:t>) RM-33781)</w:t>
      </w:r>
    </w:p>
    <w:p w14:paraId="77237FD6" w14:textId="77777777" w:rsidR="00C24DD2" w:rsidRDefault="00C24DD2" w:rsidP="00C24DD2">
      <w:pPr>
        <w:jc w:val="both"/>
        <w:rPr>
          <w:b/>
          <w:lang w:eastAsia="lt-LT"/>
        </w:rPr>
      </w:pPr>
      <w:r w:rsidRPr="006E3411">
        <w:rPr>
          <w:b/>
          <w:lang w:eastAsia="lt-LT"/>
        </w:rPr>
        <w:t>16</w:t>
      </w:r>
      <w:r w:rsidRPr="006E3411">
        <w:rPr>
          <w:b/>
          <w:vertAlign w:val="superscript"/>
          <w:lang w:eastAsia="lt-LT"/>
        </w:rPr>
        <w:t>2</w:t>
      </w:r>
      <w:r w:rsidRPr="006E3411">
        <w:rPr>
          <w:b/>
          <w:lang w:eastAsia="lt-LT"/>
        </w:rPr>
        <w:t>. Juridinis asmuo, kuris įgyvendina stambų projektą pagal galiojančią iki 2035 m. gruodžio 31 d. sudarytą stambaus projekto investicijų sutartį ir kuris mokestiniais metais pradeda tenkinti reikalavimus, nustatytus Investicijų įstatymo 2 straipsnio 25 dalies 1 arba 2 punkte, ir kuris nesinaudoja šio straipsnio 16 dalies 1 ir 2 punktuose arba 16</w:t>
      </w:r>
      <w:r w:rsidRPr="006E3411">
        <w:rPr>
          <w:b/>
          <w:vertAlign w:val="superscript"/>
          <w:lang w:eastAsia="lt-LT"/>
        </w:rPr>
        <w:t>3</w:t>
      </w:r>
      <w:r w:rsidRPr="006E3411">
        <w:rPr>
          <w:b/>
          <w:lang w:eastAsia="lt-LT"/>
        </w:rPr>
        <w:t xml:space="preserve"> dalyje nustatyta pelno mokesčio lengvata, nemoka pelno mokesčio, pradedant tuo mokestiniu laikotarpiu, kurį šis juridinis asmuo pradėjo tenkinti Investicijų įstatymo 2 straipsnio 25 dalies 1 arba 2 punkte nustatytus reikalavimus. Šioje dalyje nustatyta lengvata taikoma tik tuo atveju, kai ne mažiau kaip 75 procentai atitinkamo mokestinio laikotarpio juridinio asmens pajamų sudaro pajamos iš duomenų apdorojimo, interneto serverių paslaugų (prieglobos) ir susijusios veiklos arba pajamos iš apdirbamosios gamybos, ir tik toms juridinio asmens pajamoms, kurios gautos įgyvendinant stambų projektą. Šioje dalyje nustatyta lengvata pajamoms iš intelektinės nuosavybės turto naudojimo netaikoma, išskyrus atvejus, kai šios pajamos atitinka šio Įstatymo 5 straipsnio 7</w:t>
      </w:r>
      <w:r>
        <w:rPr>
          <w:b/>
          <w:lang w:eastAsia="lt-LT"/>
        </w:rPr>
        <w:t>-</w:t>
      </w:r>
      <w:r w:rsidRPr="006E3411">
        <w:rPr>
          <w:b/>
          <w:lang w:eastAsia="lt-LT"/>
        </w:rPr>
        <w:t>10 dalyse ir 30 straipsnio 1 ir 2</w:t>
      </w:r>
      <w:r w:rsidRPr="006E3411">
        <w:rPr>
          <w:b/>
          <w:vertAlign w:val="superscript"/>
          <w:lang w:eastAsia="lt-LT"/>
        </w:rPr>
        <w:t>1</w:t>
      </w:r>
      <w:r w:rsidRPr="006E3411">
        <w:rPr>
          <w:b/>
          <w:lang w:eastAsia="lt-LT"/>
        </w:rPr>
        <w:t xml:space="preserve"> dalyse nustatytas sąlygas (išskyrus šio Įstatymo 5 straipsnio 7 dalyje nustatytą taikytiną pelno mokesčio tarifo dydį). Šioje dalyje nustatyta lengvata taikoma tik tuo atveju, kai juridinis asmuo turi auditoriaus išvadą, patvirtinančią reikalaujamą juridinio asmens privačių kapitalo investicijų dydį. Jeigu juridinio asmens privačių kapitalo investicijų suma į stambų projektą sumažėja ir nebesiekia 20 milijonų eurų sumos, o kai investuojama Vilniuje, nebesiekia 30 milijonų eurų sumos, išskyrus ilgalaikio turto </w:t>
      </w:r>
      <w:r w:rsidRPr="006E3411">
        <w:rPr>
          <w:b/>
          <w:lang w:eastAsia="lt-LT"/>
        </w:rPr>
        <w:lastRenderedPageBreak/>
        <w:t xml:space="preserve">nusidėvėjimo arba amortizacijos sąnaudas, ir (arba) tais mokestiniais metais juridinis asmuo nebetenkina nors vieno kito reikalavimo, nurodyto Investicijų įstatymo 2 straipsnio 25 dalies 1 arba 2 punkte, lengvata tą mokestinį laikotarpį netaikoma ir lengvatos taikymas atnaujinamas tą mokestinį laikotarpį, kurį juridinio asmens privačios kapitalo investicijos į stambų projektą vėl pasiekia 20 milijonų eurų sumą, o kai investuojama Vilniuje, – 30 milijonų eurų sumą ir (arba) pradedami tenkinti visi kiti Investicijų įstatymo 2 straipsnio 25 dalies 1 arba 2 punktų reikalavimai. Šioje dalyje nustatyta lengvata juridiniam asmeniui, įgyvendinančiam stambų projektą, taikoma 20 </w:t>
      </w:r>
      <w:r w:rsidRPr="006E3411">
        <w:rPr>
          <w:b/>
          <w:bCs/>
          <w:lang w:eastAsia="lt-LT"/>
        </w:rPr>
        <w:t>mokestinių laikotarpių, pradedant tuo mokestiniu laikotarpiu, kurį buvo pasiekta 20 milijonų eurų investicijų suma, o kai investuojama Vilniuje, 30 milijonų eurų investicijų suma, ir juridinis asmuo tenkina visus kitus reikalavimus, nurodytus Investicijų įstatymo 2 straipsnio 25 dalies 1 arba 2 punkte</w:t>
      </w:r>
      <w:r w:rsidRPr="006E3411">
        <w:rPr>
          <w:b/>
          <w:lang w:eastAsia="lt-LT"/>
        </w:rPr>
        <w:t xml:space="preserve">. </w:t>
      </w:r>
      <w:r w:rsidRPr="006E3411">
        <w:rPr>
          <w:b/>
          <w:bCs/>
          <w:lang w:eastAsia="lt-LT"/>
        </w:rPr>
        <w:t xml:space="preserve">Į šiuos 20 mokestinių laikotarpių yra įskaičiuojami visi mokestiniai laikotarpiai nuo teisės į lengvatą įgijimo, nepriklausomai nuo to, ar per tam tikrus mokestinius laikotarpius lengvata faktiškai buvo taikyta. </w:t>
      </w:r>
      <w:r w:rsidRPr="006E3411">
        <w:rPr>
          <w:b/>
          <w:lang w:eastAsia="lt-LT"/>
        </w:rPr>
        <w:t>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w:t>
      </w:r>
    </w:p>
    <w:p w14:paraId="27EC21D7" w14:textId="77777777" w:rsidR="00C24DD2" w:rsidRPr="00DF6D49" w:rsidRDefault="00C24DD2" w:rsidP="00C24DD2">
      <w:pPr>
        <w:jc w:val="both"/>
        <w:rPr>
          <w:i/>
        </w:rPr>
      </w:pPr>
      <w:r w:rsidRPr="00DF6D49">
        <w:rPr>
          <w:rFonts w:ascii="TimesLT" w:hAnsi="TimesLT"/>
          <w:i/>
        </w:rPr>
        <w:t>KEISTA: 2025-06-30 įstatymu Nr. XV-383, šios dalies nuostatos taikomos apskaičiuojant 2026 metų ir vėlesnių mokestinių laikotarpių pelno mokestį.</w:t>
      </w:r>
    </w:p>
    <w:p w14:paraId="28DAFA91" w14:textId="77777777" w:rsidR="00C24DD2" w:rsidRDefault="00C24DD2" w:rsidP="00C24DD2">
      <w:pPr>
        <w:spacing w:after="0" w:line="240" w:lineRule="auto"/>
        <w:ind w:firstLine="720"/>
        <w:jc w:val="both"/>
        <w:rPr>
          <w:b/>
          <w:iCs/>
          <w:color w:val="000000"/>
        </w:rPr>
      </w:pPr>
      <w:bookmarkStart w:id="872" w:name="_Hlk208581616"/>
      <w:r w:rsidRPr="008C51B0">
        <w:rPr>
          <w:b/>
          <w:iCs/>
          <w:color w:val="000000"/>
        </w:rPr>
        <w:t>Komentaras</w:t>
      </w:r>
    </w:p>
    <w:p w14:paraId="73CB4EC2" w14:textId="77777777" w:rsidR="00C24DD2" w:rsidRDefault="00C24DD2" w:rsidP="00C24DD2">
      <w:pPr>
        <w:spacing w:after="0" w:line="240" w:lineRule="auto"/>
        <w:ind w:firstLine="720"/>
        <w:jc w:val="both"/>
        <w:rPr>
          <w:b/>
          <w:iCs/>
          <w:color w:val="000000"/>
        </w:rPr>
      </w:pPr>
    </w:p>
    <w:p w14:paraId="5999709F" w14:textId="77777777" w:rsidR="00C24DD2" w:rsidRPr="00DF6D49" w:rsidRDefault="00C24DD2" w:rsidP="00C24DD2">
      <w:pPr>
        <w:pStyle w:val="Sraopastraipa"/>
        <w:numPr>
          <w:ilvl w:val="0"/>
          <w:numId w:val="95"/>
        </w:numPr>
        <w:ind w:left="0" w:firstLine="567"/>
        <w:jc w:val="both"/>
      </w:pPr>
      <w:bookmarkStart w:id="873" w:name="_Hlk208839861"/>
      <w:r w:rsidRPr="00DF6D49">
        <w:rPr>
          <w:color w:val="000000"/>
        </w:rPr>
        <w:t>Komentuojamosios dalies pelno mokesčio lengvatos nuostatų taikymas j</w:t>
      </w:r>
      <w:r w:rsidRPr="00DF6D49">
        <w:rPr>
          <w:color w:val="000000"/>
          <w:lang w:val="en-US"/>
        </w:rPr>
        <w:t>uridini</w:t>
      </w:r>
      <w:r w:rsidRPr="00DF6D49">
        <w:rPr>
          <w:color w:val="000000"/>
        </w:rPr>
        <w:t>am</w:t>
      </w:r>
      <w:r w:rsidRPr="00DF6D49">
        <w:rPr>
          <w:color w:val="000000"/>
          <w:lang w:val="en-US"/>
        </w:rPr>
        <w:t xml:space="preserve"> asm</w:t>
      </w:r>
      <w:r w:rsidRPr="00DF6D49">
        <w:rPr>
          <w:color w:val="000000"/>
        </w:rPr>
        <w:t>eniui</w:t>
      </w:r>
      <w:r w:rsidRPr="00DF6D49">
        <w:rPr>
          <w:color w:val="000000"/>
          <w:lang w:val="en-US"/>
        </w:rPr>
        <w:t>, kuris pagal galiojančią sutartį įgyvendina stambų projektą, priklauso nuo sudarytos stambaus projekto sutarties:</w:t>
      </w:r>
    </w:p>
    <w:p w14:paraId="6E825F3F" w14:textId="77777777" w:rsidR="00C24DD2" w:rsidRPr="00DF6D49" w:rsidRDefault="00C24DD2" w:rsidP="00C24DD2">
      <w:pPr>
        <w:pStyle w:val="Sraopastraipa"/>
        <w:ind w:left="567"/>
        <w:jc w:val="both"/>
        <w:rPr>
          <w:color w:val="000000"/>
        </w:rPr>
      </w:pPr>
      <w:r w:rsidRPr="00DF6D49">
        <w:rPr>
          <w:color w:val="000000"/>
          <w:lang w:val="en-US"/>
        </w:rPr>
        <w:t xml:space="preserve">- sudarius stambaus projekto sutartį </w:t>
      </w:r>
      <w:r w:rsidRPr="00DF6D49">
        <w:rPr>
          <w:b/>
          <w:color w:val="000000"/>
          <w:lang w:val="en-US"/>
        </w:rPr>
        <w:t>iki 2025 m. lapkričio 1 d</w:t>
      </w:r>
      <w:r w:rsidRPr="00DF6D49">
        <w:rPr>
          <w:color w:val="000000"/>
          <w:lang w:val="en-US"/>
        </w:rPr>
        <w:t xml:space="preserve">., juridinis asdmuo nemoka pelno mokesčio ne ilgiau negu 20 metų </w:t>
      </w:r>
      <w:r w:rsidRPr="00DF6D49">
        <w:rPr>
          <w:color w:val="000000"/>
        </w:rPr>
        <w:t>nuo sutarties sudarymo momento;</w:t>
      </w:r>
    </w:p>
    <w:p w14:paraId="1A8CEBC6" w14:textId="77777777" w:rsidR="00C24DD2" w:rsidRPr="00DF6D49" w:rsidRDefault="00C24DD2" w:rsidP="00C24DD2">
      <w:pPr>
        <w:pStyle w:val="Sraopastraipa"/>
        <w:ind w:left="567"/>
        <w:jc w:val="both"/>
      </w:pPr>
      <w:r w:rsidRPr="00DF6D49">
        <w:rPr>
          <w:color w:val="000000"/>
        </w:rPr>
        <w:t xml:space="preserve">-  sudarius stambaus projekto sutartį </w:t>
      </w:r>
      <w:r w:rsidRPr="00DF6D49">
        <w:rPr>
          <w:b/>
          <w:color w:val="000000"/>
        </w:rPr>
        <w:t>po  2025 metų lapkričio 1 d</w:t>
      </w:r>
      <w:r w:rsidRPr="00DF6D49">
        <w:rPr>
          <w:color w:val="000000"/>
        </w:rPr>
        <w:t>. juridinis asmuo nemoka pelno mokesčio ne ilgiau negu 20 mokestinių laikotarpių pradedant tuo mokestiniu laikotarpiu, kurį buvo pasiekta 20 milijonų eurų investicijų suma, o kai investuojama Vilniuje, – 30 milijonų eurų investicijų suma ir juridinis asmuo tenkina visus kitus reikalavimus, nurodytus Investicijų įstatymo 2 str. 25 d. 1 arba 2 p.</w:t>
      </w:r>
    </w:p>
    <w:bookmarkEnd w:id="873"/>
    <w:p w14:paraId="2B3DD662" w14:textId="77777777" w:rsidR="00C24DD2" w:rsidRDefault="00C24DD2" w:rsidP="00C24DD2">
      <w:pPr>
        <w:pStyle w:val="Sraopastraipa"/>
        <w:numPr>
          <w:ilvl w:val="0"/>
          <w:numId w:val="95"/>
        </w:numPr>
        <w:ind w:left="0" w:firstLine="567"/>
        <w:jc w:val="both"/>
      </w:pPr>
      <w:r w:rsidRPr="00E90A8B">
        <w:rPr>
          <w:b/>
        </w:rPr>
        <w:t xml:space="preserve">Komentuojamosios dalies nuostatos, taikomos </w:t>
      </w:r>
      <w:bookmarkStart w:id="874" w:name="_Hlk204073936"/>
      <w:r w:rsidRPr="00E90A8B">
        <w:rPr>
          <w:b/>
        </w:rPr>
        <w:t>iki 2025-11-01 pasirašytoms stambaus projekto investicijų sutartims</w:t>
      </w:r>
      <w:bookmarkEnd w:id="874"/>
      <w:r>
        <w:t>.</w:t>
      </w:r>
    </w:p>
    <w:p w14:paraId="7E564411" w14:textId="77777777" w:rsidR="00C24DD2" w:rsidRPr="00B35B9D" w:rsidRDefault="00C24DD2" w:rsidP="00C24DD2">
      <w:pPr>
        <w:pStyle w:val="Sraopastraipa"/>
        <w:ind w:left="0" w:firstLine="927"/>
        <w:jc w:val="both"/>
      </w:pPr>
      <w:r w:rsidRPr="0011463B">
        <w:t xml:space="preserve"> </w:t>
      </w:r>
      <w:r w:rsidRPr="00B35B9D">
        <w:t xml:space="preserve">Juridinis asmuo, įgyvendinantis stambų projektą pagal galiojančią stambaus projekto investicijų sutartį, </w:t>
      </w:r>
      <w:bookmarkStart w:id="875" w:name="_Hlk208838976"/>
      <w:r w:rsidRPr="00B35B9D">
        <w:t xml:space="preserve">nemoka pelno mokesčio ne ilgiau negu 20 metų </w:t>
      </w:r>
      <w:bookmarkEnd w:id="875"/>
      <w:r w:rsidRPr="002A41A1">
        <w:rPr>
          <w:b/>
          <w:u w:val="single"/>
        </w:rPr>
        <w:t xml:space="preserve">nuo </w:t>
      </w:r>
      <w:bookmarkStart w:id="876" w:name="_Hlk208557176"/>
      <w:r w:rsidRPr="002A41A1">
        <w:rPr>
          <w:b/>
          <w:u w:val="single"/>
        </w:rPr>
        <w:t>stambaus projekto investicijų sutarties įsigaliojimo dienos</w:t>
      </w:r>
      <w:bookmarkEnd w:id="876"/>
      <w:r w:rsidRPr="002A41A1">
        <w:rPr>
          <w:b/>
          <w:u w:val="single"/>
        </w:rPr>
        <w:t>,</w:t>
      </w:r>
      <w:r w:rsidRPr="00B35B9D">
        <w:t xml:space="preserve"> jeigu tenkinamos visos šios 6 sąlygos: </w:t>
      </w:r>
    </w:p>
    <w:p w14:paraId="4E7E318B" w14:textId="77777777" w:rsidR="00C24DD2" w:rsidRPr="00DF6D49" w:rsidRDefault="00C24DD2" w:rsidP="00C24DD2">
      <w:pPr>
        <w:tabs>
          <w:tab w:val="left" w:pos="426"/>
          <w:tab w:val="left" w:pos="709"/>
        </w:tabs>
        <w:ind w:firstLine="567"/>
        <w:jc w:val="both"/>
      </w:pPr>
      <w:bookmarkStart w:id="877" w:name="_Hlk66877364"/>
      <w:r w:rsidRPr="00DF6D49">
        <w:t>2.1.</w:t>
      </w:r>
      <w:r w:rsidRPr="00DF6D49">
        <w:tab/>
        <w:t xml:space="preserve">juridinis asmuo įgyvendina stambų projektą pagal galiojančią stambaus projekto investicijų sutartį; </w:t>
      </w:r>
    </w:p>
    <w:p w14:paraId="5A3F7497" w14:textId="77777777" w:rsidR="00C24DD2" w:rsidRPr="00DF6D49" w:rsidRDefault="00C24DD2" w:rsidP="00C24DD2">
      <w:pPr>
        <w:tabs>
          <w:tab w:val="left" w:pos="426"/>
          <w:tab w:val="left" w:pos="709"/>
        </w:tabs>
        <w:ind w:firstLine="567"/>
        <w:jc w:val="both"/>
      </w:pPr>
      <w:r w:rsidRPr="00DF6D49">
        <w:t xml:space="preserve">2.2. mokestiniais metais tenkinamas reikalavimas dėl vidutinio darbuotojų skaičiaus, reikalingo stambiam projektui Lietuvos Respublikoje įgyvendinti, nustatyto Investicijų įstatymo 2 straipsnio 25 dalies 1 arba 2 punkte, t. y. vidutinis </w:t>
      </w:r>
      <w:bookmarkStart w:id="878" w:name="_Hlk66859573"/>
      <w:r w:rsidRPr="00DF6D49">
        <w:t>darbuotojų, reikalingų stambiam projektui Lietuvos Respublikoje įgyvendinti, skaičius mokestiniais metais ne mažesnis kaip 150 (Vilniuje – ne mažesnis kaip 200)</w:t>
      </w:r>
      <w:bookmarkEnd w:id="878"/>
      <w:r w:rsidRPr="00DF6D49">
        <w:t xml:space="preserve"> (Investicijų įstatymo 25 straipsnio 25 dalies 1 punktas) arba </w:t>
      </w:r>
      <w:r w:rsidRPr="00DF6D49">
        <w:rPr>
          <w:iCs/>
          <w:color w:val="000000"/>
        </w:rPr>
        <w:t>sukurta Lietuvos Respublikoje nuo 20 iki 149, o kai investuojama Vilniuje – nuo 20 iki 199 naujų darbo vietų (Investicijų įstatymo 25 straipsnio 25 dalies 2 punktas)</w:t>
      </w:r>
      <w:r w:rsidRPr="00DF6D49">
        <w:t xml:space="preserve"> </w:t>
      </w:r>
      <w:r w:rsidRPr="00DF6D49">
        <w:rPr>
          <w:iCs/>
          <w:color w:val="000000"/>
        </w:rPr>
        <w:t>(pasirinktas rodiklis įrašomas stambaus projekto sutartyje)</w:t>
      </w:r>
      <w:r w:rsidRPr="00DF6D49">
        <w:t xml:space="preserve">; </w:t>
      </w:r>
    </w:p>
    <w:p w14:paraId="4F68AF8E" w14:textId="77777777" w:rsidR="00C24DD2" w:rsidRPr="00DF6D49" w:rsidRDefault="00C24DD2" w:rsidP="00C24DD2">
      <w:pPr>
        <w:tabs>
          <w:tab w:val="left" w:pos="426"/>
          <w:tab w:val="left" w:pos="709"/>
        </w:tabs>
        <w:ind w:firstLine="567"/>
        <w:jc w:val="both"/>
      </w:pPr>
      <w:r w:rsidRPr="00DF6D49">
        <w:t>2.3.</w:t>
      </w:r>
      <w:r w:rsidRPr="00DF6D49">
        <w:tab/>
        <w:t xml:space="preserve">privačios kapitalo investicijos į stambų projektą Lietuvos Respublikoje pasiekė ne mažesnę kaip 20 milijonų eurų sumą (Vilniuje - ne mažesnę kaip 30 milijonų eurų sumą); </w:t>
      </w:r>
    </w:p>
    <w:p w14:paraId="7E23A73C" w14:textId="77777777" w:rsidR="00C24DD2" w:rsidRPr="00DF6D49" w:rsidRDefault="00C24DD2" w:rsidP="00C24DD2">
      <w:pPr>
        <w:tabs>
          <w:tab w:val="left" w:pos="426"/>
          <w:tab w:val="left" w:pos="709"/>
        </w:tabs>
        <w:ind w:firstLine="567"/>
        <w:jc w:val="both"/>
      </w:pPr>
      <w:r w:rsidRPr="00DF6D49">
        <w:lastRenderedPageBreak/>
        <w:t>2.4.</w:t>
      </w:r>
      <w:r w:rsidRPr="00DF6D49">
        <w:tab/>
        <w:t>juridinis asmuo stambiam projektui įgyvendinti nesinaudoja šio straipsnio 16 dalies 1 ir 2 punktuose arba 16</w:t>
      </w:r>
      <w:r w:rsidRPr="00DF6D49">
        <w:rPr>
          <w:vertAlign w:val="superscript"/>
        </w:rPr>
        <w:t>3</w:t>
      </w:r>
      <w:r w:rsidRPr="00DF6D49">
        <w:t xml:space="preserve"> dalyje nustatyta pelno mokesčio lengvata; </w:t>
      </w:r>
    </w:p>
    <w:p w14:paraId="38D3A208" w14:textId="77777777" w:rsidR="00C24DD2" w:rsidRPr="00B35B9D" w:rsidRDefault="00C24DD2" w:rsidP="00C24DD2">
      <w:pPr>
        <w:tabs>
          <w:tab w:val="left" w:pos="426"/>
          <w:tab w:val="left" w:pos="709"/>
        </w:tabs>
        <w:ind w:firstLine="567"/>
        <w:jc w:val="both"/>
      </w:pPr>
      <w:r w:rsidRPr="00DF6D49">
        <w:t>2.5.</w:t>
      </w:r>
      <w:r w:rsidRPr="00DF6D49">
        <w:tab/>
        <w:t xml:space="preserve">ne mažiau kaip 75 procentai atitinkamo mokestinio laikotarpio </w:t>
      </w:r>
      <w:bookmarkStart w:id="879" w:name="_Hlk208813658"/>
      <w:r w:rsidRPr="00DF6D49">
        <w:t xml:space="preserve">iš vykdomo stambaus projekto veiklos uždirbamų </w:t>
      </w:r>
      <w:bookmarkEnd w:id="879"/>
      <w:r w:rsidRPr="00DF6D49">
        <w:t>pajamų sudaro pajamos iš duomenų apdorojimo, interneto serverių paslaugų (prieglobos) ir susijusios veiklos arba pajamos iš apdirbamosios gamybos, gautos įgyvendinant stambų projektą</w:t>
      </w:r>
      <w:r w:rsidRPr="00B35B9D">
        <w:t xml:space="preserve">; </w:t>
      </w:r>
    </w:p>
    <w:p w14:paraId="29FBE2DA" w14:textId="77777777" w:rsidR="00C24DD2" w:rsidRDefault="00C24DD2" w:rsidP="00C24DD2">
      <w:pPr>
        <w:ind w:firstLine="567"/>
        <w:jc w:val="both"/>
      </w:pPr>
      <w:r w:rsidRPr="00DF6D49">
        <w:t>2</w:t>
      </w:r>
      <w:r w:rsidRPr="00B35B9D">
        <w:t>.6.</w:t>
      </w:r>
      <w:r w:rsidRPr="00B35B9D">
        <w:tab/>
        <w:t xml:space="preserve">turi auditoriaus išvadą, patvirtinančią reikalaujamą juridinio asmens privačių kapitalo investicijų dydį. </w:t>
      </w:r>
      <w:bookmarkEnd w:id="877"/>
      <w:r w:rsidRPr="00B35B9D">
        <w:t>Auditoriaus išvadoje papildomai galėtų būti fiksuojama sutarties įsigaliojimo data.</w:t>
      </w:r>
      <w:r w:rsidRPr="006E4682">
        <w:t xml:space="preserve"> </w:t>
      </w:r>
    </w:p>
    <w:p w14:paraId="3F3A85C9" w14:textId="77777777" w:rsidR="00C24DD2" w:rsidRDefault="00C24DD2" w:rsidP="00C24DD2">
      <w:pPr>
        <w:ind w:firstLine="567"/>
        <w:jc w:val="both"/>
      </w:pPr>
      <w:r w:rsidRPr="00DF6D49">
        <w:t>3</w:t>
      </w:r>
      <w:r w:rsidRPr="006E4682">
        <w:t>. PMĮ 58 str. 16</w:t>
      </w:r>
      <w:r w:rsidRPr="006E4682">
        <w:rPr>
          <w:vertAlign w:val="superscript"/>
        </w:rPr>
        <w:t>2</w:t>
      </w:r>
      <w:r w:rsidRPr="006E4682">
        <w:t xml:space="preserve"> dalyje nustatyta pelno mokesčio lengvata taikoma iš stambaus projekto įgyvendinimo gautoms pajamoms pagal nuo 2021 sausio 1 d. iki </w:t>
      </w:r>
      <w:r w:rsidRPr="00DF6D49">
        <w:t>2035</w:t>
      </w:r>
      <w:r>
        <w:t xml:space="preserve"> </w:t>
      </w:r>
      <w:r w:rsidRPr="006E4682">
        <w:t xml:space="preserve">m. gruodžio 31 d. sudarytas stambių projektų investicijų sutartis. </w:t>
      </w:r>
    </w:p>
    <w:p w14:paraId="432B3986" w14:textId="77777777" w:rsidR="00C24DD2" w:rsidRDefault="00C24DD2" w:rsidP="00C24DD2">
      <w:pPr>
        <w:ind w:firstLine="567"/>
        <w:jc w:val="both"/>
        <w:rPr>
          <w:lang w:val="lt-LT"/>
        </w:rPr>
      </w:pPr>
      <w:r w:rsidRPr="000E13E6">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kuris tenkina visas 58 straipsnio 16</w:t>
      </w:r>
      <w:r w:rsidRPr="000E13E6">
        <w:rPr>
          <w:vertAlign w:val="superscript"/>
          <w:lang w:val="lt-LT"/>
        </w:rPr>
        <w:t>2</w:t>
      </w:r>
      <w:r w:rsidRPr="000E13E6">
        <w:rPr>
          <w:lang w:val="lt-LT"/>
        </w:rPr>
        <w:t xml:space="preserve"> dalyje nustatytas lengvatos taikymo sąlygas.</w:t>
      </w:r>
    </w:p>
    <w:p w14:paraId="6C4AAAC9" w14:textId="77777777" w:rsidR="00C24DD2" w:rsidRDefault="00C24DD2" w:rsidP="00C24DD2">
      <w:pPr>
        <w:ind w:firstLine="567"/>
        <w:jc w:val="both"/>
      </w:pPr>
      <w:r w:rsidRPr="00DF6D49">
        <w:t>4</w:t>
      </w:r>
      <w:r w:rsidRPr="006E4682">
        <w:t xml:space="preserve">. </w:t>
      </w:r>
      <w:r w:rsidRPr="00EF3B7A">
        <w:t xml:space="preserve">Komentuojamosios dalies kontekste stambus projektas suprantamas kaip duomenų apdorojimo, interneto serverių paslaugų (prieglobos) ir susijusios veiklos arba apdirbamosios gamybos investicijų projektas, dėl kurio įgyvendinimo yra sudaryta ir galioja stambaus projekto investicijų sutartis, kaip numatyta Investicijų </w:t>
      </w:r>
      <w:r w:rsidRPr="00721A36">
        <w:t>įstatymo 2 straipsnio 25 dalyje</w:t>
      </w:r>
      <w:r w:rsidRPr="00EF3B7A">
        <w:t xml:space="preserve">. Stambaus projekto investicijų sutartis </w:t>
      </w:r>
      <w:r>
        <w:t>-</w:t>
      </w:r>
      <w:r w:rsidRPr="00EF3B7A">
        <w:t xml:space="preserve"> Lietuvos Respublikos Vyriausybės įgaliotos institucijos ir investuotojo sudaryta investicijų 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0786CA73" w14:textId="77777777" w:rsidR="00C24DD2" w:rsidRDefault="00C24DD2" w:rsidP="00C24DD2">
      <w:pPr>
        <w:ind w:firstLine="567"/>
        <w:jc w:val="both"/>
        <w:rPr>
          <w:iCs/>
          <w:color w:val="000000"/>
          <w:lang w:val="lt-LT"/>
        </w:rPr>
      </w:pPr>
      <w:r w:rsidRPr="00DF6D49">
        <w:t>5</w:t>
      </w:r>
      <w:r>
        <w:t>.</w:t>
      </w:r>
      <w:r>
        <w:rPr>
          <w:vertAlign w:val="superscript"/>
        </w:rPr>
        <w:t xml:space="preserve"> </w:t>
      </w:r>
      <w:r w:rsidRPr="000E13E6">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0E13E6">
        <w:rPr>
          <w:iCs/>
          <w:color w:val="000000"/>
          <w:vertAlign w:val="superscript"/>
          <w:lang w:val="lt-LT"/>
        </w:rPr>
        <w:t>1</w:t>
      </w:r>
      <w:r w:rsidRPr="000E13E6">
        <w:rPr>
          <w:iCs/>
          <w:color w:val="000000"/>
          <w:lang w:val="lt-LT"/>
        </w:rPr>
        <w:t xml:space="preserve"> dalyse nustatytas sąlygas (išskyrus PMĮ 5 straipsnio 7 dalyje nustatytą taikytiną pelno mokesčio tarifo dydį).</w:t>
      </w:r>
    </w:p>
    <w:p w14:paraId="591140C5" w14:textId="77777777" w:rsidR="00C24DD2" w:rsidRPr="00750EB7" w:rsidRDefault="00C24DD2" w:rsidP="00C24DD2">
      <w:pPr>
        <w:ind w:firstLine="709"/>
        <w:jc w:val="both"/>
      </w:pPr>
      <w:r w:rsidRPr="00DF6D49">
        <w:t>6.</w:t>
      </w:r>
      <w:r w:rsidRPr="006E4682">
        <w:t xml:space="preserve"> </w:t>
      </w:r>
      <w:bookmarkStart w:id="880" w:name="_Hlk66859672"/>
      <w:r w:rsidRPr="00750EB7">
        <w:t>Vidutinis esančių darbuotojų skaičius apskaičiuojamas pagal 2002 m. gegužės 15 d. finansų ministro įsakymu Nr. 134 „Dėl Vidutinio metų sąrašinio darbuotojų skaičiaus apskaičiavimo taisyklių patvirtinimo“</w:t>
      </w:r>
      <w:r>
        <w:t xml:space="preserve"> </w:t>
      </w:r>
      <w:r w:rsidRPr="00750EB7">
        <w:t>patvirtintas taisykles. Lengvatos taikymo tikslais imamas vidutinis darbuotojų, reikalingų stambiam projektui Lietuvos Respublikoje įgyvendinti, skaičius.</w:t>
      </w:r>
    </w:p>
    <w:p w14:paraId="05EE98BE" w14:textId="77777777" w:rsidR="00C24DD2" w:rsidRDefault="00C24DD2" w:rsidP="00C24DD2">
      <w:pPr>
        <w:ind w:firstLine="709"/>
        <w:jc w:val="both"/>
      </w:pPr>
      <w:r w:rsidRPr="00750EB7">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750EB7">
        <w:rPr>
          <w:vertAlign w:val="superscript"/>
        </w:rPr>
        <w:t>2</w:t>
      </w:r>
      <w:r w:rsidRPr="00750EB7">
        <w:t xml:space="preserve"> dalyje įtvirtinta sąlyga dėl darbuotojų, reikalingų stambiam projektui Lietuvos Respublikoje įgyvendinti, skaičiaus (mokestiniais metais ne mažesnio kaip 150 (Vilniuje – ne mažesnis kaip 200) </w:t>
      </w:r>
      <w:r w:rsidRPr="00721A36">
        <w:t>(Investicijų įstatymo 25 straipsnio 25 dalie</w:t>
      </w:r>
      <w:r>
        <w:t>s</w:t>
      </w:r>
      <w:r w:rsidRPr="00721A36">
        <w:t xml:space="preserve"> 1 punktas) arba </w:t>
      </w:r>
      <w:r w:rsidRPr="00721A36">
        <w:rPr>
          <w:iCs/>
          <w:color w:val="000000"/>
        </w:rPr>
        <w:t>sukurta Lietuvos Respublikoje nuo 20 iki 149, o kai investuojama Vilniuje – nuo 20 iki 199 naujų darbo vietų (Investicijų įstatymo 25 straipsnio 25 dalie</w:t>
      </w:r>
      <w:r>
        <w:rPr>
          <w:iCs/>
          <w:color w:val="000000"/>
        </w:rPr>
        <w:t>s</w:t>
      </w:r>
      <w:r w:rsidRPr="00721A36">
        <w:rPr>
          <w:iCs/>
          <w:color w:val="000000"/>
        </w:rPr>
        <w:t xml:space="preserve"> 2 punktas)</w:t>
      </w:r>
      <w:r w:rsidRPr="00750EB7">
        <w:t>) reiškia būtent naujų darbo vietų sukūrimą, įgyvendinant konkretų stambų projektą.</w:t>
      </w:r>
    </w:p>
    <w:bookmarkEnd w:id="880"/>
    <w:p w14:paraId="2D6655F7" w14:textId="77777777" w:rsidR="00C24DD2" w:rsidRPr="006E4682" w:rsidRDefault="00C24DD2" w:rsidP="00C24DD2">
      <w:pPr>
        <w:ind w:firstLine="709"/>
        <w:jc w:val="both"/>
      </w:pPr>
      <w:r w:rsidRPr="00DF6D49">
        <w:t>7</w:t>
      </w:r>
      <w:r w:rsidRPr="006E4682">
        <w:t xml:space="preserve">. </w:t>
      </w:r>
      <w:bookmarkStart w:id="881" w:name="_Hlk66856198"/>
      <w:r w:rsidRPr="006E4682">
        <w:t>Komentuojamojo straipsnio taikymo prasme</w:t>
      </w:r>
      <w:bookmarkEnd w:id="881"/>
      <w:r w:rsidRPr="006E4682">
        <w:t xml:space="preserve">, vadovaujantis </w:t>
      </w:r>
      <w:bookmarkStart w:id="882" w:name="_Hlk66859473"/>
      <w:r w:rsidRPr="006E4682">
        <w:t xml:space="preserve">Investicijų įstatymo </w:t>
      </w:r>
      <w:bookmarkEnd w:id="882"/>
      <w:r w:rsidRPr="006E4682">
        <w:t xml:space="preserve">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w:t>
      </w:r>
      <w:r w:rsidRPr="006E4682">
        <w:lastRenderedPageBreak/>
        <w:t>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 pardavimo išsimokėtinai sutartis, kuriose numatytas nuosavybės teisės perėjimas vienetui, apmokėjus visą turto vertę (įskaitant ir lizingo būdu įsigytą turtą).</w:t>
      </w:r>
    </w:p>
    <w:p w14:paraId="49FCAD43" w14:textId="77777777" w:rsidR="00C24DD2" w:rsidRPr="006E4682" w:rsidRDefault="00C24DD2" w:rsidP="00C24DD2">
      <w:pPr>
        <w:ind w:firstLine="709"/>
        <w:jc w:val="both"/>
      </w:pPr>
      <w:r w:rsidRPr="006E4682">
        <w:t xml:space="preserve">Atkreiptinas dėmesys, kad kapitalo investicija laikomas juridinio asmens įsigytas ar pačio pasigamintas (pasistatytas) turtas. Turto vertės padidėjimas dėl perkainojimo (įvertinimo pagal tikrąją vertę) nelaikomas kapitalo investicija. </w:t>
      </w:r>
    </w:p>
    <w:p w14:paraId="7D8FB695" w14:textId="77777777" w:rsidR="00C24DD2" w:rsidRPr="006E4682" w:rsidRDefault="00C24DD2" w:rsidP="00C24DD2">
      <w:pPr>
        <w:ind w:firstLine="709"/>
        <w:jc w:val="both"/>
        <w:rPr>
          <w:lang w:eastAsia="lt-LT"/>
        </w:rPr>
      </w:pPr>
      <w:r w:rsidRPr="006E4682">
        <w:rPr>
          <w:lang w:eastAsia="lt-LT"/>
        </w:rPr>
        <w:t>Tuo</w:t>
      </w:r>
      <w:r w:rsidRPr="006E4682">
        <w:rPr>
          <w:i/>
          <w:iCs/>
          <w:lang w:eastAsia="lt-LT"/>
        </w:rPr>
        <w:t xml:space="preserve"> </w:t>
      </w:r>
      <w:r w:rsidRPr="006E4682">
        <w:rPr>
          <w:lang w:eastAsia="lt-LT"/>
        </w:rPr>
        <w:t>atveju,</w:t>
      </w:r>
      <w:r w:rsidRPr="006E4682">
        <w:rPr>
          <w:i/>
          <w:iCs/>
          <w:lang w:eastAsia="lt-LT"/>
        </w:rPr>
        <w:t xml:space="preserve"> </w:t>
      </w:r>
      <w:r w:rsidRPr="006E4682">
        <w:rPr>
          <w:lang w:eastAsia="lt-LT"/>
        </w:rPr>
        <w:t>kai juridinis asmuo įsigyja</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būdu,</w:t>
      </w:r>
      <w:r w:rsidRPr="006E4682">
        <w:rPr>
          <w:i/>
          <w:iCs/>
          <w:lang w:eastAsia="lt-LT"/>
        </w:rPr>
        <w:t xml:space="preserve"> </w:t>
      </w:r>
      <w:r w:rsidRPr="006E4682">
        <w:rPr>
          <w:lang w:eastAsia="lt-LT"/>
        </w:rPr>
        <w:t>nustatant</w:t>
      </w:r>
      <w:r w:rsidRPr="006E4682">
        <w:rPr>
          <w:i/>
          <w:iCs/>
          <w:lang w:eastAsia="lt-LT"/>
        </w:rPr>
        <w:t xml:space="preserve"> </w:t>
      </w:r>
      <w:r w:rsidRPr="006E4682">
        <w:rPr>
          <w:lang w:eastAsia="lt-LT"/>
        </w:rPr>
        <w:t>kapitalo</w:t>
      </w:r>
      <w:r w:rsidRPr="006E4682">
        <w:rPr>
          <w:i/>
          <w:iCs/>
          <w:lang w:eastAsia="lt-LT"/>
        </w:rPr>
        <w:t xml:space="preserve"> </w:t>
      </w:r>
      <w:r w:rsidRPr="006E4682">
        <w:rPr>
          <w:lang w:eastAsia="lt-LT"/>
        </w:rPr>
        <w:t>investiciją,</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jos</w:t>
      </w:r>
      <w:r w:rsidRPr="006E4682">
        <w:rPr>
          <w:i/>
          <w:iCs/>
          <w:lang w:eastAsia="lt-LT"/>
        </w:rPr>
        <w:t xml:space="preserve"> </w:t>
      </w:r>
      <w:r w:rsidRPr="006E4682">
        <w:rPr>
          <w:lang w:eastAsia="lt-LT"/>
        </w:rPr>
        <w:t>vertę</w:t>
      </w:r>
      <w:r w:rsidRPr="006E4682">
        <w:rPr>
          <w:i/>
          <w:iCs/>
          <w:lang w:eastAsia="lt-LT"/>
        </w:rPr>
        <w:t xml:space="preserve"> </w:t>
      </w:r>
      <w:r w:rsidRPr="006E4682">
        <w:rPr>
          <w:lang w:eastAsia="lt-LT"/>
        </w:rPr>
        <w:t>įtraukiama</w:t>
      </w:r>
      <w:r w:rsidRPr="006E4682">
        <w:rPr>
          <w:i/>
          <w:iCs/>
          <w:lang w:eastAsia="lt-LT"/>
        </w:rPr>
        <w:t xml:space="preserve"> </w:t>
      </w:r>
      <w:r w:rsidRPr="006E4682">
        <w:rPr>
          <w:lang w:eastAsia="lt-LT"/>
        </w:rPr>
        <w:t>visa</w:t>
      </w:r>
      <w:r w:rsidRPr="006E4682">
        <w:rPr>
          <w:i/>
          <w:iCs/>
          <w:lang w:eastAsia="lt-LT"/>
        </w:rPr>
        <w:t xml:space="preserve"> </w:t>
      </w:r>
      <w:r w:rsidRPr="006E4682">
        <w:rPr>
          <w:lang w:eastAsia="lt-LT"/>
        </w:rPr>
        <w:t>ilgalaikio</w:t>
      </w:r>
      <w:r w:rsidRPr="006E4682">
        <w:rPr>
          <w:i/>
          <w:iCs/>
          <w:lang w:eastAsia="lt-LT"/>
        </w:rPr>
        <w:t xml:space="preserve"> </w:t>
      </w:r>
      <w:r w:rsidRPr="006E4682">
        <w:rPr>
          <w:lang w:eastAsia="lt-LT"/>
        </w:rPr>
        <w:t>turto</w:t>
      </w:r>
      <w:r w:rsidRPr="006E4682">
        <w:rPr>
          <w:i/>
          <w:iCs/>
          <w:lang w:eastAsia="lt-LT"/>
        </w:rPr>
        <w:t xml:space="preserve"> </w:t>
      </w:r>
      <w:r w:rsidRPr="006E4682">
        <w:rPr>
          <w:lang w:eastAsia="lt-LT"/>
        </w:rPr>
        <w:t>įsigijimo</w:t>
      </w:r>
      <w:r w:rsidRPr="006E4682">
        <w:rPr>
          <w:i/>
          <w:iCs/>
          <w:lang w:eastAsia="lt-LT"/>
        </w:rPr>
        <w:t xml:space="preserve"> </w:t>
      </w:r>
      <w:r w:rsidRPr="006E4682">
        <w:rPr>
          <w:lang w:eastAsia="lt-LT"/>
        </w:rPr>
        <w:t>vertė (būtina sąlyga, kad lizingo</w:t>
      </w:r>
      <w:r w:rsidRPr="006E4682">
        <w:rPr>
          <w:i/>
          <w:iCs/>
          <w:lang w:eastAsia="lt-LT"/>
        </w:rPr>
        <w:t xml:space="preserve"> </w:t>
      </w:r>
      <w:r w:rsidRPr="006E4682">
        <w:rPr>
          <w:lang w:eastAsia="lt-LT"/>
        </w:rPr>
        <w:t>laikotarpio</w:t>
      </w:r>
      <w:r w:rsidRPr="006E4682">
        <w:rPr>
          <w:i/>
          <w:iCs/>
          <w:lang w:eastAsia="lt-LT"/>
        </w:rPr>
        <w:t xml:space="preserve"> </w:t>
      </w:r>
      <w:r w:rsidRPr="006E4682">
        <w:rPr>
          <w:lang w:eastAsia="lt-LT"/>
        </w:rPr>
        <w:t>pabaigoje</w:t>
      </w:r>
      <w:r w:rsidRPr="006E4682">
        <w:rPr>
          <w:i/>
          <w:iCs/>
          <w:lang w:eastAsia="lt-LT"/>
        </w:rPr>
        <w:t xml:space="preserve"> </w:t>
      </w:r>
      <w:r w:rsidRPr="006E4682">
        <w:rPr>
          <w:lang w:eastAsia="lt-LT"/>
        </w:rPr>
        <w:t>nuosavybės</w:t>
      </w:r>
      <w:r w:rsidRPr="006E4682">
        <w:rPr>
          <w:i/>
          <w:iCs/>
          <w:lang w:eastAsia="lt-LT"/>
        </w:rPr>
        <w:t xml:space="preserve"> </w:t>
      </w:r>
      <w:r w:rsidRPr="006E4682">
        <w:rPr>
          <w:lang w:eastAsia="lt-LT"/>
        </w:rPr>
        <w:t>teisė</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pereina</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gavėjui).</w:t>
      </w:r>
    </w:p>
    <w:p w14:paraId="0D5C6AC4" w14:textId="77777777" w:rsidR="00C24DD2" w:rsidRPr="006E4682" w:rsidRDefault="00C24DD2" w:rsidP="00C24DD2">
      <w:pPr>
        <w:ind w:firstLine="709"/>
        <w:jc w:val="both"/>
        <w:rPr>
          <w:lang w:eastAsia="lt-LT"/>
        </w:rPr>
      </w:pPr>
      <w:r w:rsidRPr="006E4682">
        <w:rPr>
          <w:lang w:eastAsia="lt-LT"/>
        </w:rPr>
        <w:t xml:space="preserve">Komentuojamojo straipsnio taikymo prasme, kapitalo investicijų, kurias atlikus gali būti taikoma lengvata, dydis nustatomas pagal Lietuvos Respublikos </w:t>
      </w:r>
      <w:r w:rsidRPr="00123A05">
        <w:rPr>
          <w:lang w:eastAsia="lt-LT"/>
        </w:rPr>
        <w:t xml:space="preserve">Vyriausybės </w:t>
      </w:r>
      <w:r w:rsidRPr="00123A05">
        <w:rPr>
          <w:iCs/>
          <w:lang w:eastAsia="lt-LT"/>
        </w:rPr>
        <w:t>2021-04-28</w:t>
      </w:r>
      <w:r w:rsidRPr="006E4682">
        <w:rPr>
          <w:lang w:eastAsia="lt-LT"/>
        </w:rPr>
        <w:t xml:space="preserve"> nutarimu </w:t>
      </w:r>
      <w:r w:rsidRPr="00123A05">
        <w:rPr>
          <w:iCs/>
          <w:lang w:eastAsia="lt-LT"/>
        </w:rPr>
        <w:t>Nr. 313</w:t>
      </w:r>
      <w:r w:rsidRPr="006E4682">
        <w:rPr>
          <w:lang w:eastAsia="lt-LT"/>
        </w:rPr>
        <w:t xml:space="preserve"> „Dėl Lietuvos Respublikos investicijų įstatymo 15</w:t>
      </w:r>
      <w:r w:rsidRPr="006E4682">
        <w:rPr>
          <w:vertAlign w:val="superscript"/>
          <w:lang w:eastAsia="lt-LT"/>
        </w:rPr>
        <w:t>4</w:t>
      </w:r>
      <w:r w:rsidRPr="006E4682">
        <w:rPr>
          <w:lang w:eastAsia="lt-LT"/>
        </w:rPr>
        <w:t xml:space="preserve"> straipsnio, 15</w:t>
      </w:r>
      <w:r w:rsidRPr="006E4682">
        <w:rPr>
          <w:vertAlign w:val="superscript"/>
          <w:lang w:eastAsia="lt-LT"/>
        </w:rPr>
        <w:t>5</w:t>
      </w:r>
      <w:r w:rsidRPr="006E4682">
        <w:rPr>
          <w:lang w:eastAsia="lt-LT"/>
        </w:rPr>
        <w:t xml:space="preserve"> straipsnio, 15</w:t>
      </w:r>
      <w:r w:rsidRPr="006E4682">
        <w:rPr>
          <w:vertAlign w:val="superscript"/>
          <w:lang w:eastAsia="lt-LT"/>
        </w:rPr>
        <w:t>6</w:t>
      </w:r>
      <w:r w:rsidRPr="006E4682">
        <w:rPr>
          <w:lang w:eastAsia="lt-LT"/>
        </w:rPr>
        <w:t xml:space="preserve"> straipsnio ir Lietuvos Respublikos pelno mokesčio įstatymo 58 straipsnio 16</w:t>
      </w:r>
      <w:r w:rsidRPr="006E4682">
        <w:rPr>
          <w:vertAlign w:val="superscript"/>
          <w:lang w:eastAsia="lt-LT"/>
        </w:rPr>
        <w:t>2</w:t>
      </w:r>
      <w:r w:rsidRPr="006E4682">
        <w:rPr>
          <w:lang w:eastAsia="lt-LT"/>
        </w:rPr>
        <w:t xml:space="preserve"> ir 16</w:t>
      </w:r>
      <w:r w:rsidRPr="006E4682">
        <w:rPr>
          <w:vertAlign w:val="superscript"/>
          <w:lang w:eastAsia="lt-LT"/>
        </w:rPr>
        <w:t>3</w:t>
      </w:r>
      <w:r w:rsidRPr="006E4682">
        <w:rPr>
          <w:lang w:eastAsia="lt-LT"/>
        </w:rPr>
        <w:t xml:space="preserve"> dalių įgyvendinimo“</w:t>
      </w:r>
      <w:r>
        <w:rPr>
          <w:lang w:eastAsia="lt-LT"/>
        </w:rPr>
        <w:t xml:space="preserve"> </w:t>
      </w:r>
      <w:r w:rsidRPr="006E4682">
        <w:rPr>
          <w:lang w:eastAsia="lt-LT"/>
        </w:rPr>
        <w:t>patvirtintą tvarką.“</w:t>
      </w:r>
    </w:p>
    <w:p w14:paraId="2D78A5C4" w14:textId="77777777" w:rsidR="00C24DD2" w:rsidRPr="006E4682" w:rsidRDefault="00C24DD2" w:rsidP="00C24DD2">
      <w:pPr>
        <w:ind w:firstLine="709"/>
        <w:jc w:val="both"/>
      </w:pPr>
      <w:r w:rsidRPr="006E4682">
        <w:t xml:space="preserve">Taikant lengvatą yra vertinama stambaus projekto vykdymui sukaupta kapitalo investicijų suma. </w:t>
      </w:r>
    </w:p>
    <w:p w14:paraId="087C0B66" w14:textId="77777777" w:rsidR="00C24DD2" w:rsidRPr="006E4682" w:rsidRDefault="00C24DD2" w:rsidP="00C24DD2">
      <w:pPr>
        <w:ind w:firstLine="709"/>
        <w:jc w:val="both"/>
      </w:pPr>
      <w:r w:rsidRPr="00DF6D49">
        <w:t>8.</w:t>
      </w:r>
      <w:r w:rsidRPr="006E4682">
        <w:t xml:space="preserve"> Šioje dalyje nustatyta lengvata gali būti taikoma tik tuo atveju, kai juridinis asmuo stambiam projektui įgyvendinti nesinaudoja PMĮ 58 str. 16 dalies 1 ir 2 punktuose arba 16</w:t>
      </w:r>
      <w:r w:rsidRPr="006E4682">
        <w:rPr>
          <w:vertAlign w:val="superscript"/>
        </w:rPr>
        <w:t>3</w:t>
      </w:r>
      <w:r w:rsidRPr="006E4682">
        <w:t xml:space="preserve"> dalyje nustatyta pelno mokesčio lengvata.</w:t>
      </w:r>
    </w:p>
    <w:p w14:paraId="19CE0E91" w14:textId="77777777" w:rsidR="00C24DD2" w:rsidRPr="006E4682" w:rsidRDefault="00C24DD2" w:rsidP="00C24DD2">
      <w:pPr>
        <w:ind w:firstLine="709"/>
        <w:jc w:val="both"/>
      </w:pPr>
      <w:r w:rsidRPr="00DF6D49">
        <w:t>9</w:t>
      </w:r>
      <w:r w:rsidRPr="006E4682">
        <w:t>. Juridinis asmuo, įgyvendinantis stambų projektą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vykdomo stambaus projekto) pajamoms netaikomos PMĮ 58 str. 16</w:t>
      </w:r>
      <w:r w:rsidRPr="006E4682">
        <w:rPr>
          <w:vertAlign w:val="superscript"/>
        </w:rPr>
        <w:t>2</w:t>
      </w:r>
      <w:r w:rsidRPr="006E4682">
        <w:t xml:space="preserve"> dalies nuostatos ir jos apmokestinamos PMĮ nustatyta tvarka.</w:t>
      </w:r>
    </w:p>
    <w:p w14:paraId="1111813C" w14:textId="77777777" w:rsidR="00C24DD2" w:rsidRPr="006E4682" w:rsidRDefault="00C24DD2" w:rsidP="00C24DD2">
      <w:pPr>
        <w:ind w:firstLine="709"/>
        <w:jc w:val="both"/>
      </w:pPr>
      <w:r w:rsidRPr="006E4682">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6E4682">
        <w:rPr>
          <w:vertAlign w:val="superscript"/>
        </w:rPr>
        <w:t xml:space="preserve">2 </w:t>
      </w:r>
      <w:r w:rsidRPr="006E4682">
        <w:t>nurodytą pajamų apribojimą, jeigu vienetas, įgyvendinantis stambų projektą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iš šalutinės veiklos pajamų, ir toks vienetas bus laikomas atitinkančiu PMĮ 58 str. 16</w:t>
      </w:r>
      <w:r w:rsidRPr="006E4682">
        <w:rPr>
          <w:vertAlign w:val="superscript"/>
        </w:rPr>
        <w:t>2</w:t>
      </w:r>
      <w:r w:rsidRPr="006E4682">
        <w:t xml:space="preserve"> dalyje nustatytą lengvatai taikomą pajamų ribą. </w:t>
      </w:r>
    </w:p>
    <w:p w14:paraId="679782E2" w14:textId="77777777" w:rsidR="00C24DD2" w:rsidRPr="006E4682" w:rsidRDefault="00C24DD2" w:rsidP="00C24DD2">
      <w:pPr>
        <w:ind w:firstLine="709"/>
        <w:jc w:val="both"/>
      </w:pPr>
      <w:r w:rsidRPr="006E4682">
        <w:t xml:space="preserve">Juridinio asmens vykdoma veikla identifikuojama pagal Ekonominės veiklos rūšių </w:t>
      </w:r>
      <w:r w:rsidRPr="00DF6D49">
        <w:t>klasifikatorių (</w:t>
      </w:r>
      <w:bookmarkStart w:id="883" w:name="_Hlk210107600"/>
      <w:r w:rsidRPr="00DF6D49">
        <w:t>iki 2024-12-31 EVRK 2 red., nuo 2025-01-01 EVRK 2.1 red.</w:t>
      </w:r>
      <w:bookmarkEnd w:id="883"/>
      <w:r w:rsidRPr="00DF6D49">
        <w:t>),</w:t>
      </w:r>
      <w:r w:rsidRPr="006E4682">
        <w:t xml:space="preserve">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6E4682">
        <w:rPr>
          <w:vertAlign w:val="superscript"/>
        </w:rPr>
        <w:t>2</w:t>
      </w:r>
      <w:r w:rsidRPr="006E4682">
        <w:t xml:space="preserve"> dalies kontekste vykdoma veikla turi būti priskirta:</w:t>
      </w:r>
    </w:p>
    <w:p w14:paraId="3A84F8C2" w14:textId="77777777" w:rsidR="00C24DD2" w:rsidRPr="006E4682" w:rsidRDefault="00C24DD2" w:rsidP="00C24DD2">
      <w:pPr>
        <w:ind w:firstLine="709"/>
        <w:jc w:val="both"/>
      </w:pPr>
      <w:r w:rsidRPr="006E4682">
        <w:lastRenderedPageBreak/>
        <w:t>- duomenų apdorojimo, interneto serverių paslaugų (prieglobos) ir susijusios veiklos (J sekcija, 63.11 veikla) arba</w:t>
      </w:r>
    </w:p>
    <w:p w14:paraId="1A481075" w14:textId="77777777" w:rsidR="00C24DD2" w:rsidRDefault="00C24DD2" w:rsidP="00C24DD2">
      <w:pPr>
        <w:ind w:firstLine="709"/>
        <w:jc w:val="both"/>
      </w:pPr>
      <w:r w:rsidRPr="006E4682">
        <w:t>- apdirbamoji gamyba (C sekcija).</w:t>
      </w:r>
    </w:p>
    <w:p w14:paraId="59AC1425" w14:textId="77777777" w:rsidR="00C24DD2" w:rsidRPr="000E13E6" w:rsidRDefault="00C24DD2" w:rsidP="00C24DD2">
      <w:pPr>
        <w:ind w:firstLine="720"/>
        <w:jc w:val="both"/>
        <w:rPr>
          <w:lang w:val="lt-LT"/>
        </w:rPr>
      </w:pPr>
      <w:r w:rsidRPr="00DF6D49">
        <w:t>10</w:t>
      </w:r>
      <w:r>
        <w:t>.</w:t>
      </w:r>
      <w:r>
        <w:rPr>
          <w:vertAlign w:val="superscript"/>
        </w:rPr>
        <w:t xml:space="preserve"> </w:t>
      </w:r>
      <w:r w:rsidRPr="000E13E6">
        <w:rPr>
          <w:lang w:val="lt-LT"/>
        </w:rPr>
        <w:t>Stambaus projekto vykdomos veiklos pajamoms, gautoms iš intelektinės nuosavybės turto naudojimo, lengvata netaikoma, išskyrus atvejus, kai šios pajamos atitinka PMĮ 5 straipsnio 7–10 dalyse ir 30 straipsnio 1 ir 2</w:t>
      </w:r>
      <w:r w:rsidRPr="000E13E6">
        <w:rPr>
          <w:vertAlign w:val="superscript"/>
          <w:lang w:val="lt-LT"/>
        </w:rPr>
        <w:t>1</w:t>
      </w:r>
      <w:r w:rsidRPr="000E13E6">
        <w:rPr>
          <w:lang w:val="lt-LT"/>
        </w:rPr>
        <w:t xml:space="preserve"> dalyse nustatytas sąlygas (išskyrus PMĮ 5 straipsnio 7 dalyje nustatytą taikytiną pelno mokesčio tarifo dydį). </w:t>
      </w:r>
    </w:p>
    <w:p w14:paraId="398DBFC2" w14:textId="77777777" w:rsidR="00C24DD2" w:rsidRDefault="00C24DD2" w:rsidP="00C24DD2">
      <w:pPr>
        <w:ind w:firstLine="709"/>
        <w:jc w:val="both"/>
        <w:rPr>
          <w:lang w:val="lt-LT"/>
        </w:rPr>
      </w:pPr>
      <w:r w:rsidRPr="000E13E6">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0E13E6">
        <w:rPr>
          <w:vertAlign w:val="superscript"/>
          <w:lang w:val="lt-LT"/>
        </w:rPr>
        <w:t>1</w:t>
      </w:r>
      <w:r w:rsidRPr="000E13E6">
        <w:rPr>
          <w:lang w:val="lt-LT"/>
        </w:rPr>
        <w:t xml:space="preserve"> dalyse (žr. PMĮ 30 straipsnio 1 ir 2</w:t>
      </w:r>
      <w:r w:rsidRPr="000E13E6">
        <w:rPr>
          <w:vertAlign w:val="superscript"/>
          <w:lang w:val="lt-LT"/>
        </w:rPr>
        <w:t>1</w:t>
      </w:r>
      <w:r w:rsidRPr="000E13E6">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0E025A09" w14:textId="77777777" w:rsidR="00C24DD2" w:rsidRPr="006E4682" w:rsidRDefault="00C24DD2" w:rsidP="00C24DD2">
      <w:pPr>
        <w:ind w:firstLine="567"/>
        <w:jc w:val="both"/>
      </w:pPr>
      <w:r w:rsidRPr="00DF6D49">
        <w:t>11</w:t>
      </w:r>
      <w:r w:rsidRPr="006E4682">
        <w:t xml:space="preserve">. Reikalaujamą juridinio asmens privačių kapitalo investicijų dydį turi patvirtinti auditoriaus išvada. </w:t>
      </w:r>
    </w:p>
    <w:p w14:paraId="0B44B59C" w14:textId="77777777" w:rsidR="00C24DD2" w:rsidRPr="006E4682" w:rsidRDefault="00C24DD2" w:rsidP="00C24DD2">
      <w:pPr>
        <w:ind w:firstLine="567"/>
        <w:jc w:val="both"/>
      </w:pPr>
      <w:r w:rsidRPr="006E4682">
        <w:t xml:space="preserve">Auditoriaus išvadoje turi būti nurodomas konkretus juridinio asmens pasiektas privačių kapitalo investicijų dydis, kuris yra ne mažesnis nei 20 mln. EUR privačių kapitalo investicijų (30 mln. Eur, kai investuojama Vilniuje). </w:t>
      </w:r>
    </w:p>
    <w:p w14:paraId="65F7C6D6" w14:textId="77777777" w:rsidR="00C24DD2" w:rsidRDefault="00C24DD2" w:rsidP="00C24DD2">
      <w:pPr>
        <w:ind w:firstLine="709"/>
        <w:jc w:val="both"/>
      </w:pPr>
      <w:r w:rsidRPr="00DF6D49">
        <w:t>12.</w:t>
      </w:r>
      <w:r w:rsidRPr="006E4682">
        <w:t xml:space="preserve"> </w:t>
      </w:r>
      <w:bookmarkStart w:id="884" w:name="_Hlk204153639"/>
      <w:bookmarkStart w:id="885" w:name="_Hlk204074093"/>
      <w:r w:rsidRPr="00DF6D49">
        <w:t xml:space="preserve">Iki 2025-11-01 pasirašius stambaus projekto investicijų sutartį, </w:t>
      </w:r>
      <w:bookmarkEnd w:id="884"/>
      <w:r w:rsidRPr="00DF6D49">
        <w:t>Juridinis asmuo, įgyvendinantis stambų projektą</w:t>
      </w:r>
      <w:bookmarkEnd w:id="885"/>
      <w:r w:rsidRPr="00DF6D49">
        <w:t xml:space="preserve"> </w:t>
      </w:r>
      <w:bookmarkStart w:id="886" w:name="_Hlk204074118"/>
      <w:r w:rsidRPr="00DF6D49">
        <w:t xml:space="preserve">20 metų, pradedant tuo mokestiniu laikotarpiu, kurį </w:t>
      </w:r>
      <w:bookmarkEnd w:id="886"/>
      <w:r w:rsidRPr="00DF6D49">
        <w:t>sudaryta ir įsigalioja stambaus projekto investicijų sutartis, nemoka pelno mokesčio, jeigu</w:t>
      </w:r>
      <w:r w:rsidRPr="006E4682">
        <w:t xml:space="preserve"> tenkinamos visos komentuojamame straipsnyje nustatytos sąlygos. PMĮ 58 str. 16</w:t>
      </w:r>
      <w:r w:rsidRPr="006E4682">
        <w:rPr>
          <w:vertAlign w:val="superscript"/>
        </w:rPr>
        <w:t>2</w:t>
      </w:r>
      <w:r w:rsidRPr="006E4682">
        <w:t xml:space="preserve"> dalyje nustatyta lengvata </w:t>
      </w:r>
      <w:bookmarkStart w:id="887" w:name="_Hlk66856262"/>
      <w:r w:rsidRPr="006E4682">
        <w:t xml:space="preserve">juridiniam asmeniui, įgyvendinančiam stambų projektą, taikoma ne ilgiau negu 20 metų nuo stambaus projekto investicijų sutarties įsigaliojimo dienos. </w:t>
      </w:r>
      <w:bookmarkStart w:id="888" w:name="_Hlk204074282"/>
      <w:r w:rsidRPr="006E4682">
        <w:t>Vadinasi, 20 metų laikotarpis pradedamas skaičiuoti nuo investicinės sutarties įsigaliojimo dienos, o pelno mokesčio lengvata pradedama taikyti nuo to mokestinio laikotarpio, kurį tenkinamos visos paminėtos sąlygos</w:t>
      </w:r>
      <w:bookmarkEnd w:id="888"/>
      <w:r w:rsidRPr="006E4682">
        <w:t>.</w:t>
      </w:r>
    </w:p>
    <w:bookmarkEnd w:id="887"/>
    <w:p w14:paraId="6D93DD2D" w14:textId="77777777" w:rsidR="00C24DD2" w:rsidRPr="00524721" w:rsidRDefault="00C24DD2" w:rsidP="00C24DD2">
      <w:pPr>
        <w:ind w:firstLine="709"/>
        <w:jc w:val="both"/>
      </w:pPr>
      <w:r w:rsidRPr="00DF6D49">
        <w:t>12</w:t>
      </w:r>
      <w:r w:rsidRPr="006E4682">
        <w:t xml:space="preserve">.1. </w:t>
      </w:r>
      <w:r w:rsidRPr="00524721">
        <w:t>Tuo atveju, jeigu nepasibaigus nustat</w:t>
      </w:r>
      <w:r>
        <w:t>ytam lengvatos taikymo terminui</w:t>
      </w:r>
      <w:r w:rsidRPr="00524721">
        <w:t xml:space="preserve"> </w:t>
      </w:r>
      <w:r w:rsidRPr="00721A36">
        <w:rPr>
          <w:bCs/>
          <w:color w:val="000000"/>
        </w:rPr>
        <w:t xml:space="preserve">tais mokestiniais metais juridinis asmuo nebetenkina nors vieno reikalavimo, nurodyto Investicijų įstatymo 2 straipsnio 25 dalies 1 arba 2 punkte, lengvata tą mokestinį laikotarpį netaikoma </w:t>
      </w:r>
      <w:r w:rsidRPr="00524721">
        <w:t xml:space="preserve">ir lengvatos taikymas atnaujinamas tą mokestinį laikotarpį, kurį </w:t>
      </w:r>
      <w:r w:rsidRPr="00721A36">
        <w:rPr>
          <w:bCs/>
          <w:color w:val="000000"/>
        </w:rPr>
        <w:t>pradedami tenkinti visi Investicijų įstatymo 2 straipsnio 25 dalies 1 arba 2 punktų reikalavimai</w:t>
      </w:r>
      <w:r w:rsidRPr="00524721">
        <w:t>.</w:t>
      </w:r>
    </w:p>
    <w:p w14:paraId="5C98F497" w14:textId="77777777" w:rsidR="00C24DD2" w:rsidRPr="00524721" w:rsidRDefault="00C24DD2" w:rsidP="00C24DD2">
      <w:pPr>
        <w:ind w:firstLine="709"/>
        <w:jc w:val="both"/>
        <w:rPr>
          <w:lang w:eastAsia="lt-LT"/>
        </w:rPr>
      </w:pPr>
      <w:r w:rsidRPr="00524721">
        <w:rPr>
          <w:lang w:eastAsia="lt-LT"/>
        </w:rPr>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524721">
        <w:rPr>
          <w:i/>
          <w:iCs/>
          <w:lang w:eastAsia="lt-LT"/>
        </w:rPr>
        <w:t xml:space="preserve"> </w:t>
      </w:r>
      <w:r w:rsidRPr="00524721">
        <w:rPr>
          <w:lang w:eastAsia="lt-LT"/>
        </w:rPr>
        <w:t>nelaikoma</w:t>
      </w:r>
      <w:r w:rsidRPr="00524721">
        <w:rPr>
          <w:i/>
          <w:iCs/>
          <w:lang w:eastAsia="lt-LT"/>
        </w:rPr>
        <w:t xml:space="preserve"> </w:t>
      </w:r>
      <w:r w:rsidRPr="00524721">
        <w:rPr>
          <w:lang w:eastAsia="lt-LT"/>
        </w:rPr>
        <w:t>kapitalo</w:t>
      </w:r>
      <w:r w:rsidRPr="00524721">
        <w:rPr>
          <w:i/>
          <w:iCs/>
          <w:lang w:eastAsia="lt-LT"/>
        </w:rPr>
        <w:t xml:space="preserve"> </w:t>
      </w:r>
      <w:r w:rsidRPr="00524721">
        <w:rPr>
          <w:lang w:eastAsia="lt-LT"/>
        </w:rPr>
        <w:t>investicijų</w:t>
      </w:r>
      <w:r w:rsidRPr="00524721">
        <w:rPr>
          <w:i/>
          <w:iCs/>
          <w:lang w:eastAsia="lt-LT"/>
        </w:rPr>
        <w:t xml:space="preserve"> </w:t>
      </w:r>
      <w:r w:rsidRPr="00524721">
        <w:rPr>
          <w:lang w:eastAsia="lt-LT"/>
        </w:rPr>
        <w:t>sumažėjimu.</w:t>
      </w:r>
      <w:r w:rsidRPr="00524721">
        <w:rPr>
          <w:i/>
          <w:iCs/>
          <w:lang w:eastAsia="lt-LT"/>
        </w:rPr>
        <w:t xml:space="preserve"> </w:t>
      </w:r>
    </w:p>
    <w:p w14:paraId="72EC3EC3" w14:textId="77777777" w:rsidR="00C24DD2" w:rsidRPr="00524721" w:rsidRDefault="00C24DD2" w:rsidP="00C24DD2">
      <w:pPr>
        <w:ind w:firstLine="709"/>
        <w:jc w:val="both"/>
      </w:pPr>
      <w:r w:rsidRPr="00524721">
        <w:t xml:space="preserve">Pažymėtina, kad mokestiniai laikotarpiai, kuriais juridinis asmuo neturi teisės taikyti šios pelno mokesčio lengvatos, dėl </w:t>
      </w:r>
      <w:r w:rsidRPr="00721A36">
        <w:rPr>
          <w:bCs/>
          <w:color w:val="000000"/>
        </w:rPr>
        <w:t>Investicijų įstatymo 2 straipsnio 25 dalies 1 arba 2 punktų reikalavimų netenkinimo</w:t>
      </w:r>
      <w:r w:rsidRPr="00524721">
        <w:t>, yra įskaičiuojami į PMĮ 58 str. 16</w:t>
      </w:r>
      <w:r w:rsidRPr="00524721">
        <w:rPr>
          <w:vertAlign w:val="superscript"/>
        </w:rPr>
        <w:t>2</w:t>
      </w:r>
      <w:r w:rsidRPr="00524721">
        <w:t xml:space="preserve"> dalyje nustatytus 20 metų pelno mokesčio lengvatos taikymo mokestinius laikotarpius, t. y. lengvatos taikymo 20 metų laikotarpis nėra sustabdomas. </w:t>
      </w:r>
    </w:p>
    <w:p w14:paraId="6C30ACFB" w14:textId="77777777" w:rsidR="00C24DD2" w:rsidRDefault="00C24DD2" w:rsidP="00C24DD2">
      <w:pPr>
        <w:ind w:firstLine="709"/>
        <w:jc w:val="both"/>
      </w:pPr>
      <w:r w:rsidRPr="00524721">
        <w:lastRenderedPageBreak/>
        <w:t>Už mokestinius laikotarpius, kuriais juridinis asmuo, įgyvendinantis stambų projektą, neturėjo teisės taikyti pelno mokesčio lengvatos, pelno mokestis apskaičiuojamas bendra PMĮ nustatyta tvarka, taikant PMĮ 5 straipsnyje nustatytą mokesčio tarifą.</w:t>
      </w:r>
    </w:p>
    <w:p w14:paraId="226919FD" w14:textId="77777777" w:rsidR="00C24DD2" w:rsidRPr="00B70B97" w:rsidRDefault="00C24DD2" w:rsidP="00C24DD2">
      <w:pPr>
        <w:ind w:firstLine="709"/>
        <w:jc w:val="both"/>
        <w:rPr>
          <w:lang w:val="lt-LT"/>
        </w:rPr>
      </w:pPr>
      <w:r w:rsidRPr="00DF6D49">
        <w:t>12</w:t>
      </w:r>
      <w:r w:rsidRPr="006E4682">
        <w:t xml:space="preserve">.2. </w:t>
      </w:r>
      <w:r w:rsidRPr="004E1A20">
        <w:rPr>
          <w:lang w:val="lt-LT"/>
        </w:rPr>
        <w:t>Jeigu juridinio asmens, įgyvendinančio stambų projektą, kuris naudojosi PMĮ 58 str. 16</w:t>
      </w:r>
      <w:r w:rsidRPr="004E1A20">
        <w:rPr>
          <w:vertAlign w:val="superscript"/>
          <w:lang w:val="lt-LT"/>
        </w:rPr>
        <w:t xml:space="preserve">2 </w:t>
      </w:r>
      <w:r w:rsidRPr="004E1A20">
        <w:rPr>
          <w:lang w:val="lt-LT"/>
        </w:rPr>
        <w:t>dalyje nustatyta pelno mokesčio lengvata, įgyvendinant stambų projektą gautos pajamos iš PMĮ 58 str. 16</w:t>
      </w:r>
      <w:r w:rsidRPr="004E1A20">
        <w:rPr>
          <w:vertAlign w:val="superscript"/>
          <w:lang w:val="lt-LT"/>
        </w:rPr>
        <w:t>2</w:t>
      </w:r>
      <w:r w:rsidRPr="004E1A20">
        <w:rPr>
          <w:lang w:val="lt-LT"/>
        </w:rPr>
        <w:t xml:space="preserve"> dalyje įvardintos vykdomos duomenų apdorojimo, interneto serverių paslaugų (prieglobos) ir susijusios veiklos arba pajamos iš apdirbamosios gamybos veiklos</w:t>
      </w:r>
      <w:r w:rsidRPr="00B70B97">
        <w:rPr>
          <w:lang w:val="lt-LT"/>
        </w:rPr>
        <w:t>,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sudarys ne mažiau kaip 75 procentus visų</w:t>
      </w:r>
      <w:r w:rsidRPr="00B70B97">
        <w:rPr>
          <w:bCs/>
          <w:lang w:val="lt-LT"/>
        </w:rPr>
        <w:t xml:space="preserve"> </w:t>
      </w:r>
      <w:r w:rsidRPr="00B70B97">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3516BBAE" w14:textId="77777777" w:rsidR="00C24DD2" w:rsidRPr="00B70B97" w:rsidRDefault="00C24DD2" w:rsidP="00C24DD2">
      <w:pPr>
        <w:ind w:firstLine="709"/>
        <w:jc w:val="both"/>
        <w:rPr>
          <w:lang w:val="lt-LT"/>
        </w:rPr>
      </w:pPr>
      <w:r w:rsidRPr="00B70B97">
        <w:rPr>
          <w:lang w:val="lt-LT"/>
        </w:rPr>
        <w:t xml:space="preserve">Komentuojamosios dalies apimtyje, </w:t>
      </w:r>
      <w:r w:rsidRPr="00B70B97">
        <w:rPr>
          <w:bCs/>
          <w:lang w:val="lt-LT"/>
        </w:rPr>
        <w:t>t. y. tik stambaus projekto pajamų ir sąnaudų apmokestinimo taikymo kontekste,</w:t>
      </w:r>
      <w:r w:rsidRPr="00B70B97">
        <w:rPr>
          <w:lang w:val="lt-LT"/>
        </w:rPr>
        <w:t xml:space="preserve"> už mokestinius laikotarpius, kuriais juridinis asmuo, įgyvendinantis stambų projektą, neturėjo teisės taikyti pelno mokesčio lengvatos, pelno mokestis apskaičiuojamas bendra PMĮ nustatyta tvarka, taikant PMĮ 5 straipsnyje nustatytą mokesčio tarifą.</w:t>
      </w:r>
    </w:p>
    <w:p w14:paraId="442AC19A" w14:textId="77777777" w:rsidR="00C24DD2" w:rsidRPr="006E4682" w:rsidRDefault="00C24DD2" w:rsidP="00C24DD2">
      <w:pPr>
        <w:ind w:firstLine="709"/>
        <w:jc w:val="both"/>
      </w:pPr>
      <w:r w:rsidRPr="00DF6D49">
        <w:t>12</w:t>
      </w:r>
      <w:r w:rsidRPr="006E4682">
        <w:t xml:space="preserve">.3. </w:t>
      </w:r>
      <w:bookmarkStart w:id="889" w:name="_Hlk66858136"/>
      <w:r w:rsidRPr="006E4682">
        <w:t xml:space="preserve">Tuo atveju, kai </w:t>
      </w:r>
      <w:bookmarkStart w:id="890" w:name="_Hlk208814125"/>
      <w:r w:rsidRPr="00DF6D49">
        <w:t>stambaus projekto sutartis sudaryta iki 2025-11-01 ir pelno mokesčio lengvata taikoma nuo stambaus projekto sutarties įsigaliojimo ir</w:t>
      </w:r>
      <w:r>
        <w:rPr>
          <w:b/>
        </w:rPr>
        <w:t xml:space="preserve"> </w:t>
      </w:r>
      <w:bookmarkEnd w:id="890"/>
      <w:r w:rsidRPr="006E4682">
        <w:t>juridinis asmuo, įgyvendinantis stambų projektą, atitinka visus PMĮ 58 str. 16</w:t>
      </w:r>
      <w:r w:rsidRPr="006E4682">
        <w:rPr>
          <w:vertAlign w:val="superscript"/>
        </w:rPr>
        <w:t>2</w:t>
      </w:r>
      <w:r w:rsidRPr="006E4682">
        <w:t xml:space="preserve"> dalyje įtvirtintus kriterijus</w:t>
      </w:r>
      <w:bookmarkEnd w:id="889"/>
      <w:r w:rsidRPr="006E4682">
        <w:t xml:space="preserve">, bet patiria mokestinius nuostolius, tai mokestiniai laikotarpiai, kuriais yra patirti nuostoliai, yra įskaičiuojami į 20 metų pelno mokesčio lengvatos taikymo laikotarpį, t.  y. lengvatos taikymo 20 metų laikotarpis nėra sustabdomas. </w:t>
      </w:r>
    </w:p>
    <w:p w14:paraId="3751FE0C" w14:textId="77777777" w:rsidR="00C24DD2" w:rsidRPr="006E4682" w:rsidRDefault="00C24DD2" w:rsidP="00C24DD2">
      <w:pPr>
        <w:ind w:firstLine="709"/>
        <w:jc w:val="both"/>
      </w:pPr>
      <w:r w:rsidRPr="00DF6D49">
        <w:t>13</w:t>
      </w:r>
      <w:r w:rsidRPr="006E4682">
        <w:t xml:space="preserve">. Juridinis asmuo, įgyvendinantis stambų projektą ir atitinkantis visus komentuojamoje dalyje įtvirtintus kriterijus, metines pelno mokesčio deklaracijas teikia bendra PMĮ nustatyta tvarka. </w:t>
      </w:r>
    </w:p>
    <w:p w14:paraId="5F8BE8AD" w14:textId="77777777" w:rsidR="00C24DD2" w:rsidRPr="006E4682" w:rsidRDefault="00C24DD2" w:rsidP="00C24DD2">
      <w:pPr>
        <w:ind w:firstLine="709"/>
        <w:jc w:val="both"/>
      </w:pPr>
      <w:bookmarkStart w:id="891" w:name="_Hlk66861648"/>
      <w:r w:rsidRPr="006E4682">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w:t>
      </w:r>
      <w:bookmarkStart w:id="892" w:name="_Hlk69202244"/>
      <w:r w:rsidRPr="006E4682">
        <w:t xml:space="preserve">Kitos vykdomos veiklos (ne stambaus projekto veiklos) apmokestinamasis pelnas apskaičiuojamas bendra PMĮ nustatyta tvarka.  </w:t>
      </w:r>
      <w:bookmarkEnd w:id="892"/>
    </w:p>
    <w:p w14:paraId="156A1848" w14:textId="77777777" w:rsidR="00C24DD2" w:rsidRPr="006E4682" w:rsidRDefault="00C24DD2" w:rsidP="00C24DD2">
      <w:pPr>
        <w:ind w:firstLine="709"/>
        <w:jc w:val="both"/>
      </w:pPr>
      <w:r w:rsidRPr="006E4682">
        <w:t>Vadinasi, tais mokestiniais laikotarpiais, kai juridinis asmuo pasinaudos lengvata, įtvirtinta PMĮ 58 straipsnio 16</w:t>
      </w:r>
      <w:r w:rsidRPr="006E4682">
        <w:rPr>
          <w:vertAlign w:val="superscript"/>
        </w:rPr>
        <w:t>2</w:t>
      </w:r>
      <w:r w:rsidRPr="006E4682">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w:t>
      </w:r>
      <w:r w:rsidRPr="006E4682">
        <w:lastRenderedPageBreak/>
        <w:t xml:space="preserve">mokestis, tokios stambaus projekto vykdomos veiklos sąnaudos neturės įtakos apskaičiuojant kitos, </w:t>
      </w:r>
      <w:bookmarkStart w:id="893" w:name="_Hlk66957426"/>
      <w:r w:rsidRPr="006E4682">
        <w:t xml:space="preserve">nesusijusios su stambaus projekto įgyvendinimu, </w:t>
      </w:r>
      <w:bookmarkEnd w:id="893"/>
      <w:r w:rsidRPr="006E4682">
        <w:t>vykdomos veiklos rezultatą.</w:t>
      </w:r>
    </w:p>
    <w:p w14:paraId="2232370F" w14:textId="77777777" w:rsidR="00C24DD2" w:rsidRPr="006E4682" w:rsidRDefault="00C24DD2" w:rsidP="00C24DD2">
      <w:pPr>
        <w:ind w:firstLine="709"/>
        <w:jc w:val="both"/>
        <w:rPr>
          <w:lang w:eastAsia="lt-LT"/>
        </w:rPr>
      </w:pPr>
      <w:r w:rsidRPr="006E4682">
        <w:rPr>
          <w:lang w:eastAsia="lt-LT"/>
        </w:rPr>
        <w:t xml:space="preserve">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w:t>
      </w:r>
      <w:bookmarkStart w:id="894" w:name="_Hlk66855471"/>
      <w:bookmarkStart w:id="895" w:name="_Hlk66858063"/>
      <w:r w:rsidRPr="006E4682">
        <w:rPr>
          <w:lang w:eastAsia="lt-LT"/>
        </w:rPr>
        <w:t xml:space="preserve">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 </w:t>
      </w:r>
      <w:bookmarkEnd w:id="894"/>
      <w:bookmarkEnd w:id="895"/>
    </w:p>
    <w:p w14:paraId="7B76F710" w14:textId="77777777" w:rsidR="00C24DD2" w:rsidRPr="006E4682" w:rsidRDefault="00C24DD2" w:rsidP="00C24DD2">
      <w:pPr>
        <w:ind w:firstLine="709"/>
        <w:jc w:val="both"/>
      </w:pPr>
      <w:bookmarkStart w:id="896" w:name="_Hlk66884029"/>
      <w:r w:rsidRPr="006E4682">
        <w:t xml:space="preserve">Už mokestinius laikotarpius, kuriais </w:t>
      </w:r>
      <w:bookmarkStart w:id="897" w:name="_Hlk66882841"/>
      <w:r w:rsidRPr="006E4682">
        <w:t xml:space="preserve">juridinis asmuo, įgyvendinantis stambų projektą, neturės teisės taikyti pelno mokesčio lengvatos, pelno mokestis apskaičiuojamas bendra PMĮ nustatyta tvarka </w:t>
      </w:r>
      <w:bookmarkStart w:id="898" w:name="_Hlk66868596"/>
      <w:r w:rsidRPr="006E4682">
        <w:t xml:space="preserve">juridinio asmens apskaičiuotam </w:t>
      </w:r>
      <w:bookmarkStart w:id="899" w:name="_Hlk66882742"/>
      <w:r w:rsidRPr="006E4682">
        <w:t xml:space="preserve">apmokestinamajam pelnui </w:t>
      </w:r>
      <w:bookmarkEnd w:id="898"/>
      <w:r w:rsidRPr="006E4682">
        <w:t>taikant PMĮ 5 straipsnyje nustatytą mokesčio tarifą</w:t>
      </w:r>
      <w:bookmarkEnd w:id="899"/>
      <w:r w:rsidRPr="006E4682">
        <w:t xml:space="preserve">. </w:t>
      </w:r>
      <w:bookmarkEnd w:id="896"/>
      <w:bookmarkEnd w:id="897"/>
      <w:r w:rsidRPr="006E4682">
        <w:t xml:space="preserve">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vykdomos veiklos pajamas, o sąnaudas, susijusias su stambaus projekto įgyvendinimu, galės priskirti įprastinėms sąnaudoms, jei jos priskiriamos leidžiamiems atskaitymams pagal PMĮ 17 straipsnio 1 dalies nuostatas. Apskaičiuojant apmokestinamąjį pelną, tais laikotarpiais, kai </w:t>
      </w:r>
      <w:bookmarkStart w:id="900" w:name="_Hlk66857725"/>
      <w:r w:rsidRPr="006E4682">
        <w:t>juridinis asmuo, įgyvendinantis stambų projektą</w:t>
      </w:r>
      <w:bookmarkEnd w:id="900"/>
      <w:r w:rsidRPr="006E4682">
        <w:t xml:space="preserve">, neturėjo teisės taikyti pelno mokesčio lengvatos, jis gali pasinaudoti visomis </w:t>
      </w:r>
      <w:bookmarkStart w:id="901" w:name="_Hlk66858544"/>
      <w:r w:rsidRPr="006E4682">
        <w:t>PMĮ įtvirtintomis lengvatomis</w:t>
      </w:r>
      <w:bookmarkEnd w:id="901"/>
      <w:r w:rsidRPr="006E4682">
        <w:t>, pvz., PMĮ 46</w:t>
      </w:r>
      <w:r w:rsidRPr="006E4682">
        <w:rPr>
          <w:vertAlign w:val="superscript"/>
        </w:rPr>
        <w:t>1</w:t>
      </w:r>
      <w:r w:rsidRPr="006E4682">
        <w:t xml:space="preserve"> straipsnyje numatytu apmokestinamojo pelno sumažinimu dėl vykdomo investicinio projekto (nuo 2018 m. yra galimybė susimažinti iki 100 proc. apmokestinamojo pelno) ir kt. </w:t>
      </w:r>
    </w:p>
    <w:p w14:paraId="1DF11EFF" w14:textId="77777777" w:rsidR="00C24DD2" w:rsidRDefault="00C24DD2" w:rsidP="00C24DD2">
      <w:pPr>
        <w:ind w:firstLine="709"/>
        <w:jc w:val="both"/>
      </w:pPr>
      <w:r w:rsidRPr="006E4682">
        <w:t>Pavyzdžiai</w:t>
      </w:r>
    </w:p>
    <w:p w14:paraId="463ECB9E" w14:textId="77777777" w:rsidR="00C24DD2" w:rsidRPr="007F1B28" w:rsidRDefault="00C24DD2" w:rsidP="00C24DD2">
      <w:pPr>
        <w:pBdr>
          <w:top w:val="single" w:sz="4" w:space="1" w:color="auto"/>
          <w:left w:val="single" w:sz="4" w:space="4" w:color="auto"/>
          <w:bottom w:val="single" w:sz="4" w:space="1" w:color="auto"/>
          <w:right w:val="single" w:sz="4" w:space="4" w:color="auto"/>
        </w:pBdr>
        <w:jc w:val="both"/>
        <w:rPr>
          <w:i/>
          <w:iCs/>
        </w:rPr>
      </w:pPr>
      <w:r w:rsidRPr="007F1B28">
        <w:rPr>
          <w:i/>
          <w:iCs/>
        </w:rPr>
        <w:t>Pastaba. Pavyzdyje yra pateikiama hipotetinė situacija ir vertinama tik PMĮ taikymo atžvilgiu, nevertinant valstybės pagalbos teikimo.</w:t>
      </w:r>
    </w:p>
    <w:p w14:paraId="721641F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1. Tarkime, </w:t>
      </w:r>
      <w:bookmarkStart w:id="902" w:name="_Hlk66883656"/>
      <w:r w:rsidRPr="007F1B28">
        <w:t>Lietuvoje Respublikoje registruotas juridinis asmuo, vykdantis statybų veiklą Vilniuje</w:t>
      </w:r>
      <w:bookmarkEnd w:id="902"/>
      <w:r w:rsidRPr="007F1B28">
        <w:t>, priėmė sprendimą vykdyti naują veiklą – pastatyti aliejaus spaudimo gamyklą Vilniaus rajono ribose. Planuojama gamykloje vykdyti veiklą, priskirtą pagal EVRK 2</w:t>
      </w:r>
      <w:r w:rsidRPr="004F5738">
        <w:rPr>
          <w:b/>
        </w:rPr>
        <w:t>.1</w:t>
      </w:r>
      <w:r w:rsidRPr="007F1B28">
        <w:t xml:space="preserve"> red. </w:t>
      </w:r>
      <w:bookmarkStart w:id="903" w:name="_Hlk210107675"/>
      <w:r w:rsidRPr="007F1B28">
        <w:t>C sekcijos 10.4</w:t>
      </w:r>
      <w:r w:rsidRPr="007445F6">
        <w:rPr>
          <w:strike/>
        </w:rPr>
        <w:t>1</w:t>
      </w:r>
      <w:r w:rsidRPr="007F1B28">
        <w:t xml:space="preserve"> „Aliejaus ir riebalų gamyba“ kodui</w:t>
      </w:r>
      <w:bookmarkEnd w:id="903"/>
      <w:r>
        <w:t xml:space="preserve"> </w:t>
      </w:r>
      <w:r w:rsidRPr="00DF6D49">
        <w:t>(pagal EVRK 2 red. iki 2024-12-31 C sekcijos 10.41 „Aliejaus ir riebalų gamyba“ kodui)</w:t>
      </w:r>
      <w:r w:rsidRPr="007F1B28">
        <w:t xml:space="preserve"> taip pat  planuojama, kad gamyklai pastatyti ir įrengti bus panaudota 25 mln. EUR kapitalo investicijų bei priimti 250 darbuotojai</w:t>
      </w:r>
      <w:r w:rsidRPr="00721A36">
        <w:t xml:space="preserve">, kas atitinka Investicijų įstatymo 2 straipsnio 25 dalies 1 punktą. </w:t>
      </w:r>
      <w:r w:rsidRPr="007F1B28">
        <w:t>Šio naujo projekto įgyvendinimui juridinis asmuo 2022 m. sausio 10 d. įsteigė naują ribotos civilinės atsakomybės juridinį asmenį  UAB A. Įvertinus visas aplinkybes dėl galimybės tokiam vystomam projektui taikyti PMĮ 58 str. 16</w:t>
      </w:r>
      <w:r w:rsidRPr="007F1B28">
        <w:rPr>
          <w:vertAlign w:val="superscript"/>
        </w:rPr>
        <w:t xml:space="preserve">2 </w:t>
      </w:r>
      <w:r w:rsidRPr="007F1B28">
        <w:t xml:space="preserve">dalies nuostatas, UAB A 2022 m. gegužės 16 d. </w:t>
      </w:r>
      <w:bookmarkStart w:id="904" w:name="_Hlk66883710"/>
      <w:r w:rsidRPr="007F1B28">
        <w:t xml:space="preserve">sudarė stambaus projekto investicijų sutartį su Lietuvos Respublikos Vyriausybės įgaliota institucija, kurioje nustatė sutarties šalių teises ir pareigas, susijusias su stambaus projekto įgyvendinimu Vilniaus rajone (visas aukščiau planuojamas sąlygas dėl vykdomos veiklos, kapitalo investicijų ir darbuotojų). </w:t>
      </w:r>
    </w:p>
    <w:bookmarkEnd w:id="904"/>
    <w:p w14:paraId="5AED8B3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Vadinasi UAB A nuo 2022-05-16 iki </w:t>
      </w:r>
      <w:bookmarkStart w:id="905" w:name="_Hlk66882591"/>
      <w:r w:rsidRPr="007F1B28">
        <w:t xml:space="preserve">2041-05-16 (20 metų nuo sutarties įsigaliojimo dienos) </w:t>
      </w:r>
      <w:bookmarkEnd w:id="905"/>
      <w:r w:rsidRPr="007F1B28">
        <w:t>galės taikyti PMĮ 58 str. 16</w:t>
      </w:r>
      <w:r w:rsidRPr="007F1B28">
        <w:rPr>
          <w:vertAlign w:val="superscript"/>
        </w:rPr>
        <w:t>2</w:t>
      </w:r>
      <w:r w:rsidRPr="007F1B28">
        <w:t xml:space="preserve"> dalyje nustatytą lengvatą ir nemokėti pelno mokesčio, jeigu atitiks visus PMĮ 58 str. 16</w:t>
      </w:r>
      <w:r w:rsidRPr="007F1B28">
        <w:rPr>
          <w:vertAlign w:val="superscript"/>
        </w:rPr>
        <w:t>2</w:t>
      </w:r>
      <w:r w:rsidRPr="007F1B28">
        <w:t xml:space="preserve"> dalyje įtvirtintus kriterijus.</w:t>
      </w:r>
    </w:p>
    <w:p w14:paraId="66022813"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Tarkime, kad laikotarpiu nuo sutarties pasirašymo (2022-05-16) iki 2024 m. spalio mėn. buvo vykdomi gamyklos statybos ir įrengimo darbai, kurių metu buvo pasiekta 20 mln. EUR sumos kapitalo investicija (tai patvirtina Auditoriaus pažyma). </w:t>
      </w:r>
    </w:p>
    <w:p w14:paraId="7BC8471A"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06" w:name="_Hlk66876203"/>
      <w:r w:rsidRPr="007F1B28">
        <w:lastRenderedPageBreak/>
        <w:t xml:space="preserve">2022-12-31 d. vidutinis darbuotojų, reikalingų stambiam projektui įgyvendinti, skaičius buvo 80, </w:t>
      </w:r>
      <w:bookmarkEnd w:id="906"/>
      <w:r w:rsidRPr="007F1B28">
        <w:t xml:space="preserve">2023-12-31 d. tokių darbuotojų skaičius – 120, o 2024-12-31 d. </w:t>
      </w:r>
      <w:bookmarkStart w:id="907" w:name="_Hlk66874980"/>
      <w:r w:rsidRPr="007F1B28">
        <w:t>– 130</w:t>
      </w:r>
      <w:bookmarkEnd w:id="907"/>
      <w:r w:rsidRPr="007F1B28">
        <w:t xml:space="preserve">. </w:t>
      </w:r>
    </w:p>
    <w:p w14:paraId="4D5CA75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Pajamas iš aliejaus gamybos </w:t>
      </w:r>
      <w:bookmarkStart w:id="908" w:name="_Hlk66877688"/>
      <w:r w:rsidRPr="007F1B28">
        <w:t>UAB A</w:t>
      </w:r>
      <w:bookmarkEnd w:id="908"/>
      <w:r w:rsidRPr="007F1B28">
        <w:t xml:space="preserve"> pradėjo gauti nuo 2024 m. lapkričio mėnesio.</w:t>
      </w:r>
    </w:p>
    <w:p w14:paraId="768D3216"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09" w:name="_Hlk66876859"/>
      <w:bookmarkStart w:id="910" w:name="_Hlk66879144"/>
      <w:r w:rsidRPr="007F1B28">
        <w:t xml:space="preserve">Teikiant pelno mokesčio deklaracijas už 2022-2024 mokestinių metų laikotarpius, UAB A negalės pasinaudoti </w:t>
      </w:r>
      <w:bookmarkStart w:id="911" w:name="_Hlk66881722"/>
      <w:r w:rsidRPr="007F1B28">
        <w:t>PMĮ 58 str. 16</w:t>
      </w:r>
      <w:r w:rsidRPr="007F1B28">
        <w:rPr>
          <w:vertAlign w:val="superscript"/>
        </w:rPr>
        <w:t>2</w:t>
      </w:r>
      <w:r w:rsidRPr="007F1B28">
        <w:t xml:space="preserve"> dalyje nustatyta lengvata, nes neatitiks visų PMĮ 58 str. 16</w:t>
      </w:r>
      <w:r w:rsidRPr="007F1B28">
        <w:rPr>
          <w:vertAlign w:val="superscript"/>
        </w:rPr>
        <w:t>2</w:t>
      </w:r>
      <w:r w:rsidRPr="007F1B28">
        <w:t xml:space="preserve"> dalyje įtvirtintų kriterijų</w:t>
      </w:r>
      <w:bookmarkEnd w:id="911"/>
      <w:r w:rsidRPr="007F1B28">
        <w:t xml:space="preserve"> </w:t>
      </w:r>
      <w:bookmarkEnd w:id="909"/>
      <w:r w:rsidRPr="007F1B28">
        <w:t xml:space="preserve">– nepasiektas vidutinis darbuotojų skaičius. </w:t>
      </w:r>
    </w:p>
    <w:bookmarkEnd w:id="910"/>
    <w:p w14:paraId="21C762A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2025-12-31 kapitalo investicijos pasiekė 25 mln. EUR, o </w:t>
      </w:r>
      <w:bookmarkStart w:id="912" w:name="_Hlk66876169"/>
      <w:r w:rsidRPr="007F1B28">
        <w:t>vidutinis darbuotojų, reikalingų stambiam projektui įgyvendinti, skaičius –180</w:t>
      </w:r>
      <w:bookmarkEnd w:id="912"/>
      <w:r w:rsidRPr="007F1B28">
        <w:t xml:space="preserve">. 250 vidutinis darbuotojų skaičius pasiektas 2026-12-31. UAB A 2025 metais dalį </w:t>
      </w:r>
      <w:bookmarkStart w:id="913" w:name="_Hlk71105440"/>
      <w:r w:rsidRPr="007F1B28">
        <w:t xml:space="preserve">gamykloje laikinai nenaudojamų įrengimų </w:t>
      </w:r>
      <w:bookmarkEnd w:id="913"/>
      <w:r w:rsidRPr="007F1B28">
        <w:t>išnuomojo. UAB A 2025 metais pajamos sudarė 9 mln. EUR</w:t>
      </w:r>
      <w:bookmarkStart w:id="914" w:name="_Hlk66877743"/>
      <w:r w:rsidRPr="007F1B28">
        <w:t xml:space="preserve">: iš aliejaus gamybos sudarė 8 mln. EUR, o iš </w:t>
      </w:r>
      <w:bookmarkStart w:id="915" w:name="_Hlk66878261"/>
      <w:r w:rsidRPr="007F1B28">
        <w:t xml:space="preserve">šalutinės veiklos – </w:t>
      </w:r>
      <w:bookmarkStart w:id="916" w:name="_Hlk66882066"/>
      <w:r w:rsidRPr="007F1B28">
        <w:t xml:space="preserve">įrengimų nuomos </w:t>
      </w:r>
      <w:bookmarkEnd w:id="915"/>
      <w:bookmarkEnd w:id="916"/>
      <w:r w:rsidRPr="007F1B28">
        <w:t>sudarė 1 mln. EUR (atitinkamai pajamos iš aliejaus gamybos sudarė 88.9 proc. visų gautų pajamų, o pajamos iš šalutinės veiklos (gamykloje laikinai nenaudojamų įrengimų nuoma) sudarė 11,1 proc. visų gautų pajamų). Taip pat UAB A už patalpų nuomą gavo 300 000 EUR pajamų.</w:t>
      </w:r>
    </w:p>
    <w:p w14:paraId="791FEFBD"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bookmarkStart w:id="917" w:name="_Hlk66879818"/>
      <w:bookmarkEnd w:id="914"/>
      <w:r w:rsidRPr="007F1B28">
        <w:t>Teikiant pelno mokesčio deklaracijas už 2025 mokestinių metų laikotarpį, gautoms pajamoms iš stambaus projekto įgyvendinimo (9 mln. EUR) UAB A galės taikyti PMĮ 58 str. 16</w:t>
      </w:r>
      <w:r w:rsidRPr="007F1B28">
        <w:rPr>
          <w:vertAlign w:val="superscript"/>
        </w:rPr>
        <w:t>2</w:t>
      </w:r>
      <w:r w:rsidRPr="007F1B28">
        <w:t xml:space="preserve"> dalyje nustatytą lengvatą, nes atitiks visus PMĮ </w:t>
      </w:r>
      <w:bookmarkStart w:id="918" w:name="_Hlk66877032"/>
      <w:r w:rsidRPr="007F1B28">
        <w:t>58 str. 16</w:t>
      </w:r>
      <w:r w:rsidRPr="007F1B28">
        <w:rPr>
          <w:vertAlign w:val="superscript"/>
        </w:rPr>
        <w:t>2</w:t>
      </w:r>
      <w:r w:rsidRPr="007F1B28">
        <w:t xml:space="preserve"> dalyje </w:t>
      </w:r>
      <w:bookmarkEnd w:id="918"/>
      <w:r w:rsidRPr="007F1B28">
        <w:t xml:space="preserve">įtvirtintus kriterijus: </w:t>
      </w:r>
    </w:p>
    <w:bookmarkEnd w:id="917"/>
    <w:p w14:paraId="593D0E69"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 UAB A įgyvendina stambų projektą pagal galiojančią stambaus projekto investicijų sutartį;  </w:t>
      </w:r>
    </w:p>
    <w:p w14:paraId="165EA99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kapitalo investicijos, kurias patvirtina Auditoriaus pažyma, pasiekė 25 mln. EUR (</w:t>
      </w:r>
      <w:bookmarkStart w:id="919" w:name="_Hlk66877142"/>
      <w:r w:rsidRPr="007F1B28">
        <w:t>PMĮ 58 str. 16</w:t>
      </w:r>
      <w:r w:rsidRPr="007F1B28">
        <w:rPr>
          <w:vertAlign w:val="superscript"/>
        </w:rPr>
        <w:t>2</w:t>
      </w:r>
      <w:r w:rsidRPr="007F1B28">
        <w:t xml:space="preserve"> dalyje numatyta </w:t>
      </w:r>
      <w:bookmarkEnd w:id="919"/>
      <w:r w:rsidRPr="007F1B28">
        <w:t xml:space="preserve">20 mln. EUR suma); </w:t>
      </w:r>
    </w:p>
    <w:p w14:paraId="489CB85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vidutinis darbuotojų skaičius 180 (PMĮ 58 str. 16</w:t>
      </w:r>
      <w:r w:rsidRPr="007F1B28">
        <w:rPr>
          <w:vertAlign w:val="superscript"/>
        </w:rPr>
        <w:t>2</w:t>
      </w:r>
      <w:r w:rsidRPr="007F1B28">
        <w:t xml:space="preserve"> dalyje numatyta – 150); </w:t>
      </w:r>
    </w:p>
    <w:p w14:paraId="3F59653B"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 </w:t>
      </w:r>
      <w:bookmarkStart w:id="920" w:name="_Hlk66879192"/>
      <w:r w:rsidRPr="007F1B28">
        <w:t>iš vykdomo stambaus projekto veiklos gautos pajamos sudarė daugiau kaip 75 proc. visų pajamų</w:t>
      </w:r>
      <w:bookmarkEnd w:id="920"/>
      <w:r w:rsidRPr="007F1B28">
        <w:t>;</w:t>
      </w:r>
    </w:p>
    <w:p w14:paraId="638D7108"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UAB A stambiam projektui įgyvendinti nesinaudoja šio straipsnio 16 dalies 1 ir 2 punktuose arba 16</w:t>
      </w:r>
      <w:r w:rsidRPr="007F1B28">
        <w:rPr>
          <w:vertAlign w:val="superscript"/>
        </w:rPr>
        <w:t>3</w:t>
      </w:r>
      <w:r w:rsidRPr="007F1B28">
        <w:t xml:space="preserve"> dalyje nustatyta pelno mokesčio lengvata; </w:t>
      </w:r>
    </w:p>
    <w:p w14:paraId="44362FA0"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xml:space="preserve">- </w:t>
      </w:r>
      <w:r w:rsidRPr="007F1B28">
        <w:tab/>
        <w:t>turi auditoriaus išvadą, patvirtinančią reikalaujamą juridinio asmens privačių kapitalo investicijų dydį.</w:t>
      </w:r>
    </w:p>
    <w:p w14:paraId="6DCDE04B"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Gautos patalpų nuomos pajamos yra priskiriamos kitai (ne stambaus projekto įgyvendinimo veiklai) ir joms bus taikomos bendros PMĮ nuostatos, t. y. apskaičiuotam apmokestinamajam pelnui nuo patalpų nuomos pajamų turės būti taikomas PMĮ 5 straipsnyje nustatytas mokesčio tarifas.</w:t>
      </w:r>
    </w:p>
    <w:p w14:paraId="0E228EEA"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Tarkime, kad UAB A 2026 metais pajamos sudarė 18 mln. EUR: iš aliejaus gamybos sudarė 10 mln. EUR, o iš šalutinės veiklos – gamykloje laikinai nenaudojamų įrengimų nuomos, sudarė 8 mln. EUR (atitinkamai pajamos iš aliejaus gamybos sudarė 55,6 proc. visų gautų pajamų ir pajamos už įrengimų nuomą sudarė 44,4 proc. visų gautų pajamų).</w:t>
      </w:r>
    </w:p>
    <w:p w14:paraId="5ED16F9D"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Teikiant pelno mokesčio deklaraciją už 2026 mokestinių metų laikotarpį, UAB A negalės pasinaudoti PMĮ 58 str. 16</w:t>
      </w:r>
      <w:r w:rsidRPr="007F1B28">
        <w:rPr>
          <w:vertAlign w:val="superscript"/>
        </w:rPr>
        <w:t>2</w:t>
      </w:r>
      <w:r w:rsidRPr="007F1B28">
        <w:t xml:space="preserve"> dalyje nustatyta lengvata, nes neatitiks visų PMĮ 58 str. 16</w:t>
      </w:r>
      <w:r w:rsidRPr="007F1B28">
        <w:rPr>
          <w:vertAlign w:val="superscript"/>
        </w:rPr>
        <w:t>2</w:t>
      </w:r>
      <w:r w:rsidRPr="007F1B28">
        <w:t xml:space="preserve"> dalyje įtvirtintų kriterijų, kadangi gautos pajamos </w:t>
      </w:r>
      <w:bookmarkStart w:id="921" w:name="_Hlk66886146"/>
      <w:r w:rsidRPr="007F1B28">
        <w:t>iš vykdomo stambaus projekto veiklos – aliejaus gamybos, sudarė mažiau kaip 75 proc. visų pajamų</w:t>
      </w:r>
      <w:bookmarkEnd w:id="921"/>
      <w:r w:rsidRPr="007F1B28">
        <w:t>.</w:t>
      </w:r>
    </w:p>
    <w:p w14:paraId="23B3B440"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 xml:space="preserve"> Tarkime, kad </w:t>
      </w:r>
      <w:bookmarkStart w:id="922" w:name="_Hlk66886353"/>
      <w:r w:rsidRPr="007F1B28">
        <w:t>sekančiais mokestiniais laikotarpiais nuo 2027 iki 2040 mokestinių metų UAB A atitiks visus PMĮ 58 str. 16</w:t>
      </w:r>
      <w:r w:rsidRPr="007F1B28">
        <w:rPr>
          <w:vertAlign w:val="superscript"/>
        </w:rPr>
        <w:t>2</w:t>
      </w:r>
      <w:r w:rsidRPr="007F1B28">
        <w:t xml:space="preserve"> dalyje įtvirtintus kriterijus ir, teikiant pelno mokesčio deklaracijas už šiuos laikotarpius, galės pasinaudoti </w:t>
      </w:r>
      <w:bookmarkStart w:id="923" w:name="_Hlk66882204"/>
      <w:r w:rsidRPr="007F1B28">
        <w:t>PMĮ 58 str. 16</w:t>
      </w:r>
      <w:r w:rsidRPr="007F1B28">
        <w:rPr>
          <w:vertAlign w:val="superscript"/>
        </w:rPr>
        <w:t>2</w:t>
      </w:r>
      <w:r w:rsidRPr="007F1B28">
        <w:t xml:space="preserve"> dalyje nustatyta lengvata.</w:t>
      </w:r>
    </w:p>
    <w:bookmarkEnd w:id="923"/>
    <w:p w14:paraId="4016C967"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lastRenderedPageBreak/>
        <w:t>Kadangi PMĮ 58 str. 16</w:t>
      </w:r>
      <w:r w:rsidRPr="007F1B28">
        <w:rPr>
          <w:vertAlign w:val="superscript"/>
        </w:rPr>
        <w:t>2</w:t>
      </w:r>
      <w:r w:rsidRPr="007F1B28">
        <w:t xml:space="preserve"> dalyje nustatyta pelno mokesčio lengvata galima pasinaudoti ne daugiau kaip 20 metų, pradedant tuo mokestiniu laikotarpiu, kurį sudaryta stambaus projekto investicijų sutartis, jeigu tenkinamos visos komentuojamame straipsnyje nustatytos sąlygos, todėl teikiant 20-ų metų (pagal pateiktą pavyzdį 2041 metų) mokestinio laikotarpio pelno mokesčio deklaraciją, stambaus projekto lengvata galima pasinaudoti pajamoms, gautoms iki 2041 gegužės 16 d. (20 metų nuo sutarties įsigaliojimo dienos). </w:t>
      </w:r>
    </w:p>
    <w:p w14:paraId="45393934"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pPr>
      <w:r w:rsidRPr="007F1B28">
        <w:t xml:space="preserve">Nuo 2041 gegužės 17 d. UAB A, įgyvendinanti stambų projektą, neturės teisės taikyti pelno mokesčio lengvatos, todėl gautos pajamos ir nuo jų apskaičiuotas pelno mokestis turės būti apskaičiuojamas bendra PMĮ nustatyta tvarka, t. y. juridinio asmens apskaičiuotam apmokestinamajam pelnui turės būti taikomas PMĮ 5 straipsnyje nustatytas pelno mokesčio tarifas.  </w:t>
      </w:r>
    </w:p>
    <w:bookmarkEnd w:id="922"/>
    <w:p w14:paraId="3F544FFD"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2. Tarkime, kad situacija yra tokia kaip 1 pavyzdyje, tik Lietuvoje Respublikoje registruotas juridinis asmuo, vykdantis statybų veiklą Vilniuje (toliau – UAB S), pats sudarė stambaus projekto investicijų sutartį su Lietuvos Respublikos Vyriausybės įgaliota institucija, kurioje nustatė sutarties šalių teises ir pareigas, susijusias su stambaus projekto įgyvendinimu.</w:t>
      </w:r>
    </w:p>
    <w:p w14:paraId="208D7D6C" w14:textId="77777777" w:rsidR="00C24DD2" w:rsidRPr="007F1B28"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7F1B28">
        <w:t>Šiuo atveju UAB S teikiant pelno mokesčio deklaracijas už mokestinius laikotarpius, kai UAB S vykdys ir statybų veiklą ir stambaus projekto įgyvendinimo veiklą, vykdomos statybos veiklos uždirbamoms pajamoms bus taikomos bendros PMĮ nuostatos, t. y. apskaičiuotam vykdomos statybos veiklos apmokestinamajam pelnui turės būti taikomas PMĮ 5 straipsnyje nustatytas pelno mokesčio tarifas, o  stambaus projekto įgyvendinimo laikotarpiu pajamoms, gautoms įgyvendinant stambų projektą, PMĮ 58 str. 16</w:t>
      </w:r>
      <w:r w:rsidRPr="007F1B28">
        <w:rPr>
          <w:vertAlign w:val="superscript"/>
        </w:rPr>
        <w:t>2</w:t>
      </w:r>
      <w:r w:rsidRPr="007F1B28">
        <w:t xml:space="preserve"> dalyje nustatytos lengvatos (ne)taikymo tvarka paaiškinta 1 pavyzdyje. </w:t>
      </w:r>
    </w:p>
    <w:p w14:paraId="6F1149E9" w14:textId="77777777" w:rsidR="00C24DD2" w:rsidRPr="007F1B28" w:rsidRDefault="00C24DD2" w:rsidP="00C24DD2">
      <w:pPr>
        <w:pBdr>
          <w:top w:val="single" w:sz="4" w:space="1" w:color="auto"/>
          <w:left w:val="single" w:sz="4" w:space="4" w:color="auto"/>
          <w:bottom w:val="single" w:sz="4" w:space="1" w:color="auto"/>
          <w:right w:val="single" w:sz="4" w:space="4" w:color="auto"/>
        </w:pBdr>
        <w:ind w:firstLine="709"/>
        <w:jc w:val="both"/>
        <w:rPr>
          <w:b/>
          <w:bCs/>
        </w:rPr>
      </w:pPr>
    </w:p>
    <w:bookmarkEnd w:id="891"/>
    <w:p w14:paraId="054D59E6" w14:textId="77777777" w:rsidR="00C24DD2" w:rsidRPr="006E4682" w:rsidRDefault="00C24DD2" w:rsidP="00C24DD2">
      <w:pPr>
        <w:ind w:firstLine="709"/>
        <w:jc w:val="both"/>
      </w:pPr>
      <w:r w:rsidRPr="00EF583A">
        <w:t>1</w:t>
      </w:r>
      <w:r w:rsidRPr="00DF6D49">
        <w:t>4</w:t>
      </w:r>
      <w:r w:rsidRPr="006E4682">
        <w:t xml:space="preserve">. Šioje dalyje nustatyta lengvata taikoma tiek, kiek ji suderinama su Europos Sąjungos teisės aktais, kuriais reguliuojamas valstybės pagalbos teikimas, ir su Lietuvos Respublikos Vyriausybės ar jos įgaliotos institucijos nustatyta </w:t>
      </w:r>
      <w:bookmarkStart w:id="924" w:name="_Hlk66874336"/>
      <w:r w:rsidRPr="006E4682">
        <w:t xml:space="preserve">valstybės pagalbos teikimo </w:t>
      </w:r>
      <w:bookmarkEnd w:id="924"/>
      <w:r w:rsidRPr="006E4682">
        <w:t>ir priežiūros tvarka. PMĮ 58 str. 16</w:t>
      </w:r>
      <w:r w:rsidRPr="006E4682">
        <w:rPr>
          <w:vertAlign w:val="superscript"/>
        </w:rPr>
        <w:t>2</w:t>
      </w:r>
      <w:r w:rsidRPr="006E4682">
        <w:t xml:space="preserve"> dalyje nustatyta lengvata taikoma tiek, kiek ji suderinama su 2014 m. birželio 17 d. Komisijos reglamento (ES) Nr. 651/2014, kuriuo tam tikrų kategorijų pagalba skelbiama suderinama su vidaus rinka taikant Sutarties 107 ir 108 straipsnius, nuostatomis.</w:t>
      </w:r>
    </w:p>
    <w:p w14:paraId="037E6F8D" w14:textId="77777777" w:rsidR="00C24DD2" w:rsidRPr="006E4682" w:rsidRDefault="00C24DD2" w:rsidP="00C24DD2">
      <w:pPr>
        <w:ind w:firstLine="709"/>
        <w:jc w:val="both"/>
      </w:pPr>
      <w:r w:rsidRPr="006E4682">
        <w:t>Tuo atveju, jeigu stambų projektą įgyvendinančiam juridiniam asmeniui valstybės pagalbos suma yra didesnė (peržengia) nei nustatyti tam tikri Europos Sąjungos apribojimai, PMĮ 58 str. 16</w:t>
      </w:r>
      <w:r w:rsidRPr="006E4682">
        <w:rPr>
          <w:vertAlign w:val="superscript"/>
        </w:rPr>
        <w:t>2</w:t>
      </w:r>
      <w:r w:rsidRPr="006E4682">
        <w:t xml:space="preserve"> dalyje nustatyta lengvata viršijančiai valstybės pagalbos sumai netaikoma ir visa viršijanti suma apmokestinama pelno mokesčiu, t. y. juridinis asmuo nuo viršijančios sumos apskaičiuoja apmokestinamąjį pelną ir nuo apmokestinamojo pelno apskaičiuoja mokėtiną pelno mokestį PMĮ nustatyta tvarka.</w:t>
      </w:r>
    </w:p>
    <w:p w14:paraId="248A2108" w14:textId="77777777" w:rsidR="00C24DD2" w:rsidRPr="006E4682" w:rsidRDefault="00C24DD2" w:rsidP="00C24DD2">
      <w:pPr>
        <w:ind w:firstLine="709"/>
        <w:jc w:val="both"/>
      </w:pPr>
      <w:r w:rsidRPr="006E4682">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bookmarkEnd w:id="872"/>
    <w:p w14:paraId="6221FB35" w14:textId="77777777" w:rsidR="00C24DD2" w:rsidRDefault="00C24DD2" w:rsidP="00C24DD2">
      <w:pPr>
        <w:spacing w:after="0" w:line="240" w:lineRule="auto"/>
        <w:ind w:firstLine="720"/>
        <w:jc w:val="both"/>
        <w:rPr>
          <w:b/>
          <w:iCs/>
          <w:color w:val="000000"/>
        </w:rPr>
      </w:pPr>
    </w:p>
    <w:p w14:paraId="4CAF0F26" w14:textId="77777777" w:rsidR="00C24DD2" w:rsidRDefault="00C24DD2" w:rsidP="00C24DD2">
      <w:pPr>
        <w:ind w:firstLine="567"/>
        <w:jc w:val="both"/>
      </w:pPr>
      <w:r w:rsidRPr="00DF6D49">
        <w:t>15.</w:t>
      </w:r>
      <w:r w:rsidRPr="0011463B">
        <w:rPr>
          <w:b/>
        </w:rPr>
        <w:t xml:space="preserve"> </w:t>
      </w:r>
      <w:r>
        <w:rPr>
          <w:b/>
        </w:rPr>
        <w:t>Komentuojamosios dalies nuostatos, t</w:t>
      </w:r>
      <w:r w:rsidRPr="0011463B">
        <w:rPr>
          <w:b/>
        </w:rPr>
        <w:t>aikom</w:t>
      </w:r>
      <w:r>
        <w:rPr>
          <w:b/>
        </w:rPr>
        <w:t>os</w:t>
      </w:r>
      <w:r w:rsidRPr="0011463B">
        <w:rPr>
          <w:b/>
        </w:rPr>
        <w:t xml:space="preserve"> </w:t>
      </w:r>
      <w:r>
        <w:rPr>
          <w:b/>
        </w:rPr>
        <w:t xml:space="preserve">po </w:t>
      </w:r>
      <w:r w:rsidRPr="0011463B">
        <w:rPr>
          <w:b/>
        </w:rPr>
        <w:t>2025</w:t>
      </w:r>
      <w:r>
        <w:rPr>
          <w:b/>
        </w:rPr>
        <w:t>-</w:t>
      </w:r>
      <w:r w:rsidRPr="0011463B">
        <w:rPr>
          <w:b/>
        </w:rPr>
        <w:t>11</w:t>
      </w:r>
      <w:r>
        <w:rPr>
          <w:b/>
        </w:rPr>
        <w:t>-</w:t>
      </w:r>
      <w:r w:rsidRPr="0011463B">
        <w:rPr>
          <w:b/>
        </w:rPr>
        <w:t>01 pasirašytoms stambaus projekto investicijų sutartims</w:t>
      </w:r>
      <w:r>
        <w:t>.</w:t>
      </w:r>
    </w:p>
    <w:p w14:paraId="72E4F80C" w14:textId="77777777" w:rsidR="00C24DD2" w:rsidRPr="00DF6D49" w:rsidRDefault="00C24DD2" w:rsidP="00C24DD2">
      <w:pPr>
        <w:pStyle w:val="Sraopastraipa"/>
        <w:ind w:left="0" w:firstLine="927"/>
        <w:jc w:val="both"/>
      </w:pPr>
      <w:r w:rsidRPr="00DF6D49">
        <w:t xml:space="preserve"> Juridinis asmuo, įgyvendinantis stambų projektą pagal galiojančią stambaus projekto investicijų sutartį, nemoka pelno mokesčio ne ilgiau negu 20 mokestinių laikotarpių pradedant tuo mokestiniu laikotarpiu, kurį buvo pasiekta 20 milijonų eurų investicijų suma, o kai investuojama Vilniuje, – 30 milijonų eurų investicijų suma ir juridinis asmuo tenkina visus kitus reikalavimus, nurodytus Investicijų įstatymo 2 str. 25 d. 1 arba 2 p., t. y.: </w:t>
      </w:r>
    </w:p>
    <w:p w14:paraId="550CDCFE" w14:textId="77777777" w:rsidR="00C24DD2" w:rsidRPr="00DF6D49" w:rsidRDefault="00C24DD2" w:rsidP="00C24DD2">
      <w:pPr>
        <w:tabs>
          <w:tab w:val="left" w:pos="426"/>
          <w:tab w:val="left" w:pos="709"/>
        </w:tabs>
        <w:ind w:firstLine="567"/>
        <w:jc w:val="both"/>
      </w:pPr>
      <w:r w:rsidRPr="00DF6D49">
        <w:lastRenderedPageBreak/>
        <w:t>15.1.</w:t>
      </w:r>
      <w:r w:rsidRPr="00DF6D49">
        <w:tab/>
        <w:t xml:space="preserve">juridinis asmuo įgyvendina stambų projektą pagal galiojančią stambaus projekto investicijų sutartį; </w:t>
      </w:r>
    </w:p>
    <w:p w14:paraId="6986E732" w14:textId="77777777" w:rsidR="00C24DD2" w:rsidRPr="00DF6D49" w:rsidRDefault="00C24DD2" w:rsidP="00C24DD2">
      <w:pPr>
        <w:tabs>
          <w:tab w:val="left" w:pos="426"/>
          <w:tab w:val="left" w:pos="709"/>
        </w:tabs>
        <w:ind w:firstLine="567"/>
        <w:jc w:val="both"/>
      </w:pPr>
      <w:r w:rsidRPr="00DF6D49">
        <w:t xml:space="preserve">15.2. mokestiniais metais tenkinamas reikalavimas dėl vidutinio darbuotojų skaičiaus, reikalingo stambiam projektui Lietuvos Respublikoje įgyvendinti, nustatyto Investicijų įstatymo 2 straipsnio 25 dalies 1 arba 2 punkte, t. y. vidutinis darbuotojų, reikalingų stambiam projektui Lietuvos Respublikoje įgyvendinti, skaičius mokestiniais metais ne mažesnis kaip 150 (Vilniuje – ne mažesnis kaip 200) (Investicijų įstatymo 25 straipsnio 25 dalies 1 punktas) arba </w:t>
      </w:r>
      <w:r w:rsidRPr="00DF6D49">
        <w:rPr>
          <w:iCs/>
          <w:color w:val="000000"/>
        </w:rPr>
        <w:t>sukurta Lietuvos Respublikoje nuo 20 iki 149, o kai investuojama Vilniuje – nuo 20 iki 199 naujų darbo vietų (Investicijų įstatymo 25 straipsnio 25 dalies 2 punktas)</w:t>
      </w:r>
      <w:r w:rsidRPr="00DF6D49">
        <w:t xml:space="preserve"> </w:t>
      </w:r>
      <w:r w:rsidRPr="00DF6D49">
        <w:rPr>
          <w:iCs/>
          <w:color w:val="000000"/>
        </w:rPr>
        <w:t>(pasirinktas rodiklis įrašomas stambaus projekto sutartyje)</w:t>
      </w:r>
      <w:r w:rsidRPr="00DF6D49">
        <w:t xml:space="preserve">; </w:t>
      </w:r>
    </w:p>
    <w:p w14:paraId="77604AB8" w14:textId="77777777" w:rsidR="00C24DD2" w:rsidRPr="00DF6D49" w:rsidRDefault="00C24DD2" w:rsidP="00C24DD2">
      <w:pPr>
        <w:tabs>
          <w:tab w:val="left" w:pos="426"/>
          <w:tab w:val="left" w:pos="709"/>
        </w:tabs>
        <w:ind w:firstLine="567"/>
        <w:jc w:val="both"/>
      </w:pPr>
      <w:r w:rsidRPr="00DF6D49">
        <w:t>15.3.</w:t>
      </w:r>
      <w:r w:rsidRPr="00DF6D49">
        <w:tab/>
        <w:t xml:space="preserve">privačios kapitalo investicijos į stambų projektą Lietuvos Respublikoje pasiekė ne mažesnę kaip 20 milijonų eurų sumą (Vilniuje - ne mažesnę kaip 30 milijonų eurų sumą); </w:t>
      </w:r>
    </w:p>
    <w:p w14:paraId="441F61B7" w14:textId="77777777" w:rsidR="00C24DD2" w:rsidRPr="00DF6D49" w:rsidRDefault="00C24DD2" w:rsidP="00C24DD2">
      <w:pPr>
        <w:tabs>
          <w:tab w:val="left" w:pos="426"/>
          <w:tab w:val="left" w:pos="709"/>
        </w:tabs>
        <w:ind w:firstLine="567"/>
        <w:jc w:val="both"/>
      </w:pPr>
      <w:r w:rsidRPr="00DF6D49">
        <w:t>15.4.</w:t>
      </w:r>
      <w:r w:rsidRPr="00DF6D49">
        <w:tab/>
        <w:t>juridinis asmuo stambiam projektui įgyvendinti nesinaudoja šio straipsnio 16 dalies 1 ir 2 punktuose arba 16</w:t>
      </w:r>
      <w:r w:rsidRPr="00DF6D49">
        <w:rPr>
          <w:vertAlign w:val="superscript"/>
        </w:rPr>
        <w:t>3</w:t>
      </w:r>
      <w:r w:rsidRPr="00DF6D49">
        <w:t xml:space="preserve"> dalyje nustatyta pelno mokesčio lengvata; </w:t>
      </w:r>
    </w:p>
    <w:p w14:paraId="02F4807A" w14:textId="77777777" w:rsidR="00C24DD2" w:rsidRPr="00DF6D49" w:rsidRDefault="00C24DD2" w:rsidP="00C24DD2">
      <w:pPr>
        <w:tabs>
          <w:tab w:val="left" w:pos="426"/>
          <w:tab w:val="left" w:pos="709"/>
        </w:tabs>
        <w:ind w:firstLine="567"/>
        <w:jc w:val="both"/>
      </w:pPr>
      <w:r w:rsidRPr="00DF6D49">
        <w:t>15.5.</w:t>
      </w:r>
      <w:r w:rsidRPr="00DF6D49">
        <w:tab/>
        <w:t xml:space="preserve">ne mažiau kaip 75 procentai atitinkamo mokestinio laikotarpio iš vykdomo stambaus projekto veiklos uždirbamų sudaro pajamos iš duomenų apdorojimo, interneto serverių paslaugų (prieglobos) ir susijusios veiklos arba pajamos iš apdirbamosios gamybos, gautos įgyvendinant stambų projektą; </w:t>
      </w:r>
    </w:p>
    <w:p w14:paraId="78F1775F" w14:textId="77777777" w:rsidR="00C24DD2" w:rsidRPr="00DF6D49" w:rsidRDefault="00C24DD2" w:rsidP="00C24DD2">
      <w:pPr>
        <w:ind w:firstLine="567"/>
        <w:jc w:val="both"/>
      </w:pPr>
      <w:r w:rsidRPr="00DF6D49">
        <w:t>15.6.</w:t>
      </w:r>
      <w:r w:rsidRPr="00DF6D49">
        <w:tab/>
        <w:t xml:space="preserve">turi auditoriaus išvadą, patvirtinančią reikalaujamą juridinio asmens privačių kapitalo investicijų dydį. Auditoriaus išvadoje papildomai galėtų būti fiksuojama sutarties įsigaliojimo data. </w:t>
      </w:r>
    </w:p>
    <w:p w14:paraId="627D7A69" w14:textId="77777777" w:rsidR="00C24DD2" w:rsidRPr="00DF6D49" w:rsidRDefault="00C24DD2" w:rsidP="00C24DD2">
      <w:pPr>
        <w:ind w:firstLine="567"/>
        <w:jc w:val="both"/>
      </w:pPr>
      <w:r w:rsidRPr="00DF6D49">
        <w:t>16. PMĮ 58 str. 16</w:t>
      </w:r>
      <w:r w:rsidRPr="00DF6D49">
        <w:rPr>
          <w:vertAlign w:val="superscript"/>
        </w:rPr>
        <w:t>2</w:t>
      </w:r>
      <w:r w:rsidRPr="00DF6D49">
        <w:t xml:space="preserve"> dalyje nustatyta pelno mokesčio lengvata taikoma iš stambaus projekto įgyvendinimo gautoms pajamoms pagal nuo 2021 sausio 1 d. iki 2035 m. gruodžio 31 d. sudarytas stambių projektų investicijų sutartis. </w:t>
      </w:r>
    </w:p>
    <w:p w14:paraId="02CE0B81" w14:textId="77777777" w:rsidR="00C24DD2" w:rsidRPr="00DF6D49" w:rsidRDefault="00C24DD2" w:rsidP="00C24DD2">
      <w:pPr>
        <w:ind w:firstLine="567"/>
        <w:jc w:val="both"/>
        <w:rPr>
          <w:lang w:val="lt-LT"/>
        </w:rPr>
      </w:pPr>
      <w:r w:rsidRPr="00DF6D49">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kuris tenkina visas 58 straipsnio 16</w:t>
      </w:r>
      <w:r w:rsidRPr="00DF6D49">
        <w:rPr>
          <w:vertAlign w:val="superscript"/>
          <w:lang w:val="lt-LT"/>
        </w:rPr>
        <w:t>2</w:t>
      </w:r>
      <w:r w:rsidRPr="00DF6D49">
        <w:rPr>
          <w:lang w:val="lt-LT"/>
        </w:rPr>
        <w:t xml:space="preserve"> dalyje nustatytas lengvatos taikymo sąlygas.</w:t>
      </w:r>
    </w:p>
    <w:p w14:paraId="359C02EB" w14:textId="77777777" w:rsidR="00C24DD2" w:rsidRPr="00DF6D49" w:rsidRDefault="00C24DD2" w:rsidP="00C24DD2">
      <w:pPr>
        <w:ind w:firstLine="567"/>
        <w:jc w:val="both"/>
      </w:pPr>
      <w:r w:rsidRPr="00DF6D49">
        <w:t>17. Komentuojamosios dalies kontekste stambus projektas suprantamas kaip duomenų apdorojimo, interneto serverių paslaugų (prieglobos) ir susijusios veiklos arba apdirbamosios gamybos investicijų projektas, dėl kurio įgyvendinimo yra sudaryta ir galioja stambaus projekto investicijų sutartis, kaip numatyta Investicijų įstatymo 2 straipsnio 25 dalyje. Stambaus projekto investicijų sutartis - Lietuvos Respublikos Vyriausybės įgaliotos institucijos ir investuotojo sudaryta investicijų 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3D28CDE9" w14:textId="77777777" w:rsidR="00C24DD2" w:rsidRPr="00DF6D49" w:rsidRDefault="00C24DD2" w:rsidP="00C24DD2">
      <w:pPr>
        <w:ind w:firstLine="567"/>
        <w:jc w:val="both"/>
        <w:rPr>
          <w:iCs/>
          <w:color w:val="000000"/>
          <w:lang w:val="lt-LT"/>
        </w:rPr>
      </w:pPr>
      <w:r w:rsidRPr="00DF6D49">
        <w:t>18.</w:t>
      </w:r>
      <w:r w:rsidRPr="00DF6D49">
        <w:rPr>
          <w:vertAlign w:val="superscript"/>
        </w:rPr>
        <w:t xml:space="preserve"> </w:t>
      </w:r>
      <w:r w:rsidRPr="00DF6D49">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DF6D49">
        <w:rPr>
          <w:iCs/>
          <w:color w:val="000000"/>
          <w:vertAlign w:val="superscript"/>
          <w:lang w:val="lt-LT"/>
        </w:rPr>
        <w:t>1</w:t>
      </w:r>
      <w:r w:rsidRPr="00DF6D49">
        <w:rPr>
          <w:iCs/>
          <w:color w:val="000000"/>
          <w:lang w:val="lt-LT"/>
        </w:rPr>
        <w:t xml:space="preserve"> dalyse nustatytas sąlygas (išskyrus PMĮ 5 straipsnio 7 dalyje nustatytą taikytiną pelno mokesčio tarifo dydį).</w:t>
      </w:r>
    </w:p>
    <w:p w14:paraId="61703AA2" w14:textId="77777777" w:rsidR="00C24DD2" w:rsidRPr="00DF6D49" w:rsidRDefault="00C24DD2" w:rsidP="00C24DD2">
      <w:pPr>
        <w:ind w:firstLine="709"/>
        <w:jc w:val="both"/>
      </w:pPr>
      <w:r w:rsidRPr="00DF6D49">
        <w:t>19. 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298654A3" w14:textId="77777777" w:rsidR="00C24DD2" w:rsidRPr="00DF6D49" w:rsidRDefault="00C24DD2" w:rsidP="00C24DD2">
      <w:pPr>
        <w:ind w:firstLine="709"/>
        <w:jc w:val="both"/>
      </w:pPr>
      <w:r w:rsidRPr="00DF6D49">
        <w:lastRenderedPageBreak/>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DF6D49">
        <w:rPr>
          <w:vertAlign w:val="superscript"/>
        </w:rPr>
        <w:t>2</w:t>
      </w:r>
      <w:r w:rsidRPr="00DF6D49">
        <w:t xml:space="preserve"> dalyje įtvirtinta sąlyga dėl darbuotojų, reikalingų stambiam projektui Lietuvos Respublikoje įgyvendinti, skaičiaus (mokestiniais metais ne mažesnio kaip 150 (Vilniuje – ne mažesnis kaip 200) (Investicijų įstatymo 25 straipsnio 25 dalie 1 punktas) arba </w:t>
      </w:r>
      <w:r w:rsidRPr="00DF6D49">
        <w:rPr>
          <w:iCs/>
          <w:color w:val="000000"/>
        </w:rPr>
        <w:t>sukurta Lietuvos Respublikoje nuo 20 iki 149, o kai investuojama Vilniuje – nuo 20 iki 199 naujų darbo vietų (Investicijų įstatymo 25 straipsnio 25 dalies 2 punktas)</w:t>
      </w:r>
      <w:r w:rsidRPr="00DF6D49">
        <w:t>) reiškia būtent naujų darbo vietų sukūrimą, įgyvendinant konkretų stambų projektą.</w:t>
      </w:r>
    </w:p>
    <w:p w14:paraId="2169A764" w14:textId="77777777" w:rsidR="00C24DD2" w:rsidRPr="00DF6D49" w:rsidRDefault="00C24DD2" w:rsidP="00C24DD2">
      <w:pPr>
        <w:ind w:firstLine="709"/>
        <w:jc w:val="both"/>
      </w:pPr>
      <w:r w:rsidRPr="00DF6D49">
        <w:t>20. Komentuojamojo straipsnio taikymo prasme, vadovaujantis Investicijų įstatymo 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 pardavimo išsimokėtinai sutartis, kuriose numatytas nuosavybės teisės perėjimas vienetui, apmokėjus visą turto vertę (įskaitant ir lizingo būdu įsigytą turtą).</w:t>
      </w:r>
    </w:p>
    <w:p w14:paraId="6D476750" w14:textId="77777777" w:rsidR="00C24DD2" w:rsidRPr="00DF6D49" w:rsidRDefault="00C24DD2" w:rsidP="00C24DD2">
      <w:pPr>
        <w:ind w:firstLine="709"/>
        <w:jc w:val="both"/>
      </w:pPr>
      <w:r w:rsidRPr="00DF6D49">
        <w:t xml:space="preserve">Atkreiptinas dėmesys, kad kapitalo investicija laikomas juridinio asmens įsigytas ar pačio pasigamintas (pasistatytas) turtas. Turto vertės padidėjimas dėl perkainojimo (įvertinimo pagal tikrąją vertę) nelaikomas kapitalo investicija. </w:t>
      </w:r>
    </w:p>
    <w:p w14:paraId="67536CE9" w14:textId="77777777" w:rsidR="00C24DD2" w:rsidRPr="00DF6D49" w:rsidRDefault="00C24DD2" w:rsidP="00C24DD2">
      <w:pPr>
        <w:ind w:firstLine="709"/>
        <w:jc w:val="both"/>
        <w:rPr>
          <w:lang w:eastAsia="lt-LT"/>
        </w:rPr>
      </w:pPr>
      <w:r w:rsidRPr="00DF6D49">
        <w:rPr>
          <w:lang w:eastAsia="lt-LT"/>
        </w:rPr>
        <w:t>Tuo</w:t>
      </w:r>
      <w:r w:rsidRPr="00DF6D49">
        <w:rPr>
          <w:i/>
          <w:iCs/>
          <w:lang w:eastAsia="lt-LT"/>
        </w:rPr>
        <w:t xml:space="preserve"> </w:t>
      </w:r>
      <w:r w:rsidRPr="00DF6D49">
        <w:rPr>
          <w:lang w:eastAsia="lt-LT"/>
        </w:rPr>
        <w:t>atveju,</w:t>
      </w:r>
      <w:r w:rsidRPr="00DF6D49">
        <w:rPr>
          <w:i/>
          <w:iCs/>
          <w:lang w:eastAsia="lt-LT"/>
        </w:rPr>
        <w:t xml:space="preserve"> </w:t>
      </w:r>
      <w:r w:rsidRPr="00DF6D49">
        <w:rPr>
          <w:lang w:eastAsia="lt-LT"/>
        </w:rPr>
        <w:t>kai juridinis asmuo įsigyja</w:t>
      </w:r>
      <w:r w:rsidRPr="00DF6D49">
        <w:rPr>
          <w:i/>
          <w:iCs/>
          <w:lang w:eastAsia="lt-LT"/>
        </w:rPr>
        <w:t xml:space="preserve"> </w:t>
      </w:r>
      <w:r w:rsidRPr="00DF6D49">
        <w:rPr>
          <w:lang w:eastAsia="lt-LT"/>
        </w:rPr>
        <w:t>turtą</w:t>
      </w:r>
      <w:r w:rsidRPr="00DF6D49">
        <w:rPr>
          <w:i/>
          <w:iCs/>
          <w:lang w:eastAsia="lt-LT"/>
        </w:rPr>
        <w:t xml:space="preserve"> </w:t>
      </w:r>
      <w:r w:rsidRPr="00DF6D49">
        <w:rPr>
          <w:lang w:eastAsia="lt-LT"/>
        </w:rPr>
        <w:t>lizingo</w:t>
      </w:r>
      <w:r w:rsidRPr="00DF6D49">
        <w:rPr>
          <w:i/>
          <w:iCs/>
          <w:lang w:eastAsia="lt-LT"/>
        </w:rPr>
        <w:t xml:space="preserve"> </w:t>
      </w:r>
      <w:r w:rsidRPr="00DF6D49">
        <w:rPr>
          <w:lang w:eastAsia="lt-LT"/>
        </w:rPr>
        <w:t>būdu,</w:t>
      </w:r>
      <w:r w:rsidRPr="00DF6D49">
        <w:rPr>
          <w:i/>
          <w:iCs/>
          <w:lang w:eastAsia="lt-LT"/>
        </w:rPr>
        <w:t xml:space="preserve"> </w:t>
      </w:r>
      <w:r w:rsidRPr="00DF6D49">
        <w:rPr>
          <w:lang w:eastAsia="lt-LT"/>
        </w:rPr>
        <w:t>nustatant</w:t>
      </w:r>
      <w:r w:rsidRPr="00DF6D49">
        <w:rPr>
          <w:i/>
          <w:iCs/>
          <w:lang w:eastAsia="lt-LT"/>
        </w:rPr>
        <w:t xml:space="preserve"> </w:t>
      </w:r>
      <w:r w:rsidRPr="00DF6D49">
        <w:rPr>
          <w:lang w:eastAsia="lt-LT"/>
        </w:rPr>
        <w:t>kapitalo</w:t>
      </w:r>
      <w:r w:rsidRPr="00DF6D49">
        <w:rPr>
          <w:i/>
          <w:iCs/>
          <w:lang w:eastAsia="lt-LT"/>
        </w:rPr>
        <w:t xml:space="preserve"> </w:t>
      </w:r>
      <w:r w:rsidRPr="00DF6D49">
        <w:rPr>
          <w:lang w:eastAsia="lt-LT"/>
        </w:rPr>
        <w:t>investiciją,</w:t>
      </w:r>
      <w:r w:rsidRPr="00DF6D49">
        <w:rPr>
          <w:i/>
          <w:iCs/>
          <w:lang w:eastAsia="lt-LT"/>
        </w:rPr>
        <w:t xml:space="preserve"> </w:t>
      </w:r>
      <w:r w:rsidRPr="00DF6D49">
        <w:rPr>
          <w:lang w:eastAsia="lt-LT"/>
        </w:rPr>
        <w:t>į</w:t>
      </w:r>
      <w:r w:rsidRPr="00DF6D49">
        <w:rPr>
          <w:i/>
          <w:iCs/>
          <w:lang w:eastAsia="lt-LT"/>
        </w:rPr>
        <w:t xml:space="preserve"> </w:t>
      </w:r>
      <w:r w:rsidRPr="00DF6D49">
        <w:rPr>
          <w:lang w:eastAsia="lt-LT"/>
        </w:rPr>
        <w:t>jos</w:t>
      </w:r>
      <w:r w:rsidRPr="00DF6D49">
        <w:rPr>
          <w:i/>
          <w:iCs/>
          <w:lang w:eastAsia="lt-LT"/>
        </w:rPr>
        <w:t xml:space="preserve"> </w:t>
      </w:r>
      <w:r w:rsidRPr="00DF6D49">
        <w:rPr>
          <w:lang w:eastAsia="lt-LT"/>
        </w:rPr>
        <w:t>vertę</w:t>
      </w:r>
      <w:r w:rsidRPr="00DF6D49">
        <w:rPr>
          <w:i/>
          <w:iCs/>
          <w:lang w:eastAsia="lt-LT"/>
        </w:rPr>
        <w:t xml:space="preserve"> </w:t>
      </w:r>
      <w:r w:rsidRPr="00DF6D49">
        <w:rPr>
          <w:lang w:eastAsia="lt-LT"/>
        </w:rPr>
        <w:t>įtraukiama</w:t>
      </w:r>
      <w:r w:rsidRPr="00DF6D49">
        <w:rPr>
          <w:i/>
          <w:iCs/>
          <w:lang w:eastAsia="lt-LT"/>
        </w:rPr>
        <w:t xml:space="preserve"> </w:t>
      </w:r>
      <w:r w:rsidRPr="00DF6D49">
        <w:rPr>
          <w:lang w:eastAsia="lt-LT"/>
        </w:rPr>
        <w:t>visa</w:t>
      </w:r>
      <w:r w:rsidRPr="00DF6D49">
        <w:rPr>
          <w:i/>
          <w:iCs/>
          <w:lang w:eastAsia="lt-LT"/>
        </w:rPr>
        <w:t xml:space="preserve"> </w:t>
      </w:r>
      <w:r w:rsidRPr="00DF6D49">
        <w:rPr>
          <w:lang w:eastAsia="lt-LT"/>
        </w:rPr>
        <w:t>ilgalaikio</w:t>
      </w:r>
      <w:r w:rsidRPr="00DF6D49">
        <w:rPr>
          <w:i/>
          <w:iCs/>
          <w:lang w:eastAsia="lt-LT"/>
        </w:rPr>
        <w:t xml:space="preserve"> </w:t>
      </w:r>
      <w:r w:rsidRPr="00DF6D49">
        <w:rPr>
          <w:lang w:eastAsia="lt-LT"/>
        </w:rPr>
        <w:t>turto</w:t>
      </w:r>
      <w:r w:rsidRPr="00DF6D49">
        <w:rPr>
          <w:i/>
          <w:iCs/>
          <w:lang w:eastAsia="lt-LT"/>
        </w:rPr>
        <w:t xml:space="preserve"> </w:t>
      </w:r>
      <w:r w:rsidRPr="00DF6D49">
        <w:rPr>
          <w:lang w:eastAsia="lt-LT"/>
        </w:rPr>
        <w:t>įsigijimo</w:t>
      </w:r>
      <w:r w:rsidRPr="00DF6D49">
        <w:rPr>
          <w:i/>
          <w:iCs/>
          <w:lang w:eastAsia="lt-LT"/>
        </w:rPr>
        <w:t xml:space="preserve"> </w:t>
      </w:r>
      <w:r w:rsidRPr="00DF6D49">
        <w:rPr>
          <w:lang w:eastAsia="lt-LT"/>
        </w:rPr>
        <w:t>vertė (būtina sąlyga, kad lizingo</w:t>
      </w:r>
      <w:r w:rsidRPr="00DF6D49">
        <w:rPr>
          <w:i/>
          <w:iCs/>
          <w:lang w:eastAsia="lt-LT"/>
        </w:rPr>
        <w:t xml:space="preserve"> </w:t>
      </w:r>
      <w:r w:rsidRPr="00DF6D49">
        <w:rPr>
          <w:lang w:eastAsia="lt-LT"/>
        </w:rPr>
        <w:t>laikotarpio</w:t>
      </w:r>
      <w:r w:rsidRPr="00DF6D49">
        <w:rPr>
          <w:i/>
          <w:iCs/>
          <w:lang w:eastAsia="lt-LT"/>
        </w:rPr>
        <w:t xml:space="preserve"> </w:t>
      </w:r>
      <w:r w:rsidRPr="00DF6D49">
        <w:rPr>
          <w:lang w:eastAsia="lt-LT"/>
        </w:rPr>
        <w:t>pabaigoje</w:t>
      </w:r>
      <w:r w:rsidRPr="00DF6D49">
        <w:rPr>
          <w:i/>
          <w:iCs/>
          <w:lang w:eastAsia="lt-LT"/>
        </w:rPr>
        <w:t xml:space="preserve"> </w:t>
      </w:r>
      <w:r w:rsidRPr="00DF6D49">
        <w:rPr>
          <w:lang w:eastAsia="lt-LT"/>
        </w:rPr>
        <w:t>nuosavybės</w:t>
      </w:r>
      <w:r w:rsidRPr="00DF6D49">
        <w:rPr>
          <w:i/>
          <w:iCs/>
          <w:lang w:eastAsia="lt-LT"/>
        </w:rPr>
        <w:t xml:space="preserve"> </w:t>
      </w:r>
      <w:r w:rsidRPr="00DF6D49">
        <w:rPr>
          <w:lang w:eastAsia="lt-LT"/>
        </w:rPr>
        <w:t>teisė</w:t>
      </w:r>
      <w:r w:rsidRPr="00DF6D49">
        <w:rPr>
          <w:i/>
          <w:iCs/>
          <w:lang w:eastAsia="lt-LT"/>
        </w:rPr>
        <w:t xml:space="preserve"> </w:t>
      </w:r>
      <w:r w:rsidRPr="00DF6D49">
        <w:rPr>
          <w:lang w:eastAsia="lt-LT"/>
        </w:rPr>
        <w:t>į</w:t>
      </w:r>
      <w:r w:rsidRPr="00DF6D49">
        <w:rPr>
          <w:i/>
          <w:iCs/>
          <w:lang w:eastAsia="lt-LT"/>
        </w:rPr>
        <w:t xml:space="preserve"> </w:t>
      </w:r>
      <w:r w:rsidRPr="00DF6D49">
        <w:rPr>
          <w:lang w:eastAsia="lt-LT"/>
        </w:rPr>
        <w:t>turtą</w:t>
      </w:r>
      <w:r w:rsidRPr="00DF6D49">
        <w:rPr>
          <w:i/>
          <w:iCs/>
          <w:lang w:eastAsia="lt-LT"/>
        </w:rPr>
        <w:t xml:space="preserve"> </w:t>
      </w:r>
      <w:r w:rsidRPr="00DF6D49">
        <w:rPr>
          <w:lang w:eastAsia="lt-LT"/>
        </w:rPr>
        <w:t>pereina</w:t>
      </w:r>
      <w:r w:rsidRPr="00DF6D49">
        <w:rPr>
          <w:i/>
          <w:iCs/>
          <w:lang w:eastAsia="lt-LT"/>
        </w:rPr>
        <w:t xml:space="preserve"> </w:t>
      </w:r>
      <w:r w:rsidRPr="00DF6D49">
        <w:rPr>
          <w:lang w:eastAsia="lt-LT"/>
        </w:rPr>
        <w:t>lizingo</w:t>
      </w:r>
      <w:r w:rsidRPr="00DF6D49">
        <w:rPr>
          <w:i/>
          <w:iCs/>
          <w:lang w:eastAsia="lt-LT"/>
        </w:rPr>
        <w:t xml:space="preserve"> </w:t>
      </w:r>
      <w:r w:rsidRPr="00DF6D49">
        <w:rPr>
          <w:lang w:eastAsia="lt-LT"/>
        </w:rPr>
        <w:t>gavėjui).</w:t>
      </w:r>
    </w:p>
    <w:p w14:paraId="0686026F" w14:textId="77777777" w:rsidR="00C24DD2" w:rsidRPr="00DF6D49" w:rsidRDefault="00C24DD2" w:rsidP="00C24DD2">
      <w:pPr>
        <w:ind w:firstLine="709"/>
        <w:jc w:val="both"/>
        <w:rPr>
          <w:lang w:eastAsia="lt-LT"/>
        </w:rPr>
      </w:pPr>
      <w:r w:rsidRPr="00DF6D49">
        <w:rPr>
          <w:lang w:eastAsia="lt-LT"/>
        </w:rPr>
        <w:t xml:space="preserve">Komentuojamojo straipsnio taikymo prasme, kapitalo investicijų, kurias atlikus gali būti taikoma lengvata, dydis nustatomas pagal Lietuvos Respublikos Vyriausybės </w:t>
      </w:r>
      <w:r w:rsidRPr="00DF6D49">
        <w:rPr>
          <w:iCs/>
          <w:lang w:eastAsia="lt-LT"/>
        </w:rPr>
        <w:t>2021-04-28</w:t>
      </w:r>
      <w:r w:rsidRPr="00DF6D49">
        <w:rPr>
          <w:lang w:eastAsia="lt-LT"/>
        </w:rPr>
        <w:t xml:space="preserve"> nutarimu </w:t>
      </w:r>
      <w:r w:rsidRPr="00DF6D49">
        <w:rPr>
          <w:iCs/>
          <w:lang w:eastAsia="lt-LT"/>
        </w:rPr>
        <w:t>Nr. 313</w:t>
      </w:r>
      <w:r w:rsidRPr="00DF6D49">
        <w:rPr>
          <w:lang w:eastAsia="lt-LT"/>
        </w:rPr>
        <w:t xml:space="preserve"> „Dėl Lietuvos Respublikos investicijų įstatymo 15</w:t>
      </w:r>
      <w:r w:rsidRPr="00DF6D49">
        <w:rPr>
          <w:vertAlign w:val="superscript"/>
          <w:lang w:eastAsia="lt-LT"/>
        </w:rPr>
        <w:t>4</w:t>
      </w:r>
      <w:r w:rsidRPr="00DF6D49">
        <w:rPr>
          <w:lang w:eastAsia="lt-LT"/>
        </w:rPr>
        <w:t xml:space="preserve"> straipsnio, 15</w:t>
      </w:r>
      <w:r w:rsidRPr="00DF6D49">
        <w:rPr>
          <w:vertAlign w:val="superscript"/>
          <w:lang w:eastAsia="lt-LT"/>
        </w:rPr>
        <w:t>5</w:t>
      </w:r>
      <w:r w:rsidRPr="00DF6D49">
        <w:rPr>
          <w:lang w:eastAsia="lt-LT"/>
        </w:rPr>
        <w:t xml:space="preserve"> straipsnio, 15</w:t>
      </w:r>
      <w:r w:rsidRPr="00DF6D49">
        <w:rPr>
          <w:vertAlign w:val="superscript"/>
          <w:lang w:eastAsia="lt-LT"/>
        </w:rPr>
        <w:t>6</w:t>
      </w:r>
      <w:r w:rsidRPr="00DF6D49">
        <w:rPr>
          <w:lang w:eastAsia="lt-LT"/>
        </w:rPr>
        <w:t xml:space="preserve"> straipsnio ir Lietuvos Respublikos pelno mokesčio įstatymo 58 straipsnio 16</w:t>
      </w:r>
      <w:r w:rsidRPr="00DF6D49">
        <w:rPr>
          <w:vertAlign w:val="superscript"/>
          <w:lang w:eastAsia="lt-LT"/>
        </w:rPr>
        <w:t>2</w:t>
      </w:r>
      <w:r w:rsidRPr="00DF6D49">
        <w:rPr>
          <w:lang w:eastAsia="lt-LT"/>
        </w:rPr>
        <w:t xml:space="preserve"> ir 16</w:t>
      </w:r>
      <w:r w:rsidRPr="00DF6D49">
        <w:rPr>
          <w:vertAlign w:val="superscript"/>
          <w:lang w:eastAsia="lt-LT"/>
        </w:rPr>
        <w:t>3</w:t>
      </w:r>
      <w:r w:rsidRPr="00DF6D49">
        <w:rPr>
          <w:lang w:eastAsia="lt-LT"/>
        </w:rPr>
        <w:t xml:space="preserve"> dalių įgyvendinimo“ patvirtintą tvarką.“</w:t>
      </w:r>
    </w:p>
    <w:p w14:paraId="5E18235B" w14:textId="77777777" w:rsidR="00C24DD2" w:rsidRPr="00DF6D49" w:rsidRDefault="00C24DD2" w:rsidP="00C24DD2">
      <w:pPr>
        <w:ind w:firstLine="709"/>
        <w:jc w:val="both"/>
      </w:pPr>
      <w:r w:rsidRPr="00DF6D49">
        <w:t xml:space="preserve">Taikant lengvatą yra vertinama stambaus projekto vykdymui sukaupta kapitalo investicijų suma. </w:t>
      </w:r>
    </w:p>
    <w:p w14:paraId="5F113B64" w14:textId="77777777" w:rsidR="00C24DD2" w:rsidRPr="00DF6D49" w:rsidRDefault="00C24DD2" w:rsidP="00C24DD2">
      <w:pPr>
        <w:ind w:firstLine="709"/>
        <w:jc w:val="both"/>
      </w:pPr>
      <w:r w:rsidRPr="00DF6D49">
        <w:t>21. Šioje dalyje nustatyta lengvata gali būti taikoma tik tuo atveju, kai juridinis asmuo stambiam projektui įgyvendinti nesinaudoja PMĮ 58 str. 16 dalies 1 ir 2 punktuose arba 16</w:t>
      </w:r>
      <w:r w:rsidRPr="00DF6D49">
        <w:rPr>
          <w:vertAlign w:val="superscript"/>
        </w:rPr>
        <w:t>3</w:t>
      </w:r>
      <w:r w:rsidRPr="00DF6D49">
        <w:t xml:space="preserve"> dalyje nustatyta pelno mokesčio lengvata.</w:t>
      </w:r>
    </w:p>
    <w:p w14:paraId="3320434C" w14:textId="77777777" w:rsidR="00C24DD2" w:rsidRPr="00DF6D49" w:rsidRDefault="00C24DD2" w:rsidP="00C24DD2">
      <w:pPr>
        <w:ind w:firstLine="709"/>
        <w:jc w:val="both"/>
      </w:pPr>
      <w:r w:rsidRPr="00DF6D49">
        <w:t>22. Juridinis asmuo, įgyvendinantis stambų projektą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vykdomo stambaus projekto) pajamoms netaikomos PMĮ 58 str. 16</w:t>
      </w:r>
      <w:r w:rsidRPr="00DF6D49">
        <w:rPr>
          <w:vertAlign w:val="superscript"/>
        </w:rPr>
        <w:t>2</w:t>
      </w:r>
      <w:r w:rsidRPr="00DF6D49">
        <w:t xml:space="preserve"> dalies nuostatos ir jos apmokestinamos PMĮ nustatyta tvarka.</w:t>
      </w:r>
    </w:p>
    <w:p w14:paraId="77C27786" w14:textId="77777777" w:rsidR="00C24DD2" w:rsidRPr="00DF6D49" w:rsidRDefault="00C24DD2" w:rsidP="00C24DD2">
      <w:pPr>
        <w:ind w:firstLine="709"/>
        <w:jc w:val="both"/>
      </w:pPr>
      <w:r w:rsidRPr="00DF6D49">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DF6D49">
        <w:rPr>
          <w:vertAlign w:val="superscript"/>
        </w:rPr>
        <w:t xml:space="preserve">2 </w:t>
      </w:r>
      <w:r w:rsidRPr="00DF6D49">
        <w:lastRenderedPageBreak/>
        <w:t>nurodytą pajamų apribojimą, jeigu vienetas, įgyvendinantis stambų projektą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iš šalutinės veiklos pajamų, ir toks vienetas bus laikomas atitinkančiu PMĮ 58 str. 16</w:t>
      </w:r>
      <w:r w:rsidRPr="00DF6D49">
        <w:rPr>
          <w:vertAlign w:val="superscript"/>
        </w:rPr>
        <w:t>2</w:t>
      </w:r>
      <w:r w:rsidRPr="00DF6D49">
        <w:t xml:space="preserve"> dalyje nustatytą lengvatai taikomą pajamų ribą. </w:t>
      </w:r>
    </w:p>
    <w:p w14:paraId="7A70435E" w14:textId="77777777" w:rsidR="00C24DD2" w:rsidRPr="00DF6D49" w:rsidRDefault="00C24DD2" w:rsidP="00C24DD2">
      <w:pPr>
        <w:ind w:firstLine="709"/>
        <w:jc w:val="both"/>
      </w:pPr>
      <w:r w:rsidRPr="00DF6D49">
        <w:t>Juridinio asmens vykdoma veikla identifikuojama pagal Ekonominės veiklos rūšių klasifikatorių (EVRK 2.1 red.),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DF6D49">
        <w:rPr>
          <w:vertAlign w:val="superscript"/>
        </w:rPr>
        <w:t>2</w:t>
      </w:r>
      <w:r w:rsidRPr="00DF6D49">
        <w:t xml:space="preserve"> dalies kontekste vykdoma veikla turi būti priskirta:</w:t>
      </w:r>
    </w:p>
    <w:p w14:paraId="3FD5585F" w14:textId="77777777" w:rsidR="00C24DD2" w:rsidRPr="00DF6D49" w:rsidRDefault="00C24DD2" w:rsidP="00C24DD2">
      <w:pPr>
        <w:ind w:firstLine="709"/>
        <w:jc w:val="both"/>
      </w:pPr>
      <w:r w:rsidRPr="00DF6D49">
        <w:t>- duomenų apdorojimo, interneto serverių paslaugų (prieglobos) ir susijusios veiklos (J sekcija, 63.11 veikla) arba</w:t>
      </w:r>
    </w:p>
    <w:p w14:paraId="76AC0BA6" w14:textId="77777777" w:rsidR="00C24DD2" w:rsidRPr="00DF6D49" w:rsidRDefault="00C24DD2" w:rsidP="00C24DD2">
      <w:pPr>
        <w:ind w:firstLine="709"/>
        <w:jc w:val="both"/>
      </w:pPr>
      <w:r w:rsidRPr="00DF6D49">
        <w:t>- apdirbamoji gamyba (C sekcija).</w:t>
      </w:r>
    </w:p>
    <w:p w14:paraId="4147E906" w14:textId="77777777" w:rsidR="00C24DD2" w:rsidRPr="00DF6D49" w:rsidRDefault="00C24DD2" w:rsidP="00C24DD2">
      <w:pPr>
        <w:ind w:firstLine="720"/>
        <w:jc w:val="both"/>
        <w:rPr>
          <w:lang w:val="lt-LT"/>
        </w:rPr>
      </w:pPr>
      <w:r w:rsidRPr="00DF6D49">
        <w:t>23.</w:t>
      </w:r>
      <w:r w:rsidRPr="00DF6D49">
        <w:rPr>
          <w:vertAlign w:val="superscript"/>
        </w:rPr>
        <w:t xml:space="preserve"> </w:t>
      </w:r>
      <w:r w:rsidRPr="00DF6D49">
        <w:rPr>
          <w:lang w:val="lt-LT"/>
        </w:rPr>
        <w:t>Stambaus projekto vykdomos veiklos pajamoms, gautoms iš intelektinės nuosavybės turto naudojimo, lengvata netaikoma, išskyrus atvejus, kai šios pajamos atitinka PMĮ 5 straipsnio 7–10 dalyse ir 30 straipsnio 1 ir 2</w:t>
      </w:r>
      <w:r w:rsidRPr="00DF6D49">
        <w:rPr>
          <w:vertAlign w:val="superscript"/>
          <w:lang w:val="lt-LT"/>
        </w:rPr>
        <w:t>1</w:t>
      </w:r>
      <w:r w:rsidRPr="00DF6D49">
        <w:rPr>
          <w:lang w:val="lt-LT"/>
        </w:rPr>
        <w:t xml:space="preserve"> dalyse nustatytas sąlygas (išskyrus PMĮ 5 straipsnio 7 dalyje nustatytą taikytiną pelno mokesčio tarifo dydį). </w:t>
      </w:r>
    </w:p>
    <w:p w14:paraId="7EC35F9F" w14:textId="77777777" w:rsidR="00C24DD2" w:rsidRPr="00DF6D49" w:rsidRDefault="00C24DD2" w:rsidP="00C24DD2">
      <w:pPr>
        <w:ind w:firstLine="709"/>
        <w:jc w:val="both"/>
        <w:rPr>
          <w:lang w:val="lt-LT"/>
        </w:rPr>
      </w:pPr>
      <w:r w:rsidRPr="00DF6D49">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DF6D49">
        <w:rPr>
          <w:vertAlign w:val="superscript"/>
          <w:lang w:val="lt-LT"/>
        </w:rPr>
        <w:t>1</w:t>
      </w:r>
      <w:r w:rsidRPr="00DF6D49">
        <w:rPr>
          <w:lang w:val="lt-LT"/>
        </w:rPr>
        <w:t xml:space="preserve"> dalyse (žr. PMĮ 30 straipsnio 1 ir 2</w:t>
      </w:r>
      <w:r w:rsidRPr="00DF6D49">
        <w:rPr>
          <w:vertAlign w:val="superscript"/>
          <w:lang w:val="lt-LT"/>
        </w:rPr>
        <w:t>1</w:t>
      </w:r>
      <w:r w:rsidRPr="00DF6D49">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28384BCD" w14:textId="77777777" w:rsidR="00C24DD2" w:rsidRPr="00DF6D49" w:rsidRDefault="00C24DD2" w:rsidP="00C24DD2">
      <w:pPr>
        <w:ind w:firstLine="567"/>
        <w:jc w:val="both"/>
      </w:pPr>
      <w:r w:rsidRPr="00DF6D49">
        <w:t xml:space="preserve">24. Reikalaujamą juridinio asmens privačių kapitalo investicijų dydį turi patvirtinti auditoriaus išvada. </w:t>
      </w:r>
    </w:p>
    <w:p w14:paraId="12C0C6D3" w14:textId="77777777" w:rsidR="00C24DD2" w:rsidRPr="00DF6D49" w:rsidRDefault="00C24DD2" w:rsidP="00C24DD2">
      <w:pPr>
        <w:ind w:firstLine="567"/>
        <w:jc w:val="both"/>
      </w:pPr>
      <w:r w:rsidRPr="00DF6D49">
        <w:t xml:space="preserve">Auditoriaus išvadoje turi būti nurodomas konkretus juridinio asmens pasiektas privačių kapitalo investicijų dydis, kuris yra ne mažesnis nei 20 mln. EUR privačių kapitalo investicijų (30 mln. Eur, kai investuojama Vilniuje). </w:t>
      </w:r>
    </w:p>
    <w:p w14:paraId="08984DD8" w14:textId="77777777" w:rsidR="00C24DD2" w:rsidRPr="00DF6D49" w:rsidRDefault="00C24DD2" w:rsidP="00C24DD2">
      <w:pPr>
        <w:ind w:firstLine="709"/>
        <w:jc w:val="both"/>
      </w:pPr>
      <w:r w:rsidRPr="00DF6D49">
        <w:t xml:space="preserve">25. Po 2025-11-01 pasirašius stambaus projekto investicijų sutartį, Juridinis asmuo, įgyvendinantis stambų projektą, 20 metų, pradedant tuo mokestiniu laikotarpiu, kurį buvo pasiekta 20 milijonų eurų investicijų suma, o kai investuojama Vilniuje, – 30 milijonų eurų investicijų suma ir juridinis asmuo tenkina visus kitus reikalavimus, nurodytus Investicijų įstatymo 2 str. 25 d. 1 arba 2 p., nemoka pelno mokesčio. Vadinasi, 20 metų laikotarpis pradedamas skaičiuoti ne nuo investicinės sutarties įsigaliojimo dienos, o pelno mokesčio lengvata pradedama taikyti nuo to </w:t>
      </w:r>
      <w:bookmarkStart w:id="925" w:name="_Hlk208814195"/>
      <w:r w:rsidRPr="00DF6D49">
        <w:t>mokestinio laikotarpio, kurį tenkinami visi komentuojamame straipsnyje įtvirtinti reikalavimai.</w:t>
      </w:r>
      <w:bookmarkEnd w:id="925"/>
    </w:p>
    <w:p w14:paraId="55EF0BFE" w14:textId="77777777" w:rsidR="00C24DD2" w:rsidRPr="00DF6D49" w:rsidRDefault="00C24DD2" w:rsidP="00C24DD2">
      <w:pPr>
        <w:ind w:firstLine="709"/>
        <w:jc w:val="both"/>
      </w:pPr>
      <w:r w:rsidRPr="00DF6D49">
        <w:t xml:space="preserve">25.1. Tuo atveju, jeigu nepasibaigus nustatytam lengvatos taikymo terminui </w:t>
      </w:r>
      <w:r w:rsidRPr="00DF6D49">
        <w:rPr>
          <w:bCs/>
          <w:color w:val="000000"/>
        </w:rPr>
        <w:t xml:space="preserve">tais mokestiniais metais juridinis asmuo nebetenkina nors vieno reikalavimo, nurodyto Investicijų įstatymo 2 straipsnio 25 dalies 1 arba 2 punkte, lengvata tą mokestinį laikotarpį netaikoma </w:t>
      </w:r>
      <w:r w:rsidRPr="00DF6D49">
        <w:t xml:space="preserve">ir lengvatos taikymas atnaujinamas tą mokestinį laikotarpį, kurį </w:t>
      </w:r>
      <w:r w:rsidRPr="00DF6D49">
        <w:rPr>
          <w:bCs/>
          <w:color w:val="000000"/>
        </w:rPr>
        <w:t>pradedami tenkinti visi Investicijų įstatymo 2 straipsnio 25 dalies 1 arba 2 punktų reikalavimai</w:t>
      </w:r>
      <w:r w:rsidRPr="00DF6D49">
        <w:t>.</w:t>
      </w:r>
    </w:p>
    <w:p w14:paraId="4EABF5C6" w14:textId="77777777" w:rsidR="00C24DD2" w:rsidRPr="00DF6D49" w:rsidRDefault="00C24DD2" w:rsidP="00C24DD2">
      <w:pPr>
        <w:ind w:firstLine="709"/>
        <w:jc w:val="both"/>
        <w:rPr>
          <w:lang w:eastAsia="lt-LT"/>
        </w:rPr>
      </w:pPr>
      <w:r w:rsidRPr="00DF6D49">
        <w:rPr>
          <w:lang w:eastAsia="lt-LT"/>
        </w:rPr>
        <w:lastRenderedPageBreak/>
        <w:t>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DF6D49">
        <w:rPr>
          <w:i/>
          <w:iCs/>
          <w:lang w:eastAsia="lt-LT"/>
        </w:rPr>
        <w:t xml:space="preserve"> </w:t>
      </w:r>
      <w:r w:rsidRPr="00DF6D49">
        <w:rPr>
          <w:lang w:eastAsia="lt-LT"/>
        </w:rPr>
        <w:t>nelaikoma</w:t>
      </w:r>
      <w:r w:rsidRPr="00DF6D49">
        <w:rPr>
          <w:i/>
          <w:iCs/>
          <w:lang w:eastAsia="lt-LT"/>
        </w:rPr>
        <w:t xml:space="preserve"> </w:t>
      </w:r>
      <w:r w:rsidRPr="00DF6D49">
        <w:rPr>
          <w:lang w:eastAsia="lt-LT"/>
        </w:rPr>
        <w:t>kapitalo</w:t>
      </w:r>
      <w:r w:rsidRPr="00DF6D49">
        <w:rPr>
          <w:i/>
          <w:iCs/>
          <w:lang w:eastAsia="lt-LT"/>
        </w:rPr>
        <w:t xml:space="preserve"> </w:t>
      </w:r>
      <w:r w:rsidRPr="00DF6D49">
        <w:rPr>
          <w:lang w:eastAsia="lt-LT"/>
        </w:rPr>
        <w:t>investicijų</w:t>
      </w:r>
      <w:r w:rsidRPr="00DF6D49">
        <w:rPr>
          <w:i/>
          <w:iCs/>
          <w:lang w:eastAsia="lt-LT"/>
        </w:rPr>
        <w:t xml:space="preserve"> </w:t>
      </w:r>
      <w:r w:rsidRPr="00DF6D49">
        <w:rPr>
          <w:lang w:eastAsia="lt-LT"/>
        </w:rPr>
        <w:t>sumažėjimu.</w:t>
      </w:r>
      <w:r w:rsidRPr="00DF6D49">
        <w:rPr>
          <w:i/>
          <w:iCs/>
          <w:lang w:eastAsia="lt-LT"/>
        </w:rPr>
        <w:t xml:space="preserve"> </w:t>
      </w:r>
    </w:p>
    <w:p w14:paraId="3600995A" w14:textId="77777777" w:rsidR="00C24DD2" w:rsidRPr="00DF6D49" w:rsidRDefault="00C24DD2" w:rsidP="00C24DD2">
      <w:pPr>
        <w:ind w:firstLine="709"/>
        <w:jc w:val="both"/>
      </w:pPr>
      <w:r w:rsidRPr="00DF6D49">
        <w:t xml:space="preserve">Pažymėtina, kad mokestiniai laikotarpiai, kuriais juridinis asmuo neturi teisės taikyti šios pelno mokesčio lengvatos, dėl </w:t>
      </w:r>
      <w:r w:rsidRPr="00DF6D49">
        <w:rPr>
          <w:bCs/>
          <w:color w:val="000000"/>
        </w:rPr>
        <w:t>Investicijų įstatymo 2 straipsnio 25 dalies 1 arba 2 punktų reikalavimų netenkinimo</w:t>
      </w:r>
      <w:r w:rsidRPr="00DF6D49">
        <w:t>, yra įskaičiuojami į PMĮ 58 str. 16</w:t>
      </w:r>
      <w:r w:rsidRPr="00DF6D49">
        <w:rPr>
          <w:vertAlign w:val="superscript"/>
        </w:rPr>
        <w:t>2</w:t>
      </w:r>
      <w:r w:rsidRPr="00DF6D49">
        <w:t xml:space="preserve"> dalyje nustatytus 20 metų pelno mokesčio lengvatos taikymo mokestinius laikotarpius, t. y. lengvatos taikymo 20 metų laikotarpis nėra sustabdomas. </w:t>
      </w:r>
    </w:p>
    <w:p w14:paraId="5007E52A" w14:textId="77777777" w:rsidR="00C24DD2" w:rsidRPr="00DF6D49" w:rsidRDefault="00C24DD2" w:rsidP="00C24DD2">
      <w:pPr>
        <w:ind w:firstLine="709"/>
        <w:jc w:val="both"/>
      </w:pPr>
      <w:r w:rsidRPr="00DF6D49">
        <w:t>Už mokestinius laikotarpius, kuriais juridinis asmuo, įgyvendinantis stambų projektą, neturėjo teisės taikyti pelno mokesčio lengvatos, pelno mokestis apskaičiuojamas bendra PMĮ nustatyta tvarka, taikant PMĮ 5 straipsnyje nustatytą mokesčio tarifą.</w:t>
      </w:r>
    </w:p>
    <w:p w14:paraId="59EF636F" w14:textId="77777777" w:rsidR="00C24DD2" w:rsidRPr="00DF6D49" w:rsidRDefault="00C24DD2" w:rsidP="00C24DD2">
      <w:pPr>
        <w:ind w:firstLine="567"/>
        <w:jc w:val="both"/>
        <w:rPr>
          <w:lang w:val="lt-LT"/>
        </w:rPr>
      </w:pPr>
      <w:r w:rsidRPr="00DF6D49">
        <w:t xml:space="preserve">25.2. </w:t>
      </w:r>
      <w:r w:rsidRPr="00DF6D49">
        <w:rPr>
          <w:lang w:val="lt-LT"/>
        </w:rPr>
        <w:t>Jeigu juridinio asmens, įgyvendinančio stambų projektą, kuris naudojosi PMĮ 58 str. 16</w:t>
      </w:r>
      <w:r w:rsidRPr="00DF6D49">
        <w:rPr>
          <w:vertAlign w:val="superscript"/>
          <w:lang w:val="lt-LT"/>
        </w:rPr>
        <w:t xml:space="preserve">2 </w:t>
      </w:r>
      <w:r w:rsidRPr="00DF6D49">
        <w:rPr>
          <w:lang w:val="lt-LT"/>
        </w:rPr>
        <w:t>dalyje nustatyta pelno mokesčio lengvata, įgyvendinant stambų projektą gautos pajamos iš PMĮ 58 str. 16</w:t>
      </w:r>
      <w:r w:rsidRPr="00DF6D49">
        <w:rPr>
          <w:vertAlign w:val="superscript"/>
          <w:lang w:val="lt-LT"/>
        </w:rPr>
        <w:t>2</w:t>
      </w:r>
      <w:r w:rsidRPr="00DF6D49">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DF6D49">
        <w:rPr>
          <w:vertAlign w:val="superscript"/>
          <w:lang w:val="lt-LT"/>
        </w:rPr>
        <w:t>1</w:t>
      </w:r>
      <w:r w:rsidRPr="00DF6D49">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DF6D49">
        <w:rPr>
          <w:vertAlign w:val="superscript"/>
          <w:lang w:val="lt-LT"/>
        </w:rPr>
        <w:t>1</w:t>
      </w:r>
      <w:r w:rsidRPr="00DF6D49">
        <w:rPr>
          <w:lang w:val="lt-LT"/>
        </w:rPr>
        <w:t xml:space="preserve"> dalyse nustatytas sąlygas sudarys ne mažiau kaip 75 procentus visų</w:t>
      </w:r>
      <w:r w:rsidRPr="00DF6D49">
        <w:rPr>
          <w:bCs/>
          <w:lang w:val="lt-LT"/>
        </w:rPr>
        <w:t xml:space="preserve"> </w:t>
      </w:r>
      <w:r w:rsidRPr="00DF6D49">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4FC677BC" w14:textId="77777777" w:rsidR="00C24DD2" w:rsidRPr="00DF6D49" w:rsidRDefault="00C24DD2" w:rsidP="00C24DD2">
      <w:pPr>
        <w:ind w:firstLine="709"/>
        <w:jc w:val="both"/>
        <w:rPr>
          <w:lang w:val="lt-LT"/>
        </w:rPr>
      </w:pPr>
      <w:r w:rsidRPr="00DF6D49">
        <w:rPr>
          <w:lang w:val="lt-LT"/>
        </w:rPr>
        <w:t xml:space="preserve">Komentuojamosios dalies apimtyje, </w:t>
      </w:r>
      <w:r w:rsidRPr="00DF6D49">
        <w:rPr>
          <w:bCs/>
          <w:lang w:val="lt-LT"/>
        </w:rPr>
        <w:t>t. y. tik stambaus projekto pajamų ir sąnaudų apmokestinimo taikymo kontekste,</w:t>
      </w:r>
      <w:r w:rsidRPr="00DF6D49">
        <w:rPr>
          <w:lang w:val="lt-LT"/>
        </w:rPr>
        <w:t xml:space="preserve"> už mokestinius laikotarpius, kuriais juridinis asmuo, įgyvendinantis stambų projektą, neturėjo teisės taikyti pelno mokesčio lengvatos, pelno mokestis apskaičiuojamas bendra PMĮ nustatyta tvarka, taikant PMĮ 5 straipsnyje nustatytą mokesčio tarifą.</w:t>
      </w:r>
    </w:p>
    <w:p w14:paraId="0BEC3C0B" w14:textId="77777777" w:rsidR="00C24DD2" w:rsidRPr="00DF6D49" w:rsidRDefault="00C24DD2" w:rsidP="00C24DD2">
      <w:pPr>
        <w:ind w:firstLine="709"/>
        <w:jc w:val="both"/>
      </w:pPr>
      <w:r w:rsidRPr="00DF6D49">
        <w:t xml:space="preserve">25.3. Tuo atveju, kai stambaus projekto sutartis sudaryta po 2025-11-01 ir pelno mokesčio lengvata taikoma nuo </w:t>
      </w:r>
      <w:bookmarkStart w:id="926" w:name="_Hlk208818497"/>
      <w:r w:rsidRPr="00DF6D49">
        <w:t>mokestinio laikotarpio, kurį tenkinami visi komentuojamame straipsnyje įtvirtinti reikalavimai</w:t>
      </w:r>
      <w:bookmarkEnd w:id="926"/>
      <w:r w:rsidRPr="00DF6D49">
        <w:t xml:space="preserve"> , t.y. kai juridinis asmuo, įgyvendinantis stambų projektą, atitinka visus PMĮ 58 str. 16</w:t>
      </w:r>
      <w:r w:rsidRPr="00DF6D49">
        <w:rPr>
          <w:vertAlign w:val="superscript"/>
        </w:rPr>
        <w:t>2</w:t>
      </w:r>
      <w:r w:rsidRPr="00DF6D49">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 </w:t>
      </w:r>
    </w:p>
    <w:p w14:paraId="00C8362F" w14:textId="77777777" w:rsidR="00C24DD2" w:rsidRPr="00DF6D49" w:rsidRDefault="00C24DD2" w:rsidP="00C24DD2">
      <w:pPr>
        <w:ind w:firstLine="709"/>
        <w:jc w:val="both"/>
      </w:pPr>
      <w:r w:rsidRPr="00DF6D49">
        <w:t xml:space="preserve">26. Juridinis asmuo, įgyvendinantis stambų projektą ir atitinkantis visus komentuojamoje dalyje įtvirtintus kriterijus, metines pelno mokesčio deklaracijas teikia bendra PMĮ nustatyta tvarka. </w:t>
      </w:r>
    </w:p>
    <w:p w14:paraId="1BD367CB" w14:textId="77777777" w:rsidR="00C24DD2" w:rsidRPr="00DF6D49" w:rsidRDefault="00C24DD2" w:rsidP="00C24DD2">
      <w:pPr>
        <w:ind w:firstLine="709"/>
        <w:jc w:val="both"/>
      </w:pPr>
      <w:r w:rsidRPr="00DF6D49">
        <w:t xml:space="preserve">Pelno mokesčio apskaičiavimo tikslais, pildydamas metinę pelno mokesčio deklaraciją, juridinis asmuo, įgyvendinantis stambų projektą, apskaičiuodamas ir metinėje pelno mokesčio </w:t>
      </w:r>
      <w:r w:rsidRPr="00DF6D49">
        <w:lastRenderedPageBreak/>
        <w:t xml:space="preserve">deklaracijoje deklaruodamas vykdomos veiklos rezultatus, turi atskirai nurodyti (išskirti) pajamas, gautas iš stambaus projekto vykdomos veiklos, nes tik iš stambaus projekto gautoms pajamoms gali būti taikoma komentuojamosios dalies lengvata. Kitos vykdomos veiklos (ne stambaus projekto veiklos) apmokestinamasis pelnas apskaičiuojamas bendra PMĮ nustatyta tvarka.  </w:t>
      </w:r>
    </w:p>
    <w:p w14:paraId="18418B80" w14:textId="77777777" w:rsidR="00C24DD2" w:rsidRPr="00DF6D49" w:rsidRDefault="00C24DD2" w:rsidP="00C24DD2">
      <w:pPr>
        <w:ind w:firstLine="709"/>
        <w:jc w:val="both"/>
      </w:pPr>
      <w:r w:rsidRPr="00DF6D49">
        <w:t>Vadinasi, tais mokestiniais laikotarpiais, kai juridinis asmuo pasinaudos lengvata, įtvirtinta PMĮ 58 straipsnio 16</w:t>
      </w:r>
      <w:r w:rsidRPr="00DF6D49">
        <w:rPr>
          <w:vertAlign w:val="superscript"/>
        </w:rPr>
        <w:t>2</w:t>
      </w:r>
      <w:r w:rsidRPr="00DF6D49">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tokios stambaus projekto vykdomos veiklos sąnaudos neturės įtakos apskaičiuojant kitos, nesusijusios su stambaus projekto įgyvendinimu, vykdomos veiklos rezultatą.</w:t>
      </w:r>
    </w:p>
    <w:p w14:paraId="259167AF" w14:textId="77777777" w:rsidR="00C24DD2" w:rsidRPr="00DF6D49" w:rsidRDefault="00C24DD2" w:rsidP="00C24DD2">
      <w:pPr>
        <w:ind w:firstLine="709"/>
        <w:jc w:val="both"/>
        <w:rPr>
          <w:lang w:eastAsia="lt-LT"/>
        </w:rPr>
      </w:pPr>
      <w:r w:rsidRPr="00DF6D49">
        <w:rPr>
          <w:lang w:eastAsia="lt-LT"/>
        </w:rPr>
        <w:t xml:space="preserve">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 </w:t>
      </w:r>
    </w:p>
    <w:p w14:paraId="56436CEB" w14:textId="77777777" w:rsidR="00C24DD2" w:rsidRPr="00DF6D49" w:rsidRDefault="00C24DD2" w:rsidP="00C24DD2">
      <w:pPr>
        <w:ind w:firstLine="709"/>
        <w:jc w:val="both"/>
      </w:pPr>
      <w:r w:rsidRPr="00DF6D49">
        <w:t>Už mokestinius laikotarpius, kuriais juridinis asmuo, įgyvendinantis stambų projektą, neturės teisės taikyti pelno mokesčio lengvatos, pelno mokestis apskaičiuojamas bendra PMĮ nustatyta tvarka juridinio asmens apskaičiuotam apmokestinamajam pelnui taikant PMĮ 5 straipsnyje nustatytą mokesčio tarifą. 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vykdomos veiklos pajamas, o sąnaudas, susijusias su stambaus projekto įgyvendinimu, galės priskirti įprastinėms sąnaudoms, jei jos priskiriamos leidžiamiems atskaitymams pagal PMĮ 17 straipsnio 1 dalies nuostatas. Apskaičiuojant apmokestinamąjį pelną, tais laikotarpiais, kai juridinis asmuo, įgyvendinantis stambų projektą, neturėjo teisės taikyti pelno mokesčio lengvatos, jis gali pasinaudoti visomis PMĮ įtvirtintomis lengvatomis, pvz., PMĮ 46</w:t>
      </w:r>
      <w:r w:rsidRPr="00DF6D49">
        <w:rPr>
          <w:vertAlign w:val="superscript"/>
        </w:rPr>
        <w:t>1</w:t>
      </w:r>
      <w:r w:rsidRPr="00DF6D49">
        <w:t xml:space="preserve"> straipsnyje numatytu apmokestinamojo pelno sumažinimu dėl vykdomo investicinio projekto (nuo 2018 m. yra galimybė susimažinti iki 100 proc. apmokestinamojo pelno) ir kt. </w:t>
      </w:r>
    </w:p>
    <w:p w14:paraId="73B64860" w14:textId="77777777" w:rsidR="00C24DD2" w:rsidRPr="00DF6D49" w:rsidRDefault="00C24DD2" w:rsidP="00C24DD2">
      <w:pPr>
        <w:ind w:firstLine="709"/>
        <w:jc w:val="both"/>
      </w:pPr>
      <w:r w:rsidRPr="00DF6D49">
        <w:t>Pavyzdžiai</w:t>
      </w:r>
    </w:p>
    <w:p w14:paraId="33037AAB" w14:textId="77777777" w:rsidR="00C24DD2" w:rsidRPr="00DF6D49" w:rsidRDefault="00C24DD2" w:rsidP="00C24DD2">
      <w:pPr>
        <w:pBdr>
          <w:top w:val="single" w:sz="4" w:space="1" w:color="auto"/>
          <w:left w:val="single" w:sz="4" w:space="4" w:color="auto"/>
          <w:bottom w:val="single" w:sz="4" w:space="1" w:color="auto"/>
          <w:right w:val="single" w:sz="4" w:space="4" w:color="auto"/>
        </w:pBdr>
        <w:jc w:val="both"/>
        <w:rPr>
          <w:i/>
          <w:iCs/>
        </w:rPr>
      </w:pPr>
      <w:r w:rsidRPr="00DF6D49">
        <w:rPr>
          <w:i/>
          <w:iCs/>
        </w:rPr>
        <w:t>Pastaba. Pavyzdyje yra pateikiama hipotetinė situacija ir vertinama tik PMĮ taikymo atžvilgiu, nevertinant valstybės pagalbos teikimo.</w:t>
      </w:r>
    </w:p>
    <w:p w14:paraId="2785CC43"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1. Tarkime, Lietuvoje Respublikoje registruotas juridinis asmuo, vykdantis statybų veiklą Vilniuje, priėmė sprendimą vykdyti naują veiklą – pastatyti aliejaus spaudimo gamyklą Vilniaus rajono ribose. Planuojama gamykloje vykdyti veiklą, priskirtą pagal EVRK 2.1 red. C sekcijos 10.4 „Aliejaus ir riebalų gamyba“ kodui, taip pat  planuojama, kad gamyklai pastatyti ir įrengti bus panaudota 25 mln. EUR kapitalo investicijų bei priimti 250 darbuotojai, kas atitinka Investicijų įstatymo 2 straipsnio 25 dalies 1 punktą. Šio naujo projekto įgyvendinimui juridinis asmuo 2025 m. lapkričio 11 d. įsteigė naują ribotos civilinės atsakomybės juridinį asmenį  UAB A. Įvertinus visas aplinkybes dėl galimybės tokiam vystomam projektui taikyti PMĮ 58 str. 16</w:t>
      </w:r>
      <w:r w:rsidRPr="00DF6D49">
        <w:rPr>
          <w:vertAlign w:val="superscript"/>
        </w:rPr>
        <w:t xml:space="preserve">2 </w:t>
      </w:r>
      <w:r w:rsidRPr="00DF6D49">
        <w:t xml:space="preserve">dalies nuostatas, UAB A 2025 m. gruodžio 16 d. sudarė stambaus projekto investicijų sutartį su Lietuvos Respublikos Vyriausybės įgaliota institucija, kurioje nustatė sutarties šalių teises ir pareigas, susijusias su stambaus </w:t>
      </w:r>
      <w:r w:rsidRPr="00DF6D49">
        <w:lastRenderedPageBreak/>
        <w:t xml:space="preserve">projekto įgyvendinimu Vilniaus rajone (visas aukščiau planuojamas sąlygas dėl vykdomos veiklos, kapitalo investicijų ir darbuotojų). </w:t>
      </w:r>
    </w:p>
    <w:p w14:paraId="52F9ED8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Tarkime, kad laikotarpiu nuo 2025-11-11 iki 2026 m. lapkričio mėn. buvo vykdomi gamyklos statybos ir įrengimo darbai, kurių metu buvo pasiekta 20 mln. EUR sumos kapitalo investicija (tai patvirtina Auditoriaus pažyma) ir 2026-12-31 vidutinis darbuotojų, reikalingų stambiam projektui įgyvendinti, skaičius buvo – 80, o 2027-12-31 – 160.</w:t>
      </w:r>
    </w:p>
    <w:p w14:paraId="5919F69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xml:space="preserve">Vadinasi UAB A nuo 2027 iki 2047 mokestinius metų laikotarpius (20 metų nuo mokestinio laikotarpio, kurį </w:t>
      </w:r>
      <w:bookmarkStart w:id="927" w:name="_Hlk208819209"/>
      <w:r w:rsidRPr="00DF6D49">
        <w:t>tenkinami visi komentuojamame straipsnyje įtvirtinti reikalavimai</w:t>
      </w:r>
      <w:bookmarkEnd w:id="927"/>
      <w:r w:rsidRPr="00DF6D49">
        <w:t>) galės taikyti PMĮ 58 str. 16</w:t>
      </w:r>
      <w:r w:rsidRPr="00DF6D49">
        <w:rPr>
          <w:vertAlign w:val="superscript"/>
        </w:rPr>
        <w:t>2</w:t>
      </w:r>
      <w:r w:rsidRPr="00DF6D49">
        <w:t xml:space="preserve"> dalyje nustatytą lengvatą ir nemokėti pelno mokesčio, jeigu atitiks visus PMĮ 58 str. 16</w:t>
      </w:r>
      <w:r w:rsidRPr="00DF6D49">
        <w:rPr>
          <w:vertAlign w:val="superscript"/>
        </w:rPr>
        <w:t>2</w:t>
      </w:r>
      <w:r w:rsidRPr="00DF6D49">
        <w:t xml:space="preserve"> dalyje įtvirtintus kriterijus.</w:t>
      </w:r>
    </w:p>
    <w:p w14:paraId="5415A837"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Pajamas iš aliejaus gamybos UAB A pradėjo gauti nuo 2026 m. lapkričio mėnesio.</w:t>
      </w:r>
    </w:p>
    <w:p w14:paraId="5DE32A02"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Teikiant pelno mokesčio deklaracijas už 2025 - 2026 mokestinių metų laikotarpius, UAB A negalės pasinaudoti PMĮ 58 str. 16</w:t>
      </w:r>
      <w:r w:rsidRPr="00DF6D49">
        <w:rPr>
          <w:vertAlign w:val="superscript"/>
        </w:rPr>
        <w:t>2</w:t>
      </w:r>
      <w:r w:rsidRPr="00DF6D49">
        <w:t xml:space="preserve"> dalyje nustatyta lengvata, nes neatitiks visų PMĮ 58 str. 16</w:t>
      </w:r>
      <w:r w:rsidRPr="00DF6D49">
        <w:rPr>
          <w:vertAlign w:val="superscript"/>
        </w:rPr>
        <w:t>2</w:t>
      </w:r>
      <w:r w:rsidRPr="00DF6D49">
        <w:t xml:space="preserve"> dalyje įtvirtintų kriterijų – 2025 metų mokestinį laikotarpį nepasiekta investicijų suma ir </w:t>
      </w:r>
      <w:bookmarkStart w:id="928" w:name="_Hlk208819106"/>
      <w:r w:rsidRPr="00DF6D49">
        <w:t>nepasiektas vidutinis darbuotojų skaičius</w:t>
      </w:r>
      <w:bookmarkEnd w:id="928"/>
      <w:r w:rsidRPr="00DF6D49">
        <w:t xml:space="preserve">, o 2026 metų mokestinį laikotarpį nepasiektas vidutinis darbuotojų skaičius. </w:t>
      </w:r>
    </w:p>
    <w:p w14:paraId="6ECF7B5F"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Tarkime, kad 2027-12-31 kapitalo investicijos pasiekė 25 mln. EUR, o vidutinis darbuotojų, reikalingų stambiam projektui įgyvendinti, skaičius –160. 250 vidutinis darbuotojų skaičius pasiektas 2028-12-31. UAB A 2027 metais dalį gamykloje laikinai nenaudojamų įrengimų išnuomojo. UAB A 2027 metais pajamos sudarė 9 mln. EUR: iš aliejaus gamybos sudarė 8 mln. EUR, o iš šalutinės veiklos – įrengimų nuomos sudarė 1 mln. EUR (atitinkamai pajamos iš aliejaus gamybos sudarė 88.9 proc. visų gautų pajamų, o pajamos iš šalutinės veiklos (gamykloje laikinai nenaudojamų įrengimų nuoma) sudarė 11,1 proc. visų gautų pajamų). Taip pat UAB A už patalpų nuomą gavo 300 000 EUR pajamų.</w:t>
      </w:r>
    </w:p>
    <w:p w14:paraId="28BCD3E3"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Teikiant pelno mokesčio deklaracijas už 2027 mokestinių metų laikotarpį, gautoms pajamoms iš stambaus projekto įgyvendinimo (9 mln. EUR) UAB A galės taikyti PMĮ 58 str. 16</w:t>
      </w:r>
      <w:r w:rsidRPr="00DF6D49">
        <w:rPr>
          <w:vertAlign w:val="superscript"/>
        </w:rPr>
        <w:t>2</w:t>
      </w:r>
      <w:r w:rsidRPr="00DF6D49">
        <w:t xml:space="preserve"> dalyje nustatytą lengvatą, nes atitiks visus PMĮ 58 str. 16</w:t>
      </w:r>
      <w:r w:rsidRPr="00DF6D49">
        <w:rPr>
          <w:vertAlign w:val="superscript"/>
        </w:rPr>
        <w:t>2</w:t>
      </w:r>
      <w:r w:rsidRPr="00DF6D49">
        <w:t xml:space="preserve"> dalyje įtvirtintus kriterijus: </w:t>
      </w:r>
    </w:p>
    <w:p w14:paraId="6F19865A"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UAB A pasiekė ir tenkina visus PMĮ 58 str. 16</w:t>
      </w:r>
      <w:r w:rsidRPr="00DF6D49">
        <w:rPr>
          <w:vertAlign w:val="superscript"/>
        </w:rPr>
        <w:t xml:space="preserve">2 </w:t>
      </w:r>
      <w:r w:rsidRPr="00DF6D49">
        <w:t>dalyje įtvirtintus reikalavimus: kapitalo investicijos, kurias patvirtina Auditoriaus pažyma, pasiekė 25 mln. EUR (PMĮ 58 str. 16</w:t>
      </w:r>
      <w:r w:rsidRPr="00DF6D49">
        <w:rPr>
          <w:vertAlign w:val="superscript"/>
        </w:rPr>
        <w:t>2</w:t>
      </w:r>
      <w:r w:rsidRPr="00DF6D49">
        <w:t xml:space="preserve"> dalyje numatyta 20 mln. EUR suma); vidutinis darbuotojų skaičius 160 (PMĮ 58 str. 16</w:t>
      </w:r>
      <w:r w:rsidRPr="00DF6D49">
        <w:rPr>
          <w:vertAlign w:val="superscript"/>
        </w:rPr>
        <w:t>2</w:t>
      </w:r>
      <w:r w:rsidRPr="00DF6D49">
        <w:t xml:space="preserve"> dalyje numatyta – 150); iš vykdomo stambaus projekto veiklos gautos pajamos sudarė daugiau kaip 75 proc. visų pajamų; UAB A stambiam projektui įgyvendinti nesinaudoja šio straipsnio 16 dalies 1 ir 2 punktuose arba 16</w:t>
      </w:r>
      <w:r w:rsidRPr="00DF6D49">
        <w:rPr>
          <w:vertAlign w:val="superscript"/>
        </w:rPr>
        <w:t>3</w:t>
      </w:r>
      <w:r w:rsidRPr="00DF6D49">
        <w:t xml:space="preserve"> dalyje nustatyta pelno mokesčio lengvata; turi auditoriaus išvadą, patvirtinančią reikalaujamą juridinio asmens privačių kapitalo investicijų dydį.</w:t>
      </w:r>
    </w:p>
    <w:p w14:paraId="41441133"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Gautos patalpų nuomos pajamos yra priskiriamos kitai (ne stambaus projekto įgyvendinimo veiklai) ir joms bus taikomos bendros PMĮ nuostatos, t. y. apskaičiuotam apmokestinamajam pelnui nuo patalpų nuomos pajamų turės būti taikomas PMĮ 5 straipsnyje nustatytas mokesčio tarifas.</w:t>
      </w:r>
    </w:p>
    <w:p w14:paraId="6B549795"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Tarkime, kad UAB A 2029 metais pajamos sudarė 18 mln. EUR: iš aliejaus gamybos sudarė 10 mln. EUR, o iš šalutinės veiklos – gamykloje laikinai nenaudojamų įrengimų nuomos, sudarė 8 mln. EUR (atitinkamai pajamos iš aliejaus gamybos sudarė 55,6 proc. visų gautų pajamų ir pajamos už įrengimų nuomą sudarė 44,4 proc. visų gautų pajamų).</w:t>
      </w:r>
    </w:p>
    <w:p w14:paraId="274828F7"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t>Teikiant pelno mokesčio deklaraciją už 2029 mokestinių metų laikotarpį, UAB A negalės pasinaudoti PMĮ 58 str. 16</w:t>
      </w:r>
      <w:r w:rsidRPr="00DF6D49">
        <w:rPr>
          <w:vertAlign w:val="superscript"/>
        </w:rPr>
        <w:t>2</w:t>
      </w:r>
      <w:r w:rsidRPr="00DF6D49">
        <w:t xml:space="preserve"> dalyje nustatyta lengvata, nes neatitiks visų PMĮ 58 str. 16</w:t>
      </w:r>
      <w:r w:rsidRPr="00DF6D49">
        <w:rPr>
          <w:vertAlign w:val="superscript"/>
        </w:rPr>
        <w:t>2</w:t>
      </w:r>
      <w:r w:rsidRPr="00DF6D49">
        <w:t xml:space="preserve"> dalyje įtvirtintų kriterijų, kadangi gautos pajamos iš vykdomo stambaus projekto veiklos – aliejaus gamybos, sudarė mažiau kaip 75 proc. visų pajamų.</w:t>
      </w:r>
    </w:p>
    <w:p w14:paraId="16584CB2" w14:textId="77777777" w:rsidR="00C24DD2" w:rsidRPr="00DF6D49" w:rsidRDefault="00C24DD2" w:rsidP="00C24DD2">
      <w:pPr>
        <w:pBdr>
          <w:top w:val="single" w:sz="4" w:space="1" w:color="auto"/>
          <w:left w:val="single" w:sz="4" w:space="4" w:color="auto"/>
          <w:bottom w:val="single" w:sz="4" w:space="1" w:color="auto"/>
          <w:right w:val="single" w:sz="4" w:space="4" w:color="auto"/>
        </w:pBdr>
        <w:tabs>
          <w:tab w:val="left" w:pos="426"/>
          <w:tab w:val="left" w:pos="709"/>
        </w:tabs>
        <w:ind w:firstLine="567"/>
        <w:jc w:val="both"/>
      </w:pPr>
      <w:r w:rsidRPr="00DF6D49">
        <w:lastRenderedPageBreak/>
        <w:t xml:space="preserve"> Tarkime, kad sekančiais mokestiniais laikotarpiais nuo 2030 iki 2047 mokestinių metų UAB A atitiks visus PMĮ 58 str. 16</w:t>
      </w:r>
      <w:r w:rsidRPr="00DF6D49">
        <w:rPr>
          <w:vertAlign w:val="superscript"/>
        </w:rPr>
        <w:t>2</w:t>
      </w:r>
      <w:r w:rsidRPr="00DF6D49">
        <w:t xml:space="preserve"> dalyje įtvirtintus kriterijus ir, teikiant pelno mokesčio deklaracijas už šiuos laikotarpius, galės pasinaudoti PMĮ 58 str. 16</w:t>
      </w:r>
      <w:r w:rsidRPr="00DF6D49">
        <w:rPr>
          <w:vertAlign w:val="superscript"/>
        </w:rPr>
        <w:t>2</w:t>
      </w:r>
      <w:r w:rsidRPr="00DF6D49">
        <w:t xml:space="preserve"> dalyje nustatyta lengvata.</w:t>
      </w:r>
    </w:p>
    <w:p w14:paraId="54830EA5" w14:textId="77777777" w:rsidR="00C24DD2" w:rsidRPr="00DF6D49" w:rsidRDefault="00C24DD2" w:rsidP="00C24DD2">
      <w:pPr>
        <w:pBdr>
          <w:top w:val="single" w:sz="4" w:space="1" w:color="auto"/>
          <w:left w:val="single" w:sz="4" w:space="4" w:color="auto"/>
          <w:bottom w:val="single" w:sz="4" w:space="1" w:color="auto"/>
          <w:right w:val="single" w:sz="4" w:space="4" w:color="auto"/>
        </w:pBdr>
        <w:ind w:firstLine="709"/>
        <w:jc w:val="both"/>
      </w:pPr>
      <w:r w:rsidRPr="00DF6D49">
        <w:t xml:space="preserve">Nuo 2048 metų mokestinio laikotarpio UAB A, įgyvendinanti stambų projektą, neturės teisės taikyti pelno mokesčio lengvatos, todėl gautos pajamos ir nuo jų apskaičiuotas pelno mokestis turės būti apskaičiuojamas bendra PMĮ nustatyta tvarka, t. y. juridinio asmens apskaičiuotam apmokestinamajam pelnui turės būti taikomas PMĮ 5 straipsnyje nustatytas pelno mokesčio tarifas.  </w:t>
      </w:r>
    </w:p>
    <w:p w14:paraId="42D5C2CE" w14:textId="77777777" w:rsidR="00C24DD2" w:rsidRPr="00DF6D49" w:rsidRDefault="00C24DD2" w:rsidP="00C24DD2">
      <w:pPr>
        <w:ind w:firstLine="709"/>
        <w:jc w:val="both"/>
      </w:pPr>
      <w:r w:rsidRPr="00DF6D49">
        <w:t>27. Šioje dalyje nustatyta lengvata taikoma tiek, kiek ji suderinama su Europos Sąjungos teisės aktais, kuriais reguliuojamas valstybės pagalbos teikimas, ir su Lietuvos Respublikos Vyriausybės ar jos įgaliotos institucijos nustatyta valstybės pagalbos teikimo ir priežiūros tvarka. PMĮ 58 str. 16</w:t>
      </w:r>
      <w:r w:rsidRPr="00DF6D49">
        <w:rPr>
          <w:vertAlign w:val="superscript"/>
        </w:rPr>
        <w:t>2</w:t>
      </w:r>
      <w:r w:rsidRPr="00DF6D49">
        <w:t xml:space="preserve"> dalyje nustatyta lengvata taikoma tiek, kiek ji suderinama su 2014 m. birželio 17 d. Komisijos reglamento (ES) Nr. 651/2014, kuriuo tam tikrų kategorijų pagalba skelbiama suderinama su vidaus rinka taikant Sutarties 107 ir 108 straipsnius, nuostatomis.</w:t>
      </w:r>
    </w:p>
    <w:p w14:paraId="1D9F4423" w14:textId="77777777" w:rsidR="00C24DD2" w:rsidRPr="00DF6D49" w:rsidRDefault="00C24DD2" w:rsidP="00C24DD2">
      <w:pPr>
        <w:ind w:firstLine="709"/>
        <w:jc w:val="both"/>
      </w:pPr>
      <w:r w:rsidRPr="00DF6D49">
        <w:t>Tuo atveju, jeigu stambų projektą įgyvendinančiam juridiniam asmeniui valstybės pagalbos suma yra didesnė (peržengia) nei nustatyti tam tikri Europos Sąjungos apribojimai, PMĮ 58 str. 16</w:t>
      </w:r>
      <w:r w:rsidRPr="00DF6D49">
        <w:rPr>
          <w:vertAlign w:val="superscript"/>
        </w:rPr>
        <w:t>2</w:t>
      </w:r>
      <w:r w:rsidRPr="00DF6D49">
        <w:t xml:space="preserve"> dalyje nustatyta lengvata viršijančiai valstybės pagalbos sumai netaikoma ir visa viršijanti suma apmokestinama pelno mokesčiu, t. y. juridinis asmuo nuo viršijančios sumos apskaičiuoja apmokestinamąjį pelną ir nuo apmokestinamojo pelno apskaičiuoja mokėtiną pelno mokestį PMĮ nustatyta tvarka.</w:t>
      </w:r>
    </w:p>
    <w:p w14:paraId="0205AA64" w14:textId="77777777" w:rsidR="00C24DD2" w:rsidRDefault="00C24DD2" w:rsidP="00C24DD2">
      <w:pPr>
        <w:ind w:firstLine="709"/>
        <w:jc w:val="both"/>
      </w:pPr>
      <w:r w:rsidRPr="00DF6D49">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2E66703B" w14:textId="77777777" w:rsidR="002A055D" w:rsidRPr="00DF6D49" w:rsidRDefault="002A055D" w:rsidP="002A055D">
      <w:r>
        <w:rPr>
          <w:lang w:val="lt-LT"/>
        </w:rPr>
        <w:t xml:space="preserve">(Pakeista pagal VMI prie </w:t>
      </w:r>
      <w:r w:rsidRPr="00AE7EBB">
        <w:t>FM 2025-11-17</w:t>
      </w:r>
      <w:r>
        <w:t xml:space="preserve"> </w:t>
      </w:r>
      <w:r w:rsidRPr="00AE7EBB">
        <w:t>rašt</w:t>
      </w:r>
      <w:r>
        <w:t>ą</w:t>
      </w:r>
      <w:r w:rsidRPr="00AE7EBB">
        <w:t xml:space="preserve"> Nr. (18.10-31-1 Mr) RM-51104</w:t>
      </w:r>
      <w:r>
        <w:t>)</w:t>
      </w:r>
    </w:p>
    <w:p w14:paraId="2AEC603A" w14:textId="77777777" w:rsidR="00C24DD2" w:rsidRPr="00DB732F" w:rsidRDefault="00C24DD2" w:rsidP="00C24DD2">
      <w:pPr>
        <w:spacing w:after="0" w:line="240" w:lineRule="auto"/>
        <w:jc w:val="both"/>
        <w:rPr>
          <w:b/>
          <w:lang w:val="lt-LT"/>
        </w:rPr>
      </w:pPr>
      <w:r w:rsidRPr="00DB732F">
        <w:rPr>
          <w:b/>
          <w:lang w:eastAsia="lt-LT"/>
        </w:rPr>
        <w:t>16</w:t>
      </w:r>
      <w:r w:rsidRPr="00DB732F">
        <w:rPr>
          <w:b/>
          <w:vertAlign w:val="superscript"/>
          <w:lang w:eastAsia="lt-LT"/>
        </w:rPr>
        <w:t>3</w:t>
      </w:r>
      <w:r w:rsidRPr="00DB732F">
        <w:rPr>
          <w:b/>
          <w:lang w:eastAsia="lt-LT"/>
        </w:rPr>
        <w:t>. Juridinis asmuo, kuris įgyvendina stambų projektą pagal galiojančią iki 2035 m. gruodžio 31 d. stambaus projekto investicijų sutartį ir kuris mokestiniais metais pradeda tenkinti reikalavimus, nustatytus Investicijų įstatymo 2 straipsnio 25 dalies 1 arba 2 punkte, o jo privačios kapitalo investicijos į stambų projektą Lietuvos Respublikoje pasiekė ne mažesnę kaip </w:t>
      </w:r>
      <w:r w:rsidRPr="00DB732F">
        <w:rPr>
          <w:b/>
          <w:bCs/>
          <w:lang w:eastAsia="lt-LT"/>
        </w:rPr>
        <w:t>110</w:t>
      </w:r>
      <w:r w:rsidRPr="00DB732F">
        <w:rPr>
          <w:b/>
          <w:lang w:eastAsia="lt-LT"/>
        </w:rPr>
        <w:t xml:space="preserve"> milijonų eurų sumą, ir kuris nesinaudoja šio straipsnio 16 dalies 1 ir 2 punktuose arba 16</w:t>
      </w:r>
      <w:r w:rsidRPr="00DB732F">
        <w:rPr>
          <w:b/>
          <w:vertAlign w:val="superscript"/>
          <w:lang w:eastAsia="lt-LT"/>
        </w:rPr>
        <w:t>2</w:t>
      </w:r>
      <w:r w:rsidRPr="00DB732F">
        <w:rPr>
          <w:b/>
          <w:lang w:eastAsia="lt-LT"/>
        </w:rPr>
        <w:t xml:space="preserve"> dalyje nustatyta pelno mokesčio lengvata, nemoka pelno mokesčio pradedant tuo mokestiniu laikotarpiu, kurį ši investicijų suma buvo pasiekta ir šis juridinis asmuo pradėjo tenkinti visus kitus Investicijų įstatymo 2 straipsnio 25 dalies 1 arba 2 punkte nustatytus reikalavimus. Šioje dalyje nustatyta lengvata taikoma tik tuo atveju, kai ne mažiau kaip 75 procentus atitinkamo mokestinio laikotarpio juridinio asmens pajamų sudaro pajamos iš duomenų apdorojimo, interneto serverių paslaugų (prieglobos) ir susijusios veiklos arba pajamos iš apdirbamosios gamybos, ir tik toms juridinio asmens pajamoms, kurios gautos įgyvendinant stambų projektą. Šioje dalyje nustatyta lengvata pajamoms iš intelektinės nuosavybės turto naudojimo netaikoma, išskyrus atvejus, kai šios pajamos atitinka šio Įstatymo 5 straipsnio 7–10 dalyse ir 30 straipsnio 1 ir 2</w:t>
      </w:r>
      <w:r w:rsidRPr="00DB732F">
        <w:rPr>
          <w:b/>
          <w:vertAlign w:val="superscript"/>
          <w:lang w:eastAsia="lt-LT"/>
        </w:rPr>
        <w:t>1</w:t>
      </w:r>
      <w:r w:rsidRPr="00DB732F">
        <w:rPr>
          <w:b/>
          <w:lang w:eastAsia="lt-LT"/>
        </w:rPr>
        <w:t xml:space="preserve"> dalyse nustatytas sąlygas (išskyrus šio Įstatymo 5 straipsnio 7 dalyje nustatytą taikytiną pelno mokesčio tarifo dydį). Šioje dalyje nustatyta lengvata taikoma tik tuo atveju, kai juridinis asmuo turi auditoriaus išvadą, patvirtinančią reikalaujamą juridinio asmens privačių kapitalo investicijų į stambų projektą dydį. Jeigu juridinio asmens privačių kapitalo investicijų į stambų projektą suma sumažėja ir nebesiekia </w:t>
      </w:r>
      <w:r w:rsidRPr="00DB732F">
        <w:rPr>
          <w:b/>
          <w:bCs/>
          <w:lang w:eastAsia="lt-LT"/>
        </w:rPr>
        <w:t>110</w:t>
      </w:r>
      <w:r w:rsidRPr="00DB732F">
        <w:rPr>
          <w:b/>
          <w:lang w:eastAsia="lt-LT"/>
        </w:rPr>
        <w:t xml:space="preserve"> milijonų eurų, išskyrus ilgalaikio turto nusidėvėjimo arba amortizacijos sąnaudas, ir (arba) tais mokestiniais metais juridinis asmuo nebetenkina nors vieno kito reikalavimo, nurodyto Investicijų įstatymo 2 straipsnio 25 dalies 1 arba 2 punkte, lengvata tą mokestinį laikotarpį netaikoma ir lengvatos taikymas atnaujinamas tą mokestinį laikotarpį, kurį juridinio asmens privačios kapitalo investicijos į stambų projektą vėl pasiekia </w:t>
      </w:r>
      <w:r w:rsidRPr="00DB732F">
        <w:rPr>
          <w:b/>
          <w:bCs/>
          <w:lang w:eastAsia="lt-LT"/>
        </w:rPr>
        <w:t>110</w:t>
      </w:r>
      <w:r w:rsidRPr="00DB732F">
        <w:rPr>
          <w:b/>
          <w:lang w:eastAsia="lt-LT"/>
        </w:rPr>
        <w:t xml:space="preserve"> milijonų eurų ir (arba) pradedami tenkinti visi kiti Investicijų įstatymo 2 </w:t>
      </w:r>
      <w:r w:rsidRPr="00DB732F">
        <w:rPr>
          <w:b/>
          <w:lang w:eastAsia="lt-LT"/>
        </w:rPr>
        <w:lastRenderedPageBreak/>
        <w:t xml:space="preserve">straipsnio 25 dalies 1 arba 2 punktų reikalavimai. Šioje dalyje nustatyta lengvata juridiniam asmeniui, įgyvendinančiam stambų projektą, taikoma 20 </w:t>
      </w:r>
      <w:r w:rsidRPr="00DB732F">
        <w:rPr>
          <w:b/>
          <w:bCs/>
          <w:lang w:eastAsia="lt-LT"/>
        </w:rPr>
        <w:t>mokestinių laikotarpių, pradedant tuo mokestiniu laikotarpiu, kurį buvo pasiekta 110 milijonų eurų investicijų suma ir juridinis asmuo tenkina visus kitus reikalavimus, nurodytus Investicijų įstatymo 2 straipsnio 25 dalies 1 arba 2 punkte</w:t>
      </w:r>
      <w:r w:rsidRPr="00DB732F">
        <w:rPr>
          <w:b/>
          <w:lang w:eastAsia="lt-LT"/>
        </w:rPr>
        <w:t xml:space="preserve">. </w:t>
      </w:r>
      <w:r w:rsidRPr="00DB732F">
        <w:rPr>
          <w:b/>
          <w:bCs/>
          <w:lang w:eastAsia="lt-LT"/>
        </w:rPr>
        <w:t>Į šiuos 20 mokestinių laikotarpių yra įskaičiuojami visi mokestiniai laikotarpiai nuo teisės į lengvatą įgijimo, nepriklausomai nuo to, ar per tam tikrus mokestinius laikotarpius lengvata faktiškai buvo taikyta.</w:t>
      </w:r>
      <w:r w:rsidRPr="00DB732F">
        <w:rPr>
          <w:b/>
          <w:lang w:eastAsia="lt-LT"/>
        </w:rPr>
        <w:t xml:space="preserve"> Šioje dalyje nustatyta lengvata taikoma tiek, kiek ji suderinama su Europos Sąjungos teisės aktais, reglamentuojančiais valstybės pagalbos teikimą, Lietuvos Respublikos Vyriausybės ar jos įgaliotos institucijos nustatyta valstybės pagalbos teikimo ir priežiūros tvarka ir Europos Komisijos išduoto leidimo teikti valstybės pagalbą sąlygomis.</w:t>
      </w:r>
    </w:p>
    <w:p w14:paraId="493464EA" w14:textId="77777777" w:rsidR="00C24DD2" w:rsidRDefault="00C24DD2" w:rsidP="00C24DD2">
      <w:pPr>
        <w:jc w:val="both"/>
        <w:rPr>
          <w:rFonts w:ascii="TimesLT" w:hAnsi="TimesLT"/>
          <w:b/>
          <w:i/>
        </w:rPr>
      </w:pPr>
    </w:p>
    <w:p w14:paraId="7A1048A9" w14:textId="77777777" w:rsidR="00C24DD2" w:rsidRPr="00DF6D49" w:rsidRDefault="00C24DD2" w:rsidP="00C24DD2">
      <w:pPr>
        <w:jc w:val="both"/>
        <w:rPr>
          <w:i/>
        </w:rPr>
      </w:pPr>
      <w:r w:rsidRPr="00DF6D49">
        <w:rPr>
          <w:rFonts w:ascii="TimesLT" w:hAnsi="TimesLT"/>
          <w:i/>
        </w:rPr>
        <w:t>KEISTA: 2025-06-30 įstatymu Nr. XV-383, šios dalies nuostatos taikomos apskaičiuojant 2026 metų ir vėlesnių mokestinių laikotarpių pelno mokestį.</w:t>
      </w:r>
    </w:p>
    <w:p w14:paraId="5DC06B90" w14:textId="77777777" w:rsidR="00C24DD2" w:rsidRDefault="00C24DD2" w:rsidP="00C24DD2">
      <w:pPr>
        <w:spacing w:after="0" w:line="240" w:lineRule="auto"/>
        <w:ind w:firstLine="720"/>
        <w:jc w:val="both"/>
        <w:rPr>
          <w:b/>
          <w:lang w:val="lt-LT"/>
        </w:rPr>
      </w:pPr>
      <w:r w:rsidRPr="008C51B0">
        <w:rPr>
          <w:b/>
          <w:lang w:val="lt-LT"/>
        </w:rPr>
        <w:t>Komentaras</w:t>
      </w:r>
    </w:p>
    <w:p w14:paraId="39EB4A01" w14:textId="77777777" w:rsidR="00C24DD2" w:rsidRDefault="00C24DD2" w:rsidP="00C24DD2">
      <w:pPr>
        <w:spacing w:after="0" w:line="240" w:lineRule="auto"/>
        <w:ind w:firstLine="720"/>
        <w:jc w:val="both"/>
        <w:rPr>
          <w:b/>
          <w:lang w:val="lt-LT"/>
        </w:rPr>
      </w:pPr>
    </w:p>
    <w:p w14:paraId="1282E846" w14:textId="77777777" w:rsidR="00C24DD2" w:rsidRPr="00DF6D49" w:rsidRDefault="00C24DD2" w:rsidP="00C24DD2">
      <w:pPr>
        <w:ind w:firstLine="567"/>
        <w:jc w:val="both"/>
        <w:rPr>
          <w:lang w:val="lt-LT"/>
        </w:rPr>
      </w:pPr>
      <w:r w:rsidRPr="00DF6D49">
        <w:t xml:space="preserve">1. </w:t>
      </w:r>
      <w:bookmarkStart w:id="929" w:name="_Hlk204152584"/>
      <w:r w:rsidRPr="00DF6D49">
        <w:rPr>
          <w:color w:val="000000"/>
        </w:rPr>
        <w:t>Komentuojamosios dalies pelno mokesčio lengvatos nuostatų taikymas juridiniam asmeniui, kuris pagal galiojančią sutartį įgyvendina stambų projektą, priklauso nuo sudarytos stambaus projekto sutarties:</w:t>
      </w:r>
    </w:p>
    <w:p w14:paraId="43158C16" w14:textId="77777777" w:rsidR="00C24DD2" w:rsidRPr="00DF6D49" w:rsidRDefault="00C24DD2" w:rsidP="00C24DD2">
      <w:pPr>
        <w:pStyle w:val="Sraopastraipa"/>
        <w:ind w:left="567"/>
        <w:jc w:val="both"/>
        <w:rPr>
          <w:color w:val="000000"/>
        </w:rPr>
      </w:pPr>
      <w:r w:rsidRPr="00DF6D49">
        <w:rPr>
          <w:color w:val="000000"/>
          <w:lang w:val="en-US"/>
        </w:rPr>
        <w:t xml:space="preserve">- sudarius stambaus projekto sutartį </w:t>
      </w:r>
      <w:r w:rsidRPr="00DF6D49">
        <w:rPr>
          <w:b/>
          <w:color w:val="000000"/>
          <w:lang w:val="en-US"/>
        </w:rPr>
        <w:t>iki 2025 m. lapkričio 1 d</w:t>
      </w:r>
      <w:r w:rsidRPr="00DF6D49">
        <w:rPr>
          <w:color w:val="000000"/>
          <w:lang w:val="en-US"/>
        </w:rPr>
        <w:t xml:space="preserve">., nemoka pelno mokesčio ne ilgiau negu 20 metų </w:t>
      </w:r>
      <w:r w:rsidRPr="00DF6D49">
        <w:rPr>
          <w:color w:val="000000"/>
        </w:rPr>
        <w:t>nuo sutarties sudarymo momento;</w:t>
      </w:r>
    </w:p>
    <w:p w14:paraId="2CAC0CD9" w14:textId="77777777" w:rsidR="00C24DD2" w:rsidRPr="00DF6D49" w:rsidRDefault="00C24DD2" w:rsidP="00C24DD2">
      <w:pPr>
        <w:pStyle w:val="Sraopastraipa"/>
        <w:ind w:left="567"/>
        <w:jc w:val="both"/>
      </w:pPr>
      <w:r w:rsidRPr="00DF6D49">
        <w:rPr>
          <w:color w:val="000000"/>
        </w:rPr>
        <w:t xml:space="preserve">-  sudarius stambaus projekto sutartį </w:t>
      </w:r>
      <w:r w:rsidRPr="00DF6D49">
        <w:rPr>
          <w:b/>
          <w:color w:val="000000"/>
        </w:rPr>
        <w:t>po  2025 metų lapkričio 1 d</w:t>
      </w:r>
      <w:r w:rsidRPr="00DF6D49">
        <w:rPr>
          <w:color w:val="000000"/>
        </w:rPr>
        <w:t>. juridinis asmuo nemoka pelno mokesčio ne ilgiau negu 20 mokestinių laikotarpių pradedant tuo mokestiniu laikotarpiu, kurį buvo pasiekta 110 milijonų eurų investicijų suma ir juridinis asmuo tenkina visus kitus reikalavimus, nurodytus Investicijų įstatymo 2 str. 25 d. 1 arba 2 p.</w:t>
      </w:r>
    </w:p>
    <w:p w14:paraId="5F75A70A" w14:textId="77777777" w:rsidR="00C24DD2" w:rsidRPr="00CB187C" w:rsidRDefault="00C24DD2" w:rsidP="00C24DD2">
      <w:pPr>
        <w:ind w:firstLine="567"/>
        <w:jc w:val="both"/>
        <w:rPr>
          <w:b/>
        </w:rPr>
      </w:pPr>
      <w:r w:rsidRPr="00DF6D49">
        <w:t xml:space="preserve">2. </w:t>
      </w:r>
      <w:r w:rsidRPr="00CB187C">
        <w:rPr>
          <w:b/>
        </w:rPr>
        <w:t>Komentuojamosios dalies nuostatos, taikomos iki 2025-11-01 pasirašytoms stambaus projekto investicijų sutartims.</w:t>
      </w:r>
      <w:bookmarkEnd w:id="929"/>
    </w:p>
    <w:p w14:paraId="3F960C0A" w14:textId="77777777" w:rsidR="00C24DD2" w:rsidRPr="00E44592" w:rsidRDefault="00C24DD2" w:rsidP="00C24DD2">
      <w:pPr>
        <w:ind w:firstLine="567"/>
        <w:jc w:val="both"/>
      </w:pPr>
      <w:bookmarkStart w:id="930" w:name="_Hlk204152622"/>
      <w:r w:rsidRPr="00E44592">
        <w:t xml:space="preserve">Juridinis asmuo, įgyvendinantis stambų projektą pagal galiojančią stambaus projekto investicijų sutartį (jeigu kapitalo investicijos į stambų projektą pasiekė ne mažesnę kaip 100 milijonų eurų sumą) gavus Europos Komisijos pritarimą (ne anksčiau kaip 2021 m. sausio 1 d.), nemoka pelno mokesčio ne ilgiau negu 20 metų nuo stambaus projekto investicijų sutarties įsigaliojimo dienos, jeigu tenkinamos visos šios 6 sąlygos: </w:t>
      </w:r>
    </w:p>
    <w:p w14:paraId="7A58BA90" w14:textId="77777777" w:rsidR="00C24DD2" w:rsidRPr="00E44592" w:rsidRDefault="00C24DD2" w:rsidP="00C24DD2">
      <w:pPr>
        <w:tabs>
          <w:tab w:val="left" w:pos="284"/>
        </w:tabs>
        <w:ind w:firstLine="567"/>
        <w:jc w:val="both"/>
      </w:pPr>
      <w:r w:rsidRPr="00CB187C">
        <w:t>2</w:t>
      </w:r>
      <w:r w:rsidRPr="00E44592">
        <w:t xml:space="preserve">.1. juridinis asmuo įgyvendina stambų projektą pagal galiojančią stambaus projekto investicijų sutartį (kai gautas Europos Komisijos pritarimas); </w:t>
      </w:r>
    </w:p>
    <w:p w14:paraId="38FA2BD6" w14:textId="77777777" w:rsidR="00C24DD2" w:rsidRPr="00A13971" w:rsidRDefault="00C24DD2" w:rsidP="00C24DD2">
      <w:pPr>
        <w:tabs>
          <w:tab w:val="left" w:pos="284"/>
        </w:tabs>
        <w:ind w:firstLine="567"/>
        <w:jc w:val="both"/>
      </w:pPr>
      <w:r w:rsidRPr="00CB187C">
        <w:t>2</w:t>
      </w:r>
      <w:r w:rsidRPr="00E44592">
        <w:t xml:space="preserve">.2. </w:t>
      </w:r>
      <w:bookmarkStart w:id="931" w:name="_Hlk66874489"/>
      <w:r w:rsidRPr="00721A36">
        <w:t>mokestiniais metais tenkinamas reikalavimas dėl vidutinio darbuotojų skaičiaus, reikalingo stambiam projektui Lietuvos Respublikoje įgyvendinti, nustatyto Investicijų įstatymo 2 straipsnio 25 dalies 1 arba 2 punkte, t. y.</w:t>
      </w:r>
      <w:r w:rsidRPr="006F6BC6">
        <w:t xml:space="preserve"> </w:t>
      </w:r>
      <w:r w:rsidRPr="00E44592">
        <w:t>vidutinis darbuotojų, reikalingų stambiam projektui įgyvendinti Lietuvos Respublikoje</w:t>
      </w:r>
      <w:bookmarkEnd w:id="931"/>
      <w:r>
        <w:t xml:space="preserve"> </w:t>
      </w:r>
      <w:r w:rsidRPr="00E44592">
        <w:t>skaičius mokestiniais metais ne mažesnis kaip</w:t>
      </w:r>
      <w:r>
        <w:t xml:space="preserve"> </w:t>
      </w:r>
      <w:r w:rsidRPr="00A13971">
        <w:t xml:space="preserve">150 (Vilniuje – ne mažesnis kaip 200) (Investicijų įstatymo 2 straipsnio 25 dalies 1 punktas) arba </w:t>
      </w:r>
      <w:r w:rsidRPr="00A13971">
        <w:rPr>
          <w:iCs/>
          <w:color w:val="000000"/>
        </w:rPr>
        <w:t>sukurta Lietuvos Respublikoje nuo 20 iki 149, o kai investuojama Vilniuje – nuo 20 iki 199 naujų darbo vietų (Investicijų įstatymo 2 straipsnio 25 dalies 2 punktas)</w:t>
      </w:r>
      <w:r w:rsidRPr="00A13971">
        <w:t xml:space="preserve"> </w:t>
      </w:r>
      <w:r w:rsidRPr="00A13971">
        <w:rPr>
          <w:iCs/>
          <w:color w:val="000000"/>
        </w:rPr>
        <w:t>(dėl vidutinio darbuotojų, reikalingų stambiam projektui Lietuvos Respublikoje įgyvendinti, skaičiaus pasirinktas rodiklis įrašomas stambaus projekto sutartyje)</w:t>
      </w:r>
      <w:r w:rsidRPr="00A13971">
        <w:t>;</w:t>
      </w:r>
    </w:p>
    <w:p w14:paraId="70707E97" w14:textId="77777777" w:rsidR="00C24DD2" w:rsidRPr="00E44592" w:rsidRDefault="00C24DD2" w:rsidP="00C24DD2">
      <w:pPr>
        <w:tabs>
          <w:tab w:val="left" w:pos="284"/>
        </w:tabs>
        <w:ind w:firstLine="567"/>
        <w:jc w:val="both"/>
      </w:pPr>
      <w:r w:rsidRPr="00CB187C">
        <w:t>2</w:t>
      </w:r>
      <w:r w:rsidRPr="00E44592">
        <w:t xml:space="preserve">.3. privačios kapitalo investicijos į stambų projektą Lietuvos Respublikoje pasiekė ne mažesnę kaip 100 milijonų eurų sumą; </w:t>
      </w:r>
    </w:p>
    <w:p w14:paraId="26B55C7F" w14:textId="77777777" w:rsidR="00C24DD2" w:rsidRPr="00E44592" w:rsidRDefault="00C24DD2" w:rsidP="00C24DD2">
      <w:pPr>
        <w:tabs>
          <w:tab w:val="left" w:pos="284"/>
        </w:tabs>
        <w:ind w:firstLine="567"/>
        <w:jc w:val="both"/>
      </w:pPr>
      <w:r w:rsidRPr="00CB187C">
        <w:t>2</w:t>
      </w:r>
      <w:r w:rsidRPr="00E44592">
        <w:t>.4. juridinis asmuo stambiam projektui įgyvendinti nesinaudoja šio straipsnio 16 dalies 1 ir 2 punktuose arba 16</w:t>
      </w:r>
      <w:r w:rsidRPr="00E44592">
        <w:rPr>
          <w:vertAlign w:val="superscript"/>
        </w:rPr>
        <w:t>2</w:t>
      </w:r>
      <w:r w:rsidRPr="00E44592">
        <w:t xml:space="preserve"> dalyje nustatyta pelno mokesčio lengvata; </w:t>
      </w:r>
    </w:p>
    <w:p w14:paraId="16AA2E82" w14:textId="77777777" w:rsidR="00C24DD2" w:rsidRPr="00E44592" w:rsidRDefault="00C24DD2" w:rsidP="00C24DD2">
      <w:pPr>
        <w:tabs>
          <w:tab w:val="left" w:pos="284"/>
        </w:tabs>
        <w:ind w:firstLine="567"/>
        <w:jc w:val="both"/>
      </w:pPr>
      <w:r w:rsidRPr="00CB187C">
        <w:lastRenderedPageBreak/>
        <w:t>2</w:t>
      </w:r>
      <w:r w:rsidRPr="00E44592">
        <w:t xml:space="preserve">.5. ne mažiau kaip 75 procentai atitinkamo mokestinio laikotarpio juridinio asmens gautų </w:t>
      </w:r>
      <w:r w:rsidRPr="00CB187C">
        <w:t xml:space="preserve">iš vykdomo stambaus projekto veiklos uždirbamų </w:t>
      </w:r>
      <w:r w:rsidRPr="00E44592">
        <w:t xml:space="preserve">pajamų sudaro pajamos, gautos įgyvendinant stambų projektą, iš duomenų apdorojimo, interneto serverių paslaugų (prieglobos) ir susijusios veiklos arba pajamos iš apdirbamosios gamybos;  </w:t>
      </w:r>
    </w:p>
    <w:p w14:paraId="19C6F7D0" w14:textId="77777777" w:rsidR="00C24DD2" w:rsidRDefault="00C24DD2" w:rsidP="00C24DD2">
      <w:pPr>
        <w:ind w:firstLine="567"/>
        <w:jc w:val="both"/>
      </w:pPr>
      <w:r w:rsidRPr="00CB187C">
        <w:t>2</w:t>
      </w:r>
      <w:r w:rsidRPr="00E44592">
        <w:t>.6. turi auditoriaus išvadą, patvirtinančią reikalaujamą juridinio asmens privačių kapitalo investicijų į stambų projektą dydį. Auditoriaus išvadoje papildomai galėtų būti fiksuojama sutarties įsigaliojimo data</w:t>
      </w:r>
      <w:r>
        <w:t>.</w:t>
      </w:r>
    </w:p>
    <w:bookmarkEnd w:id="930"/>
    <w:p w14:paraId="011D9E17" w14:textId="77777777" w:rsidR="00C24DD2" w:rsidRDefault="00C24DD2" w:rsidP="00C24DD2">
      <w:pPr>
        <w:ind w:firstLine="567"/>
        <w:jc w:val="both"/>
      </w:pPr>
      <w:r w:rsidRPr="00CB187C">
        <w:t>3</w:t>
      </w:r>
      <w:r w:rsidRPr="006E4682">
        <w:t xml:space="preserve">. Lengvata taikoma gavus Europos Komisijos pritarimą dėl lengvatos skyrimo pagal Sutarties dėl Europos Sąjungos veikimo 108 straipsnio 3 dalies nuostatas, bet ne anksčiau kaip nuo 2021 m. sausio 1 d., ir taikoma tik iki </w:t>
      </w:r>
      <w:r w:rsidRPr="00CB187C">
        <w:t>2035</w:t>
      </w:r>
      <w:r>
        <w:rPr>
          <w:b/>
        </w:rPr>
        <w:t xml:space="preserve"> </w:t>
      </w:r>
      <w:r w:rsidRPr="006E4682">
        <w:t>m. gruodžio 31 d. sudarytoms stambių projektų investicijų sutartims.</w:t>
      </w:r>
      <w:r>
        <w:t xml:space="preserve"> </w:t>
      </w:r>
    </w:p>
    <w:p w14:paraId="68467C52" w14:textId="77777777" w:rsidR="00C24DD2" w:rsidRDefault="00C24DD2" w:rsidP="00C24DD2">
      <w:pPr>
        <w:ind w:firstLine="567"/>
        <w:jc w:val="both"/>
        <w:rPr>
          <w:lang w:val="lt-LT"/>
        </w:rPr>
      </w:pPr>
      <w:r w:rsidRPr="00BB7831">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tenkina visas 58 straipsnio 16</w:t>
      </w:r>
      <w:r w:rsidRPr="00BB7831">
        <w:rPr>
          <w:vertAlign w:val="superscript"/>
          <w:lang w:val="lt-LT"/>
        </w:rPr>
        <w:t>3</w:t>
      </w:r>
      <w:r w:rsidRPr="00BB7831">
        <w:rPr>
          <w:lang w:val="lt-LT"/>
        </w:rPr>
        <w:t xml:space="preserve"> dalyje nustatytas lengvatos taikymo sąlygas.</w:t>
      </w:r>
    </w:p>
    <w:p w14:paraId="731C36D2" w14:textId="77777777" w:rsidR="00C24DD2" w:rsidRDefault="00C24DD2" w:rsidP="00C24DD2">
      <w:pPr>
        <w:ind w:firstLine="567"/>
        <w:jc w:val="both"/>
      </w:pPr>
      <w:r w:rsidRPr="00CB187C">
        <w:t>4</w:t>
      </w:r>
      <w:r w:rsidRPr="006E4682">
        <w:t xml:space="preserve">. </w:t>
      </w:r>
      <w:r w:rsidRPr="00E44592">
        <w:t>Komentuojamosios dalies kontekste stambus projektas suprantamas kaip duomenų apdorojimo, interneto serverių paslaugų (prieglobos) ir susijusios veiklos arba apdirbamosios gamybos investicijų projektas, dėl kurio įgyvendinimo yra gautas Europos Komisijos pritarimas dėl lengvatos skyrimo pagal Sutarties dėl Europos Sąjungos veikimo 108 straipsnio 3 dalies nuostatas, ir taikomas juridiniams asmenims nuo 2021 m. sausio 1 d. iki 2025 m. gruodžio 31 d. sudariusiems stambių projektų investicijų sutartis, kaip numatyta Investicijų įstatym</w:t>
      </w:r>
      <w:r w:rsidRPr="00A13971">
        <w:t>o 2 straipsnio 25 dalyje</w:t>
      </w:r>
      <w:r w:rsidRPr="00E44592">
        <w:t xml:space="preserve">. </w:t>
      </w:r>
      <w:bookmarkStart w:id="932" w:name="_Hlk66871415"/>
      <w:r w:rsidRPr="00E44592">
        <w:t xml:space="preserve">Stambaus projekto investicijų sutartis – Lietuvos Respublikos Vyriausybės įgaliotos institucijos ir investuotojo sudaryta investicijų sutartis, kurioje nustatomos sutarties šalių teisės ir pareigos, susijusios su stambaus projekto įgyvendinimu, ir kitos aktualios stambaus projekto investicijų sutarties sąlygos. </w:t>
      </w:r>
      <w:bookmarkEnd w:id="932"/>
      <w:r w:rsidRPr="00E44592">
        <w:t>Stambūs projektai gali būti vykdomi bet kuriame Lietuvos regione ir savivaldybėje</w:t>
      </w:r>
      <w:r>
        <w:t>.</w:t>
      </w:r>
    </w:p>
    <w:p w14:paraId="1C700436" w14:textId="77777777" w:rsidR="00C24DD2" w:rsidRPr="00B70B97" w:rsidRDefault="00C24DD2" w:rsidP="00C24DD2">
      <w:pPr>
        <w:ind w:firstLine="567"/>
        <w:jc w:val="both"/>
        <w:rPr>
          <w:iCs/>
          <w:color w:val="000000"/>
          <w:lang w:val="lt-LT"/>
        </w:rPr>
      </w:pPr>
      <w:r w:rsidRPr="00CB187C">
        <w:t>5</w:t>
      </w:r>
      <w:r>
        <w:t xml:space="preserve">. </w:t>
      </w:r>
      <w:r w:rsidRPr="00B70B97">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B70B97">
        <w:rPr>
          <w:iCs/>
          <w:color w:val="000000"/>
          <w:vertAlign w:val="superscript"/>
          <w:lang w:val="lt-LT"/>
        </w:rPr>
        <w:t>1</w:t>
      </w:r>
      <w:r w:rsidRPr="00B70B97">
        <w:rPr>
          <w:iCs/>
          <w:color w:val="000000"/>
          <w:lang w:val="lt-LT"/>
        </w:rPr>
        <w:t xml:space="preserve"> dalyse nustatytas sąlygas (išskyrus PMĮ 5 straipsnio 7 dalyje nustatytą taikytiną pelno mokesčio tarifo dydį).</w:t>
      </w:r>
    </w:p>
    <w:p w14:paraId="105E5114" w14:textId="77777777" w:rsidR="00C24DD2" w:rsidRPr="00750EB7" w:rsidRDefault="00C24DD2" w:rsidP="00C24DD2">
      <w:pPr>
        <w:ind w:firstLine="709"/>
        <w:jc w:val="both"/>
      </w:pPr>
      <w:r w:rsidRPr="00CD5B51">
        <w:t>6.</w:t>
      </w:r>
      <w:r w:rsidRPr="006E4682">
        <w:t xml:space="preserve">  </w:t>
      </w:r>
      <w:r w:rsidRPr="00750EB7">
        <w:t>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0D592E5B" w14:textId="77777777" w:rsidR="00C24DD2" w:rsidRDefault="00C24DD2" w:rsidP="00C24DD2">
      <w:pPr>
        <w:ind w:firstLine="567"/>
        <w:jc w:val="both"/>
      </w:pPr>
      <w:r w:rsidRPr="00750EB7">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F611EA">
        <w:rPr>
          <w:vertAlign w:val="superscript"/>
        </w:rPr>
        <w:t>3</w:t>
      </w:r>
      <w:r w:rsidRPr="00750EB7">
        <w:t xml:space="preserve"> dalyje įtvirtinta sąlyga dėl darbuotojų, reikalingų stambiam projektui Lietuvos Respublikoje įgyvendinti, skaičiaus</w:t>
      </w:r>
      <w:r>
        <w:t xml:space="preserve"> </w:t>
      </w:r>
      <w:r w:rsidRPr="00A13971">
        <w:t xml:space="preserve">(mokestiniais metais ne mažesnio kaip 150 (Vilniuje – ne mažesnis kaip 200) (Investicijų įstatymo 2 straipsnio 25 dalies 1 punktas) arba </w:t>
      </w:r>
      <w:r w:rsidRPr="00A13971">
        <w:rPr>
          <w:iCs/>
          <w:color w:val="000000"/>
        </w:rPr>
        <w:t>sukurta Lietuvos Respublikoje nuo 20 iki 149, o kai investuojama Vilniuje – nuo 20 iki 199 naujų darbo vietų (Investicijų įstatymo 2 straipsnio 25 dalies 2 punktas)</w:t>
      </w:r>
      <w:r w:rsidRPr="00A13971">
        <w:t>)</w:t>
      </w:r>
      <w:r w:rsidRPr="00750EB7">
        <w:t xml:space="preserve"> reiškia būtent naujų darbo vietų sukūrimą, įgyvendinant konkretų stambų projektą</w:t>
      </w:r>
      <w:r>
        <w:t>.</w:t>
      </w:r>
    </w:p>
    <w:p w14:paraId="3154147A" w14:textId="77777777" w:rsidR="00C24DD2" w:rsidRPr="006E4682" w:rsidRDefault="00C24DD2" w:rsidP="00C24DD2">
      <w:pPr>
        <w:ind w:firstLine="567"/>
        <w:jc w:val="both"/>
      </w:pPr>
      <w:r w:rsidRPr="00CD5B51">
        <w:t>7.</w:t>
      </w:r>
      <w:r w:rsidRPr="006E4682">
        <w:t xml:space="preserve"> Komentuojamojo straipsnio taikymo prasme, vadovaujantis Investicijų įstatymo nuostatomis, privačios kapitalo investicijos – tai Lietuvos Respublikos ir užsienio privačios nuosavybės teisės subjektų investicijos, kurios pagal investavimo objektą priskiriamos kapitalo investicijoms, t. y. </w:t>
      </w:r>
      <w:r w:rsidRPr="006E4682">
        <w:lastRenderedPageBreak/>
        <w:t>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išsimokėtinai sutartis (įskaitant ir lizingo būdu įsigytą turtą).</w:t>
      </w:r>
    </w:p>
    <w:p w14:paraId="01A267BD" w14:textId="77777777" w:rsidR="00C24DD2" w:rsidRPr="006E4682" w:rsidRDefault="00C24DD2" w:rsidP="00C24DD2">
      <w:pPr>
        <w:ind w:firstLine="567"/>
        <w:jc w:val="both"/>
      </w:pPr>
      <w:r w:rsidRPr="006E4682">
        <w:t xml:space="preserve">Atkreiptinas dėmesys, kad kapitalo investicija laikomas juridinio asmens įsigytas ar pačio pasigamintas (pasistatytas) turtas. Turto vertės padidėjimas dėl perkainojimo (įvertinimo pagal tikrąją vertę) nelaikomas kapitalo investicija. </w:t>
      </w:r>
    </w:p>
    <w:p w14:paraId="4E7261DA" w14:textId="77777777" w:rsidR="00C24DD2" w:rsidRPr="006E4682" w:rsidRDefault="00C24DD2" w:rsidP="00C24DD2">
      <w:pPr>
        <w:ind w:firstLine="567"/>
        <w:jc w:val="both"/>
        <w:rPr>
          <w:lang w:eastAsia="lt-LT"/>
        </w:rPr>
      </w:pPr>
      <w:r w:rsidRPr="006E4682">
        <w:rPr>
          <w:lang w:eastAsia="lt-LT"/>
        </w:rPr>
        <w:t>Tuo</w:t>
      </w:r>
      <w:r w:rsidRPr="006E4682">
        <w:rPr>
          <w:i/>
          <w:iCs/>
          <w:lang w:eastAsia="lt-LT"/>
        </w:rPr>
        <w:t xml:space="preserve"> </w:t>
      </w:r>
      <w:r w:rsidRPr="006E4682">
        <w:rPr>
          <w:lang w:eastAsia="lt-LT"/>
        </w:rPr>
        <w:t>atveju,</w:t>
      </w:r>
      <w:r w:rsidRPr="006E4682">
        <w:rPr>
          <w:i/>
          <w:iCs/>
          <w:lang w:eastAsia="lt-LT"/>
        </w:rPr>
        <w:t xml:space="preserve"> </w:t>
      </w:r>
      <w:r w:rsidRPr="006E4682">
        <w:rPr>
          <w:lang w:eastAsia="lt-LT"/>
        </w:rPr>
        <w:t>kai juridinis asmuo įsigyja</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būdu,</w:t>
      </w:r>
      <w:r w:rsidRPr="006E4682">
        <w:rPr>
          <w:i/>
          <w:iCs/>
          <w:lang w:eastAsia="lt-LT"/>
        </w:rPr>
        <w:t xml:space="preserve"> </w:t>
      </w:r>
      <w:r w:rsidRPr="006E4682">
        <w:rPr>
          <w:lang w:eastAsia="lt-LT"/>
        </w:rPr>
        <w:t>nustatant</w:t>
      </w:r>
      <w:r w:rsidRPr="006E4682">
        <w:rPr>
          <w:i/>
          <w:iCs/>
          <w:lang w:eastAsia="lt-LT"/>
        </w:rPr>
        <w:t xml:space="preserve"> </w:t>
      </w:r>
      <w:r w:rsidRPr="006E4682">
        <w:rPr>
          <w:lang w:eastAsia="lt-LT"/>
        </w:rPr>
        <w:t>kapitalo</w:t>
      </w:r>
      <w:r w:rsidRPr="006E4682">
        <w:rPr>
          <w:i/>
          <w:iCs/>
          <w:lang w:eastAsia="lt-LT"/>
        </w:rPr>
        <w:t xml:space="preserve"> </w:t>
      </w:r>
      <w:r w:rsidRPr="006E4682">
        <w:rPr>
          <w:lang w:eastAsia="lt-LT"/>
        </w:rPr>
        <w:t>investiciją,</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jos</w:t>
      </w:r>
      <w:r w:rsidRPr="006E4682">
        <w:rPr>
          <w:i/>
          <w:iCs/>
          <w:lang w:eastAsia="lt-LT"/>
        </w:rPr>
        <w:t xml:space="preserve"> </w:t>
      </w:r>
      <w:r w:rsidRPr="006E4682">
        <w:rPr>
          <w:lang w:eastAsia="lt-LT"/>
        </w:rPr>
        <w:t>vertę</w:t>
      </w:r>
      <w:r w:rsidRPr="006E4682">
        <w:rPr>
          <w:i/>
          <w:iCs/>
          <w:lang w:eastAsia="lt-LT"/>
        </w:rPr>
        <w:t xml:space="preserve"> </w:t>
      </w:r>
      <w:r w:rsidRPr="006E4682">
        <w:rPr>
          <w:lang w:eastAsia="lt-LT"/>
        </w:rPr>
        <w:t>įtraukiama</w:t>
      </w:r>
      <w:r w:rsidRPr="006E4682">
        <w:rPr>
          <w:i/>
          <w:iCs/>
          <w:lang w:eastAsia="lt-LT"/>
        </w:rPr>
        <w:t xml:space="preserve"> </w:t>
      </w:r>
      <w:r w:rsidRPr="006E4682">
        <w:rPr>
          <w:lang w:eastAsia="lt-LT"/>
        </w:rPr>
        <w:t>visa</w:t>
      </w:r>
      <w:r w:rsidRPr="006E4682">
        <w:rPr>
          <w:i/>
          <w:iCs/>
          <w:lang w:eastAsia="lt-LT"/>
        </w:rPr>
        <w:t xml:space="preserve"> </w:t>
      </w:r>
      <w:r w:rsidRPr="006E4682">
        <w:rPr>
          <w:lang w:eastAsia="lt-LT"/>
        </w:rPr>
        <w:t>ilgalaikio</w:t>
      </w:r>
      <w:r w:rsidRPr="006E4682">
        <w:rPr>
          <w:i/>
          <w:iCs/>
          <w:lang w:eastAsia="lt-LT"/>
        </w:rPr>
        <w:t xml:space="preserve"> </w:t>
      </w:r>
      <w:r w:rsidRPr="006E4682">
        <w:rPr>
          <w:lang w:eastAsia="lt-LT"/>
        </w:rPr>
        <w:t>turto</w:t>
      </w:r>
      <w:r w:rsidRPr="006E4682">
        <w:rPr>
          <w:i/>
          <w:iCs/>
          <w:lang w:eastAsia="lt-LT"/>
        </w:rPr>
        <w:t xml:space="preserve"> </w:t>
      </w:r>
      <w:r w:rsidRPr="006E4682">
        <w:rPr>
          <w:lang w:eastAsia="lt-LT"/>
        </w:rPr>
        <w:t>įsigijimo</w:t>
      </w:r>
      <w:r w:rsidRPr="006E4682">
        <w:rPr>
          <w:i/>
          <w:iCs/>
          <w:lang w:eastAsia="lt-LT"/>
        </w:rPr>
        <w:t xml:space="preserve"> </w:t>
      </w:r>
      <w:r w:rsidRPr="006E4682">
        <w:rPr>
          <w:lang w:eastAsia="lt-LT"/>
        </w:rPr>
        <w:t>vertė (būtina sąlyga, kad</w:t>
      </w:r>
      <w:r w:rsidRPr="006E4682">
        <w:rPr>
          <w:u w:val="single"/>
          <w:lang w:eastAsia="lt-LT"/>
        </w:rPr>
        <w:t xml:space="preserve"> </w:t>
      </w:r>
      <w:r w:rsidRPr="006E4682">
        <w:rPr>
          <w:lang w:eastAsia="lt-LT"/>
        </w:rPr>
        <w:t>lizingo</w:t>
      </w:r>
      <w:r w:rsidRPr="006E4682">
        <w:rPr>
          <w:i/>
          <w:iCs/>
          <w:lang w:eastAsia="lt-LT"/>
        </w:rPr>
        <w:t xml:space="preserve"> </w:t>
      </w:r>
      <w:r w:rsidRPr="006E4682">
        <w:rPr>
          <w:lang w:eastAsia="lt-LT"/>
        </w:rPr>
        <w:t>laikotarpio</w:t>
      </w:r>
      <w:r w:rsidRPr="006E4682">
        <w:rPr>
          <w:i/>
          <w:iCs/>
          <w:lang w:eastAsia="lt-LT"/>
        </w:rPr>
        <w:t xml:space="preserve"> </w:t>
      </w:r>
      <w:r w:rsidRPr="006E4682">
        <w:rPr>
          <w:lang w:eastAsia="lt-LT"/>
        </w:rPr>
        <w:t>pabaigoje</w:t>
      </w:r>
      <w:r w:rsidRPr="006E4682">
        <w:rPr>
          <w:i/>
          <w:iCs/>
          <w:lang w:eastAsia="lt-LT"/>
        </w:rPr>
        <w:t xml:space="preserve"> </w:t>
      </w:r>
      <w:r w:rsidRPr="006E4682">
        <w:rPr>
          <w:lang w:eastAsia="lt-LT"/>
        </w:rPr>
        <w:t>nuosavybės</w:t>
      </w:r>
      <w:r w:rsidRPr="006E4682">
        <w:rPr>
          <w:i/>
          <w:iCs/>
          <w:lang w:eastAsia="lt-LT"/>
        </w:rPr>
        <w:t xml:space="preserve"> </w:t>
      </w:r>
      <w:r w:rsidRPr="006E4682">
        <w:rPr>
          <w:lang w:eastAsia="lt-LT"/>
        </w:rPr>
        <w:t>teisė</w:t>
      </w:r>
      <w:r w:rsidRPr="006E4682">
        <w:rPr>
          <w:i/>
          <w:iCs/>
          <w:lang w:eastAsia="lt-LT"/>
        </w:rPr>
        <w:t xml:space="preserve"> </w:t>
      </w:r>
      <w:r w:rsidRPr="006E4682">
        <w:rPr>
          <w:lang w:eastAsia="lt-LT"/>
        </w:rPr>
        <w:t>į</w:t>
      </w:r>
      <w:r w:rsidRPr="006E4682">
        <w:rPr>
          <w:i/>
          <w:iCs/>
          <w:lang w:eastAsia="lt-LT"/>
        </w:rPr>
        <w:t xml:space="preserve"> </w:t>
      </w:r>
      <w:r w:rsidRPr="006E4682">
        <w:rPr>
          <w:lang w:eastAsia="lt-LT"/>
        </w:rPr>
        <w:t>turtą</w:t>
      </w:r>
      <w:r w:rsidRPr="006E4682">
        <w:rPr>
          <w:i/>
          <w:iCs/>
          <w:lang w:eastAsia="lt-LT"/>
        </w:rPr>
        <w:t xml:space="preserve"> </w:t>
      </w:r>
      <w:r w:rsidRPr="006E4682">
        <w:rPr>
          <w:lang w:eastAsia="lt-LT"/>
        </w:rPr>
        <w:t>pereina</w:t>
      </w:r>
      <w:r w:rsidRPr="006E4682">
        <w:rPr>
          <w:i/>
          <w:iCs/>
          <w:lang w:eastAsia="lt-LT"/>
        </w:rPr>
        <w:t xml:space="preserve"> </w:t>
      </w:r>
      <w:r w:rsidRPr="006E4682">
        <w:rPr>
          <w:lang w:eastAsia="lt-LT"/>
        </w:rPr>
        <w:t>lizingo</w:t>
      </w:r>
      <w:r w:rsidRPr="006E4682">
        <w:rPr>
          <w:i/>
          <w:iCs/>
          <w:lang w:eastAsia="lt-LT"/>
        </w:rPr>
        <w:t xml:space="preserve"> </w:t>
      </w:r>
      <w:r w:rsidRPr="006E4682">
        <w:rPr>
          <w:lang w:eastAsia="lt-LT"/>
        </w:rPr>
        <w:t xml:space="preserve">gavėjui). </w:t>
      </w:r>
    </w:p>
    <w:p w14:paraId="1520B7C6" w14:textId="77777777" w:rsidR="00C24DD2" w:rsidRPr="006E4682" w:rsidRDefault="00C24DD2" w:rsidP="00C24DD2">
      <w:pPr>
        <w:ind w:firstLine="709"/>
        <w:jc w:val="both"/>
        <w:rPr>
          <w:lang w:eastAsia="lt-LT"/>
        </w:rPr>
      </w:pPr>
      <w:r w:rsidRPr="006E4682">
        <w:rPr>
          <w:lang w:eastAsia="lt-LT"/>
        </w:rPr>
        <w:t xml:space="preserve">Komentuojamojo straipsnio taikymo prasme, kapitalo investicijų, kurias atlikus gali būti taikoma lengvata, dydis nustatomas pagal Lietuvos Respublikos Vyriausybės </w:t>
      </w:r>
      <w:r>
        <w:rPr>
          <w:iCs/>
          <w:lang w:eastAsia="lt-LT"/>
        </w:rPr>
        <w:t>2021-04-28</w:t>
      </w:r>
      <w:r w:rsidRPr="006E4682">
        <w:rPr>
          <w:lang w:eastAsia="lt-LT"/>
        </w:rPr>
        <w:t xml:space="preserve"> nutarimu </w:t>
      </w:r>
      <w:r w:rsidRPr="00F537C4">
        <w:rPr>
          <w:iCs/>
          <w:lang w:eastAsia="lt-LT"/>
        </w:rPr>
        <w:t>Nr. 313</w:t>
      </w:r>
      <w:r w:rsidRPr="006E4682">
        <w:rPr>
          <w:lang w:eastAsia="lt-LT"/>
        </w:rPr>
        <w:t xml:space="preserve"> „Dėl Lietuvos Respublikos investicijų įstatymo 15</w:t>
      </w:r>
      <w:r w:rsidRPr="006E4682">
        <w:rPr>
          <w:vertAlign w:val="superscript"/>
          <w:lang w:eastAsia="lt-LT"/>
        </w:rPr>
        <w:t>4</w:t>
      </w:r>
      <w:r w:rsidRPr="006E4682">
        <w:rPr>
          <w:lang w:eastAsia="lt-LT"/>
        </w:rPr>
        <w:t xml:space="preserve"> straipsnio, 15</w:t>
      </w:r>
      <w:r w:rsidRPr="006E4682">
        <w:rPr>
          <w:vertAlign w:val="superscript"/>
          <w:lang w:eastAsia="lt-LT"/>
        </w:rPr>
        <w:t>5</w:t>
      </w:r>
      <w:r w:rsidRPr="006E4682">
        <w:rPr>
          <w:lang w:eastAsia="lt-LT"/>
        </w:rPr>
        <w:t xml:space="preserve"> straipsnio, 15</w:t>
      </w:r>
      <w:r w:rsidRPr="006E4682">
        <w:rPr>
          <w:vertAlign w:val="superscript"/>
          <w:lang w:eastAsia="lt-LT"/>
        </w:rPr>
        <w:t>6</w:t>
      </w:r>
      <w:r w:rsidRPr="006E4682">
        <w:rPr>
          <w:lang w:eastAsia="lt-LT"/>
        </w:rPr>
        <w:t xml:space="preserve"> straipsnio  ir Lietuvos Respublikos pelno mokesčio įstatymo 58 straipsnio 16</w:t>
      </w:r>
      <w:r w:rsidRPr="006E4682">
        <w:rPr>
          <w:vertAlign w:val="superscript"/>
          <w:lang w:eastAsia="lt-LT"/>
        </w:rPr>
        <w:t>2</w:t>
      </w:r>
      <w:r w:rsidRPr="006E4682">
        <w:rPr>
          <w:lang w:eastAsia="lt-LT"/>
        </w:rPr>
        <w:t xml:space="preserve"> ir 16</w:t>
      </w:r>
      <w:r w:rsidRPr="006E4682">
        <w:rPr>
          <w:vertAlign w:val="superscript"/>
          <w:lang w:eastAsia="lt-LT"/>
        </w:rPr>
        <w:t>3</w:t>
      </w:r>
      <w:r w:rsidRPr="006E4682">
        <w:rPr>
          <w:lang w:eastAsia="lt-LT"/>
        </w:rPr>
        <w:t xml:space="preserve"> dalių įgyvendinimo“</w:t>
      </w:r>
      <w:r>
        <w:rPr>
          <w:vertAlign w:val="superscript"/>
          <w:lang w:eastAsia="lt-LT"/>
        </w:rPr>
        <w:t xml:space="preserve"> </w:t>
      </w:r>
      <w:r w:rsidRPr="006E4682">
        <w:rPr>
          <w:lang w:eastAsia="lt-LT"/>
        </w:rPr>
        <w:t>patvirtintą tvarką.“</w:t>
      </w:r>
    </w:p>
    <w:p w14:paraId="2336E220" w14:textId="77777777" w:rsidR="00C24DD2" w:rsidRPr="006E4682" w:rsidRDefault="00C24DD2" w:rsidP="00C24DD2">
      <w:pPr>
        <w:ind w:firstLine="567"/>
        <w:jc w:val="both"/>
      </w:pPr>
      <w:r w:rsidRPr="006E4682">
        <w:t xml:space="preserve">Taikant lengvatą yra vertinama stambaus projekto vykdymui sukaupta kapitalo investicijų suma. </w:t>
      </w:r>
    </w:p>
    <w:p w14:paraId="0B8DAC23" w14:textId="77777777" w:rsidR="00C24DD2" w:rsidRPr="006E4682" w:rsidRDefault="00C24DD2" w:rsidP="00C24DD2">
      <w:pPr>
        <w:ind w:firstLine="567"/>
        <w:jc w:val="both"/>
      </w:pPr>
      <w:r w:rsidRPr="00CD5B51">
        <w:t>8</w:t>
      </w:r>
      <w:r w:rsidRPr="006E4682">
        <w:t>. Šioje dalyje nustatyta lengvata gali būti taikoma tik tuo atveju, kai juridinis asmuo stambiam projektui įgyvendinti nesinaudoja PMĮ 58 str. 16 dalies 1 ir 2 punktuose arba 16</w:t>
      </w:r>
      <w:r w:rsidRPr="006E4682">
        <w:rPr>
          <w:vertAlign w:val="superscript"/>
        </w:rPr>
        <w:t>2</w:t>
      </w:r>
      <w:r w:rsidRPr="006E4682">
        <w:t xml:space="preserve"> dalyje nustatyta pelno mokesčio lengvata.</w:t>
      </w:r>
    </w:p>
    <w:p w14:paraId="55116B44" w14:textId="77777777" w:rsidR="00C24DD2" w:rsidRPr="006E4682" w:rsidRDefault="00C24DD2" w:rsidP="00C24DD2">
      <w:pPr>
        <w:ind w:firstLine="567"/>
        <w:jc w:val="both"/>
      </w:pPr>
      <w:r w:rsidRPr="00CD5B51">
        <w:t>9</w:t>
      </w:r>
      <w:r w:rsidRPr="006E4682">
        <w:t>. Juridinis asmuo, įgyvendinantis stambų projektą, kuriam gautas Europos Komisijos pritarimas,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pajamų, gautų vykdant stambų projektą) pajamoms netaikomos PMĮ 58 str. 16</w:t>
      </w:r>
      <w:r w:rsidRPr="006E4682">
        <w:rPr>
          <w:vertAlign w:val="superscript"/>
        </w:rPr>
        <w:t>3</w:t>
      </w:r>
      <w:r w:rsidRPr="006E4682">
        <w:t xml:space="preserve"> dalies nuostatos ir jos apmokestinamos PMĮ nustatyta tvarka.</w:t>
      </w:r>
    </w:p>
    <w:p w14:paraId="184D0485" w14:textId="77777777" w:rsidR="00C24DD2" w:rsidRPr="006E4682" w:rsidRDefault="00C24DD2" w:rsidP="00C24DD2">
      <w:pPr>
        <w:ind w:firstLine="567"/>
        <w:jc w:val="both"/>
      </w:pPr>
      <w:r w:rsidRPr="006E4682">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6E4682">
        <w:rPr>
          <w:vertAlign w:val="superscript"/>
        </w:rPr>
        <w:t>3</w:t>
      </w:r>
      <w:r w:rsidRPr="006E4682">
        <w:t xml:space="preserve"> nurodytą pajamų apribojimą, jeigu vienetas, įgyvendinantis stambų projektą, kuriam gautas Europos Komisijos pritarimas,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šalutinės veiklos pajamų, ir toks vienetas bus laikomas atitinkančiu  PMĮ 58 str. 16</w:t>
      </w:r>
      <w:r w:rsidRPr="006E4682">
        <w:rPr>
          <w:vertAlign w:val="superscript"/>
        </w:rPr>
        <w:t>3</w:t>
      </w:r>
      <w:r w:rsidRPr="006E4682">
        <w:t xml:space="preserve"> dalyje nustatytą lengvatai taikomą pajamų ribą. </w:t>
      </w:r>
    </w:p>
    <w:p w14:paraId="5DB31C9C" w14:textId="77777777" w:rsidR="00C24DD2" w:rsidRPr="006E4682" w:rsidRDefault="00C24DD2" w:rsidP="00C24DD2">
      <w:pPr>
        <w:ind w:firstLine="567"/>
        <w:jc w:val="both"/>
      </w:pPr>
      <w:r w:rsidRPr="006E4682">
        <w:t>Juridinio asmens vykdoma veikla identifikuojama pagal Ekonominės veiklos rūšių klasifikatorių (</w:t>
      </w:r>
      <w:bookmarkStart w:id="933" w:name="_Hlk66871033"/>
      <w:r w:rsidRPr="00CD5B51">
        <w:t>iki 2024-12-31 EVRK 2 red., nuo 2025-01-01 EVRK 2.1 red.)</w:t>
      </w:r>
      <w:bookmarkEnd w:id="933"/>
      <w:r w:rsidRPr="00CD5B51">
        <w:t>,</w:t>
      </w:r>
      <w:r w:rsidRPr="006E4682">
        <w:t xml:space="preserve">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6E4682">
        <w:rPr>
          <w:vertAlign w:val="superscript"/>
        </w:rPr>
        <w:t>3</w:t>
      </w:r>
      <w:r w:rsidRPr="006E4682">
        <w:t xml:space="preserve"> dalies kontekste vykdoma veikla turi būti priskirta:</w:t>
      </w:r>
    </w:p>
    <w:p w14:paraId="3B5D72A6" w14:textId="77777777" w:rsidR="00C24DD2" w:rsidRPr="006E4682" w:rsidRDefault="00C24DD2" w:rsidP="00C24DD2">
      <w:pPr>
        <w:ind w:firstLine="567"/>
        <w:jc w:val="both"/>
      </w:pPr>
      <w:r w:rsidRPr="006E4682">
        <w:lastRenderedPageBreak/>
        <w:t>- duomenų apdorojimo, interneto serverių paslaugų (prieglobos) ir susijusios veiklos (J sekcija, 63.11 veikla) arba</w:t>
      </w:r>
    </w:p>
    <w:p w14:paraId="0B042C50" w14:textId="77777777" w:rsidR="00C24DD2" w:rsidRDefault="00C24DD2" w:rsidP="00C24DD2">
      <w:pPr>
        <w:ind w:firstLine="567"/>
        <w:jc w:val="both"/>
      </w:pPr>
      <w:r w:rsidRPr="006E4682">
        <w:t>- apdirbamoji gamyba (C sekcija).</w:t>
      </w:r>
    </w:p>
    <w:p w14:paraId="3A24C304" w14:textId="77777777" w:rsidR="00C24DD2" w:rsidRPr="00B70B97" w:rsidRDefault="00C24DD2" w:rsidP="00C24DD2">
      <w:pPr>
        <w:ind w:firstLine="720"/>
        <w:jc w:val="both"/>
        <w:rPr>
          <w:lang w:val="lt-LT"/>
        </w:rPr>
      </w:pPr>
      <w:r w:rsidRPr="00CD5B51">
        <w:t>10</w:t>
      </w:r>
      <w:r>
        <w:t xml:space="preserve">. </w:t>
      </w:r>
      <w:r w:rsidRPr="00B70B97">
        <w:rPr>
          <w:lang w:val="lt-LT"/>
        </w:rPr>
        <w:t>Stambaus projekto vykdomos veiklos pajamoms, gautoms iš intelektinės nuosavybės turto naudojimo, lengvata netaikoma, išskyrus atvejus, kai šios pajamos atitinka PMĮ 5 straipsnio 7–10 dalyse ir 30 straipsnio 1 ir 2</w:t>
      </w:r>
      <w:r w:rsidRPr="00B70B97">
        <w:rPr>
          <w:vertAlign w:val="superscript"/>
          <w:lang w:val="lt-LT"/>
        </w:rPr>
        <w:t>1</w:t>
      </w:r>
      <w:r w:rsidRPr="00B70B97">
        <w:rPr>
          <w:lang w:val="lt-LT"/>
        </w:rPr>
        <w:t xml:space="preserve"> dalyse nustatytas sąlygas (išskyrus PMĮ 5 straipsnio 7 dalyje nustatytą taikytiną pelno mokesčio tarifo dydį). </w:t>
      </w:r>
    </w:p>
    <w:p w14:paraId="2F5A5502" w14:textId="77777777" w:rsidR="00C24DD2" w:rsidRPr="00B70B97" w:rsidRDefault="00C24DD2" w:rsidP="00C24DD2">
      <w:pPr>
        <w:ind w:firstLine="567"/>
        <w:jc w:val="both"/>
        <w:rPr>
          <w:lang w:val="lt-LT"/>
        </w:rPr>
      </w:pPr>
      <w:r w:rsidRPr="00B70B97">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B70B97">
        <w:rPr>
          <w:vertAlign w:val="superscript"/>
          <w:lang w:val="lt-LT"/>
        </w:rPr>
        <w:t>1</w:t>
      </w:r>
      <w:r w:rsidRPr="00B70B97">
        <w:rPr>
          <w:lang w:val="lt-LT"/>
        </w:rPr>
        <w:t xml:space="preserve"> dalyse (žr. PMĮ 30 straipsnio 1 ir 2</w:t>
      </w:r>
      <w:r w:rsidRPr="00B70B97">
        <w:rPr>
          <w:vertAlign w:val="superscript"/>
          <w:lang w:val="lt-LT"/>
        </w:rPr>
        <w:t>1</w:t>
      </w:r>
      <w:r w:rsidRPr="00B70B97">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377BFE6D" w14:textId="77777777" w:rsidR="00C24DD2" w:rsidRPr="006E4682" w:rsidRDefault="00C24DD2" w:rsidP="00C24DD2">
      <w:pPr>
        <w:ind w:firstLine="567"/>
        <w:jc w:val="both"/>
      </w:pPr>
      <w:r w:rsidRPr="00CD5B51">
        <w:t>11</w:t>
      </w:r>
      <w:r w:rsidRPr="006E4682">
        <w:t xml:space="preserve">. Reikalaujamą juridinio asmens privačių kapitalo investicijų dydį turi patvirtinti auditoriaus išvada.  </w:t>
      </w:r>
    </w:p>
    <w:p w14:paraId="2ADC6721" w14:textId="77777777" w:rsidR="00C24DD2" w:rsidRPr="006E4682" w:rsidRDefault="00C24DD2" w:rsidP="00C24DD2">
      <w:pPr>
        <w:ind w:firstLine="567"/>
        <w:jc w:val="both"/>
      </w:pPr>
      <w:r w:rsidRPr="006E4682">
        <w:t xml:space="preserve">Auditoriaus išvadoje turi būti patvirtinamas pasiektas </w:t>
      </w:r>
      <w:r w:rsidRPr="00CD5B51">
        <w:t>iki 2025-11-01 sudarytoms sutartims</w:t>
      </w:r>
      <w:r>
        <w:t xml:space="preserve"> </w:t>
      </w:r>
      <w:r w:rsidRPr="006E4682">
        <w:t xml:space="preserve">100 mln. EUR privačių kapitalo investicijų dydis. </w:t>
      </w:r>
    </w:p>
    <w:p w14:paraId="646D140F" w14:textId="77777777" w:rsidR="00C24DD2" w:rsidRDefault="00C24DD2" w:rsidP="00C24DD2">
      <w:pPr>
        <w:ind w:firstLine="709"/>
        <w:jc w:val="both"/>
      </w:pPr>
      <w:r w:rsidRPr="00CD5B51">
        <w:t>12</w:t>
      </w:r>
      <w:r w:rsidRPr="006E4682">
        <w:t xml:space="preserve">. </w:t>
      </w:r>
      <w:bookmarkStart w:id="934" w:name="_Hlk204153688"/>
      <w:r w:rsidRPr="00CD5B51">
        <w:t>Iki 2025-11-01 pasirašius stambaus projekto investicijų sutartį</w:t>
      </w:r>
      <w:bookmarkEnd w:id="934"/>
      <w:r w:rsidRPr="00CD5B51">
        <w:t xml:space="preserve"> gavus Europos Komisijos pritarimą,</w:t>
      </w:r>
      <w:r w:rsidRPr="00B74706">
        <w:t xml:space="preserve"> </w:t>
      </w:r>
      <w:bookmarkStart w:id="935" w:name="_Hlk204153832"/>
      <w:r w:rsidRPr="00CD5B51">
        <w:t>j</w:t>
      </w:r>
      <w:r w:rsidRPr="006E4682">
        <w:t>uridinis asmuo, įgyvendinantis stambų projektą pagal galiojančią stambaus projekto investicijų sutartį, kuriam taikoma šiame punkte nustatyta pelno mokesčio lengvata</w:t>
      </w:r>
      <w:bookmarkEnd w:id="935"/>
      <w:r w:rsidRPr="006E4682">
        <w:t>, 20 metų, pradedant tuo mokestiniu laikotarpiu, kurį sudaryta stambaus projekto investicijų sutartis, nemoka pelno mokesčio, jeigu tenkinamos visos komentuojamame straipsnyje nustatytos sąlygos. Todėl PMĮ 58 str. 16</w:t>
      </w:r>
      <w:r w:rsidRPr="006E4682">
        <w:rPr>
          <w:vertAlign w:val="superscript"/>
        </w:rPr>
        <w:t>3</w:t>
      </w:r>
      <w:r w:rsidRPr="006E4682">
        <w:t xml:space="preserve"> dalyje nustatyta lengvata juridiniam asmeniui, įgyvendinančiam stambų projektą, taikoma ne ilgiau negu 20 metų nuo stambaus projekto investicijų sutarties įsigaliojimo dienos. </w:t>
      </w:r>
      <w:bookmarkStart w:id="936" w:name="_Hlk66859940"/>
      <w:r w:rsidRPr="006E4682">
        <w:t>Vadinasi, 20 metų laikotarpis pradedamas skaičiuoti nuo investicinės sutarties įsigaliojimo dienos, o pelno mokesčio lengvata pradedama taikyti nuo to mokestinio laikotarpio, kurį tenkinamos visos paminėtos sąlygos.</w:t>
      </w:r>
      <w:bookmarkEnd w:id="936"/>
    </w:p>
    <w:p w14:paraId="47A770B2" w14:textId="77777777" w:rsidR="00C24DD2" w:rsidRPr="00524721" w:rsidRDefault="00C24DD2" w:rsidP="00C24DD2">
      <w:pPr>
        <w:ind w:firstLine="709"/>
        <w:jc w:val="both"/>
      </w:pPr>
      <w:r w:rsidRPr="00CD5B51">
        <w:t>12</w:t>
      </w:r>
      <w:r w:rsidRPr="006E4682">
        <w:t xml:space="preserve">.1. </w:t>
      </w:r>
      <w:r w:rsidRPr="00524721">
        <w:t xml:space="preserve">Tuo atveju, jeigu nepasibaigus nustatytam lengvatos taikymo terminui </w:t>
      </w:r>
      <w:r w:rsidRPr="00104241">
        <w:t>juridinio asmens privačių kapitalo investicijų suma į stambų projektą sumažėja ir nebesiekia 100 milijonų eurų</w:t>
      </w:r>
      <w:r>
        <w:t>,</w:t>
      </w:r>
      <w:r w:rsidRPr="00104241">
        <w:t xml:space="preserve"> </w:t>
      </w:r>
      <w:bookmarkStart w:id="937" w:name="_Hlk204154066"/>
      <w:r w:rsidRPr="00CD5B51">
        <w:t>jei stambaus projekto sutartis sudaryta iki 2025-11-01</w:t>
      </w:r>
      <w:bookmarkEnd w:id="937"/>
      <w:r w:rsidRPr="00CD5B51">
        <w:t>,</w:t>
      </w:r>
      <w:r>
        <w:rPr>
          <w:b/>
        </w:rPr>
        <w:t xml:space="preserve"> </w:t>
      </w:r>
      <w:r w:rsidRPr="00104241">
        <w:t>sumos,  išskyrus ilgalaikio turto nusidėvėjimo arba amortizacijos sąnaudas, ir</w:t>
      </w:r>
      <w:r w:rsidRPr="00524721">
        <w:t xml:space="preserve"> </w:t>
      </w:r>
      <w:r w:rsidRPr="00A13971">
        <w:rPr>
          <w:bCs/>
          <w:color w:val="000000"/>
        </w:rPr>
        <w:t>tais mokestiniais metais juridinis asmuo nebetenkina reikalavimo dėl vidutinio darbuotojų skaičiaus, reikalingo stambiam projektui įgyvendinti, nurodyto  Investicijų įstatymo 2 straipsnio 25 dalies 1 arba 2 punkte, lengvata tą mokestinį laikotarpį netaikoma</w:t>
      </w:r>
      <w:r>
        <w:rPr>
          <w:b/>
          <w:bCs/>
          <w:color w:val="000000"/>
        </w:rPr>
        <w:t xml:space="preserve"> </w:t>
      </w:r>
      <w:r w:rsidRPr="00524721">
        <w:t xml:space="preserve">ir lengvatos taikymas atnaujinamas tą mokestinį laikotarpį, kurį </w:t>
      </w:r>
      <w:r w:rsidRPr="00104241">
        <w:t>juridinio asmens privačios kapitalo investicijos į stambų projektą vėl pasiekia 100 milijonų eurų sumą ir</w:t>
      </w:r>
      <w:r w:rsidRPr="00524721">
        <w:t xml:space="preserve"> </w:t>
      </w:r>
      <w:r w:rsidRPr="00A13971">
        <w:rPr>
          <w:bCs/>
          <w:color w:val="000000"/>
        </w:rPr>
        <w:t>pradedami tenkinti Investicijų įstatymo 2 straipsnio 25 dalies 1 arba 2 punktų reikalavimai dėl vidutinio darbuotojų skaičiaus, reikalingo stambiam projektui įgyvendinti</w:t>
      </w:r>
      <w:r w:rsidRPr="00524721">
        <w:t>.</w:t>
      </w:r>
    </w:p>
    <w:p w14:paraId="7D9B300E" w14:textId="77777777" w:rsidR="00C24DD2" w:rsidRPr="00524721" w:rsidRDefault="00C24DD2" w:rsidP="00C24DD2">
      <w:pPr>
        <w:ind w:firstLine="709"/>
        <w:jc w:val="both"/>
        <w:rPr>
          <w:lang w:eastAsia="lt-LT"/>
        </w:rPr>
      </w:pPr>
      <w:r w:rsidRPr="00524721">
        <w:rPr>
          <w:lang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524721">
        <w:rPr>
          <w:i/>
          <w:iCs/>
          <w:lang w:eastAsia="lt-LT"/>
        </w:rPr>
        <w:t xml:space="preserve"> </w:t>
      </w:r>
      <w:r w:rsidRPr="00524721">
        <w:rPr>
          <w:lang w:eastAsia="lt-LT"/>
        </w:rPr>
        <w:t>nelaikoma</w:t>
      </w:r>
      <w:r w:rsidRPr="00524721">
        <w:rPr>
          <w:i/>
          <w:iCs/>
          <w:lang w:eastAsia="lt-LT"/>
        </w:rPr>
        <w:t xml:space="preserve"> </w:t>
      </w:r>
      <w:r w:rsidRPr="00524721">
        <w:rPr>
          <w:lang w:eastAsia="lt-LT"/>
        </w:rPr>
        <w:t>kapitalo</w:t>
      </w:r>
      <w:r w:rsidRPr="00524721">
        <w:rPr>
          <w:i/>
          <w:iCs/>
          <w:lang w:eastAsia="lt-LT"/>
        </w:rPr>
        <w:t xml:space="preserve"> </w:t>
      </w:r>
      <w:r w:rsidRPr="00524721">
        <w:rPr>
          <w:lang w:eastAsia="lt-LT"/>
        </w:rPr>
        <w:t>investicijų</w:t>
      </w:r>
      <w:r w:rsidRPr="00524721">
        <w:rPr>
          <w:i/>
          <w:iCs/>
          <w:lang w:eastAsia="lt-LT"/>
        </w:rPr>
        <w:t xml:space="preserve"> </w:t>
      </w:r>
      <w:r w:rsidRPr="00524721">
        <w:rPr>
          <w:lang w:eastAsia="lt-LT"/>
        </w:rPr>
        <w:t>sumažėjimu.</w:t>
      </w:r>
      <w:r w:rsidRPr="00524721">
        <w:rPr>
          <w:i/>
          <w:iCs/>
          <w:lang w:eastAsia="lt-LT"/>
        </w:rPr>
        <w:t xml:space="preserve"> </w:t>
      </w:r>
    </w:p>
    <w:p w14:paraId="458F8FA8" w14:textId="77777777" w:rsidR="00C24DD2" w:rsidRPr="00524721" w:rsidRDefault="00C24DD2" w:rsidP="00C24DD2">
      <w:pPr>
        <w:ind w:firstLine="709"/>
        <w:jc w:val="both"/>
      </w:pPr>
      <w:r w:rsidRPr="00524721">
        <w:lastRenderedPageBreak/>
        <w:t xml:space="preserve">Pažymėtina, kad mokestiniai laikotarpiai, kuriais juridinis asmuo neturi teisės taikyti šios pelno mokesčio lengvatos, dėl </w:t>
      </w:r>
      <w:r w:rsidRPr="0005445D">
        <w:t xml:space="preserve">privačių kapitalo investicijų sumos sumažėjimo (nebesiekia 100 milijonų eurų sumos, </w:t>
      </w:r>
      <w:r w:rsidRPr="00CD5B51">
        <w:t>jei stambaus projekto sutartis sudaryta iki 2025-11- 01,</w:t>
      </w:r>
      <w:r>
        <w:rPr>
          <w:b/>
        </w:rPr>
        <w:t xml:space="preserve"> </w:t>
      </w:r>
      <w:r w:rsidRPr="0005445D">
        <w:t>išskyrus ilgalaikio turto nusidėvėjimo arba amortizacijos sąnaudas) ir / arba</w:t>
      </w:r>
      <w:r w:rsidRPr="00524721">
        <w:t xml:space="preserve"> </w:t>
      </w:r>
      <w:r w:rsidRPr="00A13971">
        <w:rPr>
          <w:bCs/>
          <w:color w:val="000000"/>
        </w:rPr>
        <w:t>Investicijų įstatymo 2 straipsnio 25 dalies 1 arba 2 punktų reikalavimų netenkinimo dėl</w:t>
      </w:r>
      <w:r>
        <w:rPr>
          <w:b/>
          <w:bCs/>
          <w:color w:val="000000"/>
        </w:rPr>
        <w:t xml:space="preserve"> </w:t>
      </w:r>
      <w:r w:rsidRPr="0005445D">
        <w:t>vidutinio darbuotojų skaičiaus sumažėjimo</w:t>
      </w:r>
      <w:r w:rsidRPr="00524721">
        <w:t>, yra įskaičiuojami į PMĮ 58 str. 16</w:t>
      </w:r>
      <w:r>
        <w:rPr>
          <w:vertAlign w:val="superscript"/>
        </w:rPr>
        <w:t>3</w:t>
      </w:r>
      <w:r w:rsidRPr="00524721">
        <w:t xml:space="preserve"> dalyje nustatytus 20 metų pelno mokesčio lengvatos taikymo mokestinius laikotarpius, t. y. lengvatos taikymo 20 metų laikotarpis nėra sustabdomas. </w:t>
      </w:r>
    </w:p>
    <w:p w14:paraId="2F870290" w14:textId="77777777" w:rsidR="00C24DD2" w:rsidRDefault="00C24DD2" w:rsidP="00C24DD2">
      <w:pPr>
        <w:ind w:firstLine="709"/>
        <w:jc w:val="both"/>
      </w:pPr>
      <w:r w:rsidRPr="00524721">
        <w:t>Už mokestinius laikotarpius, kuriais juridinis asmuo, įgyvendinantis stambų projektą, neturėjo teisės taikyti pelno mokesčio lengvatos, pelno mokestis apskaičiuojamas bendra PMĮ nustatyta tvarka, taikant PMĮ 5 straipsnyje nustatytą mokesčio tarifą.</w:t>
      </w:r>
    </w:p>
    <w:p w14:paraId="697A22AE" w14:textId="77777777" w:rsidR="00C24DD2" w:rsidRPr="00B70B97" w:rsidRDefault="00C24DD2" w:rsidP="00C24DD2">
      <w:pPr>
        <w:ind w:firstLine="567"/>
        <w:jc w:val="both"/>
        <w:rPr>
          <w:lang w:val="lt-LT"/>
        </w:rPr>
      </w:pPr>
      <w:r w:rsidRPr="00CD5B51">
        <w:t>12</w:t>
      </w:r>
      <w:r w:rsidRPr="006E4682">
        <w:t xml:space="preserve">.2. </w:t>
      </w:r>
      <w:r w:rsidRPr="00B70B97">
        <w:rPr>
          <w:lang w:val="lt-LT"/>
        </w:rPr>
        <w:t>Jeigu juridinio asmens, įgyvendinančio stambų projektą, kuris naudojosi PMĮ 58 str. 16</w:t>
      </w:r>
      <w:r w:rsidRPr="00B70B97">
        <w:rPr>
          <w:vertAlign w:val="superscript"/>
          <w:lang w:val="lt-LT"/>
        </w:rPr>
        <w:t xml:space="preserve">3 </w:t>
      </w:r>
      <w:r w:rsidRPr="00B70B97">
        <w:rPr>
          <w:lang w:val="lt-LT"/>
        </w:rPr>
        <w:t>dalyje nustatyta pelno mokesčio lengvata, įgyvendinant stambų projektą gautos pajamos iš PMĮ 58 str. 16</w:t>
      </w:r>
      <w:r w:rsidRPr="00B70B97">
        <w:rPr>
          <w:vertAlign w:val="superscript"/>
          <w:lang w:val="lt-LT"/>
        </w:rPr>
        <w:t>3</w:t>
      </w:r>
      <w:r w:rsidRPr="00B70B97">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B70B97">
        <w:rPr>
          <w:vertAlign w:val="superscript"/>
          <w:lang w:val="lt-LT"/>
        </w:rPr>
        <w:t>1</w:t>
      </w:r>
      <w:r w:rsidRPr="00B70B97">
        <w:rPr>
          <w:lang w:val="lt-LT"/>
        </w:rPr>
        <w:t xml:space="preserve"> dalyse nustatytas sąlygas sudarys ne mažiau kaip 75 procentus visų</w:t>
      </w:r>
      <w:r w:rsidRPr="00B70B97">
        <w:rPr>
          <w:bCs/>
          <w:lang w:val="lt-LT"/>
        </w:rPr>
        <w:t xml:space="preserve"> </w:t>
      </w:r>
      <w:r w:rsidRPr="00B70B97">
        <w:rPr>
          <w:lang w:val="lt-LT"/>
        </w:rPr>
        <w:t xml:space="preserve">pajamų iš stambaus projekto. Šiuo atveju mokestiniai laikotarpiai, kuriais juridinis asmuo, įgyvendinantis 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0D915B49" w14:textId="77777777" w:rsidR="00C24DD2" w:rsidRPr="00B70B97" w:rsidRDefault="00C24DD2" w:rsidP="00C24DD2">
      <w:pPr>
        <w:ind w:firstLine="709"/>
        <w:jc w:val="both"/>
        <w:rPr>
          <w:lang w:val="lt-LT"/>
        </w:rPr>
      </w:pPr>
      <w:r w:rsidRPr="00B70B97">
        <w:rPr>
          <w:lang w:val="lt-LT"/>
        </w:rPr>
        <w:t xml:space="preserve">Komentuojamosios dalies apimtyje, </w:t>
      </w:r>
      <w:r w:rsidRPr="00B70B97">
        <w:rPr>
          <w:bCs/>
          <w:lang w:val="lt-LT"/>
        </w:rPr>
        <w:t xml:space="preserve">t. y. tik stambaus projekto pajamų ir sąnaudų apmokestinimo taikymo kontekste, </w:t>
      </w:r>
      <w:r w:rsidRPr="00B70B97">
        <w:rPr>
          <w:lang w:val="lt-LT"/>
        </w:rPr>
        <w:t>už mokestinius laikotarpius, kuriais juridinis asmuo, įgyvendinantis stambų projektą, neturėjo teisės taikyti pelno mokesčio lengvatos, pelno mokestis apskaičiuojamas bendra PMĮ nustatyta tvarka, taikant PMĮ 5 straipsnyje nustatytą mokesčio tarifą.</w:t>
      </w:r>
    </w:p>
    <w:p w14:paraId="1C67AC7B" w14:textId="77777777" w:rsidR="00C24DD2" w:rsidRPr="006E4682" w:rsidRDefault="00C24DD2" w:rsidP="00C24DD2">
      <w:pPr>
        <w:ind w:firstLine="709"/>
        <w:jc w:val="both"/>
      </w:pPr>
      <w:r w:rsidRPr="00CD5B51">
        <w:t>12</w:t>
      </w:r>
      <w:r w:rsidRPr="006E4682">
        <w:t>.3. Tuo atveju, kai juridinis asmuo, įgyvendinantis stambų projektą, atitinka visus PMĮ 58 str. 16</w:t>
      </w:r>
      <w:r w:rsidRPr="006E4682">
        <w:rPr>
          <w:vertAlign w:val="superscript"/>
        </w:rPr>
        <w:t>3</w:t>
      </w:r>
      <w:r w:rsidRPr="006E4682">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w:t>
      </w:r>
    </w:p>
    <w:p w14:paraId="50509D8F" w14:textId="77777777" w:rsidR="00C24DD2" w:rsidRPr="006E4682" w:rsidRDefault="00C24DD2" w:rsidP="00C24DD2">
      <w:pPr>
        <w:ind w:firstLine="709"/>
        <w:jc w:val="both"/>
      </w:pPr>
      <w:r w:rsidRPr="00CD5B51">
        <w:t>13</w:t>
      </w:r>
      <w:r w:rsidRPr="006E4682">
        <w:t xml:space="preserve">. Juridinis asmuo, įgyvendinantis stambų projektą ir atitinkantis visus komentuojamoje dalyje įtvirtintus kriterijus, metines pelno mokesčio deklaracijas teikia bendra PMĮ nustatyta tvarka. </w:t>
      </w:r>
    </w:p>
    <w:p w14:paraId="3FB95D9A" w14:textId="77777777" w:rsidR="00C24DD2" w:rsidRPr="006E4682" w:rsidRDefault="00C24DD2" w:rsidP="00C24DD2">
      <w:pPr>
        <w:ind w:firstLine="709"/>
        <w:jc w:val="both"/>
      </w:pPr>
      <w:r w:rsidRPr="006E4682">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w:t>
      </w:r>
      <w:r w:rsidRPr="006E4682">
        <w:lastRenderedPageBreak/>
        <w:t xml:space="preserve">būti taikoma komentuojamosios dalies lengvata.  Kitos vykdomos veiklos (ne stambaus projekto veiklos) apmokestinamasis pelnas apskaičiuojamas bendra PMĮ nustatyta tvarka.  </w:t>
      </w:r>
    </w:p>
    <w:p w14:paraId="4548B0F1" w14:textId="77777777" w:rsidR="00C24DD2" w:rsidRPr="006E4682" w:rsidRDefault="00C24DD2" w:rsidP="00C24DD2">
      <w:pPr>
        <w:ind w:firstLine="709"/>
        <w:jc w:val="both"/>
      </w:pPr>
      <w:r w:rsidRPr="006E4682">
        <w:t>Vadinasi, tais mokestiniais laikotarpiais, kai juridinis asmuo pasinaudos lengvata, įtvirtinta PMĮ 58 straipsnio 16</w:t>
      </w:r>
      <w:r w:rsidRPr="006E4682">
        <w:rPr>
          <w:vertAlign w:val="superscript"/>
        </w:rPr>
        <w:t>3</w:t>
      </w:r>
      <w:r w:rsidRPr="006E4682">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stambaus projekto vykdomos veiklos sąnaudos neturės įtakos apskaičiuojant kitos, nesusijusios su stambaus projekto įgyvendinimu,  vykdomos veiklos rezultatą.</w:t>
      </w:r>
    </w:p>
    <w:p w14:paraId="10B8D8C8" w14:textId="77777777" w:rsidR="00C24DD2" w:rsidRPr="006E4682" w:rsidRDefault="00C24DD2" w:rsidP="00C24DD2">
      <w:pPr>
        <w:ind w:firstLine="709"/>
        <w:jc w:val="both"/>
        <w:rPr>
          <w:lang w:eastAsia="lt-LT"/>
        </w:rPr>
      </w:pPr>
      <w:r w:rsidRPr="006E4682">
        <w:rPr>
          <w:lang w:eastAsia="lt-LT"/>
        </w:rPr>
        <w:t>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w:t>
      </w:r>
    </w:p>
    <w:p w14:paraId="1E613239" w14:textId="77777777" w:rsidR="00C24DD2" w:rsidRPr="006E4682" w:rsidRDefault="00C24DD2" w:rsidP="00C24DD2">
      <w:pPr>
        <w:ind w:firstLine="709"/>
        <w:jc w:val="both"/>
      </w:pPr>
      <w:r w:rsidRPr="006E4682">
        <w:t>Už mokestinius laikotarpius, kuriais juridinis asmuo, įgyvendinantis stambų projektą, neturės teisės taikyti pelno mokesčio lengvatos, juridinio asmens apskaičiuotam apmokestinamajam pelnui taikoma bendra PMĮ nustatyta apmokestinimo tvarka, taikant PMĮ 5 straipsnyje nustatytą mokesčio tarifą. 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veiklos pajamas, o sąnaudas, susijusias su stambaus projekto įgyvendinimu, galės priskirti įprastinėms sąnaudoms, jei jos priskiriamos leidžiamiems atskaitymams pagal PMĮ 17 straipsnio 1 dalies nuostatas. Apskaičiuojant apmokestinamąjį pelną, tais laikotarpiais, kai juridinis asmuo, įgyvendinantis stambų projektą, neturės teisės taikyti pelno mokesčio lengvatos, jis gali pasinaudoti visomis PMĮ įtvirtintomis lengvatomis, pvz., PMĮ 46</w:t>
      </w:r>
      <w:r w:rsidRPr="006E4682">
        <w:rPr>
          <w:vertAlign w:val="superscript"/>
        </w:rPr>
        <w:t>1</w:t>
      </w:r>
      <w:r w:rsidRPr="006E4682">
        <w:t xml:space="preserve"> straipsnyje numatytu apmokestinamojo pelno sumažinimu dėl vykdomo investicinio projekto (nuo 2018 m. yra galimybė susimažinti iki 100 proc. apmokestinamojo pelno) ir kt. (žr. stambaus projekto lengvatos taikymo bei apskaičiavimo pavyzdžius, pateiktus PMĮ 58 str. 16</w:t>
      </w:r>
      <w:r w:rsidRPr="006E4682">
        <w:rPr>
          <w:vertAlign w:val="superscript"/>
        </w:rPr>
        <w:t xml:space="preserve">2 </w:t>
      </w:r>
      <w:r w:rsidRPr="006E4682">
        <w:t xml:space="preserve">dalyje). </w:t>
      </w:r>
    </w:p>
    <w:p w14:paraId="11D065B7" w14:textId="77777777" w:rsidR="00C24DD2" w:rsidRPr="006E4682" w:rsidRDefault="00C24DD2" w:rsidP="00C24DD2">
      <w:pPr>
        <w:ind w:firstLine="567"/>
        <w:jc w:val="both"/>
      </w:pPr>
      <w:r w:rsidRPr="00CD5B51">
        <w:t>14</w:t>
      </w:r>
      <w:r w:rsidRPr="006E4682">
        <w:t>. 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 ir Europos Komisijos išduoto leidimo teikti valstybės pagalbą sąlygomis. PMĮ 58 str. 16</w:t>
      </w:r>
      <w:r w:rsidRPr="006E4682">
        <w:rPr>
          <w:vertAlign w:val="superscript"/>
        </w:rPr>
        <w:t>3</w:t>
      </w:r>
      <w:r w:rsidRPr="006E4682">
        <w:t xml:space="preserve"> dalyje nustatyta lengvata juridiniam asmeniui, įgyvendinančiam stambų projektą pagal galiojančią stambaus projekto investicijų sutartį, taikoma gavus Europos Komisijos pritarimą dėl lengvatos skyrimo pagal Sutarties dėl Europos Sąjungos veikimo 108 straipsnio 3 dalies nuostatas, bet ne anksčiau kaip nuo 2021 m. sausio 1 d. ir iki 2025-12-31 sudarytoms stambaus projekto investicijų sutartims.</w:t>
      </w:r>
    </w:p>
    <w:p w14:paraId="02DAC905" w14:textId="77777777" w:rsidR="00C24DD2" w:rsidRPr="006E4682" w:rsidRDefault="00C24DD2" w:rsidP="00C24DD2">
      <w:pPr>
        <w:ind w:firstLine="567"/>
        <w:jc w:val="both"/>
      </w:pPr>
      <w:r w:rsidRPr="006E4682">
        <w:t>Tuo atveju, jeigu stambų projektą įgyvendinančiam juridiniam asmeniui valstybės pagalbos suma yra didesnė (peržengia) nei nustatyti tam tikri Europos Sąjungos apribojimai, PMĮ 58 str. 16</w:t>
      </w:r>
      <w:r w:rsidRPr="006E4682">
        <w:rPr>
          <w:vertAlign w:val="superscript"/>
        </w:rPr>
        <w:t>3</w:t>
      </w:r>
      <w:r w:rsidRPr="006E4682">
        <w:t xml:space="preserve"> dalyje nustatyta lengvata viršijančiai valstybės pagalbos sumai netaikoma ir visa viršijanti suma apmokestinama pelno mokesčiu, t. y. nuo viršijančios sumos juridinis asmuo apskaičiuoja apmokestinamąjį pelną ir nuo jo apskaičiuoja mokėtiną pelno mokestį PMĮ nustatyta tvarka. </w:t>
      </w:r>
    </w:p>
    <w:p w14:paraId="1E5E6663" w14:textId="77777777" w:rsidR="00C24DD2" w:rsidRDefault="00C24DD2" w:rsidP="00C24DD2">
      <w:pPr>
        <w:ind w:firstLine="567"/>
        <w:jc w:val="both"/>
      </w:pPr>
      <w:r w:rsidRPr="006E4682">
        <w:lastRenderedPageBreak/>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268AA5D5" w14:textId="77777777" w:rsidR="00C24DD2" w:rsidRDefault="00C24DD2" w:rsidP="00C24DD2">
      <w:pPr>
        <w:ind w:firstLine="567"/>
        <w:jc w:val="both"/>
      </w:pPr>
      <w:r w:rsidRPr="00CD5B51">
        <w:t>15.</w:t>
      </w:r>
      <w:r w:rsidRPr="006E4682">
        <w:t xml:space="preserve"> </w:t>
      </w:r>
      <w:r>
        <w:rPr>
          <w:b/>
        </w:rPr>
        <w:t>Komentuojamosios dalies</w:t>
      </w:r>
      <w:r w:rsidRPr="002F6747">
        <w:rPr>
          <w:b/>
        </w:rPr>
        <w:t xml:space="preserve"> nuostatos, taikomos po 2025</w:t>
      </w:r>
      <w:r>
        <w:rPr>
          <w:b/>
        </w:rPr>
        <w:t>-</w:t>
      </w:r>
      <w:r w:rsidRPr="002F6747">
        <w:rPr>
          <w:b/>
        </w:rPr>
        <w:t>11</w:t>
      </w:r>
      <w:r>
        <w:rPr>
          <w:b/>
        </w:rPr>
        <w:t>-</w:t>
      </w:r>
      <w:r w:rsidRPr="002F6747">
        <w:rPr>
          <w:b/>
        </w:rPr>
        <w:t>01 pasirašytoms stambaus projekto investicijų sutartims</w:t>
      </w:r>
      <w:r>
        <w:t>.</w:t>
      </w:r>
    </w:p>
    <w:p w14:paraId="300899E5" w14:textId="77777777" w:rsidR="00C24DD2" w:rsidRPr="00CD5B51" w:rsidRDefault="00C24DD2" w:rsidP="00C24DD2">
      <w:pPr>
        <w:ind w:firstLine="567"/>
        <w:jc w:val="both"/>
      </w:pPr>
      <w:r w:rsidRPr="00CD5B51">
        <w:t xml:space="preserve">Juridinis asmuo, įgyvendinantis stambų projektą pagal galiojančią stambaus projekto investicijų sutartį gavus Europos Komisijos pritarimą, nemoka pelno mokesčio ne ilgiau negu 20 mokestinių laikotarpių, pradedant tuo mokestiniu laikotarpiu, kurį buvo pasiekta 110 milijonų eurų investicijų suma ir juridinis asmuo tenkina visus kitus reikalavimus, nurodytus Investicijų įstatymo 2 straipsnio 25 dalies 1 arba 2 punkte, t. y.: </w:t>
      </w:r>
    </w:p>
    <w:p w14:paraId="5504C4E6" w14:textId="77777777" w:rsidR="00C24DD2" w:rsidRPr="00CD5B51" w:rsidRDefault="00C24DD2" w:rsidP="00C24DD2">
      <w:pPr>
        <w:tabs>
          <w:tab w:val="left" w:pos="284"/>
        </w:tabs>
        <w:ind w:firstLine="567"/>
        <w:jc w:val="both"/>
      </w:pPr>
      <w:r w:rsidRPr="00CD5B51">
        <w:t xml:space="preserve">15.1. juridinis asmuo įgyvendina stambų projektą pagal galiojančią stambaus projekto investicijų sutartį (kai gautas Europos Komisijos pritarimas); </w:t>
      </w:r>
    </w:p>
    <w:p w14:paraId="33029C2C" w14:textId="77777777" w:rsidR="00C24DD2" w:rsidRPr="00CD5B51" w:rsidRDefault="00C24DD2" w:rsidP="00C24DD2">
      <w:pPr>
        <w:tabs>
          <w:tab w:val="left" w:pos="284"/>
        </w:tabs>
        <w:ind w:firstLine="567"/>
        <w:jc w:val="both"/>
      </w:pPr>
      <w:r w:rsidRPr="00CD5B51">
        <w:t>15.2. mokestiniais metais tenkinamas reikalavimas dėl vidutinio darbuotojų skaičiaus, reikalingo stambiam projektui Lietuvos Respublikoje įgyvendinti, nustatyto Investicijų įstatymo 2 straipsnio 25 dalies 1 arba 2 punkte, t. y. vidutinis darbuotojų, reikalingų stambiam projektui įgyvendinti Lietuvos Respublikoje</w:t>
      </w:r>
      <w:r w:rsidRPr="00CD5B51">
        <w:rPr>
          <w:strike/>
        </w:rPr>
        <w:t xml:space="preserve"> </w:t>
      </w:r>
      <w:r w:rsidRPr="00CD5B51">
        <w:t xml:space="preserve">skaičius mokestiniais metais ne mažesnis kaip 150 (Vilniuje – ne mažesnis kaip 200) (Investicijų įstatymo 2 straipsnio 25 dalies 1 punktas) arba </w:t>
      </w:r>
      <w:r w:rsidRPr="00CD5B51">
        <w:rPr>
          <w:iCs/>
          <w:color w:val="000000"/>
        </w:rPr>
        <w:t>sukurta Lietuvos Respublikoje nuo 20 iki 149, o kai investuojama Vilniuje – nuo 20 iki 199 naujų darbo vietų (Investicijų įstatymo 2 straipsnio 25 dalies 2 punktas)</w:t>
      </w:r>
      <w:r w:rsidRPr="00CD5B51">
        <w:t xml:space="preserve"> </w:t>
      </w:r>
      <w:r w:rsidRPr="00CD5B51">
        <w:rPr>
          <w:iCs/>
          <w:color w:val="000000"/>
        </w:rPr>
        <w:t>(dėl vidutinio darbuotojų, reikalingų stambiam projektui Lietuvos Respublikoje įgyvendinti, skaičiaus pasirinktas rodiklis įrašomas stambaus projekto sutartyje)</w:t>
      </w:r>
      <w:r w:rsidRPr="00CD5B51">
        <w:t>;</w:t>
      </w:r>
    </w:p>
    <w:p w14:paraId="062E1E0D" w14:textId="77777777" w:rsidR="00C24DD2" w:rsidRPr="00CD5B51" w:rsidRDefault="00C24DD2" w:rsidP="00C24DD2">
      <w:pPr>
        <w:tabs>
          <w:tab w:val="left" w:pos="284"/>
        </w:tabs>
        <w:ind w:firstLine="567"/>
        <w:jc w:val="both"/>
      </w:pPr>
      <w:r w:rsidRPr="00CD5B51">
        <w:t xml:space="preserve">15.3. privačios kapitalo investicijos į stambų projektą Lietuvos Respublikoje pasiekė ne mažesnę kaip 110 milijonų eurų sumą; </w:t>
      </w:r>
    </w:p>
    <w:p w14:paraId="324398F0" w14:textId="77777777" w:rsidR="00C24DD2" w:rsidRPr="00CD5B51" w:rsidRDefault="00C24DD2" w:rsidP="00C24DD2">
      <w:pPr>
        <w:tabs>
          <w:tab w:val="left" w:pos="284"/>
        </w:tabs>
        <w:ind w:firstLine="567"/>
        <w:jc w:val="both"/>
      </w:pPr>
      <w:r w:rsidRPr="00CD5B51">
        <w:t>15.4. juridinis asmuo stambiam projektui įgyvendinti nesinaudoja šio straipsnio 16 dalies 1 ir 2 punktuose arba 16</w:t>
      </w:r>
      <w:r w:rsidRPr="00CD5B51">
        <w:rPr>
          <w:vertAlign w:val="superscript"/>
        </w:rPr>
        <w:t>2</w:t>
      </w:r>
      <w:r w:rsidRPr="00CD5B51">
        <w:t xml:space="preserve"> dalyje nustatyta pelno mokesčio lengvata; </w:t>
      </w:r>
    </w:p>
    <w:p w14:paraId="664EFC36" w14:textId="77777777" w:rsidR="00C24DD2" w:rsidRPr="00CD5B51" w:rsidRDefault="00C24DD2" w:rsidP="00C24DD2">
      <w:pPr>
        <w:tabs>
          <w:tab w:val="left" w:pos="284"/>
        </w:tabs>
        <w:ind w:firstLine="567"/>
        <w:jc w:val="both"/>
      </w:pPr>
      <w:r w:rsidRPr="00CD5B51">
        <w:t xml:space="preserve">15.5. ne mažiau kaip 75 procentai atitinkamo mokestinio laikotarpio juridinio asmens gautų iš vykdomo stambaus projekto veiklos uždirbamų pajamų sudaro pajamos, gautos įgyvendinant stambų projektą, iš duomenų apdorojimo, interneto serverių paslaugų (prieglobos) ir susijusios veiklos arba pajamos iš apdirbamosios gamybos;  </w:t>
      </w:r>
    </w:p>
    <w:p w14:paraId="7F2E9953" w14:textId="77777777" w:rsidR="00C24DD2" w:rsidRPr="00CD5B51" w:rsidRDefault="00C24DD2" w:rsidP="00C24DD2">
      <w:pPr>
        <w:ind w:firstLine="567"/>
        <w:jc w:val="both"/>
      </w:pPr>
      <w:r w:rsidRPr="00CD5B51">
        <w:t>15.6. turi auditoriaus išvadą, patvirtinančią reikalaujamą juridinio asmens privačių kapitalo investicijų į stambų projektą dydį. Auditoriaus išvadoje papildomai galėtų būti fiksuojama sutarties įsigaliojimo data.</w:t>
      </w:r>
    </w:p>
    <w:p w14:paraId="39BD1311" w14:textId="77777777" w:rsidR="00C24DD2" w:rsidRPr="00CD5B51" w:rsidRDefault="00C24DD2" w:rsidP="00C24DD2">
      <w:pPr>
        <w:ind w:firstLine="567"/>
        <w:jc w:val="both"/>
      </w:pPr>
      <w:r w:rsidRPr="00CD5B51">
        <w:t xml:space="preserve">16. Lengvata taikoma gavus Europos Komisijos pritarimą dėl lengvatos skyrimo pagal Sutarties dėl Europos Sąjungos veikimo 108 straipsnio 3 dalies nuostatas, bet ne anksčiau kaip nuo 2021 m. sausio 1 d., ir taikoma tik iki 2035 m. gruodžio 31 d. sudarytoms stambių projektų investicijų sutartims. </w:t>
      </w:r>
    </w:p>
    <w:p w14:paraId="25914E37" w14:textId="77777777" w:rsidR="00C24DD2" w:rsidRPr="00CD5B51" w:rsidRDefault="00C24DD2" w:rsidP="00C24DD2">
      <w:pPr>
        <w:ind w:firstLine="567"/>
        <w:jc w:val="both"/>
        <w:rPr>
          <w:lang w:val="lt-LT"/>
        </w:rPr>
      </w:pPr>
      <w:r w:rsidRPr="00CD5B51">
        <w:rPr>
          <w:lang w:val="lt-LT"/>
        </w:rPr>
        <w:t>Komentuojamoje dalyje sąvoka „juridinis asmuo“ suprantama kaip investuotojas, kuris yra įsteigtas ir įregistruotas Juridinių asmenų registre bei pasirašęs stambaus projekto įgyvendinimo sutartį su Lietuvos Respublikos Vyriausybės įgaliota institucija. Kai stambaus projekto investicijų sutartis galioja keliems juridiniams asmenims, tai komentuojamojo straipsnio lengvata taikoma atskirai kiekvienam juridiniam asmeniui tenkina visas 58 straipsnio 16</w:t>
      </w:r>
      <w:r w:rsidRPr="00CD5B51">
        <w:rPr>
          <w:vertAlign w:val="superscript"/>
          <w:lang w:val="lt-LT"/>
        </w:rPr>
        <w:t>3</w:t>
      </w:r>
      <w:r w:rsidRPr="00CD5B51">
        <w:rPr>
          <w:lang w:val="lt-LT"/>
        </w:rPr>
        <w:t xml:space="preserve"> dalyje nustatytas lengvatos taikymo sąlygas.</w:t>
      </w:r>
    </w:p>
    <w:p w14:paraId="5272620E" w14:textId="77777777" w:rsidR="00C24DD2" w:rsidRPr="00CD5B51" w:rsidRDefault="00C24DD2" w:rsidP="00C24DD2">
      <w:pPr>
        <w:ind w:firstLine="567"/>
        <w:jc w:val="both"/>
      </w:pPr>
      <w:r w:rsidRPr="00CD5B51">
        <w:t xml:space="preserve">17. Komentuojamosios dalies kontekste stambus projektas suprantamas kaip duomenų apdorojimo, interneto serverių paslaugų (prieglobos) ir susijusios veiklos arba apdirbamosios gamybos investicijų projektas, dėl kurio įgyvendinimo yra gautas Europos Komisijos pritarimas dėl lengvatos </w:t>
      </w:r>
      <w:r w:rsidRPr="00CD5B51">
        <w:lastRenderedPageBreak/>
        <w:t>skyrimo pagal Sutarties dėl Europos Sąjungos veikimo 108 straipsnio 3 dalies nuostatas, ir taikomas juridiniams asmenims nuo 2021 m. sausio 1 d. iki 2025 m. gruodžio 31 d. sudariusiems stambių projektų investicijų sutartis, kaip numatyta Investicijų įstatymo 2 straipsnio 25 dalyje. Stambaus projekto investicijų sutartis – Lietuvos Respublikos Vyriausybės įgaliotos institucijos ir investuotojo sudaryta investicijų sutartis, kurioje nustatomos sutarties šalių teisės ir pareigos, susijusios su stambaus projekto įgyvendinimu, ir kitos aktualios stambaus projekto investicijų sutarties sąlygos. Stambūs projektai gali būti vykdomi bet kuriame Lietuvos regione ir savivaldybėje.</w:t>
      </w:r>
    </w:p>
    <w:p w14:paraId="09289745" w14:textId="77777777" w:rsidR="00C24DD2" w:rsidRPr="00CD5B51" w:rsidRDefault="00C24DD2" w:rsidP="00C24DD2">
      <w:pPr>
        <w:ind w:firstLine="567"/>
        <w:jc w:val="both"/>
        <w:rPr>
          <w:iCs/>
          <w:color w:val="000000"/>
          <w:lang w:val="lt-LT"/>
        </w:rPr>
      </w:pPr>
      <w:r w:rsidRPr="00CD5B51">
        <w:t xml:space="preserve">18. </w:t>
      </w:r>
      <w:r w:rsidRPr="00CD5B51">
        <w:rPr>
          <w:iCs/>
          <w:color w:val="000000"/>
          <w:lang w:val="lt-LT"/>
        </w:rPr>
        <w:t>Lengvata pajamoms iš intelektinės nuosavybės turto naudojimo, gautoms įgyvendinant stambų projektą, netaikoma, išskyrus atvejus, kai šios pajamos atitinka PMĮ 5 straipsnio 7–10 dalyse ir 30 straipsnio 1 ir 2</w:t>
      </w:r>
      <w:r w:rsidRPr="00CD5B51">
        <w:rPr>
          <w:iCs/>
          <w:color w:val="000000"/>
          <w:vertAlign w:val="superscript"/>
          <w:lang w:val="lt-LT"/>
        </w:rPr>
        <w:t>1</w:t>
      </w:r>
      <w:r w:rsidRPr="00CD5B51">
        <w:rPr>
          <w:iCs/>
          <w:color w:val="000000"/>
          <w:lang w:val="lt-LT"/>
        </w:rPr>
        <w:t xml:space="preserve"> dalyse nustatytas sąlygas (išskyrus PMĮ 5 straipsnio 7 dalyje nustatytą taikytiną pelno mokesčio tarifo dydį).</w:t>
      </w:r>
    </w:p>
    <w:p w14:paraId="753FDFEB" w14:textId="77777777" w:rsidR="00C24DD2" w:rsidRPr="00CD5B51" w:rsidRDefault="00C24DD2" w:rsidP="00C24DD2">
      <w:pPr>
        <w:ind w:firstLine="709"/>
        <w:jc w:val="both"/>
      </w:pPr>
      <w:r w:rsidRPr="00CD5B51">
        <w:t>19.  Vidutinis esančių darbuotojų skaičius apskaičiuojamas pagal 2002 m. gegužės 15 d. finansų ministro įsakymu Nr. 134 „Dėl Vidutinio metų sąrašinio darbuotojų skaičiaus apskaičiavimo taisyklių patvirtinimo“ patvirtintas taisykles. Lengvatos taikymo tikslais imamas vidutinis darbuotojų, reikalingų stambiam projektui Lietuvos Respublikoje įgyvendinti, skaičius.</w:t>
      </w:r>
    </w:p>
    <w:p w14:paraId="2E7E40DE" w14:textId="77777777" w:rsidR="00C24DD2" w:rsidRPr="00CD5B51" w:rsidRDefault="00C24DD2" w:rsidP="00C24DD2">
      <w:pPr>
        <w:ind w:firstLine="567"/>
        <w:jc w:val="both"/>
      </w:pPr>
      <w:r w:rsidRPr="00CD5B51">
        <w:t>Komentuojamojo straipsnio taikymo prasme, pagal Investicijų įstatymo įtvirtintą stambaus projekto sampratą bei tikslus, stambus projektas yra siejamas su stambių investicijų pritraukimu tam tikrose veiklos srityse bei naujų darbo vietų sukūrimu Lietuvoje, todėl PMĮ 58 straipsnio 16</w:t>
      </w:r>
      <w:r w:rsidRPr="00CD5B51">
        <w:rPr>
          <w:vertAlign w:val="superscript"/>
        </w:rPr>
        <w:t>3</w:t>
      </w:r>
      <w:r w:rsidRPr="00CD5B51">
        <w:t xml:space="preserve"> dalyje įtvirtinta sąlyga dėl darbuotojų, reikalingų stambiam projektui Lietuvos Respublikoje įgyvendinti, skaičiaus (mokestiniais metais ne mažesnio kaip 150 (Vilniuje – ne mažesnis kaip 200) (Investicijų įstatymo 2 straipsnio 25 dalies 1 punktas) arba </w:t>
      </w:r>
      <w:r w:rsidRPr="00CD5B51">
        <w:rPr>
          <w:iCs/>
          <w:color w:val="000000"/>
        </w:rPr>
        <w:t>sukurta Lietuvos Respublikoje nuo 20 iki 149, o kai investuojama Vilniuje – nuo 20 iki 199 naujų darbo vietų (Investicijų įstatymo 2 straipsnio 25 dalies 2 punktas)</w:t>
      </w:r>
      <w:r w:rsidRPr="00CD5B51">
        <w:t>) reiškia būtent naujų darbo vietų sukūrimą, įgyvendinant konkretų stambų projektą.</w:t>
      </w:r>
    </w:p>
    <w:p w14:paraId="3C8B6049" w14:textId="77777777" w:rsidR="00C24DD2" w:rsidRPr="00CD5B51" w:rsidRDefault="00C24DD2" w:rsidP="00C24DD2">
      <w:pPr>
        <w:ind w:firstLine="567"/>
        <w:jc w:val="both"/>
      </w:pPr>
      <w:r w:rsidRPr="00CD5B51">
        <w:t>20. Komentuojamojo straipsnio taikymo prasme, vadovaujantis Investicijų įstatymo nuostatomis, privačios kapitalo investicijos – tai Lietuvos Respublikos ir užsienio privačios nuosavybės teisės subjektų investicijos, kurios pagal investavimo objektą priskiriamos kapitalo investicijoms, t. y. investicijos ilgalaikiam materialiajam ir nematerialiajam turtui sukurti, įsigyti arba jo vertei padidinti (Investicijų įstatymo 3 straipsnio 3 ir 4 dalys). Investicijų įstatymas nenustato apribojimų, ar investuotojas gali investuoti į ilgalaikį turtą įsigytą už nuosavas ar už skolintas lėšas. Todėl, nustatant kapitalo investicijos vertę, į ją įtraukiamas turtas, įsigytas tiek už nuosavas, tiek už skolintas lėšas, tiek pagal pirkimo išsimokėtinai sutartis (įskaitant ir lizingo būdu įsigytą turtą).</w:t>
      </w:r>
    </w:p>
    <w:p w14:paraId="49F9AFFA" w14:textId="77777777" w:rsidR="00C24DD2" w:rsidRPr="00CD5B51" w:rsidRDefault="00C24DD2" w:rsidP="00C24DD2">
      <w:pPr>
        <w:ind w:firstLine="567"/>
        <w:jc w:val="both"/>
      </w:pPr>
      <w:r w:rsidRPr="00CD5B51">
        <w:t xml:space="preserve">Atkreiptinas dėmesys, kad kapitalo investicija laikomas juridinio asmens įsigytas ar pačio pasigamintas (pasistatytas) turtas. Turto vertės padidėjimas dėl perkainojimo (įvertinimo pagal tikrąją vertę) nelaikomas kapitalo investicija. </w:t>
      </w:r>
    </w:p>
    <w:p w14:paraId="0AE0F366" w14:textId="77777777" w:rsidR="00C24DD2" w:rsidRPr="00CD5B51" w:rsidRDefault="00C24DD2" w:rsidP="00C24DD2">
      <w:pPr>
        <w:ind w:firstLine="567"/>
        <w:jc w:val="both"/>
        <w:rPr>
          <w:lang w:eastAsia="lt-LT"/>
        </w:rPr>
      </w:pPr>
      <w:r w:rsidRPr="00CD5B51">
        <w:rPr>
          <w:lang w:eastAsia="lt-LT"/>
        </w:rPr>
        <w:t>Tuo</w:t>
      </w:r>
      <w:r w:rsidRPr="00CD5B51">
        <w:rPr>
          <w:i/>
          <w:iCs/>
          <w:lang w:eastAsia="lt-LT"/>
        </w:rPr>
        <w:t xml:space="preserve"> </w:t>
      </w:r>
      <w:r w:rsidRPr="00CD5B51">
        <w:rPr>
          <w:lang w:eastAsia="lt-LT"/>
        </w:rPr>
        <w:t>atveju,</w:t>
      </w:r>
      <w:r w:rsidRPr="00CD5B51">
        <w:rPr>
          <w:i/>
          <w:iCs/>
          <w:lang w:eastAsia="lt-LT"/>
        </w:rPr>
        <w:t xml:space="preserve"> </w:t>
      </w:r>
      <w:r w:rsidRPr="00CD5B51">
        <w:rPr>
          <w:lang w:eastAsia="lt-LT"/>
        </w:rPr>
        <w:t>kai juridinis asmuo įsigyja</w:t>
      </w:r>
      <w:r w:rsidRPr="00CD5B51">
        <w:rPr>
          <w:i/>
          <w:iCs/>
          <w:lang w:eastAsia="lt-LT"/>
        </w:rPr>
        <w:t xml:space="preserve"> </w:t>
      </w:r>
      <w:r w:rsidRPr="00CD5B51">
        <w:rPr>
          <w:lang w:eastAsia="lt-LT"/>
        </w:rPr>
        <w:t>turtą</w:t>
      </w:r>
      <w:r w:rsidRPr="00CD5B51">
        <w:rPr>
          <w:i/>
          <w:iCs/>
          <w:lang w:eastAsia="lt-LT"/>
        </w:rPr>
        <w:t xml:space="preserve"> </w:t>
      </w:r>
      <w:r w:rsidRPr="00CD5B51">
        <w:rPr>
          <w:lang w:eastAsia="lt-LT"/>
        </w:rPr>
        <w:t>lizingo</w:t>
      </w:r>
      <w:r w:rsidRPr="00CD5B51">
        <w:rPr>
          <w:i/>
          <w:iCs/>
          <w:lang w:eastAsia="lt-LT"/>
        </w:rPr>
        <w:t xml:space="preserve"> </w:t>
      </w:r>
      <w:r w:rsidRPr="00CD5B51">
        <w:rPr>
          <w:lang w:eastAsia="lt-LT"/>
        </w:rPr>
        <w:t>būdu,</w:t>
      </w:r>
      <w:r w:rsidRPr="00CD5B51">
        <w:rPr>
          <w:i/>
          <w:iCs/>
          <w:lang w:eastAsia="lt-LT"/>
        </w:rPr>
        <w:t xml:space="preserve"> </w:t>
      </w:r>
      <w:r w:rsidRPr="00CD5B51">
        <w:rPr>
          <w:lang w:eastAsia="lt-LT"/>
        </w:rPr>
        <w:t>nustatant</w:t>
      </w:r>
      <w:r w:rsidRPr="00CD5B51">
        <w:rPr>
          <w:i/>
          <w:iCs/>
          <w:lang w:eastAsia="lt-LT"/>
        </w:rPr>
        <w:t xml:space="preserve"> </w:t>
      </w:r>
      <w:r w:rsidRPr="00CD5B51">
        <w:rPr>
          <w:lang w:eastAsia="lt-LT"/>
        </w:rPr>
        <w:t>kapitalo</w:t>
      </w:r>
      <w:r w:rsidRPr="00CD5B51">
        <w:rPr>
          <w:i/>
          <w:iCs/>
          <w:lang w:eastAsia="lt-LT"/>
        </w:rPr>
        <w:t xml:space="preserve"> </w:t>
      </w:r>
      <w:r w:rsidRPr="00CD5B51">
        <w:rPr>
          <w:lang w:eastAsia="lt-LT"/>
        </w:rPr>
        <w:t>investiciją,</w:t>
      </w:r>
      <w:r w:rsidRPr="00CD5B51">
        <w:rPr>
          <w:i/>
          <w:iCs/>
          <w:lang w:eastAsia="lt-LT"/>
        </w:rPr>
        <w:t xml:space="preserve"> </w:t>
      </w:r>
      <w:r w:rsidRPr="00CD5B51">
        <w:rPr>
          <w:lang w:eastAsia="lt-LT"/>
        </w:rPr>
        <w:t>į</w:t>
      </w:r>
      <w:r w:rsidRPr="00CD5B51">
        <w:rPr>
          <w:i/>
          <w:iCs/>
          <w:lang w:eastAsia="lt-LT"/>
        </w:rPr>
        <w:t xml:space="preserve"> </w:t>
      </w:r>
      <w:r w:rsidRPr="00CD5B51">
        <w:rPr>
          <w:lang w:eastAsia="lt-LT"/>
        </w:rPr>
        <w:t>jos</w:t>
      </w:r>
      <w:r w:rsidRPr="00CD5B51">
        <w:rPr>
          <w:i/>
          <w:iCs/>
          <w:lang w:eastAsia="lt-LT"/>
        </w:rPr>
        <w:t xml:space="preserve"> </w:t>
      </w:r>
      <w:r w:rsidRPr="00CD5B51">
        <w:rPr>
          <w:lang w:eastAsia="lt-LT"/>
        </w:rPr>
        <w:t>vertę</w:t>
      </w:r>
      <w:r w:rsidRPr="00CD5B51">
        <w:rPr>
          <w:i/>
          <w:iCs/>
          <w:lang w:eastAsia="lt-LT"/>
        </w:rPr>
        <w:t xml:space="preserve"> </w:t>
      </w:r>
      <w:r w:rsidRPr="00CD5B51">
        <w:rPr>
          <w:lang w:eastAsia="lt-LT"/>
        </w:rPr>
        <w:t>įtraukiama</w:t>
      </w:r>
      <w:r w:rsidRPr="00CD5B51">
        <w:rPr>
          <w:i/>
          <w:iCs/>
          <w:lang w:eastAsia="lt-LT"/>
        </w:rPr>
        <w:t xml:space="preserve"> </w:t>
      </w:r>
      <w:r w:rsidRPr="00CD5B51">
        <w:rPr>
          <w:lang w:eastAsia="lt-LT"/>
        </w:rPr>
        <w:t>visa</w:t>
      </w:r>
      <w:r w:rsidRPr="00CD5B51">
        <w:rPr>
          <w:i/>
          <w:iCs/>
          <w:lang w:eastAsia="lt-LT"/>
        </w:rPr>
        <w:t xml:space="preserve"> </w:t>
      </w:r>
      <w:r w:rsidRPr="00CD5B51">
        <w:rPr>
          <w:lang w:eastAsia="lt-LT"/>
        </w:rPr>
        <w:t>ilgalaikio</w:t>
      </w:r>
      <w:r w:rsidRPr="00CD5B51">
        <w:rPr>
          <w:i/>
          <w:iCs/>
          <w:lang w:eastAsia="lt-LT"/>
        </w:rPr>
        <w:t xml:space="preserve"> </w:t>
      </w:r>
      <w:r w:rsidRPr="00CD5B51">
        <w:rPr>
          <w:lang w:eastAsia="lt-LT"/>
        </w:rPr>
        <w:t>turto</w:t>
      </w:r>
      <w:r w:rsidRPr="00CD5B51">
        <w:rPr>
          <w:i/>
          <w:iCs/>
          <w:lang w:eastAsia="lt-LT"/>
        </w:rPr>
        <w:t xml:space="preserve"> </w:t>
      </w:r>
      <w:r w:rsidRPr="00CD5B51">
        <w:rPr>
          <w:lang w:eastAsia="lt-LT"/>
        </w:rPr>
        <w:t>įsigijimo</w:t>
      </w:r>
      <w:r w:rsidRPr="00CD5B51">
        <w:rPr>
          <w:i/>
          <w:iCs/>
          <w:lang w:eastAsia="lt-LT"/>
        </w:rPr>
        <w:t xml:space="preserve"> </w:t>
      </w:r>
      <w:r w:rsidRPr="00CD5B51">
        <w:rPr>
          <w:lang w:eastAsia="lt-LT"/>
        </w:rPr>
        <w:t>vertė (būtina sąlyga, kad</w:t>
      </w:r>
      <w:r w:rsidRPr="00CD5B51">
        <w:rPr>
          <w:u w:val="single"/>
          <w:lang w:eastAsia="lt-LT"/>
        </w:rPr>
        <w:t xml:space="preserve"> </w:t>
      </w:r>
      <w:r w:rsidRPr="00CD5B51">
        <w:rPr>
          <w:lang w:eastAsia="lt-LT"/>
        </w:rPr>
        <w:t>lizingo</w:t>
      </w:r>
      <w:r w:rsidRPr="00CD5B51">
        <w:rPr>
          <w:i/>
          <w:iCs/>
          <w:lang w:eastAsia="lt-LT"/>
        </w:rPr>
        <w:t xml:space="preserve"> </w:t>
      </w:r>
      <w:r w:rsidRPr="00CD5B51">
        <w:rPr>
          <w:lang w:eastAsia="lt-LT"/>
        </w:rPr>
        <w:t>laikotarpio</w:t>
      </w:r>
      <w:r w:rsidRPr="00CD5B51">
        <w:rPr>
          <w:i/>
          <w:iCs/>
          <w:lang w:eastAsia="lt-LT"/>
        </w:rPr>
        <w:t xml:space="preserve"> </w:t>
      </w:r>
      <w:r w:rsidRPr="00CD5B51">
        <w:rPr>
          <w:lang w:eastAsia="lt-LT"/>
        </w:rPr>
        <w:t>pabaigoje</w:t>
      </w:r>
      <w:r w:rsidRPr="00CD5B51">
        <w:rPr>
          <w:i/>
          <w:iCs/>
          <w:lang w:eastAsia="lt-LT"/>
        </w:rPr>
        <w:t xml:space="preserve"> </w:t>
      </w:r>
      <w:r w:rsidRPr="00CD5B51">
        <w:rPr>
          <w:lang w:eastAsia="lt-LT"/>
        </w:rPr>
        <w:t>nuosavybės</w:t>
      </w:r>
      <w:r w:rsidRPr="00CD5B51">
        <w:rPr>
          <w:i/>
          <w:iCs/>
          <w:lang w:eastAsia="lt-LT"/>
        </w:rPr>
        <w:t xml:space="preserve"> </w:t>
      </w:r>
      <w:r w:rsidRPr="00CD5B51">
        <w:rPr>
          <w:lang w:eastAsia="lt-LT"/>
        </w:rPr>
        <w:t>teisė</w:t>
      </w:r>
      <w:r w:rsidRPr="00CD5B51">
        <w:rPr>
          <w:i/>
          <w:iCs/>
          <w:lang w:eastAsia="lt-LT"/>
        </w:rPr>
        <w:t xml:space="preserve"> </w:t>
      </w:r>
      <w:r w:rsidRPr="00CD5B51">
        <w:rPr>
          <w:lang w:eastAsia="lt-LT"/>
        </w:rPr>
        <w:t>į</w:t>
      </w:r>
      <w:r w:rsidRPr="00CD5B51">
        <w:rPr>
          <w:i/>
          <w:iCs/>
          <w:lang w:eastAsia="lt-LT"/>
        </w:rPr>
        <w:t xml:space="preserve"> </w:t>
      </w:r>
      <w:r w:rsidRPr="00CD5B51">
        <w:rPr>
          <w:lang w:eastAsia="lt-LT"/>
        </w:rPr>
        <w:t>turtą</w:t>
      </w:r>
      <w:r w:rsidRPr="00CD5B51">
        <w:rPr>
          <w:i/>
          <w:iCs/>
          <w:lang w:eastAsia="lt-LT"/>
        </w:rPr>
        <w:t xml:space="preserve"> </w:t>
      </w:r>
      <w:r w:rsidRPr="00CD5B51">
        <w:rPr>
          <w:lang w:eastAsia="lt-LT"/>
        </w:rPr>
        <w:t>pereina</w:t>
      </w:r>
      <w:r w:rsidRPr="00CD5B51">
        <w:rPr>
          <w:i/>
          <w:iCs/>
          <w:lang w:eastAsia="lt-LT"/>
        </w:rPr>
        <w:t xml:space="preserve"> </w:t>
      </w:r>
      <w:r w:rsidRPr="00CD5B51">
        <w:rPr>
          <w:lang w:eastAsia="lt-LT"/>
        </w:rPr>
        <w:t>lizingo</w:t>
      </w:r>
      <w:r w:rsidRPr="00CD5B51">
        <w:rPr>
          <w:i/>
          <w:iCs/>
          <w:lang w:eastAsia="lt-LT"/>
        </w:rPr>
        <w:t xml:space="preserve"> </w:t>
      </w:r>
      <w:r w:rsidRPr="00CD5B51">
        <w:rPr>
          <w:lang w:eastAsia="lt-LT"/>
        </w:rPr>
        <w:t xml:space="preserve">gavėjui). </w:t>
      </w:r>
    </w:p>
    <w:p w14:paraId="72E640E8" w14:textId="77777777" w:rsidR="00C24DD2" w:rsidRPr="00CD5B51" w:rsidRDefault="00C24DD2" w:rsidP="00C24DD2">
      <w:pPr>
        <w:ind w:firstLine="709"/>
        <w:jc w:val="both"/>
        <w:rPr>
          <w:lang w:eastAsia="lt-LT"/>
        </w:rPr>
      </w:pPr>
      <w:r w:rsidRPr="00CD5B51">
        <w:rPr>
          <w:lang w:eastAsia="lt-LT"/>
        </w:rPr>
        <w:t xml:space="preserve">Komentuojamojo straipsnio taikymo prasme, kapitalo investicijų, kurias atlikus gali būti taikoma lengvata, dydis nustatomas pagal Lietuvos Respublikos Vyriausybės </w:t>
      </w:r>
      <w:r w:rsidRPr="00CD5B51">
        <w:rPr>
          <w:iCs/>
          <w:lang w:eastAsia="lt-LT"/>
        </w:rPr>
        <w:t>2021-04-28</w:t>
      </w:r>
      <w:r w:rsidRPr="00CD5B51">
        <w:rPr>
          <w:lang w:eastAsia="lt-LT"/>
        </w:rPr>
        <w:t xml:space="preserve"> nutarimu </w:t>
      </w:r>
      <w:r w:rsidRPr="00CD5B51">
        <w:rPr>
          <w:iCs/>
          <w:lang w:eastAsia="lt-LT"/>
        </w:rPr>
        <w:t>Nr. 313</w:t>
      </w:r>
      <w:r w:rsidRPr="00CD5B51">
        <w:rPr>
          <w:lang w:eastAsia="lt-LT"/>
        </w:rPr>
        <w:t xml:space="preserve"> „Dėl Lietuvos Respublikos investicijų įstatymo 15</w:t>
      </w:r>
      <w:r w:rsidRPr="00CD5B51">
        <w:rPr>
          <w:vertAlign w:val="superscript"/>
          <w:lang w:eastAsia="lt-LT"/>
        </w:rPr>
        <w:t>4</w:t>
      </w:r>
      <w:r w:rsidRPr="00CD5B51">
        <w:rPr>
          <w:lang w:eastAsia="lt-LT"/>
        </w:rPr>
        <w:t xml:space="preserve"> straipsnio, 15</w:t>
      </w:r>
      <w:r w:rsidRPr="00CD5B51">
        <w:rPr>
          <w:vertAlign w:val="superscript"/>
          <w:lang w:eastAsia="lt-LT"/>
        </w:rPr>
        <w:t>5</w:t>
      </w:r>
      <w:r w:rsidRPr="00CD5B51">
        <w:rPr>
          <w:lang w:eastAsia="lt-LT"/>
        </w:rPr>
        <w:t xml:space="preserve"> straipsnio, 15</w:t>
      </w:r>
      <w:r w:rsidRPr="00CD5B51">
        <w:rPr>
          <w:vertAlign w:val="superscript"/>
          <w:lang w:eastAsia="lt-LT"/>
        </w:rPr>
        <w:t>6</w:t>
      </w:r>
      <w:r w:rsidRPr="00CD5B51">
        <w:rPr>
          <w:lang w:eastAsia="lt-LT"/>
        </w:rPr>
        <w:t xml:space="preserve"> straipsnio  ir Lietuvos Respublikos pelno mokesčio įstatymo 58 straipsnio 16</w:t>
      </w:r>
      <w:r w:rsidRPr="00CD5B51">
        <w:rPr>
          <w:vertAlign w:val="superscript"/>
          <w:lang w:eastAsia="lt-LT"/>
        </w:rPr>
        <w:t>2</w:t>
      </w:r>
      <w:r w:rsidRPr="00CD5B51">
        <w:rPr>
          <w:lang w:eastAsia="lt-LT"/>
        </w:rPr>
        <w:t xml:space="preserve"> ir 16</w:t>
      </w:r>
      <w:r w:rsidRPr="00CD5B51">
        <w:rPr>
          <w:vertAlign w:val="superscript"/>
          <w:lang w:eastAsia="lt-LT"/>
        </w:rPr>
        <w:t>3</w:t>
      </w:r>
      <w:r w:rsidRPr="00CD5B51">
        <w:rPr>
          <w:lang w:eastAsia="lt-LT"/>
        </w:rPr>
        <w:t xml:space="preserve"> dalių įgyvendinimo“</w:t>
      </w:r>
      <w:r w:rsidRPr="00CD5B51">
        <w:rPr>
          <w:vertAlign w:val="superscript"/>
          <w:lang w:eastAsia="lt-LT"/>
        </w:rPr>
        <w:t xml:space="preserve"> </w:t>
      </w:r>
      <w:r w:rsidRPr="00CD5B51">
        <w:rPr>
          <w:lang w:eastAsia="lt-LT"/>
        </w:rPr>
        <w:t>patvirtintą tvarką.“</w:t>
      </w:r>
    </w:p>
    <w:p w14:paraId="0654EE9C" w14:textId="77777777" w:rsidR="00C24DD2" w:rsidRPr="00CD5B51" w:rsidRDefault="00C24DD2" w:rsidP="00C24DD2">
      <w:pPr>
        <w:ind w:firstLine="567"/>
        <w:jc w:val="both"/>
      </w:pPr>
      <w:r w:rsidRPr="00CD5B51">
        <w:t xml:space="preserve">Taikant lengvatą yra vertinama stambaus projekto vykdymui sukaupta kapitalo investicijų suma. </w:t>
      </w:r>
    </w:p>
    <w:p w14:paraId="03528090" w14:textId="77777777" w:rsidR="00C24DD2" w:rsidRPr="00CD5B51" w:rsidRDefault="00C24DD2" w:rsidP="00C24DD2">
      <w:pPr>
        <w:ind w:firstLine="567"/>
        <w:jc w:val="both"/>
      </w:pPr>
      <w:r w:rsidRPr="00CD5B51">
        <w:lastRenderedPageBreak/>
        <w:t>21. Šioje dalyje nustatyta lengvata gali būti taikoma tik tuo atveju, kai juridinis asmuo stambiam projektui įgyvendinti nesinaudoja PMĮ 58 str. 16 dalies 1 ir 2 punktuose arba 16</w:t>
      </w:r>
      <w:r w:rsidRPr="00CD5B51">
        <w:rPr>
          <w:vertAlign w:val="superscript"/>
        </w:rPr>
        <w:t>2</w:t>
      </w:r>
      <w:r w:rsidRPr="00CD5B51">
        <w:t xml:space="preserve"> dalyje nustatyta pelno mokesčio lengvata.</w:t>
      </w:r>
    </w:p>
    <w:p w14:paraId="0F1AB609" w14:textId="77777777" w:rsidR="00C24DD2" w:rsidRPr="00CD5B51" w:rsidRDefault="00C24DD2" w:rsidP="00C24DD2">
      <w:pPr>
        <w:ind w:firstLine="567"/>
        <w:jc w:val="both"/>
      </w:pPr>
      <w:r w:rsidRPr="00CD5B51">
        <w:t>22. Juridinis asmuo, įgyvendinantis stambų projektą, kuriam gautas Europos Komisijos pritarimas, pagal galiojančią stambaus projekto investicijų sutartį, nemoka pelno mokesčio tik nuo tų juridinio asmens pajamų, kurios gautos įgyvendinant stambų projektą. Juridinio asmens vykdoma stambaus projekto veikla identifikuojama stambaus projekto investicijų sutarties su Lietuvos Respublikos Vyriausybės įgaliota institucija sudarymo metu. Jeigu juridinis asmuo, įgyvendinantis stambų projektą pagal galiojančią stambaus projekto investicijų sutartį, gauna pajamų ne tik įgyvendinant stambų projektą pagal komentuojamojo straipsnio nuostatas, bet ir iš kitos juridinio asmens vykdomos veiklos, tai gautoms juridinio asmens kitos veiklos (neįskaitant pajamų, gautų vykdant stambų projektą) pajamoms netaikomos PMĮ 58 str. 16</w:t>
      </w:r>
      <w:r w:rsidRPr="00CD5B51">
        <w:rPr>
          <w:vertAlign w:val="superscript"/>
        </w:rPr>
        <w:t>3</w:t>
      </w:r>
      <w:r w:rsidRPr="00CD5B51">
        <w:t xml:space="preserve"> dalies nuostatos ir jos apmokestinamos PMĮ nustatyta tvarka.</w:t>
      </w:r>
    </w:p>
    <w:p w14:paraId="0EC620B6" w14:textId="77777777" w:rsidR="00C24DD2" w:rsidRPr="00CD5B51" w:rsidRDefault="00C24DD2" w:rsidP="00C24DD2">
      <w:pPr>
        <w:ind w:firstLine="567"/>
        <w:jc w:val="both"/>
      </w:pPr>
      <w:r w:rsidRPr="00CD5B51">
        <w:t>Pajamos iš duomenų apdorojimo, interneto serverių paslaugų (prieglobos) ir susijusios veiklos arba pajamos iš apdirbamosios gamybos turi sudaryti ne mažiau kaip 75 procentus atitinkamo mokestinio laikotarpio pajamų. Šioje dalyje įtvirtinta sąlyga yra laikoma atitinkanti PMĮ 58 str. 16</w:t>
      </w:r>
      <w:r w:rsidRPr="00CD5B51">
        <w:rPr>
          <w:vertAlign w:val="superscript"/>
        </w:rPr>
        <w:t>3</w:t>
      </w:r>
      <w:r w:rsidRPr="00CD5B51">
        <w:t xml:space="preserve"> nurodytą pajamų apribojimą, jeigu vienetas, įgyvendinantis stambų projektą, kuriam gautas Europos Komisijos pritarimas, ne mažiau kaip 75 procentus atitinkamo mokestinio laikotarpio pajamų gauna iš duomenų apdorojimo, interneto serverių paslaugų (prieglobos) ir susijusios veiklos arba pajamų iš apdirbamosios gamybos, t. y. vienetas, vykdydamas stambų projektą, iš vykdomos stambaus projekto veiklos, gali gauti iki 25 procentų šalutinės veiklos pajamų, ir toks vienetas bus laikomas atitinkančiu  PMĮ 58 str. 16</w:t>
      </w:r>
      <w:r w:rsidRPr="00CD5B51">
        <w:rPr>
          <w:vertAlign w:val="superscript"/>
        </w:rPr>
        <w:t>3</w:t>
      </w:r>
      <w:r w:rsidRPr="00CD5B51">
        <w:t xml:space="preserve"> dalyje nustatytą lengvatai taikomą pajamų ribą. </w:t>
      </w:r>
    </w:p>
    <w:p w14:paraId="61E19B64" w14:textId="77777777" w:rsidR="00C24DD2" w:rsidRPr="00CD5B51" w:rsidRDefault="00C24DD2" w:rsidP="00C24DD2">
      <w:pPr>
        <w:ind w:firstLine="567"/>
        <w:jc w:val="both"/>
      </w:pPr>
      <w:r w:rsidRPr="00CD5B51">
        <w:t>Juridinio asmens vykdoma veikla identifikuojama pagal Ekonominės veiklos rūšių klasifikatorių (EVRK 2.1 red.), patvirtintą Statistikos departamento prie Lietuvos Respublikos Vyriausybės generalinio direktoriaus 2007 m. spalio 31 d. įsakymu Nr. DĮ-226 „Dėl Ekonominės veiklos rūšių klasifikatoriaus patvirtinimo“.  Pagal Ekonominės veiklos rūšių klasifikacijos 2 redakciją – PMĮ 58 str. 16</w:t>
      </w:r>
      <w:r w:rsidRPr="00CD5B51">
        <w:rPr>
          <w:vertAlign w:val="superscript"/>
        </w:rPr>
        <w:t>3</w:t>
      </w:r>
      <w:r w:rsidRPr="00CD5B51">
        <w:t xml:space="preserve"> dalies kontekste vykdoma veikla turi būti priskirta:</w:t>
      </w:r>
    </w:p>
    <w:p w14:paraId="27132ACA" w14:textId="77777777" w:rsidR="00C24DD2" w:rsidRPr="00CD5B51" w:rsidRDefault="00C24DD2" w:rsidP="00C24DD2">
      <w:pPr>
        <w:ind w:firstLine="567"/>
        <w:jc w:val="both"/>
      </w:pPr>
      <w:r w:rsidRPr="00CD5B51">
        <w:t>- duomenų apdorojimo, interneto serverių paslaugų (prieglobos) ir susijusios veiklos (J sekcija, 63.11 veikla) arba</w:t>
      </w:r>
    </w:p>
    <w:p w14:paraId="255D4A98" w14:textId="77777777" w:rsidR="00C24DD2" w:rsidRPr="00CD5B51" w:rsidRDefault="00C24DD2" w:rsidP="00C24DD2">
      <w:pPr>
        <w:ind w:firstLine="567"/>
        <w:jc w:val="both"/>
      </w:pPr>
      <w:r w:rsidRPr="00CD5B51">
        <w:t>- apdirbamoji gamyba (C sekcija).</w:t>
      </w:r>
    </w:p>
    <w:p w14:paraId="07038070" w14:textId="77777777" w:rsidR="00C24DD2" w:rsidRPr="00CD5B51" w:rsidRDefault="00C24DD2" w:rsidP="00C24DD2">
      <w:pPr>
        <w:ind w:firstLine="720"/>
        <w:jc w:val="both"/>
        <w:rPr>
          <w:lang w:val="lt-LT"/>
        </w:rPr>
      </w:pPr>
      <w:r w:rsidRPr="00CD5B51">
        <w:t xml:space="preserve">23. </w:t>
      </w:r>
      <w:r w:rsidRPr="00CD5B51">
        <w:rPr>
          <w:lang w:val="lt-LT"/>
        </w:rPr>
        <w:t>Stambaus projekto vykdomos veiklos pajamoms, gautoms iš intelektinės nuosavybės turto naudojimo, lengvata netaikoma, išskyrus atvejus, kai šios pajamos atitinka PMĮ 5 straipsnio 7–10 dalyse ir 30 straipsnio 1 ir 2</w:t>
      </w:r>
      <w:r w:rsidRPr="00CD5B51">
        <w:rPr>
          <w:vertAlign w:val="superscript"/>
          <w:lang w:val="lt-LT"/>
        </w:rPr>
        <w:t>1</w:t>
      </w:r>
      <w:r w:rsidRPr="00CD5B51">
        <w:rPr>
          <w:lang w:val="lt-LT"/>
        </w:rPr>
        <w:t xml:space="preserve"> dalyse nustatytas sąlygas (išskyrus PMĮ 5 straipsnio 7 dalyje nustatytą taikytiną pelno mokesčio tarifo dydį). </w:t>
      </w:r>
    </w:p>
    <w:p w14:paraId="2C630CA6" w14:textId="77777777" w:rsidR="00C24DD2" w:rsidRPr="00CD5B51" w:rsidRDefault="00C24DD2" w:rsidP="00C24DD2">
      <w:pPr>
        <w:ind w:firstLine="567"/>
        <w:jc w:val="both"/>
        <w:rPr>
          <w:lang w:val="lt-LT"/>
        </w:rPr>
      </w:pPr>
      <w:r w:rsidRPr="00CD5B51">
        <w:rPr>
          <w:lang w:val="lt-LT"/>
        </w:rPr>
        <w:t>Vadinasi, juridinis asmuo, įgyvendinantis stambų projektą ir gaunantis pajamų ne tik iš stambaus projekto vykdomos veiklos, bet ir iš stambaus projekto veiklos intelektinės nuosavybės turto naudojimo, šioje dalyje įtvirtinta lengvata gautoms pajamoms iš intelektinės nuosavybės turto naudojimo, įgyvendinant stambų projektą, galės pasinaudoti tik tokiu atveju, jeigu gautos pajamos iš stambaus projekto veiklos intelektinės nuosavybės turto naudojimo atitinka PMĮ 5 straipsnio 7–10 dalyse (žr. PMĮ 5 straipsnio 7-10 dalių komentarus) ir 30 straipsnio 1 ir 2</w:t>
      </w:r>
      <w:r w:rsidRPr="00CD5B51">
        <w:rPr>
          <w:vertAlign w:val="superscript"/>
          <w:lang w:val="lt-LT"/>
        </w:rPr>
        <w:t>1</w:t>
      </w:r>
      <w:r w:rsidRPr="00CD5B51">
        <w:rPr>
          <w:lang w:val="lt-LT"/>
        </w:rPr>
        <w:t xml:space="preserve"> dalyse (žr. PMĮ 30 straipsnio 1 ir 2</w:t>
      </w:r>
      <w:r w:rsidRPr="00CD5B51">
        <w:rPr>
          <w:vertAlign w:val="superscript"/>
          <w:lang w:val="lt-LT"/>
        </w:rPr>
        <w:t>1</w:t>
      </w:r>
      <w:r w:rsidRPr="00CD5B51">
        <w:rPr>
          <w:lang w:val="lt-LT"/>
        </w:rPr>
        <w:t xml:space="preserve">  dalių komentarus) nustatytas sąlygas, t. y., gautoms už intelektinės nuosavybės turto naudojimą pajamoms būtų taikytinas PMĮ 5 straipsnio 7 dalyje nustatytas pelno mokesčio tarifo dydis (žr. PMĮ 5 straipsnio 7 dalies komentarą).</w:t>
      </w:r>
    </w:p>
    <w:p w14:paraId="6EE90C7A" w14:textId="77777777" w:rsidR="00C24DD2" w:rsidRPr="00CD5B51" w:rsidRDefault="00C24DD2" w:rsidP="00C24DD2">
      <w:pPr>
        <w:ind w:firstLine="567"/>
        <w:jc w:val="both"/>
      </w:pPr>
      <w:r w:rsidRPr="00CD5B51">
        <w:t xml:space="preserve">24. Reikalaujamą juridinio asmens privačių kapitalo investicijų dydį turi patvirtinti auditoriaus išvada.  </w:t>
      </w:r>
    </w:p>
    <w:p w14:paraId="7D908BCB" w14:textId="77777777" w:rsidR="00C24DD2" w:rsidRPr="00CD5B51" w:rsidRDefault="00C24DD2" w:rsidP="00C24DD2">
      <w:pPr>
        <w:ind w:firstLine="567"/>
        <w:jc w:val="both"/>
      </w:pPr>
      <w:r w:rsidRPr="00CD5B51">
        <w:lastRenderedPageBreak/>
        <w:t xml:space="preserve">Auditoriaus išvadoje turi būti patvirtinamas pasiektas sudarytoms po 2025-11-01 stambaus projekto sutartims – 110 mln. EUR privačių kapitalo investicijų dydis. </w:t>
      </w:r>
    </w:p>
    <w:p w14:paraId="2D4FE51B" w14:textId="77777777" w:rsidR="00C24DD2" w:rsidRPr="00CD5B51" w:rsidRDefault="00C24DD2" w:rsidP="00C24DD2">
      <w:pPr>
        <w:ind w:firstLine="709"/>
        <w:jc w:val="both"/>
      </w:pPr>
      <w:r w:rsidRPr="00CD5B51">
        <w:t xml:space="preserve">25. Po 2025-11-01 pasirašius stambaus projekto investicijų sutartį gavus Europos Komisijos pritarimą, juridinis asmuo, įgyvendinantis stambų projektą pagal galiojančią stambaus projekto investicijų sutartį, kuriam taikoma šiame punkte nustatyta pelno mokesčio lengvata, nemoka pelno mokesčio ne ilgiau negu 20 mokestinių laikotarpių, pradedant tuo mokestiniu laikotarpiu, kurį buvo pasiekta 110 milijonų eurų investicijų suma ir juridinis asmuo tenkina visus kitus reikalavimus, nurodytus Investicijų įstatymo 2 straipsnio 25 dalies 1 arba 2 punkte. </w:t>
      </w:r>
    </w:p>
    <w:p w14:paraId="6D15081C" w14:textId="77777777" w:rsidR="00C24DD2" w:rsidRPr="00CD5B51" w:rsidRDefault="00C24DD2" w:rsidP="00C24DD2">
      <w:pPr>
        <w:ind w:firstLine="709"/>
        <w:jc w:val="both"/>
      </w:pPr>
      <w:r w:rsidRPr="00CD5B51">
        <w:t xml:space="preserve">25.1. Tuo atveju, jeigu nepasibaigus nustatytam lengvatos taikymo terminui juridinio asmens privačių kapitalo investicijų suma į stambų projektą sumažėja ir nebesiekia 110 mln. eurų, jei stambaus projekto sutartis sutartis sudaryta po 2025-11-01, sumos,  išskyrus ilgalaikio turto nusidėvėjimo arba amortizacijos sąnaudas, ir </w:t>
      </w:r>
      <w:r w:rsidRPr="00CD5B51">
        <w:rPr>
          <w:bCs/>
          <w:color w:val="000000"/>
        </w:rPr>
        <w:t xml:space="preserve">tais mokestiniais metais juridinis asmuo nebetenkina reikalavimo dėl vidutinio darbuotojų skaičiaus, reikalingo stambiam projektui įgyvendinti, nurodyto  Investicijų įstatymo 2 straipsnio 25 dalies 1 arba 2 punkte, lengvata tą mokestinį laikotarpį netaikoma </w:t>
      </w:r>
      <w:r w:rsidRPr="00CD5B51">
        <w:t xml:space="preserve">ir lengvatos taikymas atnaujinamas tą mokestinį laikotarpį, kurį juridinio asmens privačios kapitalo investicijos į stambų projektą vėl pasiekia 110 mln. eurų sumą, jei stambaus projekto sutartis sutartis sudaryta po 2025-11-01 ir </w:t>
      </w:r>
      <w:r w:rsidRPr="00CD5B51">
        <w:rPr>
          <w:bCs/>
          <w:color w:val="000000"/>
        </w:rPr>
        <w:t>pradedami tenkinti Investicijų įstatymo 2 straipsnio 25 dalies 1 arba 2 punktų reikalavimai dėl vidutinio darbuotojų skaičiaus, reikalingo stambiam projektui įgyvendinti</w:t>
      </w:r>
      <w:r w:rsidRPr="00CD5B51">
        <w:t>.</w:t>
      </w:r>
    </w:p>
    <w:p w14:paraId="5AE50910" w14:textId="77777777" w:rsidR="00C24DD2" w:rsidRPr="00CD5B51" w:rsidRDefault="00C24DD2" w:rsidP="00C24DD2">
      <w:pPr>
        <w:ind w:firstLine="709"/>
        <w:jc w:val="both"/>
        <w:rPr>
          <w:lang w:eastAsia="lt-LT"/>
        </w:rPr>
      </w:pPr>
      <w:r w:rsidRPr="00CD5B51">
        <w:rPr>
          <w:lang w:eastAsia="lt-LT"/>
        </w:rPr>
        <w:t xml:space="preserve">  Kapitalo investicijų sumažėjimu gali būti laikomi tokie atvejai: ilgalaikio materialaus ir nematerialaus turto pardavimas, sugadinto turto nurašymas, pavogto turto nurašymas, lizingo sutarties nutraukimas ir turto grąžinimas ir pan. Kai investuotas turtas nudėvimas ir šio turto vertė tampa mažesnė nei nustatyti reikalavimai, tai</w:t>
      </w:r>
      <w:r w:rsidRPr="00CD5B51">
        <w:rPr>
          <w:i/>
          <w:iCs/>
          <w:lang w:eastAsia="lt-LT"/>
        </w:rPr>
        <w:t xml:space="preserve"> </w:t>
      </w:r>
      <w:r w:rsidRPr="00CD5B51">
        <w:rPr>
          <w:lang w:eastAsia="lt-LT"/>
        </w:rPr>
        <w:t>nelaikoma</w:t>
      </w:r>
      <w:r w:rsidRPr="00CD5B51">
        <w:rPr>
          <w:i/>
          <w:iCs/>
          <w:lang w:eastAsia="lt-LT"/>
        </w:rPr>
        <w:t xml:space="preserve"> </w:t>
      </w:r>
      <w:r w:rsidRPr="00CD5B51">
        <w:rPr>
          <w:lang w:eastAsia="lt-LT"/>
        </w:rPr>
        <w:t>kapitalo</w:t>
      </w:r>
      <w:r w:rsidRPr="00CD5B51">
        <w:rPr>
          <w:i/>
          <w:iCs/>
          <w:lang w:eastAsia="lt-LT"/>
        </w:rPr>
        <w:t xml:space="preserve"> </w:t>
      </w:r>
      <w:r w:rsidRPr="00CD5B51">
        <w:rPr>
          <w:lang w:eastAsia="lt-LT"/>
        </w:rPr>
        <w:t>investicijų</w:t>
      </w:r>
      <w:r w:rsidRPr="00CD5B51">
        <w:rPr>
          <w:i/>
          <w:iCs/>
          <w:lang w:eastAsia="lt-LT"/>
        </w:rPr>
        <w:t xml:space="preserve"> </w:t>
      </w:r>
      <w:r w:rsidRPr="00CD5B51">
        <w:rPr>
          <w:lang w:eastAsia="lt-LT"/>
        </w:rPr>
        <w:t>sumažėjimu.</w:t>
      </w:r>
      <w:r w:rsidRPr="00CD5B51">
        <w:rPr>
          <w:i/>
          <w:iCs/>
          <w:lang w:eastAsia="lt-LT"/>
        </w:rPr>
        <w:t xml:space="preserve"> </w:t>
      </w:r>
    </w:p>
    <w:p w14:paraId="1F99A46C" w14:textId="77777777" w:rsidR="00C24DD2" w:rsidRPr="00CD5B51" w:rsidRDefault="00C24DD2" w:rsidP="00C24DD2">
      <w:pPr>
        <w:ind w:firstLine="709"/>
        <w:jc w:val="both"/>
      </w:pPr>
      <w:r w:rsidRPr="00CD5B51">
        <w:t xml:space="preserve">Pažymėtina, kad mokestiniai laikotarpiai, kuriais juridinis asmuo neturi teisės taikyti šios pelno mokesčio lengvatos, dėl privačių kapitalo investicijų sumos sumažėjimo (nebesiekia 110 milijonų eurų sumos, jei stambaus projekto sutartis sudaryta po 2025-11-01, išskyrus ilgalaikio turto nusidėvėjimo arba amortizacijos sąnaudas) ir / arba </w:t>
      </w:r>
      <w:r w:rsidRPr="00CD5B51">
        <w:rPr>
          <w:bCs/>
          <w:color w:val="000000"/>
        </w:rPr>
        <w:t xml:space="preserve">Investicijų įstatymo 2 straipsnio 25 dalies 1 arba 2 punktų reikalavimų netenkinimo dėl </w:t>
      </w:r>
      <w:r w:rsidRPr="00CD5B51">
        <w:t>vidutinio darbuotojų skaičiaus sumažėjimo, yra įskaičiuojami į PMĮ 58 str. 16</w:t>
      </w:r>
      <w:r w:rsidRPr="00CD5B51">
        <w:rPr>
          <w:vertAlign w:val="superscript"/>
        </w:rPr>
        <w:t>3</w:t>
      </w:r>
      <w:r w:rsidRPr="00CD5B51">
        <w:t xml:space="preserve"> dalyje nustatytus 20 metų pelno mokesčio lengvatos taikymo mokestinius laikotarpius, t. y. lengvatos taikymo 20 metų laikotarpis nėra sustabdomas. </w:t>
      </w:r>
    </w:p>
    <w:p w14:paraId="64459581" w14:textId="77777777" w:rsidR="00C24DD2" w:rsidRPr="00CD5B51" w:rsidRDefault="00C24DD2" w:rsidP="00C24DD2">
      <w:pPr>
        <w:ind w:firstLine="709"/>
        <w:jc w:val="both"/>
      </w:pPr>
      <w:r w:rsidRPr="00CD5B51">
        <w:t>Už mokestinius laikotarpius, kuriais juridinis asmuo, įgyvendinantis stambų projektą, neturėjo teisės taikyti pelno mokesčio lengvatos, pelno mokestis apskaičiuojamas bendra PMĮ nustatyta tvarka, taikant PMĮ 5 straipsnyje nustatytą mokesčio tarifą.</w:t>
      </w:r>
    </w:p>
    <w:p w14:paraId="5C8560A2" w14:textId="77777777" w:rsidR="00C24DD2" w:rsidRPr="00CD5B51" w:rsidRDefault="00C24DD2" w:rsidP="00C24DD2">
      <w:pPr>
        <w:ind w:firstLine="567"/>
        <w:jc w:val="both"/>
        <w:rPr>
          <w:lang w:val="lt-LT"/>
        </w:rPr>
      </w:pPr>
      <w:r w:rsidRPr="00CD5B51">
        <w:t xml:space="preserve">25.2. </w:t>
      </w:r>
      <w:r w:rsidRPr="00CD5B51">
        <w:rPr>
          <w:lang w:val="lt-LT"/>
        </w:rPr>
        <w:t>Jeigu juridinio asmens, įgyvendinančio stambų projektą, kuris naudojosi PMĮ 58 str. 16</w:t>
      </w:r>
      <w:r w:rsidRPr="00CD5B51">
        <w:rPr>
          <w:vertAlign w:val="superscript"/>
          <w:lang w:val="lt-LT"/>
        </w:rPr>
        <w:t xml:space="preserve">3 </w:t>
      </w:r>
      <w:r w:rsidRPr="00CD5B51">
        <w:rPr>
          <w:lang w:val="lt-LT"/>
        </w:rPr>
        <w:t>dalyje nustatyta pelno mokesčio lengvata, įgyvendinant stambų projektą gautos pajamos iš PMĮ 58 str. 16</w:t>
      </w:r>
      <w:r w:rsidRPr="00CD5B51">
        <w:rPr>
          <w:vertAlign w:val="superscript"/>
          <w:lang w:val="lt-LT"/>
        </w:rPr>
        <w:t>3</w:t>
      </w:r>
      <w:r w:rsidRPr="00CD5B51">
        <w:rPr>
          <w:lang w:val="lt-LT"/>
        </w:rPr>
        <w:t xml:space="preserve"> dalyje įvardintos vykdomos duomenų apdorojimo, interneto serverių paslaugų (prieglobos) ir susijusios veiklos arba pajamos iš apdirbamosios gamybos veiklos, taip pat pajamos gautos iš stambaus projekto intelektinės nuosavybės turto naudojimo, kai jos atitinka PMĮ 5 straipsnio 7–10 dalyse ir 30 straipsnio 1 ir 2</w:t>
      </w:r>
      <w:r w:rsidRPr="00CD5B51">
        <w:rPr>
          <w:vertAlign w:val="superscript"/>
          <w:lang w:val="lt-LT"/>
        </w:rPr>
        <w:t>1</w:t>
      </w:r>
      <w:r w:rsidRPr="00CD5B51">
        <w:rPr>
          <w:lang w:val="lt-LT"/>
        </w:rPr>
        <w:t xml:space="preserve"> dalyse nustatytas sąlygas, kuriuo nors mokestiniu laikotarpiu sudarė mažiau kaip 75 procentus visų pajamų iš stambaus projekto, lengvata netaikoma tą mokestinį laikotarpį, kurį juridinis asmuo, įgyvendinantis stambų projektą, neįvykdė šios sąlygos, ir gali būti vėl taikoma tą mokestinį laikotarpį, kurį juridinio asmens, įgyvendinančio stambų projektą,  įgyvendinant stambų projektą gautos pajamos iš vykdomos duomenų apdorojimo, interneto serverių paslaugų (prieglobos) ir susijusios veiklos arba pajamos iš apdirbamosios gamybos, taip pat pajamos gautos iš stambaus projekto intelektinės nuosavybės turto naudojimo, kai jos atitinka PMĮ 5 straipsnio 7–10 dalyse ir 30 straipsnio 1 ir 2</w:t>
      </w:r>
      <w:r w:rsidRPr="00CD5B51">
        <w:rPr>
          <w:vertAlign w:val="superscript"/>
          <w:lang w:val="lt-LT"/>
        </w:rPr>
        <w:t>1</w:t>
      </w:r>
      <w:r w:rsidRPr="00CD5B51">
        <w:rPr>
          <w:lang w:val="lt-LT"/>
        </w:rPr>
        <w:t xml:space="preserve"> dalyse nustatytas sąlygas sudarys ne mažiau kaip 75 procentus visų</w:t>
      </w:r>
      <w:r w:rsidRPr="00CD5B51">
        <w:rPr>
          <w:bCs/>
          <w:lang w:val="lt-LT"/>
        </w:rPr>
        <w:t xml:space="preserve"> </w:t>
      </w:r>
      <w:r w:rsidRPr="00CD5B51">
        <w:rPr>
          <w:lang w:val="lt-LT"/>
        </w:rPr>
        <w:t xml:space="preserve">pajamų iš stambaus projekto. Šiuo atveju mokestiniai laikotarpiai, kuriais juridinis asmuo, įgyvendinantis </w:t>
      </w:r>
      <w:r w:rsidRPr="00CD5B51">
        <w:rPr>
          <w:lang w:val="lt-LT"/>
        </w:rPr>
        <w:lastRenderedPageBreak/>
        <w:t xml:space="preserve">stambų projektą, neturėjo teisės taikyti pelno mokesčio lengvatos, yra įskaičiuojami į 20 metų pelno mokesčio lengvatos taikymo mokestinius laikotarpius, t. y. pelno mokesčio lengvata galima pasinaudoti ne daugiau kaip 20 metų, pradedant tuo mokestiniu laikotarpiu, kurį sudaryta stambaus projekto investicijų sutartis, jeigu tenkinamos visos komentuojamojo straipsnio dalyje nustatytos sąlygos, neatsižvelgiant į tai, kad 20 metų laikotarpiu vieną ar kelis mokestinius metus ši pelno mokesčio lengvata faktiškai nebūtų taikoma dėl lengvatos taikymui nustatytų reikalavimų netenkinimo.  </w:t>
      </w:r>
    </w:p>
    <w:p w14:paraId="03D920D7" w14:textId="77777777" w:rsidR="00C24DD2" w:rsidRPr="00CD5B51" w:rsidRDefault="00C24DD2" w:rsidP="00C24DD2">
      <w:pPr>
        <w:ind w:firstLine="709"/>
        <w:jc w:val="both"/>
        <w:rPr>
          <w:lang w:val="lt-LT"/>
        </w:rPr>
      </w:pPr>
      <w:r w:rsidRPr="00CD5B51">
        <w:rPr>
          <w:lang w:val="lt-LT"/>
        </w:rPr>
        <w:t xml:space="preserve">Komentuojamosios dalies apimtyje, </w:t>
      </w:r>
      <w:r w:rsidRPr="00CD5B51">
        <w:rPr>
          <w:bCs/>
          <w:lang w:val="lt-LT"/>
        </w:rPr>
        <w:t xml:space="preserve">t. y. tik stambaus projekto pajamų ir sąnaudų apmokestinimo taikymo kontekste, </w:t>
      </w:r>
      <w:r w:rsidRPr="00CD5B51">
        <w:rPr>
          <w:lang w:val="lt-LT"/>
        </w:rPr>
        <w:t>už mokestinius laikotarpius, kuriais juridinis asmuo, įgyvendinantis stambų projektą, neturėjo teisės taikyti pelno mokesčio lengvatos, pelno mokestis apskaičiuojamas bendra PMĮ nustatyta tvarka, taikant PMĮ 5 straipsnyje nustatytą mokesčio tarifą.</w:t>
      </w:r>
    </w:p>
    <w:p w14:paraId="3BCD807E" w14:textId="77777777" w:rsidR="00C24DD2" w:rsidRPr="00CD5B51" w:rsidRDefault="00C24DD2" w:rsidP="00C24DD2">
      <w:pPr>
        <w:ind w:firstLine="709"/>
        <w:jc w:val="both"/>
      </w:pPr>
      <w:r w:rsidRPr="00CD5B51">
        <w:t>25.3. Tuo atveju, kai juridinis asmuo, įgyvendinantis stambų projektą, atitinka visus PMĮ 58 str. 16</w:t>
      </w:r>
      <w:r w:rsidRPr="00CD5B51">
        <w:rPr>
          <w:vertAlign w:val="superscript"/>
        </w:rPr>
        <w:t>3</w:t>
      </w:r>
      <w:r w:rsidRPr="00CD5B51">
        <w:t xml:space="preserve"> dalyje įtvirtintus kriterijus, bet patiria mokestinius nuostolius, tai mokestiniai laikotarpiai, kuriais yra patirti nuostoliai, yra įskaičiuojami į 20 metų pelno mokesčio lengvatos taikymo laikotarpį, t.  y. lengvatos taikymo 20 metų laikotarpis nėra sustabdomas.</w:t>
      </w:r>
    </w:p>
    <w:p w14:paraId="55C737F1" w14:textId="77777777" w:rsidR="00C24DD2" w:rsidRPr="00CD5B51" w:rsidRDefault="00C24DD2" w:rsidP="00C24DD2">
      <w:pPr>
        <w:ind w:firstLine="709"/>
        <w:jc w:val="both"/>
      </w:pPr>
      <w:r w:rsidRPr="00CD5B51">
        <w:t xml:space="preserve">26. Juridinis asmuo, įgyvendinantis stambų projektą ir atitinkantis visus komentuojamoje dalyje įtvirtintus kriterijus, metines pelno mokesčio deklaracijas teikia bendra PMĮ nustatyta tvarka. </w:t>
      </w:r>
    </w:p>
    <w:p w14:paraId="56B9EE0B" w14:textId="77777777" w:rsidR="00C24DD2" w:rsidRPr="00CD5B51" w:rsidRDefault="00C24DD2" w:rsidP="00C24DD2">
      <w:pPr>
        <w:ind w:firstLine="709"/>
        <w:jc w:val="both"/>
      </w:pPr>
      <w:r w:rsidRPr="00CD5B51">
        <w:t xml:space="preserve">Pelno mokesčio apskaičiavimo tikslais, pildydamas metinę pelno mokesčio deklaraciją, juridinis asmuo, įgyvendinantis stambų projektą, apskaičiuodamas ir metinėje pelno mokesčio deklaracijoje deklaruodamas vykdomos veiklos rezultatus, turi atskirai nurodyti (išskirti) pajamas, gautas iš stambaus projekto vykdomos veiklos, nes tik iš stambaus projekto gautoms pajamoms gali būti taikoma komentuojamosios dalies lengvata.  Kitos vykdomos veiklos (ne stambaus projekto veiklos) apmokestinamasis pelnas apskaičiuojamas bendra PMĮ nustatyta tvarka.  </w:t>
      </w:r>
    </w:p>
    <w:p w14:paraId="35EDFF80" w14:textId="77777777" w:rsidR="00C24DD2" w:rsidRPr="00CD5B51" w:rsidRDefault="00C24DD2" w:rsidP="00C24DD2">
      <w:pPr>
        <w:ind w:firstLine="709"/>
        <w:jc w:val="both"/>
      </w:pPr>
      <w:r w:rsidRPr="00CD5B51">
        <w:t>Vadinasi, tais mokestiniais laikotarpiais, kai juridinis asmuo pasinaudos lengvata, įtvirtinta PMĮ 58 straipsnio 16</w:t>
      </w:r>
      <w:r w:rsidRPr="00CD5B51">
        <w:rPr>
          <w:vertAlign w:val="superscript"/>
        </w:rPr>
        <w:t>3</w:t>
      </w:r>
      <w:r w:rsidRPr="00CD5B51">
        <w:t xml:space="preserve"> dalyje, ir nuo gautų pajamų iš vykdomo stambaus projekto nemokės pelno mokesčio, tai to laikotarpio sąnaudos, susijusios su iš stambaus projekto įgyvendinimo gautomis pajamomis ir apskaičiuotos pagal PMĮ nuostatas, taip pat bus priskiriamos sąnaudoms, susijusioms su stambaus projekto įgyvendinimu ir, atsižvelgiant į tai, kad nuo šių pajamų nemokamas pelno mokestis, stambaus projekto vykdomos veiklos sąnaudos neturės įtakos apskaičiuojant kitos, nesusijusios su stambaus projekto įgyvendinimu,  vykdomos veiklos rezultatą.</w:t>
      </w:r>
    </w:p>
    <w:p w14:paraId="066FB3BC" w14:textId="77777777" w:rsidR="00C24DD2" w:rsidRPr="00CD5B51" w:rsidRDefault="00C24DD2" w:rsidP="00C24DD2">
      <w:pPr>
        <w:ind w:firstLine="709"/>
        <w:jc w:val="both"/>
        <w:rPr>
          <w:lang w:eastAsia="lt-LT"/>
        </w:rPr>
      </w:pPr>
      <w:r w:rsidRPr="00CD5B51">
        <w:rPr>
          <w:lang w:eastAsia="lt-LT"/>
        </w:rPr>
        <w:t>Jeigu juridinis asmuo, įgyvendinantis stambų projektą, iš šios veiklos apskaičiuoja nuostolius, tai, apskaičiuojant apmokestinamąjį pelną, šie nuostoliai negali būti atskaitomi iš kitos veiklos (ne stambaus projekto) mokestinio laikotarpio apmokestinamųjų pajamų ir negali būti perkeliami į kitus mokestinius laikotarpius. Pelno mokesčio įstatymas nenumato nuostolių iš veiklos, susijusios su stambaus projekto įgyvendinimu, sudengimo galimybės su kitos arba analogiškos veiklos, nesusijusios su stambaus projekto įgyvendinimu, pelnu, nes lengvata taikoma tik pajamoms, kurios gautos įgyvendinant stambų projektą, todėl sudarius tokią nuostolių dengimo galimybę, lengvata būtų faktiškai pritaikyta kitoms, su stambaus projekto įgyvendinimu nesusijusioms įmonės pajamoms.</w:t>
      </w:r>
    </w:p>
    <w:p w14:paraId="064EEBCC" w14:textId="77777777" w:rsidR="00C24DD2" w:rsidRPr="00CD5B51" w:rsidRDefault="00C24DD2" w:rsidP="00C24DD2">
      <w:pPr>
        <w:ind w:firstLine="709"/>
        <w:jc w:val="both"/>
      </w:pPr>
      <w:r w:rsidRPr="00CD5B51">
        <w:t xml:space="preserve">Už mokestinius laikotarpius, kuriais juridinis asmuo, įgyvendinantis stambų projektą, neturės teisės taikyti pelno mokesčio lengvatos, juridinio asmens apskaičiuotam apmokestinamajam pelnui taikoma bendra PMĮ nustatyta apmokestinimo tvarka, taikant PMĮ 5 straipsnyje nustatytą mokesčio tarifą. Tais mokestiniais laikotarpiais, kuriais juridinis asmuo neturės teisės taikyti šios pelno mokesčio lengvatos, dėl privačių kapitalo investicijų sumos sumažėjimo ir / arba vidutinio darbuotojų skaičiaus sumažėjimo, ir / arba dėl pajamų sąlygos neatitikimo, jis pelno mokestį turės apskaičiuoti PMĮ nustatyta tvarka ir visas gautas pajamas, susijusias su stambaus projekto įgyvendinimu, turės deklaruoti kaip gautas veiklos pajamas, o sąnaudas, susijusias su stambaus projekto įgyvendinimu, </w:t>
      </w:r>
      <w:r w:rsidRPr="00CD5B51">
        <w:lastRenderedPageBreak/>
        <w:t>galės priskirti įprastinėms sąnaudoms, jei jos priskiriamos leidžiamiems atskaitymams pagal PMĮ 17 straipsnio 1 dalies nuostatas. Apskaičiuojant apmokestinamąjį pelną, tais laikotarpiais, kai juridinis asmuo, įgyvendinantis stambų projektą, neturės teisės taikyti pelno mokesčio lengvatos, jis gali pasinaudoti visomis PMĮ įtvirtintomis lengvatomis, pvz., PMĮ 46</w:t>
      </w:r>
      <w:r w:rsidRPr="00CD5B51">
        <w:rPr>
          <w:vertAlign w:val="superscript"/>
        </w:rPr>
        <w:t>1</w:t>
      </w:r>
      <w:r w:rsidRPr="00CD5B51">
        <w:t xml:space="preserve"> straipsnyje numatytu apmokestinamojo pelno sumažinimu dėl vykdomo investicinio projekto (nuo 2018 m. yra galimybė susimažinti iki 100 proc. apmokestinamojo pelno) ir kt. (žr. stambaus projekto lengvatos taikymo bei apskaičiavimo pavyzdžius, pateiktus PMĮ 58 str. 16</w:t>
      </w:r>
      <w:r w:rsidRPr="00CD5B51">
        <w:rPr>
          <w:vertAlign w:val="superscript"/>
        </w:rPr>
        <w:t xml:space="preserve">2 </w:t>
      </w:r>
      <w:r w:rsidRPr="00CD5B51">
        <w:t xml:space="preserve">dalyje). </w:t>
      </w:r>
    </w:p>
    <w:p w14:paraId="1CB8A2F0" w14:textId="77777777" w:rsidR="00C24DD2" w:rsidRPr="00CD5B51" w:rsidRDefault="00C24DD2" w:rsidP="00C24DD2">
      <w:pPr>
        <w:ind w:firstLine="567"/>
        <w:jc w:val="both"/>
      </w:pPr>
      <w:r w:rsidRPr="00CD5B51">
        <w:t>27. Šioje dalyje nustatyta lengvata taikoma tiek, kiek ji suderinama su Europos Sąjungos teisės aktais, kuriais reguliuojamas valstybės pagalbos teikimas, ir Lietuvos Respublikos Vyriausybės ar jos įgaliotos institucijos nustatyta valstybės pagalbos teikimo ir priežiūros tvarka ir Europos Komisijos išduoto leidimo teikti valstybės pagalbą sąlygomis. PMĮ 58 str. 16</w:t>
      </w:r>
      <w:r w:rsidRPr="00CD5B51">
        <w:rPr>
          <w:vertAlign w:val="superscript"/>
        </w:rPr>
        <w:t>3</w:t>
      </w:r>
      <w:r w:rsidRPr="00CD5B51">
        <w:t xml:space="preserve"> dalyje nustatyta lengvata juridiniam asmeniui, įgyvendinančiam stambų projektą pagal galiojančią stambaus projekto investicijų sutartį, taikoma gavus Europos Komisijos pritarimą dėl lengvatos skyrimo pagal Sutarties dėl Europos Sąjungos veikimo 108 straipsnio 3 dalies nuostatas, bet ne anksčiau kaip nuo 2021 m. sausio 1 d. ir iki 2025-12-31 sudarytoms stambaus projekto investicijų sutartims.</w:t>
      </w:r>
    </w:p>
    <w:p w14:paraId="724FA302" w14:textId="77777777" w:rsidR="00C24DD2" w:rsidRPr="00CD5B51" w:rsidRDefault="00C24DD2" w:rsidP="00C24DD2">
      <w:pPr>
        <w:ind w:firstLine="567"/>
        <w:jc w:val="both"/>
      </w:pPr>
      <w:r w:rsidRPr="00CD5B51">
        <w:t>Tuo atveju, jeigu stambų projektą įgyvendinančiam juridiniam asmeniui valstybės pagalbos suma yra didesnė (peržengia) nei nustatyti tam tikri Europos Sąjungos apribojimai, PMĮ 58 str. 16</w:t>
      </w:r>
      <w:r w:rsidRPr="00CD5B51">
        <w:rPr>
          <w:vertAlign w:val="superscript"/>
        </w:rPr>
        <w:t>3</w:t>
      </w:r>
      <w:r w:rsidRPr="00CD5B51">
        <w:t xml:space="preserve"> dalyje nustatyta lengvata viršijančiai valstybės pagalbos sumai netaikoma ir visa viršijanti suma apmokestinama pelno mokesčiu, t. y. nuo viršijančios sumos juridinis asmuo apskaičiuoja apmokestinamąjį pelną ir nuo jo apskaičiuoja mokėtiną pelno mokestį PMĮ nustatyta tvarka. </w:t>
      </w:r>
    </w:p>
    <w:p w14:paraId="742D6B0D" w14:textId="77777777" w:rsidR="00C24DD2" w:rsidRDefault="00C24DD2" w:rsidP="00C24DD2">
      <w:pPr>
        <w:ind w:firstLine="567"/>
        <w:jc w:val="both"/>
      </w:pPr>
      <w:r w:rsidRPr="00CD5B51">
        <w:t>Valstybės pagalbos (pagalbos, pagalbos priežiūros ir kontrolės) klausimai priskirti Ekonomikos ir inovacijų ministerijos ir Konkurencijos tarybos kaip koordinuojančios institucijos specialistų kompetencijai, todėl dėl valstybės pagalbos teikimo ir priežiūros klausimų konsultacijas teikia šios institucijos.</w:t>
      </w:r>
    </w:p>
    <w:p w14:paraId="0D70BE26" w14:textId="77777777" w:rsidR="002A055D" w:rsidRPr="00CD5B51" w:rsidRDefault="002A055D" w:rsidP="002A055D">
      <w:r>
        <w:rPr>
          <w:lang w:val="lt-LT"/>
        </w:rPr>
        <w:t xml:space="preserve">(Pakeista pagal VMI prie </w:t>
      </w:r>
      <w:r w:rsidRPr="00AE7EBB">
        <w:t>FM 2025-11-17</w:t>
      </w:r>
      <w:r>
        <w:t xml:space="preserve"> </w:t>
      </w:r>
      <w:r w:rsidRPr="00AE7EBB">
        <w:t>rašt</w:t>
      </w:r>
      <w:r>
        <w:t>ą</w:t>
      </w:r>
      <w:r w:rsidRPr="00AE7EBB">
        <w:t xml:space="preserve"> Nr. (18.10-31-1 Mr) RM-51104</w:t>
      </w:r>
      <w:r>
        <w:t>)</w:t>
      </w:r>
    </w:p>
    <w:p w14:paraId="393B64FD" w14:textId="77777777" w:rsidR="003E0098" w:rsidRPr="003E0098" w:rsidRDefault="003E0098" w:rsidP="00C24DD2">
      <w:pPr>
        <w:spacing w:after="0" w:line="240" w:lineRule="auto"/>
        <w:jc w:val="both"/>
        <w:rPr>
          <w:b/>
          <w:i/>
          <w:lang w:val="lt-LT" w:eastAsia="lt-LT"/>
        </w:rPr>
      </w:pPr>
    </w:p>
    <w:p w14:paraId="369E05B1" w14:textId="77777777" w:rsidR="00093845" w:rsidRDefault="000D779E">
      <w:pPr>
        <w:tabs>
          <w:tab w:val="left" w:pos="720"/>
          <w:tab w:val="left" w:pos="1077"/>
          <w:tab w:val="left" w:pos="1418"/>
        </w:tabs>
        <w:ind w:firstLine="720"/>
        <w:jc w:val="both"/>
        <w:rPr>
          <w:b/>
          <w:bCs/>
          <w:szCs w:val="20"/>
          <w:lang w:val="lt-LT"/>
        </w:rPr>
      </w:pPr>
      <w:r>
        <w:rPr>
          <w:b/>
          <w:bCs/>
          <w:lang w:val="lt-LT"/>
        </w:rPr>
        <w:t>17.</w:t>
      </w:r>
      <w:r>
        <w:rPr>
          <w:b/>
          <w:bCs/>
          <w:lang w:val="lt-LT"/>
        </w:rPr>
        <w:tab/>
        <w:t xml:space="preserve">Vieneto turto arba turtinio komplekso perdavimas pagal nuomos sandorį šio Įstatymo 38 straipsnio numatytais atvejais apskaičiuojant pelno mokestį apmokestinamas kaip pardavimas, jei turtas arba turtinis kompleksas perduotas po 2002 m. sausio 1 d. </w:t>
      </w:r>
    </w:p>
    <w:p w14:paraId="674D3196" w14:textId="77777777" w:rsidR="00093845" w:rsidRDefault="00093845">
      <w:pPr>
        <w:tabs>
          <w:tab w:val="left" w:pos="720"/>
          <w:tab w:val="left" w:pos="1077"/>
          <w:tab w:val="left" w:pos="1418"/>
        </w:tabs>
        <w:jc w:val="both"/>
        <w:rPr>
          <w:b/>
          <w:bCs/>
          <w:szCs w:val="20"/>
          <w:lang w:val="lt-LT"/>
        </w:rPr>
      </w:pPr>
    </w:p>
    <w:p w14:paraId="177442FA"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623A317B" w14:textId="77777777" w:rsidR="00093845" w:rsidRDefault="000D779E">
      <w:pPr>
        <w:tabs>
          <w:tab w:val="left" w:pos="720"/>
          <w:tab w:val="left" w:pos="1077"/>
          <w:tab w:val="left" w:pos="1418"/>
        </w:tabs>
        <w:ind w:firstLine="720"/>
        <w:jc w:val="both"/>
        <w:rPr>
          <w:szCs w:val="20"/>
          <w:lang w:val="lt-LT"/>
        </w:rPr>
      </w:pPr>
      <w:r>
        <w:rPr>
          <w:lang w:val="lt-LT"/>
        </w:rPr>
        <w:t xml:space="preserve">PMĮ 38 straipsnyje nustatyta, kad tuo atveju, kai vieneto turto arba turtinio komplekso nuomos sandoris atitinka šio straipsnio 1 dalyje nustatytus kriterijus, tai toks turto ar turtinio komplekso perdavimas, apskaičiuojant pelno mokestį, apmokestinamas kaip pardavimas. </w:t>
      </w:r>
    </w:p>
    <w:p w14:paraId="6D893284" w14:textId="77777777" w:rsidR="00093845" w:rsidRDefault="000D779E">
      <w:pPr>
        <w:tabs>
          <w:tab w:val="left" w:pos="720"/>
          <w:tab w:val="left" w:pos="1077"/>
          <w:tab w:val="left" w:pos="1418"/>
        </w:tabs>
        <w:jc w:val="both"/>
        <w:rPr>
          <w:szCs w:val="20"/>
          <w:lang w:val="lt-LT"/>
        </w:rPr>
      </w:pPr>
      <w:r>
        <w:rPr>
          <w:lang w:val="lt-LT"/>
        </w:rPr>
        <w:t>Tačiau, vadovaujantis šia 58 str. 17 dalimi, PMĮ 38 straipsnio nuostatos taikomos tik tiems turto ar turtinio komplekso nuomos sandoriams, pagal kuriuos turtas ar turtinis kompleksas perduotas po 2002-01-01.</w:t>
      </w:r>
    </w:p>
    <w:p w14:paraId="4363F54D" w14:textId="77777777" w:rsidR="00093845" w:rsidRDefault="000D779E">
      <w:pPr>
        <w:tabs>
          <w:tab w:val="left" w:pos="720"/>
          <w:tab w:val="left" w:pos="1077"/>
          <w:tab w:val="left" w:pos="1418"/>
        </w:tabs>
        <w:ind w:firstLine="720"/>
        <w:jc w:val="both"/>
        <w:rPr>
          <w:szCs w:val="20"/>
          <w:lang w:val="lt-LT"/>
        </w:rPr>
      </w:pPr>
      <w:r>
        <w:rPr>
          <w:lang w:val="lt-LT"/>
        </w:rPr>
        <w:t>Pavyzdys</w:t>
      </w:r>
    </w:p>
    <w:p w14:paraId="6CC674D8" w14:textId="77777777" w:rsidR="00093845" w:rsidRDefault="00093845">
      <w:pPr>
        <w:tabs>
          <w:tab w:val="left" w:pos="720"/>
          <w:tab w:val="left" w:pos="1077"/>
          <w:tab w:val="left" w:pos="1418"/>
        </w:tabs>
        <w:jc w:val="both"/>
        <w:rPr>
          <w:szCs w:val="20"/>
          <w:lang w:val="lt-LT"/>
        </w:rPr>
      </w:pPr>
    </w:p>
    <w:p w14:paraId="147D759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jc w:val="both"/>
        <w:rPr>
          <w:szCs w:val="20"/>
          <w:lang w:val="lt-LT"/>
        </w:rPr>
      </w:pPr>
      <w:r>
        <w:rPr>
          <w:lang w:val="lt-LT"/>
        </w:rPr>
        <w:tab/>
        <w:t xml:space="preserve">Įmonė X 2001-12-20 sudarė pastato nuomos sutartį. Pastato įsigijimo kaina – 1000000 Lt. Sutartyje nustatyta, kad nuomos terminas yra 9 metai. Pirmų dvejų metų metinis nuomos mokestis yra po 200000 Lt, trečių ir ketvirtų – po 150000 Lt, likusių penkerių metų – po 100000 Lt. Sutarties nuostatos dėl nuomos mokesčio atitinka PMĮ 38 str. 1 d. 2 punkto nuostatą. Tačiau 38 straipsnio </w:t>
      </w:r>
      <w:r>
        <w:rPr>
          <w:lang w:val="lt-LT"/>
        </w:rPr>
        <w:lastRenderedPageBreak/>
        <w:t>nuostatos būtų taikomos tik tuo atveju, jei šis pastatas nuomininkui perduodamas po 2002-01-01. Jeigu įmonė X pastatą perdavė nuomininkui iki 2002-01-01, tai šio pastato nuomai netaikomos 38 str. nuostatos.</w:t>
      </w:r>
    </w:p>
    <w:p w14:paraId="2C13C8CA" w14:textId="77777777" w:rsidR="00093845" w:rsidRDefault="000D779E">
      <w:pPr>
        <w:spacing w:before="100" w:beforeAutospacing="1" w:after="100" w:afterAutospacing="1"/>
        <w:ind w:firstLine="720"/>
        <w:jc w:val="both"/>
        <w:rPr>
          <w:b/>
          <w:bCs/>
          <w:szCs w:val="20"/>
          <w:lang w:val="lt-LT"/>
        </w:rPr>
      </w:pPr>
      <w:r>
        <w:rPr>
          <w:b/>
          <w:lang w:val="lt-LT" w:eastAsia="lt-LT"/>
        </w:rPr>
        <w:t>18. Individualių (personalinių) įmonių ir ūkinių bendrijų 2002 metais sumokėtas avansinis pelno mokestis bei išskaičiuotas (ir sumokėtas) prie šaltinio pelno mokestis įskaitomi į savivaldybės, kurios teritorijoje įregistruotos šios individualios (personalinės) įmonės ir ūkinės bendrijos, biudžetą.</w:t>
      </w:r>
    </w:p>
    <w:p w14:paraId="0E0ABF0F" w14:textId="77777777" w:rsidR="00093845" w:rsidRDefault="000D779E">
      <w:pPr>
        <w:tabs>
          <w:tab w:val="left" w:pos="720"/>
          <w:tab w:val="left" w:pos="1077"/>
          <w:tab w:val="left" w:pos="1418"/>
        </w:tabs>
        <w:ind w:firstLine="720"/>
        <w:jc w:val="both"/>
        <w:rPr>
          <w:szCs w:val="20"/>
          <w:lang w:val="lt-LT"/>
        </w:rPr>
      </w:pPr>
      <w:r>
        <w:rPr>
          <w:b/>
          <w:bCs/>
          <w:lang w:val="lt-LT"/>
        </w:rPr>
        <w:t>Komentaras</w:t>
      </w:r>
    </w:p>
    <w:p w14:paraId="4D50557A" w14:textId="77777777" w:rsidR="00093845" w:rsidRDefault="000D779E">
      <w:pPr>
        <w:tabs>
          <w:tab w:val="left" w:pos="720"/>
          <w:tab w:val="left" w:pos="1077"/>
          <w:tab w:val="left" w:pos="1418"/>
        </w:tabs>
        <w:ind w:firstLine="720"/>
        <w:jc w:val="both"/>
        <w:rPr>
          <w:lang w:val="lt-LT"/>
        </w:rPr>
      </w:pPr>
      <w:r>
        <w:rPr>
          <w:lang w:val="lt-LT"/>
        </w:rPr>
        <w:t xml:space="preserve">PMĮ 49 straipsnyje nustatyta, kad pelno mokestis įskaitomas į valstybės biudžetą. Tačiau, vadovaujantis šia 58 str. 18 dalies nuostata tas pelno mokestis, kurį 2002 m. moka ar išskaičiuoja prie pajamų šaltinio individualios (personalios) įmonės ir ūkinės bendrijos, yra įskaitomas į savivaldybės, kurios teritorijoje jos įregistruotos, biudžetą. Vadinasi, į savivaldybių biudžetus bus įskaitytas individualių (personalių) įmonių ir ūkinių bendrijų 2002 m. mokamas avansinis pelno mokestis, iš užsienio vienetams išmokamų sumų išskaičiuotas pelno mokestis bei metinis pelno mokestis tuo atveju, jei 2002 m. prasidėjęs mokestinis laikotarpis baigiasi anksčiau nei po 12 mėnesių (pvz., įmonė likviduojama) ir metinis 2002 m. prasidėjusio mokestinio laikotarpio mokestis sumokamas 2002 metais. </w:t>
      </w:r>
    </w:p>
    <w:p w14:paraId="1DEBF78C" w14:textId="77777777" w:rsidR="00093845" w:rsidRDefault="000D779E">
      <w:pPr>
        <w:pStyle w:val="Pagrindinistekstas"/>
        <w:tabs>
          <w:tab w:val="left" w:pos="720"/>
          <w:tab w:val="left" w:pos="1077"/>
          <w:tab w:val="left" w:pos="1418"/>
        </w:tabs>
        <w:ind w:firstLine="720"/>
        <w:rPr>
          <w:rFonts w:ascii="Times New Roman" w:hAnsi="Times New Roman" w:cs="Times New Roman"/>
          <w:b/>
          <w:bCs/>
          <w:lang w:val="lt-LT"/>
        </w:rPr>
      </w:pPr>
      <w:r>
        <w:rPr>
          <w:rFonts w:ascii="Times New Roman" w:hAnsi="Times New Roman" w:cs="Times New Roman"/>
          <w:b/>
          <w:bCs/>
          <w:lang w:val="lt-LT"/>
        </w:rPr>
        <w:t>19.</w:t>
      </w:r>
      <w:r>
        <w:rPr>
          <w:rFonts w:ascii="Times New Roman" w:hAnsi="Times New Roman" w:cs="Times New Roman"/>
          <w:b/>
          <w:bCs/>
          <w:lang w:val="lt-LT"/>
        </w:rPr>
        <w:tab/>
        <w:t>Bankai, kurių nuo 1997 metais prasidėjusio mokestinio laikotarpio pradžios iki 2002 metais prasidėjusio mokestinio laikotarpio pradžios sudaryti specialieji atidėjimai abejotiniems aktyvams dengti nebuvo įtraukti į sąnaudas, mažinančias apmokestinamąjį pelną, šias sumas (suderintas su centriniu mokesčio administratoriumi) įtraukia į ribojamų dydžių leidžiamus atskaitymus lygiomis dalimis 2002, 2003, 2004 ir 2005 metais prasidėjusiais mokestiniais laikotarpiais. Jei bankas patenkina savo skolinius reikalavimus dėl skolų grąžinimo, tai skolos suma arba jos dalis, atitinkanti dėl jos padaryto specialiojo atidėjimo abejotiniems aktyvams dengti dydį, pripažįstama pajamomis skolinio reikalavimo patenkinimo momentu.</w:t>
      </w:r>
    </w:p>
    <w:p w14:paraId="0084819E" w14:textId="77777777" w:rsidR="00093845" w:rsidRPr="0089549E" w:rsidRDefault="000D779E" w:rsidP="0089549E">
      <w:pPr>
        <w:pStyle w:val="Pagrindinistekstas"/>
        <w:tabs>
          <w:tab w:val="left" w:pos="720"/>
          <w:tab w:val="left" w:pos="1077"/>
          <w:tab w:val="left" w:pos="1418"/>
        </w:tabs>
        <w:rPr>
          <w:rFonts w:ascii="Times New Roman" w:hAnsi="Times New Roman" w:cs="Times New Roman"/>
          <w:bCs/>
          <w:i/>
          <w:lang w:val="lt-LT"/>
        </w:rPr>
      </w:pPr>
      <w:r w:rsidRPr="0089549E">
        <w:rPr>
          <w:rFonts w:ascii="Times New Roman" w:hAnsi="Times New Roman" w:cs="Times New Roman"/>
          <w:bCs/>
          <w:i/>
          <w:lang w:val="lt-LT"/>
        </w:rPr>
        <w:t>(2003-07-01 įstatymo Nr. IX-1659 redakcija; taikoma apskaičiuojant 2002 metais prasidėjusio ir vėlesnių mokestinių laikotarpių apmokestinamąjį pelną)</w:t>
      </w:r>
    </w:p>
    <w:p w14:paraId="766D3002" w14:textId="77777777" w:rsidR="00093845" w:rsidRDefault="000D779E">
      <w:pPr>
        <w:pStyle w:val="Pagrindinistekstas"/>
        <w:tabs>
          <w:tab w:val="left" w:pos="720"/>
          <w:tab w:val="left" w:pos="1077"/>
          <w:tab w:val="left" w:pos="1418"/>
        </w:tabs>
        <w:ind w:firstLine="720"/>
        <w:rPr>
          <w:rFonts w:ascii="Times New Roman" w:hAnsi="Times New Roman" w:cs="Times New Roman"/>
          <w:b/>
          <w:bCs/>
          <w:lang w:val="lt-LT"/>
        </w:rPr>
      </w:pPr>
      <w:r>
        <w:rPr>
          <w:rFonts w:ascii="Times New Roman" w:hAnsi="Times New Roman" w:cs="Times New Roman"/>
          <w:b/>
          <w:bCs/>
          <w:lang w:val="lt-LT"/>
        </w:rPr>
        <w:t>Komentaras</w:t>
      </w:r>
    </w:p>
    <w:p w14:paraId="55D7C3F9"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Šio straipsnio 19 dalyje nustatyta, kad bankai, kurių ankstesniais mokestiniais laikotarpiais (nuo 1997 metais prasidėjusio mokestinio laikotarpio pradžios iki 2002 metais prasidėjusio mokestinio laikotarpio pradžios) sudaryti specialieji atidėjimai abejotiniems aktyvams dengti nebuvo įtraukti į sąnaudas, mažinančias apmokestinamąjį pelną pagal JAPMĮ nuostatas, šiuos atidėjimus gali priskirti 2002, 2003, 2004 ir 2005 mokestinių metų ribojamų dydžių leidžiamiems atskaitymams.</w:t>
      </w:r>
    </w:p>
    <w:p w14:paraId="51860797"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Vadovaujantis šios dalies nuostatomis, iki 2002 metais prasidėjusio mokestinio laikotarpio sudaryti ir sąnaudoms nepriskirti specialieji atidėjimai bankų abejotiniems aktyvams dengti 2002, 2003, 2004 ir 2005 mokestinių metų ribojamų dydžių leidžiamiems atskaitymams priskiriami lygiomis dalimis. Ribojamų dydžių leidžiamiems atskaitymams priskirtinų specialiųjų atidėjimų sumos turi būti suderintos su VMI prie FM pagal banko pateiktą prašymą bei minėtų specialiųjų atidėjimų sumos apskaičiavimą ir jos paskirstymą 2002 – 2005 metų mokestiniams laikotarpiams.</w:t>
      </w:r>
    </w:p>
    <w:p w14:paraId="1DDE076C"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t>Specialiųjų atidėjimų banko abejotiniems aktyvams dengti derinimas nėra banko veiklos patikrinimas Mokesčių administravimo įstatymo nustatyta tvarka. Jeigu po suderinimo patikrinimo metu būtų nustatyta, kad buvo pateikti neteisingi duomenys, specialiųjų atidėjimų banko abejotiniems aktyvams dengti sumos gali būti perskaičiuotos.</w:t>
      </w:r>
    </w:p>
    <w:p w14:paraId="69CF6C5C" w14:textId="77777777" w:rsidR="00093845" w:rsidRDefault="000D779E">
      <w:pPr>
        <w:pStyle w:val="Pagrindinistekstas"/>
        <w:tabs>
          <w:tab w:val="left" w:pos="720"/>
          <w:tab w:val="left" w:pos="1077"/>
          <w:tab w:val="left" w:pos="1418"/>
        </w:tabs>
        <w:ind w:firstLine="720"/>
        <w:rPr>
          <w:rFonts w:ascii="Times New Roman" w:hAnsi="Times New Roman" w:cs="Times New Roman"/>
          <w:lang w:val="lt-LT"/>
        </w:rPr>
      </w:pPr>
      <w:r>
        <w:rPr>
          <w:rFonts w:ascii="Times New Roman" w:hAnsi="Times New Roman" w:cs="Times New Roman"/>
          <w:lang w:val="lt-LT"/>
        </w:rPr>
        <w:lastRenderedPageBreak/>
        <w:t>Kai bankas išieško skolas, kurios pagal šį punktą buvo priskirtos ribojamų dydžių leidžiamiems atskaitymams kaip specialieji atidėjimai bankų abejotiniems aktyvams dengti, tai skolos suma arba jos dalis, atitinkanti dėl jos padaryto specialiojo atidėjimo abejotiniems aktyvams dengti dydį, pripažįstama pajamomis skolinio reikalavimo patenkinimo momentu.“</w:t>
      </w:r>
    </w:p>
    <w:p w14:paraId="557CF31E" w14:textId="77777777" w:rsidR="00093845" w:rsidRDefault="000D779E">
      <w:pPr>
        <w:tabs>
          <w:tab w:val="left" w:pos="720"/>
          <w:tab w:val="left" w:pos="1077"/>
          <w:tab w:val="left" w:pos="1418"/>
        </w:tabs>
        <w:jc w:val="both"/>
        <w:rPr>
          <w:lang w:val="fr-FR"/>
        </w:rPr>
      </w:pPr>
      <w:r>
        <w:rPr>
          <w:lang w:val="lt-LT"/>
        </w:rPr>
        <w:tab/>
      </w:r>
      <w:r>
        <w:rPr>
          <w:lang w:val="fr-FR"/>
        </w:rPr>
        <w:t>(Papildyta VMI prie FM 2003-09-18 raštu Nr. (18.9-08-2)-R-8523.)</w:t>
      </w:r>
    </w:p>
    <w:p w14:paraId="35879CBE" w14:textId="77777777" w:rsidR="00093845" w:rsidRDefault="00093845">
      <w:pPr>
        <w:tabs>
          <w:tab w:val="left" w:pos="720"/>
          <w:tab w:val="left" w:pos="1077"/>
          <w:tab w:val="left" w:pos="1418"/>
        </w:tabs>
        <w:ind w:firstLine="720"/>
        <w:jc w:val="both"/>
        <w:rPr>
          <w:b/>
          <w:bCs/>
          <w:lang w:val="lt-LT"/>
        </w:rPr>
      </w:pPr>
    </w:p>
    <w:p w14:paraId="2E94EC82" w14:textId="77777777" w:rsidR="00093845" w:rsidRDefault="000D779E">
      <w:pPr>
        <w:pStyle w:val="Antrat1"/>
        <w:jc w:val="both"/>
        <w:rPr>
          <w:rFonts w:ascii="Times New Roman" w:hAnsi="Times New Roman" w:cs="Times New Roman"/>
          <w:lang w:val="lt-LT"/>
        </w:rPr>
      </w:pPr>
      <w:bookmarkStart w:id="938" w:name="_59_straipsnis._Įstatymo"/>
      <w:bookmarkEnd w:id="938"/>
      <w:r>
        <w:rPr>
          <w:rFonts w:ascii="Times New Roman" w:hAnsi="Times New Roman" w:cs="Times New Roman"/>
          <w:lang w:val="lt-LT"/>
        </w:rPr>
        <w:t>59 STRAIPSNIS. Įstatymo įsigaliojimas ir taikymas</w:t>
      </w:r>
    </w:p>
    <w:p w14:paraId="2241F5A5" w14:textId="77777777" w:rsidR="00093845" w:rsidRDefault="00093845">
      <w:pPr>
        <w:pStyle w:val="Pagrindiniotekstotrauka2"/>
        <w:tabs>
          <w:tab w:val="left" w:pos="1080"/>
        </w:tabs>
        <w:spacing w:line="240" w:lineRule="auto"/>
        <w:ind w:firstLine="0"/>
        <w:rPr>
          <w:lang w:val="fr-FR"/>
        </w:rPr>
      </w:pPr>
      <w:bookmarkStart w:id="939" w:name="organizacija"/>
      <w:bookmarkEnd w:id="939"/>
    </w:p>
    <w:p w14:paraId="57797A2E" w14:textId="77777777" w:rsidR="00093845" w:rsidRDefault="000D779E">
      <w:pPr>
        <w:jc w:val="both"/>
        <w:rPr>
          <w:b/>
          <w:lang w:val="lt-LT"/>
        </w:rPr>
      </w:pPr>
      <w:r>
        <w:rPr>
          <w:lang w:val="lt-LT"/>
        </w:rPr>
        <w:tab/>
      </w:r>
      <w:r>
        <w:rPr>
          <w:b/>
          <w:lang w:val="lt-LT"/>
        </w:rPr>
        <w:t>1. Įstatymas, išskyrus 2 straipsnio 18 dalies 5 punktą, 40 straipsnį, 42 straipsnio 4 dalies 3 punktą, įsigalioja nuo 2002 m. sausio 1 d.</w:t>
      </w:r>
    </w:p>
    <w:p w14:paraId="6A511C3D" w14:textId="77777777" w:rsidR="00093845" w:rsidRPr="0089549E" w:rsidRDefault="0089549E">
      <w:pPr>
        <w:jc w:val="both"/>
        <w:rPr>
          <w:i/>
          <w:lang w:val="fr-FR"/>
        </w:rPr>
      </w:pPr>
      <w:r>
        <w:rPr>
          <w:lang w:val="fr-FR"/>
        </w:rPr>
        <w:t xml:space="preserve"> </w:t>
      </w:r>
      <w:r w:rsidR="000D779E" w:rsidRPr="0089549E">
        <w:rPr>
          <w:i/>
          <w:lang w:val="fr-FR"/>
        </w:rPr>
        <w:t>(2007 m. liepos 3 d. įstatymo Nr. X-1250 redakcija, įsigalioja nuo 2008 m. sausio 1 d.)</w:t>
      </w:r>
    </w:p>
    <w:p w14:paraId="44B52EB8" w14:textId="77777777" w:rsidR="00093845" w:rsidRDefault="000D779E">
      <w:pPr>
        <w:jc w:val="both"/>
        <w:rPr>
          <w:b/>
          <w:lang w:val="fr-FR"/>
        </w:rPr>
      </w:pPr>
      <w:r>
        <w:rPr>
          <w:b/>
          <w:lang w:val="fr-FR"/>
        </w:rPr>
        <w:tab/>
        <w:t>Komentaras</w:t>
      </w:r>
    </w:p>
    <w:p w14:paraId="75CE2B85" w14:textId="77777777" w:rsidR="00093845" w:rsidRDefault="000D779E">
      <w:pPr>
        <w:jc w:val="both"/>
        <w:rPr>
          <w:lang w:val="fr-FR"/>
        </w:rPr>
      </w:pPr>
      <w:r>
        <w:rPr>
          <w:lang w:val="fr-FR"/>
        </w:rPr>
        <w:tab/>
        <w:t>PMĮ įsigalioja ir jo nuostatos privalo būti taikomos nuo 2002 m. sausio 1 d., išskyrus išimtis, numatytas šio straipsnio 2, 3 ir 5 dalyse (žr. šių dalių komentarus).</w:t>
      </w:r>
    </w:p>
    <w:p w14:paraId="016895FD" w14:textId="77777777" w:rsidR="00093845" w:rsidRDefault="000D779E">
      <w:pPr>
        <w:jc w:val="both"/>
        <w:rPr>
          <w:lang w:val="fr-FR"/>
        </w:rPr>
      </w:pPr>
      <w:r>
        <w:rPr>
          <w:lang w:val="fr-FR"/>
        </w:rPr>
        <w:tab/>
        <w:t>Lietuvos Respublikos pelno mokesčio įstatymo 59 str. 2 d. komentaras pakeičiamas ir išdėstomas taip:</w:t>
      </w:r>
    </w:p>
    <w:p w14:paraId="244ECA60" w14:textId="77777777" w:rsidR="00093845" w:rsidRDefault="000D779E">
      <w:pPr>
        <w:jc w:val="both"/>
        <w:rPr>
          <w:b/>
          <w:lang w:val="fr-FR"/>
        </w:rPr>
      </w:pPr>
      <w:r>
        <w:rPr>
          <w:lang w:val="fr-FR"/>
        </w:rPr>
        <w:t xml:space="preserve"> </w:t>
      </w:r>
      <w:r>
        <w:rPr>
          <w:lang w:val="fr-FR"/>
        </w:rPr>
        <w:tab/>
      </w:r>
      <w:r>
        <w:rPr>
          <w:b/>
          <w:lang w:val="fr-FR"/>
        </w:rPr>
        <w:t>2. Įstatymo 2 straipsnio 18 dalies 5 punkto nuostatos įsigalioja nuo 2003 m.    sausio 1 d.</w:t>
      </w:r>
    </w:p>
    <w:p w14:paraId="7DB698F1" w14:textId="77777777" w:rsidR="00093845" w:rsidRPr="0089549E" w:rsidRDefault="0089549E">
      <w:pPr>
        <w:jc w:val="both"/>
        <w:rPr>
          <w:i/>
          <w:lang w:val="fr-FR"/>
        </w:rPr>
      </w:pPr>
      <w:r>
        <w:rPr>
          <w:lang w:val="fr-FR"/>
        </w:rPr>
        <w:t xml:space="preserve">  </w:t>
      </w:r>
      <w:r w:rsidR="000D779E" w:rsidRPr="0089549E">
        <w:rPr>
          <w:i/>
          <w:lang w:val="fr-FR"/>
        </w:rPr>
        <w:t>(2007 m. liepos 3 d. įstatymo Nr. X-1250 redakcija, įsigalioja nuo 2008 m. sausio 1 d.)</w:t>
      </w:r>
    </w:p>
    <w:p w14:paraId="6116599C" w14:textId="77777777" w:rsidR="00093845" w:rsidRDefault="000D779E">
      <w:pPr>
        <w:jc w:val="both"/>
        <w:rPr>
          <w:b/>
          <w:lang w:val="fr-FR"/>
        </w:rPr>
      </w:pPr>
      <w:r>
        <w:rPr>
          <w:lang w:val="fr-FR"/>
        </w:rPr>
        <w:tab/>
      </w:r>
      <w:r>
        <w:rPr>
          <w:b/>
          <w:lang w:val="fr-FR"/>
        </w:rPr>
        <w:t>Komentaras</w:t>
      </w:r>
    </w:p>
    <w:p w14:paraId="3178A83D" w14:textId="77777777" w:rsidR="00093845" w:rsidRDefault="000D779E">
      <w:pPr>
        <w:jc w:val="both"/>
        <w:rPr>
          <w:lang w:val="fr-FR"/>
        </w:rPr>
      </w:pPr>
      <w:r>
        <w:rPr>
          <w:b/>
          <w:lang w:val="fr-FR"/>
        </w:rPr>
        <w:tab/>
      </w:r>
      <w:r>
        <w:rPr>
          <w:lang w:val="fr-FR"/>
        </w:rPr>
        <w:t xml:space="preserve">PMĮ 2 str. 18 d. 5 punkto (tarptautinių telekomunikacijų pajamos, kurių šaltinis yra Lietuvos Respublikoje) nuostatos įsigalioja nuo 2003 m. sausio 1 d. </w:t>
      </w:r>
    </w:p>
    <w:p w14:paraId="7CDAFB95" w14:textId="77777777" w:rsidR="00093845" w:rsidRDefault="000D779E">
      <w:pPr>
        <w:jc w:val="both"/>
        <w:rPr>
          <w:lang w:val="fr-FR"/>
        </w:rPr>
      </w:pPr>
      <w:r>
        <w:rPr>
          <w:lang w:val="fr-FR"/>
        </w:rPr>
        <w:tab/>
        <w:t>Atkreipiame dėmesį, kad kai kurių aukščiau minimų straipsnių dalių nuostatos bus pradėtos taikyti tik tada, kai Lietuvos Respublikos Vyriausybė ar jos įgaliota institucija nustatys jų taikymui reikalingas tvarkas.</w:t>
      </w:r>
    </w:p>
    <w:p w14:paraId="77F271A5" w14:textId="77777777" w:rsidR="00093845" w:rsidRDefault="000D779E">
      <w:pPr>
        <w:tabs>
          <w:tab w:val="left" w:pos="720"/>
          <w:tab w:val="left" w:pos="1077"/>
          <w:tab w:val="left" w:pos="1418"/>
        </w:tabs>
        <w:ind w:firstLine="720"/>
        <w:jc w:val="both"/>
        <w:rPr>
          <w:bCs/>
          <w:lang w:val="lt-LT"/>
        </w:rPr>
      </w:pPr>
      <w:r>
        <w:rPr>
          <w:bCs/>
          <w:lang w:val="lt-LT"/>
        </w:rPr>
        <w:t xml:space="preserve"> (Pakeista pagal VMI prie FM raštą 2007-07-30 </w:t>
      </w:r>
      <w:r>
        <w:rPr>
          <w:color w:val="000000"/>
          <w:lang w:val="lt-LT"/>
        </w:rPr>
        <w:t>Nr. (18.10-31-1)-R-7762)</w:t>
      </w:r>
    </w:p>
    <w:p w14:paraId="2AFEC426" w14:textId="77777777" w:rsidR="00093845" w:rsidRDefault="000D779E">
      <w:pPr>
        <w:tabs>
          <w:tab w:val="left" w:pos="720"/>
          <w:tab w:val="left" w:pos="1077"/>
          <w:tab w:val="left" w:pos="1418"/>
        </w:tabs>
        <w:ind w:firstLine="720"/>
        <w:jc w:val="both"/>
        <w:rPr>
          <w:b/>
          <w:bCs/>
          <w:lang w:val="lt-LT"/>
        </w:rPr>
      </w:pPr>
      <w:r>
        <w:rPr>
          <w:b/>
          <w:bCs/>
          <w:lang w:val="lt-LT"/>
        </w:rPr>
        <w:t>3.</w:t>
      </w:r>
      <w:r>
        <w:rPr>
          <w:b/>
          <w:bCs/>
          <w:lang w:val="lt-LT"/>
        </w:rPr>
        <w:tab/>
        <w:t>Įstatymo 42 straipsnio 4 dalies 3 punkto nuostatos įsigalioja nuo 2004 m. sausio 1 d.</w:t>
      </w:r>
    </w:p>
    <w:p w14:paraId="0AB7AD5D" w14:textId="77777777" w:rsidR="00093845" w:rsidRDefault="000D779E">
      <w:pPr>
        <w:ind w:firstLine="720"/>
        <w:jc w:val="both"/>
        <w:rPr>
          <w:b/>
          <w:bCs/>
          <w:lang w:val="lt-LT"/>
        </w:rPr>
      </w:pPr>
      <w:r>
        <w:rPr>
          <w:b/>
          <w:bCs/>
          <w:lang w:val="lt-LT"/>
        </w:rPr>
        <w:t>Komentaras</w:t>
      </w:r>
    </w:p>
    <w:p w14:paraId="43828E2B" w14:textId="77777777" w:rsidR="00093845" w:rsidRDefault="000D779E">
      <w:pPr>
        <w:tabs>
          <w:tab w:val="left" w:pos="720"/>
          <w:tab w:val="left" w:pos="1077"/>
          <w:tab w:val="left" w:pos="1418"/>
        </w:tabs>
        <w:ind w:firstLine="720"/>
        <w:jc w:val="both"/>
        <w:rPr>
          <w:lang w:val="lt-LT"/>
        </w:rPr>
      </w:pPr>
      <w:r>
        <w:rPr>
          <w:lang w:val="lt-LT"/>
        </w:rPr>
        <w:t>PMĮ 42 str. 4 d. 3 punkto (Lietuvos vieneto ir užsienio valstybės (Europos Sąjungos narės) vieneto reorganizavimo metu susidariusio ir pinigais apmokėto akcijų kainų skirtumo apmokestinimas) nuostata taikoma nuo 2004 m. sausio 1 d.</w:t>
      </w:r>
    </w:p>
    <w:p w14:paraId="0294E91B" w14:textId="77777777" w:rsidR="00093845" w:rsidRDefault="000D779E">
      <w:pPr>
        <w:tabs>
          <w:tab w:val="left" w:pos="720"/>
          <w:tab w:val="left" w:pos="1077"/>
          <w:tab w:val="left" w:pos="1418"/>
        </w:tabs>
        <w:ind w:firstLine="720"/>
        <w:jc w:val="both"/>
        <w:rPr>
          <w:b/>
          <w:bCs/>
          <w:lang w:val="lt-LT"/>
        </w:rPr>
      </w:pPr>
      <w:r>
        <w:rPr>
          <w:b/>
          <w:bCs/>
          <w:lang w:val="lt-LT"/>
        </w:rPr>
        <w:t>4.</w:t>
      </w:r>
      <w:r>
        <w:rPr>
          <w:b/>
          <w:bCs/>
          <w:lang w:val="lt-LT"/>
        </w:rPr>
        <w:tab/>
        <w:t>Įstatymo 40 straipsnio nuostatos taikomos nuo 2004 metais prasidėjusio mokestinio laikotarpio pradžios</w:t>
      </w:r>
    </w:p>
    <w:p w14:paraId="25BF705A" w14:textId="77777777" w:rsidR="00093845" w:rsidRPr="0089549E" w:rsidRDefault="000D779E" w:rsidP="0089549E">
      <w:pPr>
        <w:tabs>
          <w:tab w:val="left" w:pos="720"/>
          <w:tab w:val="left" w:pos="1077"/>
          <w:tab w:val="left" w:pos="1418"/>
        </w:tabs>
        <w:jc w:val="both"/>
        <w:rPr>
          <w:bCs/>
          <w:i/>
          <w:lang w:val="lt-LT"/>
        </w:rPr>
      </w:pPr>
      <w:r w:rsidRPr="0089549E">
        <w:rPr>
          <w:bCs/>
          <w:i/>
          <w:lang w:val="lt-LT"/>
        </w:rPr>
        <w:t>(2003 m. liepos 1 d.</w:t>
      </w:r>
      <w:r w:rsidR="0089549E" w:rsidRPr="0089549E">
        <w:rPr>
          <w:bCs/>
          <w:i/>
          <w:lang w:val="lt-LT"/>
        </w:rPr>
        <w:t xml:space="preserve"> įstatymo Nr. IX-1659 redakcija).</w:t>
      </w:r>
    </w:p>
    <w:p w14:paraId="3C45E15F"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5FE3DE97"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PMĮ 40 straipsnio nuostatos dėl sandorių vertės koregavimo ir netiesioginio apmokestinamojo pelno apskaičiavimo taikomos nuo 2004 metais prasidėjusio mokestinio laikotarpio pradžios.</w:t>
      </w:r>
    </w:p>
    <w:p w14:paraId="43DF21F8" w14:textId="77777777" w:rsidR="00093845" w:rsidRDefault="000D779E">
      <w:pPr>
        <w:tabs>
          <w:tab w:val="left" w:pos="720"/>
          <w:tab w:val="left" w:pos="1077"/>
          <w:tab w:val="left" w:pos="1418"/>
        </w:tabs>
        <w:ind w:firstLine="720"/>
        <w:jc w:val="both"/>
        <w:rPr>
          <w:b/>
          <w:bCs/>
          <w:lang w:val="lt-LT"/>
        </w:rPr>
      </w:pPr>
      <w:r>
        <w:rPr>
          <w:lang w:val="lt-LT"/>
        </w:rPr>
        <w:t>(Papildyta VMI prie FM 2003-08-29 raštu Nr. (18.9-08-2)-R-7931).</w:t>
      </w:r>
    </w:p>
    <w:p w14:paraId="6226FC23"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lastRenderedPageBreak/>
        <w:t>5.</w:t>
      </w:r>
      <w:r>
        <w:rPr>
          <w:rFonts w:ascii="Times New Roman" w:hAnsi="Times New Roman"/>
          <w:b/>
          <w:bCs/>
        </w:rPr>
        <w:tab/>
        <w:t>Įstatymo 58 straipsnio 3 dalies nuostatos galioja iki 2003 metais prasidėjusio mokestinio laikotarpio pradžios</w:t>
      </w:r>
    </w:p>
    <w:p w14:paraId="0CA3AAC7" w14:textId="77777777" w:rsidR="00093845" w:rsidRPr="0089549E" w:rsidRDefault="000D779E" w:rsidP="0089549E">
      <w:pPr>
        <w:pStyle w:val="Pagrindiniotekstotrauka3"/>
        <w:tabs>
          <w:tab w:val="left" w:pos="720"/>
          <w:tab w:val="left" w:pos="1077"/>
          <w:tab w:val="left" w:pos="1418"/>
        </w:tabs>
        <w:ind w:firstLine="0"/>
        <w:rPr>
          <w:rFonts w:ascii="Times New Roman" w:hAnsi="Times New Roman"/>
          <w:bCs/>
          <w:i/>
        </w:rPr>
      </w:pPr>
      <w:r w:rsidRPr="0089549E">
        <w:rPr>
          <w:rFonts w:ascii="Times New Roman" w:hAnsi="Times New Roman"/>
          <w:bCs/>
          <w:i/>
        </w:rPr>
        <w:t>(2003 m. liepos 1 d. įstatymo Nr. IX-1659 redakcija.</w:t>
      </w:r>
      <w:r w:rsidR="0089549E" w:rsidRPr="0089549E">
        <w:rPr>
          <w:rFonts w:ascii="Times New Roman" w:hAnsi="Times New Roman"/>
          <w:bCs/>
          <w:i/>
        </w:rPr>
        <w:t>)</w:t>
      </w:r>
    </w:p>
    <w:p w14:paraId="7DDB4285" w14:textId="77777777" w:rsidR="00093845" w:rsidRDefault="000D779E">
      <w:pPr>
        <w:ind w:firstLine="720"/>
        <w:jc w:val="both"/>
        <w:rPr>
          <w:b/>
          <w:bCs/>
          <w:lang w:val="lt-LT"/>
        </w:rPr>
      </w:pPr>
      <w:r>
        <w:rPr>
          <w:b/>
          <w:bCs/>
          <w:lang w:val="lt-LT"/>
        </w:rPr>
        <w:t>Komentaras</w:t>
      </w:r>
    </w:p>
    <w:p w14:paraId="5F93EB4A" w14:textId="77777777" w:rsidR="00093845" w:rsidRDefault="000D779E">
      <w:pPr>
        <w:tabs>
          <w:tab w:val="left" w:pos="720"/>
          <w:tab w:val="left" w:pos="1077"/>
          <w:tab w:val="left" w:pos="1418"/>
        </w:tabs>
        <w:ind w:firstLine="720"/>
        <w:jc w:val="both"/>
        <w:rPr>
          <w:lang w:val="lt-LT"/>
        </w:rPr>
      </w:pPr>
      <w:r>
        <w:rPr>
          <w:lang w:val="lt-LT"/>
        </w:rPr>
        <w:t xml:space="preserve">PMĮ 58 str. 3 dalyje nustatyta, kad tie vienetai, kurie iki šio įstatymo įsigaliojimo įsigytam ilgalaikiam materialiam turtui arba kompiuterių programoms </w:t>
      </w:r>
      <w:r>
        <w:rPr>
          <w:b/>
          <w:bCs/>
          <w:lang w:val="lt-LT"/>
        </w:rPr>
        <w:t>taikė JAPMĮ 21 str.</w:t>
      </w:r>
      <w:r>
        <w:rPr>
          <w:lang w:val="lt-LT"/>
        </w:rPr>
        <w:t xml:space="preserve"> nustatytas investicijų lengvatas, tai po šio įstatymo įsigaliojimo, jeigu tas turtas yra perduodamas panaudos būdu arba investuojamas į kitą vienetą, tai vieneto pajamos didinamos šio turto įsigijimo kaina tuo mokestiniu laikotarpiu, kad tas turtas perduodamas panaudos būdu arba investuojamas į kitą vienetą. </w:t>
      </w:r>
    </w:p>
    <w:p w14:paraId="48B66334" w14:textId="77777777" w:rsidR="00093845" w:rsidRDefault="000D779E">
      <w:pPr>
        <w:tabs>
          <w:tab w:val="left" w:pos="720"/>
          <w:tab w:val="left" w:pos="1077"/>
          <w:tab w:val="left" w:pos="1418"/>
        </w:tabs>
        <w:ind w:firstLine="720"/>
        <w:jc w:val="both"/>
        <w:rPr>
          <w:lang w:val="lt-LT"/>
        </w:rPr>
      </w:pPr>
      <w:r>
        <w:rPr>
          <w:lang w:val="lt-LT"/>
        </w:rPr>
        <w:t xml:space="preserve">Tie vienetai (personalinės įmonės ir ūkinės bendrijos), kurie įsigytam ilgalaikiam turtui taikė </w:t>
      </w:r>
      <w:r>
        <w:rPr>
          <w:b/>
          <w:bCs/>
          <w:lang w:val="lt-LT"/>
        </w:rPr>
        <w:t>FAPMLĮ 24 str.</w:t>
      </w:r>
      <w:r>
        <w:rPr>
          <w:lang w:val="lt-LT"/>
        </w:rPr>
        <w:t xml:space="preserve"> nustatytas investicijų lengvatas, po PMĮ įsigaliojimo tą turtą perduoda panaudos būdu, investuoja į kitą vienetą, pakeičia jo paskirtį arba tų vienetų savininkai išsimoka pajamų dalį, panaudotą investicijoms, pajamos turi būti didinamos tokia suma, kuri atitinka apmokestinamųjų pajamų dalį panaudotą investicijoms, tuo mokestiniu laikotarpiu, kad tas turtas perduodamas panaudos būdu, investuojamas į kitą vienetą arba pakeičiama jo paskirtis.</w:t>
      </w:r>
    </w:p>
    <w:p w14:paraId="18089C42" w14:textId="77777777" w:rsidR="00093845" w:rsidRDefault="000D779E">
      <w:pPr>
        <w:tabs>
          <w:tab w:val="left" w:pos="720"/>
          <w:tab w:val="left" w:pos="1077"/>
          <w:tab w:val="left" w:pos="1418"/>
        </w:tabs>
        <w:ind w:firstLine="720"/>
        <w:jc w:val="both"/>
        <w:rPr>
          <w:lang w:val="lt-LT"/>
        </w:rPr>
      </w:pPr>
      <w:r>
        <w:rPr>
          <w:lang w:val="lt-LT"/>
        </w:rPr>
        <w:t xml:space="preserve">Šios PMĮ 58 str. 3 dalyje nustatytos nuostatos taikomos </w:t>
      </w:r>
      <w:r>
        <w:rPr>
          <w:b/>
          <w:bCs/>
          <w:lang w:val="lt-LT"/>
        </w:rPr>
        <w:t>tik vienam (2002 metų)</w:t>
      </w:r>
      <w:r>
        <w:rPr>
          <w:lang w:val="lt-LT"/>
        </w:rPr>
        <w:t xml:space="preserve"> mokestiniam laikotarpiui. Vadinasi, ilgalaikiam turtui, kurio įsigijimui buvo taikytos investicijų lengvatos, </w:t>
      </w:r>
      <w:r>
        <w:rPr>
          <w:b/>
          <w:bCs/>
          <w:lang w:val="lt-LT"/>
        </w:rPr>
        <w:t>nuo 2003 metų prasidėjusio</w:t>
      </w:r>
      <w:r>
        <w:rPr>
          <w:lang w:val="lt-LT"/>
        </w:rPr>
        <w:t xml:space="preserve"> mokestinio laikotarpio investuojant tą turtą, perduodant jį pagal panaudos sutartį, pakeičiant jo paskirtį ar išsimokant pajamų dalį, panaudotą investicijoms, netaikomi jokie apribojimai (pajamos neturi būti didinamos to turto įsigijimo verte arba suma, atitinkančia apmokestinamųjų pajamų dalį, panaudotą investicijoms). </w:t>
      </w:r>
    </w:p>
    <w:p w14:paraId="1D5F45B4" w14:textId="77777777" w:rsidR="00093845" w:rsidRDefault="000D779E">
      <w:pPr>
        <w:tabs>
          <w:tab w:val="left" w:pos="720"/>
          <w:tab w:val="left" w:pos="1077"/>
          <w:tab w:val="left" w:pos="1418"/>
        </w:tabs>
        <w:ind w:firstLine="720"/>
        <w:jc w:val="both"/>
        <w:rPr>
          <w:b/>
          <w:bCs/>
          <w:lang w:val="lt-LT"/>
        </w:rPr>
      </w:pPr>
      <w:r>
        <w:rPr>
          <w:lang w:val="lt-LT"/>
        </w:rPr>
        <w:t>(Papildyta VMI prie FM 2003-08-29 raštu Nr. (18.9-08-2)-R-7931)</w:t>
      </w:r>
    </w:p>
    <w:p w14:paraId="6B01C6EE" w14:textId="77777777" w:rsidR="00093845" w:rsidRDefault="000D779E">
      <w:pPr>
        <w:pStyle w:val="Porat"/>
        <w:tabs>
          <w:tab w:val="left" w:pos="720"/>
          <w:tab w:val="left" w:pos="1077"/>
          <w:tab w:val="left" w:pos="1418"/>
        </w:tabs>
        <w:spacing w:line="240" w:lineRule="auto"/>
        <w:rPr>
          <w:rFonts w:ascii="Times New Roman" w:hAnsi="Times New Roman" w:cs="Times New Roman"/>
          <w:b/>
          <w:bCs/>
          <w:lang w:val="lt-LT"/>
        </w:rPr>
      </w:pPr>
      <w:r>
        <w:rPr>
          <w:rFonts w:ascii="Times New Roman" w:hAnsi="Times New Roman" w:cs="Times New Roman"/>
          <w:b/>
          <w:bCs/>
          <w:lang w:val="lt-LT"/>
        </w:rPr>
        <w:t>6.</w:t>
      </w:r>
      <w:r>
        <w:rPr>
          <w:rFonts w:ascii="Times New Roman" w:hAnsi="Times New Roman" w:cs="Times New Roman"/>
          <w:b/>
          <w:bCs/>
          <w:lang w:val="lt-LT"/>
        </w:rPr>
        <w:tab/>
        <w:t>Šis Įstatymas taikomas vienetams, kurių mokestinis laikotarpis prasideda 2002 metais</w:t>
      </w:r>
    </w:p>
    <w:p w14:paraId="3E398FAC" w14:textId="77777777" w:rsidR="00093845" w:rsidRPr="0089549E" w:rsidRDefault="0089549E" w:rsidP="0089549E">
      <w:pPr>
        <w:pStyle w:val="Porat"/>
        <w:tabs>
          <w:tab w:val="left" w:pos="720"/>
          <w:tab w:val="left" w:pos="1077"/>
          <w:tab w:val="left" w:pos="1418"/>
        </w:tabs>
        <w:spacing w:line="240" w:lineRule="auto"/>
        <w:ind w:firstLine="0"/>
        <w:rPr>
          <w:rFonts w:ascii="Times New Roman" w:hAnsi="Times New Roman" w:cs="Times New Roman"/>
          <w:bCs/>
          <w:i/>
          <w:lang w:val="lt-LT"/>
        </w:rPr>
      </w:pPr>
      <w:r w:rsidRPr="0089549E">
        <w:rPr>
          <w:rFonts w:ascii="Times New Roman" w:hAnsi="Times New Roman" w:cs="Times New Roman"/>
          <w:bCs/>
          <w:i/>
          <w:lang w:val="lt-LT"/>
        </w:rPr>
        <w:t>(P</w:t>
      </w:r>
      <w:r w:rsidR="000D779E" w:rsidRPr="0089549E">
        <w:rPr>
          <w:rFonts w:ascii="Times New Roman" w:hAnsi="Times New Roman" w:cs="Times New Roman"/>
          <w:bCs/>
          <w:i/>
          <w:lang w:val="lt-LT"/>
        </w:rPr>
        <w:t>agal 2003 m. liepos 1 d. įstatymo Nr. IX-1659 redakciją šios dalies numeracija pakeista iš 4 į 6).</w:t>
      </w:r>
    </w:p>
    <w:p w14:paraId="41499306" w14:textId="77777777" w:rsidR="00093845" w:rsidRDefault="000D779E">
      <w:pPr>
        <w:ind w:firstLine="720"/>
        <w:jc w:val="both"/>
        <w:rPr>
          <w:b/>
          <w:bCs/>
          <w:lang w:val="lt-LT"/>
        </w:rPr>
      </w:pPr>
      <w:r>
        <w:rPr>
          <w:b/>
          <w:bCs/>
          <w:lang w:val="lt-LT"/>
        </w:rPr>
        <w:t>Komentaras</w:t>
      </w:r>
    </w:p>
    <w:p w14:paraId="3E9A2958" w14:textId="77777777" w:rsidR="00093845" w:rsidRDefault="000D779E">
      <w:pPr>
        <w:tabs>
          <w:tab w:val="left" w:pos="720"/>
          <w:tab w:val="left" w:pos="1077"/>
          <w:tab w:val="left" w:pos="1418"/>
        </w:tabs>
        <w:ind w:firstLine="720"/>
        <w:jc w:val="both"/>
        <w:rPr>
          <w:lang w:val="lt-LT"/>
        </w:rPr>
      </w:pPr>
      <w:r>
        <w:rPr>
          <w:lang w:val="lt-LT"/>
        </w:rPr>
        <w:t>PMĮ nuostatos taikomos visiems vienetams, kurių mokestinis laikotarpis prasideda 2002 ar vėlesniais kalendoriniais metais.</w:t>
      </w:r>
    </w:p>
    <w:p w14:paraId="3B30D87B" w14:textId="77777777" w:rsidR="00093845" w:rsidRDefault="00093845">
      <w:pPr>
        <w:tabs>
          <w:tab w:val="left" w:pos="720"/>
          <w:tab w:val="left" w:pos="1077"/>
          <w:tab w:val="left" w:pos="1418"/>
        </w:tabs>
        <w:ind w:firstLine="720"/>
        <w:jc w:val="both"/>
        <w:rPr>
          <w:lang w:val="lt-LT"/>
        </w:rPr>
      </w:pPr>
    </w:p>
    <w:p w14:paraId="5BEDB369" w14:textId="77777777" w:rsidR="00093845" w:rsidRDefault="000D779E">
      <w:pPr>
        <w:tabs>
          <w:tab w:val="left" w:pos="720"/>
          <w:tab w:val="left" w:pos="1077"/>
          <w:tab w:val="left" w:pos="1418"/>
        </w:tabs>
        <w:ind w:firstLine="720"/>
        <w:jc w:val="both"/>
        <w:rPr>
          <w:b/>
          <w:bCs/>
          <w:lang w:val="lt-LT"/>
        </w:rPr>
      </w:pPr>
      <w:r>
        <w:rPr>
          <w:b/>
          <w:bCs/>
          <w:lang w:val="lt-LT"/>
        </w:rPr>
        <w:t>7.</w:t>
      </w:r>
      <w:r>
        <w:rPr>
          <w:b/>
          <w:bCs/>
          <w:lang w:val="lt-LT"/>
        </w:rPr>
        <w:tab/>
        <w:t>Lietuvos Respublikos juridinių asmenų pelno mokesčio įstatymas taikomas vienetams, kurių mokestinis laikotarpis nesutampa su kalendoriniais metais, iki 2002 metais pasibaigsiančio mokestinio laikotarpio pabaigos, išskyrus atvejus, kai vienetai mokestį apskaičiuoja ir sumoka į biudžetą kaip mokestį išskaičiuojantys asmenys</w:t>
      </w:r>
    </w:p>
    <w:p w14:paraId="49089CFC" w14:textId="77777777" w:rsidR="00093845" w:rsidRPr="0089549E" w:rsidRDefault="0089549E" w:rsidP="0089549E">
      <w:pPr>
        <w:tabs>
          <w:tab w:val="left" w:pos="720"/>
          <w:tab w:val="left" w:pos="1077"/>
          <w:tab w:val="left" w:pos="1418"/>
        </w:tabs>
        <w:jc w:val="both"/>
        <w:rPr>
          <w:bCs/>
          <w:i/>
          <w:lang w:val="lt-LT"/>
        </w:rPr>
      </w:pPr>
      <w:r w:rsidRPr="0089549E">
        <w:rPr>
          <w:bCs/>
          <w:i/>
          <w:lang w:val="lt-LT"/>
        </w:rPr>
        <w:t>(P</w:t>
      </w:r>
      <w:r w:rsidR="000D779E" w:rsidRPr="0089549E">
        <w:rPr>
          <w:bCs/>
          <w:i/>
          <w:lang w:val="lt-LT"/>
        </w:rPr>
        <w:t>agal 2003 m. liepos 1 d. įstatymo Nr. IX-1659 redakciją šios dalies numeracija pakeista iš 5 į 7).</w:t>
      </w:r>
    </w:p>
    <w:p w14:paraId="6A7B4137" w14:textId="77777777" w:rsidR="00093845" w:rsidRDefault="000D779E">
      <w:pPr>
        <w:ind w:firstLine="720"/>
        <w:jc w:val="both"/>
        <w:rPr>
          <w:b/>
          <w:bCs/>
          <w:lang w:val="lt-LT"/>
        </w:rPr>
      </w:pPr>
      <w:r>
        <w:rPr>
          <w:b/>
          <w:bCs/>
          <w:lang w:val="lt-LT"/>
        </w:rPr>
        <w:t>Komentaras</w:t>
      </w:r>
    </w:p>
    <w:p w14:paraId="1581DABC" w14:textId="77777777" w:rsidR="00093845" w:rsidRDefault="000D779E">
      <w:pPr>
        <w:tabs>
          <w:tab w:val="left" w:pos="720"/>
          <w:tab w:val="left" w:pos="1077"/>
          <w:tab w:val="left" w:pos="1418"/>
        </w:tabs>
        <w:ind w:firstLine="720"/>
        <w:jc w:val="both"/>
        <w:rPr>
          <w:lang w:val="lt-LT"/>
        </w:rPr>
      </w:pPr>
      <w:r>
        <w:rPr>
          <w:lang w:val="lt-LT"/>
        </w:rPr>
        <w:t>Vienetams, kurių mokestinis laikotarpis nesutampa su kalendoriniais metais, PMĮ nuostatos taikomos skaičiuojant tokių vienetų pelno mokestį už nuo 2002 metų prasidedančius tokių vienetų mokestinius laikotarpius.</w:t>
      </w:r>
    </w:p>
    <w:p w14:paraId="31B12C86" w14:textId="77777777" w:rsidR="00093845" w:rsidRDefault="000D779E">
      <w:pPr>
        <w:pStyle w:val="Pagrindiniotekstotrauka2"/>
        <w:tabs>
          <w:tab w:val="left" w:pos="720"/>
          <w:tab w:val="left" w:pos="1077"/>
          <w:tab w:val="left" w:pos="1418"/>
        </w:tabs>
        <w:spacing w:line="240" w:lineRule="auto"/>
        <w:rPr>
          <w:b w:val="0"/>
          <w:bCs w:val="0"/>
        </w:rPr>
      </w:pPr>
      <w:r>
        <w:rPr>
          <w:b w:val="0"/>
          <w:bCs w:val="0"/>
        </w:rPr>
        <w:t xml:space="preserve">Tokie vienetai pelno mokestį už mokestinį laikotarpį, pasibaigiantį 2002 metais, privalo skaičiuoti ir mokėti vadovaudamiesi Lietuvos Respublikos </w:t>
      </w:r>
      <w:r w:rsidR="00455B80" w:rsidRPr="009C0219">
        <w:rPr>
          <w:rStyle w:val="Hipersaitas"/>
          <w:rFonts w:ascii="Times New Roman" w:hAnsi="Times New Roman" w:cs="Times New Roman"/>
          <w:kern w:val="0"/>
          <w:lang w:val="lt-LT"/>
        </w:rPr>
        <w:t>juridinių asmenų pelno mokesčio įstatymo</w:t>
      </w:r>
      <w:r>
        <w:rPr>
          <w:b w:val="0"/>
          <w:bCs w:val="0"/>
        </w:rPr>
        <w:t xml:space="preserve"> </w:t>
      </w:r>
      <w:r>
        <w:rPr>
          <w:b w:val="0"/>
          <w:bCs w:val="0"/>
        </w:rPr>
        <w:lastRenderedPageBreak/>
        <w:t>nuostatomis, t.y. šiame įstatyme nustatyta tvarka, terminais ir taikydami jame nustatytus mokesčio tarifus.</w:t>
      </w:r>
    </w:p>
    <w:p w14:paraId="7505DC6E" w14:textId="77777777" w:rsidR="00093845" w:rsidRDefault="000D779E">
      <w:pPr>
        <w:jc w:val="both"/>
        <w:rPr>
          <w:lang w:val="lt-LT"/>
        </w:rPr>
      </w:pPr>
      <w:r>
        <w:rPr>
          <w:lang w:val="lt-LT"/>
        </w:rPr>
        <w:tab/>
        <w:t xml:space="preserve">Jeigu vienetai, kurių mokestinis laikotarpis nesutampa su kalendoriniais metais, pelno mokestį skaičiuoja ir moka </w:t>
      </w:r>
      <w:r>
        <w:rPr>
          <w:u w:val="single"/>
          <w:lang w:val="lt-LT"/>
        </w:rPr>
        <w:t>kaip mokestį išskaičiuojantys asmenys</w:t>
      </w:r>
      <w:r>
        <w:rPr>
          <w:lang w:val="lt-LT"/>
        </w:rPr>
        <w:t>, tai, išskaičiuodami mokesčius, jie privalo taikyti PMĮ nuostatas nuo 2002 m. sausio 1 d.</w:t>
      </w:r>
    </w:p>
    <w:p w14:paraId="7CE65A4C" w14:textId="77777777" w:rsidR="00093845" w:rsidRDefault="000D779E">
      <w:pPr>
        <w:tabs>
          <w:tab w:val="left" w:pos="720"/>
          <w:tab w:val="left" w:pos="1077"/>
          <w:tab w:val="left" w:pos="1418"/>
        </w:tabs>
        <w:ind w:firstLine="720"/>
        <w:jc w:val="both"/>
        <w:rPr>
          <w:lang w:val="lt-LT"/>
        </w:rPr>
      </w:pPr>
      <w:r>
        <w:rPr>
          <w:lang w:val="lt-LT"/>
        </w:rPr>
        <w:t>Pavyzdys.</w:t>
      </w:r>
    </w:p>
    <w:p w14:paraId="2C231D02"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Lietuvos vieneto mokestinis laikotarpis nesutampa su kalendoriniais metais ir prasideda spalio 1 d., o baigiasi rugsėjo 30 d.</w:t>
      </w:r>
    </w:p>
    <w:p w14:paraId="5A1C91E5"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Toks vienetas pelno mokestį už mokestinį laikotarpį nuo 2001 m. spalio 1 d. iki 2002 m. rugsėjo 30 d. moka pagal Lietuvos Respublikos juridinių asmenų pelno mokesčio įstatymo nuostatas, o už mokestinį laikotarpį nuo 2002 m. spalio 1 d. iki 2003 m. rugsėjo 30 d. (ir už vėlesnius mokestinius laikotarpius) – pagal PMĮ nuostatas.</w:t>
      </w:r>
    </w:p>
    <w:p w14:paraId="1515D290" w14:textId="77777777" w:rsidR="00093845" w:rsidRDefault="000D779E">
      <w:pPr>
        <w:pBdr>
          <w:top w:val="single" w:sz="4" w:space="1" w:color="auto"/>
          <w:left w:val="single" w:sz="4" w:space="4" w:color="auto"/>
          <w:bottom w:val="single" w:sz="4" w:space="1" w:color="auto"/>
          <w:right w:val="single" w:sz="4" w:space="4" w:color="auto"/>
        </w:pBdr>
        <w:tabs>
          <w:tab w:val="left" w:pos="720"/>
          <w:tab w:val="left" w:pos="1077"/>
          <w:tab w:val="left" w:pos="1418"/>
        </w:tabs>
        <w:ind w:firstLine="720"/>
        <w:jc w:val="both"/>
        <w:rPr>
          <w:lang w:val="lt-LT"/>
        </w:rPr>
      </w:pPr>
      <w:r>
        <w:rPr>
          <w:lang w:val="lt-LT"/>
        </w:rPr>
        <w:t>Tas pats Lietuvos vienetas yra paėmęs iš užsienio vieneto (kuris nėra užsienio valstybės bankas) paskolą, už kurią kas mėnesį moka palūkanas. Palūkanos, kurias Lietuvos vienetas mokėjo užsienio vienetui už suteiktą paskolą iki 2001 m. gruodžio 31 d., turėjo būti apmokestinamos vadovaujantis Lietuvos Respublikos juridinių asmenų pelno mokesčio įstatymu, t.y. taikant 15 proc. mokesčio tarifą. Palūkanos, kurias Lietuvos vienetas moka užsienio vienetui už suteiktą paskolą po 2002 m. sausio 1 d. (neatsižvelgiant į tai, kad to Lietuvos vieneto mokestinis laikotarpis nesutampa su kalendoriniais metais), apmokestinamos vadovaujantis PMĮ, t.y. taikant 10 proc. mokesčio tarifą.</w:t>
      </w:r>
    </w:p>
    <w:p w14:paraId="013BA606" w14:textId="77777777" w:rsidR="00093845" w:rsidRDefault="00093845">
      <w:pPr>
        <w:tabs>
          <w:tab w:val="left" w:pos="720"/>
          <w:tab w:val="left" w:pos="1077"/>
          <w:tab w:val="left" w:pos="1418"/>
        </w:tabs>
        <w:ind w:firstLine="720"/>
        <w:jc w:val="both"/>
        <w:rPr>
          <w:lang w:val="lt-LT"/>
        </w:rPr>
      </w:pPr>
    </w:p>
    <w:p w14:paraId="685CE122" w14:textId="77777777" w:rsidR="00093845" w:rsidRDefault="000D779E">
      <w:pPr>
        <w:pStyle w:val="Pagrindiniotekstotrauka"/>
        <w:tabs>
          <w:tab w:val="left" w:pos="720"/>
          <w:tab w:val="left" w:pos="1077"/>
          <w:tab w:val="left" w:pos="1418"/>
        </w:tabs>
        <w:rPr>
          <w:rFonts w:ascii="Times New Roman" w:hAnsi="Times New Roman" w:cs="Times New Roman"/>
          <w:b/>
          <w:bCs/>
          <w:lang w:val="lt-LT"/>
        </w:rPr>
      </w:pPr>
      <w:r>
        <w:rPr>
          <w:rFonts w:ascii="Times New Roman" w:hAnsi="Times New Roman" w:cs="Times New Roman"/>
          <w:b/>
          <w:bCs/>
          <w:lang w:val="lt-LT"/>
        </w:rPr>
        <w:t>8.</w:t>
      </w:r>
      <w:r>
        <w:rPr>
          <w:rFonts w:ascii="Times New Roman" w:hAnsi="Times New Roman" w:cs="Times New Roman"/>
          <w:b/>
          <w:bCs/>
          <w:lang w:val="lt-LT"/>
        </w:rPr>
        <w:tab/>
        <w:t>Pasiūlyti Lietuvos Respublikos Vyriausybei parengti šiam Įstatymui įgyvendinti reikalingus teisės aktus</w:t>
      </w:r>
    </w:p>
    <w:p w14:paraId="4E35D4F4" w14:textId="77777777" w:rsidR="00093845" w:rsidRDefault="0089549E" w:rsidP="0089549E">
      <w:pPr>
        <w:pStyle w:val="Pagrindiniotekstotrauka"/>
        <w:tabs>
          <w:tab w:val="left" w:pos="720"/>
          <w:tab w:val="left" w:pos="1077"/>
          <w:tab w:val="left" w:pos="1418"/>
        </w:tabs>
        <w:ind w:firstLine="0"/>
        <w:rPr>
          <w:rFonts w:ascii="Times New Roman" w:hAnsi="Times New Roman" w:cs="Times New Roman"/>
          <w:bCs/>
          <w:lang w:val="lt-LT"/>
        </w:rPr>
      </w:pPr>
      <w:r w:rsidRPr="0089549E">
        <w:rPr>
          <w:rFonts w:ascii="Times New Roman" w:hAnsi="Times New Roman" w:cs="Times New Roman"/>
          <w:bCs/>
          <w:i/>
          <w:lang w:val="lt-LT"/>
        </w:rPr>
        <w:t>(P</w:t>
      </w:r>
      <w:r w:rsidR="000D779E" w:rsidRPr="0089549E">
        <w:rPr>
          <w:rFonts w:ascii="Times New Roman" w:hAnsi="Times New Roman" w:cs="Times New Roman"/>
          <w:bCs/>
          <w:i/>
          <w:lang w:val="lt-LT"/>
        </w:rPr>
        <w:t>agal 2003 m. liepos 1 d. įstatymo Nr. IX-1659 redakciją šios dalies numeracija pakeista iš 6 į 8)</w:t>
      </w:r>
      <w:r w:rsidR="000D779E">
        <w:rPr>
          <w:rFonts w:ascii="Times New Roman" w:hAnsi="Times New Roman" w:cs="Times New Roman"/>
          <w:bCs/>
          <w:lang w:val="lt-LT"/>
        </w:rPr>
        <w:t>.</w:t>
      </w:r>
    </w:p>
    <w:p w14:paraId="023786C3" w14:textId="77777777" w:rsidR="00093845" w:rsidRDefault="000D779E">
      <w:pPr>
        <w:ind w:firstLine="720"/>
        <w:jc w:val="both"/>
        <w:rPr>
          <w:b/>
          <w:bCs/>
          <w:lang w:val="lt-LT"/>
        </w:rPr>
      </w:pPr>
      <w:r>
        <w:rPr>
          <w:b/>
          <w:bCs/>
          <w:lang w:val="lt-LT"/>
        </w:rPr>
        <w:t>Komentaras</w:t>
      </w:r>
    </w:p>
    <w:p w14:paraId="27398C75" w14:textId="77777777" w:rsidR="00093845" w:rsidRDefault="000D779E">
      <w:pPr>
        <w:tabs>
          <w:tab w:val="left" w:pos="720"/>
          <w:tab w:val="left" w:pos="1077"/>
          <w:tab w:val="left" w:pos="1418"/>
        </w:tabs>
        <w:ind w:firstLine="720"/>
        <w:jc w:val="both"/>
        <w:rPr>
          <w:lang w:val="lt-LT"/>
        </w:rPr>
      </w:pPr>
      <w:r>
        <w:rPr>
          <w:lang w:val="lt-LT"/>
        </w:rPr>
        <w:t>Remiantis šios dalies nuostata, Lietuvos Respublikos Vyriausybė yra įgaliota pati arba pavesdama Lietuvos Respublikos finansų ministerijai ar kitai valstybinei institucijai parengti PMĮ įgyvendinimui reikalingus teisės aktus (nutarimus, tvarkas, įsakymus ir pan.).</w:t>
      </w:r>
    </w:p>
    <w:p w14:paraId="65CE1F06" w14:textId="77777777" w:rsidR="00093845" w:rsidRDefault="000D779E">
      <w:pPr>
        <w:pStyle w:val="tajtip"/>
        <w:jc w:val="both"/>
        <w:rPr>
          <w:b/>
        </w:rPr>
      </w:pPr>
      <w:r>
        <w:t xml:space="preserve">          </w:t>
      </w:r>
      <w:r>
        <w:rPr>
          <w:b/>
        </w:rPr>
        <w:t xml:space="preserve">9.  Individualių (personalinių) įmonių ir ūkinių bendrijų nuo 2002 m. liepos 1 d. sumokėta (išieškota) fizinių asmenų pajamų mokesčio, avansinio fizinių asmenų pajamų mokesčio ir išskaičiuoto prie šaltinio fizinių asmenų pajamų mokesčio (išskyrus fizinių asmenų pajamų mokesčio, išskaičiuoto nuo fiziniams asmenims išmokamų sumų) mokestinė nepriemoka įskaitoma ta pačia tvarka kaip ir pelno mokestis, avansinis pelno mokestis ir išskaičiuotas prie šaltinio pelno mokestis. </w:t>
      </w:r>
    </w:p>
    <w:p w14:paraId="2F8914B4" w14:textId="77777777" w:rsidR="00093845" w:rsidRPr="0089549E" w:rsidRDefault="000D779E">
      <w:pPr>
        <w:rPr>
          <w:i/>
        </w:rPr>
      </w:pPr>
      <w:r w:rsidRPr="0089549E">
        <w:rPr>
          <w:i/>
        </w:rPr>
        <w:t xml:space="preserve">2002 m. liepos  2 d. įstatymo </w:t>
      </w:r>
      <w:hyperlink r:id="rId147" w:tgtFrame="FTurinys" w:tooltip="Lietuvos Respublikos pelno mokesčio įstatymo 33, 58, 59 straipsnių pakeitimo ir papildymo įstatymas" w:history="1">
        <w:r w:rsidRPr="0089549E">
          <w:rPr>
            <w:rStyle w:val="Hipersaitas"/>
            <w:b w:val="0"/>
            <w:i/>
            <w:iCs/>
            <w:color w:val="000000"/>
          </w:rPr>
          <w:t>Nr. IX-1008</w:t>
        </w:r>
      </w:hyperlink>
      <w:r w:rsidRPr="0089549E">
        <w:rPr>
          <w:b/>
          <w:i/>
        </w:rPr>
        <w:t xml:space="preserve">  </w:t>
      </w:r>
      <w:r w:rsidRPr="0089549E">
        <w:rPr>
          <w:i/>
        </w:rPr>
        <w:t xml:space="preserve">(nuo 2002 m. liepos 19 d.) ir     2003 m. liepos  1 d. įstatymo </w:t>
      </w:r>
      <w:hyperlink r:id="rId148" w:tgtFrame="FTurinys" w:tooltip="Lietuvos Respublikos pelno mokesčio įstatymo 2, 4, 5, 12, 13, 18, 19, 20, 27, 31, 33, 35, 38, 41, 55, 57, 58, 59 straipsnių pakeitimo ir papildymo įstatymas" w:history="1">
        <w:r w:rsidRPr="0089549E">
          <w:rPr>
            <w:rStyle w:val="Hipersaitas"/>
            <w:b w:val="0"/>
            <w:i/>
            <w:iCs/>
            <w:color w:val="000000"/>
          </w:rPr>
          <w:t>Nr. IX-1659</w:t>
        </w:r>
      </w:hyperlink>
      <w:r w:rsidRPr="0089549E">
        <w:rPr>
          <w:b/>
          <w:i/>
        </w:rPr>
        <w:t xml:space="preserve">  </w:t>
      </w:r>
      <w:r w:rsidRPr="0089549E">
        <w:rPr>
          <w:i/>
        </w:rPr>
        <w:t>(nuo 2003 m. liepos 25 d.) redakcija</w:t>
      </w:r>
    </w:p>
    <w:p w14:paraId="38EC09F8" w14:textId="77777777" w:rsidR="00CD030E" w:rsidRDefault="000D779E" w:rsidP="00CD030E">
      <w:pPr>
        <w:pStyle w:val="tajtip"/>
        <w:jc w:val="both"/>
        <w:rPr>
          <w:b/>
        </w:rPr>
      </w:pPr>
      <w:r>
        <w:t xml:space="preserve">          </w:t>
      </w:r>
      <w:r>
        <w:rPr>
          <w:b/>
        </w:rPr>
        <w:t>10.  Šio įstatymo 40 straipsnis santykiams, susijusiems su naujos branduolinės (atominės) elektrinės projektu ir su juo susijusiais klausimais, taikomas tiek, kiek jų nereglamentuoja Branduolinės (atominės) elektrinės įstatymas.</w:t>
      </w:r>
    </w:p>
    <w:p w14:paraId="52473AFF" w14:textId="77777777" w:rsidR="00093845" w:rsidRPr="00CD030E" w:rsidRDefault="000D779E" w:rsidP="00CD030E">
      <w:pPr>
        <w:pStyle w:val="tajtip"/>
        <w:jc w:val="both"/>
        <w:rPr>
          <w:b/>
          <w:i/>
        </w:rPr>
      </w:pPr>
      <w:r w:rsidRPr="00CD030E">
        <w:rPr>
          <w:i/>
        </w:rPr>
        <w:t xml:space="preserve">2012 m. birželio 26 d. įstatymo  </w:t>
      </w:r>
      <w:hyperlink r:id="rId149" w:tgtFrame="FTurinys" w:tooltip="Lietuvos Respublikos pelno mokesčio įstatymo 59 straipsnio papildymo įstatymas" w:history="1">
        <w:r w:rsidRPr="00CD030E">
          <w:rPr>
            <w:rStyle w:val="Hipersaitas"/>
            <w:rFonts w:ascii="Times New Roman" w:hAnsi="Times New Roman" w:cs="Times New Roman"/>
            <w:b w:val="0"/>
            <w:i/>
            <w:iCs/>
            <w:color w:val="000000"/>
          </w:rPr>
          <w:t>Nr. XI-2117</w:t>
        </w:r>
      </w:hyperlink>
      <w:r w:rsidRPr="00CD030E">
        <w:rPr>
          <w:b/>
          <w:i/>
        </w:rPr>
        <w:t xml:space="preserve">  </w:t>
      </w:r>
      <w:r w:rsidRPr="00CD030E">
        <w:rPr>
          <w:i/>
        </w:rPr>
        <w:t xml:space="preserve">(nuo 2012 m. birželio 30 d.) </w:t>
      </w:r>
    </w:p>
    <w:p w14:paraId="11AF228E" w14:textId="77777777" w:rsidR="00487DCA" w:rsidRPr="0067342F" w:rsidRDefault="00487DCA" w:rsidP="00487DCA">
      <w:pPr>
        <w:pStyle w:val="taltipfb"/>
        <w:rPr>
          <w:color w:val="000000"/>
        </w:rPr>
      </w:pPr>
      <w:bookmarkStart w:id="940" w:name="skyrius12"/>
      <w:bookmarkStart w:id="941" w:name="skyrius591"/>
      <w:bookmarkEnd w:id="940"/>
      <w:bookmarkEnd w:id="941"/>
      <w:r w:rsidRPr="0067342F">
        <w:rPr>
          <w:b/>
          <w:bCs/>
          <w:color w:val="000000"/>
        </w:rPr>
        <w:lastRenderedPageBreak/>
        <w:t>59</w:t>
      </w:r>
      <w:r w:rsidRPr="0067342F">
        <w:rPr>
          <w:b/>
          <w:bCs/>
          <w:color w:val="000000"/>
          <w:vertAlign w:val="superscript"/>
        </w:rPr>
        <w:t>1</w:t>
      </w:r>
      <w:r w:rsidR="0067342F" w:rsidRPr="0067342F">
        <w:rPr>
          <w:b/>
          <w:bCs/>
          <w:color w:val="000000"/>
          <w:vertAlign w:val="superscript"/>
        </w:rPr>
        <w:t xml:space="preserve">  </w:t>
      </w:r>
      <w:r w:rsidR="0067342F" w:rsidRPr="0067342F">
        <w:rPr>
          <w:b/>
          <w:bCs/>
          <w:color w:val="000000"/>
        </w:rPr>
        <w:t>STRAIPSNIS.</w:t>
      </w:r>
      <w:r w:rsidRPr="0067342F">
        <w:rPr>
          <w:b/>
          <w:bCs/>
          <w:color w:val="000000"/>
        </w:rPr>
        <w:t xml:space="preserve"> Įstatymo taikymas Jungtinei Didžiosios Britanijos ir Šiaurės Airijos Karalystei</w:t>
      </w:r>
    </w:p>
    <w:p w14:paraId="06CD53DE" w14:textId="77777777" w:rsidR="00487DCA" w:rsidRPr="0067342F" w:rsidRDefault="00CD030E" w:rsidP="00487DCA">
      <w:pPr>
        <w:pStyle w:val="tartip"/>
        <w:rPr>
          <w:color w:val="000000"/>
        </w:rPr>
      </w:pPr>
      <w:r>
        <w:rPr>
          <w:i/>
          <w:iCs/>
          <w:color w:val="000000"/>
        </w:rPr>
        <w:t>(</w:t>
      </w:r>
      <w:r w:rsidR="00487DCA" w:rsidRPr="0067342F">
        <w:rPr>
          <w:i/>
          <w:iCs/>
          <w:color w:val="000000"/>
        </w:rPr>
        <w:t>KEISTA:2019 04 11 įstatymu Nr. XIII-2052 (2020 02 01)</w:t>
      </w:r>
      <w:r>
        <w:rPr>
          <w:i/>
          <w:iCs/>
          <w:color w:val="000000"/>
        </w:rPr>
        <w:t>)</w:t>
      </w:r>
    </w:p>
    <w:p w14:paraId="0E171A8F" w14:textId="77777777" w:rsidR="00487DCA" w:rsidRPr="0067342F" w:rsidRDefault="00487DCA" w:rsidP="00487DCA">
      <w:pPr>
        <w:pStyle w:val="tartip"/>
        <w:rPr>
          <w:color w:val="000000"/>
        </w:rPr>
      </w:pPr>
      <w:r w:rsidRPr="0067342F">
        <w:rPr>
          <w:i/>
          <w:iCs/>
          <w:color w:val="000000"/>
        </w:rPr>
        <w:t>(TAR, 2019, Nr. 2019-06688)</w:t>
      </w:r>
    </w:p>
    <w:p w14:paraId="27628830" w14:textId="77777777" w:rsidR="00487DCA" w:rsidRPr="0067342F" w:rsidRDefault="00487DCA" w:rsidP="00487DCA">
      <w:pPr>
        <w:pStyle w:val="tajtip"/>
        <w:rPr>
          <w:color w:val="000000"/>
        </w:rPr>
      </w:pPr>
      <w:r w:rsidRPr="0067342F">
        <w:rPr>
          <w:color w:val="000000"/>
        </w:rPr>
        <w:t> Dvejus metus nuo Jungtinės Didžiosios Britanijos ir Šiaurės Airijos Karalystės išstojimo iš Europos Sąjungos dienos šio Įstatymo I, V, VII–IX ir X</w:t>
      </w:r>
      <w:r w:rsidRPr="0067342F">
        <w:rPr>
          <w:color w:val="000000"/>
          <w:vertAlign w:val="superscript"/>
        </w:rPr>
        <w:t>1</w:t>
      </w:r>
      <w:r w:rsidRPr="0067342F">
        <w:rPr>
          <w:color w:val="000000"/>
        </w:rPr>
        <w:t xml:space="preserve"> skyrių nuostatos Jungtinei Didžiosios Britanijos ir Šiaurės Airijos Karalystei taikomos tiek pat, kiek ir Europos Sąjungos valstybėms narėms. </w:t>
      </w:r>
    </w:p>
    <w:p w14:paraId="0A0F61AC" w14:textId="77777777" w:rsidR="00487DCA" w:rsidRPr="0067342F" w:rsidRDefault="00487DCA" w:rsidP="00487DCA">
      <w:pPr>
        <w:pStyle w:val="tajtip"/>
        <w:rPr>
          <w:color w:val="000000"/>
        </w:rPr>
      </w:pPr>
      <w:r w:rsidRPr="0067342F">
        <w:rPr>
          <w:color w:val="000000"/>
        </w:rPr>
        <w:t>INFOLEX PASTABA: 2019 04 11 įstatymas Nr. XIII-2052 (TAR, 2019, Nr. 2019-06688) įsigalioja Jungtinės Didžiosios Britanijos ir Šiaurės Airijos Karalystės išstojimo iš Europos Sąjungos dieną.</w:t>
      </w:r>
    </w:p>
    <w:p w14:paraId="0B22BADC" w14:textId="77777777" w:rsidR="00487DCA" w:rsidRPr="008B60DD" w:rsidRDefault="00487DCA">
      <w:pPr>
        <w:pStyle w:val="HTMLiankstoformatuotas"/>
        <w:rPr>
          <w:rFonts w:ascii="Times New Roman" w:hAnsi="Times New Roman" w:cs="Times New Roman"/>
          <w:sz w:val="24"/>
          <w:szCs w:val="24"/>
          <w:lang w:val="lt-LT"/>
        </w:rPr>
      </w:pPr>
    </w:p>
    <w:p w14:paraId="4E674650" w14:textId="77777777" w:rsidR="00093845" w:rsidRDefault="000D779E">
      <w:pPr>
        <w:pStyle w:val="Antrat5"/>
        <w:jc w:val="both"/>
        <w:rPr>
          <w:rFonts w:ascii="Times New Roman" w:hAnsi="Times New Roman"/>
        </w:rPr>
      </w:pPr>
      <w:bookmarkStart w:id="942" w:name="_60_straipsnis._Netenkantys"/>
      <w:bookmarkEnd w:id="942"/>
      <w:r>
        <w:rPr>
          <w:rFonts w:ascii="Times New Roman" w:hAnsi="Times New Roman"/>
        </w:rPr>
        <w:t>60 STRAIPSNIS. Netenkantys galios teisės aktai</w:t>
      </w:r>
    </w:p>
    <w:p w14:paraId="6B015456" w14:textId="77777777" w:rsidR="00093845" w:rsidRDefault="000D779E">
      <w:pPr>
        <w:tabs>
          <w:tab w:val="left" w:pos="720"/>
          <w:tab w:val="left" w:pos="1077"/>
          <w:tab w:val="left" w:pos="1418"/>
        </w:tabs>
        <w:ind w:firstLine="720"/>
        <w:jc w:val="both"/>
        <w:rPr>
          <w:b/>
          <w:bCs/>
          <w:lang w:val="lt-LT"/>
        </w:rPr>
      </w:pPr>
      <w:r>
        <w:rPr>
          <w:b/>
          <w:bCs/>
          <w:lang w:val="lt-LT"/>
        </w:rPr>
        <w:t xml:space="preserve">Nuo 2003 m. sausio 1 d. netenka galios: </w:t>
      </w:r>
    </w:p>
    <w:p w14:paraId="2D0D48F3" w14:textId="77777777" w:rsidR="00093845" w:rsidRDefault="000D779E">
      <w:pPr>
        <w:tabs>
          <w:tab w:val="left" w:pos="720"/>
          <w:tab w:val="left" w:pos="1077"/>
          <w:tab w:val="left" w:pos="1418"/>
        </w:tabs>
        <w:ind w:firstLine="720"/>
        <w:jc w:val="both"/>
        <w:rPr>
          <w:b/>
          <w:bCs/>
          <w:lang w:val="lt-LT"/>
        </w:rPr>
      </w:pPr>
      <w:r>
        <w:rPr>
          <w:b/>
          <w:bCs/>
          <w:lang w:val="lt-LT"/>
        </w:rPr>
        <w:t>1)</w:t>
      </w:r>
      <w:r>
        <w:rPr>
          <w:b/>
          <w:bCs/>
          <w:lang w:val="lt-LT"/>
        </w:rPr>
        <w:tab/>
        <w:t>Lietuvos Respublikos juridinių asmenų pelno mokesčio įstatymas (Žin., 1990, Nr. 24-601, Nr. 30-715; 1991, Nr. 16-426, Nr. 20-520; 1992, Nr. 6-110; 1993, Nr. 16-404, Nr. 30-682, Nr. 70-1306; 1994, Nr. 15-251, Nr. 55-1052, Nr. 100-1999; 1995, Nr. 34-813; 1996, Nr. 1-3, Nr. 35-862, Nr. 46-1105, Nr. 62-1463, Nr. 66-1577, Nr. 71-1715, Nr. 73-1746; 1997, Nr. 28-661, Nr. 61-1442, Nr. 63-1473, Nr. 69-1745; 1998, Nr. 68-1977; 1999, Nr. 33-948, Nr. 55-1771, Nr. 64-2072, Nr. 98-2812, Nr. 113-3291; 2000, Nr. 36-988, Nr. 45-1291, Nr. 61-1819, Nr. 64-1912; 2001, Nr. 45-1572, Nr. 56-1979, Nr. 62-2235);</w:t>
      </w:r>
    </w:p>
    <w:p w14:paraId="71B466B8" w14:textId="77777777" w:rsidR="00093845" w:rsidRDefault="000D779E">
      <w:pPr>
        <w:ind w:firstLine="720"/>
        <w:jc w:val="both"/>
        <w:rPr>
          <w:b/>
          <w:bCs/>
          <w:lang w:val="lt-LT"/>
        </w:rPr>
      </w:pPr>
      <w:r>
        <w:rPr>
          <w:b/>
          <w:bCs/>
          <w:lang w:val="lt-LT"/>
        </w:rPr>
        <w:t>Komentaras</w:t>
      </w:r>
    </w:p>
    <w:p w14:paraId="30D595E2" w14:textId="77777777" w:rsidR="00093845" w:rsidRDefault="000D779E" w:rsidP="00132F37">
      <w:pPr>
        <w:tabs>
          <w:tab w:val="left" w:pos="720"/>
          <w:tab w:val="left" w:pos="1077"/>
          <w:tab w:val="left" w:pos="1418"/>
        </w:tabs>
        <w:spacing w:after="0"/>
        <w:ind w:firstLine="720"/>
        <w:jc w:val="both"/>
        <w:rPr>
          <w:lang w:val="lt-LT"/>
        </w:rPr>
      </w:pPr>
      <w:r>
        <w:rPr>
          <w:lang w:val="lt-LT"/>
        </w:rPr>
        <w:t xml:space="preserve">Lietuvos Respublikos </w:t>
      </w:r>
      <w:r w:rsidR="00253490" w:rsidRPr="009C0219">
        <w:rPr>
          <w:rStyle w:val="Hipersaitas"/>
          <w:rFonts w:ascii="Times New Roman" w:hAnsi="Times New Roman" w:cs="Times New Roman"/>
          <w:b w:val="0"/>
          <w:bCs w:val="0"/>
          <w:kern w:val="0"/>
          <w:lang w:val="lt-LT"/>
        </w:rPr>
        <w:t>juridinių asmenų pelno mokesčio įstatymas</w:t>
      </w:r>
      <w:r>
        <w:rPr>
          <w:lang w:val="lt-LT"/>
        </w:rPr>
        <w:t xml:space="preserve"> (toliau - JAPMĮ) buvo priimtas 1990 m. liepos 31 d. Jo visos nuostatos buvo taikytos iki PMĮ įsigaliojimo, t.y. iki 2001 m. gruodžio 31 d.</w:t>
      </w:r>
    </w:p>
    <w:p w14:paraId="0CE3CE74" w14:textId="77777777" w:rsidR="00093845" w:rsidRDefault="000D779E" w:rsidP="00132F37">
      <w:pPr>
        <w:tabs>
          <w:tab w:val="left" w:pos="720"/>
          <w:tab w:val="left" w:pos="1077"/>
          <w:tab w:val="left" w:pos="1418"/>
        </w:tabs>
        <w:spacing w:after="0"/>
        <w:ind w:firstLine="720"/>
        <w:jc w:val="both"/>
        <w:rPr>
          <w:lang w:val="lt-LT"/>
        </w:rPr>
      </w:pPr>
      <w:r>
        <w:rPr>
          <w:lang w:val="lt-LT"/>
        </w:rPr>
        <w:t>Pereinamuoju laikotarpiu, t.y. nuo 2002 m. sausio 1 d. iki 2002 m. gruodžio 31 d., JAPMĮ nuostatos buvo taikomos tik tiems vienetams, kurių mokestinis laikotarpis nesutampa su kalendoriniais metais ir pasibaigia 2002 metais (Žr. PMĮ 59 str. 5 dalies komentarą).</w:t>
      </w:r>
    </w:p>
    <w:p w14:paraId="1A73F955" w14:textId="77777777" w:rsidR="00093845" w:rsidRDefault="000D779E" w:rsidP="00132F37">
      <w:pPr>
        <w:tabs>
          <w:tab w:val="left" w:pos="720"/>
          <w:tab w:val="left" w:pos="1077"/>
          <w:tab w:val="left" w:pos="1418"/>
        </w:tabs>
        <w:spacing w:after="0"/>
        <w:ind w:firstLine="720"/>
        <w:jc w:val="both"/>
        <w:rPr>
          <w:lang w:val="lt-LT"/>
        </w:rPr>
      </w:pPr>
      <w:r>
        <w:rPr>
          <w:lang w:val="lt-LT"/>
        </w:rPr>
        <w:t>Nuo 2003 m. sausio 1 d. visos JAPMĮ (ir jį keitusių ar papildžiusių įstatymų) nuostatos netenka galios ir nebetaikomos jokiems vienetams.</w:t>
      </w:r>
    </w:p>
    <w:p w14:paraId="6E30E667" w14:textId="77777777" w:rsidR="00093845" w:rsidRDefault="000D779E">
      <w:pPr>
        <w:pStyle w:val="Pagrindiniotekstotrauka3"/>
        <w:tabs>
          <w:tab w:val="left" w:pos="720"/>
          <w:tab w:val="left" w:pos="1077"/>
          <w:tab w:val="left" w:pos="1418"/>
        </w:tabs>
        <w:rPr>
          <w:rFonts w:ascii="Times New Roman" w:hAnsi="Times New Roman"/>
          <w:b/>
          <w:bCs/>
        </w:rPr>
      </w:pPr>
      <w:r>
        <w:rPr>
          <w:rFonts w:ascii="Times New Roman" w:hAnsi="Times New Roman"/>
          <w:b/>
          <w:bCs/>
        </w:rPr>
        <w:t>2)</w:t>
      </w:r>
      <w:r>
        <w:rPr>
          <w:rFonts w:ascii="Times New Roman" w:hAnsi="Times New Roman"/>
          <w:b/>
          <w:bCs/>
        </w:rPr>
        <w:tab/>
        <w:t>Lietuvos Respublikos žemės ūkio produkciją gaminančių ir paslaugas žemės ūkiui teikiančių įmonių atleidimo nuo juridinių asmenų pelno mokesčio įstatymas (Žin., 1997, Nr. 117-2998);</w:t>
      </w:r>
    </w:p>
    <w:p w14:paraId="6503E3EB" w14:textId="77777777" w:rsidR="00093845" w:rsidRDefault="000D779E">
      <w:pPr>
        <w:tabs>
          <w:tab w:val="left" w:pos="720"/>
          <w:tab w:val="left" w:pos="1077"/>
          <w:tab w:val="left" w:pos="1418"/>
        </w:tabs>
        <w:ind w:firstLine="720"/>
        <w:jc w:val="both"/>
        <w:rPr>
          <w:lang w:val="lt-LT"/>
        </w:rPr>
      </w:pPr>
      <w:r>
        <w:rPr>
          <w:b/>
          <w:bCs/>
          <w:lang w:val="lt-LT"/>
        </w:rPr>
        <w:t>Komentaras</w:t>
      </w:r>
    </w:p>
    <w:p w14:paraId="614B9ACA" w14:textId="77777777" w:rsidR="00093845" w:rsidRDefault="000D779E" w:rsidP="00132F37">
      <w:pPr>
        <w:tabs>
          <w:tab w:val="left" w:pos="720"/>
          <w:tab w:val="left" w:pos="1077"/>
          <w:tab w:val="left" w:pos="1418"/>
        </w:tabs>
        <w:spacing w:after="0"/>
        <w:ind w:firstLine="720"/>
        <w:jc w:val="both"/>
        <w:rPr>
          <w:lang w:val="lt-LT"/>
        </w:rPr>
      </w:pPr>
      <w:r>
        <w:rPr>
          <w:lang w:val="lt-LT"/>
        </w:rPr>
        <w:t xml:space="preserve">Lietuvos Respublikos </w:t>
      </w:r>
      <w:r w:rsidR="00253490" w:rsidRPr="009C0219">
        <w:rPr>
          <w:rStyle w:val="Hipersaitas"/>
          <w:rFonts w:ascii="Times New Roman" w:hAnsi="Times New Roman" w:cs="Times New Roman"/>
          <w:b w:val="0"/>
          <w:bCs w:val="0"/>
          <w:kern w:val="0"/>
          <w:lang w:val="lt-LT"/>
        </w:rPr>
        <w:t>žemės ūkio produkciją gaminančių ir paslaugas žemės ūkiui teikiančių įmonių atleidimo nuo juridinių asmenų pelno mokesčio įstatymo</w:t>
      </w:r>
      <w:r>
        <w:rPr>
          <w:lang w:val="lt-LT"/>
        </w:rPr>
        <w:t xml:space="preserve"> nuostatos taikomos iki 2002 m. gruodžio 31 d.</w:t>
      </w:r>
    </w:p>
    <w:p w14:paraId="2C7E3138" w14:textId="77777777" w:rsidR="00093845" w:rsidRDefault="000D779E" w:rsidP="00132F37">
      <w:pPr>
        <w:pStyle w:val="Pagrindiniotekstotrauka2"/>
        <w:tabs>
          <w:tab w:val="left" w:pos="720"/>
          <w:tab w:val="left" w:pos="1077"/>
          <w:tab w:val="left" w:pos="1418"/>
        </w:tabs>
        <w:spacing w:after="0" w:line="240" w:lineRule="auto"/>
        <w:rPr>
          <w:b w:val="0"/>
          <w:bCs w:val="0"/>
        </w:rPr>
      </w:pPr>
      <w:r>
        <w:rPr>
          <w:b w:val="0"/>
          <w:bCs w:val="0"/>
        </w:rPr>
        <w:t>Atkreipiame dėmesį, kad PMĮ 58 str. 16 d. 1 punkte numatyta pelno mokesčio lengvata žemės ūkio produkciją gaminantiems juridiniams asmenims ir paslaugas žemės ūkiui teikiančioms specializuotoms įmonėms, kuri yra analogiška lengvatai, nustatytai aukščiau minimame įstatyme.</w:t>
      </w:r>
    </w:p>
    <w:p w14:paraId="0032F229" w14:textId="77777777" w:rsidR="00132F37" w:rsidRDefault="00132F37">
      <w:pPr>
        <w:pStyle w:val="Pagrindiniotekstotrauka2"/>
        <w:tabs>
          <w:tab w:val="left" w:pos="720"/>
          <w:tab w:val="left" w:pos="1077"/>
          <w:tab w:val="left" w:pos="1418"/>
        </w:tabs>
        <w:spacing w:line="240" w:lineRule="auto"/>
      </w:pPr>
    </w:p>
    <w:p w14:paraId="3D80C6F1" w14:textId="77777777" w:rsidR="00093845" w:rsidRDefault="000D779E">
      <w:pPr>
        <w:pStyle w:val="Pagrindiniotekstotrauka2"/>
        <w:tabs>
          <w:tab w:val="left" w:pos="720"/>
          <w:tab w:val="left" w:pos="1077"/>
          <w:tab w:val="left" w:pos="1418"/>
        </w:tabs>
        <w:spacing w:line="240" w:lineRule="auto"/>
      </w:pPr>
      <w:r>
        <w:lastRenderedPageBreak/>
        <w:t>3)</w:t>
      </w:r>
      <w:r>
        <w:tab/>
        <w:t>Lietuvos Respublikos žemės ūkio produkciją gaminančių ir paslaugas žemės ūkiui teikiančių ūkinių bendrijų ir individualių (personalinių) įmonių atleidimo nuo fizinių asmenų pajamų mokesčio įstatymas (Žin., 1997, Nr. 117-2999).</w:t>
      </w:r>
    </w:p>
    <w:p w14:paraId="105CE04D" w14:textId="77777777" w:rsidR="00093845" w:rsidRDefault="000D779E">
      <w:pPr>
        <w:tabs>
          <w:tab w:val="left" w:pos="720"/>
          <w:tab w:val="left" w:pos="1077"/>
          <w:tab w:val="left" w:pos="1418"/>
        </w:tabs>
        <w:ind w:firstLine="720"/>
        <w:jc w:val="both"/>
        <w:rPr>
          <w:b/>
          <w:bCs/>
          <w:lang w:val="lt-LT"/>
        </w:rPr>
      </w:pPr>
      <w:r>
        <w:rPr>
          <w:b/>
          <w:bCs/>
          <w:lang w:val="lt-LT"/>
        </w:rPr>
        <w:t>Komentaras</w:t>
      </w:r>
    </w:p>
    <w:p w14:paraId="5615962E" w14:textId="77777777" w:rsidR="00093845" w:rsidRDefault="000D779E" w:rsidP="00132F37">
      <w:pPr>
        <w:pStyle w:val="Pagrindinistekstas2"/>
        <w:tabs>
          <w:tab w:val="left" w:pos="720"/>
          <w:tab w:val="left" w:pos="1077"/>
          <w:tab w:val="left" w:pos="1418"/>
        </w:tabs>
        <w:spacing w:after="0"/>
        <w:ind w:firstLine="720"/>
        <w:jc w:val="both"/>
        <w:rPr>
          <w:b w:val="0"/>
          <w:bCs w:val="0"/>
          <w:sz w:val="24"/>
        </w:rPr>
      </w:pPr>
      <w:r>
        <w:rPr>
          <w:b w:val="0"/>
          <w:bCs w:val="0"/>
          <w:sz w:val="24"/>
        </w:rPr>
        <w:t xml:space="preserve">Lietuvos Respublikos </w:t>
      </w:r>
      <w:r w:rsidR="00253490" w:rsidRPr="009C0219">
        <w:rPr>
          <w:rStyle w:val="Hipersaitas"/>
          <w:rFonts w:ascii="Times New Roman" w:hAnsi="Times New Roman" w:cs="Times New Roman"/>
          <w:kern w:val="0"/>
          <w:lang w:val="lt-LT"/>
        </w:rPr>
        <w:t>žemės ūkio produkciją gaminančių ir paslaugas žemės ūkiui teikiančių ūkinių bendrijų ir individualių (personalinių) įmonių atleidimo nuo fizinių asmenų pajamų mokesčio įstatymo</w:t>
      </w:r>
      <w:r>
        <w:rPr>
          <w:b w:val="0"/>
          <w:bCs w:val="0"/>
          <w:sz w:val="24"/>
        </w:rPr>
        <w:t xml:space="preserve"> nuostatos taikomos iki 2002 m. gruodžio 31 d.</w:t>
      </w:r>
    </w:p>
    <w:p w14:paraId="152F42FF" w14:textId="77777777" w:rsidR="00093845" w:rsidRDefault="000D779E" w:rsidP="00132F37">
      <w:pPr>
        <w:pStyle w:val="Pagrindiniotekstotrauka"/>
        <w:tabs>
          <w:tab w:val="left" w:pos="720"/>
          <w:tab w:val="left" w:pos="1077"/>
          <w:tab w:val="left" w:pos="1418"/>
        </w:tabs>
        <w:spacing w:after="0"/>
        <w:rPr>
          <w:rFonts w:ascii="Times New Roman" w:hAnsi="Times New Roman" w:cs="Times New Roman"/>
          <w:lang w:val="lt-LT"/>
        </w:rPr>
      </w:pPr>
      <w:r>
        <w:rPr>
          <w:rFonts w:ascii="Times New Roman" w:hAnsi="Times New Roman" w:cs="Times New Roman"/>
          <w:lang w:val="lt-LT"/>
        </w:rPr>
        <w:t>Atkreipiame dėmesį, kad PMĮ 58 str. 16 d. 1 punkte numatyta pelno mokesčio lengvata žemės ūkio produkciją gaminantiems juridiniams asmenims ir paslaugas žemės ūkiui teikiančioms specializuotoms įmonėms, kuri yra analogiška lengvatai, nustatytai aukščiau minimame įstatyme.</w:t>
      </w:r>
    </w:p>
    <w:p w14:paraId="5129F3C6" w14:textId="77777777" w:rsidR="00FF7670" w:rsidRDefault="00FF7670">
      <w:pPr>
        <w:jc w:val="both"/>
        <w:rPr>
          <w:b/>
          <w:lang w:val="lt-LT"/>
        </w:rPr>
      </w:pPr>
    </w:p>
    <w:p w14:paraId="5179C32D" w14:textId="77777777" w:rsidR="00093845" w:rsidRPr="00C300CD" w:rsidRDefault="000D779E">
      <w:pPr>
        <w:jc w:val="both"/>
        <w:rPr>
          <w:b/>
          <w:bCs/>
          <w:lang w:val="lt-LT"/>
        </w:rPr>
      </w:pPr>
      <w:r w:rsidRPr="00C300CD">
        <w:rPr>
          <w:b/>
          <w:lang w:val="lt-LT"/>
        </w:rPr>
        <w:t>ATSKIRŲ KOMENTARO DALIŲ SPAUSDINIMAS (trumpi paaiškinimai)</w:t>
      </w:r>
    </w:p>
    <w:p w14:paraId="474183CB" w14:textId="77777777" w:rsidR="00093845" w:rsidRPr="00C300CD" w:rsidRDefault="000D779E" w:rsidP="00FF7670">
      <w:pPr>
        <w:pStyle w:val="Antrat1"/>
        <w:spacing w:after="0"/>
        <w:jc w:val="both"/>
        <w:rPr>
          <w:rFonts w:ascii="Times New Roman" w:hAnsi="Times New Roman" w:cs="Times New Roman"/>
          <w:bCs w:val="0"/>
        </w:rPr>
      </w:pPr>
      <w:bookmarkStart w:id="943" w:name="_Atskiro_puslapio_spausdinimas"/>
      <w:bookmarkEnd w:id="943"/>
      <w:r w:rsidRPr="00C300CD">
        <w:rPr>
          <w:rFonts w:ascii="Times New Roman" w:hAnsi="Times New Roman" w:cs="Times New Roman"/>
          <w:bCs w:val="0"/>
        </w:rPr>
        <w:t>Atskiro puslapio spausdinimas</w:t>
      </w:r>
    </w:p>
    <w:p w14:paraId="3769D28C" w14:textId="77777777" w:rsidR="00093845" w:rsidRDefault="000D779E" w:rsidP="00EC4E29">
      <w:pPr>
        <w:pStyle w:val="Paprastasistekstas"/>
        <w:numPr>
          <w:ilvl w:val="0"/>
          <w:numId w:val="50"/>
        </w:numPr>
        <w:spacing w:before="0" w:beforeAutospacing="0" w:after="0" w:afterAutospacing="0"/>
        <w:ind w:left="0"/>
        <w:jc w:val="both"/>
        <w:rPr>
          <w:rFonts w:ascii="Times New Roman" w:hAnsi="Times New Roman" w:cs="Times New Roman"/>
        </w:rPr>
      </w:pPr>
      <w:r>
        <w:rPr>
          <w:rFonts w:ascii="Times New Roman" w:hAnsi="Times New Roman" w:cs="Times New Roman"/>
        </w:rPr>
        <w:t>Žymeklis pastatomas tame puslapyje, kurį norime spausdinti.</w:t>
      </w:r>
    </w:p>
    <w:p w14:paraId="71BF097E" w14:textId="77777777" w:rsidR="00093845" w:rsidRDefault="000D779E" w:rsidP="00FF7670">
      <w:pPr>
        <w:pStyle w:val="Paprastasistekstas"/>
        <w:spacing w:before="0" w:beforeAutospacing="0" w:after="0" w:afterAutospacing="0"/>
        <w:jc w:val="both"/>
        <w:rPr>
          <w:rFonts w:ascii="Times New Roman" w:hAnsi="Times New Roman" w:cs="Times New Roman"/>
          <w:lang w:val="nb-NO"/>
        </w:rPr>
      </w:pPr>
      <w:r>
        <w:rPr>
          <w:rFonts w:ascii="Times New Roman" w:hAnsi="Times New Roman" w:cs="Times New Roman"/>
          <w:lang w:val="nb-NO"/>
        </w:rPr>
        <w:t xml:space="preserve">2.   Pasirenkame  </w:t>
      </w:r>
      <w:r>
        <w:rPr>
          <w:rFonts w:ascii="Times New Roman" w:hAnsi="Times New Roman" w:cs="Times New Roman"/>
          <w:b/>
          <w:bCs/>
          <w:lang w:val="nb-NO"/>
        </w:rPr>
        <w:t>File</w:t>
      </w:r>
      <w:r>
        <w:rPr>
          <w:rFonts w:ascii="Times New Roman" w:hAnsi="Times New Roman" w:cs="Times New Roman"/>
          <w:lang w:val="nb-NO"/>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lang w:val="nb-NO"/>
        </w:rPr>
        <w:t xml:space="preserve"> </w:t>
      </w:r>
      <w:r>
        <w:rPr>
          <w:rFonts w:ascii="Times New Roman" w:hAnsi="Times New Roman" w:cs="Times New Roman"/>
          <w:b/>
          <w:bCs/>
          <w:lang w:val="nb-NO"/>
        </w:rPr>
        <w:t>Print.</w:t>
      </w:r>
    </w:p>
    <w:p w14:paraId="48DC0F4C" w14:textId="77777777" w:rsidR="00093845" w:rsidRDefault="000D779E" w:rsidP="00FF7670">
      <w:pPr>
        <w:pStyle w:val="Paprastasistekstas"/>
        <w:spacing w:before="0" w:beforeAutospacing="0" w:after="0" w:afterAutospacing="0"/>
        <w:jc w:val="both"/>
        <w:rPr>
          <w:rFonts w:ascii="Times New Roman" w:hAnsi="Times New Roman" w:cs="Times New Roman"/>
          <w:sz w:val="28"/>
          <w:lang w:val="nb-NO"/>
        </w:rPr>
      </w:pPr>
      <w:r>
        <w:rPr>
          <w:rFonts w:ascii="Times New Roman" w:hAnsi="Times New Roman" w:cs="Times New Roman"/>
          <w:lang w:val="nb-NO"/>
        </w:rPr>
        <w:t xml:space="preserve">3.  Dialogo lange </w:t>
      </w:r>
      <w:r>
        <w:rPr>
          <w:rFonts w:ascii="Times New Roman" w:hAnsi="Times New Roman" w:cs="Times New Roman"/>
          <w:b/>
          <w:bCs/>
          <w:lang w:val="nb-NO"/>
        </w:rPr>
        <w:t>Print</w:t>
      </w:r>
      <w:r>
        <w:rPr>
          <w:rFonts w:ascii="Times New Roman" w:hAnsi="Times New Roman" w:cs="Times New Roman"/>
          <w:lang w:val="nb-NO"/>
        </w:rPr>
        <w:t>, srityje</w:t>
      </w:r>
      <w:r>
        <w:rPr>
          <w:rFonts w:ascii="Times New Roman" w:hAnsi="Times New Roman" w:cs="Times New Roman"/>
          <w:b/>
          <w:bCs/>
          <w:lang w:val="nb-NO"/>
        </w:rPr>
        <w:t xml:space="preserve"> Page Range </w:t>
      </w:r>
      <w:r>
        <w:rPr>
          <w:rFonts w:ascii="Times New Roman" w:hAnsi="Times New Roman" w:cs="Times New Roman"/>
          <w:lang w:val="nb-NO"/>
        </w:rPr>
        <w:t xml:space="preserve">fiksuojame režimą </w:t>
      </w:r>
      <w:r>
        <w:rPr>
          <w:rFonts w:ascii="Times New Roman" w:hAnsi="Times New Roman" w:cs="Times New Roman"/>
          <w:b/>
          <w:bCs/>
          <w:lang w:val="nb-NO"/>
        </w:rPr>
        <w:t xml:space="preserve">Current Page </w:t>
      </w:r>
      <w:r>
        <w:rPr>
          <w:rFonts w:ascii="Times New Roman" w:hAnsi="Times New Roman" w:cs="Times New Roman"/>
          <w:lang w:val="nb-NO"/>
        </w:rPr>
        <w:t>(einamąjį puslapį).</w:t>
      </w:r>
    </w:p>
    <w:p w14:paraId="3D43BF6F" w14:textId="77777777" w:rsidR="00093845" w:rsidRDefault="000D779E" w:rsidP="00FF7670">
      <w:pPr>
        <w:pStyle w:val="Paprastasistekstas"/>
        <w:spacing w:before="0" w:beforeAutospacing="0" w:after="0" w:afterAutospacing="0"/>
        <w:jc w:val="both"/>
        <w:rPr>
          <w:rFonts w:ascii="Times New Roman" w:hAnsi="Times New Roman" w:cs="Times New Roman"/>
          <w:sz w:val="28"/>
          <w:lang w:val="nb-NO"/>
        </w:rPr>
      </w:pPr>
      <w:r>
        <w:rPr>
          <w:rFonts w:ascii="Times New Roman" w:hAnsi="Times New Roman" w:cs="Times New Roman"/>
          <w:lang w:val="nb-NO"/>
        </w:rPr>
        <w:t>4.   Spaudžiame komandinį mygtuką</w:t>
      </w:r>
      <w:r>
        <w:rPr>
          <w:rFonts w:ascii="Times New Roman" w:hAnsi="Times New Roman" w:cs="Times New Roman"/>
          <w:sz w:val="28"/>
          <w:lang w:val="nb-NO"/>
        </w:rPr>
        <w:t xml:space="preserve"> OK.</w:t>
      </w:r>
      <w:r>
        <w:rPr>
          <w:rFonts w:ascii="Times New Roman" w:hAnsi="Times New Roman" w:cs="Times New Roman"/>
          <w:sz w:val="28"/>
          <w:lang w:val="nb-NO"/>
        </w:rPr>
        <w:tab/>
      </w:r>
      <w:r>
        <w:rPr>
          <w:rFonts w:ascii="Times New Roman" w:hAnsi="Times New Roman" w:cs="Times New Roman"/>
          <w:sz w:val="28"/>
          <w:lang w:val="nb-NO"/>
        </w:rPr>
        <w:tab/>
      </w:r>
      <w:r>
        <w:rPr>
          <w:rFonts w:ascii="Times New Roman" w:hAnsi="Times New Roman" w:cs="Times New Roman"/>
          <w:sz w:val="28"/>
          <w:lang w:val="nb-NO"/>
        </w:rPr>
        <w:tab/>
      </w:r>
      <w:r>
        <w:rPr>
          <w:rFonts w:ascii="Times New Roman" w:hAnsi="Times New Roman" w:cs="Times New Roman"/>
          <w:sz w:val="28"/>
          <w:lang w:val="nb-NO"/>
        </w:rPr>
        <w:tab/>
      </w:r>
    </w:p>
    <w:p w14:paraId="6B13E395" w14:textId="77777777" w:rsidR="00093845" w:rsidRDefault="000D779E">
      <w:pPr>
        <w:pStyle w:val="Antrat1"/>
        <w:jc w:val="both"/>
        <w:rPr>
          <w:rStyle w:val="Hipersaitas"/>
          <w:b/>
          <w:color w:val="0000FF"/>
          <w:u w:val="single"/>
          <w:lang w:val="nb-NO"/>
        </w:rPr>
      </w:pP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r>
      <w:r>
        <w:rPr>
          <w:sz w:val="28"/>
          <w:lang w:val="nb-NO"/>
        </w:rPr>
        <w:tab/>
        <w:t xml:space="preserve">             </w:t>
      </w:r>
      <w:r>
        <w:rPr>
          <w:sz w:val="28"/>
          <w:lang w:val="nb-NO"/>
        </w:rPr>
        <w:tab/>
      </w:r>
      <w:r>
        <w:rPr>
          <w:bCs w:val="0"/>
          <w:lang w:val="nb-NO"/>
        </w:rPr>
        <w:fldChar w:fldCharType="begin"/>
      </w:r>
      <w:r>
        <w:rPr>
          <w:bCs w:val="0"/>
          <w:lang w:val="nb-NO"/>
        </w:rPr>
        <w:instrText xml:space="preserve"> HYPERLINK  \l "_T_U_R" </w:instrText>
      </w:r>
      <w:r>
        <w:rPr>
          <w:bCs w:val="0"/>
          <w:lang w:val="nb-NO"/>
        </w:rPr>
        <w:fldChar w:fldCharType="separate"/>
      </w:r>
      <w:r>
        <w:rPr>
          <w:rStyle w:val="Hipersaitas"/>
          <w:b/>
          <w:color w:val="0000FF"/>
          <w:u w:val="single"/>
          <w:lang w:val="nb-NO"/>
        </w:rPr>
        <w:t>Į pradžią</w:t>
      </w:r>
    </w:p>
    <w:p w14:paraId="750EB84C" w14:textId="77777777" w:rsidR="00093845" w:rsidRPr="00A57C96" w:rsidRDefault="000D779E">
      <w:pPr>
        <w:pStyle w:val="Paprastasistekstas"/>
        <w:jc w:val="both"/>
        <w:rPr>
          <w:rFonts w:ascii="Times New Roman" w:hAnsi="Times New Roman" w:cs="Times New Roman"/>
          <w:b/>
        </w:rPr>
      </w:pPr>
      <w:r>
        <w:rPr>
          <w:bCs/>
          <w:lang w:val="nb-NO"/>
        </w:rPr>
        <w:fldChar w:fldCharType="end"/>
      </w:r>
      <w:bookmarkStart w:id="944" w:name="_Kelių_puslapių_spausdinimas"/>
      <w:bookmarkEnd w:id="944"/>
      <w:r w:rsidRPr="00A57C96">
        <w:rPr>
          <w:rFonts w:ascii="Times New Roman" w:hAnsi="Times New Roman" w:cs="Times New Roman"/>
          <w:b/>
        </w:rPr>
        <w:t>Kelių puslapių spausdinimas</w:t>
      </w:r>
    </w:p>
    <w:p w14:paraId="50C12E79" w14:textId="77777777" w:rsidR="00093845" w:rsidRDefault="000D779E" w:rsidP="00EC4E29">
      <w:pPr>
        <w:pStyle w:val="Paprastasistekstas"/>
        <w:numPr>
          <w:ilvl w:val="0"/>
          <w:numId w:val="51"/>
        </w:numPr>
        <w:jc w:val="both"/>
        <w:rPr>
          <w:rFonts w:ascii="Times New Roman" w:hAnsi="Times New Roman" w:cs="Times New Roman"/>
        </w:rPr>
      </w:pPr>
      <w:r>
        <w:rPr>
          <w:rFonts w:ascii="Times New Roman" w:hAnsi="Times New Roman" w:cs="Times New Roman"/>
        </w:rPr>
        <w:t xml:space="preserve">Pasirenkame </w:t>
      </w:r>
      <w:r>
        <w:rPr>
          <w:rFonts w:ascii="Times New Roman" w:hAnsi="Times New Roman" w:cs="Times New Roman"/>
          <w:b/>
          <w:bCs/>
        </w:rPr>
        <w:t>File</w:t>
      </w:r>
      <w:r>
        <w:rPr>
          <w:rFonts w:ascii="Times New Roman" w:hAnsi="Times New Roman" w:cs="Times New Roman"/>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rPr>
        <w:t xml:space="preserve"> </w:t>
      </w:r>
      <w:r>
        <w:rPr>
          <w:rFonts w:ascii="Times New Roman" w:hAnsi="Times New Roman" w:cs="Times New Roman"/>
          <w:b/>
          <w:bCs/>
        </w:rPr>
        <w:t>Print</w:t>
      </w:r>
      <w:r>
        <w:rPr>
          <w:rFonts w:ascii="Times New Roman" w:hAnsi="Times New Roman" w:cs="Times New Roman"/>
        </w:rPr>
        <w:t>.</w:t>
      </w:r>
    </w:p>
    <w:p w14:paraId="1E20C355" w14:textId="77777777" w:rsidR="00093845" w:rsidRDefault="000D779E" w:rsidP="00EC4E29">
      <w:pPr>
        <w:pStyle w:val="Paprastasistekstas"/>
        <w:numPr>
          <w:ilvl w:val="0"/>
          <w:numId w:val="51"/>
        </w:numPr>
        <w:jc w:val="both"/>
        <w:rPr>
          <w:rFonts w:ascii="Times New Roman" w:hAnsi="Times New Roman" w:cs="Times New Roman"/>
          <w:lang w:val="fr-FR"/>
        </w:rPr>
      </w:pPr>
      <w:r>
        <w:rPr>
          <w:rFonts w:ascii="Times New Roman" w:hAnsi="Times New Roman" w:cs="Times New Roman"/>
          <w:lang w:val="fr-FR"/>
        </w:rPr>
        <w:t xml:space="preserve">Dialogo lange </w:t>
      </w:r>
      <w:r>
        <w:rPr>
          <w:rFonts w:ascii="Times New Roman" w:hAnsi="Times New Roman" w:cs="Times New Roman"/>
          <w:b/>
          <w:bCs/>
          <w:lang w:val="fr-FR"/>
        </w:rPr>
        <w:t>Print,</w:t>
      </w:r>
      <w:r>
        <w:rPr>
          <w:rFonts w:ascii="Times New Roman" w:hAnsi="Times New Roman" w:cs="Times New Roman"/>
          <w:lang w:val="fr-FR"/>
        </w:rPr>
        <w:t xml:space="preserve">  srityje</w:t>
      </w:r>
      <w:r>
        <w:rPr>
          <w:rFonts w:ascii="Times New Roman" w:hAnsi="Times New Roman" w:cs="Times New Roman"/>
          <w:b/>
          <w:bCs/>
          <w:lang w:val="fr-FR"/>
        </w:rPr>
        <w:t xml:space="preserve"> Page Range </w:t>
      </w:r>
      <w:r>
        <w:rPr>
          <w:rFonts w:ascii="Times New Roman" w:hAnsi="Times New Roman" w:cs="Times New Roman"/>
          <w:lang w:val="fr-FR"/>
        </w:rPr>
        <w:t xml:space="preserve">fiksuojame režimą </w:t>
      </w:r>
      <w:r>
        <w:rPr>
          <w:rFonts w:ascii="Times New Roman" w:hAnsi="Times New Roman" w:cs="Times New Roman"/>
          <w:b/>
          <w:bCs/>
          <w:lang w:val="fr-FR"/>
        </w:rPr>
        <w:t>Pages.</w:t>
      </w:r>
    </w:p>
    <w:p w14:paraId="69F25284" w14:textId="77777777" w:rsidR="00093845" w:rsidRDefault="000D779E" w:rsidP="00EC4E29">
      <w:pPr>
        <w:pStyle w:val="Paprastasistekstas"/>
        <w:numPr>
          <w:ilvl w:val="0"/>
          <w:numId w:val="51"/>
        </w:numPr>
        <w:jc w:val="both"/>
        <w:rPr>
          <w:rFonts w:ascii="Times New Roman" w:hAnsi="Times New Roman" w:cs="Times New Roman"/>
        </w:rPr>
      </w:pPr>
      <w:r>
        <w:rPr>
          <w:rFonts w:ascii="Times New Roman" w:hAnsi="Times New Roman" w:cs="Times New Roman"/>
        </w:rPr>
        <w:t>Įvedimo laukelyje nurodome, kokius puslapius norime atspausdinti. Pvz., jei norime atspausdinti nuo 3 iki 5 puslapio, tai ten rašome</w:t>
      </w:r>
      <w:r>
        <w:rPr>
          <w:rFonts w:ascii="Times New Roman" w:hAnsi="Times New Roman" w:cs="Times New Roman"/>
          <w:b/>
          <w:bCs/>
        </w:rPr>
        <w:t xml:space="preserve"> 3-5</w:t>
      </w:r>
      <w:r>
        <w:rPr>
          <w:rFonts w:ascii="Times New Roman" w:hAnsi="Times New Roman" w:cs="Times New Roman"/>
        </w:rPr>
        <w:t xml:space="preserve">. Norėdami atspausdinti pirmą, trečią ir septintą puslapius, rašome </w:t>
      </w:r>
      <w:r>
        <w:rPr>
          <w:rFonts w:ascii="Times New Roman" w:hAnsi="Times New Roman" w:cs="Times New Roman"/>
          <w:b/>
          <w:bCs/>
        </w:rPr>
        <w:t>1,3,7</w:t>
      </w:r>
      <w:r>
        <w:rPr>
          <w:rFonts w:ascii="Times New Roman" w:hAnsi="Times New Roman" w:cs="Times New Roman"/>
        </w:rPr>
        <w:t>.</w:t>
      </w:r>
    </w:p>
    <w:p w14:paraId="10548C77" w14:textId="77777777" w:rsidR="00093845" w:rsidRDefault="000D779E" w:rsidP="00EC4E29">
      <w:pPr>
        <w:pStyle w:val="Paprastasistekstas"/>
        <w:numPr>
          <w:ilvl w:val="0"/>
          <w:numId w:val="51"/>
        </w:numPr>
        <w:jc w:val="both"/>
        <w:rPr>
          <w:rFonts w:ascii="Times New Roman" w:hAnsi="Times New Roman" w:cs="Times New Roman"/>
        </w:rPr>
      </w:pPr>
      <w:r>
        <w:rPr>
          <w:rFonts w:ascii="Times New Roman" w:hAnsi="Times New Roman" w:cs="Times New Roman"/>
        </w:rPr>
        <w:t xml:space="preserve">Spaudžiame komandinį mygtuką </w:t>
      </w:r>
      <w:r>
        <w:rPr>
          <w:rFonts w:ascii="Times New Roman" w:hAnsi="Times New Roman" w:cs="Times New Roman"/>
          <w:b/>
          <w:bCs/>
        </w:rPr>
        <w:t>OK</w:t>
      </w:r>
      <w:r>
        <w:rPr>
          <w:rFonts w:ascii="Times New Roman" w:hAnsi="Times New Roman" w:cs="Times New Roman"/>
        </w:rPr>
        <w:t>..</w:t>
      </w:r>
    </w:p>
    <w:p w14:paraId="169D6409" w14:textId="77777777" w:rsidR="00093845" w:rsidRDefault="000D779E">
      <w:pPr>
        <w:pStyle w:val="Antrat1"/>
        <w:jc w:val="both"/>
        <w:rPr>
          <w:b w:val="0"/>
          <w:bCs w:val="0"/>
        </w:rPr>
      </w:pPr>
      <w:r>
        <w:t xml:space="preserve">  </w:t>
      </w:r>
      <w:r>
        <w:tab/>
      </w:r>
      <w:r>
        <w:tab/>
      </w:r>
      <w:r>
        <w:tab/>
      </w:r>
      <w:r>
        <w:tab/>
      </w:r>
      <w:r>
        <w:tab/>
      </w:r>
      <w:r>
        <w:tab/>
      </w:r>
      <w:r>
        <w:tab/>
      </w:r>
      <w:r>
        <w:tab/>
      </w:r>
      <w:r>
        <w:tab/>
      </w:r>
      <w:hyperlink w:anchor="_T_U_R" w:history="1">
        <w:r>
          <w:rPr>
            <w:rStyle w:val="Hipersaitas"/>
            <w:color w:val="0000FF"/>
            <w:u w:val="single"/>
          </w:rPr>
          <w:t>Į pradžią</w:t>
        </w:r>
      </w:hyperlink>
    </w:p>
    <w:p w14:paraId="2F136697" w14:textId="77777777" w:rsidR="00093845" w:rsidRDefault="000D779E">
      <w:pPr>
        <w:pStyle w:val="Antrat1"/>
        <w:jc w:val="both"/>
        <w:rPr>
          <w:rFonts w:ascii="Times New Roman" w:hAnsi="Times New Roman" w:cs="Times New Roman"/>
          <w:b w:val="0"/>
          <w:bCs w:val="0"/>
          <w:sz w:val="28"/>
        </w:rPr>
      </w:pPr>
      <w:bookmarkStart w:id="945" w:name="_Pažymėtos_teksto_dalies"/>
      <w:bookmarkEnd w:id="945"/>
      <w:r>
        <w:rPr>
          <w:rFonts w:ascii="Times New Roman" w:hAnsi="Times New Roman" w:cs="Times New Roman"/>
          <w:b w:val="0"/>
          <w:bCs w:val="0"/>
          <w:sz w:val="28"/>
        </w:rPr>
        <w:t>Pažymėtos teksto dalies spausdinimas</w:t>
      </w:r>
    </w:p>
    <w:p w14:paraId="165386F9" w14:textId="77777777" w:rsidR="00093845" w:rsidRDefault="000D779E" w:rsidP="00EC4E29">
      <w:pPr>
        <w:pStyle w:val="Paprastasistekstas"/>
        <w:numPr>
          <w:ilvl w:val="0"/>
          <w:numId w:val="52"/>
        </w:numPr>
        <w:jc w:val="both"/>
        <w:rPr>
          <w:rFonts w:ascii="Times New Roman" w:hAnsi="Times New Roman" w:cs="Times New Roman"/>
        </w:rPr>
      </w:pPr>
      <w:r>
        <w:rPr>
          <w:rFonts w:ascii="Times New Roman" w:hAnsi="Times New Roman" w:cs="Times New Roman"/>
        </w:rPr>
        <w:t>Pažymime (“užjuodiname”) teksto dalį, kurią norime atspausdinti.</w:t>
      </w:r>
    </w:p>
    <w:p w14:paraId="1D6DC950" w14:textId="77777777" w:rsidR="00093845" w:rsidRDefault="000D779E" w:rsidP="00EC4E29">
      <w:pPr>
        <w:pStyle w:val="Paprastasistekstas"/>
        <w:numPr>
          <w:ilvl w:val="0"/>
          <w:numId w:val="52"/>
        </w:numPr>
        <w:jc w:val="both"/>
        <w:rPr>
          <w:rFonts w:ascii="Times New Roman" w:hAnsi="Times New Roman" w:cs="Times New Roman"/>
        </w:rPr>
      </w:pPr>
      <w:r>
        <w:rPr>
          <w:rFonts w:ascii="Times New Roman" w:hAnsi="Times New Roman" w:cs="Times New Roman"/>
        </w:rPr>
        <w:t xml:space="preserve">Pasirenkame </w:t>
      </w:r>
      <w:r>
        <w:rPr>
          <w:rFonts w:ascii="Times New Roman" w:hAnsi="Times New Roman" w:cs="Times New Roman"/>
          <w:b/>
          <w:bCs/>
        </w:rPr>
        <w:t>File</w:t>
      </w:r>
      <w:r>
        <w:rPr>
          <w:rFonts w:ascii="Times New Roman" w:hAnsi="Times New Roman" w:cs="Times New Roman"/>
        </w:rPr>
        <w:t xml:space="preserve"> </w:t>
      </w:r>
      <w:r>
        <w:rPr>
          <w:rFonts w:ascii="Times New Roman" w:hAnsi="Times New Roman" w:cs="Times New Roman"/>
        </w:rPr>
        <w:sym w:font="Wingdings" w:char="F0DF"/>
      </w:r>
      <w:r>
        <w:rPr>
          <w:rFonts w:ascii="Times New Roman" w:hAnsi="Times New Roman" w:cs="Times New Roman"/>
        </w:rPr>
        <w:sym w:font="Wingdings" w:char="F0E0"/>
      </w:r>
      <w:r>
        <w:rPr>
          <w:rFonts w:ascii="Times New Roman" w:hAnsi="Times New Roman" w:cs="Times New Roman"/>
        </w:rPr>
        <w:t xml:space="preserve"> </w:t>
      </w:r>
      <w:r>
        <w:rPr>
          <w:rFonts w:ascii="Times New Roman" w:hAnsi="Times New Roman" w:cs="Times New Roman"/>
          <w:b/>
          <w:bCs/>
        </w:rPr>
        <w:t>Print</w:t>
      </w:r>
      <w:r>
        <w:rPr>
          <w:rFonts w:ascii="Times New Roman" w:hAnsi="Times New Roman" w:cs="Times New Roman"/>
        </w:rPr>
        <w:t>.</w:t>
      </w:r>
    </w:p>
    <w:p w14:paraId="17D0C726" w14:textId="77777777" w:rsidR="00093845" w:rsidRDefault="000D779E" w:rsidP="00EC4E29">
      <w:pPr>
        <w:pStyle w:val="Paprastasistekstas"/>
        <w:numPr>
          <w:ilvl w:val="0"/>
          <w:numId w:val="52"/>
        </w:numPr>
        <w:jc w:val="both"/>
        <w:rPr>
          <w:rFonts w:ascii="Times New Roman" w:hAnsi="Times New Roman" w:cs="Times New Roman"/>
          <w:lang w:val="fr-FR"/>
        </w:rPr>
      </w:pPr>
      <w:r>
        <w:rPr>
          <w:rFonts w:ascii="Times New Roman" w:hAnsi="Times New Roman" w:cs="Times New Roman"/>
          <w:lang w:val="fr-FR"/>
        </w:rPr>
        <w:t xml:space="preserve">Dialogo lange </w:t>
      </w:r>
      <w:r>
        <w:rPr>
          <w:rFonts w:ascii="Times New Roman" w:hAnsi="Times New Roman" w:cs="Times New Roman"/>
          <w:b/>
          <w:bCs/>
          <w:lang w:val="fr-FR"/>
        </w:rPr>
        <w:t>Print,</w:t>
      </w:r>
      <w:r>
        <w:rPr>
          <w:rFonts w:ascii="Times New Roman" w:hAnsi="Times New Roman" w:cs="Times New Roman"/>
          <w:lang w:val="fr-FR"/>
        </w:rPr>
        <w:t xml:space="preserve">  srityje</w:t>
      </w:r>
      <w:r>
        <w:rPr>
          <w:rFonts w:ascii="Times New Roman" w:hAnsi="Times New Roman" w:cs="Times New Roman"/>
          <w:b/>
          <w:bCs/>
          <w:lang w:val="fr-FR"/>
        </w:rPr>
        <w:t xml:space="preserve"> Page Range </w:t>
      </w:r>
      <w:r>
        <w:rPr>
          <w:rFonts w:ascii="Times New Roman" w:hAnsi="Times New Roman" w:cs="Times New Roman"/>
          <w:lang w:val="fr-FR"/>
        </w:rPr>
        <w:t xml:space="preserve">fiksuojame režimą </w:t>
      </w:r>
      <w:r>
        <w:rPr>
          <w:rFonts w:ascii="Times New Roman" w:hAnsi="Times New Roman" w:cs="Times New Roman"/>
          <w:b/>
          <w:bCs/>
          <w:lang w:val="fr-FR"/>
        </w:rPr>
        <w:t>Selection</w:t>
      </w:r>
      <w:r>
        <w:rPr>
          <w:rFonts w:ascii="Times New Roman" w:hAnsi="Times New Roman" w:cs="Times New Roman"/>
          <w:lang w:val="fr-FR"/>
        </w:rPr>
        <w:t>.</w:t>
      </w:r>
    </w:p>
    <w:p w14:paraId="3F74C26A" w14:textId="77777777" w:rsidR="00093845" w:rsidRDefault="000D779E" w:rsidP="00EC4E29">
      <w:pPr>
        <w:pStyle w:val="Paprastasistekstas"/>
        <w:numPr>
          <w:ilvl w:val="0"/>
          <w:numId w:val="52"/>
        </w:numPr>
        <w:jc w:val="both"/>
        <w:rPr>
          <w:rFonts w:ascii="Times New Roman" w:hAnsi="Times New Roman" w:cs="Times New Roman"/>
        </w:rPr>
      </w:pPr>
      <w:r>
        <w:rPr>
          <w:rFonts w:ascii="Times New Roman" w:hAnsi="Times New Roman" w:cs="Times New Roman"/>
        </w:rPr>
        <w:t xml:space="preserve">Spaudžiame komandinį mygtuką </w:t>
      </w:r>
      <w:r>
        <w:rPr>
          <w:rFonts w:ascii="Times New Roman" w:hAnsi="Times New Roman" w:cs="Times New Roman"/>
          <w:b/>
          <w:bCs/>
        </w:rPr>
        <w:t>OK</w:t>
      </w:r>
      <w:r>
        <w:rPr>
          <w:rFonts w:ascii="Times New Roman" w:hAnsi="Times New Roman" w:cs="Times New Roman"/>
        </w:rPr>
        <w:t>.</w:t>
      </w:r>
    </w:p>
    <w:p w14:paraId="7D532C87" w14:textId="77777777" w:rsidR="00093845" w:rsidRPr="00D359F8" w:rsidRDefault="000D779E">
      <w:pPr>
        <w:pStyle w:val="Antrat1"/>
        <w:jc w:val="both"/>
        <w:rPr>
          <w:bCs w:val="0"/>
          <w:sz w:val="28"/>
        </w:rPr>
      </w:pPr>
      <w:r>
        <w:rPr>
          <w:b w:val="0"/>
          <w:bCs w:val="0"/>
          <w:sz w:val="28"/>
        </w:rPr>
        <w:t xml:space="preserve">                      </w:t>
      </w:r>
      <w:r>
        <w:rPr>
          <w:b w:val="0"/>
          <w:bCs w:val="0"/>
          <w:sz w:val="28"/>
        </w:rPr>
        <w:tab/>
      </w:r>
      <w:r>
        <w:rPr>
          <w:b w:val="0"/>
          <w:bCs w:val="0"/>
          <w:sz w:val="28"/>
        </w:rPr>
        <w:tab/>
      </w:r>
      <w:r>
        <w:rPr>
          <w:b w:val="0"/>
          <w:bCs w:val="0"/>
          <w:sz w:val="28"/>
        </w:rPr>
        <w:tab/>
      </w:r>
      <w:r>
        <w:rPr>
          <w:b w:val="0"/>
          <w:bCs w:val="0"/>
          <w:sz w:val="28"/>
        </w:rPr>
        <w:tab/>
        <w:t xml:space="preserve">           </w:t>
      </w:r>
      <w:r>
        <w:rPr>
          <w:b w:val="0"/>
          <w:bCs w:val="0"/>
          <w:sz w:val="28"/>
        </w:rPr>
        <w:tab/>
      </w:r>
      <w:r>
        <w:rPr>
          <w:b w:val="0"/>
          <w:bCs w:val="0"/>
          <w:sz w:val="28"/>
        </w:rPr>
        <w:tab/>
      </w:r>
      <w:r>
        <w:rPr>
          <w:b w:val="0"/>
          <w:bCs w:val="0"/>
          <w:sz w:val="28"/>
        </w:rPr>
        <w:tab/>
      </w:r>
      <w:hyperlink w:anchor="_T_U_R" w:history="1">
        <w:r w:rsidRPr="00D359F8">
          <w:rPr>
            <w:rStyle w:val="Perirtashipersaitas"/>
            <w:bCs w:val="0"/>
            <w:color w:val="0000FF"/>
          </w:rPr>
          <w:t>Į pradžią</w:t>
        </w:r>
      </w:hyperlink>
    </w:p>
    <w:p w14:paraId="7AE036F1" w14:textId="77777777" w:rsidR="00093845" w:rsidRDefault="00093845">
      <w:pPr>
        <w:tabs>
          <w:tab w:val="left" w:pos="720"/>
          <w:tab w:val="left" w:pos="1077"/>
          <w:tab w:val="left" w:pos="1418"/>
        </w:tabs>
        <w:ind w:firstLine="720"/>
        <w:jc w:val="both"/>
        <w:rPr>
          <w:lang w:val="lt-LT"/>
        </w:rPr>
      </w:pPr>
    </w:p>
    <w:sectPr w:rsidR="00093845" w:rsidSect="005873EB">
      <w:headerReference w:type="even" r:id="rId150"/>
      <w:headerReference w:type="default" r:id="rId151"/>
      <w:pgSz w:w="11907" w:h="16840"/>
      <w:pgMar w:top="709" w:right="747" w:bottom="567" w:left="1418" w:header="1021"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173D" w14:textId="77777777" w:rsidR="00F020FC" w:rsidRDefault="00F020FC">
      <w:pPr>
        <w:spacing w:after="0" w:line="240" w:lineRule="auto"/>
      </w:pPr>
      <w:r>
        <w:separator/>
      </w:r>
    </w:p>
  </w:endnote>
  <w:endnote w:type="continuationSeparator" w:id="0">
    <w:p w14:paraId="3DDD7030" w14:textId="77777777" w:rsidR="00F020FC" w:rsidRDefault="00F0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default"/>
    <w:sig w:usb0="00000007" w:usb1="00000000" w:usb2="00000000" w:usb3="00000000" w:csb0="00000081"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BA"/>
    <w:family w:val="swiss"/>
    <w:pitch w:val="variable"/>
    <w:sig w:usb0="00000687" w:usb1="00000000" w:usb2="00000000" w:usb3="00000000" w:csb0="0000009F" w:csb1="00000000"/>
  </w:font>
  <w:font w:name="Times New (W1)">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32AD9" w14:textId="77777777" w:rsidR="00F020FC" w:rsidRDefault="00F020FC">
      <w:pPr>
        <w:spacing w:after="0" w:line="240" w:lineRule="auto"/>
      </w:pPr>
      <w:r>
        <w:separator/>
      </w:r>
    </w:p>
  </w:footnote>
  <w:footnote w:type="continuationSeparator" w:id="0">
    <w:p w14:paraId="79236749" w14:textId="77777777" w:rsidR="00F020FC" w:rsidRDefault="00F020FC">
      <w:pPr>
        <w:spacing w:after="0" w:line="240" w:lineRule="auto"/>
      </w:pPr>
      <w:r>
        <w:continuationSeparator/>
      </w:r>
    </w:p>
  </w:footnote>
  <w:footnote w:id="1">
    <w:p w14:paraId="6B84392D" w14:textId="77777777" w:rsidR="007B24A1" w:rsidRPr="001D0E62" w:rsidRDefault="007B24A1" w:rsidP="00C905FC">
      <w:pPr>
        <w:pStyle w:val="prastasiniatinklio"/>
        <w:spacing w:before="0" w:beforeAutospacing="0" w:after="0" w:afterAutospacing="0"/>
        <w:ind w:right="99" w:firstLine="720"/>
        <w:jc w:val="both"/>
      </w:pPr>
      <w:r w:rsidRPr="005F461C">
        <w:rPr>
          <w:rStyle w:val="Puslapioinaosnuoroda"/>
          <w:sz w:val="20"/>
          <w:szCs w:val="20"/>
        </w:rPr>
        <w:footnoteRef/>
      </w:r>
      <w:r w:rsidRPr="005F461C">
        <w:rPr>
          <w:sz w:val="20"/>
          <w:szCs w:val="20"/>
        </w:rPr>
        <w:t xml:space="preserve"> Šiuo metu Lietuva taiko dvigubo apmokestinimo išvengimo sutartis su šiomis užsienio valstybėmis: Airija, Armėnijos Respublika, Austrijos Respublika, Azerbaidžano Respublika, Baltarusijos Respublika, Belgijos Karalyste, Bulgarijos Respublika, Čekijos Respublika, Danijos Karalyste, Estijos Respublika, Graikijos Respublika, Gruzija, Islandijos Respublika, Indijos Respublika, Ispanijos Karalyste, Italijos Respublika, Izraeliu,</w:t>
      </w:r>
      <w:r w:rsidRPr="00796D45">
        <w:rPr>
          <w:sz w:val="20"/>
          <w:szCs w:val="20"/>
        </w:rPr>
        <w:t xml:space="preserve"> </w:t>
      </w:r>
      <w:r w:rsidRPr="00B56C17">
        <w:rPr>
          <w:sz w:val="20"/>
          <w:szCs w:val="20"/>
        </w:rPr>
        <w:t>Japonija,</w:t>
      </w:r>
      <w:r w:rsidRPr="005F461C">
        <w:rPr>
          <w:sz w:val="20"/>
          <w:szCs w:val="20"/>
        </w:rPr>
        <w:t xml:space="preserve"> Jungtinėmis Amerikos Valstijomis, Jungtinė Karalyste, Jungtiniais Arabų Emyratais, Kanada, Kazachstano Respublika, Kinijos Liaudies Respublika, Kirgizijos Respublika, Kipro Respublika, Korėjos Respublika, Kroatijos Respublika, Kuveito Valstybe, Latvijos Respublika, Lenkijos Respublika, Liuksemburgo Didžiąja Hercogyste, Malta, Makedonijos Respublika, Meksikos Jungtinėmis Valstijomis, Moldovos Respublika, Nyderlandų Karalyste, Norvegijos Karalyste, Portugalijos Respublika, Prancūzijos Respublika, Rumunija, Rusijos Federacija, Serbijos Respublika, Singapūro Respublika, Slovakijos Respublika, Slovėnijos Respublika, Suomijos Respublika, Švedijos Karalyste, Šveicarijos Konfederacija, Turkijos Respublika, Turkmėnistanu, Ukraina, Uzbekistano Respublika, Vengrijos Respublika, V</w:t>
      </w:r>
      <w:r>
        <w:rPr>
          <w:sz w:val="20"/>
          <w:szCs w:val="20"/>
        </w:rPr>
        <w:t>okietijos Federacine Respublika.</w:t>
      </w:r>
    </w:p>
  </w:footnote>
  <w:footnote w:id="2">
    <w:p w14:paraId="4A926191" w14:textId="77777777" w:rsidR="007B24A1" w:rsidRDefault="007B24A1" w:rsidP="00C905FC">
      <w:pPr>
        <w:pStyle w:val="Puslapioinaostekstas"/>
      </w:pPr>
      <w:r>
        <w:rPr>
          <w:rStyle w:val="Puslapioinaosnuoroda"/>
        </w:rPr>
        <w:footnoteRef/>
      </w:r>
      <w:r>
        <w:t xml:space="preserve"> Plačiau apie naudinguosius modelius: </w:t>
      </w:r>
      <w:hyperlink r:id="rId1" w:history="1">
        <w:r w:rsidRPr="00F90680">
          <w:rPr>
            <w:rStyle w:val="Hipersaitas"/>
          </w:rPr>
          <w:t>http://www.wipo.int/patents/en/topics/utility_models.html</w:t>
        </w:r>
      </w:hyperlink>
      <w:r>
        <w:t xml:space="preserve"> </w:t>
      </w:r>
    </w:p>
  </w:footnote>
  <w:footnote w:id="3">
    <w:p w14:paraId="6CB5D901" w14:textId="77777777" w:rsidR="007B24A1" w:rsidRPr="00A63BBE" w:rsidRDefault="007B24A1" w:rsidP="00C905FC">
      <w:pPr>
        <w:pStyle w:val="Puslapioinaostekstas"/>
        <w:jc w:val="both"/>
      </w:pPr>
      <w:r>
        <w:rPr>
          <w:rStyle w:val="Puslapioinaosnuoroda"/>
        </w:rPr>
        <w:footnoteRef/>
      </w:r>
      <w:r>
        <w:t xml:space="preserve"> </w:t>
      </w:r>
      <w:r w:rsidRPr="00A63BBE">
        <w:t>Esminę išradimo atitikimo patentabilumo kriterijams ekspertizę atlieka Europos patentų tarnyba, Austrijos, Bulgarijos, Čekijos, Danijos, Estijos, Suomijos, Vokietijos, Vengrijos, Japonijos, Lenkijos, Portugalijos, Rumunijos, Slovakijos, Švedijos, Jungtinių Amerikos Valstijų, Jungtinės Karalystės, ir kitų valstybių patentų tarnybos.</w:t>
      </w:r>
    </w:p>
  </w:footnote>
  <w:footnote w:id="4">
    <w:p w14:paraId="1752F9B2" w14:textId="77777777" w:rsidR="007B24A1" w:rsidRDefault="007B24A1" w:rsidP="00C905FC">
      <w:pPr>
        <w:pStyle w:val="Puslapioinaostekstas"/>
      </w:pPr>
      <w:r w:rsidRPr="00A63BBE">
        <w:rPr>
          <w:rStyle w:val="Puslapioinaosnuoroda"/>
        </w:rPr>
        <w:footnoteRef/>
      </w:r>
      <w:r w:rsidRPr="00A63BBE">
        <w:t xml:space="preserve"> Esminės išradimo atitikimo patentabilumo kriterijams ekspertizės neatlieka Latvijos, Lietuvos, Kroatijos, Slovėnijos, Šveicarijos</w:t>
      </w:r>
      <w:r>
        <w:t>, Maltos, Liuksemburgo, Kipro, Graikijos, Makedonijos, Kuveito, Azerbaidžano, Kirgizijos ir</w:t>
      </w:r>
      <w:r w:rsidRPr="00A63BBE">
        <w:t xml:space="preserve"> ir kitų valstybių patentų tarnybos.</w:t>
      </w:r>
    </w:p>
  </w:footnote>
  <w:footnote w:id="5">
    <w:p w14:paraId="6541DEBB" w14:textId="77777777" w:rsidR="007B24A1" w:rsidRDefault="007B24A1" w:rsidP="00C905FC">
      <w:pPr>
        <w:pStyle w:val="Puslapioinaostekstas"/>
      </w:pPr>
      <w:r>
        <w:rPr>
          <w:rStyle w:val="Puslapioinaosnuoroda"/>
        </w:rPr>
        <w:footnoteRef/>
      </w:r>
      <w:r>
        <w:t xml:space="preserve"> Lietuvos Respublikos patentinių patikėtinių sąrašas: </w:t>
      </w:r>
      <w:hyperlink r:id="rId2" w:history="1">
        <w:r w:rsidRPr="002622B1">
          <w:rPr>
            <w:rStyle w:val="Hipersaitas"/>
          </w:rPr>
          <w:t>http://www.vpb.gov.lt/?p=0&amp;l=lt&amp;n=311</w:t>
        </w:r>
      </w:hyperlink>
    </w:p>
  </w:footnote>
  <w:footnote w:id="6">
    <w:p w14:paraId="2B0A8733" w14:textId="77777777" w:rsidR="007B24A1" w:rsidRDefault="007B24A1" w:rsidP="00C905FC">
      <w:pPr>
        <w:pStyle w:val="Puslapioinaostekstas"/>
      </w:pPr>
      <w:r>
        <w:rPr>
          <w:rStyle w:val="Puslapioinaosnuoroda"/>
        </w:rPr>
        <w:footnoteRef/>
      </w:r>
      <w:r>
        <w:t xml:space="preserve"> Šių tarnybų sąrašas prieinamas čia: </w:t>
      </w:r>
      <w:hyperlink r:id="rId3" w:history="1">
        <w:r w:rsidRPr="00B60EF2">
          <w:rPr>
            <w:rStyle w:val="Hipersaitas"/>
          </w:rPr>
          <w:t>http://www.wipo.int/pct/en/access/isa_ipea_agreements.html</w:t>
        </w:r>
      </w:hyperlink>
      <w:r>
        <w:t xml:space="preserve"> </w:t>
      </w:r>
    </w:p>
  </w:footnote>
  <w:footnote w:id="7">
    <w:p w14:paraId="4DF16C25" w14:textId="77777777" w:rsidR="007B24A1" w:rsidRDefault="007B24A1" w:rsidP="00C905FC">
      <w:pPr>
        <w:pStyle w:val="Puslapioinaostekstas"/>
      </w:pPr>
      <w:r>
        <w:rPr>
          <w:rStyle w:val="Puslapioinaosnuoroda"/>
        </w:rPr>
        <w:footnoteRef/>
      </w:r>
      <w:r>
        <w:t xml:space="preserve"> Pavyzdžiui, Lietuvos Respublikos patentų įstatymo 45 str. 5 d. nustato, kad „</w:t>
      </w:r>
      <w:r>
        <w:rPr>
          <w:color w:val="000000"/>
        </w:rPr>
        <w:t>Licencinė sutartis tretiesiems asmenims įsigalioja nuo jos duomenų įrašymo į Lietuvos Respublikos patentų registrą dienos.“.</w:t>
      </w:r>
    </w:p>
  </w:footnote>
  <w:footnote w:id="8">
    <w:p w14:paraId="41CE9F42" w14:textId="77777777" w:rsidR="007B24A1" w:rsidRPr="001D0E62" w:rsidRDefault="007B24A1" w:rsidP="009E0403">
      <w:pPr>
        <w:pStyle w:val="prastasiniatinklio"/>
        <w:spacing w:before="0" w:beforeAutospacing="0" w:after="0" w:afterAutospacing="0"/>
        <w:ind w:right="99" w:firstLine="720"/>
        <w:jc w:val="both"/>
      </w:pPr>
      <w:r w:rsidRPr="005F461C">
        <w:rPr>
          <w:rStyle w:val="Puslapioinaosnuoroda"/>
          <w:sz w:val="20"/>
          <w:szCs w:val="20"/>
        </w:rPr>
        <w:footnoteRef/>
      </w:r>
      <w:r w:rsidRPr="005F461C">
        <w:rPr>
          <w:sz w:val="20"/>
          <w:szCs w:val="20"/>
        </w:rPr>
        <w:t xml:space="preserve"> Šiuo metu Lietuva taiko dvigubo apmokestinimo išvengimo sutartis su šiomis užsienio valstybėmis: Airija, Armėnijos Respublika, Austrijos Respublika, Azerbaidžano Respublika, Baltarusijos Respublika, Belgijos Karalyste, Bulgarijos Respublika, Čekijos Respublika, Danijos Karalyste, Estijos Respublika, Graikijos Respublika, Gruzija, Islandijos Respublika, Indijos Respublika, Ispanijos Karalyste, Italijos Respublika, Izraeliu,</w:t>
      </w:r>
      <w:r w:rsidRPr="00796D45">
        <w:rPr>
          <w:sz w:val="20"/>
          <w:szCs w:val="20"/>
        </w:rPr>
        <w:t xml:space="preserve"> </w:t>
      </w:r>
      <w:r w:rsidRPr="00B56C17">
        <w:rPr>
          <w:sz w:val="20"/>
          <w:szCs w:val="20"/>
        </w:rPr>
        <w:t>Japonija,</w:t>
      </w:r>
      <w:r w:rsidRPr="005F461C">
        <w:rPr>
          <w:sz w:val="20"/>
          <w:szCs w:val="20"/>
        </w:rPr>
        <w:t xml:space="preserve"> Jungtinėmis Amerikos Valstijomis, Jungtinė Karalyste, Jungtiniais Arabų Emyratais, Kanada, Kazachstano Respublika, Kinijos Liaudies Respublika, Kirgizijos Respublika, Kipro Respublika, Korėjos Respublika, Kroatijos Respublika, Kuveito Valstybe, Latvijos Respublika, Lenkijos Respublika, Liuksemburgo Didžiąja Hercogyste, Malta, Makedonijos Respublika, Meksikos Jungtinėmis Valstijomis, Moldovos Respublika, Nyderlandų Karalyste, Norvegijos Karalyste, Portugalijos Respublika, Prancūzijos Respublika, Rumunija, Rusijos Federacija, Serbijos Respublika, Singapūro Respublika, Slovakijos Respublika, Slovėnijos Respublika, Suomijos Respublika, Švedijos Karalyste, Šveicarijos Konfederacija, Turkijos Respublika, Turkmėnistanu, Ukraina, Uzbekistano Respublika, Vengrijos Respublika, V</w:t>
      </w:r>
      <w:r>
        <w:rPr>
          <w:sz w:val="20"/>
          <w:szCs w:val="20"/>
        </w:rPr>
        <w:t>okietijos Federacine Respublika.</w:t>
      </w:r>
    </w:p>
  </w:footnote>
  <w:footnote w:id="9">
    <w:p w14:paraId="2EC07C52" w14:textId="77777777" w:rsidR="007B24A1" w:rsidRDefault="007B24A1" w:rsidP="009E0403">
      <w:pPr>
        <w:pStyle w:val="Puslapioinaostekstas"/>
      </w:pPr>
      <w:r>
        <w:rPr>
          <w:rStyle w:val="Puslapioinaosnuoroda"/>
        </w:rPr>
        <w:footnoteRef/>
      </w:r>
      <w:r>
        <w:t xml:space="preserve"> Plačiau apie naudinguosius modelius: </w:t>
      </w:r>
      <w:hyperlink r:id="rId4" w:history="1">
        <w:r w:rsidRPr="00F90680">
          <w:rPr>
            <w:rStyle w:val="Hipersaitas"/>
          </w:rPr>
          <w:t>http://www.wipo.int/patents/en/topics/utility_models.html</w:t>
        </w:r>
      </w:hyperlink>
      <w:r>
        <w:t xml:space="preserve"> </w:t>
      </w:r>
    </w:p>
  </w:footnote>
  <w:footnote w:id="10">
    <w:p w14:paraId="296E2B5C" w14:textId="77777777" w:rsidR="007B24A1" w:rsidRPr="00A63BBE" w:rsidRDefault="007B24A1" w:rsidP="009E0403">
      <w:pPr>
        <w:pStyle w:val="Puslapioinaostekstas"/>
        <w:jc w:val="both"/>
      </w:pPr>
      <w:r>
        <w:rPr>
          <w:rStyle w:val="Puslapioinaosnuoroda"/>
        </w:rPr>
        <w:footnoteRef/>
      </w:r>
      <w:r>
        <w:t xml:space="preserve"> </w:t>
      </w:r>
      <w:r w:rsidRPr="00A63BBE">
        <w:t>Esminę išradimo atitikimo patentabilumo kriterijams ekspertizę atlieka Europos patentų tarnyba, Austrijos, Bulgarijos, Čekijos, Danijos, Estijos, Suomijos, Vokietijos, Vengrijos, Japonijos, Lenkijos, Portugalijos, Rumunijos, Slovakijos, Švedijos, Jungtinių Amerikos Valstijų, Jungtinės Karalystės, ir kitų valstybių patentų tarnybos.</w:t>
      </w:r>
    </w:p>
  </w:footnote>
  <w:footnote w:id="11">
    <w:p w14:paraId="02822C89" w14:textId="77777777" w:rsidR="007B24A1" w:rsidRDefault="007B24A1" w:rsidP="009E0403">
      <w:pPr>
        <w:pStyle w:val="Puslapioinaostekstas"/>
      </w:pPr>
      <w:r w:rsidRPr="00A63BBE">
        <w:rPr>
          <w:rStyle w:val="Puslapioinaosnuoroda"/>
        </w:rPr>
        <w:footnoteRef/>
      </w:r>
      <w:r w:rsidRPr="00A63BBE">
        <w:t xml:space="preserve"> Esminės išradimo atitikimo patentabilumo kriterijams ekspertizės neatlieka Latvijos, Lietuvos, Kroatijos, Slovėnijos, Šveicarijos</w:t>
      </w:r>
      <w:r>
        <w:t>, Maltos, Liuksemburgo, Kipro, Graikijos, Makedonijos, Kuveito, Azerbaidžano, Kirgizijos ir</w:t>
      </w:r>
      <w:r w:rsidRPr="00A63BBE">
        <w:t xml:space="preserve"> ir kitų valstybių patentų tarnybos.</w:t>
      </w:r>
    </w:p>
  </w:footnote>
  <w:footnote w:id="12">
    <w:p w14:paraId="56F33B84" w14:textId="77777777" w:rsidR="007B24A1" w:rsidRDefault="007B24A1" w:rsidP="009E0403">
      <w:pPr>
        <w:pStyle w:val="Puslapioinaostekstas"/>
      </w:pPr>
      <w:r>
        <w:rPr>
          <w:rStyle w:val="Puslapioinaosnuoroda"/>
        </w:rPr>
        <w:footnoteRef/>
      </w:r>
      <w:r>
        <w:t xml:space="preserve"> Lietuvos Respublikos patentinių patikėtinių sąrašas: </w:t>
      </w:r>
      <w:hyperlink r:id="rId5" w:history="1">
        <w:r w:rsidRPr="002622B1">
          <w:rPr>
            <w:rStyle w:val="Hipersaitas"/>
          </w:rPr>
          <w:t>http://www.vpb.gov.lt/?p=0&amp;l=lt&amp;n=311</w:t>
        </w:r>
      </w:hyperlink>
    </w:p>
  </w:footnote>
  <w:footnote w:id="13">
    <w:p w14:paraId="4C3F1630" w14:textId="77777777" w:rsidR="007B24A1" w:rsidRDefault="007B24A1" w:rsidP="009E0403">
      <w:pPr>
        <w:pStyle w:val="Puslapioinaostekstas"/>
      </w:pPr>
      <w:r>
        <w:rPr>
          <w:rStyle w:val="Puslapioinaosnuoroda"/>
        </w:rPr>
        <w:footnoteRef/>
      </w:r>
      <w:r>
        <w:t xml:space="preserve"> Šių tarnybų sąrašas prieinamas čia: </w:t>
      </w:r>
      <w:hyperlink r:id="rId6" w:history="1">
        <w:r w:rsidRPr="00B60EF2">
          <w:rPr>
            <w:rStyle w:val="Hipersaitas"/>
          </w:rPr>
          <w:t>http://www.wipo.int/pct/en/access/isa_ipea_agreements.html</w:t>
        </w:r>
      </w:hyperlink>
      <w:r>
        <w:t xml:space="preserve"> </w:t>
      </w:r>
    </w:p>
  </w:footnote>
  <w:footnote w:id="14">
    <w:p w14:paraId="2B431B1C" w14:textId="77777777" w:rsidR="007B24A1" w:rsidRDefault="007B24A1" w:rsidP="009E0403">
      <w:pPr>
        <w:pStyle w:val="Puslapioinaostekstas"/>
      </w:pPr>
      <w:r>
        <w:rPr>
          <w:rStyle w:val="Puslapioinaosnuoroda"/>
        </w:rPr>
        <w:footnoteRef/>
      </w:r>
      <w:r>
        <w:t xml:space="preserve"> Pavyzdžiui, Lietuvos Respublikos patentų įstatymo 45 str. 5 d. nustato, kad „</w:t>
      </w:r>
      <w:r>
        <w:rPr>
          <w:color w:val="000000"/>
        </w:rPr>
        <w:t>Licencinė sutartis tretiesiems asmenims įsigalioja nuo jos duomenų įrašymo į Lietuvos Respublikos patentų registrą dienos.“.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E73F3" w14:textId="77777777" w:rsidR="007B24A1" w:rsidRDefault="007B24A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5327BC" w14:textId="77777777" w:rsidR="007B24A1" w:rsidRDefault="007B24A1">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6FAA" w14:textId="77777777" w:rsidR="007B24A1" w:rsidRDefault="007B24A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470</w:t>
    </w:r>
    <w:r>
      <w:rPr>
        <w:rStyle w:val="Puslapionumeris"/>
      </w:rPr>
      <w:fldChar w:fldCharType="end"/>
    </w:r>
  </w:p>
  <w:p w14:paraId="311590A5" w14:textId="77777777" w:rsidR="007B24A1" w:rsidRDefault="007B24A1">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35D6A7"/>
    <w:multiLevelType w:val="singleLevel"/>
    <w:tmpl w:val="EF6830FE"/>
    <w:lvl w:ilvl="0">
      <w:start w:val="1"/>
      <w:numFmt w:val="decimal"/>
      <w:suff w:val="space"/>
      <w:lvlText w:val="%1)"/>
      <w:lvlJc w:val="left"/>
      <w:rPr>
        <w:b/>
      </w:rPr>
    </w:lvl>
  </w:abstractNum>
  <w:abstractNum w:abstractNumId="1" w15:restartNumberingAfterBreak="0">
    <w:nsid w:val="FFFFFF89"/>
    <w:multiLevelType w:val="singleLevel"/>
    <w:tmpl w:val="FFFFFF89"/>
    <w:lvl w:ilvl="0">
      <w:start w:val="1"/>
      <w:numFmt w:val="bullet"/>
      <w:pStyle w:val="Sraassuenkleliais"/>
      <w:lvlText w:val=""/>
      <w:lvlJc w:val="left"/>
      <w:pPr>
        <w:tabs>
          <w:tab w:val="left" w:pos="360"/>
        </w:tabs>
        <w:ind w:left="360" w:hanging="360"/>
      </w:pPr>
      <w:rPr>
        <w:rFonts w:ascii="Symbol" w:hAnsi="Symbol" w:hint="default"/>
      </w:rPr>
    </w:lvl>
  </w:abstractNum>
  <w:abstractNum w:abstractNumId="2" w15:restartNumberingAfterBreak="0">
    <w:nsid w:val="0034003C"/>
    <w:multiLevelType w:val="hybridMultilevel"/>
    <w:tmpl w:val="F98057DE"/>
    <w:lvl w:ilvl="0" w:tplc="A300C9B6">
      <w:start w:val="1"/>
      <w:numFmt w:val="decimal"/>
      <w:lvlText w:val="%1."/>
      <w:lvlJc w:val="left"/>
      <w:pPr>
        <w:ind w:left="1069"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006E2E68"/>
    <w:multiLevelType w:val="hybridMultilevel"/>
    <w:tmpl w:val="396419A8"/>
    <w:lvl w:ilvl="0" w:tplc="EC1CAFEA">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 w15:restartNumberingAfterBreak="0">
    <w:nsid w:val="060A6266"/>
    <w:multiLevelType w:val="multilevel"/>
    <w:tmpl w:val="060A6266"/>
    <w:lvl w:ilvl="0">
      <w:start w:val="1"/>
      <w:numFmt w:val="decimal"/>
      <w:lvlText w:val="%1)"/>
      <w:lvlJc w:val="left"/>
      <w:pPr>
        <w:ind w:left="1069"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6CE30BF"/>
    <w:multiLevelType w:val="hybridMultilevel"/>
    <w:tmpl w:val="A874DA92"/>
    <w:lvl w:ilvl="0" w:tplc="CAF0D3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08A84BDE"/>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D2106A"/>
    <w:multiLevelType w:val="multilevel"/>
    <w:tmpl w:val="08D2106A"/>
    <w:lvl w:ilvl="0">
      <w:numFmt w:val="bullet"/>
      <w:lvlText w:val="-"/>
      <w:lvlJc w:val="left"/>
      <w:pPr>
        <w:tabs>
          <w:tab w:val="left" w:pos="1080"/>
        </w:tabs>
        <w:ind w:left="1080" w:hanging="3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8" w15:restartNumberingAfterBreak="0">
    <w:nsid w:val="0AB745FD"/>
    <w:multiLevelType w:val="multilevel"/>
    <w:tmpl w:val="0AB745F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BBC6C96"/>
    <w:multiLevelType w:val="multilevel"/>
    <w:tmpl w:val="0BBC6C96"/>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0" w15:restartNumberingAfterBreak="0">
    <w:nsid w:val="0CAA1087"/>
    <w:multiLevelType w:val="multilevel"/>
    <w:tmpl w:val="AE7C384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96554F"/>
    <w:multiLevelType w:val="multilevel"/>
    <w:tmpl w:val="0D96554F"/>
    <w:lvl w:ilvl="0">
      <w:start w:val="1"/>
      <w:numFmt w:val="lowerLetter"/>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2" w15:restartNumberingAfterBreak="0">
    <w:nsid w:val="0DEA7DDA"/>
    <w:multiLevelType w:val="singleLevel"/>
    <w:tmpl w:val="0DEA7DDA"/>
    <w:lvl w:ilvl="0">
      <w:start w:val="1"/>
      <w:numFmt w:val="bullet"/>
      <w:lvlText w:val=""/>
      <w:lvlJc w:val="left"/>
      <w:pPr>
        <w:tabs>
          <w:tab w:val="left" w:pos="360"/>
        </w:tabs>
        <w:ind w:left="360" w:hanging="360"/>
      </w:pPr>
      <w:rPr>
        <w:rFonts w:ascii="Symbol" w:hAnsi="Symbol" w:hint="default"/>
      </w:rPr>
    </w:lvl>
  </w:abstractNum>
  <w:abstractNum w:abstractNumId="13" w15:restartNumberingAfterBreak="0">
    <w:nsid w:val="13DB7623"/>
    <w:multiLevelType w:val="multilevel"/>
    <w:tmpl w:val="FAB6C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790C52"/>
    <w:multiLevelType w:val="multilevel"/>
    <w:tmpl w:val="14790C52"/>
    <w:lvl w:ilvl="0">
      <w:start w:val="2"/>
      <w:numFmt w:val="bullet"/>
      <w:lvlText w:val="-"/>
      <w:lvlJc w:val="left"/>
      <w:pPr>
        <w:tabs>
          <w:tab w:val="left" w:pos="1680"/>
        </w:tabs>
        <w:ind w:left="1680" w:hanging="9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5" w15:restartNumberingAfterBreak="0">
    <w:nsid w:val="149E12B3"/>
    <w:multiLevelType w:val="multilevel"/>
    <w:tmpl w:val="149E12B3"/>
    <w:lvl w:ilvl="0">
      <w:start w:val="1"/>
      <w:numFmt w:val="decimal"/>
      <w:lvlText w:val="%1."/>
      <w:lvlJc w:val="left"/>
      <w:pPr>
        <w:tabs>
          <w:tab w:val="left" w:pos="1800"/>
        </w:tabs>
        <w:ind w:left="1800" w:hanging="360"/>
      </w:pPr>
      <w:rPr>
        <w:rFonts w:cs="Times New Roman" w:hint="default"/>
      </w:rPr>
    </w:lvl>
    <w:lvl w:ilvl="1">
      <w:start w:val="1"/>
      <w:numFmt w:val="lowerLetter"/>
      <w:lvlText w:val="%2."/>
      <w:lvlJc w:val="left"/>
      <w:pPr>
        <w:tabs>
          <w:tab w:val="left" w:pos="2520"/>
        </w:tabs>
        <w:ind w:left="2520" w:hanging="360"/>
      </w:pPr>
      <w:rPr>
        <w:rFonts w:cs="Times New Roman"/>
      </w:rPr>
    </w:lvl>
    <w:lvl w:ilvl="2">
      <w:start w:val="1"/>
      <w:numFmt w:val="lowerRoman"/>
      <w:lvlText w:val="%3."/>
      <w:lvlJc w:val="right"/>
      <w:pPr>
        <w:tabs>
          <w:tab w:val="left" w:pos="3240"/>
        </w:tabs>
        <w:ind w:left="3240" w:hanging="180"/>
      </w:pPr>
      <w:rPr>
        <w:rFonts w:cs="Times New Roman"/>
      </w:rPr>
    </w:lvl>
    <w:lvl w:ilvl="3">
      <w:start w:val="1"/>
      <w:numFmt w:val="decimal"/>
      <w:lvlText w:val="%4."/>
      <w:lvlJc w:val="left"/>
      <w:pPr>
        <w:tabs>
          <w:tab w:val="left" w:pos="3960"/>
        </w:tabs>
        <w:ind w:left="3960" w:hanging="360"/>
      </w:pPr>
      <w:rPr>
        <w:rFonts w:cs="Times New Roman"/>
      </w:rPr>
    </w:lvl>
    <w:lvl w:ilvl="4">
      <w:start w:val="1"/>
      <w:numFmt w:val="lowerLetter"/>
      <w:lvlText w:val="%5."/>
      <w:lvlJc w:val="left"/>
      <w:pPr>
        <w:tabs>
          <w:tab w:val="left" w:pos="4680"/>
        </w:tabs>
        <w:ind w:left="4680" w:hanging="360"/>
      </w:pPr>
      <w:rPr>
        <w:rFonts w:cs="Times New Roman"/>
      </w:rPr>
    </w:lvl>
    <w:lvl w:ilvl="5">
      <w:start w:val="1"/>
      <w:numFmt w:val="lowerRoman"/>
      <w:lvlText w:val="%6."/>
      <w:lvlJc w:val="right"/>
      <w:pPr>
        <w:tabs>
          <w:tab w:val="left" w:pos="5400"/>
        </w:tabs>
        <w:ind w:left="5400" w:hanging="180"/>
      </w:pPr>
      <w:rPr>
        <w:rFonts w:cs="Times New Roman"/>
      </w:rPr>
    </w:lvl>
    <w:lvl w:ilvl="6">
      <w:start w:val="1"/>
      <w:numFmt w:val="decimal"/>
      <w:lvlText w:val="%7."/>
      <w:lvlJc w:val="left"/>
      <w:pPr>
        <w:tabs>
          <w:tab w:val="left" w:pos="6120"/>
        </w:tabs>
        <w:ind w:left="6120" w:hanging="360"/>
      </w:pPr>
      <w:rPr>
        <w:rFonts w:cs="Times New Roman"/>
      </w:rPr>
    </w:lvl>
    <w:lvl w:ilvl="7">
      <w:start w:val="1"/>
      <w:numFmt w:val="lowerLetter"/>
      <w:lvlText w:val="%8."/>
      <w:lvlJc w:val="left"/>
      <w:pPr>
        <w:tabs>
          <w:tab w:val="left" w:pos="6840"/>
        </w:tabs>
        <w:ind w:left="6840" w:hanging="360"/>
      </w:pPr>
      <w:rPr>
        <w:rFonts w:cs="Times New Roman"/>
      </w:rPr>
    </w:lvl>
    <w:lvl w:ilvl="8">
      <w:start w:val="1"/>
      <w:numFmt w:val="lowerRoman"/>
      <w:lvlText w:val="%9."/>
      <w:lvlJc w:val="right"/>
      <w:pPr>
        <w:tabs>
          <w:tab w:val="left" w:pos="7560"/>
        </w:tabs>
        <w:ind w:left="7560" w:hanging="180"/>
      </w:pPr>
      <w:rPr>
        <w:rFonts w:cs="Times New Roman"/>
      </w:rPr>
    </w:lvl>
  </w:abstractNum>
  <w:abstractNum w:abstractNumId="16" w15:restartNumberingAfterBreak="0">
    <w:nsid w:val="14E24836"/>
    <w:multiLevelType w:val="multilevel"/>
    <w:tmpl w:val="14E24836"/>
    <w:lvl w:ilvl="0">
      <w:start w:val="2011"/>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7" w15:restartNumberingAfterBreak="0">
    <w:nsid w:val="17472155"/>
    <w:multiLevelType w:val="multilevel"/>
    <w:tmpl w:val="17472155"/>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8" w15:restartNumberingAfterBreak="0">
    <w:nsid w:val="1B0E2928"/>
    <w:multiLevelType w:val="multilevel"/>
    <w:tmpl w:val="1B0E2928"/>
    <w:lvl w:ilvl="0">
      <w:numFmt w:val="bullet"/>
      <w:lvlText w:val="-"/>
      <w:lvlJc w:val="left"/>
      <w:pPr>
        <w:tabs>
          <w:tab w:val="left" w:pos="1080"/>
        </w:tabs>
        <w:ind w:left="1080" w:hanging="360"/>
      </w:pPr>
      <w:rPr>
        <w:rFonts w:ascii="Times New Roman" w:eastAsia="Times New Roman" w:hAnsi="Times New Roman" w:hint="default"/>
        <w:b w:val="0"/>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9" w15:restartNumberingAfterBreak="0">
    <w:nsid w:val="1B567779"/>
    <w:multiLevelType w:val="hybridMultilevel"/>
    <w:tmpl w:val="9796C2F8"/>
    <w:lvl w:ilvl="0" w:tplc="79FA1106">
      <w:start w:val="2019"/>
      <w:numFmt w:val="bullet"/>
      <w:lvlText w:val="–"/>
      <w:lvlJc w:val="left"/>
      <w:pPr>
        <w:ind w:left="3839" w:hanging="360"/>
      </w:pPr>
      <w:rPr>
        <w:rFonts w:ascii="Times New Roman" w:eastAsia="Times New Roman" w:hAnsi="Times New Roman" w:cs="Times New Roman" w:hint="default"/>
      </w:rPr>
    </w:lvl>
    <w:lvl w:ilvl="1" w:tplc="04270003" w:tentative="1">
      <w:start w:val="1"/>
      <w:numFmt w:val="bullet"/>
      <w:lvlText w:val="o"/>
      <w:lvlJc w:val="left"/>
      <w:pPr>
        <w:ind w:left="4559" w:hanging="360"/>
      </w:pPr>
      <w:rPr>
        <w:rFonts w:ascii="Courier New" w:hAnsi="Courier New" w:cs="Courier New" w:hint="default"/>
      </w:rPr>
    </w:lvl>
    <w:lvl w:ilvl="2" w:tplc="04270005" w:tentative="1">
      <w:start w:val="1"/>
      <w:numFmt w:val="bullet"/>
      <w:lvlText w:val=""/>
      <w:lvlJc w:val="left"/>
      <w:pPr>
        <w:ind w:left="5279" w:hanging="360"/>
      </w:pPr>
      <w:rPr>
        <w:rFonts w:ascii="Wingdings" w:hAnsi="Wingdings" w:hint="default"/>
      </w:rPr>
    </w:lvl>
    <w:lvl w:ilvl="3" w:tplc="04270001" w:tentative="1">
      <w:start w:val="1"/>
      <w:numFmt w:val="bullet"/>
      <w:lvlText w:val=""/>
      <w:lvlJc w:val="left"/>
      <w:pPr>
        <w:ind w:left="5999" w:hanging="360"/>
      </w:pPr>
      <w:rPr>
        <w:rFonts w:ascii="Symbol" w:hAnsi="Symbol" w:hint="default"/>
      </w:rPr>
    </w:lvl>
    <w:lvl w:ilvl="4" w:tplc="04270003" w:tentative="1">
      <w:start w:val="1"/>
      <w:numFmt w:val="bullet"/>
      <w:lvlText w:val="o"/>
      <w:lvlJc w:val="left"/>
      <w:pPr>
        <w:ind w:left="6719" w:hanging="360"/>
      </w:pPr>
      <w:rPr>
        <w:rFonts w:ascii="Courier New" w:hAnsi="Courier New" w:cs="Courier New" w:hint="default"/>
      </w:rPr>
    </w:lvl>
    <w:lvl w:ilvl="5" w:tplc="04270005" w:tentative="1">
      <w:start w:val="1"/>
      <w:numFmt w:val="bullet"/>
      <w:lvlText w:val=""/>
      <w:lvlJc w:val="left"/>
      <w:pPr>
        <w:ind w:left="7439" w:hanging="360"/>
      </w:pPr>
      <w:rPr>
        <w:rFonts w:ascii="Wingdings" w:hAnsi="Wingdings" w:hint="default"/>
      </w:rPr>
    </w:lvl>
    <w:lvl w:ilvl="6" w:tplc="04270001" w:tentative="1">
      <w:start w:val="1"/>
      <w:numFmt w:val="bullet"/>
      <w:lvlText w:val=""/>
      <w:lvlJc w:val="left"/>
      <w:pPr>
        <w:ind w:left="8159" w:hanging="360"/>
      </w:pPr>
      <w:rPr>
        <w:rFonts w:ascii="Symbol" w:hAnsi="Symbol" w:hint="default"/>
      </w:rPr>
    </w:lvl>
    <w:lvl w:ilvl="7" w:tplc="04270003" w:tentative="1">
      <w:start w:val="1"/>
      <w:numFmt w:val="bullet"/>
      <w:lvlText w:val="o"/>
      <w:lvlJc w:val="left"/>
      <w:pPr>
        <w:ind w:left="8879" w:hanging="360"/>
      </w:pPr>
      <w:rPr>
        <w:rFonts w:ascii="Courier New" w:hAnsi="Courier New" w:cs="Courier New" w:hint="default"/>
      </w:rPr>
    </w:lvl>
    <w:lvl w:ilvl="8" w:tplc="04270005" w:tentative="1">
      <w:start w:val="1"/>
      <w:numFmt w:val="bullet"/>
      <w:lvlText w:val=""/>
      <w:lvlJc w:val="left"/>
      <w:pPr>
        <w:ind w:left="9599" w:hanging="360"/>
      </w:pPr>
      <w:rPr>
        <w:rFonts w:ascii="Wingdings" w:hAnsi="Wingdings" w:hint="default"/>
      </w:rPr>
    </w:lvl>
  </w:abstractNum>
  <w:abstractNum w:abstractNumId="20" w15:restartNumberingAfterBreak="0">
    <w:nsid w:val="1BEE2DF1"/>
    <w:multiLevelType w:val="hybridMultilevel"/>
    <w:tmpl w:val="FF0E797E"/>
    <w:lvl w:ilvl="0" w:tplc="417ED8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1CF81748"/>
    <w:multiLevelType w:val="singleLevel"/>
    <w:tmpl w:val="1CF81748"/>
    <w:lvl w:ilvl="0">
      <w:start w:val="1"/>
      <w:numFmt w:val="bullet"/>
      <w:lvlText w:val=""/>
      <w:lvlJc w:val="left"/>
      <w:pPr>
        <w:tabs>
          <w:tab w:val="left" w:pos="360"/>
        </w:tabs>
        <w:ind w:left="360" w:hanging="360"/>
      </w:pPr>
      <w:rPr>
        <w:rFonts w:ascii="Symbol" w:hAnsi="Symbol" w:hint="default"/>
      </w:rPr>
    </w:lvl>
  </w:abstractNum>
  <w:abstractNum w:abstractNumId="22" w15:restartNumberingAfterBreak="0">
    <w:nsid w:val="1EE85692"/>
    <w:multiLevelType w:val="multilevel"/>
    <w:tmpl w:val="1EE85692"/>
    <w:lvl w:ilvl="0">
      <w:start w:val="2003"/>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3" w15:restartNumberingAfterBreak="0">
    <w:nsid w:val="22375B51"/>
    <w:multiLevelType w:val="hybridMultilevel"/>
    <w:tmpl w:val="D736D7A0"/>
    <w:lvl w:ilvl="0" w:tplc="A5DC5FD4">
      <w:start w:val="1"/>
      <w:numFmt w:val="decimal"/>
      <w:lvlText w:val="%1)"/>
      <w:lvlJc w:val="left"/>
      <w:pPr>
        <w:ind w:left="927" w:hanging="360"/>
      </w:pPr>
      <w:rPr>
        <w:rFonts w:ascii="Times New Roman" w:eastAsia="Calibri" w:hAnsi="Times New Roman" w:cs="Times New Roman"/>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4" w15:restartNumberingAfterBreak="0">
    <w:nsid w:val="227A6CF6"/>
    <w:multiLevelType w:val="multilevel"/>
    <w:tmpl w:val="227A6CF6"/>
    <w:lvl w:ilvl="0">
      <w:start w:val="1"/>
      <w:numFmt w:val="bullet"/>
      <w:lvlText w:val="-"/>
      <w:lvlJc w:val="left"/>
      <w:pPr>
        <w:tabs>
          <w:tab w:val="left" w:pos="1069"/>
        </w:tabs>
        <w:ind w:left="1069" w:hanging="360"/>
      </w:pPr>
      <w:rPr>
        <w:rFonts w:ascii="Times New Roman" w:eastAsia="Times New Roman" w:hAnsi="Times New Roman" w:hint="default"/>
      </w:rPr>
    </w:lvl>
    <w:lvl w:ilvl="1">
      <w:start w:val="1"/>
      <w:numFmt w:val="bullet"/>
      <w:lvlText w:val="o"/>
      <w:lvlJc w:val="left"/>
      <w:pPr>
        <w:tabs>
          <w:tab w:val="left" w:pos="1789"/>
        </w:tabs>
        <w:ind w:left="1789" w:hanging="360"/>
      </w:pPr>
      <w:rPr>
        <w:rFonts w:ascii="Courier New" w:hAnsi="Courier New" w:hint="default"/>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25" w15:restartNumberingAfterBreak="0">
    <w:nsid w:val="22AE2E98"/>
    <w:multiLevelType w:val="multilevel"/>
    <w:tmpl w:val="22AE2E98"/>
    <w:lvl w:ilvl="0">
      <w:start w:val="2002"/>
      <w:numFmt w:val="bullet"/>
      <w:lvlText w:val="-"/>
      <w:lvlJc w:val="left"/>
      <w:pPr>
        <w:tabs>
          <w:tab w:val="left" w:pos="1080"/>
        </w:tabs>
        <w:ind w:left="1080" w:hanging="360"/>
      </w:pPr>
      <w:rPr>
        <w:rFonts w:ascii="Times New Roman" w:eastAsia="Times New Roman" w:hAnsi="Times New Roman" w:hint="default"/>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6" w15:restartNumberingAfterBreak="0">
    <w:nsid w:val="27134213"/>
    <w:multiLevelType w:val="hybridMultilevel"/>
    <w:tmpl w:val="98406D70"/>
    <w:lvl w:ilvl="0" w:tplc="0986A5D6">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27C26990"/>
    <w:multiLevelType w:val="hybridMultilevel"/>
    <w:tmpl w:val="D1229A6C"/>
    <w:lvl w:ilvl="0" w:tplc="0750EC9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28113E89"/>
    <w:multiLevelType w:val="multilevel"/>
    <w:tmpl w:val="3072F70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82852B2"/>
    <w:multiLevelType w:val="hybridMultilevel"/>
    <w:tmpl w:val="DDD6D828"/>
    <w:lvl w:ilvl="0" w:tplc="F216E976">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29364227"/>
    <w:multiLevelType w:val="multilevel"/>
    <w:tmpl w:val="29364227"/>
    <w:lvl w:ilvl="0">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2C8D5C2B"/>
    <w:multiLevelType w:val="multilevel"/>
    <w:tmpl w:val="2C8D5C2B"/>
    <w:lvl w:ilvl="0">
      <w:start w:val="5"/>
      <w:numFmt w:val="decimal"/>
      <w:lvlText w:val="%1."/>
      <w:lvlJc w:val="left"/>
      <w:pPr>
        <w:tabs>
          <w:tab w:val="left" w:pos="1140"/>
        </w:tabs>
        <w:ind w:left="1140" w:hanging="1140"/>
      </w:pPr>
      <w:rPr>
        <w:rFonts w:cs="Times New Roman" w:hint="default"/>
      </w:rPr>
    </w:lvl>
    <w:lvl w:ilvl="1">
      <w:start w:val="1"/>
      <w:numFmt w:val="decimal"/>
      <w:lvlText w:val="%1.%2."/>
      <w:lvlJc w:val="left"/>
      <w:pPr>
        <w:tabs>
          <w:tab w:val="left" w:pos="1849"/>
        </w:tabs>
        <w:ind w:left="1849" w:hanging="1140"/>
      </w:pPr>
      <w:rPr>
        <w:rFonts w:cs="Times New Roman" w:hint="default"/>
      </w:rPr>
    </w:lvl>
    <w:lvl w:ilvl="2">
      <w:start w:val="1"/>
      <w:numFmt w:val="decimal"/>
      <w:lvlText w:val="%1.%2.%3."/>
      <w:lvlJc w:val="left"/>
      <w:pPr>
        <w:tabs>
          <w:tab w:val="left" w:pos="2558"/>
        </w:tabs>
        <w:ind w:left="2558" w:hanging="1140"/>
      </w:pPr>
      <w:rPr>
        <w:rFonts w:cs="Times New Roman" w:hint="default"/>
      </w:rPr>
    </w:lvl>
    <w:lvl w:ilvl="3">
      <w:start w:val="1"/>
      <w:numFmt w:val="decimal"/>
      <w:lvlText w:val="%1.%2.%3.%4."/>
      <w:lvlJc w:val="left"/>
      <w:pPr>
        <w:tabs>
          <w:tab w:val="left" w:pos="3267"/>
        </w:tabs>
        <w:ind w:left="3267" w:hanging="1140"/>
      </w:pPr>
      <w:rPr>
        <w:rFonts w:cs="Times New Roman" w:hint="default"/>
      </w:rPr>
    </w:lvl>
    <w:lvl w:ilvl="4">
      <w:start w:val="1"/>
      <w:numFmt w:val="decimal"/>
      <w:lvlText w:val="%1.%2.%3.%4.%5."/>
      <w:lvlJc w:val="left"/>
      <w:pPr>
        <w:tabs>
          <w:tab w:val="left" w:pos="3976"/>
        </w:tabs>
        <w:ind w:left="3976" w:hanging="1140"/>
      </w:pPr>
      <w:rPr>
        <w:rFonts w:cs="Times New Roman" w:hint="default"/>
      </w:rPr>
    </w:lvl>
    <w:lvl w:ilvl="5">
      <w:start w:val="1"/>
      <w:numFmt w:val="decimal"/>
      <w:lvlText w:val="%1.%2.%3.%4.%5.%6."/>
      <w:lvlJc w:val="left"/>
      <w:pPr>
        <w:tabs>
          <w:tab w:val="left" w:pos="4685"/>
        </w:tabs>
        <w:ind w:left="4685" w:hanging="1140"/>
      </w:pPr>
      <w:rPr>
        <w:rFonts w:cs="Times New Roman" w:hint="default"/>
      </w:rPr>
    </w:lvl>
    <w:lvl w:ilvl="6">
      <w:start w:val="1"/>
      <w:numFmt w:val="decimal"/>
      <w:lvlText w:val="%1.%2.%3.%4.%5.%6.%7."/>
      <w:lvlJc w:val="left"/>
      <w:pPr>
        <w:tabs>
          <w:tab w:val="left" w:pos="5694"/>
        </w:tabs>
        <w:ind w:left="5694" w:hanging="1440"/>
      </w:pPr>
      <w:rPr>
        <w:rFonts w:cs="Times New Roman" w:hint="default"/>
      </w:rPr>
    </w:lvl>
    <w:lvl w:ilvl="7">
      <w:start w:val="1"/>
      <w:numFmt w:val="decimal"/>
      <w:lvlText w:val="%1.%2.%3.%4.%5.%6.%7.%8."/>
      <w:lvlJc w:val="left"/>
      <w:pPr>
        <w:tabs>
          <w:tab w:val="left" w:pos="6403"/>
        </w:tabs>
        <w:ind w:left="6403" w:hanging="1440"/>
      </w:pPr>
      <w:rPr>
        <w:rFonts w:cs="Times New Roman" w:hint="default"/>
      </w:rPr>
    </w:lvl>
    <w:lvl w:ilvl="8">
      <w:start w:val="1"/>
      <w:numFmt w:val="decimal"/>
      <w:lvlText w:val="%1.%2.%3.%4.%5.%6.%7.%8.%9."/>
      <w:lvlJc w:val="left"/>
      <w:pPr>
        <w:tabs>
          <w:tab w:val="left" w:pos="7472"/>
        </w:tabs>
        <w:ind w:left="7472" w:hanging="1800"/>
      </w:pPr>
      <w:rPr>
        <w:rFonts w:cs="Times New Roman" w:hint="default"/>
      </w:rPr>
    </w:lvl>
  </w:abstractNum>
  <w:abstractNum w:abstractNumId="32" w15:restartNumberingAfterBreak="0">
    <w:nsid w:val="2CA26F5E"/>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E604C8B"/>
    <w:multiLevelType w:val="hybridMultilevel"/>
    <w:tmpl w:val="8258EBA8"/>
    <w:lvl w:ilvl="0" w:tplc="6AD270EC">
      <w:start w:val="5"/>
      <w:numFmt w:val="decimal"/>
      <w:lvlText w:val="%1)"/>
      <w:lvlJc w:val="left"/>
      <w:pPr>
        <w:ind w:left="1429" w:hanging="360"/>
      </w:pPr>
      <w:rPr>
        <w:rFonts w:hint="default"/>
        <w:b/>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4" w15:restartNumberingAfterBreak="0">
    <w:nsid w:val="2F7852FE"/>
    <w:multiLevelType w:val="multilevel"/>
    <w:tmpl w:val="F2D4740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0910D0"/>
    <w:multiLevelType w:val="multilevel"/>
    <w:tmpl w:val="300910D0"/>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36" w15:restartNumberingAfterBreak="0">
    <w:nsid w:val="30EA424F"/>
    <w:multiLevelType w:val="multilevel"/>
    <w:tmpl w:val="0254ADEA"/>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1D45E7F"/>
    <w:multiLevelType w:val="multilevel"/>
    <w:tmpl w:val="31D45E7F"/>
    <w:lvl w:ilvl="0">
      <w:numFmt w:val="bullet"/>
      <w:lvlText w:val="-"/>
      <w:lvlJc w:val="left"/>
      <w:pPr>
        <w:tabs>
          <w:tab w:val="left" w:pos="1140"/>
        </w:tabs>
        <w:ind w:left="1140" w:hanging="42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38" w15:restartNumberingAfterBreak="0">
    <w:nsid w:val="32A23E30"/>
    <w:multiLevelType w:val="hybridMultilevel"/>
    <w:tmpl w:val="F63853C4"/>
    <w:lvl w:ilvl="0" w:tplc="E17E4E3E">
      <w:start w:val="1"/>
      <w:numFmt w:val="decimal"/>
      <w:lvlText w:val="%1)"/>
      <w:lvlJc w:val="left"/>
      <w:pPr>
        <w:ind w:left="360"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15:restartNumberingAfterBreak="0">
    <w:nsid w:val="32E2456B"/>
    <w:multiLevelType w:val="multilevel"/>
    <w:tmpl w:val="39F61CDE"/>
    <w:lvl w:ilvl="0">
      <w:start w:val="1"/>
      <w:numFmt w:val="decimal"/>
      <w:lvlText w:val="%1."/>
      <w:lvlJc w:val="left"/>
      <w:pPr>
        <w:ind w:left="1637" w:hanging="360"/>
      </w:pPr>
      <w:rPr>
        <w:rFonts w:ascii="Times New Roman" w:hAnsi="Times New Roman" w:cs="Times New Roman" w:hint="default"/>
      </w:rPr>
    </w:lvl>
    <w:lvl w:ilvl="1">
      <w:start w:val="4"/>
      <w:numFmt w:val="decimal"/>
      <w:isLgl/>
      <w:lvlText w:val="%1.%2."/>
      <w:lvlJc w:val="left"/>
      <w:pPr>
        <w:ind w:left="1637" w:hanging="360"/>
      </w:pPr>
      <w:rPr>
        <w:rFonts w:eastAsiaTheme="minorHAnsi" w:hint="default"/>
        <w:b/>
        <w:color w:val="FF0000"/>
      </w:rPr>
    </w:lvl>
    <w:lvl w:ilvl="2">
      <w:start w:val="1"/>
      <w:numFmt w:val="decimal"/>
      <w:isLgl/>
      <w:lvlText w:val="%1.%2.%3."/>
      <w:lvlJc w:val="left"/>
      <w:pPr>
        <w:ind w:left="1997" w:hanging="720"/>
      </w:pPr>
      <w:rPr>
        <w:rFonts w:eastAsiaTheme="minorHAnsi" w:hint="default"/>
        <w:b/>
        <w:color w:val="FF0000"/>
      </w:rPr>
    </w:lvl>
    <w:lvl w:ilvl="3">
      <w:start w:val="1"/>
      <w:numFmt w:val="decimal"/>
      <w:isLgl/>
      <w:lvlText w:val="%1.%2.%3.%4."/>
      <w:lvlJc w:val="left"/>
      <w:pPr>
        <w:ind w:left="1997" w:hanging="720"/>
      </w:pPr>
      <w:rPr>
        <w:rFonts w:eastAsiaTheme="minorHAnsi" w:hint="default"/>
        <w:b/>
        <w:color w:val="FF0000"/>
      </w:rPr>
    </w:lvl>
    <w:lvl w:ilvl="4">
      <w:start w:val="1"/>
      <w:numFmt w:val="decimal"/>
      <w:isLgl/>
      <w:lvlText w:val="%1.%2.%3.%4.%5."/>
      <w:lvlJc w:val="left"/>
      <w:pPr>
        <w:ind w:left="2357" w:hanging="1080"/>
      </w:pPr>
      <w:rPr>
        <w:rFonts w:eastAsiaTheme="minorHAnsi" w:hint="default"/>
        <w:b/>
        <w:color w:val="FF0000"/>
      </w:rPr>
    </w:lvl>
    <w:lvl w:ilvl="5">
      <w:start w:val="1"/>
      <w:numFmt w:val="decimal"/>
      <w:isLgl/>
      <w:lvlText w:val="%1.%2.%3.%4.%5.%6."/>
      <w:lvlJc w:val="left"/>
      <w:pPr>
        <w:ind w:left="2357" w:hanging="1080"/>
      </w:pPr>
      <w:rPr>
        <w:rFonts w:eastAsiaTheme="minorHAnsi" w:hint="default"/>
        <w:b/>
        <w:color w:val="FF0000"/>
      </w:rPr>
    </w:lvl>
    <w:lvl w:ilvl="6">
      <w:start w:val="1"/>
      <w:numFmt w:val="decimal"/>
      <w:isLgl/>
      <w:lvlText w:val="%1.%2.%3.%4.%5.%6.%7."/>
      <w:lvlJc w:val="left"/>
      <w:pPr>
        <w:ind w:left="2717" w:hanging="1440"/>
      </w:pPr>
      <w:rPr>
        <w:rFonts w:eastAsiaTheme="minorHAnsi" w:hint="default"/>
        <w:b/>
        <w:color w:val="FF0000"/>
      </w:rPr>
    </w:lvl>
    <w:lvl w:ilvl="7">
      <w:start w:val="1"/>
      <w:numFmt w:val="decimal"/>
      <w:isLgl/>
      <w:lvlText w:val="%1.%2.%3.%4.%5.%6.%7.%8."/>
      <w:lvlJc w:val="left"/>
      <w:pPr>
        <w:ind w:left="2717" w:hanging="1440"/>
      </w:pPr>
      <w:rPr>
        <w:rFonts w:eastAsiaTheme="minorHAnsi" w:hint="default"/>
        <w:b/>
        <w:color w:val="FF0000"/>
      </w:rPr>
    </w:lvl>
    <w:lvl w:ilvl="8">
      <w:start w:val="1"/>
      <w:numFmt w:val="decimal"/>
      <w:isLgl/>
      <w:lvlText w:val="%1.%2.%3.%4.%5.%6.%7.%8.%9."/>
      <w:lvlJc w:val="left"/>
      <w:pPr>
        <w:ind w:left="3077" w:hanging="1800"/>
      </w:pPr>
      <w:rPr>
        <w:rFonts w:eastAsiaTheme="minorHAnsi" w:hint="default"/>
        <w:b/>
        <w:color w:val="FF0000"/>
      </w:rPr>
    </w:lvl>
  </w:abstractNum>
  <w:abstractNum w:abstractNumId="40" w15:restartNumberingAfterBreak="0">
    <w:nsid w:val="343B69EE"/>
    <w:multiLevelType w:val="hybridMultilevel"/>
    <w:tmpl w:val="9F366C18"/>
    <w:lvl w:ilvl="0" w:tplc="4CC20AE6">
      <w:start w:val="1"/>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1" w15:restartNumberingAfterBreak="0">
    <w:nsid w:val="361E51A9"/>
    <w:multiLevelType w:val="multilevel"/>
    <w:tmpl w:val="361E51A9"/>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42" w15:restartNumberingAfterBreak="0">
    <w:nsid w:val="3A2D06D2"/>
    <w:multiLevelType w:val="multilevel"/>
    <w:tmpl w:val="3A2D06D2"/>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43" w15:restartNumberingAfterBreak="0">
    <w:nsid w:val="3BF01B55"/>
    <w:multiLevelType w:val="multilevel"/>
    <w:tmpl w:val="3BF01B55"/>
    <w:lvl w:ilvl="0">
      <w:start w:val="3"/>
      <w:numFmt w:val="bullet"/>
      <w:lvlText w:val="-"/>
      <w:lvlJc w:val="left"/>
      <w:pPr>
        <w:tabs>
          <w:tab w:val="left" w:pos="1635"/>
        </w:tabs>
        <w:ind w:left="1635" w:hanging="915"/>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4" w15:restartNumberingAfterBreak="0">
    <w:nsid w:val="3D5A6FB0"/>
    <w:multiLevelType w:val="hybridMultilevel"/>
    <w:tmpl w:val="D05E37CA"/>
    <w:lvl w:ilvl="0" w:tplc="0B924530">
      <w:start w:val="201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5" w15:restartNumberingAfterBreak="0">
    <w:nsid w:val="3DB61E69"/>
    <w:multiLevelType w:val="multilevel"/>
    <w:tmpl w:val="A4D4C5A6"/>
    <w:lvl w:ilvl="0">
      <w:start w:val="1"/>
      <w:numFmt w:val="decimal"/>
      <w:lvlText w:val="%1)"/>
      <w:lvlJc w:val="left"/>
      <w:pPr>
        <w:tabs>
          <w:tab w:val="left" w:pos="501"/>
        </w:tabs>
        <w:ind w:left="501" w:hanging="360"/>
      </w:pPr>
      <w:rPr>
        <w:rFonts w:cs="Times New Roman" w:hint="default"/>
        <w:b/>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46" w15:restartNumberingAfterBreak="0">
    <w:nsid w:val="3E340C79"/>
    <w:multiLevelType w:val="multilevel"/>
    <w:tmpl w:val="3E340C79"/>
    <w:lvl w:ilvl="0">
      <w:start w:val="3"/>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7" w15:restartNumberingAfterBreak="0">
    <w:nsid w:val="3FC77C80"/>
    <w:multiLevelType w:val="multilevel"/>
    <w:tmpl w:val="6D70F1F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0844600"/>
    <w:multiLevelType w:val="hybridMultilevel"/>
    <w:tmpl w:val="B442E5C4"/>
    <w:lvl w:ilvl="0" w:tplc="6E449F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9" w15:restartNumberingAfterBreak="0">
    <w:nsid w:val="419959F6"/>
    <w:multiLevelType w:val="multilevel"/>
    <w:tmpl w:val="419959F6"/>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0" w15:restartNumberingAfterBreak="0">
    <w:nsid w:val="44FC4351"/>
    <w:multiLevelType w:val="hybridMultilevel"/>
    <w:tmpl w:val="5C4AF7F0"/>
    <w:lvl w:ilvl="0" w:tplc="8CA0767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1" w15:restartNumberingAfterBreak="0">
    <w:nsid w:val="48A92FEB"/>
    <w:multiLevelType w:val="hybridMultilevel"/>
    <w:tmpl w:val="B6929480"/>
    <w:lvl w:ilvl="0" w:tplc="5210BBD6">
      <w:start w:val="14"/>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2" w15:restartNumberingAfterBreak="0">
    <w:nsid w:val="4A46313B"/>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AD04261"/>
    <w:multiLevelType w:val="multilevel"/>
    <w:tmpl w:val="4AD04261"/>
    <w:lvl w:ilvl="0">
      <w:start w:val="4"/>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54" w15:restartNumberingAfterBreak="0">
    <w:nsid w:val="4BF95523"/>
    <w:multiLevelType w:val="multilevel"/>
    <w:tmpl w:val="78722FCA"/>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BFE0FD4"/>
    <w:multiLevelType w:val="multilevel"/>
    <w:tmpl w:val="4BFE0FD4"/>
    <w:lvl w:ilvl="0">
      <w:start w:val="5"/>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56" w15:restartNumberingAfterBreak="0">
    <w:nsid w:val="4C180270"/>
    <w:multiLevelType w:val="multilevel"/>
    <w:tmpl w:val="52DE8FB2"/>
    <w:lvl w:ilvl="0">
      <w:start w:val="7"/>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CA21E42"/>
    <w:multiLevelType w:val="multilevel"/>
    <w:tmpl w:val="41E2DA3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D964286"/>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E3E76CF"/>
    <w:multiLevelType w:val="multilevel"/>
    <w:tmpl w:val="4E3E76CF"/>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60" w15:restartNumberingAfterBreak="0">
    <w:nsid w:val="5080725E"/>
    <w:multiLevelType w:val="hybridMultilevel"/>
    <w:tmpl w:val="C24EAF52"/>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51AD2015"/>
    <w:multiLevelType w:val="hybridMultilevel"/>
    <w:tmpl w:val="9B8CE742"/>
    <w:lvl w:ilvl="0" w:tplc="339066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2" w15:restartNumberingAfterBreak="0">
    <w:nsid w:val="55764C7F"/>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61D67E6"/>
    <w:multiLevelType w:val="multilevel"/>
    <w:tmpl w:val="561D67E6"/>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4" w15:restartNumberingAfterBreak="0">
    <w:nsid w:val="57C1548E"/>
    <w:multiLevelType w:val="multilevel"/>
    <w:tmpl w:val="57C1548E"/>
    <w:lvl w:ilvl="0">
      <w:start w:val="1"/>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65" w15:restartNumberingAfterBreak="0">
    <w:nsid w:val="58C82CB4"/>
    <w:multiLevelType w:val="multilevel"/>
    <w:tmpl w:val="FFFFFFFF"/>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A7D4266"/>
    <w:multiLevelType w:val="multilevel"/>
    <w:tmpl w:val="5A7D4266"/>
    <w:lvl w:ilvl="0">
      <w:start w:val="1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67" w15:restartNumberingAfterBreak="0">
    <w:nsid w:val="5B20247A"/>
    <w:multiLevelType w:val="hybridMultilevel"/>
    <w:tmpl w:val="4E24514A"/>
    <w:lvl w:ilvl="0" w:tplc="0427000F">
      <w:start w:val="1"/>
      <w:numFmt w:val="decimal"/>
      <w:lvlText w:val="%1."/>
      <w:lvlJc w:val="left"/>
      <w:pPr>
        <w:ind w:left="2140" w:hanging="360"/>
      </w:pPr>
      <w:rPr>
        <w:rFonts w:hint="default"/>
      </w:rPr>
    </w:lvl>
    <w:lvl w:ilvl="1" w:tplc="04270019" w:tentative="1">
      <w:start w:val="1"/>
      <w:numFmt w:val="lowerLetter"/>
      <w:lvlText w:val="%2."/>
      <w:lvlJc w:val="left"/>
      <w:pPr>
        <w:ind w:left="2860" w:hanging="360"/>
      </w:pPr>
    </w:lvl>
    <w:lvl w:ilvl="2" w:tplc="0427001B" w:tentative="1">
      <w:start w:val="1"/>
      <w:numFmt w:val="lowerRoman"/>
      <w:lvlText w:val="%3."/>
      <w:lvlJc w:val="right"/>
      <w:pPr>
        <w:ind w:left="3580" w:hanging="180"/>
      </w:pPr>
    </w:lvl>
    <w:lvl w:ilvl="3" w:tplc="0427000F" w:tentative="1">
      <w:start w:val="1"/>
      <w:numFmt w:val="decimal"/>
      <w:lvlText w:val="%4."/>
      <w:lvlJc w:val="left"/>
      <w:pPr>
        <w:ind w:left="4300" w:hanging="360"/>
      </w:pPr>
    </w:lvl>
    <w:lvl w:ilvl="4" w:tplc="04270019" w:tentative="1">
      <w:start w:val="1"/>
      <w:numFmt w:val="lowerLetter"/>
      <w:lvlText w:val="%5."/>
      <w:lvlJc w:val="left"/>
      <w:pPr>
        <w:ind w:left="5020" w:hanging="360"/>
      </w:pPr>
    </w:lvl>
    <w:lvl w:ilvl="5" w:tplc="0427001B" w:tentative="1">
      <w:start w:val="1"/>
      <w:numFmt w:val="lowerRoman"/>
      <w:lvlText w:val="%6."/>
      <w:lvlJc w:val="right"/>
      <w:pPr>
        <w:ind w:left="5740" w:hanging="180"/>
      </w:pPr>
    </w:lvl>
    <w:lvl w:ilvl="6" w:tplc="0427000F" w:tentative="1">
      <w:start w:val="1"/>
      <w:numFmt w:val="decimal"/>
      <w:lvlText w:val="%7."/>
      <w:lvlJc w:val="left"/>
      <w:pPr>
        <w:ind w:left="6460" w:hanging="360"/>
      </w:pPr>
    </w:lvl>
    <w:lvl w:ilvl="7" w:tplc="04270019" w:tentative="1">
      <w:start w:val="1"/>
      <w:numFmt w:val="lowerLetter"/>
      <w:lvlText w:val="%8."/>
      <w:lvlJc w:val="left"/>
      <w:pPr>
        <w:ind w:left="7180" w:hanging="360"/>
      </w:pPr>
    </w:lvl>
    <w:lvl w:ilvl="8" w:tplc="0427001B" w:tentative="1">
      <w:start w:val="1"/>
      <w:numFmt w:val="lowerRoman"/>
      <w:lvlText w:val="%9."/>
      <w:lvlJc w:val="right"/>
      <w:pPr>
        <w:ind w:left="7900" w:hanging="180"/>
      </w:pPr>
    </w:lvl>
  </w:abstractNum>
  <w:abstractNum w:abstractNumId="68" w15:restartNumberingAfterBreak="0">
    <w:nsid w:val="5B895ACA"/>
    <w:multiLevelType w:val="multilevel"/>
    <w:tmpl w:val="FFFFFFF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D99735E"/>
    <w:multiLevelType w:val="multilevel"/>
    <w:tmpl w:val="5D99735E"/>
    <w:lvl w:ilvl="0">
      <w:start w:val="1"/>
      <w:numFmt w:val="decimal"/>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70" w15:restartNumberingAfterBreak="0">
    <w:nsid w:val="5E220C05"/>
    <w:multiLevelType w:val="multilevel"/>
    <w:tmpl w:val="5E220C05"/>
    <w:lvl w:ilvl="0">
      <w:start w:val="5"/>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1" w15:restartNumberingAfterBreak="0">
    <w:nsid w:val="5E925847"/>
    <w:multiLevelType w:val="hybridMultilevel"/>
    <w:tmpl w:val="F0F6A9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2" w15:restartNumberingAfterBreak="0">
    <w:nsid w:val="5E9417B2"/>
    <w:multiLevelType w:val="multilevel"/>
    <w:tmpl w:val="5E9417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0C954C8"/>
    <w:multiLevelType w:val="multilevel"/>
    <w:tmpl w:val="60C954C8"/>
    <w:lvl w:ilvl="0">
      <w:start w:val="1"/>
      <w:numFmt w:val="decimal"/>
      <w:pStyle w:val="0Numeruotas"/>
      <w:suff w:val="space"/>
      <w:lvlText w:val="%1."/>
      <w:lvlJc w:val="left"/>
      <w:pPr>
        <w:ind w:firstLine="284"/>
      </w:pPr>
      <w:rPr>
        <w:rFonts w:cs="Times New Roman"/>
      </w:rPr>
    </w:lvl>
    <w:lvl w:ilvl="1">
      <w:start w:val="1"/>
      <w:numFmt w:val="decimal"/>
      <w:pStyle w:val="00Numertuotas"/>
      <w:suff w:val="space"/>
      <w:lvlText w:val="%1.%2."/>
      <w:lvlJc w:val="left"/>
      <w:pPr>
        <w:ind w:firstLine="284"/>
      </w:pPr>
      <w:rPr>
        <w:rFonts w:cs="Times New Roman"/>
      </w:rPr>
    </w:lvl>
    <w:lvl w:ilvl="2">
      <w:start w:val="1"/>
      <w:numFmt w:val="decimal"/>
      <w:pStyle w:val="000Numeruotas"/>
      <w:suff w:val="space"/>
      <w:lvlText w:val="%1.%2.%3."/>
      <w:lvlJc w:val="left"/>
      <w:pPr>
        <w:ind w:left="709" w:hanging="425"/>
      </w:pPr>
      <w:rPr>
        <w:rFonts w:cs="Times New Roman"/>
      </w:rPr>
    </w:lvl>
    <w:lvl w:ilvl="3">
      <w:start w:val="1"/>
      <w:numFmt w:val="decimal"/>
      <w:lvlText w:val="%1.%2.%3.%4."/>
      <w:lvlJc w:val="left"/>
      <w:pPr>
        <w:tabs>
          <w:tab w:val="left" w:pos="3600"/>
        </w:tabs>
        <w:ind w:left="1728" w:hanging="648"/>
      </w:pPr>
      <w:rPr>
        <w:rFonts w:cs="Times New Roman"/>
      </w:rPr>
    </w:lvl>
    <w:lvl w:ilvl="4">
      <w:start w:val="1"/>
      <w:numFmt w:val="decimal"/>
      <w:lvlText w:val="%1.%2.%3.%4.%5."/>
      <w:lvlJc w:val="left"/>
      <w:pPr>
        <w:tabs>
          <w:tab w:val="left" w:pos="4320"/>
        </w:tabs>
        <w:ind w:left="2232" w:hanging="792"/>
      </w:pPr>
      <w:rPr>
        <w:rFonts w:cs="Times New Roman"/>
      </w:rPr>
    </w:lvl>
    <w:lvl w:ilvl="5">
      <w:start w:val="1"/>
      <w:numFmt w:val="decimal"/>
      <w:lvlText w:val="%1.%2.%3.%4.%5.%6."/>
      <w:lvlJc w:val="left"/>
      <w:pPr>
        <w:tabs>
          <w:tab w:val="left" w:pos="5400"/>
        </w:tabs>
        <w:ind w:left="2736" w:hanging="936"/>
      </w:pPr>
      <w:rPr>
        <w:rFonts w:cs="Times New Roman"/>
      </w:rPr>
    </w:lvl>
    <w:lvl w:ilvl="6">
      <w:start w:val="1"/>
      <w:numFmt w:val="decimal"/>
      <w:lvlText w:val="%1.%2.%3.%4.%5.%6.%7."/>
      <w:lvlJc w:val="left"/>
      <w:pPr>
        <w:tabs>
          <w:tab w:val="left" w:pos="6120"/>
        </w:tabs>
        <w:ind w:left="3240" w:hanging="1080"/>
      </w:pPr>
      <w:rPr>
        <w:rFonts w:cs="Times New Roman"/>
      </w:rPr>
    </w:lvl>
    <w:lvl w:ilvl="7">
      <w:start w:val="1"/>
      <w:numFmt w:val="decimal"/>
      <w:lvlText w:val="%1.%2.%3.%4.%5.%6.%7.%8."/>
      <w:lvlJc w:val="left"/>
      <w:pPr>
        <w:tabs>
          <w:tab w:val="left" w:pos="7200"/>
        </w:tabs>
        <w:ind w:left="3744" w:hanging="1224"/>
      </w:pPr>
      <w:rPr>
        <w:rFonts w:cs="Times New Roman"/>
      </w:rPr>
    </w:lvl>
    <w:lvl w:ilvl="8">
      <w:start w:val="1"/>
      <w:numFmt w:val="decimal"/>
      <w:lvlText w:val="%1.%2.%3.%4.%5.%6.%7.%8.%9."/>
      <w:lvlJc w:val="left"/>
      <w:pPr>
        <w:tabs>
          <w:tab w:val="left" w:pos="7920"/>
        </w:tabs>
        <w:ind w:left="4320" w:hanging="1440"/>
      </w:pPr>
      <w:rPr>
        <w:rFonts w:cs="Times New Roman"/>
      </w:rPr>
    </w:lvl>
  </w:abstractNum>
  <w:abstractNum w:abstractNumId="74" w15:restartNumberingAfterBreak="0">
    <w:nsid w:val="61E859D6"/>
    <w:multiLevelType w:val="multilevel"/>
    <w:tmpl w:val="61E859D6"/>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75" w15:restartNumberingAfterBreak="0">
    <w:nsid w:val="621475EA"/>
    <w:multiLevelType w:val="multilevel"/>
    <w:tmpl w:val="EA80B65A"/>
    <w:lvl w:ilvl="0">
      <w:start w:val="1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E95107"/>
    <w:multiLevelType w:val="hybridMultilevel"/>
    <w:tmpl w:val="040CBE8C"/>
    <w:lvl w:ilvl="0" w:tplc="B6102300">
      <w:start w:val="1"/>
      <w:numFmt w:val="decimal"/>
      <w:lvlText w:val="%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7" w15:restartNumberingAfterBreak="0">
    <w:nsid w:val="62FC258A"/>
    <w:multiLevelType w:val="multilevel"/>
    <w:tmpl w:val="62FC258A"/>
    <w:lvl w:ilvl="0">
      <w:start w:val="1"/>
      <w:numFmt w:val="decimal"/>
      <w:lvlText w:val="%1."/>
      <w:lvlJc w:val="left"/>
      <w:pPr>
        <w:tabs>
          <w:tab w:val="left" w:pos="1710"/>
        </w:tabs>
        <w:ind w:left="1710" w:hanging="99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78" w15:restartNumberingAfterBreak="0">
    <w:nsid w:val="6386508D"/>
    <w:multiLevelType w:val="hybridMultilevel"/>
    <w:tmpl w:val="7D0811F2"/>
    <w:lvl w:ilvl="0" w:tplc="265C01EE">
      <w:start w:val="1"/>
      <w:numFmt w:val="decimal"/>
      <w:lvlText w:val="%1."/>
      <w:lvlJc w:val="left"/>
      <w:pPr>
        <w:ind w:left="1035" w:hanging="435"/>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79" w15:restartNumberingAfterBreak="0">
    <w:nsid w:val="6474700C"/>
    <w:multiLevelType w:val="multilevel"/>
    <w:tmpl w:val="6474700C"/>
    <w:lvl w:ilvl="0">
      <w:start w:val="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80" w15:restartNumberingAfterBreak="0">
    <w:nsid w:val="64DC1135"/>
    <w:multiLevelType w:val="multilevel"/>
    <w:tmpl w:val="64DC1135"/>
    <w:lvl w:ilvl="0">
      <w:start w:val="1"/>
      <w:numFmt w:val="bullet"/>
      <w:lvlText w:val="-"/>
      <w:lvlJc w:val="left"/>
      <w:pPr>
        <w:tabs>
          <w:tab w:val="left" w:pos="720"/>
        </w:tabs>
        <w:ind w:left="720" w:hanging="360"/>
      </w:pPr>
      <w:rPr>
        <w:rFonts w:ascii="Times New Roman" w:eastAsia="Times New Roman" w:hAnsi="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1" w15:restartNumberingAfterBreak="0">
    <w:nsid w:val="65484488"/>
    <w:multiLevelType w:val="multilevel"/>
    <w:tmpl w:val="65484488"/>
    <w:lvl w:ilvl="0">
      <w:start w:val="1"/>
      <w:numFmt w:val="decimal"/>
      <w:lvlText w:val="%1)"/>
      <w:lvlJc w:val="left"/>
      <w:pPr>
        <w:tabs>
          <w:tab w:val="left" w:pos="1080"/>
        </w:tabs>
        <w:ind w:left="108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82" w15:restartNumberingAfterBreak="0">
    <w:nsid w:val="65BF0FD4"/>
    <w:multiLevelType w:val="hybridMultilevel"/>
    <w:tmpl w:val="62A8226C"/>
    <w:lvl w:ilvl="0" w:tplc="102E23DA">
      <w:start w:val="1"/>
      <w:numFmt w:val="decimal"/>
      <w:lvlText w:val="%1."/>
      <w:lvlJc w:val="left"/>
      <w:pPr>
        <w:ind w:left="1353" w:hanging="360"/>
      </w:pPr>
      <w:rPr>
        <w:rFonts w:hint="default"/>
        <w:strike w:val="0"/>
      </w:rPr>
    </w:lvl>
    <w:lvl w:ilvl="1" w:tplc="04270019" w:tentative="1">
      <w:start w:val="1"/>
      <w:numFmt w:val="lowerLetter"/>
      <w:lvlText w:val="%2."/>
      <w:lvlJc w:val="left"/>
      <w:pPr>
        <w:ind w:left="2163" w:hanging="360"/>
      </w:pPr>
    </w:lvl>
    <w:lvl w:ilvl="2" w:tplc="0427001B" w:tentative="1">
      <w:start w:val="1"/>
      <w:numFmt w:val="lowerRoman"/>
      <w:lvlText w:val="%3."/>
      <w:lvlJc w:val="right"/>
      <w:pPr>
        <w:ind w:left="2883" w:hanging="180"/>
      </w:pPr>
    </w:lvl>
    <w:lvl w:ilvl="3" w:tplc="0427000F" w:tentative="1">
      <w:start w:val="1"/>
      <w:numFmt w:val="decimal"/>
      <w:lvlText w:val="%4."/>
      <w:lvlJc w:val="left"/>
      <w:pPr>
        <w:ind w:left="3603" w:hanging="360"/>
      </w:pPr>
    </w:lvl>
    <w:lvl w:ilvl="4" w:tplc="04270019" w:tentative="1">
      <w:start w:val="1"/>
      <w:numFmt w:val="lowerLetter"/>
      <w:lvlText w:val="%5."/>
      <w:lvlJc w:val="left"/>
      <w:pPr>
        <w:ind w:left="4323" w:hanging="360"/>
      </w:pPr>
    </w:lvl>
    <w:lvl w:ilvl="5" w:tplc="0427001B" w:tentative="1">
      <w:start w:val="1"/>
      <w:numFmt w:val="lowerRoman"/>
      <w:lvlText w:val="%6."/>
      <w:lvlJc w:val="right"/>
      <w:pPr>
        <w:ind w:left="5043" w:hanging="180"/>
      </w:pPr>
    </w:lvl>
    <w:lvl w:ilvl="6" w:tplc="0427000F" w:tentative="1">
      <w:start w:val="1"/>
      <w:numFmt w:val="decimal"/>
      <w:lvlText w:val="%7."/>
      <w:lvlJc w:val="left"/>
      <w:pPr>
        <w:ind w:left="5763" w:hanging="360"/>
      </w:pPr>
    </w:lvl>
    <w:lvl w:ilvl="7" w:tplc="04270019" w:tentative="1">
      <w:start w:val="1"/>
      <w:numFmt w:val="lowerLetter"/>
      <w:lvlText w:val="%8."/>
      <w:lvlJc w:val="left"/>
      <w:pPr>
        <w:ind w:left="6483" w:hanging="360"/>
      </w:pPr>
    </w:lvl>
    <w:lvl w:ilvl="8" w:tplc="0427001B" w:tentative="1">
      <w:start w:val="1"/>
      <w:numFmt w:val="lowerRoman"/>
      <w:lvlText w:val="%9."/>
      <w:lvlJc w:val="right"/>
      <w:pPr>
        <w:ind w:left="7203" w:hanging="180"/>
      </w:pPr>
    </w:lvl>
  </w:abstractNum>
  <w:abstractNum w:abstractNumId="83" w15:restartNumberingAfterBreak="0">
    <w:nsid w:val="68F37EE2"/>
    <w:multiLevelType w:val="multilevel"/>
    <w:tmpl w:val="68F37EE2"/>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4" w15:restartNumberingAfterBreak="0">
    <w:nsid w:val="6AC37C5D"/>
    <w:multiLevelType w:val="multilevel"/>
    <w:tmpl w:val="6AC37C5D"/>
    <w:lvl w:ilvl="0">
      <w:start w:val="2"/>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6D5C3DCE"/>
    <w:multiLevelType w:val="multilevel"/>
    <w:tmpl w:val="6D5C3DCE"/>
    <w:lvl w:ilvl="0">
      <w:start w:val="40"/>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86" w15:restartNumberingAfterBreak="0">
    <w:nsid w:val="6DBA38A9"/>
    <w:multiLevelType w:val="multilevel"/>
    <w:tmpl w:val="6DBA38A9"/>
    <w:lvl w:ilvl="0">
      <w:start w:val="1"/>
      <w:numFmt w:val="bullet"/>
      <w:lvlText w:val="-"/>
      <w:lvlJc w:val="left"/>
      <w:pPr>
        <w:tabs>
          <w:tab w:val="left" w:pos="1440"/>
        </w:tabs>
        <w:ind w:left="1440" w:hanging="360"/>
      </w:pPr>
      <w:rPr>
        <w:rFonts w:ascii="Times New Roman" w:eastAsia="Times New Roman" w:hAnsi="Times New Roman"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87" w15:restartNumberingAfterBreak="0">
    <w:nsid w:val="71B5033A"/>
    <w:multiLevelType w:val="multilevel"/>
    <w:tmpl w:val="71B5033A"/>
    <w:lvl w:ilvl="0">
      <w:start w:val="12"/>
      <w:numFmt w:val="bulle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88" w15:restartNumberingAfterBreak="0">
    <w:nsid w:val="722950F6"/>
    <w:multiLevelType w:val="hybridMultilevel"/>
    <w:tmpl w:val="3A6C93F6"/>
    <w:lvl w:ilvl="0" w:tplc="8E1C39D0">
      <w:start w:val="1"/>
      <w:numFmt w:val="decimal"/>
      <w:lvlText w:val="%1."/>
      <w:lvlJc w:val="left"/>
      <w:pPr>
        <w:ind w:left="1069" w:hanging="360"/>
      </w:pPr>
      <w:rPr>
        <w:rFonts w:hint="default"/>
        <w:i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9" w15:restartNumberingAfterBreak="0">
    <w:nsid w:val="727F4F50"/>
    <w:multiLevelType w:val="multilevel"/>
    <w:tmpl w:val="727F4F50"/>
    <w:lvl w:ilvl="0">
      <w:start w:val="201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4F410E2"/>
    <w:multiLevelType w:val="multilevel"/>
    <w:tmpl w:val="FFFFFFF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7B81EF3"/>
    <w:multiLevelType w:val="multilevel"/>
    <w:tmpl w:val="77B81EF3"/>
    <w:lvl w:ilvl="0">
      <w:start w:val="1"/>
      <w:numFmt w:val="decimal"/>
      <w:lvlText w:val="%1)"/>
      <w:lvlJc w:val="left"/>
      <w:pPr>
        <w:tabs>
          <w:tab w:val="left" w:pos="1084"/>
        </w:tabs>
        <w:ind w:left="1084" w:hanging="375"/>
      </w:pPr>
      <w:rPr>
        <w:rFonts w:ascii="Times New Roman" w:hAnsi="Times New Roman" w:cs="Times New Roman" w:hint="default"/>
      </w:rPr>
    </w:lvl>
    <w:lvl w:ilvl="1">
      <w:start w:val="1"/>
      <w:numFmt w:val="lowerLetter"/>
      <w:lvlText w:val="%2."/>
      <w:lvlJc w:val="left"/>
      <w:pPr>
        <w:tabs>
          <w:tab w:val="left" w:pos="1789"/>
        </w:tabs>
        <w:ind w:left="1789" w:hanging="360"/>
      </w:pPr>
      <w:rPr>
        <w:rFonts w:cs="Times New Roman"/>
      </w:rPr>
    </w:lvl>
    <w:lvl w:ilvl="2">
      <w:start w:val="1"/>
      <w:numFmt w:val="lowerRoman"/>
      <w:lvlText w:val="%3."/>
      <w:lvlJc w:val="right"/>
      <w:pPr>
        <w:tabs>
          <w:tab w:val="left" w:pos="2509"/>
        </w:tabs>
        <w:ind w:left="2509" w:hanging="180"/>
      </w:pPr>
      <w:rPr>
        <w:rFonts w:cs="Times New Roman"/>
      </w:rPr>
    </w:lvl>
    <w:lvl w:ilvl="3">
      <w:start w:val="1"/>
      <w:numFmt w:val="decimal"/>
      <w:lvlText w:val="%4."/>
      <w:lvlJc w:val="left"/>
      <w:pPr>
        <w:tabs>
          <w:tab w:val="left" w:pos="3229"/>
        </w:tabs>
        <w:ind w:left="3229" w:hanging="360"/>
      </w:pPr>
      <w:rPr>
        <w:rFonts w:cs="Times New Roman"/>
      </w:rPr>
    </w:lvl>
    <w:lvl w:ilvl="4">
      <w:start w:val="1"/>
      <w:numFmt w:val="lowerLetter"/>
      <w:lvlText w:val="%5."/>
      <w:lvlJc w:val="left"/>
      <w:pPr>
        <w:tabs>
          <w:tab w:val="left" w:pos="3949"/>
        </w:tabs>
        <w:ind w:left="3949" w:hanging="360"/>
      </w:pPr>
      <w:rPr>
        <w:rFonts w:cs="Times New Roman"/>
      </w:rPr>
    </w:lvl>
    <w:lvl w:ilvl="5">
      <w:start w:val="1"/>
      <w:numFmt w:val="lowerRoman"/>
      <w:lvlText w:val="%6."/>
      <w:lvlJc w:val="right"/>
      <w:pPr>
        <w:tabs>
          <w:tab w:val="left" w:pos="4669"/>
        </w:tabs>
        <w:ind w:left="4669" w:hanging="180"/>
      </w:pPr>
      <w:rPr>
        <w:rFonts w:cs="Times New Roman"/>
      </w:rPr>
    </w:lvl>
    <w:lvl w:ilvl="6">
      <w:start w:val="1"/>
      <w:numFmt w:val="decimal"/>
      <w:lvlText w:val="%7."/>
      <w:lvlJc w:val="left"/>
      <w:pPr>
        <w:tabs>
          <w:tab w:val="left" w:pos="5389"/>
        </w:tabs>
        <w:ind w:left="5389" w:hanging="360"/>
      </w:pPr>
      <w:rPr>
        <w:rFonts w:cs="Times New Roman"/>
      </w:rPr>
    </w:lvl>
    <w:lvl w:ilvl="7">
      <w:start w:val="1"/>
      <w:numFmt w:val="lowerLetter"/>
      <w:lvlText w:val="%8."/>
      <w:lvlJc w:val="left"/>
      <w:pPr>
        <w:tabs>
          <w:tab w:val="left" w:pos="6109"/>
        </w:tabs>
        <w:ind w:left="6109" w:hanging="360"/>
      </w:pPr>
      <w:rPr>
        <w:rFonts w:cs="Times New Roman"/>
      </w:rPr>
    </w:lvl>
    <w:lvl w:ilvl="8">
      <w:start w:val="1"/>
      <w:numFmt w:val="lowerRoman"/>
      <w:lvlText w:val="%9."/>
      <w:lvlJc w:val="right"/>
      <w:pPr>
        <w:tabs>
          <w:tab w:val="left" w:pos="6829"/>
        </w:tabs>
        <w:ind w:left="6829" w:hanging="180"/>
      </w:pPr>
      <w:rPr>
        <w:rFonts w:cs="Times New Roman"/>
      </w:rPr>
    </w:lvl>
  </w:abstractNum>
  <w:abstractNum w:abstractNumId="92" w15:restartNumberingAfterBreak="0">
    <w:nsid w:val="78815085"/>
    <w:multiLevelType w:val="hybridMultilevel"/>
    <w:tmpl w:val="F9A27120"/>
    <w:lvl w:ilvl="0" w:tplc="C21C30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3" w15:restartNumberingAfterBreak="0">
    <w:nsid w:val="7B6E6D84"/>
    <w:multiLevelType w:val="multilevel"/>
    <w:tmpl w:val="F26CC39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4" w15:restartNumberingAfterBreak="0">
    <w:nsid w:val="7C797EA9"/>
    <w:multiLevelType w:val="multilevel"/>
    <w:tmpl w:val="4F7A7E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Times New Roman" w:hAnsi="Times New Roman" w:cs="Times New Roman"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CB153EA"/>
    <w:multiLevelType w:val="multilevel"/>
    <w:tmpl w:val="7CB153EA"/>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96" w15:restartNumberingAfterBreak="0">
    <w:nsid w:val="7EF828A9"/>
    <w:multiLevelType w:val="singleLevel"/>
    <w:tmpl w:val="42343A58"/>
    <w:lvl w:ilvl="0">
      <w:start w:val="9"/>
      <w:numFmt w:val="decimal"/>
      <w:suff w:val="space"/>
      <w:lvlText w:val="%1)"/>
      <w:lvlJc w:val="left"/>
      <w:rPr>
        <w:b/>
      </w:rPr>
    </w:lvl>
  </w:abstractNum>
  <w:abstractNum w:abstractNumId="97" w15:restartNumberingAfterBreak="0">
    <w:nsid w:val="7F2E5E14"/>
    <w:multiLevelType w:val="multilevel"/>
    <w:tmpl w:val="D9B6D986"/>
    <w:lvl w:ilvl="0">
      <w:start w:val="2"/>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FAC41A9"/>
    <w:multiLevelType w:val="hybridMultilevel"/>
    <w:tmpl w:val="5BB6E5F8"/>
    <w:lvl w:ilvl="0" w:tplc="F9C463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9" w15:restartNumberingAfterBreak="0">
    <w:nsid w:val="7FAC4D1F"/>
    <w:multiLevelType w:val="multilevel"/>
    <w:tmpl w:val="FFFFFFF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FEC63A9"/>
    <w:multiLevelType w:val="multilevel"/>
    <w:tmpl w:val="7FEC63A9"/>
    <w:lvl w:ilvl="0">
      <w:start w:val="1"/>
      <w:numFmt w:val="decimal"/>
      <w:lvlText w:val="%1)"/>
      <w:lvlJc w:val="left"/>
      <w:pPr>
        <w:tabs>
          <w:tab w:val="left" w:pos="1080"/>
        </w:tabs>
        <w:ind w:left="1080" w:hanging="360"/>
      </w:pPr>
      <w:rPr>
        <w:rFonts w:cs="Times New Roman"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num w:numId="1">
    <w:abstractNumId w:val="1"/>
  </w:num>
  <w:num w:numId="2">
    <w:abstractNumId w:val="73"/>
  </w:num>
  <w:num w:numId="3">
    <w:abstractNumId w:val="15"/>
  </w:num>
  <w:num w:numId="4">
    <w:abstractNumId w:val="79"/>
  </w:num>
  <w:num w:numId="5">
    <w:abstractNumId w:val="4"/>
  </w:num>
  <w:num w:numId="6">
    <w:abstractNumId w:val="46"/>
  </w:num>
  <w:num w:numId="7">
    <w:abstractNumId w:val="18"/>
  </w:num>
  <w:num w:numId="8">
    <w:abstractNumId w:val="37"/>
  </w:num>
  <w:num w:numId="9">
    <w:abstractNumId w:val="63"/>
  </w:num>
  <w:num w:numId="10">
    <w:abstractNumId w:val="80"/>
  </w:num>
  <w:num w:numId="11">
    <w:abstractNumId w:val="41"/>
  </w:num>
  <w:num w:numId="12">
    <w:abstractNumId w:val="9"/>
  </w:num>
  <w:num w:numId="13">
    <w:abstractNumId w:val="17"/>
  </w:num>
  <w:num w:numId="14">
    <w:abstractNumId w:val="66"/>
  </w:num>
  <w:num w:numId="15">
    <w:abstractNumId w:val="16"/>
  </w:num>
  <w:num w:numId="16">
    <w:abstractNumId w:val="42"/>
  </w:num>
  <w:num w:numId="17">
    <w:abstractNumId w:val="100"/>
  </w:num>
  <w:num w:numId="18">
    <w:abstractNumId w:val="53"/>
  </w:num>
  <w:num w:numId="19">
    <w:abstractNumId w:val="11"/>
  </w:num>
  <w:num w:numId="20">
    <w:abstractNumId w:val="35"/>
  </w:num>
  <w:num w:numId="21">
    <w:abstractNumId w:val="95"/>
  </w:num>
  <w:num w:numId="22">
    <w:abstractNumId w:val="0"/>
  </w:num>
  <w:num w:numId="23">
    <w:abstractNumId w:val="43"/>
  </w:num>
  <w:num w:numId="24">
    <w:abstractNumId w:val="30"/>
  </w:num>
  <w:num w:numId="25">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86"/>
  </w:num>
  <w:num w:numId="2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9"/>
  </w:num>
  <w:num w:numId="30">
    <w:abstractNumId w:val="12"/>
  </w:num>
  <w:num w:numId="31">
    <w:abstractNumId w:val="21"/>
  </w:num>
  <w:num w:numId="32">
    <w:abstractNumId w:val="91"/>
  </w:num>
  <w:num w:numId="33">
    <w:abstractNumId w:val="31"/>
  </w:num>
  <w:num w:numId="34">
    <w:abstractNumId w:val="96"/>
  </w:num>
  <w:num w:numId="35">
    <w:abstractNumId w:val="45"/>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84"/>
  </w:num>
  <w:num w:numId="39">
    <w:abstractNumId w:val="64"/>
  </w:num>
  <w:num w:numId="40">
    <w:abstractNumId w:val="85"/>
  </w:num>
  <w:num w:numId="41">
    <w:abstractNumId w:val="55"/>
  </w:num>
  <w:num w:numId="42">
    <w:abstractNumId w:val="8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72"/>
  </w:num>
  <w:num w:numId="45">
    <w:abstractNumId w:val="74"/>
  </w:num>
  <w:num w:numId="46">
    <w:abstractNumId w:val="59"/>
  </w:num>
  <w:num w:numId="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9"/>
  </w:num>
  <w:num w:numId="51">
    <w:abstractNumId w:val="83"/>
  </w:num>
  <w:num w:numId="52">
    <w:abstractNumId w:val="49"/>
  </w:num>
  <w:num w:numId="53">
    <w:abstractNumId w:val="5"/>
  </w:num>
  <w:num w:numId="54">
    <w:abstractNumId w:val="44"/>
  </w:num>
  <w:num w:numId="55">
    <w:abstractNumId w:val="93"/>
  </w:num>
  <w:num w:numId="56">
    <w:abstractNumId w:val="61"/>
  </w:num>
  <w:num w:numId="57">
    <w:abstractNumId w:val="38"/>
  </w:num>
  <w:num w:numId="58">
    <w:abstractNumId w:val="98"/>
  </w:num>
  <w:num w:numId="59">
    <w:abstractNumId w:val="3"/>
  </w:num>
  <w:num w:numId="60">
    <w:abstractNumId w:val="19"/>
  </w:num>
  <w:num w:numId="61">
    <w:abstractNumId w:val="51"/>
  </w:num>
  <w:num w:numId="62">
    <w:abstractNumId w:val="50"/>
  </w:num>
  <w:num w:numId="63">
    <w:abstractNumId w:val="2"/>
  </w:num>
  <w:num w:numId="64">
    <w:abstractNumId w:val="40"/>
  </w:num>
  <w:num w:numId="65">
    <w:abstractNumId w:val="23"/>
  </w:num>
  <w:num w:numId="66">
    <w:abstractNumId w:val="29"/>
  </w:num>
  <w:num w:numId="67">
    <w:abstractNumId w:val="60"/>
  </w:num>
  <w:num w:numId="68">
    <w:abstractNumId w:val="76"/>
  </w:num>
  <w:num w:numId="69">
    <w:abstractNumId w:val="20"/>
  </w:num>
  <w:num w:numId="70">
    <w:abstractNumId w:val="33"/>
  </w:num>
  <w:num w:numId="71">
    <w:abstractNumId w:val="78"/>
  </w:num>
  <w:num w:numId="72">
    <w:abstractNumId w:val="39"/>
  </w:num>
  <w:num w:numId="73">
    <w:abstractNumId w:val="82"/>
  </w:num>
  <w:num w:numId="74">
    <w:abstractNumId w:val="47"/>
  </w:num>
  <w:num w:numId="75">
    <w:abstractNumId w:val="57"/>
  </w:num>
  <w:num w:numId="76">
    <w:abstractNumId w:val="97"/>
  </w:num>
  <w:num w:numId="77">
    <w:abstractNumId w:val="65"/>
  </w:num>
  <w:num w:numId="78">
    <w:abstractNumId w:val="99"/>
  </w:num>
  <w:num w:numId="79">
    <w:abstractNumId w:val="28"/>
  </w:num>
  <w:num w:numId="80">
    <w:abstractNumId w:val="34"/>
  </w:num>
  <w:num w:numId="81">
    <w:abstractNumId w:val="10"/>
  </w:num>
  <w:num w:numId="82">
    <w:abstractNumId w:val="32"/>
  </w:num>
  <w:num w:numId="83">
    <w:abstractNumId w:val="58"/>
  </w:num>
  <w:num w:numId="84">
    <w:abstractNumId w:val="52"/>
  </w:num>
  <w:num w:numId="85">
    <w:abstractNumId w:val="54"/>
  </w:num>
  <w:num w:numId="86">
    <w:abstractNumId w:val="56"/>
  </w:num>
  <w:num w:numId="87">
    <w:abstractNumId w:val="36"/>
  </w:num>
  <w:num w:numId="88">
    <w:abstractNumId w:val="6"/>
  </w:num>
  <w:num w:numId="89">
    <w:abstractNumId w:val="62"/>
  </w:num>
  <w:num w:numId="90">
    <w:abstractNumId w:val="75"/>
  </w:num>
  <w:num w:numId="91">
    <w:abstractNumId w:val="68"/>
  </w:num>
  <w:num w:numId="92">
    <w:abstractNumId w:val="67"/>
  </w:num>
  <w:num w:numId="93">
    <w:abstractNumId w:val="92"/>
  </w:num>
  <w:num w:numId="94">
    <w:abstractNumId w:val="90"/>
  </w:num>
  <w:num w:numId="95">
    <w:abstractNumId w:val="27"/>
  </w:num>
  <w:num w:numId="96">
    <w:abstractNumId w:val="71"/>
  </w:num>
  <w:num w:numId="97">
    <w:abstractNumId w:val="26"/>
  </w:num>
  <w:num w:numId="98">
    <w:abstractNumId w:val="13"/>
  </w:num>
  <w:num w:numId="99">
    <w:abstractNumId w:val="94"/>
  </w:num>
  <w:num w:numId="100">
    <w:abstractNumId w:val="88"/>
  </w:num>
  <w:num w:numId="101">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7B"/>
    <w:rsid w:val="00000448"/>
    <w:rsid w:val="00000A2A"/>
    <w:rsid w:val="0000201C"/>
    <w:rsid w:val="00002614"/>
    <w:rsid w:val="000029F7"/>
    <w:rsid w:val="00005A56"/>
    <w:rsid w:val="0000705D"/>
    <w:rsid w:val="00007C86"/>
    <w:rsid w:val="0001019C"/>
    <w:rsid w:val="00010E32"/>
    <w:rsid w:val="00011A63"/>
    <w:rsid w:val="00012F5F"/>
    <w:rsid w:val="00012FA9"/>
    <w:rsid w:val="0001310B"/>
    <w:rsid w:val="00013C63"/>
    <w:rsid w:val="00014158"/>
    <w:rsid w:val="0001464A"/>
    <w:rsid w:val="0001571A"/>
    <w:rsid w:val="000158E0"/>
    <w:rsid w:val="000159D1"/>
    <w:rsid w:val="00016DBB"/>
    <w:rsid w:val="00021D12"/>
    <w:rsid w:val="0002252C"/>
    <w:rsid w:val="00022A69"/>
    <w:rsid w:val="00022EC1"/>
    <w:rsid w:val="00023200"/>
    <w:rsid w:val="00024537"/>
    <w:rsid w:val="000250C1"/>
    <w:rsid w:val="0002629B"/>
    <w:rsid w:val="00026526"/>
    <w:rsid w:val="000266E5"/>
    <w:rsid w:val="00026EE4"/>
    <w:rsid w:val="000271FF"/>
    <w:rsid w:val="00030625"/>
    <w:rsid w:val="00031727"/>
    <w:rsid w:val="00031D20"/>
    <w:rsid w:val="0003291C"/>
    <w:rsid w:val="00032A8A"/>
    <w:rsid w:val="00032FEE"/>
    <w:rsid w:val="000334CB"/>
    <w:rsid w:val="00034222"/>
    <w:rsid w:val="00034B98"/>
    <w:rsid w:val="00034E6D"/>
    <w:rsid w:val="000364E3"/>
    <w:rsid w:val="00036622"/>
    <w:rsid w:val="00036898"/>
    <w:rsid w:val="00036D82"/>
    <w:rsid w:val="00037017"/>
    <w:rsid w:val="0003786B"/>
    <w:rsid w:val="00037974"/>
    <w:rsid w:val="00037FCE"/>
    <w:rsid w:val="000407EE"/>
    <w:rsid w:val="000408D8"/>
    <w:rsid w:val="00040D2A"/>
    <w:rsid w:val="00041387"/>
    <w:rsid w:val="0004181C"/>
    <w:rsid w:val="000422A2"/>
    <w:rsid w:val="00042B8F"/>
    <w:rsid w:val="00043FC6"/>
    <w:rsid w:val="00044011"/>
    <w:rsid w:val="000448FD"/>
    <w:rsid w:val="00045187"/>
    <w:rsid w:val="0004568B"/>
    <w:rsid w:val="00045966"/>
    <w:rsid w:val="00045A22"/>
    <w:rsid w:val="0004604E"/>
    <w:rsid w:val="00047111"/>
    <w:rsid w:val="000471FA"/>
    <w:rsid w:val="00047FC7"/>
    <w:rsid w:val="00051407"/>
    <w:rsid w:val="000525FC"/>
    <w:rsid w:val="000530EA"/>
    <w:rsid w:val="00054EFE"/>
    <w:rsid w:val="00055B9F"/>
    <w:rsid w:val="00056007"/>
    <w:rsid w:val="00056707"/>
    <w:rsid w:val="00056918"/>
    <w:rsid w:val="000569C0"/>
    <w:rsid w:val="000606FD"/>
    <w:rsid w:val="00060D84"/>
    <w:rsid w:val="0006128F"/>
    <w:rsid w:val="000615B9"/>
    <w:rsid w:val="00062580"/>
    <w:rsid w:val="00062DCA"/>
    <w:rsid w:val="000630FA"/>
    <w:rsid w:val="00063412"/>
    <w:rsid w:val="000646C8"/>
    <w:rsid w:val="00065276"/>
    <w:rsid w:val="00066084"/>
    <w:rsid w:val="0006713E"/>
    <w:rsid w:val="000702B7"/>
    <w:rsid w:val="00070560"/>
    <w:rsid w:val="00070B5E"/>
    <w:rsid w:val="00071B55"/>
    <w:rsid w:val="000726DE"/>
    <w:rsid w:val="00073708"/>
    <w:rsid w:val="00074170"/>
    <w:rsid w:val="00074868"/>
    <w:rsid w:val="00074884"/>
    <w:rsid w:val="00075240"/>
    <w:rsid w:val="0007549F"/>
    <w:rsid w:val="000758DF"/>
    <w:rsid w:val="000759C6"/>
    <w:rsid w:val="00076457"/>
    <w:rsid w:val="00077563"/>
    <w:rsid w:val="00080ED2"/>
    <w:rsid w:val="000818F1"/>
    <w:rsid w:val="00081F91"/>
    <w:rsid w:val="000821FE"/>
    <w:rsid w:val="00084306"/>
    <w:rsid w:val="00084517"/>
    <w:rsid w:val="00085B20"/>
    <w:rsid w:val="0008618F"/>
    <w:rsid w:val="000864DE"/>
    <w:rsid w:val="00086AA7"/>
    <w:rsid w:val="000871A4"/>
    <w:rsid w:val="00090008"/>
    <w:rsid w:val="00090180"/>
    <w:rsid w:val="000918C1"/>
    <w:rsid w:val="000924C1"/>
    <w:rsid w:val="00092C4E"/>
    <w:rsid w:val="0009305F"/>
    <w:rsid w:val="00093845"/>
    <w:rsid w:val="0009400D"/>
    <w:rsid w:val="000947CA"/>
    <w:rsid w:val="00094E5D"/>
    <w:rsid w:val="00095278"/>
    <w:rsid w:val="000959A1"/>
    <w:rsid w:val="00095C83"/>
    <w:rsid w:val="00096275"/>
    <w:rsid w:val="0009629B"/>
    <w:rsid w:val="00096B34"/>
    <w:rsid w:val="000A0823"/>
    <w:rsid w:val="000A0BCD"/>
    <w:rsid w:val="000A111D"/>
    <w:rsid w:val="000A2F32"/>
    <w:rsid w:val="000A3226"/>
    <w:rsid w:val="000A40D1"/>
    <w:rsid w:val="000A4819"/>
    <w:rsid w:val="000A53D9"/>
    <w:rsid w:val="000A5763"/>
    <w:rsid w:val="000A5B03"/>
    <w:rsid w:val="000B0734"/>
    <w:rsid w:val="000B0AE5"/>
    <w:rsid w:val="000B11C2"/>
    <w:rsid w:val="000B1810"/>
    <w:rsid w:val="000B31C5"/>
    <w:rsid w:val="000B3798"/>
    <w:rsid w:val="000B3E38"/>
    <w:rsid w:val="000B3FB8"/>
    <w:rsid w:val="000B4755"/>
    <w:rsid w:val="000B52F4"/>
    <w:rsid w:val="000B57D8"/>
    <w:rsid w:val="000B782A"/>
    <w:rsid w:val="000C06DC"/>
    <w:rsid w:val="000C07CD"/>
    <w:rsid w:val="000C132C"/>
    <w:rsid w:val="000C1A6E"/>
    <w:rsid w:val="000C1F5D"/>
    <w:rsid w:val="000C42FA"/>
    <w:rsid w:val="000C5A06"/>
    <w:rsid w:val="000C6E2B"/>
    <w:rsid w:val="000C72F2"/>
    <w:rsid w:val="000C79B0"/>
    <w:rsid w:val="000C7C43"/>
    <w:rsid w:val="000C7D47"/>
    <w:rsid w:val="000C7FFC"/>
    <w:rsid w:val="000D0A45"/>
    <w:rsid w:val="000D0B00"/>
    <w:rsid w:val="000D0E49"/>
    <w:rsid w:val="000D1484"/>
    <w:rsid w:val="000D165C"/>
    <w:rsid w:val="000D1828"/>
    <w:rsid w:val="000D1EE6"/>
    <w:rsid w:val="000D310C"/>
    <w:rsid w:val="000D3301"/>
    <w:rsid w:val="000D3937"/>
    <w:rsid w:val="000D4B60"/>
    <w:rsid w:val="000D5346"/>
    <w:rsid w:val="000D779E"/>
    <w:rsid w:val="000D7FA0"/>
    <w:rsid w:val="000E0074"/>
    <w:rsid w:val="000E0801"/>
    <w:rsid w:val="000E08B1"/>
    <w:rsid w:val="000E0EFC"/>
    <w:rsid w:val="000E107A"/>
    <w:rsid w:val="000E13E6"/>
    <w:rsid w:val="000E19F6"/>
    <w:rsid w:val="000E207C"/>
    <w:rsid w:val="000E2279"/>
    <w:rsid w:val="000E250A"/>
    <w:rsid w:val="000E2937"/>
    <w:rsid w:val="000E4A00"/>
    <w:rsid w:val="000E4D5E"/>
    <w:rsid w:val="000E51FF"/>
    <w:rsid w:val="000E5E73"/>
    <w:rsid w:val="000E699E"/>
    <w:rsid w:val="000E70F6"/>
    <w:rsid w:val="000E7374"/>
    <w:rsid w:val="000E7388"/>
    <w:rsid w:val="000E763E"/>
    <w:rsid w:val="000E7DA7"/>
    <w:rsid w:val="000F0839"/>
    <w:rsid w:val="000F0C55"/>
    <w:rsid w:val="000F1076"/>
    <w:rsid w:val="000F16CE"/>
    <w:rsid w:val="000F1C9E"/>
    <w:rsid w:val="000F2924"/>
    <w:rsid w:val="000F3590"/>
    <w:rsid w:val="000F3892"/>
    <w:rsid w:val="000F393F"/>
    <w:rsid w:val="000F3DDE"/>
    <w:rsid w:val="000F47C0"/>
    <w:rsid w:val="000F6501"/>
    <w:rsid w:val="00101D1F"/>
    <w:rsid w:val="001021F8"/>
    <w:rsid w:val="0010244B"/>
    <w:rsid w:val="00102CF2"/>
    <w:rsid w:val="0010384C"/>
    <w:rsid w:val="00103A52"/>
    <w:rsid w:val="00103F2E"/>
    <w:rsid w:val="00104123"/>
    <w:rsid w:val="001041F1"/>
    <w:rsid w:val="001049A8"/>
    <w:rsid w:val="00104E74"/>
    <w:rsid w:val="001062C9"/>
    <w:rsid w:val="00106B9B"/>
    <w:rsid w:val="00107FA4"/>
    <w:rsid w:val="00110842"/>
    <w:rsid w:val="00110B68"/>
    <w:rsid w:val="00111A57"/>
    <w:rsid w:val="00111D0B"/>
    <w:rsid w:val="001122C6"/>
    <w:rsid w:val="001122E9"/>
    <w:rsid w:val="00112310"/>
    <w:rsid w:val="00112B41"/>
    <w:rsid w:val="00112D61"/>
    <w:rsid w:val="00113369"/>
    <w:rsid w:val="0011418B"/>
    <w:rsid w:val="00114A76"/>
    <w:rsid w:val="00115097"/>
    <w:rsid w:val="00115821"/>
    <w:rsid w:val="00116909"/>
    <w:rsid w:val="001169E8"/>
    <w:rsid w:val="00116EDB"/>
    <w:rsid w:val="001200BD"/>
    <w:rsid w:val="001203CD"/>
    <w:rsid w:val="00120B76"/>
    <w:rsid w:val="001214A3"/>
    <w:rsid w:val="00121AD9"/>
    <w:rsid w:val="00121BAE"/>
    <w:rsid w:val="00122106"/>
    <w:rsid w:val="00122B8C"/>
    <w:rsid w:val="00122BA4"/>
    <w:rsid w:val="00123A05"/>
    <w:rsid w:val="00123D33"/>
    <w:rsid w:val="00124C4A"/>
    <w:rsid w:val="00125105"/>
    <w:rsid w:val="001251F0"/>
    <w:rsid w:val="00125234"/>
    <w:rsid w:val="0012530E"/>
    <w:rsid w:val="001254A8"/>
    <w:rsid w:val="001255D1"/>
    <w:rsid w:val="001258DD"/>
    <w:rsid w:val="00126459"/>
    <w:rsid w:val="001268FE"/>
    <w:rsid w:val="0013033E"/>
    <w:rsid w:val="00130726"/>
    <w:rsid w:val="00130B12"/>
    <w:rsid w:val="00130C7C"/>
    <w:rsid w:val="00132975"/>
    <w:rsid w:val="00132F37"/>
    <w:rsid w:val="00133487"/>
    <w:rsid w:val="0013406B"/>
    <w:rsid w:val="00134152"/>
    <w:rsid w:val="00134224"/>
    <w:rsid w:val="00136259"/>
    <w:rsid w:val="0013737D"/>
    <w:rsid w:val="001401D0"/>
    <w:rsid w:val="001412B2"/>
    <w:rsid w:val="00141D3F"/>
    <w:rsid w:val="00143478"/>
    <w:rsid w:val="001435C7"/>
    <w:rsid w:val="0014382B"/>
    <w:rsid w:val="00143F97"/>
    <w:rsid w:val="00144B90"/>
    <w:rsid w:val="00144BFB"/>
    <w:rsid w:val="00144FDF"/>
    <w:rsid w:val="001450EE"/>
    <w:rsid w:val="00145619"/>
    <w:rsid w:val="001456AE"/>
    <w:rsid w:val="00145DF0"/>
    <w:rsid w:val="0014647B"/>
    <w:rsid w:val="00146B1B"/>
    <w:rsid w:val="00146B4C"/>
    <w:rsid w:val="001473DD"/>
    <w:rsid w:val="00147F17"/>
    <w:rsid w:val="00150E25"/>
    <w:rsid w:val="00150FCE"/>
    <w:rsid w:val="0015104F"/>
    <w:rsid w:val="001513BE"/>
    <w:rsid w:val="00151B8B"/>
    <w:rsid w:val="001520A9"/>
    <w:rsid w:val="001525F1"/>
    <w:rsid w:val="00152AB9"/>
    <w:rsid w:val="00154479"/>
    <w:rsid w:val="00154D4C"/>
    <w:rsid w:val="001550D1"/>
    <w:rsid w:val="00155554"/>
    <w:rsid w:val="001571D0"/>
    <w:rsid w:val="00157633"/>
    <w:rsid w:val="00157E1D"/>
    <w:rsid w:val="00160ADE"/>
    <w:rsid w:val="001614BB"/>
    <w:rsid w:val="00161C00"/>
    <w:rsid w:val="0016294D"/>
    <w:rsid w:val="00162961"/>
    <w:rsid w:val="00162F07"/>
    <w:rsid w:val="00163B7C"/>
    <w:rsid w:val="00164147"/>
    <w:rsid w:val="00164CBF"/>
    <w:rsid w:val="001651A3"/>
    <w:rsid w:val="001678F0"/>
    <w:rsid w:val="001679AD"/>
    <w:rsid w:val="00167D4F"/>
    <w:rsid w:val="00167FA2"/>
    <w:rsid w:val="0017125B"/>
    <w:rsid w:val="0017187C"/>
    <w:rsid w:val="00171A16"/>
    <w:rsid w:val="00171DA1"/>
    <w:rsid w:val="001726B4"/>
    <w:rsid w:val="001748CB"/>
    <w:rsid w:val="00175EDF"/>
    <w:rsid w:val="00177CA3"/>
    <w:rsid w:val="00177EBF"/>
    <w:rsid w:val="0018020B"/>
    <w:rsid w:val="001803F1"/>
    <w:rsid w:val="0018196B"/>
    <w:rsid w:val="001819E4"/>
    <w:rsid w:val="00181AC2"/>
    <w:rsid w:val="00182FBB"/>
    <w:rsid w:val="001830C4"/>
    <w:rsid w:val="0018360C"/>
    <w:rsid w:val="0018389B"/>
    <w:rsid w:val="00183B54"/>
    <w:rsid w:val="001843A8"/>
    <w:rsid w:val="00184B3E"/>
    <w:rsid w:val="00185786"/>
    <w:rsid w:val="0018580D"/>
    <w:rsid w:val="00185AF2"/>
    <w:rsid w:val="00186A56"/>
    <w:rsid w:val="00187682"/>
    <w:rsid w:val="001876B7"/>
    <w:rsid w:val="001924B0"/>
    <w:rsid w:val="0019525E"/>
    <w:rsid w:val="00195725"/>
    <w:rsid w:val="00195F32"/>
    <w:rsid w:val="001962EA"/>
    <w:rsid w:val="001973BE"/>
    <w:rsid w:val="00197822"/>
    <w:rsid w:val="001978FB"/>
    <w:rsid w:val="001A0167"/>
    <w:rsid w:val="001A0E6B"/>
    <w:rsid w:val="001A22D2"/>
    <w:rsid w:val="001A3023"/>
    <w:rsid w:val="001A306A"/>
    <w:rsid w:val="001A358A"/>
    <w:rsid w:val="001A4792"/>
    <w:rsid w:val="001A4E8D"/>
    <w:rsid w:val="001A5087"/>
    <w:rsid w:val="001A5470"/>
    <w:rsid w:val="001A640E"/>
    <w:rsid w:val="001A6579"/>
    <w:rsid w:val="001A6988"/>
    <w:rsid w:val="001A7F16"/>
    <w:rsid w:val="001B0CDA"/>
    <w:rsid w:val="001B1071"/>
    <w:rsid w:val="001B3AF4"/>
    <w:rsid w:val="001C0078"/>
    <w:rsid w:val="001C04BC"/>
    <w:rsid w:val="001C063B"/>
    <w:rsid w:val="001C07CC"/>
    <w:rsid w:val="001C146A"/>
    <w:rsid w:val="001C17FB"/>
    <w:rsid w:val="001C283E"/>
    <w:rsid w:val="001C290A"/>
    <w:rsid w:val="001C348F"/>
    <w:rsid w:val="001C36DB"/>
    <w:rsid w:val="001C6B08"/>
    <w:rsid w:val="001D01D8"/>
    <w:rsid w:val="001D09CB"/>
    <w:rsid w:val="001D1114"/>
    <w:rsid w:val="001D1358"/>
    <w:rsid w:val="001D15E6"/>
    <w:rsid w:val="001D16EE"/>
    <w:rsid w:val="001D1927"/>
    <w:rsid w:val="001D1A9D"/>
    <w:rsid w:val="001D206A"/>
    <w:rsid w:val="001D23FB"/>
    <w:rsid w:val="001D261F"/>
    <w:rsid w:val="001D2FC5"/>
    <w:rsid w:val="001D326D"/>
    <w:rsid w:val="001D38FA"/>
    <w:rsid w:val="001D3E47"/>
    <w:rsid w:val="001D4C4C"/>
    <w:rsid w:val="001D4E83"/>
    <w:rsid w:val="001D56A5"/>
    <w:rsid w:val="001D56C0"/>
    <w:rsid w:val="001D5A5E"/>
    <w:rsid w:val="001D699A"/>
    <w:rsid w:val="001E049F"/>
    <w:rsid w:val="001E05AB"/>
    <w:rsid w:val="001E0728"/>
    <w:rsid w:val="001E0879"/>
    <w:rsid w:val="001E0C26"/>
    <w:rsid w:val="001E1537"/>
    <w:rsid w:val="001E1C8F"/>
    <w:rsid w:val="001E2646"/>
    <w:rsid w:val="001E2A53"/>
    <w:rsid w:val="001E2A5C"/>
    <w:rsid w:val="001E31A9"/>
    <w:rsid w:val="001E3C6A"/>
    <w:rsid w:val="001E5A04"/>
    <w:rsid w:val="001E5B22"/>
    <w:rsid w:val="001E6A95"/>
    <w:rsid w:val="001E6DB1"/>
    <w:rsid w:val="001E7EED"/>
    <w:rsid w:val="001F091B"/>
    <w:rsid w:val="001F0A91"/>
    <w:rsid w:val="001F0E39"/>
    <w:rsid w:val="001F1969"/>
    <w:rsid w:val="001F1A8B"/>
    <w:rsid w:val="001F2033"/>
    <w:rsid w:val="001F5349"/>
    <w:rsid w:val="001F5B9A"/>
    <w:rsid w:val="001F6825"/>
    <w:rsid w:val="001F6AAD"/>
    <w:rsid w:val="001F6E01"/>
    <w:rsid w:val="001F6E85"/>
    <w:rsid w:val="001F7067"/>
    <w:rsid w:val="001F78C9"/>
    <w:rsid w:val="00200069"/>
    <w:rsid w:val="00201702"/>
    <w:rsid w:val="00201C63"/>
    <w:rsid w:val="002024AF"/>
    <w:rsid w:val="002032AA"/>
    <w:rsid w:val="00203F0A"/>
    <w:rsid w:val="00204968"/>
    <w:rsid w:val="00205CE4"/>
    <w:rsid w:val="00205CE6"/>
    <w:rsid w:val="00207F40"/>
    <w:rsid w:val="00211100"/>
    <w:rsid w:val="00214C18"/>
    <w:rsid w:val="00214F75"/>
    <w:rsid w:val="00215459"/>
    <w:rsid w:val="00215FBF"/>
    <w:rsid w:val="00220BBC"/>
    <w:rsid w:val="00220F85"/>
    <w:rsid w:val="002214C8"/>
    <w:rsid w:val="0022181C"/>
    <w:rsid w:val="00221BA7"/>
    <w:rsid w:val="00221D21"/>
    <w:rsid w:val="00223212"/>
    <w:rsid w:val="0022363F"/>
    <w:rsid w:val="002238AF"/>
    <w:rsid w:val="00223D0D"/>
    <w:rsid w:val="0022442E"/>
    <w:rsid w:val="00224F0E"/>
    <w:rsid w:val="00225D73"/>
    <w:rsid w:val="002266C1"/>
    <w:rsid w:val="00226C33"/>
    <w:rsid w:val="002279AB"/>
    <w:rsid w:val="002304BE"/>
    <w:rsid w:val="00232889"/>
    <w:rsid w:val="00232E9C"/>
    <w:rsid w:val="0023326C"/>
    <w:rsid w:val="002337BE"/>
    <w:rsid w:val="0023488F"/>
    <w:rsid w:val="00235049"/>
    <w:rsid w:val="0023507A"/>
    <w:rsid w:val="0023507D"/>
    <w:rsid w:val="00235F61"/>
    <w:rsid w:val="0023645E"/>
    <w:rsid w:val="00236A24"/>
    <w:rsid w:val="00236D00"/>
    <w:rsid w:val="00237367"/>
    <w:rsid w:val="00240041"/>
    <w:rsid w:val="00240298"/>
    <w:rsid w:val="002418CD"/>
    <w:rsid w:val="00241B6F"/>
    <w:rsid w:val="0024251A"/>
    <w:rsid w:val="002432C2"/>
    <w:rsid w:val="00243321"/>
    <w:rsid w:val="0024358E"/>
    <w:rsid w:val="00243762"/>
    <w:rsid w:val="00243901"/>
    <w:rsid w:val="00243A84"/>
    <w:rsid w:val="0024452B"/>
    <w:rsid w:val="002445FC"/>
    <w:rsid w:val="00244C63"/>
    <w:rsid w:val="00245648"/>
    <w:rsid w:val="00245B01"/>
    <w:rsid w:val="00245E6F"/>
    <w:rsid w:val="00246308"/>
    <w:rsid w:val="0024636D"/>
    <w:rsid w:val="002463E8"/>
    <w:rsid w:val="002464E0"/>
    <w:rsid w:val="00246783"/>
    <w:rsid w:val="00247259"/>
    <w:rsid w:val="00247FBB"/>
    <w:rsid w:val="00250D8F"/>
    <w:rsid w:val="00251C90"/>
    <w:rsid w:val="00251F38"/>
    <w:rsid w:val="0025295B"/>
    <w:rsid w:val="0025345D"/>
    <w:rsid w:val="00253490"/>
    <w:rsid w:val="00256283"/>
    <w:rsid w:val="00256D06"/>
    <w:rsid w:val="00257287"/>
    <w:rsid w:val="00260836"/>
    <w:rsid w:val="00260D75"/>
    <w:rsid w:val="00260E62"/>
    <w:rsid w:val="00261160"/>
    <w:rsid w:val="00261391"/>
    <w:rsid w:val="00263A2A"/>
    <w:rsid w:val="0026467C"/>
    <w:rsid w:val="002646BA"/>
    <w:rsid w:val="00264703"/>
    <w:rsid w:val="00264A89"/>
    <w:rsid w:val="00264D4A"/>
    <w:rsid w:val="00264F49"/>
    <w:rsid w:val="00265626"/>
    <w:rsid w:val="00266BE3"/>
    <w:rsid w:val="00266C5D"/>
    <w:rsid w:val="00267E17"/>
    <w:rsid w:val="002710B8"/>
    <w:rsid w:val="00271A23"/>
    <w:rsid w:val="00271A57"/>
    <w:rsid w:val="00271AF7"/>
    <w:rsid w:val="00272BD1"/>
    <w:rsid w:val="00273354"/>
    <w:rsid w:val="00273AA9"/>
    <w:rsid w:val="00273C75"/>
    <w:rsid w:val="00274A5A"/>
    <w:rsid w:val="0027508A"/>
    <w:rsid w:val="002767A3"/>
    <w:rsid w:val="00276AA8"/>
    <w:rsid w:val="002775F6"/>
    <w:rsid w:val="002778E7"/>
    <w:rsid w:val="002802DB"/>
    <w:rsid w:val="002803A0"/>
    <w:rsid w:val="00281E29"/>
    <w:rsid w:val="00282203"/>
    <w:rsid w:val="00282839"/>
    <w:rsid w:val="00282CFE"/>
    <w:rsid w:val="00283117"/>
    <w:rsid w:val="002847D7"/>
    <w:rsid w:val="00284D2E"/>
    <w:rsid w:val="0028557C"/>
    <w:rsid w:val="00285A3F"/>
    <w:rsid w:val="002869D9"/>
    <w:rsid w:val="00290BD6"/>
    <w:rsid w:val="00291369"/>
    <w:rsid w:val="00291A06"/>
    <w:rsid w:val="00293974"/>
    <w:rsid w:val="002941BC"/>
    <w:rsid w:val="00294623"/>
    <w:rsid w:val="00294915"/>
    <w:rsid w:val="0029677A"/>
    <w:rsid w:val="00297512"/>
    <w:rsid w:val="00297C0A"/>
    <w:rsid w:val="002A055D"/>
    <w:rsid w:val="002A0F34"/>
    <w:rsid w:val="002A146B"/>
    <w:rsid w:val="002A1636"/>
    <w:rsid w:val="002A1ECC"/>
    <w:rsid w:val="002A28EB"/>
    <w:rsid w:val="002A3139"/>
    <w:rsid w:val="002A3D82"/>
    <w:rsid w:val="002A4A58"/>
    <w:rsid w:val="002A51EA"/>
    <w:rsid w:val="002A5250"/>
    <w:rsid w:val="002A5C1A"/>
    <w:rsid w:val="002A5CAB"/>
    <w:rsid w:val="002A5CB2"/>
    <w:rsid w:val="002A6B9C"/>
    <w:rsid w:val="002A73A8"/>
    <w:rsid w:val="002A7845"/>
    <w:rsid w:val="002A7A0A"/>
    <w:rsid w:val="002A7B38"/>
    <w:rsid w:val="002B03F4"/>
    <w:rsid w:val="002B0B56"/>
    <w:rsid w:val="002B0CA0"/>
    <w:rsid w:val="002B12B7"/>
    <w:rsid w:val="002B1C17"/>
    <w:rsid w:val="002B1D76"/>
    <w:rsid w:val="002B25F4"/>
    <w:rsid w:val="002B2644"/>
    <w:rsid w:val="002B27D4"/>
    <w:rsid w:val="002B3674"/>
    <w:rsid w:val="002B3757"/>
    <w:rsid w:val="002B3CEB"/>
    <w:rsid w:val="002B3F47"/>
    <w:rsid w:val="002B49AD"/>
    <w:rsid w:val="002B501D"/>
    <w:rsid w:val="002B5225"/>
    <w:rsid w:val="002B529E"/>
    <w:rsid w:val="002B5548"/>
    <w:rsid w:val="002B5B54"/>
    <w:rsid w:val="002B5E05"/>
    <w:rsid w:val="002B6694"/>
    <w:rsid w:val="002B6E32"/>
    <w:rsid w:val="002B7192"/>
    <w:rsid w:val="002B7A70"/>
    <w:rsid w:val="002C041E"/>
    <w:rsid w:val="002C0878"/>
    <w:rsid w:val="002C15D8"/>
    <w:rsid w:val="002C167F"/>
    <w:rsid w:val="002C1C40"/>
    <w:rsid w:val="002C29B0"/>
    <w:rsid w:val="002C3390"/>
    <w:rsid w:val="002C3EF1"/>
    <w:rsid w:val="002C693F"/>
    <w:rsid w:val="002C71C1"/>
    <w:rsid w:val="002C73AA"/>
    <w:rsid w:val="002D02ED"/>
    <w:rsid w:val="002D0D7D"/>
    <w:rsid w:val="002D2E8D"/>
    <w:rsid w:val="002D3AFE"/>
    <w:rsid w:val="002D3DD3"/>
    <w:rsid w:val="002D57A4"/>
    <w:rsid w:val="002D73E6"/>
    <w:rsid w:val="002E0A7C"/>
    <w:rsid w:val="002E23BD"/>
    <w:rsid w:val="002E2726"/>
    <w:rsid w:val="002E3758"/>
    <w:rsid w:val="002E3E69"/>
    <w:rsid w:val="002E4506"/>
    <w:rsid w:val="002E53AB"/>
    <w:rsid w:val="002E5AC2"/>
    <w:rsid w:val="002E6C5B"/>
    <w:rsid w:val="002E6E0D"/>
    <w:rsid w:val="002E78A6"/>
    <w:rsid w:val="002F1565"/>
    <w:rsid w:val="002F2037"/>
    <w:rsid w:val="002F2BF8"/>
    <w:rsid w:val="002F306F"/>
    <w:rsid w:val="002F3B82"/>
    <w:rsid w:val="002F4F3D"/>
    <w:rsid w:val="002F4FA8"/>
    <w:rsid w:val="002F50AB"/>
    <w:rsid w:val="002F63CE"/>
    <w:rsid w:val="002F79FF"/>
    <w:rsid w:val="002F7E88"/>
    <w:rsid w:val="002F7F10"/>
    <w:rsid w:val="003003DD"/>
    <w:rsid w:val="00300AF9"/>
    <w:rsid w:val="003015A3"/>
    <w:rsid w:val="003023A7"/>
    <w:rsid w:val="0030254A"/>
    <w:rsid w:val="00302F5B"/>
    <w:rsid w:val="0030377F"/>
    <w:rsid w:val="00303E0D"/>
    <w:rsid w:val="003046E0"/>
    <w:rsid w:val="003046F9"/>
    <w:rsid w:val="003051A7"/>
    <w:rsid w:val="00305BF7"/>
    <w:rsid w:val="00306054"/>
    <w:rsid w:val="00306A1F"/>
    <w:rsid w:val="00306D88"/>
    <w:rsid w:val="0030792A"/>
    <w:rsid w:val="003108EF"/>
    <w:rsid w:val="0031136F"/>
    <w:rsid w:val="00311509"/>
    <w:rsid w:val="00311A63"/>
    <w:rsid w:val="00311BF2"/>
    <w:rsid w:val="003128C9"/>
    <w:rsid w:val="00313E5C"/>
    <w:rsid w:val="003143BC"/>
    <w:rsid w:val="00315602"/>
    <w:rsid w:val="00315D12"/>
    <w:rsid w:val="003169F9"/>
    <w:rsid w:val="00317285"/>
    <w:rsid w:val="00317774"/>
    <w:rsid w:val="00317B0D"/>
    <w:rsid w:val="00321957"/>
    <w:rsid w:val="00322A41"/>
    <w:rsid w:val="00322A5E"/>
    <w:rsid w:val="00322A90"/>
    <w:rsid w:val="0032470B"/>
    <w:rsid w:val="00324FD0"/>
    <w:rsid w:val="00325D6F"/>
    <w:rsid w:val="00325DEF"/>
    <w:rsid w:val="00327563"/>
    <w:rsid w:val="003278FE"/>
    <w:rsid w:val="00327B5B"/>
    <w:rsid w:val="003301BF"/>
    <w:rsid w:val="003312C5"/>
    <w:rsid w:val="00331707"/>
    <w:rsid w:val="00331F64"/>
    <w:rsid w:val="00332766"/>
    <w:rsid w:val="00333273"/>
    <w:rsid w:val="00333488"/>
    <w:rsid w:val="00334961"/>
    <w:rsid w:val="003355CF"/>
    <w:rsid w:val="00335A52"/>
    <w:rsid w:val="00336D26"/>
    <w:rsid w:val="00337B16"/>
    <w:rsid w:val="0034089C"/>
    <w:rsid w:val="00340A2E"/>
    <w:rsid w:val="003427A5"/>
    <w:rsid w:val="00342DD4"/>
    <w:rsid w:val="003433A6"/>
    <w:rsid w:val="00343A83"/>
    <w:rsid w:val="00343AA3"/>
    <w:rsid w:val="00343F2C"/>
    <w:rsid w:val="0034435B"/>
    <w:rsid w:val="003448CF"/>
    <w:rsid w:val="00345B89"/>
    <w:rsid w:val="00345C6D"/>
    <w:rsid w:val="00346720"/>
    <w:rsid w:val="0034717A"/>
    <w:rsid w:val="0034753F"/>
    <w:rsid w:val="00350A19"/>
    <w:rsid w:val="00351172"/>
    <w:rsid w:val="00351B03"/>
    <w:rsid w:val="00352D00"/>
    <w:rsid w:val="0035335B"/>
    <w:rsid w:val="00353360"/>
    <w:rsid w:val="00353E6F"/>
    <w:rsid w:val="003546F4"/>
    <w:rsid w:val="00357213"/>
    <w:rsid w:val="00357561"/>
    <w:rsid w:val="003579E3"/>
    <w:rsid w:val="00357EBE"/>
    <w:rsid w:val="00360091"/>
    <w:rsid w:val="0036024A"/>
    <w:rsid w:val="00360696"/>
    <w:rsid w:val="00360913"/>
    <w:rsid w:val="00360B70"/>
    <w:rsid w:val="00360F46"/>
    <w:rsid w:val="0036160F"/>
    <w:rsid w:val="0036194D"/>
    <w:rsid w:val="00361BB0"/>
    <w:rsid w:val="00361FBF"/>
    <w:rsid w:val="003620F8"/>
    <w:rsid w:val="003625D5"/>
    <w:rsid w:val="00362BF5"/>
    <w:rsid w:val="00362DE2"/>
    <w:rsid w:val="00363F57"/>
    <w:rsid w:val="00364439"/>
    <w:rsid w:val="00365631"/>
    <w:rsid w:val="00365DAC"/>
    <w:rsid w:val="0036691B"/>
    <w:rsid w:val="00367D21"/>
    <w:rsid w:val="003704A8"/>
    <w:rsid w:val="00371602"/>
    <w:rsid w:val="00371959"/>
    <w:rsid w:val="003724F6"/>
    <w:rsid w:val="00372658"/>
    <w:rsid w:val="00372A8D"/>
    <w:rsid w:val="003730FC"/>
    <w:rsid w:val="00373736"/>
    <w:rsid w:val="00375F4A"/>
    <w:rsid w:val="00376580"/>
    <w:rsid w:val="00376639"/>
    <w:rsid w:val="00380D58"/>
    <w:rsid w:val="00381201"/>
    <w:rsid w:val="00381503"/>
    <w:rsid w:val="0038218F"/>
    <w:rsid w:val="00383405"/>
    <w:rsid w:val="00384239"/>
    <w:rsid w:val="003843FE"/>
    <w:rsid w:val="0038473F"/>
    <w:rsid w:val="0038481B"/>
    <w:rsid w:val="00384EC5"/>
    <w:rsid w:val="003858EE"/>
    <w:rsid w:val="0038662A"/>
    <w:rsid w:val="00387919"/>
    <w:rsid w:val="0038798E"/>
    <w:rsid w:val="00390126"/>
    <w:rsid w:val="00390442"/>
    <w:rsid w:val="00390816"/>
    <w:rsid w:val="00390D19"/>
    <w:rsid w:val="003913B6"/>
    <w:rsid w:val="003918F3"/>
    <w:rsid w:val="00391BB8"/>
    <w:rsid w:val="003930B7"/>
    <w:rsid w:val="003931D0"/>
    <w:rsid w:val="0039379F"/>
    <w:rsid w:val="00394D6A"/>
    <w:rsid w:val="00395029"/>
    <w:rsid w:val="00396133"/>
    <w:rsid w:val="003962DC"/>
    <w:rsid w:val="00396366"/>
    <w:rsid w:val="00396499"/>
    <w:rsid w:val="00396D03"/>
    <w:rsid w:val="00396F19"/>
    <w:rsid w:val="00396F59"/>
    <w:rsid w:val="00397E58"/>
    <w:rsid w:val="00397F2A"/>
    <w:rsid w:val="003A0541"/>
    <w:rsid w:val="003A1FF9"/>
    <w:rsid w:val="003A2BCB"/>
    <w:rsid w:val="003A3304"/>
    <w:rsid w:val="003A3F99"/>
    <w:rsid w:val="003A497B"/>
    <w:rsid w:val="003A59B7"/>
    <w:rsid w:val="003A5BA8"/>
    <w:rsid w:val="003A6AE1"/>
    <w:rsid w:val="003A71FB"/>
    <w:rsid w:val="003A7D60"/>
    <w:rsid w:val="003B1366"/>
    <w:rsid w:val="003B1E5E"/>
    <w:rsid w:val="003B2126"/>
    <w:rsid w:val="003B27AA"/>
    <w:rsid w:val="003B491F"/>
    <w:rsid w:val="003B544D"/>
    <w:rsid w:val="003B5E66"/>
    <w:rsid w:val="003B60DF"/>
    <w:rsid w:val="003B6BB7"/>
    <w:rsid w:val="003B706B"/>
    <w:rsid w:val="003B77CA"/>
    <w:rsid w:val="003B7E5B"/>
    <w:rsid w:val="003C0039"/>
    <w:rsid w:val="003C03BC"/>
    <w:rsid w:val="003C03DD"/>
    <w:rsid w:val="003C0CB5"/>
    <w:rsid w:val="003C11D3"/>
    <w:rsid w:val="003C1520"/>
    <w:rsid w:val="003C2918"/>
    <w:rsid w:val="003C2A13"/>
    <w:rsid w:val="003C2C2B"/>
    <w:rsid w:val="003C34D2"/>
    <w:rsid w:val="003C4241"/>
    <w:rsid w:val="003C5AF8"/>
    <w:rsid w:val="003D0CE0"/>
    <w:rsid w:val="003D1F4D"/>
    <w:rsid w:val="003D2A11"/>
    <w:rsid w:val="003D3046"/>
    <w:rsid w:val="003D3A35"/>
    <w:rsid w:val="003D5759"/>
    <w:rsid w:val="003D5BB6"/>
    <w:rsid w:val="003D6158"/>
    <w:rsid w:val="003D6520"/>
    <w:rsid w:val="003D6AF3"/>
    <w:rsid w:val="003D6CB2"/>
    <w:rsid w:val="003D71EC"/>
    <w:rsid w:val="003E0098"/>
    <w:rsid w:val="003E0207"/>
    <w:rsid w:val="003E0DE8"/>
    <w:rsid w:val="003E1347"/>
    <w:rsid w:val="003E1E09"/>
    <w:rsid w:val="003E272C"/>
    <w:rsid w:val="003E2799"/>
    <w:rsid w:val="003E2E23"/>
    <w:rsid w:val="003E3031"/>
    <w:rsid w:val="003E38A1"/>
    <w:rsid w:val="003E3A85"/>
    <w:rsid w:val="003E3FA6"/>
    <w:rsid w:val="003E686C"/>
    <w:rsid w:val="003E69E5"/>
    <w:rsid w:val="003E70B2"/>
    <w:rsid w:val="003F0181"/>
    <w:rsid w:val="003F0331"/>
    <w:rsid w:val="003F03FB"/>
    <w:rsid w:val="003F0E6D"/>
    <w:rsid w:val="003F1CE0"/>
    <w:rsid w:val="003F228E"/>
    <w:rsid w:val="003F23AF"/>
    <w:rsid w:val="003F429C"/>
    <w:rsid w:val="003F45DD"/>
    <w:rsid w:val="003F4DE6"/>
    <w:rsid w:val="003F5D01"/>
    <w:rsid w:val="003F6371"/>
    <w:rsid w:val="003F6719"/>
    <w:rsid w:val="003F70E7"/>
    <w:rsid w:val="003F7121"/>
    <w:rsid w:val="003F732E"/>
    <w:rsid w:val="003F7FC3"/>
    <w:rsid w:val="004021FE"/>
    <w:rsid w:val="004028CF"/>
    <w:rsid w:val="00402FF4"/>
    <w:rsid w:val="00404253"/>
    <w:rsid w:val="00406C5E"/>
    <w:rsid w:val="0040701D"/>
    <w:rsid w:val="004077E8"/>
    <w:rsid w:val="00407AE6"/>
    <w:rsid w:val="00410BBF"/>
    <w:rsid w:val="00411477"/>
    <w:rsid w:val="0041196D"/>
    <w:rsid w:val="00412E73"/>
    <w:rsid w:val="00413F76"/>
    <w:rsid w:val="004147FA"/>
    <w:rsid w:val="004153AB"/>
    <w:rsid w:val="004159CB"/>
    <w:rsid w:val="00415ED6"/>
    <w:rsid w:val="00421758"/>
    <w:rsid w:val="00421E3E"/>
    <w:rsid w:val="00422616"/>
    <w:rsid w:val="004232DE"/>
    <w:rsid w:val="00424C4A"/>
    <w:rsid w:val="00424D11"/>
    <w:rsid w:val="004261D8"/>
    <w:rsid w:val="00426951"/>
    <w:rsid w:val="004271AC"/>
    <w:rsid w:val="004317E7"/>
    <w:rsid w:val="004318A2"/>
    <w:rsid w:val="00431A64"/>
    <w:rsid w:val="00431FEB"/>
    <w:rsid w:val="004328A4"/>
    <w:rsid w:val="00433EEE"/>
    <w:rsid w:val="00434231"/>
    <w:rsid w:val="00434718"/>
    <w:rsid w:val="0043482D"/>
    <w:rsid w:val="00434DF1"/>
    <w:rsid w:val="0043577E"/>
    <w:rsid w:val="00435982"/>
    <w:rsid w:val="004362A4"/>
    <w:rsid w:val="00436D99"/>
    <w:rsid w:val="00436F9B"/>
    <w:rsid w:val="004373EA"/>
    <w:rsid w:val="00440ACD"/>
    <w:rsid w:val="00441B00"/>
    <w:rsid w:val="004422CE"/>
    <w:rsid w:val="00443596"/>
    <w:rsid w:val="00443F43"/>
    <w:rsid w:val="00444A5D"/>
    <w:rsid w:val="004454B8"/>
    <w:rsid w:val="00446060"/>
    <w:rsid w:val="0044703B"/>
    <w:rsid w:val="00450AD5"/>
    <w:rsid w:val="00450BF8"/>
    <w:rsid w:val="004511A4"/>
    <w:rsid w:val="00451AE8"/>
    <w:rsid w:val="00451B69"/>
    <w:rsid w:val="004526C6"/>
    <w:rsid w:val="004539C6"/>
    <w:rsid w:val="00454634"/>
    <w:rsid w:val="00454A94"/>
    <w:rsid w:val="0045500F"/>
    <w:rsid w:val="00455B80"/>
    <w:rsid w:val="00456649"/>
    <w:rsid w:val="0045716D"/>
    <w:rsid w:val="004573E8"/>
    <w:rsid w:val="00457B43"/>
    <w:rsid w:val="00460506"/>
    <w:rsid w:val="00460757"/>
    <w:rsid w:val="00460F3A"/>
    <w:rsid w:val="004612B3"/>
    <w:rsid w:val="004612FF"/>
    <w:rsid w:val="00461B2E"/>
    <w:rsid w:val="00461BC9"/>
    <w:rsid w:val="0046252B"/>
    <w:rsid w:val="00462D24"/>
    <w:rsid w:val="00464374"/>
    <w:rsid w:val="0046559E"/>
    <w:rsid w:val="004668BF"/>
    <w:rsid w:val="00467DAB"/>
    <w:rsid w:val="004712FE"/>
    <w:rsid w:val="004721CB"/>
    <w:rsid w:val="00472928"/>
    <w:rsid w:val="00472AEC"/>
    <w:rsid w:val="00473765"/>
    <w:rsid w:val="00473E09"/>
    <w:rsid w:val="00474522"/>
    <w:rsid w:val="0047474F"/>
    <w:rsid w:val="0047571D"/>
    <w:rsid w:val="00475C64"/>
    <w:rsid w:val="0047632D"/>
    <w:rsid w:val="00476355"/>
    <w:rsid w:val="0047697F"/>
    <w:rsid w:val="0047712F"/>
    <w:rsid w:val="00477193"/>
    <w:rsid w:val="00477AF7"/>
    <w:rsid w:val="00480BA4"/>
    <w:rsid w:val="00480C1E"/>
    <w:rsid w:val="00481614"/>
    <w:rsid w:val="0048162B"/>
    <w:rsid w:val="00481880"/>
    <w:rsid w:val="00482118"/>
    <w:rsid w:val="0048252F"/>
    <w:rsid w:val="004826FA"/>
    <w:rsid w:val="00482DDD"/>
    <w:rsid w:val="0048492A"/>
    <w:rsid w:val="0048578B"/>
    <w:rsid w:val="00486E6B"/>
    <w:rsid w:val="004876A0"/>
    <w:rsid w:val="00487D96"/>
    <w:rsid w:val="00487DA1"/>
    <w:rsid w:val="00487DCA"/>
    <w:rsid w:val="00487E08"/>
    <w:rsid w:val="00491D29"/>
    <w:rsid w:val="00492328"/>
    <w:rsid w:val="00493A42"/>
    <w:rsid w:val="00493A89"/>
    <w:rsid w:val="00493ABE"/>
    <w:rsid w:val="00493D7B"/>
    <w:rsid w:val="00494DF6"/>
    <w:rsid w:val="00495FEE"/>
    <w:rsid w:val="004969AF"/>
    <w:rsid w:val="00497B5B"/>
    <w:rsid w:val="00497D60"/>
    <w:rsid w:val="004A0261"/>
    <w:rsid w:val="004A0910"/>
    <w:rsid w:val="004A1AAE"/>
    <w:rsid w:val="004A1C66"/>
    <w:rsid w:val="004A24A7"/>
    <w:rsid w:val="004A24AC"/>
    <w:rsid w:val="004A2DAF"/>
    <w:rsid w:val="004A3891"/>
    <w:rsid w:val="004A412F"/>
    <w:rsid w:val="004A5087"/>
    <w:rsid w:val="004A5C6E"/>
    <w:rsid w:val="004A5C91"/>
    <w:rsid w:val="004A6068"/>
    <w:rsid w:val="004A64D9"/>
    <w:rsid w:val="004A6C98"/>
    <w:rsid w:val="004A722D"/>
    <w:rsid w:val="004A7ADF"/>
    <w:rsid w:val="004B1326"/>
    <w:rsid w:val="004B15EC"/>
    <w:rsid w:val="004B174A"/>
    <w:rsid w:val="004B188B"/>
    <w:rsid w:val="004B32C7"/>
    <w:rsid w:val="004B37B9"/>
    <w:rsid w:val="004B453B"/>
    <w:rsid w:val="004B4FF8"/>
    <w:rsid w:val="004B5283"/>
    <w:rsid w:val="004B748C"/>
    <w:rsid w:val="004B78EF"/>
    <w:rsid w:val="004C1187"/>
    <w:rsid w:val="004C14D1"/>
    <w:rsid w:val="004C2484"/>
    <w:rsid w:val="004C30D3"/>
    <w:rsid w:val="004C3750"/>
    <w:rsid w:val="004C3886"/>
    <w:rsid w:val="004C3A33"/>
    <w:rsid w:val="004C3CF1"/>
    <w:rsid w:val="004C4747"/>
    <w:rsid w:val="004C550E"/>
    <w:rsid w:val="004C62C6"/>
    <w:rsid w:val="004C6428"/>
    <w:rsid w:val="004C6648"/>
    <w:rsid w:val="004C67DC"/>
    <w:rsid w:val="004C752B"/>
    <w:rsid w:val="004C7C3D"/>
    <w:rsid w:val="004D07D2"/>
    <w:rsid w:val="004D0C21"/>
    <w:rsid w:val="004D150B"/>
    <w:rsid w:val="004D192C"/>
    <w:rsid w:val="004D1FA8"/>
    <w:rsid w:val="004D2262"/>
    <w:rsid w:val="004D26D0"/>
    <w:rsid w:val="004D304D"/>
    <w:rsid w:val="004D4E15"/>
    <w:rsid w:val="004D535B"/>
    <w:rsid w:val="004D5692"/>
    <w:rsid w:val="004D5D5D"/>
    <w:rsid w:val="004D6A70"/>
    <w:rsid w:val="004D7804"/>
    <w:rsid w:val="004D797E"/>
    <w:rsid w:val="004D7CBD"/>
    <w:rsid w:val="004D7CDD"/>
    <w:rsid w:val="004E0C84"/>
    <w:rsid w:val="004E0F8D"/>
    <w:rsid w:val="004E1705"/>
    <w:rsid w:val="004E3664"/>
    <w:rsid w:val="004E3915"/>
    <w:rsid w:val="004E430C"/>
    <w:rsid w:val="004E443A"/>
    <w:rsid w:val="004E48FA"/>
    <w:rsid w:val="004E5483"/>
    <w:rsid w:val="004E5E29"/>
    <w:rsid w:val="004E6186"/>
    <w:rsid w:val="004F1628"/>
    <w:rsid w:val="004F1D5F"/>
    <w:rsid w:val="004F24E8"/>
    <w:rsid w:val="004F3F48"/>
    <w:rsid w:val="004F43D1"/>
    <w:rsid w:val="004F530B"/>
    <w:rsid w:val="004F5724"/>
    <w:rsid w:val="004F595C"/>
    <w:rsid w:val="004F5E62"/>
    <w:rsid w:val="004F6A83"/>
    <w:rsid w:val="00500188"/>
    <w:rsid w:val="005002DC"/>
    <w:rsid w:val="0050030B"/>
    <w:rsid w:val="00500E21"/>
    <w:rsid w:val="00501623"/>
    <w:rsid w:val="00501B5C"/>
    <w:rsid w:val="00501F53"/>
    <w:rsid w:val="00502AF8"/>
    <w:rsid w:val="00503B50"/>
    <w:rsid w:val="00503CAC"/>
    <w:rsid w:val="0050400B"/>
    <w:rsid w:val="00504794"/>
    <w:rsid w:val="00504F94"/>
    <w:rsid w:val="005054BB"/>
    <w:rsid w:val="005055DC"/>
    <w:rsid w:val="00505960"/>
    <w:rsid w:val="00505BCA"/>
    <w:rsid w:val="005072A2"/>
    <w:rsid w:val="00507A04"/>
    <w:rsid w:val="00507C1A"/>
    <w:rsid w:val="00511193"/>
    <w:rsid w:val="00511AB8"/>
    <w:rsid w:val="00513AEE"/>
    <w:rsid w:val="00513B27"/>
    <w:rsid w:val="00513B8E"/>
    <w:rsid w:val="00513D40"/>
    <w:rsid w:val="00513D65"/>
    <w:rsid w:val="00513D8C"/>
    <w:rsid w:val="00514196"/>
    <w:rsid w:val="00514C54"/>
    <w:rsid w:val="00514E91"/>
    <w:rsid w:val="005150FF"/>
    <w:rsid w:val="00515A68"/>
    <w:rsid w:val="005161FA"/>
    <w:rsid w:val="00516395"/>
    <w:rsid w:val="005167F6"/>
    <w:rsid w:val="00516FC4"/>
    <w:rsid w:val="005172E5"/>
    <w:rsid w:val="0052029D"/>
    <w:rsid w:val="005203CD"/>
    <w:rsid w:val="00522951"/>
    <w:rsid w:val="0052433D"/>
    <w:rsid w:val="00526A4E"/>
    <w:rsid w:val="00526A6C"/>
    <w:rsid w:val="00527313"/>
    <w:rsid w:val="0052770F"/>
    <w:rsid w:val="00527B13"/>
    <w:rsid w:val="00527E93"/>
    <w:rsid w:val="005304ED"/>
    <w:rsid w:val="00530E1B"/>
    <w:rsid w:val="005327A3"/>
    <w:rsid w:val="005327B1"/>
    <w:rsid w:val="0053284C"/>
    <w:rsid w:val="00533673"/>
    <w:rsid w:val="00533921"/>
    <w:rsid w:val="00534B79"/>
    <w:rsid w:val="0053525C"/>
    <w:rsid w:val="0053538E"/>
    <w:rsid w:val="00535E39"/>
    <w:rsid w:val="005360F3"/>
    <w:rsid w:val="00536DB4"/>
    <w:rsid w:val="00537891"/>
    <w:rsid w:val="00537C68"/>
    <w:rsid w:val="0054064F"/>
    <w:rsid w:val="00540F02"/>
    <w:rsid w:val="00540FDC"/>
    <w:rsid w:val="005418AD"/>
    <w:rsid w:val="005434FD"/>
    <w:rsid w:val="005446F6"/>
    <w:rsid w:val="00545756"/>
    <w:rsid w:val="0054599B"/>
    <w:rsid w:val="00545F5B"/>
    <w:rsid w:val="00546B57"/>
    <w:rsid w:val="00546BEF"/>
    <w:rsid w:val="00547313"/>
    <w:rsid w:val="00547B3F"/>
    <w:rsid w:val="00550468"/>
    <w:rsid w:val="00550B60"/>
    <w:rsid w:val="00550ED6"/>
    <w:rsid w:val="005515BE"/>
    <w:rsid w:val="0055193A"/>
    <w:rsid w:val="00551983"/>
    <w:rsid w:val="00553D21"/>
    <w:rsid w:val="005545B9"/>
    <w:rsid w:val="005547E7"/>
    <w:rsid w:val="005547F6"/>
    <w:rsid w:val="00554F49"/>
    <w:rsid w:val="005555AF"/>
    <w:rsid w:val="005568CA"/>
    <w:rsid w:val="00556EB4"/>
    <w:rsid w:val="00557153"/>
    <w:rsid w:val="00557225"/>
    <w:rsid w:val="005578DC"/>
    <w:rsid w:val="00560A96"/>
    <w:rsid w:val="00561942"/>
    <w:rsid w:val="005619ED"/>
    <w:rsid w:val="00562049"/>
    <w:rsid w:val="005623BE"/>
    <w:rsid w:val="00562694"/>
    <w:rsid w:val="005628E2"/>
    <w:rsid w:val="0056320F"/>
    <w:rsid w:val="00563A65"/>
    <w:rsid w:val="00563E80"/>
    <w:rsid w:val="0056463C"/>
    <w:rsid w:val="00565295"/>
    <w:rsid w:val="00572A2D"/>
    <w:rsid w:val="00573E5F"/>
    <w:rsid w:val="00574139"/>
    <w:rsid w:val="005751CE"/>
    <w:rsid w:val="00575368"/>
    <w:rsid w:val="00575D40"/>
    <w:rsid w:val="00576400"/>
    <w:rsid w:val="005768CE"/>
    <w:rsid w:val="005820E6"/>
    <w:rsid w:val="005825F5"/>
    <w:rsid w:val="00582607"/>
    <w:rsid w:val="00583B91"/>
    <w:rsid w:val="005843F4"/>
    <w:rsid w:val="005846AD"/>
    <w:rsid w:val="005851CD"/>
    <w:rsid w:val="005852D3"/>
    <w:rsid w:val="005856DB"/>
    <w:rsid w:val="005858D9"/>
    <w:rsid w:val="00585972"/>
    <w:rsid w:val="00586CCC"/>
    <w:rsid w:val="005873EB"/>
    <w:rsid w:val="00587933"/>
    <w:rsid w:val="00587AAD"/>
    <w:rsid w:val="00587F98"/>
    <w:rsid w:val="005902E7"/>
    <w:rsid w:val="005907F6"/>
    <w:rsid w:val="00590912"/>
    <w:rsid w:val="00590BE5"/>
    <w:rsid w:val="005918B8"/>
    <w:rsid w:val="005920D2"/>
    <w:rsid w:val="005924C0"/>
    <w:rsid w:val="005935F2"/>
    <w:rsid w:val="0059361B"/>
    <w:rsid w:val="005936A9"/>
    <w:rsid w:val="00593D3B"/>
    <w:rsid w:val="00594389"/>
    <w:rsid w:val="00594434"/>
    <w:rsid w:val="005944FD"/>
    <w:rsid w:val="00594E13"/>
    <w:rsid w:val="00594E70"/>
    <w:rsid w:val="00595001"/>
    <w:rsid w:val="00595501"/>
    <w:rsid w:val="005977D0"/>
    <w:rsid w:val="00597F7C"/>
    <w:rsid w:val="00597F8E"/>
    <w:rsid w:val="005A0B39"/>
    <w:rsid w:val="005A2667"/>
    <w:rsid w:val="005A2D91"/>
    <w:rsid w:val="005A385D"/>
    <w:rsid w:val="005A4050"/>
    <w:rsid w:val="005A4550"/>
    <w:rsid w:val="005A5101"/>
    <w:rsid w:val="005A5623"/>
    <w:rsid w:val="005A582F"/>
    <w:rsid w:val="005A602A"/>
    <w:rsid w:val="005A7699"/>
    <w:rsid w:val="005A7980"/>
    <w:rsid w:val="005A7B8C"/>
    <w:rsid w:val="005A7BDC"/>
    <w:rsid w:val="005B03FC"/>
    <w:rsid w:val="005B14D9"/>
    <w:rsid w:val="005B1669"/>
    <w:rsid w:val="005B1DDF"/>
    <w:rsid w:val="005B2668"/>
    <w:rsid w:val="005B39BA"/>
    <w:rsid w:val="005B3A3C"/>
    <w:rsid w:val="005B42AA"/>
    <w:rsid w:val="005B5ED8"/>
    <w:rsid w:val="005B60DB"/>
    <w:rsid w:val="005B7968"/>
    <w:rsid w:val="005B7CDD"/>
    <w:rsid w:val="005C0B1A"/>
    <w:rsid w:val="005C12E3"/>
    <w:rsid w:val="005C1D66"/>
    <w:rsid w:val="005C1F9A"/>
    <w:rsid w:val="005C2C78"/>
    <w:rsid w:val="005C2F8D"/>
    <w:rsid w:val="005C2FAD"/>
    <w:rsid w:val="005C5644"/>
    <w:rsid w:val="005C60F4"/>
    <w:rsid w:val="005C6156"/>
    <w:rsid w:val="005C6EB8"/>
    <w:rsid w:val="005D0E53"/>
    <w:rsid w:val="005D0EAE"/>
    <w:rsid w:val="005D140E"/>
    <w:rsid w:val="005D1C16"/>
    <w:rsid w:val="005D228B"/>
    <w:rsid w:val="005D2C41"/>
    <w:rsid w:val="005D2D38"/>
    <w:rsid w:val="005D2DA0"/>
    <w:rsid w:val="005D3780"/>
    <w:rsid w:val="005D5312"/>
    <w:rsid w:val="005D6FDF"/>
    <w:rsid w:val="005D7259"/>
    <w:rsid w:val="005D7331"/>
    <w:rsid w:val="005D7E20"/>
    <w:rsid w:val="005E0816"/>
    <w:rsid w:val="005E0D37"/>
    <w:rsid w:val="005E1525"/>
    <w:rsid w:val="005E1643"/>
    <w:rsid w:val="005E188D"/>
    <w:rsid w:val="005E21CB"/>
    <w:rsid w:val="005E291D"/>
    <w:rsid w:val="005E2ECC"/>
    <w:rsid w:val="005E356B"/>
    <w:rsid w:val="005E5161"/>
    <w:rsid w:val="005E6F21"/>
    <w:rsid w:val="005E73D4"/>
    <w:rsid w:val="005E74F1"/>
    <w:rsid w:val="005F000B"/>
    <w:rsid w:val="005F0766"/>
    <w:rsid w:val="005F12F1"/>
    <w:rsid w:val="005F1577"/>
    <w:rsid w:val="005F2B22"/>
    <w:rsid w:val="005F318A"/>
    <w:rsid w:val="005F3CBC"/>
    <w:rsid w:val="005F4415"/>
    <w:rsid w:val="005F4A54"/>
    <w:rsid w:val="005F4BE1"/>
    <w:rsid w:val="005F4F39"/>
    <w:rsid w:val="005F58FD"/>
    <w:rsid w:val="005F5F35"/>
    <w:rsid w:val="005F614D"/>
    <w:rsid w:val="005F656B"/>
    <w:rsid w:val="005F7768"/>
    <w:rsid w:val="005F79BA"/>
    <w:rsid w:val="005F7BEA"/>
    <w:rsid w:val="00600A2E"/>
    <w:rsid w:val="00600A67"/>
    <w:rsid w:val="00600BC9"/>
    <w:rsid w:val="00601241"/>
    <w:rsid w:val="00601746"/>
    <w:rsid w:val="00601BBB"/>
    <w:rsid w:val="00601DA1"/>
    <w:rsid w:val="006022AD"/>
    <w:rsid w:val="006027B9"/>
    <w:rsid w:val="00602883"/>
    <w:rsid w:val="00602F86"/>
    <w:rsid w:val="0060317C"/>
    <w:rsid w:val="00603A25"/>
    <w:rsid w:val="00603DA9"/>
    <w:rsid w:val="0060482A"/>
    <w:rsid w:val="00604E54"/>
    <w:rsid w:val="00604E60"/>
    <w:rsid w:val="006059F5"/>
    <w:rsid w:val="00605A92"/>
    <w:rsid w:val="006069B6"/>
    <w:rsid w:val="00606A7A"/>
    <w:rsid w:val="00606FC7"/>
    <w:rsid w:val="0060713B"/>
    <w:rsid w:val="006073B4"/>
    <w:rsid w:val="00607E93"/>
    <w:rsid w:val="006106BC"/>
    <w:rsid w:val="00610A36"/>
    <w:rsid w:val="00611007"/>
    <w:rsid w:val="00611158"/>
    <w:rsid w:val="00611355"/>
    <w:rsid w:val="0061509F"/>
    <w:rsid w:val="00615969"/>
    <w:rsid w:val="00616D8C"/>
    <w:rsid w:val="00616F7B"/>
    <w:rsid w:val="00616FF1"/>
    <w:rsid w:val="00617689"/>
    <w:rsid w:val="00620C44"/>
    <w:rsid w:val="00620E9F"/>
    <w:rsid w:val="006210C3"/>
    <w:rsid w:val="00621439"/>
    <w:rsid w:val="0062151A"/>
    <w:rsid w:val="0062161F"/>
    <w:rsid w:val="0062184D"/>
    <w:rsid w:val="006219D8"/>
    <w:rsid w:val="006221FF"/>
    <w:rsid w:val="0062231C"/>
    <w:rsid w:val="0062296B"/>
    <w:rsid w:val="00622A40"/>
    <w:rsid w:val="00622CE7"/>
    <w:rsid w:val="006236D8"/>
    <w:rsid w:val="006257B3"/>
    <w:rsid w:val="00627645"/>
    <w:rsid w:val="006305DC"/>
    <w:rsid w:val="00630FD5"/>
    <w:rsid w:val="00632353"/>
    <w:rsid w:val="00632AAA"/>
    <w:rsid w:val="00632E1F"/>
    <w:rsid w:val="00633581"/>
    <w:rsid w:val="00633AF4"/>
    <w:rsid w:val="00634610"/>
    <w:rsid w:val="006347B0"/>
    <w:rsid w:val="00635544"/>
    <w:rsid w:val="00635AC1"/>
    <w:rsid w:val="0063666B"/>
    <w:rsid w:val="00636C65"/>
    <w:rsid w:val="00636DAF"/>
    <w:rsid w:val="00637F42"/>
    <w:rsid w:val="00640116"/>
    <w:rsid w:val="006416C6"/>
    <w:rsid w:val="00641CE2"/>
    <w:rsid w:val="00641E4F"/>
    <w:rsid w:val="006429CC"/>
    <w:rsid w:val="006436F3"/>
    <w:rsid w:val="00643CAB"/>
    <w:rsid w:val="00643D42"/>
    <w:rsid w:val="006442E2"/>
    <w:rsid w:val="00644B49"/>
    <w:rsid w:val="00644C93"/>
    <w:rsid w:val="00645882"/>
    <w:rsid w:val="0064613B"/>
    <w:rsid w:val="006461EB"/>
    <w:rsid w:val="006469C2"/>
    <w:rsid w:val="006502E2"/>
    <w:rsid w:val="006517FB"/>
    <w:rsid w:val="00651BEA"/>
    <w:rsid w:val="0065344A"/>
    <w:rsid w:val="00654112"/>
    <w:rsid w:val="00654662"/>
    <w:rsid w:val="00655350"/>
    <w:rsid w:val="00657769"/>
    <w:rsid w:val="006579B3"/>
    <w:rsid w:val="00657D84"/>
    <w:rsid w:val="00660056"/>
    <w:rsid w:val="00662E40"/>
    <w:rsid w:val="00662E75"/>
    <w:rsid w:val="00662EB4"/>
    <w:rsid w:val="00663154"/>
    <w:rsid w:val="006643E6"/>
    <w:rsid w:val="00664BDD"/>
    <w:rsid w:val="00664DF0"/>
    <w:rsid w:val="006656B0"/>
    <w:rsid w:val="006659F9"/>
    <w:rsid w:val="00666070"/>
    <w:rsid w:val="006667A5"/>
    <w:rsid w:val="0066684A"/>
    <w:rsid w:val="00666DCA"/>
    <w:rsid w:val="00666EBE"/>
    <w:rsid w:val="00666F0E"/>
    <w:rsid w:val="00666FB5"/>
    <w:rsid w:val="006676FF"/>
    <w:rsid w:val="00670E82"/>
    <w:rsid w:val="006717E2"/>
    <w:rsid w:val="00671DF1"/>
    <w:rsid w:val="00672D41"/>
    <w:rsid w:val="006731A6"/>
    <w:rsid w:val="0067342F"/>
    <w:rsid w:val="00674365"/>
    <w:rsid w:val="00674EA7"/>
    <w:rsid w:val="00675362"/>
    <w:rsid w:val="00675B2A"/>
    <w:rsid w:val="00675C9B"/>
    <w:rsid w:val="0067677F"/>
    <w:rsid w:val="0067679B"/>
    <w:rsid w:val="00676ED3"/>
    <w:rsid w:val="0068038A"/>
    <w:rsid w:val="006807BA"/>
    <w:rsid w:val="006814FD"/>
    <w:rsid w:val="0068195E"/>
    <w:rsid w:val="0068311E"/>
    <w:rsid w:val="00683285"/>
    <w:rsid w:val="00683A73"/>
    <w:rsid w:val="00685E66"/>
    <w:rsid w:val="00686C02"/>
    <w:rsid w:val="00686C2F"/>
    <w:rsid w:val="00687265"/>
    <w:rsid w:val="00687A22"/>
    <w:rsid w:val="006906A9"/>
    <w:rsid w:val="006912DD"/>
    <w:rsid w:val="00691840"/>
    <w:rsid w:val="00692407"/>
    <w:rsid w:val="006929E8"/>
    <w:rsid w:val="00692D04"/>
    <w:rsid w:val="00694676"/>
    <w:rsid w:val="00694F87"/>
    <w:rsid w:val="00696286"/>
    <w:rsid w:val="006964D5"/>
    <w:rsid w:val="0069700B"/>
    <w:rsid w:val="00697152"/>
    <w:rsid w:val="006974B4"/>
    <w:rsid w:val="00697F22"/>
    <w:rsid w:val="006A0269"/>
    <w:rsid w:val="006A0529"/>
    <w:rsid w:val="006A0FAF"/>
    <w:rsid w:val="006A21E0"/>
    <w:rsid w:val="006A2F4C"/>
    <w:rsid w:val="006A377E"/>
    <w:rsid w:val="006A3F57"/>
    <w:rsid w:val="006A4599"/>
    <w:rsid w:val="006A649C"/>
    <w:rsid w:val="006B08ED"/>
    <w:rsid w:val="006B1176"/>
    <w:rsid w:val="006B1C1F"/>
    <w:rsid w:val="006B1FE0"/>
    <w:rsid w:val="006B2043"/>
    <w:rsid w:val="006B2061"/>
    <w:rsid w:val="006B2AD9"/>
    <w:rsid w:val="006B33FF"/>
    <w:rsid w:val="006B3516"/>
    <w:rsid w:val="006B355D"/>
    <w:rsid w:val="006B3BD8"/>
    <w:rsid w:val="006B464B"/>
    <w:rsid w:val="006B517A"/>
    <w:rsid w:val="006B6311"/>
    <w:rsid w:val="006B790D"/>
    <w:rsid w:val="006B7A9A"/>
    <w:rsid w:val="006C04A0"/>
    <w:rsid w:val="006C0597"/>
    <w:rsid w:val="006C0A9B"/>
    <w:rsid w:val="006C0C6A"/>
    <w:rsid w:val="006C1209"/>
    <w:rsid w:val="006C217A"/>
    <w:rsid w:val="006C24F8"/>
    <w:rsid w:val="006C257B"/>
    <w:rsid w:val="006C2DE4"/>
    <w:rsid w:val="006C4028"/>
    <w:rsid w:val="006C51B6"/>
    <w:rsid w:val="006C5724"/>
    <w:rsid w:val="006C63A4"/>
    <w:rsid w:val="006C6ECC"/>
    <w:rsid w:val="006C71E5"/>
    <w:rsid w:val="006C759B"/>
    <w:rsid w:val="006C75B9"/>
    <w:rsid w:val="006C7ABB"/>
    <w:rsid w:val="006D060D"/>
    <w:rsid w:val="006D062F"/>
    <w:rsid w:val="006D08D6"/>
    <w:rsid w:val="006D0C53"/>
    <w:rsid w:val="006D2B00"/>
    <w:rsid w:val="006D2DB2"/>
    <w:rsid w:val="006D2EF5"/>
    <w:rsid w:val="006D410F"/>
    <w:rsid w:val="006D43CB"/>
    <w:rsid w:val="006D5149"/>
    <w:rsid w:val="006D544D"/>
    <w:rsid w:val="006D5614"/>
    <w:rsid w:val="006D5685"/>
    <w:rsid w:val="006D5706"/>
    <w:rsid w:val="006D6649"/>
    <w:rsid w:val="006D6F1B"/>
    <w:rsid w:val="006E0236"/>
    <w:rsid w:val="006E075C"/>
    <w:rsid w:val="006E0D62"/>
    <w:rsid w:val="006E251E"/>
    <w:rsid w:val="006E2629"/>
    <w:rsid w:val="006E2A74"/>
    <w:rsid w:val="006E3AA1"/>
    <w:rsid w:val="006E444F"/>
    <w:rsid w:val="006E463E"/>
    <w:rsid w:val="006E4C5B"/>
    <w:rsid w:val="006E51BB"/>
    <w:rsid w:val="006E5869"/>
    <w:rsid w:val="006E6128"/>
    <w:rsid w:val="006E70CF"/>
    <w:rsid w:val="006F1079"/>
    <w:rsid w:val="006F1521"/>
    <w:rsid w:val="006F1866"/>
    <w:rsid w:val="006F274B"/>
    <w:rsid w:val="006F50EC"/>
    <w:rsid w:val="006F511A"/>
    <w:rsid w:val="006F5BDC"/>
    <w:rsid w:val="006F6820"/>
    <w:rsid w:val="006F6DC8"/>
    <w:rsid w:val="006F71BA"/>
    <w:rsid w:val="006F78B6"/>
    <w:rsid w:val="006F7A7F"/>
    <w:rsid w:val="00700521"/>
    <w:rsid w:val="0070113C"/>
    <w:rsid w:val="00701824"/>
    <w:rsid w:val="00704A6A"/>
    <w:rsid w:val="00705ABB"/>
    <w:rsid w:val="00706129"/>
    <w:rsid w:val="00706D52"/>
    <w:rsid w:val="00707A08"/>
    <w:rsid w:val="00707C85"/>
    <w:rsid w:val="00710DD8"/>
    <w:rsid w:val="00711260"/>
    <w:rsid w:val="00711F30"/>
    <w:rsid w:val="00712684"/>
    <w:rsid w:val="007130EA"/>
    <w:rsid w:val="0071336F"/>
    <w:rsid w:val="00713926"/>
    <w:rsid w:val="007145F7"/>
    <w:rsid w:val="00714655"/>
    <w:rsid w:val="00715259"/>
    <w:rsid w:val="00715301"/>
    <w:rsid w:val="0071571C"/>
    <w:rsid w:val="007167A0"/>
    <w:rsid w:val="00720228"/>
    <w:rsid w:val="00720C7C"/>
    <w:rsid w:val="0072161C"/>
    <w:rsid w:val="007216A2"/>
    <w:rsid w:val="00721D36"/>
    <w:rsid w:val="00721F6F"/>
    <w:rsid w:val="00722C3E"/>
    <w:rsid w:val="0072356F"/>
    <w:rsid w:val="00724981"/>
    <w:rsid w:val="00725B80"/>
    <w:rsid w:val="00725EEC"/>
    <w:rsid w:val="00726570"/>
    <w:rsid w:val="00727251"/>
    <w:rsid w:val="00727936"/>
    <w:rsid w:val="00727BDC"/>
    <w:rsid w:val="0073153E"/>
    <w:rsid w:val="0073244E"/>
    <w:rsid w:val="00733062"/>
    <w:rsid w:val="007331D9"/>
    <w:rsid w:val="007345FB"/>
    <w:rsid w:val="00734BE1"/>
    <w:rsid w:val="0073568F"/>
    <w:rsid w:val="007368AA"/>
    <w:rsid w:val="00736A22"/>
    <w:rsid w:val="00737157"/>
    <w:rsid w:val="007378FD"/>
    <w:rsid w:val="00737A88"/>
    <w:rsid w:val="00737CBF"/>
    <w:rsid w:val="00740D57"/>
    <w:rsid w:val="007411C1"/>
    <w:rsid w:val="007447B6"/>
    <w:rsid w:val="00744F22"/>
    <w:rsid w:val="00746244"/>
    <w:rsid w:val="00746271"/>
    <w:rsid w:val="00747472"/>
    <w:rsid w:val="00747A6C"/>
    <w:rsid w:val="00747AF2"/>
    <w:rsid w:val="00750EB6"/>
    <w:rsid w:val="007515C8"/>
    <w:rsid w:val="00751A51"/>
    <w:rsid w:val="00753029"/>
    <w:rsid w:val="0075341C"/>
    <w:rsid w:val="007535C2"/>
    <w:rsid w:val="00753710"/>
    <w:rsid w:val="00753B10"/>
    <w:rsid w:val="00753F96"/>
    <w:rsid w:val="007541AE"/>
    <w:rsid w:val="0075472A"/>
    <w:rsid w:val="00756441"/>
    <w:rsid w:val="0075745E"/>
    <w:rsid w:val="007604F5"/>
    <w:rsid w:val="00760751"/>
    <w:rsid w:val="00762290"/>
    <w:rsid w:val="00762FC5"/>
    <w:rsid w:val="007633F8"/>
    <w:rsid w:val="007643D0"/>
    <w:rsid w:val="00765147"/>
    <w:rsid w:val="00766832"/>
    <w:rsid w:val="00766BB4"/>
    <w:rsid w:val="00766C30"/>
    <w:rsid w:val="00766D22"/>
    <w:rsid w:val="00767A1A"/>
    <w:rsid w:val="00770001"/>
    <w:rsid w:val="00770047"/>
    <w:rsid w:val="00770FA7"/>
    <w:rsid w:val="00771353"/>
    <w:rsid w:val="007720F5"/>
    <w:rsid w:val="00772F08"/>
    <w:rsid w:val="00774CD5"/>
    <w:rsid w:val="007751A4"/>
    <w:rsid w:val="007759F9"/>
    <w:rsid w:val="00775AFA"/>
    <w:rsid w:val="00777E4E"/>
    <w:rsid w:val="007817D7"/>
    <w:rsid w:val="00781A2C"/>
    <w:rsid w:val="007839C9"/>
    <w:rsid w:val="00783CFD"/>
    <w:rsid w:val="00783E3C"/>
    <w:rsid w:val="00784574"/>
    <w:rsid w:val="0078509A"/>
    <w:rsid w:val="0078532A"/>
    <w:rsid w:val="007856AF"/>
    <w:rsid w:val="007861AF"/>
    <w:rsid w:val="0078636D"/>
    <w:rsid w:val="0078654F"/>
    <w:rsid w:val="00786A9E"/>
    <w:rsid w:val="00787489"/>
    <w:rsid w:val="00790128"/>
    <w:rsid w:val="007904C3"/>
    <w:rsid w:val="00790771"/>
    <w:rsid w:val="00790C19"/>
    <w:rsid w:val="007910E5"/>
    <w:rsid w:val="00791BE1"/>
    <w:rsid w:val="00791BE5"/>
    <w:rsid w:val="0079208F"/>
    <w:rsid w:val="00792869"/>
    <w:rsid w:val="00792A10"/>
    <w:rsid w:val="00792E7A"/>
    <w:rsid w:val="007953D3"/>
    <w:rsid w:val="00795746"/>
    <w:rsid w:val="007957ED"/>
    <w:rsid w:val="00796970"/>
    <w:rsid w:val="00796FB6"/>
    <w:rsid w:val="007A01AE"/>
    <w:rsid w:val="007A0807"/>
    <w:rsid w:val="007A0D1B"/>
    <w:rsid w:val="007A0D50"/>
    <w:rsid w:val="007A242E"/>
    <w:rsid w:val="007A3033"/>
    <w:rsid w:val="007A3283"/>
    <w:rsid w:val="007A4ADE"/>
    <w:rsid w:val="007A5034"/>
    <w:rsid w:val="007A675F"/>
    <w:rsid w:val="007A6951"/>
    <w:rsid w:val="007A6BC2"/>
    <w:rsid w:val="007A7095"/>
    <w:rsid w:val="007B01E4"/>
    <w:rsid w:val="007B045B"/>
    <w:rsid w:val="007B1039"/>
    <w:rsid w:val="007B1148"/>
    <w:rsid w:val="007B16D3"/>
    <w:rsid w:val="007B1D76"/>
    <w:rsid w:val="007B20D3"/>
    <w:rsid w:val="007B237C"/>
    <w:rsid w:val="007B24A1"/>
    <w:rsid w:val="007B2730"/>
    <w:rsid w:val="007B3022"/>
    <w:rsid w:val="007B34EE"/>
    <w:rsid w:val="007B3A76"/>
    <w:rsid w:val="007B52BB"/>
    <w:rsid w:val="007B6147"/>
    <w:rsid w:val="007B6A33"/>
    <w:rsid w:val="007B7233"/>
    <w:rsid w:val="007B77D0"/>
    <w:rsid w:val="007C08BE"/>
    <w:rsid w:val="007C091D"/>
    <w:rsid w:val="007C0FA3"/>
    <w:rsid w:val="007C1BC8"/>
    <w:rsid w:val="007C1BC9"/>
    <w:rsid w:val="007C2CFC"/>
    <w:rsid w:val="007C512C"/>
    <w:rsid w:val="007C554C"/>
    <w:rsid w:val="007C60A7"/>
    <w:rsid w:val="007C78C4"/>
    <w:rsid w:val="007D0511"/>
    <w:rsid w:val="007D0789"/>
    <w:rsid w:val="007D16CB"/>
    <w:rsid w:val="007D1EDD"/>
    <w:rsid w:val="007D2D47"/>
    <w:rsid w:val="007D348E"/>
    <w:rsid w:val="007D3AF0"/>
    <w:rsid w:val="007D4649"/>
    <w:rsid w:val="007D570D"/>
    <w:rsid w:val="007D589F"/>
    <w:rsid w:val="007D5A12"/>
    <w:rsid w:val="007D6D15"/>
    <w:rsid w:val="007E01C6"/>
    <w:rsid w:val="007E068E"/>
    <w:rsid w:val="007E07A6"/>
    <w:rsid w:val="007E08F1"/>
    <w:rsid w:val="007E10F3"/>
    <w:rsid w:val="007E1E5E"/>
    <w:rsid w:val="007E1FD9"/>
    <w:rsid w:val="007E3303"/>
    <w:rsid w:val="007E3348"/>
    <w:rsid w:val="007E3C15"/>
    <w:rsid w:val="007E3E11"/>
    <w:rsid w:val="007E5AE1"/>
    <w:rsid w:val="007E5B49"/>
    <w:rsid w:val="007E67E1"/>
    <w:rsid w:val="007E6808"/>
    <w:rsid w:val="007E707E"/>
    <w:rsid w:val="007F003E"/>
    <w:rsid w:val="007F0EAE"/>
    <w:rsid w:val="007F21CB"/>
    <w:rsid w:val="007F305D"/>
    <w:rsid w:val="007F4610"/>
    <w:rsid w:val="007F4781"/>
    <w:rsid w:val="007F481D"/>
    <w:rsid w:val="007F4E1C"/>
    <w:rsid w:val="007F55E2"/>
    <w:rsid w:val="007F59E5"/>
    <w:rsid w:val="007F5A27"/>
    <w:rsid w:val="007F6528"/>
    <w:rsid w:val="007F6F44"/>
    <w:rsid w:val="007F70B8"/>
    <w:rsid w:val="007F735C"/>
    <w:rsid w:val="007F7F8A"/>
    <w:rsid w:val="0080004F"/>
    <w:rsid w:val="008001C4"/>
    <w:rsid w:val="00800F53"/>
    <w:rsid w:val="008017A1"/>
    <w:rsid w:val="00801FF2"/>
    <w:rsid w:val="00802067"/>
    <w:rsid w:val="00802311"/>
    <w:rsid w:val="008034C2"/>
    <w:rsid w:val="00803A51"/>
    <w:rsid w:val="008048F6"/>
    <w:rsid w:val="0080549E"/>
    <w:rsid w:val="008054AC"/>
    <w:rsid w:val="00806625"/>
    <w:rsid w:val="00806B68"/>
    <w:rsid w:val="0080742F"/>
    <w:rsid w:val="008111EF"/>
    <w:rsid w:val="00811471"/>
    <w:rsid w:val="00811832"/>
    <w:rsid w:val="00811D14"/>
    <w:rsid w:val="00811DD3"/>
    <w:rsid w:val="008126C1"/>
    <w:rsid w:val="00813255"/>
    <w:rsid w:val="0081358A"/>
    <w:rsid w:val="008140C2"/>
    <w:rsid w:val="0081452C"/>
    <w:rsid w:val="00815C89"/>
    <w:rsid w:val="00816152"/>
    <w:rsid w:val="0081673A"/>
    <w:rsid w:val="00816776"/>
    <w:rsid w:val="008176F7"/>
    <w:rsid w:val="00817FD3"/>
    <w:rsid w:val="00820192"/>
    <w:rsid w:val="00820536"/>
    <w:rsid w:val="00821713"/>
    <w:rsid w:val="00821E03"/>
    <w:rsid w:val="00822AFE"/>
    <w:rsid w:val="0082316F"/>
    <w:rsid w:val="008238EF"/>
    <w:rsid w:val="00825238"/>
    <w:rsid w:val="008256C4"/>
    <w:rsid w:val="00826334"/>
    <w:rsid w:val="00826A5E"/>
    <w:rsid w:val="00826CEC"/>
    <w:rsid w:val="0082774A"/>
    <w:rsid w:val="0082776F"/>
    <w:rsid w:val="00833521"/>
    <w:rsid w:val="00833873"/>
    <w:rsid w:val="008343F0"/>
    <w:rsid w:val="008351BF"/>
    <w:rsid w:val="00835953"/>
    <w:rsid w:val="00835EB4"/>
    <w:rsid w:val="00836234"/>
    <w:rsid w:val="0083634A"/>
    <w:rsid w:val="008364B5"/>
    <w:rsid w:val="008369CD"/>
    <w:rsid w:val="00836B08"/>
    <w:rsid w:val="00836D3D"/>
    <w:rsid w:val="0083745A"/>
    <w:rsid w:val="00840AE1"/>
    <w:rsid w:val="00840B18"/>
    <w:rsid w:val="008410BF"/>
    <w:rsid w:val="008410CC"/>
    <w:rsid w:val="00841411"/>
    <w:rsid w:val="008416A1"/>
    <w:rsid w:val="00842CA7"/>
    <w:rsid w:val="00843135"/>
    <w:rsid w:val="008436F7"/>
    <w:rsid w:val="00843906"/>
    <w:rsid w:val="00843B3D"/>
    <w:rsid w:val="00843CA7"/>
    <w:rsid w:val="00843F2F"/>
    <w:rsid w:val="0084539C"/>
    <w:rsid w:val="008457E9"/>
    <w:rsid w:val="008469DA"/>
    <w:rsid w:val="008471D1"/>
    <w:rsid w:val="00847B28"/>
    <w:rsid w:val="00847E63"/>
    <w:rsid w:val="008511E0"/>
    <w:rsid w:val="0085235E"/>
    <w:rsid w:val="00852EEE"/>
    <w:rsid w:val="00852FFE"/>
    <w:rsid w:val="0085306A"/>
    <w:rsid w:val="00854230"/>
    <w:rsid w:val="0085460C"/>
    <w:rsid w:val="00854E37"/>
    <w:rsid w:val="008553A6"/>
    <w:rsid w:val="00855F90"/>
    <w:rsid w:val="008574F1"/>
    <w:rsid w:val="008576DB"/>
    <w:rsid w:val="00860AE3"/>
    <w:rsid w:val="00860C7F"/>
    <w:rsid w:val="00861FAF"/>
    <w:rsid w:val="00862250"/>
    <w:rsid w:val="00862B96"/>
    <w:rsid w:val="00862DE2"/>
    <w:rsid w:val="00864011"/>
    <w:rsid w:val="0086566D"/>
    <w:rsid w:val="00866633"/>
    <w:rsid w:val="00866937"/>
    <w:rsid w:val="0086696D"/>
    <w:rsid w:val="008671EF"/>
    <w:rsid w:val="008702D0"/>
    <w:rsid w:val="008704F2"/>
    <w:rsid w:val="00870EDD"/>
    <w:rsid w:val="008722A4"/>
    <w:rsid w:val="00872D01"/>
    <w:rsid w:val="008740BA"/>
    <w:rsid w:val="00875B32"/>
    <w:rsid w:val="00875B44"/>
    <w:rsid w:val="00875D91"/>
    <w:rsid w:val="00876120"/>
    <w:rsid w:val="008762F0"/>
    <w:rsid w:val="00876334"/>
    <w:rsid w:val="00876446"/>
    <w:rsid w:val="00877BA7"/>
    <w:rsid w:val="00877E48"/>
    <w:rsid w:val="0088116F"/>
    <w:rsid w:val="00881AE9"/>
    <w:rsid w:val="00882710"/>
    <w:rsid w:val="00882727"/>
    <w:rsid w:val="0088292C"/>
    <w:rsid w:val="00884780"/>
    <w:rsid w:val="00884B64"/>
    <w:rsid w:val="008851DB"/>
    <w:rsid w:val="00885BC8"/>
    <w:rsid w:val="008868D8"/>
    <w:rsid w:val="008869F3"/>
    <w:rsid w:val="00887C14"/>
    <w:rsid w:val="00890BDF"/>
    <w:rsid w:val="00891526"/>
    <w:rsid w:val="008915A4"/>
    <w:rsid w:val="0089277C"/>
    <w:rsid w:val="00892C5C"/>
    <w:rsid w:val="00892D45"/>
    <w:rsid w:val="00892E40"/>
    <w:rsid w:val="00892FD0"/>
    <w:rsid w:val="008947F4"/>
    <w:rsid w:val="00894BFE"/>
    <w:rsid w:val="0089549E"/>
    <w:rsid w:val="00896005"/>
    <w:rsid w:val="00896323"/>
    <w:rsid w:val="00896486"/>
    <w:rsid w:val="0089661D"/>
    <w:rsid w:val="00897305"/>
    <w:rsid w:val="008A0CDD"/>
    <w:rsid w:val="008A0DBF"/>
    <w:rsid w:val="008A22D2"/>
    <w:rsid w:val="008A2DE6"/>
    <w:rsid w:val="008A3070"/>
    <w:rsid w:val="008A38B0"/>
    <w:rsid w:val="008A410F"/>
    <w:rsid w:val="008A42E6"/>
    <w:rsid w:val="008A464C"/>
    <w:rsid w:val="008A5071"/>
    <w:rsid w:val="008A55B2"/>
    <w:rsid w:val="008A5B4A"/>
    <w:rsid w:val="008A5BAA"/>
    <w:rsid w:val="008A5DE6"/>
    <w:rsid w:val="008A6266"/>
    <w:rsid w:val="008A6402"/>
    <w:rsid w:val="008A670F"/>
    <w:rsid w:val="008A7F08"/>
    <w:rsid w:val="008B1EE5"/>
    <w:rsid w:val="008B28F7"/>
    <w:rsid w:val="008B2C8D"/>
    <w:rsid w:val="008B3008"/>
    <w:rsid w:val="008B3732"/>
    <w:rsid w:val="008B394C"/>
    <w:rsid w:val="008B3F68"/>
    <w:rsid w:val="008B42B2"/>
    <w:rsid w:val="008B4BD7"/>
    <w:rsid w:val="008B5143"/>
    <w:rsid w:val="008B552E"/>
    <w:rsid w:val="008B5BF4"/>
    <w:rsid w:val="008B60DD"/>
    <w:rsid w:val="008B6CFC"/>
    <w:rsid w:val="008B793C"/>
    <w:rsid w:val="008B79CD"/>
    <w:rsid w:val="008C08B5"/>
    <w:rsid w:val="008C0B7E"/>
    <w:rsid w:val="008C0E9F"/>
    <w:rsid w:val="008C0F65"/>
    <w:rsid w:val="008C104A"/>
    <w:rsid w:val="008C106C"/>
    <w:rsid w:val="008C109C"/>
    <w:rsid w:val="008C1475"/>
    <w:rsid w:val="008C15EB"/>
    <w:rsid w:val="008C2178"/>
    <w:rsid w:val="008C2456"/>
    <w:rsid w:val="008C2802"/>
    <w:rsid w:val="008C28F1"/>
    <w:rsid w:val="008C3642"/>
    <w:rsid w:val="008C3A67"/>
    <w:rsid w:val="008C3E44"/>
    <w:rsid w:val="008C3F7D"/>
    <w:rsid w:val="008C42EF"/>
    <w:rsid w:val="008C51B0"/>
    <w:rsid w:val="008C60A7"/>
    <w:rsid w:val="008C6C40"/>
    <w:rsid w:val="008C6DF4"/>
    <w:rsid w:val="008D0404"/>
    <w:rsid w:val="008D05FF"/>
    <w:rsid w:val="008D0D94"/>
    <w:rsid w:val="008D0DE2"/>
    <w:rsid w:val="008D0FC6"/>
    <w:rsid w:val="008D29CE"/>
    <w:rsid w:val="008D344B"/>
    <w:rsid w:val="008D360D"/>
    <w:rsid w:val="008D4A3C"/>
    <w:rsid w:val="008D4EEF"/>
    <w:rsid w:val="008D52D5"/>
    <w:rsid w:val="008D5675"/>
    <w:rsid w:val="008D5FD4"/>
    <w:rsid w:val="008D784D"/>
    <w:rsid w:val="008D7B0B"/>
    <w:rsid w:val="008E0222"/>
    <w:rsid w:val="008E2067"/>
    <w:rsid w:val="008E2F16"/>
    <w:rsid w:val="008E2F31"/>
    <w:rsid w:val="008E4C81"/>
    <w:rsid w:val="008E4D70"/>
    <w:rsid w:val="008E52FD"/>
    <w:rsid w:val="008E5673"/>
    <w:rsid w:val="008E5844"/>
    <w:rsid w:val="008E5D98"/>
    <w:rsid w:val="008E66B1"/>
    <w:rsid w:val="008E70DE"/>
    <w:rsid w:val="008E7BC0"/>
    <w:rsid w:val="008F00A0"/>
    <w:rsid w:val="008F1380"/>
    <w:rsid w:val="008F24B5"/>
    <w:rsid w:val="008F2C05"/>
    <w:rsid w:val="008F305E"/>
    <w:rsid w:val="008F3CF4"/>
    <w:rsid w:val="008F557A"/>
    <w:rsid w:val="008F5B21"/>
    <w:rsid w:val="008F5B56"/>
    <w:rsid w:val="008F62B7"/>
    <w:rsid w:val="008F706D"/>
    <w:rsid w:val="008F707B"/>
    <w:rsid w:val="00900443"/>
    <w:rsid w:val="00900812"/>
    <w:rsid w:val="00900C46"/>
    <w:rsid w:val="00900C84"/>
    <w:rsid w:val="00900F77"/>
    <w:rsid w:val="00901B09"/>
    <w:rsid w:val="009024CF"/>
    <w:rsid w:val="00902AAB"/>
    <w:rsid w:val="00902ECD"/>
    <w:rsid w:val="009035A5"/>
    <w:rsid w:val="0090385C"/>
    <w:rsid w:val="00905040"/>
    <w:rsid w:val="009051AB"/>
    <w:rsid w:val="00906C19"/>
    <w:rsid w:val="009077DF"/>
    <w:rsid w:val="00907D1E"/>
    <w:rsid w:val="009102E7"/>
    <w:rsid w:val="00910701"/>
    <w:rsid w:val="00910DDA"/>
    <w:rsid w:val="00911B60"/>
    <w:rsid w:val="00911C68"/>
    <w:rsid w:val="00911D11"/>
    <w:rsid w:val="00912A16"/>
    <w:rsid w:val="00912C16"/>
    <w:rsid w:val="00912C6B"/>
    <w:rsid w:val="00912D43"/>
    <w:rsid w:val="009142BB"/>
    <w:rsid w:val="00914A75"/>
    <w:rsid w:val="00914AF2"/>
    <w:rsid w:val="00914E2B"/>
    <w:rsid w:val="00915646"/>
    <w:rsid w:val="009159CF"/>
    <w:rsid w:val="00915F9F"/>
    <w:rsid w:val="00916231"/>
    <w:rsid w:val="00916A67"/>
    <w:rsid w:val="0092062D"/>
    <w:rsid w:val="009209B1"/>
    <w:rsid w:val="00920D84"/>
    <w:rsid w:val="00920E7F"/>
    <w:rsid w:val="009213B6"/>
    <w:rsid w:val="00921EDE"/>
    <w:rsid w:val="0092242F"/>
    <w:rsid w:val="009224EF"/>
    <w:rsid w:val="00922714"/>
    <w:rsid w:val="00922FEB"/>
    <w:rsid w:val="00923767"/>
    <w:rsid w:val="00924313"/>
    <w:rsid w:val="0092492F"/>
    <w:rsid w:val="00924C4A"/>
    <w:rsid w:val="00924D1D"/>
    <w:rsid w:val="0092544B"/>
    <w:rsid w:val="00925FCF"/>
    <w:rsid w:val="009268EF"/>
    <w:rsid w:val="009269BB"/>
    <w:rsid w:val="0092789B"/>
    <w:rsid w:val="00927E61"/>
    <w:rsid w:val="00927E65"/>
    <w:rsid w:val="00927F6F"/>
    <w:rsid w:val="0093001A"/>
    <w:rsid w:val="009304CF"/>
    <w:rsid w:val="009310C5"/>
    <w:rsid w:val="00931D6F"/>
    <w:rsid w:val="00932991"/>
    <w:rsid w:val="00932D44"/>
    <w:rsid w:val="00933547"/>
    <w:rsid w:val="0093369F"/>
    <w:rsid w:val="0093401A"/>
    <w:rsid w:val="0093402D"/>
    <w:rsid w:val="009368B5"/>
    <w:rsid w:val="009375CD"/>
    <w:rsid w:val="009378B4"/>
    <w:rsid w:val="00937EE5"/>
    <w:rsid w:val="00940B85"/>
    <w:rsid w:val="00940C05"/>
    <w:rsid w:val="0094138C"/>
    <w:rsid w:val="00941522"/>
    <w:rsid w:val="009423E0"/>
    <w:rsid w:val="009429DE"/>
    <w:rsid w:val="009429F8"/>
    <w:rsid w:val="00942F6E"/>
    <w:rsid w:val="00943B32"/>
    <w:rsid w:val="009448C7"/>
    <w:rsid w:val="00944C48"/>
    <w:rsid w:val="009451E8"/>
    <w:rsid w:val="00945664"/>
    <w:rsid w:val="00945E34"/>
    <w:rsid w:val="00945E5C"/>
    <w:rsid w:val="00946F53"/>
    <w:rsid w:val="00947143"/>
    <w:rsid w:val="00947746"/>
    <w:rsid w:val="00947B66"/>
    <w:rsid w:val="00950115"/>
    <w:rsid w:val="009501C0"/>
    <w:rsid w:val="00951A80"/>
    <w:rsid w:val="00952147"/>
    <w:rsid w:val="0095292E"/>
    <w:rsid w:val="009532AC"/>
    <w:rsid w:val="00953C98"/>
    <w:rsid w:val="00954F50"/>
    <w:rsid w:val="009553AD"/>
    <w:rsid w:val="0095562D"/>
    <w:rsid w:val="00955CBD"/>
    <w:rsid w:val="0095652C"/>
    <w:rsid w:val="00956FB2"/>
    <w:rsid w:val="00957452"/>
    <w:rsid w:val="00957679"/>
    <w:rsid w:val="00957F9D"/>
    <w:rsid w:val="00960364"/>
    <w:rsid w:val="0096039C"/>
    <w:rsid w:val="00960EC5"/>
    <w:rsid w:val="00960F38"/>
    <w:rsid w:val="0096104C"/>
    <w:rsid w:val="00961DD5"/>
    <w:rsid w:val="00961F1C"/>
    <w:rsid w:val="009634CE"/>
    <w:rsid w:val="0096463A"/>
    <w:rsid w:val="00965A26"/>
    <w:rsid w:val="009660D9"/>
    <w:rsid w:val="00966C6F"/>
    <w:rsid w:val="0096785D"/>
    <w:rsid w:val="009712F9"/>
    <w:rsid w:val="0097194E"/>
    <w:rsid w:val="0097242D"/>
    <w:rsid w:val="0097264C"/>
    <w:rsid w:val="00972B59"/>
    <w:rsid w:val="00973325"/>
    <w:rsid w:val="00973E99"/>
    <w:rsid w:val="00974A39"/>
    <w:rsid w:val="00974D76"/>
    <w:rsid w:val="009752C7"/>
    <w:rsid w:val="0097612B"/>
    <w:rsid w:val="0097620F"/>
    <w:rsid w:val="00977EE0"/>
    <w:rsid w:val="00980270"/>
    <w:rsid w:val="00980E94"/>
    <w:rsid w:val="00981D72"/>
    <w:rsid w:val="009827B0"/>
    <w:rsid w:val="00983C08"/>
    <w:rsid w:val="00984DAF"/>
    <w:rsid w:val="009858FA"/>
    <w:rsid w:val="00985B4F"/>
    <w:rsid w:val="00985E8C"/>
    <w:rsid w:val="009860FD"/>
    <w:rsid w:val="00986E62"/>
    <w:rsid w:val="00986F5F"/>
    <w:rsid w:val="0099082E"/>
    <w:rsid w:val="0099097D"/>
    <w:rsid w:val="009911C6"/>
    <w:rsid w:val="00992580"/>
    <w:rsid w:val="0099260A"/>
    <w:rsid w:val="0099298C"/>
    <w:rsid w:val="00993713"/>
    <w:rsid w:val="00993B27"/>
    <w:rsid w:val="009940A0"/>
    <w:rsid w:val="009944BA"/>
    <w:rsid w:val="00995769"/>
    <w:rsid w:val="00995A28"/>
    <w:rsid w:val="00996DFE"/>
    <w:rsid w:val="009978E8"/>
    <w:rsid w:val="00997B7D"/>
    <w:rsid w:val="009A0217"/>
    <w:rsid w:val="009A0CB4"/>
    <w:rsid w:val="009A0FD1"/>
    <w:rsid w:val="009A172C"/>
    <w:rsid w:val="009A23B2"/>
    <w:rsid w:val="009A2748"/>
    <w:rsid w:val="009A2B68"/>
    <w:rsid w:val="009A447A"/>
    <w:rsid w:val="009A54A8"/>
    <w:rsid w:val="009A54BB"/>
    <w:rsid w:val="009A5A3D"/>
    <w:rsid w:val="009A5B23"/>
    <w:rsid w:val="009A5BF3"/>
    <w:rsid w:val="009A646B"/>
    <w:rsid w:val="009A6611"/>
    <w:rsid w:val="009A7AF5"/>
    <w:rsid w:val="009A7C60"/>
    <w:rsid w:val="009B0660"/>
    <w:rsid w:val="009B0B07"/>
    <w:rsid w:val="009B209B"/>
    <w:rsid w:val="009B2A29"/>
    <w:rsid w:val="009B2A7F"/>
    <w:rsid w:val="009B2C4A"/>
    <w:rsid w:val="009B3FED"/>
    <w:rsid w:val="009B4B74"/>
    <w:rsid w:val="009B5DF3"/>
    <w:rsid w:val="009B63B7"/>
    <w:rsid w:val="009B7601"/>
    <w:rsid w:val="009B7613"/>
    <w:rsid w:val="009B7F4D"/>
    <w:rsid w:val="009C0219"/>
    <w:rsid w:val="009C03FC"/>
    <w:rsid w:val="009C0D76"/>
    <w:rsid w:val="009C0F86"/>
    <w:rsid w:val="009C1B48"/>
    <w:rsid w:val="009C1BD9"/>
    <w:rsid w:val="009C4007"/>
    <w:rsid w:val="009C5AAA"/>
    <w:rsid w:val="009C5C59"/>
    <w:rsid w:val="009C63A6"/>
    <w:rsid w:val="009C664E"/>
    <w:rsid w:val="009C7017"/>
    <w:rsid w:val="009C7221"/>
    <w:rsid w:val="009C737D"/>
    <w:rsid w:val="009C789A"/>
    <w:rsid w:val="009D1C59"/>
    <w:rsid w:val="009D215D"/>
    <w:rsid w:val="009D3459"/>
    <w:rsid w:val="009D4534"/>
    <w:rsid w:val="009D45E2"/>
    <w:rsid w:val="009D5201"/>
    <w:rsid w:val="009D5869"/>
    <w:rsid w:val="009E0403"/>
    <w:rsid w:val="009E0C2B"/>
    <w:rsid w:val="009E1BA6"/>
    <w:rsid w:val="009E28B2"/>
    <w:rsid w:val="009E2C27"/>
    <w:rsid w:val="009E39C2"/>
    <w:rsid w:val="009E3EF3"/>
    <w:rsid w:val="009E4011"/>
    <w:rsid w:val="009E43F9"/>
    <w:rsid w:val="009E53D9"/>
    <w:rsid w:val="009E57F2"/>
    <w:rsid w:val="009E721D"/>
    <w:rsid w:val="009E74E2"/>
    <w:rsid w:val="009F1540"/>
    <w:rsid w:val="009F1AE0"/>
    <w:rsid w:val="009F1BFC"/>
    <w:rsid w:val="009F24FC"/>
    <w:rsid w:val="009F344B"/>
    <w:rsid w:val="009F5FEF"/>
    <w:rsid w:val="009F653C"/>
    <w:rsid w:val="009F72DA"/>
    <w:rsid w:val="009F7CFD"/>
    <w:rsid w:val="00A002C8"/>
    <w:rsid w:val="00A00850"/>
    <w:rsid w:val="00A014F4"/>
    <w:rsid w:val="00A02F05"/>
    <w:rsid w:val="00A0347A"/>
    <w:rsid w:val="00A03699"/>
    <w:rsid w:val="00A03DF0"/>
    <w:rsid w:val="00A03ED7"/>
    <w:rsid w:val="00A0418B"/>
    <w:rsid w:val="00A04297"/>
    <w:rsid w:val="00A04A6D"/>
    <w:rsid w:val="00A0551C"/>
    <w:rsid w:val="00A06DE1"/>
    <w:rsid w:val="00A1109F"/>
    <w:rsid w:val="00A11C3E"/>
    <w:rsid w:val="00A139BB"/>
    <w:rsid w:val="00A13C01"/>
    <w:rsid w:val="00A14D2D"/>
    <w:rsid w:val="00A15B7D"/>
    <w:rsid w:val="00A16192"/>
    <w:rsid w:val="00A16862"/>
    <w:rsid w:val="00A176C2"/>
    <w:rsid w:val="00A203A4"/>
    <w:rsid w:val="00A21332"/>
    <w:rsid w:val="00A22F73"/>
    <w:rsid w:val="00A230D7"/>
    <w:rsid w:val="00A23555"/>
    <w:rsid w:val="00A23CE8"/>
    <w:rsid w:val="00A2488F"/>
    <w:rsid w:val="00A24CC4"/>
    <w:rsid w:val="00A24F9B"/>
    <w:rsid w:val="00A25329"/>
    <w:rsid w:val="00A265C9"/>
    <w:rsid w:val="00A26922"/>
    <w:rsid w:val="00A3019F"/>
    <w:rsid w:val="00A303B6"/>
    <w:rsid w:val="00A308BA"/>
    <w:rsid w:val="00A30A4A"/>
    <w:rsid w:val="00A31764"/>
    <w:rsid w:val="00A32253"/>
    <w:rsid w:val="00A326B4"/>
    <w:rsid w:val="00A32EA8"/>
    <w:rsid w:val="00A33595"/>
    <w:rsid w:val="00A33F93"/>
    <w:rsid w:val="00A348B5"/>
    <w:rsid w:val="00A35688"/>
    <w:rsid w:val="00A36BB8"/>
    <w:rsid w:val="00A3765D"/>
    <w:rsid w:val="00A405C5"/>
    <w:rsid w:val="00A406E6"/>
    <w:rsid w:val="00A412E8"/>
    <w:rsid w:val="00A430E6"/>
    <w:rsid w:val="00A43AD4"/>
    <w:rsid w:val="00A443B7"/>
    <w:rsid w:val="00A445CF"/>
    <w:rsid w:val="00A44C99"/>
    <w:rsid w:val="00A45121"/>
    <w:rsid w:val="00A45657"/>
    <w:rsid w:val="00A50C3C"/>
    <w:rsid w:val="00A50D72"/>
    <w:rsid w:val="00A50F48"/>
    <w:rsid w:val="00A50F81"/>
    <w:rsid w:val="00A521A6"/>
    <w:rsid w:val="00A52BB3"/>
    <w:rsid w:val="00A53D32"/>
    <w:rsid w:val="00A5401F"/>
    <w:rsid w:val="00A54026"/>
    <w:rsid w:val="00A54974"/>
    <w:rsid w:val="00A55261"/>
    <w:rsid w:val="00A555E0"/>
    <w:rsid w:val="00A5588F"/>
    <w:rsid w:val="00A55ECE"/>
    <w:rsid w:val="00A570F8"/>
    <w:rsid w:val="00A57A22"/>
    <w:rsid w:val="00A57C96"/>
    <w:rsid w:val="00A602BC"/>
    <w:rsid w:val="00A604C2"/>
    <w:rsid w:val="00A61497"/>
    <w:rsid w:val="00A618E5"/>
    <w:rsid w:val="00A620BC"/>
    <w:rsid w:val="00A62296"/>
    <w:rsid w:val="00A62E43"/>
    <w:rsid w:val="00A631B8"/>
    <w:rsid w:val="00A63443"/>
    <w:rsid w:val="00A637F0"/>
    <w:rsid w:val="00A66310"/>
    <w:rsid w:val="00A66B6C"/>
    <w:rsid w:val="00A66FEE"/>
    <w:rsid w:val="00A6757D"/>
    <w:rsid w:val="00A71118"/>
    <w:rsid w:val="00A71E39"/>
    <w:rsid w:val="00A72492"/>
    <w:rsid w:val="00A736DE"/>
    <w:rsid w:val="00A73DD0"/>
    <w:rsid w:val="00A74E52"/>
    <w:rsid w:val="00A758CE"/>
    <w:rsid w:val="00A760D7"/>
    <w:rsid w:val="00A766AD"/>
    <w:rsid w:val="00A76CB1"/>
    <w:rsid w:val="00A77234"/>
    <w:rsid w:val="00A827D7"/>
    <w:rsid w:val="00A837DD"/>
    <w:rsid w:val="00A84E8A"/>
    <w:rsid w:val="00A85AE3"/>
    <w:rsid w:val="00A85E8B"/>
    <w:rsid w:val="00A86173"/>
    <w:rsid w:val="00A86252"/>
    <w:rsid w:val="00A86C68"/>
    <w:rsid w:val="00A909B4"/>
    <w:rsid w:val="00A9104B"/>
    <w:rsid w:val="00A914BC"/>
    <w:rsid w:val="00A91A9D"/>
    <w:rsid w:val="00A91DA1"/>
    <w:rsid w:val="00A921FD"/>
    <w:rsid w:val="00A92C13"/>
    <w:rsid w:val="00A930AA"/>
    <w:rsid w:val="00A93439"/>
    <w:rsid w:val="00A93ED7"/>
    <w:rsid w:val="00A94352"/>
    <w:rsid w:val="00A9460E"/>
    <w:rsid w:val="00A9630B"/>
    <w:rsid w:val="00A96D60"/>
    <w:rsid w:val="00A96E4B"/>
    <w:rsid w:val="00A97DA2"/>
    <w:rsid w:val="00AA060E"/>
    <w:rsid w:val="00AA0F7A"/>
    <w:rsid w:val="00AA3249"/>
    <w:rsid w:val="00AA3B26"/>
    <w:rsid w:val="00AA3F29"/>
    <w:rsid w:val="00AA747B"/>
    <w:rsid w:val="00AA77F1"/>
    <w:rsid w:val="00AA7998"/>
    <w:rsid w:val="00AB09AC"/>
    <w:rsid w:val="00AB0CD5"/>
    <w:rsid w:val="00AB0ECB"/>
    <w:rsid w:val="00AB1E68"/>
    <w:rsid w:val="00AB20CB"/>
    <w:rsid w:val="00AB22E5"/>
    <w:rsid w:val="00AB38C5"/>
    <w:rsid w:val="00AB3A35"/>
    <w:rsid w:val="00AB48C7"/>
    <w:rsid w:val="00AB4E0E"/>
    <w:rsid w:val="00AB542F"/>
    <w:rsid w:val="00AB5CBB"/>
    <w:rsid w:val="00AB712C"/>
    <w:rsid w:val="00AB7DF6"/>
    <w:rsid w:val="00AC0421"/>
    <w:rsid w:val="00AC2528"/>
    <w:rsid w:val="00AC33EB"/>
    <w:rsid w:val="00AC3C1B"/>
    <w:rsid w:val="00AC3C5C"/>
    <w:rsid w:val="00AC3F9A"/>
    <w:rsid w:val="00AC4CD3"/>
    <w:rsid w:val="00AC562D"/>
    <w:rsid w:val="00AC5CA8"/>
    <w:rsid w:val="00AC618B"/>
    <w:rsid w:val="00AC6853"/>
    <w:rsid w:val="00AC7335"/>
    <w:rsid w:val="00AD0043"/>
    <w:rsid w:val="00AD01D9"/>
    <w:rsid w:val="00AD038D"/>
    <w:rsid w:val="00AD080B"/>
    <w:rsid w:val="00AD124A"/>
    <w:rsid w:val="00AD1E93"/>
    <w:rsid w:val="00AD39C7"/>
    <w:rsid w:val="00AD4E4E"/>
    <w:rsid w:val="00AD5D8D"/>
    <w:rsid w:val="00AD623B"/>
    <w:rsid w:val="00AD632F"/>
    <w:rsid w:val="00AD7268"/>
    <w:rsid w:val="00AD72C6"/>
    <w:rsid w:val="00AD74B0"/>
    <w:rsid w:val="00AE0175"/>
    <w:rsid w:val="00AE01DC"/>
    <w:rsid w:val="00AE03E0"/>
    <w:rsid w:val="00AE06B2"/>
    <w:rsid w:val="00AE2A42"/>
    <w:rsid w:val="00AE2FDA"/>
    <w:rsid w:val="00AE3787"/>
    <w:rsid w:val="00AE393E"/>
    <w:rsid w:val="00AE39CB"/>
    <w:rsid w:val="00AE3BF7"/>
    <w:rsid w:val="00AE434D"/>
    <w:rsid w:val="00AE4353"/>
    <w:rsid w:val="00AE4712"/>
    <w:rsid w:val="00AE5C59"/>
    <w:rsid w:val="00AE5D41"/>
    <w:rsid w:val="00AE73A8"/>
    <w:rsid w:val="00AE7587"/>
    <w:rsid w:val="00AF01D8"/>
    <w:rsid w:val="00AF07F6"/>
    <w:rsid w:val="00AF17E6"/>
    <w:rsid w:val="00AF1F42"/>
    <w:rsid w:val="00AF2FA4"/>
    <w:rsid w:val="00AF3222"/>
    <w:rsid w:val="00AF3797"/>
    <w:rsid w:val="00AF4003"/>
    <w:rsid w:val="00AF57A5"/>
    <w:rsid w:val="00AF6494"/>
    <w:rsid w:val="00B00BE0"/>
    <w:rsid w:val="00B01862"/>
    <w:rsid w:val="00B02616"/>
    <w:rsid w:val="00B03F4F"/>
    <w:rsid w:val="00B04112"/>
    <w:rsid w:val="00B045AE"/>
    <w:rsid w:val="00B049B6"/>
    <w:rsid w:val="00B05DD1"/>
    <w:rsid w:val="00B07436"/>
    <w:rsid w:val="00B07A5A"/>
    <w:rsid w:val="00B07A79"/>
    <w:rsid w:val="00B07F73"/>
    <w:rsid w:val="00B1073B"/>
    <w:rsid w:val="00B109F9"/>
    <w:rsid w:val="00B10E78"/>
    <w:rsid w:val="00B10F39"/>
    <w:rsid w:val="00B11551"/>
    <w:rsid w:val="00B115DA"/>
    <w:rsid w:val="00B11DEA"/>
    <w:rsid w:val="00B12BF5"/>
    <w:rsid w:val="00B12ECA"/>
    <w:rsid w:val="00B13194"/>
    <w:rsid w:val="00B1391F"/>
    <w:rsid w:val="00B13D75"/>
    <w:rsid w:val="00B14DF9"/>
    <w:rsid w:val="00B15463"/>
    <w:rsid w:val="00B174D9"/>
    <w:rsid w:val="00B178EB"/>
    <w:rsid w:val="00B17DEA"/>
    <w:rsid w:val="00B202F2"/>
    <w:rsid w:val="00B2054A"/>
    <w:rsid w:val="00B207F9"/>
    <w:rsid w:val="00B2090D"/>
    <w:rsid w:val="00B21685"/>
    <w:rsid w:val="00B2244C"/>
    <w:rsid w:val="00B231C4"/>
    <w:rsid w:val="00B23B8A"/>
    <w:rsid w:val="00B24DA9"/>
    <w:rsid w:val="00B254A4"/>
    <w:rsid w:val="00B263E7"/>
    <w:rsid w:val="00B26D5F"/>
    <w:rsid w:val="00B27506"/>
    <w:rsid w:val="00B30078"/>
    <w:rsid w:val="00B30FDE"/>
    <w:rsid w:val="00B3156C"/>
    <w:rsid w:val="00B326DA"/>
    <w:rsid w:val="00B3280F"/>
    <w:rsid w:val="00B343C6"/>
    <w:rsid w:val="00B36C60"/>
    <w:rsid w:val="00B36DDD"/>
    <w:rsid w:val="00B4029B"/>
    <w:rsid w:val="00B403BB"/>
    <w:rsid w:val="00B40A45"/>
    <w:rsid w:val="00B41495"/>
    <w:rsid w:val="00B421FA"/>
    <w:rsid w:val="00B43A40"/>
    <w:rsid w:val="00B4429A"/>
    <w:rsid w:val="00B448BB"/>
    <w:rsid w:val="00B44C11"/>
    <w:rsid w:val="00B44EFE"/>
    <w:rsid w:val="00B44F1E"/>
    <w:rsid w:val="00B452C2"/>
    <w:rsid w:val="00B457AE"/>
    <w:rsid w:val="00B4616C"/>
    <w:rsid w:val="00B46549"/>
    <w:rsid w:val="00B4696C"/>
    <w:rsid w:val="00B46AF2"/>
    <w:rsid w:val="00B475B5"/>
    <w:rsid w:val="00B47B67"/>
    <w:rsid w:val="00B51B7C"/>
    <w:rsid w:val="00B51BFC"/>
    <w:rsid w:val="00B52970"/>
    <w:rsid w:val="00B53108"/>
    <w:rsid w:val="00B54784"/>
    <w:rsid w:val="00B54ACA"/>
    <w:rsid w:val="00B57B60"/>
    <w:rsid w:val="00B57CBE"/>
    <w:rsid w:val="00B60348"/>
    <w:rsid w:val="00B603F6"/>
    <w:rsid w:val="00B60847"/>
    <w:rsid w:val="00B60997"/>
    <w:rsid w:val="00B61C13"/>
    <w:rsid w:val="00B6228F"/>
    <w:rsid w:val="00B62296"/>
    <w:rsid w:val="00B62688"/>
    <w:rsid w:val="00B6360C"/>
    <w:rsid w:val="00B6415D"/>
    <w:rsid w:val="00B6473A"/>
    <w:rsid w:val="00B64BD0"/>
    <w:rsid w:val="00B65108"/>
    <w:rsid w:val="00B65B71"/>
    <w:rsid w:val="00B66E39"/>
    <w:rsid w:val="00B6704D"/>
    <w:rsid w:val="00B672FC"/>
    <w:rsid w:val="00B679ED"/>
    <w:rsid w:val="00B70531"/>
    <w:rsid w:val="00B70614"/>
    <w:rsid w:val="00B70B97"/>
    <w:rsid w:val="00B71DB4"/>
    <w:rsid w:val="00B72328"/>
    <w:rsid w:val="00B727EE"/>
    <w:rsid w:val="00B72F0E"/>
    <w:rsid w:val="00B73CBF"/>
    <w:rsid w:val="00B74194"/>
    <w:rsid w:val="00B741CD"/>
    <w:rsid w:val="00B74537"/>
    <w:rsid w:val="00B74A16"/>
    <w:rsid w:val="00B754F1"/>
    <w:rsid w:val="00B7583E"/>
    <w:rsid w:val="00B75C25"/>
    <w:rsid w:val="00B8095B"/>
    <w:rsid w:val="00B80B27"/>
    <w:rsid w:val="00B80DD7"/>
    <w:rsid w:val="00B8132E"/>
    <w:rsid w:val="00B815C1"/>
    <w:rsid w:val="00B817F6"/>
    <w:rsid w:val="00B81FEB"/>
    <w:rsid w:val="00B8252A"/>
    <w:rsid w:val="00B82B41"/>
    <w:rsid w:val="00B82CA8"/>
    <w:rsid w:val="00B8362F"/>
    <w:rsid w:val="00B83B04"/>
    <w:rsid w:val="00B84C92"/>
    <w:rsid w:val="00B859FF"/>
    <w:rsid w:val="00B87269"/>
    <w:rsid w:val="00B904BD"/>
    <w:rsid w:val="00B90985"/>
    <w:rsid w:val="00B90DEC"/>
    <w:rsid w:val="00B91D17"/>
    <w:rsid w:val="00B92398"/>
    <w:rsid w:val="00B925ED"/>
    <w:rsid w:val="00B92755"/>
    <w:rsid w:val="00B9284F"/>
    <w:rsid w:val="00B92B1E"/>
    <w:rsid w:val="00B92BA3"/>
    <w:rsid w:val="00B96921"/>
    <w:rsid w:val="00B96D91"/>
    <w:rsid w:val="00BA1F34"/>
    <w:rsid w:val="00BA2B1E"/>
    <w:rsid w:val="00BA36AD"/>
    <w:rsid w:val="00BA37DD"/>
    <w:rsid w:val="00BA47A8"/>
    <w:rsid w:val="00BA4DB1"/>
    <w:rsid w:val="00BA66A3"/>
    <w:rsid w:val="00BA7F1B"/>
    <w:rsid w:val="00BA7F2D"/>
    <w:rsid w:val="00BB0CFE"/>
    <w:rsid w:val="00BB1268"/>
    <w:rsid w:val="00BB2289"/>
    <w:rsid w:val="00BB27D4"/>
    <w:rsid w:val="00BB2BD9"/>
    <w:rsid w:val="00BB2ED2"/>
    <w:rsid w:val="00BB302F"/>
    <w:rsid w:val="00BB425D"/>
    <w:rsid w:val="00BB5010"/>
    <w:rsid w:val="00BB5347"/>
    <w:rsid w:val="00BB539D"/>
    <w:rsid w:val="00BB55C1"/>
    <w:rsid w:val="00BB66F4"/>
    <w:rsid w:val="00BB6944"/>
    <w:rsid w:val="00BB70D9"/>
    <w:rsid w:val="00BB76ED"/>
    <w:rsid w:val="00BB7831"/>
    <w:rsid w:val="00BC0188"/>
    <w:rsid w:val="00BC0B0F"/>
    <w:rsid w:val="00BC1727"/>
    <w:rsid w:val="00BC26C1"/>
    <w:rsid w:val="00BC27B0"/>
    <w:rsid w:val="00BC2E84"/>
    <w:rsid w:val="00BC3A3A"/>
    <w:rsid w:val="00BC46A7"/>
    <w:rsid w:val="00BC4EEB"/>
    <w:rsid w:val="00BC5224"/>
    <w:rsid w:val="00BC5BB2"/>
    <w:rsid w:val="00BC5CAE"/>
    <w:rsid w:val="00BC6493"/>
    <w:rsid w:val="00BC6562"/>
    <w:rsid w:val="00BC68B2"/>
    <w:rsid w:val="00BC76AA"/>
    <w:rsid w:val="00BC7C8D"/>
    <w:rsid w:val="00BD0AB7"/>
    <w:rsid w:val="00BD0F50"/>
    <w:rsid w:val="00BD1ADC"/>
    <w:rsid w:val="00BD1CCE"/>
    <w:rsid w:val="00BD3356"/>
    <w:rsid w:val="00BD336C"/>
    <w:rsid w:val="00BD467F"/>
    <w:rsid w:val="00BD4C77"/>
    <w:rsid w:val="00BD4CB1"/>
    <w:rsid w:val="00BD4E24"/>
    <w:rsid w:val="00BD52CD"/>
    <w:rsid w:val="00BD6C72"/>
    <w:rsid w:val="00BD7A6C"/>
    <w:rsid w:val="00BE0B04"/>
    <w:rsid w:val="00BE0EB4"/>
    <w:rsid w:val="00BE18AE"/>
    <w:rsid w:val="00BE2486"/>
    <w:rsid w:val="00BE2A3F"/>
    <w:rsid w:val="00BE2D44"/>
    <w:rsid w:val="00BE2E9D"/>
    <w:rsid w:val="00BE31E4"/>
    <w:rsid w:val="00BE3348"/>
    <w:rsid w:val="00BE421D"/>
    <w:rsid w:val="00BE449F"/>
    <w:rsid w:val="00BE4FE4"/>
    <w:rsid w:val="00BE510E"/>
    <w:rsid w:val="00BE5120"/>
    <w:rsid w:val="00BE513C"/>
    <w:rsid w:val="00BE5515"/>
    <w:rsid w:val="00BE74E9"/>
    <w:rsid w:val="00BF011A"/>
    <w:rsid w:val="00BF0175"/>
    <w:rsid w:val="00BF1018"/>
    <w:rsid w:val="00BF1223"/>
    <w:rsid w:val="00BF2232"/>
    <w:rsid w:val="00BF2C9D"/>
    <w:rsid w:val="00BF30F0"/>
    <w:rsid w:val="00BF3268"/>
    <w:rsid w:val="00BF3794"/>
    <w:rsid w:val="00BF3B10"/>
    <w:rsid w:val="00BF3C94"/>
    <w:rsid w:val="00BF4F0E"/>
    <w:rsid w:val="00BF556A"/>
    <w:rsid w:val="00BF5DD1"/>
    <w:rsid w:val="00BF6CBA"/>
    <w:rsid w:val="00BF6CD2"/>
    <w:rsid w:val="00C0013B"/>
    <w:rsid w:val="00C007FF"/>
    <w:rsid w:val="00C00D4B"/>
    <w:rsid w:val="00C017CD"/>
    <w:rsid w:val="00C01EBD"/>
    <w:rsid w:val="00C02332"/>
    <w:rsid w:val="00C0275C"/>
    <w:rsid w:val="00C03FF5"/>
    <w:rsid w:val="00C046DB"/>
    <w:rsid w:val="00C0571A"/>
    <w:rsid w:val="00C059BA"/>
    <w:rsid w:val="00C06041"/>
    <w:rsid w:val="00C063E4"/>
    <w:rsid w:val="00C07093"/>
    <w:rsid w:val="00C074BE"/>
    <w:rsid w:val="00C0786B"/>
    <w:rsid w:val="00C103DA"/>
    <w:rsid w:val="00C10D8F"/>
    <w:rsid w:val="00C10E34"/>
    <w:rsid w:val="00C11008"/>
    <w:rsid w:val="00C11597"/>
    <w:rsid w:val="00C12C87"/>
    <w:rsid w:val="00C13010"/>
    <w:rsid w:val="00C141ED"/>
    <w:rsid w:val="00C14B1D"/>
    <w:rsid w:val="00C16A2E"/>
    <w:rsid w:val="00C16AB1"/>
    <w:rsid w:val="00C16D01"/>
    <w:rsid w:val="00C173AE"/>
    <w:rsid w:val="00C178E1"/>
    <w:rsid w:val="00C200C2"/>
    <w:rsid w:val="00C203CA"/>
    <w:rsid w:val="00C20948"/>
    <w:rsid w:val="00C222AD"/>
    <w:rsid w:val="00C24DD2"/>
    <w:rsid w:val="00C2505C"/>
    <w:rsid w:val="00C260C9"/>
    <w:rsid w:val="00C263AA"/>
    <w:rsid w:val="00C27236"/>
    <w:rsid w:val="00C275E3"/>
    <w:rsid w:val="00C27D9E"/>
    <w:rsid w:val="00C27DBF"/>
    <w:rsid w:val="00C300CD"/>
    <w:rsid w:val="00C30718"/>
    <w:rsid w:val="00C30A83"/>
    <w:rsid w:val="00C30B3C"/>
    <w:rsid w:val="00C315DA"/>
    <w:rsid w:val="00C31D61"/>
    <w:rsid w:val="00C32053"/>
    <w:rsid w:val="00C320E0"/>
    <w:rsid w:val="00C325CB"/>
    <w:rsid w:val="00C325CC"/>
    <w:rsid w:val="00C328A6"/>
    <w:rsid w:val="00C33C18"/>
    <w:rsid w:val="00C34B01"/>
    <w:rsid w:val="00C35432"/>
    <w:rsid w:val="00C36238"/>
    <w:rsid w:val="00C36385"/>
    <w:rsid w:val="00C375BF"/>
    <w:rsid w:val="00C40B8C"/>
    <w:rsid w:val="00C40C7D"/>
    <w:rsid w:val="00C40EFE"/>
    <w:rsid w:val="00C40FED"/>
    <w:rsid w:val="00C4187C"/>
    <w:rsid w:val="00C420AA"/>
    <w:rsid w:val="00C4229E"/>
    <w:rsid w:val="00C42FDC"/>
    <w:rsid w:val="00C43889"/>
    <w:rsid w:val="00C43B3B"/>
    <w:rsid w:val="00C43C0D"/>
    <w:rsid w:val="00C45AED"/>
    <w:rsid w:val="00C4636B"/>
    <w:rsid w:val="00C466EB"/>
    <w:rsid w:val="00C46CEE"/>
    <w:rsid w:val="00C46F2A"/>
    <w:rsid w:val="00C4768E"/>
    <w:rsid w:val="00C4775B"/>
    <w:rsid w:val="00C4789E"/>
    <w:rsid w:val="00C47C30"/>
    <w:rsid w:val="00C47D5C"/>
    <w:rsid w:val="00C503DB"/>
    <w:rsid w:val="00C50C3D"/>
    <w:rsid w:val="00C529E2"/>
    <w:rsid w:val="00C52B14"/>
    <w:rsid w:val="00C53179"/>
    <w:rsid w:val="00C537B5"/>
    <w:rsid w:val="00C545F2"/>
    <w:rsid w:val="00C54C09"/>
    <w:rsid w:val="00C55661"/>
    <w:rsid w:val="00C55B5D"/>
    <w:rsid w:val="00C55BA5"/>
    <w:rsid w:val="00C564E2"/>
    <w:rsid w:val="00C5657F"/>
    <w:rsid w:val="00C56889"/>
    <w:rsid w:val="00C5698A"/>
    <w:rsid w:val="00C56F54"/>
    <w:rsid w:val="00C61684"/>
    <w:rsid w:val="00C62A87"/>
    <w:rsid w:val="00C641F1"/>
    <w:rsid w:val="00C66469"/>
    <w:rsid w:val="00C66B99"/>
    <w:rsid w:val="00C66C52"/>
    <w:rsid w:val="00C67408"/>
    <w:rsid w:val="00C70DD3"/>
    <w:rsid w:val="00C71C94"/>
    <w:rsid w:val="00C720BA"/>
    <w:rsid w:val="00C726B3"/>
    <w:rsid w:val="00C73756"/>
    <w:rsid w:val="00C73A88"/>
    <w:rsid w:val="00C73AB8"/>
    <w:rsid w:val="00C74CD5"/>
    <w:rsid w:val="00C74D87"/>
    <w:rsid w:val="00C75403"/>
    <w:rsid w:val="00C757A9"/>
    <w:rsid w:val="00C75C50"/>
    <w:rsid w:val="00C75CB3"/>
    <w:rsid w:val="00C7628A"/>
    <w:rsid w:val="00C7644C"/>
    <w:rsid w:val="00C7701A"/>
    <w:rsid w:val="00C80111"/>
    <w:rsid w:val="00C80AF4"/>
    <w:rsid w:val="00C818BA"/>
    <w:rsid w:val="00C81B74"/>
    <w:rsid w:val="00C81C02"/>
    <w:rsid w:val="00C81CB3"/>
    <w:rsid w:val="00C82554"/>
    <w:rsid w:val="00C8356F"/>
    <w:rsid w:val="00C8446A"/>
    <w:rsid w:val="00C845D9"/>
    <w:rsid w:val="00C85008"/>
    <w:rsid w:val="00C850D9"/>
    <w:rsid w:val="00C8625F"/>
    <w:rsid w:val="00C866D8"/>
    <w:rsid w:val="00C87682"/>
    <w:rsid w:val="00C87780"/>
    <w:rsid w:val="00C87D0A"/>
    <w:rsid w:val="00C905FC"/>
    <w:rsid w:val="00C90B09"/>
    <w:rsid w:val="00C91A31"/>
    <w:rsid w:val="00C9277F"/>
    <w:rsid w:val="00C92CB9"/>
    <w:rsid w:val="00C92D0C"/>
    <w:rsid w:val="00C93864"/>
    <w:rsid w:val="00C9408B"/>
    <w:rsid w:val="00C94471"/>
    <w:rsid w:val="00C94D16"/>
    <w:rsid w:val="00C94F46"/>
    <w:rsid w:val="00C958DE"/>
    <w:rsid w:val="00C95D1D"/>
    <w:rsid w:val="00C972BC"/>
    <w:rsid w:val="00CA0406"/>
    <w:rsid w:val="00CA0EA7"/>
    <w:rsid w:val="00CA1DBA"/>
    <w:rsid w:val="00CA24A3"/>
    <w:rsid w:val="00CA2AD9"/>
    <w:rsid w:val="00CA3337"/>
    <w:rsid w:val="00CA3AEB"/>
    <w:rsid w:val="00CA4C44"/>
    <w:rsid w:val="00CA656F"/>
    <w:rsid w:val="00CA67D2"/>
    <w:rsid w:val="00CA6988"/>
    <w:rsid w:val="00CB00E1"/>
    <w:rsid w:val="00CB02EB"/>
    <w:rsid w:val="00CB1860"/>
    <w:rsid w:val="00CB1DD5"/>
    <w:rsid w:val="00CB2B38"/>
    <w:rsid w:val="00CB37E0"/>
    <w:rsid w:val="00CB3924"/>
    <w:rsid w:val="00CB3D78"/>
    <w:rsid w:val="00CB41D6"/>
    <w:rsid w:val="00CB4AA0"/>
    <w:rsid w:val="00CB4AEE"/>
    <w:rsid w:val="00CB4F49"/>
    <w:rsid w:val="00CB504E"/>
    <w:rsid w:val="00CB66E8"/>
    <w:rsid w:val="00CB6B22"/>
    <w:rsid w:val="00CB71B2"/>
    <w:rsid w:val="00CB78AB"/>
    <w:rsid w:val="00CB7CEF"/>
    <w:rsid w:val="00CB7D9F"/>
    <w:rsid w:val="00CC0344"/>
    <w:rsid w:val="00CC0B88"/>
    <w:rsid w:val="00CC13B8"/>
    <w:rsid w:val="00CC1490"/>
    <w:rsid w:val="00CC22CB"/>
    <w:rsid w:val="00CC2361"/>
    <w:rsid w:val="00CC3ED0"/>
    <w:rsid w:val="00CC4453"/>
    <w:rsid w:val="00CC6B7E"/>
    <w:rsid w:val="00CC6DBE"/>
    <w:rsid w:val="00CC6EA9"/>
    <w:rsid w:val="00CC720B"/>
    <w:rsid w:val="00CC7616"/>
    <w:rsid w:val="00CD030E"/>
    <w:rsid w:val="00CD0805"/>
    <w:rsid w:val="00CD189E"/>
    <w:rsid w:val="00CD1BAA"/>
    <w:rsid w:val="00CD2396"/>
    <w:rsid w:val="00CD28D8"/>
    <w:rsid w:val="00CD2A16"/>
    <w:rsid w:val="00CD39D2"/>
    <w:rsid w:val="00CD3A88"/>
    <w:rsid w:val="00CD3CC5"/>
    <w:rsid w:val="00CD3DFA"/>
    <w:rsid w:val="00CD4153"/>
    <w:rsid w:val="00CD5B51"/>
    <w:rsid w:val="00CD5EB9"/>
    <w:rsid w:val="00CD61CC"/>
    <w:rsid w:val="00CD643D"/>
    <w:rsid w:val="00CD7530"/>
    <w:rsid w:val="00CE0EFD"/>
    <w:rsid w:val="00CE16D9"/>
    <w:rsid w:val="00CE1744"/>
    <w:rsid w:val="00CE17DC"/>
    <w:rsid w:val="00CE253C"/>
    <w:rsid w:val="00CE2AD3"/>
    <w:rsid w:val="00CE2BC1"/>
    <w:rsid w:val="00CE301A"/>
    <w:rsid w:val="00CE3A46"/>
    <w:rsid w:val="00CE4459"/>
    <w:rsid w:val="00CE45C3"/>
    <w:rsid w:val="00CE6C73"/>
    <w:rsid w:val="00CE6CC5"/>
    <w:rsid w:val="00CE7CF8"/>
    <w:rsid w:val="00CF1043"/>
    <w:rsid w:val="00CF1AD4"/>
    <w:rsid w:val="00CF2101"/>
    <w:rsid w:val="00CF245A"/>
    <w:rsid w:val="00CF3222"/>
    <w:rsid w:val="00CF3969"/>
    <w:rsid w:val="00CF41EE"/>
    <w:rsid w:val="00CF4C1D"/>
    <w:rsid w:val="00CF4F87"/>
    <w:rsid w:val="00CF520F"/>
    <w:rsid w:val="00CF546F"/>
    <w:rsid w:val="00CF604E"/>
    <w:rsid w:val="00CF6FE4"/>
    <w:rsid w:val="00D00997"/>
    <w:rsid w:val="00D00AAC"/>
    <w:rsid w:val="00D012AD"/>
    <w:rsid w:val="00D01DA0"/>
    <w:rsid w:val="00D02009"/>
    <w:rsid w:val="00D02F4E"/>
    <w:rsid w:val="00D0474F"/>
    <w:rsid w:val="00D0500F"/>
    <w:rsid w:val="00D05DA6"/>
    <w:rsid w:val="00D061C0"/>
    <w:rsid w:val="00D06315"/>
    <w:rsid w:val="00D06BA4"/>
    <w:rsid w:val="00D06D2F"/>
    <w:rsid w:val="00D06F56"/>
    <w:rsid w:val="00D07285"/>
    <w:rsid w:val="00D0779E"/>
    <w:rsid w:val="00D07A1D"/>
    <w:rsid w:val="00D10491"/>
    <w:rsid w:val="00D104F1"/>
    <w:rsid w:val="00D123AD"/>
    <w:rsid w:val="00D135E7"/>
    <w:rsid w:val="00D13813"/>
    <w:rsid w:val="00D13D5F"/>
    <w:rsid w:val="00D14BCE"/>
    <w:rsid w:val="00D15184"/>
    <w:rsid w:val="00D165A7"/>
    <w:rsid w:val="00D17DB9"/>
    <w:rsid w:val="00D206A2"/>
    <w:rsid w:val="00D20CA2"/>
    <w:rsid w:val="00D2109D"/>
    <w:rsid w:val="00D21494"/>
    <w:rsid w:val="00D217C2"/>
    <w:rsid w:val="00D21E32"/>
    <w:rsid w:val="00D2266A"/>
    <w:rsid w:val="00D25069"/>
    <w:rsid w:val="00D26548"/>
    <w:rsid w:val="00D3032F"/>
    <w:rsid w:val="00D3044F"/>
    <w:rsid w:val="00D31785"/>
    <w:rsid w:val="00D328F3"/>
    <w:rsid w:val="00D33046"/>
    <w:rsid w:val="00D331F2"/>
    <w:rsid w:val="00D33454"/>
    <w:rsid w:val="00D342FC"/>
    <w:rsid w:val="00D348C5"/>
    <w:rsid w:val="00D34A25"/>
    <w:rsid w:val="00D351BA"/>
    <w:rsid w:val="00D358B9"/>
    <w:rsid w:val="00D359F8"/>
    <w:rsid w:val="00D367C2"/>
    <w:rsid w:val="00D36B42"/>
    <w:rsid w:val="00D36BDF"/>
    <w:rsid w:val="00D40787"/>
    <w:rsid w:val="00D408F5"/>
    <w:rsid w:val="00D40C56"/>
    <w:rsid w:val="00D4161E"/>
    <w:rsid w:val="00D41635"/>
    <w:rsid w:val="00D4176A"/>
    <w:rsid w:val="00D41DDC"/>
    <w:rsid w:val="00D420D0"/>
    <w:rsid w:val="00D42AC9"/>
    <w:rsid w:val="00D4411E"/>
    <w:rsid w:val="00D443B0"/>
    <w:rsid w:val="00D448C9"/>
    <w:rsid w:val="00D44A7B"/>
    <w:rsid w:val="00D45196"/>
    <w:rsid w:val="00D45F7D"/>
    <w:rsid w:val="00D4745F"/>
    <w:rsid w:val="00D47724"/>
    <w:rsid w:val="00D523FF"/>
    <w:rsid w:val="00D53245"/>
    <w:rsid w:val="00D5344D"/>
    <w:rsid w:val="00D53E66"/>
    <w:rsid w:val="00D54082"/>
    <w:rsid w:val="00D54A48"/>
    <w:rsid w:val="00D54F43"/>
    <w:rsid w:val="00D56AD8"/>
    <w:rsid w:val="00D61656"/>
    <w:rsid w:val="00D633C6"/>
    <w:rsid w:val="00D63B56"/>
    <w:rsid w:val="00D63B6F"/>
    <w:rsid w:val="00D64187"/>
    <w:rsid w:val="00D648B6"/>
    <w:rsid w:val="00D64F7A"/>
    <w:rsid w:val="00D66124"/>
    <w:rsid w:val="00D66339"/>
    <w:rsid w:val="00D66408"/>
    <w:rsid w:val="00D66DF0"/>
    <w:rsid w:val="00D70E6D"/>
    <w:rsid w:val="00D71699"/>
    <w:rsid w:val="00D7195D"/>
    <w:rsid w:val="00D72BEA"/>
    <w:rsid w:val="00D73FBF"/>
    <w:rsid w:val="00D74585"/>
    <w:rsid w:val="00D74E32"/>
    <w:rsid w:val="00D75044"/>
    <w:rsid w:val="00D752BD"/>
    <w:rsid w:val="00D765DA"/>
    <w:rsid w:val="00D76E84"/>
    <w:rsid w:val="00D771F4"/>
    <w:rsid w:val="00D77E84"/>
    <w:rsid w:val="00D80749"/>
    <w:rsid w:val="00D81579"/>
    <w:rsid w:val="00D81707"/>
    <w:rsid w:val="00D82638"/>
    <w:rsid w:val="00D82EE4"/>
    <w:rsid w:val="00D83084"/>
    <w:rsid w:val="00D83213"/>
    <w:rsid w:val="00D83758"/>
    <w:rsid w:val="00D84270"/>
    <w:rsid w:val="00D85423"/>
    <w:rsid w:val="00D85A08"/>
    <w:rsid w:val="00D85D76"/>
    <w:rsid w:val="00D907AF"/>
    <w:rsid w:val="00D91128"/>
    <w:rsid w:val="00D91611"/>
    <w:rsid w:val="00D935D5"/>
    <w:rsid w:val="00D93802"/>
    <w:rsid w:val="00D93C20"/>
    <w:rsid w:val="00D94232"/>
    <w:rsid w:val="00D94911"/>
    <w:rsid w:val="00D955C0"/>
    <w:rsid w:val="00D957A2"/>
    <w:rsid w:val="00D9586A"/>
    <w:rsid w:val="00D95F72"/>
    <w:rsid w:val="00D9647B"/>
    <w:rsid w:val="00D967D0"/>
    <w:rsid w:val="00DA02B9"/>
    <w:rsid w:val="00DA2724"/>
    <w:rsid w:val="00DA3642"/>
    <w:rsid w:val="00DA38FE"/>
    <w:rsid w:val="00DA39B5"/>
    <w:rsid w:val="00DA4708"/>
    <w:rsid w:val="00DA4C8E"/>
    <w:rsid w:val="00DA4F7E"/>
    <w:rsid w:val="00DA5109"/>
    <w:rsid w:val="00DA59D7"/>
    <w:rsid w:val="00DA61DD"/>
    <w:rsid w:val="00DA7040"/>
    <w:rsid w:val="00DA79DA"/>
    <w:rsid w:val="00DA7DBA"/>
    <w:rsid w:val="00DB0A0D"/>
    <w:rsid w:val="00DB0CF3"/>
    <w:rsid w:val="00DB0E1D"/>
    <w:rsid w:val="00DB3B60"/>
    <w:rsid w:val="00DB3ED5"/>
    <w:rsid w:val="00DB4383"/>
    <w:rsid w:val="00DB44CC"/>
    <w:rsid w:val="00DB4AD4"/>
    <w:rsid w:val="00DB4BB0"/>
    <w:rsid w:val="00DB5097"/>
    <w:rsid w:val="00DB5BCD"/>
    <w:rsid w:val="00DB5FAA"/>
    <w:rsid w:val="00DB6709"/>
    <w:rsid w:val="00DB7D41"/>
    <w:rsid w:val="00DC0D6B"/>
    <w:rsid w:val="00DC138C"/>
    <w:rsid w:val="00DC2972"/>
    <w:rsid w:val="00DC311F"/>
    <w:rsid w:val="00DC35FD"/>
    <w:rsid w:val="00DC39E1"/>
    <w:rsid w:val="00DC49CD"/>
    <w:rsid w:val="00DC58CC"/>
    <w:rsid w:val="00DC637E"/>
    <w:rsid w:val="00DC67BD"/>
    <w:rsid w:val="00DC73ED"/>
    <w:rsid w:val="00DC79B7"/>
    <w:rsid w:val="00DC7D71"/>
    <w:rsid w:val="00DD04EF"/>
    <w:rsid w:val="00DD0A22"/>
    <w:rsid w:val="00DD0AE8"/>
    <w:rsid w:val="00DD11CE"/>
    <w:rsid w:val="00DD1530"/>
    <w:rsid w:val="00DD1914"/>
    <w:rsid w:val="00DD299D"/>
    <w:rsid w:val="00DD3E94"/>
    <w:rsid w:val="00DD3F9A"/>
    <w:rsid w:val="00DD4E26"/>
    <w:rsid w:val="00DD5216"/>
    <w:rsid w:val="00DD6754"/>
    <w:rsid w:val="00DD7132"/>
    <w:rsid w:val="00DD7D0F"/>
    <w:rsid w:val="00DE0CFD"/>
    <w:rsid w:val="00DE1F51"/>
    <w:rsid w:val="00DE37E1"/>
    <w:rsid w:val="00DE4827"/>
    <w:rsid w:val="00DE5022"/>
    <w:rsid w:val="00DE56CC"/>
    <w:rsid w:val="00DE682E"/>
    <w:rsid w:val="00DE764D"/>
    <w:rsid w:val="00DF06D4"/>
    <w:rsid w:val="00DF1B80"/>
    <w:rsid w:val="00DF3EF1"/>
    <w:rsid w:val="00DF499B"/>
    <w:rsid w:val="00DF4FE7"/>
    <w:rsid w:val="00DF5982"/>
    <w:rsid w:val="00DF59B1"/>
    <w:rsid w:val="00DF637C"/>
    <w:rsid w:val="00DF6393"/>
    <w:rsid w:val="00DF6628"/>
    <w:rsid w:val="00DF6DA9"/>
    <w:rsid w:val="00DF7AA3"/>
    <w:rsid w:val="00E0199A"/>
    <w:rsid w:val="00E01CF7"/>
    <w:rsid w:val="00E02514"/>
    <w:rsid w:val="00E03200"/>
    <w:rsid w:val="00E03532"/>
    <w:rsid w:val="00E03AB6"/>
    <w:rsid w:val="00E0487D"/>
    <w:rsid w:val="00E04D04"/>
    <w:rsid w:val="00E050F1"/>
    <w:rsid w:val="00E051B5"/>
    <w:rsid w:val="00E05715"/>
    <w:rsid w:val="00E07522"/>
    <w:rsid w:val="00E079AB"/>
    <w:rsid w:val="00E07EB6"/>
    <w:rsid w:val="00E11884"/>
    <w:rsid w:val="00E1190A"/>
    <w:rsid w:val="00E11BB4"/>
    <w:rsid w:val="00E11CA8"/>
    <w:rsid w:val="00E123EB"/>
    <w:rsid w:val="00E1259F"/>
    <w:rsid w:val="00E12934"/>
    <w:rsid w:val="00E12979"/>
    <w:rsid w:val="00E13517"/>
    <w:rsid w:val="00E139D2"/>
    <w:rsid w:val="00E14285"/>
    <w:rsid w:val="00E14459"/>
    <w:rsid w:val="00E14484"/>
    <w:rsid w:val="00E14BEB"/>
    <w:rsid w:val="00E153BD"/>
    <w:rsid w:val="00E15A6A"/>
    <w:rsid w:val="00E15B67"/>
    <w:rsid w:val="00E17AD1"/>
    <w:rsid w:val="00E17CD6"/>
    <w:rsid w:val="00E17D2E"/>
    <w:rsid w:val="00E21A6B"/>
    <w:rsid w:val="00E21E01"/>
    <w:rsid w:val="00E22654"/>
    <w:rsid w:val="00E22713"/>
    <w:rsid w:val="00E22B4B"/>
    <w:rsid w:val="00E237BB"/>
    <w:rsid w:val="00E237C7"/>
    <w:rsid w:val="00E24636"/>
    <w:rsid w:val="00E24FB9"/>
    <w:rsid w:val="00E25469"/>
    <w:rsid w:val="00E25714"/>
    <w:rsid w:val="00E262D5"/>
    <w:rsid w:val="00E270B8"/>
    <w:rsid w:val="00E2748B"/>
    <w:rsid w:val="00E277D9"/>
    <w:rsid w:val="00E27B2A"/>
    <w:rsid w:val="00E27D62"/>
    <w:rsid w:val="00E30370"/>
    <w:rsid w:val="00E306EE"/>
    <w:rsid w:val="00E30762"/>
    <w:rsid w:val="00E30A36"/>
    <w:rsid w:val="00E31C7D"/>
    <w:rsid w:val="00E3218C"/>
    <w:rsid w:val="00E327F6"/>
    <w:rsid w:val="00E3343B"/>
    <w:rsid w:val="00E33752"/>
    <w:rsid w:val="00E33C88"/>
    <w:rsid w:val="00E34925"/>
    <w:rsid w:val="00E353CF"/>
    <w:rsid w:val="00E35D89"/>
    <w:rsid w:val="00E37143"/>
    <w:rsid w:val="00E372F1"/>
    <w:rsid w:val="00E3758A"/>
    <w:rsid w:val="00E377E5"/>
    <w:rsid w:val="00E41AC9"/>
    <w:rsid w:val="00E41F16"/>
    <w:rsid w:val="00E42FEB"/>
    <w:rsid w:val="00E4355B"/>
    <w:rsid w:val="00E44E9D"/>
    <w:rsid w:val="00E45A5B"/>
    <w:rsid w:val="00E45F33"/>
    <w:rsid w:val="00E4649A"/>
    <w:rsid w:val="00E46774"/>
    <w:rsid w:val="00E47DE5"/>
    <w:rsid w:val="00E5021E"/>
    <w:rsid w:val="00E50B56"/>
    <w:rsid w:val="00E50E1B"/>
    <w:rsid w:val="00E5187F"/>
    <w:rsid w:val="00E5320B"/>
    <w:rsid w:val="00E55D60"/>
    <w:rsid w:val="00E56BDA"/>
    <w:rsid w:val="00E56E70"/>
    <w:rsid w:val="00E57010"/>
    <w:rsid w:val="00E60089"/>
    <w:rsid w:val="00E60320"/>
    <w:rsid w:val="00E60B07"/>
    <w:rsid w:val="00E61B81"/>
    <w:rsid w:val="00E62151"/>
    <w:rsid w:val="00E63573"/>
    <w:rsid w:val="00E6381F"/>
    <w:rsid w:val="00E6383D"/>
    <w:rsid w:val="00E63952"/>
    <w:rsid w:val="00E63BA7"/>
    <w:rsid w:val="00E63DE3"/>
    <w:rsid w:val="00E63E40"/>
    <w:rsid w:val="00E643BD"/>
    <w:rsid w:val="00E6478B"/>
    <w:rsid w:val="00E65994"/>
    <w:rsid w:val="00E6623D"/>
    <w:rsid w:val="00E6626C"/>
    <w:rsid w:val="00E6787D"/>
    <w:rsid w:val="00E707A1"/>
    <w:rsid w:val="00E70CEC"/>
    <w:rsid w:val="00E71D76"/>
    <w:rsid w:val="00E71EF4"/>
    <w:rsid w:val="00E728C5"/>
    <w:rsid w:val="00E73A3C"/>
    <w:rsid w:val="00E73AB5"/>
    <w:rsid w:val="00E74276"/>
    <w:rsid w:val="00E75493"/>
    <w:rsid w:val="00E756BE"/>
    <w:rsid w:val="00E769E8"/>
    <w:rsid w:val="00E76A48"/>
    <w:rsid w:val="00E772B7"/>
    <w:rsid w:val="00E774D6"/>
    <w:rsid w:val="00E77B6B"/>
    <w:rsid w:val="00E77DCE"/>
    <w:rsid w:val="00E8025A"/>
    <w:rsid w:val="00E805D4"/>
    <w:rsid w:val="00E81473"/>
    <w:rsid w:val="00E82069"/>
    <w:rsid w:val="00E82179"/>
    <w:rsid w:val="00E825D9"/>
    <w:rsid w:val="00E8304A"/>
    <w:rsid w:val="00E83861"/>
    <w:rsid w:val="00E83A3B"/>
    <w:rsid w:val="00E84015"/>
    <w:rsid w:val="00E84AC1"/>
    <w:rsid w:val="00E84E51"/>
    <w:rsid w:val="00E86121"/>
    <w:rsid w:val="00E865C2"/>
    <w:rsid w:val="00E86F33"/>
    <w:rsid w:val="00E86F4F"/>
    <w:rsid w:val="00E875B9"/>
    <w:rsid w:val="00E876D7"/>
    <w:rsid w:val="00E91DD1"/>
    <w:rsid w:val="00E9240B"/>
    <w:rsid w:val="00E935E3"/>
    <w:rsid w:val="00E94E45"/>
    <w:rsid w:val="00E95877"/>
    <w:rsid w:val="00E9597B"/>
    <w:rsid w:val="00E961C7"/>
    <w:rsid w:val="00E962A4"/>
    <w:rsid w:val="00E963CB"/>
    <w:rsid w:val="00E96B28"/>
    <w:rsid w:val="00E97D25"/>
    <w:rsid w:val="00EA0822"/>
    <w:rsid w:val="00EA094D"/>
    <w:rsid w:val="00EA28FC"/>
    <w:rsid w:val="00EA2DA8"/>
    <w:rsid w:val="00EA3D4A"/>
    <w:rsid w:val="00EA3FB3"/>
    <w:rsid w:val="00EA4AD3"/>
    <w:rsid w:val="00EA54E7"/>
    <w:rsid w:val="00EA612C"/>
    <w:rsid w:val="00EA707D"/>
    <w:rsid w:val="00EA708E"/>
    <w:rsid w:val="00EB0302"/>
    <w:rsid w:val="00EB0345"/>
    <w:rsid w:val="00EB082E"/>
    <w:rsid w:val="00EB0AA8"/>
    <w:rsid w:val="00EB0E6C"/>
    <w:rsid w:val="00EB14F3"/>
    <w:rsid w:val="00EB1F61"/>
    <w:rsid w:val="00EB2333"/>
    <w:rsid w:val="00EB2B0A"/>
    <w:rsid w:val="00EB3105"/>
    <w:rsid w:val="00EB4807"/>
    <w:rsid w:val="00EB4CAF"/>
    <w:rsid w:val="00EB5477"/>
    <w:rsid w:val="00EB77F5"/>
    <w:rsid w:val="00EC01F8"/>
    <w:rsid w:val="00EC07A8"/>
    <w:rsid w:val="00EC0877"/>
    <w:rsid w:val="00EC13BE"/>
    <w:rsid w:val="00EC1C2C"/>
    <w:rsid w:val="00EC353C"/>
    <w:rsid w:val="00EC3F5E"/>
    <w:rsid w:val="00EC4158"/>
    <w:rsid w:val="00EC473F"/>
    <w:rsid w:val="00EC48AB"/>
    <w:rsid w:val="00EC4AE3"/>
    <w:rsid w:val="00EC4E29"/>
    <w:rsid w:val="00EC50BB"/>
    <w:rsid w:val="00EC5461"/>
    <w:rsid w:val="00EC5C97"/>
    <w:rsid w:val="00ED21AE"/>
    <w:rsid w:val="00ED2AAE"/>
    <w:rsid w:val="00ED2FA3"/>
    <w:rsid w:val="00ED33F7"/>
    <w:rsid w:val="00ED3BA7"/>
    <w:rsid w:val="00ED3F15"/>
    <w:rsid w:val="00ED7C2A"/>
    <w:rsid w:val="00ED7CEB"/>
    <w:rsid w:val="00ED7E16"/>
    <w:rsid w:val="00EE0562"/>
    <w:rsid w:val="00EE0752"/>
    <w:rsid w:val="00EE14AD"/>
    <w:rsid w:val="00EE22CF"/>
    <w:rsid w:val="00EE2394"/>
    <w:rsid w:val="00EE2CEE"/>
    <w:rsid w:val="00EE2E92"/>
    <w:rsid w:val="00EE2FF8"/>
    <w:rsid w:val="00EE350F"/>
    <w:rsid w:val="00EE4088"/>
    <w:rsid w:val="00EE4B4C"/>
    <w:rsid w:val="00EE5427"/>
    <w:rsid w:val="00EE5921"/>
    <w:rsid w:val="00EE6116"/>
    <w:rsid w:val="00EE7436"/>
    <w:rsid w:val="00EE786A"/>
    <w:rsid w:val="00EE79E6"/>
    <w:rsid w:val="00EE7AFA"/>
    <w:rsid w:val="00EF03E2"/>
    <w:rsid w:val="00EF12E6"/>
    <w:rsid w:val="00EF2765"/>
    <w:rsid w:val="00EF2F3D"/>
    <w:rsid w:val="00EF30BA"/>
    <w:rsid w:val="00EF40AC"/>
    <w:rsid w:val="00EF4847"/>
    <w:rsid w:val="00EF49CB"/>
    <w:rsid w:val="00EF5AD3"/>
    <w:rsid w:val="00EF6636"/>
    <w:rsid w:val="00EF67A1"/>
    <w:rsid w:val="00EF6FE7"/>
    <w:rsid w:val="00EF7FCC"/>
    <w:rsid w:val="00F00E78"/>
    <w:rsid w:val="00F01301"/>
    <w:rsid w:val="00F016A7"/>
    <w:rsid w:val="00F018BF"/>
    <w:rsid w:val="00F020FC"/>
    <w:rsid w:val="00F0219F"/>
    <w:rsid w:val="00F03010"/>
    <w:rsid w:val="00F03B43"/>
    <w:rsid w:val="00F04F04"/>
    <w:rsid w:val="00F060B8"/>
    <w:rsid w:val="00F064C6"/>
    <w:rsid w:val="00F06D0C"/>
    <w:rsid w:val="00F07481"/>
    <w:rsid w:val="00F10C76"/>
    <w:rsid w:val="00F11311"/>
    <w:rsid w:val="00F12040"/>
    <w:rsid w:val="00F121A9"/>
    <w:rsid w:val="00F127B5"/>
    <w:rsid w:val="00F12F1E"/>
    <w:rsid w:val="00F12F5F"/>
    <w:rsid w:val="00F13329"/>
    <w:rsid w:val="00F13785"/>
    <w:rsid w:val="00F14230"/>
    <w:rsid w:val="00F14834"/>
    <w:rsid w:val="00F150BD"/>
    <w:rsid w:val="00F1571A"/>
    <w:rsid w:val="00F157F3"/>
    <w:rsid w:val="00F15D36"/>
    <w:rsid w:val="00F15E3F"/>
    <w:rsid w:val="00F17D0F"/>
    <w:rsid w:val="00F22E50"/>
    <w:rsid w:val="00F22F46"/>
    <w:rsid w:val="00F23CDD"/>
    <w:rsid w:val="00F249D5"/>
    <w:rsid w:val="00F24D7B"/>
    <w:rsid w:val="00F254B8"/>
    <w:rsid w:val="00F2583F"/>
    <w:rsid w:val="00F25AC5"/>
    <w:rsid w:val="00F25EFB"/>
    <w:rsid w:val="00F26E7A"/>
    <w:rsid w:val="00F26F3B"/>
    <w:rsid w:val="00F272CF"/>
    <w:rsid w:val="00F30299"/>
    <w:rsid w:val="00F30799"/>
    <w:rsid w:val="00F31096"/>
    <w:rsid w:val="00F3199F"/>
    <w:rsid w:val="00F319CA"/>
    <w:rsid w:val="00F32440"/>
    <w:rsid w:val="00F32DE7"/>
    <w:rsid w:val="00F33038"/>
    <w:rsid w:val="00F331CA"/>
    <w:rsid w:val="00F3326E"/>
    <w:rsid w:val="00F341AE"/>
    <w:rsid w:val="00F34688"/>
    <w:rsid w:val="00F353E3"/>
    <w:rsid w:val="00F35F7B"/>
    <w:rsid w:val="00F363AC"/>
    <w:rsid w:val="00F36B7E"/>
    <w:rsid w:val="00F36FDB"/>
    <w:rsid w:val="00F37833"/>
    <w:rsid w:val="00F4035D"/>
    <w:rsid w:val="00F4041F"/>
    <w:rsid w:val="00F407C3"/>
    <w:rsid w:val="00F41422"/>
    <w:rsid w:val="00F42398"/>
    <w:rsid w:val="00F425B3"/>
    <w:rsid w:val="00F42ED3"/>
    <w:rsid w:val="00F437DC"/>
    <w:rsid w:val="00F4456C"/>
    <w:rsid w:val="00F44982"/>
    <w:rsid w:val="00F44D3D"/>
    <w:rsid w:val="00F45016"/>
    <w:rsid w:val="00F45A66"/>
    <w:rsid w:val="00F4612D"/>
    <w:rsid w:val="00F46D31"/>
    <w:rsid w:val="00F46FF2"/>
    <w:rsid w:val="00F505F7"/>
    <w:rsid w:val="00F50899"/>
    <w:rsid w:val="00F510E7"/>
    <w:rsid w:val="00F51121"/>
    <w:rsid w:val="00F51D0F"/>
    <w:rsid w:val="00F5203A"/>
    <w:rsid w:val="00F52257"/>
    <w:rsid w:val="00F523D2"/>
    <w:rsid w:val="00F523D8"/>
    <w:rsid w:val="00F52DA6"/>
    <w:rsid w:val="00F53387"/>
    <w:rsid w:val="00F535DF"/>
    <w:rsid w:val="00F537C4"/>
    <w:rsid w:val="00F54310"/>
    <w:rsid w:val="00F54CC2"/>
    <w:rsid w:val="00F55481"/>
    <w:rsid w:val="00F55EF1"/>
    <w:rsid w:val="00F56688"/>
    <w:rsid w:val="00F57549"/>
    <w:rsid w:val="00F60F43"/>
    <w:rsid w:val="00F6141B"/>
    <w:rsid w:val="00F61620"/>
    <w:rsid w:val="00F619DE"/>
    <w:rsid w:val="00F62677"/>
    <w:rsid w:val="00F62EDA"/>
    <w:rsid w:val="00F62F48"/>
    <w:rsid w:val="00F63666"/>
    <w:rsid w:val="00F649B7"/>
    <w:rsid w:val="00F65679"/>
    <w:rsid w:val="00F667E6"/>
    <w:rsid w:val="00F66820"/>
    <w:rsid w:val="00F672F3"/>
    <w:rsid w:val="00F67303"/>
    <w:rsid w:val="00F67361"/>
    <w:rsid w:val="00F678CB"/>
    <w:rsid w:val="00F67B99"/>
    <w:rsid w:val="00F67E0F"/>
    <w:rsid w:val="00F70E07"/>
    <w:rsid w:val="00F716DB"/>
    <w:rsid w:val="00F71C83"/>
    <w:rsid w:val="00F73680"/>
    <w:rsid w:val="00F73EDC"/>
    <w:rsid w:val="00F75699"/>
    <w:rsid w:val="00F75F95"/>
    <w:rsid w:val="00F77701"/>
    <w:rsid w:val="00F77D43"/>
    <w:rsid w:val="00F807C2"/>
    <w:rsid w:val="00F81B19"/>
    <w:rsid w:val="00F834D2"/>
    <w:rsid w:val="00F8558C"/>
    <w:rsid w:val="00F87B5C"/>
    <w:rsid w:val="00F87EEA"/>
    <w:rsid w:val="00F90426"/>
    <w:rsid w:val="00F906DD"/>
    <w:rsid w:val="00F90B26"/>
    <w:rsid w:val="00F90D09"/>
    <w:rsid w:val="00F9258A"/>
    <w:rsid w:val="00F9316E"/>
    <w:rsid w:val="00F9441A"/>
    <w:rsid w:val="00F944DC"/>
    <w:rsid w:val="00F95EF2"/>
    <w:rsid w:val="00F960ED"/>
    <w:rsid w:val="00F96303"/>
    <w:rsid w:val="00F97612"/>
    <w:rsid w:val="00F97A89"/>
    <w:rsid w:val="00FA0078"/>
    <w:rsid w:val="00FA015E"/>
    <w:rsid w:val="00FA13C2"/>
    <w:rsid w:val="00FA155F"/>
    <w:rsid w:val="00FA186E"/>
    <w:rsid w:val="00FA1E60"/>
    <w:rsid w:val="00FA2802"/>
    <w:rsid w:val="00FA2C2A"/>
    <w:rsid w:val="00FA2C65"/>
    <w:rsid w:val="00FA2C7D"/>
    <w:rsid w:val="00FA341B"/>
    <w:rsid w:val="00FA4602"/>
    <w:rsid w:val="00FA5CE2"/>
    <w:rsid w:val="00FA61E3"/>
    <w:rsid w:val="00FA67F7"/>
    <w:rsid w:val="00FA6ED9"/>
    <w:rsid w:val="00FA713D"/>
    <w:rsid w:val="00FB07B2"/>
    <w:rsid w:val="00FB171D"/>
    <w:rsid w:val="00FB1834"/>
    <w:rsid w:val="00FB2887"/>
    <w:rsid w:val="00FB3053"/>
    <w:rsid w:val="00FB3732"/>
    <w:rsid w:val="00FB3C30"/>
    <w:rsid w:val="00FB40C4"/>
    <w:rsid w:val="00FB4643"/>
    <w:rsid w:val="00FB4B4F"/>
    <w:rsid w:val="00FB6B62"/>
    <w:rsid w:val="00FC0FFD"/>
    <w:rsid w:val="00FC1A83"/>
    <w:rsid w:val="00FC1B98"/>
    <w:rsid w:val="00FC238C"/>
    <w:rsid w:val="00FC25F0"/>
    <w:rsid w:val="00FC3595"/>
    <w:rsid w:val="00FC422D"/>
    <w:rsid w:val="00FC42CC"/>
    <w:rsid w:val="00FC42F0"/>
    <w:rsid w:val="00FC48DA"/>
    <w:rsid w:val="00FC4CFA"/>
    <w:rsid w:val="00FC521B"/>
    <w:rsid w:val="00FC53D8"/>
    <w:rsid w:val="00FC5FE1"/>
    <w:rsid w:val="00FC61B4"/>
    <w:rsid w:val="00FC6394"/>
    <w:rsid w:val="00FC68EA"/>
    <w:rsid w:val="00FC73BB"/>
    <w:rsid w:val="00FC7800"/>
    <w:rsid w:val="00FD32B9"/>
    <w:rsid w:val="00FD3A17"/>
    <w:rsid w:val="00FD3A86"/>
    <w:rsid w:val="00FD3BD3"/>
    <w:rsid w:val="00FD3DA1"/>
    <w:rsid w:val="00FD3F5F"/>
    <w:rsid w:val="00FD5A2C"/>
    <w:rsid w:val="00FD5A4F"/>
    <w:rsid w:val="00FD6AAB"/>
    <w:rsid w:val="00FD742D"/>
    <w:rsid w:val="00FE0860"/>
    <w:rsid w:val="00FE2294"/>
    <w:rsid w:val="00FE276C"/>
    <w:rsid w:val="00FE29D1"/>
    <w:rsid w:val="00FE2CBE"/>
    <w:rsid w:val="00FE3036"/>
    <w:rsid w:val="00FE3551"/>
    <w:rsid w:val="00FE3B22"/>
    <w:rsid w:val="00FE4329"/>
    <w:rsid w:val="00FE4492"/>
    <w:rsid w:val="00FE5589"/>
    <w:rsid w:val="00FE5B2C"/>
    <w:rsid w:val="00FE6CBE"/>
    <w:rsid w:val="00FE6F4A"/>
    <w:rsid w:val="00FE7AB0"/>
    <w:rsid w:val="00FF062E"/>
    <w:rsid w:val="00FF0BF6"/>
    <w:rsid w:val="00FF0C5E"/>
    <w:rsid w:val="00FF0DCF"/>
    <w:rsid w:val="00FF110A"/>
    <w:rsid w:val="00FF1326"/>
    <w:rsid w:val="00FF2307"/>
    <w:rsid w:val="00FF2CAF"/>
    <w:rsid w:val="00FF31B5"/>
    <w:rsid w:val="00FF35A1"/>
    <w:rsid w:val="00FF3B5B"/>
    <w:rsid w:val="00FF4956"/>
    <w:rsid w:val="00FF4F93"/>
    <w:rsid w:val="00FF51B9"/>
    <w:rsid w:val="00FF6A6A"/>
    <w:rsid w:val="00FF72FA"/>
    <w:rsid w:val="00FF7581"/>
    <w:rsid w:val="00FF7670"/>
    <w:rsid w:val="00FF77E9"/>
    <w:rsid w:val="00FF79AE"/>
    <w:rsid w:val="02B52C69"/>
    <w:rsid w:val="030C67F4"/>
    <w:rsid w:val="03311B37"/>
    <w:rsid w:val="03AE74E6"/>
    <w:rsid w:val="04610819"/>
    <w:rsid w:val="05635007"/>
    <w:rsid w:val="07706AF2"/>
    <w:rsid w:val="07F95099"/>
    <w:rsid w:val="086677F8"/>
    <w:rsid w:val="099B587C"/>
    <w:rsid w:val="0A920713"/>
    <w:rsid w:val="0C254A3F"/>
    <w:rsid w:val="10963880"/>
    <w:rsid w:val="10C01B02"/>
    <w:rsid w:val="110546D0"/>
    <w:rsid w:val="117316B7"/>
    <w:rsid w:val="117A1843"/>
    <w:rsid w:val="138D0A5A"/>
    <w:rsid w:val="1B101C58"/>
    <w:rsid w:val="1DAF0151"/>
    <w:rsid w:val="1DD436C8"/>
    <w:rsid w:val="1E6059C5"/>
    <w:rsid w:val="1E977D7D"/>
    <w:rsid w:val="1F43496B"/>
    <w:rsid w:val="1FD64FCB"/>
    <w:rsid w:val="20D725CF"/>
    <w:rsid w:val="21D0759A"/>
    <w:rsid w:val="21FA489B"/>
    <w:rsid w:val="22313307"/>
    <w:rsid w:val="24D059EF"/>
    <w:rsid w:val="279E4A6C"/>
    <w:rsid w:val="28625D94"/>
    <w:rsid w:val="2896130D"/>
    <w:rsid w:val="28C8078B"/>
    <w:rsid w:val="28EA16D7"/>
    <w:rsid w:val="298B001E"/>
    <w:rsid w:val="29F5016D"/>
    <w:rsid w:val="2A071D14"/>
    <w:rsid w:val="2AFC688C"/>
    <w:rsid w:val="2C6C6D49"/>
    <w:rsid w:val="2CE55F2C"/>
    <w:rsid w:val="2EA54ADE"/>
    <w:rsid w:val="30387C19"/>
    <w:rsid w:val="33A34365"/>
    <w:rsid w:val="351360D1"/>
    <w:rsid w:val="356A6E92"/>
    <w:rsid w:val="36AE1B8F"/>
    <w:rsid w:val="371C5A60"/>
    <w:rsid w:val="3A9458F2"/>
    <w:rsid w:val="3DF70680"/>
    <w:rsid w:val="3E5E4339"/>
    <w:rsid w:val="3E7A37D8"/>
    <w:rsid w:val="3EF9357F"/>
    <w:rsid w:val="3F6026ED"/>
    <w:rsid w:val="3F672715"/>
    <w:rsid w:val="3FA07B00"/>
    <w:rsid w:val="3FB62366"/>
    <w:rsid w:val="4103140F"/>
    <w:rsid w:val="41E77C68"/>
    <w:rsid w:val="42D91A0D"/>
    <w:rsid w:val="4336531A"/>
    <w:rsid w:val="45703D8F"/>
    <w:rsid w:val="45AC4BC0"/>
    <w:rsid w:val="46D81B8D"/>
    <w:rsid w:val="470F2E44"/>
    <w:rsid w:val="47FA6C75"/>
    <w:rsid w:val="482D443D"/>
    <w:rsid w:val="4889676C"/>
    <w:rsid w:val="4898167A"/>
    <w:rsid w:val="4BB02D40"/>
    <w:rsid w:val="4F1C77EF"/>
    <w:rsid w:val="50BD5AE0"/>
    <w:rsid w:val="540C4C23"/>
    <w:rsid w:val="54564784"/>
    <w:rsid w:val="54D570F1"/>
    <w:rsid w:val="56073091"/>
    <w:rsid w:val="56831E4A"/>
    <w:rsid w:val="574720F3"/>
    <w:rsid w:val="57556989"/>
    <w:rsid w:val="579E3E4E"/>
    <w:rsid w:val="587C0F4F"/>
    <w:rsid w:val="5C6B64EA"/>
    <w:rsid w:val="5CA9576A"/>
    <w:rsid w:val="5CD76674"/>
    <w:rsid w:val="5CFF48AC"/>
    <w:rsid w:val="6088167C"/>
    <w:rsid w:val="624D5DC9"/>
    <w:rsid w:val="642A5A2D"/>
    <w:rsid w:val="6484014C"/>
    <w:rsid w:val="65EE5B19"/>
    <w:rsid w:val="6648568E"/>
    <w:rsid w:val="671131E2"/>
    <w:rsid w:val="677F516B"/>
    <w:rsid w:val="67A439FE"/>
    <w:rsid w:val="6876543E"/>
    <w:rsid w:val="69F1299A"/>
    <w:rsid w:val="6A7C2B8C"/>
    <w:rsid w:val="6C1824DB"/>
    <w:rsid w:val="6E9E6A27"/>
    <w:rsid w:val="6FA0416D"/>
    <w:rsid w:val="703A778D"/>
    <w:rsid w:val="705D20FE"/>
    <w:rsid w:val="70960D84"/>
    <w:rsid w:val="70FE3B57"/>
    <w:rsid w:val="71022261"/>
    <w:rsid w:val="73201E03"/>
    <w:rsid w:val="73446D1D"/>
    <w:rsid w:val="73E73B09"/>
    <w:rsid w:val="75624B9F"/>
    <w:rsid w:val="759A7CDF"/>
    <w:rsid w:val="75F71E53"/>
    <w:rsid w:val="76E223DB"/>
    <w:rsid w:val="7704781E"/>
    <w:rsid w:val="78184994"/>
    <w:rsid w:val="78631BF3"/>
    <w:rsid w:val="78EA3E34"/>
    <w:rsid w:val="7A7B2955"/>
    <w:rsid w:val="7AD47645"/>
    <w:rsid w:val="7AE6513A"/>
    <w:rsid w:val="7D6204A1"/>
    <w:rsid w:val="7DEC0A75"/>
    <w:rsid w:val="7F1574C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F56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uiPriority="99" w:qFormat="1"/>
    <w:lsdException w:name="head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3" w:uiPriority="99" w:qFormat="1"/>
    <w:lsdException w:name="Body Text Indent 2" w:uiPriority="99"/>
    <w:lsdException w:name="Body Text Indent 3" w:qFormat="1"/>
    <w:lsdException w:name="Block Text" w:qFormat="1"/>
    <w:lsdException w:name="Hyperlink" w:uiPriority="99" w:qFormat="1"/>
    <w:lsdException w:name="FollowedHyperlink" w:uiPriority="99"/>
    <w:lsdException w:name="Strong" w:uiPriority="22" w:qFormat="1"/>
    <w:lsdException w:name="Emphasis" w:locked="1" w:uiPriority="20" w:qFormat="1"/>
    <w:lsdException w:name="Document Map" w:qFormat="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D523FF"/>
    <w:rPr>
      <w:sz w:val="24"/>
      <w:szCs w:val="24"/>
      <w:lang w:val="en-US" w:eastAsia="en-US"/>
    </w:rPr>
  </w:style>
  <w:style w:type="paragraph" w:styleId="Antrat1">
    <w:name w:val="heading 1"/>
    <w:basedOn w:val="prastasis"/>
    <w:next w:val="prastasis"/>
    <w:link w:val="Antrat1Diagrama"/>
    <w:qFormat/>
    <w:pPr>
      <w:keepNext/>
      <w:jc w:val="center"/>
      <w:outlineLvl w:val="0"/>
    </w:pPr>
    <w:rPr>
      <w:rFonts w:ascii="TimesLT" w:hAnsi="TimesLT" w:cs="Arial Unicode MS"/>
      <w:b/>
      <w:bCs/>
      <w:kern w:val="36"/>
    </w:rPr>
  </w:style>
  <w:style w:type="paragraph" w:styleId="Antrat2">
    <w:name w:val="heading 2"/>
    <w:basedOn w:val="prastasis"/>
    <w:next w:val="prastasis"/>
    <w:link w:val="Antrat2Diagrama"/>
    <w:qFormat/>
    <w:pPr>
      <w:keepNext/>
      <w:outlineLvl w:val="1"/>
    </w:pPr>
    <w:rPr>
      <w:b/>
      <w:bCs/>
      <w:lang w:val="lt-LT"/>
    </w:rPr>
  </w:style>
  <w:style w:type="paragraph" w:styleId="Antrat3">
    <w:name w:val="heading 3"/>
    <w:basedOn w:val="prastasis"/>
    <w:next w:val="prastasis"/>
    <w:link w:val="Antrat3Diagrama"/>
    <w:qFormat/>
    <w:pPr>
      <w:keepNext/>
      <w:ind w:firstLine="720"/>
      <w:jc w:val="both"/>
      <w:outlineLvl w:val="2"/>
    </w:pPr>
    <w:rPr>
      <w:b/>
      <w:bCs/>
      <w:lang w:val="lt-LT"/>
    </w:rPr>
  </w:style>
  <w:style w:type="paragraph" w:styleId="Antrat4">
    <w:name w:val="heading 4"/>
    <w:basedOn w:val="prastasis"/>
    <w:next w:val="prastasis"/>
    <w:link w:val="Antrat4Diagrama"/>
    <w:qFormat/>
    <w:pPr>
      <w:keepNext/>
      <w:ind w:left="567" w:right="-999"/>
      <w:jc w:val="both"/>
      <w:outlineLvl w:val="3"/>
    </w:pPr>
    <w:rPr>
      <w:b/>
      <w:bCs/>
      <w:szCs w:val="20"/>
      <w:lang w:val="lt-LT"/>
    </w:rPr>
  </w:style>
  <w:style w:type="paragraph" w:styleId="Antrat5">
    <w:name w:val="heading 5"/>
    <w:basedOn w:val="prastasis"/>
    <w:next w:val="prastasis"/>
    <w:link w:val="Antrat5Diagrama"/>
    <w:qFormat/>
    <w:pPr>
      <w:keepNext/>
      <w:autoSpaceDE w:val="0"/>
      <w:autoSpaceDN w:val="0"/>
      <w:jc w:val="center"/>
      <w:outlineLvl w:val="4"/>
    </w:pPr>
    <w:rPr>
      <w:rFonts w:ascii="TimesLT" w:hAnsi="TimesLT"/>
      <w:b/>
      <w:bCs/>
      <w:lang w:val="lt-LT"/>
    </w:rPr>
  </w:style>
  <w:style w:type="paragraph" w:styleId="Antrat6">
    <w:name w:val="heading 6"/>
    <w:basedOn w:val="prastasis"/>
    <w:next w:val="prastasis"/>
    <w:link w:val="Antrat6Diagrama"/>
    <w:qFormat/>
    <w:pPr>
      <w:keepNext/>
      <w:autoSpaceDE w:val="0"/>
      <w:autoSpaceDN w:val="0"/>
      <w:jc w:val="center"/>
      <w:outlineLvl w:val="5"/>
    </w:pPr>
    <w:rPr>
      <w:rFonts w:ascii="TimesLT" w:hAnsi="TimesLT"/>
      <w:lang w:val="lt-LT"/>
    </w:rPr>
  </w:style>
  <w:style w:type="paragraph" w:styleId="Antrat7">
    <w:name w:val="heading 7"/>
    <w:basedOn w:val="prastasis"/>
    <w:next w:val="prastasis"/>
    <w:link w:val="Antrat7Diagrama"/>
    <w:qFormat/>
    <w:pPr>
      <w:keepNext/>
      <w:keepLines/>
      <w:autoSpaceDE w:val="0"/>
      <w:autoSpaceDN w:val="0"/>
      <w:ind w:firstLine="720"/>
      <w:jc w:val="both"/>
      <w:outlineLvl w:val="6"/>
    </w:pPr>
    <w:rPr>
      <w:i/>
      <w:iCs/>
      <w:lang w:val="lt-LT"/>
    </w:rPr>
  </w:style>
  <w:style w:type="paragraph" w:styleId="Antrat8">
    <w:name w:val="heading 8"/>
    <w:basedOn w:val="prastasis"/>
    <w:next w:val="prastasis"/>
    <w:link w:val="Antrat8Diagrama"/>
    <w:qFormat/>
    <w:pPr>
      <w:keepNext/>
      <w:keepLines/>
      <w:autoSpaceDE w:val="0"/>
      <w:autoSpaceDN w:val="0"/>
      <w:ind w:firstLine="720"/>
      <w:jc w:val="both"/>
      <w:outlineLvl w:val="7"/>
    </w:pPr>
    <w:rPr>
      <w:lang w:val="lt-LT"/>
    </w:rPr>
  </w:style>
  <w:style w:type="paragraph" w:styleId="Antrat9">
    <w:name w:val="heading 9"/>
    <w:basedOn w:val="prastasis"/>
    <w:next w:val="prastasis"/>
    <w:link w:val="Antrat9Diagrama"/>
    <w:qFormat/>
    <w:pPr>
      <w:keepNext/>
      <w:ind w:firstLine="720"/>
      <w:jc w:val="both"/>
      <w:outlineLvl w:val="8"/>
    </w:pPr>
    <w:rPr>
      <w:rFonts w:ascii="TimesLT" w:hAnsi="TimesLT"/>
      <w:b/>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qFormat/>
    <w:rPr>
      <w:rFonts w:ascii="Tahoma" w:hAnsi="Tahoma" w:cs="Tahoma"/>
      <w:sz w:val="16"/>
      <w:szCs w:val="16"/>
    </w:rPr>
  </w:style>
  <w:style w:type="paragraph" w:styleId="Tekstoblokas">
    <w:name w:val="Block Text"/>
    <w:basedOn w:val="prastasis"/>
    <w:qFormat/>
    <w:pPr>
      <w:ind w:left="-720" w:right="-874" w:firstLine="720"/>
      <w:jc w:val="both"/>
    </w:pPr>
    <w:rPr>
      <w:lang w:val="lt-LT"/>
    </w:rPr>
  </w:style>
  <w:style w:type="paragraph" w:styleId="Pagrindinistekstas">
    <w:name w:val="Body Text"/>
    <w:basedOn w:val="prastasis"/>
    <w:link w:val="PagrindinistekstasDiagrama"/>
    <w:pPr>
      <w:jc w:val="both"/>
    </w:pPr>
    <w:rPr>
      <w:rFonts w:ascii="TimesLT" w:hAnsi="TimesLT" w:cs="Arial Unicode MS"/>
    </w:rPr>
  </w:style>
  <w:style w:type="paragraph" w:styleId="Pagrindinistekstas2">
    <w:name w:val="Body Text 2"/>
    <w:basedOn w:val="prastasis"/>
    <w:link w:val="Pagrindinistekstas2Diagrama"/>
    <w:rPr>
      <w:b/>
      <w:bCs/>
      <w:sz w:val="22"/>
      <w:lang w:val="lt-LT"/>
    </w:rPr>
  </w:style>
  <w:style w:type="paragraph" w:styleId="Pagrindinistekstas3">
    <w:name w:val="Body Text 3"/>
    <w:basedOn w:val="prastasis"/>
    <w:link w:val="Pagrindinistekstas3Diagrama"/>
    <w:uiPriority w:val="99"/>
    <w:qFormat/>
    <w:pPr>
      <w:autoSpaceDE w:val="0"/>
      <w:autoSpaceDN w:val="0"/>
    </w:pPr>
    <w:rPr>
      <w:rFonts w:ascii="TimesLT" w:hAnsi="TimesLT"/>
      <w:lang w:val="lt-LT"/>
    </w:rPr>
  </w:style>
  <w:style w:type="paragraph" w:styleId="Pagrindiniotekstotrauka">
    <w:name w:val="Body Text Indent"/>
    <w:basedOn w:val="prastasis"/>
    <w:link w:val="PagrindiniotekstotraukaDiagrama"/>
    <w:pPr>
      <w:ind w:firstLine="720"/>
      <w:jc w:val="both"/>
    </w:pPr>
    <w:rPr>
      <w:rFonts w:ascii="TimesLT" w:hAnsi="TimesLT" w:cs="Arial Unicode MS"/>
    </w:rPr>
  </w:style>
  <w:style w:type="paragraph" w:styleId="Pagrindiniotekstotrauka2">
    <w:name w:val="Body Text Indent 2"/>
    <w:basedOn w:val="prastasis"/>
    <w:link w:val="Pagrindiniotekstotrauka2Diagrama"/>
    <w:uiPriority w:val="99"/>
    <w:pPr>
      <w:spacing w:line="360" w:lineRule="auto"/>
      <w:ind w:firstLine="720"/>
      <w:jc w:val="both"/>
    </w:pPr>
    <w:rPr>
      <w:b/>
      <w:bCs/>
      <w:lang w:val="lt-LT"/>
    </w:rPr>
  </w:style>
  <w:style w:type="paragraph" w:styleId="Pagrindiniotekstotrauka3">
    <w:name w:val="Body Text Indent 3"/>
    <w:basedOn w:val="prastasis"/>
    <w:link w:val="Pagrindiniotekstotrauka3Diagrama"/>
    <w:qFormat/>
    <w:pPr>
      <w:autoSpaceDE w:val="0"/>
      <w:autoSpaceDN w:val="0"/>
      <w:ind w:firstLine="720"/>
      <w:jc w:val="both"/>
    </w:pPr>
    <w:rPr>
      <w:rFonts w:ascii="TimesLT" w:hAnsi="TimesLT"/>
      <w:lang w:val="lt-LT"/>
    </w:rPr>
  </w:style>
  <w:style w:type="paragraph" w:styleId="Komentarotekstas">
    <w:name w:val="annotation text"/>
    <w:basedOn w:val="prastasis"/>
    <w:link w:val="KomentarotekstasDiagrama"/>
    <w:uiPriority w:val="99"/>
    <w:qFormat/>
    <w:rPr>
      <w:sz w:val="20"/>
      <w:szCs w:val="20"/>
      <w:lang w:val="en-GB"/>
    </w:rPr>
  </w:style>
  <w:style w:type="paragraph" w:styleId="Komentarotema">
    <w:name w:val="annotation subject"/>
    <w:basedOn w:val="Komentarotekstas"/>
    <w:next w:val="Komentarotekstas"/>
    <w:link w:val="KomentarotemaDiagrama"/>
    <w:uiPriority w:val="99"/>
    <w:unhideWhenUsed/>
    <w:qFormat/>
    <w:rPr>
      <w:rFonts w:eastAsiaTheme="minorHAnsi"/>
      <w:b/>
      <w:bCs/>
      <w:lang w:val="lt-LT" w:eastAsia="ja-JP"/>
    </w:rPr>
  </w:style>
  <w:style w:type="paragraph" w:styleId="Dokumentostruktra">
    <w:name w:val="Document Map"/>
    <w:basedOn w:val="prastasis"/>
    <w:link w:val="DokumentostruktraDiagrama"/>
    <w:qFormat/>
    <w:pPr>
      <w:shd w:val="clear" w:color="auto" w:fill="000080"/>
    </w:pPr>
    <w:rPr>
      <w:rFonts w:ascii="Tahoma" w:hAnsi="Tahoma" w:cs="Tahoma"/>
    </w:rPr>
  </w:style>
  <w:style w:type="paragraph" w:styleId="Porat">
    <w:name w:val="footer"/>
    <w:basedOn w:val="prastasis"/>
    <w:link w:val="PoratDiagrama"/>
    <w:pPr>
      <w:spacing w:line="360" w:lineRule="auto"/>
      <w:ind w:firstLine="720"/>
      <w:jc w:val="both"/>
    </w:pPr>
    <w:rPr>
      <w:rFonts w:ascii="TimesLT" w:hAnsi="TimesLT" w:cs="Arial Unicode MS"/>
    </w:rPr>
  </w:style>
  <w:style w:type="paragraph" w:styleId="Antrats">
    <w:name w:val="header"/>
    <w:basedOn w:val="prastasis"/>
    <w:link w:val="AntratsDiagrama"/>
    <w:uiPriority w:val="99"/>
    <w:qFormat/>
    <w:pPr>
      <w:tabs>
        <w:tab w:val="center" w:pos="4153"/>
        <w:tab w:val="right" w:pos="8306"/>
      </w:tabs>
      <w:autoSpaceDE w:val="0"/>
      <w:autoSpaceDN w:val="0"/>
    </w:pPr>
    <w:rPr>
      <w:sz w:val="20"/>
      <w:szCs w:val="20"/>
      <w:lang w:val="en-GB"/>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cs="Arial Unicode MS"/>
      <w:sz w:val="20"/>
      <w:szCs w:val="20"/>
    </w:rPr>
  </w:style>
  <w:style w:type="paragraph" w:styleId="Sraassuenkleliais">
    <w:name w:val="List Bullet"/>
    <w:basedOn w:val="prastasis"/>
    <w:qFormat/>
    <w:pPr>
      <w:numPr>
        <w:numId w:val="1"/>
      </w:numPr>
    </w:pPr>
    <w:rPr>
      <w:szCs w:val="20"/>
      <w:lang w:val="lt-LT"/>
    </w:rPr>
  </w:style>
  <w:style w:type="paragraph" w:styleId="prastasiniatinklio">
    <w:name w:val="Normal (Web)"/>
    <w:basedOn w:val="prastasis"/>
    <w:link w:val="prastasiniatinklioDiagrama"/>
    <w:uiPriority w:val="99"/>
    <w:qFormat/>
    <w:pPr>
      <w:spacing w:before="100" w:beforeAutospacing="1" w:after="100" w:afterAutospacing="1"/>
    </w:pPr>
    <w:rPr>
      <w:lang w:val="lt-LT" w:eastAsia="lt-LT"/>
    </w:rPr>
  </w:style>
  <w:style w:type="paragraph" w:styleId="Paprastasistekstas">
    <w:name w:val="Plain Text"/>
    <w:basedOn w:val="prastasis"/>
    <w:link w:val="PaprastasistekstasDiagrama"/>
    <w:uiPriority w:val="99"/>
    <w:pPr>
      <w:spacing w:before="100" w:beforeAutospacing="1" w:after="100" w:afterAutospacing="1"/>
    </w:pPr>
    <w:rPr>
      <w:rFonts w:ascii="Arial Unicode MS" w:hAnsi="Arial Unicode MS" w:cs="Arial Unicode MS"/>
    </w:rPr>
  </w:style>
  <w:style w:type="paragraph" w:styleId="Pavadinimas">
    <w:name w:val="Title"/>
    <w:basedOn w:val="prastasis"/>
    <w:link w:val="PavadinimasDiagrama"/>
    <w:qFormat/>
    <w:pPr>
      <w:jc w:val="center"/>
    </w:pPr>
    <w:rPr>
      <w:b/>
      <w:bCs/>
      <w:szCs w:val="20"/>
      <w:lang w:val="en-GB"/>
    </w:rPr>
  </w:style>
  <w:style w:type="paragraph" w:styleId="Turinys1">
    <w:name w:val="toc 1"/>
    <w:basedOn w:val="prastasis"/>
    <w:next w:val="prastasis"/>
    <w:rPr>
      <w:b/>
      <w:u w:val="single"/>
    </w:rPr>
  </w:style>
  <w:style w:type="paragraph" w:styleId="Turinys2">
    <w:name w:val="toc 2"/>
    <w:basedOn w:val="prastasis"/>
    <w:next w:val="prastasis"/>
    <w:pPr>
      <w:ind w:left="240"/>
    </w:pPr>
  </w:style>
  <w:style w:type="paragraph" w:styleId="Turinys3">
    <w:name w:val="toc 3"/>
    <w:basedOn w:val="prastasis"/>
    <w:next w:val="prastasis"/>
    <w:qFormat/>
    <w:pPr>
      <w:ind w:left="480"/>
    </w:pPr>
  </w:style>
  <w:style w:type="character" w:styleId="Komentaronuoroda">
    <w:name w:val="annotation reference"/>
    <w:uiPriority w:val="99"/>
    <w:qFormat/>
    <w:rPr>
      <w:rFonts w:cs="Times New Roman"/>
      <w:sz w:val="16"/>
      <w:szCs w:val="16"/>
    </w:rPr>
  </w:style>
  <w:style w:type="character" w:styleId="Emfaz">
    <w:name w:val="Emphasis"/>
    <w:uiPriority w:val="20"/>
    <w:qFormat/>
    <w:locked/>
    <w:rPr>
      <w:i/>
      <w:iCs/>
    </w:rPr>
  </w:style>
  <w:style w:type="character" w:styleId="Perirtashipersaitas">
    <w:name w:val="FollowedHyperlink"/>
    <w:uiPriority w:val="99"/>
    <w:rPr>
      <w:rFonts w:cs="Times New Roman"/>
      <w:color w:val="800080"/>
      <w:u w:val="single"/>
    </w:rPr>
  </w:style>
  <w:style w:type="character" w:styleId="HTMLspausdinimomainl">
    <w:name w:val="HTML Typewriter"/>
    <w:rPr>
      <w:rFonts w:ascii="Arial Unicode MS" w:eastAsia="Times New Roman" w:hAnsi="Arial Unicode MS" w:cs="Arial Unicode MS"/>
      <w:sz w:val="20"/>
      <w:szCs w:val="20"/>
    </w:rPr>
  </w:style>
  <w:style w:type="character" w:styleId="Hipersaitas">
    <w:name w:val="Hyperlink"/>
    <w:aliases w:val="Body Text1,Diagrama Diagrama Diagrama"/>
    <w:uiPriority w:val="99"/>
    <w:qFormat/>
    <w:rPr>
      <w:rFonts w:ascii="TimesLT" w:eastAsia="Times New Roman" w:hAnsi="TimesLT" w:cs="Arial Unicode MS"/>
      <w:b/>
      <w:bCs/>
      <w:kern w:val="36"/>
      <w:sz w:val="24"/>
      <w:szCs w:val="24"/>
      <w:lang w:val="en-US" w:eastAsia="en-US" w:bidi="ar-SA"/>
    </w:rPr>
  </w:style>
  <w:style w:type="character" w:styleId="Puslapionumeris">
    <w:name w:val="page number"/>
    <w:qFormat/>
    <w:rPr>
      <w:rFonts w:cs="Times New Roman"/>
    </w:rPr>
  </w:style>
  <w:style w:type="character" w:styleId="Grietas">
    <w:name w:val="Strong"/>
    <w:uiPriority w:val="22"/>
    <w:qFormat/>
    <w:rPr>
      <w:rFonts w:cs="Times New Roman"/>
      <w:b/>
      <w:bCs/>
    </w:rPr>
  </w:style>
  <w:style w:type="table" w:styleId="Lentelstinklelis">
    <w:name w:val="Table Grid"/>
    <w:basedOn w:val="prastojilent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locked/>
    <w:rPr>
      <w:rFonts w:ascii="TimesLT" w:eastAsia="Times New Roman" w:hAnsi="TimesLT" w:cs="Arial Unicode MS"/>
      <w:b/>
      <w:bCs/>
      <w:kern w:val="36"/>
      <w:sz w:val="24"/>
      <w:szCs w:val="24"/>
      <w:lang w:val="en-US" w:eastAsia="en-US" w:bidi="ar-SA"/>
    </w:rPr>
  </w:style>
  <w:style w:type="character" w:customStyle="1" w:styleId="PoratDiagrama">
    <w:name w:val="Poraštė Diagrama"/>
    <w:link w:val="Porat"/>
    <w:locked/>
    <w:rPr>
      <w:rFonts w:ascii="TimesLT" w:eastAsia="Times New Roman" w:hAnsi="TimesLT" w:cs="Arial Unicode MS"/>
      <w:sz w:val="24"/>
      <w:szCs w:val="24"/>
      <w:lang w:val="en-US" w:eastAsia="en-US" w:bidi="ar-SA"/>
    </w:rPr>
  </w:style>
  <w:style w:type="paragraph" w:customStyle="1" w:styleId="linos">
    <w:name w:val="linos"/>
    <w:basedOn w:val="prastasis"/>
    <w:pPr>
      <w:ind w:firstLine="426"/>
      <w:jc w:val="both"/>
    </w:pPr>
    <w:rPr>
      <w:rFonts w:ascii="HelveticaLT" w:hAnsi="HelveticaLT" w:cs="Arial Unicode MS"/>
    </w:rPr>
  </w:style>
  <w:style w:type="character" w:customStyle="1" w:styleId="HTMLiankstoformatuotasDiagrama">
    <w:name w:val="HTML iš anksto formatuotas Diagrama"/>
    <w:link w:val="HTMLiankstoformatuotas"/>
    <w:locked/>
    <w:rPr>
      <w:rFonts w:ascii="Arial Unicode MS" w:eastAsia="Times New Roman" w:hAnsi="Arial Unicode MS" w:cs="Arial Unicode MS"/>
      <w:lang w:val="en-US" w:eastAsia="en-US" w:bidi="ar-SA"/>
    </w:rPr>
  </w:style>
  <w:style w:type="paragraph" w:customStyle="1" w:styleId="Style1">
    <w:name w:val="Style1"/>
    <w:basedOn w:val="prastasis"/>
    <w:pPr>
      <w:ind w:firstLine="720"/>
      <w:jc w:val="both"/>
    </w:pPr>
    <w:rPr>
      <w:rFonts w:ascii="TimesLT" w:hAnsi="TimesLT"/>
      <w:szCs w:val="20"/>
      <w:lang w:val="lt-LT"/>
    </w:rPr>
  </w:style>
  <w:style w:type="paragraph" w:customStyle="1" w:styleId="bodytext">
    <w:name w:val="bodytext"/>
    <w:basedOn w:val="prastasis"/>
    <w:qFormat/>
    <w:pPr>
      <w:spacing w:before="100" w:beforeAutospacing="1" w:after="100" w:afterAutospacing="1"/>
    </w:pPr>
    <w:rPr>
      <w:rFonts w:ascii="Arial Unicode MS" w:hAnsi="Arial Unicode MS" w:cs="Arial Unicode MS"/>
    </w:rPr>
  </w:style>
  <w:style w:type="character" w:customStyle="1" w:styleId="datametai">
    <w:name w:val="datametai"/>
    <w:qFormat/>
    <w:rPr>
      <w:rFonts w:cs="Times New Roman"/>
    </w:rPr>
  </w:style>
  <w:style w:type="character" w:customStyle="1" w:styleId="datamnuo">
    <w:name w:val="datamnuo"/>
    <w:qFormat/>
    <w:rPr>
      <w:rFonts w:cs="Times New Roman"/>
    </w:rPr>
  </w:style>
  <w:style w:type="character" w:customStyle="1" w:styleId="datadiena">
    <w:name w:val="datadiena"/>
    <w:qFormat/>
    <w:rPr>
      <w:rFonts w:cs="Times New Roman"/>
    </w:rPr>
  </w:style>
  <w:style w:type="character" w:customStyle="1" w:styleId="statymonr">
    <w:name w:val="statymonr"/>
    <w:rPr>
      <w:rFonts w:cs="Times New Roman"/>
    </w:rPr>
  </w:style>
  <w:style w:type="paragraph" w:customStyle="1" w:styleId="0Numeruotas">
    <w:name w:val="0_Numeruotas"/>
    <w:link w:val="0NumeruotasDiagrama"/>
    <w:qFormat/>
    <w:pPr>
      <w:numPr>
        <w:numId w:val="2"/>
      </w:numPr>
      <w:ind w:firstLine="567"/>
      <w:jc w:val="both"/>
    </w:pPr>
    <w:rPr>
      <w:sz w:val="24"/>
      <w:lang w:eastAsia="en-US"/>
    </w:rPr>
  </w:style>
  <w:style w:type="paragraph" w:customStyle="1" w:styleId="00Numertuotas">
    <w:name w:val="00_Numertuotas"/>
    <w:basedOn w:val="0Numeruotas"/>
    <w:link w:val="00NumertuotasDiagrama"/>
    <w:pPr>
      <w:numPr>
        <w:ilvl w:val="1"/>
      </w:numPr>
      <w:tabs>
        <w:tab w:val="left" w:pos="1789"/>
      </w:tabs>
      <w:ind w:left="1789" w:hanging="360"/>
    </w:pPr>
  </w:style>
  <w:style w:type="paragraph" w:customStyle="1" w:styleId="000Numeruotas">
    <w:name w:val="000_Numeruotas"/>
    <w:basedOn w:val="00Numertuotas"/>
    <w:link w:val="000NumeruotasDiagrama"/>
    <w:qFormat/>
    <w:pPr>
      <w:numPr>
        <w:ilvl w:val="2"/>
      </w:numPr>
      <w:tabs>
        <w:tab w:val="left" w:pos="2509"/>
      </w:tabs>
      <w:ind w:left="0" w:hanging="360"/>
    </w:pPr>
  </w:style>
  <w:style w:type="paragraph" w:customStyle="1" w:styleId="linos0">
    <w:name w:val="linos0"/>
    <w:basedOn w:val="prastasis"/>
    <w:qFormat/>
    <w:pPr>
      <w:spacing w:before="100" w:beforeAutospacing="1" w:after="100" w:afterAutospacing="1"/>
    </w:pPr>
    <w:rPr>
      <w:lang w:val="lt-LT" w:eastAsia="lt-LT"/>
    </w:rPr>
  </w:style>
  <w:style w:type="paragraph" w:customStyle="1" w:styleId="statymopavad">
    <w:name w:val="statymopavad"/>
    <w:basedOn w:val="prastasis"/>
    <w:pPr>
      <w:spacing w:before="100" w:beforeAutospacing="1" w:after="100" w:afterAutospacing="1"/>
    </w:pPr>
    <w:rPr>
      <w:lang w:val="lt-LT" w:eastAsia="lt-LT"/>
    </w:rPr>
  </w:style>
  <w:style w:type="character" w:customStyle="1" w:styleId="hw">
    <w:name w:val="hw"/>
    <w:rPr>
      <w:rFonts w:cs="Times New Roman"/>
    </w:rPr>
  </w:style>
  <w:style w:type="paragraph" w:customStyle="1" w:styleId="DiagramaDiagramaDiagramaDiagramaDiagramaDiagramaCharChar">
    <w:name w:val="Diagrama Diagrama Diagrama Diagrama Diagrama Diagrama Char Char"/>
    <w:basedOn w:val="prastasis"/>
    <w:qFormat/>
    <w:pPr>
      <w:widowControl w:val="0"/>
      <w:adjustRightInd w:val="0"/>
      <w:spacing w:line="240" w:lineRule="exact"/>
      <w:jc w:val="both"/>
      <w:textAlignment w:val="baseline"/>
    </w:pPr>
    <w:rPr>
      <w:rFonts w:ascii="Tahoma" w:hAnsi="Tahoma"/>
      <w:sz w:val="20"/>
      <w:szCs w:val="20"/>
    </w:rPr>
  </w:style>
  <w:style w:type="paragraph" w:customStyle="1" w:styleId="point0">
    <w:name w:val="point0"/>
    <w:basedOn w:val="prastasis"/>
    <w:qFormat/>
    <w:pPr>
      <w:spacing w:before="100" w:beforeAutospacing="1" w:after="100" w:afterAutospacing="1"/>
    </w:pPr>
    <w:rPr>
      <w:lang w:val="lt-LT" w:eastAsia="lt-LT"/>
    </w:rPr>
  </w:style>
  <w:style w:type="paragraph" w:customStyle="1" w:styleId="DiagramaDiagrama1Diagrama">
    <w:name w:val="Diagrama Diagrama1 Diagrama"/>
    <w:basedOn w:val="prastasis"/>
    <w:qFormat/>
    <w:pPr>
      <w:widowControl w:val="0"/>
      <w:adjustRightInd w:val="0"/>
      <w:spacing w:line="240" w:lineRule="exact"/>
      <w:jc w:val="both"/>
      <w:textAlignment w:val="baseline"/>
    </w:pPr>
    <w:rPr>
      <w:rFonts w:ascii="Tahoma" w:hAnsi="Tahoma"/>
      <w:sz w:val="20"/>
      <w:szCs w:val="20"/>
    </w:rPr>
  </w:style>
  <w:style w:type="paragraph" w:customStyle="1" w:styleId="DiagramaDiagramaDiagramaDiagramaDiagramaDiagramaCharCharDiagramaDiagramaCharChar">
    <w:name w:val="Diagrama Diagrama Diagrama Diagrama Diagrama Diagrama Char Char Diagrama Diagrama Char Char"/>
    <w:basedOn w:val="prastasis"/>
    <w:qFormat/>
    <w:pPr>
      <w:widowControl w:val="0"/>
      <w:adjustRightInd w:val="0"/>
      <w:spacing w:line="240" w:lineRule="exact"/>
      <w:jc w:val="both"/>
      <w:textAlignment w:val="baseline"/>
    </w:pPr>
    <w:rPr>
      <w:rFonts w:ascii="Tahoma" w:hAnsi="Tahoma"/>
      <w:sz w:val="20"/>
      <w:szCs w:val="20"/>
    </w:rPr>
  </w:style>
  <w:style w:type="paragraph" w:customStyle="1" w:styleId="Pagrindinistekstas1">
    <w:name w:val="Pagrindinis tekstas1"/>
    <w:basedOn w:val="prastasis"/>
    <w:qFormat/>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ListParagraph1">
    <w:name w:val="List Paragraph1"/>
    <w:basedOn w:val="prastasis"/>
    <w:qFormat/>
    <w:pPr>
      <w:spacing w:after="200" w:line="276" w:lineRule="auto"/>
      <w:ind w:left="720"/>
      <w:contextualSpacing/>
    </w:pPr>
    <w:rPr>
      <w:rFonts w:ascii="Calibri" w:hAnsi="Calibri"/>
      <w:sz w:val="22"/>
      <w:szCs w:val="22"/>
      <w:lang w:val="lt-LT"/>
    </w:rPr>
  </w:style>
  <w:style w:type="character" w:customStyle="1" w:styleId="apple-converted-space">
    <w:name w:val="apple-converted-space"/>
    <w:qFormat/>
    <w:rPr>
      <w:rFonts w:cs="Times New Roman"/>
    </w:rPr>
  </w:style>
  <w:style w:type="character" w:customStyle="1" w:styleId="DiagramaDiagrama2">
    <w:name w:val="Diagrama Diagrama2"/>
    <w:qFormat/>
    <w:rPr>
      <w:rFonts w:ascii="TimesLT" w:eastAsia="Times New Roman" w:hAnsi="TimesLT" w:cs="Arial Unicode MS"/>
      <w:b/>
      <w:bCs/>
      <w:kern w:val="36"/>
      <w:sz w:val="24"/>
      <w:szCs w:val="24"/>
      <w:lang w:val="en-US" w:eastAsia="en-US" w:bidi="ar-SA"/>
    </w:rPr>
  </w:style>
  <w:style w:type="character" w:customStyle="1" w:styleId="black7">
    <w:name w:val="black7"/>
    <w:qFormat/>
    <w:rPr>
      <w:rFonts w:cs="Times New Roman"/>
    </w:rPr>
  </w:style>
  <w:style w:type="character" w:customStyle="1" w:styleId="longtext">
    <w:name w:val="long_text"/>
    <w:qFormat/>
    <w:rPr>
      <w:rFonts w:cs="Times New Roman"/>
    </w:rPr>
  </w:style>
  <w:style w:type="paragraph" w:customStyle="1" w:styleId="tajtip">
    <w:name w:val="tajtip"/>
    <w:basedOn w:val="prastasis"/>
    <w:qFormat/>
    <w:pPr>
      <w:spacing w:before="100" w:beforeAutospacing="1" w:after="100" w:afterAutospacing="1"/>
    </w:pPr>
    <w:rPr>
      <w:lang w:val="lt-LT" w:eastAsia="lt-LT"/>
    </w:rPr>
  </w:style>
  <w:style w:type="character" w:customStyle="1" w:styleId="DiagramaDiagrama21">
    <w:name w:val="Diagrama Diagrama21"/>
    <w:qFormat/>
    <w:rPr>
      <w:sz w:val="24"/>
      <w:szCs w:val="24"/>
      <w:lang w:val="en-GB" w:eastAsia="en-US" w:bidi="ar-SA"/>
    </w:rPr>
  </w:style>
  <w:style w:type="character" w:customStyle="1" w:styleId="DiagramaDiagrama">
    <w:name w:val="Diagrama Diagrama"/>
    <w:semiHidden/>
    <w:qFormat/>
    <w:locked/>
    <w:rPr>
      <w:rFonts w:ascii="Arial Unicode MS" w:eastAsia="Arial Unicode MS" w:hAnsi="Arial Unicode MS" w:cs="Arial Unicode MS"/>
      <w:lang w:val="en-GB" w:eastAsia="en-US" w:bidi="ar-SA"/>
    </w:rPr>
  </w:style>
  <w:style w:type="character" w:customStyle="1" w:styleId="prastasiniatinklioDiagrama">
    <w:name w:val="Įprastas (žiniatinklio) Diagrama"/>
    <w:link w:val="prastasiniatinklio"/>
    <w:uiPriority w:val="99"/>
    <w:qFormat/>
    <w:rPr>
      <w:sz w:val="24"/>
      <w:szCs w:val="24"/>
      <w:lang w:val="lt-LT" w:eastAsia="lt-LT" w:bidi="ar-SA"/>
    </w:rPr>
  </w:style>
  <w:style w:type="character" w:customStyle="1" w:styleId="ApatiniskolontitulasDiagrama">
    <w:name w:val="Apatinis kolontitulas Diagrama"/>
    <w:qFormat/>
    <w:rPr>
      <w:sz w:val="24"/>
      <w:szCs w:val="24"/>
      <w:lang w:val="lt-LT" w:eastAsia="lt-LT" w:bidi="ar-SA"/>
    </w:rPr>
  </w:style>
  <w:style w:type="character" w:customStyle="1" w:styleId="PaprastasistekstasDiagrama">
    <w:name w:val="Paprastasis tekstas Diagrama"/>
    <w:link w:val="Paprastasistekstas"/>
    <w:uiPriority w:val="99"/>
    <w:rPr>
      <w:rFonts w:ascii="Arial Unicode MS" w:hAnsi="Arial Unicode MS" w:cs="Arial Unicode MS"/>
      <w:sz w:val="24"/>
      <w:szCs w:val="24"/>
      <w:lang w:val="en-US" w:eastAsia="en-US"/>
    </w:rPr>
  </w:style>
  <w:style w:type="paragraph" w:customStyle="1" w:styleId="tajtipfb">
    <w:name w:val="tajtipfb"/>
    <w:basedOn w:val="prastasis"/>
    <w:qFormat/>
    <w:pPr>
      <w:ind w:firstLine="720"/>
      <w:jc w:val="both"/>
    </w:pPr>
    <w:rPr>
      <w:b/>
      <w:bCs/>
      <w:lang w:val="lt-LT" w:eastAsia="lt-LT"/>
    </w:rPr>
  </w:style>
  <w:style w:type="character" w:customStyle="1" w:styleId="PagrindiniotekstotraukaDiagrama">
    <w:name w:val="Pagrindinio teksto įtrauka Diagrama"/>
    <w:link w:val="Pagrindiniotekstotrauka"/>
    <w:qFormat/>
    <w:rPr>
      <w:rFonts w:ascii="TimesLT" w:hAnsi="TimesLT" w:cs="Arial Unicode MS"/>
      <w:sz w:val="24"/>
      <w:szCs w:val="24"/>
      <w:lang w:val="en-US" w:eastAsia="en-US"/>
    </w:rPr>
  </w:style>
  <w:style w:type="character" w:customStyle="1" w:styleId="Pagrindiniotekstotrauka2Diagrama">
    <w:name w:val="Pagrindinio teksto įtrauka 2 Diagrama"/>
    <w:link w:val="Pagrindiniotekstotrauka2"/>
    <w:uiPriority w:val="99"/>
    <w:qFormat/>
    <w:rPr>
      <w:b/>
      <w:bCs/>
      <w:sz w:val="24"/>
      <w:szCs w:val="24"/>
      <w:lang w:eastAsia="en-US"/>
    </w:rPr>
  </w:style>
  <w:style w:type="character" w:customStyle="1" w:styleId="Antrat2Diagrama">
    <w:name w:val="Antraštė 2 Diagrama"/>
    <w:link w:val="Antrat2"/>
    <w:qFormat/>
    <w:rPr>
      <w:b/>
      <w:bCs/>
      <w:sz w:val="24"/>
      <w:szCs w:val="24"/>
      <w:lang w:eastAsia="en-US"/>
    </w:rPr>
  </w:style>
  <w:style w:type="character" w:customStyle="1" w:styleId="Antrat3Diagrama">
    <w:name w:val="Antraštė 3 Diagrama"/>
    <w:link w:val="Antrat3"/>
    <w:qFormat/>
    <w:rPr>
      <w:b/>
      <w:bCs/>
      <w:sz w:val="24"/>
      <w:szCs w:val="24"/>
      <w:lang w:eastAsia="en-US"/>
    </w:rPr>
  </w:style>
  <w:style w:type="character" w:customStyle="1" w:styleId="Antrat4Diagrama">
    <w:name w:val="Antraštė 4 Diagrama"/>
    <w:link w:val="Antrat4"/>
    <w:rPr>
      <w:b/>
      <w:bCs/>
      <w:sz w:val="24"/>
      <w:lang w:eastAsia="en-US"/>
    </w:rPr>
  </w:style>
  <w:style w:type="character" w:customStyle="1" w:styleId="Antrat5Diagrama">
    <w:name w:val="Antraštė 5 Diagrama"/>
    <w:link w:val="Antrat5"/>
    <w:rPr>
      <w:rFonts w:ascii="TimesLT" w:hAnsi="TimesLT"/>
      <w:b/>
      <w:bCs/>
      <w:sz w:val="24"/>
      <w:szCs w:val="24"/>
      <w:lang w:eastAsia="en-US"/>
    </w:rPr>
  </w:style>
  <w:style w:type="character" w:customStyle="1" w:styleId="Antrat6Diagrama">
    <w:name w:val="Antraštė 6 Diagrama"/>
    <w:link w:val="Antrat6"/>
    <w:qFormat/>
    <w:rPr>
      <w:rFonts w:ascii="TimesLT" w:hAnsi="TimesLT"/>
      <w:sz w:val="24"/>
      <w:szCs w:val="24"/>
      <w:lang w:eastAsia="en-US"/>
    </w:rPr>
  </w:style>
  <w:style w:type="character" w:customStyle="1" w:styleId="Antrat7Diagrama">
    <w:name w:val="Antraštė 7 Diagrama"/>
    <w:link w:val="Antrat7"/>
    <w:rPr>
      <w:i/>
      <w:iCs/>
      <w:sz w:val="24"/>
      <w:szCs w:val="24"/>
      <w:lang w:eastAsia="en-US"/>
    </w:rPr>
  </w:style>
  <w:style w:type="character" w:customStyle="1" w:styleId="Antrat8Diagrama">
    <w:name w:val="Antraštė 8 Diagrama"/>
    <w:link w:val="Antrat8"/>
    <w:qFormat/>
    <w:rPr>
      <w:sz w:val="24"/>
      <w:szCs w:val="24"/>
      <w:lang w:eastAsia="en-US"/>
    </w:rPr>
  </w:style>
  <w:style w:type="character" w:customStyle="1" w:styleId="Antrat9Diagrama">
    <w:name w:val="Antraštė 9 Diagrama"/>
    <w:link w:val="Antrat9"/>
    <w:qFormat/>
    <w:rPr>
      <w:rFonts w:ascii="TimesLT" w:hAnsi="TimesLT"/>
      <w:b/>
      <w:sz w:val="24"/>
      <w:lang w:eastAsia="en-US"/>
    </w:rPr>
  </w:style>
  <w:style w:type="character" w:customStyle="1" w:styleId="PagrindinistekstasDiagrama">
    <w:name w:val="Pagrindinis tekstas Diagrama"/>
    <w:link w:val="Pagrindinistekstas"/>
    <w:rPr>
      <w:rFonts w:ascii="TimesLT" w:hAnsi="TimesLT" w:cs="Arial Unicode MS"/>
      <w:sz w:val="24"/>
      <w:szCs w:val="24"/>
      <w:lang w:val="en-US" w:eastAsia="en-US"/>
    </w:rPr>
  </w:style>
  <w:style w:type="character" w:customStyle="1" w:styleId="Pagrindinistekstas2Diagrama">
    <w:name w:val="Pagrindinis tekstas 2 Diagrama"/>
    <w:link w:val="Pagrindinistekstas2"/>
    <w:rPr>
      <w:b/>
      <w:bCs/>
      <w:sz w:val="22"/>
      <w:szCs w:val="24"/>
      <w:lang w:eastAsia="en-US"/>
    </w:rPr>
  </w:style>
  <w:style w:type="character" w:customStyle="1" w:styleId="Pagrindiniotekstotrauka3Diagrama">
    <w:name w:val="Pagrindinio teksto įtrauka 3 Diagrama"/>
    <w:link w:val="Pagrindiniotekstotrauka3"/>
    <w:rPr>
      <w:rFonts w:ascii="TimesLT" w:hAnsi="TimesLT"/>
      <w:sz w:val="24"/>
      <w:szCs w:val="24"/>
      <w:lang w:eastAsia="en-US"/>
    </w:rPr>
  </w:style>
  <w:style w:type="character" w:customStyle="1" w:styleId="AntratsDiagrama">
    <w:name w:val="Antraštės Diagrama"/>
    <w:link w:val="Antrats"/>
    <w:uiPriority w:val="99"/>
    <w:qFormat/>
    <w:rPr>
      <w:lang w:val="en-GB" w:eastAsia="en-US"/>
    </w:rPr>
  </w:style>
  <w:style w:type="character" w:customStyle="1" w:styleId="Pagrindinistekstas3Diagrama">
    <w:name w:val="Pagrindinis tekstas 3 Diagrama"/>
    <w:link w:val="Pagrindinistekstas3"/>
    <w:uiPriority w:val="99"/>
    <w:rPr>
      <w:rFonts w:ascii="TimesLT" w:hAnsi="TimesLT"/>
      <w:sz w:val="24"/>
      <w:szCs w:val="24"/>
      <w:lang w:eastAsia="en-US"/>
    </w:rPr>
  </w:style>
  <w:style w:type="character" w:customStyle="1" w:styleId="PavadinimasDiagrama">
    <w:name w:val="Pavadinimas Diagrama"/>
    <w:link w:val="Pavadinimas"/>
    <w:qFormat/>
    <w:rPr>
      <w:b/>
      <w:bCs/>
      <w:sz w:val="24"/>
      <w:lang w:val="en-GB" w:eastAsia="en-US"/>
    </w:rPr>
  </w:style>
  <w:style w:type="character" w:customStyle="1" w:styleId="DokumentostruktraDiagrama">
    <w:name w:val="Dokumento struktūra Diagrama"/>
    <w:link w:val="Dokumentostruktra"/>
    <w:qFormat/>
    <w:rPr>
      <w:rFonts w:ascii="Tahoma" w:hAnsi="Tahoma" w:cs="Tahoma"/>
      <w:sz w:val="24"/>
      <w:szCs w:val="24"/>
      <w:shd w:val="clear" w:color="auto" w:fill="000080"/>
      <w:lang w:val="en-US" w:eastAsia="en-US"/>
    </w:rPr>
  </w:style>
  <w:style w:type="character" w:customStyle="1" w:styleId="DebesliotekstasDiagrama">
    <w:name w:val="Debesėlio tekstas Diagrama"/>
    <w:link w:val="Debesliotekstas"/>
    <w:uiPriority w:val="99"/>
    <w:qFormat/>
    <w:rPr>
      <w:rFonts w:ascii="Tahoma" w:hAnsi="Tahoma" w:cs="Tahoma"/>
      <w:sz w:val="16"/>
      <w:szCs w:val="16"/>
      <w:lang w:val="en-US" w:eastAsia="en-US"/>
    </w:rPr>
  </w:style>
  <w:style w:type="character" w:customStyle="1" w:styleId="KomentarotekstasDiagrama">
    <w:name w:val="Komentaro tekstas Diagrama"/>
    <w:link w:val="Komentarotekstas"/>
    <w:uiPriority w:val="99"/>
    <w:rPr>
      <w:lang w:val="en-GB" w:eastAsia="en-US"/>
    </w:rPr>
  </w:style>
  <w:style w:type="character" w:customStyle="1" w:styleId="0NumeruotasDiagrama">
    <w:name w:val="0_Numeruotas Diagrama"/>
    <w:link w:val="0Numeruotas"/>
    <w:qFormat/>
    <w:rPr>
      <w:sz w:val="24"/>
      <w:lang w:eastAsia="en-US"/>
    </w:rPr>
  </w:style>
  <w:style w:type="character" w:customStyle="1" w:styleId="00NumertuotasDiagrama">
    <w:name w:val="00_Numertuotas Diagrama"/>
    <w:link w:val="00Numertuotas"/>
    <w:qFormat/>
    <w:rPr>
      <w:sz w:val="24"/>
      <w:lang w:eastAsia="en-US"/>
    </w:rPr>
  </w:style>
  <w:style w:type="character" w:customStyle="1" w:styleId="000NumeruotasDiagrama">
    <w:name w:val="000_Numeruotas Diagrama"/>
    <w:link w:val="000Numeruotas"/>
    <w:qFormat/>
    <w:rPr>
      <w:sz w:val="24"/>
      <w:lang w:eastAsia="en-US"/>
    </w:rPr>
  </w:style>
  <w:style w:type="paragraph" w:customStyle="1" w:styleId="DiagramaDiagramaDiagramaDiagramaDiagramaDiagramaCharChar1">
    <w:name w:val="Diagrama Diagrama Diagrama Diagrama Diagrama Diagrama Char Char1"/>
    <w:basedOn w:val="prastasis"/>
    <w:qFormat/>
    <w:pPr>
      <w:widowControl w:val="0"/>
      <w:adjustRightInd w:val="0"/>
      <w:spacing w:line="240" w:lineRule="exact"/>
      <w:jc w:val="both"/>
      <w:textAlignment w:val="baseline"/>
    </w:pPr>
    <w:rPr>
      <w:rFonts w:ascii="Tahoma" w:hAnsi="Tahoma"/>
      <w:sz w:val="20"/>
      <w:szCs w:val="20"/>
    </w:rPr>
  </w:style>
  <w:style w:type="paragraph" w:customStyle="1" w:styleId="Pagrindinistekstas20">
    <w:name w:val="Pagrindinis tekstas2"/>
    <w:basedOn w:val="prastasis"/>
    <w:qFormat/>
    <w:pPr>
      <w:jc w:val="both"/>
    </w:pPr>
    <w:rPr>
      <w:rFonts w:ascii="TimesLT" w:hAnsi="TimesLT"/>
      <w:lang w:val="lt-LT" w:eastAsia="lt-LT"/>
    </w:rPr>
  </w:style>
  <w:style w:type="paragraph" w:customStyle="1" w:styleId="Sraopastraipa1">
    <w:name w:val="Sąrašo pastraipa1"/>
    <w:basedOn w:val="prastasis"/>
    <w:qFormat/>
    <w:pPr>
      <w:spacing w:after="200" w:line="276" w:lineRule="auto"/>
      <w:ind w:left="720"/>
      <w:contextualSpacing/>
    </w:pPr>
    <w:rPr>
      <w:rFonts w:ascii="Calibri" w:eastAsia="Calibri" w:hAnsi="Calibri"/>
      <w:sz w:val="22"/>
      <w:szCs w:val="22"/>
      <w:lang w:val="lt-LT"/>
    </w:rPr>
  </w:style>
  <w:style w:type="character" w:customStyle="1" w:styleId="Heading1Char">
    <w:name w:val="Heading 1 Char"/>
    <w:qFormat/>
    <w:locked/>
    <w:rPr>
      <w:rFonts w:ascii="TimesLT" w:hAnsi="TimesLT" w:cs="Arial Unicode MS"/>
      <w:b/>
      <w:bCs/>
      <w:kern w:val="36"/>
      <w:sz w:val="24"/>
      <w:szCs w:val="24"/>
      <w:lang w:val="en-US" w:eastAsia="en-US" w:bidi="ar-SA"/>
    </w:rPr>
  </w:style>
  <w:style w:type="character" w:customStyle="1" w:styleId="FooterChar">
    <w:name w:val="Footer Char"/>
    <w:qFormat/>
    <w:locked/>
    <w:rPr>
      <w:rFonts w:ascii="TimesLT" w:hAnsi="TimesLT" w:cs="Arial Unicode MS"/>
      <w:sz w:val="24"/>
      <w:szCs w:val="24"/>
      <w:lang w:val="en-US" w:eastAsia="en-US" w:bidi="ar-SA"/>
    </w:rPr>
  </w:style>
  <w:style w:type="character" w:customStyle="1" w:styleId="DiagramaDiagrama3">
    <w:name w:val="Diagrama Diagrama3"/>
    <w:semiHidden/>
    <w:qFormat/>
    <w:locked/>
    <w:rPr>
      <w:rFonts w:ascii="Arial Unicode MS" w:eastAsia="Times New Roman" w:hAnsi="Arial Unicode MS" w:cs="Arial Unicode MS"/>
      <w:lang w:val="en-US" w:eastAsia="en-US" w:bidi="ar-SA"/>
    </w:rPr>
  </w:style>
  <w:style w:type="paragraph" w:styleId="Sraopastraipa">
    <w:name w:val="List Paragraph"/>
    <w:aliases w:val="List Paragraph (numbered (a)),References,WB List Paragraph,Su numeracija,Akapit z listą,Dot pt,F5 List Paragraph,Recommendation,List Paragraph11,Numerowanie,Kolorowa lista — akcent 11,Akapit z listą1,Listaszerű bekezdés1"/>
    <w:basedOn w:val="prastasis"/>
    <w:link w:val="SraopastraipaDiagrama"/>
    <w:uiPriority w:val="34"/>
    <w:qFormat/>
    <w:pPr>
      <w:ind w:left="720"/>
      <w:contextualSpacing/>
    </w:pPr>
    <w:rPr>
      <w:lang w:val="lt-LT"/>
    </w:rPr>
  </w:style>
  <w:style w:type="paragraph" w:customStyle="1" w:styleId="tip">
    <w:name w:val="tip"/>
    <w:basedOn w:val="prastasis"/>
    <w:qFormat/>
    <w:pPr>
      <w:spacing w:before="100" w:beforeAutospacing="1" w:after="100" w:afterAutospacing="1"/>
    </w:pPr>
    <w:rPr>
      <w:lang w:val="lt-LT" w:eastAsia="lt-LT"/>
    </w:rPr>
  </w:style>
  <w:style w:type="paragraph" w:customStyle="1" w:styleId="Default">
    <w:name w:val="Default"/>
    <w:qFormat/>
    <w:pPr>
      <w:autoSpaceDE w:val="0"/>
      <w:autoSpaceDN w:val="0"/>
      <w:adjustRightInd w:val="0"/>
    </w:pPr>
    <w:rPr>
      <w:color w:val="000000"/>
      <w:sz w:val="24"/>
      <w:szCs w:val="24"/>
    </w:rPr>
  </w:style>
  <w:style w:type="paragraph" w:customStyle="1" w:styleId="taltipfb">
    <w:name w:val="taltipfb"/>
    <w:basedOn w:val="prastasis"/>
    <w:qFormat/>
    <w:pPr>
      <w:spacing w:before="100" w:beforeAutospacing="1" w:after="100" w:afterAutospacing="1"/>
    </w:pPr>
    <w:rPr>
      <w:lang w:val="lt-LT" w:eastAsia="lt-LT"/>
    </w:rPr>
  </w:style>
  <w:style w:type="paragraph" w:customStyle="1" w:styleId="n">
    <w:name w:val="n"/>
    <w:basedOn w:val="prastasis"/>
    <w:qFormat/>
    <w:pPr>
      <w:spacing w:before="100" w:beforeAutospacing="1" w:after="100" w:afterAutospacing="1"/>
    </w:pPr>
    <w:rPr>
      <w:lang w:val="lt-LT" w:eastAsia="lt-LT"/>
    </w:rPr>
  </w:style>
  <w:style w:type="character" w:customStyle="1" w:styleId="KomentarotemaDiagrama">
    <w:name w:val="Komentaro tema Diagrama"/>
    <w:basedOn w:val="KomentarotekstasDiagrama"/>
    <w:link w:val="Komentarotema"/>
    <w:uiPriority w:val="99"/>
    <w:qFormat/>
    <w:rPr>
      <w:rFonts w:eastAsiaTheme="minorHAnsi"/>
      <w:b/>
      <w:bCs/>
      <w:lang w:val="en-GB" w:eastAsia="ja-JP"/>
    </w:rPr>
  </w:style>
  <w:style w:type="paragraph" w:customStyle="1" w:styleId="normal-p">
    <w:name w:val="normal-p"/>
    <w:basedOn w:val="prastasis"/>
    <w:qFormat/>
    <w:pPr>
      <w:spacing w:before="100" w:beforeAutospacing="1" w:after="100" w:afterAutospacing="1"/>
    </w:pPr>
    <w:rPr>
      <w:lang w:val="lt-LT" w:eastAsia="lt-LT"/>
    </w:rPr>
  </w:style>
  <w:style w:type="character" w:customStyle="1" w:styleId="normal-h">
    <w:name w:val="normal-h"/>
    <w:basedOn w:val="Numatytasispastraiposriftas"/>
    <w:qFormat/>
  </w:style>
  <w:style w:type="paragraph" w:customStyle="1" w:styleId="tajtin">
    <w:name w:val="tajtin"/>
    <w:basedOn w:val="prastasis"/>
    <w:qFormat/>
    <w:pPr>
      <w:spacing w:before="100" w:beforeAutospacing="1" w:after="100" w:afterAutospacing="1"/>
    </w:pPr>
    <w:rPr>
      <w:lang w:val="lt-LT" w:eastAsia="lt-LT"/>
    </w:rPr>
  </w:style>
  <w:style w:type="paragraph" w:customStyle="1" w:styleId="tin">
    <w:name w:val="tin"/>
    <w:basedOn w:val="prastasis"/>
    <w:qFormat/>
    <w:pPr>
      <w:spacing w:before="100" w:beforeAutospacing="1" w:after="100" w:afterAutospacing="1"/>
    </w:pPr>
    <w:rPr>
      <w:lang w:val="lt-LT" w:eastAsia="lt-LT"/>
    </w:rPr>
  </w:style>
  <w:style w:type="paragraph" w:customStyle="1" w:styleId="Indent2">
    <w:name w:val="Indent 2"/>
    <w:qFormat/>
    <w:pPr>
      <w:tabs>
        <w:tab w:val="left" w:pos="1120"/>
      </w:tabs>
      <w:suppressAutoHyphens/>
      <w:autoSpaceDE w:val="0"/>
      <w:autoSpaceDN w:val="0"/>
      <w:spacing w:after="80" w:line="240" w:lineRule="atLeast"/>
      <w:ind w:left="1120" w:hanging="560"/>
      <w:jc w:val="both"/>
    </w:pPr>
    <w:rPr>
      <w:color w:val="000000"/>
      <w:w w:val="0"/>
      <w:lang w:val="en-GB"/>
    </w:rPr>
  </w:style>
  <w:style w:type="character" w:customStyle="1" w:styleId="BoldItalic">
    <w:name w:val="Bold Italic"/>
    <w:qFormat/>
    <w:rPr>
      <w:b/>
      <w:bCs/>
      <w:i/>
      <w:iCs/>
    </w:rPr>
  </w:style>
  <w:style w:type="paragraph" w:customStyle="1" w:styleId="CM4">
    <w:name w:val="CM4"/>
    <w:basedOn w:val="prastasis"/>
    <w:next w:val="prastasis"/>
    <w:uiPriority w:val="99"/>
    <w:pPr>
      <w:autoSpaceDE w:val="0"/>
      <w:autoSpaceDN w:val="0"/>
      <w:adjustRightInd w:val="0"/>
    </w:pPr>
    <w:rPr>
      <w:rFonts w:ascii="EUAlbertina" w:hAnsi="EUAlbertina"/>
    </w:rPr>
  </w:style>
  <w:style w:type="paragraph" w:customStyle="1" w:styleId="Indent1">
    <w:name w:val="Indent 1"/>
    <w:pPr>
      <w:tabs>
        <w:tab w:val="left" w:pos="560"/>
      </w:tabs>
      <w:suppressAutoHyphens/>
      <w:autoSpaceDE w:val="0"/>
      <w:autoSpaceDN w:val="0"/>
      <w:spacing w:before="140" w:after="140" w:line="240" w:lineRule="atLeast"/>
      <w:ind w:left="560" w:hanging="560"/>
      <w:jc w:val="both"/>
    </w:pPr>
    <w:rPr>
      <w:color w:val="000000"/>
      <w:w w:val="0"/>
      <w:lang w:val="en-GB"/>
    </w:rPr>
  </w:style>
  <w:style w:type="paragraph" w:customStyle="1" w:styleId="norm3">
    <w:name w:val="norm3"/>
    <w:basedOn w:val="prastasis"/>
    <w:pPr>
      <w:spacing w:before="120" w:line="312" w:lineRule="atLeast"/>
      <w:jc w:val="both"/>
    </w:pPr>
    <w:rPr>
      <w:lang w:val="lt-LT" w:eastAsia="lt-LT"/>
    </w:rPr>
  </w:style>
  <w:style w:type="paragraph" w:customStyle="1" w:styleId="list2">
    <w:name w:val="list2"/>
    <w:basedOn w:val="prastasis"/>
    <w:pPr>
      <w:spacing w:line="312" w:lineRule="atLeast"/>
      <w:ind w:left="240"/>
      <w:jc w:val="both"/>
    </w:pPr>
    <w:rPr>
      <w:lang w:val="lt-LT" w:eastAsia="lt-LT"/>
    </w:rPr>
  </w:style>
  <w:style w:type="paragraph" w:customStyle="1" w:styleId="modref2">
    <w:name w:val="modref2"/>
    <w:basedOn w:val="prastasis"/>
    <w:pPr>
      <w:spacing w:before="120" w:line="312" w:lineRule="atLeast"/>
    </w:pPr>
    <w:rPr>
      <w:b/>
      <w:bCs/>
      <w:lang w:val="lt-LT" w:eastAsia="lt-LT"/>
    </w:rPr>
  </w:style>
  <w:style w:type="paragraph" w:customStyle="1" w:styleId="CM1">
    <w:name w:val="CM1"/>
    <w:basedOn w:val="Default"/>
    <w:next w:val="Default"/>
    <w:uiPriority w:val="99"/>
    <w:rPr>
      <w:color w:val="auto"/>
      <w:lang w:val="en-US" w:eastAsia="en-US"/>
    </w:rPr>
  </w:style>
  <w:style w:type="paragraph" w:customStyle="1" w:styleId="CM3">
    <w:name w:val="CM3"/>
    <w:basedOn w:val="Default"/>
    <w:next w:val="Default"/>
    <w:uiPriority w:val="99"/>
    <w:rPr>
      <w:color w:val="auto"/>
      <w:lang w:val="en-US" w:eastAsia="en-US"/>
    </w:rPr>
  </w:style>
  <w:style w:type="paragraph" w:customStyle="1" w:styleId="norm">
    <w:name w:val="norm"/>
    <w:basedOn w:val="prastasis"/>
    <w:pPr>
      <w:spacing w:before="100" w:beforeAutospacing="1" w:after="100" w:afterAutospacing="1"/>
    </w:pPr>
    <w:rPr>
      <w:lang w:val="lt-LT" w:eastAsia="lt-LT"/>
    </w:rPr>
  </w:style>
  <w:style w:type="character" w:customStyle="1" w:styleId="boldface">
    <w:name w:val="boldface"/>
  </w:style>
  <w:style w:type="character" w:customStyle="1" w:styleId="SLONormalChar">
    <w:name w:val="SLO Normal Char"/>
    <w:link w:val="SLONormal"/>
    <w:locked/>
  </w:style>
  <w:style w:type="paragraph" w:customStyle="1" w:styleId="SLONormal">
    <w:name w:val="SLO Normal"/>
    <w:basedOn w:val="prastasis"/>
    <w:link w:val="SLONormalChar"/>
    <w:pPr>
      <w:spacing w:before="120" w:after="120"/>
      <w:jc w:val="both"/>
    </w:pPr>
    <w:rPr>
      <w:sz w:val="20"/>
      <w:szCs w:val="20"/>
      <w:lang w:val="lt-LT" w:eastAsia="lt-LT"/>
    </w:rPr>
  </w:style>
  <w:style w:type="character" w:customStyle="1" w:styleId="FontStyle12">
    <w:name w:val="Font Style12"/>
    <w:uiPriority w:val="99"/>
    <w:rPr>
      <w:rFonts w:ascii="Arial" w:hAnsi="Arial" w:cs="Arial"/>
      <w:sz w:val="18"/>
      <w:szCs w:val="18"/>
    </w:rPr>
  </w:style>
  <w:style w:type="paragraph" w:styleId="Puslapioinaostekstas">
    <w:name w:val="footnote text"/>
    <w:basedOn w:val="prastasis"/>
    <w:link w:val="PuslapioinaostekstasDiagrama"/>
    <w:uiPriority w:val="99"/>
    <w:semiHidden/>
    <w:unhideWhenUsed/>
    <w:rsid w:val="00C905FC"/>
    <w:pPr>
      <w:spacing w:after="0" w:line="240" w:lineRule="auto"/>
    </w:pPr>
    <w:rPr>
      <w:sz w:val="20"/>
      <w:szCs w:val="20"/>
      <w:lang w:val="lt-LT" w:eastAsia="lt-LT"/>
    </w:rPr>
  </w:style>
  <w:style w:type="character" w:customStyle="1" w:styleId="PuslapioinaostekstasDiagrama">
    <w:name w:val="Puslapio išnašos tekstas Diagrama"/>
    <w:basedOn w:val="Numatytasispastraiposriftas"/>
    <w:link w:val="Puslapioinaostekstas"/>
    <w:uiPriority w:val="99"/>
    <w:semiHidden/>
    <w:rsid w:val="00C905FC"/>
  </w:style>
  <w:style w:type="character" w:styleId="Puslapioinaosnuoroda">
    <w:name w:val="footnote reference"/>
    <w:basedOn w:val="Numatytasispastraiposriftas"/>
    <w:semiHidden/>
    <w:unhideWhenUsed/>
    <w:rsid w:val="00C905FC"/>
    <w:rPr>
      <w:vertAlign w:val="superscript"/>
    </w:rPr>
  </w:style>
  <w:style w:type="paragraph" w:customStyle="1" w:styleId="tartip">
    <w:name w:val="tartip"/>
    <w:basedOn w:val="prastasis"/>
    <w:rsid w:val="00DC637E"/>
    <w:pPr>
      <w:spacing w:before="100" w:beforeAutospacing="1" w:after="100" w:afterAutospacing="1" w:line="240" w:lineRule="auto"/>
    </w:pPr>
    <w:rPr>
      <w:lang w:val="lt-LT" w:eastAsia="lt-LT"/>
    </w:rPr>
  </w:style>
  <w:style w:type="paragraph" w:customStyle="1" w:styleId="Char">
    <w:name w:val="Char"/>
    <w:basedOn w:val="prastasis"/>
    <w:rsid w:val="00DC637E"/>
    <w:pPr>
      <w:widowControl w:val="0"/>
      <w:adjustRightInd w:val="0"/>
      <w:spacing w:line="240" w:lineRule="exact"/>
      <w:jc w:val="both"/>
      <w:textAlignment w:val="baseline"/>
    </w:pPr>
    <w:rPr>
      <w:rFonts w:ascii="Tahoma" w:hAnsi="Tahoma"/>
      <w:sz w:val="20"/>
      <w:szCs w:val="20"/>
    </w:rPr>
  </w:style>
  <w:style w:type="paragraph" w:customStyle="1" w:styleId="tactin">
    <w:name w:val="tactin"/>
    <w:basedOn w:val="prastasis"/>
    <w:rsid w:val="00DC637E"/>
    <w:pPr>
      <w:spacing w:before="100" w:beforeAutospacing="1" w:after="100" w:afterAutospacing="1" w:line="240" w:lineRule="auto"/>
    </w:pPr>
    <w:rPr>
      <w:lang w:val="lt-LT" w:eastAsia="lt-LT"/>
    </w:rPr>
  </w:style>
  <w:style w:type="paragraph" w:customStyle="1" w:styleId="a">
    <w:basedOn w:val="prastasis"/>
    <w:next w:val="prastasiniatinklio"/>
    <w:link w:val="prastasistinklapisDiagrama"/>
    <w:qFormat/>
    <w:rsid w:val="006436F3"/>
    <w:pPr>
      <w:spacing w:before="100" w:beforeAutospacing="1" w:after="100" w:afterAutospacing="1" w:line="240" w:lineRule="auto"/>
    </w:pPr>
    <w:rPr>
      <w:lang w:val="lt-LT" w:eastAsia="lt-LT"/>
    </w:rPr>
  </w:style>
  <w:style w:type="character" w:customStyle="1" w:styleId="prastasistinklapisDiagrama">
    <w:name w:val="Įprastasis (tinklapis) Diagrama"/>
    <w:link w:val="a"/>
    <w:rsid w:val="006436F3"/>
    <w:rPr>
      <w:sz w:val="24"/>
      <w:szCs w:val="24"/>
    </w:rPr>
  </w:style>
  <w:style w:type="table" w:customStyle="1" w:styleId="TableGrid">
    <w:name w:val="TableGrid"/>
    <w:rsid w:val="00644C93"/>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eapdorotaspaminjimas">
    <w:name w:val="Unresolved Mention"/>
    <w:basedOn w:val="Numatytasispastraiposriftas"/>
    <w:uiPriority w:val="99"/>
    <w:semiHidden/>
    <w:unhideWhenUsed/>
    <w:rsid w:val="00E0199A"/>
    <w:rPr>
      <w:color w:val="605E5C"/>
      <w:shd w:val="clear" w:color="auto" w:fill="E1DFDD"/>
    </w:rPr>
  </w:style>
  <w:style w:type="character" w:customStyle="1" w:styleId="SraopastraipaDiagrama">
    <w:name w:val="Sąrašo pastraipa Diagrama"/>
    <w:aliases w:val="List Paragraph (numbered (a)) Diagrama,References Diagrama,WB List Paragraph Diagrama,Su numeracija Diagrama,Akapit z listą Diagrama,Dot pt Diagrama,F5 List Paragraph Diagrama,Recommendation Diagrama,List Paragraph11 Diagrama"/>
    <w:basedOn w:val="Numatytasispastraiposriftas"/>
    <w:link w:val="Sraopastraipa"/>
    <w:uiPriority w:val="34"/>
    <w:qFormat/>
    <w:locked/>
    <w:rsid w:val="00FF230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343">
      <w:bodyDiv w:val="1"/>
      <w:marLeft w:val="0"/>
      <w:marRight w:val="0"/>
      <w:marTop w:val="0"/>
      <w:marBottom w:val="0"/>
      <w:divBdr>
        <w:top w:val="none" w:sz="0" w:space="0" w:color="auto"/>
        <w:left w:val="none" w:sz="0" w:space="0" w:color="auto"/>
        <w:bottom w:val="none" w:sz="0" w:space="0" w:color="auto"/>
        <w:right w:val="none" w:sz="0" w:space="0" w:color="auto"/>
      </w:divBdr>
    </w:div>
    <w:div w:id="83502535">
      <w:bodyDiv w:val="1"/>
      <w:marLeft w:val="0"/>
      <w:marRight w:val="0"/>
      <w:marTop w:val="0"/>
      <w:marBottom w:val="0"/>
      <w:divBdr>
        <w:top w:val="none" w:sz="0" w:space="0" w:color="auto"/>
        <w:left w:val="none" w:sz="0" w:space="0" w:color="auto"/>
        <w:bottom w:val="none" w:sz="0" w:space="0" w:color="auto"/>
        <w:right w:val="none" w:sz="0" w:space="0" w:color="auto"/>
      </w:divBdr>
    </w:div>
    <w:div w:id="117531357">
      <w:bodyDiv w:val="1"/>
      <w:marLeft w:val="0"/>
      <w:marRight w:val="0"/>
      <w:marTop w:val="0"/>
      <w:marBottom w:val="0"/>
      <w:divBdr>
        <w:top w:val="none" w:sz="0" w:space="0" w:color="auto"/>
        <w:left w:val="none" w:sz="0" w:space="0" w:color="auto"/>
        <w:bottom w:val="none" w:sz="0" w:space="0" w:color="auto"/>
        <w:right w:val="none" w:sz="0" w:space="0" w:color="auto"/>
      </w:divBdr>
    </w:div>
    <w:div w:id="187262169">
      <w:bodyDiv w:val="1"/>
      <w:marLeft w:val="0"/>
      <w:marRight w:val="0"/>
      <w:marTop w:val="0"/>
      <w:marBottom w:val="0"/>
      <w:divBdr>
        <w:top w:val="none" w:sz="0" w:space="0" w:color="auto"/>
        <w:left w:val="none" w:sz="0" w:space="0" w:color="auto"/>
        <w:bottom w:val="none" w:sz="0" w:space="0" w:color="auto"/>
        <w:right w:val="none" w:sz="0" w:space="0" w:color="auto"/>
      </w:divBdr>
    </w:div>
    <w:div w:id="190270221">
      <w:bodyDiv w:val="1"/>
      <w:marLeft w:val="0"/>
      <w:marRight w:val="0"/>
      <w:marTop w:val="0"/>
      <w:marBottom w:val="0"/>
      <w:divBdr>
        <w:top w:val="none" w:sz="0" w:space="0" w:color="auto"/>
        <w:left w:val="none" w:sz="0" w:space="0" w:color="auto"/>
        <w:bottom w:val="none" w:sz="0" w:space="0" w:color="auto"/>
        <w:right w:val="none" w:sz="0" w:space="0" w:color="auto"/>
      </w:divBdr>
    </w:div>
    <w:div w:id="220755713">
      <w:bodyDiv w:val="1"/>
      <w:marLeft w:val="0"/>
      <w:marRight w:val="0"/>
      <w:marTop w:val="0"/>
      <w:marBottom w:val="0"/>
      <w:divBdr>
        <w:top w:val="none" w:sz="0" w:space="0" w:color="auto"/>
        <w:left w:val="none" w:sz="0" w:space="0" w:color="auto"/>
        <w:bottom w:val="none" w:sz="0" w:space="0" w:color="auto"/>
        <w:right w:val="none" w:sz="0" w:space="0" w:color="auto"/>
      </w:divBdr>
    </w:div>
    <w:div w:id="322853300">
      <w:bodyDiv w:val="1"/>
      <w:marLeft w:val="0"/>
      <w:marRight w:val="0"/>
      <w:marTop w:val="0"/>
      <w:marBottom w:val="0"/>
      <w:divBdr>
        <w:top w:val="none" w:sz="0" w:space="0" w:color="auto"/>
        <w:left w:val="none" w:sz="0" w:space="0" w:color="auto"/>
        <w:bottom w:val="none" w:sz="0" w:space="0" w:color="auto"/>
        <w:right w:val="none" w:sz="0" w:space="0" w:color="auto"/>
      </w:divBdr>
    </w:div>
    <w:div w:id="328213371">
      <w:bodyDiv w:val="1"/>
      <w:marLeft w:val="0"/>
      <w:marRight w:val="0"/>
      <w:marTop w:val="0"/>
      <w:marBottom w:val="0"/>
      <w:divBdr>
        <w:top w:val="none" w:sz="0" w:space="0" w:color="auto"/>
        <w:left w:val="none" w:sz="0" w:space="0" w:color="auto"/>
        <w:bottom w:val="none" w:sz="0" w:space="0" w:color="auto"/>
        <w:right w:val="none" w:sz="0" w:space="0" w:color="auto"/>
      </w:divBdr>
    </w:div>
    <w:div w:id="328336062">
      <w:bodyDiv w:val="1"/>
      <w:marLeft w:val="0"/>
      <w:marRight w:val="0"/>
      <w:marTop w:val="0"/>
      <w:marBottom w:val="0"/>
      <w:divBdr>
        <w:top w:val="none" w:sz="0" w:space="0" w:color="auto"/>
        <w:left w:val="none" w:sz="0" w:space="0" w:color="auto"/>
        <w:bottom w:val="none" w:sz="0" w:space="0" w:color="auto"/>
        <w:right w:val="none" w:sz="0" w:space="0" w:color="auto"/>
      </w:divBdr>
    </w:div>
    <w:div w:id="333336227">
      <w:bodyDiv w:val="1"/>
      <w:marLeft w:val="0"/>
      <w:marRight w:val="0"/>
      <w:marTop w:val="0"/>
      <w:marBottom w:val="0"/>
      <w:divBdr>
        <w:top w:val="none" w:sz="0" w:space="0" w:color="auto"/>
        <w:left w:val="none" w:sz="0" w:space="0" w:color="auto"/>
        <w:bottom w:val="none" w:sz="0" w:space="0" w:color="auto"/>
        <w:right w:val="none" w:sz="0" w:space="0" w:color="auto"/>
      </w:divBdr>
    </w:div>
    <w:div w:id="359626738">
      <w:bodyDiv w:val="1"/>
      <w:marLeft w:val="0"/>
      <w:marRight w:val="0"/>
      <w:marTop w:val="0"/>
      <w:marBottom w:val="0"/>
      <w:divBdr>
        <w:top w:val="none" w:sz="0" w:space="0" w:color="auto"/>
        <w:left w:val="none" w:sz="0" w:space="0" w:color="auto"/>
        <w:bottom w:val="none" w:sz="0" w:space="0" w:color="auto"/>
        <w:right w:val="none" w:sz="0" w:space="0" w:color="auto"/>
      </w:divBdr>
    </w:div>
    <w:div w:id="366369875">
      <w:bodyDiv w:val="1"/>
      <w:marLeft w:val="0"/>
      <w:marRight w:val="0"/>
      <w:marTop w:val="0"/>
      <w:marBottom w:val="0"/>
      <w:divBdr>
        <w:top w:val="none" w:sz="0" w:space="0" w:color="auto"/>
        <w:left w:val="none" w:sz="0" w:space="0" w:color="auto"/>
        <w:bottom w:val="none" w:sz="0" w:space="0" w:color="auto"/>
        <w:right w:val="none" w:sz="0" w:space="0" w:color="auto"/>
      </w:divBdr>
    </w:div>
    <w:div w:id="436027313">
      <w:bodyDiv w:val="1"/>
      <w:marLeft w:val="0"/>
      <w:marRight w:val="0"/>
      <w:marTop w:val="0"/>
      <w:marBottom w:val="0"/>
      <w:divBdr>
        <w:top w:val="none" w:sz="0" w:space="0" w:color="auto"/>
        <w:left w:val="none" w:sz="0" w:space="0" w:color="auto"/>
        <w:bottom w:val="none" w:sz="0" w:space="0" w:color="auto"/>
        <w:right w:val="none" w:sz="0" w:space="0" w:color="auto"/>
      </w:divBdr>
    </w:div>
    <w:div w:id="442654136">
      <w:bodyDiv w:val="1"/>
      <w:marLeft w:val="0"/>
      <w:marRight w:val="0"/>
      <w:marTop w:val="0"/>
      <w:marBottom w:val="0"/>
      <w:divBdr>
        <w:top w:val="none" w:sz="0" w:space="0" w:color="auto"/>
        <w:left w:val="none" w:sz="0" w:space="0" w:color="auto"/>
        <w:bottom w:val="none" w:sz="0" w:space="0" w:color="auto"/>
        <w:right w:val="none" w:sz="0" w:space="0" w:color="auto"/>
      </w:divBdr>
    </w:div>
    <w:div w:id="488864254">
      <w:bodyDiv w:val="1"/>
      <w:marLeft w:val="0"/>
      <w:marRight w:val="0"/>
      <w:marTop w:val="0"/>
      <w:marBottom w:val="0"/>
      <w:divBdr>
        <w:top w:val="none" w:sz="0" w:space="0" w:color="auto"/>
        <w:left w:val="none" w:sz="0" w:space="0" w:color="auto"/>
        <w:bottom w:val="none" w:sz="0" w:space="0" w:color="auto"/>
        <w:right w:val="none" w:sz="0" w:space="0" w:color="auto"/>
      </w:divBdr>
    </w:div>
    <w:div w:id="544760321">
      <w:bodyDiv w:val="1"/>
      <w:marLeft w:val="0"/>
      <w:marRight w:val="0"/>
      <w:marTop w:val="0"/>
      <w:marBottom w:val="0"/>
      <w:divBdr>
        <w:top w:val="none" w:sz="0" w:space="0" w:color="auto"/>
        <w:left w:val="none" w:sz="0" w:space="0" w:color="auto"/>
        <w:bottom w:val="none" w:sz="0" w:space="0" w:color="auto"/>
        <w:right w:val="none" w:sz="0" w:space="0" w:color="auto"/>
      </w:divBdr>
    </w:div>
    <w:div w:id="564075353">
      <w:bodyDiv w:val="1"/>
      <w:marLeft w:val="0"/>
      <w:marRight w:val="0"/>
      <w:marTop w:val="0"/>
      <w:marBottom w:val="0"/>
      <w:divBdr>
        <w:top w:val="none" w:sz="0" w:space="0" w:color="auto"/>
        <w:left w:val="none" w:sz="0" w:space="0" w:color="auto"/>
        <w:bottom w:val="none" w:sz="0" w:space="0" w:color="auto"/>
        <w:right w:val="none" w:sz="0" w:space="0" w:color="auto"/>
      </w:divBdr>
    </w:div>
    <w:div w:id="565260170">
      <w:bodyDiv w:val="1"/>
      <w:marLeft w:val="0"/>
      <w:marRight w:val="0"/>
      <w:marTop w:val="0"/>
      <w:marBottom w:val="0"/>
      <w:divBdr>
        <w:top w:val="none" w:sz="0" w:space="0" w:color="auto"/>
        <w:left w:val="none" w:sz="0" w:space="0" w:color="auto"/>
        <w:bottom w:val="none" w:sz="0" w:space="0" w:color="auto"/>
        <w:right w:val="none" w:sz="0" w:space="0" w:color="auto"/>
      </w:divBdr>
    </w:div>
    <w:div w:id="570578115">
      <w:bodyDiv w:val="1"/>
      <w:marLeft w:val="0"/>
      <w:marRight w:val="0"/>
      <w:marTop w:val="0"/>
      <w:marBottom w:val="0"/>
      <w:divBdr>
        <w:top w:val="none" w:sz="0" w:space="0" w:color="auto"/>
        <w:left w:val="none" w:sz="0" w:space="0" w:color="auto"/>
        <w:bottom w:val="none" w:sz="0" w:space="0" w:color="auto"/>
        <w:right w:val="none" w:sz="0" w:space="0" w:color="auto"/>
      </w:divBdr>
    </w:div>
    <w:div w:id="594823220">
      <w:bodyDiv w:val="1"/>
      <w:marLeft w:val="0"/>
      <w:marRight w:val="0"/>
      <w:marTop w:val="0"/>
      <w:marBottom w:val="0"/>
      <w:divBdr>
        <w:top w:val="none" w:sz="0" w:space="0" w:color="auto"/>
        <w:left w:val="none" w:sz="0" w:space="0" w:color="auto"/>
        <w:bottom w:val="none" w:sz="0" w:space="0" w:color="auto"/>
        <w:right w:val="none" w:sz="0" w:space="0" w:color="auto"/>
      </w:divBdr>
    </w:div>
    <w:div w:id="601377256">
      <w:bodyDiv w:val="1"/>
      <w:marLeft w:val="0"/>
      <w:marRight w:val="0"/>
      <w:marTop w:val="0"/>
      <w:marBottom w:val="0"/>
      <w:divBdr>
        <w:top w:val="none" w:sz="0" w:space="0" w:color="auto"/>
        <w:left w:val="none" w:sz="0" w:space="0" w:color="auto"/>
        <w:bottom w:val="none" w:sz="0" w:space="0" w:color="auto"/>
        <w:right w:val="none" w:sz="0" w:space="0" w:color="auto"/>
      </w:divBdr>
    </w:div>
    <w:div w:id="631130832">
      <w:bodyDiv w:val="1"/>
      <w:marLeft w:val="0"/>
      <w:marRight w:val="0"/>
      <w:marTop w:val="0"/>
      <w:marBottom w:val="0"/>
      <w:divBdr>
        <w:top w:val="none" w:sz="0" w:space="0" w:color="auto"/>
        <w:left w:val="none" w:sz="0" w:space="0" w:color="auto"/>
        <w:bottom w:val="none" w:sz="0" w:space="0" w:color="auto"/>
        <w:right w:val="none" w:sz="0" w:space="0" w:color="auto"/>
      </w:divBdr>
    </w:div>
    <w:div w:id="657073638">
      <w:bodyDiv w:val="1"/>
      <w:marLeft w:val="0"/>
      <w:marRight w:val="0"/>
      <w:marTop w:val="0"/>
      <w:marBottom w:val="0"/>
      <w:divBdr>
        <w:top w:val="none" w:sz="0" w:space="0" w:color="auto"/>
        <w:left w:val="none" w:sz="0" w:space="0" w:color="auto"/>
        <w:bottom w:val="none" w:sz="0" w:space="0" w:color="auto"/>
        <w:right w:val="none" w:sz="0" w:space="0" w:color="auto"/>
      </w:divBdr>
    </w:div>
    <w:div w:id="673650188">
      <w:bodyDiv w:val="1"/>
      <w:marLeft w:val="0"/>
      <w:marRight w:val="0"/>
      <w:marTop w:val="0"/>
      <w:marBottom w:val="0"/>
      <w:divBdr>
        <w:top w:val="none" w:sz="0" w:space="0" w:color="auto"/>
        <w:left w:val="none" w:sz="0" w:space="0" w:color="auto"/>
        <w:bottom w:val="none" w:sz="0" w:space="0" w:color="auto"/>
        <w:right w:val="none" w:sz="0" w:space="0" w:color="auto"/>
      </w:divBdr>
    </w:div>
    <w:div w:id="706292757">
      <w:bodyDiv w:val="1"/>
      <w:marLeft w:val="0"/>
      <w:marRight w:val="0"/>
      <w:marTop w:val="0"/>
      <w:marBottom w:val="0"/>
      <w:divBdr>
        <w:top w:val="none" w:sz="0" w:space="0" w:color="auto"/>
        <w:left w:val="none" w:sz="0" w:space="0" w:color="auto"/>
        <w:bottom w:val="none" w:sz="0" w:space="0" w:color="auto"/>
        <w:right w:val="none" w:sz="0" w:space="0" w:color="auto"/>
      </w:divBdr>
    </w:div>
    <w:div w:id="751390974">
      <w:bodyDiv w:val="1"/>
      <w:marLeft w:val="0"/>
      <w:marRight w:val="0"/>
      <w:marTop w:val="0"/>
      <w:marBottom w:val="0"/>
      <w:divBdr>
        <w:top w:val="none" w:sz="0" w:space="0" w:color="auto"/>
        <w:left w:val="none" w:sz="0" w:space="0" w:color="auto"/>
        <w:bottom w:val="none" w:sz="0" w:space="0" w:color="auto"/>
        <w:right w:val="none" w:sz="0" w:space="0" w:color="auto"/>
      </w:divBdr>
    </w:div>
    <w:div w:id="776292196">
      <w:bodyDiv w:val="1"/>
      <w:marLeft w:val="0"/>
      <w:marRight w:val="0"/>
      <w:marTop w:val="0"/>
      <w:marBottom w:val="0"/>
      <w:divBdr>
        <w:top w:val="none" w:sz="0" w:space="0" w:color="auto"/>
        <w:left w:val="none" w:sz="0" w:space="0" w:color="auto"/>
        <w:bottom w:val="none" w:sz="0" w:space="0" w:color="auto"/>
        <w:right w:val="none" w:sz="0" w:space="0" w:color="auto"/>
      </w:divBdr>
    </w:div>
    <w:div w:id="776556670">
      <w:bodyDiv w:val="1"/>
      <w:marLeft w:val="0"/>
      <w:marRight w:val="0"/>
      <w:marTop w:val="0"/>
      <w:marBottom w:val="0"/>
      <w:divBdr>
        <w:top w:val="none" w:sz="0" w:space="0" w:color="auto"/>
        <w:left w:val="none" w:sz="0" w:space="0" w:color="auto"/>
        <w:bottom w:val="none" w:sz="0" w:space="0" w:color="auto"/>
        <w:right w:val="none" w:sz="0" w:space="0" w:color="auto"/>
      </w:divBdr>
    </w:div>
    <w:div w:id="863902387">
      <w:bodyDiv w:val="1"/>
      <w:marLeft w:val="0"/>
      <w:marRight w:val="0"/>
      <w:marTop w:val="0"/>
      <w:marBottom w:val="0"/>
      <w:divBdr>
        <w:top w:val="none" w:sz="0" w:space="0" w:color="auto"/>
        <w:left w:val="none" w:sz="0" w:space="0" w:color="auto"/>
        <w:bottom w:val="none" w:sz="0" w:space="0" w:color="auto"/>
        <w:right w:val="none" w:sz="0" w:space="0" w:color="auto"/>
      </w:divBdr>
    </w:div>
    <w:div w:id="866528756">
      <w:bodyDiv w:val="1"/>
      <w:marLeft w:val="0"/>
      <w:marRight w:val="0"/>
      <w:marTop w:val="0"/>
      <w:marBottom w:val="0"/>
      <w:divBdr>
        <w:top w:val="none" w:sz="0" w:space="0" w:color="auto"/>
        <w:left w:val="none" w:sz="0" w:space="0" w:color="auto"/>
        <w:bottom w:val="none" w:sz="0" w:space="0" w:color="auto"/>
        <w:right w:val="none" w:sz="0" w:space="0" w:color="auto"/>
      </w:divBdr>
    </w:div>
    <w:div w:id="932057922">
      <w:bodyDiv w:val="1"/>
      <w:marLeft w:val="0"/>
      <w:marRight w:val="0"/>
      <w:marTop w:val="0"/>
      <w:marBottom w:val="0"/>
      <w:divBdr>
        <w:top w:val="none" w:sz="0" w:space="0" w:color="auto"/>
        <w:left w:val="none" w:sz="0" w:space="0" w:color="auto"/>
        <w:bottom w:val="none" w:sz="0" w:space="0" w:color="auto"/>
        <w:right w:val="none" w:sz="0" w:space="0" w:color="auto"/>
      </w:divBdr>
    </w:div>
    <w:div w:id="934895966">
      <w:bodyDiv w:val="1"/>
      <w:marLeft w:val="0"/>
      <w:marRight w:val="0"/>
      <w:marTop w:val="0"/>
      <w:marBottom w:val="0"/>
      <w:divBdr>
        <w:top w:val="none" w:sz="0" w:space="0" w:color="auto"/>
        <w:left w:val="none" w:sz="0" w:space="0" w:color="auto"/>
        <w:bottom w:val="none" w:sz="0" w:space="0" w:color="auto"/>
        <w:right w:val="none" w:sz="0" w:space="0" w:color="auto"/>
      </w:divBdr>
    </w:div>
    <w:div w:id="939606849">
      <w:bodyDiv w:val="1"/>
      <w:marLeft w:val="0"/>
      <w:marRight w:val="0"/>
      <w:marTop w:val="0"/>
      <w:marBottom w:val="0"/>
      <w:divBdr>
        <w:top w:val="none" w:sz="0" w:space="0" w:color="auto"/>
        <w:left w:val="none" w:sz="0" w:space="0" w:color="auto"/>
        <w:bottom w:val="none" w:sz="0" w:space="0" w:color="auto"/>
        <w:right w:val="none" w:sz="0" w:space="0" w:color="auto"/>
      </w:divBdr>
    </w:div>
    <w:div w:id="990716663">
      <w:bodyDiv w:val="1"/>
      <w:marLeft w:val="0"/>
      <w:marRight w:val="0"/>
      <w:marTop w:val="0"/>
      <w:marBottom w:val="0"/>
      <w:divBdr>
        <w:top w:val="none" w:sz="0" w:space="0" w:color="auto"/>
        <w:left w:val="none" w:sz="0" w:space="0" w:color="auto"/>
        <w:bottom w:val="none" w:sz="0" w:space="0" w:color="auto"/>
        <w:right w:val="none" w:sz="0" w:space="0" w:color="auto"/>
      </w:divBdr>
    </w:div>
    <w:div w:id="1002775212">
      <w:bodyDiv w:val="1"/>
      <w:marLeft w:val="0"/>
      <w:marRight w:val="0"/>
      <w:marTop w:val="0"/>
      <w:marBottom w:val="0"/>
      <w:divBdr>
        <w:top w:val="none" w:sz="0" w:space="0" w:color="auto"/>
        <w:left w:val="none" w:sz="0" w:space="0" w:color="auto"/>
        <w:bottom w:val="none" w:sz="0" w:space="0" w:color="auto"/>
        <w:right w:val="none" w:sz="0" w:space="0" w:color="auto"/>
      </w:divBdr>
    </w:div>
    <w:div w:id="1007908070">
      <w:bodyDiv w:val="1"/>
      <w:marLeft w:val="0"/>
      <w:marRight w:val="0"/>
      <w:marTop w:val="0"/>
      <w:marBottom w:val="0"/>
      <w:divBdr>
        <w:top w:val="none" w:sz="0" w:space="0" w:color="auto"/>
        <w:left w:val="none" w:sz="0" w:space="0" w:color="auto"/>
        <w:bottom w:val="none" w:sz="0" w:space="0" w:color="auto"/>
        <w:right w:val="none" w:sz="0" w:space="0" w:color="auto"/>
      </w:divBdr>
    </w:div>
    <w:div w:id="1034228785">
      <w:bodyDiv w:val="1"/>
      <w:marLeft w:val="0"/>
      <w:marRight w:val="0"/>
      <w:marTop w:val="0"/>
      <w:marBottom w:val="0"/>
      <w:divBdr>
        <w:top w:val="none" w:sz="0" w:space="0" w:color="auto"/>
        <w:left w:val="none" w:sz="0" w:space="0" w:color="auto"/>
        <w:bottom w:val="none" w:sz="0" w:space="0" w:color="auto"/>
        <w:right w:val="none" w:sz="0" w:space="0" w:color="auto"/>
      </w:divBdr>
    </w:div>
    <w:div w:id="1058435745">
      <w:bodyDiv w:val="1"/>
      <w:marLeft w:val="0"/>
      <w:marRight w:val="0"/>
      <w:marTop w:val="0"/>
      <w:marBottom w:val="0"/>
      <w:divBdr>
        <w:top w:val="none" w:sz="0" w:space="0" w:color="auto"/>
        <w:left w:val="none" w:sz="0" w:space="0" w:color="auto"/>
        <w:bottom w:val="none" w:sz="0" w:space="0" w:color="auto"/>
        <w:right w:val="none" w:sz="0" w:space="0" w:color="auto"/>
      </w:divBdr>
    </w:div>
    <w:div w:id="1060593235">
      <w:bodyDiv w:val="1"/>
      <w:marLeft w:val="0"/>
      <w:marRight w:val="0"/>
      <w:marTop w:val="0"/>
      <w:marBottom w:val="0"/>
      <w:divBdr>
        <w:top w:val="none" w:sz="0" w:space="0" w:color="auto"/>
        <w:left w:val="none" w:sz="0" w:space="0" w:color="auto"/>
        <w:bottom w:val="none" w:sz="0" w:space="0" w:color="auto"/>
        <w:right w:val="none" w:sz="0" w:space="0" w:color="auto"/>
      </w:divBdr>
      <w:divsChild>
        <w:div w:id="869538763">
          <w:marLeft w:val="0"/>
          <w:marRight w:val="0"/>
          <w:marTop w:val="0"/>
          <w:marBottom w:val="0"/>
          <w:divBdr>
            <w:top w:val="none" w:sz="0" w:space="0" w:color="auto"/>
            <w:left w:val="none" w:sz="0" w:space="0" w:color="auto"/>
            <w:bottom w:val="none" w:sz="0" w:space="0" w:color="auto"/>
            <w:right w:val="none" w:sz="0" w:space="0" w:color="auto"/>
          </w:divBdr>
          <w:divsChild>
            <w:div w:id="1346446920">
              <w:marLeft w:val="0"/>
              <w:marRight w:val="0"/>
              <w:marTop w:val="0"/>
              <w:marBottom w:val="0"/>
              <w:divBdr>
                <w:top w:val="none" w:sz="0" w:space="0" w:color="auto"/>
                <w:left w:val="none" w:sz="0" w:space="0" w:color="auto"/>
                <w:bottom w:val="none" w:sz="0" w:space="0" w:color="auto"/>
                <w:right w:val="none" w:sz="0" w:space="0" w:color="auto"/>
              </w:divBdr>
            </w:div>
            <w:div w:id="969018484">
              <w:marLeft w:val="0"/>
              <w:marRight w:val="0"/>
              <w:marTop w:val="0"/>
              <w:marBottom w:val="0"/>
              <w:divBdr>
                <w:top w:val="none" w:sz="0" w:space="0" w:color="auto"/>
                <w:left w:val="none" w:sz="0" w:space="0" w:color="auto"/>
                <w:bottom w:val="none" w:sz="0" w:space="0" w:color="auto"/>
                <w:right w:val="none" w:sz="0" w:space="0" w:color="auto"/>
              </w:divBdr>
            </w:div>
            <w:div w:id="14850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3124">
      <w:bodyDiv w:val="1"/>
      <w:marLeft w:val="0"/>
      <w:marRight w:val="0"/>
      <w:marTop w:val="0"/>
      <w:marBottom w:val="0"/>
      <w:divBdr>
        <w:top w:val="none" w:sz="0" w:space="0" w:color="auto"/>
        <w:left w:val="none" w:sz="0" w:space="0" w:color="auto"/>
        <w:bottom w:val="none" w:sz="0" w:space="0" w:color="auto"/>
        <w:right w:val="none" w:sz="0" w:space="0" w:color="auto"/>
      </w:divBdr>
    </w:div>
    <w:div w:id="1116753392">
      <w:bodyDiv w:val="1"/>
      <w:marLeft w:val="0"/>
      <w:marRight w:val="0"/>
      <w:marTop w:val="0"/>
      <w:marBottom w:val="0"/>
      <w:divBdr>
        <w:top w:val="none" w:sz="0" w:space="0" w:color="auto"/>
        <w:left w:val="none" w:sz="0" w:space="0" w:color="auto"/>
        <w:bottom w:val="none" w:sz="0" w:space="0" w:color="auto"/>
        <w:right w:val="none" w:sz="0" w:space="0" w:color="auto"/>
      </w:divBdr>
    </w:div>
    <w:div w:id="1136529954">
      <w:bodyDiv w:val="1"/>
      <w:marLeft w:val="0"/>
      <w:marRight w:val="0"/>
      <w:marTop w:val="0"/>
      <w:marBottom w:val="0"/>
      <w:divBdr>
        <w:top w:val="none" w:sz="0" w:space="0" w:color="auto"/>
        <w:left w:val="none" w:sz="0" w:space="0" w:color="auto"/>
        <w:bottom w:val="none" w:sz="0" w:space="0" w:color="auto"/>
        <w:right w:val="none" w:sz="0" w:space="0" w:color="auto"/>
      </w:divBdr>
    </w:div>
    <w:div w:id="1139569241">
      <w:bodyDiv w:val="1"/>
      <w:marLeft w:val="0"/>
      <w:marRight w:val="0"/>
      <w:marTop w:val="0"/>
      <w:marBottom w:val="0"/>
      <w:divBdr>
        <w:top w:val="none" w:sz="0" w:space="0" w:color="auto"/>
        <w:left w:val="none" w:sz="0" w:space="0" w:color="auto"/>
        <w:bottom w:val="none" w:sz="0" w:space="0" w:color="auto"/>
        <w:right w:val="none" w:sz="0" w:space="0" w:color="auto"/>
      </w:divBdr>
    </w:div>
    <w:div w:id="1149707150">
      <w:bodyDiv w:val="1"/>
      <w:marLeft w:val="0"/>
      <w:marRight w:val="0"/>
      <w:marTop w:val="0"/>
      <w:marBottom w:val="0"/>
      <w:divBdr>
        <w:top w:val="none" w:sz="0" w:space="0" w:color="auto"/>
        <w:left w:val="none" w:sz="0" w:space="0" w:color="auto"/>
        <w:bottom w:val="none" w:sz="0" w:space="0" w:color="auto"/>
        <w:right w:val="none" w:sz="0" w:space="0" w:color="auto"/>
      </w:divBdr>
    </w:div>
    <w:div w:id="1183084799">
      <w:bodyDiv w:val="1"/>
      <w:marLeft w:val="0"/>
      <w:marRight w:val="0"/>
      <w:marTop w:val="0"/>
      <w:marBottom w:val="0"/>
      <w:divBdr>
        <w:top w:val="none" w:sz="0" w:space="0" w:color="auto"/>
        <w:left w:val="none" w:sz="0" w:space="0" w:color="auto"/>
        <w:bottom w:val="none" w:sz="0" w:space="0" w:color="auto"/>
        <w:right w:val="none" w:sz="0" w:space="0" w:color="auto"/>
      </w:divBdr>
    </w:div>
    <w:div w:id="1190528133">
      <w:bodyDiv w:val="1"/>
      <w:marLeft w:val="0"/>
      <w:marRight w:val="0"/>
      <w:marTop w:val="0"/>
      <w:marBottom w:val="0"/>
      <w:divBdr>
        <w:top w:val="none" w:sz="0" w:space="0" w:color="auto"/>
        <w:left w:val="none" w:sz="0" w:space="0" w:color="auto"/>
        <w:bottom w:val="none" w:sz="0" w:space="0" w:color="auto"/>
        <w:right w:val="none" w:sz="0" w:space="0" w:color="auto"/>
      </w:divBdr>
    </w:div>
    <w:div w:id="1200970259">
      <w:bodyDiv w:val="1"/>
      <w:marLeft w:val="0"/>
      <w:marRight w:val="0"/>
      <w:marTop w:val="0"/>
      <w:marBottom w:val="0"/>
      <w:divBdr>
        <w:top w:val="none" w:sz="0" w:space="0" w:color="auto"/>
        <w:left w:val="none" w:sz="0" w:space="0" w:color="auto"/>
        <w:bottom w:val="none" w:sz="0" w:space="0" w:color="auto"/>
        <w:right w:val="none" w:sz="0" w:space="0" w:color="auto"/>
      </w:divBdr>
    </w:div>
    <w:div w:id="1245651668">
      <w:bodyDiv w:val="1"/>
      <w:marLeft w:val="0"/>
      <w:marRight w:val="0"/>
      <w:marTop w:val="0"/>
      <w:marBottom w:val="0"/>
      <w:divBdr>
        <w:top w:val="none" w:sz="0" w:space="0" w:color="auto"/>
        <w:left w:val="none" w:sz="0" w:space="0" w:color="auto"/>
        <w:bottom w:val="none" w:sz="0" w:space="0" w:color="auto"/>
        <w:right w:val="none" w:sz="0" w:space="0" w:color="auto"/>
      </w:divBdr>
    </w:div>
    <w:div w:id="1250116226">
      <w:bodyDiv w:val="1"/>
      <w:marLeft w:val="0"/>
      <w:marRight w:val="0"/>
      <w:marTop w:val="0"/>
      <w:marBottom w:val="0"/>
      <w:divBdr>
        <w:top w:val="none" w:sz="0" w:space="0" w:color="auto"/>
        <w:left w:val="none" w:sz="0" w:space="0" w:color="auto"/>
        <w:bottom w:val="none" w:sz="0" w:space="0" w:color="auto"/>
        <w:right w:val="none" w:sz="0" w:space="0" w:color="auto"/>
      </w:divBdr>
    </w:div>
    <w:div w:id="1262184188">
      <w:bodyDiv w:val="1"/>
      <w:marLeft w:val="0"/>
      <w:marRight w:val="0"/>
      <w:marTop w:val="0"/>
      <w:marBottom w:val="0"/>
      <w:divBdr>
        <w:top w:val="none" w:sz="0" w:space="0" w:color="auto"/>
        <w:left w:val="none" w:sz="0" w:space="0" w:color="auto"/>
        <w:bottom w:val="none" w:sz="0" w:space="0" w:color="auto"/>
        <w:right w:val="none" w:sz="0" w:space="0" w:color="auto"/>
      </w:divBdr>
    </w:div>
    <w:div w:id="1262950082">
      <w:bodyDiv w:val="1"/>
      <w:marLeft w:val="0"/>
      <w:marRight w:val="0"/>
      <w:marTop w:val="0"/>
      <w:marBottom w:val="0"/>
      <w:divBdr>
        <w:top w:val="none" w:sz="0" w:space="0" w:color="auto"/>
        <w:left w:val="none" w:sz="0" w:space="0" w:color="auto"/>
        <w:bottom w:val="none" w:sz="0" w:space="0" w:color="auto"/>
        <w:right w:val="none" w:sz="0" w:space="0" w:color="auto"/>
      </w:divBdr>
    </w:div>
    <w:div w:id="1289974256">
      <w:bodyDiv w:val="1"/>
      <w:marLeft w:val="0"/>
      <w:marRight w:val="0"/>
      <w:marTop w:val="0"/>
      <w:marBottom w:val="0"/>
      <w:divBdr>
        <w:top w:val="none" w:sz="0" w:space="0" w:color="auto"/>
        <w:left w:val="none" w:sz="0" w:space="0" w:color="auto"/>
        <w:bottom w:val="none" w:sz="0" w:space="0" w:color="auto"/>
        <w:right w:val="none" w:sz="0" w:space="0" w:color="auto"/>
      </w:divBdr>
    </w:div>
    <w:div w:id="1298411119">
      <w:bodyDiv w:val="1"/>
      <w:marLeft w:val="0"/>
      <w:marRight w:val="0"/>
      <w:marTop w:val="0"/>
      <w:marBottom w:val="0"/>
      <w:divBdr>
        <w:top w:val="none" w:sz="0" w:space="0" w:color="auto"/>
        <w:left w:val="none" w:sz="0" w:space="0" w:color="auto"/>
        <w:bottom w:val="none" w:sz="0" w:space="0" w:color="auto"/>
        <w:right w:val="none" w:sz="0" w:space="0" w:color="auto"/>
      </w:divBdr>
    </w:div>
    <w:div w:id="1318070856">
      <w:bodyDiv w:val="1"/>
      <w:marLeft w:val="0"/>
      <w:marRight w:val="0"/>
      <w:marTop w:val="0"/>
      <w:marBottom w:val="0"/>
      <w:divBdr>
        <w:top w:val="none" w:sz="0" w:space="0" w:color="auto"/>
        <w:left w:val="none" w:sz="0" w:space="0" w:color="auto"/>
        <w:bottom w:val="none" w:sz="0" w:space="0" w:color="auto"/>
        <w:right w:val="none" w:sz="0" w:space="0" w:color="auto"/>
      </w:divBdr>
    </w:div>
    <w:div w:id="1336347899">
      <w:bodyDiv w:val="1"/>
      <w:marLeft w:val="0"/>
      <w:marRight w:val="0"/>
      <w:marTop w:val="0"/>
      <w:marBottom w:val="0"/>
      <w:divBdr>
        <w:top w:val="none" w:sz="0" w:space="0" w:color="auto"/>
        <w:left w:val="none" w:sz="0" w:space="0" w:color="auto"/>
        <w:bottom w:val="none" w:sz="0" w:space="0" w:color="auto"/>
        <w:right w:val="none" w:sz="0" w:space="0" w:color="auto"/>
      </w:divBdr>
    </w:div>
    <w:div w:id="1384208577">
      <w:bodyDiv w:val="1"/>
      <w:marLeft w:val="0"/>
      <w:marRight w:val="0"/>
      <w:marTop w:val="0"/>
      <w:marBottom w:val="0"/>
      <w:divBdr>
        <w:top w:val="none" w:sz="0" w:space="0" w:color="auto"/>
        <w:left w:val="none" w:sz="0" w:space="0" w:color="auto"/>
        <w:bottom w:val="none" w:sz="0" w:space="0" w:color="auto"/>
        <w:right w:val="none" w:sz="0" w:space="0" w:color="auto"/>
      </w:divBdr>
    </w:div>
    <w:div w:id="1399012789">
      <w:bodyDiv w:val="1"/>
      <w:marLeft w:val="0"/>
      <w:marRight w:val="0"/>
      <w:marTop w:val="0"/>
      <w:marBottom w:val="0"/>
      <w:divBdr>
        <w:top w:val="none" w:sz="0" w:space="0" w:color="auto"/>
        <w:left w:val="none" w:sz="0" w:space="0" w:color="auto"/>
        <w:bottom w:val="none" w:sz="0" w:space="0" w:color="auto"/>
        <w:right w:val="none" w:sz="0" w:space="0" w:color="auto"/>
      </w:divBdr>
    </w:div>
    <w:div w:id="1416827795">
      <w:bodyDiv w:val="1"/>
      <w:marLeft w:val="0"/>
      <w:marRight w:val="0"/>
      <w:marTop w:val="0"/>
      <w:marBottom w:val="0"/>
      <w:divBdr>
        <w:top w:val="none" w:sz="0" w:space="0" w:color="auto"/>
        <w:left w:val="none" w:sz="0" w:space="0" w:color="auto"/>
        <w:bottom w:val="none" w:sz="0" w:space="0" w:color="auto"/>
        <w:right w:val="none" w:sz="0" w:space="0" w:color="auto"/>
      </w:divBdr>
    </w:div>
    <w:div w:id="1432898285">
      <w:bodyDiv w:val="1"/>
      <w:marLeft w:val="0"/>
      <w:marRight w:val="0"/>
      <w:marTop w:val="0"/>
      <w:marBottom w:val="0"/>
      <w:divBdr>
        <w:top w:val="none" w:sz="0" w:space="0" w:color="auto"/>
        <w:left w:val="none" w:sz="0" w:space="0" w:color="auto"/>
        <w:bottom w:val="none" w:sz="0" w:space="0" w:color="auto"/>
        <w:right w:val="none" w:sz="0" w:space="0" w:color="auto"/>
      </w:divBdr>
    </w:div>
    <w:div w:id="1433479592">
      <w:bodyDiv w:val="1"/>
      <w:marLeft w:val="0"/>
      <w:marRight w:val="0"/>
      <w:marTop w:val="0"/>
      <w:marBottom w:val="0"/>
      <w:divBdr>
        <w:top w:val="none" w:sz="0" w:space="0" w:color="auto"/>
        <w:left w:val="none" w:sz="0" w:space="0" w:color="auto"/>
        <w:bottom w:val="none" w:sz="0" w:space="0" w:color="auto"/>
        <w:right w:val="none" w:sz="0" w:space="0" w:color="auto"/>
      </w:divBdr>
    </w:div>
    <w:div w:id="1444494818">
      <w:bodyDiv w:val="1"/>
      <w:marLeft w:val="0"/>
      <w:marRight w:val="0"/>
      <w:marTop w:val="0"/>
      <w:marBottom w:val="0"/>
      <w:divBdr>
        <w:top w:val="none" w:sz="0" w:space="0" w:color="auto"/>
        <w:left w:val="none" w:sz="0" w:space="0" w:color="auto"/>
        <w:bottom w:val="none" w:sz="0" w:space="0" w:color="auto"/>
        <w:right w:val="none" w:sz="0" w:space="0" w:color="auto"/>
      </w:divBdr>
    </w:div>
    <w:div w:id="1471170651">
      <w:bodyDiv w:val="1"/>
      <w:marLeft w:val="0"/>
      <w:marRight w:val="0"/>
      <w:marTop w:val="0"/>
      <w:marBottom w:val="0"/>
      <w:divBdr>
        <w:top w:val="none" w:sz="0" w:space="0" w:color="auto"/>
        <w:left w:val="none" w:sz="0" w:space="0" w:color="auto"/>
        <w:bottom w:val="none" w:sz="0" w:space="0" w:color="auto"/>
        <w:right w:val="none" w:sz="0" w:space="0" w:color="auto"/>
      </w:divBdr>
      <w:divsChild>
        <w:div w:id="740713047">
          <w:marLeft w:val="0"/>
          <w:marRight w:val="0"/>
          <w:marTop w:val="0"/>
          <w:marBottom w:val="0"/>
          <w:divBdr>
            <w:top w:val="none" w:sz="0" w:space="0" w:color="auto"/>
            <w:left w:val="none" w:sz="0" w:space="0" w:color="auto"/>
            <w:bottom w:val="none" w:sz="0" w:space="0" w:color="auto"/>
            <w:right w:val="none" w:sz="0" w:space="0" w:color="auto"/>
          </w:divBdr>
        </w:div>
        <w:div w:id="1490441813">
          <w:marLeft w:val="0"/>
          <w:marRight w:val="0"/>
          <w:marTop w:val="0"/>
          <w:marBottom w:val="0"/>
          <w:divBdr>
            <w:top w:val="none" w:sz="0" w:space="0" w:color="auto"/>
            <w:left w:val="none" w:sz="0" w:space="0" w:color="auto"/>
            <w:bottom w:val="none" w:sz="0" w:space="0" w:color="auto"/>
            <w:right w:val="none" w:sz="0" w:space="0" w:color="auto"/>
          </w:divBdr>
        </w:div>
        <w:div w:id="778791614">
          <w:marLeft w:val="0"/>
          <w:marRight w:val="0"/>
          <w:marTop w:val="0"/>
          <w:marBottom w:val="0"/>
          <w:divBdr>
            <w:top w:val="none" w:sz="0" w:space="0" w:color="auto"/>
            <w:left w:val="none" w:sz="0" w:space="0" w:color="auto"/>
            <w:bottom w:val="none" w:sz="0" w:space="0" w:color="auto"/>
            <w:right w:val="none" w:sz="0" w:space="0" w:color="auto"/>
          </w:divBdr>
        </w:div>
        <w:div w:id="509609131">
          <w:marLeft w:val="0"/>
          <w:marRight w:val="0"/>
          <w:marTop w:val="0"/>
          <w:marBottom w:val="0"/>
          <w:divBdr>
            <w:top w:val="none" w:sz="0" w:space="0" w:color="auto"/>
            <w:left w:val="none" w:sz="0" w:space="0" w:color="auto"/>
            <w:bottom w:val="none" w:sz="0" w:space="0" w:color="auto"/>
            <w:right w:val="none" w:sz="0" w:space="0" w:color="auto"/>
          </w:divBdr>
        </w:div>
        <w:div w:id="646402680">
          <w:marLeft w:val="0"/>
          <w:marRight w:val="0"/>
          <w:marTop w:val="0"/>
          <w:marBottom w:val="0"/>
          <w:divBdr>
            <w:top w:val="none" w:sz="0" w:space="0" w:color="auto"/>
            <w:left w:val="none" w:sz="0" w:space="0" w:color="auto"/>
            <w:bottom w:val="none" w:sz="0" w:space="0" w:color="auto"/>
            <w:right w:val="none" w:sz="0" w:space="0" w:color="auto"/>
          </w:divBdr>
        </w:div>
        <w:div w:id="1800953441">
          <w:marLeft w:val="0"/>
          <w:marRight w:val="0"/>
          <w:marTop w:val="0"/>
          <w:marBottom w:val="0"/>
          <w:divBdr>
            <w:top w:val="none" w:sz="0" w:space="0" w:color="auto"/>
            <w:left w:val="none" w:sz="0" w:space="0" w:color="auto"/>
            <w:bottom w:val="none" w:sz="0" w:space="0" w:color="auto"/>
            <w:right w:val="none" w:sz="0" w:space="0" w:color="auto"/>
          </w:divBdr>
        </w:div>
        <w:div w:id="1652367791">
          <w:marLeft w:val="0"/>
          <w:marRight w:val="0"/>
          <w:marTop w:val="0"/>
          <w:marBottom w:val="0"/>
          <w:divBdr>
            <w:top w:val="none" w:sz="0" w:space="0" w:color="auto"/>
            <w:left w:val="none" w:sz="0" w:space="0" w:color="auto"/>
            <w:bottom w:val="none" w:sz="0" w:space="0" w:color="auto"/>
            <w:right w:val="none" w:sz="0" w:space="0" w:color="auto"/>
          </w:divBdr>
        </w:div>
        <w:div w:id="955865537">
          <w:marLeft w:val="0"/>
          <w:marRight w:val="0"/>
          <w:marTop w:val="0"/>
          <w:marBottom w:val="0"/>
          <w:divBdr>
            <w:top w:val="none" w:sz="0" w:space="0" w:color="auto"/>
            <w:left w:val="none" w:sz="0" w:space="0" w:color="auto"/>
            <w:bottom w:val="none" w:sz="0" w:space="0" w:color="auto"/>
            <w:right w:val="none" w:sz="0" w:space="0" w:color="auto"/>
          </w:divBdr>
        </w:div>
        <w:div w:id="1944150479">
          <w:marLeft w:val="0"/>
          <w:marRight w:val="0"/>
          <w:marTop w:val="0"/>
          <w:marBottom w:val="0"/>
          <w:divBdr>
            <w:top w:val="none" w:sz="0" w:space="0" w:color="auto"/>
            <w:left w:val="none" w:sz="0" w:space="0" w:color="auto"/>
            <w:bottom w:val="none" w:sz="0" w:space="0" w:color="auto"/>
            <w:right w:val="none" w:sz="0" w:space="0" w:color="auto"/>
          </w:divBdr>
        </w:div>
      </w:divsChild>
    </w:div>
    <w:div w:id="1479763603">
      <w:bodyDiv w:val="1"/>
      <w:marLeft w:val="0"/>
      <w:marRight w:val="0"/>
      <w:marTop w:val="0"/>
      <w:marBottom w:val="0"/>
      <w:divBdr>
        <w:top w:val="none" w:sz="0" w:space="0" w:color="auto"/>
        <w:left w:val="none" w:sz="0" w:space="0" w:color="auto"/>
        <w:bottom w:val="none" w:sz="0" w:space="0" w:color="auto"/>
        <w:right w:val="none" w:sz="0" w:space="0" w:color="auto"/>
      </w:divBdr>
    </w:div>
    <w:div w:id="1508710910">
      <w:bodyDiv w:val="1"/>
      <w:marLeft w:val="0"/>
      <w:marRight w:val="0"/>
      <w:marTop w:val="0"/>
      <w:marBottom w:val="0"/>
      <w:divBdr>
        <w:top w:val="none" w:sz="0" w:space="0" w:color="auto"/>
        <w:left w:val="none" w:sz="0" w:space="0" w:color="auto"/>
        <w:bottom w:val="none" w:sz="0" w:space="0" w:color="auto"/>
        <w:right w:val="none" w:sz="0" w:space="0" w:color="auto"/>
      </w:divBdr>
    </w:div>
    <w:div w:id="1529759169">
      <w:bodyDiv w:val="1"/>
      <w:marLeft w:val="0"/>
      <w:marRight w:val="0"/>
      <w:marTop w:val="0"/>
      <w:marBottom w:val="0"/>
      <w:divBdr>
        <w:top w:val="none" w:sz="0" w:space="0" w:color="auto"/>
        <w:left w:val="none" w:sz="0" w:space="0" w:color="auto"/>
        <w:bottom w:val="none" w:sz="0" w:space="0" w:color="auto"/>
        <w:right w:val="none" w:sz="0" w:space="0" w:color="auto"/>
      </w:divBdr>
    </w:div>
    <w:div w:id="1536232209">
      <w:bodyDiv w:val="1"/>
      <w:marLeft w:val="0"/>
      <w:marRight w:val="0"/>
      <w:marTop w:val="0"/>
      <w:marBottom w:val="0"/>
      <w:divBdr>
        <w:top w:val="none" w:sz="0" w:space="0" w:color="auto"/>
        <w:left w:val="none" w:sz="0" w:space="0" w:color="auto"/>
        <w:bottom w:val="none" w:sz="0" w:space="0" w:color="auto"/>
        <w:right w:val="none" w:sz="0" w:space="0" w:color="auto"/>
      </w:divBdr>
    </w:div>
    <w:div w:id="1539051779">
      <w:bodyDiv w:val="1"/>
      <w:marLeft w:val="0"/>
      <w:marRight w:val="0"/>
      <w:marTop w:val="0"/>
      <w:marBottom w:val="0"/>
      <w:divBdr>
        <w:top w:val="none" w:sz="0" w:space="0" w:color="auto"/>
        <w:left w:val="none" w:sz="0" w:space="0" w:color="auto"/>
        <w:bottom w:val="none" w:sz="0" w:space="0" w:color="auto"/>
        <w:right w:val="none" w:sz="0" w:space="0" w:color="auto"/>
      </w:divBdr>
    </w:div>
    <w:div w:id="1539471545">
      <w:bodyDiv w:val="1"/>
      <w:marLeft w:val="0"/>
      <w:marRight w:val="0"/>
      <w:marTop w:val="0"/>
      <w:marBottom w:val="0"/>
      <w:divBdr>
        <w:top w:val="none" w:sz="0" w:space="0" w:color="auto"/>
        <w:left w:val="none" w:sz="0" w:space="0" w:color="auto"/>
        <w:bottom w:val="none" w:sz="0" w:space="0" w:color="auto"/>
        <w:right w:val="none" w:sz="0" w:space="0" w:color="auto"/>
      </w:divBdr>
    </w:div>
    <w:div w:id="1555239675">
      <w:bodyDiv w:val="1"/>
      <w:marLeft w:val="0"/>
      <w:marRight w:val="0"/>
      <w:marTop w:val="0"/>
      <w:marBottom w:val="0"/>
      <w:divBdr>
        <w:top w:val="none" w:sz="0" w:space="0" w:color="auto"/>
        <w:left w:val="none" w:sz="0" w:space="0" w:color="auto"/>
        <w:bottom w:val="none" w:sz="0" w:space="0" w:color="auto"/>
        <w:right w:val="none" w:sz="0" w:space="0" w:color="auto"/>
      </w:divBdr>
    </w:div>
    <w:div w:id="1558198514">
      <w:bodyDiv w:val="1"/>
      <w:marLeft w:val="0"/>
      <w:marRight w:val="0"/>
      <w:marTop w:val="0"/>
      <w:marBottom w:val="0"/>
      <w:divBdr>
        <w:top w:val="none" w:sz="0" w:space="0" w:color="auto"/>
        <w:left w:val="none" w:sz="0" w:space="0" w:color="auto"/>
        <w:bottom w:val="none" w:sz="0" w:space="0" w:color="auto"/>
        <w:right w:val="none" w:sz="0" w:space="0" w:color="auto"/>
      </w:divBdr>
    </w:div>
    <w:div w:id="1573928865">
      <w:bodyDiv w:val="1"/>
      <w:marLeft w:val="0"/>
      <w:marRight w:val="0"/>
      <w:marTop w:val="0"/>
      <w:marBottom w:val="0"/>
      <w:divBdr>
        <w:top w:val="none" w:sz="0" w:space="0" w:color="auto"/>
        <w:left w:val="none" w:sz="0" w:space="0" w:color="auto"/>
        <w:bottom w:val="none" w:sz="0" w:space="0" w:color="auto"/>
        <w:right w:val="none" w:sz="0" w:space="0" w:color="auto"/>
      </w:divBdr>
    </w:div>
    <w:div w:id="1584990377">
      <w:bodyDiv w:val="1"/>
      <w:marLeft w:val="0"/>
      <w:marRight w:val="0"/>
      <w:marTop w:val="0"/>
      <w:marBottom w:val="0"/>
      <w:divBdr>
        <w:top w:val="none" w:sz="0" w:space="0" w:color="auto"/>
        <w:left w:val="none" w:sz="0" w:space="0" w:color="auto"/>
        <w:bottom w:val="none" w:sz="0" w:space="0" w:color="auto"/>
        <w:right w:val="none" w:sz="0" w:space="0" w:color="auto"/>
      </w:divBdr>
    </w:div>
    <w:div w:id="1585608169">
      <w:bodyDiv w:val="1"/>
      <w:marLeft w:val="0"/>
      <w:marRight w:val="0"/>
      <w:marTop w:val="0"/>
      <w:marBottom w:val="0"/>
      <w:divBdr>
        <w:top w:val="none" w:sz="0" w:space="0" w:color="auto"/>
        <w:left w:val="none" w:sz="0" w:space="0" w:color="auto"/>
        <w:bottom w:val="none" w:sz="0" w:space="0" w:color="auto"/>
        <w:right w:val="none" w:sz="0" w:space="0" w:color="auto"/>
      </w:divBdr>
    </w:div>
    <w:div w:id="1596355584">
      <w:bodyDiv w:val="1"/>
      <w:marLeft w:val="0"/>
      <w:marRight w:val="0"/>
      <w:marTop w:val="0"/>
      <w:marBottom w:val="0"/>
      <w:divBdr>
        <w:top w:val="none" w:sz="0" w:space="0" w:color="auto"/>
        <w:left w:val="none" w:sz="0" w:space="0" w:color="auto"/>
        <w:bottom w:val="none" w:sz="0" w:space="0" w:color="auto"/>
        <w:right w:val="none" w:sz="0" w:space="0" w:color="auto"/>
      </w:divBdr>
    </w:div>
    <w:div w:id="1611668208">
      <w:bodyDiv w:val="1"/>
      <w:marLeft w:val="0"/>
      <w:marRight w:val="0"/>
      <w:marTop w:val="0"/>
      <w:marBottom w:val="0"/>
      <w:divBdr>
        <w:top w:val="none" w:sz="0" w:space="0" w:color="auto"/>
        <w:left w:val="none" w:sz="0" w:space="0" w:color="auto"/>
        <w:bottom w:val="none" w:sz="0" w:space="0" w:color="auto"/>
        <w:right w:val="none" w:sz="0" w:space="0" w:color="auto"/>
      </w:divBdr>
    </w:div>
    <w:div w:id="1665694990">
      <w:bodyDiv w:val="1"/>
      <w:marLeft w:val="0"/>
      <w:marRight w:val="0"/>
      <w:marTop w:val="0"/>
      <w:marBottom w:val="0"/>
      <w:divBdr>
        <w:top w:val="none" w:sz="0" w:space="0" w:color="auto"/>
        <w:left w:val="none" w:sz="0" w:space="0" w:color="auto"/>
        <w:bottom w:val="none" w:sz="0" w:space="0" w:color="auto"/>
        <w:right w:val="none" w:sz="0" w:space="0" w:color="auto"/>
      </w:divBdr>
      <w:divsChild>
        <w:div w:id="1056396121">
          <w:marLeft w:val="0"/>
          <w:marRight w:val="0"/>
          <w:marTop w:val="0"/>
          <w:marBottom w:val="0"/>
          <w:divBdr>
            <w:top w:val="none" w:sz="0" w:space="0" w:color="auto"/>
            <w:left w:val="none" w:sz="0" w:space="0" w:color="auto"/>
            <w:bottom w:val="none" w:sz="0" w:space="0" w:color="auto"/>
            <w:right w:val="none" w:sz="0" w:space="0" w:color="auto"/>
          </w:divBdr>
        </w:div>
        <w:div w:id="300890126">
          <w:marLeft w:val="0"/>
          <w:marRight w:val="0"/>
          <w:marTop w:val="0"/>
          <w:marBottom w:val="0"/>
          <w:divBdr>
            <w:top w:val="none" w:sz="0" w:space="0" w:color="auto"/>
            <w:left w:val="none" w:sz="0" w:space="0" w:color="auto"/>
            <w:bottom w:val="none" w:sz="0" w:space="0" w:color="auto"/>
            <w:right w:val="none" w:sz="0" w:space="0" w:color="auto"/>
          </w:divBdr>
        </w:div>
        <w:div w:id="173544769">
          <w:marLeft w:val="0"/>
          <w:marRight w:val="0"/>
          <w:marTop w:val="0"/>
          <w:marBottom w:val="0"/>
          <w:divBdr>
            <w:top w:val="none" w:sz="0" w:space="0" w:color="auto"/>
            <w:left w:val="none" w:sz="0" w:space="0" w:color="auto"/>
            <w:bottom w:val="none" w:sz="0" w:space="0" w:color="auto"/>
            <w:right w:val="none" w:sz="0" w:space="0" w:color="auto"/>
          </w:divBdr>
        </w:div>
        <w:div w:id="1982953439">
          <w:marLeft w:val="0"/>
          <w:marRight w:val="0"/>
          <w:marTop w:val="0"/>
          <w:marBottom w:val="0"/>
          <w:divBdr>
            <w:top w:val="none" w:sz="0" w:space="0" w:color="auto"/>
            <w:left w:val="none" w:sz="0" w:space="0" w:color="auto"/>
            <w:bottom w:val="none" w:sz="0" w:space="0" w:color="auto"/>
            <w:right w:val="none" w:sz="0" w:space="0" w:color="auto"/>
          </w:divBdr>
        </w:div>
      </w:divsChild>
    </w:div>
    <w:div w:id="1760517197">
      <w:bodyDiv w:val="1"/>
      <w:marLeft w:val="0"/>
      <w:marRight w:val="0"/>
      <w:marTop w:val="0"/>
      <w:marBottom w:val="0"/>
      <w:divBdr>
        <w:top w:val="none" w:sz="0" w:space="0" w:color="auto"/>
        <w:left w:val="none" w:sz="0" w:space="0" w:color="auto"/>
        <w:bottom w:val="none" w:sz="0" w:space="0" w:color="auto"/>
        <w:right w:val="none" w:sz="0" w:space="0" w:color="auto"/>
      </w:divBdr>
    </w:div>
    <w:div w:id="1866097909">
      <w:bodyDiv w:val="1"/>
      <w:marLeft w:val="0"/>
      <w:marRight w:val="0"/>
      <w:marTop w:val="0"/>
      <w:marBottom w:val="0"/>
      <w:divBdr>
        <w:top w:val="none" w:sz="0" w:space="0" w:color="auto"/>
        <w:left w:val="none" w:sz="0" w:space="0" w:color="auto"/>
        <w:bottom w:val="none" w:sz="0" w:space="0" w:color="auto"/>
        <w:right w:val="none" w:sz="0" w:space="0" w:color="auto"/>
      </w:divBdr>
    </w:div>
    <w:div w:id="1907495129">
      <w:bodyDiv w:val="1"/>
      <w:marLeft w:val="0"/>
      <w:marRight w:val="0"/>
      <w:marTop w:val="0"/>
      <w:marBottom w:val="0"/>
      <w:divBdr>
        <w:top w:val="none" w:sz="0" w:space="0" w:color="auto"/>
        <w:left w:val="none" w:sz="0" w:space="0" w:color="auto"/>
        <w:bottom w:val="none" w:sz="0" w:space="0" w:color="auto"/>
        <w:right w:val="none" w:sz="0" w:space="0" w:color="auto"/>
      </w:divBdr>
    </w:div>
    <w:div w:id="1936743934">
      <w:bodyDiv w:val="1"/>
      <w:marLeft w:val="0"/>
      <w:marRight w:val="0"/>
      <w:marTop w:val="0"/>
      <w:marBottom w:val="0"/>
      <w:divBdr>
        <w:top w:val="none" w:sz="0" w:space="0" w:color="auto"/>
        <w:left w:val="none" w:sz="0" w:space="0" w:color="auto"/>
        <w:bottom w:val="none" w:sz="0" w:space="0" w:color="auto"/>
        <w:right w:val="none" w:sz="0" w:space="0" w:color="auto"/>
      </w:divBdr>
    </w:div>
    <w:div w:id="1937975403">
      <w:bodyDiv w:val="1"/>
      <w:marLeft w:val="0"/>
      <w:marRight w:val="0"/>
      <w:marTop w:val="0"/>
      <w:marBottom w:val="0"/>
      <w:divBdr>
        <w:top w:val="none" w:sz="0" w:space="0" w:color="auto"/>
        <w:left w:val="none" w:sz="0" w:space="0" w:color="auto"/>
        <w:bottom w:val="none" w:sz="0" w:space="0" w:color="auto"/>
        <w:right w:val="none" w:sz="0" w:space="0" w:color="auto"/>
      </w:divBdr>
    </w:div>
    <w:div w:id="1964575459">
      <w:bodyDiv w:val="1"/>
      <w:marLeft w:val="0"/>
      <w:marRight w:val="0"/>
      <w:marTop w:val="0"/>
      <w:marBottom w:val="0"/>
      <w:divBdr>
        <w:top w:val="none" w:sz="0" w:space="0" w:color="auto"/>
        <w:left w:val="none" w:sz="0" w:space="0" w:color="auto"/>
        <w:bottom w:val="none" w:sz="0" w:space="0" w:color="auto"/>
        <w:right w:val="none" w:sz="0" w:space="0" w:color="auto"/>
      </w:divBdr>
    </w:div>
    <w:div w:id="1975479351">
      <w:bodyDiv w:val="1"/>
      <w:marLeft w:val="0"/>
      <w:marRight w:val="0"/>
      <w:marTop w:val="0"/>
      <w:marBottom w:val="0"/>
      <w:divBdr>
        <w:top w:val="none" w:sz="0" w:space="0" w:color="auto"/>
        <w:left w:val="none" w:sz="0" w:space="0" w:color="auto"/>
        <w:bottom w:val="none" w:sz="0" w:space="0" w:color="auto"/>
        <w:right w:val="none" w:sz="0" w:space="0" w:color="auto"/>
      </w:divBdr>
    </w:div>
    <w:div w:id="1977955779">
      <w:bodyDiv w:val="1"/>
      <w:marLeft w:val="0"/>
      <w:marRight w:val="0"/>
      <w:marTop w:val="0"/>
      <w:marBottom w:val="0"/>
      <w:divBdr>
        <w:top w:val="none" w:sz="0" w:space="0" w:color="auto"/>
        <w:left w:val="none" w:sz="0" w:space="0" w:color="auto"/>
        <w:bottom w:val="none" w:sz="0" w:space="0" w:color="auto"/>
        <w:right w:val="none" w:sz="0" w:space="0" w:color="auto"/>
      </w:divBdr>
      <w:divsChild>
        <w:div w:id="2114203941">
          <w:marLeft w:val="0"/>
          <w:marRight w:val="0"/>
          <w:marTop w:val="0"/>
          <w:marBottom w:val="0"/>
          <w:divBdr>
            <w:top w:val="none" w:sz="0" w:space="0" w:color="auto"/>
            <w:left w:val="none" w:sz="0" w:space="0" w:color="auto"/>
            <w:bottom w:val="none" w:sz="0" w:space="0" w:color="auto"/>
            <w:right w:val="none" w:sz="0" w:space="0" w:color="auto"/>
          </w:divBdr>
          <w:divsChild>
            <w:div w:id="1740713377">
              <w:marLeft w:val="0"/>
              <w:marRight w:val="0"/>
              <w:marTop w:val="0"/>
              <w:marBottom w:val="0"/>
              <w:divBdr>
                <w:top w:val="none" w:sz="0" w:space="0" w:color="auto"/>
                <w:left w:val="none" w:sz="0" w:space="0" w:color="auto"/>
                <w:bottom w:val="none" w:sz="0" w:space="0" w:color="auto"/>
                <w:right w:val="none" w:sz="0" w:space="0" w:color="auto"/>
              </w:divBdr>
            </w:div>
          </w:divsChild>
        </w:div>
        <w:div w:id="1933396573">
          <w:marLeft w:val="0"/>
          <w:marRight w:val="0"/>
          <w:marTop w:val="0"/>
          <w:marBottom w:val="0"/>
          <w:divBdr>
            <w:top w:val="none" w:sz="0" w:space="0" w:color="auto"/>
            <w:left w:val="none" w:sz="0" w:space="0" w:color="auto"/>
            <w:bottom w:val="none" w:sz="0" w:space="0" w:color="auto"/>
            <w:right w:val="none" w:sz="0" w:space="0" w:color="auto"/>
          </w:divBdr>
        </w:div>
      </w:divsChild>
    </w:div>
    <w:div w:id="1983847140">
      <w:bodyDiv w:val="1"/>
      <w:marLeft w:val="0"/>
      <w:marRight w:val="0"/>
      <w:marTop w:val="0"/>
      <w:marBottom w:val="0"/>
      <w:divBdr>
        <w:top w:val="none" w:sz="0" w:space="0" w:color="auto"/>
        <w:left w:val="none" w:sz="0" w:space="0" w:color="auto"/>
        <w:bottom w:val="none" w:sz="0" w:space="0" w:color="auto"/>
        <w:right w:val="none" w:sz="0" w:space="0" w:color="auto"/>
      </w:divBdr>
    </w:div>
    <w:div w:id="1998461286">
      <w:bodyDiv w:val="1"/>
      <w:marLeft w:val="0"/>
      <w:marRight w:val="0"/>
      <w:marTop w:val="0"/>
      <w:marBottom w:val="0"/>
      <w:divBdr>
        <w:top w:val="none" w:sz="0" w:space="0" w:color="auto"/>
        <w:left w:val="none" w:sz="0" w:space="0" w:color="auto"/>
        <w:bottom w:val="none" w:sz="0" w:space="0" w:color="auto"/>
        <w:right w:val="none" w:sz="0" w:space="0" w:color="auto"/>
      </w:divBdr>
    </w:div>
    <w:div w:id="2001686960">
      <w:bodyDiv w:val="1"/>
      <w:marLeft w:val="0"/>
      <w:marRight w:val="0"/>
      <w:marTop w:val="0"/>
      <w:marBottom w:val="0"/>
      <w:divBdr>
        <w:top w:val="none" w:sz="0" w:space="0" w:color="auto"/>
        <w:left w:val="none" w:sz="0" w:space="0" w:color="auto"/>
        <w:bottom w:val="none" w:sz="0" w:space="0" w:color="auto"/>
        <w:right w:val="none" w:sz="0" w:space="0" w:color="auto"/>
      </w:divBdr>
    </w:div>
    <w:div w:id="2005277766">
      <w:bodyDiv w:val="1"/>
      <w:marLeft w:val="0"/>
      <w:marRight w:val="0"/>
      <w:marTop w:val="0"/>
      <w:marBottom w:val="0"/>
      <w:divBdr>
        <w:top w:val="none" w:sz="0" w:space="0" w:color="auto"/>
        <w:left w:val="none" w:sz="0" w:space="0" w:color="auto"/>
        <w:bottom w:val="none" w:sz="0" w:space="0" w:color="auto"/>
        <w:right w:val="none" w:sz="0" w:space="0" w:color="auto"/>
      </w:divBdr>
    </w:div>
    <w:div w:id="2024630136">
      <w:bodyDiv w:val="1"/>
      <w:marLeft w:val="0"/>
      <w:marRight w:val="0"/>
      <w:marTop w:val="0"/>
      <w:marBottom w:val="0"/>
      <w:divBdr>
        <w:top w:val="none" w:sz="0" w:space="0" w:color="auto"/>
        <w:left w:val="none" w:sz="0" w:space="0" w:color="auto"/>
        <w:bottom w:val="none" w:sz="0" w:space="0" w:color="auto"/>
        <w:right w:val="none" w:sz="0" w:space="0" w:color="auto"/>
      </w:divBdr>
    </w:div>
    <w:div w:id="2034458484">
      <w:bodyDiv w:val="1"/>
      <w:marLeft w:val="0"/>
      <w:marRight w:val="0"/>
      <w:marTop w:val="0"/>
      <w:marBottom w:val="0"/>
      <w:divBdr>
        <w:top w:val="none" w:sz="0" w:space="0" w:color="auto"/>
        <w:left w:val="none" w:sz="0" w:space="0" w:color="auto"/>
        <w:bottom w:val="none" w:sz="0" w:space="0" w:color="auto"/>
        <w:right w:val="none" w:sz="0" w:space="0" w:color="auto"/>
      </w:divBdr>
    </w:div>
    <w:div w:id="2043938086">
      <w:bodyDiv w:val="1"/>
      <w:marLeft w:val="0"/>
      <w:marRight w:val="0"/>
      <w:marTop w:val="0"/>
      <w:marBottom w:val="0"/>
      <w:divBdr>
        <w:top w:val="none" w:sz="0" w:space="0" w:color="auto"/>
        <w:left w:val="none" w:sz="0" w:space="0" w:color="auto"/>
        <w:bottom w:val="none" w:sz="0" w:space="0" w:color="auto"/>
        <w:right w:val="none" w:sz="0" w:space="0" w:color="auto"/>
      </w:divBdr>
      <w:divsChild>
        <w:div w:id="1907185018">
          <w:marLeft w:val="0"/>
          <w:marRight w:val="0"/>
          <w:marTop w:val="0"/>
          <w:marBottom w:val="0"/>
          <w:divBdr>
            <w:top w:val="none" w:sz="0" w:space="0" w:color="auto"/>
            <w:left w:val="none" w:sz="0" w:space="0" w:color="auto"/>
            <w:bottom w:val="none" w:sz="0" w:space="0" w:color="auto"/>
            <w:right w:val="none" w:sz="0" w:space="0" w:color="auto"/>
          </w:divBdr>
          <w:divsChild>
            <w:div w:id="218829469">
              <w:marLeft w:val="0"/>
              <w:marRight w:val="0"/>
              <w:marTop w:val="0"/>
              <w:marBottom w:val="0"/>
              <w:divBdr>
                <w:top w:val="none" w:sz="0" w:space="0" w:color="auto"/>
                <w:left w:val="none" w:sz="0" w:space="0" w:color="auto"/>
                <w:bottom w:val="none" w:sz="0" w:space="0" w:color="auto"/>
                <w:right w:val="none" w:sz="0" w:space="0" w:color="auto"/>
              </w:divBdr>
            </w:div>
            <w:div w:id="461001226">
              <w:marLeft w:val="0"/>
              <w:marRight w:val="0"/>
              <w:marTop w:val="0"/>
              <w:marBottom w:val="0"/>
              <w:divBdr>
                <w:top w:val="none" w:sz="0" w:space="0" w:color="auto"/>
                <w:left w:val="none" w:sz="0" w:space="0" w:color="auto"/>
                <w:bottom w:val="none" w:sz="0" w:space="0" w:color="auto"/>
                <w:right w:val="none" w:sz="0" w:space="0" w:color="auto"/>
              </w:divBdr>
            </w:div>
            <w:div w:id="1686052013">
              <w:marLeft w:val="0"/>
              <w:marRight w:val="0"/>
              <w:marTop w:val="0"/>
              <w:marBottom w:val="0"/>
              <w:divBdr>
                <w:top w:val="none" w:sz="0" w:space="0" w:color="auto"/>
                <w:left w:val="none" w:sz="0" w:space="0" w:color="auto"/>
                <w:bottom w:val="none" w:sz="0" w:space="0" w:color="auto"/>
                <w:right w:val="none" w:sz="0" w:space="0" w:color="auto"/>
              </w:divBdr>
            </w:div>
            <w:div w:id="483937475">
              <w:marLeft w:val="0"/>
              <w:marRight w:val="0"/>
              <w:marTop w:val="0"/>
              <w:marBottom w:val="0"/>
              <w:divBdr>
                <w:top w:val="none" w:sz="0" w:space="0" w:color="auto"/>
                <w:left w:val="none" w:sz="0" w:space="0" w:color="auto"/>
                <w:bottom w:val="none" w:sz="0" w:space="0" w:color="auto"/>
                <w:right w:val="none" w:sz="0" w:space="0" w:color="auto"/>
              </w:divBdr>
            </w:div>
          </w:divsChild>
        </w:div>
        <w:div w:id="1180923575">
          <w:marLeft w:val="0"/>
          <w:marRight w:val="0"/>
          <w:marTop w:val="0"/>
          <w:marBottom w:val="0"/>
          <w:divBdr>
            <w:top w:val="none" w:sz="0" w:space="0" w:color="auto"/>
            <w:left w:val="none" w:sz="0" w:space="0" w:color="auto"/>
            <w:bottom w:val="none" w:sz="0" w:space="0" w:color="auto"/>
            <w:right w:val="none" w:sz="0" w:space="0" w:color="auto"/>
          </w:divBdr>
        </w:div>
        <w:div w:id="2142915452">
          <w:marLeft w:val="0"/>
          <w:marRight w:val="0"/>
          <w:marTop w:val="0"/>
          <w:marBottom w:val="0"/>
          <w:divBdr>
            <w:top w:val="none" w:sz="0" w:space="0" w:color="auto"/>
            <w:left w:val="none" w:sz="0" w:space="0" w:color="auto"/>
            <w:bottom w:val="none" w:sz="0" w:space="0" w:color="auto"/>
            <w:right w:val="none" w:sz="0" w:space="0" w:color="auto"/>
          </w:divBdr>
        </w:div>
        <w:div w:id="144056942">
          <w:marLeft w:val="0"/>
          <w:marRight w:val="0"/>
          <w:marTop w:val="0"/>
          <w:marBottom w:val="0"/>
          <w:divBdr>
            <w:top w:val="none" w:sz="0" w:space="0" w:color="auto"/>
            <w:left w:val="none" w:sz="0" w:space="0" w:color="auto"/>
            <w:bottom w:val="none" w:sz="0" w:space="0" w:color="auto"/>
            <w:right w:val="none" w:sz="0" w:space="0" w:color="auto"/>
          </w:divBdr>
          <w:divsChild>
            <w:div w:id="54359230">
              <w:marLeft w:val="0"/>
              <w:marRight w:val="0"/>
              <w:marTop w:val="0"/>
              <w:marBottom w:val="0"/>
              <w:divBdr>
                <w:top w:val="none" w:sz="0" w:space="0" w:color="auto"/>
                <w:left w:val="none" w:sz="0" w:space="0" w:color="auto"/>
                <w:bottom w:val="none" w:sz="0" w:space="0" w:color="auto"/>
                <w:right w:val="none" w:sz="0" w:space="0" w:color="auto"/>
              </w:divBdr>
            </w:div>
            <w:div w:id="1267233880">
              <w:marLeft w:val="0"/>
              <w:marRight w:val="0"/>
              <w:marTop w:val="0"/>
              <w:marBottom w:val="0"/>
              <w:divBdr>
                <w:top w:val="none" w:sz="0" w:space="0" w:color="auto"/>
                <w:left w:val="none" w:sz="0" w:space="0" w:color="auto"/>
                <w:bottom w:val="none" w:sz="0" w:space="0" w:color="auto"/>
                <w:right w:val="none" w:sz="0" w:space="0" w:color="auto"/>
              </w:divBdr>
            </w:div>
            <w:div w:id="1998143116">
              <w:marLeft w:val="0"/>
              <w:marRight w:val="0"/>
              <w:marTop w:val="0"/>
              <w:marBottom w:val="0"/>
              <w:divBdr>
                <w:top w:val="none" w:sz="0" w:space="0" w:color="auto"/>
                <w:left w:val="none" w:sz="0" w:space="0" w:color="auto"/>
                <w:bottom w:val="none" w:sz="0" w:space="0" w:color="auto"/>
                <w:right w:val="none" w:sz="0" w:space="0" w:color="auto"/>
              </w:divBdr>
            </w:div>
            <w:div w:id="157383255">
              <w:marLeft w:val="0"/>
              <w:marRight w:val="0"/>
              <w:marTop w:val="0"/>
              <w:marBottom w:val="0"/>
              <w:divBdr>
                <w:top w:val="none" w:sz="0" w:space="0" w:color="auto"/>
                <w:left w:val="none" w:sz="0" w:space="0" w:color="auto"/>
                <w:bottom w:val="none" w:sz="0" w:space="0" w:color="auto"/>
                <w:right w:val="none" w:sz="0" w:space="0" w:color="auto"/>
              </w:divBdr>
            </w:div>
          </w:divsChild>
        </w:div>
        <w:div w:id="1822036192">
          <w:marLeft w:val="0"/>
          <w:marRight w:val="0"/>
          <w:marTop w:val="0"/>
          <w:marBottom w:val="0"/>
          <w:divBdr>
            <w:top w:val="none" w:sz="0" w:space="0" w:color="auto"/>
            <w:left w:val="none" w:sz="0" w:space="0" w:color="auto"/>
            <w:bottom w:val="none" w:sz="0" w:space="0" w:color="auto"/>
            <w:right w:val="none" w:sz="0" w:space="0" w:color="auto"/>
          </w:divBdr>
        </w:div>
      </w:divsChild>
    </w:div>
    <w:div w:id="2067603220">
      <w:bodyDiv w:val="1"/>
      <w:marLeft w:val="0"/>
      <w:marRight w:val="0"/>
      <w:marTop w:val="0"/>
      <w:marBottom w:val="0"/>
      <w:divBdr>
        <w:top w:val="none" w:sz="0" w:space="0" w:color="auto"/>
        <w:left w:val="none" w:sz="0" w:space="0" w:color="auto"/>
        <w:bottom w:val="none" w:sz="0" w:space="0" w:color="auto"/>
        <w:right w:val="none" w:sz="0" w:space="0" w:color="auto"/>
      </w:divBdr>
    </w:div>
    <w:div w:id="2069760674">
      <w:bodyDiv w:val="1"/>
      <w:marLeft w:val="0"/>
      <w:marRight w:val="0"/>
      <w:marTop w:val="0"/>
      <w:marBottom w:val="0"/>
      <w:divBdr>
        <w:top w:val="none" w:sz="0" w:space="0" w:color="auto"/>
        <w:left w:val="none" w:sz="0" w:space="0" w:color="auto"/>
        <w:bottom w:val="none" w:sz="0" w:space="0" w:color="auto"/>
        <w:right w:val="none" w:sz="0" w:space="0" w:color="auto"/>
      </w:divBdr>
    </w:div>
    <w:div w:id="2117165036">
      <w:bodyDiv w:val="1"/>
      <w:marLeft w:val="0"/>
      <w:marRight w:val="0"/>
      <w:marTop w:val="0"/>
      <w:marBottom w:val="0"/>
      <w:divBdr>
        <w:top w:val="none" w:sz="0" w:space="0" w:color="auto"/>
        <w:left w:val="none" w:sz="0" w:space="0" w:color="auto"/>
        <w:bottom w:val="none" w:sz="0" w:space="0" w:color="auto"/>
        <w:right w:val="none" w:sz="0" w:space="0" w:color="auto"/>
      </w:divBdr>
      <w:divsChild>
        <w:div w:id="1834636586">
          <w:marLeft w:val="0"/>
          <w:marRight w:val="0"/>
          <w:marTop w:val="0"/>
          <w:marBottom w:val="0"/>
          <w:divBdr>
            <w:top w:val="none" w:sz="0" w:space="0" w:color="auto"/>
            <w:left w:val="none" w:sz="0" w:space="0" w:color="auto"/>
            <w:bottom w:val="none" w:sz="0" w:space="0" w:color="auto"/>
            <w:right w:val="none" w:sz="0" w:space="0" w:color="auto"/>
          </w:divBdr>
        </w:div>
        <w:div w:id="1241796982">
          <w:marLeft w:val="0"/>
          <w:marRight w:val="0"/>
          <w:marTop w:val="0"/>
          <w:marBottom w:val="0"/>
          <w:divBdr>
            <w:top w:val="none" w:sz="0" w:space="0" w:color="auto"/>
            <w:left w:val="none" w:sz="0" w:space="0" w:color="auto"/>
            <w:bottom w:val="none" w:sz="0" w:space="0" w:color="auto"/>
            <w:right w:val="none" w:sz="0" w:space="0" w:color="auto"/>
          </w:divBdr>
        </w:div>
        <w:div w:id="821969888">
          <w:marLeft w:val="0"/>
          <w:marRight w:val="0"/>
          <w:marTop w:val="0"/>
          <w:marBottom w:val="0"/>
          <w:divBdr>
            <w:top w:val="none" w:sz="0" w:space="0" w:color="auto"/>
            <w:left w:val="none" w:sz="0" w:space="0" w:color="auto"/>
            <w:bottom w:val="none" w:sz="0" w:space="0" w:color="auto"/>
            <w:right w:val="none" w:sz="0" w:space="0" w:color="auto"/>
          </w:divBdr>
        </w:div>
        <w:div w:id="21233798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wmf"/><Relationship Id="rId21" Type="http://schemas.openxmlformats.org/officeDocument/2006/relationships/hyperlink" Target="http://vidinis.vmi.lt/Litlex/LL.DLL?Tekstas=1?Id=116166&amp;Zd=%FEem%EBs%2B%FBkio%2C%2Bmaisto%2B%FBkio%2Bir%2Bkaimo%2Bpl%EBtros%2B%E1statymas&amp;BF=4" TargetMode="External"/><Relationship Id="rId42" Type="http://schemas.openxmlformats.org/officeDocument/2006/relationships/hyperlink" Target="http://www3.lrs.lt/cgi-bin/preps2?Condition1=157066&amp;Condition2=" TargetMode="External"/><Relationship Id="rId63" Type="http://schemas.openxmlformats.org/officeDocument/2006/relationships/hyperlink" Target="https://www.e-tar.lt/portal/legalAct.html?documentId=876276d02ad111eabe008ea93139d588" TargetMode="External"/><Relationship Id="rId84" Type="http://schemas.openxmlformats.org/officeDocument/2006/relationships/hyperlink" Target="http://vidinis.vmi.lt/Litlex/ll.dll?Tekstas=1&amp;Id=95292&amp;BF=1" TargetMode="External"/><Relationship Id="rId138" Type="http://schemas.openxmlformats.org/officeDocument/2006/relationships/hyperlink" Target="https://www.e-tar.lt/portal/legalAct.html?documentId=876276d02ad111eabe008ea93139d588" TargetMode="External"/><Relationship Id="rId107"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1" Type="http://schemas.openxmlformats.org/officeDocument/2006/relationships/hyperlink" Target="http://eur-lex.europa.eu/Notice.do?val=358170:cs&amp;lang=en&amp;list=341769:cs,341768:cs,358172:cs,358171:cs,358170:cs,341767:cs,358169:cs,&amp;pos=5&amp;page=1&amp;nbl=7&amp;pgs=10&amp;hwords=&amp;checktexte=checkbox&amp;visu=" TargetMode="External"/><Relationship Id="rId32" Type="http://schemas.openxmlformats.org/officeDocument/2006/relationships/hyperlink" Target="https://www.e-tar.lt/portal/legalAct.html?documentId=33044200bd2811eab9d9cd0c85e0b745" TargetMode="External"/><Relationship Id="rId53" Type="http://schemas.openxmlformats.org/officeDocument/2006/relationships/hyperlink" Target="https://lt.wikipedia.org/wiki/Technika_(%C4%AFranga)" TargetMode="External"/><Relationship Id="rId74" Type="http://schemas.openxmlformats.org/officeDocument/2006/relationships/hyperlink" Target="JavaScript:OL('12868','30')" TargetMode="External"/><Relationship Id="rId128" Type="http://schemas.openxmlformats.org/officeDocument/2006/relationships/hyperlink" Target="http://172.16.0.250/Litlex/LL.DLL?Tekstas=1&amp;Id=51565&amp;Zd=pelno%2Bmokes%E8io&amp;Vr=46&amp;BF=4" TargetMode="External"/><Relationship Id="rId149" Type="http://schemas.openxmlformats.org/officeDocument/2006/relationships/hyperlink" Target="http://vidinis.vmi.lt/Litlex/ll.dll?Tekstas=1&amp;Id=160681&amp;BF=1" TargetMode="External"/><Relationship Id="rId5" Type="http://schemas.openxmlformats.org/officeDocument/2006/relationships/settings" Target="settings.xml"/><Relationship Id="rId95" Type="http://schemas.openxmlformats.org/officeDocument/2006/relationships/hyperlink" Target="https://www.infolex.lt/ta/85252" TargetMode="External"/><Relationship Id="rId22" Type="http://schemas.openxmlformats.org/officeDocument/2006/relationships/hyperlink" Target="http://vidinis.vmi.lt/Litlex/LL.DLL?Tekstas=1?Id=116166&amp;Zd=%FEem%EBs%2B%FBkio%2C%2Bmaisto%2B%FBkio%2Bir%2Bkaimo%2Bpl%EBtros%2B%E1statymas&amp;BF=4" TargetMode="External"/><Relationship Id="rId27" Type="http://schemas.openxmlformats.org/officeDocument/2006/relationships/hyperlink" Target="http://vidinis.vmi.lt/Litlex/LL.DLL?Tekstas=1?Id=40906&amp;Zd=%FEuvininkyst%EBs%2B%E1statymas&amp;BF=4" TargetMode="External"/><Relationship Id="rId43" Type="http://schemas.openxmlformats.org/officeDocument/2006/relationships/hyperlink" Target="http://www3.lrs.lt/cgi-bin/preps2?Condition1=157066&amp;Condition2=" TargetMode="External"/><Relationship Id="rId48" Type="http://schemas.openxmlformats.org/officeDocument/2006/relationships/hyperlink" Target="http://www3.lrs.lt/cgi-bin/preps2?Condition1=157066&amp;Condition2=" TargetMode="External"/><Relationship Id="rId64" Type="http://schemas.openxmlformats.org/officeDocument/2006/relationships/hyperlink" Target="https://www.infolex.lt/ta/109389" TargetMode="External"/><Relationship Id="rId69" Type="http://schemas.openxmlformats.org/officeDocument/2006/relationships/hyperlink" Target="http://www.infolex.lt/ta/12868" TargetMode="External"/><Relationship Id="rId113"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18" Type="http://schemas.openxmlformats.org/officeDocument/2006/relationships/hyperlink" Target="http://vidinis.vmi.lt/Litlex/LL.DLL?Tekstas=1?Id=20722&amp;Zd=keli%F8%2Btransporto%2B&amp;BF=4" TargetMode="External"/><Relationship Id="rId134" Type="http://schemas.openxmlformats.org/officeDocument/2006/relationships/image" Target="media/image6.png"/><Relationship Id="rId139" Type="http://schemas.openxmlformats.org/officeDocument/2006/relationships/hyperlink" Target="http://www3.lrs.lt/cgi-bin/preps2?Condition1=137949&amp;Condition2=" TargetMode="External"/><Relationship Id="rId80" Type="http://schemas.openxmlformats.org/officeDocument/2006/relationships/hyperlink" Target="http://www3.lrs.lt/cgi-bin/preps2?Condition1=157066&amp;Condition2=" TargetMode="External"/><Relationship Id="rId85" Type="http://schemas.openxmlformats.org/officeDocument/2006/relationships/hyperlink" Target="http://www3.lrs.lt/cgi-bin/preps2?Condition1=203653&amp;Condition2=" TargetMode="External"/><Relationship Id="rId150" Type="http://schemas.openxmlformats.org/officeDocument/2006/relationships/header" Target="header1.xml"/><Relationship Id="rId12" Type="http://schemas.openxmlformats.org/officeDocument/2006/relationships/hyperlink" Target="http://ec.europa.eu/community_law/state_aids/transports-2005/n330-05.pdf" TargetMode="External"/><Relationship Id="rId17" Type="http://schemas.openxmlformats.org/officeDocument/2006/relationships/hyperlink" Target="http://cma-09.cma.vmi.lt/Litlex/%23188z" TargetMode="External"/><Relationship Id="rId33" Type="http://schemas.openxmlformats.org/officeDocument/2006/relationships/hyperlink" Target="http://www3.lrs.lt/cgi-bin/preps2?Condition1=140687&amp;Condition2=" TargetMode="External"/><Relationship Id="rId38" Type="http://schemas.openxmlformats.org/officeDocument/2006/relationships/hyperlink" Target="https://www.e-tar.lt/portal/legalAct.html?documentId=876276d02ad111eabe008ea93139d588" TargetMode="External"/><Relationship Id="rId59" Type="http://schemas.openxmlformats.org/officeDocument/2006/relationships/hyperlink" Target="https://www.infolex.lt/ta/936203" TargetMode="External"/><Relationship Id="rId103" Type="http://schemas.openxmlformats.org/officeDocument/2006/relationships/hyperlink" Target="http://www.vmi.lt/formos/PDF/FR0022.pdf" TargetMode="External"/><Relationship Id="rId108"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24" Type="http://schemas.openxmlformats.org/officeDocument/2006/relationships/hyperlink" Target="http://vidinis.vmi.lt/Litlex/LL.DLL?Tekstas=1?Id=51565&amp;Zd=pelno%2Bmokes%E8io%2B&amp;BF=4" TargetMode="External"/><Relationship Id="rId129" Type="http://schemas.openxmlformats.org/officeDocument/2006/relationships/hyperlink" Target="http://172.16.0.250/Litlex/LL.DLL?Tekstas=1&amp;Id=51565&amp;Zd=pelno%2Bmokes%E8io&amp;Vr=46&amp;BF=4" TargetMode="External"/><Relationship Id="rId54" Type="http://schemas.openxmlformats.org/officeDocument/2006/relationships/hyperlink" Target="http://www3.lrs.lt/pls/inter3/dokpaieska.showdoc_l?p_id=331424&amp;p_query=&amp;p_tr2=" TargetMode="External"/><Relationship Id="rId70" Type="http://schemas.openxmlformats.org/officeDocument/2006/relationships/hyperlink" Target="JavaScript:OL('12868','17')" TargetMode="External"/><Relationship Id="rId75" Type="http://schemas.openxmlformats.org/officeDocument/2006/relationships/hyperlink" Target="http://www.sodra.lt" TargetMode="External"/><Relationship Id="rId91" Type="http://schemas.openxmlformats.org/officeDocument/2006/relationships/hyperlink" Target="https://www.e-tar.lt/portal/legalAct.html?documentId=876276d02ad111eabe008ea93139d588" TargetMode="External"/><Relationship Id="rId96" Type="http://schemas.openxmlformats.org/officeDocument/2006/relationships/hyperlink" Target="https://www.infolex.lt/ta/278480" TargetMode="External"/><Relationship Id="rId140" Type="http://schemas.openxmlformats.org/officeDocument/2006/relationships/image" Target="media/image7.png"/><Relationship Id="rId145" Type="http://schemas.openxmlformats.org/officeDocument/2006/relationships/hyperlink" Target="http://www.infolex.lt/ta/12868"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vidinis.vmi.lt/Litlex/LL.DLL?Tekstas=1?Id=116166&amp;Zd=%FEem%EBs%2B%FBkio%2C%2Bmaisto%2B%FBkio%2Bir%2Bkaimo%2Bpl%EBtros%2B%E1statymas&amp;BF=4" TargetMode="External"/><Relationship Id="rId28" Type="http://schemas.openxmlformats.org/officeDocument/2006/relationships/hyperlink" Target="http://vidinis.vmi.lt/Litlex/LL.DLL?Tekstas=1?Id=40906&amp;Zd=%FEuvininkyst%EBs%2B%E1statymas&amp;BF=4" TargetMode="External"/><Relationship Id="rId49" Type="http://schemas.openxmlformats.org/officeDocument/2006/relationships/hyperlink" Target="http://www3.lrs.lt/cgi-bin/preps2?Condition1=166673&amp;Condition2=" TargetMode="External"/><Relationship Id="rId114" Type="http://schemas.openxmlformats.org/officeDocument/2006/relationships/hyperlink" Target="http://www3.lrs.lt/pls/inter3/dokpaieska.rezult_l?p_nr=VA-42&amp;p_nuo=2007-04-01&amp;p_iki=2007-06-30&amp;p_org=&amp;p_drus=&amp;p_kalb_id=1&amp;p_title=&amp;p_text=&amp;p_pub=&amp;p_met=&amp;p_lnr=&amp;p_denr=&amp;p_es=0&amp;p_rus=1&amp;p_tid=&amp;p_tkid=&amp;p_t=0&amp;p_tr1=2&amp;p_tr2=2&amp;p_gal=" TargetMode="External"/><Relationship Id="rId119" Type="http://schemas.openxmlformats.org/officeDocument/2006/relationships/hyperlink" Target="http://vidinis.vmi.lt/Litlex/LL.DLL?Tekstas=1?Id=51565&amp;Zd=pelno%2Bmokes%E8io%2B&amp;BF=4" TargetMode="External"/><Relationship Id="rId44" Type="http://schemas.openxmlformats.org/officeDocument/2006/relationships/hyperlink" Target="https://lt.wikipedia.org/wiki/Technika_(%C4%AFranga)" TargetMode="External"/><Relationship Id="rId60" Type="http://schemas.openxmlformats.org/officeDocument/2006/relationships/hyperlink" Target="http://curia.europa.eu/juris/liste.jsf?num=C-115/16&amp;language=lt" TargetMode="External"/><Relationship Id="rId65" Type="http://schemas.openxmlformats.org/officeDocument/2006/relationships/hyperlink" Target="https://www.e-tar.lt/portal/legalAct.html?documentId=876276d02ad111eabe008ea93139d588" TargetMode="External"/><Relationship Id="rId81" Type="http://schemas.openxmlformats.org/officeDocument/2006/relationships/hyperlink" Target="https://www.e-tar.lt/portal/lt/legalAct/TAR.A5ACBDA529A9/asr" TargetMode="External"/><Relationship Id="rId86" Type="http://schemas.openxmlformats.org/officeDocument/2006/relationships/hyperlink" Target="http://vidinis.vmi.lt/Litlex/LL.DLL?Tekstas=1?Id=7735&amp;Zd=labdaros%2B&amp;BF=4" TargetMode="External"/><Relationship Id="rId130" Type="http://schemas.openxmlformats.org/officeDocument/2006/relationships/hyperlink" Target="http://vidinis.vmi.lt/Litlex/LL.DLL?Tekstas=1?Id=51565&amp;Zd=pelno%2Bmokes%E8io%2B&amp;BF=4" TargetMode="External"/><Relationship Id="rId135" Type="http://schemas.openxmlformats.org/officeDocument/2006/relationships/hyperlink" Target="https://www.e-tar.lt/portal/legalAct.html?documentId=876276d02ad111eabe008ea93139d588" TargetMode="External"/><Relationship Id="rId151" Type="http://schemas.openxmlformats.org/officeDocument/2006/relationships/header" Target="header2.xml"/><Relationship Id="rId13" Type="http://schemas.openxmlformats.org/officeDocument/2006/relationships/hyperlink" Target="http://www3.lrs.lt/pls/inter3/dokpaieska.showdoc_l?p_id=171369&amp;p_query=&amp;p_tr2=" TargetMode="External"/><Relationship Id="rId18" Type="http://schemas.openxmlformats.org/officeDocument/2006/relationships/hyperlink" Target="http://vidinis.vmi.lt/Litlex/ll.dll?Tekstas=1&amp;Id=120817&amp;BF=1" TargetMode="External"/><Relationship Id="rId39" Type="http://schemas.openxmlformats.org/officeDocument/2006/relationships/hyperlink" Target="https://www.e-tar.lt/portal/legalAct.html?documentId=876276d02ad111eabe008ea93139d588" TargetMode="External"/><Relationship Id="rId109" Type="http://schemas.openxmlformats.org/officeDocument/2006/relationships/hyperlink" Target="http://www3.lrs.lt/pls/inter3/dokpaieska.rezult_l?p_nr=VIII-1897&amp;p_nuo=&amp;p_iki=&amp;p_org=&amp;p_drus=&amp;p_kalb_id=1&amp;p_title=&amp;p_text=&amp;p_pub=&amp;p_met=&amp;p_lnr=&amp;p_denr=&amp;p_es=0&amp;p_rus=1&amp;p_tid=&amp;p_tkid=&amp;p_t=0&amp;p_tr1=2&amp;p_tr2=2&amp;p_gal=" TargetMode="External"/><Relationship Id="rId34" Type="http://schemas.openxmlformats.org/officeDocument/2006/relationships/hyperlink" Target="http://www3.lrs.lt/cgi-bin/preps2?a=325285&amp;b=" TargetMode="External"/><Relationship Id="rId50" Type="http://schemas.openxmlformats.org/officeDocument/2006/relationships/hyperlink" Target="http://www3.lrs.lt/cgi-bin/preps2?Condition1=157066&amp;Condition2=" TargetMode="External"/><Relationship Id="rId55" Type="http://schemas.openxmlformats.org/officeDocument/2006/relationships/hyperlink" Target="http://www.infolex.lt/ta/12868" TargetMode="External"/><Relationship Id="rId76" Type="http://schemas.openxmlformats.org/officeDocument/2006/relationships/hyperlink" Target="http://www.infolex.lt/ta/12868" TargetMode="External"/><Relationship Id="rId97" Type="http://schemas.openxmlformats.org/officeDocument/2006/relationships/hyperlink" Target="https://www.infolex.lt/ta/323269" TargetMode="External"/><Relationship Id="rId104" Type="http://schemas.openxmlformats.org/officeDocument/2006/relationships/hyperlink" Target="http://www3.lrs.lt/cgi-bin/preps2?Condition1=164383&amp;Condition2=" TargetMode="External"/><Relationship Id="rId120" Type="http://schemas.openxmlformats.org/officeDocument/2006/relationships/hyperlink" Target="http://vidinis.vmi.lt/Litlex/LL.DLL?Tekstas=1?Id=51565&amp;Zd=pelno%2Bmokes%E8io%2B&amp;BF=4" TargetMode="External"/><Relationship Id="rId125" Type="http://schemas.openxmlformats.org/officeDocument/2006/relationships/hyperlink" Target="http://vidinis.vmi.lt/Litlex/LL.DLL?Tekstas=1?Id=51565&amp;Zd=pelno%2Bmokes%E8io%2B&amp;BF=4" TargetMode="External"/><Relationship Id="rId141" Type="http://schemas.openxmlformats.org/officeDocument/2006/relationships/image" Target="media/image8.emf"/><Relationship Id="rId146" Type="http://schemas.openxmlformats.org/officeDocument/2006/relationships/hyperlink" Target="JavaScript:OL('12868','58')" TargetMode="External"/><Relationship Id="rId7" Type="http://schemas.openxmlformats.org/officeDocument/2006/relationships/footnotes" Target="footnotes.xml"/><Relationship Id="rId71" Type="http://schemas.openxmlformats.org/officeDocument/2006/relationships/hyperlink" Target="JavaScript:OL('12868','30')" TargetMode="External"/><Relationship Id="rId92" Type="http://schemas.openxmlformats.org/officeDocument/2006/relationships/hyperlink" Target="https://www.e-tar.lt/portal/legalAct.html?documentId=876276d02ad111eabe008ea93139d588" TargetMode="External"/><Relationship Id="rId2" Type="http://schemas.openxmlformats.org/officeDocument/2006/relationships/customXml" Target="../customXml/item2.xml"/><Relationship Id="rId29" Type="http://schemas.openxmlformats.org/officeDocument/2006/relationships/hyperlink" Target="http://vidinis.vmi.lt/Litlex/LL.DLL?Tekstas=1?Id=40906&amp;Zd=%FEuvininkyst%EBs%2B%E1statymas&amp;BF=4" TargetMode="External"/><Relationship Id="rId24" Type="http://schemas.openxmlformats.org/officeDocument/2006/relationships/hyperlink" Target="http://vidinis.vmi.lt/Litlex/LL.DLL?Tekstas=1?Id=116166&amp;Zd=%FEem%EBs%2B%FBkio%2C%2Bmaisto%2B%FBkio%2Bir%2Bkaimo%2Bpl%EBtros%2B%E1statymas&amp;BF=4" TargetMode="External"/><Relationship Id="rId40" Type="http://schemas.openxmlformats.org/officeDocument/2006/relationships/hyperlink" Target="http://www3.lrs.lt/cgi-bin/preps2?Condition1=157066&amp;Condition2=" TargetMode="External"/><Relationship Id="rId45" Type="http://schemas.openxmlformats.org/officeDocument/2006/relationships/image" Target="media/image1.png"/><Relationship Id="rId66" Type="http://schemas.openxmlformats.org/officeDocument/2006/relationships/hyperlink" Target="http://www.infolex.lt/ta/12868" TargetMode="External"/><Relationship Id="rId87" Type="http://schemas.openxmlformats.org/officeDocument/2006/relationships/hyperlink" Target="https://www.infolex.lt/ta/12868" TargetMode="External"/><Relationship Id="rId110" Type="http://schemas.openxmlformats.org/officeDocument/2006/relationships/hyperlink" Target="http://www3.lrs.lt/pls/inter3/dokpaieska.rezult_l?p_nr=I-1513&amp;p_nuo=&amp;p_iki=&amp;p_org=&amp;p_drus=102&amp;p_kalb_id=1&amp;p_title=&amp;p_text=&amp;p_pub=&amp;p_met=&amp;p_lnr=&amp;p_denr=&amp;p_es=0&amp;p_rus=1&amp;p_tid=&amp;p_tkid=&amp;p_t=0&amp;p_tr1=2&amp;p_tr2=2&amp;p_gal=" TargetMode="External"/><Relationship Id="rId115" Type="http://schemas.openxmlformats.org/officeDocument/2006/relationships/image" Target="media/image3.wmf"/><Relationship Id="rId131" Type="http://schemas.openxmlformats.org/officeDocument/2006/relationships/hyperlink" Target="http://vidinis.vmi.lt/Litlex/LL.DLL?Tekstas=1?Id=51565&amp;Zd=pelno%2Bmokes%E8io%2B&amp;BF=4" TargetMode="External"/><Relationship Id="rId136" Type="http://schemas.openxmlformats.org/officeDocument/2006/relationships/hyperlink" Target="http://europa.eu/documentation/legislation/index_lt.htm" TargetMode="External"/><Relationship Id="rId61" Type="http://schemas.openxmlformats.org/officeDocument/2006/relationships/hyperlink" Target="http://www3.lrs.lt/pls/inter3/dokpaieska.showdoc_l?p_id=264828" TargetMode="External"/><Relationship Id="rId82" Type="http://schemas.openxmlformats.org/officeDocument/2006/relationships/hyperlink" Target="http://www3.lrs.lt/pls/inter3/dokpaieska.showdoc_l?p_id=256482&amp;p_query=" TargetMode="External"/><Relationship Id="rId152" Type="http://schemas.openxmlformats.org/officeDocument/2006/relationships/fontTable" Target="fontTable.xml"/><Relationship Id="rId19" Type="http://schemas.openxmlformats.org/officeDocument/2006/relationships/hyperlink" Target="http://vidinis.vmi.lt/Litlex/LL.DLL?Tekstas=1?Id=116166&amp;Zd=%FEem%EBs%2B%FBkio%2C%2Bmaisto%2B%FBkio%2Bir%2Bkaimo%2Bpl%EBtros%2B%E1statymas&amp;BF=4" TargetMode="External"/><Relationship Id="rId14" Type="http://schemas.openxmlformats.org/officeDocument/2006/relationships/hyperlink" Target="http://www3.lrs.lt/cgi-bin/preps2?Condition1=107942&amp;Condition2=" TargetMode="External"/><Relationship Id="rId30" Type="http://schemas.openxmlformats.org/officeDocument/2006/relationships/hyperlink" Target="http://vidinis.vmi.lt/Litlex/LL.DLL?Tekstas=1?Id=40906&amp;Zd=%FEuvininkyst%EBs%2B%E1statymas&amp;BF=4" TargetMode="External"/><Relationship Id="rId35" Type="http://schemas.openxmlformats.org/officeDocument/2006/relationships/hyperlink" Target="http://www3.lrs.lt/cgi-bin/preps2?a=325285&amp;b=" TargetMode="External"/><Relationship Id="rId56" Type="http://schemas.openxmlformats.org/officeDocument/2006/relationships/hyperlink" Target="http://www3.lrs.lt/cgi-bin/preps2?Condition1=157066&amp;Condition2=" TargetMode="External"/><Relationship Id="rId77" Type="http://schemas.openxmlformats.org/officeDocument/2006/relationships/hyperlink" Target="JavaScript:OL('12868','17')" TargetMode="External"/><Relationship Id="rId100" Type="http://schemas.openxmlformats.org/officeDocument/2006/relationships/hyperlink" Target="http://www.vmi.lt/formos/PDF/FR0022.pdf" TargetMode="External"/><Relationship Id="rId105" Type="http://schemas.openxmlformats.org/officeDocument/2006/relationships/hyperlink" Target="http://www3.lrs.lt/cgi-bin/preps2?Condition1=164383&amp;Condition2=" TargetMode="External"/><Relationship Id="rId126" Type="http://schemas.openxmlformats.org/officeDocument/2006/relationships/hyperlink" Target="http://172.16.0.250/Litlex/LL.DLL?Tekstas=1&amp;Id=51565&amp;Zd=pelno%2Bmokes%E8io&amp;Vr=46&amp;BF=4" TargetMode="External"/><Relationship Id="rId147" Type="http://schemas.openxmlformats.org/officeDocument/2006/relationships/hyperlink" Target="http://vidinis.vmi.lt/Litlex/ll.dll?Tekstas=1&amp;Id=56395&amp;BF=1" TargetMode="External"/><Relationship Id="rId8" Type="http://schemas.openxmlformats.org/officeDocument/2006/relationships/endnotes" Target="endnotes.xml"/><Relationship Id="rId51" Type="http://schemas.openxmlformats.org/officeDocument/2006/relationships/hyperlink" Target="http://www3.lrs.lt/cgi-bin/preps2?Condition1=157066&amp;Condition2=" TargetMode="External"/><Relationship Id="rId72" Type="http://schemas.openxmlformats.org/officeDocument/2006/relationships/hyperlink" Target="http://www.infolex.lt/ta/12868" TargetMode="External"/><Relationship Id="rId93" Type="http://schemas.openxmlformats.org/officeDocument/2006/relationships/hyperlink" Target="https://www.e-tar.lt/portal/legalAct.html?documentId=876276d02ad111eabe008ea93139d588" TargetMode="External"/><Relationship Id="rId98" Type="http://schemas.openxmlformats.org/officeDocument/2006/relationships/hyperlink" Target="http://www.vmi.lt/formos/PDF/FR0021.pdf" TargetMode="External"/><Relationship Id="rId121" Type="http://schemas.openxmlformats.org/officeDocument/2006/relationships/hyperlink" Target="http://vidinis.vmi.lt/Litlex/LL.DLL?Tekstas=1?Id=51565&amp;Zd=pelno%2Bmokes%E8io%2B&amp;BF=4" TargetMode="External"/><Relationship Id="rId142" Type="http://schemas.openxmlformats.org/officeDocument/2006/relationships/hyperlink" Target="http://www.infolex.lt/ta/12868" TargetMode="External"/><Relationship Id="rId3" Type="http://schemas.openxmlformats.org/officeDocument/2006/relationships/numbering" Target="numbering.xml"/><Relationship Id="rId25" Type="http://schemas.openxmlformats.org/officeDocument/2006/relationships/hyperlink" Target="http://vidinis.vmi.lt/Litlex/LL.DLL?Tekstas=1?Id=116166&amp;Zd=%FEem%EBs%2B%FBkio%2C%2Bmaisto%2B%FBkio%2Bir%2Bkaimo%2Bpl%EBtros%2B%E1statymas&amp;BF=4" TargetMode="External"/><Relationship Id="rId46" Type="http://schemas.openxmlformats.org/officeDocument/2006/relationships/image" Target="media/image2.png"/><Relationship Id="rId67" Type="http://schemas.openxmlformats.org/officeDocument/2006/relationships/hyperlink" Target="JavaScript:OL('12868','57')" TargetMode="External"/><Relationship Id="rId116" Type="http://schemas.openxmlformats.org/officeDocument/2006/relationships/image" Target="media/image4.wmf"/><Relationship Id="rId137" Type="http://schemas.openxmlformats.org/officeDocument/2006/relationships/hyperlink" Target="http://vidinis.vmi.lt/Litlex/LL.DLL?Tekstas=1?Id=72975&amp;Zd=Mokes%E8i%F8%2Badministravimo%2B%E1statymas&amp;BF=4" TargetMode="External"/><Relationship Id="rId20" Type="http://schemas.openxmlformats.org/officeDocument/2006/relationships/hyperlink" Target="http://vidinis.vmi.lt/Litlex/LL.DLL?Tekstas=1?Id=116166&amp;Zd=%FEem%EBs%2B%FBkio%2C%2Bmaisto%2B%FBkio%2Bir%2Bkaimo%2Bpl%EBtros%2B%E1statymas&amp;BF=4" TargetMode="External"/><Relationship Id="rId41" Type="http://schemas.openxmlformats.org/officeDocument/2006/relationships/hyperlink" Target="http://www3.lrs.lt/cgi-bin/preps2?Condition1=157066&amp;Condition2=" TargetMode="External"/><Relationship Id="rId62" Type="http://schemas.openxmlformats.org/officeDocument/2006/relationships/hyperlink" Target="http://cma-09.cma.vmi.lt/Litlex/" TargetMode="External"/><Relationship Id="rId83" Type="http://schemas.openxmlformats.org/officeDocument/2006/relationships/hyperlink" Target="http://www3.lrs.lt/cgi-bin/preps2?Condition1=203653&amp;Condition2=" TargetMode="External"/><Relationship Id="rId88" Type="http://schemas.openxmlformats.org/officeDocument/2006/relationships/hyperlink" Target="https://www.infolex.lt/ta/12868" TargetMode="External"/><Relationship Id="rId111" Type="http://schemas.openxmlformats.org/officeDocument/2006/relationships/hyperlink" Target="http://www3.lrs.lt/pls/inter3/dokpaieska.rezult_l?p_nr=&amp;p_nuo=&amp;p_iki=&amp;p_org=&amp;p_drus=24&amp;p_kalb_id=1&amp;p_title=SOLAS%2074&amp;p_text=&amp;p_pub=&amp;p_met=&amp;p_lnr=&amp;p_denr=&amp;p_es=0&amp;p_rus=1&amp;p_tid=&amp;p_tkid=&amp;p_t=0&amp;p_tr1=2&amp;p_tr2=2&amp;p_gal=" TargetMode="External"/><Relationship Id="rId132" Type="http://schemas.openxmlformats.org/officeDocument/2006/relationships/hyperlink" Target="http://vidinis.vmi.lt/Litlex/LL.DLL?Tekstas=1?Id=51565&amp;Zd=pelno%2Bmokes%E8io%2B&amp;BF=4" TargetMode="External"/><Relationship Id="rId153" Type="http://schemas.openxmlformats.org/officeDocument/2006/relationships/theme" Target="theme/theme1.xml"/><Relationship Id="rId15" Type="http://schemas.openxmlformats.org/officeDocument/2006/relationships/hyperlink" Target="http://www3.lrs.lt/cgi-bin/preps2?Condition1=107942&amp;Condition2=" TargetMode="External"/><Relationship Id="rId36" Type="http://schemas.openxmlformats.org/officeDocument/2006/relationships/hyperlink" Target="http://www3.lrs.lt/cgi-bin/preps2?a=325285&amp;b=" TargetMode="External"/><Relationship Id="rId57" Type="http://schemas.openxmlformats.org/officeDocument/2006/relationships/hyperlink" Target="http://www3.lrs.lt/cgi-bin/preps2?Condition1=129687&amp;Condition2=" TargetMode="External"/><Relationship Id="rId106" Type="http://schemas.openxmlformats.org/officeDocument/2006/relationships/hyperlink" Target="http://www3.lrs.lt/c-bin/eu/preps2?Condition1=44379&amp;Condition2=" TargetMode="External"/><Relationship Id="rId127" Type="http://schemas.openxmlformats.org/officeDocument/2006/relationships/hyperlink" Target="http://172.16.0.250/Litlex/LL.DLL?Tekstas=1&amp;Id=51565&amp;Zd=pelno%2Bmokes%E8io&amp;Vr=46&amp;BF=4" TargetMode="External"/><Relationship Id="rId10" Type="http://schemas.openxmlformats.org/officeDocument/2006/relationships/hyperlink" Target="http://www3.lrs.lt/cgi-bin/preps2?Condition1=107687&amp;Condition2=" TargetMode="External"/><Relationship Id="rId31" Type="http://schemas.openxmlformats.org/officeDocument/2006/relationships/hyperlink" Target="https://www.e-tar.lt/portal/legalAct.html?documentId=876276d02ad111eabe008ea93139d588" TargetMode="External"/><Relationship Id="rId52" Type="http://schemas.openxmlformats.org/officeDocument/2006/relationships/hyperlink" Target="http://www3.lrs.lt/cgi-bin/preps2?Condition1=157066&amp;Condition2=" TargetMode="External"/><Relationship Id="rId73" Type="http://schemas.openxmlformats.org/officeDocument/2006/relationships/hyperlink" Target="JavaScript:OL('12868','17')" TargetMode="External"/><Relationship Id="rId78" Type="http://schemas.openxmlformats.org/officeDocument/2006/relationships/hyperlink" Target="JavaScript:OL('12868','17')" TargetMode="External"/><Relationship Id="rId94" Type="http://schemas.openxmlformats.org/officeDocument/2006/relationships/hyperlink" Target="https://www.e-tar.lt/portal/legalAct.html?documentId=876276d02ad111eabe008ea93139d588" TargetMode="External"/><Relationship Id="rId99" Type="http://schemas.openxmlformats.org/officeDocument/2006/relationships/hyperlink" Target="http://www3.lrs.lt/cgi-bin/preps2?Condition1=140687&amp;Condition2=" TargetMode="External"/><Relationship Id="rId101" Type="http://schemas.openxmlformats.org/officeDocument/2006/relationships/hyperlink" Target="http://www.vmi.lt/formos/PDF/FR0021.pdf" TargetMode="External"/><Relationship Id="rId122" Type="http://schemas.openxmlformats.org/officeDocument/2006/relationships/hyperlink" Target="http://vidinis.vmi.lt/Litlex/LL.DLL?Tekstas=1?Id=51565&amp;Zd=pelno%2Bmokes%E8io%2B&amp;BF=4" TargetMode="External"/><Relationship Id="rId143" Type="http://schemas.openxmlformats.org/officeDocument/2006/relationships/image" Target="media/image9.png"/><Relationship Id="rId148" Type="http://schemas.openxmlformats.org/officeDocument/2006/relationships/hyperlink" Target="http://vidinis.vmi.lt/Litlex/ll.dll?Tekstas=1&amp;Id=65951&amp;BF=1" TargetMode="External"/><Relationship Id="rId4" Type="http://schemas.openxmlformats.org/officeDocument/2006/relationships/styles" Target="styles.xml"/><Relationship Id="rId9" Type="http://schemas.openxmlformats.org/officeDocument/2006/relationships/hyperlink" Target="http://vidinis.vmi.lt/Litlex/LL.DLL?Tekstas=1?Id=51565&amp;Zd=&amp;BF=4" TargetMode="External"/><Relationship Id="rId26" Type="http://schemas.openxmlformats.org/officeDocument/2006/relationships/hyperlink" Target="http://vidinis.vmi.lt/Litlex/LL.DLL?Tekstas=1?Id=116166&amp;Zd=%FEem%EBs%2B%FBkio%2C%2Bmaisto%2B%FBkio%2Bir%2Bkaimo%2Bpl%EBtros%2B%E1statymas&amp;BF=4" TargetMode="External"/><Relationship Id="rId47" Type="http://schemas.openxmlformats.org/officeDocument/2006/relationships/hyperlink" Target="http://www3.lrs.lt/pls/inter3/dokpaieska.showdoc_l?p_id=331424&amp;p_query=&amp;p_tr2=" TargetMode="External"/><Relationship Id="rId68" Type="http://schemas.openxmlformats.org/officeDocument/2006/relationships/hyperlink" Target="http://www.infolex.lt/ta/12868" TargetMode="External"/><Relationship Id="rId89" Type="http://schemas.openxmlformats.org/officeDocument/2006/relationships/hyperlink" Target="http://www3.lrs.lt/cgi-bin/preps2?Condition1=231855&amp;Condition2=" TargetMode="External"/><Relationship Id="rId112" Type="http://schemas.openxmlformats.org/officeDocument/2006/relationships/hyperlink" Target="http://www.msa.lt" TargetMode="External"/><Relationship Id="rId133" Type="http://schemas.openxmlformats.org/officeDocument/2006/relationships/hyperlink" Target="http://vidinis.vmi.lt/Litlex/#P55845_2" TargetMode="External"/><Relationship Id="rId16" Type="http://schemas.openxmlformats.org/officeDocument/2006/relationships/hyperlink" Target="http://cma-09.cma.vmi.lt/Litlex/%23189z" TargetMode="External"/><Relationship Id="rId37" Type="http://schemas.openxmlformats.org/officeDocument/2006/relationships/hyperlink" Target="http://www3.lrs.lt/cgi-bin/preps2?a=325285&amp;b=" TargetMode="External"/><Relationship Id="rId58" Type="http://schemas.openxmlformats.org/officeDocument/2006/relationships/hyperlink" Target="http://www3.lrs.lt/cgi-bin/preps2?Condition1=230545&amp;Condition2=" TargetMode="External"/><Relationship Id="rId79" Type="http://schemas.openxmlformats.org/officeDocument/2006/relationships/hyperlink" Target="JavaScript:OL('12868','17')" TargetMode="External"/><Relationship Id="rId102" Type="http://schemas.openxmlformats.org/officeDocument/2006/relationships/hyperlink" Target="http://www3.lrs.lt/cgi-bin/preps2?Condition1=140687&amp;Condition2=" TargetMode="External"/><Relationship Id="rId123" Type="http://schemas.openxmlformats.org/officeDocument/2006/relationships/hyperlink" Target="http://vidinis.vmi.lt/Litlex/LL.DLL?Tekstas=1?Id=51565&amp;Zd=pelno%2Bmokes%E8io%2B&amp;BF=4" TargetMode="External"/><Relationship Id="rId144" Type="http://schemas.openxmlformats.org/officeDocument/2006/relationships/image" Target="media/image10.emf"/><Relationship Id="rId90" Type="http://schemas.openxmlformats.org/officeDocument/2006/relationships/hyperlink" Target="https://www.e-tar.lt/portal/legalAct.html?documentId=53c18e3081de11ed8df094f359a6021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ipo.int/pct/en/access/isa_ipea_agreements.html" TargetMode="External"/><Relationship Id="rId2" Type="http://schemas.openxmlformats.org/officeDocument/2006/relationships/hyperlink" Target="http://www.vpb.gov.lt/?p=0&amp;l=lt&amp;n=311" TargetMode="External"/><Relationship Id="rId1" Type="http://schemas.openxmlformats.org/officeDocument/2006/relationships/hyperlink" Target="http://www.wipo.int/patents/en/topics/utility_models.html" TargetMode="External"/><Relationship Id="rId6" Type="http://schemas.openxmlformats.org/officeDocument/2006/relationships/hyperlink" Target="http://www.wipo.int/pct/en/access/isa_ipea_agreements.html" TargetMode="External"/><Relationship Id="rId5" Type="http://schemas.openxmlformats.org/officeDocument/2006/relationships/hyperlink" Target="http://www.vpb.gov.lt/?p=0&amp;l=lt&amp;n=311" TargetMode="External"/><Relationship Id="rId4" Type="http://schemas.openxmlformats.org/officeDocument/2006/relationships/hyperlink" Target="http://www.wipo.int/patents/en/topics/utility_models.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4B6065-5DD8-4857-B2E6-48A85F56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1545517</Words>
  <Characters>880945</Characters>
  <Application>Microsoft Office Word</Application>
  <DocSecurity>0</DocSecurity>
  <Lines>7341</Lines>
  <Paragraphs>4843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vt:lpstr>
      <vt:lpstr>LIETUVOS RESPUBLIKOS</vt:lpstr>
    </vt:vector>
  </TitlesOfParts>
  <LinksUpToDate>false</LinksUpToDate>
  <CharactersWithSpaces>2421619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
  <cp:lastModifiedBy/>
  <cp:revision>1</cp:revision>
  <cp:lastPrinted>2014-04-17T12:06:00Z</cp:lastPrinted>
  <dcterms:created xsi:type="dcterms:W3CDTF">2026-01-27T12:19:00Z</dcterms:created>
  <dcterms:modified xsi:type="dcterms:W3CDTF">2026-05-27T03:56:00Z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